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gif" ContentType="image/gif"/>
  <Default Extension="wdp" ContentType="image/vnd.ms-photo"/>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drawings/drawing1.xml" ContentType="application/vnd.openxmlformats-officedocument.drawingml.chartshapes+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drawings/drawing2.xml" ContentType="application/vnd.openxmlformats-officedocument.drawingml.chartshapes+xml"/>
  <Override PartName="/word/charts/chart10.xml" ContentType="application/vnd.openxmlformats-officedocument.drawingml.chart+xml"/>
  <Override PartName="/word/drawings/drawing3.xml" ContentType="application/vnd.openxmlformats-officedocument.drawingml.chartshapes+xml"/>
  <Override PartName="/word/charts/chart11.xml" ContentType="application/vnd.openxmlformats-officedocument.drawingml.chart+xml"/>
  <Override PartName="/word/drawings/drawing4.xml" ContentType="application/vnd.openxmlformats-officedocument.drawingml.chartshapes+xml"/>
  <Override PartName="/word/charts/chart12.xml" ContentType="application/vnd.openxmlformats-officedocument.drawingml.chart+xml"/>
  <Override PartName="/word/drawings/drawing5.xml" ContentType="application/vnd.openxmlformats-officedocument.drawingml.chartshapes+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drawings/drawing6.xml" ContentType="application/vnd.openxmlformats-officedocument.drawingml.chartshapes+xml"/>
  <Override PartName="/word/charts/chart24.xml" ContentType="application/vnd.openxmlformats-officedocument.drawingml.chart+xml"/>
  <Override PartName="/word/drawings/drawing7.xml" ContentType="application/vnd.openxmlformats-officedocument.drawingml.chartshapes+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theme/themeOverride1.xml" ContentType="application/vnd.openxmlformats-officedocument.themeOverride+xml"/>
  <Override PartName="/word/charts/chart33.xml" ContentType="application/vnd.openxmlformats-officedocument.drawingml.chart+xml"/>
  <Override PartName="/word/theme/themeOverride2.xml" ContentType="application/vnd.openxmlformats-officedocument.themeOverride+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2749449" w14:textId="55F96123" w:rsidR="00C81140" w:rsidRDefault="00C95D1E" w:rsidP="00C81140">
      <w:pPr>
        <w:widowControl w:val="0"/>
        <w:autoSpaceDE w:val="0"/>
        <w:autoSpaceDN w:val="0"/>
        <w:adjustRightInd w:val="0"/>
        <w:jc w:val="center"/>
        <w:rPr>
          <w:rFonts w:ascii="Times" w:hAnsi="Times" w:cs="Times"/>
        </w:rPr>
      </w:pPr>
      <w:bookmarkStart w:id="0" w:name="_GoBack"/>
      <w:bookmarkEnd w:id="0"/>
      <w:r>
        <w:rPr>
          <w:rFonts w:ascii="Times" w:hAnsi="Times" w:cs="Times"/>
          <w:noProof/>
        </w:rPr>
        <w:drawing>
          <wp:inline distT="0" distB="0" distL="0" distR="0" wp14:anchorId="6AC2AEA2" wp14:editId="37FB75DB">
            <wp:extent cx="2806967" cy="1246076"/>
            <wp:effectExtent l="0" t="0" r="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08752" cy="1246868"/>
                    </a:xfrm>
                    <a:prstGeom prst="rect">
                      <a:avLst/>
                    </a:prstGeom>
                    <a:noFill/>
                    <a:ln>
                      <a:noFill/>
                    </a:ln>
                  </pic:spPr>
                </pic:pic>
              </a:graphicData>
            </a:graphic>
          </wp:inline>
        </w:drawing>
      </w:r>
    </w:p>
    <w:p w14:paraId="168E2EDF" w14:textId="77777777" w:rsidR="00C81140" w:rsidRDefault="00C81140" w:rsidP="00C81140">
      <w:pPr>
        <w:widowControl w:val="0"/>
        <w:autoSpaceDE w:val="0"/>
        <w:autoSpaceDN w:val="0"/>
        <w:adjustRightInd w:val="0"/>
        <w:jc w:val="center"/>
        <w:rPr>
          <w:rFonts w:ascii="Times" w:hAnsi="Times" w:cs="Times"/>
        </w:rPr>
      </w:pPr>
    </w:p>
    <w:p w14:paraId="44E532B1" w14:textId="77777777" w:rsidR="00C95D1E" w:rsidRDefault="00C95D1E" w:rsidP="00C81140">
      <w:pPr>
        <w:widowControl w:val="0"/>
        <w:autoSpaceDE w:val="0"/>
        <w:autoSpaceDN w:val="0"/>
        <w:adjustRightInd w:val="0"/>
        <w:jc w:val="center"/>
        <w:rPr>
          <w:rFonts w:ascii="Times" w:hAnsi="Times" w:cs="Times"/>
        </w:rPr>
      </w:pPr>
    </w:p>
    <w:p w14:paraId="67A8DF46" w14:textId="77777777" w:rsidR="00C81140" w:rsidRDefault="00C81140" w:rsidP="00C81140">
      <w:pPr>
        <w:widowControl w:val="0"/>
        <w:autoSpaceDE w:val="0"/>
        <w:autoSpaceDN w:val="0"/>
        <w:adjustRightInd w:val="0"/>
        <w:jc w:val="center"/>
        <w:rPr>
          <w:rFonts w:ascii="Times" w:hAnsi="Times" w:cs="Times"/>
        </w:rPr>
      </w:pPr>
    </w:p>
    <w:p w14:paraId="3991F237" w14:textId="77777777" w:rsidR="00ED3833" w:rsidRPr="00123D6A" w:rsidRDefault="00ED3833" w:rsidP="00ED3833">
      <w:pPr>
        <w:pBdr>
          <w:top w:val="single" w:sz="4" w:space="1" w:color="auto"/>
          <w:bottom w:val="single" w:sz="4" w:space="1" w:color="auto"/>
        </w:pBdr>
        <w:jc w:val="center"/>
        <w:rPr>
          <w:rFonts w:ascii="Times" w:hAnsi="Times"/>
          <w:bCs/>
          <w:smallCaps/>
          <w:spacing w:val="20"/>
          <w:sz w:val="44"/>
          <w:szCs w:val="44"/>
        </w:rPr>
      </w:pPr>
    </w:p>
    <w:p w14:paraId="2016C4CF" w14:textId="4AB7F390" w:rsidR="00BF48F0" w:rsidRPr="00123D6A" w:rsidRDefault="00896021" w:rsidP="00ED3833">
      <w:pPr>
        <w:pBdr>
          <w:top w:val="single" w:sz="4" w:space="1" w:color="auto"/>
          <w:bottom w:val="single" w:sz="4" w:space="1" w:color="auto"/>
        </w:pBdr>
        <w:jc w:val="center"/>
        <w:rPr>
          <w:rFonts w:ascii="Times" w:hAnsi="Times"/>
          <w:bCs/>
          <w:smallCaps/>
          <w:spacing w:val="20"/>
          <w:sz w:val="44"/>
          <w:szCs w:val="44"/>
        </w:rPr>
      </w:pPr>
      <w:r w:rsidRPr="00123D6A">
        <w:rPr>
          <w:rFonts w:ascii="Times" w:hAnsi="Times"/>
          <w:bCs/>
          <w:smallCaps/>
          <w:spacing w:val="20"/>
          <w:sz w:val="44"/>
          <w:szCs w:val="44"/>
        </w:rPr>
        <w:t xml:space="preserve">Accelerated Leaching Methods for Cementitious Nuclear Wasteforms and The Impact of </w:t>
      </w:r>
      <w:r w:rsidR="001F5C29">
        <w:rPr>
          <w:rFonts w:ascii="Times" w:hAnsi="Times"/>
          <w:bCs/>
          <w:smallCaps/>
          <w:spacing w:val="20"/>
          <w:sz w:val="44"/>
          <w:szCs w:val="44"/>
        </w:rPr>
        <w:t>Superplasticiser</w:t>
      </w:r>
      <w:r w:rsidRPr="00123D6A">
        <w:rPr>
          <w:rFonts w:ascii="Times" w:hAnsi="Times"/>
          <w:bCs/>
          <w:smallCaps/>
          <w:spacing w:val="20"/>
          <w:sz w:val="44"/>
          <w:szCs w:val="44"/>
        </w:rPr>
        <w:t xml:space="preserve">s on the Leaching Behaviour </w:t>
      </w:r>
    </w:p>
    <w:p w14:paraId="2F05EEB7" w14:textId="77777777" w:rsidR="00ED3833" w:rsidRPr="00896021" w:rsidRDefault="00ED3833" w:rsidP="00ED3833">
      <w:pPr>
        <w:pBdr>
          <w:top w:val="single" w:sz="4" w:space="1" w:color="auto"/>
          <w:bottom w:val="single" w:sz="4" w:space="1" w:color="auto"/>
        </w:pBdr>
        <w:jc w:val="center"/>
        <w:rPr>
          <w:rFonts w:ascii="Times" w:hAnsi="Times"/>
          <w:b/>
          <w:bCs/>
          <w:smallCaps/>
          <w:sz w:val="44"/>
          <w:szCs w:val="44"/>
        </w:rPr>
      </w:pPr>
    </w:p>
    <w:p w14:paraId="3DE2828C" w14:textId="77777777" w:rsidR="00896021" w:rsidRDefault="00896021" w:rsidP="00896021">
      <w:pPr>
        <w:jc w:val="center"/>
        <w:rPr>
          <w:rFonts w:ascii="Times" w:hAnsi="Times"/>
          <w:b/>
          <w:sz w:val="44"/>
        </w:rPr>
      </w:pPr>
    </w:p>
    <w:p w14:paraId="35B70B7A" w14:textId="77777777" w:rsidR="00896021" w:rsidRDefault="00896021" w:rsidP="00896021">
      <w:pPr>
        <w:jc w:val="center"/>
        <w:rPr>
          <w:rFonts w:ascii="Times" w:hAnsi="Times"/>
          <w:b/>
          <w:sz w:val="44"/>
        </w:rPr>
      </w:pPr>
    </w:p>
    <w:p w14:paraId="4A402043" w14:textId="77777777" w:rsidR="00896021" w:rsidRDefault="00896021" w:rsidP="00896021">
      <w:pPr>
        <w:jc w:val="center"/>
        <w:rPr>
          <w:rFonts w:ascii="Times" w:hAnsi="Times"/>
          <w:b/>
          <w:sz w:val="44"/>
        </w:rPr>
      </w:pPr>
    </w:p>
    <w:p w14:paraId="1922751F" w14:textId="59F3E460" w:rsidR="00896021" w:rsidRPr="00123D6A" w:rsidRDefault="00896021" w:rsidP="00896021">
      <w:pPr>
        <w:jc w:val="center"/>
        <w:rPr>
          <w:rFonts w:ascii="Times" w:hAnsi="Times"/>
          <w:bCs/>
          <w:smallCaps/>
          <w:sz w:val="44"/>
          <w:szCs w:val="44"/>
        </w:rPr>
      </w:pPr>
      <w:r w:rsidRPr="00123D6A">
        <w:rPr>
          <w:rFonts w:ascii="Times" w:hAnsi="Times"/>
          <w:bCs/>
          <w:smallCaps/>
          <w:sz w:val="44"/>
          <w:szCs w:val="44"/>
        </w:rPr>
        <w:t>Wail Gashier</w:t>
      </w:r>
    </w:p>
    <w:p w14:paraId="2488F239" w14:textId="77777777" w:rsidR="00BF48F0" w:rsidRDefault="00BF48F0">
      <w:pPr>
        <w:rPr>
          <w:rFonts w:ascii="Times" w:hAnsi="Times"/>
        </w:rPr>
      </w:pPr>
    </w:p>
    <w:p w14:paraId="34C130F3" w14:textId="77777777" w:rsidR="00BF48F0" w:rsidRDefault="00BF48F0">
      <w:pPr>
        <w:rPr>
          <w:rFonts w:ascii="Times" w:hAnsi="Times"/>
        </w:rPr>
      </w:pPr>
    </w:p>
    <w:p w14:paraId="727FB59D" w14:textId="77777777" w:rsidR="00BF48F0" w:rsidRDefault="00BF48F0">
      <w:pPr>
        <w:rPr>
          <w:rFonts w:ascii="Times" w:hAnsi="Times"/>
        </w:rPr>
      </w:pPr>
    </w:p>
    <w:p w14:paraId="286731FC" w14:textId="77777777" w:rsidR="00BF48F0" w:rsidRDefault="00BF48F0" w:rsidP="00153BBE">
      <w:pPr>
        <w:jc w:val="center"/>
        <w:rPr>
          <w:rFonts w:ascii="Times" w:hAnsi="Times"/>
        </w:rPr>
      </w:pPr>
    </w:p>
    <w:p w14:paraId="6DEEA2ED" w14:textId="77777777" w:rsidR="00153BBE" w:rsidRPr="00123D6A" w:rsidRDefault="00153BBE" w:rsidP="00153BBE">
      <w:pPr>
        <w:widowControl w:val="0"/>
        <w:autoSpaceDE w:val="0"/>
        <w:autoSpaceDN w:val="0"/>
        <w:adjustRightInd w:val="0"/>
        <w:spacing w:after="240"/>
        <w:jc w:val="center"/>
        <w:rPr>
          <w:rFonts w:ascii="Times" w:hAnsi="Times" w:cs="Times"/>
          <w:bCs/>
          <w:sz w:val="32"/>
          <w:szCs w:val="32"/>
        </w:rPr>
      </w:pPr>
    </w:p>
    <w:p w14:paraId="3A0EFB11" w14:textId="6BC283DB" w:rsidR="00153BBE" w:rsidRPr="00123D6A" w:rsidRDefault="00153BBE" w:rsidP="00153BBE">
      <w:pPr>
        <w:widowControl w:val="0"/>
        <w:autoSpaceDE w:val="0"/>
        <w:autoSpaceDN w:val="0"/>
        <w:adjustRightInd w:val="0"/>
        <w:spacing w:after="240"/>
        <w:jc w:val="center"/>
        <w:rPr>
          <w:rFonts w:ascii="Times" w:hAnsi="Times" w:cs="Times"/>
          <w:sz w:val="20"/>
        </w:rPr>
      </w:pPr>
      <w:r w:rsidRPr="00123D6A">
        <w:rPr>
          <w:rFonts w:ascii="Times" w:hAnsi="Times" w:cs="Times"/>
          <w:bCs/>
          <w:szCs w:val="32"/>
        </w:rPr>
        <w:t>Thesis presented for the degree of Doctor of Philosophy</w:t>
      </w:r>
    </w:p>
    <w:p w14:paraId="19F56465" w14:textId="77777777" w:rsidR="00BF48F0" w:rsidRDefault="00BF48F0">
      <w:pPr>
        <w:rPr>
          <w:rFonts w:ascii="Times" w:hAnsi="Times"/>
        </w:rPr>
      </w:pPr>
    </w:p>
    <w:p w14:paraId="761933FB" w14:textId="77777777" w:rsidR="00BF48F0" w:rsidRDefault="00BF48F0">
      <w:pPr>
        <w:rPr>
          <w:rFonts w:ascii="Times" w:hAnsi="Times"/>
        </w:rPr>
      </w:pPr>
    </w:p>
    <w:p w14:paraId="3FEC145A" w14:textId="77777777" w:rsidR="00BF48F0" w:rsidRDefault="00BF48F0">
      <w:pPr>
        <w:rPr>
          <w:rFonts w:ascii="Times" w:hAnsi="Times"/>
        </w:rPr>
      </w:pPr>
    </w:p>
    <w:p w14:paraId="16F8CC0D" w14:textId="77777777" w:rsidR="00153BBE" w:rsidRDefault="00153BBE">
      <w:pPr>
        <w:rPr>
          <w:rFonts w:ascii="Times" w:hAnsi="Times"/>
        </w:rPr>
      </w:pPr>
    </w:p>
    <w:p w14:paraId="0B26ABDD" w14:textId="77777777" w:rsidR="00153BBE" w:rsidRDefault="00153BBE">
      <w:pPr>
        <w:rPr>
          <w:rFonts w:ascii="Times" w:hAnsi="Times"/>
        </w:rPr>
      </w:pPr>
    </w:p>
    <w:p w14:paraId="76ED5AA0" w14:textId="77777777" w:rsidR="00153BBE" w:rsidRDefault="00153BBE">
      <w:pPr>
        <w:rPr>
          <w:rFonts w:ascii="Times" w:hAnsi="Times"/>
        </w:rPr>
      </w:pPr>
    </w:p>
    <w:p w14:paraId="604BA808" w14:textId="77777777" w:rsidR="00BF48F0" w:rsidRDefault="00BF48F0" w:rsidP="00153BBE">
      <w:pPr>
        <w:jc w:val="center"/>
        <w:rPr>
          <w:rFonts w:ascii="Times" w:hAnsi="Times"/>
        </w:rPr>
      </w:pPr>
    </w:p>
    <w:p w14:paraId="659BE931" w14:textId="77777777" w:rsidR="00153BBE" w:rsidRPr="00123D6A" w:rsidRDefault="00153BBE" w:rsidP="00153BBE">
      <w:pPr>
        <w:widowControl w:val="0"/>
        <w:autoSpaceDE w:val="0"/>
        <w:autoSpaceDN w:val="0"/>
        <w:adjustRightInd w:val="0"/>
        <w:spacing w:after="240"/>
        <w:jc w:val="center"/>
        <w:rPr>
          <w:rFonts w:ascii="Times" w:hAnsi="Times" w:cs="Times"/>
          <w:bCs/>
          <w:sz w:val="28"/>
          <w:szCs w:val="38"/>
        </w:rPr>
      </w:pPr>
      <w:r w:rsidRPr="00123D6A">
        <w:rPr>
          <w:rFonts w:ascii="Times" w:hAnsi="Times" w:cs="Times"/>
          <w:bCs/>
          <w:sz w:val="28"/>
          <w:szCs w:val="38"/>
        </w:rPr>
        <w:t xml:space="preserve">Department of </w:t>
      </w:r>
      <w:proofErr w:type="gramStart"/>
      <w:r w:rsidRPr="00123D6A">
        <w:rPr>
          <w:rFonts w:ascii="Times" w:hAnsi="Times" w:cs="Times"/>
          <w:bCs/>
          <w:sz w:val="28"/>
          <w:szCs w:val="38"/>
        </w:rPr>
        <w:t>Materials Science</w:t>
      </w:r>
      <w:proofErr w:type="gramEnd"/>
      <w:r w:rsidRPr="00123D6A">
        <w:rPr>
          <w:rFonts w:ascii="Times" w:hAnsi="Times" w:cs="Times"/>
          <w:bCs/>
          <w:sz w:val="28"/>
          <w:szCs w:val="38"/>
        </w:rPr>
        <w:t xml:space="preserve"> and Engineering </w:t>
      </w:r>
    </w:p>
    <w:p w14:paraId="38E068AB" w14:textId="294DE793" w:rsidR="00153BBE" w:rsidRPr="00123D6A" w:rsidRDefault="00153BBE" w:rsidP="00153BBE">
      <w:pPr>
        <w:widowControl w:val="0"/>
        <w:autoSpaceDE w:val="0"/>
        <w:autoSpaceDN w:val="0"/>
        <w:adjustRightInd w:val="0"/>
        <w:spacing w:after="240"/>
        <w:jc w:val="center"/>
        <w:rPr>
          <w:rFonts w:ascii="Times" w:hAnsi="Times" w:cs="Times"/>
        </w:rPr>
      </w:pPr>
      <w:r w:rsidRPr="00123D6A">
        <w:rPr>
          <w:rFonts w:ascii="Times" w:hAnsi="Times" w:cs="Times"/>
          <w:bCs/>
          <w:sz w:val="40"/>
          <w:szCs w:val="38"/>
        </w:rPr>
        <w:t>University of Sheffield </w:t>
      </w:r>
    </w:p>
    <w:p w14:paraId="5C7A84DD" w14:textId="77777777" w:rsidR="00153AC8" w:rsidRDefault="00153AC8">
      <w:pPr>
        <w:rPr>
          <w:rFonts w:ascii="Times" w:hAnsi="Times"/>
        </w:rPr>
      </w:pPr>
    </w:p>
    <w:p w14:paraId="65A9C950" w14:textId="77777777" w:rsidR="003C5C4D" w:rsidRDefault="003C5C4D" w:rsidP="00ED3833">
      <w:pPr>
        <w:pBdr>
          <w:bottom w:val="single" w:sz="4" w:space="1" w:color="auto"/>
        </w:pBdr>
        <w:jc w:val="center"/>
        <w:rPr>
          <w:rFonts w:ascii="Times" w:hAnsi="Times"/>
          <w:b/>
          <w:bCs/>
          <w:smallCaps/>
          <w:sz w:val="44"/>
          <w:szCs w:val="44"/>
        </w:rPr>
        <w:sectPr w:rsidR="003C5C4D" w:rsidSect="003C5C4D">
          <w:footerReference w:type="even" r:id="rId10"/>
          <w:footerReference w:type="default" r:id="rId11"/>
          <w:pgSz w:w="11906" w:h="16838"/>
          <w:pgMar w:top="1440" w:right="1440" w:bottom="1440" w:left="1440" w:header="720" w:footer="720" w:gutter="0"/>
          <w:pgNumType w:fmt="lowerRoman" w:start="1"/>
          <w:cols w:space="720"/>
          <w:titlePg/>
          <w:docGrid w:linePitch="360"/>
        </w:sectPr>
      </w:pPr>
    </w:p>
    <w:p w14:paraId="66FA1FBD" w14:textId="04D4756F" w:rsidR="00BF48F0" w:rsidRDefault="00153AC8" w:rsidP="00ED3833">
      <w:pPr>
        <w:pBdr>
          <w:bottom w:val="single" w:sz="4" w:space="1" w:color="auto"/>
        </w:pBdr>
        <w:jc w:val="center"/>
        <w:rPr>
          <w:rFonts w:ascii="Times" w:hAnsi="Times"/>
          <w:b/>
          <w:bCs/>
          <w:smallCaps/>
          <w:sz w:val="44"/>
          <w:szCs w:val="44"/>
        </w:rPr>
      </w:pPr>
      <w:r>
        <w:rPr>
          <w:rFonts w:ascii="Times" w:hAnsi="Times"/>
          <w:b/>
          <w:bCs/>
          <w:smallCaps/>
          <w:sz w:val="44"/>
          <w:szCs w:val="44"/>
        </w:rPr>
        <w:lastRenderedPageBreak/>
        <w:t>Dedication</w:t>
      </w:r>
    </w:p>
    <w:p w14:paraId="22A14627" w14:textId="77777777" w:rsidR="00153AC8" w:rsidRDefault="00153AC8" w:rsidP="00153AC8">
      <w:pPr>
        <w:jc w:val="center"/>
        <w:rPr>
          <w:rFonts w:ascii="Times" w:hAnsi="Times"/>
          <w:b/>
          <w:bCs/>
          <w:smallCaps/>
          <w:sz w:val="44"/>
          <w:szCs w:val="44"/>
        </w:rPr>
      </w:pPr>
    </w:p>
    <w:p w14:paraId="2800C20D" w14:textId="77777777" w:rsidR="00ED3833" w:rsidRDefault="00153AC8" w:rsidP="00153AC8">
      <w:pPr>
        <w:jc w:val="center"/>
        <w:rPr>
          <w:rFonts w:ascii="Times" w:hAnsi="Times"/>
          <w:sz w:val="28"/>
          <w:szCs w:val="28"/>
        </w:rPr>
      </w:pPr>
      <w:r w:rsidRPr="00153AC8">
        <w:rPr>
          <w:rFonts w:ascii="Times" w:hAnsi="Times"/>
          <w:sz w:val="28"/>
          <w:szCs w:val="28"/>
        </w:rPr>
        <w:t xml:space="preserve">To my </w:t>
      </w:r>
      <w:r>
        <w:rPr>
          <w:rFonts w:ascii="Times" w:hAnsi="Times"/>
          <w:sz w:val="28"/>
          <w:szCs w:val="28"/>
        </w:rPr>
        <w:t xml:space="preserve">mother and father, Najat and Dr.Fouad Gashier. </w:t>
      </w:r>
    </w:p>
    <w:p w14:paraId="200D13DF" w14:textId="0C30E43E" w:rsidR="00153AC8" w:rsidRDefault="00153AC8" w:rsidP="00153AC8">
      <w:pPr>
        <w:jc w:val="center"/>
        <w:rPr>
          <w:rFonts w:ascii="Times" w:hAnsi="Times"/>
          <w:sz w:val="28"/>
          <w:szCs w:val="28"/>
        </w:rPr>
      </w:pPr>
      <w:r>
        <w:rPr>
          <w:rFonts w:ascii="Times" w:hAnsi="Times"/>
          <w:sz w:val="28"/>
          <w:szCs w:val="28"/>
        </w:rPr>
        <w:t xml:space="preserve">Thank you for </w:t>
      </w:r>
      <w:r w:rsidR="00ED3833">
        <w:rPr>
          <w:rFonts w:ascii="Times" w:hAnsi="Times"/>
          <w:sz w:val="28"/>
          <w:szCs w:val="28"/>
        </w:rPr>
        <w:t>your</w:t>
      </w:r>
      <w:r>
        <w:rPr>
          <w:rFonts w:ascii="Times" w:hAnsi="Times"/>
          <w:sz w:val="28"/>
          <w:szCs w:val="28"/>
        </w:rPr>
        <w:t xml:space="preserve"> </w:t>
      </w:r>
      <w:r w:rsidR="00ED3833">
        <w:rPr>
          <w:rFonts w:ascii="Times" w:hAnsi="Times"/>
          <w:sz w:val="28"/>
          <w:szCs w:val="28"/>
        </w:rPr>
        <w:t xml:space="preserve">continuous </w:t>
      </w:r>
      <w:r>
        <w:rPr>
          <w:rFonts w:ascii="Times" w:hAnsi="Times"/>
          <w:sz w:val="28"/>
          <w:szCs w:val="28"/>
        </w:rPr>
        <w:t xml:space="preserve">support and encouragement. </w:t>
      </w:r>
    </w:p>
    <w:p w14:paraId="7340FDAF" w14:textId="342BA1C5" w:rsidR="00ED3833" w:rsidRDefault="00ED3833" w:rsidP="00ED3833">
      <w:pPr>
        <w:rPr>
          <w:rFonts w:ascii="Times" w:hAnsi="Times"/>
          <w:sz w:val="28"/>
          <w:szCs w:val="28"/>
        </w:rPr>
      </w:pPr>
      <w:r>
        <w:rPr>
          <w:rFonts w:ascii="Times" w:hAnsi="Times"/>
          <w:sz w:val="28"/>
          <w:szCs w:val="28"/>
        </w:rPr>
        <w:t xml:space="preserve"> </w:t>
      </w:r>
    </w:p>
    <w:p w14:paraId="253B693D" w14:textId="77777777" w:rsidR="00ED3833" w:rsidRDefault="00ED3833" w:rsidP="00153AC8">
      <w:pPr>
        <w:jc w:val="center"/>
        <w:rPr>
          <w:rFonts w:ascii="Times" w:hAnsi="Times"/>
          <w:sz w:val="28"/>
          <w:szCs w:val="28"/>
        </w:rPr>
      </w:pPr>
    </w:p>
    <w:p w14:paraId="3C3DF804" w14:textId="77777777" w:rsidR="00BF48F0" w:rsidRDefault="00BF48F0">
      <w:pPr>
        <w:rPr>
          <w:rFonts w:ascii="Times" w:hAnsi="Times"/>
        </w:rPr>
      </w:pPr>
    </w:p>
    <w:p w14:paraId="3060756A" w14:textId="77777777" w:rsidR="00BF48F0" w:rsidRDefault="00BF48F0">
      <w:pPr>
        <w:rPr>
          <w:rFonts w:ascii="Times" w:hAnsi="Times"/>
        </w:rPr>
      </w:pPr>
    </w:p>
    <w:p w14:paraId="7F8533AD" w14:textId="77777777" w:rsidR="00BF48F0" w:rsidRDefault="00BF48F0">
      <w:pPr>
        <w:rPr>
          <w:rFonts w:ascii="Times" w:hAnsi="Times"/>
        </w:rPr>
      </w:pPr>
    </w:p>
    <w:p w14:paraId="341C81B0" w14:textId="77777777" w:rsidR="00BF48F0" w:rsidRDefault="00BF48F0">
      <w:pPr>
        <w:rPr>
          <w:rFonts w:ascii="Times" w:hAnsi="Times"/>
        </w:rPr>
      </w:pPr>
    </w:p>
    <w:p w14:paraId="44A810EF" w14:textId="77777777" w:rsidR="00BF48F0" w:rsidRDefault="00BF48F0">
      <w:pPr>
        <w:rPr>
          <w:rFonts w:ascii="Times" w:hAnsi="Times"/>
        </w:rPr>
      </w:pPr>
    </w:p>
    <w:p w14:paraId="7E9E6C0C" w14:textId="77777777" w:rsidR="00BF48F0" w:rsidRDefault="00BF48F0">
      <w:pPr>
        <w:rPr>
          <w:rFonts w:ascii="Times" w:hAnsi="Times"/>
        </w:rPr>
      </w:pPr>
    </w:p>
    <w:p w14:paraId="1EA416A7" w14:textId="77777777" w:rsidR="00BF48F0" w:rsidRDefault="00BF48F0">
      <w:pPr>
        <w:rPr>
          <w:rFonts w:ascii="Times" w:hAnsi="Times"/>
        </w:rPr>
      </w:pPr>
    </w:p>
    <w:p w14:paraId="1805B5C0" w14:textId="77777777" w:rsidR="00BF48F0" w:rsidRDefault="00BF48F0">
      <w:pPr>
        <w:rPr>
          <w:rFonts w:ascii="Times" w:hAnsi="Times"/>
        </w:rPr>
      </w:pPr>
    </w:p>
    <w:p w14:paraId="2E1A3941" w14:textId="77777777" w:rsidR="00BF48F0" w:rsidRDefault="00BF48F0">
      <w:pPr>
        <w:rPr>
          <w:rFonts w:ascii="Times" w:hAnsi="Times"/>
        </w:rPr>
      </w:pPr>
    </w:p>
    <w:p w14:paraId="3F13366C" w14:textId="77777777" w:rsidR="00BF48F0" w:rsidRDefault="00BF48F0">
      <w:pPr>
        <w:rPr>
          <w:rFonts w:ascii="Times" w:hAnsi="Times"/>
        </w:rPr>
      </w:pPr>
    </w:p>
    <w:p w14:paraId="5F1BB5D5" w14:textId="77777777" w:rsidR="00BF48F0" w:rsidRDefault="00BF48F0">
      <w:pPr>
        <w:rPr>
          <w:rFonts w:ascii="Times" w:hAnsi="Times"/>
        </w:rPr>
      </w:pPr>
    </w:p>
    <w:p w14:paraId="451B9C19" w14:textId="77777777" w:rsidR="00BF48F0" w:rsidRDefault="00BF48F0">
      <w:pPr>
        <w:rPr>
          <w:rFonts w:ascii="Times" w:hAnsi="Times"/>
        </w:rPr>
      </w:pPr>
    </w:p>
    <w:p w14:paraId="4F403E40" w14:textId="77777777" w:rsidR="00BF48F0" w:rsidRDefault="00BF48F0">
      <w:pPr>
        <w:rPr>
          <w:rFonts w:ascii="Times" w:hAnsi="Times"/>
        </w:rPr>
      </w:pPr>
    </w:p>
    <w:p w14:paraId="6EA10EEA" w14:textId="77777777" w:rsidR="00BF48F0" w:rsidRDefault="00BF48F0">
      <w:pPr>
        <w:rPr>
          <w:rFonts w:ascii="Times" w:hAnsi="Times"/>
        </w:rPr>
      </w:pPr>
    </w:p>
    <w:p w14:paraId="33C615E7" w14:textId="77777777" w:rsidR="00BF48F0" w:rsidRDefault="00BF48F0">
      <w:pPr>
        <w:rPr>
          <w:rFonts w:ascii="Times" w:hAnsi="Times"/>
        </w:rPr>
      </w:pPr>
    </w:p>
    <w:p w14:paraId="5143122A" w14:textId="77777777" w:rsidR="00BF48F0" w:rsidRDefault="00BF48F0">
      <w:pPr>
        <w:rPr>
          <w:rFonts w:ascii="Times" w:hAnsi="Times"/>
        </w:rPr>
      </w:pPr>
    </w:p>
    <w:p w14:paraId="151CA788" w14:textId="77777777" w:rsidR="00BF48F0" w:rsidRDefault="00BF48F0">
      <w:pPr>
        <w:rPr>
          <w:rFonts w:ascii="Times" w:hAnsi="Times"/>
        </w:rPr>
      </w:pPr>
    </w:p>
    <w:p w14:paraId="0753D0D2" w14:textId="77777777" w:rsidR="00BF48F0" w:rsidRDefault="00BF48F0">
      <w:pPr>
        <w:rPr>
          <w:rFonts w:ascii="Times" w:hAnsi="Times"/>
        </w:rPr>
      </w:pPr>
    </w:p>
    <w:p w14:paraId="357EB58C" w14:textId="77777777" w:rsidR="00BF48F0" w:rsidRDefault="00BF48F0">
      <w:pPr>
        <w:rPr>
          <w:rFonts w:ascii="Times" w:hAnsi="Times"/>
        </w:rPr>
      </w:pPr>
    </w:p>
    <w:p w14:paraId="59078A9C" w14:textId="77777777" w:rsidR="00BF48F0" w:rsidRDefault="00BF48F0">
      <w:pPr>
        <w:rPr>
          <w:rFonts w:ascii="Times" w:hAnsi="Times"/>
        </w:rPr>
      </w:pPr>
    </w:p>
    <w:p w14:paraId="115D58D8" w14:textId="77777777" w:rsidR="00BF48F0" w:rsidRDefault="00BF48F0">
      <w:pPr>
        <w:rPr>
          <w:rFonts w:ascii="Times" w:hAnsi="Times"/>
        </w:rPr>
      </w:pPr>
    </w:p>
    <w:p w14:paraId="45260599" w14:textId="77777777" w:rsidR="00BF48F0" w:rsidRDefault="00BF48F0">
      <w:pPr>
        <w:rPr>
          <w:rFonts w:ascii="Times" w:hAnsi="Times"/>
        </w:rPr>
      </w:pPr>
    </w:p>
    <w:p w14:paraId="5EB1A216" w14:textId="77777777" w:rsidR="00BF48F0" w:rsidRDefault="00BF48F0">
      <w:pPr>
        <w:rPr>
          <w:rFonts w:ascii="Times" w:hAnsi="Times"/>
        </w:rPr>
      </w:pPr>
    </w:p>
    <w:p w14:paraId="5FA40839" w14:textId="77777777" w:rsidR="00BF48F0" w:rsidRDefault="00BF48F0">
      <w:pPr>
        <w:rPr>
          <w:rFonts w:ascii="Times" w:hAnsi="Times"/>
        </w:rPr>
      </w:pPr>
    </w:p>
    <w:p w14:paraId="32DC5191" w14:textId="77777777" w:rsidR="00BF48F0" w:rsidRDefault="00BF48F0">
      <w:pPr>
        <w:rPr>
          <w:rFonts w:ascii="Times" w:hAnsi="Times"/>
        </w:rPr>
      </w:pPr>
    </w:p>
    <w:p w14:paraId="4931FFDE" w14:textId="77777777" w:rsidR="00BF48F0" w:rsidRDefault="00BF48F0">
      <w:pPr>
        <w:rPr>
          <w:rFonts w:ascii="Times" w:hAnsi="Times"/>
        </w:rPr>
      </w:pPr>
    </w:p>
    <w:p w14:paraId="1E31B979" w14:textId="77777777" w:rsidR="00BF48F0" w:rsidRDefault="00BF48F0">
      <w:pPr>
        <w:rPr>
          <w:rFonts w:ascii="Times" w:hAnsi="Times"/>
        </w:rPr>
      </w:pPr>
    </w:p>
    <w:p w14:paraId="74A517EB" w14:textId="77777777" w:rsidR="00BF48F0" w:rsidRDefault="00BF48F0">
      <w:pPr>
        <w:rPr>
          <w:rFonts w:ascii="Times" w:hAnsi="Times"/>
        </w:rPr>
      </w:pPr>
    </w:p>
    <w:p w14:paraId="7C937EB7" w14:textId="77777777" w:rsidR="00BF48F0" w:rsidRDefault="00BF48F0">
      <w:pPr>
        <w:rPr>
          <w:rFonts w:ascii="Times" w:hAnsi="Times"/>
        </w:rPr>
      </w:pPr>
    </w:p>
    <w:p w14:paraId="4171257F" w14:textId="77777777" w:rsidR="00BF48F0" w:rsidRDefault="00BF48F0">
      <w:pPr>
        <w:rPr>
          <w:rFonts w:ascii="Times" w:hAnsi="Times"/>
        </w:rPr>
      </w:pPr>
    </w:p>
    <w:p w14:paraId="2CB84C15" w14:textId="77777777" w:rsidR="00BF48F0" w:rsidRDefault="00BF48F0">
      <w:pPr>
        <w:rPr>
          <w:rFonts w:ascii="Times" w:hAnsi="Times"/>
        </w:rPr>
      </w:pPr>
    </w:p>
    <w:p w14:paraId="354B9E64" w14:textId="77777777" w:rsidR="00BF48F0" w:rsidRDefault="00BF48F0">
      <w:pPr>
        <w:rPr>
          <w:rFonts w:ascii="Times" w:hAnsi="Times"/>
        </w:rPr>
      </w:pPr>
    </w:p>
    <w:p w14:paraId="31083739" w14:textId="77777777" w:rsidR="00BF48F0" w:rsidRDefault="00BF48F0">
      <w:pPr>
        <w:rPr>
          <w:rFonts w:ascii="Times" w:hAnsi="Times"/>
        </w:rPr>
      </w:pPr>
    </w:p>
    <w:p w14:paraId="233B57D5" w14:textId="77777777" w:rsidR="00BF48F0" w:rsidRDefault="00BF48F0">
      <w:pPr>
        <w:rPr>
          <w:rFonts w:ascii="Times" w:hAnsi="Times"/>
        </w:rPr>
      </w:pPr>
    </w:p>
    <w:p w14:paraId="36A53CDA" w14:textId="77777777" w:rsidR="00BF48F0" w:rsidRDefault="00BF48F0">
      <w:pPr>
        <w:rPr>
          <w:rFonts w:ascii="Times" w:hAnsi="Times"/>
        </w:rPr>
      </w:pPr>
    </w:p>
    <w:p w14:paraId="7C1C530E" w14:textId="77777777" w:rsidR="00BF48F0" w:rsidRDefault="00BF48F0">
      <w:pPr>
        <w:rPr>
          <w:rFonts w:ascii="Times" w:hAnsi="Times"/>
        </w:rPr>
      </w:pPr>
    </w:p>
    <w:p w14:paraId="65AB3473" w14:textId="77777777" w:rsidR="00BF48F0" w:rsidRDefault="00BF48F0">
      <w:pPr>
        <w:rPr>
          <w:rFonts w:ascii="Times" w:hAnsi="Times"/>
        </w:rPr>
      </w:pPr>
    </w:p>
    <w:p w14:paraId="7407FD0F" w14:textId="77777777" w:rsidR="00BF48F0" w:rsidRDefault="00BF48F0">
      <w:pPr>
        <w:rPr>
          <w:rFonts w:ascii="Times" w:hAnsi="Times"/>
        </w:rPr>
      </w:pPr>
    </w:p>
    <w:p w14:paraId="71842E1E" w14:textId="77777777" w:rsidR="00BF48F0" w:rsidRDefault="00BF48F0">
      <w:pPr>
        <w:rPr>
          <w:rFonts w:ascii="Times" w:hAnsi="Times"/>
        </w:rPr>
      </w:pPr>
    </w:p>
    <w:p w14:paraId="76EA36E5" w14:textId="77777777" w:rsidR="00BF48F0" w:rsidRDefault="00BF48F0">
      <w:pPr>
        <w:rPr>
          <w:rFonts w:ascii="Times" w:hAnsi="Times"/>
        </w:rPr>
      </w:pPr>
    </w:p>
    <w:p w14:paraId="6F229237" w14:textId="77777777" w:rsidR="00ED3833" w:rsidRDefault="00ED3833" w:rsidP="00ED3833">
      <w:pPr>
        <w:rPr>
          <w:rFonts w:ascii="Times" w:hAnsi="Times"/>
        </w:rPr>
      </w:pPr>
    </w:p>
    <w:p w14:paraId="337B815F" w14:textId="74CC94F7" w:rsidR="00ED3833" w:rsidRPr="00ED3833" w:rsidRDefault="00ED3833" w:rsidP="00ED3833">
      <w:pPr>
        <w:pBdr>
          <w:bottom w:val="single" w:sz="4" w:space="1" w:color="auto"/>
        </w:pBdr>
        <w:jc w:val="center"/>
        <w:rPr>
          <w:rFonts w:ascii="Times" w:hAnsi="Times" w:cs="Times New Roman"/>
          <w:b/>
          <w:bCs/>
          <w:smallCaps/>
          <w:sz w:val="44"/>
          <w:szCs w:val="44"/>
        </w:rPr>
      </w:pPr>
      <w:r>
        <w:rPr>
          <w:rFonts w:ascii="Times" w:hAnsi="Times" w:cs="Times New Roman"/>
          <w:b/>
          <w:bCs/>
          <w:smallCaps/>
          <w:sz w:val="44"/>
          <w:szCs w:val="44"/>
        </w:rPr>
        <w:lastRenderedPageBreak/>
        <w:t>Acknowledgements</w:t>
      </w:r>
    </w:p>
    <w:p w14:paraId="7CE01B32" w14:textId="77777777" w:rsidR="00BF48F0" w:rsidRDefault="00BF48F0">
      <w:pPr>
        <w:rPr>
          <w:rFonts w:ascii="Times" w:hAnsi="Times"/>
        </w:rPr>
      </w:pPr>
    </w:p>
    <w:p w14:paraId="2365380C" w14:textId="77777777" w:rsidR="00ED3833" w:rsidRDefault="00ED3833" w:rsidP="00ED3833">
      <w:pPr>
        <w:jc w:val="both"/>
        <w:rPr>
          <w:rFonts w:ascii="Times" w:hAnsi="Times" w:cs="Times New Roman"/>
          <w:sz w:val="28"/>
          <w:szCs w:val="28"/>
        </w:rPr>
      </w:pPr>
    </w:p>
    <w:p w14:paraId="6CDE5CDF" w14:textId="3076A504" w:rsidR="00ED3833" w:rsidRPr="0082323B" w:rsidRDefault="00ED3833" w:rsidP="00ED3833">
      <w:pPr>
        <w:jc w:val="both"/>
        <w:rPr>
          <w:rFonts w:ascii="Times" w:hAnsi="Times" w:cs="Times New Roman"/>
          <w:szCs w:val="28"/>
        </w:rPr>
      </w:pPr>
      <w:r w:rsidRPr="0082323B">
        <w:rPr>
          <w:rFonts w:ascii="Times" w:hAnsi="Times" w:cs="Times New Roman"/>
          <w:szCs w:val="28"/>
        </w:rPr>
        <w:t xml:space="preserve">The completion of this research project is credited to the support of several people. First and foremost my gratitude to my supervisors Dr.Hajime Kinoshita and Professor Russell J Hand, for their support throughout the project, their expertise, their insight and the time they dedicated to helping me. </w:t>
      </w:r>
    </w:p>
    <w:p w14:paraId="752AFDFE" w14:textId="77777777" w:rsidR="003925CA" w:rsidRPr="0082323B" w:rsidRDefault="003925CA" w:rsidP="00ED3833">
      <w:pPr>
        <w:jc w:val="both"/>
        <w:rPr>
          <w:rFonts w:ascii="Times" w:hAnsi="Times" w:cs="Times New Roman"/>
          <w:szCs w:val="28"/>
        </w:rPr>
      </w:pPr>
    </w:p>
    <w:p w14:paraId="0D5EDE48" w14:textId="5F69A3E9" w:rsidR="003925CA" w:rsidRPr="0082323B" w:rsidRDefault="003925CA" w:rsidP="00ED3833">
      <w:pPr>
        <w:jc w:val="both"/>
        <w:rPr>
          <w:rFonts w:ascii="Times" w:hAnsi="Times" w:cs="Times New Roman"/>
          <w:szCs w:val="28"/>
        </w:rPr>
      </w:pPr>
      <w:r w:rsidRPr="0082323B">
        <w:rPr>
          <w:rFonts w:ascii="Times" w:hAnsi="Times" w:cs="Times New Roman"/>
          <w:szCs w:val="28"/>
        </w:rPr>
        <w:t>My thanks go to Dr. Katsufumi Hashimoto and his research team at the University of Hokkaido. It was a pleasure working with you, and I am grateful that our work together lead to a publication.</w:t>
      </w:r>
    </w:p>
    <w:p w14:paraId="2BE6841D" w14:textId="77777777" w:rsidR="003925CA" w:rsidRPr="0082323B" w:rsidRDefault="003925CA" w:rsidP="00ED3833">
      <w:pPr>
        <w:jc w:val="both"/>
        <w:rPr>
          <w:rFonts w:ascii="Times" w:hAnsi="Times" w:cs="Times New Roman"/>
          <w:szCs w:val="28"/>
        </w:rPr>
      </w:pPr>
    </w:p>
    <w:p w14:paraId="45671B96" w14:textId="21D6676D" w:rsidR="003925CA" w:rsidRPr="0082323B" w:rsidRDefault="003925CA" w:rsidP="00ED3833">
      <w:pPr>
        <w:jc w:val="both"/>
        <w:rPr>
          <w:rFonts w:ascii="Times" w:hAnsi="Times" w:cs="Times New Roman"/>
          <w:szCs w:val="28"/>
        </w:rPr>
      </w:pPr>
      <w:r w:rsidRPr="0082323B">
        <w:rPr>
          <w:rFonts w:ascii="Times" w:hAnsi="Times" w:cs="Times New Roman"/>
          <w:szCs w:val="28"/>
        </w:rPr>
        <w:t>I would like to thank Dr.Susan Bernal Lopez for her support with EPSRC National Solid-state NMR Service at Durham</w:t>
      </w:r>
      <w:r w:rsidR="000938A7">
        <w:rPr>
          <w:rFonts w:ascii="Times" w:hAnsi="Times" w:cs="Times New Roman"/>
          <w:szCs w:val="28"/>
        </w:rPr>
        <w:t xml:space="preserve"> University</w:t>
      </w:r>
      <w:r w:rsidRPr="0082323B">
        <w:rPr>
          <w:rFonts w:ascii="Times" w:hAnsi="Times" w:cs="Times New Roman"/>
          <w:szCs w:val="28"/>
        </w:rPr>
        <w:t xml:space="preserve">. </w:t>
      </w:r>
    </w:p>
    <w:p w14:paraId="5A456A14" w14:textId="77777777" w:rsidR="003925CA" w:rsidRPr="0082323B" w:rsidRDefault="003925CA" w:rsidP="00ED3833">
      <w:pPr>
        <w:jc w:val="both"/>
        <w:rPr>
          <w:rFonts w:ascii="Times" w:hAnsi="Times" w:cs="Times New Roman"/>
          <w:szCs w:val="28"/>
        </w:rPr>
      </w:pPr>
    </w:p>
    <w:p w14:paraId="7F85EF95" w14:textId="504516B2" w:rsidR="003925CA" w:rsidRPr="0082323B" w:rsidRDefault="003925CA" w:rsidP="00ED3833">
      <w:pPr>
        <w:jc w:val="both"/>
        <w:rPr>
          <w:rFonts w:ascii="Times" w:hAnsi="Times" w:cs="Times New Roman"/>
          <w:szCs w:val="28"/>
        </w:rPr>
      </w:pPr>
      <w:r w:rsidRPr="0082323B">
        <w:rPr>
          <w:rFonts w:ascii="Times" w:hAnsi="Times" w:cs="Times New Roman"/>
          <w:szCs w:val="28"/>
        </w:rPr>
        <w:t xml:space="preserve">Many thanks to the National Nuclear Laboratory and Mike Angus for allowing me to partake in a </w:t>
      </w:r>
      <w:proofErr w:type="gramStart"/>
      <w:r w:rsidRPr="0082323B">
        <w:rPr>
          <w:rFonts w:ascii="Times" w:hAnsi="Times" w:cs="Times New Roman"/>
          <w:szCs w:val="28"/>
        </w:rPr>
        <w:t>short term</w:t>
      </w:r>
      <w:proofErr w:type="gramEnd"/>
      <w:r w:rsidRPr="0082323B">
        <w:rPr>
          <w:rFonts w:ascii="Times" w:hAnsi="Times" w:cs="Times New Roman"/>
          <w:szCs w:val="28"/>
        </w:rPr>
        <w:t xml:space="preserve"> project within their Working facility. </w:t>
      </w:r>
    </w:p>
    <w:p w14:paraId="52A558E7" w14:textId="77777777" w:rsidR="00ED3833" w:rsidRPr="0082323B" w:rsidRDefault="00ED3833" w:rsidP="00ED3833">
      <w:pPr>
        <w:jc w:val="both"/>
        <w:rPr>
          <w:rFonts w:ascii="Times" w:hAnsi="Times" w:cs="Times New Roman"/>
          <w:szCs w:val="28"/>
        </w:rPr>
      </w:pPr>
    </w:p>
    <w:p w14:paraId="05849657" w14:textId="1C41C2AF" w:rsidR="003925CA" w:rsidRPr="0082323B" w:rsidRDefault="00ED3833" w:rsidP="00ED3833">
      <w:pPr>
        <w:widowControl w:val="0"/>
        <w:autoSpaceDE w:val="0"/>
        <w:autoSpaceDN w:val="0"/>
        <w:adjustRightInd w:val="0"/>
        <w:spacing w:after="240"/>
        <w:rPr>
          <w:rFonts w:ascii="Times New Roman" w:hAnsi="Times New Roman" w:cs="Times New Roman"/>
          <w:szCs w:val="32"/>
        </w:rPr>
      </w:pPr>
      <w:r w:rsidRPr="0082323B">
        <w:rPr>
          <w:rFonts w:ascii="Times New Roman" w:hAnsi="Times New Roman" w:cs="Times New Roman"/>
          <w:szCs w:val="32"/>
        </w:rPr>
        <w:t>I would like to extend my thanks to the</w:t>
      </w:r>
      <w:r w:rsidR="000938A7">
        <w:rPr>
          <w:rFonts w:ascii="Times New Roman" w:hAnsi="Times New Roman" w:cs="Times New Roman"/>
          <w:szCs w:val="32"/>
        </w:rPr>
        <w:t xml:space="preserve"> post doc,</w:t>
      </w:r>
      <w:r w:rsidRPr="0082323B">
        <w:rPr>
          <w:rFonts w:ascii="Times New Roman" w:hAnsi="Times New Roman" w:cs="Times New Roman"/>
          <w:szCs w:val="32"/>
        </w:rPr>
        <w:t xml:space="preserve"> technical and administrative staff in the Department of Engineering Materials, most importantly</w:t>
      </w:r>
      <w:r w:rsidR="000938A7">
        <w:rPr>
          <w:rFonts w:ascii="Times New Roman" w:hAnsi="Times New Roman" w:cs="Times New Roman"/>
          <w:szCs w:val="32"/>
        </w:rPr>
        <w:t xml:space="preserve"> Claire Utton,</w:t>
      </w:r>
      <w:r w:rsidRPr="0082323B">
        <w:rPr>
          <w:rFonts w:ascii="Times New Roman" w:hAnsi="Times New Roman" w:cs="Times New Roman"/>
          <w:szCs w:val="32"/>
        </w:rPr>
        <w:t xml:space="preserve"> </w:t>
      </w:r>
      <w:r w:rsidR="000938A7">
        <w:rPr>
          <w:rFonts w:ascii="Times New Roman" w:hAnsi="Times New Roman" w:cs="Times New Roman"/>
          <w:szCs w:val="32"/>
        </w:rPr>
        <w:t xml:space="preserve">Oday Hussain, </w:t>
      </w:r>
      <w:r w:rsidRPr="0082323B">
        <w:rPr>
          <w:rFonts w:ascii="Times New Roman" w:hAnsi="Times New Roman" w:cs="Times New Roman"/>
          <w:szCs w:val="32"/>
        </w:rPr>
        <w:t>Ian Watts, Andrew Mould, Bev Lane</w:t>
      </w:r>
      <w:r w:rsidR="000938A7">
        <w:rPr>
          <w:rFonts w:ascii="Times New Roman" w:hAnsi="Times New Roman" w:cs="Times New Roman"/>
          <w:szCs w:val="32"/>
        </w:rPr>
        <w:t>, Karen Burton</w:t>
      </w:r>
      <w:r w:rsidRPr="0082323B">
        <w:rPr>
          <w:rFonts w:ascii="Times New Roman" w:hAnsi="Times New Roman" w:cs="Times New Roman"/>
          <w:szCs w:val="32"/>
        </w:rPr>
        <w:t xml:space="preserve"> and </w:t>
      </w:r>
      <w:r w:rsidR="003925CA" w:rsidRPr="0082323B">
        <w:rPr>
          <w:rFonts w:ascii="Times New Roman" w:hAnsi="Times New Roman" w:cs="Times New Roman"/>
          <w:szCs w:val="32"/>
        </w:rPr>
        <w:t xml:space="preserve">Anne Newbould. </w:t>
      </w:r>
      <w:r w:rsidRPr="0082323B">
        <w:rPr>
          <w:rFonts w:ascii="Times New Roman" w:hAnsi="Times New Roman" w:cs="Times New Roman"/>
          <w:szCs w:val="32"/>
        </w:rPr>
        <w:t xml:space="preserve"> </w:t>
      </w:r>
    </w:p>
    <w:p w14:paraId="4A883BC1" w14:textId="3876D92C" w:rsidR="003925CA" w:rsidRPr="0082323B" w:rsidRDefault="003925CA" w:rsidP="00ED3833">
      <w:pPr>
        <w:widowControl w:val="0"/>
        <w:autoSpaceDE w:val="0"/>
        <w:autoSpaceDN w:val="0"/>
        <w:adjustRightInd w:val="0"/>
        <w:spacing w:after="240"/>
        <w:rPr>
          <w:rFonts w:ascii="Times" w:hAnsi="Times" w:cs="Times"/>
          <w:sz w:val="20"/>
        </w:rPr>
      </w:pPr>
      <w:r w:rsidRPr="0082323B">
        <w:rPr>
          <w:rFonts w:ascii="Times New Roman" w:hAnsi="Times New Roman" w:cs="Times New Roman"/>
          <w:szCs w:val="32"/>
        </w:rPr>
        <w:t>Thank you to my ISL colleagues for their advice, support and discussions</w:t>
      </w:r>
      <w:r w:rsidR="000938A7">
        <w:rPr>
          <w:rFonts w:ascii="Times New Roman" w:hAnsi="Times New Roman" w:cs="Times New Roman"/>
          <w:szCs w:val="32"/>
        </w:rPr>
        <w:t xml:space="preserve">. </w:t>
      </w:r>
      <w:proofErr w:type="gramStart"/>
      <w:r w:rsidR="000938A7">
        <w:rPr>
          <w:rFonts w:ascii="Times New Roman" w:hAnsi="Times New Roman" w:cs="Times New Roman"/>
          <w:szCs w:val="32"/>
        </w:rPr>
        <w:t>A great office and fantastic support network, a credit to Prof. John Provis and Prof. Neil Hyatt</w:t>
      </w:r>
      <w:r w:rsidRPr="0082323B">
        <w:rPr>
          <w:rFonts w:ascii="Times New Roman" w:hAnsi="Times New Roman" w:cs="Times New Roman"/>
          <w:szCs w:val="32"/>
        </w:rPr>
        <w:t>.</w:t>
      </w:r>
      <w:proofErr w:type="gramEnd"/>
      <w:r w:rsidRPr="0082323B">
        <w:rPr>
          <w:rFonts w:ascii="Times New Roman" w:hAnsi="Times New Roman" w:cs="Times New Roman"/>
          <w:szCs w:val="32"/>
        </w:rPr>
        <w:t xml:space="preserve">  </w:t>
      </w:r>
    </w:p>
    <w:p w14:paraId="4CD19D22" w14:textId="77777777" w:rsidR="00ED3833" w:rsidRDefault="00ED3833" w:rsidP="00ED3833">
      <w:pPr>
        <w:jc w:val="both"/>
        <w:rPr>
          <w:rFonts w:ascii="Times" w:hAnsi="Times"/>
        </w:rPr>
      </w:pPr>
    </w:p>
    <w:p w14:paraId="394A8EC0" w14:textId="77777777" w:rsidR="000938A7" w:rsidRDefault="000938A7" w:rsidP="000938A7">
      <w:pPr>
        <w:rPr>
          <w:rFonts w:ascii="Times" w:hAnsi="Times" w:cs="Times New Roman"/>
          <w:b/>
          <w:bCs/>
          <w:smallCaps/>
          <w:sz w:val="44"/>
          <w:szCs w:val="44"/>
          <w:u w:val="single"/>
        </w:rPr>
      </w:pPr>
    </w:p>
    <w:p w14:paraId="7564568B" w14:textId="29567672" w:rsidR="00F94CFD" w:rsidRPr="000938A7" w:rsidRDefault="00F94CFD" w:rsidP="000938A7">
      <w:pPr>
        <w:rPr>
          <w:rFonts w:ascii="Times" w:hAnsi="Times" w:cs="Times New Roman"/>
          <w:b/>
          <w:bCs/>
          <w:smallCaps/>
          <w:sz w:val="44"/>
          <w:szCs w:val="44"/>
          <w:u w:val="single"/>
        </w:rPr>
      </w:pPr>
      <w:r w:rsidRPr="000938A7">
        <w:rPr>
          <w:rFonts w:ascii="Times" w:hAnsi="Times" w:cs="Times New Roman"/>
          <w:b/>
          <w:bCs/>
          <w:smallCaps/>
          <w:sz w:val="44"/>
          <w:szCs w:val="44"/>
          <w:u w:val="single"/>
        </w:rPr>
        <w:t>Publication</w:t>
      </w:r>
    </w:p>
    <w:p w14:paraId="7C53EEDE" w14:textId="77777777" w:rsidR="000938A7" w:rsidRPr="000938A7" w:rsidRDefault="000938A7" w:rsidP="000938A7">
      <w:pPr>
        <w:jc w:val="both"/>
        <w:rPr>
          <w:rFonts w:ascii="Times" w:eastAsia="Times New Roman" w:hAnsi="Times" w:cs="Times New Roman"/>
          <w:szCs w:val="20"/>
          <w:lang w:val="en-GB"/>
        </w:rPr>
      </w:pPr>
      <w:r w:rsidRPr="000938A7">
        <w:rPr>
          <w:rFonts w:ascii="Times" w:eastAsia="Times New Roman" w:hAnsi="Times" w:cs="Arial"/>
          <w:color w:val="222222"/>
          <w:szCs w:val="20"/>
          <w:shd w:val="clear" w:color="auto" w:fill="FFFFFF"/>
          <w:lang w:val="en-GB"/>
        </w:rPr>
        <w:t>Gashier, W., et al. "Leaching behaviour of cementitious nuclear wasteforms containing caesium and strontium." </w:t>
      </w:r>
      <w:r w:rsidRPr="000938A7">
        <w:rPr>
          <w:rFonts w:ascii="Times" w:eastAsia="Times New Roman" w:hAnsi="Times" w:cs="Arial"/>
          <w:iCs/>
          <w:color w:val="222222"/>
          <w:szCs w:val="20"/>
          <w:shd w:val="clear" w:color="auto" w:fill="FFFFFF"/>
          <w:lang w:val="en-GB"/>
        </w:rPr>
        <w:t>Advances in Applied Ceramics</w:t>
      </w:r>
      <w:r w:rsidRPr="000938A7">
        <w:rPr>
          <w:rFonts w:ascii="Times" w:eastAsia="Times New Roman" w:hAnsi="Times" w:cs="Arial"/>
          <w:color w:val="222222"/>
          <w:szCs w:val="20"/>
          <w:shd w:val="clear" w:color="auto" w:fill="FFFFFF"/>
          <w:lang w:val="en-GB"/>
        </w:rPr>
        <w:t> 113.8 (2014): 447-452.</w:t>
      </w:r>
    </w:p>
    <w:p w14:paraId="1271B45A" w14:textId="77777777" w:rsidR="000938A7" w:rsidRPr="000938A7" w:rsidRDefault="000938A7" w:rsidP="000938A7">
      <w:pPr>
        <w:jc w:val="both"/>
        <w:rPr>
          <w:rFonts w:ascii="Times" w:hAnsi="Times"/>
          <w:sz w:val="32"/>
        </w:rPr>
      </w:pPr>
    </w:p>
    <w:p w14:paraId="35F3301E" w14:textId="77777777" w:rsidR="00BF48F0" w:rsidRDefault="00BF48F0" w:rsidP="000938A7">
      <w:pPr>
        <w:jc w:val="both"/>
        <w:rPr>
          <w:rFonts w:ascii="Times" w:hAnsi="Times"/>
        </w:rPr>
      </w:pPr>
    </w:p>
    <w:p w14:paraId="4D89BA6D" w14:textId="77777777" w:rsidR="00BF48F0" w:rsidRDefault="00BF48F0" w:rsidP="000938A7">
      <w:pPr>
        <w:jc w:val="both"/>
        <w:rPr>
          <w:rFonts w:ascii="Times" w:hAnsi="Times"/>
        </w:rPr>
      </w:pPr>
    </w:p>
    <w:p w14:paraId="6D66F0A7" w14:textId="0FD90CD7" w:rsidR="000938A7" w:rsidRPr="000938A7" w:rsidRDefault="000938A7" w:rsidP="000938A7">
      <w:pPr>
        <w:jc w:val="both"/>
        <w:rPr>
          <w:rFonts w:ascii="Times" w:hAnsi="Times" w:cs="Times New Roman"/>
          <w:b/>
          <w:bCs/>
          <w:smallCaps/>
          <w:sz w:val="44"/>
          <w:szCs w:val="44"/>
          <w:u w:val="single"/>
        </w:rPr>
      </w:pPr>
      <w:r w:rsidRPr="000938A7">
        <w:rPr>
          <w:rFonts w:ascii="Times" w:hAnsi="Times" w:cs="Times New Roman"/>
          <w:b/>
          <w:bCs/>
          <w:smallCaps/>
          <w:sz w:val="44"/>
          <w:szCs w:val="44"/>
          <w:u w:val="single"/>
        </w:rPr>
        <w:t>Award</w:t>
      </w:r>
    </w:p>
    <w:p w14:paraId="37C1C509" w14:textId="1D7B698D" w:rsidR="00BF48F0" w:rsidRPr="000938A7" w:rsidRDefault="000938A7" w:rsidP="000938A7">
      <w:pPr>
        <w:jc w:val="both"/>
        <w:rPr>
          <w:rFonts w:ascii="Times" w:hAnsi="Times"/>
        </w:rPr>
      </w:pPr>
      <w:r>
        <w:rPr>
          <w:rFonts w:ascii="Times" w:hAnsi="Times"/>
        </w:rPr>
        <w:t>Best Student Paper - 2nd Prize at the 32nd Cement &amp; Concrete Science Conference September 2012</w:t>
      </w:r>
    </w:p>
    <w:p w14:paraId="1FB0B127" w14:textId="77777777" w:rsidR="00BF48F0" w:rsidRDefault="00BF48F0" w:rsidP="000938A7">
      <w:pPr>
        <w:jc w:val="both"/>
        <w:rPr>
          <w:rFonts w:ascii="Times" w:hAnsi="Times"/>
        </w:rPr>
      </w:pPr>
    </w:p>
    <w:p w14:paraId="5888F890" w14:textId="77777777" w:rsidR="00BF48F0" w:rsidRDefault="00BF48F0">
      <w:pPr>
        <w:rPr>
          <w:rFonts w:ascii="Times" w:hAnsi="Times"/>
        </w:rPr>
      </w:pPr>
    </w:p>
    <w:p w14:paraId="19B48C86" w14:textId="77777777" w:rsidR="00BF48F0" w:rsidRDefault="00BF48F0">
      <w:pPr>
        <w:rPr>
          <w:rFonts w:ascii="Times" w:hAnsi="Times"/>
        </w:rPr>
      </w:pPr>
    </w:p>
    <w:p w14:paraId="3E7FACD9" w14:textId="77777777" w:rsidR="00BF48F0" w:rsidRDefault="00BF48F0">
      <w:pPr>
        <w:rPr>
          <w:rFonts w:ascii="Times" w:hAnsi="Times"/>
        </w:rPr>
      </w:pPr>
    </w:p>
    <w:p w14:paraId="4316D534" w14:textId="77777777" w:rsidR="00BF48F0" w:rsidRDefault="00BF48F0">
      <w:pPr>
        <w:rPr>
          <w:rFonts w:ascii="Times" w:hAnsi="Times"/>
        </w:rPr>
      </w:pPr>
    </w:p>
    <w:p w14:paraId="5DFDF398" w14:textId="77777777" w:rsidR="00BF48F0" w:rsidRDefault="00BF48F0">
      <w:pPr>
        <w:rPr>
          <w:rFonts w:ascii="Times" w:hAnsi="Times"/>
        </w:rPr>
      </w:pPr>
    </w:p>
    <w:p w14:paraId="727707E6" w14:textId="77777777" w:rsidR="00BF48F0" w:rsidRDefault="00BF48F0">
      <w:pPr>
        <w:rPr>
          <w:rFonts w:ascii="Times" w:hAnsi="Times"/>
        </w:rPr>
      </w:pPr>
    </w:p>
    <w:p w14:paraId="5B770228" w14:textId="77777777" w:rsidR="00BF48F0" w:rsidRDefault="00BF48F0">
      <w:pPr>
        <w:rPr>
          <w:rFonts w:ascii="Times" w:hAnsi="Times"/>
        </w:rPr>
      </w:pPr>
    </w:p>
    <w:p w14:paraId="7F9A9F41" w14:textId="77777777" w:rsidR="00BF48F0" w:rsidRDefault="00BF48F0">
      <w:pPr>
        <w:rPr>
          <w:rFonts w:ascii="Times" w:hAnsi="Times"/>
        </w:rPr>
      </w:pPr>
    </w:p>
    <w:p w14:paraId="7C5C9296" w14:textId="77777777" w:rsidR="0082323B" w:rsidRDefault="0082323B">
      <w:pPr>
        <w:rPr>
          <w:rFonts w:ascii="Times" w:hAnsi="Times"/>
        </w:rPr>
      </w:pPr>
    </w:p>
    <w:p w14:paraId="68C0F8D5" w14:textId="33CED58F" w:rsidR="00BF48F0" w:rsidRDefault="00C02C98" w:rsidP="00C02C98">
      <w:pPr>
        <w:pBdr>
          <w:bottom w:val="single" w:sz="4" w:space="1" w:color="auto"/>
        </w:pBdr>
        <w:jc w:val="center"/>
        <w:rPr>
          <w:rFonts w:ascii="Times" w:hAnsi="Times"/>
        </w:rPr>
      </w:pPr>
      <w:r>
        <w:rPr>
          <w:rFonts w:ascii="Times" w:hAnsi="Times"/>
          <w:b/>
          <w:bCs/>
          <w:smallCaps/>
          <w:sz w:val="44"/>
          <w:szCs w:val="44"/>
        </w:rPr>
        <w:lastRenderedPageBreak/>
        <w:t>Abstract</w:t>
      </w:r>
    </w:p>
    <w:p w14:paraId="4E16E60F" w14:textId="77777777" w:rsidR="00BF48F0" w:rsidRDefault="00BF48F0">
      <w:pPr>
        <w:rPr>
          <w:rFonts w:ascii="Times" w:hAnsi="Times"/>
        </w:rPr>
      </w:pPr>
    </w:p>
    <w:p w14:paraId="48CBBE4B" w14:textId="2EC18F5D" w:rsidR="00BB583F" w:rsidRDefault="005272A4" w:rsidP="005272A4">
      <w:pPr>
        <w:spacing w:line="480" w:lineRule="exact"/>
        <w:jc w:val="both"/>
        <w:rPr>
          <w:rFonts w:ascii="Times New Roman" w:hAnsi="Times New Roman" w:cs="Times New Roman"/>
          <w:color w:val="000000"/>
        </w:rPr>
      </w:pPr>
      <w:r>
        <w:rPr>
          <w:rFonts w:ascii="Times New Roman" w:hAnsi="Times New Roman" w:cs="Times New Roman"/>
          <w:color w:val="000000"/>
        </w:rPr>
        <w:t xml:space="preserve">The Intermediate Level Wastes (ILW), produced during the </w:t>
      </w:r>
      <w:r w:rsidR="00C5573F">
        <w:rPr>
          <w:rFonts w:ascii="Times New Roman" w:hAnsi="Times New Roman" w:cs="Times New Roman"/>
          <w:color w:val="000000"/>
        </w:rPr>
        <w:t>reprocessing</w:t>
      </w:r>
      <w:r>
        <w:rPr>
          <w:rFonts w:ascii="Times New Roman" w:hAnsi="Times New Roman" w:cs="Times New Roman"/>
          <w:color w:val="000000"/>
        </w:rPr>
        <w:t xml:space="preserve"> of spent nuclear fuel, </w:t>
      </w:r>
      <w:proofErr w:type="gramStart"/>
      <w:r>
        <w:rPr>
          <w:rFonts w:ascii="Times New Roman" w:hAnsi="Times New Roman" w:cs="Times New Roman"/>
          <w:color w:val="000000"/>
        </w:rPr>
        <w:t>are</w:t>
      </w:r>
      <w:proofErr w:type="gramEnd"/>
      <w:r>
        <w:rPr>
          <w:rFonts w:ascii="Times New Roman" w:hAnsi="Times New Roman" w:cs="Times New Roman"/>
          <w:color w:val="000000"/>
        </w:rPr>
        <w:t xml:space="preserve"> commonly encapsulated in a blast furnace slag (BFS) and Portland cement (PC) composite</w:t>
      </w:r>
      <w:r w:rsidR="00C5573F">
        <w:rPr>
          <w:rFonts w:ascii="Times New Roman" w:hAnsi="Times New Roman" w:cs="Times New Roman"/>
          <w:color w:val="000000"/>
        </w:rPr>
        <w:t xml:space="preserve"> and stored in repositories</w:t>
      </w:r>
      <w:r>
        <w:rPr>
          <w:rFonts w:ascii="Times New Roman" w:hAnsi="Times New Roman" w:cs="Times New Roman"/>
          <w:color w:val="000000"/>
        </w:rPr>
        <w:t>.</w:t>
      </w:r>
      <w:r w:rsidR="00901C27">
        <w:rPr>
          <w:rFonts w:ascii="Times New Roman" w:hAnsi="Times New Roman" w:cs="Times New Roman"/>
          <w:color w:val="000000"/>
        </w:rPr>
        <w:t xml:space="preserve"> These cements are required to safely immobilise these wastes for long durations of time. </w:t>
      </w:r>
      <w:r w:rsidR="000F4295">
        <w:rPr>
          <w:rFonts w:ascii="Times New Roman" w:hAnsi="Times New Roman" w:cs="Times New Roman"/>
          <w:color w:val="000000"/>
        </w:rPr>
        <w:t xml:space="preserve">Additives </w:t>
      </w:r>
      <w:r w:rsidR="00BB583F">
        <w:rPr>
          <w:rFonts w:ascii="Times New Roman" w:hAnsi="Times New Roman" w:cs="Times New Roman"/>
          <w:color w:val="000000"/>
        </w:rPr>
        <w:t>are used in the cementitious wastes to further enhance them</w:t>
      </w:r>
      <w:r w:rsidR="00241B57">
        <w:rPr>
          <w:rFonts w:ascii="Times New Roman" w:hAnsi="Times New Roman" w:cs="Times New Roman"/>
          <w:color w:val="000000"/>
        </w:rPr>
        <w:t xml:space="preserve"> for example</w:t>
      </w:r>
      <w:r w:rsidR="00BB583F">
        <w:rPr>
          <w:rFonts w:ascii="Times New Roman" w:hAnsi="Times New Roman" w:cs="Times New Roman"/>
          <w:color w:val="000000"/>
        </w:rPr>
        <w:t xml:space="preserve"> </w:t>
      </w:r>
      <w:r w:rsidR="00241B57">
        <w:rPr>
          <w:rFonts w:ascii="Times New Roman" w:hAnsi="Times New Roman" w:cs="Times New Roman"/>
          <w:color w:val="000000"/>
        </w:rPr>
        <w:t>s</w:t>
      </w:r>
      <w:r w:rsidR="00BB583F">
        <w:rPr>
          <w:rFonts w:ascii="Times New Roman" w:hAnsi="Times New Roman" w:cs="Times New Roman"/>
          <w:color w:val="000000"/>
        </w:rPr>
        <w:t xml:space="preserve">uperplasticisers are used </w:t>
      </w:r>
      <w:r w:rsidR="00AB6D3E">
        <w:rPr>
          <w:rFonts w:ascii="Times New Roman" w:hAnsi="Times New Roman" w:cs="Times New Roman"/>
          <w:color w:val="000000"/>
        </w:rPr>
        <w:t xml:space="preserve">in general cement industry </w:t>
      </w:r>
      <w:r w:rsidR="00BB583F">
        <w:rPr>
          <w:rFonts w:ascii="Times New Roman" w:hAnsi="Times New Roman" w:cs="Times New Roman"/>
          <w:color w:val="000000"/>
        </w:rPr>
        <w:t>to increase fluidity, resulting</w:t>
      </w:r>
      <w:r w:rsidR="00C5573F">
        <w:rPr>
          <w:rFonts w:ascii="Times New Roman" w:hAnsi="Times New Roman" w:cs="Times New Roman"/>
          <w:color w:val="000000"/>
        </w:rPr>
        <w:t xml:space="preserve"> in</w:t>
      </w:r>
      <w:r w:rsidR="00BB583F" w:rsidRPr="00A214F0">
        <w:rPr>
          <w:rFonts w:ascii="Times New Roman" w:eastAsia="Batang" w:hAnsi="Times New Roman" w:cs="Times New Roman"/>
        </w:rPr>
        <w:t xml:space="preserve"> large reductions </w:t>
      </w:r>
      <w:r w:rsidR="00C5573F">
        <w:rPr>
          <w:rFonts w:ascii="Times New Roman" w:eastAsia="Batang" w:hAnsi="Times New Roman" w:cs="Times New Roman"/>
        </w:rPr>
        <w:t>of</w:t>
      </w:r>
      <w:r w:rsidR="00BB583F">
        <w:rPr>
          <w:rFonts w:ascii="Times New Roman" w:eastAsia="Batang" w:hAnsi="Times New Roman" w:cs="Times New Roman"/>
        </w:rPr>
        <w:t xml:space="preserve"> water</w:t>
      </w:r>
      <w:r w:rsidR="00C5573F">
        <w:rPr>
          <w:rFonts w:ascii="Times New Roman" w:eastAsia="Batang" w:hAnsi="Times New Roman" w:cs="Times New Roman"/>
        </w:rPr>
        <w:t xml:space="preserve"> required</w:t>
      </w:r>
      <w:r w:rsidR="00BB583F">
        <w:rPr>
          <w:rFonts w:ascii="Times New Roman" w:eastAsia="Batang" w:hAnsi="Times New Roman" w:cs="Times New Roman"/>
        </w:rPr>
        <w:t xml:space="preserve"> for mixing, giving</w:t>
      </w:r>
      <w:r w:rsidR="00BB583F" w:rsidRPr="00A214F0">
        <w:rPr>
          <w:rFonts w:ascii="Times New Roman" w:eastAsia="Batang" w:hAnsi="Times New Roman" w:cs="Times New Roman"/>
        </w:rPr>
        <w:t xml:space="preserve"> high early strength development, a decrease in permeability and ultimately significant reduction in costs</w:t>
      </w:r>
      <w:r w:rsidR="00BB583F">
        <w:rPr>
          <w:rFonts w:ascii="Times New Roman" w:eastAsia="Batang" w:hAnsi="Times New Roman" w:cs="Times New Roman"/>
        </w:rPr>
        <w:t>.</w:t>
      </w:r>
      <w:r w:rsidR="000938A7">
        <w:rPr>
          <w:rFonts w:ascii="Times New Roman" w:hAnsi="Times New Roman" w:cs="Times New Roman"/>
          <w:color w:val="000000"/>
        </w:rPr>
        <w:t xml:space="preserve"> However </w:t>
      </w:r>
      <w:r w:rsidR="001F5C29">
        <w:rPr>
          <w:rFonts w:ascii="Times New Roman" w:hAnsi="Times New Roman" w:cs="Times New Roman"/>
          <w:color w:val="000000"/>
        </w:rPr>
        <w:t>superplasticiser</w:t>
      </w:r>
      <w:r w:rsidR="00BB583F">
        <w:rPr>
          <w:rFonts w:ascii="Times New Roman" w:eastAsia="Batang" w:hAnsi="Times New Roman" w:cs="Times New Roman"/>
        </w:rPr>
        <w:t>s contain molecules that can complex insoluble radioelements such as plutonium and uranium increasing their solubility and in turn mobility</w:t>
      </w:r>
      <w:r w:rsidR="00C5573F">
        <w:rPr>
          <w:rFonts w:ascii="Times New Roman" w:eastAsia="Batang" w:hAnsi="Times New Roman" w:cs="Times New Roman"/>
        </w:rPr>
        <w:t xml:space="preserve">. This can be problematic while the cementitious wastes are stored. </w:t>
      </w:r>
    </w:p>
    <w:p w14:paraId="2818C314" w14:textId="5900AAAB" w:rsidR="00901C27" w:rsidRDefault="00AB6D3E" w:rsidP="00AB6D3E">
      <w:pPr>
        <w:spacing w:line="480" w:lineRule="exact"/>
        <w:jc w:val="both"/>
        <w:rPr>
          <w:rFonts w:ascii="Times New Roman" w:hAnsi="Times New Roman" w:cs="Times New Roman"/>
          <w:color w:val="000000"/>
        </w:rPr>
      </w:pPr>
      <w:r>
        <w:rPr>
          <w:rFonts w:ascii="Times New Roman" w:hAnsi="Times New Roman" w:cs="Times New Roman"/>
          <w:color w:val="000000"/>
        </w:rPr>
        <w:t>The standard</w:t>
      </w:r>
      <w:r w:rsidR="00901C27">
        <w:rPr>
          <w:rFonts w:ascii="Times New Roman" w:hAnsi="Times New Roman" w:cs="Times New Roman"/>
          <w:color w:val="000000"/>
        </w:rPr>
        <w:t xml:space="preserve"> storage conditions</w:t>
      </w:r>
      <w:r w:rsidR="000F4295">
        <w:rPr>
          <w:rFonts w:ascii="Times New Roman" w:hAnsi="Times New Roman" w:cs="Times New Roman"/>
          <w:color w:val="000000"/>
        </w:rPr>
        <w:t xml:space="preserve"> </w:t>
      </w:r>
      <w:r>
        <w:rPr>
          <w:rFonts w:ascii="Times New Roman" w:hAnsi="Times New Roman" w:cs="Times New Roman"/>
          <w:color w:val="000000"/>
        </w:rPr>
        <w:t xml:space="preserve">in the UK </w:t>
      </w:r>
      <w:r w:rsidR="000F4295">
        <w:rPr>
          <w:rFonts w:ascii="Times New Roman" w:hAnsi="Times New Roman" w:cs="Times New Roman"/>
          <w:color w:val="000000"/>
        </w:rPr>
        <w:t xml:space="preserve">are that a cement is stored in a steel canister, then a backfill cement such as NRVB </w:t>
      </w:r>
      <w:r>
        <w:rPr>
          <w:rFonts w:ascii="Times New Roman" w:hAnsi="Times New Roman" w:cs="Times New Roman"/>
          <w:color w:val="000000"/>
        </w:rPr>
        <w:t>(</w:t>
      </w:r>
      <w:r w:rsidRPr="00AB6D3E">
        <w:rPr>
          <w:rFonts w:ascii="Times New Roman" w:hAnsi="Times New Roman" w:cs="Times New Roman"/>
          <w:color w:val="000000"/>
        </w:rPr>
        <w:t>Nirex Reference Vault</w:t>
      </w:r>
      <w:r>
        <w:rPr>
          <w:rFonts w:ascii="Times New Roman" w:hAnsi="Times New Roman" w:cs="Times New Roman"/>
          <w:color w:val="000000"/>
        </w:rPr>
        <w:t xml:space="preserve"> </w:t>
      </w:r>
      <w:r w:rsidRPr="00AB6D3E">
        <w:rPr>
          <w:rFonts w:ascii="Times New Roman" w:hAnsi="Times New Roman" w:cs="Times New Roman"/>
          <w:color w:val="000000"/>
        </w:rPr>
        <w:t>Backfill cement</w:t>
      </w:r>
      <w:r>
        <w:rPr>
          <w:rFonts w:ascii="Times New Roman" w:hAnsi="Times New Roman" w:cs="Times New Roman"/>
          <w:color w:val="000000"/>
        </w:rPr>
        <w:t xml:space="preserve">) </w:t>
      </w:r>
      <w:r w:rsidR="000F4295">
        <w:rPr>
          <w:rFonts w:ascii="Times New Roman" w:hAnsi="Times New Roman" w:cs="Times New Roman"/>
          <w:color w:val="000000"/>
        </w:rPr>
        <w:t xml:space="preserve">is poured over this cement, allowed to set after which the container is sealed. </w:t>
      </w:r>
      <w:r w:rsidR="006C4483">
        <w:rPr>
          <w:rFonts w:ascii="Times New Roman" w:hAnsi="Times New Roman" w:cs="Times New Roman"/>
          <w:color w:val="000000"/>
        </w:rPr>
        <w:t>These</w:t>
      </w:r>
      <w:r w:rsidR="000F4295">
        <w:rPr>
          <w:rFonts w:ascii="Times New Roman" w:hAnsi="Times New Roman" w:cs="Times New Roman"/>
          <w:color w:val="000000"/>
        </w:rPr>
        <w:t xml:space="preserve"> conditions</w:t>
      </w:r>
      <w:r w:rsidR="00901C27">
        <w:rPr>
          <w:rFonts w:ascii="Times New Roman" w:hAnsi="Times New Roman" w:cs="Times New Roman"/>
          <w:color w:val="000000"/>
        </w:rPr>
        <w:t xml:space="preserve"> expose the waste forms to potential contact with ground water</w:t>
      </w:r>
      <w:r w:rsidR="000F4295">
        <w:rPr>
          <w:rFonts w:ascii="Times New Roman" w:hAnsi="Times New Roman" w:cs="Times New Roman"/>
          <w:color w:val="000000"/>
        </w:rPr>
        <w:t xml:space="preserve"> in the event of damage to the </w:t>
      </w:r>
      <w:r w:rsidR="006C4483">
        <w:rPr>
          <w:rFonts w:ascii="Times New Roman" w:hAnsi="Times New Roman" w:cs="Times New Roman"/>
          <w:color w:val="000000"/>
        </w:rPr>
        <w:t>container</w:t>
      </w:r>
      <w:r w:rsidR="00901C27">
        <w:rPr>
          <w:rFonts w:ascii="Times New Roman" w:hAnsi="Times New Roman" w:cs="Times New Roman"/>
          <w:color w:val="000000"/>
        </w:rPr>
        <w:t>. It is therefore important to study the leaching behaviour of these cementitiou</w:t>
      </w:r>
      <w:r w:rsidR="004C66A0">
        <w:rPr>
          <w:rFonts w:ascii="Times New Roman" w:hAnsi="Times New Roman" w:cs="Times New Roman"/>
          <w:color w:val="000000"/>
        </w:rPr>
        <w:t>s</w:t>
      </w:r>
      <w:r w:rsidR="00901C27">
        <w:rPr>
          <w:rFonts w:ascii="Times New Roman" w:hAnsi="Times New Roman" w:cs="Times New Roman"/>
          <w:color w:val="000000"/>
        </w:rPr>
        <w:t xml:space="preserve"> waste forms and simulate any resultant degradation that would occur over the</w:t>
      </w:r>
      <w:r w:rsidR="004C66A0">
        <w:rPr>
          <w:rFonts w:ascii="Times New Roman" w:hAnsi="Times New Roman" w:cs="Times New Roman"/>
          <w:color w:val="000000"/>
        </w:rPr>
        <w:t xml:space="preserve"> </w:t>
      </w:r>
      <w:r w:rsidR="00724975">
        <w:rPr>
          <w:rFonts w:ascii="Times New Roman" w:hAnsi="Times New Roman" w:cs="Times New Roman"/>
          <w:color w:val="000000"/>
        </w:rPr>
        <w:t>very long durations</w:t>
      </w:r>
      <w:r w:rsidR="004C66A0">
        <w:rPr>
          <w:rFonts w:ascii="Times New Roman" w:hAnsi="Times New Roman" w:cs="Times New Roman"/>
          <w:color w:val="000000"/>
        </w:rPr>
        <w:t xml:space="preserve"> they are expected to be stored. </w:t>
      </w:r>
      <w:r w:rsidR="00FE19B1">
        <w:rPr>
          <w:rFonts w:ascii="Times New Roman" w:hAnsi="Times New Roman" w:cs="Times New Roman"/>
          <w:color w:val="000000"/>
        </w:rPr>
        <w:t>The impact of superplasticisers on these leaching behaviours is also investigated to understand the impact these additives have.</w:t>
      </w:r>
    </w:p>
    <w:p w14:paraId="6B7E7468" w14:textId="17668BE6" w:rsidR="004C66A0" w:rsidRDefault="005272A4" w:rsidP="005272A4">
      <w:pPr>
        <w:spacing w:line="480" w:lineRule="exact"/>
        <w:jc w:val="both"/>
        <w:rPr>
          <w:rFonts w:ascii="Times New Roman" w:hAnsi="Times New Roman" w:cs="Times New Roman"/>
          <w:color w:val="000000"/>
        </w:rPr>
      </w:pPr>
      <w:r>
        <w:rPr>
          <w:rFonts w:ascii="Times New Roman" w:hAnsi="Times New Roman" w:cs="Times New Roman"/>
          <w:color w:val="000000"/>
        </w:rPr>
        <w:t xml:space="preserve">The project investigated the leaching behaviour of </w:t>
      </w:r>
      <w:r w:rsidR="00901C27">
        <w:rPr>
          <w:rFonts w:ascii="Times New Roman" w:hAnsi="Times New Roman" w:cs="Times New Roman"/>
          <w:color w:val="000000"/>
        </w:rPr>
        <w:t xml:space="preserve">caesium </w:t>
      </w:r>
      <w:r w:rsidR="00356F1D">
        <w:rPr>
          <w:rFonts w:ascii="Times New Roman" w:hAnsi="Times New Roman" w:cs="Times New Roman"/>
          <w:color w:val="000000"/>
        </w:rPr>
        <w:t>(</w:t>
      </w:r>
      <w:r w:rsidR="00754181">
        <w:rPr>
          <w:rFonts w:ascii="Times New Roman" w:hAnsi="Times New Roman" w:cs="Times New Roman"/>
          <w:color w:val="000000"/>
        </w:rPr>
        <w:t>Cs</w:t>
      </w:r>
      <w:r w:rsidR="00356F1D">
        <w:rPr>
          <w:rFonts w:ascii="Times New Roman" w:hAnsi="Times New Roman" w:cs="Times New Roman"/>
          <w:color w:val="000000"/>
        </w:rPr>
        <w:t>)</w:t>
      </w:r>
      <w:r w:rsidR="00754181">
        <w:rPr>
          <w:rFonts w:ascii="Times New Roman" w:hAnsi="Times New Roman" w:cs="Times New Roman"/>
          <w:color w:val="000000"/>
        </w:rPr>
        <w:t xml:space="preserve"> </w:t>
      </w:r>
      <w:r w:rsidR="00901C27">
        <w:rPr>
          <w:rFonts w:ascii="Times New Roman" w:hAnsi="Times New Roman" w:cs="Times New Roman"/>
          <w:color w:val="000000"/>
        </w:rPr>
        <w:t>and strontium</w:t>
      </w:r>
      <w:r w:rsidR="00754181">
        <w:rPr>
          <w:rFonts w:ascii="Times New Roman" w:hAnsi="Times New Roman" w:cs="Times New Roman"/>
          <w:color w:val="000000"/>
        </w:rPr>
        <w:t xml:space="preserve"> </w:t>
      </w:r>
      <w:r w:rsidR="00356F1D">
        <w:rPr>
          <w:rFonts w:ascii="Times New Roman" w:hAnsi="Times New Roman" w:cs="Times New Roman"/>
          <w:color w:val="000000"/>
        </w:rPr>
        <w:t>(</w:t>
      </w:r>
      <w:r w:rsidR="00754181">
        <w:rPr>
          <w:rFonts w:ascii="Times New Roman" w:hAnsi="Times New Roman" w:cs="Times New Roman"/>
          <w:color w:val="000000"/>
        </w:rPr>
        <w:t>Sr</w:t>
      </w:r>
      <w:r w:rsidR="00356F1D">
        <w:rPr>
          <w:rFonts w:ascii="Times New Roman" w:hAnsi="Times New Roman" w:cs="Times New Roman"/>
          <w:color w:val="000000"/>
        </w:rPr>
        <w:t>)</w:t>
      </w:r>
      <w:r>
        <w:rPr>
          <w:rFonts w:ascii="Times New Roman" w:hAnsi="Times New Roman" w:cs="Times New Roman"/>
          <w:color w:val="000000"/>
        </w:rPr>
        <w:t xml:space="preserve"> within </w:t>
      </w:r>
      <w:r w:rsidR="003C557A">
        <w:rPr>
          <w:rFonts w:ascii="Times New Roman" w:hAnsi="Times New Roman" w:cs="Times New Roman"/>
          <w:color w:val="000000"/>
        </w:rPr>
        <w:t>a 90wt% blast furnace slag (BFS) and 10wt% Portland cement (PC) system (9:1 BFS</w:t>
      </w:r>
      <w:proofErr w:type="gramStart"/>
      <w:r w:rsidR="003C557A">
        <w:rPr>
          <w:rFonts w:ascii="Times New Roman" w:hAnsi="Times New Roman" w:cs="Times New Roman"/>
          <w:color w:val="000000"/>
        </w:rPr>
        <w:t>:PC</w:t>
      </w:r>
      <w:proofErr w:type="gramEnd"/>
      <w:r w:rsidR="003C557A">
        <w:rPr>
          <w:rFonts w:ascii="Times New Roman" w:hAnsi="Times New Roman" w:cs="Times New Roman"/>
          <w:color w:val="000000"/>
        </w:rPr>
        <w:t>)</w:t>
      </w:r>
      <w:r w:rsidR="00901C27">
        <w:rPr>
          <w:rFonts w:ascii="Times New Roman" w:hAnsi="Times New Roman" w:cs="Times New Roman"/>
          <w:color w:val="000000"/>
        </w:rPr>
        <w:t xml:space="preserve">. </w:t>
      </w:r>
      <w:r w:rsidR="004C66A0">
        <w:rPr>
          <w:rFonts w:ascii="Times New Roman" w:hAnsi="Times New Roman" w:cs="Times New Roman"/>
          <w:color w:val="000000"/>
        </w:rPr>
        <w:t>A</w:t>
      </w:r>
      <w:r w:rsidR="003C557A">
        <w:rPr>
          <w:rFonts w:ascii="Times New Roman" w:hAnsi="Times New Roman" w:cs="Times New Roman"/>
          <w:color w:val="000000"/>
        </w:rPr>
        <w:t xml:space="preserve"> static</w:t>
      </w:r>
      <w:r w:rsidR="004C66A0">
        <w:rPr>
          <w:rFonts w:ascii="Times New Roman" w:hAnsi="Times New Roman" w:cs="Times New Roman"/>
          <w:color w:val="000000"/>
        </w:rPr>
        <w:t xml:space="preserve"> leaching method</w:t>
      </w:r>
      <w:r w:rsidR="003C557A">
        <w:rPr>
          <w:rFonts w:ascii="Times New Roman" w:hAnsi="Times New Roman" w:cs="Times New Roman"/>
          <w:color w:val="000000"/>
        </w:rPr>
        <w:t xml:space="preserve"> </w:t>
      </w:r>
      <w:r w:rsidR="004C66A0">
        <w:rPr>
          <w:rFonts w:ascii="Times New Roman" w:hAnsi="Times New Roman" w:cs="Times New Roman"/>
          <w:color w:val="000000"/>
        </w:rPr>
        <w:t>was used to monitor the behaviour of Cs and Sr in solution without changing it. Three accelerated leaching methods were then used,</w:t>
      </w:r>
      <w:r w:rsidR="003C557A">
        <w:rPr>
          <w:rFonts w:ascii="Times New Roman" w:hAnsi="Times New Roman" w:cs="Times New Roman"/>
          <w:color w:val="000000"/>
        </w:rPr>
        <w:t xml:space="preserve"> semi-static wherein the </w:t>
      </w:r>
      <w:r w:rsidR="004C66A0">
        <w:rPr>
          <w:rFonts w:ascii="Times New Roman" w:hAnsi="Times New Roman" w:cs="Times New Roman"/>
          <w:color w:val="000000"/>
        </w:rPr>
        <w:t>solution</w:t>
      </w:r>
      <w:r w:rsidR="003C557A">
        <w:rPr>
          <w:rFonts w:ascii="Times New Roman" w:hAnsi="Times New Roman" w:cs="Times New Roman"/>
          <w:color w:val="000000"/>
        </w:rPr>
        <w:t xml:space="preserve"> </w:t>
      </w:r>
      <w:r w:rsidR="00356F1D">
        <w:rPr>
          <w:rFonts w:ascii="Times New Roman" w:hAnsi="Times New Roman" w:cs="Times New Roman"/>
          <w:color w:val="000000"/>
        </w:rPr>
        <w:t xml:space="preserve">(deionised water) </w:t>
      </w:r>
      <w:r w:rsidR="003C557A">
        <w:rPr>
          <w:rFonts w:ascii="Times New Roman" w:hAnsi="Times New Roman" w:cs="Times New Roman"/>
          <w:color w:val="000000"/>
        </w:rPr>
        <w:t xml:space="preserve">was changed at regular intervals, acidic using </w:t>
      </w:r>
      <w:r w:rsidR="00947B7A">
        <w:rPr>
          <w:rFonts w:ascii="Times New Roman" w:hAnsi="Times New Roman" w:cs="Times New Roman"/>
          <w:color w:val="000000"/>
        </w:rPr>
        <w:t>ammonium nitrate (</w:t>
      </w:r>
      <w:r w:rsidR="00947B7A">
        <w:rPr>
          <w:rFonts w:ascii="Times New Roman" w:hAnsi="Times New Roman"/>
        </w:rPr>
        <w:t>NH</w:t>
      </w:r>
      <w:r w:rsidR="00947B7A">
        <w:rPr>
          <w:rFonts w:ascii="Times New Roman" w:hAnsi="Times New Roman"/>
          <w:vertAlign w:val="subscript"/>
        </w:rPr>
        <w:t>4</w:t>
      </w:r>
      <w:r w:rsidR="00947B7A">
        <w:rPr>
          <w:rFonts w:ascii="Times New Roman" w:hAnsi="Times New Roman"/>
        </w:rPr>
        <w:t>NO</w:t>
      </w:r>
      <w:r w:rsidR="00947B7A">
        <w:rPr>
          <w:rFonts w:ascii="Times New Roman" w:hAnsi="Times New Roman"/>
          <w:vertAlign w:val="subscript"/>
        </w:rPr>
        <w:t>3</w:t>
      </w:r>
      <w:r w:rsidR="00947B7A">
        <w:rPr>
          <w:rFonts w:ascii="Times New Roman" w:hAnsi="Times New Roman"/>
        </w:rPr>
        <w:t>)</w:t>
      </w:r>
      <w:r w:rsidR="003C557A">
        <w:rPr>
          <w:rFonts w:ascii="Times New Roman" w:hAnsi="Times New Roman" w:cs="Times New Roman"/>
          <w:color w:val="000000"/>
        </w:rPr>
        <w:t xml:space="preserve"> solution and electrical using a </w:t>
      </w:r>
      <w:r w:rsidR="008B5486">
        <w:rPr>
          <w:rFonts w:ascii="Times New Roman" w:hAnsi="Times New Roman" w:cs="Times New Roman"/>
          <w:color w:val="000000"/>
        </w:rPr>
        <w:t>current</w:t>
      </w:r>
      <w:r w:rsidR="003C557A">
        <w:rPr>
          <w:rFonts w:ascii="Times New Roman" w:hAnsi="Times New Roman" w:cs="Times New Roman"/>
          <w:color w:val="000000"/>
        </w:rPr>
        <w:t xml:space="preserve"> of 5</w:t>
      </w:r>
      <w:r w:rsidR="00550F35">
        <w:rPr>
          <w:rFonts w:ascii="Times New Roman" w:hAnsi="Times New Roman" w:cs="Times New Roman"/>
        </w:rPr>
        <w:t>A/m</w:t>
      </w:r>
      <w:r w:rsidR="00550F35">
        <w:rPr>
          <w:rFonts w:ascii="Times New Roman" w:hAnsi="Times New Roman" w:cs="Times New Roman"/>
          <w:vertAlign w:val="superscript"/>
        </w:rPr>
        <w:t>2</w:t>
      </w:r>
      <w:r w:rsidR="003C557A">
        <w:rPr>
          <w:rFonts w:ascii="Times New Roman" w:hAnsi="Times New Roman" w:cs="Times New Roman"/>
          <w:color w:val="000000"/>
        </w:rPr>
        <w:t xml:space="preserve"> and 25</w:t>
      </w:r>
      <w:r w:rsidR="00550F35" w:rsidRPr="00550F35">
        <w:rPr>
          <w:rFonts w:ascii="Times New Roman" w:hAnsi="Times New Roman" w:cs="Times New Roman"/>
        </w:rPr>
        <w:t xml:space="preserve"> </w:t>
      </w:r>
      <w:r w:rsidR="00550F35">
        <w:rPr>
          <w:rFonts w:ascii="Times New Roman" w:hAnsi="Times New Roman" w:cs="Times New Roman"/>
        </w:rPr>
        <w:t>A/m</w:t>
      </w:r>
      <w:r w:rsidR="00550F35">
        <w:rPr>
          <w:rFonts w:ascii="Times New Roman" w:hAnsi="Times New Roman" w:cs="Times New Roman"/>
          <w:vertAlign w:val="superscript"/>
        </w:rPr>
        <w:t>2</w:t>
      </w:r>
      <w:r w:rsidR="004C66A0">
        <w:rPr>
          <w:rFonts w:ascii="Times New Roman" w:hAnsi="Times New Roman" w:cs="Times New Roman"/>
          <w:color w:val="000000"/>
        </w:rPr>
        <w:t xml:space="preserve">. If successful these methods can help characterise the suitability of cement formulations for distant future use. The semi-static method showed small increases in </w:t>
      </w:r>
      <w:proofErr w:type="gramStart"/>
      <w:r w:rsidR="004C66A0">
        <w:rPr>
          <w:rFonts w:ascii="Times New Roman" w:hAnsi="Times New Roman" w:cs="Times New Roman"/>
          <w:color w:val="000000"/>
        </w:rPr>
        <w:t>leaching,</w:t>
      </w:r>
      <w:proofErr w:type="gramEnd"/>
      <w:r w:rsidR="004C66A0">
        <w:rPr>
          <w:rFonts w:ascii="Times New Roman" w:hAnsi="Times New Roman" w:cs="Times New Roman"/>
          <w:color w:val="000000"/>
        </w:rPr>
        <w:t xml:space="preserve"> replacing the solution reset the concentration gradient and kept the pH </w:t>
      </w:r>
      <w:r w:rsidR="00971FA3">
        <w:rPr>
          <w:rFonts w:ascii="Times New Roman" w:hAnsi="Times New Roman" w:cs="Times New Roman"/>
          <w:color w:val="000000"/>
        </w:rPr>
        <w:t>near neutral</w:t>
      </w:r>
      <w:r w:rsidR="004C66A0">
        <w:rPr>
          <w:rFonts w:ascii="Times New Roman" w:hAnsi="Times New Roman" w:cs="Times New Roman"/>
          <w:color w:val="000000"/>
        </w:rPr>
        <w:t xml:space="preserve">. The acidic leaching method increased </w:t>
      </w:r>
      <w:r w:rsidR="004C66A0">
        <w:rPr>
          <w:rFonts w:ascii="Times New Roman" w:hAnsi="Times New Roman" w:cs="Times New Roman"/>
          <w:color w:val="000000"/>
        </w:rPr>
        <w:lastRenderedPageBreak/>
        <w:t xml:space="preserve">leaching rates significantly however caused the formation of phases that would not occur naturally and also </w:t>
      </w:r>
      <w:r w:rsidR="003050EE">
        <w:rPr>
          <w:rFonts w:ascii="Times New Roman" w:hAnsi="Times New Roman" w:cs="Times New Roman"/>
          <w:color w:val="000000"/>
        </w:rPr>
        <w:t>suppressed</w:t>
      </w:r>
      <w:r w:rsidR="004C66A0">
        <w:rPr>
          <w:rFonts w:ascii="Times New Roman" w:hAnsi="Times New Roman" w:cs="Times New Roman"/>
          <w:color w:val="000000"/>
        </w:rPr>
        <w:t xml:space="preserve"> Al leaching. The electrical methods caused the largest increase in leaching rates, with the closest similarity to the </w:t>
      </w:r>
      <w:r w:rsidR="003050EE">
        <w:rPr>
          <w:rFonts w:ascii="Times New Roman" w:hAnsi="Times New Roman" w:cs="Times New Roman"/>
          <w:color w:val="000000"/>
        </w:rPr>
        <w:t xml:space="preserve">non-accelerated leaching </w:t>
      </w:r>
      <w:r w:rsidR="004C66A0">
        <w:rPr>
          <w:rFonts w:ascii="Times New Roman" w:hAnsi="Times New Roman" w:cs="Times New Roman"/>
          <w:color w:val="000000"/>
        </w:rPr>
        <w:t xml:space="preserve">conditions, the crystal structure was similar to that in static leaching and the hydrate phases formed were similar. A current of </w:t>
      </w:r>
      <w:r w:rsidR="003050EE">
        <w:rPr>
          <w:rFonts w:ascii="Times New Roman" w:hAnsi="Times New Roman" w:cs="Times New Roman"/>
          <w:color w:val="000000"/>
        </w:rPr>
        <w:t>25</w:t>
      </w:r>
      <w:r w:rsidR="003050EE">
        <w:rPr>
          <w:rFonts w:ascii="Times New Roman" w:hAnsi="Times New Roman" w:cs="Times New Roman"/>
        </w:rPr>
        <w:t xml:space="preserve"> A/</w:t>
      </w:r>
      <w:proofErr w:type="gramStart"/>
      <w:r w:rsidR="003050EE">
        <w:rPr>
          <w:rFonts w:ascii="Times New Roman" w:hAnsi="Times New Roman" w:cs="Times New Roman"/>
        </w:rPr>
        <w:t>m</w:t>
      </w:r>
      <w:r w:rsidR="003050EE">
        <w:rPr>
          <w:rFonts w:ascii="Times New Roman" w:hAnsi="Times New Roman" w:cs="Times New Roman"/>
          <w:vertAlign w:val="superscript"/>
        </w:rPr>
        <w:t>2</w:t>
      </w:r>
      <w:r w:rsidR="003050EE">
        <w:rPr>
          <w:rFonts w:ascii="Times" w:hAnsi="Times"/>
          <w:sz w:val="20"/>
          <w:szCs w:val="20"/>
          <w:lang w:val="en-GB"/>
        </w:rPr>
        <w:t xml:space="preserve"> </w:t>
      </w:r>
      <w:r w:rsidR="003050EE">
        <w:rPr>
          <w:rFonts w:ascii="Times New Roman" w:hAnsi="Times New Roman" w:cs="Times New Roman"/>
          <w:color w:val="000000"/>
        </w:rPr>
        <w:t xml:space="preserve"> </w:t>
      </w:r>
      <w:r w:rsidR="004C66A0">
        <w:rPr>
          <w:rFonts w:ascii="Times New Roman" w:hAnsi="Times New Roman" w:cs="Times New Roman"/>
          <w:color w:val="000000"/>
        </w:rPr>
        <w:t>over</w:t>
      </w:r>
      <w:proofErr w:type="gramEnd"/>
      <w:r w:rsidR="004C66A0">
        <w:rPr>
          <w:rFonts w:ascii="Times New Roman" w:hAnsi="Times New Roman" w:cs="Times New Roman"/>
          <w:color w:val="000000"/>
        </w:rPr>
        <w:t xml:space="preserve"> a 1-3 day period would leach the same amount of Cs and Sr elements as static leaching for 2 years. </w:t>
      </w:r>
    </w:p>
    <w:p w14:paraId="06547894" w14:textId="417D9A84" w:rsidR="000F4295" w:rsidRDefault="00754181" w:rsidP="005272A4">
      <w:pPr>
        <w:spacing w:line="480" w:lineRule="exact"/>
        <w:jc w:val="both"/>
        <w:rPr>
          <w:rFonts w:ascii="Times New Roman" w:hAnsi="Times New Roman" w:cs="Times New Roman"/>
          <w:color w:val="000000"/>
        </w:rPr>
      </w:pPr>
      <w:r>
        <w:rPr>
          <w:rFonts w:ascii="Times New Roman" w:hAnsi="Times New Roman" w:cs="Times New Roman"/>
          <w:color w:val="000000"/>
        </w:rPr>
        <w:t xml:space="preserve">The </w:t>
      </w:r>
      <w:r w:rsidR="004C66A0">
        <w:rPr>
          <w:rFonts w:ascii="Times New Roman" w:hAnsi="Times New Roman" w:cs="Times New Roman"/>
          <w:color w:val="000000"/>
        </w:rPr>
        <w:t xml:space="preserve">leaching behaviour of Cs and Sr is </w:t>
      </w:r>
      <w:r w:rsidR="00FE19B1">
        <w:rPr>
          <w:rFonts w:ascii="Times New Roman" w:hAnsi="Times New Roman" w:cs="Times New Roman"/>
          <w:color w:val="000000"/>
        </w:rPr>
        <w:t>dependent</w:t>
      </w:r>
      <w:r w:rsidR="004C66A0">
        <w:rPr>
          <w:rFonts w:ascii="Times New Roman" w:hAnsi="Times New Roman" w:cs="Times New Roman"/>
          <w:color w:val="000000"/>
        </w:rPr>
        <w:t xml:space="preserve"> on how they are retained within the cement. The project found that Cs remains as CsNO</w:t>
      </w:r>
      <w:r w:rsidR="004C66A0">
        <w:rPr>
          <w:rFonts w:ascii="Times New Roman" w:hAnsi="Times New Roman" w:cs="Times New Roman"/>
          <w:color w:val="000000"/>
          <w:vertAlign w:val="subscript"/>
        </w:rPr>
        <w:t>3</w:t>
      </w:r>
      <w:r w:rsidR="003050EE">
        <w:rPr>
          <w:rFonts w:ascii="Times New Roman" w:hAnsi="Times New Roman" w:cs="Times New Roman"/>
          <w:color w:val="000000"/>
          <w:vertAlign w:val="subscript"/>
        </w:rPr>
        <w:t xml:space="preserve">. </w:t>
      </w:r>
      <w:proofErr w:type="gramStart"/>
      <w:r w:rsidR="004C66A0">
        <w:rPr>
          <w:rFonts w:ascii="Times New Roman" w:hAnsi="Times New Roman" w:cs="Times New Roman"/>
          <w:color w:val="000000"/>
        </w:rPr>
        <w:t>Sr(</w:t>
      </w:r>
      <w:proofErr w:type="gramEnd"/>
      <w:r w:rsidR="004C66A0">
        <w:rPr>
          <w:rFonts w:ascii="Times New Roman" w:hAnsi="Times New Roman" w:cs="Times New Roman"/>
          <w:color w:val="000000"/>
        </w:rPr>
        <w:t>NO</w:t>
      </w:r>
      <w:r w:rsidR="004C66A0">
        <w:rPr>
          <w:rFonts w:ascii="Times New Roman" w:hAnsi="Times New Roman" w:cs="Times New Roman"/>
          <w:color w:val="000000"/>
          <w:vertAlign w:val="subscript"/>
        </w:rPr>
        <w:t>3</w:t>
      </w:r>
      <w:r w:rsidR="004C66A0">
        <w:rPr>
          <w:rFonts w:ascii="Times New Roman" w:hAnsi="Times New Roman" w:cs="Times New Roman"/>
          <w:color w:val="000000"/>
        </w:rPr>
        <w:t>)</w:t>
      </w:r>
      <w:r w:rsidR="004C66A0">
        <w:rPr>
          <w:rFonts w:ascii="Times New Roman" w:hAnsi="Times New Roman" w:cs="Times New Roman"/>
          <w:color w:val="000000"/>
          <w:sz w:val="22"/>
          <w:vertAlign w:val="subscript"/>
        </w:rPr>
        <w:t>2</w:t>
      </w:r>
      <w:r w:rsidR="004C66A0">
        <w:rPr>
          <w:rFonts w:ascii="Times New Roman" w:hAnsi="Times New Roman" w:cs="Times New Roman"/>
          <w:color w:val="000000"/>
        </w:rPr>
        <w:t>, however, was not present in the hardene</w:t>
      </w:r>
      <w:r w:rsidR="000F4295">
        <w:rPr>
          <w:rFonts w:ascii="Times New Roman" w:hAnsi="Times New Roman" w:cs="Times New Roman"/>
          <w:color w:val="000000"/>
        </w:rPr>
        <w:t>d</w:t>
      </w:r>
      <w:r w:rsidR="004C66A0">
        <w:rPr>
          <w:rFonts w:ascii="Times New Roman" w:hAnsi="Times New Roman" w:cs="Times New Roman"/>
          <w:color w:val="000000"/>
        </w:rPr>
        <w:t xml:space="preserve"> cement and retained within the </w:t>
      </w:r>
      <w:r w:rsidR="000F4295">
        <w:rPr>
          <w:rFonts w:ascii="Times New Roman" w:hAnsi="Times New Roman" w:cs="Times New Roman"/>
          <w:color w:val="000000"/>
        </w:rPr>
        <w:t>hydrogarnet</w:t>
      </w:r>
      <w:r w:rsidR="00400546">
        <w:rPr>
          <w:rFonts w:ascii="Times New Roman" w:hAnsi="Times New Roman" w:cs="Times New Roman"/>
          <w:color w:val="000000"/>
        </w:rPr>
        <w:t xml:space="preserve"> and </w:t>
      </w:r>
      <w:r w:rsidR="003050EE">
        <w:rPr>
          <w:rFonts w:ascii="Times New Roman" w:hAnsi="Times New Roman" w:cs="Times New Roman"/>
          <w:color w:val="000000"/>
        </w:rPr>
        <w:t>a nitrated AFm phase</w:t>
      </w:r>
      <w:r w:rsidR="00400546">
        <w:rPr>
          <w:rFonts w:ascii="Times New Roman" w:hAnsi="Times New Roman" w:cs="Times New Roman"/>
          <w:color w:val="000000"/>
        </w:rPr>
        <w:t>.</w:t>
      </w:r>
      <w:r w:rsidR="004C66A0">
        <w:rPr>
          <w:rFonts w:ascii="Times New Roman" w:hAnsi="Times New Roman" w:cs="Times New Roman"/>
          <w:color w:val="000000"/>
        </w:rPr>
        <w:t xml:space="preserve"> </w:t>
      </w:r>
    </w:p>
    <w:p w14:paraId="6D6E72DA" w14:textId="19530CED" w:rsidR="00271DB2" w:rsidRDefault="000F4295" w:rsidP="00D56827">
      <w:pPr>
        <w:spacing w:line="480" w:lineRule="exact"/>
        <w:jc w:val="both"/>
        <w:rPr>
          <w:rFonts w:ascii="Times New Roman" w:hAnsi="Times New Roman" w:cs="Times New Roman"/>
          <w:color w:val="000000"/>
        </w:rPr>
      </w:pPr>
      <w:r>
        <w:rPr>
          <w:rFonts w:ascii="Times New Roman" w:hAnsi="Times New Roman" w:cs="Times New Roman"/>
          <w:color w:val="000000"/>
        </w:rPr>
        <w:t>S</w:t>
      </w:r>
      <w:r w:rsidR="005272A4">
        <w:rPr>
          <w:rFonts w:ascii="Times New Roman" w:hAnsi="Times New Roman" w:cs="Times New Roman"/>
          <w:color w:val="000000"/>
        </w:rPr>
        <w:t>econdly the impact of superplasticisers on the leaching behaviour of the cement matrix containing cerium was</w:t>
      </w:r>
      <w:r w:rsidR="00901C27">
        <w:rPr>
          <w:rFonts w:ascii="Times New Roman" w:hAnsi="Times New Roman" w:cs="Times New Roman"/>
          <w:color w:val="000000"/>
        </w:rPr>
        <w:t xml:space="preserve"> als</w:t>
      </w:r>
      <w:r>
        <w:rPr>
          <w:rFonts w:ascii="Times New Roman" w:hAnsi="Times New Roman" w:cs="Times New Roman"/>
          <w:color w:val="000000"/>
        </w:rPr>
        <w:t>o</w:t>
      </w:r>
      <w:r w:rsidR="005272A4">
        <w:rPr>
          <w:rFonts w:ascii="Times New Roman" w:hAnsi="Times New Roman" w:cs="Times New Roman"/>
          <w:color w:val="000000"/>
        </w:rPr>
        <w:t xml:space="preserve"> explored</w:t>
      </w:r>
      <w:r>
        <w:rPr>
          <w:rFonts w:ascii="Times New Roman" w:hAnsi="Times New Roman" w:cs="Times New Roman"/>
          <w:color w:val="000000"/>
        </w:rPr>
        <w:t xml:space="preserve"> using ADVA cast 551</w:t>
      </w:r>
      <w:r w:rsidR="005272A4">
        <w:rPr>
          <w:rFonts w:ascii="Times New Roman" w:hAnsi="Times New Roman" w:cs="Times New Roman"/>
          <w:color w:val="000000"/>
        </w:rPr>
        <w:t xml:space="preserve">. </w:t>
      </w:r>
      <w:r>
        <w:rPr>
          <w:rFonts w:ascii="Times New Roman" w:hAnsi="Times New Roman" w:cs="Times New Roman"/>
          <w:color w:val="000000"/>
        </w:rPr>
        <w:t xml:space="preserve">Cerium was chosen as opposed to caesium or strontium as the main concerns in industry due to </w:t>
      </w:r>
      <w:r w:rsidR="006D108B">
        <w:rPr>
          <w:rFonts w:ascii="Times New Roman" w:hAnsi="Times New Roman" w:cs="Times New Roman"/>
          <w:color w:val="000000"/>
        </w:rPr>
        <w:t>superplasticisers</w:t>
      </w:r>
      <w:r>
        <w:rPr>
          <w:rFonts w:ascii="Times New Roman" w:hAnsi="Times New Roman" w:cs="Times New Roman"/>
          <w:color w:val="000000"/>
        </w:rPr>
        <w:t xml:space="preserve"> is regarding the complexion of uranium and plutonium</w:t>
      </w:r>
      <w:r w:rsidR="00BB583F">
        <w:rPr>
          <w:rFonts w:ascii="Times New Roman" w:hAnsi="Times New Roman" w:cs="Times New Roman"/>
          <w:color w:val="000000"/>
        </w:rPr>
        <w:t>, and</w:t>
      </w:r>
      <w:r>
        <w:rPr>
          <w:rFonts w:ascii="Times New Roman" w:hAnsi="Times New Roman" w:cs="Times New Roman"/>
          <w:color w:val="000000"/>
        </w:rPr>
        <w:t xml:space="preserve"> Ce is a good simulant for plutonium. </w:t>
      </w:r>
    </w:p>
    <w:p w14:paraId="466CA111" w14:textId="7E4CF04B" w:rsidR="00D56827" w:rsidRDefault="000F4295" w:rsidP="00D56827">
      <w:pPr>
        <w:spacing w:line="480" w:lineRule="exact"/>
        <w:jc w:val="both"/>
        <w:rPr>
          <w:rFonts w:ascii="Times New Roman" w:hAnsi="Times New Roman" w:cs="Times New Roman"/>
          <w:color w:val="000000"/>
        </w:rPr>
      </w:pPr>
      <w:r>
        <w:rPr>
          <w:rFonts w:ascii="Times New Roman" w:hAnsi="Times New Roman" w:cs="Times New Roman"/>
          <w:color w:val="000000"/>
        </w:rPr>
        <w:t xml:space="preserve">It was found that the introduction of ADVA cast 551 increased the fluidity and workability of the cement, did not alter the cement crystal structure however did increase the leached amounts of Ce by approximately 30%. In storage conditions this complexed Ce would come into contact with the cement backfill. </w:t>
      </w:r>
      <w:r w:rsidR="00271DB2">
        <w:rPr>
          <w:rFonts w:ascii="Times New Roman" w:hAnsi="Times New Roman" w:cs="Times New Roman"/>
          <w:color w:val="000000"/>
        </w:rPr>
        <w:t>A</w:t>
      </w:r>
      <w:r>
        <w:rPr>
          <w:rFonts w:ascii="Times New Roman" w:hAnsi="Times New Roman" w:cs="Times New Roman"/>
          <w:color w:val="000000"/>
        </w:rPr>
        <w:t xml:space="preserve"> flow through leaching test</w:t>
      </w:r>
      <w:r w:rsidR="00271DB2">
        <w:rPr>
          <w:rFonts w:ascii="Times New Roman" w:hAnsi="Times New Roman" w:cs="Times New Roman"/>
          <w:color w:val="000000"/>
        </w:rPr>
        <w:t xml:space="preserve"> was used</w:t>
      </w:r>
      <w:r>
        <w:rPr>
          <w:rFonts w:ascii="Times New Roman" w:hAnsi="Times New Roman" w:cs="Times New Roman"/>
          <w:color w:val="000000"/>
        </w:rPr>
        <w:t xml:space="preserve"> on an NRVB cement sample and synthesised solutions of the leached Ce incl</w:t>
      </w:r>
      <w:r w:rsidR="00271DB2">
        <w:rPr>
          <w:rFonts w:ascii="Times New Roman" w:hAnsi="Times New Roman" w:cs="Times New Roman"/>
          <w:color w:val="000000"/>
        </w:rPr>
        <w:t>uding the ADVA cast 551 to monitor how much Ce would pass through</w:t>
      </w:r>
      <w:r>
        <w:rPr>
          <w:rFonts w:ascii="Times New Roman" w:hAnsi="Times New Roman" w:cs="Times New Roman"/>
          <w:color w:val="000000"/>
        </w:rPr>
        <w:t xml:space="preserve">. It was found that similar amounts of Ce had passed through the NRVB whether the solution contained superplasticiser or not. </w:t>
      </w:r>
    </w:p>
    <w:p w14:paraId="160A84EC" w14:textId="51ECBDCC" w:rsidR="00694E23" w:rsidRDefault="00135182" w:rsidP="00751C5B">
      <w:pPr>
        <w:spacing w:line="480" w:lineRule="exact"/>
        <w:jc w:val="both"/>
        <w:rPr>
          <w:rFonts w:ascii="Times New Roman" w:hAnsi="Times New Roman" w:cs="Times New Roman"/>
          <w:color w:val="000000"/>
        </w:rPr>
      </w:pPr>
      <w:r>
        <w:rPr>
          <w:rFonts w:ascii="Times New Roman" w:hAnsi="Times New Roman" w:cs="Times New Roman"/>
          <w:color w:val="000000"/>
        </w:rPr>
        <w:t xml:space="preserve">This project found that the leaching behaviour of ions was </w:t>
      </w:r>
      <w:r w:rsidR="0018608F">
        <w:rPr>
          <w:rFonts w:ascii="Times New Roman" w:hAnsi="Times New Roman" w:cs="Times New Roman"/>
          <w:color w:val="000000"/>
        </w:rPr>
        <w:t>dependent</w:t>
      </w:r>
      <w:r>
        <w:rPr>
          <w:rFonts w:ascii="Times New Roman" w:hAnsi="Times New Roman" w:cs="Times New Roman"/>
          <w:color w:val="000000"/>
        </w:rPr>
        <w:t xml:space="preserve"> on how the ion is present and in which phase. Due to Cs and Sr being incorporated </w:t>
      </w:r>
      <w:r w:rsidR="0018608F">
        <w:rPr>
          <w:rFonts w:ascii="Times New Roman" w:hAnsi="Times New Roman" w:cs="Times New Roman"/>
          <w:color w:val="000000"/>
        </w:rPr>
        <w:t>differently</w:t>
      </w:r>
      <w:r>
        <w:rPr>
          <w:rFonts w:ascii="Times New Roman" w:hAnsi="Times New Roman" w:cs="Times New Roman"/>
          <w:color w:val="000000"/>
        </w:rPr>
        <w:t xml:space="preserve"> the Cs leaches much faster than the Sr, as it is not incorporated into any phase. The Sr is associated with several phases, however is mainly found to be </w:t>
      </w:r>
      <w:r w:rsidR="0018608F">
        <w:rPr>
          <w:rFonts w:ascii="Times New Roman" w:hAnsi="Times New Roman" w:cs="Times New Roman"/>
          <w:color w:val="000000"/>
        </w:rPr>
        <w:t>associated</w:t>
      </w:r>
      <w:r>
        <w:rPr>
          <w:rFonts w:ascii="Times New Roman" w:hAnsi="Times New Roman" w:cs="Times New Roman"/>
          <w:color w:val="000000"/>
        </w:rPr>
        <w:t xml:space="preserve"> with AFm </w:t>
      </w:r>
      <w:r w:rsidR="0018608F">
        <w:rPr>
          <w:rFonts w:ascii="Times New Roman" w:hAnsi="Times New Roman" w:cs="Times New Roman"/>
          <w:color w:val="000000"/>
        </w:rPr>
        <w:t>type</w:t>
      </w:r>
      <w:r>
        <w:rPr>
          <w:rFonts w:ascii="Times New Roman" w:hAnsi="Times New Roman" w:cs="Times New Roman"/>
          <w:color w:val="000000"/>
        </w:rPr>
        <w:t xml:space="preserve"> phases. </w:t>
      </w:r>
      <w:r w:rsidR="005E30E3">
        <w:rPr>
          <w:rFonts w:ascii="Times New Roman" w:hAnsi="Times New Roman" w:cs="Times New Roman"/>
          <w:color w:val="000000"/>
        </w:rPr>
        <w:t xml:space="preserve">The most </w:t>
      </w:r>
      <w:r>
        <w:rPr>
          <w:rFonts w:ascii="Times New Roman" w:hAnsi="Times New Roman" w:cs="Times New Roman"/>
          <w:color w:val="000000"/>
        </w:rPr>
        <w:t>efficient leaching</w:t>
      </w:r>
      <w:r w:rsidR="00D0162D">
        <w:rPr>
          <w:rFonts w:ascii="Times New Roman" w:hAnsi="Times New Roman" w:cs="Times New Roman"/>
          <w:color w:val="000000"/>
        </w:rPr>
        <w:t xml:space="preserve"> accelerant method is the electrical </w:t>
      </w:r>
      <w:r w:rsidR="0018608F">
        <w:rPr>
          <w:rFonts w:ascii="Times New Roman" w:hAnsi="Times New Roman" w:cs="Times New Roman"/>
          <w:color w:val="000000"/>
        </w:rPr>
        <w:t>method;</w:t>
      </w:r>
      <w:r w:rsidR="00D0162D">
        <w:rPr>
          <w:rFonts w:ascii="Times New Roman" w:hAnsi="Times New Roman" w:cs="Times New Roman"/>
          <w:color w:val="000000"/>
        </w:rPr>
        <w:t xml:space="preserve"> therefore with further investigation this could potentially be used </w:t>
      </w:r>
      <w:r w:rsidR="00541861">
        <w:rPr>
          <w:rFonts w:ascii="Times New Roman" w:hAnsi="Times New Roman" w:cs="Times New Roman"/>
          <w:color w:val="000000"/>
        </w:rPr>
        <w:t xml:space="preserve">to explore the </w:t>
      </w:r>
      <w:r w:rsidR="00D0162D">
        <w:rPr>
          <w:rFonts w:ascii="Times New Roman" w:hAnsi="Times New Roman" w:cs="Times New Roman"/>
          <w:color w:val="000000"/>
        </w:rPr>
        <w:t xml:space="preserve">optimal cement compositions for </w:t>
      </w:r>
      <w:r w:rsidR="006D108B">
        <w:rPr>
          <w:rFonts w:ascii="Times New Roman" w:hAnsi="Times New Roman" w:cs="Times New Roman"/>
          <w:color w:val="000000"/>
        </w:rPr>
        <w:t>cementitious</w:t>
      </w:r>
      <w:r w:rsidR="00D0162D">
        <w:rPr>
          <w:rFonts w:ascii="Times New Roman" w:hAnsi="Times New Roman" w:cs="Times New Roman"/>
          <w:color w:val="000000"/>
        </w:rPr>
        <w:t xml:space="preserve"> waste immobilisation</w:t>
      </w:r>
      <w:r w:rsidR="00541861">
        <w:rPr>
          <w:rFonts w:ascii="Times New Roman" w:hAnsi="Times New Roman" w:cs="Times New Roman"/>
          <w:color w:val="000000"/>
        </w:rPr>
        <w:t xml:space="preserve">. This could also be used in cement samples containing superplasticiser, given that this </w:t>
      </w:r>
      <w:r>
        <w:rPr>
          <w:rFonts w:ascii="Times New Roman" w:hAnsi="Times New Roman" w:cs="Times New Roman"/>
          <w:color w:val="000000"/>
        </w:rPr>
        <w:t>increases</w:t>
      </w:r>
      <w:r w:rsidR="00541861">
        <w:rPr>
          <w:rFonts w:ascii="Times New Roman" w:hAnsi="Times New Roman" w:cs="Times New Roman"/>
          <w:color w:val="000000"/>
        </w:rPr>
        <w:t xml:space="preserve"> mobility over short durations, the next step would be to investigate the </w:t>
      </w:r>
      <w:r w:rsidR="0018608F">
        <w:rPr>
          <w:rFonts w:ascii="Times New Roman" w:hAnsi="Times New Roman" w:cs="Times New Roman"/>
          <w:color w:val="000000"/>
        </w:rPr>
        <w:t>long-term</w:t>
      </w:r>
      <w:r w:rsidR="00541861">
        <w:rPr>
          <w:rFonts w:ascii="Times New Roman" w:hAnsi="Times New Roman" w:cs="Times New Roman"/>
          <w:color w:val="000000"/>
        </w:rPr>
        <w:t xml:space="preserve"> impacts, via simulation using </w:t>
      </w:r>
      <w:r>
        <w:rPr>
          <w:rFonts w:ascii="Times New Roman" w:hAnsi="Times New Roman" w:cs="Times New Roman"/>
          <w:color w:val="000000"/>
        </w:rPr>
        <w:t>electrical</w:t>
      </w:r>
      <w:r w:rsidR="00541861">
        <w:rPr>
          <w:rFonts w:ascii="Times New Roman" w:hAnsi="Times New Roman" w:cs="Times New Roman"/>
          <w:color w:val="000000"/>
        </w:rPr>
        <w:t xml:space="preserve"> leaching.</w:t>
      </w:r>
    </w:p>
    <w:p w14:paraId="29B28622" w14:textId="1808554D" w:rsidR="00C95D1E" w:rsidRDefault="00C95D1E" w:rsidP="00C95D1E">
      <w:pPr>
        <w:pBdr>
          <w:bottom w:val="single" w:sz="4" w:space="1" w:color="auto"/>
        </w:pBdr>
        <w:jc w:val="center"/>
        <w:rPr>
          <w:rFonts w:ascii="Times" w:hAnsi="Times"/>
        </w:rPr>
      </w:pPr>
      <w:r>
        <w:rPr>
          <w:rFonts w:ascii="Times" w:hAnsi="Times"/>
          <w:b/>
          <w:bCs/>
          <w:smallCaps/>
          <w:sz w:val="44"/>
          <w:szCs w:val="44"/>
        </w:rPr>
        <w:lastRenderedPageBreak/>
        <w:t>List of Abbreviations</w:t>
      </w:r>
    </w:p>
    <w:p w14:paraId="5E0D86C3" w14:textId="77777777" w:rsidR="00C95D1E" w:rsidRDefault="00C95D1E" w:rsidP="002B4159">
      <w:pPr>
        <w:spacing w:line="360" w:lineRule="exact"/>
        <w:jc w:val="both"/>
        <w:rPr>
          <w:rFonts w:ascii="Times New Roman" w:hAnsi="Times New Roman" w:cs="Times New Roman"/>
          <w:color w:val="000000"/>
          <w:sz w:val="28"/>
          <w:szCs w:val="28"/>
        </w:rPr>
      </w:pPr>
    </w:p>
    <w:p w14:paraId="49DAFC29" w14:textId="72A4BE9A" w:rsidR="00D56827" w:rsidRPr="00C95D1E" w:rsidRDefault="00D56827" w:rsidP="002B4159">
      <w:pPr>
        <w:spacing w:line="360" w:lineRule="exact"/>
        <w:jc w:val="both"/>
        <w:rPr>
          <w:rFonts w:ascii="Times New Roman" w:hAnsi="Times New Roman" w:cs="Times New Roman"/>
          <w:b/>
          <w:color w:val="000000"/>
          <w:sz w:val="28"/>
          <w:szCs w:val="28"/>
        </w:rPr>
      </w:pPr>
      <w:r w:rsidRPr="00C95D1E">
        <w:rPr>
          <w:rFonts w:ascii="Times New Roman" w:hAnsi="Times New Roman" w:cs="Times New Roman"/>
          <w:b/>
          <w:color w:val="000000"/>
          <w:sz w:val="28"/>
          <w:szCs w:val="28"/>
        </w:rPr>
        <w:t>Cement Nomenclature</w:t>
      </w:r>
    </w:p>
    <w:p w14:paraId="16A9444D" w14:textId="1AE88F74" w:rsidR="00D56827" w:rsidRPr="00C95D1E" w:rsidRDefault="00D56827" w:rsidP="002B4159">
      <w:pPr>
        <w:spacing w:line="360" w:lineRule="exact"/>
        <w:jc w:val="both"/>
        <w:rPr>
          <w:rFonts w:ascii="Times New Roman" w:hAnsi="Times New Roman" w:cs="Times New Roman"/>
          <w:color w:val="000000"/>
        </w:rPr>
      </w:pPr>
      <w:r w:rsidRPr="00C95D1E">
        <w:rPr>
          <w:rFonts w:ascii="Times New Roman" w:hAnsi="Times New Roman" w:cs="Times New Roman"/>
          <w:color w:val="000000"/>
        </w:rPr>
        <w:t>AFm</w:t>
      </w:r>
      <w:r w:rsidRPr="00C95D1E">
        <w:rPr>
          <w:rFonts w:ascii="Times New Roman" w:hAnsi="Times New Roman" w:cs="Times New Roman"/>
          <w:color w:val="000000"/>
        </w:rPr>
        <w:tab/>
      </w:r>
      <w:r w:rsidRPr="00C95D1E">
        <w:rPr>
          <w:rFonts w:ascii="Times New Roman" w:hAnsi="Times New Roman" w:cs="Times New Roman"/>
          <w:color w:val="000000"/>
        </w:rPr>
        <w:tab/>
      </w:r>
      <w:r w:rsidR="00124C4D">
        <w:rPr>
          <w:rFonts w:ascii="Times New Roman" w:hAnsi="Times New Roman" w:cs="Times New Roman"/>
          <w:color w:val="000000"/>
        </w:rPr>
        <w:t>Alumino-ferrite-mono</w:t>
      </w:r>
      <w:r w:rsidRPr="00C95D1E">
        <w:rPr>
          <w:rFonts w:ascii="Times New Roman" w:hAnsi="Times New Roman" w:cs="Times New Roman"/>
          <w:color w:val="000000"/>
        </w:rPr>
        <w:t xml:space="preserve"> phase</w:t>
      </w:r>
    </w:p>
    <w:p w14:paraId="0B174ED0" w14:textId="10FCFBA7" w:rsidR="00D56827" w:rsidRPr="00C95D1E" w:rsidRDefault="00D56827" w:rsidP="002B4159">
      <w:pPr>
        <w:spacing w:line="360" w:lineRule="exact"/>
        <w:jc w:val="both"/>
        <w:rPr>
          <w:rFonts w:ascii="Times New Roman" w:hAnsi="Times New Roman" w:cs="Times New Roman"/>
          <w:color w:val="000000"/>
        </w:rPr>
      </w:pPr>
      <w:r w:rsidRPr="00C95D1E">
        <w:rPr>
          <w:rFonts w:ascii="Times New Roman" w:hAnsi="Times New Roman" w:cs="Times New Roman"/>
          <w:color w:val="000000"/>
        </w:rPr>
        <w:t>AFt</w:t>
      </w:r>
      <w:r w:rsidRPr="00C95D1E">
        <w:rPr>
          <w:rFonts w:ascii="Times New Roman" w:hAnsi="Times New Roman" w:cs="Times New Roman"/>
          <w:color w:val="000000"/>
        </w:rPr>
        <w:tab/>
      </w:r>
      <w:r w:rsidRPr="00C95D1E">
        <w:rPr>
          <w:rFonts w:ascii="Times New Roman" w:hAnsi="Times New Roman" w:cs="Times New Roman"/>
          <w:color w:val="000000"/>
        </w:rPr>
        <w:tab/>
        <w:t>Ettringite</w:t>
      </w:r>
    </w:p>
    <w:p w14:paraId="3B5F4A5D" w14:textId="08B35D33" w:rsidR="00D56827" w:rsidRPr="00C95D1E" w:rsidRDefault="002B4159" w:rsidP="002B4159">
      <w:pPr>
        <w:spacing w:line="360" w:lineRule="exact"/>
        <w:jc w:val="both"/>
        <w:rPr>
          <w:rFonts w:ascii="Times New Roman" w:hAnsi="Times New Roman" w:cs="Times New Roman"/>
          <w:color w:val="000000"/>
        </w:rPr>
      </w:pPr>
      <w:r w:rsidRPr="00C95D1E">
        <w:rPr>
          <w:rFonts w:ascii="Times New Roman" w:hAnsi="Times New Roman" w:cs="Times New Roman"/>
          <w:color w:val="000000"/>
        </w:rPr>
        <w:t>C-S-H</w:t>
      </w:r>
      <w:r w:rsidRPr="00C95D1E">
        <w:rPr>
          <w:rFonts w:ascii="Times New Roman" w:hAnsi="Times New Roman" w:cs="Times New Roman"/>
          <w:color w:val="000000"/>
        </w:rPr>
        <w:tab/>
      </w:r>
      <w:r w:rsidR="00C95D1E">
        <w:rPr>
          <w:rFonts w:ascii="Times New Roman" w:hAnsi="Times New Roman" w:cs="Times New Roman"/>
          <w:color w:val="000000"/>
        </w:rPr>
        <w:tab/>
      </w:r>
      <w:r w:rsidR="00D56827" w:rsidRPr="00C95D1E">
        <w:rPr>
          <w:rFonts w:ascii="Times New Roman" w:hAnsi="Times New Roman" w:cs="Times New Roman"/>
          <w:color w:val="000000"/>
        </w:rPr>
        <w:t>Calcium silicate hydrate</w:t>
      </w:r>
    </w:p>
    <w:p w14:paraId="07C4F466" w14:textId="0C225ED8" w:rsidR="00D56827" w:rsidRPr="00C95D1E" w:rsidRDefault="00C95D1E" w:rsidP="00751C5B">
      <w:pPr>
        <w:widowControl w:val="0"/>
        <w:autoSpaceDE w:val="0"/>
        <w:autoSpaceDN w:val="0"/>
        <w:adjustRightInd w:val="0"/>
        <w:spacing w:after="240"/>
        <w:rPr>
          <w:rFonts w:ascii="Times" w:hAnsi="Times"/>
          <w:sz w:val="28"/>
          <w:szCs w:val="28"/>
        </w:rPr>
      </w:pPr>
      <w:r w:rsidRPr="00C95D1E">
        <w:rPr>
          <w:rFonts w:ascii="Times New Roman" w:hAnsi="Times New Roman" w:cs="Times New Roman"/>
        </w:rPr>
        <w:t>C</w:t>
      </w:r>
      <w:r w:rsidRPr="00C95D1E">
        <w:rPr>
          <w:rFonts w:ascii="Times New Roman" w:hAnsi="Times New Roman" w:cs="Times New Roman"/>
          <w:position w:val="-6"/>
        </w:rPr>
        <w:t>3</w:t>
      </w:r>
      <w:r w:rsidRPr="00C95D1E">
        <w:rPr>
          <w:rFonts w:ascii="Times New Roman" w:hAnsi="Times New Roman" w:cs="Times New Roman"/>
        </w:rPr>
        <w:t xml:space="preserve">S </w:t>
      </w:r>
      <w:r w:rsidRPr="00C95D1E">
        <w:rPr>
          <w:rFonts w:ascii="Times New Roman" w:hAnsi="Times New Roman" w:cs="Times New Roman"/>
        </w:rPr>
        <w:tab/>
      </w:r>
      <w:r w:rsidRPr="00C95D1E">
        <w:rPr>
          <w:rFonts w:ascii="Times New Roman" w:hAnsi="Times New Roman" w:cs="Times New Roman"/>
        </w:rPr>
        <w:tab/>
        <w:t>Tricalcium silicate, Ca</w:t>
      </w:r>
      <w:r w:rsidRPr="00C95D1E">
        <w:rPr>
          <w:rFonts w:ascii="Times New Roman" w:hAnsi="Times New Roman" w:cs="Times New Roman"/>
          <w:position w:val="-6"/>
        </w:rPr>
        <w:t>3</w:t>
      </w:r>
      <w:r w:rsidRPr="00C95D1E">
        <w:rPr>
          <w:rFonts w:ascii="Times New Roman" w:hAnsi="Times New Roman" w:cs="Times New Roman"/>
        </w:rPr>
        <w:t>SiO</w:t>
      </w:r>
      <w:r w:rsidRPr="00C95D1E">
        <w:rPr>
          <w:rFonts w:ascii="Times New Roman" w:hAnsi="Times New Roman" w:cs="Times New Roman"/>
          <w:position w:val="-6"/>
        </w:rPr>
        <w:t>5</w:t>
      </w:r>
      <w:r w:rsidRPr="00C95D1E">
        <w:rPr>
          <w:rFonts w:ascii="Times New Roman" w:hAnsi="Times New Roman" w:cs="Times New Roman"/>
        </w:rPr>
        <w:t> </w:t>
      </w:r>
      <w:r w:rsidRPr="00C95D1E">
        <w:rPr>
          <w:rFonts w:ascii="Times New Roman" w:hAnsi="Times New Roman" w:cs="Times New Roman"/>
        </w:rPr>
        <w:br/>
        <w:t>C</w:t>
      </w:r>
      <w:r w:rsidRPr="00C95D1E">
        <w:rPr>
          <w:rFonts w:ascii="Times New Roman" w:hAnsi="Times New Roman" w:cs="Times New Roman"/>
          <w:position w:val="-6"/>
        </w:rPr>
        <w:t>2</w:t>
      </w:r>
      <w:r w:rsidRPr="00C95D1E">
        <w:rPr>
          <w:rFonts w:ascii="Times New Roman" w:hAnsi="Times New Roman" w:cs="Times New Roman"/>
        </w:rPr>
        <w:t xml:space="preserve">S </w:t>
      </w:r>
      <w:r w:rsidRPr="00C95D1E">
        <w:rPr>
          <w:rFonts w:ascii="Times New Roman" w:hAnsi="Times New Roman" w:cs="Times New Roman"/>
        </w:rPr>
        <w:tab/>
      </w:r>
      <w:r w:rsidRPr="00C95D1E">
        <w:rPr>
          <w:rFonts w:ascii="Times New Roman" w:hAnsi="Times New Roman" w:cs="Times New Roman"/>
        </w:rPr>
        <w:tab/>
        <w:t>Dicalcium silicate, Ca</w:t>
      </w:r>
      <w:r w:rsidRPr="00C95D1E">
        <w:rPr>
          <w:rFonts w:ascii="Times New Roman" w:hAnsi="Times New Roman" w:cs="Times New Roman"/>
          <w:position w:val="-6"/>
        </w:rPr>
        <w:t>2</w:t>
      </w:r>
      <w:r w:rsidRPr="00C95D1E">
        <w:rPr>
          <w:rFonts w:ascii="Times New Roman" w:hAnsi="Times New Roman" w:cs="Times New Roman"/>
        </w:rPr>
        <w:t>SiO</w:t>
      </w:r>
      <w:r w:rsidRPr="00C95D1E">
        <w:rPr>
          <w:rFonts w:ascii="Times New Roman" w:hAnsi="Times New Roman" w:cs="Times New Roman"/>
          <w:position w:val="-6"/>
        </w:rPr>
        <w:t>4</w:t>
      </w:r>
      <w:r w:rsidRPr="00C95D1E">
        <w:rPr>
          <w:rFonts w:ascii="Times New Roman" w:hAnsi="Times New Roman" w:cs="Times New Roman"/>
        </w:rPr>
        <w:t> </w:t>
      </w:r>
      <w:r w:rsidRPr="00C95D1E">
        <w:rPr>
          <w:rFonts w:ascii="Times New Roman" w:hAnsi="Times New Roman" w:cs="Times New Roman"/>
        </w:rPr>
        <w:br/>
        <w:t>C</w:t>
      </w:r>
      <w:r w:rsidRPr="00C95D1E">
        <w:rPr>
          <w:rFonts w:ascii="Times New Roman" w:hAnsi="Times New Roman" w:cs="Times New Roman"/>
          <w:position w:val="-6"/>
        </w:rPr>
        <w:t>3</w:t>
      </w:r>
      <w:r w:rsidRPr="00C95D1E">
        <w:rPr>
          <w:rFonts w:ascii="Times New Roman" w:hAnsi="Times New Roman" w:cs="Times New Roman"/>
        </w:rPr>
        <w:t xml:space="preserve">A </w:t>
      </w:r>
      <w:r w:rsidRPr="00C95D1E">
        <w:rPr>
          <w:rFonts w:ascii="Times New Roman" w:hAnsi="Times New Roman" w:cs="Times New Roman"/>
        </w:rPr>
        <w:tab/>
      </w:r>
      <w:r w:rsidRPr="00C95D1E">
        <w:rPr>
          <w:rFonts w:ascii="Times New Roman" w:hAnsi="Times New Roman" w:cs="Times New Roman"/>
        </w:rPr>
        <w:tab/>
        <w:t>Tricalcium aluminate, Ca</w:t>
      </w:r>
      <w:r w:rsidRPr="00C95D1E">
        <w:rPr>
          <w:rFonts w:ascii="Times New Roman" w:hAnsi="Times New Roman" w:cs="Times New Roman"/>
          <w:position w:val="-6"/>
        </w:rPr>
        <w:t>3</w:t>
      </w:r>
      <w:r w:rsidRPr="00C95D1E">
        <w:rPr>
          <w:rFonts w:ascii="Times New Roman" w:hAnsi="Times New Roman" w:cs="Times New Roman"/>
        </w:rPr>
        <w:t>Al</w:t>
      </w:r>
      <w:r w:rsidRPr="00C95D1E">
        <w:rPr>
          <w:rFonts w:ascii="Times New Roman" w:hAnsi="Times New Roman" w:cs="Times New Roman"/>
          <w:position w:val="-6"/>
        </w:rPr>
        <w:t>2</w:t>
      </w:r>
      <w:r w:rsidRPr="00C95D1E">
        <w:rPr>
          <w:rFonts w:ascii="Times New Roman" w:hAnsi="Times New Roman" w:cs="Times New Roman"/>
        </w:rPr>
        <w:t>O</w:t>
      </w:r>
      <w:r w:rsidRPr="00C95D1E">
        <w:rPr>
          <w:rFonts w:ascii="Times New Roman" w:hAnsi="Times New Roman" w:cs="Times New Roman"/>
          <w:position w:val="-6"/>
        </w:rPr>
        <w:t xml:space="preserve">6 </w:t>
      </w:r>
      <w:r w:rsidRPr="00C95D1E">
        <w:rPr>
          <w:rFonts w:ascii="Times New Roman" w:hAnsi="Times New Roman" w:cs="Times New Roman"/>
          <w:position w:val="-6"/>
        </w:rPr>
        <w:br/>
      </w:r>
      <w:r w:rsidRPr="00C95D1E">
        <w:rPr>
          <w:rFonts w:ascii="Times New Roman" w:hAnsi="Times New Roman" w:cs="Times New Roman"/>
        </w:rPr>
        <w:t>C</w:t>
      </w:r>
      <w:r w:rsidRPr="00C95D1E">
        <w:rPr>
          <w:rFonts w:ascii="Times New Roman" w:hAnsi="Times New Roman" w:cs="Times New Roman"/>
          <w:position w:val="-6"/>
        </w:rPr>
        <w:t>4</w:t>
      </w:r>
      <w:r w:rsidRPr="00C95D1E">
        <w:rPr>
          <w:rFonts w:ascii="Times New Roman" w:hAnsi="Times New Roman" w:cs="Times New Roman"/>
        </w:rPr>
        <w:t xml:space="preserve">AF </w:t>
      </w:r>
      <w:r w:rsidRPr="00C95D1E">
        <w:rPr>
          <w:rFonts w:ascii="Times New Roman" w:hAnsi="Times New Roman" w:cs="Times New Roman"/>
        </w:rPr>
        <w:tab/>
      </w:r>
      <w:r>
        <w:rPr>
          <w:rFonts w:ascii="Times New Roman" w:hAnsi="Times New Roman" w:cs="Times New Roman"/>
        </w:rPr>
        <w:tab/>
      </w:r>
      <w:r w:rsidRPr="00C95D1E">
        <w:rPr>
          <w:rFonts w:ascii="Times New Roman" w:hAnsi="Times New Roman" w:cs="Times New Roman"/>
        </w:rPr>
        <w:t xml:space="preserve">Calcium aluminoferrite, </w:t>
      </w:r>
      <w:r w:rsidR="00B56CCA" w:rsidRPr="00B56CCA">
        <w:rPr>
          <w:rFonts w:ascii="Times New Roman" w:hAnsi="Times New Roman" w:cs="Times New Roman"/>
        </w:rPr>
        <w:t>Ca</w:t>
      </w:r>
      <w:r w:rsidR="00B56CCA" w:rsidRPr="00B56CCA">
        <w:rPr>
          <w:rFonts w:ascii="Times New Roman" w:hAnsi="Times New Roman" w:cs="Times New Roman"/>
          <w:vertAlign w:val="subscript"/>
        </w:rPr>
        <w:t>4</w:t>
      </w:r>
      <w:r w:rsidR="00B56CCA" w:rsidRPr="00B56CCA">
        <w:rPr>
          <w:rFonts w:ascii="Times New Roman" w:hAnsi="Times New Roman" w:cs="Times New Roman"/>
        </w:rPr>
        <w:t>Al</w:t>
      </w:r>
      <w:r w:rsidR="00B56CCA" w:rsidRPr="00B56CCA">
        <w:rPr>
          <w:rFonts w:ascii="Times New Roman" w:hAnsi="Times New Roman" w:cs="Times New Roman"/>
          <w:vertAlign w:val="subscript"/>
        </w:rPr>
        <w:t>2</w:t>
      </w:r>
      <w:r w:rsidR="00B56CCA" w:rsidRPr="00B56CCA">
        <w:rPr>
          <w:rFonts w:ascii="Times New Roman" w:hAnsi="Times New Roman" w:cs="Times New Roman"/>
        </w:rPr>
        <w:t>Fe</w:t>
      </w:r>
      <w:r w:rsidR="00B56CCA" w:rsidRPr="00B56CCA">
        <w:rPr>
          <w:rFonts w:ascii="Times New Roman" w:hAnsi="Times New Roman" w:cs="Times New Roman"/>
          <w:vertAlign w:val="subscript"/>
        </w:rPr>
        <w:t>2</w:t>
      </w:r>
      <w:r w:rsidR="00B56CCA" w:rsidRPr="00B56CCA">
        <w:rPr>
          <w:rFonts w:ascii="Times New Roman" w:hAnsi="Times New Roman" w:cs="Times New Roman"/>
        </w:rPr>
        <w:t>O</w:t>
      </w:r>
      <w:r w:rsidR="00B56CCA" w:rsidRPr="00B56CCA">
        <w:rPr>
          <w:rFonts w:ascii="Times New Roman" w:hAnsi="Times New Roman" w:cs="Times New Roman"/>
          <w:vertAlign w:val="subscript"/>
        </w:rPr>
        <w:t>10</w:t>
      </w:r>
      <w:r w:rsidR="00B56CCA" w:rsidRPr="00B56CCA">
        <w:rPr>
          <w:rFonts w:ascii="Times New Roman" w:hAnsi="Times New Roman" w:cs="Times New Roman"/>
        </w:rPr>
        <w:t xml:space="preserve"> </w:t>
      </w:r>
    </w:p>
    <w:p w14:paraId="29E0A434" w14:textId="7EC416BC" w:rsidR="00D56827" w:rsidRPr="00C95D1E" w:rsidRDefault="00C95D1E" w:rsidP="002B4159">
      <w:pPr>
        <w:spacing w:line="360" w:lineRule="exact"/>
        <w:jc w:val="both"/>
        <w:rPr>
          <w:rFonts w:ascii="Times" w:hAnsi="Times"/>
          <w:b/>
          <w:sz w:val="28"/>
          <w:szCs w:val="28"/>
        </w:rPr>
      </w:pPr>
      <w:r w:rsidRPr="00C95D1E">
        <w:rPr>
          <w:rFonts w:ascii="Times" w:hAnsi="Times"/>
          <w:b/>
          <w:sz w:val="28"/>
          <w:szCs w:val="28"/>
        </w:rPr>
        <w:t>Abbreviations</w:t>
      </w:r>
    </w:p>
    <w:p w14:paraId="2F610D3F" w14:textId="77777777" w:rsidR="00FF24D3" w:rsidRPr="00C95D1E" w:rsidRDefault="00FF24D3" w:rsidP="002B4159">
      <w:pPr>
        <w:spacing w:line="360" w:lineRule="exact"/>
        <w:rPr>
          <w:rFonts w:ascii="Times" w:hAnsi="Times"/>
        </w:rPr>
      </w:pPr>
      <w:r w:rsidRPr="00C95D1E">
        <w:rPr>
          <w:rFonts w:ascii="Times" w:hAnsi="Times"/>
        </w:rPr>
        <w:t>A</w:t>
      </w:r>
      <w:r w:rsidRPr="00C95D1E">
        <w:rPr>
          <w:rFonts w:ascii="Times" w:hAnsi="Times"/>
        </w:rPr>
        <w:tab/>
      </w:r>
      <w:r w:rsidRPr="00C95D1E">
        <w:rPr>
          <w:rFonts w:ascii="Times" w:hAnsi="Times"/>
        </w:rPr>
        <w:tab/>
        <w:t>Acidically leached samples</w:t>
      </w:r>
    </w:p>
    <w:p w14:paraId="3945E3BB" w14:textId="77777777" w:rsidR="00BF48F0" w:rsidRPr="00C95D1E" w:rsidRDefault="00FF24D3" w:rsidP="002B4159">
      <w:pPr>
        <w:spacing w:line="360" w:lineRule="exact"/>
        <w:rPr>
          <w:rFonts w:ascii="Times" w:hAnsi="Times"/>
        </w:rPr>
      </w:pPr>
      <w:r w:rsidRPr="00C95D1E">
        <w:rPr>
          <w:rFonts w:ascii="Times" w:hAnsi="Times"/>
        </w:rPr>
        <w:t>A551</w:t>
      </w:r>
      <w:r w:rsidRPr="00C95D1E">
        <w:rPr>
          <w:rFonts w:ascii="Times" w:hAnsi="Times"/>
        </w:rPr>
        <w:tab/>
      </w:r>
      <w:r w:rsidRPr="00C95D1E">
        <w:rPr>
          <w:rFonts w:ascii="Times" w:hAnsi="Times"/>
        </w:rPr>
        <w:tab/>
        <w:t>ADVA cast 551</w:t>
      </w:r>
    </w:p>
    <w:p w14:paraId="493E5F77" w14:textId="77777777" w:rsidR="00BF48F0" w:rsidRPr="00C95D1E" w:rsidRDefault="00BF48F0" w:rsidP="002B4159">
      <w:pPr>
        <w:spacing w:line="360" w:lineRule="exact"/>
        <w:rPr>
          <w:rFonts w:ascii="Times" w:hAnsi="Times"/>
        </w:rPr>
      </w:pPr>
      <w:r w:rsidRPr="00C95D1E">
        <w:rPr>
          <w:rFonts w:ascii="Times" w:hAnsi="Times"/>
        </w:rPr>
        <w:t>BFS</w:t>
      </w:r>
      <w:r w:rsidRPr="00C95D1E">
        <w:rPr>
          <w:rFonts w:ascii="Times" w:hAnsi="Times"/>
        </w:rPr>
        <w:tab/>
      </w:r>
      <w:r w:rsidRPr="00C95D1E">
        <w:rPr>
          <w:rFonts w:ascii="Times" w:hAnsi="Times"/>
        </w:rPr>
        <w:tab/>
        <w:t>Blast furnace slag</w:t>
      </w:r>
    </w:p>
    <w:p w14:paraId="78E12C99" w14:textId="77777777" w:rsidR="00FF24D3" w:rsidRPr="00C95D1E" w:rsidRDefault="00FF24D3" w:rsidP="002B4159">
      <w:pPr>
        <w:spacing w:line="360" w:lineRule="exact"/>
        <w:rPr>
          <w:rFonts w:ascii="Times" w:hAnsi="Times"/>
        </w:rPr>
      </w:pPr>
      <w:r w:rsidRPr="00C95D1E">
        <w:rPr>
          <w:rFonts w:ascii="Times" w:hAnsi="Times"/>
        </w:rPr>
        <w:t>BSE</w:t>
      </w:r>
      <w:r w:rsidRPr="00C95D1E">
        <w:rPr>
          <w:rFonts w:ascii="Times" w:hAnsi="Times"/>
        </w:rPr>
        <w:tab/>
      </w:r>
      <w:r w:rsidRPr="00C95D1E">
        <w:rPr>
          <w:rFonts w:ascii="Times" w:hAnsi="Times"/>
        </w:rPr>
        <w:tab/>
        <w:t>Back scattered electron imaging</w:t>
      </w:r>
    </w:p>
    <w:p w14:paraId="7178D7A6" w14:textId="77777777" w:rsidR="00FF24D3" w:rsidRPr="00C95D1E" w:rsidRDefault="0050690C" w:rsidP="002B4159">
      <w:pPr>
        <w:spacing w:line="360" w:lineRule="exact"/>
        <w:rPr>
          <w:rFonts w:ascii="Times" w:hAnsi="Times"/>
        </w:rPr>
      </w:pPr>
      <m:oMath>
        <m:acc>
          <m:accPr>
            <m:chr m:val="̅"/>
            <m:ctrlPr>
              <w:rPr>
                <w:rFonts w:ascii="Cambria Math" w:hAnsi="Cambria Math" w:cs="Times New Roman"/>
                <w:i/>
                <w:sz w:val="36"/>
              </w:rPr>
            </m:ctrlPr>
          </m:accPr>
          <m:e>
            <m:r>
              <m:rPr>
                <m:sty m:val="p"/>
              </m:rPr>
              <w:rPr>
                <w:rFonts w:ascii="Cambria Math" w:hAnsi="Cambria Math" w:cs="Times New Roman"/>
                <w:sz w:val="36"/>
              </w:rPr>
              <m:t>c</m:t>
            </m:r>
          </m:e>
        </m:acc>
      </m:oMath>
      <w:r w:rsidR="00FF24D3" w:rsidRPr="00C95D1E">
        <w:rPr>
          <w:rFonts w:ascii="Times" w:hAnsi="Times"/>
        </w:rPr>
        <w:tab/>
      </w:r>
      <w:r w:rsidR="00FF24D3" w:rsidRPr="00C95D1E">
        <w:rPr>
          <w:rFonts w:ascii="Times" w:hAnsi="Times"/>
        </w:rPr>
        <w:tab/>
        <w:t>Cement sample containing 3wt% caesium nitrate</w:t>
      </w:r>
    </w:p>
    <w:p w14:paraId="43F5F510" w14:textId="77777777" w:rsidR="00FF24D3" w:rsidRPr="00C95D1E" w:rsidRDefault="00FF24D3" w:rsidP="002B4159">
      <w:pPr>
        <w:spacing w:line="360" w:lineRule="exact"/>
        <w:rPr>
          <w:rFonts w:ascii="Times" w:hAnsi="Times"/>
        </w:rPr>
      </w:pPr>
      <w:r w:rsidRPr="00C95D1E">
        <w:rPr>
          <w:rFonts w:ascii="Times" w:hAnsi="Times"/>
        </w:rPr>
        <w:t>CE</w:t>
      </w:r>
      <w:r w:rsidRPr="00C95D1E">
        <w:rPr>
          <w:rFonts w:ascii="Times" w:hAnsi="Times"/>
        </w:rPr>
        <w:tab/>
      </w:r>
      <w:r w:rsidRPr="00C95D1E">
        <w:rPr>
          <w:rFonts w:ascii="Times" w:hAnsi="Times"/>
        </w:rPr>
        <w:tab/>
        <w:t>Cement samples containing cerium nitrate</w:t>
      </w:r>
    </w:p>
    <w:p w14:paraId="4DC74718" w14:textId="77777777" w:rsidR="00FF24D3" w:rsidRPr="00C95D1E" w:rsidRDefault="00FF24D3" w:rsidP="002B4159">
      <w:pPr>
        <w:spacing w:line="360" w:lineRule="exact"/>
        <w:ind w:left="1440" w:hanging="1440"/>
        <w:rPr>
          <w:rFonts w:ascii="Times" w:hAnsi="Times"/>
        </w:rPr>
      </w:pPr>
      <w:r w:rsidRPr="00C95D1E">
        <w:rPr>
          <w:rFonts w:ascii="Times" w:hAnsi="Times"/>
        </w:rPr>
        <w:t>CEA</w:t>
      </w:r>
      <w:r w:rsidRPr="00C95D1E">
        <w:rPr>
          <w:rFonts w:ascii="Times" w:hAnsi="Times"/>
        </w:rPr>
        <w:tab/>
        <w:t xml:space="preserve">Cement samples containing cerium nitrate and ADVA cast 551 </w:t>
      </w:r>
    </w:p>
    <w:p w14:paraId="70FF4D37" w14:textId="571FDBDA" w:rsidR="00FF24D3" w:rsidRPr="00C95D1E" w:rsidRDefault="0050690C" w:rsidP="002B4159">
      <w:pPr>
        <w:spacing w:line="360" w:lineRule="exact"/>
        <w:ind w:left="1440" w:hanging="1440"/>
        <w:rPr>
          <w:rFonts w:ascii="Times" w:hAnsi="Times"/>
        </w:rPr>
      </w:pPr>
      <m:oMath>
        <m:acc>
          <m:accPr>
            <m:chr m:val="̅"/>
            <m:ctrlPr>
              <w:rPr>
                <w:rFonts w:ascii="Cambria Math" w:hAnsi="Cambria Math" w:cs="Times New Roman"/>
                <w:i/>
                <w:sz w:val="36"/>
              </w:rPr>
            </m:ctrlPr>
          </m:accPr>
          <m:e>
            <m:r>
              <m:rPr>
                <m:sty m:val="p"/>
              </m:rPr>
              <w:rPr>
                <w:rFonts w:ascii="Cambria Math" w:hAnsi="Cambria Math" w:cs="Times New Roman"/>
                <w:sz w:val="36"/>
              </w:rPr>
              <m:t>cs</m:t>
            </m:r>
          </m:e>
        </m:acc>
      </m:oMath>
      <w:r w:rsidR="00FF24D3" w:rsidRPr="00C95D1E">
        <w:rPr>
          <w:rFonts w:ascii="Times" w:hAnsi="Times"/>
        </w:rPr>
        <w:tab/>
        <w:t xml:space="preserve">Cement sample containing 3wt% </w:t>
      </w:r>
      <w:r w:rsidR="0066501D" w:rsidRPr="00C95D1E">
        <w:rPr>
          <w:rFonts w:ascii="Times" w:hAnsi="Times"/>
        </w:rPr>
        <w:t>CsNO</w:t>
      </w:r>
      <w:r w:rsidR="0066501D" w:rsidRPr="00C95D1E">
        <w:rPr>
          <w:rFonts w:ascii="Times" w:hAnsi="Times"/>
          <w:vertAlign w:val="subscript"/>
        </w:rPr>
        <w:t>3</w:t>
      </w:r>
      <w:r w:rsidR="00FF24D3" w:rsidRPr="00C95D1E">
        <w:rPr>
          <w:rFonts w:ascii="Times" w:hAnsi="Times"/>
        </w:rPr>
        <w:t xml:space="preserve"> and 3wt% </w:t>
      </w:r>
      <w:proofErr w:type="gramStart"/>
      <w:r w:rsidR="0066501D" w:rsidRPr="00C95D1E">
        <w:rPr>
          <w:rFonts w:ascii="Times" w:hAnsi="Times"/>
        </w:rPr>
        <w:t>Sr(</w:t>
      </w:r>
      <w:proofErr w:type="gramEnd"/>
      <w:r w:rsidR="0066501D" w:rsidRPr="00C95D1E">
        <w:rPr>
          <w:rFonts w:ascii="Times" w:hAnsi="Times"/>
        </w:rPr>
        <w:t>NO</w:t>
      </w:r>
      <w:r w:rsidR="0066501D" w:rsidRPr="00C95D1E">
        <w:rPr>
          <w:rFonts w:ascii="Times" w:hAnsi="Times"/>
          <w:vertAlign w:val="subscript"/>
        </w:rPr>
        <w:t>3</w:t>
      </w:r>
      <w:r w:rsidR="0066501D" w:rsidRPr="00C95D1E">
        <w:rPr>
          <w:rFonts w:ascii="Times" w:hAnsi="Times"/>
        </w:rPr>
        <w:t>)</w:t>
      </w:r>
      <w:r w:rsidR="0066501D" w:rsidRPr="00C95D1E">
        <w:rPr>
          <w:rFonts w:ascii="Times" w:hAnsi="Times"/>
          <w:vertAlign w:val="subscript"/>
        </w:rPr>
        <w:t>2</w:t>
      </w:r>
    </w:p>
    <w:p w14:paraId="0D422D98" w14:textId="77777777" w:rsidR="00FF24D3" w:rsidRPr="00C95D1E" w:rsidRDefault="00FF24D3" w:rsidP="002B4159">
      <w:pPr>
        <w:spacing w:line="360" w:lineRule="exact"/>
        <w:rPr>
          <w:rFonts w:ascii="Times" w:hAnsi="Times"/>
        </w:rPr>
      </w:pPr>
      <w:r w:rsidRPr="00C95D1E">
        <w:rPr>
          <w:rFonts w:ascii="Times" w:hAnsi="Times"/>
        </w:rPr>
        <w:t>D</w:t>
      </w:r>
      <w:r w:rsidRPr="00C95D1E">
        <w:rPr>
          <w:rFonts w:ascii="Times" w:hAnsi="Times"/>
        </w:rPr>
        <w:tab/>
      </w:r>
      <w:r w:rsidRPr="00C95D1E">
        <w:rPr>
          <w:rFonts w:ascii="Times" w:hAnsi="Times"/>
        </w:rPr>
        <w:tab/>
        <w:t>Days</w:t>
      </w:r>
    </w:p>
    <w:p w14:paraId="3EDBE860" w14:textId="77777777" w:rsidR="00FF24D3" w:rsidRPr="00C95D1E" w:rsidRDefault="00FF24D3" w:rsidP="002B4159">
      <w:pPr>
        <w:spacing w:line="360" w:lineRule="exact"/>
        <w:rPr>
          <w:rFonts w:ascii="Times" w:hAnsi="Times"/>
        </w:rPr>
      </w:pPr>
      <w:r w:rsidRPr="00C95D1E">
        <w:rPr>
          <w:rFonts w:ascii="Times" w:hAnsi="Times"/>
        </w:rPr>
        <w:t>E</w:t>
      </w:r>
      <w:r w:rsidRPr="00C95D1E">
        <w:rPr>
          <w:rFonts w:ascii="Times" w:hAnsi="Times"/>
        </w:rPr>
        <w:tab/>
      </w:r>
      <w:r w:rsidRPr="00C95D1E">
        <w:rPr>
          <w:rFonts w:ascii="Times" w:hAnsi="Times"/>
        </w:rPr>
        <w:tab/>
        <w:t>Electrically leached samples</w:t>
      </w:r>
    </w:p>
    <w:p w14:paraId="36C626B0" w14:textId="36E94B68" w:rsidR="00D56827" w:rsidRPr="00C95D1E" w:rsidRDefault="00D56827" w:rsidP="002B4159">
      <w:pPr>
        <w:spacing w:line="360" w:lineRule="exact"/>
        <w:rPr>
          <w:rFonts w:ascii="Times" w:hAnsi="Times"/>
        </w:rPr>
      </w:pPr>
      <w:r w:rsidRPr="00C95D1E">
        <w:rPr>
          <w:rFonts w:ascii="Times" w:hAnsi="Times"/>
        </w:rPr>
        <w:t>EDS</w:t>
      </w:r>
      <w:r w:rsidRPr="00C95D1E">
        <w:rPr>
          <w:rFonts w:ascii="Times" w:hAnsi="Times"/>
        </w:rPr>
        <w:tab/>
      </w:r>
      <w:r w:rsidRPr="00C95D1E">
        <w:rPr>
          <w:rFonts w:ascii="Times" w:hAnsi="Times"/>
        </w:rPr>
        <w:tab/>
        <w:t>Energy Dispersive X-ray Spectroscopy</w:t>
      </w:r>
    </w:p>
    <w:p w14:paraId="156E81A5" w14:textId="3505718E" w:rsidR="00FF24D3" w:rsidRPr="00C95D1E" w:rsidRDefault="00FF24D3" w:rsidP="002B4159">
      <w:pPr>
        <w:spacing w:line="360" w:lineRule="exact"/>
        <w:rPr>
          <w:rFonts w:ascii="Times" w:hAnsi="Times"/>
        </w:rPr>
      </w:pPr>
      <w:r w:rsidRPr="00C95D1E">
        <w:rPr>
          <w:rFonts w:ascii="Times" w:hAnsi="Times"/>
        </w:rPr>
        <w:t>ICP-MS</w:t>
      </w:r>
      <w:r w:rsidRPr="00C95D1E">
        <w:rPr>
          <w:rFonts w:ascii="Times" w:hAnsi="Times"/>
        </w:rPr>
        <w:tab/>
        <w:t xml:space="preserve">Inductively coupled plasma </w:t>
      </w:r>
      <w:r w:rsidR="000A3FE1">
        <w:rPr>
          <w:rFonts w:ascii="Times" w:hAnsi="Times"/>
        </w:rPr>
        <w:t>mass spe</w:t>
      </w:r>
      <w:r w:rsidRPr="00C95D1E">
        <w:rPr>
          <w:rFonts w:ascii="Times" w:hAnsi="Times"/>
        </w:rPr>
        <w:t>ctroscopy</w:t>
      </w:r>
    </w:p>
    <w:p w14:paraId="4B705774" w14:textId="77777777" w:rsidR="00BF48F0" w:rsidRPr="00C95D1E" w:rsidRDefault="00FF24D3" w:rsidP="002B4159">
      <w:pPr>
        <w:spacing w:line="360" w:lineRule="exact"/>
        <w:rPr>
          <w:rFonts w:ascii="Times" w:hAnsi="Times"/>
        </w:rPr>
      </w:pPr>
      <w:r w:rsidRPr="00C95D1E">
        <w:rPr>
          <w:rFonts w:ascii="Times" w:hAnsi="Times"/>
        </w:rPr>
        <w:t>ILW</w:t>
      </w:r>
      <w:r w:rsidRPr="00C95D1E">
        <w:rPr>
          <w:rFonts w:ascii="Times" w:hAnsi="Times"/>
        </w:rPr>
        <w:tab/>
      </w:r>
      <w:r w:rsidRPr="00C95D1E">
        <w:rPr>
          <w:rFonts w:ascii="Times" w:hAnsi="Times"/>
        </w:rPr>
        <w:tab/>
        <w:t>Intermediate level waste</w:t>
      </w:r>
    </w:p>
    <w:p w14:paraId="544EDE51" w14:textId="70B3A4CC" w:rsidR="00D56827" w:rsidRPr="00C95D1E" w:rsidRDefault="00D56827" w:rsidP="002B4159">
      <w:pPr>
        <w:spacing w:line="360" w:lineRule="exact"/>
        <w:rPr>
          <w:rFonts w:ascii="Times" w:hAnsi="Times"/>
        </w:rPr>
      </w:pPr>
      <w:r w:rsidRPr="00C95D1E">
        <w:rPr>
          <w:rFonts w:ascii="Times" w:hAnsi="Times"/>
        </w:rPr>
        <w:t>HC</w:t>
      </w:r>
      <w:r w:rsidRPr="00C95D1E">
        <w:rPr>
          <w:rFonts w:ascii="Times" w:hAnsi="Times"/>
        </w:rPr>
        <w:tab/>
      </w:r>
      <w:r w:rsidRPr="00C95D1E">
        <w:rPr>
          <w:rFonts w:ascii="Times" w:hAnsi="Times"/>
        </w:rPr>
        <w:tab/>
        <w:t>Hydrotalcite cement phase</w:t>
      </w:r>
    </w:p>
    <w:p w14:paraId="2FD7E60B" w14:textId="77777777" w:rsidR="00FF24D3" w:rsidRPr="00C95D1E" w:rsidRDefault="00FF24D3" w:rsidP="002B4159">
      <w:pPr>
        <w:spacing w:line="360" w:lineRule="exact"/>
        <w:rPr>
          <w:rFonts w:ascii="Times" w:hAnsi="Times"/>
        </w:rPr>
      </w:pPr>
      <w:r w:rsidRPr="00C95D1E">
        <w:rPr>
          <w:rFonts w:ascii="Times" w:hAnsi="Times"/>
        </w:rPr>
        <w:t>HLW</w:t>
      </w:r>
      <w:r w:rsidRPr="00C95D1E">
        <w:rPr>
          <w:rFonts w:ascii="Times" w:hAnsi="Times"/>
        </w:rPr>
        <w:tab/>
      </w:r>
      <w:r w:rsidRPr="00C95D1E">
        <w:rPr>
          <w:rFonts w:ascii="Times" w:hAnsi="Times"/>
        </w:rPr>
        <w:tab/>
        <w:t>High level waste</w:t>
      </w:r>
    </w:p>
    <w:p w14:paraId="08A0F2DD" w14:textId="77777777" w:rsidR="00FF24D3" w:rsidRPr="00C95D1E" w:rsidRDefault="00FF24D3" w:rsidP="002B4159">
      <w:pPr>
        <w:spacing w:line="360" w:lineRule="exact"/>
        <w:rPr>
          <w:rFonts w:ascii="Times" w:hAnsi="Times"/>
        </w:rPr>
      </w:pPr>
      <w:r w:rsidRPr="00C95D1E">
        <w:rPr>
          <w:rFonts w:ascii="Times" w:hAnsi="Times"/>
        </w:rPr>
        <w:t>LLW</w:t>
      </w:r>
      <w:r w:rsidRPr="00C95D1E">
        <w:rPr>
          <w:rFonts w:ascii="Times" w:hAnsi="Times"/>
        </w:rPr>
        <w:tab/>
      </w:r>
      <w:r w:rsidRPr="00C95D1E">
        <w:rPr>
          <w:rFonts w:ascii="Times" w:hAnsi="Times"/>
        </w:rPr>
        <w:tab/>
        <w:t>Low level waste</w:t>
      </w:r>
    </w:p>
    <w:p w14:paraId="7C422C9C" w14:textId="11B64487" w:rsidR="0066501D" w:rsidRDefault="0066501D" w:rsidP="002B4159">
      <w:pPr>
        <w:spacing w:line="360" w:lineRule="exact"/>
        <w:rPr>
          <w:rFonts w:ascii="Times" w:hAnsi="Times"/>
        </w:rPr>
      </w:pPr>
      <w:r w:rsidRPr="00C95D1E">
        <w:rPr>
          <w:rFonts w:ascii="Times" w:hAnsi="Times"/>
        </w:rPr>
        <w:t>M</w:t>
      </w:r>
      <w:r w:rsidRPr="00C95D1E">
        <w:rPr>
          <w:rFonts w:ascii="Times" w:hAnsi="Times"/>
        </w:rPr>
        <w:tab/>
      </w:r>
      <w:r w:rsidRPr="00C95D1E">
        <w:rPr>
          <w:rFonts w:ascii="Times" w:hAnsi="Times"/>
        </w:rPr>
        <w:tab/>
        <w:t>Months</w:t>
      </w:r>
    </w:p>
    <w:p w14:paraId="4432870C" w14:textId="38508B39" w:rsidR="00FA2871" w:rsidRPr="00C95D1E" w:rsidRDefault="00FA2871" w:rsidP="002B4159">
      <w:pPr>
        <w:spacing w:line="360" w:lineRule="exact"/>
        <w:rPr>
          <w:rFonts w:ascii="Times" w:hAnsi="Times"/>
        </w:rPr>
      </w:pPr>
      <w:r>
        <w:rPr>
          <w:rFonts w:ascii="Times" w:hAnsi="Times"/>
        </w:rPr>
        <w:t>NRVB</w:t>
      </w:r>
      <w:r>
        <w:rPr>
          <w:rFonts w:ascii="Times" w:hAnsi="Times"/>
        </w:rPr>
        <w:tab/>
      </w:r>
      <w:r>
        <w:rPr>
          <w:rFonts w:ascii="Times" w:hAnsi="Times"/>
        </w:rPr>
        <w:tab/>
        <w:t>Nirex reference vault backfill</w:t>
      </w:r>
    </w:p>
    <w:p w14:paraId="2191CAF9" w14:textId="7A9505E8" w:rsidR="00FF24D3" w:rsidRPr="00C95D1E" w:rsidRDefault="00E85025" w:rsidP="002B4159">
      <w:pPr>
        <w:spacing w:line="360" w:lineRule="exact"/>
        <w:rPr>
          <w:rFonts w:ascii="Times" w:hAnsi="Times"/>
        </w:rPr>
      </w:pPr>
      <w:r w:rsidRPr="00C95D1E">
        <w:rPr>
          <w:rFonts w:ascii="Times" w:hAnsi="Times"/>
        </w:rPr>
        <w:t>PC</w:t>
      </w:r>
      <w:r w:rsidR="00FF24D3" w:rsidRPr="00C95D1E">
        <w:rPr>
          <w:rFonts w:ascii="Times" w:hAnsi="Times"/>
        </w:rPr>
        <w:tab/>
      </w:r>
      <w:r w:rsidR="00FF24D3" w:rsidRPr="00C95D1E">
        <w:rPr>
          <w:rFonts w:ascii="Times" w:hAnsi="Times"/>
        </w:rPr>
        <w:tab/>
        <w:t>Portland cement</w:t>
      </w:r>
    </w:p>
    <w:p w14:paraId="71247F41" w14:textId="77777777" w:rsidR="00FF24D3" w:rsidRPr="00C95D1E" w:rsidRDefault="0050690C" w:rsidP="002B4159">
      <w:pPr>
        <w:spacing w:line="360" w:lineRule="exact"/>
        <w:rPr>
          <w:rFonts w:ascii="Times" w:hAnsi="Times"/>
        </w:rPr>
      </w:pPr>
      <m:oMath>
        <m:acc>
          <m:accPr>
            <m:chr m:val="̅"/>
            <m:ctrlPr>
              <w:rPr>
                <w:rFonts w:ascii="Cambria Math" w:hAnsi="Cambria Math" w:cs="Times New Roman"/>
                <w:i/>
                <w:sz w:val="32"/>
              </w:rPr>
            </m:ctrlPr>
          </m:accPr>
          <m:e>
            <m:r>
              <m:rPr>
                <m:sty m:val="p"/>
              </m:rPr>
              <w:rPr>
                <w:rFonts w:ascii="Cambria Math" w:hAnsi="Cambria Math" w:cs="Times New Roman"/>
                <w:sz w:val="32"/>
              </w:rPr>
              <m:t>s</m:t>
            </m:r>
          </m:e>
        </m:acc>
      </m:oMath>
      <w:r w:rsidR="00FF24D3" w:rsidRPr="00C95D1E">
        <w:rPr>
          <w:rFonts w:ascii="Times" w:hAnsi="Times"/>
        </w:rPr>
        <w:tab/>
      </w:r>
      <w:r w:rsidR="00FF24D3" w:rsidRPr="00C95D1E">
        <w:rPr>
          <w:rFonts w:ascii="Times" w:hAnsi="Times"/>
        </w:rPr>
        <w:tab/>
        <w:t>Cement sample containing 3wt% strontium nitrate</w:t>
      </w:r>
    </w:p>
    <w:p w14:paraId="2032E7C9" w14:textId="3646C740" w:rsidR="00FF24D3" w:rsidRPr="00C95D1E" w:rsidRDefault="00FF24D3" w:rsidP="002B4159">
      <w:pPr>
        <w:spacing w:line="360" w:lineRule="exact"/>
        <w:rPr>
          <w:rFonts w:ascii="Times" w:hAnsi="Times"/>
        </w:rPr>
      </w:pPr>
      <w:r w:rsidRPr="00C95D1E">
        <w:rPr>
          <w:rFonts w:ascii="Times" w:hAnsi="Times"/>
        </w:rPr>
        <w:t>SEM</w:t>
      </w:r>
      <w:r w:rsidRPr="00C95D1E">
        <w:rPr>
          <w:rFonts w:ascii="Times" w:hAnsi="Times"/>
        </w:rPr>
        <w:tab/>
      </w:r>
      <w:r w:rsidRPr="00C95D1E">
        <w:rPr>
          <w:rFonts w:ascii="Times" w:hAnsi="Times"/>
        </w:rPr>
        <w:tab/>
      </w:r>
      <w:r w:rsidR="006D108B" w:rsidRPr="00C95D1E">
        <w:rPr>
          <w:rFonts w:ascii="Times" w:hAnsi="Times"/>
        </w:rPr>
        <w:t>Scanning</w:t>
      </w:r>
      <w:r w:rsidRPr="00C95D1E">
        <w:rPr>
          <w:rFonts w:ascii="Times" w:hAnsi="Times"/>
        </w:rPr>
        <w:t xml:space="preserve"> electron </w:t>
      </w:r>
      <w:r w:rsidR="006D108B" w:rsidRPr="00C95D1E">
        <w:rPr>
          <w:rFonts w:ascii="Times" w:hAnsi="Times"/>
        </w:rPr>
        <w:t>microscopy</w:t>
      </w:r>
    </w:p>
    <w:p w14:paraId="5BF2D792" w14:textId="77777777" w:rsidR="00FF24D3" w:rsidRPr="00C95D1E" w:rsidRDefault="00FF24D3" w:rsidP="002B4159">
      <w:pPr>
        <w:spacing w:line="360" w:lineRule="exact"/>
        <w:rPr>
          <w:rFonts w:ascii="Times" w:hAnsi="Times"/>
        </w:rPr>
      </w:pPr>
      <w:r w:rsidRPr="00C95D1E">
        <w:rPr>
          <w:rFonts w:ascii="Times" w:hAnsi="Times"/>
        </w:rPr>
        <w:t>SP</w:t>
      </w:r>
      <w:r w:rsidRPr="00C95D1E">
        <w:rPr>
          <w:rFonts w:ascii="Times" w:hAnsi="Times"/>
        </w:rPr>
        <w:tab/>
      </w:r>
      <w:r w:rsidRPr="00C95D1E">
        <w:rPr>
          <w:rFonts w:ascii="Times" w:hAnsi="Times"/>
        </w:rPr>
        <w:tab/>
        <w:t>Superplasticiser</w:t>
      </w:r>
    </w:p>
    <w:p w14:paraId="0E44D5CE" w14:textId="1B99413D" w:rsidR="00FF24D3" w:rsidRPr="00C95D1E" w:rsidRDefault="00F9032A" w:rsidP="002B4159">
      <w:pPr>
        <w:spacing w:line="360" w:lineRule="exact"/>
        <w:rPr>
          <w:rFonts w:ascii="Times" w:hAnsi="Times"/>
        </w:rPr>
      </w:pPr>
      <w:r>
        <w:rPr>
          <w:rFonts w:ascii="Times" w:hAnsi="Times"/>
        </w:rPr>
        <w:t>TGA</w:t>
      </w:r>
      <w:r>
        <w:rPr>
          <w:rFonts w:ascii="Times" w:hAnsi="Times"/>
        </w:rPr>
        <w:tab/>
      </w:r>
      <w:r>
        <w:rPr>
          <w:rFonts w:ascii="Times" w:hAnsi="Times"/>
        </w:rPr>
        <w:tab/>
      </w:r>
      <w:r w:rsidR="006D108B">
        <w:rPr>
          <w:rFonts w:ascii="Times" w:hAnsi="Times"/>
        </w:rPr>
        <w:t>Thermo</w:t>
      </w:r>
      <w:r w:rsidR="006D108B" w:rsidRPr="00C95D1E">
        <w:rPr>
          <w:rFonts w:ascii="Times" w:hAnsi="Times"/>
        </w:rPr>
        <w:t xml:space="preserve"> gravimetric</w:t>
      </w:r>
      <w:r w:rsidR="00FF24D3" w:rsidRPr="00C95D1E">
        <w:rPr>
          <w:rFonts w:ascii="Times" w:hAnsi="Times"/>
        </w:rPr>
        <w:t xml:space="preserve"> analysis</w:t>
      </w:r>
    </w:p>
    <w:p w14:paraId="186F993B" w14:textId="0C562A07" w:rsidR="0066501D" w:rsidRPr="00C95D1E" w:rsidRDefault="00FF24D3" w:rsidP="002B4159">
      <w:pPr>
        <w:spacing w:line="360" w:lineRule="exact"/>
        <w:rPr>
          <w:rFonts w:ascii="Times" w:hAnsi="Times"/>
        </w:rPr>
      </w:pPr>
      <w:r w:rsidRPr="00C95D1E">
        <w:rPr>
          <w:rFonts w:ascii="Times" w:hAnsi="Times"/>
        </w:rPr>
        <w:t>W</w:t>
      </w:r>
      <w:r w:rsidRPr="00C95D1E">
        <w:rPr>
          <w:rFonts w:ascii="Times" w:hAnsi="Times"/>
        </w:rPr>
        <w:tab/>
      </w:r>
      <w:r w:rsidRPr="00C95D1E">
        <w:rPr>
          <w:rFonts w:ascii="Times" w:hAnsi="Times"/>
        </w:rPr>
        <w:tab/>
        <w:t>Statically leached samples</w:t>
      </w:r>
    </w:p>
    <w:p w14:paraId="65602DA4" w14:textId="77777777" w:rsidR="00FF24D3" w:rsidRPr="00C95D1E" w:rsidRDefault="00FF24D3" w:rsidP="002B4159">
      <w:pPr>
        <w:spacing w:line="360" w:lineRule="exact"/>
        <w:rPr>
          <w:rFonts w:ascii="Times" w:hAnsi="Times"/>
        </w:rPr>
      </w:pPr>
      <w:r w:rsidRPr="00C95D1E">
        <w:rPr>
          <w:rFonts w:ascii="Times" w:hAnsi="Times"/>
        </w:rPr>
        <w:t>XRD</w:t>
      </w:r>
      <w:r w:rsidRPr="00C95D1E">
        <w:rPr>
          <w:rFonts w:ascii="Times" w:hAnsi="Times"/>
        </w:rPr>
        <w:tab/>
      </w:r>
      <w:r w:rsidRPr="00C95D1E">
        <w:rPr>
          <w:rFonts w:ascii="Times" w:hAnsi="Times"/>
        </w:rPr>
        <w:tab/>
        <w:t>X-ray diffraction</w:t>
      </w:r>
    </w:p>
    <w:p w14:paraId="65E9CB57" w14:textId="5F04ECF4" w:rsidR="00FF24D3" w:rsidRDefault="0066501D" w:rsidP="00271DB2">
      <w:pPr>
        <w:spacing w:line="360" w:lineRule="exact"/>
        <w:rPr>
          <w:rFonts w:ascii="Times" w:hAnsi="Times"/>
          <w:b/>
        </w:rPr>
      </w:pPr>
      <w:r w:rsidRPr="00C95D1E">
        <w:rPr>
          <w:rFonts w:ascii="Times" w:hAnsi="Times"/>
        </w:rPr>
        <w:t>Y</w:t>
      </w:r>
      <w:r w:rsidRPr="00C95D1E">
        <w:rPr>
          <w:rFonts w:ascii="Times" w:hAnsi="Times"/>
        </w:rPr>
        <w:tab/>
      </w:r>
      <w:r w:rsidRPr="00C95D1E">
        <w:rPr>
          <w:rFonts w:ascii="Times" w:hAnsi="Times"/>
        </w:rPr>
        <w:tab/>
        <w:t>Years</w:t>
      </w:r>
    </w:p>
    <w:p w14:paraId="597380A3" w14:textId="77777777" w:rsidR="004D0168" w:rsidRPr="009458AB" w:rsidRDefault="004D0168" w:rsidP="004D0168">
      <w:pPr>
        <w:pBdr>
          <w:bottom w:val="single" w:sz="4" w:space="1" w:color="auto"/>
        </w:pBdr>
        <w:jc w:val="center"/>
        <w:rPr>
          <w:rFonts w:ascii="Times" w:hAnsi="Times" w:cs="Times New Roman"/>
          <w:smallCaps/>
          <w:sz w:val="44"/>
          <w:szCs w:val="52"/>
        </w:rPr>
      </w:pPr>
      <w:r w:rsidRPr="009458AB">
        <w:rPr>
          <w:rFonts w:ascii="Times" w:hAnsi="Times" w:cs="Times New Roman"/>
          <w:smallCaps/>
          <w:sz w:val="44"/>
          <w:szCs w:val="52"/>
        </w:rPr>
        <w:lastRenderedPageBreak/>
        <w:t>Contents</w:t>
      </w:r>
    </w:p>
    <w:p w14:paraId="3F1AC15C" w14:textId="77777777" w:rsidR="004D0168" w:rsidRDefault="004D0168" w:rsidP="004D0168">
      <w:pPr>
        <w:rPr>
          <w:rFonts w:ascii="Times" w:hAnsi="Times" w:cs="Times New Roman"/>
          <w:b/>
          <w:color w:val="000000"/>
        </w:rPr>
      </w:pPr>
      <w:r w:rsidRPr="00186F1A">
        <w:rPr>
          <w:rFonts w:ascii="Times" w:hAnsi="Times" w:cs="Times New Roman"/>
          <w:b/>
          <w:color w:val="000000"/>
        </w:rPr>
        <w:t>Acknowledgements</w:t>
      </w:r>
      <w:r>
        <w:rPr>
          <w:rFonts w:ascii="Times" w:hAnsi="Times" w:cs="Times New Roman"/>
          <w:b/>
          <w:color w:val="000000"/>
        </w:rPr>
        <w:t>, Publication &amp; Award</w:t>
      </w:r>
      <w:r>
        <w:rPr>
          <w:rFonts w:ascii="Times" w:hAnsi="Times" w:cs="Times New Roman"/>
          <w:b/>
          <w:color w:val="000000"/>
        </w:rPr>
        <w:tab/>
      </w:r>
      <w:r>
        <w:rPr>
          <w:rFonts w:ascii="Times" w:hAnsi="Times" w:cs="Times New Roman"/>
          <w:b/>
          <w:color w:val="000000"/>
        </w:rPr>
        <w:tab/>
      </w:r>
      <w:r>
        <w:rPr>
          <w:rFonts w:ascii="Times" w:hAnsi="Times" w:cs="Times New Roman"/>
          <w:b/>
          <w:color w:val="000000"/>
        </w:rPr>
        <w:tab/>
      </w:r>
      <w:r>
        <w:rPr>
          <w:rFonts w:ascii="Times" w:hAnsi="Times" w:cs="Times New Roman"/>
          <w:b/>
          <w:color w:val="000000"/>
        </w:rPr>
        <w:tab/>
      </w:r>
      <w:r>
        <w:rPr>
          <w:rFonts w:ascii="Times" w:hAnsi="Times" w:cs="Times New Roman"/>
          <w:b/>
          <w:color w:val="000000"/>
        </w:rPr>
        <w:tab/>
        <w:t xml:space="preserve">    </w:t>
      </w:r>
      <w:r>
        <w:rPr>
          <w:rFonts w:ascii="Times" w:hAnsi="Times" w:cs="Times New Roman"/>
          <w:b/>
          <w:color w:val="000000"/>
        </w:rPr>
        <w:tab/>
        <w:t xml:space="preserve">    ii</w:t>
      </w:r>
    </w:p>
    <w:p w14:paraId="0078BF97" w14:textId="77777777" w:rsidR="004D0168" w:rsidRDefault="004D0168" w:rsidP="004D0168">
      <w:pPr>
        <w:rPr>
          <w:rFonts w:ascii="Times" w:hAnsi="Times" w:cs="Times New Roman"/>
          <w:b/>
          <w:color w:val="000000"/>
        </w:rPr>
      </w:pPr>
      <w:r w:rsidRPr="00186F1A">
        <w:rPr>
          <w:rFonts w:ascii="Times" w:hAnsi="Times" w:cs="Times New Roman"/>
          <w:b/>
          <w:color w:val="000000"/>
        </w:rPr>
        <w:t>Abstract</w:t>
      </w:r>
      <w:r w:rsidRPr="00186F1A">
        <w:rPr>
          <w:rFonts w:ascii="Times" w:hAnsi="Times" w:cs="Times New Roman"/>
          <w:b/>
          <w:color w:val="000000"/>
        </w:rPr>
        <w:tab/>
      </w:r>
      <w:r w:rsidRPr="00186F1A">
        <w:rPr>
          <w:rFonts w:ascii="Times" w:hAnsi="Times" w:cs="Times New Roman"/>
          <w:b/>
          <w:color w:val="000000"/>
        </w:rPr>
        <w:tab/>
      </w:r>
      <w:r w:rsidRPr="00186F1A">
        <w:rPr>
          <w:rFonts w:ascii="Times" w:hAnsi="Times" w:cs="Times New Roman"/>
          <w:b/>
          <w:color w:val="000000"/>
        </w:rPr>
        <w:tab/>
      </w:r>
      <w:r w:rsidRPr="00186F1A">
        <w:rPr>
          <w:rFonts w:ascii="Times" w:hAnsi="Times" w:cs="Times New Roman"/>
          <w:b/>
          <w:color w:val="000000"/>
        </w:rPr>
        <w:tab/>
      </w:r>
      <w:r w:rsidRPr="00186F1A">
        <w:rPr>
          <w:rFonts w:ascii="Times" w:hAnsi="Times" w:cs="Times New Roman"/>
          <w:b/>
          <w:color w:val="000000"/>
        </w:rPr>
        <w:tab/>
      </w:r>
      <w:r w:rsidRPr="00186F1A">
        <w:rPr>
          <w:rFonts w:ascii="Times" w:hAnsi="Times" w:cs="Times New Roman"/>
          <w:b/>
          <w:color w:val="000000"/>
        </w:rPr>
        <w:tab/>
      </w:r>
      <w:r w:rsidRPr="00186F1A">
        <w:rPr>
          <w:rFonts w:ascii="Times" w:hAnsi="Times" w:cs="Times New Roman"/>
          <w:b/>
          <w:color w:val="000000"/>
        </w:rPr>
        <w:tab/>
      </w:r>
      <w:r w:rsidRPr="00186F1A">
        <w:rPr>
          <w:rFonts w:ascii="Times" w:hAnsi="Times" w:cs="Times New Roman"/>
          <w:b/>
          <w:color w:val="000000"/>
        </w:rPr>
        <w:tab/>
      </w:r>
      <w:r w:rsidRPr="00186F1A">
        <w:rPr>
          <w:rFonts w:ascii="Times" w:hAnsi="Times" w:cs="Times New Roman"/>
          <w:b/>
          <w:color w:val="000000"/>
        </w:rPr>
        <w:tab/>
      </w:r>
      <w:r w:rsidRPr="00186F1A">
        <w:rPr>
          <w:rFonts w:ascii="Times" w:hAnsi="Times" w:cs="Times New Roman"/>
          <w:b/>
          <w:color w:val="000000"/>
        </w:rPr>
        <w:tab/>
      </w:r>
      <w:r>
        <w:rPr>
          <w:rFonts w:ascii="Times" w:hAnsi="Times" w:cs="Times New Roman"/>
          <w:b/>
          <w:color w:val="000000"/>
        </w:rPr>
        <w:t xml:space="preserve">   iii</w:t>
      </w:r>
    </w:p>
    <w:p w14:paraId="335ABD2D" w14:textId="77777777" w:rsidR="004D0168" w:rsidRPr="00186F1A" w:rsidRDefault="004D0168" w:rsidP="004D0168">
      <w:pPr>
        <w:rPr>
          <w:rFonts w:ascii="Times" w:hAnsi="Times" w:cs="Times New Roman"/>
          <w:b/>
          <w:color w:val="000000"/>
        </w:rPr>
      </w:pPr>
      <w:r>
        <w:rPr>
          <w:rFonts w:ascii="Times" w:hAnsi="Times" w:cs="Times New Roman"/>
          <w:b/>
          <w:color w:val="000000"/>
        </w:rPr>
        <w:t>List of Abbreviations</w:t>
      </w:r>
      <w:r>
        <w:rPr>
          <w:rFonts w:ascii="Times" w:hAnsi="Times" w:cs="Times New Roman"/>
          <w:b/>
          <w:color w:val="000000"/>
        </w:rPr>
        <w:tab/>
      </w:r>
      <w:r>
        <w:rPr>
          <w:rFonts w:ascii="Times" w:hAnsi="Times" w:cs="Times New Roman"/>
          <w:b/>
          <w:color w:val="000000"/>
        </w:rPr>
        <w:tab/>
      </w:r>
      <w:r>
        <w:rPr>
          <w:rFonts w:ascii="Times" w:hAnsi="Times" w:cs="Times New Roman"/>
          <w:b/>
          <w:color w:val="000000"/>
        </w:rPr>
        <w:tab/>
      </w:r>
      <w:r>
        <w:rPr>
          <w:rFonts w:ascii="Times" w:hAnsi="Times" w:cs="Times New Roman"/>
          <w:b/>
          <w:color w:val="000000"/>
        </w:rPr>
        <w:tab/>
      </w:r>
      <w:r>
        <w:rPr>
          <w:rFonts w:ascii="Times" w:hAnsi="Times" w:cs="Times New Roman"/>
          <w:b/>
          <w:color w:val="000000"/>
        </w:rPr>
        <w:tab/>
      </w:r>
      <w:r>
        <w:rPr>
          <w:rFonts w:ascii="Times" w:hAnsi="Times" w:cs="Times New Roman"/>
          <w:b/>
          <w:color w:val="000000"/>
        </w:rPr>
        <w:tab/>
      </w:r>
      <w:r>
        <w:rPr>
          <w:rFonts w:ascii="Times" w:hAnsi="Times" w:cs="Times New Roman"/>
          <w:b/>
          <w:color w:val="000000"/>
        </w:rPr>
        <w:tab/>
      </w:r>
      <w:r w:rsidRPr="00186F1A">
        <w:rPr>
          <w:rFonts w:ascii="Times" w:hAnsi="Times" w:cs="Times New Roman"/>
          <w:b/>
          <w:color w:val="000000"/>
        </w:rPr>
        <w:tab/>
      </w:r>
      <w:r>
        <w:rPr>
          <w:rFonts w:ascii="Times" w:hAnsi="Times" w:cs="Times New Roman"/>
          <w:b/>
          <w:color w:val="000000"/>
        </w:rPr>
        <w:t xml:space="preserve">    v </w:t>
      </w:r>
      <w:r w:rsidRPr="00186F1A">
        <w:rPr>
          <w:rFonts w:ascii="Times" w:hAnsi="Times" w:cs="Times New Roman"/>
          <w:b/>
          <w:color w:val="000000"/>
        </w:rPr>
        <w:t>Contents</w:t>
      </w:r>
      <w:r w:rsidRPr="00186F1A">
        <w:rPr>
          <w:rFonts w:ascii="Times" w:hAnsi="Times" w:cs="Times New Roman"/>
          <w:b/>
          <w:color w:val="000000"/>
        </w:rPr>
        <w:tab/>
      </w:r>
      <w:r w:rsidRPr="00186F1A">
        <w:rPr>
          <w:rFonts w:ascii="Times" w:hAnsi="Times" w:cs="Times New Roman"/>
          <w:b/>
          <w:color w:val="000000"/>
        </w:rPr>
        <w:tab/>
      </w:r>
      <w:r w:rsidRPr="00186F1A">
        <w:rPr>
          <w:rFonts w:ascii="Times" w:hAnsi="Times" w:cs="Times New Roman"/>
          <w:b/>
          <w:color w:val="000000"/>
        </w:rPr>
        <w:tab/>
      </w:r>
      <w:r w:rsidRPr="00186F1A">
        <w:rPr>
          <w:rFonts w:ascii="Times" w:hAnsi="Times" w:cs="Times New Roman"/>
          <w:b/>
          <w:color w:val="000000"/>
        </w:rPr>
        <w:tab/>
      </w:r>
      <w:r w:rsidRPr="00186F1A">
        <w:rPr>
          <w:rFonts w:ascii="Times" w:hAnsi="Times" w:cs="Times New Roman"/>
          <w:b/>
          <w:color w:val="000000"/>
        </w:rPr>
        <w:tab/>
      </w:r>
      <w:r w:rsidRPr="00186F1A">
        <w:rPr>
          <w:rFonts w:ascii="Times" w:hAnsi="Times" w:cs="Times New Roman"/>
          <w:b/>
          <w:color w:val="000000"/>
        </w:rPr>
        <w:tab/>
      </w:r>
      <w:r w:rsidRPr="00186F1A">
        <w:rPr>
          <w:rFonts w:ascii="Times" w:hAnsi="Times" w:cs="Times New Roman"/>
          <w:b/>
          <w:color w:val="000000"/>
        </w:rPr>
        <w:tab/>
      </w:r>
      <w:r w:rsidRPr="00186F1A">
        <w:rPr>
          <w:rFonts w:ascii="Times" w:hAnsi="Times" w:cs="Times New Roman"/>
          <w:b/>
          <w:color w:val="000000"/>
        </w:rPr>
        <w:tab/>
      </w:r>
      <w:r w:rsidRPr="00186F1A">
        <w:rPr>
          <w:rFonts w:ascii="Times" w:hAnsi="Times" w:cs="Times New Roman"/>
          <w:b/>
          <w:color w:val="000000"/>
        </w:rPr>
        <w:tab/>
      </w:r>
      <w:r w:rsidRPr="00186F1A">
        <w:rPr>
          <w:rFonts w:ascii="Times" w:hAnsi="Times" w:cs="Times New Roman"/>
          <w:b/>
          <w:color w:val="000000"/>
        </w:rPr>
        <w:tab/>
      </w:r>
      <w:r>
        <w:rPr>
          <w:rFonts w:ascii="Times" w:hAnsi="Times" w:cs="Times New Roman"/>
          <w:b/>
          <w:color w:val="000000"/>
        </w:rPr>
        <w:t xml:space="preserve">   </w:t>
      </w:r>
      <w:proofErr w:type="gramStart"/>
      <w:r>
        <w:rPr>
          <w:rFonts w:ascii="Times" w:hAnsi="Times" w:cs="Times New Roman"/>
          <w:b/>
          <w:color w:val="000000"/>
        </w:rPr>
        <w:t>vi</w:t>
      </w:r>
      <w:proofErr w:type="gramEnd"/>
    </w:p>
    <w:p w14:paraId="3B183F77" w14:textId="77777777" w:rsidR="004D0168" w:rsidRPr="00186F1A"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
          <w:bCs/>
          <w:color w:val="000000"/>
        </w:rPr>
      </w:pPr>
    </w:p>
    <w:p w14:paraId="2C478E96"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
          <w:color w:val="000000"/>
        </w:rPr>
      </w:pPr>
      <w:r w:rsidRPr="00186F1A">
        <w:rPr>
          <w:rFonts w:ascii="Times" w:hAnsi="Times" w:cs="Times New Roman"/>
          <w:b/>
          <w:bCs/>
          <w:color w:val="000000"/>
        </w:rPr>
        <w:t>Chapter 1: Introduction</w:t>
      </w:r>
      <w:r>
        <w:rPr>
          <w:rFonts w:ascii="Times" w:hAnsi="Times" w:cs="Times New Roman"/>
          <w:b/>
          <w:color w:val="000000"/>
        </w:rPr>
        <w:tab/>
      </w:r>
      <w:r>
        <w:rPr>
          <w:rFonts w:ascii="Times" w:hAnsi="Times" w:cs="Times New Roman"/>
          <w:b/>
          <w:color w:val="000000"/>
        </w:rPr>
        <w:tab/>
      </w:r>
      <w:r>
        <w:rPr>
          <w:rFonts w:ascii="Times" w:hAnsi="Times" w:cs="Times New Roman"/>
          <w:b/>
          <w:color w:val="000000"/>
        </w:rPr>
        <w:tab/>
      </w:r>
      <w:r>
        <w:rPr>
          <w:rFonts w:ascii="Times" w:hAnsi="Times" w:cs="Times New Roman"/>
          <w:b/>
          <w:color w:val="000000"/>
        </w:rPr>
        <w:tab/>
      </w:r>
      <w:r>
        <w:rPr>
          <w:rFonts w:ascii="Times" w:hAnsi="Times" w:cs="Times New Roman"/>
          <w:b/>
          <w:color w:val="000000"/>
        </w:rPr>
        <w:tab/>
      </w:r>
      <w:r>
        <w:rPr>
          <w:rFonts w:ascii="Times" w:hAnsi="Times" w:cs="Times New Roman"/>
          <w:b/>
          <w:color w:val="000000"/>
        </w:rPr>
        <w:tab/>
      </w:r>
      <w:r>
        <w:rPr>
          <w:rFonts w:ascii="Times" w:hAnsi="Times" w:cs="Times New Roman"/>
          <w:b/>
          <w:color w:val="000000"/>
        </w:rPr>
        <w:tab/>
      </w:r>
      <w:r>
        <w:rPr>
          <w:rFonts w:ascii="Times" w:hAnsi="Times" w:cs="Times New Roman"/>
          <w:b/>
          <w:color w:val="000000"/>
        </w:rPr>
        <w:tab/>
      </w:r>
      <w:r>
        <w:rPr>
          <w:rFonts w:ascii="Times" w:hAnsi="Times" w:cs="Times New Roman"/>
          <w:b/>
          <w:color w:val="000000"/>
        </w:rPr>
        <w:tab/>
      </w:r>
      <w:r>
        <w:rPr>
          <w:rFonts w:ascii="Times" w:hAnsi="Times" w:cs="Times New Roman"/>
          <w:b/>
          <w:color w:val="000000"/>
        </w:rPr>
        <w:tab/>
        <w:t xml:space="preserve">    1</w:t>
      </w:r>
    </w:p>
    <w:p w14:paraId="5035E443"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1</w:t>
      </w:r>
      <w:r w:rsidRPr="00186F1A">
        <w:rPr>
          <w:rFonts w:ascii="Times" w:hAnsi="Times" w:cs="Times New Roman"/>
          <w:bCs/>
          <w:color w:val="000000"/>
        </w:rPr>
        <w:t>.1</w:t>
      </w:r>
      <w:r w:rsidRPr="00186F1A">
        <w:rPr>
          <w:rFonts w:ascii="Times" w:hAnsi="Times" w:cs="Times New Roman"/>
          <w:bCs/>
          <w:color w:val="000000"/>
        </w:rPr>
        <w:tab/>
        <w:t>Introduction</w:t>
      </w:r>
      <w:r>
        <w:rPr>
          <w:rFonts w:ascii="Times" w:hAnsi="Times" w:cs="Times New Roman"/>
          <w:bCs/>
          <w:color w:val="000000"/>
        </w:rPr>
        <w:t>……………………………………………………………...............2</w:t>
      </w:r>
    </w:p>
    <w:p w14:paraId="3E82BB07"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p>
    <w:p w14:paraId="384DC978"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1.2</w:t>
      </w:r>
      <w:r w:rsidRPr="00186F1A">
        <w:rPr>
          <w:rFonts w:ascii="Times" w:hAnsi="Times" w:cs="Times New Roman"/>
          <w:bCs/>
          <w:color w:val="000000"/>
        </w:rPr>
        <w:tab/>
      </w:r>
      <w:r>
        <w:rPr>
          <w:rFonts w:ascii="Times" w:hAnsi="Times" w:cs="Times New Roman"/>
          <w:bCs/>
          <w:color w:val="000000"/>
        </w:rPr>
        <w:t>Project aims……………………………………………………………...............3</w:t>
      </w:r>
    </w:p>
    <w:p w14:paraId="1B36D6D7"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References (Chapter 1).........................................…………………….................6</w:t>
      </w:r>
    </w:p>
    <w:p w14:paraId="21DCAC35" w14:textId="77777777" w:rsidR="004D0168" w:rsidRPr="00186F1A"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p>
    <w:p w14:paraId="29C72647" w14:textId="77777777" w:rsidR="004D0168" w:rsidRPr="009458AB" w:rsidRDefault="004D0168" w:rsidP="004D0168">
      <w:pPr>
        <w:rPr>
          <w:rFonts w:ascii="Times" w:hAnsi="Times"/>
          <w:b/>
        </w:rPr>
      </w:pPr>
      <w:r w:rsidRPr="0092574A">
        <w:rPr>
          <w:rFonts w:ascii="Times" w:hAnsi="Times"/>
          <w:b/>
          <w:bCs/>
        </w:rPr>
        <w:t>Chapter 2: Literature Review</w:t>
      </w:r>
      <w:r>
        <w:rPr>
          <w:rFonts w:ascii="Times" w:hAnsi="Times"/>
          <w:b/>
        </w:rPr>
        <w:tab/>
      </w:r>
      <w:r>
        <w:rPr>
          <w:rFonts w:ascii="Times" w:hAnsi="Times"/>
          <w:b/>
        </w:rPr>
        <w:tab/>
      </w:r>
      <w:r>
        <w:rPr>
          <w:rFonts w:ascii="Times" w:hAnsi="Times"/>
          <w:b/>
        </w:rPr>
        <w:tab/>
      </w:r>
      <w:r>
        <w:rPr>
          <w:rFonts w:ascii="Times" w:hAnsi="Times"/>
          <w:b/>
        </w:rPr>
        <w:tab/>
      </w:r>
      <w:r>
        <w:rPr>
          <w:rFonts w:ascii="Times" w:hAnsi="Times"/>
          <w:b/>
        </w:rPr>
        <w:tab/>
      </w:r>
      <w:r>
        <w:rPr>
          <w:rFonts w:ascii="Times" w:hAnsi="Times"/>
          <w:b/>
        </w:rPr>
        <w:tab/>
      </w:r>
      <w:r>
        <w:rPr>
          <w:rFonts w:ascii="Times" w:hAnsi="Times"/>
          <w:b/>
        </w:rPr>
        <w:tab/>
        <w:t xml:space="preserve">    7</w:t>
      </w:r>
    </w:p>
    <w:p w14:paraId="58142E09" w14:textId="77777777" w:rsidR="004D0168" w:rsidRPr="0092574A"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2</w:t>
      </w:r>
      <w:r w:rsidRPr="0092574A">
        <w:rPr>
          <w:rFonts w:ascii="Times" w:hAnsi="Times" w:cs="Times New Roman"/>
          <w:bCs/>
          <w:color w:val="000000"/>
        </w:rPr>
        <w:t>.1</w:t>
      </w:r>
      <w:r w:rsidRPr="0092574A">
        <w:rPr>
          <w:rFonts w:ascii="Times" w:hAnsi="Times" w:cs="Times New Roman"/>
          <w:bCs/>
          <w:color w:val="000000"/>
        </w:rPr>
        <w:tab/>
        <w:t>Introduction……………………………………………………………..</w:t>
      </w:r>
      <w:r>
        <w:rPr>
          <w:rFonts w:ascii="Times" w:hAnsi="Times" w:cs="Times New Roman"/>
          <w:bCs/>
          <w:color w:val="000000"/>
        </w:rPr>
        <w:t>.............8</w:t>
      </w:r>
    </w:p>
    <w:p w14:paraId="1936EA9C"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p>
    <w:p w14:paraId="6AD32641" w14:textId="6A6D43AA" w:rsidR="004D0168" w:rsidRDefault="00F9032A"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2.2</w:t>
      </w:r>
      <w:r>
        <w:rPr>
          <w:rFonts w:ascii="Times" w:hAnsi="Times" w:cs="Times New Roman"/>
          <w:bCs/>
          <w:color w:val="000000"/>
        </w:rPr>
        <w:tab/>
        <w:t xml:space="preserve">An Overview </w:t>
      </w:r>
      <w:r w:rsidR="004D0168">
        <w:rPr>
          <w:rFonts w:ascii="Times" w:hAnsi="Times" w:cs="Times New Roman"/>
          <w:bCs/>
          <w:color w:val="000000"/>
        </w:rPr>
        <w:t>of Nucl</w:t>
      </w:r>
      <w:r>
        <w:rPr>
          <w:rFonts w:ascii="Times" w:hAnsi="Times" w:cs="Times New Roman"/>
          <w:bCs/>
          <w:color w:val="000000"/>
        </w:rPr>
        <w:t>ear Energy.…………………………………………......</w:t>
      </w:r>
      <w:r w:rsidR="004D0168">
        <w:rPr>
          <w:rFonts w:ascii="Times" w:hAnsi="Times" w:cs="Times New Roman"/>
          <w:bCs/>
          <w:color w:val="000000"/>
        </w:rPr>
        <w:t>...8</w:t>
      </w:r>
      <w:r w:rsidR="004D0168">
        <w:rPr>
          <w:rFonts w:ascii="Times" w:hAnsi="Times" w:cs="Times New Roman"/>
          <w:bCs/>
          <w:color w:val="000000"/>
        </w:rPr>
        <w:br/>
      </w:r>
      <w:r w:rsidR="004D0168">
        <w:rPr>
          <w:rFonts w:ascii="Times" w:hAnsi="Times" w:cs="Times New Roman"/>
          <w:bCs/>
          <w:color w:val="000000"/>
        </w:rPr>
        <w:tab/>
        <w:t>2.2.1</w:t>
      </w:r>
      <w:r w:rsidR="004D0168">
        <w:rPr>
          <w:rFonts w:ascii="Times" w:hAnsi="Times" w:cs="Times New Roman"/>
          <w:bCs/>
          <w:color w:val="000000"/>
        </w:rPr>
        <w:tab/>
        <w:t>Nuclear Power.............................................................................................8</w:t>
      </w:r>
    </w:p>
    <w:p w14:paraId="416F85AC"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2.2.2</w:t>
      </w:r>
      <w:r>
        <w:rPr>
          <w:rFonts w:ascii="Times" w:hAnsi="Times" w:cs="Times New Roman"/>
          <w:bCs/>
          <w:color w:val="000000"/>
        </w:rPr>
        <w:tab/>
        <w:t>Nuclear Reactors.........................................................................................9</w:t>
      </w:r>
    </w:p>
    <w:p w14:paraId="6E67ED46"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2.2.3</w:t>
      </w:r>
      <w:r>
        <w:rPr>
          <w:rFonts w:ascii="Times" w:hAnsi="Times" w:cs="Times New Roman"/>
          <w:bCs/>
          <w:color w:val="000000"/>
        </w:rPr>
        <w:tab/>
        <w:t>Waste Management...................................................................................10</w:t>
      </w:r>
    </w:p>
    <w:p w14:paraId="240695CF"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2.2.4</w:t>
      </w:r>
      <w:r>
        <w:rPr>
          <w:rFonts w:ascii="Times" w:hAnsi="Times" w:cs="Times New Roman"/>
          <w:bCs/>
          <w:color w:val="000000"/>
        </w:rPr>
        <w:tab/>
      </w:r>
      <w:r w:rsidRPr="0003571D">
        <w:rPr>
          <w:rFonts w:ascii="Times" w:hAnsi="Times" w:cs="Times New Roman"/>
          <w:bCs/>
          <w:color w:val="000000"/>
        </w:rPr>
        <w:t>Transuranic Wastes (TRU) and Nuclear Fission Products</w:t>
      </w:r>
      <w:r>
        <w:rPr>
          <w:rFonts w:ascii="Times" w:hAnsi="Times" w:cs="Times New Roman"/>
          <w:bCs/>
          <w:color w:val="000000"/>
        </w:rPr>
        <w:t>........................12</w:t>
      </w:r>
    </w:p>
    <w:p w14:paraId="2BADF7F3"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p>
    <w:p w14:paraId="4C0DDF45"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2.3</w:t>
      </w:r>
      <w:r w:rsidRPr="0092574A">
        <w:rPr>
          <w:rFonts w:ascii="Times" w:hAnsi="Times" w:cs="Times New Roman"/>
          <w:bCs/>
          <w:color w:val="000000"/>
        </w:rPr>
        <w:tab/>
      </w:r>
      <w:r>
        <w:rPr>
          <w:rFonts w:ascii="Times" w:hAnsi="Times" w:cs="Times New Roman"/>
          <w:bCs/>
          <w:color w:val="000000"/>
        </w:rPr>
        <w:t>Cements and Composite Cements......................................................................15</w:t>
      </w:r>
    </w:p>
    <w:p w14:paraId="4B3B4A89"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2.3.1</w:t>
      </w:r>
      <w:r>
        <w:rPr>
          <w:rFonts w:ascii="Times" w:hAnsi="Times" w:cs="Times New Roman"/>
          <w:bCs/>
          <w:color w:val="000000"/>
        </w:rPr>
        <w:tab/>
        <w:t xml:space="preserve">Portland </w:t>
      </w:r>
      <w:proofErr w:type="gramStart"/>
      <w:r>
        <w:rPr>
          <w:rFonts w:ascii="Times" w:hAnsi="Times" w:cs="Times New Roman"/>
          <w:bCs/>
          <w:color w:val="000000"/>
        </w:rPr>
        <w:t>Cement</w:t>
      </w:r>
      <w:proofErr w:type="gramEnd"/>
      <w:r>
        <w:rPr>
          <w:rFonts w:ascii="Times" w:hAnsi="Times" w:cs="Times New Roman"/>
          <w:bCs/>
          <w:color w:val="000000"/>
        </w:rPr>
        <w:t>........................................................................................15</w:t>
      </w:r>
    </w:p>
    <w:p w14:paraId="3CA735E6"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2.3.2</w:t>
      </w:r>
      <w:r>
        <w:rPr>
          <w:rFonts w:ascii="Times" w:hAnsi="Times" w:cs="Times New Roman"/>
          <w:bCs/>
          <w:color w:val="000000"/>
        </w:rPr>
        <w:tab/>
        <w:t>Hydration of Portland Cement...................................................................16</w:t>
      </w:r>
    </w:p>
    <w:p w14:paraId="75CB8102" w14:textId="61688CE9"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 xml:space="preserve">2.3.3 Blast Furnace </w:t>
      </w:r>
      <w:r w:rsidR="006D108B">
        <w:rPr>
          <w:rFonts w:ascii="Times" w:hAnsi="Times" w:cs="Times New Roman"/>
          <w:bCs/>
          <w:color w:val="000000"/>
        </w:rPr>
        <w:t>slag</w:t>
      </w:r>
      <w:r>
        <w:rPr>
          <w:rFonts w:ascii="Times" w:hAnsi="Times" w:cs="Times New Roman"/>
          <w:bCs/>
          <w:color w:val="000000"/>
        </w:rPr>
        <w:t xml:space="preserve"> composite cements....................................................</w:t>
      </w:r>
      <w:r w:rsidR="00846079">
        <w:rPr>
          <w:rFonts w:ascii="Times" w:hAnsi="Times" w:cs="Times New Roman"/>
          <w:bCs/>
          <w:color w:val="000000"/>
        </w:rPr>
        <w:t>..</w:t>
      </w:r>
      <w:r>
        <w:rPr>
          <w:rFonts w:ascii="Times" w:hAnsi="Times" w:cs="Times New Roman"/>
          <w:bCs/>
          <w:color w:val="000000"/>
        </w:rPr>
        <w:t>.21</w:t>
      </w:r>
    </w:p>
    <w:p w14:paraId="1B211C5F"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2.3.4</w:t>
      </w:r>
      <w:r>
        <w:rPr>
          <w:rFonts w:ascii="Times" w:hAnsi="Times" w:cs="Times New Roman"/>
          <w:bCs/>
          <w:color w:val="000000"/>
        </w:rPr>
        <w:tab/>
        <w:t>Use of Superplasticisers.............................................................................23</w:t>
      </w:r>
    </w:p>
    <w:p w14:paraId="604A18B0"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p>
    <w:p w14:paraId="15A21046"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2.4</w:t>
      </w:r>
      <w:r w:rsidRPr="0092574A">
        <w:rPr>
          <w:rFonts w:ascii="Times" w:hAnsi="Times" w:cs="Times New Roman"/>
          <w:bCs/>
          <w:color w:val="000000"/>
        </w:rPr>
        <w:tab/>
      </w:r>
      <w:r>
        <w:rPr>
          <w:rFonts w:ascii="Times" w:hAnsi="Times" w:cs="Times New Roman"/>
          <w:bCs/>
          <w:color w:val="000000"/>
        </w:rPr>
        <w:t>BFS</w:t>
      </w:r>
      <w:proofErr w:type="gramStart"/>
      <w:r>
        <w:rPr>
          <w:rFonts w:ascii="Times" w:hAnsi="Times" w:cs="Times New Roman"/>
          <w:bCs/>
          <w:color w:val="000000"/>
        </w:rPr>
        <w:t>:PC</w:t>
      </w:r>
      <w:proofErr w:type="gramEnd"/>
      <w:r>
        <w:rPr>
          <w:rFonts w:ascii="Times" w:hAnsi="Times" w:cs="Times New Roman"/>
          <w:bCs/>
          <w:color w:val="000000"/>
        </w:rPr>
        <w:t xml:space="preserve"> Cements in Waste Immobilisation........................................................24</w:t>
      </w:r>
    </w:p>
    <w:p w14:paraId="05571C55"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2.4.1 General Use................................................................................................24</w:t>
      </w:r>
    </w:p>
    <w:p w14:paraId="79E6A69E"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2.4.2</w:t>
      </w:r>
      <w:r>
        <w:rPr>
          <w:rFonts w:ascii="Times" w:hAnsi="Times" w:cs="Times New Roman"/>
          <w:bCs/>
          <w:color w:val="000000"/>
        </w:rPr>
        <w:tab/>
        <w:t>Interaction with Caesium...........................................................................26</w:t>
      </w:r>
    </w:p>
    <w:p w14:paraId="2092EF04"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2.4.3</w:t>
      </w:r>
      <w:r>
        <w:rPr>
          <w:rFonts w:ascii="Times" w:hAnsi="Times" w:cs="Times New Roman"/>
          <w:bCs/>
          <w:color w:val="000000"/>
        </w:rPr>
        <w:tab/>
        <w:t>Interaction with Strontium.........................................................................27</w:t>
      </w:r>
    </w:p>
    <w:p w14:paraId="3FE82A6B"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p>
    <w:p w14:paraId="48B02D07" w14:textId="02F2B8FD"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2.5</w:t>
      </w:r>
      <w:r w:rsidRPr="0092574A">
        <w:rPr>
          <w:rFonts w:ascii="Times" w:hAnsi="Times" w:cs="Times New Roman"/>
          <w:bCs/>
          <w:color w:val="000000"/>
        </w:rPr>
        <w:tab/>
      </w:r>
      <w:r>
        <w:rPr>
          <w:rFonts w:ascii="Times" w:hAnsi="Times" w:cs="Times New Roman"/>
          <w:bCs/>
          <w:color w:val="000000"/>
        </w:rPr>
        <w:t>Cement Leaching................................................................................................2</w:t>
      </w:r>
      <w:r w:rsidR="00846079">
        <w:rPr>
          <w:rFonts w:ascii="Times" w:hAnsi="Times" w:cs="Times New Roman"/>
          <w:bCs/>
          <w:color w:val="000000"/>
        </w:rPr>
        <w:t>9</w:t>
      </w:r>
    </w:p>
    <w:p w14:paraId="29BC3D6F" w14:textId="34AF7C6E"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2.5.1</w:t>
      </w:r>
      <w:r>
        <w:rPr>
          <w:rFonts w:ascii="Times" w:hAnsi="Times" w:cs="Times New Roman"/>
          <w:bCs/>
          <w:color w:val="000000"/>
        </w:rPr>
        <w:tab/>
        <w:t>Leaching behaviour of PC.........................................................................2</w:t>
      </w:r>
      <w:r w:rsidR="00846079">
        <w:rPr>
          <w:rFonts w:ascii="Times" w:hAnsi="Times" w:cs="Times New Roman"/>
          <w:bCs/>
          <w:color w:val="000000"/>
        </w:rPr>
        <w:t>9</w:t>
      </w:r>
    </w:p>
    <w:p w14:paraId="358DA7A3" w14:textId="4B455C7B"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2.5.2</w:t>
      </w:r>
      <w:r>
        <w:rPr>
          <w:rFonts w:ascii="Times" w:hAnsi="Times" w:cs="Times New Roman"/>
          <w:bCs/>
          <w:color w:val="000000"/>
        </w:rPr>
        <w:tab/>
        <w:t>Leaching Tests...........................................................................................</w:t>
      </w:r>
      <w:r w:rsidR="00846079">
        <w:rPr>
          <w:rFonts w:ascii="Times" w:hAnsi="Times" w:cs="Times New Roman"/>
          <w:bCs/>
          <w:color w:val="000000"/>
        </w:rPr>
        <w:t>30</w:t>
      </w:r>
    </w:p>
    <w:p w14:paraId="1664E9AA" w14:textId="3EF9C754"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2.5.1</w:t>
      </w:r>
      <w:r>
        <w:rPr>
          <w:rFonts w:ascii="Times" w:hAnsi="Times" w:cs="Times New Roman"/>
          <w:bCs/>
          <w:color w:val="000000"/>
        </w:rPr>
        <w:tab/>
        <w:t>Leaching behaviour of PC.........................................................................</w:t>
      </w:r>
      <w:r w:rsidR="00846079">
        <w:rPr>
          <w:rFonts w:ascii="Times" w:hAnsi="Times" w:cs="Times New Roman"/>
          <w:bCs/>
          <w:color w:val="000000"/>
        </w:rPr>
        <w:t>30</w:t>
      </w:r>
    </w:p>
    <w:p w14:paraId="3864E33E"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p>
    <w:p w14:paraId="116E9C1D"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2.6</w:t>
      </w:r>
      <w:r w:rsidRPr="0092574A">
        <w:rPr>
          <w:rFonts w:ascii="Times" w:hAnsi="Times" w:cs="Times New Roman"/>
          <w:bCs/>
          <w:color w:val="000000"/>
        </w:rPr>
        <w:tab/>
      </w:r>
      <w:r>
        <w:rPr>
          <w:rFonts w:ascii="Times" w:hAnsi="Times" w:cs="Times New Roman"/>
          <w:bCs/>
          <w:color w:val="000000"/>
        </w:rPr>
        <w:t>Conclusions.........................................................................................................32</w:t>
      </w:r>
    </w:p>
    <w:p w14:paraId="5B67CF2A"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References (Chapter 2).........................................……………………...............34</w:t>
      </w:r>
    </w:p>
    <w:p w14:paraId="388354CD" w14:textId="77777777" w:rsidR="004D0168" w:rsidRDefault="004D0168" w:rsidP="004D0168">
      <w:pPr>
        <w:rPr>
          <w:rFonts w:ascii="Times" w:hAnsi="Times"/>
          <w:b/>
          <w:bCs/>
        </w:rPr>
      </w:pPr>
    </w:p>
    <w:p w14:paraId="21590E72" w14:textId="0F60C9E5" w:rsidR="004D0168" w:rsidRDefault="004D0168" w:rsidP="004D0168">
      <w:pPr>
        <w:rPr>
          <w:rFonts w:ascii="Times" w:hAnsi="Times"/>
          <w:b/>
        </w:rPr>
      </w:pPr>
      <w:r>
        <w:rPr>
          <w:rFonts w:ascii="Times" w:hAnsi="Times"/>
          <w:b/>
          <w:bCs/>
        </w:rPr>
        <w:t>Chapter 3</w:t>
      </w:r>
      <w:r w:rsidRPr="0092574A">
        <w:rPr>
          <w:rFonts w:ascii="Times" w:hAnsi="Times"/>
          <w:b/>
          <w:bCs/>
        </w:rPr>
        <w:t xml:space="preserve">: </w:t>
      </w:r>
      <w:r w:rsidR="00F9032A" w:rsidRPr="00F9032A">
        <w:rPr>
          <w:rFonts w:ascii="Times" w:hAnsi="Times"/>
          <w:b/>
          <w:bCs/>
        </w:rPr>
        <w:t>Experimental methods and materials</w:t>
      </w:r>
      <w:r w:rsidR="00F9032A">
        <w:rPr>
          <w:rFonts w:ascii="Times" w:hAnsi="Times"/>
          <w:b/>
        </w:rPr>
        <w:tab/>
      </w:r>
      <w:r w:rsidR="00F9032A">
        <w:rPr>
          <w:rFonts w:ascii="Times" w:hAnsi="Times"/>
          <w:b/>
        </w:rPr>
        <w:tab/>
      </w:r>
      <w:r w:rsidR="00F9032A">
        <w:rPr>
          <w:rFonts w:ascii="Times" w:hAnsi="Times"/>
          <w:b/>
        </w:rPr>
        <w:tab/>
      </w:r>
      <w:r w:rsidR="00F9032A">
        <w:rPr>
          <w:rFonts w:ascii="Times" w:hAnsi="Times"/>
          <w:b/>
        </w:rPr>
        <w:tab/>
      </w:r>
      <w:r w:rsidR="00F9032A">
        <w:rPr>
          <w:rFonts w:ascii="Times" w:hAnsi="Times"/>
          <w:b/>
        </w:rPr>
        <w:tab/>
        <w:t xml:space="preserve">   </w:t>
      </w:r>
      <w:r>
        <w:rPr>
          <w:rFonts w:ascii="Times" w:hAnsi="Times"/>
          <w:b/>
        </w:rPr>
        <w:t>4</w:t>
      </w:r>
      <w:r w:rsidR="00846079">
        <w:rPr>
          <w:rFonts w:ascii="Times" w:hAnsi="Times"/>
          <w:b/>
        </w:rPr>
        <w:t>2</w:t>
      </w:r>
    </w:p>
    <w:p w14:paraId="708BFA50" w14:textId="0F2E0AA5"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3</w:t>
      </w:r>
      <w:r w:rsidRPr="0092574A">
        <w:rPr>
          <w:rFonts w:ascii="Times" w:hAnsi="Times" w:cs="Times New Roman"/>
          <w:bCs/>
          <w:color w:val="000000"/>
        </w:rPr>
        <w:t>.1</w:t>
      </w:r>
      <w:r w:rsidRPr="0092574A">
        <w:rPr>
          <w:rFonts w:ascii="Times" w:hAnsi="Times" w:cs="Times New Roman"/>
          <w:bCs/>
          <w:color w:val="000000"/>
        </w:rPr>
        <w:tab/>
        <w:t>Introduction……………………………………………………………..</w:t>
      </w:r>
      <w:r>
        <w:rPr>
          <w:rFonts w:ascii="Times" w:hAnsi="Times" w:cs="Times New Roman"/>
          <w:bCs/>
          <w:color w:val="000000"/>
        </w:rPr>
        <w:t>............4</w:t>
      </w:r>
      <w:r w:rsidR="00846079">
        <w:rPr>
          <w:rFonts w:ascii="Times" w:hAnsi="Times" w:cs="Times New Roman"/>
          <w:bCs/>
          <w:color w:val="000000"/>
        </w:rPr>
        <w:t>3</w:t>
      </w:r>
    </w:p>
    <w:p w14:paraId="450EB32B"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p>
    <w:p w14:paraId="5FFC45DF" w14:textId="1FAA4C6F"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3.2</w:t>
      </w:r>
      <w:r w:rsidRPr="0092574A">
        <w:rPr>
          <w:rFonts w:ascii="Times" w:hAnsi="Times" w:cs="Times New Roman"/>
          <w:bCs/>
          <w:color w:val="000000"/>
        </w:rPr>
        <w:tab/>
      </w:r>
      <w:r w:rsidRPr="00751C5B">
        <w:rPr>
          <w:rFonts w:ascii="Times" w:hAnsi="Times" w:cs="Times New Roman"/>
          <w:bCs/>
          <w:color w:val="000000"/>
          <w:sz w:val="22"/>
        </w:rPr>
        <w:t>Leaching of Cementitious Waste forms containing Caesium and Strontium Nitrate</w:t>
      </w:r>
      <w:proofErr w:type="gramStart"/>
      <w:r w:rsidR="00846079">
        <w:rPr>
          <w:rFonts w:ascii="Times" w:hAnsi="Times" w:cs="Times New Roman"/>
          <w:bCs/>
          <w:color w:val="000000"/>
          <w:sz w:val="22"/>
        </w:rPr>
        <w:t>.....</w:t>
      </w:r>
      <w:proofErr w:type="gramEnd"/>
      <w:r w:rsidR="00846079">
        <w:rPr>
          <w:rFonts w:ascii="Times" w:hAnsi="Times" w:cs="Times New Roman"/>
          <w:bCs/>
          <w:color w:val="000000"/>
          <w:sz w:val="22"/>
        </w:rPr>
        <w:t>44</w:t>
      </w:r>
      <w:r w:rsidR="00846079" w:rsidRPr="00751C5B">
        <w:rPr>
          <w:rFonts w:ascii="Times" w:hAnsi="Times" w:cs="Times New Roman"/>
          <w:bCs/>
          <w:color w:val="000000"/>
          <w:sz w:val="22"/>
        </w:rPr>
        <w:t xml:space="preserve"> </w:t>
      </w:r>
      <w:r w:rsidRPr="00751C5B">
        <w:rPr>
          <w:rFonts w:ascii="Times" w:hAnsi="Times" w:cs="Times New Roman"/>
          <w:bCs/>
          <w:color w:val="000000"/>
          <w:sz w:val="22"/>
          <w:lang w:val="en-GB"/>
        </w:rPr>
        <w:t xml:space="preserve"> </w:t>
      </w:r>
    </w:p>
    <w:p w14:paraId="6C116043" w14:textId="6343140A"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3.2.1</w:t>
      </w:r>
      <w:r>
        <w:rPr>
          <w:rFonts w:ascii="Times" w:hAnsi="Times" w:cs="Times New Roman"/>
          <w:bCs/>
          <w:color w:val="000000"/>
        </w:rPr>
        <w:tab/>
        <w:t>Introduction................................................................................................4</w:t>
      </w:r>
      <w:r w:rsidR="00846079">
        <w:rPr>
          <w:rFonts w:ascii="Times" w:hAnsi="Times" w:cs="Times New Roman"/>
          <w:bCs/>
          <w:color w:val="000000"/>
        </w:rPr>
        <w:t>4</w:t>
      </w:r>
    </w:p>
    <w:p w14:paraId="71A6EBE3" w14:textId="768EC7DC"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3.2.2</w:t>
      </w:r>
      <w:r>
        <w:rPr>
          <w:rFonts w:ascii="Times" w:hAnsi="Times" w:cs="Times New Roman"/>
          <w:bCs/>
          <w:color w:val="000000"/>
        </w:rPr>
        <w:tab/>
        <w:t xml:space="preserve">Cement Sample </w:t>
      </w:r>
      <w:r w:rsidR="006D108B">
        <w:rPr>
          <w:rFonts w:ascii="Times" w:hAnsi="Times" w:cs="Times New Roman"/>
          <w:bCs/>
          <w:color w:val="000000"/>
        </w:rPr>
        <w:t>Preparation</w:t>
      </w:r>
      <w:r>
        <w:rPr>
          <w:rFonts w:ascii="Times" w:hAnsi="Times" w:cs="Times New Roman"/>
          <w:bCs/>
          <w:color w:val="000000"/>
        </w:rPr>
        <w:t>.......................................................................4</w:t>
      </w:r>
      <w:r w:rsidR="00846079">
        <w:rPr>
          <w:rFonts w:ascii="Times" w:hAnsi="Times" w:cs="Times New Roman"/>
          <w:bCs/>
          <w:color w:val="000000"/>
        </w:rPr>
        <w:t>4</w:t>
      </w:r>
    </w:p>
    <w:p w14:paraId="2BB465EB" w14:textId="5E964944"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3.2.3</w:t>
      </w:r>
      <w:r>
        <w:rPr>
          <w:rFonts w:ascii="Times" w:hAnsi="Times" w:cs="Times New Roman"/>
          <w:bCs/>
          <w:color w:val="000000"/>
        </w:rPr>
        <w:tab/>
        <w:t>Leaching Procedures..................................................................................</w:t>
      </w:r>
      <w:r w:rsidR="00846079">
        <w:rPr>
          <w:rFonts w:ascii="Times" w:hAnsi="Times" w:cs="Times New Roman"/>
          <w:bCs/>
          <w:color w:val="000000"/>
        </w:rPr>
        <w:t>.</w:t>
      </w:r>
      <w:r>
        <w:rPr>
          <w:rFonts w:ascii="Times" w:hAnsi="Times" w:cs="Times New Roman"/>
          <w:bCs/>
          <w:color w:val="000000"/>
        </w:rPr>
        <w:t>4</w:t>
      </w:r>
      <w:r w:rsidR="00846079">
        <w:rPr>
          <w:rFonts w:ascii="Times" w:hAnsi="Times" w:cs="Times New Roman"/>
          <w:bCs/>
          <w:color w:val="000000"/>
        </w:rPr>
        <w:t>7</w:t>
      </w:r>
    </w:p>
    <w:p w14:paraId="42B6A4FD" w14:textId="4685A9C4"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3.2.4</w:t>
      </w:r>
      <w:r>
        <w:rPr>
          <w:rFonts w:ascii="Times" w:hAnsi="Times" w:cs="Times New Roman"/>
          <w:bCs/>
          <w:color w:val="000000"/>
        </w:rPr>
        <w:tab/>
        <w:t>Containers..................................................................................................</w:t>
      </w:r>
      <w:r w:rsidR="00846079">
        <w:rPr>
          <w:rFonts w:ascii="Times" w:hAnsi="Times" w:cs="Times New Roman"/>
          <w:bCs/>
          <w:color w:val="000000"/>
        </w:rPr>
        <w:t>.</w:t>
      </w:r>
      <w:r>
        <w:rPr>
          <w:rFonts w:ascii="Times" w:hAnsi="Times" w:cs="Times New Roman"/>
          <w:bCs/>
          <w:color w:val="000000"/>
        </w:rPr>
        <w:t>4</w:t>
      </w:r>
      <w:r w:rsidR="00846079">
        <w:rPr>
          <w:rFonts w:ascii="Times" w:hAnsi="Times" w:cs="Times New Roman"/>
          <w:bCs/>
          <w:color w:val="000000"/>
        </w:rPr>
        <w:t>8</w:t>
      </w:r>
    </w:p>
    <w:p w14:paraId="73E455B9"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3.2.5</w:t>
      </w:r>
      <w:r>
        <w:rPr>
          <w:rFonts w:ascii="Times" w:hAnsi="Times" w:cs="Times New Roman"/>
          <w:bCs/>
          <w:color w:val="000000"/>
        </w:rPr>
        <w:tab/>
        <w:t>Experimental Procedure.............................................................................49</w:t>
      </w:r>
    </w:p>
    <w:p w14:paraId="19B995EB"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p>
    <w:p w14:paraId="7FB907A6" w14:textId="10CEABE8"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3.3</w:t>
      </w:r>
      <w:r w:rsidRPr="0092574A">
        <w:rPr>
          <w:rFonts w:ascii="Times" w:hAnsi="Times" w:cs="Times New Roman"/>
          <w:bCs/>
          <w:color w:val="000000"/>
        </w:rPr>
        <w:tab/>
      </w:r>
      <w:r>
        <w:rPr>
          <w:rFonts w:ascii="Times" w:hAnsi="Times" w:cs="Times New Roman"/>
          <w:bCs/>
          <w:color w:val="000000"/>
        </w:rPr>
        <w:t xml:space="preserve">Incorporation of Cs </w:t>
      </w:r>
      <w:r w:rsidR="006D108B">
        <w:rPr>
          <w:rFonts w:ascii="Times" w:hAnsi="Times" w:cs="Times New Roman"/>
          <w:bCs/>
          <w:color w:val="000000"/>
        </w:rPr>
        <w:t>and</w:t>
      </w:r>
      <w:r>
        <w:rPr>
          <w:rFonts w:ascii="Times" w:hAnsi="Times" w:cs="Times New Roman"/>
          <w:bCs/>
          <w:color w:val="000000"/>
        </w:rPr>
        <w:t xml:space="preserve"> Sr within the BFS</w:t>
      </w:r>
      <w:proofErr w:type="gramStart"/>
      <w:r>
        <w:rPr>
          <w:rFonts w:ascii="Times" w:hAnsi="Times" w:cs="Times New Roman"/>
          <w:bCs/>
          <w:color w:val="000000"/>
        </w:rPr>
        <w:t>:PC</w:t>
      </w:r>
      <w:proofErr w:type="gramEnd"/>
      <w:r>
        <w:rPr>
          <w:rFonts w:ascii="Times" w:hAnsi="Times" w:cs="Times New Roman"/>
          <w:bCs/>
          <w:color w:val="000000"/>
        </w:rPr>
        <w:t xml:space="preserve"> Matrix.........................................</w:t>
      </w:r>
      <w:r w:rsidR="00846079">
        <w:rPr>
          <w:rFonts w:ascii="Times" w:hAnsi="Times" w:cs="Times New Roman"/>
          <w:bCs/>
          <w:color w:val="000000"/>
        </w:rPr>
        <w:t>53</w:t>
      </w:r>
    </w:p>
    <w:p w14:paraId="78675CBE" w14:textId="63A5A5BE"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3.3.1</w:t>
      </w:r>
      <w:r>
        <w:rPr>
          <w:rFonts w:ascii="Times" w:hAnsi="Times" w:cs="Times New Roman"/>
          <w:bCs/>
          <w:color w:val="000000"/>
        </w:rPr>
        <w:tab/>
      </w:r>
      <w:r w:rsidRPr="00A37D9A">
        <w:rPr>
          <w:rFonts w:ascii="Times" w:hAnsi="Times" w:cs="Times New Roman"/>
          <w:bCs/>
          <w:color w:val="000000"/>
        </w:rPr>
        <w:t>Tricalcium Aluminate (C</w:t>
      </w:r>
      <w:r w:rsidRPr="00A37D9A">
        <w:rPr>
          <w:rFonts w:ascii="Times" w:hAnsi="Times" w:cs="Times New Roman"/>
          <w:bCs/>
          <w:color w:val="000000"/>
          <w:vertAlign w:val="subscript"/>
        </w:rPr>
        <w:t>3</w:t>
      </w:r>
      <w:r w:rsidRPr="00A37D9A">
        <w:rPr>
          <w:rFonts w:ascii="Times" w:hAnsi="Times" w:cs="Times New Roman"/>
          <w:bCs/>
          <w:color w:val="000000"/>
        </w:rPr>
        <w:t>A) Synthesis</w:t>
      </w:r>
      <w:r>
        <w:rPr>
          <w:rFonts w:ascii="Times" w:hAnsi="Times" w:cs="Times New Roman"/>
          <w:bCs/>
          <w:color w:val="000000"/>
        </w:rPr>
        <w:t>......................................................</w:t>
      </w:r>
      <w:r w:rsidR="00846079">
        <w:rPr>
          <w:rFonts w:ascii="Times" w:hAnsi="Times" w:cs="Times New Roman"/>
          <w:bCs/>
          <w:color w:val="000000"/>
        </w:rPr>
        <w:t>53</w:t>
      </w:r>
    </w:p>
    <w:p w14:paraId="305DE587" w14:textId="64D44848"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3.3.2</w:t>
      </w:r>
      <w:r>
        <w:rPr>
          <w:rFonts w:ascii="Times" w:hAnsi="Times" w:cs="Times New Roman"/>
          <w:bCs/>
          <w:color w:val="000000"/>
        </w:rPr>
        <w:tab/>
        <w:t>AFm synthesis............................................................................................5</w:t>
      </w:r>
      <w:r w:rsidR="00846079">
        <w:rPr>
          <w:rFonts w:ascii="Times" w:hAnsi="Times" w:cs="Times New Roman"/>
          <w:bCs/>
          <w:color w:val="000000"/>
        </w:rPr>
        <w:t>5</w:t>
      </w:r>
    </w:p>
    <w:p w14:paraId="1D3B334D" w14:textId="3EE5DF54"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3.3.3</w:t>
      </w:r>
      <w:r>
        <w:rPr>
          <w:rFonts w:ascii="Times" w:hAnsi="Times" w:cs="Times New Roman"/>
          <w:bCs/>
          <w:color w:val="000000"/>
        </w:rPr>
        <w:tab/>
        <w:t>Analysis......................................................................................................5</w:t>
      </w:r>
      <w:r w:rsidR="00846079">
        <w:rPr>
          <w:rFonts w:ascii="Times" w:hAnsi="Times" w:cs="Times New Roman"/>
          <w:bCs/>
          <w:color w:val="000000"/>
        </w:rPr>
        <w:t>6</w:t>
      </w:r>
    </w:p>
    <w:p w14:paraId="032BE0DA"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3.4</w:t>
      </w:r>
      <w:r w:rsidRPr="0092574A">
        <w:rPr>
          <w:rFonts w:ascii="Times" w:hAnsi="Times" w:cs="Times New Roman"/>
          <w:bCs/>
          <w:color w:val="000000"/>
        </w:rPr>
        <w:tab/>
      </w:r>
      <w:r>
        <w:rPr>
          <w:rFonts w:ascii="Times" w:hAnsi="Times" w:cs="Times New Roman"/>
          <w:bCs/>
          <w:color w:val="000000"/>
        </w:rPr>
        <w:t>The Impact of Superplasticisers on Leaching Behaviour....................................59</w:t>
      </w:r>
    </w:p>
    <w:p w14:paraId="455DB06F" w14:textId="13B565F2"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3.4.1</w:t>
      </w:r>
      <w:r>
        <w:rPr>
          <w:rFonts w:ascii="Times" w:hAnsi="Times" w:cs="Times New Roman"/>
          <w:bCs/>
          <w:color w:val="000000"/>
        </w:rPr>
        <w:tab/>
        <w:t xml:space="preserve">Effect of Superplasticiser on Leaching of Cement Samples containing </w:t>
      </w:r>
      <w:r>
        <w:rPr>
          <w:rFonts w:ascii="Times" w:hAnsi="Times" w:cs="Times New Roman"/>
          <w:bCs/>
          <w:color w:val="000000"/>
        </w:rPr>
        <w:tab/>
      </w:r>
      <w:r>
        <w:rPr>
          <w:rFonts w:ascii="Times" w:hAnsi="Times" w:cs="Times New Roman"/>
          <w:bCs/>
          <w:color w:val="000000"/>
        </w:rPr>
        <w:tab/>
      </w:r>
      <w:r>
        <w:rPr>
          <w:rFonts w:ascii="Times" w:hAnsi="Times" w:cs="Times New Roman"/>
          <w:bCs/>
          <w:color w:val="000000"/>
        </w:rPr>
        <w:tab/>
        <w:t>Cerium Nitrate...................................</w:t>
      </w:r>
      <w:r w:rsidR="00846079">
        <w:rPr>
          <w:rFonts w:ascii="Times" w:hAnsi="Times" w:cs="Times New Roman"/>
          <w:bCs/>
          <w:color w:val="000000"/>
        </w:rPr>
        <w:t>..........</w:t>
      </w:r>
      <w:r>
        <w:rPr>
          <w:rFonts w:ascii="Times" w:hAnsi="Times" w:cs="Times New Roman"/>
          <w:bCs/>
          <w:color w:val="000000"/>
        </w:rPr>
        <w:t>.........................................................6</w:t>
      </w:r>
      <w:r w:rsidR="00846079">
        <w:rPr>
          <w:rFonts w:ascii="Times" w:hAnsi="Times" w:cs="Times New Roman"/>
          <w:bCs/>
          <w:color w:val="000000"/>
        </w:rPr>
        <w:t>2</w:t>
      </w:r>
    </w:p>
    <w:p w14:paraId="364676BB" w14:textId="3114B2E2"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3.4.2</w:t>
      </w:r>
      <w:r>
        <w:rPr>
          <w:rFonts w:ascii="Times" w:hAnsi="Times" w:cs="Times New Roman"/>
          <w:bCs/>
          <w:color w:val="000000"/>
        </w:rPr>
        <w:tab/>
        <w:t xml:space="preserve">Effect of Superplasticiser on Flow-Through Leaching Test of </w:t>
      </w:r>
      <w:r>
        <w:rPr>
          <w:rFonts w:ascii="Times" w:hAnsi="Times" w:cs="Times New Roman"/>
          <w:bCs/>
          <w:color w:val="000000"/>
        </w:rPr>
        <w:tab/>
      </w:r>
      <w:r>
        <w:rPr>
          <w:rFonts w:ascii="Times" w:hAnsi="Times" w:cs="Times New Roman"/>
          <w:bCs/>
          <w:color w:val="000000"/>
        </w:rPr>
        <w:tab/>
      </w:r>
      <w:r>
        <w:rPr>
          <w:rFonts w:ascii="Times" w:hAnsi="Times" w:cs="Times New Roman"/>
          <w:bCs/>
          <w:color w:val="000000"/>
        </w:rPr>
        <w:tab/>
      </w:r>
      <w:r>
        <w:rPr>
          <w:rFonts w:ascii="Times" w:hAnsi="Times" w:cs="Times New Roman"/>
          <w:bCs/>
          <w:color w:val="000000"/>
        </w:rPr>
        <w:tab/>
        <w:t>Cerium..........................................................................................</w:t>
      </w:r>
      <w:r w:rsidR="00846079">
        <w:rPr>
          <w:rFonts w:ascii="Times" w:hAnsi="Times" w:cs="Times New Roman"/>
          <w:bCs/>
          <w:color w:val="000000"/>
        </w:rPr>
        <w:t>..........</w:t>
      </w:r>
      <w:r>
        <w:rPr>
          <w:rFonts w:ascii="Times" w:hAnsi="Times" w:cs="Times New Roman"/>
          <w:bCs/>
          <w:color w:val="000000"/>
        </w:rPr>
        <w:t>..............6</w:t>
      </w:r>
      <w:r w:rsidR="00846079">
        <w:rPr>
          <w:rFonts w:ascii="Times" w:hAnsi="Times" w:cs="Times New Roman"/>
          <w:bCs/>
          <w:color w:val="000000"/>
        </w:rPr>
        <w:t>3</w:t>
      </w:r>
    </w:p>
    <w:p w14:paraId="4845BDB3" w14:textId="021F43E6"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3.4.3</w:t>
      </w:r>
      <w:r>
        <w:rPr>
          <w:rFonts w:ascii="Times" w:hAnsi="Times" w:cs="Times New Roman"/>
          <w:bCs/>
          <w:color w:val="000000"/>
        </w:rPr>
        <w:tab/>
        <w:t>Analysis.....................................................................................................</w:t>
      </w:r>
      <w:r w:rsidR="00846079">
        <w:rPr>
          <w:rFonts w:ascii="Times" w:hAnsi="Times" w:cs="Times New Roman"/>
          <w:bCs/>
          <w:color w:val="000000"/>
        </w:rPr>
        <w:t>.</w:t>
      </w:r>
      <w:r>
        <w:rPr>
          <w:rFonts w:ascii="Times" w:hAnsi="Times" w:cs="Times New Roman"/>
          <w:bCs/>
          <w:color w:val="000000"/>
        </w:rPr>
        <w:t>.6</w:t>
      </w:r>
      <w:r w:rsidR="00846079">
        <w:rPr>
          <w:rFonts w:ascii="Times" w:hAnsi="Times" w:cs="Times New Roman"/>
          <w:bCs/>
          <w:color w:val="000000"/>
        </w:rPr>
        <w:t>8</w:t>
      </w:r>
    </w:p>
    <w:p w14:paraId="368B46BB" w14:textId="047C8016"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References (Chapter 3).........................................……………………...............</w:t>
      </w:r>
      <w:r w:rsidR="00846079">
        <w:rPr>
          <w:rFonts w:ascii="Times" w:hAnsi="Times" w:cs="Times New Roman"/>
          <w:bCs/>
          <w:color w:val="000000"/>
        </w:rPr>
        <w:t>..70</w:t>
      </w:r>
    </w:p>
    <w:p w14:paraId="18255172" w14:textId="77777777" w:rsidR="004D0168" w:rsidRDefault="004D0168" w:rsidP="004D0168">
      <w:pPr>
        <w:rPr>
          <w:rFonts w:ascii="Times" w:hAnsi="Times" w:cs="Times New Roman"/>
          <w:bCs/>
          <w:color w:val="000000"/>
        </w:rPr>
      </w:pPr>
    </w:p>
    <w:p w14:paraId="6AB25043" w14:textId="77777777" w:rsidR="004D0168" w:rsidRDefault="004D0168" w:rsidP="004D0168">
      <w:pPr>
        <w:rPr>
          <w:rFonts w:ascii="Times" w:hAnsi="Times"/>
          <w:b/>
          <w:bCs/>
        </w:rPr>
      </w:pPr>
    </w:p>
    <w:p w14:paraId="55BE0FFA" w14:textId="374A81F2" w:rsidR="004D0168" w:rsidRDefault="004D0168" w:rsidP="004D0168">
      <w:pPr>
        <w:rPr>
          <w:rFonts w:ascii="Times" w:hAnsi="Times"/>
          <w:b/>
        </w:rPr>
      </w:pPr>
      <w:r>
        <w:rPr>
          <w:rFonts w:ascii="Times" w:hAnsi="Times"/>
          <w:b/>
          <w:bCs/>
        </w:rPr>
        <w:t>Chapter 4</w:t>
      </w:r>
      <w:r w:rsidRPr="0092574A">
        <w:rPr>
          <w:rFonts w:ascii="Times" w:hAnsi="Times"/>
          <w:b/>
          <w:bCs/>
        </w:rPr>
        <w:t xml:space="preserve">: </w:t>
      </w:r>
      <w:r>
        <w:rPr>
          <w:rFonts w:ascii="Times" w:hAnsi="Times"/>
          <w:b/>
          <w:bCs/>
        </w:rPr>
        <w:t>Results &amp; Discussion</w:t>
      </w:r>
      <w:r>
        <w:rPr>
          <w:rFonts w:ascii="Times" w:hAnsi="Times"/>
          <w:b/>
        </w:rPr>
        <w:tab/>
      </w:r>
      <w:r>
        <w:rPr>
          <w:rFonts w:ascii="Times" w:hAnsi="Times"/>
          <w:b/>
        </w:rPr>
        <w:tab/>
      </w:r>
      <w:r>
        <w:rPr>
          <w:rFonts w:ascii="Times" w:hAnsi="Times"/>
          <w:b/>
        </w:rPr>
        <w:tab/>
      </w:r>
      <w:r>
        <w:rPr>
          <w:rFonts w:ascii="Times" w:hAnsi="Times"/>
          <w:b/>
        </w:rPr>
        <w:tab/>
      </w:r>
      <w:r>
        <w:rPr>
          <w:rFonts w:ascii="Times" w:hAnsi="Times"/>
          <w:b/>
        </w:rPr>
        <w:tab/>
      </w:r>
      <w:r>
        <w:rPr>
          <w:rFonts w:ascii="Times" w:hAnsi="Times"/>
          <w:b/>
        </w:rPr>
        <w:tab/>
      </w:r>
      <w:r>
        <w:rPr>
          <w:rFonts w:ascii="Times" w:hAnsi="Times"/>
          <w:b/>
        </w:rPr>
        <w:tab/>
      </w:r>
      <w:r w:rsidR="00A131B7">
        <w:rPr>
          <w:rFonts w:ascii="Times" w:hAnsi="Times"/>
          <w:b/>
        </w:rPr>
        <w:t xml:space="preserve"> </w:t>
      </w:r>
      <w:r>
        <w:rPr>
          <w:rFonts w:ascii="Times" w:hAnsi="Times"/>
          <w:b/>
        </w:rPr>
        <w:t xml:space="preserve"> </w:t>
      </w:r>
      <w:r w:rsidR="002D48A6">
        <w:rPr>
          <w:rFonts w:ascii="Times" w:hAnsi="Times"/>
          <w:b/>
        </w:rPr>
        <w:t>71</w:t>
      </w:r>
    </w:p>
    <w:p w14:paraId="7777CA66" w14:textId="4067E2FE"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4.1</w:t>
      </w:r>
      <w:r>
        <w:rPr>
          <w:rFonts w:ascii="Times" w:hAnsi="Times" w:cs="Times New Roman"/>
          <w:bCs/>
          <w:color w:val="000000"/>
        </w:rPr>
        <w:tab/>
        <w:t>Characterisation of Cement Samples..................................................................7</w:t>
      </w:r>
      <w:r w:rsidR="002D48A6">
        <w:rPr>
          <w:rFonts w:ascii="Times" w:hAnsi="Times" w:cs="Times New Roman"/>
          <w:bCs/>
          <w:color w:val="000000"/>
        </w:rPr>
        <w:t>2</w:t>
      </w:r>
    </w:p>
    <w:p w14:paraId="157F4827" w14:textId="57CBC328"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4.1.1</w:t>
      </w:r>
      <w:r>
        <w:rPr>
          <w:rFonts w:ascii="Times" w:hAnsi="Times" w:cs="Times New Roman"/>
          <w:bCs/>
          <w:color w:val="000000"/>
        </w:rPr>
        <w:tab/>
        <w:t>Results.......................................................................................................7</w:t>
      </w:r>
      <w:r w:rsidR="002D48A6">
        <w:rPr>
          <w:rFonts w:ascii="Times" w:hAnsi="Times" w:cs="Times New Roman"/>
          <w:bCs/>
          <w:color w:val="000000"/>
        </w:rPr>
        <w:t>2</w:t>
      </w:r>
      <w:r>
        <w:rPr>
          <w:rFonts w:ascii="Times" w:hAnsi="Times" w:cs="Times New Roman"/>
          <w:bCs/>
          <w:color w:val="000000"/>
        </w:rPr>
        <w:tab/>
      </w:r>
    </w:p>
    <w:p w14:paraId="4EFFC1E1" w14:textId="3F0ABCC8"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4.1.2 Discussion.................................................................................................</w:t>
      </w:r>
      <w:r w:rsidR="00535201">
        <w:rPr>
          <w:rFonts w:ascii="Times" w:hAnsi="Times" w:cs="Times New Roman"/>
          <w:bCs/>
          <w:color w:val="000000"/>
        </w:rPr>
        <w:t>.90</w:t>
      </w:r>
    </w:p>
    <w:p w14:paraId="44BDBA0B"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p>
    <w:p w14:paraId="014F29A2" w14:textId="77777777" w:rsidR="00A131B7"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4.2</w:t>
      </w:r>
      <w:r>
        <w:rPr>
          <w:rFonts w:ascii="Times" w:hAnsi="Times" w:cs="Times New Roman"/>
          <w:bCs/>
          <w:color w:val="000000"/>
        </w:rPr>
        <w:tab/>
        <w:t xml:space="preserve">Leaching of Cementitious Waste forms containing Caesium Nitrate and </w:t>
      </w:r>
      <w:r>
        <w:rPr>
          <w:rFonts w:ascii="Times" w:hAnsi="Times" w:cs="Times New Roman"/>
          <w:bCs/>
          <w:color w:val="000000"/>
        </w:rPr>
        <w:tab/>
      </w:r>
    </w:p>
    <w:p w14:paraId="3D9701A7" w14:textId="19F92A09" w:rsidR="004D0168" w:rsidRDefault="00A131B7"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r>
      <w:r w:rsidR="004D0168">
        <w:rPr>
          <w:rFonts w:ascii="Times" w:hAnsi="Times" w:cs="Times New Roman"/>
          <w:bCs/>
          <w:color w:val="000000"/>
        </w:rPr>
        <w:t>Strontium Nitrate.................................................................................................9</w:t>
      </w:r>
      <w:r w:rsidR="005A12E7">
        <w:rPr>
          <w:rFonts w:ascii="Times" w:hAnsi="Times" w:cs="Times New Roman"/>
          <w:bCs/>
          <w:color w:val="000000"/>
        </w:rPr>
        <w:t>6</w:t>
      </w:r>
    </w:p>
    <w:p w14:paraId="65272C59" w14:textId="06CE6BE5"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4.2.1</w:t>
      </w:r>
      <w:r>
        <w:rPr>
          <w:rFonts w:ascii="Times" w:hAnsi="Times" w:cs="Times New Roman"/>
          <w:bCs/>
          <w:color w:val="000000"/>
        </w:rPr>
        <w:tab/>
        <w:t>Accelerated Leaching Experiments............................................................9</w:t>
      </w:r>
      <w:r w:rsidR="005A12E7">
        <w:rPr>
          <w:rFonts w:ascii="Times" w:hAnsi="Times" w:cs="Times New Roman"/>
          <w:bCs/>
          <w:color w:val="000000"/>
        </w:rPr>
        <w:t>7</w:t>
      </w:r>
    </w:p>
    <w:p w14:paraId="2ADD3384" w14:textId="380DF4C0"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r>
      <w:r>
        <w:rPr>
          <w:rFonts w:ascii="Times" w:hAnsi="Times" w:cs="Times New Roman"/>
          <w:bCs/>
          <w:color w:val="000000"/>
        </w:rPr>
        <w:tab/>
        <w:t>4.2.1.1 Results.............................................................................................9</w:t>
      </w:r>
      <w:r w:rsidR="005A12E7">
        <w:rPr>
          <w:rFonts w:ascii="Times" w:hAnsi="Times" w:cs="Times New Roman"/>
          <w:bCs/>
          <w:color w:val="000000"/>
        </w:rPr>
        <w:t>7</w:t>
      </w:r>
    </w:p>
    <w:p w14:paraId="030E18FC" w14:textId="0A734B4F"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r>
      <w:r>
        <w:rPr>
          <w:rFonts w:ascii="Times" w:hAnsi="Times" w:cs="Times New Roman"/>
          <w:bCs/>
          <w:color w:val="000000"/>
        </w:rPr>
        <w:tab/>
        <w:t>4.2.1.2 Discussion.....................................................................................11</w:t>
      </w:r>
      <w:r w:rsidR="005A12E7">
        <w:rPr>
          <w:rFonts w:ascii="Times" w:hAnsi="Times" w:cs="Times New Roman"/>
          <w:bCs/>
          <w:color w:val="000000"/>
        </w:rPr>
        <w:t>5</w:t>
      </w:r>
    </w:p>
    <w:p w14:paraId="4EE140B5" w14:textId="041CDC36"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4.2.2</w:t>
      </w:r>
      <w:r>
        <w:rPr>
          <w:rFonts w:ascii="Times" w:hAnsi="Times" w:cs="Times New Roman"/>
          <w:bCs/>
          <w:color w:val="000000"/>
        </w:rPr>
        <w:tab/>
        <w:t>Cement Degradation During Leaching.....................................................12</w:t>
      </w:r>
      <w:r w:rsidR="000E57DF">
        <w:rPr>
          <w:rFonts w:ascii="Times" w:hAnsi="Times" w:cs="Times New Roman"/>
          <w:bCs/>
          <w:color w:val="000000"/>
        </w:rPr>
        <w:t>5</w:t>
      </w:r>
    </w:p>
    <w:p w14:paraId="327C2C56" w14:textId="6238B42B"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r>
      <w:r>
        <w:rPr>
          <w:rFonts w:ascii="Times" w:hAnsi="Times" w:cs="Times New Roman"/>
          <w:bCs/>
          <w:color w:val="000000"/>
        </w:rPr>
        <w:tab/>
        <w:t>4.2.2.1 Results...........................................................................................12</w:t>
      </w:r>
      <w:r w:rsidR="000E57DF">
        <w:rPr>
          <w:rFonts w:ascii="Times" w:hAnsi="Times" w:cs="Times New Roman"/>
          <w:bCs/>
          <w:color w:val="000000"/>
        </w:rPr>
        <w:t>5</w:t>
      </w:r>
    </w:p>
    <w:p w14:paraId="60BD9BC8" w14:textId="3464CA6F"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r>
      <w:r>
        <w:rPr>
          <w:rFonts w:ascii="Times" w:hAnsi="Times" w:cs="Times New Roman"/>
          <w:bCs/>
          <w:color w:val="000000"/>
        </w:rPr>
        <w:tab/>
        <w:t>4.2.2.2 Discussion.....................................................................................1</w:t>
      </w:r>
      <w:r w:rsidR="004357F1">
        <w:rPr>
          <w:rFonts w:ascii="Times" w:hAnsi="Times" w:cs="Times New Roman"/>
          <w:bCs/>
          <w:color w:val="000000"/>
        </w:rPr>
        <w:t>50</w:t>
      </w:r>
    </w:p>
    <w:p w14:paraId="650E3EDD"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p>
    <w:p w14:paraId="6E8EA41C" w14:textId="19B6E4FC"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4.3</w:t>
      </w:r>
      <w:r>
        <w:rPr>
          <w:rFonts w:ascii="Times" w:hAnsi="Times" w:cs="Times New Roman"/>
          <w:bCs/>
          <w:color w:val="000000"/>
        </w:rPr>
        <w:tab/>
        <w:t>Incorporation of Cs &amp; Sr in BFS</w:t>
      </w:r>
      <w:proofErr w:type="gramStart"/>
      <w:r>
        <w:rPr>
          <w:rFonts w:ascii="Times" w:hAnsi="Times" w:cs="Times New Roman"/>
          <w:bCs/>
          <w:color w:val="000000"/>
        </w:rPr>
        <w:t>:PC</w:t>
      </w:r>
      <w:proofErr w:type="gramEnd"/>
      <w:r>
        <w:rPr>
          <w:rFonts w:ascii="Times" w:hAnsi="Times" w:cs="Times New Roman"/>
          <w:bCs/>
          <w:color w:val="000000"/>
        </w:rPr>
        <w:t xml:space="preserve"> Cement                                                    15</w:t>
      </w:r>
      <w:r w:rsidR="004357F1">
        <w:rPr>
          <w:rFonts w:ascii="Times" w:hAnsi="Times" w:cs="Times New Roman"/>
          <w:bCs/>
          <w:color w:val="000000"/>
        </w:rPr>
        <w:t>6</w:t>
      </w:r>
    </w:p>
    <w:p w14:paraId="713AC1BA" w14:textId="187B572A"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4.3.1</w:t>
      </w:r>
      <w:r>
        <w:rPr>
          <w:rFonts w:ascii="Times" w:hAnsi="Times" w:cs="Times New Roman"/>
          <w:bCs/>
          <w:color w:val="000000"/>
        </w:rPr>
        <w:tab/>
        <w:t>Results.......................................................................................................15</w:t>
      </w:r>
      <w:r w:rsidR="004357F1">
        <w:rPr>
          <w:rFonts w:ascii="Times" w:hAnsi="Times" w:cs="Times New Roman"/>
          <w:bCs/>
          <w:color w:val="000000"/>
        </w:rPr>
        <w:t>6</w:t>
      </w:r>
    </w:p>
    <w:p w14:paraId="7626EAA3" w14:textId="4ECBA1E6"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r>
      <w:r>
        <w:rPr>
          <w:rFonts w:ascii="Times" w:hAnsi="Times" w:cs="Times New Roman"/>
          <w:bCs/>
          <w:color w:val="000000"/>
        </w:rPr>
        <w:tab/>
        <w:t>4.3.1.1 Cement Analysis...........................................................................15</w:t>
      </w:r>
      <w:r w:rsidR="004357F1">
        <w:rPr>
          <w:rFonts w:ascii="Times" w:hAnsi="Times" w:cs="Times New Roman"/>
          <w:bCs/>
          <w:color w:val="000000"/>
        </w:rPr>
        <w:t>6</w:t>
      </w:r>
    </w:p>
    <w:p w14:paraId="4E0468F9" w14:textId="750EE4DF"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r>
      <w:r>
        <w:rPr>
          <w:rFonts w:ascii="Times" w:hAnsi="Times" w:cs="Times New Roman"/>
          <w:bCs/>
          <w:color w:val="000000"/>
        </w:rPr>
        <w:tab/>
        <w:t>4.3.1.2 AFm Synthesis..............................................................................1</w:t>
      </w:r>
      <w:r w:rsidR="004357F1">
        <w:rPr>
          <w:rFonts w:ascii="Times" w:hAnsi="Times" w:cs="Times New Roman"/>
          <w:bCs/>
          <w:color w:val="000000"/>
        </w:rPr>
        <w:t>61</w:t>
      </w:r>
    </w:p>
    <w:p w14:paraId="1A3BF8BE" w14:textId="576F2390"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r>
      <w:r>
        <w:rPr>
          <w:rFonts w:ascii="Times" w:hAnsi="Times" w:cs="Times New Roman"/>
          <w:bCs/>
          <w:color w:val="000000"/>
        </w:rPr>
        <w:tab/>
        <w:t>4.3.1.3 Solution Analysis..........................................................................16</w:t>
      </w:r>
      <w:r w:rsidR="004357F1">
        <w:rPr>
          <w:rFonts w:ascii="Times" w:hAnsi="Times" w:cs="Times New Roman"/>
          <w:bCs/>
          <w:color w:val="000000"/>
        </w:rPr>
        <w:t>4</w:t>
      </w:r>
    </w:p>
    <w:p w14:paraId="09C2542A" w14:textId="5DB44286"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4.3.2 Discussion.................................................................................................1</w:t>
      </w:r>
      <w:r w:rsidR="004357F1">
        <w:rPr>
          <w:rFonts w:ascii="Times" w:hAnsi="Times" w:cs="Times New Roman"/>
          <w:bCs/>
          <w:color w:val="000000"/>
        </w:rPr>
        <w:t>70</w:t>
      </w:r>
    </w:p>
    <w:p w14:paraId="7F237924"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p>
    <w:p w14:paraId="0EEB4887" w14:textId="6768E824"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4.4</w:t>
      </w:r>
      <w:r>
        <w:rPr>
          <w:rFonts w:ascii="Times" w:hAnsi="Times" w:cs="Times New Roman"/>
          <w:bCs/>
          <w:color w:val="000000"/>
        </w:rPr>
        <w:tab/>
        <w:t xml:space="preserve">The Effect of Superplasticisers on Leaching Behaviour of Cementitious Waste </w:t>
      </w:r>
      <w:r>
        <w:rPr>
          <w:rFonts w:ascii="Times" w:hAnsi="Times" w:cs="Times New Roman"/>
          <w:bCs/>
          <w:color w:val="000000"/>
        </w:rPr>
        <w:tab/>
        <w:t>Forms                                                                                                                 17</w:t>
      </w:r>
      <w:r w:rsidR="00692EF7">
        <w:rPr>
          <w:rFonts w:ascii="Times" w:hAnsi="Times" w:cs="Times New Roman"/>
          <w:bCs/>
          <w:color w:val="000000"/>
        </w:rPr>
        <w:t>5</w:t>
      </w:r>
    </w:p>
    <w:p w14:paraId="734A0CA0" w14:textId="3E9EA8A3"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4.4.1 Impact of ADVA Cast 551 on Cementitious Waste forms......................17</w:t>
      </w:r>
      <w:r w:rsidR="00692EF7">
        <w:rPr>
          <w:rFonts w:ascii="Times" w:hAnsi="Times" w:cs="Times New Roman"/>
          <w:bCs/>
          <w:color w:val="000000"/>
        </w:rPr>
        <w:t>6</w:t>
      </w:r>
    </w:p>
    <w:p w14:paraId="7AD34F0E" w14:textId="67B83CD8"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r>
      <w:r>
        <w:rPr>
          <w:rFonts w:ascii="Times" w:hAnsi="Times" w:cs="Times New Roman"/>
          <w:bCs/>
          <w:color w:val="000000"/>
        </w:rPr>
        <w:tab/>
        <w:t>4.4.1.1 Results..........................................................................................17</w:t>
      </w:r>
      <w:r w:rsidR="00692EF7">
        <w:rPr>
          <w:rFonts w:ascii="Times" w:hAnsi="Times" w:cs="Times New Roman"/>
          <w:bCs/>
          <w:color w:val="000000"/>
        </w:rPr>
        <w:t>6</w:t>
      </w:r>
    </w:p>
    <w:p w14:paraId="178CD2E2" w14:textId="22031D30"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r>
      <w:r>
        <w:rPr>
          <w:rFonts w:ascii="Times" w:hAnsi="Times" w:cs="Times New Roman"/>
          <w:bCs/>
          <w:color w:val="000000"/>
        </w:rPr>
        <w:tab/>
        <w:t>4.4.1.2 Discussion....................................................................................17</w:t>
      </w:r>
      <w:r w:rsidR="00692EF7">
        <w:rPr>
          <w:rFonts w:ascii="Times" w:hAnsi="Times" w:cs="Times New Roman"/>
          <w:bCs/>
          <w:color w:val="000000"/>
        </w:rPr>
        <w:t>9</w:t>
      </w:r>
    </w:p>
    <w:p w14:paraId="1082F941" w14:textId="63AF0C89"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t xml:space="preserve">4.4.2 NRVB </w:t>
      </w:r>
      <w:r w:rsidR="006D108B">
        <w:rPr>
          <w:rFonts w:ascii="Times" w:hAnsi="Times" w:cs="Times New Roman"/>
          <w:bCs/>
          <w:color w:val="000000"/>
        </w:rPr>
        <w:t>Flow through</w:t>
      </w:r>
      <w:r>
        <w:rPr>
          <w:rFonts w:ascii="Times" w:hAnsi="Times" w:cs="Times New Roman"/>
          <w:bCs/>
          <w:color w:val="000000"/>
        </w:rPr>
        <w:t xml:space="preserve"> Test Using Ce Solution..........................................1</w:t>
      </w:r>
      <w:r w:rsidR="00692EF7">
        <w:rPr>
          <w:rFonts w:ascii="Times" w:hAnsi="Times" w:cs="Times New Roman"/>
          <w:bCs/>
          <w:color w:val="000000"/>
        </w:rPr>
        <w:t>81</w:t>
      </w:r>
    </w:p>
    <w:p w14:paraId="0BA0DB3A" w14:textId="4D80CA92"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r>
      <w:r>
        <w:rPr>
          <w:rFonts w:ascii="Times" w:hAnsi="Times" w:cs="Times New Roman"/>
          <w:bCs/>
          <w:color w:val="000000"/>
        </w:rPr>
        <w:tab/>
        <w:t>4.4.2.1 Results..........................................................................................1</w:t>
      </w:r>
      <w:r w:rsidR="00110964">
        <w:rPr>
          <w:rFonts w:ascii="Times" w:hAnsi="Times" w:cs="Times New Roman"/>
          <w:bCs/>
          <w:color w:val="000000"/>
        </w:rPr>
        <w:t>81</w:t>
      </w:r>
    </w:p>
    <w:p w14:paraId="350704C8" w14:textId="60E824F8"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r>
      <w:r>
        <w:rPr>
          <w:rFonts w:ascii="Times" w:hAnsi="Times" w:cs="Times New Roman"/>
          <w:bCs/>
          <w:color w:val="000000"/>
        </w:rPr>
        <w:tab/>
        <w:t>4.4.2.2 Discussion....................................................................................1</w:t>
      </w:r>
      <w:r w:rsidR="00110964">
        <w:rPr>
          <w:rFonts w:ascii="Times" w:hAnsi="Times" w:cs="Times New Roman"/>
          <w:bCs/>
          <w:color w:val="000000"/>
        </w:rPr>
        <w:t>84</w:t>
      </w:r>
    </w:p>
    <w:p w14:paraId="694F35C9" w14:textId="44DF2771"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r>
        <w:rPr>
          <w:rFonts w:ascii="Times" w:hAnsi="Times" w:cs="Times New Roman"/>
          <w:bCs/>
          <w:color w:val="000000"/>
        </w:rPr>
        <w:tab/>
      </w:r>
      <w:r>
        <w:rPr>
          <w:rFonts w:ascii="Times" w:hAnsi="Times" w:cs="Times New Roman"/>
          <w:bCs/>
          <w:color w:val="000000"/>
        </w:rPr>
        <w:tab/>
        <w:t>References (Chapter 4)...........................................................................</w:t>
      </w:r>
      <w:r w:rsidR="00110964">
        <w:rPr>
          <w:rFonts w:ascii="Times" w:hAnsi="Times" w:cs="Times New Roman"/>
          <w:bCs/>
          <w:color w:val="000000"/>
        </w:rPr>
        <w:t>.</w:t>
      </w:r>
      <w:r>
        <w:rPr>
          <w:rFonts w:ascii="Times" w:hAnsi="Times" w:cs="Times New Roman"/>
          <w:bCs/>
          <w:color w:val="000000"/>
        </w:rPr>
        <w:t>.18</w:t>
      </w:r>
      <w:r w:rsidR="00110964">
        <w:rPr>
          <w:rFonts w:ascii="Times" w:hAnsi="Times" w:cs="Times New Roman"/>
          <w:bCs/>
          <w:color w:val="000000"/>
        </w:rPr>
        <w:t>7</w:t>
      </w:r>
    </w:p>
    <w:p w14:paraId="1ECF44A7" w14:textId="77777777" w:rsidR="004D0168" w:rsidRDefault="004D0168" w:rsidP="004D01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New Roman"/>
          <w:bCs/>
          <w:color w:val="000000"/>
        </w:rPr>
      </w:pPr>
    </w:p>
    <w:p w14:paraId="10896BF9" w14:textId="77777777" w:rsidR="004D0168" w:rsidRDefault="004D0168" w:rsidP="004D0168">
      <w:pPr>
        <w:rPr>
          <w:rFonts w:ascii="Times" w:hAnsi="Times"/>
          <w:b/>
          <w:bCs/>
        </w:rPr>
      </w:pPr>
    </w:p>
    <w:p w14:paraId="6B1204C6" w14:textId="77777777" w:rsidR="001A40E6" w:rsidRDefault="001A40E6" w:rsidP="004D0168">
      <w:pPr>
        <w:rPr>
          <w:rFonts w:ascii="Times" w:hAnsi="Times"/>
          <w:b/>
          <w:bCs/>
        </w:rPr>
      </w:pPr>
    </w:p>
    <w:p w14:paraId="02FFF6DE" w14:textId="3FF902BA" w:rsidR="004D0168" w:rsidRDefault="004D0168" w:rsidP="004D0168">
      <w:pPr>
        <w:rPr>
          <w:rFonts w:ascii="Times" w:hAnsi="Times"/>
          <w:b/>
        </w:rPr>
      </w:pPr>
      <w:r>
        <w:rPr>
          <w:rFonts w:ascii="Times" w:hAnsi="Times"/>
          <w:b/>
          <w:bCs/>
        </w:rPr>
        <w:t>Chapter 5</w:t>
      </w:r>
      <w:r w:rsidRPr="0092574A">
        <w:rPr>
          <w:rFonts w:ascii="Times" w:hAnsi="Times"/>
          <w:b/>
          <w:bCs/>
        </w:rPr>
        <w:t xml:space="preserve">: </w:t>
      </w:r>
      <w:r>
        <w:rPr>
          <w:rFonts w:ascii="Times" w:hAnsi="Times"/>
          <w:b/>
          <w:bCs/>
        </w:rPr>
        <w:t>Project Conclusions</w:t>
      </w:r>
      <w:r>
        <w:rPr>
          <w:rFonts w:ascii="Times" w:hAnsi="Times"/>
          <w:b/>
          <w:bCs/>
        </w:rPr>
        <w:tab/>
      </w:r>
      <w:r>
        <w:rPr>
          <w:rFonts w:ascii="Times" w:hAnsi="Times"/>
          <w:b/>
        </w:rPr>
        <w:tab/>
      </w:r>
      <w:r>
        <w:rPr>
          <w:rFonts w:ascii="Times" w:hAnsi="Times"/>
          <w:b/>
        </w:rPr>
        <w:tab/>
      </w:r>
      <w:r>
        <w:rPr>
          <w:rFonts w:ascii="Times" w:hAnsi="Times"/>
          <w:b/>
        </w:rPr>
        <w:tab/>
      </w:r>
      <w:r>
        <w:rPr>
          <w:rFonts w:ascii="Times" w:hAnsi="Times"/>
          <w:b/>
        </w:rPr>
        <w:tab/>
      </w:r>
      <w:r>
        <w:rPr>
          <w:rFonts w:ascii="Times" w:hAnsi="Times"/>
          <w:b/>
        </w:rPr>
        <w:tab/>
        <w:t xml:space="preserve">             </w:t>
      </w:r>
      <w:r w:rsidR="008E5036">
        <w:rPr>
          <w:rFonts w:ascii="Times" w:hAnsi="Times"/>
          <w:b/>
        </w:rPr>
        <w:t>194</w:t>
      </w:r>
    </w:p>
    <w:p w14:paraId="599D5121" w14:textId="77777777" w:rsidR="00802498" w:rsidRDefault="00802498">
      <w:pPr>
        <w:rPr>
          <w:rFonts w:ascii="Times" w:hAnsi="Times"/>
        </w:rPr>
      </w:pPr>
    </w:p>
    <w:p w14:paraId="092A5FBF" w14:textId="77777777" w:rsidR="00802498" w:rsidRDefault="00802498">
      <w:pPr>
        <w:rPr>
          <w:rFonts w:ascii="Times" w:hAnsi="Times"/>
        </w:rPr>
      </w:pPr>
    </w:p>
    <w:p w14:paraId="220CF8E6" w14:textId="77777777" w:rsidR="003C5C4D" w:rsidRDefault="003C5C4D" w:rsidP="00802498">
      <w:pPr>
        <w:pBdr>
          <w:bottom w:val="single" w:sz="4" w:space="1" w:color="auto"/>
        </w:pBdr>
        <w:tabs>
          <w:tab w:val="left" w:pos="4102"/>
          <w:tab w:val="right" w:pos="9026"/>
        </w:tabs>
        <w:jc w:val="center"/>
        <w:rPr>
          <w:rFonts w:ascii="Times New Roman" w:hAnsi="Times New Roman" w:cs="Times New Roman"/>
          <w:sz w:val="36"/>
          <w:szCs w:val="56"/>
        </w:rPr>
        <w:sectPr w:rsidR="003C5C4D" w:rsidSect="003C5C4D">
          <w:type w:val="continuous"/>
          <w:pgSz w:w="11906" w:h="16838"/>
          <w:pgMar w:top="1440" w:right="1440" w:bottom="1440" w:left="1440" w:header="720" w:footer="720" w:gutter="0"/>
          <w:pgNumType w:fmt="lowerRoman" w:start="1"/>
          <w:cols w:space="720"/>
          <w:docGrid w:linePitch="360"/>
        </w:sectPr>
      </w:pPr>
    </w:p>
    <w:p w14:paraId="08E467F2" w14:textId="14948DB4" w:rsidR="00802498" w:rsidRPr="005C0406" w:rsidRDefault="00802498" w:rsidP="00802498">
      <w:pPr>
        <w:pBdr>
          <w:bottom w:val="single" w:sz="4" w:space="1" w:color="auto"/>
        </w:pBdr>
        <w:tabs>
          <w:tab w:val="left" w:pos="4102"/>
          <w:tab w:val="right" w:pos="9026"/>
        </w:tabs>
        <w:jc w:val="center"/>
        <w:rPr>
          <w:rFonts w:ascii="Times New Roman" w:hAnsi="Times New Roman" w:cs="Times New Roman"/>
          <w:b/>
          <w:smallCaps/>
          <w:sz w:val="56"/>
          <w:szCs w:val="56"/>
        </w:rPr>
      </w:pPr>
      <w:r w:rsidRPr="005C0406">
        <w:rPr>
          <w:rFonts w:ascii="Times New Roman" w:hAnsi="Times New Roman" w:cs="Times New Roman"/>
          <w:sz w:val="36"/>
          <w:szCs w:val="56"/>
        </w:rPr>
        <w:lastRenderedPageBreak/>
        <w:t>Chapter 1:</w:t>
      </w:r>
      <w:r w:rsidRPr="005C0406">
        <w:rPr>
          <w:rFonts w:ascii="Times New Roman" w:hAnsi="Times New Roman" w:cs="Times New Roman"/>
          <w:smallCaps/>
          <w:sz w:val="36"/>
          <w:szCs w:val="56"/>
        </w:rPr>
        <w:t xml:space="preserve">  </w:t>
      </w:r>
      <w:r w:rsidRPr="005C0406">
        <w:rPr>
          <w:rFonts w:ascii="Times New Roman" w:hAnsi="Times New Roman" w:cs="Times New Roman"/>
          <w:smallCaps/>
          <w:sz w:val="56"/>
          <w:szCs w:val="56"/>
        </w:rPr>
        <w:t>Introduction</w:t>
      </w:r>
    </w:p>
    <w:p w14:paraId="3D74671C" w14:textId="77777777" w:rsidR="00802498" w:rsidRDefault="00802498" w:rsidP="00802498">
      <w:pPr>
        <w:spacing w:line="480" w:lineRule="auto"/>
        <w:ind w:left="720" w:firstLine="1440"/>
        <w:jc w:val="right"/>
        <w:rPr>
          <w:rFonts w:ascii="Times New Roman" w:hAnsi="Times New Roman" w:cs="Times New Roman"/>
          <w:sz w:val="48"/>
          <w:szCs w:val="48"/>
        </w:rPr>
      </w:pPr>
    </w:p>
    <w:p w14:paraId="35A47FDA" w14:textId="77777777" w:rsidR="00802498" w:rsidRDefault="00802498" w:rsidP="00802498">
      <w:pPr>
        <w:spacing w:line="480" w:lineRule="auto"/>
        <w:ind w:left="720" w:firstLine="1440"/>
        <w:jc w:val="right"/>
        <w:rPr>
          <w:rFonts w:ascii="Times New Roman" w:hAnsi="Times New Roman" w:cs="Times New Roman"/>
          <w:sz w:val="48"/>
          <w:szCs w:val="48"/>
        </w:rPr>
      </w:pPr>
    </w:p>
    <w:p w14:paraId="02C9B081" w14:textId="77777777" w:rsidR="00802498" w:rsidRDefault="00802498" w:rsidP="00802498">
      <w:pPr>
        <w:spacing w:line="480" w:lineRule="auto"/>
        <w:ind w:left="720" w:firstLine="1440"/>
        <w:jc w:val="right"/>
        <w:rPr>
          <w:rFonts w:ascii="Times New Roman" w:hAnsi="Times New Roman" w:cs="Times New Roman"/>
          <w:sz w:val="48"/>
          <w:szCs w:val="48"/>
        </w:rPr>
      </w:pPr>
    </w:p>
    <w:p w14:paraId="0E850455" w14:textId="77777777" w:rsidR="00802498" w:rsidRDefault="00802498" w:rsidP="00802498">
      <w:pPr>
        <w:spacing w:line="480" w:lineRule="auto"/>
        <w:ind w:left="720" w:firstLine="1440"/>
        <w:jc w:val="right"/>
        <w:rPr>
          <w:rFonts w:ascii="Times New Roman" w:hAnsi="Times New Roman" w:cs="Times New Roman"/>
          <w:sz w:val="48"/>
          <w:szCs w:val="48"/>
        </w:rPr>
      </w:pPr>
    </w:p>
    <w:p w14:paraId="2003DE97" w14:textId="77777777" w:rsidR="00802498" w:rsidRDefault="00802498" w:rsidP="00802498">
      <w:pPr>
        <w:spacing w:line="480" w:lineRule="auto"/>
        <w:ind w:left="720" w:firstLine="1440"/>
        <w:jc w:val="right"/>
        <w:rPr>
          <w:rFonts w:ascii="Times New Roman" w:hAnsi="Times New Roman" w:cs="Times New Roman"/>
          <w:sz w:val="48"/>
          <w:szCs w:val="48"/>
        </w:rPr>
      </w:pPr>
    </w:p>
    <w:p w14:paraId="4F7F09B1" w14:textId="77777777" w:rsidR="00802498" w:rsidRDefault="00802498" w:rsidP="00802498">
      <w:pPr>
        <w:spacing w:line="480" w:lineRule="auto"/>
        <w:ind w:left="720" w:firstLine="1440"/>
        <w:jc w:val="right"/>
        <w:rPr>
          <w:rFonts w:ascii="Times New Roman" w:hAnsi="Times New Roman" w:cs="Times New Roman"/>
          <w:sz w:val="48"/>
          <w:szCs w:val="48"/>
        </w:rPr>
      </w:pPr>
    </w:p>
    <w:p w14:paraId="57A3A60A" w14:textId="77777777" w:rsidR="00802498" w:rsidRDefault="00802498" w:rsidP="00802498">
      <w:pPr>
        <w:spacing w:line="480" w:lineRule="auto"/>
        <w:ind w:left="720" w:firstLine="1440"/>
        <w:jc w:val="right"/>
        <w:rPr>
          <w:rFonts w:ascii="Times New Roman" w:hAnsi="Times New Roman" w:cs="Times New Roman"/>
          <w:sz w:val="48"/>
          <w:szCs w:val="48"/>
        </w:rPr>
      </w:pPr>
    </w:p>
    <w:p w14:paraId="3C25A633" w14:textId="77777777" w:rsidR="00802498" w:rsidRDefault="00802498" w:rsidP="00802498">
      <w:pPr>
        <w:spacing w:line="480" w:lineRule="auto"/>
        <w:ind w:left="720" w:firstLine="1440"/>
        <w:jc w:val="right"/>
        <w:rPr>
          <w:rFonts w:ascii="Times New Roman" w:hAnsi="Times New Roman" w:cs="Times New Roman"/>
          <w:sz w:val="48"/>
          <w:szCs w:val="48"/>
        </w:rPr>
      </w:pPr>
    </w:p>
    <w:p w14:paraId="0B65C0D5" w14:textId="77777777" w:rsidR="00802498" w:rsidRDefault="00802498" w:rsidP="00802498">
      <w:pPr>
        <w:spacing w:line="480" w:lineRule="auto"/>
        <w:ind w:left="720" w:firstLine="1440"/>
        <w:jc w:val="right"/>
        <w:rPr>
          <w:rFonts w:ascii="Times New Roman" w:hAnsi="Times New Roman" w:cs="Times New Roman"/>
          <w:sz w:val="48"/>
          <w:szCs w:val="48"/>
        </w:rPr>
      </w:pPr>
    </w:p>
    <w:p w14:paraId="59A357BC" w14:textId="77777777" w:rsidR="00802498" w:rsidRPr="005C0406" w:rsidRDefault="00802498" w:rsidP="00802498">
      <w:pPr>
        <w:spacing w:line="480" w:lineRule="auto"/>
        <w:jc w:val="both"/>
        <w:rPr>
          <w:rFonts w:ascii="Times New Roman" w:hAnsi="Times New Roman" w:cs="Times New Roman"/>
        </w:rPr>
      </w:pPr>
    </w:p>
    <w:p w14:paraId="6A69B584" w14:textId="77777777" w:rsidR="00802498" w:rsidRDefault="00802498" w:rsidP="00802498">
      <w:pPr>
        <w:spacing w:line="480" w:lineRule="atLeast"/>
        <w:jc w:val="both"/>
        <w:rPr>
          <w:rFonts w:ascii="Times New Roman" w:hAnsi="Times New Roman" w:cs="Times New Roman"/>
          <w:color w:val="000000"/>
        </w:rPr>
      </w:pPr>
    </w:p>
    <w:p w14:paraId="58E32254" w14:textId="77777777" w:rsidR="003D5839" w:rsidRDefault="003D5839" w:rsidP="00802498">
      <w:pPr>
        <w:spacing w:line="480" w:lineRule="atLeast"/>
        <w:jc w:val="both"/>
        <w:rPr>
          <w:rFonts w:ascii="Times New Roman" w:hAnsi="Times New Roman" w:cs="Times New Roman"/>
          <w:color w:val="000000"/>
        </w:rPr>
      </w:pPr>
    </w:p>
    <w:p w14:paraId="1CA8E22F" w14:textId="77777777" w:rsidR="003D5839" w:rsidRDefault="003D5839" w:rsidP="00802498">
      <w:pPr>
        <w:spacing w:line="480" w:lineRule="atLeast"/>
        <w:jc w:val="both"/>
        <w:rPr>
          <w:rFonts w:ascii="Times New Roman" w:hAnsi="Times New Roman" w:cs="Times New Roman"/>
          <w:color w:val="000000"/>
        </w:rPr>
      </w:pPr>
    </w:p>
    <w:p w14:paraId="15F9ED9C" w14:textId="77777777" w:rsidR="003D5839" w:rsidRDefault="003D5839" w:rsidP="00802498">
      <w:pPr>
        <w:spacing w:line="480" w:lineRule="atLeast"/>
        <w:jc w:val="both"/>
        <w:rPr>
          <w:rFonts w:ascii="Times New Roman" w:hAnsi="Times New Roman" w:cs="Times New Roman"/>
          <w:color w:val="000000"/>
        </w:rPr>
      </w:pPr>
    </w:p>
    <w:p w14:paraId="038B55BC" w14:textId="77777777" w:rsidR="00FD3D37" w:rsidRDefault="00FD3D37" w:rsidP="00F26EB4">
      <w:pPr>
        <w:spacing w:before="120" w:after="120"/>
        <w:rPr>
          <w:rFonts w:ascii="Times New Roman" w:hAnsi="Times New Roman" w:cs="Times New Roman"/>
          <w:color w:val="000000"/>
        </w:rPr>
      </w:pPr>
    </w:p>
    <w:p w14:paraId="7D98E1B1" w14:textId="1DC9E219" w:rsidR="00F26EB4" w:rsidRDefault="00F26EB4" w:rsidP="00F26EB4">
      <w:pPr>
        <w:spacing w:before="120" w:after="120"/>
        <w:rPr>
          <w:rFonts w:ascii="Times New Roman" w:hAnsi="Times New Roman" w:cs="Times New Roman"/>
          <w:b/>
          <w:bCs/>
          <w:smallCaps/>
          <w:sz w:val="32"/>
          <w:szCs w:val="28"/>
        </w:rPr>
      </w:pPr>
      <w:r>
        <w:rPr>
          <w:rFonts w:ascii="Times New Roman" w:hAnsi="Times New Roman" w:cs="Times New Roman"/>
          <w:b/>
          <w:bCs/>
          <w:smallCaps/>
          <w:sz w:val="32"/>
          <w:szCs w:val="28"/>
        </w:rPr>
        <w:lastRenderedPageBreak/>
        <w:t>1.1</w:t>
      </w:r>
      <w:r>
        <w:rPr>
          <w:rFonts w:ascii="Times New Roman" w:hAnsi="Times New Roman" w:cs="Times New Roman"/>
          <w:b/>
          <w:bCs/>
          <w:smallCaps/>
          <w:sz w:val="32"/>
          <w:szCs w:val="28"/>
        </w:rPr>
        <w:tab/>
        <w:t>Introduction</w:t>
      </w:r>
    </w:p>
    <w:p w14:paraId="71A86A9D" w14:textId="2148F136" w:rsidR="00802498" w:rsidRDefault="00802498" w:rsidP="00802498">
      <w:pPr>
        <w:spacing w:line="480" w:lineRule="atLeast"/>
        <w:jc w:val="both"/>
        <w:rPr>
          <w:rFonts w:ascii="Times New Roman" w:hAnsi="Times New Roman" w:cs="Times New Roman"/>
          <w:color w:val="000000"/>
        </w:rPr>
      </w:pPr>
      <w:r>
        <w:rPr>
          <w:rFonts w:ascii="Times New Roman" w:hAnsi="Times New Roman" w:cs="Times New Roman"/>
          <w:color w:val="000000"/>
        </w:rPr>
        <w:t>The project investig</w:t>
      </w:r>
      <w:r w:rsidR="001F1407">
        <w:rPr>
          <w:rFonts w:ascii="Times New Roman" w:hAnsi="Times New Roman" w:cs="Times New Roman"/>
          <w:color w:val="000000"/>
        </w:rPr>
        <w:t>ated the leaching behaviour of the elements within a</w:t>
      </w:r>
      <w:r>
        <w:rPr>
          <w:rFonts w:ascii="Times New Roman" w:hAnsi="Times New Roman" w:cs="Times New Roman"/>
          <w:color w:val="000000"/>
        </w:rPr>
        <w:t xml:space="preserve"> cementitious matrix used to encapsulate intermediate level radioactive waste</w:t>
      </w:r>
      <w:r w:rsidR="00FD5561">
        <w:rPr>
          <w:rFonts w:ascii="Times New Roman" w:hAnsi="Times New Roman" w:cs="Times New Roman"/>
          <w:color w:val="000000"/>
        </w:rPr>
        <w:t xml:space="preserve"> (ILW)</w:t>
      </w:r>
      <w:r w:rsidR="00885036">
        <w:rPr>
          <w:rFonts w:ascii="Times New Roman" w:hAnsi="Times New Roman" w:cs="Times New Roman"/>
          <w:color w:val="000000"/>
        </w:rPr>
        <w:t xml:space="preserve">. The project also investigates the impact of using different methods and </w:t>
      </w:r>
      <w:r w:rsidR="008461A8">
        <w:rPr>
          <w:rFonts w:ascii="Times New Roman" w:hAnsi="Times New Roman" w:cs="Times New Roman"/>
          <w:color w:val="000000"/>
        </w:rPr>
        <w:t>additives</w:t>
      </w:r>
      <w:r w:rsidR="00885036">
        <w:rPr>
          <w:rFonts w:ascii="Times New Roman" w:hAnsi="Times New Roman" w:cs="Times New Roman"/>
          <w:color w:val="000000"/>
        </w:rPr>
        <w:t xml:space="preserve"> on the leaching behaviour</w:t>
      </w:r>
      <w:r>
        <w:rPr>
          <w:rFonts w:ascii="Times New Roman" w:hAnsi="Times New Roman" w:cs="Times New Roman"/>
          <w:color w:val="000000"/>
        </w:rPr>
        <w:t xml:space="preserve">. The core focus of the project was the </w:t>
      </w:r>
      <w:r w:rsidR="00FD5561">
        <w:rPr>
          <w:rFonts w:ascii="Times New Roman" w:hAnsi="Times New Roman" w:cs="Times New Roman"/>
          <w:color w:val="000000"/>
        </w:rPr>
        <w:t xml:space="preserve">leaching </w:t>
      </w:r>
      <w:r>
        <w:rPr>
          <w:rFonts w:ascii="Times New Roman" w:hAnsi="Times New Roman" w:cs="Times New Roman"/>
          <w:color w:val="000000"/>
        </w:rPr>
        <w:t>beha</w:t>
      </w:r>
      <w:r w:rsidR="001F1407">
        <w:rPr>
          <w:rFonts w:ascii="Times New Roman" w:hAnsi="Times New Roman" w:cs="Times New Roman"/>
          <w:color w:val="000000"/>
        </w:rPr>
        <w:t>viour of caesium and strontium</w:t>
      </w:r>
      <w:r w:rsidR="00FD5561">
        <w:rPr>
          <w:rFonts w:ascii="Times New Roman" w:hAnsi="Times New Roman" w:cs="Times New Roman"/>
          <w:color w:val="000000"/>
        </w:rPr>
        <w:t xml:space="preserve"> and the </w:t>
      </w:r>
      <w:r w:rsidR="0087723A">
        <w:rPr>
          <w:rFonts w:ascii="Times New Roman" w:hAnsi="Times New Roman" w:cs="Times New Roman"/>
          <w:color w:val="000000"/>
        </w:rPr>
        <w:t>incorporation</w:t>
      </w:r>
      <w:r w:rsidR="00FD5561">
        <w:rPr>
          <w:rFonts w:ascii="Times New Roman" w:hAnsi="Times New Roman" w:cs="Times New Roman"/>
          <w:color w:val="000000"/>
        </w:rPr>
        <w:t xml:space="preserve"> of both elements in the cement. </w:t>
      </w:r>
      <w:r w:rsidR="00485A1E">
        <w:rPr>
          <w:rFonts w:ascii="Times New Roman" w:hAnsi="Times New Roman" w:cs="Times New Roman"/>
          <w:color w:val="000000"/>
        </w:rPr>
        <w:t>Secondly</w:t>
      </w:r>
      <w:r w:rsidR="00FD5561">
        <w:rPr>
          <w:rFonts w:ascii="Times New Roman" w:hAnsi="Times New Roman" w:cs="Times New Roman"/>
          <w:color w:val="000000"/>
        </w:rPr>
        <w:t xml:space="preserve"> </w:t>
      </w:r>
      <w:r>
        <w:rPr>
          <w:rFonts w:ascii="Times New Roman" w:hAnsi="Times New Roman" w:cs="Times New Roman"/>
          <w:color w:val="000000"/>
        </w:rPr>
        <w:t>the impact of superplasticisers on the leaching behaviour of the cement matrix c</w:t>
      </w:r>
      <w:r w:rsidR="00AF77F9">
        <w:rPr>
          <w:rFonts w:ascii="Times New Roman" w:hAnsi="Times New Roman" w:cs="Times New Roman"/>
          <w:color w:val="000000"/>
        </w:rPr>
        <w:t>ontaining cerium was explored. The cement system studied</w:t>
      </w:r>
      <w:r w:rsidR="00FD5561">
        <w:rPr>
          <w:rFonts w:ascii="Times New Roman" w:hAnsi="Times New Roman" w:cs="Times New Roman"/>
          <w:color w:val="000000"/>
        </w:rPr>
        <w:t xml:space="preserve"> in both sections</w:t>
      </w:r>
      <w:r w:rsidR="00AF77F9">
        <w:rPr>
          <w:rFonts w:ascii="Times New Roman" w:hAnsi="Times New Roman" w:cs="Times New Roman"/>
          <w:color w:val="000000"/>
        </w:rPr>
        <w:t xml:space="preserve"> </w:t>
      </w:r>
      <w:r>
        <w:rPr>
          <w:rFonts w:ascii="Times New Roman" w:hAnsi="Times New Roman" w:cs="Times New Roman"/>
          <w:color w:val="000000"/>
        </w:rPr>
        <w:t>consisted of 90wt% blast furnace slag (BFS) and 1</w:t>
      </w:r>
      <w:r w:rsidR="00885036">
        <w:rPr>
          <w:rFonts w:ascii="Times New Roman" w:hAnsi="Times New Roman" w:cs="Times New Roman"/>
          <w:color w:val="000000"/>
        </w:rPr>
        <w:t>0wt% Portland cement (PC) forming a 9:1 BFS</w:t>
      </w:r>
      <w:proofErr w:type="gramStart"/>
      <w:r w:rsidR="00885036">
        <w:rPr>
          <w:rFonts w:ascii="Times New Roman" w:hAnsi="Times New Roman" w:cs="Times New Roman"/>
          <w:color w:val="000000"/>
        </w:rPr>
        <w:t>:</w:t>
      </w:r>
      <w:r>
        <w:rPr>
          <w:rFonts w:ascii="Times New Roman" w:hAnsi="Times New Roman" w:cs="Times New Roman"/>
          <w:color w:val="000000"/>
        </w:rPr>
        <w:t>PC</w:t>
      </w:r>
      <w:proofErr w:type="gramEnd"/>
      <w:r>
        <w:rPr>
          <w:rFonts w:ascii="Times New Roman" w:hAnsi="Times New Roman" w:cs="Times New Roman"/>
          <w:color w:val="000000"/>
        </w:rPr>
        <w:t xml:space="preserve"> system.</w:t>
      </w:r>
      <w:r w:rsidR="00FD5561">
        <w:rPr>
          <w:rFonts w:ascii="Times New Roman" w:hAnsi="Times New Roman" w:cs="Times New Roman"/>
          <w:color w:val="000000"/>
        </w:rPr>
        <w:t xml:space="preserve"> </w:t>
      </w:r>
      <w:r>
        <w:rPr>
          <w:rFonts w:ascii="Times New Roman" w:hAnsi="Times New Roman" w:cs="Times New Roman"/>
          <w:color w:val="000000"/>
        </w:rPr>
        <w:t xml:space="preserve"> </w:t>
      </w:r>
      <w:r w:rsidR="00FD5561">
        <w:rPr>
          <w:rFonts w:ascii="Times New Roman" w:hAnsi="Times New Roman" w:cs="Times New Roman"/>
          <w:color w:val="000000"/>
        </w:rPr>
        <w:t xml:space="preserve">This </w:t>
      </w:r>
      <w:r w:rsidR="00DD5FF1">
        <w:rPr>
          <w:rFonts w:ascii="Times New Roman" w:hAnsi="Times New Roman" w:cs="Times New Roman"/>
          <w:color w:val="000000"/>
        </w:rPr>
        <w:t>BFS</w:t>
      </w:r>
      <w:proofErr w:type="gramStart"/>
      <w:r w:rsidR="00DD5FF1">
        <w:rPr>
          <w:rFonts w:ascii="Times New Roman" w:hAnsi="Times New Roman" w:cs="Times New Roman"/>
          <w:color w:val="000000"/>
        </w:rPr>
        <w:t>:PC</w:t>
      </w:r>
      <w:proofErr w:type="gramEnd"/>
      <w:r w:rsidR="00DD5FF1">
        <w:rPr>
          <w:rFonts w:ascii="Times New Roman" w:hAnsi="Times New Roman" w:cs="Times New Roman"/>
          <w:color w:val="000000"/>
        </w:rPr>
        <w:t xml:space="preserve"> blend was</w:t>
      </w:r>
      <w:r>
        <w:rPr>
          <w:rFonts w:ascii="Times New Roman" w:hAnsi="Times New Roman" w:cs="Times New Roman"/>
          <w:color w:val="000000"/>
        </w:rPr>
        <w:t xml:space="preserve"> most commonly used in the nuclear industry to immobilise intermediate level wastes</w:t>
      </w:r>
      <w:r w:rsidR="009173A4">
        <w:rPr>
          <w:rFonts w:ascii="Times New Roman" w:hAnsi="Times New Roman" w:cs="Times New Roman"/>
          <w:color w:val="000000"/>
        </w:rPr>
        <w:t xml:space="preserve"> that</w:t>
      </w:r>
      <w:r>
        <w:rPr>
          <w:rFonts w:ascii="Times New Roman" w:hAnsi="Times New Roman" w:cs="Times New Roman"/>
          <w:color w:val="000000"/>
        </w:rPr>
        <w:t xml:space="preserve"> in some cases require shielding.</w:t>
      </w:r>
      <w:r w:rsidRPr="00085309">
        <w:rPr>
          <w:rFonts w:ascii="Times New Roman" w:hAnsi="Times New Roman" w:cs="Times New Roman"/>
          <w:color w:val="000000"/>
        </w:rPr>
        <w:t xml:space="preserve"> </w:t>
      </w:r>
      <w:r>
        <w:rPr>
          <w:rFonts w:ascii="Times New Roman" w:hAnsi="Times New Roman" w:cs="Times New Roman"/>
          <w:color w:val="000000"/>
        </w:rPr>
        <w:t xml:space="preserve">These wastes arise from reactor operation, decommissioning, </w:t>
      </w:r>
      <w:proofErr w:type="gramStart"/>
      <w:r>
        <w:rPr>
          <w:rFonts w:ascii="Times New Roman" w:hAnsi="Times New Roman" w:cs="Times New Roman"/>
          <w:color w:val="000000"/>
        </w:rPr>
        <w:t>spent fuel reprocessing and research facilities</w:t>
      </w:r>
      <w:proofErr w:type="gramEnd"/>
      <w:r>
        <w:rPr>
          <w:rFonts w:ascii="Times New Roman" w:hAnsi="Times New Roman" w:cs="Times New Roman"/>
          <w:color w:val="000000"/>
        </w:rPr>
        <w:t xml:space="preserve"> [1]. </w:t>
      </w:r>
      <w:r w:rsidRPr="00924E19">
        <w:rPr>
          <w:rFonts w:ascii="Times New Roman" w:hAnsi="Times New Roman" w:cs="Times New Roman"/>
          <w:color w:val="000000"/>
        </w:rPr>
        <w:t xml:space="preserve">Encapsulation in </w:t>
      </w:r>
      <w:r w:rsidR="00E85025">
        <w:rPr>
          <w:rFonts w:ascii="Times New Roman" w:hAnsi="Times New Roman" w:cs="Times New Roman"/>
          <w:color w:val="000000"/>
        </w:rPr>
        <w:t>PC</w:t>
      </w:r>
      <w:r w:rsidRPr="00924E19">
        <w:rPr>
          <w:rFonts w:ascii="Times New Roman" w:hAnsi="Times New Roman" w:cs="Times New Roman"/>
          <w:color w:val="000000"/>
        </w:rPr>
        <w:t xml:space="preserve"> offers several advantages such as low-cost, simplicity and flexibility. Additives such as BFS are introduced to improve the </w:t>
      </w:r>
      <w:r w:rsidR="00410CD6">
        <w:rPr>
          <w:rFonts w:ascii="Times New Roman" w:hAnsi="Times New Roman" w:cs="Times New Roman"/>
          <w:color w:val="000000"/>
        </w:rPr>
        <w:t xml:space="preserve">durability </w:t>
      </w:r>
      <w:r w:rsidR="00C80A85">
        <w:rPr>
          <w:rFonts w:ascii="Times New Roman" w:hAnsi="Times New Roman" w:cs="Times New Roman"/>
          <w:color w:val="000000"/>
        </w:rPr>
        <w:t>of the waste-forms</w:t>
      </w:r>
      <w:r w:rsidR="008B4934" w:rsidRPr="008B4934">
        <w:rPr>
          <w:rFonts w:ascii="Times New Roman" w:hAnsi="Times New Roman" w:cs="Times New Roman"/>
          <w:color w:val="000000"/>
        </w:rPr>
        <w:t xml:space="preserve"> </w:t>
      </w:r>
      <w:r w:rsidR="008B4934">
        <w:rPr>
          <w:rFonts w:ascii="Times New Roman" w:hAnsi="Times New Roman" w:cs="Times New Roman"/>
          <w:color w:val="000000"/>
        </w:rPr>
        <w:t>and t</w:t>
      </w:r>
      <w:r w:rsidR="008B4934" w:rsidRPr="00BC4D46">
        <w:rPr>
          <w:rFonts w:ascii="Times New Roman" w:hAnsi="Times New Roman" w:cs="Times New Roman"/>
          <w:color w:val="000000"/>
        </w:rPr>
        <w:t>o reduce the heat evol</w:t>
      </w:r>
      <w:r w:rsidR="008B4934">
        <w:rPr>
          <w:rFonts w:ascii="Times New Roman" w:hAnsi="Times New Roman" w:cs="Times New Roman"/>
          <w:color w:val="000000"/>
        </w:rPr>
        <w:t>ution produced during hydration</w:t>
      </w:r>
      <w:r w:rsidR="00C80A85">
        <w:rPr>
          <w:rFonts w:ascii="Times New Roman" w:hAnsi="Times New Roman" w:cs="Times New Roman"/>
          <w:color w:val="000000"/>
        </w:rPr>
        <w:t>. The wastes are</w:t>
      </w:r>
      <w:r w:rsidRPr="00924E19">
        <w:rPr>
          <w:rFonts w:ascii="Times New Roman" w:hAnsi="Times New Roman" w:cs="Times New Roman"/>
          <w:color w:val="000000"/>
        </w:rPr>
        <w:t xml:space="preserve"> mi</w:t>
      </w:r>
      <w:r w:rsidR="00C80A85">
        <w:rPr>
          <w:rFonts w:ascii="Times New Roman" w:hAnsi="Times New Roman" w:cs="Times New Roman"/>
          <w:color w:val="000000"/>
        </w:rPr>
        <w:t>xed with the cement paste and are</w:t>
      </w:r>
      <w:r w:rsidRPr="00924E19">
        <w:rPr>
          <w:rFonts w:ascii="Times New Roman" w:hAnsi="Times New Roman" w:cs="Times New Roman"/>
          <w:color w:val="000000"/>
        </w:rPr>
        <w:t xml:space="preserve"> encapsulated when the paste sets and hydration reactions occur. The new phases formed during hydration are responsible for the retention of the radionuclides.</w:t>
      </w:r>
    </w:p>
    <w:p w14:paraId="65ECA14B" w14:textId="4D42BA6C" w:rsidR="00FD5561" w:rsidRDefault="00802498" w:rsidP="00802498">
      <w:pPr>
        <w:spacing w:line="480" w:lineRule="atLeast"/>
        <w:jc w:val="both"/>
        <w:rPr>
          <w:rFonts w:ascii="Times New Roman" w:hAnsi="Times New Roman" w:cs="Times New Roman"/>
          <w:color w:val="000000"/>
        </w:rPr>
      </w:pPr>
      <w:r w:rsidRPr="006200C2">
        <w:rPr>
          <w:rFonts w:ascii="Times New Roman" w:hAnsi="Times New Roman" w:cs="Times New Roman"/>
          <w:color w:val="000000"/>
        </w:rPr>
        <w:t xml:space="preserve">The </w:t>
      </w:r>
      <w:r>
        <w:rPr>
          <w:rFonts w:ascii="Times New Roman" w:hAnsi="Times New Roman" w:cs="Times New Roman"/>
          <w:color w:val="000000"/>
        </w:rPr>
        <w:t xml:space="preserve">cementitious </w:t>
      </w:r>
      <w:r w:rsidRPr="006200C2">
        <w:rPr>
          <w:rFonts w:ascii="Times New Roman" w:hAnsi="Times New Roman" w:cs="Times New Roman"/>
          <w:color w:val="000000"/>
        </w:rPr>
        <w:t>waste</w:t>
      </w:r>
      <w:r w:rsidR="004854AA">
        <w:rPr>
          <w:rFonts w:ascii="Times New Roman" w:hAnsi="Times New Roman" w:cs="Times New Roman"/>
          <w:color w:val="000000"/>
        </w:rPr>
        <w:t>-</w:t>
      </w:r>
      <w:r w:rsidRPr="006200C2">
        <w:rPr>
          <w:rFonts w:ascii="Times New Roman" w:hAnsi="Times New Roman" w:cs="Times New Roman"/>
          <w:color w:val="000000"/>
        </w:rPr>
        <w:t>forms are</w:t>
      </w:r>
      <w:r>
        <w:rPr>
          <w:rFonts w:ascii="Times New Roman" w:hAnsi="Times New Roman" w:cs="Times New Roman"/>
          <w:color w:val="000000"/>
        </w:rPr>
        <w:t xml:space="preserve"> poured into</w:t>
      </w:r>
      <w:r w:rsidRPr="006200C2">
        <w:rPr>
          <w:rFonts w:ascii="Times New Roman" w:hAnsi="Times New Roman" w:cs="Times New Roman"/>
          <w:color w:val="000000"/>
        </w:rPr>
        <w:t xml:space="preserve"> stainless steel drum</w:t>
      </w:r>
      <w:r>
        <w:rPr>
          <w:rFonts w:ascii="Times New Roman" w:hAnsi="Times New Roman" w:cs="Times New Roman"/>
          <w:color w:val="000000"/>
        </w:rPr>
        <w:t>s, allowed to set</w:t>
      </w:r>
      <w:r w:rsidRPr="006200C2">
        <w:rPr>
          <w:rFonts w:ascii="Times New Roman" w:hAnsi="Times New Roman" w:cs="Times New Roman"/>
          <w:color w:val="000000"/>
        </w:rPr>
        <w:t xml:space="preserve"> and </w:t>
      </w:r>
      <w:r>
        <w:rPr>
          <w:rFonts w:ascii="Times New Roman" w:hAnsi="Times New Roman" w:cs="Times New Roman"/>
          <w:color w:val="000000"/>
        </w:rPr>
        <w:t xml:space="preserve">are </w:t>
      </w:r>
      <w:r w:rsidRPr="006200C2">
        <w:rPr>
          <w:rFonts w:ascii="Times New Roman" w:hAnsi="Times New Roman" w:cs="Times New Roman"/>
          <w:color w:val="000000"/>
        </w:rPr>
        <w:t>stored for an</w:t>
      </w:r>
      <w:r w:rsidR="009173A4">
        <w:rPr>
          <w:rFonts w:ascii="Times New Roman" w:hAnsi="Times New Roman" w:cs="Times New Roman"/>
          <w:color w:val="000000"/>
        </w:rPr>
        <w:t xml:space="preserve"> appropriate time</w:t>
      </w:r>
      <w:r>
        <w:rPr>
          <w:rFonts w:ascii="Times New Roman" w:hAnsi="Times New Roman" w:cs="Times New Roman"/>
          <w:color w:val="000000"/>
        </w:rPr>
        <w:t xml:space="preserve"> prior to pro</w:t>
      </w:r>
      <w:r w:rsidR="009173A4">
        <w:rPr>
          <w:rFonts w:ascii="Times New Roman" w:hAnsi="Times New Roman" w:cs="Times New Roman"/>
          <w:color w:val="000000"/>
        </w:rPr>
        <w:t>posed deep underground disposal, this is to reduce the activity of radioactive decay</w:t>
      </w:r>
      <w:r w:rsidR="00BC4D46">
        <w:rPr>
          <w:rFonts w:ascii="Times New Roman" w:hAnsi="Times New Roman" w:cs="Times New Roman"/>
          <w:color w:val="000000"/>
        </w:rPr>
        <w:t xml:space="preserve"> whilst waiting for the repository to be built</w:t>
      </w:r>
      <w:r w:rsidR="009173A4">
        <w:rPr>
          <w:rFonts w:ascii="Times New Roman" w:hAnsi="Times New Roman" w:cs="Times New Roman"/>
          <w:color w:val="000000"/>
        </w:rPr>
        <w:t xml:space="preserve"> </w:t>
      </w:r>
      <w:r>
        <w:rPr>
          <w:rFonts w:ascii="Times New Roman" w:hAnsi="Times New Roman" w:cs="Times New Roman"/>
          <w:color w:val="000000"/>
        </w:rPr>
        <w:t xml:space="preserve">[1]. These </w:t>
      </w:r>
      <w:r w:rsidR="00C80A85">
        <w:rPr>
          <w:rFonts w:ascii="Times New Roman" w:hAnsi="Times New Roman" w:cs="Times New Roman"/>
          <w:color w:val="000000"/>
        </w:rPr>
        <w:t>waste-</w:t>
      </w:r>
      <w:r>
        <w:rPr>
          <w:rFonts w:ascii="Times New Roman" w:hAnsi="Times New Roman" w:cs="Times New Roman"/>
          <w:color w:val="000000"/>
        </w:rPr>
        <w:t xml:space="preserve">forms are sometimes combined with </w:t>
      </w:r>
      <w:r w:rsidR="001F5C29">
        <w:rPr>
          <w:rFonts w:ascii="Times New Roman" w:hAnsi="Times New Roman" w:cs="Times New Roman"/>
          <w:color w:val="000000"/>
        </w:rPr>
        <w:t>superplasticiser</w:t>
      </w:r>
      <w:r w:rsidR="00600367">
        <w:rPr>
          <w:rFonts w:ascii="Times New Roman" w:hAnsi="Times New Roman" w:cs="Times New Roman"/>
          <w:color w:val="000000"/>
        </w:rPr>
        <w:t>s in orde</w:t>
      </w:r>
      <w:r w:rsidR="002A3A49">
        <w:rPr>
          <w:rFonts w:ascii="Times New Roman" w:hAnsi="Times New Roman" w:cs="Times New Roman"/>
          <w:color w:val="000000"/>
        </w:rPr>
        <w:t>r to enhance the cement paste fluidity</w:t>
      </w:r>
      <w:r w:rsidR="00600367">
        <w:rPr>
          <w:rFonts w:ascii="Times New Roman" w:hAnsi="Times New Roman" w:cs="Times New Roman"/>
          <w:color w:val="000000"/>
        </w:rPr>
        <w:t xml:space="preserve">. </w:t>
      </w:r>
      <w:r>
        <w:rPr>
          <w:rFonts w:ascii="Times New Roman" w:hAnsi="Times New Roman" w:cs="Times New Roman"/>
          <w:color w:val="000000"/>
        </w:rPr>
        <w:t xml:space="preserve">The highly mobile nature of </w:t>
      </w:r>
      <w:r w:rsidR="00FD5561">
        <w:rPr>
          <w:rFonts w:ascii="Times New Roman" w:hAnsi="Times New Roman" w:cs="Times New Roman"/>
          <w:color w:val="000000"/>
        </w:rPr>
        <w:t>elements plutonium and uranium</w:t>
      </w:r>
      <w:r w:rsidR="00F07CED">
        <w:rPr>
          <w:rFonts w:ascii="Times New Roman" w:hAnsi="Times New Roman" w:cs="Times New Roman"/>
          <w:color w:val="000000"/>
        </w:rPr>
        <w:t xml:space="preserve">, encapsulated within the cement, </w:t>
      </w:r>
      <w:r w:rsidRPr="006200C2">
        <w:rPr>
          <w:rFonts w:ascii="Times New Roman" w:hAnsi="Times New Roman" w:cs="Times New Roman"/>
          <w:color w:val="000000"/>
        </w:rPr>
        <w:t>can cause significant concern if they are released into the environment</w:t>
      </w:r>
      <w:r w:rsidR="00FD5561">
        <w:rPr>
          <w:rFonts w:ascii="Times New Roman" w:hAnsi="Times New Roman" w:cs="Times New Roman"/>
          <w:color w:val="000000"/>
        </w:rPr>
        <w:t xml:space="preserve"> and</w:t>
      </w:r>
      <w:r>
        <w:rPr>
          <w:rFonts w:ascii="Times New Roman" w:hAnsi="Times New Roman" w:cs="Times New Roman"/>
          <w:color w:val="000000"/>
        </w:rPr>
        <w:t xml:space="preserve"> </w:t>
      </w:r>
      <w:r w:rsidR="001F5C29">
        <w:rPr>
          <w:rFonts w:ascii="Times New Roman" w:hAnsi="Times New Roman" w:cs="Times New Roman"/>
          <w:color w:val="000000"/>
        </w:rPr>
        <w:t>superplasticiser</w:t>
      </w:r>
      <w:r>
        <w:rPr>
          <w:rFonts w:ascii="Times New Roman" w:hAnsi="Times New Roman" w:cs="Times New Roman"/>
          <w:color w:val="000000"/>
        </w:rPr>
        <w:t>s have been found to</w:t>
      </w:r>
      <w:r w:rsidR="00B6346D">
        <w:rPr>
          <w:rFonts w:ascii="Times New Roman" w:hAnsi="Times New Roman" w:cs="Times New Roman"/>
          <w:color w:val="000000"/>
        </w:rPr>
        <w:t xml:space="preserve"> complex these elements and</w:t>
      </w:r>
      <w:r>
        <w:rPr>
          <w:rFonts w:ascii="Times New Roman" w:hAnsi="Times New Roman" w:cs="Times New Roman"/>
          <w:color w:val="000000"/>
        </w:rPr>
        <w:t xml:space="preserve"> further increase the </w:t>
      </w:r>
      <w:r w:rsidR="004854AA">
        <w:rPr>
          <w:rFonts w:ascii="Times New Roman" w:hAnsi="Times New Roman" w:cs="Times New Roman"/>
          <w:color w:val="000000"/>
        </w:rPr>
        <w:t>leaching rates</w:t>
      </w:r>
      <w:r w:rsidRPr="006200C2">
        <w:rPr>
          <w:rFonts w:ascii="Times New Roman" w:hAnsi="Times New Roman" w:cs="Times New Roman"/>
          <w:color w:val="000000"/>
        </w:rPr>
        <w:t>. This could happen if there was early failure of the stainless steel drums during the storage period, or after their disposal in an underground repository, where eventually the waste</w:t>
      </w:r>
      <w:r w:rsidR="00600367">
        <w:rPr>
          <w:rFonts w:ascii="Times New Roman" w:hAnsi="Times New Roman" w:cs="Times New Roman"/>
          <w:color w:val="000000"/>
        </w:rPr>
        <w:t>-</w:t>
      </w:r>
      <w:r w:rsidRPr="006200C2">
        <w:rPr>
          <w:rFonts w:ascii="Times New Roman" w:hAnsi="Times New Roman" w:cs="Times New Roman"/>
          <w:color w:val="000000"/>
        </w:rPr>
        <w:t>form will come into contact with groundwater</w:t>
      </w:r>
      <w:r>
        <w:rPr>
          <w:rFonts w:ascii="Times New Roman" w:hAnsi="Times New Roman" w:cs="Times New Roman"/>
          <w:color w:val="000000"/>
        </w:rPr>
        <w:t xml:space="preserve">. </w:t>
      </w:r>
      <w:r w:rsidR="00FD5561">
        <w:rPr>
          <w:rFonts w:ascii="Times New Roman" w:hAnsi="Times New Roman" w:cs="Times New Roman"/>
          <w:color w:val="000000"/>
        </w:rPr>
        <w:t>These</w:t>
      </w:r>
      <w:r>
        <w:rPr>
          <w:rFonts w:ascii="Times New Roman" w:hAnsi="Times New Roman" w:cs="Times New Roman"/>
          <w:color w:val="000000"/>
        </w:rPr>
        <w:t xml:space="preserve"> stainless steel drums are vented to prevent the build-up of gases generated by the waste as it degrades [1]. The vents allow the slow diffusion of radionuclides out of the steel drum.  In order to provide a barrier between </w:t>
      </w:r>
      <w:r>
        <w:rPr>
          <w:rFonts w:ascii="Times New Roman" w:hAnsi="Times New Roman" w:cs="Times New Roman"/>
          <w:color w:val="000000"/>
        </w:rPr>
        <w:lastRenderedPageBreak/>
        <w:t xml:space="preserve">the diffused radionuclides and the groundwater in a disposal environment, these steel drums are stacked in vaults and backfilled prior to </w:t>
      </w:r>
      <w:r w:rsidR="001374CE">
        <w:rPr>
          <w:rFonts w:ascii="Times New Roman" w:hAnsi="Times New Roman" w:cs="Times New Roman"/>
          <w:color w:val="000000"/>
        </w:rPr>
        <w:t xml:space="preserve">vault </w:t>
      </w:r>
      <w:r>
        <w:rPr>
          <w:rFonts w:ascii="Times New Roman" w:hAnsi="Times New Roman" w:cs="Times New Roman"/>
          <w:color w:val="000000"/>
        </w:rPr>
        <w:t>closure and sealing. The backfill material is a cement-based grout, which has been specifically formulated to limit migration of radionuclides over long durations. The current</w:t>
      </w:r>
      <w:r w:rsidR="00C4707A">
        <w:rPr>
          <w:rFonts w:ascii="Times New Roman" w:hAnsi="Times New Roman" w:cs="Times New Roman"/>
          <w:color w:val="000000"/>
        </w:rPr>
        <w:t xml:space="preserve"> proposed</w:t>
      </w:r>
      <w:r>
        <w:rPr>
          <w:rFonts w:ascii="Times New Roman" w:hAnsi="Times New Roman" w:cs="Times New Roman"/>
          <w:color w:val="000000"/>
        </w:rPr>
        <w:t xml:space="preserve"> backfill</w:t>
      </w:r>
      <w:r w:rsidR="00C4707A">
        <w:rPr>
          <w:rFonts w:ascii="Times New Roman" w:hAnsi="Times New Roman" w:cs="Times New Roman"/>
          <w:color w:val="000000"/>
        </w:rPr>
        <w:t xml:space="preserve"> to be </w:t>
      </w:r>
      <w:r>
        <w:rPr>
          <w:rFonts w:ascii="Times New Roman" w:hAnsi="Times New Roman" w:cs="Times New Roman"/>
          <w:color w:val="000000"/>
        </w:rPr>
        <w:t xml:space="preserve">commercially used is Nirex Reference Vault Backfill (NRVB). </w:t>
      </w:r>
    </w:p>
    <w:p w14:paraId="092DA597" w14:textId="0192E665" w:rsidR="00802498" w:rsidRDefault="00350F55" w:rsidP="00802498">
      <w:pPr>
        <w:spacing w:line="480" w:lineRule="atLeast"/>
        <w:jc w:val="both"/>
        <w:rPr>
          <w:rFonts w:ascii="Times New Roman" w:hAnsi="Times New Roman" w:cs="Times New Roman"/>
          <w:color w:val="000000"/>
        </w:rPr>
      </w:pPr>
      <w:r>
        <w:rPr>
          <w:rFonts w:ascii="Times New Roman" w:hAnsi="Times New Roman" w:cs="Times New Roman"/>
          <w:color w:val="000000"/>
        </w:rPr>
        <w:t>Given that the r</w:t>
      </w:r>
      <w:r w:rsidR="009476DC">
        <w:rPr>
          <w:rFonts w:ascii="Times New Roman" w:hAnsi="Times New Roman" w:cs="Times New Roman"/>
          <w:color w:val="000000"/>
        </w:rPr>
        <w:t>adionuclides are to be immobilis</w:t>
      </w:r>
      <w:r>
        <w:rPr>
          <w:rFonts w:ascii="Times New Roman" w:hAnsi="Times New Roman" w:cs="Times New Roman"/>
          <w:color w:val="000000"/>
        </w:rPr>
        <w:t xml:space="preserve">ed for long durations of time, it is important </w:t>
      </w:r>
      <w:r w:rsidR="00FD5561">
        <w:rPr>
          <w:rFonts w:ascii="Times New Roman" w:hAnsi="Times New Roman" w:cs="Times New Roman"/>
          <w:color w:val="000000"/>
        </w:rPr>
        <w:t>to have an understanding of</w:t>
      </w:r>
      <w:r w:rsidR="00B6346D">
        <w:rPr>
          <w:rFonts w:ascii="Times New Roman" w:hAnsi="Times New Roman" w:cs="Times New Roman"/>
          <w:color w:val="000000"/>
        </w:rPr>
        <w:t xml:space="preserve"> future</w:t>
      </w:r>
      <w:r w:rsidR="00FD5561">
        <w:rPr>
          <w:rFonts w:ascii="Times New Roman" w:hAnsi="Times New Roman" w:cs="Times New Roman"/>
          <w:color w:val="000000"/>
        </w:rPr>
        <w:t xml:space="preserve"> </w:t>
      </w:r>
      <w:r w:rsidR="00B6346D">
        <w:rPr>
          <w:rFonts w:ascii="Times New Roman" w:hAnsi="Times New Roman" w:cs="Times New Roman"/>
          <w:color w:val="000000"/>
        </w:rPr>
        <w:t>leaching</w:t>
      </w:r>
      <w:r w:rsidR="00FD5561">
        <w:rPr>
          <w:rFonts w:ascii="Times New Roman" w:hAnsi="Times New Roman" w:cs="Times New Roman"/>
          <w:color w:val="000000"/>
        </w:rPr>
        <w:t xml:space="preserve"> behaviours of these problematic elements </w:t>
      </w:r>
      <w:r w:rsidR="00B6346D">
        <w:rPr>
          <w:rFonts w:ascii="Times New Roman" w:hAnsi="Times New Roman" w:cs="Times New Roman"/>
          <w:color w:val="000000"/>
        </w:rPr>
        <w:t xml:space="preserve">within the waste storage environment. </w:t>
      </w:r>
      <w:r w:rsidR="00802498">
        <w:rPr>
          <w:rFonts w:ascii="Times New Roman" w:hAnsi="Times New Roman" w:cs="Times New Roman"/>
          <w:color w:val="000000"/>
        </w:rPr>
        <w:t xml:space="preserve">The leaching behaviour of the cements will be studied under leaching conditions </w:t>
      </w:r>
      <w:r w:rsidR="0018608F">
        <w:rPr>
          <w:rFonts w:ascii="Times New Roman" w:hAnsi="Times New Roman" w:cs="Times New Roman"/>
          <w:color w:val="000000"/>
        </w:rPr>
        <w:t>modeled</w:t>
      </w:r>
      <w:r w:rsidR="00802498">
        <w:rPr>
          <w:rFonts w:ascii="Times New Roman" w:hAnsi="Times New Roman" w:cs="Times New Roman"/>
          <w:color w:val="000000"/>
        </w:rPr>
        <w:t xml:space="preserve"> on those expected when the cementitious </w:t>
      </w:r>
      <w:r w:rsidR="0018608F">
        <w:rPr>
          <w:rFonts w:ascii="Times New Roman" w:hAnsi="Times New Roman" w:cs="Times New Roman"/>
          <w:color w:val="000000"/>
        </w:rPr>
        <w:t>waste form</w:t>
      </w:r>
      <w:r w:rsidR="00802498">
        <w:rPr>
          <w:rFonts w:ascii="Times New Roman" w:hAnsi="Times New Roman" w:cs="Times New Roman"/>
          <w:color w:val="000000"/>
        </w:rPr>
        <w:t xml:space="preserve"> is in contact with ground water. Varied leaching methods will be used in an attempt to accelerate the leaching behaviour and simulate long term leaching. </w:t>
      </w:r>
      <w:r w:rsidR="00B6346D">
        <w:rPr>
          <w:rFonts w:ascii="Times New Roman" w:hAnsi="Times New Roman" w:cs="Times New Roman"/>
          <w:color w:val="000000"/>
        </w:rPr>
        <w:t>The project will be</w:t>
      </w:r>
      <w:r w:rsidR="00802498">
        <w:rPr>
          <w:rFonts w:ascii="Times New Roman" w:hAnsi="Times New Roman" w:cs="Times New Roman"/>
          <w:color w:val="000000"/>
        </w:rPr>
        <w:t xml:space="preserve"> assessing the impact of superpla</w:t>
      </w:r>
      <w:r w:rsidR="00173279">
        <w:rPr>
          <w:rFonts w:ascii="Times New Roman" w:hAnsi="Times New Roman" w:cs="Times New Roman"/>
          <w:color w:val="000000"/>
        </w:rPr>
        <w:t xml:space="preserve">sticisers on leaching rates </w:t>
      </w:r>
      <w:r w:rsidR="00B6346D">
        <w:rPr>
          <w:rFonts w:ascii="Times New Roman" w:hAnsi="Times New Roman" w:cs="Times New Roman"/>
          <w:color w:val="000000"/>
        </w:rPr>
        <w:t xml:space="preserve">of cerium and the </w:t>
      </w:r>
      <w:r w:rsidR="00802498">
        <w:rPr>
          <w:rFonts w:ascii="Times New Roman" w:hAnsi="Times New Roman" w:cs="Times New Roman"/>
          <w:color w:val="000000"/>
        </w:rPr>
        <w:t>capabilities of NRVB</w:t>
      </w:r>
      <w:r w:rsidR="00B6346D">
        <w:rPr>
          <w:rFonts w:ascii="Times New Roman" w:hAnsi="Times New Roman" w:cs="Times New Roman"/>
          <w:color w:val="000000"/>
        </w:rPr>
        <w:t xml:space="preserve"> to retain any leached cerium</w:t>
      </w:r>
      <w:r w:rsidR="00802498">
        <w:rPr>
          <w:rFonts w:ascii="Times New Roman" w:hAnsi="Times New Roman" w:cs="Times New Roman"/>
          <w:color w:val="000000"/>
        </w:rPr>
        <w:t xml:space="preserve"> in a flow-through leaching experiment using a superplasticised solut</w:t>
      </w:r>
      <w:r w:rsidR="00173279">
        <w:rPr>
          <w:rFonts w:ascii="Times New Roman" w:hAnsi="Times New Roman" w:cs="Times New Roman"/>
          <w:color w:val="000000"/>
        </w:rPr>
        <w:t>ion.</w:t>
      </w:r>
    </w:p>
    <w:p w14:paraId="1F311933" w14:textId="77777777" w:rsidR="00504001" w:rsidRDefault="00504001" w:rsidP="00802498">
      <w:pPr>
        <w:spacing w:line="480" w:lineRule="atLeast"/>
        <w:jc w:val="both"/>
        <w:rPr>
          <w:rFonts w:ascii="Times New Roman" w:hAnsi="Times New Roman" w:cs="Times New Roman"/>
          <w:color w:val="000000"/>
        </w:rPr>
      </w:pPr>
    </w:p>
    <w:p w14:paraId="373636B9" w14:textId="6BFB4A37" w:rsidR="00802498" w:rsidRPr="00504001" w:rsidRDefault="00504001" w:rsidP="00504001">
      <w:pPr>
        <w:spacing w:before="120" w:after="120"/>
        <w:rPr>
          <w:rFonts w:ascii="Times New Roman" w:hAnsi="Times New Roman" w:cs="Times New Roman"/>
          <w:b/>
          <w:bCs/>
          <w:smallCaps/>
          <w:sz w:val="32"/>
          <w:szCs w:val="28"/>
        </w:rPr>
      </w:pPr>
      <w:r>
        <w:rPr>
          <w:rFonts w:ascii="Times New Roman" w:hAnsi="Times New Roman" w:cs="Times New Roman"/>
          <w:b/>
          <w:bCs/>
          <w:smallCaps/>
          <w:sz w:val="32"/>
          <w:szCs w:val="28"/>
        </w:rPr>
        <w:t>1.2</w:t>
      </w:r>
      <w:r>
        <w:rPr>
          <w:rFonts w:ascii="Times New Roman" w:hAnsi="Times New Roman" w:cs="Times New Roman"/>
          <w:b/>
          <w:bCs/>
          <w:smallCaps/>
          <w:sz w:val="32"/>
          <w:szCs w:val="28"/>
        </w:rPr>
        <w:tab/>
        <w:t>Project Aims</w:t>
      </w:r>
    </w:p>
    <w:p w14:paraId="35DE18C5" w14:textId="77777777" w:rsidR="00802498" w:rsidRPr="00F259F6" w:rsidRDefault="00802498" w:rsidP="00802498">
      <w:pPr>
        <w:pStyle w:val="ListParagraph"/>
        <w:numPr>
          <w:ilvl w:val="0"/>
          <w:numId w:val="1"/>
        </w:numPr>
        <w:spacing w:line="480" w:lineRule="atLeast"/>
        <w:jc w:val="both"/>
        <w:rPr>
          <w:rFonts w:ascii="Times New Roman" w:hAnsi="Times New Roman" w:cs="Times New Roman"/>
          <w:b/>
          <w:color w:val="000000"/>
          <w:sz w:val="24"/>
          <w:szCs w:val="24"/>
        </w:rPr>
      </w:pPr>
      <w:r>
        <w:rPr>
          <w:rFonts w:ascii="Times New Roman" w:hAnsi="Times New Roman" w:cs="Times New Roman"/>
          <w:b/>
          <w:color w:val="000000"/>
          <w:sz w:val="24"/>
          <w:szCs w:val="24"/>
        </w:rPr>
        <w:t>Compare</w:t>
      </w:r>
      <w:r w:rsidRPr="00F259F6">
        <w:rPr>
          <w:rFonts w:ascii="Times New Roman" w:hAnsi="Times New Roman" w:cs="Times New Roman"/>
          <w:b/>
          <w:color w:val="000000"/>
          <w:sz w:val="24"/>
          <w:szCs w:val="24"/>
        </w:rPr>
        <w:t xml:space="preserve"> different leaching methods, their impact on the cement </w:t>
      </w:r>
      <w:r>
        <w:rPr>
          <w:rFonts w:ascii="Times New Roman" w:hAnsi="Times New Roman" w:cs="Times New Roman"/>
          <w:b/>
          <w:color w:val="000000"/>
          <w:sz w:val="24"/>
          <w:szCs w:val="24"/>
        </w:rPr>
        <w:t>matrix</w:t>
      </w:r>
      <w:r w:rsidRPr="00F259F6">
        <w:rPr>
          <w:rFonts w:ascii="Times New Roman" w:hAnsi="Times New Roman" w:cs="Times New Roman"/>
          <w:b/>
          <w:color w:val="000000"/>
          <w:sz w:val="24"/>
          <w:szCs w:val="24"/>
        </w:rPr>
        <w:t xml:space="preserve"> and their effect on </w:t>
      </w:r>
      <w:r>
        <w:rPr>
          <w:rFonts w:ascii="Times New Roman" w:hAnsi="Times New Roman" w:cs="Times New Roman"/>
          <w:b/>
          <w:color w:val="000000"/>
          <w:sz w:val="24"/>
          <w:szCs w:val="24"/>
        </w:rPr>
        <w:t>leaching rates</w:t>
      </w:r>
      <w:r w:rsidRPr="00F259F6">
        <w:rPr>
          <w:rFonts w:ascii="Times New Roman" w:hAnsi="Times New Roman" w:cs="Times New Roman"/>
          <w:b/>
          <w:color w:val="000000"/>
          <w:sz w:val="24"/>
          <w:szCs w:val="24"/>
        </w:rPr>
        <w:t xml:space="preserve">. </w:t>
      </w:r>
    </w:p>
    <w:p w14:paraId="0DFA18D5" w14:textId="449AFD7A" w:rsidR="00471A8B" w:rsidRDefault="00B45DC5" w:rsidP="00802498">
      <w:pPr>
        <w:pStyle w:val="ListParagraph"/>
        <w:spacing w:line="480" w:lineRule="atLeast"/>
        <w:jc w:val="both"/>
        <w:rPr>
          <w:rFonts w:ascii="Times New Roman" w:hAnsi="Times New Roman" w:cs="Times New Roman"/>
          <w:color w:val="000000"/>
          <w:sz w:val="24"/>
          <w:szCs w:val="24"/>
        </w:rPr>
      </w:pPr>
      <w:r>
        <w:rPr>
          <w:rFonts w:ascii="Times New Roman" w:hAnsi="Times New Roman" w:cs="Times New Roman"/>
          <w:color w:val="000000"/>
          <w:sz w:val="24"/>
          <w:szCs w:val="24"/>
        </w:rPr>
        <w:t>The project studies four methods</w:t>
      </w:r>
      <w:r w:rsidR="00802498">
        <w:rPr>
          <w:rFonts w:ascii="Times New Roman" w:hAnsi="Times New Roman" w:cs="Times New Roman"/>
          <w:color w:val="000000"/>
          <w:sz w:val="24"/>
          <w:szCs w:val="24"/>
        </w:rPr>
        <w:t>. In the first method, referred to as semi-static leaching, cement samples w</w:t>
      </w:r>
      <w:r w:rsidR="00B6346D">
        <w:rPr>
          <w:rFonts w:ascii="Times New Roman" w:hAnsi="Times New Roman" w:cs="Times New Roman"/>
          <w:color w:val="000000"/>
          <w:sz w:val="24"/>
          <w:szCs w:val="24"/>
        </w:rPr>
        <w:t xml:space="preserve">ere leached in deionised water and </w:t>
      </w:r>
      <w:r w:rsidR="00802498">
        <w:rPr>
          <w:rFonts w:ascii="Times New Roman" w:hAnsi="Times New Roman" w:cs="Times New Roman"/>
          <w:color w:val="000000"/>
          <w:sz w:val="24"/>
          <w:szCs w:val="24"/>
        </w:rPr>
        <w:t xml:space="preserve">the solution was replaced at specific intervals. The second method was to apply an electrical current through the cement samples whilst leaching. </w:t>
      </w:r>
      <w:proofErr w:type="gramStart"/>
      <w:r w:rsidR="00802498">
        <w:rPr>
          <w:rFonts w:ascii="Times New Roman" w:hAnsi="Times New Roman" w:cs="Times New Roman"/>
          <w:color w:val="000000"/>
          <w:sz w:val="24"/>
          <w:szCs w:val="24"/>
        </w:rPr>
        <w:t>This is based on the research by Saito and Nakane</w:t>
      </w:r>
      <w:proofErr w:type="gramEnd"/>
      <w:r w:rsidR="00802498">
        <w:rPr>
          <w:rFonts w:ascii="Times New Roman" w:hAnsi="Times New Roman" w:cs="Times New Roman"/>
          <w:color w:val="000000"/>
          <w:sz w:val="24"/>
          <w:szCs w:val="24"/>
        </w:rPr>
        <w:t xml:space="preserve"> [2] on cements used in dams, where it was discovered that the ion diffusion rates increased significantly using the electrical method. T</w:t>
      </w:r>
      <w:r w:rsidR="00BC4D46">
        <w:rPr>
          <w:rFonts w:ascii="Times New Roman" w:hAnsi="Times New Roman" w:cs="Times New Roman"/>
          <w:color w:val="000000"/>
          <w:sz w:val="24"/>
          <w:szCs w:val="24"/>
        </w:rPr>
        <w:t xml:space="preserve">he research undertaken by Saito, </w:t>
      </w:r>
      <w:r w:rsidR="00802498">
        <w:rPr>
          <w:rFonts w:ascii="Times New Roman" w:hAnsi="Times New Roman" w:cs="Times New Roman"/>
          <w:color w:val="000000"/>
          <w:sz w:val="24"/>
          <w:szCs w:val="24"/>
        </w:rPr>
        <w:t>required water to be replaced regularly in an attempt to simulate the continuous water flow in the environment they were studying</w:t>
      </w:r>
      <w:r w:rsidR="00B6346D">
        <w:rPr>
          <w:rFonts w:ascii="Times New Roman" w:hAnsi="Times New Roman" w:cs="Times New Roman"/>
          <w:color w:val="000000"/>
          <w:sz w:val="24"/>
          <w:szCs w:val="24"/>
        </w:rPr>
        <w:t xml:space="preserve"> and this is why the water was replaced in the semi-static in this project</w:t>
      </w:r>
      <w:r w:rsidR="00802498">
        <w:rPr>
          <w:rFonts w:ascii="Times New Roman" w:hAnsi="Times New Roman" w:cs="Times New Roman"/>
          <w:color w:val="000000"/>
          <w:sz w:val="24"/>
          <w:szCs w:val="24"/>
        </w:rPr>
        <w:t xml:space="preserve">. In the third leaching method the solution was not replaced; this is referred to as the static leaching method and is regarded as a more accurate representation of the behaviour within a repository. </w:t>
      </w:r>
      <w:r w:rsidR="00802498">
        <w:rPr>
          <w:rFonts w:ascii="Times New Roman" w:hAnsi="Times New Roman"/>
          <w:color w:val="000000"/>
          <w:sz w:val="24"/>
          <w:szCs w:val="24"/>
        </w:rPr>
        <w:t xml:space="preserve">The </w:t>
      </w:r>
      <w:r w:rsidR="00802498">
        <w:rPr>
          <w:rFonts w:ascii="Times New Roman" w:hAnsi="Times New Roman"/>
          <w:color w:val="000000"/>
          <w:sz w:val="24"/>
          <w:szCs w:val="24"/>
        </w:rPr>
        <w:lastRenderedPageBreak/>
        <w:t>ground water</w:t>
      </w:r>
      <w:r w:rsidR="00B6346D">
        <w:rPr>
          <w:rFonts w:ascii="Times New Roman" w:hAnsi="Times New Roman"/>
          <w:color w:val="000000"/>
          <w:sz w:val="24"/>
          <w:szCs w:val="24"/>
        </w:rPr>
        <w:t xml:space="preserve"> that</w:t>
      </w:r>
      <w:r w:rsidR="00802498">
        <w:rPr>
          <w:rFonts w:ascii="Times New Roman" w:hAnsi="Times New Roman"/>
          <w:color w:val="000000"/>
          <w:sz w:val="24"/>
          <w:szCs w:val="24"/>
        </w:rPr>
        <w:t xml:space="preserve"> comes into contact with the waste</w:t>
      </w:r>
      <w:r w:rsidR="00D400D2">
        <w:rPr>
          <w:rFonts w:ascii="Times New Roman" w:hAnsi="Times New Roman"/>
          <w:color w:val="000000"/>
          <w:sz w:val="24"/>
          <w:szCs w:val="24"/>
        </w:rPr>
        <w:t>-</w:t>
      </w:r>
      <w:r w:rsidR="00802498">
        <w:rPr>
          <w:rFonts w:ascii="Times New Roman" w:hAnsi="Times New Roman"/>
          <w:color w:val="000000"/>
          <w:sz w:val="24"/>
          <w:szCs w:val="24"/>
        </w:rPr>
        <w:t>forms is relatively immobile [2]</w:t>
      </w:r>
      <w:r w:rsidR="00802498">
        <w:rPr>
          <w:rFonts w:ascii="Times New Roman" w:hAnsi="Times New Roman" w:cs="Times New Roman"/>
          <w:color w:val="000000"/>
          <w:sz w:val="24"/>
          <w:szCs w:val="24"/>
        </w:rPr>
        <w:t>. The static and semi-static methods were compared to study the impact of the solution concent</w:t>
      </w:r>
      <w:r w:rsidR="00D400D2">
        <w:rPr>
          <w:rFonts w:ascii="Times New Roman" w:hAnsi="Times New Roman" w:cs="Times New Roman"/>
          <w:color w:val="000000"/>
          <w:sz w:val="24"/>
          <w:szCs w:val="24"/>
        </w:rPr>
        <w:t>ration gradient on the leaching</w:t>
      </w:r>
      <w:r w:rsidR="00802498">
        <w:rPr>
          <w:rFonts w:ascii="Times New Roman" w:hAnsi="Times New Roman" w:cs="Times New Roman"/>
          <w:color w:val="000000"/>
          <w:sz w:val="24"/>
          <w:szCs w:val="24"/>
        </w:rPr>
        <w:t xml:space="preserve"> rates.  Finally</w:t>
      </w:r>
      <w:r w:rsidR="00BC4D46">
        <w:rPr>
          <w:rFonts w:ascii="Times New Roman" w:hAnsi="Times New Roman" w:cs="Times New Roman"/>
          <w:color w:val="000000"/>
          <w:sz w:val="24"/>
          <w:szCs w:val="24"/>
        </w:rPr>
        <w:t xml:space="preserve"> an</w:t>
      </w:r>
      <w:r w:rsidR="00802498">
        <w:rPr>
          <w:rFonts w:ascii="Times New Roman" w:hAnsi="Times New Roman" w:cs="Times New Roman"/>
          <w:color w:val="000000"/>
          <w:sz w:val="24"/>
          <w:szCs w:val="24"/>
        </w:rPr>
        <w:t xml:space="preserve"> acidic leaching method was studied, allowing a comparison to be drawn between the two accelerated method</w:t>
      </w:r>
      <w:r w:rsidR="00471A8B">
        <w:rPr>
          <w:rFonts w:ascii="Times New Roman" w:hAnsi="Times New Roman" w:cs="Times New Roman"/>
          <w:color w:val="000000"/>
          <w:sz w:val="24"/>
          <w:szCs w:val="24"/>
        </w:rPr>
        <w:t>s. Using two different accelerating methods helped establish whether the changes in cement microstructure were due to the increase in leaching rate or due to the chemistry within the electrical/acidic method</w:t>
      </w:r>
      <w:r w:rsidR="00B6346D">
        <w:rPr>
          <w:rFonts w:ascii="Times New Roman" w:hAnsi="Times New Roman" w:cs="Times New Roman"/>
          <w:color w:val="000000"/>
          <w:sz w:val="24"/>
          <w:szCs w:val="24"/>
        </w:rPr>
        <w:t>s themselves</w:t>
      </w:r>
      <w:r w:rsidR="00471A8B">
        <w:rPr>
          <w:rFonts w:ascii="Times New Roman" w:hAnsi="Times New Roman" w:cs="Times New Roman"/>
          <w:color w:val="000000"/>
          <w:sz w:val="24"/>
          <w:szCs w:val="24"/>
        </w:rPr>
        <w:t xml:space="preserve">. </w:t>
      </w:r>
    </w:p>
    <w:p w14:paraId="6E54E6B8" w14:textId="77777777" w:rsidR="00802498" w:rsidRPr="00085309" w:rsidRDefault="00802498" w:rsidP="00802498">
      <w:pPr>
        <w:spacing w:line="480" w:lineRule="atLeast"/>
        <w:jc w:val="both"/>
        <w:rPr>
          <w:rFonts w:ascii="Times New Roman" w:hAnsi="Times New Roman" w:cs="Times New Roman"/>
          <w:color w:val="000000"/>
        </w:rPr>
      </w:pPr>
    </w:p>
    <w:p w14:paraId="4A240F23" w14:textId="7B9D721A" w:rsidR="00802498" w:rsidRPr="00BC6008" w:rsidRDefault="00802498" w:rsidP="00802498">
      <w:pPr>
        <w:pStyle w:val="ListParagraph"/>
        <w:numPr>
          <w:ilvl w:val="0"/>
          <w:numId w:val="1"/>
        </w:numPr>
        <w:spacing w:line="480" w:lineRule="atLeast"/>
        <w:jc w:val="both"/>
        <w:rPr>
          <w:rFonts w:ascii="Times New Roman" w:hAnsi="Times New Roman" w:cs="Times New Roman"/>
          <w:b/>
          <w:color w:val="000000"/>
          <w:sz w:val="24"/>
          <w:szCs w:val="24"/>
        </w:rPr>
      </w:pPr>
      <w:r>
        <w:rPr>
          <w:rFonts w:ascii="Times New Roman" w:hAnsi="Times New Roman" w:cs="Times New Roman"/>
          <w:b/>
          <w:color w:val="000000"/>
          <w:sz w:val="24"/>
          <w:szCs w:val="24"/>
        </w:rPr>
        <w:t>A</w:t>
      </w:r>
      <w:r w:rsidRPr="00BC6008">
        <w:rPr>
          <w:rFonts w:ascii="Times New Roman" w:hAnsi="Times New Roman" w:cs="Times New Roman"/>
          <w:b/>
          <w:color w:val="000000"/>
          <w:sz w:val="24"/>
          <w:szCs w:val="24"/>
        </w:rPr>
        <w:t>nalyse the incorporation of caesium and strontium within the 9:1 BFS</w:t>
      </w:r>
      <w:proofErr w:type="gramStart"/>
      <w:r w:rsidRPr="00BC6008">
        <w:rPr>
          <w:rFonts w:ascii="Times New Roman" w:hAnsi="Times New Roman" w:cs="Times New Roman"/>
          <w:b/>
          <w:color w:val="000000"/>
          <w:sz w:val="24"/>
          <w:szCs w:val="24"/>
        </w:rPr>
        <w:t>:</w:t>
      </w:r>
      <w:r w:rsidR="00E85025">
        <w:rPr>
          <w:rFonts w:ascii="Times New Roman" w:hAnsi="Times New Roman" w:cs="Times New Roman"/>
          <w:b/>
          <w:color w:val="000000"/>
          <w:sz w:val="24"/>
          <w:szCs w:val="24"/>
        </w:rPr>
        <w:t>PC</w:t>
      </w:r>
      <w:proofErr w:type="gramEnd"/>
      <w:r w:rsidRPr="00BC6008">
        <w:rPr>
          <w:rFonts w:ascii="Times New Roman" w:hAnsi="Times New Roman" w:cs="Times New Roman"/>
          <w:b/>
          <w:color w:val="000000"/>
          <w:sz w:val="24"/>
          <w:szCs w:val="24"/>
        </w:rPr>
        <w:t xml:space="preserve"> matrix and to establish </w:t>
      </w:r>
      <w:r w:rsidR="00B05482">
        <w:rPr>
          <w:rFonts w:ascii="Times New Roman" w:hAnsi="Times New Roman" w:cs="Times New Roman"/>
          <w:b/>
          <w:color w:val="000000"/>
          <w:sz w:val="24"/>
          <w:szCs w:val="24"/>
        </w:rPr>
        <w:t xml:space="preserve">the </w:t>
      </w:r>
      <w:r w:rsidR="00FE5A5E">
        <w:rPr>
          <w:rFonts w:ascii="Times New Roman" w:hAnsi="Times New Roman" w:cs="Times New Roman"/>
          <w:b/>
          <w:color w:val="000000"/>
          <w:sz w:val="24"/>
          <w:szCs w:val="24"/>
        </w:rPr>
        <w:t>relationship</w:t>
      </w:r>
      <w:r w:rsidR="00B05482">
        <w:rPr>
          <w:rFonts w:ascii="Times New Roman" w:hAnsi="Times New Roman" w:cs="Times New Roman"/>
          <w:b/>
          <w:color w:val="000000"/>
          <w:sz w:val="24"/>
          <w:szCs w:val="24"/>
        </w:rPr>
        <w:t xml:space="preserve"> between the </w:t>
      </w:r>
      <w:r w:rsidR="003A325C">
        <w:rPr>
          <w:rFonts w:ascii="Times New Roman" w:hAnsi="Times New Roman" w:cs="Times New Roman"/>
          <w:b/>
          <w:color w:val="000000"/>
          <w:sz w:val="24"/>
          <w:szCs w:val="24"/>
        </w:rPr>
        <w:t>immobilisation mechanism</w:t>
      </w:r>
      <w:r w:rsidR="00B05482">
        <w:rPr>
          <w:rFonts w:ascii="Times New Roman" w:hAnsi="Times New Roman" w:cs="Times New Roman"/>
          <w:b/>
          <w:color w:val="000000"/>
          <w:sz w:val="24"/>
          <w:szCs w:val="24"/>
        </w:rPr>
        <w:t xml:space="preserve"> and</w:t>
      </w:r>
      <w:r w:rsidRPr="00BC6008">
        <w:rPr>
          <w:rFonts w:ascii="Times New Roman" w:hAnsi="Times New Roman" w:cs="Times New Roman"/>
          <w:b/>
          <w:color w:val="000000"/>
          <w:sz w:val="24"/>
          <w:szCs w:val="24"/>
        </w:rPr>
        <w:t xml:space="preserve"> the leaching behaviour of </w:t>
      </w:r>
      <w:r w:rsidR="006F6EF5">
        <w:rPr>
          <w:rFonts w:ascii="Times New Roman" w:hAnsi="Times New Roman" w:cs="Times New Roman"/>
          <w:b/>
          <w:color w:val="000000"/>
          <w:sz w:val="24"/>
          <w:szCs w:val="24"/>
        </w:rPr>
        <w:t>each of the</w:t>
      </w:r>
      <w:r w:rsidRPr="00BC6008">
        <w:rPr>
          <w:rFonts w:ascii="Times New Roman" w:hAnsi="Times New Roman" w:cs="Times New Roman"/>
          <w:b/>
          <w:color w:val="000000"/>
          <w:sz w:val="24"/>
          <w:szCs w:val="24"/>
        </w:rPr>
        <w:t xml:space="preserve"> elements. </w:t>
      </w:r>
    </w:p>
    <w:p w14:paraId="646599F0" w14:textId="0E337923" w:rsidR="00802498" w:rsidRDefault="00802498" w:rsidP="00802498">
      <w:pPr>
        <w:pStyle w:val="ListParagraph"/>
        <w:spacing w:line="480" w:lineRule="atLeast"/>
        <w:jc w:val="both"/>
        <w:rPr>
          <w:rFonts w:ascii="Times New Roman" w:hAnsi="Times New Roman" w:cs="Times New Roman"/>
          <w:color w:val="000000"/>
          <w:sz w:val="24"/>
          <w:szCs w:val="24"/>
        </w:rPr>
      </w:pPr>
      <w:r>
        <w:rPr>
          <w:rFonts w:ascii="Times New Roman" w:hAnsi="Times New Roman" w:cs="Times New Roman"/>
          <w:color w:val="000000"/>
          <w:sz w:val="24"/>
          <w:szCs w:val="24"/>
        </w:rPr>
        <w:t>The behaviour</w:t>
      </w:r>
      <w:r w:rsidR="00B6346D">
        <w:rPr>
          <w:rFonts w:ascii="Times New Roman" w:hAnsi="Times New Roman" w:cs="Times New Roman"/>
          <w:color w:val="000000"/>
          <w:sz w:val="24"/>
          <w:szCs w:val="24"/>
        </w:rPr>
        <w:t>s</w:t>
      </w:r>
      <w:r>
        <w:rPr>
          <w:rFonts w:ascii="Times New Roman" w:hAnsi="Times New Roman" w:cs="Times New Roman"/>
          <w:color w:val="000000"/>
          <w:sz w:val="24"/>
          <w:szCs w:val="24"/>
        </w:rPr>
        <w:t xml:space="preserve"> of caesium and strontium in a BFS</w:t>
      </w:r>
      <w:proofErr w:type="gramStart"/>
      <w:r>
        <w:rPr>
          <w:rFonts w:ascii="Times New Roman" w:hAnsi="Times New Roman" w:cs="Times New Roman"/>
          <w:color w:val="000000"/>
          <w:sz w:val="24"/>
          <w:szCs w:val="24"/>
        </w:rPr>
        <w:t>:</w:t>
      </w:r>
      <w:r w:rsidR="00E85025">
        <w:rPr>
          <w:rFonts w:ascii="Times New Roman" w:hAnsi="Times New Roman" w:cs="Times New Roman"/>
          <w:color w:val="000000"/>
          <w:sz w:val="24"/>
          <w:szCs w:val="24"/>
        </w:rPr>
        <w:t>PC</w:t>
      </w:r>
      <w:proofErr w:type="gramEnd"/>
      <w:r>
        <w:rPr>
          <w:rFonts w:ascii="Times New Roman" w:hAnsi="Times New Roman" w:cs="Times New Roman"/>
          <w:color w:val="000000"/>
          <w:sz w:val="24"/>
          <w:szCs w:val="24"/>
        </w:rPr>
        <w:t xml:space="preserve"> system cured at 20</w:t>
      </w:r>
      <w:r>
        <w:rPr>
          <w:rFonts w:ascii="Times New Roman" w:hAnsi="Times New Roman" w:cs="Times New Roman"/>
          <w:color w:val="000000"/>
          <w:sz w:val="24"/>
          <w:szCs w:val="24"/>
          <w:vertAlign w:val="superscript"/>
        </w:rPr>
        <w:t>o</w:t>
      </w:r>
      <w:r w:rsidR="000F2EC6">
        <w:rPr>
          <w:rFonts w:ascii="Times New Roman" w:hAnsi="Times New Roman" w:cs="Times New Roman"/>
          <w:color w:val="000000"/>
          <w:sz w:val="24"/>
          <w:szCs w:val="24"/>
        </w:rPr>
        <w:t xml:space="preserve">C  were studied, as there is a significant environmental concerns attributed to the radioisotopes of these elements. </w:t>
      </w:r>
      <w:r>
        <w:rPr>
          <w:rFonts w:ascii="Times New Roman" w:hAnsi="Times New Roman" w:cs="Times New Roman"/>
          <w:color w:val="000000"/>
          <w:sz w:val="24"/>
          <w:szCs w:val="24"/>
        </w:rPr>
        <w:t>A comparison was drawn between four formulations, a blank, a sample containing only caesium (added as caesium nitrate), a sample containing only strontium (added as strontium nitrate) and finally a sample containing both sim</w:t>
      </w:r>
      <w:r w:rsidR="000F2EC6">
        <w:rPr>
          <w:rFonts w:ascii="Times New Roman" w:hAnsi="Times New Roman" w:cs="Times New Roman"/>
          <w:color w:val="000000"/>
          <w:sz w:val="24"/>
          <w:szCs w:val="24"/>
        </w:rPr>
        <w:t>ulants both added as nitrates. Past r</w:t>
      </w:r>
      <w:r>
        <w:rPr>
          <w:rFonts w:ascii="Times New Roman" w:hAnsi="Times New Roman" w:cs="Times New Roman"/>
          <w:color w:val="000000"/>
          <w:sz w:val="24"/>
          <w:szCs w:val="24"/>
        </w:rPr>
        <w:t>esearch on the behaviour of strontium presents different suggestions regarding the phase in which it is retained</w:t>
      </w:r>
      <w:r w:rsidR="00B6346D">
        <w:rPr>
          <w:rFonts w:ascii="Times New Roman" w:hAnsi="Times New Roman" w:cs="Times New Roman"/>
          <w:color w:val="000000"/>
          <w:sz w:val="24"/>
          <w:szCs w:val="24"/>
        </w:rPr>
        <w:t xml:space="preserve"> [3</w:t>
      </w:r>
      <w:r w:rsidR="00F4525F">
        <w:rPr>
          <w:rFonts w:ascii="Times New Roman" w:hAnsi="Times New Roman" w:cs="Times New Roman"/>
          <w:color w:val="000000"/>
          <w:sz w:val="24"/>
          <w:szCs w:val="24"/>
        </w:rPr>
        <w:t>]</w:t>
      </w:r>
      <w:r w:rsidR="00B6346D">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Studies into the behaviour of caesium, on the other hand, are very limited. </w:t>
      </w:r>
    </w:p>
    <w:p w14:paraId="28CF7F6E" w14:textId="77777777" w:rsidR="00802498" w:rsidRDefault="00802498" w:rsidP="00802498">
      <w:pPr>
        <w:pStyle w:val="ListParagraph"/>
        <w:spacing w:line="480" w:lineRule="atLeast"/>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The hydration phase interaction with the waste simulant elements were studied, in particular the calcium aluminate monosulphate </w:t>
      </w:r>
      <w:proofErr w:type="gramStart"/>
      <w:r>
        <w:rPr>
          <w:rFonts w:ascii="Times New Roman" w:hAnsi="Times New Roman" w:cs="Times New Roman"/>
          <w:color w:val="000000"/>
          <w:sz w:val="24"/>
          <w:szCs w:val="24"/>
        </w:rPr>
        <w:t>phase</w:t>
      </w:r>
      <w:proofErr w:type="gramEnd"/>
      <w:r>
        <w:rPr>
          <w:rFonts w:ascii="Times New Roman" w:hAnsi="Times New Roman" w:cs="Times New Roman"/>
          <w:color w:val="000000"/>
          <w:sz w:val="24"/>
          <w:szCs w:val="24"/>
        </w:rPr>
        <w:t xml:space="preserve"> AF</w:t>
      </w:r>
      <w:r w:rsidRPr="00B6346D">
        <w:rPr>
          <w:rFonts w:ascii="Times New Roman" w:hAnsi="Times New Roman" w:cs="Times New Roman"/>
          <w:color w:val="000000"/>
          <w:sz w:val="24"/>
          <w:szCs w:val="24"/>
        </w:rPr>
        <w:t>m</w:t>
      </w:r>
      <w:r>
        <w:rPr>
          <w:rFonts w:ascii="Times New Roman" w:hAnsi="Times New Roman" w:cs="Times New Roman"/>
          <w:color w:val="000000"/>
          <w:sz w:val="24"/>
          <w:szCs w:val="24"/>
        </w:rPr>
        <w:t xml:space="preserve"> (Al</w:t>
      </w:r>
      <w:r>
        <w:rPr>
          <w:rFonts w:ascii="Times New Roman" w:hAnsi="Times New Roman" w:cs="Times New Roman"/>
          <w:color w:val="000000"/>
          <w:sz w:val="24"/>
          <w:szCs w:val="24"/>
          <w:vertAlign w:val="subscript"/>
        </w:rPr>
        <w:t>2</w:t>
      </w:r>
      <w:r>
        <w:rPr>
          <w:rFonts w:ascii="Times New Roman" w:hAnsi="Times New Roman" w:cs="Times New Roman"/>
          <w:color w:val="000000"/>
          <w:sz w:val="24"/>
          <w:szCs w:val="24"/>
        </w:rPr>
        <w:t>O</w:t>
      </w:r>
      <w:r>
        <w:rPr>
          <w:rFonts w:ascii="Times New Roman" w:hAnsi="Times New Roman" w:cs="Times New Roman"/>
          <w:color w:val="000000"/>
          <w:sz w:val="24"/>
          <w:szCs w:val="24"/>
          <w:vertAlign w:val="subscript"/>
        </w:rPr>
        <w:t>3</w:t>
      </w:r>
      <w:r>
        <w:rPr>
          <w:rFonts w:ascii="Times New Roman" w:hAnsi="Times New Roman" w:cs="Times New Roman"/>
          <w:color w:val="000000"/>
          <w:sz w:val="24"/>
          <w:szCs w:val="24"/>
        </w:rPr>
        <w:t>-Fe</w:t>
      </w:r>
      <w:r>
        <w:rPr>
          <w:rFonts w:ascii="Times New Roman" w:hAnsi="Times New Roman" w:cs="Times New Roman"/>
          <w:color w:val="000000"/>
          <w:sz w:val="24"/>
          <w:szCs w:val="24"/>
          <w:vertAlign w:val="subscript"/>
        </w:rPr>
        <w:t>2</w:t>
      </w:r>
      <w:r>
        <w:rPr>
          <w:rFonts w:ascii="Times New Roman" w:hAnsi="Times New Roman" w:cs="Times New Roman"/>
          <w:color w:val="000000"/>
          <w:sz w:val="24"/>
          <w:szCs w:val="24"/>
        </w:rPr>
        <w:t>O</w:t>
      </w:r>
      <w:r>
        <w:rPr>
          <w:rFonts w:ascii="Times New Roman" w:hAnsi="Times New Roman" w:cs="Times New Roman"/>
          <w:color w:val="000000"/>
          <w:sz w:val="24"/>
          <w:szCs w:val="24"/>
          <w:vertAlign w:val="subscript"/>
        </w:rPr>
        <w:t>3</w:t>
      </w:r>
      <w:r>
        <w:rPr>
          <w:rFonts w:ascii="Times New Roman" w:hAnsi="Times New Roman" w:cs="Times New Roman"/>
          <w:color w:val="000000"/>
          <w:sz w:val="24"/>
          <w:szCs w:val="24"/>
        </w:rPr>
        <w:t xml:space="preserve">-mono). The phase was synthesised with the incorporation of different simulants and the product was analysed. </w:t>
      </w:r>
    </w:p>
    <w:p w14:paraId="078C1CC1" w14:textId="448890BE" w:rsidR="00B6346D" w:rsidRPr="002632F2" w:rsidRDefault="00B6346D" w:rsidP="00802498">
      <w:pPr>
        <w:pStyle w:val="ListParagraph"/>
        <w:spacing w:line="480" w:lineRule="atLeast"/>
        <w:jc w:val="both"/>
        <w:rPr>
          <w:rFonts w:ascii="Times New Roman" w:hAnsi="Times New Roman" w:cs="Times New Roman"/>
          <w:color w:val="000000"/>
          <w:sz w:val="24"/>
          <w:szCs w:val="24"/>
        </w:rPr>
      </w:pPr>
      <w:r>
        <w:rPr>
          <w:rFonts w:ascii="Times New Roman" w:hAnsi="Times New Roman" w:cs="Times New Roman"/>
          <w:color w:val="000000"/>
          <w:sz w:val="24"/>
          <w:szCs w:val="24"/>
        </w:rPr>
        <w:t>Finally Sr an</w:t>
      </w:r>
      <w:r w:rsidR="003A325C">
        <w:rPr>
          <w:rFonts w:ascii="Times New Roman" w:hAnsi="Times New Roman" w:cs="Times New Roman"/>
          <w:color w:val="000000"/>
          <w:sz w:val="24"/>
          <w:szCs w:val="24"/>
        </w:rPr>
        <w:t>d</w:t>
      </w:r>
      <w:r>
        <w:rPr>
          <w:rFonts w:ascii="Times New Roman" w:hAnsi="Times New Roman" w:cs="Times New Roman"/>
          <w:color w:val="000000"/>
          <w:sz w:val="24"/>
          <w:szCs w:val="24"/>
        </w:rPr>
        <w:t xml:space="preserve"> Cs were added in the hydroxide form to establish/eliminate any phase changes or cement structure alterations caused by the nitrate. </w:t>
      </w:r>
    </w:p>
    <w:p w14:paraId="3B586060" w14:textId="77777777" w:rsidR="00802498" w:rsidRDefault="00802498" w:rsidP="00802498">
      <w:pPr>
        <w:spacing w:line="480" w:lineRule="atLeast"/>
        <w:jc w:val="both"/>
        <w:rPr>
          <w:rFonts w:ascii="Times New Roman" w:hAnsi="Times New Roman" w:cs="Times New Roman"/>
          <w:color w:val="000000"/>
        </w:rPr>
      </w:pPr>
    </w:p>
    <w:p w14:paraId="779D9AC6" w14:textId="77777777" w:rsidR="00FD3D37" w:rsidRDefault="00FD3D37" w:rsidP="00802498">
      <w:pPr>
        <w:spacing w:line="480" w:lineRule="atLeast"/>
        <w:jc w:val="both"/>
        <w:rPr>
          <w:rFonts w:ascii="Times New Roman" w:hAnsi="Times New Roman" w:cs="Times New Roman"/>
          <w:color w:val="000000"/>
        </w:rPr>
      </w:pPr>
    </w:p>
    <w:p w14:paraId="48C8C390" w14:textId="77777777" w:rsidR="003C5C4D" w:rsidRDefault="003C5C4D" w:rsidP="00802498">
      <w:pPr>
        <w:spacing w:line="480" w:lineRule="atLeast"/>
        <w:jc w:val="both"/>
        <w:rPr>
          <w:rFonts w:ascii="Times New Roman" w:hAnsi="Times New Roman" w:cs="Times New Roman"/>
          <w:color w:val="000000"/>
        </w:rPr>
      </w:pPr>
    </w:p>
    <w:p w14:paraId="7447A1F3" w14:textId="77777777" w:rsidR="00FD3D37" w:rsidRPr="00203C5F" w:rsidRDefault="00FD3D37" w:rsidP="00802498">
      <w:pPr>
        <w:spacing w:line="480" w:lineRule="atLeast"/>
        <w:jc w:val="both"/>
        <w:rPr>
          <w:rFonts w:ascii="Times New Roman" w:hAnsi="Times New Roman" w:cs="Times New Roman"/>
          <w:color w:val="000000"/>
        </w:rPr>
      </w:pPr>
    </w:p>
    <w:p w14:paraId="5F8EA513" w14:textId="77777777" w:rsidR="00874BB4" w:rsidRPr="00FD3D37" w:rsidRDefault="00186F1A" w:rsidP="00FD3D37">
      <w:pPr>
        <w:pStyle w:val="ListParagraph"/>
        <w:numPr>
          <w:ilvl w:val="0"/>
          <w:numId w:val="1"/>
        </w:numPr>
        <w:spacing w:line="480" w:lineRule="atLeast"/>
        <w:jc w:val="both"/>
        <w:rPr>
          <w:rFonts w:ascii="Times New Roman" w:hAnsi="Times New Roman" w:cs="Times New Roman"/>
          <w:b/>
          <w:color w:val="000000"/>
          <w:sz w:val="24"/>
          <w:szCs w:val="24"/>
        </w:rPr>
      </w:pPr>
      <w:r w:rsidRPr="00FD3D37">
        <w:rPr>
          <w:rFonts w:ascii="Times New Roman" w:hAnsi="Times New Roman" w:cs="Times New Roman"/>
          <w:b/>
          <w:color w:val="000000"/>
          <w:sz w:val="24"/>
          <w:szCs w:val="24"/>
        </w:rPr>
        <w:t>Introductory stu</w:t>
      </w:r>
      <w:r w:rsidR="00297732" w:rsidRPr="00FD3D37">
        <w:rPr>
          <w:rFonts w:ascii="Times New Roman" w:hAnsi="Times New Roman" w:cs="Times New Roman"/>
          <w:b/>
          <w:color w:val="000000"/>
          <w:sz w:val="24"/>
          <w:szCs w:val="24"/>
        </w:rPr>
        <w:t>dy on</w:t>
      </w:r>
      <w:r w:rsidR="00F26EB4" w:rsidRPr="00FD3D37">
        <w:rPr>
          <w:rFonts w:ascii="Times New Roman" w:hAnsi="Times New Roman" w:cs="Times New Roman"/>
          <w:b/>
          <w:color w:val="000000"/>
          <w:sz w:val="24"/>
          <w:szCs w:val="24"/>
        </w:rPr>
        <w:t xml:space="preserve"> the impact of </w:t>
      </w:r>
      <w:r w:rsidR="00802498" w:rsidRPr="00FD3D37">
        <w:rPr>
          <w:rFonts w:ascii="Times New Roman" w:hAnsi="Times New Roman" w:cs="Times New Roman"/>
          <w:b/>
          <w:color w:val="000000"/>
          <w:sz w:val="24"/>
          <w:szCs w:val="24"/>
        </w:rPr>
        <w:t>superplasticiser</w:t>
      </w:r>
      <w:r w:rsidR="00F26EB4" w:rsidRPr="00FD3D37">
        <w:rPr>
          <w:rFonts w:ascii="Times New Roman" w:hAnsi="Times New Roman" w:cs="Times New Roman"/>
          <w:b/>
          <w:color w:val="000000"/>
          <w:sz w:val="24"/>
          <w:szCs w:val="24"/>
        </w:rPr>
        <w:t>s</w:t>
      </w:r>
      <w:r w:rsidR="00802498" w:rsidRPr="00FD3D37">
        <w:rPr>
          <w:rFonts w:ascii="Times New Roman" w:hAnsi="Times New Roman" w:cs="Times New Roman"/>
          <w:b/>
          <w:color w:val="000000"/>
          <w:sz w:val="24"/>
          <w:szCs w:val="24"/>
        </w:rPr>
        <w:t xml:space="preserve"> on the leaching behaviour of BFS</w:t>
      </w:r>
      <w:proofErr w:type="gramStart"/>
      <w:r w:rsidR="00802498" w:rsidRPr="00FD3D37">
        <w:rPr>
          <w:rFonts w:ascii="Times New Roman" w:hAnsi="Times New Roman" w:cs="Times New Roman"/>
          <w:b/>
          <w:color w:val="000000"/>
          <w:sz w:val="24"/>
          <w:szCs w:val="24"/>
        </w:rPr>
        <w:t>:</w:t>
      </w:r>
      <w:r w:rsidR="00E85025" w:rsidRPr="00FD3D37">
        <w:rPr>
          <w:rFonts w:ascii="Times New Roman" w:hAnsi="Times New Roman" w:cs="Times New Roman"/>
          <w:b/>
          <w:color w:val="000000"/>
          <w:sz w:val="24"/>
          <w:szCs w:val="24"/>
        </w:rPr>
        <w:t>PC</w:t>
      </w:r>
      <w:proofErr w:type="gramEnd"/>
      <w:r w:rsidR="00802498" w:rsidRPr="00FD3D37">
        <w:rPr>
          <w:rFonts w:ascii="Times New Roman" w:hAnsi="Times New Roman" w:cs="Times New Roman"/>
          <w:b/>
          <w:color w:val="000000"/>
          <w:sz w:val="24"/>
          <w:szCs w:val="24"/>
        </w:rPr>
        <w:t xml:space="preserve"> cementit</w:t>
      </w:r>
      <w:r w:rsidR="00FE138C" w:rsidRPr="00FD3D37">
        <w:rPr>
          <w:rFonts w:ascii="Times New Roman" w:hAnsi="Times New Roman" w:cs="Times New Roman"/>
          <w:b/>
          <w:color w:val="000000"/>
          <w:sz w:val="24"/>
          <w:szCs w:val="24"/>
        </w:rPr>
        <w:t>ious systems containing cerium</w:t>
      </w:r>
      <w:r w:rsidR="00802498" w:rsidRPr="00FD3D37">
        <w:rPr>
          <w:rFonts w:ascii="Times New Roman" w:hAnsi="Times New Roman" w:cs="Times New Roman"/>
          <w:b/>
          <w:color w:val="000000"/>
          <w:sz w:val="24"/>
          <w:szCs w:val="24"/>
        </w:rPr>
        <w:t xml:space="preserve">. </w:t>
      </w:r>
    </w:p>
    <w:p w14:paraId="4D8439D9" w14:textId="5D5C5196" w:rsidR="00917CA9" w:rsidRDefault="00B6346D" w:rsidP="00917CA9">
      <w:pPr>
        <w:pStyle w:val="ListParagraph"/>
        <w:spacing w:line="480" w:lineRule="atLeast"/>
        <w:jc w:val="both"/>
        <w:rPr>
          <w:rFonts w:ascii="Times New Roman" w:eastAsia="Batang" w:hAnsi="Times New Roman" w:cs="Times New Roman"/>
          <w:sz w:val="24"/>
          <w:szCs w:val="24"/>
        </w:rPr>
      </w:pPr>
      <w:r>
        <w:rPr>
          <w:rFonts w:ascii="Times New Roman" w:eastAsia="Batang" w:hAnsi="Times New Roman" w:cs="Times New Roman"/>
          <w:sz w:val="24"/>
          <w:szCs w:val="24"/>
        </w:rPr>
        <w:t>Two</w:t>
      </w:r>
      <w:r w:rsidR="00874BB4" w:rsidRPr="00874BB4">
        <w:rPr>
          <w:rFonts w:ascii="Times New Roman" w:eastAsia="Batang" w:hAnsi="Times New Roman" w:cs="Times New Roman"/>
          <w:sz w:val="24"/>
          <w:szCs w:val="24"/>
        </w:rPr>
        <w:t xml:space="preserve"> ce</w:t>
      </w:r>
      <w:r w:rsidR="00A46BEC">
        <w:rPr>
          <w:rFonts w:ascii="Times New Roman" w:eastAsia="Batang" w:hAnsi="Times New Roman" w:cs="Times New Roman"/>
          <w:sz w:val="24"/>
          <w:szCs w:val="24"/>
        </w:rPr>
        <w:t>ment</w:t>
      </w:r>
      <w:r>
        <w:rPr>
          <w:rFonts w:ascii="Times New Roman" w:eastAsia="Batang" w:hAnsi="Times New Roman" w:cs="Times New Roman"/>
          <w:sz w:val="24"/>
          <w:szCs w:val="24"/>
        </w:rPr>
        <w:t xml:space="preserve"> 9</w:t>
      </w:r>
      <w:r w:rsidRPr="00874BB4">
        <w:rPr>
          <w:rFonts w:ascii="Times New Roman" w:eastAsia="Batang" w:hAnsi="Times New Roman" w:cs="Times New Roman"/>
          <w:sz w:val="24"/>
          <w:szCs w:val="24"/>
        </w:rPr>
        <w:t>:1 BFS</w:t>
      </w:r>
      <w:proofErr w:type="gramStart"/>
      <w:r w:rsidRPr="00874BB4">
        <w:rPr>
          <w:rFonts w:ascii="Times New Roman" w:eastAsia="Batang" w:hAnsi="Times New Roman" w:cs="Times New Roman"/>
          <w:sz w:val="24"/>
          <w:szCs w:val="24"/>
        </w:rPr>
        <w:t>:PC</w:t>
      </w:r>
      <w:proofErr w:type="gramEnd"/>
      <w:r w:rsidR="00A46BEC">
        <w:rPr>
          <w:rFonts w:ascii="Times New Roman" w:eastAsia="Batang" w:hAnsi="Times New Roman" w:cs="Times New Roman"/>
          <w:sz w:val="24"/>
          <w:szCs w:val="24"/>
        </w:rPr>
        <w:t xml:space="preserve"> </w:t>
      </w:r>
      <w:r>
        <w:rPr>
          <w:rFonts w:ascii="Times New Roman" w:eastAsia="Batang" w:hAnsi="Times New Roman" w:cs="Times New Roman"/>
          <w:sz w:val="24"/>
          <w:szCs w:val="24"/>
        </w:rPr>
        <w:t>formulations</w:t>
      </w:r>
      <w:r w:rsidR="00A46BEC">
        <w:rPr>
          <w:rFonts w:ascii="Times New Roman" w:eastAsia="Batang" w:hAnsi="Times New Roman" w:cs="Times New Roman"/>
          <w:sz w:val="24"/>
          <w:szCs w:val="24"/>
        </w:rPr>
        <w:t xml:space="preserve"> were studied</w:t>
      </w:r>
      <w:r w:rsidR="00874BB4" w:rsidRPr="00874BB4">
        <w:rPr>
          <w:rFonts w:ascii="Times New Roman" w:eastAsia="Batang" w:hAnsi="Times New Roman" w:cs="Times New Roman"/>
          <w:sz w:val="24"/>
          <w:szCs w:val="24"/>
        </w:rPr>
        <w:t>, the first contained Ce(NO</w:t>
      </w:r>
      <w:r w:rsidR="00874BB4" w:rsidRPr="00874BB4">
        <w:rPr>
          <w:rFonts w:ascii="Times New Roman" w:eastAsia="Batang" w:hAnsi="Times New Roman" w:cs="Times New Roman"/>
          <w:sz w:val="24"/>
          <w:szCs w:val="24"/>
          <w:vertAlign w:val="subscript"/>
        </w:rPr>
        <w:t>3</w:t>
      </w:r>
      <w:r w:rsidR="00874BB4" w:rsidRPr="00874BB4">
        <w:rPr>
          <w:rFonts w:ascii="Times New Roman" w:eastAsia="Batang" w:hAnsi="Times New Roman" w:cs="Times New Roman"/>
          <w:sz w:val="24"/>
          <w:szCs w:val="24"/>
        </w:rPr>
        <w:t>)</w:t>
      </w:r>
      <w:r w:rsidR="00874BB4" w:rsidRPr="00874BB4">
        <w:rPr>
          <w:rFonts w:ascii="Times New Roman" w:eastAsia="Batang" w:hAnsi="Times New Roman" w:cs="Times New Roman"/>
          <w:sz w:val="24"/>
          <w:szCs w:val="24"/>
          <w:vertAlign w:val="subscript"/>
        </w:rPr>
        <w:t>3</w:t>
      </w:r>
      <w:r w:rsidR="00874BB4" w:rsidRPr="00874BB4">
        <w:rPr>
          <w:rFonts w:ascii="Times New Roman" w:eastAsia="Batang" w:hAnsi="Times New Roman" w:cs="Times New Roman"/>
          <w:sz w:val="24"/>
          <w:szCs w:val="24"/>
        </w:rPr>
        <w:t xml:space="preserve"> while the second contained Ce(NO</w:t>
      </w:r>
      <w:r w:rsidR="00874BB4" w:rsidRPr="00874BB4">
        <w:rPr>
          <w:rFonts w:ascii="Times New Roman" w:eastAsia="Batang" w:hAnsi="Times New Roman" w:cs="Times New Roman"/>
          <w:sz w:val="24"/>
          <w:szCs w:val="24"/>
          <w:vertAlign w:val="subscript"/>
        </w:rPr>
        <w:t>3</w:t>
      </w:r>
      <w:r w:rsidR="00874BB4" w:rsidRPr="00874BB4">
        <w:rPr>
          <w:rFonts w:ascii="Times New Roman" w:eastAsia="Batang" w:hAnsi="Times New Roman" w:cs="Times New Roman"/>
          <w:sz w:val="24"/>
          <w:szCs w:val="24"/>
        </w:rPr>
        <w:t>)</w:t>
      </w:r>
      <w:r w:rsidR="00874BB4" w:rsidRPr="00874BB4">
        <w:rPr>
          <w:rFonts w:ascii="Times New Roman" w:eastAsia="Batang" w:hAnsi="Times New Roman" w:cs="Times New Roman"/>
          <w:sz w:val="24"/>
          <w:szCs w:val="24"/>
          <w:vertAlign w:val="subscript"/>
        </w:rPr>
        <w:t>3</w:t>
      </w:r>
      <w:r w:rsidR="00874BB4" w:rsidRPr="00874BB4">
        <w:rPr>
          <w:rFonts w:ascii="Times New Roman" w:eastAsia="Batang" w:hAnsi="Times New Roman" w:cs="Times New Roman"/>
          <w:sz w:val="24"/>
          <w:szCs w:val="24"/>
        </w:rPr>
        <w:t xml:space="preserve"> and ADVA Cast 551. Both cement samples were leached statically under the same conditions for a period of 28 days. </w:t>
      </w:r>
      <w:r w:rsidR="00874BB4">
        <w:rPr>
          <w:rFonts w:ascii="Times New Roman" w:eastAsia="Batang" w:hAnsi="Times New Roman" w:cs="Times New Roman"/>
          <w:sz w:val="24"/>
          <w:szCs w:val="24"/>
        </w:rPr>
        <w:t>The impact of ADVA Cast 551 on the cement crystal assemblage and cement paste fluidity was also studied. The Ce was used as simulant for Pu and U, a</w:t>
      </w:r>
      <w:r w:rsidR="00C21885">
        <w:rPr>
          <w:rFonts w:ascii="Times New Roman" w:eastAsia="Batang" w:hAnsi="Times New Roman" w:cs="Times New Roman"/>
          <w:sz w:val="24"/>
          <w:szCs w:val="24"/>
        </w:rPr>
        <w:t xml:space="preserve">s </w:t>
      </w:r>
      <w:r w:rsidR="001E68BA">
        <w:rPr>
          <w:rFonts w:ascii="Times New Roman" w:eastAsia="Batang" w:hAnsi="Times New Roman" w:cs="Times New Roman"/>
          <w:sz w:val="24"/>
          <w:szCs w:val="24"/>
        </w:rPr>
        <w:t>they</w:t>
      </w:r>
      <w:r w:rsidR="00816997">
        <w:rPr>
          <w:rFonts w:ascii="Times New Roman" w:eastAsia="Batang" w:hAnsi="Times New Roman" w:cs="Times New Roman"/>
          <w:sz w:val="24"/>
          <w:szCs w:val="24"/>
        </w:rPr>
        <w:t xml:space="preserve"> </w:t>
      </w:r>
      <w:r w:rsidR="00751C5B">
        <w:rPr>
          <w:rFonts w:ascii="Times New Roman" w:eastAsia="Batang" w:hAnsi="Times New Roman" w:cs="Times New Roman"/>
          <w:sz w:val="24"/>
          <w:szCs w:val="24"/>
        </w:rPr>
        <w:t xml:space="preserve">are </w:t>
      </w:r>
      <w:r w:rsidR="00C21885">
        <w:rPr>
          <w:rFonts w:ascii="Times New Roman" w:eastAsia="Batang" w:hAnsi="Times New Roman" w:cs="Times New Roman"/>
          <w:sz w:val="24"/>
          <w:szCs w:val="24"/>
        </w:rPr>
        <w:t>of</w:t>
      </w:r>
      <w:r w:rsidR="00816997">
        <w:rPr>
          <w:rFonts w:ascii="Times New Roman" w:eastAsia="Batang" w:hAnsi="Times New Roman" w:cs="Times New Roman"/>
          <w:sz w:val="24"/>
          <w:szCs w:val="24"/>
        </w:rPr>
        <w:t xml:space="preserve"> </w:t>
      </w:r>
      <w:r w:rsidR="00C21885">
        <w:rPr>
          <w:rFonts w:ascii="Times New Roman" w:eastAsia="Batang" w:hAnsi="Times New Roman" w:cs="Times New Roman"/>
          <w:sz w:val="24"/>
          <w:szCs w:val="24"/>
        </w:rPr>
        <w:t>main concern</w:t>
      </w:r>
      <w:r w:rsidR="00874BB4">
        <w:rPr>
          <w:rFonts w:ascii="Times New Roman" w:eastAsia="Batang" w:hAnsi="Times New Roman" w:cs="Times New Roman"/>
          <w:sz w:val="24"/>
          <w:szCs w:val="24"/>
        </w:rPr>
        <w:t xml:space="preserve"> given how easily complexed they are</w:t>
      </w:r>
      <w:r>
        <w:rPr>
          <w:rFonts w:ascii="Times New Roman" w:eastAsia="Batang" w:hAnsi="Times New Roman" w:cs="Times New Roman"/>
          <w:sz w:val="24"/>
          <w:szCs w:val="24"/>
        </w:rPr>
        <w:t xml:space="preserve"> by superplasticisers</w:t>
      </w:r>
      <w:r w:rsidR="00FB780D">
        <w:rPr>
          <w:rFonts w:ascii="Times New Roman" w:eastAsia="Batang" w:hAnsi="Times New Roman" w:cs="Times New Roman"/>
          <w:sz w:val="24"/>
          <w:szCs w:val="24"/>
        </w:rPr>
        <w:t xml:space="preserve"> [4]</w:t>
      </w:r>
      <w:r w:rsidR="00874BB4">
        <w:rPr>
          <w:rFonts w:ascii="Times New Roman" w:eastAsia="Batang" w:hAnsi="Times New Roman" w:cs="Times New Roman"/>
          <w:sz w:val="24"/>
          <w:szCs w:val="24"/>
        </w:rPr>
        <w:t>.</w:t>
      </w:r>
      <w:r w:rsidR="003A325C">
        <w:rPr>
          <w:rFonts w:ascii="Times New Roman" w:eastAsia="Batang" w:hAnsi="Times New Roman" w:cs="Times New Roman"/>
          <w:sz w:val="24"/>
          <w:szCs w:val="24"/>
        </w:rPr>
        <w:t xml:space="preserve"> Ce was</w:t>
      </w:r>
      <w:r w:rsidR="0072586D">
        <w:rPr>
          <w:rFonts w:ascii="Times New Roman" w:eastAsia="Batang" w:hAnsi="Times New Roman" w:cs="Times New Roman"/>
          <w:sz w:val="24"/>
          <w:szCs w:val="24"/>
        </w:rPr>
        <w:t xml:space="preserve"> chosen</w:t>
      </w:r>
      <w:r w:rsidR="003A325C">
        <w:rPr>
          <w:rFonts w:ascii="Times New Roman" w:eastAsia="Batang" w:hAnsi="Times New Roman" w:cs="Times New Roman"/>
          <w:sz w:val="24"/>
          <w:szCs w:val="24"/>
        </w:rPr>
        <w:t xml:space="preserve"> </w:t>
      </w:r>
      <w:r w:rsidR="007A5764">
        <w:rPr>
          <w:rFonts w:ascii="Times New Roman" w:eastAsia="Batang" w:hAnsi="Times New Roman" w:cs="Times New Roman"/>
          <w:sz w:val="24"/>
          <w:szCs w:val="24"/>
        </w:rPr>
        <w:t>for safety reason, as well as it being more cost efficient</w:t>
      </w:r>
      <w:r w:rsidR="00816997">
        <w:rPr>
          <w:rFonts w:ascii="Times New Roman" w:eastAsia="Batang" w:hAnsi="Times New Roman" w:cs="Times New Roman"/>
          <w:sz w:val="24"/>
          <w:szCs w:val="24"/>
        </w:rPr>
        <w:t xml:space="preserve"> and </w:t>
      </w:r>
      <w:r w:rsidR="003A325C">
        <w:rPr>
          <w:rFonts w:ascii="Times New Roman" w:eastAsia="Batang" w:hAnsi="Times New Roman" w:cs="Times New Roman"/>
          <w:sz w:val="24"/>
          <w:szCs w:val="24"/>
        </w:rPr>
        <w:t xml:space="preserve">due to the similarities in </w:t>
      </w:r>
      <w:r w:rsidR="007A5764">
        <w:rPr>
          <w:rFonts w:ascii="Times New Roman" w:eastAsia="Batang" w:hAnsi="Times New Roman" w:cs="Times New Roman"/>
          <w:sz w:val="24"/>
          <w:szCs w:val="24"/>
        </w:rPr>
        <w:t xml:space="preserve">solubility [5] and </w:t>
      </w:r>
      <w:r w:rsidR="003A325C">
        <w:rPr>
          <w:rFonts w:ascii="Times New Roman" w:eastAsia="Batang" w:hAnsi="Times New Roman" w:cs="Times New Roman"/>
          <w:sz w:val="24"/>
          <w:szCs w:val="24"/>
        </w:rPr>
        <w:t>crystal chemistry</w:t>
      </w:r>
      <w:r w:rsidR="007A5764">
        <w:rPr>
          <w:rFonts w:ascii="Times New Roman" w:eastAsia="Batang" w:hAnsi="Times New Roman" w:cs="Times New Roman"/>
          <w:sz w:val="24"/>
          <w:szCs w:val="24"/>
        </w:rPr>
        <w:t xml:space="preserve"> [6</w:t>
      </w:r>
      <w:r w:rsidR="00CF320A">
        <w:rPr>
          <w:rFonts w:ascii="Times New Roman" w:eastAsia="Batang" w:hAnsi="Times New Roman" w:cs="Times New Roman"/>
          <w:sz w:val="24"/>
          <w:szCs w:val="24"/>
        </w:rPr>
        <w:t>]</w:t>
      </w:r>
      <w:r w:rsidR="003A325C">
        <w:rPr>
          <w:rFonts w:ascii="Times New Roman" w:eastAsia="Batang" w:hAnsi="Times New Roman" w:cs="Times New Roman"/>
          <w:sz w:val="24"/>
          <w:szCs w:val="24"/>
        </w:rPr>
        <w:t xml:space="preserve">. </w:t>
      </w:r>
      <w:r w:rsidR="00816997">
        <w:rPr>
          <w:rFonts w:ascii="Times New Roman" w:eastAsia="Batang" w:hAnsi="Times New Roman" w:cs="Times New Roman"/>
          <w:sz w:val="24"/>
          <w:szCs w:val="24"/>
        </w:rPr>
        <w:t xml:space="preserve">Furthermore the Ce redox couple makes it a </w:t>
      </w:r>
    </w:p>
    <w:p w14:paraId="619688ED" w14:textId="5710A181" w:rsidR="00532536" w:rsidRPr="00532536" w:rsidRDefault="00532536" w:rsidP="00874BB4">
      <w:pPr>
        <w:pStyle w:val="ListParagraph"/>
        <w:spacing w:line="480" w:lineRule="atLeast"/>
        <w:jc w:val="both"/>
        <w:rPr>
          <w:rFonts w:ascii="Times New Roman" w:eastAsia="Batang" w:hAnsi="Times New Roman" w:cs="Times New Roman"/>
          <w:sz w:val="24"/>
          <w:szCs w:val="24"/>
        </w:rPr>
      </w:pPr>
      <w:r>
        <w:rPr>
          <w:rFonts w:ascii="Times New Roman" w:eastAsia="Batang" w:hAnsi="Times New Roman" w:cs="Times New Roman"/>
          <w:sz w:val="24"/>
          <w:szCs w:val="24"/>
        </w:rPr>
        <w:t>Ce</w:t>
      </w:r>
      <w:r>
        <w:rPr>
          <w:rFonts w:ascii="Times New Roman" w:eastAsia="Batang" w:hAnsi="Times New Roman" w:cs="Times New Roman"/>
          <w:sz w:val="24"/>
          <w:szCs w:val="24"/>
          <w:vertAlign w:val="superscript"/>
        </w:rPr>
        <w:t>3</w:t>
      </w:r>
      <w:proofErr w:type="gramStart"/>
      <w:r>
        <w:rPr>
          <w:rFonts w:ascii="Times New Roman" w:eastAsia="Batang" w:hAnsi="Times New Roman" w:cs="Times New Roman"/>
          <w:sz w:val="24"/>
          <w:szCs w:val="24"/>
          <w:vertAlign w:val="superscript"/>
        </w:rPr>
        <w:t xml:space="preserve">+ </w:t>
      </w:r>
      <w:r>
        <w:rPr>
          <w:rFonts w:ascii="Times New Roman" w:eastAsia="Batang" w:hAnsi="Times New Roman" w:cs="Times New Roman"/>
          <w:sz w:val="24"/>
          <w:szCs w:val="24"/>
        </w:rPr>
        <w:t xml:space="preserve"> and</w:t>
      </w:r>
      <w:proofErr w:type="gramEnd"/>
      <w:r>
        <w:rPr>
          <w:rFonts w:ascii="Times New Roman" w:eastAsia="Batang" w:hAnsi="Times New Roman" w:cs="Times New Roman"/>
          <w:sz w:val="24"/>
          <w:szCs w:val="24"/>
        </w:rPr>
        <w:t xml:space="preserve"> Ce </w:t>
      </w:r>
      <w:r>
        <w:rPr>
          <w:rFonts w:ascii="Times New Roman" w:eastAsia="Batang" w:hAnsi="Times New Roman" w:cs="Times New Roman"/>
          <w:sz w:val="24"/>
          <w:szCs w:val="24"/>
          <w:vertAlign w:val="superscript"/>
        </w:rPr>
        <w:t>4+</w:t>
      </w:r>
      <w:r w:rsidR="00917CA9">
        <w:rPr>
          <w:rFonts w:ascii="Times New Roman" w:eastAsia="Batang" w:hAnsi="Times New Roman" w:cs="Times New Roman"/>
          <w:sz w:val="24"/>
          <w:szCs w:val="24"/>
        </w:rPr>
        <w:t xml:space="preserve"> are</w:t>
      </w:r>
      <w:r>
        <w:rPr>
          <w:rFonts w:ascii="Times New Roman" w:eastAsia="Batang" w:hAnsi="Times New Roman" w:cs="Times New Roman"/>
          <w:sz w:val="24"/>
          <w:szCs w:val="24"/>
        </w:rPr>
        <w:t xml:space="preserve"> similar to Pu3+ and Pu4+</w:t>
      </w:r>
      <w:r w:rsidR="00816997">
        <w:rPr>
          <w:rFonts w:ascii="Times New Roman" w:eastAsia="Batang" w:hAnsi="Times New Roman" w:cs="Times New Roman"/>
          <w:sz w:val="24"/>
          <w:szCs w:val="24"/>
        </w:rPr>
        <w:t xml:space="preserve"> for </w:t>
      </w:r>
      <w:r w:rsidR="0018608F">
        <w:rPr>
          <w:rFonts w:ascii="Times New Roman" w:eastAsia="Batang" w:hAnsi="Times New Roman" w:cs="Times New Roman"/>
          <w:sz w:val="24"/>
          <w:szCs w:val="24"/>
        </w:rPr>
        <w:t>example</w:t>
      </w:r>
      <w:r>
        <w:rPr>
          <w:rFonts w:ascii="Times New Roman" w:eastAsia="Batang" w:hAnsi="Times New Roman" w:cs="Times New Roman"/>
          <w:sz w:val="24"/>
          <w:szCs w:val="24"/>
        </w:rPr>
        <w:t xml:space="preserve"> </w:t>
      </w:r>
      <w:r w:rsidR="002E5DAA">
        <w:rPr>
          <w:rFonts w:ascii="Times New Roman" w:eastAsia="Batang" w:hAnsi="Times New Roman" w:cs="Times New Roman"/>
          <w:sz w:val="24"/>
          <w:szCs w:val="24"/>
        </w:rPr>
        <w:t xml:space="preserve"> the radii of Ce</w:t>
      </w:r>
      <w:r w:rsidR="002E5DAA" w:rsidRPr="00751C5B">
        <w:rPr>
          <w:rFonts w:ascii="Times New Roman" w:eastAsia="Batang" w:hAnsi="Times New Roman" w:cs="Times New Roman"/>
          <w:sz w:val="24"/>
          <w:szCs w:val="24"/>
          <w:vertAlign w:val="superscript"/>
        </w:rPr>
        <w:t xml:space="preserve">4+ </w:t>
      </w:r>
      <w:r w:rsidR="002E5DAA">
        <w:rPr>
          <w:rFonts w:ascii="Times New Roman" w:eastAsia="Batang" w:hAnsi="Times New Roman" w:cs="Times New Roman"/>
          <w:sz w:val="24"/>
          <w:szCs w:val="24"/>
        </w:rPr>
        <w:t>and Pu</w:t>
      </w:r>
      <w:r w:rsidR="002E5DAA" w:rsidRPr="00751C5B">
        <w:rPr>
          <w:rFonts w:ascii="Times New Roman" w:eastAsia="Batang" w:hAnsi="Times New Roman" w:cs="Times New Roman"/>
          <w:sz w:val="24"/>
          <w:szCs w:val="24"/>
          <w:vertAlign w:val="superscript"/>
        </w:rPr>
        <w:t>4</w:t>
      </w:r>
      <w:r w:rsidR="00C94BDC" w:rsidRPr="00751C5B">
        <w:rPr>
          <w:rFonts w:ascii="Times New Roman" w:eastAsia="Batang" w:hAnsi="Times New Roman" w:cs="Times New Roman"/>
          <w:sz w:val="24"/>
          <w:szCs w:val="24"/>
          <w:vertAlign w:val="superscript"/>
        </w:rPr>
        <w:t>+</w:t>
      </w:r>
      <w:r w:rsidR="002E5DAA">
        <w:rPr>
          <w:rFonts w:ascii="Times New Roman" w:eastAsia="Batang" w:hAnsi="Times New Roman" w:cs="Times New Roman"/>
          <w:sz w:val="24"/>
          <w:szCs w:val="24"/>
        </w:rPr>
        <w:t>_ are 1.11 and 1.10 respectively</w:t>
      </w:r>
      <w:r w:rsidR="00C94BDC">
        <w:rPr>
          <w:rFonts w:ascii="Times New Roman" w:eastAsia="Batang" w:hAnsi="Times New Roman" w:cs="Times New Roman"/>
          <w:sz w:val="24"/>
          <w:szCs w:val="24"/>
        </w:rPr>
        <w:t xml:space="preserve"> [7</w:t>
      </w:r>
      <w:r w:rsidR="002E5DAA">
        <w:rPr>
          <w:rFonts w:ascii="Times New Roman" w:eastAsia="Batang" w:hAnsi="Times New Roman" w:cs="Times New Roman"/>
          <w:sz w:val="24"/>
          <w:szCs w:val="24"/>
        </w:rPr>
        <w:t>]</w:t>
      </w:r>
      <w:r w:rsidR="00816997">
        <w:rPr>
          <w:rFonts w:ascii="Times New Roman" w:eastAsia="Batang" w:hAnsi="Times New Roman" w:cs="Times New Roman"/>
          <w:sz w:val="24"/>
          <w:szCs w:val="24"/>
        </w:rPr>
        <w:t>.</w:t>
      </w:r>
    </w:p>
    <w:p w14:paraId="58870D9F" w14:textId="3262725D" w:rsidR="00B6346D" w:rsidRPr="001A21CE" w:rsidRDefault="00874BB4" w:rsidP="00802498">
      <w:pPr>
        <w:pStyle w:val="ListParagraph"/>
        <w:spacing w:line="480" w:lineRule="atLeast"/>
        <w:jc w:val="both"/>
        <w:rPr>
          <w:rFonts w:ascii="Times New Roman" w:eastAsia="Batang" w:hAnsi="Times New Roman" w:cs="Times New Roman"/>
          <w:sz w:val="24"/>
          <w:szCs w:val="24"/>
        </w:rPr>
      </w:pPr>
      <w:r>
        <w:rPr>
          <w:rFonts w:ascii="Times New Roman" w:eastAsia="Batang" w:hAnsi="Times New Roman" w:cs="Times New Roman"/>
          <w:sz w:val="24"/>
          <w:szCs w:val="24"/>
        </w:rPr>
        <w:t xml:space="preserve">In proposed storage conditions the leached solution would come into contact with a cement backfill. </w:t>
      </w:r>
      <w:r w:rsidR="00B6346D">
        <w:rPr>
          <w:rFonts w:ascii="Times New Roman" w:eastAsia="Batang" w:hAnsi="Times New Roman" w:cs="Times New Roman"/>
          <w:sz w:val="24"/>
          <w:szCs w:val="24"/>
        </w:rPr>
        <w:t xml:space="preserve">NRVB was used and the credibility of this cement as a barrier for </w:t>
      </w:r>
      <w:r w:rsidR="0018608F">
        <w:rPr>
          <w:rFonts w:ascii="Times New Roman" w:eastAsia="Batang" w:hAnsi="Times New Roman" w:cs="Times New Roman"/>
          <w:sz w:val="24"/>
          <w:szCs w:val="24"/>
        </w:rPr>
        <w:t>release</w:t>
      </w:r>
      <w:r w:rsidR="00B6346D">
        <w:rPr>
          <w:rFonts w:ascii="Times New Roman" w:eastAsia="Batang" w:hAnsi="Times New Roman" w:cs="Times New Roman"/>
          <w:sz w:val="24"/>
          <w:szCs w:val="24"/>
        </w:rPr>
        <w:t xml:space="preserve"> of the leached complexed Ce was studied. A</w:t>
      </w:r>
      <w:r w:rsidR="00802498" w:rsidRPr="007D48D7">
        <w:rPr>
          <w:rFonts w:ascii="Times New Roman" w:eastAsia="Batang" w:hAnsi="Times New Roman" w:cs="Times New Roman"/>
          <w:sz w:val="24"/>
          <w:szCs w:val="24"/>
        </w:rPr>
        <w:t xml:space="preserve"> flow through leaching test </w:t>
      </w:r>
      <w:r w:rsidR="00B6346D">
        <w:rPr>
          <w:rFonts w:ascii="Times New Roman" w:eastAsia="Batang" w:hAnsi="Times New Roman" w:cs="Times New Roman"/>
          <w:sz w:val="24"/>
          <w:szCs w:val="24"/>
        </w:rPr>
        <w:t>was</w:t>
      </w:r>
      <w:r w:rsidR="00802498">
        <w:rPr>
          <w:rFonts w:ascii="Times New Roman" w:eastAsia="Batang" w:hAnsi="Times New Roman" w:cs="Times New Roman"/>
          <w:sz w:val="24"/>
          <w:szCs w:val="24"/>
        </w:rPr>
        <w:t xml:space="preserve"> </w:t>
      </w:r>
      <w:r w:rsidR="00802498" w:rsidRPr="007D48D7">
        <w:rPr>
          <w:rFonts w:ascii="Times New Roman" w:eastAsia="Batang" w:hAnsi="Times New Roman" w:cs="Times New Roman"/>
          <w:sz w:val="24"/>
          <w:szCs w:val="24"/>
        </w:rPr>
        <w:t xml:space="preserve">set up using NRVB cement samples and run for 28 days. Two solutions </w:t>
      </w:r>
      <w:r w:rsidR="00802498">
        <w:rPr>
          <w:rFonts w:ascii="Times New Roman" w:eastAsia="Batang" w:hAnsi="Times New Roman" w:cs="Times New Roman"/>
          <w:sz w:val="24"/>
          <w:szCs w:val="24"/>
        </w:rPr>
        <w:t>were</w:t>
      </w:r>
      <w:r w:rsidR="00802498" w:rsidRPr="007D48D7">
        <w:rPr>
          <w:rFonts w:ascii="Times New Roman" w:eastAsia="Batang" w:hAnsi="Times New Roman" w:cs="Times New Roman"/>
          <w:sz w:val="24"/>
          <w:szCs w:val="24"/>
        </w:rPr>
        <w:t xml:space="preserve"> </w:t>
      </w:r>
      <w:r w:rsidR="00802498">
        <w:rPr>
          <w:rFonts w:ascii="Times New Roman" w:eastAsia="Batang" w:hAnsi="Times New Roman" w:cs="Times New Roman"/>
          <w:sz w:val="24"/>
          <w:szCs w:val="24"/>
        </w:rPr>
        <w:t xml:space="preserve">synthesised separately and used in this test, the first </w:t>
      </w:r>
      <w:r w:rsidR="00802498" w:rsidRPr="007D48D7">
        <w:rPr>
          <w:rFonts w:ascii="Times New Roman" w:eastAsia="Batang" w:hAnsi="Times New Roman" w:cs="Times New Roman"/>
          <w:sz w:val="24"/>
          <w:szCs w:val="24"/>
        </w:rPr>
        <w:t xml:space="preserve">containing only </w:t>
      </w:r>
      <w:proofErr w:type="gramStart"/>
      <w:r w:rsidR="00802498" w:rsidRPr="007D48D7">
        <w:rPr>
          <w:rFonts w:ascii="Times New Roman" w:eastAsia="Batang" w:hAnsi="Times New Roman" w:cs="Times New Roman"/>
          <w:sz w:val="24"/>
          <w:szCs w:val="24"/>
        </w:rPr>
        <w:t>Ce(</w:t>
      </w:r>
      <w:proofErr w:type="gramEnd"/>
      <w:r w:rsidR="00802498" w:rsidRPr="007D48D7">
        <w:rPr>
          <w:rFonts w:ascii="Times New Roman" w:eastAsia="Batang" w:hAnsi="Times New Roman" w:cs="Times New Roman"/>
          <w:sz w:val="24"/>
          <w:szCs w:val="24"/>
        </w:rPr>
        <w:t>NO</w:t>
      </w:r>
      <w:r w:rsidR="00802498" w:rsidRPr="007D48D7">
        <w:rPr>
          <w:rFonts w:ascii="Times New Roman" w:eastAsia="Batang" w:hAnsi="Times New Roman" w:cs="Times New Roman"/>
          <w:sz w:val="24"/>
          <w:szCs w:val="24"/>
          <w:vertAlign w:val="subscript"/>
        </w:rPr>
        <w:t>3</w:t>
      </w:r>
      <w:r w:rsidR="00802498" w:rsidRPr="007D48D7">
        <w:rPr>
          <w:rFonts w:ascii="Times New Roman" w:eastAsia="Batang" w:hAnsi="Times New Roman" w:cs="Times New Roman"/>
          <w:sz w:val="24"/>
          <w:szCs w:val="24"/>
        </w:rPr>
        <w:t>)</w:t>
      </w:r>
      <w:r w:rsidR="00802498" w:rsidRPr="007D48D7">
        <w:rPr>
          <w:rFonts w:ascii="Times New Roman" w:eastAsia="Batang" w:hAnsi="Times New Roman" w:cs="Times New Roman"/>
          <w:sz w:val="24"/>
          <w:szCs w:val="24"/>
          <w:vertAlign w:val="subscript"/>
        </w:rPr>
        <w:t>3</w:t>
      </w:r>
      <w:r w:rsidR="00802498" w:rsidRPr="007D48D7">
        <w:rPr>
          <w:rFonts w:ascii="Times New Roman" w:eastAsia="Batang" w:hAnsi="Times New Roman" w:cs="Times New Roman"/>
          <w:sz w:val="24"/>
          <w:szCs w:val="24"/>
        </w:rPr>
        <w:t xml:space="preserve"> and the other containing both ADVA cast 551 and Ce(NO</w:t>
      </w:r>
      <w:r w:rsidR="00802498" w:rsidRPr="007D48D7">
        <w:rPr>
          <w:rFonts w:ascii="Times New Roman" w:eastAsia="Batang" w:hAnsi="Times New Roman" w:cs="Times New Roman"/>
          <w:sz w:val="24"/>
          <w:szCs w:val="24"/>
          <w:vertAlign w:val="subscript"/>
        </w:rPr>
        <w:t>3</w:t>
      </w:r>
      <w:r w:rsidR="00802498" w:rsidRPr="007D48D7">
        <w:rPr>
          <w:rFonts w:ascii="Times New Roman" w:eastAsia="Batang" w:hAnsi="Times New Roman" w:cs="Times New Roman"/>
          <w:sz w:val="24"/>
          <w:szCs w:val="24"/>
        </w:rPr>
        <w:t>)</w:t>
      </w:r>
      <w:r w:rsidR="00802498" w:rsidRPr="007D48D7">
        <w:rPr>
          <w:rFonts w:ascii="Times New Roman" w:eastAsia="Batang" w:hAnsi="Times New Roman" w:cs="Times New Roman"/>
          <w:sz w:val="24"/>
          <w:szCs w:val="24"/>
          <w:vertAlign w:val="subscript"/>
        </w:rPr>
        <w:t>3</w:t>
      </w:r>
      <w:r w:rsidR="00802498">
        <w:rPr>
          <w:rFonts w:ascii="Times New Roman" w:eastAsia="Batang" w:hAnsi="Times New Roman" w:cs="Times New Roman"/>
          <w:sz w:val="24"/>
          <w:szCs w:val="24"/>
        </w:rPr>
        <w:t>.</w:t>
      </w:r>
    </w:p>
    <w:p w14:paraId="695CE7DB" w14:textId="77777777" w:rsidR="003D5839" w:rsidRDefault="003D5839" w:rsidP="003C5C4D">
      <w:pPr>
        <w:contextualSpacing/>
        <w:jc w:val="center"/>
        <w:rPr>
          <w:rFonts w:ascii="Times New Roman" w:hAnsi="Times New Roman" w:cs="Times New Roman"/>
          <w:bCs/>
          <w:smallCaps/>
          <w:sz w:val="48"/>
          <w:szCs w:val="28"/>
        </w:rPr>
      </w:pPr>
    </w:p>
    <w:p w14:paraId="2C37A755" w14:textId="77777777" w:rsidR="003D5839" w:rsidRDefault="003D5839" w:rsidP="003C5C4D">
      <w:pPr>
        <w:contextualSpacing/>
        <w:jc w:val="center"/>
        <w:rPr>
          <w:rFonts w:ascii="Times New Roman" w:hAnsi="Times New Roman" w:cs="Times New Roman"/>
          <w:bCs/>
          <w:smallCaps/>
          <w:sz w:val="48"/>
          <w:szCs w:val="28"/>
        </w:rPr>
      </w:pPr>
    </w:p>
    <w:p w14:paraId="59A7F806" w14:textId="77777777" w:rsidR="003D5839" w:rsidRDefault="003D5839" w:rsidP="003C5C4D">
      <w:pPr>
        <w:contextualSpacing/>
        <w:jc w:val="center"/>
        <w:rPr>
          <w:rFonts w:ascii="Times New Roman" w:hAnsi="Times New Roman" w:cs="Times New Roman"/>
          <w:bCs/>
          <w:smallCaps/>
          <w:sz w:val="48"/>
          <w:szCs w:val="28"/>
        </w:rPr>
      </w:pPr>
    </w:p>
    <w:p w14:paraId="2DB89045" w14:textId="77777777" w:rsidR="00FD3D37" w:rsidRDefault="00FD3D37" w:rsidP="003C5C4D">
      <w:pPr>
        <w:contextualSpacing/>
        <w:jc w:val="center"/>
        <w:rPr>
          <w:rFonts w:ascii="Times New Roman" w:hAnsi="Times New Roman" w:cs="Times New Roman"/>
          <w:bCs/>
          <w:smallCaps/>
          <w:sz w:val="48"/>
          <w:szCs w:val="28"/>
        </w:rPr>
      </w:pPr>
    </w:p>
    <w:p w14:paraId="1C837BD0" w14:textId="77777777" w:rsidR="00FD3D37" w:rsidRDefault="00FD3D37" w:rsidP="003C5C4D">
      <w:pPr>
        <w:contextualSpacing/>
        <w:jc w:val="center"/>
        <w:rPr>
          <w:rFonts w:ascii="Times New Roman" w:hAnsi="Times New Roman" w:cs="Times New Roman"/>
          <w:bCs/>
          <w:smallCaps/>
          <w:sz w:val="48"/>
          <w:szCs w:val="28"/>
        </w:rPr>
      </w:pPr>
    </w:p>
    <w:p w14:paraId="7B319EBE" w14:textId="77777777" w:rsidR="00FD3D37" w:rsidRDefault="00FD3D37" w:rsidP="003C5C4D">
      <w:pPr>
        <w:contextualSpacing/>
        <w:jc w:val="center"/>
        <w:rPr>
          <w:rFonts w:ascii="Times New Roman" w:hAnsi="Times New Roman" w:cs="Times New Roman"/>
          <w:bCs/>
          <w:smallCaps/>
          <w:sz w:val="48"/>
          <w:szCs w:val="28"/>
        </w:rPr>
      </w:pPr>
    </w:p>
    <w:p w14:paraId="39A3EA77" w14:textId="77777777" w:rsidR="00FD3D37" w:rsidRDefault="00FD3D37" w:rsidP="003C5C4D">
      <w:pPr>
        <w:contextualSpacing/>
        <w:jc w:val="center"/>
        <w:rPr>
          <w:rFonts w:ascii="Times New Roman" w:hAnsi="Times New Roman" w:cs="Times New Roman"/>
          <w:bCs/>
          <w:smallCaps/>
          <w:sz w:val="48"/>
          <w:szCs w:val="28"/>
        </w:rPr>
      </w:pPr>
    </w:p>
    <w:p w14:paraId="241249EB" w14:textId="77777777" w:rsidR="005E06E0" w:rsidRDefault="005E06E0" w:rsidP="003C5C4D">
      <w:pPr>
        <w:contextualSpacing/>
        <w:jc w:val="center"/>
        <w:rPr>
          <w:rFonts w:ascii="Times New Roman" w:hAnsi="Times New Roman" w:cs="Times New Roman"/>
          <w:bCs/>
          <w:smallCaps/>
          <w:sz w:val="48"/>
          <w:szCs w:val="28"/>
        </w:rPr>
      </w:pPr>
    </w:p>
    <w:p w14:paraId="183E85D9" w14:textId="77777777" w:rsidR="00802498" w:rsidRDefault="00802498" w:rsidP="003D5839">
      <w:pPr>
        <w:pBdr>
          <w:top w:val="single" w:sz="4" w:space="1" w:color="auto"/>
          <w:bottom w:val="single" w:sz="4" w:space="1" w:color="auto"/>
        </w:pBdr>
        <w:contextualSpacing/>
        <w:jc w:val="center"/>
        <w:rPr>
          <w:rFonts w:ascii="Times New Roman" w:hAnsi="Times New Roman" w:cs="Times New Roman"/>
          <w:bCs/>
          <w:smallCaps/>
          <w:sz w:val="48"/>
          <w:szCs w:val="28"/>
        </w:rPr>
      </w:pPr>
      <w:r w:rsidRPr="00C51F12">
        <w:rPr>
          <w:rFonts w:ascii="Times New Roman" w:hAnsi="Times New Roman" w:cs="Times New Roman"/>
          <w:bCs/>
          <w:smallCaps/>
          <w:sz w:val="48"/>
          <w:szCs w:val="28"/>
        </w:rPr>
        <w:lastRenderedPageBreak/>
        <w:t>References</w:t>
      </w:r>
    </w:p>
    <w:p w14:paraId="31A18470" w14:textId="77777777" w:rsidR="00802498" w:rsidRPr="00C51F12" w:rsidRDefault="00802498" w:rsidP="003D5839">
      <w:pPr>
        <w:pBdr>
          <w:top w:val="single" w:sz="4" w:space="1" w:color="auto"/>
          <w:bottom w:val="single" w:sz="4" w:space="1" w:color="auto"/>
        </w:pBdr>
        <w:contextualSpacing/>
        <w:jc w:val="center"/>
        <w:rPr>
          <w:rFonts w:ascii="Times New Roman" w:hAnsi="Times New Roman" w:cs="Times New Roman"/>
          <w:b/>
          <w:bCs/>
          <w:smallCaps/>
          <w:sz w:val="28"/>
          <w:szCs w:val="28"/>
        </w:rPr>
      </w:pPr>
      <w:r>
        <w:rPr>
          <w:rFonts w:ascii="Times New Roman" w:hAnsi="Times New Roman" w:cs="Times New Roman"/>
          <w:sz w:val="28"/>
          <w:szCs w:val="28"/>
        </w:rPr>
        <w:t>Chapter 1: Introduction</w:t>
      </w:r>
      <w:r>
        <w:rPr>
          <w:rFonts w:ascii="Times New Roman" w:hAnsi="Times New Roman" w:cs="Times New Roman"/>
          <w:b/>
          <w:bCs/>
          <w:smallCaps/>
          <w:sz w:val="28"/>
          <w:szCs w:val="28"/>
        </w:rPr>
        <w:br/>
      </w:r>
    </w:p>
    <w:p w14:paraId="1C6295C8" w14:textId="77777777" w:rsidR="00802498" w:rsidRDefault="00802498" w:rsidP="00802498">
      <w:pPr>
        <w:spacing w:before="100" w:beforeAutospacing="1" w:after="100" w:afterAutospacing="1"/>
        <w:ind w:left="720" w:hanging="720"/>
        <w:jc w:val="both"/>
        <w:rPr>
          <w:rFonts w:ascii="Times New Roman" w:hAnsi="Times New Roman" w:cs="Times New Roman"/>
        </w:rPr>
      </w:pPr>
      <w:r w:rsidRPr="00A03D0A">
        <w:rPr>
          <w:rFonts w:ascii="Times New Roman" w:hAnsi="Times New Roman" w:cs="Times New Roman"/>
        </w:rPr>
        <w:t>[1]</w:t>
      </w:r>
      <w:r w:rsidRPr="00A03D0A">
        <w:rPr>
          <w:rFonts w:ascii="Times New Roman" w:hAnsi="Times New Roman" w:cs="Times New Roman"/>
        </w:rPr>
        <w:tab/>
      </w:r>
      <w:proofErr w:type="gramStart"/>
      <w:r>
        <w:rPr>
          <w:rFonts w:ascii="Times New Roman" w:hAnsi="Times New Roman" w:cs="Times New Roman"/>
        </w:rPr>
        <w:t>Ojovan, M. and Lee.</w:t>
      </w:r>
      <w:proofErr w:type="gramEnd"/>
      <w:r>
        <w:rPr>
          <w:rFonts w:ascii="Times New Roman" w:hAnsi="Times New Roman" w:cs="Times New Roman"/>
        </w:rPr>
        <w:t xml:space="preserve"> </w:t>
      </w:r>
      <w:proofErr w:type="gramStart"/>
      <w:r>
        <w:rPr>
          <w:rFonts w:ascii="Times New Roman" w:hAnsi="Times New Roman" w:cs="Times New Roman"/>
        </w:rPr>
        <w:t>W.E. (2005) Immobilisation of Radioactive Waste in Cement.</w:t>
      </w:r>
      <w:proofErr w:type="gramEnd"/>
      <w:r>
        <w:rPr>
          <w:rFonts w:ascii="Times New Roman" w:hAnsi="Times New Roman" w:cs="Times New Roman"/>
        </w:rPr>
        <w:t xml:space="preserve"> </w:t>
      </w:r>
      <w:proofErr w:type="gramStart"/>
      <w:r>
        <w:rPr>
          <w:rFonts w:ascii="Times New Roman" w:hAnsi="Times New Roman" w:cs="Times New Roman"/>
          <w:i/>
        </w:rPr>
        <w:t>An Introduction to Nuclear Waste Immobilisation</w:t>
      </w:r>
      <w:r>
        <w:rPr>
          <w:rFonts w:ascii="Times New Roman" w:hAnsi="Times New Roman" w:cs="Times New Roman"/>
        </w:rPr>
        <w:t>.</w:t>
      </w:r>
      <w:proofErr w:type="gramEnd"/>
      <w:r>
        <w:rPr>
          <w:rFonts w:ascii="Times New Roman" w:hAnsi="Times New Roman" w:cs="Times New Roman"/>
        </w:rPr>
        <w:t xml:space="preserve"> Oxford, Elsevier. 179-199.</w:t>
      </w:r>
    </w:p>
    <w:p w14:paraId="0D18CC03" w14:textId="622F3F3D" w:rsidR="00802498" w:rsidRDefault="00802498" w:rsidP="00802498">
      <w:pPr>
        <w:spacing w:before="100" w:beforeAutospacing="1" w:after="100" w:afterAutospacing="1"/>
        <w:ind w:left="720" w:hanging="720"/>
        <w:jc w:val="both"/>
        <w:rPr>
          <w:rFonts w:ascii="Times New Roman" w:hAnsi="Times New Roman" w:cs="Times New Roman"/>
          <w:b/>
        </w:rPr>
      </w:pPr>
      <w:r>
        <w:rPr>
          <w:rFonts w:ascii="Times New Roman" w:hAnsi="Times New Roman" w:cs="Times New Roman"/>
        </w:rPr>
        <w:t>[2]</w:t>
      </w:r>
      <w:r>
        <w:rPr>
          <w:rFonts w:ascii="Times New Roman" w:hAnsi="Times New Roman" w:cs="Times New Roman"/>
        </w:rPr>
        <w:tab/>
        <w:t xml:space="preserve">Saito, H. and Sunao N. (1999) Comparison between diffusion test and electrochemical acceleration test for leaching of cement hydration products, </w:t>
      </w:r>
      <w:r>
        <w:rPr>
          <w:rFonts w:ascii="Times New Roman" w:hAnsi="Times New Roman" w:cs="Times New Roman"/>
          <w:i/>
        </w:rPr>
        <w:t xml:space="preserve">ACI Materials Journal. </w:t>
      </w:r>
      <w:r>
        <w:rPr>
          <w:rFonts w:ascii="Times New Roman" w:hAnsi="Times New Roman" w:cs="Times New Roman"/>
          <w:b/>
        </w:rPr>
        <w:t>96</w:t>
      </w:r>
    </w:p>
    <w:p w14:paraId="702D99D4" w14:textId="582DBAAB" w:rsidR="00946878" w:rsidRPr="000C6247" w:rsidRDefault="00946878" w:rsidP="000C6247">
      <w:pPr>
        <w:spacing w:before="100" w:beforeAutospacing="1" w:after="100" w:afterAutospacing="1"/>
        <w:ind w:left="720" w:hanging="720"/>
        <w:jc w:val="both"/>
        <w:rPr>
          <w:rFonts w:ascii="Times New Roman" w:hAnsi="Times New Roman" w:cs="Times New Roman"/>
        </w:rPr>
      </w:pPr>
      <w:r w:rsidRPr="000C6247">
        <w:rPr>
          <w:rFonts w:ascii="Times New Roman" w:hAnsi="Times New Roman" w:cs="Times New Roman"/>
        </w:rPr>
        <w:t>[3]</w:t>
      </w:r>
      <w:r w:rsidRPr="000C6247">
        <w:rPr>
          <w:rFonts w:ascii="Times New Roman" w:hAnsi="Times New Roman" w:cs="Times New Roman"/>
        </w:rPr>
        <w:tab/>
      </w:r>
      <w:r w:rsidR="000C6247">
        <w:rPr>
          <w:rFonts w:ascii="Times New Roman" w:hAnsi="Times New Roman" w:cs="Times New Roman"/>
        </w:rPr>
        <w:t xml:space="preserve">Evans, N.D.M. (2008) Binding mechanisms of radionuclides to cement, </w:t>
      </w:r>
      <w:r w:rsidR="000C6247">
        <w:rPr>
          <w:rFonts w:ascii="Times New Roman" w:hAnsi="Times New Roman" w:cs="Times New Roman"/>
          <w:i/>
        </w:rPr>
        <w:t xml:space="preserve">Cement and Concrete research, </w:t>
      </w:r>
      <w:r w:rsidR="000C6247">
        <w:rPr>
          <w:rFonts w:ascii="Times New Roman" w:hAnsi="Times New Roman" w:cs="Times New Roman"/>
          <w:b/>
        </w:rPr>
        <w:t>38</w:t>
      </w:r>
      <w:r w:rsidR="000C6247">
        <w:rPr>
          <w:rFonts w:ascii="Times New Roman" w:hAnsi="Times New Roman" w:cs="Times New Roman"/>
        </w:rPr>
        <w:t>, 543-553</w:t>
      </w:r>
    </w:p>
    <w:p w14:paraId="07FCCB5A" w14:textId="77777777" w:rsidR="007A5764" w:rsidRDefault="0032609C" w:rsidP="00802498">
      <w:pPr>
        <w:spacing w:before="100" w:beforeAutospacing="1" w:after="100" w:afterAutospacing="1" w:line="300" w:lineRule="atLeast"/>
        <w:ind w:left="720" w:hanging="720"/>
        <w:rPr>
          <w:rFonts w:ascii="Times New Roman" w:hAnsi="Times New Roman" w:cs="Times New Roman"/>
        </w:rPr>
      </w:pPr>
      <w:r>
        <w:rPr>
          <w:rFonts w:ascii="Times New Roman" w:hAnsi="Times New Roman" w:cs="Times New Roman"/>
        </w:rPr>
        <w:t>[4</w:t>
      </w:r>
      <w:r w:rsidR="00802498" w:rsidRPr="00A03D0A">
        <w:rPr>
          <w:rFonts w:ascii="Times New Roman" w:hAnsi="Times New Roman" w:cs="Times New Roman"/>
        </w:rPr>
        <w:t>]</w:t>
      </w:r>
      <w:r w:rsidR="00802498">
        <w:rPr>
          <w:rFonts w:ascii="Times New Roman" w:hAnsi="Times New Roman" w:cs="Times New Roman"/>
          <w:b/>
        </w:rPr>
        <w:tab/>
      </w:r>
      <w:r w:rsidR="00802498">
        <w:rPr>
          <w:rFonts w:ascii="Times New Roman" w:hAnsi="Times New Roman" w:cs="Times New Roman"/>
        </w:rPr>
        <w:t xml:space="preserve">Hayes, M., Angus, M., Garland, R. (2012) Current status paper on the potential use of Superplasticisers in a Geological Disposal Facility, </w:t>
      </w:r>
      <w:r w:rsidR="00802498">
        <w:rPr>
          <w:rFonts w:ascii="Times New Roman" w:hAnsi="Times New Roman" w:cs="Times New Roman"/>
          <w:i/>
        </w:rPr>
        <w:t xml:space="preserve">National Nuclear Laboratory. </w:t>
      </w:r>
      <w:proofErr w:type="gramStart"/>
      <w:r w:rsidR="00802498">
        <w:rPr>
          <w:rFonts w:ascii="Times New Roman" w:hAnsi="Times New Roman" w:cs="Times New Roman"/>
          <w:b/>
        </w:rPr>
        <w:t xml:space="preserve">12, </w:t>
      </w:r>
      <w:r w:rsidR="00802498">
        <w:rPr>
          <w:rFonts w:ascii="Times New Roman" w:hAnsi="Times New Roman" w:cs="Times New Roman"/>
        </w:rPr>
        <w:t>14-15.</w:t>
      </w:r>
      <w:proofErr w:type="gramEnd"/>
      <w:r w:rsidR="007A5764" w:rsidRPr="007A5764">
        <w:rPr>
          <w:rFonts w:ascii="Times New Roman" w:hAnsi="Times New Roman" w:cs="Times New Roman"/>
        </w:rPr>
        <w:t xml:space="preserve"> </w:t>
      </w:r>
    </w:p>
    <w:p w14:paraId="0B5744F8" w14:textId="20E4E399" w:rsidR="00802498" w:rsidRPr="001B698B" w:rsidRDefault="007A5764" w:rsidP="00802498">
      <w:pPr>
        <w:spacing w:before="100" w:beforeAutospacing="1" w:after="100" w:afterAutospacing="1" w:line="300" w:lineRule="atLeast"/>
        <w:ind w:left="720" w:hanging="720"/>
        <w:rPr>
          <w:rFonts w:ascii="Times New Roman" w:hAnsi="Times New Roman" w:cs="Times New Roman"/>
        </w:rPr>
      </w:pPr>
      <w:r>
        <w:rPr>
          <w:rFonts w:ascii="Times New Roman" w:hAnsi="Times New Roman" w:cs="Times New Roman"/>
        </w:rPr>
        <w:t>[5]</w:t>
      </w:r>
      <w:r w:rsidR="001B698B">
        <w:rPr>
          <w:rFonts w:ascii="Times New Roman" w:hAnsi="Times New Roman" w:cs="Times New Roman"/>
        </w:rPr>
        <w:tab/>
        <w:t xml:space="preserve">Hyatt, N.C., Schwarz, R.R., Bingham, P.A., Stennett, M.C., Corkhill, C.L. (2104) </w:t>
      </w:r>
      <w:r w:rsidRPr="00D862D2">
        <w:rPr>
          <w:rFonts w:ascii="Times New Roman" w:hAnsi="Times New Roman" w:cs="Times New Roman"/>
        </w:rPr>
        <w:t>Thermal treatment of simulant plutonium contaminated materials from the Sellafield site by vitrification in a blast-furnace slag</w:t>
      </w:r>
      <w:r w:rsidR="001B698B">
        <w:rPr>
          <w:rFonts w:ascii="Times New Roman" w:hAnsi="Times New Roman" w:cs="Times New Roman"/>
        </w:rPr>
        <w:t xml:space="preserve">, </w:t>
      </w:r>
      <w:r w:rsidR="001B698B">
        <w:rPr>
          <w:rFonts w:ascii="Times New Roman" w:hAnsi="Times New Roman" w:cs="Times New Roman"/>
          <w:i/>
        </w:rPr>
        <w:t xml:space="preserve">Journal of Nuclear Materials, </w:t>
      </w:r>
      <w:r w:rsidR="001B698B">
        <w:rPr>
          <w:rFonts w:ascii="Times New Roman" w:hAnsi="Times New Roman" w:cs="Times New Roman"/>
          <w:b/>
        </w:rPr>
        <w:t xml:space="preserve">444, </w:t>
      </w:r>
      <w:r w:rsidR="001B698B">
        <w:rPr>
          <w:rFonts w:ascii="Times New Roman" w:hAnsi="Times New Roman" w:cs="Times New Roman"/>
        </w:rPr>
        <w:t>186-199</w:t>
      </w:r>
    </w:p>
    <w:p w14:paraId="5E11B90D" w14:textId="08A895F0" w:rsidR="00C94BDC" w:rsidRDefault="00CF320A" w:rsidP="00751C5B">
      <w:pPr>
        <w:spacing w:before="100" w:beforeAutospacing="1" w:after="100" w:afterAutospacing="1" w:line="300" w:lineRule="atLeast"/>
        <w:ind w:left="720" w:hanging="720"/>
        <w:rPr>
          <w:rFonts w:ascii="Times New Roman" w:hAnsi="Times New Roman"/>
        </w:rPr>
      </w:pPr>
      <w:r>
        <w:rPr>
          <w:rFonts w:ascii="Times New Roman" w:hAnsi="Times New Roman" w:cs="Times New Roman"/>
        </w:rPr>
        <w:t>[</w:t>
      </w:r>
      <w:r w:rsidR="007A5764">
        <w:rPr>
          <w:rFonts w:ascii="Times New Roman" w:hAnsi="Times New Roman" w:cs="Times New Roman"/>
        </w:rPr>
        <w:t>6</w:t>
      </w:r>
      <w:r>
        <w:rPr>
          <w:rFonts w:ascii="Times New Roman" w:hAnsi="Times New Roman" w:cs="Times New Roman"/>
        </w:rPr>
        <w:t>]</w:t>
      </w:r>
      <w:r>
        <w:rPr>
          <w:rFonts w:ascii="Times New Roman" w:hAnsi="Times New Roman" w:cs="Times New Roman"/>
        </w:rPr>
        <w:tab/>
      </w:r>
      <w:r w:rsidR="00AD4848">
        <w:rPr>
          <w:rFonts w:ascii="Times New Roman" w:hAnsi="Times New Roman" w:cs="Times New Roman"/>
        </w:rPr>
        <w:t xml:space="preserve">Bingham, A.P., Hand, R.S., Stennett, M.C., Hyatt, N.C., Harrison, M.T., (2008) The Use of Surrogates in Waste Immobilization </w:t>
      </w:r>
      <w:r w:rsidR="001374CE">
        <w:rPr>
          <w:rFonts w:ascii="Times New Roman" w:hAnsi="Times New Roman" w:cs="Times New Roman"/>
        </w:rPr>
        <w:t>Studies</w:t>
      </w:r>
      <w:r w:rsidR="00AD4848">
        <w:rPr>
          <w:rFonts w:ascii="Times New Roman" w:hAnsi="Times New Roman" w:cs="Times New Roman"/>
        </w:rPr>
        <w:t xml:space="preserve">: A Case Study of </w:t>
      </w:r>
      <w:r w:rsidR="006D108B">
        <w:rPr>
          <w:rFonts w:ascii="Times New Roman" w:hAnsi="Times New Roman" w:cs="Times New Roman"/>
        </w:rPr>
        <w:t>Plutonium</w:t>
      </w:r>
      <w:r w:rsidR="00AD4848">
        <w:rPr>
          <w:rFonts w:ascii="Times New Roman" w:hAnsi="Times New Roman" w:cs="Times New Roman"/>
        </w:rPr>
        <w:t xml:space="preserve">, </w:t>
      </w:r>
      <w:r w:rsidR="00AD4848">
        <w:rPr>
          <w:rFonts w:ascii="Times New Roman" w:hAnsi="Times New Roman" w:cs="Times New Roman"/>
          <w:i/>
        </w:rPr>
        <w:t xml:space="preserve">MRS Proceedings, </w:t>
      </w:r>
      <w:r w:rsidR="000C5961">
        <w:rPr>
          <w:rFonts w:ascii="Times New Roman" w:hAnsi="Times New Roman" w:cs="Times New Roman"/>
          <w:b/>
        </w:rPr>
        <w:t xml:space="preserve">1107, </w:t>
      </w:r>
      <w:r w:rsidR="000C5961">
        <w:rPr>
          <w:rFonts w:ascii="Times New Roman" w:hAnsi="Times New Roman" w:cs="Times New Roman"/>
        </w:rPr>
        <w:t>421-428.</w:t>
      </w:r>
    </w:p>
    <w:p w14:paraId="574E89DB" w14:textId="5A0E4BFF" w:rsidR="00816997" w:rsidRPr="00751C5B" w:rsidRDefault="00C94BDC" w:rsidP="00751C5B">
      <w:pPr>
        <w:spacing w:before="100" w:beforeAutospacing="1" w:after="100" w:afterAutospacing="1" w:line="300" w:lineRule="atLeast"/>
        <w:ind w:left="720" w:hanging="720"/>
        <w:rPr>
          <w:rFonts w:ascii="Times New Roman" w:hAnsi="Times New Roman" w:cs="Times New Roman"/>
        </w:rPr>
      </w:pPr>
      <w:r>
        <w:rPr>
          <w:rFonts w:ascii="Times New Roman" w:hAnsi="Times New Roman" w:cs="Times New Roman"/>
        </w:rPr>
        <w:t>[7]</w:t>
      </w:r>
      <w:r>
        <w:rPr>
          <w:rFonts w:ascii="Times New Roman" w:hAnsi="Times New Roman" w:cs="Times New Roman"/>
        </w:rPr>
        <w:tab/>
        <w:t xml:space="preserve">Reid, D.P., Stennet, M.C., Hyatt, N.C., (2008) Synthesis and Structures of </w:t>
      </w:r>
      <w:proofErr w:type="gramStart"/>
      <w:r>
        <w:rPr>
          <w:rFonts w:ascii="Times New Roman" w:hAnsi="Times New Roman" w:cs="Times New Roman"/>
        </w:rPr>
        <w:t>Gd</w:t>
      </w:r>
      <w:r>
        <w:rPr>
          <w:rFonts w:ascii="Times New Roman" w:hAnsi="Times New Roman" w:cs="Times New Roman"/>
          <w:vertAlign w:val="subscript"/>
        </w:rPr>
        <w:t>2</w:t>
      </w:r>
      <w:r>
        <w:rPr>
          <w:rFonts w:ascii="Times New Roman" w:hAnsi="Times New Roman" w:cs="Times New Roman"/>
        </w:rPr>
        <w:t>(</w:t>
      </w:r>
      <w:proofErr w:type="gramEnd"/>
      <w:r>
        <w:rPr>
          <w:rFonts w:ascii="Times New Roman" w:hAnsi="Times New Roman" w:cs="Times New Roman"/>
        </w:rPr>
        <w:t>Zr</w:t>
      </w:r>
      <w:r>
        <w:rPr>
          <w:rFonts w:ascii="Times New Roman" w:hAnsi="Times New Roman" w:cs="Times New Roman"/>
          <w:vertAlign w:val="subscript"/>
        </w:rPr>
        <w:t>2-x</w:t>
      </w:r>
      <w:r>
        <w:rPr>
          <w:rFonts w:ascii="Times New Roman" w:hAnsi="Times New Roman" w:cs="Times New Roman"/>
        </w:rPr>
        <w:t>Ce</w:t>
      </w:r>
      <w:r>
        <w:rPr>
          <w:rFonts w:ascii="Times New Roman" w:hAnsi="Times New Roman" w:cs="Times New Roman"/>
          <w:vertAlign w:val="subscript"/>
        </w:rPr>
        <w:t>x</w:t>
      </w:r>
      <w:r>
        <w:rPr>
          <w:rFonts w:ascii="Times New Roman" w:hAnsi="Times New Roman" w:cs="Times New Roman"/>
        </w:rPr>
        <w:t>)O</w:t>
      </w:r>
      <w:r>
        <w:rPr>
          <w:rFonts w:ascii="Times New Roman" w:hAnsi="Times New Roman" w:cs="Times New Roman"/>
          <w:vertAlign w:val="subscript"/>
        </w:rPr>
        <w:t>7</w:t>
      </w:r>
      <w:r>
        <w:rPr>
          <w:rFonts w:ascii="Times New Roman" w:hAnsi="Times New Roman" w:cs="Times New Roman"/>
        </w:rPr>
        <w:t xml:space="preserve"> : A Model Ceramic System for Plutonium Disposition , </w:t>
      </w:r>
      <w:r>
        <w:rPr>
          <w:rFonts w:ascii="Times New Roman" w:hAnsi="Times New Roman" w:cs="Times New Roman"/>
          <w:i/>
        </w:rPr>
        <w:t xml:space="preserve">Advances in Materials Science for Environmental and Nuclear Technology, </w:t>
      </w:r>
      <w:r>
        <w:rPr>
          <w:rFonts w:ascii="Times New Roman" w:hAnsi="Times New Roman" w:cs="Times New Roman"/>
          <w:b/>
        </w:rPr>
        <w:t xml:space="preserve">222, </w:t>
      </w:r>
      <w:r>
        <w:rPr>
          <w:rFonts w:ascii="Times New Roman" w:hAnsi="Times New Roman" w:cs="Times New Roman"/>
        </w:rPr>
        <w:t>421-428.</w:t>
      </w:r>
      <w:r w:rsidR="00C37606">
        <w:rPr>
          <w:rFonts w:ascii="Times New Roman" w:hAnsi="Times New Roman" w:cs="Times New Roman"/>
        </w:rPr>
        <w:br/>
      </w:r>
    </w:p>
    <w:p w14:paraId="7B0B7650" w14:textId="77777777" w:rsidR="00816997" w:rsidRDefault="00816997" w:rsidP="00751C5B">
      <w:pPr>
        <w:spacing w:before="100" w:beforeAutospacing="1" w:after="100" w:afterAutospacing="1" w:line="300" w:lineRule="atLeast"/>
        <w:ind w:left="720" w:hanging="720"/>
        <w:rPr>
          <w:rFonts w:ascii="Arial" w:hAnsi="Arial" w:cs="Arial"/>
          <w:color w:val="333333"/>
          <w:sz w:val="18"/>
          <w:szCs w:val="18"/>
        </w:rPr>
      </w:pPr>
    </w:p>
    <w:p w14:paraId="39C5BFF7" w14:textId="77777777" w:rsidR="00C37606" w:rsidRDefault="00C37606" w:rsidP="00802498">
      <w:pPr>
        <w:spacing w:before="100" w:beforeAutospacing="1" w:after="100" w:afterAutospacing="1" w:line="300" w:lineRule="atLeast"/>
        <w:ind w:left="720" w:hanging="720"/>
        <w:rPr>
          <w:rFonts w:ascii="Times New Roman" w:hAnsi="Times New Roman" w:cs="Times New Roman"/>
        </w:rPr>
      </w:pPr>
    </w:p>
    <w:p w14:paraId="2633241A" w14:textId="0B7244CA" w:rsidR="00CF320A" w:rsidRPr="000C5961" w:rsidRDefault="00D862D2" w:rsidP="00802498">
      <w:pPr>
        <w:spacing w:before="100" w:beforeAutospacing="1" w:after="100" w:afterAutospacing="1" w:line="300" w:lineRule="atLeast"/>
        <w:ind w:left="720" w:hanging="720"/>
        <w:rPr>
          <w:rFonts w:ascii="Times New Roman" w:hAnsi="Times New Roman" w:cs="Times New Roman"/>
        </w:rPr>
      </w:pPr>
      <w:r>
        <w:rPr>
          <w:rFonts w:ascii="Times New Roman" w:hAnsi="Times New Roman" w:cs="Times New Roman"/>
        </w:rPr>
        <w:br/>
      </w:r>
    </w:p>
    <w:p w14:paraId="2DFD8236" w14:textId="77777777" w:rsidR="00802498" w:rsidRDefault="00802498" w:rsidP="00802498">
      <w:pPr>
        <w:spacing w:after="120" w:line="300" w:lineRule="atLeast"/>
        <w:ind w:left="720" w:hanging="720"/>
        <w:rPr>
          <w:rFonts w:ascii="Times New Roman" w:hAnsi="Times New Roman" w:cs="Times New Roman"/>
        </w:rPr>
      </w:pPr>
    </w:p>
    <w:p w14:paraId="71791A38" w14:textId="77777777" w:rsidR="00802498" w:rsidRDefault="00802498">
      <w:pPr>
        <w:rPr>
          <w:rFonts w:ascii="Times" w:hAnsi="Times"/>
        </w:rPr>
      </w:pPr>
    </w:p>
    <w:p w14:paraId="363F0F07" w14:textId="77777777" w:rsidR="003D5839" w:rsidRDefault="003D5839">
      <w:pPr>
        <w:rPr>
          <w:rFonts w:ascii="Times" w:hAnsi="Times"/>
        </w:rPr>
      </w:pPr>
    </w:p>
    <w:p w14:paraId="2C304980" w14:textId="77777777" w:rsidR="003D5839" w:rsidRDefault="003D5839">
      <w:pPr>
        <w:rPr>
          <w:rFonts w:ascii="Times" w:hAnsi="Times"/>
        </w:rPr>
      </w:pPr>
    </w:p>
    <w:p w14:paraId="538071B1" w14:textId="77777777" w:rsidR="003D5839" w:rsidRDefault="003D5839">
      <w:pPr>
        <w:rPr>
          <w:rFonts w:ascii="Times" w:hAnsi="Times"/>
        </w:rPr>
      </w:pPr>
    </w:p>
    <w:p w14:paraId="6B133CBD" w14:textId="77777777" w:rsidR="00962F3A" w:rsidRDefault="00962F3A" w:rsidP="003D5839">
      <w:pPr>
        <w:pBdr>
          <w:bottom w:val="single" w:sz="4" w:space="1" w:color="auto"/>
        </w:pBdr>
        <w:tabs>
          <w:tab w:val="left" w:pos="4102"/>
          <w:tab w:val="right" w:pos="9026"/>
        </w:tabs>
        <w:spacing w:line="360" w:lineRule="auto"/>
        <w:jc w:val="center"/>
        <w:rPr>
          <w:rFonts w:ascii="Times New Roman" w:hAnsi="Times New Roman" w:cs="Times New Roman"/>
          <w:sz w:val="36"/>
          <w:szCs w:val="56"/>
        </w:rPr>
      </w:pPr>
    </w:p>
    <w:p w14:paraId="5106DEE2" w14:textId="77777777" w:rsidR="003D5839" w:rsidRPr="005C0406" w:rsidRDefault="003D5839" w:rsidP="003D5839">
      <w:pPr>
        <w:pBdr>
          <w:bottom w:val="single" w:sz="4" w:space="1" w:color="auto"/>
        </w:pBdr>
        <w:tabs>
          <w:tab w:val="left" w:pos="4102"/>
          <w:tab w:val="right" w:pos="9026"/>
        </w:tabs>
        <w:spacing w:line="360" w:lineRule="auto"/>
        <w:jc w:val="center"/>
        <w:rPr>
          <w:rFonts w:ascii="Times New Roman" w:hAnsi="Times New Roman" w:cs="Times New Roman"/>
          <w:b/>
          <w:smallCaps/>
          <w:sz w:val="56"/>
          <w:szCs w:val="56"/>
        </w:rPr>
      </w:pPr>
      <w:r>
        <w:rPr>
          <w:rFonts w:ascii="Times New Roman" w:hAnsi="Times New Roman" w:cs="Times New Roman"/>
          <w:sz w:val="36"/>
          <w:szCs w:val="56"/>
        </w:rPr>
        <w:lastRenderedPageBreak/>
        <w:t>Chapter 2</w:t>
      </w:r>
      <w:r w:rsidRPr="005C0406">
        <w:rPr>
          <w:rFonts w:ascii="Times New Roman" w:hAnsi="Times New Roman" w:cs="Times New Roman"/>
          <w:sz w:val="36"/>
          <w:szCs w:val="56"/>
        </w:rPr>
        <w:t>:</w:t>
      </w:r>
      <w:r w:rsidRPr="005C0406">
        <w:rPr>
          <w:rFonts w:ascii="Times New Roman" w:hAnsi="Times New Roman" w:cs="Times New Roman"/>
          <w:smallCaps/>
          <w:sz w:val="36"/>
          <w:szCs w:val="56"/>
        </w:rPr>
        <w:t xml:space="preserve">  </w:t>
      </w:r>
      <w:r>
        <w:rPr>
          <w:rFonts w:ascii="Times New Roman" w:hAnsi="Times New Roman" w:cs="Times New Roman"/>
          <w:smallCaps/>
          <w:sz w:val="56"/>
          <w:szCs w:val="56"/>
        </w:rPr>
        <w:t>Literature Review</w:t>
      </w:r>
    </w:p>
    <w:p w14:paraId="0FA16D3B" w14:textId="77777777" w:rsidR="003D5839" w:rsidRDefault="003D5839" w:rsidP="003D5839">
      <w:pPr>
        <w:spacing w:line="360" w:lineRule="auto"/>
        <w:ind w:left="720" w:firstLine="1440"/>
        <w:jc w:val="right"/>
        <w:rPr>
          <w:rFonts w:ascii="Times New Roman" w:hAnsi="Times New Roman" w:cs="Times New Roman"/>
          <w:sz w:val="48"/>
          <w:szCs w:val="48"/>
        </w:rPr>
      </w:pPr>
    </w:p>
    <w:p w14:paraId="3EE81DD7" w14:textId="77777777" w:rsidR="003D5839" w:rsidRDefault="003D5839" w:rsidP="003D5839">
      <w:pPr>
        <w:spacing w:line="360" w:lineRule="auto"/>
        <w:jc w:val="both"/>
        <w:rPr>
          <w:rFonts w:ascii="Times New Roman" w:hAnsi="Times New Roman" w:cs="Times New Roman"/>
        </w:rPr>
      </w:pPr>
    </w:p>
    <w:p w14:paraId="69CD9DCA" w14:textId="77777777" w:rsidR="003D5839" w:rsidRDefault="003D5839" w:rsidP="003D5839">
      <w:pPr>
        <w:spacing w:line="360" w:lineRule="auto"/>
        <w:jc w:val="both"/>
        <w:rPr>
          <w:rFonts w:ascii="Times New Roman" w:hAnsi="Times New Roman" w:cs="Times New Roman"/>
        </w:rPr>
      </w:pPr>
    </w:p>
    <w:p w14:paraId="102B42AD" w14:textId="77777777" w:rsidR="003D5839" w:rsidRDefault="003D5839" w:rsidP="003D5839">
      <w:pPr>
        <w:spacing w:line="360" w:lineRule="auto"/>
        <w:jc w:val="both"/>
        <w:rPr>
          <w:rFonts w:ascii="Times New Roman" w:hAnsi="Times New Roman" w:cs="Times New Roman"/>
        </w:rPr>
      </w:pPr>
    </w:p>
    <w:p w14:paraId="66A996BA" w14:textId="77777777" w:rsidR="003D5839" w:rsidRDefault="003D5839" w:rsidP="003D5839">
      <w:pPr>
        <w:spacing w:line="360" w:lineRule="auto"/>
        <w:jc w:val="both"/>
        <w:rPr>
          <w:rFonts w:ascii="Times New Roman" w:hAnsi="Times New Roman" w:cs="Times New Roman"/>
        </w:rPr>
      </w:pPr>
    </w:p>
    <w:p w14:paraId="13083A09" w14:textId="77777777" w:rsidR="003D5839" w:rsidRDefault="003D5839" w:rsidP="003D5839">
      <w:pPr>
        <w:spacing w:line="360" w:lineRule="auto"/>
        <w:jc w:val="both"/>
        <w:rPr>
          <w:rFonts w:ascii="Times New Roman" w:hAnsi="Times New Roman" w:cs="Times New Roman"/>
        </w:rPr>
      </w:pPr>
    </w:p>
    <w:p w14:paraId="3DA7244A" w14:textId="77777777" w:rsidR="003D5839" w:rsidRDefault="003D5839" w:rsidP="003D5839">
      <w:pPr>
        <w:spacing w:line="360" w:lineRule="auto"/>
        <w:jc w:val="both"/>
        <w:rPr>
          <w:rFonts w:ascii="Times New Roman" w:hAnsi="Times New Roman" w:cs="Times New Roman"/>
        </w:rPr>
      </w:pPr>
    </w:p>
    <w:p w14:paraId="50280D7D" w14:textId="77777777" w:rsidR="003D5839" w:rsidRDefault="003D5839" w:rsidP="003D5839">
      <w:pPr>
        <w:spacing w:line="360" w:lineRule="auto"/>
        <w:jc w:val="both"/>
        <w:rPr>
          <w:rFonts w:ascii="Times New Roman" w:hAnsi="Times New Roman" w:cs="Times New Roman"/>
        </w:rPr>
      </w:pPr>
    </w:p>
    <w:p w14:paraId="2B9A4FC0" w14:textId="77777777" w:rsidR="003D5839" w:rsidRDefault="003D5839" w:rsidP="003D5839">
      <w:pPr>
        <w:spacing w:line="360" w:lineRule="auto"/>
        <w:jc w:val="both"/>
        <w:rPr>
          <w:rFonts w:ascii="Times New Roman" w:hAnsi="Times New Roman" w:cs="Times New Roman"/>
        </w:rPr>
      </w:pPr>
    </w:p>
    <w:p w14:paraId="59F23C56" w14:textId="77777777" w:rsidR="003D5839" w:rsidRDefault="003D5839" w:rsidP="003D5839">
      <w:pPr>
        <w:spacing w:line="360" w:lineRule="auto"/>
        <w:jc w:val="both"/>
        <w:rPr>
          <w:rFonts w:ascii="Times New Roman" w:hAnsi="Times New Roman" w:cs="Times New Roman"/>
        </w:rPr>
      </w:pPr>
    </w:p>
    <w:p w14:paraId="3D0182F0" w14:textId="77777777" w:rsidR="003D5839" w:rsidRDefault="003D5839" w:rsidP="003D5839">
      <w:pPr>
        <w:spacing w:line="360" w:lineRule="auto"/>
        <w:jc w:val="both"/>
        <w:rPr>
          <w:rFonts w:ascii="Times New Roman" w:hAnsi="Times New Roman" w:cs="Times New Roman"/>
        </w:rPr>
      </w:pPr>
    </w:p>
    <w:p w14:paraId="7E0906E7" w14:textId="77777777" w:rsidR="003D5839" w:rsidRDefault="003D5839" w:rsidP="003D5839">
      <w:pPr>
        <w:spacing w:line="360" w:lineRule="auto"/>
        <w:jc w:val="both"/>
        <w:rPr>
          <w:rFonts w:ascii="Times New Roman" w:hAnsi="Times New Roman" w:cs="Times New Roman"/>
        </w:rPr>
      </w:pPr>
    </w:p>
    <w:p w14:paraId="3B5AC454" w14:textId="77777777" w:rsidR="003D5839" w:rsidRDefault="003D5839" w:rsidP="003D5839">
      <w:pPr>
        <w:spacing w:line="360" w:lineRule="auto"/>
        <w:jc w:val="both"/>
        <w:rPr>
          <w:rFonts w:ascii="Times New Roman" w:hAnsi="Times New Roman" w:cs="Times New Roman"/>
        </w:rPr>
      </w:pPr>
    </w:p>
    <w:p w14:paraId="242AA076" w14:textId="77777777" w:rsidR="003D5839" w:rsidRDefault="003D5839" w:rsidP="003D5839">
      <w:pPr>
        <w:spacing w:line="360" w:lineRule="auto"/>
        <w:jc w:val="both"/>
        <w:rPr>
          <w:rFonts w:ascii="Times New Roman" w:hAnsi="Times New Roman" w:cs="Times New Roman"/>
        </w:rPr>
      </w:pPr>
    </w:p>
    <w:p w14:paraId="125A8F75" w14:textId="77777777" w:rsidR="003D5839" w:rsidRDefault="003D5839" w:rsidP="003D5839">
      <w:pPr>
        <w:spacing w:line="360" w:lineRule="auto"/>
        <w:jc w:val="both"/>
        <w:rPr>
          <w:rFonts w:ascii="Times New Roman" w:hAnsi="Times New Roman" w:cs="Times New Roman"/>
        </w:rPr>
      </w:pPr>
    </w:p>
    <w:p w14:paraId="373E4502" w14:textId="77777777" w:rsidR="003D5839" w:rsidRDefault="003D5839" w:rsidP="003D5839">
      <w:pPr>
        <w:spacing w:line="360" w:lineRule="auto"/>
        <w:jc w:val="both"/>
        <w:rPr>
          <w:rFonts w:ascii="Times New Roman" w:hAnsi="Times New Roman" w:cs="Times New Roman"/>
        </w:rPr>
      </w:pPr>
    </w:p>
    <w:p w14:paraId="6AEA3ED5" w14:textId="77777777" w:rsidR="003D5839" w:rsidRDefault="003D5839" w:rsidP="003D5839">
      <w:pPr>
        <w:spacing w:line="360" w:lineRule="auto"/>
        <w:jc w:val="both"/>
        <w:rPr>
          <w:rFonts w:ascii="Times New Roman" w:hAnsi="Times New Roman" w:cs="Times New Roman"/>
        </w:rPr>
      </w:pPr>
    </w:p>
    <w:p w14:paraId="37795ACE" w14:textId="77777777" w:rsidR="003D5839" w:rsidRDefault="003D5839" w:rsidP="003D5839">
      <w:pPr>
        <w:spacing w:line="360" w:lineRule="auto"/>
        <w:jc w:val="both"/>
        <w:rPr>
          <w:rFonts w:ascii="Times New Roman" w:hAnsi="Times New Roman" w:cs="Times New Roman"/>
        </w:rPr>
      </w:pPr>
    </w:p>
    <w:p w14:paraId="459D5A31" w14:textId="77777777" w:rsidR="003D5839" w:rsidRDefault="003D5839" w:rsidP="003D5839">
      <w:pPr>
        <w:spacing w:line="360" w:lineRule="auto"/>
        <w:jc w:val="both"/>
        <w:rPr>
          <w:rFonts w:ascii="Times New Roman" w:hAnsi="Times New Roman" w:cs="Times New Roman"/>
        </w:rPr>
      </w:pPr>
    </w:p>
    <w:p w14:paraId="73726437" w14:textId="77777777" w:rsidR="003D5839" w:rsidRDefault="003D5839" w:rsidP="003D5839">
      <w:pPr>
        <w:spacing w:line="360" w:lineRule="auto"/>
        <w:jc w:val="both"/>
        <w:rPr>
          <w:rFonts w:ascii="Times New Roman" w:hAnsi="Times New Roman" w:cs="Times New Roman"/>
        </w:rPr>
      </w:pPr>
    </w:p>
    <w:p w14:paraId="067B805B" w14:textId="77777777" w:rsidR="003D5839" w:rsidRDefault="003D5839" w:rsidP="003D5839">
      <w:pPr>
        <w:spacing w:line="360" w:lineRule="auto"/>
        <w:jc w:val="both"/>
        <w:rPr>
          <w:rFonts w:ascii="Times New Roman" w:hAnsi="Times New Roman" w:cs="Times New Roman"/>
        </w:rPr>
      </w:pPr>
    </w:p>
    <w:p w14:paraId="4AF7C59A" w14:textId="77777777" w:rsidR="003D5839" w:rsidRDefault="003D5839" w:rsidP="003D5839">
      <w:pPr>
        <w:spacing w:line="360" w:lineRule="auto"/>
        <w:jc w:val="both"/>
        <w:rPr>
          <w:rFonts w:ascii="Times New Roman" w:hAnsi="Times New Roman" w:cs="Times New Roman"/>
        </w:rPr>
      </w:pPr>
    </w:p>
    <w:p w14:paraId="1E6474AC" w14:textId="77777777" w:rsidR="003D5839" w:rsidRDefault="003D5839" w:rsidP="003D5839">
      <w:pPr>
        <w:spacing w:line="360" w:lineRule="auto"/>
        <w:jc w:val="both"/>
        <w:rPr>
          <w:rFonts w:ascii="Times New Roman" w:hAnsi="Times New Roman" w:cs="Times New Roman"/>
        </w:rPr>
      </w:pPr>
    </w:p>
    <w:p w14:paraId="0EDCA827" w14:textId="77777777" w:rsidR="003D5839" w:rsidRDefault="003D5839" w:rsidP="003D5839">
      <w:pPr>
        <w:spacing w:line="360" w:lineRule="auto"/>
        <w:jc w:val="both"/>
        <w:rPr>
          <w:rFonts w:ascii="Times New Roman" w:hAnsi="Times New Roman" w:cs="Times New Roman"/>
        </w:rPr>
      </w:pPr>
    </w:p>
    <w:p w14:paraId="422BA673" w14:textId="77777777" w:rsidR="003D5839" w:rsidRDefault="003D5839" w:rsidP="003D5839">
      <w:pPr>
        <w:spacing w:line="360" w:lineRule="auto"/>
        <w:jc w:val="both"/>
        <w:rPr>
          <w:rFonts w:ascii="Times New Roman" w:hAnsi="Times New Roman" w:cs="Times New Roman"/>
        </w:rPr>
      </w:pPr>
    </w:p>
    <w:p w14:paraId="1F9D7228" w14:textId="77777777" w:rsidR="003D5839" w:rsidRDefault="003D5839" w:rsidP="003D5839">
      <w:pPr>
        <w:spacing w:line="360" w:lineRule="auto"/>
        <w:jc w:val="both"/>
        <w:rPr>
          <w:rFonts w:ascii="Times New Roman" w:hAnsi="Times New Roman" w:cs="Times New Roman"/>
        </w:rPr>
      </w:pPr>
    </w:p>
    <w:p w14:paraId="76311CFA" w14:textId="77777777" w:rsidR="003D5839" w:rsidRDefault="003D5839" w:rsidP="003D5839">
      <w:pPr>
        <w:spacing w:line="360" w:lineRule="auto"/>
        <w:jc w:val="both"/>
        <w:rPr>
          <w:rFonts w:ascii="Times New Roman" w:hAnsi="Times New Roman" w:cs="Times New Roman"/>
        </w:rPr>
      </w:pPr>
    </w:p>
    <w:p w14:paraId="5531A8B7" w14:textId="77777777" w:rsidR="003D5839" w:rsidRDefault="003D5839" w:rsidP="003D5839">
      <w:pPr>
        <w:spacing w:line="360" w:lineRule="auto"/>
        <w:jc w:val="both"/>
        <w:rPr>
          <w:rFonts w:ascii="Times New Roman" w:hAnsi="Times New Roman" w:cs="Times New Roman"/>
        </w:rPr>
      </w:pPr>
    </w:p>
    <w:p w14:paraId="6D226518" w14:textId="77777777" w:rsidR="003D5839" w:rsidRDefault="003D5839" w:rsidP="003D5839">
      <w:pPr>
        <w:spacing w:line="360" w:lineRule="auto"/>
        <w:jc w:val="both"/>
        <w:rPr>
          <w:rFonts w:ascii="Times New Roman" w:hAnsi="Times New Roman" w:cs="Times New Roman"/>
        </w:rPr>
      </w:pPr>
    </w:p>
    <w:p w14:paraId="4099DCF9" w14:textId="77777777" w:rsidR="003D5839" w:rsidRDefault="003D5839" w:rsidP="003D5839">
      <w:pPr>
        <w:spacing w:line="360" w:lineRule="auto"/>
        <w:jc w:val="both"/>
        <w:rPr>
          <w:rFonts w:ascii="Times New Roman" w:hAnsi="Times New Roman" w:cs="Times New Roman"/>
        </w:rPr>
      </w:pPr>
    </w:p>
    <w:p w14:paraId="25015D95" w14:textId="1049FBCB" w:rsidR="00E852E9" w:rsidRDefault="00E852E9" w:rsidP="00E852E9">
      <w:pPr>
        <w:spacing w:before="120" w:after="120" w:line="360" w:lineRule="auto"/>
        <w:rPr>
          <w:rFonts w:ascii="Times New Roman" w:hAnsi="Times New Roman" w:cs="Times New Roman"/>
          <w:b/>
          <w:bCs/>
          <w:smallCaps/>
          <w:sz w:val="32"/>
          <w:szCs w:val="28"/>
        </w:rPr>
      </w:pPr>
      <w:r>
        <w:rPr>
          <w:rFonts w:ascii="Times New Roman" w:hAnsi="Times New Roman" w:cs="Times New Roman"/>
          <w:b/>
          <w:bCs/>
          <w:smallCaps/>
          <w:sz w:val="32"/>
          <w:szCs w:val="28"/>
        </w:rPr>
        <w:lastRenderedPageBreak/>
        <w:t>2.1</w:t>
      </w:r>
      <w:r>
        <w:rPr>
          <w:rFonts w:ascii="Times New Roman" w:hAnsi="Times New Roman" w:cs="Times New Roman"/>
          <w:b/>
          <w:bCs/>
          <w:smallCaps/>
          <w:sz w:val="32"/>
          <w:szCs w:val="28"/>
        </w:rPr>
        <w:tab/>
        <w:t>Introduction</w:t>
      </w:r>
    </w:p>
    <w:p w14:paraId="60998C5E" w14:textId="18DA694A" w:rsidR="003D5839" w:rsidRDefault="003D5839" w:rsidP="003D5839">
      <w:pPr>
        <w:spacing w:line="360" w:lineRule="auto"/>
        <w:jc w:val="both"/>
        <w:rPr>
          <w:rFonts w:ascii="Times New Roman" w:hAnsi="Times New Roman" w:cs="Times New Roman"/>
          <w:b/>
        </w:rPr>
      </w:pPr>
      <w:r>
        <w:rPr>
          <w:rFonts w:ascii="Times New Roman" w:hAnsi="Times New Roman" w:cs="Times New Roman"/>
        </w:rPr>
        <w:t xml:space="preserve">This chapter introduces nuclear power generation, the subsequent waste produced and the uses of cementitious systems to encapsulate and manage this waste. The focus will be on the </w:t>
      </w:r>
      <w:r w:rsidR="00B6346D">
        <w:rPr>
          <w:rFonts w:ascii="Times New Roman" w:hAnsi="Times New Roman" w:cs="Times New Roman"/>
        </w:rPr>
        <w:t>Portland</w:t>
      </w:r>
      <w:r>
        <w:rPr>
          <w:rFonts w:ascii="Times New Roman" w:hAnsi="Times New Roman" w:cs="Times New Roman"/>
        </w:rPr>
        <w:t xml:space="preserve"> cement (</w:t>
      </w:r>
      <w:r w:rsidR="00E85025">
        <w:rPr>
          <w:rFonts w:ascii="Times New Roman" w:hAnsi="Times New Roman" w:cs="Times New Roman"/>
        </w:rPr>
        <w:t>PC</w:t>
      </w:r>
      <w:r>
        <w:rPr>
          <w:rFonts w:ascii="Times New Roman" w:hAnsi="Times New Roman" w:cs="Times New Roman"/>
        </w:rPr>
        <w:t>) composite systems as waste encapsulants, in particular those mixed with blast furnace slags (BFS) and superplasticisers, discussing the chemical and physical properties as well as the microstructure of the hardened systems.  This chapter also reviews the benefits and limitations of the BFS</w:t>
      </w:r>
      <w:proofErr w:type="gramStart"/>
      <w:r>
        <w:rPr>
          <w:rFonts w:ascii="Times New Roman" w:hAnsi="Times New Roman" w:cs="Times New Roman"/>
        </w:rPr>
        <w:t>:</w:t>
      </w:r>
      <w:r w:rsidR="00E85025">
        <w:rPr>
          <w:rFonts w:ascii="Times New Roman" w:hAnsi="Times New Roman" w:cs="Times New Roman"/>
        </w:rPr>
        <w:t>PC</w:t>
      </w:r>
      <w:proofErr w:type="gramEnd"/>
      <w:r>
        <w:rPr>
          <w:rFonts w:ascii="Times New Roman" w:hAnsi="Times New Roman" w:cs="Times New Roman"/>
        </w:rPr>
        <w:t xml:space="preserve"> systems as </w:t>
      </w:r>
      <w:r w:rsidR="00E852E9">
        <w:rPr>
          <w:rFonts w:ascii="Times New Roman" w:hAnsi="Times New Roman" w:cs="Times New Roman"/>
        </w:rPr>
        <w:t xml:space="preserve">a </w:t>
      </w:r>
      <w:r>
        <w:rPr>
          <w:rFonts w:ascii="Times New Roman" w:hAnsi="Times New Roman" w:cs="Times New Roman"/>
        </w:rPr>
        <w:t>w</w:t>
      </w:r>
      <w:r w:rsidR="00E852E9">
        <w:rPr>
          <w:rFonts w:ascii="Times New Roman" w:hAnsi="Times New Roman" w:cs="Times New Roman"/>
        </w:rPr>
        <w:t>aste encapsulant,</w:t>
      </w:r>
      <w:r>
        <w:rPr>
          <w:rFonts w:ascii="Times New Roman" w:hAnsi="Times New Roman" w:cs="Times New Roman"/>
        </w:rPr>
        <w:t xml:space="preserve"> as well as the issues linked to radionuclide leaching into the surrounding environment. Finally the leaching behaviour</w:t>
      </w:r>
      <w:r w:rsidR="00186B9F">
        <w:rPr>
          <w:rFonts w:ascii="Times New Roman" w:hAnsi="Times New Roman" w:cs="Times New Roman"/>
        </w:rPr>
        <w:t xml:space="preserve"> of cements will be studied,</w:t>
      </w:r>
      <w:r>
        <w:rPr>
          <w:rFonts w:ascii="Times New Roman" w:hAnsi="Times New Roman" w:cs="Times New Roman"/>
        </w:rPr>
        <w:t xml:space="preserve"> with an insight into the various methods used to simulate long term leaching</w:t>
      </w:r>
      <w:r w:rsidR="00600546">
        <w:rPr>
          <w:rFonts w:ascii="Times New Roman" w:hAnsi="Times New Roman" w:cs="Times New Roman"/>
        </w:rPr>
        <w:t xml:space="preserve"> of elements</w:t>
      </w:r>
      <w:r>
        <w:rPr>
          <w:rFonts w:ascii="Times New Roman" w:hAnsi="Times New Roman" w:cs="Times New Roman"/>
        </w:rPr>
        <w:t xml:space="preserve"> and the impact of additives such as nuclear waste and superplasticisers on the l</w:t>
      </w:r>
      <w:r w:rsidR="005F4811">
        <w:rPr>
          <w:rFonts w:ascii="Times New Roman" w:hAnsi="Times New Roman" w:cs="Times New Roman"/>
        </w:rPr>
        <w:t>eaching behaviour of the cement matrix</w:t>
      </w:r>
      <w:r>
        <w:rPr>
          <w:rFonts w:ascii="Times New Roman" w:hAnsi="Times New Roman" w:cs="Times New Roman"/>
        </w:rPr>
        <w:t xml:space="preserve">.   </w:t>
      </w:r>
      <w:r>
        <w:rPr>
          <w:rFonts w:ascii="Times New Roman" w:hAnsi="Times New Roman" w:cs="Times New Roman"/>
          <w:b/>
        </w:rPr>
        <w:tab/>
      </w:r>
    </w:p>
    <w:p w14:paraId="78F28C17" w14:textId="77777777" w:rsidR="00E852E9" w:rsidRPr="004131AC" w:rsidRDefault="00E852E9" w:rsidP="003D5839">
      <w:pPr>
        <w:spacing w:line="360" w:lineRule="auto"/>
        <w:jc w:val="both"/>
        <w:rPr>
          <w:rFonts w:ascii="Times New Roman" w:hAnsi="Times New Roman" w:cs="Times New Roman"/>
        </w:rPr>
      </w:pPr>
    </w:p>
    <w:p w14:paraId="7DAAEBC1" w14:textId="65A8A178" w:rsidR="003D5839" w:rsidRPr="00E852E9" w:rsidRDefault="00E852E9" w:rsidP="00E852E9">
      <w:pPr>
        <w:spacing w:before="120" w:after="120" w:line="360" w:lineRule="auto"/>
        <w:rPr>
          <w:rFonts w:ascii="Times New Roman" w:hAnsi="Times New Roman" w:cs="Times New Roman"/>
          <w:b/>
          <w:bCs/>
          <w:smallCaps/>
          <w:sz w:val="32"/>
          <w:szCs w:val="28"/>
        </w:rPr>
      </w:pPr>
      <w:r>
        <w:rPr>
          <w:rFonts w:ascii="Times New Roman" w:hAnsi="Times New Roman" w:cs="Times New Roman"/>
          <w:b/>
          <w:bCs/>
          <w:smallCaps/>
          <w:sz w:val="32"/>
          <w:szCs w:val="28"/>
        </w:rPr>
        <w:t>2.2</w:t>
      </w:r>
      <w:r>
        <w:rPr>
          <w:rFonts w:ascii="Times New Roman" w:hAnsi="Times New Roman" w:cs="Times New Roman"/>
          <w:b/>
          <w:bCs/>
          <w:smallCaps/>
          <w:sz w:val="32"/>
          <w:szCs w:val="28"/>
        </w:rPr>
        <w:tab/>
        <w:t>An Overview of Nuclear Energy</w:t>
      </w:r>
      <w:r w:rsidR="003D5839">
        <w:rPr>
          <w:rFonts w:ascii="Times New Roman" w:hAnsi="Times New Roman" w:cs="Times New Roman"/>
          <w:b/>
          <w:sz w:val="28"/>
        </w:rPr>
        <w:br/>
      </w:r>
      <w:r w:rsidR="003D5839" w:rsidRPr="00E00ACC">
        <w:rPr>
          <w:rFonts w:ascii="Times New Roman" w:hAnsi="Times New Roman" w:cs="Times New Roman"/>
          <w:b/>
        </w:rPr>
        <w:t>2.2.1</w:t>
      </w:r>
      <w:r w:rsidR="003D5839" w:rsidRPr="00E00ACC">
        <w:rPr>
          <w:rFonts w:ascii="Times New Roman" w:hAnsi="Times New Roman" w:cs="Times New Roman"/>
          <w:b/>
        </w:rPr>
        <w:tab/>
        <w:t>Nuclear Power</w:t>
      </w:r>
    </w:p>
    <w:p w14:paraId="212343C0" w14:textId="3DA113B0" w:rsidR="003D5839" w:rsidRPr="005065A9" w:rsidRDefault="003D5839" w:rsidP="003D5839">
      <w:pPr>
        <w:spacing w:line="360" w:lineRule="auto"/>
        <w:jc w:val="both"/>
        <w:rPr>
          <w:rFonts w:ascii="Times New Roman" w:hAnsi="Times New Roman" w:cs="Times New Roman"/>
        </w:rPr>
      </w:pPr>
      <w:r>
        <w:rPr>
          <w:rFonts w:ascii="Times New Roman" w:hAnsi="Times New Roman" w:cs="Times New Roman"/>
        </w:rPr>
        <w:t>The e</w:t>
      </w:r>
      <w:r w:rsidRPr="00C8242C">
        <w:rPr>
          <w:rFonts w:ascii="Times New Roman" w:hAnsi="Times New Roman" w:cs="Times New Roman"/>
        </w:rPr>
        <w:t>nergy consumption rate has risen by over 50% in the past 20 years</w:t>
      </w:r>
      <w:r>
        <w:rPr>
          <w:rFonts w:ascii="Times New Roman" w:hAnsi="Times New Roman" w:cs="Times New Roman"/>
        </w:rPr>
        <w:t xml:space="preserve"> according to the </w:t>
      </w:r>
      <w:r w:rsidR="000C6D2B">
        <w:rPr>
          <w:rFonts w:ascii="Times New Roman" w:hAnsi="Times New Roman" w:cs="Times New Roman"/>
        </w:rPr>
        <w:t>I</w:t>
      </w:r>
      <w:r>
        <w:rPr>
          <w:rFonts w:ascii="Times New Roman" w:hAnsi="Times New Roman" w:cs="Times New Roman"/>
        </w:rPr>
        <w:t xml:space="preserve">nternational </w:t>
      </w:r>
      <w:r w:rsidR="000C6D2B">
        <w:rPr>
          <w:rFonts w:ascii="Times New Roman" w:hAnsi="Times New Roman" w:cs="Times New Roman"/>
        </w:rPr>
        <w:t>E</w:t>
      </w:r>
      <w:r>
        <w:rPr>
          <w:rFonts w:ascii="Times New Roman" w:hAnsi="Times New Roman" w:cs="Times New Roman"/>
        </w:rPr>
        <w:t xml:space="preserve">nergy </w:t>
      </w:r>
      <w:r w:rsidR="000C6D2B">
        <w:rPr>
          <w:rFonts w:ascii="Times New Roman" w:hAnsi="Times New Roman" w:cs="Times New Roman"/>
        </w:rPr>
        <w:t>A</w:t>
      </w:r>
      <w:r>
        <w:rPr>
          <w:rFonts w:ascii="Times New Roman" w:hAnsi="Times New Roman" w:cs="Times New Roman"/>
        </w:rPr>
        <w:t>gency (I</w:t>
      </w:r>
      <w:r w:rsidR="001D1E9E">
        <w:rPr>
          <w:rFonts w:ascii="Times New Roman" w:hAnsi="Times New Roman" w:cs="Times New Roman"/>
        </w:rPr>
        <w:t>EA</w:t>
      </w:r>
      <w:r>
        <w:rPr>
          <w:rFonts w:ascii="Times New Roman" w:hAnsi="Times New Roman" w:cs="Times New Roman"/>
        </w:rPr>
        <w:t xml:space="preserve">) [1]. </w:t>
      </w:r>
      <w:r w:rsidRPr="00C8242C">
        <w:rPr>
          <w:rFonts w:ascii="Times New Roman" w:hAnsi="Times New Roman" w:cs="Times New Roman"/>
        </w:rPr>
        <w:t xml:space="preserve">The </w:t>
      </w:r>
      <w:r>
        <w:rPr>
          <w:rFonts w:ascii="Times New Roman" w:hAnsi="Times New Roman" w:cs="Times New Roman"/>
        </w:rPr>
        <w:t>major concerns are that renewable energy sources i.e. solar, wind</w:t>
      </w:r>
      <w:r w:rsidR="00E47E13">
        <w:rPr>
          <w:rFonts w:ascii="Times New Roman" w:hAnsi="Times New Roman" w:cs="Times New Roman"/>
        </w:rPr>
        <w:t xml:space="preserve"> and hydro </w:t>
      </w:r>
      <w:r w:rsidRPr="00C8242C">
        <w:rPr>
          <w:rFonts w:ascii="Times New Roman" w:hAnsi="Times New Roman" w:cs="Times New Roman"/>
        </w:rPr>
        <w:t>are not providing sufficient energy to meet de</w:t>
      </w:r>
      <w:r>
        <w:rPr>
          <w:rFonts w:ascii="Times New Roman" w:hAnsi="Times New Roman" w:cs="Times New Roman"/>
        </w:rPr>
        <w:t>mand and non-renewable sources i.e. coal</w:t>
      </w:r>
      <w:r w:rsidR="005E60F5">
        <w:rPr>
          <w:rFonts w:ascii="Times New Roman" w:hAnsi="Times New Roman" w:cs="Times New Roman"/>
        </w:rPr>
        <w:t xml:space="preserve"> and crude oil</w:t>
      </w:r>
      <w:r>
        <w:rPr>
          <w:rFonts w:ascii="Times New Roman" w:hAnsi="Times New Roman" w:cs="Times New Roman"/>
        </w:rPr>
        <w:t xml:space="preserve">. </w:t>
      </w:r>
      <w:proofErr w:type="gramStart"/>
      <w:r>
        <w:rPr>
          <w:rFonts w:ascii="Times New Roman" w:hAnsi="Times New Roman" w:cs="Times New Roman"/>
        </w:rPr>
        <w:t>will</w:t>
      </w:r>
      <w:proofErr w:type="gramEnd"/>
      <w:r>
        <w:rPr>
          <w:rFonts w:ascii="Times New Roman" w:hAnsi="Times New Roman" w:cs="Times New Roman"/>
        </w:rPr>
        <w:t xml:space="preserve"> eventually run out [1]. </w:t>
      </w:r>
      <w:r w:rsidRPr="00C8242C">
        <w:rPr>
          <w:rFonts w:ascii="Times New Roman" w:hAnsi="Times New Roman" w:cs="Times New Roman"/>
        </w:rPr>
        <w:t xml:space="preserve">Furthermore the </w:t>
      </w:r>
      <w:r w:rsidR="00591AB8">
        <w:rPr>
          <w:rFonts w:ascii="Times New Roman" w:hAnsi="Times New Roman" w:cs="Times New Roman"/>
        </w:rPr>
        <w:t>gases produced</w:t>
      </w:r>
      <w:r>
        <w:rPr>
          <w:rFonts w:ascii="Times New Roman" w:hAnsi="Times New Roman" w:cs="Times New Roman"/>
        </w:rPr>
        <w:t xml:space="preserve"> when burning the non-renewable fuels</w:t>
      </w:r>
      <w:r w:rsidR="000C6D2B">
        <w:rPr>
          <w:rFonts w:ascii="Times New Roman" w:hAnsi="Times New Roman" w:cs="Times New Roman"/>
        </w:rPr>
        <w:t xml:space="preserve">, </w:t>
      </w:r>
      <w:r w:rsidR="00054B37">
        <w:rPr>
          <w:rFonts w:ascii="Times New Roman" w:hAnsi="Times New Roman" w:cs="Times New Roman"/>
        </w:rPr>
        <w:t>pollute</w:t>
      </w:r>
      <w:r w:rsidR="00591AB8">
        <w:rPr>
          <w:rFonts w:ascii="Times New Roman" w:hAnsi="Times New Roman" w:cs="Times New Roman"/>
        </w:rPr>
        <w:t xml:space="preserve"> the air and can lead to global warming</w:t>
      </w:r>
      <w:r>
        <w:rPr>
          <w:rFonts w:ascii="Times New Roman" w:hAnsi="Times New Roman" w:cs="Times New Roman"/>
        </w:rPr>
        <w:t>, thus</w:t>
      </w:r>
      <w:r w:rsidR="00591AB8">
        <w:rPr>
          <w:rFonts w:ascii="Times New Roman" w:hAnsi="Times New Roman" w:cs="Times New Roman"/>
        </w:rPr>
        <w:t xml:space="preserve"> making</w:t>
      </w:r>
      <w:r>
        <w:rPr>
          <w:rFonts w:ascii="Times New Roman" w:hAnsi="Times New Roman" w:cs="Times New Roman"/>
        </w:rPr>
        <w:t xml:space="preserve"> the use of these sources less attractive</w:t>
      </w:r>
      <w:r w:rsidRPr="00C8242C">
        <w:rPr>
          <w:rFonts w:ascii="Times New Roman" w:hAnsi="Times New Roman" w:cs="Times New Roman"/>
        </w:rPr>
        <w:t xml:space="preserve">. </w:t>
      </w:r>
      <w:r>
        <w:rPr>
          <w:rFonts w:ascii="Times New Roman" w:hAnsi="Times New Roman" w:cs="Times New Roman"/>
        </w:rPr>
        <w:t xml:space="preserve"> Finally the issue of energy security poses another </w:t>
      </w:r>
      <w:r w:rsidR="006A6276">
        <w:rPr>
          <w:rFonts w:ascii="Times New Roman" w:hAnsi="Times New Roman" w:cs="Times New Roman"/>
        </w:rPr>
        <w:t>problem</w:t>
      </w:r>
      <w:r w:rsidR="00E47E13">
        <w:rPr>
          <w:rFonts w:ascii="Times New Roman" w:hAnsi="Times New Roman" w:cs="Times New Roman"/>
        </w:rPr>
        <w:t>, wherein the uneven distribution of energy supplies has created vulnerabilities within certain countries</w:t>
      </w:r>
      <w:r>
        <w:rPr>
          <w:rFonts w:ascii="Times New Roman" w:hAnsi="Times New Roman" w:cs="Times New Roman"/>
        </w:rPr>
        <w:t>. Therefore there is an increased interest</w:t>
      </w:r>
      <w:r w:rsidR="005E60F5">
        <w:rPr>
          <w:rFonts w:ascii="Times New Roman" w:hAnsi="Times New Roman" w:cs="Times New Roman"/>
        </w:rPr>
        <w:t xml:space="preserve"> in some countries</w:t>
      </w:r>
      <w:r>
        <w:rPr>
          <w:rFonts w:ascii="Times New Roman" w:hAnsi="Times New Roman" w:cs="Times New Roman"/>
        </w:rPr>
        <w:t xml:space="preserve"> in generating electricity using</w:t>
      </w:r>
      <w:r w:rsidRPr="00C8242C">
        <w:rPr>
          <w:rFonts w:ascii="Times New Roman" w:hAnsi="Times New Roman" w:cs="Times New Roman"/>
        </w:rPr>
        <w:t xml:space="preserve"> nuclear energy. </w:t>
      </w:r>
    </w:p>
    <w:p w14:paraId="60EAE14F" w14:textId="677D1888" w:rsidR="003D5839" w:rsidRPr="00D053DE" w:rsidRDefault="003D5839" w:rsidP="003D5839">
      <w:pPr>
        <w:spacing w:line="360" w:lineRule="auto"/>
        <w:jc w:val="both"/>
        <w:rPr>
          <w:rFonts w:ascii="Times New Roman" w:hAnsi="Times New Roman" w:cs="Times New Roman"/>
          <w:lang w:val="en-GB"/>
        </w:rPr>
      </w:pPr>
      <w:r w:rsidRPr="004131AC">
        <w:rPr>
          <w:rFonts w:ascii="Times New Roman" w:hAnsi="Times New Roman" w:cs="Times New Roman"/>
        </w:rPr>
        <w:t>Nuclear energy is generated as a result of controlled nuclear reactions known as nuclear fission.</w:t>
      </w:r>
      <w:r>
        <w:rPr>
          <w:rFonts w:ascii="Times New Roman" w:hAnsi="Times New Roman" w:cs="Times New Roman"/>
        </w:rPr>
        <w:t xml:space="preserve"> The history of nuclear </w:t>
      </w:r>
      <w:r w:rsidR="006A6276">
        <w:rPr>
          <w:rFonts w:ascii="Times New Roman" w:hAnsi="Times New Roman" w:cs="Times New Roman"/>
        </w:rPr>
        <w:t xml:space="preserve">power </w:t>
      </w:r>
      <w:r>
        <w:rPr>
          <w:rFonts w:ascii="Times New Roman" w:hAnsi="Times New Roman" w:cs="Times New Roman"/>
        </w:rPr>
        <w:t>originated in 1895 when i</w:t>
      </w:r>
      <w:r w:rsidRPr="004131AC">
        <w:rPr>
          <w:rFonts w:ascii="Times New Roman" w:hAnsi="Times New Roman" w:cs="Times New Roman"/>
        </w:rPr>
        <w:t>onisin</w:t>
      </w:r>
      <w:r w:rsidR="00D053DE">
        <w:rPr>
          <w:rFonts w:ascii="Times New Roman" w:hAnsi="Times New Roman" w:cs="Times New Roman"/>
        </w:rPr>
        <w:t>g radiation was discovered by R</w:t>
      </w:r>
      <w:r w:rsidR="00D053DE" w:rsidRPr="00D053DE">
        <w:rPr>
          <w:rFonts w:ascii="Times New Roman" w:hAnsi="Times New Roman" w:cs="Times New Roman"/>
          <w:lang w:val="en-GB"/>
        </w:rPr>
        <w:t>ö</w:t>
      </w:r>
      <w:r w:rsidRPr="004131AC">
        <w:rPr>
          <w:rFonts w:ascii="Times New Roman" w:hAnsi="Times New Roman" w:cs="Times New Roman"/>
        </w:rPr>
        <w:t>ntgen in 1895, producing continuous x-rays by passing an electric current through an evacuated glass</w:t>
      </w:r>
      <w:r>
        <w:rPr>
          <w:rFonts w:ascii="Times New Roman" w:hAnsi="Times New Roman" w:cs="Times New Roman"/>
        </w:rPr>
        <w:t xml:space="preserve"> [2]</w:t>
      </w:r>
      <w:r w:rsidRPr="004131AC">
        <w:rPr>
          <w:rFonts w:ascii="Times New Roman" w:hAnsi="Times New Roman" w:cs="Times New Roman"/>
        </w:rPr>
        <w:t>. Progressive steps were taken in the research of radiation until 1902 when Ernest Rutherford illustrated that radioactivity creates a different element by emitting an alpha particle (2 protons &amp; 2 neutrons) or beta particle (an electron) from the nucleus</w:t>
      </w:r>
      <w:r w:rsidR="006A6276">
        <w:rPr>
          <w:rFonts w:ascii="Times New Roman" w:hAnsi="Times New Roman" w:cs="Times New Roman"/>
        </w:rPr>
        <w:t>, known as nuclear fission</w:t>
      </w:r>
      <w:r w:rsidRPr="004131AC">
        <w:rPr>
          <w:rFonts w:ascii="Times New Roman" w:hAnsi="Times New Roman" w:cs="Times New Roman"/>
        </w:rPr>
        <w:t xml:space="preserve"> [2].</w:t>
      </w:r>
      <w:r w:rsidRPr="004131AC">
        <w:t xml:space="preserve"> </w:t>
      </w:r>
      <w:r w:rsidRPr="004131AC">
        <w:rPr>
          <w:rFonts w:ascii="Times New Roman" w:hAnsi="Times New Roman" w:cs="Times New Roman"/>
        </w:rPr>
        <w:t xml:space="preserve">In the 1930s research advanced further and scientists were experimenting with bombarding atoms with protons and neutrons in order to create artificial radionuclides. It was also illustrated that upon bombardment of the </w:t>
      </w:r>
      <w:r>
        <w:rPr>
          <w:rFonts w:ascii="Times New Roman" w:hAnsi="Times New Roman" w:cs="Times New Roman"/>
        </w:rPr>
        <w:t>fissile nuclei</w:t>
      </w:r>
      <w:r w:rsidRPr="004131AC">
        <w:rPr>
          <w:rFonts w:ascii="Times New Roman" w:hAnsi="Times New Roman" w:cs="Times New Roman"/>
        </w:rPr>
        <w:t xml:space="preserve"> </w:t>
      </w:r>
      <w:r w:rsidRPr="004131AC">
        <w:rPr>
          <w:rFonts w:ascii="Times New Roman" w:hAnsi="Times New Roman" w:cs="Times New Roman"/>
        </w:rPr>
        <w:lastRenderedPageBreak/>
        <w:t xml:space="preserve">with the neutron, the neutron is captured causing severe vibration and leading the nucleus to split into two unequal parts thus releasing significant amounts of energy [3]. This is called nuclear fission and it was discovered </w:t>
      </w:r>
      <w:r>
        <w:rPr>
          <w:rFonts w:ascii="Times New Roman" w:hAnsi="Times New Roman" w:cs="Times New Roman"/>
        </w:rPr>
        <w:t xml:space="preserve">that </w:t>
      </w:r>
      <w:r w:rsidRPr="004131AC">
        <w:rPr>
          <w:rFonts w:ascii="Times New Roman" w:hAnsi="Times New Roman" w:cs="Times New Roman"/>
        </w:rPr>
        <w:t>this reaction could release furthermore neutrons</w:t>
      </w:r>
      <w:r>
        <w:rPr>
          <w:rFonts w:ascii="Times New Roman" w:hAnsi="Times New Roman" w:cs="Times New Roman"/>
        </w:rPr>
        <w:t xml:space="preserve">, </w:t>
      </w:r>
      <w:r w:rsidRPr="004131AC">
        <w:rPr>
          <w:rFonts w:ascii="Times New Roman" w:hAnsi="Times New Roman" w:cs="Times New Roman"/>
        </w:rPr>
        <w:t xml:space="preserve">as shown in </w:t>
      </w:r>
      <w:r>
        <w:rPr>
          <w:rFonts w:ascii="Times New Roman" w:hAnsi="Times New Roman" w:cs="Times New Roman"/>
        </w:rPr>
        <w:t>F</w:t>
      </w:r>
      <w:r w:rsidRPr="004131AC">
        <w:rPr>
          <w:rFonts w:ascii="Times New Roman" w:hAnsi="Times New Roman" w:cs="Times New Roman"/>
        </w:rPr>
        <w:t xml:space="preserve">igure 2.1, leading to more fission and resulting in a chain reaction with vast amounts of energy being released. Elements that undergo this phenomenon are known as fissile, and tend to be very heavy.  </w:t>
      </w:r>
    </w:p>
    <w:p w14:paraId="2DD27542" w14:textId="77777777" w:rsidR="003D5839" w:rsidRPr="004131AC" w:rsidRDefault="003D5839" w:rsidP="003D5839">
      <w:pPr>
        <w:spacing w:line="360" w:lineRule="auto"/>
        <w:jc w:val="both"/>
        <w:rPr>
          <w:rFonts w:ascii="Times New Roman" w:hAnsi="Times New Roman" w:cs="Times New Roman"/>
        </w:rPr>
      </w:pPr>
    </w:p>
    <w:p w14:paraId="7DE92B7B" w14:textId="77777777" w:rsidR="003D5839" w:rsidRPr="001C47CE" w:rsidRDefault="003D5839" w:rsidP="00B42717">
      <w:pPr>
        <w:pStyle w:val="Footer"/>
        <w:jc w:val="center"/>
        <w:rPr>
          <w:sz w:val="20"/>
          <w:szCs w:val="20"/>
        </w:rPr>
      </w:pPr>
      <w:r>
        <w:rPr>
          <w:rFonts w:ascii="Times New Roman" w:hAnsi="Times New Roman" w:cs="Times New Roman"/>
          <w:noProof/>
          <w:sz w:val="24"/>
          <w:szCs w:val="24"/>
          <w:lang w:val="en-US"/>
        </w:rPr>
        <w:drawing>
          <wp:inline distT="0" distB="0" distL="0" distR="0" wp14:anchorId="0AD15E98" wp14:editId="1D26AA70">
            <wp:extent cx="4533900" cy="2732238"/>
            <wp:effectExtent l="0" t="0" r="0" b="0"/>
            <wp:docPr id="4" name="Picture 4" descr="C:\Users\wail.gashier\Downloads\canstockphoto17796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il.gashier\Downloads\canstockphoto1779645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33900" cy="2732238"/>
                    </a:xfrm>
                    <a:prstGeom prst="rect">
                      <a:avLst/>
                    </a:prstGeom>
                    <a:noFill/>
                    <a:ln>
                      <a:noFill/>
                    </a:ln>
                  </pic:spPr>
                </pic:pic>
              </a:graphicData>
            </a:graphic>
          </wp:inline>
        </w:drawing>
      </w:r>
      <w:r>
        <w:rPr>
          <w:rFonts w:ascii="Times New Roman" w:hAnsi="Times New Roman" w:cs="Times New Roman"/>
          <w:sz w:val="24"/>
          <w:szCs w:val="24"/>
        </w:rPr>
        <w:br/>
      </w:r>
      <w:r w:rsidRPr="00095772">
        <w:rPr>
          <w:rFonts w:ascii="Times New Roman" w:hAnsi="Times New Roman" w:cs="Times New Roman"/>
          <w:b/>
          <w:sz w:val="24"/>
          <w:szCs w:val="24"/>
        </w:rPr>
        <w:t>Figure 2.1</w:t>
      </w:r>
      <w:r>
        <w:rPr>
          <w:rFonts w:ascii="Times New Roman" w:hAnsi="Times New Roman" w:cs="Times New Roman"/>
          <w:b/>
          <w:sz w:val="24"/>
          <w:szCs w:val="24"/>
        </w:rPr>
        <w:t>*</w:t>
      </w:r>
      <w:r w:rsidRPr="00095772">
        <w:rPr>
          <w:rFonts w:ascii="Times New Roman" w:hAnsi="Times New Roman" w:cs="Times New Roman"/>
          <w:b/>
          <w:sz w:val="24"/>
          <w:szCs w:val="24"/>
        </w:rPr>
        <w:t>:</w:t>
      </w:r>
      <w:r>
        <w:rPr>
          <w:rFonts w:ascii="Times New Roman" w:hAnsi="Times New Roman" w:cs="Times New Roman"/>
          <w:sz w:val="24"/>
          <w:szCs w:val="24"/>
        </w:rPr>
        <w:t xml:space="preserve"> Fission of an element</w:t>
      </w:r>
      <w:r>
        <w:rPr>
          <w:rFonts w:ascii="Times New Roman" w:hAnsi="Times New Roman" w:cs="Times New Roman"/>
          <w:sz w:val="24"/>
          <w:szCs w:val="24"/>
        </w:rPr>
        <w:br/>
      </w:r>
      <w:r w:rsidRPr="001C47CE">
        <w:rPr>
          <w:rFonts w:ascii="Times New Roman" w:hAnsi="Times New Roman" w:cs="Times New Roman"/>
          <w:noProof/>
          <w:color w:val="A6A6A6" w:themeColor="background1" w:themeShade="A6"/>
          <w:sz w:val="20"/>
          <w:szCs w:val="20"/>
        </w:rPr>
        <w:t>*Copyright to image purchased using canstockphoto</w:t>
      </w:r>
    </w:p>
    <w:p w14:paraId="75360AF6" w14:textId="77777777" w:rsidR="003D5839" w:rsidRDefault="003D5839" w:rsidP="003D5839">
      <w:pPr>
        <w:spacing w:line="360" w:lineRule="auto"/>
        <w:rPr>
          <w:rFonts w:ascii="Times New Roman" w:hAnsi="Times New Roman" w:cs="Times New Roman"/>
          <w:b/>
        </w:rPr>
      </w:pPr>
    </w:p>
    <w:p w14:paraId="354F742E" w14:textId="77777777" w:rsidR="003D5839" w:rsidRDefault="003D5839" w:rsidP="003D5839">
      <w:pPr>
        <w:spacing w:line="360" w:lineRule="auto"/>
        <w:rPr>
          <w:rFonts w:ascii="Times New Roman" w:hAnsi="Times New Roman" w:cs="Times New Roman"/>
          <w:b/>
        </w:rPr>
      </w:pPr>
      <w:r>
        <w:rPr>
          <w:rFonts w:ascii="Times New Roman" w:hAnsi="Times New Roman" w:cs="Times New Roman"/>
          <w:b/>
        </w:rPr>
        <w:t>2.2.2</w:t>
      </w:r>
      <w:r>
        <w:rPr>
          <w:rFonts w:ascii="Times New Roman" w:hAnsi="Times New Roman" w:cs="Times New Roman"/>
          <w:b/>
        </w:rPr>
        <w:tab/>
        <w:t>Nuclear Reactors</w:t>
      </w:r>
    </w:p>
    <w:p w14:paraId="4428E972" w14:textId="7CAD9997" w:rsidR="003D5839" w:rsidRPr="006C07C6" w:rsidRDefault="003D5839" w:rsidP="003D5839">
      <w:pPr>
        <w:spacing w:line="360" w:lineRule="auto"/>
        <w:jc w:val="both"/>
        <w:rPr>
          <w:rFonts w:ascii="TimesNewRomanPSMT" w:hAnsi="TimesNewRomanPSMT" w:cs="TimesNewRomanPSMT"/>
          <w:color w:val="000000"/>
        </w:rPr>
      </w:pPr>
      <w:r>
        <w:rPr>
          <w:rFonts w:ascii="Times New Roman" w:hAnsi="Times New Roman" w:cs="Times New Roman"/>
        </w:rPr>
        <w:t xml:space="preserve">A nuclear reactor is used to control the energy produced from nuclear fission reactions [4], and ultimately produces electricity. In the UK two types of reactor are used, either gas cooled or </w:t>
      </w:r>
      <w:proofErr w:type="gramStart"/>
      <w:r>
        <w:rPr>
          <w:rFonts w:ascii="Times New Roman" w:hAnsi="Times New Roman" w:cs="Times New Roman"/>
        </w:rPr>
        <w:t>water cooled</w:t>
      </w:r>
      <w:proofErr w:type="gramEnd"/>
      <w:r>
        <w:rPr>
          <w:rFonts w:ascii="Times New Roman" w:hAnsi="Times New Roman" w:cs="Times New Roman"/>
        </w:rPr>
        <w:t xml:space="preserve">. Originally the UK developed the Magnox reactors using uranium metal fuel rods coated in magnesium-based alloy. A </w:t>
      </w:r>
      <w:r>
        <w:rPr>
          <w:rFonts w:ascii="TimesNewRomanPSMT" w:hAnsi="TimesNewRomanPSMT" w:cs="TimesNewRomanPSMT"/>
          <w:color w:val="000000"/>
          <w:position w:val="12"/>
          <w:sz w:val="16"/>
          <w:szCs w:val="16"/>
        </w:rPr>
        <w:t>235</w:t>
      </w:r>
      <w:r w:rsidR="00956AA7">
        <w:rPr>
          <w:rFonts w:ascii="TimesNewRomanPSMT" w:hAnsi="TimesNewRomanPSMT" w:cs="TimesNewRomanPSMT"/>
          <w:color w:val="000000"/>
        </w:rPr>
        <w:t>U</w:t>
      </w:r>
      <w:r>
        <w:rPr>
          <w:rFonts w:ascii="TimesNewRomanPSMT" w:hAnsi="TimesNewRomanPSMT" w:cs="TimesNewRomanPSMT"/>
          <w:color w:val="000000"/>
        </w:rPr>
        <w:t xml:space="preserve"> nucleus is bombarded with a neutron </w:t>
      </w:r>
      <w:r w:rsidR="00D978B5">
        <w:rPr>
          <w:rFonts w:ascii="TimesNewRomanPSMT" w:hAnsi="TimesNewRomanPSMT" w:cs="TimesNewRomanPSMT"/>
          <w:color w:val="000000"/>
        </w:rPr>
        <w:t xml:space="preserve">resulting in direct fission. The </w:t>
      </w:r>
      <w:r>
        <w:rPr>
          <w:rFonts w:ascii="TimesNewRomanPSMT" w:hAnsi="TimesNewRomanPSMT" w:cs="TimesNewRomanPSMT"/>
          <w:color w:val="000000"/>
        </w:rPr>
        <w:t xml:space="preserve">heavier </w:t>
      </w:r>
      <w:r>
        <w:rPr>
          <w:rFonts w:ascii="TimesNewRomanPSMT" w:hAnsi="TimesNewRomanPSMT" w:cs="TimesNewRomanPSMT"/>
          <w:color w:val="000000"/>
          <w:position w:val="12"/>
          <w:sz w:val="16"/>
          <w:szCs w:val="16"/>
        </w:rPr>
        <w:t>236</w:t>
      </w:r>
      <w:proofErr w:type="gramStart"/>
      <w:r>
        <w:rPr>
          <w:rFonts w:ascii="TimesNewRomanPSMT" w:hAnsi="TimesNewRomanPSMT" w:cs="TimesNewRomanPSMT"/>
          <w:color w:val="000000"/>
        </w:rPr>
        <w:t>U,</w:t>
      </w:r>
      <w:proofErr w:type="gramEnd"/>
      <w:r w:rsidR="00D978B5">
        <w:rPr>
          <w:rFonts w:ascii="TimesNewRomanPSMT" w:hAnsi="TimesNewRomanPSMT" w:cs="TimesNewRomanPSMT"/>
          <w:color w:val="000000"/>
        </w:rPr>
        <w:t xml:space="preserve"> is also a minor product during this process,</w:t>
      </w:r>
      <w:r>
        <w:rPr>
          <w:rFonts w:ascii="TimesNewRomanPSMT" w:hAnsi="TimesNewRomanPSMT" w:cs="TimesNewRomanPSMT"/>
          <w:color w:val="000000"/>
        </w:rPr>
        <w:t xml:space="preserve"> with 236 nucleons present in the compound nucleus. This </w:t>
      </w:r>
      <w:r w:rsidR="006D108B">
        <w:rPr>
          <w:rFonts w:ascii="TimesNewRomanPSMT" w:hAnsi="TimesNewRomanPSMT" w:cs="TimesNewRomanPSMT"/>
          <w:color w:val="000000"/>
        </w:rPr>
        <w:t>nucleus</w:t>
      </w:r>
      <w:r>
        <w:rPr>
          <w:rFonts w:ascii="TimesNewRomanPSMT" w:hAnsi="TimesNewRomanPSMT" w:cs="TimesNewRomanPSMT"/>
          <w:color w:val="000000"/>
        </w:rPr>
        <w:t xml:space="preserve"> is unstable and</w:t>
      </w:r>
      <w:r w:rsidR="00260F43">
        <w:rPr>
          <w:rFonts w:ascii="TimesNewRomanPSMT" w:hAnsi="TimesNewRomanPSMT" w:cs="TimesNewRomanPSMT"/>
          <w:color w:val="000000"/>
        </w:rPr>
        <w:t xml:space="preserve"> as a result is likely to split. </w:t>
      </w:r>
      <w:r>
        <w:rPr>
          <w:rFonts w:ascii="TimesNewRomanPSMT" w:hAnsi="TimesNewRomanPSMT" w:cs="TimesNewRomanPSMT"/>
          <w:color w:val="000000"/>
        </w:rPr>
        <w:t xml:space="preserve">During this split neutrons are emitted allowing the chain reaction to continue. The neutrons are free to move at escalated velocity and collide with nearby atoms. Upon collision, the kinetic energy is converted to thermal energy heating the surrounding system [3]. A moderator is used to slow down the released neutrons to allow them to be captured effectively by further </w:t>
      </w:r>
      <w:r>
        <w:rPr>
          <w:rFonts w:ascii="TimesNewRomanPSMT" w:hAnsi="TimesNewRomanPSMT" w:cs="TimesNewRomanPSMT"/>
          <w:color w:val="000000"/>
          <w:vertAlign w:val="superscript"/>
        </w:rPr>
        <w:t>235</w:t>
      </w:r>
      <w:r w:rsidR="00D022AF">
        <w:rPr>
          <w:rFonts w:ascii="TimesNewRomanPSMT" w:hAnsi="TimesNewRomanPSMT" w:cs="TimesNewRomanPSMT"/>
          <w:color w:val="000000"/>
        </w:rPr>
        <w:t>U. M</w:t>
      </w:r>
      <w:r>
        <w:rPr>
          <w:rFonts w:ascii="TimesNewRomanPSMT" w:hAnsi="TimesNewRomanPSMT" w:cs="TimesNewRomanPSMT"/>
          <w:color w:val="000000"/>
        </w:rPr>
        <w:t xml:space="preserve">agnox reactors are graphite moderated, whereas </w:t>
      </w:r>
      <w:proofErr w:type="gramStart"/>
      <w:r>
        <w:rPr>
          <w:rFonts w:ascii="TimesNewRomanPSMT" w:hAnsi="TimesNewRomanPSMT" w:cs="TimesNewRomanPSMT"/>
          <w:color w:val="000000"/>
        </w:rPr>
        <w:t>w</w:t>
      </w:r>
      <w:r w:rsidR="006C07C6">
        <w:rPr>
          <w:rFonts w:ascii="TimesNewRomanPSMT" w:hAnsi="TimesNewRomanPSMT" w:cs="TimesNewRomanPSMT"/>
          <w:color w:val="000000"/>
        </w:rPr>
        <w:t xml:space="preserve">ater </w:t>
      </w:r>
      <w:r>
        <w:rPr>
          <w:rFonts w:ascii="TimesNewRomanPSMT" w:hAnsi="TimesNewRomanPSMT" w:cs="TimesNewRomanPSMT"/>
          <w:color w:val="000000"/>
        </w:rPr>
        <w:t>cooled</w:t>
      </w:r>
      <w:proofErr w:type="gramEnd"/>
      <w:r>
        <w:rPr>
          <w:rFonts w:ascii="TimesNewRomanPSMT" w:hAnsi="TimesNewRomanPSMT" w:cs="TimesNewRomanPSMT"/>
          <w:color w:val="000000"/>
        </w:rPr>
        <w:t xml:space="preserve"> reactors use water as the moderator</w:t>
      </w:r>
      <w:r w:rsidR="006C07C6">
        <w:rPr>
          <w:rFonts w:ascii="TimesNewRomanPSMT" w:hAnsi="TimesNewRomanPSMT" w:cs="TimesNewRomanPSMT"/>
          <w:color w:val="000000"/>
        </w:rPr>
        <w:t xml:space="preserve">. </w:t>
      </w:r>
      <w:r>
        <w:rPr>
          <w:rFonts w:ascii="TimesNewRomanPSMT" w:hAnsi="TimesNewRomanPSMT" w:cs="TimesNewRomanPSMT"/>
          <w:color w:val="000000"/>
        </w:rPr>
        <w:t>Furthermore, in</w:t>
      </w:r>
      <w:r w:rsidR="006C07C6">
        <w:rPr>
          <w:rFonts w:ascii="TimesNewRomanPSMT" w:hAnsi="TimesNewRomanPSMT" w:cs="TimesNewRomanPSMT"/>
          <w:color w:val="000000"/>
        </w:rPr>
        <w:t xml:space="preserve"> some reactors, in </w:t>
      </w:r>
      <w:r>
        <w:rPr>
          <w:rFonts w:ascii="TimesNewRomanPSMT" w:hAnsi="TimesNewRomanPSMT" w:cs="TimesNewRomanPSMT"/>
          <w:color w:val="000000"/>
        </w:rPr>
        <w:t xml:space="preserve">order to enhance the </w:t>
      </w:r>
      <w:r>
        <w:rPr>
          <w:rFonts w:ascii="TimesNewRomanPSMT" w:hAnsi="TimesNewRomanPSMT" w:cs="TimesNewRomanPSMT"/>
          <w:color w:val="000000"/>
        </w:rPr>
        <w:lastRenderedPageBreak/>
        <w:t xml:space="preserve">probability of these collisions the uranium is usually enriched to increase the proportion of </w:t>
      </w:r>
      <w:r>
        <w:rPr>
          <w:rFonts w:ascii="TimesNewRomanPSMT" w:hAnsi="TimesNewRomanPSMT" w:cs="TimesNewRomanPSMT"/>
          <w:color w:val="000000"/>
          <w:vertAlign w:val="superscript"/>
        </w:rPr>
        <w:t>235</w:t>
      </w:r>
      <w:r>
        <w:rPr>
          <w:rFonts w:ascii="TimesNewRomanPSMT" w:hAnsi="TimesNewRomanPSMT" w:cs="TimesNewRomanPSMT"/>
          <w:color w:val="000000"/>
        </w:rPr>
        <w:t xml:space="preserve">U present [4]. </w:t>
      </w:r>
    </w:p>
    <w:p w14:paraId="709080FE" w14:textId="76D5276F" w:rsidR="003D5839" w:rsidRDefault="003D5839" w:rsidP="003D5839">
      <w:pPr>
        <w:spacing w:line="360" w:lineRule="auto"/>
        <w:jc w:val="both"/>
        <w:rPr>
          <w:rFonts w:ascii="TimesNewRomanPSMT" w:hAnsi="TimesNewRomanPSMT" w:cs="TimesNewRomanPSMT"/>
          <w:color w:val="000000"/>
        </w:rPr>
      </w:pPr>
      <w:r>
        <w:rPr>
          <w:rFonts w:ascii="TimesNewRomanPSMT" w:hAnsi="TimesNewRomanPSMT" w:cs="TimesNewRomanPSMT"/>
          <w:color w:val="000000"/>
        </w:rPr>
        <w:t xml:space="preserve">The use of uranium metal in the Magnox reactors presented limitations due to a </w:t>
      </w:r>
      <w:r w:rsidRPr="00B16FC8">
        <w:rPr>
          <w:rFonts w:ascii="TimesNewRomanPSMT" w:hAnsi="TimesNewRomanPSMT" w:cs="TimesNewRomanPSMT"/>
          <w:color w:val="000000"/>
        </w:rPr>
        <w:t>α</w:t>
      </w:r>
      <w:r>
        <w:rPr>
          <w:rFonts w:ascii="TimesNewRomanPSMT" w:hAnsi="TimesNewRomanPSMT" w:cs="TimesNewRomanPSMT"/>
          <w:color w:val="000000"/>
        </w:rPr>
        <w:t>-</w:t>
      </w:r>
      <w:r w:rsidRPr="00B16FC8">
        <w:rPr>
          <w:rFonts w:ascii="TimesNewRomanPSMT" w:hAnsi="TimesNewRomanPSMT" w:cs="TimesNewRomanPSMT"/>
          <w:color w:val="000000"/>
        </w:rPr>
        <w:t>β</w:t>
      </w:r>
      <w:r>
        <w:rPr>
          <w:rFonts w:ascii="TimesNewRomanPSMT" w:hAnsi="TimesNewRomanPSMT" w:cs="TimesNewRomanPSMT"/>
          <w:color w:val="000000"/>
        </w:rPr>
        <w:t xml:space="preserve"> phase transition of uranium at 661</w:t>
      </w:r>
      <w:r>
        <w:rPr>
          <w:rFonts w:ascii="TimesNewRomanPSMT" w:hAnsi="TimesNewRomanPSMT" w:cs="TimesNewRomanPSMT"/>
          <w:color w:val="000000"/>
          <w:vertAlign w:val="superscript"/>
        </w:rPr>
        <w:t>o</w:t>
      </w:r>
      <w:r>
        <w:rPr>
          <w:rFonts w:ascii="TimesNewRomanPSMT" w:hAnsi="TimesNewRomanPSMT" w:cs="TimesNewRomanPSMT"/>
          <w:color w:val="000000"/>
        </w:rPr>
        <w:t xml:space="preserve">C, resulting in a volume change, surface deformation and cavity formation. Furthermore the melting temperature of </w:t>
      </w:r>
      <w:r w:rsidR="006C07C6">
        <w:rPr>
          <w:rFonts w:ascii="TimesNewRomanPSMT" w:hAnsi="TimesNewRomanPSMT" w:cs="TimesNewRomanPSMT"/>
          <w:color w:val="000000"/>
        </w:rPr>
        <w:t>M</w:t>
      </w:r>
      <w:r>
        <w:rPr>
          <w:rFonts w:ascii="TimesNewRomanPSMT" w:hAnsi="TimesNewRomanPSMT" w:cs="TimesNewRomanPSMT"/>
          <w:color w:val="000000"/>
        </w:rPr>
        <w:t xml:space="preserve">agnox is around </w:t>
      </w:r>
      <w:proofErr w:type="gramStart"/>
      <w:r>
        <w:rPr>
          <w:rFonts w:ascii="TimesNewRomanPSMT" w:hAnsi="TimesNewRomanPSMT" w:cs="TimesNewRomanPSMT"/>
          <w:color w:val="000000"/>
        </w:rPr>
        <w:t>650</w:t>
      </w:r>
      <w:r>
        <w:rPr>
          <w:rFonts w:ascii="TimesNewRomanPSMT" w:hAnsi="TimesNewRomanPSMT" w:cs="TimesNewRomanPSMT"/>
          <w:color w:val="000000"/>
          <w:vertAlign w:val="superscript"/>
        </w:rPr>
        <w:t>o</w:t>
      </w:r>
      <w:r>
        <w:rPr>
          <w:rFonts w:ascii="TimesNewRomanPSMT" w:hAnsi="TimesNewRomanPSMT" w:cs="TimesNewRomanPSMT"/>
          <w:color w:val="000000"/>
        </w:rPr>
        <w:t>C,</w:t>
      </w:r>
      <w:proofErr w:type="gramEnd"/>
      <w:r>
        <w:rPr>
          <w:rFonts w:ascii="TimesNewRomanPSMT" w:hAnsi="TimesNewRomanPSMT" w:cs="TimesNewRomanPSMT"/>
          <w:color w:val="000000"/>
        </w:rPr>
        <w:t xml:space="preserve"> therefore the cladding also limits the temperature to no higher than this [5,6]. This limits the </w:t>
      </w:r>
      <w:r w:rsidR="006D108B">
        <w:rPr>
          <w:rFonts w:ascii="TimesNewRomanPSMT" w:hAnsi="TimesNewRomanPSMT" w:cs="TimesNewRomanPSMT"/>
          <w:color w:val="000000"/>
        </w:rPr>
        <w:t>maximum</w:t>
      </w:r>
      <w:r>
        <w:rPr>
          <w:rFonts w:ascii="TimesNewRomanPSMT" w:hAnsi="TimesNewRomanPSMT" w:cs="TimesNewRomanPSMT"/>
          <w:color w:val="000000"/>
        </w:rPr>
        <w:t xml:space="preserve"> reactor coolant </w:t>
      </w:r>
      <w:r w:rsidR="006D108B">
        <w:rPr>
          <w:rFonts w:ascii="TimesNewRomanPSMT" w:hAnsi="TimesNewRomanPSMT" w:cs="TimesNewRomanPSMT"/>
          <w:color w:val="000000"/>
        </w:rPr>
        <w:t>temperature, which</w:t>
      </w:r>
      <w:r>
        <w:rPr>
          <w:rFonts w:ascii="TimesNewRomanPSMT" w:hAnsi="TimesNewRomanPSMT" w:cs="TimesNewRomanPSMT"/>
          <w:color w:val="000000"/>
        </w:rPr>
        <w:t xml:space="preserve"> limits the steam temperature. Therefore in future reactors and also in current PWRs the uranium is supplied in the form of uranium oxide (UO</w:t>
      </w:r>
      <w:r>
        <w:rPr>
          <w:rFonts w:ascii="TimesNewRomanPSMT" w:hAnsi="TimesNewRomanPSMT" w:cs="TimesNewRomanPSMT"/>
          <w:color w:val="000000"/>
          <w:vertAlign w:val="subscript"/>
        </w:rPr>
        <w:t>2</w:t>
      </w:r>
      <w:r>
        <w:rPr>
          <w:rFonts w:ascii="TimesNewRomanPSMT" w:hAnsi="TimesNewRomanPSMT" w:cs="TimesNewRomanPSMT"/>
          <w:color w:val="000000"/>
        </w:rPr>
        <w:t xml:space="preserve">) pellets arranged in tubes to form fuel rods, which are then assembled to form the reactor core. The fuel rod life expectancy depends on the ratio of </w:t>
      </w:r>
      <w:r>
        <w:rPr>
          <w:rFonts w:ascii="TimesNewRomanPSMT" w:hAnsi="TimesNewRomanPSMT" w:cs="TimesNewRomanPSMT"/>
          <w:color w:val="000000"/>
          <w:vertAlign w:val="superscript"/>
        </w:rPr>
        <w:t>235</w:t>
      </w:r>
      <w:r>
        <w:rPr>
          <w:rFonts w:ascii="TimesNewRomanPSMT" w:hAnsi="TimesNewRomanPSMT" w:cs="TimesNewRomanPSMT"/>
          <w:color w:val="000000"/>
        </w:rPr>
        <w:t xml:space="preserve">U to </w:t>
      </w:r>
      <w:r>
        <w:rPr>
          <w:rFonts w:ascii="TimesNewRomanPSMT" w:hAnsi="TimesNewRomanPSMT" w:cs="TimesNewRomanPSMT"/>
          <w:color w:val="000000"/>
          <w:vertAlign w:val="superscript"/>
        </w:rPr>
        <w:t>238</w:t>
      </w:r>
      <w:r>
        <w:rPr>
          <w:rFonts w:ascii="TimesNewRomanPSMT" w:hAnsi="TimesNewRomanPSMT" w:cs="TimesNewRomanPSMT"/>
          <w:color w:val="000000"/>
        </w:rPr>
        <w:t xml:space="preserve">U in the fuel.  This is because the majority of fuel used in nuclear reactors usually contains a small percentage of </w:t>
      </w:r>
      <w:r>
        <w:rPr>
          <w:rFonts w:ascii="TimesNewRomanPSMT" w:hAnsi="TimesNewRomanPSMT" w:cs="TimesNewRomanPSMT"/>
          <w:color w:val="000000"/>
          <w:vertAlign w:val="superscript"/>
        </w:rPr>
        <w:t>235</w:t>
      </w:r>
      <w:r>
        <w:rPr>
          <w:rFonts w:ascii="TimesNewRomanPSMT" w:hAnsi="TimesNewRomanPSMT" w:cs="TimesNewRomanPSMT"/>
          <w:color w:val="000000"/>
        </w:rPr>
        <w:t xml:space="preserve">U, with </w:t>
      </w:r>
      <w:r>
        <w:rPr>
          <w:rFonts w:ascii="TimesNewRomanPSMT" w:hAnsi="TimesNewRomanPSMT" w:cs="TimesNewRomanPSMT"/>
          <w:color w:val="000000"/>
          <w:vertAlign w:val="superscript"/>
        </w:rPr>
        <w:t>238</w:t>
      </w:r>
      <w:r>
        <w:rPr>
          <w:rFonts w:ascii="TimesNewRomanPSMT" w:hAnsi="TimesNewRomanPSMT" w:cs="TimesNewRomanPSMT"/>
          <w:color w:val="000000"/>
        </w:rPr>
        <w:t xml:space="preserve">U making up the rest. This </w:t>
      </w:r>
      <w:r>
        <w:rPr>
          <w:rFonts w:ascii="TimesNewRomanPSMT" w:hAnsi="TimesNewRomanPSMT" w:cs="TimesNewRomanPSMT"/>
          <w:color w:val="000000"/>
          <w:vertAlign w:val="superscript"/>
        </w:rPr>
        <w:t>238</w:t>
      </w:r>
      <w:r>
        <w:rPr>
          <w:rFonts w:ascii="TimesNewRomanPSMT" w:hAnsi="TimesNewRomanPSMT" w:cs="TimesNewRomanPSMT"/>
          <w:color w:val="000000"/>
        </w:rPr>
        <w:t xml:space="preserve">U isotope does not split when absorbing neutrons, and forms </w:t>
      </w:r>
      <w:r>
        <w:rPr>
          <w:rFonts w:ascii="TimesNewRomanPSMT" w:hAnsi="TimesNewRomanPSMT" w:cs="TimesNewRomanPSMT"/>
          <w:color w:val="000000"/>
          <w:vertAlign w:val="superscript"/>
        </w:rPr>
        <w:t>239</w:t>
      </w:r>
      <w:r>
        <w:rPr>
          <w:rFonts w:ascii="TimesNewRomanPSMT" w:hAnsi="TimesNewRomanPSMT" w:cs="TimesNewRomanPSMT"/>
          <w:color w:val="000000"/>
        </w:rPr>
        <w:t xml:space="preserve">U. Therefore as fission progresses the amount of </w:t>
      </w:r>
      <w:r>
        <w:rPr>
          <w:rFonts w:ascii="TimesNewRomanPSMT" w:hAnsi="TimesNewRomanPSMT" w:cs="TimesNewRomanPSMT"/>
          <w:color w:val="000000"/>
          <w:vertAlign w:val="superscript"/>
        </w:rPr>
        <w:t>235</w:t>
      </w:r>
      <w:r>
        <w:rPr>
          <w:rFonts w:ascii="TimesNewRomanPSMT" w:hAnsi="TimesNewRomanPSMT" w:cs="TimesNewRomanPSMT"/>
          <w:color w:val="000000"/>
        </w:rPr>
        <w:t xml:space="preserve">U decreases, and the amount of neutron absorbing fission products increases, resulting in lower neutron bombardment efficiency on </w:t>
      </w:r>
      <w:r>
        <w:rPr>
          <w:rFonts w:ascii="TimesNewRomanPSMT" w:hAnsi="TimesNewRomanPSMT" w:cs="TimesNewRomanPSMT"/>
          <w:color w:val="000000"/>
          <w:vertAlign w:val="superscript"/>
        </w:rPr>
        <w:t>235</w:t>
      </w:r>
      <w:r>
        <w:rPr>
          <w:rFonts w:ascii="TimesNewRomanPSMT" w:hAnsi="TimesNewRomanPSMT" w:cs="TimesNewRomanPSMT"/>
          <w:color w:val="000000"/>
        </w:rPr>
        <w:t xml:space="preserve">U and poisoning the fuel and reducing reactor efficiency, at which point the fuel rods must be replaced. </w:t>
      </w:r>
    </w:p>
    <w:p w14:paraId="72B19485" w14:textId="77777777" w:rsidR="003D5839" w:rsidRDefault="003D5839" w:rsidP="003D5839">
      <w:pPr>
        <w:spacing w:line="360" w:lineRule="auto"/>
        <w:jc w:val="both"/>
        <w:rPr>
          <w:rFonts w:ascii="TimesNewRomanPSMT" w:hAnsi="TimesNewRomanPSMT" w:cs="TimesNewRomanPSMT"/>
          <w:color w:val="000000"/>
        </w:rPr>
      </w:pPr>
      <w:r>
        <w:rPr>
          <w:rFonts w:ascii="Times New Roman" w:hAnsi="Times New Roman" w:cs="Times New Roman"/>
        </w:rPr>
        <w:t xml:space="preserve">Once the nuclear fuel has been irradiated in a nuclear reactor, it is referred to as used or spent nuclear fuel. At the Sellafield site, Cumbria, UK, the spent fuel is reprocessed to recover reusable uranium. </w:t>
      </w:r>
    </w:p>
    <w:p w14:paraId="79D22DE3" w14:textId="77777777" w:rsidR="00A941A8" w:rsidRDefault="00A941A8" w:rsidP="003D5839">
      <w:pPr>
        <w:spacing w:line="360" w:lineRule="auto"/>
        <w:jc w:val="both"/>
        <w:rPr>
          <w:rFonts w:ascii="TimesNewRomanPSMT" w:hAnsi="TimesNewRomanPSMT" w:cs="TimesNewRomanPSMT"/>
          <w:color w:val="000000"/>
        </w:rPr>
      </w:pPr>
    </w:p>
    <w:p w14:paraId="6E439278" w14:textId="77777777" w:rsidR="003D5839" w:rsidRDefault="003D5839" w:rsidP="003D5839">
      <w:pPr>
        <w:spacing w:line="360" w:lineRule="auto"/>
        <w:rPr>
          <w:rFonts w:ascii="Times New Roman" w:hAnsi="Times New Roman" w:cs="Times New Roman"/>
          <w:b/>
        </w:rPr>
      </w:pPr>
      <w:r>
        <w:rPr>
          <w:rFonts w:ascii="Times New Roman" w:hAnsi="Times New Roman" w:cs="Times New Roman"/>
          <w:b/>
        </w:rPr>
        <w:t>2.2.3</w:t>
      </w:r>
      <w:r>
        <w:rPr>
          <w:rFonts w:ascii="Times New Roman" w:hAnsi="Times New Roman" w:cs="Times New Roman"/>
          <w:b/>
        </w:rPr>
        <w:tab/>
        <w:t>Waste Management</w:t>
      </w:r>
    </w:p>
    <w:p w14:paraId="3156E6C7" w14:textId="78E17A3D" w:rsidR="003D5839" w:rsidRDefault="003D5839" w:rsidP="003D5839">
      <w:pPr>
        <w:spacing w:line="360" w:lineRule="auto"/>
        <w:jc w:val="both"/>
        <w:rPr>
          <w:rFonts w:ascii="Times New Roman" w:hAnsi="Times New Roman" w:cs="Times New Roman"/>
        </w:rPr>
      </w:pPr>
      <w:r>
        <w:rPr>
          <w:rFonts w:ascii="Times New Roman" w:hAnsi="Times New Roman" w:cs="Times New Roman"/>
        </w:rPr>
        <w:t>Unlike the burning of fossil fuels the use of nuclear fission to produce energy does not result in any emissions of gases that are harmful to the environment. However the main concern attached to the use of nuclear power is the highly radioactive and significantly toxic waste produced.</w:t>
      </w:r>
      <w:r w:rsidRPr="00D3366C">
        <w:t xml:space="preserve"> </w:t>
      </w:r>
      <w:r w:rsidRPr="00D3366C">
        <w:rPr>
          <w:rFonts w:ascii="Times New Roman" w:hAnsi="Times New Roman" w:cs="Times New Roman"/>
        </w:rPr>
        <w:t xml:space="preserve">These wastes can be a product of uranium mining, reactor operation, fuel preparation, processing of fuel </w:t>
      </w:r>
      <w:r>
        <w:rPr>
          <w:rFonts w:ascii="Times New Roman" w:hAnsi="Times New Roman" w:cs="Times New Roman"/>
        </w:rPr>
        <w:t>or the</w:t>
      </w:r>
      <w:r w:rsidRPr="00D3366C">
        <w:rPr>
          <w:rFonts w:ascii="Times New Roman" w:hAnsi="Times New Roman" w:cs="Times New Roman"/>
        </w:rPr>
        <w:t xml:space="preserve"> decommissioning of the actual nuclear facility</w:t>
      </w:r>
      <w:r>
        <w:rPr>
          <w:rFonts w:ascii="Times New Roman" w:hAnsi="Times New Roman" w:cs="Times New Roman"/>
        </w:rPr>
        <w:t>. According to IAEA Safety Standards [7] the wastes are classed as primary or secondary. Primary wastes include products of fission reactions, fuel rod cladding and unwanted transuranic elements, whilst secondary wastes are usually reagents, solvents or contaminated worn-out equipment. There are three categories used in the UK to classify the nuclear wastes based on their radioactivity. The first is low level wastes (LLW), which encompasses wastes that contain very small activity of radionuclides usually having a radioactive content of</w:t>
      </w:r>
      <w:r w:rsidR="00A941A8">
        <w:rPr>
          <w:rFonts w:ascii="Times New Roman" w:hAnsi="Times New Roman" w:cs="Times New Roman"/>
        </w:rPr>
        <w:t xml:space="preserve"> up to 4000 Bq/g of alpha and </w:t>
      </w:r>
      <w:r>
        <w:rPr>
          <w:rFonts w:ascii="Times New Roman" w:hAnsi="Times New Roman" w:cs="Times New Roman"/>
        </w:rPr>
        <w:t>12000 Bq/g of beta activity. Examples include waste produced in the medical indus</w:t>
      </w:r>
      <w:r w:rsidR="005720F6">
        <w:rPr>
          <w:rFonts w:ascii="Times New Roman" w:hAnsi="Times New Roman" w:cs="Times New Roman"/>
        </w:rPr>
        <w:t>try and contaminated garments. T</w:t>
      </w:r>
      <w:r>
        <w:rPr>
          <w:rFonts w:ascii="Times New Roman" w:hAnsi="Times New Roman" w:cs="Times New Roman"/>
        </w:rPr>
        <w:t xml:space="preserve">he radiation is sufficient to require disposal, </w:t>
      </w:r>
      <w:r>
        <w:rPr>
          <w:rFonts w:ascii="Times New Roman" w:hAnsi="Times New Roman" w:cs="Times New Roman"/>
        </w:rPr>
        <w:lastRenderedPageBreak/>
        <w:t xml:space="preserve">and near surface storage is used as a shielding measure. The second category is intermediate level wastes (ILW). They are </w:t>
      </w:r>
      <w:r w:rsidRPr="00B31C14">
        <w:rPr>
          <w:rFonts w:ascii="Times New Roman" w:hAnsi="Times New Roman" w:cs="Times New Roman"/>
        </w:rPr>
        <w:t>less abundant</w:t>
      </w:r>
      <w:r>
        <w:rPr>
          <w:rFonts w:ascii="Times New Roman" w:hAnsi="Times New Roman" w:cs="Times New Roman"/>
        </w:rPr>
        <w:t xml:space="preserve"> than LLW and contain a higher concentration of radionuclides, resulting in higher radioactivity</w:t>
      </w:r>
      <w:r w:rsidR="00C11C07">
        <w:rPr>
          <w:rFonts w:ascii="Times New Roman" w:hAnsi="Times New Roman" w:cs="Times New Roman"/>
        </w:rPr>
        <w:t>. A</w:t>
      </w:r>
      <w:r>
        <w:rPr>
          <w:rFonts w:ascii="Times New Roman" w:hAnsi="Times New Roman" w:cs="Times New Roman"/>
        </w:rPr>
        <w:t xml:space="preserve">nything above 4000 Bq/g alpha or 12000 Bq/g beta activity is classed as ILW [8]. As a result ILW require special measures for handling, storage and disposal. Finally </w:t>
      </w:r>
      <w:proofErr w:type="gramStart"/>
      <w:r>
        <w:rPr>
          <w:rFonts w:ascii="Times New Roman" w:hAnsi="Times New Roman" w:cs="Times New Roman"/>
        </w:rPr>
        <w:t>high level</w:t>
      </w:r>
      <w:proofErr w:type="gramEnd"/>
      <w:r>
        <w:rPr>
          <w:rFonts w:ascii="Times New Roman" w:hAnsi="Times New Roman" w:cs="Times New Roman"/>
        </w:rPr>
        <w:t xml:space="preserve"> wastes (HLW), are the least abundant of the three and are highly radioactive, however also produce heat, to the extent that the significant heat produced from radioactive decay is sufficient </w:t>
      </w:r>
      <w:r w:rsidR="00F407A1">
        <w:rPr>
          <w:rFonts w:ascii="Times New Roman" w:hAnsi="Times New Roman" w:cs="Times New Roman"/>
        </w:rPr>
        <w:t>to require</w:t>
      </w:r>
      <w:r>
        <w:rPr>
          <w:rFonts w:ascii="Times New Roman" w:hAnsi="Times New Roman" w:cs="Times New Roman"/>
        </w:rPr>
        <w:t xml:space="preserve"> that waste to be cooled. </w:t>
      </w:r>
    </w:p>
    <w:p w14:paraId="6DE02A65" w14:textId="6A56C2F6" w:rsidR="003D5839" w:rsidRDefault="003D5839" w:rsidP="003D5839">
      <w:pPr>
        <w:spacing w:line="360" w:lineRule="auto"/>
        <w:jc w:val="both"/>
        <w:rPr>
          <w:rFonts w:ascii="Times New Roman" w:hAnsi="Times New Roman" w:cs="Times New Roman"/>
        </w:rPr>
      </w:pPr>
      <w:r>
        <w:rPr>
          <w:rFonts w:ascii="Times New Roman" w:hAnsi="Times New Roman" w:cs="Times New Roman"/>
        </w:rPr>
        <w:t xml:space="preserve">Various methods are used to safely contain the different types of nuclear wastes. LLW and ILW are usually in encapsulated in composite cements of differing compositions, </w:t>
      </w:r>
      <w:r w:rsidR="005720F6">
        <w:rPr>
          <w:rFonts w:ascii="Times New Roman" w:hAnsi="Times New Roman" w:cs="Times New Roman"/>
        </w:rPr>
        <w:t>whereas</w:t>
      </w:r>
      <w:r>
        <w:rPr>
          <w:rFonts w:ascii="Times New Roman" w:hAnsi="Times New Roman" w:cs="Times New Roman"/>
        </w:rPr>
        <w:t xml:space="preserve"> HLW are predominantly vitrified in glassy matrices [</w:t>
      </w:r>
      <w:r w:rsidR="003D6F15">
        <w:rPr>
          <w:rFonts w:ascii="Times New Roman" w:hAnsi="Times New Roman" w:cs="Times New Roman"/>
        </w:rPr>
        <w:t>8</w:t>
      </w:r>
      <w:r>
        <w:rPr>
          <w:rFonts w:ascii="Times New Roman" w:hAnsi="Times New Roman" w:cs="Times New Roman"/>
        </w:rPr>
        <w:t xml:space="preserve">]. </w:t>
      </w:r>
    </w:p>
    <w:p w14:paraId="4BC7572E" w14:textId="27AF0408" w:rsidR="003D5839" w:rsidRDefault="003D5839" w:rsidP="003D5839">
      <w:pPr>
        <w:spacing w:line="360" w:lineRule="auto"/>
        <w:jc w:val="both"/>
        <w:rPr>
          <w:rFonts w:ascii="Times New Roman" w:hAnsi="Times New Roman" w:cs="Times New Roman"/>
        </w:rPr>
      </w:pPr>
      <w:r>
        <w:rPr>
          <w:rFonts w:ascii="Times New Roman" w:hAnsi="Times New Roman" w:cs="Times New Roman"/>
        </w:rPr>
        <w:t>The composite cement systems used in the UK to encapsulate ILW are Portland cement blends mixed with either blast furnace slag or pulverised fuel ash at various ratios [</w:t>
      </w:r>
      <w:r w:rsidR="003D6F15">
        <w:rPr>
          <w:rFonts w:ascii="Times New Roman" w:hAnsi="Times New Roman" w:cs="Times New Roman"/>
        </w:rPr>
        <w:t>8</w:t>
      </w:r>
      <w:r>
        <w:rPr>
          <w:rFonts w:ascii="Times New Roman" w:hAnsi="Times New Roman" w:cs="Times New Roman"/>
        </w:rPr>
        <w:t>]. The cementitious wastes are then poured into steel drums, as shown in Figure 2.2. These drums are currently stored above ground at Sellafield, Cumbria, UK until a suitable and sustainable storage facility is decided. Preliminary discussions finalised in 2006 by the Committee for Radioactive Waste management (CoRWM) proposed that the steel drums be stored geologically i.e. buried up to 1km below the surface of the earth</w:t>
      </w:r>
      <w:r w:rsidR="00AA3254">
        <w:rPr>
          <w:rFonts w:ascii="Times New Roman" w:hAnsi="Times New Roman" w:cs="Times New Roman"/>
        </w:rPr>
        <w:t xml:space="preserve"> [</w:t>
      </w:r>
      <w:r w:rsidR="003D6F15">
        <w:rPr>
          <w:rFonts w:ascii="Times New Roman" w:hAnsi="Times New Roman" w:cs="Times New Roman"/>
        </w:rPr>
        <w:t>8</w:t>
      </w:r>
      <w:r w:rsidR="00AA3254">
        <w:rPr>
          <w:rFonts w:ascii="Times New Roman" w:hAnsi="Times New Roman" w:cs="Times New Roman"/>
        </w:rPr>
        <w:t>]</w:t>
      </w:r>
      <w:r>
        <w:rPr>
          <w:rFonts w:ascii="Times New Roman" w:hAnsi="Times New Roman" w:cs="Times New Roman"/>
        </w:rPr>
        <w:t xml:space="preserve">. The steel containers are filled with cementitous wasteform, sealed, stacked and backfilled using cement blends and then </w:t>
      </w:r>
      <w:r w:rsidR="00892BCB">
        <w:rPr>
          <w:rFonts w:ascii="Times New Roman" w:hAnsi="Times New Roman" w:cs="Times New Roman"/>
        </w:rPr>
        <w:t xml:space="preserve">the LLW is </w:t>
      </w:r>
      <w:r>
        <w:rPr>
          <w:rFonts w:ascii="Times New Roman" w:hAnsi="Times New Roman" w:cs="Times New Roman"/>
        </w:rPr>
        <w:t>stored in the Drigg Repository, Cumbria, UK</w:t>
      </w:r>
      <w:r w:rsidR="00892BCB">
        <w:rPr>
          <w:rFonts w:ascii="Times New Roman" w:hAnsi="Times New Roman" w:cs="Times New Roman"/>
        </w:rPr>
        <w:t xml:space="preserve"> and the ILW drums are stored at Sellafiled, on site</w:t>
      </w:r>
      <w:r>
        <w:rPr>
          <w:rFonts w:ascii="Times New Roman" w:hAnsi="Times New Roman" w:cs="Times New Roman"/>
        </w:rPr>
        <w:t xml:space="preserve">. The purpose of the backfill serves to retain any radionuclides from the waste that escape the steel drums via leakage or otherwise. </w:t>
      </w:r>
    </w:p>
    <w:p w14:paraId="5DBF2C57" w14:textId="77777777" w:rsidR="00421803" w:rsidRPr="00111EC8" w:rsidRDefault="00421803" w:rsidP="003D5839">
      <w:pPr>
        <w:spacing w:line="360" w:lineRule="auto"/>
        <w:jc w:val="both"/>
        <w:rPr>
          <w:rFonts w:ascii="Times New Roman" w:hAnsi="Times New Roman" w:cs="Times New Roman"/>
        </w:rPr>
      </w:pPr>
    </w:p>
    <w:p w14:paraId="39686E88" w14:textId="77777777" w:rsidR="003D5839" w:rsidRPr="005615DA" w:rsidRDefault="003D5839" w:rsidP="003D5839">
      <w:pPr>
        <w:spacing w:line="360" w:lineRule="auto"/>
        <w:jc w:val="center"/>
        <w:rPr>
          <w:rFonts w:ascii="Times New Roman" w:hAnsi="Times New Roman" w:cs="Times New Roman"/>
          <w:b/>
          <w:color w:val="000000"/>
        </w:rPr>
      </w:pPr>
      <w:r w:rsidRPr="005615DA">
        <w:rPr>
          <w:rFonts w:ascii="Times New Roman" w:hAnsi="Times New Roman" w:cs="Times New Roman"/>
          <w:noProof/>
        </w:rPr>
        <w:drawing>
          <wp:inline distT="0" distB="0" distL="0" distR="0" wp14:anchorId="6F654D85" wp14:editId="1C5BE86C">
            <wp:extent cx="4371804" cy="2188724"/>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2597"/>
                    <a:stretch/>
                  </pic:blipFill>
                  <pic:spPr bwMode="auto">
                    <a:xfrm>
                      <a:off x="0" y="0"/>
                      <a:ext cx="4371804" cy="2188724"/>
                    </a:xfrm>
                    <a:prstGeom prst="rect">
                      <a:avLst/>
                    </a:prstGeom>
                    <a:ln w="635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Times New Roman" w:hAnsi="Times New Roman" w:cs="Times New Roman"/>
          <w:b/>
          <w:color w:val="000000"/>
        </w:rPr>
        <w:br/>
      </w:r>
      <w:r w:rsidRPr="00F34A22">
        <w:rPr>
          <w:rFonts w:ascii="Times New Roman" w:hAnsi="Times New Roman" w:cs="Times New Roman"/>
          <w:b/>
          <w:color w:val="000000"/>
        </w:rPr>
        <w:t xml:space="preserve">Figure 2.2: </w:t>
      </w:r>
      <w:r w:rsidRPr="00F34A22">
        <w:rPr>
          <w:rFonts w:ascii="Times New Roman" w:hAnsi="Times New Roman" w:cs="Times New Roman"/>
        </w:rPr>
        <w:t>Cement-encapsulated ILW in 500-L drums [</w:t>
      </w:r>
      <w:r>
        <w:rPr>
          <w:rFonts w:ascii="Times New Roman" w:hAnsi="Times New Roman" w:cs="Times New Roman"/>
        </w:rPr>
        <w:t>9</w:t>
      </w:r>
      <w:r w:rsidRPr="00F34A22">
        <w:rPr>
          <w:rFonts w:ascii="Times New Roman" w:hAnsi="Times New Roman" w:cs="Times New Roman"/>
        </w:rPr>
        <w:t>]</w:t>
      </w:r>
    </w:p>
    <w:p w14:paraId="766523AE" w14:textId="77777777" w:rsidR="003D5839" w:rsidRDefault="003D5839" w:rsidP="003D5839">
      <w:pPr>
        <w:spacing w:line="360" w:lineRule="auto"/>
        <w:jc w:val="both"/>
        <w:rPr>
          <w:rFonts w:ascii="Times New Roman" w:hAnsi="Times New Roman" w:cs="Times New Roman"/>
        </w:rPr>
      </w:pPr>
    </w:p>
    <w:p w14:paraId="2D5E4DEA" w14:textId="77777777" w:rsidR="00AA3254" w:rsidRDefault="00AA3254" w:rsidP="003D5839">
      <w:pPr>
        <w:spacing w:line="360" w:lineRule="auto"/>
        <w:jc w:val="both"/>
        <w:rPr>
          <w:rFonts w:ascii="Times New Roman" w:hAnsi="Times New Roman" w:cs="Times New Roman"/>
          <w:b/>
        </w:rPr>
      </w:pPr>
    </w:p>
    <w:p w14:paraId="75A58CB0" w14:textId="77777777" w:rsidR="00962F3A" w:rsidRDefault="00962F3A" w:rsidP="003D5839">
      <w:pPr>
        <w:spacing w:line="360" w:lineRule="auto"/>
        <w:jc w:val="both"/>
        <w:rPr>
          <w:rFonts w:ascii="Times New Roman" w:hAnsi="Times New Roman" w:cs="Times New Roman"/>
          <w:b/>
        </w:rPr>
      </w:pPr>
    </w:p>
    <w:p w14:paraId="2116C6F8" w14:textId="1D24062B" w:rsidR="003D5839" w:rsidRDefault="003D5839" w:rsidP="003D5839">
      <w:pPr>
        <w:spacing w:line="360" w:lineRule="auto"/>
        <w:jc w:val="both"/>
        <w:rPr>
          <w:rFonts w:ascii="Times New Roman" w:hAnsi="Times New Roman" w:cs="Times New Roman"/>
          <w:b/>
        </w:rPr>
      </w:pPr>
      <w:r>
        <w:rPr>
          <w:rFonts w:ascii="Times New Roman" w:hAnsi="Times New Roman" w:cs="Times New Roman"/>
          <w:b/>
        </w:rPr>
        <w:t>2.2.4</w:t>
      </w:r>
      <w:r>
        <w:rPr>
          <w:rFonts w:ascii="Times New Roman" w:hAnsi="Times New Roman" w:cs="Times New Roman"/>
          <w:b/>
        </w:rPr>
        <w:tab/>
        <w:t>Transuranic Wastes (TRU)</w:t>
      </w:r>
      <w:r w:rsidRPr="004E2335">
        <w:rPr>
          <w:rFonts w:ascii="Times New Roman" w:hAnsi="Times New Roman" w:cs="Times New Roman"/>
          <w:b/>
        </w:rPr>
        <w:t xml:space="preserve"> </w:t>
      </w:r>
      <w:r w:rsidR="0090616A">
        <w:rPr>
          <w:rFonts w:ascii="Times New Roman" w:hAnsi="Times New Roman" w:cs="Times New Roman"/>
          <w:b/>
        </w:rPr>
        <w:t xml:space="preserve">and </w:t>
      </w:r>
      <w:r>
        <w:rPr>
          <w:rFonts w:ascii="Times New Roman" w:hAnsi="Times New Roman" w:cs="Times New Roman"/>
          <w:b/>
        </w:rPr>
        <w:t xml:space="preserve">Nuclear Fission Products </w:t>
      </w:r>
    </w:p>
    <w:p w14:paraId="01DBDC35" w14:textId="77777777" w:rsidR="003D5839" w:rsidRDefault="003D5839" w:rsidP="003D5839">
      <w:pPr>
        <w:spacing w:line="360" w:lineRule="auto"/>
        <w:jc w:val="both"/>
        <w:rPr>
          <w:rFonts w:ascii="Times New Roman" w:hAnsi="Times New Roman" w:cs="Times New Roman"/>
        </w:rPr>
      </w:pPr>
      <w:r>
        <w:rPr>
          <w:rFonts w:ascii="Times New Roman" w:hAnsi="Times New Roman" w:cs="Times New Roman"/>
        </w:rPr>
        <w:br/>
        <w:t>i.</w:t>
      </w:r>
      <w:r>
        <w:rPr>
          <w:rFonts w:ascii="Times New Roman" w:hAnsi="Times New Roman" w:cs="Times New Roman"/>
        </w:rPr>
        <w:tab/>
        <w:t>Plutonium (TRU)</w:t>
      </w:r>
    </w:p>
    <w:p w14:paraId="6A9B9500" w14:textId="003A5E6F" w:rsidR="003D5839" w:rsidRDefault="003D5839" w:rsidP="003D5839">
      <w:pPr>
        <w:spacing w:line="360" w:lineRule="auto"/>
        <w:jc w:val="both"/>
        <w:rPr>
          <w:rFonts w:ascii="Times New Roman" w:hAnsi="Times New Roman" w:cs="Times New Roman"/>
        </w:rPr>
      </w:pPr>
      <w:r>
        <w:rPr>
          <w:rFonts w:ascii="Times New Roman" w:hAnsi="Times New Roman" w:cs="Times New Roman"/>
        </w:rPr>
        <w:t xml:space="preserve">Plutonium (Pu) is a significant radioactive component of nuclear waste, although the reusable Pu is removed during reprocessing, it is still present as a contaminant. It is a transuranic metal and is generally considered a man-made element. In a nuclear reactor when </w:t>
      </w:r>
      <w:r>
        <w:rPr>
          <w:rFonts w:ascii="Times New Roman" w:hAnsi="Times New Roman" w:cs="Times New Roman"/>
          <w:vertAlign w:val="superscript"/>
        </w:rPr>
        <w:t>238</w:t>
      </w:r>
      <w:r>
        <w:rPr>
          <w:rFonts w:ascii="Times New Roman" w:hAnsi="Times New Roman" w:cs="Times New Roman"/>
        </w:rPr>
        <w:t xml:space="preserve">U absorbs a neutron, </w:t>
      </w:r>
      <w:r>
        <w:rPr>
          <w:rFonts w:ascii="Times New Roman" w:hAnsi="Times New Roman" w:cs="Times New Roman"/>
          <w:vertAlign w:val="superscript"/>
        </w:rPr>
        <w:t>239</w:t>
      </w:r>
      <w:r>
        <w:rPr>
          <w:rFonts w:ascii="Times New Roman" w:hAnsi="Times New Roman" w:cs="Times New Roman"/>
        </w:rPr>
        <w:t xml:space="preserve">U is formed and eventually decays to form </w:t>
      </w:r>
      <w:r>
        <w:rPr>
          <w:rFonts w:ascii="Times New Roman" w:hAnsi="Times New Roman" w:cs="Times New Roman"/>
          <w:vertAlign w:val="superscript"/>
        </w:rPr>
        <w:t>239</w:t>
      </w:r>
      <w:r>
        <w:rPr>
          <w:rFonts w:ascii="Times New Roman" w:hAnsi="Times New Roman" w:cs="Times New Roman"/>
        </w:rPr>
        <w:t>Pu. Various isotopes of Pu are formed in a similar fashion, depending on the isotope of U that undergoes neutron absorption and decay. The common radioisotopes included in nuclear waste are</w:t>
      </w:r>
      <w:r>
        <w:rPr>
          <w:rFonts w:ascii="Times New Roman" w:hAnsi="Times New Roman" w:cs="Times New Roman"/>
          <w:vertAlign w:val="subscript"/>
        </w:rPr>
        <w:t xml:space="preserve"> </w:t>
      </w:r>
      <w:r>
        <w:rPr>
          <w:rFonts w:ascii="Times New Roman" w:hAnsi="Times New Roman" w:cs="Times New Roman"/>
          <w:vertAlign w:val="superscript"/>
        </w:rPr>
        <w:t>238</w:t>
      </w:r>
      <w:r>
        <w:rPr>
          <w:rFonts w:ascii="Times New Roman" w:hAnsi="Times New Roman" w:cs="Times New Roman"/>
        </w:rPr>
        <w:t xml:space="preserve">Pu, </w:t>
      </w:r>
      <w:r>
        <w:rPr>
          <w:rFonts w:ascii="Times New Roman" w:hAnsi="Times New Roman" w:cs="Times New Roman"/>
          <w:vertAlign w:val="superscript"/>
        </w:rPr>
        <w:t>239</w:t>
      </w:r>
      <w:r>
        <w:rPr>
          <w:rFonts w:ascii="Times New Roman" w:hAnsi="Times New Roman" w:cs="Times New Roman"/>
        </w:rPr>
        <w:t xml:space="preserve">Pu and </w:t>
      </w:r>
      <w:r>
        <w:rPr>
          <w:rFonts w:ascii="Times New Roman" w:hAnsi="Times New Roman" w:cs="Times New Roman"/>
          <w:vertAlign w:val="superscript"/>
        </w:rPr>
        <w:t>240</w:t>
      </w:r>
      <w:r>
        <w:rPr>
          <w:rFonts w:ascii="Times New Roman" w:hAnsi="Times New Roman" w:cs="Times New Roman"/>
        </w:rPr>
        <w:t xml:space="preserve">Pu, </w:t>
      </w:r>
      <w:r>
        <w:rPr>
          <w:rFonts w:ascii="Times New Roman" w:hAnsi="Times New Roman" w:cs="Times New Roman"/>
          <w:vertAlign w:val="superscript"/>
        </w:rPr>
        <w:t>241</w:t>
      </w:r>
      <w:r>
        <w:rPr>
          <w:rFonts w:ascii="Times New Roman" w:hAnsi="Times New Roman" w:cs="Times New Roman"/>
        </w:rPr>
        <w:t>Pu and, with the longest half-life of 374,00</w:t>
      </w:r>
      <w:r w:rsidR="007500A1">
        <w:rPr>
          <w:rFonts w:ascii="Times New Roman" w:hAnsi="Times New Roman" w:cs="Times New Roman"/>
        </w:rPr>
        <w:t>0</w:t>
      </w:r>
      <w:r>
        <w:rPr>
          <w:rFonts w:ascii="Times New Roman" w:hAnsi="Times New Roman" w:cs="Times New Roman"/>
        </w:rPr>
        <w:t xml:space="preserve"> years, </w:t>
      </w:r>
      <w:r>
        <w:rPr>
          <w:rFonts w:ascii="Times New Roman" w:hAnsi="Times New Roman" w:cs="Times New Roman"/>
          <w:vertAlign w:val="superscript"/>
        </w:rPr>
        <w:t>242</w:t>
      </w:r>
      <w:r>
        <w:rPr>
          <w:rFonts w:ascii="Times New Roman" w:hAnsi="Times New Roman" w:cs="Times New Roman"/>
        </w:rPr>
        <w:t>Pu [</w:t>
      </w:r>
      <w:r w:rsidR="003D6F15">
        <w:rPr>
          <w:rFonts w:ascii="Times New Roman" w:hAnsi="Times New Roman" w:cs="Times New Roman"/>
        </w:rPr>
        <w:t>8</w:t>
      </w:r>
      <w:r>
        <w:rPr>
          <w:rFonts w:ascii="Times New Roman" w:hAnsi="Times New Roman" w:cs="Times New Roman"/>
        </w:rPr>
        <w:t xml:space="preserve">]. Some of the radioisotopes in the fuel roads undergo fission to produce heat and ultimately electricity. The reaction products remain in the fuel pellets and absorb the neutrons, producing spent fuel rods containing radioactive plutonium. The fuel rods are dissolved in strong acid and treated the resultant solution with chemical in order to precipitate the plutonium. A significant percentage of plutonium production was for the purpose of nuclear </w:t>
      </w:r>
      <w:proofErr w:type="gramStart"/>
      <w:r>
        <w:rPr>
          <w:rFonts w:ascii="Times New Roman" w:hAnsi="Times New Roman" w:cs="Times New Roman"/>
        </w:rPr>
        <w:t>weaponry which has now left a legacy waste of hazardous mixed chemicals, acids</w:t>
      </w:r>
      <w:proofErr w:type="gramEnd"/>
      <w:r>
        <w:rPr>
          <w:rFonts w:ascii="Times New Roman" w:hAnsi="Times New Roman" w:cs="Times New Roman"/>
        </w:rPr>
        <w:t xml:space="preserve"> and radioactive fissions products that required immobilising and storing safely.</w:t>
      </w:r>
    </w:p>
    <w:p w14:paraId="6DB0003C" w14:textId="4DE8248C" w:rsidR="003D5839" w:rsidRDefault="003D5839" w:rsidP="003D5839">
      <w:pPr>
        <w:spacing w:line="360" w:lineRule="auto"/>
        <w:jc w:val="both"/>
        <w:rPr>
          <w:rFonts w:ascii="Times New Roman" w:hAnsi="Times New Roman" w:cs="Times New Roman"/>
        </w:rPr>
      </w:pPr>
      <w:r>
        <w:rPr>
          <w:rFonts w:ascii="Times New Roman" w:hAnsi="Times New Roman" w:cs="Times New Roman"/>
        </w:rPr>
        <w:t>The isotopes of Pu undergo radioactive decay, forming other radioactive isotopes and emitting an alpha particle. Therefore external exposure to plutonium is a negligible health risk, internal exposure, however, is extremely hazardous</w:t>
      </w:r>
      <w:r w:rsidR="007500A1">
        <w:rPr>
          <w:rFonts w:ascii="Times New Roman" w:hAnsi="Times New Roman" w:cs="Times New Roman"/>
        </w:rPr>
        <w:t xml:space="preserve"> and toxic</w:t>
      </w:r>
      <w:r>
        <w:rPr>
          <w:rFonts w:ascii="Times New Roman" w:hAnsi="Times New Roman" w:cs="Times New Roman"/>
        </w:rPr>
        <w:t xml:space="preserve">. Once Pu enters the blood, it remains there for decades radiating organs and tissues. This introduces the risk of mutation to organs and increases cancer risks [7]. </w:t>
      </w:r>
    </w:p>
    <w:p w14:paraId="1405E979" w14:textId="0A48227A" w:rsidR="003D5839" w:rsidRDefault="003D5839" w:rsidP="003D5839">
      <w:pPr>
        <w:spacing w:line="360" w:lineRule="auto"/>
        <w:jc w:val="both"/>
        <w:rPr>
          <w:rFonts w:ascii="Times New Roman" w:hAnsi="Times New Roman" w:cs="Times New Roman"/>
        </w:rPr>
      </w:pPr>
      <w:r>
        <w:rPr>
          <w:rFonts w:ascii="Times New Roman" w:hAnsi="Times New Roman" w:cs="Times New Roman"/>
        </w:rPr>
        <w:t xml:space="preserve"> In nuclear research cerium (Ce) is commonly used as an inactive surrogate to study the behaviour of plutonium ions in certain wast</w:t>
      </w:r>
      <w:r w:rsidR="00D102B2">
        <w:rPr>
          <w:rFonts w:ascii="Times New Roman" w:hAnsi="Times New Roman" w:cs="Times New Roman"/>
        </w:rPr>
        <w:t>e forms. This is due to the</w:t>
      </w:r>
      <w:r>
        <w:rPr>
          <w:rFonts w:ascii="Times New Roman" w:hAnsi="Times New Roman" w:cs="Times New Roman"/>
        </w:rPr>
        <w:t xml:space="preserve"> similarities in</w:t>
      </w:r>
      <w:r w:rsidR="007A5764">
        <w:rPr>
          <w:rFonts w:ascii="Times New Roman" w:hAnsi="Times New Roman" w:cs="Times New Roman"/>
        </w:rPr>
        <w:t xml:space="preserve"> solubility [</w:t>
      </w:r>
      <w:r w:rsidR="003D6F15">
        <w:rPr>
          <w:rFonts w:ascii="Times New Roman" w:hAnsi="Times New Roman" w:cs="Times New Roman"/>
        </w:rPr>
        <w:t>9</w:t>
      </w:r>
      <w:r w:rsidR="007A5764">
        <w:rPr>
          <w:rFonts w:ascii="Times New Roman" w:hAnsi="Times New Roman" w:cs="Times New Roman"/>
        </w:rPr>
        <w:t>]</w:t>
      </w:r>
      <w:r>
        <w:rPr>
          <w:rFonts w:ascii="Times New Roman" w:hAnsi="Times New Roman" w:cs="Times New Roman"/>
        </w:rPr>
        <w:t xml:space="preserve"> </w:t>
      </w:r>
      <w:r w:rsidR="00816997">
        <w:rPr>
          <w:rFonts w:ascii="Times New Roman" w:hAnsi="Times New Roman" w:cs="Times New Roman"/>
        </w:rPr>
        <w:t xml:space="preserve">and </w:t>
      </w:r>
      <w:r>
        <w:rPr>
          <w:rFonts w:ascii="Times New Roman" w:hAnsi="Times New Roman" w:cs="Times New Roman"/>
        </w:rPr>
        <w:t>crystal-chemistry between some rare-earth metals and actinides</w:t>
      </w:r>
      <w:r w:rsidR="00816997">
        <w:rPr>
          <w:rFonts w:ascii="Times New Roman" w:hAnsi="Times New Roman" w:cs="Times New Roman"/>
        </w:rPr>
        <w:t xml:space="preserve">. </w:t>
      </w:r>
      <w:r w:rsidR="006D108B">
        <w:rPr>
          <w:rFonts w:ascii="Times New Roman" w:hAnsi="Times New Roman" w:cs="Times New Roman"/>
        </w:rPr>
        <w:t xml:space="preserve">Due to this similarity of valency and ionic radii, Ce can be substituted directly for </w:t>
      </w:r>
      <w:proofErr w:type="gramStart"/>
      <w:r w:rsidR="006D108B">
        <w:rPr>
          <w:rFonts w:ascii="Times New Roman" w:hAnsi="Times New Roman" w:cs="Times New Roman"/>
        </w:rPr>
        <w:t>Pu .</w:t>
      </w:r>
      <w:proofErr w:type="gramEnd"/>
      <w:r w:rsidR="006D108B">
        <w:rPr>
          <w:rFonts w:ascii="Times New Roman" w:hAnsi="Times New Roman" w:cs="Times New Roman"/>
        </w:rPr>
        <w:t xml:space="preserve"> </w:t>
      </w:r>
      <w:r>
        <w:rPr>
          <w:rFonts w:ascii="Times New Roman" w:hAnsi="Times New Roman" w:cs="Times New Roman"/>
        </w:rPr>
        <w:t>A study by Marra et al.</w:t>
      </w:r>
      <w:r w:rsidR="006270AA">
        <w:rPr>
          <w:rFonts w:ascii="Times New Roman" w:hAnsi="Times New Roman" w:cs="Times New Roman"/>
        </w:rPr>
        <w:t xml:space="preserve"> researching the use of ceramics to immobilise plutonium for geological </w:t>
      </w:r>
      <w:r>
        <w:rPr>
          <w:rFonts w:ascii="Times New Roman" w:hAnsi="Times New Roman" w:cs="Times New Roman"/>
        </w:rPr>
        <w:t xml:space="preserve"> </w:t>
      </w:r>
      <w:r w:rsidR="005C3106">
        <w:rPr>
          <w:rFonts w:ascii="Times New Roman" w:hAnsi="Times New Roman" w:cs="Times New Roman"/>
        </w:rPr>
        <w:t xml:space="preserve">[10] </w:t>
      </w:r>
      <w:r>
        <w:rPr>
          <w:rFonts w:ascii="Times New Roman" w:hAnsi="Times New Roman" w:cs="Times New Roman"/>
        </w:rPr>
        <w:t xml:space="preserve">found that the Ce in its oxide form performed very well as a surrogate in the batching process </w:t>
      </w:r>
      <w:r w:rsidR="006270AA">
        <w:rPr>
          <w:rFonts w:ascii="Times New Roman" w:hAnsi="Times New Roman" w:cs="Times New Roman"/>
        </w:rPr>
        <w:t xml:space="preserve">of the ceramics </w:t>
      </w:r>
      <w:r>
        <w:rPr>
          <w:rFonts w:ascii="Times New Roman" w:hAnsi="Times New Roman" w:cs="Times New Roman"/>
        </w:rPr>
        <w:t>prod</w:t>
      </w:r>
      <w:r w:rsidR="00001F49">
        <w:rPr>
          <w:rFonts w:ascii="Times New Roman" w:hAnsi="Times New Roman" w:cs="Times New Roman"/>
        </w:rPr>
        <w:t>ucing the same major phase as Pu</w:t>
      </w:r>
      <w:r>
        <w:rPr>
          <w:rFonts w:ascii="Times New Roman" w:hAnsi="Times New Roman" w:cs="Times New Roman"/>
        </w:rPr>
        <w:t xml:space="preserve"> [10]. However there were some differences in certain instances such as reactions with calcium, </w:t>
      </w:r>
      <w:r w:rsidR="00DA2591">
        <w:rPr>
          <w:rFonts w:ascii="Times New Roman" w:hAnsi="Times New Roman" w:cs="Times New Roman"/>
        </w:rPr>
        <w:t xml:space="preserve">using Pu formed the calcium uranium oxide, </w:t>
      </w:r>
      <w:r w:rsidR="0037220B">
        <w:rPr>
          <w:rFonts w:ascii="Times New Roman" w:hAnsi="Times New Roman" w:cs="Times New Roman"/>
        </w:rPr>
        <w:t>however</w:t>
      </w:r>
      <w:r w:rsidR="00DA2591">
        <w:rPr>
          <w:rFonts w:ascii="Times New Roman" w:hAnsi="Times New Roman" w:cs="Times New Roman"/>
        </w:rPr>
        <w:t xml:space="preserve"> using Ce </w:t>
      </w:r>
      <w:r>
        <w:rPr>
          <w:rFonts w:ascii="Times New Roman" w:hAnsi="Times New Roman" w:cs="Times New Roman"/>
        </w:rPr>
        <w:t xml:space="preserve">a </w:t>
      </w:r>
      <w:r w:rsidR="0037220B">
        <w:rPr>
          <w:rFonts w:ascii="Times New Roman" w:hAnsi="Times New Roman" w:cs="Times New Roman"/>
        </w:rPr>
        <w:t>perovskite</w:t>
      </w:r>
      <w:r>
        <w:rPr>
          <w:rFonts w:ascii="Times New Roman" w:hAnsi="Times New Roman" w:cs="Times New Roman"/>
        </w:rPr>
        <w:t xml:space="preserve"> phase was formed</w:t>
      </w:r>
      <w:r w:rsidR="0037220B">
        <w:rPr>
          <w:rFonts w:ascii="Times New Roman" w:hAnsi="Times New Roman" w:cs="Times New Roman"/>
        </w:rPr>
        <w:t xml:space="preserve"> instead</w:t>
      </w:r>
      <w:r>
        <w:rPr>
          <w:rFonts w:ascii="Times New Roman" w:hAnsi="Times New Roman" w:cs="Times New Roman"/>
        </w:rPr>
        <w:t xml:space="preserve">. </w:t>
      </w:r>
    </w:p>
    <w:p w14:paraId="038FC20E" w14:textId="77777777" w:rsidR="0018608F" w:rsidRDefault="0018608F" w:rsidP="003D5839">
      <w:pPr>
        <w:spacing w:line="360" w:lineRule="auto"/>
        <w:jc w:val="both"/>
        <w:rPr>
          <w:rFonts w:ascii="Times New Roman" w:hAnsi="Times New Roman" w:cs="Times New Roman"/>
        </w:rPr>
      </w:pPr>
    </w:p>
    <w:p w14:paraId="0D0FE3B3" w14:textId="77777777" w:rsidR="00A82394" w:rsidRDefault="00A82394" w:rsidP="003D5839">
      <w:pPr>
        <w:spacing w:line="360" w:lineRule="auto"/>
        <w:jc w:val="both"/>
        <w:rPr>
          <w:rFonts w:ascii="Times New Roman" w:hAnsi="Times New Roman" w:cs="Times New Roman"/>
        </w:rPr>
      </w:pPr>
    </w:p>
    <w:p w14:paraId="75B484B3" w14:textId="77777777" w:rsidR="003D5839" w:rsidRDefault="003D5839" w:rsidP="003D5839">
      <w:pPr>
        <w:spacing w:line="360" w:lineRule="auto"/>
        <w:jc w:val="both"/>
        <w:rPr>
          <w:rFonts w:ascii="Times New Roman" w:hAnsi="Times New Roman" w:cs="Times New Roman"/>
        </w:rPr>
      </w:pPr>
      <w:r>
        <w:rPr>
          <w:rFonts w:ascii="Times New Roman" w:hAnsi="Times New Roman" w:cs="Times New Roman"/>
        </w:rPr>
        <w:lastRenderedPageBreak/>
        <w:t>ii.</w:t>
      </w:r>
      <w:r>
        <w:rPr>
          <w:rFonts w:ascii="Times New Roman" w:hAnsi="Times New Roman" w:cs="Times New Roman"/>
        </w:rPr>
        <w:tab/>
        <w:t>Caesium (fission product)</w:t>
      </w:r>
    </w:p>
    <w:p w14:paraId="2953C3EF" w14:textId="626D86AA" w:rsidR="003D5839" w:rsidRDefault="003D5839" w:rsidP="003D5839">
      <w:pPr>
        <w:spacing w:line="360" w:lineRule="auto"/>
        <w:jc w:val="both"/>
        <w:rPr>
          <w:rFonts w:ascii="TimesNewRomanPSMT" w:hAnsi="TimesNewRomanPSMT" w:cs="TimesNewRomanPSMT"/>
          <w:color w:val="000000"/>
        </w:rPr>
      </w:pPr>
      <w:r>
        <w:rPr>
          <w:rFonts w:ascii="Times New Roman" w:hAnsi="Times New Roman" w:cs="Times New Roman"/>
        </w:rPr>
        <w:t>Caesium (Cs) has a number of isotopes, of which only caesium-133 (</w:t>
      </w:r>
      <w:r>
        <w:rPr>
          <w:rFonts w:ascii="Times New Roman" w:hAnsi="Times New Roman" w:cs="Times New Roman"/>
          <w:vertAlign w:val="superscript"/>
        </w:rPr>
        <w:t>133</w:t>
      </w:r>
      <w:r>
        <w:rPr>
          <w:rFonts w:ascii="Times New Roman" w:hAnsi="Times New Roman" w:cs="Times New Roman"/>
        </w:rPr>
        <w:t>Cs) is naturally occurring. All the other isotopes are man-made, one of which is caesium-137 (</w:t>
      </w:r>
      <w:r>
        <w:rPr>
          <w:rFonts w:ascii="Times New Roman" w:hAnsi="Times New Roman" w:cs="Times New Roman"/>
          <w:vertAlign w:val="superscript"/>
        </w:rPr>
        <w:t>137</w:t>
      </w:r>
      <w:r>
        <w:rPr>
          <w:rFonts w:ascii="Times New Roman" w:hAnsi="Times New Roman" w:cs="Times New Roman"/>
        </w:rPr>
        <w:t xml:space="preserve">Cs) which occurs as a common product from the nuclear fission of </w:t>
      </w:r>
      <w:r>
        <w:rPr>
          <w:rFonts w:ascii="TimesNewRomanPSMT" w:hAnsi="TimesNewRomanPSMT" w:cs="TimesNewRomanPSMT"/>
          <w:color w:val="000000"/>
          <w:vertAlign w:val="superscript"/>
        </w:rPr>
        <w:t>235</w:t>
      </w:r>
      <w:r>
        <w:rPr>
          <w:rFonts w:ascii="TimesNewRomanPSMT" w:hAnsi="TimesNewRomanPSMT" w:cs="TimesNewRomanPSMT"/>
          <w:color w:val="000000"/>
        </w:rPr>
        <w:t xml:space="preserve">U [8]. It has a half-life of approximately 30 years, and undergoes beta decay at annual decay rate of 2.3% [8] to form barium-137m and ultimately non-radioactive barium. The fission of uranium yields various by-products as shown in Figure </w:t>
      </w:r>
      <w:proofErr w:type="gramStart"/>
      <w:r>
        <w:rPr>
          <w:rFonts w:ascii="TimesNewRomanPSMT" w:hAnsi="TimesNewRomanPSMT" w:cs="TimesNewRomanPSMT"/>
          <w:color w:val="000000"/>
        </w:rPr>
        <w:t>2.3 which</w:t>
      </w:r>
      <w:proofErr w:type="gramEnd"/>
      <w:r>
        <w:rPr>
          <w:rFonts w:ascii="TimesNewRomanPSMT" w:hAnsi="TimesNewRomanPSMT" w:cs="TimesNewRomanPSMT"/>
          <w:color w:val="000000"/>
        </w:rPr>
        <w:t xml:space="preserve"> illustrates the possible fission fragments based on mass number and their respective percentage yield. </w:t>
      </w:r>
      <w:r w:rsidR="00A65B86">
        <w:rPr>
          <w:rFonts w:ascii="TimesNewRomanPSMT" w:hAnsi="TimesNewRomanPSMT" w:cs="TimesNewRomanPSMT"/>
          <w:color w:val="000000"/>
        </w:rPr>
        <w:t>The</w:t>
      </w:r>
      <w:r>
        <w:rPr>
          <w:rFonts w:ascii="TimesNewRomanPSMT" w:hAnsi="TimesNewRomanPSMT" w:cs="TimesNewRomanPSMT"/>
          <w:color w:val="000000"/>
        </w:rPr>
        <w:t xml:space="preserve"> diagram</w:t>
      </w:r>
      <w:r w:rsidR="00A65B86">
        <w:rPr>
          <w:rFonts w:ascii="TimesNewRomanPSMT" w:hAnsi="TimesNewRomanPSMT" w:cs="TimesNewRomanPSMT"/>
          <w:color w:val="000000"/>
        </w:rPr>
        <w:t xml:space="preserve"> suggests</w:t>
      </w:r>
      <w:r>
        <w:rPr>
          <w:rFonts w:ascii="TimesNewRomanPSMT" w:hAnsi="TimesNewRomanPSMT" w:cs="TimesNewRomanPSMT"/>
          <w:color w:val="000000"/>
        </w:rPr>
        <w:t xml:space="preserve"> that fragments with mass numbers of 95 and 137 are produced in the highest yield, thus </w:t>
      </w:r>
      <w:r>
        <w:rPr>
          <w:rFonts w:ascii="TimesNewRomanPSMT" w:hAnsi="TimesNewRomanPSMT" w:cs="TimesNewRomanPSMT"/>
          <w:color w:val="000000"/>
          <w:vertAlign w:val="superscript"/>
        </w:rPr>
        <w:t>137</w:t>
      </w:r>
      <w:r>
        <w:rPr>
          <w:rFonts w:ascii="TimesNewRomanPSMT" w:hAnsi="TimesNewRomanPSMT" w:cs="TimesNewRomanPSMT"/>
          <w:color w:val="000000"/>
        </w:rPr>
        <w:t xml:space="preserve">Cs is considered one of the major by-products of spent nuclear fuel. </w:t>
      </w:r>
    </w:p>
    <w:p w14:paraId="3CDF7AAA" w14:textId="77777777" w:rsidR="00E50015" w:rsidRPr="00542983" w:rsidRDefault="00E50015" w:rsidP="003D5839">
      <w:pPr>
        <w:spacing w:line="360" w:lineRule="auto"/>
        <w:jc w:val="both"/>
        <w:rPr>
          <w:rFonts w:ascii="Times New Roman" w:hAnsi="Times New Roman" w:cs="Times New Roman"/>
        </w:rPr>
      </w:pPr>
    </w:p>
    <w:p w14:paraId="64719F60" w14:textId="7FE5D8DB" w:rsidR="00E50015" w:rsidRDefault="003D5839" w:rsidP="003D5839">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0CF02984" wp14:editId="74755BDB">
            <wp:extent cx="3863169" cy="2171700"/>
            <wp:effectExtent l="25400" t="25400" r="23495" b="1270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64534" cy="2172467"/>
                    </a:xfrm>
                    <a:prstGeom prst="rect">
                      <a:avLst/>
                    </a:prstGeom>
                    <a:noFill/>
                    <a:ln>
                      <a:solidFill>
                        <a:srgbClr val="0D0D0D"/>
                      </a:solidFill>
                    </a:ln>
                  </pic:spPr>
                </pic:pic>
              </a:graphicData>
            </a:graphic>
          </wp:inline>
        </w:drawing>
      </w:r>
      <w:r>
        <w:rPr>
          <w:rFonts w:ascii="Times New Roman" w:hAnsi="Times New Roman" w:cs="Times New Roman"/>
        </w:rPr>
        <w:br/>
      </w:r>
      <w:r w:rsidRPr="00684EFE">
        <w:rPr>
          <w:rFonts w:ascii="Times New Roman" w:hAnsi="Times New Roman" w:cs="Times New Roman"/>
          <w:b/>
        </w:rPr>
        <w:t>Figure 2.3:</w:t>
      </w:r>
      <w:r>
        <w:rPr>
          <w:rFonts w:ascii="Times New Roman" w:hAnsi="Times New Roman" w:cs="Times New Roman"/>
        </w:rPr>
        <w:t xml:space="preserve"> </w:t>
      </w:r>
      <w:r w:rsidRPr="00050A5B">
        <w:rPr>
          <w:rFonts w:ascii="Times New Roman" w:hAnsi="Times New Roman" w:cs="Times New Roman"/>
          <w:vertAlign w:val="superscript"/>
        </w:rPr>
        <w:t>235</w:t>
      </w:r>
      <w:r>
        <w:rPr>
          <w:rFonts w:ascii="Times New Roman" w:hAnsi="Times New Roman" w:cs="Times New Roman"/>
        </w:rPr>
        <w:t>U Fission fragments  [11]</w:t>
      </w:r>
    </w:p>
    <w:p w14:paraId="7AA035E0" w14:textId="36CC88DA" w:rsidR="003D5839" w:rsidRDefault="00A50A94" w:rsidP="003D5839">
      <w:pPr>
        <w:spacing w:line="360" w:lineRule="auto"/>
        <w:jc w:val="both"/>
        <w:rPr>
          <w:rFonts w:ascii="Times New Roman" w:hAnsi="Times New Roman" w:cs="Times New Roman"/>
        </w:rPr>
      </w:pPr>
      <w:r>
        <w:rPr>
          <w:rFonts w:ascii="Times New Roman" w:hAnsi="Times New Roman" w:cs="Times New Roman"/>
        </w:rPr>
        <w:br/>
      </w:r>
      <w:r w:rsidR="003D5839">
        <w:rPr>
          <w:rFonts w:ascii="Times New Roman" w:hAnsi="Times New Roman" w:cs="Times New Roman"/>
        </w:rPr>
        <w:t>In the past</w:t>
      </w:r>
      <w:r w:rsidR="00E50015">
        <w:rPr>
          <w:rFonts w:ascii="Times New Roman" w:hAnsi="Times New Roman" w:cs="Times New Roman"/>
        </w:rPr>
        <w:t>,</w:t>
      </w:r>
      <w:r w:rsidR="00B01D34">
        <w:rPr>
          <w:rFonts w:ascii="Times New Roman" w:hAnsi="Times New Roman" w:cs="Times New Roman"/>
        </w:rPr>
        <w:t xml:space="preserve"> several incidents have </w:t>
      </w:r>
      <w:r w:rsidR="00E12E35">
        <w:rPr>
          <w:rFonts w:ascii="Times New Roman" w:hAnsi="Times New Roman" w:cs="Times New Roman"/>
        </w:rPr>
        <w:t>led</w:t>
      </w:r>
      <w:r w:rsidR="00B01D34">
        <w:rPr>
          <w:rFonts w:ascii="Times New Roman" w:hAnsi="Times New Roman" w:cs="Times New Roman"/>
        </w:rPr>
        <w:t xml:space="preserve"> to the release of Cs into the </w:t>
      </w:r>
      <w:r w:rsidR="005D2726">
        <w:rPr>
          <w:rFonts w:ascii="Times New Roman" w:hAnsi="Times New Roman" w:cs="Times New Roman"/>
        </w:rPr>
        <w:t>environment</w:t>
      </w:r>
      <w:r w:rsidR="00B01D34">
        <w:rPr>
          <w:rFonts w:ascii="Times New Roman" w:hAnsi="Times New Roman" w:cs="Times New Roman"/>
        </w:rPr>
        <w:t>. A</w:t>
      </w:r>
      <w:r w:rsidR="003D5839">
        <w:rPr>
          <w:rFonts w:ascii="Times New Roman" w:hAnsi="Times New Roman" w:cs="Times New Roman"/>
        </w:rPr>
        <w:t xml:space="preserve"> nuclea</w:t>
      </w:r>
      <w:r w:rsidR="00722E8E">
        <w:rPr>
          <w:rFonts w:ascii="Times New Roman" w:hAnsi="Times New Roman" w:cs="Times New Roman"/>
        </w:rPr>
        <w:t xml:space="preserve">r </w:t>
      </w:r>
      <w:proofErr w:type="gramStart"/>
      <w:r w:rsidR="00722E8E">
        <w:rPr>
          <w:rFonts w:ascii="Times New Roman" w:hAnsi="Times New Roman" w:cs="Times New Roman"/>
        </w:rPr>
        <w:t>fuel reprocessing</w:t>
      </w:r>
      <w:proofErr w:type="gramEnd"/>
      <w:r w:rsidR="00722E8E">
        <w:rPr>
          <w:rFonts w:ascii="Times New Roman" w:hAnsi="Times New Roman" w:cs="Times New Roman"/>
        </w:rPr>
        <w:t xml:space="preserve"> reactor</w:t>
      </w:r>
      <w:r w:rsidR="003D5839">
        <w:rPr>
          <w:rFonts w:ascii="Times New Roman" w:hAnsi="Times New Roman" w:cs="Times New Roman"/>
        </w:rPr>
        <w:t xml:space="preserve"> was installed at the Windscale facility (now known as Sellafield) Cumbria, UK. In 1957 this reactor caught fire and burned for nearly two days [12]. This led to the release of </w:t>
      </w:r>
      <w:r w:rsidR="003D5839">
        <w:rPr>
          <w:rFonts w:ascii="Times New Roman" w:hAnsi="Times New Roman" w:cs="Times New Roman"/>
          <w:vertAlign w:val="superscript"/>
        </w:rPr>
        <w:t>137</w:t>
      </w:r>
      <w:r w:rsidR="003D5839">
        <w:rPr>
          <w:rFonts w:ascii="Times New Roman" w:hAnsi="Times New Roman" w:cs="Times New Roman"/>
        </w:rPr>
        <w:t xml:space="preserve">Cs into the surroundings. Although the concentrations were deemed negligible it allowed for a study into the radionuclides behaviour in the environment. In 1986 fallout from the Chernobyl incident was deposit in varying amounts over parts of Europe including the UK, research by Green et al [13] investigated the transfer of </w:t>
      </w:r>
      <w:r w:rsidR="003D5839">
        <w:rPr>
          <w:rFonts w:ascii="Times New Roman" w:hAnsi="Times New Roman" w:cs="Times New Roman"/>
          <w:vertAlign w:val="superscript"/>
        </w:rPr>
        <w:t>137</w:t>
      </w:r>
      <w:r w:rsidR="003D5839">
        <w:rPr>
          <w:rFonts w:ascii="Times New Roman" w:hAnsi="Times New Roman" w:cs="Times New Roman"/>
        </w:rPr>
        <w:t xml:space="preserve">Cs into herbage, soil and cow-milk from this fallout. They found that the Cs became immobilised in the soil by chemically binding to clay mineral particles of which the majority tend to be siliceous particulates. The </w:t>
      </w:r>
      <w:proofErr w:type="gramStart"/>
      <w:r w:rsidR="006D108B">
        <w:rPr>
          <w:rFonts w:ascii="Times New Roman" w:hAnsi="Times New Roman" w:cs="Times New Roman"/>
          <w:vertAlign w:val="superscript"/>
        </w:rPr>
        <w:t>137</w:t>
      </w:r>
      <w:r w:rsidR="006D108B">
        <w:rPr>
          <w:rFonts w:ascii="Times New Roman" w:hAnsi="Times New Roman" w:cs="Times New Roman"/>
        </w:rPr>
        <w:t>Cs which are</w:t>
      </w:r>
      <w:r w:rsidR="003D5839">
        <w:rPr>
          <w:rFonts w:ascii="Times New Roman" w:hAnsi="Times New Roman" w:cs="Times New Roman"/>
        </w:rPr>
        <w:t xml:space="preserve"> chemically bound in this state</w:t>
      </w:r>
      <w:proofErr w:type="gramEnd"/>
      <w:r w:rsidR="003D5839">
        <w:rPr>
          <w:rFonts w:ascii="Times New Roman" w:hAnsi="Times New Roman" w:cs="Times New Roman"/>
        </w:rPr>
        <w:t xml:space="preserve"> will be unavailable for biological uptake. The rest, however, if consumed by cows would be eventually transferred to milk, and they estimated that around 50% of the </w:t>
      </w:r>
      <w:r w:rsidR="003D5839">
        <w:rPr>
          <w:rFonts w:ascii="Times New Roman" w:hAnsi="Times New Roman" w:cs="Times New Roman"/>
          <w:vertAlign w:val="superscript"/>
        </w:rPr>
        <w:t>137</w:t>
      </w:r>
      <w:r w:rsidR="003D5839">
        <w:rPr>
          <w:rFonts w:ascii="Times New Roman" w:hAnsi="Times New Roman" w:cs="Times New Roman"/>
        </w:rPr>
        <w:t xml:space="preserve">Cs intake through grazing would be </w:t>
      </w:r>
      <w:r w:rsidR="003D5839">
        <w:rPr>
          <w:rFonts w:ascii="Times New Roman" w:hAnsi="Times New Roman" w:cs="Times New Roman"/>
        </w:rPr>
        <w:lastRenderedPageBreak/>
        <w:t xml:space="preserve">available for gut uptake. This eventually would be transferred through to humans via milk ingestion. </w:t>
      </w:r>
    </w:p>
    <w:p w14:paraId="6F3FD8B8" w14:textId="271B008D" w:rsidR="003D5839" w:rsidRDefault="003D5839" w:rsidP="003D5839">
      <w:pPr>
        <w:spacing w:line="360" w:lineRule="auto"/>
        <w:jc w:val="both"/>
        <w:rPr>
          <w:rFonts w:ascii="Times New Roman" w:hAnsi="Times New Roman" w:cs="Times New Roman"/>
        </w:rPr>
      </w:pPr>
      <w:r>
        <w:rPr>
          <w:rFonts w:ascii="Times New Roman" w:hAnsi="Times New Roman" w:cs="Times New Roman"/>
        </w:rPr>
        <w:t xml:space="preserve">In 2011, the Tohoku earthquake and tsunami in Japan lead to the Fukushima Daiichi nuclear disaster. </w:t>
      </w:r>
      <w:r w:rsidR="0009411B">
        <w:rPr>
          <w:rFonts w:ascii="Times New Roman" w:hAnsi="Times New Roman" w:cs="Times New Roman"/>
        </w:rPr>
        <w:t>It is</w:t>
      </w:r>
      <w:r>
        <w:rPr>
          <w:rFonts w:ascii="Times New Roman" w:hAnsi="Times New Roman" w:cs="Times New Roman"/>
        </w:rPr>
        <w:t xml:space="preserve"> the largest nuclear disaster since the 1986 Chernobyl incident.  As a result approximately </w:t>
      </w:r>
      <w:r w:rsidR="00757CB3">
        <w:rPr>
          <w:rFonts w:ascii="Times New Roman" w:hAnsi="Times New Roman" w:cs="Times New Roman"/>
        </w:rPr>
        <w:t xml:space="preserve">40,000 TBq of </w:t>
      </w:r>
      <w:r w:rsidR="00757CB3">
        <w:rPr>
          <w:rFonts w:ascii="Times New Roman" w:hAnsi="Times New Roman" w:cs="Times New Roman"/>
          <w:vertAlign w:val="superscript"/>
        </w:rPr>
        <w:t>134</w:t>
      </w:r>
      <w:r w:rsidR="00757CB3">
        <w:rPr>
          <w:rFonts w:ascii="Times New Roman" w:hAnsi="Times New Roman" w:cs="Times New Roman"/>
        </w:rPr>
        <w:t xml:space="preserve">Cs and </w:t>
      </w:r>
      <w:r>
        <w:rPr>
          <w:rFonts w:ascii="Times New Roman" w:hAnsi="Times New Roman" w:cs="Times New Roman"/>
        </w:rPr>
        <w:t xml:space="preserve">360,000 TBq of </w:t>
      </w:r>
      <w:r>
        <w:rPr>
          <w:rFonts w:ascii="Times New Roman" w:hAnsi="Times New Roman" w:cs="Times New Roman"/>
          <w:vertAlign w:val="superscript"/>
        </w:rPr>
        <w:t>137</w:t>
      </w:r>
      <w:r>
        <w:rPr>
          <w:rFonts w:ascii="Times New Roman" w:hAnsi="Times New Roman" w:cs="Times New Roman"/>
        </w:rPr>
        <w:t xml:space="preserve">Cs was released into the environment. Figure 2.4 shows the spread of both </w:t>
      </w:r>
      <w:r>
        <w:rPr>
          <w:rFonts w:ascii="Times New Roman" w:hAnsi="Times New Roman" w:cs="Times New Roman"/>
          <w:vertAlign w:val="superscript"/>
        </w:rPr>
        <w:t>134</w:t>
      </w:r>
      <w:r>
        <w:rPr>
          <w:rFonts w:ascii="Times New Roman" w:hAnsi="Times New Roman" w:cs="Times New Roman"/>
        </w:rPr>
        <w:t xml:space="preserve">Cs and </w:t>
      </w:r>
      <w:r>
        <w:rPr>
          <w:rFonts w:ascii="Times New Roman" w:hAnsi="Times New Roman" w:cs="Times New Roman"/>
          <w:vertAlign w:val="superscript"/>
        </w:rPr>
        <w:t>137</w:t>
      </w:r>
      <w:r>
        <w:rPr>
          <w:rFonts w:ascii="Times New Roman" w:hAnsi="Times New Roman" w:cs="Times New Roman"/>
        </w:rPr>
        <w:t>Cs throughout Japan as of 25</w:t>
      </w:r>
      <w:r w:rsidRPr="00121452">
        <w:rPr>
          <w:rFonts w:ascii="Times New Roman" w:hAnsi="Times New Roman" w:cs="Times New Roman"/>
          <w:vertAlign w:val="superscript"/>
        </w:rPr>
        <w:t>th</w:t>
      </w:r>
      <w:r>
        <w:rPr>
          <w:rFonts w:ascii="Times New Roman" w:hAnsi="Times New Roman" w:cs="Times New Roman"/>
        </w:rPr>
        <w:t xml:space="preserve"> November 2011 [14]. An incident of this scale would lead to further distribution of Cs through the environment posing a greater threat and increasing the possibilities of human exposure to this radionuclide. </w:t>
      </w:r>
    </w:p>
    <w:p w14:paraId="7F69FEE7" w14:textId="77777777" w:rsidR="003D5839" w:rsidRDefault="003D5839" w:rsidP="003D5839">
      <w:pPr>
        <w:spacing w:line="360" w:lineRule="auto"/>
        <w:jc w:val="center"/>
        <w:rPr>
          <w:noProof/>
          <w:lang w:eastAsia="en-GB"/>
        </w:rPr>
      </w:pPr>
    </w:p>
    <w:p w14:paraId="2064F20F" w14:textId="67CC26FA" w:rsidR="003D5839" w:rsidRPr="00824D7E" w:rsidRDefault="003D5839" w:rsidP="003D5839">
      <w:pPr>
        <w:jc w:val="center"/>
        <w:rPr>
          <w:rFonts w:ascii="Times New Roman" w:hAnsi="Times New Roman" w:cs="Times New Roman"/>
        </w:rPr>
      </w:pPr>
      <w:r>
        <w:rPr>
          <w:rFonts w:ascii="Times New Roman" w:hAnsi="Times New Roman" w:cs="Times New Roman"/>
          <w:noProof/>
        </w:rPr>
        <w:drawing>
          <wp:inline distT="0" distB="0" distL="0" distR="0" wp14:anchorId="5551D585" wp14:editId="3F793DFC">
            <wp:extent cx="4686300" cy="4599214"/>
            <wp:effectExtent l="25400" t="25400" r="12700" b="2413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t="1858" b="-1"/>
                    <a:stretch/>
                  </pic:blipFill>
                  <pic:spPr bwMode="auto">
                    <a:xfrm>
                      <a:off x="0" y="0"/>
                      <a:ext cx="4686300" cy="4599214"/>
                    </a:xfrm>
                    <a:prstGeom prst="rect">
                      <a:avLst/>
                    </a:prstGeom>
                    <a:noFill/>
                    <a:ln w="12700" cmpd="sng">
                      <a:solidFill>
                        <a:schemeClr val="tx1"/>
                      </a:solid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rPr>
        <w:br/>
      </w:r>
      <w:r w:rsidRPr="00684EFE">
        <w:rPr>
          <w:rFonts w:ascii="Times New Roman" w:hAnsi="Times New Roman" w:cs="Times New Roman"/>
          <w:b/>
        </w:rPr>
        <w:t>Figure 2.4</w:t>
      </w:r>
      <w:r>
        <w:rPr>
          <w:rFonts w:ascii="Times New Roman" w:hAnsi="Times New Roman" w:cs="Times New Roman"/>
          <w:b/>
        </w:rPr>
        <w:t xml:space="preserve">: </w:t>
      </w:r>
      <w:r w:rsidRPr="00824D7E">
        <w:rPr>
          <w:rFonts w:ascii="Times New Roman" w:hAnsi="Times New Roman" w:cs="Times New Roman"/>
        </w:rPr>
        <w:t xml:space="preserve">Distribution of released </w:t>
      </w:r>
      <w:r w:rsidRPr="00824D7E">
        <w:rPr>
          <w:rFonts w:ascii="Times New Roman" w:hAnsi="Times New Roman" w:cs="Times New Roman"/>
          <w:vertAlign w:val="superscript"/>
        </w:rPr>
        <w:t>134</w:t>
      </w:r>
      <w:r w:rsidRPr="00824D7E">
        <w:rPr>
          <w:rFonts w:ascii="Times New Roman" w:hAnsi="Times New Roman" w:cs="Times New Roman"/>
        </w:rPr>
        <w:t xml:space="preserve">Cs and </w:t>
      </w:r>
      <w:r w:rsidRPr="00824D7E">
        <w:rPr>
          <w:rFonts w:ascii="Times New Roman" w:hAnsi="Times New Roman" w:cs="Times New Roman"/>
          <w:vertAlign w:val="superscript"/>
        </w:rPr>
        <w:t>137</w:t>
      </w:r>
      <w:r w:rsidRPr="00824D7E">
        <w:rPr>
          <w:rFonts w:ascii="Times New Roman" w:hAnsi="Times New Roman" w:cs="Times New Roman"/>
        </w:rPr>
        <w:t>Cs released from the Fukushima Plant following the Tohoku earthquake [</w:t>
      </w:r>
      <w:r>
        <w:rPr>
          <w:rFonts w:ascii="Times New Roman" w:hAnsi="Times New Roman" w:cs="Times New Roman"/>
        </w:rPr>
        <w:t>14]</w:t>
      </w:r>
      <w:r w:rsidR="0009411B">
        <w:rPr>
          <w:rFonts w:ascii="Times New Roman" w:hAnsi="Times New Roman" w:cs="Times New Roman"/>
        </w:rPr>
        <w:br/>
      </w:r>
    </w:p>
    <w:p w14:paraId="705483F5" w14:textId="5C0E01CA" w:rsidR="0009411B" w:rsidRDefault="003D5839" w:rsidP="003D5839">
      <w:pPr>
        <w:spacing w:line="360" w:lineRule="auto"/>
        <w:jc w:val="both"/>
        <w:rPr>
          <w:rFonts w:ascii="Times New Roman" w:hAnsi="Times New Roman" w:cs="Times New Roman"/>
        </w:rPr>
      </w:pPr>
      <w:r>
        <w:rPr>
          <w:rFonts w:ascii="Times New Roman" w:hAnsi="Times New Roman" w:cs="Times New Roman"/>
        </w:rPr>
        <w:t xml:space="preserve">The ingestion of </w:t>
      </w:r>
      <w:r>
        <w:rPr>
          <w:rFonts w:ascii="Times New Roman" w:hAnsi="Times New Roman" w:cs="Times New Roman"/>
          <w:vertAlign w:val="superscript"/>
        </w:rPr>
        <w:t>137</w:t>
      </w:r>
      <w:r>
        <w:rPr>
          <w:rFonts w:ascii="Times New Roman" w:hAnsi="Times New Roman" w:cs="Times New Roman"/>
        </w:rPr>
        <w:t xml:space="preserve">Cs can be dangerous as once it enters the body it is distributed uniformly throughout the body’s soft tissues [12]. This means the increased exposure/ingestion would result in mutation and increase in cancer risk throughout the body. If exposed to very high dosage burns could result even leading to death, however such instances are rare [12]. </w:t>
      </w:r>
    </w:p>
    <w:p w14:paraId="398476A1" w14:textId="77777777" w:rsidR="00816997" w:rsidRDefault="00816997" w:rsidP="003D5839">
      <w:pPr>
        <w:spacing w:line="360" w:lineRule="auto"/>
        <w:jc w:val="both"/>
        <w:rPr>
          <w:rFonts w:ascii="Times New Roman" w:hAnsi="Times New Roman" w:cs="Times New Roman"/>
        </w:rPr>
      </w:pPr>
    </w:p>
    <w:p w14:paraId="17A397D0" w14:textId="77777777" w:rsidR="003D5839" w:rsidRDefault="003D5839" w:rsidP="003D5839">
      <w:pPr>
        <w:spacing w:line="360" w:lineRule="auto"/>
        <w:jc w:val="both"/>
        <w:rPr>
          <w:rFonts w:ascii="Times New Roman" w:hAnsi="Times New Roman" w:cs="Times New Roman"/>
        </w:rPr>
      </w:pPr>
      <w:r>
        <w:rPr>
          <w:rFonts w:ascii="Times New Roman" w:hAnsi="Times New Roman" w:cs="Times New Roman"/>
        </w:rPr>
        <w:t>iii.</w:t>
      </w:r>
      <w:r>
        <w:rPr>
          <w:rFonts w:ascii="Times New Roman" w:hAnsi="Times New Roman" w:cs="Times New Roman"/>
        </w:rPr>
        <w:tab/>
        <w:t>Strontium (fission product)</w:t>
      </w:r>
    </w:p>
    <w:p w14:paraId="7A03CFD7" w14:textId="4DC9E3DD" w:rsidR="003D5839" w:rsidRPr="00435E86" w:rsidRDefault="003D5839" w:rsidP="003D5839">
      <w:pPr>
        <w:spacing w:line="360" w:lineRule="auto"/>
        <w:jc w:val="both"/>
        <w:rPr>
          <w:rFonts w:ascii="Times New Roman" w:hAnsi="Times New Roman" w:cs="Times New Roman"/>
          <w:vertAlign w:val="superscript"/>
        </w:rPr>
      </w:pPr>
      <w:r>
        <w:rPr>
          <w:rFonts w:ascii="Times New Roman" w:hAnsi="Times New Roman" w:cs="Times New Roman"/>
        </w:rPr>
        <w:t>A radioactive isotope of strontium, strontium-90 (</w:t>
      </w:r>
      <w:r>
        <w:rPr>
          <w:rFonts w:ascii="Times New Roman" w:hAnsi="Times New Roman" w:cs="Times New Roman"/>
          <w:vertAlign w:val="superscript"/>
        </w:rPr>
        <w:t>90</w:t>
      </w:r>
      <w:r>
        <w:rPr>
          <w:rFonts w:ascii="Times New Roman" w:hAnsi="Times New Roman" w:cs="Times New Roman"/>
        </w:rPr>
        <w:t xml:space="preserve">Sr), is also a by-product of nuclear fission within reactors during energy production and in nuclear weapons. This radioisotope has </w:t>
      </w:r>
      <w:r w:rsidR="00B36911">
        <w:rPr>
          <w:rFonts w:ascii="Times New Roman" w:hAnsi="Times New Roman" w:cs="Times New Roman"/>
        </w:rPr>
        <w:t xml:space="preserve">a half-life of approximately 29 </w:t>
      </w:r>
      <w:r>
        <w:rPr>
          <w:rFonts w:ascii="Times New Roman" w:hAnsi="Times New Roman" w:cs="Times New Roman"/>
        </w:rPr>
        <w:t>years and undergoes beta decay to form yttrium-</w:t>
      </w:r>
      <w:proofErr w:type="gramStart"/>
      <w:r>
        <w:rPr>
          <w:rFonts w:ascii="Times New Roman" w:hAnsi="Times New Roman" w:cs="Times New Roman"/>
        </w:rPr>
        <w:t>90 which</w:t>
      </w:r>
      <w:proofErr w:type="gramEnd"/>
      <w:r>
        <w:rPr>
          <w:rFonts w:ascii="Times New Roman" w:hAnsi="Times New Roman" w:cs="Times New Roman"/>
        </w:rPr>
        <w:t xml:space="preserve"> ultimately decays to form zirconium-90. In Figure 2.3</w:t>
      </w:r>
      <w:r w:rsidR="00416068">
        <w:rPr>
          <w:rFonts w:ascii="Times New Roman" w:hAnsi="Times New Roman" w:cs="Times New Roman"/>
        </w:rPr>
        <w:t xml:space="preserve"> the</w:t>
      </w:r>
      <w:r w:rsidR="0079473D">
        <w:rPr>
          <w:rFonts w:ascii="Times New Roman" w:hAnsi="Times New Roman" w:cs="Times New Roman"/>
        </w:rPr>
        <w:t xml:space="preserve"> fission product</w:t>
      </w:r>
      <w:r>
        <w:rPr>
          <w:rFonts w:ascii="Times New Roman" w:hAnsi="Times New Roman" w:cs="Times New Roman"/>
        </w:rPr>
        <w:t xml:space="preserve"> </w:t>
      </w:r>
      <w:r>
        <w:rPr>
          <w:rFonts w:ascii="Times New Roman" w:hAnsi="Times New Roman" w:cs="Times New Roman"/>
          <w:vertAlign w:val="superscript"/>
        </w:rPr>
        <w:t>90</w:t>
      </w:r>
      <w:r>
        <w:rPr>
          <w:rFonts w:ascii="Times New Roman" w:hAnsi="Times New Roman" w:cs="Times New Roman"/>
        </w:rPr>
        <w:t>Sr is pr</w:t>
      </w:r>
      <w:r w:rsidR="0079473D">
        <w:rPr>
          <w:rFonts w:ascii="Times New Roman" w:hAnsi="Times New Roman" w:cs="Times New Roman"/>
        </w:rPr>
        <w:t xml:space="preserve">oduced in relatively high yields, however in a lower proportion in </w:t>
      </w:r>
      <w:r>
        <w:rPr>
          <w:rFonts w:ascii="Times New Roman" w:hAnsi="Times New Roman" w:cs="Times New Roman"/>
        </w:rPr>
        <w:t xml:space="preserve">comparison to </w:t>
      </w:r>
      <w:r>
        <w:rPr>
          <w:rFonts w:ascii="Times New Roman" w:hAnsi="Times New Roman" w:cs="Times New Roman"/>
          <w:vertAlign w:val="superscript"/>
        </w:rPr>
        <w:t>137</w:t>
      </w:r>
      <w:r w:rsidR="0079473D">
        <w:rPr>
          <w:rFonts w:ascii="Times New Roman" w:hAnsi="Times New Roman" w:cs="Times New Roman"/>
        </w:rPr>
        <w:t>Cs.</w:t>
      </w:r>
    </w:p>
    <w:p w14:paraId="7F495DAB" w14:textId="4E49A6C8" w:rsidR="003D5839" w:rsidRDefault="003D5839" w:rsidP="003D5839">
      <w:pPr>
        <w:spacing w:line="360" w:lineRule="auto"/>
        <w:jc w:val="both"/>
        <w:rPr>
          <w:rFonts w:ascii="Times New Roman" w:hAnsi="Times New Roman" w:cs="Times New Roman"/>
        </w:rPr>
      </w:pPr>
      <w:r>
        <w:rPr>
          <w:rFonts w:ascii="Times New Roman" w:hAnsi="Times New Roman" w:cs="Times New Roman"/>
        </w:rPr>
        <w:t xml:space="preserve">Significant amounts of </w:t>
      </w:r>
      <w:r>
        <w:rPr>
          <w:rFonts w:ascii="Times New Roman" w:hAnsi="Times New Roman" w:cs="Times New Roman"/>
          <w:vertAlign w:val="superscript"/>
        </w:rPr>
        <w:t>90</w:t>
      </w:r>
      <w:r>
        <w:rPr>
          <w:rFonts w:ascii="Times New Roman" w:hAnsi="Times New Roman" w:cs="Times New Roman"/>
        </w:rPr>
        <w:t xml:space="preserve">Sr were released during </w:t>
      </w:r>
      <w:r w:rsidR="0079473D">
        <w:rPr>
          <w:rFonts w:ascii="Times New Roman" w:hAnsi="Times New Roman" w:cs="Times New Roman"/>
        </w:rPr>
        <w:t>the Fukushima incident, and large</w:t>
      </w:r>
      <w:r>
        <w:rPr>
          <w:rFonts w:ascii="Times New Roman" w:hAnsi="Times New Roman" w:cs="Times New Roman"/>
        </w:rPr>
        <w:t xml:space="preserve"> amounts were found years later in nearby sea soil as reported by Tepco [15]. Very large amounts were also released during nuclear weaponry testing in the 1950’s and also as a result of the 1986 Chernobyl incident [12].  </w:t>
      </w:r>
    </w:p>
    <w:p w14:paraId="3C9B5EFC" w14:textId="5FAADBCD" w:rsidR="003D5839" w:rsidRPr="00542983" w:rsidRDefault="003D5839" w:rsidP="003D5839">
      <w:pPr>
        <w:spacing w:line="360" w:lineRule="auto"/>
        <w:jc w:val="both"/>
        <w:rPr>
          <w:rFonts w:ascii="Times New Roman" w:hAnsi="Times New Roman" w:cs="Times New Roman"/>
        </w:rPr>
      </w:pPr>
      <w:r>
        <w:rPr>
          <w:rFonts w:ascii="Times New Roman" w:hAnsi="Times New Roman" w:cs="Times New Roman"/>
          <w:vertAlign w:val="superscript"/>
        </w:rPr>
        <w:t>90</w:t>
      </w:r>
      <w:r>
        <w:rPr>
          <w:rFonts w:ascii="Times New Roman" w:hAnsi="Times New Roman" w:cs="Times New Roman"/>
        </w:rPr>
        <w:t>Sr can enter the body via inhalation</w:t>
      </w:r>
      <w:r w:rsidR="00E6318B">
        <w:rPr>
          <w:rFonts w:ascii="Times New Roman" w:hAnsi="Times New Roman" w:cs="Times New Roman"/>
        </w:rPr>
        <w:t xml:space="preserve"> from the environment</w:t>
      </w:r>
      <w:r>
        <w:rPr>
          <w:rFonts w:ascii="Times New Roman" w:hAnsi="Times New Roman" w:cs="Times New Roman"/>
        </w:rPr>
        <w:t xml:space="preserve"> or ingestion. The majority passes through the body, with the remaining amounts getting absorbed into the bone</w:t>
      </w:r>
      <w:r w:rsidR="00E6318B">
        <w:rPr>
          <w:rFonts w:ascii="Times New Roman" w:hAnsi="Times New Roman" w:cs="Times New Roman"/>
        </w:rPr>
        <w:t xml:space="preserve"> [16]</w:t>
      </w:r>
      <w:r>
        <w:rPr>
          <w:rFonts w:ascii="Times New Roman" w:hAnsi="Times New Roman" w:cs="Times New Roman"/>
        </w:rPr>
        <w:t xml:space="preserve">. This radioisotope is known as a bone seeker, as it is chemically similar to calcium. Thus the main health concern is the increased risk of bone cancer and </w:t>
      </w:r>
      <w:r w:rsidR="00A84256">
        <w:rPr>
          <w:rFonts w:ascii="Times New Roman" w:hAnsi="Times New Roman" w:cs="Times New Roman"/>
        </w:rPr>
        <w:t>leukemia</w:t>
      </w:r>
      <w:r>
        <w:rPr>
          <w:rFonts w:ascii="Times New Roman" w:hAnsi="Times New Roman" w:cs="Times New Roman"/>
        </w:rPr>
        <w:t xml:space="preserve"> [16]. </w:t>
      </w:r>
    </w:p>
    <w:p w14:paraId="2F97B8BF" w14:textId="77777777" w:rsidR="003D5839" w:rsidRDefault="003D5839" w:rsidP="003D5839">
      <w:pPr>
        <w:spacing w:line="360" w:lineRule="auto"/>
        <w:rPr>
          <w:rFonts w:ascii="Times New Roman" w:hAnsi="Times New Roman" w:cs="Times New Roman"/>
          <w:b/>
          <w:sz w:val="28"/>
        </w:rPr>
      </w:pPr>
    </w:p>
    <w:p w14:paraId="6A975100" w14:textId="5134BC7D" w:rsidR="003D5839" w:rsidRDefault="003D5839" w:rsidP="003D5839">
      <w:pPr>
        <w:spacing w:line="360" w:lineRule="auto"/>
        <w:rPr>
          <w:rFonts w:ascii="Times New Roman" w:hAnsi="Times New Roman" w:cs="Times New Roman"/>
          <w:b/>
        </w:rPr>
      </w:pPr>
      <w:r w:rsidRPr="00A50A94">
        <w:rPr>
          <w:rFonts w:ascii="Times New Roman" w:hAnsi="Times New Roman" w:cs="Times New Roman"/>
          <w:b/>
          <w:bCs/>
          <w:smallCaps/>
          <w:sz w:val="32"/>
          <w:szCs w:val="28"/>
        </w:rPr>
        <w:t>2.3</w:t>
      </w:r>
      <w:r w:rsidRPr="00A50A94">
        <w:rPr>
          <w:rFonts w:ascii="Times New Roman" w:hAnsi="Times New Roman" w:cs="Times New Roman"/>
          <w:b/>
          <w:bCs/>
          <w:smallCaps/>
          <w:sz w:val="32"/>
          <w:szCs w:val="28"/>
        </w:rPr>
        <w:tab/>
        <w:t>Cements and Composite Cements</w:t>
      </w:r>
      <w:r>
        <w:rPr>
          <w:rFonts w:ascii="Times New Roman" w:hAnsi="Times New Roman" w:cs="Times New Roman"/>
          <w:b/>
          <w:sz w:val="28"/>
        </w:rPr>
        <w:br/>
      </w:r>
      <w:r>
        <w:rPr>
          <w:rFonts w:ascii="Times New Roman" w:hAnsi="Times New Roman" w:cs="Times New Roman"/>
          <w:b/>
        </w:rPr>
        <w:t>2.3.1</w:t>
      </w:r>
      <w:r>
        <w:rPr>
          <w:rFonts w:ascii="Times New Roman" w:hAnsi="Times New Roman" w:cs="Times New Roman"/>
          <w:b/>
        </w:rPr>
        <w:tab/>
        <w:t xml:space="preserve">Portland </w:t>
      </w:r>
      <w:proofErr w:type="gramStart"/>
      <w:r>
        <w:rPr>
          <w:rFonts w:ascii="Times New Roman" w:hAnsi="Times New Roman" w:cs="Times New Roman"/>
          <w:b/>
        </w:rPr>
        <w:t>Cement</w:t>
      </w:r>
      <w:proofErr w:type="gramEnd"/>
    </w:p>
    <w:p w14:paraId="4A0B5021" w14:textId="38BF21B0" w:rsidR="003D5839" w:rsidRDefault="00E85025" w:rsidP="003D5839">
      <w:pPr>
        <w:spacing w:after="240" w:line="360" w:lineRule="auto"/>
        <w:jc w:val="both"/>
        <w:rPr>
          <w:rFonts w:ascii="TimesNewRomanPSMT" w:hAnsi="TimesNewRomanPSMT" w:cs="TimesNewRomanPSMT"/>
        </w:rPr>
      </w:pPr>
      <w:r>
        <w:rPr>
          <w:rFonts w:ascii="Times New Roman" w:hAnsi="Times New Roman" w:cs="Times New Roman"/>
          <w:color w:val="000000"/>
        </w:rPr>
        <w:t>PC</w:t>
      </w:r>
      <w:r w:rsidR="003D5839">
        <w:rPr>
          <w:rFonts w:ascii="Times New Roman" w:hAnsi="Times New Roman" w:cs="Times New Roman"/>
          <w:color w:val="000000"/>
        </w:rPr>
        <w:t xml:space="preserve"> is a hydr</w:t>
      </w:r>
      <w:r w:rsidR="0039016A">
        <w:rPr>
          <w:rFonts w:ascii="Times New Roman" w:hAnsi="Times New Roman" w:cs="Times New Roman"/>
          <w:color w:val="000000"/>
        </w:rPr>
        <w:t>aulic binder composed of lime</w:t>
      </w:r>
      <w:r w:rsidR="003D5839">
        <w:rPr>
          <w:rFonts w:ascii="Times New Roman" w:hAnsi="Times New Roman" w:cs="Times New Roman"/>
          <w:color w:val="000000"/>
        </w:rPr>
        <w:t>, alumina silica</w:t>
      </w:r>
      <w:r w:rsidR="007F33BA">
        <w:rPr>
          <w:rFonts w:ascii="Times New Roman" w:hAnsi="Times New Roman" w:cs="Times New Roman"/>
          <w:color w:val="000000"/>
        </w:rPr>
        <w:t>,</w:t>
      </w:r>
      <w:r w:rsidR="003D5839">
        <w:rPr>
          <w:rFonts w:ascii="Times New Roman" w:hAnsi="Times New Roman" w:cs="Times New Roman"/>
          <w:color w:val="000000"/>
        </w:rPr>
        <w:t xml:space="preserve"> iron</w:t>
      </w:r>
      <w:r w:rsidR="007F33BA">
        <w:rPr>
          <w:rFonts w:ascii="Times New Roman" w:hAnsi="Times New Roman" w:cs="Times New Roman"/>
          <w:color w:val="000000"/>
        </w:rPr>
        <w:t xml:space="preserve"> and important sulphates</w:t>
      </w:r>
      <w:r w:rsidR="003D5839">
        <w:rPr>
          <w:rFonts w:ascii="Times New Roman" w:hAnsi="Times New Roman" w:cs="Times New Roman"/>
          <w:color w:val="000000"/>
        </w:rPr>
        <w:t>. It is the product of mixing clay with limestone and firing them at approximately 1450</w:t>
      </w:r>
      <w:r w:rsidR="003D5839">
        <w:rPr>
          <w:rFonts w:ascii="Times New Roman" w:hAnsi="Times New Roman" w:cs="Times New Roman"/>
          <w:color w:val="000000"/>
          <w:vertAlign w:val="superscript"/>
        </w:rPr>
        <w:t>o</w:t>
      </w:r>
      <w:r w:rsidR="003D5839">
        <w:rPr>
          <w:rFonts w:ascii="Times New Roman" w:hAnsi="Times New Roman" w:cs="Times New Roman"/>
          <w:color w:val="000000"/>
        </w:rPr>
        <w:t xml:space="preserve">C. When </w:t>
      </w:r>
      <w:r>
        <w:rPr>
          <w:rFonts w:ascii="Times New Roman" w:hAnsi="Times New Roman" w:cs="Times New Roman"/>
          <w:color w:val="000000"/>
        </w:rPr>
        <w:t>PC</w:t>
      </w:r>
      <w:r w:rsidR="003D5839">
        <w:rPr>
          <w:rFonts w:ascii="Times New Roman" w:hAnsi="Times New Roman" w:cs="Times New Roman"/>
          <w:color w:val="000000"/>
        </w:rPr>
        <w:t xml:space="preserve"> is mixed with water an exothermic reaction occurs to produce a strong, hard mass. </w:t>
      </w:r>
    </w:p>
    <w:p w14:paraId="2F0DE7BE" w14:textId="118DD625" w:rsidR="003D5839" w:rsidRPr="009F7E41" w:rsidRDefault="00E85025" w:rsidP="003D5839">
      <w:pPr>
        <w:spacing w:after="240" w:line="360" w:lineRule="auto"/>
        <w:jc w:val="both"/>
        <w:rPr>
          <w:rFonts w:ascii="Times New Roman" w:hAnsi="Times New Roman" w:cs="Times New Roman"/>
          <w:color w:val="000000"/>
        </w:rPr>
      </w:pPr>
      <w:r>
        <w:rPr>
          <w:rFonts w:ascii="Times New Roman" w:hAnsi="Times New Roman" w:cs="Times New Roman"/>
          <w:bCs/>
          <w:color w:val="000000"/>
        </w:rPr>
        <w:t>PC</w:t>
      </w:r>
      <w:r w:rsidR="007F33BA">
        <w:rPr>
          <w:rFonts w:ascii="Times New Roman" w:hAnsi="Times New Roman" w:cs="Times New Roman"/>
          <w:bCs/>
          <w:color w:val="000000"/>
        </w:rPr>
        <w:t xml:space="preserve"> is</w:t>
      </w:r>
      <w:r w:rsidR="003D5839">
        <w:rPr>
          <w:rFonts w:ascii="Times New Roman" w:hAnsi="Times New Roman" w:cs="Times New Roman"/>
          <w:color w:val="000000"/>
        </w:rPr>
        <w:t xml:space="preserve"> commonly used to immobi</w:t>
      </w:r>
      <w:r w:rsidR="003D5839" w:rsidRPr="00832BAC">
        <w:rPr>
          <w:rFonts w:ascii="Times New Roman" w:hAnsi="Times New Roman" w:cs="Times New Roman"/>
          <w:color w:val="000000"/>
        </w:rPr>
        <w:t>lise</w:t>
      </w:r>
      <w:r w:rsidR="003D5839">
        <w:rPr>
          <w:rFonts w:ascii="Times New Roman" w:hAnsi="Times New Roman" w:cs="Times New Roman"/>
          <w:color w:val="000000"/>
        </w:rPr>
        <w:t xml:space="preserve"> intermediate level</w:t>
      </w:r>
      <w:r w:rsidR="003D5839" w:rsidRPr="00832BAC">
        <w:rPr>
          <w:rFonts w:ascii="Times New Roman" w:hAnsi="Times New Roman" w:cs="Times New Roman"/>
          <w:color w:val="000000"/>
        </w:rPr>
        <w:t xml:space="preserve"> nuclear waste because</w:t>
      </w:r>
      <w:r w:rsidR="003D5839">
        <w:rPr>
          <w:rFonts w:ascii="Times New Roman" w:hAnsi="Times New Roman" w:cs="Times New Roman"/>
          <w:color w:val="000000"/>
        </w:rPr>
        <w:t xml:space="preserve"> of the m</w:t>
      </w:r>
      <w:r w:rsidR="003D5839" w:rsidRPr="00832BAC">
        <w:rPr>
          <w:rFonts w:ascii="Times New Roman" w:hAnsi="Times New Roman" w:cs="Times New Roman"/>
          <w:color w:val="000000"/>
        </w:rPr>
        <w:t>any different wastes</w:t>
      </w:r>
      <w:r w:rsidR="003D5839">
        <w:rPr>
          <w:rFonts w:ascii="Times New Roman" w:hAnsi="Times New Roman" w:cs="Times New Roman"/>
          <w:color w:val="000000"/>
        </w:rPr>
        <w:t xml:space="preserve"> that</w:t>
      </w:r>
      <w:r w:rsidR="003D5839" w:rsidRPr="00832BAC">
        <w:rPr>
          <w:rFonts w:ascii="Times New Roman" w:hAnsi="Times New Roman" w:cs="Times New Roman"/>
          <w:color w:val="000000"/>
        </w:rPr>
        <w:t xml:space="preserve"> can be incorporated into the hardened cement paste</w:t>
      </w:r>
      <w:r w:rsidR="003D5839">
        <w:rPr>
          <w:rFonts w:ascii="Times New Roman" w:hAnsi="Times New Roman" w:cs="Times New Roman"/>
          <w:color w:val="000000"/>
        </w:rPr>
        <w:t xml:space="preserve"> [17]. The final waste</w:t>
      </w:r>
      <w:r w:rsidR="003D5839" w:rsidRPr="00832BAC">
        <w:rPr>
          <w:rFonts w:ascii="Times New Roman" w:hAnsi="Times New Roman" w:cs="Times New Roman"/>
          <w:color w:val="000000"/>
        </w:rPr>
        <w:t>form has a high level of durability</w:t>
      </w:r>
      <w:r w:rsidR="003D5839">
        <w:rPr>
          <w:rFonts w:ascii="Times New Roman" w:hAnsi="Times New Roman" w:cs="Times New Roman"/>
          <w:color w:val="000000"/>
        </w:rPr>
        <w:t xml:space="preserve"> and the h</w:t>
      </w:r>
      <w:r w:rsidR="003D5839" w:rsidRPr="00832BAC">
        <w:rPr>
          <w:rFonts w:ascii="Times New Roman" w:hAnsi="Times New Roman" w:cs="Times New Roman"/>
          <w:color w:val="000000"/>
        </w:rPr>
        <w:t>ardened cement matrix is</w:t>
      </w:r>
      <w:r w:rsidR="003D5839">
        <w:rPr>
          <w:rFonts w:ascii="Times New Roman" w:hAnsi="Times New Roman" w:cs="Times New Roman"/>
          <w:color w:val="000000"/>
        </w:rPr>
        <w:t xml:space="preserve"> also</w:t>
      </w:r>
      <w:r w:rsidR="003D5839" w:rsidRPr="00832BAC">
        <w:rPr>
          <w:rFonts w:ascii="Times New Roman" w:hAnsi="Times New Roman" w:cs="Times New Roman"/>
          <w:color w:val="000000"/>
        </w:rPr>
        <w:t xml:space="preserve"> </w:t>
      </w:r>
      <w:r w:rsidR="003D5839">
        <w:rPr>
          <w:rFonts w:ascii="Times New Roman" w:hAnsi="Times New Roman" w:cs="Times New Roman"/>
          <w:color w:val="000000"/>
        </w:rPr>
        <w:t>significantly</w:t>
      </w:r>
      <w:r w:rsidR="003D5839" w:rsidRPr="00832BAC">
        <w:rPr>
          <w:rFonts w:ascii="Times New Roman" w:hAnsi="Times New Roman" w:cs="Times New Roman"/>
          <w:color w:val="000000"/>
        </w:rPr>
        <w:t xml:space="preserve"> resistant to degradation due to </w:t>
      </w:r>
      <w:r w:rsidR="003D5839">
        <w:rPr>
          <w:rFonts w:ascii="Times New Roman" w:hAnsi="Times New Roman" w:cs="Times New Roman"/>
          <w:color w:val="000000"/>
        </w:rPr>
        <w:t xml:space="preserve">irradiation [17]. The cements are also </w:t>
      </w:r>
      <w:r w:rsidR="003D5839" w:rsidRPr="00832BAC">
        <w:rPr>
          <w:rFonts w:ascii="Times New Roman" w:hAnsi="Times New Roman" w:cs="Times New Roman"/>
          <w:color w:val="000000"/>
        </w:rPr>
        <w:t>readily available and relatively inexpensive</w:t>
      </w:r>
      <w:r w:rsidR="003D5839">
        <w:rPr>
          <w:rFonts w:ascii="Times New Roman" w:hAnsi="Times New Roman" w:cs="Times New Roman"/>
          <w:color w:val="000000"/>
        </w:rPr>
        <w:t xml:space="preserve">. The low cost of limestone and the natural abundance of silica make </w:t>
      </w:r>
      <w:r>
        <w:rPr>
          <w:rFonts w:ascii="Times New Roman" w:hAnsi="Times New Roman" w:cs="Times New Roman"/>
          <w:color w:val="000000"/>
        </w:rPr>
        <w:t>PC</w:t>
      </w:r>
      <w:r w:rsidR="003D5839">
        <w:rPr>
          <w:rFonts w:ascii="Times New Roman" w:hAnsi="Times New Roman" w:cs="Times New Roman"/>
          <w:color w:val="000000"/>
        </w:rPr>
        <w:t xml:space="preserve"> one of the cheapest materials used globally [17]. </w:t>
      </w:r>
      <w:r>
        <w:rPr>
          <w:rFonts w:ascii="Times New Roman" w:hAnsi="Times New Roman" w:cs="Times New Roman"/>
          <w:color w:val="000000"/>
        </w:rPr>
        <w:t>PC</w:t>
      </w:r>
      <w:r w:rsidR="003D5839">
        <w:rPr>
          <w:rFonts w:ascii="Times New Roman" w:hAnsi="Times New Roman" w:cs="Times New Roman"/>
          <w:color w:val="000000"/>
        </w:rPr>
        <w:t xml:space="preserve"> also offers a chemical environment with a high pH of around 13.5, which is favourable for ion substitution and sorption</w:t>
      </w:r>
      <w:r w:rsidR="00A31DCA">
        <w:rPr>
          <w:rFonts w:ascii="Times New Roman" w:hAnsi="Times New Roman" w:cs="Times New Roman"/>
          <w:color w:val="000000"/>
        </w:rPr>
        <w:t>, however during the blending of cements this pH tends to be reduced</w:t>
      </w:r>
      <w:r w:rsidR="003D5839">
        <w:rPr>
          <w:rFonts w:ascii="Times New Roman" w:hAnsi="Times New Roman" w:cs="Times New Roman"/>
          <w:color w:val="000000"/>
        </w:rPr>
        <w:t>. It has very g</w:t>
      </w:r>
      <w:r w:rsidR="003D5839" w:rsidRPr="00832BAC">
        <w:rPr>
          <w:rFonts w:ascii="Times New Roman" w:hAnsi="Times New Roman" w:cs="Times New Roman"/>
          <w:color w:val="000000"/>
        </w:rPr>
        <w:t>ood initial fluidity to allow mixing</w:t>
      </w:r>
      <w:r w:rsidR="003D5839">
        <w:rPr>
          <w:rFonts w:ascii="Times New Roman" w:hAnsi="Times New Roman" w:cs="Times New Roman"/>
          <w:color w:val="000000"/>
        </w:rPr>
        <w:t xml:space="preserve">, resulting in a homogeneous distribution of the waste throughout the final waste form with </w:t>
      </w:r>
      <w:r w:rsidR="003D5839">
        <w:rPr>
          <w:rFonts w:ascii="TimesNewRomanPSMT" w:hAnsi="TimesNewRomanPSMT" w:cs="TimesNewRomanPSMT"/>
        </w:rPr>
        <w:t xml:space="preserve">good thermal, </w:t>
      </w:r>
      <w:proofErr w:type="gramStart"/>
      <w:r w:rsidR="003D5839">
        <w:rPr>
          <w:rFonts w:ascii="TimesNewRomanPSMT" w:hAnsi="TimesNewRomanPSMT" w:cs="TimesNewRomanPSMT"/>
        </w:rPr>
        <w:t>chemical and physical stability</w:t>
      </w:r>
      <w:proofErr w:type="gramEnd"/>
      <w:r w:rsidR="003D5839">
        <w:rPr>
          <w:rFonts w:ascii="TimesNewRomanPSMT" w:hAnsi="TimesNewRomanPSMT" w:cs="TimesNewRomanPSMT"/>
        </w:rPr>
        <w:t xml:space="preserve"> [17].</w:t>
      </w:r>
      <w:r w:rsidR="003D5839">
        <w:rPr>
          <w:rFonts w:ascii="Times New Roman" w:hAnsi="Times New Roman" w:cs="Times New Roman"/>
          <w:color w:val="000000"/>
        </w:rPr>
        <w:t xml:space="preserve"> Prior to hydration the </w:t>
      </w:r>
      <w:r>
        <w:rPr>
          <w:rFonts w:ascii="Times New Roman" w:hAnsi="Times New Roman" w:cs="Times New Roman"/>
          <w:color w:val="000000"/>
        </w:rPr>
        <w:t>PC</w:t>
      </w:r>
      <w:r w:rsidR="003D5839">
        <w:rPr>
          <w:rFonts w:ascii="Times New Roman" w:hAnsi="Times New Roman" w:cs="Times New Roman"/>
          <w:color w:val="000000"/>
        </w:rPr>
        <w:t xml:space="preserve">s contain four major phases (shown in Table 1).  </w:t>
      </w:r>
    </w:p>
    <w:p w14:paraId="4151F6FB" w14:textId="77777777" w:rsidR="003D5839" w:rsidRDefault="003D5839" w:rsidP="00921659">
      <w:pPr>
        <w:spacing w:after="240" w:line="360" w:lineRule="auto"/>
        <w:rPr>
          <w:rFonts w:ascii="Times New Roman" w:hAnsi="Times New Roman" w:cs="Times New Roman"/>
          <w:b/>
          <w:color w:val="000000"/>
        </w:rPr>
      </w:pPr>
    </w:p>
    <w:p w14:paraId="007CD673" w14:textId="77777777" w:rsidR="003D5839" w:rsidRPr="00C72299" w:rsidRDefault="003D5839" w:rsidP="003D5839">
      <w:pPr>
        <w:spacing w:after="240" w:line="360" w:lineRule="auto"/>
        <w:jc w:val="center"/>
        <w:rPr>
          <w:rFonts w:ascii="Times New Roman" w:hAnsi="Times New Roman" w:cs="Times New Roman"/>
          <w:color w:val="000000"/>
        </w:rPr>
      </w:pPr>
      <w:r w:rsidRPr="00790819">
        <w:rPr>
          <w:rFonts w:ascii="Times New Roman" w:hAnsi="Times New Roman" w:cs="Times New Roman"/>
          <w:b/>
          <w:color w:val="000000"/>
        </w:rPr>
        <w:t xml:space="preserve">Table 1: </w:t>
      </w:r>
      <w:r w:rsidRPr="00D417CE">
        <w:rPr>
          <w:rFonts w:ascii="Times New Roman" w:hAnsi="Times New Roman" w:cs="Times New Roman"/>
          <w:color w:val="000000"/>
        </w:rPr>
        <w:t>Principal</w:t>
      </w:r>
      <w:r>
        <w:rPr>
          <w:rFonts w:ascii="Times New Roman" w:hAnsi="Times New Roman" w:cs="Times New Roman"/>
          <w:color w:val="000000"/>
        </w:rPr>
        <w:t xml:space="preserve"> compounds in Portland cement [9</w:t>
      </w:r>
      <w:r w:rsidRPr="00D417CE">
        <w:rPr>
          <w:rFonts w:ascii="Times New Roman" w:hAnsi="Times New Roman" w:cs="Times New Roman"/>
          <w:color w:val="000000"/>
        </w:rPr>
        <w:t>]</w:t>
      </w:r>
    </w:p>
    <w:tbl>
      <w:tblPr>
        <w:tblStyle w:val="TableGrid"/>
        <w:tblW w:w="0" w:type="auto"/>
        <w:jc w:val="center"/>
        <w:tblLook w:val="04A0" w:firstRow="1" w:lastRow="0" w:firstColumn="1" w:lastColumn="0" w:noHBand="0" w:noVBand="1"/>
      </w:tblPr>
      <w:tblGrid>
        <w:gridCol w:w="2915"/>
        <w:gridCol w:w="2196"/>
        <w:gridCol w:w="1577"/>
      </w:tblGrid>
      <w:tr w:rsidR="003D5839" w14:paraId="735B6AD1" w14:textId="77777777" w:rsidTr="003D5839">
        <w:trPr>
          <w:jc w:val="center"/>
        </w:trPr>
        <w:tc>
          <w:tcPr>
            <w:tcW w:w="0" w:type="auto"/>
            <w:tcBorders>
              <w:left w:val="nil"/>
              <w:bottom w:val="single" w:sz="4" w:space="0" w:color="auto"/>
              <w:right w:val="nil"/>
            </w:tcBorders>
          </w:tcPr>
          <w:p w14:paraId="503BB665" w14:textId="77777777" w:rsidR="003D5839" w:rsidRPr="00C54DAE" w:rsidRDefault="003D5839" w:rsidP="003D5839">
            <w:pPr>
              <w:spacing w:after="120" w:line="360" w:lineRule="auto"/>
              <w:rPr>
                <w:rFonts w:ascii="Times New Roman" w:hAnsi="Times New Roman" w:cs="Times New Roman"/>
                <w:b/>
                <w:color w:val="000000"/>
                <w:sz w:val="24"/>
                <w:szCs w:val="24"/>
                <w:lang w:val="en-US"/>
              </w:rPr>
            </w:pPr>
            <w:r w:rsidRPr="00C54DAE">
              <w:rPr>
                <w:rFonts w:ascii="Times New Roman" w:hAnsi="Times New Roman" w:cs="Times New Roman"/>
                <w:b/>
                <w:color w:val="000000"/>
                <w:sz w:val="24"/>
                <w:szCs w:val="24"/>
                <w:lang w:val="en-US"/>
              </w:rPr>
              <w:t>Compound</w:t>
            </w:r>
          </w:p>
        </w:tc>
        <w:tc>
          <w:tcPr>
            <w:tcW w:w="0" w:type="auto"/>
            <w:tcBorders>
              <w:left w:val="nil"/>
              <w:bottom w:val="single" w:sz="4" w:space="0" w:color="auto"/>
              <w:right w:val="nil"/>
            </w:tcBorders>
          </w:tcPr>
          <w:p w14:paraId="1DD11883" w14:textId="77777777" w:rsidR="003D5839" w:rsidRPr="00C54DAE" w:rsidRDefault="003D5839" w:rsidP="003D5839">
            <w:pPr>
              <w:spacing w:after="120" w:line="360" w:lineRule="auto"/>
              <w:rPr>
                <w:rFonts w:ascii="Times New Roman" w:hAnsi="Times New Roman" w:cs="Times New Roman"/>
                <w:b/>
                <w:color w:val="000000"/>
                <w:sz w:val="24"/>
                <w:szCs w:val="24"/>
                <w:lang w:val="en-US"/>
              </w:rPr>
            </w:pPr>
            <w:r w:rsidRPr="00C54DAE">
              <w:rPr>
                <w:rFonts w:ascii="Times New Roman" w:hAnsi="Times New Roman" w:cs="Times New Roman"/>
                <w:b/>
                <w:color w:val="000000"/>
                <w:sz w:val="24"/>
                <w:szCs w:val="24"/>
                <w:lang w:val="en-US"/>
              </w:rPr>
              <w:t>Oxide Composition</w:t>
            </w:r>
          </w:p>
        </w:tc>
        <w:tc>
          <w:tcPr>
            <w:tcW w:w="0" w:type="auto"/>
            <w:tcBorders>
              <w:left w:val="nil"/>
              <w:bottom w:val="single" w:sz="4" w:space="0" w:color="auto"/>
              <w:right w:val="nil"/>
            </w:tcBorders>
          </w:tcPr>
          <w:p w14:paraId="79A61408" w14:textId="77777777" w:rsidR="003D5839" w:rsidRPr="00C54DAE" w:rsidRDefault="003D5839" w:rsidP="003D5839">
            <w:pPr>
              <w:spacing w:after="120" w:line="360" w:lineRule="auto"/>
              <w:rPr>
                <w:rFonts w:ascii="Times New Roman" w:hAnsi="Times New Roman" w:cs="Times New Roman"/>
                <w:b/>
                <w:color w:val="000000"/>
                <w:sz w:val="24"/>
                <w:szCs w:val="24"/>
                <w:lang w:val="en-US"/>
              </w:rPr>
            </w:pPr>
            <w:r w:rsidRPr="00C54DAE">
              <w:rPr>
                <w:rFonts w:ascii="Times New Roman" w:hAnsi="Times New Roman" w:cs="Times New Roman"/>
                <w:b/>
                <w:color w:val="000000"/>
                <w:sz w:val="24"/>
                <w:szCs w:val="24"/>
                <w:lang w:val="en-US"/>
              </w:rPr>
              <w:t>Abbreviation</w:t>
            </w:r>
          </w:p>
        </w:tc>
      </w:tr>
      <w:tr w:rsidR="003D5839" w14:paraId="5EF59222" w14:textId="77777777" w:rsidTr="003D5839">
        <w:trPr>
          <w:jc w:val="center"/>
        </w:trPr>
        <w:tc>
          <w:tcPr>
            <w:tcW w:w="0" w:type="auto"/>
            <w:tcBorders>
              <w:top w:val="single" w:sz="4" w:space="0" w:color="auto"/>
              <w:left w:val="nil"/>
              <w:bottom w:val="nil"/>
              <w:right w:val="nil"/>
            </w:tcBorders>
          </w:tcPr>
          <w:p w14:paraId="151DD422" w14:textId="77777777" w:rsidR="003D5839" w:rsidRDefault="003D5839" w:rsidP="003D5839">
            <w:pPr>
              <w:spacing w:after="240" w:line="36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Tricalcium silicate</w:t>
            </w:r>
          </w:p>
        </w:tc>
        <w:tc>
          <w:tcPr>
            <w:tcW w:w="0" w:type="auto"/>
            <w:tcBorders>
              <w:top w:val="single" w:sz="4" w:space="0" w:color="auto"/>
              <w:left w:val="nil"/>
              <w:bottom w:val="nil"/>
              <w:right w:val="nil"/>
            </w:tcBorders>
          </w:tcPr>
          <w:p w14:paraId="345FC7BC" w14:textId="095CF32E" w:rsidR="003D5839" w:rsidRPr="00C54DAE" w:rsidRDefault="003D5839" w:rsidP="006C1F11">
            <w:pPr>
              <w:spacing w:after="240" w:line="36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3CaO</w:t>
            </w:r>
            <w:r w:rsidR="006C1F11">
              <w:rPr>
                <w:rFonts w:ascii="Wingdings" w:hAnsi="Wingdings"/>
                <w:color w:val="000000"/>
              </w:rPr>
              <w:t></w:t>
            </w:r>
            <w:r>
              <w:rPr>
                <w:rFonts w:ascii="Times New Roman" w:hAnsi="Times New Roman" w:cs="Times New Roman"/>
                <w:color w:val="000000"/>
                <w:sz w:val="24"/>
                <w:szCs w:val="24"/>
                <w:lang w:val="en-US"/>
              </w:rPr>
              <w:t>SiO</w:t>
            </w:r>
            <w:r>
              <w:rPr>
                <w:rFonts w:ascii="Times New Roman" w:hAnsi="Times New Roman" w:cs="Times New Roman"/>
                <w:color w:val="000000"/>
                <w:sz w:val="24"/>
                <w:szCs w:val="24"/>
                <w:vertAlign w:val="subscript"/>
                <w:lang w:val="en-US"/>
              </w:rPr>
              <w:t>2</w:t>
            </w:r>
          </w:p>
        </w:tc>
        <w:tc>
          <w:tcPr>
            <w:tcW w:w="0" w:type="auto"/>
            <w:tcBorders>
              <w:top w:val="single" w:sz="4" w:space="0" w:color="auto"/>
              <w:left w:val="nil"/>
              <w:bottom w:val="nil"/>
              <w:right w:val="nil"/>
            </w:tcBorders>
          </w:tcPr>
          <w:p w14:paraId="597E57A7" w14:textId="77777777" w:rsidR="003D5839" w:rsidRPr="00C54DAE" w:rsidRDefault="003D5839" w:rsidP="003D5839">
            <w:pPr>
              <w:spacing w:after="240" w:line="36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C</w:t>
            </w:r>
            <w:r>
              <w:rPr>
                <w:rFonts w:ascii="Times New Roman" w:hAnsi="Times New Roman" w:cs="Times New Roman"/>
                <w:color w:val="000000"/>
                <w:sz w:val="24"/>
                <w:szCs w:val="24"/>
                <w:vertAlign w:val="subscript"/>
                <w:lang w:val="en-US"/>
              </w:rPr>
              <w:t>3</w:t>
            </w:r>
            <w:r>
              <w:rPr>
                <w:rFonts w:ascii="Times New Roman" w:hAnsi="Times New Roman" w:cs="Times New Roman"/>
                <w:color w:val="000000"/>
                <w:sz w:val="24"/>
                <w:szCs w:val="24"/>
                <w:lang w:val="en-US"/>
              </w:rPr>
              <w:t>S</w:t>
            </w:r>
          </w:p>
        </w:tc>
      </w:tr>
      <w:tr w:rsidR="003D5839" w14:paraId="1E6D8345" w14:textId="77777777" w:rsidTr="003D5839">
        <w:trPr>
          <w:jc w:val="center"/>
        </w:trPr>
        <w:tc>
          <w:tcPr>
            <w:tcW w:w="0" w:type="auto"/>
            <w:tcBorders>
              <w:top w:val="nil"/>
              <w:left w:val="nil"/>
              <w:bottom w:val="nil"/>
              <w:right w:val="nil"/>
            </w:tcBorders>
          </w:tcPr>
          <w:p w14:paraId="0DF414D8" w14:textId="77777777" w:rsidR="003D5839" w:rsidRDefault="003D5839" w:rsidP="003D5839">
            <w:pPr>
              <w:spacing w:after="240" w:line="36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Dicalcium silicate</w:t>
            </w:r>
          </w:p>
        </w:tc>
        <w:tc>
          <w:tcPr>
            <w:tcW w:w="0" w:type="auto"/>
            <w:tcBorders>
              <w:top w:val="nil"/>
              <w:left w:val="nil"/>
              <w:bottom w:val="nil"/>
              <w:right w:val="nil"/>
            </w:tcBorders>
          </w:tcPr>
          <w:p w14:paraId="67D06AEC" w14:textId="4DE9E5DB" w:rsidR="003D5839" w:rsidRPr="00C54DAE" w:rsidRDefault="003D5839" w:rsidP="003D5839">
            <w:pPr>
              <w:spacing w:after="240" w:line="36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2CaO</w:t>
            </w:r>
            <w:r w:rsidR="006C1F11">
              <w:rPr>
                <w:rFonts w:ascii="Wingdings" w:hAnsi="Wingdings"/>
                <w:color w:val="000000"/>
              </w:rPr>
              <w:t></w:t>
            </w:r>
            <w:r>
              <w:rPr>
                <w:rFonts w:ascii="Times New Roman" w:hAnsi="Times New Roman" w:cs="Times New Roman"/>
                <w:color w:val="000000"/>
                <w:sz w:val="24"/>
                <w:szCs w:val="24"/>
                <w:lang w:val="en-US"/>
              </w:rPr>
              <w:t>SiO</w:t>
            </w:r>
            <w:r>
              <w:rPr>
                <w:rFonts w:ascii="Times New Roman" w:hAnsi="Times New Roman" w:cs="Times New Roman"/>
                <w:color w:val="000000"/>
                <w:sz w:val="24"/>
                <w:szCs w:val="24"/>
                <w:vertAlign w:val="subscript"/>
                <w:lang w:val="en-US"/>
              </w:rPr>
              <w:t>2</w:t>
            </w:r>
          </w:p>
        </w:tc>
        <w:tc>
          <w:tcPr>
            <w:tcW w:w="0" w:type="auto"/>
            <w:tcBorders>
              <w:top w:val="nil"/>
              <w:left w:val="nil"/>
              <w:bottom w:val="nil"/>
              <w:right w:val="nil"/>
            </w:tcBorders>
          </w:tcPr>
          <w:p w14:paraId="41A2D260" w14:textId="77777777" w:rsidR="003D5839" w:rsidRPr="00C54DAE" w:rsidRDefault="003D5839" w:rsidP="003D5839">
            <w:pPr>
              <w:spacing w:after="240" w:line="36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C</w:t>
            </w:r>
            <w:r>
              <w:rPr>
                <w:rFonts w:ascii="Times New Roman" w:hAnsi="Times New Roman" w:cs="Times New Roman"/>
                <w:color w:val="000000"/>
                <w:sz w:val="24"/>
                <w:szCs w:val="24"/>
                <w:vertAlign w:val="subscript"/>
                <w:lang w:val="en-US"/>
              </w:rPr>
              <w:t>2</w:t>
            </w:r>
            <w:r>
              <w:rPr>
                <w:rFonts w:ascii="Times New Roman" w:hAnsi="Times New Roman" w:cs="Times New Roman"/>
                <w:color w:val="000000"/>
                <w:sz w:val="24"/>
                <w:szCs w:val="24"/>
                <w:lang w:val="en-US"/>
              </w:rPr>
              <w:t>S</w:t>
            </w:r>
          </w:p>
        </w:tc>
      </w:tr>
      <w:tr w:rsidR="003D5839" w14:paraId="326C3821" w14:textId="77777777" w:rsidTr="003D5839">
        <w:trPr>
          <w:jc w:val="center"/>
        </w:trPr>
        <w:tc>
          <w:tcPr>
            <w:tcW w:w="0" w:type="auto"/>
            <w:tcBorders>
              <w:top w:val="nil"/>
              <w:left w:val="nil"/>
              <w:bottom w:val="nil"/>
              <w:right w:val="nil"/>
            </w:tcBorders>
          </w:tcPr>
          <w:p w14:paraId="6A51B219" w14:textId="77777777" w:rsidR="003D5839" w:rsidRDefault="003D5839" w:rsidP="003D5839">
            <w:pPr>
              <w:spacing w:after="240" w:line="36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Tricalcium aluminate</w:t>
            </w:r>
          </w:p>
        </w:tc>
        <w:tc>
          <w:tcPr>
            <w:tcW w:w="0" w:type="auto"/>
            <w:tcBorders>
              <w:top w:val="nil"/>
              <w:left w:val="nil"/>
              <w:bottom w:val="nil"/>
              <w:right w:val="nil"/>
            </w:tcBorders>
          </w:tcPr>
          <w:p w14:paraId="5B2A6696" w14:textId="2123DA9A" w:rsidR="003D5839" w:rsidRPr="00534130" w:rsidRDefault="003D5839" w:rsidP="003D5839">
            <w:pPr>
              <w:spacing w:after="240" w:line="36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3CaO</w:t>
            </w:r>
            <w:r w:rsidR="006C1F11">
              <w:rPr>
                <w:rFonts w:ascii="Wingdings" w:hAnsi="Wingdings"/>
                <w:color w:val="000000"/>
              </w:rPr>
              <w:t></w:t>
            </w:r>
            <w:r>
              <w:rPr>
                <w:rFonts w:ascii="Times New Roman" w:hAnsi="Times New Roman" w:cs="Times New Roman"/>
                <w:color w:val="000000"/>
                <w:sz w:val="24"/>
                <w:szCs w:val="24"/>
                <w:lang w:val="en-US"/>
              </w:rPr>
              <w:t>Al</w:t>
            </w:r>
            <w:r>
              <w:rPr>
                <w:rFonts w:ascii="Times New Roman" w:hAnsi="Times New Roman" w:cs="Times New Roman"/>
                <w:color w:val="000000"/>
                <w:sz w:val="24"/>
                <w:szCs w:val="24"/>
                <w:vertAlign w:val="subscript"/>
                <w:lang w:val="en-US"/>
              </w:rPr>
              <w:t>2</w:t>
            </w:r>
            <w:r>
              <w:rPr>
                <w:rFonts w:ascii="Times New Roman" w:hAnsi="Times New Roman" w:cs="Times New Roman"/>
                <w:color w:val="000000"/>
                <w:sz w:val="24"/>
                <w:szCs w:val="24"/>
                <w:lang w:val="en-US"/>
              </w:rPr>
              <w:t>O</w:t>
            </w:r>
            <w:r>
              <w:rPr>
                <w:rFonts w:ascii="Times New Roman" w:hAnsi="Times New Roman" w:cs="Times New Roman"/>
                <w:color w:val="000000"/>
                <w:sz w:val="24"/>
                <w:szCs w:val="24"/>
                <w:vertAlign w:val="subscript"/>
                <w:lang w:val="en-US"/>
              </w:rPr>
              <w:t>3</w:t>
            </w:r>
          </w:p>
        </w:tc>
        <w:tc>
          <w:tcPr>
            <w:tcW w:w="0" w:type="auto"/>
            <w:tcBorders>
              <w:top w:val="nil"/>
              <w:left w:val="nil"/>
              <w:bottom w:val="nil"/>
              <w:right w:val="nil"/>
            </w:tcBorders>
          </w:tcPr>
          <w:p w14:paraId="04AE6BDA" w14:textId="77777777" w:rsidR="003D5839" w:rsidRPr="00C54DAE" w:rsidRDefault="003D5839" w:rsidP="003D5839">
            <w:pPr>
              <w:spacing w:after="240" w:line="36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C</w:t>
            </w:r>
            <w:r>
              <w:rPr>
                <w:rFonts w:ascii="Times New Roman" w:hAnsi="Times New Roman" w:cs="Times New Roman"/>
                <w:color w:val="000000"/>
                <w:sz w:val="24"/>
                <w:szCs w:val="24"/>
                <w:vertAlign w:val="subscript"/>
                <w:lang w:val="en-US"/>
              </w:rPr>
              <w:t>3</w:t>
            </w:r>
            <w:r>
              <w:rPr>
                <w:rFonts w:ascii="Times New Roman" w:hAnsi="Times New Roman" w:cs="Times New Roman"/>
                <w:color w:val="000000"/>
                <w:sz w:val="24"/>
                <w:szCs w:val="24"/>
                <w:lang w:val="en-US"/>
              </w:rPr>
              <w:t>A</w:t>
            </w:r>
          </w:p>
        </w:tc>
      </w:tr>
      <w:tr w:rsidR="003D5839" w14:paraId="18877AB0" w14:textId="77777777" w:rsidTr="003D5839">
        <w:trPr>
          <w:jc w:val="center"/>
        </w:trPr>
        <w:tc>
          <w:tcPr>
            <w:tcW w:w="0" w:type="auto"/>
            <w:tcBorders>
              <w:top w:val="nil"/>
              <w:left w:val="nil"/>
              <w:bottom w:val="single" w:sz="4" w:space="0" w:color="auto"/>
              <w:right w:val="nil"/>
            </w:tcBorders>
          </w:tcPr>
          <w:p w14:paraId="7CB20AB9" w14:textId="77777777" w:rsidR="003D5839" w:rsidRDefault="003D5839" w:rsidP="003D5839">
            <w:pPr>
              <w:spacing w:after="120" w:line="36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Tetracalcium aluminoferrite</w:t>
            </w:r>
          </w:p>
        </w:tc>
        <w:tc>
          <w:tcPr>
            <w:tcW w:w="0" w:type="auto"/>
            <w:tcBorders>
              <w:top w:val="nil"/>
              <w:left w:val="nil"/>
              <w:bottom w:val="single" w:sz="4" w:space="0" w:color="auto"/>
              <w:right w:val="nil"/>
            </w:tcBorders>
          </w:tcPr>
          <w:p w14:paraId="55525903" w14:textId="6C33F995" w:rsidR="003D5839" w:rsidRPr="00C54DAE" w:rsidRDefault="003D5839" w:rsidP="003D5839">
            <w:pPr>
              <w:spacing w:after="120" w:line="36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4CaO</w:t>
            </w:r>
            <w:r w:rsidR="006C1F11">
              <w:rPr>
                <w:rFonts w:ascii="Wingdings" w:hAnsi="Wingdings"/>
                <w:color w:val="000000"/>
              </w:rPr>
              <w:t></w:t>
            </w:r>
            <w:r>
              <w:rPr>
                <w:rFonts w:ascii="Times New Roman" w:hAnsi="Times New Roman" w:cs="Times New Roman"/>
                <w:color w:val="000000"/>
                <w:sz w:val="24"/>
                <w:szCs w:val="24"/>
                <w:lang w:val="en-US"/>
              </w:rPr>
              <w:t>Al</w:t>
            </w:r>
            <w:r>
              <w:rPr>
                <w:rFonts w:ascii="Times New Roman" w:hAnsi="Times New Roman" w:cs="Times New Roman"/>
                <w:color w:val="000000"/>
                <w:sz w:val="24"/>
                <w:szCs w:val="24"/>
                <w:vertAlign w:val="subscript"/>
                <w:lang w:val="en-US"/>
              </w:rPr>
              <w:t>2</w:t>
            </w:r>
            <w:r>
              <w:rPr>
                <w:rFonts w:ascii="Times New Roman" w:hAnsi="Times New Roman" w:cs="Times New Roman"/>
                <w:color w:val="000000"/>
                <w:sz w:val="24"/>
                <w:szCs w:val="24"/>
                <w:lang w:val="en-US"/>
              </w:rPr>
              <w:t>O</w:t>
            </w:r>
            <w:r>
              <w:rPr>
                <w:rFonts w:ascii="Times New Roman" w:hAnsi="Times New Roman" w:cs="Times New Roman"/>
                <w:color w:val="000000"/>
                <w:sz w:val="24"/>
                <w:szCs w:val="24"/>
                <w:vertAlign w:val="subscript"/>
                <w:lang w:val="en-US"/>
              </w:rPr>
              <w:t>3</w:t>
            </w:r>
            <w:r w:rsidR="006C1F11">
              <w:rPr>
                <w:rFonts w:ascii="Wingdings" w:hAnsi="Wingdings"/>
                <w:color w:val="000000"/>
              </w:rPr>
              <w:t></w:t>
            </w:r>
            <w:r>
              <w:rPr>
                <w:rFonts w:ascii="Times New Roman" w:hAnsi="Times New Roman" w:cs="Times New Roman"/>
                <w:color w:val="000000"/>
                <w:sz w:val="24"/>
                <w:szCs w:val="24"/>
                <w:lang w:val="en-US"/>
              </w:rPr>
              <w:t>Fe</w:t>
            </w:r>
            <w:r>
              <w:rPr>
                <w:rFonts w:ascii="Times New Roman" w:hAnsi="Times New Roman" w:cs="Times New Roman"/>
                <w:color w:val="000000"/>
                <w:sz w:val="24"/>
                <w:szCs w:val="24"/>
                <w:vertAlign w:val="subscript"/>
                <w:lang w:val="en-US"/>
              </w:rPr>
              <w:t>2</w:t>
            </w:r>
            <w:r>
              <w:rPr>
                <w:rFonts w:ascii="Times New Roman" w:hAnsi="Times New Roman" w:cs="Times New Roman"/>
                <w:color w:val="000000"/>
                <w:sz w:val="24"/>
                <w:szCs w:val="24"/>
                <w:lang w:val="en-US"/>
              </w:rPr>
              <w:t>O</w:t>
            </w:r>
            <w:r>
              <w:rPr>
                <w:rFonts w:ascii="Times New Roman" w:hAnsi="Times New Roman" w:cs="Times New Roman"/>
                <w:color w:val="000000"/>
                <w:sz w:val="24"/>
                <w:szCs w:val="24"/>
                <w:vertAlign w:val="subscript"/>
                <w:lang w:val="en-US"/>
              </w:rPr>
              <w:t>3</w:t>
            </w:r>
          </w:p>
        </w:tc>
        <w:tc>
          <w:tcPr>
            <w:tcW w:w="0" w:type="auto"/>
            <w:tcBorders>
              <w:top w:val="nil"/>
              <w:left w:val="nil"/>
              <w:bottom w:val="single" w:sz="4" w:space="0" w:color="auto"/>
              <w:right w:val="nil"/>
            </w:tcBorders>
          </w:tcPr>
          <w:p w14:paraId="532DA107" w14:textId="77777777" w:rsidR="003D5839" w:rsidRPr="00C54DAE" w:rsidRDefault="003D5839" w:rsidP="003D5839">
            <w:pPr>
              <w:spacing w:after="120" w:line="36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C</w:t>
            </w:r>
            <w:r>
              <w:rPr>
                <w:rFonts w:ascii="Times New Roman" w:hAnsi="Times New Roman" w:cs="Times New Roman"/>
                <w:color w:val="000000"/>
                <w:sz w:val="24"/>
                <w:szCs w:val="24"/>
                <w:vertAlign w:val="subscript"/>
                <w:lang w:val="en-US"/>
              </w:rPr>
              <w:t>4</w:t>
            </w:r>
            <w:r>
              <w:rPr>
                <w:rFonts w:ascii="Times New Roman" w:hAnsi="Times New Roman" w:cs="Times New Roman"/>
                <w:color w:val="000000"/>
                <w:sz w:val="24"/>
                <w:szCs w:val="24"/>
                <w:lang w:val="en-US"/>
              </w:rPr>
              <w:t>AF</w:t>
            </w:r>
          </w:p>
        </w:tc>
      </w:tr>
    </w:tbl>
    <w:p w14:paraId="207A700E" w14:textId="77777777" w:rsidR="003D5839" w:rsidRDefault="003D5839" w:rsidP="003D5839">
      <w:pPr>
        <w:spacing w:after="240" w:line="360" w:lineRule="auto"/>
        <w:jc w:val="both"/>
        <w:rPr>
          <w:rFonts w:ascii="Times New Roman" w:hAnsi="Times New Roman" w:cs="Times New Roman"/>
          <w:color w:val="000000"/>
        </w:rPr>
      </w:pPr>
    </w:p>
    <w:p w14:paraId="142992D2" w14:textId="155028FA" w:rsidR="003D5839" w:rsidRPr="00541A90" w:rsidRDefault="003D5839" w:rsidP="003D5839">
      <w:pPr>
        <w:spacing w:line="360" w:lineRule="auto"/>
        <w:jc w:val="both"/>
        <w:rPr>
          <w:rFonts w:ascii="Times New Roman" w:hAnsi="Times New Roman" w:cs="Times New Roman"/>
          <w:color w:val="000000"/>
        </w:rPr>
      </w:pPr>
      <w:r>
        <w:rPr>
          <w:rFonts w:ascii="Times New Roman" w:hAnsi="Times New Roman" w:cs="Times New Roman"/>
          <w:color w:val="000000"/>
        </w:rPr>
        <w:t>The C</w:t>
      </w:r>
      <w:r>
        <w:rPr>
          <w:rFonts w:ascii="Times New Roman" w:hAnsi="Times New Roman" w:cs="Times New Roman"/>
          <w:color w:val="000000"/>
          <w:vertAlign w:val="subscript"/>
        </w:rPr>
        <w:t>3</w:t>
      </w:r>
      <w:r>
        <w:rPr>
          <w:rFonts w:ascii="Times New Roman" w:hAnsi="Times New Roman" w:cs="Times New Roman"/>
          <w:color w:val="000000"/>
        </w:rPr>
        <w:t xml:space="preserve">A component dictates the early hydration of the </w:t>
      </w:r>
      <w:proofErr w:type="gramStart"/>
      <w:r>
        <w:rPr>
          <w:rFonts w:ascii="Times New Roman" w:hAnsi="Times New Roman" w:cs="Times New Roman"/>
          <w:color w:val="000000"/>
        </w:rPr>
        <w:t>cement,</w:t>
      </w:r>
      <w:proofErr w:type="gramEnd"/>
      <w:r>
        <w:rPr>
          <w:rFonts w:ascii="Times New Roman" w:hAnsi="Times New Roman" w:cs="Times New Roman"/>
          <w:color w:val="000000"/>
        </w:rPr>
        <w:t xml:space="preserve"> it hydrates rapidly and influences the early bonding traits [9]. </w:t>
      </w:r>
      <w:r w:rsidRPr="006A63B3">
        <w:rPr>
          <w:rFonts w:ascii="Times New Roman" w:hAnsi="Times New Roman" w:cs="Times New Roman"/>
          <w:color w:val="000000"/>
        </w:rPr>
        <w:t xml:space="preserve">The reaction of </w:t>
      </w:r>
      <w:r>
        <w:rPr>
          <w:rFonts w:ascii="Times New Roman" w:hAnsi="Times New Roman" w:cs="Times New Roman"/>
          <w:color w:val="000000"/>
        </w:rPr>
        <w:t>water with C</w:t>
      </w:r>
      <w:r>
        <w:rPr>
          <w:rFonts w:ascii="Times New Roman" w:hAnsi="Times New Roman" w:cs="Times New Roman"/>
          <w:color w:val="000000"/>
          <w:vertAlign w:val="subscript"/>
        </w:rPr>
        <w:t>3</w:t>
      </w:r>
      <w:r>
        <w:rPr>
          <w:rFonts w:ascii="Times New Roman" w:hAnsi="Times New Roman" w:cs="Times New Roman"/>
          <w:color w:val="000000"/>
        </w:rPr>
        <w:t>A is violent in nature and can result in</w:t>
      </w:r>
      <w:r w:rsidRPr="006A63B3">
        <w:rPr>
          <w:rFonts w:ascii="Times New Roman" w:hAnsi="Times New Roman" w:cs="Times New Roman"/>
          <w:color w:val="000000"/>
        </w:rPr>
        <w:t xml:space="preserve"> stiffening of cement paste without sub</w:t>
      </w:r>
      <w:r>
        <w:rPr>
          <w:rFonts w:ascii="Times New Roman" w:hAnsi="Times New Roman" w:cs="Times New Roman"/>
          <w:color w:val="000000"/>
        </w:rPr>
        <w:t>sequent strength development (this is known as flash setting)</w:t>
      </w:r>
      <w:proofErr w:type="gramStart"/>
      <w:r w:rsidR="00D131C9">
        <w:rPr>
          <w:rFonts w:ascii="Times New Roman" w:hAnsi="Times New Roman" w:cs="Times New Roman"/>
          <w:color w:val="000000"/>
        </w:rPr>
        <w:t>,</w:t>
      </w:r>
      <w:proofErr w:type="gramEnd"/>
      <w:r w:rsidR="00D131C9">
        <w:rPr>
          <w:rFonts w:ascii="Times New Roman" w:hAnsi="Times New Roman" w:cs="Times New Roman"/>
          <w:color w:val="000000"/>
        </w:rPr>
        <w:t xml:space="preserve"> the introduction of CaSO</w:t>
      </w:r>
      <w:r w:rsidR="00D131C9">
        <w:rPr>
          <w:rFonts w:ascii="Times New Roman" w:hAnsi="Times New Roman" w:cs="Times New Roman"/>
          <w:color w:val="000000"/>
          <w:vertAlign w:val="subscript"/>
        </w:rPr>
        <w:t>4</w:t>
      </w:r>
      <w:r w:rsidR="00D131C9">
        <w:rPr>
          <w:rFonts w:ascii="Times New Roman" w:hAnsi="Times New Roman" w:cs="Times New Roman"/>
          <w:color w:val="000000"/>
        </w:rPr>
        <w:t xml:space="preserve"> circumvents this issue</w:t>
      </w:r>
      <w:r>
        <w:rPr>
          <w:rFonts w:ascii="Times New Roman" w:hAnsi="Times New Roman" w:cs="Times New Roman"/>
          <w:color w:val="000000"/>
        </w:rPr>
        <w:t>.</w:t>
      </w:r>
      <w:r w:rsidRPr="0044397A">
        <w:rPr>
          <w:rFonts w:ascii="Times New Roman" w:hAnsi="Times New Roman" w:cs="Times New Roman"/>
          <w:color w:val="000000"/>
        </w:rPr>
        <w:t xml:space="preserve"> The ratio of C</w:t>
      </w:r>
      <w:r w:rsidRPr="00920AD8">
        <w:rPr>
          <w:rFonts w:ascii="Times New Roman" w:hAnsi="Times New Roman" w:cs="Times New Roman"/>
          <w:color w:val="000000"/>
          <w:vertAlign w:val="subscript"/>
        </w:rPr>
        <w:t>3</w:t>
      </w:r>
      <w:r w:rsidRPr="0044397A">
        <w:rPr>
          <w:rFonts w:ascii="Times New Roman" w:hAnsi="Times New Roman" w:cs="Times New Roman"/>
          <w:color w:val="000000"/>
        </w:rPr>
        <w:t xml:space="preserve">S to </w:t>
      </w:r>
      <w:r>
        <w:rPr>
          <w:rFonts w:ascii="Times New Roman" w:hAnsi="Times New Roman" w:cs="Times New Roman"/>
          <w:color w:val="000000"/>
        </w:rPr>
        <w:t>C</w:t>
      </w:r>
      <w:r>
        <w:rPr>
          <w:rFonts w:ascii="Times New Roman" w:hAnsi="Times New Roman" w:cs="Times New Roman"/>
          <w:color w:val="000000"/>
          <w:vertAlign w:val="subscript"/>
        </w:rPr>
        <w:t>2</w:t>
      </w:r>
      <w:r>
        <w:rPr>
          <w:rFonts w:ascii="Times New Roman" w:hAnsi="Times New Roman" w:cs="Times New Roman"/>
          <w:color w:val="000000"/>
        </w:rPr>
        <w:t>S</w:t>
      </w:r>
      <w:r w:rsidRPr="0044397A">
        <w:rPr>
          <w:rFonts w:ascii="Times New Roman" w:hAnsi="Times New Roman" w:cs="Times New Roman"/>
          <w:color w:val="000000"/>
        </w:rPr>
        <w:t xml:space="preserve"> in cement has an impact on the development of the cement. Higher </w:t>
      </w:r>
      <w:r>
        <w:rPr>
          <w:rFonts w:ascii="Times New Roman" w:hAnsi="Times New Roman" w:cs="Times New Roman"/>
          <w:color w:val="000000"/>
        </w:rPr>
        <w:t>C</w:t>
      </w:r>
      <w:r>
        <w:rPr>
          <w:rFonts w:ascii="Times New Roman" w:hAnsi="Times New Roman" w:cs="Times New Roman"/>
          <w:color w:val="000000"/>
          <w:vertAlign w:val="subscript"/>
        </w:rPr>
        <w:t>3</w:t>
      </w:r>
      <w:r>
        <w:rPr>
          <w:rFonts w:ascii="Times New Roman" w:hAnsi="Times New Roman" w:cs="Times New Roman"/>
          <w:color w:val="000000"/>
        </w:rPr>
        <w:t>S</w:t>
      </w:r>
      <w:r w:rsidRPr="0044397A">
        <w:rPr>
          <w:rFonts w:ascii="Times New Roman" w:hAnsi="Times New Roman" w:cs="Times New Roman"/>
          <w:color w:val="000000"/>
        </w:rPr>
        <w:t xml:space="preserve"> </w:t>
      </w:r>
      <w:r w:rsidR="00921659">
        <w:rPr>
          <w:rFonts w:ascii="Times New Roman" w:hAnsi="Times New Roman" w:cs="Times New Roman"/>
          <w:color w:val="000000"/>
        </w:rPr>
        <w:t xml:space="preserve">content </w:t>
      </w:r>
      <w:r w:rsidRPr="0044397A">
        <w:rPr>
          <w:rFonts w:ascii="Times New Roman" w:hAnsi="Times New Roman" w:cs="Times New Roman"/>
          <w:color w:val="000000"/>
        </w:rPr>
        <w:t>results in rapid hydration and higher early strength; this however impedes future hydration and results in a lower ultimate strength</w:t>
      </w:r>
      <w:r>
        <w:rPr>
          <w:rFonts w:ascii="Times New Roman" w:hAnsi="Times New Roman" w:cs="Times New Roman"/>
          <w:color w:val="000000"/>
        </w:rPr>
        <w:t xml:space="preserve"> [9]</w:t>
      </w:r>
      <w:r w:rsidRPr="0044397A">
        <w:rPr>
          <w:rFonts w:ascii="Times New Roman" w:hAnsi="Times New Roman" w:cs="Times New Roman"/>
          <w:color w:val="000000"/>
        </w:rPr>
        <w:t xml:space="preserve">. In contrast, a higher </w:t>
      </w:r>
      <w:r>
        <w:rPr>
          <w:rFonts w:ascii="Times New Roman" w:hAnsi="Times New Roman" w:cs="Times New Roman"/>
          <w:color w:val="000000"/>
        </w:rPr>
        <w:t>C</w:t>
      </w:r>
      <w:r>
        <w:rPr>
          <w:rFonts w:ascii="Times New Roman" w:hAnsi="Times New Roman" w:cs="Times New Roman"/>
          <w:color w:val="000000"/>
          <w:vertAlign w:val="subscript"/>
        </w:rPr>
        <w:t>2</w:t>
      </w:r>
      <w:r>
        <w:rPr>
          <w:rFonts w:ascii="Times New Roman" w:hAnsi="Times New Roman" w:cs="Times New Roman"/>
          <w:color w:val="000000"/>
        </w:rPr>
        <w:t>S</w:t>
      </w:r>
      <w:r w:rsidRPr="0044397A">
        <w:rPr>
          <w:rFonts w:ascii="Times New Roman" w:hAnsi="Times New Roman" w:cs="Times New Roman"/>
          <w:color w:val="000000"/>
        </w:rPr>
        <w:t xml:space="preserve"> results in slower hydration, leading to a denser structure with higher strength</w:t>
      </w:r>
      <w:r>
        <w:rPr>
          <w:rFonts w:ascii="Times New Roman" w:hAnsi="Times New Roman" w:cs="Times New Roman"/>
          <w:color w:val="000000"/>
        </w:rPr>
        <w:t xml:space="preserve"> [9]</w:t>
      </w:r>
      <w:r w:rsidRPr="0044397A">
        <w:rPr>
          <w:rFonts w:ascii="Times New Roman" w:hAnsi="Times New Roman" w:cs="Times New Roman"/>
          <w:color w:val="000000"/>
        </w:rPr>
        <w:t>.</w:t>
      </w:r>
    </w:p>
    <w:p w14:paraId="19F22B94" w14:textId="77777777" w:rsidR="003D5839" w:rsidRDefault="003D5839" w:rsidP="003D5839">
      <w:pPr>
        <w:spacing w:line="360" w:lineRule="auto"/>
        <w:jc w:val="both"/>
        <w:rPr>
          <w:rFonts w:ascii="Times New Roman" w:hAnsi="Times New Roman" w:cs="Times New Roman"/>
          <w:b/>
          <w:bCs/>
          <w:color w:val="000000"/>
        </w:rPr>
      </w:pPr>
    </w:p>
    <w:p w14:paraId="7A7E8376" w14:textId="14DA307A" w:rsidR="003D5839" w:rsidRDefault="003D5839" w:rsidP="003D5839">
      <w:pPr>
        <w:spacing w:after="120" w:line="360" w:lineRule="auto"/>
        <w:jc w:val="both"/>
        <w:rPr>
          <w:rFonts w:ascii="Times New Roman" w:hAnsi="Times New Roman" w:cs="Times New Roman"/>
          <w:b/>
          <w:bCs/>
          <w:color w:val="000000"/>
        </w:rPr>
      </w:pPr>
      <w:r>
        <w:rPr>
          <w:rFonts w:ascii="Times New Roman" w:hAnsi="Times New Roman" w:cs="Times New Roman"/>
          <w:b/>
          <w:bCs/>
          <w:color w:val="000000"/>
        </w:rPr>
        <w:t>2.3.2</w:t>
      </w:r>
      <w:r>
        <w:rPr>
          <w:rFonts w:ascii="Times New Roman" w:hAnsi="Times New Roman" w:cs="Times New Roman"/>
          <w:b/>
          <w:bCs/>
          <w:color w:val="000000"/>
        </w:rPr>
        <w:tab/>
        <w:t xml:space="preserve">Hydration </w:t>
      </w:r>
      <w:r w:rsidR="00A15845">
        <w:rPr>
          <w:rFonts w:ascii="Times New Roman" w:hAnsi="Times New Roman" w:cs="Times New Roman"/>
          <w:b/>
          <w:bCs/>
          <w:color w:val="000000"/>
        </w:rPr>
        <w:t xml:space="preserve">of </w:t>
      </w:r>
      <w:r>
        <w:rPr>
          <w:rFonts w:ascii="Times New Roman" w:hAnsi="Times New Roman" w:cs="Times New Roman"/>
          <w:b/>
          <w:bCs/>
          <w:color w:val="000000"/>
        </w:rPr>
        <w:t xml:space="preserve">Portland Cement </w:t>
      </w:r>
    </w:p>
    <w:p w14:paraId="628636A2" w14:textId="77777777" w:rsidR="003D5839" w:rsidRPr="001053D6" w:rsidRDefault="003D5839" w:rsidP="003D5839">
      <w:pPr>
        <w:spacing w:after="120" w:line="360" w:lineRule="auto"/>
        <w:jc w:val="both"/>
        <w:rPr>
          <w:rFonts w:ascii="Times New Roman" w:hAnsi="Times New Roman" w:cs="Times New Roman"/>
          <w:bCs/>
          <w:color w:val="000000"/>
        </w:rPr>
      </w:pPr>
      <w:r w:rsidRPr="001053D6">
        <w:rPr>
          <w:rFonts w:ascii="Times New Roman" w:hAnsi="Times New Roman" w:cs="Times New Roman"/>
          <w:b/>
          <w:bCs/>
          <w:color w:val="000000"/>
        </w:rPr>
        <w:t>i</w:t>
      </w:r>
      <w:r w:rsidRPr="001053D6">
        <w:rPr>
          <w:rFonts w:ascii="Times New Roman" w:hAnsi="Times New Roman" w:cs="Times New Roman"/>
          <w:bCs/>
          <w:color w:val="000000"/>
        </w:rPr>
        <w:t xml:space="preserve">. </w:t>
      </w:r>
      <w:r>
        <w:rPr>
          <w:rFonts w:ascii="Times New Roman" w:hAnsi="Times New Roman" w:cs="Times New Roman"/>
          <w:bCs/>
          <w:color w:val="000000"/>
        </w:rPr>
        <w:tab/>
      </w:r>
      <w:r w:rsidRPr="001053D6">
        <w:rPr>
          <w:rFonts w:ascii="Times New Roman" w:hAnsi="Times New Roman" w:cs="Times New Roman"/>
          <w:bCs/>
          <w:color w:val="000000"/>
        </w:rPr>
        <w:t>Hydration Products</w:t>
      </w:r>
    </w:p>
    <w:p w14:paraId="51EACCED" w14:textId="3970EB71" w:rsidR="003D5839" w:rsidRDefault="003D5839" w:rsidP="003D5839">
      <w:pPr>
        <w:spacing w:after="120" w:line="360" w:lineRule="auto"/>
        <w:jc w:val="both"/>
        <w:rPr>
          <w:rFonts w:ascii="Times New Roman" w:hAnsi="Times New Roman" w:cs="Times New Roman"/>
          <w:color w:val="000000"/>
        </w:rPr>
      </w:pPr>
      <w:r>
        <w:rPr>
          <w:rFonts w:ascii="Times New Roman" w:hAnsi="Times New Roman" w:cs="Times New Roman"/>
          <w:color w:val="000000"/>
        </w:rPr>
        <w:t>Upon mixing the cement with water, at a given water to cement ratio or w/c, chemical reactions occur which result in the hardening of the paste. The C</w:t>
      </w:r>
      <w:r>
        <w:rPr>
          <w:rFonts w:ascii="Times New Roman" w:hAnsi="Times New Roman" w:cs="Times New Roman"/>
          <w:color w:val="000000"/>
          <w:vertAlign w:val="subscript"/>
        </w:rPr>
        <w:t>3</w:t>
      </w:r>
      <w:r>
        <w:rPr>
          <w:rFonts w:ascii="Times New Roman" w:hAnsi="Times New Roman" w:cs="Times New Roman"/>
          <w:color w:val="000000"/>
        </w:rPr>
        <w:t>S and C</w:t>
      </w:r>
      <w:r>
        <w:rPr>
          <w:rFonts w:ascii="Times New Roman" w:hAnsi="Times New Roman" w:cs="Times New Roman"/>
          <w:color w:val="000000"/>
          <w:vertAlign w:val="subscript"/>
        </w:rPr>
        <w:t>2</w:t>
      </w:r>
      <w:r>
        <w:rPr>
          <w:rFonts w:ascii="Times New Roman" w:hAnsi="Times New Roman" w:cs="Times New Roman"/>
          <w:color w:val="000000"/>
        </w:rPr>
        <w:t xml:space="preserve">S phases (which constitute around </w:t>
      </w:r>
      <w:r w:rsidR="0001229C">
        <w:rPr>
          <w:rFonts w:ascii="Times New Roman" w:hAnsi="Times New Roman" w:cs="Times New Roman"/>
          <w:color w:val="000000"/>
        </w:rPr>
        <w:t>8</w:t>
      </w:r>
      <w:r>
        <w:rPr>
          <w:rFonts w:ascii="Times New Roman" w:hAnsi="Times New Roman" w:cs="Times New Roman"/>
          <w:color w:val="000000"/>
        </w:rPr>
        <w:t>5wt% of the cement [18]) react with water to produce calcium hydroxide (</w:t>
      </w:r>
      <w:proofErr w:type="gramStart"/>
      <w:r>
        <w:rPr>
          <w:rFonts w:ascii="Times New Roman" w:hAnsi="Times New Roman" w:cs="Times New Roman"/>
          <w:color w:val="000000"/>
        </w:rPr>
        <w:t>Ca(</w:t>
      </w:r>
      <w:proofErr w:type="gramEnd"/>
      <w:r>
        <w:rPr>
          <w:rFonts w:ascii="Times New Roman" w:hAnsi="Times New Roman" w:cs="Times New Roman"/>
          <w:color w:val="000000"/>
        </w:rPr>
        <w:t>OH)</w:t>
      </w:r>
      <w:r>
        <w:rPr>
          <w:rFonts w:ascii="Times New Roman" w:hAnsi="Times New Roman" w:cs="Times New Roman"/>
          <w:color w:val="000000"/>
          <w:vertAlign w:val="subscript"/>
        </w:rPr>
        <w:t>2</w:t>
      </w:r>
      <w:r>
        <w:rPr>
          <w:rFonts w:ascii="Times New Roman" w:hAnsi="Times New Roman" w:cs="Times New Roman"/>
          <w:color w:val="000000"/>
        </w:rPr>
        <w:t>)</w:t>
      </w:r>
      <w:r>
        <w:rPr>
          <w:rFonts w:ascii="Times New Roman" w:hAnsi="Times New Roman" w:cs="Times New Roman"/>
          <w:color w:val="000000"/>
          <w:vertAlign w:val="subscript"/>
        </w:rPr>
        <w:t xml:space="preserve">  </w:t>
      </w:r>
      <w:r>
        <w:rPr>
          <w:rFonts w:ascii="Times New Roman" w:hAnsi="Times New Roman" w:cs="Times New Roman"/>
          <w:color w:val="000000"/>
        </w:rPr>
        <w:t xml:space="preserve">also known as Portlandite </w:t>
      </w:r>
      <w:r w:rsidRPr="00376745">
        <w:rPr>
          <w:rFonts w:ascii="Times New Roman" w:hAnsi="Times New Roman" w:cs="Times New Roman"/>
          <w:color w:val="000000"/>
        </w:rPr>
        <w:t>and</w:t>
      </w:r>
      <w:r>
        <w:rPr>
          <w:rFonts w:ascii="Times New Roman" w:hAnsi="Times New Roman" w:cs="Times New Roman"/>
          <w:color w:val="000000"/>
        </w:rPr>
        <w:t xml:space="preserve"> calcium silicate hydrate  (C-S-H) (Eqs.1, 2</w:t>
      </w:r>
      <w:r w:rsidR="00C214E4">
        <w:rPr>
          <w:rFonts w:ascii="Times New Roman" w:hAnsi="Times New Roman" w:cs="Times New Roman"/>
          <w:color w:val="000000"/>
        </w:rPr>
        <w:t xml:space="preserve"> </w:t>
      </w:r>
      <w:r w:rsidR="00B114C1">
        <w:rPr>
          <w:rFonts w:ascii="Times New Roman" w:hAnsi="Times New Roman" w:cs="Times New Roman"/>
          <w:color w:val="000000"/>
        </w:rPr>
        <w:t>[18]</w:t>
      </w:r>
      <w:r>
        <w:rPr>
          <w:rFonts w:ascii="Times New Roman" w:hAnsi="Times New Roman" w:cs="Times New Roman"/>
          <w:color w:val="000000"/>
        </w:rPr>
        <w:t xml:space="preserve">.  </w:t>
      </w:r>
    </w:p>
    <w:p w14:paraId="37C48567" w14:textId="77777777" w:rsidR="003D5839" w:rsidRDefault="003D5839" w:rsidP="003D5839">
      <w:pPr>
        <w:spacing w:after="120" w:line="360" w:lineRule="auto"/>
        <w:jc w:val="both"/>
        <w:rPr>
          <w:rFonts w:ascii="Times New Roman" w:hAnsi="Times New Roman" w:cs="Times New Roman"/>
          <w:color w:val="000000"/>
        </w:rPr>
      </w:pPr>
    </w:p>
    <w:p w14:paraId="093E8A13" w14:textId="39B468BA" w:rsidR="003D5839" w:rsidRPr="00BF0634" w:rsidRDefault="00257F9D" w:rsidP="003D5839">
      <w:pPr>
        <w:spacing w:after="120" w:line="360" w:lineRule="auto"/>
        <w:jc w:val="center"/>
        <w:rPr>
          <w:rFonts w:ascii="Times New Roman" w:hAnsi="Times New Roman" w:cs="Times New Roman"/>
          <w:color w:val="000000"/>
        </w:rPr>
      </w:pPr>
      <w:r>
        <w:rPr>
          <w:rFonts w:ascii="Times New Roman" w:hAnsi="Times New Roman" w:cs="Times New Roman"/>
          <w:color w:val="000000"/>
        </w:rPr>
        <w:t>2</w:t>
      </w:r>
      <w:r w:rsidR="003D5839" w:rsidRPr="00A07DA1">
        <w:rPr>
          <w:rFonts w:ascii="Times New Roman" w:hAnsi="Times New Roman" w:cs="Times New Roman"/>
          <w:color w:val="000000"/>
        </w:rPr>
        <w:t>C</w:t>
      </w:r>
      <w:r w:rsidR="003D5839" w:rsidRPr="00BF0634">
        <w:rPr>
          <w:rFonts w:ascii="Times New Roman" w:hAnsi="Times New Roman" w:cs="Times New Roman"/>
          <w:color w:val="000000"/>
          <w:vertAlign w:val="subscript"/>
        </w:rPr>
        <w:t>3</w:t>
      </w:r>
      <w:r w:rsidR="003D5839" w:rsidRPr="00A07DA1">
        <w:rPr>
          <w:rFonts w:ascii="Times New Roman" w:hAnsi="Times New Roman" w:cs="Times New Roman"/>
          <w:color w:val="000000"/>
        </w:rPr>
        <w:t xml:space="preserve">S + </w:t>
      </w:r>
      <w:r w:rsidR="008C0DC8">
        <w:rPr>
          <w:rFonts w:ascii="Times New Roman" w:hAnsi="Times New Roman" w:cs="Times New Roman"/>
          <w:color w:val="000000"/>
        </w:rPr>
        <w:t>7</w:t>
      </w:r>
      <w:r w:rsidR="003D5839" w:rsidRPr="00A07DA1">
        <w:rPr>
          <w:rFonts w:ascii="Times New Roman" w:hAnsi="Times New Roman" w:cs="Times New Roman"/>
          <w:color w:val="000000"/>
        </w:rPr>
        <w:t>H</w:t>
      </w:r>
      <w:r w:rsidR="003D5839" w:rsidRPr="00BF0634">
        <w:rPr>
          <w:rFonts w:ascii="Times New Roman" w:hAnsi="Times New Roman" w:cs="Times New Roman"/>
          <w:color w:val="000000"/>
          <w:vertAlign w:val="subscript"/>
        </w:rPr>
        <w:t>2</w:t>
      </w:r>
      <w:r w:rsidR="003D5839" w:rsidRPr="00A07DA1">
        <w:rPr>
          <w:rFonts w:ascii="Times New Roman" w:hAnsi="Times New Roman" w:cs="Times New Roman"/>
          <w:color w:val="000000"/>
        </w:rPr>
        <w:t xml:space="preserve">O </w:t>
      </w:r>
      <w:r w:rsidR="003D5839">
        <w:rPr>
          <w:rFonts w:ascii="Times New Roman" w:hAnsi="Times New Roman" w:cs="Times New Roman"/>
          <w:color w:val="000000"/>
        </w:rPr>
        <w:t>→ C</w:t>
      </w:r>
      <w:r w:rsidR="008C0DC8">
        <w:rPr>
          <w:rFonts w:ascii="Times New Roman" w:hAnsi="Times New Roman" w:cs="Times New Roman"/>
          <w:color w:val="000000"/>
          <w:vertAlign w:val="subscript"/>
        </w:rPr>
        <w:t>3</w:t>
      </w:r>
      <w:r w:rsidR="003D5839">
        <w:rPr>
          <w:rFonts w:ascii="Times New Roman" w:hAnsi="Times New Roman" w:cs="Times New Roman"/>
          <w:color w:val="000000"/>
        </w:rPr>
        <w:t>-S</w:t>
      </w:r>
      <w:r w:rsidR="008C0DC8">
        <w:rPr>
          <w:rFonts w:ascii="Times New Roman" w:hAnsi="Times New Roman" w:cs="Times New Roman"/>
          <w:color w:val="000000"/>
          <w:vertAlign w:val="subscript"/>
        </w:rPr>
        <w:t>2</w:t>
      </w:r>
      <w:r w:rsidR="003D5839">
        <w:rPr>
          <w:rFonts w:ascii="Times New Roman" w:hAnsi="Times New Roman" w:cs="Times New Roman"/>
          <w:color w:val="000000"/>
        </w:rPr>
        <w:t>-</w:t>
      </w:r>
      <w:r w:rsidR="00906C0E">
        <w:rPr>
          <w:rFonts w:ascii="Times New Roman" w:hAnsi="Times New Roman" w:cs="Times New Roman"/>
          <w:color w:val="000000"/>
        </w:rPr>
        <w:t>4</w:t>
      </w:r>
      <w:r w:rsidR="003D5839">
        <w:rPr>
          <w:rFonts w:ascii="Times New Roman" w:hAnsi="Times New Roman" w:cs="Times New Roman"/>
          <w:color w:val="000000"/>
        </w:rPr>
        <w:t>H</w:t>
      </w:r>
      <w:r w:rsidR="003D5839" w:rsidRPr="00A07DA1">
        <w:rPr>
          <w:rFonts w:ascii="Times New Roman" w:hAnsi="Times New Roman" w:cs="Times New Roman"/>
          <w:color w:val="000000"/>
        </w:rPr>
        <w:t xml:space="preserve"> + </w:t>
      </w:r>
      <w:r>
        <w:rPr>
          <w:rFonts w:ascii="Times New Roman" w:hAnsi="Times New Roman" w:cs="Times New Roman"/>
          <w:color w:val="000000"/>
        </w:rPr>
        <w:t>3</w:t>
      </w:r>
      <w:r w:rsidR="003D5839" w:rsidRPr="00A07DA1">
        <w:rPr>
          <w:rFonts w:ascii="Times New Roman" w:hAnsi="Times New Roman" w:cs="Times New Roman"/>
          <w:color w:val="000000"/>
        </w:rPr>
        <w:t>Ca(</w:t>
      </w:r>
      <w:proofErr w:type="gramStart"/>
      <w:r w:rsidR="003D5839" w:rsidRPr="00A07DA1">
        <w:rPr>
          <w:rFonts w:ascii="Times New Roman" w:hAnsi="Times New Roman" w:cs="Times New Roman"/>
          <w:color w:val="000000"/>
        </w:rPr>
        <w:t>OH)</w:t>
      </w:r>
      <w:r w:rsidR="003D5839" w:rsidRPr="00BF0634">
        <w:rPr>
          <w:rFonts w:ascii="Times New Roman" w:hAnsi="Times New Roman" w:cs="Times New Roman"/>
          <w:color w:val="000000"/>
          <w:vertAlign w:val="subscript"/>
        </w:rPr>
        <w:t>2</w:t>
      </w:r>
      <w:proofErr w:type="gramEnd"/>
      <w:r w:rsidR="003D5839">
        <w:rPr>
          <w:rFonts w:ascii="Times New Roman" w:hAnsi="Times New Roman" w:cs="Times New Roman"/>
          <w:color w:val="000000"/>
          <w:vertAlign w:val="subscript"/>
        </w:rPr>
        <w:t xml:space="preserve"> </w:t>
      </w:r>
      <w:r w:rsidR="008C0DC8">
        <w:rPr>
          <w:rFonts w:ascii="Times New Roman" w:hAnsi="Times New Roman" w:cs="Times New Roman"/>
          <w:color w:val="000000"/>
        </w:rPr>
        <w:tab/>
      </w:r>
      <w:r w:rsidR="008C0DC8">
        <w:rPr>
          <w:rFonts w:ascii="Times New Roman" w:hAnsi="Times New Roman" w:cs="Times New Roman"/>
          <w:color w:val="000000"/>
        </w:rPr>
        <w:tab/>
      </w:r>
      <w:r w:rsidR="008C0DC8">
        <w:rPr>
          <w:rFonts w:ascii="Times New Roman" w:hAnsi="Times New Roman" w:cs="Times New Roman"/>
          <w:color w:val="000000"/>
        </w:rPr>
        <w:tab/>
      </w:r>
      <w:r w:rsidR="008C0DC8">
        <w:rPr>
          <w:rFonts w:ascii="Times New Roman" w:hAnsi="Times New Roman" w:cs="Times New Roman"/>
          <w:color w:val="000000"/>
        </w:rPr>
        <w:tab/>
      </w:r>
      <w:r w:rsidR="008C0DC8">
        <w:rPr>
          <w:rFonts w:ascii="Times New Roman" w:hAnsi="Times New Roman" w:cs="Times New Roman"/>
          <w:color w:val="000000"/>
        </w:rPr>
        <w:tab/>
      </w:r>
      <w:r w:rsidR="008C0DC8">
        <w:rPr>
          <w:rFonts w:ascii="Times New Roman" w:hAnsi="Times New Roman" w:cs="Times New Roman"/>
          <w:color w:val="000000"/>
        </w:rPr>
        <w:tab/>
      </w:r>
      <w:r w:rsidR="003D5839">
        <w:rPr>
          <w:rFonts w:ascii="Times New Roman" w:hAnsi="Times New Roman" w:cs="Times New Roman"/>
          <w:color w:val="000000"/>
        </w:rPr>
        <w:t>(1)</w:t>
      </w:r>
    </w:p>
    <w:p w14:paraId="25B30C50" w14:textId="34E58D2B" w:rsidR="003D5839" w:rsidRPr="00906C0E" w:rsidRDefault="00257F9D" w:rsidP="00A8239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center"/>
        <w:rPr>
          <w:rFonts w:ascii="Times New Roman" w:hAnsi="Times New Roman" w:cs="Times New Roman"/>
          <w:color w:val="000000"/>
          <w:vertAlign w:val="subscript"/>
        </w:rPr>
      </w:pPr>
      <w:r>
        <w:rPr>
          <w:rFonts w:ascii="Times New Roman" w:hAnsi="Times New Roman" w:cs="Times New Roman"/>
          <w:color w:val="000000"/>
        </w:rPr>
        <w:t>2</w:t>
      </w:r>
      <w:r w:rsidR="003D5839" w:rsidRPr="006A63B3">
        <w:rPr>
          <w:rFonts w:ascii="Times New Roman" w:hAnsi="Times New Roman" w:cs="Times New Roman"/>
          <w:color w:val="000000"/>
        </w:rPr>
        <w:t>C</w:t>
      </w:r>
      <w:r w:rsidR="003D5839" w:rsidRPr="006A63B3">
        <w:rPr>
          <w:rFonts w:ascii="Times New Roman" w:hAnsi="Times New Roman" w:cs="Times New Roman"/>
          <w:color w:val="000000"/>
          <w:vertAlign w:val="subscript"/>
        </w:rPr>
        <w:t>2</w:t>
      </w:r>
      <w:r w:rsidR="003D5839" w:rsidRPr="006A63B3">
        <w:rPr>
          <w:rFonts w:ascii="Times New Roman" w:hAnsi="Times New Roman" w:cs="Times New Roman"/>
          <w:color w:val="000000"/>
        </w:rPr>
        <w:t xml:space="preserve">S + </w:t>
      </w:r>
      <w:r w:rsidR="008C0DC8">
        <w:rPr>
          <w:rFonts w:ascii="Times New Roman" w:hAnsi="Times New Roman" w:cs="Times New Roman"/>
          <w:color w:val="000000"/>
        </w:rPr>
        <w:t>7</w:t>
      </w:r>
      <w:r w:rsidR="003D5839" w:rsidRPr="006A63B3">
        <w:rPr>
          <w:rFonts w:ascii="Times New Roman" w:hAnsi="Times New Roman" w:cs="Times New Roman"/>
          <w:color w:val="000000"/>
        </w:rPr>
        <w:t>H</w:t>
      </w:r>
      <w:r w:rsidR="003D5839" w:rsidRPr="006A63B3">
        <w:rPr>
          <w:rFonts w:ascii="Times New Roman" w:hAnsi="Times New Roman" w:cs="Times New Roman"/>
          <w:color w:val="000000"/>
          <w:vertAlign w:val="subscript"/>
        </w:rPr>
        <w:t>2</w:t>
      </w:r>
      <w:r w:rsidR="003D5839">
        <w:rPr>
          <w:rFonts w:ascii="Times New Roman" w:hAnsi="Times New Roman" w:cs="Times New Roman"/>
          <w:color w:val="000000"/>
        </w:rPr>
        <w:t xml:space="preserve">O → </w:t>
      </w:r>
      <w:r w:rsidR="008C0DC8">
        <w:rPr>
          <w:rFonts w:ascii="Times New Roman" w:hAnsi="Times New Roman" w:cs="Times New Roman"/>
          <w:color w:val="000000"/>
        </w:rPr>
        <w:t>C</w:t>
      </w:r>
      <w:r w:rsidR="008C0DC8">
        <w:rPr>
          <w:rFonts w:ascii="Times New Roman" w:hAnsi="Times New Roman" w:cs="Times New Roman"/>
          <w:color w:val="000000"/>
          <w:vertAlign w:val="subscript"/>
        </w:rPr>
        <w:t>3</w:t>
      </w:r>
      <w:r w:rsidR="008C0DC8">
        <w:rPr>
          <w:rFonts w:ascii="Times New Roman" w:hAnsi="Times New Roman" w:cs="Times New Roman"/>
          <w:color w:val="000000"/>
        </w:rPr>
        <w:t>-S</w:t>
      </w:r>
      <w:r w:rsidR="008C0DC8">
        <w:rPr>
          <w:rFonts w:ascii="Times New Roman" w:hAnsi="Times New Roman" w:cs="Times New Roman"/>
          <w:color w:val="000000"/>
          <w:vertAlign w:val="subscript"/>
        </w:rPr>
        <w:t>2</w:t>
      </w:r>
      <w:r w:rsidR="008C0DC8">
        <w:rPr>
          <w:rFonts w:ascii="Times New Roman" w:hAnsi="Times New Roman" w:cs="Times New Roman"/>
          <w:color w:val="000000"/>
        </w:rPr>
        <w:t>-</w:t>
      </w:r>
      <w:r w:rsidR="00906C0E">
        <w:rPr>
          <w:rFonts w:ascii="Times New Roman" w:hAnsi="Times New Roman" w:cs="Times New Roman"/>
          <w:color w:val="000000"/>
        </w:rPr>
        <w:t>4</w:t>
      </w:r>
      <w:r w:rsidR="008C0DC8">
        <w:rPr>
          <w:rFonts w:ascii="Times New Roman" w:hAnsi="Times New Roman" w:cs="Times New Roman"/>
          <w:color w:val="000000"/>
        </w:rPr>
        <w:t xml:space="preserve">H </w:t>
      </w:r>
      <w:r w:rsidR="003D5839" w:rsidRPr="006A63B3">
        <w:rPr>
          <w:rFonts w:ascii="Times New Roman" w:hAnsi="Times New Roman" w:cs="Times New Roman"/>
          <w:color w:val="000000"/>
        </w:rPr>
        <w:t xml:space="preserve">+ </w:t>
      </w:r>
      <w:proofErr w:type="gramStart"/>
      <w:r w:rsidR="003D5839" w:rsidRPr="006A63B3">
        <w:rPr>
          <w:rFonts w:ascii="Times New Roman" w:hAnsi="Times New Roman" w:cs="Times New Roman"/>
          <w:color w:val="000000"/>
        </w:rPr>
        <w:t>Ca(</w:t>
      </w:r>
      <w:proofErr w:type="gramEnd"/>
      <w:r w:rsidR="003D5839" w:rsidRPr="006A63B3">
        <w:rPr>
          <w:rFonts w:ascii="Times New Roman" w:hAnsi="Times New Roman" w:cs="Times New Roman"/>
          <w:color w:val="000000"/>
        </w:rPr>
        <w:t>OH)</w:t>
      </w:r>
      <w:r w:rsidR="003D5839" w:rsidRPr="006A63B3">
        <w:rPr>
          <w:rFonts w:ascii="Times New Roman" w:hAnsi="Times New Roman" w:cs="Times New Roman"/>
          <w:color w:val="000000"/>
          <w:vertAlign w:val="subscript"/>
        </w:rPr>
        <w:t>2</w:t>
      </w:r>
      <w:r w:rsidR="003D5839" w:rsidRPr="006A63B3">
        <w:rPr>
          <w:rFonts w:ascii="Times New Roman" w:hAnsi="Times New Roman" w:cs="Times New Roman"/>
          <w:color w:val="000000"/>
          <w:vertAlign w:val="subscript"/>
        </w:rPr>
        <w:tab/>
      </w:r>
      <w:r w:rsidR="003D5839" w:rsidRPr="006A63B3">
        <w:rPr>
          <w:rFonts w:ascii="Times New Roman" w:hAnsi="Times New Roman" w:cs="Times New Roman"/>
          <w:color w:val="000000"/>
          <w:vertAlign w:val="subscript"/>
        </w:rPr>
        <w:tab/>
      </w:r>
      <w:r w:rsidR="003D5839" w:rsidRPr="006A63B3">
        <w:rPr>
          <w:rFonts w:ascii="Times New Roman" w:hAnsi="Times New Roman" w:cs="Times New Roman"/>
          <w:color w:val="000000"/>
          <w:vertAlign w:val="subscript"/>
        </w:rPr>
        <w:tab/>
      </w:r>
      <w:r w:rsidR="003D5839" w:rsidRPr="006A63B3">
        <w:rPr>
          <w:rFonts w:ascii="Times New Roman" w:hAnsi="Times New Roman" w:cs="Times New Roman"/>
          <w:color w:val="000000"/>
          <w:vertAlign w:val="subscript"/>
        </w:rPr>
        <w:tab/>
      </w:r>
      <w:r w:rsidR="003D5839" w:rsidRPr="006A63B3">
        <w:rPr>
          <w:rFonts w:ascii="Times New Roman" w:hAnsi="Times New Roman" w:cs="Times New Roman"/>
          <w:color w:val="000000"/>
          <w:vertAlign w:val="subscript"/>
        </w:rPr>
        <w:tab/>
      </w:r>
      <w:r w:rsidR="003D5839" w:rsidRPr="006A63B3">
        <w:rPr>
          <w:rFonts w:ascii="Times New Roman" w:hAnsi="Times New Roman" w:cs="Times New Roman"/>
          <w:color w:val="000000"/>
          <w:vertAlign w:val="subscript"/>
        </w:rPr>
        <w:tab/>
      </w:r>
      <w:r w:rsidR="003D5839" w:rsidRPr="006A63B3">
        <w:rPr>
          <w:rFonts w:ascii="Times New Roman" w:hAnsi="Times New Roman" w:cs="Times New Roman"/>
          <w:color w:val="000000"/>
          <w:vertAlign w:val="subscript"/>
        </w:rPr>
        <w:tab/>
      </w:r>
      <w:r w:rsidR="00A13A74">
        <w:rPr>
          <w:rFonts w:ascii="Times New Roman" w:hAnsi="Times New Roman" w:cs="Times New Roman"/>
          <w:color w:val="000000"/>
          <w:vertAlign w:val="subscript"/>
        </w:rPr>
        <w:tab/>
      </w:r>
      <w:r w:rsidR="00A82394">
        <w:rPr>
          <w:rFonts w:ascii="Times New Roman" w:hAnsi="Times New Roman" w:cs="Times New Roman"/>
          <w:color w:val="000000"/>
        </w:rPr>
        <w:t>(2)</w:t>
      </w:r>
    </w:p>
    <w:p w14:paraId="6AF58BD9" w14:textId="77777777" w:rsidR="00A82394" w:rsidRDefault="00A82394" w:rsidP="00A8239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center"/>
        <w:rPr>
          <w:rFonts w:ascii="Times New Roman" w:hAnsi="Times New Roman" w:cs="Times New Roman"/>
          <w:color w:val="000000"/>
        </w:rPr>
      </w:pPr>
    </w:p>
    <w:p w14:paraId="60EC2317" w14:textId="5E71979A" w:rsidR="003D5839" w:rsidRPr="00244C39" w:rsidRDefault="003D5839" w:rsidP="003D5839">
      <w:pPr>
        <w:spacing w:after="120" w:line="360" w:lineRule="auto"/>
        <w:jc w:val="both"/>
        <w:rPr>
          <w:rFonts w:ascii="Times New Roman" w:hAnsi="Times New Roman"/>
        </w:rPr>
      </w:pPr>
      <w:r>
        <w:rPr>
          <w:rFonts w:ascii="Times New Roman" w:hAnsi="Times New Roman" w:cs="Times New Roman"/>
          <w:color w:val="000000"/>
        </w:rPr>
        <w:lastRenderedPageBreak/>
        <w:t>C</w:t>
      </w:r>
      <w:r>
        <w:rPr>
          <w:rFonts w:ascii="Times New Roman" w:hAnsi="Times New Roman" w:cs="Times New Roman"/>
          <w:color w:val="000000"/>
          <w:vertAlign w:val="subscript"/>
        </w:rPr>
        <w:t>3</w:t>
      </w:r>
      <w:r>
        <w:rPr>
          <w:rFonts w:ascii="Times New Roman" w:hAnsi="Times New Roman" w:cs="Times New Roman"/>
          <w:color w:val="000000"/>
        </w:rPr>
        <w:t>A reacts with water initially to form the hexagonal hydrates forming a protective barrier around the C</w:t>
      </w:r>
      <w:r>
        <w:rPr>
          <w:rFonts w:ascii="Times New Roman" w:hAnsi="Times New Roman" w:cs="Times New Roman"/>
          <w:color w:val="000000"/>
          <w:vertAlign w:val="subscript"/>
        </w:rPr>
        <w:t>3</w:t>
      </w:r>
      <w:r>
        <w:rPr>
          <w:rFonts w:ascii="Times New Roman" w:hAnsi="Times New Roman" w:cs="Times New Roman"/>
          <w:color w:val="000000"/>
        </w:rPr>
        <w:t>A (Eq.3). It also reacts with the sulp</w:t>
      </w:r>
      <w:r w:rsidR="0095377D">
        <w:rPr>
          <w:rFonts w:ascii="Times New Roman" w:hAnsi="Times New Roman" w:cs="Times New Roman"/>
          <w:color w:val="000000"/>
        </w:rPr>
        <w:t>h</w:t>
      </w:r>
      <w:r>
        <w:rPr>
          <w:rFonts w:ascii="Times New Roman" w:hAnsi="Times New Roman" w:cs="Times New Roman"/>
          <w:color w:val="000000"/>
        </w:rPr>
        <w:t>ate in the system to form the ettringite phase (trisulphate) (Eq.4)</w:t>
      </w:r>
      <w:r w:rsidR="00A72245">
        <w:rPr>
          <w:rFonts w:ascii="Times New Roman" w:hAnsi="Times New Roman" w:cs="Times New Roman"/>
          <w:color w:val="000000"/>
        </w:rPr>
        <w:t xml:space="preserve">, wherein </w:t>
      </w:r>
      <w:r w:rsidR="00257F9D">
        <w:rPr>
          <w:rFonts w:ascii="Times New Roman" w:hAnsi="Times New Roman" w:cs="Times New Roman"/>
          <w:b/>
          <w:color w:val="000000"/>
        </w:rPr>
        <w:t>$</w:t>
      </w:r>
      <w:r w:rsidR="00963F4D">
        <w:rPr>
          <w:rFonts w:ascii="Times New Roman" w:hAnsi="Times New Roman" w:cs="Times New Roman"/>
          <w:b/>
          <w:color w:val="000000"/>
        </w:rPr>
        <w:t xml:space="preserve"> </w:t>
      </w:r>
      <w:r w:rsidR="00963F4D">
        <w:rPr>
          <w:rFonts w:ascii="Times New Roman" w:hAnsi="Times New Roman" w:cs="Times New Roman"/>
          <w:color w:val="000000"/>
        </w:rPr>
        <w:t>denotes SO</w:t>
      </w:r>
      <w:r w:rsidR="00963F4D">
        <w:rPr>
          <w:rFonts w:ascii="Times New Roman" w:hAnsi="Times New Roman" w:cs="Times New Roman"/>
          <w:color w:val="000000"/>
          <w:vertAlign w:val="subscript"/>
        </w:rPr>
        <w:t>3</w:t>
      </w:r>
      <w:r>
        <w:rPr>
          <w:rFonts w:ascii="Times New Roman" w:hAnsi="Times New Roman" w:cs="Times New Roman"/>
          <w:color w:val="000000"/>
        </w:rPr>
        <w:t>. This phase is known as an ettringite</w:t>
      </w:r>
      <w:r w:rsidR="001B7EBC">
        <w:rPr>
          <w:rFonts w:ascii="Times New Roman" w:hAnsi="Times New Roman" w:cs="Times New Roman"/>
          <w:color w:val="000000"/>
        </w:rPr>
        <w:t xml:space="preserve"> (AFt) </w:t>
      </w:r>
      <w:r w:rsidR="004920BC">
        <w:rPr>
          <w:rFonts w:ascii="Times New Roman" w:hAnsi="Times New Roman"/>
        </w:rPr>
        <w:t>(</w:t>
      </w:r>
      <w:r w:rsidR="001B7EBC">
        <w:rPr>
          <w:rFonts w:ascii="Times New Roman" w:hAnsi="Times New Roman"/>
        </w:rPr>
        <w:t xml:space="preserve">or </w:t>
      </w:r>
      <w:r w:rsidR="004920BC">
        <w:rPr>
          <w:rFonts w:ascii="Times New Roman" w:hAnsi="Times New Roman"/>
        </w:rPr>
        <w:t>alumina, ferric</w:t>
      </w:r>
      <w:r w:rsidR="001B7EBC">
        <w:rPr>
          <w:rFonts w:ascii="Times New Roman" w:hAnsi="Times New Roman"/>
        </w:rPr>
        <w:t xml:space="preserve"> oxide tri-sulphate</w:t>
      </w:r>
      <w:r>
        <w:rPr>
          <w:rFonts w:ascii="Times New Roman" w:hAnsi="Times New Roman"/>
        </w:rPr>
        <w:t xml:space="preserve"> </w:t>
      </w:r>
      <w:r>
        <w:rPr>
          <w:rFonts w:ascii="Times New Roman" w:hAnsi="Times New Roman" w:cs="Times New Roman"/>
          <w:color w:val="000000"/>
        </w:rPr>
        <w:t>phase due to its ability to form with both Fe and Al</w:t>
      </w:r>
      <w:r w:rsidR="001B7EBC">
        <w:rPr>
          <w:rFonts w:ascii="Times New Roman" w:hAnsi="Times New Roman" w:cs="Times New Roman"/>
          <w:color w:val="000000"/>
        </w:rPr>
        <w:t>)</w:t>
      </w:r>
      <w:r>
        <w:rPr>
          <w:rFonts w:ascii="Times New Roman" w:hAnsi="Times New Roman" w:cs="Times New Roman"/>
          <w:color w:val="000000"/>
        </w:rPr>
        <w:t>. The ettringite phase then reacts with C</w:t>
      </w:r>
      <w:r>
        <w:rPr>
          <w:rFonts w:ascii="Times New Roman" w:hAnsi="Times New Roman" w:cs="Times New Roman"/>
          <w:color w:val="000000"/>
          <w:vertAlign w:val="subscript"/>
        </w:rPr>
        <w:t>3</w:t>
      </w:r>
      <w:r>
        <w:rPr>
          <w:rFonts w:ascii="Times New Roman" w:hAnsi="Times New Roman" w:cs="Times New Roman"/>
          <w:color w:val="000000"/>
        </w:rPr>
        <w:t>A to form a</w:t>
      </w:r>
      <w:r w:rsidR="0039497C">
        <w:rPr>
          <w:rFonts w:ascii="Times New Roman" w:hAnsi="Times New Roman" w:cs="Times New Roman"/>
          <w:color w:val="000000"/>
        </w:rPr>
        <w:t xml:space="preserve"> </w:t>
      </w:r>
      <w:r>
        <w:rPr>
          <w:rFonts w:ascii="Times New Roman" w:hAnsi="Times New Roman"/>
        </w:rPr>
        <w:t xml:space="preserve">mono-sulphate phase </w:t>
      </w:r>
      <w:r>
        <w:rPr>
          <w:rFonts w:ascii="Times New Roman" w:hAnsi="Times New Roman" w:cs="Times New Roman"/>
          <w:color w:val="000000"/>
        </w:rPr>
        <w:t>(AF</w:t>
      </w:r>
      <w:r w:rsidR="00A50A94">
        <w:rPr>
          <w:rFonts w:ascii="Times New Roman" w:hAnsi="Times New Roman" w:cs="Times New Roman"/>
          <w:color w:val="000000"/>
        </w:rPr>
        <w:t>m</w:t>
      </w:r>
      <w:proofErr w:type="gramStart"/>
      <w:r>
        <w:rPr>
          <w:rFonts w:ascii="Times New Roman" w:hAnsi="Times New Roman" w:cs="Times New Roman"/>
          <w:color w:val="000000"/>
        </w:rPr>
        <w:t xml:space="preserve">) </w:t>
      </w:r>
      <w:r>
        <w:rPr>
          <w:rFonts w:ascii="Times New Roman" w:hAnsi="Times New Roman" w:cs="Times New Roman"/>
          <w:color w:val="000000"/>
          <w:vertAlign w:val="subscript"/>
        </w:rPr>
        <w:t xml:space="preserve"> </w:t>
      </w:r>
      <w:r>
        <w:rPr>
          <w:rFonts w:ascii="Times New Roman" w:hAnsi="Times New Roman" w:cs="Times New Roman"/>
          <w:color w:val="000000"/>
        </w:rPr>
        <w:t>phase</w:t>
      </w:r>
      <w:proofErr w:type="gramEnd"/>
      <w:r>
        <w:rPr>
          <w:rFonts w:ascii="Times New Roman" w:hAnsi="Times New Roman" w:cs="Times New Roman"/>
          <w:color w:val="000000"/>
        </w:rPr>
        <w:t xml:space="preserve"> (Eq.5).</w:t>
      </w:r>
    </w:p>
    <w:p w14:paraId="5E0B14E0" w14:textId="77777777" w:rsidR="003D5839" w:rsidRPr="00BF0634" w:rsidRDefault="003D5839"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center"/>
        <w:rPr>
          <w:rFonts w:ascii="Times New Roman" w:hAnsi="Times New Roman" w:cs="Times New Roman"/>
          <w:color w:val="000000"/>
        </w:rPr>
      </w:pPr>
      <w:r>
        <w:rPr>
          <w:rFonts w:ascii="Times New Roman" w:hAnsi="Times New Roman" w:cs="Times New Roman"/>
          <w:color w:val="000000"/>
        </w:rPr>
        <w:br/>
      </w:r>
      <w:r w:rsidRPr="00BF0634">
        <w:rPr>
          <w:rFonts w:ascii="Times New Roman" w:hAnsi="Times New Roman" w:cs="Times New Roman"/>
          <w:color w:val="000000"/>
        </w:rPr>
        <w:t>2</w:t>
      </w:r>
      <w:r w:rsidRPr="00A07DA1">
        <w:rPr>
          <w:rFonts w:ascii="Times New Roman" w:hAnsi="Times New Roman" w:cs="Times New Roman"/>
          <w:color w:val="000000"/>
        </w:rPr>
        <w:t>C</w:t>
      </w:r>
      <w:r w:rsidRPr="00BF0634">
        <w:rPr>
          <w:rFonts w:ascii="Times New Roman" w:hAnsi="Times New Roman" w:cs="Times New Roman"/>
          <w:color w:val="000000"/>
          <w:vertAlign w:val="subscript"/>
        </w:rPr>
        <w:t>3</w:t>
      </w:r>
      <w:r w:rsidRPr="00A07DA1">
        <w:rPr>
          <w:rFonts w:ascii="Times New Roman" w:hAnsi="Times New Roman" w:cs="Times New Roman"/>
          <w:color w:val="000000"/>
        </w:rPr>
        <w:t>A + 18H</w:t>
      </w:r>
      <w:r w:rsidRPr="00BF0634">
        <w:rPr>
          <w:rFonts w:ascii="Times New Roman" w:hAnsi="Times New Roman" w:cs="Times New Roman"/>
          <w:color w:val="000000"/>
          <w:vertAlign w:val="subscript"/>
        </w:rPr>
        <w:t>2</w:t>
      </w:r>
      <w:r w:rsidRPr="00A07DA1">
        <w:rPr>
          <w:rFonts w:ascii="Times New Roman" w:hAnsi="Times New Roman" w:cs="Times New Roman"/>
          <w:color w:val="000000"/>
        </w:rPr>
        <w:t>O → C</w:t>
      </w:r>
      <w:r w:rsidRPr="00BF0634">
        <w:rPr>
          <w:rFonts w:ascii="Times New Roman" w:hAnsi="Times New Roman" w:cs="Times New Roman"/>
          <w:color w:val="000000"/>
          <w:vertAlign w:val="subscript"/>
        </w:rPr>
        <w:t>2</w:t>
      </w:r>
      <w:r w:rsidRPr="00A07DA1">
        <w:rPr>
          <w:rFonts w:ascii="Times New Roman" w:hAnsi="Times New Roman" w:cs="Times New Roman"/>
          <w:color w:val="000000"/>
        </w:rPr>
        <w:t>AH</w:t>
      </w:r>
      <w:r w:rsidRPr="00BF0634">
        <w:rPr>
          <w:rFonts w:ascii="Times New Roman" w:hAnsi="Times New Roman" w:cs="Times New Roman"/>
          <w:color w:val="000000"/>
          <w:vertAlign w:val="subscript"/>
        </w:rPr>
        <w:t>8</w:t>
      </w:r>
      <w:r>
        <w:rPr>
          <w:rFonts w:ascii="Times New Roman" w:hAnsi="Times New Roman" w:cs="Times New Roman"/>
          <w:color w:val="000000"/>
        </w:rPr>
        <w:t xml:space="preserve"> + C</w:t>
      </w:r>
      <w:r>
        <w:rPr>
          <w:rFonts w:ascii="Times New Roman" w:hAnsi="Times New Roman" w:cs="Times New Roman"/>
          <w:color w:val="000000"/>
          <w:vertAlign w:val="subscript"/>
        </w:rPr>
        <w:t>4</w:t>
      </w:r>
      <w:r w:rsidRPr="00A07DA1">
        <w:rPr>
          <w:rFonts w:ascii="Times New Roman" w:hAnsi="Times New Roman" w:cs="Times New Roman"/>
          <w:color w:val="000000"/>
        </w:rPr>
        <w:t>AH</w:t>
      </w:r>
      <w:r w:rsidRPr="00BF0634">
        <w:rPr>
          <w:rFonts w:ascii="Times New Roman" w:hAnsi="Times New Roman" w:cs="Times New Roman"/>
          <w:color w:val="000000"/>
          <w:vertAlign w:val="subscript"/>
        </w:rPr>
        <w:t>10</w:t>
      </w:r>
      <w:r>
        <w:rPr>
          <w:rFonts w:ascii="Times New Roman" w:hAnsi="Times New Roman" w:cs="Times New Roman"/>
          <w:color w:val="000000"/>
          <w:vertAlign w:val="subscript"/>
        </w:rPr>
        <w:t xml:space="preserve"> </w:t>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t>(3)</w:t>
      </w:r>
    </w:p>
    <w:p w14:paraId="6A2CC850" w14:textId="486AB33C" w:rsidR="003D5839" w:rsidRPr="00BF0634" w:rsidRDefault="003D5839"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center"/>
        <w:rPr>
          <w:rFonts w:ascii="Times New Roman" w:hAnsi="Times New Roman" w:cs="Times New Roman"/>
          <w:color w:val="000000"/>
        </w:rPr>
      </w:pPr>
      <w:r w:rsidRPr="00A07DA1">
        <w:rPr>
          <w:rFonts w:ascii="Times New Roman" w:hAnsi="Times New Roman" w:cs="Times New Roman"/>
          <w:color w:val="000000"/>
        </w:rPr>
        <w:t>2C</w:t>
      </w:r>
      <w:r w:rsidRPr="00BF0634">
        <w:rPr>
          <w:rFonts w:ascii="Times New Roman" w:hAnsi="Times New Roman" w:cs="Times New Roman"/>
          <w:color w:val="000000"/>
          <w:vertAlign w:val="subscript"/>
        </w:rPr>
        <w:t>3</w:t>
      </w:r>
      <w:r w:rsidRPr="00A07DA1">
        <w:rPr>
          <w:rFonts w:ascii="Times New Roman" w:hAnsi="Times New Roman" w:cs="Times New Roman"/>
          <w:color w:val="000000"/>
        </w:rPr>
        <w:t>A + 32H</w:t>
      </w:r>
      <w:r w:rsidRPr="00BF0634">
        <w:rPr>
          <w:rFonts w:ascii="Times New Roman" w:hAnsi="Times New Roman" w:cs="Times New Roman"/>
          <w:color w:val="000000"/>
          <w:vertAlign w:val="subscript"/>
        </w:rPr>
        <w:t>2</w:t>
      </w:r>
      <w:r w:rsidRPr="00A07DA1">
        <w:rPr>
          <w:rFonts w:ascii="Times New Roman" w:hAnsi="Times New Roman" w:cs="Times New Roman"/>
          <w:color w:val="000000"/>
        </w:rPr>
        <w:t>O + 3(Ca</w:t>
      </w:r>
      <w:r w:rsidRPr="0011723B">
        <w:rPr>
          <w:rFonts w:ascii="Times New Roman" w:hAnsi="Times New Roman" w:cs="Times New Roman"/>
          <w:color w:val="000000"/>
          <w:vertAlign w:val="superscript"/>
        </w:rPr>
        <w:t xml:space="preserve">2+ </w:t>
      </w:r>
      <w:r w:rsidRPr="00A07DA1">
        <w:rPr>
          <w:rFonts w:ascii="Times New Roman" w:hAnsi="Times New Roman" w:cs="Times New Roman"/>
          <w:color w:val="000000"/>
        </w:rPr>
        <w:t>(aq) + SO</w:t>
      </w:r>
      <w:r w:rsidRPr="00BF0634">
        <w:rPr>
          <w:rFonts w:ascii="Times New Roman" w:hAnsi="Times New Roman" w:cs="Times New Roman"/>
          <w:color w:val="000000"/>
          <w:vertAlign w:val="subscript"/>
        </w:rPr>
        <w:t>4</w:t>
      </w:r>
      <w:r w:rsidRPr="0011723B">
        <w:rPr>
          <w:rFonts w:ascii="Times New Roman" w:hAnsi="Times New Roman" w:cs="Times New Roman"/>
          <w:color w:val="000000"/>
          <w:vertAlign w:val="superscript"/>
        </w:rPr>
        <w:t>2</w:t>
      </w:r>
      <w:proofErr w:type="gramStart"/>
      <w:r w:rsidRPr="0011723B">
        <w:rPr>
          <w:rFonts w:ascii="Times New Roman" w:hAnsi="Times New Roman" w:cs="Times New Roman"/>
          <w:color w:val="000000"/>
          <w:vertAlign w:val="superscript"/>
        </w:rPr>
        <w:t>-</w:t>
      </w:r>
      <w:r w:rsidRPr="0011723B">
        <w:rPr>
          <w:rFonts w:ascii="Times New Roman" w:hAnsi="Times New Roman" w:cs="Times New Roman"/>
          <w:color w:val="000000"/>
        </w:rPr>
        <w:t>(</w:t>
      </w:r>
      <w:proofErr w:type="gramEnd"/>
      <w:r w:rsidRPr="00A07DA1">
        <w:rPr>
          <w:rFonts w:ascii="Times New Roman" w:hAnsi="Times New Roman" w:cs="Times New Roman"/>
          <w:color w:val="000000"/>
        </w:rPr>
        <w:t xml:space="preserve">aq)) → </w:t>
      </w:r>
      <w:r w:rsidR="00257F9D" w:rsidRPr="00A07DA1">
        <w:rPr>
          <w:rFonts w:ascii="Times New Roman" w:hAnsi="Times New Roman" w:cs="Times New Roman"/>
          <w:color w:val="000000"/>
        </w:rPr>
        <w:t>C</w:t>
      </w:r>
      <w:r w:rsidR="00257F9D" w:rsidRPr="00BF0634">
        <w:rPr>
          <w:rFonts w:ascii="Times New Roman" w:hAnsi="Times New Roman" w:cs="Times New Roman"/>
          <w:color w:val="000000"/>
          <w:vertAlign w:val="subscript"/>
        </w:rPr>
        <w:t>6</w:t>
      </w:r>
      <w:r w:rsidR="00257F9D" w:rsidRPr="00A07DA1">
        <w:rPr>
          <w:rFonts w:ascii="Times New Roman" w:hAnsi="Times New Roman" w:cs="Times New Roman"/>
          <w:color w:val="000000"/>
        </w:rPr>
        <w:t>A</w:t>
      </w:r>
      <w:r w:rsidR="00257F9D">
        <w:rPr>
          <w:rFonts w:ascii="Times New Roman" w:hAnsi="Times New Roman" w:cs="Times New Roman"/>
          <w:b/>
          <w:color w:val="000000"/>
        </w:rPr>
        <w:t>$</w:t>
      </w:r>
      <w:r w:rsidR="00257F9D" w:rsidRPr="00BF0634">
        <w:rPr>
          <w:rFonts w:ascii="Times New Roman" w:hAnsi="Times New Roman" w:cs="Times New Roman"/>
          <w:color w:val="000000"/>
          <w:vertAlign w:val="subscript"/>
        </w:rPr>
        <w:t>3</w:t>
      </w:r>
      <w:r w:rsidR="00257F9D" w:rsidRPr="00A07DA1">
        <w:rPr>
          <w:rFonts w:ascii="Times New Roman" w:hAnsi="Times New Roman" w:cs="Times New Roman"/>
          <w:color w:val="000000"/>
        </w:rPr>
        <w:t>H</w:t>
      </w:r>
      <w:r w:rsidR="00257F9D" w:rsidRPr="00BF0634">
        <w:rPr>
          <w:rFonts w:ascii="Times New Roman" w:hAnsi="Times New Roman" w:cs="Times New Roman"/>
          <w:color w:val="000000"/>
          <w:vertAlign w:val="subscript"/>
        </w:rPr>
        <w:t>32</w:t>
      </w:r>
      <w:r>
        <w:rPr>
          <w:rFonts w:ascii="Times New Roman" w:hAnsi="Times New Roman" w:cs="Times New Roman"/>
          <w:color w:val="000000"/>
          <w:vertAlign w:val="subscript"/>
        </w:rPr>
        <w:tab/>
      </w:r>
      <w:r>
        <w:rPr>
          <w:rFonts w:ascii="Times New Roman" w:hAnsi="Times New Roman" w:cs="Times New Roman"/>
          <w:color w:val="000000"/>
          <w:vertAlign w:val="subscript"/>
        </w:rPr>
        <w:tab/>
      </w:r>
      <w:r>
        <w:rPr>
          <w:rFonts w:ascii="Times New Roman" w:hAnsi="Times New Roman" w:cs="Times New Roman"/>
          <w:color w:val="000000"/>
          <w:vertAlign w:val="subscript"/>
        </w:rPr>
        <w:tab/>
      </w:r>
      <w:r>
        <w:rPr>
          <w:rFonts w:ascii="Times New Roman" w:hAnsi="Times New Roman" w:cs="Times New Roman"/>
          <w:color w:val="000000"/>
          <w:vertAlign w:val="subscript"/>
        </w:rPr>
        <w:tab/>
      </w:r>
      <w:r>
        <w:rPr>
          <w:rFonts w:ascii="Times New Roman" w:hAnsi="Times New Roman" w:cs="Times New Roman"/>
          <w:color w:val="000000"/>
          <w:vertAlign w:val="subscript"/>
        </w:rPr>
        <w:tab/>
      </w:r>
      <w:r>
        <w:rPr>
          <w:rFonts w:ascii="Times New Roman" w:hAnsi="Times New Roman" w:cs="Times New Roman"/>
          <w:color w:val="000000"/>
        </w:rPr>
        <w:t>(4)</w:t>
      </w:r>
    </w:p>
    <w:p w14:paraId="530D9754" w14:textId="3AE4EAA6" w:rsidR="003D5839" w:rsidRDefault="002D24BC"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center"/>
        <w:rPr>
          <w:rFonts w:ascii="Times New Roman" w:hAnsi="Times New Roman" w:cs="Times New Roman"/>
          <w:color w:val="000000"/>
        </w:rPr>
      </w:pPr>
      <w:r w:rsidRPr="00A07DA1">
        <w:rPr>
          <w:rFonts w:ascii="Times New Roman" w:hAnsi="Times New Roman" w:cs="Times New Roman"/>
          <w:color w:val="000000"/>
        </w:rPr>
        <w:t>C</w:t>
      </w:r>
      <w:r w:rsidRPr="00BF0634">
        <w:rPr>
          <w:rFonts w:ascii="Times New Roman" w:hAnsi="Times New Roman" w:cs="Times New Roman"/>
          <w:color w:val="000000"/>
          <w:vertAlign w:val="subscript"/>
        </w:rPr>
        <w:t>6</w:t>
      </w:r>
      <w:r w:rsidRPr="00A07DA1">
        <w:rPr>
          <w:rFonts w:ascii="Times New Roman" w:hAnsi="Times New Roman" w:cs="Times New Roman"/>
          <w:color w:val="000000"/>
        </w:rPr>
        <w:t>A</w:t>
      </w:r>
      <w:r w:rsidRPr="00751C5B">
        <w:rPr>
          <w:rFonts w:ascii="Times New Roman" w:hAnsi="Times New Roman" w:cs="Times New Roman"/>
          <w:b/>
          <w:color w:val="000000"/>
        </w:rPr>
        <w:t>$</w:t>
      </w:r>
      <w:r w:rsidRPr="00BF0634">
        <w:rPr>
          <w:rFonts w:ascii="Times New Roman" w:hAnsi="Times New Roman" w:cs="Times New Roman"/>
          <w:color w:val="000000"/>
          <w:vertAlign w:val="subscript"/>
        </w:rPr>
        <w:t>3</w:t>
      </w:r>
      <w:r w:rsidRPr="00A07DA1">
        <w:rPr>
          <w:rFonts w:ascii="Times New Roman" w:hAnsi="Times New Roman" w:cs="Times New Roman"/>
          <w:color w:val="000000"/>
        </w:rPr>
        <w:t>H</w:t>
      </w:r>
      <w:r w:rsidRPr="00BF0634">
        <w:rPr>
          <w:rFonts w:ascii="Times New Roman" w:hAnsi="Times New Roman" w:cs="Times New Roman"/>
          <w:color w:val="000000"/>
          <w:vertAlign w:val="subscript"/>
        </w:rPr>
        <w:t xml:space="preserve">32 </w:t>
      </w:r>
      <w:r w:rsidR="003D5839" w:rsidRPr="00A07DA1">
        <w:rPr>
          <w:rFonts w:ascii="Times New Roman" w:hAnsi="Times New Roman" w:cs="Times New Roman"/>
          <w:color w:val="000000"/>
        </w:rPr>
        <w:t>+ 2C</w:t>
      </w:r>
      <w:r w:rsidR="003D5839" w:rsidRPr="00BF0634">
        <w:rPr>
          <w:rFonts w:ascii="Times New Roman" w:hAnsi="Times New Roman" w:cs="Times New Roman"/>
          <w:color w:val="000000"/>
          <w:vertAlign w:val="subscript"/>
        </w:rPr>
        <w:t>3</w:t>
      </w:r>
      <w:r w:rsidR="003D5839" w:rsidRPr="00A07DA1">
        <w:rPr>
          <w:rFonts w:ascii="Times New Roman" w:hAnsi="Times New Roman" w:cs="Times New Roman"/>
          <w:color w:val="000000"/>
        </w:rPr>
        <w:t xml:space="preserve">A → </w:t>
      </w:r>
      <w:r w:rsidR="00257F9D" w:rsidRPr="00A07DA1">
        <w:rPr>
          <w:rFonts w:ascii="Times New Roman" w:hAnsi="Times New Roman" w:cs="Times New Roman"/>
          <w:color w:val="000000"/>
        </w:rPr>
        <w:t>3C</w:t>
      </w:r>
      <w:r w:rsidR="00257F9D" w:rsidRPr="00BF0634">
        <w:rPr>
          <w:rFonts w:ascii="Times New Roman" w:hAnsi="Times New Roman" w:cs="Times New Roman"/>
          <w:color w:val="000000"/>
          <w:vertAlign w:val="subscript"/>
        </w:rPr>
        <w:t>4</w:t>
      </w:r>
      <w:r w:rsidR="00257F9D" w:rsidRPr="00A07DA1">
        <w:rPr>
          <w:rFonts w:ascii="Times New Roman" w:hAnsi="Times New Roman" w:cs="Times New Roman"/>
          <w:color w:val="000000"/>
        </w:rPr>
        <w:t>A</w:t>
      </w:r>
      <w:r w:rsidR="00257F9D">
        <w:rPr>
          <w:rFonts w:ascii="Times New Roman" w:hAnsi="Times New Roman" w:cs="Times New Roman"/>
          <w:b/>
          <w:color w:val="000000"/>
        </w:rPr>
        <w:t>$</w:t>
      </w:r>
      <w:r w:rsidR="00257F9D" w:rsidRPr="00A07DA1">
        <w:rPr>
          <w:rFonts w:ascii="Times New Roman" w:hAnsi="Times New Roman" w:cs="Times New Roman"/>
          <w:color w:val="000000"/>
        </w:rPr>
        <w:t>H</w:t>
      </w:r>
      <w:r w:rsidR="00257F9D" w:rsidRPr="00BF0634">
        <w:rPr>
          <w:rFonts w:ascii="Times New Roman" w:hAnsi="Times New Roman" w:cs="Times New Roman"/>
          <w:color w:val="000000"/>
          <w:vertAlign w:val="subscript"/>
        </w:rPr>
        <w:t>12</w:t>
      </w:r>
      <w:r w:rsidR="003D5839">
        <w:rPr>
          <w:rFonts w:ascii="Times New Roman" w:hAnsi="Times New Roman" w:cs="Times New Roman"/>
          <w:color w:val="000000"/>
          <w:vertAlign w:val="subscript"/>
        </w:rPr>
        <w:tab/>
      </w:r>
      <w:r w:rsidR="003D5839">
        <w:rPr>
          <w:rFonts w:ascii="Times New Roman" w:hAnsi="Times New Roman" w:cs="Times New Roman"/>
          <w:color w:val="000000"/>
          <w:vertAlign w:val="subscript"/>
        </w:rPr>
        <w:tab/>
      </w:r>
      <w:r w:rsidR="003D5839">
        <w:rPr>
          <w:rFonts w:ascii="Times New Roman" w:hAnsi="Times New Roman" w:cs="Times New Roman"/>
          <w:color w:val="000000"/>
          <w:vertAlign w:val="subscript"/>
        </w:rPr>
        <w:tab/>
      </w:r>
      <w:r w:rsidR="003D5839">
        <w:rPr>
          <w:rFonts w:ascii="Times New Roman" w:hAnsi="Times New Roman" w:cs="Times New Roman"/>
          <w:color w:val="000000"/>
          <w:vertAlign w:val="subscript"/>
        </w:rPr>
        <w:tab/>
      </w:r>
      <w:r w:rsidR="003D5839">
        <w:rPr>
          <w:rFonts w:ascii="Times New Roman" w:hAnsi="Times New Roman" w:cs="Times New Roman"/>
          <w:color w:val="000000"/>
          <w:vertAlign w:val="subscript"/>
        </w:rPr>
        <w:tab/>
      </w:r>
      <w:r w:rsidR="003D5839">
        <w:rPr>
          <w:rFonts w:ascii="Times New Roman" w:hAnsi="Times New Roman" w:cs="Times New Roman"/>
          <w:color w:val="000000"/>
          <w:vertAlign w:val="subscript"/>
        </w:rPr>
        <w:tab/>
      </w:r>
      <w:r w:rsidR="003D5839">
        <w:rPr>
          <w:rFonts w:ascii="Times New Roman" w:hAnsi="Times New Roman" w:cs="Times New Roman"/>
          <w:color w:val="000000"/>
          <w:vertAlign w:val="subscript"/>
        </w:rPr>
        <w:tab/>
      </w:r>
      <w:r w:rsidR="003D5839">
        <w:rPr>
          <w:rFonts w:ascii="Times New Roman" w:hAnsi="Times New Roman" w:cs="Times New Roman"/>
          <w:color w:val="000000"/>
          <w:vertAlign w:val="subscript"/>
        </w:rPr>
        <w:tab/>
      </w:r>
      <w:r w:rsidR="003D5839">
        <w:rPr>
          <w:rFonts w:ascii="Times New Roman" w:hAnsi="Times New Roman" w:cs="Times New Roman"/>
          <w:color w:val="000000"/>
          <w:vertAlign w:val="subscript"/>
        </w:rPr>
        <w:tab/>
      </w:r>
      <w:r w:rsidR="003D5839">
        <w:rPr>
          <w:rFonts w:ascii="Times New Roman" w:hAnsi="Times New Roman" w:cs="Times New Roman"/>
          <w:color w:val="000000"/>
        </w:rPr>
        <w:t>(5)</w:t>
      </w:r>
    </w:p>
    <w:p w14:paraId="4B734B6E" w14:textId="7B0AB9D1" w:rsidR="003D5839" w:rsidRPr="00423FDF" w:rsidRDefault="003D5839" w:rsidP="003D5839">
      <w:pPr>
        <w:pStyle w:val="NormalWeb"/>
        <w:spacing w:line="360" w:lineRule="auto"/>
        <w:jc w:val="both"/>
        <w:rPr>
          <w:rFonts w:cs="Arial"/>
          <w:b/>
          <w:i/>
          <w:sz w:val="24"/>
          <w:szCs w:val="24"/>
        </w:rPr>
      </w:pPr>
      <w:r>
        <w:rPr>
          <w:rFonts w:ascii="Times New Roman" w:hAnsi="Times New Roman"/>
          <w:color w:val="000000"/>
          <w:sz w:val="24"/>
          <w:szCs w:val="24"/>
          <w:lang w:val="en-US"/>
        </w:rPr>
        <w:t>The early stages of hydration are illustrated in Figure 2.5 [19], monitoring the hydr</w:t>
      </w:r>
      <w:r w:rsidR="00C35598">
        <w:rPr>
          <w:rFonts w:ascii="Times New Roman" w:hAnsi="Times New Roman"/>
          <w:color w:val="000000"/>
          <w:sz w:val="24"/>
          <w:szCs w:val="24"/>
          <w:lang w:val="en-US"/>
        </w:rPr>
        <w:t>ation progress of each phase versus</w:t>
      </w:r>
      <w:r>
        <w:rPr>
          <w:rFonts w:ascii="Times New Roman" w:hAnsi="Times New Roman"/>
          <w:color w:val="000000"/>
          <w:sz w:val="24"/>
          <w:szCs w:val="24"/>
          <w:lang w:val="en-US"/>
        </w:rPr>
        <w:t xml:space="preserve"> the porosity of the cement paste. As can be seen, these reactions are divided into three stages starting with the dormant period which spanning over a period of minutes until reaching the setting </w:t>
      </w:r>
      <w:proofErr w:type="gramStart"/>
      <w:r>
        <w:rPr>
          <w:rFonts w:ascii="Times New Roman" w:hAnsi="Times New Roman"/>
          <w:color w:val="000000"/>
          <w:sz w:val="24"/>
          <w:szCs w:val="24"/>
          <w:lang w:val="en-US"/>
        </w:rPr>
        <w:t>period which</w:t>
      </w:r>
      <w:proofErr w:type="gramEnd"/>
      <w:r>
        <w:rPr>
          <w:rFonts w:ascii="Times New Roman" w:hAnsi="Times New Roman"/>
          <w:color w:val="000000"/>
          <w:sz w:val="24"/>
          <w:szCs w:val="24"/>
          <w:lang w:val="en-US"/>
        </w:rPr>
        <w:t xml:space="preserve"> occurs over several hours. Finally the cement reaches the hardening </w:t>
      </w:r>
      <w:proofErr w:type="gramStart"/>
      <w:r>
        <w:rPr>
          <w:rFonts w:ascii="Times New Roman" w:hAnsi="Times New Roman"/>
          <w:color w:val="000000"/>
          <w:sz w:val="24"/>
          <w:szCs w:val="24"/>
          <w:lang w:val="en-US"/>
        </w:rPr>
        <w:t>phase which</w:t>
      </w:r>
      <w:proofErr w:type="gramEnd"/>
      <w:r>
        <w:rPr>
          <w:rFonts w:ascii="Times New Roman" w:hAnsi="Times New Roman"/>
          <w:color w:val="000000"/>
          <w:sz w:val="24"/>
          <w:szCs w:val="24"/>
          <w:lang w:val="en-US"/>
        </w:rPr>
        <w:t xml:space="preserve"> lasts several days</w:t>
      </w:r>
      <w:r w:rsidR="0016623E">
        <w:rPr>
          <w:rFonts w:ascii="Times New Roman" w:hAnsi="Times New Roman"/>
          <w:color w:val="000000"/>
          <w:sz w:val="24"/>
          <w:szCs w:val="24"/>
          <w:lang w:val="en-US"/>
        </w:rPr>
        <w:t>, most likely</w:t>
      </w:r>
      <w:r>
        <w:rPr>
          <w:rFonts w:ascii="Times New Roman" w:hAnsi="Times New Roman"/>
          <w:color w:val="000000"/>
          <w:sz w:val="24"/>
          <w:szCs w:val="24"/>
          <w:lang w:val="en-US"/>
        </w:rPr>
        <w:t xml:space="preserve"> longer. The figure shows that the highest yielding phase is C-S-H followed by </w:t>
      </w:r>
      <w:proofErr w:type="gramStart"/>
      <w:r>
        <w:rPr>
          <w:rFonts w:ascii="Times New Roman" w:hAnsi="Times New Roman"/>
          <w:color w:val="000000"/>
          <w:sz w:val="24"/>
          <w:szCs w:val="24"/>
          <w:lang w:val="en-US"/>
        </w:rPr>
        <w:t>Ca(</w:t>
      </w:r>
      <w:proofErr w:type="gramEnd"/>
      <w:r>
        <w:rPr>
          <w:rFonts w:ascii="Times New Roman" w:hAnsi="Times New Roman"/>
          <w:color w:val="000000"/>
          <w:sz w:val="24"/>
          <w:szCs w:val="24"/>
          <w:lang w:val="en-US"/>
        </w:rPr>
        <w:t>OH)</w:t>
      </w:r>
      <w:r>
        <w:rPr>
          <w:rFonts w:ascii="Times New Roman" w:hAnsi="Times New Roman"/>
          <w:color w:val="000000"/>
          <w:sz w:val="24"/>
          <w:szCs w:val="24"/>
          <w:vertAlign w:val="subscript"/>
          <w:lang w:val="en-US"/>
        </w:rPr>
        <w:t>2</w:t>
      </w:r>
      <w:r>
        <w:rPr>
          <w:rFonts w:ascii="Times New Roman" w:hAnsi="Times New Roman"/>
          <w:color w:val="000000"/>
          <w:sz w:val="24"/>
          <w:szCs w:val="24"/>
          <w:lang w:val="en-US"/>
        </w:rPr>
        <w:t xml:space="preserve">. The amount of ettringite begins to decrease during the hardening phase, as the production of monosulphate begins. </w:t>
      </w:r>
    </w:p>
    <w:p w14:paraId="2121939A" w14:textId="77777777" w:rsidR="003D5839" w:rsidRDefault="003D5839" w:rsidP="003D5839">
      <w:pPr>
        <w:spacing w:after="120" w:line="360" w:lineRule="auto"/>
        <w:jc w:val="center"/>
        <w:rPr>
          <w:rFonts w:ascii="Times New Roman" w:hAnsi="Times New Roman" w:cs="Times New Roman"/>
          <w:color w:val="000000"/>
        </w:rPr>
      </w:pPr>
      <w:r>
        <w:rPr>
          <w:noProof/>
        </w:rPr>
        <w:drawing>
          <wp:inline distT="0" distB="0" distL="0" distR="0" wp14:anchorId="294BD141" wp14:editId="5CA762E2">
            <wp:extent cx="4295140" cy="2758440"/>
            <wp:effectExtent l="19050" t="19050" r="10160" b="228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4295140" cy="2758440"/>
                    </a:xfrm>
                    <a:prstGeom prst="rect">
                      <a:avLst/>
                    </a:prstGeom>
                    <a:ln>
                      <a:solidFill>
                        <a:schemeClr val="tx1"/>
                      </a:solidFill>
                    </a:ln>
                  </pic:spPr>
                </pic:pic>
              </a:graphicData>
            </a:graphic>
          </wp:inline>
        </w:drawing>
      </w:r>
    </w:p>
    <w:p w14:paraId="1FFFDD17" w14:textId="5324E443" w:rsidR="00A8119E" w:rsidRDefault="003D5839" w:rsidP="00020920">
      <w:pPr>
        <w:spacing w:after="120" w:line="360" w:lineRule="auto"/>
        <w:jc w:val="center"/>
        <w:rPr>
          <w:rFonts w:ascii="Times New Roman" w:hAnsi="Times New Roman" w:cs="Times New Roman"/>
          <w:color w:val="000000"/>
        </w:rPr>
      </w:pPr>
      <w:r w:rsidRPr="00684EFE">
        <w:rPr>
          <w:rFonts w:ascii="Times New Roman" w:hAnsi="Times New Roman" w:cs="Times New Roman"/>
          <w:b/>
          <w:color w:val="000000"/>
        </w:rPr>
        <w:t>Figure 2.5</w:t>
      </w:r>
      <w:r>
        <w:rPr>
          <w:rFonts w:ascii="Times New Roman" w:hAnsi="Times New Roman" w:cs="Times New Roman"/>
          <w:b/>
          <w:color w:val="000000"/>
        </w:rPr>
        <w:t xml:space="preserve">:  </w:t>
      </w:r>
      <w:r w:rsidRPr="0047294D">
        <w:rPr>
          <w:rFonts w:ascii="Times New Roman" w:hAnsi="Times New Roman" w:cs="Times New Roman"/>
          <w:color w:val="000000"/>
        </w:rPr>
        <w:t>Development of the hydration products within Portland cement [1</w:t>
      </w:r>
      <w:r>
        <w:rPr>
          <w:rFonts w:ascii="Times New Roman" w:hAnsi="Times New Roman" w:cs="Times New Roman"/>
          <w:color w:val="000000"/>
        </w:rPr>
        <w:t>9</w:t>
      </w:r>
      <w:r w:rsidRPr="0047294D">
        <w:rPr>
          <w:rFonts w:ascii="Times New Roman" w:hAnsi="Times New Roman" w:cs="Times New Roman"/>
          <w:color w:val="000000"/>
        </w:rPr>
        <w:t>]</w:t>
      </w:r>
    </w:p>
    <w:p w14:paraId="4955B7E1" w14:textId="77777777" w:rsidR="00020920" w:rsidRPr="00020920" w:rsidRDefault="00020920" w:rsidP="00020920">
      <w:pPr>
        <w:spacing w:after="120" w:line="360" w:lineRule="auto"/>
        <w:jc w:val="center"/>
        <w:rPr>
          <w:rFonts w:ascii="Times New Roman" w:hAnsi="Times New Roman" w:cs="Times New Roman"/>
          <w:color w:val="000000"/>
        </w:rPr>
      </w:pPr>
    </w:p>
    <w:p w14:paraId="4447485C" w14:textId="77777777" w:rsidR="003D5839" w:rsidRDefault="003D5839" w:rsidP="003D5839">
      <w:pPr>
        <w:spacing w:after="120" w:line="360" w:lineRule="auto"/>
        <w:jc w:val="both"/>
        <w:rPr>
          <w:rFonts w:ascii="Times New Roman" w:hAnsi="Times New Roman" w:cs="Times New Roman"/>
          <w:color w:val="000000"/>
        </w:rPr>
      </w:pPr>
      <w:r>
        <w:rPr>
          <w:rFonts w:ascii="Times New Roman" w:hAnsi="Times New Roman" w:cs="Times New Roman"/>
          <w:b/>
          <w:color w:val="000000"/>
        </w:rPr>
        <w:lastRenderedPageBreak/>
        <w:t>i</w:t>
      </w:r>
      <w:r w:rsidRPr="008A5DFF">
        <w:rPr>
          <w:rFonts w:ascii="Times New Roman" w:hAnsi="Times New Roman" w:cs="Times New Roman"/>
          <w:b/>
          <w:color w:val="000000"/>
        </w:rPr>
        <w:t>i.</w:t>
      </w:r>
      <w:r>
        <w:rPr>
          <w:rFonts w:ascii="Times New Roman" w:hAnsi="Times New Roman" w:cs="Times New Roman"/>
          <w:color w:val="000000"/>
        </w:rPr>
        <w:tab/>
        <w:t>Calcium Silicate Hydrates</w:t>
      </w:r>
    </w:p>
    <w:p w14:paraId="7DAFCF27" w14:textId="65878D1F" w:rsidR="003D5839" w:rsidRDefault="003D5839" w:rsidP="003D5839">
      <w:pPr>
        <w:spacing w:after="120" w:line="360" w:lineRule="auto"/>
        <w:jc w:val="both"/>
        <w:rPr>
          <w:rFonts w:ascii="Times New Roman" w:hAnsi="Times New Roman" w:cs="Times New Roman"/>
          <w:color w:val="000000"/>
        </w:rPr>
      </w:pPr>
      <w:r w:rsidRPr="009B7B2D">
        <w:rPr>
          <w:rFonts w:ascii="Times New Roman" w:hAnsi="Times New Roman" w:cs="Times New Roman"/>
          <w:color w:val="000000"/>
        </w:rPr>
        <w:t xml:space="preserve">The </w:t>
      </w:r>
      <w:r>
        <w:rPr>
          <w:rFonts w:ascii="Times New Roman" w:hAnsi="Times New Roman" w:cs="Times New Roman"/>
          <w:color w:val="000000"/>
        </w:rPr>
        <w:t xml:space="preserve">calcium silicate hydrates, and particularly the variable and poorly ordered </w:t>
      </w:r>
      <w:r w:rsidRPr="009B7B2D">
        <w:rPr>
          <w:rFonts w:ascii="Times New Roman" w:hAnsi="Times New Roman" w:cs="Times New Roman"/>
          <w:color w:val="000000"/>
        </w:rPr>
        <w:t>C-S-H phase</w:t>
      </w:r>
      <w:r>
        <w:rPr>
          <w:rFonts w:ascii="Times New Roman" w:hAnsi="Times New Roman" w:cs="Times New Roman"/>
          <w:color w:val="000000"/>
        </w:rPr>
        <w:t>, are</w:t>
      </w:r>
      <w:r w:rsidRPr="009B7B2D">
        <w:rPr>
          <w:rFonts w:ascii="Times New Roman" w:hAnsi="Times New Roman" w:cs="Times New Roman"/>
          <w:color w:val="000000"/>
        </w:rPr>
        <w:t xml:space="preserve"> the main contributing p</w:t>
      </w:r>
      <w:r>
        <w:rPr>
          <w:rFonts w:ascii="Times New Roman" w:hAnsi="Times New Roman" w:cs="Times New Roman"/>
          <w:color w:val="000000"/>
        </w:rPr>
        <w:t xml:space="preserve">hases to the cement strength </w:t>
      </w:r>
      <w:r w:rsidR="00353E27">
        <w:rPr>
          <w:rFonts w:ascii="Times New Roman" w:hAnsi="Times New Roman" w:cs="Times New Roman"/>
          <w:color w:val="000000"/>
        </w:rPr>
        <w:t>as they are the</w:t>
      </w:r>
      <w:r>
        <w:rPr>
          <w:rFonts w:ascii="Times New Roman" w:hAnsi="Times New Roman" w:cs="Times New Roman"/>
          <w:color w:val="000000"/>
        </w:rPr>
        <w:t xml:space="preserve"> main binding phase</w:t>
      </w:r>
      <w:r w:rsidR="00353E27">
        <w:rPr>
          <w:rFonts w:ascii="Times New Roman" w:hAnsi="Times New Roman" w:cs="Times New Roman"/>
          <w:color w:val="000000"/>
        </w:rPr>
        <w:t>s</w:t>
      </w:r>
      <w:r>
        <w:rPr>
          <w:rFonts w:ascii="Times New Roman" w:hAnsi="Times New Roman" w:cs="Times New Roman"/>
          <w:color w:val="000000"/>
        </w:rPr>
        <w:t>. They make</w:t>
      </w:r>
      <w:r w:rsidRPr="009B7B2D">
        <w:rPr>
          <w:rFonts w:ascii="Times New Roman" w:hAnsi="Times New Roman" w:cs="Times New Roman"/>
          <w:color w:val="000000"/>
        </w:rPr>
        <w:t xml:space="preserve"> up approximatel</w:t>
      </w:r>
      <w:r>
        <w:rPr>
          <w:rFonts w:ascii="Times New Roman" w:hAnsi="Times New Roman" w:cs="Times New Roman"/>
          <w:color w:val="000000"/>
        </w:rPr>
        <w:t>y 70wt% of the hydrated product</w:t>
      </w:r>
      <w:r w:rsidRPr="009B7B2D">
        <w:rPr>
          <w:rFonts w:ascii="Times New Roman" w:hAnsi="Times New Roman" w:cs="Times New Roman"/>
          <w:color w:val="000000"/>
        </w:rPr>
        <w:t xml:space="preserve"> </w:t>
      </w:r>
      <w:r>
        <w:rPr>
          <w:rFonts w:ascii="Times New Roman" w:hAnsi="Times New Roman" w:cs="Times New Roman"/>
          <w:color w:val="000000"/>
        </w:rPr>
        <w:t xml:space="preserve">and are therefore the most important phases for characterising the properties of the paste [19]. The C-S-H phase is not a well-defined compound with varying structural water content and a varied C/S ratio of 1.5-2 [18,19]. It is sometimes referred to as a gel due to the varying morphology and colloidal dimensions, with a crystal structure at times resembling the tobermorite mineral. Tobermorite is a crystalline calcium silicate hydrate with formula of </w:t>
      </w:r>
      <w:proofErr w:type="gramStart"/>
      <w:r>
        <w:rPr>
          <w:rFonts w:ascii="Times New Roman" w:hAnsi="Times New Roman" w:cs="Times New Roman"/>
        </w:rPr>
        <w:t>Ca</w:t>
      </w:r>
      <w:r>
        <w:rPr>
          <w:rFonts w:ascii="Times New Roman" w:hAnsi="Times New Roman" w:cs="Times New Roman"/>
          <w:vertAlign w:val="subscript"/>
        </w:rPr>
        <w:t>4</w:t>
      </w:r>
      <w:r>
        <w:rPr>
          <w:rFonts w:ascii="Times New Roman" w:hAnsi="Times New Roman" w:cs="Times New Roman"/>
        </w:rPr>
        <w:t>(</w:t>
      </w:r>
      <w:proofErr w:type="gramEnd"/>
      <w:r>
        <w:rPr>
          <w:rFonts w:ascii="Times New Roman" w:hAnsi="Times New Roman" w:cs="Times New Roman"/>
        </w:rPr>
        <w:t>Si</w:t>
      </w:r>
      <w:r>
        <w:rPr>
          <w:rFonts w:ascii="Times New Roman" w:hAnsi="Times New Roman" w:cs="Times New Roman"/>
          <w:vertAlign w:val="subscript"/>
        </w:rPr>
        <w:t>6</w:t>
      </w:r>
      <w:r>
        <w:rPr>
          <w:rFonts w:ascii="Times New Roman" w:hAnsi="Times New Roman" w:cs="Times New Roman"/>
        </w:rPr>
        <w:t>O</w:t>
      </w:r>
      <w:r>
        <w:rPr>
          <w:rFonts w:ascii="Times New Roman" w:hAnsi="Times New Roman" w:cs="Times New Roman"/>
          <w:vertAlign w:val="subscript"/>
        </w:rPr>
        <w:t>18</w:t>
      </w: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).Ca.4H</w:t>
      </w:r>
      <w:r>
        <w:rPr>
          <w:rFonts w:ascii="Times New Roman" w:hAnsi="Times New Roman" w:cs="Times New Roman"/>
          <w:vertAlign w:val="subscript"/>
        </w:rPr>
        <w:t>2</w:t>
      </w:r>
      <w:r>
        <w:rPr>
          <w:rFonts w:ascii="Times New Roman" w:hAnsi="Times New Roman" w:cs="Times New Roman"/>
        </w:rPr>
        <w:t>O.</w:t>
      </w:r>
      <w:r>
        <w:rPr>
          <w:rFonts w:ascii="Times New Roman" w:hAnsi="Times New Roman" w:cs="Times New Roman"/>
          <w:color w:val="000000"/>
        </w:rPr>
        <w:t xml:space="preserve"> The factors that influence the way in which C-S-H is formed include the degree of hydration, curing temperature and certain chemical and mineral admixtures. Several models have been used to explain the properties that arise from C-S-H, one of which is the Powers-Brunauer model proposing that the material has a layer structure with a very high surface area and material strength attributed to van der Waals’ forces [19]. Whereas the Feldman-Sereda model suggests that C-S-H comprises of a random, irregular and kinked collection of layers arranged in a </w:t>
      </w:r>
      <w:proofErr w:type="gramStart"/>
      <w:r>
        <w:rPr>
          <w:rFonts w:ascii="Times New Roman" w:hAnsi="Times New Roman" w:cs="Times New Roman"/>
          <w:color w:val="000000"/>
        </w:rPr>
        <w:t>manner which</w:t>
      </w:r>
      <w:proofErr w:type="gramEnd"/>
      <w:r>
        <w:rPr>
          <w:rFonts w:ascii="Times New Roman" w:hAnsi="Times New Roman" w:cs="Times New Roman"/>
          <w:color w:val="000000"/>
        </w:rPr>
        <w:t xml:space="preserve"> creates interlayer spaces of varying size [20]. There are many other models compiled over the past 55 years, describing the nanostructure of the C-S-H in cements, which according Richardson [21] share a lot of similarities, with the consensus that the phases include elements of tobermite and jennite structure. The development of the C-S-H phase during hydration is showing in Figure 2.6 by Scrivener [22]. The formed C-S-H emits spines from each grain, which are forced to interlock when the C-S-H hydrates further. This interlocking creates solid bonds, and coats the C-S-H. The cement grains then bond together with this coating.</w:t>
      </w:r>
    </w:p>
    <w:p w14:paraId="2588C6DA" w14:textId="0B4162DA" w:rsidR="00020920" w:rsidRDefault="00020920" w:rsidP="003D5839">
      <w:pPr>
        <w:spacing w:after="120" w:line="360" w:lineRule="auto"/>
        <w:jc w:val="both"/>
        <w:rPr>
          <w:rFonts w:ascii="Times New Roman" w:hAnsi="Times New Roman" w:cs="Times New Roman"/>
          <w:color w:val="000000"/>
        </w:rPr>
      </w:pPr>
      <w:r>
        <w:rPr>
          <w:rFonts w:ascii="Times New Roman" w:hAnsi="Times New Roman" w:cs="Times New Roman"/>
          <w:color w:val="000000"/>
        </w:rPr>
        <w:t>These hydration reactions release energy increasing the temperature in the system; this is known as the heat of hydration.</w:t>
      </w:r>
      <w:r w:rsidRPr="00D43629">
        <w:rPr>
          <w:rFonts w:ascii="Times New Roman" w:hAnsi="Times New Roman" w:cs="Times New Roman"/>
        </w:rPr>
        <w:t xml:space="preserve"> </w:t>
      </w:r>
      <w:r>
        <w:rPr>
          <w:rFonts w:ascii="Times New Roman" w:hAnsi="Times New Roman" w:cs="Times New Roman"/>
        </w:rPr>
        <w:t>This</w:t>
      </w:r>
      <w:r w:rsidRPr="00D43629">
        <w:rPr>
          <w:rFonts w:ascii="Times New Roman" w:hAnsi="Times New Roman" w:cs="Times New Roman"/>
        </w:rPr>
        <w:t xml:space="preserve"> heat causes the c</w:t>
      </w:r>
      <w:r>
        <w:rPr>
          <w:rFonts w:ascii="Times New Roman" w:hAnsi="Times New Roman" w:cs="Times New Roman"/>
        </w:rPr>
        <w:t>ement to expand and then</w:t>
      </w:r>
      <w:r w:rsidRPr="00D43629">
        <w:rPr>
          <w:rFonts w:ascii="Times New Roman" w:hAnsi="Times New Roman" w:cs="Times New Roman"/>
        </w:rPr>
        <w:t xml:space="preserve"> shrink as it cools. If </w:t>
      </w:r>
      <w:r>
        <w:rPr>
          <w:rFonts w:ascii="Times New Roman" w:hAnsi="Times New Roman" w:cs="Times New Roman"/>
        </w:rPr>
        <w:t xml:space="preserve">there </w:t>
      </w:r>
      <w:r w:rsidRPr="00D43629">
        <w:rPr>
          <w:rFonts w:ascii="Times New Roman" w:hAnsi="Times New Roman" w:cs="Times New Roman"/>
        </w:rPr>
        <w:t xml:space="preserve">is a temperature gradient across the </w:t>
      </w:r>
      <w:r>
        <w:rPr>
          <w:rFonts w:ascii="Times New Roman" w:hAnsi="Times New Roman" w:cs="Times New Roman"/>
        </w:rPr>
        <w:t xml:space="preserve">cement, </w:t>
      </w:r>
      <w:r w:rsidRPr="00D43629">
        <w:rPr>
          <w:rFonts w:ascii="Times New Roman" w:hAnsi="Times New Roman" w:cs="Times New Roman"/>
        </w:rPr>
        <w:t>cracking may occur</w:t>
      </w:r>
      <w:r>
        <w:rPr>
          <w:rFonts w:ascii="Times New Roman" w:hAnsi="Times New Roman" w:cs="Times New Roman"/>
        </w:rPr>
        <w:t xml:space="preserve"> [10]. This would compromise the suitability for the cement as a </w:t>
      </w:r>
      <w:proofErr w:type="gramStart"/>
      <w:r>
        <w:rPr>
          <w:rFonts w:ascii="Times New Roman" w:hAnsi="Times New Roman" w:cs="Times New Roman"/>
        </w:rPr>
        <w:t>long term</w:t>
      </w:r>
      <w:proofErr w:type="gramEnd"/>
      <w:r>
        <w:rPr>
          <w:rFonts w:ascii="Times New Roman" w:hAnsi="Times New Roman" w:cs="Times New Roman"/>
        </w:rPr>
        <w:t xml:space="preserve"> waste encapsulant and therefore must be avoided.</w:t>
      </w:r>
    </w:p>
    <w:p w14:paraId="7EB9C85D" w14:textId="1C3DC464" w:rsidR="003D5839" w:rsidRPr="00020920" w:rsidRDefault="003D5839" w:rsidP="00020920">
      <w:pPr>
        <w:spacing w:after="120" w:line="360" w:lineRule="auto"/>
        <w:ind w:left="-851"/>
        <w:jc w:val="center"/>
        <w:rPr>
          <w:rFonts w:ascii="Times New Roman" w:hAnsi="Times New Roman" w:cs="Times New Roman"/>
          <w:color w:val="000000"/>
        </w:rPr>
      </w:pPr>
      <w:r>
        <w:rPr>
          <w:noProof/>
        </w:rPr>
        <w:lastRenderedPageBreak/>
        <w:drawing>
          <wp:inline distT="0" distB="0" distL="0" distR="0" wp14:anchorId="1C8961C1" wp14:editId="5D77E0EF">
            <wp:extent cx="6737350" cy="3681730"/>
            <wp:effectExtent l="25400" t="25400" r="1905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6737350" cy="3681730"/>
                    </a:xfrm>
                    <a:prstGeom prst="rect">
                      <a:avLst/>
                    </a:prstGeom>
                    <a:ln>
                      <a:solidFill>
                        <a:schemeClr val="tx1"/>
                      </a:solidFill>
                    </a:ln>
                  </pic:spPr>
                </pic:pic>
              </a:graphicData>
            </a:graphic>
          </wp:inline>
        </w:drawing>
      </w:r>
      <w:r w:rsidR="00A82394">
        <w:rPr>
          <w:rFonts w:ascii="Times New Roman" w:hAnsi="Times New Roman" w:cs="Times New Roman"/>
          <w:color w:val="000000"/>
        </w:rPr>
        <w:tab/>
      </w:r>
      <w:r w:rsidR="00A82394">
        <w:rPr>
          <w:rFonts w:ascii="Times New Roman" w:hAnsi="Times New Roman" w:cs="Times New Roman"/>
          <w:color w:val="000000"/>
        </w:rPr>
        <w:tab/>
      </w:r>
      <w:r w:rsidRPr="00684EFE">
        <w:rPr>
          <w:rFonts w:ascii="Times New Roman" w:hAnsi="Times New Roman" w:cs="Times New Roman"/>
          <w:b/>
          <w:color w:val="000000"/>
        </w:rPr>
        <w:t>Figure 2.6</w:t>
      </w:r>
      <w:r>
        <w:rPr>
          <w:rFonts w:ascii="Times New Roman" w:hAnsi="Times New Roman" w:cs="Times New Roman"/>
          <w:b/>
          <w:color w:val="000000"/>
        </w:rPr>
        <w:t xml:space="preserve">: </w:t>
      </w:r>
      <w:r>
        <w:rPr>
          <w:rFonts w:ascii="Times New Roman" w:hAnsi="Times New Roman" w:cs="Times New Roman"/>
          <w:color w:val="000000"/>
        </w:rPr>
        <w:t>Microstructure development during the hydration of Portland cement [</w:t>
      </w:r>
      <w:r w:rsidR="00524B14">
        <w:rPr>
          <w:rFonts w:ascii="Times New Roman" w:hAnsi="Times New Roman" w:cs="Times New Roman"/>
          <w:color w:val="000000"/>
        </w:rPr>
        <w:t>22</w:t>
      </w:r>
      <w:r>
        <w:rPr>
          <w:rFonts w:ascii="Times New Roman" w:hAnsi="Times New Roman" w:cs="Times New Roman"/>
          <w:color w:val="000000"/>
        </w:rPr>
        <w:t>].</w:t>
      </w:r>
    </w:p>
    <w:p w14:paraId="526EE881" w14:textId="77777777" w:rsidR="003D5839" w:rsidRDefault="003D5839" w:rsidP="003D5839">
      <w:pPr>
        <w:spacing w:after="120" w:line="360" w:lineRule="auto"/>
        <w:jc w:val="both"/>
        <w:rPr>
          <w:rFonts w:ascii="Times New Roman" w:hAnsi="Times New Roman" w:cs="Times New Roman"/>
          <w:b/>
          <w:color w:val="000000"/>
        </w:rPr>
      </w:pPr>
    </w:p>
    <w:p w14:paraId="03DA767B" w14:textId="77777777" w:rsidR="003D5839" w:rsidRDefault="003D5839" w:rsidP="003D5839">
      <w:pPr>
        <w:spacing w:after="120" w:line="360" w:lineRule="auto"/>
        <w:jc w:val="both"/>
        <w:rPr>
          <w:rFonts w:ascii="Times New Roman" w:hAnsi="Times New Roman" w:cs="Times New Roman"/>
          <w:color w:val="000000"/>
        </w:rPr>
      </w:pPr>
      <w:r w:rsidRPr="008A5DFF">
        <w:rPr>
          <w:rFonts w:ascii="Times New Roman" w:hAnsi="Times New Roman" w:cs="Times New Roman"/>
          <w:b/>
          <w:color w:val="000000"/>
        </w:rPr>
        <w:t>i</w:t>
      </w:r>
      <w:r>
        <w:rPr>
          <w:rFonts w:ascii="Times New Roman" w:hAnsi="Times New Roman" w:cs="Times New Roman"/>
          <w:b/>
          <w:color w:val="000000"/>
        </w:rPr>
        <w:t>i</w:t>
      </w:r>
      <w:r w:rsidRPr="008A5DFF">
        <w:rPr>
          <w:rFonts w:ascii="Times New Roman" w:hAnsi="Times New Roman" w:cs="Times New Roman"/>
          <w:b/>
          <w:color w:val="000000"/>
        </w:rPr>
        <w:t>.</w:t>
      </w:r>
      <w:r>
        <w:rPr>
          <w:rFonts w:ascii="Times New Roman" w:hAnsi="Times New Roman" w:cs="Times New Roman"/>
          <w:color w:val="000000"/>
        </w:rPr>
        <w:tab/>
        <w:t xml:space="preserve">Portlandite (Calcium Hydroxide </w:t>
      </w:r>
      <w:proofErr w:type="gramStart"/>
      <w:r>
        <w:rPr>
          <w:rFonts w:ascii="Times New Roman" w:hAnsi="Times New Roman" w:cs="Times New Roman"/>
          <w:color w:val="000000"/>
        </w:rPr>
        <w:t>Ca(</w:t>
      </w:r>
      <w:proofErr w:type="gramEnd"/>
      <w:r>
        <w:rPr>
          <w:rFonts w:ascii="Times New Roman" w:hAnsi="Times New Roman" w:cs="Times New Roman"/>
          <w:color w:val="000000"/>
        </w:rPr>
        <w:t>OH)</w:t>
      </w:r>
      <w:r>
        <w:rPr>
          <w:rFonts w:ascii="Times New Roman" w:hAnsi="Times New Roman" w:cs="Times New Roman"/>
          <w:color w:val="000000"/>
          <w:vertAlign w:val="subscript"/>
        </w:rPr>
        <w:t>2</w:t>
      </w:r>
      <w:r>
        <w:rPr>
          <w:rFonts w:ascii="Times New Roman" w:hAnsi="Times New Roman" w:cs="Times New Roman"/>
          <w:color w:val="000000"/>
        </w:rPr>
        <w:t xml:space="preserve">) </w:t>
      </w:r>
    </w:p>
    <w:p w14:paraId="6F000973" w14:textId="08A3F9E9" w:rsidR="003D5839" w:rsidRDefault="003D5839" w:rsidP="003D5839">
      <w:pPr>
        <w:spacing w:after="120" w:line="360" w:lineRule="auto"/>
        <w:jc w:val="both"/>
        <w:rPr>
          <w:rFonts w:ascii="Times New Roman" w:hAnsi="Times New Roman" w:cs="Times New Roman"/>
          <w:color w:val="000000"/>
        </w:rPr>
      </w:pPr>
      <w:r>
        <w:rPr>
          <w:rFonts w:ascii="Times New Roman" w:hAnsi="Times New Roman" w:cs="Times New Roman"/>
          <w:color w:val="000000"/>
        </w:rPr>
        <w:t>The portlandite phase contributes to 20wt% of the final cement waste form [23]. Generally portlandite forms large crystals with distinctive hexagonal-prism morphology and a diameter of several tens of micrometres, evenly distributed within the hardened paste [18]. The crystal structure consists of octahedrally coordinated calcium ion layers and tetrahedrally coordinated oxygen layers. During hydration the crystals continually grow larger within water-filled voids and at times engulf areas</w:t>
      </w:r>
      <w:r w:rsidR="00F7125C">
        <w:rPr>
          <w:rFonts w:ascii="Times New Roman" w:hAnsi="Times New Roman" w:cs="Times New Roman"/>
          <w:color w:val="000000"/>
        </w:rPr>
        <w:t xml:space="preserve"> of     C-S-H thus limiting further </w:t>
      </w:r>
      <w:r>
        <w:rPr>
          <w:rFonts w:ascii="Times New Roman" w:hAnsi="Times New Roman" w:cs="Times New Roman"/>
          <w:color w:val="000000"/>
        </w:rPr>
        <w:t xml:space="preserve">hydration [23]. </w:t>
      </w:r>
    </w:p>
    <w:p w14:paraId="6F776687" w14:textId="77777777" w:rsidR="003D5839" w:rsidRDefault="003D5839" w:rsidP="003D5839">
      <w:pPr>
        <w:spacing w:after="120" w:line="360" w:lineRule="auto"/>
        <w:jc w:val="both"/>
        <w:rPr>
          <w:rFonts w:ascii="Times New Roman" w:hAnsi="Times New Roman" w:cs="Times New Roman"/>
          <w:color w:val="000000"/>
        </w:rPr>
      </w:pPr>
      <w:r>
        <w:rPr>
          <w:rFonts w:ascii="Times New Roman" w:hAnsi="Times New Roman" w:cs="Times New Roman"/>
          <w:color w:val="000000"/>
        </w:rPr>
        <w:t xml:space="preserve">The contribution to the strength of the final cement form is relatively less than that of C-S-H due to the significantly lower surface area. This phase is highly alkaline and if leached in water can increase the pH of the leachate significantly. </w:t>
      </w:r>
    </w:p>
    <w:p w14:paraId="52A53CA8" w14:textId="77777777" w:rsidR="003D5839" w:rsidRDefault="003D5839" w:rsidP="003D5839">
      <w:pPr>
        <w:spacing w:after="120" w:line="360" w:lineRule="auto"/>
        <w:jc w:val="both"/>
        <w:rPr>
          <w:rFonts w:ascii="Times New Roman" w:hAnsi="Times New Roman" w:cs="Times New Roman"/>
          <w:color w:val="000000"/>
        </w:rPr>
      </w:pPr>
    </w:p>
    <w:p w14:paraId="2814DD5D" w14:textId="77777777" w:rsidR="003D5839" w:rsidRDefault="003D5839" w:rsidP="003D5839">
      <w:pPr>
        <w:spacing w:after="120" w:line="360" w:lineRule="auto"/>
        <w:jc w:val="both"/>
        <w:rPr>
          <w:rFonts w:ascii="Times New Roman" w:hAnsi="Times New Roman" w:cs="Times New Roman"/>
        </w:rPr>
      </w:pPr>
      <w:r w:rsidRPr="006C6716">
        <w:rPr>
          <w:rFonts w:ascii="Times New Roman" w:hAnsi="Times New Roman" w:cs="Times New Roman"/>
          <w:b/>
          <w:color w:val="000000"/>
        </w:rPr>
        <w:t>iii.</w:t>
      </w:r>
      <w:r>
        <w:rPr>
          <w:rFonts w:ascii="Times New Roman" w:hAnsi="Times New Roman" w:cs="Times New Roman"/>
          <w:color w:val="000000"/>
        </w:rPr>
        <w:tab/>
      </w:r>
      <w:r>
        <w:rPr>
          <w:rFonts w:ascii="Times New Roman" w:hAnsi="Times New Roman" w:cs="Times New Roman"/>
        </w:rPr>
        <w:t xml:space="preserve">AFt/AFm phases </w:t>
      </w:r>
    </w:p>
    <w:p w14:paraId="437CF494" w14:textId="4A3C3C1E" w:rsidR="003D5839" w:rsidRPr="00045D41" w:rsidRDefault="003D5839" w:rsidP="003D5839">
      <w:pPr>
        <w:pStyle w:val="NormalWeb"/>
        <w:spacing w:line="360" w:lineRule="auto"/>
        <w:jc w:val="both"/>
        <w:rPr>
          <w:rFonts w:cs="Arial"/>
          <w:b/>
          <w:i/>
          <w:sz w:val="24"/>
          <w:szCs w:val="24"/>
        </w:rPr>
      </w:pPr>
      <w:r>
        <w:rPr>
          <w:rFonts w:ascii="Times New Roman" w:hAnsi="Times New Roman"/>
          <w:sz w:val="24"/>
        </w:rPr>
        <w:t xml:space="preserve">The AFt and AFm phases are also formed during hydration. In </w:t>
      </w:r>
      <w:r w:rsidR="00E85025">
        <w:rPr>
          <w:rFonts w:ascii="Times New Roman" w:hAnsi="Times New Roman"/>
          <w:sz w:val="24"/>
        </w:rPr>
        <w:t>PC</w:t>
      </w:r>
      <w:r>
        <w:rPr>
          <w:rFonts w:ascii="Times New Roman" w:hAnsi="Times New Roman"/>
          <w:sz w:val="24"/>
        </w:rPr>
        <w:t xml:space="preserve">, the most commonly found AFt and AFm phases are ettringite and monosulphate, respectively. The general formula for AFt is </w:t>
      </w:r>
      <w:r w:rsidRPr="00CD6687">
        <w:rPr>
          <w:rFonts w:ascii="Times New Roman" w:hAnsi="Times New Roman"/>
          <w:sz w:val="24"/>
        </w:rPr>
        <w:t>[</w:t>
      </w:r>
      <w:proofErr w:type="gramStart"/>
      <w:r w:rsidRPr="00CD6687">
        <w:rPr>
          <w:rFonts w:ascii="Times New Roman" w:hAnsi="Times New Roman"/>
          <w:sz w:val="24"/>
          <w:szCs w:val="24"/>
        </w:rPr>
        <w:t>Ca</w:t>
      </w:r>
      <w:r w:rsidR="00704D64">
        <w:rPr>
          <w:rFonts w:ascii="Times New Roman" w:hAnsi="Times New Roman"/>
          <w:sz w:val="24"/>
          <w:szCs w:val="24"/>
          <w:vertAlign w:val="subscript"/>
        </w:rPr>
        <w:t>6</w:t>
      </w:r>
      <w:r w:rsidRPr="00CD6687">
        <w:rPr>
          <w:rFonts w:ascii="Times New Roman" w:hAnsi="Times New Roman"/>
          <w:sz w:val="24"/>
          <w:szCs w:val="24"/>
        </w:rPr>
        <w:t>(</w:t>
      </w:r>
      <w:proofErr w:type="gramEnd"/>
      <w:r w:rsidRPr="00CD6687">
        <w:rPr>
          <w:rFonts w:ascii="Times New Roman" w:hAnsi="Times New Roman"/>
          <w:sz w:val="24"/>
          <w:szCs w:val="24"/>
        </w:rPr>
        <w:t>Al,Fe)(OH)</w:t>
      </w:r>
      <w:r>
        <w:rPr>
          <w:rFonts w:ascii="Times New Roman" w:hAnsi="Times New Roman"/>
          <w:sz w:val="24"/>
          <w:szCs w:val="24"/>
          <w:vertAlign w:val="subscript"/>
        </w:rPr>
        <w:t>6</w:t>
      </w:r>
      <w:r w:rsidRPr="00CD6687">
        <w:rPr>
          <w:rFonts w:ascii="Times New Roman" w:hAnsi="Times New Roman"/>
          <w:sz w:val="24"/>
          <w:szCs w:val="24"/>
        </w:rPr>
        <w:t>·12H</w:t>
      </w:r>
      <w:r>
        <w:rPr>
          <w:rFonts w:ascii="Times New Roman" w:hAnsi="Times New Roman"/>
          <w:sz w:val="24"/>
          <w:szCs w:val="24"/>
          <w:vertAlign w:val="subscript"/>
        </w:rPr>
        <w:t>2</w:t>
      </w:r>
      <w:r w:rsidRPr="00CD6687">
        <w:rPr>
          <w:rFonts w:ascii="Times New Roman" w:hAnsi="Times New Roman"/>
          <w:sz w:val="24"/>
          <w:szCs w:val="24"/>
        </w:rPr>
        <w:t>O]</w:t>
      </w:r>
      <w:r>
        <w:rPr>
          <w:rFonts w:ascii="Times New Roman" w:hAnsi="Times New Roman"/>
          <w:sz w:val="24"/>
          <w:szCs w:val="24"/>
          <w:vertAlign w:val="subscript"/>
        </w:rPr>
        <w:t>2</w:t>
      </w:r>
      <w:r w:rsidRPr="00CD6687">
        <w:rPr>
          <w:rFonts w:ascii="Times New Roman" w:hAnsi="Times New Roman"/>
          <w:sz w:val="24"/>
          <w:szCs w:val="24"/>
        </w:rPr>
        <w:t>·X</w:t>
      </w:r>
      <w:r>
        <w:rPr>
          <w:rFonts w:ascii="Times New Roman" w:hAnsi="Times New Roman"/>
          <w:sz w:val="24"/>
          <w:szCs w:val="24"/>
          <w:vertAlign w:val="subscript"/>
        </w:rPr>
        <w:t>3</w:t>
      </w:r>
      <w:r>
        <w:rPr>
          <w:rFonts w:ascii="Times New Roman" w:hAnsi="Times New Roman"/>
          <w:sz w:val="24"/>
          <w:szCs w:val="24"/>
        </w:rPr>
        <w:t>·n</w:t>
      </w:r>
      <w:r w:rsidRPr="00CD6687">
        <w:rPr>
          <w:rFonts w:ascii="Times New Roman" w:hAnsi="Times New Roman"/>
          <w:sz w:val="24"/>
          <w:szCs w:val="24"/>
        </w:rPr>
        <w:t>H</w:t>
      </w:r>
      <w:r>
        <w:rPr>
          <w:rFonts w:ascii="Times New Roman" w:hAnsi="Times New Roman"/>
          <w:sz w:val="24"/>
          <w:szCs w:val="24"/>
          <w:vertAlign w:val="subscript"/>
        </w:rPr>
        <w:t>2</w:t>
      </w:r>
      <w:r w:rsidRPr="00CD6687">
        <w:rPr>
          <w:rFonts w:ascii="Times New Roman" w:hAnsi="Times New Roman"/>
          <w:sz w:val="24"/>
          <w:szCs w:val="24"/>
        </w:rPr>
        <w:t>O</w:t>
      </w:r>
      <w:r>
        <w:rPr>
          <w:rFonts w:ascii="Times New Roman" w:hAnsi="Times New Roman"/>
          <w:sz w:val="24"/>
          <w:szCs w:val="24"/>
        </w:rPr>
        <w:t xml:space="preserve">, X represents a doubly charged anion or two </w:t>
      </w:r>
      <w:r>
        <w:rPr>
          <w:rFonts w:ascii="Times New Roman" w:hAnsi="Times New Roman"/>
          <w:sz w:val="24"/>
          <w:szCs w:val="24"/>
        </w:rPr>
        <w:lastRenderedPageBreak/>
        <w:t xml:space="preserve">single charged anions and </w:t>
      </w:r>
      <w:r w:rsidRPr="009246A9">
        <w:rPr>
          <w:rFonts w:ascii="Times New Roman" w:hAnsi="Times New Roman"/>
          <w:sz w:val="24"/>
          <w:szCs w:val="24"/>
        </w:rPr>
        <w:t>n</w:t>
      </w:r>
      <w:r>
        <w:rPr>
          <w:rFonts w:ascii="Times New Roman" w:hAnsi="Times New Roman"/>
          <w:sz w:val="24"/>
          <w:szCs w:val="24"/>
        </w:rPr>
        <w:t xml:space="preserve"> </w:t>
      </w:r>
      <w:r w:rsidRPr="009246A9">
        <w:rPr>
          <w:rFonts w:ascii="Times New Roman" w:hAnsi="Times New Roman"/>
          <w:sz w:val="24"/>
          <w:szCs w:val="24"/>
        </w:rPr>
        <w:t>≤</w:t>
      </w:r>
      <w:r>
        <w:rPr>
          <w:rFonts w:ascii="Times New Roman" w:hAnsi="Times New Roman"/>
          <w:sz w:val="24"/>
          <w:szCs w:val="24"/>
        </w:rPr>
        <w:t xml:space="preserve"> 2 [23]. According to Benst</w:t>
      </w:r>
      <w:r w:rsidR="005D6BCD">
        <w:rPr>
          <w:rFonts w:ascii="Times New Roman" w:hAnsi="Times New Roman"/>
          <w:sz w:val="24"/>
          <w:szCs w:val="24"/>
        </w:rPr>
        <w:t>ed and Barnes [23</w:t>
      </w:r>
      <w:r>
        <w:rPr>
          <w:rFonts w:ascii="Times New Roman" w:hAnsi="Times New Roman"/>
          <w:sz w:val="24"/>
          <w:szCs w:val="24"/>
        </w:rPr>
        <w:t xml:space="preserve">] ettringite is the first stable hydration product, with its formation dependant on the presence of sulphate ions available for </w:t>
      </w:r>
      <w:r w:rsidR="00704D64">
        <w:rPr>
          <w:rFonts w:ascii="Times New Roman" w:hAnsi="Times New Roman"/>
          <w:sz w:val="24"/>
          <w:szCs w:val="24"/>
        </w:rPr>
        <w:t>reaction</w:t>
      </w:r>
      <w:r>
        <w:rPr>
          <w:rFonts w:ascii="Times New Roman" w:hAnsi="Times New Roman"/>
          <w:sz w:val="24"/>
          <w:szCs w:val="24"/>
        </w:rPr>
        <w:t>. In ettringite X = SO</w:t>
      </w:r>
      <w:r>
        <w:rPr>
          <w:rFonts w:ascii="Times New Roman" w:hAnsi="Times New Roman"/>
          <w:sz w:val="24"/>
          <w:szCs w:val="24"/>
          <w:vertAlign w:val="subscript"/>
        </w:rPr>
        <w:t>4</w:t>
      </w:r>
      <w:r>
        <w:rPr>
          <w:rFonts w:ascii="Times New Roman" w:hAnsi="Times New Roman"/>
          <w:sz w:val="24"/>
          <w:szCs w:val="24"/>
          <w:vertAlign w:val="superscript"/>
        </w:rPr>
        <w:t>2-</w:t>
      </w:r>
      <w:r>
        <w:rPr>
          <w:rFonts w:ascii="Times New Roman" w:hAnsi="Times New Roman"/>
          <w:sz w:val="24"/>
          <w:szCs w:val="24"/>
        </w:rPr>
        <w:t xml:space="preserve">, and as three are required this is where the tri-sulphate is derived from. These sulphate ions are held in along with the </w:t>
      </w:r>
      <w:r w:rsidRPr="00D1495A">
        <w:rPr>
          <w:rFonts w:ascii="Times New Roman" w:hAnsi="Times New Roman"/>
          <w:sz w:val="24"/>
          <w:szCs w:val="24"/>
        </w:rPr>
        <w:t>H</w:t>
      </w:r>
      <w:r>
        <w:rPr>
          <w:rFonts w:ascii="Times New Roman" w:hAnsi="Times New Roman"/>
          <w:sz w:val="24"/>
          <w:szCs w:val="24"/>
          <w:vertAlign w:val="subscript"/>
        </w:rPr>
        <w:t>2</w:t>
      </w:r>
      <w:r>
        <w:rPr>
          <w:rFonts w:ascii="Times New Roman" w:hAnsi="Times New Roman"/>
          <w:sz w:val="24"/>
          <w:szCs w:val="24"/>
        </w:rPr>
        <w:t xml:space="preserve">O molecules </w:t>
      </w:r>
      <w:r w:rsidRPr="00D1495A">
        <w:rPr>
          <w:rFonts w:ascii="Times New Roman" w:hAnsi="Times New Roman"/>
          <w:sz w:val="24"/>
          <w:szCs w:val="24"/>
        </w:rPr>
        <w:t>in</w:t>
      </w:r>
      <w:r>
        <w:rPr>
          <w:rFonts w:ascii="Times New Roman" w:hAnsi="Times New Roman"/>
          <w:sz w:val="24"/>
          <w:szCs w:val="24"/>
        </w:rPr>
        <w:t xml:space="preserve"> the channels created by the (</w:t>
      </w:r>
      <w:r w:rsidRPr="009D5307">
        <w:rPr>
          <w:rFonts w:ascii="Times New Roman" w:hAnsi="Times New Roman"/>
          <w:sz w:val="24"/>
          <w:szCs w:val="24"/>
        </w:rPr>
        <w:t>Ca</w:t>
      </w:r>
      <w:r>
        <w:rPr>
          <w:rFonts w:ascii="Times New Roman" w:hAnsi="Times New Roman"/>
          <w:sz w:val="24"/>
          <w:szCs w:val="24"/>
          <w:vertAlign w:val="subscript"/>
        </w:rPr>
        <w:t>6</w:t>
      </w:r>
      <w:r>
        <w:rPr>
          <w:rFonts w:ascii="Times New Roman" w:hAnsi="Times New Roman"/>
          <w:sz w:val="24"/>
          <w:szCs w:val="24"/>
        </w:rPr>
        <w:t xml:space="preserve"> </w:t>
      </w:r>
      <w:r w:rsidRPr="009D5307">
        <w:rPr>
          <w:rFonts w:ascii="Times New Roman" w:hAnsi="Times New Roman"/>
          <w:sz w:val="24"/>
          <w:szCs w:val="24"/>
        </w:rPr>
        <w:t>[</w:t>
      </w:r>
      <w:proofErr w:type="gramStart"/>
      <w:r w:rsidRPr="009D5307">
        <w:rPr>
          <w:rFonts w:ascii="Times New Roman" w:hAnsi="Times New Roman"/>
          <w:sz w:val="24"/>
          <w:szCs w:val="24"/>
        </w:rPr>
        <w:t>Al(</w:t>
      </w:r>
      <w:proofErr w:type="gramEnd"/>
      <w:r w:rsidRPr="009D5307">
        <w:rPr>
          <w:rFonts w:ascii="Times New Roman" w:hAnsi="Times New Roman"/>
          <w:sz w:val="24"/>
          <w:szCs w:val="24"/>
        </w:rPr>
        <w:t>OH)</w:t>
      </w:r>
      <w:r>
        <w:rPr>
          <w:rFonts w:ascii="Times New Roman" w:hAnsi="Times New Roman"/>
          <w:sz w:val="24"/>
          <w:szCs w:val="24"/>
          <w:vertAlign w:val="subscript"/>
        </w:rPr>
        <w:t>6</w:t>
      </w:r>
      <w:r w:rsidRPr="009D5307">
        <w:rPr>
          <w:rFonts w:ascii="Times New Roman" w:hAnsi="Times New Roman"/>
          <w:sz w:val="24"/>
          <w:szCs w:val="24"/>
        </w:rPr>
        <w:t>]</w:t>
      </w:r>
      <w:r>
        <w:rPr>
          <w:rFonts w:ascii="Times New Roman" w:hAnsi="Times New Roman"/>
          <w:sz w:val="24"/>
          <w:szCs w:val="24"/>
          <w:vertAlign w:val="subscript"/>
        </w:rPr>
        <w:t>2</w:t>
      </w:r>
      <w:r w:rsidRPr="009D5307">
        <w:rPr>
          <w:rFonts w:ascii="Times New Roman" w:hAnsi="Times New Roman"/>
          <w:sz w:val="24"/>
          <w:szCs w:val="24"/>
        </w:rPr>
        <w:t>.24H</w:t>
      </w:r>
      <w:r>
        <w:rPr>
          <w:rFonts w:ascii="Times New Roman" w:hAnsi="Times New Roman"/>
          <w:sz w:val="24"/>
          <w:szCs w:val="24"/>
          <w:vertAlign w:val="subscript"/>
        </w:rPr>
        <w:t>2</w:t>
      </w:r>
      <w:r>
        <w:rPr>
          <w:rFonts w:ascii="Times New Roman" w:hAnsi="Times New Roman"/>
          <w:sz w:val="24"/>
          <w:szCs w:val="24"/>
        </w:rPr>
        <w:t>O)</w:t>
      </w:r>
      <w:r>
        <w:rPr>
          <w:rFonts w:ascii="Times New Roman" w:hAnsi="Times New Roman"/>
          <w:sz w:val="24"/>
          <w:szCs w:val="24"/>
          <w:vertAlign w:val="superscript"/>
        </w:rPr>
        <w:t>6+</w:t>
      </w:r>
      <w:r>
        <w:rPr>
          <w:rFonts w:ascii="Times New Roman" w:hAnsi="Times New Roman"/>
          <w:sz w:val="24"/>
          <w:szCs w:val="24"/>
        </w:rPr>
        <w:t xml:space="preserve"> as shown in Figure 2.7 a and b</w:t>
      </w:r>
      <w:r w:rsidR="00DE7DA3">
        <w:rPr>
          <w:rFonts w:ascii="Times New Roman" w:hAnsi="Times New Roman"/>
          <w:sz w:val="24"/>
          <w:szCs w:val="24"/>
        </w:rPr>
        <w:t xml:space="preserve">. </w:t>
      </w:r>
      <w:r>
        <w:rPr>
          <w:rFonts w:ascii="Times New Roman" w:hAnsi="Times New Roman"/>
          <w:sz w:val="24"/>
          <w:szCs w:val="24"/>
        </w:rPr>
        <w:t xml:space="preserve">The columns are made up of </w:t>
      </w:r>
      <w:proofErr w:type="gramStart"/>
      <w:r>
        <w:rPr>
          <w:rFonts w:ascii="Times New Roman" w:hAnsi="Times New Roman"/>
          <w:sz w:val="24"/>
          <w:szCs w:val="24"/>
        </w:rPr>
        <w:t>Al(</w:t>
      </w:r>
      <w:proofErr w:type="gramEnd"/>
      <w:r>
        <w:rPr>
          <w:rFonts w:ascii="Times New Roman" w:hAnsi="Times New Roman"/>
          <w:sz w:val="24"/>
          <w:szCs w:val="24"/>
        </w:rPr>
        <w:t>OH)</w:t>
      </w:r>
      <w:r>
        <w:rPr>
          <w:rFonts w:ascii="Times New Roman" w:hAnsi="Times New Roman"/>
          <w:sz w:val="24"/>
          <w:szCs w:val="24"/>
          <w:vertAlign w:val="subscript"/>
        </w:rPr>
        <w:t>6</w:t>
      </w:r>
      <w:r w:rsidRPr="000D3A66">
        <w:rPr>
          <w:rFonts w:ascii="Times New Roman" w:hAnsi="Times New Roman"/>
          <w:sz w:val="24"/>
          <w:szCs w:val="24"/>
        </w:rPr>
        <w:t xml:space="preserve"> octahedra alternating with </w:t>
      </w:r>
      <w:r>
        <w:rPr>
          <w:rFonts w:ascii="Times New Roman" w:hAnsi="Times New Roman"/>
          <w:sz w:val="24"/>
          <w:szCs w:val="24"/>
        </w:rPr>
        <w:t xml:space="preserve">groups of </w:t>
      </w:r>
      <w:r w:rsidRPr="000D3A66">
        <w:rPr>
          <w:rFonts w:ascii="Times New Roman" w:hAnsi="Times New Roman"/>
          <w:sz w:val="24"/>
          <w:szCs w:val="24"/>
        </w:rPr>
        <w:t>triang</w:t>
      </w:r>
      <w:r>
        <w:rPr>
          <w:rFonts w:ascii="Times New Roman" w:hAnsi="Times New Roman"/>
          <w:sz w:val="24"/>
          <w:szCs w:val="24"/>
        </w:rPr>
        <w:t>ular edge-sharing CaO</w:t>
      </w:r>
      <w:r>
        <w:rPr>
          <w:rFonts w:ascii="Times New Roman" w:hAnsi="Times New Roman"/>
          <w:sz w:val="24"/>
          <w:szCs w:val="24"/>
          <w:vertAlign w:val="subscript"/>
        </w:rPr>
        <w:t>8</w:t>
      </w:r>
      <w:r w:rsidRPr="000D3A66">
        <w:rPr>
          <w:rFonts w:ascii="Times New Roman" w:hAnsi="Times New Roman"/>
          <w:sz w:val="24"/>
          <w:szCs w:val="24"/>
        </w:rPr>
        <w:t xml:space="preserve"> po</w:t>
      </w:r>
      <w:r>
        <w:rPr>
          <w:rFonts w:ascii="Times New Roman" w:hAnsi="Times New Roman"/>
          <w:sz w:val="24"/>
          <w:szCs w:val="24"/>
        </w:rPr>
        <w:t>ly</w:t>
      </w:r>
      <w:r w:rsidRPr="000D3A66">
        <w:rPr>
          <w:rFonts w:ascii="Times New Roman" w:hAnsi="Times New Roman"/>
          <w:sz w:val="24"/>
          <w:szCs w:val="24"/>
        </w:rPr>
        <w:t>hedra.</w:t>
      </w:r>
      <w:r>
        <w:rPr>
          <w:rFonts w:ascii="Times New Roman" w:hAnsi="Times New Roman"/>
          <w:sz w:val="24"/>
          <w:szCs w:val="24"/>
        </w:rPr>
        <w:t xml:space="preserve"> This forms a need</w:t>
      </w:r>
      <w:r w:rsidR="00124542">
        <w:rPr>
          <w:rFonts w:ascii="Times New Roman" w:hAnsi="Times New Roman"/>
          <w:sz w:val="24"/>
          <w:szCs w:val="24"/>
        </w:rPr>
        <w:t>le</w:t>
      </w:r>
      <w:r>
        <w:rPr>
          <w:rFonts w:ascii="Times New Roman" w:hAnsi="Times New Roman"/>
          <w:sz w:val="24"/>
          <w:szCs w:val="24"/>
        </w:rPr>
        <w:t xml:space="preserve">-like morphology, these needles interlock and take up significant amounts of water, leading to the stiffening of the cement and contributing to the early strength. There is a possibility of partial substitution of </w:t>
      </w:r>
      <w:r w:rsidR="00DE7DA3">
        <w:rPr>
          <w:rFonts w:ascii="Times New Roman" w:hAnsi="Times New Roman"/>
          <w:sz w:val="24"/>
          <w:szCs w:val="24"/>
        </w:rPr>
        <w:t>the OH</w:t>
      </w:r>
      <w:r w:rsidR="00DE7DA3">
        <w:rPr>
          <w:rFonts w:ascii="Times New Roman" w:hAnsi="Times New Roman"/>
          <w:sz w:val="24"/>
          <w:szCs w:val="24"/>
          <w:vertAlign w:val="superscript"/>
        </w:rPr>
        <w:t>-</w:t>
      </w:r>
      <w:r w:rsidR="00DE7DA3">
        <w:rPr>
          <w:rFonts w:ascii="Times New Roman" w:hAnsi="Times New Roman"/>
          <w:sz w:val="24"/>
          <w:szCs w:val="24"/>
        </w:rPr>
        <w:t xml:space="preserve"> and SO</w:t>
      </w:r>
      <w:r w:rsidR="00DE7DA3">
        <w:rPr>
          <w:rFonts w:ascii="Times New Roman" w:hAnsi="Times New Roman"/>
          <w:sz w:val="24"/>
          <w:szCs w:val="24"/>
          <w:vertAlign w:val="subscript"/>
        </w:rPr>
        <w:t>4</w:t>
      </w:r>
      <w:r w:rsidR="00DE7DA3">
        <w:rPr>
          <w:rFonts w:ascii="Times New Roman" w:hAnsi="Times New Roman"/>
          <w:sz w:val="24"/>
          <w:szCs w:val="24"/>
          <w:vertAlign w:val="superscript"/>
        </w:rPr>
        <w:t>2-</w:t>
      </w:r>
      <w:r w:rsidR="00DE7DA3">
        <w:rPr>
          <w:rFonts w:ascii="Times New Roman" w:hAnsi="Times New Roman"/>
          <w:sz w:val="24"/>
          <w:szCs w:val="24"/>
        </w:rPr>
        <w:t xml:space="preserve"> ions, </w:t>
      </w:r>
      <w:r>
        <w:rPr>
          <w:rFonts w:ascii="Times New Roman" w:hAnsi="Times New Roman"/>
          <w:sz w:val="24"/>
          <w:szCs w:val="24"/>
        </w:rPr>
        <w:t>therefore it is difficult to say that the ex</w:t>
      </w:r>
      <w:r w:rsidR="002A3F3A">
        <w:rPr>
          <w:rFonts w:ascii="Times New Roman" w:hAnsi="Times New Roman"/>
          <w:sz w:val="24"/>
          <w:szCs w:val="24"/>
        </w:rPr>
        <w:t>act stoichiometry will always present the</w:t>
      </w:r>
      <w:r>
        <w:rPr>
          <w:rFonts w:ascii="Times New Roman" w:hAnsi="Times New Roman"/>
          <w:sz w:val="24"/>
          <w:szCs w:val="24"/>
        </w:rPr>
        <w:t xml:space="preserve"> ettringite</w:t>
      </w:r>
      <w:r w:rsidR="002A3F3A">
        <w:rPr>
          <w:rFonts w:ascii="Times New Roman" w:hAnsi="Times New Roman"/>
          <w:sz w:val="24"/>
          <w:szCs w:val="24"/>
        </w:rPr>
        <w:t xml:space="preserve"> form</w:t>
      </w:r>
      <w:r>
        <w:rPr>
          <w:rFonts w:ascii="Times New Roman" w:hAnsi="Times New Roman"/>
          <w:sz w:val="24"/>
          <w:szCs w:val="24"/>
        </w:rPr>
        <w:t xml:space="preserve">, as a result ettringite in </w:t>
      </w:r>
      <w:r w:rsidR="00E85025">
        <w:rPr>
          <w:rFonts w:ascii="Times New Roman" w:hAnsi="Times New Roman"/>
          <w:sz w:val="24"/>
          <w:szCs w:val="24"/>
        </w:rPr>
        <w:t>PC</w:t>
      </w:r>
      <w:r>
        <w:rPr>
          <w:rFonts w:ascii="Times New Roman" w:hAnsi="Times New Roman"/>
          <w:sz w:val="24"/>
          <w:szCs w:val="24"/>
        </w:rPr>
        <w:t xml:space="preserve"> is referre</w:t>
      </w:r>
      <w:r w:rsidR="005D6BCD">
        <w:rPr>
          <w:rFonts w:ascii="Times New Roman" w:hAnsi="Times New Roman"/>
          <w:sz w:val="24"/>
          <w:szCs w:val="24"/>
        </w:rPr>
        <w:t>d to as an AFt [24</w:t>
      </w:r>
      <w:r>
        <w:rPr>
          <w:rFonts w:ascii="Times New Roman" w:hAnsi="Times New Roman"/>
          <w:sz w:val="24"/>
          <w:szCs w:val="24"/>
        </w:rPr>
        <w:t xml:space="preserve">] as opposed to ettringite. </w:t>
      </w:r>
    </w:p>
    <w:p w14:paraId="2BBFA9A8" w14:textId="77777777" w:rsidR="003D5839" w:rsidRDefault="003D5839" w:rsidP="003D5839">
      <w:pPr>
        <w:spacing w:after="120"/>
        <w:ind w:left="-284"/>
        <w:jc w:val="center"/>
        <w:rPr>
          <w:noProof/>
          <w:lang w:eastAsia="en-GB"/>
        </w:rPr>
      </w:pPr>
      <w:r w:rsidRPr="00445657">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5AFD1706" wp14:editId="3A693817">
                <wp:simplePos x="0" y="0"/>
                <wp:positionH relativeFrom="column">
                  <wp:posOffset>114300</wp:posOffset>
                </wp:positionH>
                <wp:positionV relativeFrom="paragraph">
                  <wp:posOffset>3314700</wp:posOffset>
                </wp:positionV>
                <wp:extent cx="6060440" cy="414655"/>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0440" cy="414655"/>
                        </a:xfrm>
                        <a:prstGeom prst="rect">
                          <a:avLst/>
                        </a:prstGeom>
                        <a:noFill/>
                        <a:ln w="9525">
                          <a:noFill/>
                          <a:miter lim="800000"/>
                          <a:headEnd/>
                          <a:tailEnd/>
                        </a:ln>
                      </wps:spPr>
                      <wps:txbx>
                        <w:txbxContent>
                          <w:p w14:paraId="3431FBC1" w14:textId="77777777" w:rsidR="00906C0E" w:rsidRPr="005E6743" w:rsidRDefault="00906C0E" w:rsidP="003D5839">
                            <w:pPr>
                              <w:rPr>
                                <w:rFonts w:ascii="Times New Roman" w:hAnsi="Times New Roman" w:cs="Times New Roman"/>
                                <w:b/>
                              </w:rPr>
                            </w:pPr>
                            <w:r>
                              <w:rPr>
                                <w:rFonts w:ascii="Times New Roman" w:hAnsi="Times New Roman" w:cs="Times New Roman"/>
                                <w:b/>
                              </w:rPr>
                              <w:t xml:space="preserve">                                (a)</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sidRPr="005E6743">
                              <w:rPr>
                                <w:rFonts w:ascii="Times New Roman" w:hAnsi="Times New Roman" w:cs="Times New Roman"/>
                                <w:b/>
                              </w:rPr>
                              <w:t xml:space="preserve">         </w:t>
                            </w:r>
                            <w:r>
                              <w:rPr>
                                <w:rFonts w:ascii="Times New Roman" w:hAnsi="Times New Roman" w:cs="Times New Roman"/>
                                <w:b/>
                              </w:rPr>
                              <w:t xml:space="preserve">   </w:t>
                            </w:r>
                            <w:r w:rsidRPr="005E6743">
                              <w:rPr>
                                <w:rFonts w:ascii="Times New Roman" w:hAnsi="Times New Roman" w:cs="Times New Roman"/>
                                <w:b/>
                              </w:rPr>
                              <w:t xml:space="preserve"> </w:t>
                            </w:r>
                            <w:r>
                              <w:rPr>
                                <w:rFonts w:ascii="Times New Roman" w:hAnsi="Times New Roman" w:cs="Times New Roman"/>
                                <w:b/>
                              </w:rPr>
                              <w:t xml:space="preserve">    </w:t>
                            </w:r>
                            <w:r w:rsidRPr="005E6743">
                              <w:rPr>
                                <w:rFonts w:ascii="Times New Roman" w:hAnsi="Times New Roman" w:cs="Times New Roman"/>
                                <w:b/>
                              </w:rPr>
                              <w:t>(</w:t>
                            </w:r>
                            <w:proofErr w:type="gramStart"/>
                            <w:r w:rsidRPr="005E6743">
                              <w:rPr>
                                <w:rFonts w:ascii="Times New Roman" w:hAnsi="Times New Roman" w:cs="Times New Roman"/>
                                <w:b/>
                              </w:rPr>
                              <w:t>b</w:t>
                            </w:r>
                            <w:proofErr w:type="gramEnd"/>
                            <w:r w:rsidRPr="005E6743">
                              <w:rPr>
                                <w:rFonts w:ascii="Times New Roman" w:hAnsi="Times New Roman" w:cs="Times New Roman"/>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left:0;text-align:left;margin-left:9pt;margin-top:261pt;width:477.2pt;height:32.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" filled="f" stroked="f">
                <v:textbox>
                  <w:txbxContent>
                    <w:p w14:paraId="3431FBC1" w14:textId="77777777" w:rsidR="00906C0E" w:rsidRPr="005E6743" w:rsidRDefault="00906C0E" w:rsidP="003D5839">
                      <w:pPr>
                        <w:rPr>
                          <w:rFonts w:ascii="Times New Roman" w:hAnsi="Times New Roman" w:cs="Times New Roman"/>
                          <w:b/>
                        </w:rPr>
                      </w:pPr>
                      <w:r>
                        <w:rPr>
                          <w:rFonts w:ascii="Times New Roman" w:hAnsi="Times New Roman" w:cs="Times New Roman"/>
                          <w:b/>
                        </w:rPr>
                        <w:t xml:space="preserve">                                (a)</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sidRPr="005E6743">
                        <w:rPr>
                          <w:rFonts w:ascii="Times New Roman" w:hAnsi="Times New Roman" w:cs="Times New Roman"/>
                          <w:b/>
                        </w:rPr>
                        <w:t xml:space="preserve">         </w:t>
                      </w:r>
                      <w:r>
                        <w:rPr>
                          <w:rFonts w:ascii="Times New Roman" w:hAnsi="Times New Roman" w:cs="Times New Roman"/>
                          <w:b/>
                        </w:rPr>
                        <w:t xml:space="preserve">   </w:t>
                      </w:r>
                      <w:r w:rsidRPr="005E6743">
                        <w:rPr>
                          <w:rFonts w:ascii="Times New Roman" w:hAnsi="Times New Roman" w:cs="Times New Roman"/>
                          <w:b/>
                        </w:rPr>
                        <w:t xml:space="preserve"> </w:t>
                      </w:r>
                      <w:r>
                        <w:rPr>
                          <w:rFonts w:ascii="Times New Roman" w:hAnsi="Times New Roman" w:cs="Times New Roman"/>
                          <w:b/>
                        </w:rPr>
                        <w:t xml:space="preserve">    </w:t>
                      </w:r>
                      <w:r w:rsidRPr="005E6743">
                        <w:rPr>
                          <w:rFonts w:ascii="Times New Roman" w:hAnsi="Times New Roman" w:cs="Times New Roman"/>
                          <w:b/>
                        </w:rPr>
                        <w:t>(</w:t>
                      </w:r>
                      <w:proofErr w:type="gramStart"/>
                      <w:r w:rsidRPr="005E6743">
                        <w:rPr>
                          <w:rFonts w:ascii="Times New Roman" w:hAnsi="Times New Roman" w:cs="Times New Roman"/>
                          <w:b/>
                        </w:rPr>
                        <w:t>b</w:t>
                      </w:r>
                      <w:proofErr w:type="gramEnd"/>
                      <w:r w:rsidRPr="005E6743">
                        <w:rPr>
                          <w:rFonts w:ascii="Times New Roman" w:hAnsi="Times New Roman" w:cs="Times New Roman"/>
                          <w:b/>
                        </w:rPr>
                        <w:t>)</w:t>
                      </w:r>
                    </w:p>
                  </w:txbxContent>
                </v:textbox>
              </v:shape>
            </w:pict>
          </mc:Fallback>
        </mc:AlternateContent>
      </w:r>
      <w:r>
        <w:rPr>
          <w:noProof/>
        </w:rPr>
        <w:drawing>
          <wp:inline distT="0" distB="0" distL="0" distR="0" wp14:anchorId="7199AE4F" wp14:editId="2FC0F261">
            <wp:extent cx="5344795" cy="3559810"/>
            <wp:effectExtent l="25400" t="25400" r="14605" b="215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3378" b="-8450"/>
                    <a:stretch/>
                  </pic:blipFill>
                  <pic:spPr bwMode="auto">
                    <a:xfrm>
                      <a:off x="0" y="0"/>
                      <a:ext cx="5345567" cy="356032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2DC6E57" w14:textId="77777777" w:rsidR="003D5839" w:rsidRPr="00EE417F" w:rsidRDefault="003D5839" w:rsidP="003D5839">
      <w:pPr>
        <w:spacing w:after="120"/>
        <w:jc w:val="center"/>
        <w:rPr>
          <w:rFonts w:ascii="Times-Roman" w:hAnsi="Times-Roman" w:cs="Times-Roman"/>
          <w:color w:val="000000"/>
          <w:sz w:val="20"/>
          <w:szCs w:val="20"/>
        </w:rPr>
      </w:pPr>
      <w:r>
        <w:rPr>
          <w:rFonts w:ascii="Times New Roman" w:hAnsi="Times New Roman" w:cs="Times New Roman"/>
          <w:b/>
        </w:rPr>
        <w:t xml:space="preserve">Figure 2.7: </w:t>
      </w:r>
      <w:r w:rsidRPr="00684EFE">
        <w:rPr>
          <w:rFonts w:ascii="Times New Roman" w:hAnsi="Times New Roman" w:cs="Times New Roman"/>
        </w:rPr>
        <w:t>(a) Schematic of AFt column structure (b) Part of a single column</w:t>
      </w:r>
      <w:r>
        <w:rPr>
          <w:rFonts w:ascii="Times New Roman" w:hAnsi="Times New Roman" w:cs="Times New Roman"/>
          <w:b/>
        </w:rPr>
        <w:t xml:space="preserve"> </w:t>
      </w:r>
      <w:r>
        <w:rPr>
          <w:rFonts w:ascii="Times New Roman" w:hAnsi="Times New Roman" w:cs="Times New Roman"/>
          <w:b/>
          <w:i/>
        </w:rPr>
        <w:br/>
      </w:r>
      <w:r w:rsidRPr="00EE417F">
        <w:rPr>
          <w:rFonts w:ascii="Times New Roman" w:hAnsi="Times New Roman" w:cs="Times New Roman"/>
        </w:rPr>
        <w:t>(</w:t>
      </w:r>
      <w:r w:rsidRPr="00EE417F">
        <w:rPr>
          <w:rFonts w:ascii="Times-Roman" w:hAnsi="Times-Roman" w:cs="Times-Roman"/>
          <w:color w:val="000000"/>
        </w:rPr>
        <w:t xml:space="preserve">A </w:t>
      </w:r>
      <w:r w:rsidRPr="00EE417F">
        <w:rPr>
          <w:rFonts w:ascii="Helvetica" w:hAnsi="Helvetica" w:cs="Helvetica"/>
          <w:color w:val="000000"/>
        </w:rPr>
        <w:t xml:space="preserve">= </w:t>
      </w:r>
      <w:r w:rsidRPr="00EE417F">
        <w:rPr>
          <w:rFonts w:ascii="Times-Roman" w:hAnsi="Times-Roman" w:cs="Times-Roman"/>
          <w:color w:val="000000"/>
        </w:rPr>
        <w:t xml:space="preserve">Al, C </w:t>
      </w:r>
      <w:r w:rsidRPr="00EE417F">
        <w:rPr>
          <w:rFonts w:ascii="Helvetica" w:hAnsi="Helvetica" w:cs="Helvetica"/>
          <w:color w:val="000000"/>
        </w:rPr>
        <w:t xml:space="preserve">= </w:t>
      </w:r>
      <w:r w:rsidRPr="00EE417F">
        <w:rPr>
          <w:rFonts w:ascii="Times-Roman" w:hAnsi="Times-Roman" w:cs="Times-Roman"/>
          <w:color w:val="000000"/>
        </w:rPr>
        <w:t xml:space="preserve">Ca, H </w:t>
      </w:r>
      <w:r w:rsidRPr="00EE417F">
        <w:rPr>
          <w:rFonts w:ascii="Helvetica" w:hAnsi="Helvetica" w:cs="Helvetica"/>
          <w:color w:val="000000"/>
        </w:rPr>
        <w:t xml:space="preserve">= </w:t>
      </w:r>
      <w:r w:rsidRPr="00EE417F">
        <w:rPr>
          <w:rFonts w:ascii="Helvetica" w:hAnsi="Helvetica" w:cs="Helvetica"/>
          <w:iCs/>
          <w:color w:val="000000"/>
        </w:rPr>
        <w:t xml:space="preserve">O </w:t>
      </w:r>
      <w:r w:rsidRPr="00EE417F">
        <w:rPr>
          <w:rFonts w:ascii="Times-Roman" w:hAnsi="Times-Roman" w:cs="Times-Roman"/>
          <w:color w:val="000000"/>
        </w:rPr>
        <w:t xml:space="preserve">of an OH group, W </w:t>
      </w:r>
      <w:r w:rsidRPr="00EE417F">
        <w:rPr>
          <w:rFonts w:ascii="Helvetica" w:hAnsi="Helvetica" w:cs="Helvetica"/>
          <w:color w:val="000000"/>
        </w:rPr>
        <w:t xml:space="preserve">= </w:t>
      </w:r>
      <w:r w:rsidRPr="00EE417F">
        <w:rPr>
          <w:rFonts w:ascii="Helvetica" w:hAnsi="Helvetica" w:cs="Helvetica"/>
          <w:iCs/>
          <w:color w:val="000000"/>
        </w:rPr>
        <w:t xml:space="preserve">O </w:t>
      </w:r>
      <w:r w:rsidRPr="00EE417F">
        <w:rPr>
          <w:rFonts w:ascii="Times-Roman" w:hAnsi="Times-Roman" w:cs="Times-Roman"/>
          <w:color w:val="000000"/>
        </w:rPr>
        <w:t>of an H</w:t>
      </w:r>
      <w:r w:rsidRPr="00EE417F">
        <w:rPr>
          <w:rFonts w:ascii="Times-Roman" w:hAnsi="Times-Roman" w:cs="Times-Roman"/>
          <w:color w:val="000000"/>
          <w:vertAlign w:val="subscript"/>
        </w:rPr>
        <w:t>2</w:t>
      </w:r>
      <w:r w:rsidRPr="00EE417F">
        <w:rPr>
          <w:rFonts w:ascii="Times-Roman" w:hAnsi="Times-Roman" w:cs="Times-Roman"/>
          <w:color w:val="000000"/>
        </w:rPr>
        <w:t>O molecule.)</w:t>
      </w:r>
      <w:r>
        <w:rPr>
          <w:rFonts w:ascii="Times-Roman" w:hAnsi="Times-Roman" w:cs="Times-Roman"/>
          <w:color w:val="000000"/>
        </w:rPr>
        <w:t>[25</w:t>
      </w:r>
      <w:r w:rsidRPr="00EE417F">
        <w:rPr>
          <w:rFonts w:ascii="Times-Roman" w:hAnsi="Times-Roman" w:cs="Times-Roman"/>
          <w:color w:val="000000"/>
        </w:rPr>
        <w:t>]</w:t>
      </w:r>
      <w:r>
        <w:rPr>
          <w:rFonts w:ascii="Times-Roman" w:hAnsi="Times-Roman" w:cs="Times-Roman"/>
          <w:color w:val="000000"/>
          <w:sz w:val="20"/>
          <w:szCs w:val="20"/>
        </w:rPr>
        <w:br/>
      </w:r>
    </w:p>
    <w:p w14:paraId="4DFD886E" w14:textId="553E8E44" w:rsidR="003D5839" w:rsidRDefault="003D5839" w:rsidP="003D5839">
      <w:pPr>
        <w:spacing w:after="120" w:line="360" w:lineRule="auto"/>
        <w:jc w:val="both"/>
        <w:rPr>
          <w:rFonts w:ascii="Times New Roman" w:hAnsi="Times New Roman" w:cs="Times New Roman"/>
        </w:rPr>
      </w:pPr>
      <w:r>
        <w:rPr>
          <w:rFonts w:ascii="Times New Roman" w:hAnsi="Times New Roman" w:cs="Times New Roman"/>
        </w:rPr>
        <w:t xml:space="preserve">The ettringite concentration reaches its maximum after about 1 day, as shown in Figure 2.5, at which point the concentration of sulphate has </w:t>
      </w:r>
      <w:r w:rsidR="00E12E35">
        <w:rPr>
          <w:rFonts w:ascii="Times New Roman" w:hAnsi="Times New Roman" w:cs="Times New Roman"/>
        </w:rPr>
        <w:t>been</w:t>
      </w:r>
      <w:r>
        <w:rPr>
          <w:rFonts w:ascii="Times New Roman" w:hAnsi="Times New Roman" w:cs="Times New Roman"/>
        </w:rPr>
        <w:t xml:space="preserve"> reduced and as a result mono-sulphate (AFm) begins forming. This phase has the general formula (</w:t>
      </w:r>
      <w:proofErr w:type="gramStart"/>
      <w:r>
        <w:rPr>
          <w:rFonts w:ascii="Times New Roman" w:hAnsi="Times New Roman" w:cs="Times New Roman"/>
        </w:rPr>
        <w:t>Ca</w:t>
      </w:r>
      <w:r>
        <w:rPr>
          <w:rFonts w:ascii="Times New Roman" w:hAnsi="Times New Roman" w:cs="Times New Roman"/>
          <w:vertAlign w:val="subscript"/>
        </w:rPr>
        <w:t>2</w:t>
      </w:r>
      <w:r>
        <w:rPr>
          <w:rFonts w:ascii="Times New Roman" w:hAnsi="Times New Roman" w:cs="Times New Roman"/>
        </w:rPr>
        <w:t>(</w:t>
      </w:r>
      <w:proofErr w:type="gramEnd"/>
      <w:r>
        <w:rPr>
          <w:rFonts w:ascii="Times New Roman" w:hAnsi="Times New Roman" w:cs="Times New Roman"/>
        </w:rPr>
        <w:t>Al,Fe)(OH)</w:t>
      </w:r>
      <w:r>
        <w:rPr>
          <w:rFonts w:ascii="Times New Roman" w:hAnsi="Times New Roman" w:cs="Times New Roman"/>
          <w:vertAlign w:val="subscript"/>
        </w:rPr>
        <w:t>6</w:t>
      </w:r>
      <w:r>
        <w:rPr>
          <w:rFonts w:ascii="Times New Roman" w:hAnsi="Times New Roman" w:cs="Times New Roman"/>
        </w:rPr>
        <w:t>)∙X∙nH</w:t>
      </w:r>
      <w:r>
        <w:rPr>
          <w:rFonts w:ascii="Times New Roman" w:hAnsi="Times New Roman" w:cs="Times New Roman"/>
          <w:vertAlign w:val="subscript"/>
        </w:rPr>
        <w:t>2</w:t>
      </w:r>
      <w:r>
        <w:rPr>
          <w:rFonts w:ascii="Times New Roman" w:hAnsi="Times New Roman" w:cs="Times New Roman"/>
        </w:rPr>
        <w:t xml:space="preserve">O. </w:t>
      </w:r>
      <w:r w:rsidR="006D30C7">
        <w:rPr>
          <w:rFonts w:ascii="Times New Roman" w:hAnsi="Times New Roman" w:cs="Times New Roman"/>
        </w:rPr>
        <w:t xml:space="preserve">X </w:t>
      </w:r>
      <w:r w:rsidR="002A3F3A">
        <w:rPr>
          <w:rFonts w:ascii="Times New Roman" w:hAnsi="Times New Roman" w:cs="Times New Roman"/>
        </w:rPr>
        <w:t>represents</w:t>
      </w:r>
      <w:r>
        <w:rPr>
          <w:rFonts w:ascii="Times New Roman" w:hAnsi="Times New Roman" w:cs="Times New Roman"/>
        </w:rPr>
        <w:t xml:space="preserve"> </w:t>
      </w:r>
      <w:r w:rsidR="006D30C7">
        <w:rPr>
          <w:rFonts w:ascii="Times New Roman" w:hAnsi="Times New Roman" w:cs="Times New Roman"/>
        </w:rPr>
        <w:t xml:space="preserve">a formula unit of a singly charged anion such as </w:t>
      </w:r>
      <w:r>
        <w:rPr>
          <w:rFonts w:ascii="Times New Roman" w:hAnsi="Times New Roman" w:cs="Times New Roman"/>
        </w:rPr>
        <w:t>OH</w:t>
      </w:r>
      <w:r>
        <w:rPr>
          <w:rFonts w:ascii="Times New Roman" w:hAnsi="Times New Roman" w:cs="Times New Roman"/>
          <w:vertAlign w:val="superscript"/>
        </w:rPr>
        <w:t>-</w:t>
      </w:r>
      <w:r>
        <w:rPr>
          <w:rFonts w:ascii="Times New Roman" w:hAnsi="Times New Roman" w:cs="Times New Roman"/>
        </w:rPr>
        <w:t xml:space="preserve">, </w:t>
      </w:r>
      <w:r w:rsidR="006D30C7">
        <w:rPr>
          <w:rFonts w:ascii="Times New Roman" w:hAnsi="Times New Roman" w:cs="Times New Roman"/>
        </w:rPr>
        <w:t>or half a unit of a doubly charged uni</w:t>
      </w:r>
      <w:r w:rsidR="007B7504">
        <w:rPr>
          <w:rFonts w:ascii="Times New Roman" w:hAnsi="Times New Roman" w:cs="Times New Roman"/>
        </w:rPr>
        <w:t>t</w:t>
      </w:r>
      <w:r w:rsidR="006D30C7">
        <w:rPr>
          <w:rFonts w:ascii="Times New Roman" w:hAnsi="Times New Roman" w:cs="Times New Roman"/>
        </w:rPr>
        <w:t xml:space="preserve"> such as </w:t>
      </w:r>
      <w:r>
        <w:rPr>
          <w:rFonts w:ascii="Times New Roman" w:hAnsi="Times New Roman" w:cs="Times New Roman"/>
        </w:rPr>
        <w:t>CO</w:t>
      </w:r>
      <w:r>
        <w:rPr>
          <w:rFonts w:ascii="Times New Roman" w:hAnsi="Times New Roman" w:cs="Times New Roman"/>
          <w:vertAlign w:val="subscript"/>
        </w:rPr>
        <w:t>3</w:t>
      </w:r>
      <w:r>
        <w:rPr>
          <w:rFonts w:ascii="Times New Roman" w:hAnsi="Times New Roman" w:cs="Times New Roman"/>
          <w:vertAlign w:val="superscript"/>
        </w:rPr>
        <w:t>2-</w:t>
      </w:r>
      <w:r w:rsidR="006D30C7">
        <w:rPr>
          <w:rFonts w:ascii="Times New Roman" w:hAnsi="Times New Roman" w:cs="Times New Roman"/>
        </w:rPr>
        <w:t xml:space="preserve">, </w:t>
      </w:r>
      <w:r>
        <w:rPr>
          <w:rFonts w:ascii="Times New Roman" w:hAnsi="Times New Roman" w:cs="Times New Roman"/>
        </w:rPr>
        <w:t xml:space="preserve">within </w:t>
      </w:r>
      <w:r w:rsidR="00E85025">
        <w:rPr>
          <w:rFonts w:ascii="Times New Roman" w:hAnsi="Times New Roman" w:cs="Times New Roman"/>
        </w:rPr>
        <w:t>PC</w:t>
      </w:r>
      <w:r>
        <w:rPr>
          <w:rFonts w:ascii="Times New Roman" w:hAnsi="Times New Roman" w:cs="Times New Roman"/>
        </w:rPr>
        <w:t xml:space="preserve"> usually X=SO</w:t>
      </w:r>
      <w:r>
        <w:rPr>
          <w:rFonts w:ascii="Times New Roman" w:hAnsi="Times New Roman" w:cs="Times New Roman"/>
          <w:vertAlign w:val="subscript"/>
        </w:rPr>
        <w:t>4</w:t>
      </w:r>
      <w:r>
        <w:rPr>
          <w:rFonts w:ascii="Times New Roman" w:hAnsi="Times New Roman" w:cs="Times New Roman"/>
          <w:vertAlign w:val="superscript"/>
        </w:rPr>
        <w:t>2-</w:t>
      </w:r>
      <w:r>
        <w:rPr>
          <w:rFonts w:ascii="Times New Roman" w:hAnsi="Times New Roman" w:cs="Times New Roman"/>
        </w:rPr>
        <w:t xml:space="preserve">, however a mixture of various AFm phases can be formed within one cement matrix; this is dependent on the atmosphere in </w:t>
      </w:r>
      <w:r>
        <w:rPr>
          <w:rFonts w:ascii="Times New Roman" w:hAnsi="Times New Roman" w:cs="Times New Roman"/>
        </w:rPr>
        <w:lastRenderedPageBreak/>
        <w:t>which the cement hydrates</w:t>
      </w:r>
      <w:r w:rsidR="001B3382">
        <w:rPr>
          <w:rFonts w:ascii="Times New Roman" w:hAnsi="Times New Roman" w:cs="Times New Roman"/>
        </w:rPr>
        <w:t xml:space="preserve">. </w:t>
      </w:r>
      <w:r>
        <w:rPr>
          <w:rFonts w:ascii="Times New Roman" w:hAnsi="Times New Roman" w:cs="Times New Roman"/>
        </w:rPr>
        <w:t>This is because there is a solid solution due to the isostructrual relationship between C</w:t>
      </w:r>
      <w:r>
        <w:rPr>
          <w:rFonts w:ascii="Times New Roman" w:hAnsi="Times New Roman" w:cs="Times New Roman"/>
          <w:vertAlign w:val="subscript"/>
        </w:rPr>
        <w:t>4</w:t>
      </w:r>
      <w:r>
        <w:rPr>
          <w:rFonts w:ascii="Times New Roman" w:hAnsi="Times New Roman" w:cs="Times New Roman"/>
        </w:rPr>
        <w:t>A</w:t>
      </w:r>
      <w:r w:rsidR="005A6D2A">
        <w:rPr>
          <w:rFonts w:ascii="Times New Roman" w:hAnsi="Times New Roman" w:cs="Times New Roman"/>
          <w:b/>
          <w:color w:val="000000"/>
        </w:rPr>
        <w:t>$</w:t>
      </w:r>
      <w:r>
        <w:rPr>
          <w:rFonts w:ascii="Times New Roman" w:hAnsi="Times New Roman" w:cs="Times New Roman"/>
        </w:rPr>
        <w:t>H</w:t>
      </w:r>
      <w:r>
        <w:rPr>
          <w:rFonts w:ascii="Times New Roman" w:hAnsi="Times New Roman" w:cs="Times New Roman"/>
          <w:vertAlign w:val="subscript"/>
        </w:rPr>
        <w:t>12</w:t>
      </w:r>
      <w:r>
        <w:rPr>
          <w:rFonts w:ascii="Times New Roman" w:hAnsi="Times New Roman" w:cs="Times New Roman"/>
        </w:rPr>
        <w:t xml:space="preserve"> and C</w:t>
      </w:r>
      <w:r>
        <w:rPr>
          <w:rFonts w:ascii="Times New Roman" w:hAnsi="Times New Roman" w:cs="Times New Roman"/>
          <w:vertAlign w:val="subscript"/>
        </w:rPr>
        <w:t>4</w:t>
      </w:r>
      <w:r>
        <w:rPr>
          <w:rFonts w:ascii="Times New Roman" w:hAnsi="Times New Roman" w:cs="Times New Roman"/>
        </w:rPr>
        <w:t>AH</w:t>
      </w:r>
      <w:r>
        <w:rPr>
          <w:rFonts w:ascii="Times New Roman" w:hAnsi="Times New Roman" w:cs="Times New Roman"/>
          <w:vertAlign w:val="subscript"/>
        </w:rPr>
        <w:t>13</w:t>
      </w:r>
      <w:r>
        <w:rPr>
          <w:rFonts w:ascii="Times New Roman" w:hAnsi="Times New Roman" w:cs="Times New Roman"/>
        </w:rPr>
        <w:t xml:space="preserve"> in which the ions SO</w:t>
      </w:r>
      <w:r>
        <w:rPr>
          <w:rFonts w:ascii="Times New Roman" w:hAnsi="Times New Roman" w:cs="Times New Roman"/>
          <w:vertAlign w:val="subscript"/>
        </w:rPr>
        <w:t>4</w:t>
      </w:r>
      <w:r>
        <w:rPr>
          <w:rFonts w:ascii="Times New Roman" w:hAnsi="Times New Roman" w:cs="Times New Roman"/>
          <w:vertAlign w:val="superscript"/>
        </w:rPr>
        <w:t>2-</w:t>
      </w:r>
      <w:r>
        <w:rPr>
          <w:rFonts w:ascii="Times New Roman" w:hAnsi="Times New Roman" w:cs="Times New Roman"/>
        </w:rPr>
        <w:t xml:space="preserve"> and 2OH</w:t>
      </w:r>
      <w:r>
        <w:rPr>
          <w:rFonts w:ascii="Times New Roman" w:hAnsi="Times New Roman" w:cs="Times New Roman"/>
          <w:vertAlign w:val="superscript"/>
        </w:rPr>
        <w:t>-</w:t>
      </w:r>
      <w:r>
        <w:rPr>
          <w:rFonts w:ascii="Times New Roman" w:hAnsi="Times New Roman" w:cs="Times New Roman"/>
        </w:rPr>
        <w:t xml:space="preserve"> occupy the interlayer positions in a</w:t>
      </w:r>
      <w:r w:rsidR="003377E4">
        <w:rPr>
          <w:rFonts w:ascii="Times New Roman" w:hAnsi="Times New Roman" w:cs="Times New Roman"/>
        </w:rPr>
        <w:t xml:space="preserve"> disorganised</w:t>
      </w:r>
      <w:r>
        <w:rPr>
          <w:rFonts w:ascii="Times New Roman" w:hAnsi="Times New Roman" w:cs="Times New Roman"/>
        </w:rPr>
        <w:t xml:space="preserve"> way.</w:t>
      </w:r>
      <w:r w:rsidR="008B76AC">
        <w:rPr>
          <w:rFonts w:ascii="Times New Roman" w:hAnsi="Times New Roman" w:cs="Times New Roman"/>
        </w:rPr>
        <w:t xml:space="preserve"> </w:t>
      </w:r>
      <w:r w:rsidR="001B3382">
        <w:rPr>
          <w:rFonts w:ascii="Times New Roman" w:hAnsi="Times New Roman" w:cs="Times New Roman"/>
        </w:rPr>
        <w:t xml:space="preserve">During </w:t>
      </w:r>
      <w:r w:rsidR="00D51D90">
        <w:rPr>
          <w:rFonts w:ascii="Times New Roman" w:hAnsi="Times New Roman" w:cs="Times New Roman"/>
        </w:rPr>
        <w:t>preparation</w:t>
      </w:r>
      <w:r w:rsidR="001B3382">
        <w:rPr>
          <w:rFonts w:ascii="Times New Roman" w:hAnsi="Times New Roman" w:cs="Times New Roman"/>
        </w:rPr>
        <w:t xml:space="preserve"> the cement could be carbonated and as a result the CO</w:t>
      </w:r>
      <w:r w:rsidR="001B3382">
        <w:rPr>
          <w:rFonts w:ascii="Times New Roman" w:hAnsi="Times New Roman" w:cs="Times New Roman"/>
          <w:vertAlign w:val="subscript"/>
        </w:rPr>
        <w:t>3</w:t>
      </w:r>
      <w:r w:rsidR="001B3382">
        <w:rPr>
          <w:rFonts w:ascii="Times New Roman" w:hAnsi="Times New Roman" w:cs="Times New Roman"/>
          <w:vertAlign w:val="superscript"/>
        </w:rPr>
        <w:t>2-</w:t>
      </w:r>
      <w:r w:rsidR="001B3382">
        <w:rPr>
          <w:rFonts w:ascii="Times New Roman" w:hAnsi="Times New Roman" w:cs="Times New Roman"/>
        </w:rPr>
        <w:t xml:space="preserve"> could substitute </w:t>
      </w:r>
      <w:r w:rsidR="00F5141E">
        <w:rPr>
          <w:rFonts w:ascii="Times New Roman" w:hAnsi="Times New Roman" w:cs="Times New Roman"/>
        </w:rPr>
        <w:t xml:space="preserve">with </w:t>
      </w:r>
      <w:r w:rsidR="001B3382">
        <w:rPr>
          <w:rFonts w:ascii="Times New Roman" w:hAnsi="Times New Roman" w:cs="Times New Roman"/>
        </w:rPr>
        <w:t>the OH</w:t>
      </w:r>
      <w:r w:rsidR="001B3382">
        <w:rPr>
          <w:rFonts w:ascii="Times New Roman" w:hAnsi="Times New Roman" w:cs="Times New Roman"/>
          <w:vertAlign w:val="superscript"/>
        </w:rPr>
        <w:t>-</w:t>
      </w:r>
      <w:r w:rsidR="001B3382">
        <w:rPr>
          <w:rFonts w:ascii="Times New Roman" w:hAnsi="Times New Roman" w:cs="Times New Roman"/>
        </w:rPr>
        <w:t xml:space="preserve"> </w:t>
      </w:r>
      <w:r w:rsidR="00F5141E">
        <w:rPr>
          <w:rFonts w:ascii="Times New Roman" w:hAnsi="Times New Roman" w:cs="Times New Roman"/>
        </w:rPr>
        <w:t>or</w:t>
      </w:r>
      <w:r w:rsidR="001B3382">
        <w:rPr>
          <w:rFonts w:ascii="Times New Roman" w:hAnsi="Times New Roman" w:cs="Times New Roman"/>
        </w:rPr>
        <w:t xml:space="preserve"> SO</w:t>
      </w:r>
      <w:r w:rsidR="001B3382">
        <w:rPr>
          <w:rFonts w:ascii="Times New Roman" w:hAnsi="Times New Roman" w:cs="Times New Roman"/>
          <w:vertAlign w:val="subscript"/>
        </w:rPr>
        <w:t>4</w:t>
      </w:r>
      <w:r w:rsidR="001B3382">
        <w:rPr>
          <w:rFonts w:ascii="Times New Roman" w:hAnsi="Times New Roman" w:cs="Times New Roman"/>
          <w:vertAlign w:val="superscript"/>
        </w:rPr>
        <w:t>2=</w:t>
      </w:r>
      <w:r w:rsidR="001B3382">
        <w:rPr>
          <w:rFonts w:ascii="Times New Roman" w:hAnsi="Times New Roman" w:cs="Times New Roman"/>
        </w:rPr>
        <w:t xml:space="preserve">. </w:t>
      </w:r>
      <w:r>
        <w:rPr>
          <w:rFonts w:ascii="Times New Roman" w:hAnsi="Times New Roman" w:cs="Times New Roman"/>
        </w:rPr>
        <w:t xml:space="preserve">In </w:t>
      </w:r>
      <w:r w:rsidR="00E85025">
        <w:rPr>
          <w:rFonts w:ascii="Times New Roman" w:hAnsi="Times New Roman" w:cs="Times New Roman"/>
        </w:rPr>
        <w:t>PC</w:t>
      </w:r>
      <w:r>
        <w:rPr>
          <w:rFonts w:ascii="Times New Roman" w:hAnsi="Times New Roman" w:cs="Times New Roman"/>
        </w:rPr>
        <w:t xml:space="preserve"> the </w:t>
      </w:r>
      <w:proofErr w:type="gramStart"/>
      <w:r>
        <w:rPr>
          <w:rFonts w:ascii="Times New Roman" w:hAnsi="Times New Roman" w:cs="Times New Roman"/>
        </w:rPr>
        <w:t>Ca</w:t>
      </w:r>
      <w:r>
        <w:rPr>
          <w:rFonts w:ascii="Times New Roman" w:hAnsi="Times New Roman" w:cs="Times New Roman"/>
          <w:vertAlign w:val="subscript"/>
        </w:rPr>
        <w:t>2</w:t>
      </w:r>
      <w:r>
        <w:rPr>
          <w:rFonts w:ascii="Times New Roman" w:hAnsi="Times New Roman" w:cs="Times New Roman"/>
        </w:rPr>
        <w:t>Al(</w:t>
      </w:r>
      <w:proofErr w:type="gramEnd"/>
      <w:r>
        <w:rPr>
          <w:rFonts w:ascii="Times New Roman" w:hAnsi="Times New Roman" w:cs="Times New Roman"/>
        </w:rPr>
        <w:t>OH)</w:t>
      </w:r>
      <w:r>
        <w:rPr>
          <w:rFonts w:ascii="Times New Roman" w:hAnsi="Times New Roman" w:cs="Times New Roman"/>
          <w:vertAlign w:val="subscript"/>
        </w:rPr>
        <w:t>6</w:t>
      </w:r>
      <w:r>
        <w:rPr>
          <w:rFonts w:ascii="Times New Roman" w:hAnsi="Times New Roman" w:cs="Times New Roman"/>
          <w:vertAlign w:val="superscript"/>
        </w:rPr>
        <w:t>+</w:t>
      </w:r>
      <w:r>
        <w:rPr>
          <w:rFonts w:ascii="Times New Roman" w:hAnsi="Times New Roman" w:cs="Times New Roman"/>
        </w:rPr>
        <w:t xml:space="preserve"> is ordered in layers that alternate with the layers of SO</w:t>
      </w:r>
      <w:r>
        <w:rPr>
          <w:rFonts w:ascii="Times New Roman" w:hAnsi="Times New Roman" w:cs="Times New Roman"/>
          <w:vertAlign w:val="subscript"/>
        </w:rPr>
        <w:t>4</w:t>
      </w:r>
      <w:r>
        <w:rPr>
          <w:rFonts w:ascii="Times New Roman" w:hAnsi="Times New Roman" w:cs="Times New Roman"/>
          <w:vertAlign w:val="superscript"/>
        </w:rPr>
        <w:t>2-</w:t>
      </w:r>
      <w:r>
        <w:rPr>
          <w:rFonts w:ascii="Times New Roman" w:hAnsi="Times New Roman" w:cs="Times New Roman"/>
        </w:rPr>
        <w:t xml:space="preserve"> or H</w:t>
      </w:r>
      <w:r>
        <w:rPr>
          <w:rFonts w:ascii="Times New Roman" w:hAnsi="Times New Roman" w:cs="Times New Roman"/>
          <w:vertAlign w:val="subscript"/>
        </w:rPr>
        <w:t>2</w:t>
      </w:r>
      <w:r>
        <w:rPr>
          <w:rFonts w:ascii="Times New Roman" w:hAnsi="Times New Roman" w:cs="Times New Roman"/>
        </w:rPr>
        <w:t>O, as shown in Figure. 2.8, every layer of SO</w:t>
      </w:r>
      <w:r>
        <w:rPr>
          <w:rFonts w:ascii="Times New Roman" w:hAnsi="Times New Roman" w:cs="Times New Roman"/>
          <w:vertAlign w:val="subscript"/>
        </w:rPr>
        <w:t>4</w:t>
      </w:r>
      <w:r>
        <w:rPr>
          <w:rFonts w:ascii="Times New Roman" w:hAnsi="Times New Roman" w:cs="Times New Roman"/>
          <w:vertAlign w:val="superscript"/>
        </w:rPr>
        <w:t xml:space="preserve">2- </w:t>
      </w:r>
      <w:r>
        <w:rPr>
          <w:rFonts w:ascii="Times New Roman" w:hAnsi="Times New Roman" w:cs="Times New Roman"/>
        </w:rPr>
        <w:t xml:space="preserve">has a layer of </w:t>
      </w:r>
      <w:proofErr w:type="gramStart"/>
      <w:r>
        <w:rPr>
          <w:rFonts w:ascii="Times New Roman" w:hAnsi="Times New Roman" w:cs="Times New Roman"/>
        </w:rPr>
        <w:t>Ca</w:t>
      </w:r>
      <w:r>
        <w:rPr>
          <w:rFonts w:ascii="Times New Roman" w:hAnsi="Times New Roman" w:cs="Times New Roman"/>
          <w:vertAlign w:val="subscript"/>
        </w:rPr>
        <w:t>2</w:t>
      </w:r>
      <w:r>
        <w:rPr>
          <w:rFonts w:ascii="Times New Roman" w:hAnsi="Times New Roman" w:cs="Times New Roman"/>
        </w:rPr>
        <w:t>Al(</w:t>
      </w:r>
      <w:proofErr w:type="gramEnd"/>
      <w:r>
        <w:rPr>
          <w:rFonts w:ascii="Times New Roman" w:hAnsi="Times New Roman" w:cs="Times New Roman"/>
        </w:rPr>
        <w:t>OH)</w:t>
      </w:r>
      <w:r>
        <w:rPr>
          <w:rFonts w:ascii="Times New Roman" w:hAnsi="Times New Roman" w:cs="Times New Roman"/>
          <w:vertAlign w:val="subscript"/>
        </w:rPr>
        <w:t>6</w:t>
      </w:r>
      <w:r>
        <w:rPr>
          <w:rFonts w:ascii="Times New Roman" w:hAnsi="Times New Roman" w:cs="Times New Roman"/>
          <w:vertAlign w:val="superscript"/>
        </w:rPr>
        <w:t xml:space="preserve">+ </w:t>
      </w:r>
      <w:r>
        <w:rPr>
          <w:rFonts w:ascii="Times New Roman" w:hAnsi="Times New Roman" w:cs="Times New Roman"/>
        </w:rPr>
        <w:t>above it and one below it to balance the charge. As only one sulphate anion is required to balance the charge, these phases are often referred to as monosulphate. [23,24]</w:t>
      </w:r>
      <w:r w:rsidR="00853F1B">
        <w:rPr>
          <w:rFonts w:ascii="Times New Roman" w:hAnsi="Times New Roman" w:cs="Times New Roman"/>
        </w:rPr>
        <w:t>.</w:t>
      </w:r>
    </w:p>
    <w:p w14:paraId="321145D3" w14:textId="05A9E2BC" w:rsidR="003D5839" w:rsidRDefault="003D5839" w:rsidP="005470A3">
      <w:pPr>
        <w:spacing w:after="120" w:line="360" w:lineRule="auto"/>
        <w:ind w:left="-426"/>
        <w:jc w:val="center"/>
        <w:rPr>
          <w:rFonts w:ascii="Times New Roman" w:hAnsi="Times New Roman" w:cs="Times New Roman"/>
        </w:rPr>
      </w:pPr>
      <w:r>
        <w:rPr>
          <w:noProof/>
        </w:rPr>
        <w:drawing>
          <wp:inline distT="0" distB="0" distL="0" distR="0" wp14:anchorId="181F3973" wp14:editId="5F23EF40">
            <wp:extent cx="4819851" cy="3224467"/>
            <wp:effectExtent l="25400" t="25400" r="31750" b="273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b="-4138"/>
                    <a:stretch/>
                  </pic:blipFill>
                  <pic:spPr bwMode="auto">
                    <a:xfrm>
                      <a:off x="0" y="0"/>
                      <a:ext cx="4819352" cy="32241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5A4BF5">
        <w:rPr>
          <w:rFonts w:ascii="Times New Roman" w:hAnsi="Times New Roman" w:cs="Times New Roman"/>
          <w:b/>
        </w:rPr>
        <w:br/>
      </w:r>
      <w:r w:rsidRPr="004D7CC1">
        <w:rPr>
          <w:rFonts w:ascii="Times New Roman" w:hAnsi="Times New Roman" w:cs="Times New Roman"/>
          <w:b/>
        </w:rPr>
        <w:t>Figure 2.8</w:t>
      </w:r>
      <w:r>
        <w:rPr>
          <w:rFonts w:ascii="Times New Roman" w:hAnsi="Times New Roman" w:cs="Times New Roman"/>
          <w:b/>
        </w:rPr>
        <w:t>:</w:t>
      </w:r>
      <w:r w:rsidRPr="001B0955">
        <w:rPr>
          <w:rFonts w:ascii="Times New Roman" w:hAnsi="Times New Roman" w:cs="Times New Roman"/>
        </w:rPr>
        <w:t xml:space="preserve"> (a) </w:t>
      </w:r>
      <w:r>
        <w:rPr>
          <w:rFonts w:ascii="Times New Roman" w:hAnsi="Times New Roman" w:cs="Times New Roman"/>
        </w:rPr>
        <w:t xml:space="preserve">Layered structure of AFm </w:t>
      </w:r>
      <w:r w:rsidRPr="001B0955">
        <w:rPr>
          <w:rFonts w:ascii="Times New Roman" w:hAnsi="Times New Roman" w:cs="Times New Roman"/>
        </w:rPr>
        <w:t xml:space="preserve">(b) </w:t>
      </w:r>
      <w:r>
        <w:rPr>
          <w:rFonts w:ascii="Times New Roman" w:hAnsi="Times New Roman" w:cs="Times New Roman"/>
        </w:rPr>
        <w:t>Schematic of AFm structure [25]</w:t>
      </w:r>
    </w:p>
    <w:p w14:paraId="616BE910" w14:textId="77777777" w:rsidR="005470A3" w:rsidRPr="005470A3" w:rsidRDefault="005470A3" w:rsidP="005470A3">
      <w:pPr>
        <w:spacing w:after="120" w:line="360" w:lineRule="auto"/>
        <w:ind w:left="-426"/>
        <w:jc w:val="center"/>
        <w:rPr>
          <w:rFonts w:ascii="Times New Roman" w:hAnsi="Times New Roman" w:cs="Times New Roman"/>
        </w:rPr>
      </w:pPr>
    </w:p>
    <w:p w14:paraId="5BB08691" w14:textId="77777777" w:rsidR="003D5839" w:rsidRPr="00847580" w:rsidRDefault="003D5839"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rPr>
          <w:rFonts w:ascii="Times New Roman" w:hAnsi="Times New Roman" w:cs="Times New Roman"/>
          <w:b/>
          <w:bCs/>
          <w:color w:val="000000"/>
          <w:sz w:val="28"/>
        </w:rPr>
      </w:pPr>
      <w:r w:rsidRPr="00847580">
        <w:rPr>
          <w:rFonts w:ascii="Times New Roman" w:hAnsi="Times New Roman" w:cs="Times New Roman"/>
          <w:b/>
          <w:bCs/>
          <w:color w:val="000000"/>
        </w:rPr>
        <w:t>2.3.3</w:t>
      </w:r>
      <w:r w:rsidRPr="00847580">
        <w:rPr>
          <w:rFonts w:ascii="Times New Roman" w:hAnsi="Times New Roman" w:cs="Times New Roman"/>
          <w:b/>
          <w:bCs/>
          <w:color w:val="000000"/>
        </w:rPr>
        <w:tab/>
      </w:r>
      <w:r w:rsidRPr="00847580">
        <w:rPr>
          <w:rFonts w:ascii="Times New Roman" w:hAnsi="Times New Roman" w:cs="Times New Roman"/>
          <w:b/>
          <w:bCs/>
          <w:color w:val="000000"/>
        </w:rPr>
        <w:tab/>
        <w:t>Blast Furnace Slag Composite Cements</w:t>
      </w:r>
    </w:p>
    <w:p w14:paraId="1E275D7E" w14:textId="68C72B03" w:rsidR="003D5839" w:rsidRDefault="003D5839"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both"/>
        <w:rPr>
          <w:rFonts w:ascii="Times New Roman" w:hAnsi="Times New Roman" w:cs="Times New Roman"/>
          <w:color w:val="000000"/>
        </w:rPr>
      </w:pPr>
      <w:r>
        <w:rPr>
          <w:rFonts w:ascii="Times New Roman" w:hAnsi="Times New Roman" w:cs="Times New Roman"/>
          <w:bCs/>
          <w:color w:val="000000"/>
        </w:rPr>
        <w:t xml:space="preserve">In waste immobilisation cements are usually mixed with other inorganic materials, known as supplementary cementitious materials (SCM), to enhance the cements properties. The SCMs </w:t>
      </w:r>
      <w:r w:rsidR="00AE76B0">
        <w:rPr>
          <w:rFonts w:ascii="Times New Roman" w:hAnsi="Times New Roman" w:cs="Times New Roman"/>
          <w:bCs/>
          <w:color w:val="000000"/>
        </w:rPr>
        <w:t>include limestone,</w:t>
      </w:r>
      <w:r>
        <w:rPr>
          <w:rFonts w:ascii="Times New Roman" w:hAnsi="Times New Roman" w:cs="Times New Roman"/>
          <w:bCs/>
          <w:color w:val="000000"/>
        </w:rPr>
        <w:t xml:space="preserve"> pozzolanic materials (e.g. silica fume, pulverised fly ash </w:t>
      </w:r>
      <w:r w:rsidR="00AE76B0">
        <w:rPr>
          <w:rFonts w:ascii="Times New Roman" w:hAnsi="Times New Roman" w:cs="Times New Roman"/>
          <w:bCs/>
          <w:color w:val="000000"/>
        </w:rPr>
        <w:t>(</w:t>
      </w:r>
      <w:r>
        <w:rPr>
          <w:rFonts w:ascii="Times New Roman" w:hAnsi="Times New Roman" w:cs="Times New Roman"/>
          <w:bCs/>
          <w:color w:val="000000"/>
        </w:rPr>
        <w:t>PFA</w:t>
      </w:r>
      <w:r w:rsidR="00AE76B0">
        <w:rPr>
          <w:rFonts w:ascii="Times New Roman" w:hAnsi="Times New Roman" w:cs="Times New Roman"/>
          <w:bCs/>
          <w:color w:val="000000"/>
        </w:rPr>
        <w:t>)</w:t>
      </w:r>
      <w:r>
        <w:rPr>
          <w:rFonts w:ascii="Times New Roman" w:hAnsi="Times New Roman" w:cs="Times New Roman"/>
          <w:bCs/>
          <w:color w:val="000000"/>
        </w:rPr>
        <w:t xml:space="preserve"> etc.) and the hydraulic materials [9]. The most significant hydraulic material is BFS [23]. Introducing BFS </w:t>
      </w:r>
      <w:r w:rsidR="00213B5B">
        <w:rPr>
          <w:rFonts w:ascii="Times New Roman" w:hAnsi="Times New Roman" w:cs="Times New Roman"/>
          <w:bCs/>
          <w:color w:val="000000"/>
        </w:rPr>
        <w:t>in</w:t>
      </w:r>
      <w:r>
        <w:rPr>
          <w:rFonts w:ascii="Times New Roman" w:hAnsi="Times New Roman" w:cs="Times New Roman"/>
          <w:bCs/>
          <w:color w:val="000000"/>
        </w:rPr>
        <w:t>to a cement mixture enhances the mechanical strength</w:t>
      </w:r>
      <w:r w:rsidR="00AE76B0">
        <w:rPr>
          <w:rFonts w:ascii="Times New Roman" w:hAnsi="Times New Roman" w:cs="Times New Roman"/>
          <w:bCs/>
          <w:color w:val="000000"/>
        </w:rPr>
        <w:t xml:space="preserve"> at a later stage</w:t>
      </w:r>
      <w:r>
        <w:rPr>
          <w:rFonts w:ascii="Times New Roman" w:hAnsi="Times New Roman" w:cs="Times New Roman"/>
          <w:bCs/>
          <w:color w:val="000000"/>
        </w:rPr>
        <w:t xml:space="preserve"> as well as lowering the heat of hydration </w:t>
      </w:r>
      <w:r w:rsidRPr="00832BAC">
        <w:rPr>
          <w:rFonts w:ascii="Times New Roman" w:hAnsi="Times New Roman" w:cs="Times New Roman"/>
          <w:color w:val="000000"/>
        </w:rPr>
        <w:t>and the permeability of the cement matrix</w:t>
      </w:r>
      <w:r>
        <w:rPr>
          <w:rFonts w:ascii="Times New Roman" w:hAnsi="Times New Roman" w:cs="Times New Roman"/>
          <w:color w:val="000000"/>
        </w:rPr>
        <w:t xml:space="preserve"> meaning lower diffusion of ions and enhanced durability in the presence of chlorides and sulphates [26], this also reduces the setting rate of the cement. </w:t>
      </w:r>
      <w:r w:rsidRPr="002152CA">
        <w:rPr>
          <w:rFonts w:ascii="Times New Roman" w:hAnsi="Times New Roman" w:cs="Times New Roman"/>
          <w:color w:val="000000"/>
        </w:rPr>
        <w:t>These c</w:t>
      </w:r>
      <w:r>
        <w:rPr>
          <w:rFonts w:ascii="Times New Roman" w:hAnsi="Times New Roman" w:cs="Times New Roman"/>
          <w:color w:val="000000"/>
        </w:rPr>
        <w:t>haracteristics are desirable in c</w:t>
      </w:r>
      <w:r w:rsidRPr="002152CA">
        <w:rPr>
          <w:rFonts w:ascii="Times New Roman" w:hAnsi="Times New Roman" w:cs="Times New Roman"/>
          <w:color w:val="000000"/>
        </w:rPr>
        <w:t xml:space="preserve">asting </w:t>
      </w:r>
      <w:r w:rsidRPr="002152CA">
        <w:rPr>
          <w:rFonts w:ascii="Times New Roman" w:hAnsi="Times New Roman" w:cs="Times New Roman"/>
          <w:color w:val="000000"/>
        </w:rPr>
        <w:lastRenderedPageBreak/>
        <w:t>larger cement structures in which internal cracking could be detrimental</w:t>
      </w:r>
      <w:r>
        <w:rPr>
          <w:rFonts w:ascii="Times New Roman" w:hAnsi="Times New Roman" w:cs="Times New Roman"/>
          <w:color w:val="000000"/>
        </w:rPr>
        <w:t xml:space="preserve"> and where </w:t>
      </w:r>
      <w:r w:rsidRPr="002152CA">
        <w:rPr>
          <w:rFonts w:ascii="Times New Roman" w:hAnsi="Times New Roman" w:cs="Times New Roman"/>
          <w:color w:val="000000"/>
        </w:rPr>
        <w:t>toxic or radioactive materials</w:t>
      </w:r>
      <w:r>
        <w:rPr>
          <w:rFonts w:ascii="Times New Roman" w:hAnsi="Times New Roman" w:cs="Times New Roman"/>
          <w:color w:val="000000"/>
        </w:rPr>
        <w:t xml:space="preserve"> are immobilised</w:t>
      </w:r>
      <w:r w:rsidRPr="002152CA">
        <w:rPr>
          <w:rFonts w:ascii="Times New Roman" w:hAnsi="Times New Roman" w:cs="Times New Roman"/>
          <w:color w:val="000000"/>
        </w:rPr>
        <w:t xml:space="preserve"> via containment within the structure</w:t>
      </w:r>
      <w:r>
        <w:rPr>
          <w:rFonts w:ascii="Times New Roman" w:hAnsi="Times New Roman" w:cs="Times New Roman"/>
          <w:color w:val="000000"/>
        </w:rPr>
        <w:t>.</w:t>
      </w:r>
    </w:p>
    <w:p w14:paraId="673A6511" w14:textId="3BCA1058" w:rsidR="003D5839" w:rsidRDefault="003D5839"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BFS is a byproduct of the smelting process in the steel industry. It is </w:t>
      </w:r>
      <w:r w:rsidRPr="00EB35FD">
        <w:rPr>
          <w:rFonts w:ascii="Times New Roman" w:hAnsi="Times New Roman"/>
          <w:color w:val="000000"/>
        </w:rPr>
        <w:t>formed when iron ore/pellets are melted with coke and a flux of either limestone or dolomite in a blast furnace</w:t>
      </w:r>
      <w:r>
        <w:rPr>
          <w:rFonts w:ascii="Times New Roman" w:hAnsi="Times New Roman" w:cs="Times New Roman"/>
          <w:color w:val="000000"/>
        </w:rPr>
        <w:t>. Once the smelting is completed, the lime chemically combines with the aluminates and silicates of the ore and coke ash. As a result, BFS is rich in calcium oxide (approximately 40%) with small amounts of magnesium oxide (MgO) and various sul</w:t>
      </w:r>
      <w:r w:rsidR="00580BA1">
        <w:rPr>
          <w:rFonts w:ascii="Times New Roman" w:hAnsi="Times New Roman" w:cs="Times New Roman"/>
          <w:color w:val="000000"/>
        </w:rPr>
        <w:t>ph</w:t>
      </w:r>
      <w:r>
        <w:rPr>
          <w:rFonts w:ascii="Times New Roman" w:hAnsi="Times New Roman" w:cs="Times New Roman"/>
          <w:color w:val="000000"/>
        </w:rPr>
        <w:t>ides [27]. It is formed as a liquid at around 1350-1550</w:t>
      </w:r>
      <w:r>
        <w:rPr>
          <w:rFonts w:ascii="Times New Roman" w:hAnsi="Times New Roman" w:cs="Times New Roman"/>
          <w:color w:val="000000"/>
          <w:vertAlign w:val="superscript"/>
        </w:rPr>
        <w:t>o</w:t>
      </w:r>
      <w:r>
        <w:rPr>
          <w:rFonts w:ascii="Times New Roman" w:hAnsi="Times New Roman" w:cs="Times New Roman"/>
          <w:color w:val="000000"/>
        </w:rPr>
        <w:t xml:space="preserve">C and is cooled rapidly using water/air to temperatures below </w:t>
      </w:r>
      <w:r w:rsidRPr="00B34590">
        <w:rPr>
          <w:rFonts w:ascii="Times New Roman" w:hAnsi="Times New Roman" w:cs="Times New Roman"/>
          <w:color w:val="000000"/>
        </w:rPr>
        <w:t>800</w:t>
      </w:r>
      <w:r>
        <w:rPr>
          <w:rFonts w:ascii="Times New Roman" w:hAnsi="Times New Roman" w:cs="Times New Roman"/>
          <w:color w:val="000000"/>
          <w:vertAlign w:val="superscript"/>
        </w:rPr>
        <w:t>o</w:t>
      </w:r>
      <w:r>
        <w:rPr>
          <w:rFonts w:ascii="Times New Roman" w:hAnsi="Times New Roman" w:cs="Times New Roman"/>
          <w:color w:val="000000"/>
        </w:rPr>
        <w:t xml:space="preserve">C, </w:t>
      </w:r>
      <w:r w:rsidRPr="00B34590">
        <w:rPr>
          <w:rFonts w:ascii="Times New Roman" w:hAnsi="Times New Roman" w:cs="Times New Roman"/>
          <w:color w:val="000000"/>
        </w:rPr>
        <w:t>form</w:t>
      </w:r>
      <w:r>
        <w:rPr>
          <w:rFonts w:ascii="Times New Roman" w:hAnsi="Times New Roman" w:cs="Times New Roman"/>
          <w:color w:val="000000"/>
        </w:rPr>
        <w:t xml:space="preserve">ing a glassy </w:t>
      </w:r>
      <w:proofErr w:type="gramStart"/>
      <w:r>
        <w:rPr>
          <w:rFonts w:ascii="Times New Roman" w:hAnsi="Times New Roman" w:cs="Times New Roman"/>
          <w:color w:val="000000"/>
        </w:rPr>
        <w:t>material which is crushed</w:t>
      </w:r>
      <w:proofErr w:type="gramEnd"/>
      <w:r>
        <w:rPr>
          <w:rFonts w:ascii="Times New Roman" w:hAnsi="Times New Roman" w:cs="Times New Roman"/>
          <w:color w:val="000000"/>
        </w:rPr>
        <w:t xml:space="preserve"> and ground [27]. Usually the BFS is ground to a powder with similar fineness to </w:t>
      </w:r>
      <w:r w:rsidR="00E85025">
        <w:rPr>
          <w:rFonts w:ascii="Times New Roman" w:hAnsi="Times New Roman" w:cs="Times New Roman"/>
          <w:color w:val="000000"/>
        </w:rPr>
        <w:t>PC</w:t>
      </w:r>
      <w:r>
        <w:rPr>
          <w:rFonts w:ascii="Times New Roman" w:hAnsi="Times New Roman" w:cs="Times New Roman"/>
          <w:color w:val="000000"/>
        </w:rPr>
        <w:t xml:space="preserve">, forming ground granulated blast furnace slag (GGBFS), however in the waste immobilization a coarser BFS is used to reduce reactivity and minimise the heat produced [28]. </w:t>
      </w:r>
    </w:p>
    <w:p w14:paraId="3F05712D" w14:textId="26082ED3" w:rsidR="003D5839" w:rsidRDefault="003D5839" w:rsidP="005470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BFS reacts with water at room temperature. </w:t>
      </w:r>
      <w:r w:rsidR="00B61495">
        <w:rPr>
          <w:rFonts w:ascii="Times New Roman" w:hAnsi="Times New Roman" w:cs="Times New Roman"/>
          <w:color w:val="000000"/>
        </w:rPr>
        <w:t>F</w:t>
      </w:r>
      <w:r>
        <w:rPr>
          <w:rFonts w:ascii="Times New Roman" w:hAnsi="Times New Roman" w:cs="Times New Roman"/>
          <w:color w:val="000000"/>
        </w:rPr>
        <w:t>urther reactivity is reduced when a protective layer is formed on the outer surface of the BFS particles</w:t>
      </w:r>
      <w:r w:rsidR="00B61495">
        <w:rPr>
          <w:rFonts w:ascii="Times New Roman" w:hAnsi="Times New Roman" w:cs="Times New Roman"/>
          <w:color w:val="000000"/>
        </w:rPr>
        <w:t>, as result slowing the reaction down</w:t>
      </w:r>
      <w:r>
        <w:rPr>
          <w:rFonts w:ascii="Times New Roman" w:hAnsi="Times New Roman" w:cs="Times New Roman"/>
          <w:color w:val="000000"/>
        </w:rPr>
        <w:t xml:space="preserve">. This can be offset by adding alkali activators such as </w:t>
      </w:r>
      <w:proofErr w:type="gramStart"/>
      <w:r>
        <w:rPr>
          <w:rFonts w:ascii="Times New Roman" w:hAnsi="Times New Roman" w:cs="Times New Roman"/>
          <w:color w:val="000000"/>
        </w:rPr>
        <w:t>Ca(</w:t>
      </w:r>
      <w:proofErr w:type="gramEnd"/>
      <w:r>
        <w:rPr>
          <w:rFonts w:ascii="Times New Roman" w:hAnsi="Times New Roman" w:cs="Times New Roman"/>
          <w:color w:val="000000"/>
        </w:rPr>
        <w:t>OH)</w:t>
      </w:r>
      <w:r>
        <w:rPr>
          <w:rFonts w:ascii="Times New Roman" w:hAnsi="Times New Roman" w:cs="Times New Roman"/>
          <w:color w:val="000000"/>
          <w:vertAlign w:val="subscript"/>
        </w:rPr>
        <w:t>2</w:t>
      </w:r>
      <w:r>
        <w:rPr>
          <w:rFonts w:ascii="Times New Roman" w:hAnsi="Times New Roman" w:cs="Times New Roman"/>
          <w:color w:val="000000"/>
        </w:rPr>
        <w:t xml:space="preserve"> or NaOH, which break down these layers on the surface of the BFS to eventually increase the rate of reaction [29]. In a reaction with </w:t>
      </w:r>
      <w:r w:rsidR="00E85025">
        <w:rPr>
          <w:rFonts w:ascii="Times New Roman" w:hAnsi="Times New Roman" w:cs="Times New Roman"/>
          <w:color w:val="000000"/>
        </w:rPr>
        <w:t>PC</w:t>
      </w:r>
      <w:r>
        <w:rPr>
          <w:rFonts w:ascii="Times New Roman" w:hAnsi="Times New Roman" w:cs="Times New Roman"/>
          <w:color w:val="000000"/>
        </w:rPr>
        <w:t xml:space="preserve"> these activators are supplied</w:t>
      </w:r>
      <w:r w:rsidR="00B61495">
        <w:rPr>
          <w:rFonts w:ascii="Times New Roman" w:hAnsi="Times New Roman" w:cs="Times New Roman"/>
          <w:color w:val="000000"/>
        </w:rPr>
        <w:t xml:space="preserve"> by </w:t>
      </w:r>
      <w:r>
        <w:rPr>
          <w:rFonts w:ascii="Times New Roman" w:hAnsi="Times New Roman" w:cs="Times New Roman"/>
          <w:color w:val="000000"/>
        </w:rPr>
        <w:t>(Na</w:t>
      </w:r>
      <w:r>
        <w:rPr>
          <w:rFonts w:ascii="Times New Roman" w:hAnsi="Times New Roman" w:cs="Times New Roman"/>
          <w:color w:val="000000"/>
          <w:vertAlign w:val="superscript"/>
        </w:rPr>
        <w:t>+</w:t>
      </w:r>
      <w:r>
        <w:rPr>
          <w:rFonts w:ascii="Times New Roman" w:hAnsi="Times New Roman" w:cs="Times New Roman"/>
          <w:color w:val="000000"/>
        </w:rPr>
        <w:t>, K</w:t>
      </w:r>
      <w:r>
        <w:rPr>
          <w:rFonts w:ascii="Times New Roman" w:hAnsi="Times New Roman" w:cs="Times New Roman"/>
          <w:color w:val="000000"/>
          <w:vertAlign w:val="superscript"/>
        </w:rPr>
        <w:t>+</w:t>
      </w:r>
      <w:r>
        <w:rPr>
          <w:rFonts w:ascii="Times New Roman" w:hAnsi="Times New Roman" w:cs="Times New Roman"/>
          <w:color w:val="000000"/>
        </w:rPr>
        <w:t>)</w:t>
      </w:r>
      <w:r w:rsidR="001E0EB7">
        <w:rPr>
          <w:rFonts w:ascii="Times New Roman" w:hAnsi="Times New Roman" w:cs="Times New Roman"/>
          <w:color w:val="000000"/>
        </w:rPr>
        <w:t xml:space="preserve"> increasing the concentration of OH</w:t>
      </w:r>
      <w:r w:rsidR="001E0EB7">
        <w:rPr>
          <w:rFonts w:ascii="Times New Roman" w:hAnsi="Times New Roman" w:cs="Times New Roman"/>
          <w:color w:val="000000"/>
          <w:vertAlign w:val="superscript"/>
        </w:rPr>
        <w:t>-</w:t>
      </w:r>
      <w:r>
        <w:rPr>
          <w:rFonts w:ascii="Times New Roman" w:hAnsi="Times New Roman" w:cs="Times New Roman"/>
          <w:color w:val="000000"/>
        </w:rPr>
        <w:t>, resulting in a high pH of the pore solution and the br</w:t>
      </w:r>
      <w:r w:rsidR="00B61495">
        <w:rPr>
          <w:rFonts w:ascii="Times New Roman" w:hAnsi="Times New Roman" w:cs="Times New Roman"/>
          <w:color w:val="000000"/>
        </w:rPr>
        <w:t>eakdown of BFS glassy structure</w:t>
      </w:r>
      <w:r>
        <w:rPr>
          <w:rFonts w:ascii="Times New Roman" w:hAnsi="Times New Roman" w:cs="Times New Roman"/>
          <w:color w:val="000000"/>
        </w:rPr>
        <w:t xml:space="preserve"> Table 2 shows the hydration phases formed when BFS reacts with these various activators. </w:t>
      </w:r>
    </w:p>
    <w:p w14:paraId="3858C6E0" w14:textId="77777777" w:rsidR="005470A3" w:rsidRPr="005470A3" w:rsidRDefault="005470A3" w:rsidP="005470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color w:val="000000"/>
        </w:rPr>
      </w:pPr>
    </w:p>
    <w:p w14:paraId="4ED3954D" w14:textId="77777777" w:rsidR="003D5839" w:rsidRPr="00C72299" w:rsidRDefault="003D5839" w:rsidP="005470A3">
      <w:pPr>
        <w:spacing w:after="240"/>
        <w:jc w:val="center"/>
        <w:rPr>
          <w:rFonts w:ascii="Times New Roman" w:hAnsi="Times New Roman" w:cs="Times New Roman"/>
          <w:color w:val="000000"/>
        </w:rPr>
      </w:pPr>
      <w:r>
        <w:rPr>
          <w:rFonts w:ascii="Times New Roman" w:hAnsi="Times New Roman" w:cs="Times New Roman"/>
          <w:b/>
          <w:color w:val="000000"/>
        </w:rPr>
        <w:t xml:space="preserve">Table 2: </w:t>
      </w:r>
      <w:r w:rsidRPr="007B01DF">
        <w:rPr>
          <w:rFonts w:ascii="Times New Roman" w:hAnsi="Times New Roman" w:cs="Times New Roman"/>
          <w:color w:val="000000"/>
        </w:rPr>
        <w:t>Phases formed from BFS and activator reactions</w:t>
      </w:r>
      <w:r>
        <w:rPr>
          <w:rFonts w:ascii="Times New Roman" w:hAnsi="Times New Roman" w:cs="Times New Roman"/>
          <w:color w:val="000000"/>
        </w:rPr>
        <w:t xml:space="preserve"> [9</w:t>
      </w:r>
      <w:r w:rsidRPr="00D417CE">
        <w:rPr>
          <w:rFonts w:ascii="Times New Roman" w:hAnsi="Times New Roman" w:cs="Times New Roman"/>
          <w:color w:val="000000"/>
        </w:rPr>
        <w:t>]</w:t>
      </w:r>
    </w:p>
    <w:tbl>
      <w:tblPr>
        <w:tblStyle w:val="TableGrid"/>
        <w:tblW w:w="0" w:type="auto"/>
        <w:jc w:val="center"/>
        <w:tblInd w:w="-54" w:type="dxa"/>
        <w:tblLook w:val="04A0" w:firstRow="1" w:lastRow="0" w:firstColumn="1" w:lastColumn="0" w:noHBand="0" w:noVBand="1"/>
      </w:tblPr>
      <w:tblGrid>
        <w:gridCol w:w="3060"/>
        <w:gridCol w:w="3818"/>
      </w:tblGrid>
      <w:tr w:rsidR="003D5839" w14:paraId="64BA8A8D" w14:textId="77777777" w:rsidTr="003D5839">
        <w:trPr>
          <w:jc w:val="center"/>
        </w:trPr>
        <w:tc>
          <w:tcPr>
            <w:tcW w:w="3060" w:type="dxa"/>
            <w:tcBorders>
              <w:left w:val="nil"/>
              <w:bottom w:val="single" w:sz="4" w:space="0" w:color="auto"/>
              <w:right w:val="nil"/>
            </w:tcBorders>
            <w:vAlign w:val="center"/>
          </w:tcPr>
          <w:p w14:paraId="26138F87" w14:textId="77777777" w:rsidR="003D5839" w:rsidRPr="00C54DAE" w:rsidRDefault="003D5839" w:rsidP="00962F3A">
            <w:pPr>
              <w:spacing w:before="120" w:after="120"/>
              <w:rPr>
                <w:rFonts w:ascii="Times New Roman" w:hAnsi="Times New Roman" w:cs="Times New Roman"/>
                <w:b/>
                <w:color w:val="000000"/>
                <w:sz w:val="24"/>
                <w:szCs w:val="24"/>
                <w:lang w:val="en-US"/>
              </w:rPr>
            </w:pPr>
            <w:r>
              <w:rPr>
                <w:rFonts w:ascii="Times New Roman" w:hAnsi="Times New Roman" w:cs="Times New Roman"/>
                <w:b/>
                <w:color w:val="000000"/>
                <w:sz w:val="24"/>
                <w:szCs w:val="24"/>
                <w:lang w:val="en-US"/>
              </w:rPr>
              <w:t>Activator</w:t>
            </w:r>
          </w:p>
        </w:tc>
        <w:tc>
          <w:tcPr>
            <w:tcW w:w="3818" w:type="dxa"/>
            <w:tcBorders>
              <w:left w:val="nil"/>
              <w:bottom w:val="single" w:sz="4" w:space="0" w:color="auto"/>
              <w:right w:val="nil"/>
            </w:tcBorders>
            <w:vAlign w:val="center"/>
          </w:tcPr>
          <w:p w14:paraId="5775FEBD" w14:textId="77777777" w:rsidR="003D5839" w:rsidRPr="00C54DAE" w:rsidRDefault="003D5839" w:rsidP="00962F3A">
            <w:pPr>
              <w:spacing w:before="120" w:after="120"/>
              <w:rPr>
                <w:rFonts w:ascii="Times New Roman" w:hAnsi="Times New Roman" w:cs="Times New Roman"/>
                <w:b/>
                <w:color w:val="000000"/>
                <w:sz w:val="24"/>
                <w:szCs w:val="24"/>
                <w:lang w:val="en-US"/>
              </w:rPr>
            </w:pPr>
            <w:r>
              <w:rPr>
                <w:rFonts w:ascii="Times New Roman" w:hAnsi="Times New Roman" w:cs="Times New Roman"/>
                <w:b/>
                <w:color w:val="000000"/>
                <w:sz w:val="24"/>
                <w:szCs w:val="24"/>
                <w:lang w:val="en-US"/>
              </w:rPr>
              <w:t>Phases</w:t>
            </w:r>
          </w:p>
        </w:tc>
      </w:tr>
      <w:tr w:rsidR="003D5839" w:rsidRPr="00786706" w14:paraId="7976092F" w14:textId="77777777" w:rsidTr="003D5839">
        <w:trPr>
          <w:jc w:val="center"/>
        </w:trPr>
        <w:tc>
          <w:tcPr>
            <w:tcW w:w="3060" w:type="dxa"/>
            <w:tcBorders>
              <w:top w:val="single" w:sz="4" w:space="0" w:color="auto"/>
              <w:left w:val="nil"/>
              <w:bottom w:val="nil"/>
              <w:right w:val="nil"/>
            </w:tcBorders>
            <w:vAlign w:val="center"/>
          </w:tcPr>
          <w:p w14:paraId="636220A8" w14:textId="77777777" w:rsidR="003D5839" w:rsidRPr="00786706" w:rsidRDefault="003D5839" w:rsidP="00962F3A">
            <w:pPr>
              <w:spacing w:before="120" w:after="120"/>
              <w:rPr>
                <w:rFonts w:ascii="Times New Roman" w:hAnsi="Times New Roman" w:cs="Times New Roman"/>
                <w:color w:val="000000"/>
                <w:sz w:val="24"/>
                <w:szCs w:val="24"/>
                <w:lang w:val="en-US"/>
              </w:rPr>
            </w:pPr>
            <w:proofErr w:type="gramStart"/>
            <w:r w:rsidRPr="00786706">
              <w:rPr>
                <w:rFonts w:ascii="Times New Roman" w:hAnsi="Times New Roman" w:cs="Times New Roman"/>
                <w:color w:val="000000"/>
                <w:sz w:val="24"/>
                <w:szCs w:val="24"/>
                <w:lang w:val="en-US"/>
              </w:rPr>
              <w:t>Ca(</w:t>
            </w:r>
            <w:proofErr w:type="gramEnd"/>
            <w:r w:rsidRPr="00786706">
              <w:rPr>
                <w:rFonts w:ascii="Times New Roman" w:hAnsi="Times New Roman" w:cs="Times New Roman"/>
                <w:color w:val="000000"/>
                <w:sz w:val="24"/>
                <w:szCs w:val="24"/>
                <w:lang w:val="en-US"/>
              </w:rPr>
              <w:t>OH)</w:t>
            </w:r>
            <w:r w:rsidRPr="00786706">
              <w:rPr>
                <w:rFonts w:ascii="Times New Roman" w:hAnsi="Times New Roman" w:cs="Times New Roman"/>
                <w:color w:val="000000"/>
                <w:sz w:val="24"/>
                <w:szCs w:val="24"/>
                <w:vertAlign w:val="subscript"/>
                <w:lang w:val="en-US"/>
              </w:rPr>
              <w:t>2</w:t>
            </w:r>
          </w:p>
        </w:tc>
        <w:tc>
          <w:tcPr>
            <w:tcW w:w="3818" w:type="dxa"/>
            <w:tcBorders>
              <w:top w:val="single" w:sz="4" w:space="0" w:color="auto"/>
              <w:left w:val="nil"/>
              <w:bottom w:val="nil"/>
              <w:right w:val="nil"/>
            </w:tcBorders>
            <w:vAlign w:val="center"/>
          </w:tcPr>
          <w:p w14:paraId="468BBA47" w14:textId="77777777" w:rsidR="003D5839" w:rsidRPr="00786706" w:rsidRDefault="003D5839" w:rsidP="00962F3A">
            <w:pPr>
              <w:spacing w:before="120" w:after="120"/>
              <w:rPr>
                <w:rFonts w:ascii="Times New Roman" w:hAnsi="Times New Roman" w:cs="Times New Roman"/>
                <w:color w:val="000000"/>
                <w:sz w:val="24"/>
                <w:szCs w:val="24"/>
                <w:lang w:val="en-US"/>
              </w:rPr>
            </w:pPr>
            <w:r w:rsidRPr="00786706">
              <w:rPr>
                <w:rFonts w:ascii="Times New Roman" w:hAnsi="Times New Roman" w:cs="Times New Roman"/>
                <w:color w:val="000000"/>
                <w:sz w:val="24"/>
                <w:szCs w:val="24"/>
                <w:lang w:val="en-US"/>
              </w:rPr>
              <w:t>C-S-H, C</w:t>
            </w:r>
            <w:r w:rsidRPr="00786706">
              <w:rPr>
                <w:rFonts w:ascii="Times New Roman" w:hAnsi="Times New Roman" w:cs="Times New Roman"/>
                <w:color w:val="000000"/>
                <w:sz w:val="24"/>
                <w:szCs w:val="24"/>
                <w:vertAlign w:val="subscript"/>
                <w:lang w:val="en-US"/>
              </w:rPr>
              <w:t>4</w:t>
            </w:r>
            <w:r w:rsidRPr="00786706">
              <w:rPr>
                <w:rFonts w:ascii="Times New Roman" w:hAnsi="Times New Roman" w:cs="Times New Roman"/>
                <w:color w:val="000000"/>
                <w:sz w:val="24"/>
                <w:szCs w:val="24"/>
                <w:lang w:val="en-US"/>
              </w:rPr>
              <w:t>H</w:t>
            </w:r>
            <w:r w:rsidRPr="00786706">
              <w:rPr>
                <w:rFonts w:ascii="Times New Roman" w:hAnsi="Times New Roman" w:cs="Times New Roman"/>
                <w:color w:val="000000"/>
                <w:sz w:val="24"/>
                <w:szCs w:val="24"/>
                <w:vertAlign w:val="subscript"/>
                <w:lang w:val="en-US"/>
              </w:rPr>
              <w:t>13</w:t>
            </w:r>
          </w:p>
        </w:tc>
      </w:tr>
      <w:tr w:rsidR="003D5839" w:rsidRPr="00786706" w14:paraId="50952853" w14:textId="77777777" w:rsidTr="003D5839">
        <w:trPr>
          <w:jc w:val="center"/>
        </w:trPr>
        <w:tc>
          <w:tcPr>
            <w:tcW w:w="3060" w:type="dxa"/>
            <w:tcBorders>
              <w:top w:val="nil"/>
              <w:left w:val="nil"/>
              <w:bottom w:val="nil"/>
              <w:right w:val="nil"/>
            </w:tcBorders>
            <w:vAlign w:val="center"/>
          </w:tcPr>
          <w:p w14:paraId="404B56A5" w14:textId="77777777" w:rsidR="003D5839" w:rsidRPr="00786706" w:rsidRDefault="003D5839" w:rsidP="00962F3A">
            <w:pPr>
              <w:spacing w:before="120" w:after="120"/>
              <w:rPr>
                <w:rFonts w:ascii="Times New Roman" w:hAnsi="Times New Roman" w:cs="Times New Roman"/>
                <w:color w:val="000000"/>
                <w:sz w:val="24"/>
                <w:szCs w:val="24"/>
                <w:lang w:val="en-US"/>
              </w:rPr>
            </w:pPr>
            <w:r w:rsidRPr="00786706">
              <w:rPr>
                <w:rFonts w:ascii="Times New Roman" w:hAnsi="Times New Roman" w:cs="Times New Roman"/>
                <w:color w:val="000000"/>
                <w:sz w:val="24"/>
                <w:szCs w:val="24"/>
                <w:lang w:val="en-US"/>
              </w:rPr>
              <w:t>Cement</w:t>
            </w:r>
          </w:p>
        </w:tc>
        <w:tc>
          <w:tcPr>
            <w:tcW w:w="3818" w:type="dxa"/>
            <w:tcBorders>
              <w:top w:val="nil"/>
              <w:left w:val="nil"/>
              <w:bottom w:val="nil"/>
              <w:right w:val="nil"/>
            </w:tcBorders>
            <w:vAlign w:val="center"/>
          </w:tcPr>
          <w:p w14:paraId="2547DA79" w14:textId="77777777" w:rsidR="003D5839" w:rsidRPr="00786706" w:rsidRDefault="003D5839" w:rsidP="00962F3A">
            <w:pPr>
              <w:spacing w:before="120" w:after="120"/>
              <w:rPr>
                <w:rFonts w:ascii="Times New Roman" w:hAnsi="Times New Roman" w:cs="Times New Roman"/>
                <w:color w:val="000000"/>
                <w:sz w:val="24"/>
                <w:szCs w:val="24"/>
                <w:lang w:val="en-US"/>
              </w:rPr>
            </w:pPr>
            <w:r w:rsidRPr="00786706">
              <w:rPr>
                <w:rFonts w:ascii="Times New Roman" w:hAnsi="Times New Roman" w:cs="Times New Roman"/>
                <w:color w:val="000000"/>
                <w:sz w:val="24"/>
                <w:szCs w:val="24"/>
                <w:lang w:val="en-US"/>
              </w:rPr>
              <w:t xml:space="preserve">C-S-H, AFm, </w:t>
            </w:r>
            <w:r>
              <w:rPr>
                <w:rFonts w:ascii="Times New Roman" w:hAnsi="Times New Roman" w:cs="Times New Roman"/>
                <w:color w:val="000000"/>
                <w:sz w:val="24"/>
                <w:szCs w:val="24"/>
                <w:lang w:val="en-US"/>
              </w:rPr>
              <w:t>AF</w:t>
            </w:r>
            <w:r w:rsidRPr="00786706">
              <w:rPr>
                <w:rFonts w:ascii="Times New Roman" w:hAnsi="Times New Roman" w:cs="Times New Roman"/>
                <w:color w:val="000000"/>
                <w:sz w:val="24"/>
                <w:szCs w:val="24"/>
                <w:lang w:val="en-US"/>
              </w:rPr>
              <w:t>t,</w:t>
            </w:r>
            <w:r>
              <w:rPr>
                <w:rFonts w:ascii="Times New Roman" w:hAnsi="Times New Roman" w:cs="Times New Roman"/>
                <w:color w:val="000000"/>
                <w:sz w:val="24"/>
                <w:szCs w:val="24"/>
                <w:lang w:val="en-US"/>
              </w:rPr>
              <w:t xml:space="preserve"> </w:t>
            </w:r>
            <w:r w:rsidRPr="00786706">
              <w:rPr>
                <w:rFonts w:ascii="Times New Roman" w:hAnsi="Times New Roman" w:cs="Times New Roman"/>
                <w:color w:val="000000"/>
                <w:sz w:val="24"/>
                <w:szCs w:val="24"/>
                <w:lang w:val="en-US"/>
              </w:rPr>
              <w:t>hydrogarnet</w:t>
            </w:r>
          </w:p>
        </w:tc>
      </w:tr>
      <w:tr w:rsidR="003D5839" w:rsidRPr="00786706" w14:paraId="533FA1C8" w14:textId="77777777" w:rsidTr="003D5839">
        <w:trPr>
          <w:jc w:val="center"/>
        </w:trPr>
        <w:tc>
          <w:tcPr>
            <w:tcW w:w="3060" w:type="dxa"/>
            <w:tcBorders>
              <w:top w:val="nil"/>
              <w:left w:val="nil"/>
              <w:bottom w:val="nil"/>
              <w:right w:val="nil"/>
            </w:tcBorders>
            <w:vAlign w:val="center"/>
          </w:tcPr>
          <w:p w14:paraId="0538E63A" w14:textId="4D164F0E" w:rsidR="003D5839" w:rsidRPr="00786706" w:rsidRDefault="003D5839" w:rsidP="00962F3A">
            <w:pPr>
              <w:spacing w:before="120" w:after="120"/>
              <w:rPr>
                <w:rFonts w:ascii="Times New Roman" w:hAnsi="Times New Roman" w:cs="Times New Roman"/>
                <w:color w:val="000000"/>
                <w:sz w:val="24"/>
                <w:szCs w:val="24"/>
                <w:lang w:val="en-US"/>
              </w:rPr>
            </w:pPr>
            <w:r w:rsidRPr="00786706">
              <w:rPr>
                <w:rFonts w:ascii="Times New Roman" w:hAnsi="Times New Roman" w:cs="Times New Roman"/>
                <w:color w:val="000000"/>
                <w:sz w:val="24"/>
                <w:szCs w:val="24"/>
                <w:lang w:val="en-US"/>
              </w:rPr>
              <w:t>NaOH, Na</w:t>
            </w:r>
            <w:r w:rsidRPr="00786706">
              <w:rPr>
                <w:rFonts w:ascii="Times New Roman" w:hAnsi="Times New Roman" w:cs="Times New Roman"/>
                <w:color w:val="000000"/>
                <w:sz w:val="24"/>
                <w:szCs w:val="24"/>
                <w:vertAlign w:val="subscript"/>
                <w:lang w:val="en-US"/>
              </w:rPr>
              <w:t>2</w:t>
            </w:r>
            <w:r w:rsidRPr="00786706">
              <w:rPr>
                <w:rFonts w:ascii="Times New Roman" w:hAnsi="Times New Roman" w:cs="Times New Roman"/>
                <w:color w:val="000000"/>
                <w:sz w:val="24"/>
                <w:szCs w:val="24"/>
                <w:lang w:val="en-US"/>
              </w:rPr>
              <w:t>CO</w:t>
            </w:r>
            <w:r w:rsidRPr="00786706">
              <w:rPr>
                <w:rFonts w:ascii="Times New Roman" w:hAnsi="Times New Roman" w:cs="Times New Roman"/>
                <w:color w:val="000000"/>
                <w:sz w:val="24"/>
                <w:szCs w:val="24"/>
                <w:vertAlign w:val="subscript"/>
                <w:lang w:val="en-US"/>
              </w:rPr>
              <w:t>3</w:t>
            </w:r>
          </w:p>
        </w:tc>
        <w:tc>
          <w:tcPr>
            <w:tcW w:w="3818" w:type="dxa"/>
            <w:tcBorders>
              <w:top w:val="nil"/>
              <w:left w:val="nil"/>
              <w:bottom w:val="nil"/>
              <w:right w:val="nil"/>
            </w:tcBorders>
            <w:vAlign w:val="center"/>
          </w:tcPr>
          <w:p w14:paraId="20A8814A" w14:textId="77777777" w:rsidR="00637A9C" w:rsidRPr="00751C5B" w:rsidRDefault="00637A9C" w:rsidP="00637A9C">
            <w:pPr>
              <w:widowControl w:val="0"/>
              <w:tabs>
                <w:tab w:val="center" w:pos="4513"/>
                <w:tab w:val="right" w:pos="9026"/>
              </w:tabs>
              <w:autoSpaceDE w:val="0"/>
              <w:autoSpaceDN w:val="0"/>
              <w:adjustRightInd w:val="0"/>
              <w:spacing w:after="240" w:line="276" w:lineRule="auto"/>
              <w:ind w:left="720"/>
              <w:contextualSpacing/>
              <w:rPr>
                <w:rFonts w:ascii="Times New Roman" w:hAnsi="Times New Roman" w:cs="Times New Roman"/>
                <w:color w:val="262626" w:themeColor="text1" w:themeTint="D9"/>
                <w:sz w:val="24"/>
                <w:szCs w:val="24"/>
              </w:rPr>
            </w:pPr>
          </w:p>
          <w:p w14:paraId="72E4EC06" w14:textId="08338B57" w:rsidR="003D5839" w:rsidRPr="00751C5B" w:rsidRDefault="003D5839" w:rsidP="00751C5B">
            <w:pPr>
              <w:widowControl w:val="0"/>
              <w:autoSpaceDE w:val="0"/>
              <w:autoSpaceDN w:val="0"/>
              <w:adjustRightInd w:val="0"/>
              <w:spacing w:after="240"/>
              <w:rPr>
                <w:rFonts w:ascii="Times" w:hAnsi="Times" w:cs="Times"/>
                <w:color w:val="262626" w:themeColor="text1" w:themeTint="D9"/>
              </w:rPr>
            </w:pPr>
            <w:r w:rsidRPr="00751C5B">
              <w:rPr>
                <w:rFonts w:ascii="Times New Roman" w:hAnsi="Times New Roman" w:cs="Times New Roman"/>
                <w:color w:val="262626" w:themeColor="text1" w:themeTint="D9"/>
              </w:rPr>
              <w:t>C-S-H, C</w:t>
            </w:r>
            <w:r w:rsidRPr="00751C5B">
              <w:rPr>
                <w:rFonts w:ascii="Times New Roman" w:hAnsi="Times New Roman" w:cs="Times New Roman"/>
                <w:color w:val="262626" w:themeColor="text1" w:themeTint="D9"/>
                <w:vertAlign w:val="subscript"/>
              </w:rPr>
              <w:t>4</w:t>
            </w:r>
            <w:r w:rsidRPr="00751C5B">
              <w:rPr>
                <w:rFonts w:ascii="Times New Roman" w:hAnsi="Times New Roman" w:cs="Times New Roman"/>
                <w:color w:val="262626" w:themeColor="text1" w:themeTint="D9"/>
              </w:rPr>
              <w:t>AH</w:t>
            </w:r>
            <w:r w:rsidRPr="00751C5B">
              <w:rPr>
                <w:rFonts w:ascii="Times New Roman" w:hAnsi="Times New Roman" w:cs="Times New Roman"/>
                <w:color w:val="262626" w:themeColor="text1" w:themeTint="D9"/>
                <w:vertAlign w:val="subscript"/>
              </w:rPr>
              <w:t>13</w:t>
            </w:r>
            <w:r w:rsidRPr="00751C5B">
              <w:rPr>
                <w:rFonts w:ascii="Times New Roman" w:hAnsi="Times New Roman" w:cs="Times New Roman"/>
                <w:color w:val="262626" w:themeColor="text1" w:themeTint="D9"/>
              </w:rPr>
              <w:t>, C</w:t>
            </w:r>
            <w:r w:rsidRPr="00751C5B">
              <w:rPr>
                <w:rFonts w:ascii="Times New Roman" w:hAnsi="Times New Roman" w:cs="Times New Roman"/>
                <w:color w:val="262626" w:themeColor="text1" w:themeTint="D9"/>
                <w:vertAlign w:val="subscript"/>
              </w:rPr>
              <w:t>2</w:t>
            </w:r>
            <w:r w:rsidRPr="00751C5B">
              <w:rPr>
                <w:rFonts w:ascii="Times New Roman" w:hAnsi="Times New Roman" w:cs="Times New Roman"/>
                <w:color w:val="262626" w:themeColor="text1" w:themeTint="D9"/>
              </w:rPr>
              <w:t>AH</w:t>
            </w:r>
            <w:r w:rsidRPr="00751C5B">
              <w:rPr>
                <w:rFonts w:ascii="Times New Roman" w:hAnsi="Times New Roman" w:cs="Times New Roman"/>
                <w:color w:val="262626" w:themeColor="text1" w:themeTint="D9"/>
                <w:vertAlign w:val="subscript"/>
              </w:rPr>
              <w:t>8</w:t>
            </w:r>
            <w:r w:rsidRPr="00751C5B">
              <w:rPr>
                <w:rFonts w:ascii="Times New Roman" w:hAnsi="Times New Roman" w:cs="Times New Roman"/>
                <w:color w:val="262626" w:themeColor="text1" w:themeTint="D9"/>
              </w:rPr>
              <w:t>,</w:t>
            </w:r>
            <w:r w:rsidR="00637A9C" w:rsidRPr="00751C5B">
              <w:rPr>
                <w:rFonts w:ascii="Times" w:hAnsi="Times" w:cs="Times"/>
                <w:color w:val="262626" w:themeColor="text1" w:themeTint="D9"/>
                <w:sz w:val="10"/>
                <w:szCs w:val="10"/>
              </w:rPr>
              <w:t xml:space="preserve"> </w:t>
            </w:r>
            <w:r w:rsidR="00637A9C" w:rsidRPr="00751C5B">
              <w:rPr>
                <w:rFonts w:ascii="Times" w:hAnsi="Times" w:cs="Times"/>
                <w:color w:val="262626" w:themeColor="text1" w:themeTint="D9"/>
                <w:sz w:val="24"/>
                <w:szCs w:val="24"/>
              </w:rPr>
              <w:t>Mg-Al layered phases similar to hydrotalcite</w:t>
            </w:r>
            <w:r w:rsidR="00637A9C" w:rsidRPr="00751C5B">
              <w:rPr>
                <w:rFonts w:ascii="Times" w:hAnsi="Times" w:cs="Times"/>
                <w:color w:val="262626" w:themeColor="text1" w:themeTint="D9"/>
                <w:sz w:val="10"/>
                <w:szCs w:val="10"/>
              </w:rPr>
              <w:t xml:space="preserve"> </w:t>
            </w:r>
          </w:p>
        </w:tc>
      </w:tr>
      <w:tr w:rsidR="003D5839" w:rsidRPr="00786706" w14:paraId="6FF1DFC8" w14:textId="77777777" w:rsidTr="003D5839">
        <w:trPr>
          <w:jc w:val="center"/>
        </w:trPr>
        <w:tc>
          <w:tcPr>
            <w:tcW w:w="3060" w:type="dxa"/>
            <w:tcBorders>
              <w:top w:val="nil"/>
              <w:left w:val="nil"/>
              <w:bottom w:val="single" w:sz="4" w:space="0" w:color="auto"/>
              <w:right w:val="nil"/>
            </w:tcBorders>
            <w:vAlign w:val="center"/>
          </w:tcPr>
          <w:p w14:paraId="4B2E5C62" w14:textId="77777777" w:rsidR="003D5839" w:rsidRDefault="003D5839" w:rsidP="00962F3A">
            <w:pPr>
              <w:spacing w:before="120" w:after="120"/>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Sulphate</w:t>
            </w:r>
          </w:p>
        </w:tc>
        <w:tc>
          <w:tcPr>
            <w:tcW w:w="3818" w:type="dxa"/>
            <w:tcBorders>
              <w:top w:val="nil"/>
              <w:left w:val="nil"/>
              <w:bottom w:val="single" w:sz="4" w:space="0" w:color="auto"/>
              <w:right w:val="nil"/>
            </w:tcBorders>
            <w:vAlign w:val="center"/>
          </w:tcPr>
          <w:p w14:paraId="4C9AF690" w14:textId="77777777" w:rsidR="003D5839" w:rsidRPr="00786706" w:rsidRDefault="003D5839" w:rsidP="00962F3A">
            <w:pPr>
              <w:spacing w:before="120" w:after="120"/>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C-S-H, AFt</w:t>
            </w:r>
          </w:p>
        </w:tc>
      </w:tr>
    </w:tbl>
    <w:p w14:paraId="40D26188" w14:textId="77777777" w:rsidR="005470A3" w:rsidRDefault="005470A3"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color w:val="000000"/>
        </w:rPr>
      </w:pPr>
    </w:p>
    <w:p w14:paraId="2E9001DA" w14:textId="2611428F" w:rsidR="003D5839" w:rsidRPr="006515DD" w:rsidRDefault="003D5839"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The activators are not the only </w:t>
      </w:r>
      <w:r w:rsidR="006D108B">
        <w:rPr>
          <w:rFonts w:ascii="Times New Roman" w:hAnsi="Times New Roman" w:cs="Times New Roman"/>
          <w:color w:val="000000"/>
        </w:rPr>
        <w:t>factors that affect</w:t>
      </w:r>
      <w:r>
        <w:rPr>
          <w:rFonts w:ascii="Times New Roman" w:hAnsi="Times New Roman" w:cs="Times New Roman"/>
          <w:color w:val="000000"/>
        </w:rPr>
        <w:t xml:space="preserve"> </w:t>
      </w:r>
      <w:r w:rsidR="006D108B">
        <w:rPr>
          <w:rFonts w:ascii="Times New Roman" w:hAnsi="Times New Roman" w:cs="Times New Roman"/>
          <w:color w:val="000000"/>
        </w:rPr>
        <w:t>reactivity;</w:t>
      </w:r>
      <w:r>
        <w:rPr>
          <w:rFonts w:ascii="Times New Roman" w:hAnsi="Times New Roman" w:cs="Times New Roman"/>
          <w:color w:val="000000"/>
        </w:rPr>
        <w:t xml:space="preserve"> the content of the BFS and the </w:t>
      </w:r>
      <w:r w:rsidR="00E85025">
        <w:rPr>
          <w:rFonts w:ascii="Times New Roman" w:hAnsi="Times New Roman" w:cs="Times New Roman"/>
          <w:color w:val="000000"/>
        </w:rPr>
        <w:t>PC</w:t>
      </w:r>
      <w:r>
        <w:rPr>
          <w:rFonts w:ascii="Times New Roman" w:hAnsi="Times New Roman" w:cs="Times New Roman"/>
          <w:color w:val="000000"/>
        </w:rPr>
        <w:t xml:space="preserve"> contents also play a role, as well as the temperature, time and BFS characteristics (chemical </w:t>
      </w:r>
      <w:r w:rsidR="00FC070C">
        <w:rPr>
          <w:rFonts w:ascii="Times New Roman" w:hAnsi="Times New Roman" w:cs="Times New Roman"/>
          <w:color w:val="000000"/>
        </w:rPr>
        <w:t>composition, fineness etc.) [30</w:t>
      </w:r>
      <w:r>
        <w:rPr>
          <w:rFonts w:ascii="Times New Roman" w:hAnsi="Times New Roman" w:cs="Times New Roman"/>
          <w:color w:val="000000"/>
        </w:rPr>
        <w:t>] An increase in fineness from 300m</w:t>
      </w:r>
      <w:r>
        <w:rPr>
          <w:rFonts w:ascii="Times New Roman" w:hAnsi="Times New Roman" w:cs="Times New Roman"/>
          <w:color w:val="000000"/>
          <w:vertAlign w:val="superscript"/>
        </w:rPr>
        <w:t>2</w:t>
      </w:r>
      <w:r>
        <w:rPr>
          <w:rFonts w:ascii="Times New Roman" w:hAnsi="Times New Roman" w:cs="Times New Roman"/>
          <w:color w:val="000000"/>
        </w:rPr>
        <w:t xml:space="preserve">/kg to </w:t>
      </w:r>
      <w:r>
        <w:rPr>
          <w:rFonts w:ascii="Times New Roman" w:hAnsi="Times New Roman" w:cs="Times New Roman"/>
          <w:color w:val="000000"/>
        </w:rPr>
        <w:lastRenderedPageBreak/>
        <w:t>500m</w:t>
      </w:r>
      <w:r>
        <w:rPr>
          <w:rFonts w:ascii="Times New Roman" w:hAnsi="Times New Roman" w:cs="Times New Roman"/>
          <w:color w:val="000000"/>
          <w:vertAlign w:val="superscript"/>
        </w:rPr>
        <w:t>2</w:t>
      </w:r>
      <w:r>
        <w:rPr>
          <w:rFonts w:ascii="Times New Roman" w:hAnsi="Times New Roman" w:cs="Times New Roman"/>
          <w:color w:val="000000"/>
        </w:rPr>
        <w:t>/kg, for example, was shown by Hindirchs and Odler [31] to increase the reactivity of BFS.</w:t>
      </w:r>
    </w:p>
    <w:p w14:paraId="361A2B96" w14:textId="77777777" w:rsidR="0088198C" w:rsidRPr="00C93873" w:rsidRDefault="003D5839"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both"/>
        <w:rPr>
          <w:rFonts w:ascii="Times New Roman" w:hAnsi="Times New Roman" w:cs="Times New Roman"/>
          <w:b/>
          <w:bCs/>
          <w:color w:val="000000" w:themeColor="text1"/>
        </w:rPr>
      </w:pPr>
      <w:r w:rsidRPr="00C93873">
        <w:rPr>
          <w:rFonts w:ascii="Times New Roman" w:hAnsi="Times New Roman" w:cs="Times New Roman"/>
          <w:b/>
          <w:bCs/>
          <w:color w:val="000000" w:themeColor="text1"/>
        </w:rPr>
        <w:t xml:space="preserve"> </w:t>
      </w:r>
    </w:p>
    <w:p w14:paraId="65A3C57C" w14:textId="2506F7AE" w:rsidR="003D5839" w:rsidRPr="00C93873" w:rsidRDefault="003D5839"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both"/>
        <w:rPr>
          <w:rFonts w:ascii="Times New Roman" w:hAnsi="Times New Roman" w:cs="Times New Roman"/>
          <w:b/>
          <w:bCs/>
          <w:color w:val="000000" w:themeColor="text1"/>
        </w:rPr>
      </w:pPr>
      <w:r w:rsidRPr="00C93873">
        <w:rPr>
          <w:rFonts w:ascii="Times New Roman" w:hAnsi="Times New Roman" w:cs="Times New Roman"/>
          <w:b/>
          <w:bCs/>
          <w:color w:val="000000" w:themeColor="text1"/>
        </w:rPr>
        <w:t>2.3.4</w:t>
      </w:r>
      <w:r w:rsidRPr="00C93873">
        <w:rPr>
          <w:rFonts w:ascii="Times New Roman" w:hAnsi="Times New Roman" w:cs="Times New Roman"/>
          <w:b/>
          <w:bCs/>
          <w:color w:val="000000" w:themeColor="text1"/>
        </w:rPr>
        <w:tab/>
      </w:r>
      <w:r w:rsidRPr="00C93873">
        <w:rPr>
          <w:rFonts w:ascii="Times New Roman" w:hAnsi="Times New Roman" w:cs="Times New Roman"/>
          <w:b/>
          <w:bCs/>
          <w:color w:val="000000" w:themeColor="text1"/>
        </w:rPr>
        <w:tab/>
        <w:t>Use of Superplasticisers</w:t>
      </w:r>
    </w:p>
    <w:p w14:paraId="05FCF286" w14:textId="00C59CC9" w:rsidR="00404624" w:rsidRDefault="00800039" w:rsidP="005470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both"/>
        <w:rPr>
          <w:rFonts w:ascii="Times New Roman" w:hAnsi="Times New Roman" w:cs="Times New Roman"/>
          <w:bCs/>
          <w:color w:val="000000"/>
        </w:rPr>
      </w:pPr>
      <w:r>
        <w:rPr>
          <w:rFonts w:ascii="Times New Roman" w:hAnsi="Times New Roman" w:cs="Times New Roman"/>
          <w:bCs/>
          <w:color w:val="000000"/>
        </w:rPr>
        <w:t xml:space="preserve">A superplasticiser is a </w:t>
      </w:r>
      <w:r w:rsidRPr="00800039">
        <w:rPr>
          <w:rFonts w:ascii="Times New Roman" w:hAnsi="Times New Roman" w:cs="Times New Roman"/>
          <w:bCs/>
          <w:color w:val="000000"/>
        </w:rPr>
        <w:t>water-reducing cement admixture</w:t>
      </w:r>
      <w:r w:rsidR="008200C7">
        <w:rPr>
          <w:rFonts w:ascii="Times New Roman" w:hAnsi="Times New Roman" w:cs="Times New Roman"/>
          <w:bCs/>
          <w:color w:val="000000"/>
        </w:rPr>
        <w:t xml:space="preserve"> used to promote well-dispersed particle </w:t>
      </w:r>
      <w:r w:rsidR="006D108B">
        <w:rPr>
          <w:rFonts w:ascii="Times New Roman" w:hAnsi="Times New Roman" w:cs="Times New Roman"/>
          <w:bCs/>
          <w:color w:val="000000"/>
        </w:rPr>
        <w:t>suspension;</w:t>
      </w:r>
      <w:r w:rsidR="00F1635D">
        <w:rPr>
          <w:rFonts w:ascii="Times New Roman" w:hAnsi="Times New Roman" w:cs="Times New Roman"/>
          <w:bCs/>
          <w:color w:val="000000"/>
        </w:rPr>
        <w:t xml:space="preserve"> a plasticiser reduces the percentage of necessary water up to 5%, whereas a superplasticiser can reduce the percentage of necessary water by 5-15%</w:t>
      </w:r>
      <w:r>
        <w:rPr>
          <w:rFonts w:ascii="Times New Roman" w:hAnsi="Times New Roman" w:cs="Times New Roman"/>
          <w:bCs/>
          <w:color w:val="000000"/>
        </w:rPr>
        <w:t xml:space="preserve">. </w:t>
      </w:r>
      <w:r w:rsidR="003D5839">
        <w:rPr>
          <w:rFonts w:ascii="Times New Roman" w:hAnsi="Times New Roman" w:cs="Times New Roman"/>
          <w:bCs/>
          <w:color w:val="000000"/>
        </w:rPr>
        <w:t>The introduction</w:t>
      </w:r>
      <w:r w:rsidR="003D5839" w:rsidRPr="00BA5892">
        <w:rPr>
          <w:rFonts w:ascii="Times New Roman" w:hAnsi="Times New Roman" w:cs="Times New Roman"/>
          <w:bCs/>
          <w:color w:val="000000"/>
        </w:rPr>
        <w:t xml:space="preserve"> </w:t>
      </w:r>
      <w:r w:rsidR="001F5C29">
        <w:rPr>
          <w:rFonts w:ascii="Times New Roman" w:hAnsi="Times New Roman" w:cs="Times New Roman"/>
          <w:bCs/>
          <w:color w:val="000000"/>
        </w:rPr>
        <w:t>superplasticiser</w:t>
      </w:r>
      <w:r w:rsidR="003D5839" w:rsidRPr="00BA5892">
        <w:rPr>
          <w:rFonts w:ascii="Times New Roman" w:hAnsi="Times New Roman" w:cs="Times New Roman"/>
          <w:bCs/>
          <w:color w:val="000000"/>
        </w:rPr>
        <w:t>s during the mixing of these cements introduces various beneficial properties</w:t>
      </w:r>
      <w:r w:rsidR="003D5839">
        <w:rPr>
          <w:rFonts w:ascii="Times New Roman" w:hAnsi="Times New Roman" w:cs="Times New Roman"/>
          <w:bCs/>
          <w:color w:val="000000"/>
        </w:rPr>
        <w:t xml:space="preserve"> </w:t>
      </w:r>
      <w:r w:rsidR="008463CA">
        <w:rPr>
          <w:rFonts w:ascii="Times New Roman" w:hAnsi="Times New Roman" w:cs="Times New Roman"/>
          <w:bCs/>
          <w:color w:val="000000"/>
        </w:rPr>
        <w:t>[32]</w:t>
      </w:r>
      <w:r w:rsidR="00497FC0">
        <w:rPr>
          <w:rFonts w:ascii="Times New Roman" w:hAnsi="Times New Roman" w:cs="Times New Roman"/>
          <w:bCs/>
          <w:color w:val="000000"/>
        </w:rPr>
        <w:t xml:space="preserve">. </w:t>
      </w:r>
      <w:r w:rsidR="003D5839">
        <w:rPr>
          <w:rFonts w:ascii="Times New Roman" w:hAnsi="Times New Roman" w:cs="Times New Roman"/>
          <w:bCs/>
          <w:color w:val="000000"/>
        </w:rPr>
        <w:t xml:space="preserve">For example </w:t>
      </w:r>
      <w:r w:rsidR="00C93873">
        <w:rPr>
          <w:rFonts w:ascii="Times New Roman" w:hAnsi="Times New Roman" w:cs="Times New Roman"/>
          <w:bCs/>
          <w:color w:val="000000"/>
        </w:rPr>
        <w:t>t</w:t>
      </w:r>
      <w:r w:rsidR="003D5839">
        <w:rPr>
          <w:rFonts w:ascii="Times New Roman" w:hAnsi="Times New Roman" w:cs="Times New Roman"/>
          <w:bCs/>
          <w:color w:val="000000"/>
        </w:rPr>
        <w:t xml:space="preserve">he fluidity of the cement is improved when the cement particles are dispersed in the paste. A superplasticiser such as </w:t>
      </w:r>
      <w:r w:rsidR="003D5839" w:rsidRPr="006A34E2">
        <w:rPr>
          <w:rFonts w:ascii="Times New Roman" w:hAnsi="Times New Roman" w:cs="Times New Roman" w:hint="eastAsia"/>
          <w:bCs/>
          <w:color w:val="000000"/>
        </w:rPr>
        <w:t>β</w:t>
      </w:r>
      <w:r w:rsidR="003D5839">
        <w:rPr>
          <w:rFonts w:ascii="Times New Roman" w:hAnsi="Times New Roman" w:cs="Times New Roman" w:hint="eastAsia"/>
          <w:bCs/>
          <w:color w:val="000000"/>
        </w:rPr>
        <w:t>-naphthalene sul</w:t>
      </w:r>
      <w:r w:rsidR="003D5839">
        <w:rPr>
          <w:rFonts w:ascii="Times New Roman" w:hAnsi="Times New Roman" w:cs="Times New Roman"/>
          <w:bCs/>
          <w:color w:val="000000"/>
        </w:rPr>
        <w:t>ph</w:t>
      </w:r>
      <w:r w:rsidR="003D5839" w:rsidRPr="006A34E2">
        <w:rPr>
          <w:rFonts w:ascii="Times New Roman" w:hAnsi="Times New Roman" w:cs="Times New Roman" w:hint="eastAsia"/>
          <w:bCs/>
          <w:color w:val="000000"/>
        </w:rPr>
        <w:t>ate (BNS) disperse</w:t>
      </w:r>
      <w:r w:rsidR="003D5839">
        <w:rPr>
          <w:rFonts w:ascii="Times New Roman" w:hAnsi="Times New Roman" w:cs="Times New Roman"/>
          <w:bCs/>
          <w:color w:val="000000"/>
        </w:rPr>
        <w:t>s</w:t>
      </w:r>
      <w:r w:rsidR="00C93873">
        <w:rPr>
          <w:rFonts w:ascii="Times New Roman" w:hAnsi="Times New Roman" w:cs="Times New Roman"/>
          <w:bCs/>
          <w:color w:val="000000"/>
        </w:rPr>
        <w:t xml:space="preserve"> the cement particl</w:t>
      </w:r>
      <w:r w:rsidR="008463CA">
        <w:rPr>
          <w:rFonts w:ascii="Times New Roman" w:hAnsi="Times New Roman" w:cs="Times New Roman"/>
          <w:bCs/>
          <w:color w:val="000000"/>
        </w:rPr>
        <w:t xml:space="preserve">es by </w:t>
      </w:r>
      <w:r w:rsidR="006D108B">
        <w:rPr>
          <w:rFonts w:ascii="Times New Roman" w:hAnsi="Times New Roman" w:cs="Times New Roman"/>
          <w:bCs/>
          <w:color w:val="000000"/>
        </w:rPr>
        <w:t>electrostatic</w:t>
      </w:r>
      <w:r w:rsidR="008463CA">
        <w:rPr>
          <w:rFonts w:ascii="Times New Roman" w:hAnsi="Times New Roman" w:cs="Times New Roman"/>
          <w:bCs/>
          <w:color w:val="000000"/>
        </w:rPr>
        <w:t xml:space="preserve"> repulsion [33</w:t>
      </w:r>
      <w:r w:rsidR="00C93873">
        <w:rPr>
          <w:rFonts w:ascii="Times New Roman" w:hAnsi="Times New Roman" w:cs="Times New Roman"/>
          <w:bCs/>
          <w:color w:val="000000"/>
        </w:rPr>
        <w:t>] and when p</w:t>
      </w:r>
      <w:r w:rsidR="003D5839">
        <w:rPr>
          <w:rFonts w:ascii="Times New Roman" w:hAnsi="Times New Roman" w:cs="Times New Roman"/>
          <w:bCs/>
          <w:color w:val="000000"/>
        </w:rPr>
        <w:t xml:space="preserve">olycarboxylic acid (PC) with graft chains (chains with </w:t>
      </w:r>
      <w:r w:rsidR="00AE4EDA">
        <w:rPr>
          <w:rFonts w:ascii="Times New Roman" w:hAnsi="Times New Roman" w:cs="Times New Roman"/>
          <w:bCs/>
          <w:color w:val="000000"/>
        </w:rPr>
        <w:t>segmented</w:t>
      </w:r>
      <w:r w:rsidR="003D5839">
        <w:rPr>
          <w:rFonts w:ascii="Times New Roman" w:hAnsi="Times New Roman" w:cs="Times New Roman"/>
          <w:bCs/>
          <w:color w:val="000000"/>
        </w:rPr>
        <w:t xml:space="preserve"> copolymers containing a linear backbone of one composite and randomly distributed branches of another composite</w:t>
      </w:r>
      <w:r w:rsidR="00424911">
        <w:rPr>
          <w:rFonts w:ascii="Times New Roman" w:hAnsi="Times New Roman" w:cs="Times New Roman"/>
          <w:bCs/>
          <w:color w:val="000000"/>
        </w:rPr>
        <w:t xml:space="preserve"> </w:t>
      </w:r>
      <w:r w:rsidR="008463CA">
        <w:rPr>
          <w:rFonts w:ascii="Times New Roman" w:hAnsi="Times New Roman" w:cs="Times New Roman"/>
          <w:bCs/>
          <w:color w:val="000000"/>
        </w:rPr>
        <w:t>[34</w:t>
      </w:r>
      <w:r w:rsidR="003D5839">
        <w:rPr>
          <w:rFonts w:ascii="Times New Roman" w:hAnsi="Times New Roman" w:cs="Times New Roman"/>
          <w:bCs/>
          <w:color w:val="000000"/>
        </w:rPr>
        <w:t>]) is used the dispersion occurs as a result of the steric hindrance effect of the graft chain extension from the cemen</w:t>
      </w:r>
      <w:r w:rsidR="008463CA">
        <w:rPr>
          <w:rFonts w:ascii="Times New Roman" w:hAnsi="Times New Roman" w:cs="Times New Roman"/>
          <w:bCs/>
          <w:color w:val="000000"/>
        </w:rPr>
        <w:t>t particle surface [35</w:t>
      </w:r>
      <w:r w:rsidR="00D13D2C">
        <w:rPr>
          <w:rFonts w:ascii="Times New Roman" w:hAnsi="Times New Roman" w:cs="Times New Roman"/>
          <w:bCs/>
          <w:color w:val="000000"/>
        </w:rPr>
        <w:t>]. New su</w:t>
      </w:r>
      <w:r w:rsidR="003D5839">
        <w:rPr>
          <w:rFonts w:ascii="Times New Roman" w:hAnsi="Times New Roman" w:cs="Times New Roman"/>
          <w:bCs/>
          <w:color w:val="000000"/>
        </w:rPr>
        <w:t>p</w:t>
      </w:r>
      <w:r w:rsidR="00D13D2C">
        <w:rPr>
          <w:rFonts w:ascii="Times New Roman" w:hAnsi="Times New Roman" w:cs="Times New Roman"/>
          <w:bCs/>
          <w:color w:val="000000"/>
        </w:rPr>
        <w:t>er</w:t>
      </w:r>
      <w:r w:rsidR="003D5839">
        <w:rPr>
          <w:rFonts w:ascii="Times New Roman" w:hAnsi="Times New Roman" w:cs="Times New Roman"/>
          <w:bCs/>
          <w:color w:val="000000"/>
        </w:rPr>
        <w:t>lasticisers are in development to activate both these dispersion mechanisms sim</w:t>
      </w:r>
      <w:r w:rsidR="008463CA">
        <w:rPr>
          <w:rFonts w:ascii="Times New Roman" w:hAnsi="Times New Roman" w:cs="Times New Roman"/>
          <w:bCs/>
          <w:color w:val="000000"/>
        </w:rPr>
        <w:t>ultaneously. Yoshioka et al. [36</w:t>
      </w:r>
      <w:r w:rsidR="003D5839">
        <w:rPr>
          <w:rFonts w:ascii="Times New Roman" w:hAnsi="Times New Roman" w:cs="Times New Roman"/>
          <w:bCs/>
          <w:color w:val="000000"/>
        </w:rPr>
        <w:t xml:space="preserve">] tested the effect of three superplasticisers (BNS, PC and polysulphonic acid) on the fluidity of commercial </w:t>
      </w:r>
      <w:r w:rsidR="00E85025">
        <w:rPr>
          <w:rFonts w:ascii="Times New Roman" w:hAnsi="Times New Roman" w:cs="Times New Roman"/>
          <w:bCs/>
          <w:color w:val="000000"/>
        </w:rPr>
        <w:t>PC</w:t>
      </w:r>
      <w:r w:rsidR="006A237C">
        <w:rPr>
          <w:rFonts w:ascii="Times New Roman" w:hAnsi="Times New Roman" w:cs="Times New Roman"/>
          <w:bCs/>
          <w:color w:val="000000"/>
        </w:rPr>
        <w:t>, using a flow cone method</w:t>
      </w:r>
      <w:r w:rsidR="00F1635D">
        <w:rPr>
          <w:rFonts w:ascii="Times New Roman" w:hAnsi="Times New Roman" w:cs="Times New Roman"/>
          <w:bCs/>
          <w:color w:val="000000"/>
        </w:rPr>
        <w:t>. They poured the cement pastes through the cone, then removed the cone and measured the maximum diameter of the spread paste and the width perpendicular to that diameter</w:t>
      </w:r>
      <w:r w:rsidR="006A237C">
        <w:rPr>
          <w:rFonts w:ascii="Times New Roman" w:hAnsi="Times New Roman" w:cs="Times New Roman"/>
          <w:bCs/>
          <w:color w:val="000000"/>
        </w:rPr>
        <w:t xml:space="preserve">. </w:t>
      </w:r>
      <w:r w:rsidR="003D5839">
        <w:rPr>
          <w:rFonts w:ascii="Times New Roman" w:hAnsi="Times New Roman" w:cs="Times New Roman"/>
          <w:bCs/>
          <w:color w:val="000000"/>
        </w:rPr>
        <w:t>They found that 0.5wt% of BNS increased the fluidity of the cement by approximately 100%, the other superplasticisers increased the fluidity by 30-40% at a dosage of 1-2wt%. Rece</w:t>
      </w:r>
      <w:r w:rsidR="008463CA">
        <w:rPr>
          <w:rFonts w:ascii="Times New Roman" w:hAnsi="Times New Roman" w:cs="Times New Roman"/>
          <w:bCs/>
          <w:color w:val="000000"/>
        </w:rPr>
        <w:t>nt research by Jansen et al. [37</w:t>
      </w:r>
      <w:r w:rsidR="003D5839">
        <w:rPr>
          <w:rFonts w:ascii="Times New Roman" w:hAnsi="Times New Roman" w:cs="Times New Roman"/>
          <w:bCs/>
          <w:color w:val="000000"/>
        </w:rPr>
        <w:t>] studied the impact of superplasticisers on cement hydration and found that the superplasticiser retards both the silicate and aluminate hydration reactions. They explained that this could be due to the complexation of Ca</w:t>
      </w:r>
      <w:r w:rsidR="003D5839">
        <w:rPr>
          <w:rFonts w:ascii="Times New Roman" w:hAnsi="Times New Roman" w:cs="Times New Roman"/>
          <w:bCs/>
          <w:color w:val="000000"/>
          <w:vertAlign w:val="superscript"/>
        </w:rPr>
        <w:t>2+</w:t>
      </w:r>
      <w:r w:rsidR="003D5839">
        <w:rPr>
          <w:rFonts w:ascii="Times New Roman" w:hAnsi="Times New Roman" w:cs="Times New Roman"/>
          <w:bCs/>
          <w:color w:val="000000"/>
        </w:rPr>
        <w:t xml:space="preserve"> ions from the pore solution, meaning a depletion of Ca</w:t>
      </w:r>
      <w:r w:rsidR="003D5839">
        <w:rPr>
          <w:rFonts w:ascii="Times New Roman" w:hAnsi="Times New Roman" w:cs="Times New Roman"/>
          <w:bCs/>
          <w:color w:val="000000"/>
          <w:vertAlign w:val="superscript"/>
        </w:rPr>
        <w:t>2+</w:t>
      </w:r>
      <w:r w:rsidR="003D5839">
        <w:rPr>
          <w:rFonts w:ascii="Times New Roman" w:hAnsi="Times New Roman" w:cs="Times New Roman"/>
          <w:bCs/>
          <w:color w:val="000000"/>
        </w:rPr>
        <w:t xml:space="preserve"> in the pore solution thus retarding both the aluminate and silicate reactions. Alternatively, they suggested this retardation could be due to the superplasticiser being absorbed on to the nuclei of the hydrate phases</w:t>
      </w:r>
      <w:r w:rsidR="00D17424">
        <w:rPr>
          <w:rFonts w:ascii="Times New Roman" w:hAnsi="Times New Roman" w:cs="Times New Roman"/>
          <w:bCs/>
          <w:color w:val="000000"/>
        </w:rPr>
        <w:t xml:space="preserve"> or into the </w:t>
      </w:r>
      <w:r w:rsidR="00D17424" w:rsidRPr="00D17424">
        <w:rPr>
          <w:rFonts w:ascii="Times New Roman" w:hAnsi="Times New Roman" w:cs="Times New Roman"/>
          <w:bCs/>
          <w:color w:val="000000"/>
        </w:rPr>
        <w:t>interlayer</w:t>
      </w:r>
      <w:r w:rsidR="00D17424">
        <w:rPr>
          <w:rFonts w:ascii="Times New Roman" w:hAnsi="Times New Roman" w:cs="Times New Roman"/>
          <w:bCs/>
          <w:color w:val="000000"/>
        </w:rPr>
        <w:t>s</w:t>
      </w:r>
      <w:r w:rsidR="00D17424" w:rsidRPr="00D17424">
        <w:rPr>
          <w:rFonts w:ascii="Times New Roman" w:hAnsi="Times New Roman" w:cs="Times New Roman"/>
          <w:bCs/>
          <w:color w:val="000000"/>
        </w:rPr>
        <w:t xml:space="preserve"> of AFt and AFm phases</w:t>
      </w:r>
      <w:r w:rsidR="00D17424">
        <w:rPr>
          <w:rFonts w:ascii="Times New Roman" w:hAnsi="Times New Roman" w:cs="Times New Roman"/>
          <w:bCs/>
          <w:color w:val="000000"/>
        </w:rPr>
        <w:t xml:space="preserve">, </w:t>
      </w:r>
      <w:r w:rsidR="003D5839">
        <w:rPr>
          <w:rFonts w:ascii="Times New Roman" w:hAnsi="Times New Roman" w:cs="Times New Roman"/>
          <w:bCs/>
          <w:color w:val="000000"/>
        </w:rPr>
        <w:t xml:space="preserve">during the nucleation growth stage of hydration. This absorption prevents the progression of hydration potentially explaining the retardation behaviour [36]. </w:t>
      </w:r>
      <w:r w:rsidR="003D5839" w:rsidRPr="00BA5892">
        <w:rPr>
          <w:rFonts w:ascii="Times New Roman" w:hAnsi="Times New Roman" w:cs="Times New Roman"/>
          <w:bCs/>
          <w:color w:val="000000"/>
        </w:rPr>
        <w:t>The addition of ADVA cast 551</w:t>
      </w:r>
      <w:r w:rsidR="003D5839">
        <w:rPr>
          <w:rFonts w:ascii="Times New Roman" w:hAnsi="Times New Roman" w:cs="Times New Roman"/>
          <w:bCs/>
          <w:color w:val="000000"/>
        </w:rPr>
        <w:t>, a commercially used superplasticiser</w:t>
      </w:r>
      <w:r w:rsidR="00404624">
        <w:rPr>
          <w:rFonts w:ascii="Times New Roman" w:hAnsi="Times New Roman" w:cs="Times New Roman"/>
          <w:bCs/>
          <w:color w:val="000000"/>
        </w:rPr>
        <w:t xml:space="preserve"> </w:t>
      </w:r>
      <w:r w:rsidR="00404624">
        <w:rPr>
          <w:rFonts w:ascii="Times New Roman" w:hAnsi="Times New Roman" w:cs="Times New Roman"/>
          <w:bCs/>
          <w:color w:val="000000"/>
          <w:lang w:val="en-GB"/>
        </w:rPr>
        <w:t xml:space="preserve">ADVA Cast 551 (based </w:t>
      </w:r>
      <w:r w:rsidR="00404624" w:rsidRPr="00404624">
        <w:rPr>
          <w:rFonts w:ascii="Times New Roman" w:hAnsi="Times New Roman" w:cs="Times New Roman"/>
          <w:bCs/>
          <w:color w:val="000000"/>
          <w:lang w:val="en-GB"/>
        </w:rPr>
        <w:t>on a polycarboxylated poly-ether comb polymer</w:t>
      </w:r>
      <w:r w:rsidR="00404624">
        <w:rPr>
          <w:rFonts w:ascii="Times New Roman" w:hAnsi="Times New Roman" w:cs="Times New Roman"/>
          <w:bCs/>
          <w:color w:val="000000"/>
          <w:lang w:val="en-GB"/>
        </w:rPr>
        <w:t>)</w:t>
      </w:r>
      <w:r w:rsidR="003D5839">
        <w:rPr>
          <w:rFonts w:ascii="Times New Roman" w:hAnsi="Times New Roman" w:cs="Times New Roman"/>
          <w:bCs/>
          <w:color w:val="000000"/>
        </w:rPr>
        <w:t>,</w:t>
      </w:r>
      <w:r w:rsidR="00A46BEC">
        <w:rPr>
          <w:rFonts w:ascii="Times New Roman" w:hAnsi="Times New Roman" w:cs="Times New Roman"/>
          <w:bCs/>
          <w:color w:val="000000"/>
        </w:rPr>
        <w:t xml:space="preserve"> to a </w:t>
      </w:r>
      <w:r w:rsidR="006E4F96">
        <w:rPr>
          <w:rFonts w:ascii="Times New Roman" w:hAnsi="Times New Roman" w:cs="Times New Roman"/>
          <w:bCs/>
          <w:color w:val="000000"/>
        </w:rPr>
        <w:t>BFS</w:t>
      </w:r>
      <w:proofErr w:type="gramStart"/>
      <w:r w:rsidR="00A46BEC">
        <w:rPr>
          <w:rFonts w:ascii="Times New Roman" w:hAnsi="Times New Roman" w:cs="Times New Roman"/>
          <w:bCs/>
          <w:color w:val="000000"/>
        </w:rPr>
        <w:t>:CEM</w:t>
      </w:r>
      <w:proofErr w:type="gramEnd"/>
      <w:r w:rsidR="00A46BEC">
        <w:rPr>
          <w:rFonts w:ascii="Times New Roman" w:hAnsi="Times New Roman" w:cs="Times New Roman"/>
          <w:bCs/>
          <w:color w:val="000000"/>
        </w:rPr>
        <w:t xml:space="preserve"> I</w:t>
      </w:r>
      <w:r w:rsidR="003D5839" w:rsidRPr="00BA5892">
        <w:rPr>
          <w:rFonts w:ascii="Times New Roman" w:hAnsi="Times New Roman" w:cs="Times New Roman"/>
          <w:bCs/>
          <w:color w:val="000000"/>
        </w:rPr>
        <w:t xml:space="preserve"> cement </w:t>
      </w:r>
      <w:r w:rsidR="003D5839">
        <w:rPr>
          <w:rFonts w:ascii="Times New Roman" w:hAnsi="Times New Roman" w:cs="Times New Roman"/>
          <w:bCs/>
          <w:color w:val="000000"/>
        </w:rPr>
        <w:t xml:space="preserve">has also been known to </w:t>
      </w:r>
      <w:r w:rsidR="003D5839" w:rsidRPr="00BA5892">
        <w:rPr>
          <w:rFonts w:ascii="Times New Roman" w:hAnsi="Times New Roman" w:cs="Times New Roman"/>
          <w:bCs/>
          <w:color w:val="000000"/>
        </w:rPr>
        <w:t>increase the fluidity of the cement paste and delayed the setting times, thus significantly increasing the workability of the cement</w:t>
      </w:r>
      <w:r w:rsidR="00404624">
        <w:rPr>
          <w:rFonts w:ascii="Times New Roman" w:hAnsi="Times New Roman" w:cs="Times New Roman"/>
          <w:bCs/>
          <w:color w:val="000000"/>
        </w:rPr>
        <w:t xml:space="preserve">. </w:t>
      </w:r>
      <w:r w:rsidR="00404624" w:rsidRPr="00BA5892">
        <w:rPr>
          <w:rFonts w:ascii="Times New Roman" w:hAnsi="Times New Roman" w:cs="Times New Roman"/>
          <w:bCs/>
          <w:color w:val="000000"/>
        </w:rPr>
        <w:t xml:space="preserve">This allows for </w:t>
      </w:r>
      <w:r w:rsidR="00404624" w:rsidRPr="00BA5892">
        <w:rPr>
          <w:rFonts w:ascii="Times New Roman" w:hAnsi="Times New Roman" w:cs="Times New Roman"/>
          <w:bCs/>
          <w:color w:val="000000"/>
        </w:rPr>
        <w:lastRenderedPageBreak/>
        <w:t xml:space="preserve">large reductions in the required water for mixing, resulting in high early strength development, </w:t>
      </w:r>
      <w:r w:rsidR="00404624">
        <w:rPr>
          <w:rFonts w:ascii="Times New Roman" w:hAnsi="Times New Roman" w:cs="Times New Roman"/>
          <w:bCs/>
          <w:color w:val="000000"/>
        </w:rPr>
        <w:t>a</w:t>
      </w:r>
      <w:r w:rsidR="00404624" w:rsidRPr="00BA5892">
        <w:rPr>
          <w:rFonts w:ascii="Times New Roman" w:hAnsi="Times New Roman" w:cs="Times New Roman"/>
          <w:bCs/>
          <w:color w:val="000000"/>
        </w:rPr>
        <w:t xml:space="preserve"> decrease in permeability and </w:t>
      </w:r>
      <w:r w:rsidR="00404624">
        <w:rPr>
          <w:rFonts w:ascii="Times New Roman" w:hAnsi="Times New Roman" w:cs="Times New Roman"/>
          <w:bCs/>
          <w:color w:val="000000"/>
        </w:rPr>
        <w:t>a</w:t>
      </w:r>
      <w:r w:rsidR="00404624" w:rsidRPr="00BA5892">
        <w:rPr>
          <w:rFonts w:ascii="Times New Roman" w:hAnsi="Times New Roman" w:cs="Times New Roman"/>
          <w:bCs/>
          <w:color w:val="000000"/>
        </w:rPr>
        <w:t xml:space="preserve"> significant reduction in costs</w:t>
      </w:r>
      <w:r w:rsidR="003D5839">
        <w:rPr>
          <w:rFonts w:ascii="Times New Roman" w:hAnsi="Times New Roman" w:cs="Times New Roman"/>
          <w:bCs/>
          <w:color w:val="000000"/>
        </w:rPr>
        <w:t xml:space="preserve"> [37]</w:t>
      </w:r>
      <w:r w:rsidR="00404624">
        <w:rPr>
          <w:rFonts w:ascii="Times New Roman" w:hAnsi="Times New Roman" w:cs="Times New Roman"/>
          <w:bCs/>
          <w:color w:val="000000"/>
        </w:rPr>
        <w:t xml:space="preserve">. The repeating monomer unit of ADVA Cast 551 is shown in figure </w:t>
      </w:r>
      <w:r w:rsidR="0054276E">
        <w:rPr>
          <w:rFonts w:ascii="Times New Roman" w:hAnsi="Times New Roman" w:cs="Times New Roman"/>
          <w:bCs/>
          <w:color w:val="000000"/>
        </w:rPr>
        <w:t>2.9.</w:t>
      </w:r>
    </w:p>
    <w:p w14:paraId="649924C1" w14:textId="77777777" w:rsidR="006E4F96" w:rsidRDefault="006E4F96" w:rsidP="005470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both"/>
        <w:rPr>
          <w:rFonts w:ascii="Times New Roman" w:hAnsi="Times New Roman" w:cs="Times New Roman"/>
          <w:bCs/>
          <w:color w:val="000000"/>
        </w:rPr>
      </w:pPr>
    </w:p>
    <w:p w14:paraId="79A4C560" w14:textId="572B0A80" w:rsidR="00404624" w:rsidRDefault="006E4F96" w:rsidP="00751C5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jc w:val="center"/>
        <w:rPr>
          <w:rFonts w:ascii="Times New Roman" w:hAnsi="Times New Roman" w:cs="Times New Roman"/>
          <w:bCs/>
          <w:color w:val="000000"/>
        </w:rPr>
      </w:pPr>
      <w:r w:rsidRPr="00751C5B">
        <w:rPr>
          <w:rFonts w:ascii="Times New Roman" w:hAnsi="Times New Roman" w:cs="Times New Roman"/>
          <w:bCs/>
          <w:noProof/>
          <w:color w:val="000000"/>
        </w:rPr>
        <w:drawing>
          <wp:inline distT="0" distB="0" distL="0" distR="0" wp14:anchorId="3B8F9A0B" wp14:editId="7A4C850C">
            <wp:extent cx="3429000" cy="3181436"/>
            <wp:effectExtent l="0" t="0" r="0" b="0"/>
            <wp:docPr id="280" name="Picture 5" descr="SSD:Users:WG:Desktop:Screen Shot 2015-09-19 at 19.3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SD:Users:WG:Desktop:Screen Shot 2015-09-19 at 19.36.5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535" cy="3181932"/>
                    </a:xfrm>
                    <a:prstGeom prst="rect">
                      <a:avLst/>
                    </a:prstGeom>
                    <a:noFill/>
                    <a:ln>
                      <a:noFill/>
                    </a:ln>
                  </pic:spPr>
                </pic:pic>
              </a:graphicData>
            </a:graphic>
          </wp:inline>
        </w:drawing>
      </w:r>
    </w:p>
    <w:p w14:paraId="5542AAF1" w14:textId="33F86B80" w:rsidR="00404624" w:rsidRPr="0054276E" w:rsidRDefault="0054276E" w:rsidP="00751C5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jc w:val="center"/>
        <w:rPr>
          <w:rFonts w:ascii="Times New Roman" w:hAnsi="Times New Roman" w:cs="Times New Roman"/>
          <w:bCs/>
          <w:color w:val="000000"/>
        </w:rPr>
      </w:pPr>
      <w:r w:rsidRPr="00751C5B">
        <w:rPr>
          <w:rFonts w:ascii="Times New Roman" w:hAnsi="Times New Roman" w:cs="Times New Roman"/>
          <w:b/>
          <w:bCs/>
          <w:color w:val="000000"/>
        </w:rPr>
        <w:t>Figure 2.9:</w:t>
      </w:r>
      <w:r>
        <w:rPr>
          <w:rFonts w:ascii="Times New Roman" w:hAnsi="Times New Roman" w:cs="Times New Roman"/>
          <w:b/>
          <w:bCs/>
          <w:color w:val="000000"/>
        </w:rPr>
        <w:t xml:space="preserve"> </w:t>
      </w:r>
      <w:r>
        <w:rPr>
          <w:rFonts w:ascii="Times New Roman" w:hAnsi="Times New Roman" w:cs="Times New Roman"/>
          <w:bCs/>
          <w:color w:val="000000"/>
        </w:rPr>
        <w:t>The repeating monomer unit of ADVA Cast 551</w:t>
      </w:r>
      <w:r>
        <w:rPr>
          <w:rFonts w:ascii="Times New Roman" w:hAnsi="Times New Roman" w:cs="Times New Roman"/>
          <w:bCs/>
          <w:color w:val="000000"/>
        </w:rPr>
        <w:br/>
      </w:r>
    </w:p>
    <w:p w14:paraId="7AFF3FFB" w14:textId="66C510B1" w:rsidR="003D5839" w:rsidRPr="00751C5B" w:rsidRDefault="00C009C0" w:rsidP="005470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both"/>
        <w:rPr>
          <w:rFonts w:ascii="Times New Roman" w:hAnsi="Times New Roman" w:cs="Times New Roman"/>
          <w:bCs/>
          <w:color w:val="000000"/>
          <w:lang w:val="en-GB"/>
        </w:rPr>
      </w:pPr>
      <w:r>
        <w:rPr>
          <w:rFonts w:ascii="Times New Roman" w:hAnsi="Times New Roman" w:cs="Times New Roman"/>
          <w:bCs/>
          <w:color w:val="000000"/>
        </w:rPr>
        <w:t>The complexation of ions with superplasticisers is of a major concern from a waste immobilisation perspective. Systems used to immobilize radionuclides such as Pu and U have shown that the introduction of the superplasticisers complexed these radionuclides and increased their leaching rate [</w:t>
      </w:r>
      <w:r w:rsidR="008463CA">
        <w:rPr>
          <w:rFonts w:ascii="Times New Roman" w:hAnsi="Times New Roman" w:cs="Times New Roman"/>
          <w:bCs/>
          <w:color w:val="000000"/>
        </w:rPr>
        <w:t>32</w:t>
      </w:r>
      <w:r>
        <w:rPr>
          <w:rFonts w:ascii="Times New Roman" w:hAnsi="Times New Roman" w:cs="Times New Roman"/>
          <w:bCs/>
          <w:color w:val="000000"/>
        </w:rPr>
        <w:t xml:space="preserve">]. </w:t>
      </w:r>
    </w:p>
    <w:p w14:paraId="181B7F7C" w14:textId="77777777" w:rsidR="00DE17C5" w:rsidRDefault="00DE17C5"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b/>
          <w:bCs/>
          <w:color w:val="000000"/>
          <w:sz w:val="28"/>
        </w:rPr>
      </w:pPr>
    </w:p>
    <w:p w14:paraId="71F671D0" w14:textId="77777777" w:rsidR="00DE17C5" w:rsidRDefault="00DE17C5"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b/>
          <w:bCs/>
          <w:color w:val="000000"/>
          <w:sz w:val="28"/>
        </w:rPr>
      </w:pPr>
    </w:p>
    <w:p w14:paraId="2D467047" w14:textId="309222FF" w:rsidR="003D5839" w:rsidRDefault="003D5839"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b/>
          <w:bCs/>
          <w:color w:val="000000"/>
          <w:sz w:val="28"/>
        </w:rPr>
      </w:pPr>
      <w:r w:rsidRPr="00E2321C">
        <w:rPr>
          <w:rFonts w:ascii="Times New Roman" w:hAnsi="Times New Roman" w:cs="Times New Roman"/>
          <w:b/>
          <w:bCs/>
          <w:color w:val="000000"/>
          <w:sz w:val="28"/>
        </w:rPr>
        <w:t>2.4</w:t>
      </w:r>
      <w:r w:rsidRPr="00E2321C">
        <w:rPr>
          <w:rFonts w:ascii="Times New Roman" w:hAnsi="Times New Roman" w:cs="Times New Roman"/>
          <w:b/>
          <w:bCs/>
          <w:color w:val="000000"/>
          <w:sz w:val="28"/>
        </w:rPr>
        <w:tab/>
        <w:t>BFS</w:t>
      </w:r>
      <w:proofErr w:type="gramStart"/>
      <w:r w:rsidRPr="00E2321C">
        <w:rPr>
          <w:rFonts w:ascii="Times New Roman" w:hAnsi="Times New Roman" w:cs="Times New Roman"/>
          <w:b/>
          <w:bCs/>
          <w:color w:val="000000"/>
          <w:sz w:val="28"/>
        </w:rPr>
        <w:t>:</w:t>
      </w:r>
      <w:r w:rsidR="00E85025">
        <w:rPr>
          <w:rFonts w:ascii="Times New Roman" w:hAnsi="Times New Roman" w:cs="Times New Roman"/>
          <w:b/>
          <w:bCs/>
          <w:color w:val="000000"/>
          <w:sz w:val="28"/>
        </w:rPr>
        <w:t>PC</w:t>
      </w:r>
      <w:proofErr w:type="gramEnd"/>
      <w:r w:rsidRPr="00E2321C">
        <w:rPr>
          <w:rFonts w:ascii="Times New Roman" w:hAnsi="Times New Roman" w:cs="Times New Roman"/>
          <w:b/>
          <w:bCs/>
          <w:color w:val="000000"/>
          <w:sz w:val="28"/>
        </w:rPr>
        <w:t xml:space="preserve"> Cements in Waste </w:t>
      </w:r>
      <w:r>
        <w:rPr>
          <w:rFonts w:ascii="Times New Roman" w:hAnsi="Times New Roman" w:cs="Times New Roman"/>
          <w:b/>
          <w:bCs/>
          <w:color w:val="000000"/>
          <w:sz w:val="28"/>
        </w:rPr>
        <w:t>Immobilisation</w:t>
      </w:r>
    </w:p>
    <w:p w14:paraId="024E2372" w14:textId="77777777" w:rsidR="003D5839" w:rsidRDefault="003D5839"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both"/>
        <w:rPr>
          <w:rFonts w:ascii="Times New Roman" w:hAnsi="Times New Roman" w:cs="Times New Roman"/>
          <w:b/>
          <w:bCs/>
          <w:color w:val="000000"/>
        </w:rPr>
      </w:pPr>
      <w:r>
        <w:rPr>
          <w:rFonts w:ascii="Times New Roman" w:hAnsi="Times New Roman" w:cs="Times New Roman"/>
          <w:b/>
          <w:bCs/>
          <w:color w:val="000000"/>
        </w:rPr>
        <w:t xml:space="preserve">2.4.1 </w:t>
      </w:r>
      <w:r>
        <w:rPr>
          <w:rFonts w:ascii="Times New Roman" w:hAnsi="Times New Roman" w:cs="Times New Roman"/>
          <w:b/>
          <w:bCs/>
          <w:color w:val="000000"/>
        </w:rPr>
        <w:tab/>
        <w:t>General Use</w:t>
      </w:r>
    </w:p>
    <w:p w14:paraId="0AB2831E" w14:textId="118B0906" w:rsidR="003D5839" w:rsidRPr="0010492E" w:rsidRDefault="001B1999" w:rsidP="003D5839">
      <w:pPr>
        <w:spacing w:after="120" w:line="360" w:lineRule="auto"/>
        <w:jc w:val="both"/>
        <w:rPr>
          <w:rFonts w:ascii="Times New Roman" w:hAnsi="Times New Roman" w:cs="Times New Roman"/>
          <w:b/>
          <w:color w:val="FF0000"/>
          <w:sz w:val="28"/>
          <w:szCs w:val="28"/>
        </w:rPr>
      </w:pPr>
      <w:r>
        <w:rPr>
          <w:rFonts w:ascii="Times New Roman" w:hAnsi="Times New Roman" w:cs="Times New Roman"/>
          <w:szCs w:val="28"/>
        </w:rPr>
        <w:t>In the UK, the immobilisation of ILW is predominantly done within the</w:t>
      </w:r>
      <w:r w:rsidR="003D5839">
        <w:rPr>
          <w:rFonts w:ascii="Times New Roman" w:hAnsi="Times New Roman" w:cs="Times New Roman"/>
          <w:szCs w:val="28"/>
        </w:rPr>
        <w:t xml:space="preserve"> BFS</w:t>
      </w:r>
      <w:proofErr w:type="gramStart"/>
      <w:r w:rsidR="003D5839">
        <w:rPr>
          <w:rFonts w:ascii="Times New Roman" w:hAnsi="Times New Roman" w:cs="Times New Roman"/>
          <w:szCs w:val="28"/>
        </w:rPr>
        <w:t>:</w:t>
      </w:r>
      <w:r w:rsidR="00E85025">
        <w:rPr>
          <w:rFonts w:ascii="Times New Roman" w:hAnsi="Times New Roman" w:cs="Times New Roman"/>
          <w:szCs w:val="28"/>
        </w:rPr>
        <w:t>PC</w:t>
      </w:r>
      <w:proofErr w:type="gramEnd"/>
      <w:r w:rsidR="003D5839">
        <w:rPr>
          <w:rFonts w:ascii="Times New Roman" w:hAnsi="Times New Roman" w:cs="Times New Roman"/>
          <w:szCs w:val="28"/>
        </w:rPr>
        <w:t xml:space="preserve"> composite cements, as previously mentioned. Various aspects of the cement matrix allow for an array of ions to be immobilised, however this strongly depends on the chemical environment and hydration reactions within the cement. There are three main reaction mechanisms for immobilising the radionuclides in a BFS</w:t>
      </w:r>
      <w:proofErr w:type="gramStart"/>
      <w:r w:rsidR="003D5839">
        <w:rPr>
          <w:rFonts w:ascii="Times New Roman" w:hAnsi="Times New Roman" w:cs="Times New Roman"/>
          <w:szCs w:val="28"/>
        </w:rPr>
        <w:t>:</w:t>
      </w:r>
      <w:r w:rsidR="00E85025">
        <w:rPr>
          <w:rFonts w:ascii="Times New Roman" w:hAnsi="Times New Roman" w:cs="Times New Roman"/>
          <w:szCs w:val="28"/>
        </w:rPr>
        <w:t>PC</w:t>
      </w:r>
      <w:proofErr w:type="gramEnd"/>
      <w:r w:rsidR="003D5839">
        <w:rPr>
          <w:rFonts w:ascii="Times New Roman" w:hAnsi="Times New Roman" w:cs="Times New Roman"/>
          <w:szCs w:val="28"/>
        </w:rPr>
        <w:t xml:space="preserve"> matrix, sorption, ion exchange and compound formation</w:t>
      </w:r>
      <w:r w:rsidR="00F3689E">
        <w:rPr>
          <w:rFonts w:ascii="Times New Roman" w:hAnsi="Times New Roman" w:cs="Times New Roman"/>
          <w:szCs w:val="28"/>
        </w:rPr>
        <w:t xml:space="preserve">. Sorption occurs onto or into a gel like phase such as C-S-H, ion exchange or </w:t>
      </w:r>
      <w:r w:rsidR="00F3689E">
        <w:rPr>
          <w:rFonts w:ascii="Times New Roman" w:hAnsi="Times New Roman" w:cs="Times New Roman"/>
          <w:szCs w:val="28"/>
        </w:rPr>
        <w:lastRenderedPageBreak/>
        <w:t>substitution occurs in one of the crystalline phase and finally if a reaction occurs between the radionuclides and one or more of the cement species they form a new compound [38]</w:t>
      </w:r>
      <w:r w:rsidR="003D5839">
        <w:rPr>
          <w:rFonts w:ascii="Times New Roman" w:hAnsi="Times New Roman" w:cs="Times New Roman"/>
          <w:szCs w:val="28"/>
        </w:rPr>
        <w:t>. The mechanism used is dependent on the radionuclide that is being immobilised.  The waste ion interactions that may occur within the cement were illustrated by Cocke and Mollah [38] shown in Figure 2.</w:t>
      </w:r>
      <w:r w:rsidR="007E5925">
        <w:rPr>
          <w:rFonts w:ascii="Times New Roman" w:hAnsi="Times New Roman" w:cs="Times New Roman"/>
          <w:szCs w:val="28"/>
        </w:rPr>
        <w:t>10</w:t>
      </w:r>
      <w:r w:rsidR="003D5839">
        <w:rPr>
          <w:rFonts w:ascii="Times New Roman" w:hAnsi="Times New Roman" w:cs="Times New Roman"/>
          <w:szCs w:val="28"/>
        </w:rPr>
        <w:t xml:space="preserve">, stating that </w:t>
      </w:r>
      <w:r w:rsidR="003D5839" w:rsidRPr="00813B48">
        <w:rPr>
          <w:rFonts w:ascii="Times New Roman" w:hAnsi="Times New Roman" w:cs="Times New Roman"/>
        </w:rPr>
        <w:t>ions could chemisorb, precipitate, form a surface compound to any of several cement component surface</w:t>
      </w:r>
      <w:r w:rsidR="003D5839">
        <w:rPr>
          <w:rFonts w:ascii="Times New Roman" w:hAnsi="Times New Roman" w:cs="Times New Roman"/>
        </w:rPr>
        <w:t>s, form inclusions or be chemi</w:t>
      </w:r>
      <w:r w:rsidR="003D5839" w:rsidRPr="00813B48">
        <w:rPr>
          <w:rFonts w:ascii="Times New Roman" w:hAnsi="Times New Roman" w:cs="Times New Roman"/>
        </w:rPr>
        <w:t xml:space="preserve">cally incorporated into the cement </w:t>
      </w:r>
      <w:r w:rsidR="00081151">
        <w:rPr>
          <w:rFonts w:ascii="Times New Roman" w:hAnsi="Times New Roman" w:cs="Times New Roman"/>
        </w:rPr>
        <w:t>crystal phases</w:t>
      </w:r>
      <w:r w:rsidR="003D5839" w:rsidRPr="00813B48">
        <w:rPr>
          <w:rFonts w:ascii="Times New Roman" w:hAnsi="Times New Roman" w:cs="Times New Roman"/>
        </w:rPr>
        <w:t xml:space="preserve">, or </w:t>
      </w:r>
      <w:r w:rsidR="003D5839">
        <w:rPr>
          <w:rFonts w:ascii="Times New Roman" w:hAnsi="Times New Roman" w:cs="Times New Roman"/>
        </w:rPr>
        <w:t xml:space="preserve">a combination of these. </w:t>
      </w:r>
    </w:p>
    <w:p w14:paraId="7D5CB9F0" w14:textId="77777777" w:rsidR="003D5839" w:rsidRDefault="003D5839" w:rsidP="003D5839">
      <w:pPr>
        <w:spacing w:before="120" w:after="120" w:line="360" w:lineRule="auto"/>
        <w:rPr>
          <w:rFonts w:ascii="Times New Roman" w:hAnsi="Times New Roman" w:cs="Times New Roman"/>
          <w:b/>
          <w:szCs w:val="28"/>
        </w:rPr>
      </w:pPr>
    </w:p>
    <w:p w14:paraId="0B6C90E8" w14:textId="1DE5F1B1" w:rsidR="003D5839" w:rsidRPr="00BC7AF0" w:rsidRDefault="003D5839" w:rsidP="003D5839">
      <w:pPr>
        <w:spacing w:before="120" w:after="120"/>
        <w:jc w:val="center"/>
        <w:rPr>
          <w:rFonts w:ascii="Times New Roman" w:hAnsi="Times New Roman" w:cs="Times New Roman"/>
          <w:b/>
        </w:rPr>
      </w:pPr>
      <w:r>
        <w:rPr>
          <w:rFonts w:ascii="Times New Roman" w:hAnsi="Times New Roman" w:cs="Times New Roman"/>
          <w:b/>
          <w:noProof/>
        </w:rPr>
        <w:drawing>
          <wp:inline distT="0" distB="0" distL="0" distR="0" wp14:anchorId="6C2B7639" wp14:editId="5A6347DE">
            <wp:extent cx="3960495" cy="2507845"/>
            <wp:effectExtent l="0" t="0" r="1905" b="698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61037" cy="2508188"/>
                    </a:xfrm>
                    <a:prstGeom prst="rect">
                      <a:avLst/>
                    </a:prstGeom>
                    <a:noFill/>
                    <a:ln>
                      <a:noFill/>
                    </a:ln>
                  </pic:spPr>
                </pic:pic>
              </a:graphicData>
            </a:graphic>
          </wp:inline>
        </w:drawing>
      </w:r>
      <w:r>
        <w:rPr>
          <w:rFonts w:ascii="Times New Roman" w:hAnsi="Times New Roman" w:cs="Times New Roman"/>
          <w:szCs w:val="28"/>
        </w:rPr>
        <w:br/>
      </w:r>
      <w:r>
        <w:rPr>
          <w:rFonts w:ascii="Times New Roman" w:hAnsi="Times New Roman" w:cs="Times New Roman"/>
          <w:b/>
          <w:szCs w:val="28"/>
        </w:rPr>
        <w:t>Figure 2</w:t>
      </w:r>
      <w:r w:rsidR="007E5925">
        <w:rPr>
          <w:rFonts w:ascii="Times New Roman" w:hAnsi="Times New Roman" w:cs="Times New Roman"/>
          <w:b/>
          <w:szCs w:val="28"/>
        </w:rPr>
        <w:t>.10</w:t>
      </w:r>
      <w:r>
        <w:rPr>
          <w:rFonts w:ascii="Times New Roman" w:hAnsi="Times New Roman" w:cs="Times New Roman"/>
          <w:b/>
          <w:szCs w:val="28"/>
        </w:rPr>
        <w:t>:</w:t>
      </w:r>
      <w:r>
        <w:rPr>
          <w:rFonts w:ascii="Times New Roman" w:hAnsi="Times New Roman" w:cs="Times New Roman"/>
          <w:szCs w:val="28"/>
        </w:rPr>
        <w:t xml:space="preserve"> Possibilities of the interaction between hazar</w:t>
      </w:r>
      <w:r w:rsidR="00D60DB4">
        <w:rPr>
          <w:rFonts w:ascii="Times New Roman" w:hAnsi="Times New Roman" w:cs="Times New Roman"/>
          <w:szCs w:val="28"/>
        </w:rPr>
        <w:t xml:space="preserve">dous substances within </w:t>
      </w:r>
      <w:proofErr w:type="gramStart"/>
      <w:r w:rsidR="00D60DB4">
        <w:rPr>
          <w:rFonts w:ascii="Times New Roman" w:hAnsi="Times New Roman" w:cs="Times New Roman"/>
          <w:szCs w:val="28"/>
        </w:rPr>
        <w:t>cement[</w:t>
      </w:r>
      <w:proofErr w:type="gramEnd"/>
      <w:r w:rsidR="00D60DB4">
        <w:rPr>
          <w:rFonts w:ascii="Times New Roman" w:hAnsi="Times New Roman" w:cs="Times New Roman"/>
          <w:szCs w:val="28"/>
        </w:rPr>
        <w:t>38</w:t>
      </w:r>
      <w:r>
        <w:rPr>
          <w:rFonts w:ascii="Times New Roman" w:hAnsi="Times New Roman" w:cs="Times New Roman"/>
          <w:szCs w:val="28"/>
        </w:rPr>
        <w:t>]</w:t>
      </w:r>
    </w:p>
    <w:p w14:paraId="5EFFBD31" w14:textId="1975C3DB" w:rsidR="003D5839" w:rsidRDefault="00DE17C5" w:rsidP="003D5839">
      <w:pPr>
        <w:spacing w:before="120" w:after="120" w:line="360" w:lineRule="auto"/>
        <w:jc w:val="both"/>
        <w:rPr>
          <w:rFonts w:ascii="Times New Roman" w:hAnsi="Times New Roman" w:cs="Times New Roman"/>
          <w:szCs w:val="28"/>
        </w:rPr>
      </w:pPr>
      <w:r>
        <w:rPr>
          <w:rFonts w:ascii="Times New Roman" w:hAnsi="Times New Roman" w:cs="Times New Roman"/>
          <w:szCs w:val="28"/>
        </w:rPr>
        <w:br/>
      </w:r>
      <w:r w:rsidR="003D5839">
        <w:rPr>
          <w:rFonts w:ascii="Times New Roman" w:hAnsi="Times New Roman" w:cs="Times New Roman"/>
          <w:szCs w:val="28"/>
        </w:rPr>
        <w:t xml:space="preserve">The presence of calcium hydroxide alongside sodium and potassium ions in </w:t>
      </w:r>
      <w:r w:rsidR="00E85025">
        <w:rPr>
          <w:rFonts w:ascii="Times New Roman" w:hAnsi="Times New Roman" w:cs="Times New Roman"/>
          <w:szCs w:val="28"/>
        </w:rPr>
        <w:t>PC</w:t>
      </w:r>
      <w:r w:rsidR="003D5839">
        <w:rPr>
          <w:rFonts w:ascii="Times New Roman" w:hAnsi="Times New Roman" w:cs="Times New Roman"/>
          <w:szCs w:val="28"/>
        </w:rPr>
        <w:t xml:space="preserve"> produces a highly alkaline cement paste with a pH of approximately 13.5. This decreases the solubility of </w:t>
      </w:r>
      <w:r w:rsidR="0026566E">
        <w:rPr>
          <w:rFonts w:ascii="Times New Roman" w:hAnsi="Times New Roman" w:cs="Times New Roman"/>
          <w:szCs w:val="28"/>
        </w:rPr>
        <w:t xml:space="preserve">some </w:t>
      </w:r>
      <w:r w:rsidR="003D5839">
        <w:rPr>
          <w:rFonts w:ascii="Times New Roman" w:hAnsi="Times New Roman" w:cs="Times New Roman"/>
          <w:szCs w:val="28"/>
        </w:rPr>
        <w:t>radionuclides allowing for the removal of nuclides from the pore water solution by precipitation, and reducing their mobility [29]. Therefore when evaluating the immobilisation capability of the cement, it is important to consider the following factors which determine the solubility of the nuclides in the cement pore water:</w:t>
      </w:r>
    </w:p>
    <w:p w14:paraId="1409E163" w14:textId="77777777" w:rsidR="003D5839" w:rsidRDefault="003D5839" w:rsidP="003D5839">
      <w:pPr>
        <w:pStyle w:val="ListParagraph"/>
        <w:numPr>
          <w:ilvl w:val="0"/>
          <w:numId w:val="3"/>
        </w:numPr>
        <w:spacing w:before="120" w:after="120" w:line="360" w:lineRule="auto"/>
        <w:jc w:val="both"/>
        <w:rPr>
          <w:rFonts w:ascii="Times New Roman" w:hAnsi="Times New Roman" w:cs="Times New Roman"/>
          <w:sz w:val="24"/>
          <w:szCs w:val="28"/>
        </w:rPr>
      </w:pPr>
      <w:r>
        <w:rPr>
          <w:rFonts w:ascii="Times New Roman" w:hAnsi="Times New Roman" w:cs="Times New Roman"/>
          <w:sz w:val="24"/>
          <w:szCs w:val="28"/>
        </w:rPr>
        <w:t>Precipitation as a simple salt</w:t>
      </w:r>
    </w:p>
    <w:p w14:paraId="5A184B9C" w14:textId="77777777" w:rsidR="003D5839" w:rsidRDefault="003D5839" w:rsidP="003D5839">
      <w:pPr>
        <w:pStyle w:val="ListParagraph"/>
        <w:numPr>
          <w:ilvl w:val="0"/>
          <w:numId w:val="3"/>
        </w:numPr>
        <w:spacing w:before="120" w:after="120" w:line="360" w:lineRule="auto"/>
        <w:jc w:val="both"/>
        <w:rPr>
          <w:rFonts w:ascii="Times New Roman" w:hAnsi="Times New Roman" w:cs="Times New Roman"/>
          <w:sz w:val="24"/>
          <w:szCs w:val="28"/>
        </w:rPr>
      </w:pPr>
      <w:r>
        <w:rPr>
          <w:rFonts w:ascii="Times New Roman" w:hAnsi="Times New Roman" w:cs="Times New Roman"/>
          <w:sz w:val="24"/>
          <w:szCs w:val="28"/>
        </w:rPr>
        <w:t>Co-precipitation with other phases</w:t>
      </w:r>
    </w:p>
    <w:p w14:paraId="711985CC" w14:textId="77777777" w:rsidR="003D5839" w:rsidRDefault="003D5839" w:rsidP="003D5839">
      <w:pPr>
        <w:pStyle w:val="ListParagraph"/>
        <w:numPr>
          <w:ilvl w:val="0"/>
          <w:numId w:val="3"/>
        </w:numPr>
        <w:spacing w:after="120" w:line="360" w:lineRule="auto"/>
        <w:jc w:val="both"/>
        <w:rPr>
          <w:rFonts w:ascii="Times New Roman" w:hAnsi="Times New Roman" w:cs="Times New Roman"/>
          <w:sz w:val="24"/>
          <w:szCs w:val="28"/>
        </w:rPr>
      </w:pPr>
      <w:r>
        <w:rPr>
          <w:rFonts w:ascii="Times New Roman" w:hAnsi="Times New Roman" w:cs="Times New Roman"/>
          <w:sz w:val="24"/>
          <w:szCs w:val="28"/>
        </w:rPr>
        <w:t>Lattice incorporation</w:t>
      </w:r>
    </w:p>
    <w:p w14:paraId="7B2ED30D" w14:textId="77777777" w:rsidR="003D5839" w:rsidRDefault="003D5839" w:rsidP="003D5839">
      <w:pPr>
        <w:pStyle w:val="ListParagraph"/>
        <w:numPr>
          <w:ilvl w:val="0"/>
          <w:numId w:val="3"/>
        </w:numPr>
        <w:spacing w:after="120" w:line="360" w:lineRule="auto"/>
        <w:jc w:val="both"/>
        <w:rPr>
          <w:rFonts w:ascii="Times New Roman" w:hAnsi="Times New Roman" w:cs="Times New Roman"/>
          <w:sz w:val="24"/>
          <w:szCs w:val="28"/>
        </w:rPr>
      </w:pPr>
      <w:r>
        <w:rPr>
          <w:rFonts w:ascii="Times New Roman" w:hAnsi="Times New Roman" w:cs="Times New Roman"/>
          <w:sz w:val="24"/>
          <w:szCs w:val="28"/>
        </w:rPr>
        <w:t>Sorption at hydrous surfaces</w:t>
      </w:r>
    </w:p>
    <w:p w14:paraId="4E6381F3" w14:textId="77777777" w:rsidR="003D5839" w:rsidRDefault="003D5839" w:rsidP="003D5839">
      <w:pPr>
        <w:pStyle w:val="ListParagraph"/>
        <w:numPr>
          <w:ilvl w:val="0"/>
          <w:numId w:val="3"/>
        </w:numPr>
        <w:spacing w:after="120" w:line="360" w:lineRule="auto"/>
        <w:jc w:val="both"/>
        <w:rPr>
          <w:rFonts w:ascii="Times New Roman" w:hAnsi="Times New Roman" w:cs="Times New Roman"/>
          <w:sz w:val="24"/>
          <w:szCs w:val="28"/>
        </w:rPr>
      </w:pPr>
      <w:r>
        <w:rPr>
          <w:rFonts w:ascii="Times New Roman" w:hAnsi="Times New Roman" w:cs="Times New Roman"/>
          <w:sz w:val="24"/>
          <w:szCs w:val="28"/>
        </w:rPr>
        <w:t>Complex and colloid formation in the aqueous phase. [17]</w:t>
      </w:r>
    </w:p>
    <w:p w14:paraId="5A7D143A" w14:textId="37D671DB" w:rsidR="003D5839" w:rsidRDefault="003D5839" w:rsidP="003D5839">
      <w:pPr>
        <w:spacing w:after="120" w:line="360" w:lineRule="auto"/>
        <w:jc w:val="both"/>
        <w:rPr>
          <w:rFonts w:ascii="Times New Roman" w:hAnsi="Times New Roman" w:cs="Times New Roman"/>
          <w:szCs w:val="28"/>
        </w:rPr>
      </w:pPr>
      <w:r>
        <w:rPr>
          <w:rFonts w:ascii="Times New Roman" w:hAnsi="Times New Roman" w:cs="Times New Roman"/>
          <w:szCs w:val="28"/>
        </w:rPr>
        <w:lastRenderedPageBreak/>
        <w:t xml:space="preserve">This will allow for the control of the cement conditions accordingly and manage the mobility of the radioactive elements. </w:t>
      </w:r>
      <w:proofErr w:type="gramStart"/>
      <w:r>
        <w:rPr>
          <w:rFonts w:ascii="Times New Roman" w:hAnsi="Times New Roman" w:cs="Times New Roman"/>
          <w:szCs w:val="28"/>
        </w:rPr>
        <w:t xml:space="preserve">Although these are often considered for </w:t>
      </w:r>
      <w:r w:rsidR="00E85025">
        <w:rPr>
          <w:rFonts w:ascii="Times New Roman" w:hAnsi="Times New Roman" w:cs="Times New Roman"/>
          <w:szCs w:val="28"/>
        </w:rPr>
        <w:t>PC</w:t>
      </w:r>
      <w:r>
        <w:rPr>
          <w:rFonts w:ascii="Times New Roman" w:hAnsi="Times New Roman" w:cs="Times New Roman"/>
          <w:szCs w:val="28"/>
        </w:rPr>
        <w:t xml:space="preserve"> cement only, they also applicable for BFS composites.</w:t>
      </w:r>
      <w:proofErr w:type="gramEnd"/>
      <w:r>
        <w:rPr>
          <w:rFonts w:ascii="Times New Roman" w:hAnsi="Times New Roman" w:cs="Times New Roman"/>
          <w:szCs w:val="28"/>
        </w:rPr>
        <w:t xml:space="preserve"> </w:t>
      </w:r>
    </w:p>
    <w:p w14:paraId="0B7DE3D1" w14:textId="55E77702" w:rsidR="003D5839" w:rsidRDefault="003D5839" w:rsidP="003D5839">
      <w:pPr>
        <w:spacing w:after="120" w:line="360" w:lineRule="auto"/>
        <w:jc w:val="both"/>
        <w:rPr>
          <w:rFonts w:ascii="Times New Roman" w:hAnsi="Times New Roman" w:cs="Times New Roman"/>
          <w:szCs w:val="28"/>
        </w:rPr>
      </w:pPr>
      <w:r>
        <w:rPr>
          <w:rFonts w:ascii="Times New Roman" w:hAnsi="Times New Roman" w:cs="Times New Roman"/>
          <w:szCs w:val="28"/>
        </w:rPr>
        <w:t xml:space="preserve">The introduction of BFS is necessary to counteract the high heats of hydration of </w:t>
      </w:r>
      <w:r w:rsidR="00E85025">
        <w:rPr>
          <w:rFonts w:ascii="Times New Roman" w:hAnsi="Times New Roman" w:cs="Times New Roman"/>
          <w:szCs w:val="28"/>
        </w:rPr>
        <w:t>PC</w:t>
      </w:r>
      <w:r>
        <w:rPr>
          <w:rFonts w:ascii="Times New Roman" w:hAnsi="Times New Roman" w:cs="Times New Roman"/>
          <w:szCs w:val="28"/>
        </w:rPr>
        <w:t xml:space="preserve"> and the resulting high porosity without compromising the workability of the cement as well as the quality of the final product. Adding BFS, reduces the pH of the pore solution</w:t>
      </w:r>
      <w:r w:rsidR="00002E6A">
        <w:rPr>
          <w:rFonts w:ascii="Times New Roman" w:hAnsi="Times New Roman" w:cs="Times New Roman"/>
          <w:szCs w:val="28"/>
        </w:rPr>
        <w:t xml:space="preserve"> to approximately 11</w:t>
      </w:r>
      <w:r>
        <w:rPr>
          <w:rFonts w:ascii="Times New Roman" w:hAnsi="Times New Roman" w:cs="Times New Roman"/>
          <w:szCs w:val="28"/>
        </w:rPr>
        <w:t xml:space="preserve"> </w:t>
      </w:r>
      <w:r w:rsidR="00002E6A">
        <w:rPr>
          <w:rFonts w:ascii="Times New Roman" w:hAnsi="Times New Roman" w:cs="Times New Roman"/>
          <w:szCs w:val="28"/>
        </w:rPr>
        <w:t>which</w:t>
      </w:r>
      <w:r>
        <w:rPr>
          <w:rFonts w:ascii="Times New Roman" w:hAnsi="Times New Roman" w:cs="Times New Roman"/>
          <w:szCs w:val="28"/>
        </w:rPr>
        <w:t xml:space="preserve"> </w:t>
      </w:r>
      <w:r w:rsidR="00002E6A">
        <w:rPr>
          <w:rFonts w:ascii="Times New Roman" w:hAnsi="Times New Roman" w:cs="Times New Roman"/>
          <w:szCs w:val="28"/>
        </w:rPr>
        <w:t xml:space="preserve">increases the precipitation of </w:t>
      </w:r>
      <w:r w:rsidR="00AD3687">
        <w:rPr>
          <w:rFonts w:ascii="Times New Roman" w:hAnsi="Times New Roman" w:cs="Times New Roman"/>
          <w:szCs w:val="28"/>
        </w:rPr>
        <w:t>some of the</w:t>
      </w:r>
      <w:r>
        <w:rPr>
          <w:rFonts w:ascii="Times New Roman" w:hAnsi="Times New Roman" w:cs="Times New Roman"/>
          <w:szCs w:val="28"/>
        </w:rPr>
        <w:t xml:space="preserve"> heavy metals, it also lowers the oxidation-reduction potential which in turn reduces the solubility of the radionuclides, avoiding corrosion of the steel </w:t>
      </w:r>
      <w:r w:rsidR="00002E6A">
        <w:rPr>
          <w:rFonts w:ascii="Times New Roman" w:hAnsi="Times New Roman" w:cs="Times New Roman"/>
          <w:szCs w:val="28"/>
        </w:rPr>
        <w:t>containers</w:t>
      </w:r>
      <w:r>
        <w:rPr>
          <w:rFonts w:ascii="Times New Roman" w:hAnsi="Times New Roman" w:cs="Times New Roman"/>
          <w:szCs w:val="28"/>
        </w:rPr>
        <w:t xml:space="preserve"> and finally it reduces the perme</w:t>
      </w:r>
      <w:r w:rsidR="00D60DB4">
        <w:rPr>
          <w:rFonts w:ascii="Times New Roman" w:hAnsi="Times New Roman" w:cs="Times New Roman"/>
          <w:szCs w:val="28"/>
        </w:rPr>
        <w:t>ability of the waste form [39,40</w:t>
      </w:r>
      <w:r>
        <w:rPr>
          <w:rFonts w:ascii="Times New Roman" w:hAnsi="Times New Roman" w:cs="Times New Roman"/>
          <w:szCs w:val="28"/>
        </w:rPr>
        <w:t>]</w:t>
      </w:r>
      <w:r w:rsidR="00534A5D">
        <w:rPr>
          <w:rFonts w:ascii="Times New Roman" w:hAnsi="Times New Roman" w:cs="Times New Roman"/>
          <w:szCs w:val="28"/>
        </w:rPr>
        <w:t>. Reducing the pH to levels between 10-12</w:t>
      </w:r>
      <w:r w:rsidR="003508D0">
        <w:rPr>
          <w:rFonts w:ascii="Times New Roman" w:hAnsi="Times New Roman" w:cs="Times New Roman"/>
          <w:szCs w:val="28"/>
        </w:rPr>
        <w:t>,</w:t>
      </w:r>
      <w:r w:rsidR="00534A5D">
        <w:rPr>
          <w:rFonts w:ascii="Times New Roman" w:hAnsi="Times New Roman" w:cs="Times New Roman"/>
          <w:szCs w:val="28"/>
        </w:rPr>
        <w:t xml:space="preserve"> however, does cause the dissolution of the calcium in the CSH</w:t>
      </w:r>
      <w:r w:rsidR="006C74E5">
        <w:rPr>
          <w:rFonts w:ascii="Times New Roman" w:hAnsi="Times New Roman" w:cs="Times New Roman"/>
          <w:szCs w:val="28"/>
        </w:rPr>
        <w:t xml:space="preserve"> [</w:t>
      </w:r>
      <w:r w:rsidR="00BF19F4">
        <w:rPr>
          <w:rFonts w:ascii="Times New Roman" w:hAnsi="Times New Roman" w:cs="Times New Roman"/>
          <w:szCs w:val="28"/>
        </w:rPr>
        <w:t>40</w:t>
      </w:r>
      <w:proofErr w:type="gramStart"/>
      <w:r w:rsidR="00735235">
        <w:rPr>
          <w:rFonts w:ascii="Times New Roman" w:hAnsi="Times New Roman" w:cs="Times New Roman"/>
          <w:szCs w:val="28"/>
        </w:rPr>
        <w:t>]</w:t>
      </w:r>
      <w:r w:rsidR="006C74E5">
        <w:rPr>
          <w:rFonts w:ascii="Times New Roman" w:hAnsi="Times New Roman" w:cs="Times New Roman"/>
          <w:szCs w:val="28"/>
        </w:rPr>
        <w:t xml:space="preserve"> </w:t>
      </w:r>
      <w:r>
        <w:rPr>
          <w:rFonts w:ascii="Times New Roman" w:hAnsi="Times New Roman" w:cs="Times New Roman"/>
          <w:szCs w:val="28"/>
        </w:rPr>
        <w:t xml:space="preserve"> Furthermore</w:t>
      </w:r>
      <w:proofErr w:type="gramEnd"/>
      <w:r>
        <w:rPr>
          <w:rFonts w:ascii="Times New Roman" w:hAnsi="Times New Roman" w:cs="Times New Roman"/>
          <w:szCs w:val="28"/>
        </w:rPr>
        <w:t xml:space="preserve">, the BFS reacts with some of the metals to produce sulphides instead of hydroxides, these sulphides are much more insoluble. </w:t>
      </w:r>
    </w:p>
    <w:p w14:paraId="77998E3B" w14:textId="730EF2A8" w:rsidR="003D5839" w:rsidRDefault="003D5839" w:rsidP="003D5839">
      <w:pPr>
        <w:spacing w:after="120" w:line="360" w:lineRule="auto"/>
        <w:jc w:val="both"/>
        <w:rPr>
          <w:rFonts w:ascii="Times New Roman" w:hAnsi="Times New Roman" w:cs="Times New Roman"/>
          <w:szCs w:val="28"/>
        </w:rPr>
      </w:pPr>
      <w:r>
        <w:rPr>
          <w:rFonts w:ascii="Times New Roman" w:hAnsi="Times New Roman" w:cs="Times New Roman"/>
          <w:szCs w:val="28"/>
        </w:rPr>
        <w:t>The immobilising capabilities of the BFS</w:t>
      </w:r>
      <w:proofErr w:type="gramStart"/>
      <w:r>
        <w:rPr>
          <w:rFonts w:ascii="Times New Roman" w:hAnsi="Times New Roman" w:cs="Times New Roman"/>
          <w:szCs w:val="28"/>
        </w:rPr>
        <w:t>:</w:t>
      </w:r>
      <w:r w:rsidR="00E85025">
        <w:rPr>
          <w:rFonts w:ascii="Times New Roman" w:hAnsi="Times New Roman" w:cs="Times New Roman"/>
          <w:szCs w:val="28"/>
        </w:rPr>
        <w:t>PC</w:t>
      </w:r>
      <w:proofErr w:type="gramEnd"/>
      <w:r>
        <w:rPr>
          <w:rFonts w:ascii="Times New Roman" w:hAnsi="Times New Roman" w:cs="Times New Roman"/>
          <w:szCs w:val="28"/>
        </w:rPr>
        <w:t xml:space="preserve"> system are also </w:t>
      </w:r>
      <w:r w:rsidR="00933DD5">
        <w:rPr>
          <w:rFonts w:ascii="Times New Roman" w:hAnsi="Times New Roman" w:cs="Times New Roman"/>
          <w:szCs w:val="28"/>
        </w:rPr>
        <w:t>dependent</w:t>
      </w:r>
      <w:r>
        <w:rPr>
          <w:rFonts w:ascii="Times New Roman" w:hAnsi="Times New Roman" w:cs="Times New Roman"/>
          <w:szCs w:val="28"/>
        </w:rPr>
        <w:t xml:space="preserve"> on the redox potential (E</w:t>
      </w:r>
      <w:r>
        <w:rPr>
          <w:rFonts w:ascii="Times New Roman" w:hAnsi="Times New Roman" w:cs="Times New Roman"/>
          <w:szCs w:val="28"/>
          <w:vertAlign w:val="subscript"/>
        </w:rPr>
        <w:t>h</w:t>
      </w:r>
      <w:r>
        <w:rPr>
          <w:rFonts w:ascii="Times New Roman" w:hAnsi="Times New Roman" w:cs="Times New Roman"/>
          <w:szCs w:val="28"/>
        </w:rPr>
        <w:t>). T</w:t>
      </w:r>
      <w:r w:rsidR="008F7C52">
        <w:rPr>
          <w:rFonts w:ascii="Times New Roman" w:hAnsi="Times New Roman" w:cs="Times New Roman"/>
          <w:szCs w:val="28"/>
        </w:rPr>
        <w:t xml:space="preserve">his </w:t>
      </w:r>
      <w:proofErr w:type="gramStart"/>
      <w:r w:rsidR="008F7C52">
        <w:rPr>
          <w:rFonts w:ascii="Times New Roman" w:hAnsi="Times New Roman" w:cs="Times New Roman"/>
          <w:szCs w:val="28"/>
        </w:rPr>
        <w:t xml:space="preserve">system </w:t>
      </w:r>
      <w:r>
        <w:rPr>
          <w:rFonts w:ascii="Times New Roman" w:hAnsi="Times New Roman" w:cs="Times New Roman"/>
          <w:szCs w:val="28"/>
        </w:rPr>
        <w:t xml:space="preserve"> is</w:t>
      </w:r>
      <w:proofErr w:type="gramEnd"/>
      <w:r>
        <w:rPr>
          <w:rFonts w:ascii="Times New Roman" w:hAnsi="Times New Roman" w:cs="Times New Roman"/>
          <w:szCs w:val="28"/>
        </w:rPr>
        <w:t xml:space="preserve"> not a very reducing environment because cements are usually produced under oxidising conditions containing </w:t>
      </w:r>
      <w:r w:rsidR="006D108B">
        <w:rPr>
          <w:rFonts w:ascii="Times New Roman" w:hAnsi="Times New Roman" w:cs="Times New Roman"/>
          <w:szCs w:val="28"/>
        </w:rPr>
        <w:t>oxygen and</w:t>
      </w:r>
      <w:r>
        <w:rPr>
          <w:rFonts w:ascii="Times New Roman" w:hAnsi="Times New Roman" w:cs="Times New Roman"/>
          <w:szCs w:val="28"/>
        </w:rPr>
        <w:t xml:space="preserve"> traces of SO</w:t>
      </w:r>
      <w:r>
        <w:rPr>
          <w:rFonts w:ascii="Times New Roman" w:hAnsi="Times New Roman" w:cs="Times New Roman"/>
          <w:szCs w:val="28"/>
          <w:vertAlign w:val="subscript"/>
        </w:rPr>
        <w:t>3</w:t>
      </w:r>
      <w:r>
        <w:rPr>
          <w:rFonts w:ascii="Times New Roman" w:hAnsi="Times New Roman" w:cs="Times New Roman"/>
          <w:szCs w:val="28"/>
          <w:vertAlign w:val="superscript"/>
        </w:rPr>
        <w:t>2-</w:t>
      </w:r>
      <w:r>
        <w:rPr>
          <w:rFonts w:ascii="Times New Roman" w:hAnsi="Times New Roman" w:cs="Times New Roman"/>
          <w:szCs w:val="28"/>
        </w:rPr>
        <w:t>, iron (Fe</w:t>
      </w:r>
      <w:r>
        <w:rPr>
          <w:rFonts w:ascii="Times New Roman" w:hAnsi="Times New Roman" w:cs="Times New Roman"/>
          <w:szCs w:val="28"/>
          <w:vertAlign w:val="superscript"/>
        </w:rPr>
        <w:t>2+</w:t>
      </w:r>
      <w:r>
        <w:rPr>
          <w:rFonts w:ascii="Times New Roman" w:hAnsi="Times New Roman" w:cs="Times New Roman"/>
          <w:szCs w:val="28"/>
        </w:rPr>
        <w:t>) and manganese (Mn</w:t>
      </w:r>
      <w:r>
        <w:rPr>
          <w:rFonts w:ascii="Times New Roman" w:hAnsi="Times New Roman" w:cs="Times New Roman"/>
          <w:szCs w:val="28"/>
          <w:vertAlign w:val="superscript"/>
        </w:rPr>
        <w:t>2+</w:t>
      </w:r>
      <w:r>
        <w:rPr>
          <w:rFonts w:ascii="Times New Roman" w:hAnsi="Times New Roman" w:cs="Times New Roman"/>
          <w:szCs w:val="28"/>
        </w:rPr>
        <w:t xml:space="preserve">) (ions typically found in BFS) which are relatively insoluble due to the high pH. </w:t>
      </w:r>
      <w:r w:rsidR="008F7C52">
        <w:rPr>
          <w:rFonts w:ascii="Times New Roman" w:hAnsi="Times New Roman" w:cs="Times New Roman"/>
          <w:szCs w:val="28"/>
        </w:rPr>
        <w:t>The</w:t>
      </w:r>
      <w:r>
        <w:rPr>
          <w:rFonts w:ascii="Times New Roman" w:hAnsi="Times New Roman" w:cs="Times New Roman"/>
          <w:szCs w:val="28"/>
        </w:rPr>
        <w:t xml:space="preserve"> BFS lowers the E</w:t>
      </w:r>
      <w:r>
        <w:rPr>
          <w:rFonts w:ascii="Times New Roman" w:hAnsi="Times New Roman" w:cs="Times New Roman"/>
          <w:szCs w:val="28"/>
          <w:vertAlign w:val="subscript"/>
        </w:rPr>
        <w:t>h</w:t>
      </w:r>
      <w:r>
        <w:rPr>
          <w:rFonts w:ascii="Times New Roman" w:hAnsi="Times New Roman" w:cs="Times New Roman"/>
          <w:szCs w:val="28"/>
        </w:rPr>
        <w:t xml:space="preserve"> and can reduce the solubility of some nuclide</w:t>
      </w:r>
      <w:r w:rsidR="00933DD5">
        <w:rPr>
          <w:rFonts w:ascii="Times New Roman" w:hAnsi="Times New Roman" w:cs="Times New Roman"/>
          <w:szCs w:val="28"/>
        </w:rPr>
        <w:t>s</w:t>
      </w:r>
      <w:r>
        <w:rPr>
          <w:rFonts w:ascii="Times New Roman" w:hAnsi="Times New Roman" w:cs="Times New Roman"/>
          <w:szCs w:val="28"/>
        </w:rPr>
        <w:t>. Systems with low E</w:t>
      </w:r>
      <w:r>
        <w:rPr>
          <w:rFonts w:ascii="Times New Roman" w:hAnsi="Times New Roman" w:cs="Times New Roman"/>
          <w:szCs w:val="28"/>
          <w:vertAlign w:val="subscript"/>
        </w:rPr>
        <w:t>h</w:t>
      </w:r>
      <w:r>
        <w:rPr>
          <w:rFonts w:ascii="Times New Roman" w:hAnsi="Times New Roman" w:cs="Times New Roman"/>
          <w:szCs w:val="28"/>
        </w:rPr>
        <w:t xml:space="preserve"> allow for the reduction of multivalent metal ions, in turn allowing for the immobilisation of various radionuclides. For example at lower E</w:t>
      </w:r>
      <w:r>
        <w:rPr>
          <w:rFonts w:ascii="Times New Roman" w:hAnsi="Times New Roman" w:cs="Times New Roman"/>
          <w:szCs w:val="28"/>
          <w:vertAlign w:val="subscript"/>
        </w:rPr>
        <w:t>h</w:t>
      </w:r>
      <w:r>
        <w:rPr>
          <w:rFonts w:ascii="Times New Roman" w:hAnsi="Times New Roman" w:cs="Times New Roman"/>
          <w:szCs w:val="28"/>
        </w:rPr>
        <w:t xml:space="preserve"> CrO</w:t>
      </w:r>
      <w:r>
        <w:rPr>
          <w:rFonts w:ascii="Times New Roman" w:hAnsi="Times New Roman" w:cs="Times New Roman"/>
          <w:szCs w:val="28"/>
          <w:vertAlign w:val="subscript"/>
        </w:rPr>
        <w:t>4</w:t>
      </w:r>
      <w:r>
        <w:rPr>
          <w:rFonts w:ascii="Times New Roman" w:hAnsi="Times New Roman" w:cs="Times New Roman"/>
          <w:szCs w:val="28"/>
          <w:vertAlign w:val="superscript"/>
        </w:rPr>
        <w:t>-</w:t>
      </w:r>
      <w:r>
        <w:rPr>
          <w:rFonts w:ascii="Times New Roman" w:hAnsi="Times New Roman" w:cs="Times New Roman"/>
          <w:szCs w:val="28"/>
        </w:rPr>
        <w:t xml:space="preserve"> becomes unstable and precipitates to give Cr</w:t>
      </w:r>
      <w:r>
        <w:rPr>
          <w:rFonts w:ascii="Times New Roman" w:hAnsi="Times New Roman" w:cs="Times New Roman"/>
          <w:szCs w:val="28"/>
          <w:vertAlign w:val="subscript"/>
        </w:rPr>
        <w:t>2</w:t>
      </w:r>
      <w:r>
        <w:rPr>
          <w:rFonts w:ascii="Times New Roman" w:hAnsi="Times New Roman" w:cs="Times New Roman"/>
          <w:szCs w:val="28"/>
        </w:rPr>
        <w:t>O</w:t>
      </w:r>
      <w:r w:rsidRPr="00751C5B">
        <w:rPr>
          <w:rFonts w:ascii="Times New Roman" w:hAnsi="Times New Roman" w:cs="Times New Roman"/>
          <w:szCs w:val="28"/>
          <w:vertAlign w:val="subscript"/>
        </w:rPr>
        <w:t>3</w:t>
      </w:r>
      <w:r>
        <w:rPr>
          <w:rFonts w:ascii="Times New Roman" w:hAnsi="Times New Roman" w:cs="Times New Roman"/>
          <w:szCs w:val="28"/>
          <w:vertAlign w:val="subscript"/>
        </w:rPr>
        <w:t xml:space="preserve"> </w:t>
      </w:r>
      <w:r w:rsidR="006B3BBE">
        <w:rPr>
          <w:rFonts w:ascii="Times New Roman" w:hAnsi="Times New Roman" w:cs="Times New Roman"/>
          <w:szCs w:val="28"/>
        </w:rPr>
        <w:t>[41</w:t>
      </w:r>
      <w:r>
        <w:rPr>
          <w:rFonts w:ascii="Times New Roman" w:hAnsi="Times New Roman" w:cs="Times New Roman"/>
          <w:szCs w:val="28"/>
        </w:rPr>
        <w:t xml:space="preserve">]. This usually occurs with elements that display multiple oxidation </w:t>
      </w:r>
      <w:r w:rsidR="006D108B">
        <w:rPr>
          <w:rFonts w:ascii="Times New Roman" w:hAnsi="Times New Roman" w:cs="Times New Roman"/>
          <w:szCs w:val="28"/>
        </w:rPr>
        <w:t>states, which</w:t>
      </w:r>
      <w:r>
        <w:rPr>
          <w:rFonts w:ascii="Times New Roman" w:hAnsi="Times New Roman" w:cs="Times New Roman"/>
          <w:szCs w:val="28"/>
        </w:rPr>
        <w:t xml:space="preserve"> are prone to speciation changes as E</w:t>
      </w:r>
      <w:r>
        <w:rPr>
          <w:rFonts w:ascii="Times New Roman" w:hAnsi="Times New Roman" w:cs="Times New Roman"/>
          <w:szCs w:val="28"/>
          <w:vertAlign w:val="subscript"/>
        </w:rPr>
        <w:t>h</w:t>
      </w:r>
      <w:r>
        <w:rPr>
          <w:rFonts w:ascii="Times New Roman" w:hAnsi="Times New Roman" w:cs="Times New Roman"/>
          <w:szCs w:val="28"/>
        </w:rPr>
        <w:t xml:space="preserve"> potential change</w:t>
      </w:r>
      <w:r w:rsidR="00D8523C">
        <w:rPr>
          <w:rFonts w:ascii="Times New Roman" w:hAnsi="Times New Roman" w:cs="Times New Roman"/>
          <w:szCs w:val="28"/>
        </w:rPr>
        <w:t>s</w:t>
      </w:r>
      <w:r w:rsidR="009146A5">
        <w:rPr>
          <w:rFonts w:ascii="Times New Roman" w:hAnsi="Times New Roman" w:cs="Times New Roman"/>
          <w:szCs w:val="28"/>
        </w:rPr>
        <w:t xml:space="preserve"> [41</w:t>
      </w:r>
      <w:r w:rsidR="006B3BBE">
        <w:rPr>
          <w:rFonts w:ascii="Times New Roman" w:hAnsi="Times New Roman" w:cs="Times New Roman"/>
          <w:szCs w:val="28"/>
        </w:rPr>
        <w:t>]. Glasser &amp; Atkins [42</w:t>
      </w:r>
      <w:r>
        <w:rPr>
          <w:rFonts w:ascii="Times New Roman" w:hAnsi="Times New Roman" w:cs="Times New Roman"/>
          <w:szCs w:val="28"/>
        </w:rPr>
        <w:t>] showed that a system containing 70wt% BFS had a lower E</w:t>
      </w:r>
      <w:r>
        <w:rPr>
          <w:rFonts w:ascii="Times New Roman" w:hAnsi="Times New Roman" w:cs="Times New Roman"/>
          <w:szCs w:val="28"/>
          <w:vertAlign w:val="subscript"/>
        </w:rPr>
        <w:t>h</w:t>
      </w:r>
      <w:r>
        <w:rPr>
          <w:rFonts w:ascii="Times New Roman" w:hAnsi="Times New Roman" w:cs="Times New Roman"/>
          <w:szCs w:val="28"/>
        </w:rPr>
        <w:t>, this is because as it hydrates for longer periods of time increased amounts of S</w:t>
      </w:r>
      <w:r>
        <w:rPr>
          <w:rFonts w:ascii="Times New Roman" w:hAnsi="Times New Roman" w:cs="Times New Roman"/>
          <w:szCs w:val="28"/>
          <w:vertAlign w:val="superscript"/>
        </w:rPr>
        <w:t>2-</w:t>
      </w:r>
      <w:r>
        <w:rPr>
          <w:rFonts w:ascii="Times New Roman" w:hAnsi="Times New Roman" w:cs="Times New Roman"/>
          <w:szCs w:val="28"/>
        </w:rPr>
        <w:t xml:space="preserve"> are released, causing the pore fluid to change from oxidisin</w:t>
      </w:r>
      <w:r w:rsidR="006B3BBE">
        <w:rPr>
          <w:rFonts w:ascii="Times New Roman" w:hAnsi="Times New Roman" w:cs="Times New Roman"/>
          <w:szCs w:val="28"/>
        </w:rPr>
        <w:t>g to reducing after 3 months [43</w:t>
      </w:r>
      <w:r>
        <w:rPr>
          <w:rFonts w:ascii="Times New Roman" w:hAnsi="Times New Roman" w:cs="Times New Roman"/>
          <w:szCs w:val="28"/>
        </w:rPr>
        <w:t>].</w:t>
      </w:r>
    </w:p>
    <w:p w14:paraId="412CEA41" w14:textId="42F90DC9" w:rsidR="008E3940" w:rsidRDefault="003D5839"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both"/>
        <w:rPr>
          <w:rFonts w:ascii="Times New Roman" w:hAnsi="Times New Roman" w:cs="Times New Roman"/>
          <w:b/>
          <w:bCs/>
          <w:color w:val="000000"/>
        </w:rPr>
      </w:pPr>
      <w:r>
        <w:rPr>
          <w:rFonts w:ascii="Times New Roman" w:hAnsi="Times New Roman" w:cs="Times New Roman"/>
          <w:szCs w:val="28"/>
        </w:rPr>
        <w:t>Hydration products also influence the immobilisation of radionuclides in BFS</w:t>
      </w:r>
      <w:proofErr w:type="gramStart"/>
      <w:r>
        <w:rPr>
          <w:rFonts w:ascii="Times New Roman" w:hAnsi="Times New Roman" w:cs="Times New Roman"/>
          <w:szCs w:val="28"/>
        </w:rPr>
        <w:t>:</w:t>
      </w:r>
      <w:r w:rsidR="00E85025">
        <w:rPr>
          <w:rFonts w:ascii="Times New Roman" w:hAnsi="Times New Roman" w:cs="Times New Roman"/>
          <w:szCs w:val="28"/>
        </w:rPr>
        <w:t>PC</w:t>
      </w:r>
      <w:proofErr w:type="gramEnd"/>
      <w:r>
        <w:rPr>
          <w:rFonts w:ascii="Times New Roman" w:hAnsi="Times New Roman" w:cs="Times New Roman"/>
          <w:szCs w:val="28"/>
        </w:rPr>
        <w:t xml:space="preserve"> systems. </w:t>
      </w:r>
      <w:r w:rsidR="00DE17C5">
        <w:rPr>
          <w:rFonts w:ascii="Times New Roman" w:hAnsi="Times New Roman" w:cs="Times New Roman"/>
          <w:szCs w:val="28"/>
        </w:rPr>
        <w:t xml:space="preserve"> </w:t>
      </w:r>
      <w:r>
        <w:rPr>
          <w:rFonts w:ascii="Times New Roman" w:hAnsi="Times New Roman" w:cs="Times New Roman"/>
          <w:szCs w:val="28"/>
        </w:rPr>
        <w:t>C-S-H, the major product (from a quantitative perspective) is responsible for immobilising various ions. Studies on Zn</w:t>
      </w:r>
      <w:r>
        <w:rPr>
          <w:rFonts w:ascii="Times New Roman" w:hAnsi="Times New Roman" w:cs="Times New Roman"/>
          <w:szCs w:val="28"/>
          <w:vertAlign w:val="superscript"/>
        </w:rPr>
        <w:t>2+</w:t>
      </w:r>
      <w:r>
        <w:rPr>
          <w:rFonts w:ascii="Times New Roman" w:hAnsi="Times New Roman" w:cs="Times New Roman"/>
          <w:szCs w:val="28"/>
        </w:rPr>
        <w:t>, Pb</w:t>
      </w:r>
      <w:r>
        <w:rPr>
          <w:rFonts w:ascii="Times New Roman" w:hAnsi="Times New Roman" w:cs="Times New Roman"/>
          <w:szCs w:val="28"/>
          <w:vertAlign w:val="superscript"/>
        </w:rPr>
        <w:t>2+</w:t>
      </w:r>
      <w:r>
        <w:rPr>
          <w:rFonts w:ascii="Times New Roman" w:hAnsi="Times New Roman" w:cs="Times New Roman"/>
          <w:szCs w:val="28"/>
        </w:rPr>
        <w:t xml:space="preserve"> and Sn</w:t>
      </w:r>
      <w:r>
        <w:rPr>
          <w:rFonts w:ascii="Times New Roman" w:hAnsi="Times New Roman" w:cs="Times New Roman"/>
          <w:szCs w:val="28"/>
          <w:vertAlign w:val="superscript"/>
        </w:rPr>
        <w:t>2+</w:t>
      </w:r>
      <w:r w:rsidR="009146A5">
        <w:rPr>
          <w:rFonts w:ascii="Times New Roman" w:hAnsi="Times New Roman" w:cs="Times New Roman"/>
          <w:szCs w:val="28"/>
        </w:rPr>
        <w:t xml:space="preserve"> by Read</w:t>
      </w:r>
      <w:r>
        <w:rPr>
          <w:rFonts w:ascii="Times New Roman" w:hAnsi="Times New Roman" w:cs="Times New Roman"/>
          <w:szCs w:val="28"/>
        </w:rPr>
        <w:t xml:space="preserve"> et al [4</w:t>
      </w:r>
      <w:r w:rsidR="006B3BBE">
        <w:rPr>
          <w:rFonts w:ascii="Times New Roman" w:hAnsi="Times New Roman" w:cs="Times New Roman"/>
          <w:szCs w:val="28"/>
        </w:rPr>
        <w:t>4</w:t>
      </w:r>
      <w:r>
        <w:rPr>
          <w:rFonts w:ascii="Times New Roman" w:hAnsi="Times New Roman" w:cs="Times New Roman"/>
          <w:szCs w:val="28"/>
        </w:rPr>
        <w:t xml:space="preserve">], suggests that these ions </w:t>
      </w:r>
      <w:r w:rsidR="0024464E">
        <w:rPr>
          <w:rFonts w:ascii="Times New Roman" w:hAnsi="Times New Roman" w:cs="Times New Roman"/>
          <w:szCs w:val="28"/>
        </w:rPr>
        <w:t xml:space="preserve">can precipitate as distinct compounds or </w:t>
      </w:r>
      <w:r>
        <w:rPr>
          <w:rFonts w:ascii="Times New Roman" w:hAnsi="Times New Roman" w:cs="Times New Roman"/>
          <w:szCs w:val="28"/>
        </w:rPr>
        <w:t xml:space="preserve">bind to the </w:t>
      </w:r>
      <w:r w:rsidR="00BB6C6B">
        <w:rPr>
          <w:rFonts w:ascii="Times New Roman" w:hAnsi="Times New Roman" w:cs="Times New Roman"/>
          <w:szCs w:val="28"/>
        </w:rPr>
        <w:t xml:space="preserve">C-S-H </w:t>
      </w:r>
      <w:r>
        <w:rPr>
          <w:rFonts w:ascii="Times New Roman" w:hAnsi="Times New Roman" w:cs="Times New Roman"/>
          <w:szCs w:val="28"/>
        </w:rPr>
        <w:t xml:space="preserve">silicate chains, although opinions differ on whether the binding occurs at the end of the silica chains or at the bridging </w:t>
      </w:r>
      <w:r w:rsidR="00B7594E">
        <w:rPr>
          <w:rFonts w:ascii="Times New Roman" w:hAnsi="Times New Roman" w:cs="Times New Roman"/>
          <w:szCs w:val="28"/>
        </w:rPr>
        <w:t>locations</w:t>
      </w:r>
      <w:r>
        <w:rPr>
          <w:rFonts w:ascii="Times New Roman" w:hAnsi="Times New Roman" w:cs="Times New Roman"/>
          <w:szCs w:val="28"/>
        </w:rPr>
        <w:t xml:space="preserve"> [4</w:t>
      </w:r>
      <w:r w:rsidR="009146A5">
        <w:rPr>
          <w:rFonts w:ascii="Times New Roman" w:hAnsi="Times New Roman" w:cs="Times New Roman"/>
          <w:szCs w:val="28"/>
        </w:rPr>
        <w:t>5</w:t>
      </w:r>
      <w:r>
        <w:rPr>
          <w:rFonts w:ascii="Times New Roman" w:hAnsi="Times New Roman" w:cs="Times New Roman"/>
          <w:szCs w:val="28"/>
        </w:rPr>
        <w:t xml:space="preserve">]. </w:t>
      </w:r>
      <w:r w:rsidR="0024464E">
        <w:rPr>
          <w:rFonts w:ascii="Times New Roman" w:hAnsi="Times New Roman" w:cs="Times New Roman"/>
          <w:szCs w:val="28"/>
        </w:rPr>
        <w:t>According</w:t>
      </w:r>
      <w:r>
        <w:rPr>
          <w:rFonts w:ascii="Times New Roman" w:hAnsi="Times New Roman" w:cs="Times New Roman"/>
          <w:szCs w:val="28"/>
        </w:rPr>
        <w:t xml:space="preserve"> to </w:t>
      </w:r>
      <w:r w:rsidR="00BE0F3C">
        <w:rPr>
          <w:rFonts w:ascii="Times New Roman" w:hAnsi="Times New Roman" w:cs="Times New Roman"/>
          <w:szCs w:val="28"/>
        </w:rPr>
        <w:t xml:space="preserve">Rose at al </w:t>
      </w:r>
      <w:r>
        <w:rPr>
          <w:rFonts w:ascii="Times New Roman" w:hAnsi="Times New Roman" w:cs="Times New Roman"/>
          <w:szCs w:val="28"/>
        </w:rPr>
        <w:t>[4</w:t>
      </w:r>
      <w:r w:rsidR="009146A5">
        <w:rPr>
          <w:rFonts w:ascii="Times New Roman" w:hAnsi="Times New Roman" w:cs="Times New Roman"/>
          <w:szCs w:val="28"/>
        </w:rPr>
        <w:t>5</w:t>
      </w:r>
      <w:r>
        <w:rPr>
          <w:rFonts w:ascii="Times New Roman" w:hAnsi="Times New Roman" w:cs="Times New Roman"/>
          <w:szCs w:val="28"/>
        </w:rPr>
        <w:t>] ions</w:t>
      </w:r>
      <w:r w:rsidR="0024464E">
        <w:rPr>
          <w:rFonts w:ascii="Times New Roman" w:hAnsi="Times New Roman" w:cs="Times New Roman"/>
          <w:szCs w:val="28"/>
        </w:rPr>
        <w:t>, such as aluminium (Al</w:t>
      </w:r>
      <w:r w:rsidR="0024464E">
        <w:rPr>
          <w:rFonts w:ascii="Times New Roman" w:hAnsi="Times New Roman" w:cs="Times New Roman"/>
          <w:szCs w:val="28"/>
          <w:vertAlign w:val="superscript"/>
        </w:rPr>
        <w:t>3+</w:t>
      </w:r>
      <w:r w:rsidR="0024464E">
        <w:rPr>
          <w:rFonts w:ascii="Times New Roman" w:hAnsi="Times New Roman" w:cs="Times New Roman"/>
          <w:szCs w:val="28"/>
        </w:rPr>
        <w:t>), iron (Fe</w:t>
      </w:r>
      <w:r w:rsidR="0024464E">
        <w:rPr>
          <w:rFonts w:ascii="Times New Roman" w:hAnsi="Times New Roman" w:cs="Times New Roman"/>
          <w:szCs w:val="28"/>
          <w:vertAlign w:val="superscript"/>
        </w:rPr>
        <w:t>3+</w:t>
      </w:r>
      <w:r w:rsidR="0024464E">
        <w:rPr>
          <w:rFonts w:ascii="Times New Roman" w:hAnsi="Times New Roman" w:cs="Times New Roman"/>
          <w:szCs w:val="28"/>
        </w:rPr>
        <w:t>) and sulphates (SO</w:t>
      </w:r>
      <w:r w:rsidR="00C43E14">
        <w:rPr>
          <w:rFonts w:ascii="Times New Roman" w:hAnsi="Times New Roman" w:cs="Times New Roman"/>
          <w:szCs w:val="28"/>
          <w:vertAlign w:val="subscript"/>
        </w:rPr>
        <w:t>4</w:t>
      </w:r>
      <w:r w:rsidR="00C43E14">
        <w:rPr>
          <w:rFonts w:ascii="Times New Roman" w:hAnsi="Times New Roman" w:cs="Times New Roman"/>
          <w:szCs w:val="28"/>
          <w:vertAlign w:val="superscript"/>
        </w:rPr>
        <w:t>2</w:t>
      </w:r>
      <w:r w:rsidR="0024464E">
        <w:rPr>
          <w:rFonts w:ascii="Times New Roman" w:hAnsi="Times New Roman" w:cs="Times New Roman"/>
          <w:szCs w:val="28"/>
          <w:vertAlign w:val="superscript"/>
        </w:rPr>
        <w:t>-</w:t>
      </w:r>
      <w:r w:rsidR="0024464E">
        <w:rPr>
          <w:rFonts w:ascii="Times New Roman" w:hAnsi="Times New Roman" w:cs="Times New Roman"/>
          <w:szCs w:val="28"/>
        </w:rPr>
        <w:t>),</w:t>
      </w:r>
      <w:r w:rsidR="003900D3">
        <w:rPr>
          <w:rFonts w:ascii="Times New Roman" w:hAnsi="Times New Roman" w:cs="Times New Roman"/>
          <w:szCs w:val="28"/>
        </w:rPr>
        <w:t xml:space="preserve"> are</w:t>
      </w:r>
      <w:r w:rsidR="0024464E">
        <w:rPr>
          <w:rFonts w:ascii="Times New Roman" w:hAnsi="Times New Roman" w:cs="Times New Roman"/>
          <w:szCs w:val="28"/>
        </w:rPr>
        <w:t xml:space="preserve"> </w:t>
      </w:r>
      <w:r>
        <w:rPr>
          <w:rFonts w:ascii="Times New Roman" w:hAnsi="Times New Roman" w:cs="Times New Roman"/>
          <w:szCs w:val="28"/>
        </w:rPr>
        <w:t>contai</w:t>
      </w:r>
      <w:r w:rsidR="0024464E">
        <w:rPr>
          <w:rFonts w:ascii="Times New Roman" w:hAnsi="Times New Roman" w:cs="Times New Roman"/>
          <w:szCs w:val="28"/>
        </w:rPr>
        <w:t>ned</w:t>
      </w:r>
      <w:r>
        <w:rPr>
          <w:rFonts w:ascii="Times New Roman" w:hAnsi="Times New Roman" w:cs="Times New Roman"/>
          <w:szCs w:val="28"/>
        </w:rPr>
        <w:t xml:space="preserve"> within C-S-H</w:t>
      </w:r>
      <w:r w:rsidR="0024464E">
        <w:rPr>
          <w:rFonts w:ascii="Times New Roman" w:hAnsi="Times New Roman" w:cs="Times New Roman"/>
          <w:szCs w:val="28"/>
        </w:rPr>
        <w:t xml:space="preserve"> in the cement system</w:t>
      </w:r>
      <w:r>
        <w:rPr>
          <w:rFonts w:ascii="Times New Roman" w:hAnsi="Times New Roman" w:cs="Times New Roman"/>
          <w:szCs w:val="28"/>
        </w:rPr>
        <w:t>. Further investi</w:t>
      </w:r>
      <w:r w:rsidR="00AF10A5">
        <w:rPr>
          <w:rFonts w:ascii="Times New Roman" w:hAnsi="Times New Roman" w:cs="Times New Roman"/>
          <w:szCs w:val="28"/>
        </w:rPr>
        <w:t>gation by Copeland et al. [4</w:t>
      </w:r>
      <w:r w:rsidR="009146A5">
        <w:rPr>
          <w:rFonts w:ascii="Times New Roman" w:hAnsi="Times New Roman" w:cs="Times New Roman"/>
          <w:szCs w:val="28"/>
        </w:rPr>
        <w:t>6</w:t>
      </w:r>
      <w:r w:rsidR="00AF10A5">
        <w:rPr>
          <w:rFonts w:ascii="Times New Roman" w:hAnsi="Times New Roman" w:cs="Times New Roman"/>
          <w:szCs w:val="28"/>
        </w:rPr>
        <w:t>]</w:t>
      </w:r>
      <w:r>
        <w:rPr>
          <w:rFonts w:ascii="Times New Roman" w:hAnsi="Times New Roman" w:cs="Times New Roman"/>
          <w:szCs w:val="28"/>
        </w:rPr>
        <w:t xml:space="preserve"> found that Al enters the C-S-H </w:t>
      </w:r>
      <w:r w:rsidR="004232C8">
        <w:rPr>
          <w:rFonts w:ascii="Times New Roman" w:hAnsi="Times New Roman" w:cs="Times New Roman"/>
          <w:szCs w:val="28"/>
        </w:rPr>
        <w:t xml:space="preserve">in the </w:t>
      </w:r>
      <w:r w:rsidR="006D108B">
        <w:rPr>
          <w:rFonts w:ascii="Times New Roman" w:hAnsi="Times New Roman" w:cs="Times New Roman"/>
          <w:szCs w:val="28"/>
        </w:rPr>
        <w:t>tetrahedral</w:t>
      </w:r>
      <w:r w:rsidR="004232C8">
        <w:rPr>
          <w:rFonts w:ascii="Times New Roman" w:hAnsi="Times New Roman" w:cs="Times New Roman"/>
          <w:szCs w:val="28"/>
        </w:rPr>
        <w:t xml:space="preserve"> form </w:t>
      </w:r>
      <w:r>
        <w:rPr>
          <w:rFonts w:ascii="Times New Roman" w:hAnsi="Times New Roman" w:cs="Times New Roman"/>
          <w:szCs w:val="28"/>
        </w:rPr>
        <w:t xml:space="preserve">replacing the Si attaching to </w:t>
      </w:r>
      <w:r>
        <w:rPr>
          <w:rFonts w:ascii="Times New Roman" w:hAnsi="Times New Roman" w:cs="Times New Roman"/>
          <w:szCs w:val="28"/>
        </w:rPr>
        <w:lastRenderedPageBreak/>
        <w:t>an H</w:t>
      </w:r>
      <w:r>
        <w:rPr>
          <w:rFonts w:ascii="Times New Roman" w:hAnsi="Times New Roman" w:cs="Times New Roman"/>
          <w:szCs w:val="28"/>
          <w:vertAlign w:val="superscript"/>
        </w:rPr>
        <w:t>1</w:t>
      </w:r>
      <w:r w:rsidR="00565C6E">
        <w:rPr>
          <w:rFonts w:ascii="Times New Roman" w:hAnsi="Times New Roman" w:cs="Times New Roman"/>
          <w:szCs w:val="28"/>
          <w:vertAlign w:val="superscript"/>
        </w:rPr>
        <w:t>+</w:t>
      </w:r>
      <w:r>
        <w:rPr>
          <w:rFonts w:ascii="Times New Roman" w:hAnsi="Times New Roman" w:cs="Times New Roman"/>
          <w:szCs w:val="28"/>
        </w:rPr>
        <w:t xml:space="preserve"> or by replacing</w:t>
      </w:r>
      <w:r w:rsidR="004232C8">
        <w:rPr>
          <w:rFonts w:ascii="Times New Roman" w:hAnsi="Times New Roman" w:cs="Times New Roman"/>
          <w:szCs w:val="28"/>
          <w:vertAlign w:val="subscript"/>
        </w:rPr>
        <w:t xml:space="preserve"> </w:t>
      </w:r>
      <w:r w:rsidR="004232C8">
        <w:rPr>
          <w:rFonts w:ascii="Times New Roman" w:hAnsi="Times New Roman" w:cs="Times New Roman"/>
          <w:szCs w:val="28"/>
        </w:rPr>
        <w:t xml:space="preserve">Ca in </w:t>
      </w:r>
      <w:r w:rsidR="00E12E35">
        <w:rPr>
          <w:rFonts w:ascii="Times New Roman" w:hAnsi="Times New Roman" w:cs="Times New Roman"/>
          <w:szCs w:val="28"/>
        </w:rPr>
        <w:t>its</w:t>
      </w:r>
      <w:r w:rsidR="004232C8">
        <w:rPr>
          <w:rFonts w:ascii="Times New Roman" w:hAnsi="Times New Roman" w:cs="Times New Roman"/>
          <w:szCs w:val="28"/>
        </w:rPr>
        <w:t xml:space="preserve"> octahedral or pentahedral form</w:t>
      </w:r>
      <w:r>
        <w:rPr>
          <w:rFonts w:ascii="Times New Roman" w:hAnsi="Times New Roman" w:cs="Times New Roman"/>
          <w:szCs w:val="28"/>
        </w:rPr>
        <w:t xml:space="preserve"> after joining with another. However Taylor [20] concluded that the Al</w:t>
      </w:r>
      <w:r>
        <w:rPr>
          <w:rFonts w:ascii="Times New Roman" w:hAnsi="Times New Roman" w:cs="Times New Roman"/>
          <w:szCs w:val="28"/>
          <w:vertAlign w:val="superscript"/>
        </w:rPr>
        <w:t xml:space="preserve">3+ </w:t>
      </w:r>
      <w:r>
        <w:rPr>
          <w:rFonts w:ascii="Times New Roman" w:hAnsi="Times New Roman" w:cs="Times New Roman"/>
          <w:szCs w:val="28"/>
        </w:rPr>
        <w:t>ions alongside Mg</w:t>
      </w:r>
      <w:r>
        <w:rPr>
          <w:rFonts w:ascii="Times New Roman" w:hAnsi="Times New Roman" w:cs="Times New Roman"/>
          <w:szCs w:val="28"/>
          <w:vertAlign w:val="superscript"/>
        </w:rPr>
        <w:t xml:space="preserve">2+, </w:t>
      </w:r>
      <w:r>
        <w:rPr>
          <w:rFonts w:ascii="Times New Roman" w:hAnsi="Times New Roman" w:cs="Times New Roman"/>
          <w:szCs w:val="28"/>
        </w:rPr>
        <w:t>Fe</w:t>
      </w:r>
      <w:r>
        <w:rPr>
          <w:rFonts w:ascii="Times New Roman" w:hAnsi="Times New Roman" w:cs="Times New Roman"/>
          <w:szCs w:val="28"/>
          <w:vertAlign w:val="superscript"/>
        </w:rPr>
        <w:t>3+</w:t>
      </w:r>
      <w:r>
        <w:rPr>
          <w:rFonts w:ascii="Times New Roman" w:hAnsi="Times New Roman" w:cs="Times New Roman"/>
          <w:szCs w:val="28"/>
        </w:rPr>
        <w:t xml:space="preserve"> and SO</w:t>
      </w:r>
      <w:r>
        <w:rPr>
          <w:rFonts w:ascii="Times New Roman" w:hAnsi="Times New Roman" w:cs="Times New Roman"/>
          <w:szCs w:val="28"/>
          <w:vertAlign w:val="subscript"/>
        </w:rPr>
        <w:t>4</w:t>
      </w:r>
      <w:r>
        <w:rPr>
          <w:rFonts w:ascii="Times New Roman" w:hAnsi="Times New Roman" w:cs="Times New Roman"/>
          <w:szCs w:val="28"/>
          <w:vertAlign w:val="superscript"/>
        </w:rPr>
        <w:t>2-</w:t>
      </w:r>
      <w:r>
        <w:rPr>
          <w:rFonts w:ascii="Times New Roman" w:hAnsi="Times New Roman" w:cs="Times New Roman"/>
          <w:szCs w:val="28"/>
        </w:rPr>
        <w:t xml:space="preserve"> are present in the AFm/AFt phase as opposed to C-S-H</w:t>
      </w:r>
      <w:r w:rsidR="00565C6E">
        <w:rPr>
          <w:rFonts w:ascii="Times New Roman" w:hAnsi="Times New Roman" w:cs="Times New Roman"/>
          <w:szCs w:val="28"/>
        </w:rPr>
        <w:t xml:space="preserve">. </w:t>
      </w:r>
      <w:r>
        <w:rPr>
          <w:rFonts w:ascii="Times New Roman" w:hAnsi="Times New Roman" w:cs="Times New Roman"/>
          <w:szCs w:val="28"/>
        </w:rPr>
        <w:t>This phase also allows substitution of Ca</w:t>
      </w:r>
      <w:r>
        <w:rPr>
          <w:rFonts w:ascii="Times New Roman" w:hAnsi="Times New Roman" w:cs="Times New Roman"/>
          <w:szCs w:val="28"/>
          <w:vertAlign w:val="superscript"/>
        </w:rPr>
        <w:t>2+</w:t>
      </w:r>
      <w:r>
        <w:rPr>
          <w:rFonts w:ascii="Times New Roman" w:hAnsi="Times New Roman" w:cs="Times New Roman"/>
          <w:szCs w:val="28"/>
        </w:rPr>
        <w:t>, Al</w:t>
      </w:r>
      <w:r>
        <w:rPr>
          <w:rFonts w:ascii="Times New Roman" w:hAnsi="Times New Roman" w:cs="Times New Roman"/>
          <w:szCs w:val="28"/>
          <w:vertAlign w:val="superscript"/>
        </w:rPr>
        <w:t>3+</w:t>
      </w:r>
      <w:r>
        <w:rPr>
          <w:rFonts w:ascii="Times New Roman" w:hAnsi="Times New Roman" w:cs="Times New Roman"/>
          <w:szCs w:val="28"/>
        </w:rPr>
        <w:t>and OH</w:t>
      </w:r>
      <w:r>
        <w:rPr>
          <w:rFonts w:ascii="Times New Roman" w:hAnsi="Times New Roman" w:cs="Times New Roman"/>
          <w:szCs w:val="28"/>
          <w:vertAlign w:val="superscript"/>
        </w:rPr>
        <w:t>-</w:t>
      </w:r>
      <w:r>
        <w:rPr>
          <w:rFonts w:ascii="Times New Roman" w:hAnsi="Times New Roman" w:cs="Times New Roman"/>
          <w:szCs w:val="28"/>
        </w:rPr>
        <w:t xml:space="preserve"> [46], which all occur at the aluminium and sulphate sites, where the</w:t>
      </w:r>
      <w:r w:rsidR="0073578F">
        <w:rPr>
          <w:rFonts w:ascii="Times New Roman" w:hAnsi="Times New Roman" w:cs="Times New Roman"/>
          <w:szCs w:val="28"/>
        </w:rPr>
        <w:t xml:space="preserve"> aluminium site accommodates</w:t>
      </w:r>
      <w:r>
        <w:rPr>
          <w:rFonts w:ascii="Times New Roman" w:hAnsi="Times New Roman" w:cs="Times New Roman"/>
          <w:szCs w:val="28"/>
        </w:rPr>
        <w:t xml:space="preserve"> trivalent and tetravalent cations and the sulphate sites accommodating divalent and trivalent anions. </w:t>
      </w:r>
    </w:p>
    <w:p w14:paraId="732399F9" w14:textId="77777777" w:rsidR="008E3940" w:rsidRDefault="008E3940"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both"/>
        <w:rPr>
          <w:rFonts w:ascii="Times New Roman" w:hAnsi="Times New Roman" w:cs="Times New Roman"/>
          <w:b/>
          <w:bCs/>
          <w:color w:val="000000"/>
        </w:rPr>
      </w:pPr>
    </w:p>
    <w:p w14:paraId="0334B1E0" w14:textId="77777777" w:rsidR="003D5839" w:rsidRDefault="003D5839"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both"/>
        <w:rPr>
          <w:rFonts w:ascii="Times New Roman" w:hAnsi="Times New Roman" w:cs="Times New Roman"/>
          <w:b/>
          <w:bCs/>
          <w:color w:val="000000"/>
        </w:rPr>
      </w:pPr>
      <w:r>
        <w:rPr>
          <w:rFonts w:ascii="Times New Roman" w:hAnsi="Times New Roman" w:cs="Times New Roman"/>
          <w:b/>
          <w:bCs/>
          <w:color w:val="000000"/>
        </w:rPr>
        <w:t>2.4.2</w:t>
      </w:r>
      <w:r w:rsidRPr="00BA5892">
        <w:rPr>
          <w:rFonts w:ascii="Times New Roman" w:hAnsi="Times New Roman" w:cs="Times New Roman"/>
          <w:b/>
          <w:bCs/>
          <w:color w:val="000000"/>
        </w:rPr>
        <w:tab/>
      </w:r>
      <w:r w:rsidRPr="00BA5892">
        <w:rPr>
          <w:rFonts w:ascii="Times New Roman" w:hAnsi="Times New Roman" w:cs="Times New Roman"/>
          <w:b/>
          <w:bCs/>
          <w:color w:val="000000"/>
        </w:rPr>
        <w:tab/>
      </w:r>
      <w:r>
        <w:rPr>
          <w:rFonts w:ascii="Times New Roman" w:hAnsi="Times New Roman" w:cs="Times New Roman"/>
          <w:b/>
          <w:bCs/>
          <w:color w:val="000000"/>
        </w:rPr>
        <w:t>Interaction with Caesium</w:t>
      </w:r>
    </w:p>
    <w:p w14:paraId="51E3F818" w14:textId="66B22195" w:rsidR="003D5839" w:rsidRDefault="003D5839"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both"/>
        <w:rPr>
          <w:rFonts w:ascii="Times New Roman" w:hAnsi="Times New Roman" w:cs="Times New Roman"/>
          <w:bCs/>
          <w:color w:val="000000"/>
        </w:rPr>
      </w:pPr>
      <w:r>
        <w:rPr>
          <w:rFonts w:ascii="Times New Roman" w:hAnsi="Times New Roman" w:cs="Times New Roman"/>
          <w:bCs/>
          <w:color w:val="000000"/>
        </w:rPr>
        <w:t>Research</w:t>
      </w:r>
      <w:r w:rsidR="00B35E78">
        <w:rPr>
          <w:rFonts w:ascii="Times New Roman" w:hAnsi="Times New Roman" w:cs="Times New Roman"/>
          <w:bCs/>
          <w:color w:val="000000"/>
        </w:rPr>
        <w:t xml:space="preserve"> on</w:t>
      </w:r>
      <w:r>
        <w:rPr>
          <w:rFonts w:ascii="Times New Roman" w:hAnsi="Times New Roman" w:cs="Times New Roman"/>
          <w:bCs/>
          <w:color w:val="000000"/>
        </w:rPr>
        <w:t xml:space="preserve"> the interaction of caesium with BFS</w:t>
      </w:r>
      <w:proofErr w:type="gramStart"/>
      <w:r>
        <w:rPr>
          <w:rFonts w:ascii="Times New Roman" w:hAnsi="Times New Roman" w:cs="Times New Roman"/>
          <w:bCs/>
          <w:color w:val="000000"/>
        </w:rPr>
        <w:t>:</w:t>
      </w:r>
      <w:r w:rsidR="00E85025">
        <w:rPr>
          <w:rFonts w:ascii="Times New Roman" w:hAnsi="Times New Roman" w:cs="Times New Roman"/>
          <w:bCs/>
          <w:color w:val="000000"/>
        </w:rPr>
        <w:t>PC</w:t>
      </w:r>
      <w:proofErr w:type="gramEnd"/>
      <w:r>
        <w:rPr>
          <w:rFonts w:ascii="Times New Roman" w:hAnsi="Times New Roman" w:cs="Times New Roman"/>
          <w:bCs/>
          <w:color w:val="000000"/>
        </w:rPr>
        <w:t xml:space="preserve"> cement and its behaviour within the cement matrix is lim</w:t>
      </w:r>
      <w:r w:rsidR="00B35E78">
        <w:rPr>
          <w:rFonts w:ascii="Times New Roman" w:hAnsi="Times New Roman" w:cs="Times New Roman"/>
          <w:bCs/>
          <w:color w:val="000000"/>
        </w:rPr>
        <w:t xml:space="preserve">ited, with various </w:t>
      </w:r>
      <w:r w:rsidR="009146A5">
        <w:rPr>
          <w:rFonts w:ascii="Times New Roman" w:hAnsi="Times New Roman" w:cs="Times New Roman"/>
          <w:bCs/>
          <w:color w:val="000000"/>
        </w:rPr>
        <w:t>theories and approaches [17,47,48,49,50,51,52,53</w:t>
      </w:r>
      <w:r>
        <w:rPr>
          <w:rFonts w:ascii="Times New Roman" w:hAnsi="Times New Roman" w:cs="Times New Roman"/>
          <w:bCs/>
          <w:color w:val="000000"/>
        </w:rPr>
        <w:t>]. The main focus has generally been on cements combined with zeolites, more so than in</w:t>
      </w:r>
      <w:r w:rsidR="009146A5">
        <w:rPr>
          <w:rFonts w:ascii="Times New Roman" w:hAnsi="Times New Roman" w:cs="Times New Roman"/>
          <w:bCs/>
          <w:color w:val="000000"/>
        </w:rPr>
        <w:t>teraction of Cs with cements [54,55,56,57,58</w:t>
      </w:r>
      <w:r>
        <w:rPr>
          <w:rFonts w:ascii="Times New Roman" w:hAnsi="Times New Roman" w:cs="Times New Roman"/>
          <w:bCs/>
          <w:color w:val="000000"/>
        </w:rPr>
        <w:t xml:space="preserve">].  The general consensus, however, is that Cs tends to be poorly immobilised within </w:t>
      </w:r>
      <w:r w:rsidR="00E85025">
        <w:rPr>
          <w:rFonts w:ascii="Times New Roman" w:hAnsi="Times New Roman" w:cs="Times New Roman"/>
          <w:bCs/>
          <w:color w:val="000000"/>
        </w:rPr>
        <w:t>PC</w:t>
      </w:r>
      <w:r>
        <w:rPr>
          <w:rFonts w:ascii="Times New Roman" w:hAnsi="Times New Roman" w:cs="Times New Roman"/>
          <w:bCs/>
          <w:color w:val="000000"/>
        </w:rPr>
        <w:t xml:space="preserve"> cement, as the majority of the Cs was fo</w:t>
      </w:r>
      <w:r w:rsidR="00863D2F">
        <w:rPr>
          <w:rFonts w:ascii="Times New Roman" w:hAnsi="Times New Roman" w:cs="Times New Roman"/>
          <w:bCs/>
          <w:color w:val="000000"/>
        </w:rPr>
        <w:t>und in cement the pore flui</w:t>
      </w:r>
      <w:r w:rsidR="00AF1A87">
        <w:rPr>
          <w:rFonts w:ascii="Times New Roman" w:hAnsi="Times New Roman" w:cs="Times New Roman"/>
          <w:bCs/>
          <w:color w:val="000000"/>
        </w:rPr>
        <w:t xml:space="preserve">d. Any </w:t>
      </w:r>
      <w:r w:rsidR="00933B66">
        <w:rPr>
          <w:rFonts w:ascii="Times New Roman" w:hAnsi="Times New Roman" w:cs="Times New Roman"/>
          <w:bCs/>
          <w:color w:val="000000"/>
        </w:rPr>
        <w:t>sorption</w:t>
      </w:r>
      <w:r w:rsidR="00AF1A87">
        <w:rPr>
          <w:rFonts w:ascii="Times New Roman" w:hAnsi="Times New Roman" w:cs="Times New Roman"/>
          <w:bCs/>
          <w:color w:val="000000"/>
        </w:rPr>
        <w:t xml:space="preserve"> that did occur, was on the calcium silicate compounds, and was </w:t>
      </w:r>
      <w:r w:rsidR="006D108B">
        <w:rPr>
          <w:rFonts w:ascii="Times New Roman" w:hAnsi="Times New Roman" w:cs="Times New Roman"/>
          <w:bCs/>
          <w:color w:val="000000"/>
        </w:rPr>
        <w:t>dependent</w:t>
      </w:r>
      <w:r w:rsidR="00AF1A87">
        <w:rPr>
          <w:rFonts w:ascii="Times New Roman" w:hAnsi="Times New Roman" w:cs="Times New Roman"/>
          <w:bCs/>
          <w:color w:val="000000"/>
        </w:rPr>
        <w:t xml:space="preserve"> on the Ca</w:t>
      </w:r>
      <w:proofErr w:type="gramStart"/>
      <w:r w:rsidR="00AF1A87">
        <w:rPr>
          <w:rFonts w:ascii="Times New Roman" w:hAnsi="Times New Roman" w:cs="Times New Roman"/>
          <w:bCs/>
          <w:color w:val="000000"/>
        </w:rPr>
        <w:t>:Si</w:t>
      </w:r>
      <w:proofErr w:type="gramEnd"/>
      <w:r w:rsidR="00AF1A87">
        <w:rPr>
          <w:rFonts w:ascii="Times New Roman" w:hAnsi="Times New Roman" w:cs="Times New Roman"/>
          <w:bCs/>
          <w:color w:val="000000"/>
        </w:rPr>
        <w:t xml:space="preserve"> ratio (the lower the Ca:Si the better </w:t>
      </w:r>
      <w:r w:rsidR="00933B66">
        <w:rPr>
          <w:rFonts w:ascii="Times New Roman" w:hAnsi="Times New Roman" w:cs="Times New Roman"/>
          <w:bCs/>
          <w:color w:val="000000"/>
        </w:rPr>
        <w:t>sorption</w:t>
      </w:r>
      <w:r w:rsidR="00AF1A87">
        <w:rPr>
          <w:rFonts w:ascii="Times New Roman" w:hAnsi="Times New Roman" w:cs="Times New Roman"/>
          <w:bCs/>
          <w:color w:val="000000"/>
        </w:rPr>
        <w:t xml:space="preserve"> of Cs)</w:t>
      </w:r>
      <w:r w:rsidR="00863D2F">
        <w:rPr>
          <w:rFonts w:ascii="Times New Roman" w:hAnsi="Times New Roman" w:cs="Times New Roman"/>
          <w:bCs/>
          <w:color w:val="000000"/>
        </w:rPr>
        <w:t xml:space="preserve"> [59</w:t>
      </w:r>
      <w:r>
        <w:rPr>
          <w:rFonts w:ascii="Times New Roman" w:hAnsi="Times New Roman" w:cs="Times New Roman"/>
          <w:bCs/>
          <w:color w:val="000000"/>
        </w:rPr>
        <w:t>]</w:t>
      </w:r>
      <w:r w:rsidR="00684FA2">
        <w:rPr>
          <w:rFonts w:ascii="Times New Roman" w:hAnsi="Times New Roman" w:cs="Times New Roman"/>
          <w:bCs/>
          <w:color w:val="000000"/>
        </w:rPr>
        <w:t>. In one study [49] the pH impact on Cs retention was also monitored and it was found that a decrease in pH was concomitant with a decrea</w:t>
      </w:r>
      <w:r w:rsidR="005E7C0B">
        <w:rPr>
          <w:rFonts w:ascii="Times New Roman" w:hAnsi="Times New Roman" w:cs="Times New Roman"/>
          <w:bCs/>
          <w:color w:val="000000"/>
        </w:rPr>
        <w:t>se</w:t>
      </w:r>
      <w:r w:rsidR="00684FA2">
        <w:rPr>
          <w:rFonts w:ascii="Times New Roman" w:hAnsi="Times New Roman" w:cs="Times New Roman"/>
          <w:bCs/>
          <w:color w:val="000000"/>
        </w:rPr>
        <w:t xml:space="preserve"> in Ca</w:t>
      </w:r>
      <w:proofErr w:type="gramStart"/>
      <w:r w:rsidR="00684FA2">
        <w:rPr>
          <w:rFonts w:ascii="Times New Roman" w:hAnsi="Times New Roman" w:cs="Times New Roman"/>
          <w:bCs/>
          <w:color w:val="000000"/>
        </w:rPr>
        <w:t>:Si</w:t>
      </w:r>
      <w:proofErr w:type="gramEnd"/>
      <w:r w:rsidR="00684FA2">
        <w:rPr>
          <w:rFonts w:ascii="Times New Roman" w:hAnsi="Times New Roman" w:cs="Times New Roman"/>
          <w:bCs/>
          <w:color w:val="000000"/>
        </w:rPr>
        <w:t xml:space="preserve"> ratio and in turn increasing the surface area of </w:t>
      </w:r>
      <w:r w:rsidR="00C449C1">
        <w:rPr>
          <w:rFonts w:ascii="Times New Roman" w:hAnsi="Times New Roman" w:cs="Times New Roman"/>
          <w:bCs/>
          <w:color w:val="000000"/>
        </w:rPr>
        <w:t xml:space="preserve"> C-S-H </w:t>
      </w:r>
      <w:r w:rsidR="00684FA2">
        <w:rPr>
          <w:rFonts w:ascii="Times New Roman" w:hAnsi="Times New Roman" w:cs="Times New Roman"/>
          <w:bCs/>
          <w:color w:val="000000"/>
        </w:rPr>
        <w:t>sites with affinity for Cs</w:t>
      </w:r>
      <w:r w:rsidR="00C449C1">
        <w:rPr>
          <w:rFonts w:ascii="Times New Roman" w:hAnsi="Times New Roman" w:cs="Times New Roman"/>
          <w:bCs/>
          <w:color w:val="000000"/>
        </w:rPr>
        <w:t>. Presumably due to the pH induced leaching of Ca</w:t>
      </w:r>
      <w:r>
        <w:rPr>
          <w:rFonts w:ascii="Times New Roman" w:hAnsi="Times New Roman" w:cs="Times New Roman"/>
          <w:bCs/>
          <w:color w:val="000000"/>
        </w:rPr>
        <w:t>. Usually,</w:t>
      </w:r>
      <w:r w:rsidR="00BC1F67">
        <w:rPr>
          <w:rFonts w:ascii="Times New Roman" w:hAnsi="Times New Roman" w:cs="Times New Roman"/>
          <w:bCs/>
          <w:color w:val="000000"/>
        </w:rPr>
        <w:t xml:space="preserve"> </w:t>
      </w:r>
      <w:r>
        <w:rPr>
          <w:rFonts w:ascii="Times New Roman" w:hAnsi="Times New Roman" w:cs="Times New Roman"/>
          <w:bCs/>
          <w:color w:val="000000"/>
        </w:rPr>
        <w:t xml:space="preserve">hard to immobilise elements such as Cs, are sorbed on </w:t>
      </w:r>
      <w:r w:rsidR="001C1D62">
        <w:rPr>
          <w:rFonts w:ascii="Times New Roman" w:hAnsi="Times New Roman" w:cs="Times New Roman"/>
          <w:bCs/>
          <w:color w:val="000000"/>
        </w:rPr>
        <w:t>ion exchange resin</w:t>
      </w:r>
      <w:r>
        <w:rPr>
          <w:rFonts w:ascii="Times New Roman" w:hAnsi="Times New Roman" w:cs="Times New Roman"/>
          <w:bCs/>
          <w:color w:val="000000"/>
        </w:rPr>
        <w:t xml:space="preserve"> before being cemented [5</w:t>
      </w:r>
      <w:r w:rsidR="00863D2F">
        <w:rPr>
          <w:rFonts w:ascii="Times New Roman" w:hAnsi="Times New Roman" w:cs="Times New Roman"/>
          <w:bCs/>
          <w:color w:val="000000"/>
        </w:rPr>
        <w:t>4</w:t>
      </w:r>
      <w:r>
        <w:rPr>
          <w:rFonts w:ascii="Times New Roman" w:hAnsi="Times New Roman" w:cs="Times New Roman"/>
          <w:bCs/>
          <w:color w:val="000000"/>
        </w:rPr>
        <w:t>]. However in this case the high ion concentration of the pore fluid removes the Cs from t</w:t>
      </w:r>
      <w:r w:rsidR="00863D2F">
        <w:rPr>
          <w:rFonts w:ascii="Times New Roman" w:hAnsi="Times New Roman" w:cs="Times New Roman"/>
          <w:bCs/>
          <w:color w:val="000000"/>
        </w:rPr>
        <w:t>he active sites in the resin [54</w:t>
      </w:r>
      <w:r>
        <w:rPr>
          <w:rFonts w:ascii="Times New Roman" w:hAnsi="Times New Roman" w:cs="Times New Roman"/>
          <w:bCs/>
          <w:color w:val="000000"/>
        </w:rPr>
        <w:t xml:space="preserve">]. </w:t>
      </w:r>
      <w:r w:rsidR="00863D2F">
        <w:rPr>
          <w:rFonts w:ascii="Times New Roman" w:hAnsi="Times New Roman" w:cs="Times New Roman"/>
          <w:bCs/>
          <w:color w:val="000000"/>
        </w:rPr>
        <w:t xml:space="preserve">Papadokostaki and Savidou </w:t>
      </w:r>
      <w:r w:rsidR="00472477">
        <w:rPr>
          <w:rFonts w:ascii="Times New Roman" w:hAnsi="Times New Roman" w:cs="Times New Roman"/>
          <w:bCs/>
          <w:color w:val="000000"/>
        </w:rPr>
        <w:t xml:space="preserve">[48] </w:t>
      </w:r>
      <w:r>
        <w:rPr>
          <w:rFonts w:ascii="Times New Roman" w:hAnsi="Times New Roman" w:cs="Times New Roman"/>
          <w:bCs/>
          <w:color w:val="000000"/>
        </w:rPr>
        <w:t>experimented with the sorption of the Cs</w:t>
      </w:r>
      <w:r>
        <w:rPr>
          <w:rFonts w:ascii="Times New Roman" w:hAnsi="Times New Roman" w:cs="Times New Roman"/>
          <w:bCs/>
          <w:color w:val="000000"/>
          <w:vertAlign w:val="superscript"/>
        </w:rPr>
        <w:t>+</w:t>
      </w:r>
      <w:r>
        <w:rPr>
          <w:rFonts w:ascii="Times New Roman" w:hAnsi="Times New Roman" w:cs="Times New Roman"/>
          <w:bCs/>
          <w:color w:val="000000"/>
        </w:rPr>
        <w:t xml:space="preserve"> ions on the cement granules</w:t>
      </w:r>
      <w:r w:rsidR="00846816">
        <w:rPr>
          <w:rFonts w:ascii="Times New Roman" w:hAnsi="Times New Roman" w:cs="Times New Roman"/>
          <w:bCs/>
          <w:color w:val="000000"/>
        </w:rPr>
        <w:t xml:space="preserve">, adding the Cs </w:t>
      </w:r>
      <w:proofErr w:type="gramStart"/>
      <w:r w:rsidR="00846816">
        <w:rPr>
          <w:rFonts w:ascii="Times New Roman" w:hAnsi="Times New Roman" w:cs="Times New Roman"/>
          <w:bCs/>
          <w:color w:val="000000"/>
        </w:rPr>
        <w:t>in  its</w:t>
      </w:r>
      <w:proofErr w:type="gramEnd"/>
      <w:r w:rsidR="00846816">
        <w:rPr>
          <w:rFonts w:ascii="Times New Roman" w:hAnsi="Times New Roman" w:cs="Times New Roman"/>
          <w:bCs/>
          <w:color w:val="000000"/>
        </w:rPr>
        <w:t xml:space="preserve"> sulphate form as well as in its nitrate form. </w:t>
      </w:r>
      <w:r>
        <w:rPr>
          <w:rFonts w:ascii="Times New Roman" w:hAnsi="Times New Roman" w:cs="Times New Roman"/>
          <w:bCs/>
          <w:color w:val="000000"/>
        </w:rPr>
        <w:t xml:space="preserve"> </w:t>
      </w:r>
      <w:r w:rsidR="007F4C90">
        <w:rPr>
          <w:rFonts w:ascii="Times New Roman" w:hAnsi="Times New Roman" w:cs="Times New Roman"/>
          <w:bCs/>
          <w:color w:val="000000"/>
        </w:rPr>
        <w:t xml:space="preserve">By measuring the Cs concentration profile in the samples they </w:t>
      </w:r>
      <w:r>
        <w:rPr>
          <w:rFonts w:ascii="Times New Roman" w:hAnsi="Times New Roman" w:cs="Times New Roman"/>
          <w:bCs/>
          <w:color w:val="000000"/>
        </w:rPr>
        <w:t>found that adsorption on the</w:t>
      </w:r>
      <w:r w:rsidR="007F4C90">
        <w:rPr>
          <w:rFonts w:ascii="Times New Roman" w:hAnsi="Times New Roman" w:cs="Times New Roman"/>
          <w:bCs/>
          <w:color w:val="000000"/>
        </w:rPr>
        <w:t xml:space="preserve"> </w:t>
      </w:r>
      <w:r>
        <w:rPr>
          <w:rFonts w:ascii="Times New Roman" w:hAnsi="Times New Roman" w:cs="Times New Roman"/>
          <w:bCs/>
          <w:color w:val="000000"/>
        </w:rPr>
        <w:t>20-30% of Cs</w:t>
      </w:r>
      <w:r>
        <w:rPr>
          <w:rFonts w:ascii="Times New Roman" w:hAnsi="Times New Roman" w:cs="Times New Roman"/>
          <w:bCs/>
          <w:color w:val="000000"/>
          <w:vertAlign w:val="superscript"/>
        </w:rPr>
        <w:t>+</w:t>
      </w:r>
      <w:r>
        <w:rPr>
          <w:rFonts w:ascii="Times New Roman" w:hAnsi="Times New Roman" w:cs="Times New Roman"/>
          <w:bCs/>
          <w:color w:val="000000"/>
        </w:rPr>
        <w:t xml:space="preserve"> immobilised by the cement </w:t>
      </w:r>
      <w:r w:rsidR="007F4C90">
        <w:rPr>
          <w:rFonts w:ascii="Times New Roman" w:hAnsi="Times New Roman" w:cs="Times New Roman"/>
          <w:bCs/>
          <w:color w:val="000000"/>
        </w:rPr>
        <w:t xml:space="preserve">(suggesting that it formed caesium aluminium silicates), </w:t>
      </w:r>
      <w:r>
        <w:rPr>
          <w:rFonts w:ascii="Times New Roman" w:hAnsi="Times New Roman" w:cs="Times New Roman"/>
          <w:bCs/>
          <w:color w:val="000000"/>
        </w:rPr>
        <w:t>while the rest w</w:t>
      </w:r>
      <w:r w:rsidR="00863D2F">
        <w:rPr>
          <w:rFonts w:ascii="Times New Roman" w:hAnsi="Times New Roman" w:cs="Times New Roman"/>
          <w:bCs/>
          <w:color w:val="000000"/>
        </w:rPr>
        <w:t>as easily removed by elution [48</w:t>
      </w:r>
      <w:r>
        <w:rPr>
          <w:rFonts w:ascii="Times New Roman" w:hAnsi="Times New Roman" w:cs="Times New Roman"/>
          <w:bCs/>
          <w:color w:val="000000"/>
        </w:rPr>
        <w:t>]. Caesium sorption is generally believed to occur within the C-S-H phase [</w:t>
      </w:r>
      <w:r w:rsidR="00863D2F">
        <w:rPr>
          <w:rFonts w:ascii="Times New Roman" w:hAnsi="Times New Roman" w:cs="Times New Roman"/>
          <w:bCs/>
          <w:color w:val="000000"/>
        </w:rPr>
        <w:t>49,50,51,52,53</w:t>
      </w:r>
      <w:r>
        <w:rPr>
          <w:rFonts w:ascii="Times New Roman" w:hAnsi="Times New Roman" w:cs="Times New Roman"/>
          <w:bCs/>
          <w:color w:val="000000"/>
        </w:rPr>
        <w:t xml:space="preserve">]. It was observed by Iwaida et al </w:t>
      </w:r>
      <w:r w:rsidR="000D0629">
        <w:rPr>
          <w:rFonts w:ascii="Times New Roman" w:hAnsi="Times New Roman" w:cs="Times New Roman"/>
          <w:bCs/>
          <w:color w:val="000000"/>
        </w:rPr>
        <w:t xml:space="preserve">[50] </w:t>
      </w:r>
      <w:r>
        <w:rPr>
          <w:rFonts w:ascii="Times New Roman" w:hAnsi="Times New Roman" w:cs="Times New Roman"/>
          <w:bCs/>
          <w:color w:val="000000"/>
        </w:rPr>
        <w:t>that silicate cha</w:t>
      </w:r>
      <w:r w:rsidR="001C1D62">
        <w:rPr>
          <w:rFonts w:ascii="Times New Roman" w:hAnsi="Times New Roman" w:cs="Times New Roman"/>
          <w:bCs/>
          <w:color w:val="000000"/>
        </w:rPr>
        <w:t xml:space="preserve">ins had shortened in the C-S-H </w:t>
      </w:r>
      <w:r>
        <w:rPr>
          <w:rFonts w:ascii="Times New Roman" w:hAnsi="Times New Roman" w:cs="Times New Roman"/>
          <w:bCs/>
          <w:color w:val="000000"/>
        </w:rPr>
        <w:t>that had sorbed the Cs, indicating that these chains had broken</w:t>
      </w:r>
      <w:r w:rsidR="00FD2C9A">
        <w:rPr>
          <w:rFonts w:ascii="Times New Roman" w:hAnsi="Times New Roman" w:cs="Times New Roman"/>
          <w:bCs/>
          <w:color w:val="000000"/>
        </w:rPr>
        <w:t>. They concluded that sorption onto C-S-H was inversely proportional to the Stokes radius of the hydrated ions</w:t>
      </w:r>
      <w:r w:rsidR="00914163">
        <w:rPr>
          <w:rFonts w:ascii="Times New Roman" w:hAnsi="Times New Roman" w:cs="Times New Roman"/>
          <w:bCs/>
          <w:color w:val="000000"/>
        </w:rPr>
        <w:t xml:space="preserve">, and that the sorption </w:t>
      </w:r>
      <w:r w:rsidR="000B344D">
        <w:rPr>
          <w:rFonts w:ascii="Times New Roman" w:hAnsi="Times New Roman" w:cs="Times New Roman"/>
          <w:bCs/>
          <w:color w:val="000000"/>
        </w:rPr>
        <w:t>occurred</w:t>
      </w:r>
      <w:r w:rsidR="00914163">
        <w:rPr>
          <w:rFonts w:ascii="Times New Roman" w:hAnsi="Times New Roman" w:cs="Times New Roman"/>
          <w:bCs/>
          <w:color w:val="000000"/>
        </w:rPr>
        <w:t xml:space="preserve"> on </w:t>
      </w:r>
      <w:r w:rsidR="000B344D">
        <w:rPr>
          <w:rFonts w:ascii="Times New Roman" w:hAnsi="Times New Roman" w:cs="Times New Roman"/>
          <w:bCs/>
          <w:color w:val="000000"/>
        </w:rPr>
        <w:t xml:space="preserve">a negatively charged C-S-H site, suggested to be a silanol (Si-OH) site. </w:t>
      </w:r>
      <w:r w:rsidR="006D108B">
        <w:rPr>
          <w:rFonts w:ascii="Times New Roman" w:hAnsi="Times New Roman" w:cs="Times New Roman"/>
          <w:bCs/>
          <w:color w:val="000000"/>
        </w:rPr>
        <w:t>This electronegativity</w:t>
      </w:r>
      <w:r w:rsidR="000B344D">
        <w:rPr>
          <w:rFonts w:ascii="Times New Roman" w:hAnsi="Times New Roman" w:cs="Times New Roman"/>
          <w:bCs/>
          <w:color w:val="000000"/>
        </w:rPr>
        <w:t xml:space="preserve"> </w:t>
      </w:r>
      <w:r w:rsidR="006D108B">
        <w:rPr>
          <w:rFonts w:ascii="Times New Roman" w:hAnsi="Times New Roman" w:cs="Times New Roman"/>
          <w:bCs/>
          <w:color w:val="000000"/>
        </w:rPr>
        <w:t>arose</w:t>
      </w:r>
      <w:r w:rsidR="000B344D">
        <w:rPr>
          <w:rFonts w:ascii="Times New Roman" w:hAnsi="Times New Roman" w:cs="Times New Roman"/>
          <w:bCs/>
          <w:color w:val="000000"/>
        </w:rPr>
        <w:t xml:space="preserve"> from the density of silanol bonds and the sites' mean </w:t>
      </w:r>
      <w:r w:rsidR="00565DAA">
        <w:rPr>
          <w:rFonts w:ascii="Times New Roman" w:hAnsi="Times New Roman" w:cs="Times New Roman"/>
          <w:bCs/>
          <w:color w:val="000000"/>
        </w:rPr>
        <w:t>acidity</w:t>
      </w:r>
      <w:r w:rsidR="000B344D">
        <w:rPr>
          <w:rFonts w:ascii="Times New Roman" w:hAnsi="Times New Roman" w:cs="Times New Roman"/>
          <w:bCs/>
          <w:color w:val="000000"/>
        </w:rPr>
        <w:t>, which was inversely proportional to the Ca</w:t>
      </w:r>
      <w:proofErr w:type="gramStart"/>
      <w:r w:rsidR="000B344D">
        <w:rPr>
          <w:rFonts w:ascii="Times New Roman" w:hAnsi="Times New Roman" w:cs="Times New Roman"/>
          <w:bCs/>
          <w:color w:val="000000"/>
        </w:rPr>
        <w:t>:Si</w:t>
      </w:r>
      <w:proofErr w:type="gramEnd"/>
      <w:r w:rsidR="000B344D">
        <w:rPr>
          <w:rFonts w:ascii="Times New Roman" w:hAnsi="Times New Roman" w:cs="Times New Roman"/>
          <w:bCs/>
          <w:color w:val="000000"/>
        </w:rPr>
        <w:t xml:space="preserve"> ratio</w:t>
      </w:r>
      <w:r>
        <w:rPr>
          <w:rFonts w:ascii="Times New Roman" w:hAnsi="Times New Roman" w:cs="Times New Roman"/>
          <w:bCs/>
          <w:color w:val="000000"/>
        </w:rPr>
        <w:t>. Furt</w:t>
      </w:r>
      <w:r w:rsidR="008B2CA7">
        <w:rPr>
          <w:rFonts w:ascii="Times New Roman" w:hAnsi="Times New Roman" w:cs="Times New Roman"/>
          <w:bCs/>
          <w:color w:val="000000"/>
        </w:rPr>
        <w:t>her research by Iwaida et al [60</w:t>
      </w:r>
      <w:r>
        <w:rPr>
          <w:rFonts w:ascii="Times New Roman" w:hAnsi="Times New Roman" w:cs="Times New Roman"/>
          <w:bCs/>
          <w:color w:val="000000"/>
        </w:rPr>
        <w:t xml:space="preserve">] found that the Cs was sorbed onto the tobermorite-type layers within the C-S-H. Their </w:t>
      </w:r>
      <w:r>
        <w:rPr>
          <w:rFonts w:ascii="Times New Roman" w:hAnsi="Times New Roman" w:cs="Times New Roman"/>
          <w:bCs/>
          <w:color w:val="000000"/>
        </w:rPr>
        <w:lastRenderedPageBreak/>
        <w:t xml:space="preserve">XRD results showed that the Cs sorption caused a degradation of the tobermorite-type layer </w:t>
      </w:r>
      <w:r w:rsidR="001C1D62">
        <w:rPr>
          <w:rFonts w:ascii="Times New Roman" w:hAnsi="Times New Roman" w:cs="Times New Roman"/>
          <w:bCs/>
          <w:color w:val="000000"/>
        </w:rPr>
        <w:t xml:space="preserve">and </w:t>
      </w:r>
      <w:r>
        <w:rPr>
          <w:rFonts w:ascii="Times New Roman" w:hAnsi="Times New Roman" w:cs="Times New Roman"/>
          <w:bCs/>
          <w:color w:val="000000"/>
        </w:rPr>
        <w:t>sh</w:t>
      </w:r>
      <w:r w:rsidR="001C1D62">
        <w:rPr>
          <w:rFonts w:ascii="Times New Roman" w:hAnsi="Times New Roman" w:cs="Times New Roman"/>
          <w:bCs/>
          <w:color w:val="000000"/>
        </w:rPr>
        <w:t>ortening the layer intergrowths</w:t>
      </w:r>
      <w:r>
        <w:rPr>
          <w:rFonts w:ascii="Times New Roman" w:hAnsi="Times New Roman" w:cs="Times New Roman"/>
          <w:bCs/>
          <w:color w:val="000000"/>
        </w:rPr>
        <w:t>. However it was also suggested that the OH</w:t>
      </w:r>
      <w:r w:rsidRPr="00CD27DA">
        <w:rPr>
          <w:rFonts w:ascii="Times New Roman" w:hAnsi="Times New Roman" w:cs="Times New Roman"/>
          <w:bCs/>
          <w:color w:val="000000"/>
          <w:vertAlign w:val="superscript"/>
        </w:rPr>
        <w:t xml:space="preserve">- </w:t>
      </w:r>
      <w:r>
        <w:rPr>
          <w:rFonts w:ascii="Times New Roman" w:hAnsi="Times New Roman" w:cs="Times New Roman"/>
          <w:bCs/>
          <w:color w:val="000000"/>
        </w:rPr>
        <w:t>ions contributed to the breaking of the silicate chains [5</w:t>
      </w:r>
      <w:r w:rsidR="008B2CA7">
        <w:rPr>
          <w:rFonts w:ascii="Times New Roman" w:hAnsi="Times New Roman" w:cs="Times New Roman"/>
          <w:bCs/>
          <w:color w:val="000000"/>
        </w:rPr>
        <w:t>0</w:t>
      </w:r>
      <w:r>
        <w:rPr>
          <w:rFonts w:ascii="Times New Roman" w:hAnsi="Times New Roman" w:cs="Times New Roman"/>
          <w:bCs/>
          <w:color w:val="000000"/>
        </w:rPr>
        <w:t>,6</w:t>
      </w:r>
      <w:r w:rsidR="008B2CA7">
        <w:rPr>
          <w:rFonts w:ascii="Times New Roman" w:hAnsi="Times New Roman" w:cs="Times New Roman"/>
          <w:bCs/>
          <w:color w:val="000000"/>
        </w:rPr>
        <w:t>0</w:t>
      </w:r>
      <w:r>
        <w:rPr>
          <w:rFonts w:ascii="Times New Roman" w:hAnsi="Times New Roman" w:cs="Times New Roman"/>
          <w:bCs/>
          <w:color w:val="000000"/>
        </w:rPr>
        <w:t>].</w:t>
      </w:r>
    </w:p>
    <w:p w14:paraId="31B19A12" w14:textId="0BB55B0F" w:rsidR="003D5839" w:rsidRPr="005F03CC" w:rsidRDefault="003D5839"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both"/>
        <w:rPr>
          <w:rFonts w:ascii="Times New Roman" w:hAnsi="Times New Roman" w:cs="Times New Roman"/>
          <w:bCs/>
          <w:color w:val="000000"/>
        </w:rPr>
      </w:pPr>
      <w:r>
        <w:rPr>
          <w:rFonts w:ascii="Times New Roman" w:hAnsi="Times New Roman" w:cs="Times New Roman"/>
          <w:bCs/>
          <w:color w:val="000000"/>
        </w:rPr>
        <w:t>The bind</w:t>
      </w:r>
      <w:r w:rsidR="00873686">
        <w:rPr>
          <w:rFonts w:ascii="Times New Roman" w:hAnsi="Times New Roman" w:cs="Times New Roman"/>
          <w:bCs/>
          <w:color w:val="000000"/>
        </w:rPr>
        <w:t>ing capacity for caesium and it</w:t>
      </w:r>
      <w:r>
        <w:rPr>
          <w:rFonts w:ascii="Times New Roman" w:hAnsi="Times New Roman" w:cs="Times New Roman"/>
          <w:bCs/>
          <w:color w:val="000000"/>
        </w:rPr>
        <w:t xml:space="preserve">s corresponding bond strength decreases as the Ca/Si ratio increases within the cement </w:t>
      </w:r>
      <w:proofErr w:type="gramStart"/>
      <w:r>
        <w:rPr>
          <w:rFonts w:ascii="Times New Roman" w:hAnsi="Times New Roman" w:cs="Times New Roman"/>
          <w:bCs/>
          <w:color w:val="000000"/>
        </w:rPr>
        <w:t>paste,</w:t>
      </w:r>
      <w:proofErr w:type="gramEnd"/>
      <w:r>
        <w:rPr>
          <w:rFonts w:ascii="Times New Roman" w:hAnsi="Times New Roman" w:cs="Times New Roman"/>
          <w:bCs/>
          <w:color w:val="000000"/>
        </w:rPr>
        <w:t xml:space="preserve"> as a result pozzolanic</w:t>
      </w:r>
      <w:r w:rsidR="008B2CA7">
        <w:rPr>
          <w:rFonts w:ascii="Times New Roman" w:hAnsi="Times New Roman" w:cs="Times New Roman"/>
          <w:bCs/>
          <w:color w:val="000000"/>
        </w:rPr>
        <w:t xml:space="preserve"> additives are sometimes used [59</w:t>
      </w:r>
      <w:r>
        <w:rPr>
          <w:rFonts w:ascii="Times New Roman" w:hAnsi="Times New Roman" w:cs="Times New Roman"/>
          <w:bCs/>
          <w:color w:val="000000"/>
        </w:rPr>
        <w:t>]. The amorphous silica provided by the additive reacts with portlandite to form a C-S-H gel with a slightly lower Ca/Si ratio than that expected from C-</w:t>
      </w:r>
      <w:r w:rsidR="008B2CA7">
        <w:rPr>
          <w:rFonts w:ascii="Times New Roman" w:hAnsi="Times New Roman" w:cs="Times New Roman"/>
          <w:bCs/>
          <w:color w:val="000000"/>
        </w:rPr>
        <w:t>S-H formed during hydration [51</w:t>
      </w:r>
      <w:r>
        <w:rPr>
          <w:rFonts w:ascii="Times New Roman" w:hAnsi="Times New Roman" w:cs="Times New Roman"/>
          <w:bCs/>
          <w:color w:val="000000"/>
        </w:rPr>
        <w:t xml:space="preserve">], </w:t>
      </w:r>
      <w:r w:rsidR="00873686">
        <w:rPr>
          <w:rFonts w:ascii="Times New Roman" w:hAnsi="Times New Roman" w:cs="Times New Roman"/>
          <w:bCs/>
          <w:color w:val="000000"/>
        </w:rPr>
        <w:t>which</w:t>
      </w:r>
      <w:r>
        <w:rPr>
          <w:rFonts w:ascii="Times New Roman" w:hAnsi="Times New Roman" w:cs="Times New Roman"/>
          <w:bCs/>
          <w:color w:val="000000"/>
        </w:rPr>
        <w:t xml:space="preserve"> increases the binding capacity. Other additives such as densified silica fume increase the immobilisation of Cs ions in cement pastes, where energy dispersive spectroscopy analysis (EDS) shows that a greater concentration of Cs ions were present in the silica-fume agglomerates than in the surrounding paste [5</w:t>
      </w:r>
      <w:r w:rsidR="008B2CA7">
        <w:rPr>
          <w:rFonts w:ascii="Times New Roman" w:hAnsi="Times New Roman" w:cs="Times New Roman"/>
          <w:bCs/>
          <w:color w:val="000000"/>
        </w:rPr>
        <w:t>1</w:t>
      </w:r>
      <w:r>
        <w:rPr>
          <w:rFonts w:ascii="Times New Roman" w:hAnsi="Times New Roman" w:cs="Times New Roman"/>
          <w:bCs/>
          <w:color w:val="000000"/>
        </w:rPr>
        <w:t>]. If the Ca/Si ratio remains constant but the alumina content decreases then sorption of Cs again increases. An increase in CaO</w:t>
      </w:r>
      <w:proofErr w:type="gramStart"/>
      <w:r>
        <w:rPr>
          <w:rFonts w:ascii="Times New Roman" w:hAnsi="Times New Roman" w:cs="Times New Roman"/>
          <w:bCs/>
          <w:color w:val="000000"/>
        </w:rPr>
        <w:t>:Al</w:t>
      </w:r>
      <w:r>
        <w:rPr>
          <w:rFonts w:ascii="Times New Roman" w:hAnsi="Times New Roman" w:cs="Times New Roman"/>
          <w:bCs/>
          <w:color w:val="000000"/>
          <w:vertAlign w:val="subscript"/>
        </w:rPr>
        <w:t>2</w:t>
      </w:r>
      <w:r>
        <w:rPr>
          <w:rFonts w:ascii="Times New Roman" w:hAnsi="Times New Roman" w:cs="Times New Roman"/>
          <w:bCs/>
          <w:color w:val="000000"/>
        </w:rPr>
        <w:t>O</w:t>
      </w:r>
      <w:r>
        <w:rPr>
          <w:rFonts w:ascii="Times New Roman" w:hAnsi="Times New Roman" w:cs="Times New Roman"/>
          <w:bCs/>
          <w:color w:val="000000"/>
          <w:vertAlign w:val="subscript"/>
        </w:rPr>
        <w:t>3</w:t>
      </w:r>
      <w:proofErr w:type="gramEnd"/>
      <w:r w:rsidR="006C5A5C">
        <w:rPr>
          <w:rFonts w:ascii="Times New Roman" w:hAnsi="Times New Roman" w:cs="Times New Roman"/>
          <w:bCs/>
          <w:color w:val="000000"/>
          <w:vertAlign w:val="subscript"/>
        </w:rPr>
        <w:t xml:space="preserve"> </w:t>
      </w:r>
      <w:r w:rsidR="006C5A5C">
        <w:rPr>
          <w:rFonts w:ascii="Times New Roman" w:hAnsi="Times New Roman" w:cs="Times New Roman"/>
          <w:bCs/>
          <w:color w:val="000000"/>
        </w:rPr>
        <w:t>ratio</w:t>
      </w:r>
      <w:r>
        <w:rPr>
          <w:rFonts w:ascii="Times New Roman" w:hAnsi="Times New Roman" w:cs="Times New Roman"/>
          <w:bCs/>
          <w:color w:val="000000"/>
        </w:rPr>
        <w:t xml:space="preserve"> [5</w:t>
      </w:r>
      <w:r w:rsidR="008B2CA7">
        <w:rPr>
          <w:rFonts w:ascii="Times New Roman" w:hAnsi="Times New Roman" w:cs="Times New Roman"/>
          <w:bCs/>
          <w:color w:val="000000"/>
        </w:rPr>
        <w:t>2</w:t>
      </w:r>
      <w:r>
        <w:rPr>
          <w:rFonts w:ascii="Times New Roman" w:hAnsi="Times New Roman" w:cs="Times New Roman"/>
          <w:bCs/>
          <w:color w:val="000000"/>
        </w:rPr>
        <w:t>] also increases the Cs retention. However solid-state NMR by Hanna et al</w:t>
      </w:r>
      <w:proofErr w:type="gramStart"/>
      <w:r>
        <w:rPr>
          <w:rFonts w:ascii="Times New Roman" w:hAnsi="Times New Roman" w:cs="Times New Roman"/>
          <w:bCs/>
          <w:color w:val="000000"/>
        </w:rPr>
        <w:t>.[</w:t>
      </w:r>
      <w:proofErr w:type="gramEnd"/>
      <w:r>
        <w:rPr>
          <w:rFonts w:ascii="Times New Roman" w:hAnsi="Times New Roman" w:cs="Times New Roman"/>
          <w:bCs/>
          <w:color w:val="000000"/>
        </w:rPr>
        <w:t>5</w:t>
      </w:r>
      <w:r w:rsidR="008B2CA7">
        <w:rPr>
          <w:rFonts w:ascii="Times New Roman" w:hAnsi="Times New Roman" w:cs="Times New Roman"/>
          <w:bCs/>
          <w:color w:val="000000"/>
        </w:rPr>
        <w:t>3</w:t>
      </w:r>
      <w:r>
        <w:rPr>
          <w:rFonts w:ascii="Times New Roman" w:hAnsi="Times New Roman" w:cs="Times New Roman"/>
          <w:bCs/>
          <w:color w:val="000000"/>
        </w:rPr>
        <w:t xml:space="preserve">] showed that the Cs in </w:t>
      </w:r>
      <w:r w:rsidR="00E85025">
        <w:rPr>
          <w:rFonts w:ascii="Times New Roman" w:hAnsi="Times New Roman" w:cs="Times New Roman"/>
          <w:bCs/>
          <w:color w:val="000000"/>
        </w:rPr>
        <w:t>PC</w:t>
      </w:r>
      <w:r>
        <w:rPr>
          <w:rFonts w:ascii="Times New Roman" w:hAnsi="Times New Roman" w:cs="Times New Roman"/>
          <w:bCs/>
          <w:color w:val="000000"/>
        </w:rPr>
        <w:t xml:space="preserve"> remained in solution regardless of any additives. On the other hand Atkinson and Nickerson’s conclusion found that the introduction of a zeolite caused </w:t>
      </w:r>
      <w:proofErr w:type="gramStart"/>
      <w:r>
        <w:rPr>
          <w:rFonts w:ascii="Times New Roman" w:hAnsi="Times New Roman" w:cs="Times New Roman"/>
          <w:bCs/>
          <w:color w:val="000000"/>
        </w:rPr>
        <w:t>an</w:t>
      </w:r>
      <w:proofErr w:type="gramEnd"/>
      <w:r>
        <w:rPr>
          <w:rFonts w:ascii="Times New Roman" w:hAnsi="Times New Roman" w:cs="Times New Roman"/>
          <w:bCs/>
          <w:color w:val="000000"/>
        </w:rPr>
        <w:t xml:space="preserve"> 80-fold reduct</w:t>
      </w:r>
      <w:r w:rsidR="008B2CA7">
        <w:rPr>
          <w:rFonts w:ascii="Times New Roman" w:hAnsi="Times New Roman" w:cs="Times New Roman"/>
          <w:bCs/>
          <w:color w:val="000000"/>
        </w:rPr>
        <w:t>ion in Cs leaching [61</w:t>
      </w:r>
      <w:r>
        <w:rPr>
          <w:rFonts w:ascii="Times New Roman" w:hAnsi="Times New Roman" w:cs="Times New Roman"/>
          <w:bCs/>
          <w:color w:val="000000"/>
        </w:rPr>
        <w:t xml:space="preserve">]. </w:t>
      </w:r>
    </w:p>
    <w:p w14:paraId="057066DB" w14:textId="77777777" w:rsidR="003D5839" w:rsidRDefault="003D5839"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both"/>
        <w:rPr>
          <w:rFonts w:ascii="Times New Roman" w:hAnsi="Times New Roman" w:cs="Times New Roman"/>
          <w:b/>
          <w:bCs/>
          <w:color w:val="000000"/>
        </w:rPr>
      </w:pPr>
    </w:p>
    <w:p w14:paraId="44268985" w14:textId="77777777" w:rsidR="003D5839" w:rsidRPr="00AC087F" w:rsidRDefault="003D5839" w:rsidP="003D5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both"/>
        <w:rPr>
          <w:rFonts w:ascii="Times New Roman" w:hAnsi="Times New Roman" w:cs="Times New Roman"/>
          <w:b/>
          <w:bCs/>
          <w:color w:val="000000"/>
        </w:rPr>
      </w:pPr>
      <w:r w:rsidRPr="00AC087F">
        <w:rPr>
          <w:rFonts w:ascii="Times New Roman" w:hAnsi="Times New Roman" w:cs="Times New Roman"/>
          <w:b/>
          <w:bCs/>
          <w:color w:val="000000"/>
        </w:rPr>
        <w:t>2.4.3</w:t>
      </w:r>
      <w:r w:rsidRPr="00AC087F">
        <w:rPr>
          <w:rFonts w:ascii="Times New Roman" w:hAnsi="Times New Roman" w:cs="Times New Roman"/>
          <w:b/>
          <w:bCs/>
          <w:color w:val="000000"/>
        </w:rPr>
        <w:tab/>
      </w:r>
      <w:r w:rsidRPr="00AC087F">
        <w:rPr>
          <w:rFonts w:ascii="Times New Roman" w:hAnsi="Times New Roman" w:cs="Times New Roman"/>
          <w:b/>
          <w:bCs/>
          <w:color w:val="000000"/>
        </w:rPr>
        <w:tab/>
        <w:t>Interaction with Strontium</w:t>
      </w:r>
      <w:r w:rsidRPr="00AC087F">
        <w:rPr>
          <w:rFonts w:ascii="Times New Roman" w:hAnsi="Times New Roman" w:cs="Times New Roman"/>
          <w:b/>
          <w:bCs/>
          <w:color w:val="000000"/>
        </w:rPr>
        <w:tab/>
      </w:r>
    </w:p>
    <w:p w14:paraId="3CD02042" w14:textId="1F7A1AB8" w:rsidR="003D5839" w:rsidRPr="00056B77" w:rsidRDefault="003D5839" w:rsidP="003D5839">
      <w:pPr>
        <w:spacing w:before="120" w:after="120" w:line="360" w:lineRule="auto"/>
        <w:jc w:val="both"/>
        <w:rPr>
          <w:rFonts w:ascii="Times New Roman" w:hAnsi="Times New Roman" w:cs="Times New Roman"/>
        </w:rPr>
      </w:pPr>
      <w:r w:rsidRPr="00466C78">
        <w:rPr>
          <w:rFonts w:ascii="Times New Roman" w:hAnsi="Times New Roman" w:cs="Times New Roman"/>
        </w:rPr>
        <w:t xml:space="preserve">In contrast to Cs, Sr is well retained within </w:t>
      </w:r>
      <w:r w:rsidR="00E85025">
        <w:rPr>
          <w:rFonts w:ascii="Times New Roman" w:hAnsi="Times New Roman" w:cs="Times New Roman"/>
        </w:rPr>
        <w:t>PC</w:t>
      </w:r>
      <w:r w:rsidRPr="00466C78">
        <w:rPr>
          <w:rFonts w:ascii="Times New Roman" w:hAnsi="Times New Roman" w:cs="Times New Roman"/>
        </w:rPr>
        <w:t>, with a retention percentage of up to 95% in the solid phase [</w:t>
      </w:r>
      <w:r>
        <w:rPr>
          <w:rFonts w:ascii="Times New Roman" w:hAnsi="Times New Roman" w:cs="Times New Roman"/>
        </w:rPr>
        <w:t>17</w:t>
      </w:r>
      <w:r w:rsidRPr="00466C78">
        <w:rPr>
          <w:rFonts w:ascii="Times New Roman" w:hAnsi="Times New Roman" w:cs="Times New Roman"/>
        </w:rPr>
        <w:t>]. Various hydration phases can completely accommodate low levels of Sr,</w:t>
      </w:r>
      <w:r>
        <w:rPr>
          <w:rFonts w:ascii="Times New Roman" w:hAnsi="Times New Roman" w:cs="Times New Roman"/>
        </w:rPr>
        <w:t xml:space="preserve"> </w:t>
      </w:r>
      <w:r w:rsidR="00B710DE">
        <w:rPr>
          <w:rFonts w:ascii="Times New Roman" w:hAnsi="Times New Roman" w:cs="Times New Roman"/>
        </w:rPr>
        <w:t>including the</w:t>
      </w:r>
      <w:r>
        <w:rPr>
          <w:rFonts w:ascii="Times New Roman" w:hAnsi="Times New Roman" w:cs="Times New Roman"/>
        </w:rPr>
        <w:t xml:space="preserve"> hydration products of C</w:t>
      </w:r>
      <w:r>
        <w:rPr>
          <w:rFonts w:ascii="Times New Roman" w:hAnsi="Times New Roman" w:cs="Times New Roman"/>
          <w:vertAlign w:val="subscript"/>
        </w:rPr>
        <w:t>4</w:t>
      </w:r>
      <w:r>
        <w:rPr>
          <w:rFonts w:ascii="Times New Roman" w:hAnsi="Times New Roman" w:cs="Times New Roman"/>
        </w:rPr>
        <w:t>AF and C</w:t>
      </w:r>
      <w:r>
        <w:rPr>
          <w:rFonts w:ascii="Times New Roman" w:hAnsi="Times New Roman" w:cs="Times New Roman"/>
          <w:vertAlign w:val="subscript"/>
        </w:rPr>
        <w:t>3</w:t>
      </w:r>
      <w:r>
        <w:rPr>
          <w:rFonts w:ascii="Times New Roman" w:hAnsi="Times New Roman" w:cs="Times New Roman"/>
        </w:rPr>
        <w:t>A [17]. An experiment by Atkins and Glasser [17] synthesising the A</w:t>
      </w:r>
      <w:r w:rsidR="00B710DE">
        <w:rPr>
          <w:rFonts w:ascii="Times New Roman" w:hAnsi="Times New Roman" w:cs="Times New Roman"/>
        </w:rPr>
        <w:t>F</w:t>
      </w:r>
      <w:r>
        <w:rPr>
          <w:rFonts w:ascii="Times New Roman" w:hAnsi="Times New Roman" w:cs="Times New Roman"/>
        </w:rPr>
        <w:t>t and AFm phases found that</w:t>
      </w:r>
      <w:r w:rsidR="00B710DE">
        <w:rPr>
          <w:rFonts w:ascii="Times New Roman" w:hAnsi="Times New Roman" w:cs="Times New Roman"/>
        </w:rPr>
        <w:t xml:space="preserve"> Sr can substitute </w:t>
      </w:r>
      <w:r w:rsidR="00481679">
        <w:rPr>
          <w:rFonts w:ascii="Times New Roman" w:hAnsi="Times New Roman" w:cs="Times New Roman"/>
        </w:rPr>
        <w:t xml:space="preserve">for </w:t>
      </w:r>
      <w:r w:rsidR="00B710DE">
        <w:rPr>
          <w:rFonts w:ascii="Times New Roman" w:hAnsi="Times New Roman" w:cs="Times New Roman"/>
        </w:rPr>
        <w:t>Ca in AF</w:t>
      </w:r>
      <w:r>
        <w:rPr>
          <w:rFonts w:ascii="Times New Roman" w:hAnsi="Times New Roman" w:cs="Times New Roman"/>
        </w:rPr>
        <w:t>t phases to at least 10mol%, although they have suggested that Sr substitution in AFm is likely</w:t>
      </w:r>
      <w:r w:rsidR="00B710DE">
        <w:rPr>
          <w:rFonts w:ascii="Times New Roman" w:hAnsi="Times New Roman" w:cs="Times New Roman"/>
        </w:rPr>
        <w:t>,</w:t>
      </w:r>
      <w:r>
        <w:rPr>
          <w:rFonts w:ascii="Times New Roman" w:hAnsi="Times New Roman" w:cs="Times New Roman"/>
        </w:rPr>
        <w:t xml:space="preserve"> their experimental results show that it was unsuccessful (they suggested this could be due to experimental error). </w:t>
      </w:r>
      <w:proofErr w:type="gramStart"/>
      <w:r>
        <w:rPr>
          <w:rFonts w:ascii="Times New Roman" w:hAnsi="Times New Roman" w:cs="Times New Roman"/>
        </w:rPr>
        <w:t>The Sr substitution in AFt has also been r</w:t>
      </w:r>
      <w:r w:rsidR="00D37D4F">
        <w:rPr>
          <w:rFonts w:ascii="Times New Roman" w:hAnsi="Times New Roman" w:cs="Times New Roman"/>
        </w:rPr>
        <w:t>eported by Bensted and Varma</w:t>
      </w:r>
      <w:proofErr w:type="gramEnd"/>
      <w:r w:rsidR="00D37D4F">
        <w:rPr>
          <w:rFonts w:ascii="Times New Roman" w:hAnsi="Times New Roman" w:cs="Times New Roman"/>
        </w:rPr>
        <w:t xml:space="preserve"> [62</w:t>
      </w:r>
      <w:r>
        <w:rPr>
          <w:rFonts w:ascii="Times New Roman" w:hAnsi="Times New Roman" w:cs="Times New Roman"/>
        </w:rPr>
        <w:t>]. This study also showed that highly carbonated samples have resulted in a</w:t>
      </w:r>
      <w:r w:rsidR="00366833">
        <w:rPr>
          <w:rFonts w:ascii="Times New Roman" w:hAnsi="Times New Roman" w:cs="Times New Roman"/>
        </w:rPr>
        <w:t xml:space="preserve"> c</w:t>
      </w:r>
      <w:r w:rsidR="00366833" w:rsidRPr="00366833">
        <w:rPr>
          <w:rFonts w:ascii="Times New Roman" w:hAnsi="Times New Roman" w:cs="Times New Roman"/>
        </w:rPr>
        <w:t>o-precipitation</w:t>
      </w:r>
      <w:r w:rsidR="00B25E4F">
        <w:rPr>
          <w:rFonts w:ascii="Times New Roman" w:hAnsi="Times New Roman" w:cs="Times New Roman"/>
        </w:rPr>
        <w:t xml:space="preserve"> </w:t>
      </w:r>
      <w:r>
        <w:rPr>
          <w:rFonts w:ascii="Times New Roman" w:hAnsi="Times New Roman" w:cs="Times New Roman"/>
        </w:rPr>
        <w:t>of SrCO</w:t>
      </w:r>
      <w:r>
        <w:rPr>
          <w:rFonts w:ascii="Times New Roman" w:hAnsi="Times New Roman" w:cs="Times New Roman"/>
          <w:vertAlign w:val="subscript"/>
        </w:rPr>
        <w:t>3</w:t>
      </w:r>
      <w:r w:rsidR="00B710DE">
        <w:rPr>
          <w:rFonts w:ascii="Times New Roman" w:hAnsi="Times New Roman" w:cs="Times New Roman"/>
        </w:rPr>
        <w:t xml:space="preserve">. </w:t>
      </w:r>
      <w:r w:rsidR="00B710DE">
        <w:rPr>
          <w:rFonts w:ascii="Times New Roman" w:hAnsi="Times New Roman" w:cs="Times New Roman"/>
          <w:szCs w:val="28"/>
        </w:rPr>
        <w:t>In other studies it was found that t</w:t>
      </w:r>
      <w:r>
        <w:rPr>
          <w:rFonts w:ascii="Times New Roman" w:hAnsi="Times New Roman" w:cs="Times New Roman"/>
          <w:szCs w:val="28"/>
        </w:rPr>
        <w:t>he major of sink of Sr seem</w:t>
      </w:r>
      <w:r w:rsidRPr="00A22DEB">
        <w:rPr>
          <w:rFonts w:ascii="Times New Roman" w:hAnsi="Times New Roman" w:cs="Times New Roman"/>
        </w:rPr>
        <w:t>s</w:t>
      </w:r>
      <w:r>
        <w:rPr>
          <w:rFonts w:ascii="Times New Roman" w:hAnsi="Times New Roman" w:cs="Times New Roman"/>
        </w:rPr>
        <w:t xml:space="preserve"> to be the calcium aluminium hydrates. Therefore it is assumed that cements rich in Ca and Al such as high alumina cement (HAC), will have the highes</w:t>
      </w:r>
      <w:r w:rsidR="00D37D4F">
        <w:rPr>
          <w:rFonts w:ascii="Times New Roman" w:hAnsi="Times New Roman" w:cs="Times New Roman"/>
        </w:rPr>
        <w:t>t Sr sorption [63</w:t>
      </w:r>
      <w:r>
        <w:rPr>
          <w:rFonts w:ascii="Times New Roman" w:hAnsi="Times New Roman" w:cs="Times New Roman"/>
        </w:rPr>
        <w:t xml:space="preserve">]. </w:t>
      </w:r>
      <w:r w:rsidR="00B710DE">
        <w:rPr>
          <w:rFonts w:ascii="Times New Roman" w:hAnsi="Times New Roman" w:cs="Times New Roman"/>
        </w:rPr>
        <w:t>T</w:t>
      </w:r>
      <w:r>
        <w:rPr>
          <w:rFonts w:ascii="Times New Roman" w:hAnsi="Times New Roman" w:cs="Times New Roman"/>
        </w:rPr>
        <w:t xml:space="preserve">he Sr can </w:t>
      </w:r>
      <w:r w:rsidR="00B710DE">
        <w:rPr>
          <w:rFonts w:ascii="Times New Roman" w:hAnsi="Times New Roman" w:cs="Times New Roman"/>
        </w:rPr>
        <w:t xml:space="preserve">also </w:t>
      </w:r>
      <w:r>
        <w:rPr>
          <w:rFonts w:ascii="Times New Roman" w:hAnsi="Times New Roman" w:cs="Times New Roman"/>
        </w:rPr>
        <w:t xml:space="preserve">be retained in </w:t>
      </w:r>
      <w:r w:rsidR="00D37D4F">
        <w:rPr>
          <w:rFonts w:ascii="Times New Roman" w:hAnsi="Times New Roman" w:cs="Times New Roman"/>
        </w:rPr>
        <w:t>other hydrate phases. Iwaida [50</w:t>
      </w:r>
      <w:r>
        <w:rPr>
          <w:rFonts w:ascii="Times New Roman" w:hAnsi="Times New Roman" w:cs="Times New Roman"/>
        </w:rPr>
        <w:t xml:space="preserve">] showed that the sorption of Sr </w:t>
      </w:r>
      <w:proofErr w:type="gramStart"/>
      <w:r>
        <w:rPr>
          <w:rFonts w:ascii="Times New Roman" w:hAnsi="Times New Roman" w:cs="Times New Roman"/>
        </w:rPr>
        <w:t>can</w:t>
      </w:r>
      <w:proofErr w:type="gramEnd"/>
      <w:r>
        <w:rPr>
          <w:rFonts w:ascii="Times New Roman" w:hAnsi="Times New Roman" w:cs="Times New Roman"/>
        </w:rPr>
        <w:t xml:space="preserve"> also occur </w:t>
      </w:r>
      <w:r w:rsidR="00B050E5">
        <w:rPr>
          <w:rFonts w:ascii="Times New Roman" w:hAnsi="Times New Roman" w:cs="Times New Roman"/>
        </w:rPr>
        <w:t xml:space="preserve">on the surface of </w:t>
      </w:r>
      <w:r>
        <w:rPr>
          <w:rFonts w:ascii="Times New Roman" w:hAnsi="Times New Roman" w:cs="Times New Roman"/>
        </w:rPr>
        <w:t>C-S-H</w:t>
      </w:r>
      <w:r w:rsidR="00B050E5">
        <w:rPr>
          <w:rFonts w:ascii="Times New Roman" w:hAnsi="Times New Roman" w:cs="Times New Roman"/>
        </w:rPr>
        <w:t xml:space="preserve"> gel as well as in the interlamin</w:t>
      </w:r>
      <w:r w:rsidR="00C4384C">
        <w:rPr>
          <w:rFonts w:ascii="Times New Roman" w:hAnsi="Times New Roman" w:cs="Times New Roman"/>
        </w:rPr>
        <w:t>e</w:t>
      </w:r>
      <w:r w:rsidR="00B050E5">
        <w:rPr>
          <w:rFonts w:ascii="Times New Roman" w:hAnsi="Times New Roman" w:cs="Times New Roman"/>
        </w:rPr>
        <w:t>r of the SiO</w:t>
      </w:r>
      <w:r w:rsidR="00B050E5">
        <w:rPr>
          <w:rFonts w:ascii="Times New Roman" w:hAnsi="Times New Roman" w:cs="Times New Roman"/>
          <w:vertAlign w:val="subscript"/>
        </w:rPr>
        <w:t>2</w:t>
      </w:r>
      <w:r w:rsidR="00B050E5">
        <w:rPr>
          <w:rFonts w:ascii="Times New Roman" w:hAnsi="Times New Roman" w:cs="Times New Roman"/>
        </w:rPr>
        <w:t xml:space="preserve"> chain</w:t>
      </w:r>
      <w:r>
        <w:rPr>
          <w:rFonts w:ascii="Times New Roman" w:hAnsi="Times New Roman" w:cs="Times New Roman"/>
        </w:rPr>
        <w:t>. Tits et al [6</w:t>
      </w:r>
      <w:r w:rsidR="00D37D4F">
        <w:rPr>
          <w:rFonts w:ascii="Times New Roman" w:hAnsi="Times New Roman" w:cs="Times New Roman"/>
        </w:rPr>
        <w:t>4</w:t>
      </w:r>
      <w:r>
        <w:rPr>
          <w:rFonts w:ascii="Times New Roman" w:hAnsi="Times New Roman" w:cs="Times New Roman"/>
        </w:rPr>
        <w:t xml:space="preserve">] have supported this through their study on the binding mechanism of the ion within the calcium </w:t>
      </w:r>
      <w:r>
        <w:rPr>
          <w:rFonts w:ascii="Times New Roman" w:hAnsi="Times New Roman" w:cs="Times New Roman"/>
        </w:rPr>
        <w:lastRenderedPageBreak/>
        <w:t>silicate hydrates (C-S-H)</w:t>
      </w:r>
      <w:r w:rsidR="00C461A1">
        <w:rPr>
          <w:rFonts w:ascii="Times New Roman" w:hAnsi="Times New Roman" w:cs="Times New Roman"/>
        </w:rPr>
        <w:t>. They prepared two tests using synthesis</w:t>
      </w:r>
      <w:r w:rsidR="00371858">
        <w:rPr>
          <w:rFonts w:ascii="Times New Roman" w:hAnsi="Times New Roman" w:cs="Times New Roman"/>
        </w:rPr>
        <w:t>ed</w:t>
      </w:r>
      <w:r w:rsidR="00C461A1">
        <w:rPr>
          <w:rFonts w:ascii="Times New Roman" w:hAnsi="Times New Roman" w:cs="Times New Roman"/>
        </w:rPr>
        <w:t xml:space="preserve"> C-S-H and </w:t>
      </w:r>
      <w:proofErr w:type="gramStart"/>
      <w:r w:rsidR="00C461A1">
        <w:rPr>
          <w:rFonts w:ascii="Times New Roman" w:hAnsi="Times New Roman" w:cs="Times New Roman"/>
        </w:rPr>
        <w:t>Sr(</w:t>
      </w:r>
      <w:proofErr w:type="gramEnd"/>
      <w:r w:rsidR="00C461A1">
        <w:rPr>
          <w:rFonts w:ascii="Times New Roman" w:hAnsi="Times New Roman" w:cs="Times New Roman"/>
        </w:rPr>
        <w:t>OH)</w:t>
      </w:r>
      <w:r w:rsidR="00C461A1">
        <w:rPr>
          <w:rFonts w:ascii="Times New Roman" w:hAnsi="Times New Roman" w:cs="Times New Roman"/>
          <w:vertAlign w:val="subscript"/>
        </w:rPr>
        <w:t>2</w:t>
      </w:r>
      <w:r w:rsidR="00371858">
        <w:rPr>
          <w:rFonts w:ascii="Times New Roman" w:hAnsi="Times New Roman" w:cs="Times New Roman"/>
        </w:rPr>
        <w:t>, the first was</w:t>
      </w:r>
      <w:r w:rsidR="00071A82">
        <w:rPr>
          <w:rFonts w:ascii="Times New Roman" w:hAnsi="Times New Roman" w:cs="Times New Roman"/>
        </w:rPr>
        <w:t xml:space="preserve"> a</w:t>
      </w:r>
      <w:r w:rsidR="00371858">
        <w:rPr>
          <w:rFonts w:ascii="Times New Roman" w:hAnsi="Times New Roman" w:cs="Times New Roman"/>
        </w:rPr>
        <w:t xml:space="preserve"> co-precipitation test where the Sr(OH)</w:t>
      </w:r>
      <w:r w:rsidR="00371858">
        <w:rPr>
          <w:rFonts w:ascii="Times New Roman" w:hAnsi="Times New Roman" w:cs="Times New Roman"/>
          <w:vertAlign w:val="subscript"/>
        </w:rPr>
        <w:t xml:space="preserve">2 </w:t>
      </w:r>
      <w:r w:rsidR="00371858">
        <w:rPr>
          <w:rFonts w:ascii="Times New Roman" w:hAnsi="Times New Roman" w:cs="Times New Roman"/>
        </w:rPr>
        <w:t xml:space="preserve">was added </w:t>
      </w:r>
      <w:r w:rsidR="00071A82">
        <w:rPr>
          <w:rFonts w:ascii="Times New Roman" w:hAnsi="Times New Roman" w:cs="Times New Roman"/>
        </w:rPr>
        <w:t xml:space="preserve">at the beginning </w:t>
      </w:r>
      <w:r w:rsidR="00371858">
        <w:rPr>
          <w:rFonts w:ascii="Times New Roman" w:hAnsi="Times New Roman" w:cs="Times New Roman"/>
        </w:rPr>
        <w:t xml:space="preserve">to the solutions </w:t>
      </w:r>
      <w:r w:rsidR="00071A82">
        <w:rPr>
          <w:rFonts w:ascii="Times New Roman" w:hAnsi="Times New Roman" w:cs="Times New Roman"/>
        </w:rPr>
        <w:t>during the synthesis of C-S-H. The second was a desorption test</w:t>
      </w:r>
      <w:r w:rsidR="005E7698">
        <w:rPr>
          <w:rFonts w:ascii="Times New Roman" w:hAnsi="Times New Roman" w:cs="Times New Roman"/>
        </w:rPr>
        <w:t xml:space="preserve">, where the </w:t>
      </w:r>
      <w:proofErr w:type="gramStart"/>
      <w:r w:rsidR="005E7698">
        <w:rPr>
          <w:rFonts w:ascii="Times New Roman" w:hAnsi="Times New Roman" w:cs="Times New Roman"/>
        </w:rPr>
        <w:t>Sr(</w:t>
      </w:r>
      <w:proofErr w:type="gramEnd"/>
      <w:r w:rsidR="005E7698">
        <w:rPr>
          <w:rFonts w:ascii="Times New Roman" w:hAnsi="Times New Roman" w:cs="Times New Roman"/>
        </w:rPr>
        <w:t>OH)</w:t>
      </w:r>
      <w:r w:rsidR="005E7698">
        <w:rPr>
          <w:rFonts w:ascii="Times New Roman" w:hAnsi="Times New Roman" w:cs="Times New Roman"/>
          <w:vertAlign w:val="subscript"/>
        </w:rPr>
        <w:t>2</w:t>
      </w:r>
      <w:r w:rsidR="005E7698">
        <w:rPr>
          <w:rFonts w:ascii="Times New Roman" w:hAnsi="Times New Roman" w:cs="Times New Roman"/>
        </w:rPr>
        <w:t xml:space="preserve"> solution was </w:t>
      </w:r>
      <w:r w:rsidR="0038099B">
        <w:rPr>
          <w:rFonts w:ascii="Times New Roman" w:hAnsi="Times New Roman" w:cs="Times New Roman"/>
        </w:rPr>
        <w:t>equilibrated</w:t>
      </w:r>
      <w:r w:rsidR="005E7698">
        <w:rPr>
          <w:rFonts w:ascii="Times New Roman" w:hAnsi="Times New Roman" w:cs="Times New Roman"/>
        </w:rPr>
        <w:t xml:space="preserve"> with </w:t>
      </w:r>
      <w:r w:rsidR="0038099B">
        <w:rPr>
          <w:rFonts w:ascii="Times New Roman" w:hAnsi="Times New Roman" w:cs="Times New Roman"/>
        </w:rPr>
        <w:t>the C-S-H already synthesised in H</w:t>
      </w:r>
      <w:r w:rsidR="0038099B">
        <w:rPr>
          <w:rFonts w:ascii="Times New Roman" w:hAnsi="Times New Roman" w:cs="Times New Roman"/>
          <w:vertAlign w:val="subscript"/>
        </w:rPr>
        <w:t>2</w:t>
      </w:r>
      <w:r w:rsidR="0038099B">
        <w:rPr>
          <w:rFonts w:ascii="Times New Roman" w:hAnsi="Times New Roman" w:cs="Times New Roman"/>
        </w:rPr>
        <w:t>O.</w:t>
      </w:r>
      <w:r w:rsidR="005E7698">
        <w:rPr>
          <w:rFonts w:ascii="Times New Roman" w:hAnsi="Times New Roman" w:cs="Times New Roman"/>
        </w:rPr>
        <w:t xml:space="preserve"> </w:t>
      </w:r>
      <w:r>
        <w:rPr>
          <w:rFonts w:ascii="Times New Roman" w:hAnsi="Times New Roman" w:cs="Times New Roman"/>
        </w:rPr>
        <w:t xml:space="preserve"> They concluded that the sorption was f</w:t>
      </w:r>
      <w:r w:rsidR="0038099B">
        <w:rPr>
          <w:rFonts w:ascii="Times New Roman" w:hAnsi="Times New Roman" w:cs="Times New Roman"/>
        </w:rPr>
        <w:t xml:space="preserve">ast, the rates of </w:t>
      </w:r>
      <w:r w:rsidR="006D108B">
        <w:rPr>
          <w:rFonts w:ascii="Times New Roman" w:hAnsi="Times New Roman" w:cs="Times New Roman"/>
        </w:rPr>
        <w:t>sorption</w:t>
      </w:r>
      <w:r w:rsidR="0038099B">
        <w:rPr>
          <w:rFonts w:ascii="Times New Roman" w:hAnsi="Times New Roman" w:cs="Times New Roman"/>
        </w:rPr>
        <w:t xml:space="preserve"> were similar in both tests, and were</w:t>
      </w:r>
      <w:r>
        <w:rPr>
          <w:rFonts w:ascii="Times New Roman" w:hAnsi="Times New Roman" w:cs="Times New Roman"/>
        </w:rPr>
        <w:t xml:space="preserve"> independent of </w:t>
      </w:r>
      <w:r w:rsidR="00551409">
        <w:rPr>
          <w:rFonts w:ascii="Times New Roman" w:hAnsi="Times New Roman" w:cs="Times New Roman"/>
        </w:rPr>
        <w:t xml:space="preserve">  </w:t>
      </w:r>
      <w:r>
        <w:rPr>
          <w:rFonts w:ascii="Times New Roman" w:hAnsi="Times New Roman" w:cs="Times New Roman"/>
        </w:rPr>
        <w:t xml:space="preserve">C-S-H composition or water chemistry. The ethos of this approach was based on the </w:t>
      </w:r>
      <w:r w:rsidR="00A819A2">
        <w:rPr>
          <w:rFonts w:ascii="Times New Roman" w:hAnsi="Times New Roman" w:cs="Times New Roman"/>
        </w:rPr>
        <w:t xml:space="preserve">partial </w:t>
      </w:r>
      <w:r>
        <w:rPr>
          <w:rFonts w:ascii="Times New Roman" w:hAnsi="Times New Roman" w:cs="Times New Roman"/>
        </w:rPr>
        <w:t>substitution of Sr</w:t>
      </w:r>
      <w:r>
        <w:rPr>
          <w:rFonts w:ascii="Times New Roman" w:hAnsi="Times New Roman" w:cs="Times New Roman"/>
          <w:vertAlign w:val="superscript"/>
        </w:rPr>
        <w:t>2+</w:t>
      </w:r>
      <w:r>
        <w:rPr>
          <w:rFonts w:ascii="Times New Roman" w:hAnsi="Times New Roman" w:cs="Times New Roman"/>
        </w:rPr>
        <w:t xml:space="preserve"> for Ca</w:t>
      </w:r>
      <w:r>
        <w:rPr>
          <w:rFonts w:ascii="Times New Roman" w:hAnsi="Times New Roman" w:cs="Times New Roman"/>
          <w:vertAlign w:val="superscript"/>
        </w:rPr>
        <w:t>2+</w:t>
      </w:r>
      <w:r>
        <w:rPr>
          <w:rFonts w:ascii="Times New Roman" w:hAnsi="Times New Roman" w:cs="Times New Roman"/>
        </w:rPr>
        <w:t xml:space="preserve">, with </w:t>
      </w:r>
      <w:proofErr w:type="gramStart"/>
      <w:r>
        <w:rPr>
          <w:rFonts w:ascii="Times New Roman" w:hAnsi="Times New Roman" w:cs="Times New Roman"/>
        </w:rPr>
        <w:t>a selectivity</w:t>
      </w:r>
      <w:proofErr w:type="gramEnd"/>
      <w:r>
        <w:rPr>
          <w:rFonts w:ascii="Times New Roman" w:hAnsi="Times New Roman" w:cs="Times New Roman"/>
        </w:rPr>
        <w:t xml:space="preserve"> co-efficient of 1.2, thus giving the C-S-H equal affinities for both Ca</w:t>
      </w:r>
      <w:r>
        <w:rPr>
          <w:rFonts w:ascii="Times New Roman" w:hAnsi="Times New Roman" w:cs="Times New Roman"/>
          <w:vertAlign w:val="superscript"/>
        </w:rPr>
        <w:t>2+</w:t>
      </w:r>
      <w:r>
        <w:rPr>
          <w:rFonts w:ascii="Times New Roman" w:hAnsi="Times New Roman" w:cs="Times New Roman"/>
        </w:rPr>
        <w:t xml:space="preserve"> and Sr</w:t>
      </w:r>
      <w:r>
        <w:rPr>
          <w:rFonts w:ascii="Times New Roman" w:hAnsi="Times New Roman" w:cs="Times New Roman"/>
          <w:vertAlign w:val="superscript"/>
        </w:rPr>
        <w:t>2+</w:t>
      </w:r>
      <w:r w:rsidR="005470A3">
        <w:rPr>
          <w:rFonts w:ascii="Times New Roman" w:hAnsi="Times New Roman" w:cs="Times New Roman"/>
        </w:rPr>
        <w:t xml:space="preserve"> [65].</w:t>
      </w:r>
      <w:r w:rsidR="00D15EB0">
        <w:rPr>
          <w:rFonts w:ascii="Times New Roman" w:hAnsi="Times New Roman" w:cs="Times New Roman"/>
        </w:rPr>
        <w:t xml:space="preserve"> </w:t>
      </w:r>
    </w:p>
    <w:p w14:paraId="7C08AC20" w14:textId="404B8892" w:rsidR="003D5839" w:rsidRPr="00F60993" w:rsidRDefault="003D5839" w:rsidP="005470A3">
      <w:pPr>
        <w:spacing w:after="120" w:line="360" w:lineRule="auto"/>
        <w:jc w:val="center"/>
        <w:rPr>
          <w:rFonts w:ascii="Times New Roman" w:hAnsi="Times New Roman" w:cs="Times New Roman"/>
          <w:szCs w:val="28"/>
        </w:rPr>
      </w:pPr>
      <w:r>
        <w:rPr>
          <w:rFonts w:ascii="Times New Roman" w:hAnsi="Times New Roman" w:cs="Times New Roman"/>
          <w:szCs w:val="28"/>
        </w:rPr>
        <w:tab/>
      </w:r>
    </w:p>
    <w:p w14:paraId="73C04A99" w14:textId="77777777" w:rsidR="003D5839" w:rsidRPr="0081447A" w:rsidRDefault="003D5839" w:rsidP="003D5839">
      <w:pPr>
        <w:spacing w:after="120" w:line="360" w:lineRule="auto"/>
        <w:rPr>
          <w:rFonts w:ascii="Times New Roman" w:hAnsi="Times New Roman" w:cs="Times New Roman"/>
          <w:b/>
          <w:sz w:val="28"/>
          <w:szCs w:val="28"/>
        </w:rPr>
      </w:pPr>
      <w:r>
        <w:rPr>
          <w:rFonts w:ascii="Times New Roman" w:hAnsi="Times New Roman" w:cs="Times New Roman"/>
          <w:b/>
          <w:sz w:val="28"/>
          <w:szCs w:val="28"/>
        </w:rPr>
        <w:t xml:space="preserve">2.5 </w:t>
      </w:r>
      <w:r>
        <w:rPr>
          <w:rFonts w:ascii="Times New Roman" w:hAnsi="Times New Roman" w:cs="Times New Roman"/>
          <w:b/>
          <w:sz w:val="28"/>
          <w:szCs w:val="28"/>
        </w:rPr>
        <w:tab/>
        <w:t>Cement Leaching</w:t>
      </w:r>
    </w:p>
    <w:p w14:paraId="32FABCE7" w14:textId="3D2F1B6F" w:rsidR="003D5839" w:rsidRPr="008334AB" w:rsidRDefault="003B361B" w:rsidP="003D5839">
      <w:pPr>
        <w:spacing w:after="120" w:line="360" w:lineRule="auto"/>
        <w:jc w:val="both"/>
        <w:rPr>
          <w:rFonts w:ascii="Times New Roman" w:hAnsi="Times New Roman" w:cs="Times New Roman"/>
          <w:b/>
        </w:rPr>
      </w:pPr>
      <w:r>
        <w:rPr>
          <w:rFonts w:ascii="Times New Roman" w:hAnsi="Times New Roman" w:cs="Times New Roman"/>
        </w:rPr>
        <w:t>Cement component</w:t>
      </w:r>
      <w:r w:rsidR="003D5839" w:rsidRPr="0081447A">
        <w:rPr>
          <w:rFonts w:ascii="Times New Roman" w:hAnsi="Times New Roman" w:cs="Times New Roman"/>
        </w:rPr>
        <w:t xml:space="preserve"> leaching</w:t>
      </w:r>
      <w:r>
        <w:rPr>
          <w:rFonts w:ascii="Times New Roman" w:hAnsi="Times New Roman" w:cs="Times New Roman"/>
        </w:rPr>
        <w:t xml:space="preserve"> into water</w:t>
      </w:r>
      <w:r w:rsidR="003D5839" w:rsidRPr="0081447A">
        <w:rPr>
          <w:rFonts w:ascii="Times New Roman" w:hAnsi="Times New Roman" w:cs="Times New Roman"/>
        </w:rPr>
        <w:t xml:space="preserve"> is one of the worst possible scenarios of degradation for cemented wastes in repositories. Typically, ground water has a lower pH than the pore water in the cement microstructure. If the cement were to come into contact with this ground water, the waste constituents will dissolve at specific rate [</w:t>
      </w:r>
      <w:r w:rsidR="00D37D4F">
        <w:rPr>
          <w:rFonts w:ascii="Times New Roman" w:hAnsi="Times New Roman" w:cs="Times New Roman"/>
        </w:rPr>
        <w:t>65</w:t>
      </w:r>
      <w:r w:rsidR="003D5839" w:rsidRPr="0081447A">
        <w:rPr>
          <w:rFonts w:ascii="Times New Roman" w:hAnsi="Times New Roman" w:cs="Times New Roman"/>
        </w:rPr>
        <w:t>]</w:t>
      </w:r>
      <w:r>
        <w:rPr>
          <w:rFonts w:ascii="Times New Roman" w:hAnsi="Times New Roman" w:cs="Times New Roman"/>
        </w:rPr>
        <w:t>.</w:t>
      </w:r>
      <w:r w:rsidR="003D5839" w:rsidRPr="008C6C7D">
        <w:rPr>
          <w:rFonts w:ascii="Times New Roman" w:hAnsi="Times New Roman" w:cs="Times New Roman"/>
        </w:rPr>
        <w:t xml:space="preserve"> </w:t>
      </w:r>
      <w:r w:rsidR="003D5839">
        <w:rPr>
          <w:rFonts w:ascii="Times New Roman" w:hAnsi="Times New Roman" w:cs="Times New Roman"/>
          <w:color w:val="000000"/>
        </w:rPr>
        <w:t>Given</w:t>
      </w:r>
      <w:r w:rsidR="003D5839" w:rsidRPr="008334AB">
        <w:rPr>
          <w:rFonts w:ascii="Times New Roman" w:hAnsi="Times New Roman" w:cs="Times New Roman"/>
          <w:color w:val="000000"/>
        </w:rPr>
        <w:t xml:space="preserve"> the highly mobile nature </w:t>
      </w:r>
      <w:r w:rsidR="003D5839">
        <w:rPr>
          <w:rFonts w:ascii="Times New Roman" w:hAnsi="Times New Roman" w:cs="Times New Roman"/>
          <w:color w:val="000000"/>
        </w:rPr>
        <w:t xml:space="preserve">of </w:t>
      </w:r>
      <w:r>
        <w:rPr>
          <w:rFonts w:ascii="Times New Roman" w:hAnsi="Times New Roman" w:cs="Times New Roman"/>
          <w:color w:val="000000"/>
        </w:rPr>
        <w:t xml:space="preserve">radioisotopes </w:t>
      </w:r>
      <w:r w:rsidR="003D5839">
        <w:rPr>
          <w:rFonts w:ascii="Times New Roman" w:hAnsi="Times New Roman" w:cs="Times New Roman"/>
          <w:color w:val="000000"/>
        </w:rPr>
        <w:t>Cs</w:t>
      </w:r>
      <w:r w:rsidR="00D51D90">
        <w:rPr>
          <w:rFonts w:ascii="Times New Roman" w:hAnsi="Times New Roman" w:cs="Times New Roman"/>
          <w:color w:val="000000"/>
        </w:rPr>
        <w:t>,</w:t>
      </w:r>
      <w:r w:rsidR="003D5839">
        <w:rPr>
          <w:rFonts w:ascii="Times New Roman" w:hAnsi="Times New Roman" w:cs="Times New Roman"/>
          <w:color w:val="000000"/>
        </w:rPr>
        <w:t xml:space="preserve"> </w:t>
      </w:r>
      <w:r w:rsidR="00507593">
        <w:rPr>
          <w:rFonts w:ascii="Times New Roman" w:hAnsi="Times New Roman" w:cs="Times New Roman"/>
          <w:color w:val="000000"/>
        </w:rPr>
        <w:t xml:space="preserve">as </w:t>
      </w:r>
      <w:r w:rsidR="00D51D90">
        <w:rPr>
          <w:rFonts w:ascii="Times New Roman" w:hAnsi="Times New Roman" w:cs="Times New Roman"/>
          <w:color w:val="000000"/>
        </w:rPr>
        <w:t>it is</w:t>
      </w:r>
      <w:r w:rsidR="00507593">
        <w:rPr>
          <w:rFonts w:ascii="Times New Roman" w:hAnsi="Times New Roman" w:cs="Times New Roman"/>
          <w:color w:val="000000"/>
        </w:rPr>
        <w:t xml:space="preserve"> not retained well within the cement matrix</w:t>
      </w:r>
      <w:r w:rsidR="003D5839">
        <w:rPr>
          <w:rFonts w:ascii="Times New Roman" w:hAnsi="Times New Roman" w:cs="Times New Roman"/>
          <w:color w:val="000000"/>
        </w:rPr>
        <w:t>, this dissolution</w:t>
      </w:r>
      <w:r w:rsidR="003D5839" w:rsidRPr="008334AB">
        <w:rPr>
          <w:rFonts w:ascii="Times New Roman" w:hAnsi="Times New Roman" w:cs="Times New Roman"/>
          <w:color w:val="000000"/>
        </w:rPr>
        <w:t xml:space="preserve"> can cause significant concern if </w:t>
      </w:r>
      <w:r w:rsidR="00D51D90">
        <w:rPr>
          <w:rFonts w:ascii="Times New Roman" w:hAnsi="Times New Roman" w:cs="Times New Roman"/>
          <w:color w:val="000000"/>
        </w:rPr>
        <w:t>is</w:t>
      </w:r>
      <w:r w:rsidR="003D5839">
        <w:rPr>
          <w:rFonts w:ascii="Times New Roman" w:hAnsi="Times New Roman" w:cs="Times New Roman"/>
          <w:color w:val="000000"/>
        </w:rPr>
        <w:t xml:space="preserve"> released into the environment</w:t>
      </w:r>
      <w:r w:rsidR="003D5839" w:rsidRPr="008334AB">
        <w:rPr>
          <w:rFonts w:ascii="Times New Roman" w:hAnsi="Times New Roman" w:cs="Times New Roman"/>
          <w:color w:val="000000"/>
        </w:rPr>
        <w:t>.</w:t>
      </w:r>
      <w:r w:rsidR="003D5839" w:rsidRPr="008334AB">
        <w:rPr>
          <w:rFonts w:ascii="ArialMT" w:hAnsi="ArialMT" w:cs="ArialMT"/>
          <w:color w:val="000000"/>
          <w:sz w:val="20"/>
          <w:szCs w:val="20"/>
        </w:rPr>
        <w:t xml:space="preserve"> </w:t>
      </w:r>
      <w:r w:rsidR="003D5839" w:rsidRPr="008334AB">
        <w:rPr>
          <w:rFonts w:ascii="Times New Roman" w:hAnsi="Times New Roman" w:cs="Times New Roman"/>
          <w:color w:val="000000"/>
        </w:rPr>
        <w:t xml:space="preserve">Therefore it is important to understand the </w:t>
      </w:r>
      <w:r w:rsidR="003D5839">
        <w:rPr>
          <w:rFonts w:ascii="Times New Roman" w:hAnsi="Times New Roman" w:cs="Times New Roman"/>
          <w:color w:val="000000"/>
        </w:rPr>
        <w:t xml:space="preserve">leaching behaviour of ions and radionuclides in cement. </w:t>
      </w:r>
    </w:p>
    <w:p w14:paraId="582DC45B" w14:textId="77777777" w:rsidR="003D5839" w:rsidRDefault="003D5839" w:rsidP="003D5839">
      <w:pPr>
        <w:spacing w:after="120" w:line="360" w:lineRule="auto"/>
        <w:jc w:val="both"/>
        <w:rPr>
          <w:rFonts w:ascii="Times New Roman" w:hAnsi="Times New Roman" w:cs="Times New Roman"/>
          <w:b/>
          <w:bCs/>
          <w:color w:val="000000"/>
        </w:rPr>
      </w:pPr>
    </w:p>
    <w:p w14:paraId="6ED2BA1C" w14:textId="69901BB4" w:rsidR="003D5839" w:rsidRPr="0032601B" w:rsidRDefault="003D5839" w:rsidP="003D5839">
      <w:pPr>
        <w:spacing w:after="120" w:line="360" w:lineRule="auto"/>
        <w:jc w:val="both"/>
        <w:rPr>
          <w:rFonts w:ascii="Times New Roman" w:hAnsi="Times New Roman" w:cs="Times New Roman"/>
          <w:b/>
          <w:sz w:val="28"/>
          <w:szCs w:val="28"/>
        </w:rPr>
      </w:pPr>
      <w:r>
        <w:rPr>
          <w:rFonts w:ascii="Times New Roman" w:hAnsi="Times New Roman" w:cs="Times New Roman"/>
          <w:b/>
          <w:bCs/>
          <w:color w:val="000000"/>
        </w:rPr>
        <w:t>2.5.1</w:t>
      </w:r>
      <w:r>
        <w:rPr>
          <w:rFonts w:ascii="Times New Roman" w:hAnsi="Times New Roman" w:cs="Times New Roman"/>
          <w:b/>
          <w:bCs/>
          <w:color w:val="000000"/>
        </w:rPr>
        <w:tab/>
        <w:t xml:space="preserve">Leaching Behaviour of </w:t>
      </w:r>
      <w:r w:rsidR="00E85025">
        <w:rPr>
          <w:rFonts w:ascii="Times New Roman" w:hAnsi="Times New Roman" w:cs="Times New Roman"/>
          <w:b/>
          <w:bCs/>
          <w:color w:val="000000"/>
        </w:rPr>
        <w:t>PC</w:t>
      </w:r>
      <w:r>
        <w:rPr>
          <w:rFonts w:ascii="Times New Roman" w:hAnsi="Times New Roman" w:cs="Times New Roman"/>
          <w:b/>
          <w:bCs/>
          <w:color w:val="000000"/>
        </w:rPr>
        <w:t xml:space="preserve"> </w:t>
      </w:r>
    </w:p>
    <w:p w14:paraId="20BA605F" w14:textId="533C350F" w:rsidR="00144FC1" w:rsidRDefault="003D5839" w:rsidP="003D5839">
      <w:pPr>
        <w:spacing w:after="120" w:line="360" w:lineRule="auto"/>
        <w:jc w:val="both"/>
        <w:rPr>
          <w:rFonts w:ascii="Times New Roman" w:hAnsi="Times New Roman" w:cs="Times New Roman"/>
        </w:rPr>
      </w:pPr>
      <w:r w:rsidRPr="00960392">
        <w:rPr>
          <w:rFonts w:ascii="Times New Roman" w:hAnsi="Times New Roman" w:cs="Times New Roman"/>
        </w:rPr>
        <w:t xml:space="preserve">It was found in a sample of pure </w:t>
      </w:r>
      <w:r w:rsidR="00E85025">
        <w:rPr>
          <w:rFonts w:ascii="Times New Roman" w:hAnsi="Times New Roman" w:cs="Times New Roman"/>
        </w:rPr>
        <w:t>PC</w:t>
      </w:r>
      <w:r w:rsidRPr="00960392">
        <w:rPr>
          <w:rFonts w:ascii="Times New Roman" w:hAnsi="Times New Roman" w:cs="Times New Roman"/>
        </w:rPr>
        <w:t xml:space="preserve"> cement that removal of the </w:t>
      </w:r>
      <w:proofErr w:type="gramStart"/>
      <w:r w:rsidRPr="00960392">
        <w:rPr>
          <w:rFonts w:ascii="Times New Roman" w:hAnsi="Times New Roman" w:cs="Times New Roman"/>
        </w:rPr>
        <w:t>Ca(</w:t>
      </w:r>
      <w:proofErr w:type="gramEnd"/>
      <w:r w:rsidRPr="00960392">
        <w:rPr>
          <w:rFonts w:ascii="Times New Roman" w:hAnsi="Times New Roman" w:cs="Times New Roman"/>
        </w:rPr>
        <w:t>OH)</w:t>
      </w:r>
      <w:r w:rsidRPr="00960392">
        <w:rPr>
          <w:rFonts w:ascii="Times New Roman" w:hAnsi="Times New Roman" w:cs="Times New Roman"/>
          <w:vertAlign w:val="subscript"/>
        </w:rPr>
        <w:t>2</w:t>
      </w:r>
      <w:r w:rsidRPr="00960392">
        <w:rPr>
          <w:rFonts w:ascii="Times New Roman" w:hAnsi="Times New Roman" w:cs="Times New Roman"/>
        </w:rPr>
        <w:t xml:space="preserve"> in the cement lead to a significant decrease in mechanical strength</w:t>
      </w:r>
      <w:r w:rsidR="0083442A">
        <w:rPr>
          <w:rFonts w:ascii="Times New Roman" w:hAnsi="Times New Roman" w:cs="Times New Roman"/>
        </w:rPr>
        <w:t xml:space="preserve"> [66</w:t>
      </w:r>
      <w:r>
        <w:rPr>
          <w:rFonts w:ascii="Times New Roman" w:hAnsi="Times New Roman" w:cs="Times New Roman"/>
        </w:rPr>
        <w:t>,6</w:t>
      </w:r>
      <w:r w:rsidR="0083442A">
        <w:rPr>
          <w:rFonts w:ascii="Times New Roman" w:hAnsi="Times New Roman" w:cs="Times New Roman"/>
        </w:rPr>
        <w:t>7</w:t>
      </w:r>
      <w:r>
        <w:rPr>
          <w:rFonts w:ascii="Times New Roman" w:hAnsi="Times New Roman" w:cs="Times New Roman"/>
        </w:rPr>
        <w:t>]</w:t>
      </w:r>
      <w:r w:rsidRPr="00960392">
        <w:rPr>
          <w:rFonts w:ascii="Times New Roman" w:hAnsi="Times New Roman" w:cs="Times New Roman"/>
        </w:rPr>
        <w:t xml:space="preserve">. After the </w:t>
      </w:r>
      <w:proofErr w:type="gramStart"/>
      <w:r w:rsidRPr="00960392">
        <w:rPr>
          <w:rFonts w:ascii="Times New Roman" w:hAnsi="Times New Roman" w:cs="Times New Roman"/>
        </w:rPr>
        <w:t>Ca(</w:t>
      </w:r>
      <w:proofErr w:type="gramEnd"/>
      <w:r w:rsidRPr="00960392">
        <w:rPr>
          <w:rFonts w:ascii="Times New Roman" w:hAnsi="Times New Roman" w:cs="Times New Roman"/>
        </w:rPr>
        <w:t>OH)</w:t>
      </w:r>
      <w:r w:rsidRPr="00960392">
        <w:rPr>
          <w:rFonts w:ascii="Times New Roman" w:hAnsi="Times New Roman" w:cs="Times New Roman"/>
          <w:vertAlign w:val="subscript"/>
        </w:rPr>
        <w:t>2</w:t>
      </w:r>
      <w:r w:rsidRPr="00960392">
        <w:rPr>
          <w:rFonts w:ascii="Times New Roman" w:hAnsi="Times New Roman" w:cs="Times New Roman"/>
        </w:rPr>
        <w:t xml:space="preserve"> had been completely removed from the system, the C-S-H phase undergoes </w:t>
      </w:r>
      <w:r w:rsidR="006D108B" w:rsidRPr="00960392">
        <w:rPr>
          <w:rFonts w:ascii="Times New Roman" w:hAnsi="Times New Roman" w:cs="Times New Roman"/>
        </w:rPr>
        <w:t>decalcification, which</w:t>
      </w:r>
      <w:r w:rsidRPr="00960392">
        <w:rPr>
          <w:rFonts w:ascii="Times New Roman" w:hAnsi="Times New Roman" w:cs="Times New Roman"/>
        </w:rPr>
        <w:t xml:space="preserve"> also contrib</w:t>
      </w:r>
      <w:r>
        <w:rPr>
          <w:rFonts w:ascii="Times New Roman" w:hAnsi="Times New Roman" w:cs="Times New Roman"/>
        </w:rPr>
        <w:t>utes to the loss in strength [6</w:t>
      </w:r>
      <w:r w:rsidR="0083442A">
        <w:rPr>
          <w:rFonts w:ascii="Times New Roman" w:hAnsi="Times New Roman" w:cs="Times New Roman"/>
        </w:rPr>
        <w:t>8</w:t>
      </w:r>
      <w:r w:rsidRPr="00960392">
        <w:rPr>
          <w:rFonts w:ascii="Times New Roman" w:hAnsi="Times New Roman" w:cs="Times New Roman"/>
        </w:rPr>
        <w:t>].</w:t>
      </w:r>
      <w:r>
        <w:rPr>
          <w:rFonts w:ascii="Times New Roman" w:hAnsi="Times New Roman" w:cs="Times New Roman"/>
        </w:rPr>
        <w:t xml:space="preserve"> </w:t>
      </w:r>
      <w:r w:rsidRPr="00960392">
        <w:rPr>
          <w:rFonts w:ascii="Times New Roman" w:hAnsi="Times New Roman" w:cs="Times New Roman"/>
        </w:rPr>
        <w:t>There is a chemical equilibrium between the two main hydrate phases (</w:t>
      </w:r>
      <w:proofErr w:type="gramStart"/>
      <w:r w:rsidRPr="00960392">
        <w:rPr>
          <w:rFonts w:ascii="Times New Roman" w:hAnsi="Times New Roman" w:cs="Times New Roman"/>
        </w:rPr>
        <w:t>Ca(</w:t>
      </w:r>
      <w:proofErr w:type="gramEnd"/>
      <w:r w:rsidRPr="00960392">
        <w:rPr>
          <w:rFonts w:ascii="Times New Roman" w:hAnsi="Times New Roman" w:cs="Times New Roman"/>
        </w:rPr>
        <w:t>OH)</w:t>
      </w:r>
      <w:r w:rsidRPr="00960392">
        <w:rPr>
          <w:rFonts w:ascii="Times New Roman" w:hAnsi="Times New Roman" w:cs="Times New Roman"/>
          <w:vertAlign w:val="subscript"/>
        </w:rPr>
        <w:t xml:space="preserve">2 </w:t>
      </w:r>
      <w:r w:rsidRPr="00960392">
        <w:rPr>
          <w:rFonts w:ascii="Times New Roman" w:hAnsi="Times New Roman" w:cs="Times New Roman"/>
        </w:rPr>
        <w:t xml:space="preserve">and C-S-H) in the cement and their component ions </w:t>
      </w:r>
      <w:r>
        <w:rPr>
          <w:rFonts w:ascii="Times New Roman" w:hAnsi="Times New Roman" w:cs="Times New Roman"/>
        </w:rPr>
        <w:t>in pore water as shown in (Eqs. 7, 8</w:t>
      </w:r>
      <w:r w:rsidRPr="00960392">
        <w:rPr>
          <w:rFonts w:ascii="Times New Roman" w:hAnsi="Times New Roman" w:cs="Times New Roman"/>
        </w:rPr>
        <w:t>)</w:t>
      </w:r>
    </w:p>
    <w:p w14:paraId="46740B3D" w14:textId="0615497E" w:rsidR="009B4950" w:rsidRPr="00144FC1" w:rsidRDefault="003D5839" w:rsidP="00144FC1">
      <w:pPr>
        <w:spacing w:after="120" w:line="360" w:lineRule="auto"/>
        <w:jc w:val="both"/>
        <w:rPr>
          <w:rFonts w:ascii="Times New Roman" w:hAnsi="Times New Roman" w:cs="Times New Roman"/>
        </w:rPr>
      </w:pPr>
      <w:proofErr w:type="gramStart"/>
      <w:r w:rsidRPr="00144FC1">
        <w:rPr>
          <w:rFonts w:ascii="Times New Roman" w:hAnsi="Times New Roman" w:cs="Times New Roman"/>
        </w:rPr>
        <w:t>Ca(</w:t>
      </w:r>
      <w:proofErr w:type="gramEnd"/>
      <w:r w:rsidRPr="00144FC1">
        <w:rPr>
          <w:rFonts w:ascii="Times New Roman" w:hAnsi="Times New Roman" w:cs="Times New Roman"/>
        </w:rPr>
        <w:t>OH)</w:t>
      </w:r>
      <w:r w:rsidRPr="00144FC1">
        <w:rPr>
          <w:rFonts w:ascii="Times New Roman" w:hAnsi="Times New Roman" w:cs="Times New Roman"/>
          <w:vertAlign w:val="subscript"/>
        </w:rPr>
        <w:t>2</w:t>
      </w:r>
      <w:r w:rsidRPr="00144FC1">
        <w:rPr>
          <w:rFonts w:ascii="Times New Roman" w:hAnsi="Times New Roman" w:cs="Times New Roman"/>
        </w:rPr>
        <w:t xml:space="preserve">         </w:t>
      </w:r>
      <m:oMath>
        <m:r>
          <w:rPr>
            <w:rFonts w:ascii="Cambria Math" w:hAnsi="Cambria Math" w:cs="Times New Roman"/>
          </w:rPr>
          <m:t>↔</m:t>
        </m:r>
      </m:oMath>
      <w:r w:rsidRPr="00144FC1">
        <w:rPr>
          <w:rFonts w:ascii="Times New Roman" w:hAnsi="Times New Roman" w:cs="Times New Roman"/>
        </w:rPr>
        <w:t xml:space="preserve">          Ca</w:t>
      </w:r>
      <w:r w:rsidRPr="00144FC1">
        <w:rPr>
          <w:rFonts w:ascii="Times New Roman" w:hAnsi="Times New Roman" w:cs="Times New Roman"/>
          <w:vertAlign w:val="superscript"/>
        </w:rPr>
        <w:t>2+</w:t>
      </w:r>
      <w:r w:rsidRPr="00144FC1">
        <w:rPr>
          <w:rFonts w:ascii="Times New Roman" w:hAnsi="Times New Roman" w:cs="Times New Roman"/>
        </w:rPr>
        <w:t xml:space="preserve">   +   2OH</w:t>
      </w:r>
      <w:r w:rsidRPr="00144FC1">
        <w:rPr>
          <w:rFonts w:ascii="Times New Roman" w:hAnsi="Times New Roman" w:cs="Times New Roman"/>
          <w:vertAlign w:val="superscript"/>
        </w:rPr>
        <w:t>-</w:t>
      </w:r>
      <w:r w:rsidRPr="00144FC1">
        <w:rPr>
          <w:rFonts w:ascii="Times New Roman" w:hAnsi="Times New Roman" w:cs="Times New Roman"/>
        </w:rPr>
        <w:t xml:space="preserve"> </w:t>
      </w:r>
      <w:r w:rsidRPr="00144FC1">
        <w:rPr>
          <w:rFonts w:ascii="Times New Roman" w:hAnsi="Times New Roman" w:cs="Times New Roman"/>
        </w:rPr>
        <w:tab/>
      </w:r>
      <w:r w:rsidRPr="00144FC1">
        <w:rPr>
          <w:rFonts w:ascii="Times New Roman" w:hAnsi="Times New Roman" w:cs="Times New Roman"/>
        </w:rPr>
        <w:tab/>
      </w:r>
      <w:r w:rsidRPr="00144FC1">
        <w:rPr>
          <w:rFonts w:ascii="Times New Roman" w:hAnsi="Times New Roman" w:cs="Times New Roman"/>
        </w:rPr>
        <w:tab/>
      </w:r>
      <w:r w:rsidRPr="00144FC1">
        <w:rPr>
          <w:rFonts w:ascii="Times New Roman" w:hAnsi="Times New Roman" w:cs="Times New Roman"/>
        </w:rPr>
        <w:tab/>
        <w:t>(7)</w:t>
      </w:r>
      <w:r w:rsidR="00144FC1" w:rsidRPr="00144FC1">
        <w:rPr>
          <w:rFonts w:ascii="Times New Roman" w:hAnsi="Times New Roman" w:cs="Times New Roman"/>
        </w:rPr>
        <w:br/>
      </w:r>
      <w:r w:rsidR="004C1DD8" w:rsidRPr="00144FC1">
        <w:rPr>
          <w:rFonts w:ascii="Times New Roman" w:hAnsi="Times New Roman" w:cs="Times New Roman"/>
        </w:rPr>
        <w:t>xCaO.SiO</w:t>
      </w:r>
      <w:r w:rsidR="004C1DD8" w:rsidRPr="00144FC1">
        <w:rPr>
          <w:rFonts w:ascii="Times New Roman" w:hAnsi="Times New Roman" w:cs="Times New Roman"/>
          <w:vertAlign w:val="subscript"/>
        </w:rPr>
        <w:t>2</w:t>
      </w:r>
      <w:r w:rsidR="004C1DD8" w:rsidRPr="00144FC1">
        <w:rPr>
          <w:rFonts w:ascii="Times New Roman" w:hAnsi="Times New Roman" w:cs="Times New Roman"/>
        </w:rPr>
        <w:t>.</w:t>
      </w:r>
      <w:r w:rsidR="00D56129" w:rsidRPr="00144FC1">
        <w:rPr>
          <w:rFonts w:ascii="Times New Roman" w:hAnsi="Times New Roman" w:cs="Times New Roman"/>
        </w:rPr>
        <w:t>y</w:t>
      </w:r>
      <w:r w:rsidR="004C1DD8" w:rsidRPr="00144FC1">
        <w:rPr>
          <w:rFonts w:ascii="Times New Roman" w:hAnsi="Times New Roman" w:cs="Times New Roman"/>
        </w:rPr>
        <w:t>H</w:t>
      </w:r>
      <w:r w:rsidR="004C1DD8" w:rsidRPr="00144FC1">
        <w:rPr>
          <w:rFonts w:ascii="Times New Roman" w:hAnsi="Times New Roman" w:cs="Times New Roman"/>
          <w:vertAlign w:val="subscript"/>
        </w:rPr>
        <w:t>2</w:t>
      </w:r>
      <w:r w:rsidR="004C1DD8" w:rsidRPr="00144FC1">
        <w:rPr>
          <w:rFonts w:ascii="Times New Roman" w:hAnsi="Times New Roman" w:cs="Times New Roman"/>
        </w:rPr>
        <w:t xml:space="preserve">O     </w:t>
      </w:r>
      <w:r w:rsidR="004C1DD8" w:rsidRPr="00144FC1" w:rsidDel="004C1DD8">
        <w:rPr>
          <w:rFonts w:ascii="Times New Roman" w:hAnsi="Times New Roman" w:cs="Times New Roman"/>
        </w:rPr>
        <w:t xml:space="preserve"> </w:t>
      </w:r>
      <m:oMath>
        <m:r>
          <w:rPr>
            <w:rFonts w:ascii="Cambria Math" w:hAnsi="Cambria Math" w:cs="Times New Roman"/>
          </w:rPr>
          <m:t>↔</m:t>
        </m:r>
      </m:oMath>
      <w:r w:rsidRPr="00144FC1">
        <w:rPr>
          <w:rFonts w:ascii="Times New Roman" w:hAnsi="Times New Roman" w:cs="Times New Roman"/>
        </w:rPr>
        <w:t xml:space="preserve"> </w:t>
      </w:r>
      <w:r w:rsidR="00D56129" w:rsidRPr="00144FC1">
        <w:rPr>
          <w:rFonts w:ascii="Times New Roman" w:hAnsi="Times New Roman" w:cs="Times New Roman"/>
          <w:i/>
        </w:rPr>
        <w:t>(1-b)</w:t>
      </w:r>
      <w:r w:rsidR="00D56129" w:rsidRPr="00144FC1">
        <w:rPr>
          <w:rFonts w:ascii="Times New Roman" w:hAnsi="Times New Roman" w:cs="Times New Roman"/>
        </w:rPr>
        <w:t>SiO</w:t>
      </w:r>
      <w:r w:rsidR="00D56129" w:rsidRPr="00144FC1">
        <w:rPr>
          <w:rFonts w:ascii="Times New Roman" w:hAnsi="Times New Roman" w:cs="Times New Roman"/>
          <w:vertAlign w:val="subscript"/>
        </w:rPr>
        <w:t>2</w:t>
      </w:r>
      <w:r w:rsidR="00D56129" w:rsidRPr="00144FC1">
        <w:rPr>
          <w:rFonts w:ascii="Times New Roman" w:hAnsi="Times New Roman" w:cs="Times New Roman"/>
        </w:rPr>
        <w:t xml:space="preserve">. </w:t>
      </w:r>
      <w:r w:rsidR="00144FC1" w:rsidRPr="00144FC1">
        <w:rPr>
          <w:rFonts w:ascii="Times New Roman" w:hAnsi="Times New Roman" w:cs="Times New Roman"/>
          <w:i/>
        </w:rPr>
        <w:t>(</w:t>
      </w:r>
      <w:proofErr w:type="gramStart"/>
      <w:r w:rsidR="00144FC1" w:rsidRPr="00144FC1">
        <w:rPr>
          <w:rFonts w:ascii="Times New Roman" w:hAnsi="Times New Roman" w:cs="Times New Roman"/>
          <w:i/>
        </w:rPr>
        <w:t>y</w:t>
      </w:r>
      <w:proofErr w:type="gramEnd"/>
      <w:r w:rsidR="00144FC1" w:rsidRPr="00144FC1">
        <w:rPr>
          <w:rFonts w:ascii="Times New Roman" w:hAnsi="Times New Roman" w:cs="Times New Roman"/>
          <w:i/>
        </w:rPr>
        <w:t>-a)</w:t>
      </w:r>
      <w:r w:rsidR="00D56129" w:rsidRPr="00144FC1">
        <w:rPr>
          <w:rFonts w:ascii="Times New Roman" w:hAnsi="Times New Roman" w:cs="Times New Roman"/>
        </w:rPr>
        <w:t>H</w:t>
      </w:r>
      <w:r w:rsidR="00D56129" w:rsidRPr="00144FC1">
        <w:rPr>
          <w:rFonts w:ascii="Times New Roman" w:hAnsi="Times New Roman" w:cs="Times New Roman"/>
          <w:vertAlign w:val="subscript"/>
        </w:rPr>
        <w:t>2</w:t>
      </w:r>
      <w:r w:rsidR="00D56129" w:rsidRPr="00144FC1">
        <w:rPr>
          <w:rFonts w:ascii="Times New Roman" w:hAnsi="Times New Roman" w:cs="Times New Roman"/>
        </w:rPr>
        <w:t>O</w:t>
      </w:r>
      <w:r w:rsidR="00144FC1" w:rsidRPr="00144FC1">
        <w:rPr>
          <w:rFonts w:ascii="Times New Roman" w:hAnsi="Times New Roman" w:cs="Times New Roman"/>
        </w:rPr>
        <w:t xml:space="preserve">  + </w:t>
      </w:r>
      <w:r w:rsidR="009B490A">
        <w:rPr>
          <w:rFonts w:ascii="Times New Roman" w:hAnsi="Times New Roman" w:cs="Times New Roman"/>
        </w:rPr>
        <w:t>x</w:t>
      </w:r>
      <w:r w:rsidR="00144FC1" w:rsidRPr="00144FC1">
        <w:rPr>
          <w:rFonts w:ascii="Times New Roman" w:hAnsi="Times New Roman" w:cs="Times New Roman"/>
        </w:rPr>
        <w:t>Ca</w:t>
      </w:r>
      <w:r w:rsidR="00144FC1" w:rsidRPr="00144FC1">
        <w:rPr>
          <w:rFonts w:ascii="Times New Roman" w:hAnsi="Times New Roman" w:cs="Times New Roman"/>
          <w:vertAlign w:val="superscript"/>
        </w:rPr>
        <w:t>2+</w:t>
      </w:r>
      <w:r w:rsidR="00144FC1" w:rsidRPr="00144FC1">
        <w:rPr>
          <w:rFonts w:ascii="Times New Roman" w:hAnsi="Times New Roman" w:cs="Times New Roman"/>
        </w:rPr>
        <w:t xml:space="preserve"> + </w:t>
      </w:r>
      <w:r w:rsidR="00144FC1" w:rsidRPr="00144FC1">
        <w:rPr>
          <w:rFonts w:ascii="Times New Roman" w:hAnsi="Times New Roman" w:cs="Times New Roman"/>
          <w:i/>
        </w:rPr>
        <w:t>2a</w:t>
      </w:r>
      <w:r w:rsidR="00144FC1" w:rsidRPr="00144FC1">
        <w:rPr>
          <w:rFonts w:ascii="Times New Roman" w:hAnsi="Times New Roman" w:cs="Times New Roman"/>
        </w:rPr>
        <w:t>OH</w:t>
      </w:r>
      <w:r w:rsidR="003900D3">
        <w:rPr>
          <w:rFonts w:ascii="Times New Roman" w:hAnsi="Times New Roman" w:cs="Times New Roman"/>
          <w:vertAlign w:val="superscript"/>
        </w:rPr>
        <w:t>-</w:t>
      </w:r>
      <w:r w:rsidR="00144FC1" w:rsidRPr="00144FC1">
        <w:rPr>
          <w:rFonts w:ascii="Times New Roman" w:hAnsi="Times New Roman" w:cs="Times New Roman"/>
          <w:vertAlign w:val="superscript"/>
        </w:rPr>
        <w:t xml:space="preserve"> </w:t>
      </w:r>
      <w:r w:rsidR="00144FC1" w:rsidRPr="00144FC1">
        <w:rPr>
          <w:rFonts w:ascii="Times New Roman" w:hAnsi="Times New Roman" w:cs="Times New Roman"/>
        </w:rPr>
        <w:t xml:space="preserve">+ </w:t>
      </w:r>
      <w:r w:rsidR="00144FC1" w:rsidRPr="00144FC1">
        <w:rPr>
          <w:rFonts w:ascii="Times New Roman" w:hAnsi="Times New Roman" w:cs="Times New Roman"/>
          <w:i/>
        </w:rPr>
        <w:t>b</w:t>
      </w:r>
      <w:r w:rsidR="00144FC1" w:rsidRPr="00144FC1">
        <w:rPr>
          <w:rFonts w:ascii="Times New Roman" w:hAnsi="Times New Roman" w:cs="Times New Roman"/>
        </w:rPr>
        <w:t>SiO</w:t>
      </w:r>
      <w:r w:rsidR="00144FC1" w:rsidRPr="00144FC1">
        <w:rPr>
          <w:rFonts w:ascii="Times New Roman" w:hAnsi="Times New Roman" w:cs="Times New Roman"/>
          <w:vertAlign w:val="subscript"/>
        </w:rPr>
        <w:t>2</w:t>
      </w:r>
      <w:r w:rsidR="00144FC1" w:rsidRPr="00144FC1">
        <w:rPr>
          <w:rFonts w:ascii="Times New Roman" w:hAnsi="Times New Roman" w:cs="Times New Roman"/>
        </w:rPr>
        <w:t xml:space="preserve"> </w:t>
      </w:r>
      <w:r w:rsidR="00D56129" w:rsidRPr="00144FC1">
        <w:rPr>
          <w:rFonts w:ascii="Times New Roman" w:hAnsi="Times New Roman" w:cs="Times New Roman"/>
        </w:rPr>
        <w:t xml:space="preserve">    </w:t>
      </w:r>
      <w:r w:rsidRPr="00144FC1">
        <w:rPr>
          <w:rFonts w:ascii="Times New Roman" w:hAnsi="Times New Roman" w:cs="Times New Roman"/>
        </w:rPr>
        <w:t>(8)</w:t>
      </w:r>
      <w:r w:rsidR="00144FC1">
        <w:rPr>
          <w:rFonts w:ascii="Times New Roman" w:hAnsi="Times New Roman" w:cs="Times New Roman"/>
        </w:rPr>
        <w:br/>
      </w:r>
      <w:r w:rsidR="00144FC1">
        <w:rPr>
          <w:rFonts w:ascii="Times New Roman" w:hAnsi="Times New Roman" w:cs="Times New Roman"/>
        </w:rPr>
        <w:br/>
      </w:r>
      <w:r w:rsidRPr="00144FC1">
        <w:rPr>
          <w:rFonts w:ascii="Times New Roman" w:hAnsi="Times New Roman" w:cs="Times New Roman"/>
        </w:rPr>
        <w:t>Dissolution of the cement hydrates shifts the equilibrium toward the product side of the reactions. If there is decrease of Ca</w:t>
      </w:r>
      <w:r w:rsidRPr="00144FC1">
        <w:rPr>
          <w:rFonts w:ascii="Times New Roman" w:hAnsi="Times New Roman" w:cs="Times New Roman"/>
          <w:vertAlign w:val="superscript"/>
        </w:rPr>
        <w:t>2+</w:t>
      </w:r>
      <w:r w:rsidRPr="00144FC1">
        <w:rPr>
          <w:rFonts w:ascii="Times New Roman" w:hAnsi="Times New Roman" w:cs="Times New Roman"/>
        </w:rPr>
        <w:t xml:space="preserve"> or OH</w:t>
      </w:r>
      <w:r w:rsidRPr="00144FC1">
        <w:rPr>
          <w:rFonts w:ascii="Times New Roman" w:hAnsi="Times New Roman" w:cs="Times New Roman"/>
          <w:vertAlign w:val="superscript"/>
        </w:rPr>
        <w:t>-</w:t>
      </w:r>
      <w:r w:rsidRPr="00144FC1">
        <w:rPr>
          <w:rFonts w:ascii="Times New Roman" w:hAnsi="Times New Roman" w:cs="Times New Roman"/>
        </w:rPr>
        <w:t xml:space="preserve"> in the pore water the equilibrium shifts to the </w:t>
      </w:r>
      <w:r w:rsidR="005315B4" w:rsidRPr="00144FC1">
        <w:rPr>
          <w:rFonts w:ascii="Times New Roman" w:hAnsi="Times New Roman" w:cs="Times New Roman"/>
        </w:rPr>
        <w:t xml:space="preserve">reactant </w:t>
      </w:r>
      <w:r w:rsidRPr="00144FC1">
        <w:rPr>
          <w:rFonts w:ascii="Times New Roman" w:hAnsi="Times New Roman" w:cs="Times New Roman"/>
        </w:rPr>
        <w:t xml:space="preserve">side and further dissolution of the cement hydrate occurs. Initially only the </w:t>
      </w:r>
      <w:proofErr w:type="gramStart"/>
      <w:r w:rsidRPr="00144FC1">
        <w:rPr>
          <w:rFonts w:ascii="Times New Roman" w:hAnsi="Times New Roman" w:cs="Times New Roman"/>
        </w:rPr>
        <w:t>Ca(</w:t>
      </w:r>
      <w:proofErr w:type="gramEnd"/>
      <w:r w:rsidRPr="00144FC1">
        <w:rPr>
          <w:rFonts w:ascii="Times New Roman" w:hAnsi="Times New Roman" w:cs="Times New Roman"/>
        </w:rPr>
        <w:t>OH)</w:t>
      </w:r>
      <w:r w:rsidRPr="00144FC1">
        <w:rPr>
          <w:rFonts w:ascii="Times New Roman" w:hAnsi="Times New Roman" w:cs="Times New Roman"/>
          <w:vertAlign w:val="subscript"/>
        </w:rPr>
        <w:t>2</w:t>
      </w:r>
      <w:r w:rsidRPr="00144FC1">
        <w:rPr>
          <w:rFonts w:ascii="Times New Roman" w:hAnsi="Times New Roman" w:cs="Times New Roman"/>
        </w:rPr>
        <w:t xml:space="preserve"> </w:t>
      </w:r>
      <w:r w:rsidRPr="00144FC1">
        <w:rPr>
          <w:rFonts w:ascii="Times New Roman" w:hAnsi="Times New Roman" w:cs="Times New Roman"/>
        </w:rPr>
        <w:lastRenderedPageBreak/>
        <w:t>dissolves to provide more Ca</w:t>
      </w:r>
      <w:r w:rsidRPr="00144FC1">
        <w:rPr>
          <w:rFonts w:ascii="Times New Roman" w:hAnsi="Times New Roman" w:cs="Times New Roman"/>
          <w:vertAlign w:val="superscript"/>
        </w:rPr>
        <w:t>2+</w:t>
      </w:r>
      <w:r w:rsidRPr="00144FC1">
        <w:rPr>
          <w:rFonts w:ascii="Times New Roman" w:hAnsi="Times New Roman" w:cs="Times New Roman"/>
        </w:rPr>
        <w:t xml:space="preserve"> and OH</w:t>
      </w:r>
      <w:r w:rsidRPr="00144FC1">
        <w:rPr>
          <w:rFonts w:ascii="Times New Roman" w:hAnsi="Times New Roman" w:cs="Times New Roman"/>
          <w:vertAlign w:val="superscript"/>
        </w:rPr>
        <w:t>-</w:t>
      </w:r>
      <w:r w:rsidRPr="00144FC1">
        <w:rPr>
          <w:rFonts w:ascii="Times New Roman" w:hAnsi="Times New Roman" w:cs="Times New Roman"/>
        </w:rPr>
        <w:t xml:space="preserve"> in order to maintain the equilibrium, once this has dissolved the C-S-H dissolution begins resulting in the degradation of the C-S-H phase into a silica ge</w:t>
      </w:r>
      <w:r w:rsidRPr="001C0A47">
        <w:rPr>
          <w:rFonts w:ascii="Times New Roman" w:hAnsi="Times New Roman" w:cs="Times New Roman"/>
        </w:rPr>
        <w:t xml:space="preserve">l [69]. Therefore the reactions in (7) and (8) do not occur simultaneously and only after the leaching of </w:t>
      </w:r>
      <w:proofErr w:type="gramStart"/>
      <w:r w:rsidRPr="001C0A47">
        <w:rPr>
          <w:rFonts w:ascii="Times New Roman" w:hAnsi="Times New Roman" w:cs="Times New Roman"/>
        </w:rPr>
        <w:t>Ca(</w:t>
      </w:r>
      <w:proofErr w:type="gramEnd"/>
      <w:r w:rsidRPr="001C0A47">
        <w:rPr>
          <w:rFonts w:ascii="Times New Roman" w:hAnsi="Times New Roman" w:cs="Times New Roman"/>
        </w:rPr>
        <w:t>OH)</w:t>
      </w:r>
      <w:r w:rsidRPr="001C0A47">
        <w:rPr>
          <w:rFonts w:ascii="Times New Roman" w:hAnsi="Times New Roman" w:cs="Times New Roman"/>
          <w:vertAlign w:val="subscript"/>
        </w:rPr>
        <w:t>2</w:t>
      </w:r>
      <w:r w:rsidRPr="001C0A47">
        <w:rPr>
          <w:rFonts w:ascii="Times New Roman" w:hAnsi="Times New Roman" w:cs="Times New Roman"/>
        </w:rPr>
        <w:t xml:space="preserve"> does the progressive decalcification of C-S-H begin [68,70]</w:t>
      </w:r>
      <w:r w:rsidR="00144FC1">
        <w:rPr>
          <w:rFonts w:ascii="Times New Roman" w:hAnsi="Times New Roman" w:cs="Times New Roman"/>
        </w:rPr>
        <w:t>. It should be noted that the leaching of C-S-H is incongruent, wherein the C</w:t>
      </w:r>
      <w:r w:rsidR="009B490A">
        <w:rPr>
          <w:rFonts w:ascii="Times New Roman" w:hAnsi="Times New Roman" w:cs="Times New Roman"/>
        </w:rPr>
        <w:t xml:space="preserve">a can be selectively removed while the Si remained within a C-S-H, which now has a lower C/S ratio. </w:t>
      </w:r>
      <w:r w:rsidRPr="00144FC1">
        <w:rPr>
          <w:rFonts w:ascii="Times New Roman" w:hAnsi="Times New Roman" w:cs="Times New Roman"/>
        </w:rPr>
        <w:t xml:space="preserve">This creates a C/S ratio gradient across the leaching zone, which decreases </w:t>
      </w:r>
      <w:r w:rsidR="003B361B" w:rsidRPr="00144FC1">
        <w:rPr>
          <w:rFonts w:ascii="Times New Roman" w:hAnsi="Times New Roman" w:cs="Times New Roman"/>
        </w:rPr>
        <w:t>closer to the leaching surface</w:t>
      </w:r>
      <w:r w:rsidRPr="00144FC1">
        <w:rPr>
          <w:rFonts w:ascii="Times New Roman" w:hAnsi="Times New Roman" w:cs="Times New Roman"/>
        </w:rPr>
        <w:t xml:space="preserve">. </w:t>
      </w:r>
      <w:r w:rsidR="003B361B" w:rsidRPr="00144FC1">
        <w:rPr>
          <w:rFonts w:ascii="Times New Roman" w:hAnsi="Times New Roman" w:cs="Times New Roman"/>
        </w:rPr>
        <w:t>T</w:t>
      </w:r>
      <w:r w:rsidRPr="00144FC1">
        <w:rPr>
          <w:rFonts w:ascii="Times New Roman" w:hAnsi="Times New Roman" w:cs="Times New Roman"/>
        </w:rPr>
        <w:t>he sorption of radionuclides is contingent on the C/S ratio</w:t>
      </w:r>
      <w:r w:rsidR="00E2479A" w:rsidRPr="00144FC1">
        <w:rPr>
          <w:rFonts w:ascii="Times New Roman" w:hAnsi="Times New Roman" w:cs="Times New Roman"/>
        </w:rPr>
        <w:t xml:space="preserve"> as mentioned</w:t>
      </w:r>
      <w:r w:rsidR="00F518CD" w:rsidRPr="00144FC1">
        <w:rPr>
          <w:rFonts w:ascii="Times New Roman" w:hAnsi="Times New Roman" w:cs="Times New Roman"/>
        </w:rPr>
        <w:t xml:space="preserve"> previously</w:t>
      </w:r>
      <w:r w:rsidRPr="00144FC1">
        <w:rPr>
          <w:rFonts w:ascii="Times New Roman" w:hAnsi="Times New Roman" w:cs="Times New Roman"/>
        </w:rPr>
        <w:t xml:space="preserve">, therefore as decalcification occurs the level of radionuclide immobilisation in the cement may </w:t>
      </w:r>
      <w:r w:rsidR="00E2479A" w:rsidRPr="00144FC1">
        <w:rPr>
          <w:rFonts w:ascii="Times New Roman" w:hAnsi="Times New Roman" w:cs="Times New Roman"/>
        </w:rPr>
        <w:t>increase</w:t>
      </w:r>
      <w:r w:rsidRPr="00144FC1">
        <w:rPr>
          <w:rFonts w:ascii="Times New Roman" w:hAnsi="Times New Roman" w:cs="Times New Roman"/>
        </w:rPr>
        <w:t xml:space="preserve">. </w:t>
      </w:r>
    </w:p>
    <w:p w14:paraId="1D7FAF47" w14:textId="293764CA" w:rsidR="009B4950" w:rsidRDefault="009B4950" w:rsidP="009B4950">
      <w:pPr>
        <w:spacing w:after="120" w:line="360" w:lineRule="auto"/>
        <w:jc w:val="both"/>
        <w:rPr>
          <w:rFonts w:ascii="Times New Roman" w:hAnsi="Times New Roman" w:cs="Times New Roman"/>
        </w:rPr>
      </w:pPr>
      <w:r w:rsidRPr="00EB4008">
        <w:rPr>
          <w:rFonts w:ascii="Times New Roman" w:hAnsi="Times New Roman" w:cs="Times New Roman"/>
        </w:rPr>
        <w:t>Carde</w:t>
      </w:r>
      <w:r>
        <w:rPr>
          <w:rFonts w:ascii="Times New Roman" w:hAnsi="Times New Roman" w:cs="Times New Roman"/>
        </w:rPr>
        <w:t xml:space="preserve"> et al.</w:t>
      </w:r>
      <w:r w:rsidR="009B45A9">
        <w:rPr>
          <w:rFonts w:ascii="Times New Roman" w:hAnsi="Times New Roman" w:cs="Times New Roman"/>
        </w:rPr>
        <w:t xml:space="preserve"> [68]</w:t>
      </w:r>
      <w:r>
        <w:rPr>
          <w:rFonts w:ascii="Times New Roman" w:hAnsi="Times New Roman" w:cs="Times New Roman"/>
        </w:rPr>
        <w:t xml:space="preserve"> found that in a pure PC cement the loss in strength due to dissolution of </w:t>
      </w:r>
      <w:proofErr w:type="gramStart"/>
      <w:r>
        <w:rPr>
          <w:rFonts w:ascii="Times New Roman" w:hAnsi="Times New Roman" w:cs="Times New Roman"/>
        </w:rPr>
        <w:t>Ca(</w:t>
      </w:r>
      <w:proofErr w:type="gramEnd"/>
      <w:r>
        <w:rPr>
          <w:rFonts w:ascii="Times New Roman" w:hAnsi="Times New Roman" w:cs="Times New Roman"/>
        </w:rPr>
        <w:t>OH)</w:t>
      </w:r>
      <w:r>
        <w:rPr>
          <w:rFonts w:ascii="Times New Roman" w:hAnsi="Times New Roman" w:cs="Times New Roman"/>
          <w:vertAlign w:val="subscript"/>
        </w:rPr>
        <w:t>2</w:t>
      </w:r>
      <w:r>
        <w:rPr>
          <w:rFonts w:ascii="Times New Roman" w:hAnsi="Times New Roman" w:cs="Times New Roman"/>
        </w:rPr>
        <w:t xml:space="preserve"> was around 70% as opposed to only 6% strength loss attributed to the decalcification of C-S-H. This difference is due to the variation in pores formed when each species is removed. The macro-pores produced in the cement after removal of </w:t>
      </w:r>
      <w:proofErr w:type="gramStart"/>
      <w:r>
        <w:rPr>
          <w:rFonts w:ascii="Times New Roman" w:hAnsi="Times New Roman" w:cs="Times New Roman"/>
        </w:rPr>
        <w:t>Ca(</w:t>
      </w:r>
      <w:proofErr w:type="gramEnd"/>
      <w:r>
        <w:rPr>
          <w:rFonts w:ascii="Times New Roman" w:hAnsi="Times New Roman" w:cs="Times New Roman"/>
        </w:rPr>
        <w:t>OH)</w:t>
      </w:r>
      <w:r>
        <w:rPr>
          <w:rFonts w:ascii="Times New Roman" w:hAnsi="Times New Roman" w:cs="Times New Roman"/>
          <w:vertAlign w:val="subscript"/>
        </w:rPr>
        <w:t>2</w:t>
      </w:r>
      <w:r>
        <w:rPr>
          <w:rFonts w:ascii="Times New Roman" w:hAnsi="Times New Roman" w:cs="Times New Roman"/>
        </w:rPr>
        <w:t xml:space="preserve"> are similar in size to capillary pores and therefore compromise the cement strength whereas the removal of Ca from C-S-H produces micro-pores. It was concluded that the loss of strength due to C-S-H is negligible relative to the loss of strength due to dissolution of </w:t>
      </w:r>
      <w:proofErr w:type="gramStart"/>
      <w:r>
        <w:rPr>
          <w:rFonts w:ascii="Times New Roman" w:hAnsi="Times New Roman" w:cs="Times New Roman"/>
        </w:rPr>
        <w:t>Ca(</w:t>
      </w:r>
      <w:proofErr w:type="gramEnd"/>
      <w:r>
        <w:rPr>
          <w:rFonts w:ascii="Times New Roman" w:hAnsi="Times New Roman" w:cs="Times New Roman"/>
        </w:rPr>
        <w:t>OH)</w:t>
      </w:r>
      <w:r>
        <w:rPr>
          <w:rFonts w:ascii="Times New Roman" w:hAnsi="Times New Roman" w:cs="Times New Roman"/>
          <w:vertAlign w:val="subscript"/>
        </w:rPr>
        <w:t>2</w:t>
      </w:r>
      <w:r>
        <w:rPr>
          <w:rFonts w:ascii="Times New Roman" w:hAnsi="Times New Roman" w:cs="Times New Roman"/>
        </w:rPr>
        <w:t xml:space="preserve">. </w:t>
      </w:r>
      <w:r w:rsidR="00BD18E9">
        <w:rPr>
          <w:rFonts w:ascii="Times New Roman" w:hAnsi="Times New Roman" w:cs="Times New Roman"/>
        </w:rPr>
        <w:t xml:space="preserve">However in a composite cement system this impact is not as significant as the </w:t>
      </w:r>
      <w:proofErr w:type="gramStart"/>
      <w:r w:rsidR="00BD18E9">
        <w:rPr>
          <w:rFonts w:ascii="Times New Roman" w:hAnsi="Times New Roman" w:cs="Times New Roman"/>
        </w:rPr>
        <w:t>Ca(</w:t>
      </w:r>
      <w:proofErr w:type="gramEnd"/>
      <w:r w:rsidR="00BD18E9">
        <w:rPr>
          <w:rFonts w:ascii="Times New Roman" w:hAnsi="Times New Roman" w:cs="Times New Roman"/>
        </w:rPr>
        <w:t>OH)</w:t>
      </w:r>
      <w:r w:rsidR="00BD18E9">
        <w:rPr>
          <w:rFonts w:ascii="Times New Roman" w:hAnsi="Times New Roman" w:cs="Times New Roman"/>
          <w:vertAlign w:val="subscript"/>
        </w:rPr>
        <w:t>2</w:t>
      </w:r>
      <w:r w:rsidR="00BD18E9">
        <w:rPr>
          <w:rFonts w:ascii="Times New Roman" w:hAnsi="Times New Roman" w:cs="Times New Roman"/>
        </w:rPr>
        <w:t xml:space="preserve"> only makes up a small percentage of the cement. </w:t>
      </w:r>
      <w:r>
        <w:rPr>
          <w:rFonts w:ascii="Times New Roman" w:hAnsi="Times New Roman" w:cs="Times New Roman"/>
        </w:rPr>
        <w:t>Fu</w:t>
      </w:r>
      <w:r w:rsidR="00921103">
        <w:rPr>
          <w:rFonts w:ascii="Times New Roman" w:hAnsi="Times New Roman" w:cs="Times New Roman"/>
        </w:rPr>
        <w:t>rthermore Carde and Francois [67</w:t>
      </w:r>
      <w:r>
        <w:rPr>
          <w:rFonts w:ascii="Times New Roman" w:hAnsi="Times New Roman" w:cs="Times New Roman"/>
        </w:rPr>
        <w:t>] found that decalcification of C-S-H produced a C/S gradient in the leached zone whereas the calcium hydroxide had been completely dissolved. The C/S ratio was highest at the surface and decr</w:t>
      </w:r>
      <w:r w:rsidR="00921103">
        <w:rPr>
          <w:rFonts w:ascii="Times New Roman" w:hAnsi="Times New Roman" w:cs="Times New Roman"/>
        </w:rPr>
        <w:t>eased as the depth increased [67</w:t>
      </w:r>
      <w:r>
        <w:rPr>
          <w:rFonts w:ascii="Times New Roman" w:hAnsi="Times New Roman" w:cs="Times New Roman"/>
        </w:rPr>
        <w:t xml:space="preserve">]. </w:t>
      </w:r>
    </w:p>
    <w:p w14:paraId="1F1517A2" w14:textId="19E0277E" w:rsidR="003D5839" w:rsidRPr="009215E5" w:rsidRDefault="003D5839" w:rsidP="003D5839">
      <w:pPr>
        <w:spacing w:after="120" w:line="360" w:lineRule="auto"/>
        <w:jc w:val="both"/>
        <w:rPr>
          <w:rFonts w:ascii="Times New Roman" w:hAnsi="Times New Roman" w:cs="Times New Roman"/>
        </w:rPr>
      </w:pPr>
    </w:p>
    <w:p w14:paraId="07385914" w14:textId="77777777" w:rsidR="003D5839" w:rsidRDefault="003D5839" w:rsidP="003D5839">
      <w:pPr>
        <w:spacing w:after="120" w:line="360" w:lineRule="auto"/>
        <w:jc w:val="both"/>
        <w:rPr>
          <w:rFonts w:ascii="Times New Roman" w:hAnsi="Times New Roman" w:cs="Times New Roman"/>
          <w:b/>
        </w:rPr>
      </w:pPr>
      <w:r w:rsidRPr="0032601B">
        <w:rPr>
          <w:rFonts w:ascii="Times New Roman" w:hAnsi="Times New Roman" w:cs="Times New Roman"/>
          <w:b/>
        </w:rPr>
        <w:t>2.5.2</w:t>
      </w:r>
      <w:r>
        <w:rPr>
          <w:rFonts w:ascii="Times New Roman" w:hAnsi="Times New Roman" w:cs="Times New Roman"/>
          <w:b/>
        </w:rPr>
        <w:tab/>
        <w:t>Leaching Tests</w:t>
      </w:r>
    </w:p>
    <w:p w14:paraId="17BE02B9" w14:textId="79B111C7" w:rsidR="003D5839" w:rsidRPr="00F60C2D" w:rsidRDefault="003D5839" w:rsidP="003D5839">
      <w:pPr>
        <w:spacing w:after="120" w:line="360" w:lineRule="auto"/>
        <w:jc w:val="both"/>
        <w:rPr>
          <w:rFonts w:ascii="Times New Roman" w:hAnsi="Times New Roman" w:cs="Times New Roman"/>
        </w:rPr>
      </w:pPr>
      <w:r>
        <w:rPr>
          <w:rFonts w:ascii="Times New Roman" w:hAnsi="Times New Roman" w:cs="Times New Roman"/>
        </w:rPr>
        <w:t>In order to better understand the leaching behaviour of cements and composite cements various leaching tests are used in industry and in research [</w:t>
      </w:r>
      <w:r w:rsidR="00921103">
        <w:rPr>
          <w:rFonts w:ascii="Times New Roman" w:hAnsi="Times New Roman" w:cs="Times New Roman"/>
        </w:rPr>
        <w:t>65</w:t>
      </w:r>
      <w:r w:rsidR="00094928">
        <w:rPr>
          <w:rFonts w:ascii="Times New Roman" w:hAnsi="Times New Roman" w:cs="Times New Roman"/>
        </w:rPr>
        <w:t>-</w:t>
      </w:r>
      <w:r w:rsidR="00921103">
        <w:rPr>
          <w:rFonts w:ascii="Times New Roman" w:hAnsi="Times New Roman" w:cs="Times New Roman"/>
        </w:rPr>
        <w:t>73</w:t>
      </w:r>
      <w:r>
        <w:rPr>
          <w:rFonts w:ascii="Times New Roman" w:hAnsi="Times New Roman" w:cs="Times New Roman"/>
        </w:rPr>
        <w:t xml:space="preserve">]. These tests simulate the leaching conditions of the cements in the conditions being studied. Two leaching tests in particular are of interest, acidic and electrical leaching. These tests are used to accelerate the leaching behaviour of the cements in order to simulate long term leaching. </w:t>
      </w:r>
    </w:p>
    <w:p w14:paraId="6F7B3E5C" w14:textId="77777777" w:rsidR="003D5839" w:rsidRPr="00D54899" w:rsidRDefault="003D5839" w:rsidP="003D5839">
      <w:pPr>
        <w:spacing w:after="120" w:line="360" w:lineRule="auto"/>
        <w:jc w:val="both"/>
        <w:rPr>
          <w:rFonts w:ascii="Times New Roman" w:hAnsi="Times New Roman" w:cs="Times New Roman"/>
          <w:b/>
          <w:i/>
        </w:rPr>
      </w:pPr>
      <w:r w:rsidRPr="00D54899">
        <w:rPr>
          <w:rFonts w:ascii="Times New Roman" w:hAnsi="Times New Roman" w:cs="Times New Roman"/>
          <w:b/>
          <w:i/>
        </w:rPr>
        <w:t>i.</w:t>
      </w:r>
      <w:r w:rsidRPr="00D54899">
        <w:rPr>
          <w:rFonts w:ascii="Times New Roman" w:hAnsi="Times New Roman" w:cs="Times New Roman"/>
          <w:b/>
          <w:i/>
        </w:rPr>
        <w:tab/>
        <w:t>Acidic Leaching</w:t>
      </w:r>
    </w:p>
    <w:p w14:paraId="0BAD19D9" w14:textId="4AEEAB8E" w:rsidR="00972568" w:rsidRDefault="003D5839" w:rsidP="003D5839">
      <w:pPr>
        <w:spacing w:after="120" w:line="360" w:lineRule="auto"/>
        <w:jc w:val="both"/>
        <w:rPr>
          <w:rFonts w:ascii="Times New Roman" w:hAnsi="Times New Roman" w:cs="Times New Roman"/>
        </w:rPr>
      </w:pPr>
      <w:r>
        <w:rPr>
          <w:rFonts w:ascii="Times New Roman" w:hAnsi="Times New Roman" w:cs="Times New Roman"/>
        </w:rPr>
        <w:t xml:space="preserve">The chemical attack and eventual degradation of </w:t>
      </w:r>
      <w:r w:rsidR="00E85025">
        <w:rPr>
          <w:rFonts w:ascii="Times New Roman" w:hAnsi="Times New Roman" w:cs="Times New Roman"/>
        </w:rPr>
        <w:t>PC</w:t>
      </w:r>
      <w:r>
        <w:rPr>
          <w:rFonts w:ascii="Times New Roman" w:hAnsi="Times New Roman" w:cs="Times New Roman"/>
        </w:rPr>
        <w:t xml:space="preserve"> in solution is essentially governed by the dissolution of calcium hydroxide (</w:t>
      </w:r>
      <w:proofErr w:type="gramStart"/>
      <w:r>
        <w:rPr>
          <w:rFonts w:ascii="Times New Roman" w:hAnsi="Times New Roman" w:cs="Times New Roman"/>
        </w:rPr>
        <w:t>Ca(</w:t>
      </w:r>
      <w:proofErr w:type="gramEnd"/>
      <w:r>
        <w:rPr>
          <w:rFonts w:ascii="Times New Roman" w:hAnsi="Times New Roman" w:cs="Times New Roman"/>
        </w:rPr>
        <w:t>OH)</w:t>
      </w:r>
      <w:r>
        <w:rPr>
          <w:rFonts w:ascii="Times New Roman" w:hAnsi="Times New Roman" w:cs="Times New Roman"/>
          <w:vertAlign w:val="subscript"/>
        </w:rPr>
        <w:t>2</w:t>
      </w:r>
      <w:r>
        <w:rPr>
          <w:rFonts w:ascii="Times New Roman" w:hAnsi="Times New Roman" w:cs="Times New Roman"/>
        </w:rPr>
        <w:t xml:space="preserve">) and the </w:t>
      </w:r>
      <w:r w:rsidR="00921103">
        <w:rPr>
          <w:rFonts w:ascii="Times New Roman" w:hAnsi="Times New Roman" w:cs="Times New Roman"/>
        </w:rPr>
        <w:t>decalcification of the C-S-H [69</w:t>
      </w:r>
      <w:r>
        <w:rPr>
          <w:rFonts w:ascii="Times New Roman" w:hAnsi="Times New Roman" w:cs="Times New Roman"/>
        </w:rPr>
        <w:t xml:space="preserve">], </w:t>
      </w:r>
      <w:r>
        <w:rPr>
          <w:rFonts w:ascii="Times New Roman" w:hAnsi="Times New Roman" w:cs="Times New Roman"/>
        </w:rPr>
        <w:lastRenderedPageBreak/>
        <w:t>causing a decrease in strength and an increase in porosity. The kinetics of these chemical reactions is slow when the cement is leaching in water under room temperature and pressure. This slow reaction would require significant experimentation t</w:t>
      </w:r>
      <w:r w:rsidR="00921103">
        <w:rPr>
          <w:rFonts w:ascii="Times New Roman" w:hAnsi="Times New Roman" w:cs="Times New Roman"/>
        </w:rPr>
        <w:t>imes. Therefore Carde et al. [69</w:t>
      </w:r>
      <w:r>
        <w:rPr>
          <w:rFonts w:ascii="Times New Roman" w:hAnsi="Times New Roman" w:cs="Times New Roman"/>
        </w:rPr>
        <w:t xml:space="preserve">] used ammonium nitrate </w:t>
      </w:r>
      <w:r>
        <w:rPr>
          <w:rFonts w:ascii="Times New Roman" w:hAnsi="Times New Roman"/>
        </w:rPr>
        <w:t>(NH</w:t>
      </w:r>
      <w:r>
        <w:rPr>
          <w:rFonts w:ascii="Times New Roman" w:hAnsi="Times New Roman"/>
          <w:vertAlign w:val="subscript"/>
        </w:rPr>
        <w:t>4</w:t>
      </w:r>
      <w:r>
        <w:rPr>
          <w:rFonts w:ascii="Times New Roman" w:hAnsi="Times New Roman"/>
        </w:rPr>
        <w:t>NO</w:t>
      </w:r>
      <w:r>
        <w:rPr>
          <w:rFonts w:ascii="Times New Roman" w:hAnsi="Times New Roman"/>
          <w:vertAlign w:val="subscript"/>
        </w:rPr>
        <w:t>3</w:t>
      </w:r>
      <w:r>
        <w:rPr>
          <w:rFonts w:ascii="Times New Roman" w:hAnsi="Times New Roman"/>
        </w:rPr>
        <w:t xml:space="preserve">) </w:t>
      </w:r>
      <w:r w:rsidR="00F518CD">
        <w:rPr>
          <w:rFonts w:ascii="Times New Roman" w:hAnsi="Times New Roman"/>
        </w:rPr>
        <w:t xml:space="preserve">in </w:t>
      </w:r>
      <w:r>
        <w:rPr>
          <w:rFonts w:ascii="Times New Roman" w:hAnsi="Times New Roman" w:cs="Times New Roman"/>
        </w:rPr>
        <w:t>solutio</w:t>
      </w:r>
      <w:r w:rsidR="00972568">
        <w:rPr>
          <w:rFonts w:ascii="Times New Roman" w:hAnsi="Times New Roman" w:cs="Times New Roman"/>
        </w:rPr>
        <w:t>n</w:t>
      </w:r>
      <w:r>
        <w:rPr>
          <w:rFonts w:ascii="Times New Roman" w:hAnsi="Times New Roman" w:cs="Times New Roman"/>
        </w:rPr>
        <w:t xml:space="preserve"> to accelerate the leaching of the cylindrical cement samples and established that the leaching behaviour of the cement in water and that in NH</w:t>
      </w:r>
      <w:r>
        <w:rPr>
          <w:rFonts w:ascii="Times New Roman" w:hAnsi="Times New Roman" w:cs="Times New Roman"/>
          <w:vertAlign w:val="subscript"/>
        </w:rPr>
        <w:t>4</w:t>
      </w:r>
      <w:r>
        <w:rPr>
          <w:rFonts w:ascii="Times New Roman" w:hAnsi="Times New Roman" w:cs="Times New Roman"/>
        </w:rPr>
        <w:t>NO</w:t>
      </w:r>
      <w:r>
        <w:rPr>
          <w:rFonts w:ascii="Times New Roman" w:hAnsi="Times New Roman" w:cs="Times New Roman"/>
          <w:vertAlign w:val="subscript"/>
        </w:rPr>
        <w:t>3</w:t>
      </w:r>
      <w:r w:rsidR="00921103">
        <w:rPr>
          <w:rFonts w:ascii="Times New Roman" w:hAnsi="Times New Roman" w:cs="Times New Roman"/>
        </w:rPr>
        <w:t xml:space="preserve"> solution is similar [69</w:t>
      </w:r>
      <w:r>
        <w:rPr>
          <w:rFonts w:ascii="Times New Roman" w:hAnsi="Times New Roman" w:cs="Times New Roman"/>
        </w:rPr>
        <w:t>].  In acid the leaching environment became more aggressive and the chemical attack due to the</w:t>
      </w:r>
      <w:r w:rsidR="00972568">
        <w:rPr>
          <w:rFonts w:ascii="Times New Roman" w:hAnsi="Times New Roman" w:cs="Times New Roman"/>
        </w:rPr>
        <w:t xml:space="preserve"> following equation</w:t>
      </w:r>
      <w:r w:rsidR="00B502CC">
        <w:rPr>
          <w:rFonts w:ascii="Times New Roman" w:hAnsi="Times New Roman" w:cs="Times New Roman"/>
        </w:rPr>
        <w:t>,</w:t>
      </w:r>
    </w:p>
    <w:p w14:paraId="015026CF" w14:textId="6925A1D7" w:rsidR="00B502CC" w:rsidRPr="00751C5B" w:rsidRDefault="00B502CC" w:rsidP="003D5839">
      <w:pPr>
        <w:spacing w:after="120" w:line="360" w:lineRule="auto"/>
        <w:jc w:val="both"/>
        <w:rPr>
          <w:rFonts w:ascii="Times New Roman" w:hAnsi="Times New Roman" w:cs="Times New Roman"/>
          <w:sz w:val="22"/>
        </w:rPr>
      </w:pPr>
      <w:proofErr w:type="gramStart"/>
      <w:r w:rsidRPr="00751C5B">
        <w:rPr>
          <w:rFonts w:ascii="Times New Roman" w:hAnsi="Times New Roman" w:cs="Times New Roman"/>
          <w:sz w:val="22"/>
        </w:rPr>
        <w:t>Ca(</w:t>
      </w:r>
      <w:proofErr w:type="gramEnd"/>
      <w:r w:rsidRPr="00751C5B">
        <w:rPr>
          <w:rFonts w:ascii="Times New Roman" w:hAnsi="Times New Roman" w:cs="Times New Roman"/>
          <w:sz w:val="22"/>
        </w:rPr>
        <w:t>OH)</w:t>
      </w:r>
      <w:r w:rsidRPr="00751C5B">
        <w:rPr>
          <w:rFonts w:ascii="Times New Roman" w:hAnsi="Times New Roman" w:cs="Times New Roman"/>
          <w:sz w:val="22"/>
          <w:vertAlign w:val="subscript"/>
        </w:rPr>
        <w:t xml:space="preserve">2 </w:t>
      </w:r>
      <w:r w:rsidRPr="00751C5B">
        <w:rPr>
          <w:rFonts w:ascii="Times New Roman" w:hAnsi="Times New Roman" w:cs="Times New Roman"/>
          <w:sz w:val="22"/>
        </w:rPr>
        <w:t xml:space="preserve"> + 2NH</w:t>
      </w:r>
      <w:r w:rsidRPr="00751C5B">
        <w:rPr>
          <w:rFonts w:ascii="Times New Roman" w:hAnsi="Times New Roman" w:cs="Times New Roman"/>
          <w:sz w:val="22"/>
          <w:vertAlign w:val="subscript"/>
        </w:rPr>
        <w:t>4</w:t>
      </w:r>
      <w:r w:rsidRPr="00751C5B">
        <w:rPr>
          <w:rFonts w:ascii="Times New Roman" w:hAnsi="Times New Roman" w:cs="Times New Roman"/>
          <w:sz w:val="22"/>
        </w:rPr>
        <w:t>NO</w:t>
      </w:r>
      <w:r w:rsidRPr="00751C5B">
        <w:rPr>
          <w:rFonts w:ascii="Times New Roman" w:hAnsi="Times New Roman" w:cs="Times New Roman"/>
          <w:sz w:val="22"/>
          <w:vertAlign w:val="subscript"/>
        </w:rPr>
        <w:t xml:space="preserve">3 </w:t>
      </w:r>
      <m:oMath>
        <m:r>
          <w:rPr>
            <w:rFonts w:ascii="Cambria Math" w:hAnsi="Cambria Math" w:cs="Times New Roman"/>
            <w:sz w:val="22"/>
          </w:rPr>
          <m:t>↔</m:t>
        </m:r>
      </m:oMath>
      <w:r w:rsidRPr="00751C5B">
        <w:rPr>
          <w:rFonts w:ascii="Times New Roman" w:hAnsi="Times New Roman" w:cs="Times New Roman"/>
          <w:sz w:val="22"/>
        </w:rPr>
        <w:t xml:space="preserve"> Ca</w:t>
      </w:r>
      <w:r w:rsidRPr="00751C5B">
        <w:rPr>
          <w:rFonts w:ascii="Times New Roman" w:hAnsi="Times New Roman" w:cs="Times New Roman"/>
          <w:sz w:val="22"/>
          <w:vertAlign w:val="subscript"/>
        </w:rPr>
        <w:softHyphen/>
      </w:r>
      <w:r w:rsidRPr="00751C5B">
        <w:rPr>
          <w:rFonts w:ascii="Times New Roman" w:hAnsi="Times New Roman" w:cs="Times New Roman"/>
          <w:sz w:val="22"/>
          <w:vertAlign w:val="superscript"/>
        </w:rPr>
        <w:t>2+</w:t>
      </w:r>
      <w:r w:rsidRPr="00751C5B">
        <w:rPr>
          <w:rFonts w:ascii="Times New Roman" w:hAnsi="Times New Roman" w:cs="Times New Roman"/>
          <w:sz w:val="22"/>
          <w:vertAlign w:val="subscript"/>
        </w:rPr>
        <w:t xml:space="preserve"> </w:t>
      </w:r>
      <w:r w:rsidRPr="00751C5B">
        <w:rPr>
          <w:rFonts w:ascii="Times New Roman" w:hAnsi="Times New Roman" w:cs="Times New Roman"/>
          <w:sz w:val="22"/>
        </w:rPr>
        <w:t>+ 2OH</w:t>
      </w:r>
      <w:r w:rsidRPr="00751C5B">
        <w:rPr>
          <w:rFonts w:ascii="Times New Roman" w:hAnsi="Times New Roman" w:cs="Times New Roman"/>
          <w:sz w:val="22"/>
          <w:vertAlign w:val="superscript"/>
        </w:rPr>
        <w:t>-</w:t>
      </w:r>
      <w:r w:rsidRPr="00751C5B">
        <w:rPr>
          <w:rFonts w:ascii="Times New Roman" w:hAnsi="Times New Roman" w:cs="Times New Roman"/>
          <w:sz w:val="22"/>
        </w:rPr>
        <w:t xml:space="preserve"> + 2H</w:t>
      </w:r>
      <w:r w:rsidR="003167A5">
        <w:rPr>
          <w:rFonts w:ascii="Times New Roman" w:hAnsi="Times New Roman" w:cs="Times New Roman"/>
          <w:sz w:val="22"/>
          <w:vertAlign w:val="superscript"/>
        </w:rPr>
        <w:t>+</w:t>
      </w:r>
      <w:r w:rsidRPr="00751C5B">
        <w:rPr>
          <w:rFonts w:ascii="Times New Roman" w:hAnsi="Times New Roman" w:cs="Times New Roman"/>
          <w:sz w:val="22"/>
        </w:rPr>
        <w:t xml:space="preserve"> + 2NH</w:t>
      </w:r>
      <w:r w:rsidRPr="00751C5B">
        <w:rPr>
          <w:rFonts w:ascii="Times New Roman" w:hAnsi="Times New Roman" w:cs="Times New Roman"/>
          <w:sz w:val="22"/>
          <w:vertAlign w:val="subscript"/>
        </w:rPr>
        <w:t>3</w:t>
      </w:r>
      <w:r w:rsidRPr="00751C5B">
        <w:rPr>
          <w:rFonts w:ascii="Times New Roman" w:hAnsi="Times New Roman" w:cs="Times New Roman"/>
          <w:sz w:val="22"/>
        </w:rPr>
        <w:t xml:space="preserve"> + </w:t>
      </w:r>
      <w:r w:rsidR="00355339">
        <w:rPr>
          <w:rFonts w:ascii="Times New Roman" w:hAnsi="Times New Roman" w:cs="Times New Roman"/>
          <w:sz w:val="22"/>
        </w:rPr>
        <w:t>2NO</w:t>
      </w:r>
      <w:r w:rsidR="00355339">
        <w:rPr>
          <w:rFonts w:ascii="Times New Roman" w:hAnsi="Times New Roman" w:cs="Times New Roman"/>
          <w:sz w:val="22"/>
          <w:vertAlign w:val="subscript"/>
        </w:rPr>
        <w:t>3</w:t>
      </w:r>
      <w:r w:rsidR="00355339">
        <w:rPr>
          <w:rFonts w:ascii="Times New Roman" w:hAnsi="Times New Roman" w:cs="Times New Roman"/>
          <w:sz w:val="22"/>
          <w:vertAlign w:val="superscript"/>
        </w:rPr>
        <w:t>-</w:t>
      </w:r>
      <w:r w:rsidRPr="00751C5B">
        <w:rPr>
          <w:rFonts w:ascii="Times New Roman" w:hAnsi="Times New Roman" w:cs="Times New Roman"/>
          <w:sz w:val="22"/>
        </w:rPr>
        <w:t xml:space="preserve"> </w:t>
      </w:r>
      <m:oMath>
        <m:r>
          <w:rPr>
            <w:rFonts w:ascii="Cambria Math" w:hAnsi="Cambria Math" w:cs="Times New Roman"/>
            <w:sz w:val="22"/>
          </w:rPr>
          <m:t>↔</m:t>
        </m:r>
      </m:oMath>
      <w:r w:rsidRPr="00751C5B">
        <w:rPr>
          <w:rFonts w:ascii="Times New Roman" w:hAnsi="Times New Roman" w:cs="Times New Roman"/>
          <w:sz w:val="22"/>
        </w:rPr>
        <w:t xml:space="preserve"> Ca(NO</w:t>
      </w:r>
      <w:r w:rsidRPr="00751C5B">
        <w:rPr>
          <w:rFonts w:ascii="Times New Roman" w:hAnsi="Times New Roman" w:cs="Times New Roman"/>
          <w:sz w:val="22"/>
          <w:vertAlign w:val="subscript"/>
        </w:rPr>
        <w:t>3</w:t>
      </w:r>
      <w:r w:rsidRPr="00751C5B">
        <w:rPr>
          <w:rFonts w:ascii="Times New Roman" w:hAnsi="Times New Roman" w:cs="Times New Roman"/>
          <w:sz w:val="22"/>
        </w:rPr>
        <w:t>)</w:t>
      </w:r>
      <w:r w:rsidRPr="00751C5B">
        <w:rPr>
          <w:rFonts w:ascii="Times New Roman" w:hAnsi="Times New Roman" w:cs="Times New Roman"/>
          <w:sz w:val="22"/>
          <w:vertAlign w:val="subscript"/>
        </w:rPr>
        <w:t>2</w:t>
      </w:r>
      <w:r w:rsidRPr="00751C5B">
        <w:rPr>
          <w:rFonts w:ascii="Times New Roman" w:hAnsi="Times New Roman" w:cs="Times New Roman"/>
          <w:sz w:val="22"/>
        </w:rPr>
        <w:t xml:space="preserve"> + 2NH</w:t>
      </w:r>
      <w:r w:rsidRPr="00751C5B">
        <w:rPr>
          <w:rFonts w:ascii="Times New Roman" w:hAnsi="Times New Roman" w:cs="Times New Roman"/>
          <w:sz w:val="22"/>
          <w:vertAlign w:val="subscript"/>
        </w:rPr>
        <w:t>3</w:t>
      </w:r>
      <w:r w:rsidRPr="00751C5B">
        <w:rPr>
          <w:rFonts w:ascii="Times New Roman" w:hAnsi="Times New Roman" w:cs="Times New Roman"/>
          <w:sz w:val="22"/>
        </w:rPr>
        <w:t xml:space="preserve"> + 2H</w:t>
      </w:r>
      <w:r w:rsidRPr="00751C5B">
        <w:rPr>
          <w:rFonts w:ascii="Times New Roman" w:hAnsi="Times New Roman" w:cs="Times New Roman"/>
          <w:sz w:val="22"/>
          <w:vertAlign w:val="subscript"/>
        </w:rPr>
        <w:t>2</w:t>
      </w:r>
      <w:r w:rsidRPr="00751C5B">
        <w:rPr>
          <w:rFonts w:ascii="Times New Roman" w:hAnsi="Times New Roman" w:cs="Times New Roman"/>
          <w:sz w:val="22"/>
        </w:rPr>
        <w:t>O</w:t>
      </w:r>
      <w:r w:rsidR="0013333F">
        <w:rPr>
          <w:rFonts w:ascii="Times New Roman" w:hAnsi="Times New Roman" w:cs="Times New Roman"/>
          <w:sz w:val="22"/>
        </w:rPr>
        <w:t>(9)</w:t>
      </w:r>
    </w:p>
    <w:p w14:paraId="624374D5" w14:textId="4BD85F14" w:rsidR="003D5839" w:rsidRDefault="00F247DC" w:rsidP="003D5839">
      <w:pPr>
        <w:spacing w:after="120" w:line="360" w:lineRule="auto"/>
        <w:jc w:val="both"/>
        <w:rPr>
          <w:rFonts w:ascii="Times New Roman" w:hAnsi="Times New Roman" w:cs="Times New Roman"/>
        </w:rPr>
      </w:pPr>
      <w:r>
        <w:rPr>
          <w:rFonts w:ascii="Times New Roman" w:hAnsi="Times New Roman" w:cs="Times New Roman"/>
        </w:rPr>
        <w:t xml:space="preserve">This </w:t>
      </w:r>
      <w:r w:rsidR="003D5839">
        <w:rPr>
          <w:rFonts w:ascii="Times New Roman" w:hAnsi="Times New Roman" w:cs="Times New Roman"/>
        </w:rPr>
        <w:t xml:space="preserve">resulted in </w:t>
      </w:r>
      <w:r w:rsidR="00B502CC">
        <w:rPr>
          <w:rFonts w:ascii="Times New Roman" w:hAnsi="Times New Roman" w:cs="Times New Roman"/>
        </w:rPr>
        <w:t xml:space="preserve">the precipitation of Ca in the form of </w:t>
      </w:r>
      <w:r w:rsidR="000F209C">
        <w:rPr>
          <w:rFonts w:ascii="Times New Roman" w:hAnsi="Times New Roman" w:cs="Times New Roman"/>
        </w:rPr>
        <w:t xml:space="preserve">a soluble </w:t>
      </w:r>
      <w:r w:rsidR="00B502CC">
        <w:rPr>
          <w:rFonts w:ascii="Times New Roman" w:hAnsi="Times New Roman" w:cs="Times New Roman"/>
        </w:rPr>
        <w:t xml:space="preserve">calcium nitrate salt, meaning a </w:t>
      </w:r>
      <w:r w:rsidR="003D5839">
        <w:rPr>
          <w:rFonts w:ascii="Times New Roman" w:hAnsi="Times New Roman" w:cs="Times New Roman"/>
        </w:rPr>
        <w:t xml:space="preserve">quicker </w:t>
      </w:r>
      <w:r w:rsidR="00B502CC">
        <w:rPr>
          <w:rFonts w:ascii="Times New Roman" w:hAnsi="Times New Roman" w:cs="Times New Roman"/>
        </w:rPr>
        <w:t xml:space="preserve">degrading </w:t>
      </w:r>
      <w:r w:rsidR="003D5839">
        <w:rPr>
          <w:rFonts w:ascii="Times New Roman" w:hAnsi="Times New Roman" w:cs="Times New Roman"/>
        </w:rPr>
        <w:t xml:space="preserve">process. This </w:t>
      </w:r>
      <w:r w:rsidR="000F209C">
        <w:rPr>
          <w:rFonts w:ascii="Times New Roman" w:hAnsi="Times New Roman" w:cs="Times New Roman"/>
        </w:rPr>
        <w:t xml:space="preserve">also </w:t>
      </w:r>
      <w:r w:rsidR="003D5839">
        <w:rPr>
          <w:rFonts w:ascii="Times New Roman" w:hAnsi="Times New Roman" w:cs="Times New Roman"/>
        </w:rPr>
        <w:t>resulted in the formation of an insoluble calcium alumino-nitrate and a white deposit of calcite CaCO</w:t>
      </w:r>
      <w:r w:rsidR="003D5839">
        <w:rPr>
          <w:rFonts w:ascii="Times New Roman" w:hAnsi="Times New Roman" w:cs="Times New Roman"/>
          <w:vertAlign w:val="subscript"/>
        </w:rPr>
        <w:t>3</w:t>
      </w:r>
      <w:r w:rsidR="003D5839">
        <w:rPr>
          <w:rFonts w:ascii="Times New Roman" w:hAnsi="Times New Roman" w:cs="Times New Roman"/>
        </w:rPr>
        <w:t xml:space="preserve"> and vaterite (μ-CaCO</w:t>
      </w:r>
      <w:r w:rsidR="003D5839">
        <w:rPr>
          <w:rFonts w:ascii="Times New Roman" w:hAnsi="Times New Roman" w:cs="Times New Roman"/>
          <w:vertAlign w:val="subscript"/>
        </w:rPr>
        <w:t>3</w:t>
      </w:r>
      <w:r w:rsidR="003D5839">
        <w:rPr>
          <w:rFonts w:ascii="Times New Roman" w:hAnsi="Times New Roman" w:cs="Times New Roman"/>
        </w:rPr>
        <w:t>) on the surfaces of the cem</w:t>
      </w:r>
      <w:r w:rsidR="00921103">
        <w:rPr>
          <w:rFonts w:ascii="Times New Roman" w:hAnsi="Times New Roman" w:cs="Times New Roman"/>
        </w:rPr>
        <w:t>ent samples and the solution [70</w:t>
      </w:r>
      <w:r w:rsidR="003D5839">
        <w:rPr>
          <w:rFonts w:ascii="Times New Roman" w:hAnsi="Times New Roman" w:cs="Times New Roman"/>
        </w:rPr>
        <w:t xml:space="preserve">]. The formation of the calcite occurs </w:t>
      </w:r>
      <w:r w:rsidR="000C65F6">
        <w:rPr>
          <w:rFonts w:ascii="Times New Roman" w:hAnsi="Times New Roman" w:cs="Times New Roman"/>
        </w:rPr>
        <w:t>as a result of carbonation of the cement system, when atmospheric carbon dioxide reacts with the hydration products, the CO</w:t>
      </w:r>
      <w:r w:rsidR="000C65F6">
        <w:rPr>
          <w:rFonts w:ascii="Times New Roman" w:hAnsi="Times New Roman" w:cs="Times New Roman"/>
          <w:vertAlign w:val="subscript"/>
        </w:rPr>
        <w:t>2</w:t>
      </w:r>
      <w:r w:rsidR="000C65F6">
        <w:rPr>
          <w:rFonts w:ascii="Times New Roman" w:hAnsi="Times New Roman" w:cs="Times New Roman"/>
        </w:rPr>
        <w:t xml:space="preserve"> dissolves in the water to produce</w:t>
      </w:r>
      <w:r w:rsidR="00BD709C">
        <w:rPr>
          <w:rFonts w:ascii="Times New Roman" w:hAnsi="Times New Roman" w:cs="Times New Roman"/>
        </w:rPr>
        <w:t xml:space="preserve"> CO</w:t>
      </w:r>
      <w:r w:rsidR="00BD709C">
        <w:rPr>
          <w:rFonts w:ascii="Times New Roman" w:hAnsi="Times New Roman" w:cs="Times New Roman"/>
          <w:vertAlign w:val="subscript"/>
        </w:rPr>
        <w:t>3</w:t>
      </w:r>
      <w:r w:rsidR="00BD709C">
        <w:rPr>
          <w:rFonts w:ascii="Times New Roman" w:hAnsi="Times New Roman" w:cs="Times New Roman"/>
          <w:vertAlign w:val="superscript"/>
        </w:rPr>
        <w:t>2-</w:t>
      </w:r>
      <w:r w:rsidR="00BD709C">
        <w:rPr>
          <w:rFonts w:ascii="Times New Roman" w:hAnsi="Times New Roman" w:cs="Times New Roman"/>
        </w:rPr>
        <w:t>,</w:t>
      </w:r>
      <w:r w:rsidR="000C65F6">
        <w:rPr>
          <w:rFonts w:ascii="Times New Roman" w:hAnsi="Times New Roman" w:cs="Times New Roman"/>
        </w:rPr>
        <w:t xml:space="preserve"> </w:t>
      </w:r>
      <w:r w:rsidR="003D5839">
        <w:rPr>
          <w:rFonts w:ascii="Times New Roman" w:hAnsi="Times New Roman" w:cs="Times New Roman"/>
        </w:rPr>
        <w:t xml:space="preserve">when the Ca ions pass into the solution </w:t>
      </w:r>
      <w:r w:rsidR="008F3D40">
        <w:rPr>
          <w:rFonts w:ascii="Times New Roman" w:hAnsi="Times New Roman" w:cs="Times New Roman"/>
        </w:rPr>
        <w:t xml:space="preserve">they </w:t>
      </w:r>
      <w:r w:rsidR="003D5839">
        <w:rPr>
          <w:rFonts w:ascii="Times New Roman" w:hAnsi="Times New Roman" w:cs="Times New Roman"/>
        </w:rPr>
        <w:t>react with CO</w:t>
      </w:r>
      <w:r w:rsidR="003D5839">
        <w:rPr>
          <w:rFonts w:ascii="Times New Roman" w:hAnsi="Times New Roman" w:cs="Times New Roman"/>
          <w:vertAlign w:val="subscript"/>
        </w:rPr>
        <w:t>3</w:t>
      </w:r>
      <w:r w:rsidR="003D5839">
        <w:rPr>
          <w:rFonts w:ascii="Times New Roman" w:hAnsi="Times New Roman" w:cs="Times New Roman"/>
          <w:vertAlign w:val="superscript"/>
        </w:rPr>
        <w:t>2-</w:t>
      </w:r>
      <w:r w:rsidR="003D5839">
        <w:rPr>
          <w:rFonts w:ascii="Times New Roman" w:hAnsi="Times New Roman" w:cs="Times New Roman"/>
        </w:rPr>
        <w:t xml:space="preserve"> ions provided by the dissolved carbon dioxide (CO</w:t>
      </w:r>
      <w:r w:rsidR="003D5839">
        <w:rPr>
          <w:rFonts w:ascii="Times New Roman" w:hAnsi="Times New Roman" w:cs="Times New Roman"/>
          <w:vertAlign w:val="subscript"/>
        </w:rPr>
        <w:t>2</w:t>
      </w:r>
      <w:r w:rsidR="003D5839">
        <w:rPr>
          <w:rFonts w:ascii="Times New Roman" w:hAnsi="Times New Roman" w:cs="Times New Roman"/>
        </w:rPr>
        <w:t>) in the solution or with CO</w:t>
      </w:r>
      <w:r w:rsidR="003D5839">
        <w:rPr>
          <w:rFonts w:ascii="Times New Roman" w:hAnsi="Times New Roman" w:cs="Times New Roman"/>
          <w:vertAlign w:val="subscript"/>
        </w:rPr>
        <w:t>2</w:t>
      </w:r>
      <w:r w:rsidR="003D5839">
        <w:rPr>
          <w:rFonts w:ascii="Times New Roman" w:hAnsi="Times New Roman" w:cs="Times New Roman"/>
        </w:rPr>
        <w:t xml:space="preserve"> at the solution-air interface</w:t>
      </w:r>
      <w:r w:rsidR="00E36AC5">
        <w:rPr>
          <w:rFonts w:ascii="Times New Roman" w:hAnsi="Times New Roman" w:cs="Times New Roman"/>
        </w:rPr>
        <w:t xml:space="preserve"> to form CaCO</w:t>
      </w:r>
      <w:r w:rsidR="00E36AC5">
        <w:rPr>
          <w:rFonts w:ascii="Times New Roman" w:hAnsi="Times New Roman" w:cs="Times New Roman"/>
          <w:vertAlign w:val="subscript"/>
        </w:rPr>
        <w:t>3</w:t>
      </w:r>
      <w:r w:rsidR="003D5839">
        <w:rPr>
          <w:rFonts w:ascii="Times New Roman" w:hAnsi="Times New Roman" w:cs="Times New Roman"/>
        </w:rPr>
        <w:t>. The formation of calcium aluminonitrate needs to be avoid</w:t>
      </w:r>
      <w:r w:rsidR="00F518CD">
        <w:rPr>
          <w:rFonts w:ascii="Times New Roman" w:hAnsi="Times New Roman" w:cs="Times New Roman"/>
        </w:rPr>
        <w:t>ed</w:t>
      </w:r>
      <w:r w:rsidR="003D5839">
        <w:rPr>
          <w:rFonts w:ascii="Times New Roman" w:hAnsi="Times New Roman" w:cs="Times New Roman"/>
        </w:rPr>
        <w:t>, as these phases are believed to induce splitting and compromise the struct</w:t>
      </w:r>
      <w:r w:rsidR="00921103">
        <w:rPr>
          <w:rFonts w:ascii="Times New Roman" w:hAnsi="Times New Roman" w:cs="Times New Roman"/>
        </w:rPr>
        <w:t>ural integrity of the cement [71]. Torrenti et al [72</w:t>
      </w:r>
      <w:r w:rsidR="003D5839">
        <w:rPr>
          <w:rFonts w:ascii="Times New Roman" w:hAnsi="Times New Roman" w:cs="Times New Roman"/>
        </w:rPr>
        <w:t xml:space="preserve">] </w:t>
      </w:r>
      <w:r w:rsidR="00FC5756">
        <w:rPr>
          <w:rFonts w:ascii="Times New Roman" w:hAnsi="Times New Roman" w:cs="Times New Roman"/>
        </w:rPr>
        <w:t xml:space="preserve">also </w:t>
      </w:r>
      <w:r w:rsidR="003D5839">
        <w:rPr>
          <w:rFonts w:ascii="Times New Roman" w:hAnsi="Times New Roman" w:cs="Times New Roman"/>
        </w:rPr>
        <w:t xml:space="preserve">propose that </w:t>
      </w:r>
      <w:r w:rsidR="003D5839">
        <w:rPr>
          <w:rFonts w:ascii="Times New Roman" w:hAnsi="Times New Roman"/>
        </w:rPr>
        <w:t>NH</w:t>
      </w:r>
      <w:r w:rsidR="003D5839">
        <w:rPr>
          <w:rFonts w:ascii="Times New Roman" w:hAnsi="Times New Roman"/>
          <w:vertAlign w:val="subscript"/>
        </w:rPr>
        <w:t>4</w:t>
      </w:r>
      <w:r w:rsidR="003D5839">
        <w:rPr>
          <w:rFonts w:ascii="Times New Roman" w:hAnsi="Times New Roman"/>
        </w:rPr>
        <w:t>NO</w:t>
      </w:r>
      <w:r w:rsidR="003D5839">
        <w:rPr>
          <w:rFonts w:ascii="Times New Roman" w:hAnsi="Times New Roman"/>
          <w:vertAlign w:val="subscript"/>
        </w:rPr>
        <w:t>3</w:t>
      </w:r>
      <w:r w:rsidR="003D5839">
        <w:rPr>
          <w:rFonts w:ascii="Times New Roman" w:hAnsi="Times New Roman"/>
        </w:rPr>
        <w:t xml:space="preserve"> </w:t>
      </w:r>
      <w:r w:rsidR="003D5839">
        <w:rPr>
          <w:rFonts w:ascii="Times New Roman" w:hAnsi="Times New Roman" w:cs="Times New Roman"/>
        </w:rPr>
        <w:t xml:space="preserve">dissociates </w:t>
      </w:r>
      <w:r w:rsidR="00FC5756">
        <w:rPr>
          <w:rFonts w:ascii="Times New Roman" w:hAnsi="Times New Roman" w:cs="Times New Roman"/>
        </w:rPr>
        <w:t xml:space="preserve">when added to a </w:t>
      </w:r>
      <w:r w:rsidR="003D5839">
        <w:rPr>
          <w:rFonts w:ascii="Times New Roman" w:hAnsi="Times New Roman" w:cs="Times New Roman"/>
        </w:rPr>
        <w:t>basic e</w:t>
      </w:r>
      <w:r w:rsidR="00F518CD">
        <w:rPr>
          <w:rFonts w:ascii="Times New Roman" w:hAnsi="Times New Roman" w:cs="Times New Roman"/>
        </w:rPr>
        <w:t xml:space="preserve">nvironment into ammonium gas, leaving the nitric acid in </w:t>
      </w:r>
      <w:r w:rsidR="006D108B">
        <w:rPr>
          <w:rFonts w:ascii="Times New Roman" w:hAnsi="Times New Roman" w:cs="Times New Roman"/>
        </w:rPr>
        <w:t>solution</w:t>
      </w:r>
      <w:r w:rsidR="003D5839">
        <w:rPr>
          <w:rFonts w:ascii="Times New Roman" w:hAnsi="Times New Roman" w:cs="Times New Roman"/>
        </w:rPr>
        <w:t xml:space="preserve"> this leads to the dissolution of portlandite</w:t>
      </w:r>
      <w:r w:rsidR="00FC5756">
        <w:rPr>
          <w:rFonts w:ascii="Times New Roman" w:hAnsi="Times New Roman" w:cs="Times New Roman"/>
        </w:rPr>
        <w:t xml:space="preserve">. </w:t>
      </w:r>
      <w:r w:rsidR="003D5839">
        <w:rPr>
          <w:rFonts w:ascii="Times New Roman" w:hAnsi="Times New Roman" w:cs="Times New Roman"/>
        </w:rPr>
        <w:t xml:space="preserve">The </w:t>
      </w:r>
      <w:r w:rsidR="003D5839" w:rsidRPr="00EB4008">
        <w:rPr>
          <w:rFonts w:ascii="Times New Roman" w:hAnsi="Times New Roman" w:cs="Times New Roman"/>
        </w:rPr>
        <w:t>Ca</w:t>
      </w:r>
      <w:r w:rsidR="003D5839">
        <w:rPr>
          <w:rFonts w:ascii="Times New Roman" w:hAnsi="Times New Roman" w:cs="Times New Roman"/>
          <w:vertAlign w:val="superscript"/>
        </w:rPr>
        <w:t>2+</w:t>
      </w:r>
      <w:r w:rsidR="003D5839">
        <w:rPr>
          <w:rFonts w:ascii="Times New Roman" w:hAnsi="Times New Roman" w:cs="Times New Roman"/>
        </w:rPr>
        <w:t xml:space="preserve"> associated with portlandite is attracted to NO</w:t>
      </w:r>
      <w:r w:rsidR="003D5839">
        <w:rPr>
          <w:rFonts w:ascii="Times New Roman" w:hAnsi="Times New Roman" w:cs="Times New Roman"/>
          <w:vertAlign w:val="subscript"/>
        </w:rPr>
        <w:t>3</w:t>
      </w:r>
      <w:r w:rsidR="003D5839">
        <w:rPr>
          <w:rFonts w:ascii="Times New Roman" w:hAnsi="Times New Roman" w:cs="Times New Roman"/>
          <w:vertAlign w:val="superscript"/>
        </w:rPr>
        <w:t>-</w:t>
      </w:r>
      <w:r w:rsidR="003D5839">
        <w:rPr>
          <w:rFonts w:ascii="Times New Roman" w:hAnsi="Times New Roman" w:cs="Times New Roman"/>
        </w:rPr>
        <w:t xml:space="preserve"> ions forming a highly soluble </w:t>
      </w:r>
      <w:proofErr w:type="gramStart"/>
      <w:r w:rsidR="003D5839">
        <w:rPr>
          <w:rFonts w:ascii="Times New Roman" w:hAnsi="Times New Roman" w:cs="Times New Roman"/>
        </w:rPr>
        <w:t>Ca(</w:t>
      </w:r>
      <w:proofErr w:type="gramEnd"/>
      <w:r w:rsidR="003D5839">
        <w:rPr>
          <w:rFonts w:ascii="Times New Roman" w:hAnsi="Times New Roman" w:cs="Times New Roman"/>
        </w:rPr>
        <w:t>NO</w:t>
      </w:r>
      <w:r w:rsidR="003D5839">
        <w:rPr>
          <w:rFonts w:ascii="Times New Roman" w:hAnsi="Times New Roman" w:cs="Times New Roman"/>
          <w:vertAlign w:val="subscript"/>
        </w:rPr>
        <w:t>3</w:t>
      </w:r>
      <w:r w:rsidR="003D5839">
        <w:rPr>
          <w:rFonts w:ascii="Times New Roman" w:hAnsi="Times New Roman" w:cs="Times New Roman"/>
        </w:rPr>
        <w:t>)</w:t>
      </w:r>
      <w:r w:rsidR="003D5839">
        <w:rPr>
          <w:rFonts w:ascii="Times New Roman" w:hAnsi="Times New Roman" w:cs="Times New Roman"/>
          <w:vertAlign w:val="subscript"/>
        </w:rPr>
        <w:t>2</w:t>
      </w:r>
      <w:r w:rsidR="003D5839">
        <w:rPr>
          <w:rFonts w:ascii="Times New Roman" w:hAnsi="Times New Roman" w:cs="Times New Roman"/>
        </w:rPr>
        <w:t xml:space="preserve">,  which increases the rate of decalcification of the portlandite. The amount of </w:t>
      </w:r>
      <w:r w:rsidR="003D5839">
        <w:rPr>
          <w:rFonts w:ascii="Times New Roman" w:hAnsi="Times New Roman"/>
        </w:rPr>
        <w:t>NH</w:t>
      </w:r>
      <w:r w:rsidR="003D5839">
        <w:rPr>
          <w:rFonts w:ascii="Times New Roman" w:hAnsi="Times New Roman"/>
          <w:vertAlign w:val="subscript"/>
        </w:rPr>
        <w:t>4</w:t>
      </w:r>
      <w:r w:rsidR="003D5839">
        <w:rPr>
          <w:rFonts w:ascii="Times New Roman" w:hAnsi="Times New Roman"/>
        </w:rPr>
        <w:t>NO</w:t>
      </w:r>
      <w:r w:rsidR="003D5839">
        <w:rPr>
          <w:rFonts w:ascii="Times New Roman" w:hAnsi="Times New Roman"/>
          <w:vertAlign w:val="subscript"/>
        </w:rPr>
        <w:t xml:space="preserve">3 </w:t>
      </w:r>
      <w:r w:rsidR="003D5839">
        <w:rPr>
          <w:rFonts w:ascii="Times New Roman" w:hAnsi="Times New Roman"/>
        </w:rPr>
        <w:t>introduced into the system</w:t>
      </w:r>
      <w:r w:rsidR="00F65577">
        <w:rPr>
          <w:rFonts w:ascii="Times New Roman" w:hAnsi="Times New Roman"/>
        </w:rPr>
        <w:t xml:space="preserve"> impacts </w:t>
      </w:r>
      <w:r w:rsidR="003D5839">
        <w:rPr>
          <w:rFonts w:ascii="Times New Roman" w:hAnsi="Times New Roman"/>
        </w:rPr>
        <w:t>the amount of free OH</w:t>
      </w:r>
      <w:r w:rsidR="003D5839">
        <w:rPr>
          <w:rFonts w:ascii="Times New Roman" w:hAnsi="Times New Roman"/>
          <w:vertAlign w:val="superscript"/>
        </w:rPr>
        <w:t>-</w:t>
      </w:r>
      <w:r w:rsidR="00F65577">
        <w:rPr>
          <w:rFonts w:ascii="Times New Roman" w:hAnsi="Times New Roman"/>
        </w:rPr>
        <w:t xml:space="preserve"> in the </w:t>
      </w:r>
      <w:r w:rsidR="003D5839">
        <w:rPr>
          <w:rFonts w:ascii="Times New Roman" w:hAnsi="Times New Roman"/>
        </w:rPr>
        <w:t>system [73]</w:t>
      </w:r>
      <w:r w:rsidR="003D5839">
        <w:rPr>
          <w:rFonts w:ascii="Times New Roman" w:hAnsi="Times New Roman" w:cs="Times New Roman"/>
        </w:rPr>
        <w:t>. NH</w:t>
      </w:r>
      <w:r w:rsidR="003D5839">
        <w:rPr>
          <w:rFonts w:ascii="Times New Roman" w:hAnsi="Times New Roman" w:cs="Times New Roman"/>
          <w:vertAlign w:val="subscript"/>
        </w:rPr>
        <w:t>3</w:t>
      </w:r>
      <w:r w:rsidR="003D5839">
        <w:rPr>
          <w:rFonts w:ascii="Times New Roman" w:hAnsi="Times New Roman" w:cs="Times New Roman"/>
        </w:rPr>
        <w:t xml:space="preserve"> is also formed in an aqueous form in the solution; some of w</w:t>
      </w:r>
      <w:r w:rsidR="00F65577">
        <w:rPr>
          <w:rFonts w:ascii="Times New Roman" w:hAnsi="Times New Roman" w:cs="Times New Roman"/>
        </w:rPr>
        <w:t>hich turns into a gas</w:t>
      </w:r>
      <w:r w:rsidR="003D5839">
        <w:rPr>
          <w:rFonts w:ascii="Times New Roman" w:hAnsi="Times New Roman" w:cs="Times New Roman"/>
        </w:rPr>
        <w:t xml:space="preserve">. This was also found to cause swelling in the cement [72].   </w:t>
      </w:r>
      <w:proofErr w:type="gramStart"/>
      <w:r w:rsidR="003D5839">
        <w:rPr>
          <w:rFonts w:ascii="Times New Roman" w:hAnsi="Times New Roman" w:cs="Times New Roman"/>
        </w:rPr>
        <w:t xml:space="preserve">Acidic leaching of cements using </w:t>
      </w:r>
      <w:r w:rsidR="003D5839">
        <w:rPr>
          <w:rFonts w:ascii="Times New Roman" w:hAnsi="Times New Roman"/>
        </w:rPr>
        <w:t>NH</w:t>
      </w:r>
      <w:r w:rsidR="003D5839">
        <w:rPr>
          <w:rFonts w:ascii="Times New Roman" w:hAnsi="Times New Roman"/>
          <w:vertAlign w:val="subscript"/>
        </w:rPr>
        <w:t>4</w:t>
      </w:r>
      <w:r w:rsidR="003D5839">
        <w:rPr>
          <w:rFonts w:ascii="Times New Roman" w:hAnsi="Times New Roman"/>
        </w:rPr>
        <w:t>NO</w:t>
      </w:r>
      <w:r w:rsidR="003D5839">
        <w:rPr>
          <w:rFonts w:ascii="Times New Roman" w:hAnsi="Times New Roman"/>
          <w:vertAlign w:val="subscript"/>
        </w:rPr>
        <w:t xml:space="preserve">3 </w:t>
      </w:r>
      <w:r w:rsidR="003D5839">
        <w:rPr>
          <w:rFonts w:ascii="Times New Roman" w:hAnsi="Times New Roman"/>
        </w:rPr>
        <w:t>was also</w:t>
      </w:r>
      <w:r w:rsidR="003D5839">
        <w:rPr>
          <w:rFonts w:ascii="Times New Roman" w:hAnsi="Times New Roman" w:cs="Times New Roman"/>
        </w:rPr>
        <w:t xml:space="preserve"> in</w:t>
      </w:r>
      <w:r w:rsidR="00921103">
        <w:rPr>
          <w:rFonts w:ascii="Times New Roman" w:hAnsi="Times New Roman" w:cs="Times New Roman"/>
        </w:rPr>
        <w:t>vestigated by Agostini et al</w:t>
      </w:r>
      <w:proofErr w:type="gramEnd"/>
      <w:r w:rsidR="00921103">
        <w:rPr>
          <w:rFonts w:ascii="Times New Roman" w:hAnsi="Times New Roman" w:cs="Times New Roman"/>
        </w:rPr>
        <w:t xml:space="preserve"> [73</w:t>
      </w:r>
      <w:r w:rsidR="003D5839">
        <w:rPr>
          <w:rFonts w:ascii="Times New Roman" w:hAnsi="Times New Roman" w:cs="Times New Roman"/>
        </w:rPr>
        <w:t xml:space="preserve">]. Using hollow cylindrical cement mortars filled with the solution, they found that the </w:t>
      </w:r>
      <w:proofErr w:type="gramStart"/>
      <w:r w:rsidR="003D5839">
        <w:rPr>
          <w:rFonts w:ascii="Times New Roman" w:hAnsi="Times New Roman" w:cs="Times New Roman"/>
        </w:rPr>
        <w:t>Ca(</w:t>
      </w:r>
      <w:proofErr w:type="gramEnd"/>
      <w:r w:rsidR="003D5839">
        <w:rPr>
          <w:rFonts w:ascii="Times New Roman" w:hAnsi="Times New Roman" w:cs="Times New Roman"/>
        </w:rPr>
        <w:t>OH)</w:t>
      </w:r>
      <w:r w:rsidR="003D5839">
        <w:rPr>
          <w:rFonts w:ascii="Times New Roman" w:hAnsi="Times New Roman" w:cs="Times New Roman"/>
          <w:vertAlign w:val="subscript"/>
        </w:rPr>
        <w:t>2</w:t>
      </w:r>
      <w:r w:rsidR="003D5839">
        <w:rPr>
          <w:rFonts w:ascii="Times New Roman" w:hAnsi="Times New Roman" w:cs="Times New Roman"/>
        </w:rPr>
        <w:t xml:space="preserve"> portlandite phase had completely dissolved within the first 4-8 days, which according to them was 300 times the rate of natural leaching. The acceleration factor seems to differ between various </w:t>
      </w:r>
      <w:proofErr w:type="gramStart"/>
      <w:r w:rsidR="003D5839">
        <w:rPr>
          <w:rFonts w:ascii="Times New Roman" w:hAnsi="Times New Roman" w:cs="Times New Roman"/>
        </w:rPr>
        <w:t>studies</w:t>
      </w:r>
      <w:r w:rsidR="00F530C5">
        <w:rPr>
          <w:rFonts w:ascii="Times New Roman" w:hAnsi="Times New Roman" w:cs="Times New Roman"/>
        </w:rPr>
        <w:t>,</w:t>
      </w:r>
      <w:proofErr w:type="gramEnd"/>
      <w:r w:rsidR="00921103">
        <w:rPr>
          <w:rFonts w:ascii="Times New Roman" w:hAnsi="Times New Roman" w:cs="Times New Roman"/>
        </w:rPr>
        <w:t xml:space="preserve"> Wan et al [74</w:t>
      </w:r>
      <w:r w:rsidR="003D5839">
        <w:rPr>
          <w:rFonts w:ascii="Times New Roman" w:hAnsi="Times New Roman" w:cs="Times New Roman"/>
        </w:rPr>
        <w:t>] found that leaching of Ca</w:t>
      </w:r>
      <w:r w:rsidR="003D5839">
        <w:rPr>
          <w:rFonts w:ascii="Times New Roman" w:hAnsi="Times New Roman" w:cs="Times New Roman"/>
          <w:vertAlign w:val="superscript"/>
        </w:rPr>
        <w:t>2+</w:t>
      </w:r>
      <w:r w:rsidR="003D5839">
        <w:rPr>
          <w:rFonts w:ascii="Times New Roman" w:hAnsi="Times New Roman" w:cs="Times New Roman"/>
        </w:rPr>
        <w:t xml:space="preserve"> ions had increased by a fa</w:t>
      </w:r>
      <w:r w:rsidR="00921103">
        <w:rPr>
          <w:rFonts w:ascii="Times New Roman" w:hAnsi="Times New Roman" w:cs="Times New Roman"/>
        </w:rPr>
        <w:t>ctor of 130, whereas Loukili [71</w:t>
      </w:r>
      <w:r w:rsidR="003D5839">
        <w:rPr>
          <w:rFonts w:ascii="Times New Roman" w:hAnsi="Times New Roman" w:cs="Times New Roman"/>
        </w:rPr>
        <w:t>] reported only a factor increase of 10</w:t>
      </w:r>
      <w:r w:rsidR="002F1B82">
        <w:rPr>
          <w:rFonts w:ascii="Times New Roman" w:hAnsi="Times New Roman" w:cs="Times New Roman"/>
        </w:rPr>
        <w:t>. However this difference could be due to the fact that the original samples in the experiments varied in Ca concentration</w:t>
      </w:r>
      <w:r w:rsidR="003D5839">
        <w:rPr>
          <w:rFonts w:ascii="Times New Roman" w:hAnsi="Times New Roman" w:cs="Times New Roman"/>
        </w:rPr>
        <w:t xml:space="preserve">. </w:t>
      </w:r>
    </w:p>
    <w:p w14:paraId="50E5F8F4" w14:textId="686CDFB5" w:rsidR="003D5839" w:rsidRDefault="003D5839" w:rsidP="003D5839">
      <w:pPr>
        <w:spacing w:after="120" w:line="360" w:lineRule="auto"/>
        <w:jc w:val="both"/>
        <w:rPr>
          <w:rFonts w:ascii="Times New Roman" w:hAnsi="Times New Roman" w:cs="Times New Roman"/>
        </w:rPr>
      </w:pPr>
      <w:r>
        <w:rPr>
          <w:rFonts w:ascii="Times New Roman" w:hAnsi="Times New Roman" w:cs="Times New Roman"/>
        </w:rPr>
        <w:lastRenderedPageBreak/>
        <w:t>Recent studies</w:t>
      </w:r>
      <w:r w:rsidR="00F530C5">
        <w:rPr>
          <w:rFonts w:ascii="Times New Roman" w:hAnsi="Times New Roman" w:cs="Times New Roman"/>
        </w:rPr>
        <w:t xml:space="preserve"> experimenting with accelerated leaching</w:t>
      </w:r>
      <w:r>
        <w:rPr>
          <w:rFonts w:ascii="Times New Roman" w:hAnsi="Times New Roman" w:cs="Times New Roman"/>
        </w:rPr>
        <w:t xml:space="preserve"> by Yang et al used the slightly less aggressive ammonium chloride</w:t>
      </w:r>
      <w:r w:rsidR="00F530C5">
        <w:rPr>
          <w:rFonts w:ascii="Times New Roman" w:hAnsi="Times New Roman" w:cs="Times New Roman"/>
        </w:rPr>
        <w:t xml:space="preserve"> (in comparison to ammonium nitrate)</w:t>
      </w:r>
      <w:r>
        <w:rPr>
          <w:rFonts w:ascii="Times New Roman" w:hAnsi="Times New Roman" w:cs="Times New Roman"/>
        </w:rPr>
        <w:t xml:space="preserve"> </w:t>
      </w:r>
      <w:r w:rsidR="00F530C5">
        <w:rPr>
          <w:rFonts w:ascii="Times New Roman" w:hAnsi="Times New Roman" w:cs="Times New Roman"/>
        </w:rPr>
        <w:t>as the leachate</w:t>
      </w:r>
      <w:r>
        <w:rPr>
          <w:rFonts w:ascii="Times New Roman" w:hAnsi="Times New Roman" w:cs="Times New Roman"/>
        </w:rPr>
        <w:t>. This also show</w:t>
      </w:r>
      <w:r w:rsidR="009B4950">
        <w:rPr>
          <w:rFonts w:ascii="Times New Roman" w:hAnsi="Times New Roman" w:cs="Times New Roman"/>
        </w:rPr>
        <w:t>ed</w:t>
      </w:r>
      <w:r>
        <w:rPr>
          <w:rFonts w:ascii="Times New Roman" w:hAnsi="Times New Roman" w:cs="Times New Roman"/>
        </w:rPr>
        <w:t xml:space="preserve"> a significant increase in the leach</w:t>
      </w:r>
      <w:r w:rsidR="00921103">
        <w:rPr>
          <w:rFonts w:ascii="Times New Roman" w:hAnsi="Times New Roman" w:cs="Times New Roman"/>
        </w:rPr>
        <w:t>ing rate of the calcium ions [75</w:t>
      </w:r>
      <w:r>
        <w:rPr>
          <w:rFonts w:ascii="Times New Roman" w:hAnsi="Times New Roman" w:cs="Times New Roman"/>
        </w:rPr>
        <w:t xml:space="preserve">]. </w:t>
      </w:r>
    </w:p>
    <w:p w14:paraId="2611DEE2" w14:textId="77777777" w:rsidR="003D5839" w:rsidRDefault="003D5839" w:rsidP="003D5839">
      <w:pPr>
        <w:spacing w:after="120" w:line="360" w:lineRule="auto"/>
        <w:jc w:val="both"/>
        <w:rPr>
          <w:rFonts w:ascii="Times New Roman" w:hAnsi="Times New Roman" w:cs="Times New Roman"/>
        </w:rPr>
      </w:pPr>
    </w:p>
    <w:p w14:paraId="06E46AD9" w14:textId="77777777" w:rsidR="002F1B82" w:rsidRDefault="002F1B82" w:rsidP="003D5839">
      <w:pPr>
        <w:spacing w:after="120" w:line="360" w:lineRule="auto"/>
        <w:jc w:val="both"/>
        <w:rPr>
          <w:rFonts w:ascii="Times New Roman" w:hAnsi="Times New Roman" w:cs="Times New Roman"/>
        </w:rPr>
      </w:pPr>
    </w:p>
    <w:p w14:paraId="16A05447" w14:textId="616583AF" w:rsidR="003D5839" w:rsidRPr="00B71383" w:rsidRDefault="00D54899" w:rsidP="003D5839">
      <w:pPr>
        <w:spacing w:after="120" w:line="360" w:lineRule="auto"/>
        <w:jc w:val="both"/>
        <w:rPr>
          <w:rFonts w:ascii="Times New Roman" w:hAnsi="Times New Roman" w:cs="Times New Roman"/>
        </w:rPr>
      </w:pPr>
      <w:proofErr w:type="gramStart"/>
      <w:r>
        <w:rPr>
          <w:rFonts w:ascii="Times New Roman" w:hAnsi="Times New Roman" w:cs="Times New Roman"/>
        </w:rPr>
        <w:t>ii</w:t>
      </w:r>
      <w:proofErr w:type="gramEnd"/>
      <w:r w:rsidR="003D5839" w:rsidRPr="00AA7861">
        <w:rPr>
          <w:rFonts w:ascii="Times New Roman" w:hAnsi="Times New Roman" w:cs="Times New Roman"/>
          <w:b/>
        </w:rPr>
        <w:tab/>
      </w:r>
      <w:r w:rsidR="003D5839">
        <w:rPr>
          <w:rFonts w:ascii="Times New Roman" w:hAnsi="Times New Roman" w:cs="Times New Roman"/>
          <w:b/>
          <w:i/>
        </w:rPr>
        <w:t xml:space="preserve">Electrical </w:t>
      </w:r>
      <w:r w:rsidR="003D5839" w:rsidRPr="00AA7861">
        <w:rPr>
          <w:rFonts w:ascii="Times New Roman" w:hAnsi="Times New Roman" w:cs="Times New Roman"/>
          <w:b/>
          <w:i/>
        </w:rPr>
        <w:t>Leaching</w:t>
      </w:r>
    </w:p>
    <w:p w14:paraId="1FCDE8E8" w14:textId="46C45B35" w:rsidR="003D5839" w:rsidRDefault="003D5839" w:rsidP="003D5839">
      <w:pPr>
        <w:spacing w:after="120" w:line="360" w:lineRule="auto"/>
        <w:jc w:val="both"/>
        <w:rPr>
          <w:rFonts w:ascii="Times New Roman" w:hAnsi="Times New Roman" w:cs="Times New Roman"/>
        </w:rPr>
      </w:pPr>
      <w:r>
        <w:rPr>
          <w:rFonts w:ascii="Times New Roman" w:hAnsi="Times New Roman" w:cs="Times New Roman"/>
        </w:rPr>
        <w:t>The dissolution of cement hydrates corresponds to the movement of specific ions from the cement into the water; therefore one of the factors that govern the rate of dissolution is</w:t>
      </w:r>
      <w:r w:rsidR="00921103">
        <w:rPr>
          <w:rFonts w:ascii="Times New Roman" w:hAnsi="Times New Roman" w:cs="Times New Roman"/>
        </w:rPr>
        <w:t xml:space="preserve"> the speed of ionic movement [76</w:t>
      </w:r>
      <w:r>
        <w:rPr>
          <w:rFonts w:ascii="Times New Roman" w:hAnsi="Times New Roman" w:cs="Times New Roman"/>
        </w:rPr>
        <w:t xml:space="preserve">]. If a potential gradient were to be introduced, the movement of ions would increase and therefore the dissolution speed should also increase. This is based on the electrolysis principle of ions moving towards the oppositely charged </w:t>
      </w:r>
      <w:r w:rsidR="006D108B">
        <w:rPr>
          <w:rFonts w:ascii="Times New Roman" w:hAnsi="Times New Roman" w:cs="Times New Roman"/>
        </w:rPr>
        <w:t>electrode, which</w:t>
      </w:r>
      <w:r>
        <w:rPr>
          <w:rFonts w:ascii="Times New Roman" w:hAnsi="Times New Roman" w:cs="Times New Roman"/>
        </w:rPr>
        <w:t xml:space="preserve"> is commonly used in industry to study the chloride diffusion in cements [</w:t>
      </w:r>
      <w:r w:rsidR="00921103">
        <w:rPr>
          <w:rFonts w:ascii="Times New Roman" w:hAnsi="Times New Roman" w:cs="Times New Roman"/>
        </w:rPr>
        <w:t>77,78, 79,80</w:t>
      </w:r>
      <w:r>
        <w:rPr>
          <w:rFonts w:ascii="Times New Roman" w:hAnsi="Times New Roman" w:cs="Times New Roman"/>
        </w:rPr>
        <w:t>].</w:t>
      </w:r>
    </w:p>
    <w:p w14:paraId="396CE034" w14:textId="75EBCB08" w:rsidR="003D5839" w:rsidRPr="004521CB" w:rsidRDefault="003D5839" w:rsidP="003D5839">
      <w:pPr>
        <w:spacing w:after="120" w:line="360" w:lineRule="auto"/>
        <w:jc w:val="both"/>
        <w:rPr>
          <w:rFonts w:ascii="Times New Roman" w:hAnsi="Times New Roman" w:cs="Times New Roman"/>
        </w:rPr>
      </w:pPr>
      <w:proofErr w:type="gramStart"/>
      <w:r>
        <w:rPr>
          <w:rFonts w:ascii="Times New Roman" w:hAnsi="Times New Roman" w:cs="Times New Roman"/>
        </w:rPr>
        <w:t>The electrical leaching method w</w:t>
      </w:r>
      <w:r w:rsidR="00B52832">
        <w:rPr>
          <w:rFonts w:ascii="Times New Roman" w:hAnsi="Times New Roman" w:cs="Times New Roman"/>
        </w:rPr>
        <w:t>as tested by Saito and Sunao [76</w:t>
      </w:r>
      <w:r>
        <w:rPr>
          <w:rFonts w:ascii="Times New Roman" w:hAnsi="Times New Roman" w:cs="Times New Roman"/>
        </w:rPr>
        <w:t xml:space="preserve">] to study calcium leaching in </w:t>
      </w:r>
      <w:r w:rsidR="00E85025">
        <w:rPr>
          <w:rFonts w:ascii="Times New Roman" w:hAnsi="Times New Roman" w:cs="Times New Roman"/>
        </w:rPr>
        <w:t>PC</w:t>
      </w:r>
      <w:r>
        <w:rPr>
          <w:rFonts w:ascii="Times New Roman" w:hAnsi="Times New Roman" w:cs="Times New Roman"/>
        </w:rPr>
        <w:t xml:space="preserve"> in an attempt to predict the impact of leaching</w:t>
      </w:r>
      <w:proofErr w:type="gramEnd"/>
      <w:r>
        <w:rPr>
          <w:rFonts w:ascii="Times New Roman" w:hAnsi="Times New Roman" w:cs="Times New Roman"/>
        </w:rPr>
        <w:t>. They suspended a cement sample with two surfaces exposed to deionised water as shown in Figure 2.1</w:t>
      </w:r>
      <w:r w:rsidR="007E5925">
        <w:rPr>
          <w:rFonts w:ascii="Times New Roman" w:hAnsi="Times New Roman" w:cs="Times New Roman"/>
        </w:rPr>
        <w:t>1</w:t>
      </w:r>
      <w:r>
        <w:rPr>
          <w:rFonts w:ascii="Times New Roman" w:hAnsi="Times New Roman" w:cs="Times New Roman"/>
        </w:rPr>
        <w:t>. They then compared their results with a cement sample leached in water with no ele</w:t>
      </w:r>
      <w:r w:rsidR="009B4950">
        <w:rPr>
          <w:rFonts w:ascii="Times New Roman" w:hAnsi="Times New Roman" w:cs="Times New Roman"/>
        </w:rPr>
        <w:t>ctrical current applied. In their experiment</w:t>
      </w:r>
      <w:r>
        <w:rPr>
          <w:rFonts w:ascii="Times New Roman" w:hAnsi="Times New Roman" w:cs="Times New Roman"/>
        </w:rPr>
        <w:t xml:space="preserve"> only one surface of the cement was exposed to continuously flowing water.</w:t>
      </w:r>
      <w:r w:rsidR="004521CB">
        <w:rPr>
          <w:rFonts w:ascii="Times New Roman" w:hAnsi="Times New Roman" w:cs="Times New Roman"/>
        </w:rPr>
        <w:t xml:space="preserve"> As the dissolution of cement hydrates is strongly impacted by temperature, they attempted to control temperature as much as possible. The experiment was under</w:t>
      </w:r>
      <w:r w:rsidR="00D51D90">
        <w:rPr>
          <w:rFonts w:ascii="Times New Roman" w:hAnsi="Times New Roman" w:cs="Times New Roman"/>
        </w:rPr>
        <w:t>taken</w:t>
      </w:r>
      <w:r w:rsidR="004521CB">
        <w:rPr>
          <w:rFonts w:ascii="Times New Roman" w:hAnsi="Times New Roman" w:cs="Times New Roman"/>
        </w:rPr>
        <w:t xml:space="preserve"> in an air-conditioned room at 25</w:t>
      </w:r>
      <w:r w:rsidR="004521CB">
        <w:rPr>
          <w:rFonts w:ascii="Times New Roman" w:hAnsi="Times New Roman" w:cs="Times New Roman"/>
          <w:vertAlign w:val="superscript"/>
        </w:rPr>
        <w:t>o</w:t>
      </w:r>
      <w:r w:rsidR="004521CB">
        <w:rPr>
          <w:rFonts w:ascii="Times New Roman" w:hAnsi="Times New Roman" w:cs="Times New Roman"/>
        </w:rPr>
        <w:t xml:space="preserve">C. The temperature of </w:t>
      </w:r>
      <w:r w:rsidR="00D51D90">
        <w:rPr>
          <w:rFonts w:ascii="Times New Roman" w:hAnsi="Times New Roman" w:cs="Times New Roman"/>
        </w:rPr>
        <w:t>t</w:t>
      </w:r>
      <w:r w:rsidR="004521CB">
        <w:rPr>
          <w:rFonts w:ascii="Times New Roman" w:hAnsi="Times New Roman" w:cs="Times New Roman"/>
        </w:rPr>
        <w:t xml:space="preserve">he solution on the cathode side </w:t>
      </w:r>
      <w:r w:rsidR="00D51D90">
        <w:rPr>
          <w:rFonts w:ascii="Times New Roman" w:hAnsi="Times New Roman" w:cs="Times New Roman"/>
        </w:rPr>
        <w:t>occasionally</w:t>
      </w:r>
      <w:r w:rsidR="004521CB">
        <w:rPr>
          <w:rFonts w:ascii="Times New Roman" w:hAnsi="Times New Roman" w:cs="Times New Roman"/>
        </w:rPr>
        <w:t xml:space="preserve"> changed by around 2</w:t>
      </w:r>
      <w:r w:rsidR="004521CB">
        <w:rPr>
          <w:rFonts w:ascii="Times New Roman" w:hAnsi="Times New Roman" w:cs="Times New Roman"/>
          <w:vertAlign w:val="superscript"/>
        </w:rPr>
        <w:t>o</w:t>
      </w:r>
      <w:r w:rsidR="004521CB">
        <w:rPr>
          <w:rFonts w:ascii="Times New Roman" w:hAnsi="Times New Roman" w:cs="Times New Roman"/>
        </w:rPr>
        <w:t xml:space="preserve">C however predominantly the temperature was </w:t>
      </w:r>
      <w:r w:rsidR="00D51D90">
        <w:rPr>
          <w:rFonts w:ascii="Times New Roman" w:hAnsi="Times New Roman" w:cs="Times New Roman"/>
        </w:rPr>
        <w:t>maintained</w:t>
      </w:r>
      <w:r w:rsidR="004521CB">
        <w:rPr>
          <w:rFonts w:ascii="Times New Roman" w:hAnsi="Times New Roman" w:cs="Times New Roman"/>
        </w:rPr>
        <w:t xml:space="preserve"> at 25</w:t>
      </w:r>
      <w:r w:rsidR="004521CB">
        <w:rPr>
          <w:rFonts w:ascii="Times New Roman" w:hAnsi="Times New Roman" w:cs="Times New Roman"/>
          <w:vertAlign w:val="superscript"/>
        </w:rPr>
        <w:t>o</w:t>
      </w:r>
      <w:r w:rsidR="004521CB">
        <w:rPr>
          <w:rFonts w:ascii="Times New Roman" w:hAnsi="Times New Roman" w:cs="Times New Roman"/>
        </w:rPr>
        <w:t xml:space="preserve">C. </w:t>
      </w:r>
    </w:p>
    <w:p w14:paraId="16A070DB" w14:textId="310B2542" w:rsidR="003D5839" w:rsidRDefault="003D5839" w:rsidP="003D5839">
      <w:pPr>
        <w:spacing w:after="120" w:line="360" w:lineRule="auto"/>
        <w:jc w:val="both"/>
        <w:rPr>
          <w:rFonts w:ascii="Times New Roman" w:hAnsi="Times New Roman" w:cs="Times New Roman"/>
        </w:rPr>
      </w:pPr>
      <w:r w:rsidRPr="001B26FE">
        <w:rPr>
          <w:rFonts w:ascii="Times New Roman" w:hAnsi="Times New Roman" w:cs="Times New Roman"/>
        </w:rPr>
        <w:t>Their result</w:t>
      </w:r>
      <w:r>
        <w:rPr>
          <w:rFonts w:ascii="Times New Roman" w:hAnsi="Times New Roman" w:cs="Times New Roman"/>
        </w:rPr>
        <w:t>s showed that the amount of Ca</w:t>
      </w:r>
      <w:r>
        <w:rPr>
          <w:rFonts w:ascii="Times New Roman" w:hAnsi="Times New Roman" w:cs="Times New Roman"/>
          <w:vertAlign w:val="superscript"/>
        </w:rPr>
        <w:t>2+</w:t>
      </w:r>
      <w:r w:rsidRPr="001B26FE">
        <w:rPr>
          <w:rFonts w:ascii="Times New Roman" w:hAnsi="Times New Roman" w:cs="Times New Roman"/>
        </w:rPr>
        <w:t xml:space="preserve"> accumulated in the deionised water after leaching under an electrical potential was double to quadruple</w:t>
      </w:r>
      <w:r>
        <w:rPr>
          <w:rFonts w:ascii="Times New Roman" w:hAnsi="Times New Roman" w:cs="Times New Roman"/>
        </w:rPr>
        <w:t xml:space="preserve"> (</w:t>
      </w:r>
      <w:r w:rsidRPr="001B26FE">
        <w:rPr>
          <w:rFonts w:ascii="Times New Roman" w:hAnsi="Times New Roman" w:cs="Times New Roman"/>
        </w:rPr>
        <w:t>depending on the voltage applied</w:t>
      </w:r>
      <w:r>
        <w:rPr>
          <w:rFonts w:ascii="Times New Roman" w:hAnsi="Times New Roman" w:cs="Times New Roman"/>
        </w:rPr>
        <w:t>)</w:t>
      </w:r>
      <w:r w:rsidRPr="001B26FE">
        <w:rPr>
          <w:rFonts w:ascii="Times New Roman" w:hAnsi="Times New Roman" w:cs="Times New Roman"/>
        </w:rPr>
        <w:t xml:space="preserve"> the amount accumulated </w:t>
      </w:r>
      <w:r>
        <w:rPr>
          <w:rFonts w:ascii="Times New Roman" w:hAnsi="Times New Roman" w:cs="Times New Roman"/>
        </w:rPr>
        <w:t>in the non-electrically leached sample</w:t>
      </w:r>
      <w:r w:rsidRPr="001B26FE">
        <w:rPr>
          <w:rFonts w:ascii="Times New Roman" w:hAnsi="Times New Roman" w:cs="Times New Roman"/>
        </w:rPr>
        <w:t xml:space="preserve">. They also illustrated that the level of cement degradation reached after 125 days in the </w:t>
      </w:r>
      <w:r>
        <w:rPr>
          <w:rFonts w:ascii="Times New Roman" w:hAnsi="Times New Roman" w:cs="Times New Roman"/>
        </w:rPr>
        <w:t>non-electrical leaching</w:t>
      </w:r>
      <w:r w:rsidRPr="001B26FE">
        <w:rPr>
          <w:rFonts w:ascii="Times New Roman" w:hAnsi="Times New Roman" w:cs="Times New Roman"/>
        </w:rPr>
        <w:t xml:space="preserve"> experiment was</w:t>
      </w:r>
      <w:r>
        <w:rPr>
          <w:rFonts w:ascii="Times New Roman" w:hAnsi="Times New Roman" w:cs="Times New Roman"/>
        </w:rPr>
        <w:t xml:space="preserve"> achieved</w:t>
      </w:r>
      <w:r w:rsidRPr="001B26FE">
        <w:rPr>
          <w:rFonts w:ascii="Times New Roman" w:hAnsi="Times New Roman" w:cs="Times New Roman"/>
        </w:rPr>
        <w:t xml:space="preserve"> after 33 days when leached under an electric potenti</w:t>
      </w:r>
      <w:r>
        <w:rPr>
          <w:rFonts w:ascii="Times New Roman" w:hAnsi="Times New Roman" w:cs="Times New Roman"/>
        </w:rPr>
        <w:t xml:space="preserve">al. A limitation of this study is the difference in leaching </w:t>
      </w:r>
      <w:r w:rsidR="00B93A9F">
        <w:rPr>
          <w:rFonts w:ascii="Times New Roman" w:hAnsi="Times New Roman" w:cs="Times New Roman"/>
        </w:rPr>
        <w:t>environments</w:t>
      </w:r>
      <w:r>
        <w:rPr>
          <w:rFonts w:ascii="Times New Roman" w:hAnsi="Times New Roman" w:cs="Times New Roman"/>
        </w:rPr>
        <w:t>. The cement was suspended in a static leachate</w:t>
      </w:r>
      <w:r w:rsidR="00B93A9F">
        <w:rPr>
          <w:rFonts w:ascii="Times New Roman" w:hAnsi="Times New Roman" w:cs="Times New Roman"/>
        </w:rPr>
        <w:t xml:space="preserve"> for long durations</w:t>
      </w:r>
      <w:r>
        <w:rPr>
          <w:rFonts w:ascii="Times New Roman" w:hAnsi="Times New Roman" w:cs="Times New Roman"/>
        </w:rPr>
        <w:t xml:space="preserve"> under the electrical conditions</w:t>
      </w:r>
      <w:r w:rsidR="001B1B25">
        <w:rPr>
          <w:rFonts w:ascii="Times New Roman" w:hAnsi="Times New Roman" w:cs="Times New Roman"/>
        </w:rPr>
        <w:t xml:space="preserve"> and the water was changed after a period of months</w:t>
      </w:r>
      <w:r>
        <w:rPr>
          <w:rFonts w:ascii="Times New Roman" w:hAnsi="Times New Roman" w:cs="Times New Roman"/>
        </w:rPr>
        <w:t xml:space="preserve">, however the leachate was continuously flowing in the non-electrical setup. Therefore this </w:t>
      </w:r>
      <w:r w:rsidR="00EF0604">
        <w:rPr>
          <w:rFonts w:ascii="Times New Roman" w:hAnsi="Times New Roman" w:cs="Times New Roman"/>
        </w:rPr>
        <w:t>does not</w:t>
      </w:r>
      <w:r>
        <w:rPr>
          <w:rFonts w:ascii="Times New Roman" w:hAnsi="Times New Roman" w:cs="Times New Roman"/>
        </w:rPr>
        <w:t xml:space="preserve"> provide an accurate comparison, as it discounts the impact of the concentration gradient </w:t>
      </w:r>
      <w:r w:rsidR="00E354B8">
        <w:rPr>
          <w:rFonts w:ascii="Times New Roman" w:hAnsi="Times New Roman" w:cs="Times New Roman"/>
        </w:rPr>
        <w:t xml:space="preserve">and solubility limits </w:t>
      </w:r>
      <w:r>
        <w:rPr>
          <w:rFonts w:ascii="Times New Roman" w:hAnsi="Times New Roman" w:cs="Times New Roman"/>
        </w:rPr>
        <w:t xml:space="preserve">between the solution and the cement and its impact on leaching. Furthermore </w:t>
      </w:r>
      <w:r w:rsidRPr="001B26FE">
        <w:rPr>
          <w:rFonts w:ascii="Times New Roman" w:hAnsi="Times New Roman" w:cs="Times New Roman"/>
        </w:rPr>
        <w:t xml:space="preserve">the water is electrolysed forming </w:t>
      </w:r>
      <w:r>
        <w:rPr>
          <w:rFonts w:ascii="Times New Roman" w:hAnsi="Times New Roman" w:cs="Times New Roman"/>
        </w:rPr>
        <w:t>H</w:t>
      </w:r>
      <w:r w:rsidR="00E354B8">
        <w:rPr>
          <w:rFonts w:ascii="Times New Roman" w:hAnsi="Times New Roman" w:cs="Times New Roman"/>
        </w:rPr>
        <w:softHyphen/>
      </w:r>
      <w:r w:rsidR="00E354B8">
        <w:rPr>
          <w:rFonts w:ascii="Times New Roman" w:hAnsi="Times New Roman" w:cs="Times New Roman"/>
          <w:vertAlign w:val="superscript"/>
        </w:rPr>
        <w:t>+</w:t>
      </w:r>
      <w:r w:rsidR="00E354B8">
        <w:rPr>
          <w:rFonts w:ascii="Times New Roman" w:hAnsi="Times New Roman" w:cs="Times New Roman"/>
        </w:rPr>
        <w:t xml:space="preserve"> </w:t>
      </w:r>
      <w:r>
        <w:rPr>
          <w:rFonts w:ascii="Times New Roman" w:hAnsi="Times New Roman" w:cs="Times New Roman"/>
        </w:rPr>
        <w:t>and OH</w:t>
      </w:r>
      <w:r w:rsidR="00E354B8">
        <w:rPr>
          <w:rFonts w:ascii="Times New Roman" w:hAnsi="Times New Roman" w:cs="Times New Roman"/>
          <w:vertAlign w:val="superscript"/>
        </w:rPr>
        <w:t>-</w:t>
      </w:r>
      <w:r>
        <w:rPr>
          <w:rFonts w:ascii="Times New Roman" w:hAnsi="Times New Roman" w:cs="Times New Roman"/>
        </w:rPr>
        <w:t xml:space="preserve"> during </w:t>
      </w:r>
      <w:r>
        <w:rPr>
          <w:rFonts w:ascii="Times New Roman" w:hAnsi="Times New Roman" w:cs="Times New Roman"/>
        </w:rPr>
        <w:lastRenderedPageBreak/>
        <w:t>electrica</w:t>
      </w:r>
      <w:r w:rsidRPr="001B26FE">
        <w:rPr>
          <w:rFonts w:ascii="Times New Roman" w:hAnsi="Times New Roman" w:cs="Times New Roman"/>
        </w:rPr>
        <w:t>l leaching, which</w:t>
      </w:r>
      <w:r>
        <w:rPr>
          <w:rFonts w:ascii="Times New Roman" w:hAnsi="Times New Roman" w:cs="Times New Roman"/>
        </w:rPr>
        <w:t xml:space="preserve"> results in the production of H</w:t>
      </w:r>
      <w:r>
        <w:rPr>
          <w:rFonts w:ascii="Times New Roman" w:hAnsi="Times New Roman" w:cs="Times New Roman"/>
          <w:vertAlign w:val="subscript"/>
        </w:rPr>
        <w:t>2</w:t>
      </w:r>
      <w:r>
        <w:rPr>
          <w:rFonts w:ascii="Times New Roman" w:hAnsi="Times New Roman" w:cs="Times New Roman"/>
        </w:rPr>
        <w:t xml:space="preserve"> and O</w:t>
      </w:r>
      <w:r>
        <w:rPr>
          <w:rFonts w:ascii="Times New Roman" w:hAnsi="Times New Roman" w:cs="Times New Roman"/>
          <w:vertAlign w:val="subscript"/>
        </w:rPr>
        <w:t>2</w:t>
      </w:r>
      <w:r>
        <w:rPr>
          <w:rFonts w:ascii="Times New Roman" w:hAnsi="Times New Roman" w:cs="Times New Roman"/>
        </w:rPr>
        <w:t xml:space="preserve"> </w:t>
      </w:r>
      <w:r w:rsidRPr="001B26FE">
        <w:rPr>
          <w:rFonts w:ascii="Times New Roman" w:hAnsi="Times New Roman" w:cs="Times New Roman"/>
        </w:rPr>
        <w:t>gases; this phenomenon does not occur under natural conditions</w:t>
      </w:r>
      <w:r w:rsidR="001B3242">
        <w:rPr>
          <w:rFonts w:ascii="Times New Roman" w:hAnsi="Times New Roman" w:cs="Times New Roman"/>
        </w:rPr>
        <w:t>. Furthermore the H</w:t>
      </w:r>
      <w:r w:rsidR="001B3242">
        <w:rPr>
          <w:rFonts w:ascii="Times New Roman" w:hAnsi="Times New Roman" w:cs="Times New Roman"/>
          <w:vertAlign w:val="superscript"/>
        </w:rPr>
        <w:t>+</w:t>
      </w:r>
      <w:r w:rsidR="001B3242">
        <w:rPr>
          <w:rFonts w:ascii="Times New Roman" w:hAnsi="Times New Roman" w:cs="Times New Roman"/>
        </w:rPr>
        <w:t xml:space="preserve"> could also react with the excess sulfide in the system to liberate hydrogen sulfide gas</w:t>
      </w:r>
      <w:r>
        <w:rPr>
          <w:rFonts w:ascii="Times New Roman" w:hAnsi="Times New Roman" w:cs="Times New Roman"/>
        </w:rPr>
        <w:t>.</w:t>
      </w:r>
      <w:r w:rsidRPr="00532026">
        <w:rPr>
          <w:rFonts w:ascii="Times New Roman" w:hAnsi="Times New Roman" w:cs="Times New Roman"/>
        </w:rPr>
        <w:t xml:space="preserve"> </w:t>
      </w:r>
      <w:r w:rsidR="00626552">
        <w:rPr>
          <w:rFonts w:ascii="Times New Roman" w:hAnsi="Times New Roman" w:cs="Times New Roman"/>
        </w:rPr>
        <w:t>However Saito and Deguchi [81</w:t>
      </w:r>
      <w:r>
        <w:rPr>
          <w:rFonts w:ascii="Times New Roman" w:hAnsi="Times New Roman" w:cs="Times New Roman"/>
        </w:rPr>
        <w:t xml:space="preserve">] state that these differences do not affect the dissolution mechanism of their cement samples. </w:t>
      </w:r>
    </w:p>
    <w:p w14:paraId="70AF1E18" w14:textId="77777777" w:rsidR="003D5839" w:rsidRPr="005D03ED" w:rsidRDefault="003D5839" w:rsidP="003D5839">
      <w:pPr>
        <w:spacing w:line="360" w:lineRule="auto"/>
        <w:jc w:val="center"/>
        <w:rPr>
          <w:rFonts w:ascii="Times New Roman" w:eastAsia="Times New Roman" w:hAnsi="Times New Roman" w:cs="Times New Roman"/>
          <w:lang w:eastAsia="en-GB"/>
        </w:rPr>
      </w:pPr>
      <w:r>
        <w:rPr>
          <w:rFonts w:ascii="Times New Roman" w:eastAsia="Times New Roman" w:hAnsi="Times New Roman" w:cs="Times New Roman"/>
          <w:noProof/>
        </w:rPr>
        <w:drawing>
          <wp:inline distT="0" distB="0" distL="0" distR="0" wp14:anchorId="2DC8E8E4" wp14:editId="15E94858">
            <wp:extent cx="3534092" cy="3987113"/>
            <wp:effectExtent l="19050" t="19050" r="9525" b="13970"/>
            <wp:docPr id="7" name="Picture 7" descr="http://ars.els-cdn.com/content/image/1-s2.0-S000888460000377X-g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s.els-cdn.com/content/image/1-s2.0-S000888460000377X-gr1.gif"/>
                    <pic:cNvPicPr>
                      <a:picLocks noChangeAspect="1" noChangeArrowheads="1"/>
                    </pic:cNvPicPr>
                  </pic:nvPicPr>
                  <pic:blipFill rotWithShape="1">
                    <a:blip r:embed="rId22">
                      <a:extLst>
                        <a:ext uri="{28A0092B-C50C-407E-A947-70E740481C1C}">
                          <a14:useLocalDpi xmlns:a14="http://schemas.microsoft.com/office/drawing/2010/main" val="0"/>
                        </a:ext>
                      </a:extLst>
                    </a:blip>
                    <a:srcRect l="-7256" t="-3032" r="-5595" b="-2380"/>
                    <a:stretch/>
                  </pic:blipFill>
                  <pic:spPr bwMode="auto">
                    <a:xfrm>
                      <a:off x="0" y="0"/>
                      <a:ext cx="3535042" cy="398818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9226514" w14:textId="13A134E3" w:rsidR="003D5839" w:rsidRDefault="003D5839" w:rsidP="003D5839">
      <w:pPr>
        <w:spacing w:after="120" w:line="360" w:lineRule="auto"/>
        <w:jc w:val="center"/>
        <w:rPr>
          <w:rFonts w:ascii="Times New Roman" w:hAnsi="Times New Roman" w:cs="Times New Roman"/>
        </w:rPr>
      </w:pPr>
      <w:r w:rsidRPr="005A009A">
        <w:rPr>
          <w:rFonts w:ascii="Times New Roman" w:hAnsi="Times New Roman" w:cs="Times New Roman"/>
          <w:b/>
        </w:rPr>
        <w:t>Figure</w:t>
      </w:r>
      <w:r>
        <w:rPr>
          <w:rFonts w:ascii="Times New Roman" w:hAnsi="Times New Roman" w:cs="Times New Roman"/>
          <w:b/>
        </w:rPr>
        <w:t xml:space="preserve"> 2</w:t>
      </w:r>
      <w:r w:rsidRPr="005A009A">
        <w:rPr>
          <w:rFonts w:ascii="Times New Roman" w:hAnsi="Times New Roman" w:cs="Times New Roman"/>
          <w:b/>
        </w:rPr>
        <w:t>.1</w:t>
      </w:r>
      <w:r w:rsidR="007E5925">
        <w:rPr>
          <w:rFonts w:ascii="Times New Roman" w:hAnsi="Times New Roman" w:cs="Times New Roman"/>
          <w:b/>
        </w:rPr>
        <w:t>1</w:t>
      </w:r>
      <w:r>
        <w:rPr>
          <w:rFonts w:ascii="Times New Roman" w:hAnsi="Times New Roman" w:cs="Times New Roman"/>
        </w:rPr>
        <w:t>: Experimental apparatus for leaching under an electric poten</w:t>
      </w:r>
      <w:r w:rsidR="00626552">
        <w:rPr>
          <w:rFonts w:ascii="Times New Roman" w:hAnsi="Times New Roman" w:cs="Times New Roman"/>
        </w:rPr>
        <w:t>tial [82</w:t>
      </w:r>
      <w:r>
        <w:rPr>
          <w:rFonts w:ascii="Times New Roman" w:hAnsi="Times New Roman" w:cs="Times New Roman"/>
        </w:rPr>
        <w:t>]</w:t>
      </w:r>
    </w:p>
    <w:p w14:paraId="3D7CC03E" w14:textId="47432545" w:rsidR="000E7B88" w:rsidRPr="000E7B88" w:rsidRDefault="003D5839" w:rsidP="000E7B88">
      <w:pPr>
        <w:spacing w:after="120" w:line="360" w:lineRule="auto"/>
        <w:jc w:val="both"/>
        <w:rPr>
          <w:rFonts w:ascii="Times New Roman" w:hAnsi="Times New Roman" w:cs="Times New Roman"/>
        </w:rPr>
      </w:pPr>
      <w:proofErr w:type="gramStart"/>
      <w:r>
        <w:rPr>
          <w:rFonts w:ascii="Times New Roman" w:hAnsi="Times New Roman" w:cs="Times New Roman"/>
        </w:rPr>
        <w:t>Further work investigating the use of an applied potential to model the long term leaching behaviour of cementitious materials was</w:t>
      </w:r>
      <w:r w:rsidR="00626552">
        <w:rPr>
          <w:rFonts w:ascii="Times New Roman" w:hAnsi="Times New Roman" w:cs="Times New Roman"/>
        </w:rPr>
        <w:t xml:space="preserve"> undertaken by Otsuki et al.</w:t>
      </w:r>
      <w:proofErr w:type="gramEnd"/>
      <w:r w:rsidR="00626552">
        <w:rPr>
          <w:rFonts w:ascii="Times New Roman" w:hAnsi="Times New Roman" w:cs="Times New Roman"/>
        </w:rPr>
        <w:t xml:space="preserve"> [82</w:t>
      </w:r>
      <w:r>
        <w:rPr>
          <w:rFonts w:ascii="Times New Roman" w:hAnsi="Times New Roman" w:cs="Times New Roman"/>
        </w:rPr>
        <w:t>]. Cement was used and the degradation caused by the dissolution of calcium ions was explored. The sample was leached in deionised water for a fixed period of time, replacing the leachate frequently.  In the next stage an electrical current was applied through the sample over a maximum period of 1500 hours</w:t>
      </w:r>
      <w:r w:rsidR="001B1B25">
        <w:rPr>
          <w:rFonts w:ascii="Times New Roman" w:hAnsi="Times New Roman" w:cs="Times New Roman"/>
        </w:rPr>
        <w:t>, again frequently changing the leachate</w:t>
      </w:r>
      <w:r>
        <w:rPr>
          <w:rFonts w:ascii="Times New Roman" w:hAnsi="Times New Roman" w:cs="Times New Roman"/>
        </w:rPr>
        <w:t xml:space="preserve">. In order to verify the validity of this electrically leached technique they compared the electrically leached samples with a concrete sample of similar composition that had been in contact with water for 100 years as part of the floor system at a waterworks in Shiba, Tokyo. The results of the accelerated leaching test strongly correlated with that of the </w:t>
      </w:r>
      <w:proofErr w:type="gramStart"/>
      <w:r>
        <w:rPr>
          <w:rFonts w:ascii="Times New Roman" w:hAnsi="Times New Roman" w:cs="Times New Roman"/>
        </w:rPr>
        <w:t>100 year</w:t>
      </w:r>
      <w:proofErr w:type="gramEnd"/>
      <w:r>
        <w:rPr>
          <w:rFonts w:ascii="Times New Roman" w:hAnsi="Times New Roman" w:cs="Times New Roman"/>
        </w:rPr>
        <w:t xml:space="preserve"> sample, showing similar degradation patterns, loss of compressive strength and Ca/Si gradients across the sample. </w:t>
      </w:r>
      <w:r w:rsidR="000E7B88">
        <w:rPr>
          <w:rFonts w:ascii="Times New Roman" w:hAnsi="Times New Roman" w:cs="Times New Roman"/>
        </w:rPr>
        <w:t xml:space="preserve">The use of electrical fields to accelerate </w:t>
      </w:r>
      <w:proofErr w:type="gramStart"/>
      <w:r w:rsidR="000E7B88">
        <w:rPr>
          <w:rFonts w:ascii="Times New Roman" w:hAnsi="Times New Roman" w:cs="Times New Roman"/>
        </w:rPr>
        <w:t>leaching,</w:t>
      </w:r>
      <w:proofErr w:type="gramEnd"/>
      <w:r w:rsidR="000E7B88">
        <w:rPr>
          <w:rFonts w:ascii="Times New Roman" w:hAnsi="Times New Roman" w:cs="Times New Roman"/>
        </w:rPr>
        <w:t xml:space="preserve"> was researched by Castellote</w:t>
      </w:r>
      <w:r w:rsidR="009B49F3">
        <w:rPr>
          <w:rFonts w:ascii="Times New Roman" w:hAnsi="Times New Roman" w:cs="Times New Roman"/>
        </w:rPr>
        <w:t xml:space="preserve"> [60]</w:t>
      </w:r>
      <w:r w:rsidR="000E7B88">
        <w:rPr>
          <w:rFonts w:ascii="Times New Roman" w:hAnsi="Times New Roman" w:cs="Times New Roman"/>
        </w:rPr>
        <w:t xml:space="preserve">. </w:t>
      </w:r>
      <w:r w:rsidR="000E7B88" w:rsidRPr="000E7B88">
        <w:rPr>
          <w:rFonts w:ascii="Times New Roman" w:hAnsi="Times New Roman" w:cs="Times New Roman"/>
        </w:rPr>
        <w:t xml:space="preserve">In situ accelerated leaching </w:t>
      </w:r>
      <w:r w:rsidR="000E7B88" w:rsidRPr="000E7B88">
        <w:rPr>
          <w:rFonts w:ascii="Times New Roman" w:hAnsi="Times New Roman" w:cs="Times New Roman"/>
        </w:rPr>
        <w:lastRenderedPageBreak/>
        <w:t>of cement paste</w:t>
      </w:r>
      <w:r w:rsidR="000E7B88">
        <w:rPr>
          <w:rFonts w:ascii="Times New Roman" w:hAnsi="Times New Roman" w:cs="Times New Roman"/>
        </w:rPr>
        <w:t xml:space="preserve">, </w:t>
      </w:r>
      <w:r w:rsidR="006D108B">
        <w:rPr>
          <w:rFonts w:ascii="Times New Roman" w:hAnsi="Times New Roman" w:cs="Times New Roman"/>
        </w:rPr>
        <w:t>which</w:t>
      </w:r>
      <w:r w:rsidR="000E7B88">
        <w:rPr>
          <w:rFonts w:ascii="Times New Roman" w:hAnsi="Times New Roman" w:cs="Times New Roman"/>
        </w:rPr>
        <w:t xml:space="preserve"> found that when switching on the electrical field rapid dissolution of the main hydrate phases, </w:t>
      </w:r>
      <w:r w:rsidR="006D108B">
        <w:rPr>
          <w:rFonts w:ascii="Times New Roman" w:hAnsi="Times New Roman" w:cs="Times New Roman"/>
        </w:rPr>
        <w:t>especially</w:t>
      </w:r>
      <w:r w:rsidR="000E7B88">
        <w:rPr>
          <w:rFonts w:ascii="Times New Roman" w:hAnsi="Times New Roman" w:cs="Times New Roman"/>
        </w:rPr>
        <w:t xml:space="preserve"> the ettringite phase</w:t>
      </w:r>
      <w:r w:rsidR="009C3301">
        <w:rPr>
          <w:rFonts w:ascii="Times New Roman" w:hAnsi="Times New Roman" w:cs="Times New Roman"/>
        </w:rPr>
        <w:t xml:space="preserve">, </w:t>
      </w:r>
      <w:r w:rsidR="006D108B">
        <w:rPr>
          <w:rFonts w:ascii="Times New Roman" w:hAnsi="Times New Roman" w:cs="Times New Roman"/>
        </w:rPr>
        <w:t>occurred</w:t>
      </w:r>
      <w:r w:rsidR="000E7B88">
        <w:rPr>
          <w:rFonts w:ascii="Times New Roman" w:hAnsi="Times New Roman" w:cs="Times New Roman"/>
        </w:rPr>
        <w:t xml:space="preserve">. This phase initially dissolves rapidly, but then stabilises. </w:t>
      </w:r>
      <w:r w:rsidR="009C3301">
        <w:rPr>
          <w:rFonts w:ascii="Times New Roman" w:hAnsi="Times New Roman" w:cs="Times New Roman"/>
        </w:rPr>
        <w:t xml:space="preserve">The portlandite phase was also found to </w:t>
      </w:r>
      <w:r w:rsidR="006D108B">
        <w:rPr>
          <w:rFonts w:ascii="Times New Roman" w:hAnsi="Times New Roman" w:cs="Times New Roman"/>
        </w:rPr>
        <w:t>precipitate</w:t>
      </w:r>
      <w:r w:rsidR="009C3301">
        <w:rPr>
          <w:rFonts w:ascii="Times New Roman" w:hAnsi="Times New Roman" w:cs="Times New Roman"/>
        </w:rPr>
        <w:t xml:space="preserve"> at an accelerated rate</w:t>
      </w:r>
      <w:proofErr w:type="gramStart"/>
      <w:r w:rsidR="009C3301">
        <w:rPr>
          <w:rFonts w:ascii="Times New Roman" w:hAnsi="Times New Roman" w:cs="Times New Roman"/>
        </w:rPr>
        <w:t>,  according</w:t>
      </w:r>
      <w:proofErr w:type="gramEnd"/>
      <w:r w:rsidR="009C3301">
        <w:rPr>
          <w:rFonts w:ascii="Times New Roman" w:hAnsi="Times New Roman" w:cs="Times New Roman"/>
        </w:rPr>
        <w:t xml:space="preserve"> to Castellote et al. this occurs due to the decrease in the amount of water in the pores as well as the increase of dissolved ions in solution. They suggest that the decrease of pore water could be due to the increase in temperature of the sample from applying the electrical field. However they did not measure the temperature of the sample, </w:t>
      </w:r>
      <w:r w:rsidR="000F46F4">
        <w:rPr>
          <w:rFonts w:ascii="Times New Roman" w:hAnsi="Times New Roman" w:cs="Times New Roman"/>
        </w:rPr>
        <w:t>but</w:t>
      </w:r>
      <w:r w:rsidR="009C3301">
        <w:rPr>
          <w:rFonts w:ascii="Times New Roman" w:hAnsi="Times New Roman" w:cs="Times New Roman"/>
        </w:rPr>
        <w:t xml:space="preserve"> concluded that th</w:t>
      </w:r>
      <w:r w:rsidR="008C4EF6">
        <w:rPr>
          <w:rFonts w:ascii="Times New Roman" w:hAnsi="Times New Roman" w:cs="Times New Roman"/>
        </w:rPr>
        <w:t xml:space="preserve">is was unlikely as the </w:t>
      </w:r>
      <w:r w:rsidR="000F46F4">
        <w:rPr>
          <w:rFonts w:ascii="Times New Roman" w:hAnsi="Times New Roman" w:cs="Times New Roman"/>
        </w:rPr>
        <w:t>expected</w:t>
      </w:r>
      <w:r w:rsidR="009C3301">
        <w:rPr>
          <w:rFonts w:ascii="Times New Roman" w:hAnsi="Times New Roman" w:cs="Times New Roman"/>
        </w:rPr>
        <w:t xml:space="preserve"> d-spacing expansion of the unit cells </w:t>
      </w:r>
      <w:r w:rsidR="008C4EF6">
        <w:rPr>
          <w:rFonts w:ascii="Times New Roman" w:hAnsi="Times New Roman" w:cs="Times New Roman"/>
        </w:rPr>
        <w:t xml:space="preserve">due to thermal expansion was not present. Furthermore the sample was in contact with wet sponges and therefore </w:t>
      </w:r>
      <w:proofErr w:type="gramStart"/>
      <w:r w:rsidR="008C4EF6">
        <w:rPr>
          <w:rFonts w:ascii="Times New Roman" w:hAnsi="Times New Roman" w:cs="Times New Roman"/>
        </w:rPr>
        <w:t>any lost water via evaporation would have been replenished by these sponges</w:t>
      </w:r>
      <w:proofErr w:type="gramEnd"/>
      <w:r w:rsidR="008C4EF6">
        <w:rPr>
          <w:rFonts w:ascii="Times New Roman" w:hAnsi="Times New Roman" w:cs="Times New Roman"/>
        </w:rPr>
        <w:t xml:space="preserve">. </w:t>
      </w:r>
      <w:r w:rsidR="000F46F4">
        <w:rPr>
          <w:rFonts w:ascii="Times New Roman" w:hAnsi="Times New Roman" w:cs="Times New Roman"/>
        </w:rPr>
        <w:t xml:space="preserve">Finally when dismantling the container no heating of the sample was noticed. </w:t>
      </w:r>
    </w:p>
    <w:p w14:paraId="5E656694" w14:textId="2A76AF20" w:rsidR="003D5839" w:rsidRDefault="003D5839" w:rsidP="003D5839">
      <w:pPr>
        <w:spacing w:after="120" w:line="360" w:lineRule="auto"/>
        <w:jc w:val="both"/>
        <w:rPr>
          <w:rFonts w:ascii="Times New Roman" w:hAnsi="Times New Roman" w:cs="Times New Roman"/>
        </w:rPr>
      </w:pPr>
      <w:r>
        <w:rPr>
          <w:rFonts w:ascii="Times New Roman" w:hAnsi="Times New Roman" w:cs="Times New Roman"/>
        </w:rPr>
        <w:t>Following this researc</w:t>
      </w:r>
      <w:r w:rsidR="00626552">
        <w:rPr>
          <w:rFonts w:ascii="Times New Roman" w:hAnsi="Times New Roman" w:cs="Times New Roman"/>
        </w:rPr>
        <w:t>h, Ryu et al. [83</w:t>
      </w:r>
      <w:r>
        <w:rPr>
          <w:rFonts w:ascii="Times New Roman" w:hAnsi="Times New Roman" w:cs="Times New Roman"/>
        </w:rPr>
        <w:t>] further investigated the leaching behaviour of Ca</w:t>
      </w:r>
      <w:r>
        <w:rPr>
          <w:rFonts w:ascii="Times New Roman" w:hAnsi="Times New Roman" w:cs="Times New Roman"/>
          <w:vertAlign w:val="superscript"/>
        </w:rPr>
        <w:t>2+</w:t>
      </w:r>
      <w:r>
        <w:rPr>
          <w:rFonts w:ascii="Times New Roman" w:hAnsi="Times New Roman" w:cs="Times New Roman"/>
        </w:rPr>
        <w:t xml:space="preserve"> over a maximum period of 1200 hours </w:t>
      </w:r>
      <w:r w:rsidR="00E52EDE">
        <w:rPr>
          <w:rFonts w:ascii="Times New Roman" w:hAnsi="Times New Roman" w:cs="Times New Roman"/>
        </w:rPr>
        <w:t>with or without</w:t>
      </w:r>
      <w:r>
        <w:rPr>
          <w:rFonts w:ascii="Times New Roman" w:hAnsi="Times New Roman" w:cs="Times New Roman"/>
        </w:rPr>
        <w:t xml:space="preserve"> an electric potential for the same duration. This worked expanded on the f</w:t>
      </w:r>
      <w:r w:rsidR="005C6CB7">
        <w:rPr>
          <w:rFonts w:ascii="Times New Roman" w:hAnsi="Times New Roman" w:cs="Times New Roman"/>
        </w:rPr>
        <w:t xml:space="preserve">indings of Otsuki et al. Their experiments </w:t>
      </w:r>
      <w:r>
        <w:rPr>
          <w:rFonts w:ascii="Times New Roman" w:hAnsi="Times New Roman" w:cs="Times New Roman"/>
        </w:rPr>
        <w:t xml:space="preserve">compared a real concrete structure that had been exposed to a leachate for 30 years compared with an electrically leached specimen. They found strong similarities in the Vickers hardness of both samples at different </w:t>
      </w:r>
      <w:r w:rsidR="005C6CB7">
        <w:rPr>
          <w:rFonts w:ascii="Times New Roman" w:hAnsi="Times New Roman" w:cs="Times New Roman"/>
        </w:rPr>
        <w:t>depths</w:t>
      </w:r>
      <w:r>
        <w:rPr>
          <w:rFonts w:ascii="Times New Roman" w:hAnsi="Times New Roman" w:cs="Times New Roman"/>
        </w:rPr>
        <w:t xml:space="preserve"> from the surface. They took measurements at different distances between 5mm and 20mm, for example the Vickers hardness of the 30 year old sample at 5mm was 14 HV 0.025, and 15 HV 0.025</w:t>
      </w:r>
      <w:r w:rsidR="00F845DE">
        <w:rPr>
          <w:rFonts w:ascii="Times New Roman" w:hAnsi="Times New Roman" w:cs="Times New Roman"/>
        </w:rPr>
        <w:t xml:space="preserve"> </w:t>
      </w:r>
      <w:r>
        <w:rPr>
          <w:rFonts w:ascii="Times New Roman" w:hAnsi="Times New Roman" w:cs="Times New Roman"/>
        </w:rPr>
        <w:t xml:space="preserve">in the electrical </w:t>
      </w:r>
      <w:r w:rsidR="00B35B82">
        <w:rPr>
          <w:rFonts w:ascii="Times New Roman" w:hAnsi="Times New Roman" w:cs="Times New Roman"/>
        </w:rPr>
        <w:t xml:space="preserve">leached </w:t>
      </w:r>
      <w:r>
        <w:rPr>
          <w:rFonts w:ascii="Times New Roman" w:hAnsi="Times New Roman" w:cs="Times New Roman"/>
        </w:rPr>
        <w:t>sample</w:t>
      </w:r>
      <w:r w:rsidR="00B4694B">
        <w:rPr>
          <w:rFonts w:ascii="Times New Roman" w:hAnsi="Times New Roman" w:cs="Times New Roman"/>
        </w:rPr>
        <w:t>, the samples are assumed to be of same hardness as it was the same starting material used</w:t>
      </w:r>
      <w:r>
        <w:rPr>
          <w:rFonts w:ascii="Times New Roman" w:hAnsi="Times New Roman" w:cs="Times New Roman"/>
        </w:rPr>
        <w:t xml:space="preserve">. </w:t>
      </w:r>
    </w:p>
    <w:p w14:paraId="731D2184" w14:textId="77777777" w:rsidR="003D5839" w:rsidRDefault="003D5839" w:rsidP="003D5839">
      <w:pPr>
        <w:spacing w:line="360" w:lineRule="auto"/>
        <w:jc w:val="both"/>
        <w:rPr>
          <w:rFonts w:ascii="Times New Roman" w:hAnsi="Times New Roman" w:cs="Times New Roman"/>
        </w:rPr>
      </w:pPr>
      <w:r>
        <w:rPr>
          <w:rFonts w:ascii="Times New Roman" w:hAnsi="Times New Roman" w:cs="Times New Roman"/>
        </w:rPr>
        <w:t xml:space="preserve">Although there are several studies on both the acidic and electrical leaching methods showing strong evidence of their accelerating impact on the cements, there is very little research on these methods being used on cementitious waste forms containing </w:t>
      </w:r>
    </w:p>
    <w:p w14:paraId="3F9BB86B" w14:textId="77777777" w:rsidR="003D5839" w:rsidRDefault="003D5839" w:rsidP="003D5839">
      <w:pPr>
        <w:spacing w:line="360" w:lineRule="auto"/>
        <w:jc w:val="both"/>
        <w:rPr>
          <w:rFonts w:ascii="Times New Roman" w:hAnsi="Times New Roman" w:cs="Times New Roman"/>
        </w:rPr>
      </w:pPr>
    </w:p>
    <w:p w14:paraId="53FEB743" w14:textId="5FC573B5" w:rsidR="003D5839" w:rsidRDefault="003D5839" w:rsidP="003D5839">
      <w:pPr>
        <w:spacing w:line="360" w:lineRule="auto"/>
        <w:jc w:val="both"/>
        <w:rPr>
          <w:rFonts w:ascii="Times New Roman" w:hAnsi="Times New Roman" w:cs="Times New Roman"/>
          <w:b/>
          <w:sz w:val="28"/>
        </w:rPr>
      </w:pPr>
      <w:r>
        <w:rPr>
          <w:rFonts w:ascii="Times New Roman" w:hAnsi="Times New Roman" w:cs="Times New Roman"/>
          <w:b/>
          <w:sz w:val="28"/>
        </w:rPr>
        <w:t>2.6</w:t>
      </w:r>
      <w:r>
        <w:rPr>
          <w:rFonts w:ascii="Times New Roman" w:hAnsi="Times New Roman" w:cs="Times New Roman"/>
          <w:b/>
          <w:sz w:val="28"/>
        </w:rPr>
        <w:tab/>
        <w:t>Conclusion</w:t>
      </w:r>
      <w:r w:rsidR="00D54899">
        <w:rPr>
          <w:rFonts w:ascii="Times New Roman" w:hAnsi="Times New Roman" w:cs="Times New Roman"/>
          <w:b/>
          <w:sz w:val="28"/>
        </w:rPr>
        <w:t>s</w:t>
      </w:r>
    </w:p>
    <w:p w14:paraId="6DC96FBC" w14:textId="335EF3EA" w:rsidR="003D5839" w:rsidRDefault="003D5839" w:rsidP="003D5839">
      <w:pPr>
        <w:spacing w:after="120" w:line="360" w:lineRule="auto"/>
        <w:jc w:val="both"/>
        <w:rPr>
          <w:rFonts w:ascii="Times New Roman" w:hAnsi="Times New Roman" w:cs="Times New Roman"/>
        </w:rPr>
      </w:pPr>
      <w:r>
        <w:rPr>
          <w:rFonts w:ascii="Times New Roman" w:hAnsi="Times New Roman" w:cs="Times New Roman"/>
        </w:rPr>
        <w:t xml:space="preserve">Nuclear power and the resultant waste were highlighted in this literature review. There are several classifications of nuclear waste </w:t>
      </w:r>
      <w:r w:rsidR="006D108B">
        <w:rPr>
          <w:rFonts w:ascii="Times New Roman" w:hAnsi="Times New Roman" w:cs="Times New Roman"/>
        </w:rPr>
        <w:t>dependent</w:t>
      </w:r>
      <w:r>
        <w:rPr>
          <w:rFonts w:ascii="Times New Roman" w:hAnsi="Times New Roman" w:cs="Times New Roman"/>
        </w:rPr>
        <w:t xml:space="preserve"> on their radioactivity. This study focuses on </w:t>
      </w:r>
      <w:r w:rsidR="006D108B">
        <w:rPr>
          <w:rFonts w:ascii="Times New Roman" w:hAnsi="Times New Roman" w:cs="Times New Roman"/>
        </w:rPr>
        <w:t>ILW that</w:t>
      </w:r>
      <w:r>
        <w:rPr>
          <w:rFonts w:ascii="Times New Roman" w:hAnsi="Times New Roman" w:cs="Times New Roman"/>
        </w:rPr>
        <w:t xml:space="preserve"> are usually encapsulated in the composite cement system of Portland cement mixed with blast furnace slag. These cement composites are used to immobilise radionuclides such as ca</w:t>
      </w:r>
      <w:r w:rsidR="00C009C0">
        <w:rPr>
          <w:rFonts w:ascii="Times New Roman" w:hAnsi="Times New Roman" w:cs="Times New Roman"/>
        </w:rPr>
        <w:t>esium, strontium and cerium (a simulant</w:t>
      </w:r>
      <w:r>
        <w:rPr>
          <w:rFonts w:ascii="Times New Roman" w:hAnsi="Times New Roman" w:cs="Times New Roman"/>
        </w:rPr>
        <w:t xml:space="preserve"> for plutonium), all of which </w:t>
      </w:r>
      <w:r w:rsidR="00917088">
        <w:rPr>
          <w:rFonts w:ascii="Times New Roman" w:hAnsi="Times New Roman" w:cs="Times New Roman"/>
        </w:rPr>
        <w:t xml:space="preserve">are highly radioactive with long </w:t>
      </w:r>
      <w:r w:rsidR="008E4D98">
        <w:rPr>
          <w:rFonts w:ascii="Times New Roman" w:hAnsi="Times New Roman" w:cs="Times New Roman"/>
        </w:rPr>
        <w:t xml:space="preserve">durations </w:t>
      </w:r>
      <w:r w:rsidR="00917088">
        <w:rPr>
          <w:rFonts w:ascii="Times New Roman" w:hAnsi="Times New Roman" w:cs="Times New Roman"/>
        </w:rPr>
        <w:t>of radioactive decay</w:t>
      </w:r>
      <w:r>
        <w:rPr>
          <w:rFonts w:ascii="Times New Roman" w:hAnsi="Times New Roman" w:cs="Times New Roman"/>
        </w:rPr>
        <w:t xml:space="preserve">. </w:t>
      </w:r>
      <w:r w:rsidR="00C009C0">
        <w:rPr>
          <w:rFonts w:ascii="Times New Roman" w:hAnsi="Times New Roman" w:cs="Times New Roman"/>
        </w:rPr>
        <w:t>Once</w:t>
      </w:r>
      <w:r>
        <w:rPr>
          <w:rFonts w:ascii="Times New Roman" w:hAnsi="Times New Roman" w:cs="Times New Roman"/>
        </w:rPr>
        <w:t xml:space="preserve"> encapsulated in the cements </w:t>
      </w:r>
      <w:r w:rsidR="00C009C0">
        <w:rPr>
          <w:rFonts w:ascii="Times New Roman" w:hAnsi="Times New Roman" w:cs="Times New Roman"/>
        </w:rPr>
        <w:t>various factors can potentially expose</w:t>
      </w:r>
      <w:r>
        <w:rPr>
          <w:rFonts w:ascii="Times New Roman" w:hAnsi="Times New Roman" w:cs="Times New Roman"/>
        </w:rPr>
        <w:t xml:space="preserve"> these cement waste forms to ground water with lower pH. This could result in leaching of the immobilised radionuclides and releasing them into </w:t>
      </w:r>
      <w:r>
        <w:rPr>
          <w:rFonts w:ascii="Times New Roman" w:hAnsi="Times New Roman" w:cs="Times New Roman"/>
        </w:rPr>
        <w:lastRenderedPageBreak/>
        <w:t xml:space="preserve">the environment. Therefore it is very important to understand the leaching behaviour of these radionuclides over the duration of their </w:t>
      </w:r>
      <w:r w:rsidR="00E12E35">
        <w:rPr>
          <w:rFonts w:ascii="Times New Roman" w:hAnsi="Times New Roman" w:cs="Times New Roman"/>
        </w:rPr>
        <w:t>half-lives</w:t>
      </w:r>
      <w:r>
        <w:rPr>
          <w:rFonts w:ascii="Times New Roman" w:hAnsi="Times New Roman" w:cs="Times New Roman"/>
        </w:rPr>
        <w:t xml:space="preserve">. This means an accelerated leaching method is required to simulate future behaviour. Two commonly used leaching methods used to accelerate ion diffusion are electrical and acidic, however their use in the waste immobilisation industry is very limited. </w:t>
      </w:r>
    </w:p>
    <w:p w14:paraId="63D07CCD" w14:textId="5CC0373E" w:rsidR="003D5839" w:rsidRDefault="003D5839" w:rsidP="003D5839">
      <w:pPr>
        <w:spacing w:after="120" w:line="360" w:lineRule="auto"/>
        <w:jc w:val="both"/>
        <w:rPr>
          <w:rFonts w:ascii="Times New Roman" w:hAnsi="Times New Roman" w:cs="Times New Roman"/>
        </w:rPr>
      </w:pPr>
      <w:r>
        <w:rPr>
          <w:rFonts w:ascii="Times New Roman" w:hAnsi="Times New Roman" w:cs="Times New Roman"/>
        </w:rPr>
        <w:t xml:space="preserve">The literature review also looked at </w:t>
      </w:r>
      <w:r w:rsidR="00C009C0">
        <w:rPr>
          <w:rFonts w:ascii="Times New Roman" w:hAnsi="Times New Roman" w:cs="Times New Roman"/>
        </w:rPr>
        <w:t xml:space="preserve">additives, such as </w:t>
      </w:r>
      <w:r w:rsidR="001F5C29">
        <w:rPr>
          <w:rFonts w:ascii="Times New Roman" w:hAnsi="Times New Roman" w:cs="Times New Roman"/>
        </w:rPr>
        <w:t>superplasticiser</w:t>
      </w:r>
      <w:r>
        <w:rPr>
          <w:rFonts w:ascii="Times New Roman" w:hAnsi="Times New Roman" w:cs="Times New Roman"/>
        </w:rPr>
        <w:t xml:space="preserve">s, used in the cement matrices to improve workability and efficiency. One of the main benefits is the increased </w:t>
      </w:r>
      <w:proofErr w:type="gramStart"/>
      <w:r>
        <w:rPr>
          <w:rFonts w:ascii="Times New Roman" w:hAnsi="Times New Roman" w:cs="Times New Roman"/>
        </w:rPr>
        <w:t>fluidity,</w:t>
      </w:r>
      <w:proofErr w:type="gramEnd"/>
      <w:r>
        <w:rPr>
          <w:rFonts w:ascii="Times New Roman" w:hAnsi="Times New Roman" w:cs="Times New Roman"/>
        </w:rPr>
        <w:t xml:space="preserve"> meaning less water is required in the cement.  A </w:t>
      </w:r>
      <w:r w:rsidR="00E12E35">
        <w:rPr>
          <w:rFonts w:ascii="Times New Roman" w:hAnsi="Times New Roman" w:cs="Times New Roman"/>
        </w:rPr>
        <w:t>drawback</w:t>
      </w:r>
      <w:r w:rsidR="00C009C0">
        <w:rPr>
          <w:rFonts w:ascii="Times New Roman" w:hAnsi="Times New Roman" w:cs="Times New Roman"/>
        </w:rPr>
        <w:t xml:space="preserve"> of these </w:t>
      </w:r>
      <w:r w:rsidR="001F5C29">
        <w:rPr>
          <w:rFonts w:ascii="Times New Roman" w:hAnsi="Times New Roman" w:cs="Times New Roman"/>
        </w:rPr>
        <w:t>superplasticiser</w:t>
      </w:r>
      <w:r>
        <w:rPr>
          <w:rFonts w:ascii="Times New Roman" w:hAnsi="Times New Roman" w:cs="Times New Roman"/>
        </w:rPr>
        <w:t xml:space="preserve">s however, is the </w:t>
      </w:r>
      <w:r w:rsidR="00A819A2">
        <w:rPr>
          <w:rFonts w:ascii="Times New Roman" w:hAnsi="Times New Roman" w:cs="Times New Roman"/>
        </w:rPr>
        <w:t>complexion</w:t>
      </w:r>
      <w:r>
        <w:rPr>
          <w:rFonts w:ascii="Times New Roman" w:hAnsi="Times New Roman" w:cs="Times New Roman"/>
        </w:rPr>
        <w:t xml:space="preserve"> with the ions in the cement, which cause </w:t>
      </w:r>
      <w:r w:rsidR="006E2A0B">
        <w:rPr>
          <w:rFonts w:ascii="Times New Roman" w:hAnsi="Times New Roman" w:cs="Times New Roman"/>
        </w:rPr>
        <w:t>an</w:t>
      </w:r>
      <w:r>
        <w:rPr>
          <w:rFonts w:ascii="Times New Roman" w:hAnsi="Times New Roman" w:cs="Times New Roman"/>
        </w:rPr>
        <w:t xml:space="preserve"> increase in </w:t>
      </w:r>
      <w:r w:rsidR="006E2A0B">
        <w:rPr>
          <w:rFonts w:ascii="Times New Roman" w:hAnsi="Times New Roman" w:cs="Times New Roman"/>
        </w:rPr>
        <w:t>leaching</w:t>
      </w:r>
      <w:r w:rsidR="00A819A2">
        <w:rPr>
          <w:rFonts w:ascii="Times New Roman" w:hAnsi="Times New Roman" w:cs="Times New Roman"/>
        </w:rPr>
        <w:t>.</w:t>
      </w:r>
    </w:p>
    <w:p w14:paraId="5050A7E7" w14:textId="77777777" w:rsidR="003D5839" w:rsidRDefault="003D5839" w:rsidP="003D5839">
      <w:pPr>
        <w:spacing w:after="120" w:line="360" w:lineRule="auto"/>
        <w:jc w:val="both"/>
        <w:rPr>
          <w:rFonts w:ascii="Times New Roman" w:hAnsi="Times New Roman" w:cs="Times New Roman"/>
        </w:rPr>
      </w:pPr>
    </w:p>
    <w:p w14:paraId="4146242E" w14:textId="77777777" w:rsidR="003D5839" w:rsidRDefault="003D5839" w:rsidP="003D5839">
      <w:pPr>
        <w:spacing w:after="120" w:line="360" w:lineRule="auto"/>
        <w:jc w:val="both"/>
        <w:rPr>
          <w:rFonts w:ascii="Times New Roman" w:hAnsi="Times New Roman" w:cs="Times New Roman"/>
        </w:rPr>
      </w:pPr>
    </w:p>
    <w:p w14:paraId="3AE6DBB1" w14:textId="77777777" w:rsidR="003D5839" w:rsidRDefault="003D5839" w:rsidP="003D5839">
      <w:pPr>
        <w:spacing w:after="120" w:line="360" w:lineRule="auto"/>
        <w:jc w:val="both"/>
        <w:rPr>
          <w:rFonts w:ascii="Times New Roman" w:hAnsi="Times New Roman" w:cs="Times New Roman"/>
        </w:rPr>
      </w:pPr>
    </w:p>
    <w:p w14:paraId="4586ED1E" w14:textId="77777777" w:rsidR="003D5839" w:rsidRDefault="003D5839" w:rsidP="003D5839">
      <w:pPr>
        <w:spacing w:after="120" w:line="360" w:lineRule="auto"/>
        <w:jc w:val="both"/>
        <w:rPr>
          <w:rFonts w:ascii="Times New Roman" w:hAnsi="Times New Roman" w:cs="Times New Roman"/>
        </w:rPr>
      </w:pPr>
    </w:p>
    <w:p w14:paraId="51DC48EA" w14:textId="77777777" w:rsidR="00A819A2" w:rsidRDefault="00A819A2" w:rsidP="003D5839">
      <w:pPr>
        <w:spacing w:after="120" w:line="360" w:lineRule="auto"/>
        <w:jc w:val="both"/>
        <w:rPr>
          <w:rFonts w:ascii="Times New Roman" w:hAnsi="Times New Roman" w:cs="Times New Roman"/>
        </w:rPr>
      </w:pPr>
    </w:p>
    <w:p w14:paraId="0AE6183F" w14:textId="77777777" w:rsidR="00A819A2" w:rsidRDefault="00A819A2" w:rsidP="003D5839">
      <w:pPr>
        <w:spacing w:after="120" w:line="360" w:lineRule="auto"/>
        <w:jc w:val="both"/>
        <w:rPr>
          <w:rFonts w:ascii="Times New Roman" w:hAnsi="Times New Roman" w:cs="Times New Roman"/>
        </w:rPr>
      </w:pPr>
    </w:p>
    <w:p w14:paraId="383CD731" w14:textId="77777777" w:rsidR="00A819A2" w:rsidRDefault="00A819A2" w:rsidP="003D5839">
      <w:pPr>
        <w:spacing w:after="120" w:line="360" w:lineRule="auto"/>
        <w:jc w:val="both"/>
        <w:rPr>
          <w:rFonts w:ascii="Times New Roman" w:hAnsi="Times New Roman" w:cs="Times New Roman"/>
        </w:rPr>
      </w:pPr>
    </w:p>
    <w:p w14:paraId="11185662" w14:textId="77777777" w:rsidR="00A819A2" w:rsidRDefault="00A819A2" w:rsidP="003D5839">
      <w:pPr>
        <w:spacing w:after="120" w:line="360" w:lineRule="auto"/>
        <w:jc w:val="both"/>
        <w:rPr>
          <w:rFonts w:ascii="Times New Roman" w:hAnsi="Times New Roman" w:cs="Times New Roman"/>
        </w:rPr>
      </w:pPr>
    </w:p>
    <w:p w14:paraId="6DB6B06F" w14:textId="77777777" w:rsidR="00A819A2" w:rsidRDefault="00A819A2" w:rsidP="003D5839">
      <w:pPr>
        <w:spacing w:after="120" w:line="360" w:lineRule="auto"/>
        <w:jc w:val="both"/>
        <w:rPr>
          <w:rFonts w:ascii="Times New Roman" w:hAnsi="Times New Roman" w:cs="Times New Roman"/>
        </w:rPr>
      </w:pPr>
    </w:p>
    <w:p w14:paraId="149B936E" w14:textId="77777777" w:rsidR="00A819A2" w:rsidRDefault="00A819A2" w:rsidP="003D5839">
      <w:pPr>
        <w:spacing w:after="120" w:line="360" w:lineRule="auto"/>
        <w:jc w:val="both"/>
        <w:rPr>
          <w:rFonts w:ascii="Times New Roman" w:hAnsi="Times New Roman" w:cs="Times New Roman"/>
        </w:rPr>
      </w:pPr>
    </w:p>
    <w:p w14:paraId="2F73953D" w14:textId="77777777" w:rsidR="00A819A2" w:rsidRDefault="00A819A2" w:rsidP="003D5839">
      <w:pPr>
        <w:spacing w:after="120" w:line="360" w:lineRule="auto"/>
        <w:jc w:val="both"/>
        <w:rPr>
          <w:rFonts w:ascii="Times New Roman" w:hAnsi="Times New Roman" w:cs="Times New Roman"/>
        </w:rPr>
      </w:pPr>
    </w:p>
    <w:p w14:paraId="00311A6F" w14:textId="77777777" w:rsidR="00A819A2" w:rsidRDefault="00A819A2" w:rsidP="003D5839">
      <w:pPr>
        <w:spacing w:after="120" w:line="360" w:lineRule="auto"/>
        <w:jc w:val="both"/>
        <w:rPr>
          <w:rFonts w:ascii="Times New Roman" w:hAnsi="Times New Roman" w:cs="Times New Roman"/>
        </w:rPr>
      </w:pPr>
    </w:p>
    <w:p w14:paraId="76CFBC8F" w14:textId="77777777" w:rsidR="00A819A2" w:rsidRDefault="00A819A2" w:rsidP="003D5839">
      <w:pPr>
        <w:spacing w:after="120" w:line="360" w:lineRule="auto"/>
        <w:jc w:val="both"/>
        <w:rPr>
          <w:rFonts w:ascii="Times New Roman" w:hAnsi="Times New Roman" w:cs="Times New Roman"/>
        </w:rPr>
      </w:pPr>
    </w:p>
    <w:p w14:paraId="1A81A88C" w14:textId="77777777" w:rsidR="00A819A2" w:rsidRDefault="00A819A2" w:rsidP="003D5839">
      <w:pPr>
        <w:spacing w:after="120" w:line="360" w:lineRule="auto"/>
        <w:jc w:val="both"/>
        <w:rPr>
          <w:rFonts w:ascii="Times New Roman" w:hAnsi="Times New Roman" w:cs="Times New Roman"/>
        </w:rPr>
      </w:pPr>
    </w:p>
    <w:p w14:paraId="7B2BC89D" w14:textId="77777777" w:rsidR="00A819A2" w:rsidRDefault="00A819A2" w:rsidP="003D5839">
      <w:pPr>
        <w:spacing w:after="120" w:line="360" w:lineRule="auto"/>
        <w:jc w:val="both"/>
        <w:rPr>
          <w:rFonts w:ascii="Times New Roman" w:hAnsi="Times New Roman" w:cs="Times New Roman"/>
        </w:rPr>
      </w:pPr>
    </w:p>
    <w:p w14:paraId="59BC335B" w14:textId="77777777" w:rsidR="00A819A2" w:rsidRDefault="00A819A2" w:rsidP="003D5839">
      <w:pPr>
        <w:spacing w:after="120" w:line="360" w:lineRule="auto"/>
        <w:jc w:val="both"/>
        <w:rPr>
          <w:rFonts w:ascii="Times New Roman" w:hAnsi="Times New Roman" w:cs="Times New Roman"/>
        </w:rPr>
      </w:pPr>
    </w:p>
    <w:p w14:paraId="240B21DF" w14:textId="77777777" w:rsidR="00A819A2" w:rsidRDefault="00A819A2" w:rsidP="003D5839">
      <w:pPr>
        <w:spacing w:after="120" w:line="360" w:lineRule="auto"/>
        <w:jc w:val="both"/>
        <w:rPr>
          <w:rFonts w:ascii="Times New Roman" w:hAnsi="Times New Roman" w:cs="Times New Roman"/>
        </w:rPr>
      </w:pPr>
    </w:p>
    <w:p w14:paraId="5D9CF8FA" w14:textId="204B1327" w:rsidR="003D5839" w:rsidRDefault="003D5839" w:rsidP="003D5839">
      <w:pPr>
        <w:spacing w:after="120" w:line="360" w:lineRule="auto"/>
        <w:jc w:val="both"/>
        <w:rPr>
          <w:rFonts w:ascii="Times New Roman" w:hAnsi="Times New Roman" w:cs="Times New Roman"/>
        </w:rPr>
      </w:pPr>
    </w:p>
    <w:p w14:paraId="4C818521" w14:textId="77777777" w:rsidR="004A0DA9" w:rsidRDefault="004A0DA9" w:rsidP="004A0DA9">
      <w:pPr>
        <w:pBdr>
          <w:top w:val="single" w:sz="4" w:space="13" w:color="auto"/>
          <w:bottom w:val="single" w:sz="4" w:space="15" w:color="auto"/>
        </w:pBdr>
        <w:spacing w:after="120"/>
        <w:contextualSpacing/>
        <w:jc w:val="center"/>
        <w:rPr>
          <w:rFonts w:ascii="Times New Roman" w:hAnsi="Times New Roman" w:cs="Times New Roman"/>
          <w:bCs/>
          <w:smallCaps/>
          <w:sz w:val="48"/>
          <w:szCs w:val="28"/>
        </w:rPr>
      </w:pPr>
      <w:r>
        <w:rPr>
          <w:rFonts w:ascii="Times New Roman" w:hAnsi="Times New Roman" w:cs="Times New Roman"/>
          <w:bCs/>
          <w:smallCaps/>
          <w:sz w:val="48"/>
          <w:szCs w:val="28"/>
        </w:rPr>
        <w:lastRenderedPageBreak/>
        <w:t>References</w:t>
      </w:r>
    </w:p>
    <w:p w14:paraId="1FDD3315" w14:textId="77777777" w:rsidR="004A0DA9" w:rsidRDefault="004A0DA9" w:rsidP="004A0DA9">
      <w:pPr>
        <w:pBdr>
          <w:top w:val="single" w:sz="4" w:space="13" w:color="auto"/>
          <w:bottom w:val="single" w:sz="4" w:space="15" w:color="auto"/>
        </w:pBdr>
        <w:spacing w:before="120" w:after="120"/>
        <w:jc w:val="center"/>
        <w:rPr>
          <w:rFonts w:ascii="Times New Roman" w:hAnsi="Times New Roman" w:cs="Times New Roman"/>
          <w:sz w:val="28"/>
          <w:szCs w:val="28"/>
        </w:rPr>
      </w:pPr>
      <w:r>
        <w:rPr>
          <w:rFonts w:ascii="Times New Roman" w:hAnsi="Times New Roman" w:cs="Times New Roman"/>
          <w:sz w:val="28"/>
          <w:szCs w:val="28"/>
        </w:rPr>
        <w:t>Chapter 2: Literature Review</w:t>
      </w:r>
    </w:p>
    <w:p w14:paraId="03FD7C48" w14:textId="55141A31" w:rsidR="004A0DA9" w:rsidRPr="00BB67BD" w:rsidRDefault="004A0DA9" w:rsidP="004A0DA9">
      <w:pPr>
        <w:spacing w:before="240"/>
        <w:ind w:left="720" w:hanging="720"/>
        <w:jc w:val="both"/>
        <w:rPr>
          <w:rFonts w:ascii="Times" w:hAnsi="Times"/>
        </w:rPr>
      </w:pPr>
      <w:r w:rsidRPr="00BB67BD">
        <w:rPr>
          <w:rFonts w:ascii="Times" w:hAnsi="Times"/>
        </w:rPr>
        <w:t>[1]</w:t>
      </w:r>
      <w:r w:rsidRPr="00BB67BD">
        <w:rPr>
          <w:rFonts w:ascii="Times" w:hAnsi="Times"/>
        </w:rPr>
        <w:tab/>
        <w:t xml:space="preserve">International Energy Agency, </w:t>
      </w:r>
      <w:r w:rsidRPr="00BB67BD">
        <w:rPr>
          <w:rFonts w:ascii="Times" w:hAnsi="Times"/>
          <w:i/>
        </w:rPr>
        <w:t xml:space="preserve">World Energy Outlook 2012 Executive Summary, </w:t>
      </w:r>
      <w:r w:rsidRPr="00BB67BD">
        <w:rPr>
          <w:rFonts w:ascii="Times" w:hAnsi="Times"/>
        </w:rPr>
        <w:t xml:space="preserve">IAE, </w:t>
      </w:r>
      <w:r w:rsidR="0018608F">
        <w:rPr>
          <w:rFonts w:ascii="Times" w:hAnsi="Times"/>
        </w:rPr>
        <w:t>(</w:t>
      </w:r>
      <w:r w:rsidRPr="00BB67BD">
        <w:rPr>
          <w:rFonts w:ascii="Times" w:hAnsi="Times"/>
        </w:rPr>
        <w:t>2012</w:t>
      </w:r>
      <w:r w:rsidR="0018608F">
        <w:rPr>
          <w:rFonts w:ascii="Times" w:hAnsi="Times"/>
        </w:rPr>
        <w:t>)</w:t>
      </w:r>
      <w:r w:rsidRPr="00BB67BD">
        <w:rPr>
          <w:rFonts w:ascii="Times" w:hAnsi="Times"/>
        </w:rPr>
        <w:t xml:space="preserve"> </w:t>
      </w:r>
    </w:p>
    <w:p w14:paraId="2E958CDB" w14:textId="77777777" w:rsidR="004A0DA9" w:rsidRPr="00BB67BD" w:rsidRDefault="004A0DA9" w:rsidP="004A0DA9">
      <w:pPr>
        <w:spacing w:before="240"/>
        <w:ind w:left="720" w:hanging="720"/>
        <w:jc w:val="both"/>
        <w:rPr>
          <w:rFonts w:ascii="Times" w:hAnsi="Times"/>
        </w:rPr>
      </w:pPr>
      <w:proofErr w:type="gramStart"/>
      <w:r w:rsidRPr="00BB67BD">
        <w:rPr>
          <w:rFonts w:ascii="Times" w:hAnsi="Times"/>
        </w:rPr>
        <w:t>[2]</w:t>
      </w:r>
      <w:r w:rsidRPr="00BB67BD">
        <w:rPr>
          <w:rFonts w:ascii="Times" w:hAnsi="Times"/>
        </w:rPr>
        <w:tab/>
        <w:t>Bodansky.</w:t>
      </w:r>
      <w:proofErr w:type="gramEnd"/>
      <w:r w:rsidRPr="00BB67BD">
        <w:rPr>
          <w:rFonts w:ascii="Times" w:hAnsi="Times"/>
        </w:rPr>
        <w:t xml:space="preserve"> D. (2003)</w:t>
      </w:r>
      <w:r w:rsidRPr="00BB67BD">
        <w:rPr>
          <w:rFonts w:ascii="Times" w:hAnsi="Times"/>
          <w:i/>
        </w:rPr>
        <w:t xml:space="preserve"> </w:t>
      </w:r>
      <w:r w:rsidRPr="00BB67BD">
        <w:rPr>
          <w:rFonts w:ascii="Times" w:hAnsi="Times"/>
        </w:rPr>
        <w:t xml:space="preserve">Early History of Nuclear Energy. </w:t>
      </w:r>
      <w:r w:rsidRPr="00BB67BD">
        <w:rPr>
          <w:rFonts w:ascii="Times" w:hAnsi="Times"/>
          <w:i/>
        </w:rPr>
        <w:t xml:space="preserve">Nuclear Energy: Principles, Practices and Prospects, </w:t>
      </w:r>
      <w:r w:rsidRPr="00751C5B">
        <w:rPr>
          <w:rFonts w:ascii="Times" w:hAnsi="Times"/>
          <w:b/>
        </w:rPr>
        <w:t>2</w:t>
      </w:r>
      <w:r w:rsidRPr="00751C5B">
        <w:rPr>
          <w:rFonts w:ascii="Times" w:hAnsi="Times"/>
          <w:b/>
          <w:vertAlign w:val="superscript"/>
        </w:rPr>
        <w:t>nd</w:t>
      </w:r>
      <w:r w:rsidRPr="00751C5B">
        <w:rPr>
          <w:rFonts w:ascii="Times" w:hAnsi="Times"/>
          <w:b/>
        </w:rPr>
        <w:t xml:space="preserve"> edition</w:t>
      </w:r>
      <w:r w:rsidRPr="00BB67BD">
        <w:rPr>
          <w:rFonts w:ascii="Times" w:hAnsi="Times"/>
        </w:rPr>
        <w:t>. New York, Springer. 27-29.</w:t>
      </w:r>
    </w:p>
    <w:p w14:paraId="3A4977F7" w14:textId="77777777" w:rsidR="004A0DA9" w:rsidRPr="00BB67BD" w:rsidRDefault="004A0DA9" w:rsidP="004A0DA9">
      <w:pPr>
        <w:spacing w:before="240"/>
        <w:ind w:left="720" w:hanging="720"/>
        <w:jc w:val="both"/>
        <w:rPr>
          <w:rFonts w:ascii="Times" w:hAnsi="Times"/>
        </w:rPr>
      </w:pPr>
      <w:r w:rsidRPr="00BB67BD">
        <w:rPr>
          <w:rFonts w:ascii="Times" w:hAnsi="Times"/>
        </w:rPr>
        <w:t>[3]</w:t>
      </w:r>
      <w:r w:rsidRPr="00BB67BD">
        <w:rPr>
          <w:rFonts w:ascii="Times" w:hAnsi="Times"/>
        </w:rPr>
        <w:tab/>
        <w:t xml:space="preserve">Murray, R.L. (2014) Nuclear Energy: An Introduction to the Concepts, Systems, and Applications of Nuclear Processes, Elsevier, 284-288. </w:t>
      </w:r>
    </w:p>
    <w:p w14:paraId="2F8C005E" w14:textId="77777777" w:rsidR="004A0DA9" w:rsidRPr="00BB67BD" w:rsidRDefault="004A0DA9" w:rsidP="004A0DA9">
      <w:pPr>
        <w:spacing w:before="240"/>
        <w:ind w:left="720" w:hanging="720"/>
        <w:jc w:val="both"/>
        <w:rPr>
          <w:rFonts w:ascii="Times" w:hAnsi="Times"/>
        </w:rPr>
      </w:pPr>
      <w:r w:rsidRPr="00BB67BD">
        <w:rPr>
          <w:rFonts w:ascii="Times" w:hAnsi="Times"/>
        </w:rPr>
        <w:t>[4]</w:t>
      </w:r>
      <w:r w:rsidRPr="00BB67BD">
        <w:rPr>
          <w:rFonts w:ascii="Times" w:hAnsi="Times"/>
        </w:rPr>
        <w:tab/>
        <w:t xml:space="preserve">Ghosh, T.K. and Prelas, M.A. (2009) Fundamentals and Non-Renewable Resources. </w:t>
      </w:r>
      <w:r w:rsidRPr="00BB67BD">
        <w:rPr>
          <w:rFonts w:ascii="Times" w:hAnsi="Times"/>
          <w:i/>
        </w:rPr>
        <w:t xml:space="preserve">Energy Resources and Systems.  </w:t>
      </w:r>
      <w:r w:rsidRPr="00BB67BD">
        <w:rPr>
          <w:rFonts w:ascii="Times" w:hAnsi="Times"/>
        </w:rPr>
        <w:t xml:space="preserve">Netherlands, Springer. 453-647. </w:t>
      </w:r>
    </w:p>
    <w:p w14:paraId="28F6F47C" w14:textId="77777777" w:rsidR="004A0DA9" w:rsidRPr="00BB67BD" w:rsidRDefault="004A0DA9" w:rsidP="004A0DA9">
      <w:pPr>
        <w:spacing w:before="240"/>
        <w:ind w:left="720" w:hanging="720"/>
        <w:jc w:val="both"/>
        <w:rPr>
          <w:rFonts w:ascii="Times" w:hAnsi="Times"/>
        </w:rPr>
      </w:pPr>
      <w:proofErr w:type="gramStart"/>
      <w:r w:rsidRPr="00BB67BD">
        <w:rPr>
          <w:rFonts w:ascii="Times" w:hAnsi="Times"/>
        </w:rPr>
        <w:t>[5]</w:t>
      </w:r>
      <w:r w:rsidRPr="00BB67BD">
        <w:rPr>
          <w:rFonts w:ascii="Times" w:hAnsi="Times"/>
        </w:rPr>
        <w:tab/>
        <w:t>Kingery.</w:t>
      </w:r>
      <w:proofErr w:type="gramEnd"/>
      <w:r w:rsidRPr="00BB67BD">
        <w:rPr>
          <w:rFonts w:ascii="Times" w:hAnsi="Times"/>
        </w:rPr>
        <w:t xml:space="preserve"> </w:t>
      </w:r>
      <w:proofErr w:type="gramStart"/>
      <w:r w:rsidRPr="00BB67BD">
        <w:rPr>
          <w:rFonts w:ascii="Times" w:hAnsi="Times"/>
        </w:rPr>
        <w:t>T.B. (2011) Design Principles of Nuclear Materials.</w:t>
      </w:r>
      <w:proofErr w:type="gramEnd"/>
      <w:r w:rsidRPr="00BB67BD">
        <w:rPr>
          <w:rFonts w:ascii="Times" w:hAnsi="Times"/>
        </w:rPr>
        <w:t xml:space="preserve"> </w:t>
      </w:r>
      <w:r w:rsidRPr="00BB67BD">
        <w:rPr>
          <w:rFonts w:ascii="Times" w:hAnsi="Times"/>
          <w:i/>
        </w:rPr>
        <w:t>Nuclear Energy Encyclopedia: Science, Technology and Applications</w:t>
      </w:r>
      <w:r w:rsidRPr="00BB67BD">
        <w:rPr>
          <w:rFonts w:ascii="Times" w:hAnsi="Times"/>
        </w:rPr>
        <w:t xml:space="preserve">. New Jersey, John Wiley &amp; Sons. 101-121. </w:t>
      </w:r>
    </w:p>
    <w:p w14:paraId="250E06D3" w14:textId="77777777" w:rsidR="004A0DA9" w:rsidRPr="00BB67BD" w:rsidRDefault="004A0DA9" w:rsidP="004A0DA9">
      <w:pPr>
        <w:spacing w:before="240"/>
        <w:ind w:left="720" w:hanging="720"/>
        <w:jc w:val="both"/>
        <w:rPr>
          <w:rFonts w:ascii="Times" w:hAnsi="Times"/>
        </w:rPr>
      </w:pPr>
      <w:r w:rsidRPr="00BB67BD">
        <w:rPr>
          <w:rFonts w:ascii="Times" w:hAnsi="Times"/>
        </w:rPr>
        <w:t xml:space="preserve">[6] </w:t>
      </w:r>
      <w:r w:rsidRPr="00BB67BD">
        <w:rPr>
          <w:rFonts w:ascii="Times" w:hAnsi="Times"/>
        </w:rPr>
        <w:tab/>
        <w:t>Mckeen, T. (2005</w:t>
      </w:r>
      <w:proofErr w:type="gramStart"/>
      <w:r w:rsidRPr="00BB67BD">
        <w:rPr>
          <w:rFonts w:ascii="Times" w:hAnsi="Times"/>
        </w:rPr>
        <w:t>)  Advanced</w:t>
      </w:r>
      <w:proofErr w:type="gramEnd"/>
      <w:r w:rsidRPr="00BB67BD">
        <w:rPr>
          <w:rFonts w:ascii="Times" w:hAnsi="Times"/>
        </w:rPr>
        <w:t xml:space="preserve"> Gas Cool Reactors, </w:t>
      </w:r>
      <w:r w:rsidRPr="00BB67BD">
        <w:rPr>
          <w:rFonts w:ascii="Times" w:hAnsi="Times"/>
          <w:i/>
        </w:rPr>
        <w:t xml:space="preserve">Nuclear Energy Materials and Reactors, </w:t>
      </w:r>
      <w:r w:rsidRPr="00BB67BD">
        <w:rPr>
          <w:rFonts w:ascii="Times" w:hAnsi="Times"/>
          <w:b/>
        </w:rPr>
        <w:t>vol II</w:t>
      </w:r>
    </w:p>
    <w:p w14:paraId="262894F6" w14:textId="6067CAF1" w:rsidR="004A0DA9" w:rsidRDefault="004A0DA9" w:rsidP="004A0DA9">
      <w:pPr>
        <w:spacing w:before="240"/>
        <w:ind w:left="720" w:hanging="720"/>
        <w:jc w:val="both"/>
        <w:rPr>
          <w:rFonts w:ascii="Times" w:hAnsi="Times"/>
        </w:rPr>
      </w:pPr>
      <w:r w:rsidRPr="00BB67BD">
        <w:rPr>
          <w:rFonts w:ascii="Times" w:hAnsi="Times"/>
        </w:rPr>
        <w:t>[7]</w:t>
      </w:r>
      <w:r w:rsidRPr="00BB67BD">
        <w:rPr>
          <w:rFonts w:ascii="Times" w:hAnsi="Times"/>
        </w:rPr>
        <w:tab/>
        <w:t xml:space="preserve">International Atomic Energy Agency, (2009) </w:t>
      </w:r>
      <w:r w:rsidRPr="00BB67BD">
        <w:rPr>
          <w:rFonts w:ascii="Times" w:hAnsi="Times"/>
          <w:i/>
        </w:rPr>
        <w:t>IAEA Safety Standards: Classification of Radioactive Waste</w:t>
      </w:r>
      <w:r w:rsidRPr="00BB67BD">
        <w:rPr>
          <w:rFonts w:ascii="Times" w:hAnsi="Times"/>
        </w:rPr>
        <w:t xml:space="preserve">. </w:t>
      </w:r>
    </w:p>
    <w:p w14:paraId="304F8164" w14:textId="3726483D" w:rsidR="004A0DA9" w:rsidRDefault="004A0DA9" w:rsidP="004A0DA9">
      <w:pPr>
        <w:spacing w:before="240" w:after="120" w:line="300" w:lineRule="atLeast"/>
        <w:ind w:left="720" w:hanging="720"/>
        <w:jc w:val="both"/>
        <w:rPr>
          <w:rFonts w:ascii="Times New Roman" w:hAnsi="Times New Roman" w:cs="Times New Roman"/>
        </w:rPr>
      </w:pPr>
      <w:r w:rsidRPr="00BB67BD">
        <w:rPr>
          <w:rFonts w:ascii="Times" w:hAnsi="Times"/>
        </w:rPr>
        <w:t>[</w:t>
      </w:r>
      <w:r w:rsidR="004E2DD8">
        <w:rPr>
          <w:rFonts w:ascii="Times" w:hAnsi="Times"/>
        </w:rPr>
        <w:t>8</w:t>
      </w:r>
      <w:r w:rsidRPr="00BB67BD">
        <w:rPr>
          <w:rFonts w:ascii="Times" w:hAnsi="Times"/>
        </w:rPr>
        <w:t>]</w:t>
      </w:r>
      <w:r w:rsidRPr="00BB67BD">
        <w:rPr>
          <w:rFonts w:ascii="Times" w:hAnsi="Times"/>
        </w:rPr>
        <w:tab/>
      </w:r>
      <w:proofErr w:type="gramStart"/>
      <w:r w:rsidRPr="00BB67BD">
        <w:rPr>
          <w:rFonts w:ascii="Times New Roman" w:hAnsi="Times New Roman" w:cs="Times New Roman"/>
        </w:rPr>
        <w:t>Ojovan, M. and Lee.</w:t>
      </w:r>
      <w:proofErr w:type="gramEnd"/>
      <w:r w:rsidRPr="00BB67BD">
        <w:rPr>
          <w:rFonts w:ascii="Times New Roman" w:hAnsi="Times New Roman" w:cs="Times New Roman"/>
        </w:rPr>
        <w:t xml:space="preserve"> </w:t>
      </w:r>
      <w:proofErr w:type="gramStart"/>
      <w:r w:rsidRPr="00BB67BD">
        <w:rPr>
          <w:rFonts w:ascii="Times New Roman" w:hAnsi="Times New Roman" w:cs="Times New Roman"/>
        </w:rPr>
        <w:t>W.E. (2005) Immobilisation of Radioactive Waste in Cement.</w:t>
      </w:r>
      <w:proofErr w:type="gramEnd"/>
      <w:r w:rsidRPr="00BB67BD">
        <w:rPr>
          <w:rFonts w:ascii="Times New Roman" w:hAnsi="Times New Roman" w:cs="Times New Roman"/>
        </w:rPr>
        <w:t xml:space="preserve"> </w:t>
      </w:r>
      <w:proofErr w:type="gramStart"/>
      <w:r w:rsidRPr="00BB67BD">
        <w:rPr>
          <w:rFonts w:ascii="Times New Roman" w:hAnsi="Times New Roman" w:cs="Times New Roman"/>
          <w:i/>
        </w:rPr>
        <w:t>An Introduction to Nuclear Waste Immobilisation</w:t>
      </w:r>
      <w:r w:rsidRPr="00BB67BD">
        <w:rPr>
          <w:rFonts w:ascii="Times New Roman" w:hAnsi="Times New Roman" w:cs="Times New Roman"/>
        </w:rPr>
        <w:t>.</w:t>
      </w:r>
      <w:proofErr w:type="gramEnd"/>
      <w:r w:rsidRPr="00BB67BD">
        <w:rPr>
          <w:rFonts w:ascii="Times New Roman" w:hAnsi="Times New Roman" w:cs="Times New Roman"/>
        </w:rPr>
        <w:t xml:space="preserve"> Oxford, Elsevier. 179-199.</w:t>
      </w:r>
    </w:p>
    <w:p w14:paraId="1C94777B" w14:textId="50592511" w:rsidR="004E2DD8" w:rsidRPr="00751C5B" w:rsidRDefault="004E2DD8" w:rsidP="00751C5B">
      <w:pPr>
        <w:spacing w:before="240"/>
        <w:ind w:left="720" w:hanging="720"/>
        <w:jc w:val="both"/>
        <w:rPr>
          <w:rFonts w:ascii="Times" w:hAnsi="Times"/>
        </w:rPr>
      </w:pPr>
      <w:r>
        <w:rPr>
          <w:rFonts w:ascii="Times New Roman" w:hAnsi="Times New Roman" w:cs="Times New Roman"/>
        </w:rPr>
        <w:t>[9]</w:t>
      </w:r>
      <w:r>
        <w:rPr>
          <w:rFonts w:ascii="Times New Roman" w:hAnsi="Times New Roman" w:cs="Times New Roman"/>
        </w:rPr>
        <w:tab/>
        <w:t xml:space="preserve">Bingham, A.P., Hand, R.S., Stennett, M.C., Hyatt, N.C., Harrison, M.T., (2008) The Use of Surrogates in Waste Immobilization Studies: A Case Study of Plutonium, </w:t>
      </w:r>
      <w:r>
        <w:rPr>
          <w:rFonts w:ascii="Times New Roman" w:hAnsi="Times New Roman" w:cs="Times New Roman"/>
          <w:i/>
        </w:rPr>
        <w:t xml:space="preserve">MRS Proceedings, </w:t>
      </w:r>
      <w:r>
        <w:rPr>
          <w:rFonts w:ascii="Times New Roman" w:hAnsi="Times New Roman" w:cs="Times New Roman"/>
          <w:b/>
        </w:rPr>
        <w:t xml:space="preserve">1107, </w:t>
      </w:r>
      <w:r>
        <w:rPr>
          <w:rFonts w:ascii="Times New Roman" w:hAnsi="Times New Roman" w:cs="Times New Roman"/>
        </w:rPr>
        <w:t>421-428.</w:t>
      </w:r>
    </w:p>
    <w:p w14:paraId="75239CB0" w14:textId="77777777" w:rsidR="004A0DA9" w:rsidRPr="00BB67BD" w:rsidRDefault="004A0DA9" w:rsidP="004A0DA9">
      <w:pPr>
        <w:spacing w:before="240"/>
        <w:ind w:left="720" w:hanging="720"/>
        <w:jc w:val="both"/>
        <w:rPr>
          <w:rFonts w:ascii="Times New Roman" w:hAnsi="Times New Roman" w:cs="Times New Roman"/>
        </w:rPr>
      </w:pPr>
      <w:proofErr w:type="gramStart"/>
      <w:r w:rsidRPr="00BB67BD">
        <w:rPr>
          <w:rFonts w:ascii="Times New Roman" w:hAnsi="Times New Roman" w:cs="Times New Roman"/>
        </w:rPr>
        <w:t>[10]</w:t>
      </w:r>
      <w:r w:rsidRPr="00BB67BD">
        <w:rPr>
          <w:rFonts w:ascii="Times New Roman" w:hAnsi="Times New Roman" w:cs="Times New Roman"/>
        </w:rPr>
        <w:tab/>
        <w:t xml:space="preserve">Marra, J.C. </w:t>
      </w:r>
      <w:r w:rsidRPr="00BB67BD">
        <w:rPr>
          <w:rFonts w:ascii="Times New Roman" w:hAnsi="Times New Roman" w:cs="Times New Roman"/>
          <w:i/>
        </w:rPr>
        <w:t xml:space="preserve">et al. </w:t>
      </w:r>
      <w:r w:rsidRPr="00BB67BD">
        <w:rPr>
          <w:rFonts w:ascii="Times New Roman" w:hAnsi="Times New Roman" w:cs="Times New Roman"/>
        </w:rPr>
        <w:t>(2012)</w:t>
      </w:r>
      <w:r w:rsidRPr="00BB67BD">
        <w:rPr>
          <w:rFonts w:ascii="Times New Roman" w:hAnsi="Times New Roman" w:cs="Times New Roman"/>
          <w:i/>
        </w:rPr>
        <w:t xml:space="preserve"> </w:t>
      </w:r>
      <w:r w:rsidRPr="00BB67BD">
        <w:rPr>
          <w:rFonts w:ascii="Times New Roman" w:hAnsi="Times New Roman" w:cs="Times New Roman"/>
        </w:rPr>
        <w:t>Cerium as a Surrogate in the Plutonium Immobilized Form.</w:t>
      </w:r>
      <w:proofErr w:type="gramEnd"/>
      <w:r w:rsidRPr="00BB67BD">
        <w:rPr>
          <w:rFonts w:ascii="Times New Roman" w:hAnsi="Times New Roman" w:cs="Times New Roman"/>
        </w:rPr>
        <w:t xml:space="preserve"> </w:t>
      </w:r>
      <w:proofErr w:type="gramStart"/>
      <w:r w:rsidRPr="00BB67BD">
        <w:rPr>
          <w:rFonts w:ascii="Times New Roman" w:hAnsi="Times New Roman" w:cs="Times New Roman"/>
          <w:i/>
        </w:rPr>
        <w:t>Environmental issues and Waste Management Technologies in the Ceramic and Nuclear Industries.</w:t>
      </w:r>
      <w:proofErr w:type="gramEnd"/>
      <w:r w:rsidRPr="00BB67BD">
        <w:rPr>
          <w:rFonts w:ascii="Times New Roman" w:hAnsi="Times New Roman" w:cs="Times New Roman"/>
          <w:i/>
        </w:rPr>
        <w:t xml:space="preserve"> </w:t>
      </w:r>
      <w:proofErr w:type="gramStart"/>
      <w:r w:rsidRPr="00BB67BD">
        <w:rPr>
          <w:rFonts w:ascii="Times New Roman" w:hAnsi="Times New Roman" w:cs="Times New Roman"/>
          <w:b/>
          <w:i/>
        </w:rPr>
        <w:t>VII</w:t>
      </w:r>
      <w:r w:rsidRPr="00BB67BD">
        <w:rPr>
          <w:rFonts w:ascii="Times New Roman" w:hAnsi="Times New Roman" w:cs="Times New Roman"/>
          <w:b/>
        </w:rPr>
        <w:t>,</w:t>
      </w:r>
      <w:r w:rsidRPr="00BB67BD">
        <w:rPr>
          <w:rFonts w:ascii="Times New Roman" w:hAnsi="Times New Roman" w:cs="Times New Roman"/>
        </w:rPr>
        <w:t xml:space="preserve"> 381-388.</w:t>
      </w:r>
      <w:proofErr w:type="gramEnd"/>
    </w:p>
    <w:p w14:paraId="723EF117" w14:textId="77777777" w:rsidR="004A0DA9" w:rsidRPr="00BB67BD" w:rsidRDefault="004A0DA9" w:rsidP="004A0DA9">
      <w:pPr>
        <w:spacing w:before="240"/>
        <w:ind w:left="720" w:hanging="720"/>
        <w:jc w:val="both"/>
        <w:rPr>
          <w:rFonts w:ascii="Times New Roman" w:hAnsi="Times New Roman" w:cs="Times New Roman"/>
        </w:rPr>
      </w:pPr>
      <w:r w:rsidRPr="00BB67BD">
        <w:rPr>
          <w:rFonts w:ascii="Times New Roman" w:hAnsi="Times New Roman" w:cs="Times New Roman"/>
        </w:rPr>
        <w:t>[11]</w:t>
      </w:r>
      <w:r w:rsidRPr="00BB67BD">
        <w:rPr>
          <w:rFonts w:ascii="Times New Roman" w:hAnsi="Times New Roman" w:cs="Times New Roman"/>
        </w:rPr>
        <w:tab/>
      </w:r>
      <w:proofErr w:type="gramStart"/>
      <w:r w:rsidRPr="00BB67BD">
        <w:rPr>
          <w:rFonts w:ascii="Times New Roman" w:hAnsi="Times New Roman" w:cs="Times New Roman"/>
        </w:rPr>
        <w:t xml:space="preserve">Shiraishi, F. and Hosoe, M. (1968) Energy ad Time-of-flight correlation experiments with solid-state detectors for mass distribution measurement of </w:t>
      </w:r>
      <w:r w:rsidRPr="00BB67BD">
        <w:rPr>
          <w:rFonts w:ascii="Times New Roman" w:hAnsi="Times New Roman" w:cs="Times New Roman"/>
          <w:vertAlign w:val="superscript"/>
        </w:rPr>
        <w:t>235</w:t>
      </w:r>
      <w:r w:rsidRPr="00BB67BD">
        <w:rPr>
          <w:rFonts w:ascii="Times New Roman" w:hAnsi="Times New Roman" w:cs="Times New Roman"/>
        </w:rPr>
        <w:t xml:space="preserve">U fission fragments, </w:t>
      </w:r>
      <w:r w:rsidRPr="00BB67BD">
        <w:rPr>
          <w:rFonts w:ascii="Times New Roman" w:hAnsi="Times New Roman" w:cs="Times New Roman"/>
          <w:i/>
        </w:rPr>
        <w:t>Nuclear Instruments and Methods.</w:t>
      </w:r>
      <w:proofErr w:type="gramEnd"/>
      <w:r w:rsidRPr="00BB67BD">
        <w:rPr>
          <w:rFonts w:ascii="Times New Roman" w:hAnsi="Times New Roman" w:cs="Times New Roman"/>
        </w:rPr>
        <w:t xml:space="preserve"> </w:t>
      </w:r>
      <w:proofErr w:type="gramStart"/>
      <w:r w:rsidRPr="00BB67BD">
        <w:rPr>
          <w:rFonts w:ascii="Times New Roman" w:hAnsi="Times New Roman" w:cs="Times New Roman"/>
          <w:b/>
        </w:rPr>
        <w:t xml:space="preserve">66, </w:t>
      </w:r>
      <w:r w:rsidRPr="00BB67BD">
        <w:rPr>
          <w:rFonts w:ascii="Times New Roman" w:hAnsi="Times New Roman" w:cs="Times New Roman"/>
        </w:rPr>
        <w:t>130-136.</w:t>
      </w:r>
      <w:proofErr w:type="gramEnd"/>
      <w:r w:rsidRPr="00BB67BD">
        <w:rPr>
          <w:rFonts w:ascii="Times New Roman" w:hAnsi="Times New Roman" w:cs="Times New Roman"/>
        </w:rPr>
        <w:t xml:space="preserve"> </w:t>
      </w:r>
    </w:p>
    <w:p w14:paraId="73B3E195" w14:textId="77777777" w:rsidR="004A0DA9" w:rsidRPr="00BB67BD" w:rsidRDefault="004A0DA9" w:rsidP="004A0DA9">
      <w:pPr>
        <w:spacing w:before="240"/>
        <w:ind w:left="720" w:hanging="720"/>
        <w:jc w:val="both"/>
        <w:rPr>
          <w:rFonts w:ascii="Times New Roman" w:hAnsi="Times New Roman" w:cs="Times New Roman"/>
        </w:rPr>
      </w:pPr>
      <w:r w:rsidRPr="00BB67BD">
        <w:rPr>
          <w:rFonts w:ascii="Times New Roman" w:hAnsi="Times New Roman" w:cs="Times New Roman"/>
        </w:rPr>
        <w:t>[12]</w:t>
      </w:r>
      <w:r w:rsidRPr="00BB67BD">
        <w:rPr>
          <w:rFonts w:ascii="Times New Roman" w:hAnsi="Times New Roman" w:cs="Times New Roman"/>
        </w:rPr>
        <w:tab/>
        <w:t xml:space="preserve">Atwood, D.A. (2013) </w:t>
      </w:r>
      <w:r w:rsidRPr="00BB67BD">
        <w:rPr>
          <w:rFonts w:ascii="Times New Roman" w:hAnsi="Times New Roman" w:cs="Times New Roman"/>
          <w:i/>
        </w:rPr>
        <w:t>Radionuclides in the Environment</w:t>
      </w:r>
      <w:r w:rsidRPr="00BB67BD">
        <w:rPr>
          <w:rFonts w:ascii="Times New Roman" w:hAnsi="Times New Roman" w:cs="Times New Roman"/>
        </w:rPr>
        <w:t xml:space="preserve">, John Wiley &amp; Sons </w:t>
      </w:r>
    </w:p>
    <w:p w14:paraId="56E2166D" w14:textId="77777777" w:rsidR="004A0DA9" w:rsidRPr="00BB67BD" w:rsidRDefault="004A0DA9" w:rsidP="004A0DA9">
      <w:pPr>
        <w:spacing w:before="240"/>
        <w:ind w:left="720" w:hanging="720"/>
        <w:jc w:val="both"/>
        <w:rPr>
          <w:rFonts w:ascii="Times New Roman" w:hAnsi="Times New Roman" w:cs="Times New Roman"/>
        </w:rPr>
      </w:pPr>
      <w:r w:rsidRPr="00BB67BD">
        <w:rPr>
          <w:rFonts w:ascii="Times New Roman" w:hAnsi="Times New Roman" w:cs="Times New Roman"/>
        </w:rPr>
        <w:t>[13]</w:t>
      </w:r>
      <w:r w:rsidRPr="00BB67BD">
        <w:rPr>
          <w:rFonts w:ascii="Times New Roman" w:hAnsi="Times New Roman" w:cs="Times New Roman"/>
        </w:rPr>
        <w:tab/>
        <w:t xml:space="preserve">Green, N. et al. (1996) Factors Affecting the Transfer of Radionuclides to Sheep Grazing on Pastures Reclaimed from the Sea, </w:t>
      </w:r>
      <w:r w:rsidRPr="00BB67BD">
        <w:rPr>
          <w:rFonts w:ascii="Times New Roman" w:hAnsi="Times New Roman" w:cs="Times New Roman"/>
          <w:i/>
        </w:rPr>
        <w:t>J.Environ. Radioactivity</w:t>
      </w:r>
      <w:r w:rsidRPr="00BB67BD">
        <w:rPr>
          <w:rFonts w:ascii="Times New Roman" w:hAnsi="Times New Roman" w:cs="Times New Roman"/>
        </w:rPr>
        <w:t xml:space="preserve">. </w:t>
      </w:r>
      <w:proofErr w:type="gramStart"/>
      <w:r w:rsidRPr="00BB67BD">
        <w:rPr>
          <w:rFonts w:ascii="Times New Roman" w:hAnsi="Times New Roman" w:cs="Times New Roman"/>
          <w:b/>
        </w:rPr>
        <w:t xml:space="preserve">30, </w:t>
      </w:r>
      <w:r w:rsidRPr="00BB67BD">
        <w:rPr>
          <w:rFonts w:ascii="Times New Roman" w:hAnsi="Times New Roman" w:cs="Times New Roman"/>
        </w:rPr>
        <w:t>173-183.</w:t>
      </w:r>
      <w:proofErr w:type="gramEnd"/>
      <w:r w:rsidRPr="00BB67BD">
        <w:rPr>
          <w:rFonts w:ascii="Times New Roman" w:hAnsi="Times New Roman" w:cs="Times New Roman"/>
        </w:rPr>
        <w:t xml:space="preserve"> </w:t>
      </w:r>
    </w:p>
    <w:p w14:paraId="3A8332D5" w14:textId="77777777" w:rsidR="004A0DA9" w:rsidRPr="00BB67BD" w:rsidRDefault="004A0DA9" w:rsidP="004A0DA9">
      <w:pPr>
        <w:spacing w:before="240"/>
        <w:ind w:left="720" w:hanging="720"/>
        <w:jc w:val="both"/>
        <w:rPr>
          <w:rFonts w:ascii="Times New Roman" w:hAnsi="Times New Roman" w:cs="Times New Roman"/>
        </w:rPr>
      </w:pPr>
      <w:r w:rsidRPr="00BB67BD">
        <w:rPr>
          <w:rFonts w:ascii="Times New Roman" w:hAnsi="Times New Roman" w:cs="Times New Roman"/>
        </w:rPr>
        <w:t>[14]</w:t>
      </w:r>
      <w:r w:rsidRPr="00BB67BD">
        <w:rPr>
          <w:rFonts w:ascii="Times New Roman" w:hAnsi="Times New Roman" w:cs="Times New Roman"/>
        </w:rPr>
        <w:tab/>
        <w:t xml:space="preserve">Ishizuka, H. (2011, November 26). </w:t>
      </w:r>
      <w:r w:rsidRPr="00BB67BD">
        <w:rPr>
          <w:rFonts w:ascii="Times New Roman" w:hAnsi="Times New Roman" w:cs="Times New Roman"/>
          <w:lang w:val="en-GB"/>
        </w:rPr>
        <w:t>Caesium from Fukushima plant fell all over Japan</w:t>
      </w:r>
      <w:r w:rsidRPr="00BB67BD">
        <w:rPr>
          <w:rFonts w:ascii="Times New Roman" w:hAnsi="Times New Roman" w:cs="Times New Roman"/>
          <w:i/>
          <w:lang w:val="en-GB"/>
        </w:rPr>
        <w:t xml:space="preserve">, </w:t>
      </w:r>
      <w:r w:rsidRPr="00BB67BD">
        <w:rPr>
          <w:rFonts w:ascii="Times New Roman" w:hAnsi="Times New Roman" w:cs="Times New Roman"/>
          <w:i/>
        </w:rPr>
        <w:t>The Asahi Shimbun</w:t>
      </w:r>
      <w:r w:rsidRPr="00BB67BD">
        <w:rPr>
          <w:rFonts w:ascii="Times New Roman" w:hAnsi="Times New Roman" w:cs="Times New Roman"/>
        </w:rPr>
        <w:t xml:space="preserve">. Retrieved from http://ajw.asahi.com. </w:t>
      </w:r>
    </w:p>
    <w:p w14:paraId="5641EA0C" w14:textId="77777777" w:rsidR="004A0DA9" w:rsidRPr="00BB67BD" w:rsidRDefault="004A0DA9" w:rsidP="004A0DA9">
      <w:pPr>
        <w:spacing w:before="240"/>
        <w:ind w:left="720" w:hanging="720"/>
        <w:jc w:val="both"/>
        <w:rPr>
          <w:rFonts w:ascii="Times New Roman" w:hAnsi="Times New Roman" w:cs="Times New Roman"/>
        </w:rPr>
      </w:pPr>
      <w:proofErr w:type="gramStart"/>
      <w:r w:rsidRPr="00BB67BD">
        <w:rPr>
          <w:rFonts w:ascii="Times New Roman" w:hAnsi="Times New Roman" w:cs="Times New Roman"/>
        </w:rPr>
        <w:t>[15]</w:t>
      </w:r>
      <w:r w:rsidRPr="00BB67BD">
        <w:rPr>
          <w:rFonts w:ascii="Times New Roman" w:hAnsi="Times New Roman" w:cs="Times New Roman"/>
        </w:rPr>
        <w:tab/>
        <w:t>Eisler, R. (2012) The Fukushima 2011 Disaster, CRC Press.</w:t>
      </w:r>
      <w:proofErr w:type="gramEnd"/>
      <w:r w:rsidRPr="00BB67BD">
        <w:rPr>
          <w:rFonts w:ascii="Times New Roman" w:hAnsi="Times New Roman" w:cs="Times New Roman"/>
        </w:rPr>
        <w:t xml:space="preserve"> </w:t>
      </w:r>
    </w:p>
    <w:p w14:paraId="39BCB1F1" w14:textId="52AE216E" w:rsidR="004A0DA9" w:rsidRPr="00BB67BD" w:rsidRDefault="004A0DA9" w:rsidP="004A0DA9">
      <w:pPr>
        <w:spacing w:before="240"/>
        <w:ind w:left="720" w:hanging="720"/>
        <w:jc w:val="both"/>
        <w:rPr>
          <w:rFonts w:ascii="Times New Roman" w:hAnsi="Times New Roman" w:cs="Times New Roman"/>
        </w:rPr>
      </w:pPr>
      <w:r w:rsidRPr="00BB67BD">
        <w:rPr>
          <w:rFonts w:ascii="Times New Roman" w:hAnsi="Times New Roman" w:cs="Times New Roman"/>
        </w:rPr>
        <w:lastRenderedPageBreak/>
        <w:t>[16]</w:t>
      </w:r>
      <w:r w:rsidRPr="00BB67BD">
        <w:rPr>
          <w:rFonts w:ascii="Times New Roman" w:hAnsi="Times New Roman" w:cs="Times New Roman"/>
        </w:rPr>
        <w:tab/>
        <w:t xml:space="preserve">Krebs, R.E., (2006) The History and Use of Our Earth’s </w:t>
      </w:r>
      <w:r w:rsidR="00E12E35" w:rsidRPr="00BB67BD">
        <w:rPr>
          <w:rFonts w:ascii="Times New Roman" w:hAnsi="Times New Roman" w:cs="Times New Roman"/>
        </w:rPr>
        <w:t>Chemical</w:t>
      </w:r>
      <w:r w:rsidRPr="00BB67BD">
        <w:rPr>
          <w:rFonts w:ascii="Times New Roman" w:hAnsi="Times New Roman" w:cs="Times New Roman"/>
        </w:rPr>
        <w:t xml:space="preserve"> Elements: A Reference guide, Greenwood publishing group. </w:t>
      </w:r>
    </w:p>
    <w:p w14:paraId="17032D64" w14:textId="77777777" w:rsidR="004A0DA9" w:rsidRPr="00BB67BD" w:rsidRDefault="004A0DA9" w:rsidP="004A0DA9">
      <w:pPr>
        <w:spacing w:before="240"/>
        <w:ind w:left="720" w:hanging="720"/>
        <w:jc w:val="both"/>
        <w:rPr>
          <w:rFonts w:ascii="Times New Roman" w:hAnsi="Times New Roman" w:cs="Times New Roman"/>
        </w:rPr>
      </w:pPr>
      <w:r w:rsidRPr="00BB67BD">
        <w:rPr>
          <w:rFonts w:ascii="Times New Roman" w:hAnsi="Times New Roman" w:cs="Times New Roman"/>
        </w:rPr>
        <w:t>[17]</w:t>
      </w:r>
      <w:r w:rsidRPr="00BB67BD">
        <w:rPr>
          <w:rFonts w:ascii="Times New Roman" w:hAnsi="Times New Roman" w:cs="Times New Roman"/>
        </w:rPr>
        <w:tab/>
      </w:r>
      <w:proofErr w:type="gramStart"/>
      <w:r w:rsidRPr="00BB67BD">
        <w:rPr>
          <w:rFonts w:ascii="Times New Roman" w:hAnsi="Times New Roman" w:cs="Times New Roman"/>
        </w:rPr>
        <w:t xml:space="preserve">Atkins, M. and Glasser, F. (1992) Application of Portland Cement-Based Materials to Radioactive Waste Immobilization, </w:t>
      </w:r>
      <w:r w:rsidRPr="00BB67BD">
        <w:rPr>
          <w:rFonts w:ascii="Times New Roman" w:hAnsi="Times New Roman" w:cs="Times New Roman"/>
          <w:i/>
        </w:rPr>
        <w:t>Waste Management.</w:t>
      </w:r>
      <w:proofErr w:type="gramEnd"/>
      <w:r w:rsidRPr="00BB67BD">
        <w:rPr>
          <w:rFonts w:ascii="Times New Roman" w:hAnsi="Times New Roman" w:cs="Times New Roman"/>
        </w:rPr>
        <w:t xml:space="preserve"> </w:t>
      </w:r>
      <w:proofErr w:type="gramStart"/>
      <w:r w:rsidRPr="00BB67BD">
        <w:rPr>
          <w:rFonts w:ascii="Times New Roman" w:hAnsi="Times New Roman" w:cs="Times New Roman"/>
          <w:b/>
        </w:rPr>
        <w:t>12,</w:t>
      </w:r>
      <w:r w:rsidRPr="00BB67BD">
        <w:rPr>
          <w:rFonts w:ascii="Times New Roman" w:hAnsi="Times New Roman" w:cs="Times New Roman"/>
        </w:rPr>
        <w:t xml:space="preserve"> 105-131.</w:t>
      </w:r>
      <w:proofErr w:type="gramEnd"/>
      <w:r w:rsidRPr="00BB67BD">
        <w:rPr>
          <w:rFonts w:ascii="Times New Roman" w:hAnsi="Times New Roman" w:cs="Times New Roman"/>
        </w:rPr>
        <w:t xml:space="preserve"> </w:t>
      </w:r>
    </w:p>
    <w:p w14:paraId="6FF109B3" w14:textId="7D45478F" w:rsidR="004A0DA9" w:rsidRPr="00BB67BD" w:rsidRDefault="004A0DA9" w:rsidP="004A0DA9">
      <w:pPr>
        <w:spacing w:before="240"/>
        <w:ind w:left="720" w:hanging="720"/>
        <w:jc w:val="both"/>
        <w:rPr>
          <w:rFonts w:ascii="Times New Roman" w:hAnsi="Times New Roman" w:cs="Times New Roman"/>
        </w:rPr>
      </w:pPr>
      <w:r w:rsidRPr="00BB67BD">
        <w:rPr>
          <w:rFonts w:ascii="Times New Roman" w:hAnsi="Times New Roman" w:cs="Times New Roman"/>
        </w:rPr>
        <w:t>[</w:t>
      </w:r>
      <w:proofErr w:type="gramStart"/>
      <w:r w:rsidRPr="00BB67BD">
        <w:rPr>
          <w:rFonts w:ascii="Times New Roman" w:hAnsi="Times New Roman" w:cs="Times New Roman"/>
        </w:rPr>
        <w:t>18 ]</w:t>
      </w:r>
      <w:proofErr w:type="gramEnd"/>
      <w:r w:rsidRPr="00BB67BD">
        <w:rPr>
          <w:rFonts w:ascii="Times New Roman" w:hAnsi="Times New Roman" w:cs="Times New Roman"/>
        </w:rPr>
        <w:tab/>
        <w:t xml:space="preserve">Hewlett, P. (2004) Portland </w:t>
      </w:r>
      <w:r w:rsidR="006D108B" w:rsidRPr="00BB67BD">
        <w:rPr>
          <w:rFonts w:ascii="Times New Roman" w:hAnsi="Times New Roman" w:cs="Times New Roman"/>
        </w:rPr>
        <w:t>cement</w:t>
      </w:r>
      <w:r w:rsidRPr="00BB67BD">
        <w:rPr>
          <w:rFonts w:ascii="Times New Roman" w:hAnsi="Times New Roman" w:cs="Times New Roman"/>
        </w:rPr>
        <w:t xml:space="preserve">: Classification and Manufacture. </w:t>
      </w:r>
      <w:proofErr w:type="gramStart"/>
      <w:r w:rsidRPr="00BB67BD">
        <w:rPr>
          <w:rFonts w:ascii="Times New Roman" w:hAnsi="Times New Roman" w:cs="Times New Roman"/>
        </w:rPr>
        <w:t xml:space="preserve">Lea’s </w:t>
      </w:r>
      <w:r w:rsidRPr="00BB67BD">
        <w:rPr>
          <w:rFonts w:ascii="Times New Roman" w:hAnsi="Times New Roman" w:cs="Times New Roman"/>
          <w:i/>
        </w:rPr>
        <w:t>Chemistry of Cement and Concrete, Fourth Edition.</w:t>
      </w:r>
      <w:proofErr w:type="gramEnd"/>
      <w:r w:rsidRPr="00BB67BD">
        <w:rPr>
          <w:rFonts w:ascii="Times New Roman" w:hAnsi="Times New Roman" w:cs="Times New Roman"/>
          <w:i/>
        </w:rPr>
        <w:t xml:space="preserve"> </w:t>
      </w:r>
      <w:r w:rsidRPr="00BB67BD">
        <w:rPr>
          <w:rFonts w:ascii="Times New Roman" w:hAnsi="Times New Roman" w:cs="Times New Roman"/>
        </w:rPr>
        <w:t xml:space="preserve">Elsevier. 25-90. </w:t>
      </w:r>
    </w:p>
    <w:p w14:paraId="0D0E16F6" w14:textId="77777777" w:rsidR="004A0DA9" w:rsidRPr="00BB67BD" w:rsidRDefault="004A0DA9" w:rsidP="004A0DA9">
      <w:pPr>
        <w:spacing w:before="240"/>
        <w:ind w:left="720" w:hanging="720"/>
        <w:jc w:val="both"/>
        <w:rPr>
          <w:rFonts w:ascii="Times New Roman" w:hAnsi="Times New Roman" w:cs="Times New Roman"/>
          <w:lang w:val="en-GB"/>
        </w:rPr>
      </w:pPr>
      <w:r w:rsidRPr="00BB67BD">
        <w:rPr>
          <w:rFonts w:ascii="Times New Roman" w:hAnsi="Times New Roman" w:cs="Times New Roman"/>
          <w:lang w:val="en-GB"/>
        </w:rPr>
        <w:t>[19]</w:t>
      </w:r>
      <w:r w:rsidRPr="00BB67BD">
        <w:rPr>
          <w:rFonts w:ascii="Times New Roman" w:hAnsi="Times New Roman" w:cs="Times New Roman"/>
          <w:lang w:val="en-GB"/>
        </w:rPr>
        <w:tab/>
        <w:t xml:space="preserve">Feldman, R. and Sereda, P. (1968) </w:t>
      </w:r>
      <w:proofErr w:type="gramStart"/>
      <w:r w:rsidRPr="00BB67BD">
        <w:rPr>
          <w:rFonts w:ascii="Times New Roman" w:hAnsi="Times New Roman" w:cs="Times New Roman"/>
          <w:lang w:val="en-GB"/>
        </w:rPr>
        <w:t>A</w:t>
      </w:r>
      <w:proofErr w:type="gramEnd"/>
      <w:r w:rsidRPr="00BB67BD">
        <w:rPr>
          <w:rFonts w:ascii="Times New Roman" w:hAnsi="Times New Roman" w:cs="Times New Roman"/>
          <w:lang w:val="en-GB"/>
        </w:rPr>
        <w:t xml:space="preserve"> model for hydrated Portland cement paste as deduced from sorption-length change and mechanical properties, Materials and Structures. </w:t>
      </w:r>
      <w:proofErr w:type="gramStart"/>
      <w:r w:rsidRPr="00BB67BD">
        <w:rPr>
          <w:rFonts w:ascii="Times New Roman" w:hAnsi="Times New Roman" w:cs="Times New Roman"/>
          <w:b/>
          <w:lang w:val="en-GB"/>
        </w:rPr>
        <w:t xml:space="preserve">1, </w:t>
      </w:r>
      <w:r w:rsidRPr="00BB67BD">
        <w:rPr>
          <w:rFonts w:ascii="Times New Roman" w:hAnsi="Times New Roman" w:cs="Times New Roman"/>
          <w:lang w:val="en-GB"/>
        </w:rPr>
        <w:t>509-520.</w:t>
      </w:r>
      <w:proofErr w:type="gramEnd"/>
      <w:r w:rsidRPr="00BB67BD">
        <w:rPr>
          <w:rFonts w:ascii="Times New Roman" w:hAnsi="Times New Roman" w:cs="Times New Roman"/>
          <w:lang w:val="en-GB"/>
        </w:rPr>
        <w:t xml:space="preserve"> </w:t>
      </w:r>
    </w:p>
    <w:p w14:paraId="70938374" w14:textId="77777777" w:rsidR="004A0DA9" w:rsidRPr="00BB67BD" w:rsidRDefault="004A0DA9" w:rsidP="004A0DA9">
      <w:pPr>
        <w:spacing w:before="240"/>
        <w:ind w:left="720" w:hanging="720"/>
        <w:jc w:val="both"/>
        <w:rPr>
          <w:rFonts w:ascii="Times New Roman" w:hAnsi="Times New Roman" w:cs="Times New Roman"/>
          <w:lang w:val="en-GB"/>
        </w:rPr>
      </w:pPr>
      <w:proofErr w:type="gramStart"/>
      <w:r w:rsidRPr="00BB67BD">
        <w:rPr>
          <w:rFonts w:ascii="Times New Roman" w:hAnsi="Times New Roman" w:cs="Times New Roman"/>
          <w:lang w:val="en-GB"/>
        </w:rPr>
        <w:t>[20]</w:t>
      </w:r>
      <w:r w:rsidRPr="00BB67BD">
        <w:rPr>
          <w:rFonts w:ascii="Times New Roman" w:hAnsi="Times New Roman" w:cs="Times New Roman"/>
          <w:lang w:val="en-GB"/>
        </w:rPr>
        <w:tab/>
        <w:t xml:space="preserve"> Taylor, H. (1997) Hydration of the calcium silicate phases.</w:t>
      </w:r>
      <w:proofErr w:type="gramEnd"/>
      <w:r w:rsidRPr="00BB67BD">
        <w:rPr>
          <w:rFonts w:ascii="Times New Roman" w:hAnsi="Times New Roman" w:cs="Times New Roman"/>
          <w:lang w:val="en-GB"/>
        </w:rPr>
        <w:t xml:space="preserve"> </w:t>
      </w:r>
      <w:r w:rsidRPr="00BB67BD">
        <w:rPr>
          <w:rFonts w:ascii="Times New Roman" w:hAnsi="Times New Roman" w:cs="Times New Roman"/>
          <w:i/>
          <w:lang w:val="en-GB"/>
        </w:rPr>
        <w:t>Cement Chemistry</w:t>
      </w:r>
      <w:r w:rsidRPr="00BB67BD">
        <w:rPr>
          <w:rFonts w:ascii="Times New Roman" w:hAnsi="Times New Roman" w:cs="Times New Roman"/>
          <w:lang w:val="en-GB"/>
        </w:rPr>
        <w:t xml:space="preserve">. </w:t>
      </w:r>
      <w:proofErr w:type="gramStart"/>
      <w:r w:rsidRPr="00BB67BD">
        <w:rPr>
          <w:rFonts w:ascii="Times New Roman" w:hAnsi="Times New Roman" w:cs="Times New Roman"/>
          <w:lang w:val="en-GB"/>
        </w:rPr>
        <w:t>London, Academic Press.</w:t>
      </w:r>
      <w:proofErr w:type="gramEnd"/>
      <w:r w:rsidRPr="00BB67BD">
        <w:rPr>
          <w:rFonts w:ascii="Times New Roman" w:hAnsi="Times New Roman" w:cs="Times New Roman"/>
          <w:lang w:val="en-GB"/>
        </w:rPr>
        <w:t xml:space="preserve"> 123-165.</w:t>
      </w:r>
    </w:p>
    <w:p w14:paraId="6626D9CC" w14:textId="77777777" w:rsidR="004A0DA9" w:rsidRPr="00BB67BD" w:rsidRDefault="004A0DA9" w:rsidP="004A0DA9">
      <w:pPr>
        <w:spacing w:before="240"/>
        <w:ind w:left="720" w:hanging="720"/>
        <w:jc w:val="both"/>
        <w:rPr>
          <w:rFonts w:ascii="Times New Roman" w:hAnsi="Times New Roman" w:cs="Times New Roman"/>
          <w:b/>
        </w:rPr>
      </w:pPr>
      <w:r w:rsidRPr="00BB67BD">
        <w:rPr>
          <w:rFonts w:ascii="Times New Roman" w:hAnsi="Times New Roman" w:cs="Times New Roman"/>
          <w:lang w:val="en-GB"/>
        </w:rPr>
        <w:t>[21]</w:t>
      </w:r>
      <w:r w:rsidRPr="00BB67BD">
        <w:rPr>
          <w:rFonts w:ascii="Times New Roman" w:hAnsi="Times New Roman" w:cs="Times New Roman"/>
          <w:lang w:val="en-GB"/>
        </w:rPr>
        <w:tab/>
        <w:t xml:space="preserve">Richardson, I.G (2008) Calcium silicate hydrates, </w:t>
      </w:r>
      <w:r w:rsidRPr="00BB67BD">
        <w:rPr>
          <w:rFonts w:ascii="Times New Roman" w:hAnsi="Times New Roman" w:cs="Times New Roman"/>
          <w:i/>
          <w:lang w:val="en-GB"/>
        </w:rPr>
        <w:t>Cement and concrete research,</w:t>
      </w:r>
      <w:r w:rsidRPr="00BB67BD">
        <w:rPr>
          <w:rFonts w:ascii="Times New Roman" w:hAnsi="Times New Roman" w:cs="Times New Roman"/>
          <w:lang w:val="en-GB"/>
        </w:rPr>
        <w:t xml:space="preserve"> </w:t>
      </w:r>
      <w:r w:rsidRPr="00BB67BD">
        <w:rPr>
          <w:rFonts w:ascii="Times New Roman" w:hAnsi="Times New Roman" w:cs="Times New Roman"/>
          <w:b/>
          <w:lang w:val="en-GB"/>
        </w:rPr>
        <w:t>38</w:t>
      </w:r>
      <w:r w:rsidRPr="00BB67BD">
        <w:rPr>
          <w:rFonts w:ascii="Times New Roman" w:hAnsi="Times New Roman" w:cs="Times New Roman"/>
          <w:b/>
        </w:rPr>
        <w:t xml:space="preserve">, 2, </w:t>
      </w:r>
      <w:r w:rsidRPr="00BB67BD">
        <w:rPr>
          <w:rFonts w:ascii="Times New Roman" w:hAnsi="Times New Roman" w:cs="Times New Roman"/>
        </w:rPr>
        <w:t>137-158</w:t>
      </w:r>
    </w:p>
    <w:p w14:paraId="7B7E4D3C" w14:textId="77777777" w:rsidR="004A0DA9" w:rsidRPr="00BB67BD" w:rsidRDefault="004A0DA9" w:rsidP="004A0DA9">
      <w:pPr>
        <w:spacing w:before="240"/>
        <w:ind w:left="720" w:hanging="720"/>
        <w:jc w:val="both"/>
        <w:rPr>
          <w:rFonts w:ascii="Times New Roman" w:hAnsi="Times New Roman" w:cs="Times New Roman"/>
          <w:lang w:val="en-GB"/>
        </w:rPr>
      </w:pPr>
      <w:r w:rsidRPr="00BB67BD">
        <w:rPr>
          <w:rFonts w:ascii="Times New Roman" w:hAnsi="Times New Roman" w:cs="Times New Roman"/>
          <w:lang w:val="en-GB"/>
        </w:rPr>
        <w:t>[22]</w:t>
      </w:r>
      <w:r w:rsidRPr="00BB67BD">
        <w:rPr>
          <w:rFonts w:ascii="Times New Roman" w:hAnsi="Times New Roman" w:cs="Times New Roman"/>
          <w:lang w:val="en-GB"/>
        </w:rPr>
        <w:tab/>
        <w:t xml:space="preserve">Scrivener, K.L. (1984) Development of Microstructure during the Hydration of Portland </w:t>
      </w:r>
      <w:proofErr w:type="gramStart"/>
      <w:r w:rsidRPr="00BB67BD">
        <w:rPr>
          <w:rFonts w:ascii="Times New Roman" w:hAnsi="Times New Roman" w:cs="Times New Roman"/>
          <w:lang w:val="en-GB"/>
        </w:rPr>
        <w:t>Cement</w:t>
      </w:r>
      <w:proofErr w:type="gramEnd"/>
      <w:r w:rsidRPr="00BB67BD">
        <w:rPr>
          <w:rFonts w:ascii="Times New Roman" w:hAnsi="Times New Roman" w:cs="Times New Roman"/>
          <w:lang w:val="en-GB"/>
        </w:rPr>
        <w:t xml:space="preserve">.  </w:t>
      </w:r>
      <w:r w:rsidRPr="00BB67BD">
        <w:rPr>
          <w:rFonts w:ascii="Times New Roman" w:hAnsi="Times New Roman" w:cs="Times New Roman"/>
          <w:i/>
          <w:lang w:val="en-GB"/>
        </w:rPr>
        <w:t>PhD Thesis</w:t>
      </w:r>
      <w:r w:rsidRPr="00BB67BD">
        <w:rPr>
          <w:rFonts w:ascii="Times New Roman" w:hAnsi="Times New Roman" w:cs="Times New Roman"/>
          <w:lang w:val="en-GB"/>
        </w:rPr>
        <w:t xml:space="preserve">. </w:t>
      </w:r>
      <w:proofErr w:type="gramStart"/>
      <w:r w:rsidRPr="00BB67BD">
        <w:rPr>
          <w:rFonts w:ascii="Times New Roman" w:hAnsi="Times New Roman" w:cs="Times New Roman"/>
          <w:lang w:val="en-GB"/>
        </w:rPr>
        <w:t>University of London.</w:t>
      </w:r>
      <w:proofErr w:type="gramEnd"/>
    </w:p>
    <w:p w14:paraId="3765E6BE" w14:textId="65D7278B" w:rsidR="004A0DA9" w:rsidRPr="00BB67BD" w:rsidRDefault="004A0DA9" w:rsidP="004A0DA9">
      <w:pPr>
        <w:spacing w:before="240" w:after="120"/>
        <w:ind w:left="720" w:hanging="720"/>
        <w:jc w:val="both"/>
        <w:rPr>
          <w:rFonts w:ascii="Times New Roman" w:hAnsi="Times New Roman" w:cs="Times New Roman"/>
          <w:lang w:val="en-GB"/>
        </w:rPr>
      </w:pPr>
      <w:r w:rsidRPr="00BB67BD">
        <w:rPr>
          <w:rFonts w:ascii="Times New Roman" w:hAnsi="Times New Roman" w:cs="Times New Roman"/>
          <w:lang w:val="en-GB"/>
        </w:rPr>
        <w:t>[23]</w:t>
      </w:r>
      <w:r w:rsidRPr="00BB67BD">
        <w:rPr>
          <w:rFonts w:ascii="Times New Roman" w:hAnsi="Times New Roman" w:cs="Times New Roman"/>
          <w:lang w:val="en-GB"/>
        </w:rPr>
        <w:tab/>
        <w:t xml:space="preserve">Bensted, J, Barnes P. (2008) Hydration of </w:t>
      </w:r>
      <w:r w:rsidR="00E12E35" w:rsidRPr="00BB67BD">
        <w:rPr>
          <w:rFonts w:ascii="Times New Roman" w:hAnsi="Times New Roman" w:cs="Times New Roman"/>
          <w:lang w:val="en-GB"/>
        </w:rPr>
        <w:t>Portland</w:t>
      </w:r>
      <w:r w:rsidRPr="00BB67BD">
        <w:rPr>
          <w:rFonts w:ascii="Times New Roman" w:hAnsi="Times New Roman" w:cs="Times New Roman"/>
          <w:lang w:val="en-GB"/>
        </w:rPr>
        <w:t xml:space="preserve"> cement </w:t>
      </w:r>
      <w:r w:rsidRPr="00BB67BD">
        <w:rPr>
          <w:rFonts w:ascii="Times New Roman" w:hAnsi="Times New Roman" w:cs="Times New Roman"/>
          <w:i/>
          <w:lang w:val="en-GB"/>
        </w:rPr>
        <w:t>Structure and Performance of Cements, Second edition</w:t>
      </w:r>
      <w:r w:rsidRPr="00BB67BD">
        <w:rPr>
          <w:rFonts w:ascii="Times New Roman" w:hAnsi="Times New Roman" w:cs="Times New Roman"/>
          <w:lang w:val="en-GB"/>
        </w:rPr>
        <w:t xml:space="preserve">. 57-110. </w:t>
      </w:r>
    </w:p>
    <w:p w14:paraId="5B51C8E2" w14:textId="5D780330" w:rsidR="004A0DA9" w:rsidRPr="00BB67BD" w:rsidRDefault="004A0DA9" w:rsidP="004A0DA9">
      <w:pPr>
        <w:spacing w:before="240" w:after="120"/>
        <w:ind w:left="720" w:hanging="720"/>
        <w:jc w:val="both"/>
        <w:rPr>
          <w:rFonts w:ascii="Times New Roman" w:hAnsi="Times New Roman" w:cs="Times New Roman"/>
          <w:lang w:val="en-GB"/>
        </w:rPr>
      </w:pPr>
      <w:r w:rsidRPr="00BB67BD">
        <w:rPr>
          <w:rFonts w:ascii="Times New Roman" w:hAnsi="Times New Roman" w:cs="Times New Roman"/>
          <w:lang w:val="en-GB"/>
        </w:rPr>
        <w:t>[24]</w:t>
      </w:r>
      <w:r w:rsidRPr="00BB67BD">
        <w:rPr>
          <w:rFonts w:ascii="Times New Roman" w:hAnsi="Times New Roman" w:cs="Times New Roman"/>
          <w:lang w:val="en-GB"/>
        </w:rPr>
        <w:tab/>
        <w:t xml:space="preserve">Gougar, M.L.D et al. (1996) Ettringite and C-S-H </w:t>
      </w:r>
      <w:r w:rsidR="00E12E35" w:rsidRPr="00BB67BD">
        <w:rPr>
          <w:rFonts w:ascii="Times New Roman" w:hAnsi="Times New Roman" w:cs="Times New Roman"/>
          <w:lang w:val="en-GB"/>
        </w:rPr>
        <w:t>Portland</w:t>
      </w:r>
      <w:r w:rsidRPr="00BB67BD">
        <w:rPr>
          <w:rFonts w:ascii="Times New Roman" w:hAnsi="Times New Roman" w:cs="Times New Roman"/>
          <w:lang w:val="en-GB"/>
        </w:rPr>
        <w:t xml:space="preserve"> cement phases for waste ion immobilization: a review, </w:t>
      </w:r>
      <w:r w:rsidRPr="00BB67BD">
        <w:rPr>
          <w:rFonts w:ascii="Times New Roman" w:hAnsi="Times New Roman" w:cs="Times New Roman"/>
          <w:i/>
          <w:lang w:val="en-GB"/>
        </w:rPr>
        <w:t xml:space="preserve">Waste </w:t>
      </w:r>
      <w:r w:rsidR="006D108B" w:rsidRPr="00BB67BD">
        <w:rPr>
          <w:rFonts w:ascii="Times New Roman" w:hAnsi="Times New Roman" w:cs="Times New Roman"/>
          <w:i/>
          <w:lang w:val="en-GB"/>
        </w:rPr>
        <w:t>Management</w:t>
      </w:r>
      <w:r w:rsidRPr="00BB67BD">
        <w:rPr>
          <w:rFonts w:ascii="Times New Roman" w:hAnsi="Times New Roman" w:cs="Times New Roman"/>
          <w:i/>
          <w:lang w:val="en-GB"/>
        </w:rPr>
        <w:t xml:space="preserve">. </w:t>
      </w:r>
      <w:proofErr w:type="gramStart"/>
      <w:r w:rsidRPr="00BB67BD">
        <w:rPr>
          <w:rFonts w:ascii="Times New Roman" w:hAnsi="Times New Roman" w:cs="Times New Roman"/>
          <w:b/>
          <w:lang w:val="en-GB"/>
        </w:rPr>
        <w:t>16</w:t>
      </w:r>
      <w:r w:rsidRPr="00BB67BD">
        <w:rPr>
          <w:rFonts w:ascii="Times New Roman" w:hAnsi="Times New Roman" w:cs="Times New Roman"/>
          <w:lang w:val="en-GB"/>
        </w:rPr>
        <w:t>, 295-303.</w:t>
      </w:r>
      <w:proofErr w:type="gramEnd"/>
      <w:r w:rsidRPr="00BB67BD">
        <w:rPr>
          <w:rFonts w:ascii="Times New Roman" w:hAnsi="Times New Roman" w:cs="Times New Roman"/>
          <w:lang w:val="en-GB"/>
        </w:rPr>
        <w:t xml:space="preserve"> </w:t>
      </w:r>
    </w:p>
    <w:p w14:paraId="6B947957" w14:textId="77777777" w:rsidR="004A0DA9" w:rsidRPr="00BB67BD" w:rsidRDefault="004A0DA9" w:rsidP="004A0DA9">
      <w:pPr>
        <w:spacing w:before="240" w:after="120"/>
        <w:ind w:left="720" w:hanging="720"/>
        <w:jc w:val="both"/>
        <w:rPr>
          <w:rFonts w:ascii="Times New Roman" w:hAnsi="Times New Roman" w:cs="Times New Roman"/>
          <w:lang w:val="en-GB"/>
        </w:rPr>
      </w:pPr>
      <w:r w:rsidRPr="00BB67BD">
        <w:rPr>
          <w:rFonts w:ascii="Times New Roman" w:hAnsi="Times New Roman" w:cs="Times New Roman"/>
          <w:lang w:val="en-GB"/>
        </w:rPr>
        <w:t>[25]</w:t>
      </w:r>
      <w:r w:rsidRPr="00BB67BD">
        <w:rPr>
          <w:rFonts w:ascii="Times New Roman" w:hAnsi="Times New Roman" w:cs="Times New Roman"/>
          <w:lang w:val="en-GB"/>
        </w:rPr>
        <w:tab/>
        <w:t xml:space="preserve">Renaudin, G et al. (2000) Thermal behaviour of the nitrated AFm phase </w:t>
      </w:r>
      <w:proofErr w:type="gramStart"/>
      <w:r w:rsidRPr="00BB67BD">
        <w:rPr>
          <w:rFonts w:ascii="Times New Roman" w:hAnsi="Times New Roman" w:cs="Times New Roman"/>
          <w:lang w:val="en-GB"/>
        </w:rPr>
        <w:t>Ca</w:t>
      </w:r>
      <w:r w:rsidRPr="00BB67BD">
        <w:rPr>
          <w:rFonts w:ascii="Times New Roman" w:hAnsi="Times New Roman" w:cs="Times New Roman"/>
          <w:vertAlign w:val="subscript"/>
          <w:lang w:val="en-GB"/>
        </w:rPr>
        <w:t>4</w:t>
      </w:r>
      <w:r w:rsidRPr="00BB67BD">
        <w:rPr>
          <w:rFonts w:ascii="Times New Roman" w:hAnsi="Times New Roman" w:cs="Times New Roman"/>
          <w:lang w:val="en-GB"/>
        </w:rPr>
        <w:t>Al</w:t>
      </w:r>
      <w:r w:rsidRPr="00BB67BD">
        <w:rPr>
          <w:rFonts w:ascii="Times New Roman" w:hAnsi="Times New Roman" w:cs="Times New Roman"/>
          <w:vertAlign w:val="subscript"/>
          <w:lang w:val="en-GB"/>
        </w:rPr>
        <w:t>2</w:t>
      </w:r>
      <w:r w:rsidRPr="00BB67BD">
        <w:rPr>
          <w:rFonts w:ascii="Times New Roman" w:hAnsi="Times New Roman" w:cs="Times New Roman"/>
          <w:lang w:val="en-GB"/>
        </w:rPr>
        <w:t>(</w:t>
      </w:r>
      <w:proofErr w:type="gramEnd"/>
      <w:r w:rsidRPr="00BB67BD">
        <w:rPr>
          <w:rFonts w:ascii="Times New Roman" w:hAnsi="Times New Roman" w:cs="Times New Roman"/>
          <w:lang w:val="en-GB"/>
        </w:rPr>
        <w:t>OH)</w:t>
      </w:r>
      <w:r w:rsidRPr="00BB67BD">
        <w:rPr>
          <w:rFonts w:ascii="Times New Roman" w:hAnsi="Times New Roman" w:cs="Times New Roman"/>
          <w:vertAlign w:val="subscript"/>
          <w:lang w:val="en-GB"/>
        </w:rPr>
        <w:t>12</w:t>
      </w:r>
      <w:r w:rsidRPr="00BB67BD">
        <w:rPr>
          <w:rFonts w:ascii="Times New Roman" w:hAnsi="Times New Roman" w:cs="Times New Roman"/>
          <w:lang w:val="en-GB"/>
        </w:rPr>
        <w:t>(NO</w:t>
      </w:r>
      <w:r w:rsidRPr="00BB67BD">
        <w:rPr>
          <w:rFonts w:ascii="Times New Roman" w:hAnsi="Times New Roman" w:cs="Times New Roman"/>
          <w:vertAlign w:val="subscript"/>
          <w:lang w:val="en-GB"/>
        </w:rPr>
        <w:t>3</w:t>
      </w:r>
      <w:r w:rsidRPr="00BB67BD">
        <w:rPr>
          <w:rFonts w:ascii="Times New Roman" w:hAnsi="Times New Roman" w:cs="Times New Roman"/>
          <w:lang w:val="en-GB"/>
        </w:rPr>
        <w:t>)</w:t>
      </w:r>
      <w:r w:rsidRPr="00BB67BD">
        <w:rPr>
          <w:rFonts w:ascii="Times New Roman" w:hAnsi="Times New Roman" w:cs="Times New Roman"/>
          <w:vertAlign w:val="subscript"/>
          <w:lang w:val="en-GB"/>
        </w:rPr>
        <w:t>2</w:t>
      </w:r>
      <w:r w:rsidRPr="00BB67BD">
        <w:rPr>
          <w:rFonts w:ascii="Times New Roman" w:hAnsi="Times New Roman" w:cs="Times New Roman"/>
          <w:lang w:val="en-GB"/>
        </w:rPr>
        <w:t>.4H</w:t>
      </w:r>
      <w:r w:rsidRPr="00BB67BD">
        <w:rPr>
          <w:rFonts w:ascii="Times New Roman" w:hAnsi="Times New Roman" w:cs="Times New Roman"/>
          <w:vertAlign w:val="subscript"/>
          <w:lang w:val="en-GB"/>
        </w:rPr>
        <w:t>2</w:t>
      </w:r>
      <w:r w:rsidRPr="00BB67BD">
        <w:rPr>
          <w:rFonts w:ascii="Times New Roman" w:hAnsi="Times New Roman" w:cs="Times New Roman"/>
          <w:lang w:val="en-GB"/>
        </w:rPr>
        <w:t>O and structure determination of the intermediate hydrate Ca</w:t>
      </w:r>
      <w:r w:rsidRPr="00BB67BD">
        <w:rPr>
          <w:rFonts w:ascii="Times New Roman" w:hAnsi="Times New Roman" w:cs="Times New Roman"/>
          <w:vertAlign w:val="subscript"/>
          <w:lang w:val="en-GB"/>
        </w:rPr>
        <w:t>4</w:t>
      </w:r>
      <w:r w:rsidRPr="00BB67BD">
        <w:rPr>
          <w:rFonts w:ascii="Times New Roman" w:hAnsi="Times New Roman" w:cs="Times New Roman"/>
          <w:lang w:val="en-GB"/>
        </w:rPr>
        <w:t>Al</w:t>
      </w:r>
      <w:r w:rsidRPr="00BB67BD">
        <w:rPr>
          <w:rFonts w:ascii="Times New Roman" w:hAnsi="Times New Roman" w:cs="Times New Roman"/>
          <w:vertAlign w:val="subscript"/>
          <w:lang w:val="en-GB"/>
        </w:rPr>
        <w:t>2</w:t>
      </w:r>
      <w:r w:rsidRPr="00BB67BD">
        <w:rPr>
          <w:rFonts w:ascii="Times New Roman" w:hAnsi="Times New Roman" w:cs="Times New Roman"/>
          <w:lang w:val="en-GB"/>
        </w:rPr>
        <w:t>(OH)</w:t>
      </w:r>
      <w:r w:rsidRPr="00BB67BD">
        <w:rPr>
          <w:rFonts w:ascii="Times New Roman" w:hAnsi="Times New Roman" w:cs="Times New Roman"/>
          <w:vertAlign w:val="subscript"/>
          <w:lang w:val="en-GB"/>
        </w:rPr>
        <w:t>12</w:t>
      </w:r>
      <w:r w:rsidRPr="00BB67BD">
        <w:rPr>
          <w:rFonts w:ascii="Times New Roman" w:hAnsi="Times New Roman" w:cs="Times New Roman"/>
          <w:lang w:val="en-GB"/>
        </w:rPr>
        <w:t>(NO</w:t>
      </w:r>
      <w:r w:rsidRPr="00BB67BD">
        <w:rPr>
          <w:rFonts w:ascii="Times New Roman" w:hAnsi="Times New Roman" w:cs="Times New Roman"/>
          <w:vertAlign w:val="subscript"/>
          <w:lang w:val="en-GB"/>
        </w:rPr>
        <w:t>3</w:t>
      </w:r>
      <w:r w:rsidRPr="00BB67BD">
        <w:rPr>
          <w:rFonts w:ascii="Times New Roman" w:hAnsi="Times New Roman" w:cs="Times New Roman"/>
          <w:lang w:val="en-GB"/>
        </w:rPr>
        <w:softHyphen/>
        <w:t>)</w:t>
      </w:r>
      <w:r w:rsidRPr="00BB67BD">
        <w:rPr>
          <w:rFonts w:ascii="Times New Roman" w:hAnsi="Times New Roman" w:cs="Times New Roman"/>
          <w:lang w:val="en-GB"/>
        </w:rPr>
        <w:softHyphen/>
      </w:r>
      <w:r w:rsidRPr="00BB67BD">
        <w:rPr>
          <w:rFonts w:ascii="Times New Roman" w:hAnsi="Times New Roman" w:cs="Times New Roman"/>
          <w:lang w:val="en-GB"/>
        </w:rPr>
        <w:softHyphen/>
      </w:r>
      <w:r w:rsidRPr="00BB67BD">
        <w:rPr>
          <w:rFonts w:ascii="Times New Roman" w:hAnsi="Times New Roman" w:cs="Times New Roman"/>
          <w:lang w:val="en-GB"/>
        </w:rPr>
        <w:softHyphen/>
      </w:r>
      <w:r w:rsidRPr="00BB67BD">
        <w:rPr>
          <w:rFonts w:ascii="Times New Roman" w:hAnsi="Times New Roman" w:cs="Times New Roman"/>
          <w:vertAlign w:val="subscript"/>
          <w:lang w:val="en-GB"/>
        </w:rPr>
        <w:t>3</w:t>
      </w:r>
      <w:r w:rsidRPr="00BB67BD">
        <w:rPr>
          <w:rFonts w:ascii="Times New Roman" w:hAnsi="Times New Roman" w:cs="Times New Roman"/>
          <w:lang w:val="en-GB"/>
        </w:rPr>
        <w:t>.2H</w:t>
      </w:r>
      <w:r w:rsidRPr="00BB67BD">
        <w:rPr>
          <w:rFonts w:ascii="Times New Roman" w:hAnsi="Times New Roman" w:cs="Times New Roman"/>
          <w:vertAlign w:val="subscript"/>
          <w:lang w:val="en-GB"/>
        </w:rPr>
        <w:t>2</w:t>
      </w:r>
      <w:r w:rsidRPr="00BB67BD">
        <w:rPr>
          <w:rFonts w:ascii="Times New Roman" w:hAnsi="Times New Roman" w:cs="Times New Roman"/>
          <w:lang w:val="en-GB"/>
        </w:rPr>
        <w:t xml:space="preserve">O, </w:t>
      </w:r>
      <w:r w:rsidRPr="00BB67BD">
        <w:rPr>
          <w:rFonts w:ascii="Times New Roman" w:hAnsi="Times New Roman" w:cs="Times New Roman"/>
          <w:i/>
          <w:lang w:val="en-GB"/>
        </w:rPr>
        <w:t>Cement and concrete research</w:t>
      </w:r>
      <w:r w:rsidRPr="00BB67BD">
        <w:rPr>
          <w:rFonts w:ascii="Times New Roman" w:hAnsi="Times New Roman" w:cs="Times New Roman"/>
          <w:lang w:val="en-GB"/>
        </w:rPr>
        <w:t xml:space="preserve">. </w:t>
      </w:r>
      <w:proofErr w:type="gramStart"/>
      <w:r w:rsidRPr="00BB67BD">
        <w:rPr>
          <w:rFonts w:ascii="Times New Roman" w:hAnsi="Times New Roman" w:cs="Times New Roman"/>
          <w:b/>
          <w:lang w:val="en-GB"/>
        </w:rPr>
        <w:t>30</w:t>
      </w:r>
      <w:r w:rsidRPr="00BB67BD">
        <w:rPr>
          <w:rFonts w:ascii="Times New Roman" w:hAnsi="Times New Roman" w:cs="Times New Roman"/>
          <w:lang w:val="en-GB"/>
        </w:rPr>
        <w:t>, 307-314.</w:t>
      </w:r>
      <w:proofErr w:type="gramEnd"/>
      <w:r w:rsidRPr="00BB67BD">
        <w:rPr>
          <w:rFonts w:ascii="Times New Roman" w:hAnsi="Times New Roman" w:cs="Times New Roman"/>
          <w:lang w:val="en-GB"/>
        </w:rPr>
        <w:t xml:space="preserve"> </w:t>
      </w:r>
    </w:p>
    <w:p w14:paraId="39FFE662" w14:textId="77777777" w:rsidR="004A0DA9" w:rsidRPr="00BB67BD" w:rsidRDefault="004A0DA9" w:rsidP="004A0DA9">
      <w:pPr>
        <w:spacing w:before="240" w:after="120"/>
        <w:ind w:left="720" w:hanging="720"/>
        <w:jc w:val="both"/>
        <w:rPr>
          <w:rFonts w:ascii="Times New Roman" w:hAnsi="Times New Roman" w:cs="Times New Roman"/>
          <w:lang w:val="en-GB"/>
        </w:rPr>
      </w:pPr>
      <w:r w:rsidRPr="00BB67BD">
        <w:rPr>
          <w:rFonts w:ascii="Times New Roman" w:hAnsi="Times New Roman" w:cs="Times New Roman"/>
          <w:lang w:val="en-GB"/>
        </w:rPr>
        <w:t>[26]</w:t>
      </w:r>
      <w:r w:rsidRPr="00BB67BD">
        <w:rPr>
          <w:rFonts w:ascii="Times New Roman" w:hAnsi="Times New Roman" w:cs="Times New Roman"/>
          <w:lang w:val="en-GB"/>
        </w:rPr>
        <w:tab/>
        <w:t xml:space="preserve">Balonis, M. (2010) The influence of inorganic chemical accelerators and corrosion inhibitors on the mineralogy of hydrated Portland cement systems. </w:t>
      </w:r>
      <w:r w:rsidRPr="00BB67BD">
        <w:rPr>
          <w:rFonts w:ascii="Times New Roman" w:hAnsi="Times New Roman" w:cs="Times New Roman"/>
          <w:i/>
          <w:lang w:val="en-GB"/>
        </w:rPr>
        <w:t>PhD Thesis</w:t>
      </w:r>
      <w:r w:rsidRPr="00BB67BD">
        <w:rPr>
          <w:rFonts w:ascii="Times New Roman" w:hAnsi="Times New Roman" w:cs="Times New Roman"/>
          <w:lang w:val="en-GB"/>
        </w:rPr>
        <w:t xml:space="preserve">. </w:t>
      </w:r>
      <w:proofErr w:type="gramStart"/>
      <w:r w:rsidRPr="00BB67BD">
        <w:rPr>
          <w:rFonts w:ascii="Times New Roman" w:hAnsi="Times New Roman" w:cs="Times New Roman"/>
          <w:lang w:val="en-GB"/>
        </w:rPr>
        <w:t>University of Aberdeen.</w:t>
      </w:r>
      <w:proofErr w:type="gramEnd"/>
      <w:r w:rsidRPr="00BB67BD">
        <w:rPr>
          <w:rFonts w:ascii="Times New Roman" w:hAnsi="Times New Roman" w:cs="Times New Roman"/>
          <w:lang w:val="en-GB"/>
        </w:rPr>
        <w:t xml:space="preserve"> </w:t>
      </w:r>
    </w:p>
    <w:p w14:paraId="2936071C" w14:textId="77777777" w:rsidR="004A0DA9" w:rsidRPr="00BB67BD" w:rsidRDefault="004A0DA9" w:rsidP="004A0DA9">
      <w:pPr>
        <w:spacing w:before="240" w:after="120"/>
        <w:ind w:left="720" w:hanging="720"/>
        <w:jc w:val="both"/>
        <w:rPr>
          <w:rFonts w:ascii="Times New Roman" w:hAnsi="Times New Roman" w:cs="Times New Roman"/>
          <w:lang w:val="en-GB"/>
        </w:rPr>
      </w:pPr>
      <w:proofErr w:type="gramStart"/>
      <w:r w:rsidRPr="00BB67BD">
        <w:rPr>
          <w:rFonts w:ascii="Times New Roman" w:hAnsi="Times New Roman" w:cs="Times New Roman"/>
          <w:lang w:val="en-GB"/>
        </w:rPr>
        <w:t>[27]</w:t>
      </w:r>
      <w:r w:rsidRPr="00BB67BD">
        <w:rPr>
          <w:rFonts w:ascii="Times New Roman" w:hAnsi="Times New Roman" w:cs="Times New Roman"/>
          <w:lang w:val="en-GB"/>
        </w:rPr>
        <w:tab/>
        <w:t>Wang, L.K., Hung, Y., Shammas, N.K. (2009) Handbook of Advanced Industrial and Hazardous Wastes Treatment, CRC press.</w:t>
      </w:r>
      <w:proofErr w:type="gramEnd"/>
      <w:r w:rsidRPr="00BB67BD">
        <w:rPr>
          <w:rFonts w:ascii="Times New Roman" w:hAnsi="Times New Roman" w:cs="Times New Roman"/>
          <w:lang w:val="en-GB"/>
        </w:rPr>
        <w:t xml:space="preserve"> </w:t>
      </w:r>
    </w:p>
    <w:p w14:paraId="18BB77EB" w14:textId="77777777" w:rsidR="004A0DA9" w:rsidRPr="00BB67BD" w:rsidRDefault="004A0DA9" w:rsidP="004A0DA9">
      <w:pPr>
        <w:spacing w:before="240" w:after="120"/>
        <w:ind w:left="720" w:hanging="720"/>
        <w:jc w:val="both"/>
        <w:rPr>
          <w:rFonts w:ascii="Times New Roman" w:hAnsi="Times New Roman" w:cs="Times New Roman"/>
          <w:lang w:val="en-GB"/>
        </w:rPr>
      </w:pPr>
      <w:r w:rsidRPr="00BB67BD">
        <w:rPr>
          <w:rFonts w:ascii="Times New Roman" w:hAnsi="Times New Roman" w:cs="Times New Roman"/>
          <w:lang w:val="en-GB"/>
        </w:rPr>
        <w:t>[28]</w:t>
      </w:r>
      <w:r w:rsidRPr="00BB67BD">
        <w:rPr>
          <w:rFonts w:ascii="Times New Roman" w:hAnsi="Times New Roman" w:cs="Times New Roman"/>
          <w:lang w:val="en-GB"/>
        </w:rPr>
        <w:tab/>
        <w:t xml:space="preserve">Bapat, J.D., (2012) Mineral Admixtures in Cement and Concrete, CRC Press. </w:t>
      </w:r>
      <w:r w:rsidRPr="00BB67BD">
        <w:rPr>
          <w:rFonts w:ascii="Times New Roman" w:hAnsi="Times New Roman" w:cs="Times New Roman"/>
          <w:lang w:val="en-GB"/>
        </w:rPr>
        <w:tab/>
        <w:t xml:space="preserve"> </w:t>
      </w:r>
    </w:p>
    <w:p w14:paraId="6AF4356E" w14:textId="24B9C685" w:rsidR="004A0DA9" w:rsidRPr="00BB67BD" w:rsidRDefault="004A0DA9" w:rsidP="004A0DA9">
      <w:pPr>
        <w:spacing w:before="240" w:after="120"/>
        <w:ind w:left="720" w:hanging="720"/>
        <w:jc w:val="both"/>
        <w:rPr>
          <w:rFonts w:ascii="Times New Roman" w:hAnsi="Times New Roman" w:cs="Times New Roman"/>
          <w:lang w:val="en-GB"/>
        </w:rPr>
      </w:pPr>
      <w:r w:rsidRPr="00BB67BD">
        <w:rPr>
          <w:rFonts w:ascii="Times New Roman" w:hAnsi="Times New Roman" w:cs="Times New Roman"/>
          <w:lang w:val="en-GB"/>
        </w:rPr>
        <w:t>[29]</w:t>
      </w:r>
      <w:r w:rsidRPr="00BB67BD">
        <w:rPr>
          <w:rFonts w:ascii="Times New Roman" w:hAnsi="Times New Roman" w:cs="Times New Roman"/>
          <w:lang w:val="en-GB"/>
        </w:rPr>
        <w:tab/>
        <w:t xml:space="preserve">Lee, D.J. and Fenton, A. (1992) The development of cement formulations for radioactive waste encapsulation. </w:t>
      </w:r>
      <w:proofErr w:type="gramStart"/>
      <w:r w:rsidRPr="00BB67BD">
        <w:rPr>
          <w:rFonts w:ascii="Times New Roman" w:hAnsi="Times New Roman" w:cs="Times New Roman"/>
          <w:i/>
          <w:lang w:val="en-GB"/>
        </w:rPr>
        <w:t>Stabilization and solidification of hazardous, radioactive and mixed wastes, 2</w:t>
      </w:r>
      <w:r w:rsidRPr="00BB67BD">
        <w:rPr>
          <w:rFonts w:ascii="Times New Roman" w:hAnsi="Times New Roman" w:cs="Times New Roman"/>
          <w:i/>
          <w:vertAlign w:val="superscript"/>
          <w:lang w:val="en-GB"/>
        </w:rPr>
        <w:t>nd</w:t>
      </w:r>
      <w:r w:rsidRPr="00BB67BD">
        <w:rPr>
          <w:rFonts w:ascii="Times New Roman" w:hAnsi="Times New Roman" w:cs="Times New Roman"/>
          <w:i/>
          <w:lang w:val="en-GB"/>
        </w:rPr>
        <w:t xml:space="preserve"> volume.</w:t>
      </w:r>
      <w:proofErr w:type="gramEnd"/>
      <w:r w:rsidRPr="00BB67BD">
        <w:rPr>
          <w:rFonts w:ascii="Times New Roman" w:hAnsi="Times New Roman" w:cs="Times New Roman"/>
          <w:i/>
          <w:lang w:val="en-GB"/>
        </w:rPr>
        <w:t xml:space="preserve"> </w:t>
      </w:r>
      <w:r w:rsidRPr="00BB67BD">
        <w:rPr>
          <w:rFonts w:ascii="Times New Roman" w:hAnsi="Times New Roman" w:cs="Times New Roman"/>
          <w:lang w:val="en-GB"/>
        </w:rPr>
        <w:t>Edited by Gillam, M. and Wiles, C.C. American Society for testing and Materials, Philadelphia. 348-358.</w:t>
      </w:r>
      <w:r w:rsidRPr="00BB67BD">
        <w:rPr>
          <w:rFonts w:ascii="Times New Roman" w:hAnsi="Times New Roman" w:cs="Times New Roman"/>
          <w:lang w:val="en-GB"/>
        </w:rPr>
        <w:tab/>
      </w:r>
    </w:p>
    <w:p w14:paraId="35B2AC9B" w14:textId="77777777" w:rsidR="004A0DA9" w:rsidRPr="00BB67BD" w:rsidRDefault="004A0DA9" w:rsidP="004A0DA9">
      <w:pPr>
        <w:spacing w:before="240" w:after="120"/>
        <w:ind w:left="720" w:hanging="720"/>
        <w:jc w:val="both"/>
        <w:rPr>
          <w:rFonts w:ascii="Times New Roman" w:hAnsi="Times New Roman" w:cs="Times New Roman"/>
          <w:lang w:val="en-GB"/>
        </w:rPr>
      </w:pPr>
      <w:r w:rsidRPr="00BB67BD">
        <w:rPr>
          <w:rFonts w:ascii="Times New Roman" w:hAnsi="Times New Roman" w:cs="Times New Roman"/>
          <w:lang w:val="en-GB"/>
        </w:rPr>
        <w:t>[30]</w:t>
      </w:r>
      <w:r w:rsidRPr="00BB67BD">
        <w:t xml:space="preserve"> </w:t>
      </w:r>
      <w:r w:rsidRPr="00BB67BD">
        <w:tab/>
      </w:r>
      <w:r w:rsidRPr="00BB67BD">
        <w:rPr>
          <w:rFonts w:ascii="Times New Roman" w:hAnsi="Times New Roman" w:cs="Times New Roman"/>
          <w:lang w:val="en-GB"/>
        </w:rPr>
        <w:t xml:space="preserve">Provis, J. Deventer, J. (2014) Alkali Activated Materials: State-of-the-Art Report, RILEM TC 224-AAM, Springer Netherlands. </w:t>
      </w:r>
    </w:p>
    <w:p w14:paraId="36656AC2" w14:textId="27C2F4D3" w:rsidR="004A0DA9" w:rsidRPr="00BB67BD" w:rsidRDefault="004A0DA9" w:rsidP="004A0DA9">
      <w:pPr>
        <w:spacing w:before="240" w:after="120"/>
        <w:ind w:left="720" w:hanging="720"/>
        <w:jc w:val="both"/>
        <w:rPr>
          <w:rFonts w:ascii="Times New Roman" w:hAnsi="Times New Roman" w:cs="Times New Roman"/>
        </w:rPr>
      </w:pPr>
      <w:r w:rsidRPr="00BB67BD">
        <w:rPr>
          <w:rFonts w:ascii="Times New Roman" w:hAnsi="Times New Roman" w:cs="Times New Roman"/>
          <w:lang w:val="en-GB"/>
        </w:rPr>
        <w:t>[31]</w:t>
      </w:r>
      <w:r w:rsidRPr="00BB67BD">
        <w:rPr>
          <w:rFonts w:ascii="Times New Roman" w:hAnsi="Times New Roman" w:cs="Times New Roman"/>
          <w:lang w:val="en-GB"/>
        </w:rPr>
        <w:tab/>
      </w:r>
      <w:r w:rsidRPr="00BB67BD">
        <w:rPr>
          <w:rFonts w:ascii="Times New Roman" w:hAnsi="Times New Roman" w:cs="Times New Roman"/>
        </w:rPr>
        <w:t xml:space="preserve">Hindirchs, W. and Odler, I. (1989) Investigation of the hydration of Portland </w:t>
      </w:r>
      <w:r w:rsidR="006D108B" w:rsidRPr="00BB67BD">
        <w:rPr>
          <w:rFonts w:ascii="Times New Roman" w:hAnsi="Times New Roman" w:cs="Times New Roman"/>
        </w:rPr>
        <w:t>blast furnace</w:t>
      </w:r>
      <w:r w:rsidRPr="00BB67BD">
        <w:rPr>
          <w:rFonts w:ascii="Times New Roman" w:hAnsi="Times New Roman" w:cs="Times New Roman"/>
        </w:rPr>
        <w:t xml:space="preserve"> slag cement: hydration kinetics. Advances in Cement research, vol 2.     </w:t>
      </w:r>
      <w:proofErr w:type="gramStart"/>
      <w:r w:rsidRPr="00BB67BD">
        <w:rPr>
          <w:rFonts w:ascii="Times New Roman" w:hAnsi="Times New Roman" w:cs="Times New Roman"/>
          <w:b/>
        </w:rPr>
        <w:t>5</w:t>
      </w:r>
      <w:r w:rsidRPr="00BB67BD">
        <w:rPr>
          <w:rFonts w:ascii="Times New Roman" w:hAnsi="Times New Roman" w:cs="Times New Roman"/>
        </w:rPr>
        <w:t>, 9-13.</w:t>
      </w:r>
      <w:proofErr w:type="gramEnd"/>
    </w:p>
    <w:p w14:paraId="6BBD5463" w14:textId="77777777" w:rsidR="004A0DA9" w:rsidRPr="00BB67BD" w:rsidRDefault="004A0DA9" w:rsidP="004A0DA9">
      <w:pPr>
        <w:spacing w:before="240" w:after="120"/>
        <w:ind w:left="720" w:hanging="720"/>
        <w:jc w:val="both"/>
        <w:rPr>
          <w:rFonts w:ascii="Times New Roman" w:hAnsi="Times New Roman" w:cs="Times New Roman"/>
        </w:rPr>
      </w:pPr>
      <w:r w:rsidRPr="00BB67BD">
        <w:rPr>
          <w:rFonts w:ascii="Times New Roman" w:hAnsi="Times New Roman" w:cs="Times New Roman"/>
        </w:rPr>
        <w:lastRenderedPageBreak/>
        <w:t>[32]</w:t>
      </w:r>
      <w:r w:rsidRPr="00BB67BD">
        <w:rPr>
          <w:rFonts w:ascii="Times New Roman" w:hAnsi="Times New Roman" w:cs="Times New Roman"/>
        </w:rPr>
        <w:tab/>
      </w:r>
      <w:r w:rsidRPr="00BB67BD">
        <w:rPr>
          <w:rFonts w:ascii="Times" w:hAnsi="Times" w:cs="Times"/>
        </w:rPr>
        <w:t xml:space="preserve">Hayes, M., Angus, M., Garland, R., (2012) Current status paper on the potential use of Superplasticisers in a Geological Disposal Facility, </w:t>
      </w:r>
      <w:r w:rsidRPr="00BB67BD">
        <w:rPr>
          <w:rFonts w:ascii="Times" w:hAnsi="Times" w:cs="Times"/>
          <w:i/>
        </w:rPr>
        <w:t>NNL</w:t>
      </w:r>
      <w:r w:rsidRPr="00BB67BD">
        <w:rPr>
          <w:rFonts w:ascii="Times" w:hAnsi="Times" w:cs="Times"/>
        </w:rPr>
        <w:t xml:space="preserve">, </w:t>
      </w:r>
      <w:r w:rsidRPr="00BB67BD">
        <w:rPr>
          <w:rFonts w:ascii="Times" w:hAnsi="Times" w:cs="Times"/>
          <w:b/>
        </w:rPr>
        <w:t>12</w:t>
      </w:r>
      <w:r w:rsidRPr="00BB67BD">
        <w:rPr>
          <w:rFonts w:ascii="Times" w:hAnsi="Times" w:cs="Times"/>
        </w:rPr>
        <w:t>, 11905 Issue 4.</w:t>
      </w:r>
    </w:p>
    <w:p w14:paraId="595B57D8" w14:textId="457DE8C2" w:rsidR="004A0DA9" w:rsidRPr="00CB657D" w:rsidRDefault="004A0DA9" w:rsidP="004A0DA9">
      <w:pPr>
        <w:spacing w:before="240" w:after="120"/>
        <w:ind w:left="720" w:hanging="720"/>
        <w:jc w:val="both"/>
        <w:rPr>
          <w:rFonts w:ascii="Times New Roman" w:hAnsi="Times New Roman" w:cs="Times New Roman"/>
        </w:rPr>
      </w:pPr>
      <w:r w:rsidRPr="00BB67BD">
        <w:rPr>
          <w:rFonts w:ascii="Times New Roman" w:hAnsi="Times New Roman" w:cs="Times New Roman"/>
        </w:rPr>
        <w:t>[33]</w:t>
      </w:r>
      <w:r w:rsidRPr="00BB67BD">
        <w:rPr>
          <w:rFonts w:ascii="Times New Roman" w:hAnsi="Times New Roman" w:cs="Times New Roman"/>
        </w:rPr>
        <w:tab/>
      </w:r>
      <w:r w:rsidR="00CB657D">
        <w:rPr>
          <w:rFonts w:ascii="Times New Roman" w:hAnsi="Times New Roman" w:cs="Times New Roman"/>
        </w:rPr>
        <w:t>Ferrari, G., Basile</w:t>
      </w:r>
      <w:r w:rsidR="00417F95">
        <w:rPr>
          <w:rFonts w:ascii="Times New Roman" w:hAnsi="Times New Roman" w:cs="Times New Roman"/>
        </w:rPr>
        <w:t>, F., Dal Bo, A., Mantoni, A. (1994)</w:t>
      </w:r>
      <w:r w:rsidR="00CB657D">
        <w:rPr>
          <w:rFonts w:ascii="Times New Roman" w:hAnsi="Times New Roman" w:cs="Times New Roman"/>
        </w:rPr>
        <w:t xml:space="preserve"> The influence of the molecular weight of beta-napthalene sulfonate based polymers on the Rheological properties of cement mixes, </w:t>
      </w:r>
      <w:r w:rsidR="00CB657D">
        <w:rPr>
          <w:rFonts w:ascii="Times New Roman" w:hAnsi="Times New Roman" w:cs="Times New Roman"/>
          <w:i/>
        </w:rPr>
        <w:t xml:space="preserve">Il Cemento, </w:t>
      </w:r>
      <w:r w:rsidR="00CB657D">
        <w:rPr>
          <w:rFonts w:ascii="Times New Roman" w:hAnsi="Times New Roman" w:cs="Times New Roman"/>
          <w:b/>
        </w:rPr>
        <w:t>83</w:t>
      </w:r>
      <w:r w:rsidR="00CB657D">
        <w:rPr>
          <w:rFonts w:ascii="Times New Roman" w:hAnsi="Times New Roman" w:cs="Times New Roman"/>
        </w:rPr>
        <w:t>, 445-454</w:t>
      </w:r>
    </w:p>
    <w:p w14:paraId="2045D94E" w14:textId="77777777" w:rsidR="004A0DA9" w:rsidRPr="00BB67BD" w:rsidRDefault="004A0DA9" w:rsidP="004A0DA9">
      <w:pPr>
        <w:spacing w:before="240" w:after="120"/>
        <w:ind w:left="720" w:hanging="720"/>
        <w:jc w:val="both"/>
        <w:rPr>
          <w:rFonts w:ascii="Times New Roman" w:hAnsi="Times New Roman" w:cs="Times New Roman"/>
        </w:rPr>
      </w:pPr>
      <w:r w:rsidRPr="00BB67BD">
        <w:rPr>
          <w:rFonts w:ascii="Times New Roman" w:hAnsi="Times New Roman" w:cs="Times New Roman"/>
        </w:rPr>
        <w:t xml:space="preserve">[34] </w:t>
      </w:r>
      <w:r w:rsidRPr="00BB67BD">
        <w:rPr>
          <w:rFonts w:ascii="Times New Roman" w:hAnsi="Times New Roman" w:cs="Times New Roman"/>
        </w:rPr>
        <w:tab/>
        <w:t xml:space="preserve">Feng, Chun; Li, Yongjun; Yang, Dong; Hu, Jianhua; Zhang, Xiaohuan; Huang, Xiaoyu (2011). "Well-defined graft copolymers: from controlled synthesis to multipurpose applications". </w:t>
      </w:r>
      <w:proofErr w:type="gramStart"/>
      <w:r w:rsidRPr="00BB67BD">
        <w:rPr>
          <w:rFonts w:ascii="Times New Roman" w:hAnsi="Times New Roman" w:cs="Times New Roman"/>
          <w:i/>
        </w:rPr>
        <w:t>Chemical Society Reviews</w:t>
      </w:r>
      <w:r w:rsidRPr="00BB67BD">
        <w:rPr>
          <w:rFonts w:ascii="Times New Roman" w:hAnsi="Times New Roman" w:cs="Times New Roman"/>
        </w:rPr>
        <w:t xml:space="preserve">, </w:t>
      </w:r>
      <w:r w:rsidRPr="00BB67BD">
        <w:rPr>
          <w:rFonts w:ascii="Times New Roman" w:hAnsi="Times New Roman" w:cs="Times New Roman"/>
          <w:b/>
        </w:rPr>
        <w:t xml:space="preserve">40, 3, </w:t>
      </w:r>
      <w:r w:rsidRPr="00BB67BD">
        <w:rPr>
          <w:rFonts w:ascii="Times New Roman" w:hAnsi="Times New Roman" w:cs="Times New Roman"/>
        </w:rPr>
        <w:t>1282–95.</w:t>
      </w:r>
      <w:proofErr w:type="gramEnd"/>
      <w:r w:rsidRPr="00BB67BD">
        <w:rPr>
          <w:rFonts w:ascii="Times New Roman" w:hAnsi="Times New Roman" w:cs="Times New Roman"/>
        </w:rPr>
        <w:t xml:space="preserve"> </w:t>
      </w:r>
    </w:p>
    <w:p w14:paraId="32AE4507" w14:textId="77777777" w:rsidR="004A0DA9" w:rsidRPr="00BB67BD" w:rsidRDefault="004A0DA9" w:rsidP="004A0DA9">
      <w:pPr>
        <w:spacing w:before="240" w:after="120"/>
        <w:ind w:left="720" w:hanging="720"/>
        <w:jc w:val="both"/>
        <w:rPr>
          <w:rFonts w:ascii="Times New Roman" w:hAnsi="Times New Roman" w:cs="Times New Roman"/>
        </w:rPr>
      </w:pPr>
      <w:r w:rsidRPr="00BB67BD">
        <w:rPr>
          <w:rFonts w:ascii="Times New Roman" w:hAnsi="Times New Roman" w:cs="Times New Roman"/>
        </w:rPr>
        <w:t>[35]</w:t>
      </w:r>
      <w:r w:rsidRPr="00BB67BD">
        <w:rPr>
          <w:rFonts w:ascii="Times New Roman" w:hAnsi="Times New Roman" w:cs="Times New Roman"/>
        </w:rPr>
        <w:tab/>
      </w:r>
      <w:proofErr w:type="gramStart"/>
      <w:r w:rsidRPr="00BB67BD">
        <w:rPr>
          <w:rFonts w:ascii="Times New Roman" w:hAnsi="Times New Roman" w:cs="Times New Roman"/>
        </w:rPr>
        <w:t xml:space="preserve">Björnström, J., Chandara, S. (2003) Effect of superplasticizers on the rheological properties of cements, </w:t>
      </w:r>
      <w:r w:rsidRPr="00BB67BD">
        <w:rPr>
          <w:rFonts w:ascii="Times New Roman" w:hAnsi="Times New Roman" w:cs="Times New Roman"/>
          <w:i/>
        </w:rPr>
        <w:t xml:space="preserve">Materials and Structures, </w:t>
      </w:r>
      <w:r w:rsidRPr="00BB67BD">
        <w:rPr>
          <w:rFonts w:ascii="Times New Roman" w:hAnsi="Times New Roman" w:cs="Times New Roman"/>
          <w:b/>
        </w:rPr>
        <w:t xml:space="preserve">36, 10, </w:t>
      </w:r>
      <w:r w:rsidRPr="00BB67BD">
        <w:rPr>
          <w:rFonts w:ascii="Times New Roman" w:hAnsi="Times New Roman" w:cs="Times New Roman"/>
        </w:rPr>
        <w:t>685-692.</w:t>
      </w:r>
      <w:proofErr w:type="gramEnd"/>
    </w:p>
    <w:p w14:paraId="629AE027" w14:textId="4CEC6B34" w:rsidR="004A0DA9" w:rsidRPr="00BB67BD" w:rsidRDefault="004A0DA9" w:rsidP="004A0DA9">
      <w:pPr>
        <w:spacing w:before="240" w:after="120"/>
        <w:ind w:left="720" w:hanging="720"/>
        <w:jc w:val="both"/>
        <w:rPr>
          <w:rFonts w:ascii="Times New Roman" w:hAnsi="Times New Roman" w:cs="Times New Roman"/>
          <w:lang w:val="en-GB"/>
        </w:rPr>
      </w:pPr>
      <w:r w:rsidRPr="00BB67BD">
        <w:rPr>
          <w:rFonts w:ascii="Times New Roman" w:hAnsi="Times New Roman" w:cs="Times New Roman"/>
          <w:lang w:val="en-GB"/>
        </w:rPr>
        <w:t>[36]</w:t>
      </w:r>
      <w:r w:rsidRPr="00BB67BD">
        <w:rPr>
          <w:rFonts w:ascii="Times New Roman" w:hAnsi="Times New Roman" w:cs="Times New Roman"/>
          <w:lang w:val="en-GB"/>
        </w:rPr>
        <w:tab/>
        <w:t xml:space="preserve">Yoshioka, K. et al. (2002) Adsorption characteristics of superplasticizers on cement component minerals, </w:t>
      </w:r>
      <w:r w:rsidRPr="00BB67BD">
        <w:rPr>
          <w:rFonts w:ascii="Times New Roman" w:hAnsi="Times New Roman" w:cs="Times New Roman"/>
          <w:i/>
          <w:lang w:val="en-GB"/>
        </w:rPr>
        <w:t xml:space="preserve">Cement and </w:t>
      </w:r>
      <w:r w:rsidR="006D108B" w:rsidRPr="00BB67BD">
        <w:rPr>
          <w:rFonts w:ascii="Times New Roman" w:hAnsi="Times New Roman" w:cs="Times New Roman"/>
          <w:i/>
          <w:lang w:val="en-GB"/>
        </w:rPr>
        <w:t>concrete research</w:t>
      </w:r>
      <w:r w:rsidRPr="00BB67BD">
        <w:rPr>
          <w:rFonts w:ascii="Times New Roman" w:hAnsi="Times New Roman" w:cs="Times New Roman"/>
          <w:lang w:val="en-GB"/>
        </w:rPr>
        <w:t xml:space="preserve">. </w:t>
      </w:r>
      <w:proofErr w:type="gramStart"/>
      <w:r w:rsidRPr="00BB67BD">
        <w:rPr>
          <w:rFonts w:ascii="Times New Roman" w:hAnsi="Times New Roman" w:cs="Times New Roman"/>
          <w:b/>
          <w:lang w:val="en-GB"/>
        </w:rPr>
        <w:t>32,</w:t>
      </w:r>
      <w:r w:rsidRPr="00BB67BD">
        <w:rPr>
          <w:rFonts w:ascii="Times New Roman" w:hAnsi="Times New Roman" w:cs="Times New Roman"/>
          <w:lang w:val="en-GB"/>
        </w:rPr>
        <w:t xml:space="preserve"> 1507-1513.</w:t>
      </w:r>
      <w:proofErr w:type="gramEnd"/>
    </w:p>
    <w:p w14:paraId="6A96245D" w14:textId="24D984C8" w:rsidR="004A0DA9" w:rsidRPr="00BB67BD" w:rsidRDefault="004A0DA9" w:rsidP="004A0DA9">
      <w:pPr>
        <w:spacing w:before="240" w:after="120"/>
        <w:ind w:left="720" w:hanging="720"/>
        <w:jc w:val="both"/>
        <w:rPr>
          <w:rFonts w:ascii="Times New Roman" w:hAnsi="Times New Roman" w:cs="Times New Roman"/>
          <w:lang w:val="en-GB"/>
        </w:rPr>
      </w:pPr>
      <w:r w:rsidRPr="00BB67BD">
        <w:rPr>
          <w:rFonts w:ascii="Times New Roman" w:hAnsi="Times New Roman" w:cs="Times New Roman"/>
          <w:lang w:val="en-GB"/>
        </w:rPr>
        <w:t>[37]</w:t>
      </w:r>
      <w:r w:rsidRPr="00BB67BD">
        <w:rPr>
          <w:rFonts w:ascii="Times New Roman" w:hAnsi="Times New Roman" w:cs="Times New Roman"/>
          <w:lang w:val="en-GB"/>
        </w:rPr>
        <w:tab/>
        <w:t xml:space="preserve">Jansen, D., Neubauer, J., Goetz-Neunhoeffer, F., Haerzschel, R., Hergeth, D., (2012) Change in reaction kinetics of a Portland cement caused by a superplasticizer -Calculation of heat flow curves from XRD data, </w:t>
      </w:r>
      <w:r w:rsidRPr="00BB67BD">
        <w:rPr>
          <w:rFonts w:ascii="Times New Roman" w:hAnsi="Times New Roman" w:cs="Times New Roman"/>
          <w:i/>
          <w:lang w:val="en-GB"/>
        </w:rPr>
        <w:t xml:space="preserve">Cement and </w:t>
      </w:r>
      <w:r w:rsidR="006D108B" w:rsidRPr="00BB67BD">
        <w:rPr>
          <w:rFonts w:ascii="Times New Roman" w:hAnsi="Times New Roman" w:cs="Times New Roman"/>
          <w:i/>
          <w:lang w:val="en-GB"/>
        </w:rPr>
        <w:t>concrete</w:t>
      </w:r>
      <w:r w:rsidRPr="00BB67BD">
        <w:rPr>
          <w:rFonts w:ascii="Times New Roman" w:hAnsi="Times New Roman" w:cs="Times New Roman"/>
          <w:i/>
          <w:lang w:val="en-GB"/>
        </w:rPr>
        <w:t xml:space="preserve"> research, </w:t>
      </w:r>
      <w:r w:rsidRPr="00BB67BD">
        <w:rPr>
          <w:rFonts w:ascii="Times New Roman" w:hAnsi="Times New Roman" w:cs="Times New Roman"/>
          <w:b/>
          <w:lang w:val="en-GB"/>
        </w:rPr>
        <w:t xml:space="preserve">42, 2, </w:t>
      </w:r>
      <w:r w:rsidRPr="00BB67BD">
        <w:rPr>
          <w:rFonts w:ascii="Times New Roman" w:hAnsi="Times New Roman" w:cs="Times New Roman"/>
          <w:lang w:val="en-GB"/>
        </w:rPr>
        <w:t>327-332</w:t>
      </w:r>
    </w:p>
    <w:p w14:paraId="1CFDE8B7" w14:textId="47C7ACCB" w:rsidR="004A0DA9" w:rsidRPr="00BB67BD" w:rsidRDefault="004A0DA9" w:rsidP="004A0DA9">
      <w:pPr>
        <w:spacing w:before="240" w:after="120"/>
        <w:ind w:left="720" w:hanging="720"/>
        <w:jc w:val="both"/>
        <w:rPr>
          <w:rFonts w:ascii="Times New Roman" w:hAnsi="Times New Roman" w:cs="Times New Roman"/>
          <w:lang w:val="en-GB"/>
        </w:rPr>
      </w:pPr>
      <w:proofErr w:type="gramStart"/>
      <w:r w:rsidRPr="00BB67BD">
        <w:rPr>
          <w:rFonts w:ascii="Times New Roman" w:hAnsi="Times New Roman" w:cs="Times New Roman"/>
          <w:lang w:val="en-GB"/>
        </w:rPr>
        <w:t>[38]</w:t>
      </w:r>
      <w:r w:rsidRPr="00BB67BD">
        <w:rPr>
          <w:rFonts w:ascii="Times New Roman" w:hAnsi="Times New Roman" w:cs="Times New Roman"/>
          <w:lang w:val="en-GB"/>
        </w:rPr>
        <w:tab/>
        <w:t>Cocke, D.L. and Mollah, M.Y.A. (1993) The BiChemistry and leaching mechanisms systems.</w:t>
      </w:r>
      <w:proofErr w:type="gramEnd"/>
      <w:r w:rsidRPr="00BB67BD">
        <w:rPr>
          <w:rFonts w:ascii="Times New Roman" w:hAnsi="Times New Roman" w:cs="Times New Roman"/>
          <w:lang w:val="en-GB"/>
        </w:rPr>
        <w:t xml:space="preserve"> </w:t>
      </w:r>
      <w:r w:rsidRPr="00BB67BD">
        <w:rPr>
          <w:rFonts w:ascii="Times New Roman" w:hAnsi="Times New Roman" w:cs="Times New Roman"/>
          <w:i/>
          <w:lang w:val="en-GB"/>
        </w:rPr>
        <w:t>Chemistry and Microstructure of Solidified waste forms</w:t>
      </w:r>
      <w:r w:rsidRPr="00BB67BD">
        <w:rPr>
          <w:rFonts w:ascii="Times New Roman" w:hAnsi="Times New Roman" w:cs="Times New Roman"/>
          <w:lang w:val="en-GB"/>
        </w:rPr>
        <w:t xml:space="preserve">. Edited by Spence, R.D, Lewis Publishers, </w:t>
      </w:r>
      <w:proofErr w:type="gramStart"/>
      <w:r w:rsidRPr="00BB67BD">
        <w:rPr>
          <w:rFonts w:ascii="Times New Roman" w:hAnsi="Times New Roman" w:cs="Times New Roman"/>
          <w:lang w:val="en-GB"/>
        </w:rPr>
        <w:t>USA</w:t>
      </w:r>
      <w:proofErr w:type="gramEnd"/>
      <w:r w:rsidRPr="00BB67BD">
        <w:rPr>
          <w:rFonts w:ascii="Times New Roman" w:hAnsi="Times New Roman" w:cs="Times New Roman"/>
          <w:lang w:val="en-GB"/>
        </w:rPr>
        <w:t xml:space="preserve">. </w:t>
      </w:r>
    </w:p>
    <w:p w14:paraId="53D581A8" w14:textId="02A44918" w:rsidR="004A0DA9" w:rsidRPr="00BB67BD" w:rsidRDefault="004A0DA9" w:rsidP="004A0DA9">
      <w:pPr>
        <w:spacing w:before="240" w:after="120"/>
        <w:ind w:left="720" w:hanging="720"/>
        <w:jc w:val="both"/>
        <w:rPr>
          <w:rFonts w:ascii="Times New Roman" w:hAnsi="Times New Roman" w:cs="Times New Roman"/>
        </w:rPr>
      </w:pPr>
      <w:r w:rsidRPr="00BB67BD">
        <w:rPr>
          <w:rFonts w:ascii="Times New Roman" w:hAnsi="Times New Roman" w:cs="Times New Roman"/>
          <w:lang w:val="en-GB"/>
        </w:rPr>
        <w:t>[39]</w:t>
      </w:r>
      <w:r w:rsidRPr="00BB67BD">
        <w:rPr>
          <w:rFonts w:ascii="Times New Roman" w:hAnsi="Times New Roman" w:cs="Times New Roman"/>
          <w:lang w:val="en-GB"/>
        </w:rPr>
        <w:tab/>
      </w:r>
      <w:proofErr w:type="gramStart"/>
      <w:r w:rsidRPr="00BB67BD">
        <w:rPr>
          <w:rFonts w:ascii="Times New Roman" w:hAnsi="Times New Roman" w:cs="Times New Roman"/>
        </w:rPr>
        <w:t xml:space="preserve">Regourd, M. (2001) Cements made from </w:t>
      </w:r>
      <w:r w:rsidR="006D108B" w:rsidRPr="00BB67BD">
        <w:rPr>
          <w:rFonts w:ascii="Times New Roman" w:hAnsi="Times New Roman" w:cs="Times New Roman"/>
        </w:rPr>
        <w:t>blast furnace</w:t>
      </w:r>
      <w:r w:rsidRPr="00BB67BD">
        <w:rPr>
          <w:rFonts w:ascii="Times New Roman" w:hAnsi="Times New Roman" w:cs="Times New Roman"/>
        </w:rPr>
        <w:t xml:space="preserve"> slag.</w:t>
      </w:r>
      <w:proofErr w:type="gramEnd"/>
      <w:r w:rsidRPr="00BB67BD">
        <w:rPr>
          <w:rFonts w:ascii="Times New Roman" w:hAnsi="Times New Roman" w:cs="Times New Roman"/>
        </w:rPr>
        <w:t xml:space="preserve"> </w:t>
      </w:r>
      <w:proofErr w:type="gramStart"/>
      <w:r w:rsidRPr="00BB67BD">
        <w:rPr>
          <w:rFonts w:ascii="Times New Roman" w:hAnsi="Times New Roman" w:cs="Times New Roman"/>
          <w:i/>
        </w:rPr>
        <w:t xml:space="preserve">Lea’s chemistry of cement and </w:t>
      </w:r>
      <w:r w:rsidR="006D108B" w:rsidRPr="00BB67BD">
        <w:rPr>
          <w:rFonts w:ascii="Times New Roman" w:hAnsi="Times New Roman" w:cs="Times New Roman"/>
          <w:i/>
        </w:rPr>
        <w:t>concrete,</w:t>
      </w:r>
      <w:r w:rsidRPr="00BB67BD">
        <w:rPr>
          <w:rFonts w:ascii="Times New Roman" w:hAnsi="Times New Roman" w:cs="Times New Roman"/>
          <w:i/>
        </w:rPr>
        <w:t xml:space="preserve"> 4th edition.</w:t>
      </w:r>
      <w:proofErr w:type="gramEnd"/>
      <w:r w:rsidRPr="00BB67BD">
        <w:rPr>
          <w:rFonts w:ascii="Times New Roman" w:hAnsi="Times New Roman" w:cs="Times New Roman"/>
        </w:rPr>
        <w:t xml:space="preserve"> Edited by P.C. Hewlett, Butterworth- Heinemann. 637-678</w:t>
      </w:r>
    </w:p>
    <w:p w14:paraId="213FD293" w14:textId="7394DE87" w:rsidR="00735235" w:rsidRPr="00CD5336" w:rsidRDefault="004B1A3C" w:rsidP="004A0DA9">
      <w:pPr>
        <w:spacing w:before="240" w:after="120"/>
        <w:ind w:left="720" w:hanging="720"/>
        <w:jc w:val="both"/>
        <w:rPr>
          <w:rFonts w:ascii="Times New Roman" w:hAnsi="Times New Roman" w:cs="Times New Roman"/>
        </w:rPr>
      </w:pPr>
      <w:r w:rsidRPr="00BB67BD" w:rsidDel="004B1A3C">
        <w:rPr>
          <w:rFonts w:ascii="Times New Roman" w:hAnsi="Times New Roman" w:cs="Times New Roman"/>
        </w:rPr>
        <w:t xml:space="preserve"> </w:t>
      </w:r>
      <w:r w:rsidR="00BF19F4">
        <w:rPr>
          <w:rFonts w:ascii="Times New Roman" w:hAnsi="Times New Roman" w:cs="Times New Roman"/>
        </w:rPr>
        <w:t>[40</w:t>
      </w:r>
      <w:r w:rsidR="00735235">
        <w:rPr>
          <w:rFonts w:ascii="Times New Roman" w:hAnsi="Times New Roman" w:cs="Times New Roman"/>
        </w:rPr>
        <w:t>]</w:t>
      </w:r>
      <w:r w:rsidR="00735235">
        <w:rPr>
          <w:rFonts w:ascii="Times New Roman" w:hAnsi="Times New Roman" w:cs="Times New Roman"/>
        </w:rPr>
        <w:tab/>
        <w:t>Alonso, M.C., Fernandez Luco, L., Garcia, J.L.</w:t>
      </w:r>
      <w:r w:rsidR="00CD5336">
        <w:rPr>
          <w:rFonts w:ascii="Times New Roman" w:hAnsi="Times New Roman" w:cs="Times New Roman"/>
        </w:rPr>
        <w:t xml:space="preserve">, Hidalgo, A., Huertas, F. (2007) Low-pH Cementitious Materials Design and Characterisation, </w:t>
      </w:r>
      <w:r w:rsidR="00CD5336">
        <w:rPr>
          <w:rFonts w:ascii="Times New Roman" w:hAnsi="Times New Roman" w:cs="Times New Roman"/>
          <w:i/>
        </w:rPr>
        <w:t xml:space="preserve">Instituo de Ciencias de la Construccion Eduardo Torroja, </w:t>
      </w:r>
      <w:r w:rsidR="00CD5336">
        <w:rPr>
          <w:rFonts w:ascii="Times New Roman" w:hAnsi="Times New Roman" w:cs="Times New Roman"/>
        </w:rPr>
        <w:t>ENRESA</w:t>
      </w:r>
    </w:p>
    <w:p w14:paraId="4F45EDBC" w14:textId="77777777" w:rsidR="004A0DA9" w:rsidRPr="00BB67BD" w:rsidRDefault="004A0DA9" w:rsidP="004A0DA9">
      <w:pPr>
        <w:spacing w:before="240" w:after="120"/>
        <w:ind w:left="720" w:hanging="720"/>
        <w:jc w:val="both"/>
        <w:rPr>
          <w:rFonts w:ascii="Times New Roman" w:hAnsi="Times New Roman" w:cs="Times New Roman"/>
        </w:rPr>
      </w:pPr>
      <w:r w:rsidRPr="00BB67BD">
        <w:rPr>
          <w:rFonts w:ascii="Times New Roman" w:hAnsi="Times New Roman" w:cs="Times New Roman"/>
        </w:rPr>
        <w:t>[41]</w:t>
      </w:r>
      <w:r w:rsidRPr="00BB67BD">
        <w:t xml:space="preserve"> </w:t>
      </w:r>
      <w:r w:rsidRPr="00BB67BD">
        <w:tab/>
      </w:r>
      <w:r w:rsidRPr="00BB67BD">
        <w:rPr>
          <w:rFonts w:ascii="Times New Roman" w:hAnsi="Times New Roman" w:cs="Times New Roman"/>
        </w:rPr>
        <w:t xml:space="preserve">Concrete in the Service of Mankind: Concrete for infrastructure and utilities (2003) edited by Ravindra Dhir, Neil Henderso, </w:t>
      </w:r>
      <w:proofErr w:type="gramStart"/>
      <w:r w:rsidRPr="00BB67BD">
        <w:rPr>
          <w:rFonts w:ascii="Times New Roman" w:hAnsi="Times New Roman" w:cs="Times New Roman"/>
        </w:rPr>
        <w:t>CRC</w:t>
      </w:r>
      <w:proofErr w:type="gramEnd"/>
      <w:r w:rsidRPr="00BB67BD">
        <w:rPr>
          <w:rFonts w:ascii="Times New Roman" w:hAnsi="Times New Roman" w:cs="Times New Roman"/>
        </w:rPr>
        <w:t xml:space="preserve"> Press</w:t>
      </w:r>
    </w:p>
    <w:p w14:paraId="48BE20EF" w14:textId="77777777" w:rsidR="004A0DA9" w:rsidRPr="00BB67BD" w:rsidRDefault="004A0DA9" w:rsidP="004A0DA9">
      <w:pPr>
        <w:spacing w:before="240" w:after="120"/>
        <w:ind w:left="720" w:hanging="720"/>
        <w:jc w:val="both"/>
        <w:rPr>
          <w:rFonts w:ascii="Times New Roman" w:hAnsi="Times New Roman" w:cs="Times New Roman"/>
        </w:rPr>
      </w:pPr>
      <w:proofErr w:type="gramStart"/>
      <w:r w:rsidRPr="00BB67BD">
        <w:rPr>
          <w:rFonts w:ascii="Times New Roman" w:hAnsi="Times New Roman" w:cs="Times New Roman"/>
        </w:rPr>
        <w:t>[42]</w:t>
      </w:r>
      <w:r w:rsidRPr="00BB67BD">
        <w:rPr>
          <w:rFonts w:ascii="Times New Roman" w:hAnsi="Times New Roman" w:cs="Times New Roman"/>
        </w:rPr>
        <w:tab/>
        <w:t>Glasser, F.P. (2001) Mineralogical aspects of cement in radioactive waste disposal.</w:t>
      </w:r>
      <w:proofErr w:type="gramEnd"/>
      <w:r w:rsidRPr="00BB67BD">
        <w:rPr>
          <w:rFonts w:ascii="Times New Roman" w:hAnsi="Times New Roman" w:cs="Times New Roman"/>
        </w:rPr>
        <w:t xml:space="preserve"> </w:t>
      </w:r>
      <w:r w:rsidRPr="00BB67BD">
        <w:rPr>
          <w:rFonts w:ascii="Times New Roman" w:hAnsi="Times New Roman" w:cs="Times New Roman"/>
          <w:i/>
        </w:rPr>
        <w:t>Mineralogical Magazine</w:t>
      </w:r>
      <w:r w:rsidRPr="00BB67BD">
        <w:rPr>
          <w:rFonts w:ascii="Times New Roman" w:hAnsi="Times New Roman" w:cs="Times New Roman"/>
        </w:rPr>
        <w:t xml:space="preserve">. </w:t>
      </w:r>
      <w:proofErr w:type="gramStart"/>
      <w:r w:rsidRPr="00BB67BD">
        <w:rPr>
          <w:rFonts w:ascii="Times New Roman" w:hAnsi="Times New Roman" w:cs="Times New Roman"/>
          <w:b/>
        </w:rPr>
        <w:t>65(5)</w:t>
      </w:r>
      <w:r w:rsidRPr="00BB67BD">
        <w:rPr>
          <w:rFonts w:ascii="Times New Roman" w:hAnsi="Times New Roman" w:cs="Times New Roman"/>
        </w:rPr>
        <w:t>, 621-633.</w:t>
      </w:r>
      <w:proofErr w:type="gramEnd"/>
      <w:r w:rsidRPr="00BB67BD">
        <w:rPr>
          <w:rFonts w:ascii="Times New Roman" w:hAnsi="Times New Roman" w:cs="Times New Roman"/>
        </w:rPr>
        <w:t xml:space="preserve"> </w:t>
      </w:r>
    </w:p>
    <w:p w14:paraId="41025048" w14:textId="77777777" w:rsidR="004A0DA9" w:rsidRPr="00BB67BD" w:rsidRDefault="004A0DA9" w:rsidP="004A0DA9">
      <w:pPr>
        <w:spacing w:before="240" w:after="120"/>
        <w:ind w:left="720" w:hanging="720"/>
        <w:jc w:val="both"/>
        <w:rPr>
          <w:rFonts w:ascii="Times New Roman" w:hAnsi="Times New Roman" w:cs="Times New Roman"/>
          <w:color w:val="000000"/>
        </w:rPr>
      </w:pPr>
      <w:r w:rsidRPr="00BB67BD">
        <w:rPr>
          <w:rFonts w:ascii="Times New Roman" w:hAnsi="Times New Roman" w:cs="Times New Roman"/>
        </w:rPr>
        <w:t>[43]</w:t>
      </w:r>
      <w:r w:rsidRPr="00BB67BD">
        <w:rPr>
          <w:rFonts w:ascii="Times New Roman" w:hAnsi="Times New Roman" w:cs="Times New Roman"/>
        </w:rPr>
        <w:tab/>
      </w:r>
      <w:r w:rsidRPr="00BB67BD">
        <w:rPr>
          <w:rFonts w:ascii="Times New Roman" w:hAnsi="Times New Roman" w:cs="Times New Roman"/>
          <w:color w:val="000000"/>
        </w:rPr>
        <w:t xml:space="preserve">J.R. Conner. (1993) Chemistry of cementitious solidified/stabilized waste forms. </w:t>
      </w:r>
      <w:r w:rsidRPr="00BB67BD">
        <w:rPr>
          <w:rFonts w:ascii="Times New Roman" w:hAnsi="Times New Roman" w:cs="Times New Roman"/>
          <w:i/>
          <w:color w:val="000000"/>
        </w:rPr>
        <w:t>Chemistry and microstructure of solidified waste forms</w:t>
      </w:r>
      <w:r w:rsidRPr="00BB67BD">
        <w:rPr>
          <w:rFonts w:ascii="Times New Roman" w:hAnsi="Times New Roman" w:cs="Times New Roman"/>
          <w:color w:val="000000"/>
        </w:rPr>
        <w:t xml:space="preserve">. Edited by Spence, R.D, Lewis Publishers, </w:t>
      </w:r>
      <w:proofErr w:type="gramStart"/>
      <w:r w:rsidRPr="00BB67BD">
        <w:rPr>
          <w:rFonts w:ascii="Times New Roman" w:hAnsi="Times New Roman" w:cs="Times New Roman"/>
          <w:color w:val="000000"/>
        </w:rPr>
        <w:t>USA</w:t>
      </w:r>
      <w:proofErr w:type="gramEnd"/>
      <w:r w:rsidRPr="00BB67BD">
        <w:rPr>
          <w:rFonts w:ascii="Times New Roman" w:hAnsi="Times New Roman" w:cs="Times New Roman"/>
          <w:color w:val="000000"/>
        </w:rPr>
        <w:t>. 41-82.</w:t>
      </w:r>
    </w:p>
    <w:p w14:paraId="10CEC3BC" w14:textId="56334CC0" w:rsidR="004A0DA9" w:rsidRPr="00BB67BD" w:rsidRDefault="004A0DA9" w:rsidP="004A0DA9">
      <w:pPr>
        <w:spacing w:before="240" w:after="120"/>
        <w:ind w:left="720" w:hanging="720"/>
        <w:jc w:val="both"/>
        <w:rPr>
          <w:rFonts w:ascii="Times New Roman" w:hAnsi="Times New Roman" w:cs="Times New Roman"/>
          <w:color w:val="000000"/>
          <w:lang w:val="en-GB"/>
        </w:rPr>
      </w:pPr>
      <w:r w:rsidRPr="00BB67BD">
        <w:rPr>
          <w:rFonts w:ascii="Times New Roman" w:hAnsi="Times New Roman" w:cs="Times New Roman"/>
          <w:color w:val="000000"/>
        </w:rPr>
        <w:t>[44]</w:t>
      </w:r>
      <w:r w:rsidRPr="00BB67BD">
        <w:rPr>
          <w:rFonts w:ascii="Times New Roman" w:hAnsi="Times New Roman" w:cs="Times New Roman"/>
          <w:color w:val="000000"/>
        </w:rPr>
        <w:tab/>
      </w:r>
      <w:r w:rsidRPr="00BB67BD">
        <w:rPr>
          <w:rFonts w:ascii="Times New Roman" w:hAnsi="Times New Roman" w:cs="Times New Roman"/>
          <w:color w:val="000000"/>
          <w:lang w:val="en-GB"/>
        </w:rPr>
        <w:t>Read, D., Johnson, A., Jantzen, C. &amp; Stegemann, J. A. (2010) Cements in Waste Management. </w:t>
      </w:r>
      <w:proofErr w:type="gramStart"/>
      <w:r w:rsidRPr="00BB67BD">
        <w:rPr>
          <w:rFonts w:ascii="Times New Roman" w:hAnsi="Times New Roman" w:cs="Times New Roman"/>
          <w:i/>
          <w:iCs/>
          <w:color w:val="000000"/>
          <w:lang w:val="en-GB"/>
        </w:rPr>
        <w:t>Advances in Cement Research</w:t>
      </w:r>
      <w:r w:rsidRPr="00BB67BD">
        <w:rPr>
          <w:rFonts w:ascii="Times New Roman" w:hAnsi="Times New Roman" w:cs="Times New Roman"/>
          <w:color w:val="000000"/>
          <w:lang w:val="en-GB"/>
        </w:rPr>
        <w:t>, 22.</w:t>
      </w:r>
      <w:proofErr w:type="gramEnd"/>
      <w:r w:rsidRPr="00BB67BD">
        <w:rPr>
          <w:rFonts w:ascii="Times New Roman" w:hAnsi="Times New Roman" w:cs="Times New Roman"/>
          <w:color w:val="000000"/>
          <w:lang w:val="en-GB"/>
        </w:rPr>
        <w:t xml:space="preserve"> Retrieved from </w:t>
      </w:r>
      <w:r w:rsidRPr="00D54899">
        <w:rPr>
          <w:rFonts w:ascii="Times New Roman" w:hAnsi="Times New Roman" w:cs="Times New Roman"/>
        </w:rPr>
        <w:t>http://dx.doi.org/10.1680/adcr.2010.22.4.225</w:t>
      </w:r>
      <w:r w:rsidR="008F0ED3">
        <w:rPr>
          <w:rFonts w:ascii="Times New Roman" w:hAnsi="Times New Roman" w:cs="Times New Roman"/>
        </w:rPr>
        <w:t xml:space="preserve">, 22, 225-226. </w:t>
      </w:r>
    </w:p>
    <w:p w14:paraId="6737B426" w14:textId="14CB5C87" w:rsidR="004A0DA9" w:rsidRPr="00BB67BD" w:rsidRDefault="004A0DA9" w:rsidP="004A0DA9">
      <w:pPr>
        <w:spacing w:before="240" w:after="120"/>
        <w:ind w:left="720" w:hanging="720"/>
        <w:jc w:val="both"/>
        <w:rPr>
          <w:rFonts w:ascii="Times New Roman" w:hAnsi="Times New Roman" w:cs="Times New Roman"/>
          <w:color w:val="000000"/>
          <w:lang w:val="en-GB"/>
        </w:rPr>
      </w:pPr>
      <w:r w:rsidRPr="00BB67BD">
        <w:rPr>
          <w:rFonts w:ascii="Times New Roman" w:hAnsi="Times New Roman" w:cs="Times New Roman"/>
          <w:color w:val="000000"/>
          <w:lang w:val="en-GB"/>
        </w:rPr>
        <w:t>[45]</w:t>
      </w:r>
      <w:r w:rsidRPr="00BB67BD">
        <w:rPr>
          <w:rFonts w:ascii="Times New Roman" w:hAnsi="Times New Roman" w:cs="Times New Roman"/>
          <w:color w:val="000000"/>
          <w:lang w:val="en-GB"/>
        </w:rPr>
        <w:tab/>
      </w:r>
      <w:r w:rsidR="007A6835">
        <w:t>J. Rose, I. Moulin, J</w:t>
      </w:r>
      <w:proofErr w:type="gramStart"/>
      <w:r w:rsidR="007A6835">
        <w:t>.-</w:t>
      </w:r>
      <w:proofErr w:type="gramEnd"/>
      <w:r w:rsidR="007A6835">
        <w:t xml:space="preserve">L. Hazemann, A. Masion, P.M. Bertsch, J.-Y. Bottero, F. Mosnier, C. Haehnel, X-ray absorption spectroscopy study of immobilization processes for heavy metals in calcium silicate hydrates: 1. </w:t>
      </w:r>
      <w:proofErr w:type="gramStart"/>
      <w:r w:rsidR="007A6835">
        <w:t>Case of Lead, Langmuir 16 (2000) 9900-9906.</w:t>
      </w:r>
      <w:proofErr w:type="gramEnd"/>
    </w:p>
    <w:p w14:paraId="5F070020" w14:textId="77777777" w:rsidR="004A0DA9" w:rsidRPr="00BB67BD" w:rsidRDefault="004A0DA9" w:rsidP="004A0DA9">
      <w:pPr>
        <w:spacing w:before="240" w:after="120"/>
        <w:ind w:left="720" w:hanging="720"/>
        <w:jc w:val="both"/>
        <w:rPr>
          <w:rFonts w:ascii="Times New Roman" w:hAnsi="Times New Roman" w:cs="Times New Roman"/>
          <w:color w:val="000000"/>
          <w:lang w:val="en-GB"/>
        </w:rPr>
      </w:pPr>
      <w:r w:rsidRPr="00BB67BD">
        <w:rPr>
          <w:rFonts w:ascii="Times New Roman" w:hAnsi="Times New Roman" w:cs="Times New Roman"/>
          <w:color w:val="000000"/>
          <w:lang w:val="en-GB"/>
        </w:rPr>
        <w:lastRenderedPageBreak/>
        <w:t>[46]</w:t>
      </w:r>
      <w:r w:rsidRPr="00BB67BD">
        <w:rPr>
          <w:rFonts w:ascii="Times New Roman" w:hAnsi="Times New Roman" w:cs="Times New Roman"/>
          <w:color w:val="000000"/>
          <w:lang w:val="en-GB"/>
        </w:rPr>
        <w:tab/>
      </w:r>
      <w:proofErr w:type="gramStart"/>
      <w:r w:rsidRPr="00BB67BD">
        <w:rPr>
          <w:rFonts w:ascii="Times New Roman" w:hAnsi="Times New Roman" w:cs="Times New Roman"/>
          <w:color w:val="000000"/>
          <w:lang w:val="en-GB"/>
        </w:rPr>
        <w:t>Copeland, L. E., Bodor, E., Chang, T. N. &amp; Weise, C. H. (1967).</w:t>
      </w:r>
      <w:proofErr w:type="gramEnd"/>
      <w:r w:rsidRPr="00BB67BD">
        <w:rPr>
          <w:rFonts w:ascii="Times New Roman" w:hAnsi="Times New Roman" w:cs="Times New Roman"/>
          <w:color w:val="000000"/>
          <w:lang w:val="en-GB"/>
        </w:rPr>
        <w:t xml:space="preserve"> J. PCA Res. Dev. Lab. </w:t>
      </w:r>
      <w:r w:rsidRPr="00BB67BD">
        <w:rPr>
          <w:rFonts w:ascii="Times New Roman" w:hAnsi="Times New Roman" w:cs="Times New Roman"/>
          <w:b/>
          <w:color w:val="000000"/>
          <w:lang w:val="en-GB"/>
        </w:rPr>
        <w:t>9,</w:t>
      </w:r>
      <w:r w:rsidRPr="00BB67BD">
        <w:rPr>
          <w:rFonts w:ascii="Times New Roman" w:hAnsi="Times New Roman" w:cs="Times New Roman"/>
          <w:color w:val="000000"/>
          <w:lang w:val="en-GB"/>
        </w:rPr>
        <w:t xml:space="preserve"> 61-74.</w:t>
      </w:r>
    </w:p>
    <w:p w14:paraId="2A9CC22A" w14:textId="77777777" w:rsidR="004A0DA9" w:rsidRPr="00BB67BD" w:rsidRDefault="004A0DA9" w:rsidP="004A0DA9">
      <w:pPr>
        <w:spacing w:before="240" w:after="120"/>
        <w:ind w:left="720" w:hanging="720"/>
        <w:jc w:val="both"/>
        <w:rPr>
          <w:rFonts w:ascii="Times New Roman" w:hAnsi="Times New Roman" w:cs="Times New Roman"/>
          <w:color w:val="000000"/>
          <w:lang w:val="en-GB"/>
        </w:rPr>
      </w:pPr>
      <w:r w:rsidRPr="00BB67BD">
        <w:rPr>
          <w:rFonts w:ascii="Times New Roman" w:hAnsi="Times New Roman" w:cs="Times New Roman"/>
          <w:color w:val="000000"/>
          <w:lang w:val="en-GB"/>
        </w:rPr>
        <w:t>[47]</w:t>
      </w:r>
      <w:r w:rsidRPr="00BB67BD">
        <w:rPr>
          <w:rFonts w:ascii="Times New Roman" w:hAnsi="Times New Roman" w:cs="Times New Roman"/>
          <w:color w:val="000000"/>
          <w:lang w:val="en-GB"/>
        </w:rPr>
        <w:tab/>
        <w:t xml:space="preserve">Crawford, R.W.; Glasser, F.P.; Rahman, A.A.; Angus, M.J.; McCulloch, C.E. (1985) Diffusion mechanisms and factors affecting leaching of caesium-134 from cement-based waste matrices, </w:t>
      </w:r>
      <w:r w:rsidRPr="00BB67BD">
        <w:rPr>
          <w:rFonts w:ascii="Times New Roman" w:hAnsi="Times New Roman" w:cs="Times New Roman"/>
          <w:i/>
          <w:color w:val="000000"/>
          <w:lang w:val="en-GB"/>
        </w:rPr>
        <w:t xml:space="preserve">Radioact. Waste Manage. Nucl. </w:t>
      </w:r>
      <w:proofErr w:type="gramStart"/>
      <w:r w:rsidRPr="00BB67BD">
        <w:rPr>
          <w:rFonts w:ascii="Times New Roman" w:hAnsi="Times New Roman" w:cs="Times New Roman"/>
          <w:i/>
          <w:color w:val="000000"/>
          <w:lang w:val="en-GB"/>
        </w:rPr>
        <w:t xml:space="preserve">Fuel Cycle; </w:t>
      </w:r>
      <w:r w:rsidRPr="00BB67BD">
        <w:rPr>
          <w:rFonts w:ascii="Times New Roman" w:hAnsi="Times New Roman" w:cs="Times New Roman"/>
          <w:b/>
          <w:color w:val="000000"/>
          <w:lang w:val="en-GB"/>
        </w:rPr>
        <w:t xml:space="preserve">6, 2, </w:t>
      </w:r>
      <w:r w:rsidRPr="00BB67BD">
        <w:rPr>
          <w:rFonts w:ascii="Times New Roman" w:hAnsi="Times New Roman" w:cs="Times New Roman"/>
          <w:color w:val="000000"/>
          <w:lang w:val="en-GB"/>
        </w:rPr>
        <w:t>177-196.</w:t>
      </w:r>
      <w:proofErr w:type="gramEnd"/>
    </w:p>
    <w:p w14:paraId="5AD1865F" w14:textId="58A95C2A" w:rsidR="004A0DA9" w:rsidRPr="00BB67BD" w:rsidRDefault="004A0DA9" w:rsidP="004A0DA9">
      <w:pPr>
        <w:spacing w:before="240" w:after="120"/>
        <w:ind w:left="720" w:hanging="720"/>
        <w:jc w:val="both"/>
        <w:rPr>
          <w:rFonts w:ascii="Times New Roman" w:hAnsi="Times New Roman" w:cs="Times New Roman"/>
          <w:color w:val="000000"/>
          <w:lang w:val="en-GB"/>
        </w:rPr>
      </w:pPr>
      <w:r w:rsidRPr="00BB67BD">
        <w:rPr>
          <w:rFonts w:ascii="Times New Roman" w:hAnsi="Times New Roman" w:cs="Times New Roman"/>
          <w:color w:val="000000"/>
          <w:lang w:val="en-GB"/>
        </w:rPr>
        <w:t>[48]</w:t>
      </w:r>
      <w:r w:rsidRPr="00BB67BD">
        <w:rPr>
          <w:rFonts w:ascii="Times New Roman" w:hAnsi="Times New Roman" w:cs="Times New Roman"/>
          <w:color w:val="000000"/>
          <w:lang w:val="en-GB"/>
        </w:rPr>
        <w:tab/>
        <w:t xml:space="preserve">Papadokostaki, K.G. and Savidou, A. (2009) Study of leaching </w:t>
      </w:r>
      <w:r w:rsidR="006D108B" w:rsidRPr="00BB67BD">
        <w:rPr>
          <w:rFonts w:ascii="Times New Roman" w:hAnsi="Times New Roman" w:cs="Times New Roman"/>
          <w:color w:val="000000"/>
          <w:lang w:val="en-GB"/>
        </w:rPr>
        <w:t>mechanisms</w:t>
      </w:r>
      <w:r w:rsidRPr="00BB67BD">
        <w:rPr>
          <w:rFonts w:ascii="Times New Roman" w:hAnsi="Times New Roman" w:cs="Times New Roman"/>
          <w:color w:val="000000"/>
          <w:lang w:val="en-GB"/>
        </w:rPr>
        <w:t xml:space="preserve"> of caesium ions incorporated in Ordinary Portland Cement. </w:t>
      </w:r>
      <w:proofErr w:type="gramStart"/>
      <w:r w:rsidRPr="00BB67BD">
        <w:rPr>
          <w:rFonts w:ascii="Times New Roman" w:hAnsi="Times New Roman" w:cs="Times New Roman"/>
          <w:color w:val="000000"/>
          <w:lang w:val="en-GB"/>
        </w:rPr>
        <w:t>Journal of hazardous materials.</w:t>
      </w:r>
      <w:proofErr w:type="gramEnd"/>
      <w:r w:rsidRPr="00BB67BD">
        <w:rPr>
          <w:rFonts w:ascii="Times New Roman" w:hAnsi="Times New Roman" w:cs="Times New Roman"/>
          <w:color w:val="000000"/>
          <w:lang w:val="en-GB"/>
        </w:rPr>
        <w:t xml:space="preserve"> </w:t>
      </w:r>
      <w:proofErr w:type="gramStart"/>
      <w:r w:rsidRPr="00BB67BD">
        <w:rPr>
          <w:rFonts w:ascii="Times New Roman" w:hAnsi="Times New Roman" w:cs="Times New Roman"/>
          <w:b/>
          <w:color w:val="000000"/>
          <w:lang w:val="en-GB"/>
        </w:rPr>
        <w:t>171,</w:t>
      </w:r>
      <w:r w:rsidRPr="00BB67BD">
        <w:rPr>
          <w:rFonts w:ascii="Times New Roman" w:hAnsi="Times New Roman" w:cs="Times New Roman"/>
          <w:color w:val="000000"/>
          <w:lang w:val="en-GB"/>
        </w:rPr>
        <w:t xml:space="preserve"> 1024-1031.</w:t>
      </w:r>
      <w:proofErr w:type="gramEnd"/>
      <w:r w:rsidRPr="00BB67BD">
        <w:rPr>
          <w:rFonts w:ascii="Times New Roman" w:hAnsi="Times New Roman" w:cs="Times New Roman"/>
          <w:color w:val="000000"/>
          <w:lang w:val="en-GB"/>
        </w:rPr>
        <w:t xml:space="preserve"> </w:t>
      </w:r>
    </w:p>
    <w:p w14:paraId="331CBE6F" w14:textId="77777777" w:rsidR="004A0DA9" w:rsidRPr="00BB67BD" w:rsidRDefault="004A0DA9" w:rsidP="004A0DA9">
      <w:pPr>
        <w:spacing w:before="240" w:after="120"/>
        <w:ind w:left="720" w:hanging="720"/>
        <w:jc w:val="both"/>
        <w:rPr>
          <w:rFonts w:ascii="Times New Roman" w:hAnsi="Times New Roman" w:cs="Times New Roman"/>
          <w:color w:val="000000"/>
          <w:lang w:val="en-GB"/>
        </w:rPr>
      </w:pPr>
      <w:r w:rsidRPr="00BB67BD">
        <w:rPr>
          <w:rFonts w:ascii="Times New Roman" w:hAnsi="Times New Roman" w:cs="Times New Roman"/>
          <w:color w:val="000000"/>
          <w:lang w:val="en-GB"/>
        </w:rPr>
        <w:t>[49]</w:t>
      </w:r>
      <w:r w:rsidRPr="00BB67BD">
        <w:rPr>
          <w:rFonts w:ascii="Times New Roman" w:hAnsi="Times New Roman" w:cs="Times New Roman"/>
          <w:color w:val="000000"/>
          <w:lang w:val="en-GB"/>
        </w:rPr>
        <w:tab/>
        <w:t xml:space="preserve">Ochs, M. et al. (2006) Caesium sorption by hydrated cement as a function of degradation state: Experiments and modelling. Waste Management. </w:t>
      </w:r>
      <w:proofErr w:type="gramStart"/>
      <w:r w:rsidRPr="00BB67BD">
        <w:rPr>
          <w:rFonts w:ascii="Times New Roman" w:hAnsi="Times New Roman" w:cs="Times New Roman"/>
          <w:b/>
          <w:color w:val="000000"/>
          <w:lang w:val="en-GB"/>
        </w:rPr>
        <w:t>26(7),</w:t>
      </w:r>
      <w:r w:rsidRPr="00BB67BD">
        <w:rPr>
          <w:rFonts w:ascii="Times New Roman" w:hAnsi="Times New Roman" w:cs="Times New Roman"/>
          <w:color w:val="000000"/>
          <w:lang w:val="en-GB"/>
        </w:rPr>
        <w:t xml:space="preserve"> 725-732.</w:t>
      </w:r>
      <w:proofErr w:type="gramEnd"/>
      <w:r w:rsidRPr="00BB67BD">
        <w:rPr>
          <w:rFonts w:ascii="Times New Roman" w:hAnsi="Times New Roman" w:cs="Times New Roman"/>
          <w:color w:val="000000"/>
          <w:lang w:val="en-GB"/>
        </w:rPr>
        <w:t xml:space="preserve"> </w:t>
      </w:r>
    </w:p>
    <w:p w14:paraId="70C26C95" w14:textId="77777777" w:rsidR="004A0DA9" w:rsidRPr="00BB67BD" w:rsidRDefault="004A0DA9" w:rsidP="004A0DA9">
      <w:pPr>
        <w:spacing w:before="240" w:after="120"/>
        <w:ind w:left="720" w:hanging="720"/>
        <w:jc w:val="both"/>
        <w:rPr>
          <w:rFonts w:ascii="Times New Roman" w:hAnsi="Times New Roman" w:cs="Times New Roman"/>
          <w:color w:val="000000"/>
          <w:lang w:val="en-GB"/>
        </w:rPr>
      </w:pPr>
      <w:r w:rsidRPr="00BB67BD">
        <w:rPr>
          <w:rFonts w:ascii="Times New Roman" w:hAnsi="Times New Roman" w:cs="Times New Roman"/>
          <w:color w:val="000000"/>
          <w:lang w:val="en-GB"/>
        </w:rPr>
        <w:t>[50]</w:t>
      </w:r>
      <w:r w:rsidRPr="00BB67BD">
        <w:rPr>
          <w:rFonts w:ascii="Times New Roman" w:hAnsi="Times New Roman" w:cs="Times New Roman"/>
          <w:color w:val="000000"/>
          <w:lang w:val="en-GB"/>
        </w:rPr>
        <w:tab/>
      </w:r>
      <w:proofErr w:type="gramStart"/>
      <w:r w:rsidRPr="00BB67BD">
        <w:rPr>
          <w:rFonts w:ascii="Times New Roman" w:hAnsi="Times New Roman" w:cs="Times New Roman"/>
          <w:color w:val="000000"/>
          <w:lang w:val="en-GB"/>
        </w:rPr>
        <w:t>Iwaida, T. (2001) Sorption of alkali metal ions onto C-S-H (calcium silicate hydrated phases).</w:t>
      </w:r>
      <w:proofErr w:type="gramEnd"/>
      <w:r w:rsidRPr="00BB67BD">
        <w:rPr>
          <w:rFonts w:ascii="Times New Roman" w:hAnsi="Times New Roman" w:cs="Times New Roman"/>
          <w:color w:val="000000"/>
          <w:lang w:val="en-GB"/>
        </w:rPr>
        <w:t xml:space="preserve"> </w:t>
      </w:r>
      <w:r w:rsidRPr="00BB67BD">
        <w:rPr>
          <w:rFonts w:ascii="Times New Roman" w:hAnsi="Times New Roman" w:cs="Times New Roman"/>
          <w:i/>
          <w:color w:val="000000"/>
          <w:lang w:val="en-GB"/>
        </w:rPr>
        <w:t xml:space="preserve">Cem Sci Concr Tech. </w:t>
      </w:r>
      <w:r w:rsidRPr="00BB67BD">
        <w:rPr>
          <w:rFonts w:ascii="Times New Roman" w:hAnsi="Times New Roman" w:cs="Times New Roman"/>
          <w:b/>
          <w:color w:val="000000"/>
          <w:lang w:val="en-GB"/>
        </w:rPr>
        <w:t>55,</w:t>
      </w:r>
      <w:r w:rsidRPr="00BB67BD">
        <w:rPr>
          <w:rFonts w:ascii="Times New Roman" w:hAnsi="Times New Roman" w:cs="Times New Roman"/>
          <w:color w:val="000000"/>
          <w:lang w:val="en-GB"/>
        </w:rPr>
        <w:t xml:space="preserve"> 21- 26.</w:t>
      </w:r>
    </w:p>
    <w:p w14:paraId="6DCC7C2C" w14:textId="77777777" w:rsidR="004A0DA9" w:rsidRPr="00BB67BD" w:rsidRDefault="004A0DA9" w:rsidP="004A0DA9">
      <w:pPr>
        <w:spacing w:before="240" w:after="120"/>
        <w:ind w:left="720" w:hanging="720"/>
        <w:jc w:val="both"/>
        <w:rPr>
          <w:rFonts w:ascii="Times New Roman" w:hAnsi="Times New Roman" w:cs="Times New Roman"/>
          <w:color w:val="000000"/>
        </w:rPr>
      </w:pPr>
      <w:r w:rsidRPr="00BB67BD">
        <w:rPr>
          <w:rFonts w:ascii="Times New Roman" w:hAnsi="Times New Roman" w:cs="Times New Roman"/>
          <w:color w:val="000000"/>
          <w:lang w:val="en-GB"/>
        </w:rPr>
        <w:t>[51]</w:t>
      </w:r>
      <w:r w:rsidRPr="00BB67BD">
        <w:rPr>
          <w:rFonts w:ascii="Times New Roman" w:hAnsi="Times New Roman" w:cs="Times New Roman"/>
          <w:color w:val="000000"/>
          <w:lang w:val="en-GB"/>
        </w:rPr>
        <w:tab/>
      </w:r>
      <w:r w:rsidRPr="00BB67BD">
        <w:rPr>
          <w:rFonts w:ascii="Times New Roman" w:hAnsi="Times New Roman" w:cs="Times New Roman"/>
          <w:color w:val="000000"/>
        </w:rPr>
        <w:t>Bar-Nes</w:t>
      </w:r>
      <w:proofErr w:type="gramStart"/>
      <w:r w:rsidRPr="00BB67BD">
        <w:rPr>
          <w:rFonts w:ascii="Times New Roman" w:hAnsi="Times New Roman" w:cs="Times New Roman"/>
          <w:color w:val="000000"/>
        </w:rPr>
        <w:t>,  G</w:t>
      </w:r>
      <w:proofErr w:type="gramEnd"/>
      <w:r w:rsidRPr="00BB67BD">
        <w:rPr>
          <w:rFonts w:ascii="Times New Roman" w:hAnsi="Times New Roman" w:cs="Times New Roman"/>
          <w:color w:val="000000"/>
        </w:rPr>
        <w:t xml:space="preserve">. et al. (2008) The mechanism of cesium immobilization in  densified silica-fume blended cement pastes. </w:t>
      </w:r>
      <w:proofErr w:type="gramStart"/>
      <w:r w:rsidRPr="00BB67BD">
        <w:rPr>
          <w:rFonts w:ascii="Times New Roman" w:hAnsi="Times New Roman" w:cs="Times New Roman"/>
          <w:color w:val="000000"/>
        </w:rPr>
        <w:t>Cement and Concrete Research.</w:t>
      </w:r>
      <w:proofErr w:type="gramEnd"/>
      <w:r w:rsidRPr="00BB67BD">
        <w:rPr>
          <w:rFonts w:ascii="Times New Roman" w:hAnsi="Times New Roman" w:cs="Times New Roman"/>
          <w:color w:val="000000"/>
        </w:rPr>
        <w:t xml:space="preserve"> </w:t>
      </w:r>
      <w:r w:rsidRPr="00BB67BD">
        <w:rPr>
          <w:rFonts w:ascii="Times New Roman" w:hAnsi="Times New Roman" w:cs="Times New Roman"/>
          <w:b/>
          <w:color w:val="000000"/>
        </w:rPr>
        <w:t>38,</w:t>
      </w:r>
      <w:r w:rsidRPr="00BB67BD">
        <w:rPr>
          <w:rFonts w:ascii="Times New Roman" w:hAnsi="Times New Roman" w:cs="Times New Roman"/>
          <w:color w:val="000000"/>
        </w:rPr>
        <w:t xml:space="preserve"> 667–674. </w:t>
      </w:r>
    </w:p>
    <w:p w14:paraId="58C4A17D" w14:textId="7441AF24" w:rsidR="004A0DA9" w:rsidRPr="00BB67BD" w:rsidRDefault="004A0DA9" w:rsidP="004A0DA9">
      <w:pPr>
        <w:spacing w:before="240" w:after="120"/>
        <w:ind w:left="720" w:hanging="720"/>
        <w:jc w:val="both"/>
        <w:rPr>
          <w:rFonts w:ascii="Times" w:hAnsi="Times" w:cs="Times"/>
        </w:rPr>
      </w:pPr>
      <w:r w:rsidRPr="00BB67BD">
        <w:rPr>
          <w:rFonts w:ascii="Times New Roman" w:hAnsi="Times New Roman" w:cs="Times New Roman"/>
          <w:color w:val="000000"/>
        </w:rPr>
        <w:t>[52]</w:t>
      </w:r>
      <w:r w:rsidRPr="00BB67BD">
        <w:rPr>
          <w:rFonts w:ascii="Times New Roman" w:hAnsi="Times New Roman" w:cs="Times New Roman"/>
          <w:color w:val="000000"/>
        </w:rPr>
        <w:tab/>
      </w:r>
      <w:r w:rsidRPr="00BB67BD">
        <w:rPr>
          <w:rFonts w:ascii="Times" w:hAnsi="Times" w:cs="Times"/>
        </w:rPr>
        <w:t>Bagosi, S. and Csetenyil, L.J. C</w:t>
      </w:r>
      <w:r w:rsidR="008F0ED3">
        <w:rPr>
          <w:rFonts w:ascii="Times" w:hAnsi="Times" w:cs="Times"/>
        </w:rPr>
        <w:t>a</w:t>
      </w:r>
      <w:r w:rsidRPr="00BB67BD">
        <w:rPr>
          <w:rFonts w:ascii="Times" w:hAnsi="Times" w:cs="Times"/>
        </w:rPr>
        <w:t xml:space="preserve">esium immobilization in hydrated calcium–  silicate–aluminate systems. </w:t>
      </w:r>
      <w:r w:rsidRPr="00BB67BD">
        <w:rPr>
          <w:rFonts w:ascii="Times" w:hAnsi="Times" w:cs="Times"/>
          <w:i/>
        </w:rPr>
        <w:t>Cem. Concr. Res.</w:t>
      </w:r>
      <w:r w:rsidRPr="00BB67BD">
        <w:rPr>
          <w:rFonts w:ascii="Times" w:hAnsi="Times" w:cs="Times"/>
        </w:rPr>
        <w:t xml:space="preserve"> </w:t>
      </w:r>
      <w:r w:rsidRPr="00BB67BD">
        <w:rPr>
          <w:rFonts w:ascii="Times" w:hAnsi="Times" w:cs="Times"/>
          <w:b/>
        </w:rPr>
        <w:t xml:space="preserve">28, </w:t>
      </w:r>
      <w:r w:rsidRPr="00BB67BD">
        <w:rPr>
          <w:rFonts w:ascii="Times" w:hAnsi="Times" w:cs="Times"/>
        </w:rPr>
        <w:t xml:space="preserve">1753–1759. </w:t>
      </w:r>
    </w:p>
    <w:p w14:paraId="0A741BD8" w14:textId="77777777" w:rsidR="004A0DA9" w:rsidRPr="00BB67BD" w:rsidRDefault="004A0DA9" w:rsidP="004A0DA9">
      <w:pPr>
        <w:spacing w:before="240" w:after="120"/>
        <w:ind w:left="720" w:hanging="720"/>
        <w:jc w:val="both"/>
        <w:rPr>
          <w:rFonts w:ascii="Times New Roman" w:hAnsi="Times New Roman" w:cs="Times New Roman"/>
          <w:color w:val="000000"/>
        </w:rPr>
      </w:pPr>
      <w:proofErr w:type="gramStart"/>
      <w:r w:rsidRPr="00BB67BD">
        <w:rPr>
          <w:rFonts w:ascii="Times" w:hAnsi="Times" w:cs="Times"/>
        </w:rPr>
        <w:t xml:space="preserve">[53] </w:t>
      </w:r>
      <w:r w:rsidRPr="00BB67BD">
        <w:rPr>
          <w:rFonts w:ascii="Times" w:hAnsi="Times" w:cs="Times"/>
        </w:rPr>
        <w:tab/>
        <w:t>Hanna, J.V. et al. (2001) Cs speciation in cements.</w:t>
      </w:r>
      <w:proofErr w:type="gramEnd"/>
      <w:r w:rsidRPr="00BB67BD">
        <w:rPr>
          <w:rFonts w:ascii="Times" w:hAnsi="Times" w:cs="Times"/>
        </w:rPr>
        <w:t xml:space="preserve"> </w:t>
      </w:r>
      <w:r w:rsidRPr="00BB67BD">
        <w:rPr>
          <w:rFonts w:ascii="Times" w:hAnsi="Times" w:cs="Times"/>
          <w:i/>
        </w:rPr>
        <w:t>Mat. Res. Soc. Symp. Proc</w:t>
      </w:r>
      <w:r w:rsidRPr="00BB67BD">
        <w:rPr>
          <w:rFonts w:ascii="Times" w:hAnsi="Times" w:cs="Times"/>
        </w:rPr>
        <w:t xml:space="preserve">. </w:t>
      </w:r>
      <w:r w:rsidRPr="00BB67BD">
        <w:rPr>
          <w:rFonts w:ascii="Times" w:hAnsi="Times" w:cs="Times"/>
          <w:b/>
        </w:rPr>
        <w:t>663,</w:t>
      </w:r>
      <w:r w:rsidRPr="00BB67BD">
        <w:rPr>
          <w:rFonts w:ascii="Times" w:hAnsi="Times" w:cs="Times"/>
        </w:rPr>
        <w:t xml:space="preserve"> 89–101.</w:t>
      </w:r>
    </w:p>
    <w:p w14:paraId="235CE25F" w14:textId="16E8E9E6" w:rsidR="004A0DA9" w:rsidRPr="00BB67BD" w:rsidRDefault="004A0DA9" w:rsidP="004A0DA9">
      <w:pPr>
        <w:spacing w:before="240" w:after="120"/>
        <w:ind w:left="720" w:hanging="720"/>
        <w:jc w:val="both"/>
        <w:rPr>
          <w:rFonts w:ascii="Times New Roman" w:hAnsi="Times New Roman" w:cs="Times New Roman"/>
          <w:color w:val="000000"/>
          <w:lang w:val="en-GB"/>
        </w:rPr>
      </w:pPr>
      <w:r w:rsidRPr="00BB67BD">
        <w:rPr>
          <w:rFonts w:ascii="Times New Roman" w:hAnsi="Times New Roman" w:cs="Times New Roman"/>
          <w:color w:val="000000"/>
          <w:lang w:val="en-GB"/>
        </w:rPr>
        <w:t>[54]</w:t>
      </w:r>
      <w:r w:rsidRPr="00BB67BD">
        <w:rPr>
          <w:rFonts w:ascii="Times New Roman" w:hAnsi="Times New Roman" w:cs="Times New Roman"/>
          <w:color w:val="000000"/>
          <w:lang w:val="en-GB"/>
        </w:rPr>
        <w:tab/>
        <w:t xml:space="preserve">Bagosi, S., Csetenyi, L. (1999) Immobilization of caesium-loaded ion exchange </w:t>
      </w:r>
      <w:r w:rsidR="006D108B" w:rsidRPr="00BB67BD">
        <w:rPr>
          <w:rFonts w:ascii="Times New Roman" w:hAnsi="Times New Roman" w:cs="Times New Roman"/>
          <w:color w:val="000000"/>
          <w:lang w:val="en-GB"/>
        </w:rPr>
        <w:t>resins</w:t>
      </w:r>
      <w:r w:rsidRPr="00BB67BD">
        <w:rPr>
          <w:rFonts w:ascii="Times New Roman" w:hAnsi="Times New Roman" w:cs="Times New Roman"/>
          <w:color w:val="000000"/>
          <w:lang w:val="en-GB"/>
        </w:rPr>
        <w:t xml:space="preserve"> in zeolite-cement blends, </w:t>
      </w:r>
      <w:r w:rsidRPr="00BB67BD">
        <w:rPr>
          <w:rFonts w:ascii="Times New Roman" w:hAnsi="Times New Roman" w:cs="Times New Roman"/>
          <w:i/>
          <w:color w:val="000000"/>
          <w:lang w:val="en-GB"/>
        </w:rPr>
        <w:t xml:space="preserve">Cement and concrete research, </w:t>
      </w:r>
      <w:r w:rsidRPr="00BB67BD">
        <w:rPr>
          <w:rFonts w:ascii="Times New Roman" w:hAnsi="Times New Roman" w:cs="Times New Roman"/>
          <w:b/>
          <w:color w:val="000000"/>
          <w:lang w:val="en-GB"/>
        </w:rPr>
        <w:t>29, 4,</w:t>
      </w:r>
      <w:r w:rsidRPr="00BB67BD">
        <w:rPr>
          <w:rFonts w:ascii="Times New Roman" w:hAnsi="Times New Roman" w:cs="Times New Roman"/>
          <w:color w:val="000000"/>
          <w:lang w:val="en-GB"/>
        </w:rPr>
        <w:t xml:space="preserve"> 479-485.</w:t>
      </w:r>
    </w:p>
    <w:p w14:paraId="3D651321" w14:textId="77777777" w:rsidR="004A0DA9" w:rsidRPr="00BB67BD" w:rsidRDefault="004A0DA9" w:rsidP="004A0DA9">
      <w:pPr>
        <w:spacing w:before="240" w:after="120"/>
        <w:ind w:left="720" w:hanging="720"/>
        <w:jc w:val="both"/>
        <w:rPr>
          <w:rFonts w:ascii="Times New Roman" w:hAnsi="Times New Roman" w:cs="Times New Roman"/>
          <w:color w:val="000000"/>
          <w:lang w:val="en-GB"/>
        </w:rPr>
      </w:pPr>
      <w:r w:rsidRPr="00BB67BD">
        <w:rPr>
          <w:rFonts w:ascii="Times New Roman" w:hAnsi="Times New Roman" w:cs="Times New Roman"/>
          <w:color w:val="000000"/>
          <w:lang w:val="en-GB"/>
        </w:rPr>
        <w:t>[55]</w:t>
      </w:r>
      <w:r w:rsidRPr="00BB67BD">
        <w:rPr>
          <w:rFonts w:ascii="Times New Roman" w:hAnsi="Times New Roman" w:cs="Times New Roman"/>
          <w:color w:val="000000"/>
          <w:lang w:val="en-GB"/>
        </w:rPr>
        <w:tab/>
        <w:t xml:space="preserve">El Kamash, A.M., El Naggar, M.R., El Dessouky, M.I. (2006) Immobilization of cesium and strontium radionuclides in zeolite-cement blends, </w:t>
      </w:r>
      <w:r w:rsidRPr="00BB67BD">
        <w:rPr>
          <w:rFonts w:ascii="Times New Roman" w:hAnsi="Times New Roman" w:cs="Times New Roman"/>
          <w:i/>
          <w:color w:val="000000"/>
          <w:lang w:val="en-GB"/>
        </w:rPr>
        <w:t xml:space="preserve">Journal of hazardous materials, </w:t>
      </w:r>
      <w:r w:rsidRPr="00BB67BD">
        <w:rPr>
          <w:rFonts w:ascii="Times New Roman" w:hAnsi="Times New Roman" w:cs="Times New Roman"/>
          <w:b/>
          <w:color w:val="000000"/>
          <w:lang w:val="en-GB"/>
        </w:rPr>
        <w:t xml:space="preserve">136, 2, </w:t>
      </w:r>
      <w:r w:rsidRPr="00BB67BD">
        <w:rPr>
          <w:rFonts w:ascii="Times New Roman" w:hAnsi="Times New Roman" w:cs="Times New Roman"/>
          <w:color w:val="000000"/>
          <w:lang w:val="en-GB"/>
        </w:rPr>
        <w:t>310-316</w:t>
      </w:r>
    </w:p>
    <w:p w14:paraId="699BB0CD" w14:textId="0061CCBD" w:rsidR="004A0DA9" w:rsidRPr="00BB67BD" w:rsidRDefault="004A0DA9" w:rsidP="004A0DA9">
      <w:pPr>
        <w:spacing w:before="240" w:after="120"/>
        <w:ind w:left="720" w:hanging="720"/>
        <w:jc w:val="both"/>
        <w:rPr>
          <w:rFonts w:ascii="Times New Roman" w:hAnsi="Times New Roman" w:cs="Times New Roman"/>
          <w:color w:val="000000"/>
          <w:lang w:val="en-GB"/>
        </w:rPr>
      </w:pPr>
      <w:r w:rsidRPr="00BB67BD">
        <w:rPr>
          <w:rFonts w:ascii="Times New Roman" w:hAnsi="Times New Roman" w:cs="Times New Roman"/>
          <w:color w:val="000000"/>
          <w:lang w:val="en-GB"/>
        </w:rPr>
        <w:t>[56]</w:t>
      </w:r>
      <w:r w:rsidRPr="00BB67BD">
        <w:rPr>
          <w:rFonts w:ascii="Times New Roman" w:hAnsi="Times New Roman" w:cs="Times New Roman"/>
          <w:color w:val="000000"/>
          <w:lang w:val="en-GB"/>
        </w:rPr>
        <w:tab/>
        <w:t>Goni, S., Geurrerro, A.M., Lorenzo, M</w:t>
      </w:r>
      <w:proofErr w:type="gramStart"/>
      <w:r w:rsidRPr="00BB67BD">
        <w:rPr>
          <w:rFonts w:ascii="Times New Roman" w:hAnsi="Times New Roman" w:cs="Times New Roman"/>
          <w:color w:val="000000"/>
          <w:lang w:val="en-GB"/>
        </w:rPr>
        <w:t>,.</w:t>
      </w:r>
      <w:proofErr w:type="gramEnd"/>
      <w:r w:rsidRPr="00BB67BD">
        <w:rPr>
          <w:rFonts w:ascii="Times New Roman" w:hAnsi="Times New Roman" w:cs="Times New Roman"/>
          <w:color w:val="000000"/>
          <w:lang w:val="en-GB"/>
        </w:rPr>
        <w:t xml:space="preserve"> (2006) Efficiency of fly ash belite cement and zeolite </w:t>
      </w:r>
      <w:r w:rsidR="00E12E35" w:rsidRPr="00BB67BD">
        <w:rPr>
          <w:rFonts w:ascii="Times New Roman" w:hAnsi="Times New Roman" w:cs="Times New Roman"/>
          <w:color w:val="000000"/>
          <w:lang w:val="en-GB"/>
        </w:rPr>
        <w:t>matrices</w:t>
      </w:r>
      <w:r w:rsidRPr="00BB67BD">
        <w:rPr>
          <w:rFonts w:ascii="Times New Roman" w:hAnsi="Times New Roman" w:cs="Times New Roman"/>
          <w:color w:val="000000"/>
          <w:lang w:val="en-GB"/>
        </w:rPr>
        <w:t xml:space="preserve"> for immobilizing cesium, </w:t>
      </w:r>
      <w:r w:rsidRPr="00BB67BD">
        <w:rPr>
          <w:rFonts w:ascii="Times New Roman" w:hAnsi="Times New Roman" w:cs="Times New Roman"/>
          <w:i/>
          <w:color w:val="000000"/>
          <w:lang w:val="en-GB"/>
        </w:rPr>
        <w:t xml:space="preserve">Journal of hazardous materials, </w:t>
      </w:r>
      <w:r w:rsidRPr="00BB67BD">
        <w:rPr>
          <w:rFonts w:ascii="Times New Roman" w:hAnsi="Times New Roman" w:cs="Times New Roman"/>
          <w:color w:val="000000"/>
          <w:lang w:val="en-GB"/>
        </w:rPr>
        <w:t>1608-1617</w:t>
      </w:r>
    </w:p>
    <w:p w14:paraId="14DAA42F" w14:textId="77777777" w:rsidR="004A0DA9" w:rsidRPr="00BB67BD" w:rsidRDefault="004A0DA9" w:rsidP="004A0DA9">
      <w:pPr>
        <w:spacing w:before="240" w:after="120"/>
        <w:ind w:left="720" w:hanging="720"/>
        <w:jc w:val="both"/>
        <w:rPr>
          <w:rFonts w:ascii="Times New Roman" w:hAnsi="Times New Roman" w:cs="Times New Roman"/>
          <w:color w:val="000000"/>
          <w:lang w:val="en-GB"/>
        </w:rPr>
      </w:pPr>
      <w:r w:rsidRPr="00BB67BD">
        <w:rPr>
          <w:rFonts w:ascii="Times New Roman" w:hAnsi="Times New Roman" w:cs="Times New Roman"/>
          <w:color w:val="000000"/>
          <w:lang w:val="en-GB"/>
        </w:rPr>
        <w:t>[57]</w:t>
      </w:r>
      <w:r w:rsidRPr="00BB67BD">
        <w:rPr>
          <w:rFonts w:ascii="Times New Roman" w:hAnsi="Times New Roman" w:cs="Times New Roman"/>
          <w:color w:val="000000"/>
          <w:lang w:val="en-GB"/>
        </w:rPr>
        <w:tab/>
        <w:t xml:space="preserve">Matsuzuru, H., Ilto, A. (1978) Immobilization of cesium-137 in cement-waste composites by addition of mineral zeolites, </w:t>
      </w:r>
      <w:r w:rsidRPr="00BB67BD">
        <w:rPr>
          <w:rFonts w:ascii="Times New Roman" w:hAnsi="Times New Roman" w:cs="Times New Roman"/>
          <w:i/>
          <w:color w:val="000000"/>
          <w:lang w:val="en-GB"/>
        </w:rPr>
        <w:t>Health physics,</w:t>
      </w:r>
      <w:r w:rsidRPr="00BB67BD">
        <w:rPr>
          <w:rFonts w:ascii="Times New Roman" w:hAnsi="Times New Roman" w:cs="Times New Roman"/>
          <w:color w:val="000000"/>
          <w:lang w:val="en-GB"/>
        </w:rPr>
        <w:t xml:space="preserve"> </w:t>
      </w:r>
      <w:r w:rsidRPr="00BB67BD">
        <w:rPr>
          <w:rFonts w:ascii="Times New Roman" w:hAnsi="Times New Roman" w:cs="Times New Roman"/>
          <w:b/>
          <w:color w:val="000000"/>
          <w:lang w:val="en-GB"/>
        </w:rPr>
        <w:t>34, 6,</w:t>
      </w:r>
      <w:r w:rsidRPr="00BB67BD">
        <w:rPr>
          <w:rFonts w:ascii="Times New Roman" w:hAnsi="Times New Roman" w:cs="Times New Roman"/>
          <w:color w:val="000000"/>
          <w:lang w:val="en-GB"/>
        </w:rPr>
        <w:t xml:space="preserve"> 643-648.</w:t>
      </w:r>
    </w:p>
    <w:p w14:paraId="22D94E48" w14:textId="431497F8" w:rsidR="004A0DA9" w:rsidRPr="00BB67BD" w:rsidRDefault="004A0DA9" w:rsidP="004A0DA9">
      <w:pPr>
        <w:widowControl w:val="0"/>
        <w:autoSpaceDE w:val="0"/>
        <w:autoSpaceDN w:val="0"/>
        <w:adjustRightInd w:val="0"/>
        <w:spacing w:after="240"/>
        <w:jc w:val="both"/>
        <w:rPr>
          <w:rFonts w:ascii="Times" w:hAnsi="Times" w:cs="Times"/>
        </w:rPr>
      </w:pPr>
      <w:r w:rsidRPr="00BB67BD">
        <w:rPr>
          <w:rFonts w:ascii="Times New Roman" w:hAnsi="Times New Roman" w:cs="Times New Roman"/>
          <w:color w:val="000000"/>
          <w:lang w:val="en-GB"/>
        </w:rPr>
        <w:t>[58]</w:t>
      </w:r>
      <w:r w:rsidRPr="00BB67BD">
        <w:rPr>
          <w:rFonts w:ascii="Times New Roman" w:hAnsi="Times New Roman" w:cs="Times New Roman"/>
          <w:color w:val="000000"/>
          <w:lang w:val="en-GB"/>
        </w:rPr>
        <w:tab/>
      </w:r>
      <w:r w:rsidRPr="00BB67BD">
        <w:rPr>
          <w:rFonts w:ascii="Times" w:hAnsi="Times" w:cs="Times"/>
        </w:rPr>
        <w:t>Aldridge, L.P., Da</w:t>
      </w:r>
      <w:r w:rsidR="002E34D6">
        <w:rPr>
          <w:rFonts w:ascii="Times" w:hAnsi="Times" w:cs="Times"/>
        </w:rPr>
        <w:t>y</w:t>
      </w:r>
      <w:r w:rsidRPr="00BB67BD">
        <w:rPr>
          <w:rFonts w:ascii="Times" w:hAnsi="Times" w:cs="Times"/>
        </w:rPr>
        <w:t>, R.A., Leung, S., Ray, A.S., Stevens</w:t>
      </w:r>
      <w:r w:rsidR="00A819A2">
        <w:rPr>
          <w:rFonts w:ascii="Times" w:hAnsi="Times" w:cs="Times"/>
        </w:rPr>
        <w:t xml:space="preserve">, M.G. Knight, R.S., </w:t>
      </w:r>
      <w:r w:rsidR="00A819A2">
        <w:rPr>
          <w:rFonts w:ascii="Times" w:hAnsi="Times" w:cs="Times"/>
        </w:rPr>
        <w:tab/>
        <w:t>Mapson,</w:t>
      </w:r>
      <w:r w:rsidR="002E34D6">
        <w:rPr>
          <w:rFonts w:ascii="Times" w:hAnsi="Times" w:cs="Times"/>
        </w:rPr>
        <w:t xml:space="preserve"> (1997)</w:t>
      </w:r>
      <w:r w:rsidR="00A819A2">
        <w:rPr>
          <w:rFonts w:ascii="Times" w:hAnsi="Times" w:cs="Times"/>
        </w:rPr>
        <w:t xml:space="preserve"> C</w:t>
      </w:r>
      <w:r w:rsidRPr="00BB67BD">
        <w:rPr>
          <w:rFonts w:ascii="Times" w:hAnsi="Times" w:cs="Times"/>
        </w:rPr>
        <w:t xml:space="preserve">.F. Cs retention in zeolites immobilized by Portland cement in: K.L. </w:t>
      </w:r>
      <w:r w:rsidR="00A819A2">
        <w:rPr>
          <w:rFonts w:ascii="Times" w:hAnsi="Times" w:cs="Times"/>
        </w:rPr>
        <w:tab/>
      </w:r>
      <w:proofErr w:type="gramStart"/>
      <w:r w:rsidR="00A819A2">
        <w:rPr>
          <w:rFonts w:ascii="Times" w:hAnsi="Times" w:cs="Times"/>
        </w:rPr>
        <w:t xml:space="preserve">Scrivener, Mechanisms of </w:t>
      </w:r>
      <w:r w:rsidRPr="00BB67BD">
        <w:rPr>
          <w:rFonts w:ascii="Times" w:hAnsi="Times" w:cs="Times"/>
        </w:rPr>
        <w:t>Chemical Degradation of cement-based systems.</w:t>
      </w:r>
      <w:proofErr w:type="gramEnd"/>
      <w:r w:rsidR="008F0ED3">
        <w:rPr>
          <w:rFonts w:ascii="Times" w:hAnsi="Times" w:cs="Times"/>
        </w:rPr>
        <w:t xml:space="preserve"> </w:t>
      </w:r>
      <w:r w:rsidR="002E34D6">
        <w:rPr>
          <w:rFonts w:ascii="Times" w:hAnsi="Times" w:cs="Times"/>
        </w:rPr>
        <w:t>358-365</w:t>
      </w:r>
    </w:p>
    <w:p w14:paraId="059CE445" w14:textId="3D5B5789" w:rsidR="004A0DA9" w:rsidRPr="00BB67BD" w:rsidRDefault="00E12E35" w:rsidP="004A0DA9">
      <w:pPr>
        <w:widowControl w:val="0"/>
        <w:autoSpaceDE w:val="0"/>
        <w:autoSpaceDN w:val="0"/>
        <w:adjustRightInd w:val="0"/>
        <w:spacing w:after="240"/>
        <w:rPr>
          <w:rFonts w:ascii="Times" w:hAnsi="Times" w:cs="Times"/>
        </w:rPr>
      </w:pPr>
      <w:r w:rsidRPr="00BB67BD">
        <w:rPr>
          <w:rFonts w:ascii="Times" w:hAnsi="Times" w:cs="Times"/>
        </w:rPr>
        <w:t>[59]</w:t>
      </w:r>
      <w:r w:rsidRPr="00BB67BD">
        <w:rPr>
          <w:rFonts w:ascii="Times" w:hAnsi="Times" w:cs="Times"/>
        </w:rPr>
        <w:tab/>
      </w:r>
      <w:r>
        <w:rPr>
          <w:rFonts w:ascii="Times" w:hAnsi="Times" w:cs="Times"/>
        </w:rPr>
        <w:t xml:space="preserve">Bagosi, S. and Csetenyi, L.J. (1999) </w:t>
      </w:r>
      <w:r w:rsidRPr="00751C5B">
        <w:rPr>
          <w:rFonts w:ascii="Times" w:hAnsi="Times" w:cs="Times"/>
          <w:i/>
        </w:rPr>
        <w:t>Additives for increase caesi</w:t>
      </w:r>
      <w:r>
        <w:rPr>
          <w:rFonts w:ascii="Times" w:hAnsi="Times" w:cs="Times"/>
          <w:i/>
        </w:rPr>
        <w:t>u</w:t>
      </w:r>
      <w:r w:rsidRPr="00751C5B">
        <w:rPr>
          <w:rFonts w:ascii="Times" w:hAnsi="Times" w:cs="Times"/>
          <w:i/>
        </w:rPr>
        <w:t>m trapping,</w:t>
      </w:r>
      <w:r>
        <w:rPr>
          <w:rFonts w:ascii="Times" w:hAnsi="Times" w:cs="Times"/>
        </w:rPr>
        <w:tab/>
      </w:r>
      <w:r w:rsidRPr="00BB67BD">
        <w:rPr>
          <w:rFonts w:ascii="Times" w:hAnsi="Times" w:cs="Times"/>
        </w:rPr>
        <w:t xml:space="preserve">Modern Concrete Materials: Binders, Additions and Admixtures: Proceedings of the </w:t>
      </w:r>
      <w:r w:rsidRPr="00BB67BD">
        <w:rPr>
          <w:rFonts w:ascii="Times" w:hAnsi="Times" w:cs="Times"/>
        </w:rPr>
        <w:tab/>
        <w:t>international conference held at the University of Dundee, Scotland, (19</w:t>
      </w:r>
      <w:r>
        <w:rPr>
          <w:rFonts w:ascii="Times" w:hAnsi="Times" w:cs="Times"/>
        </w:rPr>
        <w:t>9</w:t>
      </w:r>
      <w:r w:rsidRPr="00BB67BD">
        <w:rPr>
          <w:rFonts w:ascii="Times" w:hAnsi="Times" w:cs="Times"/>
        </w:rPr>
        <w:t xml:space="preserve">9) edited by </w:t>
      </w:r>
      <w:r w:rsidRPr="00BB67BD">
        <w:rPr>
          <w:rFonts w:ascii="Times" w:hAnsi="Times" w:cs="Times"/>
        </w:rPr>
        <w:tab/>
        <w:t>Dhir, R.K, Dyer, D.D.</w:t>
      </w:r>
      <w:r>
        <w:rPr>
          <w:rFonts w:ascii="Times" w:hAnsi="Times" w:cs="Times"/>
        </w:rPr>
        <w:t xml:space="preserve"> </w:t>
      </w:r>
    </w:p>
    <w:p w14:paraId="6EEDE2CF" w14:textId="6F1E4408" w:rsidR="004A0DA9" w:rsidRPr="00BB67BD" w:rsidRDefault="004A0DA9" w:rsidP="004A0DA9">
      <w:pPr>
        <w:widowControl w:val="0"/>
        <w:autoSpaceDE w:val="0"/>
        <w:autoSpaceDN w:val="0"/>
        <w:adjustRightInd w:val="0"/>
        <w:spacing w:after="240"/>
        <w:rPr>
          <w:rFonts w:ascii="Times" w:hAnsi="Times" w:cs="Times"/>
        </w:rPr>
      </w:pPr>
      <w:r w:rsidRPr="00BB67BD">
        <w:rPr>
          <w:rFonts w:ascii="Times" w:hAnsi="Times" w:cs="Times"/>
        </w:rPr>
        <w:t>[60]</w:t>
      </w:r>
      <w:r w:rsidRPr="00BB67BD">
        <w:rPr>
          <w:rFonts w:ascii="Times" w:hAnsi="Times" w:cs="Times"/>
        </w:rPr>
        <w:tab/>
        <w:t xml:space="preserve">Iwaida, T., Nagasaki, S., Tanaka, S., Yaita, T., Tachimori, S., (2002) Structure </w:t>
      </w:r>
      <w:r w:rsidRPr="00BB67BD">
        <w:rPr>
          <w:rFonts w:ascii="Times" w:hAnsi="Times" w:cs="Times"/>
        </w:rPr>
        <w:tab/>
        <w:t xml:space="preserve">alteration of </w:t>
      </w:r>
      <w:r w:rsidRPr="00BB67BD">
        <w:rPr>
          <w:rFonts w:ascii="Times" w:hAnsi="Times" w:cs="Times"/>
        </w:rPr>
        <w:tab/>
        <w:t xml:space="preserve">C-S-H (calcium silicate hydrated phases) caused by sorption of </w:t>
      </w:r>
      <w:r w:rsidRPr="00BB67BD">
        <w:rPr>
          <w:rFonts w:ascii="Times" w:hAnsi="Times" w:cs="Times"/>
        </w:rPr>
        <w:tab/>
        <w:t xml:space="preserve">caesium, </w:t>
      </w:r>
      <w:r w:rsidR="00A819A2">
        <w:rPr>
          <w:rFonts w:ascii="Times" w:hAnsi="Times" w:cs="Times"/>
          <w:i/>
        </w:rPr>
        <w:t xml:space="preserve">Radiochimica </w:t>
      </w:r>
      <w:r w:rsidRPr="00BB67BD">
        <w:rPr>
          <w:rFonts w:ascii="Times" w:hAnsi="Times" w:cs="Times"/>
          <w:i/>
        </w:rPr>
        <w:t xml:space="preserve">Acta, </w:t>
      </w:r>
      <w:r w:rsidRPr="00BB67BD">
        <w:rPr>
          <w:rFonts w:ascii="Times" w:hAnsi="Times" w:cs="Times"/>
          <w:b/>
        </w:rPr>
        <w:t>90, 9</w:t>
      </w:r>
      <w:r w:rsidR="00E12E35" w:rsidRPr="00BB67BD">
        <w:rPr>
          <w:rFonts w:ascii="Times" w:hAnsi="Times" w:cs="Times"/>
          <w:b/>
        </w:rPr>
        <w:t xml:space="preserve">, </w:t>
      </w:r>
      <w:r w:rsidR="00E12E35" w:rsidRPr="00BB67BD">
        <w:rPr>
          <w:rFonts w:ascii="Times" w:hAnsi="Times" w:cs="Times"/>
        </w:rPr>
        <w:t>677</w:t>
      </w:r>
      <w:r w:rsidRPr="00BB67BD">
        <w:rPr>
          <w:rFonts w:ascii="Times" w:hAnsi="Times" w:cs="Times"/>
        </w:rPr>
        <w:t>-681/</w:t>
      </w:r>
    </w:p>
    <w:p w14:paraId="372324CC" w14:textId="5C25018A" w:rsidR="004A0DA9" w:rsidRPr="00BB67BD" w:rsidRDefault="004A0DA9" w:rsidP="004A0DA9">
      <w:pPr>
        <w:widowControl w:val="0"/>
        <w:autoSpaceDE w:val="0"/>
        <w:autoSpaceDN w:val="0"/>
        <w:adjustRightInd w:val="0"/>
        <w:spacing w:after="240"/>
        <w:ind w:left="720" w:hanging="720"/>
        <w:rPr>
          <w:rFonts w:ascii="Times" w:hAnsi="Times" w:cs="Times"/>
        </w:rPr>
      </w:pPr>
      <w:r w:rsidRPr="00BB67BD">
        <w:rPr>
          <w:rFonts w:ascii="Times" w:hAnsi="Times" w:cs="Times"/>
        </w:rPr>
        <w:lastRenderedPageBreak/>
        <w:t>[61]</w:t>
      </w:r>
      <w:r w:rsidRPr="00BB67BD">
        <w:rPr>
          <w:rFonts w:ascii="Times" w:hAnsi="Times" w:cs="Times"/>
        </w:rPr>
        <w:tab/>
        <w:t xml:space="preserve">Atkinson, A. and Nickerson, A.K. The diffusion of ions through water- saturated cement, </w:t>
      </w:r>
      <w:r w:rsidRPr="00BB67BD">
        <w:rPr>
          <w:rFonts w:ascii="Times" w:hAnsi="Times" w:cs="Times"/>
          <w:i/>
        </w:rPr>
        <w:t xml:space="preserve">J. Mat. Sci. </w:t>
      </w:r>
      <w:r w:rsidRPr="00BB67BD">
        <w:rPr>
          <w:rFonts w:ascii="Times" w:hAnsi="Times" w:cs="Times"/>
          <w:b/>
        </w:rPr>
        <w:t>19</w:t>
      </w:r>
      <w:r w:rsidR="00E12E35" w:rsidRPr="00BB67BD">
        <w:rPr>
          <w:rFonts w:ascii="Times" w:hAnsi="Times" w:cs="Times"/>
          <w:b/>
        </w:rPr>
        <w:t>, 3068</w:t>
      </w:r>
      <w:r w:rsidRPr="00BB67BD">
        <w:rPr>
          <w:rFonts w:ascii="Times" w:hAnsi="Times" w:cs="Times"/>
        </w:rPr>
        <w:t>–3078.</w:t>
      </w:r>
    </w:p>
    <w:p w14:paraId="5A477ADA" w14:textId="3C6C256E" w:rsidR="004A0DA9" w:rsidRPr="00BB67BD" w:rsidRDefault="004A0DA9" w:rsidP="004A0DA9">
      <w:pPr>
        <w:widowControl w:val="0"/>
        <w:autoSpaceDE w:val="0"/>
        <w:autoSpaceDN w:val="0"/>
        <w:adjustRightInd w:val="0"/>
        <w:spacing w:after="240"/>
        <w:ind w:left="720" w:hanging="720"/>
        <w:rPr>
          <w:rFonts w:ascii="Times New Roman" w:hAnsi="Times New Roman" w:cs="Times New Roman"/>
        </w:rPr>
      </w:pPr>
      <w:proofErr w:type="gramStart"/>
      <w:r w:rsidRPr="00BB67BD">
        <w:rPr>
          <w:rFonts w:ascii="Times" w:hAnsi="Times" w:cs="Times"/>
        </w:rPr>
        <w:t>[62]</w:t>
      </w:r>
      <w:r w:rsidRPr="00BB67BD">
        <w:rPr>
          <w:rFonts w:ascii="Times" w:hAnsi="Times" w:cs="Times"/>
        </w:rPr>
        <w:tab/>
      </w:r>
      <w:r w:rsidRPr="00BB67BD">
        <w:rPr>
          <w:rFonts w:ascii="Times New Roman" w:hAnsi="Times New Roman" w:cs="Times New Roman"/>
        </w:rPr>
        <w:t>Bensted</w:t>
      </w:r>
      <w:r w:rsidRPr="00BB67BD">
        <w:rPr>
          <w:rFonts w:ascii="Times" w:hAnsi="Times" w:cs="Times"/>
          <w:color w:val="141413"/>
        </w:rPr>
        <w:t xml:space="preserve">, J. Varma, S.P. (1971) Ettringite and its derivatives, </w:t>
      </w:r>
      <w:r w:rsidRPr="00BB67BD">
        <w:rPr>
          <w:rFonts w:ascii="Times" w:hAnsi="Times" w:cs="Times"/>
          <w:i/>
          <w:color w:val="141413"/>
        </w:rPr>
        <w:t>Cem.</w:t>
      </w:r>
      <w:proofErr w:type="gramEnd"/>
      <w:r w:rsidRPr="00BB67BD">
        <w:rPr>
          <w:rFonts w:ascii="Times" w:hAnsi="Times" w:cs="Times"/>
          <w:i/>
          <w:color w:val="141413"/>
        </w:rPr>
        <w:t xml:space="preserve"> </w:t>
      </w:r>
      <w:proofErr w:type="gramStart"/>
      <w:r w:rsidRPr="00BB67BD">
        <w:rPr>
          <w:rFonts w:ascii="Times" w:hAnsi="Times" w:cs="Times"/>
          <w:i/>
          <w:color w:val="141413"/>
        </w:rPr>
        <w:t xml:space="preserve">Technol. </w:t>
      </w:r>
      <w:r w:rsidRPr="00BB67BD">
        <w:rPr>
          <w:rFonts w:ascii="Times" w:hAnsi="Times" w:cs="Times"/>
          <w:b/>
          <w:color w:val="141413"/>
        </w:rPr>
        <w:t xml:space="preserve">2, </w:t>
      </w:r>
      <w:r w:rsidRPr="00BB67BD">
        <w:rPr>
          <w:rFonts w:ascii="Times" w:hAnsi="Times" w:cs="Times"/>
          <w:color w:val="141413"/>
        </w:rPr>
        <w:t>73-76</w:t>
      </w:r>
      <w:r w:rsidRPr="00BB67BD">
        <w:rPr>
          <w:rFonts w:ascii="Times New Roman" w:hAnsi="Times New Roman" w:cs="Times New Roman"/>
        </w:rPr>
        <w:t>.</w:t>
      </w:r>
      <w:proofErr w:type="gramEnd"/>
    </w:p>
    <w:p w14:paraId="0340E7BF" w14:textId="12B8FD8D" w:rsidR="004A0DA9" w:rsidRPr="00BB67BD" w:rsidRDefault="004A0DA9" w:rsidP="004A0DA9">
      <w:pPr>
        <w:widowControl w:val="0"/>
        <w:autoSpaceDE w:val="0"/>
        <w:autoSpaceDN w:val="0"/>
        <w:adjustRightInd w:val="0"/>
        <w:spacing w:after="240"/>
        <w:ind w:left="720" w:hanging="720"/>
        <w:rPr>
          <w:rFonts w:ascii="Times New Roman" w:hAnsi="Times New Roman" w:cs="Times New Roman"/>
        </w:rPr>
      </w:pPr>
      <w:r w:rsidRPr="00BB67BD">
        <w:rPr>
          <w:rFonts w:ascii="Times New Roman" w:hAnsi="Times New Roman" w:cs="Times New Roman"/>
        </w:rPr>
        <w:t>[63]</w:t>
      </w:r>
      <w:r w:rsidRPr="00BB67BD">
        <w:rPr>
          <w:rFonts w:ascii="Times New Roman" w:hAnsi="Times New Roman" w:cs="Times New Roman"/>
        </w:rPr>
        <w:tab/>
        <w:t xml:space="preserve">Evans, N.D.M., (2008). Binding mechanisms of radionuclides </w:t>
      </w:r>
      <w:r w:rsidR="00E12E35" w:rsidRPr="00BB67BD">
        <w:rPr>
          <w:rFonts w:ascii="Times New Roman" w:hAnsi="Times New Roman" w:cs="Times New Roman"/>
        </w:rPr>
        <w:t>to cement</w:t>
      </w:r>
      <w:r w:rsidRPr="00BB67BD">
        <w:rPr>
          <w:rFonts w:ascii="Times New Roman" w:hAnsi="Times New Roman" w:cs="Times New Roman"/>
          <w:i/>
        </w:rPr>
        <w:t>. Cement and Concrete Research</w:t>
      </w:r>
      <w:r w:rsidRPr="00BB67BD">
        <w:rPr>
          <w:rFonts w:ascii="Times New Roman" w:hAnsi="Times New Roman" w:cs="Times New Roman"/>
        </w:rPr>
        <w:t xml:space="preserve">, </w:t>
      </w:r>
      <w:r w:rsidRPr="00BB67BD">
        <w:rPr>
          <w:rFonts w:ascii="Times New Roman" w:hAnsi="Times New Roman" w:cs="Times New Roman"/>
          <w:b/>
        </w:rPr>
        <w:t>38 (4),</w:t>
      </w:r>
      <w:r w:rsidRPr="00BB67BD">
        <w:rPr>
          <w:rFonts w:ascii="Times New Roman" w:hAnsi="Times New Roman" w:cs="Times New Roman"/>
        </w:rPr>
        <w:t xml:space="preserve"> 543-55</w:t>
      </w:r>
    </w:p>
    <w:p w14:paraId="6C074919" w14:textId="77777777" w:rsidR="004A0DA9" w:rsidRPr="00BB67BD" w:rsidRDefault="004A0DA9" w:rsidP="004A0DA9">
      <w:pPr>
        <w:widowControl w:val="0"/>
        <w:autoSpaceDE w:val="0"/>
        <w:autoSpaceDN w:val="0"/>
        <w:adjustRightInd w:val="0"/>
        <w:spacing w:after="240"/>
        <w:ind w:left="720" w:hanging="720"/>
        <w:rPr>
          <w:rFonts w:ascii="Times New Roman" w:hAnsi="Times New Roman" w:cs="Times New Roman"/>
        </w:rPr>
      </w:pPr>
      <w:r w:rsidRPr="00BB67BD">
        <w:rPr>
          <w:rFonts w:ascii="Times New Roman" w:hAnsi="Times New Roman" w:cs="Times New Roman"/>
        </w:rPr>
        <w:t>[64]</w:t>
      </w:r>
      <w:r w:rsidRPr="00BB67BD">
        <w:rPr>
          <w:rFonts w:ascii="Times New Roman" w:hAnsi="Times New Roman" w:cs="Times New Roman"/>
        </w:rPr>
        <w:tab/>
        <w:t xml:space="preserve">Tits, J. et al. (2006) Strontium binding by calcium silicate hydrates. </w:t>
      </w:r>
      <w:proofErr w:type="gramStart"/>
      <w:r w:rsidRPr="00BB67BD">
        <w:rPr>
          <w:rFonts w:ascii="Times New Roman" w:hAnsi="Times New Roman" w:cs="Times New Roman"/>
          <w:i/>
        </w:rPr>
        <w:t xml:space="preserve">J Colloid Interface Sci. </w:t>
      </w:r>
      <w:r w:rsidRPr="00BB67BD">
        <w:rPr>
          <w:rFonts w:ascii="Times New Roman" w:hAnsi="Times New Roman" w:cs="Times New Roman"/>
          <w:b/>
        </w:rPr>
        <w:t>300(1),</w:t>
      </w:r>
      <w:r w:rsidRPr="00BB67BD">
        <w:rPr>
          <w:rFonts w:ascii="Times New Roman" w:hAnsi="Times New Roman" w:cs="Times New Roman"/>
        </w:rPr>
        <w:t xml:space="preserve"> 78-87.</w:t>
      </w:r>
      <w:proofErr w:type="gramEnd"/>
      <w:r w:rsidRPr="00BB67BD">
        <w:rPr>
          <w:rFonts w:ascii="Times New Roman" w:hAnsi="Times New Roman" w:cs="Times New Roman"/>
        </w:rPr>
        <w:t xml:space="preserve"> </w:t>
      </w:r>
    </w:p>
    <w:p w14:paraId="6E8C458F" w14:textId="77777777" w:rsidR="004A0DA9" w:rsidRPr="00BB67BD" w:rsidRDefault="004A0DA9" w:rsidP="004A0DA9">
      <w:pPr>
        <w:widowControl w:val="0"/>
        <w:autoSpaceDE w:val="0"/>
        <w:autoSpaceDN w:val="0"/>
        <w:adjustRightInd w:val="0"/>
        <w:spacing w:after="240"/>
        <w:ind w:left="720" w:hanging="720"/>
        <w:jc w:val="both"/>
        <w:rPr>
          <w:rFonts w:ascii="Times New Roman" w:hAnsi="Times New Roman" w:cs="Times New Roman"/>
        </w:rPr>
      </w:pPr>
      <w:r w:rsidRPr="00BB67BD">
        <w:rPr>
          <w:rFonts w:ascii="Times New Roman" w:hAnsi="Times New Roman" w:cs="Times New Roman"/>
        </w:rPr>
        <w:t>[65]</w:t>
      </w:r>
      <w:r w:rsidRPr="00BB67BD">
        <w:rPr>
          <w:rFonts w:ascii="Times New Roman" w:hAnsi="Times New Roman" w:cs="Times New Roman"/>
        </w:rPr>
        <w:tab/>
        <w:t xml:space="preserve">Borges, P.H.R, Costa, J., Milestone, N.B., Lynsdale, C.J., Streatfield, R.E. (2009) Carbonation of CH and C–S–H in composite cement pastes containing high amounts of BFS, </w:t>
      </w:r>
      <w:r w:rsidRPr="00BB67BD">
        <w:rPr>
          <w:rFonts w:ascii="Times New Roman" w:hAnsi="Times New Roman" w:cs="Times New Roman"/>
          <w:i/>
        </w:rPr>
        <w:t xml:space="preserve">Cement and concrete research, </w:t>
      </w:r>
      <w:r w:rsidRPr="00BB67BD">
        <w:rPr>
          <w:rFonts w:ascii="Times New Roman" w:hAnsi="Times New Roman" w:cs="Times New Roman"/>
          <w:b/>
        </w:rPr>
        <w:t xml:space="preserve">40, 2, </w:t>
      </w:r>
      <w:r w:rsidRPr="00BB67BD">
        <w:rPr>
          <w:rFonts w:ascii="Times New Roman" w:hAnsi="Times New Roman" w:cs="Times New Roman"/>
        </w:rPr>
        <w:t>284-292</w:t>
      </w:r>
    </w:p>
    <w:p w14:paraId="16556B13" w14:textId="77777777" w:rsidR="004A0DA9" w:rsidRPr="00BB67BD" w:rsidRDefault="004A0DA9" w:rsidP="004A0DA9">
      <w:pPr>
        <w:widowControl w:val="0"/>
        <w:autoSpaceDE w:val="0"/>
        <w:autoSpaceDN w:val="0"/>
        <w:adjustRightInd w:val="0"/>
        <w:spacing w:after="240"/>
        <w:ind w:left="720" w:hanging="720"/>
        <w:rPr>
          <w:rFonts w:ascii="Times" w:hAnsi="Times" w:cs="Times"/>
        </w:rPr>
      </w:pPr>
      <w:r w:rsidRPr="00BB67BD">
        <w:rPr>
          <w:rFonts w:ascii="Times" w:hAnsi="Times" w:cs="Times"/>
          <w:bCs/>
          <w:color w:val="000000"/>
        </w:rPr>
        <w:t>[66]</w:t>
      </w:r>
      <w:r w:rsidRPr="00BB67BD">
        <w:rPr>
          <w:rFonts w:ascii="Times" w:hAnsi="Times" w:cs="Times"/>
          <w:bCs/>
          <w:color w:val="000000"/>
        </w:rPr>
        <w:tab/>
      </w:r>
      <w:proofErr w:type="gramStart"/>
      <w:r w:rsidRPr="00BB67BD">
        <w:rPr>
          <w:rFonts w:ascii="Times New Roman" w:hAnsi="Times New Roman" w:cs="Times New Roman"/>
          <w:color w:val="000000"/>
        </w:rPr>
        <w:t>Wee, T.H. et al. (2001) Resistance of Blended Cement Pastes to Leaching in Distilled Water at Ambient and Higher Temperatures.</w:t>
      </w:r>
      <w:proofErr w:type="gramEnd"/>
      <w:r w:rsidRPr="00BB67BD">
        <w:rPr>
          <w:rFonts w:ascii="Times New Roman" w:hAnsi="Times New Roman" w:cs="Times New Roman"/>
          <w:color w:val="000000"/>
        </w:rPr>
        <w:t xml:space="preserve"> </w:t>
      </w:r>
      <w:proofErr w:type="gramStart"/>
      <w:r w:rsidRPr="00BB67BD">
        <w:rPr>
          <w:rFonts w:ascii="Times New Roman" w:hAnsi="Times New Roman" w:cs="Times New Roman"/>
          <w:i/>
          <w:color w:val="000000"/>
        </w:rPr>
        <w:t>ACI Materials Journal</w:t>
      </w:r>
      <w:r w:rsidRPr="00BB67BD">
        <w:rPr>
          <w:rFonts w:ascii="Times New Roman" w:hAnsi="Times New Roman" w:cs="Times New Roman"/>
          <w:color w:val="000000"/>
        </w:rPr>
        <w:t>.</w:t>
      </w:r>
      <w:proofErr w:type="gramEnd"/>
      <w:r w:rsidRPr="00BB67BD">
        <w:rPr>
          <w:rFonts w:ascii="Times New Roman" w:hAnsi="Times New Roman" w:cs="Times New Roman"/>
          <w:color w:val="000000"/>
        </w:rPr>
        <w:t xml:space="preserve"> </w:t>
      </w:r>
      <w:proofErr w:type="gramStart"/>
      <w:r w:rsidRPr="00BB67BD">
        <w:rPr>
          <w:rFonts w:ascii="Times New Roman" w:hAnsi="Times New Roman" w:cs="Times New Roman"/>
          <w:b/>
          <w:color w:val="000000"/>
        </w:rPr>
        <w:t>98(2),</w:t>
      </w:r>
      <w:r w:rsidRPr="00BB67BD">
        <w:rPr>
          <w:rFonts w:ascii="Times New Roman" w:hAnsi="Times New Roman" w:cs="Times New Roman"/>
          <w:color w:val="000000"/>
        </w:rPr>
        <w:t xml:space="preserve"> 184-194.</w:t>
      </w:r>
      <w:proofErr w:type="gramEnd"/>
    </w:p>
    <w:p w14:paraId="65F96F92" w14:textId="5DE3CBB5" w:rsidR="004A0DA9" w:rsidRPr="00BB67BD" w:rsidRDefault="004A0DA9" w:rsidP="004A0DA9">
      <w:pPr>
        <w:widowControl w:val="0"/>
        <w:autoSpaceDE w:val="0"/>
        <w:autoSpaceDN w:val="0"/>
        <w:adjustRightInd w:val="0"/>
        <w:spacing w:after="240"/>
        <w:jc w:val="both"/>
        <w:rPr>
          <w:rFonts w:ascii="Times" w:hAnsi="Times" w:cs="Times"/>
        </w:rPr>
      </w:pPr>
      <w:r w:rsidRPr="00BB67BD">
        <w:rPr>
          <w:rFonts w:ascii="Times New Roman" w:hAnsi="Times New Roman" w:cs="Times New Roman"/>
        </w:rPr>
        <w:t>[67]</w:t>
      </w:r>
      <w:r w:rsidRPr="00BB67BD">
        <w:rPr>
          <w:rFonts w:ascii="Times" w:hAnsi="Times" w:cs="Times"/>
          <w:b/>
          <w:bCs/>
        </w:rPr>
        <w:t xml:space="preserve"> </w:t>
      </w:r>
      <w:r w:rsidRPr="00BB67BD">
        <w:rPr>
          <w:rFonts w:ascii="Times" w:hAnsi="Times" w:cs="Times"/>
          <w:b/>
          <w:bCs/>
        </w:rPr>
        <w:tab/>
      </w:r>
      <w:r w:rsidRPr="00BB67BD">
        <w:rPr>
          <w:rFonts w:ascii="Times" w:hAnsi="Times" w:cs="Times"/>
          <w:bCs/>
        </w:rPr>
        <w:t xml:space="preserve">Carde, C., Francois, R. (1997) Effect of the leaching of calcium hydroxide from </w:t>
      </w:r>
      <w:r w:rsidRPr="00BB67BD">
        <w:rPr>
          <w:rFonts w:ascii="Times" w:hAnsi="Times" w:cs="Times"/>
          <w:bCs/>
        </w:rPr>
        <w:tab/>
        <w:t xml:space="preserve">cement paste on mechanical and physical properties, </w:t>
      </w:r>
      <w:r w:rsidRPr="00BB67BD">
        <w:rPr>
          <w:rFonts w:ascii="Times" w:hAnsi="Times" w:cs="Times"/>
          <w:bCs/>
          <w:i/>
        </w:rPr>
        <w:t xml:space="preserve">Cement and concrete research, </w:t>
      </w:r>
      <w:r w:rsidR="00992EFA">
        <w:rPr>
          <w:rFonts w:ascii="Times" w:hAnsi="Times" w:cs="Times"/>
          <w:bCs/>
          <w:i/>
        </w:rPr>
        <w:tab/>
      </w:r>
      <w:r w:rsidRPr="00BB67BD">
        <w:rPr>
          <w:rFonts w:ascii="Times" w:hAnsi="Times" w:cs="Times"/>
          <w:b/>
          <w:bCs/>
        </w:rPr>
        <w:t xml:space="preserve">27, 4, </w:t>
      </w:r>
      <w:r w:rsidRPr="00BB67BD">
        <w:rPr>
          <w:rFonts w:ascii="Times" w:hAnsi="Times" w:cs="Times"/>
          <w:bCs/>
        </w:rPr>
        <w:t>539-550</w:t>
      </w:r>
    </w:p>
    <w:p w14:paraId="2D3A32AB" w14:textId="77777777" w:rsidR="004A0DA9" w:rsidRPr="00BB67BD" w:rsidRDefault="004A0DA9" w:rsidP="004A0DA9">
      <w:pPr>
        <w:spacing w:before="240" w:after="120"/>
        <w:ind w:left="720" w:hanging="720"/>
        <w:jc w:val="both"/>
        <w:rPr>
          <w:rFonts w:ascii="Times" w:hAnsi="Times" w:cs="Times"/>
        </w:rPr>
      </w:pPr>
      <w:r w:rsidRPr="00BB67BD">
        <w:rPr>
          <w:rFonts w:ascii="Times" w:hAnsi="Times" w:cs="Times"/>
        </w:rPr>
        <w:t>[68]  </w:t>
      </w:r>
      <w:r w:rsidRPr="00BB67BD">
        <w:rPr>
          <w:rFonts w:ascii="Times" w:hAnsi="Times" w:cs="Times"/>
        </w:rPr>
        <w:tab/>
        <w:t xml:space="preserve">Carde, C. et al. (1996) Leaching of Both Calcium Hydroxide and C-S-H from Cement Paste: Modelling the Mechanical Behvaiour, </w:t>
      </w:r>
      <w:r w:rsidRPr="00BB67BD">
        <w:rPr>
          <w:rFonts w:ascii="Times" w:hAnsi="Times" w:cs="Times"/>
          <w:i/>
        </w:rPr>
        <w:t>Cement and Concrete Research</w:t>
      </w:r>
      <w:r w:rsidRPr="00BB67BD">
        <w:rPr>
          <w:rFonts w:ascii="Times" w:hAnsi="Times" w:cs="Times"/>
        </w:rPr>
        <w:t xml:space="preserve">. </w:t>
      </w:r>
      <w:proofErr w:type="gramStart"/>
      <w:r w:rsidRPr="00BB67BD">
        <w:rPr>
          <w:rFonts w:ascii="Times" w:hAnsi="Times" w:cs="Times"/>
          <w:b/>
        </w:rPr>
        <w:t>26,</w:t>
      </w:r>
      <w:r w:rsidRPr="00BB67BD">
        <w:rPr>
          <w:rFonts w:ascii="Times" w:hAnsi="Times" w:cs="Times"/>
        </w:rPr>
        <w:t xml:space="preserve"> 1257-1268.</w:t>
      </w:r>
      <w:proofErr w:type="gramEnd"/>
    </w:p>
    <w:p w14:paraId="2CB6A2EA" w14:textId="77777777" w:rsidR="004A0DA9" w:rsidRPr="00BB67BD" w:rsidRDefault="004A0DA9" w:rsidP="004A0DA9">
      <w:pPr>
        <w:spacing w:before="240" w:after="120"/>
        <w:ind w:left="720" w:hanging="720"/>
        <w:jc w:val="both"/>
        <w:rPr>
          <w:rFonts w:ascii="Times" w:hAnsi="Times" w:cs="Times"/>
        </w:rPr>
      </w:pPr>
      <w:r w:rsidRPr="00BB67BD">
        <w:rPr>
          <w:rFonts w:ascii="Times" w:hAnsi="Times" w:cs="Times"/>
        </w:rPr>
        <w:t>[69]  </w:t>
      </w:r>
      <w:r w:rsidRPr="00BB67BD">
        <w:rPr>
          <w:rFonts w:ascii="Times" w:hAnsi="Times" w:cs="Times"/>
        </w:rPr>
        <w:tab/>
        <w:t xml:space="preserve">Carde, C. et al. (1997) Use of ammonium nitrate solution to simulate and accelerate the leaching of cement pastes to deionized waters. </w:t>
      </w:r>
      <w:proofErr w:type="gramStart"/>
      <w:r w:rsidRPr="00BB67BD">
        <w:rPr>
          <w:rFonts w:ascii="Times" w:hAnsi="Times" w:cs="Times"/>
          <w:i/>
        </w:rPr>
        <w:t>Magazine of Concrete Research</w:t>
      </w:r>
      <w:r w:rsidRPr="00BB67BD">
        <w:rPr>
          <w:rFonts w:ascii="Times" w:hAnsi="Times" w:cs="Times"/>
        </w:rPr>
        <w:t xml:space="preserve">, </w:t>
      </w:r>
      <w:r w:rsidRPr="00BB67BD">
        <w:rPr>
          <w:rFonts w:ascii="Times" w:hAnsi="Times" w:cs="Times"/>
          <w:b/>
        </w:rPr>
        <w:t>49</w:t>
      </w:r>
      <w:r w:rsidRPr="00BB67BD">
        <w:rPr>
          <w:rFonts w:ascii="Times" w:hAnsi="Times" w:cs="Times"/>
        </w:rPr>
        <w:t>, 295 – 301.</w:t>
      </w:r>
      <w:proofErr w:type="gramEnd"/>
    </w:p>
    <w:p w14:paraId="7594A7D9" w14:textId="77777777" w:rsidR="004A0DA9" w:rsidRPr="00BB67BD" w:rsidRDefault="004A0DA9" w:rsidP="004A0DA9">
      <w:pPr>
        <w:spacing w:before="240" w:after="120"/>
        <w:ind w:left="720" w:hanging="720"/>
        <w:jc w:val="both"/>
        <w:rPr>
          <w:rFonts w:ascii="Times" w:hAnsi="Times" w:cs="Times"/>
        </w:rPr>
      </w:pPr>
      <w:r w:rsidRPr="00BB67BD">
        <w:rPr>
          <w:rFonts w:ascii="Times" w:hAnsi="Times" w:cs="Times"/>
        </w:rPr>
        <w:t>[70]</w:t>
      </w:r>
      <w:r w:rsidRPr="00BB67BD">
        <w:rPr>
          <w:rFonts w:ascii="Times" w:hAnsi="Times" w:cs="Times"/>
        </w:rPr>
        <w:tab/>
        <w:t>Jauberthie, R. and Rendell, F. (2003) Physiochemical study of the alteration surface of concrete exposed to ammonium salts</w:t>
      </w:r>
      <w:r w:rsidRPr="00BB67BD">
        <w:rPr>
          <w:rFonts w:ascii="Times" w:hAnsi="Times" w:cs="Times"/>
          <w:i/>
        </w:rPr>
        <w:t xml:space="preserve">. </w:t>
      </w:r>
      <w:proofErr w:type="gramStart"/>
      <w:r w:rsidRPr="00BB67BD">
        <w:rPr>
          <w:rFonts w:ascii="Times" w:hAnsi="Times" w:cs="Times"/>
          <w:i/>
        </w:rPr>
        <w:t>Cement and Concrete Research</w:t>
      </w:r>
      <w:r w:rsidRPr="00BB67BD">
        <w:rPr>
          <w:rFonts w:ascii="Times" w:hAnsi="Times" w:cs="Times"/>
        </w:rPr>
        <w:t>.</w:t>
      </w:r>
      <w:proofErr w:type="gramEnd"/>
      <w:r w:rsidRPr="00BB67BD">
        <w:rPr>
          <w:rFonts w:ascii="Times" w:hAnsi="Times" w:cs="Times"/>
        </w:rPr>
        <w:t xml:space="preserve"> </w:t>
      </w:r>
      <w:proofErr w:type="gramStart"/>
      <w:r w:rsidRPr="00BB67BD">
        <w:rPr>
          <w:rFonts w:ascii="Times" w:hAnsi="Times" w:cs="Times"/>
          <w:b/>
        </w:rPr>
        <w:t>33,</w:t>
      </w:r>
      <w:r w:rsidRPr="00BB67BD">
        <w:rPr>
          <w:rFonts w:ascii="Times" w:hAnsi="Times" w:cs="Times"/>
        </w:rPr>
        <w:t xml:space="preserve"> 85-91.</w:t>
      </w:r>
      <w:proofErr w:type="gramEnd"/>
      <w:r w:rsidRPr="00BB67BD">
        <w:rPr>
          <w:rFonts w:ascii="Times" w:hAnsi="Times" w:cs="Times"/>
        </w:rPr>
        <w:t xml:space="preserve"> </w:t>
      </w:r>
    </w:p>
    <w:p w14:paraId="62F81C8D" w14:textId="77777777" w:rsidR="004A0DA9" w:rsidRPr="00BB67BD" w:rsidRDefault="004A0DA9" w:rsidP="004A0DA9">
      <w:pPr>
        <w:spacing w:before="240" w:after="120"/>
        <w:ind w:left="720" w:hanging="720"/>
        <w:jc w:val="both"/>
        <w:rPr>
          <w:rFonts w:ascii="Times" w:hAnsi="Times" w:cs="Times"/>
        </w:rPr>
      </w:pPr>
      <w:r w:rsidRPr="00BB67BD">
        <w:rPr>
          <w:rFonts w:ascii="Times" w:hAnsi="Times" w:cs="Times"/>
        </w:rPr>
        <w:t>[71]</w:t>
      </w:r>
      <w:r w:rsidRPr="00BB67BD">
        <w:rPr>
          <w:rFonts w:ascii="Times" w:hAnsi="Times" w:cs="Times"/>
        </w:rPr>
        <w:tab/>
      </w:r>
      <w:proofErr w:type="gramStart"/>
      <w:r w:rsidRPr="00BB67BD">
        <w:rPr>
          <w:rFonts w:ascii="Times" w:hAnsi="Times" w:cs="Times"/>
        </w:rPr>
        <w:t>Self compacting</w:t>
      </w:r>
      <w:proofErr w:type="gramEnd"/>
      <w:r w:rsidRPr="00BB67BD">
        <w:rPr>
          <w:rFonts w:ascii="Times" w:hAnsi="Times" w:cs="Times"/>
        </w:rPr>
        <w:t xml:space="preserve"> concrete (2011) edited by Ahmed Loukili, Wiley. </w:t>
      </w:r>
    </w:p>
    <w:p w14:paraId="636C3CA4" w14:textId="77777777" w:rsidR="004A0DA9" w:rsidRPr="00BB67BD" w:rsidRDefault="004A0DA9" w:rsidP="004A0DA9">
      <w:pPr>
        <w:spacing w:before="240" w:after="120"/>
        <w:ind w:left="720" w:hanging="720"/>
        <w:jc w:val="both"/>
        <w:rPr>
          <w:rFonts w:ascii="Times" w:hAnsi="Times" w:cs="Times"/>
        </w:rPr>
      </w:pPr>
      <w:proofErr w:type="gramStart"/>
      <w:r w:rsidRPr="00BB67BD">
        <w:rPr>
          <w:rFonts w:ascii="Times" w:hAnsi="Times" w:cs="Times"/>
        </w:rPr>
        <w:t>[72]</w:t>
      </w:r>
      <w:r w:rsidRPr="00BB67BD">
        <w:rPr>
          <w:rFonts w:ascii="Times" w:hAnsi="Times" w:cs="Times"/>
        </w:rPr>
        <w:tab/>
        <w:t xml:space="preserve">Torrenti, J.M. et al. (1999) </w:t>
      </w:r>
      <w:r w:rsidRPr="00BB67BD">
        <w:rPr>
          <w:rFonts w:ascii="Times" w:hAnsi="Times" w:cs="Times"/>
          <w:i/>
        </w:rPr>
        <w:t>La degradation des betons</w:t>
      </w:r>
      <w:r w:rsidRPr="00BB67BD">
        <w:rPr>
          <w:rFonts w:ascii="Times" w:hAnsi="Times" w:cs="Times"/>
        </w:rPr>
        <w:t>.</w:t>
      </w:r>
      <w:proofErr w:type="gramEnd"/>
      <w:r w:rsidRPr="00BB67BD">
        <w:rPr>
          <w:rFonts w:ascii="Times" w:hAnsi="Times" w:cs="Times"/>
        </w:rPr>
        <w:t xml:space="preserve"> </w:t>
      </w:r>
      <w:proofErr w:type="gramStart"/>
      <w:r w:rsidRPr="00BB67BD">
        <w:rPr>
          <w:rFonts w:ascii="Times" w:hAnsi="Times" w:cs="Times"/>
        </w:rPr>
        <w:t>Hermes Sciences Publications, Paris.</w:t>
      </w:r>
      <w:proofErr w:type="gramEnd"/>
      <w:r w:rsidRPr="00BB67BD">
        <w:rPr>
          <w:rFonts w:ascii="Times" w:hAnsi="Times" w:cs="Times"/>
        </w:rPr>
        <w:t xml:space="preserve"> 27-29.</w:t>
      </w:r>
    </w:p>
    <w:p w14:paraId="4A5F3D3D" w14:textId="71C40E96" w:rsidR="004A0DA9" w:rsidRPr="00BB67BD" w:rsidRDefault="004A0DA9" w:rsidP="004A0DA9">
      <w:pPr>
        <w:spacing w:before="240" w:after="120"/>
        <w:ind w:left="720" w:hanging="720"/>
        <w:jc w:val="both"/>
        <w:rPr>
          <w:rFonts w:ascii="Times" w:hAnsi="Times" w:cs="Times"/>
        </w:rPr>
      </w:pPr>
      <w:r w:rsidRPr="00BB67BD">
        <w:rPr>
          <w:rFonts w:ascii="Times New Roman" w:hAnsi="Times New Roman" w:cs="Times New Roman"/>
          <w:color w:val="000000"/>
        </w:rPr>
        <w:t>[73]</w:t>
      </w:r>
      <w:r w:rsidRPr="00BB67BD">
        <w:rPr>
          <w:rFonts w:ascii="Times New Roman" w:hAnsi="Times New Roman" w:cs="Times New Roman"/>
          <w:color w:val="000000"/>
        </w:rPr>
        <w:tab/>
        <w:t xml:space="preserve">Agostini, F. et al. (2007) Experimental study of accelerated leaching on hollow cylinders of mortar. </w:t>
      </w:r>
      <w:proofErr w:type="gramStart"/>
      <w:r w:rsidRPr="00BB67BD">
        <w:rPr>
          <w:rFonts w:ascii="Times" w:hAnsi="Times" w:cs="Times"/>
          <w:i/>
          <w:iCs/>
          <w:color w:val="000000"/>
        </w:rPr>
        <w:t>Cement and Concrete Research.</w:t>
      </w:r>
      <w:proofErr w:type="gramEnd"/>
      <w:r w:rsidRPr="00BB67BD">
        <w:rPr>
          <w:rFonts w:ascii="Times New Roman" w:hAnsi="Times New Roman" w:cs="Times New Roman"/>
          <w:color w:val="000000"/>
        </w:rPr>
        <w:t xml:space="preserve"> </w:t>
      </w:r>
      <w:proofErr w:type="gramStart"/>
      <w:r w:rsidRPr="00BB67BD">
        <w:rPr>
          <w:rFonts w:ascii="Times New Roman" w:hAnsi="Times New Roman" w:cs="Times New Roman"/>
          <w:b/>
          <w:color w:val="000000"/>
        </w:rPr>
        <w:t xml:space="preserve">37, </w:t>
      </w:r>
      <w:r w:rsidRPr="00BB67BD">
        <w:rPr>
          <w:rFonts w:ascii="Times New Roman" w:hAnsi="Times New Roman" w:cs="Times New Roman"/>
          <w:color w:val="000000"/>
        </w:rPr>
        <w:t>71-78.</w:t>
      </w:r>
      <w:proofErr w:type="gramEnd"/>
    </w:p>
    <w:p w14:paraId="42BD28F3" w14:textId="650B3B21" w:rsidR="004A0DA9" w:rsidRPr="00BB67BD" w:rsidRDefault="004A0DA9" w:rsidP="004A0DA9">
      <w:pPr>
        <w:spacing w:before="240" w:after="120"/>
        <w:ind w:left="720" w:hanging="720"/>
        <w:jc w:val="both"/>
        <w:rPr>
          <w:rFonts w:ascii="Times New Roman" w:hAnsi="Times New Roman" w:cs="Times New Roman"/>
        </w:rPr>
      </w:pPr>
      <w:r w:rsidRPr="00BB67BD">
        <w:rPr>
          <w:rFonts w:ascii="Times" w:hAnsi="Times" w:cs="Times"/>
        </w:rPr>
        <w:t>[74]</w:t>
      </w:r>
      <w:r w:rsidRPr="00BB67BD">
        <w:rPr>
          <w:rFonts w:ascii="Times" w:hAnsi="Times" w:cs="Times"/>
        </w:rPr>
        <w:tab/>
      </w:r>
      <w:r w:rsidRPr="00BB67BD">
        <w:rPr>
          <w:rFonts w:ascii="Times New Roman" w:hAnsi="Times New Roman" w:cs="Times New Roman"/>
        </w:rPr>
        <w:t xml:space="preserve">Wan, K., Li, Y., Sun, W. (2013) Experimental and modelling research of the accelerated calcium leaching of cement paste in ammonium nitrate solution, </w:t>
      </w:r>
      <w:r w:rsidRPr="00BB67BD">
        <w:rPr>
          <w:rFonts w:ascii="Times New Roman" w:hAnsi="Times New Roman" w:cs="Times New Roman"/>
          <w:i/>
        </w:rPr>
        <w:t xml:space="preserve">Construction and building materials, </w:t>
      </w:r>
      <w:r w:rsidRPr="00BB67BD">
        <w:rPr>
          <w:rFonts w:ascii="Times New Roman" w:hAnsi="Times New Roman" w:cs="Times New Roman"/>
          <w:b/>
        </w:rPr>
        <w:t>40</w:t>
      </w:r>
      <w:proofErr w:type="gramStart"/>
      <w:r w:rsidRPr="00BB67BD">
        <w:rPr>
          <w:rFonts w:ascii="Times New Roman" w:hAnsi="Times New Roman" w:cs="Times New Roman"/>
          <w:b/>
        </w:rPr>
        <w:t xml:space="preserve">, </w:t>
      </w:r>
      <w:r w:rsidRPr="00BB67BD">
        <w:rPr>
          <w:rFonts w:ascii="Times New Roman" w:hAnsi="Times New Roman" w:cs="Times New Roman"/>
        </w:rPr>
        <w:t xml:space="preserve"> 832</w:t>
      </w:r>
      <w:proofErr w:type="gramEnd"/>
      <w:r w:rsidRPr="00BB67BD">
        <w:rPr>
          <w:rFonts w:ascii="Times New Roman" w:hAnsi="Times New Roman" w:cs="Times New Roman"/>
        </w:rPr>
        <w:t xml:space="preserve">-846 </w:t>
      </w:r>
    </w:p>
    <w:p w14:paraId="6DD8B94F" w14:textId="77777777" w:rsidR="004A0DA9" w:rsidRPr="00BB67BD" w:rsidRDefault="004A0DA9" w:rsidP="004A0DA9">
      <w:pPr>
        <w:spacing w:before="240" w:after="120"/>
        <w:ind w:left="720" w:hanging="720"/>
        <w:jc w:val="both"/>
        <w:rPr>
          <w:rFonts w:ascii="Times New Roman" w:hAnsi="Times New Roman" w:cs="Times New Roman"/>
        </w:rPr>
      </w:pPr>
      <w:r w:rsidRPr="00BB67BD">
        <w:rPr>
          <w:rFonts w:ascii="Times New Roman" w:hAnsi="Times New Roman" w:cs="Times New Roman"/>
        </w:rPr>
        <w:t>[75]</w:t>
      </w:r>
      <w:r w:rsidRPr="00BB67BD">
        <w:rPr>
          <w:rFonts w:ascii="Times New Roman" w:hAnsi="Times New Roman" w:cs="Times New Roman"/>
        </w:rPr>
        <w:tab/>
      </w:r>
      <w:r w:rsidRPr="00BB67BD">
        <w:rPr>
          <w:rFonts w:ascii="Times" w:hAnsi="Times" w:cs="Times"/>
        </w:rPr>
        <w:t xml:space="preserve">Yang, H. et al. (2012) </w:t>
      </w:r>
      <w:proofErr w:type="gramStart"/>
      <w:r w:rsidRPr="00BB67BD">
        <w:rPr>
          <w:rFonts w:ascii="Times New Roman" w:hAnsi="Times New Roman" w:cs="Times New Roman"/>
        </w:rPr>
        <w:t>Predicting</w:t>
      </w:r>
      <w:proofErr w:type="gramEnd"/>
      <w:r w:rsidRPr="00BB67BD">
        <w:rPr>
          <w:rFonts w:ascii="Times New Roman" w:hAnsi="Times New Roman" w:cs="Times New Roman"/>
        </w:rPr>
        <w:t xml:space="preserve"> the calcium leaching behaviour of cement pastes in aggressive environments</w:t>
      </w:r>
      <w:r w:rsidRPr="00BB67BD">
        <w:rPr>
          <w:rFonts w:ascii="Times New Roman" w:hAnsi="Times New Roman" w:cs="Times New Roman"/>
          <w:i/>
        </w:rPr>
        <w:t xml:space="preserve">. </w:t>
      </w:r>
      <w:proofErr w:type="gramStart"/>
      <w:r w:rsidRPr="00BB67BD">
        <w:rPr>
          <w:rFonts w:ascii="Times New Roman" w:hAnsi="Times New Roman" w:cs="Times New Roman"/>
          <w:i/>
        </w:rPr>
        <w:t>Construction and Building Materials.</w:t>
      </w:r>
      <w:proofErr w:type="gramEnd"/>
      <w:r w:rsidRPr="00BB67BD">
        <w:rPr>
          <w:rFonts w:ascii="Times New Roman" w:hAnsi="Times New Roman" w:cs="Times New Roman"/>
        </w:rPr>
        <w:t xml:space="preserve"> </w:t>
      </w:r>
      <w:proofErr w:type="gramStart"/>
      <w:r w:rsidRPr="00BB67BD">
        <w:rPr>
          <w:rFonts w:ascii="Times New Roman" w:hAnsi="Times New Roman" w:cs="Times New Roman"/>
          <w:b/>
        </w:rPr>
        <w:t>29,</w:t>
      </w:r>
      <w:r w:rsidRPr="00BB67BD">
        <w:rPr>
          <w:rFonts w:ascii="Times New Roman" w:hAnsi="Times New Roman" w:cs="Times New Roman"/>
        </w:rPr>
        <w:t xml:space="preserve"> 88-96.</w:t>
      </w:r>
      <w:proofErr w:type="gramEnd"/>
      <w:r w:rsidRPr="00BB67BD">
        <w:rPr>
          <w:rFonts w:ascii="Times New Roman" w:hAnsi="Times New Roman" w:cs="Times New Roman"/>
        </w:rPr>
        <w:t xml:space="preserve"> </w:t>
      </w:r>
    </w:p>
    <w:p w14:paraId="2E49ED08" w14:textId="77777777" w:rsidR="004A0DA9" w:rsidRPr="00BB67BD" w:rsidRDefault="004A0DA9" w:rsidP="004A0DA9">
      <w:pPr>
        <w:spacing w:before="240" w:after="120"/>
        <w:ind w:left="720" w:hanging="720"/>
        <w:jc w:val="both"/>
        <w:rPr>
          <w:rFonts w:ascii="Times" w:hAnsi="Times" w:cs="Times"/>
        </w:rPr>
      </w:pPr>
      <w:r w:rsidRPr="00BB67BD">
        <w:rPr>
          <w:rFonts w:ascii="Times New Roman" w:hAnsi="Times New Roman" w:cs="Times New Roman"/>
        </w:rPr>
        <w:t xml:space="preserve">[76] </w:t>
      </w:r>
      <w:r w:rsidRPr="00BB67BD">
        <w:rPr>
          <w:rFonts w:ascii="Times New Roman" w:hAnsi="Times New Roman" w:cs="Times New Roman"/>
        </w:rPr>
        <w:tab/>
        <w:t xml:space="preserve">Saito, H. and Sunao N. (1999) Comparison between diffusion test and electrochemical acceleration test for leaching of cement hydration products, </w:t>
      </w:r>
      <w:r w:rsidRPr="00BB67BD">
        <w:rPr>
          <w:rFonts w:ascii="Times New Roman" w:hAnsi="Times New Roman" w:cs="Times New Roman"/>
          <w:i/>
        </w:rPr>
        <w:t xml:space="preserve">ACI Materials Journal. </w:t>
      </w:r>
      <w:proofErr w:type="gramStart"/>
      <w:r w:rsidRPr="00BB67BD">
        <w:rPr>
          <w:rFonts w:ascii="Times New Roman" w:hAnsi="Times New Roman" w:cs="Times New Roman"/>
          <w:b/>
        </w:rPr>
        <w:t xml:space="preserve">96, </w:t>
      </w:r>
      <w:r w:rsidRPr="00BB67BD">
        <w:rPr>
          <w:rFonts w:ascii="Times New Roman" w:hAnsi="Times New Roman" w:cs="Times New Roman"/>
        </w:rPr>
        <w:t>208-212.</w:t>
      </w:r>
      <w:proofErr w:type="gramEnd"/>
      <w:r w:rsidRPr="00BB67BD">
        <w:rPr>
          <w:rFonts w:ascii="Times New Roman" w:hAnsi="Times New Roman" w:cs="Times New Roman"/>
        </w:rPr>
        <w:t xml:space="preserve"> </w:t>
      </w:r>
    </w:p>
    <w:p w14:paraId="651723F2" w14:textId="77777777" w:rsidR="004A0DA9" w:rsidRPr="00BB67BD" w:rsidRDefault="004A0DA9" w:rsidP="004A0DA9">
      <w:pPr>
        <w:spacing w:before="240" w:after="120"/>
        <w:ind w:left="720" w:hanging="720"/>
        <w:jc w:val="both"/>
        <w:rPr>
          <w:rFonts w:ascii="Times" w:hAnsi="Times" w:cs="Times"/>
        </w:rPr>
      </w:pPr>
      <w:r w:rsidRPr="00BB67BD">
        <w:rPr>
          <w:rFonts w:ascii="Times" w:hAnsi="Times" w:cs="Times"/>
        </w:rPr>
        <w:lastRenderedPageBreak/>
        <w:t>[77]</w:t>
      </w:r>
      <w:r w:rsidRPr="00BB67BD">
        <w:rPr>
          <w:rFonts w:ascii="Times" w:hAnsi="Times" w:cs="Times"/>
        </w:rPr>
        <w:tab/>
        <w:t>Szweda, Z., Zbyura, A., (2011) Analysis of chloride diffusion and migration in concrete part I - theoretical model</w:t>
      </w:r>
      <w:proofErr w:type="gramStart"/>
      <w:r w:rsidRPr="00BB67BD">
        <w:rPr>
          <w:rFonts w:ascii="Times" w:hAnsi="Times" w:cs="Times"/>
        </w:rPr>
        <w:t xml:space="preserve">, </w:t>
      </w:r>
      <w:r w:rsidRPr="00BB67BD">
        <w:rPr>
          <w:rFonts w:ascii="Times" w:hAnsi="Times" w:cs="Times"/>
          <w:i/>
        </w:rPr>
        <w:t xml:space="preserve"> Architecture</w:t>
      </w:r>
      <w:proofErr w:type="gramEnd"/>
      <w:r w:rsidRPr="00BB67BD">
        <w:rPr>
          <w:rFonts w:ascii="Times" w:hAnsi="Times" w:cs="Times"/>
          <w:i/>
        </w:rPr>
        <w:t xml:space="preserve"> civil engineering environment, </w:t>
      </w:r>
      <w:r w:rsidRPr="00BB67BD">
        <w:rPr>
          <w:rFonts w:ascii="Times" w:hAnsi="Times" w:cs="Times"/>
          <w:b/>
        </w:rPr>
        <w:t xml:space="preserve">5, </w:t>
      </w:r>
      <w:r w:rsidRPr="00BB67BD">
        <w:rPr>
          <w:rFonts w:ascii="Times" w:hAnsi="Times" w:cs="Times"/>
        </w:rPr>
        <w:t xml:space="preserve">44-100 </w:t>
      </w:r>
    </w:p>
    <w:p w14:paraId="43CAE52A" w14:textId="28265B53" w:rsidR="004A0DA9" w:rsidRPr="00BB67BD" w:rsidRDefault="004A0DA9" w:rsidP="004A0DA9">
      <w:pPr>
        <w:spacing w:before="240" w:after="120"/>
        <w:ind w:left="720" w:hanging="720"/>
        <w:jc w:val="both"/>
        <w:rPr>
          <w:rFonts w:ascii="Times" w:hAnsi="Times" w:cs="Times"/>
        </w:rPr>
      </w:pPr>
      <w:r w:rsidRPr="00BB67BD">
        <w:rPr>
          <w:rFonts w:ascii="Times" w:hAnsi="Times" w:cs="Times"/>
        </w:rPr>
        <w:t xml:space="preserve">[78]  </w:t>
      </w:r>
      <w:r w:rsidRPr="00BB67BD">
        <w:rPr>
          <w:rFonts w:ascii="Times" w:hAnsi="Times" w:cs="Times"/>
        </w:rPr>
        <w:tab/>
      </w:r>
      <w:proofErr w:type="gramStart"/>
      <w:r w:rsidRPr="00BB67BD">
        <w:rPr>
          <w:rFonts w:ascii="Times" w:hAnsi="Times" w:cs="Times"/>
        </w:rPr>
        <w:t xml:space="preserve">Ghods, P., Hoseini, M., Chini, M., Alizadeh, .R., </w:t>
      </w:r>
      <w:r w:rsidR="004B3D7D">
        <w:rPr>
          <w:rFonts w:ascii="Times" w:hAnsi="Times" w:cs="Times"/>
        </w:rPr>
        <w:t xml:space="preserve">(2005) </w:t>
      </w:r>
      <w:r w:rsidRPr="00BB67BD">
        <w:rPr>
          <w:rFonts w:ascii="Times" w:hAnsi="Times" w:cs="Times"/>
        </w:rPr>
        <w:t>Evaluating the chloride diffusion of concrete by measuring electrical resistivity</w:t>
      </w:r>
      <w:r w:rsidR="004B3D7D">
        <w:rPr>
          <w:rFonts w:ascii="Times" w:hAnsi="Times" w:cs="Times"/>
        </w:rPr>
        <w:t xml:space="preserve">, </w:t>
      </w:r>
      <w:r w:rsidR="004B3D7D">
        <w:rPr>
          <w:rFonts w:ascii="Times" w:hAnsi="Times" w:cs="Times"/>
          <w:i/>
        </w:rPr>
        <w:t>Young Researchers Forum</w:t>
      </w:r>
      <w:r w:rsidRPr="00BB67BD">
        <w:rPr>
          <w:rFonts w:ascii="Times" w:hAnsi="Times" w:cs="Times"/>
        </w:rPr>
        <w:t>, 192-198.</w:t>
      </w:r>
      <w:proofErr w:type="gramEnd"/>
      <w:r w:rsidRPr="00BB67BD">
        <w:rPr>
          <w:rFonts w:ascii="Times" w:hAnsi="Times" w:cs="Times"/>
        </w:rPr>
        <w:t xml:space="preserve"> </w:t>
      </w:r>
      <w:r w:rsidR="006702E9">
        <w:rPr>
          <w:rFonts w:ascii="Times" w:hAnsi="Times" w:cs="Times"/>
        </w:rPr>
        <w:t xml:space="preserve"> </w:t>
      </w:r>
    </w:p>
    <w:p w14:paraId="59C64576" w14:textId="070AD585" w:rsidR="004A0DA9" w:rsidRPr="00BB67BD" w:rsidRDefault="004A0DA9" w:rsidP="004A0DA9">
      <w:pPr>
        <w:spacing w:before="240" w:after="120"/>
        <w:ind w:left="720" w:hanging="720"/>
        <w:jc w:val="both"/>
        <w:rPr>
          <w:rFonts w:ascii="Times" w:hAnsi="Times" w:cs="Times"/>
        </w:rPr>
      </w:pPr>
      <w:r w:rsidRPr="00BB67BD">
        <w:rPr>
          <w:rFonts w:ascii="Times" w:hAnsi="Times" w:cs="Times"/>
        </w:rPr>
        <w:t xml:space="preserve">[79] </w:t>
      </w:r>
      <w:r w:rsidRPr="00BB67BD">
        <w:rPr>
          <w:rFonts w:ascii="Times" w:hAnsi="Times" w:cs="Times"/>
        </w:rPr>
        <w:tab/>
        <w:t xml:space="preserve">Halamickova, P., Detwiler, R.J., (1995) Water permeability and chloride ion diffusion in </w:t>
      </w:r>
      <w:r w:rsidR="004E349F" w:rsidRPr="00BB67BD">
        <w:rPr>
          <w:rFonts w:ascii="Times" w:hAnsi="Times" w:cs="Times"/>
        </w:rPr>
        <w:t>Portland</w:t>
      </w:r>
      <w:r w:rsidRPr="00BB67BD">
        <w:rPr>
          <w:rFonts w:ascii="Times" w:hAnsi="Times" w:cs="Times"/>
        </w:rPr>
        <w:t xml:space="preserve"> cement mortars: relationship to sand content and critical pore diameter</w:t>
      </w:r>
      <w:proofErr w:type="gramStart"/>
      <w:r w:rsidRPr="00BB67BD">
        <w:rPr>
          <w:rFonts w:ascii="Times" w:hAnsi="Times" w:cs="Times"/>
        </w:rPr>
        <w:t xml:space="preserve">,  </w:t>
      </w:r>
      <w:r w:rsidRPr="00BB67BD">
        <w:rPr>
          <w:rFonts w:ascii="Times" w:hAnsi="Times" w:cs="Times"/>
          <w:i/>
        </w:rPr>
        <w:t>cement</w:t>
      </w:r>
      <w:proofErr w:type="gramEnd"/>
      <w:r w:rsidRPr="00BB67BD">
        <w:rPr>
          <w:rFonts w:ascii="Times" w:hAnsi="Times" w:cs="Times"/>
          <w:i/>
        </w:rPr>
        <w:t xml:space="preserve"> and concrete research, </w:t>
      </w:r>
      <w:r w:rsidRPr="00BB67BD">
        <w:rPr>
          <w:rFonts w:ascii="Times" w:hAnsi="Times" w:cs="Times"/>
          <w:b/>
        </w:rPr>
        <w:t xml:space="preserve">25, 4, </w:t>
      </w:r>
      <w:r w:rsidRPr="00BB67BD">
        <w:rPr>
          <w:rFonts w:ascii="Times" w:hAnsi="Times" w:cs="Times"/>
        </w:rPr>
        <w:t>790-802.</w:t>
      </w:r>
    </w:p>
    <w:p w14:paraId="2663AB77" w14:textId="45ADFEF9" w:rsidR="004A0DA9" w:rsidRPr="00BB67BD" w:rsidRDefault="004A0DA9" w:rsidP="004A0DA9">
      <w:pPr>
        <w:spacing w:before="240" w:after="120"/>
        <w:ind w:left="720" w:hanging="720"/>
        <w:jc w:val="both"/>
        <w:rPr>
          <w:rFonts w:ascii="Times" w:hAnsi="Times" w:cs="Times"/>
        </w:rPr>
      </w:pPr>
      <w:r w:rsidRPr="00BB67BD">
        <w:rPr>
          <w:rFonts w:ascii="Times" w:hAnsi="Times" w:cs="Times"/>
        </w:rPr>
        <w:t xml:space="preserve">[80]  </w:t>
      </w:r>
      <w:r w:rsidRPr="00BB67BD">
        <w:rPr>
          <w:rFonts w:ascii="Times" w:hAnsi="Times" w:cs="Times"/>
        </w:rPr>
        <w:tab/>
        <w:t xml:space="preserve"> Marriaga, J.L., Claisse, P., (2009) Determination of the concrete chloride diffusion </w:t>
      </w:r>
      <w:r w:rsidR="004E349F" w:rsidRPr="00BB67BD">
        <w:rPr>
          <w:rFonts w:ascii="Times" w:hAnsi="Times" w:cs="Times"/>
        </w:rPr>
        <w:t>coefficient</w:t>
      </w:r>
      <w:r w:rsidRPr="00BB67BD">
        <w:rPr>
          <w:rFonts w:ascii="Times" w:hAnsi="Times" w:cs="Times"/>
        </w:rPr>
        <w:t xml:space="preserve"> based on the electrochemical test and optimization model, </w:t>
      </w:r>
      <w:r w:rsidRPr="00BB67BD">
        <w:rPr>
          <w:rFonts w:ascii="Times" w:hAnsi="Times" w:cs="Times"/>
          <w:i/>
        </w:rPr>
        <w:t>Materials chemistry and physics</w:t>
      </w:r>
      <w:proofErr w:type="gramStart"/>
      <w:r w:rsidRPr="00BB67BD">
        <w:rPr>
          <w:rFonts w:ascii="Times" w:hAnsi="Times" w:cs="Times"/>
          <w:i/>
        </w:rPr>
        <w:t xml:space="preserve">, </w:t>
      </w:r>
      <w:r w:rsidRPr="00BB67BD">
        <w:rPr>
          <w:rFonts w:ascii="Times" w:hAnsi="Times" w:cs="Times"/>
        </w:rPr>
        <w:t xml:space="preserve"> </w:t>
      </w:r>
      <w:r w:rsidRPr="00BB67BD">
        <w:rPr>
          <w:rFonts w:ascii="Times" w:hAnsi="Times" w:cs="Times"/>
          <w:b/>
        </w:rPr>
        <w:t>117</w:t>
      </w:r>
      <w:proofErr w:type="gramEnd"/>
      <w:r w:rsidRPr="00BB67BD">
        <w:rPr>
          <w:rFonts w:ascii="Times" w:hAnsi="Times" w:cs="Times"/>
          <w:b/>
        </w:rPr>
        <w:t xml:space="preserve">, 2, </w:t>
      </w:r>
      <w:r w:rsidRPr="00BB67BD">
        <w:rPr>
          <w:rFonts w:ascii="Times" w:hAnsi="Times" w:cs="Times"/>
        </w:rPr>
        <w:t xml:space="preserve"> 526-543</w:t>
      </w:r>
    </w:p>
    <w:p w14:paraId="7ADAF170" w14:textId="3F1B5E04" w:rsidR="004A0DA9" w:rsidRPr="00BB67BD" w:rsidRDefault="004A0DA9" w:rsidP="004A0DA9">
      <w:pPr>
        <w:spacing w:before="240" w:after="120"/>
        <w:ind w:left="720" w:hanging="720"/>
        <w:jc w:val="both"/>
        <w:rPr>
          <w:rFonts w:ascii="Times" w:hAnsi="Times" w:cs="Times"/>
        </w:rPr>
      </w:pPr>
      <w:r w:rsidRPr="00BB67BD">
        <w:rPr>
          <w:rFonts w:ascii="Times" w:hAnsi="Times" w:cs="Times"/>
        </w:rPr>
        <w:t>[81]</w:t>
      </w:r>
      <w:r w:rsidRPr="00BB67BD">
        <w:rPr>
          <w:rFonts w:ascii="Times" w:hAnsi="Times" w:cs="Times"/>
        </w:rPr>
        <w:tab/>
        <w:t xml:space="preserve">Saito, H., Deguchi, A., (2000) Leaching tests on different mortars using accelerated electrochemical method, </w:t>
      </w:r>
      <w:r w:rsidRPr="00BB67BD">
        <w:rPr>
          <w:rFonts w:ascii="Times" w:hAnsi="Times" w:cs="Times"/>
          <w:i/>
        </w:rPr>
        <w:t xml:space="preserve">Cement and </w:t>
      </w:r>
      <w:r w:rsidR="004E349F" w:rsidRPr="00BB67BD">
        <w:rPr>
          <w:rFonts w:ascii="Times" w:hAnsi="Times" w:cs="Times"/>
          <w:i/>
        </w:rPr>
        <w:t>concrete</w:t>
      </w:r>
      <w:r w:rsidRPr="00BB67BD">
        <w:rPr>
          <w:rFonts w:ascii="Times" w:hAnsi="Times" w:cs="Times"/>
          <w:i/>
        </w:rPr>
        <w:t xml:space="preserve"> research, </w:t>
      </w:r>
      <w:r w:rsidRPr="00BB67BD">
        <w:rPr>
          <w:rFonts w:ascii="Times" w:hAnsi="Times" w:cs="Times"/>
          <w:b/>
        </w:rPr>
        <w:t>30, 11</w:t>
      </w:r>
      <w:proofErr w:type="gramStart"/>
      <w:r w:rsidRPr="00BB67BD">
        <w:rPr>
          <w:rFonts w:ascii="Times" w:hAnsi="Times" w:cs="Times"/>
          <w:b/>
        </w:rPr>
        <w:t xml:space="preserve">, </w:t>
      </w:r>
      <w:r w:rsidRPr="00BB67BD">
        <w:rPr>
          <w:rFonts w:ascii="Times" w:hAnsi="Times" w:cs="Times"/>
        </w:rPr>
        <w:t xml:space="preserve"> 1815</w:t>
      </w:r>
      <w:proofErr w:type="gramEnd"/>
      <w:r w:rsidRPr="00BB67BD">
        <w:rPr>
          <w:rFonts w:ascii="Times" w:hAnsi="Times" w:cs="Times"/>
        </w:rPr>
        <w:t>-1825</w:t>
      </w:r>
    </w:p>
    <w:p w14:paraId="50BDE513" w14:textId="17F284D7" w:rsidR="004A0DA9" w:rsidRPr="00BB67BD" w:rsidRDefault="004A0DA9" w:rsidP="004A0DA9">
      <w:pPr>
        <w:spacing w:before="240" w:after="120"/>
        <w:ind w:left="720" w:hanging="720"/>
        <w:jc w:val="both"/>
        <w:rPr>
          <w:rFonts w:ascii="Times" w:hAnsi="Times" w:cs="Times"/>
        </w:rPr>
      </w:pPr>
      <w:r w:rsidRPr="00BB67BD">
        <w:rPr>
          <w:rFonts w:ascii="Times" w:hAnsi="Times" w:cs="Times"/>
        </w:rPr>
        <w:t>[82]  </w:t>
      </w:r>
      <w:r w:rsidRPr="00BB67BD">
        <w:rPr>
          <w:rFonts w:ascii="Times" w:hAnsi="Times" w:cs="Times"/>
        </w:rPr>
        <w:tab/>
      </w:r>
      <w:proofErr w:type="gramStart"/>
      <w:r w:rsidRPr="00BB67BD">
        <w:rPr>
          <w:rFonts w:ascii="Times" w:hAnsi="Times" w:cs="Times"/>
        </w:rPr>
        <w:t xml:space="preserve">Otsuki, N. et al. (2001) Fundamental Study on Prediction on </w:t>
      </w:r>
      <w:r w:rsidR="004E349F" w:rsidRPr="00BB67BD">
        <w:rPr>
          <w:rFonts w:ascii="Times" w:hAnsi="Times" w:cs="Times"/>
        </w:rPr>
        <w:t>Concrete</w:t>
      </w:r>
      <w:r w:rsidRPr="00BB67BD">
        <w:rPr>
          <w:rFonts w:ascii="Times" w:hAnsi="Times" w:cs="Times"/>
        </w:rPr>
        <w:t xml:space="preserve"> Deterioration Caused by Calcium Leaching Over 100 Years.</w:t>
      </w:r>
      <w:proofErr w:type="gramEnd"/>
      <w:r w:rsidRPr="00BB67BD">
        <w:rPr>
          <w:rFonts w:ascii="Times" w:hAnsi="Times" w:cs="Times"/>
        </w:rPr>
        <w:t xml:space="preserve"> </w:t>
      </w:r>
      <w:r w:rsidRPr="00BB67BD">
        <w:rPr>
          <w:rFonts w:ascii="Times" w:hAnsi="Times" w:cs="Times"/>
          <w:i/>
        </w:rPr>
        <w:t xml:space="preserve">JSCE. </w:t>
      </w:r>
      <w:r w:rsidRPr="00BB67BD">
        <w:rPr>
          <w:rFonts w:ascii="Times" w:hAnsi="Times" w:cs="Times"/>
          <w:b/>
        </w:rPr>
        <w:t>51</w:t>
      </w:r>
      <w:r w:rsidRPr="00BB67BD">
        <w:rPr>
          <w:rFonts w:ascii="Times" w:hAnsi="Times" w:cs="Times"/>
        </w:rPr>
        <w:t xml:space="preserve">. </w:t>
      </w:r>
    </w:p>
    <w:p w14:paraId="2009E431" w14:textId="4DDEE739" w:rsidR="004A0DA9" w:rsidRPr="00BB67BD" w:rsidRDefault="004A0DA9" w:rsidP="004A0DA9">
      <w:pPr>
        <w:spacing w:before="240" w:after="120"/>
        <w:ind w:left="720" w:hanging="720"/>
        <w:jc w:val="both"/>
        <w:rPr>
          <w:rFonts w:ascii="Times" w:hAnsi="Times" w:cs="Times"/>
        </w:rPr>
      </w:pPr>
      <w:r w:rsidRPr="00BB67BD">
        <w:rPr>
          <w:rFonts w:ascii="Times" w:hAnsi="Times" w:cs="Times"/>
        </w:rPr>
        <w:t>[83]  </w:t>
      </w:r>
      <w:r w:rsidRPr="00BB67BD">
        <w:rPr>
          <w:rFonts w:ascii="Times" w:hAnsi="Times" w:cs="Times"/>
        </w:rPr>
        <w:tab/>
        <w:t xml:space="preserve">Ryu, J. et al. Long-term forecast of Ca leaching from mortar and associated degeneration. </w:t>
      </w:r>
      <w:proofErr w:type="gramStart"/>
      <w:r w:rsidRPr="00BB67BD">
        <w:rPr>
          <w:rFonts w:ascii="Times" w:hAnsi="Times" w:cs="Times"/>
          <w:i/>
        </w:rPr>
        <w:t>Cement and Concrete Research</w:t>
      </w:r>
      <w:r w:rsidRPr="00BB67BD">
        <w:rPr>
          <w:rFonts w:ascii="Times" w:hAnsi="Times" w:cs="Times"/>
        </w:rPr>
        <w:t>.</w:t>
      </w:r>
      <w:proofErr w:type="gramEnd"/>
      <w:r w:rsidRPr="00BB67BD">
        <w:rPr>
          <w:rFonts w:ascii="Times" w:hAnsi="Times" w:cs="Times"/>
        </w:rPr>
        <w:t xml:space="preserve"> </w:t>
      </w:r>
      <w:r w:rsidRPr="00BB67BD">
        <w:rPr>
          <w:rFonts w:ascii="Times" w:hAnsi="Times" w:cs="Times"/>
          <w:b/>
        </w:rPr>
        <w:t xml:space="preserve">(32) 22, </w:t>
      </w:r>
      <w:r w:rsidRPr="00BB67BD">
        <w:rPr>
          <w:rFonts w:ascii="Times" w:hAnsi="Times" w:cs="Times"/>
        </w:rPr>
        <w:t>1539–1544.</w:t>
      </w:r>
    </w:p>
    <w:p w14:paraId="0EB8EB1F" w14:textId="77777777" w:rsidR="007218C6" w:rsidRPr="00BB67BD" w:rsidRDefault="007218C6" w:rsidP="003D5839">
      <w:pPr>
        <w:spacing w:before="240" w:after="120"/>
        <w:ind w:left="720" w:hanging="720"/>
        <w:jc w:val="both"/>
        <w:rPr>
          <w:rFonts w:ascii="Times" w:hAnsi="Times" w:cs="Times"/>
        </w:rPr>
      </w:pPr>
    </w:p>
    <w:p w14:paraId="7E465312" w14:textId="77777777" w:rsidR="0080359A" w:rsidRDefault="0080359A" w:rsidP="00D163D5">
      <w:pPr>
        <w:pBdr>
          <w:bottom w:val="single" w:sz="4" w:space="1" w:color="auto"/>
        </w:pBdr>
        <w:tabs>
          <w:tab w:val="left" w:pos="4102"/>
          <w:tab w:val="right" w:pos="9026"/>
        </w:tabs>
        <w:spacing w:line="360" w:lineRule="auto"/>
        <w:rPr>
          <w:rFonts w:ascii="Times" w:hAnsi="Times" w:cs="Times"/>
        </w:rPr>
      </w:pPr>
    </w:p>
    <w:p w14:paraId="3A35D5F4" w14:textId="77777777" w:rsidR="00BB67BD" w:rsidRDefault="00BB67BD" w:rsidP="00D163D5">
      <w:pPr>
        <w:pBdr>
          <w:bottom w:val="single" w:sz="4" w:space="1" w:color="auto"/>
        </w:pBdr>
        <w:tabs>
          <w:tab w:val="left" w:pos="4102"/>
          <w:tab w:val="right" w:pos="9026"/>
        </w:tabs>
        <w:spacing w:line="360" w:lineRule="auto"/>
        <w:rPr>
          <w:rFonts w:ascii="Times" w:hAnsi="Times" w:cs="Times"/>
        </w:rPr>
      </w:pPr>
    </w:p>
    <w:p w14:paraId="3E5DBCB8" w14:textId="77777777" w:rsidR="00BB67BD" w:rsidRDefault="00BB67BD" w:rsidP="00D163D5">
      <w:pPr>
        <w:pBdr>
          <w:bottom w:val="single" w:sz="4" w:space="1" w:color="auto"/>
        </w:pBdr>
        <w:tabs>
          <w:tab w:val="left" w:pos="4102"/>
          <w:tab w:val="right" w:pos="9026"/>
        </w:tabs>
        <w:spacing w:line="360" w:lineRule="auto"/>
        <w:rPr>
          <w:rFonts w:ascii="Times" w:hAnsi="Times" w:cs="Times"/>
        </w:rPr>
      </w:pPr>
    </w:p>
    <w:p w14:paraId="2D1DB8D6" w14:textId="77777777" w:rsidR="00BB67BD" w:rsidRDefault="00BB67BD" w:rsidP="00D163D5">
      <w:pPr>
        <w:pBdr>
          <w:bottom w:val="single" w:sz="4" w:space="1" w:color="auto"/>
        </w:pBdr>
        <w:tabs>
          <w:tab w:val="left" w:pos="4102"/>
          <w:tab w:val="right" w:pos="9026"/>
        </w:tabs>
        <w:spacing w:line="360" w:lineRule="auto"/>
        <w:rPr>
          <w:rFonts w:ascii="Times" w:hAnsi="Times" w:cs="Times"/>
        </w:rPr>
      </w:pPr>
    </w:p>
    <w:p w14:paraId="6848A2FC" w14:textId="77777777" w:rsidR="00BB67BD" w:rsidRDefault="00BB67BD" w:rsidP="00D163D5">
      <w:pPr>
        <w:pBdr>
          <w:bottom w:val="single" w:sz="4" w:space="1" w:color="auto"/>
        </w:pBdr>
        <w:tabs>
          <w:tab w:val="left" w:pos="4102"/>
          <w:tab w:val="right" w:pos="9026"/>
        </w:tabs>
        <w:spacing w:line="360" w:lineRule="auto"/>
        <w:rPr>
          <w:rFonts w:ascii="Times" w:hAnsi="Times" w:cs="Times"/>
        </w:rPr>
      </w:pPr>
    </w:p>
    <w:p w14:paraId="45A1950F" w14:textId="77777777" w:rsidR="00BB67BD" w:rsidRDefault="00BB67BD" w:rsidP="00D163D5">
      <w:pPr>
        <w:pBdr>
          <w:bottom w:val="single" w:sz="4" w:space="1" w:color="auto"/>
        </w:pBdr>
        <w:tabs>
          <w:tab w:val="left" w:pos="4102"/>
          <w:tab w:val="right" w:pos="9026"/>
        </w:tabs>
        <w:spacing w:line="360" w:lineRule="auto"/>
        <w:rPr>
          <w:rFonts w:ascii="Times" w:hAnsi="Times" w:cs="Times"/>
        </w:rPr>
      </w:pPr>
    </w:p>
    <w:p w14:paraId="510BA315" w14:textId="77777777" w:rsidR="0096266E" w:rsidRDefault="0096266E" w:rsidP="00D163D5">
      <w:pPr>
        <w:pBdr>
          <w:bottom w:val="single" w:sz="4" w:space="1" w:color="auto"/>
        </w:pBdr>
        <w:tabs>
          <w:tab w:val="left" w:pos="4102"/>
          <w:tab w:val="right" w:pos="9026"/>
        </w:tabs>
        <w:spacing w:line="360" w:lineRule="auto"/>
        <w:rPr>
          <w:rFonts w:ascii="Times" w:hAnsi="Times" w:cs="Times"/>
        </w:rPr>
      </w:pPr>
    </w:p>
    <w:p w14:paraId="62E02F6C" w14:textId="77777777" w:rsidR="00BB67BD" w:rsidRDefault="00BB67BD" w:rsidP="00D163D5">
      <w:pPr>
        <w:pBdr>
          <w:bottom w:val="single" w:sz="4" w:space="1" w:color="auto"/>
        </w:pBdr>
        <w:tabs>
          <w:tab w:val="left" w:pos="4102"/>
          <w:tab w:val="right" w:pos="9026"/>
        </w:tabs>
        <w:spacing w:line="360" w:lineRule="auto"/>
        <w:rPr>
          <w:rFonts w:ascii="Times" w:hAnsi="Times" w:cs="Times"/>
        </w:rPr>
      </w:pPr>
    </w:p>
    <w:p w14:paraId="5202CBD2" w14:textId="77777777" w:rsidR="00BB67BD" w:rsidRDefault="00BB67BD" w:rsidP="00D163D5">
      <w:pPr>
        <w:pBdr>
          <w:bottom w:val="single" w:sz="4" w:space="1" w:color="auto"/>
        </w:pBdr>
        <w:tabs>
          <w:tab w:val="left" w:pos="4102"/>
          <w:tab w:val="right" w:pos="9026"/>
        </w:tabs>
        <w:spacing w:line="360" w:lineRule="auto"/>
        <w:rPr>
          <w:rFonts w:ascii="Times" w:hAnsi="Times" w:cs="Times"/>
        </w:rPr>
      </w:pPr>
    </w:p>
    <w:p w14:paraId="0A5D0177" w14:textId="7B595B9B" w:rsidR="00846079" w:rsidRDefault="00846079" w:rsidP="00D163D5">
      <w:pPr>
        <w:pBdr>
          <w:bottom w:val="single" w:sz="4" w:space="1" w:color="auto"/>
        </w:pBdr>
        <w:tabs>
          <w:tab w:val="left" w:pos="4102"/>
          <w:tab w:val="right" w:pos="9026"/>
        </w:tabs>
        <w:spacing w:line="360" w:lineRule="auto"/>
        <w:rPr>
          <w:rFonts w:ascii="Times New Roman" w:hAnsi="Times New Roman" w:cs="Times New Roman"/>
          <w:sz w:val="36"/>
          <w:szCs w:val="36"/>
        </w:rPr>
      </w:pPr>
    </w:p>
    <w:p w14:paraId="0AE9EEA4" w14:textId="77777777" w:rsidR="00846079" w:rsidRDefault="00846079" w:rsidP="00D163D5">
      <w:pPr>
        <w:pBdr>
          <w:bottom w:val="single" w:sz="4" w:space="1" w:color="auto"/>
        </w:pBdr>
        <w:tabs>
          <w:tab w:val="left" w:pos="4102"/>
          <w:tab w:val="right" w:pos="9026"/>
        </w:tabs>
        <w:spacing w:line="360" w:lineRule="auto"/>
        <w:rPr>
          <w:rFonts w:ascii="Times New Roman" w:hAnsi="Times New Roman" w:cs="Times New Roman"/>
          <w:sz w:val="36"/>
          <w:szCs w:val="36"/>
        </w:rPr>
      </w:pPr>
    </w:p>
    <w:p w14:paraId="4B74D242" w14:textId="77777777" w:rsidR="00846079" w:rsidRDefault="00846079" w:rsidP="00D163D5">
      <w:pPr>
        <w:pBdr>
          <w:bottom w:val="single" w:sz="4" w:space="1" w:color="auto"/>
        </w:pBdr>
        <w:tabs>
          <w:tab w:val="left" w:pos="4102"/>
          <w:tab w:val="right" w:pos="9026"/>
        </w:tabs>
        <w:spacing w:line="360" w:lineRule="auto"/>
        <w:rPr>
          <w:rFonts w:ascii="Times New Roman" w:hAnsi="Times New Roman" w:cs="Times New Roman"/>
          <w:sz w:val="36"/>
          <w:szCs w:val="36"/>
        </w:rPr>
      </w:pPr>
    </w:p>
    <w:p w14:paraId="5BB30F28" w14:textId="77777777" w:rsidR="00846079" w:rsidRDefault="00846079" w:rsidP="00D163D5">
      <w:pPr>
        <w:pBdr>
          <w:bottom w:val="single" w:sz="4" w:space="1" w:color="auto"/>
        </w:pBdr>
        <w:tabs>
          <w:tab w:val="left" w:pos="4102"/>
          <w:tab w:val="right" w:pos="9026"/>
        </w:tabs>
        <w:spacing w:line="360" w:lineRule="auto"/>
        <w:rPr>
          <w:rFonts w:ascii="Times New Roman" w:hAnsi="Times New Roman" w:cs="Times New Roman"/>
          <w:sz w:val="36"/>
          <w:szCs w:val="36"/>
        </w:rPr>
      </w:pPr>
    </w:p>
    <w:p w14:paraId="7F5961EC" w14:textId="77777777" w:rsidR="00846079" w:rsidRDefault="00846079" w:rsidP="00D163D5">
      <w:pPr>
        <w:pBdr>
          <w:bottom w:val="single" w:sz="4" w:space="1" w:color="auto"/>
        </w:pBdr>
        <w:tabs>
          <w:tab w:val="left" w:pos="4102"/>
          <w:tab w:val="right" w:pos="9026"/>
        </w:tabs>
        <w:spacing w:line="360" w:lineRule="auto"/>
        <w:rPr>
          <w:rFonts w:ascii="Times New Roman" w:hAnsi="Times New Roman" w:cs="Times New Roman"/>
          <w:sz w:val="36"/>
          <w:szCs w:val="36"/>
        </w:rPr>
      </w:pPr>
    </w:p>
    <w:p w14:paraId="7470268F" w14:textId="058EFB13" w:rsidR="007218C6" w:rsidRPr="00A26A92" w:rsidRDefault="00922A40" w:rsidP="00D163D5">
      <w:pPr>
        <w:pBdr>
          <w:bottom w:val="single" w:sz="4" w:space="1" w:color="auto"/>
        </w:pBdr>
        <w:tabs>
          <w:tab w:val="left" w:pos="4102"/>
          <w:tab w:val="right" w:pos="9026"/>
        </w:tabs>
        <w:spacing w:line="360" w:lineRule="auto"/>
        <w:rPr>
          <w:rFonts w:ascii="Times New Roman" w:hAnsi="Times New Roman" w:cs="Times New Roman"/>
          <w:b/>
          <w:smallCaps/>
          <w:sz w:val="56"/>
          <w:szCs w:val="56"/>
        </w:rPr>
      </w:pPr>
      <w:r>
        <w:rPr>
          <w:rFonts w:ascii="Times New Roman" w:hAnsi="Times New Roman" w:cs="Times New Roman"/>
          <w:sz w:val="36"/>
          <w:szCs w:val="36"/>
        </w:rPr>
        <w:lastRenderedPageBreak/>
        <w:t>Chapter 3</w:t>
      </w:r>
      <w:r w:rsidR="007218C6" w:rsidRPr="00A26A92">
        <w:rPr>
          <w:rFonts w:ascii="Times New Roman" w:hAnsi="Times New Roman" w:cs="Times New Roman"/>
          <w:sz w:val="36"/>
          <w:szCs w:val="36"/>
        </w:rPr>
        <w:t>:</w:t>
      </w:r>
      <w:r w:rsidR="007218C6" w:rsidRPr="00A26A92">
        <w:rPr>
          <w:rFonts w:ascii="Times New Roman" w:hAnsi="Times New Roman" w:cs="Times New Roman"/>
          <w:smallCaps/>
          <w:sz w:val="32"/>
          <w:szCs w:val="56"/>
        </w:rPr>
        <w:t xml:space="preserve">  </w:t>
      </w:r>
      <w:r w:rsidR="007218C6" w:rsidRPr="00A26A92">
        <w:rPr>
          <w:rFonts w:ascii="Times New Roman" w:hAnsi="Times New Roman" w:cs="Times New Roman"/>
          <w:smallCaps/>
          <w:spacing w:val="-20"/>
          <w:sz w:val="48"/>
          <w:szCs w:val="48"/>
        </w:rPr>
        <w:t>Experimental Methods &amp; Materials</w:t>
      </w:r>
    </w:p>
    <w:p w14:paraId="0D8428D3" w14:textId="77777777" w:rsidR="007218C6" w:rsidRDefault="007218C6" w:rsidP="007218C6">
      <w:pPr>
        <w:spacing w:after="120" w:line="360" w:lineRule="auto"/>
        <w:jc w:val="both"/>
        <w:rPr>
          <w:rFonts w:ascii="Times New Roman" w:hAnsi="Times New Roman"/>
          <w:b/>
          <w:sz w:val="20"/>
          <w:szCs w:val="20"/>
        </w:rPr>
      </w:pPr>
    </w:p>
    <w:p w14:paraId="221ED748" w14:textId="77777777" w:rsidR="007218C6" w:rsidRDefault="007218C6" w:rsidP="007218C6">
      <w:pPr>
        <w:spacing w:after="120" w:line="360" w:lineRule="auto"/>
        <w:jc w:val="both"/>
        <w:rPr>
          <w:rFonts w:ascii="Times New Roman" w:hAnsi="Times New Roman"/>
          <w:b/>
          <w:sz w:val="20"/>
          <w:szCs w:val="20"/>
        </w:rPr>
      </w:pPr>
    </w:p>
    <w:p w14:paraId="1435BA94" w14:textId="77777777" w:rsidR="007218C6" w:rsidRDefault="007218C6" w:rsidP="007218C6">
      <w:pPr>
        <w:spacing w:after="120" w:line="360" w:lineRule="auto"/>
        <w:jc w:val="both"/>
        <w:rPr>
          <w:rFonts w:ascii="Times New Roman" w:hAnsi="Times New Roman"/>
          <w:b/>
          <w:sz w:val="20"/>
          <w:szCs w:val="20"/>
        </w:rPr>
      </w:pPr>
    </w:p>
    <w:p w14:paraId="6C4375F0" w14:textId="77777777" w:rsidR="007218C6" w:rsidRDefault="007218C6" w:rsidP="007218C6">
      <w:pPr>
        <w:spacing w:after="120" w:line="360" w:lineRule="auto"/>
        <w:jc w:val="both"/>
        <w:rPr>
          <w:rFonts w:ascii="Times New Roman" w:hAnsi="Times New Roman"/>
          <w:b/>
          <w:sz w:val="20"/>
          <w:szCs w:val="20"/>
        </w:rPr>
      </w:pPr>
    </w:p>
    <w:p w14:paraId="00A105B8" w14:textId="77777777" w:rsidR="007218C6" w:rsidRDefault="007218C6" w:rsidP="007218C6">
      <w:pPr>
        <w:spacing w:after="120" w:line="360" w:lineRule="auto"/>
        <w:jc w:val="both"/>
        <w:rPr>
          <w:rFonts w:ascii="Times New Roman" w:hAnsi="Times New Roman"/>
          <w:b/>
          <w:sz w:val="20"/>
          <w:szCs w:val="20"/>
        </w:rPr>
      </w:pPr>
    </w:p>
    <w:p w14:paraId="33C1614D" w14:textId="77777777" w:rsidR="00D163D5" w:rsidRDefault="00D163D5" w:rsidP="007218C6">
      <w:pPr>
        <w:spacing w:after="120" w:line="360" w:lineRule="auto"/>
        <w:jc w:val="both"/>
        <w:rPr>
          <w:rFonts w:ascii="Times New Roman" w:hAnsi="Times New Roman"/>
          <w:b/>
          <w:sz w:val="20"/>
          <w:szCs w:val="20"/>
        </w:rPr>
      </w:pPr>
    </w:p>
    <w:p w14:paraId="1CBEA409" w14:textId="77777777" w:rsidR="00D163D5" w:rsidRDefault="00D163D5" w:rsidP="007218C6">
      <w:pPr>
        <w:spacing w:after="120" w:line="360" w:lineRule="auto"/>
        <w:jc w:val="both"/>
        <w:rPr>
          <w:rFonts w:ascii="Times New Roman" w:hAnsi="Times New Roman"/>
          <w:b/>
          <w:sz w:val="20"/>
          <w:szCs w:val="20"/>
        </w:rPr>
      </w:pPr>
    </w:p>
    <w:p w14:paraId="58A7B7AC" w14:textId="77777777" w:rsidR="00D163D5" w:rsidRDefault="00D163D5" w:rsidP="007218C6">
      <w:pPr>
        <w:spacing w:after="120" w:line="360" w:lineRule="auto"/>
        <w:jc w:val="both"/>
        <w:rPr>
          <w:rFonts w:ascii="Times New Roman" w:hAnsi="Times New Roman"/>
          <w:b/>
          <w:sz w:val="20"/>
          <w:szCs w:val="20"/>
        </w:rPr>
      </w:pPr>
    </w:p>
    <w:p w14:paraId="353E297C" w14:textId="77777777" w:rsidR="00D163D5" w:rsidRDefault="00D163D5" w:rsidP="007218C6">
      <w:pPr>
        <w:spacing w:after="120" w:line="360" w:lineRule="auto"/>
        <w:jc w:val="both"/>
        <w:rPr>
          <w:rFonts w:ascii="Times New Roman" w:hAnsi="Times New Roman"/>
          <w:b/>
          <w:sz w:val="20"/>
          <w:szCs w:val="20"/>
        </w:rPr>
      </w:pPr>
    </w:p>
    <w:p w14:paraId="2CCA5862" w14:textId="77777777" w:rsidR="00D163D5" w:rsidRDefault="00D163D5" w:rsidP="007218C6">
      <w:pPr>
        <w:spacing w:after="120" w:line="360" w:lineRule="auto"/>
        <w:jc w:val="both"/>
        <w:rPr>
          <w:rFonts w:ascii="Times New Roman" w:hAnsi="Times New Roman"/>
          <w:b/>
          <w:sz w:val="20"/>
          <w:szCs w:val="20"/>
        </w:rPr>
      </w:pPr>
    </w:p>
    <w:p w14:paraId="69AD7560" w14:textId="77777777" w:rsidR="00D163D5" w:rsidRDefault="00D163D5" w:rsidP="007218C6">
      <w:pPr>
        <w:spacing w:after="120" w:line="360" w:lineRule="auto"/>
        <w:jc w:val="both"/>
        <w:rPr>
          <w:rFonts w:ascii="Times New Roman" w:hAnsi="Times New Roman"/>
          <w:b/>
          <w:sz w:val="20"/>
          <w:szCs w:val="20"/>
        </w:rPr>
      </w:pPr>
    </w:p>
    <w:p w14:paraId="3E7CD28B" w14:textId="77777777" w:rsidR="00D163D5" w:rsidRDefault="00D163D5" w:rsidP="007218C6">
      <w:pPr>
        <w:spacing w:after="120" w:line="360" w:lineRule="auto"/>
        <w:jc w:val="both"/>
        <w:rPr>
          <w:rFonts w:ascii="Times New Roman" w:hAnsi="Times New Roman"/>
          <w:b/>
          <w:sz w:val="20"/>
          <w:szCs w:val="20"/>
        </w:rPr>
      </w:pPr>
    </w:p>
    <w:p w14:paraId="55A60333" w14:textId="77777777" w:rsidR="00D163D5" w:rsidRDefault="00D163D5" w:rsidP="007218C6">
      <w:pPr>
        <w:spacing w:after="120" w:line="360" w:lineRule="auto"/>
        <w:jc w:val="both"/>
        <w:rPr>
          <w:rFonts w:ascii="Times New Roman" w:hAnsi="Times New Roman"/>
          <w:b/>
          <w:sz w:val="20"/>
          <w:szCs w:val="20"/>
        </w:rPr>
      </w:pPr>
    </w:p>
    <w:p w14:paraId="5CD59A29" w14:textId="77777777" w:rsidR="00D163D5" w:rsidRDefault="00D163D5" w:rsidP="007218C6">
      <w:pPr>
        <w:spacing w:after="120" w:line="360" w:lineRule="auto"/>
        <w:jc w:val="both"/>
        <w:rPr>
          <w:rFonts w:ascii="Times New Roman" w:hAnsi="Times New Roman"/>
          <w:b/>
          <w:sz w:val="20"/>
          <w:szCs w:val="20"/>
        </w:rPr>
      </w:pPr>
    </w:p>
    <w:p w14:paraId="0988008C" w14:textId="77777777" w:rsidR="00D163D5" w:rsidRDefault="00D163D5" w:rsidP="007218C6">
      <w:pPr>
        <w:spacing w:after="120" w:line="360" w:lineRule="auto"/>
        <w:jc w:val="both"/>
        <w:rPr>
          <w:rFonts w:ascii="Times New Roman" w:hAnsi="Times New Roman"/>
          <w:b/>
          <w:sz w:val="20"/>
          <w:szCs w:val="20"/>
        </w:rPr>
      </w:pPr>
    </w:p>
    <w:p w14:paraId="4189B2AE" w14:textId="77777777" w:rsidR="00D163D5" w:rsidRDefault="00D163D5" w:rsidP="007218C6">
      <w:pPr>
        <w:spacing w:after="120" w:line="360" w:lineRule="auto"/>
        <w:jc w:val="both"/>
        <w:rPr>
          <w:rFonts w:ascii="Times New Roman" w:hAnsi="Times New Roman"/>
          <w:b/>
          <w:sz w:val="20"/>
          <w:szCs w:val="20"/>
        </w:rPr>
      </w:pPr>
    </w:p>
    <w:p w14:paraId="5A98A369" w14:textId="77777777" w:rsidR="00D163D5" w:rsidRDefault="00D163D5" w:rsidP="007218C6">
      <w:pPr>
        <w:spacing w:after="120" w:line="360" w:lineRule="auto"/>
        <w:jc w:val="both"/>
        <w:rPr>
          <w:rFonts w:ascii="Times New Roman" w:hAnsi="Times New Roman"/>
          <w:b/>
          <w:sz w:val="20"/>
          <w:szCs w:val="20"/>
        </w:rPr>
      </w:pPr>
    </w:p>
    <w:p w14:paraId="2CC1EA0F" w14:textId="77777777" w:rsidR="00D163D5" w:rsidRDefault="00D163D5" w:rsidP="007218C6">
      <w:pPr>
        <w:spacing w:after="120" w:line="360" w:lineRule="auto"/>
        <w:jc w:val="both"/>
        <w:rPr>
          <w:rFonts w:ascii="Times New Roman" w:hAnsi="Times New Roman"/>
          <w:b/>
          <w:sz w:val="20"/>
          <w:szCs w:val="20"/>
        </w:rPr>
      </w:pPr>
    </w:p>
    <w:p w14:paraId="263CFF0B" w14:textId="77777777" w:rsidR="00D163D5" w:rsidRDefault="00D163D5" w:rsidP="007218C6">
      <w:pPr>
        <w:spacing w:after="120" w:line="360" w:lineRule="auto"/>
        <w:jc w:val="both"/>
        <w:rPr>
          <w:rFonts w:ascii="Times New Roman" w:hAnsi="Times New Roman"/>
          <w:b/>
          <w:sz w:val="20"/>
          <w:szCs w:val="20"/>
        </w:rPr>
      </w:pPr>
    </w:p>
    <w:p w14:paraId="0D110850" w14:textId="77777777" w:rsidR="00D163D5" w:rsidRDefault="00D163D5" w:rsidP="007218C6">
      <w:pPr>
        <w:spacing w:after="120" w:line="360" w:lineRule="auto"/>
        <w:jc w:val="both"/>
        <w:rPr>
          <w:rFonts w:ascii="Times New Roman" w:hAnsi="Times New Roman"/>
          <w:b/>
          <w:sz w:val="20"/>
          <w:szCs w:val="20"/>
        </w:rPr>
      </w:pPr>
    </w:p>
    <w:p w14:paraId="6178AB32" w14:textId="77777777" w:rsidR="00D163D5" w:rsidRDefault="00D163D5" w:rsidP="007218C6">
      <w:pPr>
        <w:spacing w:after="120" w:line="360" w:lineRule="auto"/>
        <w:jc w:val="both"/>
        <w:rPr>
          <w:rFonts w:ascii="Times New Roman" w:hAnsi="Times New Roman"/>
          <w:b/>
          <w:sz w:val="20"/>
          <w:szCs w:val="20"/>
        </w:rPr>
      </w:pPr>
    </w:p>
    <w:p w14:paraId="6D4C779A" w14:textId="77777777" w:rsidR="00D163D5" w:rsidRDefault="00D163D5" w:rsidP="007218C6">
      <w:pPr>
        <w:spacing w:after="120" w:line="360" w:lineRule="auto"/>
        <w:jc w:val="both"/>
        <w:rPr>
          <w:rFonts w:ascii="Times New Roman" w:hAnsi="Times New Roman"/>
          <w:b/>
          <w:sz w:val="20"/>
          <w:szCs w:val="20"/>
        </w:rPr>
      </w:pPr>
    </w:p>
    <w:p w14:paraId="29953201" w14:textId="77777777" w:rsidR="00D163D5" w:rsidRDefault="00D163D5" w:rsidP="007218C6">
      <w:pPr>
        <w:spacing w:after="120" w:line="360" w:lineRule="auto"/>
        <w:jc w:val="both"/>
        <w:rPr>
          <w:rFonts w:ascii="Times New Roman" w:hAnsi="Times New Roman"/>
          <w:b/>
          <w:sz w:val="20"/>
          <w:szCs w:val="20"/>
        </w:rPr>
      </w:pPr>
    </w:p>
    <w:p w14:paraId="5BAC08EF" w14:textId="77777777" w:rsidR="00D163D5" w:rsidRDefault="00D163D5" w:rsidP="007218C6">
      <w:pPr>
        <w:spacing w:after="120" w:line="360" w:lineRule="auto"/>
        <w:jc w:val="both"/>
        <w:rPr>
          <w:rFonts w:ascii="Times New Roman" w:hAnsi="Times New Roman"/>
          <w:b/>
          <w:sz w:val="20"/>
          <w:szCs w:val="20"/>
        </w:rPr>
      </w:pPr>
    </w:p>
    <w:p w14:paraId="71DF97FB" w14:textId="77777777" w:rsidR="00D163D5" w:rsidRDefault="00D163D5" w:rsidP="007218C6">
      <w:pPr>
        <w:spacing w:after="120" w:line="360" w:lineRule="auto"/>
        <w:jc w:val="both"/>
        <w:rPr>
          <w:rFonts w:ascii="Times New Roman" w:hAnsi="Times New Roman"/>
          <w:b/>
          <w:sz w:val="20"/>
          <w:szCs w:val="20"/>
        </w:rPr>
      </w:pPr>
    </w:p>
    <w:p w14:paraId="29D66C40" w14:textId="77777777" w:rsidR="00D163D5" w:rsidRDefault="00D163D5" w:rsidP="007218C6">
      <w:pPr>
        <w:spacing w:after="120" w:line="360" w:lineRule="auto"/>
        <w:jc w:val="both"/>
        <w:rPr>
          <w:rFonts w:ascii="Times New Roman" w:hAnsi="Times New Roman"/>
          <w:b/>
          <w:sz w:val="20"/>
          <w:szCs w:val="20"/>
        </w:rPr>
      </w:pPr>
    </w:p>
    <w:p w14:paraId="632387F1" w14:textId="77777777" w:rsidR="0018608F" w:rsidRDefault="0018608F" w:rsidP="007218C6">
      <w:pPr>
        <w:spacing w:after="120" w:line="360" w:lineRule="auto"/>
        <w:jc w:val="both"/>
        <w:rPr>
          <w:rFonts w:ascii="Times New Roman" w:hAnsi="Times New Roman"/>
          <w:b/>
          <w:sz w:val="20"/>
          <w:szCs w:val="20"/>
        </w:rPr>
      </w:pPr>
    </w:p>
    <w:p w14:paraId="220394AA" w14:textId="77777777" w:rsidR="00D163D5" w:rsidRDefault="00D163D5" w:rsidP="007218C6">
      <w:pPr>
        <w:spacing w:after="120" w:line="360" w:lineRule="auto"/>
        <w:jc w:val="both"/>
        <w:rPr>
          <w:rFonts w:ascii="Times New Roman" w:hAnsi="Times New Roman"/>
          <w:b/>
          <w:sz w:val="20"/>
          <w:szCs w:val="20"/>
        </w:rPr>
      </w:pPr>
    </w:p>
    <w:p w14:paraId="7E6B072F" w14:textId="77777777" w:rsidR="00D163D5" w:rsidRDefault="00D163D5" w:rsidP="007218C6">
      <w:pPr>
        <w:spacing w:after="120" w:line="360" w:lineRule="auto"/>
        <w:jc w:val="both"/>
        <w:rPr>
          <w:rFonts w:ascii="Times New Roman" w:hAnsi="Times New Roman"/>
          <w:b/>
          <w:sz w:val="20"/>
          <w:szCs w:val="20"/>
        </w:rPr>
      </w:pPr>
    </w:p>
    <w:p w14:paraId="3C65015E" w14:textId="77777777" w:rsidR="007218C6" w:rsidRPr="00391594" w:rsidRDefault="007218C6" w:rsidP="007218C6">
      <w:pPr>
        <w:spacing w:after="120" w:line="360" w:lineRule="auto"/>
        <w:jc w:val="both"/>
        <w:rPr>
          <w:rFonts w:ascii="Times New Roman" w:hAnsi="Times New Roman" w:cs="Times New Roman"/>
          <w:b/>
          <w:sz w:val="32"/>
        </w:rPr>
      </w:pPr>
      <w:r w:rsidRPr="00391594">
        <w:rPr>
          <w:rFonts w:ascii="Times New Roman" w:hAnsi="Times New Roman" w:cs="Times New Roman"/>
          <w:b/>
          <w:sz w:val="32"/>
        </w:rPr>
        <w:t>3.1</w:t>
      </w:r>
      <w:r w:rsidRPr="00391594">
        <w:rPr>
          <w:rFonts w:ascii="Times New Roman" w:hAnsi="Times New Roman" w:cs="Times New Roman"/>
          <w:b/>
          <w:sz w:val="32"/>
        </w:rPr>
        <w:tab/>
      </w:r>
      <w:r w:rsidRPr="00391594">
        <w:rPr>
          <w:rFonts w:ascii="Times New Roman" w:hAnsi="Times New Roman" w:cs="Times New Roman"/>
          <w:b/>
          <w:bCs/>
          <w:smallCaps/>
          <w:sz w:val="36"/>
          <w:szCs w:val="28"/>
        </w:rPr>
        <w:t>Introduction</w:t>
      </w:r>
    </w:p>
    <w:p w14:paraId="09F23C5C" w14:textId="4E39CDC1" w:rsidR="007218C6" w:rsidRDefault="007218C6" w:rsidP="007218C6">
      <w:pPr>
        <w:spacing w:after="240" w:line="360" w:lineRule="auto"/>
        <w:jc w:val="both"/>
        <w:rPr>
          <w:rFonts w:ascii="Times New Roman" w:hAnsi="Times New Roman" w:cs="Times New Roman"/>
        </w:rPr>
      </w:pPr>
      <w:r>
        <w:rPr>
          <w:rFonts w:ascii="Times New Roman" w:hAnsi="Times New Roman" w:cs="Times New Roman"/>
        </w:rPr>
        <w:t>The project investigates the leaching behaviour of a 9:1 BFS</w:t>
      </w:r>
      <w:proofErr w:type="gramStart"/>
      <w:r>
        <w:rPr>
          <w:rFonts w:ascii="Times New Roman" w:hAnsi="Times New Roman" w:cs="Times New Roman"/>
        </w:rPr>
        <w:t>:</w:t>
      </w:r>
      <w:r w:rsidR="00E85025">
        <w:rPr>
          <w:rFonts w:ascii="Times New Roman" w:hAnsi="Times New Roman" w:cs="Times New Roman"/>
        </w:rPr>
        <w:t>PC</w:t>
      </w:r>
      <w:proofErr w:type="gramEnd"/>
      <w:r>
        <w:rPr>
          <w:rFonts w:ascii="Times New Roman" w:hAnsi="Times New Roman" w:cs="Times New Roman"/>
        </w:rPr>
        <w:t xml:space="preserve"> (CEM</w:t>
      </w:r>
      <w:r w:rsidR="00B9522B">
        <w:rPr>
          <w:rFonts w:ascii="Times New Roman" w:hAnsi="Times New Roman" w:cs="Times New Roman"/>
        </w:rPr>
        <w:t>I</w:t>
      </w:r>
      <w:r>
        <w:rPr>
          <w:rFonts w:ascii="Times New Roman" w:hAnsi="Times New Roman" w:cs="Times New Roman"/>
        </w:rPr>
        <w:t xml:space="preserve">) cement matrix using different leaching procedures. This cement formulation was mixed with caesium and strontium nitrate and the leaching behaviour of the </w:t>
      </w:r>
      <w:r w:rsidR="007E34BB">
        <w:rPr>
          <w:rFonts w:ascii="Times New Roman" w:hAnsi="Times New Roman" w:cs="Times New Roman"/>
        </w:rPr>
        <w:t>Cs, Sr and several of the cement ions</w:t>
      </w:r>
      <w:r>
        <w:rPr>
          <w:rFonts w:ascii="Times New Roman" w:hAnsi="Times New Roman" w:cs="Times New Roman"/>
        </w:rPr>
        <w:t xml:space="preserve"> </w:t>
      </w:r>
      <w:r w:rsidR="004E349F">
        <w:rPr>
          <w:rFonts w:ascii="Times New Roman" w:hAnsi="Times New Roman" w:cs="Times New Roman"/>
        </w:rPr>
        <w:t>were</w:t>
      </w:r>
      <w:r>
        <w:rPr>
          <w:rFonts w:ascii="Times New Roman" w:hAnsi="Times New Roman" w:cs="Times New Roman"/>
        </w:rPr>
        <w:t xml:space="preserve"> investigated. </w:t>
      </w:r>
      <w:r w:rsidR="004E349F">
        <w:rPr>
          <w:rFonts w:ascii="Times New Roman" w:hAnsi="Times New Roman" w:cs="Times New Roman"/>
        </w:rPr>
        <w:t xml:space="preserve">In the second section of the project the cement formulation was mixed with cerium nitrate and ADVA cast superplasticser in order to monitor the impact of this additive on the leaching behaviour of Ce alongside some of the cements component ions.  </w:t>
      </w:r>
    </w:p>
    <w:p w14:paraId="2D023FC2" w14:textId="6BF11D93" w:rsidR="007218C6" w:rsidRDefault="00974497" w:rsidP="007218C6">
      <w:pPr>
        <w:spacing w:line="360" w:lineRule="auto"/>
        <w:jc w:val="both"/>
        <w:rPr>
          <w:rFonts w:ascii="Times New Roman" w:hAnsi="Times New Roman"/>
        </w:rPr>
      </w:pPr>
      <w:r>
        <w:rPr>
          <w:rFonts w:ascii="Times New Roman" w:hAnsi="Times New Roman"/>
        </w:rPr>
        <w:t>In this chapter, t</w:t>
      </w:r>
      <w:r w:rsidR="007218C6">
        <w:rPr>
          <w:rFonts w:ascii="Times New Roman" w:hAnsi="Times New Roman"/>
        </w:rPr>
        <w:t>he raw materials used in this project are listed, preparation of tested samples and testing methods described, and an overview of all the analysis techniques used is given. The following analysis techniques were used:</w:t>
      </w:r>
    </w:p>
    <w:p w14:paraId="4A54C101" w14:textId="77777777" w:rsidR="007218C6" w:rsidRDefault="007218C6" w:rsidP="007218C6">
      <w:pPr>
        <w:spacing w:line="360" w:lineRule="auto"/>
        <w:jc w:val="both"/>
        <w:rPr>
          <w:rFonts w:ascii="Times New Roman" w:hAnsi="Times New Roman"/>
          <w:i/>
        </w:rPr>
      </w:pPr>
    </w:p>
    <w:p w14:paraId="307D20CD" w14:textId="77777777" w:rsidR="007218C6" w:rsidRDefault="007218C6" w:rsidP="007218C6">
      <w:pPr>
        <w:spacing w:line="360" w:lineRule="auto"/>
        <w:jc w:val="both"/>
        <w:rPr>
          <w:rFonts w:ascii="Times New Roman" w:hAnsi="Times New Roman"/>
          <w:i/>
        </w:rPr>
      </w:pPr>
      <w:r>
        <w:rPr>
          <w:rFonts w:ascii="Times New Roman" w:hAnsi="Times New Roman"/>
          <w:i/>
        </w:rPr>
        <w:t>Solid analysis:</w:t>
      </w:r>
    </w:p>
    <w:p w14:paraId="4B601F5B" w14:textId="77777777" w:rsidR="007218C6" w:rsidRDefault="007218C6" w:rsidP="007218C6">
      <w:pPr>
        <w:pStyle w:val="ListParagraph"/>
        <w:numPr>
          <w:ilvl w:val="0"/>
          <w:numId w:val="14"/>
        </w:numPr>
        <w:spacing w:after="0" w:line="360" w:lineRule="auto"/>
        <w:ind w:left="1843"/>
        <w:jc w:val="both"/>
        <w:rPr>
          <w:rFonts w:ascii="Times New Roman" w:hAnsi="Times New Roman"/>
          <w:b/>
          <w:sz w:val="24"/>
          <w:szCs w:val="24"/>
        </w:rPr>
      </w:pPr>
      <w:r>
        <w:rPr>
          <w:rFonts w:ascii="Times New Roman" w:hAnsi="Times New Roman"/>
          <w:sz w:val="24"/>
          <w:szCs w:val="24"/>
        </w:rPr>
        <w:t>X-ray diffraction (XRD)</w:t>
      </w:r>
    </w:p>
    <w:p w14:paraId="419FB974" w14:textId="77777777" w:rsidR="007218C6" w:rsidRDefault="007218C6" w:rsidP="007218C6">
      <w:pPr>
        <w:pStyle w:val="ListParagraph"/>
        <w:numPr>
          <w:ilvl w:val="0"/>
          <w:numId w:val="14"/>
        </w:numPr>
        <w:spacing w:after="0" w:line="360" w:lineRule="auto"/>
        <w:ind w:left="1843"/>
        <w:jc w:val="both"/>
        <w:rPr>
          <w:rFonts w:ascii="Times New Roman" w:hAnsi="Times New Roman"/>
          <w:b/>
          <w:sz w:val="24"/>
          <w:szCs w:val="24"/>
        </w:rPr>
      </w:pPr>
      <w:r>
        <w:rPr>
          <w:rFonts w:ascii="Times New Roman" w:hAnsi="Times New Roman"/>
          <w:sz w:val="24"/>
          <w:szCs w:val="24"/>
        </w:rPr>
        <w:t>Scanning electron microscopy (SEM)</w:t>
      </w:r>
    </w:p>
    <w:p w14:paraId="279A775A" w14:textId="77777777" w:rsidR="007218C6" w:rsidRDefault="007218C6" w:rsidP="007218C6">
      <w:pPr>
        <w:pStyle w:val="ListParagraph"/>
        <w:numPr>
          <w:ilvl w:val="0"/>
          <w:numId w:val="14"/>
        </w:numPr>
        <w:spacing w:after="0" w:line="360" w:lineRule="auto"/>
        <w:ind w:left="1843"/>
        <w:jc w:val="both"/>
        <w:rPr>
          <w:rFonts w:ascii="Times New Roman" w:hAnsi="Times New Roman"/>
          <w:b/>
          <w:sz w:val="24"/>
          <w:szCs w:val="24"/>
        </w:rPr>
      </w:pPr>
      <w:r>
        <w:rPr>
          <w:rFonts w:ascii="Times New Roman" w:hAnsi="Times New Roman"/>
          <w:sz w:val="24"/>
          <w:szCs w:val="24"/>
        </w:rPr>
        <w:t>Energy dispersive x-ray spectroscopy (EDX)</w:t>
      </w:r>
    </w:p>
    <w:p w14:paraId="6BE173DC" w14:textId="77777777" w:rsidR="007218C6" w:rsidRDefault="007218C6" w:rsidP="007218C6">
      <w:pPr>
        <w:pStyle w:val="ListParagraph"/>
        <w:numPr>
          <w:ilvl w:val="0"/>
          <w:numId w:val="14"/>
        </w:numPr>
        <w:spacing w:after="0" w:line="360" w:lineRule="auto"/>
        <w:ind w:left="1843"/>
        <w:jc w:val="both"/>
        <w:rPr>
          <w:rFonts w:ascii="Times New Roman" w:hAnsi="Times New Roman"/>
          <w:b/>
          <w:sz w:val="24"/>
          <w:szCs w:val="24"/>
        </w:rPr>
      </w:pPr>
      <w:r>
        <w:rPr>
          <w:rFonts w:ascii="Times New Roman" w:hAnsi="Times New Roman"/>
          <w:sz w:val="24"/>
          <w:szCs w:val="24"/>
        </w:rPr>
        <w:t>Thermal gravimetric analysis (TGA)</w:t>
      </w:r>
    </w:p>
    <w:p w14:paraId="4326B9A8" w14:textId="77777777" w:rsidR="007218C6" w:rsidRDefault="007218C6" w:rsidP="007218C6">
      <w:pPr>
        <w:pStyle w:val="ListParagraph"/>
        <w:numPr>
          <w:ilvl w:val="0"/>
          <w:numId w:val="14"/>
        </w:numPr>
        <w:tabs>
          <w:tab w:val="left" w:pos="709"/>
        </w:tabs>
        <w:spacing w:after="0" w:line="360" w:lineRule="auto"/>
        <w:ind w:left="1843"/>
        <w:jc w:val="both"/>
        <w:rPr>
          <w:rFonts w:ascii="Times New Roman" w:hAnsi="Times New Roman"/>
          <w:b/>
          <w:sz w:val="24"/>
          <w:szCs w:val="24"/>
        </w:rPr>
      </w:pPr>
      <w:r>
        <w:rPr>
          <w:rFonts w:ascii="Times New Roman" w:hAnsi="Times New Roman"/>
          <w:sz w:val="24"/>
          <w:szCs w:val="24"/>
        </w:rPr>
        <w:t>Nuclear magnetic resonance spectroscopy (NMR)</w:t>
      </w:r>
    </w:p>
    <w:p w14:paraId="3FAD29E3" w14:textId="77777777" w:rsidR="007218C6" w:rsidRDefault="007218C6" w:rsidP="007218C6">
      <w:pPr>
        <w:tabs>
          <w:tab w:val="left" w:pos="709"/>
        </w:tabs>
        <w:spacing w:line="360" w:lineRule="auto"/>
        <w:rPr>
          <w:rFonts w:ascii="Times New Roman" w:hAnsi="Times New Roman"/>
          <w:i/>
        </w:rPr>
      </w:pPr>
      <w:r>
        <w:rPr>
          <w:rFonts w:ascii="Times New Roman" w:hAnsi="Times New Roman"/>
          <w:i/>
        </w:rPr>
        <w:t>Solution analysis:</w:t>
      </w:r>
    </w:p>
    <w:p w14:paraId="712CCAB8" w14:textId="77777777" w:rsidR="007218C6" w:rsidRDefault="007218C6" w:rsidP="007218C6">
      <w:pPr>
        <w:pStyle w:val="ListParagraph"/>
        <w:numPr>
          <w:ilvl w:val="0"/>
          <w:numId w:val="16"/>
        </w:numPr>
        <w:tabs>
          <w:tab w:val="left" w:pos="709"/>
        </w:tabs>
        <w:spacing w:after="0" w:line="360" w:lineRule="auto"/>
        <w:rPr>
          <w:rFonts w:ascii="Times New Roman" w:hAnsi="Times New Roman"/>
          <w:b/>
          <w:sz w:val="24"/>
          <w:szCs w:val="24"/>
        </w:rPr>
      </w:pPr>
      <w:r>
        <w:rPr>
          <w:rFonts w:ascii="Times New Roman" w:hAnsi="Times New Roman"/>
          <w:sz w:val="24"/>
          <w:szCs w:val="24"/>
        </w:rPr>
        <w:t>Inductively coupled plasma - mass spectrometry (ICP-MS)</w:t>
      </w:r>
    </w:p>
    <w:p w14:paraId="5E69EC34" w14:textId="77777777" w:rsidR="007218C6" w:rsidRDefault="007218C6" w:rsidP="007218C6">
      <w:pPr>
        <w:pStyle w:val="ListParagraph"/>
        <w:numPr>
          <w:ilvl w:val="0"/>
          <w:numId w:val="16"/>
        </w:numPr>
        <w:tabs>
          <w:tab w:val="left" w:pos="709"/>
        </w:tabs>
        <w:spacing w:after="0" w:line="360" w:lineRule="auto"/>
        <w:rPr>
          <w:rFonts w:ascii="Times New Roman" w:hAnsi="Times New Roman"/>
          <w:b/>
          <w:sz w:val="24"/>
          <w:szCs w:val="24"/>
        </w:rPr>
      </w:pPr>
      <w:proofErr w:type="gramStart"/>
      <w:r>
        <w:rPr>
          <w:rFonts w:ascii="Times New Roman" w:hAnsi="Times New Roman"/>
          <w:sz w:val="24"/>
          <w:szCs w:val="24"/>
        </w:rPr>
        <w:t>pH</w:t>
      </w:r>
      <w:proofErr w:type="gramEnd"/>
      <w:r>
        <w:rPr>
          <w:rFonts w:ascii="Times New Roman" w:hAnsi="Times New Roman"/>
          <w:sz w:val="24"/>
          <w:szCs w:val="24"/>
        </w:rPr>
        <w:t xml:space="preserve"> Measurements </w:t>
      </w:r>
    </w:p>
    <w:p w14:paraId="20976E5E" w14:textId="77777777" w:rsidR="007218C6" w:rsidRDefault="007218C6" w:rsidP="007218C6">
      <w:pPr>
        <w:pStyle w:val="ListParagraph"/>
        <w:numPr>
          <w:ilvl w:val="0"/>
          <w:numId w:val="16"/>
        </w:numPr>
        <w:tabs>
          <w:tab w:val="left" w:pos="709"/>
        </w:tabs>
        <w:spacing w:after="0" w:line="360" w:lineRule="auto"/>
        <w:rPr>
          <w:rFonts w:ascii="Times New Roman" w:hAnsi="Times New Roman"/>
          <w:b/>
          <w:sz w:val="24"/>
          <w:szCs w:val="24"/>
        </w:rPr>
      </w:pPr>
      <w:r>
        <w:rPr>
          <w:rFonts w:ascii="Times New Roman" w:hAnsi="Times New Roman"/>
          <w:sz w:val="24"/>
          <w:szCs w:val="24"/>
        </w:rPr>
        <w:t>Total Organic Carbon Analysis (TOC)</w:t>
      </w:r>
    </w:p>
    <w:p w14:paraId="6C71E011" w14:textId="77777777" w:rsidR="007218C6" w:rsidRDefault="007218C6" w:rsidP="007218C6">
      <w:pPr>
        <w:spacing w:before="120" w:after="120" w:line="360" w:lineRule="auto"/>
        <w:rPr>
          <w:rFonts w:ascii="Times New Roman" w:hAnsi="Times New Roman" w:cs="Times New Roman"/>
          <w:b/>
          <w:bCs/>
          <w:smallCaps/>
          <w:sz w:val="32"/>
          <w:szCs w:val="28"/>
        </w:rPr>
      </w:pPr>
    </w:p>
    <w:p w14:paraId="67ADD6CC" w14:textId="77777777" w:rsidR="007218C6" w:rsidRDefault="007218C6" w:rsidP="007218C6">
      <w:pPr>
        <w:spacing w:before="120" w:after="120" w:line="360" w:lineRule="auto"/>
        <w:rPr>
          <w:rFonts w:ascii="Times New Roman" w:hAnsi="Times New Roman" w:cs="Times New Roman"/>
          <w:b/>
          <w:bCs/>
          <w:smallCaps/>
          <w:sz w:val="32"/>
          <w:szCs w:val="28"/>
        </w:rPr>
      </w:pPr>
    </w:p>
    <w:p w14:paraId="13163C3C" w14:textId="77777777" w:rsidR="007218C6" w:rsidRDefault="007218C6" w:rsidP="007218C6">
      <w:pPr>
        <w:spacing w:before="120" w:after="120" w:line="360" w:lineRule="auto"/>
        <w:rPr>
          <w:rFonts w:ascii="Times New Roman" w:hAnsi="Times New Roman" w:cs="Times New Roman"/>
          <w:b/>
          <w:bCs/>
          <w:smallCaps/>
          <w:sz w:val="32"/>
          <w:szCs w:val="28"/>
        </w:rPr>
      </w:pPr>
    </w:p>
    <w:p w14:paraId="57118165" w14:textId="77777777" w:rsidR="007218C6" w:rsidRDefault="007218C6" w:rsidP="007218C6">
      <w:pPr>
        <w:spacing w:before="120" w:after="120" w:line="360" w:lineRule="auto"/>
        <w:rPr>
          <w:rFonts w:ascii="Times New Roman" w:hAnsi="Times New Roman" w:cs="Times New Roman"/>
          <w:b/>
          <w:bCs/>
          <w:smallCaps/>
          <w:sz w:val="32"/>
          <w:szCs w:val="28"/>
        </w:rPr>
      </w:pPr>
    </w:p>
    <w:p w14:paraId="559DD0FD" w14:textId="77777777" w:rsidR="007218C6" w:rsidRDefault="007218C6" w:rsidP="007218C6">
      <w:pPr>
        <w:spacing w:before="120" w:after="120" w:line="360" w:lineRule="auto"/>
        <w:rPr>
          <w:rFonts w:ascii="Times New Roman" w:hAnsi="Times New Roman" w:cs="Times New Roman"/>
          <w:b/>
          <w:bCs/>
          <w:smallCaps/>
          <w:sz w:val="32"/>
          <w:szCs w:val="28"/>
        </w:rPr>
      </w:pPr>
    </w:p>
    <w:p w14:paraId="226756D3" w14:textId="77777777" w:rsidR="007218C6" w:rsidRDefault="007218C6" w:rsidP="007218C6">
      <w:pPr>
        <w:spacing w:before="120" w:after="120" w:line="360" w:lineRule="auto"/>
        <w:rPr>
          <w:rFonts w:ascii="Times New Roman" w:hAnsi="Times New Roman" w:cs="Times New Roman"/>
          <w:b/>
          <w:bCs/>
          <w:smallCaps/>
          <w:sz w:val="32"/>
          <w:szCs w:val="28"/>
        </w:rPr>
      </w:pPr>
    </w:p>
    <w:p w14:paraId="717A991E" w14:textId="77777777" w:rsidR="007218C6" w:rsidRPr="00212707" w:rsidRDefault="007218C6" w:rsidP="00F26EB4">
      <w:pPr>
        <w:spacing w:before="120" w:after="120"/>
        <w:rPr>
          <w:rFonts w:ascii="Times New Roman" w:hAnsi="Times New Roman" w:cs="Times New Roman"/>
          <w:b/>
          <w:bCs/>
          <w:smallCaps/>
          <w:sz w:val="32"/>
          <w:szCs w:val="28"/>
        </w:rPr>
      </w:pPr>
      <w:r w:rsidRPr="00212707">
        <w:rPr>
          <w:rFonts w:ascii="Times New Roman" w:hAnsi="Times New Roman" w:cs="Times New Roman"/>
          <w:b/>
          <w:bCs/>
          <w:smallCaps/>
          <w:sz w:val="32"/>
          <w:szCs w:val="28"/>
        </w:rPr>
        <w:lastRenderedPageBreak/>
        <w:t>3.2</w:t>
      </w:r>
      <w:r w:rsidRPr="00212707">
        <w:rPr>
          <w:rFonts w:ascii="Times New Roman" w:hAnsi="Times New Roman" w:cs="Times New Roman"/>
          <w:b/>
          <w:bCs/>
          <w:smallCaps/>
          <w:sz w:val="32"/>
          <w:szCs w:val="28"/>
        </w:rPr>
        <w:tab/>
        <w:t>Leaching of Cementitious Waste forms containing Caesium and Strontium Nitrate</w:t>
      </w:r>
    </w:p>
    <w:p w14:paraId="7C1CCE7E" w14:textId="77777777" w:rsidR="00F26EB4" w:rsidRDefault="00F26EB4" w:rsidP="007218C6">
      <w:pPr>
        <w:spacing w:before="120" w:after="120" w:line="360" w:lineRule="auto"/>
        <w:ind w:left="720" w:hanging="720"/>
        <w:jc w:val="both"/>
        <w:rPr>
          <w:rFonts w:ascii="Times New Roman" w:hAnsi="Times New Roman" w:cs="Times New Roman"/>
          <w:b/>
          <w:sz w:val="28"/>
        </w:rPr>
      </w:pPr>
    </w:p>
    <w:p w14:paraId="07510425" w14:textId="77777777" w:rsidR="007218C6" w:rsidRPr="00212707" w:rsidRDefault="007218C6" w:rsidP="007218C6">
      <w:pPr>
        <w:spacing w:before="120" w:after="120" w:line="360" w:lineRule="auto"/>
        <w:ind w:left="720" w:hanging="720"/>
        <w:jc w:val="both"/>
        <w:rPr>
          <w:rFonts w:ascii="Times New Roman" w:hAnsi="Times New Roman" w:cs="Times New Roman"/>
          <w:b/>
          <w:sz w:val="28"/>
        </w:rPr>
      </w:pPr>
      <w:r>
        <w:rPr>
          <w:rFonts w:ascii="Times New Roman" w:hAnsi="Times New Roman" w:cs="Times New Roman"/>
          <w:b/>
          <w:sz w:val="28"/>
        </w:rPr>
        <w:t>3.2.1</w:t>
      </w:r>
      <w:r>
        <w:rPr>
          <w:rFonts w:ascii="Times New Roman" w:hAnsi="Times New Roman" w:cs="Times New Roman"/>
          <w:b/>
          <w:sz w:val="28"/>
        </w:rPr>
        <w:tab/>
        <w:t>Introduction</w:t>
      </w:r>
    </w:p>
    <w:p w14:paraId="4A18B6D0" w14:textId="1A973D28" w:rsidR="007218C6" w:rsidRDefault="007218C6" w:rsidP="007218C6">
      <w:pPr>
        <w:spacing w:line="360" w:lineRule="auto"/>
        <w:jc w:val="both"/>
        <w:rPr>
          <w:rFonts w:ascii="Times New Roman" w:hAnsi="Times New Roman" w:cs="Times New Roman"/>
          <w:b/>
        </w:rPr>
      </w:pPr>
      <w:r>
        <w:rPr>
          <w:rFonts w:ascii="Times New Roman" w:hAnsi="Times New Roman" w:cs="Times New Roman"/>
        </w:rPr>
        <w:t xml:space="preserve">Electrically accelerated leaching tests were set-up following the protocol of Saito and Nakane [1] along with the semi-static leaching tests, where samples were leached in deionised water that was changed at regular intervals, so that the results could then be compared </w:t>
      </w:r>
      <w:r w:rsidRPr="00A26A92">
        <w:rPr>
          <w:rFonts w:ascii="Times New Roman" w:hAnsi="Times New Roman" w:cs="Times New Roman"/>
        </w:rPr>
        <w:t>with the</w:t>
      </w:r>
      <w:r>
        <w:rPr>
          <w:rFonts w:ascii="Times New Roman" w:hAnsi="Times New Roman" w:cs="Times New Roman"/>
        </w:rPr>
        <w:t xml:space="preserve"> electrical leaching tests</w:t>
      </w:r>
      <w:r w:rsidR="008E16D7">
        <w:rPr>
          <w:rFonts w:ascii="Times New Roman" w:hAnsi="Times New Roman" w:cs="Times New Roman"/>
        </w:rPr>
        <w:t xml:space="preserve"> where the water was also changed</w:t>
      </w:r>
      <w:r>
        <w:rPr>
          <w:rFonts w:ascii="Times New Roman" w:hAnsi="Times New Roman" w:cs="Times New Roman"/>
        </w:rPr>
        <w:t>. However a leaching</w:t>
      </w:r>
      <w:r w:rsidRPr="00A26A92">
        <w:rPr>
          <w:rFonts w:ascii="Times New Roman" w:hAnsi="Times New Roman" w:cs="Times New Roman"/>
        </w:rPr>
        <w:t xml:space="preserve"> method </w:t>
      </w:r>
      <w:r>
        <w:rPr>
          <w:rFonts w:ascii="Times New Roman" w:hAnsi="Times New Roman" w:cs="Times New Roman"/>
        </w:rPr>
        <w:t xml:space="preserve">in which the water was not changed </w:t>
      </w:r>
      <w:r w:rsidRPr="00A26A92">
        <w:rPr>
          <w:rFonts w:ascii="Times New Roman" w:hAnsi="Times New Roman" w:cs="Times New Roman"/>
        </w:rPr>
        <w:t>would be a more accurate representation of the repository environmen</w:t>
      </w:r>
      <w:r>
        <w:rPr>
          <w:rFonts w:ascii="Times New Roman" w:hAnsi="Times New Roman" w:cs="Times New Roman"/>
        </w:rPr>
        <w:t xml:space="preserve">t, as water mobility in these conditions is intended to be very low. As a result these leaching tests in which the water was not changed were also set up and these are referred to as the static tests. In order to investigate other methods of acceleration an acidic leaching experiment was also set up over a </w:t>
      </w:r>
      <w:proofErr w:type="gramStart"/>
      <w:r>
        <w:rPr>
          <w:rFonts w:ascii="Times New Roman" w:hAnsi="Times New Roman" w:cs="Times New Roman"/>
        </w:rPr>
        <w:t>three month</w:t>
      </w:r>
      <w:proofErr w:type="gramEnd"/>
      <w:r>
        <w:rPr>
          <w:rFonts w:ascii="Times New Roman" w:hAnsi="Times New Roman" w:cs="Times New Roman"/>
        </w:rPr>
        <w:t xml:space="preserve"> period</w:t>
      </w:r>
      <w:r w:rsidRPr="00A26A92">
        <w:rPr>
          <w:rFonts w:ascii="Times New Roman" w:hAnsi="Times New Roman" w:cs="Times New Roman"/>
        </w:rPr>
        <w:t>. This allowed for a comparison t</w:t>
      </w:r>
      <w:r>
        <w:rPr>
          <w:rFonts w:ascii="Times New Roman" w:hAnsi="Times New Roman" w:cs="Times New Roman"/>
        </w:rPr>
        <w:t>o be made among the static,</w:t>
      </w:r>
      <w:r w:rsidRPr="00A26A92">
        <w:rPr>
          <w:rFonts w:ascii="Times New Roman" w:hAnsi="Times New Roman" w:cs="Times New Roman"/>
        </w:rPr>
        <w:t xml:space="preserve"> the semi-static, acidic and electrical leaching </w:t>
      </w:r>
      <w:r>
        <w:rPr>
          <w:rFonts w:ascii="Times New Roman" w:hAnsi="Times New Roman" w:cs="Times New Roman"/>
        </w:rPr>
        <w:t xml:space="preserve">procedures </w:t>
      </w:r>
      <w:r w:rsidRPr="00A26A92">
        <w:rPr>
          <w:rFonts w:ascii="Times New Roman" w:hAnsi="Times New Roman" w:cs="Times New Roman"/>
        </w:rPr>
        <w:t>to monitor the effect</w:t>
      </w:r>
      <w:r>
        <w:rPr>
          <w:rFonts w:ascii="Times New Roman" w:hAnsi="Times New Roman" w:cs="Times New Roman"/>
        </w:rPr>
        <w:t>s on leaching behaviour of elements, microstructural changes of the cement</w:t>
      </w:r>
      <w:r w:rsidRPr="00A26A92">
        <w:rPr>
          <w:rFonts w:ascii="Times New Roman" w:hAnsi="Times New Roman" w:cs="Times New Roman"/>
        </w:rPr>
        <w:t>.</w:t>
      </w:r>
      <w:r>
        <w:rPr>
          <w:rFonts w:ascii="Times New Roman" w:hAnsi="Times New Roman" w:cs="Times New Roman"/>
        </w:rPr>
        <w:t xml:space="preserve"> </w:t>
      </w:r>
      <w:r w:rsidR="004E349F">
        <w:rPr>
          <w:rFonts w:ascii="Times New Roman" w:hAnsi="Times New Roman" w:cs="Times New Roman"/>
        </w:rPr>
        <w:t>Neither the MCC nor</w:t>
      </w:r>
      <w:r>
        <w:rPr>
          <w:rFonts w:ascii="Times New Roman" w:hAnsi="Times New Roman" w:cs="Times New Roman"/>
        </w:rPr>
        <w:t xml:space="preserve"> ASTM standardised leaching tests were used, as this experiment was modelled on that of Saito and Nakane, therefore the sample preparation and procedures followed were in line with their practices. </w:t>
      </w:r>
    </w:p>
    <w:p w14:paraId="312A2C52" w14:textId="77777777" w:rsidR="007218C6" w:rsidRDefault="007218C6" w:rsidP="007218C6">
      <w:pPr>
        <w:spacing w:before="120" w:after="120" w:line="360" w:lineRule="auto"/>
        <w:jc w:val="both"/>
        <w:rPr>
          <w:rFonts w:ascii="Times New Roman" w:hAnsi="Times New Roman" w:cs="Times New Roman"/>
          <w:b/>
          <w:sz w:val="28"/>
        </w:rPr>
      </w:pPr>
    </w:p>
    <w:p w14:paraId="39F308B3" w14:textId="77777777" w:rsidR="007218C6" w:rsidRPr="00492B2A" w:rsidRDefault="007218C6" w:rsidP="007218C6">
      <w:pPr>
        <w:spacing w:before="120" w:after="120" w:line="360" w:lineRule="auto"/>
        <w:jc w:val="both"/>
        <w:rPr>
          <w:rFonts w:ascii="Times New Roman" w:hAnsi="Times New Roman" w:cs="Times New Roman"/>
          <w:b/>
          <w:sz w:val="28"/>
        </w:rPr>
      </w:pPr>
      <w:r w:rsidRPr="00492B2A">
        <w:rPr>
          <w:rFonts w:ascii="Times New Roman" w:hAnsi="Times New Roman" w:cs="Times New Roman"/>
          <w:b/>
          <w:sz w:val="28"/>
        </w:rPr>
        <w:t>3.2</w:t>
      </w:r>
      <w:r>
        <w:rPr>
          <w:rFonts w:ascii="Times New Roman" w:hAnsi="Times New Roman" w:cs="Times New Roman"/>
          <w:b/>
          <w:sz w:val="28"/>
        </w:rPr>
        <w:t>.2</w:t>
      </w:r>
      <w:r>
        <w:rPr>
          <w:rFonts w:ascii="Times New Roman" w:hAnsi="Times New Roman" w:cs="Times New Roman"/>
          <w:b/>
          <w:sz w:val="28"/>
        </w:rPr>
        <w:tab/>
      </w:r>
      <w:r w:rsidRPr="00492B2A">
        <w:rPr>
          <w:rFonts w:ascii="Times New Roman" w:hAnsi="Times New Roman" w:cs="Times New Roman"/>
          <w:b/>
          <w:sz w:val="28"/>
        </w:rPr>
        <w:t>Cement Sample Preparation</w:t>
      </w:r>
    </w:p>
    <w:p w14:paraId="3BA19CBC" w14:textId="3723CCCE" w:rsidR="007218C6" w:rsidRPr="00A26A92" w:rsidRDefault="007218C6" w:rsidP="007218C6">
      <w:pPr>
        <w:spacing w:before="120" w:after="120" w:line="360" w:lineRule="auto"/>
        <w:jc w:val="both"/>
        <w:rPr>
          <w:rFonts w:ascii="Times New Roman" w:hAnsi="Times New Roman" w:cs="Times New Roman"/>
        </w:rPr>
      </w:pPr>
      <w:r>
        <w:rPr>
          <w:rFonts w:ascii="Times New Roman" w:hAnsi="Times New Roman" w:cs="Times New Roman"/>
        </w:rPr>
        <w:t>Cement samples shown in table 3.1</w:t>
      </w:r>
      <w:r w:rsidRPr="00A26A92">
        <w:rPr>
          <w:rFonts w:ascii="Times New Roman" w:hAnsi="Times New Roman" w:cs="Times New Roman"/>
        </w:rPr>
        <w:t xml:space="preserve"> w</w:t>
      </w:r>
      <w:r>
        <w:rPr>
          <w:rFonts w:ascii="Times New Roman" w:hAnsi="Times New Roman" w:cs="Times New Roman"/>
        </w:rPr>
        <w:t xml:space="preserve">ere prepared using </w:t>
      </w:r>
      <w:r w:rsidR="00E85025">
        <w:rPr>
          <w:rFonts w:ascii="Times New Roman" w:hAnsi="Times New Roman" w:cs="Times New Roman"/>
        </w:rPr>
        <w:t>PC</w:t>
      </w:r>
      <w:r>
        <w:rPr>
          <w:rFonts w:ascii="Times New Roman" w:hAnsi="Times New Roman" w:cs="Times New Roman"/>
        </w:rPr>
        <w:t xml:space="preserve"> and BFS</w:t>
      </w:r>
      <w:r w:rsidR="00626B5D">
        <w:rPr>
          <w:rFonts w:ascii="Times New Roman" w:hAnsi="Times New Roman" w:cs="Times New Roman"/>
        </w:rPr>
        <w:t xml:space="preserve">. </w:t>
      </w:r>
      <w:r w:rsidR="00E85025">
        <w:rPr>
          <w:rFonts w:ascii="Times New Roman" w:hAnsi="Times New Roman" w:cs="Times New Roman"/>
        </w:rPr>
        <w:t>PC</w:t>
      </w:r>
      <w:r w:rsidRPr="00A26A92">
        <w:rPr>
          <w:rFonts w:ascii="Times New Roman" w:hAnsi="Times New Roman" w:cs="Times New Roman"/>
        </w:rPr>
        <w:t xml:space="preserve"> was sourced from Castle Cement, UK, fineness 352m</w:t>
      </w:r>
      <w:r w:rsidRPr="00A26A92">
        <w:rPr>
          <w:rFonts w:ascii="Times New Roman" w:hAnsi="Times New Roman" w:cs="Times New Roman"/>
          <w:vertAlign w:val="superscript"/>
        </w:rPr>
        <w:t>2</w:t>
      </w:r>
      <w:r w:rsidRPr="00A26A92">
        <w:rPr>
          <w:rFonts w:ascii="Times New Roman" w:hAnsi="Times New Roman" w:cs="Times New Roman"/>
        </w:rPr>
        <w:t>/kg Blaine and BFS was sourced from Redcar Steelworks, Teeside, UK in ground granulated</w:t>
      </w:r>
      <w:r w:rsidR="008B4B7A">
        <w:rPr>
          <w:rFonts w:ascii="Times New Roman" w:hAnsi="Times New Roman" w:cs="Times New Roman"/>
        </w:rPr>
        <w:t xml:space="preserve"> form to</w:t>
      </w:r>
      <w:r w:rsidRPr="00A26A92">
        <w:rPr>
          <w:rFonts w:ascii="Times New Roman" w:hAnsi="Times New Roman" w:cs="Times New Roman"/>
        </w:rPr>
        <w:t xml:space="preserve"> give a fineness of 286m</w:t>
      </w:r>
      <w:r w:rsidRPr="00A26A92">
        <w:rPr>
          <w:rFonts w:ascii="Times New Roman" w:hAnsi="Times New Roman" w:cs="Times New Roman"/>
          <w:vertAlign w:val="superscript"/>
        </w:rPr>
        <w:t>2</w:t>
      </w:r>
      <w:r w:rsidRPr="00A26A92">
        <w:rPr>
          <w:rFonts w:ascii="Times New Roman" w:hAnsi="Times New Roman" w:cs="Times New Roman"/>
        </w:rPr>
        <w:t>/kg Blaine. Caesium nitrate, CsNO</w:t>
      </w:r>
      <w:r w:rsidRPr="00A26A92">
        <w:rPr>
          <w:rFonts w:ascii="Times New Roman" w:hAnsi="Times New Roman" w:cs="Times New Roman"/>
          <w:vertAlign w:val="subscript"/>
        </w:rPr>
        <w:t>3</w:t>
      </w:r>
      <w:r w:rsidRPr="00A26A92">
        <w:rPr>
          <w:rFonts w:ascii="Times New Roman" w:hAnsi="Times New Roman" w:cs="Times New Roman"/>
        </w:rPr>
        <w:t xml:space="preserve"> (Acros Organics, UK, 99.99%) and strontium nitrate, </w:t>
      </w:r>
      <w:proofErr w:type="gramStart"/>
      <w:r w:rsidRPr="00A26A92">
        <w:rPr>
          <w:rFonts w:ascii="Times New Roman" w:hAnsi="Times New Roman" w:cs="Times New Roman"/>
        </w:rPr>
        <w:t>Sr(</w:t>
      </w:r>
      <w:proofErr w:type="gramEnd"/>
      <w:r w:rsidRPr="00A26A92">
        <w:rPr>
          <w:rFonts w:ascii="Times New Roman" w:hAnsi="Times New Roman" w:cs="Times New Roman"/>
        </w:rPr>
        <w:t>NO</w:t>
      </w:r>
      <w:r w:rsidRPr="00A26A92">
        <w:rPr>
          <w:rFonts w:ascii="Times New Roman" w:hAnsi="Times New Roman" w:cs="Times New Roman"/>
          <w:vertAlign w:val="subscript"/>
        </w:rPr>
        <w:t>3</w:t>
      </w:r>
      <w:r w:rsidRPr="00A26A92">
        <w:rPr>
          <w:rFonts w:ascii="Times New Roman" w:hAnsi="Times New Roman" w:cs="Times New Roman"/>
        </w:rPr>
        <w:t>)</w:t>
      </w:r>
      <w:r w:rsidRPr="00A26A92">
        <w:rPr>
          <w:rFonts w:ascii="Times New Roman" w:hAnsi="Times New Roman" w:cs="Times New Roman"/>
          <w:vertAlign w:val="subscript"/>
        </w:rPr>
        <w:t>2</w:t>
      </w:r>
      <w:r w:rsidRPr="00A26A92">
        <w:rPr>
          <w:rFonts w:ascii="Times New Roman" w:hAnsi="Times New Roman" w:cs="Times New Roman"/>
        </w:rPr>
        <w:t xml:space="preserve"> (BDH Chemicals, UK, 99.99%), were added to the cement matrices as waste simulants. </w:t>
      </w:r>
    </w:p>
    <w:p w14:paraId="4206ACBE" w14:textId="739C94C9" w:rsidR="007218C6" w:rsidRPr="00A26A92" w:rsidRDefault="007218C6" w:rsidP="007218C6">
      <w:pPr>
        <w:spacing w:after="120" w:line="360" w:lineRule="auto"/>
        <w:jc w:val="both"/>
        <w:rPr>
          <w:rFonts w:ascii="Times New Roman" w:hAnsi="Times New Roman" w:cs="Times New Roman"/>
        </w:rPr>
      </w:pPr>
      <w:r w:rsidRPr="00A26A92">
        <w:rPr>
          <w:rFonts w:ascii="Times New Roman" w:hAnsi="Times New Roman" w:cs="Times New Roman"/>
        </w:rPr>
        <w:t xml:space="preserve">The blank sample, (labelled B), was prepared by weighing the distilled water on a Toledo Delta Range PG 4002-5 electronic balance and pouring it into the bowl of a Kenwood mixer. The designated amount of BFS was added followed by the </w:t>
      </w:r>
      <w:r w:rsidR="00E85025">
        <w:rPr>
          <w:rFonts w:ascii="Times New Roman" w:hAnsi="Times New Roman" w:cs="Times New Roman"/>
        </w:rPr>
        <w:t>PC</w:t>
      </w:r>
      <w:r w:rsidRPr="00A26A92">
        <w:rPr>
          <w:rFonts w:ascii="Times New Roman" w:hAnsi="Times New Roman" w:cs="Times New Roman"/>
        </w:rPr>
        <w:t xml:space="preserve"> to avoid any hydration of the </w:t>
      </w:r>
      <w:r w:rsidR="00E85025">
        <w:rPr>
          <w:rFonts w:ascii="Times New Roman" w:hAnsi="Times New Roman" w:cs="Times New Roman"/>
        </w:rPr>
        <w:t>PC</w:t>
      </w:r>
      <w:r w:rsidRPr="00A26A92">
        <w:rPr>
          <w:rFonts w:ascii="Times New Roman" w:hAnsi="Times New Roman" w:cs="Times New Roman"/>
        </w:rPr>
        <w:t xml:space="preserve"> before mixing with the BFS. The water to solid (W/S) ratio used was 0.37 as this is widely us</w:t>
      </w:r>
      <w:r>
        <w:rPr>
          <w:rFonts w:ascii="Times New Roman" w:hAnsi="Times New Roman" w:cs="Times New Roman"/>
        </w:rPr>
        <w:t>ed in the UK nuclear industry [2</w:t>
      </w:r>
      <w:r w:rsidRPr="00A26A92">
        <w:rPr>
          <w:rFonts w:ascii="Times New Roman" w:hAnsi="Times New Roman" w:cs="Times New Roman"/>
        </w:rPr>
        <w:t xml:space="preserve">]. The water and cement were mixed for approximately 7 minutes on mixer setting 1, until a homogenous cement paste was formed. In </w:t>
      </w:r>
      <w:r w:rsidRPr="00A26A92">
        <w:rPr>
          <w:rFonts w:ascii="Times New Roman" w:hAnsi="Times New Roman" w:cs="Times New Roman"/>
        </w:rPr>
        <w:lastRenderedPageBreak/>
        <w:t>the samples containing either Cs or Sr or both (labelled C, S and CS respectively), the CsNO</w:t>
      </w:r>
      <w:r w:rsidRPr="00A26A92">
        <w:rPr>
          <w:rFonts w:ascii="Times New Roman" w:hAnsi="Times New Roman" w:cs="Times New Roman"/>
          <w:vertAlign w:val="subscript"/>
        </w:rPr>
        <w:t>3</w:t>
      </w:r>
      <w:r w:rsidRPr="00A26A92">
        <w:rPr>
          <w:rFonts w:ascii="Times New Roman" w:hAnsi="Times New Roman" w:cs="Times New Roman"/>
        </w:rPr>
        <w:t xml:space="preserve"> and/or the SrNO</w:t>
      </w:r>
      <w:r w:rsidRPr="00A26A92">
        <w:rPr>
          <w:rFonts w:ascii="Times New Roman" w:hAnsi="Times New Roman" w:cs="Times New Roman"/>
          <w:vertAlign w:val="subscript"/>
        </w:rPr>
        <w:t>3</w:t>
      </w:r>
      <w:r w:rsidRPr="00A26A92">
        <w:rPr>
          <w:rFonts w:ascii="Times New Roman" w:hAnsi="Times New Roman" w:cs="Times New Roman"/>
        </w:rPr>
        <w:t xml:space="preserve"> was added to the water prior to the </w:t>
      </w:r>
      <w:r>
        <w:rPr>
          <w:rFonts w:ascii="Times New Roman" w:hAnsi="Times New Roman" w:cs="Times New Roman"/>
        </w:rPr>
        <w:t xml:space="preserve">BFS </w:t>
      </w:r>
      <w:r w:rsidRPr="00A26A92">
        <w:rPr>
          <w:rFonts w:ascii="Times New Roman" w:hAnsi="Times New Roman" w:cs="Times New Roman"/>
        </w:rPr>
        <w:t xml:space="preserve">and mixed using </w:t>
      </w:r>
      <w:r>
        <w:rPr>
          <w:rFonts w:ascii="Times New Roman" w:hAnsi="Times New Roman" w:cs="Times New Roman"/>
        </w:rPr>
        <w:t>a magnetic stirrer</w:t>
      </w:r>
      <w:r w:rsidRPr="00A26A92">
        <w:rPr>
          <w:rFonts w:ascii="Times New Roman" w:hAnsi="Times New Roman" w:cs="Times New Roman"/>
        </w:rPr>
        <w:t xml:space="preserve"> until dissolved to ensure homogenous distribution of the waste simulants throughout the cement. The rest of the mixing procedure was the same as for sample B. In preparation for </w:t>
      </w:r>
      <w:r>
        <w:rPr>
          <w:rFonts w:ascii="Times New Roman" w:hAnsi="Times New Roman" w:cs="Times New Roman"/>
        </w:rPr>
        <w:t>most of the</w:t>
      </w:r>
      <w:r w:rsidRPr="00A26A92">
        <w:rPr>
          <w:rFonts w:ascii="Times New Roman" w:hAnsi="Times New Roman" w:cs="Times New Roman"/>
        </w:rPr>
        <w:t xml:space="preserve"> leaching tests this paste was then poured into 45 ml centrifuge tubes, which were then sealed and placed in a vortex mixer to remove any air bubbles within the paste, whereas for the electrical test the cement paste was poured into a </w:t>
      </w:r>
      <w:r>
        <w:rPr>
          <w:rFonts w:ascii="Times New Roman" w:hAnsi="Times New Roman" w:cs="Times New Roman"/>
        </w:rPr>
        <w:t>several wooden moulds measuring 40×40×5mm</w:t>
      </w:r>
      <w:r w:rsidRPr="00A26A92">
        <w:rPr>
          <w:rFonts w:ascii="Times New Roman" w:hAnsi="Times New Roman" w:cs="Times New Roman"/>
        </w:rPr>
        <w:t>.  All samples were cured for 42 days in an environmental chamber at 20</w:t>
      </w:r>
      <w:r w:rsidRPr="00A26A92">
        <w:rPr>
          <w:rFonts w:ascii="Times New Roman" w:hAnsi="Times New Roman" w:cs="Times New Roman"/>
          <w:vertAlign w:val="superscript"/>
        </w:rPr>
        <w:t>o</w:t>
      </w:r>
      <w:r w:rsidRPr="00A26A92">
        <w:rPr>
          <w:rFonts w:ascii="Times New Roman" w:hAnsi="Times New Roman" w:cs="Times New Roman"/>
        </w:rPr>
        <w:t xml:space="preserve">C and 95% relative humidity. </w:t>
      </w:r>
    </w:p>
    <w:p w14:paraId="151DC3B3" w14:textId="77777777" w:rsidR="007218C6" w:rsidRDefault="007218C6" w:rsidP="007218C6">
      <w:pPr>
        <w:spacing w:line="360" w:lineRule="auto"/>
        <w:jc w:val="center"/>
        <w:rPr>
          <w:rFonts w:ascii="Times New Roman" w:hAnsi="Times New Roman" w:cs="Times New Roman"/>
          <w:b/>
        </w:rPr>
      </w:pPr>
    </w:p>
    <w:p w14:paraId="31E9793A" w14:textId="77777777" w:rsidR="007218C6" w:rsidRPr="00A26A92" w:rsidRDefault="007218C6" w:rsidP="007218C6">
      <w:pPr>
        <w:spacing w:line="360" w:lineRule="auto"/>
        <w:jc w:val="center"/>
        <w:rPr>
          <w:rFonts w:ascii="Times New Roman" w:hAnsi="Times New Roman" w:cs="Times New Roman"/>
          <w:b/>
        </w:rPr>
      </w:pPr>
      <w:r w:rsidRPr="00A26A92">
        <w:rPr>
          <w:rFonts w:ascii="Times New Roman" w:hAnsi="Times New Roman" w:cs="Times New Roman"/>
          <w:b/>
        </w:rPr>
        <w:t xml:space="preserve">Table 3.1: </w:t>
      </w:r>
      <w:r w:rsidRPr="00A26A92">
        <w:rPr>
          <w:rFonts w:ascii="Times New Roman" w:hAnsi="Times New Roman" w:cs="Times New Roman"/>
          <w:b/>
        </w:rPr>
        <w:tab/>
        <w:t>Cement Formulations</w:t>
      </w:r>
    </w:p>
    <w:tbl>
      <w:tblPr>
        <w:tblW w:w="0" w:type="auto"/>
        <w:jc w:val="center"/>
        <w:tblInd w:w="-26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84"/>
        <w:gridCol w:w="905"/>
        <w:gridCol w:w="715"/>
        <w:gridCol w:w="720"/>
        <w:gridCol w:w="990"/>
        <w:gridCol w:w="1350"/>
        <w:gridCol w:w="1260"/>
      </w:tblGrid>
      <w:tr w:rsidR="007218C6" w:rsidRPr="00A26A92" w14:paraId="6592B48E" w14:textId="77777777" w:rsidTr="00C07DA0">
        <w:trPr>
          <w:trHeight w:val="353"/>
          <w:jc w:val="center"/>
        </w:trPr>
        <w:tc>
          <w:tcPr>
            <w:tcW w:w="3384" w:type="dxa"/>
            <w:tcBorders>
              <w:left w:val="nil"/>
              <w:bottom w:val="single" w:sz="4" w:space="0" w:color="auto"/>
              <w:right w:val="single" w:sz="4" w:space="0" w:color="auto"/>
            </w:tcBorders>
            <w:shd w:val="clear" w:color="auto" w:fill="FFFFFF"/>
            <w:vAlign w:val="center"/>
          </w:tcPr>
          <w:p w14:paraId="64DC7FAF" w14:textId="77777777" w:rsidR="007218C6" w:rsidRPr="00A26A92" w:rsidRDefault="007218C6" w:rsidP="00C07DA0">
            <w:pPr>
              <w:spacing w:line="360" w:lineRule="auto"/>
              <w:jc w:val="center"/>
              <w:rPr>
                <w:rFonts w:ascii="Times New Roman" w:hAnsi="Times New Roman" w:cs="Times New Roman"/>
                <w:b/>
              </w:rPr>
            </w:pPr>
            <w:r w:rsidRPr="00A26A92">
              <w:rPr>
                <w:rFonts w:ascii="Times New Roman" w:hAnsi="Times New Roman" w:cs="Times New Roman"/>
                <w:b/>
              </w:rPr>
              <w:t>Sample</w:t>
            </w:r>
          </w:p>
        </w:tc>
        <w:tc>
          <w:tcPr>
            <w:tcW w:w="2340" w:type="dxa"/>
            <w:gridSpan w:val="3"/>
            <w:tcBorders>
              <w:left w:val="single" w:sz="4" w:space="0" w:color="auto"/>
              <w:bottom w:val="single" w:sz="4" w:space="0" w:color="auto"/>
              <w:right w:val="nil"/>
            </w:tcBorders>
            <w:shd w:val="clear" w:color="auto" w:fill="FFFFFF"/>
            <w:vAlign w:val="center"/>
          </w:tcPr>
          <w:p w14:paraId="7A1B3FB3" w14:textId="77777777" w:rsidR="007218C6" w:rsidRPr="00A26A92" w:rsidRDefault="007218C6" w:rsidP="00C07DA0">
            <w:pPr>
              <w:spacing w:line="360" w:lineRule="auto"/>
              <w:jc w:val="center"/>
              <w:rPr>
                <w:rFonts w:ascii="Times New Roman" w:hAnsi="Times New Roman" w:cs="Times New Roman"/>
                <w:b/>
              </w:rPr>
            </w:pPr>
            <w:r w:rsidRPr="00A26A92">
              <w:rPr>
                <w:rFonts w:ascii="Times New Roman" w:hAnsi="Times New Roman" w:cs="Times New Roman"/>
                <w:b/>
              </w:rPr>
              <w:t>Cement matrix (g)</w:t>
            </w:r>
          </w:p>
        </w:tc>
        <w:tc>
          <w:tcPr>
            <w:tcW w:w="2340" w:type="dxa"/>
            <w:gridSpan w:val="2"/>
            <w:tcBorders>
              <w:left w:val="nil"/>
              <w:bottom w:val="single" w:sz="4" w:space="0" w:color="auto"/>
              <w:right w:val="nil"/>
            </w:tcBorders>
            <w:shd w:val="clear" w:color="auto" w:fill="FFFFFF"/>
            <w:vAlign w:val="center"/>
          </w:tcPr>
          <w:p w14:paraId="0267C226" w14:textId="77777777" w:rsidR="007218C6" w:rsidRPr="00A26A92" w:rsidRDefault="007218C6" w:rsidP="00C07DA0">
            <w:pPr>
              <w:spacing w:line="360" w:lineRule="auto"/>
              <w:jc w:val="center"/>
              <w:rPr>
                <w:rFonts w:ascii="Times New Roman" w:hAnsi="Times New Roman" w:cs="Times New Roman"/>
                <w:b/>
              </w:rPr>
            </w:pPr>
            <w:r w:rsidRPr="00A26A92">
              <w:rPr>
                <w:rFonts w:ascii="Times New Roman" w:hAnsi="Times New Roman" w:cs="Times New Roman"/>
                <w:b/>
              </w:rPr>
              <w:t>Waste simulant  (g)</w:t>
            </w:r>
          </w:p>
        </w:tc>
        <w:tc>
          <w:tcPr>
            <w:tcW w:w="1260" w:type="dxa"/>
            <w:tcBorders>
              <w:left w:val="nil"/>
              <w:bottom w:val="single" w:sz="4" w:space="0" w:color="auto"/>
              <w:right w:val="nil"/>
            </w:tcBorders>
            <w:shd w:val="clear" w:color="auto" w:fill="FFFFFF"/>
            <w:vAlign w:val="center"/>
          </w:tcPr>
          <w:p w14:paraId="618FD2B1" w14:textId="77777777" w:rsidR="007218C6" w:rsidRPr="00A26A92" w:rsidRDefault="007218C6" w:rsidP="00C07DA0">
            <w:pPr>
              <w:spacing w:line="360" w:lineRule="auto"/>
              <w:jc w:val="center"/>
              <w:rPr>
                <w:rFonts w:ascii="Times New Roman" w:hAnsi="Times New Roman" w:cs="Times New Roman"/>
                <w:b/>
              </w:rPr>
            </w:pPr>
            <w:r w:rsidRPr="00A26A92">
              <w:rPr>
                <w:rFonts w:ascii="Times New Roman" w:hAnsi="Times New Roman" w:cs="Times New Roman"/>
                <w:b/>
              </w:rPr>
              <w:t>Total (g)</w:t>
            </w:r>
          </w:p>
        </w:tc>
      </w:tr>
      <w:tr w:rsidR="007218C6" w:rsidRPr="00A26A92" w14:paraId="4F974A81" w14:textId="77777777" w:rsidTr="00C07DA0">
        <w:trPr>
          <w:trHeight w:val="61"/>
          <w:jc w:val="center"/>
        </w:trPr>
        <w:tc>
          <w:tcPr>
            <w:tcW w:w="3384" w:type="dxa"/>
            <w:tcBorders>
              <w:top w:val="single" w:sz="4" w:space="0" w:color="auto"/>
              <w:left w:val="nil"/>
              <w:bottom w:val="nil"/>
              <w:right w:val="single" w:sz="4" w:space="0" w:color="auto"/>
            </w:tcBorders>
            <w:shd w:val="clear" w:color="auto" w:fill="FFFFFF"/>
            <w:vAlign w:val="center"/>
          </w:tcPr>
          <w:p w14:paraId="48259DC7" w14:textId="77777777" w:rsidR="007218C6" w:rsidRPr="00A26A92" w:rsidRDefault="007218C6" w:rsidP="00C07DA0">
            <w:pPr>
              <w:spacing w:line="360" w:lineRule="auto"/>
              <w:jc w:val="center"/>
              <w:rPr>
                <w:rFonts w:ascii="Times New Roman" w:hAnsi="Times New Roman" w:cs="Times New Roman"/>
                <w:b/>
              </w:rPr>
            </w:pPr>
          </w:p>
        </w:tc>
        <w:tc>
          <w:tcPr>
            <w:tcW w:w="905" w:type="dxa"/>
            <w:tcBorders>
              <w:top w:val="single" w:sz="4" w:space="0" w:color="auto"/>
              <w:left w:val="single" w:sz="4" w:space="0" w:color="auto"/>
              <w:bottom w:val="single" w:sz="4" w:space="0" w:color="auto"/>
              <w:right w:val="nil"/>
            </w:tcBorders>
            <w:shd w:val="clear" w:color="auto" w:fill="FFFFFF"/>
            <w:vAlign w:val="center"/>
          </w:tcPr>
          <w:p w14:paraId="6622AE3D" w14:textId="3693207C" w:rsidR="007218C6" w:rsidRPr="00A26A92" w:rsidRDefault="00E85025" w:rsidP="00C07DA0">
            <w:pPr>
              <w:spacing w:line="360" w:lineRule="auto"/>
              <w:jc w:val="center"/>
              <w:rPr>
                <w:rFonts w:ascii="Times New Roman" w:hAnsi="Times New Roman" w:cs="Times New Roman"/>
                <w:b/>
              </w:rPr>
            </w:pPr>
            <w:r>
              <w:rPr>
                <w:rFonts w:ascii="Times New Roman" w:hAnsi="Times New Roman" w:cs="Times New Roman"/>
                <w:b/>
              </w:rPr>
              <w:t>PC</w:t>
            </w:r>
          </w:p>
        </w:tc>
        <w:tc>
          <w:tcPr>
            <w:tcW w:w="715" w:type="dxa"/>
            <w:tcBorders>
              <w:top w:val="single" w:sz="4" w:space="0" w:color="auto"/>
              <w:left w:val="nil"/>
              <w:bottom w:val="single" w:sz="4" w:space="0" w:color="auto"/>
              <w:right w:val="nil"/>
            </w:tcBorders>
            <w:shd w:val="clear" w:color="auto" w:fill="FFFFFF"/>
            <w:vAlign w:val="center"/>
          </w:tcPr>
          <w:p w14:paraId="5B8336EC" w14:textId="77777777" w:rsidR="007218C6" w:rsidRPr="00A26A92" w:rsidRDefault="007218C6" w:rsidP="00C07DA0">
            <w:pPr>
              <w:spacing w:line="360" w:lineRule="auto"/>
              <w:jc w:val="center"/>
              <w:rPr>
                <w:rFonts w:ascii="Times New Roman" w:hAnsi="Times New Roman" w:cs="Times New Roman"/>
                <w:b/>
              </w:rPr>
            </w:pPr>
            <w:r w:rsidRPr="00A26A92">
              <w:rPr>
                <w:rFonts w:ascii="Times New Roman" w:hAnsi="Times New Roman" w:cs="Times New Roman"/>
                <w:b/>
              </w:rPr>
              <w:t>BFS</w:t>
            </w:r>
          </w:p>
        </w:tc>
        <w:tc>
          <w:tcPr>
            <w:tcW w:w="720" w:type="dxa"/>
            <w:tcBorders>
              <w:top w:val="single" w:sz="4" w:space="0" w:color="auto"/>
              <w:left w:val="nil"/>
              <w:bottom w:val="single" w:sz="4" w:space="0" w:color="auto"/>
              <w:right w:val="nil"/>
            </w:tcBorders>
            <w:shd w:val="clear" w:color="auto" w:fill="FFFFFF"/>
            <w:vAlign w:val="center"/>
          </w:tcPr>
          <w:p w14:paraId="53DED0A1" w14:textId="77777777" w:rsidR="007218C6" w:rsidRPr="00A26A92" w:rsidRDefault="007218C6" w:rsidP="00C07DA0">
            <w:pPr>
              <w:spacing w:line="360" w:lineRule="auto"/>
              <w:jc w:val="center"/>
              <w:rPr>
                <w:rFonts w:ascii="Times New Roman" w:hAnsi="Times New Roman" w:cs="Times New Roman"/>
                <w:b/>
              </w:rPr>
            </w:pPr>
            <w:r w:rsidRPr="00A26A92">
              <w:rPr>
                <w:rFonts w:ascii="Times New Roman" w:hAnsi="Times New Roman" w:cs="Times New Roman"/>
                <w:b/>
              </w:rPr>
              <w:t>H</w:t>
            </w:r>
            <w:r w:rsidRPr="00A26A92">
              <w:rPr>
                <w:rFonts w:ascii="Times New Roman" w:hAnsi="Times New Roman" w:cs="Times New Roman"/>
                <w:b/>
                <w:vertAlign w:val="subscript"/>
              </w:rPr>
              <w:t>2</w:t>
            </w:r>
            <w:r w:rsidRPr="00A26A92">
              <w:rPr>
                <w:rFonts w:ascii="Times New Roman" w:hAnsi="Times New Roman" w:cs="Times New Roman"/>
                <w:b/>
              </w:rPr>
              <w:t>O</w:t>
            </w:r>
          </w:p>
        </w:tc>
        <w:tc>
          <w:tcPr>
            <w:tcW w:w="990" w:type="dxa"/>
            <w:tcBorders>
              <w:top w:val="single" w:sz="4" w:space="0" w:color="auto"/>
              <w:left w:val="nil"/>
              <w:bottom w:val="single" w:sz="4" w:space="0" w:color="auto"/>
              <w:right w:val="nil"/>
            </w:tcBorders>
            <w:shd w:val="clear" w:color="auto" w:fill="FFFFFF"/>
            <w:vAlign w:val="center"/>
          </w:tcPr>
          <w:p w14:paraId="25F6829D" w14:textId="77777777" w:rsidR="007218C6" w:rsidRPr="00A26A92" w:rsidRDefault="007218C6" w:rsidP="00C07DA0">
            <w:pPr>
              <w:spacing w:line="360" w:lineRule="auto"/>
              <w:jc w:val="center"/>
              <w:rPr>
                <w:rFonts w:ascii="Times New Roman" w:hAnsi="Times New Roman" w:cs="Times New Roman"/>
                <w:b/>
                <w:vertAlign w:val="subscript"/>
              </w:rPr>
            </w:pPr>
            <w:r w:rsidRPr="00A26A92">
              <w:rPr>
                <w:rFonts w:ascii="Times New Roman" w:hAnsi="Times New Roman" w:cs="Times New Roman"/>
                <w:b/>
              </w:rPr>
              <w:t>CsNO</w:t>
            </w:r>
            <w:r w:rsidRPr="00A26A92">
              <w:rPr>
                <w:rFonts w:ascii="Times New Roman" w:hAnsi="Times New Roman" w:cs="Times New Roman"/>
                <w:b/>
                <w:vertAlign w:val="subscript"/>
              </w:rPr>
              <w:t>3</w:t>
            </w:r>
          </w:p>
        </w:tc>
        <w:tc>
          <w:tcPr>
            <w:tcW w:w="1350" w:type="dxa"/>
            <w:tcBorders>
              <w:top w:val="single" w:sz="4" w:space="0" w:color="auto"/>
              <w:left w:val="nil"/>
              <w:bottom w:val="single" w:sz="4" w:space="0" w:color="auto"/>
              <w:right w:val="nil"/>
            </w:tcBorders>
            <w:shd w:val="clear" w:color="auto" w:fill="FFFFFF"/>
            <w:vAlign w:val="center"/>
          </w:tcPr>
          <w:p w14:paraId="7CFD7781" w14:textId="77777777" w:rsidR="007218C6" w:rsidRPr="00A26A92" w:rsidRDefault="007218C6" w:rsidP="00C07DA0">
            <w:pPr>
              <w:spacing w:line="360" w:lineRule="auto"/>
              <w:jc w:val="center"/>
              <w:rPr>
                <w:rFonts w:ascii="Times New Roman" w:hAnsi="Times New Roman" w:cs="Times New Roman"/>
                <w:b/>
              </w:rPr>
            </w:pPr>
            <w:proofErr w:type="gramStart"/>
            <w:r w:rsidRPr="00A26A92">
              <w:rPr>
                <w:rFonts w:ascii="Times New Roman" w:hAnsi="Times New Roman" w:cs="Times New Roman"/>
                <w:b/>
              </w:rPr>
              <w:t>Sr(</w:t>
            </w:r>
            <w:proofErr w:type="gramEnd"/>
            <w:r w:rsidRPr="00A26A92">
              <w:rPr>
                <w:rFonts w:ascii="Times New Roman" w:hAnsi="Times New Roman" w:cs="Times New Roman"/>
                <w:b/>
              </w:rPr>
              <w:t>NO</w:t>
            </w:r>
            <w:r w:rsidRPr="00A26A92">
              <w:rPr>
                <w:rFonts w:ascii="Times New Roman" w:hAnsi="Times New Roman" w:cs="Times New Roman"/>
                <w:b/>
                <w:vertAlign w:val="subscript"/>
              </w:rPr>
              <w:t>3</w:t>
            </w:r>
            <w:r w:rsidRPr="00A26A92">
              <w:rPr>
                <w:rFonts w:ascii="Times New Roman" w:hAnsi="Times New Roman" w:cs="Times New Roman"/>
                <w:b/>
              </w:rPr>
              <w:t>)</w:t>
            </w:r>
            <w:r w:rsidRPr="00A26A92">
              <w:rPr>
                <w:rFonts w:ascii="Times New Roman" w:hAnsi="Times New Roman" w:cs="Times New Roman"/>
                <w:b/>
                <w:vertAlign w:val="subscript"/>
              </w:rPr>
              <w:t>2</w:t>
            </w:r>
          </w:p>
        </w:tc>
        <w:tc>
          <w:tcPr>
            <w:tcW w:w="1260" w:type="dxa"/>
            <w:tcBorders>
              <w:top w:val="single" w:sz="4" w:space="0" w:color="auto"/>
              <w:left w:val="nil"/>
              <w:bottom w:val="single" w:sz="4" w:space="0" w:color="auto"/>
              <w:right w:val="nil"/>
            </w:tcBorders>
            <w:shd w:val="clear" w:color="auto" w:fill="FFFFFF"/>
            <w:vAlign w:val="center"/>
          </w:tcPr>
          <w:p w14:paraId="22DE9217" w14:textId="77777777" w:rsidR="007218C6" w:rsidRPr="00A26A92" w:rsidRDefault="007218C6" w:rsidP="00C07DA0">
            <w:pPr>
              <w:spacing w:line="360" w:lineRule="auto"/>
              <w:jc w:val="center"/>
              <w:rPr>
                <w:rFonts w:ascii="Times New Roman" w:hAnsi="Times New Roman" w:cs="Times New Roman"/>
                <w:b/>
              </w:rPr>
            </w:pPr>
          </w:p>
        </w:tc>
      </w:tr>
      <w:tr w:rsidR="007218C6" w:rsidRPr="00A26A92" w14:paraId="4241DD69" w14:textId="77777777" w:rsidTr="00C07DA0">
        <w:trPr>
          <w:trHeight w:val="386"/>
          <w:jc w:val="center"/>
        </w:trPr>
        <w:tc>
          <w:tcPr>
            <w:tcW w:w="3384" w:type="dxa"/>
            <w:tcBorders>
              <w:top w:val="nil"/>
              <w:left w:val="nil"/>
              <w:bottom w:val="nil"/>
              <w:right w:val="single" w:sz="4" w:space="0" w:color="auto"/>
            </w:tcBorders>
            <w:shd w:val="clear" w:color="auto" w:fill="auto"/>
            <w:vAlign w:val="center"/>
          </w:tcPr>
          <w:p w14:paraId="7A122202" w14:textId="77777777" w:rsidR="007218C6" w:rsidRPr="00A26A92" w:rsidRDefault="007218C6" w:rsidP="00C07DA0">
            <w:pPr>
              <w:spacing w:line="360" w:lineRule="auto"/>
              <w:jc w:val="center"/>
              <w:rPr>
                <w:rFonts w:ascii="Times New Roman" w:hAnsi="Times New Roman" w:cs="Times New Roman"/>
                <w:b/>
              </w:rPr>
            </w:pPr>
            <w:r w:rsidRPr="00A26A92">
              <w:rPr>
                <w:rFonts w:ascii="Times New Roman" w:hAnsi="Times New Roman" w:cs="Times New Roman"/>
                <w:b/>
              </w:rPr>
              <w:t>Blank (B)</w:t>
            </w:r>
          </w:p>
        </w:tc>
        <w:tc>
          <w:tcPr>
            <w:tcW w:w="905" w:type="dxa"/>
            <w:tcBorders>
              <w:top w:val="single" w:sz="4" w:space="0" w:color="auto"/>
              <w:left w:val="single" w:sz="4" w:space="0" w:color="auto"/>
              <w:bottom w:val="nil"/>
              <w:right w:val="nil"/>
            </w:tcBorders>
            <w:shd w:val="clear" w:color="auto" w:fill="auto"/>
            <w:vAlign w:val="center"/>
          </w:tcPr>
          <w:p w14:paraId="24AF9D31"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80</w:t>
            </w:r>
          </w:p>
        </w:tc>
        <w:tc>
          <w:tcPr>
            <w:tcW w:w="715" w:type="dxa"/>
            <w:tcBorders>
              <w:top w:val="single" w:sz="4" w:space="0" w:color="auto"/>
              <w:left w:val="nil"/>
              <w:bottom w:val="nil"/>
              <w:right w:val="nil"/>
            </w:tcBorders>
            <w:shd w:val="clear" w:color="auto" w:fill="auto"/>
            <w:vAlign w:val="center"/>
          </w:tcPr>
          <w:p w14:paraId="002E1B06"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720</w:t>
            </w:r>
          </w:p>
        </w:tc>
        <w:tc>
          <w:tcPr>
            <w:tcW w:w="720" w:type="dxa"/>
            <w:tcBorders>
              <w:top w:val="single" w:sz="4" w:space="0" w:color="auto"/>
              <w:left w:val="nil"/>
              <w:bottom w:val="nil"/>
              <w:right w:val="nil"/>
            </w:tcBorders>
            <w:shd w:val="clear" w:color="auto" w:fill="auto"/>
            <w:vAlign w:val="center"/>
          </w:tcPr>
          <w:p w14:paraId="03CF6DD4"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296</w:t>
            </w:r>
          </w:p>
        </w:tc>
        <w:tc>
          <w:tcPr>
            <w:tcW w:w="990" w:type="dxa"/>
            <w:tcBorders>
              <w:top w:val="single" w:sz="4" w:space="0" w:color="auto"/>
              <w:left w:val="nil"/>
              <w:bottom w:val="nil"/>
              <w:right w:val="nil"/>
            </w:tcBorders>
            <w:shd w:val="clear" w:color="auto" w:fill="auto"/>
            <w:vAlign w:val="center"/>
          </w:tcPr>
          <w:p w14:paraId="47B51DC8"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w:t>
            </w:r>
          </w:p>
        </w:tc>
        <w:tc>
          <w:tcPr>
            <w:tcW w:w="1350" w:type="dxa"/>
            <w:tcBorders>
              <w:top w:val="single" w:sz="4" w:space="0" w:color="auto"/>
              <w:left w:val="nil"/>
              <w:bottom w:val="nil"/>
              <w:right w:val="nil"/>
            </w:tcBorders>
            <w:shd w:val="clear" w:color="auto" w:fill="auto"/>
            <w:vAlign w:val="center"/>
          </w:tcPr>
          <w:p w14:paraId="0A44599D"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w:t>
            </w:r>
          </w:p>
        </w:tc>
        <w:tc>
          <w:tcPr>
            <w:tcW w:w="1260" w:type="dxa"/>
            <w:tcBorders>
              <w:top w:val="single" w:sz="4" w:space="0" w:color="auto"/>
              <w:left w:val="nil"/>
              <w:bottom w:val="nil"/>
              <w:right w:val="nil"/>
            </w:tcBorders>
            <w:shd w:val="clear" w:color="auto" w:fill="auto"/>
            <w:vAlign w:val="center"/>
          </w:tcPr>
          <w:p w14:paraId="7B2E8218"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1096</w:t>
            </w:r>
          </w:p>
        </w:tc>
      </w:tr>
      <w:tr w:rsidR="007218C6" w:rsidRPr="00A26A92" w14:paraId="3A1D6947" w14:textId="77777777" w:rsidTr="00C07DA0">
        <w:trPr>
          <w:trHeight w:val="295"/>
          <w:jc w:val="center"/>
        </w:trPr>
        <w:tc>
          <w:tcPr>
            <w:tcW w:w="3384" w:type="dxa"/>
            <w:tcBorders>
              <w:top w:val="nil"/>
              <w:left w:val="nil"/>
              <w:bottom w:val="nil"/>
              <w:right w:val="single" w:sz="4" w:space="0" w:color="auto"/>
            </w:tcBorders>
            <w:shd w:val="clear" w:color="auto" w:fill="auto"/>
            <w:vAlign w:val="center"/>
          </w:tcPr>
          <w:p w14:paraId="73D7E75F" w14:textId="77777777" w:rsidR="007218C6" w:rsidRPr="00A26A92" w:rsidRDefault="007218C6" w:rsidP="00C07DA0">
            <w:pPr>
              <w:spacing w:line="360" w:lineRule="auto"/>
              <w:jc w:val="center"/>
              <w:rPr>
                <w:rFonts w:ascii="Times New Roman" w:hAnsi="Times New Roman" w:cs="Times New Roman"/>
                <w:b/>
              </w:rPr>
            </w:pPr>
            <w:r w:rsidRPr="00A26A92">
              <w:rPr>
                <w:rFonts w:ascii="Times New Roman" w:hAnsi="Times New Roman" w:cs="Times New Roman"/>
                <w:b/>
              </w:rPr>
              <w:t>3wt% Cs &amp; 3wt% Sr (CS)</w:t>
            </w:r>
          </w:p>
        </w:tc>
        <w:tc>
          <w:tcPr>
            <w:tcW w:w="905" w:type="dxa"/>
            <w:tcBorders>
              <w:top w:val="nil"/>
              <w:left w:val="single" w:sz="4" w:space="0" w:color="auto"/>
              <w:bottom w:val="nil"/>
              <w:right w:val="nil"/>
            </w:tcBorders>
            <w:shd w:val="clear" w:color="auto" w:fill="auto"/>
            <w:vAlign w:val="center"/>
          </w:tcPr>
          <w:p w14:paraId="3CD42CBC"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80</w:t>
            </w:r>
          </w:p>
        </w:tc>
        <w:tc>
          <w:tcPr>
            <w:tcW w:w="715" w:type="dxa"/>
            <w:tcBorders>
              <w:top w:val="nil"/>
              <w:left w:val="nil"/>
              <w:bottom w:val="nil"/>
              <w:right w:val="nil"/>
            </w:tcBorders>
            <w:shd w:val="clear" w:color="auto" w:fill="auto"/>
            <w:vAlign w:val="center"/>
          </w:tcPr>
          <w:p w14:paraId="32C500A3"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720</w:t>
            </w:r>
          </w:p>
        </w:tc>
        <w:tc>
          <w:tcPr>
            <w:tcW w:w="720" w:type="dxa"/>
            <w:tcBorders>
              <w:top w:val="nil"/>
              <w:left w:val="nil"/>
              <w:bottom w:val="nil"/>
              <w:right w:val="nil"/>
            </w:tcBorders>
            <w:shd w:val="clear" w:color="auto" w:fill="auto"/>
            <w:vAlign w:val="center"/>
          </w:tcPr>
          <w:p w14:paraId="4AB64CF9"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296</w:t>
            </w:r>
          </w:p>
        </w:tc>
        <w:tc>
          <w:tcPr>
            <w:tcW w:w="990" w:type="dxa"/>
            <w:tcBorders>
              <w:top w:val="nil"/>
              <w:left w:val="nil"/>
              <w:bottom w:val="nil"/>
              <w:right w:val="nil"/>
            </w:tcBorders>
            <w:shd w:val="clear" w:color="auto" w:fill="auto"/>
            <w:vAlign w:val="center"/>
          </w:tcPr>
          <w:p w14:paraId="4EB3CB8A"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54.6*</w:t>
            </w:r>
          </w:p>
        </w:tc>
        <w:tc>
          <w:tcPr>
            <w:tcW w:w="1350" w:type="dxa"/>
            <w:tcBorders>
              <w:top w:val="nil"/>
              <w:left w:val="nil"/>
              <w:bottom w:val="nil"/>
              <w:right w:val="nil"/>
            </w:tcBorders>
            <w:shd w:val="clear" w:color="auto" w:fill="auto"/>
            <w:vAlign w:val="center"/>
          </w:tcPr>
          <w:p w14:paraId="62945A3A"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90.6*</w:t>
            </w:r>
          </w:p>
        </w:tc>
        <w:tc>
          <w:tcPr>
            <w:tcW w:w="1260" w:type="dxa"/>
            <w:tcBorders>
              <w:top w:val="nil"/>
              <w:left w:val="nil"/>
              <w:bottom w:val="nil"/>
              <w:right w:val="nil"/>
            </w:tcBorders>
            <w:shd w:val="clear" w:color="auto" w:fill="auto"/>
            <w:vAlign w:val="center"/>
          </w:tcPr>
          <w:p w14:paraId="70564EE4"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1241.2</w:t>
            </w:r>
          </w:p>
        </w:tc>
      </w:tr>
      <w:tr w:rsidR="007218C6" w:rsidRPr="00A26A92" w14:paraId="1E5C3622" w14:textId="77777777" w:rsidTr="00C07DA0">
        <w:trPr>
          <w:trHeight w:val="155"/>
          <w:jc w:val="center"/>
        </w:trPr>
        <w:tc>
          <w:tcPr>
            <w:tcW w:w="3384" w:type="dxa"/>
            <w:tcBorders>
              <w:top w:val="nil"/>
              <w:left w:val="nil"/>
              <w:bottom w:val="nil"/>
              <w:right w:val="single" w:sz="4" w:space="0" w:color="auto"/>
            </w:tcBorders>
            <w:shd w:val="clear" w:color="auto" w:fill="auto"/>
            <w:vAlign w:val="center"/>
          </w:tcPr>
          <w:p w14:paraId="155CAABA" w14:textId="77777777" w:rsidR="007218C6" w:rsidRPr="00A26A92" w:rsidRDefault="007218C6" w:rsidP="00C07DA0">
            <w:pPr>
              <w:spacing w:line="360" w:lineRule="auto"/>
              <w:jc w:val="center"/>
              <w:rPr>
                <w:rFonts w:ascii="Times New Roman" w:hAnsi="Times New Roman" w:cs="Times New Roman"/>
                <w:b/>
              </w:rPr>
            </w:pPr>
            <w:r w:rsidRPr="00A26A92">
              <w:rPr>
                <w:rFonts w:ascii="Times New Roman" w:hAnsi="Times New Roman" w:cs="Times New Roman"/>
                <w:b/>
              </w:rPr>
              <w:t>3wt% Cs (C)</w:t>
            </w:r>
          </w:p>
        </w:tc>
        <w:tc>
          <w:tcPr>
            <w:tcW w:w="905" w:type="dxa"/>
            <w:tcBorders>
              <w:top w:val="nil"/>
              <w:left w:val="single" w:sz="4" w:space="0" w:color="auto"/>
              <w:bottom w:val="nil"/>
              <w:right w:val="nil"/>
            </w:tcBorders>
            <w:shd w:val="clear" w:color="auto" w:fill="auto"/>
            <w:vAlign w:val="center"/>
          </w:tcPr>
          <w:p w14:paraId="1F0E648F"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80</w:t>
            </w:r>
          </w:p>
        </w:tc>
        <w:tc>
          <w:tcPr>
            <w:tcW w:w="715" w:type="dxa"/>
            <w:tcBorders>
              <w:top w:val="nil"/>
              <w:left w:val="nil"/>
              <w:bottom w:val="nil"/>
              <w:right w:val="nil"/>
            </w:tcBorders>
            <w:shd w:val="clear" w:color="auto" w:fill="auto"/>
            <w:vAlign w:val="center"/>
          </w:tcPr>
          <w:p w14:paraId="06348444"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720</w:t>
            </w:r>
          </w:p>
        </w:tc>
        <w:tc>
          <w:tcPr>
            <w:tcW w:w="720" w:type="dxa"/>
            <w:tcBorders>
              <w:top w:val="nil"/>
              <w:left w:val="nil"/>
              <w:bottom w:val="nil"/>
              <w:right w:val="nil"/>
            </w:tcBorders>
            <w:shd w:val="clear" w:color="auto" w:fill="auto"/>
            <w:vAlign w:val="center"/>
          </w:tcPr>
          <w:p w14:paraId="27C2CEAA"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296</w:t>
            </w:r>
          </w:p>
        </w:tc>
        <w:tc>
          <w:tcPr>
            <w:tcW w:w="990" w:type="dxa"/>
            <w:tcBorders>
              <w:top w:val="nil"/>
              <w:left w:val="nil"/>
              <w:bottom w:val="nil"/>
              <w:right w:val="nil"/>
            </w:tcBorders>
            <w:shd w:val="clear" w:color="auto" w:fill="auto"/>
            <w:vAlign w:val="center"/>
          </w:tcPr>
          <w:p w14:paraId="777F1ECE"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49.8*</w:t>
            </w:r>
          </w:p>
        </w:tc>
        <w:tc>
          <w:tcPr>
            <w:tcW w:w="1350" w:type="dxa"/>
            <w:tcBorders>
              <w:top w:val="nil"/>
              <w:left w:val="nil"/>
              <w:bottom w:val="nil"/>
              <w:right w:val="nil"/>
            </w:tcBorders>
            <w:shd w:val="clear" w:color="auto" w:fill="auto"/>
            <w:vAlign w:val="center"/>
          </w:tcPr>
          <w:p w14:paraId="62CDB6E0"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w:t>
            </w:r>
          </w:p>
        </w:tc>
        <w:tc>
          <w:tcPr>
            <w:tcW w:w="1260" w:type="dxa"/>
            <w:tcBorders>
              <w:top w:val="nil"/>
              <w:left w:val="nil"/>
              <w:bottom w:val="nil"/>
              <w:right w:val="nil"/>
            </w:tcBorders>
            <w:shd w:val="clear" w:color="auto" w:fill="auto"/>
            <w:vAlign w:val="center"/>
          </w:tcPr>
          <w:p w14:paraId="08ED9AE7"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1145.8</w:t>
            </w:r>
          </w:p>
        </w:tc>
      </w:tr>
      <w:tr w:rsidR="007218C6" w:rsidRPr="00A26A92" w14:paraId="60790805" w14:textId="77777777" w:rsidTr="00C07DA0">
        <w:trPr>
          <w:trHeight w:val="43"/>
          <w:jc w:val="center"/>
        </w:trPr>
        <w:tc>
          <w:tcPr>
            <w:tcW w:w="3384" w:type="dxa"/>
            <w:tcBorders>
              <w:top w:val="nil"/>
              <w:left w:val="nil"/>
              <w:bottom w:val="single" w:sz="4" w:space="0" w:color="auto"/>
              <w:right w:val="single" w:sz="4" w:space="0" w:color="auto"/>
            </w:tcBorders>
            <w:shd w:val="clear" w:color="auto" w:fill="auto"/>
            <w:vAlign w:val="center"/>
          </w:tcPr>
          <w:p w14:paraId="52958241" w14:textId="77777777" w:rsidR="007218C6" w:rsidRPr="00A26A92" w:rsidRDefault="007218C6" w:rsidP="00C07DA0">
            <w:pPr>
              <w:spacing w:line="360" w:lineRule="auto"/>
              <w:jc w:val="center"/>
              <w:rPr>
                <w:rFonts w:ascii="Times New Roman" w:hAnsi="Times New Roman" w:cs="Times New Roman"/>
                <w:b/>
              </w:rPr>
            </w:pPr>
            <w:r w:rsidRPr="00A26A92">
              <w:rPr>
                <w:rFonts w:ascii="Times New Roman" w:hAnsi="Times New Roman" w:cs="Times New Roman"/>
                <w:b/>
              </w:rPr>
              <w:t>3wt% Sr (S)</w:t>
            </w:r>
          </w:p>
        </w:tc>
        <w:tc>
          <w:tcPr>
            <w:tcW w:w="905" w:type="dxa"/>
            <w:tcBorders>
              <w:top w:val="nil"/>
              <w:left w:val="single" w:sz="4" w:space="0" w:color="auto"/>
              <w:bottom w:val="single" w:sz="4" w:space="0" w:color="auto"/>
              <w:right w:val="nil"/>
            </w:tcBorders>
            <w:shd w:val="clear" w:color="auto" w:fill="auto"/>
            <w:vAlign w:val="center"/>
          </w:tcPr>
          <w:p w14:paraId="4CB2D187"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80</w:t>
            </w:r>
          </w:p>
        </w:tc>
        <w:tc>
          <w:tcPr>
            <w:tcW w:w="715" w:type="dxa"/>
            <w:tcBorders>
              <w:top w:val="nil"/>
              <w:left w:val="nil"/>
              <w:bottom w:val="single" w:sz="4" w:space="0" w:color="auto"/>
              <w:right w:val="nil"/>
            </w:tcBorders>
            <w:shd w:val="clear" w:color="auto" w:fill="auto"/>
            <w:vAlign w:val="center"/>
          </w:tcPr>
          <w:p w14:paraId="031D00B0"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720</w:t>
            </w:r>
          </w:p>
        </w:tc>
        <w:tc>
          <w:tcPr>
            <w:tcW w:w="720" w:type="dxa"/>
            <w:tcBorders>
              <w:top w:val="nil"/>
              <w:left w:val="nil"/>
              <w:bottom w:val="single" w:sz="4" w:space="0" w:color="auto"/>
              <w:right w:val="nil"/>
            </w:tcBorders>
            <w:shd w:val="clear" w:color="auto" w:fill="auto"/>
            <w:vAlign w:val="center"/>
          </w:tcPr>
          <w:p w14:paraId="0AB00ED9"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296</w:t>
            </w:r>
          </w:p>
        </w:tc>
        <w:tc>
          <w:tcPr>
            <w:tcW w:w="990" w:type="dxa"/>
            <w:tcBorders>
              <w:top w:val="nil"/>
              <w:left w:val="nil"/>
              <w:bottom w:val="single" w:sz="4" w:space="0" w:color="auto"/>
              <w:right w:val="nil"/>
            </w:tcBorders>
            <w:shd w:val="clear" w:color="auto" w:fill="auto"/>
            <w:vAlign w:val="center"/>
          </w:tcPr>
          <w:p w14:paraId="1F364313"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w:t>
            </w:r>
          </w:p>
        </w:tc>
        <w:tc>
          <w:tcPr>
            <w:tcW w:w="1350" w:type="dxa"/>
            <w:tcBorders>
              <w:top w:val="nil"/>
              <w:left w:val="nil"/>
              <w:bottom w:val="single" w:sz="4" w:space="0" w:color="auto"/>
              <w:right w:val="nil"/>
            </w:tcBorders>
            <w:shd w:val="clear" w:color="auto" w:fill="auto"/>
            <w:vAlign w:val="center"/>
          </w:tcPr>
          <w:p w14:paraId="7FB7E8C3"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89.9*</w:t>
            </w:r>
          </w:p>
        </w:tc>
        <w:tc>
          <w:tcPr>
            <w:tcW w:w="1260" w:type="dxa"/>
            <w:tcBorders>
              <w:top w:val="nil"/>
              <w:left w:val="nil"/>
              <w:bottom w:val="single" w:sz="4" w:space="0" w:color="auto"/>
              <w:right w:val="nil"/>
            </w:tcBorders>
            <w:shd w:val="clear" w:color="auto" w:fill="auto"/>
            <w:vAlign w:val="center"/>
          </w:tcPr>
          <w:p w14:paraId="4D696CA0" w14:textId="77777777" w:rsidR="007218C6" w:rsidRPr="00A26A92" w:rsidRDefault="007218C6" w:rsidP="00C07DA0">
            <w:pPr>
              <w:spacing w:line="360" w:lineRule="auto"/>
              <w:jc w:val="center"/>
              <w:rPr>
                <w:rFonts w:ascii="Times New Roman" w:hAnsi="Times New Roman" w:cs="Times New Roman"/>
              </w:rPr>
            </w:pPr>
            <w:r w:rsidRPr="00A26A92">
              <w:rPr>
                <w:rFonts w:ascii="Times New Roman" w:hAnsi="Times New Roman" w:cs="Times New Roman"/>
              </w:rPr>
              <w:t>1206.3</w:t>
            </w:r>
          </w:p>
        </w:tc>
      </w:tr>
      <w:tr w:rsidR="007218C6" w:rsidRPr="00A26A92" w14:paraId="2BFF4DEF" w14:textId="77777777" w:rsidTr="00C07DA0">
        <w:trPr>
          <w:trHeight w:val="43"/>
          <w:jc w:val="center"/>
        </w:trPr>
        <w:tc>
          <w:tcPr>
            <w:tcW w:w="9324" w:type="dxa"/>
            <w:gridSpan w:val="7"/>
            <w:tcBorders>
              <w:left w:val="nil"/>
              <w:bottom w:val="nil"/>
              <w:right w:val="nil"/>
            </w:tcBorders>
            <w:shd w:val="clear" w:color="auto" w:fill="auto"/>
            <w:vAlign w:val="center"/>
          </w:tcPr>
          <w:p w14:paraId="1E35961D" w14:textId="75DE857B" w:rsidR="007218C6" w:rsidRDefault="007218C6" w:rsidP="00C07DA0">
            <w:pPr>
              <w:spacing w:after="120"/>
              <w:jc w:val="center"/>
              <w:rPr>
                <w:rFonts w:ascii="Times New Roman" w:hAnsi="Times New Roman" w:cs="Times New Roman"/>
                <w:i/>
              </w:rPr>
            </w:pPr>
            <w:r w:rsidRPr="00A26A92">
              <w:rPr>
                <w:rFonts w:ascii="Times New Roman" w:hAnsi="Times New Roman" w:cs="Times New Roman"/>
                <w:i/>
              </w:rPr>
              <w:t>* The amount of waste simulants were calculated to provide 3 wt% of elemental Cs and/or Sr with respect to the total weight of the mix (</w:t>
            </w:r>
            <w:r w:rsidR="00E85025">
              <w:rPr>
                <w:rFonts w:ascii="Times New Roman" w:hAnsi="Times New Roman" w:cs="Times New Roman"/>
                <w:i/>
              </w:rPr>
              <w:t>PC</w:t>
            </w:r>
            <w:r w:rsidRPr="00A26A92">
              <w:rPr>
                <w:rFonts w:ascii="Times New Roman" w:hAnsi="Times New Roman" w:cs="Times New Roman"/>
                <w:i/>
              </w:rPr>
              <w:t xml:space="preserve"> + BFS + water + nitrates).</w:t>
            </w:r>
          </w:p>
          <w:p w14:paraId="08CC9867" w14:textId="77777777" w:rsidR="007218C6" w:rsidRPr="00A26A92" w:rsidRDefault="007218C6" w:rsidP="00C07DA0">
            <w:pPr>
              <w:spacing w:after="120"/>
              <w:jc w:val="center"/>
              <w:rPr>
                <w:rFonts w:ascii="Times New Roman" w:hAnsi="Times New Roman" w:cs="Times New Roman"/>
                <w:i/>
              </w:rPr>
            </w:pPr>
          </w:p>
        </w:tc>
      </w:tr>
    </w:tbl>
    <w:p w14:paraId="42D34F90" w14:textId="3711EB6B" w:rsidR="005E58FF" w:rsidRDefault="007218C6" w:rsidP="00EB42A6">
      <w:pPr>
        <w:spacing w:line="360" w:lineRule="auto"/>
        <w:jc w:val="both"/>
        <w:rPr>
          <w:rFonts w:ascii="Times New Roman" w:hAnsi="Times New Roman" w:cs="Times New Roman"/>
        </w:rPr>
      </w:pPr>
      <w:r w:rsidRPr="00A26A92">
        <w:rPr>
          <w:rFonts w:ascii="Times New Roman" w:hAnsi="Times New Roman" w:cs="Times New Roman"/>
        </w:rPr>
        <w:t xml:space="preserve">At the end of the 42-day curing period the cement samples prepared </w:t>
      </w:r>
      <w:r>
        <w:rPr>
          <w:rFonts w:ascii="Times New Roman" w:hAnsi="Times New Roman" w:cs="Times New Roman"/>
        </w:rPr>
        <w:t xml:space="preserve">in the centrifuge tubes </w:t>
      </w:r>
      <w:r w:rsidRPr="00A26A92">
        <w:rPr>
          <w:rFonts w:ascii="Times New Roman" w:hAnsi="Times New Roman" w:cs="Times New Roman"/>
        </w:rPr>
        <w:t>were</w:t>
      </w:r>
      <w:r>
        <w:rPr>
          <w:rFonts w:ascii="Times New Roman" w:hAnsi="Times New Roman" w:cs="Times New Roman"/>
        </w:rPr>
        <w:t xml:space="preserve"> dissected into cylinders of 25mm in height </w:t>
      </w:r>
      <w:r w:rsidRPr="00A26A92">
        <w:rPr>
          <w:rFonts w:ascii="Times New Roman" w:hAnsi="Times New Roman" w:cs="Times New Roman"/>
        </w:rPr>
        <w:t>without removal from the centrifuge tubes using an Isomet 5000 Linear Precision saw whilst continuously lubricating the sample with isopropanol to avo</w:t>
      </w:r>
      <w:r>
        <w:rPr>
          <w:rFonts w:ascii="Times New Roman" w:hAnsi="Times New Roman" w:cs="Times New Roman"/>
        </w:rPr>
        <w:t>id overheating. The cement samples</w:t>
      </w:r>
      <w:r w:rsidRPr="00A26A92">
        <w:rPr>
          <w:rFonts w:ascii="Times New Roman" w:hAnsi="Times New Roman" w:cs="Times New Roman"/>
        </w:rPr>
        <w:t xml:space="preserve"> were then pushed out of the plastic casing, and each had a diameter of 27mm. The samples were cleaned using acetone in an ultrasonic bath.  The cleaned samples were placed in acetone for 1 week to arrest hydration and then dried for </w:t>
      </w:r>
      <w:r>
        <w:rPr>
          <w:rFonts w:ascii="Times New Roman" w:hAnsi="Times New Roman" w:cs="Times New Roman"/>
        </w:rPr>
        <w:t>24 hours</w:t>
      </w:r>
      <w:r w:rsidR="008B2353">
        <w:rPr>
          <w:rFonts w:ascii="Times New Roman" w:hAnsi="Times New Roman" w:cs="Times New Roman"/>
        </w:rPr>
        <w:t>.</w:t>
      </w:r>
      <w:r w:rsidR="00DD59C6">
        <w:rPr>
          <w:rFonts w:ascii="Times New Roman" w:hAnsi="Times New Roman" w:cs="Times New Roman"/>
        </w:rPr>
        <w:t xml:space="preserve"> The acetone is absorbed </w:t>
      </w:r>
      <w:r w:rsidR="005E58FF">
        <w:rPr>
          <w:rFonts w:ascii="Times New Roman" w:hAnsi="Times New Roman" w:cs="Times New Roman"/>
        </w:rPr>
        <w:t xml:space="preserve">fast </w:t>
      </w:r>
      <w:r w:rsidR="00DD59C6">
        <w:rPr>
          <w:rFonts w:ascii="Times New Roman" w:hAnsi="Times New Roman" w:cs="Times New Roman"/>
        </w:rPr>
        <w:t xml:space="preserve">into the cement and penetrates the cement pores replacing </w:t>
      </w:r>
      <w:r w:rsidR="005E58FF">
        <w:rPr>
          <w:rFonts w:ascii="Times New Roman" w:hAnsi="Times New Roman" w:cs="Times New Roman"/>
        </w:rPr>
        <w:t>the pore water and stopping the hydration [</w:t>
      </w:r>
      <w:r w:rsidR="00BF19F4">
        <w:rPr>
          <w:rFonts w:ascii="Times New Roman" w:hAnsi="Times New Roman" w:cs="Times New Roman"/>
        </w:rPr>
        <w:t>2</w:t>
      </w:r>
      <w:r w:rsidR="00EB42A6">
        <w:rPr>
          <w:rFonts w:ascii="Times New Roman" w:hAnsi="Times New Roman" w:cs="Times New Roman"/>
        </w:rPr>
        <w:t>]</w:t>
      </w:r>
      <w:r>
        <w:rPr>
          <w:rFonts w:ascii="Times New Roman" w:hAnsi="Times New Roman" w:cs="Times New Roman"/>
        </w:rPr>
        <w:t xml:space="preserve"> </w:t>
      </w:r>
    </w:p>
    <w:p w14:paraId="7C5D8B3C" w14:textId="3FA00D85" w:rsidR="007218C6" w:rsidRDefault="007218C6" w:rsidP="005E58FF">
      <w:pPr>
        <w:spacing w:line="360" w:lineRule="auto"/>
        <w:jc w:val="both"/>
        <w:rPr>
          <w:rFonts w:ascii="Times New Roman" w:hAnsi="Times New Roman" w:cs="Times New Roman"/>
        </w:rPr>
      </w:pPr>
      <w:r>
        <w:rPr>
          <w:rFonts w:ascii="Times New Roman" w:hAnsi="Times New Roman" w:cs="Times New Roman"/>
        </w:rPr>
        <w:t xml:space="preserve">Once dried the cylinder was placed in a mould and </w:t>
      </w:r>
      <w:r w:rsidRPr="00A26A92">
        <w:rPr>
          <w:rFonts w:ascii="Times New Roman" w:hAnsi="Times New Roman" w:cs="Times New Roman"/>
        </w:rPr>
        <w:t>epoxy resin</w:t>
      </w:r>
      <w:r>
        <w:rPr>
          <w:rFonts w:ascii="Times New Roman" w:hAnsi="Times New Roman" w:cs="Times New Roman"/>
        </w:rPr>
        <w:t xml:space="preserve"> (using chemset clear base resin) cast round </w:t>
      </w:r>
      <w:proofErr w:type="gramStart"/>
      <w:r>
        <w:rPr>
          <w:rFonts w:ascii="Times New Roman" w:hAnsi="Times New Roman" w:cs="Times New Roman"/>
        </w:rPr>
        <w:t>it which</w:t>
      </w:r>
      <w:proofErr w:type="gramEnd"/>
      <w:r>
        <w:rPr>
          <w:rFonts w:ascii="Times New Roman" w:hAnsi="Times New Roman" w:cs="Times New Roman"/>
        </w:rPr>
        <w:t xml:space="preserve"> was</w:t>
      </w:r>
      <w:r w:rsidRPr="00A26A92">
        <w:rPr>
          <w:rFonts w:ascii="Times New Roman" w:hAnsi="Times New Roman" w:cs="Times New Roman"/>
        </w:rPr>
        <w:t xml:space="preserve"> left to set overnight. The epoxy resin covered the exterior of the cement sample, leaving only one surfac</w:t>
      </w:r>
      <w:r>
        <w:rPr>
          <w:rFonts w:ascii="Times New Roman" w:hAnsi="Times New Roman" w:cs="Times New Roman"/>
        </w:rPr>
        <w:t xml:space="preserve">e exposed as illustrated in Figure </w:t>
      </w:r>
      <w:r w:rsidRPr="00A26A92">
        <w:rPr>
          <w:rFonts w:ascii="Times New Roman" w:hAnsi="Times New Roman" w:cs="Times New Roman"/>
        </w:rPr>
        <w:t>3.1. This ensures that the leac</w:t>
      </w:r>
      <w:r>
        <w:rPr>
          <w:rFonts w:ascii="Times New Roman" w:hAnsi="Times New Roman" w:cs="Times New Roman"/>
        </w:rPr>
        <w:t>hing occurs at this site only.</w:t>
      </w:r>
      <w:r w:rsidRPr="00A26A92">
        <w:rPr>
          <w:rFonts w:ascii="Times New Roman" w:hAnsi="Times New Roman" w:cs="Times New Roman"/>
        </w:rPr>
        <w:t xml:space="preserve"> </w:t>
      </w:r>
    </w:p>
    <w:p w14:paraId="2BB36C97" w14:textId="77777777" w:rsidR="007218C6" w:rsidRDefault="007218C6" w:rsidP="007218C6">
      <w:pPr>
        <w:spacing w:line="360" w:lineRule="auto"/>
        <w:jc w:val="both"/>
        <w:rPr>
          <w:rFonts w:ascii="Times New Roman" w:hAnsi="Times New Roman" w:cs="Times New Roman"/>
        </w:rPr>
      </w:pPr>
    </w:p>
    <w:p w14:paraId="1D59B6FF" w14:textId="77777777" w:rsidR="007218C6" w:rsidRPr="003133A1" w:rsidRDefault="007218C6" w:rsidP="007218C6">
      <w:pPr>
        <w:spacing w:line="360" w:lineRule="auto"/>
        <w:jc w:val="both"/>
        <w:rPr>
          <w:rFonts w:ascii="Times New Roman" w:hAnsi="Times New Roman" w:cs="Times New Roman"/>
        </w:rPr>
      </w:pPr>
    </w:p>
    <w:p w14:paraId="15CE1BD2" w14:textId="77777777" w:rsidR="007218C6" w:rsidRPr="00A26A92" w:rsidRDefault="007218C6" w:rsidP="007218C6">
      <w:pPr>
        <w:jc w:val="center"/>
        <w:rPr>
          <w:rFonts w:ascii="Times New Roman" w:hAnsi="Times New Roman" w:cs="Times New Roman"/>
        </w:rPr>
      </w:pPr>
      <w:r w:rsidRPr="00F273F9">
        <w:rPr>
          <w:rFonts w:ascii="Times New Roman" w:hAnsi="Times New Roman" w:cs="Times New Roman"/>
          <w:noProof/>
        </w:rPr>
        <w:lastRenderedPageBreak/>
        <w:drawing>
          <wp:inline distT="0" distB="0" distL="0" distR="0" wp14:anchorId="3E7249D1" wp14:editId="4186B8A2">
            <wp:extent cx="2252311" cy="1476901"/>
            <wp:effectExtent l="0" t="0" r="8890" b="0"/>
            <wp:docPr id="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r="5817"/>
                    <a:stretch/>
                  </pic:blipFill>
                  <pic:spPr bwMode="auto">
                    <a:xfrm>
                      <a:off x="0" y="0"/>
                      <a:ext cx="2253425" cy="1477632"/>
                    </a:xfrm>
                    <a:prstGeom prst="rect">
                      <a:avLst/>
                    </a:prstGeom>
                    <a:noFill/>
                    <a:ln>
                      <a:noFill/>
                    </a:ln>
                    <a:extLst>
                      <a:ext uri="{53640926-AAD7-44d8-BBD7-CCE9431645EC}">
                        <a14:shadowObscured xmlns:a14="http://schemas.microsoft.com/office/drawing/2010/main"/>
                      </a:ext>
                    </a:extLst>
                  </pic:spPr>
                </pic:pic>
              </a:graphicData>
            </a:graphic>
          </wp:inline>
        </w:drawing>
      </w:r>
    </w:p>
    <w:p w14:paraId="1F0E1032" w14:textId="77777777" w:rsidR="007218C6" w:rsidRDefault="007218C6" w:rsidP="007218C6">
      <w:pPr>
        <w:jc w:val="center"/>
        <w:rPr>
          <w:rFonts w:ascii="Times New Roman" w:hAnsi="Times New Roman" w:cs="Times New Roman"/>
        </w:rPr>
      </w:pPr>
      <w:r w:rsidRPr="00A26A92">
        <w:rPr>
          <w:rFonts w:ascii="Times New Roman" w:hAnsi="Times New Roman" w:cs="Times New Roman"/>
          <w:b/>
        </w:rPr>
        <w:t>Figure 3.1</w:t>
      </w:r>
      <w:r>
        <w:rPr>
          <w:rFonts w:ascii="Times New Roman" w:hAnsi="Times New Roman" w:cs="Times New Roman"/>
          <w:b/>
        </w:rPr>
        <w:t xml:space="preserve">: </w:t>
      </w:r>
      <w:r w:rsidRPr="00746579">
        <w:rPr>
          <w:rFonts w:ascii="Times New Roman" w:hAnsi="Times New Roman" w:cs="Times New Roman"/>
        </w:rPr>
        <w:t>Typical cement sample used in acidic, static and semi-static leaching tests</w:t>
      </w:r>
    </w:p>
    <w:p w14:paraId="629FEE86" w14:textId="77777777" w:rsidR="00C23F8E" w:rsidRPr="00A26A92" w:rsidRDefault="00C23F8E" w:rsidP="007218C6">
      <w:pPr>
        <w:jc w:val="center"/>
        <w:rPr>
          <w:rFonts w:ascii="Times New Roman" w:hAnsi="Times New Roman" w:cs="Times New Roman"/>
          <w:b/>
        </w:rPr>
      </w:pPr>
    </w:p>
    <w:p w14:paraId="79901DE2" w14:textId="77777777" w:rsidR="007218C6" w:rsidRDefault="007218C6" w:rsidP="007218C6">
      <w:pPr>
        <w:spacing w:line="360" w:lineRule="auto"/>
        <w:jc w:val="center"/>
        <w:rPr>
          <w:rFonts w:ascii="Times New Roman" w:hAnsi="Times New Roman" w:cs="Times New Roman"/>
          <w:b/>
        </w:rPr>
      </w:pPr>
    </w:p>
    <w:p w14:paraId="48309949" w14:textId="77777777" w:rsidR="007218C6" w:rsidRDefault="007218C6" w:rsidP="007218C6">
      <w:pPr>
        <w:spacing w:before="120" w:after="120" w:line="360" w:lineRule="auto"/>
        <w:jc w:val="both"/>
        <w:rPr>
          <w:rFonts w:ascii="Times New Roman" w:hAnsi="Times New Roman" w:cs="Times New Roman"/>
        </w:rPr>
      </w:pPr>
    </w:p>
    <w:p w14:paraId="0B755193" w14:textId="668A171A" w:rsidR="007218C6" w:rsidRPr="00A26A92" w:rsidRDefault="007218C6" w:rsidP="007218C6">
      <w:pPr>
        <w:spacing w:before="120" w:after="120" w:line="360" w:lineRule="auto"/>
        <w:jc w:val="both"/>
        <w:rPr>
          <w:rFonts w:ascii="Times New Roman" w:hAnsi="Times New Roman" w:cs="Times New Roman"/>
        </w:rPr>
      </w:pPr>
      <w:r w:rsidRPr="00A26A92">
        <w:rPr>
          <w:rFonts w:ascii="Times New Roman" w:hAnsi="Times New Roman" w:cs="Times New Roman"/>
        </w:rPr>
        <w:t>The samples used in the electrical leaching</w:t>
      </w:r>
      <w:r>
        <w:rPr>
          <w:rFonts w:ascii="Times New Roman" w:hAnsi="Times New Roman" w:cs="Times New Roman"/>
        </w:rPr>
        <w:t xml:space="preserve"> tests</w:t>
      </w:r>
      <w:r w:rsidRPr="00A26A92">
        <w:rPr>
          <w:rFonts w:ascii="Times New Roman" w:hAnsi="Times New Roman" w:cs="Times New Roman"/>
        </w:rPr>
        <w:t xml:space="preserve"> were cut into square sheets</w:t>
      </w:r>
      <w:r w:rsidR="00C23F8E">
        <w:rPr>
          <w:rFonts w:ascii="Times New Roman" w:hAnsi="Times New Roman" w:cs="Times New Roman"/>
        </w:rPr>
        <w:t xml:space="preserve"> in order to fit into the equipment used for electrical leaching</w:t>
      </w:r>
      <w:r w:rsidRPr="00A26A92">
        <w:rPr>
          <w:rFonts w:ascii="Times New Roman" w:hAnsi="Times New Roman" w:cs="Times New Roman"/>
        </w:rPr>
        <w:t xml:space="preserve">, as in </w:t>
      </w:r>
      <w:r>
        <w:rPr>
          <w:rFonts w:ascii="Times New Roman" w:hAnsi="Times New Roman" w:cs="Times New Roman"/>
        </w:rPr>
        <w:t>Figure 3.2, measuring 40mm×4</w:t>
      </w:r>
      <w:r w:rsidRPr="00A26A92">
        <w:rPr>
          <w:rFonts w:ascii="Times New Roman" w:hAnsi="Times New Roman" w:cs="Times New Roman"/>
        </w:rPr>
        <w:t>0mm</w:t>
      </w:r>
      <w:r>
        <w:rPr>
          <w:rFonts w:ascii="Times New Roman" w:hAnsi="Times New Roman" w:cs="Times New Roman"/>
        </w:rPr>
        <w:t>×</w:t>
      </w:r>
      <w:r w:rsidRPr="00A26A92">
        <w:rPr>
          <w:rFonts w:ascii="Times New Roman" w:hAnsi="Times New Roman" w:cs="Times New Roman"/>
        </w:rPr>
        <w:t xml:space="preserve">5mm using a Clipper EW2-55-3-DXS saw.  Again, these were placed in acetone for 1 week and then dried.  </w:t>
      </w:r>
    </w:p>
    <w:p w14:paraId="2EC735E4" w14:textId="77777777" w:rsidR="007218C6" w:rsidRPr="00A26A92" w:rsidRDefault="007218C6" w:rsidP="007218C6">
      <w:pPr>
        <w:spacing w:before="120" w:after="120" w:line="360" w:lineRule="auto"/>
        <w:jc w:val="both"/>
        <w:rPr>
          <w:rFonts w:ascii="Times New Roman" w:hAnsi="Times New Roman" w:cs="Times New Roman"/>
        </w:rPr>
      </w:pPr>
    </w:p>
    <w:p w14:paraId="2B6B3C3A" w14:textId="77777777" w:rsidR="007218C6" w:rsidRPr="00A26A92" w:rsidRDefault="007218C6" w:rsidP="007218C6">
      <w:pPr>
        <w:spacing w:before="120" w:after="120" w:line="360" w:lineRule="auto"/>
        <w:jc w:val="center"/>
        <w:rPr>
          <w:rFonts w:ascii="Times New Roman" w:hAnsi="Times New Roman" w:cs="Times New Roman"/>
          <w:b/>
        </w:rPr>
      </w:pPr>
      <w:r w:rsidRPr="00A26A92">
        <w:rPr>
          <w:rFonts w:ascii="Times New Roman" w:hAnsi="Times New Roman" w:cs="Times New Roman"/>
          <w:b/>
          <w:noProof/>
        </w:rPr>
        <w:drawing>
          <wp:inline distT="0" distB="0" distL="0" distR="0" wp14:anchorId="6865F34B" wp14:editId="2A337949">
            <wp:extent cx="3388019" cy="1915427"/>
            <wp:effectExtent l="25400" t="25400" r="15875" b="1524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rotWithShape="1">
                    <a:blip r:embed="rId24">
                      <a:extLst>
                        <a:ext uri="{28A0092B-C50C-407E-A947-70E740481C1C}">
                          <a14:useLocalDpi xmlns:a14="http://schemas.microsoft.com/office/drawing/2010/main" val="0"/>
                        </a:ext>
                      </a:extLst>
                    </a:blip>
                    <a:srcRect b="15273"/>
                    <a:stretch/>
                  </pic:blipFill>
                  <pic:spPr bwMode="auto">
                    <a:xfrm>
                      <a:off x="0" y="0"/>
                      <a:ext cx="3390496" cy="1916827"/>
                    </a:xfrm>
                    <a:prstGeom prst="rect">
                      <a:avLst/>
                    </a:prstGeom>
                    <a:noFill/>
                    <a:ln w="12700" cap="flat" cmpd="sng" algn="ctr">
                      <a:solidFill>
                        <a:sysClr val="windowText" lastClr="000000">
                          <a:lumMod val="95000"/>
                          <a:lumOff val="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BF25316" w14:textId="77777777" w:rsidR="007218C6" w:rsidRPr="00A26A92" w:rsidRDefault="007218C6" w:rsidP="007218C6">
      <w:pPr>
        <w:spacing w:before="120" w:after="120" w:line="360" w:lineRule="auto"/>
        <w:jc w:val="center"/>
        <w:rPr>
          <w:rFonts w:ascii="Times New Roman" w:hAnsi="Times New Roman" w:cs="Times New Roman"/>
          <w:b/>
        </w:rPr>
      </w:pPr>
      <w:r w:rsidRPr="00A26A92">
        <w:rPr>
          <w:rFonts w:ascii="Times New Roman" w:hAnsi="Times New Roman" w:cs="Times New Roman"/>
          <w:b/>
        </w:rPr>
        <w:t>Figure 3.2</w:t>
      </w:r>
      <w:r>
        <w:rPr>
          <w:rFonts w:ascii="Times New Roman" w:hAnsi="Times New Roman" w:cs="Times New Roman"/>
          <w:b/>
        </w:rPr>
        <w:t xml:space="preserve">: </w:t>
      </w:r>
      <w:r w:rsidRPr="00746579">
        <w:rPr>
          <w:rFonts w:ascii="Times New Roman" w:hAnsi="Times New Roman" w:cs="Times New Roman"/>
        </w:rPr>
        <w:t>Typical cement sample used in electrical leaching test</w:t>
      </w:r>
    </w:p>
    <w:p w14:paraId="2A6A60EA" w14:textId="77777777" w:rsidR="007218C6" w:rsidRDefault="007218C6" w:rsidP="007218C6">
      <w:pPr>
        <w:spacing w:before="120" w:after="120" w:line="360" w:lineRule="auto"/>
        <w:jc w:val="both"/>
        <w:rPr>
          <w:rFonts w:ascii="Times New Roman" w:hAnsi="Times New Roman" w:cs="Times New Roman"/>
          <w:b/>
          <w:sz w:val="32"/>
        </w:rPr>
      </w:pPr>
    </w:p>
    <w:p w14:paraId="10412CE7" w14:textId="77777777" w:rsidR="0018608F" w:rsidRDefault="0018608F" w:rsidP="007218C6">
      <w:pPr>
        <w:spacing w:before="120" w:after="120" w:line="360" w:lineRule="auto"/>
        <w:jc w:val="both"/>
        <w:rPr>
          <w:rFonts w:ascii="Times New Roman" w:hAnsi="Times New Roman" w:cs="Times New Roman"/>
          <w:b/>
          <w:sz w:val="32"/>
        </w:rPr>
      </w:pPr>
    </w:p>
    <w:p w14:paraId="2F64496D" w14:textId="77777777" w:rsidR="0018608F" w:rsidRDefault="0018608F" w:rsidP="007218C6">
      <w:pPr>
        <w:spacing w:before="120" w:after="120" w:line="360" w:lineRule="auto"/>
        <w:jc w:val="both"/>
        <w:rPr>
          <w:rFonts w:ascii="Times New Roman" w:hAnsi="Times New Roman" w:cs="Times New Roman"/>
          <w:b/>
          <w:sz w:val="32"/>
        </w:rPr>
      </w:pPr>
    </w:p>
    <w:p w14:paraId="35619438" w14:textId="77777777" w:rsidR="0018608F" w:rsidRDefault="0018608F" w:rsidP="007218C6">
      <w:pPr>
        <w:spacing w:before="120" w:after="120" w:line="360" w:lineRule="auto"/>
        <w:jc w:val="both"/>
        <w:rPr>
          <w:rFonts w:ascii="Times New Roman" w:hAnsi="Times New Roman" w:cs="Times New Roman"/>
          <w:b/>
          <w:sz w:val="32"/>
        </w:rPr>
      </w:pPr>
    </w:p>
    <w:p w14:paraId="7B7FF5F7" w14:textId="77777777" w:rsidR="0018608F" w:rsidRDefault="0018608F" w:rsidP="007218C6">
      <w:pPr>
        <w:spacing w:before="120" w:after="120" w:line="360" w:lineRule="auto"/>
        <w:jc w:val="both"/>
        <w:rPr>
          <w:rFonts w:ascii="Times New Roman" w:hAnsi="Times New Roman" w:cs="Times New Roman"/>
          <w:b/>
          <w:sz w:val="32"/>
        </w:rPr>
      </w:pPr>
    </w:p>
    <w:p w14:paraId="770C0BD3" w14:textId="77777777" w:rsidR="0018608F" w:rsidRDefault="0018608F" w:rsidP="007218C6">
      <w:pPr>
        <w:spacing w:before="120" w:after="120" w:line="360" w:lineRule="auto"/>
        <w:jc w:val="both"/>
        <w:rPr>
          <w:rFonts w:ascii="Times New Roman" w:hAnsi="Times New Roman" w:cs="Times New Roman"/>
          <w:b/>
          <w:sz w:val="32"/>
        </w:rPr>
      </w:pPr>
    </w:p>
    <w:p w14:paraId="4E14B664" w14:textId="5065F00F" w:rsidR="007218C6" w:rsidRPr="0094300D" w:rsidRDefault="00096DCE" w:rsidP="007218C6">
      <w:pPr>
        <w:spacing w:before="120" w:after="120" w:line="360" w:lineRule="auto"/>
        <w:jc w:val="both"/>
        <w:rPr>
          <w:rFonts w:ascii="Times New Roman" w:hAnsi="Times New Roman" w:cs="Times New Roman"/>
          <w:b/>
          <w:sz w:val="28"/>
        </w:rPr>
      </w:pPr>
      <w:r>
        <w:rPr>
          <w:rFonts w:ascii="Times New Roman" w:hAnsi="Times New Roman" w:cs="Times New Roman"/>
          <w:b/>
          <w:sz w:val="28"/>
        </w:rPr>
        <w:lastRenderedPageBreak/>
        <w:t>3.2.3</w:t>
      </w:r>
      <w:r w:rsidR="007218C6" w:rsidRPr="0094300D">
        <w:rPr>
          <w:rFonts w:ascii="Times New Roman" w:hAnsi="Times New Roman" w:cs="Times New Roman"/>
          <w:b/>
          <w:sz w:val="28"/>
        </w:rPr>
        <w:tab/>
        <w:t>Leaching Procedures</w:t>
      </w:r>
    </w:p>
    <w:p w14:paraId="0BA5FBD0" w14:textId="08449181" w:rsidR="007218C6" w:rsidRDefault="007218C6" w:rsidP="007218C6">
      <w:pPr>
        <w:spacing w:line="360" w:lineRule="auto"/>
        <w:jc w:val="both"/>
        <w:rPr>
          <w:rFonts w:ascii="Times New Roman" w:hAnsi="Times New Roman" w:cs="Times New Roman"/>
        </w:rPr>
      </w:pPr>
      <w:r w:rsidRPr="00A26A92">
        <w:rPr>
          <w:rFonts w:ascii="Times New Roman" w:hAnsi="Times New Roman" w:cs="Times New Roman"/>
        </w:rPr>
        <w:t>The different cement samples and their respecti</w:t>
      </w:r>
      <w:r>
        <w:rPr>
          <w:rFonts w:ascii="Times New Roman" w:hAnsi="Times New Roman" w:cs="Times New Roman"/>
        </w:rPr>
        <w:t>ve leaching tests are shown in T</w:t>
      </w:r>
      <w:r w:rsidRPr="00A26A92">
        <w:rPr>
          <w:rFonts w:ascii="Times New Roman" w:hAnsi="Times New Roman" w:cs="Times New Roman"/>
        </w:rPr>
        <w:t>able 3.</w:t>
      </w:r>
      <w:r w:rsidR="005A0753">
        <w:rPr>
          <w:rFonts w:ascii="Times New Roman" w:hAnsi="Times New Roman" w:cs="Times New Roman"/>
        </w:rPr>
        <w:t>2</w:t>
      </w:r>
      <w:r w:rsidRPr="00A26A92">
        <w:rPr>
          <w:rFonts w:ascii="Times New Roman" w:hAnsi="Times New Roman" w:cs="Times New Roman"/>
        </w:rPr>
        <w:t xml:space="preserve"> and the solutions used</w:t>
      </w:r>
      <w:r>
        <w:rPr>
          <w:rFonts w:ascii="Times New Roman" w:hAnsi="Times New Roman" w:cs="Times New Roman"/>
        </w:rPr>
        <w:t xml:space="preserve"> in these tests</w:t>
      </w:r>
      <w:r w:rsidRPr="00A26A92">
        <w:rPr>
          <w:rFonts w:ascii="Times New Roman" w:hAnsi="Times New Roman" w:cs="Times New Roman"/>
        </w:rPr>
        <w:t xml:space="preserve"> are shown in </w:t>
      </w:r>
      <w:r>
        <w:rPr>
          <w:rFonts w:ascii="Times New Roman" w:hAnsi="Times New Roman" w:cs="Times New Roman"/>
        </w:rPr>
        <w:t>T</w:t>
      </w:r>
      <w:r w:rsidRPr="00A26A92">
        <w:rPr>
          <w:rFonts w:ascii="Times New Roman" w:hAnsi="Times New Roman" w:cs="Times New Roman"/>
        </w:rPr>
        <w:t>able 3.</w:t>
      </w:r>
      <w:r w:rsidR="005A0753">
        <w:rPr>
          <w:rFonts w:ascii="Times New Roman" w:hAnsi="Times New Roman" w:cs="Times New Roman"/>
        </w:rPr>
        <w:t>3</w:t>
      </w:r>
      <w:r w:rsidRPr="00A26A92">
        <w:rPr>
          <w:rFonts w:ascii="Times New Roman" w:hAnsi="Times New Roman" w:cs="Times New Roman"/>
        </w:rPr>
        <w:t xml:space="preserve">. </w:t>
      </w:r>
    </w:p>
    <w:p w14:paraId="51F56020" w14:textId="77777777" w:rsidR="00456264" w:rsidRPr="00794696" w:rsidRDefault="00456264" w:rsidP="007218C6">
      <w:pPr>
        <w:spacing w:line="360" w:lineRule="auto"/>
        <w:jc w:val="both"/>
        <w:rPr>
          <w:rFonts w:ascii="Times New Roman" w:hAnsi="Times New Roman" w:cs="Times New Roman"/>
        </w:rPr>
      </w:pPr>
    </w:p>
    <w:p w14:paraId="79BA1A19" w14:textId="77777777" w:rsidR="007218C6" w:rsidRPr="00A26A92" w:rsidRDefault="007218C6" w:rsidP="007218C6">
      <w:pPr>
        <w:spacing w:line="360" w:lineRule="auto"/>
        <w:jc w:val="center"/>
        <w:rPr>
          <w:rFonts w:ascii="Times New Roman" w:hAnsi="Times New Roman" w:cs="Times New Roman"/>
          <w:b/>
        </w:rPr>
      </w:pPr>
    </w:p>
    <w:p w14:paraId="7388327B" w14:textId="498EAF0B" w:rsidR="007218C6" w:rsidRPr="00A26A92" w:rsidRDefault="007218C6" w:rsidP="007218C6">
      <w:pPr>
        <w:spacing w:line="360" w:lineRule="auto"/>
        <w:jc w:val="center"/>
        <w:rPr>
          <w:rFonts w:ascii="Times New Roman" w:hAnsi="Times New Roman" w:cs="Times New Roman"/>
        </w:rPr>
      </w:pPr>
      <w:r w:rsidRPr="00A26A92">
        <w:rPr>
          <w:rFonts w:ascii="Times New Roman" w:hAnsi="Times New Roman" w:cs="Times New Roman"/>
          <w:b/>
        </w:rPr>
        <w:t>Table 3.</w:t>
      </w:r>
      <w:r w:rsidR="005A0753">
        <w:rPr>
          <w:rFonts w:ascii="Times New Roman" w:hAnsi="Times New Roman" w:cs="Times New Roman"/>
          <w:b/>
        </w:rPr>
        <w:t>2</w:t>
      </w:r>
      <w:r w:rsidRPr="00A26A92">
        <w:rPr>
          <w:rFonts w:ascii="Times New Roman" w:hAnsi="Times New Roman" w:cs="Times New Roman"/>
          <w:b/>
        </w:rPr>
        <w:t>:</w:t>
      </w:r>
      <w:r w:rsidRPr="00A26A92">
        <w:rPr>
          <w:rFonts w:ascii="Times New Roman" w:hAnsi="Times New Roman" w:cs="Times New Roman"/>
        </w:rPr>
        <w:t xml:space="preserve"> Leaching experiments and cement samples</w:t>
      </w:r>
    </w:p>
    <w:tbl>
      <w:tblPr>
        <w:tblStyle w:val="TableGrid"/>
        <w:tblW w:w="0" w:type="auto"/>
        <w:tblBorders>
          <w:insideH w:val="none" w:sz="0" w:space="0" w:color="auto"/>
          <w:insideV w:val="none" w:sz="0" w:space="0" w:color="auto"/>
        </w:tblBorders>
        <w:tblLayout w:type="fixed"/>
        <w:tblLook w:val="04A0" w:firstRow="1" w:lastRow="0" w:firstColumn="1" w:lastColumn="0" w:noHBand="0" w:noVBand="1"/>
      </w:tblPr>
      <w:tblGrid>
        <w:gridCol w:w="3258"/>
        <w:gridCol w:w="1350"/>
        <w:gridCol w:w="1530"/>
        <w:gridCol w:w="1530"/>
        <w:gridCol w:w="1574"/>
      </w:tblGrid>
      <w:tr w:rsidR="007218C6" w:rsidRPr="00A26A92" w14:paraId="636B451F" w14:textId="77777777" w:rsidTr="00C07DA0">
        <w:trPr>
          <w:trHeight w:val="70"/>
        </w:trPr>
        <w:tc>
          <w:tcPr>
            <w:tcW w:w="3258" w:type="dxa"/>
            <w:tcBorders>
              <w:top w:val="single" w:sz="4" w:space="0" w:color="auto"/>
              <w:left w:val="nil"/>
              <w:bottom w:val="single" w:sz="4" w:space="0" w:color="auto"/>
            </w:tcBorders>
            <w:shd w:val="clear" w:color="auto" w:fill="FFFFFF" w:themeFill="background1"/>
            <w:vAlign w:val="center"/>
          </w:tcPr>
          <w:p w14:paraId="4B058D32" w14:textId="77777777" w:rsidR="007218C6" w:rsidRPr="00A26A92" w:rsidRDefault="007218C6" w:rsidP="00C07DA0">
            <w:pPr>
              <w:spacing w:before="120" w:after="120" w:line="360" w:lineRule="auto"/>
              <w:jc w:val="center"/>
              <w:rPr>
                <w:rFonts w:ascii="Times New Roman" w:hAnsi="Times New Roman" w:cs="Times New Roman"/>
                <w:b/>
                <w:sz w:val="24"/>
                <w:szCs w:val="24"/>
              </w:rPr>
            </w:pPr>
            <w:r w:rsidRPr="00A26A92">
              <w:rPr>
                <w:rFonts w:ascii="Times New Roman" w:hAnsi="Times New Roman" w:cs="Times New Roman"/>
                <w:b/>
                <w:sz w:val="24"/>
                <w:szCs w:val="24"/>
              </w:rPr>
              <w:t>Leaching Experiment</w:t>
            </w:r>
          </w:p>
        </w:tc>
        <w:tc>
          <w:tcPr>
            <w:tcW w:w="1350" w:type="dxa"/>
            <w:tcBorders>
              <w:top w:val="single" w:sz="4" w:space="0" w:color="auto"/>
              <w:bottom w:val="single" w:sz="4" w:space="0" w:color="auto"/>
            </w:tcBorders>
            <w:shd w:val="clear" w:color="auto" w:fill="FFFFFF" w:themeFill="background1"/>
            <w:vAlign w:val="center"/>
          </w:tcPr>
          <w:p w14:paraId="2F06A263" w14:textId="77777777" w:rsidR="007218C6" w:rsidRPr="00A26A92" w:rsidRDefault="007218C6" w:rsidP="00C07DA0">
            <w:pPr>
              <w:spacing w:before="120" w:after="120" w:line="360" w:lineRule="auto"/>
              <w:jc w:val="center"/>
              <w:rPr>
                <w:rFonts w:ascii="Times New Roman" w:hAnsi="Times New Roman" w:cs="Times New Roman"/>
                <w:b/>
                <w:sz w:val="24"/>
                <w:szCs w:val="24"/>
              </w:rPr>
            </w:pPr>
            <w:r w:rsidRPr="00A26A92">
              <w:rPr>
                <w:rFonts w:ascii="Times New Roman" w:hAnsi="Times New Roman" w:cs="Times New Roman"/>
                <w:b/>
                <w:sz w:val="24"/>
                <w:szCs w:val="24"/>
              </w:rPr>
              <w:t>B</w:t>
            </w:r>
          </w:p>
        </w:tc>
        <w:tc>
          <w:tcPr>
            <w:tcW w:w="1530" w:type="dxa"/>
            <w:tcBorders>
              <w:top w:val="single" w:sz="4" w:space="0" w:color="auto"/>
              <w:bottom w:val="single" w:sz="4" w:space="0" w:color="auto"/>
            </w:tcBorders>
            <w:shd w:val="clear" w:color="auto" w:fill="FFFFFF" w:themeFill="background1"/>
            <w:vAlign w:val="center"/>
          </w:tcPr>
          <w:p w14:paraId="2C908708" w14:textId="77777777" w:rsidR="007218C6" w:rsidRPr="00A26A92" w:rsidRDefault="007218C6" w:rsidP="00C07DA0">
            <w:pPr>
              <w:spacing w:before="120" w:after="120" w:line="360" w:lineRule="auto"/>
              <w:jc w:val="center"/>
              <w:rPr>
                <w:rFonts w:ascii="Times New Roman" w:hAnsi="Times New Roman" w:cs="Times New Roman"/>
                <w:b/>
                <w:sz w:val="24"/>
                <w:szCs w:val="24"/>
              </w:rPr>
            </w:pPr>
            <w:r w:rsidRPr="00A26A92">
              <w:rPr>
                <w:rFonts w:ascii="Times New Roman" w:hAnsi="Times New Roman" w:cs="Times New Roman"/>
                <w:b/>
                <w:sz w:val="24"/>
                <w:szCs w:val="24"/>
              </w:rPr>
              <w:t>CS</w:t>
            </w:r>
          </w:p>
        </w:tc>
        <w:tc>
          <w:tcPr>
            <w:tcW w:w="1530" w:type="dxa"/>
            <w:tcBorders>
              <w:top w:val="single" w:sz="4" w:space="0" w:color="auto"/>
              <w:bottom w:val="single" w:sz="4" w:space="0" w:color="auto"/>
            </w:tcBorders>
            <w:shd w:val="clear" w:color="auto" w:fill="FFFFFF" w:themeFill="background1"/>
            <w:vAlign w:val="center"/>
          </w:tcPr>
          <w:p w14:paraId="3F991A4B" w14:textId="77777777" w:rsidR="007218C6" w:rsidRPr="00A26A92" w:rsidRDefault="007218C6" w:rsidP="00C07DA0">
            <w:pPr>
              <w:spacing w:before="120" w:after="120" w:line="360" w:lineRule="auto"/>
              <w:jc w:val="center"/>
              <w:rPr>
                <w:rFonts w:ascii="Times New Roman" w:hAnsi="Times New Roman" w:cs="Times New Roman"/>
                <w:b/>
                <w:sz w:val="24"/>
                <w:szCs w:val="24"/>
              </w:rPr>
            </w:pPr>
            <w:r w:rsidRPr="00A26A92">
              <w:rPr>
                <w:rFonts w:ascii="Times New Roman" w:hAnsi="Times New Roman" w:cs="Times New Roman"/>
                <w:b/>
                <w:sz w:val="24"/>
                <w:szCs w:val="24"/>
              </w:rPr>
              <w:t>C</w:t>
            </w:r>
          </w:p>
        </w:tc>
        <w:tc>
          <w:tcPr>
            <w:tcW w:w="1574" w:type="dxa"/>
            <w:tcBorders>
              <w:top w:val="single" w:sz="4" w:space="0" w:color="auto"/>
              <w:bottom w:val="single" w:sz="4" w:space="0" w:color="auto"/>
              <w:right w:val="nil"/>
            </w:tcBorders>
            <w:shd w:val="clear" w:color="auto" w:fill="FFFFFF" w:themeFill="background1"/>
            <w:vAlign w:val="center"/>
          </w:tcPr>
          <w:p w14:paraId="6F9287A9" w14:textId="77777777" w:rsidR="007218C6" w:rsidRPr="00A26A92" w:rsidRDefault="007218C6" w:rsidP="00C07DA0">
            <w:pPr>
              <w:spacing w:before="120" w:after="120" w:line="360" w:lineRule="auto"/>
              <w:jc w:val="center"/>
              <w:rPr>
                <w:rFonts w:ascii="Times New Roman" w:hAnsi="Times New Roman" w:cs="Times New Roman"/>
                <w:b/>
                <w:sz w:val="24"/>
                <w:szCs w:val="24"/>
              </w:rPr>
            </w:pPr>
            <w:r w:rsidRPr="00A26A92">
              <w:rPr>
                <w:rFonts w:ascii="Times New Roman" w:hAnsi="Times New Roman" w:cs="Times New Roman"/>
                <w:b/>
                <w:sz w:val="24"/>
                <w:szCs w:val="24"/>
              </w:rPr>
              <w:t>S</w:t>
            </w:r>
          </w:p>
        </w:tc>
      </w:tr>
      <w:tr w:rsidR="007218C6" w:rsidRPr="00A26A92" w14:paraId="007FA395" w14:textId="77777777" w:rsidTr="00C07DA0">
        <w:tc>
          <w:tcPr>
            <w:tcW w:w="3258" w:type="dxa"/>
            <w:tcBorders>
              <w:top w:val="single" w:sz="4" w:space="0" w:color="auto"/>
              <w:left w:val="nil"/>
            </w:tcBorders>
            <w:vAlign w:val="center"/>
          </w:tcPr>
          <w:p w14:paraId="2547914D" w14:textId="77777777" w:rsidR="007218C6" w:rsidRPr="00A26A92" w:rsidRDefault="007218C6" w:rsidP="00C07DA0">
            <w:pPr>
              <w:tabs>
                <w:tab w:val="left" w:pos="1365"/>
              </w:tabs>
              <w:spacing w:before="120" w:after="120" w:line="360" w:lineRule="auto"/>
              <w:jc w:val="center"/>
              <w:rPr>
                <w:rFonts w:ascii="Times New Roman" w:hAnsi="Times New Roman" w:cs="Times New Roman"/>
                <w:b/>
                <w:sz w:val="24"/>
                <w:szCs w:val="24"/>
              </w:rPr>
            </w:pPr>
            <w:r w:rsidRPr="00A26A92">
              <w:rPr>
                <w:rFonts w:ascii="Times New Roman" w:hAnsi="Times New Roman" w:cs="Times New Roman"/>
                <w:b/>
                <w:sz w:val="24"/>
                <w:szCs w:val="24"/>
              </w:rPr>
              <w:t>Static</w:t>
            </w:r>
            <w:r>
              <w:rPr>
                <w:rFonts w:ascii="Times New Roman" w:hAnsi="Times New Roman" w:cs="Times New Roman"/>
                <w:b/>
                <w:sz w:val="24"/>
                <w:szCs w:val="24"/>
              </w:rPr>
              <w:t xml:space="preserve"> Leaching</w:t>
            </w:r>
          </w:p>
        </w:tc>
        <w:tc>
          <w:tcPr>
            <w:tcW w:w="1350" w:type="dxa"/>
            <w:tcBorders>
              <w:top w:val="single" w:sz="4" w:space="0" w:color="auto"/>
            </w:tcBorders>
            <w:vAlign w:val="center"/>
          </w:tcPr>
          <w:p w14:paraId="459E050C" w14:textId="77777777" w:rsidR="007218C6" w:rsidRPr="00A26A92" w:rsidRDefault="007218C6" w:rsidP="00C07DA0">
            <w:pPr>
              <w:spacing w:before="120" w:after="120" w:line="360" w:lineRule="auto"/>
              <w:jc w:val="center"/>
              <w:rPr>
                <w:rFonts w:ascii="Times New Roman" w:hAnsi="Times New Roman" w:cs="Times New Roman"/>
                <w:sz w:val="24"/>
                <w:szCs w:val="24"/>
              </w:rPr>
            </w:pPr>
            <w:r w:rsidRPr="00A26A92">
              <w:rPr>
                <w:rFonts w:ascii="Times New Roman" w:hAnsi="Times New Roman" w:cs="Times New Roman"/>
                <w:sz w:val="40"/>
                <w:szCs w:val="24"/>
              </w:rPr>
              <w:sym w:font="Wingdings" w:char="F0FC"/>
            </w:r>
          </w:p>
        </w:tc>
        <w:tc>
          <w:tcPr>
            <w:tcW w:w="1530" w:type="dxa"/>
            <w:tcBorders>
              <w:top w:val="single" w:sz="4" w:space="0" w:color="auto"/>
            </w:tcBorders>
            <w:vAlign w:val="center"/>
          </w:tcPr>
          <w:p w14:paraId="5A34818A" w14:textId="77777777" w:rsidR="007218C6" w:rsidRPr="00A26A92" w:rsidRDefault="007218C6" w:rsidP="00C07DA0">
            <w:pPr>
              <w:spacing w:before="120" w:after="120" w:line="360" w:lineRule="auto"/>
              <w:jc w:val="center"/>
              <w:rPr>
                <w:rFonts w:ascii="Times New Roman" w:hAnsi="Times New Roman" w:cs="Times New Roman"/>
                <w:sz w:val="24"/>
                <w:szCs w:val="24"/>
              </w:rPr>
            </w:pPr>
            <w:r w:rsidRPr="00A26A92">
              <w:rPr>
                <w:rFonts w:ascii="Times New Roman" w:hAnsi="Times New Roman" w:cs="Times New Roman"/>
                <w:sz w:val="40"/>
                <w:szCs w:val="24"/>
              </w:rPr>
              <w:sym w:font="Wingdings" w:char="F0FC"/>
            </w:r>
          </w:p>
        </w:tc>
        <w:tc>
          <w:tcPr>
            <w:tcW w:w="1530" w:type="dxa"/>
            <w:tcBorders>
              <w:top w:val="single" w:sz="4" w:space="0" w:color="auto"/>
            </w:tcBorders>
            <w:vAlign w:val="center"/>
          </w:tcPr>
          <w:p w14:paraId="2B5A5F5B" w14:textId="77777777" w:rsidR="007218C6" w:rsidRPr="00A26A92" w:rsidRDefault="007218C6" w:rsidP="00C07DA0">
            <w:pPr>
              <w:spacing w:before="120" w:after="120" w:line="360" w:lineRule="auto"/>
              <w:jc w:val="center"/>
              <w:rPr>
                <w:rFonts w:ascii="Times New Roman" w:hAnsi="Times New Roman" w:cs="Times New Roman"/>
                <w:sz w:val="24"/>
                <w:szCs w:val="24"/>
              </w:rPr>
            </w:pPr>
            <w:r w:rsidRPr="00A26A92">
              <w:rPr>
                <w:rFonts w:ascii="Times New Roman" w:hAnsi="Times New Roman" w:cs="Times New Roman"/>
                <w:sz w:val="40"/>
                <w:szCs w:val="24"/>
              </w:rPr>
              <w:sym w:font="Wingdings" w:char="F0FC"/>
            </w:r>
          </w:p>
        </w:tc>
        <w:tc>
          <w:tcPr>
            <w:tcW w:w="1574" w:type="dxa"/>
            <w:tcBorders>
              <w:top w:val="single" w:sz="4" w:space="0" w:color="auto"/>
              <w:right w:val="nil"/>
            </w:tcBorders>
            <w:vAlign w:val="center"/>
          </w:tcPr>
          <w:p w14:paraId="4508DFD4" w14:textId="77777777" w:rsidR="007218C6" w:rsidRPr="00A26A92" w:rsidRDefault="007218C6" w:rsidP="00C07DA0">
            <w:pPr>
              <w:spacing w:before="120" w:after="120" w:line="360" w:lineRule="auto"/>
              <w:jc w:val="center"/>
              <w:rPr>
                <w:rFonts w:ascii="Times New Roman" w:hAnsi="Times New Roman" w:cs="Times New Roman"/>
                <w:sz w:val="24"/>
                <w:szCs w:val="24"/>
              </w:rPr>
            </w:pPr>
            <w:r w:rsidRPr="00A26A92">
              <w:rPr>
                <w:rFonts w:ascii="Times New Roman" w:hAnsi="Times New Roman" w:cs="Times New Roman"/>
                <w:sz w:val="40"/>
                <w:szCs w:val="24"/>
              </w:rPr>
              <w:sym w:font="Wingdings" w:char="F0FC"/>
            </w:r>
          </w:p>
        </w:tc>
      </w:tr>
      <w:tr w:rsidR="007218C6" w:rsidRPr="00A26A92" w14:paraId="0E0BF936" w14:textId="77777777" w:rsidTr="00C07DA0">
        <w:tc>
          <w:tcPr>
            <w:tcW w:w="3258" w:type="dxa"/>
            <w:tcBorders>
              <w:left w:val="nil"/>
            </w:tcBorders>
            <w:vAlign w:val="center"/>
          </w:tcPr>
          <w:p w14:paraId="3BB33D42" w14:textId="77777777" w:rsidR="007218C6" w:rsidRPr="00A26A92" w:rsidRDefault="007218C6" w:rsidP="00C07DA0">
            <w:pPr>
              <w:spacing w:before="120" w:after="120" w:line="360" w:lineRule="auto"/>
              <w:jc w:val="center"/>
              <w:rPr>
                <w:rFonts w:ascii="Times New Roman" w:hAnsi="Times New Roman" w:cs="Times New Roman"/>
                <w:b/>
                <w:sz w:val="24"/>
                <w:szCs w:val="24"/>
              </w:rPr>
            </w:pPr>
            <w:r>
              <w:rPr>
                <w:rFonts w:ascii="Times New Roman" w:hAnsi="Times New Roman" w:cs="Times New Roman"/>
                <w:b/>
                <w:sz w:val="24"/>
                <w:szCs w:val="24"/>
              </w:rPr>
              <w:t>Semi-s</w:t>
            </w:r>
            <w:r w:rsidRPr="00A26A92">
              <w:rPr>
                <w:rFonts w:ascii="Times New Roman" w:hAnsi="Times New Roman" w:cs="Times New Roman"/>
                <w:b/>
                <w:sz w:val="24"/>
                <w:szCs w:val="24"/>
              </w:rPr>
              <w:t>tatic</w:t>
            </w:r>
            <w:r>
              <w:rPr>
                <w:rFonts w:ascii="Times New Roman" w:hAnsi="Times New Roman" w:cs="Times New Roman"/>
                <w:b/>
                <w:sz w:val="24"/>
                <w:szCs w:val="24"/>
              </w:rPr>
              <w:t xml:space="preserve"> Leaching</w:t>
            </w:r>
          </w:p>
        </w:tc>
        <w:tc>
          <w:tcPr>
            <w:tcW w:w="1350" w:type="dxa"/>
            <w:vAlign w:val="center"/>
          </w:tcPr>
          <w:p w14:paraId="6641D44F" w14:textId="77777777" w:rsidR="007218C6" w:rsidRPr="00A26A92" w:rsidRDefault="007218C6" w:rsidP="00C07DA0">
            <w:pPr>
              <w:spacing w:before="120" w:after="120" w:line="360" w:lineRule="auto"/>
              <w:jc w:val="center"/>
              <w:rPr>
                <w:rFonts w:ascii="Times New Roman" w:hAnsi="Times New Roman" w:cs="Times New Roman"/>
                <w:sz w:val="24"/>
                <w:szCs w:val="24"/>
              </w:rPr>
            </w:pPr>
            <w:r w:rsidRPr="00A26A92">
              <w:rPr>
                <w:rFonts w:ascii="Times New Roman" w:hAnsi="Times New Roman" w:cs="Times New Roman"/>
                <w:sz w:val="40"/>
                <w:szCs w:val="24"/>
              </w:rPr>
              <w:sym w:font="Wingdings" w:char="F0FC"/>
            </w:r>
          </w:p>
        </w:tc>
        <w:tc>
          <w:tcPr>
            <w:tcW w:w="1530" w:type="dxa"/>
            <w:vAlign w:val="center"/>
          </w:tcPr>
          <w:p w14:paraId="067ABD02" w14:textId="77777777" w:rsidR="007218C6" w:rsidRPr="00A26A92" w:rsidRDefault="007218C6" w:rsidP="00C07DA0">
            <w:pPr>
              <w:spacing w:before="120" w:after="120" w:line="360" w:lineRule="auto"/>
              <w:jc w:val="center"/>
              <w:rPr>
                <w:rFonts w:ascii="Times New Roman" w:hAnsi="Times New Roman" w:cs="Times New Roman"/>
                <w:sz w:val="24"/>
                <w:szCs w:val="24"/>
              </w:rPr>
            </w:pPr>
            <w:r w:rsidRPr="00A26A92">
              <w:rPr>
                <w:rFonts w:ascii="Times New Roman" w:hAnsi="Times New Roman" w:cs="Times New Roman"/>
                <w:sz w:val="40"/>
                <w:szCs w:val="24"/>
              </w:rPr>
              <w:sym w:font="Wingdings" w:char="F0FC"/>
            </w:r>
          </w:p>
        </w:tc>
        <w:tc>
          <w:tcPr>
            <w:tcW w:w="1530" w:type="dxa"/>
            <w:vAlign w:val="center"/>
          </w:tcPr>
          <w:p w14:paraId="2DB1B531" w14:textId="77777777" w:rsidR="007218C6" w:rsidRPr="00A26A92" w:rsidRDefault="007218C6" w:rsidP="00C07DA0">
            <w:pPr>
              <w:spacing w:before="120" w:after="120" w:line="360" w:lineRule="auto"/>
              <w:jc w:val="center"/>
              <w:rPr>
                <w:rFonts w:ascii="Times New Roman" w:hAnsi="Times New Roman" w:cs="Times New Roman"/>
                <w:sz w:val="24"/>
                <w:szCs w:val="24"/>
              </w:rPr>
            </w:pPr>
            <w:r w:rsidRPr="00A26A92">
              <w:rPr>
                <w:rFonts w:ascii="Times New Roman" w:hAnsi="Times New Roman" w:cs="Times New Roman"/>
                <w:sz w:val="40"/>
                <w:szCs w:val="24"/>
              </w:rPr>
              <w:sym w:font="Wingdings" w:char="F0FB"/>
            </w:r>
          </w:p>
        </w:tc>
        <w:tc>
          <w:tcPr>
            <w:tcW w:w="1574" w:type="dxa"/>
            <w:tcBorders>
              <w:right w:val="nil"/>
            </w:tcBorders>
            <w:vAlign w:val="center"/>
          </w:tcPr>
          <w:p w14:paraId="1580ECE0" w14:textId="77777777" w:rsidR="007218C6" w:rsidRPr="00A26A92" w:rsidRDefault="007218C6" w:rsidP="00C07DA0">
            <w:pPr>
              <w:spacing w:before="120" w:after="120" w:line="360" w:lineRule="auto"/>
              <w:jc w:val="center"/>
              <w:rPr>
                <w:rFonts w:ascii="Times New Roman" w:hAnsi="Times New Roman" w:cs="Times New Roman"/>
                <w:sz w:val="24"/>
                <w:szCs w:val="24"/>
              </w:rPr>
            </w:pPr>
            <w:r w:rsidRPr="00A26A92">
              <w:rPr>
                <w:rFonts w:ascii="Times New Roman" w:hAnsi="Times New Roman" w:cs="Times New Roman"/>
                <w:sz w:val="40"/>
                <w:szCs w:val="24"/>
              </w:rPr>
              <w:sym w:font="Wingdings" w:char="F0FB"/>
            </w:r>
          </w:p>
        </w:tc>
      </w:tr>
      <w:tr w:rsidR="007218C6" w:rsidRPr="00A26A92" w14:paraId="6DF9FDFB" w14:textId="77777777" w:rsidTr="00C07DA0">
        <w:trPr>
          <w:trHeight w:val="80"/>
        </w:trPr>
        <w:tc>
          <w:tcPr>
            <w:tcW w:w="3258" w:type="dxa"/>
            <w:tcBorders>
              <w:left w:val="nil"/>
            </w:tcBorders>
            <w:vAlign w:val="center"/>
          </w:tcPr>
          <w:p w14:paraId="7C644A0E" w14:textId="77777777" w:rsidR="007218C6" w:rsidRPr="00A26A92" w:rsidRDefault="007218C6" w:rsidP="00C07DA0">
            <w:pPr>
              <w:spacing w:before="120" w:after="120" w:line="360" w:lineRule="auto"/>
              <w:jc w:val="center"/>
              <w:rPr>
                <w:rFonts w:ascii="Times New Roman" w:hAnsi="Times New Roman" w:cs="Times New Roman"/>
                <w:b/>
                <w:sz w:val="24"/>
                <w:szCs w:val="24"/>
              </w:rPr>
            </w:pPr>
            <w:r w:rsidRPr="00A26A92">
              <w:rPr>
                <w:rFonts w:ascii="Times New Roman" w:hAnsi="Times New Roman" w:cs="Times New Roman"/>
                <w:b/>
                <w:sz w:val="24"/>
                <w:szCs w:val="24"/>
              </w:rPr>
              <w:t>Acidic</w:t>
            </w:r>
            <w:r>
              <w:rPr>
                <w:rFonts w:ascii="Times New Roman" w:hAnsi="Times New Roman" w:cs="Times New Roman"/>
                <w:b/>
                <w:sz w:val="24"/>
                <w:szCs w:val="24"/>
              </w:rPr>
              <w:t xml:space="preserve"> Leaching </w:t>
            </w:r>
          </w:p>
        </w:tc>
        <w:tc>
          <w:tcPr>
            <w:tcW w:w="1350" w:type="dxa"/>
            <w:vAlign w:val="center"/>
          </w:tcPr>
          <w:p w14:paraId="2E79F931" w14:textId="77777777" w:rsidR="007218C6" w:rsidRPr="00A26A92" w:rsidRDefault="007218C6" w:rsidP="00C07DA0">
            <w:pPr>
              <w:spacing w:before="120" w:after="120" w:line="360" w:lineRule="auto"/>
              <w:jc w:val="center"/>
              <w:rPr>
                <w:rFonts w:ascii="Times New Roman" w:hAnsi="Times New Roman" w:cs="Times New Roman"/>
                <w:sz w:val="24"/>
                <w:szCs w:val="24"/>
              </w:rPr>
            </w:pPr>
            <w:r w:rsidRPr="00A26A92">
              <w:rPr>
                <w:rFonts w:ascii="Times New Roman" w:hAnsi="Times New Roman" w:cs="Times New Roman"/>
                <w:sz w:val="40"/>
                <w:szCs w:val="24"/>
              </w:rPr>
              <w:sym w:font="Wingdings" w:char="F0FC"/>
            </w:r>
          </w:p>
        </w:tc>
        <w:tc>
          <w:tcPr>
            <w:tcW w:w="1530" w:type="dxa"/>
            <w:vAlign w:val="center"/>
          </w:tcPr>
          <w:p w14:paraId="18599B41" w14:textId="77777777" w:rsidR="007218C6" w:rsidRPr="00A26A92" w:rsidRDefault="007218C6" w:rsidP="00C07DA0">
            <w:pPr>
              <w:spacing w:before="120" w:after="120" w:line="360" w:lineRule="auto"/>
              <w:jc w:val="center"/>
              <w:rPr>
                <w:rFonts w:ascii="Times New Roman" w:hAnsi="Times New Roman" w:cs="Times New Roman"/>
                <w:sz w:val="24"/>
                <w:szCs w:val="24"/>
              </w:rPr>
            </w:pPr>
            <w:r w:rsidRPr="00A26A92">
              <w:rPr>
                <w:rFonts w:ascii="Times New Roman" w:hAnsi="Times New Roman" w:cs="Times New Roman"/>
                <w:sz w:val="40"/>
                <w:szCs w:val="24"/>
              </w:rPr>
              <w:sym w:font="Wingdings" w:char="F0FC"/>
            </w:r>
          </w:p>
        </w:tc>
        <w:tc>
          <w:tcPr>
            <w:tcW w:w="1530" w:type="dxa"/>
            <w:vAlign w:val="center"/>
          </w:tcPr>
          <w:p w14:paraId="40A5C6E8" w14:textId="77777777" w:rsidR="007218C6" w:rsidRPr="00A26A92" w:rsidRDefault="007218C6" w:rsidP="00C07DA0">
            <w:pPr>
              <w:spacing w:before="120" w:after="120" w:line="360" w:lineRule="auto"/>
              <w:jc w:val="center"/>
              <w:rPr>
                <w:rFonts w:ascii="Times New Roman" w:hAnsi="Times New Roman" w:cs="Times New Roman"/>
                <w:sz w:val="24"/>
                <w:szCs w:val="24"/>
              </w:rPr>
            </w:pPr>
            <w:r w:rsidRPr="00A26A92">
              <w:rPr>
                <w:rFonts w:ascii="Times New Roman" w:hAnsi="Times New Roman" w:cs="Times New Roman"/>
                <w:sz w:val="40"/>
                <w:szCs w:val="24"/>
              </w:rPr>
              <w:sym w:font="Wingdings" w:char="F0FB"/>
            </w:r>
          </w:p>
        </w:tc>
        <w:tc>
          <w:tcPr>
            <w:tcW w:w="1574" w:type="dxa"/>
            <w:tcBorders>
              <w:right w:val="nil"/>
            </w:tcBorders>
            <w:vAlign w:val="center"/>
          </w:tcPr>
          <w:p w14:paraId="32CC9843" w14:textId="77777777" w:rsidR="007218C6" w:rsidRPr="00A26A92" w:rsidRDefault="007218C6" w:rsidP="00C07DA0">
            <w:pPr>
              <w:spacing w:before="120" w:after="120" w:line="360" w:lineRule="auto"/>
              <w:jc w:val="center"/>
              <w:rPr>
                <w:rFonts w:ascii="Times New Roman" w:hAnsi="Times New Roman" w:cs="Times New Roman"/>
                <w:sz w:val="24"/>
                <w:szCs w:val="24"/>
              </w:rPr>
            </w:pPr>
            <w:r w:rsidRPr="00A26A92">
              <w:rPr>
                <w:rFonts w:ascii="Times New Roman" w:hAnsi="Times New Roman" w:cs="Times New Roman"/>
                <w:sz w:val="40"/>
                <w:szCs w:val="24"/>
              </w:rPr>
              <w:sym w:font="Wingdings" w:char="F0FB"/>
            </w:r>
          </w:p>
        </w:tc>
      </w:tr>
      <w:tr w:rsidR="007218C6" w:rsidRPr="00A26A92" w14:paraId="310181DD" w14:textId="77777777" w:rsidTr="00C07DA0">
        <w:trPr>
          <w:trHeight w:val="80"/>
        </w:trPr>
        <w:tc>
          <w:tcPr>
            <w:tcW w:w="3258" w:type="dxa"/>
            <w:tcBorders>
              <w:left w:val="nil"/>
              <w:bottom w:val="single" w:sz="4" w:space="0" w:color="auto"/>
            </w:tcBorders>
            <w:vAlign w:val="center"/>
          </w:tcPr>
          <w:p w14:paraId="2A917681" w14:textId="77777777" w:rsidR="007218C6" w:rsidRPr="00A26A92" w:rsidRDefault="007218C6" w:rsidP="00C07DA0">
            <w:pPr>
              <w:spacing w:before="120" w:after="120" w:line="360" w:lineRule="auto"/>
              <w:jc w:val="center"/>
              <w:rPr>
                <w:rFonts w:ascii="Times New Roman" w:hAnsi="Times New Roman" w:cs="Times New Roman"/>
                <w:b/>
                <w:sz w:val="24"/>
                <w:szCs w:val="24"/>
              </w:rPr>
            </w:pPr>
            <w:r w:rsidRPr="00A26A92">
              <w:rPr>
                <w:rFonts w:ascii="Times New Roman" w:hAnsi="Times New Roman" w:cs="Times New Roman"/>
                <w:b/>
                <w:sz w:val="24"/>
                <w:szCs w:val="24"/>
              </w:rPr>
              <w:t>Electrical</w:t>
            </w:r>
            <w:r>
              <w:rPr>
                <w:rFonts w:ascii="Times New Roman" w:hAnsi="Times New Roman" w:cs="Times New Roman"/>
                <w:b/>
                <w:sz w:val="24"/>
                <w:szCs w:val="24"/>
              </w:rPr>
              <w:t xml:space="preserve"> Leaching</w:t>
            </w:r>
          </w:p>
        </w:tc>
        <w:tc>
          <w:tcPr>
            <w:tcW w:w="1350" w:type="dxa"/>
            <w:tcBorders>
              <w:bottom w:val="single" w:sz="4" w:space="0" w:color="auto"/>
            </w:tcBorders>
            <w:vAlign w:val="center"/>
          </w:tcPr>
          <w:p w14:paraId="297BF121" w14:textId="77777777" w:rsidR="007218C6" w:rsidRPr="00A26A92" w:rsidRDefault="007218C6" w:rsidP="00C07DA0">
            <w:pPr>
              <w:spacing w:before="120" w:after="120" w:line="360" w:lineRule="auto"/>
              <w:jc w:val="center"/>
              <w:rPr>
                <w:rFonts w:ascii="Times New Roman" w:hAnsi="Times New Roman" w:cs="Times New Roman"/>
                <w:sz w:val="40"/>
                <w:szCs w:val="24"/>
              </w:rPr>
            </w:pPr>
            <w:r w:rsidRPr="00A26A92">
              <w:rPr>
                <w:rFonts w:ascii="Times New Roman" w:hAnsi="Times New Roman" w:cs="Times New Roman"/>
                <w:sz w:val="40"/>
                <w:szCs w:val="24"/>
              </w:rPr>
              <w:sym w:font="Wingdings" w:char="F0FC"/>
            </w:r>
          </w:p>
        </w:tc>
        <w:tc>
          <w:tcPr>
            <w:tcW w:w="1530" w:type="dxa"/>
            <w:tcBorders>
              <w:bottom w:val="single" w:sz="4" w:space="0" w:color="auto"/>
            </w:tcBorders>
            <w:vAlign w:val="center"/>
          </w:tcPr>
          <w:p w14:paraId="12DE56A8" w14:textId="77777777" w:rsidR="007218C6" w:rsidRPr="00A26A92" w:rsidRDefault="007218C6" w:rsidP="00C07DA0">
            <w:pPr>
              <w:spacing w:before="120" w:after="120" w:line="360" w:lineRule="auto"/>
              <w:jc w:val="center"/>
              <w:rPr>
                <w:rFonts w:ascii="Times New Roman" w:hAnsi="Times New Roman" w:cs="Times New Roman"/>
                <w:sz w:val="40"/>
                <w:szCs w:val="24"/>
              </w:rPr>
            </w:pPr>
            <w:r w:rsidRPr="00A26A92">
              <w:rPr>
                <w:rFonts w:ascii="Times New Roman" w:hAnsi="Times New Roman" w:cs="Times New Roman"/>
                <w:sz w:val="40"/>
                <w:szCs w:val="24"/>
              </w:rPr>
              <w:sym w:font="Wingdings" w:char="F0FC"/>
            </w:r>
          </w:p>
        </w:tc>
        <w:tc>
          <w:tcPr>
            <w:tcW w:w="1530" w:type="dxa"/>
            <w:tcBorders>
              <w:bottom w:val="single" w:sz="4" w:space="0" w:color="auto"/>
            </w:tcBorders>
            <w:vAlign w:val="center"/>
          </w:tcPr>
          <w:p w14:paraId="76AF326F" w14:textId="77777777" w:rsidR="007218C6" w:rsidRPr="00A26A92" w:rsidRDefault="007218C6" w:rsidP="00C07DA0">
            <w:pPr>
              <w:spacing w:before="120" w:after="120" w:line="360" w:lineRule="auto"/>
              <w:jc w:val="center"/>
              <w:rPr>
                <w:rFonts w:ascii="Times New Roman" w:hAnsi="Times New Roman" w:cs="Times New Roman"/>
                <w:sz w:val="40"/>
                <w:szCs w:val="24"/>
              </w:rPr>
            </w:pPr>
            <w:r w:rsidRPr="00A26A92">
              <w:rPr>
                <w:rFonts w:ascii="Times New Roman" w:hAnsi="Times New Roman" w:cs="Times New Roman"/>
                <w:sz w:val="40"/>
                <w:szCs w:val="24"/>
              </w:rPr>
              <w:sym w:font="Wingdings" w:char="F0FB"/>
            </w:r>
          </w:p>
        </w:tc>
        <w:tc>
          <w:tcPr>
            <w:tcW w:w="1574" w:type="dxa"/>
            <w:tcBorders>
              <w:bottom w:val="single" w:sz="4" w:space="0" w:color="auto"/>
              <w:right w:val="nil"/>
            </w:tcBorders>
            <w:vAlign w:val="center"/>
          </w:tcPr>
          <w:p w14:paraId="3A2ED080" w14:textId="77777777" w:rsidR="007218C6" w:rsidRPr="00A26A92" w:rsidRDefault="007218C6" w:rsidP="00C07DA0">
            <w:pPr>
              <w:spacing w:before="120" w:after="120" w:line="360" w:lineRule="auto"/>
              <w:jc w:val="center"/>
              <w:rPr>
                <w:rFonts w:ascii="Times New Roman" w:hAnsi="Times New Roman" w:cs="Times New Roman"/>
                <w:sz w:val="40"/>
                <w:szCs w:val="24"/>
              </w:rPr>
            </w:pPr>
            <w:r w:rsidRPr="00A26A92">
              <w:rPr>
                <w:rFonts w:ascii="Times New Roman" w:hAnsi="Times New Roman" w:cs="Times New Roman"/>
                <w:sz w:val="40"/>
                <w:szCs w:val="24"/>
              </w:rPr>
              <w:sym w:font="Wingdings" w:char="F0FB"/>
            </w:r>
          </w:p>
        </w:tc>
      </w:tr>
    </w:tbl>
    <w:p w14:paraId="21DFBA14" w14:textId="77777777" w:rsidR="007218C6" w:rsidRDefault="007218C6" w:rsidP="007218C6">
      <w:pPr>
        <w:spacing w:line="360" w:lineRule="auto"/>
        <w:rPr>
          <w:rFonts w:ascii="Times New Roman" w:hAnsi="Times New Roman" w:cs="Times New Roman"/>
          <w:b/>
        </w:rPr>
      </w:pPr>
    </w:p>
    <w:p w14:paraId="6A03944C" w14:textId="77777777" w:rsidR="0018608F" w:rsidRDefault="0018608F" w:rsidP="007218C6">
      <w:pPr>
        <w:spacing w:line="360" w:lineRule="auto"/>
        <w:jc w:val="center"/>
        <w:rPr>
          <w:rFonts w:ascii="Times New Roman" w:hAnsi="Times New Roman" w:cs="Times New Roman"/>
          <w:b/>
        </w:rPr>
      </w:pPr>
    </w:p>
    <w:p w14:paraId="265D105C" w14:textId="77777777" w:rsidR="0018608F" w:rsidRDefault="0018608F" w:rsidP="007218C6">
      <w:pPr>
        <w:spacing w:line="360" w:lineRule="auto"/>
        <w:jc w:val="center"/>
        <w:rPr>
          <w:rFonts w:ascii="Times New Roman" w:hAnsi="Times New Roman" w:cs="Times New Roman"/>
          <w:b/>
        </w:rPr>
      </w:pPr>
    </w:p>
    <w:p w14:paraId="05E8E066" w14:textId="77777777" w:rsidR="00456264" w:rsidRDefault="00456264" w:rsidP="007218C6">
      <w:pPr>
        <w:spacing w:line="360" w:lineRule="auto"/>
        <w:jc w:val="center"/>
        <w:rPr>
          <w:rFonts w:ascii="Times New Roman" w:hAnsi="Times New Roman" w:cs="Times New Roman"/>
          <w:b/>
        </w:rPr>
      </w:pPr>
    </w:p>
    <w:p w14:paraId="50803078" w14:textId="01DE2725" w:rsidR="007218C6" w:rsidRPr="00A26A92" w:rsidRDefault="007218C6" w:rsidP="007218C6">
      <w:pPr>
        <w:spacing w:line="360" w:lineRule="auto"/>
        <w:jc w:val="center"/>
        <w:rPr>
          <w:rFonts w:ascii="Times New Roman" w:hAnsi="Times New Roman" w:cs="Times New Roman"/>
        </w:rPr>
      </w:pPr>
      <w:r w:rsidRPr="00A26A92">
        <w:rPr>
          <w:rFonts w:ascii="Times New Roman" w:hAnsi="Times New Roman" w:cs="Times New Roman"/>
          <w:b/>
        </w:rPr>
        <w:t>Table 3.</w:t>
      </w:r>
      <w:r w:rsidR="005A0753">
        <w:rPr>
          <w:rFonts w:ascii="Times New Roman" w:hAnsi="Times New Roman" w:cs="Times New Roman"/>
          <w:b/>
        </w:rPr>
        <w:t>3</w:t>
      </w:r>
      <w:r w:rsidRPr="00A26A92">
        <w:rPr>
          <w:rFonts w:ascii="Times New Roman" w:hAnsi="Times New Roman" w:cs="Times New Roman"/>
          <w:b/>
        </w:rPr>
        <w:t>:</w:t>
      </w:r>
      <w:r w:rsidRPr="00A26A92">
        <w:rPr>
          <w:rFonts w:ascii="Times New Roman" w:hAnsi="Times New Roman" w:cs="Times New Roman"/>
        </w:rPr>
        <w:t xml:space="preserve"> Leachate Compositions</w:t>
      </w:r>
    </w:p>
    <w:tbl>
      <w:tblPr>
        <w:tblStyle w:val="TableGrid"/>
        <w:tblW w:w="9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8"/>
        <w:gridCol w:w="3083"/>
        <w:gridCol w:w="3217"/>
      </w:tblGrid>
      <w:tr w:rsidR="007218C6" w:rsidRPr="00A26A92" w14:paraId="0135E09E" w14:textId="77777777" w:rsidTr="00C07DA0">
        <w:tc>
          <w:tcPr>
            <w:tcW w:w="3078" w:type="dxa"/>
            <w:tcBorders>
              <w:top w:val="single" w:sz="4" w:space="0" w:color="auto"/>
              <w:bottom w:val="single" w:sz="4" w:space="0" w:color="auto"/>
            </w:tcBorders>
            <w:shd w:val="clear" w:color="auto" w:fill="FFFFFF" w:themeFill="background1"/>
            <w:vAlign w:val="center"/>
          </w:tcPr>
          <w:p w14:paraId="60D04C06" w14:textId="77777777" w:rsidR="007218C6" w:rsidRPr="00A26A92" w:rsidRDefault="007218C6" w:rsidP="00C07DA0">
            <w:pPr>
              <w:spacing w:after="120" w:line="360" w:lineRule="auto"/>
              <w:jc w:val="center"/>
              <w:rPr>
                <w:rFonts w:ascii="Times New Roman" w:hAnsi="Times New Roman" w:cs="Times New Roman"/>
                <w:b/>
                <w:color w:val="000000"/>
                <w:sz w:val="24"/>
                <w:szCs w:val="24"/>
              </w:rPr>
            </w:pPr>
            <w:r w:rsidRPr="00A26A92">
              <w:rPr>
                <w:rFonts w:ascii="Times New Roman" w:hAnsi="Times New Roman" w:cs="Times New Roman"/>
                <w:b/>
                <w:color w:val="000000"/>
                <w:sz w:val="24"/>
                <w:szCs w:val="24"/>
              </w:rPr>
              <w:t>Leaching Experiment</w:t>
            </w:r>
          </w:p>
        </w:tc>
        <w:tc>
          <w:tcPr>
            <w:tcW w:w="3083" w:type="dxa"/>
            <w:tcBorders>
              <w:top w:val="single" w:sz="4" w:space="0" w:color="auto"/>
              <w:bottom w:val="single" w:sz="4" w:space="0" w:color="auto"/>
            </w:tcBorders>
            <w:shd w:val="clear" w:color="auto" w:fill="FFFFFF" w:themeFill="background1"/>
            <w:vAlign w:val="center"/>
          </w:tcPr>
          <w:p w14:paraId="3201799E" w14:textId="77777777" w:rsidR="007218C6" w:rsidRPr="00A26A92" w:rsidRDefault="007218C6" w:rsidP="00C07DA0">
            <w:pPr>
              <w:spacing w:after="120"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Leachant</w:t>
            </w:r>
          </w:p>
        </w:tc>
        <w:tc>
          <w:tcPr>
            <w:tcW w:w="3217" w:type="dxa"/>
            <w:tcBorders>
              <w:top w:val="single" w:sz="4" w:space="0" w:color="auto"/>
              <w:bottom w:val="single" w:sz="4" w:space="0" w:color="auto"/>
            </w:tcBorders>
            <w:shd w:val="clear" w:color="auto" w:fill="FFFFFF" w:themeFill="background1"/>
            <w:vAlign w:val="center"/>
          </w:tcPr>
          <w:p w14:paraId="7DA36A67" w14:textId="77777777" w:rsidR="007218C6" w:rsidRPr="00A26A92" w:rsidRDefault="007218C6" w:rsidP="00C07DA0">
            <w:pPr>
              <w:spacing w:after="120" w:line="360" w:lineRule="auto"/>
              <w:jc w:val="center"/>
              <w:rPr>
                <w:rFonts w:ascii="Times New Roman" w:hAnsi="Times New Roman" w:cs="Times New Roman"/>
                <w:b/>
                <w:color w:val="000000"/>
                <w:sz w:val="24"/>
                <w:szCs w:val="24"/>
              </w:rPr>
            </w:pPr>
            <w:r w:rsidRPr="00A26A92">
              <w:rPr>
                <w:rFonts w:ascii="Times New Roman" w:hAnsi="Times New Roman" w:cs="Times New Roman"/>
                <w:b/>
                <w:color w:val="000000"/>
                <w:sz w:val="24"/>
                <w:szCs w:val="24"/>
              </w:rPr>
              <w:t>Solution Composition</w:t>
            </w:r>
          </w:p>
        </w:tc>
      </w:tr>
      <w:tr w:rsidR="007218C6" w:rsidRPr="00A26A92" w14:paraId="5E0FCDE4" w14:textId="77777777" w:rsidTr="00C07DA0">
        <w:tc>
          <w:tcPr>
            <w:tcW w:w="3078" w:type="dxa"/>
            <w:tcBorders>
              <w:top w:val="single" w:sz="4" w:space="0" w:color="auto"/>
            </w:tcBorders>
            <w:vAlign w:val="center"/>
          </w:tcPr>
          <w:p w14:paraId="0AF6AFCB" w14:textId="77777777" w:rsidR="007218C6" w:rsidRPr="00A26A92" w:rsidRDefault="007218C6" w:rsidP="00C07DA0">
            <w:pPr>
              <w:spacing w:after="240"/>
              <w:jc w:val="center"/>
              <w:rPr>
                <w:rFonts w:ascii="Times New Roman" w:hAnsi="Times New Roman" w:cs="Times New Roman"/>
                <w:color w:val="000000"/>
                <w:sz w:val="24"/>
                <w:szCs w:val="24"/>
              </w:rPr>
            </w:pPr>
            <w:r>
              <w:rPr>
                <w:rFonts w:ascii="Times New Roman" w:hAnsi="Times New Roman" w:cs="Times New Roman"/>
                <w:color w:val="000000"/>
                <w:sz w:val="24"/>
                <w:szCs w:val="24"/>
              </w:rPr>
              <w:t>Static</w:t>
            </w:r>
            <w:r>
              <w:rPr>
                <w:rFonts w:ascii="Times New Roman" w:hAnsi="Times New Roman" w:cs="Times New Roman"/>
                <w:color w:val="000000"/>
                <w:sz w:val="24"/>
                <w:szCs w:val="24"/>
              </w:rPr>
              <w:br/>
              <w:t>Semi-static</w:t>
            </w:r>
            <w:r>
              <w:rPr>
                <w:rFonts w:ascii="Times New Roman" w:hAnsi="Times New Roman" w:cs="Times New Roman"/>
                <w:color w:val="000000"/>
                <w:sz w:val="24"/>
                <w:szCs w:val="24"/>
              </w:rPr>
              <w:br/>
            </w:r>
            <w:r w:rsidRPr="00A26A92">
              <w:rPr>
                <w:rFonts w:ascii="Times New Roman" w:hAnsi="Times New Roman" w:cs="Times New Roman"/>
                <w:color w:val="000000"/>
                <w:sz w:val="24"/>
                <w:szCs w:val="24"/>
              </w:rPr>
              <w:t xml:space="preserve">Electrical </w:t>
            </w:r>
          </w:p>
        </w:tc>
        <w:tc>
          <w:tcPr>
            <w:tcW w:w="3083" w:type="dxa"/>
            <w:tcBorders>
              <w:top w:val="single" w:sz="4" w:space="0" w:color="auto"/>
            </w:tcBorders>
            <w:vAlign w:val="center"/>
          </w:tcPr>
          <w:p w14:paraId="34C2C089" w14:textId="77777777" w:rsidR="007218C6" w:rsidRPr="00A26A92" w:rsidRDefault="007218C6" w:rsidP="00C07DA0">
            <w:pPr>
              <w:spacing w:after="240" w:line="360" w:lineRule="auto"/>
              <w:jc w:val="center"/>
              <w:rPr>
                <w:rFonts w:ascii="Times New Roman" w:hAnsi="Times New Roman" w:cs="Times New Roman"/>
                <w:color w:val="000000"/>
                <w:sz w:val="24"/>
                <w:szCs w:val="24"/>
              </w:rPr>
            </w:pPr>
            <w:r w:rsidRPr="00A26A92">
              <w:rPr>
                <w:rFonts w:ascii="Times New Roman" w:hAnsi="Times New Roman" w:cs="Times New Roman"/>
                <w:color w:val="000000"/>
                <w:sz w:val="24"/>
                <w:szCs w:val="24"/>
              </w:rPr>
              <w:t>Deionised Water</w:t>
            </w:r>
          </w:p>
        </w:tc>
        <w:tc>
          <w:tcPr>
            <w:tcW w:w="3217" w:type="dxa"/>
            <w:tcBorders>
              <w:top w:val="single" w:sz="4" w:space="0" w:color="auto"/>
            </w:tcBorders>
            <w:vAlign w:val="center"/>
          </w:tcPr>
          <w:p w14:paraId="2E61192E" w14:textId="77777777" w:rsidR="007218C6" w:rsidRPr="00A26A92" w:rsidRDefault="007218C6" w:rsidP="00C07DA0">
            <w:pPr>
              <w:spacing w:after="240" w:line="360" w:lineRule="auto"/>
              <w:jc w:val="center"/>
              <w:rPr>
                <w:rFonts w:ascii="Times New Roman" w:hAnsi="Times New Roman" w:cs="Times New Roman"/>
                <w:color w:val="000000"/>
                <w:sz w:val="24"/>
                <w:szCs w:val="24"/>
              </w:rPr>
            </w:pPr>
            <w:r w:rsidRPr="00A26A92">
              <w:rPr>
                <w:rFonts w:ascii="Times New Roman" w:hAnsi="Times New Roman" w:cs="Times New Roman"/>
                <w:color w:val="000000"/>
                <w:sz w:val="24"/>
                <w:szCs w:val="24"/>
              </w:rPr>
              <w:t>H</w:t>
            </w:r>
            <w:r w:rsidRPr="00A26A92">
              <w:rPr>
                <w:rFonts w:ascii="Times New Roman" w:hAnsi="Times New Roman" w:cs="Times New Roman"/>
                <w:color w:val="000000"/>
                <w:sz w:val="24"/>
                <w:szCs w:val="24"/>
                <w:vertAlign w:val="subscript"/>
              </w:rPr>
              <w:t>2</w:t>
            </w:r>
            <w:r w:rsidRPr="00A26A92">
              <w:rPr>
                <w:rFonts w:ascii="Times New Roman" w:hAnsi="Times New Roman" w:cs="Times New Roman"/>
                <w:color w:val="000000"/>
                <w:sz w:val="24"/>
                <w:szCs w:val="24"/>
              </w:rPr>
              <w:t>O</w:t>
            </w:r>
          </w:p>
        </w:tc>
      </w:tr>
      <w:tr w:rsidR="007218C6" w:rsidRPr="00A26A92" w14:paraId="7C317078" w14:textId="77777777" w:rsidTr="00C07DA0">
        <w:tc>
          <w:tcPr>
            <w:tcW w:w="3078" w:type="dxa"/>
            <w:tcBorders>
              <w:bottom w:val="single" w:sz="4" w:space="0" w:color="auto"/>
            </w:tcBorders>
            <w:vAlign w:val="center"/>
          </w:tcPr>
          <w:p w14:paraId="1F5A93A9" w14:textId="77777777" w:rsidR="007218C6" w:rsidRPr="00A26A92" w:rsidRDefault="007218C6" w:rsidP="00062DA2">
            <w:pPr>
              <w:spacing w:after="240"/>
              <w:jc w:val="center"/>
              <w:rPr>
                <w:rFonts w:ascii="Times New Roman" w:hAnsi="Times New Roman" w:cs="Times New Roman"/>
                <w:color w:val="000000"/>
                <w:sz w:val="24"/>
                <w:szCs w:val="24"/>
              </w:rPr>
            </w:pPr>
            <w:r w:rsidRPr="00A26A92">
              <w:rPr>
                <w:rFonts w:ascii="Times New Roman" w:hAnsi="Times New Roman" w:cs="Times New Roman"/>
                <w:color w:val="000000"/>
                <w:sz w:val="24"/>
                <w:szCs w:val="24"/>
              </w:rPr>
              <w:t xml:space="preserve">Acidic </w:t>
            </w:r>
          </w:p>
        </w:tc>
        <w:tc>
          <w:tcPr>
            <w:tcW w:w="3083" w:type="dxa"/>
            <w:tcBorders>
              <w:bottom w:val="single" w:sz="4" w:space="0" w:color="auto"/>
            </w:tcBorders>
            <w:vAlign w:val="center"/>
          </w:tcPr>
          <w:p w14:paraId="70DF84DF" w14:textId="77777777" w:rsidR="007218C6" w:rsidRPr="00A26A92" w:rsidRDefault="007218C6" w:rsidP="00062DA2">
            <w:pPr>
              <w:spacing w:after="240"/>
              <w:jc w:val="center"/>
              <w:rPr>
                <w:rFonts w:ascii="Times New Roman" w:hAnsi="Times New Roman" w:cs="Times New Roman"/>
                <w:color w:val="000000"/>
                <w:sz w:val="24"/>
                <w:szCs w:val="24"/>
              </w:rPr>
            </w:pPr>
            <w:r w:rsidRPr="00A26A92">
              <w:rPr>
                <w:rFonts w:ascii="Times New Roman" w:hAnsi="Times New Roman" w:cs="Times New Roman"/>
                <w:color w:val="000000"/>
                <w:sz w:val="24"/>
                <w:szCs w:val="24"/>
              </w:rPr>
              <w:t>Ammonium Nitrate Solution</w:t>
            </w:r>
          </w:p>
        </w:tc>
        <w:tc>
          <w:tcPr>
            <w:tcW w:w="3217" w:type="dxa"/>
            <w:tcBorders>
              <w:bottom w:val="single" w:sz="4" w:space="0" w:color="auto"/>
            </w:tcBorders>
            <w:vAlign w:val="center"/>
          </w:tcPr>
          <w:p w14:paraId="49F94DFB" w14:textId="77777777" w:rsidR="007218C6" w:rsidRPr="00A26A92" w:rsidRDefault="007218C6" w:rsidP="00062DA2">
            <w:pPr>
              <w:spacing w:after="240"/>
              <w:jc w:val="center"/>
              <w:rPr>
                <w:rFonts w:ascii="Times New Roman" w:hAnsi="Times New Roman" w:cs="Times New Roman"/>
                <w:color w:val="000000"/>
                <w:sz w:val="24"/>
                <w:szCs w:val="24"/>
              </w:rPr>
            </w:pPr>
            <w:r w:rsidRPr="00A26A92">
              <w:rPr>
                <w:rFonts w:ascii="Times New Roman" w:hAnsi="Times New Roman" w:cs="Times New Roman"/>
                <w:sz w:val="24"/>
                <w:szCs w:val="24"/>
              </w:rPr>
              <w:t xml:space="preserve">590g </w:t>
            </w:r>
            <w:proofErr w:type="gramStart"/>
            <w:r w:rsidRPr="00A26A92">
              <w:rPr>
                <w:rFonts w:ascii="Times New Roman" w:hAnsi="Times New Roman" w:cs="Times New Roman"/>
                <w:sz w:val="24"/>
                <w:szCs w:val="24"/>
              </w:rPr>
              <w:t>NH</w:t>
            </w:r>
            <w:r w:rsidRPr="00A26A92">
              <w:rPr>
                <w:rFonts w:ascii="Times New Roman" w:hAnsi="Times New Roman" w:cs="Times New Roman"/>
                <w:sz w:val="24"/>
                <w:szCs w:val="24"/>
                <w:vertAlign w:val="subscript"/>
              </w:rPr>
              <w:t>4</w:t>
            </w:r>
            <w:r w:rsidRPr="00A26A92">
              <w:rPr>
                <w:rFonts w:ascii="Times New Roman" w:hAnsi="Times New Roman" w:cs="Times New Roman"/>
                <w:sz w:val="24"/>
                <w:szCs w:val="24"/>
              </w:rPr>
              <w:t>NO</w:t>
            </w:r>
            <w:r w:rsidRPr="00A26A92">
              <w:rPr>
                <w:rFonts w:ascii="Times New Roman" w:hAnsi="Times New Roman" w:cs="Times New Roman"/>
                <w:sz w:val="24"/>
                <w:szCs w:val="24"/>
                <w:vertAlign w:val="subscript"/>
              </w:rPr>
              <w:t xml:space="preserve">3 </w:t>
            </w:r>
            <w:r w:rsidRPr="00A26A92">
              <w:rPr>
                <w:rFonts w:ascii="Times New Roman" w:hAnsi="Times New Roman" w:cs="Times New Roman"/>
                <w:color w:val="000000"/>
                <w:sz w:val="24"/>
                <w:szCs w:val="24"/>
              </w:rPr>
              <w:t xml:space="preserve"> per</w:t>
            </w:r>
            <w:proofErr w:type="gramEnd"/>
            <w:r w:rsidRPr="00A26A92">
              <w:rPr>
                <w:rFonts w:ascii="Times New Roman" w:hAnsi="Times New Roman" w:cs="Times New Roman"/>
                <w:color w:val="000000"/>
                <w:sz w:val="24"/>
                <w:szCs w:val="24"/>
              </w:rPr>
              <w:t xml:space="preserve"> 1 litre H</w:t>
            </w:r>
            <w:r w:rsidRPr="00A26A92">
              <w:rPr>
                <w:rFonts w:ascii="Times New Roman" w:hAnsi="Times New Roman" w:cs="Times New Roman"/>
                <w:color w:val="000000"/>
                <w:sz w:val="24"/>
                <w:szCs w:val="24"/>
                <w:vertAlign w:val="subscript"/>
              </w:rPr>
              <w:t>2</w:t>
            </w:r>
            <w:r w:rsidRPr="00A26A92">
              <w:rPr>
                <w:rFonts w:ascii="Times New Roman" w:hAnsi="Times New Roman" w:cs="Times New Roman"/>
                <w:color w:val="000000"/>
                <w:sz w:val="24"/>
                <w:szCs w:val="24"/>
              </w:rPr>
              <w:t>O</w:t>
            </w:r>
          </w:p>
        </w:tc>
      </w:tr>
    </w:tbl>
    <w:p w14:paraId="0FB4A714" w14:textId="77777777" w:rsidR="007218C6" w:rsidRDefault="007218C6" w:rsidP="007218C6">
      <w:pPr>
        <w:spacing w:before="120" w:after="120" w:line="360" w:lineRule="auto"/>
        <w:rPr>
          <w:rFonts w:ascii="Times New Roman" w:hAnsi="Times New Roman" w:cs="Times New Roman"/>
          <w:b/>
          <w:sz w:val="28"/>
        </w:rPr>
      </w:pPr>
    </w:p>
    <w:p w14:paraId="242E8AAD" w14:textId="77777777" w:rsidR="0018608F" w:rsidRDefault="0018608F" w:rsidP="007218C6">
      <w:pPr>
        <w:spacing w:before="120" w:after="120" w:line="360" w:lineRule="auto"/>
        <w:jc w:val="both"/>
        <w:rPr>
          <w:rFonts w:ascii="Times New Roman" w:hAnsi="Times New Roman" w:cs="Times New Roman"/>
          <w:b/>
          <w:sz w:val="28"/>
        </w:rPr>
      </w:pPr>
    </w:p>
    <w:p w14:paraId="11F7232E" w14:textId="77777777" w:rsidR="0018608F" w:rsidRDefault="0018608F" w:rsidP="007218C6">
      <w:pPr>
        <w:spacing w:before="120" w:after="120" w:line="360" w:lineRule="auto"/>
        <w:jc w:val="both"/>
        <w:rPr>
          <w:rFonts w:ascii="Times New Roman" w:hAnsi="Times New Roman" w:cs="Times New Roman"/>
          <w:b/>
          <w:sz w:val="28"/>
        </w:rPr>
      </w:pPr>
    </w:p>
    <w:p w14:paraId="2283ECC6" w14:textId="77777777" w:rsidR="0018608F" w:rsidRDefault="0018608F" w:rsidP="007218C6">
      <w:pPr>
        <w:spacing w:before="120" w:after="120" w:line="360" w:lineRule="auto"/>
        <w:jc w:val="both"/>
        <w:rPr>
          <w:rFonts w:ascii="Times New Roman" w:hAnsi="Times New Roman" w:cs="Times New Roman"/>
          <w:b/>
          <w:sz w:val="28"/>
        </w:rPr>
      </w:pPr>
    </w:p>
    <w:p w14:paraId="207A6AEE" w14:textId="73BCBBBC" w:rsidR="007218C6" w:rsidRDefault="00096DCE" w:rsidP="007218C6">
      <w:pPr>
        <w:spacing w:before="120" w:after="120" w:line="360" w:lineRule="auto"/>
        <w:jc w:val="both"/>
        <w:rPr>
          <w:rFonts w:ascii="Times New Roman" w:hAnsi="Times New Roman" w:cs="Times New Roman"/>
          <w:b/>
          <w:sz w:val="28"/>
        </w:rPr>
      </w:pPr>
      <w:r>
        <w:rPr>
          <w:rFonts w:ascii="Times New Roman" w:hAnsi="Times New Roman" w:cs="Times New Roman"/>
          <w:b/>
          <w:sz w:val="28"/>
        </w:rPr>
        <w:lastRenderedPageBreak/>
        <w:t>3.2.4</w:t>
      </w:r>
      <w:r w:rsidR="007218C6">
        <w:rPr>
          <w:rFonts w:ascii="Times New Roman" w:hAnsi="Times New Roman" w:cs="Times New Roman"/>
          <w:b/>
          <w:sz w:val="28"/>
        </w:rPr>
        <w:tab/>
        <w:t>Containers</w:t>
      </w:r>
    </w:p>
    <w:p w14:paraId="1364FCF0" w14:textId="77777777" w:rsidR="007218C6" w:rsidRPr="00C44866" w:rsidRDefault="007218C6" w:rsidP="007218C6">
      <w:pPr>
        <w:spacing w:before="120" w:after="120" w:line="360" w:lineRule="auto"/>
        <w:jc w:val="both"/>
        <w:rPr>
          <w:rFonts w:ascii="Times New Roman" w:hAnsi="Times New Roman" w:cs="Times New Roman"/>
        </w:rPr>
      </w:pPr>
      <w:r w:rsidRPr="00C44866">
        <w:rPr>
          <w:rFonts w:ascii="Times New Roman" w:hAnsi="Times New Roman" w:cs="Times New Roman"/>
        </w:rPr>
        <w:t>i.</w:t>
      </w:r>
      <w:r w:rsidRPr="00C44866">
        <w:rPr>
          <w:rFonts w:ascii="Times New Roman" w:hAnsi="Times New Roman" w:cs="Times New Roman"/>
        </w:rPr>
        <w:tab/>
        <w:t>Static/Semi-Static/Acidic</w:t>
      </w:r>
      <w:r>
        <w:rPr>
          <w:rFonts w:ascii="Times New Roman" w:hAnsi="Times New Roman" w:cs="Times New Roman"/>
        </w:rPr>
        <w:t xml:space="preserve"> Leaching</w:t>
      </w:r>
    </w:p>
    <w:p w14:paraId="244839D0" w14:textId="77777777" w:rsidR="007218C6" w:rsidRPr="00A26A92" w:rsidRDefault="007218C6" w:rsidP="007218C6">
      <w:pPr>
        <w:spacing w:before="120" w:after="120" w:line="360" w:lineRule="auto"/>
        <w:jc w:val="both"/>
        <w:rPr>
          <w:rFonts w:ascii="Times New Roman" w:hAnsi="Times New Roman" w:cs="Times New Roman"/>
        </w:rPr>
      </w:pPr>
      <w:r w:rsidRPr="00A26A92">
        <w:rPr>
          <w:rFonts w:ascii="Times New Roman" w:hAnsi="Times New Roman" w:cs="Times New Roman"/>
        </w:rPr>
        <w:t>The containers used to accommodate these leaching tests were heavy-duty polypropy</w:t>
      </w:r>
      <w:r>
        <w:rPr>
          <w:rFonts w:ascii="Times New Roman" w:hAnsi="Times New Roman" w:cs="Times New Roman"/>
        </w:rPr>
        <w:t>lene wide neck bottles</w:t>
      </w:r>
      <w:r w:rsidRPr="00A26A92">
        <w:rPr>
          <w:rFonts w:ascii="Times New Roman" w:hAnsi="Times New Roman" w:cs="Times New Roman"/>
        </w:rPr>
        <w:t xml:space="preserve"> 114mm in height, 61</w:t>
      </w:r>
      <w:r>
        <w:rPr>
          <w:rFonts w:ascii="Times New Roman" w:hAnsi="Times New Roman" w:cs="Times New Roman"/>
        </w:rPr>
        <w:t xml:space="preserve"> m</w:t>
      </w:r>
      <w:r w:rsidRPr="00A26A92">
        <w:rPr>
          <w:rFonts w:ascii="Times New Roman" w:hAnsi="Times New Roman" w:cs="Times New Roman"/>
        </w:rPr>
        <w:t>m in diameter with a volume of 250ml. In order to minimise contamination the containers were cleaned with a solution of 0.16mol nitric acid (HNO</w:t>
      </w:r>
      <w:r w:rsidRPr="00A26A92">
        <w:rPr>
          <w:rFonts w:ascii="Times New Roman" w:hAnsi="Times New Roman" w:cs="Times New Roman"/>
          <w:vertAlign w:val="subscript"/>
        </w:rPr>
        <w:t>3</w:t>
      </w:r>
      <w:r w:rsidRPr="00A26A92">
        <w:rPr>
          <w:rFonts w:ascii="Times New Roman" w:hAnsi="Times New Roman" w:cs="Times New Roman"/>
        </w:rPr>
        <w:t>) per dm</w:t>
      </w:r>
      <w:r w:rsidRPr="00A26A92">
        <w:rPr>
          <w:rFonts w:ascii="Times New Roman" w:hAnsi="Times New Roman" w:cs="Times New Roman"/>
        </w:rPr>
        <w:softHyphen/>
      </w:r>
      <w:r w:rsidRPr="00A26A92">
        <w:rPr>
          <w:rFonts w:ascii="Times New Roman" w:hAnsi="Times New Roman" w:cs="Times New Roman"/>
          <w:vertAlign w:val="superscript"/>
        </w:rPr>
        <w:t>3</w:t>
      </w:r>
      <w:r w:rsidRPr="00A26A92">
        <w:rPr>
          <w:rFonts w:ascii="Times New Roman" w:hAnsi="Times New Roman" w:cs="Times New Roman"/>
        </w:rPr>
        <w:t xml:space="preserve"> of deionised water (18.3 MΩ cm), using the following procedure:</w:t>
      </w:r>
    </w:p>
    <w:p w14:paraId="01DEA401" w14:textId="584B1DC7" w:rsidR="007218C6" w:rsidRPr="00A26A92" w:rsidRDefault="007218C6" w:rsidP="007218C6">
      <w:pPr>
        <w:pStyle w:val="ListParagraph"/>
        <w:numPr>
          <w:ilvl w:val="0"/>
          <w:numId w:val="5"/>
        </w:numPr>
        <w:spacing w:before="120" w:after="120" w:line="360" w:lineRule="auto"/>
        <w:jc w:val="both"/>
        <w:rPr>
          <w:rFonts w:ascii="Times New Roman" w:hAnsi="Times New Roman" w:cs="Times New Roman"/>
          <w:sz w:val="24"/>
          <w:szCs w:val="24"/>
          <w:lang w:val="en-US"/>
        </w:rPr>
      </w:pPr>
      <w:r w:rsidRPr="00A26A92">
        <w:rPr>
          <w:rFonts w:ascii="Times New Roman" w:hAnsi="Times New Roman" w:cs="Times New Roman"/>
          <w:sz w:val="24"/>
          <w:szCs w:val="24"/>
          <w:lang w:val="en-US"/>
        </w:rPr>
        <w:t>Each container was filled with 150ml of solution, sealed tightly and placed horizontally such that the base and lid were perpendicular with the surface the container rested on. The container remained in this position for 30 minutes, after which it was rotated 180</w:t>
      </w:r>
      <w:r w:rsidRPr="00A26A92">
        <w:rPr>
          <w:rFonts w:ascii="Times New Roman" w:hAnsi="Times New Roman" w:cs="Times New Roman"/>
          <w:sz w:val="24"/>
          <w:szCs w:val="24"/>
          <w:vertAlign w:val="superscript"/>
          <w:lang w:val="en-US"/>
        </w:rPr>
        <w:t>o</w:t>
      </w:r>
      <w:r w:rsidRPr="00A26A92">
        <w:rPr>
          <w:rFonts w:ascii="Times New Roman" w:hAnsi="Times New Roman" w:cs="Times New Roman"/>
          <w:sz w:val="24"/>
          <w:szCs w:val="24"/>
          <w:lang w:val="en-US"/>
        </w:rPr>
        <w:t>C and left for another 30 minutes, this was known as the rolling method</w:t>
      </w:r>
      <w:r w:rsidR="004724B9">
        <w:rPr>
          <w:rFonts w:ascii="Times New Roman" w:hAnsi="Times New Roman" w:cs="Times New Roman"/>
          <w:sz w:val="24"/>
          <w:szCs w:val="24"/>
          <w:lang w:val="en-US"/>
        </w:rPr>
        <w:t>. The container was checked for any leakages during this method</w:t>
      </w:r>
      <w:r w:rsidRPr="00A26A92">
        <w:rPr>
          <w:rFonts w:ascii="Times New Roman" w:hAnsi="Times New Roman" w:cs="Times New Roman"/>
          <w:sz w:val="24"/>
          <w:szCs w:val="24"/>
          <w:lang w:val="en-US"/>
        </w:rPr>
        <w:t xml:space="preserve">. The container was then emptied and rinsed out with 50ml of deionised water and dried. </w:t>
      </w:r>
    </w:p>
    <w:p w14:paraId="554659C2" w14:textId="77777777" w:rsidR="007218C6" w:rsidRPr="00A26A92" w:rsidRDefault="007218C6" w:rsidP="007218C6">
      <w:pPr>
        <w:pStyle w:val="ListParagraph"/>
        <w:numPr>
          <w:ilvl w:val="0"/>
          <w:numId w:val="5"/>
        </w:numPr>
        <w:spacing w:before="120" w:after="120" w:line="360" w:lineRule="auto"/>
        <w:jc w:val="both"/>
        <w:rPr>
          <w:rFonts w:ascii="Times New Roman" w:hAnsi="Times New Roman" w:cs="Times New Roman"/>
          <w:sz w:val="24"/>
          <w:szCs w:val="24"/>
          <w:lang w:val="en-US"/>
        </w:rPr>
      </w:pPr>
      <w:r w:rsidRPr="00A26A92">
        <w:rPr>
          <w:rFonts w:ascii="Times New Roman" w:hAnsi="Times New Roman" w:cs="Times New Roman"/>
          <w:sz w:val="24"/>
          <w:szCs w:val="24"/>
          <w:lang w:val="en-US"/>
        </w:rPr>
        <w:t>Once dried, 150ml of deioinsed water was poured into each container, repeating the rolling, ri</w:t>
      </w:r>
      <w:r>
        <w:rPr>
          <w:rFonts w:ascii="Times New Roman" w:hAnsi="Times New Roman" w:cs="Times New Roman"/>
          <w:sz w:val="24"/>
          <w:szCs w:val="24"/>
          <w:lang w:val="en-US"/>
        </w:rPr>
        <w:t>nsing and drying method from step 1</w:t>
      </w:r>
      <w:r w:rsidRPr="00A26A92">
        <w:rPr>
          <w:rFonts w:ascii="Times New Roman" w:hAnsi="Times New Roman" w:cs="Times New Roman"/>
          <w:sz w:val="24"/>
          <w:szCs w:val="24"/>
          <w:lang w:val="en-US"/>
        </w:rPr>
        <w:t xml:space="preserve">. </w:t>
      </w:r>
    </w:p>
    <w:p w14:paraId="06EE4571" w14:textId="77777777" w:rsidR="007218C6" w:rsidRPr="00A26A92" w:rsidRDefault="007218C6" w:rsidP="007218C6">
      <w:pPr>
        <w:pStyle w:val="ListParagraph"/>
        <w:numPr>
          <w:ilvl w:val="0"/>
          <w:numId w:val="5"/>
        </w:numPr>
        <w:spacing w:before="120" w:after="120" w:line="360" w:lineRule="auto"/>
        <w:jc w:val="both"/>
        <w:rPr>
          <w:rFonts w:ascii="Times New Roman" w:hAnsi="Times New Roman" w:cs="Times New Roman"/>
          <w:sz w:val="24"/>
          <w:szCs w:val="24"/>
          <w:lang w:val="en-US"/>
        </w:rPr>
      </w:pPr>
      <w:r w:rsidRPr="00A26A92">
        <w:rPr>
          <w:rFonts w:ascii="Times New Roman" w:hAnsi="Times New Roman" w:cs="Times New Roman"/>
          <w:sz w:val="24"/>
          <w:szCs w:val="24"/>
          <w:lang w:val="en-US"/>
        </w:rPr>
        <w:t>The containers were then filled to 90% of max volume (220ml) with deionised water, sealed and placed in an oven at 90</w:t>
      </w:r>
      <w:r w:rsidRPr="00A26A92">
        <w:rPr>
          <w:rFonts w:ascii="Times New Roman" w:hAnsi="Times New Roman" w:cs="Times New Roman"/>
          <w:sz w:val="24"/>
          <w:szCs w:val="24"/>
          <w:vertAlign w:val="superscript"/>
          <w:lang w:val="en-US"/>
        </w:rPr>
        <w:t>o</w:t>
      </w:r>
      <w:r w:rsidRPr="00A26A92">
        <w:rPr>
          <w:rFonts w:ascii="Times New Roman" w:hAnsi="Times New Roman" w:cs="Times New Roman"/>
          <w:sz w:val="24"/>
          <w:szCs w:val="24"/>
          <w:lang w:val="en-US"/>
        </w:rPr>
        <w:t xml:space="preserve">C for 16 hours. </w:t>
      </w:r>
    </w:p>
    <w:p w14:paraId="7DEAC1FC" w14:textId="77777777" w:rsidR="007218C6" w:rsidRPr="00A26A92" w:rsidRDefault="007218C6" w:rsidP="007218C6">
      <w:pPr>
        <w:pStyle w:val="ListParagraph"/>
        <w:numPr>
          <w:ilvl w:val="0"/>
          <w:numId w:val="5"/>
        </w:numPr>
        <w:spacing w:before="240" w:after="120" w:line="360" w:lineRule="auto"/>
        <w:jc w:val="both"/>
        <w:rPr>
          <w:rFonts w:ascii="Times New Roman" w:hAnsi="Times New Roman" w:cs="Times New Roman"/>
          <w:sz w:val="24"/>
          <w:szCs w:val="24"/>
          <w:lang w:val="en-US"/>
        </w:rPr>
      </w:pPr>
      <w:r w:rsidRPr="00A26A92">
        <w:rPr>
          <w:rFonts w:ascii="Times New Roman" w:hAnsi="Times New Roman" w:cs="Times New Roman"/>
          <w:sz w:val="24"/>
          <w:szCs w:val="24"/>
          <w:lang w:val="en-US"/>
        </w:rPr>
        <w:t>Containers cooled, lid removed and emptied. They were then placed back in the oven with the lid removed and dried at 90</w:t>
      </w:r>
      <w:r w:rsidRPr="00A26A92">
        <w:rPr>
          <w:rFonts w:ascii="Times New Roman" w:hAnsi="Times New Roman" w:cs="Times New Roman"/>
          <w:sz w:val="24"/>
          <w:szCs w:val="24"/>
          <w:vertAlign w:val="superscript"/>
          <w:lang w:val="en-US"/>
        </w:rPr>
        <w:t>o</w:t>
      </w:r>
      <w:r w:rsidRPr="00A26A92">
        <w:rPr>
          <w:rFonts w:ascii="Times New Roman" w:hAnsi="Times New Roman" w:cs="Times New Roman"/>
          <w:sz w:val="24"/>
          <w:szCs w:val="24"/>
          <w:lang w:val="en-US"/>
        </w:rPr>
        <w:t xml:space="preserve">C. </w:t>
      </w:r>
    </w:p>
    <w:p w14:paraId="39924E93" w14:textId="6A65C7BB" w:rsidR="008E3422" w:rsidRDefault="007218C6" w:rsidP="00751C5B">
      <w:pPr>
        <w:pStyle w:val="ListParagraph"/>
        <w:numPr>
          <w:ilvl w:val="0"/>
          <w:numId w:val="5"/>
        </w:numPr>
        <w:spacing w:before="240" w:after="120" w:line="360" w:lineRule="auto"/>
        <w:jc w:val="both"/>
      </w:pPr>
      <w:r w:rsidRPr="00A26A92">
        <w:rPr>
          <w:rFonts w:ascii="Times New Roman" w:hAnsi="Times New Roman" w:cs="Times New Roman"/>
          <w:sz w:val="24"/>
          <w:szCs w:val="24"/>
          <w:lang w:val="en-US"/>
        </w:rPr>
        <w:t>Once dried th</w:t>
      </w:r>
      <w:r w:rsidR="008E3422">
        <w:rPr>
          <w:rFonts w:ascii="Times New Roman" w:hAnsi="Times New Roman" w:cs="Times New Roman"/>
          <w:sz w:val="24"/>
          <w:szCs w:val="24"/>
          <w:lang w:val="en-US"/>
        </w:rPr>
        <w:t>e containers were ready to use.</w:t>
      </w:r>
      <w:r w:rsidR="004724B9">
        <w:rPr>
          <w:rFonts w:ascii="Times New Roman" w:hAnsi="Times New Roman" w:cs="Times New Roman"/>
          <w:sz w:val="24"/>
          <w:szCs w:val="24"/>
          <w:lang w:val="en-US"/>
        </w:rPr>
        <w:t xml:space="preserve"> Extra care was taken to assure the containers were not contaminated by their surroundings by keeping the lid firmly sealed while stored. </w:t>
      </w:r>
    </w:p>
    <w:p w14:paraId="3CDD3DB0" w14:textId="77777777" w:rsidR="008E3422" w:rsidRDefault="008E3422" w:rsidP="007218C6">
      <w:pPr>
        <w:spacing w:before="120" w:after="120" w:line="360" w:lineRule="auto"/>
        <w:jc w:val="both"/>
        <w:rPr>
          <w:rFonts w:ascii="Times New Roman" w:hAnsi="Times New Roman" w:cs="Times New Roman"/>
          <w:u w:val="single"/>
        </w:rPr>
      </w:pPr>
    </w:p>
    <w:p w14:paraId="30A20E35" w14:textId="7F22F39D" w:rsidR="007218C6" w:rsidRPr="00C44866" w:rsidRDefault="007218C6" w:rsidP="007218C6">
      <w:pPr>
        <w:spacing w:before="120" w:after="120" w:line="360" w:lineRule="auto"/>
        <w:jc w:val="both"/>
        <w:rPr>
          <w:rFonts w:ascii="Times New Roman" w:hAnsi="Times New Roman" w:cs="Times New Roman"/>
        </w:rPr>
      </w:pPr>
      <w:r w:rsidRPr="00C44866">
        <w:rPr>
          <w:rFonts w:ascii="Times New Roman" w:hAnsi="Times New Roman" w:cs="Times New Roman"/>
        </w:rPr>
        <w:t>ii.</w:t>
      </w:r>
      <w:r w:rsidRPr="00C44866">
        <w:rPr>
          <w:rFonts w:ascii="Times New Roman" w:hAnsi="Times New Roman" w:cs="Times New Roman"/>
        </w:rPr>
        <w:tab/>
        <w:t>Electrical</w:t>
      </w:r>
      <w:r w:rsidR="00C23F8E">
        <w:rPr>
          <w:rFonts w:ascii="Times New Roman" w:hAnsi="Times New Roman" w:cs="Times New Roman"/>
        </w:rPr>
        <w:t xml:space="preserve"> Leaching</w:t>
      </w:r>
    </w:p>
    <w:p w14:paraId="5407D57A" w14:textId="11DFDFB9" w:rsidR="007218C6" w:rsidRPr="00A26A92" w:rsidRDefault="007218C6" w:rsidP="007218C6">
      <w:pPr>
        <w:spacing w:before="240" w:after="120" w:line="360" w:lineRule="auto"/>
        <w:jc w:val="both"/>
        <w:rPr>
          <w:rFonts w:ascii="Times New Roman" w:hAnsi="Times New Roman" w:cs="Times New Roman"/>
        </w:rPr>
      </w:pPr>
      <w:r w:rsidRPr="00A26A92">
        <w:rPr>
          <w:rFonts w:ascii="Times New Roman" w:hAnsi="Times New Roman" w:cs="Times New Roman"/>
        </w:rPr>
        <w:t>The electrical leaching test required different equipment.  The sample was sus</w:t>
      </w:r>
      <w:r>
        <w:rPr>
          <w:rFonts w:ascii="Times New Roman" w:hAnsi="Times New Roman" w:cs="Times New Roman"/>
        </w:rPr>
        <w:t>pended in the casing (Figure 3.3</w:t>
      </w:r>
      <w:r w:rsidRPr="00A26A92">
        <w:rPr>
          <w:rFonts w:ascii="Times New Roman" w:hAnsi="Times New Roman" w:cs="Times New Roman"/>
        </w:rPr>
        <w:t>) with b</w:t>
      </w:r>
      <w:r>
        <w:rPr>
          <w:rFonts w:ascii="Times New Roman" w:hAnsi="Times New Roman" w:cs="Times New Roman"/>
        </w:rPr>
        <w:t xml:space="preserve">oth sides exposed to 425ml of </w:t>
      </w:r>
      <w:proofErr w:type="gramStart"/>
      <w:r>
        <w:rPr>
          <w:rFonts w:ascii="Times New Roman" w:hAnsi="Times New Roman" w:cs="Times New Roman"/>
        </w:rPr>
        <w:t>solution,</w:t>
      </w:r>
      <w:proofErr w:type="gramEnd"/>
      <w:r>
        <w:rPr>
          <w:rFonts w:ascii="Times New Roman" w:hAnsi="Times New Roman" w:cs="Times New Roman"/>
        </w:rPr>
        <w:t xml:space="preserve"> the sample exposure surface area was 1024mm</w:t>
      </w:r>
      <w:r>
        <w:rPr>
          <w:rFonts w:ascii="Times New Roman" w:hAnsi="Times New Roman" w:cs="Times New Roman"/>
          <w:vertAlign w:val="superscript"/>
        </w:rPr>
        <w:t>2</w:t>
      </w:r>
      <w:r>
        <w:rPr>
          <w:rFonts w:ascii="Times New Roman" w:hAnsi="Times New Roman" w:cs="Times New Roman"/>
        </w:rPr>
        <w:t xml:space="preserve"> (32mm×32mm). This gives a surface area to </w:t>
      </w:r>
      <w:r w:rsidR="00C23F8E">
        <w:rPr>
          <w:rFonts w:ascii="Times New Roman" w:hAnsi="Times New Roman" w:cs="Times New Roman"/>
        </w:rPr>
        <w:t xml:space="preserve">leachate </w:t>
      </w:r>
      <w:r>
        <w:rPr>
          <w:rFonts w:ascii="Times New Roman" w:hAnsi="Times New Roman" w:cs="Times New Roman"/>
        </w:rPr>
        <w:t>volume ratio of 2.4</w:t>
      </w:r>
      <w:r w:rsidRPr="00A26A92">
        <w:rPr>
          <w:rFonts w:ascii="Times New Roman" w:hAnsi="Times New Roman" w:cs="Times New Roman"/>
        </w:rPr>
        <w:t xml:space="preserve">. The container used to house the sample and the solution was designed </w:t>
      </w:r>
      <w:r>
        <w:rPr>
          <w:rFonts w:ascii="Times New Roman" w:hAnsi="Times New Roman" w:cs="Times New Roman"/>
        </w:rPr>
        <w:t>in collaboration with</w:t>
      </w:r>
      <w:r w:rsidRPr="00A26A92">
        <w:rPr>
          <w:rFonts w:ascii="Times New Roman" w:hAnsi="Times New Roman" w:cs="Times New Roman"/>
        </w:rPr>
        <w:t xml:space="preserve"> Dr.Katsufumi Hash</w:t>
      </w:r>
      <w:r>
        <w:rPr>
          <w:rFonts w:ascii="Times New Roman" w:hAnsi="Times New Roman" w:cs="Times New Roman"/>
        </w:rPr>
        <w:t>imoto</w:t>
      </w:r>
      <w:r w:rsidR="00C23F8E">
        <w:rPr>
          <w:rFonts w:ascii="Times New Roman" w:hAnsi="Times New Roman" w:cs="Times New Roman"/>
        </w:rPr>
        <w:t xml:space="preserve"> at Hokkaido University</w:t>
      </w:r>
      <w:r>
        <w:rPr>
          <w:rFonts w:ascii="Times New Roman" w:hAnsi="Times New Roman" w:cs="Times New Roman"/>
        </w:rPr>
        <w:t xml:space="preserve"> and is shown in figure 3.4a with a detailed schematic in Figure 3.4b.</w:t>
      </w:r>
    </w:p>
    <w:p w14:paraId="4B959B70" w14:textId="77777777" w:rsidR="007218C6" w:rsidRPr="00A26A92" w:rsidRDefault="007218C6" w:rsidP="007218C6">
      <w:pPr>
        <w:spacing w:before="240" w:after="120" w:line="360" w:lineRule="auto"/>
        <w:jc w:val="both"/>
        <w:rPr>
          <w:rFonts w:ascii="Times New Roman" w:hAnsi="Times New Roman" w:cs="Times New Roman"/>
        </w:rPr>
      </w:pPr>
    </w:p>
    <w:p w14:paraId="4578E3AA" w14:textId="77777777" w:rsidR="007218C6" w:rsidRPr="00A26A92" w:rsidRDefault="007218C6" w:rsidP="008E3422">
      <w:pPr>
        <w:pStyle w:val="ListParagraph"/>
        <w:spacing w:before="240" w:after="120" w:line="240" w:lineRule="auto"/>
        <w:ind w:left="0"/>
        <w:jc w:val="center"/>
        <w:rPr>
          <w:rFonts w:ascii="Times New Roman" w:hAnsi="Times New Roman" w:cs="Times New Roman"/>
          <w:sz w:val="24"/>
          <w:szCs w:val="24"/>
          <w:lang w:val="en-US"/>
        </w:rPr>
      </w:pPr>
      <w:r w:rsidRPr="00A26A92">
        <w:rPr>
          <w:rFonts w:ascii="Times New Roman" w:hAnsi="Times New Roman" w:cs="Times New Roman"/>
          <w:noProof/>
          <w:sz w:val="24"/>
          <w:szCs w:val="24"/>
          <w:lang w:val="en-US"/>
        </w:rPr>
        <w:lastRenderedPageBreak/>
        <w:drawing>
          <wp:inline distT="0" distB="0" distL="0" distR="0" wp14:anchorId="13C0B4B9" wp14:editId="62E1D075">
            <wp:extent cx="3968015" cy="2049785"/>
            <wp:effectExtent l="25400" t="25400" r="20320" b="33020"/>
            <wp:docPr id="14" name="Picture 3" descr="HDD:Dropbox:Photo 16-07-2013 03 13 14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DD:Dropbox:Photo 16-07-2013 03 13 14 PM.jpg"/>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backgroundRemoval t="0" b="94649" l="0" r="100000">
                                  <a14:foregroundMark x1="27237" y1="30310" x2="27237" y2="30310"/>
                                  <a14:backgroundMark x1="25521" y1="51430" x2="25521" y2="51430"/>
                                  <a14:backgroundMark x1="28615" y1="45016" x2="28615" y2="45016"/>
                                  <a14:backgroundMark x1="71017" y1="48243" x2="71017" y2="48243"/>
                                  <a14:backgroundMark x1="66881" y1="54208" x2="66881" y2="54208"/>
                                  <a14:backgroundMark x1="73407" y1="54208" x2="75153" y2="45466"/>
                                  <a14:backgroundMark x1="60662" y1="9191" x2="60662" y2="9191"/>
                                  <a14:backgroundMark x1="22059" y1="8252" x2="22059" y2="8252"/>
                                  <a14:backgroundMark x1="47580" y1="51920" x2="47580" y2="51920"/>
                                  <a14:backgroundMark x1="47580" y1="21569" x2="47580" y2="21569"/>
                                  <a14:backgroundMark x1="10692" y1="24796" x2="10692" y2="24796"/>
                                  <a14:backgroundMark x1="92708" y1="11479" x2="92708" y2="11479"/>
                                  <a14:backgroundMark x1="95833" y1="5515" x2="7935" y2="5515"/>
                                  <a14:backgroundMark x1="46538" y1="37663" x2="46201" y2="16993"/>
                                  <a14:backgroundMark x1="22396" y1="43178" x2="28952" y2="54657"/>
                                </a14:backgroundRemoval>
                              </a14:imgEffect>
                            </a14:imgLayer>
                          </a14:imgProps>
                        </a:ext>
                        <a:ext uri="{28A0092B-C50C-407E-A947-70E740481C1C}">
                          <a14:useLocalDpi xmlns:a14="http://schemas.microsoft.com/office/drawing/2010/main" val="0"/>
                        </a:ext>
                      </a:extLst>
                    </a:blip>
                    <a:srcRect l="-1726" t="12403" r="-4463" b="14501"/>
                    <a:stretch/>
                  </pic:blipFill>
                  <pic:spPr bwMode="auto">
                    <a:xfrm>
                      <a:off x="0" y="0"/>
                      <a:ext cx="3972913" cy="2052315"/>
                    </a:xfrm>
                    <a:prstGeom prst="rect">
                      <a:avLst/>
                    </a:prstGeom>
                    <a:noFill/>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C2D1A4" w14:textId="77777777" w:rsidR="007218C6" w:rsidRDefault="007218C6" w:rsidP="008E3422">
      <w:pPr>
        <w:spacing w:before="120" w:after="120"/>
        <w:jc w:val="center"/>
        <w:rPr>
          <w:rFonts w:ascii="Times New Roman" w:hAnsi="Times New Roman" w:cs="Times New Roman"/>
        </w:rPr>
      </w:pPr>
      <w:r w:rsidRPr="00256827">
        <w:rPr>
          <w:rFonts w:ascii="Times New Roman" w:hAnsi="Times New Roman" w:cs="Times New Roman"/>
          <w:b/>
        </w:rPr>
        <w:t>Figure 3.3</w:t>
      </w:r>
      <w:r>
        <w:rPr>
          <w:rFonts w:ascii="Times New Roman" w:hAnsi="Times New Roman" w:cs="Times New Roman"/>
          <w:b/>
        </w:rPr>
        <w:t xml:space="preserve">: </w:t>
      </w:r>
      <w:r>
        <w:rPr>
          <w:rFonts w:ascii="Times New Roman" w:hAnsi="Times New Roman" w:cs="Times New Roman"/>
        </w:rPr>
        <w:t>Cement sample housing</w:t>
      </w:r>
    </w:p>
    <w:p w14:paraId="18565381" w14:textId="77777777" w:rsidR="008E3422" w:rsidRPr="00EA1FBA" w:rsidRDefault="008E3422" w:rsidP="008E3422">
      <w:pPr>
        <w:spacing w:before="120" w:after="120"/>
        <w:jc w:val="center"/>
        <w:rPr>
          <w:rFonts w:ascii="Times New Roman" w:hAnsi="Times New Roman" w:cs="Times New Roman"/>
        </w:rPr>
      </w:pPr>
    </w:p>
    <w:p w14:paraId="51F15519" w14:textId="77777777" w:rsidR="007218C6" w:rsidRDefault="007218C6" w:rsidP="007218C6">
      <w:pPr>
        <w:spacing w:before="120" w:after="120" w:line="360" w:lineRule="auto"/>
        <w:jc w:val="center"/>
        <w:rPr>
          <w:rFonts w:ascii="Times New Roman" w:hAnsi="Times New Roman" w:cs="Times New Roman"/>
          <w:i/>
        </w:rPr>
      </w:pPr>
      <w:r>
        <w:rPr>
          <w:rFonts w:ascii="Times New Roman" w:hAnsi="Times New Roman" w:cs="Times New Roman"/>
          <w:i/>
          <w:noProof/>
        </w:rPr>
        <w:drawing>
          <wp:inline distT="0" distB="0" distL="0" distR="0" wp14:anchorId="0C06FBA3" wp14:editId="02F05B9C">
            <wp:extent cx="6179837" cy="2437598"/>
            <wp:effectExtent l="0" t="0" r="0" b="1270"/>
            <wp:docPr id="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80269" cy="2437768"/>
                    </a:xfrm>
                    <a:prstGeom prst="rect">
                      <a:avLst/>
                    </a:prstGeom>
                    <a:noFill/>
                    <a:ln>
                      <a:noFill/>
                    </a:ln>
                  </pic:spPr>
                </pic:pic>
              </a:graphicData>
            </a:graphic>
          </wp:inline>
        </w:drawing>
      </w:r>
    </w:p>
    <w:p w14:paraId="325A75BA" w14:textId="77777777" w:rsidR="007218C6" w:rsidRPr="00256827" w:rsidRDefault="007218C6" w:rsidP="007218C6">
      <w:pPr>
        <w:spacing w:before="120" w:after="120" w:line="360" w:lineRule="auto"/>
        <w:jc w:val="center"/>
        <w:rPr>
          <w:rFonts w:ascii="Times New Roman" w:hAnsi="Times New Roman" w:cs="Times New Roman"/>
        </w:rPr>
        <w:sectPr w:rsidR="007218C6" w:rsidRPr="00256827" w:rsidSect="003C5C4D">
          <w:pgSz w:w="11906" w:h="16838"/>
          <w:pgMar w:top="1440" w:right="1440" w:bottom="1440" w:left="1440" w:header="720" w:footer="720" w:gutter="0"/>
          <w:pgNumType w:start="1"/>
          <w:cols w:space="720"/>
          <w:docGrid w:linePitch="360"/>
        </w:sectPr>
      </w:pPr>
      <w:r>
        <w:rPr>
          <w:rFonts w:ascii="Times New Roman" w:hAnsi="Times New Roman" w:cs="Times New Roman"/>
          <w:b/>
        </w:rPr>
        <w:t xml:space="preserve">Figure 3.4a: </w:t>
      </w:r>
      <w:r>
        <w:rPr>
          <w:rFonts w:ascii="Times New Roman" w:hAnsi="Times New Roman" w:cs="Times New Roman"/>
        </w:rPr>
        <w:t>Electrical leaching apparatus</w:t>
      </w:r>
    </w:p>
    <w:p w14:paraId="53632BA6" w14:textId="77777777" w:rsidR="007218C6" w:rsidRPr="00A26A92" w:rsidRDefault="007218C6" w:rsidP="007218C6">
      <w:pPr>
        <w:spacing w:before="120" w:after="120" w:line="360" w:lineRule="auto"/>
        <w:rPr>
          <w:rFonts w:ascii="Times New Roman" w:hAnsi="Times New Roman" w:cs="Times New Roman"/>
        </w:rPr>
      </w:pPr>
    </w:p>
    <w:p w14:paraId="1E8E594C" w14:textId="0E0C0707" w:rsidR="007218C6" w:rsidRPr="006D0758" w:rsidRDefault="007218C6" w:rsidP="007218C6">
      <w:pPr>
        <w:spacing w:before="120" w:after="120" w:line="360" w:lineRule="auto"/>
        <w:ind w:left="-1134"/>
        <w:jc w:val="center"/>
        <w:rPr>
          <w:rFonts w:ascii="Times New Roman" w:hAnsi="Times New Roman" w:cs="Times New Roman"/>
        </w:rPr>
        <w:sectPr w:rsidR="007218C6" w:rsidRPr="006D0758" w:rsidSect="00C07DA0">
          <w:pgSz w:w="16838" w:h="11906" w:orient="landscape"/>
          <w:pgMar w:top="568" w:right="1440" w:bottom="1440" w:left="1440" w:header="720" w:footer="720" w:gutter="0"/>
          <w:cols w:space="720"/>
          <w:docGrid w:linePitch="360"/>
        </w:sectPr>
      </w:pPr>
      <w:r>
        <w:rPr>
          <w:rFonts w:ascii="Times New Roman" w:hAnsi="Times New Roman" w:cs="Times New Roman"/>
          <w:noProof/>
        </w:rPr>
        <w:drawing>
          <wp:inline distT="0" distB="0" distL="0" distR="0" wp14:anchorId="59F71669" wp14:editId="77239076">
            <wp:extent cx="10201958" cy="5200048"/>
            <wp:effectExtent l="0" t="0" r="8890" b="6985"/>
            <wp:docPr id="9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203092" cy="5200626"/>
                    </a:xfrm>
                    <a:prstGeom prst="rect">
                      <a:avLst/>
                    </a:prstGeom>
                    <a:noFill/>
                    <a:ln>
                      <a:noFill/>
                    </a:ln>
                  </pic:spPr>
                </pic:pic>
              </a:graphicData>
            </a:graphic>
          </wp:inline>
        </w:drawing>
      </w:r>
      <w:r>
        <w:rPr>
          <w:rFonts w:ascii="Times New Roman" w:hAnsi="Times New Roman" w:cs="Times New Roman"/>
          <w:b/>
        </w:rPr>
        <w:t xml:space="preserve">Figure 3.4b: </w:t>
      </w:r>
      <w:r>
        <w:rPr>
          <w:rFonts w:ascii="Times New Roman" w:hAnsi="Times New Roman" w:cs="Times New Roman"/>
        </w:rPr>
        <w:t>Schematic of electrical leaching apparatus (all dimensions are measure</w:t>
      </w:r>
      <w:r w:rsidR="00113001">
        <w:rPr>
          <w:rFonts w:ascii="Times New Roman" w:hAnsi="Times New Roman" w:cs="Times New Roman"/>
        </w:rPr>
        <w:t>d</w:t>
      </w:r>
      <w:r>
        <w:rPr>
          <w:rFonts w:ascii="Times New Roman" w:hAnsi="Times New Roman" w:cs="Times New Roman"/>
        </w:rPr>
        <w:t xml:space="preserve"> in mm)</w:t>
      </w:r>
    </w:p>
    <w:p w14:paraId="560471DB" w14:textId="776D5451" w:rsidR="007218C6" w:rsidRDefault="00096DCE" w:rsidP="007218C6">
      <w:pPr>
        <w:spacing w:before="120" w:after="120" w:line="360" w:lineRule="auto"/>
        <w:jc w:val="both"/>
        <w:rPr>
          <w:rFonts w:ascii="Times New Roman" w:hAnsi="Times New Roman" w:cs="Times New Roman"/>
          <w:b/>
          <w:sz w:val="28"/>
        </w:rPr>
      </w:pPr>
      <w:r>
        <w:rPr>
          <w:rFonts w:ascii="Times New Roman" w:hAnsi="Times New Roman" w:cs="Times New Roman"/>
          <w:b/>
          <w:sz w:val="28"/>
        </w:rPr>
        <w:lastRenderedPageBreak/>
        <w:t>3.2.5</w:t>
      </w:r>
      <w:r w:rsidR="007218C6">
        <w:rPr>
          <w:rFonts w:ascii="Times New Roman" w:hAnsi="Times New Roman" w:cs="Times New Roman"/>
          <w:b/>
          <w:sz w:val="28"/>
        </w:rPr>
        <w:tab/>
        <w:t>Experimental Procedure</w:t>
      </w:r>
    </w:p>
    <w:p w14:paraId="0390AFB6" w14:textId="77777777" w:rsidR="007218C6" w:rsidRPr="00C44866" w:rsidRDefault="007218C6" w:rsidP="007218C6">
      <w:pPr>
        <w:spacing w:before="120" w:after="120" w:line="360" w:lineRule="auto"/>
        <w:jc w:val="both"/>
        <w:rPr>
          <w:rFonts w:ascii="Times New Roman" w:hAnsi="Times New Roman" w:cs="Times New Roman"/>
          <w:i/>
        </w:rPr>
      </w:pPr>
      <w:r w:rsidRPr="00C44866">
        <w:rPr>
          <w:rFonts w:ascii="Times New Roman" w:hAnsi="Times New Roman" w:cs="Times New Roman"/>
        </w:rPr>
        <w:t>i.</w:t>
      </w:r>
      <w:r w:rsidRPr="00C44866">
        <w:rPr>
          <w:rFonts w:ascii="Times New Roman" w:hAnsi="Times New Roman" w:cs="Times New Roman"/>
        </w:rPr>
        <w:tab/>
        <w:t>Static/Semi-Static</w:t>
      </w:r>
    </w:p>
    <w:p w14:paraId="60B181BA" w14:textId="0DF8AC81" w:rsidR="007218C6" w:rsidRDefault="00EC72EF" w:rsidP="007218C6">
      <w:pPr>
        <w:spacing w:line="360" w:lineRule="auto"/>
        <w:jc w:val="both"/>
        <w:rPr>
          <w:rFonts w:ascii="Times New Roman" w:hAnsi="Times New Roman" w:cs="Times New Roman"/>
        </w:rPr>
      </w:pPr>
      <w:r>
        <w:rPr>
          <w:rFonts w:ascii="Times New Roman" w:hAnsi="Times New Roman" w:cs="Times New Roman"/>
        </w:rPr>
        <w:t>The containers used in this experiment could hold approximately 240ml of water. Based on this the</w:t>
      </w:r>
      <w:r w:rsidR="007218C6">
        <w:rPr>
          <w:rFonts w:ascii="Times New Roman" w:hAnsi="Times New Roman" w:cs="Times New Roman"/>
        </w:rPr>
        <w:t xml:space="preserve"> surface area of sample to volume of water </w:t>
      </w:r>
      <w:r w:rsidR="007218C6" w:rsidRPr="00A26A92">
        <w:rPr>
          <w:rFonts w:ascii="Times New Roman" w:hAnsi="Times New Roman" w:cs="Times New Roman"/>
        </w:rPr>
        <w:t>(SA/V) ratio was calculated at a value of 2.4</w:t>
      </w:r>
      <w:r w:rsidR="003277B6">
        <w:rPr>
          <w:rFonts w:ascii="Times New Roman" w:hAnsi="Times New Roman" w:cs="Times New Roman"/>
        </w:rPr>
        <w:t xml:space="preserve"> mm</w:t>
      </w:r>
      <w:r w:rsidR="003277B6">
        <w:rPr>
          <w:rFonts w:ascii="Times New Roman" w:hAnsi="Times New Roman" w:cs="Times New Roman"/>
          <w:vertAlign w:val="superscript"/>
        </w:rPr>
        <w:t>2</w:t>
      </w:r>
      <w:r w:rsidR="003277B6">
        <w:rPr>
          <w:rFonts w:ascii="Times New Roman" w:hAnsi="Times New Roman" w:cs="Times New Roman"/>
        </w:rPr>
        <w:t>/ml</w:t>
      </w:r>
      <w:r>
        <w:rPr>
          <w:rFonts w:ascii="Times New Roman" w:hAnsi="Times New Roman" w:cs="Times New Roman"/>
        </w:rPr>
        <w:t xml:space="preserve">. </w:t>
      </w:r>
      <w:r w:rsidR="007218C6">
        <w:rPr>
          <w:rFonts w:ascii="Times New Roman" w:hAnsi="Times New Roman" w:cs="Times New Roman"/>
        </w:rPr>
        <w:t>As the cement samples used have a diameter of 27</w:t>
      </w:r>
      <w:r w:rsidR="00E80C5D">
        <w:rPr>
          <w:rFonts w:ascii="Times New Roman" w:hAnsi="Times New Roman" w:cs="Times New Roman"/>
        </w:rPr>
        <w:t xml:space="preserve"> </w:t>
      </w:r>
      <w:r w:rsidR="007218C6">
        <w:rPr>
          <w:rFonts w:ascii="Times New Roman" w:hAnsi="Times New Roman" w:cs="Times New Roman"/>
        </w:rPr>
        <w:t xml:space="preserve">mm and </w:t>
      </w:r>
      <w:r w:rsidR="007218C6" w:rsidRPr="00A26A92">
        <w:rPr>
          <w:rFonts w:ascii="Times New Roman" w:hAnsi="Times New Roman" w:cs="Times New Roman"/>
        </w:rPr>
        <w:t>a surface area of 572 mm</w:t>
      </w:r>
      <w:r w:rsidR="007218C6" w:rsidRPr="00A26A92">
        <w:rPr>
          <w:rFonts w:ascii="Times New Roman" w:hAnsi="Times New Roman" w:cs="Times New Roman"/>
          <w:vertAlign w:val="superscript"/>
        </w:rPr>
        <w:t>2</w:t>
      </w:r>
      <w:r w:rsidR="007218C6" w:rsidRPr="00A26A92">
        <w:rPr>
          <w:rFonts w:ascii="Times New Roman" w:hAnsi="Times New Roman" w:cs="Times New Roman"/>
        </w:rPr>
        <w:t>,</w:t>
      </w:r>
      <w:r w:rsidR="007218C6">
        <w:rPr>
          <w:rFonts w:ascii="Times New Roman" w:hAnsi="Times New Roman" w:cs="Times New Roman"/>
        </w:rPr>
        <w:t xml:space="preserve"> 238.</w:t>
      </w:r>
      <w:r w:rsidR="00334D7B">
        <w:rPr>
          <w:rFonts w:ascii="Times New Roman" w:hAnsi="Times New Roman" w:cs="Times New Roman"/>
        </w:rPr>
        <w:t>33</w:t>
      </w:r>
      <w:r w:rsidR="007218C6">
        <w:rPr>
          <w:rFonts w:ascii="Times New Roman" w:hAnsi="Times New Roman" w:cs="Times New Roman"/>
        </w:rPr>
        <w:t xml:space="preserve"> ml of water was</w:t>
      </w:r>
      <w:r w:rsidR="00086C8C">
        <w:rPr>
          <w:rFonts w:ascii="Times New Roman" w:hAnsi="Times New Roman" w:cs="Times New Roman"/>
        </w:rPr>
        <w:t xml:space="preserve"> required. </w:t>
      </w:r>
      <w:r w:rsidR="007218C6" w:rsidRPr="00A26A92">
        <w:rPr>
          <w:rFonts w:ascii="Times New Roman" w:hAnsi="Times New Roman" w:cs="Times New Roman"/>
        </w:rPr>
        <w:t>Deionised water</w:t>
      </w:r>
      <w:r w:rsidR="00E80C5D">
        <w:rPr>
          <w:rFonts w:ascii="Times New Roman" w:hAnsi="Times New Roman" w:cs="Times New Roman"/>
        </w:rPr>
        <w:t xml:space="preserve"> with</w:t>
      </w:r>
      <w:r w:rsidR="007218C6" w:rsidRPr="00A26A92">
        <w:rPr>
          <w:rFonts w:ascii="Times New Roman" w:hAnsi="Times New Roman" w:cs="Times New Roman"/>
        </w:rPr>
        <w:t xml:space="preserve"> purity of 18 MΩ cm was collected from a Millipore Direct QUV 3 water deioniser at 25</w:t>
      </w:r>
      <w:r w:rsidR="007218C6" w:rsidRPr="00A26A92">
        <w:rPr>
          <w:rFonts w:ascii="Times New Roman" w:hAnsi="Times New Roman" w:cs="Times New Roman"/>
          <w:vertAlign w:val="superscript"/>
        </w:rPr>
        <w:t>o</w:t>
      </w:r>
      <w:r w:rsidR="00E80C5D">
        <w:rPr>
          <w:rFonts w:ascii="Times New Roman" w:hAnsi="Times New Roman" w:cs="Times New Roman"/>
        </w:rPr>
        <w:t xml:space="preserve">C. Then </w:t>
      </w:r>
      <w:r w:rsidR="007218C6" w:rsidRPr="00A26A92">
        <w:rPr>
          <w:rFonts w:ascii="Times New Roman" w:hAnsi="Times New Roman" w:cs="Times New Roman"/>
        </w:rPr>
        <w:t>238.</w:t>
      </w:r>
      <w:r w:rsidR="00334D7B">
        <w:rPr>
          <w:rFonts w:ascii="Times New Roman" w:hAnsi="Times New Roman" w:cs="Times New Roman"/>
        </w:rPr>
        <w:t>33</w:t>
      </w:r>
      <w:r w:rsidR="007218C6" w:rsidRPr="00A26A92">
        <w:rPr>
          <w:rFonts w:ascii="Times New Roman" w:hAnsi="Times New Roman" w:cs="Times New Roman"/>
        </w:rPr>
        <w:t xml:space="preserve">g of </w:t>
      </w:r>
      <w:r w:rsidR="00E80C5D">
        <w:rPr>
          <w:rFonts w:ascii="Times New Roman" w:hAnsi="Times New Roman" w:cs="Times New Roman"/>
        </w:rPr>
        <w:t xml:space="preserve">this </w:t>
      </w:r>
      <w:r w:rsidR="007218C6">
        <w:rPr>
          <w:rFonts w:ascii="Times New Roman" w:hAnsi="Times New Roman" w:cs="Times New Roman"/>
        </w:rPr>
        <w:t xml:space="preserve">water </w:t>
      </w:r>
      <w:proofErr w:type="gramStart"/>
      <w:r w:rsidR="007218C6" w:rsidRPr="00A26A92">
        <w:rPr>
          <w:rFonts w:ascii="Times New Roman" w:hAnsi="Times New Roman" w:cs="Times New Roman"/>
        </w:rPr>
        <w:t>was</w:t>
      </w:r>
      <w:proofErr w:type="gramEnd"/>
      <w:r w:rsidR="007218C6" w:rsidRPr="00A26A92">
        <w:rPr>
          <w:rFonts w:ascii="Times New Roman" w:hAnsi="Times New Roman" w:cs="Times New Roman"/>
        </w:rPr>
        <w:t xml:space="preserve"> weighed out on a Toledo Delta Range PG 4002-5 electronic balance</w:t>
      </w:r>
      <w:r w:rsidR="007218C6">
        <w:rPr>
          <w:rFonts w:ascii="Times New Roman" w:hAnsi="Times New Roman" w:cs="Times New Roman"/>
        </w:rPr>
        <w:t xml:space="preserve"> for each test. The weighed water was then</w:t>
      </w:r>
      <w:r w:rsidR="007218C6" w:rsidRPr="00A26A92">
        <w:rPr>
          <w:rFonts w:ascii="Times New Roman" w:hAnsi="Times New Roman" w:cs="Times New Roman"/>
        </w:rPr>
        <w:t xml:space="preserve"> poured into a polypropylene container along with the prepared ceme</w:t>
      </w:r>
      <w:r w:rsidR="007218C6">
        <w:rPr>
          <w:rFonts w:ascii="Times New Roman" w:hAnsi="Times New Roman" w:cs="Times New Roman"/>
        </w:rPr>
        <w:t>nt sample, as illustrated in Figure</w:t>
      </w:r>
      <w:r w:rsidR="007218C6" w:rsidRPr="00A26A92">
        <w:rPr>
          <w:rFonts w:ascii="Times New Roman" w:hAnsi="Times New Roman" w:cs="Times New Roman"/>
        </w:rPr>
        <w:t xml:space="preserve"> 3.5. The samples were then stored at room temperature and allowed to leach for their respective periods. </w:t>
      </w:r>
    </w:p>
    <w:p w14:paraId="183497E2" w14:textId="77777777" w:rsidR="00062DA2" w:rsidRDefault="00062DA2" w:rsidP="007218C6">
      <w:pPr>
        <w:spacing w:line="360" w:lineRule="auto"/>
        <w:jc w:val="both"/>
        <w:rPr>
          <w:rFonts w:ascii="Times New Roman" w:hAnsi="Times New Roman" w:cs="Times New Roman"/>
        </w:rPr>
      </w:pPr>
    </w:p>
    <w:p w14:paraId="14CAA7A5" w14:textId="77777777" w:rsidR="007218C6" w:rsidRPr="00333DAF" w:rsidRDefault="007218C6" w:rsidP="007218C6">
      <w:pPr>
        <w:spacing w:line="360" w:lineRule="auto"/>
        <w:jc w:val="both"/>
        <w:rPr>
          <w:rFonts w:ascii="Times New Roman" w:hAnsi="Times New Roman" w:cs="Times New Roman"/>
        </w:rPr>
      </w:pPr>
    </w:p>
    <w:p w14:paraId="3D8E2E12" w14:textId="77777777" w:rsidR="007218C6" w:rsidRPr="00A26A92" w:rsidRDefault="007218C6" w:rsidP="007218C6">
      <w:pPr>
        <w:spacing w:line="360" w:lineRule="auto"/>
        <w:jc w:val="center"/>
        <w:rPr>
          <w:rFonts w:ascii="Times New Roman" w:hAnsi="Times New Roman" w:cs="Times New Roman"/>
          <w:b/>
        </w:rPr>
      </w:pPr>
      <w:r w:rsidRPr="00A26A92">
        <w:rPr>
          <w:rFonts w:ascii="Times New Roman" w:hAnsi="Times New Roman" w:cs="Times New Roman"/>
          <w:noProof/>
          <w:szCs w:val="26"/>
        </w:rPr>
        <w:drawing>
          <wp:inline distT="0" distB="0" distL="0" distR="0" wp14:anchorId="2A69F94D" wp14:editId="3E8DD152">
            <wp:extent cx="1624263" cy="2433694"/>
            <wp:effectExtent l="25400" t="25400" r="27305" b="30480"/>
            <wp:docPr id="41" name="Picture 41" descr="\\.psf\Host\Users\WG\Pictures\iPhoto Library\Previews\2011\06\19\20110619-033932\b5WPR%CtQk6H8P8IqYgpVg\IMAG0067 - Vers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sf\Host\Users\WG\Pictures\iPhoto Library\Previews\2011\06\19\20110619-033932\b5WPR%CtQk6H8P8IqYgpVg\IMAG0067 - Version 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55011" cy="2479765"/>
                    </a:xfrm>
                    <a:prstGeom prst="rect">
                      <a:avLst/>
                    </a:prstGeom>
                    <a:noFill/>
                    <a:ln w="3175">
                      <a:solidFill>
                        <a:schemeClr val="tx1"/>
                      </a:solidFill>
                    </a:ln>
                  </pic:spPr>
                </pic:pic>
              </a:graphicData>
            </a:graphic>
          </wp:inline>
        </w:drawing>
      </w:r>
    </w:p>
    <w:p w14:paraId="128A4D2C" w14:textId="77777777" w:rsidR="007218C6" w:rsidRPr="00224CF1" w:rsidRDefault="007218C6" w:rsidP="007218C6">
      <w:pPr>
        <w:spacing w:line="360" w:lineRule="auto"/>
        <w:jc w:val="center"/>
        <w:rPr>
          <w:rFonts w:ascii="Times New Roman" w:hAnsi="Times New Roman" w:cs="Times New Roman"/>
        </w:rPr>
      </w:pPr>
      <w:r w:rsidRPr="00A26A92">
        <w:rPr>
          <w:rFonts w:ascii="Times New Roman" w:hAnsi="Times New Roman" w:cs="Times New Roman"/>
          <w:b/>
        </w:rPr>
        <w:t>Figure 3.5</w:t>
      </w:r>
      <w:r>
        <w:rPr>
          <w:rFonts w:ascii="Times New Roman" w:hAnsi="Times New Roman" w:cs="Times New Roman"/>
          <w:b/>
        </w:rPr>
        <w:t xml:space="preserve">: </w:t>
      </w:r>
      <w:r>
        <w:rPr>
          <w:rFonts w:ascii="Times New Roman" w:hAnsi="Times New Roman" w:cs="Times New Roman"/>
        </w:rPr>
        <w:t>Polypropylene wide neck bottle containing deionised water and cement sample</w:t>
      </w:r>
    </w:p>
    <w:p w14:paraId="67137CBC" w14:textId="77777777" w:rsidR="00850E5F" w:rsidRDefault="00850E5F" w:rsidP="007218C6">
      <w:pPr>
        <w:spacing w:line="360" w:lineRule="auto"/>
        <w:jc w:val="both"/>
        <w:rPr>
          <w:rFonts w:ascii="Times New Roman" w:hAnsi="Times New Roman" w:cs="Times New Roman"/>
        </w:rPr>
      </w:pPr>
    </w:p>
    <w:p w14:paraId="5EBF4249" w14:textId="44C5812C" w:rsidR="007218C6" w:rsidRDefault="007218C6" w:rsidP="007218C6">
      <w:pPr>
        <w:spacing w:line="360" w:lineRule="auto"/>
        <w:jc w:val="both"/>
        <w:rPr>
          <w:rFonts w:ascii="Times New Roman" w:hAnsi="Times New Roman" w:cs="Times New Roman"/>
        </w:rPr>
      </w:pPr>
      <w:r w:rsidRPr="00A26A92">
        <w:rPr>
          <w:rFonts w:ascii="Times New Roman" w:hAnsi="Times New Roman" w:cs="Times New Roman"/>
        </w:rPr>
        <w:t xml:space="preserve">In the semi-static leaching tests the </w:t>
      </w:r>
      <w:r>
        <w:rPr>
          <w:rFonts w:ascii="Times New Roman" w:hAnsi="Times New Roman" w:cs="Times New Roman"/>
        </w:rPr>
        <w:t xml:space="preserve">water was replaced after </w:t>
      </w:r>
      <w:r w:rsidR="006D2D14">
        <w:rPr>
          <w:rFonts w:ascii="Times New Roman" w:hAnsi="Times New Roman" w:cs="Times New Roman"/>
        </w:rPr>
        <w:t xml:space="preserve">day 2 initially, then after </w:t>
      </w:r>
      <w:r>
        <w:rPr>
          <w:rFonts w:ascii="Times New Roman" w:hAnsi="Times New Roman" w:cs="Times New Roman"/>
        </w:rPr>
        <w:t>4, 7, 14, 21</w:t>
      </w:r>
      <w:r w:rsidRPr="00A26A92">
        <w:rPr>
          <w:rFonts w:ascii="Times New Roman" w:hAnsi="Times New Roman" w:cs="Times New Roman"/>
        </w:rPr>
        <w:t>, 22, 29, 39 days and then ev</w:t>
      </w:r>
      <w:r>
        <w:rPr>
          <w:rFonts w:ascii="Times New Roman" w:hAnsi="Times New Roman" w:cs="Times New Roman"/>
        </w:rPr>
        <w:t xml:space="preserve">ery 10 days until 179 days, </w:t>
      </w:r>
      <w:r w:rsidR="006D2D14">
        <w:rPr>
          <w:rFonts w:ascii="Times New Roman" w:hAnsi="Times New Roman" w:cs="Times New Roman"/>
        </w:rPr>
        <w:t>as per the</w:t>
      </w:r>
      <w:r w:rsidRPr="00A26A92">
        <w:rPr>
          <w:rFonts w:ascii="Times New Roman" w:hAnsi="Times New Roman" w:cs="Times New Roman"/>
        </w:rPr>
        <w:t xml:space="preserve"> procedure </w:t>
      </w:r>
      <w:r w:rsidR="006D2D14">
        <w:rPr>
          <w:rFonts w:ascii="Times New Roman" w:hAnsi="Times New Roman" w:cs="Times New Roman"/>
        </w:rPr>
        <w:t>followed by</w:t>
      </w:r>
      <w:r w:rsidRPr="00A26A92">
        <w:rPr>
          <w:rFonts w:ascii="Times New Roman" w:hAnsi="Times New Roman" w:cs="Times New Roman"/>
        </w:rPr>
        <w:t xml:space="preserve"> Saito</w:t>
      </w:r>
      <w:r>
        <w:rPr>
          <w:rFonts w:ascii="Times New Roman" w:hAnsi="Times New Roman" w:cs="Times New Roman"/>
        </w:rPr>
        <w:t xml:space="preserve"> and Nakane [1]</w:t>
      </w:r>
      <w:r w:rsidRPr="00A26A92">
        <w:rPr>
          <w:rFonts w:ascii="Times New Roman" w:hAnsi="Times New Roman" w:cs="Times New Roman"/>
        </w:rPr>
        <w:t xml:space="preserve">. During each water replacement, 100ml of the leachate was saved, accumulated and mixed for each leaching period. Once each leaching period was completed, </w:t>
      </w:r>
      <w:r>
        <w:rPr>
          <w:rFonts w:ascii="Times New Roman" w:hAnsi="Times New Roman" w:cs="Times New Roman"/>
        </w:rPr>
        <w:t>the accumulated leachate</w:t>
      </w:r>
      <w:r w:rsidRPr="00A26A92">
        <w:rPr>
          <w:rFonts w:ascii="Times New Roman" w:hAnsi="Times New Roman" w:cs="Times New Roman"/>
        </w:rPr>
        <w:t xml:space="preserve"> was shaken for approximately 20-30 seconds to ensure a homogeneous distribution of the diffused ions. The pH was measured and a 20ml sample of the accumulated leachate was </w:t>
      </w:r>
      <w:r>
        <w:rPr>
          <w:rFonts w:ascii="Times New Roman" w:hAnsi="Times New Roman" w:cs="Times New Roman"/>
        </w:rPr>
        <w:t xml:space="preserve">separated for further analysis on elemental concentration. </w:t>
      </w:r>
    </w:p>
    <w:p w14:paraId="2261ACF2" w14:textId="2DC2525D" w:rsidR="00062DA2" w:rsidRPr="003133A1" w:rsidRDefault="007218C6" w:rsidP="007218C6">
      <w:pPr>
        <w:spacing w:line="360" w:lineRule="auto"/>
        <w:jc w:val="both"/>
        <w:rPr>
          <w:rFonts w:ascii="Times New Roman" w:hAnsi="Times New Roman" w:cs="Times New Roman"/>
        </w:rPr>
      </w:pPr>
      <w:r w:rsidRPr="00A26A92">
        <w:rPr>
          <w:rFonts w:ascii="Times New Roman" w:hAnsi="Times New Roman" w:cs="Times New Roman"/>
        </w:rPr>
        <w:lastRenderedPageBreak/>
        <w:t xml:space="preserve"> </w:t>
      </w:r>
    </w:p>
    <w:p w14:paraId="539C6CB1" w14:textId="77777777" w:rsidR="007218C6" w:rsidRPr="00C44866" w:rsidRDefault="007218C6" w:rsidP="007218C6">
      <w:pPr>
        <w:spacing w:before="120" w:after="120" w:line="360" w:lineRule="auto"/>
        <w:jc w:val="both"/>
        <w:rPr>
          <w:rFonts w:ascii="Times New Roman" w:hAnsi="Times New Roman" w:cs="Times New Roman"/>
        </w:rPr>
      </w:pPr>
      <w:r w:rsidRPr="00C44866">
        <w:rPr>
          <w:rFonts w:ascii="Times New Roman" w:hAnsi="Times New Roman" w:cs="Times New Roman"/>
        </w:rPr>
        <w:t>ii.</w:t>
      </w:r>
      <w:r w:rsidRPr="00C44866">
        <w:rPr>
          <w:rFonts w:ascii="Times New Roman" w:hAnsi="Times New Roman" w:cs="Times New Roman"/>
        </w:rPr>
        <w:tab/>
        <w:t>Acidic</w:t>
      </w:r>
      <w:r>
        <w:rPr>
          <w:rFonts w:ascii="Times New Roman" w:hAnsi="Times New Roman" w:cs="Times New Roman"/>
        </w:rPr>
        <w:t xml:space="preserve"> leaching</w:t>
      </w:r>
    </w:p>
    <w:p w14:paraId="3302AC07" w14:textId="12DE7FB2" w:rsidR="007218C6" w:rsidRDefault="007218C6" w:rsidP="007218C6">
      <w:pPr>
        <w:spacing w:before="120" w:after="120" w:line="360" w:lineRule="auto"/>
        <w:jc w:val="both"/>
        <w:rPr>
          <w:rFonts w:ascii="Times New Roman" w:hAnsi="Times New Roman"/>
        </w:rPr>
      </w:pPr>
      <w:r w:rsidRPr="00A26A92">
        <w:rPr>
          <w:rFonts w:ascii="Times New Roman" w:hAnsi="Times New Roman" w:cs="Times New Roman"/>
        </w:rPr>
        <w:t>The acid used in this experiment was ammonium nitrate (NH</w:t>
      </w:r>
      <w:r w:rsidRPr="00A26A92">
        <w:rPr>
          <w:rFonts w:ascii="Times New Roman" w:hAnsi="Times New Roman" w:cs="Times New Roman"/>
          <w:vertAlign w:val="subscript"/>
        </w:rPr>
        <w:t>4</w:t>
      </w:r>
      <w:r w:rsidRPr="00A26A92">
        <w:rPr>
          <w:rFonts w:ascii="Times New Roman" w:hAnsi="Times New Roman" w:cs="Times New Roman"/>
        </w:rPr>
        <w:t>NO</w:t>
      </w:r>
      <w:r w:rsidRPr="00A26A92">
        <w:rPr>
          <w:rFonts w:ascii="Times New Roman" w:hAnsi="Times New Roman" w:cs="Times New Roman"/>
          <w:vertAlign w:val="subscript"/>
        </w:rPr>
        <w:t>3</w:t>
      </w:r>
      <w:r>
        <w:rPr>
          <w:rFonts w:ascii="Times New Roman" w:hAnsi="Times New Roman" w:cs="Times New Roman"/>
        </w:rPr>
        <w:t>) as shown in T</w:t>
      </w:r>
      <w:r w:rsidRPr="00A26A92">
        <w:rPr>
          <w:rFonts w:ascii="Times New Roman" w:hAnsi="Times New Roman" w:cs="Times New Roman"/>
        </w:rPr>
        <w:t>able 3.4</w:t>
      </w:r>
      <w:r w:rsidR="00850E5F">
        <w:rPr>
          <w:rFonts w:ascii="Times New Roman" w:hAnsi="Times New Roman" w:cs="Times New Roman"/>
        </w:rPr>
        <w:t>, in accordance with past research</w:t>
      </w:r>
      <w:r w:rsidR="001244DE">
        <w:rPr>
          <w:rFonts w:ascii="Times New Roman" w:hAnsi="Times New Roman" w:cs="Times New Roman"/>
        </w:rPr>
        <w:t xml:space="preserve">. </w:t>
      </w:r>
      <w:r>
        <w:rPr>
          <w:rFonts w:ascii="Times New Roman" w:hAnsi="Times New Roman" w:cs="Times New Roman"/>
        </w:rPr>
        <w:t xml:space="preserve">A </w:t>
      </w:r>
      <w:r w:rsidRPr="00A26A92">
        <w:rPr>
          <w:rFonts w:ascii="Times New Roman" w:hAnsi="Times New Roman" w:cs="Times New Roman"/>
        </w:rPr>
        <w:t xml:space="preserve">preliminary test </w:t>
      </w:r>
      <w:r>
        <w:rPr>
          <w:rFonts w:ascii="Times New Roman" w:hAnsi="Times New Roman" w:cs="Times New Roman"/>
        </w:rPr>
        <w:t>using</w:t>
      </w:r>
      <w:r w:rsidRPr="00A26A92">
        <w:rPr>
          <w:rFonts w:ascii="Times New Roman" w:hAnsi="Times New Roman" w:cs="Times New Roman"/>
        </w:rPr>
        <w:t xml:space="preserve"> a block of epoxy resin was </w:t>
      </w:r>
      <w:r w:rsidR="005C4AB2">
        <w:rPr>
          <w:rFonts w:ascii="Times New Roman" w:hAnsi="Times New Roman" w:cs="Times New Roman"/>
        </w:rPr>
        <w:t xml:space="preserve">placed in a solution made up of 70g ammonium nitrate in 100ml of water, </w:t>
      </w:r>
      <w:r>
        <w:rPr>
          <w:rFonts w:ascii="Times New Roman" w:hAnsi="Times New Roman"/>
        </w:rPr>
        <w:t>indicated that there was no sign of degradation or residue in the solution af</w:t>
      </w:r>
      <w:r w:rsidR="001244DE">
        <w:rPr>
          <w:rFonts w:ascii="Times New Roman" w:hAnsi="Times New Roman"/>
        </w:rPr>
        <w:t>ter 7 days, which supports the M</w:t>
      </w:r>
      <w:r>
        <w:rPr>
          <w:rFonts w:ascii="Times New Roman" w:hAnsi="Times New Roman"/>
        </w:rPr>
        <w:t>anufacture</w:t>
      </w:r>
      <w:r w:rsidR="001244DE">
        <w:rPr>
          <w:rFonts w:ascii="Times New Roman" w:hAnsi="Times New Roman"/>
        </w:rPr>
        <w:t>’s</w:t>
      </w:r>
      <w:r>
        <w:rPr>
          <w:rFonts w:ascii="Times New Roman" w:hAnsi="Times New Roman"/>
        </w:rPr>
        <w:t xml:space="preserve"> information [3] i.e., the epoxy resin used is resistant to ammonium nitrate. The leachate solution was then prepared by weighing the NH</w:t>
      </w:r>
      <w:r>
        <w:rPr>
          <w:rFonts w:ascii="Times New Roman" w:hAnsi="Times New Roman"/>
          <w:vertAlign w:val="subscript"/>
        </w:rPr>
        <w:t>4</w:t>
      </w:r>
      <w:r>
        <w:rPr>
          <w:rFonts w:ascii="Times New Roman" w:hAnsi="Times New Roman"/>
        </w:rPr>
        <w:t>NO</w:t>
      </w:r>
      <w:r>
        <w:rPr>
          <w:rFonts w:ascii="Times New Roman" w:hAnsi="Times New Roman"/>
          <w:vertAlign w:val="subscript"/>
        </w:rPr>
        <w:t xml:space="preserve">3 </w:t>
      </w:r>
      <w:r>
        <w:rPr>
          <w:rFonts w:ascii="Times New Roman" w:hAnsi="Times New Roman"/>
        </w:rPr>
        <w:t xml:space="preserve">using a Toledo Delta Range PG 4002-5 electronic balance, and mixing with deionised water until fully dissolved. The prepared cement sample was then placed in the acidic solution without any replenishment or solution changes. The leaching tests were conducted over a </w:t>
      </w:r>
      <w:proofErr w:type="gramStart"/>
      <w:r>
        <w:rPr>
          <w:rFonts w:ascii="Times New Roman" w:hAnsi="Times New Roman"/>
        </w:rPr>
        <w:t>3 month</w:t>
      </w:r>
      <w:proofErr w:type="gramEnd"/>
      <w:r>
        <w:rPr>
          <w:rFonts w:ascii="Times New Roman" w:hAnsi="Times New Roman"/>
        </w:rPr>
        <w:t xml:space="preserve"> period</w:t>
      </w:r>
      <w:r w:rsidR="00850E5F">
        <w:rPr>
          <w:rFonts w:ascii="Times New Roman" w:hAnsi="Times New Roman"/>
        </w:rPr>
        <w:t xml:space="preserve">. Samples were taken out and analysed after 7, 14, 28 and 90 days. </w:t>
      </w:r>
      <w:r>
        <w:rPr>
          <w:rFonts w:ascii="Times New Roman" w:hAnsi="Times New Roman"/>
        </w:rPr>
        <w:t xml:space="preserve"> </w:t>
      </w:r>
    </w:p>
    <w:p w14:paraId="088E4756" w14:textId="77777777" w:rsidR="007218C6" w:rsidRPr="00C44866" w:rsidRDefault="007218C6" w:rsidP="007218C6">
      <w:pPr>
        <w:spacing w:before="120" w:after="120" w:line="360" w:lineRule="auto"/>
        <w:jc w:val="both"/>
        <w:rPr>
          <w:rFonts w:ascii="Times New Roman" w:hAnsi="Times New Roman" w:cs="Times New Roman"/>
        </w:rPr>
      </w:pPr>
    </w:p>
    <w:p w14:paraId="555369F6" w14:textId="77777777" w:rsidR="007218C6" w:rsidRPr="00C44866" w:rsidRDefault="007218C6" w:rsidP="007218C6">
      <w:pPr>
        <w:spacing w:before="120" w:after="120" w:line="360" w:lineRule="auto"/>
        <w:jc w:val="both"/>
        <w:rPr>
          <w:rFonts w:ascii="Times New Roman" w:hAnsi="Times New Roman" w:cs="Times New Roman"/>
        </w:rPr>
      </w:pPr>
      <w:r>
        <w:rPr>
          <w:rFonts w:ascii="Times New Roman" w:hAnsi="Times New Roman" w:cs="Times New Roman"/>
        </w:rPr>
        <w:t>iii.</w:t>
      </w:r>
      <w:r>
        <w:rPr>
          <w:rFonts w:ascii="Times New Roman" w:hAnsi="Times New Roman" w:cs="Times New Roman"/>
        </w:rPr>
        <w:tab/>
      </w:r>
      <w:r w:rsidRPr="00C44866">
        <w:rPr>
          <w:rFonts w:ascii="Times New Roman" w:hAnsi="Times New Roman" w:cs="Times New Roman"/>
        </w:rPr>
        <w:t>Electrical</w:t>
      </w:r>
    </w:p>
    <w:p w14:paraId="7C14D349" w14:textId="576FC7DD" w:rsidR="007218C6" w:rsidRPr="00A26A92" w:rsidRDefault="007218C6" w:rsidP="007218C6">
      <w:pPr>
        <w:spacing w:before="120" w:after="120" w:line="360" w:lineRule="auto"/>
        <w:jc w:val="both"/>
        <w:rPr>
          <w:rFonts w:ascii="Times New Roman" w:hAnsi="Times New Roman" w:cs="Times New Roman"/>
        </w:rPr>
      </w:pPr>
      <w:r w:rsidRPr="00A26A92">
        <w:rPr>
          <w:rFonts w:ascii="Times New Roman" w:hAnsi="Times New Roman" w:cs="Times New Roman"/>
        </w:rPr>
        <w:t xml:space="preserve">The cement sample was </w:t>
      </w:r>
      <w:r w:rsidR="003B257B">
        <w:rPr>
          <w:rFonts w:ascii="Times New Roman" w:hAnsi="Times New Roman" w:cs="Times New Roman"/>
        </w:rPr>
        <w:t>held</w:t>
      </w:r>
      <w:r w:rsidRPr="00A26A92">
        <w:rPr>
          <w:rFonts w:ascii="Times New Roman" w:hAnsi="Times New Roman" w:cs="Times New Roman"/>
        </w:rPr>
        <w:t xml:space="preserve"> in the </w:t>
      </w:r>
      <w:r w:rsidR="004E349F" w:rsidRPr="00A26A92">
        <w:rPr>
          <w:rFonts w:ascii="Times New Roman" w:hAnsi="Times New Roman" w:cs="Times New Roman"/>
        </w:rPr>
        <w:t>center</w:t>
      </w:r>
      <w:r w:rsidRPr="00A26A92">
        <w:rPr>
          <w:rFonts w:ascii="Times New Roman" w:hAnsi="Times New Roman" w:cs="Times New Roman"/>
        </w:rPr>
        <w:t xml:space="preserve"> of the housing</w:t>
      </w:r>
      <w:r>
        <w:rPr>
          <w:rFonts w:ascii="Times New Roman" w:hAnsi="Times New Roman" w:cs="Times New Roman"/>
        </w:rPr>
        <w:t xml:space="preserve"> (Figure. 3.3)</w:t>
      </w:r>
      <w:r w:rsidRPr="00A26A92">
        <w:rPr>
          <w:rFonts w:ascii="Times New Roman" w:hAnsi="Times New Roman" w:cs="Times New Roman"/>
        </w:rPr>
        <w:t xml:space="preserve"> with each side exposed to a pool of deioinsed water</w:t>
      </w:r>
      <w:r>
        <w:rPr>
          <w:rFonts w:ascii="Times New Roman" w:hAnsi="Times New Roman" w:cs="Times New Roman"/>
        </w:rPr>
        <w:t xml:space="preserve"> as shown in Figure 3.4a, so that the cement sample was in contact with water on either surface. This ensured electrical conductivity across the sample. A PMC-A series DC power supply was used to apply a maximum </w:t>
      </w:r>
      <w:r w:rsidR="009C4AFD">
        <w:rPr>
          <w:rFonts w:ascii="Times New Roman" w:hAnsi="Times New Roman" w:cs="Times New Roman"/>
        </w:rPr>
        <w:t>voltage capability</w:t>
      </w:r>
      <w:r w:rsidRPr="00CC2081">
        <w:rPr>
          <w:rFonts w:ascii="Times New Roman" w:hAnsi="Times New Roman" w:cs="Times New Roman"/>
        </w:rPr>
        <w:t xml:space="preserve"> </w:t>
      </w:r>
      <w:r>
        <w:rPr>
          <w:rFonts w:ascii="Times New Roman" w:hAnsi="Times New Roman" w:cs="Times New Roman"/>
        </w:rPr>
        <w:t>of 500 V</w:t>
      </w:r>
      <w:r w:rsidRPr="00CC2081">
        <w:rPr>
          <w:rFonts w:ascii="Times New Roman" w:hAnsi="Times New Roman" w:cs="Times New Roman"/>
        </w:rPr>
        <w:t xml:space="preserve">. </w:t>
      </w:r>
      <w:r>
        <w:rPr>
          <w:rFonts w:ascii="Times New Roman" w:hAnsi="Times New Roman" w:cs="Times New Roman"/>
        </w:rPr>
        <w:t xml:space="preserve">The electrical leaching periods were 8 hours, 1 day and 3 days. Two currents were applied </w:t>
      </w:r>
      <w:r w:rsidR="00344429">
        <w:rPr>
          <w:rFonts w:ascii="Times New Roman" w:hAnsi="Times New Roman" w:cs="Times New Roman"/>
        </w:rPr>
        <w:t>5A/m</w:t>
      </w:r>
      <w:r w:rsidR="00344429">
        <w:rPr>
          <w:rFonts w:ascii="Times New Roman" w:hAnsi="Times New Roman" w:cs="Times New Roman"/>
          <w:vertAlign w:val="superscript"/>
        </w:rPr>
        <w:t>2</w:t>
      </w:r>
      <w:r>
        <w:rPr>
          <w:rFonts w:ascii="Times New Roman" w:hAnsi="Times New Roman" w:cs="Times New Roman"/>
        </w:rPr>
        <w:t xml:space="preserve"> and 2</w:t>
      </w:r>
      <w:r w:rsidR="00344429">
        <w:rPr>
          <w:rFonts w:ascii="Times New Roman" w:hAnsi="Times New Roman" w:cs="Times New Roman"/>
        </w:rPr>
        <w:t>5A/m</w:t>
      </w:r>
      <w:r w:rsidR="00344429">
        <w:rPr>
          <w:rFonts w:ascii="Times New Roman" w:hAnsi="Times New Roman" w:cs="Times New Roman"/>
          <w:vertAlign w:val="superscript"/>
        </w:rPr>
        <w:t>2</w:t>
      </w:r>
      <w:r>
        <w:rPr>
          <w:rFonts w:ascii="Times New Roman" w:hAnsi="Times New Roman" w:cs="Times New Roman"/>
        </w:rPr>
        <w:t xml:space="preserve"> to assess the impact of the current strength on leaching rates. At the end of each leaching period the solution was collected from either side of the sample and stored. The cement sample was then removed from the housing and placed </w:t>
      </w:r>
      <w:r w:rsidRPr="00CC2081">
        <w:rPr>
          <w:rFonts w:ascii="Times New Roman" w:hAnsi="Times New Roman" w:cs="Times New Roman"/>
        </w:rPr>
        <w:t>in acetone for 1 week.</w:t>
      </w:r>
    </w:p>
    <w:p w14:paraId="45FA9E51" w14:textId="77777777" w:rsidR="007218C6" w:rsidRDefault="007218C6" w:rsidP="007218C6">
      <w:pPr>
        <w:spacing w:before="120" w:after="120" w:line="360" w:lineRule="auto"/>
        <w:jc w:val="both"/>
        <w:rPr>
          <w:rFonts w:ascii="Times New Roman" w:hAnsi="Times New Roman" w:cs="Times New Roman"/>
          <w:bCs/>
          <w:i/>
        </w:rPr>
      </w:pPr>
    </w:p>
    <w:p w14:paraId="180D740B" w14:textId="77777777" w:rsidR="00062DA2" w:rsidRDefault="00062DA2" w:rsidP="007218C6">
      <w:pPr>
        <w:spacing w:before="120" w:after="120" w:line="360" w:lineRule="auto"/>
        <w:jc w:val="both"/>
        <w:rPr>
          <w:rFonts w:ascii="Times New Roman" w:hAnsi="Times New Roman" w:cs="Times New Roman"/>
          <w:bCs/>
          <w:i/>
        </w:rPr>
      </w:pPr>
    </w:p>
    <w:p w14:paraId="57298005" w14:textId="77777777" w:rsidR="00062DA2" w:rsidRDefault="00062DA2" w:rsidP="007218C6">
      <w:pPr>
        <w:spacing w:before="120" w:after="120" w:line="360" w:lineRule="auto"/>
        <w:jc w:val="both"/>
        <w:rPr>
          <w:rFonts w:ascii="Times New Roman" w:hAnsi="Times New Roman" w:cs="Times New Roman"/>
          <w:bCs/>
          <w:i/>
        </w:rPr>
      </w:pPr>
    </w:p>
    <w:p w14:paraId="6E21183B" w14:textId="77777777" w:rsidR="00062DA2" w:rsidRDefault="00062DA2" w:rsidP="007218C6">
      <w:pPr>
        <w:spacing w:before="120" w:after="120" w:line="360" w:lineRule="auto"/>
        <w:jc w:val="both"/>
        <w:rPr>
          <w:rFonts w:ascii="Times New Roman" w:hAnsi="Times New Roman" w:cs="Times New Roman"/>
          <w:bCs/>
          <w:i/>
        </w:rPr>
      </w:pPr>
    </w:p>
    <w:p w14:paraId="06AB762A" w14:textId="77777777" w:rsidR="00062DA2" w:rsidRDefault="00062DA2" w:rsidP="007218C6">
      <w:pPr>
        <w:spacing w:before="120" w:after="120" w:line="360" w:lineRule="auto"/>
        <w:jc w:val="both"/>
        <w:rPr>
          <w:rFonts w:ascii="Times New Roman" w:hAnsi="Times New Roman" w:cs="Times New Roman"/>
          <w:bCs/>
          <w:i/>
        </w:rPr>
      </w:pPr>
    </w:p>
    <w:p w14:paraId="7AE0DDEE" w14:textId="77777777" w:rsidR="00062DA2" w:rsidRDefault="00062DA2" w:rsidP="007218C6">
      <w:pPr>
        <w:spacing w:before="120" w:after="120" w:line="360" w:lineRule="auto"/>
        <w:jc w:val="both"/>
        <w:rPr>
          <w:rFonts w:ascii="Times New Roman" w:hAnsi="Times New Roman" w:cs="Times New Roman"/>
          <w:bCs/>
          <w:i/>
        </w:rPr>
      </w:pPr>
    </w:p>
    <w:p w14:paraId="3A985A93" w14:textId="5AF22F4D" w:rsidR="007218C6" w:rsidRDefault="00062DA2" w:rsidP="007218C6">
      <w:pPr>
        <w:spacing w:before="120" w:after="120"/>
        <w:rPr>
          <w:rFonts w:ascii="Times New Roman" w:hAnsi="Times New Roman" w:cs="Times New Roman"/>
          <w:b/>
          <w:bCs/>
          <w:smallCaps/>
          <w:sz w:val="32"/>
          <w:szCs w:val="28"/>
        </w:rPr>
      </w:pPr>
      <w:r>
        <w:rPr>
          <w:rFonts w:ascii="Times New Roman" w:hAnsi="Times New Roman" w:cs="Times New Roman"/>
          <w:b/>
          <w:bCs/>
          <w:smallCaps/>
          <w:sz w:val="32"/>
          <w:szCs w:val="28"/>
        </w:rPr>
        <w:lastRenderedPageBreak/>
        <w:t>3.3</w:t>
      </w:r>
      <w:r>
        <w:rPr>
          <w:rFonts w:ascii="Times New Roman" w:hAnsi="Times New Roman" w:cs="Times New Roman"/>
          <w:b/>
          <w:bCs/>
          <w:smallCaps/>
          <w:sz w:val="32"/>
          <w:szCs w:val="28"/>
        </w:rPr>
        <w:tab/>
        <w:t xml:space="preserve">Incorporation of </w:t>
      </w:r>
      <w:r w:rsidR="007218C6">
        <w:rPr>
          <w:rFonts w:ascii="Times New Roman" w:hAnsi="Times New Roman" w:cs="Times New Roman"/>
          <w:b/>
          <w:bCs/>
          <w:smallCaps/>
          <w:sz w:val="32"/>
          <w:szCs w:val="28"/>
        </w:rPr>
        <w:t>Cs and Sr within the BFS</w:t>
      </w:r>
      <w:proofErr w:type="gramStart"/>
      <w:r w:rsidR="007218C6">
        <w:rPr>
          <w:rFonts w:ascii="Times New Roman" w:hAnsi="Times New Roman" w:cs="Times New Roman"/>
          <w:b/>
          <w:bCs/>
          <w:smallCaps/>
          <w:sz w:val="32"/>
          <w:szCs w:val="28"/>
        </w:rPr>
        <w:t>:</w:t>
      </w:r>
      <w:r w:rsidR="00E85025">
        <w:rPr>
          <w:rFonts w:ascii="Times New Roman" w:hAnsi="Times New Roman" w:cs="Times New Roman"/>
          <w:b/>
          <w:bCs/>
          <w:smallCaps/>
          <w:sz w:val="32"/>
          <w:szCs w:val="28"/>
        </w:rPr>
        <w:t>PC</w:t>
      </w:r>
      <w:proofErr w:type="gramEnd"/>
      <w:r w:rsidR="007218C6">
        <w:rPr>
          <w:rFonts w:ascii="Times New Roman" w:hAnsi="Times New Roman" w:cs="Times New Roman"/>
          <w:b/>
          <w:bCs/>
          <w:smallCaps/>
          <w:sz w:val="32"/>
          <w:szCs w:val="28"/>
        </w:rPr>
        <w:t xml:space="preserve"> </w:t>
      </w:r>
      <w:r>
        <w:rPr>
          <w:rFonts w:ascii="Times New Roman" w:hAnsi="Times New Roman" w:cs="Times New Roman"/>
          <w:b/>
          <w:bCs/>
          <w:smallCaps/>
          <w:sz w:val="32"/>
          <w:szCs w:val="28"/>
        </w:rPr>
        <w:tab/>
      </w:r>
      <w:r w:rsidR="007218C6">
        <w:rPr>
          <w:rFonts w:ascii="Times New Roman" w:hAnsi="Times New Roman" w:cs="Times New Roman"/>
          <w:b/>
          <w:bCs/>
          <w:smallCaps/>
          <w:sz w:val="32"/>
          <w:szCs w:val="28"/>
        </w:rPr>
        <w:t>matr</w:t>
      </w:r>
      <w:r w:rsidR="009C4AFD">
        <w:rPr>
          <w:rFonts w:ascii="Times New Roman" w:hAnsi="Times New Roman" w:cs="Times New Roman"/>
          <w:b/>
          <w:bCs/>
          <w:smallCaps/>
          <w:sz w:val="32"/>
          <w:szCs w:val="28"/>
        </w:rPr>
        <w:t>i</w:t>
      </w:r>
      <w:r w:rsidR="007218C6">
        <w:rPr>
          <w:rFonts w:ascii="Times New Roman" w:hAnsi="Times New Roman" w:cs="Times New Roman"/>
          <w:b/>
          <w:bCs/>
          <w:smallCaps/>
          <w:sz w:val="32"/>
          <w:szCs w:val="28"/>
        </w:rPr>
        <w:t xml:space="preserve">x </w:t>
      </w:r>
    </w:p>
    <w:p w14:paraId="0B2BF46A" w14:textId="0FFF687F" w:rsidR="007218C6" w:rsidRPr="008E3422" w:rsidRDefault="008E3422" w:rsidP="008E3422">
      <w:pPr>
        <w:widowControl w:val="0"/>
        <w:autoSpaceDE w:val="0"/>
        <w:autoSpaceDN w:val="0"/>
        <w:adjustRightInd w:val="0"/>
        <w:spacing w:after="240" w:line="360" w:lineRule="auto"/>
        <w:jc w:val="both"/>
        <w:rPr>
          <w:rFonts w:ascii="Times New Roman" w:hAnsi="Times New Roman"/>
        </w:rPr>
      </w:pPr>
      <w:r>
        <w:rPr>
          <w:rFonts w:ascii="Times New Roman" w:hAnsi="Times New Roman" w:cs="Times New Roman"/>
          <w:b/>
          <w:sz w:val="28"/>
        </w:rPr>
        <w:br/>
      </w:r>
      <w:r w:rsidR="007218C6">
        <w:rPr>
          <w:rFonts w:ascii="Times New Roman" w:hAnsi="Times New Roman"/>
        </w:rPr>
        <w:t>To understand the behaviour of both strontium and caesium within the cement matrix, cement samples of varying curing periods were prepared and analysed. Synthesis of the AFm</w:t>
      </w:r>
      <w:r w:rsidR="007218C6">
        <w:rPr>
          <w:rFonts w:ascii="Times New Roman" w:hAnsi="Times New Roman"/>
          <w:position w:val="-4"/>
        </w:rPr>
        <w:t xml:space="preserve"> </w:t>
      </w:r>
      <w:r w:rsidR="007218C6">
        <w:rPr>
          <w:rFonts w:ascii="Times New Roman" w:hAnsi="Times New Roman"/>
        </w:rPr>
        <w:t xml:space="preserve">phase was also attempted with/out the waste simulant strontium nitrate in order to further understand the behaviour of Sr within this phase. The synthesis of AFm is a </w:t>
      </w:r>
      <w:proofErr w:type="gramStart"/>
      <w:r w:rsidR="007218C6">
        <w:rPr>
          <w:rFonts w:ascii="Times New Roman" w:hAnsi="Times New Roman"/>
        </w:rPr>
        <w:t>two stage</w:t>
      </w:r>
      <w:proofErr w:type="gramEnd"/>
      <w:r w:rsidR="007218C6">
        <w:rPr>
          <w:rFonts w:ascii="Times New Roman" w:hAnsi="Times New Roman"/>
        </w:rPr>
        <w:t xml:space="preserve"> process: the initial synthesis of the tricalcium aluminate clinker phase (C</w:t>
      </w:r>
      <w:r w:rsidR="007218C6">
        <w:rPr>
          <w:rFonts w:ascii="Times New Roman" w:hAnsi="Times New Roman"/>
          <w:vertAlign w:val="subscript"/>
        </w:rPr>
        <w:t>3</w:t>
      </w:r>
      <w:r w:rsidR="007218C6">
        <w:rPr>
          <w:rFonts w:ascii="Times New Roman" w:hAnsi="Times New Roman"/>
        </w:rPr>
        <w:t>A), and the use of synthesised C</w:t>
      </w:r>
      <w:r w:rsidR="007218C6">
        <w:rPr>
          <w:rFonts w:ascii="Times New Roman" w:hAnsi="Times New Roman"/>
          <w:vertAlign w:val="subscript"/>
        </w:rPr>
        <w:t>3</w:t>
      </w:r>
      <w:r w:rsidR="007218C6">
        <w:rPr>
          <w:rFonts w:ascii="Times New Roman" w:hAnsi="Times New Roman"/>
        </w:rPr>
        <w:t>A with calcium sulphate to obtain AFm.</w:t>
      </w:r>
    </w:p>
    <w:p w14:paraId="304C356A" w14:textId="64D497A7" w:rsidR="007218C6" w:rsidRPr="005911CA" w:rsidRDefault="008E3422" w:rsidP="007218C6">
      <w:pPr>
        <w:spacing w:before="120" w:after="120" w:line="360" w:lineRule="auto"/>
        <w:jc w:val="both"/>
        <w:rPr>
          <w:rFonts w:ascii="Times New Roman" w:hAnsi="Times New Roman" w:cs="Times New Roman"/>
          <w:b/>
          <w:bCs/>
          <w:sz w:val="28"/>
          <w:u w:val="single"/>
        </w:rPr>
      </w:pPr>
      <w:r>
        <w:rPr>
          <w:rFonts w:ascii="Times New Roman" w:hAnsi="Times New Roman" w:cs="Times New Roman"/>
          <w:b/>
          <w:sz w:val="28"/>
        </w:rPr>
        <w:t>3.3.1</w:t>
      </w:r>
      <w:r w:rsidR="007218C6">
        <w:rPr>
          <w:rFonts w:ascii="Times New Roman" w:hAnsi="Times New Roman" w:cs="Times New Roman"/>
          <w:b/>
          <w:sz w:val="28"/>
        </w:rPr>
        <w:tab/>
      </w:r>
      <w:r w:rsidR="007218C6" w:rsidRPr="005911CA">
        <w:rPr>
          <w:rFonts w:ascii="Times New Roman" w:hAnsi="Times New Roman" w:cs="Times New Roman"/>
          <w:b/>
          <w:bCs/>
          <w:sz w:val="28"/>
        </w:rPr>
        <w:t>Tricalcium Aluminate (C</w:t>
      </w:r>
      <w:r w:rsidR="007218C6" w:rsidRPr="005911CA">
        <w:rPr>
          <w:rFonts w:ascii="Times New Roman" w:hAnsi="Times New Roman" w:cs="Times New Roman"/>
          <w:b/>
          <w:bCs/>
          <w:sz w:val="28"/>
          <w:vertAlign w:val="subscript"/>
        </w:rPr>
        <w:t>3</w:t>
      </w:r>
      <w:r w:rsidR="007218C6" w:rsidRPr="005911CA">
        <w:rPr>
          <w:rFonts w:ascii="Times New Roman" w:hAnsi="Times New Roman" w:cs="Times New Roman"/>
          <w:b/>
          <w:bCs/>
          <w:sz w:val="28"/>
        </w:rPr>
        <w:t>A) Synthesis</w:t>
      </w:r>
      <w:r w:rsidR="007218C6" w:rsidRPr="005911CA">
        <w:rPr>
          <w:rFonts w:ascii="Times New Roman" w:hAnsi="Times New Roman" w:cs="Times New Roman"/>
          <w:b/>
          <w:bCs/>
          <w:sz w:val="28"/>
          <w:u w:val="single"/>
        </w:rPr>
        <w:t xml:space="preserve"> </w:t>
      </w:r>
    </w:p>
    <w:p w14:paraId="76A9F21B" w14:textId="2D5E1A10" w:rsidR="007218C6" w:rsidRDefault="007218C6" w:rsidP="007218C6">
      <w:pPr>
        <w:spacing w:after="120" w:line="360" w:lineRule="auto"/>
        <w:jc w:val="both"/>
        <w:rPr>
          <w:rFonts w:ascii="Times New Roman" w:hAnsi="Times New Roman"/>
        </w:rPr>
      </w:pPr>
      <w:r>
        <w:rPr>
          <w:rFonts w:ascii="Times New Roman" w:hAnsi="Times New Roman"/>
          <w:bCs/>
        </w:rPr>
        <w:t>Two methods were used to produce C</w:t>
      </w:r>
      <w:r>
        <w:rPr>
          <w:rFonts w:ascii="Times New Roman" w:hAnsi="Times New Roman"/>
          <w:bCs/>
          <w:vertAlign w:val="subscript"/>
        </w:rPr>
        <w:t>3</w:t>
      </w:r>
      <w:r>
        <w:rPr>
          <w:rFonts w:ascii="Times New Roman" w:hAnsi="Times New Roman"/>
          <w:bCs/>
        </w:rPr>
        <w:t xml:space="preserve">A in this project:  a </w:t>
      </w:r>
      <w:proofErr w:type="gramStart"/>
      <w:r>
        <w:rPr>
          <w:rFonts w:ascii="Times New Roman" w:hAnsi="Times New Roman"/>
          <w:bCs/>
        </w:rPr>
        <w:t>solid state</w:t>
      </w:r>
      <w:proofErr w:type="gramEnd"/>
      <w:r>
        <w:rPr>
          <w:rFonts w:ascii="Times New Roman" w:hAnsi="Times New Roman"/>
          <w:bCs/>
        </w:rPr>
        <w:t xml:space="preserve"> synthesis and an aqueous synthesis. The procedures of the </w:t>
      </w:r>
      <w:proofErr w:type="gramStart"/>
      <w:r>
        <w:rPr>
          <w:rFonts w:ascii="Times New Roman" w:hAnsi="Times New Roman"/>
          <w:bCs/>
        </w:rPr>
        <w:t>solid state</w:t>
      </w:r>
      <w:proofErr w:type="gramEnd"/>
      <w:r>
        <w:rPr>
          <w:rFonts w:ascii="Times New Roman" w:hAnsi="Times New Roman"/>
          <w:bCs/>
        </w:rPr>
        <w:t xml:space="preserve"> synthesis are listed below. </w:t>
      </w:r>
      <w:proofErr w:type="gramStart"/>
      <w:r>
        <w:rPr>
          <w:rFonts w:ascii="Times New Roman" w:hAnsi="Times New Roman"/>
          <w:bCs/>
        </w:rPr>
        <w:t xml:space="preserve">These are </w:t>
      </w:r>
      <w:r>
        <w:rPr>
          <w:rFonts w:ascii="Times New Roman" w:hAnsi="Times New Roman"/>
        </w:rPr>
        <w:t>based on the procedures by Radwan et al. [4] and Matschei et al.</w:t>
      </w:r>
      <w:proofErr w:type="gramEnd"/>
      <w:r>
        <w:rPr>
          <w:rFonts w:ascii="Times New Roman" w:hAnsi="Times New Roman"/>
        </w:rPr>
        <w:t xml:space="preserve"> [5]. The produced pellets were cooled, crushed and analysed using XRD. </w:t>
      </w:r>
    </w:p>
    <w:p w14:paraId="70B9E466" w14:textId="77777777" w:rsidR="007218C6" w:rsidRPr="00C44866" w:rsidRDefault="007218C6" w:rsidP="007218C6">
      <w:pPr>
        <w:spacing w:after="120" w:line="360" w:lineRule="auto"/>
        <w:rPr>
          <w:rFonts w:ascii="Times New Roman" w:hAnsi="Times New Roman" w:cs="Times New Roman"/>
        </w:rPr>
      </w:pPr>
      <w:r w:rsidRPr="00C44866">
        <w:rPr>
          <w:rFonts w:ascii="Times New Roman" w:hAnsi="Times New Roman" w:cs="Times New Roman"/>
        </w:rPr>
        <w:t>i.</w:t>
      </w:r>
      <w:r w:rsidRPr="00C44866">
        <w:rPr>
          <w:rFonts w:ascii="Times New Roman" w:hAnsi="Times New Roman" w:cs="Times New Roman"/>
        </w:rPr>
        <w:tab/>
        <w:t xml:space="preserve">Solid </w:t>
      </w:r>
      <w:r>
        <w:rPr>
          <w:rFonts w:ascii="Times New Roman" w:hAnsi="Times New Roman" w:cs="Times New Roman"/>
        </w:rPr>
        <w:t>state synthesis</w:t>
      </w:r>
    </w:p>
    <w:p w14:paraId="267C2128" w14:textId="77777777" w:rsidR="007218C6" w:rsidRPr="00A26A92" w:rsidRDefault="007218C6" w:rsidP="007218C6">
      <w:pPr>
        <w:spacing w:after="120" w:line="360" w:lineRule="auto"/>
        <w:rPr>
          <w:rFonts w:ascii="Times New Roman" w:hAnsi="Times New Roman" w:cs="Times New Roman"/>
          <w:i/>
        </w:rPr>
      </w:pPr>
      <w:r w:rsidRPr="00A26A92">
        <w:rPr>
          <w:rFonts w:ascii="Times New Roman" w:hAnsi="Times New Roman" w:cs="Times New Roman"/>
          <w:i/>
        </w:rPr>
        <w:t>Materials:</w:t>
      </w:r>
    </w:p>
    <w:p w14:paraId="0310B801" w14:textId="77777777" w:rsidR="007218C6" w:rsidRPr="00A26A92" w:rsidRDefault="007218C6" w:rsidP="007218C6">
      <w:pPr>
        <w:pStyle w:val="ListParagraph"/>
        <w:numPr>
          <w:ilvl w:val="0"/>
          <w:numId w:val="7"/>
        </w:numPr>
        <w:spacing w:after="120" w:line="360" w:lineRule="auto"/>
        <w:rPr>
          <w:rFonts w:ascii="Times New Roman" w:hAnsi="Times New Roman" w:cs="Times New Roman"/>
          <w:sz w:val="24"/>
          <w:szCs w:val="24"/>
          <w:lang w:val="en-US"/>
        </w:rPr>
      </w:pPr>
      <w:r w:rsidRPr="00A26A92">
        <w:rPr>
          <w:rFonts w:ascii="Times New Roman" w:hAnsi="Times New Roman" w:cs="Times New Roman"/>
          <w:sz w:val="24"/>
          <w:szCs w:val="24"/>
          <w:lang w:val="en-US"/>
        </w:rPr>
        <w:t>Calcium carbonate, CaCO</w:t>
      </w:r>
      <w:r w:rsidRPr="00A26A92">
        <w:rPr>
          <w:rFonts w:ascii="Times New Roman" w:hAnsi="Times New Roman" w:cs="Times New Roman"/>
          <w:sz w:val="24"/>
          <w:szCs w:val="24"/>
          <w:vertAlign w:val="subscript"/>
          <w:lang w:val="en-US"/>
        </w:rPr>
        <w:t>3</w:t>
      </w:r>
      <w:r w:rsidRPr="00A26A92">
        <w:rPr>
          <w:rFonts w:ascii="Times New Roman" w:hAnsi="Times New Roman" w:cs="Times New Roman"/>
          <w:sz w:val="24"/>
          <w:szCs w:val="24"/>
          <w:lang w:val="en-US"/>
        </w:rPr>
        <w:t>, (99%+), Acros Organics, UK</w:t>
      </w:r>
    </w:p>
    <w:p w14:paraId="336FA1E1" w14:textId="77777777" w:rsidR="007218C6" w:rsidRPr="00A26A92" w:rsidRDefault="007218C6" w:rsidP="007218C6">
      <w:pPr>
        <w:pStyle w:val="ListParagraph"/>
        <w:numPr>
          <w:ilvl w:val="0"/>
          <w:numId w:val="7"/>
        </w:numPr>
        <w:spacing w:after="120" w:line="360" w:lineRule="auto"/>
        <w:rPr>
          <w:rFonts w:ascii="Times New Roman" w:hAnsi="Times New Roman" w:cs="Times New Roman"/>
          <w:sz w:val="24"/>
          <w:szCs w:val="24"/>
          <w:lang w:val="en-US"/>
        </w:rPr>
      </w:pPr>
      <w:r w:rsidRPr="00A26A92">
        <w:rPr>
          <w:rFonts w:ascii="Times New Roman" w:hAnsi="Times New Roman" w:cs="Times New Roman"/>
          <w:sz w:val="24"/>
          <w:szCs w:val="24"/>
          <w:lang w:val="en-US"/>
        </w:rPr>
        <w:t>Aluminium oxide, Al</w:t>
      </w:r>
      <w:r w:rsidRPr="00A26A92">
        <w:rPr>
          <w:rFonts w:ascii="Times New Roman" w:hAnsi="Times New Roman" w:cs="Times New Roman"/>
          <w:sz w:val="24"/>
          <w:szCs w:val="24"/>
          <w:vertAlign w:val="subscript"/>
          <w:lang w:val="en-US"/>
        </w:rPr>
        <w:t>2</w:t>
      </w:r>
      <w:r w:rsidRPr="00A26A92">
        <w:rPr>
          <w:rFonts w:ascii="Times New Roman" w:hAnsi="Times New Roman" w:cs="Times New Roman"/>
          <w:sz w:val="24"/>
          <w:szCs w:val="24"/>
          <w:lang w:val="en-US"/>
        </w:rPr>
        <w:t>O</w:t>
      </w:r>
      <w:r w:rsidRPr="00A26A92">
        <w:rPr>
          <w:rFonts w:ascii="Times New Roman" w:hAnsi="Times New Roman" w:cs="Times New Roman"/>
          <w:sz w:val="24"/>
          <w:szCs w:val="24"/>
          <w:vertAlign w:val="subscript"/>
          <w:lang w:val="en-US"/>
        </w:rPr>
        <w:t>3</w:t>
      </w:r>
      <w:r w:rsidRPr="00A26A92">
        <w:rPr>
          <w:rFonts w:ascii="Times New Roman" w:hAnsi="Times New Roman" w:cs="Times New Roman"/>
          <w:sz w:val="24"/>
          <w:szCs w:val="24"/>
          <w:lang w:val="en-US"/>
        </w:rPr>
        <w:t>, (99%), Acros Organics, UK</w:t>
      </w:r>
    </w:p>
    <w:p w14:paraId="5CA21253" w14:textId="0E1AB34E" w:rsidR="007218C6" w:rsidRDefault="007218C6" w:rsidP="007218C6">
      <w:pPr>
        <w:pStyle w:val="ListParagraph"/>
        <w:numPr>
          <w:ilvl w:val="0"/>
          <w:numId w:val="7"/>
        </w:numPr>
        <w:spacing w:after="120" w:line="360" w:lineRule="auto"/>
        <w:rPr>
          <w:rFonts w:ascii="Times New Roman" w:hAnsi="Times New Roman" w:cs="Times New Roman"/>
          <w:sz w:val="24"/>
          <w:szCs w:val="24"/>
          <w:lang w:val="en-US"/>
        </w:rPr>
      </w:pPr>
      <w:r w:rsidRPr="00A26A92">
        <w:rPr>
          <w:rFonts w:ascii="Times New Roman" w:hAnsi="Times New Roman" w:cs="Times New Roman"/>
          <w:sz w:val="24"/>
          <w:szCs w:val="24"/>
          <w:lang w:val="en-US"/>
        </w:rPr>
        <w:t>Isopropanol, C</w:t>
      </w:r>
      <w:r w:rsidRPr="00A26A92">
        <w:rPr>
          <w:rFonts w:ascii="Times New Roman" w:hAnsi="Times New Roman" w:cs="Times New Roman"/>
          <w:sz w:val="24"/>
          <w:szCs w:val="24"/>
          <w:vertAlign w:val="subscript"/>
          <w:lang w:val="en-US"/>
        </w:rPr>
        <w:t>3</w:t>
      </w:r>
      <w:r w:rsidRPr="00A26A92">
        <w:rPr>
          <w:rFonts w:ascii="Times New Roman" w:hAnsi="Times New Roman" w:cs="Times New Roman"/>
          <w:sz w:val="24"/>
          <w:szCs w:val="24"/>
          <w:lang w:val="en-US"/>
        </w:rPr>
        <w:t>H</w:t>
      </w:r>
      <w:r w:rsidR="0011414C">
        <w:rPr>
          <w:rFonts w:ascii="Times New Roman" w:hAnsi="Times New Roman" w:cs="Times New Roman"/>
          <w:sz w:val="24"/>
          <w:szCs w:val="24"/>
          <w:vertAlign w:val="subscript"/>
          <w:lang w:val="en-US"/>
        </w:rPr>
        <w:t>7</w:t>
      </w:r>
      <w:r w:rsidRPr="00A26A92">
        <w:rPr>
          <w:rFonts w:ascii="Times New Roman" w:hAnsi="Times New Roman" w:cs="Times New Roman"/>
          <w:sz w:val="24"/>
          <w:szCs w:val="24"/>
          <w:lang w:val="en-US"/>
        </w:rPr>
        <w:t>O</w:t>
      </w:r>
      <w:r w:rsidR="0011414C">
        <w:rPr>
          <w:rFonts w:ascii="Times New Roman" w:hAnsi="Times New Roman" w:cs="Times New Roman"/>
          <w:sz w:val="24"/>
          <w:szCs w:val="24"/>
          <w:lang w:val="en-US"/>
        </w:rPr>
        <w:t>H</w:t>
      </w:r>
      <w:r w:rsidRPr="00A26A92">
        <w:rPr>
          <w:rFonts w:ascii="Times New Roman" w:hAnsi="Times New Roman" w:cs="Times New Roman"/>
          <w:sz w:val="24"/>
          <w:szCs w:val="24"/>
          <w:lang w:val="en-US"/>
        </w:rPr>
        <w:t>, (99.5%), Acros Organics, UK</w:t>
      </w:r>
    </w:p>
    <w:p w14:paraId="50A5E5F9" w14:textId="33965F38" w:rsidR="007218C6" w:rsidRDefault="007218C6" w:rsidP="007218C6">
      <w:pPr>
        <w:spacing w:after="120" w:line="360" w:lineRule="auto"/>
        <w:jc w:val="both"/>
        <w:rPr>
          <w:rFonts w:ascii="Times New Roman" w:hAnsi="Times New Roman" w:cs="Times New Roman"/>
        </w:rPr>
      </w:pPr>
      <w:r w:rsidRPr="00A26A92">
        <w:rPr>
          <w:rFonts w:ascii="Times New Roman" w:hAnsi="Times New Roman" w:cs="Times New Roman"/>
        </w:rPr>
        <w:t>CaCO</w:t>
      </w:r>
      <w:r w:rsidRPr="00A26A92">
        <w:rPr>
          <w:rFonts w:ascii="Times New Roman" w:hAnsi="Times New Roman" w:cs="Times New Roman"/>
          <w:vertAlign w:val="subscript"/>
        </w:rPr>
        <w:t>3</w:t>
      </w:r>
      <w:r w:rsidRPr="00A26A92">
        <w:rPr>
          <w:rFonts w:ascii="Times New Roman" w:hAnsi="Times New Roman" w:cs="Times New Roman"/>
        </w:rPr>
        <w:t xml:space="preserve"> was heated at 900</w:t>
      </w:r>
      <w:r w:rsidRPr="00A26A92">
        <w:rPr>
          <w:rFonts w:ascii="Times New Roman" w:hAnsi="Times New Roman" w:cs="Times New Roman"/>
          <w:vertAlign w:val="superscript"/>
        </w:rPr>
        <w:t>o</w:t>
      </w:r>
      <w:r w:rsidRPr="00A26A92">
        <w:rPr>
          <w:rFonts w:ascii="Times New Roman" w:hAnsi="Times New Roman" w:cs="Times New Roman"/>
        </w:rPr>
        <w:t>C for appro</w:t>
      </w:r>
      <w:r>
        <w:rPr>
          <w:rFonts w:ascii="Times New Roman" w:hAnsi="Times New Roman" w:cs="Times New Roman"/>
        </w:rPr>
        <w:t xml:space="preserve">ximately 12 hours to obtain CaO. </w:t>
      </w:r>
      <w:r w:rsidRPr="001937CB">
        <w:rPr>
          <w:rFonts w:ascii="Times New Roman" w:hAnsi="Times New Roman" w:cs="Times New Roman"/>
        </w:rPr>
        <w:t xml:space="preserve">The obtained CaO </w:t>
      </w:r>
      <w:r>
        <w:rPr>
          <w:rFonts w:ascii="Times New Roman" w:hAnsi="Times New Roman" w:cs="Times New Roman"/>
        </w:rPr>
        <w:t xml:space="preserve">was then </w:t>
      </w:r>
      <w:r w:rsidRPr="001937CB">
        <w:rPr>
          <w:rFonts w:ascii="Times New Roman" w:hAnsi="Times New Roman" w:cs="Times New Roman"/>
        </w:rPr>
        <w:t>mixed with Al</w:t>
      </w:r>
      <w:r w:rsidRPr="001937CB">
        <w:rPr>
          <w:rFonts w:ascii="Times New Roman" w:hAnsi="Times New Roman" w:cs="Times New Roman"/>
          <w:vertAlign w:val="subscript"/>
        </w:rPr>
        <w:t>2</w:t>
      </w:r>
      <w:r w:rsidRPr="001937CB">
        <w:rPr>
          <w:rFonts w:ascii="Times New Roman" w:hAnsi="Times New Roman" w:cs="Times New Roman"/>
        </w:rPr>
        <w:t>O</w:t>
      </w:r>
      <w:r w:rsidRPr="001937CB">
        <w:rPr>
          <w:rFonts w:ascii="Times New Roman" w:hAnsi="Times New Roman" w:cs="Times New Roman"/>
          <w:vertAlign w:val="subscript"/>
        </w:rPr>
        <w:t>3</w:t>
      </w:r>
      <w:r w:rsidRPr="001937CB">
        <w:rPr>
          <w:rFonts w:ascii="Times New Roman" w:hAnsi="Times New Roman" w:cs="Times New Roman"/>
        </w:rPr>
        <w:t xml:space="preserve"> at 3:1 molar ratio</w:t>
      </w:r>
      <w:r>
        <w:rPr>
          <w:rFonts w:ascii="Times New Roman" w:hAnsi="Times New Roman" w:cs="Times New Roman"/>
        </w:rPr>
        <w:t>. The mixture as pressed under 100kg/cm</w:t>
      </w:r>
      <w:r>
        <w:rPr>
          <w:rFonts w:ascii="Times New Roman" w:hAnsi="Times New Roman" w:cs="Times New Roman"/>
          <w:vertAlign w:val="superscript"/>
        </w:rPr>
        <w:t>2</w:t>
      </w:r>
      <w:r>
        <w:rPr>
          <w:rFonts w:ascii="Times New Roman" w:hAnsi="Times New Roman" w:cs="Times New Roman"/>
        </w:rPr>
        <w:t xml:space="preserve"> for to create </w:t>
      </w:r>
      <w:proofErr w:type="gramStart"/>
      <w:r>
        <w:rPr>
          <w:rFonts w:ascii="Times New Roman" w:hAnsi="Times New Roman" w:cs="Times New Roman"/>
        </w:rPr>
        <w:t xml:space="preserve">pellets </w:t>
      </w:r>
      <w:r w:rsidR="009C4AFD">
        <w:rPr>
          <w:rFonts w:ascii="Times New Roman" w:hAnsi="Times New Roman" w:cs="Times New Roman"/>
        </w:rPr>
        <w:t>which</w:t>
      </w:r>
      <w:proofErr w:type="gramEnd"/>
      <w:r>
        <w:rPr>
          <w:rFonts w:ascii="Times New Roman" w:hAnsi="Times New Roman" w:cs="Times New Roman"/>
        </w:rPr>
        <w:t xml:space="preserve"> were then </w:t>
      </w:r>
      <w:r w:rsidR="009C4AFD">
        <w:rPr>
          <w:rFonts w:ascii="Times New Roman" w:hAnsi="Times New Roman" w:cs="Times New Roman"/>
        </w:rPr>
        <w:t>calcined</w:t>
      </w:r>
      <w:r>
        <w:rPr>
          <w:rFonts w:ascii="Times New Roman" w:hAnsi="Times New Roman" w:cs="Times New Roman"/>
        </w:rPr>
        <w:t xml:space="preserve"> for 3 hours at 1000</w:t>
      </w:r>
      <w:r>
        <w:rPr>
          <w:rFonts w:ascii="Times New Roman" w:hAnsi="Times New Roman" w:cs="Times New Roman"/>
          <w:vertAlign w:val="superscript"/>
        </w:rPr>
        <w:t>o</w:t>
      </w:r>
      <w:r>
        <w:rPr>
          <w:rFonts w:ascii="Times New Roman" w:hAnsi="Times New Roman" w:cs="Times New Roman"/>
        </w:rPr>
        <w:t>C. The p</w:t>
      </w:r>
      <w:r w:rsidRPr="00A26A92">
        <w:rPr>
          <w:rFonts w:ascii="Times New Roman" w:hAnsi="Times New Roman" w:cs="Times New Roman"/>
        </w:rPr>
        <w:t>ellets were then cooled and ground in ethanol using a pestle and mortar</w:t>
      </w:r>
      <w:r>
        <w:rPr>
          <w:rFonts w:ascii="Times New Roman" w:hAnsi="Times New Roman" w:cs="Times New Roman"/>
        </w:rPr>
        <w:t>. The p</w:t>
      </w:r>
      <w:r w:rsidRPr="00A26A92">
        <w:rPr>
          <w:rFonts w:ascii="Times New Roman" w:hAnsi="Times New Roman" w:cs="Times New Roman"/>
        </w:rPr>
        <w:t>owder/ethanol mixture was then mixed using ball milling in a 250m</w:t>
      </w:r>
      <w:r w:rsidR="009C4AFD">
        <w:rPr>
          <w:rFonts w:ascii="Times New Roman" w:hAnsi="Times New Roman" w:cs="Times New Roman"/>
        </w:rPr>
        <w:t xml:space="preserve">l </w:t>
      </w:r>
      <w:r w:rsidRPr="00A26A92">
        <w:rPr>
          <w:rFonts w:ascii="Times New Roman" w:hAnsi="Times New Roman" w:cs="Times New Roman"/>
        </w:rPr>
        <w:t>cont</w:t>
      </w:r>
      <w:r>
        <w:rPr>
          <w:rFonts w:ascii="Times New Roman" w:hAnsi="Times New Roman" w:cs="Times New Roman"/>
        </w:rPr>
        <w:t xml:space="preserve">ainer for approximately 2 hours. </w:t>
      </w:r>
      <w:r w:rsidRPr="00A26A92">
        <w:rPr>
          <w:rFonts w:ascii="Times New Roman" w:hAnsi="Times New Roman" w:cs="Times New Roman"/>
        </w:rPr>
        <w:t>The mixture was vacuum filtered, dried in a furnace at 90</w:t>
      </w:r>
      <w:r w:rsidRPr="00A26A92">
        <w:rPr>
          <w:rFonts w:ascii="Times New Roman" w:hAnsi="Times New Roman" w:cs="Times New Roman"/>
          <w:vertAlign w:val="superscript"/>
        </w:rPr>
        <w:t>o</w:t>
      </w:r>
      <w:r w:rsidR="009C4AFD">
        <w:rPr>
          <w:rFonts w:ascii="Times New Roman" w:hAnsi="Times New Roman" w:cs="Times New Roman"/>
        </w:rPr>
        <w:t xml:space="preserve">C for 1 hour, </w:t>
      </w:r>
      <w:r>
        <w:rPr>
          <w:rFonts w:ascii="Times New Roman" w:hAnsi="Times New Roman" w:cs="Times New Roman"/>
        </w:rPr>
        <w:t xml:space="preserve">pressed </w:t>
      </w:r>
      <w:r w:rsidRPr="00A26A92">
        <w:rPr>
          <w:rFonts w:ascii="Times New Roman" w:hAnsi="Times New Roman" w:cs="Times New Roman"/>
        </w:rPr>
        <w:t>into pellets and fired at 1350</w:t>
      </w:r>
      <w:r w:rsidRPr="00A26A92">
        <w:rPr>
          <w:rFonts w:ascii="Times New Roman" w:hAnsi="Times New Roman" w:cs="Times New Roman"/>
          <w:vertAlign w:val="superscript"/>
        </w:rPr>
        <w:t>o</w:t>
      </w:r>
      <w:r w:rsidRPr="00A26A92">
        <w:rPr>
          <w:rFonts w:ascii="Times New Roman" w:hAnsi="Times New Roman" w:cs="Times New Roman"/>
        </w:rPr>
        <w:t>C for 3 hours. The pellets were cooled, crushed and analy</w:t>
      </w:r>
      <w:r>
        <w:rPr>
          <w:rFonts w:ascii="Times New Roman" w:hAnsi="Times New Roman" w:cs="Times New Roman"/>
        </w:rPr>
        <w:t>sed using XRD, if the trace did</w:t>
      </w:r>
      <w:r w:rsidR="009C4AFD">
        <w:rPr>
          <w:rFonts w:ascii="Times New Roman" w:hAnsi="Times New Roman" w:cs="Times New Roman"/>
        </w:rPr>
        <w:t xml:space="preserve"> not </w:t>
      </w:r>
      <w:r w:rsidRPr="00A26A92">
        <w:rPr>
          <w:rFonts w:ascii="Times New Roman" w:hAnsi="Times New Roman" w:cs="Times New Roman"/>
        </w:rPr>
        <w:t>show pure C</w:t>
      </w:r>
      <w:r w:rsidRPr="00A26A92">
        <w:rPr>
          <w:rFonts w:ascii="Times New Roman" w:hAnsi="Times New Roman" w:cs="Times New Roman"/>
          <w:vertAlign w:val="subscript"/>
        </w:rPr>
        <w:t>3</w:t>
      </w:r>
      <w:r w:rsidRPr="00A26A92">
        <w:rPr>
          <w:rFonts w:ascii="Times New Roman" w:hAnsi="Times New Roman" w:cs="Times New Roman"/>
        </w:rPr>
        <w:t>A formation t</w:t>
      </w:r>
      <w:r w:rsidR="009C4AFD">
        <w:rPr>
          <w:rFonts w:ascii="Times New Roman" w:hAnsi="Times New Roman" w:cs="Times New Roman"/>
        </w:rPr>
        <w:t>he process was</w:t>
      </w:r>
      <w:r w:rsidRPr="00A26A92">
        <w:rPr>
          <w:rFonts w:ascii="Times New Roman" w:hAnsi="Times New Roman" w:cs="Times New Roman"/>
        </w:rPr>
        <w:t xml:space="preserve"> </w:t>
      </w:r>
      <w:r w:rsidR="009C4AFD">
        <w:rPr>
          <w:rFonts w:ascii="Times New Roman" w:hAnsi="Times New Roman" w:cs="Times New Roman"/>
        </w:rPr>
        <w:t xml:space="preserve">repeated </w:t>
      </w:r>
      <w:r w:rsidR="00C90DD7">
        <w:rPr>
          <w:rFonts w:ascii="Times New Roman" w:hAnsi="Times New Roman" w:cs="Times New Roman"/>
        </w:rPr>
        <w:t xml:space="preserve">(on average around 3-4 times) </w:t>
      </w:r>
      <w:r w:rsidR="009C4AFD">
        <w:rPr>
          <w:rFonts w:ascii="Times New Roman" w:hAnsi="Times New Roman" w:cs="Times New Roman"/>
        </w:rPr>
        <w:t>until XRD pattern showed</w:t>
      </w:r>
      <w:r w:rsidRPr="00A26A92">
        <w:rPr>
          <w:rFonts w:ascii="Times New Roman" w:hAnsi="Times New Roman" w:cs="Times New Roman"/>
        </w:rPr>
        <w:t xml:space="preserve"> pure C</w:t>
      </w:r>
      <w:r w:rsidRPr="00A26A92">
        <w:rPr>
          <w:rFonts w:ascii="Times New Roman" w:hAnsi="Times New Roman" w:cs="Times New Roman"/>
          <w:vertAlign w:val="subscript"/>
        </w:rPr>
        <w:t>3</w:t>
      </w:r>
      <w:r w:rsidRPr="00A26A92">
        <w:rPr>
          <w:rFonts w:ascii="Times New Roman" w:hAnsi="Times New Roman" w:cs="Times New Roman"/>
        </w:rPr>
        <w:t xml:space="preserve">A. </w:t>
      </w:r>
    </w:p>
    <w:p w14:paraId="30EE003A" w14:textId="4BF3A3A4" w:rsidR="007218C6" w:rsidRPr="00062DA2" w:rsidRDefault="007218C6" w:rsidP="00062DA2">
      <w:pPr>
        <w:spacing w:after="120" w:line="360" w:lineRule="auto"/>
        <w:jc w:val="both"/>
        <w:rPr>
          <w:rFonts w:ascii="Times New Roman" w:hAnsi="Times New Roman"/>
          <w:b/>
          <w:i/>
        </w:rPr>
      </w:pPr>
      <w:r>
        <w:rPr>
          <w:rFonts w:ascii="Times New Roman" w:hAnsi="Times New Roman"/>
        </w:rPr>
        <w:t xml:space="preserve">The procedures of the aqueous synthesis are shown below. </w:t>
      </w:r>
      <w:proofErr w:type="gramStart"/>
      <w:r>
        <w:rPr>
          <w:rFonts w:ascii="Times New Roman" w:hAnsi="Times New Roman"/>
        </w:rPr>
        <w:t xml:space="preserve">They are known as </w:t>
      </w:r>
      <w:r w:rsidRPr="00A26A92">
        <w:rPr>
          <w:rFonts w:ascii="Times New Roman" w:hAnsi="Times New Roman"/>
        </w:rPr>
        <w:t>Pechini (polymeric precursor) method based</w:t>
      </w:r>
      <w:r>
        <w:rPr>
          <w:rFonts w:ascii="Times New Roman" w:hAnsi="Times New Roman"/>
        </w:rPr>
        <w:t xml:space="preserve"> on the work by Gaki et al</w:t>
      </w:r>
      <w:proofErr w:type="gramEnd"/>
      <w:r>
        <w:rPr>
          <w:rFonts w:ascii="Times New Roman" w:hAnsi="Times New Roman"/>
        </w:rPr>
        <w:t xml:space="preserve"> [6</w:t>
      </w:r>
      <w:r w:rsidRPr="00A26A92">
        <w:rPr>
          <w:rFonts w:ascii="Times New Roman" w:hAnsi="Times New Roman"/>
        </w:rPr>
        <w:t>]</w:t>
      </w:r>
      <w:r>
        <w:rPr>
          <w:rFonts w:ascii="Times New Roman" w:hAnsi="Times New Roman"/>
        </w:rPr>
        <w:t xml:space="preserve">. </w:t>
      </w:r>
    </w:p>
    <w:p w14:paraId="358B7BA0" w14:textId="605A0F70" w:rsidR="007218C6" w:rsidRPr="00AB6BEE" w:rsidRDefault="007218C6" w:rsidP="007218C6">
      <w:pPr>
        <w:spacing w:after="120" w:line="360" w:lineRule="auto"/>
        <w:rPr>
          <w:rFonts w:ascii="Times New Roman" w:hAnsi="Times New Roman" w:cs="Times New Roman"/>
        </w:rPr>
      </w:pPr>
      <w:r w:rsidRPr="00AB6BEE">
        <w:rPr>
          <w:rFonts w:ascii="Times New Roman" w:hAnsi="Times New Roman" w:cs="Times New Roman"/>
        </w:rPr>
        <w:lastRenderedPageBreak/>
        <w:t>ii.</w:t>
      </w:r>
      <w:r w:rsidRPr="00AB6BEE">
        <w:rPr>
          <w:rFonts w:ascii="Times New Roman" w:hAnsi="Times New Roman" w:cs="Times New Roman"/>
        </w:rPr>
        <w:tab/>
      </w:r>
      <w:r>
        <w:rPr>
          <w:rFonts w:ascii="Times New Roman" w:hAnsi="Times New Roman" w:cs="Times New Roman"/>
        </w:rPr>
        <w:t>Aqueous synth</w:t>
      </w:r>
      <w:r w:rsidR="00EC3D32">
        <w:rPr>
          <w:rFonts w:ascii="Times New Roman" w:hAnsi="Times New Roman" w:cs="Times New Roman"/>
        </w:rPr>
        <w:t>e</w:t>
      </w:r>
      <w:r>
        <w:rPr>
          <w:rFonts w:ascii="Times New Roman" w:hAnsi="Times New Roman" w:cs="Times New Roman"/>
        </w:rPr>
        <w:t xml:space="preserve">sis (The Pechini </w:t>
      </w:r>
      <w:r w:rsidRPr="00AB6BEE">
        <w:rPr>
          <w:rFonts w:ascii="Times New Roman" w:hAnsi="Times New Roman" w:cs="Times New Roman"/>
        </w:rPr>
        <w:t>Method</w:t>
      </w:r>
      <w:r>
        <w:rPr>
          <w:rFonts w:ascii="Times New Roman" w:hAnsi="Times New Roman" w:cs="Times New Roman"/>
        </w:rPr>
        <w:t>)</w:t>
      </w:r>
      <w:r w:rsidRPr="00AB6BEE">
        <w:rPr>
          <w:rFonts w:ascii="Times New Roman" w:hAnsi="Times New Roman" w:cs="Times New Roman"/>
        </w:rPr>
        <w:t xml:space="preserve"> </w:t>
      </w:r>
    </w:p>
    <w:p w14:paraId="431278B3" w14:textId="77777777" w:rsidR="007218C6" w:rsidRDefault="007218C6" w:rsidP="007218C6">
      <w:pPr>
        <w:spacing w:line="360" w:lineRule="auto"/>
        <w:ind w:left="720" w:hanging="720"/>
        <w:jc w:val="both"/>
        <w:rPr>
          <w:rFonts w:ascii="Times New Roman" w:hAnsi="Times New Roman"/>
          <w:i/>
        </w:rPr>
      </w:pPr>
      <w:r>
        <w:rPr>
          <w:rFonts w:ascii="Times New Roman" w:hAnsi="Times New Roman"/>
          <w:i/>
        </w:rPr>
        <w:t>Materials:</w:t>
      </w:r>
    </w:p>
    <w:p w14:paraId="36AD411F" w14:textId="77777777" w:rsidR="007218C6" w:rsidRDefault="007218C6" w:rsidP="007218C6">
      <w:pPr>
        <w:pStyle w:val="ListParagraph"/>
        <w:numPr>
          <w:ilvl w:val="0"/>
          <w:numId w:val="8"/>
        </w:numPr>
        <w:spacing w:line="360" w:lineRule="auto"/>
        <w:jc w:val="both"/>
        <w:rPr>
          <w:rFonts w:ascii="Times New Roman" w:hAnsi="Times New Roman"/>
          <w:i/>
          <w:sz w:val="24"/>
          <w:szCs w:val="24"/>
        </w:rPr>
      </w:pPr>
      <w:r>
        <w:rPr>
          <w:rFonts w:ascii="Times New Roman" w:hAnsi="Times New Roman"/>
          <w:sz w:val="24"/>
          <w:szCs w:val="24"/>
          <w:lang w:val="it-IT"/>
        </w:rPr>
        <w:t xml:space="preserve">Aluminium nitrate </w:t>
      </w:r>
      <w:proofErr w:type="gramStart"/>
      <w:r>
        <w:rPr>
          <w:rFonts w:ascii="Times New Roman" w:hAnsi="Times New Roman"/>
          <w:sz w:val="24"/>
          <w:szCs w:val="24"/>
          <w:lang w:val="it-IT"/>
        </w:rPr>
        <w:t>nonahydrate,</w:t>
      </w:r>
      <w:proofErr w:type="gramEnd"/>
      <w:r>
        <w:rPr>
          <w:rFonts w:ascii="Times New Roman" w:hAnsi="Times New Roman"/>
          <w:sz w:val="24"/>
          <w:szCs w:val="24"/>
          <w:lang w:val="it-IT"/>
        </w:rPr>
        <w:t xml:space="preserve"> Al(NO</w:t>
      </w:r>
      <w:r>
        <w:rPr>
          <w:rFonts w:ascii="Times New Roman" w:hAnsi="Times New Roman"/>
          <w:sz w:val="24"/>
          <w:szCs w:val="24"/>
          <w:vertAlign w:val="subscript"/>
          <w:lang w:val="it-IT"/>
        </w:rPr>
        <w:t>3</w:t>
      </w:r>
      <w:r>
        <w:rPr>
          <w:rFonts w:ascii="Times New Roman" w:hAnsi="Times New Roman"/>
          <w:sz w:val="24"/>
          <w:szCs w:val="24"/>
          <w:lang w:val="it-IT"/>
        </w:rPr>
        <w:t>)</w:t>
      </w:r>
      <w:r>
        <w:rPr>
          <w:rFonts w:ascii="Times New Roman" w:hAnsi="Times New Roman"/>
          <w:sz w:val="24"/>
          <w:szCs w:val="24"/>
          <w:vertAlign w:val="subscript"/>
          <w:lang w:val="it-IT"/>
        </w:rPr>
        <w:t>3</w:t>
      </w:r>
      <w:r>
        <w:rPr>
          <w:rFonts w:ascii="Times New Roman" w:hAnsi="Times New Roman"/>
          <w:sz w:val="24"/>
          <w:szCs w:val="24"/>
          <w:lang w:val="it-IT"/>
        </w:rPr>
        <w:t xml:space="preserve"> . </w:t>
      </w:r>
      <w:r>
        <w:rPr>
          <w:rFonts w:ascii="Times New Roman" w:hAnsi="Times New Roman"/>
          <w:sz w:val="24"/>
          <w:szCs w:val="24"/>
        </w:rPr>
        <w:t>9H</w:t>
      </w:r>
      <w:r>
        <w:rPr>
          <w:rFonts w:ascii="Times New Roman" w:hAnsi="Times New Roman"/>
          <w:sz w:val="24"/>
          <w:szCs w:val="24"/>
          <w:vertAlign w:val="subscript"/>
        </w:rPr>
        <w:t>2</w:t>
      </w:r>
      <w:r>
        <w:rPr>
          <w:rFonts w:ascii="Times New Roman" w:hAnsi="Times New Roman"/>
          <w:sz w:val="24"/>
          <w:szCs w:val="24"/>
        </w:rPr>
        <w:t xml:space="preserve">O, (99+%), Acros Organics, UK </w:t>
      </w:r>
    </w:p>
    <w:p w14:paraId="2FA810CA" w14:textId="77777777" w:rsidR="007218C6" w:rsidRDefault="007218C6" w:rsidP="007218C6">
      <w:pPr>
        <w:pStyle w:val="ListParagraph"/>
        <w:numPr>
          <w:ilvl w:val="0"/>
          <w:numId w:val="8"/>
        </w:numPr>
        <w:spacing w:line="360" w:lineRule="auto"/>
        <w:jc w:val="both"/>
        <w:rPr>
          <w:rFonts w:ascii="Times New Roman" w:hAnsi="Times New Roman"/>
          <w:i/>
          <w:sz w:val="24"/>
          <w:szCs w:val="24"/>
        </w:rPr>
      </w:pPr>
      <w:r>
        <w:rPr>
          <w:rFonts w:ascii="Times New Roman" w:hAnsi="Times New Roman"/>
          <w:sz w:val="24"/>
          <w:szCs w:val="24"/>
          <w:lang w:val="it-IT"/>
        </w:rPr>
        <w:t xml:space="preserve">Calcium nitrate </w:t>
      </w:r>
      <w:proofErr w:type="gramStart"/>
      <w:r>
        <w:rPr>
          <w:rFonts w:ascii="Times New Roman" w:hAnsi="Times New Roman"/>
          <w:sz w:val="24"/>
          <w:szCs w:val="24"/>
          <w:lang w:val="it-IT"/>
        </w:rPr>
        <w:t>pentahydrate,</w:t>
      </w:r>
      <w:proofErr w:type="gramEnd"/>
      <w:r>
        <w:rPr>
          <w:rFonts w:ascii="Times New Roman" w:hAnsi="Times New Roman"/>
          <w:sz w:val="24"/>
          <w:szCs w:val="24"/>
          <w:lang w:val="it-IT"/>
        </w:rPr>
        <w:t xml:space="preserve"> Ca(NO</w:t>
      </w:r>
      <w:r>
        <w:rPr>
          <w:rFonts w:ascii="Times New Roman" w:hAnsi="Times New Roman"/>
          <w:sz w:val="24"/>
          <w:szCs w:val="24"/>
          <w:vertAlign w:val="subscript"/>
          <w:lang w:val="it-IT"/>
        </w:rPr>
        <w:t>3</w:t>
      </w:r>
      <w:r>
        <w:rPr>
          <w:rFonts w:ascii="Times New Roman" w:hAnsi="Times New Roman"/>
          <w:sz w:val="24"/>
          <w:szCs w:val="24"/>
          <w:lang w:val="it-IT"/>
        </w:rPr>
        <w:t>)</w:t>
      </w:r>
      <w:r>
        <w:rPr>
          <w:rFonts w:ascii="Times New Roman" w:hAnsi="Times New Roman"/>
          <w:sz w:val="24"/>
          <w:szCs w:val="24"/>
          <w:vertAlign w:val="subscript"/>
          <w:lang w:val="it-IT"/>
        </w:rPr>
        <w:t xml:space="preserve">2 </w:t>
      </w:r>
      <w:r>
        <w:rPr>
          <w:rFonts w:ascii="Times New Roman" w:hAnsi="Times New Roman"/>
          <w:sz w:val="24"/>
          <w:szCs w:val="24"/>
          <w:lang w:val="it-IT"/>
        </w:rPr>
        <w:t xml:space="preserve">. </w:t>
      </w:r>
      <w:r>
        <w:rPr>
          <w:rFonts w:ascii="Times New Roman" w:hAnsi="Times New Roman"/>
          <w:sz w:val="24"/>
          <w:szCs w:val="24"/>
        </w:rPr>
        <w:t>4H</w:t>
      </w:r>
      <w:r>
        <w:rPr>
          <w:rFonts w:ascii="Times New Roman" w:hAnsi="Times New Roman"/>
          <w:sz w:val="24"/>
          <w:szCs w:val="24"/>
          <w:vertAlign w:val="subscript"/>
        </w:rPr>
        <w:t>2</w:t>
      </w:r>
      <w:r>
        <w:rPr>
          <w:rFonts w:ascii="Times New Roman" w:hAnsi="Times New Roman"/>
          <w:sz w:val="24"/>
          <w:szCs w:val="24"/>
        </w:rPr>
        <w:t>O, (99+%), Fisher Scientific, UK</w:t>
      </w:r>
    </w:p>
    <w:p w14:paraId="5D98D6A5" w14:textId="77777777" w:rsidR="007218C6" w:rsidRDefault="007218C6" w:rsidP="007218C6">
      <w:pPr>
        <w:pStyle w:val="ListParagraph"/>
        <w:numPr>
          <w:ilvl w:val="0"/>
          <w:numId w:val="8"/>
        </w:numPr>
        <w:spacing w:line="360" w:lineRule="auto"/>
        <w:jc w:val="both"/>
        <w:rPr>
          <w:rFonts w:ascii="Times New Roman" w:hAnsi="Times New Roman"/>
          <w:i/>
          <w:sz w:val="24"/>
          <w:szCs w:val="24"/>
          <w:lang w:val="pt-BR"/>
        </w:rPr>
      </w:pPr>
      <w:r>
        <w:rPr>
          <w:rFonts w:ascii="Times New Roman" w:hAnsi="Times New Roman"/>
          <w:sz w:val="24"/>
          <w:szCs w:val="24"/>
          <w:lang w:val="pt-BR"/>
        </w:rPr>
        <w:t>Citric acid monohydrate, C</w:t>
      </w:r>
      <w:r>
        <w:rPr>
          <w:rFonts w:ascii="Times New Roman" w:hAnsi="Times New Roman"/>
          <w:sz w:val="24"/>
          <w:szCs w:val="24"/>
          <w:vertAlign w:val="subscript"/>
          <w:lang w:val="pt-BR"/>
        </w:rPr>
        <w:t>6</w:t>
      </w:r>
      <w:r>
        <w:rPr>
          <w:rFonts w:ascii="Times New Roman" w:hAnsi="Times New Roman"/>
          <w:sz w:val="24"/>
          <w:szCs w:val="24"/>
          <w:lang w:val="pt-BR"/>
        </w:rPr>
        <w:t>H</w:t>
      </w:r>
      <w:r>
        <w:rPr>
          <w:rFonts w:ascii="Times New Roman" w:hAnsi="Times New Roman"/>
          <w:sz w:val="24"/>
          <w:szCs w:val="24"/>
          <w:vertAlign w:val="subscript"/>
          <w:lang w:val="pt-BR"/>
        </w:rPr>
        <w:t>8</w:t>
      </w:r>
      <w:r>
        <w:rPr>
          <w:rFonts w:ascii="Times New Roman" w:hAnsi="Times New Roman"/>
          <w:sz w:val="24"/>
          <w:szCs w:val="24"/>
          <w:lang w:val="pt-BR"/>
        </w:rPr>
        <w:t>O</w:t>
      </w:r>
      <w:r>
        <w:rPr>
          <w:rFonts w:ascii="Times New Roman" w:hAnsi="Times New Roman"/>
          <w:sz w:val="24"/>
          <w:szCs w:val="24"/>
          <w:vertAlign w:val="subscript"/>
          <w:lang w:val="pt-BR"/>
        </w:rPr>
        <w:t>7</w:t>
      </w:r>
      <w:r>
        <w:rPr>
          <w:rFonts w:ascii="Times New Roman" w:hAnsi="Times New Roman"/>
          <w:sz w:val="24"/>
          <w:szCs w:val="24"/>
          <w:lang w:val="pt-BR"/>
        </w:rPr>
        <w:t xml:space="preserve"> . H</w:t>
      </w:r>
      <w:r>
        <w:rPr>
          <w:rFonts w:ascii="Times New Roman" w:hAnsi="Times New Roman"/>
          <w:sz w:val="24"/>
          <w:szCs w:val="24"/>
          <w:vertAlign w:val="subscript"/>
          <w:lang w:val="pt-BR"/>
        </w:rPr>
        <w:t>2</w:t>
      </w:r>
      <w:r>
        <w:rPr>
          <w:rFonts w:ascii="Times New Roman" w:hAnsi="Times New Roman"/>
          <w:sz w:val="24"/>
          <w:szCs w:val="24"/>
          <w:lang w:val="pt-BR"/>
        </w:rPr>
        <w:t xml:space="preserve">O (99.5+%), Fisher Scientific, UK </w:t>
      </w:r>
    </w:p>
    <w:p w14:paraId="09D4C97E" w14:textId="69E9DDEC" w:rsidR="007218C6" w:rsidRPr="00062DA2" w:rsidRDefault="007218C6" w:rsidP="007218C6">
      <w:pPr>
        <w:pStyle w:val="ListParagraph"/>
        <w:numPr>
          <w:ilvl w:val="0"/>
          <w:numId w:val="8"/>
        </w:numPr>
        <w:spacing w:line="360" w:lineRule="auto"/>
        <w:jc w:val="both"/>
        <w:rPr>
          <w:rFonts w:ascii="Times New Roman" w:hAnsi="Times New Roman"/>
          <w:i/>
          <w:sz w:val="24"/>
          <w:szCs w:val="24"/>
        </w:rPr>
      </w:pPr>
      <w:r>
        <w:rPr>
          <w:rFonts w:ascii="Times New Roman" w:hAnsi="Times New Roman"/>
          <w:sz w:val="24"/>
          <w:szCs w:val="24"/>
        </w:rPr>
        <w:t>Ethylene glycol, C</w:t>
      </w:r>
      <w:r>
        <w:rPr>
          <w:rFonts w:ascii="Times New Roman" w:hAnsi="Times New Roman"/>
          <w:sz w:val="24"/>
          <w:szCs w:val="24"/>
          <w:vertAlign w:val="subscript"/>
        </w:rPr>
        <w:t>2</w:t>
      </w:r>
      <w:r>
        <w:rPr>
          <w:rFonts w:ascii="Times New Roman" w:hAnsi="Times New Roman"/>
          <w:sz w:val="24"/>
          <w:szCs w:val="24"/>
        </w:rPr>
        <w:t>H</w:t>
      </w:r>
      <w:r>
        <w:rPr>
          <w:rFonts w:ascii="Times New Roman" w:hAnsi="Times New Roman"/>
          <w:sz w:val="24"/>
          <w:szCs w:val="24"/>
          <w:vertAlign w:val="subscript"/>
        </w:rPr>
        <w:t>6</w:t>
      </w:r>
      <w:r>
        <w:rPr>
          <w:rFonts w:ascii="Times New Roman" w:hAnsi="Times New Roman"/>
          <w:sz w:val="24"/>
          <w:szCs w:val="24"/>
        </w:rPr>
        <w:t>O</w:t>
      </w:r>
      <w:r>
        <w:rPr>
          <w:rFonts w:ascii="Times New Roman" w:hAnsi="Times New Roman"/>
          <w:sz w:val="24"/>
          <w:szCs w:val="24"/>
          <w:vertAlign w:val="subscript"/>
        </w:rPr>
        <w:t>2</w:t>
      </w:r>
      <w:r>
        <w:rPr>
          <w:rFonts w:ascii="Times New Roman" w:hAnsi="Times New Roman"/>
          <w:sz w:val="24"/>
          <w:szCs w:val="24"/>
        </w:rPr>
        <w:t xml:space="preserve">, (99.5+%) Fisher Scientific, UK </w:t>
      </w:r>
    </w:p>
    <w:p w14:paraId="4342AD35" w14:textId="66986D96" w:rsidR="007218C6" w:rsidRPr="00C82EA3" w:rsidRDefault="007218C6" w:rsidP="007218C6">
      <w:pPr>
        <w:spacing w:line="360" w:lineRule="auto"/>
        <w:jc w:val="both"/>
        <w:rPr>
          <w:rFonts w:ascii="Times New Roman" w:hAnsi="Times New Roman" w:cs="Times New Roman"/>
        </w:rPr>
      </w:pPr>
      <w:proofErr w:type="gramStart"/>
      <w:r w:rsidRPr="00C82EA3">
        <w:rPr>
          <w:rFonts w:ascii="Times New Roman" w:hAnsi="Times New Roman"/>
        </w:rPr>
        <w:t>Ca(</w:t>
      </w:r>
      <w:proofErr w:type="gramEnd"/>
      <w:r w:rsidRPr="00C82EA3">
        <w:rPr>
          <w:rFonts w:ascii="Times New Roman" w:hAnsi="Times New Roman"/>
        </w:rPr>
        <w:t>NO</w:t>
      </w:r>
      <w:r w:rsidRPr="00C82EA3">
        <w:rPr>
          <w:rFonts w:ascii="Times New Roman" w:hAnsi="Times New Roman"/>
          <w:vertAlign w:val="subscript"/>
        </w:rPr>
        <w:t>3</w:t>
      </w:r>
      <w:r w:rsidRPr="00C82EA3">
        <w:rPr>
          <w:rFonts w:ascii="Times New Roman" w:hAnsi="Times New Roman"/>
        </w:rPr>
        <w:t>)</w:t>
      </w:r>
      <w:r w:rsidRPr="00C82EA3">
        <w:rPr>
          <w:rFonts w:ascii="Times New Roman" w:hAnsi="Times New Roman"/>
          <w:vertAlign w:val="subscript"/>
        </w:rPr>
        <w:t>2</w:t>
      </w:r>
      <w:r w:rsidRPr="00C82EA3">
        <w:rPr>
          <w:rFonts w:ascii="Times New Roman" w:hAnsi="Times New Roman"/>
        </w:rPr>
        <w:t xml:space="preserve"> and Al(NO</w:t>
      </w:r>
      <w:r w:rsidRPr="00C82EA3">
        <w:rPr>
          <w:rFonts w:ascii="Times New Roman" w:hAnsi="Times New Roman"/>
          <w:vertAlign w:val="subscript"/>
        </w:rPr>
        <w:t>3</w:t>
      </w:r>
      <w:r w:rsidRPr="00C82EA3">
        <w:rPr>
          <w:rFonts w:ascii="Times New Roman" w:hAnsi="Times New Roman"/>
        </w:rPr>
        <w:t>)</w:t>
      </w:r>
      <w:r w:rsidRPr="00C82EA3">
        <w:rPr>
          <w:rFonts w:ascii="Times New Roman" w:hAnsi="Times New Roman"/>
          <w:vertAlign w:val="subscript"/>
        </w:rPr>
        <w:t>3</w:t>
      </w:r>
      <w:r w:rsidRPr="00C82EA3">
        <w:rPr>
          <w:rFonts w:ascii="Times New Roman" w:hAnsi="Times New Roman"/>
        </w:rPr>
        <w:t xml:space="preserve"> </w:t>
      </w:r>
      <w:r>
        <w:rPr>
          <w:rFonts w:ascii="Times New Roman" w:hAnsi="Times New Roman"/>
        </w:rPr>
        <w:t xml:space="preserve">were </w:t>
      </w:r>
      <w:r w:rsidRPr="00C82EA3">
        <w:rPr>
          <w:rFonts w:ascii="Times New Roman" w:hAnsi="Times New Roman"/>
        </w:rPr>
        <w:t xml:space="preserve">dissolved in </w:t>
      </w:r>
      <w:r w:rsidR="004E349F" w:rsidRPr="00C82EA3">
        <w:rPr>
          <w:rFonts w:ascii="Times New Roman" w:hAnsi="Times New Roman"/>
        </w:rPr>
        <w:t>deion</w:t>
      </w:r>
      <w:r w:rsidR="004E349F">
        <w:rPr>
          <w:rFonts w:ascii="Times New Roman" w:hAnsi="Times New Roman"/>
        </w:rPr>
        <w:t>i</w:t>
      </w:r>
      <w:r w:rsidR="004E349F" w:rsidRPr="00C82EA3">
        <w:rPr>
          <w:rFonts w:ascii="Times New Roman" w:hAnsi="Times New Roman"/>
        </w:rPr>
        <w:t>sed</w:t>
      </w:r>
      <w:r w:rsidRPr="00C82EA3">
        <w:rPr>
          <w:rFonts w:ascii="Times New Roman" w:hAnsi="Times New Roman"/>
        </w:rPr>
        <w:t xml:space="preserve"> water at a molar ratio of 3:2, Ca(NO</w:t>
      </w:r>
      <w:r w:rsidRPr="00C82EA3">
        <w:rPr>
          <w:rFonts w:ascii="Times New Roman" w:hAnsi="Times New Roman"/>
          <w:vertAlign w:val="subscript"/>
        </w:rPr>
        <w:t>3</w:t>
      </w:r>
      <w:r w:rsidRPr="00C82EA3">
        <w:rPr>
          <w:rFonts w:ascii="Times New Roman" w:hAnsi="Times New Roman"/>
        </w:rPr>
        <w:t>)</w:t>
      </w:r>
      <w:r w:rsidRPr="00C82EA3">
        <w:rPr>
          <w:rFonts w:ascii="Times New Roman" w:hAnsi="Times New Roman"/>
          <w:vertAlign w:val="subscript"/>
        </w:rPr>
        <w:t>2</w:t>
      </w:r>
      <w:r w:rsidRPr="00C82EA3">
        <w:rPr>
          <w:rFonts w:ascii="Times New Roman" w:hAnsi="Times New Roman"/>
        </w:rPr>
        <w:t>:Al(NO</w:t>
      </w:r>
      <w:r w:rsidRPr="00C82EA3">
        <w:rPr>
          <w:rFonts w:ascii="Times New Roman" w:hAnsi="Times New Roman"/>
          <w:vertAlign w:val="subscript"/>
        </w:rPr>
        <w:t>3</w:t>
      </w:r>
      <w:r w:rsidRPr="00C82EA3">
        <w:rPr>
          <w:rFonts w:ascii="Times New Roman" w:hAnsi="Times New Roman"/>
        </w:rPr>
        <w:t>)</w:t>
      </w:r>
      <w:r w:rsidRPr="00C82EA3">
        <w:rPr>
          <w:rFonts w:ascii="Times New Roman" w:hAnsi="Times New Roman"/>
          <w:vertAlign w:val="subscript"/>
        </w:rPr>
        <w:t>3</w:t>
      </w:r>
      <w:r w:rsidRPr="00C82EA3">
        <w:rPr>
          <w:rFonts w:ascii="Times New Roman" w:hAnsi="Times New Roman"/>
        </w:rPr>
        <w:t xml:space="preserve"> at room temperatur</w:t>
      </w:r>
      <w:r>
        <w:rPr>
          <w:rFonts w:ascii="Times New Roman" w:hAnsi="Times New Roman"/>
        </w:rPr>
        <w:t>e. Then c</w:t>
      </w:r>
      <w:r w:rsidRPr="00C82EA3">
        <w:rPr>
          <w:rFonts w:ascii="Times New Roman" w:hAnsi="Times New Roman"/>
        </w:rPr>
        <w:t xml:space="preserve">itric acid </w:t>
      </w:r>
      <w:r w:rsidR="009C4AFD">
        <w:rPr>
          <w:rFonts w:ascii="Times New Roman" w:hAnsi="Times New Roman"/>
        </w:rPr>
        <w:t xml:space="preserve">was </w:t>
      </w:r>
      <w:r w:rsidRPr="00C82EA3">
        <w:rPr>
          <w:rFonts w:ascii="Times New Roman" w:hAnsi="Times New Roman"/>
        </w:rPr>
        <w:t>added at a molar ratio of 1:1 (C</w:t>
      </w:r>
      <w:r w:rsidRPr="00C82EA3">
        <w:rPr>
          <w:rFonts w:ascii="Times New Roman" w:hAnsi="Times New Roman"/>
          <w:vertAlign w:val="subscript"/>
        </w:rPr>
        <w:t>6</w:t>
      </w:r>
      <w:r w:rsidRPr="00C82EA3">
        <w:rPr>
          <w:rFonts w:ascii="Times New Roman" w:hAnsi="Times New Roman"/>
        </w:rPr>
        <w:t>H</w:t>
      </w:r>
      <w:r w:rsidRPr="00C82EA3">
        <w:rPr>
          <w:rFonts w:ascii="Times New Roman" w:hAnsi="Times New Roman"/>
          <w:vertAlign w:val="subscript"/>
        </w:rPr>
        <w:t>8</w:t>
      </w:r>
      <w:r w:rsidRPr="00C82EA3">
        <w:rPr>
          <w:rFonts w:ascii="Times New Roman" w:hAnsi="Times New Roman"/>
        </w:rPr>
        <w:t>O</w:t>
      </w:r>
      <w:r w:rsidRPr="00C82EA3">
        <w:rPr>
          <w:rFonts w:ascii="Times New Roman" w:hAnsi="Times New Roman"/>
          <w:vertAlign w:val="subscript"/>
        </w:rPr>
        <w:t>7</w:t>
      </w:r>
      <w:r>
        <w:rPr>
          <w:rFonts w:ascii="Times New Roman" w:hAnsi="Times New Roman"/>
        </w:rPr>
        <w:t xml:space="preserve">: total cations) followed by </w:t>
      </w:r>
      <w:r>
        <w:rPr>
          <w:rFonts w:ascii="Times New Roman" w:hAnsi="Times New Roman"/>
          <w:lang w:val="pt-BR"/>
        </w:rPr>
        <w:t>e</w:t>
      </w:r>
      <w:r w:rsidRPr="00C82EA3">
        <w:rPr>
          <w:rFonts w:ascii="Times New Roman" w:hAnsi="Times New Roman"/>
          <w:lang w:val="pt-BR"/>
        </w:rPr>
        <w:t xml:space="preserve">thylene </w:t>
      </w:r>
      <w:r>
        <w:rPr>
          <w:rFonts w:ascii="Times New Roman" w:hAnsi="Times New Roman"/>
          <w:lang w:val="pt-BR"/>
        </w:rPr>
        <w:t>glycol at</w:t>
      </w:r>
      <w:r w:rsidRPr="00C82EA3">
        <w:rPr>
          <w:rFonts w:ascii="Times New Roman" w:hAnsi="Times New Roman"/>
          <w:lang w:val="pt-BR"/>
        </w:rPr>
        <w:t xml:space="preserve"> a molar ratio of 2:1 </w:t>
      </w:r>
      <w:r>
        <w:rPr>
          <w:rFonts w:ascii="Times New Roman" w:hAnsi="Times New Roman"/>
          <w:lang w:val="pt-BR"/>
        </w:rPr>
        <w:t xml:space="preserve">                         </w:t>
      </w:r>
      <w:r w:rsidRPr="00C82EA3">
        <w:rPr>
          <w:rFonts w:ascii="Times New Roman" w:hAnsi="Times New Roman"/>
          <w:lang w:val="pt-BR"/>
        </w:rPr>
        <w:t>(C</w:t>
      </w:r>
      <w:r w:rsidRPr="00C82EA3">
        <w:rPr>
          <w:rFonts w:ascii="Times New Roman" w:hAnsi="Times New Roman"/>
          <w:vertAlign w:val="subscript"/>
          <w:lang w:val="pt-BR"/>
        </w:rPr>
        <w:t>2</w:t>
      </w:r>
      <w:r w:rsidRPr="00C82EA3">
        <w:rPr>
          <w:rFonts w:ascii="Times New Roman" w:hAnsi="Times New Roman"/>
          <w:lang w:val="pt-BR"/>
        </w:rPr>
        <w:t>H</w:t>
      </w:r>
      <w:r w:rsidRPr="00C82EA3">
        <w:rPr>
          <w:rFonts w:ascii="Times New Roman" w:hAnsi="Times New Roman"/>
          <w:vertAlign w:val="subscript"/>
          <w:lang w:val="pt-BR"/>
        </w:rPr>
        <w:t>6</w:t>
      </w:r>
      <w:r w:rsidRPr="00C82EA3">
        <w:rPr>
          <w:rFonts w:ascii="Times New Roman" w:hAnsi="Times New Roman"/>
          <w:lang w:val="pt-BR"/>
        </w:rPr>
        <w:t>O</w:t>
      </w:r>
      <w:r w:rsidRPr="00C82EA3">
        <w:rPr>
          <w:rFonts w:ascii="Times New Roman" w:hAnsi="Times New Roman"/>
          <w:vertAlign w:val="subscript"/>
          <w:lang w:val="pt-BR"/>
        </w:rPr>
        <w:t>2</w:t>
      </w:r>
      <w:proofErr w:type="gramStart"/>
      <w:r>
        <w:rPr>
          <w:rFonts w:ascii="Times New Roman" w:hAnsi="Times New Roman"/>
          <w:lang w:val="pt-BR"/>
        </w:rPr>
        <w:t>:</w:t>
      </w:r>
      <w:r w:rsidRPr="00C82EA3">
        <w:rPr>
          <w:rFonts w:ascii="Times New Roman" w:hAnsi="Times New Roman"/>
          <w:lang w:val="pt-BR"/>
        </w:rPr>
        <w:t>C</w:t>
      </w:r>
      <w:r w:rsidRPr="00C82EA3">
        <w:rPr>
          <w:rFonts w:ascii="Times New Roman" w:hAnsi="Times New Roman"/>
          <w:vertAlign w:val="subscript"/>
          <w:lang w:val="pt-BR"/>
        </w:rPr>
        <w:t>6</w:t>
      </w:r>
      <w:r w:rsidRPr="00C82EA3">
        <w:rPr>
          <w:rFonts w:ascii="Times New Roman" w:hAnsi="Times New Roman"/>
          <w:lang w:val="pt-BR"/>
        </w:rPr>
        <w:t>H</w:t>
      </w:r>
      <w:r w:rsidRPr="00C82EA3">
        <w:rPr>
          <w:rFonts w:ascii="Times New Roman" w:hAnsi="Times New Roman"/>
          <w:vertAlign w:val="subscript"/>
          <w:lang w:val="pt-BR"/>
        </w:rPr>
        <w:t>8</w:t>
      </w:r>
      <w:r w:rsidRPr="00C82EA3">
        <w:rPr>
          <w:rFonts w:ascii="Times New Roman" w:hAnsi="Times New Roman"/>
          <w:lang w:val="pt-BR"/>
        </w:rPr>
        <w:t>O</w:t>
      </w:r>
      <w:r w:rsidRPr="00C82EA3">
        <w:rPr>
          <w:rFonts w:ascii="Times New Roman" w:hAnsi="Times New Roman"/>
          <w:vertAlign w:val="subscript"/>
          <w:lang w:val="pt-BR"/>
        </w:rPr>
        <w:t>7</w:t>
      </w:r>
      <w:proofErr w:type="gramEnd"/>
      <w:r w:rsidRPr="00C82EA3">
        <w:rPr>
          <w:rFonts w:ascii="Times New Roman" w:hAnsi="Times New Roman"/>
          <w:lang w:val="pt-BR"/>
        </w:rPr>
        <w:t>)</w:t>
      </w:r>
      <w:r>
        <w:rPr>
          <w:rFonts w:ascii="Times New Roman" w:hAnsi="Times New Roman"/>
          <w:lang w:val="pt-BR"/>
        </w:rPr>
        <w:t>. T</w:t>
      </w:r>
      <w:r w:rsidR="009C4AFD">
        <w:rPr>
          <w:rFonts w:ascii="Times New Roman" w:hAnsi="Times New Roman"/>
          <w:lang w:val="pt-BR"/>
        </w:rPr>
        <w:t>he solution was then placed on</w:t>
      </w:r>
      <w:r>
        <w:rPr>
          <w:rFonts w:ascii="Times New Roman" w:hAnsi="Times New Roman"/>
          <w:lang w:val="pt-BR"/>
        </w:rPr>
        <w:t xml:space="preserve"> the hoteplate mixer and mixed at 80</w:t>
      </w:r>
      <w:r>
        <w:rPr>
          <w:rFonts w:ascii="Times New Roman" w:hAnsi="Times New Roman"/>
          <w:vertAlign w:val="superscript"/>
          <w:lang w:val="pt-BR"/>
        </w:rPr>
        <w:t>o</w:t>
      </w:r>
      <w:r w:rsidR="009C4AFD">
        <w:rPr>
          <w:rFonts w:ascii="Times New Roman" w:hAnsi="Times New Roman"/>
          <w:lang w:val="pt-BR"/>
        </w:rPr>
        <w:t>C to evaporate excess</w:t>
      </w:r>
      <w:r>
        <w:rPr>
          <w:rFonts w:ascii="Times New Roman" w:hAnsi="Times New Roman"/>
          <w:lang w:val="pt-BR"/>
        </w:rPr>
        <w:t xml:space="preserve"> water and accelerate the </w:t>
      </w:r>
      <w:r w:rsidRPr="00A26A92">
        <w:rPr>
          <w:rFonts w:ascii="Times New Roman" w:hAnsi="Times New Roman"/>
        </w:rPr>
        <w:t>polyester</w:t>
      </w:r>
      <w:r w:rsidR="00EC3D32">
        <w:rPr>
          <w:rFonts w:ascii="Times New Roman" w:hAnsi="Times New Roman"/>
        </w:rPr>
        <w:t>i</w:t>
      </w:r>
      <w:r>
        <w:rPr>
          <w:rFonts w:ascii="Times New Roman" w:hAnsi="Times New Roman"/>
        </w:rPr>
        <w:t>fication (Figure 3.7</w:t>
      </w:r>
      <w:r w:rsidRPr="00A26A92">
        <w:rPr>
          <w:rFonts w:ascii="Times New Roman" w:hAnsi="Times New Roman"/>
        </w:rPr>
        <w:t>a</w:t>
      </w:r>
      <w:r>
        <w:rPr>
          <w:rFonts w:ascii="Times New Roman" w:hAnsi="Times New Roman"/>
        </w:rPr>
        <w:t xml:space="preserve">). </w:t>
      </w:r>
      <w:r w:rsidRPr="00C82EA3">
        <w:rPr>
          <w:rFonts w:ascii="Times New Roman" w:hAnsi="Times New Roman"/>
        </w:rPr>
        <w:t>After 1 hour the solution formed a gel (Fig</w:t>
      </w:r>
      <w:r>
        <w:rPr>
          <w:rFonts w:ascii="Times New Roman" w:hAnsi="Times New Roman"/>
        </w:rPr>
        <w:t xml:space="preserve">ure </w:t>
      </w:r>
      <w:r w:rsidRPr="00C82EA3">
        <w:rPr>
          <w:rFonts w:ascii="Times New Roman" w:hAnsi="Times New Roman"/>
        </w:rPr>
        <w:t>3.7b)</w:t>
      </w:r>
      <w:r>
        <w:rPr>
          <w:rFonts w:ascii="Times New Roman" w:hAnsi="Times New Roman"/>
        </w:rPr>
        <w:t>.</w:t>
      </w:r>
      <w:r>
        <w:rPr>
          <w:rFonts w:ascii="Times New Roman" w:hAnsi="Times New Roman" w:cs="Times New Roman"/>
        </w:rPr>
        <w:t xml:space="preserve"> </w:t>
      </w:r>
      <w:r w:rsidRPr="00C82EA3">
        <w:rPr>
          <w:rFonts w:ascii="Times New Roman" w:hAnsi="Times New Roman"/>
        </w:rPr>
        <w:t>Stirring for further 5 hours results in viscous foam (Fig</w:t>
      </w:r>
      <w:r>
        <w:rPr>
          <w:rFonts w:ascii="Times New Roman" w:hAnsi="Times New Roman"/>
        </w:rPr>
        <w:t>ure</w:t>
      </w:r>
      <w:r w:rsidRPr="00C82EA3">
        <w:rPr>
          <w:rFonts w:ascii="Times New Roman" w:hAnsi="Times New Roman"/>
        </w:rPr>
        <w:t xml:space="preserve"> 3.7c)</w:t>
      </w:r>
      <w:r>
        <w:rPr>
          <w:rFonts w:ascii="Times New Roman" w:hAnsi="Times New Roman"/>
        </w:rPr>
        <w:t xml:space="preserve">. </w:t>
      </w:r>
      <w:r w:rsidRPr="00C82EA3">
        <w:rPr>
          <w:rFonts w:ascii="Times New Roman" w:hAnsi="Times New Roman"/>
        </w:rPr>
        <w:t>This foam was dried at 150</w:t>
      </w:r>
      <w:r w:rsidRPr="00C82EA3">
        <w:rPr>
          <w:rFonts w:ascii="Times New Roman" w:hAnsi="Times New Roman"/>
          <w:vertAlign w:val="superscript"/>
        </w:rPr>
        <w:t>o</w:t>
      </w:r>
      <w:r w:rsidRPr="00C82EA3">
        <w:rPr>
          <w:rFonts w:ascii="Times New Roman" w:hAnsi="Times New Roman"/>
        </w:rPr>
        <w:t>C in a furnace for 24 hours, cooled, crushed and ground into a powder</w:t>
      </w:r>
      <w:r>
        <w:rPr>
          <w:rFonts w:ascii="Times New Roman" w:hAnsi="Times New Roman" w:cs="Times New Roman"/>
        </w:rPr>
        <w:t xml:space="preserve">. </w:t>
      </w:r>
      <w:r w:rsidRPr="00C82EA3">
        <w:rPr>
          <w:rFonts w:ascii="Times New Roman" w:hAnsi="Times New Roman"/>
        </w:rPr>
        <w:t>The powder was calcined at 400</w:t>
      </w:r>
      <w:r w:rsidRPr="00C82EA3">
        <w:rPr>
          <w:rFonts w:ascii="Times New Roman" w:hAnsi="Times New Roman"/>
          <w:vertAlign w:val="superscript"/>
        </w:rPr>
        <w:t>o</w:t>
      </w:r>
      <w:r w:rsidRPr="00C82EA3">
        <w:rPr>
          <w:rFonts w:ascii="Times New Roman" w:hAnsi="Times New Roman"/>
        </w:rPr>
        <w:t>C for 2 hours to form the powder precursors, sintered at 800</w:t>
      </w:r>
      <w:r w:rsidRPr="00C82EA3">
        <w:rPr>
          <w:rFonts w:ascii="Times New Roman" w:hAnsi="Times New Roman"/>
          <w:vertAlign w:val="superscript"/>
        </w:rPr>
        <w:t>o</w:t>
      </w:r>
      <w:r w:rsidRPr="00C82EA3">
        <w:rPr>
          <w:rFonts w:ascii="Times New Roman" w:hAnsi="Times New Roman"/>
        </w:rPr>
        <w:t>C for 3 hours, then 900</w:t>
      </w:r>
      <w:r w:rsidRPr="00C82EA3">
        <w:rPr>
          <w:rFonts w:ascii="Times New Roman" w:hAnsi="Times New Roman"/>
          <w:vertAlign w:val="superscript"/>
        </w:rPr>
        <w:t>o</w:t>
      </w:r>
      <w:r w:rsidRPr="00C82EA3">
        <w:rPr>
          <w:rFonts w:ascii="Times New Roman" w:hAnsi="Times New Roman"/>
        </w:rPr>
        <w:t>C for 3 hours and finally 1000</w:t>
      </w:r>
      <w:r w:rsidRPr="00C82EA3">
        <w:rPr>
          <w:rFonts w:ascii="Times New Roman" w:hAnsi="Times New Roman"/>
          <w:vertAlign w:val="superscript"/>
        </w:rPr>
        <w:t>o</w:t>
      </w:r>
      <w:r>
        <w:rPr>
          <w:rFonts w:ascii="Times New Roman" w:hAnsi="Times New Roman"/>
        </w:rPr>
        <w:t xml:space="preserve">C for 3 hours. Finally the </w:t>
      </w:r>
      <w:r w:rsidRPr="00C82EA3">
        <w:rPr>
          <w:rFonts w:ascii="Times New Roman" w:hAnsi="Times New Roman"/>
        </w:rPr>
        <w:t xml:space="preserve">powder was cooled and prepared for XRD analysis. </w:t>
      </w:r>
    </w:p>
    <w:p w14:paraId="6FFB9A33" w14:textId="77777777" w:rsidR="007218C6" w:rsidRPr="00A26A92" w:rsidRDefault="007218C6" w:rsidP="007218C6">
      <w:pPr>
        <w:pStyle w:val="ListParagraph"/>
        <w:spacing w:line="360" w:lineRule="auto"/>
        <w:ind w:left="709"/>
        <w:rPr>
          <w:rFonts w:ascii="Times New Roman" w:hAnsi="Times New Roman" w:cs="Times New Roman"/>
          <w:sz w:val="24"/>
          <w:szCs w:val="24"/>
        </w:rPr>
      </w:pPr>
    </w:p>
    <w:p w14:paraId="22578F77" w14:textId="77777777" w:rsidR="007218C6" w:rsidRPr="00A26A92" w:rsidRDefault="007218C6" w:rsidP="007218C6">
      <w:pPr>
        <w:spacing w:line="360" w:lineRule="auto"/>
        <w:ind w:left="284"/>
        <w:jc w:val="center"/>
        <w:rPr>
          <w:rFonts w:ascii="Times New Roman" w:hAnsi="Times New Roman" w:cs="Times New Roman"/>
          <w:i/>
        </w:rPr>
      </w:pPr>
      <w:r w:rsidRPr="00A26A92">
        <w:rPr>
          <w:rFonts w:ascii="Times New Roman" w:hAnsi="Times New Roman" w:cs="Times New Roman"/>
          <w:i/>
          <w:noProof/>
        </w:rPr>
        <w:drawing>
          <wp:inline distT="0" distB="0" distL="0" distR="0" wp14:anchorId="61A4022A" wp14:editId="3294426E">
            <wp:extent cx="2798584" cy="3423117"/>
            <wp:effectExtent l="25400" t="25400" r="20955" b="3175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r="668"/>
                    <a:stretch/>
                  </pic:blipFill>
                  <pic:spPr bwMode="auto">
                    <a:xfrm>
                      <a:off x="0" y="0"/>
                      <a:ext cx="2798584" cy="3423117"/>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28029FFB" w14:textId="347CEC38" w:rsidR="007218C6" w:rsidRDefault="007218C6" w:rsidP="00062DA2">
      <w:pPr>
        <w:spacing w:line="360" w:lineRule="auto"/>
        <w:ind w:left="284"/>
        <w:jc w:val="center"/>
        <w:rPr>
          <w:rFonts w:ascii="Times New Roman" w:hAnsi="Times New Roman" w:cs="Times New Roman"/>
          <w:b/>
          <w:sz w:val="28"/>
        </w:rPr>
      </w:pPr>
      <w:r>
        <w:rPr>
          <w:rFonts w:ascii="Times New Roman" w:hAnsi="Times New Roman" w:cs="Times New Roman"/>
          <w:b/>
        </w:rPr>
        <w:t>Figure 3.7</w:t>
      </w:r>
      <w:r w:rsidRPr="00B147B7">
        <w:rPr>
          <w:rFonts w:ascii="Times New Roman" w:hAnsi="Times New Roman" w:cs="Times New Roman"/>
          <w:b/>
        </w:rPr>
        <w:t>:</w:t>
      </w:r>
      <w:r>
        <w:rPr>
          <w:rFonts w:ascii="Times New Roman" w:hAnsi="Times New Roman" w:cs="Times New Roman"/>
          <w:b/>
        </w:rPr>
        <w:t xml:space="preserve"> </w:t>
      </w:r>
      <w:r>
        <w:rPr>
          <w:rFonts w:ascii="Times New Roman" w:hAnsi="Times New Roman" w:cs="Times New Roman"/>
        </w:rPr>
        <w:t>Aqueous synthesis of C</w:t>
      </w:r>
      <w:r>
        <w:rPr>
          <w:rFonts w:ascii="Times New Roman" w:hAnsi="Times New Roman" w:cs="Times New Roman"/>
          <w:vertAlign w:val="subscript"/>
        </w:rPr>
        <w:t>3</w:t>
      </w:r>
      <w:r>
        <w:rPr>
          <w:rFonts w:ascii="Times New Roman" w:hAnsi="Times New Roman" w:cs="Times New Roman"/>
        </w:rPr>
        <w:t xml:space="preserve">A </w:t>
      </w:r>
      <w:r w:rsidRPr="00A26A92">
        <w:rPr>
          <w:rFonts w:ascii="Times New Roman" w:hAnsi="Times New Roman" w:cs="Times New Roman"/>
        </w:rPr>
        <w:t>(a)</w:t>
      </w:r>
      <w:r>
        <w:rPr>
          <w:rFonts w:ascii="Times New Roman" w:hAnsi="Times New Roman" w:cs="Times New Roman"/>
        </w:rPr>
        <w:t xml:space="preserve"> Mixing of solution before heating,                   </w:t>
      </w:r>
      <w:r w:rsidRPr="00A26A92">
        <w:rPr>
          <w:rFonts w:ascii="Times New Roman" w:hAnsi="Times New Roman" w:cs="Times New Roman"/>
        </w:rPr>
        <w:t>(b)</w:t>
      </w:r>
      <w:r>
        <w:rPr>
          <w:rFonts w:ascii="Times New Roman" w:hAnsi="Times New Roman" w:cs="Times New Roman"/>
        </w:rPr>
        <w:t xml:space="preserve"> Gel formed after 1 hour of stirring</w:t>
      </w:r>
      <w:r w:rsidRPr="00A26A92">
        <w:rPr>
          <w:rFonts w:ascii="Times New Roman" w:hAnsi="Times New Roman" w:cs="Times New Roman"/>
        </w:rPr>
        <w:tab/>
        <w:t>(c)</w:t>
      </w:r>
      <w:r>
        <w:rPr>
          <w:rFonts w:ascii="Times New Roman" w:hAnsi="Times New Roman" w:cs="Times New Roman"/>
        </w:rPr>
        <w:t xml:space="preserve"> Foam formed after 5 hours of stirring</w:t>
      </w:r>
    </w:p>
    <w:p w14:paraId="07C028F1" w14:textId="694EB818" w:rsidR="007218C6" w:rsidRPr="005911CA" w:rsidRDefault="00190FC0" w:rsidP="007218C6">
      <w:pPr>
        <w:spacing w:before="120" w:after="120" w:line="360" w:lineRule="auto"/>
        <w:jc w:val="both"/>
        <w:rPr>
          <w:rFonts w:ascii="Times New Roman" w:hAnsi="Times New Roman" w:cs="Times New Roman"/>
          <w:b/>
          <w:bCs/>
          <w:sz w:val="28"/>
          <w:u w:val="single"/>
        </w:rPr>
      </w:pPr>
      <w:r>
        <w:rPr>
          <w:rFonts w:ascii="Times New Roman" w:hAnsi="Times New Roman" w:cs="Times New Roman"/>
          <w:b/>
          <w:sz w:val="28"/>
        </w:rPr>
        <w:lastRenderedPageBreak/>
        <w:t>3.3.2</w:t>
      </w:r>
      <w:r w:rsidR="007218C6">
        <w:rPr>
          <w:rFonts w:ascii="Times New Roman" w:hAnsi="Times New Roman" w:cs="Times New Roman"/>
          <w:b/>
          <w:sz w:val="28"/>
        </w:rPr>
        <w:tab/>
      </w:r>
      <w:r w:rsidR="007218C6">
        <w:rPr>
          <w:rFonts w:ascii="Times New Roman" w:hAnsi="Times New Roman" w:cs="Times New Roman"/>
          <w:b/>
          <w:bCs/>
          <w:sz w:val="28"/>
        </w:rPr>
        <w:t>AFm</w:t>
      </w:r>
      <w:r w:rsidR="007218C6" w:rsidRPr="005911CA">
        <w:rPr>
          <w:rFonts w:ascii="Times New Roman" w:hAnsi="Times New Roman" w:cs="Times New Roman"/>
          <w:b/>
          <w:bCs/>
          <w:sz w:val="28"/>
        </w:rPr>
        <w:t xml:space="preserve"> Synthesis</w:t>
      </w:r>
      <w:r w:rsidR="007218C6" w:rsidRPr="005911CA">
        <w:rPr>
          <w:rFonts w:ascii="Times New Roman" w:hAnsi="Times New Roman" w:cs="Times New Roman"/>
          <w:b/>
          <w:bCs/>
          <w:sz w:val="28"/>
          <w:u w:val="single"/>
        </w:rPr>
        <w:t xml:space="preserve"> </w:t>
      </w:r>
    </w:p>
    <w:p w14:paraId="71EF6756" w14:textId="77777777" w:rsidR="007218C6" w:rsidRDefault="007218C6" w:rsidP="007218C6">
      <w:pPr>
        <w:spacing w:line="360" w:lineRule="auto"/>
        <w:jc w:val="both"/>
        <w:rPr>
          <w:rFonts w:ascii="Times New Roman" w:hAnsi="Times New Roman" w:cs="Times New Roman"/>
          <w:bCs/>
        </w:rPr>
      </w:pPr>
      <w:r>
        <w:rPr>
          <w:rFonts w:ascii="Times New Roman" w:hAnsi="Times New Roman" w:cs="Times New Roman"/>
          <w:bCs/>
        </w:rPr>
        <w:t xml:space="preserve">The process used to synthesise AFm is based on that used by Matschei et al [5]. The experiment was set up in a disposable glove bag Figure 3.8 to avoid carbonation of the sample during the mixing procedure. First a vacuum pump was used to remove the air inside the bag as shown in Figure 3.8a. The argon gas introduced with the vacuum pump still on for approximately 15-20 minutes to remove any excess air. The vacuum pump was then switched off, with the argon supply still on until the bag was filled to a satisfactory level Figure 3.8b. </w:t>
      </w:r>
    </w:p>
    <w:p w14:paraId="3867E0C8" w14:textId="7BA47CF2" w:rsidR="008E3422" w:rsidRDefault="007218C6" w:rsidP="007218C6">
      <w:pPr>
        <w:spacing w:line="360" w:lineRule="auto"/>
        <w:jc w:val="both"/>
        <w:rPr>
          <w:rFonts w:ascii="Times New Roman" w:hAnsi="Times New Roman" w:cs="Times New Roman"/>
          <w:bCs/>
        </w:rPr>
      </w:pPr>
      <w:r>
        <w:rPr>
          <w:rFonts w:ascii="Times New Roman" w:hAnsi="Times New Roman" w:cs="Times New Roman"/>
          <w:bCs/>
        </w:rPr>
        <w:t xml:space="preserve"> The C</w:t>
      </w:r>
      <w:r>
        <w:rPr>
          <w:rFonts w:ascii="Times New Roman" w:hAnsi="Times New Roman" w:cs="Times New Roman"/>
          <w:bCs/>
          <w:vertAlign w:val="subscript"/>
        </w:rPr>
        <w:t>3</w:t>
      </w:r>
      <w:r>
        <w:rPr>
          <w:rFonts w:ascii="Times New Roman" w:hAnsi="Times New Roman" w:cs="Times New Roman"/>
          <w:bCs/>
        </w:rPr>
        <w:t>A prepared (3.3.</w:t>
      </w:r>
      <w:r w:rsidR="00190FC0">
        <w:rPr>
          <w:rFonts w:ascii="Times New Roman" w:hAnsi="Times New Roman" w:cs="Times New Roman"/>
          <w:bCs/>
        </w:rPr>
        <w:t>1</w:t>
      </w:r>
      <w:r>
        <w:rPr>
          <w:rFonts w:ascii="Times New Roman" w:hAnsi="Times New Roman" w:cs="Times New Roman"/>
          <w:bCs/>
        </w:rPr>
        <w:t>) was mixed in a 1:1 molar ratio with CaSO</w:t>
      </w:r>
      <w:r>
        <w:rPr>
          <w:rFonts w:ascii="Times New Roman" w:hAnsi="Times New Roman" w:cs="Times New Roman"/>
          <w:bCs/>
          <w:vertAlign w:val="subscript"/>
        </w:rPr>
        <w:t>4</w:t>
      </w:r>
      <w:r>
        <w:rPr>
          <w:rFonts w:ascii="Times New Roman" w:hAnsi="Times New Roman" w:cs="Times New Roman"/>
          <w:bCs/>
        </w:rPr>
        <w:t xml:space="preserve"> in a beaker of deionised water. The beaker was then placed on a magnetic heating plate and the mixture was heated to 80</w:t>
      </w:r>
      <w:r>
        <w:rPr>
          <w:rFonts w:ascii="Times New Roman" w:hAnsi="Times New Roman" w:cs="Times New Roman"/>
          <w:bCs/>
          <w:vertAlign w:val="superscript"/>
        </w:rPr>
        <w:t>o</w:t>
      </w:r>
      <w:r>
        <w:rPr>
          <w:rFonts w:ascii="Times New Roman" w:hAnsi="Times New Roman" w:cs="Times New Roman"/>
          <w:bCs/>
        </w:rPr>
        <w:t xml:space="preserve">C and magnetically stirred for 5 hours. The mixture was then cooled to room temperature overnight and heated again the following day for 5 hours (the beaker of solution was covered with a glass lid with a small vent, so that the majority of evaporated water would condense back into the beaker). This procedure was repeated over a </w:t>
      </w:r>
      <w:proofErr w:type="gramStart"/>
      <w:r>
        <w:rPr>
          <w:rFonts w:ascii="Times New Roman" w:hAnsi="Times New Roman" w:cs="Times New Roman"/>
          <w:bCs/>
        </w:rPr>
        <w:t>7 day</w:t>
      </w:r>
      <w:proofErr w:type="gramEnd"/>
      <w:r>
        <w:rPr>
          <w:rFonts w:ascii="Times New Roman" w:hAnsi="Times New Roman" w:cs="Times New Roman"/>
          <w:bCs/>
        </w:rPr>
        <w:t xml:space="preserve"> period at the end of which the sample was removed and vacuum filtered using Whatman 541 filter paper. The powder was then dried in a desiccator over saturated CaCl</w:t>
      </w:r>
      <w:r>
        <w:rPr>
          <w:rFonts w:ascii="Times New Roman" w:hAnsi="Times New Roman" w:cs="Times New Roman"/>
          <w:bCs/>
          <w:vertAlign w:val="subscript"/>
        </w:rPr>
        <w:t xml:space="preserve">2 </w:t>
      </w:r>
      <w:r>
        <w:rPr>
          <w:rFonts w:ascii="Times New Roman" w:hAnsi="Times New Roman" w:cs="Times New Roman"/>
          <w:bCs/>
        </w:rPr>
        <w:t xml:space="preserve">solution. </w:t>
      </w:r>
    </w:p>
    <w:p w14:paraId="2DFD1B23" w14:textId="77777777" w:rsidR="008E3422" w:rsidRDefault="008E3422" w:rsidP="008E3422">
      <w:pPr>
        <w:jc w:val="center"/>
        <w:rPr>
          <w:rFonts w:ascii="Times New Roman" w:hAnsi="Times New Roman" w:cs="Times New Roman"/>
          <w:bCs/>
        </w:rPr>
      </w:pPr>
    </w:p>
    <w:p w14:paraId="6206D8DE" w14:textId="23CC0B28" w:rsidR="008E3422" w:rsidRPr="006273B3" w:rsidRDefault="008E3422" w:rsidP="008E3422">
      <w:pPr>
        <w:spacing w:line="360" w:lineRule="auto"/>
        <w:jc w:val="both"/>
        <w:rPr>
          <w:rFonts w:ascii="Times New Roman" w:hAnsi="Times New Roman" w:cs="Times New Roman"/>
          <w:bCs/>
        </w:rPr>
      </w:pPr>
      <w:r>
        <w:rPr>
          <w:rFonts w:ascii="Times New Roman" w:hAnsi="Times New Roman" w:cs="Times New Roman"/>
          <w:bCs/>
        </w:rPr>
        <w:t>Once the AFm synthesis was confirmed the procedure was repeated with the addition of strontium nitrate 3wt% of total mix, when mixing the C</w:t>
      </w:r>
      <w:r>
        <w:rPr>
          <w:rFonts w:ascii="Times New Roman" w:hAnsi="Times New Roman" w:cs="Times New Roman"/>
          <w:bCs/>
          <w:vertAlign w:val="subscript"/>
        </w:rPr>
        <w:t>3</w:t>
      </w:r>
      <w:r>
        <w:rPr>
          <w:rFonts w:ascii="Times New Roman" w:hAnsi="Times New Roman" w:cs="Times New Roman"/>
          <w:bCs/>
        </w:rPr>
        <w:t>A and CaSO</w:t>
      </w:r>
      <w:r>
        <w:rPr>
          <w:rFonts w:ascii="Times New Roman" w:hAnsi="Times New Roman" w:cs="Times New Roman"/>
          <w:bCs/>
          <w:vertAlign w:val="subscript"/>
        </w:rPr>
        <w:t>4</w:t>
      </w:r>
      <w:r w:rsidR="00EC3D32">
        <w:rPr>
          <w:rFonts w:ascii="Times New Roman" w:hAnsi="Times New Roman" w:cs="Times New Roman"/>
          <w:bCs/>
        </w:rPr>
        <w:t>, i</w:t>
      </w:r>
      <w:r w:rsidR="006273B3">
        <w:rPr>
          <w:rFonts w:ascii="Times New Roman" w:hAnsi="Times New Roman" w:cs="Times New Roman"/>
          <w:bCs/>
        </w:rPr>
        <w:t xml:space="preserve">n an attempt to produce the CAN phase. </w:t>
      </w:r>
    </w:p>
    <w:p w14:paraId="79AE4795" w14:textId="77777777" w:rsidR="008E3422" w:rsidRPr="00B86248" w:rsidRDefault="008E3422" w:rsidP="007218C6">
      <w:pPr>
        <w:spacing w:line="360" w:lineRule="auto"/>
        <w:jc w:val="both"/>
        <w:rPr>
          <w:rFonts w:ascii="Times New Roman" w:hAnsi="Times New Roman" w:cs="Times New Roman"/>
          <w:bCs/>
        </w:rPr>
      </w:pPr>
    </w:p>
    <w:p w14:paraId="3ADBE3CC" w14:textId="77777777" w:rsidR="008E3422" w:rsidRDefault="008E3422" w:rsidP="007218C6">
      <w:pPr>
        <w:spacing w:line="360" w:lineRule="auto"/>
        <w:ind w:left="284"/>
        <w:jc w:val="center"/>
        <w:rPr>
          <w:rFonts w:ascii="Times New Roman" w:hAnsi="Times New Roman" w:cs="Times New Roman"/>
          <w:bCs/>
        </w:rPr>
      </w:pPr>
    </w:p>
    <w:p w14:paraId="381F2756" w14:textId="7DC4E8DE" w:rsidR="007218C6" w:rsidRPr="00FD0230" w:rsidRDefault="00BA013D" w:rsidP="008E3422">
      <w:pPr>
        <w:jc w:val="center"/>
        <w:rPr>
          <w:rFonts w:ascii="Times New Roman" w:hAnsi="Times New Roman" w:cs="Times New Roman"/>
        </w:rPr>
      </w:pPr>
      <w:r>
        <w:rPr>
          <w:rFonts w:ascii="Times New Roman" w:hAnsi="Times New Roman" w:cs="Times New Roman"/>
          <w:noProof/>
        </w:rPr>
        <w:drawing>
          <wp:inline distT="0" distB="0" distL="0" distR="0" wp14:anchorId="06268224" wp14:editId="0E5B56E7">
            <wp:extent cx="2590344" cy="1944771"/>
            <wp:effectExtent l="25400" t="25400" r="26035" b="36830"/>
            <wp:docPr id="29" name="Picture 2" descr="SSD:Users:WG:Desktop:VAC A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D:Users:WG:Desktop:VAC AFM.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344" cy="1944771"/>
                    </a:xfrm>
                    <a:prstGeom prst="rect">
                      <a:avLst/>
                    </a:prstGeom>
                    <a:noFill/>
                    <a:ln w="12700" cmpd="sng">
                      <a:solidFill>
                        <a:schemeClr val="tx1"/>
                      </a:solidFill>
                    </a:ln>
                  </pic:spPr>
                </pic:pic>
              </a:graphicData>
            </a:graphic>
          </wp:inline>
        </w:drawing>
      </w:r>
      <w:r w:rsidR="008E3422">
        <w:rPr>
          <w:rFonts w:ascii="Times New Roman" w:hAnsi="Times New Roman" w:cs="Times New Roman"/>
          <w:bCs/>
          <w:noProof/>
        </w:rPr>
        <w:drawing>
          <wp:inline distT="0" distB="0" distL="0" distR="0" wp14:anchorId="699544FA" wp14:editId="3A66EF7A">
            <wp:extent cx="2588377" cy="1943295"/>
            <wp:effectExtent l="25400" t="25400" r="27940" b="38100"/>
            <wp:docPr id="27" name="Picture 1" descr="SSD:Users:WG:Desktop:ARG A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D:Users:WG:Desktop:ARG AFM.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88377" cy="1943295"/>
                    </a:xfrm>
                    <a:prstGeom prst="rect">
                      <a:avLst/>
                    </a:prstGeom>
                    <a:noFill/>
                    <a:ln w="12700" cmpd="sng">
                      <a:solidFill>
                        <a:schemeClr val="tx1"/>
                      </a:solidFill>
                    </a:ln>
                  </pic:spPr>
                </pic:pic>
              </a:graphicData>
            </a:graphic>
          </wp:inline>
        </w:drawing>
      </w:r>
    </w:p>
    <w:p w14:paraId="1E34E7C9" w14:textId="65D4D08D" w:rsidR="007218C6" w:rsidRDefault="007218C6" w:rsidP="008E3422">
      <w:pPr>
        <w:jc w:val="center"/>
        <w:rPr>
          <w:rFonts w:ascii="Times New Roman" w:hAnsi="Times New Roman" w:cs="Times New Roman"/>
          <w:bCs/>
        </w:rPr>
      </w:pPr>
      <w:r>
        <w:rPr>
          <w:rFonts w:ascii="Times New Roman" w:hAnsi="Times New Roman" w:cs="Times New Roman"/>
          <w:b/>
          <w:bCs/>
        </w:rPr>
        <w:t>Figure 3.8: Left</w:t>
      </w:r>
      <w:proofErr w:type="gramStart"/>
      <w:r>
        <w:rPr>
          <w:rFonts w:ascii="Times New Roman" w:hAnsi="Times New Roman" w:cs="Times New Roman"/>
          <w:b/>
          <w:bCs/>
        </w:rPr>
        <w:t>-(</w:t>
      </w:r>
      <w:proofErr w:type="gramEnd"/>
      <w:r>
        <w:rPr>
          <w:rFonts w:ascii="Times New Roman" w:hAnsi="Times New Roman" w:cs="Times New Roman"/>
          <w:b/>
          <w:bCs/>
        </w:rPr>
        <w:t xml:space="preserve">a) </w:t>
      </w:r>
      <w:r w:rsidRPr="00B86248">
        <w:rPr>
          <w:rFonts w:ascii="Times New Roman" w:hAnsi="Times New Roman" w:cs="Times New Roman"/>
          <w:bCs/>
        </w:rPr>
        <w:t>Equipment setup in glove</w:t>
      </w:r>
      <w:r>
        <w:rPr>
          <w:rFonts w:ascii="Times New Roman" w:hAnsi="Times New Roman" w:cs="Times New Roman"/>
          <w:bCs/>
        </w:rPr>
        <w:t xml:space="preserve"> ba</w:t>
      </w:r>
      <w:r w:rsidR="00EC3D32">
        <w:rPr>
          <w:rFonts w:ascii="Times New Roman" w:hAnsi="Times New Roman" w:cs="Times New Roman"/>
          <w:bCs/>
        </w:rPr>
        <w:t>g</w:t>
      </w:r>
      <w:r w:rsidRPr="00B86248">
        <w:rPr>
          <w:rFonts w:ascii="Times New Roman" w:hAnsi="Times New Roman" w:cs="Times New Roman"/>
          <w:bCs/>
        </w:rPr>
        <w:t xml:space="preserve"> </w:t>
      </w:r>
      <w:r>
        <w:rPr>
          <w:rFonts w:ascii="Times New Roman" w:hAnsi="Times New Roman" w:cs="Times New Roman"/>
          <w:bCs/>
        </w:rPr>
        <w:t>with</w:t>
      </w:r>
      <w:r w:rsidRPr="00B86248">
        <w:rPr>
          <w:rFonts w:ascii="Times New Roman" w:hAnsi="Times New Roman" w:cs="Times New Roman"/>
          <w:bCs/>
        </w:rPr>
        <w:t xml:space="preserve"> vacuum removal of excess air</w:t>
      </w:r>
      <w:r>
        <w:rPr>
          <w:rFonts w:ascii="Times New Roman" w:hAnsi="Times New Roman" w:cs="Times New Roman"/>
          <w:bCs/>
        </w:rPr>
        <w:t xml:space="preserve">. </w:t>
      </w:r>
      <w:r>
        <w:rPr>
          <w:rFonts w:ascii="Times New Roman" w:hAnsi="Times New Roman" w:cs="Times New Roman"/>
          <w:bCs/>
        </w:rPr>
        <w:br/>
      </w:r>
      <w:r>
        <w:rPr>
          <w:rFonts w:ascii="Times New Roman" w:hAnsi="Times New Roman" w:cs="Times New Roman"/>
          <w:b/>
          <w:bCs/>
        </w:rPr>
        <w:t>Right</w:t>
      </w:r>
      <w:proofErr w:type="gramStart"/>
      <w:r>
        <w:rPr>
          <w:rFonts w:ascii="Times New Roman" w:hAnsi="Times New Roman" w:cs="Times New Roman"/>
          <w:b/>
          <w:bCs/>
        </w:rPr>
        <w:t>-(</w:t>
      </w:r>
      <w:proofErr w:type="gramEnd"/>
      <w:r>
        <w:rPr>
          <w:rFonts w:ascii="Times New Roman" w:hAnsi="Times New Roman" w:cs="Times New Roman"/>
          <w:b/>
          <w:bCs/>
        </w:rPr>
        <w:t xml:space="preserve">b) </w:t>
      </w:r>
      <w:r>
        <w:rPr>
          <w:rFonts w:ascii="Times New Roman" w:hAnsi="Times New Roman" w:cs="Times New Roman"/>
          <w:bCs/>
        </w:rPr>
        <w:t xml:space="preserve">Sealed </w:t>
      </w:r>
      <w:r w:rsidR="00BA013D">
        <w:rPr>
          <w:rFonts w:ascii="Times New Roman" w:hAnsi="Times New Roman" w:cs="Times New Roman"/>
          <w:bCs/>
        </w:rPr>
        <w:t>G</w:t>
      </w:r>
      <w:r>
        <w:rPr>
          <w:rFonts w:ascii="Times New Roman" w:hAnsi="Times New Roman" w:cs="Times New Roman"/>
          <w:bCs/>
        </w:rPr>
        <w:t>love bag filled with argon gas.</w:t>
      </w:r>
    </w:p>
    <w:p w14:paraId="74479ECC" w14:textId="77777777" w:rsidR="007218C6" w:rsidRDefault="007218C6" w:rsidP="007218C6">
      <w:pPr>
        <w:spacing w:line="360" w:lineRule="auto"/>
        <w:rPr>
          <w:rFonts w:ascii="Times New Roman" w:hAnsi="Times New Roman" w:cs="Times New Roman"/>
          <w:b/>
          <w:bCs/>
          <w:sz w:val="28"/>
          <w:u w:val="single"/>
        </w:rPr>
      </w:pPr>
    </w:p>
    <w:p w14:paraId="7AA3EB45" w14:textId="77777777" w:rsidR="007218C6" w:rsidRDefault="007218C6" w:rsidP="007218C6">
      <w:pPr>
        <w:spacing w:line="360" w:lineRule="auto"/>
        <w:rPr>
          <w:rFonts w:ascii="Times New Roman" w:hAnsi="Times New Roman" w:cs="Times New Roman"/>
          <w:b/>
          <w:bCs/>
          <w:sz w:val="28"/>
        </w:rPr>
      </w:pPr>
    </w:p>
    <w:p w14:paraId="7D85BD4F" w14:textId="131EC32D" w:rsidR="007218C6" w:rsidRPr="00AB6BEE" w:rsidRDefault="00190FC0" w:rsidP="007218C6">
      <w:pPr>
        <w:spacing w:line="360" w:lineRule="auto"/>
        <w:rPr>
          <w:rFonts w:ascii="Times New Roman" w:hAnsi="Times New Roman" w:cs="Times New Roman"/>
          <w:b/>
          <w:bCs/>
          <w:sz w:val="28"/>
        </w:rPr>
      </w:pPr>
      <w:r>
        <w:rPr>
          <w:rFonts w:ascii="Times New Roman" w:hAnsi="Times New Roman" w:cs="Times New Roman"/>
          <w:b/>
          <w:bCs/>
          <w:sz w:val="28"/>
        </w:rPr>
        <w:lastRenderedPageBreak/>
        <w:t>3.3.3</w:t>
      </w:r>
      <w:r w:rsidR="007218C6" w:rsidRPr="00AB6BEE">
        <w:rPr>
          <w:rFonts w:ascii="Times New Roman" w:hAnsi="Times New Roman" w:cs="Times New Roman"/>
          <w:b/>
          <w:bCs/>
          <w:sz w:val="28"/>
        </w:rPr>
        <w:tab/>
        <w:t>Analysis</w:t>
      </w:r>
    </w:p>
    <w:p w14:paraId="0EBC7AA9" w14:textId="05FE1429" w:rsidR="007218C6" w:rsidRPr="00A26A92" w:rsidRDefault="007218C6" w:rsidP="007218C6">
      <w:pPr>
        <w:spacing w:before="120" w:after="120" w:line="360" w:lineRule="auto"/>
        <w:jc w:val="both"/>
        <w:rPr>
          <w:rFonts w:ascii="Times New Roman" w:hAnsi="Times New Roman" w:cs="Times New Roman"/>
        </w:rPr>
      </w:pPr>
      <w:r>
        <w:rPr>
          <w:rFonts w:ascii="Times New Roman" w:hAnsi="Times New Roman" w:cs="Times New Roman"/>
        </w:rPr>
        <w:t>Once curing was complete</w:t>
      </w:r>
      <w:r w:rsidRPr="00A26A92">
        <w:rPr>
          <w:rFonts w:ascii="Times New Roman" w:hAnsi="Times New Roman" w:cs="Times New Roman"/>
        </w:rPr>
        <w:t xml:space="preserve"> each of the samples was analysed before the leaching procedures commenced. The samples were also analysed once each leaching test was complete. </w:t>
      </w:r>
      <w:r>
        <w:rPr>
          <w:rFonts w:ascii="Times New Roman" w:hAnsi="Times New Roman" w:cs="Times New Roman"/>
        </w:rPr>
        <w:t>F</w:t>
      </w:r>
      <w:r w:rsidRPr="00A26A92">
        <w:rPr>
          <w:rFonts w:ascii="Times New Roman" w:hAnsi="Times New Roman" w:cs="Times New Roman"/>
        </w:rPr>
        <w:t xml:space="preserve">or the semi-static test the samples were cut into three discs (1, 2 and 3) 5mm in thickness, as shown in </w:t>
      </w:r>
      <w:r>
        <w:rPr>
          <w:rFonts w:ascii="Times New Roman" w:hAnsi="Times New Roman" w:cs="Times New Roman"/>
        </w:rPr>
        <w:t>Figure 3.9</w:t>
      </w:r>
      <w:r w:rsidRPr="00A26A92">
        <w:rPr>
          <w:rFonts w:ascii="Times New Roman" w:hAnsi="Times New Roman" w:cs="Times New Roman"/>
        </w:rPr>
        <w:t>. In the acidic and static tests,</w:t>
      </w:r>
      <w:r w:rsidR="001758C4">
        <w:rPr>
          <w:rFonts w:ascii="Times New Roman" w:hAnsi="Times New Roman" w:cs="Times New Roman"/>
        </w:rPr>
        <w:t xml:space="preserve"> </w:t>
      </w:r>
      <w:r w:rsidR="00334D7B">
        <w:rPr>
          <w:rFonts w:ascii="Times New Roman" w:hAnsi="Times New Roman" w:cs="Times New Roman"/>
        </w:rPr>
        <w:t>initially</w:t>
      </w:r>
      <w:r w:rsidRPr="00A26A92">
        <w:rPr>
          <w:rFonts w:ascii="Times New Roman" w:hAnsi="Times New Roman" w:cs="Times New Roman"/>
        </w:rPr>
        <w:t xml:space="preserve"> only the exposure surface was inspect</w:t>
      </w:r>
      <w:r>
        <w:rPr>
          <w:rFonts w:ascii="Times New Roman" w:hAnsi="Times New Roman" w:cs="Times New Roman"/>
        </w:rPr>
        <w:t>ed</w:t>
      </w:r>
      <w:r w:rsidRPr="00A26A92">
        <w:rPr>
          <w:rFonts w:ascii="Times New Roman" w:hAnsi="Times New Roman" w:cs="Times New Roman"/>
        </w:rPr>
        <w:t xml:space="preserve"> by analysing</w:t>
      </w:r>
      <w:r>
        <w:rPr>
          <w:rFonts w:ascii="Times New Roman" w:hAnsi="Times New Roman" w:cs="Times New Roman"/>
        </w:rPr>
        <w:t xml:space="preserve"> the outer surface</w:t>
      </w:r>
      <w:r w:rsidRPr="00A26A92">
        <w:rPr>
          <w:rFonts w:ascii="Times New Roman" w:hAnsi="Times New Roman" w:cs="Times New Roman"/>
        </w:rPr>
        <w:t xml:space="preserve"> disc 1</w:t>
      </w:r>
      <w:r w:rsidR="001758C4">
        <w:rPr>
          <w:rFonts w:ascii="Times New Roman" w:hAnsi="Times New Roman" w:cs="Times New Roman"/>
        </w:rPr>
        <w:t xml:space="preserve">, if significant differences were </w:t>
      </w:r>
      <w:r w:rsidR="00334D7B">
        <w:rPr>
          <w:rFonts w:ascii="Times New Roman" w:hAnsi="Times New Roman" w:cs="Times New Roman"/>
        </w:rPr>
        <w:t>realized in the difference depths in the semi-static</w:t>
      </w:r>
      <w:r w:rsidR="00B64212">
        <w:rPr>
          <w:rFonts w:ascii="Times New Roman" w:hAnsi="Times New Roman" w:cs="Times New Roman"/>
        </w:rPr>
        <w:t xml:space="preserve"> tests</w:t>
      </w:r>
      <w:r w:rsidR="00334D7B">
        <w:rPr>
          <w:rFonts w:ascii="Times New Roman" w:hAnsi="Times New Roman" w:cs="Times New Roman"/>
        </w:rPr>
        <w:t>, then</w:t>
      </w:r>
      <w:r w:rsidR="001758C4">
        <w:rPr>
          <w:rFonts w:ascii="Times New Roman" w:hAnsi="Times New Roman" w:cs="Times New Roman"/>
        </w:rPr>
        <w:t xml:space="preserve"> future work would investigate the </w:t>
      </w:r>
      <w:r w:rsidR="00F12A4D">
        <w:rPr>
          <w:rFonts w:ascii="Times New Roman" w:hAnsi="Times New Roman" w:cs="Times New Roman"/>
        </w:rPr>
        <w:t>deeper layers within the cement</w:t>
      </w:r>
      <w:r w:rsidR="00B64212">
        <w:rPr>
          <w:rFonts w:ascii="Times New Roman" w:hAnsi="Times New Roman" w:cs="Times New Roman"/>
        </w:rPr>
        <w:t xml:space="preserve"> in the other</w:t>
      </w:r>
      <w:r w:rsidR="00334D7B">
        <w:rPr>
          <w:rFonts w:ascii="Times New Roman" w:hAnsi="Times New Roman" w:cs="Times New Roman"/>
        </w:rPr>
        <w:t xml:space="preserve"> tests</w:t>
      </w:r>
      <w:r w:rsidR="001758C4">
        <w:rPr>
          <w:rFonts w:ascii="Times New Roman" w:hAnsi="Times New Roman" w:cs="Times New Roman"/>
        </w:rPr>
        <w:t>.</w:t>
      </w:r>
      <w:r w:rsidR="00F12A4D">
        <w:rPr>
          <w:rFonts w:ascii="Times New Roman" w:hAnsi="Times New Roman" w:cs="Times New Roman"/>
        </w:rPr>
        <w:t xml:space="preserve"> </w:t>
      </w:r>
    </w:p>
    <w:p w14:paraId="6FBA5BB7" w14:textId="77777777" w:rsidR="007218C6" w:rsidRPr="00A26A92" w:rsidRDefault="007218C6" w:rsidP="007218C6">
      <w:pPr>
        <w:spacing w:before="120" w:after="120" w:line="360" w:lineRule="auto"/>
        <w:jc w:val="center"/>
        <w:rPr>
          <w:rFonts w:ascii="Times New Roman" w:hAnsi="Times New Roman" w:cs="Times New Roman"/>
        </w:rPr>
      </w:pPr>
      <w:r w:rsidRPr="00A26A92">
        <w:rPr>
          <w:rFonts w:ascii="Times New Roman" w:hAnsi="Times New Roman" w:cs="Times New Roman"/>
          <w:noProof/>
        </w:rPr>
        <w:drawing>
          <wp:inline distT="0" distB="0" distL="0" distR="0" wp14:anchorId="275B9A29" wp14:editId="0035DB75">
            <wp:extent cx="2743200" cy="1944631"/>
            <wp:effectExtent l="0" t="0" r="0" b="11430"/>
            <wp:docPr id="9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43394" cy="1944769"/>
                    </a:xfrm>
                    <a:prstGeom prst="rect">
                      <a:avLst/>
                    </a:prstGeom>
                    <a:noFill/>
                    <a:ln>
                      <a:noFill/>
                    </a:ln>
                  </pic:spPr>
                </pic:pic>
              </a:graphicData>
            </a:graphic>
          </wp:inline>
        </w:drawing>
      </w:r>
    </w:p>
    <w:p w14:paraId="5B5D6FC5" w14:textId="19DE72E2" w:rsidR="007218C6" w:rsidRDefault="007218C6" w:rsidP="007218C6">
      <w:pPr>
        <w:spacing w:before="120" w:after="120" w:line="360" w:lineRule="auto"/>
        <w:jc w:val="center"/>
        <w:rPr>
          <w:rFonts w:ascii="Times New Roman" w:hAnsi="Times New Roman" w:cs="Times New Roman"/>
        </w:rPr>
      </w:pPr>
      <w:r w:rsidRPr="00E2757C">
        <w:rPr>
          <w:rFonts w:ascii="Times New Roman" w:hAnsi="Times New Roman" w:cs="Times New Roman"/>
          <w:b/>
        </w:rPr>
        <w:t>Figure</w:t>
      </w:r>
      <w:r>
        <w:rPr>
          <w:rFonts w:ascii="Times New Roman" w:hAnsi="Times New Roman" w:cs="Times New Roman"/>
          <w:b/>
        </w:rPr>
        <w:t xml:space="preserve"> 3.9: </w:t>
      </w:r>
      <w:r>
        <w:rPr>
          <w:rFonts w:ascii="Times New Roman" w:hAnsi="Times New Roman" w:cs="Times New Roman"/>
        </w:rPr>
        <w:t>Cross section of typic</w:t>
      </w:r>
      <w:r w:rsidR="009C4AFD">
        <w:rPr>
          <w:rFonts w:ascii="Times New Roman" w:hAnsi="Times New Roman" w:cs="Times New Roman"/>
        </w:rPr>
        <w:t xml:space="preserve">al cement sample displaying the </w:t>
      </w:r>
      <w:r>
        <w:rPr>
          <w:rFonts w:ascii="Times New Roman" w:hAnsi="Times New Roman" w:cs="Times New Roman"/>
        </w:rPr>
        <w:t>s</w:t>
      </w:r>
      <w:r w:rsidR="009C4AFD">
        <w:rPr>
          <w:rFonts w:ascii="Times New Roman" w:hAnsi="Times New Roman" w:cs="Times New Roman"/>
        </w:rPr>
        <w:t>ections</w:t>
      </w:r>
      <w:r>
        <w:rPr>
          <w:rFonts w:ascii="Times New Roman" w:hAnsi="Times New Roman" w:cs="Times New Roman"/>
        </w:rPr>
        <w:t xml:space="preserve"> that were cut for analysis</w:t>
      </w:r>
    </w:p>
    <w:p w14:paraId="2A95AECF" w14:textId="77777777" w:rsidR="007218C6" w:rsidRPr="00677AA3" w:rsidRDefault="007218C6" w:rsidP="007218C6">
      <w:pPr>
        <w:spacing w:before="120" w:after="120" w:line="360" w:lineRule="auto"/>
        <w:jc w:val="center"/>
        <w:rPr>
          <w:rFonts w:ascii="Times New Roman" w:hAnsi="Times New Roman" w:cs="Times New Roman"/>
        </w:rPr>
      </w:pPr>
    </w:p>
    <w:p w14:paraId="4B6017A9" w14:textId="77777777" w:rsidR="007218C6" w:rsidRPr="00AB6BEE" w:rsidRDefault="007218C6" w:rsidP="007218C6">
      <w:pPr>
        <w:spacing w:before="120" w:after="120" w:line="360" w:lineRule="auto"/>
        <w:jc w:val="both"/>
        <w:rPr>
          <w:rFonts w:ascii="Times New Roman" w:hAnsi="Times New Roman" w:cs="Times New Roman"/>
        </w:rPr>
      </w:pPr>
      <w:r>
        <w:rPr>
          <w:rFonts w:ascii="Times New Roman" w:hAnsi="Times New Roman" w:cs="Times New Roman"/>
        </w:rPr>
        <w:t>i.</w:t>
      </w:r>
      <w:r w:rsidRPr="00AB6BEE">
        <w:rPr>
          <w:rFonts w:ascii="Times New Roman" w:hAnsi="Times New Roman" w:cs="Times New Roman"/>
        </w:rPr>
        <w:tab/>
        <w:t>X-ray Diffraction (XRD)</w:t>
      </w:r>
    </w:p>
    <w:p w14:paraId="5079F3DA" w14:textId="0FC8EDB5" w:rsidR="007218C6" w:rsidRPr="00751C5B" w:rsidRDefault="007218C6" w:rsidP="007218C6">
      <w:pPr>
        <w:spacing w:line="360" w:lineRule="auto"/>
        <w:jc w:val="both"/>
        <w:rPr>
          <w:rFonts w:ascii="Times New Roman" w:hAnsi="Times New Roman" w:cs="Times New Roman"/>
          <w:lang w:val="en-GB"/>
        </w:rPr>
      </w:pPr>
      <w:r w:rsidRPr="00A26A92">
        <w:rPr>
          <w:rFonts w:ascii="Times New Roman" w:hAnsi="Times New Roman" w:cs="Times New Roman"/>
        </w:rPr>
        <w:t xml:space="preserve">XRD was used to investigate the crystalline phases present within the samples. </w:t>
      </w:r>
      <w:r>
        <w:rPr>
          <w:rFonts w:ascii="Times New Roman" w:hAnsi="Times New Roman" w:cs="Times New Roman"/>
        </w:rPr>
        <w:t>Each sample was</w:t>
      </w:r>
      <w:r w:rsidRPr="00A26A92">
        <w:rPr>
          <w:rFonts w:ascii="Times New Roman" w:hAnsi="Times New Roman" w:cs="Times New Roman"/>
        </w:rPr>
        <w:t xml:space="preserve"> crushed and ground to a fine powder</w:t>
      </w:r>
      <w:r>
        <w:rPr>
          <w:rFonts w:ascii="Times New Roman" w:hAnsi="Times New Roman" w:cs="Times New Roman"/>
        </w:rPr>
        <w:t xml:space="preserve"> of </w:t>
      </w:r>
      <w:r w:rsidRPr="00A26A92">
        <w:rPr>
          <w:rFonts w:ascii="Times New Roman" w:hAnsi="Times New Roman" w:cs="Times New Roman"/>
        </w:rPr>
        <w:t>&lt;</w:t>
      </w:r>
      <w:r>
        <w:rPr>
          <w:rFonts w:ascii="Times New Roman" w:hAnsi="Times New Roman" w:cs="Times New Roman"/>
        </w:rPr>
        <w:t xml:space="preserve">63 μm using a pestle, </w:t>
      </w:r>
      <w:r w:rsidRPr="00A26A92">
        <w:rPr>
          <w:rFonts w:ascii="Times New Roman" w:hAnsi="Times New Roman" w:cs="Times New Roman"/>
        </w:rPr>
        <w:t>mortar</w:t>
      </w:r>
      <w:r>
        <w:rPr>
          <w:rFonts w:ascii="Times New Roman" w:hAnsi="Times New Roman" w:cs="Times New Roman"/>
        </w:rPr>
        <w:t xml:space="preserve"> and a sieve</w:t>
      </w:r>
      <w:r w:rsidRPr="00A26A92">
        <w:rPr>
          <w:rFonts w:ascii="Times New Roman" w:hAnsi="Times New Roman" w:cs="Times New Roman"/>
        </w:rPr>
        <w:t>. The powder was then placed in a sample holder and the surface was flattened using a small glass slab ensure an evenly flat surface for the x-ray beam to hit. Samples were analysed usin</w:t>
      </w:r>
      <w:r>
        <w:rPr>
          <w:rFonts w:ascii="Times New Roman" w:hAnsi="Times New Roman" w:cs="Times New Roman"/>
        </w:rPr>
        <w:t xml:space="preserve">g two diffractometers, </w:t>
      </w:r>
      <w:r w:rsidRPr="00A26A92">
        <w:rPr>
          <w:rFonts w:ascii="Times New Roman" w:hAnsi="Times New Roman" w:cs="Times New Roman"/>
        </w:rPr>
        <w:t xml:space="preserve">a </w:t>
      </w:r>
      <w:proofErr w:type="gramStart"/>
      <w:r w:rsidRPr="00A26A92">
        <w:rPr>
          <w:rFonts w:ascii="Times New Roman" w:hAnsi="Times New Roman" w:cs="Times New Roman"/>
        </w:rPr>
        <w:t xml:space="preserve">Philips </w:t>
      </w:r>
      <w:r w:rsidR="00F12A4D" w:rsidRPr="00F12A4D">
        <w:rPr>
          <w:rFonts w:ascii="Times New Roman" w:hAnsi="Times New Roman" w:cs="Times New Roman"/>
          <w:lang w:val="en-GB"/>
        </w:rPr>
        <w:t> PW1825</w:t>
      </w:r>
      <w:proofErr w:type="gramEnd"/>
      <w:r w:rsidR="00F12A4D" w:rsidRPr="00F12A4D">
        <w:rPr>
          <w:rFonts w:ascii="Times New Roman" w:hAnsi="Times New Roman" w:cs="Times New Roman"/>
          <w:lang w:val="en-GB"/>
        </w:rPr>
        <w:t>  </w:t>
      </w:r>
      <w:r w:rsidRPr="00A26A92">
        <w:rPr>
          <w:rFonts w:ascii="Times New Roman" w:hAnsi="Times New Roman" w:cs="Times New Roman"/>
        </w:rPr>
        <w:t xml:space="preserve">X-ray </w:t>
      </w:r>
      <w:r>
        <w:rPr>
          <w:rFonts w:ascii="Times New Roman" w:hAnsi="Times New Roman" w:cs="Times New Roman"/>
        </w:rPr>
        <w:t>and a Siemens</w:t>
      </w:r>
      <w:r w:rsidRPr="00A26A92">
        <w:rPr>
          <w:rFonts w:ascii="Times New Roman" w:hAnsi="Times New Roman" w:cs="Times New Roman"/>
        </w:rPr>
        <w:t xml:space="preserve"> D500 diffractometer. Bot</w:t>
      </w:r>
      <w:r>
        <w:rPr>
          <w:rFonts w:ascii="Times New Roman" w:hAnsi="Times New Roman" w:cs="Times New Roman"/>
        </w:rPr>
        <w:t xml:space="preserve">h machines used CuKα radiation </w:t>
      </w:r>
      <w:r w:rsidRPr="00A26A92">
        <w:rPr>
          <w:rFonts w:ascii="Times New Roman" w:hAnsi="Times New Roman" w:cs="Times New Roman"/>
        </w:rPr>
        <w:t>and were set at 30kV and 40mA with a step size of 0.02</w:t>
      </w:r>
      <w:r w:rsidRPr="00A26A92">
        <w:rPr>
          <w:rFonts w:ascii="Times New Roman" w:hAnsi="Times New Roman" w:cs="Times New Roman"/>
          <w:vertAlign w:val="superscript"/>
        </w:rPr>
        <w:t>o</w:t>
      </w:r>
      <w:r>
        <w:rPr>
          <w:rFonts w:ascii="Times New Roman" w:hAnsi="Times New Roman" w:cs="Times New Roman"/>
        </w:rPr>
        <w:t xml:space="preserve"> and scanning speed of 1</w:t>
      </w:r>
      <w:r>
        <w:rPr>
          <w:rFonts w:ascii="Times New Roman" w:hAnsi="Times New Roman" w:cs="Times New Roman"/>
          <w:vertAlign w:val="superscript"/>
        </w:rPr>
        <w:t>o</w:t>
      </w:r>
      <w:r w:rsidRPr="00A26A92">
        <w:rPr>
          <w:rFonts w:ascii="Times New Roman" w:hAnsi="Times New Roman" w:cs="Times New Roman"/>
        </w:rPr>
        <w:t>/min between 5</w:t>
      </w:r>
      <w:r w:rsidRPr="00A26A92">
        <w:rPr>
          <w:rFonts w:ascii="Times New Roman" w:hAnsi="Times New Roman" w:cs="Times New Roman"/>
          <w:vertAlign w:val="superscript"/>
        </w:rPr>
        <w:t>o</w:t>
      </w:r>
      <w:r w:rsidRPr="00A26A92">
        <w:rPr>
          <w:rFonts w:ascii="Times New Roman" w:hAnsi="Times New Roman" w:cs="Times New Roman"/>
        </w:rPr>
        <w:t xml:space="preserve"> and 60</w:t>
      </w:r>
      <w:r w:rsidRPr="00A26A92">
        <w:rPr>
          <w:rFonts w:ascii="Times New Roman" w:hAnsi="Times New Roman" w:cs="Times New Roman"/>
          <w:vertAlign w:val="superscript"/>
        </w:rPr>
        <w:t>o</w:t>
      </w:r>
      <w:r w:rsidRPr="00A26A92">
        <w:rPr>
          <w:rFonts w:ascii="Times New Roman" w:hAnsi="Times New Roman" w:cs="Times New Roman"/>
        </w:rPr>
        <w:t xml:space="preserve"> 2θ. The data obtained was analysed using the ICDD files in the JCPDF database within WinXPow. </w:t>
      </w:r>
    </w:p>
    <w:p w14:paraId="718CCCDB" w14:textId="6A95FA98" w:rsidR="007218C6" w:rsidRPr="00A26A92" w:rsidRDefault="007218C6" w:rsidP="007218C6">
      <w:pPr>
        <w:spacing w:line="360" w:lineRule="auto"/>
        <w:jc w:val="both"/>
        <w:rPr>
          <w:rFonts w:ascii="Times New Roman" w:hAnsi="Times New Roman" w:cs="Times New Roman"/>
          <w:color w:val="000000"/>
          <w:position w:val="-2"/>
          <w:sz w:val="16"/>
          <w:szCs w:val="16"/>
        </w:rPr>
      </w:pPr>
      <w:r>
        <w:rPr>
          <w:rFonts w:ascii="Times New Roman" w:hAnsi="Times New Roman" w:cs="Times New Roman"/>
          <w:color w:val="000000" w:themeColor="text1"/>
        </w:rPr>
        <w:t xml:space="preserve">XRD data was collected for unreacted </w:t>
      </w:r>
      <w:r w:rsidR="00E85025">
        <w:rPr>
          <w:rFonts w:ascii="Times New Roman" w:hAnsi="Times New Roman" w:cs="Times New Roman"/>
          <w:color w:val="000000" w:themeColor="text1"/>
        </w:rPr>
        <w:t>PC</w:t>
      </w:r>
      <w:r>
        <w:rPr>
          <w:rFonts w:ascii="Times New Roman" w:hAnsi="Times New Roman" w:cs="Times New Roman"/>
          <w:color w:val="000000" w:themeColor="text1"/>
        </w:rPr>
        <w:t xml:space="preserve"> and BFS and the results are shown in Figure 3.10 and 3.11, respectively. </w:t>
      </w:r>
    </w:p>
    <w:p w14:paraId="419BE585" w14:textId="77777777" w:rsidR="007218C6" w:rsidRDefault="007218C6" w:rsidP="007218C6">
      <w:pPr>
        <w:tabs>
          <w:tab w:val="left" w:pos="142"/>
        </w:tabs>
        <w:ind w:left="709"/>
        <w:jc w:val="center"/>
        <w:rPr>
          <w:rFonts w:ascii="Times New Roman" w:hAnsi="Times New Roman" w:cs="Times New Roman"/>
          <w:b/>
          <w:color w:val="000000" w:themeColor="text1"/>
        </w:rPr>
      </w:pPr>
      <w:r>
        <w:rPr>
          <w:rFonts w:ascii="Times New Roman" w:hAnsi="Times New Roman" w:cs="Times New Roman"/>
          <w:b/>
          <w:noProof/>
          <w:color w:val="000000" w:themeColor="text1"/>
        </w:rPr>
        <w:lastRenderedPageBreak/>
        <w:drawing>
          <wp:inline distT="0" distB="0" distL="0" distR="0" wp14:anchorId="2D30D2B3" wp14:editId="0E17435D">
            <wp:extent cx="3918857" cy="2924309"/>
            <wp:effectExtent l="0" t="0" r="0" b="0"/>
            <wp:docPr id="9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a:grayscl/>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l="16394" b="6184"/>
                    <a:stretch/>
                  </pic:blipFill>
                  <pic:spPr bwMode="auto">
                    <a:xfrm>
                      <a:off x="0" y="0"/>
                      <a:ext cx="3921462" cy="2926253"/>
                    </a:xfrm>
                    <a:prstGeom prst="rect">
                      <a:avLst/>
                    </a:prstGeom>
                    <a:noFill/>
                    <a:ln>
                      <a:noFill/>
                    </a:ln>
                    <a:extLst>
                      <a:ext uri="{53640926-AAD7-44d8-BBD7-CCE9431645EC}">
                        <a14:shadowObscured xmlns:a14="http://schemas.microsoft.com/office/drawing/2010/main"/>
                      </a:ext>
                    </a:extLst>
                  </pic:spPr>
                </pic:pic>
              </a:graphicData>
            </a:graphic>
          </wp:inline>
        </w:drawing>
      </w:r>
    </w:p>
    <w:p w14:paraId="14C0F1D1" w14:textId="352D7F17" w:rsidR="007218C6" w:rsidRPr="00331183" w:rsidRDefault="007218C6" w:rsidP="007218C6">
      <w:pPr>
        <w:jc w:val="center"/>
        <w:rPr>
          <w:rFonts w:ascii="Times New Roman" w:hAnsi="Times New Roman" w:cs="Times New Roman"/>
          <w:noProof/>
          <w:color w:val="000000" w:themeColor="text1"/>
        </w:rPr>
      </w:pPr>
      <w:r w:rsidRPr="00331183">
        <w:rPr>
          <w:rFonts w:ascii="Times New Roman" w:hAnsi="Times New Roman" w:cs="Times New Roman"/>
          <w:b/>
          <w:color w:val="000000" w:themeColor="text1"/>
        </w:rPr>
        <w:t>Figure 3.10:</w:t>
      </w:r>
      <w:r w:rsidRPr="00331183">
        <w:rPr>
          <w:rFonts w:ascii="Times New Roman" w:hAnsi="Times New Roman" w:cs="Times New Roman"/>
          <w:b/>
          <w:color w:val="000000" w:themeColor="text1"/>
        </w:rPr>
        <w:tab/>
      </w:r>
      <w:r w:rsidRPr="00331183">
        <w:rPr>
          <w:rFonts w:ascii="Times New Roman" w:hAnsi="Times New Roman" w:cs="Times New Roman"/>
          <w:color w:val="000000" w:themeColor="text1"/>
        </w:rPr>
        <w:t xml:space="preserve">XRD trace of unreacted </w:t>
      </w:r>
      <w:r w:rsidR="00E85025">
        <w:rPr>
          <w:rFonts w:ascii="Times New Roman" w:hAnsi="Times New Roman" w:cs="Times New Roman"/>
          <w:color w:val="000000" w:themeColor="text1"/>
        </w:rPr>
        <w:t>PC</w:t>
      </w:r>
      <w:r w:rsidRPr="00331183">
        <w:rPr>
          <w:rFonts w:ascii="Times New Roman" w:hAnsi="Times New Roman" w:cs="Times New Roman"/>
          <w:color w:val="000000" w:themeColor="text1"/>
        </w:rPr>
        <w:t xml:space="preserve"> </w:t>
      </w:r>
    </w:p>
    <w:p w14:paraId="490991E0" w14:textId="77777777" w:rsidR="007218C6" w:rsidRDefault="007218C6" w:rsidP="007218C6">
      <w:pPr>
        <w:spacing w:line="360" w:lineRule="auto"/>
        <w:jc w:val="both"/>
        <w:rPr>
          <w:rFonts w:ascii="Times New Roman" w:hAnsi="Times New Roman" w:cs="Times New Roman"/>
          <w:color w:val="000000" w:themeColor="text1"/>
        </w:rPr>
      </w:pPr>
    </w:p>
    <w:p w14:paraId="0F2E2C00" w14:textId="10FC69FE" w:rsidR="007218C6" w:rsidRPr="00A26A92" w:rsidRDefault="007218C6" w:rsidP="007218C6">
      <w:pPr>
        <w:spacing w:line="360" w:lineRule="auto"/>
        <w:jc w:val="both"/>
        <w:rPr>
          <w:rFonts w:ascii="Times New Roman" w:hAnsi="Times New Roman" w:cs="Times New Roman"/>
          <w:color w:val="000000"/>
          <w:position w:val="-2"/>
          <w:sz w:val="16"/>
          <w:szCs w:val="16"/>
        </w:rPr>
      </w:pPr>
      <w:r>
        <w:rPr>
          <w:rFonts w:ascii="Times New Roman" w:hAnsi="Times New Roman" w:cs="Times New Roman"/>
          <w:color w:val="000000" w:themeColor="text1"/>
        </w:rPr>
        <w:t xml:space="preserve">All the clinker </w:t>
      </w:r>
      <w:r w:rsidR="00A66E53">
        <w:rPr>
          <w:rFonts w:ascii="Times New Roman" w:hAnsi="Times New Roman" w:cs="Times New Roman"/>
          <w:color w:val="000000" w:themeColor="text1"/>
        </w:rPr>
        <w:t xml:space="preserve">phases </w:t>
      </w:r>
      <w:r>
        <w:rPr>
          <w:rFonts w:ascii="Times New Roman" w:hAnsi="Times New Roman" w:cs="Times New Roman"/>
          <w:color w:val="000000" w:themeColor="text1"/>
        </w:rPr>
        <w:t xml:space="preserve">in the </w:t>
      </w:r>
      <w:r w:rsidR="00E85025">
        <w:rPr>
          <w:rFonts w:ascii="Times New Roman" w:hAnsi="Times New Roman" w:cs="Times New Roman"/>
          <w:color w:val="000000" w:themeColor="text1"/>
        </w:rPr>
        <w:t>PC</w:t>
      </w:r>
      <w:r>
        <w:rPr>
          <w:rFonts w:ascii="Times New Roman" w:hAnsi="Times New Roman" w:cs="Times New Roman"/>
          <w:color w:val="000000" w:themeColor="text1"/>
        </w:rPr>
        <w:t xml:space="preserve"> are characterised in the XRD trace</w:t>
      </w:r>
      <w:r w:rsidRPr="00A26A92">
        <w:rPr>
          <w:rFonts w:ascii="Times New Roman" w:hAnsi="Times New Roman" w:cs="Times New Roman"/>
          <w:color w:val="000000" w:themeColor="text1"/>
        </w:rPr>
        <w:t>.</w:t>
      </w:r>
      <w:r>
        <w:rPr>
          <w:rFonts w:ascii="Times New Roman" w:hAnsi="Times New Roman" w:cs="Times New Roman"/>
          <w:color w:val="000000" w:themeColor="text1"/>
        </w:rPr>
        <w:t xml:space="preserve"> The XRD peaks for BFS</w:t>
      </w:r>
      <w:r w:rsidR="00FE2799">
        <w:rPr>
          <w:rFonts w:ascii="Times New Roman" w:hAnsi="Times New Roman" w:cs="Times New Roman"/>
          <w:color w:val="000000" w:themeColor="text1"/>
        </w:rPr>
        <w:t xml:space="preserve"> in Figure 3.11</w:t>
      </w:r>
      <w:r>
        <w:rPr>
          <w:rFonts w:ascii="Times New Roman" w:hAnsi="Times New Roman" w:cs="Times New Roman"/>
          <w:color w:val="000000" w:themeColor="text1"/>
        </w:rPr>
        <w:t xml:space="preserve"> show an amorphous </w:t>
      </w:r>
      <w:r w:rsidRPr="00A26A92">
        <w:rPr>
          <w:rFonts w:ascii="Times New Roman" w:hAnsi="Times New Roman" w:cs="Times New Roman"/>
        </w:rPr>
        <w:t>hump between 25-30</w:t>
      </w:r>
      <w:r w:rsidRPr="00A26A92">
        <w:rPr>
          <w:rFonts w:ascii="Times New Roman" w:hAnsi="Times New Roman" w:cs="Times New Roman"/>
          <w:vertAlign w:val="superscript"/>
        </w:rPr>
        <w:t xml:space="preserve">o </w:t>
      </w:r>
      <w:r w:rsidRPr="00A26A92">
        <w:rPr>
          <w:rFonts w:ascii="Times New Roman" w:hAnsi="Times New Roman" w:cs="Times New Roman"/>
        </w:rPr>
        <w:t>2</w:t>
      </w:r>
      <w:r w:rsidRPr="00A26A92">
        <w:rPr>
          <w:rFonts w:ascii="Times New Roman" w:hAnsi="Times New Roman" w:cs="Times New Roman"/>
          <w:color w:val="000000"/>
        </w:rPr>
        <w:t>θ due to the glassy nature of BFS and distinct peaks attributed to the crystalline phase, gehlenite (Ca</w:t>
      </w:r>
      <w:r w:rsidRPr="00A26A92">
        <w:rPr>
          <w:rFonts w:ascii="Times New Roman" w:hAnsi="Times New Roman" w:cs="Times New Roman"/>
          <w:color w:val="000000"/>
          <w:position w:val="-2"/>
          <w:sz w:val="16"/>
          <w:szCs w:val="16"/>
        </w:rPr>
        <w:t>2</w:t>
      </w:r>
      <w:r w:rsidRPr="00A26A92">
        <w:rPr>
          <w:rFonts w:ascii="Times New Roman" w:hAnsi="Times New Roman" w:cs="Times New Roman"/>
          <w:color w:val="000000"/>
        </w:rPr>
        <w:t>Al</w:t>
      </w:r>
      <w:r w:rsidRPr="00A26A92">
        <w:rPr>
          <w:rFonts w:ascii="Times New Roman" w:hAnsi="Times New Roman" w:cs="Times New Roman"/>
          <w:color w:val="000000"/>
          <w:position w:val="-2"/>
          <w:sz w:val="16"/>
          <w:szCs w:val="16"/>
        </w:rPr>
        <w:t>2</w:t>
      </w:r>
      <w:r w:rsidRPr="00A26A92">
        <w:rPr>
          <w:rFonts w:ascii="Times New Roman" w:hAnsi="Times New Roman" w:cs="Times New Roman"/>
          <w:color w:val="000000"/>
        </w:rPr>
        <w:t>SiO</w:t>
      </w:r>
      <w:r w:rsidRPr="00A26A92">
        <w:rPr>
          <w:rFonts w:ascii="Times New Roman" w:hAnsi="Times New Roman" w:cs="Times New Roman"/>
          <w:color w:val="000000"/>
          <w:vertAlign w:val="subscript"/>
        </w:rPr>
        <w:t>7</w:t>
      </w:r>
      <w:r w:rsidRPr="00A26A92">
        <w:rPr>
          <w:rFonts w:ascii="Times New Roman" w:hAnsi="Times New Roman" w:cs="Times New Roman"/>
          <w:color w:val="000000"/>
        </w:rPr>
        <w:t>).</w:t>
      </w:r>
      <w:r w:rsidRPr="00A26A92">
        <w:rPr>
          <w:rFonts w:ascii="Times New Roman" w:hAnsi="Times New Roman" w:cs="Times New Roman"/>
          <w:color w:val="000000"/>
          <w:position w:val="-2"/>
          <w:sz w:val="16"/>
          <w:szCs w:val="16"/>
        </w:rPr>
        <w:t xml:space="preserve"> </w:t>
      </w:r>
    </w:p>
    <w:p w14:paraId="755A244A" w14:textId="77777777" w:rsidR="007218C6" w:rsidRDefault="007218C6" w:rsidP="007218C6">
      <w:pPr>
        <w:spacing w:line="360" w:lineRule="auto"/>
        <w:rPr>
          <w:rFonts w:ascii="Times New Roman" w:hAnsi="Times New Roman" w:cs="Times New Roman"/>
          <w:noProof/>
          <w:color w:val="000000"/>
        </w:rPr>
      </w:pPr>
    </w:p>
    <w:p w14:paraId="1E2F28EA" w14:textId="77777777" w:rsidR="007218C6" w:rsidRDefault="007218C6" w:rsidP="007218C6">
      <w:pPr>
        <w:jc w:val="center"/>
        <w:rPr>
          <w:rFonts w:ascii="Times New Roman" w:hAnsi="Times New Roman" w:cs="Times New Roman"/>
          <w:bCs/>
        </w:rPr>
      </w:pPr>
      <w:r w:rsidRPr="00F41CE5">
        <w:rPr>
          <w:rFonts w:ascii="Times New Roman" w:hAnsi="Times New Roman" w:cs="Times New Roman"/>
          <w:noProof/>
          <w:color w:val="000000" w:themeColor="text1"/>
        </w:rPr>
        <w:drawing>
          <wp:inline distT="0" distB="0" distL="0" distR="0" wp14:anchorId="0D98E413" wp14:editId="3D72768F">
            <wp:extent cx="3218447" cy="2462275"/>
            <wp:effectExtent l="0" t="0" r="7620" b="1905"/>
            <wp:docPr id="9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a:extLst>
                        <a:ext uri="{28A0092B-C50C-407E-A947-70E740481C1C}">
                          <a14:useLocalDpi xmlns:a14="http://schemas.microsoft.com/office/drawing/2010/main" val="0"/>
                        </a:ext>
                      </a:extLst>
                    </a:blip>
                    <a:srcRect l="11668" r="8260" b="5156"/>
                    <a:stretch/>
                  </pic:blipFill>
                  <pic:spPr bwMode="auto">
                    <a:xfrm>
                      <a:off x="0" y="0"/>
                      <a:ext cx="3223046" cy="2465793"/>
                    </a:xfrm>
                    <a:prstGeom prst="rect">
                      <a:avLst/>
                    </a:prstGeom>
                    <a:noFill/>
                    <a:ln>
                      <a:noFill/>
                    </a:ln>
                    <a:extLst>
                      <a:ext uri="{53640926-AAD7-44d8-BBD7-CCE9431645EC}">
                        <a14:shadowObscured xmlns:a14="http://schemas.microsoft.com/office/drawing/2010/main"/>
                      </a:ext>
                    </a:extLst>
                  </pic:spPr>
                </pic:pic>
              </a:graphicData>
            </a:graphic>
          </wp:inline>
        </w:drawing>
      </w:r>
    </w:p>
    <w:p w14:paraId="12416091" w14:textId="77777777" w:rsidR="007218C6" w:rsidRPr="00F41CE5" w:rsidRDefault="007218C6" w:rsidP="007218C6">
      <w:pPr>
        <w:jc w:val="center"/>
        <w:rPr>
          <w:rFonts w:ascii="Times New Roman" w:hAnsi="Times New Roman" w:cs="Times New Roman"/>
        </w:rPr>
      </w:pPr>
      <w:r>
        <w:rPr>
          <w:rFonts w:ascii="Times New Roman" w:hAnsi="Times New Roman" w:cs="Times New Roman"/>
          <w:b/>
        </w:rPr>
        <w:t>Figure 3.11:</w:t>
      </w:r>
      <w:r w:rsidRPr="00A26A92">
        <w:rPr>
          <w:rFonts w:ascii="Times New Roman" w:hAnsi="Times New Roman" w:cs="Times New Roman"/>
          <w:b/>
        </w:rPr>
        <w:t xml:space="preserve"> </w:t>
      </w:r>
      <w:r w:rsidRPr="00A26A92">
        <w:rPr>
          <w:rFonts w:ascii="Times New Roman" w:hAnsi="Times New Roman" w:cs="Times New Roman"/>
        </w:rPr>
        <w:t>XRD trace of unreacted BFS</w:t>
      </w:r>
    </w:p>
    <w:p w14:paraId="272403E8" w14:textId="77777777" w:rsidR="00A66E53" w:rsidRDefault="00A66E53" w:rsidP="007218C6">
      <w:pPr>
        <w:spacing w:line="360" w:lineRule="auto"/>
        <w:jc w:val="both"/>
        <w:rPr>
          <w:rFonts w:ascii="Times New Roman" w:hAnsi="Times New Roman" w:cs="Times New Roman"/>
          <w:bCs/>
        </w:rPr>
      </w:pPr>
    </w:p>
    <w:p w14:paraId="7122600F" w14:textId="17A3D467" w:rsidR="007218C6" w:rsidRDefault="007218C6" w:rsidP="007218C6">
      <w:pPr>
        <w:spacing w:line="360" w:lineRule="auto"/>
        <w:jc w:val="both"/>
        <w:rPr>
          <w:rFonts w:ascii="Times New Roman" w:hAnsi="Times New Roman" w:cs="Times New Roman"/>
          <w:bCs/>
        </w:rPr>
      </w:pPr>
      <w:r>
        <w:rPr>
          <w:rFonts w:ascii="Times New Roman" w:hAnsi="Times New Roman" w:cs="Times New Roman"/>
          <w:bCs/>
        </w:rPr>
        <w:t>CsNO</w:t>
      </w:r>
      <w:r>
        <w:rPr>
          <w:rFonts w:ascii="Times New Roman" w:hAnsi="Times New Roman" w:cs="Times New Roman"/>
          <w:bCs/>
          <w:vertAlign w:val="subscript"/>
        </w:rPr>
        <w:t>3</w:t>
      </w:r>
      <w:r>
        <w:rPr>
          <w:rFonts w:ascii="Times New Roman" w:hAnsi="Times New Roman" w:cs="Times New Roman"/>
          <w:bCs/>
        </w:rPr>
        <w:t xml:space="preserve"> and </w:t>
      </w:r>
      <w:proofErr w:type="gramStart"/>
      <w:r>
        <w:rPr>
          <w:rFonts w:ascii="Times New Roman" w:hAnsi="Times New Roman" w:cs="Times New Roman"/>
          <w:bCs/>
        </w:rPr>
        <w:t>Sr(</w:t>
      </w:r>
      <w:proofErr w:type="gramEnd"/>
      <w:r>
        <w:rPr>
          <w:rFonts w:ascii="Times New Roman" w:hAnsi="Times New Roman" w:cs="Times New Roman"/>
          <w:bCs/>
        </w:rPr>
        <w:t>NO</w:t>
      </w:r>
      <w:r>
        <w:rPr>
          <w:rFonts w:ascii="Times New Roman" w:hAnsi="Times New Roman" w:cs="Times New Roman"/>
          <w:bCs/>
          <w:vertAlign w:val="subscript"/>
        </w:rPr>
        <w:t>3</w:t>
      </w:r>
      <w:r>
        <w:rPr>
          <w:rFonts w:ascii="Times New Roman" w:hAnsi="Times New Roman" w:cs="Times New Roman"/>
          <w:bCs/>
        </w:rPr>
        <w:t>)</w:t>
      </w:r>
      <w:r>
        <w:rPr>
          <w:rFonts w:ascii="Times New Roman" w:hAnsi="Times New Roman" w:cs="Times New Roman"/>
          <w:bCs/>
          <w:vertAlign w:val="subscript"/>
        </w:rPr>
        <w:t>2</w:t>
      </w:r>
      <w:r>
        <w:rPr>
          <w:rFonts w:ascii="Times New Roman" w:hAnsi="Times New Roman" w:cs="Times New Roman"/>
          <w:bCs/>
        </w:rPr>
        <w:t xml:space="preserve">  used in the present work were also analysed using XRD as the shown in Figure 3.12, and the traces produced showed strong correspondence with the peak data in WinXPOW. </w:t>
      </w:r>
      <w:r w:rsidR="00AE5442">
        <w:rPr>
          <w:rFonts w:ascii="Times New Roman" w:hAnsi="Times New Roman" w:cs="Times New Roman"/>
          <w:bCs/>
        </w:rPr>
        <w:t xml:space="preserve">All the peaks were attributed to their respective phases and </w:t>
      </w:r>
      <w:proofErr w:type="gramStart"/>
      <w:r w:rsidR="00AE5442">
        <w:rPr>
          <w:rFonts w:ascii="Times New Roman" w:hAnsi="Times New Roman" w:cs="Times New Roman"/>
          <w:bCs/>
        </w:rPr>
        <w:t>there</w:t>
      </w:r>
      <w:proofErr w:type="gramEnd"/>
      <w:r w:rsidR="00AE5442">
        <w:rPr>
          <w:rFonts w:ascii="Times New Roman" w:hAnsi="Times New Roman" w:cs="Times New Roman"/>
          <w:bCs/>
        </w:rPr>
        <w:t xml:space="preserve"> no unidentified peaks.</w:t>
      </w:r>
    </w:p>
    <w:p w14:paraId="4ECC00EE" w14:textId="77777777" w:rsidR="007218C6" w:rsidRPr="007572E2" w:rsidRDefault="007218C6" w:rsidP="007218C6">
      <w:pPr>
        <w:spacing w:line="360" w:lineRule="auto"/>
        <w:jc w:val="both"/>
        <w:rPr>
          <w:rFonts w:ascii="Times New Roman" w:hAnsi="Times New Roman" w:cs="Times New Roman"/>
          <w:bCs/>
        </w:rPr>
      </w:pPr>
    </w:p>
    <w:p w14:paraId="034C9071" w14:textId="77777777" w:rsidR="007218C6" w:rsidRDefault="007218C6" w:rsidP="007218C6">
      <w:pPr>
        <w:jc w:val="center"/>
        <w:rPr>
          <w:rFonts w:ascii="Times New Roman" w:hAnsi="Times New Roman" w:cs="Times New Roman"/>
          <w:bCs/>
        </w:rPr>
      </w:pPr>
      <w:r w:rsidRPr="00FF5EA8">
        <w:rPr>
          <w:rFonts w:ascii="Times New Roman" w:hAnsi="Times New Roman" w:cs="Times New Roman"/>
          <w:bCs/>
          <w:noProof/>
        </w:rPr>
        <w:lastRenderedPageBreak/>
        <w:drawing>
          <wp:inline distT="0" distB="0" distL="0" distR="0" wp14:anchorId="6B3B14A1" wp14:editId="549345AB">
            <wp:extent cx="4177188" cy="2057400"/>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28A0092B-C50C-407E-A947-70E740481C1C}">
                          <a14:useLocalDpi xmlns:a14="http://schemas.microsoft.com/office/drawing/2010/main" val="0"/>
                        </a:ext>
                      </a:extLst>
                    </a:blip>
                    <a:srcRect b="5351"/>
                    <a:stretch/>
                  </pic:blipFill>
                  <pic:spPr bwMode="auto">
                    <a:xfrm>
                      <a:off x="0" y="0"/>
                      <a:ext cx="4180110" cy="2058839"/>
                    </a:xfrm>
                    <a:prstGeom prst="rect">
                      <a:avLst/>
                    </a:prstGeom>
                    <a:noFill/>
                    <a:ln>
                      <a:noFill/>
                    </a:ln>
                    <a:extLst>
                      <a:ext uri="{53640926-AAD7-44d8-BBD7-CCE9431645EC}">
                        <a14:shadowObscured xmlns:a14="http://schemas.microsoft.com/office/drawing/2010/main"/>
                      </a:ext>
                    </a:extLst>
                  </pic:spPr>
                </pic:pic>
              </a:graphicData>
            </a:graphic>
          </wp:inline>
        </w:drawing>
      </w:r>
    </w:p>
    <w:p w14:paraId="2B4DFAB2" w14:textId="77777777" w:rsidR="007218C6" w:rsidRPr="00CC6F53" w:rsidRDefault="007218C6" w:rsidP="007218C6">
      <w:pPr>
        <w:jc w:val="center"/>
        <w:rPr>
          <w:rFonts w:ascii="Times New Roman" w:hAnsi="Times New Roman" w:cs="Times New Roman"/>
          <w:bCs/>
        </w:rPr>
      </w:pPr>
      <w:r w:rsidRPr="0001118F">
        <w:rPr>
          <w:rFonts w:ascii="Times New Roman" w:hAnsi="Times New Roman" w:cs="Times New Roman"/>
          <w:b/>
          <w:bCs/>
        </w:rPr>
        <w:t>Figure 3.12:</w:t>
      </w:r>
      <w:r>
        <w:rPr>
          <w:rFonts w:ascii="Times New Roman" w:hAnsi="Times New Roman" w:cs="Times New Roman"/>
          <w:bCs/>
        </w:rPr>
        <w:t xml:space="preserve"> XRD trace of strontium nitrate and caesium nitrate</w:t>
      </w:r>
      <w:r>
        <w:rPr>
          <w:rFonts w:ascii="Times New Roman" w:hAnsi="Times New Roman" w:cs="Times New Roman"/>
          <w:bCs/>
        </w:rPr>
        <w:br/>
      </w:r>
    </w:p>
    <w:p w14:paraId="6997489E" w14:textId="7F5819BF" w:rsidR="007218C6" w:rsidRPr="00AB6BEE" w:rsidRDefault="007218C6" w:rsidP="007218C6">
      <w:pPr>
        <w:spacing w:before="120" w:after="120" w:line="360" w:lineRule="auto"/>
        <w:jc w:val="both"/>
        <w:rPr>
          <w:rFonts w:ascii="Times New Roman" w:hAnsi="Times New Roman" w:cs="Times New Roman"/>
        </w:rPr>
      </w:pPr>
      <w:r>
        <w:rPr>
          <w:rFonts w:ascii="Times New Roman" w:hAnsi="Times New Roman" w:cs="Times New Roman"/>
        </w:rPr>
        <w:t>ii.</w:t>
      </w:r>
      <w:r w:rsidRPr="00AB6BEE">
        <w:rPr>
          <w:rFonts w:ascii="Times New Roman" w:hAnsi="Times New Roman" w:cs="Times New Roman"/>
        </w:rPr>
        <w:tab/>
        <w:t>Therm</w:t>
      </w:r>
      <w:r w:rsidR="00FE2799">
        <w:rPr>
          <w:rFonts w:ascii="Times New Roman" w:hAnsi="Times New Roman" w:cs="Times New Roman"/>
        </w:rPr>
        <w:t>og</w:t>
      </w:r>
      <w:r w:rsidRPr="00AB6BEE">
        <w:rPr>
          <w:rFonts w:ascii="Times New Roman" w:hAnsi="Times New Roman" w:cs="Times New Roman"/>
        </w:rPr>
        <w:t xml:space="preserve">ravimetric Analysis (TGA) </w:t>
      </w:r>
    </w:p>
    <w:p w14:paraId="6BC9D0F4" w14:textId="0BF0EA4F" w:rsidR="007218C6" w:rsidRPr="00E26895" w:rsidRDefault="007218C6" w:rsidP="007218C6">
      <w:pPr>
        <w:spacing w:after="120" w:line="360" w:lineRule="auto"/>
        <w:jc w:val="both"/>
        <w:rPr>
          <w:rFonts w:ascii="Times New Roman" w:hAnsi="Times New Roman" w:cs="Times New Roman"/>
          <w:color w:val="000000"/>
        </w:rPr>
      </w:pPr>
      <w:r w:rsidRPr="00A26A92">
        <w:rPr>
          <w:rFonts w:ascii="Times New Roman" w:hAnsi="Times New Roman" w:cs="Times New Roman"/>
          <w:color w:val="000000"/>
        </w:rPr>
        <w:t xml:space="preserve">TGA was used to further analyse the phases formed </w:t>
      </w:r>
      <w:r>
        <w:rPr>
          <w:rFonts w:ascii="Times New Roman" w:hAnsi="Times New Roman" w:cs="Times New Roman"/>
          <w:color w:val="000000"/>
        </w:rPr>
        <w:t>in the samples, the effect of</w:t>
      </w:r>
      <w:r w:rsidRPr="00A26A92">
        <w:rPr>
          <w:rFonts w:ascii="Times New Roman" w:hAnsi="Times New Roman" w:cs="Times New Roman"/>
          <w:color w:val="000000"/>
        </w:rPr>
        <w:t xml:space="preserve"> the caesium and strontium </w:t>
      </w:r>
      <w:r>
        <w:rPr>
          <w:rFonts w:ascii="Times New Roman" w:hAnsi="Times New Roman" w:cs="Times New Roman"/>
          <w:color w:val="000000"/>
        </w:rPr>
        <w:t>on the phases and to the leached quantity of each phase over the leaching durations</w:t>
      </w:r>
      <w:r w:rsidRPr="00A26A92">
        <w:rPr>
          <w:rFonts w:ascii="Times New Roman" w:hAnsi="Times New Roman" w:cs="Times New Roman"/>
          <w:color w:val="000000"/>
        </w:rPr>
        <w:t>. A fine pow</w:t>
      </w:r>
      <w:r>
        <w:rPr>
          <w:rFonts w:ascii="Times New Roman" w:hAnsi="Times New Roman" w:cs="Times New Roman"/>
          <w:color w:val="000000"/>
        </w:rPr>
        <w:t>der was prepared as in section 3.3.4.i</w:t>
      </w:r>
      <w:r w:rsidRPr="00A26A92">
        <w:rPr>
          <w:rFonts w:ascii="Times New Roman" w:hAnsi="Times New Roman" w:cs="Times New Roman"/>
          <w:color w:val="000000"/>
        </w:rPr>
        <w:t xml:space="preserve">. </w:t>
      </w:r>
      <w:r>
        <w:rPr>
          <w:rFonts w:ascii="Times New Roman" w:hAnsi="Times New Roman" w:cs="Times New Roman"/>
          <w:color w:val="000000"/>
        </w:rPr>
        <w:t xml:space="preserve">A </w:t>
      </w:r>
      <w:r w:rsidR="00FE2799">
        <w:rPr>
          <w:rFonts w:ascii="Times New Roman" w:hAnsi="Times New Roman" w:cs="Times New Roman"/>
          <w:color w:val="000000"/>
        </w:rPr>
        <w:t xml:space="preserve">50mg </w:t>
      </w:r>
      <w:r>
        <w:rPr>
          <w:rFonts w:ascii="Times New Roman" w:hAnsi="Times New Roman" w:cs="Times New Roman"/>
          <w:color w:val="000000"/>
        </w:rPr>
        <w:t>±</w:t>
      </w:r>
      <w:r w:rsidR="00FE2799">
        <w:rPr>
          <w:rFonts w:ascii="Times New Roman" w:hAnsi="Times New Roman" w:cs="Times New Roman"/>
          <w:color w:val="000000"/>
        </w:rPr>
        <w:t>1</w:t>
      </w:r>
      <w:r>
        <w:rPr>
          <w:rFonts w:ascii="Times New Roman" w:hAnsi="Times New Roman" w:cs="Times New Roman"/>
          <w:color w:val="000000"/>
        </w:rPr>
        <w:t>0mg of powder was</w:t>
      </w:r>
      <w:r w:rsidRPr="00A26A92">
        <w:rPr>
          <w:rFonts w:ascii="Times New Roman" w:hAnsi="Times New Roman" w:cs="Times New Roman"/>
          <w:color w:val="000000"/>
        </w:rPr>
        <w:t xml:space="preserve"> placed in an alumina crucible and heated at a rate of 10</w:t>
      </w:r>
      <w:r w:rsidRPr="00A26A92">
        <w:rPr>
          <w:rFonts w:ascii="Times New Roman" w:hAnsi="Times New Roman" w:cs="Times New Roman"/>
          <w:color w:val="000000"/>
          <w:position w:val="10"/>
          <w:sz w:val="16"/>
          <w:szCs w:val="16"/>
        </w:rPr>
        <w:t>o</w:t>
      </w:r>
      <w:r w:rsidRPr="00A26A92">
        <w:rPr>
          <w:rFonts w:ascii="Times New Roman" w:hAnsi="Times New Roman" w:cs="Times New Roman"/>
          <w:color w:val="000000"/>
        </w:rPr>
        <w:t>C/minute from 25</w:t>
      </w:r>
      <w:r w:rsidRPr="00A26A92">
        <w:rPr>
          <w:rFonts w:ascii="Times New Roman" w:hAnsi="Times New Roman" w:cs="Times New Roman"/>
          <w:color w:val="000000"/>
          <w:position w:val="10"/>
          <w:sz w:val="16"/>
          <w:szCs w:val="16"/>
        </w:rPr>
        <w:t>o</w:t>
      </w:r>
      <w:r>
        <w:rPr>
          <w:rFonts w:ascii="Times New Roman" w:hAnsi="Times New Roman" w:cs="Times New Roman"/>
          <w:color w:val="000000"/>
        </w:rPr>
        <w:t>C to</w:t>
      </w:r>
      <w:r w:rsidRPr="00A26A92">
        <w:rPr>
          <w:rFonts w:ascii="Times New Roman" w:hAnsi="Times New Roman" w:cs="Times New Roman"/>
          <w:color w:val="000000"/>
        </w:rPr>
        <w:t xml:space="preserve"> 900</w:t>
      </w:r>
      <w:r w:rsidRPr="00A26A92">
        <w:rPr>
          <w:rFonts w:ascii="Times New Roman" w:hAnsi="Times New Roman" w:cs="Times New Roman"/>
          <w:color w:val="000000"/>
          <w:position w:val="10"/>
          <w:sz w:val="16"/>
          <w:szCs w:val="16"/>
        </w:rPr>
        <w:t>o</w:t>
      </w:r>
      <w:r w:rsidRPr="00A26A92">
        <w:rPr>
          <w:rFonts w:ascii="Times New Roman" w:hAnsi="Times New Roman" w:cs="Times New Roman"/>
          <w:color w:val="000000"/>
        </w:rPr>
        <w:t>C in an N</w:t>
      </w:r>
      <w:r w:rsidRPr="00A26A92">
        <w:rPr>
          <w:rFonts w:ascii="Times New Roman" w:hAnsi="Times New Roman" w:cs="Times New Roman"/>
          <w:color w:val="000000"/>
          <w:position w:val="-4"/>
          <w:sz w:val="16"/>
          <w:szCs w:val="16"/>
        </w:rPr>
        <w:t xml:space="preserve">2 </w:t>
      </w:r>
      <w:r w:rsidRPr="00A26A92">
        <w:rPr>
          <w:rFonts w:ascii="Times New Roman" w:hAnsi="Times New Roman" w:cs="Times New Roman"/>
          <w:color w:val="000000"/>
        </w:rPr>
        <w:t xml:space="preserve">atmosphere. The temperature and the subsequent mass change were recorded every 0.95s. </w:t>
      </w:r>
    </w:p>
    <w:p w14:paraId="38620EA3" w14:textId="77777777" w:rsidR="007218C6" w:rsidRPr="00AB6BEE" w:rsidRDefault="007218C6" w:rsidP="007218C6">
      <w:pPr>
        <w:spacing w:after="120" w:line="360" w:lineRule="auto"/>
        <w:jc w:val="both"/>
        <w:rPr>
          <w:rFonts w:ascii="Times New Roman" w:hAnsi="Times New Roman" w:cs="Times New Roman"/>
          <w:bCs/>
        </w:rPr>
      </w:pPr>
      <w:r>
        <w:rPr>
          <w:rFonts w:ascii="Times New Roman" w:hAnsi="Times New Roman" w:cs="Times New Roman"/>
          <w:bCs/>
        </w:rPr>
        <w:t>iii.</w:t>
      </w:r>
      <w:r>
        <w:rPr>
          <w:rFonts w:ascii="Times New Roman" w:hAnsi="Times New Roman" w:cs="Times New Roman"/>
          <w:bCs/>
        </w:rPr>
        <w:tab/>
        <w:t>Mercury Intrusion Porosi</w:t>
      </w:r>
      <w:r w:rsidRPr="00AB6BEE">
        <w:rPr>
          <w:rFonts w:ascii="Times New Roman" w:hAnsi="Times New Roman" w:cs="Times New Roman"/>
          <w:bCs/>
        </w:rPr>
        <w:t>metry (MIP)</w:t>
      </w:r>
    </w:p>
    <w:p w14:paraId="24D84F92" w14:textId="3459891B" w:rsidR="007218C6" w:rsidRPr="00A26A92" w:rsidRDefault="007218C6" w:rsidP="007218C6">
      <w:pPr>
        <w:spacing w:after="120" w:line="360" w:lineRule="auto"/>
        <w:jc w:val="both"/>
        <w:rPr>
          <w:rFonts w:ascii="Times New Roman" w:hAnsi="Times New Roman" w:cs="Times New Roman"/>
          <w:bCs/>
        </w:rPr>
      </w:pPr>
      <w:r w:rsidRPr="00A26A92">
        <w:rPr>
          <w:rFonts w:ascii="Times New Roman" w:hAnsi="Times New Roman" w:cs="Times New Roman"/>
          <w:bCs/>
        </w:rPr>
        <w:t xml:space="preserve">This method was used </w:t>
      </w:r>
      <w:r>
        <w:rPr>
          <w:rFonts w:ascii="Times New Roman" w:hAnsi="Times New Roman" w:cs="Times New Roman"/>
          <w:bCs/>
        </w:rPr>
        <w:t xml:space="preserve">primarily </w:t>
      </w:r>
      <w:r w:rsidRPr="00A26A92">
        <w:rPr>
          <w:rFonts w:ascii="Times New Roman" w:hAnsi="Times New Roman" w:cs="Times New Roman"/>
          <w:bCs/>
        </w:rPr>
        <w:t xml:space="preserve">to determine the </w:t>
      </w:r>
      <w:r>
        <w:rPr>
          <w:rFonts w:ascii="Times New Roman" w:hAnsi="Times New Roman" w:cs="Times New Roman"/>
          <w:bCs/>
        </w:rPr>
        <w:t>total</w:t>
      </w:r>
      <w:r w:rsidR="00510A4E">
        <w:rPr>
          <w:rFonts w:ascii="Times New Roman" w:hAnsi="Times New Roman" w:cs="Times New Roman"/>
          <w:bCs/>
        </w:rPr>
        <w:t xml:space="preserve"> interconnected</w:t>
      </w:r>
      <w:r>
        <w:rPr>
          <w:rFonts w:ascii="Times New Roman" w:hAnsi="Times New Roman" w:cs="Times New Roman"/>
          <w:bCs/>
        </w:rPr>
        <w:t xml:space="preserve"> porosity,</w:t>
      </w:r>
      <w:r w:rsidRPr="00A26A92">
        <w:rPr>
          <w:rFonts w:ascii="Times New Roman" w:hAnsi="Times New Roman" w:cs="Times New Roman"/>
          <w:bCs/>
        </w:rPr>
        <w:t xml:space="preserve"> and</w:t>
      </w:r>
      <w:r>
        <w:rPr>
          <w:rFonts w:ascii="Times New Roman" w:hAnsi="Times New Roman" w:cs="Times New Roman"/>
          <w:bCs/>
        </w:rPr>
        <w:t xml:space="preserve"> to gain information related to</w:t>
      </w:r>
      <w:r w:rsidRPr="00A26A92">
        <w:rPr>
          <w:rFonts w:ascii="Times New Roman" w:hAnsi="Times New Roman" w:cs="Times New Roman"/>
          <w:bCs/>
        </w:rPr>
        <w:t xml:space="preserve"> the pore size distribution within the cement specimens. The sample is submerged in a given quantity of </w:t>
      </w:r>
      <w:r>
        <w:rPr>
          <w:rFonts w:ascii="Times New Roman" w:hAnsi="Times New Roman" w:cs="Times New Roman"/>
          <w:bCs/>
        </w:rPr>
        <w:t>mercury and subjected to an</w:t>
      </w:r>
      <w:r w:rsidRPr="00A26A92">
        <w:rPr>
          <w:rFonts w:ascii="Times New Roman" w:hAnsi="Times New Roman" w:cs="Times New Roman"/>
          <w:bCs/>
        </w:rPr>
        <w:t xml:space="preserve"> increase in pressure. As the mercury is a non-wetting liquid for cement, it is not absorbed by the specimen and therefore the mercury is forced into the pores</w:t>
      </w:r>
      <w:r>
        <w:rPr>
          <w:rFonts w:ascii="Times New Roman" w:hAnsi="Times New Roman" w:cs="Times New Roman"/>
          <w:bCs/>
        </w:rPr>
        <w:t xml:space="preserve"> as pressure is applied to the system</w:t>
      </w:r>
      <w:r w:rsidRPr="00A26A92">
        <w:rPr>
          <w:rFonts w:ascii="Times New Roman" w:hAnsi="Times New Roman" w:cs="Times New Roman"/>
          <w:bCs/>
        </w:rPr>
        <w:t xml:space="preserve">. The pore volume can be calculated by measuring the </w:t>
      </w:r>
      <w:r>
        <w:rPr>
          <w:rFonts w:ascii="Times New Roman" w:hAnsi="Times New Roman" w:cs="Times New Roman"/>
          <w:bCs/>
        </w:rPr>
        <w:t>intruded</w:t>
      </w:r>
      <w:r w:rsidRPr="00A26A92">
        <w:rPr>
          <w:rFonts w:ascii="Times New Roman" w:hAnsi="Times New Roman" w:cs="Times New Roman"/>
          <w:bCs/>
        </w:rPr>
        <w:t xml:space="preserve"> mercury volume; </w:t>
      </w:r>
      <w:r w:rsidR="00510A4E">
        <w:rPr>
          <w:rFonts w:ascii="Times New Roman" w:hAnsi="Times New Roman" w:cs="Times New Roman"/>
          <w:bCs/>
        </w:rPr>
        <w:t>the Washburn equation</w:t>
      </w:r>
      <w:r w:rsidRPr="00A26A92">
        <w:rPr>
          <w:rFonts w:ascii="Times New Roman" w:hAnsi="Times New Roman" w:cs="Times New Roman"/>
          <w:bCs/>
        </w:rPr>
        <w:t xml:space="preserve"> is then used to obta</w:t>
      </w:r>
      <w:r>
        <w:rPr>
          <w:rFonts w:ascii="Times New Roman" w:hAnsi="Times New Roman" w:cs="Times New Roman"/>
          <w:bCs/>
        </w:rPr>
        <w:t>in the pore size distribution</w:t>
      </w:r>
      <w:r w:rsidR="000B692F">
        <w:rPr>
          <w:rFonts w:ascii="Times New Roman" w:hAnsi="Times New Roman" w:cs="Times New Roman"/>
          <w:bCs/>
        </w:rPr>
        <w:t>. The contact angle used was 130</w:t>
      </w:r>
      <w:r w:rsidR="000B692F">
        <w:rPr>
          <w:rFonts w:ascii="Times New Roman" w:hAnsi="Times New Roman" w:cs="Times New Roman"/>
          <w:bCs/>
          <w:vertAlign w:val="superscript"/>
        </w:rPr>
        <w:t xml:space="preserve">o </w:t>
      </w:r>
      <w:r w:rsidR="000B692F">
        <w:rPr>
          <w:rFonts w:ascii="Times New Roman" w:hAnsi="Times New Roman" w:cs="Times New Roman"/>
          <w:bCs/>
        </w:rPr>
        <w:t xml:space="preserve">and surface tension of </w:t>
      </w:r>
      <w:r w:rsidR="000B692F" w:rsidRPr="000B692F">
        <w:rPr>
          <w:rFonts w:ascii="Times New Roman" w:hAnsi="Times New Roman" w:cs="Times New Roman"/>
          <w:bCs/>
        </w:rPr>
        <w:t>485.0 dyn/</w:t>
      </w:r>
      <w:proofErr w:type="gramStart"/>
      <w:r w:rsidR="000B692F" w:rsidRPr="000B692F">
        <w:rPr>
          <w:rFonts w:ascii="Times New Roman" w:hAnsi="Times New Roman" w:cs="Times New Roman"/>
          <w:bCs/>
        </w:rPr>
        <w:t>cm</w:t>
      </w:r>
      <w:r w:rsidR="000B692F">
        <w:rPr>
          <w:rFonts w:ascii="Times New Roman" w:hAnsi="Times New Roman" w:cs="Times New Roman"/>
          <w:bCs/>
        </w:rPr>
        <w:t xml:space="preserve"> </w:t>
      </w:r>
      <w:r>
        <w:rPr>
          <w:rFonts w:ascii="Times New Roman" w:hAnsi="Times New Roman" w:cs="Times New Roman"/>
          <w:bCs/>
        </w:rPr>
        <w:t>.</w:t>
      </w:r>
      <w:proofErr w:type="gramEnd"/>
      <w:r>
        <w:rPr>
          <w:rFonts w:ascii="Times New Roman" w:hAnsi="Times New Roman" w:cs="Times New Roman"/>
          <w:bCs/>
        </w:rPr>
        <w:t xml:space="preserve"> </w:t>
      </w:r>
    </w:p>
    <w:p w14:paraId="07BD9357" w14:textId="29335C4F" w:rsidR="00746FB2" w:rsidRDefault="007218C6" w:rsidP="00746FB2">
      <w:pPr>
        <w:spacing w:after="120" w:line="360" w:lineRule="auto"/>
        <w:jc w:val="both"/>
        <w:rPr>
          <w:rFonts w:ascii="Times New Roman" w:hAnsi="Times New Roman" w:cs="Times New Roman"/>
          <w:bCs/>
        </w:rPr>
      </w:pPr>
      <w:r w:rsidRPr="00A26A92">
        <w:rPr>
          <w:rFonts w:ascii="Times New Roman" w:hAnsi="Times New Roman" w:cs="Times New Roman"/>
          <w:bCs/>
        </w:rPr>
        <w:t>Each specimen was crushed into solid cement particles and immersed in acetone at 20</w:t>
      </w:r>
      <w:r w:rsidRPr="00A26A92">
        <w:rPr>
          <w:rFonts w:ascii="Times New Roman" w:hAnsi="Times New Roman" w:cs="Times New Roman"/>
          <w:bCs/>
        </w:rPr>
        <w:sym w:font="Symbol" w:char="F0B0"/>
      </w:r>
      <w:r>
        <w:rPr>
          <w:rFonts w:ascii="Times New Roman" w:hAnsi="Times New Roman" w:cs="Times New Roman"/>
          <w:bCs/>
        </w:rPr>
        <w:t>C f</w:t>
      </w:r>
      <w:r w:rsidRPr="00A26A92">
        <w:rPr>
          <w:rFonts w:ascii="Times New Roman" w:hAnsi="Times New Roman" w:cs="Times New Roman"/>
          <w:bCs/>
        </w:rPr>
        <w:t>or 30 minutes under reduced pressure (20</w:t>
      </w:r>
      <w:r w:rsidRPr="00A26A92">
        <w:rPr>
          <w:rFonts w:ascii="Times New Roman" w:hAnsi="Times New Roman" w:cs="Times New Roman"/>
          <w:bCs/>
        </w:rPr>
        <w:sym w:font="Symbol" w:char="F0B0"/>
      </w:r>
      <w:r w:rsidRPr="00A26A92">
        <w:rPr>
          <w:rFonts w:ascii="Times New Roman" w:hAnsi="Times New Roman" w:cs="Times New Roman"/>
          <w:bCs/>
        </w:rPr>
        <w:t>C, 2.33×10</w:t>
      </w:r>
      <w:r w:rsidRPr="00A26A92">
        <w:rPr>
          <w:rFonts w:ascii="Times New Roman" w:hAnsi="Times New Roman" w:cs="Times New Roman"/>
          <w:bCs/>
          <w:vertAlign w:val="superscript"/>
        </w:rPr>
        <w:t>3</w:t>
      </w:r>
      <w:r w:rsidRPr="00A26A92">
        <w:rPr>
          <w:rFonts w:ascii="Times New Roman" w:hAnsi="Times New Roman" w:cs="Times New Roman"/>
          <w:bCs/>
        </w:rPr>
        <w:t xml:space="preserve"> Pa) to arrest hydration, </w:t>
      </w:r>
      <w:r w:rsidR="00C05182">
        <w:rPr>
          <w:rFonts w:ascii="Times New Roman" w:hAnsi="Times New Roman" w:cs="Times New Roman"/>
          <w:bCs/>
        </w:rPr>
        <w:t xml:space="preserve">followed by </w:t>
      </w:r>
      <w:r w:rsidR="009839F2">
        <w:rPr>
          <w:rFonts w:ascii="Times New Roman" w:hAnsi="Times New Roman" w:cs="Times New Roman"/>
          <w:bCs/>
        </w:rPr>
        <w:t xml:space="preserve">crushing the sample and placing it in a sealed </w:t>
      </w:r>
      <w:r w:rsidR="00C05182">
        <w:rPr>
          <w:rFonts w:ascii="Times New Roman" w:hAnsi="Times New Roman" w:cs="Times New Roman"/>
          <w:bCs/>
        </w:rPr>
        <w:t xml:space="preserve">container </w:t>
      </w:r>
      <w:r w:rsidR="009839F2">
        <w:rPr>
          <w:rFonts w:ascii="Times New Roman" w:hAnsi="Times New Roman" w:cs="Times New Roman"/>
          <w:bCs/>
        </w:rPr>
        <w:t xml:space="preserve">that is evacuated using a </w:t>
      </w:r>
      <w:r w:rsidR="004E349F">
        <w:rPr>
          <w:rFonts w:ascii="Times New Roman" w:hAnsi="Times New Roman" w:cs="Times New Roman"/>
          <w:bCs/>
        </w:rPr>
        <w:t>vacuum</w:t>
      </w:r>
      <w:r w:rsidR="009839F2">
        <w:rPr>
          <w:rFonts w:ascii="Times New Roman" w:hAnsi="Times New Roman" w:cs="Times New Roman"/>
          <w:bCs/>
        </w:rPr>
        <w:t xml:space="preserve"> pump </w:t>
      </w:r>
      <w:r w:rsidRPr="00A26A92">
        <w:rPr>
          <w:rFonts w:ascii="Times New Roman" w:hAnsi="Times New Roman" w:cs="Times New Roman"/>
          <w:bCs/>
        </w:rPr>
        <w:t>(6.666×10</w:t>
      </w:r>
      <w:r w:rsidRPr="00A26A92">
        <w:rPr>
          <w:rFonts w:ascii="Times New Roman" w:hAnsi="Times New Roman" w:cs="Times New Roman"/>
          <w:bCs/>
          <w:vertAlign w:val="superscript"/>
        </w:rPr>
        <w:t>-2</w:t>
      </w:r>
      <w:r w:rsidRPr="00A26A92">
        <w:rPr>
          <w:rFonts w:ascii="Times New Roman" w:hAnsi="Times New Roman" w:cs="Times New Roman"/>
          <w:bCs/>
        </w:rPr>
        <w:t xml:space="preserve"> Pa)</w:t>
      </w:r>
      <w:r w:rsidR="009839F2">
        <w:rPr>
          <w:rFonts w:ascii="Times New Roman" w:hAnsi="Times New Roman" w:cs="Times New Roman"/>
          <w:bCs/>
        </w:rPr>
        <w:t>,</w:t>
      </w:r>
      <w:r w:rsidRPr="00A26A92">
        <w:rPr>
          <w:rFonts w:ascii="Times New Roman" w:hAnsi="Times New Roman" w:cs="Times New Roman"/>
          <w:bCs/>
        </w:rPr>
        <w:t xml:space="preserve"> for 24 hours prior to analysis</w:t>
      </w:r>
      <w:r w:rsidR="00C05182">
        <w:rPr>
          <w:rFonts w:ascii="Times New Roman" w:hAnsi="Times New Roman" w:cs="Times New Roman"/>
          <w:bCs/>
        </w:rPr>
        <w:t xml:space="preserve"> in order to dry it</w:t>
      </w:r>
      <w:r w:rsidRPr="00A26A92">
        <w:rPr>
          <w:rFonts w:ascii="Times New Roman" w:hAnsi="Times New Roman" w:cs="Times New Roman"/>
          <w:bCs/>
        </w:rPr>
        <w:t>. The prepared samples were then placed in a PoreMaster60 (Quantachrome Instruments). The p</w:t>
      </w:r>
      <w:r>
        <w:rPr>
          <w:rFonts w:ascii="Times New Roman" w:hAnsi="Times New Roman" w:cs="Times New Roman"/>
          <w:bCs/>
        </w:rPr>
        <w:t xml:space="preserve">ressure range was set from 0.14 to </w:t>
      </w:r>
      <w:r w:rsidRPr="00A26A92">
        <w:rPr>
          <w:rFonts w:ascii="Times New Roman" w:hAnsi="Times New Roman" w:cs="Times New Roman"/>
          <w:bCs/>
        </w:rPr>
        <w:t xml:space="preserve">228 MPa to estimate the pore size distribution from a diameter of 0.0065 to 10μm. </w:t>
      </w:r>
    </w:p>
    <w:p w14:paraId="1FFB9861" w14:textId="0ECA1360" w:rsidR="007218C6" w:rsidRPr="00746FB2" w:rsidRDefault="007218C6" w:rsidP="00746FB2">
      <w:pPr>
        <w:spacing w:after="120" w:line="360" w:lineRule="auto"/>
        <w:jc w:val="both"/>
        <w:rPr>
          <w:rFonts w:ascii="Times New Roman" w:hAnsi="Times New Roman" w:cs="Times New Roman"/>
          <w:bCs/>
        </w:rPr>
      </w:pPr>
      <w:r>
        <w:rPr>
          <w:rFonts w:ascii="Times New Roman" w:hAnsi="Times New Roman" w:cs="Times New Roman"/>
        </w:rPr>
        <w:lastRenderedPageBreak/>
        <w:t>iv.</w:t>
      </w:r>
      <w:r>
        <w:rPr>
          <w:rFonts w:ascii="Times New Roman" w:hAnsi="Times New Roman" w:cs="Times New Roman"/>
        </w:rPr>
        <w:tab/>
      </w:r>
      <w:r w:rsidRPr="00347BE1">
        <w:rPr>
          <w:rFonts w:ascii="Times New Roman" w:hAnsi="Times New Roman" w:cs="Times New Roman"/>
        </w:rPr>
        <w:t xml:space="preserve"> Nuclear Magnetic Resonance (NMR) Spectroscopy </w:t>
      </w:r>
    </w:p>
    <w:p w14:paraId="12117AB6" w14:textId="36FEB76C" w:rsidR="007218C6" w:rsidRDefault="007218C6" w:rsidP="007218C6">
      <w:pPr>
        <w:spacing w:after="120" w:line="360" w:lineRule="auto"/>
        <w:jc w:val="both"/>
        <w:rPr>
          <w:rFonts w:ascii="Times New Roman" w:hAnsi="Times New Roman"/>
        </w:rPr>
      </w:pPr>
      <w:r>
        <w:rPr>
          <w:rFonts w:ascii="Times New Roman" w:hAnsi="Times New Roman" w:cs="Times New Roman"/>
          <w:vertAlign w:val="superscript"/>
        </w:rPr>
        <w:t>27</w:t>
      </w:r>
      <w:r>
        <w:rPr>
          <w:rFonts w:ascii="Times New Roman" w:hAnsi="Times New Roman" w:cs="Times New Roman"/>
        </w:rPr>
        <w:t>Al magic angle spinning (MAS) NMR was used to analyse the</w:t>
      </w:r>
      <w:r w:rsidR="002808C3">
        <w:rPr>
          <w:rFonts w:ascii="Times New Roman" w:hAnsi="Times New Roman" w:cs="Times New Roman"/>
        </w:rPr>
        <w:t xml:space="preserve"> association of</w:t>
      </w:r>
      <w:r>
        <w:rPr>
          <w:rFonts w:ascii="Times New Roman" w:hAnsi="Times New Roman" w:cs="Times New Roman"/>
        </w:rPr>
        <w:t xml:space="preserve"> aluminium in the C-S-H and AFm phases in both the blank and waste loaded samples at various curing periods. </w:t>
      </w:r>
      <w:proofErr w:type="gramStart"/>
      <w:r w:rsidRPr="000B2FA2">
        <w:rPr>
          <w:rFonts w:ascii="Times New Roman" w:hAnsi="Times New Roman" w:cs="Times New Roman"/>
          <w:vertAlign w:val="superscript"/>
        </w:rPr>
        <w:t>29</w:t>
      </w:r>
      <w:r>
        <w:rPr>
          <w:rFonts w:ascii="Times New Roman" w:hAnsi="Times New Roman" w:cs="Times New Roman"/>
        </w:rPr>
        <w:t>Si  solid</w:t>
      </w:r>
      <w:proofErr w:type="gramEnd"/>
      <w:r>
        <w:rPr>
          <w:rFonts w:ascii="Times New Roman" w:hAnsi="Times New Roman" w:cs="Times New Roman"/>
        </w:rPr>
        <w:t>-state</w:t>
      </w:r>
      <w:r w:rsidRPr="000B2FA2">
        <w:rPr>
          <w:rFonts w:ascii="Times New Roman" w:hAnsi="Times New Roman" w:cs="Times New Roman"/>
        </w:rPr>
        <w:t xml:space="preserve">  (MAS  NMR)  spectroscopy</w:t>
      </w:r>
      <w:r>
        <w:rPr>
          <w:rFonts w:ascii="Times New Roman" w:hAnsi="Times New Roman" w:cs="Times New Roman"/>
        </w:rPr>
        <w:t xml:space="preserve"> was also used to study the structure of the C-S-H gels. </w:t>
      </w:r>
      <w:r>
        <w:rPr>
          <w:rFonts w:ascii="Times New Roman" w:hAnsi="Times New Roman"/>
        </w:rPr>
        <w:t>The cement samples were prepared as in section 3.3.4.i. The measurement was performed at Durham University using</w:t>
      </w:r>
      <w:r w:rsidR="007720FF">
        <w:rPr>
          <w:rFonts w:ascii="Times New Roman" w:hAnsi="Times New Roman"/>
        </w:rPr>
        <w:t xml:space="preserve"> a</w:t>
      </w:r>
      <w:r>
        <w:rPr>
          <w:rFonts w:ascii="Times New Roman" w:hAnsi="Times New Roman"/>
        </w:rPr>
        <w:t xml:space="preserve"> VNMR400 spectrometer, at frequency of 79.5 MHz and a spin rate of 6800 Hz</w:t>
      </w:r>
      <w:r w:rsidR="00CB704B">
        <w:rPr>
          <w:rFonts w:ascii="Times New Roman" w:hAnsi="Times New Roman"/>
        </w:rPr>
        <w:t xml:space="preserve">, with a </w:t>
      </w:r>
      <w:r w:rsidR="004E349F">
        <w:rPr>
          <w:rFonts w:ascii="Times New Roman" w:hAnsi="Times New Roman"/>
        </w:rPr>
        <w:t>one put</w:t>
      </w:r>
      <w:r w:rsidR="00CB704B">
        <w:rPr>
          <w:rFonts w:ascii="Times New Roman" w:hAnsi="Times New Roman"/>
        </w:rPr>
        <w:t xml:space="preserve"> pulse sequence and a recycle delay of 2 seconds.</w:t>
      </w:r>
      <w:r w:rsidR="00CC400F">
        <w:rPr>
          <w:rFonts w:ascii="Times New Roman" w:hAnsi="Times New Roman"/>
        </w:rPr>
        <w:t xml:space="preserve"> </w:t>
      </w:r>
      <w:proofErr w:type="gramStart"/>
      <w:r w:rsidR="00CC400F">
        <w:rPr>
          <w:rFonts w:ascii="Times New Roman" w:hAnsi="Times New Roman"/>
        </w:rPr>
        <w:t>at</w:t>
      </w:r>
      <w:proofErr w:type="gramEnd"/>
      <w:r w:rsidR="00CC400F">
        <w:rPr>
          <w:rFonts w:ascii="Times New Roman" w:hAnsi="Times New Roman"/>
        </w:rPr>
        <w:t xml:space="preserve"> ambient temperature</w:t>
      </w:r>
    </w:p>
    <w:p w14:paraId="439D57CE" w14:textId="64CF6DE5" w:rsidR="007218C6" w:rsidRDefault="007218C6" w:rsidP="007218C6">
      <w:pPr>
        <w:spacing w:after="120" w:line="360" w:lineRule="auto"/>
        <w:jc w:val="both"/>
        <w:rPr>
          <w:rFonts w:ascii="Times New Roman" w:hAnsi="Times New Roman"/>
        </w:rPr>
      </w:pPr>
      <w:proofErr w:type="gramStart"/>
      <w:r>
        <w:rPr>
          <w:rFonts w:ascii="Times New Roman" w:hAnsi="Times New Roman"/>
        </w:rPr>
        <w:t>The  charge</w:t>
      </w:r>
      <w:proofErr w:type="gramEnd"/>
      <w:r>
        <w:rPr>
          <w:rFonts w:ascii="Times New Roman" w:hAnsi="Times New Roman"/>
        </w:rPr>
        <w:t xml:space="preserve"> movement known as spin of a nuclei creates a magnetic moment. This in turn creates a magnetic dipole. A collection of these dipoles within a sample is called the spin system. [7]. This system spins </w:t>
      </w:r>
      <w:r w:rsidR="002808C3">
        <w:rPr>
          <w:rFonts w:ascii="Times New Roman" w:hAnsi="Times New Roman"/>
        </w:rPr>
        <w:t xml:space="preserve">in </w:t>
      </w:r>
      <w:r>
        <w:rPr>
          <w:rFonts w:ascii="Times New Roman" w:hAnsi="Times New Roman"/>
        </w:rPr>
        <w:t xml:space="preserve">a cone like form around the </w:t>
      </w:r>
      <w:proofErr w:type="gramStart"/>
      <w:r>
        <w:rPr>
          <w:rFonts w:ascii="Times New Roman" w:hAnsi="Times New Roman"/>
        </w:rPr>
        <w:t>z axis</w:t>
      </w:r>
      <w:proofErr w:type="gramEnd"/>
      <w:r>
        <w:rPr>
          <w:rFonts w:ascii="Times New Roman" w:hAnsi="Times New Roman"/>
        </w:rPr>
        <w:t xml:space="preserve"> [7]. An NMR experiment irradiates this system with plane-polarised radio-frequency </w:t>
      </w:r>
      <w:r w:rsidR="004E349F">
        <w:rPr>
          <w:rFonts w:ascii="Times New Roman" w:hAnsi="Times New Roman"/>
        </w:rPr>
        <w:t>radiation</w:t>
      </w:r>
      <w:r>
        <w:rPr>
          <w:rFonts w:ascii="Times New Roman" w:hAnsi="Times New Roman"/>
        </w:rPr>
        <w:t xml:space="preserve">, creating a magnetic field was causes the spin system to tip. When the </w:t>
      </w:r>
      <w:proofErr w:type="gramStart"/>
      <w:r>
        <w:rPr>
          <w:rFonts w:ascii="Times New Roman" w:hAnsi="Times New Roman"/>
        </w:rPr>
        <w:t>radio-frequency</w:t>
      </w:r>
      <w:proofErr w:type="gramEnd"/>
      <w:r>
        <w:rPr>
          <w:rFonts w:ascii="Times New Roman" w:hAnsi="Times New Roman"/>
        </w:rPr>
        <w:t xml:space="preserve"> is turned off the spin system returns to its original p</w:t>
      </w:r>
      <w:r w:rsidR="002808C3">
        <w:rPr>
          <w:rFonts w:ascii="Times New Roman" w:hAnsi="Times New Roman"/>
        </w:rPr>
        <w:t>osition. The displacement of the spin-system</w:t>
      </w:r>
      <w:r w:rsidR="00A67677">
        <w:rPr>
          <w:rFonts w:ascii="Times New Roman" w:hAnsi="Times New Roman"/>
        </w:rPr>
        <w:t>,</w:t>
      </w:r>
      <w:r w:rsidR="002808C3">
        <w:rPr>
          <w:rFonts w:ascii="Times New Roman" w:hAnsi="Times New Roman"/>
        </w:rPr>
        <w:t xml:space="preserve"> in order to return to its original position</w:t>
      </w:r>
      <w:r w:rsidR="00A67677">
        <w:rPr>
          <w:rFonts w:ascii="Times New Roman" w:hAnsi="Times New Roman"/>
        </w:rPr>
        <w:t>,</w:t>
      </w:r>
      <w:r>
        <w:rPr>
          <w:rFonts w:ascii="Times New Roman" w:hAnsi="Times New Roman"/>
        </w:rPr>
        <w:t xml:space="preserve"> creates a signal as a function of </w:t>
      </w:r>
      <w:proofErr w:type="gramStart"/>
      <w:r>
        <w:rPr>
          <w:rFonts w:ascii="Times New Roman" w:hAnsi="Times New Roman"/>
        </w:rPr>
        <w:t>time which</w:t>
      </w:r>
      <w:proofErr w:type="gramEnd"/>
      <w:r>
        <w:rPr>
          <w:rFonts w:ascii="Times New Roman" w:hAnsi="Times New Roman"/>
        </w:rPr>
        <w:t xml:space="preserve"> is used to create the NMR spectrum. </w:t>
      </w:r>
    </w:p>
    <w:p w14:paraId="063E62D0" w14:textId="04CFE787" w:rsidR="007218C6" w:rsidRPr="00B72B60" w:rsidRDefault="007218C6" w:rsidP="007218C6">
      <w:pPr>
        <w:spacing w:after="120" w:line="360" w:lineRule="auto"/>
        <w:jc w:val="both"/>
        <w:rPr>
          <w:rFonts w:ascii="Times New Roman" w:hAnsi="Times New Roman"/>
        </w:rPr>
      </w:pPr>
      <w:r>
        <w:rPr>
          <w:rFonts w:ascii="Times New Roman" w:hAnsi="Times New Roman"/>
        </w:rPr>
        <w:t xml:space="preserve">Magic angle spinning is used to overcome the peak </w:t>
      </w:r>
      <w:r w:rsidR="00A67677">
        <w:rPr>
          <w:rFonts w:ascii="Times New Roman" w:hAnsi="Times New Roman"/>
        </w:rPr>
        <w:t>broadening</w:t>
      </w:r>
      <w:r>
        <w:rPr>
          <w:rFonts w:ascii="Times New Roman" w:hAnsi="Times New Roman"/>
        </w:rPr>
        <w:t xml:space="preserve"> that arises from magnetic field strengths created by dipole-dipole interactions and chemical shift anisotropy [7]</w:t>
      </w:r>
    </w:p>
    <w:p w14:paraId="22618B66" w14:textId="77777777" w:rsidR="007218C6" w:rsidRDefault="007218C6" w:rsidP="007218C6">
      <w:pPr>
        <w:spacing w:after="120" w:line="360" w:lineRule="auto"/>
        <w:jc w:val="both"/>
        <w:rPr>
          <w:rFonts w:ascii="Times New Roman" w:hAnsi="Times New Roman" w:cs="Times New Roman"/>
          <w:color w:val="000000"/>
        </w:rPr>
      </w:pPr>
    </w:p>
    <w:p w14:paraId="132D869F" w14:textId="77777777" w:rsidR="007218C6" w:rsidRPr="00AB6BEE" w:rsidRDefault="007218C6" w:rsidP="007218C6">
      <w:pPr>
        <w:spacing w:after="120" w:line="360" w:lineRule="auto"/>
        <w:jc w:val="both"/>
        <w:rPr>
          <w:rFonts w:ascii="Times New Roman" w:hAnsi="Times New Roman" w:cs="Times New Roman"/>
        </w:rPr>
      </w:pPr>
      <w:r w:rsidRPr="00AB6BEE">
        <w:rPr>
          <w:rFonts w:ascii="Times New Roman" w:hAnsi="Times New Roman" w:cs="Times New Roman"/>
          <w:color w:val="000000"/>
        </w:rPr>
        <w:t>iv.</w:t>
      </w:r>
      <w:r w:rsidRPr="00AB6BEE">
        <w:rPr>
          <w:rFonts w:ascii="Times New Roman" w:hAnsi="Times New Roman" w:cs="Times New Roman"/>
          <w:color w:val="000000"/>
        </w:rPr>
        <w:tab/>
        <w:t xml:space="preserve"> </w:t>
      </w:r>
      <w:r w:rsidRPr="00AB6BEE">
        <w:rPr>
          <w:rFonts w:ascii="Times New Roman" w:hAnsi="Times New Roman" w:cs="Times New Roman"/>
        </w:rPr>
        <w:t>Scanning Electron Microscopy (SEM)</w:t>
      </w:r>
    </w:p>
    <w:p w14:paraId="54924EF0" w14:textId="78310815" w:rsidR="007218C6" w:rsidRPr="00A26A92" w:rsidRDefault="007218C6" w:rsidP="007218C6">
      <w:pPr>
        <w:spacing w:after="120" w:line="360" w:lineRule="auto"/>
        <w:jc w:val="both"/>
        <w:rPr>
          <w:rFonts w:ascii="Times New Roman" w:hAnsi="Times New Roman" w:cs="Times New Roman"/>
        </w:rPr>
      </w:pPr>
      <w:r w:rsidRPr="00A26A92">
        <w:rPr>
          <w:rFonts w:ascii="Times New Roman" w:hAnsi="Times New Roman" w:cs="Times New Roman"/>
        </w:rPr>
        <w:t xml:space="preserve">SEM was used to </w:t>
      </w:r>
      <w:r>
        <w:rPr>
          <w:rFonts w:ascii="Times New Roman" w:hAnsi="Times New Roman" w:cs="Times New Roman"/>
        </w:rPr>
        <w:t>study the microstructure of the cement samples</w:t>
      </w:r>
      <w:r w:rsidRPr="00A26A92">
        <w:rPr>
          <w:rFonts w:ascii="Times New Roman" w:hAnsi="Times New Roman" w:cs="Times New Roman"/>
        </w:rPr>
        <w:t>. Energy di</w:t>
      </w:r>
      <w:r>
        <w:rPr>
          <w:rFonts w:ascii="Times New Roman" w:hAnsi="Times New Roman" w:cs="Times New Roman"/>
        </w:rPr>
        <w:t>spersive x-ray spectroscopy (EDX</w:t>
      </w:r>
      <w:r w:rsidRPr="00A26A92">
        <w:rPr>
          <w:rFonts w:ascii="Times New Roman" w:hAnsi="Times New Roman" w:cs="Times New Roman"/>
        </w:rPr>
        <w:t>) was also used to study the microstructure of the material</w:t>
      </w:r>
      <w:r>
        <w:rPr>
          <w:rFonts w:ascii="Times New Roman" w:hAnsi="Times New Roman" w:cs="Times New Roman"/>
        </w:rPr>
        <w:t>, Ca/Si ratio</w:t>
      </w:r>
      <w:r w:rsidRPr="00A26A92">
        <w:rPr>
          <w:rFonts w:ascii="Times New Roman" w:hAnsi="Times New Roman" w:cs="Times New Roman"/>
        </w:rPr>
        <w:t xml:space="preserve"> and </w:t>
      </w:r>
      <w:r>
        <w:rPr>
          <w:rFonts w:ascii="Times New Roman" w:hAnsi="Times New Roman" w:cs="Times New Roman"/>
        </w:rPr>
        <w:t>distribution of</w:t>
      </w:r>
      <w:r w:rsidRPr="00A26A92">
        <w:rPr>
          <w:rFonts w:ascii="Times New Roman" w:hAnsi="Times New Roman" w:cs="Times New Roman"/>
        </w:rPr>
        <w:t xml:space="preserve"> caesium and strontium within the cements. The SEM scans a high-energy electron beam ac</w:t>
      </w:r>
      <w:r>
        <w:rPr>
          <w:rFonts w:ascii="Times New Roman" w:hAnsi="Times New Roman" w:cs="Times New Roman"/>
        </w:rPr>
        <w:t xml:space="preserve">ross the surface of the specimen, which collides with matter within the sample. </w:t>
      </w:r>
      <w:r w:rsidR="00F82F2A">
        <w:rPr>
          <w:rFonts w:ascii="Times New Roman" w:hAnsi="Times New Roman" w:cs="Times New Roman"/>
        </w:rPr>
        <w:t xml:space="preserve">As the electrons interact with the sample they result in </w:t>
      </w:r>
      <w:r>
        <w:rPr>
          <w:rFonts w:ascii="Times New Roman" w:hAnsi="Times New Roman" w:cs="Times New Roman"/>
        </w:rPr>
        <w:t xml:space="preserve">secondary electrons (from the surface of the sample) and backscattered electrons (from deeper within the sample). </w:t>
      </w:r>
      <w:r w:rsidR="00F82F2A">
        <w:rPr>
          <w:rFonts w:ascii="Times New Roman" w:hAnsi="Times New Roman" w:cs="Times New Roman"/>
        </w:rPr>
        <w:t xml:space="preserve">When the </w:t>
      </w:r>
      <w:r w:rsidR="004E349F">
        <w:rPr>
          <w:rFonts w:ascii="Times New Roman" w:hAnsi="Times New Roman" w:cs="Times New Roman"/>
        </w:rPr>
        <w:t>electron</w:t>
      </w:r>
      <w:r w:rsidR="00F82F2A">
        <w:rPr>
          <w:rFonts w:ascii="Times New Roman" w:hAnsi="Times New Roman" w:cs="Times New Roman"/>
        </w:rPr>
        <w:t xml:space="preserve"> beam hits the surface of the sample the atoms here absorb the energy of the electron beam and give off secondary </w:t>
      </w:r>
      <w:proofErr w:type="gramStart"/>
      <w:r w:rsidR="00F82F2A">
        <w:rPr>
          <w:rFonts w:ascii="Times New Roman" w:hAnsi="Times New Roman" w:cs="Times New Roman"/>
        </w:rPr>
        <w:t>electrons which</w:t>
      </w:r>
      <w:proofErr w:type="gramEnd"/>
      <w:r w:rsidR="00F82F2A">
        <w:rPr>
          <w:rFonts w:ascii="Times New Roman" w:hAnsi="Times New Roman" w:cs="Times New Roman"/>
        </w:rPr>
        <w:t xml:space="preserve"> are detected on the positively charged secondary electron detector. </w:t>
      </w:r>
      <w:r>
        <w:rPr>
          <w:rFonts w:ascii="Times New Roman" w:hAnsi="Times New Roman" w:cs="Times New Roman"/>
        </w:rPr>
        <w:t xml:space="preserve">The secondary electrons are very low energy, when detected provide topographical information about the sample. The backscattered electrons </w:t>
      </w:r>
      <w:r w:rsidR="000A2A74">
        <w:rPr>
          <w:rFonts w:ascii="Times New Roman" w:hAnsi="Times New Roman" w:cs="Times New Roman"/>
        </w:rPr>
        <w:t>are electrons deflected back from the sample</w:t>
      </w:r>
      <w:r>
        <w:rPr>
          <w:rFonts w:ascii="Times New Roman" w:hAnsi="Times New Roman" w:cs="Times New Roman"/>
        </w:rPr>
        <w:t xml:space="preserve"> from within the sample at higher energy levels giving better detail of the cement sample with varying </w:t>
      </w:r>
      <w:r>
        <w:rPr>
          <w:rFonts w:ascii="Times New Roman" w:hAnsi="Times New Roman" w:cs="Times New Roman"/>
        </w:rPr>
        <w:lastRenderedPageBreak/>
        <w:t>contrasts</w:t>
      </w:r>
      <w:r w:rsidR="000A2A74">
        <w:rPr>
          <w:rFonts w:ascii="Times New Roman" w:hAnsi="Times New Roman" w:cs="Times New Roman"/>
        </w:rPr>
        <w:t xml:space="preserve">. Electrons that are </w:t>
      </w:r>
      <w:r>
        <w:rPr>
          <w:rFonts w:ascii="Times New Roman" w:hAnsi="Times New Roman" w:cs="Times New Roman"/>
        </w:rPr>
        <w:t>deflect</w:t>
      </w:r>
      <w:r w:rsidR="000A2A74">
        <w:rPr>
          <w:rFonts w:ascii="Times New Roman" w:hAnsi="Times New Roman" w:cs="Times New Roman"/>
        </w:rPr>
        <w:t>ed dee</w:t>
      </w:r>
      <w:r w:rsidR="005E279B">
        <w:rPr>
          <w:rFonts w:ascii="Times New Roman" w:hAnsi="Times New Roman" w:cs="Times New Roman"/>
        </w:rPr>
        <w:t>p within</w:t>
      </w:r>
      <w:r>
        <w:rPr>
          <w:rFonts w:ascii="Times New Roman" w:hAnsi="Times New Roman" w:cs="Times New Roman"/>
        </w:rPr>
        <w:t xml:space="preserve"> the sample</w:t>
      </w:r>
      <w:r w:rsidR="000A2A74">
        <w:rPr>
          <w:rFonts w:ascii="Times New Roman" w:hAnsi="Times New Roman" w:cs="Times New Roman"/>
        </w:rPr>
        <w:t xml:space="preserve"> and never get back out cause X-rays to be given off</w:t>
      </w:r>
      <w:r>
        <w:rPr>
          <w:rFonts w:ascii="Times New Roman" w:hAnsi="Times New Roman" w:cs="Times New Roman"/>
        </w:rPr>
        <w:t>. These X-rays are analysed using EDX in order to obtain elemental information</w:t>
      </w:r>
      <w:r w:rsidRPr="00A26A92">
        <w:rPr>
          <w:rFonts w:ascii="Times New Roman" w:hAnsi="Times New Roman" w:cs="Times New Roman"/>
        </w:rPr>
        <w:t>. A cross-section was cut from sample</w:t>
      </w:r>
      <w:r w:rsidR="008A6FB7">
        <w:rPr>
          <w:rFonts w:ascii="Times New Roman" w:hAnsi="Times New Roman" w:cs="Times New Roman"/>
        </w:rPr>
        <w:t xml:space="preserve"> B and</w:t>
      </w:r>
      <w:r w:rsidRPr="00A26A92">
        <w:rPr>
          <w:rFonts w:ascii="Times New Roman" w:hAnsi="Times New Roman" w:cs="Times New Roman"/>
        </w:rPr>
        <w:t xml:space="preserve"> CS for SEM, mounted in epoxy resi</w:t>
      </w:r>
      <w:r>
        <w:rPr>
          <w:rFonts w:ascii="Times New Roman" w:hAnsi="Times New Roman" w:cs="Times New Roman"/>
        </w:rPr>
        <w:t>n and successively ground using</w:t>
      </w:r>
      <w:r w:rsidRPr="00A26A92">
        <w:rPr>
          <w:rFonts w:ascii="Times New Roman" w:hAnsi="Times New Roman" w:cs="Times New Roman"/>
        </w:rPr>
        <w:t xml:space="preserve"> SiC papers, </w:t>
      </w:r>
      <w:r>
        <w:rPr>
          <w:rFonts w:ascii="Times New Roman" w:hAnsi="Times New Roman" w:cs="Times New Roman"/>
        </w:rPr>
        <w:t xml:space="preserve">of </w:t>
      </w:r>
      <w:r w:rsidRPr="00A26A92">
        <w:rPr>
          <w:rFonts w:ascii="Times New Roman" w:hAnsi="Times New Roman" w:cs="Times New Roman"/>
        </w:rPr>
        <w:t>120, 400, 800 and 1200</w:t>
      </w:r>
      <w:r>
        <w:rPr>
          <w:rFonts w:ascii="Times New Roman" w:hAnsi="Times New Roman" w:cs="Times New Roman"/>
        </w:rPr>
        <w:t xml:space="preserve"> grits, polishing</w:t>
      </w:r>
      <w:r w:rsidRPr="00A26A92">
        <w:rPr>
          <w:rFonts w:ascii="Times New Roman" w:hAnsi="Times New Roman" w:cs="Times New Roman"/>
        </w:rPr>
        <w:t xml:space="preserve"> using</w:t>
      </w:r>
      <w:r>
        <w:rPr>
          <w:rFonts w:ascii="Times New Roman" w:hAnsi="Times New Roman" w:cs="Times New Roman"/>
        </w:rPr>
        <w:t xml:space="preserve"> diamond paste of</w:t>
      </w:r>
      <w:r w:rsidRPr="00A26A92">
        <w:rPr>
          <w:rFonts w:ascii="Times New Roman" w:hAnsi="Times New Roman" w:cs="Times New Roman"/>
        </w:rPr>
        <w:t xml:space="preserve"> 6, 3, 1 and ¼ microns and finally polished using 0.05 Micron Buehler Master Prep Polishing Suspension on a Kement 300 manual polisher. The polished surface was carbon coated using an Edwards ‘speedivac’ carbon coating unit and examined using an FEI Inspect F SEM in backscattered imaging mode. Energy dispersive spectroscopy (EDS, EDAX Genesis) was used for phase analysis and elemental mapping. </w:t>
      </w:r>
    </w:p>
    <w:p w14:paraId="0BEB2A7A" w14:textId="77777777" w:rsidR="007218C6" w:rsidRPr="00A26A92" w:rsidRDefault="007218C6" w:rsidP="007218C6">
      <w:pPr>
        <w:spacing w:after="120" w:line="360" w:lineRule="auto"/>
        <w:jc w:val="both"/>
        <w:rPr>
          <w:rFonts w:ascii="Times New Roman" w:hAnsi="Times New Roman" w:cs="Times New Roman"/>
        </w:rPr>
      </w:pPr>
      <w:r>
        <w:rPr>
          <w:rFonts w:ascii="Times New Roman" w:hAnsi="Times New Roman" w:cs="Times New Roman"/>
        </w:rPr>
        <w:t xml:space="preserve">Figure 3.13 </w:t>
      </w:r>
      <w:r w:rsidRPr="00A26A92">
        <w:rPr>
          <w:rFonts w:ascii="Times New Roman" w:hAnsi="Times New Roman" w:cs="Times New Roman"/>
        </w:rPr>
        <w:t>shows a typical sample prepared for SEM. The three silver stripes indicate the exposure surface of the samples whereas the two silver strips indicate the bottom of the sample.</w:t>
      </w:r>
    </w:p>
    <w:p w14:paraId="57C94344" w14:textId="77777777" w:rsidR="007218C6" w:rsidRPr="00A26A92" w:rsidRDefault="007218C6" w:rsidP="007218C6">
      <w:pPr>
        <w:spacing w:after="120" w:line="360" w:lineRule="auto"/>
        <w:jc w:val="center"/>
        <w:rPr>
          <w:rFonts w:ascii="Times New Roman" w:hAnsi="Times New Roman" w:cs="Times New Roman"/>
        </w:rPr>
      </w:pPr>
      <w:r w:rsidRPr="00A26A92">
        <w:rPr>
          <w:rFonts w:ascii="Times New Roman" w:hAnsi="Times New Roman" w:cs="Times New Roman"/>
          <w:noProof/>
        </w:rPr>
        <w:drawing>
          <wp:inline distT="0" distB="0" distL="0" distR="0" wp14:anchorId="30E4A197" wp14:editId="4E17E9FB">
            <wp:extent cx="5345820" cy="1807845"/>
            <wp:effectExtent l="25400" t="25400" r="13970" b="20955"/>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rotWithShape="1">
                    <a:blip r:embed="rId38">
                      <a:extLst>
                        <a:ext uri="{28A0092B-C50C-407E-A947-70E740481C1C}">
                          <a14:useLocalDpi xmlns:a14="http://schemas.microsoft.com/office/drawing/2010/main" val="0"/>
                        </a:ext>
                      </a:extLst>
                    </a:blip>
                    <a:srcRect l="228" t="-5202" r="-1524" b="-5229"/>
                    <a:stretch/>
                  </pic:blipFill>
                  <pic:spPr bwMode="auto">
                    <a:xfrm>
                      <a:off x="0" y="0"/>
                      <a:ext cx="5345820" cy="1807845"/>
                    </a:xfrm>
                    <a:prstGeom prst="rect">
                      <a:avLst/>
                    </a:prstGeom>
                    <a:noFill/>
                    <a:ln w="3175" cap="flat" cmpd="sng" algn="ctr">
                      <a:solidFill>
                        <a:srgbClr val="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F266357" w14:textId="77777777" w:rsidR="007218C6" w:rsidRPr="003F05C5" w:rsidRDefault="007218C6" w:rsidP="007218C6">
      <w:pPr>
        <w:spacing w:after="120" w:line="360" w:lineRule="auto"/>
        <w:jc w:val="center"/>
        <w:rPr>
          <w:rFonts w:ascii="Times New Roman" w:hAnsi="Times New Roman" w:cs="Times New Roman"/>
          <w:color w:val="000000"/>
        </w:rPr>
      </w:pPr>
      <w:r w:rsidRPr="003F05C5">
        <w:rPr>
          <w:rFonts w:ascii="Times New Roman" w:hAnsi="Times New Roman" w:cs="Times New Roman"/>
          <w:b/>
          <w:color w:val="000000"/>
        </w:rPr>
        <w:t>Figur</w:t>
      </w:r>
      <w:r>
        <w:rPr>
          <w:rFonts w:ascii="Times New Roman" w:hAnsi="Times New Roman" w:cs="Times New Roman"/>
          <w:b/>
          <w:color w:val="000000"/>
        </w:rPr>
        <w:t>e 3.13</w:t>
      </w:r>
      <w:r w:rsidRPr="003F05C5">
        <w:rPr>
          <w:rFonts w:ascii="Times New Roman" w:hAnsi="Times New Roman" w:cs="Times New Roman"/>
          <w:b/>
          <w:color w:val="000000"/>
        </w:rPr>
        <w:t>:</w:t>
      </w:r>
      <w:r>
        <w:rPr>
          <w:rFonts w:ascii="Times New Roman" w:hAnsi="Times New Roman" w:cs="Times New Roman"/>
          <w:b/>
          <w:color w:val="000000"/>
        </w:rPr>
        <w:t xml:space="preserve"> </w:t>
      </w:r>
      <w:r w:rsidRPr="00621410">
        <w:rPr>
          <w:rFonts w:ascii="Times New Roman" w:hAnsi="Times New Roman" w:cs="Times New Roman"/>
          <w:color w:val="000000"/>
        </w:rPr>
        <w:t>SEM Sample</w:t>
      </w:r>
      <w:r w:rsidRPr="003F05C5">
        <w:rPr>
          <w:rFonts w:ascii="Times New Roman" w:hAnsi="Times New Roman" w:cs="Times New Roman"/>
          <w:color w:val="000000"/>
        </w:rPr>
        <w:t xml:space="preserve"> (a) </w:t>
      </w:r>
      <w:r>
        <w:rPr>
          <w:rFonts w:ascii="Times New Roman" w:hAnsi="Times New Roman" w:cs="Times New Roman"/>
          <w:color w:val="000000"/>
        </w:rPr>
        <w:t>Side</w:t>
      </w:r>
      <w:r w:rsidRPr="003F05C5">
        <w:rPr>
          <w:rFonts w:ascii="Times New Roman" w:hAnsi="Times New Roman" w:cs="Times New Roman"/>
          <w:color w:val="000000"/>
        </w:rPr>
        <w:t xml:space="preserve"> profile</w:t>
      </w:r>
      <w:r>
        <w:rPr>
          <w:rFonts w:ascii="Times New Roman" w:hAnsi="Times New Roman" w:cs="Times New Roman"/>
          <w:color w:val="000000"/>
        </w:rPr>
        <w:t xml:space="preserve"> of sample in resin</w:t>
      </w:r>
      <w:r w:rsidRPr="003F05C5">
        <w:rPr>
          <w:rFonts w:ascii="Times New Roman" w:hAnsi="Times New Roman" w:cs="Times New Roman"/>
          <w:color w:val="000000"/>
        </w:rPr>
        <w:t xml:space="preserve"> (b) Cr</w:t>
      </w:r>
      <w:r>
        <w:rPr>
          <w:rFonts w:ascii="Times New Roman" w:hAnsi="Times New Roman" w:cs="Times New Roman"/>
          <w:color w:val="000000"/>
        </w:rPr>
        <w:t xml:space="preserve">oss section of sample in resin </w:t>
      </w:r>
      <w:r w:rsidRPr="003F05C5">
        <w:rPr>
          <w:rFonts w:ascii="Times New Roman" w:hAnsi="Times New Roman" w:cs="Times New Roman"/>
          <w:color w:val="000000"/>
        </w:rPr>
        <w:t>(c) Typical preparation of sample for SEM</w:t>
      </w:r>
    </w:p>
    <w:p w14:paraId="5EBDE010" w14:textId="77777777" w:rsidR="007218C6" w:rsidRDefault="007218C6" w:rsidP="007218C6">
      <w:pPr>
        <w:spacing w:after="120" w:line="360" w:lineRule="auto"/>
        <w:jc w:val="both"/>
        <w:rPr>
          <w:rFonts w:ascii="Times New Roman" w:hAnsi="Times New Roman" w:cs="Times New Roman"/>
          <w:i/>
        </w:rPr>
      </w:pPr>
    </w:p>
    <w:p w14:paraId="3549AF63" w14:textId="77777777" w:rsidR="007218C6" w:rsidRPr="00AB6BEE" w:rsidRDefault="007218C6" w:rsidP="007218C6">
      <w:pPr>
        <w:spacing w:after="120" w:line="360" w:lineRule="auto"/>
        <w:jc w:val="both"/>
        <w:rPr>
          <w:rFonts w:ascii="Times New Roman" w:hAnsi="Times New Roman" w:cs="Times New Roman"/>
        </w:rPr>
      </w:pPr>
      <w:r>
        <w:rPr>
          <w:rFonts w:ascii="Times New Roman" w:hAnsi="Times New Roman" w:cs="Times New Roman"/>
        </w:rPr>
        <w:t>v.</w:t>
      </w:r>
      <w:r w:rsidRPr="00AB6BEE">
        <w:rPr>
          <w:rFonts w:ascii="Times New Roman" w:hAnsi="Times New Roman" w:cs="Times New Roman"/>
        </w:rPr>
        <w:tab/>
      </w:r>
      <w:proofErr w:type="gramStart"/>
      <w:r w:rsidRPr="00AB6BEE">
        <w:rPr>
          <w:rFonts w:ascii="Times New Roman" w:hAnsi="Times New Roman" w:cs="Times New Roman"/>
        </w:rPr>
        <w:t>pH</w:t>
      </w:r>
      <w:proofErr w:type="gramEnd"/>
      <w:r w:rsidRPr="00AB6BEE">
        <w:rPr>
          <w:rFonts w:ascii="Times New Roman" w:hAnsi="Times New Roman" w:cs="Times New Roman"/>
        </w:rPr>
        <w:t xml:space="preserve"> Measurements</w:t>
      </w:r>
    </w:p>
    <w:p w14:paraId="66DA402E" w14:textId="07182BCC" w:rsidR="007218C6" w:rsidRDefault="007218C6" w:rsidP="007218C6">
      <w:pPr>
        <w:spacing w:after="120" w:line="360" w:lineRule="auto"/>
        <w:jc w:val="both"/>
        <w:rPr>
          <w:rFonts w:ascii="Times New Roman" w:hAnsi="Times New Roman"/>
        </w:rPr>
      </w:pPr>
      <w:r>
        <w:rPr>
          <w:rFonts w:ascii="Times New Roman" w:hAnsi="Times New Roman"/>
        </w:rPr>
        <w:t>These measurements were used to monitor the alkalinity of the leachate and subsequently the OH</w:t>
      </w:r>
      <w:r>
        <w:rPr>
          <w:rFonts w:ascii="Times New Roman" w:hAnsi="Times New Roman"/>
          <w:vertAlign w:val="superscript"/>
        </w:rPr>
        <w:t xml:space="preserve">- </w:t>
      </w:r>
      <w:r>
        <w:rPr>
          <w:rFonts w:ascii="Times New Roman" w:hAnsi="Times New Roman"/>
        </w:rPr>
        <w:t xml:space="preserve">level. This will give a good indication of the degree of </w:t>
      </w:r>
      <w:r w:rsidR="003C7872">
        <w:rPr>
          <w:rFonts w:ascii="Times New Roman" w:hAnsi="Times New Roman"/>
        </w:rPr>
        <w:t>p</w:t>
      </w:r>
      <w:r>
        <w:rPr>
          <w:rFonts w:ascii="Times New Roman" w:hAnsi="Times New Roman"/>
        </w:rPr>
        <w:t>ortlandite leaching in the water. The pH of the leachate solutions was measured using a</w:t>
      </w:r>
      <w:r w:rsidR="0024175E">
        <w:rPr>
          <w:rFonts w:ascii="Times New Roman" w:hAnsi="Times New Roman"/>
        </w:rPr>
        <w:t>n</w:t>
      </w:r>
      <w:r>
        <w:rPr>
          <w:rFonts w:ascii="Times New Roman" w:hAnsi="Times New Roman"/>
        </w:rPr>
        <w:t xml:space="preserve"> Orion Model 250 pH meter calibrated at 2 points (pH 4 and pH 10).  The pH meter was placed in the solution and left for 5-10 minutes. </w:t>
      </w:r>
      <w:r w:rsidR="005D3725">
        <w:rPr>
          <w:rFonts w:ascii="Times New Roman" w:hAnsi="Times New Roman"/>
        </w:rPr>
        <w:t>The</w:t>
      </w:r>
      <w:r>
        <w:rPr>
          <w:rFonts w:ascii="Times New Roman" w:hAnsi="Times New Roman"/>
        </w:rPr>
        <w:t xml:space="preserve"> pH </w:t>
      </w:r>
      <w:r w:rsidR="005D3725">
        <w:rPr>
          <w:rFonts w:ascii="Times New Roman" w:hAnsi="Times New Roman"/>
        </w:rPr>
        <w:t xml:space="preserve">of a </w:t>
      </w:r>
      <w:r w:rsidR="004E349F">
        <w:rPr>
          <w:rFonts w:ascii="Times New Roman" w:hAnsi="Times New Roman"/>
        </w:rPr>
        <w:t>separate</w:t>
      </w:r>
      <w:r w:rsidR="005D3725">
        <w:rPr>
          <w:rFonts w:ascii="Times New Roman" w:hAnsi="Times New Roman"/>
        </w:rPr>
        <w:t xml:space="preserve"> </w:t>
      </w:r>
      <w:r>
        <w:rPr>
          <w:rFonts w:ascii="Times New Roman" w:hAnsi="Times New Roman"/>
        </w:rPr>
        <w:t xml:space="preserve">a container of deionised water was also measured at each </w:t>
      </w:r>
      <w:proofErr w:type="gramStart"/>
      <w:r>
        <w:rPr>
          <w:rFonts w:ascii="Times New Roman" w:hAnsi="Times New Roman"/>
        </w:rPr>
        <w:t>occasion</w:t>
      </w:r>
      <w:r w:rsidR="005D3725">
        <w:rPr>
          <w:rFonts w:ascii="Times New Roman" w:hAnsi="Times New Roman"/>
        </w:rPr>
        <w:t xml:space="preserve"> </w:t>
      </w:r>
      <w:r w:rsidR="003C7872">
        <w:rPr>
          <w:rFonts w:ascii="Times New Roman" w:hAnsi="Times New Roman"/>
        </w:rPr>
        <w:t>,</w:t>
      </w:r>
      <w:proofErr w:type="gramEnd"/>
      <w:r w:rsidR="003C7872">
        <w:rPr>
          <w:rFonts w:ascii="Times New Roman" w:hAnsi="Times New Roman"/>
        </w:rPr>
        <w:t xml:space="preserve"> which was approximately 7 each time</w:t>
      </w:r>
      <w:r>
        <w:rPr>
          <w:rFonts w:ascii="Times New Roman" w:hAnsi="Times New Roman"/>
        </w:rPr>
        <w:t>. In the case of the semi static experiments the pH was measured at every water change.</w:t>
      </w:r>
    </w:p>
    <w:p w14:paraId="5DDD0F08" w14:textId="77777777" w:rsidR="007218C6" w:rsidRPr="00A26A92" w:rsidRDefault="007218C6" w:rsidP="007218C6">
      <w:pPr>
        <w:spacing w:after="120" w:line="360" w:lineRule="auto"/>
        <w:rPr>
          <w:rFonts w:ascii="Times New Roman" w:hAnsi="Times New Roman" w:cs="Times New Roman"/>
          <w:b/>
          <w:sz w:val="20"/>
          <w:u w:val="single"/>
        </w:rPr>
      </w:pPr>
    </w:p>
    <w:p w14:paraId="04969C72" w14:textId="77777777" w:rsidR="007218C6" w:rsidRPr="0023503D" w:rsidRDefault="007218C6" w:rsidP="007218C6">
      <w:pPr>
        <w:spacing w:before="120" w:after="120" w:line="360" w:lineRule="auto"/>
        <w:jc w:val="both"/>
        <w:rPr>
          <w:rFonts w:ascii="Times New Roman" w:hAnsi="Times New Roman" w:cs="Times New Roman"/>
        </w:rPr>
      </w:pPr>
      <w:r w:rsidRPr="0023503D">
        <w:rPr>
          <w:rFonts w:ascii="Times New Roman" w:hAnsi="Times New Roman" w:cs="Times New Roman"/>
          <w:bCs/>
        </w:rPr>
        <w:lastRenderedPageBreak/>
        <w:t>ii.</w:t>
      </w:r>
      <w:r w:rsidRPr="0023503D">
        <w:rPr>
          <w:rFonts w:ascii="Times New Roman" w:hAnsi="Times New Roman" w:cs="Times New Roman"/>
          <w:bCs/>
        </w:rPr>
        <w:tab/>
        <w:t>Inductively Coupled Plasma – Mass Spectrometry (ICP-MS)</w:t>
      </w:r>
    </w:p>
    <w:p w14:paraId="20FC8287" w14:textId="36BDC81B" w:rsidR="007218C6" w:rsidRDefault="007218C6" w:rsidP="007218C6">
      <w:pPr>
        <w:spacing w:after="240" w:line="360" w:lineRule="auto"/>
        <w:jc w:val="both"/>
        <w:rPr>
          <w:rFonts w:ascii="Times New Roman" w:hAnsi="Times New Roman"/>
        </w:rPr>
      </w:pPr>
      <w:r>
        <w:rPr>
          <w:rFonts w:ascii="Times New Roman" w:hAnsi="Times New Roman"/>
        </w:rPr>
        <w:t>ICP-MS analysis wa</w:t>
      </w:r>
      <w:r w:rsidR="00645B2D">
        <w:rPr>
          <w:rFonts w:ascii="Times New Roman" w:hAnsi="Times New Roman"/>
        </w:rPr>
        <w:t xml:space="preserve">s used to derive the elemental concentration </w:t>
      </w:r>
      <w:r>
        <w:rPr>
          <w:rFonts w:ascii="Times New Roman" w:hAnsi="Times New Roman"/>
        </w:rPr>
        <w:t xml:space="preserve">from the leachate solution. This technique </w:t>
      </w:r>
      <w:r w:rsidR="008E49EF">
        <w:rPr>
          <w:rFonts w:ascii="Times New Roman" w:hAnsi="Times New Roman"/>
        </w:rPr>
        <w:t xml:space="preserve">utilizes </w:t>
      </w:r>
      <w:proofErr w:type="gramStart"/>
      <w:r w:rsidR="008E49EF">
        <w:rPr>
          <w:rFonts w:ascii="Times New Roman" w:hAnsi="Times New Roman"/>
        </w:rPr>
        <w:t>an</w:t>
      </w:r>
      <w:r>
        <w:rPr>
          <w:rFonts w:ascii="Times New Roman" w:hAnsi="Times New Roman"/>
        </w:rPr>
        <w:t xml:space="preserve"> argon</w:t>
      </w:r>
      <w:proofErr w:type="gramEnd"/>
      <w:r>
        <w:rPr>
          <w:rFonts w:ascii="Times New Roman" w:hAnsi="Times New Roman"/>
        </w:rPr>
        <w:t xml:space="preserve"> plasma in a high-energy field which creates intense heating as the gas is ionised. A nebulised mist from the leachate solution is injected into the </w:t>
      </w:r>
      <w:r w:rsidR="004E349F">
        <w:rPr>
          <w:rFonts w:ascii="Times New Roman" w:hAnsi="Times New Roman"/>
        </w:rPr>
        <w:t>center</w:t>
      </w:r>
      <w:r>
        <w:rPr>
          <w:rFonts w:ascii="Times New Roman" w:hAnsi="Times New Roman"/>
        </w:rPr>
        <w:t xml:space="preserve"> of the argon plasma, where temperatures reach nearly 10000</w:t>
      </w:r>
      <w:r>
        <w:rPr>
          <w:rFonts w:ascii="Times New Roman" w:hAnsi="Times New Roman"/>
          <w:vertAlign w:val="superscript"/>
        </w:rPr>
        <w:t>o</w:t>
      </w:r>
      <w:r>
        <w:rPr>
          <w:rFonts w:ascii="Times New Roman" w:hAnsi="Times New Roman"/>
        </w:rPr>
        <w:t>C. At these temperatures chemical compounds of the mist dissociate into the component atoms</w:t>
      </w:r>
      <w:r w:rsidR="007F75D5">
        <w:rPr>
          <w:rFonts w:ascii="Times New Roman" w:hAnsi="Times New Roman"/>
        </w:rPr>
        <w:t xml:space="preserve"> and then ionised towards the end of the plasma</w:t>
      </w:r>
      <w:r>
        <w:rPr>
          <w:rFonts w:ascii="Times New Roman" w:hAnsi="Times New Roman"/>
        </w:rPr>
        <w:t xml:space="preserve">. </w:t>
      </w:r>
      <w:r w:rsidR="007F75D5">
        <w:rPr>
          <w:rFonts w:ascii="Times New Roman" w:hAnsi="Times New Roman"/>
        </w:rPr>
        <w:t>The ions are then brought into the mass spectrometer via the interface cones</w:t>
      </w:r>
      <w:r w:rsidR="002C463C">
        <w:rPr>
          <w:rFonts w:ascii="Times New Roman" w:hAnsi="Times New Roman"/>
        </w:rPr>
        <w:t xml:space="preserve">, where they are </w:t>
      </w:r>
      <w:r w:rsidR="004E349F">
        <w:rPr>
          <w:rFonts w:ascii="Times New Roman" w:hAnsi="Times New Roman"/>
        </w:rPr>
        <w:t>separated</w:t>
      </w:r>
      <w:r w:rsidR="002C463C">
        <w:rPr>
          <w:rFonts w:ascii="Times New Roman" w:hAnsi="Times New Roman"/>
        </w:rPr>
        <w:t xml:space="preserve"> by their mass-to-charge ratio. The ions then exit individually and come into contact with a dynode of an electron multiplier, which detects the electrons released by the impact of the </w:t>
      </w:r>
      <w:proofErr w:type="gramStart"/>
      <w:r w:rsidR="002C463C">
        <w:rPr>
          <w:rFonts w:ascii="Times New Roman" w:hAnsi="Times New Roman"/>
        </w:rPr>
        <w:t>ions</w:t>
      </w:r>
      <w:r>
        <w:rPr>
          <w:rFonts w:ascii="Times New Roman" w:hAnsi="Times New Roman"/>
        </w:rPr>
        <w:t>[</w:t>
      </w:r>
      <w:proofErr w:type="gramEnd"/>
      <w:r>
        <w:rPr>
          <w:rFonts w:ascii="Times New Roman" w:hAnsi="Times New Roman"/>
        </w:rPr>
        <w:t xml:space="preserve">8].  </w:t>
      </w:r>
    </w:p>
    <w:p w14:paraId="122848F7" w14:textId="0F7ADD5B" w:rsidR="007218C6" w:rsidRDefault="007218C6" w:rsidP="007218C6">
      <w:pPr>
        <w:spacing w:line="360" w:lineRule="auto"/>
        <w:jc w:val="both"/>
        <w:rPr>
          <w:rFonts w:ascii="Times New Roman" w:hAnsi="Times New Roman"/>
        </w:rPr>
      </w:pPr>
      <w:r>
        <w:rPr>
          <w:rFonts w:ascii="Times New Roman" w:hAnsi="Times New Roman"/>
        </w:rPr>
        <w:t xml:space="preserve">At the end of each leaching test a 20 ml sample from the </w:t>
      </w:r>
      <w:r w:rsidR="002D1CE2">
        <w:rPr>
          <w:rFonts w:ascii="Times New Roman" w:hAnsi="Times New Roman"/>
        </w:rPr>
        <w:t>leachate</w:t>
      </w:r>
      <w:r>
        <w:rPr>
          <w:rFonts w:ascii="Times New Roman" w:hAnsi="Times New Roman"/>
        </w:rPr>
        <w:t xml:space="preserve"> was collected in a centrifuge tube. The samples were filtered and acidified with nitric acid to ensure stability and comparability with calibration standards. The samples were submitted to the Sheffield Assay Office where the</w:t>
      </w:r>
      <w:r w:rsidR="00E816E9">
        <w:rPr>
          <w:rFonts w:ascii="Times New Roman" w:hAnsi="Times New Roman"/>
        </w:rPr>
        <w:t xml:space="preserve"> ICP-MS was performed. Table 3.5</w:t>
      </w:r>
      <w:r>
        <w:rPr>
          <w:rFonts w:ascii="Times New Roman" w:hAnsi="Times New Roman"/>
        </w:rPr>
        <w:t xml:space="preserve"> summarises the solutions analysed. </w:t>
      </w:r>
    </w:p>
    <w:p w14:paraId="2E83EFFE" w14:textId="72B5F770" w:rsidR="007218C6" w:rsidRPr="00E816E9" w:rsidRDefault="007218C6" w:rsidP="00CE47FF">
      <w:pPr>
        <w:spacing w:line="276" w:lineRule="auto"/>
        <w:jc w:val="center"/>
        <w:rPr>
          <w:rFonts w:ascii="Times" w:hAnsi="Times" w:cs="Times New Roman"/>
          <w:color w:val="000000"/>
        </w:rPr>
      </w:pPr>
      <w:r w:rsidRPr="00E816E9">
        <w:rPr>
          <w:rFonts w:ascii="Times" w:hAnsi="Times" w:cs="Times New Roman"/>
          <w:b/>
          <w:color w:val="000000"/>
        </w:rPr>
        <w:t xml:space="preserve">Table </w:t>
      </w:r>
      <w:r w:rsidR="00E816E9" w:rsidRPr="00E816E9">
        <w:rPr>
          <w:rFonts w:ascii="Times" w:hAnsi="Times" w:cs="Times New Roman"/>
          <w:b/>
          <w:color w:val="000000"/>
        </w:rPr>
        <w:t>3.5</w:t>
      </w:r>
      <w:r w:rsidRPr="00E816E9">
        <w:rPr>
          <w:rFonts w:ascii="Times" w:hAnsi="Times" w:cs="Times New Roman"/>
          <w:b/>
          <w:color w:val="000000"/>
        </w:rPr>
        <w:t xml:space="preserve">: </w:t>
      </w:r>
      <w:r w:rsidRPr="00E816E9">
        <w:rPr>
          <w:rFonts w:ascii="Times" w:hAnsi="Times" w:cs="Times New Roman"/>
          <w:color w:val="000000"/>
        </w:rPr>
        <w:t>Solutions analysed using ICP-MS.</w:t>
      </w:r>
    </w:p>
    <w:tbl>
      <w:tblPr>
        <w:tblStyle w:val="TableGrid"/>
        <w:tblpPr w:leftFromText="180" w:rightFromText="180" w:vertAnchor="text" w:tblpY="1"/>
        <w:tblOverlap w:val="never"/>
        <w:tblW w:w="5933" w:type="dxa"/>
        <w:tblInd w:w="1526" w:type="dxa"/>
        <w:tblLook w:val="04A0" w:firstRow="1" w:lastRow="0" w:firstColumn="1" w:lastColumn="0" w:noHBand="0" w:noVBand="1"/>
      </w:tblPr>
      <w:tblGrid>
        <w:gridCol w:w="2708"/>
        <w:gridCol w:w="3225"/>
      </w:tblGrid>
      <w:tr w:rsidR="007218C6" w:rsidRPr="00E816E9" w14:paraId="1C972D0F" w14:textId="77777777" w:rsidTr="00CE47FF">
        <w:trPr>
          <w:trHeight w:val="410"/>
        </w:trPr>
        <w:tc>
          <w:tcPr>
            <w:tcW w:w="2708" w:type="dxa"/>
            <w:tcBorders>
              <w:left w:val="nil"/>
              <w:bottom w:val="single" w:sz="4" w:space="0" w:color="auto"/>
              <w:right w:val="nil"/>
            </w:tcBorders>
            <w:shd w:val="clear" w:color="auto" w:fill="auto"/>
          </w:tcPr>
          <w:p w14:paraId="169AA8F6" w14:textId="77777777" w:rsidR="007218C6" w:rsidRPr="00E816E9" w:rsidRDefault="007218C6" w:rsidP="00CE47FF">
            <w:pPr>
              <w:spacing w:line="276" w:lineRule="auto"/>
              <w:jc w:val="center"/>
              <w:rPr>
                <w:rFonts w:ascii="Times" w:hAnsi="Times" w:cs="TimesNewRomanPSMT"/>
                <w:b/>
                <w:color w:val="000000"/>
                <w:sz w:val="24"/>
                <w:szCs w:val="24"/>
              </w:rPr>
            </w:pPr>
            <w:r w:rsidRPr="00E816E9">
              <w:rPr>
                <w:rFonts w:ascii="Times" w:hAnsi="Times" w:cs="TimesNewRomanPSMT"/>
                <w:b/>
                <w:color w:val="000000"/>
                <w:sz w:val="24"/>
                <w:szCs w:val="24"/>
              </w:rPr>
              <w:t>Solution</w:t>
            </w:r>
          </w:p>
        </w:tc>
        <w:tc>
          <w:tcPr>
            <w:tcW w:w="3225" w:type="dxa"/>
            <w:tcBorders>
              <w:left w:val="nil"/>
              <w:bottom w:val="single" w:sz="4" w:space="0" w:color="auto"/>
              <w:right w:val="nil"/>
            </w:tcBorders>
            <w:shd w:val="clear" w:color="auto" w:fill="auto"/>
          </w:tcPr>
          <w:p w14:paraId="465095FF" w14:textId="77777777" w:rsidR="007218C6" w:rsidRPr="00E816E9" w:rsidRDefault="007218C6" w:rsidP="00CE47FF">
            <w:pPr>
              <w:spacing w:line="276" w:lineRule="auto"/>
              <w:ind w:left="127" w:right="188"/>
              <w:jc w:val="center"/>
              <w:rPr>
                <w:rFonts w:ascii="Times" w:hAnsi="Times" w:cs="TimesNewRomanPSMT"/>
                <w:b/>
                <w:color w:val="000000"/>
                <w:sz w:val="24"/>
                <w:szCs w:val="24"/>
              </w:rPr>
            </w:pPr>
            <w:r w:rsidRPr="00E816E9">
              <w:rPr>
                <w:rFonts w:ascii="Times" w:hAnsi="Times" w:cs="TimesNewRomanPSMT"/>
                <w:b/>
                <w:color w:val="000000"/>
                <w:sz w:val="24"/>
                <w:szCs w:val="24"/>
              </w:rPr>
              <w:t>Elements Analysed</w:t>
            </w:r>
          </w:p>
        </w:tc>
      </w:tr>
      <w:tr w:rsidR="007218C6" w:rsidRPr="00E816E9" w14:paraId="40C0072B" w14:textId="77777777" w:rsidTr="00C07DA0">
        <w:trPr>
          <w:trHeight w:val="277"/>
        </w:trPr>
        <w:tc>
          <w:tcPr>
            <w:tcW w:w="2708" w:type="dxa"/>
            <w:vMerge w:val="restart"/>
            <w:tcBorders>
              <w:top w:val="single" w:sz="4" w:space="0" w:color="auto"/>
              <w:left w:val="nil"/>
              <w:right w:val="nil"/>
            </w:tcBorders>
            <w:vAlign w:val="center"/>
          </w:tcPr>
          <w:p w14:paraId="6EA84E9F" w14:textId="77777777" w:rsidR="007218C6" w:rsidRPr="00E816E9" w:rsidRDefault="007218C6" w:rsidP="00C07DA0">
            <w:pPr>
              <w:jc w:val="center"/>
              <w:rPr>
                <w:rFonts w:ascii="Times" w:hAnsi="Times" w:cs="TimesNewRomanPSMT"/>
                <w:color w:val="000000"/>
                <w:sz w:val="24"/>
                <w:szCs w:val="24"/>
              </w:rPr>
            </w:pPr>
            <w:r w:rsidRPr="00E816E9">
              <w:rPr>
                <w:rFonts w:ascii="Times" w:hAnsi="Times" w:cs="TimesNewRomanPSMT"/>
                <w:color w:val="000000"/>
                <w:sz w:val="24"/>
                <w:szCs w:val="24"/>
              </w:rPr>
              <w:t>Blank (B)</w:t>
            </w:r>
          </w:p>
        </w:tc>
        <w:tc>
          <w:tcPr>
            <w:tcW w:w="3225" w:type="dxa"/>
            <w:vMerge w:val="restart"/>
            <w:tcBorders>
              <w:top w:val="single" w:sz="4" w:space="0" w:color="auto"/>
              <w:left w:val="nil"/>
              <w:bottom w:val="single" w:sz="4" w:space="0" w:color="auto"/>
              <w:right w:val="nil"/>
            </w:tcBorders>
            <w:vAlign w:val="center"/>
          </w:tcPr>
          <w:p w14:paraId="49DD101D" w14:textId="1C80EF41" w:rsidR="007218C6" w:rsidRPr="00E816E9" w:rsidRDefault="00376661" w:rsidP="00C07DA0">
            <w:pPr>
              <w:jc w:val="center"/>
              <w:rPr>
                <w:rFonts w:ascii="Times" w:hAnsi="Times" w:cs="TimesNewRomanPSMT"/>
                <w:color w:val="000000"/>
                <w:sz w:val="24"/>
                <w:szCs w:val="24"/>
              </w:rPr>
            </w:pPr>
            <w:proofErr w:type="gramStart"/>
            <w:r w:rsidRPr="00E816E9">
              <w:rPr>
                <w:rFonts w:ascii="Times" w:hAnsi="Times" w:cs="TimesNewRomanPSMT"/>
                <w:color w:val="000000"/>
                <w:sz w:val="24"/>
                <w:szCs w:val="24"/>
              </w:rPr>
              <w:t>calcium</w:t>
            </w:r>
            <w:proofErr w:type="gramEnd"/>
            <w:r w:rsidRPr="00E816E9">
              <w:rPr>
                <w:rFonts w:ascii="Times" w:hAnsi="Times" w:cs="TimesNewRomanPSMT"/>
                <w:color w:val="000000"/>
                <w:sz w:val="24"/>
                <w:szCs w:val="24"/>
              </w:rPr>
              <w:t>, aluminium, magnesium, sodium</w:t>
            </w:r>
          </w:p>
        </w:tc>
      </w:tr>
      <w:tr w:rsidR="007218C6" w:rsidRPr="00E816E9" w14:paraId="63FC5473" w14:textId="77777777" w:rsidTr="00C07DA0">
        <w:trPr>
          <w:trHeight w:val="277"/>
        </w:trPr>
        <w:tc>
          <w:tcPr>
            <w:tcW w:w="2708" w:type="dxa"/>
            <w:vMerge/>
            <w:tcBorders>
              <w:left w:val="nil"/>
              <w:right w:val="nil"/>
            </w:tcBorders>
            <w:vAlign w:val="center"/>
          </w:tcPr>
          <w:p w14:paraId="21DFE646" w14:textId="77777777" w:rsidR="007218C6" w:rsidRPr="00E816E9" w:rsidRDefault="007218C6" w:rsidP="00C07DA0">
            <w:pPr>
              <w:jc w:val="center"/>
              <w:rPr>
                <w:rFonts w:ascii="Times" w:hAnsi="Times" w:cs="TimesNewRomanPSMT"/>
                <w:color w:val="000000"/>
                <w:sz w:val="24"/>
                <w:szCs w:val="24"/>
              </w:rPr>
            </w:pPr>
          </w:p>
        </w:tc>
        <w:tc>
          <w:tcPr>
            <w:tcW w:w="3225" w:type="dxa"/>
            <w:vMerge/>
            <w:tcBorders>
              <w:top w:val="single" w:sz="4" w:space="0" w:color="auto"/>
              <w:left w:val="nil"/>
              <w:bottom w:val="single" w:sz="4" w:space="0" w:color="auto"/>
              <w:right w:val="nil"/>
            </w:tcBorders>
            <w:vAlign w:val="center"/>
          </w:tcPr>
          <w:p w14:paraId="2591C341" w14:textId="77777777" w:rsidR="007218C6" w:rsidRPr="00E816E9" w:rsidRDefault="007218C6" w:rsidP="00C07DA0">
            <w:pPr>
              <w:jc w:val="center"/>
              <w:rPr>
                <w:rFonts w:ascii="Times" w:hAnsi="Times" w:cs="TimesNewRomanPSMT"/>
                <w:color w:val="000000"/>
                <w:sz w:val="24"/>
                <w:szCs w:val="24"/>
              </w:rPr>
            </w:pPr>
          </w:p>
        </w:tc>
      </w:tr>
      <w:tr w:rsidR="007218C6" w:rsidRPr="00E816E9" w14:paraId="01914D83" w14:textId="77777777" w:rsidTr="00C07DA0">
        <w:trPr>
          <w:trHeight w:val="277"/>
        </w:trPr>
        <w:tc>
          <w:tcPr>
            <w:tcW w:w="2708" w:type="dxa"/>
            <w:vMerge/>
            <w:tcBorders>
              <w:left w:val="nil"/>
              <w:bottom w:val="single" w:sz="4" w:space="0" w:color="auto"/>
              <w:right w:val="nil"/>
            </w:tcBorders>
            <w:vAlign w:val="center"/>
          </w:tcPr>
          <w:p w14:paraId="6240B6B0" w14:textId="77777777" w:rsidR="007218C6" w:rsidRPr="00E816E9" w:rsidRDefault="007218C6" w:rsidP="00C07DA0">
            <w:pPr>
              <w:jc w:val="center"/>
              <w:rPr>
                <w:rFonts w:ascii="Times" w:hAnsi="Times" w:cs="TimesNewRomanPSMT"/>
                <w:color w:val="000000"/>
                <w:sz w:val="24"/>
                <w:szCs w:val="24"/>
              </w:rPr>
            </w:pPr>
          </w:p>
        </w:tc>
        <w:tc>
          <w:tcPr>
            <w:tcW w:w="3225" w:type="dxa"/>
            <w:vMerge/>
            <w:tcBorders>
              <w:top w:val="single" w:sz="4" w:space="0" w:color="auto"/>
              <w:left w:val="nil"/>
              <w:right w:val="nil"/>
            </w:tcBorders>
            <w:vAlign w:val="center"/>
          </w:tcPr>
          <w:p w14:paraId="67AD61E4" w14:textId="77777777" w:rsidR="007218C6" w:rsidRPr="00E816E9" w:rsidRDefault="007218C6" w:rsidP="00C07DA0">
            <w:pPr>
              <w:jc w:val="center"/>
              <w:rPr>
                <w:rFonts w:ascii="Times" w:hAnsi="Times" w:cs="TimesNewRomanPSMT"/>
                <w:color w:val="000000"/>
                <w:sz w:val="24"/>
                <w:szCs w:val="24"/>
              </w:rPr>
            </w:pPr>
          </w:p>
        </w:tc>
      </w:tr>
      <w:tr w:rsidR="007218C6" w:rsidRPr="00E816E9" w14:paraId="065BA772" w14:textId="77777777" w:rsidTr="00CE47FF">
        <w:trPr>
          <w:trHeight w:val="823"/>
        </w:trPr>
        <w:tc>
          <w:tcPr>
            <w:tcW w:w="2708" w:type="dxa"/>
            <w:tcBorders>
              <w:top w:val="single" w:sz="4" w:space="0" w:color="auto"/>
              <w:left w:val="nil"/>
              <w:bottom w:val="single" w:sz="4" w:space="0" w:color="auto"/>
              <w:right w:val="nil"/>
            </w:tcBorders>
            <w:vAlign w:val="center"/>
          </w:tcPr>
          <w:p w14:paraId="3E573A5C" w14:textId="77777777" w:rsidR="007218C6" w:rsidRPr="00E816E9" w:rsidRDefault="007218C6" w:rsidP="00C07DA0">
            <w:pPr>
              <w:jc w:val="center"/>
              <w:rPr>
                <w:rFonts w:ascii="Times" w:hAnsi="Times" w:cs="TimesNewRomanPSMT"/>
                <w:color w:val="000000"/>
                <w:sz w:val="24"/>
                <w:szCs w:val="24"/>
              </w:rPr>
            </w:pPr>
            <w:r w:rsidRPr="00E816E9">
              <w:rPr>
                <w:rFonts w:ascii="Times" w:hAnsi="Times" w:cs="TimesNewRomanPSMT"/>
                <w:color w:val="000000"/>
                <w:sz w:val="24"/>
                <w:szCs w:val="24"/>
              </w:rPr>
              <w:t>Caesium Nitrate (C)</w:t>
            </w:r>
          </w:p>
        </w:tc>
        <w:tc>
          <w:tcPr>
            <w:tcW w:w="3225" w:type="dxa"/>
            <w:tcBorders>
              <w:left w:val="nil"/>
              <w:bottom w:val="single" w:sz="4" w:space="0" w:color="auto"/>
              <w:right w:val="nil"/>
            </w:tcBorders>
            <w:vAlign w:val="center"/>
          </w:tcPr>
          <w:p w14:paraId="3366B5DD" w14:textId="2A16533E" w:rsidR="007218C6" w:rsidRPr="00E816E9" w:rsidRDefault="00376661" w:rsidP="00C07DA0">
            <w:pPr>
              <w:jc w:val="center"/>
              <w:rPr>
                <w:rFonts w:ascii="Times" w:hAnsi="Times" w:cs="TimesNewRomanPSMT"/>
                <w:color w:val="000000"/>
                <w:sz w:val="24"/>
                <w:szCs w:val="24"/>
              </w:rPr>
            </w:pPr>
            <w:proofErr w:type="gramStart"/>
            <w:r w:rsidRPr="00E816E9">
              <w:rPr>
                <w:rFonts w:ascii="Times" w:hAnsi="Times" w:cs="TimesNewRomanPSMT"/>
                <w:color w:val="000000"/>
                <w:sz w:val="24"/>
                <w:szCs w:val="24"/>
              </w:rPr>
              <w:t>calcium</w:t>
            </w:r>
            <w:proofErr w:type="gramEnd"/>
            <w:r w:rsidRPr="00E816E9">
              <w:rPr>
                <w:rFonts w:ascii="Times" w:hAnsi="Times" w:cs="TimesNewRomanPSMT"/>
                <w:color w:val="000000"/>
                <w:sz w:val="24"/>
                <w:szCs w:val="24"/>
              </w:rPr>
              <w:t>, aluminium, magnesium, sodium, caesium</w:t>
            </w:r>
          </w:p>
        </w:tc>
      </w:tr>
      <w:tr w:rsidR="007218C6" w:rsidRPr="00E816E9" w14:paraId="299EE960" w14:textId="77777777" w:rsidTr="00CE47FF">
        <w:trPr>
          <w:trHeight w:val="831"/>
        </w:trPr>
        <w:tc>
          <w:tcPr>
            <w:tcW w:w="2708" w:type="dxa"/>
            <w:tcBorders>
              <w:top w:val="single" w:sz="4" w:space="0" w:color="auto"/>
              <w:left w:val="nil"/>
              <w:bottom w:val="single" w:sz="4" w:space="0" w:color="auto"/>
              <w:right w:val="nil"/>
            </w:tcBorders>
            <w:vAlign w:val="center"/>
          </w:tcPr>
          <w:p w14:paraId="053370D2" w14:textId="77777777" w:rsidR="007218C6" w:rsidRPr="00E816E9" w:rsidRDefault="007218C6" w:rsidP="00C07DA0">
            <w:pPr>
              <w:jc w:val="center"/>
              <w:rPr>
                <w:rFonts w:ascii="Times" w:hAnsi="Times" w:cs="TimesNewRomanPSMT"/>
                <w:color w:val="000000"/>
                <w:sz w:val="24"/>
                <w:szCs w:val="24"/>
              </w:rPr>
            </w:pPr>
            <w:r w:rsidRPr="00E816E9">
              <w:rPr>
                <w:rFonts w:ascii="Times" w:hAnsi="Times" w:cs="TimesNewRomanPSMT"/>
                <w:color w:val="000000"/>
                <w:sz w:val="24"/>
                <w:szCs w:val="24"/>
              </w:rPr>
              <w:t>Strontium Nitrate (S)</w:t>
            </w:r>
          </w:p>
        </w:tc>
        <w:tc>
          <w:tcPr>
            <w:tcW w:w="3225" w:type="dxa"/>
            <w:tcBorders>
              <w:left w:val="nil"/>
              <w:right w:val="nil"/>
            </w:tcBorders>
            <w:vAlign w:val="center"/>
          </w:tcPr>
          <w:p w14:paraId="217BE8CE" w14:textId="2F601F8E" w:rsidR="007218C6" w:rsidRPr="00E816E9" w:rsidRDefault="00376661" w:rsidP="00C07DA0">
            <w:pPr>
              <w:jc w:val="center"/>
              <w:rPr>
                <w:rFonts w:ascii="Times" w:hAnsi="Times" w:cs="TimesNewRomanPSMT"/>
                <w:color w:val="000000"/>
                <w:sz w:val="24"/>
                <w:szCs w:val="24"/>
              </w:rPr>
            </w:pPr>
            <w:proofErr w:type="gramStart"/>
            <w:r w:rsidRPr="00E816E9">
              <w:rPr>
                <w:rFonts w:ascii="Times" w:hAnsi="Times" w:cs="TimesNewRomanPSMT"/>
                <w:color w:val="000000"/>
                <w:sz w:val="24"/>
                <w:szCs w:val="24"/>
              </w:rPr>
              <w:t>calcium</w:t>
            </w:r>
            <w:proofErr w:type="gramEnd"/>
            <w:r w:rsidRPr="00E816E9">
              <w:rPr>
                <w:rFonts w:ascii="Times" w:hAnsi="Times" w:cs="TimesNewRomanPSMT"/>
                <w:color w:val="000000"/>
                <w:sz w:val="24"/>
                <w:szCs w:val="24"/>
              </w:rPr>
              <w:t>, aluminium, magnesium, sodium, strontium</w:t>
            </w:r>
          </w:p>
        </w:tc>
      </w:tr>
      <w:tr w:rsidR="007218C6" w:rsidRPr="00E816E9" w14:paraId="07B0F7EC" w14:textId="77777777" w:rsidTr="00C07DA0">
        <w:trPr>
          <w:trHeight w:val="277"/>
        </w:trPr>
        <w:tc>
          <w:tcPr>
            <w:tcW w:w="2708" w:type="dxa"/>
            <w:vMerge w:val="restart"/>
            <w:tcBorders>
              <w:left w:val="nil"/>
              <w:right w:val="nil"/>
            </w:tcBorders>
            <w:vAlign w:val="center"/>
          </w:tcPr>
          <w:p w14:paraId="506BC6BD" w14:textId="77777777" w:rsidR="007218C6" w:rsidRPr="00E816E9" w:rsidRDefault="007218C6" w:rsidP="00C07DA0">
            <w:pPr>
              <w:jc w:val="center"/>
              <w:rPr>
                <w:rFonts w:ascii="Times" w:hAnsi="Times" w:cs="TimesNewRomanPSMT"/>
                <w:color w:val="000000"/>
                <w:sz w:val="24"/>
                <w:szCs w:val="24"/>
              </w:rPr>
            </w:pPr>
            <w:r w:rsidRPr="00E816E9">
              <w:rPr>
                <w:rFonts w:ascii="Times" w:hAnsi="Times" w:cs="TimesNewRomanPSMT"/>
                <w:color w:val="000000"/>
                <w:sz w:val="24"/>
                <w:szCs w:val="24"/>
              </w:rPr>
              <w:t>Caesium Nitrate and Strontium Nitrate (CS)</w:t>
            </w:r>
          </w:p>
        </w:tc>
        <w:tc>
          <w:tcPr>
            <w:tcW w:w="3225" w:type="dxa"/>
            <w:vMerge w:val="restart"/>
            <w:tcBorders>
              <w:left w:val="nil"/>
              <w:bottom w:val="single" w:sz="4" w:space="0" w:color="auto"/>
              <w:right w:val="nil"/>
            </w:tcBorders>
            <w:vAlign w:val="center"/>
          </w:tcPr>
          <w:p w14:paraId="51B429B5" w14:textId="4D608DD6" w:rsidR="007218C6" w:rsidRPr="00E816E9" w:rsidRDefault="00376661" w:rsidP="00C07DA0">
            <w:pPr>
              <w:jc w:val="center"/>
              <w:rPr>
                <w:rFonts w:ascii="Times" w:hAnsi="Times" w:cs="TimesNewRomanPSMT"/>
                <w:color w:val="000000"/>
                <w:sz w:val="24"/>
                <w:szCs w:val="24"/>
              </w:rPr>
            </w:pPr>
            <w:proofErr w:type="gramStart"/>
            <w:r w:rsidRPr="00E816E9">
              <w:rPr>
                <w:rFonts w:ascii="Times" w:hAnsi="Times" w:cs="TimesNewRomanPSMT"/>
                <w:color w:val="000000"/>
                <w:sz w:val="24"/>
                <w:szCs w:val="24"/>
              </w:rPr>
              <w:t>calcium</w:t>
            </w:r>
            <w:proofErr w:type="gramEnd"/>
            <w:r w:rsidRPr="00E816E9">
              <w:rPr>
                <w:rFonts w:ascii="Times" w:hAnsi="Times" w:cs="TimesNewRomanPSMT"/>
                <w:color w:val="000000"/>
                <w:sz w:val="24"/>
                <w:szCs w:val="24"/>
              </w:rPr>
              <w:t>, aluminium, magnesium, sodium, caesium, strontium</w:t>
            </w:r>
          </w:p>
        </w:tc>
      </w:tr>
      <w:tr w:rsidR="007218C6" w:rsidRPr="00E816E9" w14:paraId="1C92391B" w14:textId="77777777" w:rsidTr="00CE47FF">
        <w:trPr>
          <w:trHeight w:val="844"/>
        </w:trPr>
        <w:tc>
          <w:tcPr>
            <w:tcW w:w="2708" w:type="dxa"/>
            <w:vMerge/>
            <w:tcBorders>
              <w:left w:val="nil"/>
              <w:right w:val="nil"/>
            </w:tcBorders>
          </w:tcPr>
          <w:p w14:paraId="2B23D32E" w14:textId="77777777" w:rsidR="007218C6" w:rsidRPr="00E816E9" w:rsidRDefault="007218C6" w:rsidP="00C07DA0">
            <w:pPr>
              <w:spacing w:line="360" w:lineRule="auto"/>
              <w:rPr>
                <w:rFonts w:ascii="Times" w:hAnsi="Times" w:cs="TimesNewRomanPSMT"/>
                <w:color w:val="000000"/>
                <w:sz w:val="24"/>
                <w:szCs w:val="24"/>
              </w:rPr>
            </w:pPr>
          </w:p>
        </w:tc>
        <w:tc>
          <w:tcPr>
            <w:tcW w:w="3225" w:type="dxa"/>
            <w:vMerge/>
            <w:tcBorders>
              <w:top w:val="single" w:sz="4" w:space="0" w:color="auto"/>
              <w:left w:val="nil"/>
              <w:bottom w:val="single" w:sz="4" w:space="0" w:color="auto"/>
              <w:right w:val="nil"/>
            </w:tcBorders>
          </w:tcPr>
          <w:p w14:paraId="18695944" w14:textId="77777777" w:rsidR="007218C6" w:rsidRPr="00E816E9" w:rsidRDefault="007218C6" w:rsidP="00C07DA0">
            <w:pPr>
              <w:spacing w:line="360" w:lineRule="auto"/>
              <w:rPr>
                <w:rFonts w:ascii="Times" w:hAnsi="Times" w:cs="TimesNewRomanPSMT"/>
                <w:color w:val="000000"/>
                <w:sz w:val="24"/>
                <w:szCs w:val="24"/>
              </w:rPr>
            </w:pPr>
          </w:p>
        </w:tc>
      </w:tr>
    </w:tbl>
    <w:p w14:paraId="402D11B9" w14:textId="77777777" w:rsidR="002D1CE2" w:rsidRPr="00E816E9" w:rsidRDefault="007218C6" w:rsidP="007218C6">
      <w:pPr>
        <w:rPr>
          <w:rFonts w:ascii="Times" w:hAnsi="Times" w:cs="Times New Roman"/>
          <w:b/>
          <w:bCs/>
          <w:smallCaps/>
          <w:sz w:val="32"/>
          <w:szCs w:val="28"/>
        </w:rPr>
      </w:pPr>
      <w:r w:rsidRPr="00E816E9">
        <w:rPr>
          <w:rFonts w:ascii="Times" w:hAnsi="Times" w:cs="Times New Roman"/>
          <w:b/>
          <w:bCs/>
          <w:smallCaps/>
          <w:sz w:val="32"/>
          <w:szCs w:val="28"/>
        </w:rPr>
        <w:br w:type="textWrapping" w:clear="all"/>
      </w:r>
    </w:p>
    <w:p w14:paraId="53F83BC6" w14:textId="77777777" w:rsidR="002D1CE2" w:rsidRDefault="002D1CE2" w:rsidP="007218C6">
      <w:pPr>
        <w:rPr>
          <w:rFonts w:ascii="Times New Roman" w:hAnsi="Times New Roman" w:cs="Times New Roman"/>
          <w:b/>
          <w:bCs/>
          <w:smallCaps/>
          <w:sz w:val="32"/>
          <w:szCs w:val="28"/>
        </w:rPr>
      </w:pPr>
    </w:p>
    <w:p w14:paraId="5B4970B6" w14:textId="77777777" w:rsidR="0018608F" w:rsidRDefault="0018608F" w:rsidP="007218C6">
      <w:pPr>
        <w:rPr>
          <w:rFonts w:ascii="Times New Roman" w:hAnsi="Times New Roman" w:cs="Times New Roman"/>
          <w:b/>
          <w:bCs/>
          <w:smallCaps/>
          <w:sz w:val="32"/>
          <w:szCs w:val="28"/>
        </w:rPr>
      </w:pPr>
    </w:p>
    <w:p w14:paraId="2B75E769" w14:textId="77777777" w:rsidR="0018608F" w:rsidRDefault="0018608F" w:rsidP="007218C6">
      <w:pPr>
        <w:rPr>
          <w:rFonts w:ascii="Times New Roman" w:hAnsi="Times New Roman" w:cs="Times New Roman"/>
          <w:b/>
          <w:bCs/>
          <w:smallCaps/>
          <w:sz w:val="32"/>
          <w:szCs w:val="28"/>
        </w:rPr>
      </w:pPr>
    </w:p>
    <w:p w14:paraId="653B7332" w14:textId="77777777" w:rsidR="0018608F" w:rsidRDefault="0018608F" w:rsidP="007218C6">
      <w:pPr>
        <w:rPr>
          <w:rFonts w:ascii="Times New Roman" w:hAnsi="Times New Roman" w:cs="Times New Roman"/>
          <w:b/>
          <w:bCs/>
          <w:smallCaps/>
          <w:sz w:val="32"/>
          <w:szCs w:val="28"/>
        </w:rPr>
      </w:pPr>
    </w:p>
    <w:p w14:paraId="34BF2D04" w14:textId="77777777" w:rsidR="0018608F" w:rsidRDefault="0018608F" w:rsidP="007218C6">
      <w:pPr>
        <w:rPr>
          <w:rFonts w:ascii="Times New Roman" w:hAnsi="Times New Roman" w:cs="Times New Roman"/>
          <w:b/>
          <w:bCs/>
          <w:smallCaps/>
          <w:sz w:val="32"/>
          <w:szCs w:val="28"/>
        </w:rPr>
      </w:pPr>
    </w:p>
    <w:p w14:paraId="252EC2DA" w14:textId="77777777" w:rsidR="0018608F" w:rsidRDefault="0018608F" w:rsidP="007218C6">
      <w:pPr>
        <w:rPr>
          <w:rFonts w:ascii="Times New Roman" w:hAnsi="Times New Roman" w:cs="Times New Roman"/>
          <w:b/>
          <w:bCs/>
          <w:smallCaps/>
          <w:sz w:val="32"/>
          <w:szCs w:val="28"/>
        </w:rPr>
      </w:pPr>
    </w:p>
    <w:p w14:paraId="30A58B83" w14:textId="67700E3F" w:rsidR="007218C6" w:rsidRPr="00D16239" w:rsidRDefault="007218C6" w:rsidP="007218C6">
      <w:pPr>
        <w:rPr>
          <w:rFonts w:ascii="Times New Roman" w:hAnsi="Times New Roman" w:cs="Times New Roman"/>
          <w:b/>
          <w:bCs/>
          <w:smallCaps/>
          <w:sz w:val="32"/>
          <w:szCs w:val="28"/>
        </w:rPr>
      </w:pPr>
      <w:r>
        <w:rPr>
          <w:rFonts w:ascii="Times New Roman" w:hAnsi="Times New Roman" w:cs="Times New Roman"/>
          <w:b/>
          <w:bCs/>
          <w:smallCaps/>
          <w:sz w:val="32"/>
          <w:szCs w:val="28"/>
        </w:rPr>
        <w:lastRenderedPageBreak/>
        <w:t>3.4</w:t>
      </w:r>
      <w:r w:rsidRPr="00212707">
        <w:rPr>
          <w:rFonts w:ascii="Times New Roman" w:hAnsi="Times New Roman" w:cs="Times New Roman"/>
          <w:b/>
          <w:bCs/>
          <w:smallCaps/>
          <w:sz w:val="32"/>
          <w:szCs w:val="28"/>
        </w:rPr>
        <w:tab/>
        <w:t xml:space="preserve">The impact of superplasticisers on leaching </w:t>
      </w:r>
      <w:r w:rsidR="00BD0211">
        <w:rPr>
          <w:rFonts w:ascii="Times New Roman" w:hAnsi="Times New Roman" w:cs="Times New Roman"/>
          <w:b/>
          <w:bCs/>
          <w:smallCaps/>
          <w:sz w:val="32"/>
          <w:szCs w:val="28"/>
        </w:rPr>
        <w:tab/>
      </w:r>
      <w:r w:rsidRPr="00212707">
        <w:rPr>
          <w:rFonts w:ascii="Times New Roman" w:hAnsi="Times New Roman" w:cs="Times New Roman"/>
          <w:b/>
          <w:bCs/>
          <w:smallCaps/>
          <w:sz w:val="32"/>
          <w:szCs w:val="28"/>
        </w:rPr>
        <w:t>behaviour</w:t>
      </w:r>
    </w:p>
    <w:p w14:paraId="5BB7F8F6" w14:textId="77777777" w:rsidR="00F95A35" w:rsidRDefault="00F95A35" w:rsidP="007218C6">
      <w:pPr>
        <w:spacing w:line="360" w:lineRule="auto"/>
        <w:jc w:val="both"/>
        <w:rPr>
          <w:rFonts w:ascii="Times New Roman" w:hAnsi="Times New Roman" w:cs="Times New Roman"/>
          <w:b/>
          <w:bCs/>
          <w:sz w:val="28"/>
        </w:rPr>
      </w:pPr>
    </w:p>
    <w:p w14:paraId="59E5FE19" w14:textId="29B28D80" w:rsidR="007218C6" w:rsidRPr="00CB07A9" w:rsidRDefault="007218C6" w:rsidP="007218C6">
      <w:pPr>
        <w:spacing w:line="360" w:lineRule="auto"/>
        <w:jc w:val="both"/>
        <w:rPr>
          <w:rFonts w:ascii="Times New Roman" w:hAnsi="Times New Roman" w:cs="Times New Roman"/>
          <w:b/>
          <w:bCs/>
          <w:sz w:val="28"/>
        </w:rPr>
      </w:pPr>
      <w:r w:rsidRPr="00212707">
        <w:rPr>
          <w:rFonts w:ascii="Times New Roman" w:hAnsi="Times New Roman" w:cs="Times New Roman"/>
          <w:b/>
          <w:bCs/>
          <w:sz w:val="28"/>
        </w:rPr>
        <w:t>Introduction</w:t>
      </w:r>
      <w:r>
        <w:rPr>
          <w:rFonts w:ascii="Times New Roman" w:hAnsi="Times New Roman" w:cs="Times New Roman"/>
          <w:b/>
          <w:bCs/>
          <w:sz w:val="28"/>
        </w:rPr>
        <w:br/>
      </w:r>
      <w:r w:rsidRPr="00A26A92">
        <w:rPr>
          <w:rFonts w:ascii="Times New Roman" w:hAnsi="Times New Roman" w:cs="Times New Roman"/>
        </w:rPr>
        <w:t xml:space="preserve">The </w:t>
      </w:r>
      <w:r w:rsidR="00E93F98">
        <w:rPr>
          <w:rFonts w:ascii="Times New Roman" w:hAnsi="Times New Roman" w:cs="Times New Roman"/>
        </w:rPr>
        <w:t xml:space="preserve">aforementioned complexing behavior of superplasticisers and its impact on leaching of </w:t>
      </w:r>
      <w:proofErr w:type="gramStart"/>
      <w:r w:rsidR="00E93F98">
        <w:rPr>
          <w:rFonts w:ascii="Times New Roman" w:hAnsi="Times New Roman" w:cs="Times New Roman"/>
        </w:rPr>
        <w:t>radionuclides,</w:t>
      </w:r>
      <w:proofErr w:type="gramEnd"/>
      <w:r w:rsidR="00E93F98">
        <w:rPr>
          <w:rFonts w:ascii="Times New Roman" w:hAnsi="Times New Roman" w:cs="Times New Roman"/>
        </w:rPr>
        <w:t xml:space="preserve"> was</w:t>
      </w:r>
      <w:r>
        <w:rPr>
          <w:rFonts w:ascii="Times New Roman" w:hAnsi="Times New Roman" w:cs="Times New Roman"/>
        </w:rPr>
        <w:t xml:space="preserve"> investigated</w:t>
      </w:r>
      <w:r w:rsidRPr="00A26A92">
        <w:rPr>
          <w:rFonts w:ascii="Times New Roman" w:hAnsi="Times New Roman" w:cs="Times New Roman"/>
        </w:rPr>
        <w:t xml:space="preserve"> by comparing the concentration of cerium </w:t>
      </w:r>
      <w:r>
        <w:rPr>
          <w:rFonts w:ascii="Times New Roman" w:hAnsi="Times New Roman" w:cs="Times New Roman"/>
        </w:rPr>
        <w:t xml:space="preserve">in a leachate </w:t>
      </w:r>
      <w:r w:rsidRPr="00A26A92">
        <w:rPr>
          <w:rFonts w:ascii="Times New Roman" w:hAnsi="Times New Roman" w:cs="Times New Roman"/>
        </w:rPr>
        <w:t xml:space="preserve">from two static leaching tests. </w:t>
      </w:r>
      <w:r>
        <w:rPr>
          <w:rFonts w:ascii="Times New Roman" w:hAnsi="Times New Roman" w:cs="Times New Roman"/>
        </w:rPr>
        <w:t>Furthermore in the storage environment any leached radionuclides from the cement would then come into contact with cement backfill</w:t>
      </w:r>
      <w:r w:rsidRPr="00A26A92">
        <w:rPr>
          <w:rFonts w:ascii="Times New Roman" w:hAnsi="Times New Roman" w:cs="Times New Roman"/>
        </w:rPr>
        <w:t xml:space="preserve">, this project also </w:t>
      </w:r>
      <w:r>
        <w:rPr>
          <w:rFonts w:ascii="Times New Roman" w:hAnsi="Times New Roman" w:cs="Times New Roman"/>
        </w:rPr>
        <w:t xml:space="preserve">tested the </w:t>
      </w:r>
      <w:r w:rsidRPr="00A26A92">
        <w:rPr>
          <w:rFonts w:ascii="Times New Roman" w:hAnsi="Times New Roman" w:cs="Times New Roman"/>
        </w:rPr>
        <w:t xml:space="preserve">permeability of the Nirex Reference Vault backfill (NRVB) used in industry to assess how much of the leached cerium will actually </w:t>
      </w:r>
      <w:r w:rsidR="00E93F98">
        <w:rPr>
          <w:rFonts w:ascii="Times New Roman" w:hAnsi="Times New Roman" w:cs="Times New Roman"/>
        </w:rPr>
        <w:t>escape</w:t>
      </w:r>
      <w:r w:rsidRPr="00A26A92">
        <w:rPr>
          <w:rFonts w:ascii="Times New Roman" w:hAnsi="Times New Roman" w:cs="Times New Roman"/>
        </w:rPr>
        <w:t xml:space="preserve"> to the surrounding </w:t>
      </w:r>
      <w:r>
        <w:rPr>
          <w:rFonts w:ascii="Times New Roman" w:hAnsi="Times New Roman" w:cs="Times New Roman"/>
        </w:rPr>
        <w:t>environment, and to investigate the impact of the superplasticiser on the</w:t>
      </w:r>
      <w:r w:rsidR="00E93F98">
        <w:rPr>
          <w:rFonts w:ascii="Times New Roman" w:hAnsi="Times New Roman" w:cs="Times New Roman"/>
        </w:rPr>
        <w:t xml:space="preserve"> cerium</w:t>
      </w:r>
      <w:r>
        <w:rPr>
          <w:rFonts w:ascii="Times New Roman" w:hAnsi="Times New Roman" w:cs="Times New Roman"/>
        </w:rPr>
        <w:t xml:space="preserve"> re</w:t>
      </w:r>
      <w:r w:rsidR="00E93F98">
        <w:rPr>
          <w:rFonts w:ascii="Times New Roman" w:hAnsi="Times New Roman" w:cs="Times New Roman"/>
        </w:rPr>
        <w:t>tention in NRVB</w:t>
      </w:r>
      <w:r w:rsidRPr="00A26A92">
        <w:rPr>
          <w:rFonts w:ascii="Times New Roman" w:hAnsi="Times New Roman" w:cs="Times New Roman"/>
        </w:rPr>
        <w:t xml:space="preserve">. </w:t>
      </w:r>
    </w:p>
    <w:p w14:paraId="6751F94B" w14:textId="77777777" w:rsidR="007218C6" w:rsidRDefault="007218C6" w:rsidP="007218C6">
      <w:pPr>
        <w:spacing w:line="360" w:lineRule="auto"/>
        <w:ind w:left="720" w:hanging="720"/>
        <w:rPr>
          <w:rFonts w:ascii="Times New Roman" w:hAnsi="Times New Roman" w:cs="Times New Roman"/>
          <w:b/>
          <w:bCs/>
          <w:sz w:val="28"/>
        </w:rPr>
      </w:pPr>
    </w:p>
    <w:p w14:paraId="4ED5A7E2" w14:textId="7034B612" w:rsidR="007218C6" w:rsidRPr="00212707" w:rsidRDefault="007218C6" w:rsidP="007218C6">
      <w:pPr>
        <w:spacing w:line="360" w:lineRule="auto"/>
        <w:ind w:left="720" w:hanging="720"/>
        <w:rPr>
          <w:rFonts w:ascii="Times New Roman" w:hAnsi="Times New Roman" w:cs="Times New Roman"/>
          <w:sz w:val="28"/>
        </w:rPr>
      </w:pPr>
      <w:r>
        <w:rPr>
          <w:rFonts w:ascii="Times New Roman" w:hAnsi="Times New Roman" w:cs="Times New Roman"/>
          <w:b/>
          <w:bCs/>
          <w:sz w:val="28"/>
        </w:rPr>
        <w:t>3.4.1</w:t>
      </w:r>
      <w:r w:rsidRPr="00212707">
        <w:rPr>
          <w:rFonts w:ascii="Times New Roman" w:hAnsi="Times New Roman" w:cs="Times New Roman"/>
          <w:b/>
          <w:bCs/>
          <w:sz w:val="28"/>
        </w:rPr>
        <w:tab/>
      </w:r>
      <w:r>
        <w:rPr>
          <w:rFonts w:ascii="Times New Roman" w:hAnsi="Times New Roman" w:cs="Times New Roman"/>
          <w:b/>
          <w:bCs/>
          <w:sz w:val="28"/>
        </w:rPr>
        <w:t>E</w:t>
      </w:r>
      <w:r>
        <w:rPr>
          <w:rFonts w:ascii="Times New Roman" w:hAnsi="Times New Roman"/>
          <w:b/>
          <w:bCs/>
          <w:sz w:val="28"/>
        </w:rPr>
        <w:t xml:space="preserve">ffect of Superplasticiser on Leaching of Cement Samples </w:t>
      </w:r>
      <w:r w:rsidR="00190FC0">
        <w:rPr>
          <w:rFonts w:ascii="Times New Roman" w:hAnsi="Times New Roman"/>
          <w:b/>
          <w:bCs/>
          <w:sz w:val="28"/>
        </w:rPr>
        <w:t xml:space="preserve">containing </w:t>
      </w:r>
      <w:r>
        <w:rPr>
          <w:rFonts w:ascii="Times New Roman" w:hAnsi="Times New Roman"/>
          <w:b/>
          <w:bCs/>
          <w:sz w:val="28"/>
        </w:rPr>
        <w:t>Cerium Nitrate</w:t>
      </w:r>
    </w:p>
    <w:p w14:paraId="759669AE" w14:textId="77777777" w:rsidR="007218C6" w:rsidRPr="009544F9" w:rsidRDefault="007218C6" w:rsidP="007218C6">
      <w:pPr>
        <w:spacing w:line="360" w:lineRule="auto"/>
        <w:jc w:val="both"/>
        <w:rPr>
          <w:rFonts w:ascii="Times New Roman" w:hAnsi="Times New Roman" w:cs="Times New Roman"/>
        </w:rPr>
      </w:pPr>
      <w:r w:rsidRPr="009544F9">
        <w:rPr>
          <w:rFonts w:ascii="Times New Roman" w:hAnsi="Times New Roman" w:cs="Times New Roman"/>
        </w:rPr>
        <w:t>i.</w:t>
      </w:r>
      <w:r w:rsidRPr="009544F9">
        <w:rPr>
          <w:rFonts w:ascii="Times New Roman" w:hAnsi="Times New Roman" w:cs="Times New Roman"/>
        </w:rPr>
        <w:tab/>
        <w:t>Materials</w:t>
      </w:r>
    </w:p>
    <w:p w14:paraId="26613D96" w14:textId="38C54CA8" w:rsidR="007218C6" w:rsidRDefault="007218C6" w:rsidP="007218C6">
      <w:pPr>
        <w:spacing w:line="360" w:lineRule="auto"/>
        <w:jc w:val="both"/>
        <w:rPr>
          <w:rFonts w:ascii="Times New Roman" w:hAnsi="Times New Roman" w:cs="Times New Roman"/>
        </w:rPr>
      </w:pPr>
      <w:r w:rsidRPr="00A26A92">
        <w:rPr>
          <w:rFonts w:ascii="Times New Roman" w:hAnsi="Times New Roman" w:cs="Times New Roman"/>
        </w:rPr>
        <w:t xml:space="preserve">The type and ratio of </w:t>
      </w:r>
      <w:r w:rsidR="00E85025">
        <w:rPr>
          <w:rFonts w:ascii="Times New Roman" w:hAnsi="Times New Roman" w:cs="Times New Roman"/>
        </w:rPr>
        <w:t>PC</w:t>
      </w:r>
      <w:r w:rsidRPr="00A26A92">
        <w:rPr>
          <w:rFonts w:ascii="Times New Roman" w:hAnsi="Times New Roman" w:cs="Times New Roman"/>
        </w:rPr>
        <w:t xml:space="preserve"> and BFS used in this experiment were the same as in section 3.2. </w:t>
      </w:r>
      <w:r w:rsidR="00BF3A0A">
        <w:rPr>
          <w:rFonts w:ascii="Times New Roman" w:hAnsi="Times New Roman" w:cs="Times New Roman"/>
        </w:rPr>
        <w:t xml:space="preserve">The most commonly used (v/w%) of </w:t>
      </w:r>
      <w:r w:rsidR="0095254C">
        <w:rPr>
          <w:rFonts w:ascii="Times New Roman" w:hAnsi="Times New Roman" w:cs="Times New Roman"/>
        </w:rPr>
        <w:t>superplasticiser to cement paste is 0.5 v/w%</w:t>
      </w:r>
      <w:r w:rsidR="00AB70FB">
        <w:rPr>
          <w:rFonts w:ascii="Times New Roman" w:hAnsi="Times New Roman" w:cs="Times New Roman"/>
        </w:rPr>
        <w:t xml:space="preserve"> [9</w:t>
      </w:r>
      <w:r w:rsidR="00B636BE">
        <w:rPr>
          <w:rFonts w:ascii="Times New Roman" w:hAnsi="Times New Roman" w:cs="Times New Roman"/>
        </w:rPr>
        <w:t>]</w:t>
      </w:r>
      <w:r w:rsidR="0095254C">
        <w:rPr>
          <w:rFonts w:ascii="Times New Roman" w:hAnsi="Times New Roman" w:cs="Times New Roman"/>
        </w:rPr>
        <w:t>. Given the total</w:t>
      </w:r>
      <w:r w:rsidRPr="00A26A92">
        <w:rPr>
          <w:rFonts w:ascii="Times New Roman" w:hAnsi="Times New Roman" w:cs="Times New Roman"/>
        </w:rPr>
        <w:t xml:space="preserve"> c</w:t>
      </w:r>
      <w:r>
        <w:rPr>
          <w:rFonts w:ascii="Times New Roman" w:hAnsi="Times New Roman" w:cs="Times New Roman"/>
        </w:rPr>
        <w:t>e</w:t>
      </w:r>
      <w:r w:rsidR="0095254C">
        <w:rPr>
          <w:rFonts w:ascii="Times New Roman" w:hAnsi="Times New Roman" w:cs="Times New Roman"/>
        </w:rPr>
        <w:t>ment paste weight was 323.4g,</w:t>
      </w:r>
      <w:r>
        <w:rPr>
          <w:rFonts w:ascii="Times New Roman" w:hAnsi="Times New Roman" w:cs="Times New Roman"/>
        </w:rPr>
        <w:t xml:space="preserve"> t</w:t>
      </w:r>
      <w:r w:rsidRPr="00A26A92">
        <w:rPr>
          <w:rFonts w:ascii="Times New Roman" w:hAnsi="Times New Roman" w:cs="Times New Roman"/>
        </w:rPr>
        <w:t>he</w:t>
      </w:r>
      <w:r>
        <w:rPr>
          <w:rFonts w:ascii="Times New Roman" w:hAnsi="Times New Roman" w:cs="Times New Roman"/>
        </w:rPr>
        <w:t xml:space="preserve"> superplasticiser</w:t>
      </w:r>
      <w:r w:rsidRPr="00A26A92">
        <w:rPr>
          <w:rFonts w:ascii="Times New Roman" w:hAnsi="Times New Roman" w:cs="Times New Roman"/>
        </w:rPr>
        <w:t xml:space="preserve"> ADVA cast </w:t>
      </w:r>
      <w:proofErr w:type="gramStart"/>
      <w:r w:rsidRPr="00A26A92">
        <w:rPr>
          <w:rFonts w:ascii="Times New Roman" w:hAnsi="Times New Roman" w:cs="Times New Roman"/>
        </w:rPr>
        <w:t>551 (ADV) concentration</w:t>
      </w:r>
      <w:proofErr w:type="gramEnd"/>
      <w:r w:rsidRPr="00A26A92">
        <w:rPr>
          <w:rFonts w:ascii="Times New Roman" w:hAnsi="Times New Roman" w:cs="Times New Roman"/>
        </w:rPr>
        <w:t xml:space="preserve"> </w:t>
      </w:r>
      <w:r>
        <w:rPr>
          <w:rFonts w:ascii="Times New Roman" w:hAnsi="Times New Roman" w:cs="Times New Roman"/>
        </w:rPr>
        <w:t xml:space="preserve">was </w:t>
      </w:r>
      <w:r w:rsidRPr="00A26A92">
        <w:rPr>
          <w:rFonts w:ascii="Times New Roman" w:hAnsi="Times New Roman" w:cs="Times New Roman"/>
        </w:rPr>
        <w:t>1.62ml</w:t>
      </w:r>
      <w:r w:rsidR="00400A55">
        <w:rPr>
          <w:rFonts w:ascii="Times New Roman" w:hAnsi="Times New Roman" w:cs="Times New Roman"/>
        </w:rPr>
        <w:t xml:space="preserve">. </w:t>
      </w:r>
      <w:r w:rsidR="001433C3">
        <w:rPr>
          <w:rFonts w:ascii="Times New Roman" w:eastAsia="Batang" w:hAnsi="Times New Roman" w:cs="Times New Roman"/>
        </w:rPr>
        <w:t xml:space="preserve">The cerium </w:t>
      </w:r>
      <w:r w:rsidR="005E7FBA">
        <w:rPr>
          <w:rFonts w:ascii="Times New Roman" w:eastAsia="Batang" w:hAnsi="Times New Roman" w:cs="Times New Roman"/>
        </w:rPr>
        <w:t>containing</w:t>
      </w:r>
      <w:r w:rsidR="001433C3">
        <w:rPr>
          <w:rFonts w:ascii="Times New Roman" w:eastAsia="Batang" w:hAnsi="Times New Roman" w:cs="Times New Roman"/>
        </w:rPr>
        <w:t xml:space="preserve"> product when adding </w:t>
      </w:r>
      <w:proofErr w:type="gramStart"/>
      <w:r w:rsidR="00B279EC">
        <w:rPr>
          <w:rFonts w:ascii="Times New Roman" w:eastAsia="Batang" w:hAnsi="Times New Roman" w:cs="Times New Roman"/>
        </w:rPr>
        <w:t>Ce(</w:t>
      </w:r>
      <w:proofErr w:type="gramEnd"/>
      <w:r w:rsidR="00B279EC">
        <w:rPr>
          <w:rFonts w:ascii="Times New Roman" w:eastAsia="Batang" w:hAnsi="Times New Roman" w:cs="Times New Roman"/>
        </w:rPr>
        <w:t>NO</w:t>
      </w:r>
      <w:r w:rsidR="00B279EC">
        <w:rPr>
          <w:rFonts w:ascii="Times New Roman" w:eastAsia="Batang" w:hAnsi="Times New Roman" w:cs="Times New Roman"/>
          <w:vertAlign w:val="subscript"/>
        </w:rPr>
        <w:t>3</w:t>
      </w:r>
      <w:r w:rsidR="00B279EC">
        <w:rPr>
          <w:rFonts w:ascii="Times New Roman" w:eastAsia="Batang" w:hAnsi="Times New Roman" w:cs="Times New Roman"/>
        </w:rPr>
        <w:t>)</w:t>
      </w:r>
      <w:r w:rsidR="00B279EC">
        <w:rPr>
          <w:rFonts w:ascii="Times New Roman" w:eastAsia="Batang" w:hAnsi="Times New Roman" w:cs="Times New Roman"/>
          <w:vertAlign w:val="subscript"/>
        </w:rPr>
        <w:t xml:space="preserve">3 </w:t>
      </w:r>
      <w:r w:rsidR="00B279EC">
        <w:rPr>
          <w:rFonts w:ascii="Times New Roman" w:eastAsia="Batang" w:hAnsi="Times New Roman" w:cs="Times New Roman"/>
        </w:rPr>
        <w:t xml:space="preserve">to water </w:t>
      </w:r>
      <w:r w:rsidR="001433C3">
        <w:rPr>
          <w:rFonts w:ascii="Times New Roman" w:eastAsia="Batang" w:hAnsi="Times New Roman" w:cs="Times New Roman"/>
        </w:rPr>
        <w:t>is</w:t>
      </w:r>
      <w:r w:rsidR="00B279EC">
        <w:rPr>
          <w:rFonts w:ascii="Times New Roman" w:eastAsia="Batang" w:hAnsi="Times New Roman" w:cs="Times New Roman"/>
        </w:rPr>
        <w:t xml:space="preserve"> Ce(OH)</w:t>
      </w:r>
      <w:r w:rsidR="00B279EC">
        <w:rPr>
          <w:rFonts w:ascii="Times New Roman" w:eastAsia="Batang" w:hAnsi="Times New Roman" w:cs="Times New Roman"/>
          <w:vertAlign w:val="subscript"/>
        </w:rPr>
        <w:t xml:space="preserve">3. </w:t>
      </w:r>
      <w:r w:rsidR="00F60C85">
        <w:rPr>
          <w:rFonts w:ascii="Times New Roman" w:eastAsia="Batang" w:hAnsi="Times New Roman" w:cs="Times New Roman"/>
        </w:rPr>
        <w:t>The</w:t>
      </w:r>
      <w:r w:rsidR="00B279EC">
        <w:rPr>
          <w:rFonts w:ascii="Times New Roman" w:eastAsia="Batang" w:hAnsi="Times New Roman" w:cs="Times New Roman"/>
        </w:rPr>
        <w:t xml:space="preserve"> amounts of </w:t>
      </w:r>
      <w:proofErr w:type="gramStart"/>
      <w:r w:rsidR="00B279EC">
        <w:rPr>
          <w:rFonts w:ascii="Times New Roman" w:eastAsia="Batang" w:hAnsi="Times New Roman" w:cs="Times New Roman"/>
        </w:rPr>
        <w:t>Ce(</w:t>
      </w:r>
      <w:proofErr w:type="gramEnd"/>
      <w:r w:rsidR="00B279EC">
        <w:rPr>
          <w:rFonts w:ascii="Times New Roman" w:eastAsia="Batang" w:hAnsi="Times New Roman" w:cs="Times New Roman"/>
        </w:rPr>
        <w:t>NO</w:t>
      </w:r>
      <w:r w:rsidR="00B279EC">
        <w:rPr>
          <w:rFonts w:ascii="Times New Roman" w:eastAsia="Batang" w:hAnsi="Times New Roman" w:cs="Times New Roman"/>
        </w:rPr>
        <w:softHyphen/>
      </w:r>
      <w:r w:rsidR="00B279EC">
        <w:rPr>
          <w:rFonts w:ascii="Times New Roman" w:eastAsia="Batang" w:hAnsi="Times New Roman" w:cs="Times New Roman"/>
        </w:rPr>
        <w:softHyphen/>
      </w:r>
      <w:r w:rsidR="00B279EC">
        <w:rPr>
          <w:rFonts w:ascii="Times New Roman" w:eastAsia="Batang" w:hAnsi="Times New Roman" w:cs="Times New Roman"/>
        </w:rPr>
        <w:softHyphen/>
      </w:r>
      <w:r w:rsidR="00B279EC">
        <w:rPr>
          <w:rFonts w:ascii="Times New Roman" w:eastAsia="Batang" w:hAnsi="Times New Roman" w:cs="Times New Roman"/>
        </w:rPr>
        <w:softHyphen/>
      </w:r>
      <w:r w:rsidR="00B279EC">
        <w:rPr>
          <w:rFonts w:ascii="Times New Roman" w:eastAsia="Batang" w:hAnsi="Times New Roman" w:cs="Times New Roman"/>
          <w:vertAlign w:val="subscript"/>
        </w:rPr>
        <w:t>3</w:t>
      </w:r>
      <w:r w:rsidR="00B279EC">
        <w:rPr>
          <w:rFonts w:ascii="Times New Roman" w:eastAsia="Batang" w:hAnsi="Times New Roman" w:cs="Times New Roman"/>
        </w:rPr>
        <w:t>)</w:t>
      </w:r>
      <w:r w:rsidR="00B279EC">
        <w:rPr>
          <w:rFonts w:ascii="Times New Roman" w:eastAsia="Batang" w:hAnsi="Times New Roman" w:cs="Times New Roman"/>
          <w:vertAlign w:val="subscript"/>
        </w:rPr>
        <w:t xml:space="preserve">3  </w:t>
      </w:r>
      <w:r w:rsidR="00B279EC">
        <w:rPr>
          <w:rFonts w:ascii="Times New Roman" w:eastAsia="Batang" w:hAnsi="Times New Roman" w:cs="Times New Roman"/>
        </w:rPr>
        <w:t>was added to each based on the solubility limits of cerium hydroxide (</w:t>
      </w:r>
      <w:r w:rsidR="00B279EC">
        <w:rPr>
          <w:rFonts w:ascii="Times New Roman" w:hAnsi="Times New Roman" w:cs="Times New Roman"/>
        </w:rPr>
        <w:t>Ce(OH)</w:t>
      </w:r>
      <w:r w:rsidR="00B279EC">
        <w:rPr>
          <w:rFonts w:ascii="Times New Roman" w:hAnsi="Times New Roman" w:cs="Times New Roman"/>
          <w:vertAlign w:val="subscript"/>
        </w:rPr>
        <w:t>3</w:t>
      </w:r>
      <w:r w:rsidR="00B279EC">
        <w:rPr>
          <w:rFonts w:ascii="Times New Roman" w:hAnsi="Times New Roman" w:cs="Times New Roman"/>
        </w:rPr>
        <w:t>)</w:t>
      </w:r>
      <w:r w:rsidR="00F60C85">
        <w:rPr>
          <w:rFonts w:ascii="Times New Roman" w:hAnsi="Times New Roman" w:cs="Times New Roman"/>
        </w:rPr>
        <w:t xml:space="preserve"> to ensure optimal Ce inclusion within the solution</w:t>
      </w:r>
      <w:r w:rsidR="00B279EC">
        <w:rPr>
          <w:rFonts w:ascii="Times New Roman" w:eastAsia="Batang" w:hAnsi="Times New Roman" w:cs="Times New Roman"/>
        </w:rPr>
        <w:t xml:space="preserve">. </w:t>
      </w:r>
      <w:r w:rsidR="00B279EC">
        <w:rPr>
          <w:rFonts w:ascii="Times New Roman" w:hAnsi="Times New Roman" w:cs="Times New Roman"/>
        </w:rPr>
        <w:t xml:space="preserve">10wt% </w:t>
      </w:r>
      <w:proofErr w:type="gramStart"/>
      <w:r w:rsidR="00B279EC">
        <w:rPr>
          <w:rFonts w:ascii="Times New Roman" w:eastAsia="Batang" w:hAnsi="Times New Roman" w:cs="Times New Roman"/>
        </w:rPr>
        <w:t>Ce(</w:t>
      </w:r>
      <w:proofErr w:type="gramEnd"/>
      <w:r w:rsidR="00B279EC">
        <w:rPr>
          <w:rFonts w:ascii="Times New Roman" w:eastAsia="Batang" w:hAnsi="Times New Roman" w:cs="Times New Roman"/>
        </w:rPr>
        <w:t>NO</w:t>
      </w:r>
      <w:r w:rsidR="00B279EC">
        <w:rPr>
          <w:rFonts w:ascii="Times New Roman" w:eastAsia="Batang" w:hAnsi="Times New Roman" w:cs="Times New Roman"/>
        </w:rPr>
        <w:softHyphen/>
      </w:r>
      <w:r w:rsidR="00B279EC">
        <w:rPr>
          <w:rFonts w:ascii="Times New Roman" w:eastAsia="Batang" w:hAnsi="Times New Roman" w:cs="Times New Roman"/>
        </w:rPr>
        <w:softHyphen/>
      </w:r>
      <w:r w:rsidR="00B279EC">
        <w:rPr>
          <w:rFonts w:ascii="Times New Roman" w:eastAsia="Batang" w:hAnsi="Times New Roman" w:cs="Times New Roman"/>
        </w:rPr>
        <w:softHyphen/>
      </w:r>
      <w:r w:rsidR="00B279EC">
        <w:rPr>
          <w:rFonts w:ascii="Times New Roman" w:eastAsia="Batang" w:hAnsi="Times New Roman" w:cs="Times New Roman"/>
        </w:rPr>
        <w:softHyphen/>
      </w:r>
      <w:r w:rsidR="00B279EC">
        <w:rPr>
          <w:rFonts w:ascii="Times New Roman" w:eastAsia="Batang" w:hAnsi="Times New Roman" w:cs="Times New Roman"/>
          <w:vertAlign w:val="subscript"/>
        </w:rPr>
        <w:t>3</w:t>
      </w:r>
      <w:r w:rsidR="00B279EC">
        <w:rPr>
          <w:rFonts w:ascii="Times New Roman" w:eastAsia="Batang" w:hAnsi="Times New Roman" w:cs="Times New Roman"/>
        </w:rPr>
        <w:t>)</w:t>
      </w:r>
      <w:r w:rsidR="00B279EC">
        <w:rPr>
          <w:rFonts w:ascii="Times New Roman" w:eastAsia="Batang" w:hAnsi="Times New Roman" w:cs="Times New Roman"/>
          <w:vertAlign w:val="subscript"/>
        </w:rPr>
        <w:t xml:space="preserve">3 </w:t>
      </w:r>
      <w:r w:rsidR="00B279EC">
        <w:rPr>
          <w:rFonts w:ascii="Times New Roman" w:eastAsia="Batang" w:hAnsi="Times New Roman" w:cs="Times New Roman"/>
        </w:rPr>
        <w:t xml:space="preserve">was used and </w:t>
      </w:r>
      <w:r w:rsidR="00F60C85">
        <w:rPr>
          <w:rFonts w:ascii="Times New Roman" w:eastAsia="Batang" w:hAnsi="Times New Roman" w:cs="Times New Roman"/>
        </w:rPr>
        <w:t xml:space="preserve">any </w:t>
      </w:r>
      <w:r w:rsidR="004E349F">
        <w:rPr>
          <w:rFonts w:ascii="Times New Roman" w:eastAsia="Batang" w:hAnsi="Times New Roman" w:cs="Times New Roman"/>
        </w:rPr>
        <w:t>precipitates</w:t>
      </w:r>
      <w:r w:rsidR="00F60C85">
        <w:rPr>
          <w:rFonts w:ascii="Times New Roman" w:eastAsia="Batang" w:hAnsi="Times New Roman" w:cs="Times New Roman"/>
        </w:rPr>
        <w:t xml:space="preserve"> </w:t>
      </w:r>
      <w:r w:rsidR="00B279EC">
        <w:rPr>
          <w:rFonts w:ascii="Times New Roman" w:eastAsia="Batang" w:hAnsi="Times New Roman" w:cs="Times New Roman"/>
        </w:rPr>
        <w:t>were filtered.</w:t>
      </w:r>
      <w:r w:rsidR="00B279EC">
        <w:rPr>
          <w:rFonts w:ascii="Times New Roman" w:eastAsia="Batang" w:hAnsi="Times New Roman" w:cs="Times New Roman"/>
          <w:vertAlign w:val="subscript"/>
        </w:rPr>
        <w:t xml:space="preserve"> </w:t>
      </w:r>
      <w:r w:rsidRPr="00A26A92">
        <w:rPr>
          <w:rFonts w:ascii="Times New Roman" w:hAnsi="Times New Roman" w:cs="Times New Roman"/>
        </w:rPr>
        <w:t>The cement com</w:t>
      </w:r>
      <w:r w:rsidR="00E816E9">
        <w:rPr>
          <w:rFonts w:ascii="Times New Roman" w:hAnsi="Times New Roman" w:cs="Times New Roman"/>
        </w:rPr>
        <w:t>positions are shown in table 3.6</w:t>
      </w:r>
      <w:r w:rsidRPr="00A26A92">
        <w:rPr>
          <w:rFonts w:ascii="Times New Roman" w:hAnsi="Times New Roman" w:cs="Times New Roman"/>
        </w:rPr>
        <w:t xml:space="preserve">. </w:t>
      </w:r>
    </w:p>
    <w:p w14:paraId="4A4F6F84" w14:textId="77777777" w:rsidR="007263ED" w:rsidRPr="009544F9" w:rsidRDefault="007263ED" w:rsidP="007218C6">
      <w:pPr>
        <w:spacing w:line="360" w:lineRule="auto"/>
        <w:jc w:val="both"/>
        <w:rPr>
          <w:rFonts w:ascii="Times New Roman" w:hAnsi="Times New Roman" w:cs="Times New Roman"/>
        </w:rPr>
      </w:pPr>
    </w:p>
    <w:p w14:paraId="7B846341" w14:textId="27110A53" w:rsidR="007218C6" w:rsidRPr="000B2FA2" w:rsidRDefault="00E816E9" w:rsidP="007218C6">
      <w:pPr>
        <w:jc w:val="center"/>
        <w:rPr>
          <w:rFonts w:ascii="Times New Roman" w:hAnsi="Times New Roman" w:cs="Times New Roman"/>
        </w:rPr>
      </w:pPr>
      <w:r>
        <w:rPr>
          <w:rFonts w:ascii="Times New Roman" w:hAnsi="Times New Roman" w:cs="Times New Roman"/>
          <w:b/>
        </w:rPr>
        <w:t>Table 3.6</w:t>
      </w:r>
      <w:r w:rsidR="007218C6" w:rsidRPr="00A26A92">
        <w:rPr>
          <w:rFonts w:ascii="Times New Roman" w:hAnsi="Times New Roman" w:cs="Times New Roman"/>
          <w:b/>
        </w:rPr>
        <w:t>:</w:t>
      </w:r>
      <w:r w:rsidR="007218C6" w:rsidRPr="00A26A92">
        <w:rPr>
          <w:rFonts w:ascii="Times New Roman" w:hAnsi="Times New Roman" w:cs="Times New Roman"/>
          <w:b/>
        </w:rPr>
        <w:tab/>
      </w:r>
      <w:r w:rsidR="007218C6">
        <w:rPr>
          <w:rFonts w:ascii="Times New Roman" w:hAnsi="Times New Roman" w:cs="Times New Roman"/>
        </w:rPr>
        <w:t>Cement sample composition</w:t>
      </w:r>
      <w:r w:rsidR="00B279EC">
        <w:rPr>
          <w:rFonts w:ascii="Times New Roman" w:hAnsi="Times New Roman" w:cs="Times New Roman"/>
        </w:rPr>
        <w:t>s</w:t>
      </w:r>
    </w:p>
    <w:tbl>
      <w:tblPr>
        <w:tblW w:w="0" w:type="auto"/>
        <w:jc w:val="center"/>
        <w:tblInd w:w="-26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7"/>
        <w:gridCol w:w="992"/>
        <w:gridCol w:w="851"/>
        <w:gridCol w:w="708"/>
        <w:gridCol w:w="2268"/>
        <w:gridCol w:w="2308"/>
      </w:tblGrid>
      <w:tr w:rsidR="00B279EC" w:rsidRPr="00A26A92" w14:paraId="77CDCE88" w14:textId="77777777" w:rsidTr="00B279EC">
        <w:trPr>
          <w:trHeight w:val="353"/>
          <w:jc w:val="center"/>
        </w:trPr>
        <w:tc>
          <w:tcPr>
            <w:tcW w:w="2197" w:type="dxa"/>
            <w:vMerge w:val="restart"/>
            <w:tcBorders>
              <w:left w:val="nil"/>
              <w:right w:val="single" w:sz="4" w:space="0" w:color="auto"/>
            </w:tcBorders>
            <w:shd w:val="clear" w:color="auto" w:fill="FFFFFF"/>
            <w:vAlign w:val="center"/>
          </w:tcPr>
          <w:p w14:paraId="20E0A48F" w14:textId="77777777" w:rsidR="00B279EC" w:rsidRPr="00A26A92" w:rsidRDefault="00B279EC" w:rsidP="00C07DA0">
            <w:pPr>
              <w:jc w:val="center"/>
              <w:rPr>
                <w:rFonts w:ascii="Times New Roman" w:hAnsi="Times New Roman" w:cs="Times New Roman"/>
                <w:b/>
              </w:rPr>
            </w:pPr>
            <w:r w:rsidRPr="00A26A92">
              <w:rPr>
                <w:rFonts w:ascii="Times New Roman" w:hAnsi="Times New Roman" w:cs="Times New Roman"/>
                <w:b/>
              </w:rPr>
              <w:t>Sample</w:t>
            </w:r>
          </w:p>
        </w:tc>
        <w:tc>
          <w:tcPr>
            <w:tcW w:w="2551" w:type="dxa"/>
            <w:gridSpan w:val="3"/>
            <w:tcBorders>
              <w:top w:val="single" w:sz="4" w:space="0" w:color="auto"/>
              <w:left w:val="single" w:sz="4" w:space="0" w:color="auto"/>
              <w:bottom w:val="single" w:sz="4" w:space="0" w:color="auto"/>
              <w:right w:val="nil"/>
            </w:tcBorders>
            <w:shd w:val="clear" w:color="auto" w:fill="FFFFFF"/>
            <w:vAlign w:val="center"/>
          </w:tcPr>
          <w:p w14:paraId="6515C3CF" w14:textId="77777777" w:rsidR="00B279EC" w:rsidRPr="00A26A92" w:rsidRDefault="00B279EC" w:rsidP="00C07DA0">
            <w:pPr>
              <w:jc w:val="center"/>
              <w:rPr>
                <w:rFonts w:ascii="Times New Roman" w:hAnsi="Times New Roman" w:cs="Times New Roman"/>
                <w:b/>
              </w:rPr>
            </w:pPr>
            <w:r w:rsidRPr="00A26A92">
              <w:rPr>
                <w:rFonts w:ascii="Times New Roman" w:hAnsi="Times New Roman" w:cs="Times New Roman"/>
                <w:b/>
              </w:rPr>
              <w:t>Cement matrix (g)</w:t>
            </w:r>
          </w:p>
        </w:tc>
        <w:tc>
          <w:tcPr>
            <w:tcW w:w="2268" w:type="dxa"/>
            <w:tcBorders>
              <w:top w:val="single" w:sz="4" w:space="0" w:color="auto"/>
              <w:left w:val="nil"/>
              <w:bottom w:val="single" w:sz="4" w:space="0" w:color="auto"/>
              <w:right w:val="nil"/>
            </w:tcBorders>
            <w:shd w:val="clear" w:color="auto" w:fill="FFFFFF"/>
            <w:vAlign w:val="center"/>
          </w:tcPr>
          <w:p w14:paraId="0F05CF71" w14:textId="77777777" w:rsidR="00B279EC" w:rsidRPr="00A26A92" w:rsidRDefault="00B279EC" w:rsidP="00C07DA0">
            <w:pPr>
              <w:jc w:val="center"/>
              <w:rPr>
                <w:rFonts w:ascii="Times New Roman" w:hAnsi="Times New Roman" w:cs="Times New Roman"/>
                <w:b/>
              </w:rPr>
            </w:pPr>
            <w:r w:rsidRPr="00A26A92">
              <w:rPr>
                <w:rFonts w:ascii="Times New Roman" w:hAnsi="Times New Roman" w:cs="Times New Roman"/>
                <w:b/>
              </w:rPr>
              <w:t>Waste simulant  (g)</w:t>
            </w:r>
          </w:p>
        </w:tc>
        <w:tc>
          <w:tcPr>
            <w:tcW w:w="2308" w:type="dxa"/>
            <w:tcBorders>
              <w:top w:val="single" w:sz="4" w:space="0" w:color="auto"/>
              <w:left w:val="nil"/>
              <w:bottom w:val="single" w:sz="4" w:space="0" w:color="auto"/>
              <w:right w:val="nil"/>
            </w:tcBorders>
            <w:shd w:val="clear" w:color="auto" w:fill="FFFFFF"/>
          </w:tcPr>
          <w:p w14:paraId="6CF3E376" w14:textId="1DC2B9D0" w:rsidR="00B279EC" w:rsidRPr="00A26A92" w:rsidRDefault="004E349F" w:rsidP="00C07DA0">
            <w:pPr>
              <w:jc w:val="center"/>
              <w:rPr>
                <w:rFonts w:ascii="Times New Roman" w:hAnsi="Times New Roman" w:cs="Times New Roman"/>
                <w:b/>
              </w:rPr>
            </w:pPr>
            <w:r w:rsidRPr="00A26A92">
              <w:rPr>
                <w:rFonts w:ascii="Times New Roman" w:hAnsi="Times New Roman" w:cs="Times New Roman"/>
                <w:b/>
              </w:rPr>
              <w:t>Superplastic</w:t>
            </w:r>
            <w:r>
              <w:rPr>
                <w:rFonts w:ascii="Times New Roman" w:hAnsi="Times New Roman" w:cs="Times New Roman"/>
                <w:b/>
              </w:rPr>
              <w:t>i</w:t>
            </w:r>
            <w:r w:rsidRPr="00A26A92">
              <w:rPr>
                <w:rFonts w:ascii="Times New Roman" w:hAnsi="Times New Roman" w:cs="Times New Roman"/>
                <w:b/>
              </w:rPr>
              <w:t>ser</w:t>
            </w:r>
            <w:r w:rsidR="00B279EC" w:rsidRPr="00A26A92">
              <w:rPr>
                <w:rFonts w:ascii="Times New Roman" w:hAnsi="Times New Roman" w:cs="Times New Roman"/>
                <w:b/>
              </w:rPr>
              <w:t xml:space="preserve"> (ml)</w:t>
            </w:r>
          </w:p>
        </w:tc>
      </w:tr>
      <w:tr w:rsidR="00B279EC" w:rsidRPr="00A26A92" w14:paraId="3AF80F88" w14:textId="77777777" w:rsidTr="00B279EC">
        <w:trPr>
          <w:trHeight w:val="61"/>
          <w:jc w:val="center"/>
        </w:trPr>
        <w:tc>
          <w:tcPr>
            <w:tcW w:w="2197" w:type="dxa"/>
            <w:vMerge/>
            <w:tcBorders>
              <w:left w:val="nil"/>
              <w:right w:val="single" w:sz="4" w:space="0" w:color="auto"/>
            </w:tcBorders>
            <w:shd w:val="clear" w:color="auto" w:fill="FFFFFF"/>
            <w:vAlign w:val="center"/>
          </w:tcPr>
          <w:p w14:paraId="2D7924F4" w14:textId="77777777" w:rsidR="00B279EC" w:rsidRPr="00A26A92" w:rsidRDefault="00B279EC" w:rsidP="00C07DA0">
            <w:pPr>
              <w:jc w:val="center"/>
              <w:rPr>
                <w:rFonts w:ascii="Times New Roman" w:hAnsi="Times New Roman" w:cs="Times New Roman"/>
                <w:b/>
              </w:rPr>
            </w:pPr>
          </w:p>
        </w:tc>
        <w:tc>
          <w:tcPr>
            <w:tcW w:w="992" w:type="dxa"/>
            <w:tcBorders>
              <w:top w:val="single" w:sz="4" w:space="0" w:color="auto"/>
              <w:left w:val="single" w:sz="4" w:space="0" w:color="auto"/>
              <w:bottom w:val="single" w:sz="4" w:space="0" w:color="auto"/>
              <w:right w:val="nil"/>
            </w:tcBorders>
            <w:shd w:val="clear" w:color="auto" w:fill="FFFFFF"/>
            <w:vAlign w:val="center"/>
          </w:tcPr>
          <w:p w14:paraId="1B8B6DB3" w14:textId="4C5321B9" w:rsidR="00B279EC" w:rsidRPr="00A26A92" w:rsidRDefault="00B279EC" w:rsidP="00C07DA0">
            <w:pPr>
              <w:jc w:val="center"/>
              <w:rPr>
                <w:rFonts w:ascii="Times New Roman" w:hAnsi="Times New Roman" w:cs="Times New Roman"/>
                <w:b/>
              </w:rPr>
            </w:pPr>
            <w:r>
              <w:rPr>
                <w:rFonts w:ascii="Times New Roman" w:hAnsi="Times New Roman" w:cs="Times New Roman"/>
                <w:b/>
              </w:rPr>
              <w:t>PC</w:t>
            </w:r>
          </w:p>
        </w:tc>
        <w:tc>
          <w:tcPr>
            <w:tcW w:w="851" w:type="dxa"/>
            <w:tcBorders>
              <w:top w:val="single" w:sz="4" w:space="0" w:color="auto"/>
              <w:left w:val="nil"/>
              <w:bottom w:val="single" w:sz="4" w:space="0" w:color="auto"/>
              <w:right w:val="nil"/>
            </w:tcBorders>
            <w:shd w:val="clear" w:color="auto" w:fill="FFFFFF"/>
            <w:vAlign w:val="center"/>
          </w:tcPr>
          <w:p w14:paraId="4EFC2353" w14:textId="77777777" w:rsidR="00B279EC" w:rsidRPr="00A26A92" w:rsidRDefault="00B279EC" w:rsidP="00C07DA0">
            <w:pPr>
              <w:jc w:val="center"/>
              <w:rPr>
                <w:rFonts w:ascii="Times New Roman" w:hAnsi="Times New Roman" w:cs="Times New Roman"/>
                <w:b/>
              </w:rPr>
            </w:pPr>
            <w:r w:rsidRPr="00A26A92">
              <w:rPr>
                <w:rFonts w:ascii="Times New Roman" w:hAnsi="Times New Roman" w:cs="Times New Roman"/>
                <w:b/>
              </w:rPr>
              <w:t>BFS</w:t>
            </w:r>
          </w:p>
        </w:tc>
        <w:tc>
          <w:tcPr>
            <w:tcW w:w="708" w:type="dxa"/>
            <w:tcBorders>
              <w:top w:val="single" w:sz="4" w:space="0" w:color="auto"/>
              <w:left w:val="nil"/>
              <w:bottom w:val="single" w:sz="4" w:space="0" w:color="auto"/>
              <w:right w:val="nil"/>
            </w:tcBorders>
            <w:shd w:val="clear" w:color="auto" w:fill="FFFFFF"/>
            <w:vAlign w:val="center"/>
          </w:tcPr>
          <w:p w14:paraId="39E402F1" w14:textId="77777777" w:rsidR="00B279EC" w:rsidRPr="00A26A92" w:rsidRDefault="00B279EC" w:rsidP="00C07DA0">
            <w:pPr>
              <w:jc w:val="center"/>
              <w:rPr>
                <w:rFonts w:ascii="Times New Roman" w:hAnsi="Times New Roman" w:cs="Times New Roman"/>
                <w:b/>
              </w:rPr>
            </w:pPr>
            <w:r w:rsidRPr="00A26A92">
              <w:rPr>
                <w:rFonts w:ascii="Times New Roman" w:hAnsi="Times New Roman" w:cs="Times New Roman"/>
                <w:b/>
              </w:rPr>
              <w:t>H</w:t>
            </w:r>
            <w:r w:rsidRPr="00A26A92">
              <w:rPr>
                <w:rFonts w:ascii="Times New Roman" w:hAnsi="Times New Roman" w:cs="Times New Roman"/>
                <w:b/>
                <w:vertAlign w:val="subscript"/>
              </w:rPr>
              <w:t>2</w:t>
            </w:r>
            <w:r w:rsidRPr="00A26A92">
              <w:rPr>
                <w:rFonts w:ascii="Times New Roman" w:hAnsi="Times New Roman" w:cs="Times New Roman"/>
                <w:b/>
              </w:rPr>
              <w:t>O</w:t>
            </w:r>
          </w:p>
        </w:tc>
        <w:tc>
          <w:tcPr>
            <w:tcW w:w="2268" w:type="dxa"/>
            <w:tcBorders>
              <w:top w:val="single" w:sz="4" w:space="0" w:color="auto"/>
              <w:left w:val="nil"/>
              <w:bottom w:val="single" w:sz="4" w:space="0" w:color="auto"/>
              <w:right w:val="nil"/>
            </w:tcBorders>
            <w:shd w:val="clear" w:color="auto" w:fill="FFFFFF"/>
            <w:vAlign w:val="center"/>
          </w:tcPr>
          <w:p w14:paraId="7B519E94" w14:textId="77777777" w:rsidR="00B279EC" w:rsidRPr="00A26A92" w:rsidRDefault="00B279EC" w:rsidP="00C07DA0">
            <w:pPr>
              <w:jc w:val="center"/>
              <w:rPr>
                <w:rFonts w:ascii="Times New Roman" w:hAnsi="Times New Roman" w:cs="Times New Roman"/>
                <w:b/>
              </w:rPr>
            </w:pPr>
            <w:proofErr w:type="gramStart"/>
            <w:r w:rsidRPr="00A26A92">
              <w:rPr>
                <w:rFonts w:ascii="Times New Roman" w:hAnsi="Times New Roman" w:cs="Times New Roman"/>
                <w:b/>
              </w:rPr>
              <w:t>Ce(</w:t>
            </w:r>
            <w:proofErr w:type="gramEnd"/>
            <w:r w:rsidRPr="00A26A92">
              <w:rPr>
                <w:rFonts w:ascii="Times New Roman" w:hAnsi="Times New Roman" w:cs="Times New Roman"/>
                <w:b/>
              </w:rPr>
              <w:t>NO</w:t>
            </w:r>
            <w:r w:rsidRPr="00A26A92">
              <w:rPr>
                <w:rFonts w:ascii="Times New Roman" w:hAnsi="Times New Roman" w:cs="Times New Roman"/>
                <w:b/>
                <w:vertAlign w:val="subscript"/>
              </w:rPr>
              <w:t>3</w:t>
            </w:r>
            <w:r w:rsidRPr="00A26A92">
              <w:rPr>
                <w:rFonts w:ascii="Times New Roman" w:hAnsi="Times New Roman" w:cs="Times New Roman"/>
                <w:b/>
              </w:rPr>
              <w:t>)</w:t>
            </w:r>
            <w:r w:rsidRPr="00A26A92">
              <w:rPr>
                <w:rFonts w:ascii="Times New Roman" w:hAnsi="Times New Roman" w:cs="Times New Roman"/>
                <w:b/>
                <w:vertAlign w:val="subscript"/>
              </w:rPr>
              <w:t>3</w:t>
            </w:r>
            <w:r w:rsidRPr="00A26A92">
              <w:rPr>
                <w:rFonts w:ascii="Times New Roman" w:hAnsi="Times New Roman" w:cs="Times New Roman"/>
                <w:b/>
              </w:rPr>
              <w:t xml:space="preserve"> </w:t>
            </w:r>
          </w:p>
        </w:tc>
        <w:tc>
          <w:tcPr>
            <w:tcW w:w="2308" w:type="dxa"/>
            <w:tcBorders>
              <w:top w:val="single" w:sz="4" w:space="0" w:color="auto"/>
              <w:left w:val="nil"/>
              <w:bottom w:val="single" w:sz="4" w:space="0" w:color="auto"/>
              <w:right w:val="nil"/>
            </w:tcBorders>
            <w:shd w:val="clear" w:color="auto" w:fill="FFFFFF"/>
          </w:tcPr>
          <w:p w14:paraId="053D9B77" w14:textId="77777777" w:rsidR="00B279EC" w:rsidRPr="00A26A92" w:rsidRDefault="00B279EC" w:rsidP="00C07DA0">
            <w:pPr>
              <w:jc w:val="center"/>
              <w:rPr>
                <w:rFonts w:ascii="Times New Roman" w:hAnsi="Times New Roman" w:cs="Times New Roman"/>
                <w:b/>
              </w:rPr>
            </w:pPr>
            <w:r w:rsidRPr="00A26A92">
              <w:rPr>
                <w:rFonts w:ascii="Times New Roman" w:hAnsi="Times New Roman" w:cs="Times New Roman"/>
                <w:b/>
              </w:rPr>
              <w:t>ADVA Cast 551</w:t>
            </w:r>
          </w:p>
        </w:tc>
      </w:tr>
      <w:tr w:rsidR="00B279EC" w:rsidRPr="00A26A92" w14:paraId="0208230C" w14:textId="77777777" w:rsidTr="00B279EC">
        <w:trPr>
          <w:trHeight w:val="386"/>
          <w:jc w:val="center"/>
        </w:trPr>
        <w:tc>
          <w:tcPr>
            <w:tcW w:w="2197" w:type="dxa"/>
            <w:tcBorders>
              <w:left w:val="nil"/>
            </w:tcBorders>
            <w:shd w:val="clear" w:color="auto" w:fill="auto"/>
            <w:vAlign w:val="center"/>
          </w:tcPr>
          <w:p w14:paraId="59789D9C" w14:textId="099EB910" w:rsidR="00B279EC" w:rsidRPr="00A26A92" w:rsidRDefault="00B279EC" w:rsidP="00C07DA0">
            <w:pPr>
              <w:jc w:val="center"/>
              <w:rPr>
                <w:rFonts w:ascii="Times New Roman" w:hAnsi="Times New Roman" w:cs="Times New Roman"/>
                <w:b/>
              </w:rPr>
            </w:pPr>
            <w:r>
              <w:rPr>
                <w:rFonts w:ascii="Times New Roman" w:hAnsi="Times New Roman" w:cs="Times New Roman"/>
                <w:b/>
              </w:rPr>
              <w:t>10</w:t>
            </w:r>
            <w:r w:rsidRPr="00A26A92">
              <w:rPr>
                <w:rFonts w:ascii="Times New Roman" w:hAnsi="Times New Roman" w:cs="Times New Roman"/>
                <w:b/>
              </w:rPr>
              <w:t xml:space="preserve">wt% </w:t>
            </w:r>
            <w:proofErr w:type="gramStart"/>
            <w:r w:rsidRPr="00A26A92">
              <w:rPr>
                <w:rFonts w:ascii="Times New Roman" w:hAnsi="Times New Roman" w:cs="Times New Roman"/>
                <w:b/>
              </w:rPr>
              <w:t>Ce(</w:t>
            </w:r>
            <w:proofErr w:type="gramEnd"/>
            <w:r w:rsidRPr="00A26A92">
              <w:rPr>
                <w:rFonts w:ascii="Times New Roman" w:hAnsi="Times New Roman" w:cs="Times New Roman"/>
                <w:b/>
              </w:rPr>
              <w:t>NO</w:t>
            </w:r>
            <w:r w:rsidRPr="00A26A92">
              <w:rPr>
                <w:rFonts w:ascii="Times New Roman" w:hAnsi="Times New Roman" w:cs="Times New Roman"/>
                <w:b/>
                <w:vertAlign w:val="subscript"/>
              </w:rPr>
              <w:t>3</w:t>
            </w:r>
            <w:r w:rsidRPr="00A26A92">
              <w:rPr>
                <w:rFonts w:ascii="Times New Roman" w:hAnsi="Times New Roman" w:cs="Times New Roman"/>
                <w:b/>
              </w:rPr>
              <w:t>)</w:t>
            </w:r>
            <w:r w:rsidRPr="00A26A92">
              <w:rPr>
                <w:rFonts w:ascii="Times New Roman" w:hAnsi="Times New Roman" w:cs="Times New Roman"/>
                <w:b/>
                <w:vertAlign w:val="subscript"/>
              </w:rPr>
              <w:t xml:space="preserve">3 </w:t>
            </w:r>
            <w:r w:rsidRPr="00A26A92">
              <w:rPr>
                <w:rFonts w:ascii="Times New Roman" w:hAnsi="Times New Roman" w:cs="Times New Roman"/>
                <w:b/>
              </w:rPr>
              <w:t>(CE)</w:t>
            </w:r>
          </w:p>
        </w:tc>
        <w:tc>
          <w:tcPr>
            <w:tcW w:w="992" w:type="dxa"/>
            <w:tcBorders>
              <w:top w:val="single" w:sz="4" w:space="0" w:color="auto"/>
              <w:right w:val="nil"/>
            </w:tcBorders>
            <w:shd w:val="clear" w:color="auto" w:fill="auto"/>
            <w:vAlign w:val="center"/>
          </w:tcPr>
          <w:p w14:paraId="03435546" w14:textId="77777777" w:rsidR="00B279EC" w:rsidRPr="00A26A92" w:rsidRDefault="00B279EC" w:rsidP="00C07DA0">
            <w:pPr>
              <w:jc w:val="center"/>
              <w:rPr>
                <w:rFonts w:ascii="Times New Roman" w:hAnsi="Times New Roman" w:cs="Times New Roman"/>
              </w:rPr>
            </w:pPr>
            <w:r w:rsidRPr="00A26A92">
              <w:rPr>
                <w:rFonts w:ascii="Times New Roman" w:hAnsi="Times New Roman" w:cs="Times New Roman"/>
              </w:rPr>
              <w:t>22</w:t>
            </w:r>
          </w:p>
        </w:tc>
        <w:tc>
          <w:tcPr>
            <w:tcW w:w="851" w:type="dxa"/>
            <w:tcBorders>
              <w:top w:val="single" w:sz="4" w:space="0" w:color="auto"/>
              <w:left w:val="nil"/>
              <w:right w:val="nil"/>
            </w:tcBorders>
            <w:shd w:val="clear" w:color="auto" w:fill="auto"/>
            <w:vAlign w:val="center"/>
          </w:tcPr>
          <w:p w14:paraId="492B0B9C" w14:textId="77777777" w:rsidR="00B279EC" w:rsidRPr="00A26A92" w:rsidRDefault="00B279EC" w:rsidP="00C07DA0">
            <w:pPr>
              <w:jc w:val="center"/>
              <w:rPr>
                <w:rFonts w:ascii="Times New Roman" w:hAnsi="Times New Roman" w:cs="Times New Roman"/>
              </w:rPr>
            </w:pPr>
            <w:r w:rsidRPr="00A26A92">
              <w:rPr>
                <w:rFonts w:ascii="Times New Roman" w:hAnsi="Times New Roman" w:cs="Times New Roman"/>
              </w:rPr>
              <w:t>198</w:t>
            </w:r>
          </w:p>
        </w:tc>
        <w:tc>
          <w:tcPr>
            <w:tcW w:w="708" w:type="dxa"/>
            <w:tcBorders>
              <w:top w:val="single" w:sz="4" w:space="0" w:color="auto"/>
              <w:left w:val="nil"/>
              <w:right w:val="nil"/>
            </w:tcBorders>
            <w:shd w:val="clear" w:color="auto" w:fill="auto"/>
            <w:vAlign w:val="center"/>
          </w:tcPr>
          <w:p w14:paraId="13694DD2" w14:textId="77777777" w:rsidR="00B279EC" w:rsidRPr="00A26A92" w:rsidRDefault="00B279EC" w:rsidP="00C07DA0">
            <w:pPr>
              <w:jc w:val="center"/>
              <w:rPr>
                <w:rFonts w:ascii="Times New Roman" w:hAnsi="Times New Roman" w:cs="Times New Roman"/>
              </w:rPr>
            </w:pPr>
            <w:r w:rsidRPr="00A26A92">
              <w:rPr>
                <w:rFonts w:ascii="Times New Roman" w:hAnsi="Times New Roman" w:cs="Times New Roman"/>
              </w:rPr>
              <w:t>81.4</w:t>
            </w:r>
          </w:p>
        </w:tc>
        <w:tc>
          <w:tcPr>
            <w:tcW w:w="2268" w:type="dxa"/>
            <w:tcBorders>
              <w:top w:val="single" w:sz="4" w:space="0" w:color="auto"/>
              <w:left w:val="nil"/>
              <w:right w:val="nil"/>
            </w:tcBorders>
            <w:shd w:val="clear" w:color="auto" w:fill="auto"/>
            <w:vAlign w:val="center"/>
          </w:tcPr>
          <w:p w14:paraId="49DB3C38" w14:textId="1C009A15" w:rsidR="00B279EC" w:rsidRPr="00A26A92" w:rsidRDefault="00B279EC" w:rsidP="00C07DA0">
            <w:pPr>
              <w:jc w:val="center"/>
              <w:rPr>
                <w:rFonts w:ascii="Times New Roman" w:hAnsi="Times New Roman" w:cs="Times New Roman"/>
              </w:rPr>
            </w:pPr>
            <w:r>
              <w:rPr>
                <w:rFonts w:ascii="Times New Roman" w:hAnsi="Times New Roman" w:cs="Times New Roman"/>
              </w:rPr>
              <w:t>32</w:t>
            </w:r>
          </w:p>
        </w:tc>
        <w:tc>
          <w:tcPr>
            <w:tcW w:w="2308" w:type="dxa"/>
            <w:tcBorders>
              <w:top w:val="single" w:sz="4" w:space="0" w:color="auto"/>
              <w:left w:val="nil"/>
              <w:right w:val="nil"/>
            </w:tcBorders>
            <w:vAlign w:val="center"/>
          </w:tcPr>
          <w:p w14:paraId="7AA1FC65" w14:textId="77777777" w:rsidR="00B279EC" w:rsidRPr="00A26A92" w:rsidRDefault="00B279EC" w:rsidP="00C07DA0">
            <w:pPr>
              <w:jc w:val="center"/>
              <w:rPr>
                <w:rFonts w:ascii="Times New Roman" w:hAnsi="Times New Roman" w:cs="Times New Roman"/>
              </w:rPr>
            </w:pPr>
            <w:r w:rsidRPr="00A26A92">
              <w:rPr>
                <w:rFonts w:ascii="Times New Roman" w:hAnsi="Times New Roman" w:cs="Times New Roman"/>
              </w:rPr>
              <w:t>-</w:t>
            </w:r>
          </w:p>
        </w:tc>
      </w:tr>
      <w:tr w:rsidR="00B279EC" w:rsidRPr="00A26A92" w14:paraId="28970ACF" w14:textId="77777777" w:rsidTr="00B279EC">
        <w:trPr>
          <w:trHeight w:val="295"/>
          <w:jc w:val="center"/>
        </w:trPr>
        <w:tc>
          <w:tcPr>
            <w:tcW w:w="2197" w:type="dxa"/>
            <w:tcBorders>
              <w:left w:val="nil"/>
            </w:tcBorders>
            <w:shd w:val="clear" w:color="auto" w:fill="auto"/>
            <w:vAlign w:val="center"/>
          </w:tcPr>
          <w:p w14:paraId="0D3540F4" w14:textId="3681F2AE" w:rsidR="00B279EC" w:rsidRPr="00A26A92" w:rsidRDefault="00B279EC" w:rsidP="00C07DA0">
            <w:pPr>
              <w:jc w:val="center"/>
              <w:rPr>
                <w:rFonts w:ascii="Times New Roman" w:hAnsi="Times New Roman" w:cs="Times New Roman"/>
                <w:b/>
              </w:rPr>
            </w:pPr>
            <w:r>
              <w:rPr>
                <w:rFonts w:ascii="Times New Roman" w:hAnsi="Times New Roman" w:cs="Times New Roman"/>
                <w:b/>
              </w:rPr>
              <w:t>10</w:t>
            </w:r>
            <w:r w:rsidRPr="00A26A92">
              <w:rPr>
                <w:rFonts w:ascii="Times New Roman" w:hAnsi="Times New Roman" w:cs="Times New Roman"/>
                <w:b/>
              </w:rPr>
              <w:t xml:space="preserve">wt% </w:t>
            </w:r>
            <w:proofErr w:type="gramStart"/>
            <w:r w:rsidRPr="00A26A92">
              <w:rPr>
                <w:rFonts w:ascii="Times New Roman" w:hAnsi="Times New Roman" w:cs="Times New Roman"/>
                <w:b/>
              </w:rPr>
              <w:t>Ce(</w:t>
            </w:r>
            <w:proofErr w:type="gramEnd"/>
            <w:r w:rsidRPr="00A26A92">
              <w:rPr>
                <w:rFonts w:ascii="Times New Roman" w:hAnsi="Times New Roman" w:cs="Times New Roman"/>
                <w:b/>
              </w:rPr>
              <w:t>NO</w:t>
            </w:r>
            <w:r w:rsidRPr="00A26A92">
              <w:rPr>
                <w:rFonts w:ascii="Times New Roman" w:hAnsi="Times New Roman" w:cs="Times New Roman"/>
                <w:b/>
                <w:vertAlign w:val="subscript"/>
              </w:rPr>
              <w:t>3</w:t>
            </w:r>
            <w:r w:rsidRPr="00A26A92">
              <w:rPr>
                <w:rFonts w:ascii="Times New Roman" w:hAnsi="Times New Roman" w:cs="Times New Roman"/>
                <w:b/>
              </w:rPr>
              <w:t>)</w:t>
            </w:r>
            <w:r w:rsidRPr="00A26A92">
              <w:rPr>
                <w:rFonts w:ascii="Times New Roman" w:hAnsi="Times New Roman" w:cs="Times New Roman"/>
                <w:b/>
                <w:vertAlign w:val="subscript"/>
              </w:rPr>
              <w:t xml:space="preserve">3 </w:t>
            </w:r>
            <w:r w:rsidRPr="00A26A92">
              <w:rPr>
                <w:rFonts w:ascii="Times New Roman" w:hAnsi="Times New Roman" w:cs="Times New Roman"/>
                <w:b/>
              </w:rPr>
              <w:t>+ ADVA Cast 511 (CEA)</w:t>
            </w:r>
          </w:p>
        </w:tc>
        <w:tc>
          <w:tcPr>
            <w:tcW w:w="992" w:type="dxa"/>
            <w:tcBorders>
              <w:right w:val="nil"/>
            </w:tcBorders>
            <w:shd w:val="clear" w:color="auto" w:fill="auto"/>
            <w:vAlign w:val="center"/>
          </w:tcPr>
          <w:p w14:paraId="4F098FF5" w14:textId="77777777" w:rsidR="00B279EC" w:rsidRPr="00A26A92" w:rsidRDefault="00B279EC" w:rsidP="00C07DA0">
            <w:pPr>
              <w:jc w:val="center"/>
              <w:rPr>
                <w:rFonts w:ascii="Times New Roman" w:hAnsi="Times New Roman" w:cs="Times New Roman"/>
              </w:rPr>
            </w:pPr>
            <w:r w:rsidRPr="00A26A92">
              <w:rPr>
                <w:rFonts w:ascii="Times New Roman" w:hAnsi="Times New Roman" w:cs="Times New Roman"/>
              </w:rPr>
              <w:t>22</w:t>
            </w:r>
          </w:p>
        </w:tc>
        <w:tc>
          <w:tcPr>
            <w:tcW w:w="851" w:type="dxa"/>
            <w:tcBorders>
              <w:left w:val="nil"/>
              <w:right w:val="nil"/>
            </w:tcBorders>
            <w:shd w:val="clear" w:color="auto" w:fill="auto"/>
            <w:vAlign w:val="center"/>
          </w:tcPr>
          <w:p w14:paraId="3CE48722" w14:textId="77777777" w:rsidR="00B279EC" w:rsidRPr="00A26A92" w:rsidRDefault="00B279EC" w:rsidP="00C07DA0">
            <w:pPr>
              <w:jc w:val="center"/>
              <w:rPr>
                <w:rFonts w:ascii="Times New Roman" w:hAnsi="Times New Roman" w:cs="Times New Roman"/>
              </w:rPr>
            </w:pPr>
            <w:r w:rsidRPr="00A26A92">
              <w:rPr>
                <w:rFonts w:ascii="Times New Roman" w:hAnsi="Times New Roman" w:cs="Times New Roman"/>
              </w:rPr>
              <w:t>198</w:t>
            </w:r>
          </w:p>
        </w:tc>
        <w:tc>
          <w:tcPr>
            <w:tcW w:w="708" w:type="dxa"/>
            <w:tcBorders>
              <w:left w:val="nil"/>
              <w:right w:val="nil"/>
            </w:tcBorders>
            <w:shd w:val="clear" w:color="auto" w:fill="auto"/>
            <w:vAlign w:val="center"/>
          </w:tcPr>
          <w:p w14:paraId="2620E571" w14:textId="77777777" w:rsidR="00B279EC" w:rsidRPr="00A26A92" w:rsidRDefault="00B279EC" w:rsidP="00C07DA0">
            <w:pPr>
              <w:jc w:val="center"/>
              <w:rPr>
                <w:rFonts w:ascii="Times New Roman" w:hAnsi="Times New Roman" w:cs="Times New Roman"/>
              </w:rPr>
            </w:pPr>
            <w:r w:rsidRPr="00A26A92">
              <w:rPr>
                <w:rFonts w:ascii="Times New Roman" w:hAnsi="Times New Roman" w:cs="Times New Roman"/>
              </w:rPr>
              <w:t>81.4</w:t>
            </w:r>
          </w:p>
        </w:tc>
        <w:tc>
          <w:tcPr>
            <w:tcW w:w="2268" w:type="dxa"/>
            <w:tcBorders>
              <w:left w:val="nil"/>
              <w:right w:val="nil"/>
            </w:tcBorders>
            <w:shd w:val="clear" w:color="auto" w:fill="auto"/>
            <w:vAlign w:val="center"/>
          </w:tcPr>
          <w:p w14:paraId="570EDB78" w14:textId="659EA688" w:rsidR="00B279EC" w:rsidRPr="00A26A92" w:rsidRDefault="00B279EC" w:rsidP="00C07DA0">
            <w:pPr>
              <w:jc w:val="center"/>
              <w:rPr>
                <w:rFonts w:ascii="Times New Roman" w:hAnsi="Times New Roman" w:cs="Times New Roman"/>
              </w:rPr>
            </w:pPr>
            <w:r>
              <w:rPr>
                <w:rFonts w:ascii="Times New Roman" w:hAnsi="Times New Roman" w:cs="Times New Roman"/>
              </w:rPr>
              <w:t>32</w:t>
            </w:r>
          </w:p>
        </w:tc>
        <w:tc>
          <w:tcPr>
            <w:tcW w:w="2308" w:type="dxa"/>
            <w:tcBorders>
              <w:left w:val="nil"/>
              <w:right w:val="nil"/>
            </w:tcBorders>
            <w:vAlign w:val="center"/>
          </w:tcPr>
          <w:p w14:paraId="70066601" w14:textId="77777777" w:rsidR="00B279EC" w:rsidRPr="00A26A92" w:rsidRDefault="00B279EC" w:rsidP="00C07DA0">
            <w:pPr>
              <w:jc w:val="center"/>
              <w:rPr>
                <w:rFonts w:ascii="Times New Roman" w:hAnsi="Times New Roman" w:cs="Times New Roman"/>
              </w:rPr>
            </w:pPr>
            <w:r w:rsidRPr="00A26A92">
              <w:rPr>
                <w:rFonts w:ascii="Times New Roman" w:hAnsi="Times New Roman" w:cs="Times New Roman"/>
              </w:rPr>
              <w:t>1.62</w:t>
            </w:r>
          </w:p>
        </w:tc>
      </w:tr>
    </w:tbl>
    <w:p w14:paraId="09D075B6" w14:textId="7F3D4234" w:rsidR="0081731D" w:rsidRDefault="0081731D" w:rsidP="0081731D">
      <w:pPr>
        <w:spacing w:after="120"/>
        <w:jc w:val="center"/>
        <w:rPr>
          <w:rFonts w:ascii="Times New Roman" w:hAnsi="Times New Roman" w:cs="Times New Roman"/>
          <w:i/>
        </w:rPr>
      </w:pPr>
      <w:r w:rsidRPr="00A26A92">
        <w:rPr>
          <w:rFonts w:ascii="Times New Roman" w:hAnsi="Times New Roman" w:cs="Times New Roman"/>
          <w:i/>
        </w:rPr>
        <w:t>* The amount of waste simula</w:t>
      </w:r>
      <w:r>
        <w:rPr>
          <w:rFonts w:ascii="Times New Roman" w:hAnsi="Times New Roman" w:cs="Times New Roman"/>
          <w:i/>
        </w:rPr>
        <w:t>nts were calculated to provide 10 wt% of elemental Ce</w:t>
      </w:r>
      <w:r w:rsidRPr="00A26A92">
        <w:rPr>
          <w:rFonts w:ascii="Times New Roman" w:hAnsi="Times New Roman" w:cs="Times New Roman"/>
          <w:i/>
        </w:rPr>
        <w:t xml:space="preserve"> with respect to the total weight of the mix (</w:t>
      </w:r>
      <w:r>
        <w:rPr>
          <w:rFonts w:ascii="Times New Roman" w:hAnsi="Times New Roman" w:cs="Times New Roman"/>
          <w:i/>
        </w:rPr>
        <w:t>PC</w:t>
      </w:r>
      <w:r w:rsidR="00B279EC">
        <w:rPr>
          <w:rFonts w:ascii="Times New Roman" w:hAnsi="Times New Roman" w:cs="Times New Roman"/>
          <w:i/>
        </w:rPr>
        <w:t xml:space="preserve"> + BFS + water + nitrate</w:t>
      </w:r>
      <w:r w:rsidRPr="00A26A92">
        <w:rPr>
          <w:rFonts w:ascii="Times New Roman" w:hAnsi="Times New Roman" w:cs="Times New Roman"/>
          <w:i/>
        </w:rPr>
        <w:t>).</w:t>
      </w:r>
    </w:p>
    <w:p w14:paraId="7C7AB075" w14:textId="77777777" w:rsidR="0081731D" w:rsidRDefault="0081731D" w:rsidP="007218C6">
      <w:pPr>
        <w:spacing w:line="360" w:lineRule="auto"/>
        <w:ind w:left="284" w:hanging="284"/>
        <w:rPr>
          <w:rFonts w:ascii="Times New Roman" w:hAnsi="Times New Roman" w:cs="Times New Roman"/>
          <w:bCs/>
        </w:rPr>
      </w:pPr>
    </w:p>
    <w:p w14:paraId="4ECD0AF5" w14:textId="77777777" w:rsidR="007218C6" w:rsidRPr="00A30E14" w:rsidRDefault="007218C6" w:rsidP="007218C6">
      <w:pPr>
        <w:spacing w:line="360" w:lineRule="auto"/>
        <w:ind w:left="284" w:hanging="284"/>
        <w:rPr>
          <w:rFonts w:ascii="Times New Roman" w:hAnsi="Times New Roman" w:cs="Times New Roman"/>
          <w:bCs/>
        </w:rPr>
      </w:pPr>
      <w:r w:rsidRPr="00A30E14">
        <w:rPr>
          <w:rFonts w:ascii="Times New Roman" w:hAnsi="Times New Roman" w:cs="Times New Roman"/>
          <w:bCs/>
        </w:rPr>
        <w:t>ii.</w:t>
      </w:r>
      <w:r w:rsidRPr="00A30E14">
        <w:rPr>
          <w:rFonts w:ascii="Times New Roman" w:hAnsi="Times New Roman" w:cs="Times New Roman"/>
          <w:bCs/>
        </w:rPr>
        <w:tab/>
        <w:t>Sample Preparation &amp; Procedure</w:t>
      </w:r>
    </w:p>
    <w:p w14:paraId="2B2A4102" w14:textId="264E2143" w:rsidR="007218C6" w:rsidRDefault="007218C6" w:rsidP="007218C6">
      <w:pPr>
        <w:spacing w:line="360" w:lineRule="auto"/>
        <w:jc w:val="both"/>
        <w:rPr>
          <w:rFonts w:ascii="Times New Roman" w:hAnsi="Times New Roman"/>
          <w:bCs/>
        </w:rPr>
      </w:pPr>
      <w:r>
        <w:rPr>
          <w:rFonts w:ascii="Times New Roman" w:hAnsi="Times New Roman"/>
          <w:bCs/>
        </w:rPr>
        <w:t>The preparation of cement samples for this set of static leach test</w:t>
      </w:r>
      <w:r w:rsidR="00B279EC">
        <w:rPr>
          <w:rFonts w:ascii="Times New Roman" w:hAnsi="Times New Roman"/>
          <w:bCs/>
        </w:rPr>
        <w:t>s</w:t>
      </w:r>
      <w:r>
        <w:rPr>
          <w:rFonts w:ascii="Times New Roman" w:hAnsi="Times New Roman"/>
          <w:bCs/>
        </w:rPr>
        <w:t xml:space="preserve"> was based on the procedure described in section 3.2.2. </w:t>
      </w:r>
      <w:r w:rsidR="004E349F">
        <w:rPr>
          <w:rFonts w:ascii="Times New Roman" w:hAnsi="Times New Roman"/>
          <w:bCs/>
        </w:rPr>
        <w:t xml:space="preserve">To allow comparisons to be drawn these samples were also cured for 42 days. </w:t>
      </w:r>
      <w:r>
        <w:rPr>
          <w:rFonts w:ascii="Times New Roman" w:hAnsi="Times New Roman"/>
          <w:bCs/>
        </w:rPr>
        <w:t xml:space="preserve">There was an additional step to add the superplasticiser: once the </w:t>
      </w:r>
      <w:proofErr w:type="gramStart"/>
      <w:r>
        <w:rPr>
          <w:rFonts w:ascii="Times New Roman" w:hAnsi="Times New Roman"/>
          <w:bCs/>
        </w:rPr>
        <w:t>Ce(</w:t>
      </w:r>
      <w:proofErr w:type="gramEnd"/>
      <w:r>
        <w:rPr>
          <w:rFonts w:ascii="Times New Roman" w:hAnsi="Times New Roman"/>
          <w:bCs/>
        </w:rPr>
        <w:t>NO</w:t>
      </w:r>
      <w:r>
        <w:rPr>
          <w:rFonts w:ascii="Times New Roman" w:hAnsi="Times New Roman"/>
          <w:bCs/>
          <w:vertAlign w:val="subscript"/>
        </w:rPr>
        <w:t>3</w:t>
      </w:r>
      <w:r>
        <w:rPr>
          <w:rFonts w:ascii="Times New Roman" w:hAnsi="Times New Roman"/>
          <w:bCs/>
        </w:rPr>
        <w:t>)</w:t>
      </w:r>
      <w:r>
        <w:rPr>
          <w:rFonts w:ascii="Times New Roman" w:hAnsi="Times New Roman"/>
          <w:bCs/>
          <w:vertAlign w:val="subscript"/>
        </w:rPr>
        <w:t>3</w:t>
      </w:r>
      <w:r>
        <w:rPr>
          <w:rFonts w:ascii="Times New Roman" w:hAnsi="Times New Roman"/>
          <w:bCs/>
        </w:rPr>
        <w:t xml:space="preserve"> was fully dissolved in th</w:t>
      </w:r>
      <w:r w:rsidR="00774EDA">
        <w:rPr>
          <w:rFonts w:ascii="Times New Roman" w:hAnsi="Times New Roman"/>
          <w:bCs/>
        </w:rPr>
        <w:t xml:space="preserve">e water, the </w:t>
      </w:r>
      <w:r w:rsidR="001F5C29">
        <w:rPr>
          <w:rFonts w:ascii="Times New Roman" w:hAnsi="Times New Roman"/>
          <w:bCs/>
        </w:rPr>
        <w:t>superplasticiser</w:t>
      </w:r>
      <w:r w:rsidR="00774EDA">
        <w:rPr>
          <w:rFonts w:ascii="Times New Roman" w:hAnsi="Times New Roman"/>
          <w:bCs/>
        </w:rPr>
        <w:t xml:space="preserve">s were </w:t>
      </w:r>
      <w:r>
        <w:rPr>
          <w:rFonts w:ascii="Times New Roman" w:hAnsi="Times New Roman"/>
          <w:bCs/>
        </w:rPr>
        <w:t xml:space="preserve">added and mixed using the Kenwood mixer for approximately 2-3 minutes. The static leaching procedure from 3.2.2 was then followed, with the samples placed in the containers to be leached statically for 28 days. </w:t>
      </w:r>
    </w:p>
    <w:p w14:paraId="705ABDBC" w14:textId="77777777" w:rsidR="00746FB2" w:rsidRDefault="00746FB2" w:rsidP="007218C6">
      <w:pPr>
        <w:spacing w:line="360" w:lineRule="auto"/>
        <w:ind w:left="720" w:hanging="720"/>
        <w:rPr>
          <w:rFonts w:ascii="Times New Roman" w:hAnsi="Times New Roman" w:cs="Times New Roman"/>
          <w:b/>
          <w:bCs/>
          <w:sz w:val="28"/>
        </w:rPr>
      </w:pPr>
    </w:p>
    <w:p w14:paraId="72A41DCD" w14:textId="041AACD7" w:rsidR="007218C6" w:rsidRPr="00617501" w:rsidRDefault="007218C6" w:rsidP="007218C6">
      <w:pPr>
        <w:spacing w:line="360" w:lineRule="auto"/>
        <w:ind w:left="720" w:hanging="720"/>
        <w:rPr>
          <w:rFonts w:ascii="Times New Roman" w:hAnsi="Times New Roman" w:cs="Times New Roman"/>
          <w:b/>
          <w:bCs/>
          <w:color w:val="000000"/>
          <w:sz w:val="28"/>
        </w:rPr>
      </w:pPr>
      <w:r>
        <w:rPr>
          <w:rFonts w:ascii="Times New Roman" w:hAnsi="Times New Roman" w:cs="Times New Roman"/>
          <w:b/>
          <w:bCs/>
          <w:sz w:val="28"/>
        </w:rPr>
        <w:t>3.4.2</w:t>
      </w:r>
      <w:r w:rsidRPr="00617501">
        <w:rPr>
          <w:rFonts w:ascii="Times New Roman" w:hAnsi="Times New Roman" w:cs="Times New Roman"/>
          <w:b/>
          <w:bCs/>
          <w:sz w:val="28"/>
        </w:rPr>
        <w:tab/>
      </w:r>
      <w:r>
        <w:rPr>
          <w:rFonts w:ascii="Times New Roman" w:hAnsi="Times New Roman"/>
          <w:b/>
          <w:bCs/>
          <w:sz w:val="28"/>
        </w:rPr>
        <w:t>Effect of Superp</w:t>
      </w:r>
      <w:r w:rsidR="003D3615">
        <w:rPr>
          <w:rFonts w:ascii="Times New Roman" w:hAnsi="Times New Roman"/>
          <w:b/>
          <w:bCs/>
          <w:sz w:val="28"/>
        </w:rPr>
        <w:t>l</w:t>
      </w:r>
      <w:r>
        <w:rPr>
          <w:rFonts w:ascii="Times New Roman" w:hAnsi="Times New Roman"/>
          <w:b/>
          <w:bCs/>
          <w:sz w:val="28"/>
        </w:rPr>
        <w:t xml:space="preserve">asticiser on </w:t>
      </w:r>
      <w:r>
        <w:rPr>
          <w:rFonts w:ascii="Times New Roman" w:hAnsi="Times New Roman"/>
          <w:b/>
          <w:bCs/>
          <w:color w:val="000000"/>
          <w:sz w:val="28"/>
        </w:rPr>
        <w:t>Flow-Through Leaching Test of Cerium</w:t>
      </w:r>
    </w:p>
    <w:p w14:paraId="1D183025" w14:textId="77777777" w:rsidR="007218C6" w:rsidRPr="00C75ED0" w:rsidRDefault="007218C6" w:rsidP="007218C6">
      <w:pPr>
        <w:spacing w:line="360" w:lineRule="auto"/>
        <w:ind w:left="284" w:hanging="284"/>
        <w:rPr>
          <w:rFonts w:ascii="Times New Roman" w:hAnsi="Times New Roman" w:cs="Times New Roman"/>
          <w:bCs/>
        </w:rPr>
      </w:pPr>
      <w:proofErr w:type="gramStart"/>
      <w:r>
        <w:rPr>
          <w:rFonts w:ascii="Times New Roman" w:hAnsi="Times New Roman" w:cs="Times New Roman"/>
          <w:bCs/>
        </w:rPr>
        <w:t>i</w:t>
      </w:r>
      <w:proofErr w:type="gramEnd"/>
      <w:r w:rsidRPr="00C75ED0">
        <w:rPr>
          <w:rFonts w:ascii="Times New Roman" w:hAnsi="Times New Roman" w:cs="Times New Roman"/>
          <w:bCs/>
        </w:rPr>
        <w:tab/>
        <w:t>Materials</w:t>
      </w:r>
    </w:p>
    <w:p w14:paraId="43FBB9DB" w14:textId="77777777" w:rsidR="007218C6" w:rsidRPr="006444DE" w:rsidRDefault="007218C6" w:rsidP="007218C6">
      <w:pPr>
        <w:spacing w:line="360" w:lineRule="auto"/>
        <w:jc w:val="both"/>
        <w:rPr>
          <w:rFonts w:ascii="Times New Roman" w:eastAsia="Batang" w:hAnsi="Times New Roman" w:cs="Times New Roman"/>
        </w:rPr>
      </w:pPr>
      <w:r w:rsidRPr="00A26A92">
        <w:rPr>
          <w:rFonts w:ascii="Times New Roman" w:eastAsia="Batang" w:hAnsi="Times New Roman" w:cs="Times New Roman"/>
        </w:rPr>
        <w:t xml:space="preserve">A flow through leaching test was set up using NRVB cement samples and run for 28 days. Cerium added in the nitrate form was used as the inactive simulant for the insoluble radioelement. Two solutions were used, one blank containing only </w:t>
      </w:r>
      <w:proofErr w:type="gramStart"/>
      <w:r w:rsidRPr="00A26A92">
        <w:rPr>
          <w:rFonts w:ascii="Times New Roman" w:eastAsia="Batang" w:hAnsi="Times New Roman" w:cs="Times New Roman"/>
        </w:rPr>
        <w:t>Ce(</w:t>
      </w:r>
      <w:proofErr w:type="gramEnd"/>
      <w:r w:rsidRPr="00A26A92">
        <w:rPr>
          <w:rFonts w:ascii="Times New Roman" w:eastAsia="Batang" w:hAnsi="Times New Roman" w:cs="Times New Roman"/>
        </w:rPr>
        <w:t>NO</w:t>
      </w:r>
      <w:r w:rsidRPr="00A26A92">
        <w:rPr>
          <w:rFonts w:ascii="Times New Roman" w:eastAsia="Batang" w:hAnsi="Times New Roman" w:cs="Times New Roman"/>
          <w:vertAlign w:val="subscript"/>
        </w:rPr>
        <w:t>3</w:t>
      </w:r>
      <w:r w:rsidRPr="00A26A92">
        <w:rPr>
          <w:rFonts w:ascii="Times New Roman" w:eastAsia="Batang" w:hAnsi="Times New Roman" w:cs="Times New Roman"/>
        </w:rPr>
        <w:t>)</w:t>
      </w:r>
      <w:r w:rsidRPr="00A26A92">
        <w:rPr>
          <w:rFonts w:ascii="Times New Roman" w:eastAsia="Batang" w:hAnsi="Times New Roman" w:cs="Times New Roman"/>
          <w:vertAlign w:val="subscript"/>
        </w:rPr>
        <w:t>3</w:t>
      </w:r>
      <w:r w:rsidRPr="00A26A92">
        <w:rPr>
          <w:rFonts w:ascii="Times New Roman" w:eastAsia="Batang" w:hAnsi="Times New Roman" w:cs="Times New Roman"/>
        </w:rPr>
        <w:t xml:space="preserve"> and the other containing both ADVA cast 551 and Ce(NO</w:t>
      </w:r>
      <w:r w:rsidRPr="00A26A92">
        <w:rPr>
          <w:rFonts w:ascii="Times New Roman" w:eastAsia="Batang" w:hAnsi="Times New Roman" w:cs="Times New Roman"/>
          <w:vertAlign w:val="subscript"/>
        </w:rPr>
        <w:t>3</w:t>
      </w:r>
      <w:r w:rsidRPr="00A26A92">
        <w:rPr>
          <w:rFonts w:ascii="Times New Roman" w:eastAsia="Batang" w:hAnsi="Times New Roman" w:cs="Times New Roman"/>
        </w:rPr>
        <w:t>)</w:t>
      </w:r>
      <w:r w:rsidRPr="00A26A92">
        <w:rPr>
          <w:rFonts w:ascii="Times New Roman" w:eastAsia="Batang" w:hAnsi="Times New Roman" w:cs="Times New Roman"/>
          <w:vertAlign w:val="subscript"/>
        </w:rPr>
        <w:t>3</w:t>
      </w:r>
      <w:r w:rsidRPr="00A26A92">
        <w:rPr>
          <w:rFonts w:ascii="Times New Roman" w:eastAsia="Batang" w:hAnsi="Times New Roman" w:cs="Times New Roman"/>
        </w:rPr>
        <w:t xml:space="preserve">. </w:t>
      </w:r>
    </w:p>
    <w:p w14:paraId="2B15EC2A" w14:textId="0E65657D" w:rsidR="007218C6" w:rsidRPr="00EF5A8F" w:rsidRDefault="007218C6" w:rsidP="007218C6">
      <w:pPr>
        <w:autoSpaceDE w:val="0"/>
        <w:autoSpaceDN w:val="0"/>
        <w:adjustRightInd w:val="0"/>
        <w:spacing w:line="360" w:lineRule="auto"/>
        <w:jc w:val="both"/>
        <w:rPr>
          <w:rFonts w:ascii="Times New Roman" w:eastAsia="Times New Roman" w:hAnsi="Times New Roman" w:cs="Times New Roman"/>
          <w:lang w:eastAsia="en-GB"/>
        </w:rPr>
      </w:pPr>
      <w:proofErr w:type="gramStart"/>
      <w:r w:rsidRPr="00A26A92">
        <w:rPr>
          <w:rFonts w:ascii="Times New Roman" w:hAnsi="Times New Roman" w:cs="Times New Roman"/>
        </w:rPr>
        <w:t>NRVB samples were prepared in accordance t</w:t>
      </w:r>
      <w:r>
        <w:rPr>
          <w:rFonts w:ascii="Times New Roman" w:hAnsi="Times New Roman" w:cs="Times New Roman"/>
        </w:rPr>
        <w:t xml:space="preserve">o the </w:t>
      </w:r>
      <w:r w:rsidR="00646350">
        <w:rPr>
          <w:rFonts w:ascii="Times New Roman" w:hAnsi="Times New Roman" w:cs="Times New Roman"/>
        </w:rPr>
        <w:t>industry standard</w:t>
      </w:r>
      <w:proofErr w:type="gramEnd"/>
      <w:r w:rsidR="00646350">
        <w:rPr>
          <w:rFonts w:ascii="Times New Roman" w:hAnsi="Times New Roman" w:cs="Times New Roman"/>
        </w:rPr>
        <w:t xml:space="preserve"> </w:t>
      </w:r>
      <w:r w:rsidR="00646350" w:rsidRPr="00751C5B">
        <w:rPr>
          <w:rFonts w:ascii="Times New Roman" w:hAnsi="Times New Roman" w:cs="Times New Roman"/>
          <w:color w:val="1DF000"/>
        </w:rPr>
        <w:t>[1</w:t>
      </w:r>
      <w:r w:rsidR="004E2DD8" w:rsidRPr="00751C5B">
        <w:rPr>
          <w:rFonts w:ascii="Times New Roman" w:hAnsi="Times New Roman" w:cs="Times New Roman"/>
          <w:color w:val="1DF000"/>
        </w:rPr>
        <w:t>1</w:t>
      </w:r>
      <w:r w:rsidR="0030379D" w:rsidRPr="00751C5B">
        <w:rPr>
          <w:rFonts w:ascii="Times New Roman" w:hAnsi="Times New Roman" w:cs="Times New Roman"/>
          <w:color w:val="1DF000"/>
        </w:rPr>
        <w:t>],</w:t>
      </w:r>
      <w:r w:rsidR="0030379D">
        <w:rPr>
          <w:rFonts w:ascii="Times New Roman" w:hAnsi="Times New Roman" w:cs="Times New Roman"/>
        </w:rPr>
        <w:t xml:space="preserve"> </w:t>
      </w:r>
      <w:proofErr w:type="gramStart"/>
      <w:r w:rsidR="0030379D">
        <w:rPr>
          <w:rFonts w:ascii="Times New Roman" w:hAnsi="Times New Roman" w:cs="Times New Roman"/>
        </w:rPr>
        <w:t>Table 3.7</w:t>
      </w:r>
      <w:r w:rsidRPr="00A26A92">
        <w:rPr>
          <w:rFonts w:ascii="Times New Roman" w:hAnsi="Times New Roman" w:cs="Times New Roman"/>
        </w:rPr>
        <w:t xml:space="preserve"> shows the composition</w:t>
      </w:r>
      <w:proofErr w:type="gramEnd"/>
      <w:r w:rsidRPr="00A26A92">
        <w:rPr>
          <w:rFonts w:ascii="Times New Roman" w:hAnsi="Times New Roman" w:cs="Times New Roman"/>
        </w:rPr>
        <w:t xml:space="preserve">. The samples were prepared using water from </w:t>
      </w:r>
      <w:r w:rsidRPr="00A26A92">
        <w:rPr>
          <w:rFonts w:ascii="Times New Roman" w:hAnsi="Times New Roman" w:cs="Times New Roman"/>
          <w:lang w:eastAsia="en-GB"/>
        </w:rPr>
        <w:t>the NNL Workington Laboratory mains supply.</w:t>
      </w:r>
    </w:p>
    <w:p w14:paraId="0311C66D" w14:textId="77777777" w:rsidR="007218C6" w:rsidRDefault="007218C6" w:rsidP="007218C6">
      <w:pPr>
        <w:spacing w:line="360" w:lineRule="auto"/>
        <w:jc w:val="center"/>
        <w:rPr>
          <w:rFonts w:ascii="Times New Roman" w:eastAsia="Batang" w:hAnsi="Times New Roman" w:cs="Times New Roman"/>
          <w:b/>
        </w:rPr>
      </w:pPr>
    </w:p>
    <w:p w14:paraId="0E9AF853" w14:textId="77777777" w:rsidR="0018608F" w:rsidRDefault="0018608F" w:rsidP="007218C6">
      <w:pPr>
        <w:spacing w:line="360" w:lineRule="auto"/>
        <w:jc w:val="center"/>
        <w:rPr>
          <w:rFonts w:ascii="Times New Roman" w:eastAsia="Batang" w:hAnsi="Times New Roman" w:cs="Times New Roman"/>
          <w:b/>
        </w:rPr>
      </w:pPr>
    </w:p>
    <w:p w14:paraId="6A354CEF" w14:textId="77777777" w:rsidR="0018608F" w:rsidRDefault="0018608F" w:rsidP="007218C6">
      <w:pPr>
        <w:spacing w:line="360" w:lineRule="auto"/>
        <w:jc w:val="center"/>
        <w:rPr>
          <w:rFonts w:ascii="Times New Roman" w:eastAsia="Batang" w:hAnsi="Times New Roman" w:cs="Times New Roman"/>
          <w:b/>
        </w:rPr>
      </w:pPr>
    </w:p>
    <w:p w14:paraId="5BF5FBCB" w14:textId="65CE1AFE" w:rsidR="007218C6" w:rsidRPr="00A26A92" w:rsidRDefault="007218C6" w:rsidP="007218C6">
      <w:pPr>
        <w:spacing w:line="360" w:lineRule="auto"/>
        <w:jc w:val="center"/>
        <w:rPr>
          <w:rFonts w:ascii="Times New Roman" w:eastAsia="Batang" w:hAnsi="Times New Roman" w:cs="Times New Roman"/>
          <w:b/>
        </w:rPr>
      </w:pPr>
      <w:r w:rsidRPr="00A26A92">
        <w:rPr>
          <w:rFonts w:ascii="Times New Roman" w:eastAsia="Batang" w:hAnsi="Times New Roman" w:cs="Times New Roman"/>
          <w:b/>
        </w:rPr>
        <w:t>Tab</w:t>
      </w:r>
      <w:r w:rsidR="0030379D">
        <w:rPr>
          <w:rFonts w:ascii="Times New Roman" w:eastAsia="Batang" w:hAnsi="Times New Roman" w:cs="Times New Roman"/>
          <w:b/>
        </w:rPr>
        <w:t>le 3.7</w:t>
      </w:r>
      <w:r w:rsidRPr="00A26A92">
        <w:rPr>
          <w:rFonts w:ascii="Times New Roman" w:eastAsia="Batang" w:hAnsi="Times New Roman" w:cs="Times New Roman"/>
          <w:b/>
        </w:rPr>
        <w:t>: Mass Composition % of NRVB Cement Sample</w:t>
      </w:r>
    </w:p>
    <w:tbl>
      <w:tblPr>
        <w:tblW w:w="5000" w:type="pct"/>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5744"/>
        <w:gridCol w:w="3304"/>
      </w:tblGrid>
      <w:tr w:rsidR="007218C6" w:rsidRPr="00A26A92" w14:paraId="26E51C0B" w14:textId="77777777" w:rsidTr="00C07DA0">
        <w:tc>
          <w:tcPr>
            <w:tcW w:w="3174" w:type="pct"/>
            <w:tcBorders>
              <w:top w:val="single" w:sz="4" w:space="0" w:color="auto"/>
              <w:left w:val="nil"/>
              <w:bottom w:val="single" w:sz="4" w:space="0" w:color="auto"/>
              <w:right w:val="single" w:sz="4" w:space="0" w:color="auto"/>
            </w:tcBorders>
            <w:shd w:val="clear" w:color="auto" w:fill="auto"/>
            <w:vAlign w:val="center"/>
            <w:hideMark/>
          </w:tcPr>
          <w:p w14:paraId="06C97D6F" w14:textId="77777777" w:rsidR="007218C6" w:rsidRPr="00A26A92" w:rsidRDefault="007218C6" w:rsidP="00C07DA0">
            <w:pPr>
              <w:tabs>
                <w:tab w:val="left" w:pos="2580"/>
              </w:tabs>
              <w:spacing w:after="120" w:line="360" w:lineRule="auto"/>
              <w:jc w:val="center"/>
              <w:rPr>
                <w:rFonts w:ascii="Times New Roman" w:eastAsia="Batang" w:hAnsi="Times New Roman" w:cs="Times New Roman"/>
                <w:b/>
              </w:rPr>
            </w:pPr>
            <w:r w:rsidRPr="00A26A92">
              <w:rPr>
                <w:rFonts w:ascii="Times New Roman" w:eastAsia="Batang" w:hAnsi="Times New Roman" w:cs="Times New Roman"/>
                <w:b/>
              </w:rPr>
              <w:t>Component</w:t>
            </w:r>
          </w:p>
        </w:tc>
        <w:tc>
          <w:tcPr>
            <w:tcW w:w="1826" w:type="pct"/>
            <w:tcBorders>
              <w:top w:val="single" w:sz="4" w:space="0" w:color="auto"/>
              <w:left w:val="single" w:sz="4" w:space="0" w:color="auto"/>
              <w:bottom w:val="single" w:sz="4" w:space="0" w:color="auto"/>
              <w:right w:val="nil"/>
            </w:tcBorders>
            <w:shd w:val="clear" w:color="auto" w:fill="auto"/>
            <w:vAlign w:val="center"/>
            <w:hideMark/>
          </w:tcPr>
          <w:p w14:paraId="7ADDB7E7" w14:textId="77777777" w:rsidR="007218C6" w:rsidRPr="00A26A92" w:rsidRDefault="007218C6" w:rsidP="00C07DA0">
            <w:pPr>
              <w:spacing w:after="120" w:line="360" w:lineRule="auto"/>
              <w:jc w:val="center"/>
              <w:rPr>
                <w:rFonts w:ascii="Times New Roman" w:eastAsia="Batang" w:hAnsi="Times New Roman" w:cs="Times New Roman"/>
                <w:b/>
              </w:rPr>
            </w:pPr>
            <w:r w:rsidRPr="00A26A92">
              <w:rPr>
                <w:rFonts w:ascii="Times New Roman" w:eastAsia="Batang" w:hAnsi="Times New Roman" w:cs="Times New Roman"/>
                <w:b/>
              </w:rPr>
              <w:t>Mass %</w:t>
            </w:r>
          </w:p>
        </w:tc>
      </w:tr>
      <w:tr w:rsidR="007218C6" w:rsidRPr="00A26A92" w14:paraId="1A00FCE6" w14:textId="77777777" w:rsidTr="00C07DA0">
        <w:tc>
          <w:tcPr>
            <w:tcW w:w="3174" w:type="pct"/>
            <w:tcBorders>
              <w:top w:val="single" w:sz="4" w:space="0" w:color="auto"/>
              <w:left w:val="nil"/>
              <w:bottom w:val="nil"/>
              <w:right w:val="single" w:sz="4" w:space="0" w:color="auto"/>
            </w:tcBorders>
            <w:vAlign w:val="center"/>
            <w:hideMark/>
          </w:tcPr>
          <w:p w14:paraId="3E71A70A" w14:textId="77777777" w:rsidR="007218C6" w:rsidRPr="00A26A92" w:rsidRDefault="007218C6" w:rsidP="00C07DA0">
            <w:pPr>
              <w:spacing w:after="120" w:line="360" w:lineRule="auto"/>
              <w:jc w:val="center"/>
              <w:rPr>
                <w:rFonts w:ascii="Times New Roman" w:eastAsia="Batang" w:hAnsi="Times New Roman" w:cs="Times New Roman"/>
              </w:rPr>
            </w:pPr>
            <w:r w:rsidRPr="00A26A92">
              <w:rPr>
                <w:rFonts w:ascii="Times New Roman" w:eastAsia="Batang" w:hAnsi="Times New Roman" w:cs="Times New Roman"/>
              </w:rPr>
              <w:softHyphen/>
              <w:t>Lime</w:t>
            </w:r>
          </w:p>
        </w:tc>
        <w:tc>
          <w:tcPr>
            <w:tcW w:w="1826" w:type="pct"/>
            <w:tcBorders>
              <w:top w:val="single" w:sz="4" w:space="0" w:color="auto"/>
              <w:left w:val="single" w:sz="4" w:space="0" w:color="auto"/>
              <w:bottom w:val="nil"/>
              <w:right w:val="nil"/>
            </w:tcBorders>
            <w:vAlign w:val="center"/>
            <w:hideMark/>
          </w:tcPr>
          <w:p w14:paraId="29220AB1" w14:textId="77777777" w:rsidR="007218C6" w:rsidRPr="00A26A92" w:rsidRDefault="007218C6" w:rsidP="00C07DA0">
            <w:pPr>
              <w:spacing w:after="120" w:line="360" w:lineRule="auto"/>
              <w:jc w:val="center"/>
              <w:rPr>
                <w:rFonts w:ascii="Times New Roman" w:eastAsia="Batang" w:hAnsi="Times New Roman" w:cs="Times New Roman"/>
              </w:rPr>
            </w:pPr>
            <w:r w:rsidRPr="00A26A92">
              <w:rPr>
                <w:rFonts w:ascii="Times New Roman" w:eastAsia="Batang" w:hAnsi="Times New Roman" w:cs="Times New Roman"/>
              </w:rPr>
              <w:t>8.8</w:t>
            </w:r>
          </w:p>
        </w:tc>
      </w:tr>
      <w:tr w:rsidR="007218C6" w:rsidRPr="00A26A92" w14:paraId="2EAC781C" w14:textId="77777777" w:rsidTr="00C07DA0">
        <w:tc>
          <w:tcPr>
            <w:tcW w:w="3174" w:type="pct"/>
            <w:tcBorders>
              <w:top w:val="nil"/>
              <w:left w:val="nil"/>
              <w:bottom w:val="nil"/>
              <w:right w:val="single" w:sz="4" w:space="0" w:color="auto"/>
            </w:tcBorders>
            <w:vAlign w:val="center"/>
            <w:hideMark/>
          </w:tcPr>
          <w:p w14:paraId="32F2B9CE" w14:textId="77777777" w:rsidR="007218C6" w:rsidRPr="00A26A92" w:rsidRDefault="007218C6" w:rsidP="00C07DA0">
            <w:pPr>
              <w:spacing w:after="120" w:line="360" w:lineRule="auto"/>
              <w:jc w:val="center"/>
              <w:rPr>
                <w:rFonts w:ascii="Times New Roman" w:eastAsia="Batang" w:hAnsi="Times New Roman" w:cs="Times New Roman"/>
              </w:rPr>
            </w:pPr>
            <w:r w:rsidRPr="00A26A92">
              <w:rPr>
                <w:rFonts w:ascii="Times New Roman" w:eastAsia="Batang" w:hAnsi="Times New Roman" w:cs="Times New Roman"/>
              </w:rPr>
              <w:t>Limestone Flour</w:t>
            </w:r>
          </w:p>
        </w:tc>
        <w:tc>
          <w:tcPr>
            <w:tcW w:w="1826" w:type="pct"/>
            <w:tcBorders>
              <w:top w:val="nil"/>
              <w:left w:val="single" w:sz="4" w:space="0" w:color="auto"/>
              <w:bottom w:val="nil"/>
              <w:right w:val="nil"/>
            </w:tcBorders>
            <w:vAlign w:val="center"/>
            <w:hideMark/>
          </w:tcPr>
          <w:p w14:paraId="24CEDACC" w14:textId="77777777" w:rsidR="007218C6" w:rsidRPr="00A26A92" w:rsidRDefault="007218C6" w:rsidP="00C07DA0">
            <w:pPr>
              <w:spacing w:after="120" w:line="360" w:lineRule="auto"/>
              <w:jc w:val="center"/>
              <w:rPr>
                <w:rFonts w:ascii="Times New Roman" w:eastAsia="Batang" w:hAnsi="Times New Roman" w:cs="Times New Roman"/>
              </w:rPr>
            </w:pPr>
            <w:r w:rsidRPr="00A26A92">
              <w:rPr>
                <w:rFonts w:ascii="Times New Roman" w:eastAsia="Batang" w:hAnsi="Times New Roman" w:cs="Times New Roman"/>
              </w:rPr>
              <w:t>28.9</w:t>
            </w:r>
          </w:p>
        </w:tc>
      </w:tr>
      <w:tr w:rsidR="007218C6" w:rsidRPr="00A26A92" w14:paraId="2CB0F2F3" w14:textId="77777777" w:rsidTr="00C07DA0">
        <w:tc>
          <w:tcPr>
            <w:tcW w:w="3174" w:type="pct"/>
            <w:tcBorders>
              <w:top w:val="nil"/>
              <w:left w:val="nil"/>
              <w:bottom w:val="nil"/>
              <w:right w:val="single" w:sz="4" w:space="0" w:color="auto"/>
            </w:tcBorders>
            <w:vAlign w:val="center"/>
            <w:hideMark/>
          </w:tcPr>
          <w:p w14:paraId="2988A643" w14:textId="77777777" w:rsidR="007218C6" w:rsidRPr="00A26A92" w:rsidRDefault="007218C6" w:rsidP="00C07DA0">
            <w:pPr>
              <w:spacing w:after="120" w:line="360" w:lineRule="auto"/>
              <w:jc w:val="center"/>
              <w:rPr>
                <w:rFonts w:ascii="Times New Roman" w:eastAsia="Batang" w:hAnsi="Times New Roman" w:cs="Times New Roman"/>
              </w:rPr>
            </w:pPr>
            <w:r w:rsidRPr="00A26A92">
              <w:rPr>
                <w:rFonts w:ascii="Times New Roman" w:eastAsia="Batang" w:hAnsi="Times New Roman" w:cs="Times New Roman"/>
              </w:rPr>
              <w:t>Portland Cement</w:t>
            </w:r>
          </w:p>
        </w:tc>
        <w:tc>
          <w:tcPr>
            <w:tcW w:w="1826" w:type="pct"/>
            <w:tcBorders>
              <w:top w:val="nil"/>
              <w:left w:val="single" w:sz="4" w:space="0" w:color="auto"/>
              <w:bottom w:val="nil"/>
              <w:right w:val="nil"/>
            </w:tcBorders>
            <w:vAlign w:val="center"/>
            <w:hideMark/>
          </w:tcPr>
          <w:p w14:paraId="7A5F14E1" w14:textId="77777777" w:rsidR="007218C6" w:rsidRPr="00A26A92" w:rsidRDefault="007218C6" w:rsidP="00C07DA0">
            <w:pPr>
              <w:spacing w:after="120" w:line="360" w:lineRule="auto"/>
              <w:jc w:val="center"/>
              <w:rPr>
                <w:rFonts w:ascii="Times New Roman" w:eastAsia="Batang" w:hAnsi="Times New Roman" w:cs="Times New Roman"/>
              </w:rPr>
            </w:pPr>
            <w:r w:rsidRPr="00A26A92">
              <w:rPr>
                <w:rFonts w:ascii="Times New Roman" w:eastAsia="Batang" w:hAnsi="Times New Roman" w:cs="Times New Roman"/>
              </w:rPr>
              <w:t>26.3</w:t>
            </w:r>
          </w:p>
        </w:tc>
      </w:tr>
      <w:tr w:rsidR="007218C6" w:rsidRPr="00A26A92" w14:paraId="509A40DD" w14:textId="77777777" w:rsidTr="00C07DA0">
        <w:tc>
          <w:tcPr>
            <w:tcW w:w="3174" w:type="pct"/>
            <w:tcBorders>
              <w:top w:val="nil"/>
              <w:left w:val="nil"/>
              <w:bottom w:val="single" w:sz="4" w:space="0" w:color="auto"/>
              <w:right w:val="single" w:sz="4" w:space="0" w:color="auto"/>
            </w:tcBorders>
            <w:vAlign w:val="center"/>
            <w:hideMark/>
          </w:tcPr>
          <w:p w14:paraId="1B652DD2" w14:textId="77777777" w:rsidR="007218C6" w:rsidRPr="00A26A92" w:rsidRDefault="007218C6" w:rsidP="00C07DA0">
            <w:pPr>
              <w:spacing w:after="120" w:line="360" w:lineRule="auto"/>
              <w:jc w:val="center"/>
              <w:rPr>
                <w:rFonts w:ascii="Times New Roman" w:eastAsia="Batang" w:hAnsi="Times New Roman" w:cs="Times New Roman"/>
              </w:rPr>
            </w:pPr>
            <w:r w:rsidRPr="00A26A92">
              <w:rPr>
                <w:rFonts w:ascii="Times New Roman" w:eastAsia="Batang" w:hAnsi="Times New Roman" w:cs="Times New Roman"/>
              </w:rPr>
              <w:t>Water</w:t>
            </w:r>
          </w:p>
        </w:tc>
        <w:tc>
          <w:tcPr>
            <w:tcW w:w="1826" w:type="pct"/>
            <w:tcBorders>
              <w:top w:val="nil"/>
              <w:left w:val="single" w:sz="4" w:space="0" w:color="auto"/>
              <w:bottom w:val="single" w:sz="4" w:space="0" w:color="auto"/>
              <w:right w:val="nil"/>
            </w:tcBorders>
            <w:vAlign w:val="center"/>
            <w:hideMark/>
          </w:tcPr>
          <w:p w14:paraId="139B8717" w14:textId="77777777" w:rsidR="007218C6" w:rsidRPr="00A26A92" w:rsidRDefault="007218C6" w:rsidP="00C07DA0">
            <w:pPr>
              <w:spacing w:after="120" w:line="360" w:lineRule="auto"/>
              <w:jc w:val="center"/>
              <w:rPr>
                <w:rFonts w:ascii="Times New Roman" w:eastAsia="Batang" w:hAnsi="Times New Roman" w:cs="Times New Roman"/>
              </w:rPr>
            </w:pPr>
            <w:r w:rsidRPr="00A26A92">
              <w:rPr>
                <w:rFonts w:ascii="Times New Roman" w:eastAsia="Batang" w:hAnsi="Times New Roman" w:cs="Times New Roman"/>
              </w:rPr>
              <w:t>36</w:t>
            </w:r>
          </w:p>
        </w:tc>
      </w:tr>
    </w:tbl>
    <w:p w14:paraId="5CB0A327" w14:textId="77777777" w:rsidR="007218C6" w:rsidRDefault="007218C6" w:rsidP="007218C6">
      <w:pPr>
        <w:spacing w:line="360" w:lineRule="auto"/>
        <w:jc w:val="both"/>
        <w:rPr>
          <w:rFonts w:ascii="Times New Roman" w:eastAsia="Batang" w:hAnsi="Times New Roman" w:cs="Times New Roman"/>
        </w:rPr>
      </w:pPr>
    </w:p>
    <w:p w14:paraId="30B3348A" w14:textId="77777777" w:rsidR="0018608F" w:rsidRDefault="0018608F" w:rsidP="007218C6">
      <w:pPr>
        <w:spacing w:line="360" w:lineRule="auto"/>
        <w:jc w:val="both"/>
        <w:rPr>
          <w:rFonts w:ascii="Times New Roman" w:eastAsia="Batang" w:hAnsi="Times New Roman" w:cs="Times New Roman"/>
        </w:rPr>
      </w:pPr>
    </w:p>
    <w:p w14:paraId="65F35784" w14:textId="77777777" w:rsidR="0018608F" w:rsidRDefault="0018608F" w:rsidP="007218C6">
      <w:pPr>
        <w:spacing w:line="360" w:lineRule="auto"/>
        <w:jc w:val="both"/>
        <w:rPr>
          <w:rFonts w:ascii="Times New Roman" w:eastAsia="Batang" w:hAnsi="Times New Roman" w:cs="Times New Roman"/>
        </w:rPr>
      </w:pPr>
    </w:p>
    <w:p w14:paraId="2622581C" w14:textId="77777777" w:rsidR="0018608F" w:rsidRDefault="0018608F" w:rsidP="007218C6">
      <w:pPr>
        <w:spacing w:line="360" w:lineRule="auto"/>
        <w:jc w:val="both"/>
        <w:rPr>
          <w:rFonts w:ascii="Times New Roman" w:eastAsia="Batang" w:hAnsi="Times New Roman" w:cs="Times New Roman"/>
        </w:rPr>
      </w:pPr>
    </w:p>
    <w:p w14:paraId="7F6FE88E" w14:textId="2429622B" w:rsidR="007218C6" w:rsidRDefault="007218C6" w:rsidP="007218C6">
      <w:pPr>
        <w:spacing w:line="360" w:lineRule="auto"/>
        <w:jc w:val="both"/>
        <w:rPr>
          <w:rFonts w:ascii="Times New Roman" w:eastAsia="Batang" w:hAnsi="Times New Roman" w:cs="Times New Roman"/>
        </w:rPr>
      </w:pPr>
      <w:r>
        <w:rPr>
          <w:rFonts w:ascii="Times New Roman" w:eastAsia="Batang" w:hAnsi="Times New Roman" w:cs="Times New Roman"/>
        </w:rPr>
        <w:t>ii.</w:t>
      </w:r>
      <w:r>
        <w:rPr>
          <w:rFonts w:ascii="Times New Roman" w:eastAsia="Batang" w:hAnsi="Times New Roman" w:cs="Times New Roman"/>
        </w:rPr>
        <w:tab/>
      </w:r>
      <w:r w:rsidR="009928CA">
        <w:rPr>
          <w:rFonts w:ascii="Times New Roman" w:eastAsia="Batang" w:hAnsi="Times New Roman" w:cs="Times New Roman"/>
        </w:rPr>
        <w:t>Preparation</w:t>
      </w:r>
    </w:p>
    <w:p w14:paraId="0339842E" w14:textId="568AE3D5" w:rsidR="007218C6" w:rsidRDefault="007218C6" w:rsidP="007218C6">
      <w:pPr>
        <w:spacing w:line="360" w:lineRule="auto"/>
        <w:jc w:val="both"/>
        <w:rPr>
          <w:rFonts w:ascii="Times New Roman" w:hAnsi="Times New Roman"/>
        </w:rPr>
      </w:pPr>
      <w:r>
        <w:rPr>
          <w:rFonts w:ascii="Times New Roman" w:hAnsi="Times New Roman"/>
        </w:rPr>
        <w:t>The powders in Table 3.8 were weighed in their respective percentages to create a total batch weighing 500g. They were mixed with water using the Hoba</w:t>
      </w:r>
      <w:r w:rsidR="003D3615">
        <w:rPr>
          <w:rFonts w:ascii="Times New Roman" w:hAnsi="Times New Roman"/>
        </w:rPr>
        <w:t>r</w:t>
      </w:r>
      <w:r>
        <w:rPr>
          <w:rFonts w:ascii="Times New Roman" w:hAnsi="Times New Roman"/>
        </w:rPr>
        <w:t xml:space="preserve">t mixer at speed setting 1 for 5 minutes, sheared with the Silverson </w:t>
      </w:r>
      <w:r w:rsidR="009928CA">
        <w:rPr>
          <w:rFonts w:ascii="Times New Roman" w:hAnsi="Times New Roman"/>
        </w:rPr>
        <w:t>mixer for 10 minutes at 3000 rpm</w:t>
      </w:r>
      <w:r>
        <w:rPr>
          <w:rFonts w:ascii="Times New Roman" w:hAnsi="Times New Roman"/>
        </w:rPr>
        <w:t xml:space="preserve"> and then finally mixed for a further 10 minutes. </w:t>
      </w:r>
      <w:r w:rsidR="009928CA">
        <w:rPr>
          <w:rFonts w:ascii="Times New Roman" w:hAnsi="Times New Roman"/>
        </w:rPr>
        <w:t xml:space="preserve">The paste was then moulded into a sample, </w:t>
      </w:r>
      <w:r>
        <w:rPr>
          <w:rFonts w:ascii="Times New Roman" w:hAnsi="Times New Roman"/>
        </w:rPr>
        <w:t>20mm in height with a diameter of 70mm (surface area 3846.5 mm</w:t>
      </w:r>
      <w:r>
        <w:rPr>
          <w:rFonts w:ascii="Times New Roman" w:hAnsi="Times New Roman"/>
          <w:vertAlign w:val="superscript"/>
        </w:rPr>
        <w:t>2</w:t>
      </w:r>
      <w:r>
        <w:rPr>
          <w:rFonts w:ascii="Times New Roman" w:hAnsi="Times New Roman"/>
        </w:rPr>
        <w:t>), as shown in Figure 3.14, and cured for 28 days at 80</w:t>
      </w:r>
      <w:r>
        <w:rPr>
          <w:rFonts w:ascii="Times New Roman" w:hAnsi="Times New Roman"/>
          <w:vertAlign w:val="superscript"/>
        </w:rPr>
        <w:t>o</w:t>
      </w:r>
      <w:r>
        <w:rPr>
          <w:rFonts w:ascii="Times New Roman" w:hAnsi="Times New Roman"/>
        </w:rPr>
        <w:t>C. Three samples were prepared. They were then removed, placed in a plastic bag containing a damp tissue and a container of Carbosorb (used to absorb any carbon in the atmosphere, to protect sample from carbonation) and stored in a humidity chamber at 20</w:t>
      </w:r>
      <w:r>
        <w:rPr>
          <w:rFonts w:ascii="Times New Roman" w:hAnsi="Times New Roman"/>
          <w:vertAlign w:val="superscript"/>
        </w:rPr>
        <w:t>o</w:t>
      </w:r>
      <w:r>
        <w:rPr>
          <w:rFonts w:ascii="Times New Roman" w:hAnsi="Times New Roman"/>
        </w:rPr>
        <w:t xml:space="preserve">C. </w:t>
      </w:r>
    </w:p>
    <w:p w14:paraId="50907E19" w14:textId="77777777" w:rsidR="007218C6" w:rsidRDefault="007218C6" w:rsidP="007218C6">
      <w:pPr>
        <w:spacing w:line="360" w:lineRule="auto"/>
        <w:jc w:val="both"/>
        <w:rPr>
          <w:rFonts w:ascii="Times New Roman" w:hAnsi="Times New Roman"/>
        </w:rPr>
      </w:pPr>
    </w:p>
    <w:p w14:paraId="5242776D" w14:textId="77777777" w:rsidR="007218C6" w:rsidRPr="00A26A92" w:rsidRDefault="007218C6" w:rsidP="007218C6">
      <w:pPr>
        <w:jc w:val="center"/>
        <w:rPr>
          <w:rFonts w:ascii="Times New Roman" w:eastAsia="Batang" w:hAnsi="Times New Roman" w:cs="Times New Roman"/>
        </w:rPr>
      </w:pPr>
      <w:r w:rsidRPr="00A26A92">
        <w:rPr>
          <w:rFonts w:ascii="Times New Roman" w:eastAsia="Batang" w:hAnsi="Times New Roman" w:cs="Times New Roman"/>
          <w:noProof/>
        </w:rPr>
        <w:drawing>
          <wp:inline distT="0" distB="0" distL="0" distR="0" wp14:anchorId="06783102" wp14:editId="4BFCBFA4">
            <wp:extent cx="2486660" cy="19519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lum contrast="-20000"/>
                      <a:extLst>
                        <a:ext uri="{BEBA8EAE-BF5A-486C-A8C5-ECC9F3942E4B}">
                          <a14:imgProps xmlns:a14="http://schemas.microsoft.com/office/drawing/2010/main">
                            <a14:imgLayer r:embed="rId40">
                              <a14:imgEffect>
                                <a14:backgroundRemoval t="0" b="100000" l="0" r="100000">
                                  <a14:foregroundMark x1="26506" y1="92885" x2="2108" y2="39526"/>
                                  <a14:foregroundMark x1="15361" y1="83794" x2="15361" y2="83794"/>
                                  <a14:foregroundMark x1="7831" y1="73123" x2="7831" y2="73123"/>
                                  <a14:foregroundMark x1="10241" y1="77866" x2="10241" y2="77866"/>
                                </a14:backgroundRemoval>
                              </a14:imgEffect>
                            </a14:imgLayer>
                          </a14:imgProps>
                        </a:ext>
                        <a:ext uri="{28A0092B-C50C-407E-A947-70E740481C1C}">
                          <a14:useLocalDpi xmlns:a14="http://schemas.microsoft.com/office/drawing/2010/main" val="0"/>
                        </a:ext>
                      </a:extLst>
                    </a:blip>
                    <a:srcRect l="-11443" t="-14308" r="-11240" b="-12381"/>
                    <a:stretch>
                      <a:fillRect/>
                    </a:stretch>
                  </pic:blipFill>
                  <pic:spPr bwMode="auto">
                    <a:xfrm>
                      <a:off x="0" y="0"/>
                      <a:ext cx="2486660" cy="1951990"/>
                    </a:xfrm>
                    <a:prstGeom prst="rect">
                      <a:avLst/>
                    </a:prstGeom>
                    <a:noFill/>
                    <a:ln>
                      <a:noFill/>
                    </a:ln>
                  </pic:spPr>
                </pic:pic>
              </a:graphicData>
            </a:graphic>
          </wp:inline>
        </w:drawing>
      </w:r>
    </w:p>
    <w:p w14:paraId="5AEC621E" w14:textId="77777777" w:rsidR="007218C6" w:rsidRPr="00A26A92" w:rsidRDefault="007218C6" w:rsidP="007218C6">
      <w:pPr>
        <w:jc w:val="center"/>
        <w:rPr>
          <w:rFonts w:ascii="Times New Roman" w:eastAsia="Batang" w:hAnsi="Times New Roman" w:cs="Times New Roman"/>
          <w:b/>
        </w:rPr>
      </w:pPr>
      <w:r>
        <w:rPr>
          <w:rFonts w:ascii="Times New Roman" w:eastAsia="Batang" w:hAnsi="Times New Roman" w:cs="Times New Roman"/>
          <w:b/>
        </w:rPr>
        <w:t>Figure 3.14</w:t>
      </w:r>
      <w:r w:rsidRPr="00A26A92">
        <w:rPr>
          <w:rFonts w:ascii="Times New Roman" w:eastAsia="Batang" w:hAnsi="Times New Roman" w:cs="Times New Roman"/>
          <w:b/>
        </w:rPr>
        <w:t xml:space="preserve">: </w:t>
      </w:r>
      <w:r w:rsidRPr="00A26A92">
        <w:rPr>
          <w:rFonts w:ascii="Times New Roman" w:eastAsia="Batang" w:hAnsi="Times New Roman" w:cs="Times New Roman"/>
        </w:rPr>
        <w:t>NRVB cement sample</w:t>
      </w:r>
      <w:r>
        <w:rPr>
          <w:rFonts w:ascii="Times New Roman" w:eastAsia="Batang" w:hAnsi="Times New Roman" w:cs="Times New Roman"/>
        </w:rPr>
        <w:br/>
      </w:r>
    </w:p>
    <w:p w14:paraId="5C2C0947" w14:textId="29534403" w:rsidR="007218C6" w:rsidRDefault="007218C6" w:rsidP="007218C6">
      <w:pPr>
        <w:spacing w:line="360" w:lineRule="auto"/>
        <w:jc w:val="both"/>
        <w:rPr>
          <w:rFonts w:ascii="Times New Roman" w:hAnsi="Times New Roman" w:cs="Times New Roman"/>
        </w:rPr>
      </w:pPr>
      <w:r w:rsidRPr="00A26A92">
        <w:rPr>
          <w:rFonts w:ascii="Times New Roman" w:hAnsi="Times New Roman" w:cs="Times New Roman"/>
        </w:rPr>
        <w:t>The solution was designed to simulate the cement leachate that is produced when radioelements are complexed by the superplasticiser, become soluble and diffuse into the surrounding water</w:t>
      </w:r>
      <w:r>
        <w:rPr>
          <w:rFonts w:ascii="Times New Roman" w:hAnsi="Times New Roman" w:cs="Times New Roman"/>
        </w:rPr>
        <w:t xml:space="preserve"> [</w:t>
      </w:r>
      <w:r w:rsidR="004E2DD8" w:rsidRPr="00751C5B">
        <w:rPr>
          <w:rFonts w:ascii="Times New Roman" w:hAnsi="Times New Roman" w:cs="Times New Roman"/>
          <w:color w:val="1DF000"/>
        </w:rPr>
        <w:t>11</w:t>
      </w:r>
      <w:r>
        <w:rPr>
          <w:rFonts w:ascii="Times New Roman" w:hAnsi="Times New Roman" w:cs="Times New Roman"/>
        </w:rPr>
        <w:t>]</w:t>
      </w:r>
      <w:r w:rsidRPr="00A26A92">
        <w:rPr>
          <w:rFonts w:ascii="Times New Roman" w:hAnsi="Times New Roman" w:cs="Times New Roman"/>
        </w:rPr>
        <w:t xml:space="preserve">. </w:t>
      </w:r>
    </w:p>
    <w:p w14:paraId="206CE22E" w14:textId="77777777" w:rsidR="007218C6" w:rsidRDefault="007218C6" w:rsidP="007218C6">
      <w:pPr>
        <w:spacing w:line="360" w:lineRule="auto"/>
        <w:jc w:val="both"/>
        <w:rPr>
          <w:rFonts w:ascii="Times New Roman" w:hAnsi="Times New Roman" w:cs="Times New Roman"/>
        </w:rPr>
      </w:pPr>
    </w:p>
    <w:p w14:paraId="0DF5FB37" w14:textId="77777777" w:rsidR="0018608F" w:rsidRPr="00A26A92" w:rsidRDefault="0018608F" w:rsidP="007218C6">
      <w:pPr>
        <w:spacing w:line="360" w:lineRule="auto"/>
        <w:jc w:val="both"/>
        <w:rPr>
          <w:rFonts w:ascii="Times New Roman" w:hAnsi="Times New Roman" w:cs="Times New Roman"/>
        </w:rPr>
      </w:pPr>
    </w:p>
    <w:p w14:paraId="0C2DBC15" w14:textId="77777777" w:rsidR="007218C6" w:rsidRPr="00A26A92" w:rsidRDefault="007218C6" w:rsidP="007218C6">
      <w:pPr>
        <w:spacing w:line="360" w:lineRule="auto"/>
        <w:jc w:val="both"/>
        <w:rPr>
          <w:rFonts w:ascii="Times New Roman" w:hAnsi="Times New Roman" w:cs="Times New Roman"/>
        </w:rPr>
      </w:pPr>
      <w:r>
        <w:rPr>
          <w:rFonts w:ascii="Times New Roman" w:hAnsi="Times New Roman" w:cs="Times New Roman"/>
        </w:rPr>
        <w:t>The two solutions used were</w:t>
      </w:r>
      <w:r w:rsidRPr="00A26A92">
        <w:rPr>
          <w:rFonts w:ascii="Times New Roman" w:hAnsi="Times New Roman" w:cs="Times New Roman"/>
        </w:rPr>
        <w:t>:</w:t>
      </w:r>
    </w:p>
    <w:p w14:paraId="51951C0A" w14:textId="25A56F2F" w:rsidR="007218C6" w:rsidRPr="00A26A92" w:rsidRDefault="007218C6" w:rsidP="007218C6">
      <w:pPr>
        <w:numPr>
          <w:ilvl w:val="0"/>
          <w:numId w:val="12"/>
        </w:numPr>
        <w:spacing w:after="120" w:line="360" w:lineRule="auto"/>
        <w:jc w:val="both"/>
        <w:rPr>
          <w:rFonts w:ascii="Times New Roman" w:hAnsi="Times New Roman" w:cs="Times New Roman"/>
        </w:rPr>
      </w:pPr>
      <w:r w:rsidRPr="00A26A92">
        <w:rPr>
          <w:rFonts w:ascii="Times New Roman" w:hAnsi="Times New Roman" w:cs="Times New Roman"/>
        </w:rPr>
        <w:t>Blank (B</w:t>
      </w:r>
      <w:r w:rsidR="00646350">
        <w:rPr>
          <w:rFonts w:ascii="Times New Roman" w:hAnsi="Times New Roman" w:cs="Times New Roman"/>
        </w:rPr>
        <w:t>LANK</w:t>
      </w:r>
      <w:r w:rsidRPr="00A26A92">
        <w:rPr>
          <w:rFonts w:ascii="Times New Roman" w:hAnsi="Times New Roman" w:cs="Times New Roman"/>
        </w:rPr>
        <w:t xml:space="preserve">) – comprising </w:t>
      </w:r>
      <w:proofErr w:type="gramStart"/>
      <w:r w:rsidRPr="00A26A92">
        <w:rPr>
          <w:rFonts w:ascii="Times New Roman" w:hAnsi="Times New Roman" w:cs="Times New Roman"/>
        </w:rPr>
        <w:t>Ce(</w:t>
      </w:r>
      <w:proofErr w:type="gramEnd"/>
      <w:r w:rsidRPr="00A26A92">
        <w:rPr>
          <w:rFonts w:ascii="Times New Roman" w:hAnsi="Times New Roman" w:cs="Times New Roman"/>
        </w:rPr>
        <w:t>NO</w:t>
      </w:r>
      <w:r w:rsidRPr="00A26A92">
        <w:rPr>
          <w:rFonts w:ascii="Times New Roman" w:hAnsi="Times New Roman" w:cs="Times New Roman"/>
          <w:vertAlign w:val="subscript"/>
        </w:rPr>
        <w:t>3</w:t>
      </w:r>
      <w:r w:rsidRPr="00A26A92">
        <w:rPr>
          <w:rFonts w:ascii="Times New Roman" w:hAnsi="Times New Roman" w:cs="Times New Roman"/>
        </w:rPr>
        <w:t>)</w:t>
      </w:r>
      <w:r w:rsidRPr="00A26A92">
        <w:rPr>
          <w:rFonts w:ascii="Times New Roman" w:hAnsi="Times New Roman" w:cs="Times New Roman"/>
          <w:vertAlign w:val="subscript"/>
        </w:rPr>
        <w:t>3</w:t>
      </w:r>
      <w:r w:rsidRPr="00A26A92">
        <w:rPr>
          <w:rFonts w:ascii="Times New Roman" w:hAnsi="Times New Roman" w:cs="Times New Roman"/>
        </w:rPr>
        <w:t xml:space="preserve"> and deionised water</w:t>
      </w:r>
    </w:p>
    <w:p w14:paraId="60617E21" w14:textId="6661BDA7" w:rsidR="007218C6" w:rsidRPr="00A26A92" w:rsidRDefault="007218C6" w:rsidP="007218C6">
      <w:pPr>
        <w:numPr>
          <w:ilvl w:val="0"/>
          <w:numId w:val="12"/>
        </w:numPr>
        <w:spacing w:after="120" w:line="360" w:lineRule="auto"/>
        <w:jc w:val="both"/>
        <w:rPr>
          <w:rFonts w:ascii="Times New Roman" w:hAnsi="Times New Roman" w:cs="Times New Roman"/>
        </w:rPr>
      </w:pPr>
      <w:r w:rsidRPr="00A26A92">
        <w:rPr>
          <w:rFonts w:ascii="Times New Roman" w:hAnsi="Times New Roman" w:cs="Times New Roman"/>
        </w:rPr>
        <w:t>Superplasticised solution (S</w:t>
      </w:r>
      <w:r w:rsidR="00646350">
        <w:rPr>
          <w:rFonts w:ascii="Times New Roman" w:hAnsi="Times New Roman" w:cs="Times New Roman"/>
        </w:rPr>
        <w:t>CEA</w:t>
      </w:r>
      <w:r w:rsidRPr="00A26A92">
        <w:rPr>
          <w:rFonts w:ascii="Times New Roman" w:hAnsi="Times New Roman" w:cs="Times New Roman"/>
        </w:rPr>
        <w:t xml:space="preserve">) – comprising ADVA cast 551, </w:t>
      </w:r>
      <w:proofErr w:type="gramStart"/>
      <w:r w:rsidRPr="00A26A92">
        <w:rPr>
          <w:rFonts w:ascii="Times New Roman" w:hAnsi="Times New Roman" w:cs="Times New Roman"/>
        </w:rPr>
        <w:t>Ce(</w:t>
      </w:r>
      <w:proofErr w:type="gramEnd"/>
      <w:r w:rsidRPr="00A26A92">
        <w:rPr>
          <w:rFonts w:ascii="Times New Roman" w:hAnsi="Times New Roman" w:cs="Times New Roman"/>
        </w:rPr>
        <w:t>NO</w:t>
      </w:r>
      <w:r w:rsidRPr="00A26A92">
        <w:rPr>
          <w:rFonts w:ascii="Times New Roman" w:hAnsi="Times New Roman" w:cs="Times New Roman"/>
          <w:vertAlign w:val="subscript"/>
        </w:rPr>
        <w:t>3</w:t>
      </w:r>
      <w:r w:rsidRPr="00A26A92">
        <w:rPr>
          <w:rFonts w:ascii="Times New Roman" w:hAnsi="Times New Roman" w:cs="Times New Roman"/>
        </w:rPr>
        <w:t>)</w:t>
      </w:r>
      <w:r w:rsidRPr="00A26A92">
        <w:rPr>
          <w:rFonts w:ascii="Times New Roman" w:hAnsi="Times New Roman" w:cs="Times New Roman"/>
          <w:vertAlign w:val="subscript"/>
        </w:rPr>
        <w:t>3</w:t>
      </w:r>
      <w:r w:rsidRPr="00A26A92">
        <w:rPr>
          <w:rFonts w:ascii="Times New Roman" w:hAnsi="Times New Roman" w:cs="Times New Roman"/>
        </w:rPr>
        <w:t xml:space="preserve"> and deionised water</w:t>
      </w:r>
    </w:p>
    <w:p w14:paraId="1730914E" w14:textId="6EDD5EA9" w:rsidR="007218C6" w:rsidRDefault="0030379D" w:rsidP="007218C6">
      <w:pPr>
        <w:spacing w:line="360" w:lineRule="auto"/>
        <w:jc w:val="both"/>
        <w:rPr>
          <w:rFonts w:ascii="Times New Roman" w:eastAsia="Batang" w:hAnsi="Times New Roman" w:cs="Times New Roman"/>
        </w:rPr>
      </w:pPr>
      <w:r>
        <w:rPr>
          <w:rFonts w:ascii="Times New Roman" w:hAnsi="Times New Roman"/>
        </w:rPr>
        <w:t>Table 3.7</w:t>
      </w:r>
      <w:r w:rsidR="007218C6" w:rsidRPr="00A26A92">
        <w:rPr>
          <w:rFonts w:ascii="Times New Roman" w:hAnsi="Times New Roman"/>
        </w:rPr>
        <w:t xml:space="preserve"> shows the compositions of both solutions. </w:t>
      </w:r>
      <w:r w:rsidR="00B279EC">
        <w:rPr>
          <w:rFonts w:ascii="Times New Roman" w:eastAsia="Batang" w:hAnsi="Times New Roman" w:cs="Times New Roman"/>
        </w:rPr>
        <w:t xml:space="preserve">Adding </w:t>
      </w:r>
      <w:proofErr w:type="gramStart"/>
      <w:r w:rsidR="00B279EC">
        <w:rPr>
          <w:rFonts w:ascii="Times New Roman" w:eastAsia="Batang" w:hAnsi="Times New Roman" w:cs="Times New Roman"/>
        </w:rPr>
        <w:t>Ce(</w:t>
      </w:r>
      <w:proofErr w:type="gramEnd"/>
      <w:r w:rsidR="00B279EC">
        <w:rPr>
          <w:rFonts w:ascii="Times New Roman" w:eastAsia="Batang" w:hAnsi="Times New Roman" w:cs="Times New Roman"/>
        </w:rPr>
        <w:t>NO</w:t>
      </w:r>
      <w:r w:rsidR="00B279EC">
        <w:rPr>
          <w:rFonts w:ascii="Times New Roman" w:eastAsia="Batang" w:hAnsi="Times New Roman" w:cs="Times New Roman"/>
          <w:vertAlign w:val="subscript"/>
        </w:rPr>
        <w:t>3</w:t>
      </w:r>
      <w:r w:rsidR="00B279EC">
        <w:rPr>
          <w:rFonts w:ascii="Times New Roman" w:eastAsia="Batang" w:hAnsi="Times New Roman" w:cs="Times New Roman"/>
        </w:rPr>
        <w:t>)</w:t>
      </w:r>
      <w:r w:rsidR="00B279EC">
        <w:rPr>
          <w:rFonts w:ascii="Times New Roman" w:eastAsia="Batang" w:hAnsi="Times New Roman" w:cs="Times New Roman"/>
          <w:vertAlign w:val="subscript"/>
        </w:rPr>
        <w:t xml:space="preserve">3 </w:t>
      </w:r>
      <w:r w:rsidR="00B279EC">
        <w:rPr>
          <w:rFonts w:ascii="Times New Roman" w:eastAsia="Batang" w:hAnsi="Times New Roman" w:cs="Times New Roman"/>
        </w:rPr>
        <w:t>to water creates Ce(OH)</w:t>
      </w:r>
      <w:r w:rsidR="00B279EC">
        <w:rPr>
          <w:rFonts w:ascii="Times New Roman" w:eastAsia="Batang" w:hAnsi="Times New Roman" w:cs="Times New Roman"/>
          <w:vertAlign w:val="subscript"/>
        </w:rPr>
        <w:t xml:space="preserve">3. </w:t>
      </w:r>
      <w:r w:rsidR="00B279EC">
        <w:rPr>
          <w:rFonts w:ascii="Times New Roman" w:eastAsia="Batang" w:hAnsi="Times New Roman" w:cs="Times New Roman"/>
        </w:rPr>
        <w:t>Therefore t</w:t>
      </w:r>
      <w:r w:rsidR="009928CA">
        <w:rPr>
          <w:rFonts w:ascii="Times New Roman" w:eastAsia="Batang" w:hAnsi="Times New Roman" w:cs="Times New Roman"/>
        </w:rPr>
        <w:t>he amount</w:t>
      </w:r>
      <w:r w:rsidR="00B279EC" w:rsidRPr="00A26A92">
        <w:rPr>
          <w:rFonts w:ascii="Times New Roman" w:eastAsia="Batang" w:hAnsi="Times New Roman" w:cs="Times New Roman"/>
        </w:rPr>
        <w:t xml:space="preserve"> of </w:t>
      </w:r>
      <w:proofErr w:type="gramStart"/>
      <w:r w:rsidR="00B279EC" w:rsidRPr="00A26A92">
        <w:rPr>
          <w:rFonts w:ascii="Times New Roman" w:eastAsia="Batang" w:hAnsi="Times New Roman" w:cs="Times New Roman"/>
        </w:rPr>
        <w:t>Ce(</w:t>
      </w:r>
      <w:proofErr w:type="gramEnd"/>
      <w:r w:rsidR="00B279EC" w:rsidRPr="00A26A92">
        <w:rPr>
          <w:rFonts w:ascii="Times New Roman" w:eastAsia="Batang" w:hAnsi="Times New Roman" w:cs="Times New Roman"/>
        </w:rPr>
        <w:t>NO</w:t>
      </w:r>
      <w:r w:rsidR="00B279EC" w:rsidRPr="00A26A92">
        <w:rPr>
          <w:rFonts w:ascii="Times New Roman" w:eastAsia="Batang" w:hAnsi="Times New Roman" w:cs="Times New Roman"/>
        </w:rPr>
        <w:softHyphen/>
      </w:r>
      <w:r w:rsidR="00B279EC" w:rsidRPr="00A26A92">
        <w:rPr>
          <w:rFonts w:ascii="Times New Roman" w:eastAsia="Batang" w:hAnsi="Times New Roman" w:cs="Times New Roman"/>
        </w:rPr>
        <w:softHyphen/>
      </w:r>
      <w:r w:rsidR="00B279EC" w:rsidRPr="00A26A92">
        <w:rPr>
          <w:rFonts w:ascii="Times New Roman" w:eastAsia="Batang" w:hAnsi="Times New Roman" w:cs="Times New Roman"/>
        </w:rPr>
        <w:softHyphen/>
      </w:r>
      <w:r w:rsidR="00B279EC" w:rsidRPr="00A26A92">
        <w:rPr>
          <w:rFonts w:ascii="Times New Roman" w:eastAsia="Batang" w:hAnsi="Times New Roman" w:cs="Times New Roman"/>
        </w:rPr>
        <w:softHyphen/>
      </w:r>
      <w:r w:rsidR="00B279EC" w:rsidRPr="00A26A92">
        <w:rPr>
          <w:rFonts w:ascii="Times New Roman" w:eastAsia="Batang" w:hAnsi="Times New Roman" w:cs="Times New Roman"/>
          <w:vertAlign w:val="subscript"/>
        </w:rPr>
        <w:t>3</w:t>
      </w:r>
      <w:r w:rsidR="00B279EC" w:rsidRPr="00A26A92">
        <w:rPr>
          <w:rFonts w:ascii="Times New Roman" w:eastAsia="Batang" w:hAnsi="Times New Roman" w:cs="Times New Roman"/>
        </w:rPr>
        <w:t>)</w:t>
      </w:r>
      <w:r w:rsidR="00B279EC" w:rsidRPr="00A26A92">
        <w:rPr>
          <w:rFonts w:ascii="Times New Roman" w:eastAsia="Batang" w:hAnsi="Times New Roman" w:cs="Times New Roman"/>
          <w:vertAlign w:val="subscript"/>
        </w:rPr>
        <w:t xml:space="preserve">3  </w:t>
      </w:r>
      <w:r w:rsidR="00B279EC" w:rsidRPr="00A26A92">
        <w:rPr>
          <w:rFonts w:ascii="Times New Roman" w:eastAsia="Batang" w:hAnsi="Times New Roman" w:cs="Times New Roman"/>
        </w:rPr>
        <w:t xml:space="preserve">added to each solution </w:t>
      </w:r>
      <w:r w:rsidR="009928CA">
        <w:rPr>
          <w:rFonts w:ascii="Times New Roman" w:eastAsia="Batang" w:hAnsi="Times New Roman" w:cs="Times New Roman"/>
        </w:rPr>
        <w:t xml:space="preserve">was </w:t>
      </w:r>
      <w:r w:rsidR="00B279EC" w:rsidRPr="00A26A92">
        <w:rPr>
          <w:rFonts w:ascii="Times New Roman" w:eastAsia="Batang" w:hAnsi="Times New Roman" w:cs="Times New Roman"/>
        </w:rPr>
        <w:t>based on the solubility limits of cerium hydroxide (</w:t>
      </w:r>
      <w:r w:rsidR="00B279EC" w:rsidRPr="00A26A92">
        <w:rPr>
          <w:rFonts w:ascii="Times New Roman" w:hAnsi="Times New Roman" w:cs="Times New Roman"/>
        </w:rPr>
        <w:t>Ce(OH)</w:t>
      </w:r>
      <w:r w:rsidR="00B279EC" w:rsidRPr="00A26A92">
        <w:rPr>
          <w:rFonts w:ascii="Times New Roman" w:hAnsi="Times New Roman" w:cs="Times New Roman"/>
          <w:vertAlign w:val="subscript"/>
        </w:rPr>
        <w:t>3</w:t>
      </w:r>
      <w:r w:rsidR="00B279EC" w:rsidRPr="00A26A92">
        <w:rPr>
          <w:rFonts w:ascii="Times New Roman" w:hAnsi="Times New Roman" w:cs="Times New Roman"/>
        </w:rPr>
        <w:t>)</w:t>
      </w:r>
      <w:r w:rsidR="007218C6" w:rsidRPr="00A26A92">
        <w:rPr>
          <w:rFonts w:ascii="Times New Roman" w:eastAsia="Batang" w:hAnsi="Times New Roman" w:cs="Times New Roman"/>
        </w:rPr>
        <w:t>. In deionised water the s</w:t>
      </w:r>
      <w:r w:rsidR="007218C6">
        <w:rPr>
          <w:rFonts w:ascii="Times New Roman" w:eastAsia="Batang" w:hAnsi="Times New Roman" w:cs="Times New Roman"/>
        </w:rPr>
        <w:t xml:space="preserve">olubility limit is </w:t>
      </w:r>
      <w:r w:rsidR="007218C6">
        <w:rPr>
          <w:rFonts w:ascii="Times New Roman" w:eastAsia="Batang" w:hAnsi="Times New Roman" w:cs="Times New Roman"/>
        </w:rPr>
        <w:lastRenderedPageBreak/>
        <w:t xml:space="preserve">0.00943 g/l. </w:t>
      </w:r>
      <w:r w:rsidR="007218C6" w:rsidRPr="00A26A92">
        <w:rPr>
          <w:rFonts w:ascii="Times New Roman" w:eastAsia="Batang" w:hAnsi="Times New Roman" w:cs="Times New Roman"/>
        </w:rPr>
        <w:t>Therefore approximately 0.</w:t>
      </w:r>
      <w:r w:rsidR="00610316">
        <w:rPr>
          <w:rFonts w:ascii="Times New Roman" w:eastAsia="Batang" w:hAnsi="Times New Roman" w:cs="Times New Roman"/>
        </w:rPr>
        <w:t>0</w:t>
      </w:r>
      <w:r w:rsidR="007218C6" w:rsidRPr="00A26A92">
        <w:rPr>
          <w:rFonts w:ascii="Times New Roman" w:eastAsia="Batang" w:hAnsi="Times New Roman" w:cs="Times New Roman"/>
        </w:rPr>
        <w:t xml:space="preserve">09g cerium nitrate was added per litre of deionised water to create solution </w:t>
      </w:r>
      <w:r w:rsidR="0072372E">
        <w:rPr>
          <w:rFonts w:ascii="Times New Roman" w:eastAsia="Batang" w:hAnsi="Times New Roman" w:cs="Times New Roman"/>
        </w:rPr>
        <w:t>BLANK</w:t>
      </w:r>
      <w:r w:rsidR="00086C8C">
        <w:rPr>
          <w:rFonts w:ascii="Times New Roman" w:eastAsia="Batang" w:hAnsi="Times New Roman" w:cs="Times New Roman"/>
        </w:rPr>
        <w:t xml:space="preserve">. </w:t>
      </w:r>
      <w:r w:rsidR="007218C6" w:rsidRPr="008B3B2C">
        <w:rPr>
          <w:rFonts w:ascii="Times New Roman" w:eastAsia="Batang" w:hAnsi="Times New Roman" w:cs="Times New Roman"/>
        </w:rPr>
        <w:t xml:space="preserve">With regards to the solution SP, </w:t>
      </w:r>
      <w:proofErr w:type="gramStart"/>
      <w:r w:rsidR="007218C6" w:rsidRPr="008B3B2C">
        <w:rPr>
          <w:rFonts w:ascii="Times New Roman" w:eastAsia="Batang" w:hAnsi="Times New Roman" w:cs="Times New Roman"/>
        </w:rPr>
        <w:t>Ce(</w:t>
      </w:r>
      <w:proofErr w:type="gramEnd"/>
      <w:r w:rsidR="007218C6" w:rsidRPr="008B3B2C">
        <w:rPr>
          <w:rFonts w:ascii="Times New Roman" w:eastAsia="Batang" w:hAnsi="Times New Roman" w:cs="Times New Roman"/>
        </w:rPr>
        <w:t>NO</w:t>
      </w:r>
      <w:r w:rsidR="007218C6" w:rsidRPr="008B3B2C">
        <w:rPr>
          <w:rFonts w:ascii="Times New Roman" w:eastAsia="Batang" w:hAnsi="Times New Roman" w:cs="Times New Roman"/>
        </w:rPr>
        <w:softHyphen/>
      </w:r>
      <w:r w:rsidR="007218C6" w:rsidRPr="008B3B2C">
        <w:rPr>
          <w:rFonts w:ascii="Times New Roman" w:eastAsia="Batang" w:hAnsi="Times New Roman" w:cs="Times New Roman"/>
        </w:rPr>
        <w:softHyphen/>
      </w:r>
      <w:r w:rsidR="007218C6" w:rsidRPr="008B3B2C">
        <w:rPr>
          <w:rFonts w:ascii="Times New Roman" w:eastAsia="Batang" w:hAnsi="Times New Roman" w:cs="Times New Roman"/>
        </w:rPr>
        <w:softHyphen/>
      </w:r>
      <w:r w:rsidR="007218C6" w:rsidRPr="008B3B2C">
        <w:rPr>
          <w:rFonts w:ascii="Times New Roman" w:eastAsia="Batang" w:hAnsi="Times New Roman" w:cs="Times New Roman"/>
        </w:rPr>
        <w:softHyphen/>
      </w:r>
      <w:r w:rsidR="007218C6" w:rsidRPr="008B3B2C">
        <w:rPr>
          <w:rFonts w:ascii="Times New Roman" w:eastAsia="Batang" w:hAnsi="Times New Roman" w:cs="Times New Roman"/>
          <w:vertAlign w:val="subscript"/>
        </w:rPr>
        <w:t>3</w:t>
      </w:r>
      <w:r w:rsidR="007218C6" w:rsidRPr="008B3B2C">
        <w:rPr>
          <w:rFonts w:ascii="Times New Roman" w:eastAsia="Batang" w:hAnsi="Times New Roman" w:cs="Times New Roman"/>
        </w:rPr>
        <w:t>)</w:t>
      </w:r>
      <w:r w:rsidR="007218C6" w:rsidRPr="008B3B2C">
        <w:rPr>
          <w:rFonts w:ascii="Times New Roman" w:eastAsia="Batang" w:hAnsi="Times New Roman" w:cs="Times New Roman"/>
          <w:vertAlign w:val="subscript"/>
        </w:rPr>
        <w:t xml:space="preserve">3 </w:t>
      </w:r>
      <w:r w:rsidR="007218C6" w:rsidRPr="008B3B2C">
        <w:rPr>
          <w:rFonts w:ascii="Times New Roman" w:eastAsia="Batang" w:hAnsi="Times New Roman" w:cs="Times New Roman"/>
        </w:rPr>
        <w:t>was added until the Ce(OH)</w:t>
      </w:r>
      <w:r w:rsidR="007218C6" w:rsidRPr="008B3B2C">
        <w:rPr>
          <w:rFonts w:ascii="Times New Roman" w:eastAsia="Batang" w:hAnsi="Times New Roman" w:cs="Times New Roman"/>
          <w:vertAlign w:val="subscript"/>
        </w:rPr>
        <w:t>3</w:t>
      </w:r>
      <w:r w:rsidR="007218C6" w:rsidRPr="008B3B2C">
        <w:rPr>
          <w:rFonts w:ascii="Times New Roman" w:eastAsia="Batang" w:hAnsi="Times New Roman" w:cs="Times New Roman"/>
        </w:rPr>
        <w:t xml:space="preserve"> precipitated, as the solubility limit of Ce(OH)</w:t>
      </w:r>
      <w:r w:rsidR="007218C6" w:rsidRPr="008B3B2C">
        <w:rPr>
          <w:rFonts w:ascii="Times New Roman" w:eastAsia="Batang" w:hAnsi="Times New Roman" w:cs="Times New Roman"/>
          <w:vertAlign w:val="subscript"/>
        </w:rPr>
        <w:t xml:space="preserve">3 </w:t>
      </w:r>
      <w:r w:rsidR="007218C6" w:rsidRPr="008B3B2C">
        <w:rPr>
          <w:rFonts w:ascii="Times New Roman" w:eastAsia="Batang" w:hAnsi="Times New Roman" w:cs="Times New Roman"/>
        </w:rPr>
        <w:t xml:space="preserve">was unknown in presence of superplasticiser. Approximately 0.34g of </w:t>
      </w:r>
      <w:proofErr w:type="gramStart"/>
      <w:r w:rsidR="007218C6" w:rsidRPr="008B3B2C">
        <w:rPr>
          <w:rFonts w:ascii="Times New Roman" w:eastAsia="Batang" w:hAnsi="Times New Roman" w:cs="Times New Roman"/>
        </w:rPr>
        <w:t>Ce(</w:t>
      </w:r>
      <w:proofErr w:type="gramEnd"/>
      <w:r w:rsidR="007218C6" w:rsidRPr="008B3B2C">
        <w:rPr>
          <w:rFonts w:ascii="Times New Roman" w:eastAsia="Batang" w:hAnsi="Times New Roman" w:cs="Times New Roman"/>
        </w:rPr>
        <w:t>NO</w:t>
      </w:r>
      <w:r w:rsidR="007218C6" w:rsidRPr="008B3B2C">
        <w:rPr>
          <w:rFonts w:ascii="Times New Roman" w:eastAsia="Batang" w:hAnsi="Times New Roman" w:cs="Times New Roman"/>
        </w:rPr>
        <w:softHyphen/>
      </w:r>
      <w:r w:rsidR="007218C6" w:rsidRPr="008B3B2C">
        <w:rPr>
          <w:rFonts w:ascii="Times New Roman" w:eastAsia="Batang" w:hAnsi="Times New Roman" w:cs="Times New Roman"/>
        </w:rPr>
        <w:softHyphen/>
      </w:r>
      <w:r w:rsidR="007218C6" w:rsidRPr="008B3B2C">
        <w:rPr>
          <w:rFonts w:ascii="Times New Roman" w:eastAsia="Batang" w:hAnsi="Times New Roman" w:cs="Times New Roman"/>
        </w:rPr>
        <w:softHyphen/>
      </w:r>
      <w:r w:rsidR="007218C6" w:rsidRPr="008B3B2C">
        <w:rPr>
          <w:rFonts w:ascii="Times New Roman" w:eastAsia="Batang" w:hAnsi="Times New Roman" w:cs="Times New Roman"/>
        </w:rPr>
        <w:softHyphen/>
      </w:r>
      <w:r w:rsidR="007218C6" w:rsidRPr="008B3B2C">
        <w:rPr>
          <w:rFonts w:ascii="Times New Roman" w:eastAsia="Batang" w:hAnsi="Times New Roman" w:cs="Times New Roman"/>
          <w:vertAlign w:val="subscript"/>
        </w:rPr>
        <w:t>3</w:t>
      </w:r>
      <w:r w:rsidR="007218C6" w:rsidRPr="008B3B2C">
        <w:rPr>
          <w:rFonts w:ascii="Times New Roman" w:eastAsia="Batang" w:hAnsi="Times New Roman" w:cs="Times New Roman"/>
        </w:rPr>
        <w:t>)</w:t>
      </w:r>
      <w:r w:rsidR="007218C6" w:rsidRPr="008B3B2C">
        <w:rPr>
          <w:rFonts w:ascii="Times New Roman" w:eastAsia="Batang" w:hAnsi="Times New Roman" w:cs="Times New Roman"/>
          <w:vertAlign w:val="subscript"/>
        </w:rPr>
        <w:t xml:space="preserve">3  </w:t>
      </w:r>
      <w:r w:rsidR="007218C6" w:rsidRPr="008B3B2C">
        <w:rPr>
          <w:rFonts w:ascii="Times New Roman" w:eastAsia="Batang" w:hAnsi="Times New Roman" w:cs="Times New Roman"/>
        </w:rPr>
        <w:t>was required to obtai</w:t>
      </w:r>
      <w:r w:rsidR="00086C8C">
        <w:rPr>
          <w:rFonts w:ascii="Times New Roman" w:eastAsia="Batang" w:hAnsi="Times New Roman" w:cs="Times New Roman"/>
        </w:rPr>
        <w:t xml:space="preserve">n 0.01M Ce in 2 litres of water. </w:t>
      </w:r>
      <w:r w:rsidR="000C35F4">
        <w:rPr>
          <w:rFonts w:ascii="Times New Roman" w:eastAsia="Batang" w:hAnsi="Times New Roman" w:cs="Times New Roman"/>
        </w:rPr>
        <w:t>Given that these solutions are simulating the leached solutions from an encapsulant cement, t</w:t>
      </w:r>
      <w:r w:rsidR="007218C6" w:rsidRPr="008B3B2C">
        <w:rPr>
          <w:rFonts w:ascii="Times New Roman" w:eastAsia="Batang" w:hAnsi="Times New Roman" w:cs="Times New Roman"/>
        </w:rPr>
        <w:t xml:space="preserve">he concentration of ADVA cast 551 in the solution </w:t>
      </w:r>
      <w:r w:rsidR="0072372E">
        <w:rPr>
          <w:rFonts w:ascii="Times New Roman" w:eastAsia="Batang" w:hAnsi="Times New Roman" w:cs="Times New Roman"/>
        </w:rPr>
        <w:t>SCEA</w:t>
      </w:r>
      <w:r w:rsidR="007218C6" w:rsidRPr="008B3B2C">
        <w:rPr>
          <w:rFonts w:ascii="Times New Roman" w:eastAsia="Batang" w:hAnsi="Times New Roman" w:cs="Times New Roman"/>
        </w:rPr>
        <w:t xml:space="preserve"> was calculated on the assumption that the superplasticiser </w:t>
      </w:r>
      <w:r w:rsidR="00610316">
        <w:rPr>
          <w:rFonts w:ascii="Times New Roman" w:eastAsia="Batang" w:hAnsi="Times New Roman" w:cs="Times New Roman"/>
        </w:rPr>
        <w:t>had</w:t>
      </w:r>
      <w:r w:rsidR="00610316" w:rsidRPr="008B3B2C">
        <w:rPr>
          <w:rFonts w:ascii="Times New Roman" w:eastAsia="Batang" w:hAnsi="Times New Roman" w:cs="Times New Roman"/>
        </w:rPr>
        <w:t xml:space="preserve"> </w:t>
      </w:r>
      <w:r w:rsidR="007218C6" w:rsidRPr="008B3B2C">
        <w:rPr>
          <w:rFonts w:ascii="Times New Roman" w:eastAsia="Batang" w:hAnsi="Times New Roman" w:cs="Times New Roman"/>
        </w:rPr>
        <w:t>completely leach</w:t>
      </w:r>
      <w:r w:rsidR="00610316">
        <w:rPr>
          <w:rFonts w:ascii="Times New Roman" w:eastAsia="Batang" w:hAnsi="Times New Roman" w:cs="Times New Roman"/>
        </w:rPr>
        <w:t>ed</w:t>
      </w:r>
      <w:r w:rsidR="007218C6" w:rsidRPr="008B3B2C">
        <w:rPr>
          <w:rFonts w:ascii="Times New Roman" w:eastAsia="Batang" w:hAnsi="Times New Roman" w:cs="Times New Roman"/>
        </w:rPr>
        <w:t xml:space="preserve"> out of </w:t>
      </w:r>
      <w:r w:rsidR="007F6791">
        <w:rPr>
          <w:rFonts w:ascii="Times New Roman" w:eastAsia="Batang" w:hAnsi="Times New Roman" w:cs="Times New Roman"/>
        </w:rPr>
        <w:t xml:space="preserve">an </w:t>
      </w:r>
      <w:r w:rsidR="007218C6" w:rsidRPr="008B3B2C">
        <w:rPr>
          <w:rFonts w:ascii="Times New Roman" w:eastAsia="Batang" w:hAnsi="Times New Roman" w:cs="Times New Roman"/>
        </w:rPr>
        <w:t>encapsulant cement with a water</w:t>
      </w:r>
      <w:proofErr w:type="gramStart"/>
      <w:r w:rsidR="007218C6" w:rsidRPr="008B3B2C">
        <w:rPr>
          <w:rFonts w:ascii="Times New Roman" w:eastAsia="Batang" w:hAnsi="Times New Roman" w:cs="Times New Roman"/>
        </w:rPr>
        <w:t>:solid</w:t>
      </w:r>
      <w:proofErr w:type="gramEnd"/>
      <w:r w:rsidR="007218C6" w:rsidRPr="008B3B2C">
        <w:rPr>
          <w:rFonts w:ascii="Times New Roman" w:eastAsia="Batang" w:hAnsi="Times New Roman" w:cs="Times New Roman"/>
        </w:rPr>
        <w:t xml:space="preserve"> ratio of 0.37. An ADVA cast 551 concentration of approximately 0.5 v/w % is most commonly used</w:t>
      </w:r>
      <w:r w:rsidR="000C35F4">
        <w:rPr>
          <w:rFonts w:ascii="Times New Roman" w:eastAsia="Batang" w:hAnsi="Times New Roman" w:cs="Times New Roman"/>
        </w:rPr>
        <w:t xml:space="preserve"> when batching up the cement blends</w:t>
      </w:r>
      <w:r w:rsidR="007218C6" w:rsidRPr="008B3B2C">
        <w:rPr>
          <w:rFonts w:ascii="Times New Roman" w:eastAsia="Batang" w:hAnsi="Times New Roman" w:cs="Times New Roman"/>
        </w:rPr>
        <w:t>. The</w:t>
      </w:r>
      <w:r w:rsidR="000C35F4">
        <w:rPr>
          <w:rFonts w:ascii="Times New Roman" w:eastAsia="Batang" w:hAnsi="Times New Roman" w:cs="Times New Roman"/>
        </w:rPr>
        <w:t>refore based on this the</w:t>
      </w:r>
      <w:r w:rsidR="007218C6" w:rsidRPr="008B3B2C">
        <w:rPr>
          <w:rFonts w:ascii="Times New Roman" w:eastAsia="Batang" w:hAnsi="Times New Roman" w:cs="Times New Roman"/>
        </w:rPr>
        <w:t xml:space="preserve"> concentration of ADVA cast 551 was calculated as 1.6% by volume per 1L of water.  </w:t>
      </w:r>
    </w:p>
    <w:p w14:paraId="3D432498" w14:textId="77777777" w:rsidR="007218C6" w:rsidRPr="008B3B2C" w:rsidRDefault="007218C6" w:rsidP="007218C6">
      <w:pPr>
        <w:spacing w:line="360" w:lineRule="auto"/>
        <w:jc w:val="both"/>
        <w:rPr>
          <w:rFonts w:ascii="Times New Roman" w:eastAsia="Batang" w:hAnsi="Times New Roman" w:cs="Times New Roman"/>
        </w:rPr>
      </w:pPr>
    </w:p>
    <w:p w14:paraId="53DFAB17" w14:textId="165965DB" w:rsidR="007218C6" w:rsidRPr="00A26A92" w:rsidRDefault="0030379D" w:rsidP="007218C6">
      <w:pPr>
        <w:spacing w:line="360" w:lineRule="auto"/>
        <w:jc w:val="center"/>
        <w:rPr>
          <w:rFonts w:ascii="Times New Roman" w:eastAsia="Batang" w:hAnsi="Times New Roman" w:cs="Times New Roman"/>
          <w:b/>
        </w:rPr>
      </w:pPr>
      <w:r>
        <w:rPr>
          <w:rFonts w:ascii="Times New Roman" w:eastAsia="Batang" w:hAnsi="Times New Roman" w:cs="Times New Roman"/>
          <w:b/>
        </w:rPr>
        <w:t>Table 3.7</w:t>
      </w:r>
      <w:r w:rsidR="007218C6" w:rsidRPr="00A26A92">
        <w:rPr>
          <w:rFonts w:ascii="Times New Roman" w:eastAsia="Batang" w:hAnsi="Times New Roman" w:cs="Times New Roman"/>
          <w:b/>
        </w:rPr>
        <w:t xml:space="preserve">: </w:t>
      </w:r>
      <w:r w:rsidR="007218C6" w:rsidRPr="00A26A92">
        <w:rPr>
          <w:rFonts w:ascii="Times New Roman" w:eastAsia="Batang" w:hAnsi="Times New Roman" w:cs="Times New Roman"/>
        </w:rPr>
        <w:t>Solution Composition</w:t>
      </w:r>
    </w:p>
    <w:tbl>
      <w:tblPr>
        <w:tblW w:w="5000" w:type="pct"/>
        <w:tblBorders>
          <w:top w:val="single" w:sz="4" w:space="0" w:color="auto"/>
        </w:tblBorders>
        <w:tblLook w:val="01E0" w:firstRow="1" w:lastRow="1" w:firstColumn="1" w:lastColumn="1" w:noHBand="0" w:noVBand="0"/>
      </w:tblPr>
      <w:tblGrid>
        <w:gridCol w:w="2750"/>
        <w:gridCol w:w="1717"/>
        <w:gridCol w:w="2438"/>
        <w:gridCol w:w="2143"/>
      </w:tblGrid>
      <w:tr w:rsidR="007218C6" w:rsidRPr="00A26A92" w14:paraId="77B6D1EC" w14:textId="77777777" w:rsidTr="00C07DA0">
        <w:trPr>
          <w:trHeight w:val="195"/>
        </w:trPr>
        <w:tc>
          <w:tcPr>
            <w:tcW w:w="1520" w:type="pct"/>
            <w:vMerge w:val="restart"/>
            <w:tcBorders>
              <w:top w:val="single" w:sz="4" w:space="0" w:color="auto"/>
              <w:bottom w:val="single" w:sz="4" w:space="0" w:color="auto"/>
              <w:right w:val="single" w:sz="4" w:space="0" w:color="auto"/>
            </w:tcBorders>
            <w:shd w:val="clear" w:color="auto" w:fill="FFFFFF" w:themeFill="background1"/>
            <w:vAlign w:val="center"/>
          </w:tcPr>
          <w:p w14:paraId="46B38352" w14:textId="77777777" w:rsidR="007218C6" w:rsidRPr="00A26A92" w:rsidRDefault="007218C6" w:rsidP="00C07DA0">
            <w:pPr>
              <w:tabs>
                <w:tab w:val="left" w:pos="2580"/>
              </w:tabs>
              <w:spacing w:line="360" w:lineRule="auto"/>
              <w:jc w:val="center"/>
              <w:rPr>
                <w:rFonts w:ascii="Times New Roman" w:eastAsia="Batang" w:hAnsi="Times New Roman" w:cs="Times New Roman"/>
                <w:b/>
              </w:rPr>
            </w:pPr>
            <w:r w:rsidRPr="00A26A92">
              <w:rPr>
                <w:rFonts w:ascii="Times New Roman" w:eastAsia="Batang" w:hAnsi="Times New Roman" w:cs="Times New Roman"/>
                <w:b/>
              </w:rPr>
              <w:t>Solution</w:t>
            </w:r>
          </w:p>
        </w:tc>
        <w:tc>
          <w:tcPr>
            <w:tcW w:w="3480" w:type="pct"/>
            <w:gridSpan w:val="3"/>
            <w:tcBorders>
              <w:top w:val="single" w:sz="4" w:space="0" w:color="auto"/>
              <w:left w:val="single" w:sz="4" w:space="0" w:color="auto"/>
              <w:bottom w:val="single" w:sz="4" w:space="0" w:color="auto"/>
            </w:tcBorders>
            <w:shd w:val="clear" w:color="auto" w:fill="FFFFFF" w:themeFill="background1"/>
            <w:vAlign w:val="center"/>
          </w:tcPr>
          <w:p w14:paraId="6FC1C531" w14:textId="77777777" w:rsidR="007218C6" w:rsidRPr="00A26A92" w:rsidRDefault="007218C6" w:rsidP="00C07DA0">
            <w:pPr>
              <w:tabs>
                <w:tab w:val="left" w:pos="2580"/>
              </w:tabs>
              <w:spacing w:line="360" w:lineRule="auto"/>
              <w:jc w:val="center"/>
              <w:rPr>
                <w:rFonts w:ascii="Times New Roman" w:eastAsia="Batang" w:hAnsi="Times New Roman" w:cs="Times New Roman"/>
                <w:b/>
              </w:rPr>
            </w:pPr>
            <w:r w:rsidRPr="00A26A92">
              <w:rPr>
                <w:rFonts w:ascii="Times New Roman" w:eastAsia="Batang" w:hAnsi="Times New Roman" w:cs="Times New Roman"/>
                <w:b/>
              </w:rPr>
              <w:t>Component</w:t>
            </w:r>
          </w:p>
        </w:tc>
      </w:tr>
      <w:tr w:rsidR="007218C6" w:rsidRPr="00A26A92" w14:paraId="13610F52" w14:textId="77777777" w:rsidTr="00C07DA0">
        <w:trPr>
          <w:trHeight w:val="500"/>
        </w:trPr>
        <w:tc>
          <w:tcPr>
            <w:tcW w:w="1520" w:type="pct"/>
            <w:vMerge/>
            <w:tcBorders>
              <w:top w:val="single" w:sz="4" w:space="0" w:color="auto"/>
              <w:bottom w:val="single" w:sz="4" w:space="0" w:color="auto"/>
              <w:right w:val="single" w:sz="4" w:space="0" w:color="auto"/>
            </w:tcBorders>
            <w:shd w:val="clear" w:color="auto" w:fill="FFFFFF" w:themeFill="background1"/>
            <w:vAlign w:val="center"/>
          </w:tcPr>
          <w:p w14:paraId="3BA044F1" w14:textId="77777777" w:rsidR="007218C6" w:rsidRPr="00A26A92" w:rsidRDefault="007218C6" w:rsidP="00C07DA0">
            <w:pPr>
              <w:tabs>
                <w:tab w:val="left" w:pos="2580"/>
              </w:tabs>
              <w:spacing w:line="360" w:lineRule="auto"/>
              <w:jc w:val="center"/>
              <w:rPr>
                <w:rFonts w:ascii="Times New Roman" w:eastAsia="Batang" w:hAnsi="Times New Roman" w:cs="Times New Roman"/>
                <w:b/>
              </w:rPr>
            </w:pPr>
          </w:p>
        </w:tc>
        <w:tc>
          <w:tcPr>
            <w:tcW w:w="949" w:type="pct"/>
            <w:tcBorders>
              <w:top w:val="single" w:sz="4" w:space="0" w:color="auto"/>
              <w:left w:val="single" w:sz="4" w:space="0" w:color="auto"/>
              <w:bottom w:val="single" w:sz="4" w:space="0" w:color="auto"/>
            </w:tcBorders>
            <w:shd w:val="clear" w:color="auto" w:fill="FFFFFF" w:themeFill="background1"/>
            <w:vAlign w:val="center"/>
          </w:tcPr>
          <w:p w14:paraId="0E81B549" w14:textId="77777777" w:rsidR="007218C6" w:rsidRPr="00A26A92" w:rsidRDefault="007218C6" w:rsidP="00C07DA0">
            <w:pPr>
              <w:tabs>
                <w:tab w:val="left" w:pos="2580"/>
              </w:tabs>
              <w:spacing w:line="360" w:lineRule="auto"/>
              <w:jc w:val="center"/>
              <w:rPr>
                <w:rFonts w:ascii="Times New Roman" w:eastAsia="Batang" w:hAnsi="Times New Roman" w:cs="Times New Roman"/>
                <w:b/>
              </w:rPr>
            </w:pPr>
            <w:r w:rsidRPr="00A26A92">
              <w:rPr>
                <w:rFonts w:ascii="Times New Roman" w:eastAsia="Batang" w:hAnsi="Times New Roman" w:cs="Times New Roman"/>
                <w:b/>
              </w:rPr>
              <w:t>Water (ml)</w:t>
            </w:r>
          </w:p>
        </w:tc>
        <w:tc>
          <w:tcPr>
            <w:tcW w:w="1347" w:type="pct"/>
            <w:tcBorders>
              <w:top w:val="single" w:sz="4" w:space="0" w:color="auto"/>
              <w:bottom w:val="single" w:sz="4" w:space="0" w:color="auto"/>
            </w:tcBorders>
            <w:shd w:val="clear" w:color="auto" w:fill="FFFFFF" w:themeFill="background1"/>
            <w:vAlign w:val="center"/>
          </w:tcPr>
          <w:p w14:paraId="21145BEE" w14:textId="77777777" w:rsidR="007218C6" w:rsidRPr="00A26A92" w:rsidRDefault="007218C6" w:rsidP="00C07DA0">
            <w:pPr>
              <w:tabs>
                <w:tab w:val="left" w:pos="2580"/>
              </w:tabs>
              <w:spacing w:line="360" w:lineRule="auto"/>
              <w:jc w:val="center"/>
              <w:rPr>
                <w:rFonts w:ascii="Times New Roman" w:eastAsia="Batang" w:hAnsi="Times New Roman" w:cs="Times New Roman"/>
                <w:b/>
              </w:rPr>
            </w:pPr>
            <w:r w:rsidRPr="00A26A92">
              <w:rPr>
                <w:rFonts w:ascii="Times New Roman" w:eastAsia="Batang" w:hAnsi="Times New Roman" w:cs="Times New Roman"/>
                <w:b/>
              </w:rPr>
              <w:t>Cerium Nitrate  (g)</w:t>
            </w:r>
          </w:p>
        </w:tc>
        <w:tc>
          <w:tcPr>
            <w:tcW w:w="1184" w:type="pct"/>
            <w:tcBorders>
              <w:top w:val="single" w:sz="4" w:space="0" w:color="auto"/>
              <w:bottom w:val="single" w:sz="4" w:space="0" w:color="auto"/>
            </w:tcBorders>
            <w:shd w:val="clear" w:color="auto" w:fill="FFFFFF" w:themeFill="background1"/>
            <w:vAlign w:val="center"/>
          </w:tcPr>
          <w:p w14:paraId="25178BF5" w14:textId="77777777" w:rsidR="007218C6" w:rsidRPr="00A26A92" w:rsidRDefault="007218C6" w:rsidP="00C07DA0">
            <w:pPr>
              <w:tabs>
                <w:tab w:val="left" w:pos="2580"/>
              </w:tabs>
              <w:spacing w:line="360" w:lineRule="auto"/>
              <w:jc w:val="center"/>
              <w:rPr>
                <w:rFonts w:ascii="Times New Roman" w:eastAsia="Batang" w:hAnsi="Times New Roman" w:cs="Times New Roman"/>
                <w:b/>
              </w:rPr>
            </w:pPr>
            <w:r w:rsidRPr="00A26A92">
              <w:rPr>
                <w:rFonts w:ascii="Times New Roman" w:eastAsia="Batang" w:hAnsi="Times New Roman" w:cs="Times New Roman"/>
                <w:b/>
              </w:rPr>
              <w:t>Advacast 551 (ml)</w:t>
            </w:r>
          </w:p>
        </w:tc>
      </w:tr>
      <w:tr w:rsidR="007218C6" w:rsidRPr="00A26A92" w14:paraId="37DE6BA1" w14:textId="77777777" w:rsidTr="00C07DA0">
        <w:trPr>
          <w:trHeight w:val="373"/>
        </w:trPr>
        <w:tc>
          <w:tcPr>
            <w:tcW w:w="1520" w:type="pct"/>
            <w:tcBorders>
              <w:top w:val="single" w:sz="4" w:space="0" w:color="auto"/>
              <w:right w:val="single" w:sz="4" w:space="0" w:color="auto"/>
            </w:tcBorders>
            <w:shd w:val="clear" w:color="auto" w:fill="FFFFFF" w:themeFill="background1"/>
            <w:vAlign w:val="center"/>
          </w:tcPr>
          <w:p w14:paraId="0D95840D" w14:textId="7091EA43" w:rsidR="007218C6" w:rsidRPr="00A26A92" w:rsidRDefault="009928CA" w:rsidP="00C07DA0">
            <w:pPr>
              <w:spacing w:line="360" w:lineRule="auto"/>
              <w:jc w:val="center"/>
              <w:rPr>
                <w:rFonts w:ascii="Times New Roman" w:eastAsia="Batang" w:hAnsi="Times New Roman" w:cs="Times New Roman"/>
              </w:rPr>
            </w:pPr>
            <w:r>
              <w:rPr>
                <w:rFonts w:ascii="Times New Roman" w:eastAsia="Batang" w:hAnsi="Times New Roman" w:cs="Times New Roman"/>
              </w:rPr>
              <w:t>Blank (</w:t>
            </w:r>
            <w:r w:rsidR="0072372E">
              <w:rPr>
                <w:rFonts w:ascii="Times New Roman" w:eastAsia="Batang" w:hAnsi="Times New Roman" w:cs="Times New Roman"/>
              </w:rPr>
              <w:t>BLANK</w:t>
            </w:r>
            <w:r w:rsidR="007218C6" w:rsidRPr="00A26A92">
              <w:rPr>
                <w:rFonts w:ascii="Times New Roman" w:eastAsia="Batang" w:hAnsi="Times New Roman" w:cs="Times New Roman"/>
              </w:rPr>
              <w:t>)</w:t>
            </w:r>
          </w:p>
        </w:tc>
        <w:tc>
          <w:tcPr>
            <w:tcW w:w="949" w:type="pct"/>
            <w:tcBorders>
              <w:top w:val="single" w:sz="4" w:space="0" w:color="auto"/>
              <w:left w:val="single" w:sz="4" w:space="0" w:color="auto"/>
            </w:tcBorders>
            <w:shd w:val="clear" w:color="auto" w:fill="FFFFFF" w:themeFill="background1"/>
            <w:vAlign w:val="center"/>
          </w:tcPr>
          <w:p w14:paraId="3BF7903C" w14:textId="77777777" w:rsidR="007218C6" w:rsidRPr="00A26A92" w:rsidRDefault="007218C6" w:rsidP="00C07DA0">
            <w:pPr>
              <w:spacing w:line="360" w:lineRule="auto"/>
              <w:jc w:val="center"/>
              <w:rPr>
                <w:rFonts w:ascii="Times New Roman" w:eastAsia="Batang" w:hAnsi="Times New Roman" w:cs="Times New Roman"/>
              </w:rPr>
            </w:pPr>
            <w:r w:rsidRPr="00A26A92">
              <w:rPr>
                <w:rFonts w:ascii="Times New Roman" w:eastAsia="Batang" w:hAnsi="Times New Roman" w:cs="Times New Roman"/>
              </w:rPr>
              <w:t>2000</w:t>
            </w:r>
          </w:p>
        </w:tc>
        <w:tc>
          <w:tcPr>
            <w:tcW w:w="1347" w:type="pct"/>
            <w:tcBorders>
              <w:top w:val="single" w:sz="4" w:space="0" w:color="auto"/>
            </w:tcBorders>
            <w:shd w:val="clear" w:color="auto" w:fill="FFFFFF" w:themeFill="background1"/>
            <w:vAlign w:val="center"/>
          </w:tcPr>
          <w:p w14:paraId="23651967" w14:textId="77777777" w:rsidR="007218C6" w:rsidRPr="00A26A92" w:rsidRDefault="007218C6" w:rsidP="00C07DA0">
            <w:pPr>
              <w:spacing w:line="360" w:lineRule="auto"/>
              <w:jc w:val="center"/>
              <w:rPr>
                <w:rFonts w:ascii="Times New Roman" w:eastAsia="Batang" w:hAnsi="Times New Roman" w:cs="Times New Roman"/>
              </w:rPr>
            </w:pPr>
            <w:r w:rsidRPr="00A26A92">
              <w:rPr>
                <w:rFonts w:ascii="Times New Roman" w:eastAsia="Batang" w:hAnsi="Times New Roman" w:cs="Times New Roman"/>
              </w:rPr>
              <w:t>0.09</w:t>
            </w:r>
          </w:p>
        </w:tc>
        <w:tc>
          <w:tcPr>
            <w:tcW w:w="1184" w:type="pct"/>
            <w:tcBorders>
              <w:top w:val="single" w:sz="4" w:space="0" w:color="auto"/>
            </w:tcBorders>
            <w:shd w:val="clear" w:color="auto" w:fill="FFFFFF" w:themeFill="background1"/>
            <w:vAlign w:val="center"/>
          </w:tcPr>
          <w:p w14:paraId="788C4275" w14:textId="77777777" w:rsidR="007218C6" w:rsidRPr="00A26A92" w:rsidRDefault="007218C6" w:rsidP="00C07DA0">
            <w:pPr>
              <w:spacing w:line="360" w:lineRule="auto"/>
              <w:jc w:val="center"/>
              <w:rPr>
                <w:rFonts w:ascii="Times New Roman" w:eastAsia="Batang" w:hAnsi="Times New Roman" w:cs="Times New Roman"/>
              </w:rPr>
            </w:pPr>
            <w:r w:rsidRPr="00A26A92">
              <w:rPr>
                <w:rFonts w:ascii="Times New Roman" w:eastAsia="Batang" w:hAnsi="Times New Roman" w:cs="Times New Roman"/>
              </w:rPr>
              <w:t>-</w:t>
            </w:r>
          </w:p>
        </w:tc>
      </w:tr>
      <w:tr w:rsidR="007218C6" w:rsidRPr="00A26A92" w14:paraId="12830EB1" w14:textId="77777777" w:rsidTr="00C07DA0">
        <w:trPr>
          <w:trHeight w:val="389"/>
        </w:trPr>
        <w:tc>
          <w:tcPr>
            <w:tcW w:w="1520" w:type="pct"/>
            <w:tcBorders>
              <w:top w:val="nil"/>
              <w:right w:val="single" w:sz="4" w:space="0" w:color="auto"/>
            </w:tcBorders>
            <w:shd w:val="clear" w:color="auto" w:fill="FFFFFF" w:themeFill="background1"/>
            <w:vAlign w:val="center"/>
          </w:tcPr>
          <w:p w14:paraId="6AD3D355" w14:textId="0BB4A11F" w:rsidR="007218C6" w:rsidRPr="00A26A92" w:rsidRDefault="009928CA" w:rsidP="00C07DA0">
            <w:pPr>
              <w:spacing w:line="360" w:lineRule="auto"/>
              <w:jc w:val="center"/>
              <w:rPr>
                <w:rFonts w:ascii="Times New Roman" w:eastAsia="Batang" w:hAnsi="Times New Roman" w:cs="Times New Roman"/>
              </w:rPr>
            </w:pPr>
            <w:r>
              <w:rPr>
                <w:rFonts w:ascii="Times New Roman" w:eastAsia="Batang" w:hAnsi="Times New Roman" w:cs="Times New Roman"/>
              </w:rPr>
              <w:t>ADVA cast 551 (</w:t>
            </w:r>
            <w:r w:rsidR="0072372E">
              <w:rPr>
                <w:rFonts w:ascii="Times New Roman" w:eastAsia="Batang" w:hAnsi="Times New Roman" w:cs="Times New Roman"/>
              </w:rPr>
              <w:t>SCEA</w:t>
            </w:r>
            <w:r w:rsidR="007218C6" w:rsidRPr="00A26A92">
              <w:rPr>
                <w:rFonts w:ascii="Times New Roman" w:eastAsia="Batang" w:hAnsi="Times New Roman" w:cs="Times New Roman"/>
              </w:rPr>
              <w:t>)</w:t>
            </w:r>
          </w:p>
        </w:tc>
        <w:tc>
          <w:tcPr>
            <w:tcW w:w="949" w:type="pct"/>
            <w:tcBorders>
              <w:left w:val="single" w:sz="4" w:space="0" w:color="auto"/>
            </w:tcBorders>
            <w:shd w:val="clear" w:color="auto" w:fill="FFFFFF" w:themeFill="background1"/>
            <w:vAlign w:val="center"/>
          </w:tcPr>
          <w:p w14:paraId="5B5F4788" w14:textId="77777777" w:rsidR="007218C6" w:rsidRPr="00A26A92" w:rsidRDefault="007218C6" w:rsidP="00C07DA0">
            <w:pPr>
              <w:spacing w:line="360" w:lineRule="auto"/>
              <w:jc w:val="center"/>
              <w:rPr>
                <w:rFonts w:ascii="Times New Roman" w:eastAsia="Batang" w:hAnsi="Times New Roman" w:cs="Times New Roman"/>
              </w:rPr>
            </w:pPr>
            <w:r w:rsidRPr="00A26A92">
              <w:rPr>
                <w:rFonts w:ascii="Times New Roman" w:eastAsia="Batang" w:hAnsi="Times New Roman" w:cs="Times New Roman"/>
              </w:rPr>
              <w:t>2000</w:t>
            </w:r>
          </w:p>
        </w:tc>
        <w:tc>
          <w:tcPr>
            <w:tcW w:w="1347" w:type="pct"/>
            <w:shd w:val="clear" w:color="auto" w:fill="FFFFFF" w:themeFill="background1"/>
            <w:vAlign w:val="center"/>
          </w:tcPr>
          <w:p w14:paraId="71481CB9" w14:textId="77777777" w:rsidR="007218C6" w:rsidRPr="00A26A92" w:rsidRDefault="007218C6" w:rsidP="00C07DA0">
            <w:pPr>
              <w:spacing w:line="360" w:lineRule="auto"/>
              <w:jc w:val="center"/>
              <w:rPr>
                <w:rFonts w:ascii="Times New Roman" w:eastAsia="Batang" w:hAnsi="Times New Roman" w:cs="Times New Roman"/>
              </w:rPr>
            </w:pPr>
            <w:r w:rsidRPr="00A26A92">
              <w:rPr>
                <w:rFonts w:ascii="Times New Roman" w:eastAsia="Batang" w:hAnsi="Times New Roman" w:cs="Times New Roman"/>
              </w:rPr>
              <w:t>0.34</w:t>
            </w:r>
          </w:p>
        </w:tc>
        <w:tc>
          <w:tcPr>
            <w:tcW w:w="1184" w:type="pct"/>
            <w:shd w:val="clear" w:color="auto" w:fill="FFFFFF" w:themeFill="background1"/>
            <w:vAlign w:val="center"/>
          </w:tcPr>
          <w:p w14:paraId="7682C9C2" w14:textId="77777777" w:rsidR="007218C6" w:rsidRPr="00A26A92" w:rsidRDefault="007218C6" w:rsidP="00C07DA0">
            <w:pPr>
              <w:spacing w:line="360" w:lineRule="auto"/>
              <w:jc w:val="center"/>
              <w:rPr>
                <w:rFonts w:ascii="Times New Roman" w:eastAsia="Batang" w:hAnsi="Times New Roman" w:cs="Times New Roman"/>
              </w:rPr>
            </w:pPr>
            <w:r w:rsidRPr="00A26A92">
              <w:rPr>
                <w:rFonts w:ascii="Times New Roman" w:eastAsia="Batang" w:hAnsi="Times New Roman" w:cs="Times New Roman"/>
              </w:rPr>
              <w:t>32</w:t>
            </w:r>
          </w:p>
        </w:tc>
      </w:tr>
    </w:tbl>
    <w:p w14:paraId="2C27738F" w14:textId="77777777" w:rsidR="007218C6" w:rsidRDefault="007218C6" w:rsidP="007218C6">
      <w:pPr>
        <w:spacing w:line="360" w:lineRule="auto"/>
        <w:jc w:val="both"/>
        <w:rPr>
          <w:rFonts w:ascii="Times New Roman" w:eastAsia="Batang" w:hAnsi="Times New Roman" w:cs="Times New Roman"/>
        </w:rPr>
      </w:pPr>
    </w:p>
    <w:p w14:paraId="008901AE" w14:textId="77777777" w:rsidR="007218C6" w:rsidRDefault="007218C6" w:rsidP="007218C6">
      <w:pPr>
        <w:pStyle w:val="NormalPicture"/>
        <w:spacing w:line="360" w:lineRule="auto"/>
        <w:jc w:val="both"/>
        <w:rPr>
          <w:rFonts w:ascii="Times New Roman" w:eastAsia="Batang" w:hAnsi="Times New Roman"/>
          <w:sz w:val="24"/>
          <w:szCs w:val="24"/>
        </w:rPr>
      </w:pPr>
    </w:p>
    <w:p w14:paraId="231223B0" w14:textId="77777777" w:rsidR="007218C6" w:rsidRDefault="007218C6" w:rsidP="007218C6">
      <w:pPr>
        <w:pStyle w:val="NormalPicture"/>
        <w:spacing w:line="360" w:lineRule="auto"/>
        <w:jc w:val="both"/>
        <w:rPr>
          <w:rFonts w:ascii="Times New Roman" w:eastAsia="Batang" w:hAnsi="Times New Roman"/>
          <w:sz w:val="24"/>
          <w:szCs w:val="24"/>
        </w:rPr>
      </w:pPr>
      <w:proofErr w:type="gramStart"/>
      <w:r>
        <w:rPr>
          <w:rFonts w:ascii="Times New Roman" w:eastAsia="Batang" w:hAnsi="Times New Roman"/>
          <w:sz w:val="24"/>
          <w:szCs w:val="24"/>
        </w:rPr>
        <w:t>iii</w:t>
      </w:r>
      <w:proofErr w:type="gramEnd"/>
      <w:r>
        <w:rPr>
          <w:rFonts w:ascii="Times New Roman" w:eastAsia="Batang" w:hAnsi="Times New Roman"/>
          <w:sz w:val="24"/>
          <w:szCs w:val="24"/>
        </w:rPr>
        <w:tab/>
        <w:t>Experimental Setup</w:t>
      </w:r>
    </w:p>
    <w:p w14:paraId="09EFE89D" w14:textId="3D856D02" w:rsidR="007218C6" w:rsidRPr="00BB651D" w:rsidRDefault="005652FA" w:rsidP="007218C6">
      <w:pPr>
        <w:spacing w:line="360" w:lineRule="auto"/>
        <w:jc w:val="both"/>
        <w:rPr>
          <w:rFonts w:ascii="Times New Roman" w:eastAsia="Batang" w:hAnsi="Times New Roman" w:cs="Times New Roman"/>
        </w:rPr>
      </w:pPr>
      <w:r>
        <w:rPr>
          <w:rFonts w:ascii="Times New Roman" w:eastAsia="Batang" w:hAnsi="Times New Roman" w:cs="Times New Roman"/>
        </w:rPr>
        <w:t xml:space="preserve">Figure 3.15 </w:t>
      </w:r>
      <w:r w:rsidR="007218C6" w:rsidRPr="00BB651D">
        <w:rPr>
          <w:rFonts w:ascii="Times New Roman" w:eastAsia="Batang" w:hAnsi="Times New Roman" w:cs="Times New Roman"/>
        </w:rPr>
        <w:t>shows the setup of the flow-through leaching test. The tests were performed using two standard water perm</w:t>
      </w:r>
      <w:r w:rsidR="00682250">
        <w:rPr>
          <w:rFonts w:ascii="Times New Roman" w:eastAsia="Batang" w:hAnsi="Times New Roman" w:cs="Times New Roman"/>
        </w:rPr>
        <w:t>e</w:t>
      </w:r>
      <w:r w:rsidR="007218C6" w:rsidRPr="00BB651D">
        <w:rPr>
          <w:rFonts w:ascii="Times New Roman" w:eastAsia="Batang" w:hAnsi="Times New Roman" w:cs="Times New Roman"/>
        </w:rPr>
        <w:t>ameters made of stainless steel manufactured by Impact Testing Services to minimise corrosion of its components. They are connected to a control panel as</w:t>
      </w:r>
      <w:r>
        <w:rPr>
          <w:rFonts w:ascii="Times New Roman" w:eastAsia="Batang" w:hAnsi="Times New Roman" w:cs="Times New Roman"/>
        </w:rPr>
        <w:t xml:space="preserve"> shown in fig. 3.15</w:t>
      </w:r>
      <w:r w:rsidR="007218C6" w:rsidRPr="00BB651D">
        <w:rPr>
          <w:rFonts w:ascii="Times New Roman" w:eastAsia="Batang" w:hAnsi="Times New Roman" w:cs="Times New Roman"/>
        </w:rPr>
        <w:t>, to allow the adjustment of the flow pressure. The NRVB samples were placed within the sample holder vessel between two filter papers and</w:t>
      </w:r>
      <w:r>
        <w:rPr>
          <w:rFonts w:ascii="Times New Roman" w:eastAsia="Batang" w:hAnsi="Times New Roman" w:cs="Times New Roman"/>
        </w:rPr>
        <w:t xml:space="preserve"> two porous stones.  Figure 3.16</w:t>
      </w:r>
      <w:r w:rsidR="007218C6" w:rsidRPr="00BB651D">
        <w:rPr>
          <w:rFonts w:ascii="Times New Roman" w:eastAsia="Batang" w:hAnsi="Times New Roman" w:cs="Times New Roman"/>
        </w:rPr>
        <w:t xml:space="preserve"> shows an example of this arrangement.</w:t>
      </w:r>
    </w:p>
    <w:p w14:paraId="53BB8D90" w14:textId="77777777" w:rsidR="007218C6" w:rsidRPr="003F05C5" w:rsidRDefault="007218C6" w:rsidP="007218C6">
      <w:pPr>
        <w:jc w:val="center"/>
        <w:rPr>
          <w:rFonts w:ascii="Times New Roman" w:hAnsi="Times New Roman" w:cs="Times New Roman"/>
        </w:rPr>
      </w:pPr>
      <w:r w:rsidRPr="00F774BB">
        <w:rPr>
          <w:rFonts w:ascii="Times New Roman" w:hAnsi="Times New Roman" w:cs="Times New Roman"/>
          <w:noProof/>
        </w:rPr>
        <w:lastRenderedPageBreak/>
        <w:drawing>
          <wp:inline distT="0" distB="0" distL="0" distR="0" wp14:anchorId="3A50CCF9" wp14:editId="48D4307E">
            <wp:extent cx="2201598" cy="3704922"/>
            <wp:effectExtent l="0" t="0" r="825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02029" cy="3705647"/>
                    </a:xfrm>
                    <a:prstGeom prst="rect">
                      <a:avLst/>
                    </a:prstGeom>
                    <a:noFill/>
                    <a:ln>
                      <a:noFill/>
                    </a:ln>
                  </pic:spPr>
                </pic:pic>
              </a:graphicData>
            </a:graphic>
          </wp:inline>
        </w:drawing>
      </w:r>
    </w:p>
    <w:p w14:paraId="5D32AA2F" w14:textId="77777777" w:rsidR="007218C6" w:rsidRPr="003F05C5" w:rsidRDefault="007218C6" w:rsidP="007218C6">
      <w:pPr>
        <w:jc w:val="center"/>
        <w:rPr>
          <w:rFonts w:ascii="Times New Roman" w:hAnsi="Times New Roman" w:cs="Times New Roman"/>
        </w:rPr>
      </w:pPr>
      <w:r w:rsidRPr="003F05C5">
        <w:rPr>
          <w:rFonts w:ascii="Times New Roman" w:eastAsia="Batang" w:hAnsi="Times New Roman" w:cs="Times New Roman"/>
          <w:b/>
        </w:rPr>
        <w:t xml:space="preserve">Figure 3.15: </w:t>
      </w:r>
      <w:r w:rsidRPr="003F05C5">
        <w:rPr>
          <w:rFonts w:ascii="Times New Roman" w:eastAsia="Batang" w:hAnsi="Times New Roman" w:cs="Times New Roman"/>
        </w:rPr>
        <w:t>Flow-through leaching test setup</w:t>
      </w:r>
    </w:p>
    <w:p w14:paraId="7BB7BF90" w14:textId="42B3CA0E" w:rsidR="007218C6" w:rsidRPr="003F05C5" w:rsidRDefault="007218C6" w:rsidP="007218C6">
      <w:pPr>
        <w:spacing w:line="360" w:lineRule="auto"/>
        <w:jc w:val="center"/>
        <w:rPr>
          <w:rFonts w:ascii="Times New Roman" w:eastAsia="Batang" w:hAnsi="Times New Roman" w:cs="Times New Roman"/>
          <w:sz w:val="20"/>
        </w:rPr>
      </w:pPr>
      <w:r w:rsidRPr="003F05C5">
        <w:rPr>
          <w:rFonts w:ascii="Times New Roman" w:eastAsia="Batang" w:hAnsi="Times New Roman" w:cs="Times New Roman"/>
          <w:sz w:val="20"/>
        </w:rPr>
        <w:t>Notes: (1) Pressure Control Panel, (2) Bladder Vessel, (3) Reservoir Pressure Vessel</w:t>
      </w:r>
      <w:r w:rsidR="00971672" w:rsidRPr="003F05C5">
        <w:rPr>
          <w:rFonts w:ascii="Times New Roman" w:eastAsia="Batang" w:hAnsi="Times New Roman" w:cs="Times New Roman"/>
          <w:sz w:val="20"/>
        </w:rPr>
        <w:t>, (</w:t>
      </w:r>
      <w:r w:rsidRPr="003F05C5">
        <w:rPr>
          <w:rFonts w:ascii="Times New Roman" w:eastAsia="Batang" w:hAnsi="Times New Roman" w:cs="Times New Roman"/>
          <w:sz w:val="20"/>
        </w:rPr>
        <w:t xml:space="preserve">4) NRVB Sample Holder Vessel, </w:t>
      </w:r>
      <w:proofErr w:type="gramStart"/>
      <w:r w:rsidRPr="003F05C5">
        <w:rPr>
          <w:rFonts w:ascii="Times New Roman" w:eastAsia="Batang" w:hAnsi="Times New Roman" w:cs="Times New Roman"/>
          <w:sz w:val="20"/>
        </w:rPr>
        <w:t>(5) Solution Collector</w:t>
      </w:r>
      <w:proofErr w:type="gramEnd"/>
    </w:p>
    <w:p w14:paraId="533CE621" w14:textId="77777777" w:rsidR="007218C6" w:rsidRPr="00A26A92" w:rsidRDefault="007218C6" w:rsidP="007218C6">
      <w:pPr>
        <w:pStyle w:val="NormalPicture"/>
        <w:spacing w:line="360" w:lineRule="auto"/>
        <w:jc w:val="left"/>
        <w:rPr>
          <w:rFonts w:ascii="Times New Roman" w:hAnsi="Times New Roman"/>
          <w:sz w:val="24"/>
          <w:szCs w:val="24"/>
        </w:rPr>
      </w:pPr>
    </w:p>
    <w:p w14:paraId="625572B4" w14:textId="77777777" w:rsidR="007218C6" w:rsidRPr="00A26A92" w:rsidRDefault="007218C6" w:rsidP="007218C6">
      <w:pPr>
        <w:pStyle w:val="NormalPicture"/>
        <w:rPr>
          <w:rFonts w:ascii="Times New Roman" w:hAnsi="Times New Roman"/>
          <w:sz w:val="24"/>
          <w:szCs w:val="24"/>
        </w:rPr>
      </w:pPr>
      <w:r w:rsidRPr="00A26A92">
        <w:rPr>
          <w:rFonts w:ascii="Times New Roman" w:hAnsi="Times New Roman"/>
          <w:noProof/>
          <w:sz w:val="24"/>
          <w:szCs w:val="24"/>
          <w:lang w:val="en-US"/>
        </w:rPr>
        <w:drawing>
          <wp:inline distT="0" distB="0" distL="0" distR="0" wp14:anchorId="0F5528EB" wp14:editId="510F7C5D">
            <wp:extent cx="1886484" cy="1676923"/>
            <wp:effectExtent l="25400" t="25400" r="19050" b="2540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l="53789" t="44980"/>
                    <a:stretch>
                      <a:fillRect/>
                    </a:stretch>
                  </pic:blipFill>
                  <pic:spPr bwMode="auto">
                    <a:xfrm>
                      <a:off x="0" y="0"/>
                      <a:ext cx="1890450" cy="1680448"/>
                    </a:xfrm>
                    <a:prstGeom prst="rect">
                      <a:avLst/>
                    </a:prstGeom>
                    <a:noFill/>
                    <a:ln w="3175" cmpd="sng">
                      <a:solidFill>
                        <a:srgbClr val="000000"/>
                      </a:solidFill>
                    </a:ln>
                    <a:effectLst/>
                  </pic:spPr>
                </pic:pic>
              </a:graphicData>
            </a:graphic>
          </wp:inline>
        </w:drawing>
      </w:r>
    </w:p>
    <w:p w14:paraId="031E40C1" w14:textId="04F435BD" w:rsidR="007218C6" w:rsidRPr="00F774BB" w:rsidRDefault="007218C6" w:rsidP="007218C6">
      <w:pPr>
        <w:pStyle w:val="NormalPicture"/>
        <w:rPr>
          <w:rFonts w:ascii="Times New Roman" w:hAnsi="Times New Roman"/>
          <w:b/>
          <w:sz w:val="24"/>
          <w:szCs w:val="24"/>
        </w:rPr>
      </w:pPr>
      <w:r w:rsidRPr="00A26A92">
        <w:rPr>
          <w:rFonts w:ascii="Times New Roman" w:hAnsi="Times New Roman"/>
          <w:b/>
          <w:sz w:val="24"/>
          <w:szCs w:val="24"/>
        </w:rPr>
        <w:t>Figure</w:t>
      </w:r>
      <w:r w:rsidR="005652FA">
        <w:rPr>
          <w:rFonts w:ascii="Times New Roman" w:hAnsi="Times New Roman"/>
          <w:b/>
          <w:sz w:val="24"/>
          <w:szCs w:val="24"/>
        </w:rPr>
        <w:t xml:space="preserve"> 3.16</w:t>
      </w:r>
      <w:r w:rsidRPr="00A26A92">
        <w:rPr>
          <w:rFonts w:ascii="Times New Roman" w:hAnsi="Times New Roman"/>
          <w:b/>
          <w:sz w:val="24"/>
          <w:szCs w:val="24"/>
        </w:rPr>
        <w:t xml:space="preserve">: </w:t>
      </w:r>
      <w:r w:rsidRPr="00A26A92">
        <w:rPr>
          <w:rFonts w:ascii="Times New Roman" w:hAnsi="Times New Roman"/>
          <w:sz w:val="24"/>
          <w:szCs w:val="24"/>
        </w:rPr>
        <w:t>NRVB sample arrangement</w:t>
      </w:r>
      <w:r>
        <w:rPr>
          <w:rFonts w:ascii="Times New Roman" w:hAnsi="Times New Roman"/>
          <w:b/>
          <w:sz w:val="24"/>
          <w:szCs w:val="24"/>
        </w:rPr>
        <w:t xml:space="preserve"> </w:t>
      </w:r>
      <w:r w:rsidRPr="00F774BB">
        <w:rPr>
          <w:rFonts w:ascii="Times New Roman" w:hAnsi="Times New Roman"/>
        </w:rPr>
        <w:t>(Notes: NRVB sample labelled E)</w:t>
      </w:r>
    </w:p>
    <w:p w14:paraId="3AA6EC07" w14:textId="065B5D3F" w:rsidR="007218C6" w:rsidRDefault="00746FB2" w:rsidP="007218C6">
      <w:pPr>
        <w:pStyle w:val="NormalPicture"/>
        <w:spacing w:line="360" w:lineRule="auto"/>
        <w:jc w:val="both"/>
        <w:rPr>
          <w:rFonts w:ascii="Times New Roman" w:hAnsi="Times New Roman"/>
          <w:sz w:val="24"/>
          <w:szCs w:val="24"/>
        </w:rPr>
      </w:pPr>
      <w:r>
        <w:rPr>
          <w:rFonts w:ascii="Times New Roman" w:hAnsi="Times New Roman"/>
          <w:sz w:val="24"/>
          <w:szCs w:val="24"/>
        </w:rPr>
        <w:br/>
      </w:r>
      <w:r w:rsidR="007218C6" w:rsidRPr="00A26A92">
        <w:rPr>
          <w:rFonts w:ascii="Times New Roman" w:hAnsi="Times New Roman"/>
          <w:sz w:val="24"/>
          <w:szCs w:val="24"/>
        </w:rPr>
        <w:t>The bladder</w:t>
      </w:r>
      <w:r w:rsidR="000C35F4">
        <w:rPr>
          <w:rFonts w:ascii="Times New Roman" w:hAnsi="Times New Roman"/>
          <w:sz w:val="24"/>
          <w:szCs w:val="24"/>
        </w:rPr>
        <w:t xml:space="preserve"> ((2) in Figure 3.15)</w:t>
      </w:r>
      <w:r w:rsidR="007218C6" w:rsidRPr="00A26A92">
        <w:rPr>
          <w:rFonts w:ascii="Times New Roman" w:hAnsi="Times New Roman"/>
          <w:sz w:val="24"/>
          <w:szCs w:val="24"/>
        </w:rPr>
        <w:t xml:space="preserve"> within each of the vessels was contracted and the vessels filled wi</w:t>
      </w:r>
      <w:r w:rsidR="00FD4793">
        <w:rPr>
          <w:rFonts w:ascii="Times New Roman" w:hAnsi="Times New Roman"/>
          <w:sz w:val="24"/>
          <w:szCs w:val="24"/>
        </w:rPr>
        <w:t xml:space="preserve">th either solution </w:t>
      </w:r>
      <w:r w:rsidR="0072372E">
        <w:rPr>
          <w:rFonts w:ascii="Times New Roman" w:hAnsi="Times New Roman"/>
          <w:sz w:val="24"/>
          <w:szCs w:val="24"/>
        </w:rPr>
        <w:t>BLANK</w:t>
      </w:r>
      <w:r w:rsidR="00FD4793">
        <w:rPr>
          <w:rFonts w:ascii="Times New Roman" w:hAnsi="Times New Roman"/>
          <w:sz w:val="24"/>
          <w:szCs w:val="24"/>
        </w:rPr>
        <w:t xml:space="preserve"> or </w:t>
      </w:r>
      <w:r w:rsidR="0072372E">
        <w:rPr>
          <w:rFonts w:ascii="Times New Roman" w:hAnsi="Times New Roman"/>
          <w:sz w:val="24"/>
          <w:szCs w:val="24"/>
        </w:rPr>
        <w:t>SCEA</w:t>
      </w:r>
      <w:r w:rsidR="007218C6" w:rsidRPr="00A26A92">
        <w:rPr>
          <w:rFonts w:ascii="Times New Roman" w:hAnsi="Times New Roman"/>
          <w:sz w:val="24"/>
          <w:szCs w:val="24"/>
        </w:rPr>
        <w:t>. The press control panel was then used to apply pressure to the bladder vessels and expand them</w:t>
      </w:r>
      <w:r w:rsidR="007218C6">
        <w:rPr>
          <w:rFonts w:ascii="Times New Roman" w:hAnsi="Times New Roman"/>
          <w:sz w:val="24"/>
          <w:szCs w:val="24"/>
        </w:rPr>
        <w:t>, which</w:t>
      </w:r>
      <w:r w:rsidR="007218C6" w:rsidRPr="00A26A92">
        <w:rPr>
          <w:rFonts w:ascii="Times New Roman" w:hAnsi="Times New Roman"/>
          <w:sz w:val="24"/>
          <w:szCs w:val="24"/>
        </w:rPr>
        <w:t xml:space="preserve"> in turn pushe</w:t>
      </w:r>
      <w:r w:rsidR="007218C6">
        <w:rPr>
          <w:rFonts w:ascii="Times New Roman" w:hAnsi="Times New Roman"/>
          <w:sz w:val="24"/>
          <w:szCs w:val="24"/>
        </w:rPr>
        <w:t>d</w:t>
      </w:r>
      <w:r w:rsidR="007218C6" w:rsidRPr="00A26A92">
        <w:rPr>
          <w:rFonts w:ascii="Times New Roman" w:hAnsi="Times New Roman"/>
          <w:sz w:val="24"/>
          <w:szCs w:val="24"/>
        </w:rPr>
        <w:t xml:space="preserve"> the solution to the sample holder vessel</w:t>
      </w:r>
      <w:r w:rsidR="000C35F4">
        <w:rPr>
          <w:rFonts w:ascii="Times New Roman" w:hAnsi="Times New Roman"/>
          <w:sz w:val="24"/>
          <w:szCs w:val="24"/>
        </w:rPr>
        <w:t xml:space="preserve"> (4 in Figure 3.15 and larger image in</w:t>
      </w:r>
      <w:r w:rsidR="007218C6" w:rsidRPr="00A26A92">
        <w:rPr>
          <w:rFonts w:ascii="Times New Roman" w:hAnsi="Times New Roman"/>
          <w:sz w:val="24"/>
          <w:szCs w:val="24"/>
        </w:rPr>
        <w:t xml:space="preserve"> </w:t>
      </w:r>
      <w:r w:rsidR="007218C6">
        <w:rPr>
          <w:rFonts w:ascii="Times New Roman" w:hAnsi="Times New Roman"/>
          <w:sz w:val="24"/>
          <w:szCs w:val="24"/>
        </w:rPr>
        <w:t>Figure 3.1</w:t>
      </w:r>
      <w:r w:rsidR="000C35F4">
        <w:rPr>
          <w:rFonts w:ascii="Times New Roman" w:hAnsi="Times New Roman"/>
          <w:sz w:val="24"/>
          <w:szCs w:val="24"/>
        </w:rPr>
        <w:t>7)</w:t>
      </w:r>
      <w:r w:rsidR="007218C6" w:rsidRPr="00A26A92">
        <w:rPr>
          <w:rFonts w:ascii="Times New Roman" w:hAnsi="Times New Roman"/>
          <w:sz w:val="24"/>
          <w:szCs w:val="24"/>
        </w:rPr>
        <w:t xml:space="preserve"> via the inflow tubes, passing through the porous stones and coming into the contact with NRVB sample. The membrane is placed around the cement sample and the water pressure in the vessel</w:t>
      </w:r>
      <w:r w:rsidR="007218C6">
        <w:rPr>
          <w:rFonts w:ascii="Times New Roman" w:hAnsi="Times New Roman"/>
          <w:sz w:val="24"/>
          <w:szCs w:val="24"/>
        </w:rPr>
        <w:t xml:space="preserve"> was</w:t>
      </w:r>
      <w:r w:rsidR="007218C6" w:rsidRPr="00A26A92">
        <w:rPr>
          <w:rFonts w:ascii="Times New Roman" w:hAnsi="Times New Roman"/>
          <w:sz w:val="24"/>
          <w:szCs w:val="24"/>
        </w:rPr>
        <w:t xml:space="preserve"> kept at 3.7 bar using the pressure control panel. This is in order to maintain a strong seal </w:t>
      </w:r>
      <w:r w:rsidR="007218C6" w:rsidRPr="00A26A92">
        <w:rPr>
          <w:rFonts w:ascii="Times New Roman" w:hAnsi="Times New Roman"/>
          <w:sz w:val="24"/>
          <w:szCs w:val="24"/>
        </w:rPr>
        <w:lastRenderedPageBreak/>
        <w:t xml:space="preserve">between the membrane and the sample and prevent any contact between the water and the NRVB. Elasticised rubber O-rings were placed around the membrane to further </w:t>
      </w:r>
      <w:proofErr w:type="gramStart"/>
      <w:r w:rsidR="007218C6" w:rsidRPr="00A26A92">
        <w:rPr>
          <w:rFonts w:ascii="Times New Roman" w:hAnsi="Times New Roman"/>
          <w:sz w:val="24"/>
          <w:szCs w:val="24"/>
        </w:rPr>
        <w:t>reinforce</w:t>
      </w:r>
      <w:proofErr w:type="gramEnd"/>
      <w:r w:rsidR="007218C6" w:rsidRPr="00A26A92">
        <w:rPr>
          <w:rFonts w:ascii="Times New Roman" w:hAnsi="Times New Roman"/>
          <w:sz w:val="24"/>
          <w:szCs w:val="24"/>
        </w:rPr>
        <w:t xml:space="preserve"> the seal. </w:t>
      </w:r>
    </w:p>
    <w:p w14:paraId="30B9A010" w14:textId="77777777" w:rsidR="007218C6" w:rsidRPr="00A26A92" w:rsidRDefault="007218C6" w:rsidP="007218C6">
      <w:pPr>
        <w:pStyle w:val="NormalPicture"/>
        <w:spacing w:line="360" w:lineRule="auto"/>
        <w:jc w:val="both"/>
        <w:rPr>
          <w:rFonts w:ascii="Times New Roman" w:hAnsi="Times New Roman"/>
          <w:sz w:val="24"/>
          <w:szCs w:val="24"/>
        </w:rPr>
      </w:pPr>
    </w:p>
    <w:p w14:paraId="5C3E5649" w14:textId="77777777" w:rsidR="007218C6" w:rsidRPr="00A26A92" w:rsidRDefault="007218C6" w:rsidP="00746FB2">
      <w:pPr>
        <w:jc w:val="center"/>
        <w:rPr>
          <w:rFonts w:ascii="Times New Roman" w:hAnsi="Times New Roman" w:cs="Times New Roman"/>
        </w:rPr>
      </w:pPr>
      <w:r w:rsidRPr="00A26A92">
        <w:rPr>
          <w:rFonts w:ascii="Times New Roman" w:hAnsi="Times New Roman" w:cs="Times New Roman"/>
          <w:noProof/>
        </w:rPr>
        <w:drawing>
          <wp:inline distT="0" distB="0" distL="0" distR="0" wp14:anchorId="5A22D014" wp14:editId="1C24AC27">
            <wp:extent cx="2275172" cy="3023541"/>
            <wp:effectExtent l="25400" t="25400" r="36830" b="24765"/>
            <wp:docPr id="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76148" cy="3024837"/>
                    </a:xfrm>
                    <a:prstGeom prst="rect">
                      <a:avLst/>
                    </a:prstGeom>
                    <a:noFill/>
                    <a:ln>
                      <a:solidFill>
                        <a:srgbClr val="000000"/>
                      </a:solidFill>
                    </a:ln>
                  </pic:spPr>
                </pic:pic>
              </a:graphicData>
            </a:graphic>
          </wp:inline>
        </w:drawing>
      </w:r>
    </w:p>
    <w:p w14:paraId="5E810B81" w14:textId="7A14EB69" w:rsidR="007218C6" w:rsidRPr="00A26A92" w:rsidRDefault="007218C6" w:rsidP="00746FB2">
      <w:pPr>
        <w:jc w:val="center"/>
        <w:rPr>
          <w:rFonts w:ascii="Times New Roman" w:hAnsi="Times New Roman" w:cs="Times New Roman"/>
        </w:rPr>
      </w:pPr>
      <w:r w:rsidRPr="003C1583">
        <w:rPr>
          <w:rFonts w:ascii="Times New Roman" w:hAnsi="Times New Roman" w:cs="Times New Roman"/>
          <w:b/>
        </w:rPr>
        <w:t xml:space="preserve">Figure </w:t>
      </w:r>
      <w:r>
        <w:rPr>
          <w:rFonts w:ascii="Times New Roman" w:hAnsi="Times New Roman" w:cs="Times New Roman"/>
          <w:b/>
        </w:rPr>
        <w:t>3.1</w:t>
      </w:r>
      <w:r w:rsidR="007F1B6A">
        <w:rPr>
          <w:rFonts w:ascii="Times New Roman" w:hAnsi="Times New Roman" w:cs="Times New Roman"/>
          <w:b/>
        </w:rPr>
        <w:t>7</w:t>
      </w:r>
      <w:r w:rsidRPr="00A26A92">
        <w:rPr>
          <w:rFonts w:ascii="Times New Roman" w:hAnsi="Times New Roman" w:cs="Times New Roman"/>
        </w:rPr>
        <w:t>: NRVB sample holder vessel</w:t>
      </w:r>
    </w:p>
    <w:p w14:paraId="17A33DAA" w14:textId="77777777" w:rsidR="007218C6" w:rsidRPr="00E62C88" w:rsidRDefault="007218C6" w:rsidP="00746FB2">
      <w:pPr>
        <w:jc w:val="center"/>
        <w:rPr>
          <w:rFonts w:ascii="Times New Roman" w:hAnsi="Times New Roman" w:cs="Times New Roman"/>
        </w:rPr>
      </w:pPr>
      <w:r w:rsidRPr="00A26A92">
        <w:rPr>
          <w:rFonts w:ascii="Times New Roman" w:hAnsi="Times New Roman" w:cs="Times New Roman"/>
        </w:rPr>
        <w:t xml:space="preserve">Notes: (1) Water Surrounding Membrane, (2) In-flow tubes for solution from bladder vessel (3) Latex Membrane </w:t>
      </w:r>
    </w:p>
    <w:p w14:paraId="6C816883" w14:textId="77777777" w:rsidR="007218C6" w:rsidRPr="00E62C88" w:rsidRDefault="007218C6" w:rsidP="007218C6">
      <w:pPr>
        <w:spacing w:line="360" w:lineRule="auto"/>
        <w:ind w:left="284" w:hanging="284"/>
        <w:rPr>
          <w:rFonts w:ascii="Times New Roman" w:hAnsi="Times New Roman" w:cs="Times New Roman"/>
          <w:bCs/>
        </w:rPr>
      </w:pPr>
      <w:proofErr w:type="gramStart"/>
      <w:r w:rsidRPr="00E62C88">
        <w:rPr>
          <w:rFonts w:ascii="Times New Roman" w:hAnsi="Times New Roman" w:cs="Times New Roman"/>
          <w:bCs/>
        </w:rPr>
        <w:t>iv</w:t>
      </w:r>
      <w:proofErr w:type="gramEnd"/>
      <w:r w:rsidRPr="00E62C88">
        <w:rPr>
          <w:rFonts w:ascii="Times New Roman" w:hAnsi="Times New Roman" w:cs="Times New Roman"/>
          <w:bCs/>
        </w:rPr>
        <w:tab/>
      </w:r>
      <w:r w:rsidRPr="00E62C88">
        <w:rPr>
          <w:rFonts w:ascii="Times New Roman" w:hAnsi="Times New Roman" w:cs="Times New Roman"/>
          <w:bCs/>
        </w:rPr>
        <w:tab/>
        <w:t>Procedure</w:t>
      </w:r>
    </w:p>
    <w:p w14:paraId="3B936DEA" w14:textId="3BED6125" w:rsidR="007218C6" w:rsidRPr="00E62C88" w:rsidRDefault="007218C6" w:rsidP="007218C6">
      <w:pPr>
        <w:spacing w:line="360" w:lineRule="auto"/>
        <w:jc w:val="both"/>
        <w:rPr>
          <w:rFonts w:ascii="Times New Roman" w:eastAsia="Batang" w:hAnsi="Times New Roman" w:cs="Times New Roman"/>
        </w:rPr>
      </w:pPr>
      <w:r w:rsidRPr="00E62C88">
        <w:rPr>
          <w:rFonts w:ascii="Times New Roman" w:eastAsia="Batang" w:hAnsi="Times New Roman" w:cs="Times New Roman"/>
        </w:rPr>
        <w:t xml:space="preserve">The </w:t>
      </w:r>
      <w:proofErr w:type="gramStart"/>
      <w:r w:rsidRPr="00E62C88">
        <w:rPr>
          <w:rFonts w:ascii="Times New Roman" w:eastAsia="Batang" w:hAnsi="Times New Roman" w:cs="Times New Roman"/>
        </w:rPr>
        <w:t>Ce(</w:t>
      </w:r>
      <w:proofErr w:type="gramEnd"/>
      <w:r w:rsidRPr="00E62C88">
        <w:rPr>
          <w:rFonts w:ascii="Times New Roman" w:eastAsia="Batang" w:hAnsi="Times New Roman" w:cs="Times New Roman"/>
        </w:rPr>
        <w:t>NO</w:t>
      </w:r>
      <w:r w:rsidRPr="00E62C88">
        <w:rPr>
          <w:rFonts w:ascii="Times New Roman" w:eastAsia="Batang" w:hAnsi="Times New Roman" w:cs="Times New Roman"/>
          <w:vertAlign w:val="subscript"/>
        </w:rPr>
        <w:t>3</w:t>
      </w:r>
      <w:r w:rsidRPr="00E62C88">
        <w:rPr>
          <w:rFonts w:ascii="Times New Roman" w:eastAsia="Batang" w:hAnsi="Times New Roman" w:cs="Times New Roman"/>
        </w:rPr>
        <w:t>)</w:t>
      </w:r>
      <w:r w:rsidRPr="00E62C88">
        <w:rPr>
          <w:rFonts w:ascii="Times New Roman" w:eastAsia="Batang" w:hAnsi="Times New Roman" w:cs="Times New Roman"/>
          <w:vertAlign w:val="subscript"/>
        </w:rPr>
        <w:t>3</w:t>
      </w:r>
      <w:r w:rsidRPr="00E62C88">
        <w:rPr>
          <w:rFonts w:ascii="Times New Roman" w:eastAsia="Batang" w:hAnsi="Times New Roman" w:cs="Times New Roman"/>
        </w:rPr>
        <w:t xml:space="preserve"> and water was weighed using a Mettler pm400. The ADVA cast 551 </w:t>
      </w:r>
      <w:proofErr w:type="gramStart"/>
      <w:r w:rsidRPr="00E62C88">
        <w:rPr>
          <w:rFonts w:ascii="Times New Roman" w:eastAsia="Batang" w:hAnsi="Times New Roman" w:cs="Times New Roman"/>
        </w:rPr>
        <w:t>volume</w:t>
      </w:r>
      <w:proofErr w:type="gramEnd"/>
      <w:r w:rsidRPr="00E62C88">
        <w:rPr>
          <w:rFonts w:ascii="Times New Roman" w:eastAsia="Batang" w:hAnsi="Times New Roman" w:cs="Times New Roman"/>
        </w:rPr>
        <w:t xml:space="preserve"> was measured using a pipette.  The solutions were then mixed in a volumetric flask and placed in a HDPE container. The two containers were labelled and left in a furnace at 35</w:t>
      </w:r>
      <w:r w:rsidRPr="00E62C88">
        <w:rPr>
          <w:rFonts w:ascii="Times New Roman" w:eastAsia="Batang" w:hAnsi="Times New Roman" w:cs="Times New Roman"/>
          <w:vertAlign w:val="superscript"/>
        </w:rPr>
        <w:t>o</w:t>
      </w:r>
      <w:r w:rsidRPr="00E62C88">
        <w:rPr>
          <w:rFonts w:ascii="Times New Roman" w:eastAsia="Batang" w:hAnsi="Times New Roman" w:cs="Times New Roman"/>
        </w:rPr>
        <w:t xml:space="preserve">C for 5 days. This allowed any excess </w:t>
      </w:r>
      <w:proofErr w:type="gramStart"/>
      <w:r w:rsidRPr="00E62C88">
        <w:rPr>
          <w:rFonts w:ascii="Times New Roman" w:eastAsia="Batang" w:hAnsi="Times New Roman" w:cs="Times New Roman"/>
        </w:rPr>
        <w:t>Ce(</w:t>
      </w:r>
      <w:proofErr w:type="gramEnd"/>
      <w:r w:rsidR="00B17EDD">
        <w:rPr>
          <w:rFonts w:ascii="Times New Roman" w:eastAsia="Batang" w:hAnsi="Times New Roman" w:cs="Times New Roman"/>
        </w:rPr>
        <w:t>OH</w:t>
      </w:r>
      <w:r w:rsidRPr="00E62C88">
        <w:rPr>
          <w:rFonts w:ascii="Times New Roman" w:eastAsia="Batang" w:hAnsi="Times New Roman" w:cs="Times New Roman"/>
        </w:rPr>
        <w:t>)</w:t>
      </w:r>
      <w:r w:rsidRPr="00E62C88">
        <w:rPr>
          <w:rFonts w:ascii="Times New Roman" w:eastAsia="Batang" w:hAnsi="Times New Roman" w:cs="Times New Roman"/>
          <w:vertAlign w:val="subscript"/>
        </w:rPr>
        <w:t xml:space="preserve">3  </w:t>
      </w:r>
      <w:r w:rsidRPr="00E62C88">
        <w:rPr>
          <w:rFonts w:ascii="Times New Roman" w:eastAsia="Batang" w:hAnsi="Times New Roman" w:cs="Times New Roman"/>
        </w:rPr>
        <w:t xml:space="preserve">to settle out, at which point the solution was filtered through Whatman No.4 filter paper using Buchner equipment. The solutions were then placed in their respective bladder vessels via the inlet tube emptying the container under gravity. The equipment was assembled as shown in </w:t>
      </w:r>
      <w:r>
        <w:rPr>
          <w:rFonts w:ascii="Times New Roman" w:eastAsia="Batang" w:hAnsi="Times New Roman" w:cs="Times New Roman"/>
        </w:rPr>
        <w:t>Figure 3.15</w:t>
      </w:r>
      <w:r w:rsidRPr="00E62C88">
        <w:rPr>
          <w:rFonts w:ascii="Times New Roman" w:eastAsia="Batang" w:hAnsi="Times New Roman" w:cs="Times New Roman"/>
        </w:rPr>
        <w:t xml:space="preserve">. The reservoir holding the NRVB sample was also filled through the inlet tube under gravity.  The leachant pressure was set to 0.6 </w:t>
      </w:r>
      <w:proofErr w:type="gramStart"/>
      <w:r w:rsidRPr="00E62C88">
        <w:rPr>
          <w:rFonts w:ascii="Times New Roman" w:eastAsia="Batang" w:hAnsi="Times New Roman" w:cs="Times New Roman"/>
        </w:rPr>
        <w:t>bar</w:t>
      </w:r>
      <w:proofErr w:type="gramEnd"/>
      <w:r w:rsidRPr="00E62C88">
        <w:rPr>
          <w:rFonts w:ascii="Times New Roman" w:eastAsia="Batang" w:hAnsi="Times New Roman" w:cs="Times New Roman"/>
        </w:rPr>
        <w:t xml:space="preserve"> initially, giving a flow rate of around 10-20ml per day. The experiment was performed in an iso-freight with a controlled temperature of 28-35</w:t>
      </w:r>
      <w:r w:rsidRPr="00E62C88">
        <w:rPr>
          <w:rFonts w:ascii="Times New Roman" w:eastAsia="Batang" w:hAnsi="Times New Roman" w:cs="Times New Roman"/>
          <w:vertAlign w:val="superscript"/>
        </w:rPr>
        <w:t>o</w:t>
      </w:r>
      <w:r w:rsidRPr="00E62C88">
        <w:rPr>
          <w:rFonts w:ascii="Times New Roman" w:eastAsia="Batang" w:hAnsi="Times New Roman" w:cs="Times New Roman"/>
        </w:rPr>
        <w:t xml:space="preserve">C. The solution was collected in 100 ml HDPE bottles </w:t>
      </w:r>
      <w:proofErr w:type="gramStart"/>
      <w:r w:rsidRPr="00E62C88">
        <w:rPr>
          <w:rFonts w:ascii="Times New Roman" w:eastAsia="Batang" w:hAnsi="Times New Roman" w:cs="Times New Roman"/>
        </w:rPr>
        <w:t>which</w:t>
      </w:r>
      <w:proofErr w:type="gramEnd"/>
      <w:r w:rsidRPr="00E62C88">
        <w:rPr>
          <w:rFonts w:ascii="Times New Roman" w:eastAsia="Batang" w:hAnsi="Times New Roman" w:cs="Times New Roman"/>
        </w:rPr>
        <w:t xml:space="preserve"> were replaced every 2-3 days. </w:t>
      </w:r>
      <w:r w:rsidR="00C91AB2">
        <w:rPr>
          <w:rFonts w:ascii="Times New Roman" w:eastAsia="Batang" w:hAnsi="Times New Roman" w:cs="Times New Roman"/>
        </w:rPr>
        <w:t>The target output of solution was around 50ml per day to ensure the longevity of the experiment</w:t>
      </w:r>
      <w:r w:rsidR="005E1F86">
        <w:rPr>
          <w:rFonts w:ascii="Times New Roman" w:eastAsia="Batang" w:hAnsi="Times New Roman" w:cs="Times New Roman"/>
        </w:rPr>
        <w:t xml:space="preserve"> for the required duration</w:t>
      </w:r>
      <w:r w:rsidR="00C91AB2">
        <w:rPr>
          <w:rFonts w:ascii="Times New Roman" w:eastAsia="Batang" w:hAnsi="Times New Roman" w:cs="Times New Roman"/>
        </w:rPr>
        <w:t xml:space="preserve">, equally if solution output was too low, it would be insufficient to analyse </w:t>
      </w:r>
      <w:proofErr w:type="gramStart"/>
      <w:r w:rsidR="00C91AB2">
        <w:rPr>
          <w:rFonts w:ascii="Times New Roman" w:eastAsia="Batang" w:hAnsi="Times New Roman" w:cs="Times New Roman"/>
        </w:rPr>
        <w:t>For</w:t>
      </w:r>
      <w:proofErr w:type="gramEnd"/>
      <w:r w:rsidR="00C91AB2">
        <w:rPr>
          <w:rFonts w:ascii="Times New Roman" w:eastAsia="Batang" w:hAnsi="Times New Roman" w:cs="Times New Roman"/>
        </w:rPr>
        <w:t xml:space="preserve"> this reason the p</w:t>
      </w:r>
      <w:r w:rsidRPr="00E62C88">
        <w:rPr>
          <w:rFonts w:ascii="Times New Roman" w:eastAsia="Batang" w:hAnsi="Times New Roman" w:cs="Times New Roman"/>
        </w:rPr>
        <w:t xml:space="preserve">ressure was altered when flow became too fast </w:t>
      </w:r>
      <w:r w:rsidRPr="00E62C88">
        <w:rPr>
          <w:rFonts w:ascii="Times New Roman" w:eastAsia="Batang" w:hAnsi="Times New Roman" w:cs="Times New Roman"/>
        </w:rPr>
        <w:lastRenderedPageBreak/>
        <w:t xml:space="preserve">or slow. The tubing in the equipment sometimes encountered blockages, which resulted in the experiment pausing for a short period (20-30 minutes) whilst tubing was cleared up. Samples were removed from the setup after 28 days, sealed and prepared for the required analysis methods. </w:t>
      </w:r>
    </w:p>
    <w:p w14:paraId="21EC7B75" w14:textId="77777777" w:rsidR="007218C6" w:rsidRPr="00E55040" w:rsidRDefault="007218C6" w:rsidP="007218C6">
      <w:pPr>
        <w:spacing w:line="360" w:lineRule="auto"/>
        <w:jc w:val="both"/>
        <w:rPr>
          <w:rFonts w:ascii="Times New Roman" w:hAnsi="Times New Roman" w:cs="Times New Roman"/>
          <w:b/>
          <w:bCs/>
          <w:i/>
          <w:sz w:val="28"/>
        </w:rPr>
      </w:pPr>
    </w:p>
    <w:p w14:paraId="0848FBFE" w14:textId="77777777" w:rsidR="007218C6" w:rsidRPr="00E55040" w:rsidRDefault="007218C6" w:rsidP="007218C6">
      <w:pPr>
        <w:spacing w:line="360" w:lineRule="auto"/>
        <w:jc w:val="both"/>
        <w:rPr>
          <w:rFonts w:ascii="Times New Roman" w:hAnsi="Times New Roman" w:cs="Times New Roman"/>
          <w:b/>
          <w:sz w:val="28"/>
        </w:rPr>
      </w:pPr>
      <w:r>
        <w:rPr>
          <w:rFonts w:ascii="Times New Roman" w:hAnsi="Times New Roman" w:cs="Times New Roman"/>
          <w:b/>
          <w:sz w:val="28"/>
        </w:rPr>
        <w:t>3.4.3</w:t>
      </w:r>
      <w:r>
        <w:rPr>
          <w:rFonts w:ascii="Times New Roman" w:hAnsi="Times New Roman" w:cs="Times New Roman"/>
          <w:b/>
          <w:sz w:val="28"/>
        </w:rPr>
        <w:tab/>
      </w:r>
      <w:r w:rsidRPr="00E55040">
        <w:rPr>
          <w:rFonts w:ascii="Times New Roman" w:hAnsi="Times New Roman" w:cs="Times New Roman"/>
          <w:b/>
          <w:sz w:val="28"/>
        </w:rPr>
        <w:t>Analysis</w:t>
      </w:r>
    </w:p>
    <w:p w14:paraId="72F7F37F" w14:textId="77777777" w:rsidR="007218C6" w:rsidRDefault="007218C6" w:rsidP="007218C6">
      <w:pPr>
        <w:spacing w:line="360" w:lineRule="auto"/>
        <w:jc w:val="both"/>
        <w:rPr>
          <w:rFonts w:ascii="Times New Roman" w:hAnsi="Times New Roman" w:cs="Times New Roman"/>
        </w:rPr>
      </w:pPr>
      <w:r>
        <w:rPr>
          <w:rFonts w:ascii="Times New Roman" w:hAnsi="Times New Roman" w:cs="Times New Roman"/>
        </w:rPr>
        <w:t>i.</w:t>
      </w:r>
      <w:r w:rsidRPr="00C22239">
        <w:rPr>
          <w:rFonts w:ascii="Times New Roman" w:hAnsi="Times New Roman" w:cs="Times New Roman"/>
        </w:rPr>
        <w:tab/>
        <w:t>X-ray Diffraction (XRD)</w:t>
      </w:r>
    </w:p>
    <w:p w14:paraId="2D454021" w14:textId="3E916009" w:rsidR="007218C6" w:rsidRDefault="007218C6" w:rsidP="007218C6">
      <w:pPr>
        <w:spacing w:line="360" w:lineRule="auto"/>
        <w:jc w:val="both"/>
        <w:rPr>
          <w:rFonts w:ascii="Times New Roman" w:hAnsi="Times New Roman" w:cs="Times New Roman"/>
        </w:rPr>
      </w:pPr>
      <w:r>
        <w:rPr>
          <w:rFonts w:ascii="Times New Roman" w:hAnsi="Times New Roman" w:cs="Times New Roman"/>
        </w:rPr>
        <w:t>The cement samples were analysed using XRD to study the crystalline phases formed when cerium nitrate was introduced to the cement matrix</w:t>
      </w:r>
      <w:r w:rsidR="00D65FB1">
        <w:rPr>
          <w:rFonts w:ascii="Times New Roman" w:hAnsi="Times New Roman" w:cs="Times New Roman"/>
        </w:rPr>
        <w:t xml:space="preserve">. The same analysis equipment was used as in section </w:t>
      </w:r>
      <w:r w:rsidR="00947B7A">
        <w:rPr>
          <w:rFonts w:ascii="Times New Roman" w:hAnsi="Times New Roman" w:cs="Times New Roman"/>
        </w:rPr>
        <w:t>3.34</w:t>
      </w:r>
      <w:r>
        <w:rPr>
          <w:rFonts w:ascii="Times New Roman" w:hAnsi="Times New Roman" w:cs="Times New Roman"/>
        </w:rPr>
        <w:t xml:space="preserve">. The crystal assemblage was compared to that in the caesium nitrate and strontium nitrate samples. XRD was also used to monitor the impact of ADVA cast 551 on the cement crystal phase assemblage if any. </w:t>
      </w:r>
    </w:p>
    <w:p w14:paraId="3D74B971" w14:textId="77777777" w:rsidR="00914CF9" w:rsidRPr="00C22239" w:rsidRDefault="00914CF9" w:rsidP="007218C6">
      <w:pPr>
        <w:spacing w:line="360" w:lineRule="auto"/>
        <w:jc w:val="both"/>
        <w:rPr>
          <w:rFonts w:ascii="Times New Roman" w:hAnsi="Times New Roman" w:cs="Times New Roman"/>
        </w:rPr>
      </w:pPr>
    </w:p>
    <w:p w14:paraId="54BA0888" w14:textId="77777777" w:rsidR="007218C6" w:rsidRDefault="007218C6" w:rsidP="007218C6">
      <w:pPr>
        <w:spacing w:line="360" w:lineRule="auto"/>
        <w:jc w:val="both"/>
        <w:rPr>
          <w:rFonts w:ascii="Times New Roman" w:hAnsi="Times New Roman" w:cs="Times New Roman"/>
        </w:rPr>
      </w:pPr>
      <w:proofErr w:type="gramStart"/>
      <w:r w:rsidRPr="00C22239">
        <w:rPr>
          <w:rFonts w:ascii="Times New Roman" w:hAnsi="Times New Roman" w:cs="Times New Roman"/>
        </w:rPr>
        <w:t>ii</w:t>
      </w:r>
      <w:proofErr w:type="gramEnd"/>
      <w:r w:rsidRPr="00C22239">
        <w:rPr>
          <w:rFonts w:ascii="Times New Roman" w:hAnsi="Times New Roman" w:cs="Times New Roman"/>
        </w:rPr>
        <w:tab/>
        <w:t xml:space="preserve"> Marsh Cone Test</w:t>
      </w:r>
    </w:p>
    <w:p w14:paraId="7FE61B60" w14:textId="77777777" w:rsidR="007218C6" w:rsidRDefault="007218C6" w:rsidP="007218C6">
      <w:pPr>
        <w:spacing w:line="360" w:lineRule="auto"/>
        <w:jc w:val="both"/>
        <w:rPr>
          <w:rFonts w:ascii="Times New Roman" w:hAnsi="Times New Roman" w:cs="Times New Roman"/>
        </w:rPr>
      </w:pPr>
      <w:r w:rsidRPr="00BF4A83">
        <w:rPr>
          <w:rFonts w:ascii="Times New Roman" w:hAnsi="Times New Roman" w:cs="Times New Roman"/>
        </w:rPr>
        <w:t xml:space="preserve">The marsh cone test was used to study the change in viscosity of the NRVB paste when the ADVA cast 551 was added to the paste. A steel marsh cone with an output hole diameter of 1cm was used alongside a 500ml glass beaker and a stopwatch. Firstly the cement paste without the superplasticiser was </w:t>
      </w:r>
      <w:proofErr w:type="gramStart"/>
      <w:r w:rsidRPr="00BF4A83">
        <w:rPr>
          <w:rFonts w:ascii="Times New Roman" w:hAnsi="Times New Roman" w:cs="Times New Roman"/>
        </w:rPr>
        <w:t>prepared,</w:t>
      </w:r>
      <w:proofErr w:type="gramEnd"/>
      <w:r w:rsidRPr="00BF4A83">
        <w:rPr>
          <w:rFonts w:ascii="Times New Roman" w:hAnsi="Times New Roman" w:cs="Times New Roman"/>
        </w:rPr>
        <w:t xml:space="preserve"> a finger was placed on the output hole of the marsh cone and the cement paste poured into the cone. The cone was held above the glass beaker and the finger removed from the cone whilst simultaneously starting the </w:t>
      </w:r>
      <w:proofErr w:type="gramStart"/>
      <w:r w:rsidRPr="00BF4A83">
        <w:rPr>
          <w:rFonts w:ascii="Times New Roman" w:hAnsi="Times New Roman" w:cs="Times New Roman"/>
        </w:rPr>
        <w:t>stop watch</w:t>
      </w:r>
      <w:proofErr w:type="gramEnd"/>
      <w:r w:rsidRPr="00BF4A83">
        <w:rPr>
          <w:rFonts w:ascii="Times New Roman" w:hAnsi="Times New Roman" w:cs="Times New Roman"/>
        </w:rPr>
        <w:t xml:space="preserve">. The beaker was allowed to fill until the 500ml level was reached, at which point the stopwatch was stopped and the time recorded. This procedure was then repeated with the superplasticised cement paste. </w:t>
      </w:r>
    </w:p>
    <w:p w14:paraId="39B52723" w14:textId="77777777" w:rsidR="007218C6" w:rsidRPr="00BF4A83" w:rsidRDefault="007218C6" w:rsidP="007218C6">
      <w:pPr>
        <w:spacing w:line="360" w:lineRule="auto"/>
        <w:jc w:val="both"/>
        <w:rPr>
          <w:rFonts w:ascii="Times New Roman" w:hAnsi="Times New Roman" w:cs="Times New Roman"/>
        </w:rPr>
      </w:pPr>
    </w:p>
    <w:p w14:paraId="75AB4DE4" w14:textId="77777777" w:rsidR="007218C6" w:rsidRPr="00C22239" w:rsidRDefault="007218C6" w:rsidP="007218C6">
      <w:pPr>
        <w:spacing w:line="360" w:lineRule="auto"/>
        <w:jc w:val="both"/>
        <w:rPr>
          <w:rFonts w:ascii="Times New Roman" w:hAnsi="Times New Roman" w:cs="Times New Roman"/>
        </w:rPr>
      </w:pPr>
      <w:r w:rsidRPr="00C22239">
        <w:rPr>
          <w:rFonts w:ascii="Times New Roman" w:hAnsi="Times New Roman" w:cs="Times New Roman"/>
        </w:rPr>
        <w:t>iii.</w:t>
      </w:r>
      <w:r w:rsidRPr="00C22239">
        <w:rPr>
          <w:rFonts w:ascii="Times New Roman" w:hAnsi="Times New Roman" w:cs="Times New Roman"/>
        </w:rPr>
        <w:tab/>
      </w:r>
      <w:proofErr w:type="gramStart"/>
      <w:r w:rsidRPr="00C22239">
        <w:rPr>
          <w:rFonts w:ascii="Times New Roman" w:hAnsi="Times New Roman" w:cs="Times New Roman"/>
        </w:rPr>
        <w:t>pH</w:t>
      </w:r>
      <w:proofErr w:type="gramEnd"/>
      <w:r w:rsidRPr="00C22239">
        <w:rPr>
          <w:rFonts w:ascii="Times New Roman" w:hAnsi="Times New Roman" w:cs="Times New Roman"/>
        </w:rPr>
        <w:t xml:space="preserve"> Measurements</w:t>
      </w:r>
    </w:p>
    <w:p w14:paraId="47D81E69" w14:textId="05EF4251" w:rsidR="007218C6" w:rsidRPr="00BF4A83" w:rsidRDefault="007218C6" w:rsidP="007218C6">
      <w:pPr>
        <w:spacing w:line="360" w:lineRule="auto"/>
        <w:jc w:val="both"/>
        <w:rPr>
          <w:rFonts w:ascii="Times New Roman" w:hAnsi="Times New Roman" w:cs="Times New Roman"/>
        </w:rPr>
      </w:pPr>
      <w:r w:rsidRPr="00BF4A83">
        <w:rPr>
          <w:rFonts w:ascii="Times New Roman" w:hAnsi="Times New Roman" w:cs="Times New Roman"/>
        </w:rPr>
        <w:t xml:space="preserve">The </w:t>
      </w:r>
      <w:r w:rsidR="00971672" w:rsidRPr="00BF4A83">
        <w:rPr>
          <w:rFonts w:ascii="Times New Roman" w:hAnsi="Times New Roman" w:cs="Times New Roman"/>
        </w:rPr>
        <w:t>pH of solutions was</w:t>
      </w:r>
      <w:r w:rsidRPr="00BF4A83">
        <w:rPr>
          <w:rFonts w:ascii="Times New Roman" w:hAnsi="Times New Roman" w:cs="Times New Roman"/>
        </w:rPr>
        <w:t xml:space="preserve"> measured using an Orion Model 250 pH meter. The equipment was calibrated at 3 points (pH = 4, 7 and 10), and the buffer solutions were made up at</w:t>
      </w:r>
      <w:r w:rsidR="00914CF9">
        <w:rPr>
          <w:rFonts w:ascii="Times New Roman" w:hAnsi="Times New Roman" w:cs="Times New Roman"/>
        </w:rPr>
        <w:t xml:space="preserve"> the end of the experiment</w:t>
      </w:r>
      <w:r w:rsidRPr="00BF4A83">
        <w:rPr>
          <w:rFonts w:ascii="Times New Roman" w:hAnsi="Times New Roman" w:cs="Times New Roman"/>
        </w:rPr>
        <w:t xml:space="preserve">. The pH electrode was left in the tested solution until the reading settled, and data recorded. </w:t>
      </w:r>
    </w:p>
    <w:p w14:paraId="49138247" w14:textId="77777777" w:rsidR="007218C6" w:rsidRDefault="007218C6" w:rsidP="007218C6">
      <w:pPr>
        <w:spacing w:line="360" w:lineRule="auto"/>
        <w:jc w:val="both"/>
        <w:rPr>
          <w:rFonts w:ascii="Times New Roman" w:hAnsi="Times New Roman" w:cs="Times New Roman"/>
        </w:rPr>
      </w:pPr>
    </w:p>
    <w:p w14:paraId="19D5634A" w14:textId="77777777" w:rsidR="0018608F" w:rsidRDefault="0018608F" w:rsidP="007218C6">
      <w:pPr>
        <w:spacing w:line="360" w:lineRule="auto"/>
        <w:jc w:val="both"/>
        <w:rPr>
          <w:rFonts w:ascii="Times New Roman" w:hAnsi="Times New Roman" w:cs="Times New Roman"/>
        </w:rPr>
      </w:pPr>
    </w:p>
    <w:p w14:paraId="2A4EC807" w14:textId="77777777" w:rsidR="0018608F" w:rsidRPr="00A26A92" w:rsidRDefault="0018608F" w:rsidP="007218C6">
      <w:pPr>
        <w:spacing w:line="360" w:lineRule="auto"/>
        <w:jc w:val="both"/>
        <w:rPr>
          <w:rFonts w:ascii="Times New Roman" w:hAnsi="Times New Roman" w:cs="Times New Roman"/>
        </w:rPr>
      </w:pPr>
    </w:p>
    <w:p w14:paraId="0C79B95C" w14:textId="25289934" w:rsidR="007218C6" w:rsidRPr="00CA14C9" w:rsidRDefault="00176113" w:rsidP="007218C6">
      <w:pPr>
        <w:spacing w:after="120" w:line="360" w:lineRule="auto"/>
        <w:ind w:left="720" w:hanging="720"/>
        <w:jc w:val="both"/>
        <w:rPr>
          <w:rFonts w:ascii="Times New Roman" w:hAnsi="Times New Roman" w:cs="Times New Roman"/>
        </w:rPr>
      </w:pPr>
      <w:r>
        <w:rPr>
          <w:rFonts w:ascii="Times New Roman" w:hAnsi="Times New Roman" w:cs="Times New Roman"/>
        </w:rPr>
        <w:lastRenderedPageBreak/>
        <w:t>iv</w:t>
      </w:r>
      <w:r w:rsidR="007218C6">
        <w:rPr>
          <w:rFonts w:ascii="Times New Roman" w:hAnsi="Times New Roman" w:cs="Times New Roman"/>
        </w:rPr>
        <w:t>.</w:t>
      </w:r>
      <w:r w:rsidR="007218C6" w:rsidRPr="00CA14C9">
        <w:rPr>
          <w:rFonts w:ascii="Times New Roman" w:hAnsi="Times New Roman" w:cs="Times New Roman"/>
        </w:rPr>
        <w:tab/>
        <w:t>Inductively Coupled Plasma - Mass Spectrometry/Optical Emission Spectrometry (ICP-MS/ICP-OES)</w:t>
      </w:r>
    </w:p>
    <w:p w14:paraId="34C8B08D" w14:textId="00B1AEBB" w:rsidR="007218C6" w:rsidRDefault="007218C6" w:rsidP="007218C6">
      <w:pPr>
        <w:spacing w:after="120" w:line="360" w:lineRule="auto"/>
        <w:jc w:val="both"/>
        <w:rPr>
          <w:rFonts w:ascii="Times New Roman" w:hAnsi="Times New Roman" w:cs="Times New Roman"/>
        </w:rPr>
      </w:pPr>
      <w:r w:rsidRPr="00A26A92">
        <w:rPr>
          <w:rFonts w:ascii="Times New Roman" w:hAnsi="Times New Roman" w:cs="Times New Roman"/>
        </w:rPr>
        <w:t>Samples were acidified with ultrapure HNO</w:t>
      </w:r>
      <w:r w:rsidRPr="00751C5B">
        <w:rPr>
          <w:rFonts w:ascii="Times New Roman" w:hAnsi="Times New Roman" w:cs="Times New Roman"/>
          <w:vertAlign w:val="subscript"/>
        </w:rPr>
        <w:t>3</w:t>
      </w:r>
      <w:r w:rsidRPr="00A26A92">
        <w:rPr>
          <w:rFonts w:ascii="Times New Roman" w:hAnsi="Times New Roman" w:cs="Times New Roman"/>
        </w:rPr>
        <w:t xml:space="preserve"> to a concentration of 1%</w:t>
      </w:r>
      <w:r w:rsidR="000C35F4">
        <w:rPr>
          <w:rFonts w:ascii="Times New Roman" w:hAnsi="Times New Roman" w:cs="Times New Roman"/>
        </w:rPr>
        <w:t xml:space="preserve"> </w:t>
      </w:r>
      <w:r w:rsidR="002E49D1">
        <w:rPr>
          <w:rFonts w:ascii="Times New Roman" w:hAnsi="Times New Roman" w:cs="Times New Roman"/>
        </w:rPr>
        <w:t>(</w:t>
      </w:r>
      <w:r w:rsidRPr="00A26A92">
        <w:rPr>
          <w:rFonts w:ascii="Times New Roman" w:hAnsi="Times New Roman" w:cs="Times New Roman"/>
        </w:rPr>
        <w:t>i.e. 1ml of cHNO3 per 100 ml and stored at 4</w:t>
      </w:r>
      <w:r w:rsidRPr="00A26A92">
        <w:rPr>
          <w:rFonts w:ascii="Times New Roman" w:hAnsi="Times New Roman" w:cs="Times New Roman"/>
          <w:vertAlign w:val="superscript"/>
        </w:rPr>
        <w:t>o</w:t>
      </w:r>
      <w:r w:rsidRPr="00A26A92">
        <w:rPr>
          <w:rFonts w:ascii="Times New Roman" w:hAnsi="Times New Roman" w:cs="Times New Roman"/>
        </w:rPr>
        <w:t>C</w:t>
      </w:r>
      <w:r w:rsidR="002E49D1">
        <w:rPr>
          <w:rFonts w:ascii="Times New Roman" w:hAnsi="Times New Roman" w:cs="Times New Roman"/>
        </w:rPr>
        <w:t xml:space="preserve">), to ensure </w:t>
      </w:r>
      <w:r w:rsidR="002E49D1" w:rsidRPr="002E49D1">
        <w:rPr>
          <w:rFonts w:ascii="Times New Roman" w:hAnsi="Times New Roman" w:cs="Times New Roman"/>
        </w:rPr>
        <w:t>stability and comparability with calibration standards</w:t>
      </w:r>
      <w:r w:rsidRPr="00A26A92">
        <w:rPr>
          <w:rFonts w:ascii="Times New Roman" w:hAnsi="Times New Roman" w:cs="Times New Roman"/>
        </w:rPr>
        <w:t>. The ICP-MS analysis was to measure the concentration of cerium, sodium and potassium in the leached solution, whereas ICP-OES was used to measure the concentration of calcium. Samples were collected and analysed on the 2nd, 4th and 7th day of every week</w:t>
      </w:r>
      <w:r>
        <w:rPr>
          <w:rFonts w:ascii="Times New Roman" w:hAnsi="Times New Roman" w:cs="Times New Roman"/>
        </w:rPr>
        <w:t xml:space="preserve">. </w:t>
      </w:r>
    </w:p>
    <w:p w14:paraId="1229D88F" w14:textId="77777777" w:rsidR="007218C6" w:rsidRPr="00A26A92" w:rsidRDefault="007218C6" w:rsidP="007218C6">
      <w:pPr>
        <w:spacing w:after="120" w:line="360" w:lineRule="auto"/>
        <w:jc w:val="both"/>
        <w:rPr>
          <w:rFonts w:ascii="Times New Roman" w:hAnsi="Times New Roman" w:cs="Times New Roman"/>
        </w:rPr>
      </w:pPr>
    </w:p>
    <w:p w14:paraId="6A65966D" w14:textId="218A268D" w:rsidR="007218C6" w:rsidRPr="00CA14C9" w:rsidRDefault="007218C6" w:rsidP="007218C6">
      <w:pPr>
        <w:spacing w:after="120" w:line="360" w:lineRule="auto"/>
        <w:jc w:val="both"/>
        <w:rPr>
          <w:rFonts w:ascii="Times New Roman" w:hAnsi="Times New Roman" w:cs="Times New Roman"/>
        </w:rPr>
      </w:pPr>
      <w:r>
        <w:rPr>
          <w:rFonts w:ascii="Times New Roman" w:hAnsi="Times New Roman" w:cs="Times New Roman"/>
        </w:rPr>
        <w:t>v.</w:t>
      </w:r>
      <w:r w:rsidRPr="00CA14C9">
        <w:rPr>
          <w:rFonts w:ascii="Times New Roman" w:hAnsi="Times New Roman" w:cs="Times New Roman"/>
        </w:rPr>
        <w:tab/>
        <w:t>Total Organic Carbon (TOC)</w:t>
      </w:r>
    </w:p>
    <w:p w14:paraId="5648C171" w14:textId="62D39BD2" w:rsidR="007218C6" w:rsidRDefault="00914CF9" w:rsidP="007218C6">
      <w:pPr>
        <w:spacing w:after="120" w:line="360" w:lineRule="auto"/>
        <w:jc w:val="both"/>
        <w:rPr>
          <w:rFonts w:ascii="Times New Roman" w:hAnsi="Times New Roman" w:cs="Times New Roman"/>
        </w:rPr>
      </w:pPr>
      <w:r>
        <w:rPr>
          <w:rFonts w:ascii="Times New Roman" w:hAnsi="Times New Roman" w:cs="Times New Roman"/>
        </w:rPr>
        <w:t>Once breakthrough was</w:t>
      </w:r>
      <w:r w:rsidR="007218C6" w:rsidRPr="00A26A92">
        <w:rPr>
          <w:rFonts w:ascii="Times New Roman" w:hAnsi="Times New Roman" w:cs="Times New Roman"/>
        </w:rPr>
        <w:t xml:space="preserve"> detected</w:t>
      </w:r>
      <w:r>
        <w:rPr>
          <w:rFonts w:ascii="Times New Roman" w:hAnsi="Times New Roman" w:cs="Times New Roman"/>
        </w:rPr>
        <w:t xml:space="preserve"> using ICP-MS/ICP-OES (i.e. an </w:t>
      </w:r>
      <w:r w:rsidR="007218C6">
        <w:rPr>
          <w:rFonts w:ascii="Times New Roman" w:hAnsi="Times New Roman" w:cs="Times New Roman"/>
        </w:rPr>
        <w:t>increase of Ce concentration in the leachate solution),</w:t>
      </w:r>
      <w:r w:rsidR="007218C6" w:rsidRPr="00A26A92">
        <w:rPr>
          <w:rFonts w:ascii="Times New Roman" w:hAnsi="Times New Roman" w:cs="Times New Roman"/>
        </w:rPr>
        <w:t xml:space="preserve"> total organic carbon (TOC) analysis was used to monitor the concentration of organic species in the leached solution</w:t>
      </w:r>
      <w:r w:rsidR="007218C6">
        <w:rPr>
          <w:rFonts w:ascii="Times New Roman" w:hAnsi="Times New Roman" w:cs="Times New Roman"/>
        </w:rPr>
        <w:t>. In this analysis procedure, the samples are completely oxidised</w:t>
      </w:r>
      <w:r w:rsidR="00024B89">
        <w:rPr>
          <w:rFonts w:ascii="Times New Roman" w:hAnsi="Times New Roman" w:cs="Times New Roman"/>
        </w:rPr>
        <w:t xml:space="preserve">. This is </w:t>
      </w:r>
      <w:r w:rsidR="00971672">
        <w:rPr>
          <w:rFonts w:ascii="Times New Roman" w:hAnsi="Times New Roman" w:cs="Times New Roman"/>
        </w:rPr>
        <w:t>achieved</w:t>
      </w:r>
      <w:r w:rsidR="00024B89">
        <w:rPr>
          <w:rFonts w:ascii="Times New Roman" w:hAnsi="Times New Roman" w:cs="Times New Roman"/>
        </w:rPr>
        <w:t xml:space="preserve"> by adding an aliquot of acid to the samples and then purging with oxygen, the acid reacts with any carbon species, which are then converted to CO</w:t>
      </w:r>
      <w:r w:rsidR="00024B89">
        <w:rPr>
          <w:rFonts w:ascii="Times New Roman" w:hAnsi="Times New Roman" w:cs="Times New Roman"/>
          <w:vertAlign w:val="subscript"/>
        </w:rPr>
        <w:t>2</w:t>
      </w:r>
      <w:r w:rsidR="00024B89">
        <w:rPr>
          <w:rFonts w:ascii="Times New Roman" w:hAnsi="Times New Roman" w:cs="Times New Roman"/>
        </w:rPr>
        <w:t xml:space="preserve"> which bubbles off, any remaining carbon species in the samples will be organic carbon</w:t>
      </w:r>
      <w:r w:rsidR="007218C6" w:rsidRPr="00A26A92">
        <w:rPr>
          <w:rFonts w:ascii="Times New Roman" w:hAnsi="Times New Roman" w:cs="Times New Roman"/>
        </w:rPr>
        <w:t xml:space="preserve">. </w:t>
      </w:r>
      <w:r w:rsidR="007218C6" w:rsidRPr="00BF4A83">
        <w:rPr>
          <w:rFonts w:ascii="Times New Roman" w:hAnsi="Times New Roman" w:cs="Times New Roman"/>
        </w:rPr>
        <w:t>Six samples from different stages in the experiment were analysed including the solution within the bladder vessel to assess if any organic species have diffused from the rubber bladder. Again, the samples were acidified with ultrapure HNO</w:t>
      </w:r>
      <w:r w:rsidR="007218C6" w:rsidRPr="00BF4A83">
        <w:rPr>
          <w:rFonts w:ascii="Times New Roman" w:hAnsi="Times New Roman" w:cs="Times New Roman"/>
          <w:vertAlign w:val="subscript"/>
        </w:rPr>
        <w:t>3</w:t>
      </w:r>
      <w:r w:rsidR="007218C6" w:rsidRPr="00BF4A83">
        <w:rPr>
          <w:rFonts w:ascii="Times New Roman" w:hAnsi="Times New Roman" w:cs="Times New Roman"/>
        </w:rPr>
        <w:t xml:space="preserve"> to a concentration of 1% i.e., 1 ml of HNO</w:t>
      </w:r>
      <w:r w:rsidR="007218C6" w:rsidRPr="00BF4A83">
        <w:rPr>
          <w:rFonts w:ascii="Times New Roman" w:hAnsi="Times New Roman" w:cs="Times New Roman"/>
          <w:vertAlign w:val="subscript"/>
        </w:rPr>
        <w:t>3</w:t>
      </w:r>
      <w:r w:rsidR="007218C6" w:rsidRPr="00BF4A83">
        <w:rPr>
          <w:rFonts w:ascii="Times New Roman" w:hAnsi="Times New Roman" w:cs="Times New Roman"/>
        </w:rPr>
        <w:t xml:space="preserve"> per 100 ml and stored at 4</w:t>
      </w:r>
      <w:r w:rsidR="007218C6" w:rsidRPr="00BF4A83">
        <w:rPr>
          <w:rFonts w:ascii="Times New Roman" w:hAnsi="Times New Roman" w:cs="Times New Roman"/>
          <w:vertAlign w:val="superscript"/>
        </w:rPr>
        <w:t>o</w:t>
      </w:r>
      <w:r w:rsidR="007218C6" w:rsidRPr="00BF4A83">
        <w:rPr>
          <w:rFonts w:ascii="Times New Roman" w:hAnsi="Times New Roman" w:cs="Times New Roman"/>
        </w:rPr>
        <w:t>C.</w:t>
      </w:r>
      <w:r>
        <w:rPr>
          <w:rFonts w:ascii="Times New Roman" w:hAnsi="Times New Roman" w:cs="Times New Roman"/>
        </w:rPr>
        <w:t xml:space="preserve"> The </w:t>
      </w:r>
      <w:proofErr w:type="gramStart"/>
      <w:r>
        <w:rPr>
          <w:rFonts w:ascii="Times New Roman" w:hAnsi="Times New Roman" w:cs="Times New Roman"/>
        </w:rPr>
        <w:t>analysis was undergone by the National Nuclear Laboratory</w:t>
      </w:r>
      <w:r w:rsidR="005B13FE">
        <w:rPr>
          <w:rFonts w:ascii="Times New Roman" w:hAnsi="Times New Roman" w:cs="Times New Roman"/>
        </w:rPr>
        <w:t xml:space="preserve"> measurement and analysis </w:t>
      </w:r>
      <w:r w:rsidR="00971672">
        <w:rPr>
          <w:rFonts w:ascii="Times New Roman" w:hAnsi="Times New Roman" w:cs="Times New Roman"/>
        </w:rPr>
        <w:t>department</w:t>
      </w:r>
      <w:proofErr w:type="gramEnd"/>
      <w:r w:rsidR="005B13FE">
        <w:rPr>
          <w:rFonts w:ascii="Times New Roman" w:hAnsi="Times New Roman" w:cs="Times New Roman"/>
        </w:rPr>
        <w:t>.</w:t>
      </w:r>
    </w:p>
    <w:p w14:paraId="327A8E25" w14:textId="77777777" w:rsidR="009928CA" w:rsidRDefault="009928CA" w:rsidP="009928CA">
      <w:pPr>
        <w:spacing w:line="360" w:lineRule="auto"/>
        <w:jc w:val="both"/>
        <w:rPr>
          <w:rFonts w:ascii="Times New Roman" w:eastAsia="Batang" w:hAnsi="Times New Roman" w:cs="Times New Roman"/>
        </w:rPr>
      </w:pPr>
    </w:p>
    <w:p w14:paraId="22ABF7FC" w14:textId="77777777" w:rsidR="009928CA" w:rsidRPr="00A26A92" w:rsidRDefault="009928CA" w:rsidP="009928CA">
      <w:pPr>
        <w:spacing w:line="360" w:lineRule="auto"/>
        <w:jc w:val="both"/>
        <w:rPr>
          <w:rFonts w:ascii="Times New Roman" w:eastAsia="Batang" w:hAnsi="Times New Roman" w:cs="Times New Roman"/>
        </w:rPr>
      </w:pPr>
      <w:r w:rsidRPr="00A26A92">
        <w:rPr>
          <w:rFonts w:ascii="Times New Roman" w:eastAsia="Batang" w:hAnsi="Times New Roman" w:cs="Times New Roman"/>
        </w:rPr>
        <w:t>Solutions w</w:t>
      </w:r>
      <w:r>
        <w:rPr>
          <w:rFonts w:ascii="Times New Roman" w:eastAsia="Batang" w:hAnsi="Times New Roman" w:cs="Times New Roman"/>
        </w:rPr>
        <w:t xml:space="preserve">ere </w:t>
      </w:r>
      <w:r w:rsidRPr="00A26A92">
        <w:rPr>
          <w:rFonts w:ascii="Times New Roman" w:eastAsia="Batang" w:hAnsi="Times New Roman" w:cs="Times New Roman"/>
        </w:rPr>
        <w:t>collected 3 times a week for pH and ICP-MS analysis. Once ICP-MS analysis detects breakthrough</w:t>
      </w:r>
      <w:r>
        <w:rPr>
          <w:rFonts w:ascii="Times New Roman" w:eastAsia="Batang" w:hAnsi="Times New Roman" w:cs="Times New Roman"/>
        </w:rPr>
        <w:t xml:space="preserve"> (i.e. an increased concentration of the cerium is detected in the leachate)</w:t>
      </w:r>
      <w:r w:rsidRPr="00A26A92">
        <w:rPr>
          <w:rFonts w:ascii="Times New Roman" w:eastAsia="Batang" w:hAnsi="Times New Roman" w:cs="Times New Roman"/>
        </w:rPr>
        <w:t xml:space="preserve"> the samples </w:t>
      </w:r>
      <w:r>
        <w:rPr>
          <w:rFonts w:ascii="Times New Roman" w:eastAsia="Batang" w:hAnsi="Times New Roman" w:cs="Times New Roman"/>
        </w:rPr>
        <w:t>were then</w:t>
      </w:r>
      <w:r w:rsidRPr="00A26A92">
        <w:rPr>
          <w:rFonts w:ascii="Times New Roman" w:eastAsia="Batang" w:hAnsi="Times New Roman" w:cs="Times New Roman"/>
        </w:rPr>
        <w:t xml:space="preserve"> analysed using TOC for organic species. The aim </w:t>
      </w:r>
      <w:r>
        <w:rPr>
          <w:rFonts w:ascii="Times New Roman" w:eastAsia="Batang" w:hAnsi="Times New Roman" w:cs="Times New Roman"/>
        </w:rPr>
        <w:t>was</w:t>
      </w:r>
      <w:r w:rsidRPr="00A26A92">
        <w:rPr>
          <w:rFonts w:ascii="Times New Roman" w:eastAsia="Batang" w:hAnsi="Times New Roman" w:cs="Times New Roman"/>
        </w:rPr>
        <w:t xml:space="preserve"> to monitor the concentration of complexed cerium in the collected solution, indicating the amounts of cerium retained within the NRVB sample, if any. </w:t>
      </w:r>
    </w:p>
    <w:p w14:paraId="75C12431" w14:textId="68EB465C" w:rsidR="005067C9" w:rsidRPr="00176113" w:rsidRDefault="007218C6" w:rsidP="00176113">
      <w:pPr>
        <w:spacing w:after="120" w:line="360" w:lineRule="auto"/>
        <w:jc w:val="both"/>
        <w:rPr>
          <w:rFonts w:ascii="Times New Roman" w:hAnsi="Times New Roman" w:cs="Times New Roman"/>
        </w:rPr>
      </w:pPr>
      <w:r>
        <w:rPr>
          <w:rFonts w:ascii="Times New Roman" w:hAnsi="Times New Roman" w:cs="Times New Roman"/>
        </w:rPr>
        <w:t xml:space="preserve">The purpose of this analysis method is to measure the complexed organic products that are formed when the superplasticiser interacts with the cement. </w:t>
      </w:r>
    </w:p>
    <w:p w14:paraId="6889003A" w14:textId="77777777" w:rsidR="0072372E" w:rsidRDefault="0072372E" w:rsidP="0072372E">
      <w:pPr>
        <w:spacing w:before="120" w:after="240"/>
        <w:ind w:left="720" w:hanging="720"/>
        <w:jc w:val="both"/>
        <w:rPr>
          <w:rFonts w:ascii="Times New Roman" w:hAnsi="Times New Roman" w:cs="Times New Roman"/>
          <w:color w:val="141413"/>
          <w:sz w:val="22"/>
          <w:szCs w:val="22"/>
        </w:rPr>
      </w:pPr>
    </w:p>
    <w:p w14:paraId="6ADAA37C" w14:textId="77777777" w:rsidR="0072372E" w:rsidRDefault="0072372E" w:rsidP="0072372E">
      <w:pPr>
        <w:pBdr>
          <w:top w:val="single" w:sz="4" w:space="13" w:color="auto"/>
          <w:bottom w:val="single" w:sz="4" w:space="15" w:color="auto"/>
        </w:pBdr>
        <w:spacing w:after="120"/>
        <w:contextualSpacing/>
        <w:jc w:val="center"/>
        <w:rPr>
          <w:rFonts w:ascii="Times New Roman" w:hAnsi="Times New Roman" w:cs="Times New Roman"/>
          <w:bCs/>
          <w:smallCaps/>
          <w:sz w:val="48"/>
          <w:szCs w:val="28"/>
        </w:rPr>
      </w:pPr>
      <w:r>
        <w:rPr>
          <w:rFonts w:ascii="Times New Roman" w:hAnsi="Times New Roman" w:cs="Times New Roman"/>
          <w:bCs/>
          <w:smallCaps/>
          <w:sz w:val="48"/>
          <w:szCs w:val="28"/>
        </w:rPr>
        <w:lastRenderedPageBreak/>
        <w:t>References</w:t>
      </w:r>
    </w:p>
    <w:p w14:paraId="0F084F1B" w14:textId="5052298E" w:rsidR="0072372E" w:rsidRPr="00BB67BD" w:rsidRDefault="0072372E" w:rsidP="00BB67BD">
      <w:pPr>
        <w:pBdr>
          <w:top w:val="single" w:sz="4" w:space="13" w:color="auto"/>
          <w:bottom w:val="single" w:sz="4" w:space="15" w:color="auto"/>
        </w:pBdr>
        <w:spacing w:before="120" w:after="120"/>
        <w:jc w:val="center"/>
        <w:rPr>
          <w:rFonts w:ascii="Times New Roman" w:hAnsi="Times New Roman" w:cs="Times New Roman"/>
          <w:sz w:val="28"/>
          <w:szCs w:val="28"/>
        </w:rPr>
      </w:pPr>
      <w:r>
        <w:rPr>
          <w:rFonts w:ascii="Times New Roman" w:hAnsi="Times New Roman" w:cs="Times New Roman"/>
          <w:sz w:val="28"/>
          <w:szCs w:val="28"/>
        </w:rPr>
        <w:t>Chapter 3: Experimental Methods and Materials</w:t>
      </w:r>
    </w:p>
    <w:p w14:paraId="4CCF7C66" w14:textId="77777777" w:rsidR="0072372E" w:rsidRPr="00BB67BD" w:rsidRDefault="0072372E" w:rsidP="0072372E">
      <w:pPr>
        <w:spacing w:before="120" w:after="240"/>
        <w:ind w:left="720" w:hanging="720"/>
        <w:jc w:val="both"/>
        <w:rPr>
          <w:rFonts w:ascii="Times New Roman" w:hAnsi="Times New Roman" w:cs="Times New Roman"/>
        </w:rPr>
      </w:pPr>
      <w:r w:rsidRPr="00BB67BD">
        <w:rPr>
          <w:rFonts w:ascii="Times" w:hAnsi="Times"/>
        </w:rPr>
        <w:t>[1]</w:t>
      </w:r>
      <w:r w:rsidRPr="00BB67BD">
        <w:rPr>
          <w:rFonts w:ascii="Times" w:hAnsi="Times"/>
        </w:rPr>
        <w:tab/>
      </w:r>
      <w:r w:rsidRPr="00BB67BD">
        <w:rPr>
          <w:rFonts w:ascii="Times New Roman" w:hAnsi="Times New Roman" w:cs="Times New Roman"/>
        </w:rPr>
        <w:t xml:space="preserve">Saito, H. and Sunao N. (1999) Comparison between diffusion test and electrochemical acceleration test for leaching of cement hydration products, </w:t>
      </w:r>
      <w:r w:rsidRPr="00BB67BD">
        <w:rPr>
          <w:rFonts w:ascii="Times New Roman" w:hAnsi="Times New Roman" w:cs="Times New Roman"/>
          <w:i/>
        </w:rPr>
        <w:t xml:space="preserve">ACI Materials Journal. </w:t>
      </w:r>
      <w:proofErr w:type="gramStart"/>
      <w:r w:rsidRPr="00BB67BD">
        <w:rPr>
          <w:rFonts w:ascii="Times New Roman" w:hAnsi="Times New Roman" w:cs="Times New Roman"/>
          <w:b/>
        </w:rPr>
        <w:t xml:space="preserve">96, </w:t>
      </w:r>
      <w:r w:rsidRPr="00BB67BD">
        <w:rPr>
          <w:rFonts w:ascii="Times New Roman" w:hAnsi="Times New Roman" w:cs="Times New Roman"/>
        </w:rPr>
        <w:t>208-212.</w:t>
      </w:r>
      <w:proofErr w:type="gramEnd"/>
    </w:p>
    <w:p w14:paraId="12212767" w14:textId="74BBCE92" w:rsidR="00E744B9" w:rsidRDefault="00C63EE1" w:rsidP="00E744B9">
      <w:pPr>
        <w:spacing w:line="360" w:lineRule="auto"/>
        <w:jc w:val="both"/>
        <w:rPr>
          <w:rFonts w:ascii="Times New Roman" w:hAnsi="Times New Roman" w:cs="Times New Roman"/>
        </w:rPr>
      </w:pPr>
      <w:r w:rsidRPr="00BB67BD" w:rsidDel="00C63EE1">
        <w:rPr>
          <w:rFonts w:ascii="Times New Roman" w:hAnsi="Times New Roman" w:cs="Times New Roman"/>
        </w:rPr>
        <w:t xml:space="preserve"> </w:t>
      </w:r>
      <w:r w:rsidR="00EB42A6">
        <w:rPr>
          <w:rFonts w:ascii="Times New Roman" w:hAnsi="Times New Roman" w:cs="Times New Roman"/>
        </w:rPr>
        <w:t>[2</w:t>
      </w:r>
      <w:r w:rsidR="00BF19F4">
        <w:rPr>
          <w:rFonts w:ascii="Times New Roman" w:hAnsi="Times New Roman" w:cs="Times New Roman"/>
        </w:rPr>
        <w:t>]</w:t>
      </w:r>
      <w:r w:rsidR="00EB42A6">
        <w:rPr>
          <w:rFonts w:ascii="Times New Roman" w:hAnsi="Times New Roman" w:cs="Times New Roman"/>
        </w:rPr>
        <w:tab/>
      </w:r>
      <w:r w:rsidR="00E744B9">
        <w:rPr>
          <w:rFonts w:ascii="Times New Roman" w:hAnsi="Times New Roman" w:cs="Times New Roman"/>
        </w:rPr>
        <w:t xml:space="preserve">Zhang, J. and Scherer, W., (2001) </w:t>
      </w:r>
      <w:r w:rsidR="00B81B02">
        <w:rPr>
          <w:rFonts w:ascii="Times New Roman" w:hAnsi="Times New Roman" w:cs="Times New Roman"/>
        </w:rPr>
        <w:t xml:space="preserve">Comparison of methods for arresting hydration of </w:t>
      </w:r>
    </w:p>
    <w:p w14:paraId="23F4E1E8" w14:textId="0728AE73" w:rsidR="00EB42A6" w:rsidRPr="00BB67BD" w:rsidRDefault="00B81B02" w:rsidP="00751C5B">
      <w:pPr>
        <w:spacing w:line="360" w:lineRule="auto"/>
        <w:jc w:val="both"/>
        <w:rPr>
          <w:rFonts w:ascii="Times New Roman" w:hAnsi="Times New Roman" w:cs="Times New Roman"/>
        </w:rPr>
      </w:pPr>
      <w:r>
        <w:rPr>
          <w:rFonts w:ascii="Times New Roman" w:hAnsi="Times New Roman" w:cs="Times New Roman"/>
        </w:rPr>
        <w:tab/>
      </w:r>
      <w:proofErr w:type="gramStart"/>
      <w:r>
        <w:rPr>
          <w:rFonts w:ascii="Times New Roman" w:hAnsi="Times New Roman" w:cs="Times New Roman"/>
        </w:rPr>
        <w:t>cement</w:t>
      </w:r>
      <w:proofErr w:type="gramEnd"/>
      <w:r>
        <w:rPr>
          <w:rFonts w:ascii="Times New Roman" w:hAnsi="Times New Roman" w:cs="Times New Roman"/>
        </w:rPr>
        <w:t xml:space="preserve">, </w:t>
      </w:r>
      <w:r>
        <w:rPr>
          <w:rFonts w:ascii="Times New Roman" w:hAnsi="Times New Roman" w:cs="Times New Roman"/>
          <w:i/>
        </w:rPr>
        <w:t xml:space="preserve">Cement and Concrete Research, </w:t>
      </w:r>
      <w:r>
        <w:rPr>
          <w:rFonts w:ascii="Times New Roman" w:hAnsi="Times New Roman" w:cs="Times New Roman"/>
          <w:b/>
        </w:rPr>
        <w:t xml:space="preserve">41, </w:t>
      </w:r>
      <w:r w:rsidR="00234150">
        <w:rPr>
          <w:rFonts w:ascii="Times New Roman" w:hAnsi="Times New Roman" w:cs="Times New Roman"/>
        </w:rPr>
        <w:t>1024-1036</w:t>
      </w:r>
    </w:p>
    <w:p w14:paraId="24AE046F" w14:textId="77777777" w:rsidR="0072372E" w:rsidRPr="00BB67BD" w:rsidRDefault="0072372E" w:rsidP="0072372E">
      <w:pPr>
        <w:spacing w:before="120" w:after="240" w:line="300" w:lineRule="atLeast"/>
        <w:ind w:left="720" w:hanging="720"/>
        <w:jc w:val="both"/>
        <w:rPr>
          <w:rFonts w:ascii="Times New Roman" w:hAnsi="Times New Roman" w:cs="Times New Roman"/>
        </w:rPr>
      </w:pPr>
      <w:r w:rsidRPr="00BB67BD">
        <w:rPr>
          <w:rFonts w:ascii="Times New Roman" w:hAnsi="Times New Roman" w:cs="Times New Roman"/>
        </w:rPr>
        <w:t>[3]</w:t>
      </w:r>
      <w:r w:rsidRPr="00BB67BD">
        <w:rPr>
          <w:rFonts w:ascii="Times New Roman" w:hAnsi="Times New Roman" w:cs="Times New Roman"/>
        </w:rPr>
        <w:tab/>
        <w:t xml:space="preserve">Metprep Company website, </w:t>
      </w:r>
      <w:r w:rsidRPr="00BB67BD">
        <w:rPr>
          <w:rFonts w:ascii="Times New Roman" w:hAnsi="Times New Roman" w:cs="Times New Roman"/>
          <w:i/>
        </w:rPr>
        <w:t>product information</w:t>
      </w:r>
      <w:r w:rsidRPr="00BB67BD">
        <w:rPr>
          <w:rFonts w:ascii="Times New Roman" w:hAnsi="Times New Roman" w:cs="Times New Roman"/>
        </w:rPr>
        <w:t>. Retrieved from, (www.metprep.co.uk/consumables_mounting.php)</w:t>
      </w:r>
    </w:p>
    <w:p w14:paraId="42ECCA66" w14:textId="25DAAA07" w:rsidR="0072372E" w:rsidRPr="00BB67BD" w:rsidRDefault="0072372E" w:rsidP="0072372E">
      <w:pPr>
        <w:spacing w:before="120" w:after="240" w:line="300" w:lineRule="atLeast"/>
        <w:ind w:left="720" w:hanging="720"/>
        <w:jc w:val="both"/>
        <w:rPr>
          <w:rFonts w:ascii="Times New Roman" w:hAnsi="Times New Roman" w:cs="Times New Roman"/>
        </w:rPr>
      </w:pPr>
      <w:r w:rsidRPr="00BB67BD">
        <w:rPr>
          <w:rFonts w:ascii="Times New Roman" w:hAnsi="Times New Roman" w:cs="Times New Roman"/>
        </w:rPr>
        <w:t>[4]</w:t>
      </w:r>
      <w:r w:rsidRPr="00BB67BD">
        <w:rPr>
          <w:rFonts w:ascii="Times New Roman" w:hAnsi="Times New Roman" w:cs="Times New Roman"/>
        </w:rPr>
        <w:tab/>
        <w:t xml:space="preserve">Radwan, M.M. Heikal, M. (2005) Hydration characteristics of tricalcium aluminate phase in mixed containing β-hemihydrate and </w:t>
      </w:r>
      <w:r w:rsidR="00971672" w:rsidRPr="00BB67BD">
        <w:rPr>
          <w:rFonts w:ascii="Times New Roman" w:hAnsi="Times New Roman" w:cs="Times New Roman"/>
        </w:rPr>
        <w:t>phosphgypsym,</w:t>
      </w:r>
      <w:r w:rsidR="00971672">
        <w:rPr>
          <w:rFonts w:ascii="Times New Roman" w:hAnsi="Times New Roman" w:cs="Times New Roman"/>
        </w:rPr>
        <w:t xml:space="preserve"> </w:t>
      </w:r>
      <w:r w:rsidR="00971672">
        <w:rPr>
          <w:rFonts w:ascii="Times New Roman" w:hAnsi="Times New Roman" w:cs="Times New Roman"/>
          <w:i/>
        </w:rPr>
        <w:t>Cement</w:t>
      </w:r>
      <w:r w:rsidR="00922123">
        <w:rPr>
          <w:rFonts w:ascii="Times New Roman" w:hAnsi="Times New Roman" w:cs="Times New Roman"/>
          <w:i/>
        </w:rPr>
        <w:t xml:space="preserve"> and Concrete Research</w:t>
      </w:r>
      <w:r w:rsidRPr="00BB67BD">
        <w:rPr>
          <w:rFonts w:ascii="Times New Roman" w:hAnsi="Times New Roman" w:cs="Times New Roman"/>
          <w:i/>
        </w:rPr>
        <w:t xml:space="preserve">. </w:t>
      </w:r>
      <w:proofErr w:type="gramStart"/>
      <w:r w:rsidRPr="00BB67BD">
        <w:rPr>
          <w:rFonts w:ascii="Times New Roman" w:hAnsi="Times New Roman" w:cs="Times New Roman"/>
          <w:b/>
        </w:rPr>
        <w:t>35,</w:t>
      </w:r>
      <w:r w:rsidRPr="00BB67BD">
        <w:rPr>
          <w:rFonts w:ascii="Times New Roman" w:hAnsi="Times New Roman" w:cs="Times New Roman"/>
        </w:rPr>
        <w:t xml:space="preserve"> 1601-1608.</w:t>
      </w:r>
      <w:proofErr w:type="gramEnd"/>
      <w:r w:rsidR="005E1754">
        <w:rPr>
          <w:rFonts w:ascii="Times New Roman" w:hAnsi="Times New Roman" w:cs="Times New Roman"/>
        </w:rPr>
        <w:t xml:space="preserve"> </w:t>
      </w:r>
    </w:p>
    <w:p w14:paraId="111D8E1D" w14:textId="77777777" w:rsidR="0072372E" w:rsidRPr="00BB67BD" w:rsidRDefault="0072372E" w:rsidP="0072372E">
      <w:pPr>
        <w:spacing w:before="120" w:after="240"/>
        <w:ind w:left="720" w:hanging="720"/>
        <w:jc w:val="both"/>
        <w:rPr>
          <w:rFonts w:ascii="Times New Roman" w:hAnsi="Times New Roman" w:cs="Times New Roman"/>
        </w:rPr>
      </w:pPr>
      <w:r w:rsidRPr="00BB67BD">
        <w:rPr>
          <w:rFonts w:ascii="Times New Roman" w:hAnsi="Times New Roman" w:cs="Times New Roman"/>
        </w:rPr>
        <w:t>[5]</w:t>
      </w:r>
      <w:r w:rsidRPr="00BB67BD">
        <w:rPr>
          <w:rFonts w:ascii="Times New Roman" w:hAnsi="Times New Roman" w:cs="Times New Roman"/>
        </w:rPr>
        <w:tab/>
      </w:r>
      <w:r w:rsidRPr="00BB67BD">
        <w:rPr>
          <w:rFonts w:ascii="Times New Roman" w:hAnsi="Times New Roman" w:cs="Times New Roman"/>
          <w:color w:val="141413"/>
        </w:rPr>
        <w:t xml:space="preserve">Matschei, T., Lothenbach, B. and Glasser, F.P. (2007) The AFm phase in Portland cement, </w:t>
      </w:r>
      <w:r w:rsidRPr="00BB67BD">
        <w:rPr>
          <w:rFonts w:ascii="Times New Roman" w:hAnsi="Times New Roman" w:cs="Times New Roman"/>
          <w:i/>
          <w:color w:val="141413"/>
        </w:rPr>
        <w:t>Cement and Concrete Research.</w:t>
      </w:r>
      <w:r w:rsidRPr="00BB67BD">
        <w:rPr>
          <w:rFonts w:ascii="Times New Roman" w:hAnsi="Times New Roman" w:cs="Times New Roman"/>
          <w:color w:val="141413"/>
        </w:rPr>
        <w:t xml:space="preserve"> </w:t>
      </w:r>
      <w:proofErr w:type="gramStart"/>
      <w:r w:rsidRPr="00BB67BD">
        <w:rPr>
          <w:rFonts w:ascii="Times New Roman" w:hAnsi="Times New Roman" w:cs="Times New Roman"/>
          <w:b/>
          <w:color w:val="141413"/>
        </w:rPr>
        <w:t>37,</w:t>
      </w:r>
      <w:r w:rsidRPr="00BB67BD">
        <w:rPr>
          <w:rFonts w:ascii="Times New Roman" w:hAnsi="Times New Roman" w:cs="Times New Roman"/>
          <w:color w:val="141413"/>
        </w:rPr>
        <w:t xml:space="preserve"> 118-130.</w:t>
      </w:r>
      <w:proofErr w:type="gramEnd"/>
      <w:r w:rsidRPr="00BB67BD">
        <w:rPr>
          <w:rFonts w:ascii="Times New Roman" w:hAnsi="Times New Roman" w:cs="Times New Roman"/>
          <w:color w:val="141413"/>
        </w:rPr>
        <w:t xml:space="preserve"> </w:t>
      </w:r>
    </w:p>
    <w:p w14:paraId="35E1A6F5" w14:textId="77777777" w:rsidR="0072372E" w:rsidRPr="00BB67BD" w:rsidRDefault="0072372E" w:rsidP="0072372E">
      <w:pPr>
        <w:spacing w:before="120" w:after="240"/>
        <w:ind w:left="720" w:hanging="720"/>
        <w:jc w:val="both"/>
        <w:rPr>
          <w:rFonts w:ascii="Times New Roman" w:hAnsi="Times New Roman" w:cs="Times New Roman"/>
          <w:color w:val="141413"/>
        </w:rPr>
      </w:pPr>
      <w:r w:rsidRPr="00BB67BD">
        <w:rPr>
          <w:rFonts w:ascii="Times New Roman" w:hAnsi="Times New Roman" w:cs="Times New Roman"/>
        </w:rPr>
        <w:t>[6]</w:t>
      </w:r>
      <w:r w:rsidRPr="00BB67BD">
        <w:rPr>
          <w:rFonts w:ascii="Times New Roman" w:hAnsi="Times New Roman" w:cs="Times New Roman"/>
        </w:rPr>
        <w:tab/>
      </w:r>
      <w:r w:rsidRPr="00BB67BD">
        <w:rPr>
          <w:rFonts w:ascii="Times New Roman" w:hAnsi="Times New Roman" w:cs="Times New Roman"/>
          <w:color w:val="141413"/>
        </w:rPr>
        <w:t xml:space="preserve">Gaki, A., Chrysafi, R., Perraki, T.H., and Kakali, G. Synthesis of calcium aluminates through the polymeric precursor route, </w:t>
      </w:r>
      <w:r w:rsidRPr="00BB67BD">
        <w:rPr>
          <w:rFonts w:ascii="Times New Roman" w:hAnsi="Times New Roman" w:cs="Times New Roman"/>
          <w:i/>
          <w:color w:val="141413"/>
        </w:rPr>
        <w:t xml:space="preserve">Scientific Paper. </w:t>
      </w:r>
      <w:r w:rsidRPr="00BB67BD">
        <w:rPr>
          <w:rFonts w:ascii="Times New Roman" w:hAnsi="Times New Roman" w:cs="Times New Roman"/>
          <w:color w:val="141413"/>
        </w:rPr>
        <w:t xml:space="preserve">National Technical University of Athens, School of Chemical Engineering, Athens. </w:t>
      </w:r>
    </w:p>
    <w:p w14:paraId="2CCED63A" w14:textId="79645879" w:rsidR="0072372E" w:rsidRPr="00BB67BD" w:rsidRDefault="0072372E" w:rsidP="0072372E">
      <w:pPr>
        <w:spacing w:before="120" w:after="240"/>
        <w:ind w:left="720" w:hanging="720"/>
        <w:jc w:val="both"/>
        <w:rPr>
          <w:rFonts w:ascii="Times New Roman" w:hAnsi="Times New Roman" w:cs="Times New Roman"/>
          <w:b/>
          <w:color w:val="141413"/>
        </w:rPr>
      </w:pPr>
      <w:r w:rsidRPr="00BB67BD">
        <w:rPr>
          <w:rFonts w:ascii="Times New Roman" w:hAnsi="Times New Roman" w:cs="Times New Roman"/>
          <w:color w:val="141413"/>
        </w:rPr>
        <w:t>[7]</w:t>
      </w:r>
      <w:r w:rsidRPr="00BB67BD">
        <w:rPr>
          <w:rFonts w:ascii="Times New Roman" w:hAnsi="Times New Roman" w:cs="Times New Roman"/>
          <w:color w:val="141413"/>
        </w:rPr>
        <w:tab/>
        <w:t>P.T.F. Williamson, M. Ernst, B.H. Meier</w:t>
      </w:r>
      <w:r w:rsidRPr="00751C5B">
        <w:rPr>
          <w:rFonts w:ascii="Times New Roman" w:hAnsi="Times New Roman" w:cs="Times New Roman"/>
          <w:i/>
          <w:color w:val="141413"/>
        </w:rPr>
        <w:t>: MAS Solid-State NMR of Isotropically Enriched Biological Samples</w:t>
      </w:r>
      <w:r w:rsidR="006D3EE2">
        <w:rPr>
          <w:rFonts w:ascii="Times New Roman" w:hAnsi="Times New Roman" w:cs="Times New Roman"/>
          <w:color w:val="141413"/>
        </w:rPr>
        <w:t>,</w:t>
      </w:r>
      <w:r w:rsidRPr="00BB67BD">
        <w:rPr>
          <w:rFonts w:ascii="Times New Roman" w:hAnsi="Times New Roman" w:cs="Times New Roman"/>
          <w:color w:val="141413"/>
        </w:rPr>
        <w:t xml:space="preserve"> Bio</w:t>
      </w:r>
      <w:r w:rsidR="006D3EE2">
        <w:rPr>
          <w:rFonts w:ascii="Times New Roman" w:hAnsi="Times New Roman" w:cs="Times New Roman"/>
          <w:color w:val="141413"/>
        </w:rPr>
        <w:t xml:space="preserve"> </w:t>
      </w:r>
      <w:r w:rsidRPr="00BB67BD">
        <w:rPr>
          <w:rFonts w:ascii="Times New Roman" w:hAnsi="Times New Roman" w:cs="Times New Roman"/>
          <w:color w:val="141413"/>
        </w:rPr>
        <w:t>NMR in Drug Research, Ed. O. Zerbe, Wiley 2003</w:t>
      </w:r>
      <w:r w:rsidR="006D3EE2">
        <w:rPr>
          <w:rFonts w:ascii="Times New Roman" w:hAnsi="Times New Roman" w:cs="Times New Roman"/>
          <w:color w:val="141413"/>
        </w:rPr>
        <w:t xml:space="preserve">, </w:t>
      </w:r>
      <w:r w:rsidR="006D3EE2">
        <w:rPr>
          <w:rFonts w:ascii="Times New Roman" w:hAnsi="Times New Roman" w:cs="Times New Roman"/>
          <w:b/>
          <w:color w:val="141413"/>
        </w:rPr>
        <w:t xml:space="preserve">16, </w:t>
      </w:r>
      <w:r w:rsidR="006D3EE2">
        <w:rPr>
          <w:rFonts w:ascii="Times New Roman" w:hAnsi="Times New Roman" w:cs="Times New Roman"/>
          <w:color w:val="141413"/>
        </w:rPr>
        <w:t>243-282</w:t>
      </w:r>
      <w:r w:rsidR="00F763EF">
        <w:rPr>
          <w:rFonts w:ascii="Times New Roman" w:hAnsi="Times New Roman" w:cs="Times New Roman"/>
          <w:color w:val="141413"/>
        </w:rPr>
        <w:t>.</w:t>
      </w:r>
    </w:p>
    <w:p w14:paraId="15FD4504" w14:textId="2251BB82" w:rsidR="0072372E" w:rsidRPr="00BB67BD" w:rsidRDefault="0072372E" w:rsidP="0072372E">
      <w:pPr>
        <w:spacing w:before="120" w:after="240"/>
        <w:ind w:left="720" w:hanging="720"/>
        <w:jc w:val="both"/>
        <w:rPr>
          <w:rFonts w:ascii="Times New Roman" w:hAnsi="Times New Roman" w:cs="Times New Roman"/>
        </w:rPr>
      </w:pPr>
      <w:r w:rsidRPr="00BB67BD">
        <w:rPr>
          <w:rFonts w:ascii="Times New Roman" w:hAnsi="Times New Roman" w:cs="Times New Roman"/>
          <w:color w:val="141413"/>
        </w:rPr>
        <w:t>[8]</w:t>
      </w:r>
      <w:r w:rsidRPr="00BB67BD">
        <w:rPr>
          <w:rFonts w:ascii="Times New Roman" w:hAnsi="Times New Roman" w:cs="Times New Roman"/>
          <w:color w:val="141413"/>
        </w:rPr>
        <w:tab/>
      </w:r>
      <w:r w:rsidRPr="00BB67BD">
        <w:rPr>
          <w:rFonts w:ascii="Times New Roman" w:hAnsi="Times New Roman" w:cs="Times New Roman"/>
        </w:rPr>
        <w:t xml:space="preserve">Montaser, A. (1998) An Introduction to ICP Spectrometries for Elemental </w:t>
      </w:r>
      <w:r w:rsidR="00971672" w:rsidRPr="00BB67BD">
        <w:rPr>
          <w:rFonts w:ascii="Times New Roman" w:hAnsi="Times New Roman" w:cs="Times New Roman"/>
        </w:rPr>
        <w:t>Analysis</w:t>
      </w:r>
      <w:r w:rsidRPr="00BB67BD">
        <w:rPr>
          <w:rFonts w:ascii="Times New Roman" w:hAnsi="Times New Roman" w:cs="Times New Roman"/>
        </w:rPr>
        <w:t xml:space="preserve">. </w:t>
      </w:r>
      <w:proofErr w:type="gramStart"/>
      <w:r w:rsidRPr="00BB67BD">
        <w:rPr>
          <w:rFonts w:ascii="Times New Roman" w:hAnsi="Times New Roman" w:cs="Times New Roman"/>
          <w:i/>
        </w:rPr>
        <w:t xml:space="preserve">Inductively Coupled Plasma Mass </w:t>
      </w:r>
      <w:r w:rsidR="00971672" w:rsidRPr="00BB67BD">
        <w:rPr>
          <w:rFonts w:ascii="Times New Roman" w:hAnsi="Times New Roman" w:cs="Times New Roman"/>
          <w:i/>
        </w:rPr>
        <w:t>Spectrometry</w:t>
      </w:r>
      <w:r w:rsidRPr="00BB67BD">
        <w:rPr>
          <w:rFonts w:ascii="Times New Roman" w:hAnsi="Times New Roman" w:cs="Times New Roman"/>
          <w:i/>
        </w:rPr>
        <w:t>.</w:t>
      </w:r>
      <w:proofErr w:type="gramEnd"/>
      <w:r w:rsidRPr="00BB67BD">
        <w:rPr>
          <w:rFonts w:ascii="Times New Roman" w:hAnsi="Times New Roman" w:cs="Times New Roman"/>
          <w:i/>
        </w:rPr>
        <w:t xml:space="preserve"> </w:t>
      </w:r>
      <w:r w:rsidRPr="00BB67BD">
        <w:rPr>
          <w:rFonts w:ascii="Times New Roman" w:hAnsi="Times New Roman" w:cs="Times New Roman"/>
        </w:rPr>
        <w:t xml:space="preserve">Canada, Wiley. 2-16. </w:t>
      </w:r>
    </w:p>
    <w:p w14:paraId="304D6B0B" w14:textId="77777777" w:rsidR="0072372E" w:rsidRPr="00BB67BD" w:rsidRDefault="0072372E" w:rsidP="0072372E">
      <w:pPr>
        <w:rPr>
          <w:rFonts w:ascii="Times" w:hAnsi="Times" w:cs="Times"/>
        </w:rPr>
      </w:pPr>
      <w:r w:rsidRPr="00BB67BD">
        <w:rPr>
          <w:rFonts w:ascii="Times New Roman" w:hAnsi="Times New Roman" w:cs="Times New Roman"/>
        </w:rPr>
        <w:t>[9]</w:t>
      </w:r>
      <w:r w:rsidRPr="00BB67BD">
        <w:rPr>
          <w:rFonts w:ascii="Times New Roman" w:hAnsi="Times New Roman" w:cs="Times New Roman"/>
        </w:rPr>
        <w:tab/>
      </w:r>
      <w:r w:rsidRPr="00BB67BD">
        <w:rPr>
          <w:rFonts w:ascii="Times" w:hAnsi="Times" w:cs="Times"/>
        </w:rPr>
        <w:t xml:space="preserve">Hayes, M., Angus, M., Garland, R., (2012) Current status paper on the potential use </w:t>
      </w:r>
      <w:r w:rsidRPr="00BB67BD">
        <w:rPr>
          <w:rFonts w:ascii="Times" w:hAnsi="Times" w:cs="Times"/>
        </w:rPr>
        <w:tab/>
        <w:t xml:space="preserve">of Superplasticisers in a Geological Disposal Facility, </w:t>
      </w:r>
      <w:r w:rsidRPr="00BB67BD">
        <w:rPr>
          <w:rFonts w:ascii="Times" w:hAnsi="Times" w:cs="Times"/>
          <w:i/>
        </w:rPr>
        <w:t>NNL</w:t>
      </w:r>
      <w:r w:rsidRPr="00BB67BD">
        <w:rPr>
          <w:rFonts w:ascii="Times" w:hAnsi="Times" w:cs="Times"/>
        </w:rPr>
        <w:t xml:space="preserve">, </w:t>
      </w:r>
      <w:r w:rsidRPr="00BB67BD">
        <w:rPr>
          <w:rFonts w:ascii="Times" w:hAnsi="Times" w:cs="Times"/>
          <w:b/>
        </w:rPr>
        <w:t>12</w:t>
      </w:r>
      <w:r w:rsidRPr="00BB67BD">
        <w:rPr>
          <w:rFonts w:ascii="Times" w:hAnsi="Times" w:cs="Times"/>
        </w:rPr>
        <w:t>, 11905 Issue 4.</w:t>
      </w:r>
    </w:p>
    <w:p w14:paraId="25104E81" w14:textId="77777777" w:rsidR="0072372E" w:rsidRPr="00BB67BD" w:rsidRDefault="0072372E" w:rsidP="0072372E">
      <w:pPr>
        <w:rPr>
          <w:rFonts w:ascii="OpenSansRegular" w:eastAsia="Times New Roman" w:hAnsi="OpenSansRegular" w:cs="Times New Roman"/>
          <w:color w:val="2D2C2C"/>
          <w:shd w:val="clear" w:color="auto" w:fill="FFFFFF"/>
          <w:lang w:val="en-GB"/>
        </w:rPr>
      </w:pPr>
      <w:r w:rsidRPr="00BB67BD">
        <w:rPr>
          <w:rFonts w:ascii="OpenSansRegular" w:eastAsia="Times New Roman" w:hAnsi="OpenSansRegular" w:cs="Times New Roman"/>
          <w:color w:val="2D2C2C"/>
          <w:shd w:val="clear" w:color="auto" w:fill="FFFFFF"/>
          <w:lang w:val="en-GB"/>
        </w:rPr>
        <w:tab/>
      </w:r>
    </w:p>
    <w:p w14:paraId="6BE3A3CA" w14:textId="7D182170" w:rsidR="005E1754" w:rsidRPr="00BB67BD" w:rsidRDefault="0072372E" w:rsidP="0072372E">
      <w:pPr>
        <w:spacing w:before="120" w:after="240"/>
        <w:ind w:left="720" w:hanging="720"/>
        <w:jc w:val="both"/>
        <w:rPr>
          <w:rFonts w:ascii="Times New Roman" w:hAnsi="Times New Roman" w:cs="Times New Roman"/>
          <w:color w:val="141413"/>
        </w:rPr>
      </w:pPr>
      <w:r w:rsidRPr="00BB67BD">
        <w:rPr>
          <w:rFonts w:ascii="Times New Roman" w:hAnsi="Times New Roman" w:cs="Times New Roman"/>
        </w:rPr>
        <w:t>[</w:t>
      </w:r>
      <w:r w:rsidR="004E2DD8">
        <w:rPr>
          <w:rFonts w:ascii="Times New Roman" w:hAnsi="Times New Roman" w:cs="Times New Roman"/>
        </w:rPr>
        <w:t>11</w:t>
      </w:r>
      <w:r w:rsidRPr="00BB67BD">
        <w:rPr>
          <w:rFonts w:ascii="Times New Roman" w:hAnsi="Times New Roman" w:cs="Times New Roman"/>
        </w:rPr>
        <w:t>]</w:t>
      </w:r>
      <w:r w:rsidRPr="00BB67BD">
        <w:rPr>
          <w:rFonts w:ascii="Times New Roman" w:hAnsi="Times New Roman" w:cs="Times New Roman"/>
        </w:rPr>
        <w:tab/>
      </w:r>
      <w:r w:rsidRPr="00BB67BD">
        <w:rPr>
          <w:rFonts w:ascii="OpenSansRegular" w:eastAsia="Times New Roman" w:hAnsi="OpenSansRegular" w:cs="Times New Roman"/>
          <w:color w:val="2D2C2C"/>
          <w:shd w:val="clear" w:color="auto" w:fill="FFFFFF"/>
          <w:lang w:val="en-GB"/>
        </w:rPr>
        <w:t xml:space="preserve">Butcher, E.J., Borwick, J., Collier, N., Williams, S.J., (2012) Long term leachate evolution during flow-through leaching of a vault backfill, </w:t>
      </w:r>
      <w:r w:rsidRPr="00BB67BD">
        <w:rPr>
          <w:rFonts w:ascii="OpenSansRegular" w:eastAsia="Times New Roman" w:hAnsi="OpenSansRegular" w:cs="Times New Roman"/>
          <w:i/>
          <w:color w:val="2D2C2C"/>
          <w:shd w:val="clear" w:color="auto" w:fill="FFFFFF"/>
          <w:lang w:val="en-GB"/>
        </w:rPr>
        <w:t xml:space="preserve">Mineralogical </w:t>
      </w:r>
      <w:r w:rsidR="00C74EE1">
        <w:rPr>
          <w:rFonts w:ascii="OpenSansRegular" w:eastAsia="Times New Roman" w:hAnsi="OpenSansRegular" w:cs="Times New Roman"/>
          <w:i/>
          <w:color w:val="2D2C2C"/>
          <w:shd w:val="clear" w:color="auto" w:fill="FFFFFF"/>
          <w:lang w:val="en-GB"/>
        </w:rPr>
        <w:t xml:space="preserve">Magazine </w:t>
      </w:r>
      <w:r w:rsidRPr="00BB67BD">
        <w:rPr>
          <w:rFonts w:ascii="OpenSansRegular" w:eastAsia="Times New Roman" w:hAnsi="OpenSansRegular" w:cs="Times New Roman"/>
          <w:i/>
          <w:color w:val="2D2C2C"/>
          <w:shd w:val="clear" w:color="auto" w:fill="FFFFFF"/>
          <w:lang w:val="en-GB"/>
        </w:rPr>
        <w:t>society</w:t>
      </w:r>
      <w:r w:rsidR="00C74EE1">
        <w:rPr>
          <w:rFonts w:ascii="OpenSansRegular" w:eastAsia="Times New Roman" w:hAnsi="OpenSansRegular" w:cs="Times New Roman"/>
          <w:i/>
          <w:color w:val="2D2C2C"/>
          <w:shd w:val="clear" w:color="auto" w:fill="FFFFFF"/>
          <w:lang w:val="en-GB"/>
        </w:rPr>
        <w:t xml:space="preserve">, </w:t>
      </w:r>
      <w:r w:rsidR="00C74EE1">
        <w:rPr>
          <w:rFonts w:ascii="OpenSansRegular" w:eastAsia="Times New Roman" w:hAnsi="OpenSansRegular" w:cs="Times New Roman"/>
          <w:b/>
          <w:color w:val="2D2C2C"/>
          <w:shd w:val="clear" w:color="auto" w:fill="FFFFFF"/>
          <w:lang w:val="en-GB"/>
        </w:rPr>
        <w:t xml:space="preserve">76, </w:t>
      </w:r>
      <w:r w:rsidR="00C74EE1">
        <w:rPr>
          <w:rFonts w:ascii="OpenSansRegular" w:eastAsia="Times New Roman" w:hAnsi="OpenSansRegular" w:cs="Times New Roman"/>
          <w:color w:val="2D2C2C"/>
          <w:shd w:val="clear" w:color="auto" w:fill="FFFFFF"/>
          <w:lang w:val="en-GB"/>
        </w:rPr>
        <w:t>3023-3031.</w:t>
      </w:r>
    </w:p>
    <w:p w14:paraId="3CFBF9A7" w14:textId="77777777" w:rsidR="0072372E" w:rsidRDefault="0072372E" w:rsidP="00751C5B">
      <w:pPr>
        <w:spacing w:before="120" w:after="240"/>
        <w:ind w:left="720" w:hanging="720"/>
        <w:jc w:val="both"/>
        <w:rPr>
          <w:rFonts w:ascii="Times New Roman" w:hAnsi="Times New Roman" w:cs="Times New Roman"/>
          <w:sz w:val="36"/>
          <w:szCs w:val="36"/>
        </w:rPr>
      </w:pPr>
    </w:p>
    <w:p w14:paraId="1BBFE1D4" w14:textId="77777777" w:rsidR="00846079" w:rsidRDefault="00846079" w:rsidP="00751C5B">
      <w:pPr>
        <w:spacing w:before="240" w:after="120" w:line="360" w:lineRule="auto"/>
        <w:ind w:left="720" w:hanging="720"/>
        <w:jc w:val="center"/>
        <w:outlineLvl w:val="0"/>
        <w:rPr>
          <w:rFonts w:ascii="Times New Roman" w:hAnsi="Times New Roman" w:cs="Times New Roman"/>
          <w:sz w:val="36"/>
          <w:szCs w:val="36"/>
        </w:rPr>
      </w:pPr>
    </w:p>
    <w:p w14:paraId="2CA6F2DD" w14:textId="77777777" w:rsidR="00846079" w:rsidRDefault="00846079" w:rsidP="00751C5B">
      <w:pPr>
        <w:spacing w:before="240" w:after="120" w:line="360" w:lineRule="auto"/>
        <w:ind w:left="720" w:hanging="720"/>
        <w:jc w:val="center"/>
        <w:outlineLvl w:val="0"/>
        <w:rPr>
          <w:rFonts w:ascii="Times New Roman" w:hAnsi="Times New Roman" w:cs="Times New Roman"/>
          <w:sz w:val="36"/>
          <w:szCs w:val="36"/>
        </w:rPr>
      </w:pPr>
    </w:p>
    <w:p w14:paraId="49821ED7" w14:textId="77777777" w:rsidR="00777A0A" w:rsidRPr="009D4D4A" w:rsidRDefault="00777A0A" w:rsidP="00777A0A">
      <w:pPr>
        <w:pBdr>
          <w:bottom w:val="single" w:sz="4" w:space="1" w:color="auto"/>
        </w:pBdr>
        <w:spacing w:before="240" w:after="120" w:line="360" w:lineRule="auto"/>
        <w:ind w:left="720" w:hanging="720"/>
        <w:jc w:val="center"/>
        <w:outlineLvl w:val="0"/>
        <w:rPr>
          <w:rFonts w:ascii="Times New Roman" w:hAnsi="Times New Roman" w:cs="Times New Roman"/>
          <w:smallCaps/>
          <w:spacing w:val="-20"/>
          <w:sz w:val="48"/>
          <w:szCs w:val="48"/>
        </w:rPr>
      </w:pPr>
      <w:r w:rsidRPr="009D4D4A">
        <w:rPr>
          <w:rFonts w:ascii="Times New Roman" w:hAnsi="Times New Roman" w:cs="Times New Roman"/>
          <w:sz w:val="36"/>
          <w:szCs w:val="36"/>
        </w:rPr>
        <w:lastRenderedPageBreak/>
        <w:t>Chapter 4:</w:t>
      </w:r>
      <w:r w:rsidRPr="009D4D4A">
        <w:rPr>
          <w:rFonts w:ascii="Times New Roman" w:hAnsi="Times New Roman" w:cs="Times New Roman"/>
          <w:smallCaps/>
          <w:sz w:val="32"/>
          <w:szCs w:val="56"/>
        </w:rPr>
        <w:t xml:space="preserve">  </w:t>
      </w:r>
      <w:r w:rsidRPr="009D4D4A">
        <w:rPr>
          <w:rFonts w:ascii="Times New Roman" w:hAnsi="Times New Roman" w:cs="Times New Roman"/>
          <w:smallCaps/>
          <w:spacing w:val="-20"/>
          <w:sz w:val="48"/>
          <w:szCs w:val="48"/>
        </w:rPr>
        <w:t>Results &amp; Discussion</w:t>
      </w:r>
    </w:p>
    <w:p w14:paraId="1FE5E7B1" w14:textId="77777777" w:rsidR="00777A0A" w:rsidRPr="009D4D4A" w:rsidRDefault="00777A0A" w:rsidP="00777A0A">
      <w:pPr>
        <w:spacing w:before="240" w:after="120" w:line="360" w:lineRule="auto"/>
        <w:jc w:val="both"/>
        <w:outlineLvl w:val="0"/>
        <w:rPr>
          <w:rFonts w:ascii="Times New Roman" w:hAnsi="Times New Roman" w:cs="Times New Roman"/>
          <w:b/>
          <w:bCs/>
          <w:smallCaps/>
          <w:sz w:val="32"/>
          <w:szCs w:val="32"/>
        </w:rPr>
      </w:pPr>
      <w:r w:rsidRPr="009D4D4A">
        <w:rPr>
          <w:rFonts w:ascii="Times New Roman" w:hAnsi="Times New Roman" w:cs="Times New Roman"/>
          <w:b/>
          <w:bCs/>
          <w:smallCaps/>
          <w:sz w:val="32"/>
          <w:szCs w:val="32"/>
        </w:rPr>
        <w:t xml:space="preserve"> Introduction</w:t>
      </w:r>
    </w:p>
    <w:p w14:paraId="51F623A7" w14:textId="2C3DF053" w:rsidR="00777A0A" w:rsidRPr="009D4D4A" w:rsidRDefault="00777A0A" w:rsidP="00777A0A">
      <w:pPr>
        <w:spacing w:before="240" w:after="120" w:line="360" w:lineRule="auto"/>
        <w:jc w:val="both"/>
        <w:outlineLvl w:val="0"/>
        <w:rPr>
          <w:rFonts w:ascii="Times New Roman" w:hAnsi="Times New Roman" w:cs="Times New Roman"/>
          <w:b/>
          <w:bCs/>
          <w:u w:val="single"/>
        </w:rPr>
      </w:pPr>
      <w:r w:rsidRPr="009D4D4A">
        <w:rPr>
          <w:rFonts w:ascii="Times New Roman" w:hAnsi="Times New Roman" w:cs="Times New Roman"/>
        </w:rPr>
        <w:t xml:space="preserve">In this chapter the analysis results are presented and discussed in four sections. Section </w:t>
      </w:r>
      <w:r w:rsidR="002342CF">
        <w:rPr>
          <w:rFonts w:ascii="Times New Roman" w:hAnsi="Times New Roman" w:cs="Times New Roman"/>
        </w:rPr>
        <w:t>4.</w:t>
      </w:r>
      <w:r w:rsidRPr="009D4D4A">
        <w:rPr>
          <w:rFonts w:ascii="Times New Roman" w:hAnsi="Times New Roman" w:cs="Times New Roman"/>
        </w:rPr>
        <w:t xml:space="preserve">1 </w:t>
      </w:r>
      <w:r w:rsidR="00E501C6">
        <w:rPr>
          <w:rFonts w:ascii="Times New Roman" w:hAnsi="Times New Roman" w:cs="Times New Roman"/>
        </w:rPr>
        <w:t>details</w:t>
      </w:r>
      <w:r w:rsidRPr="009D4D4A">
        <w:rPr>
          <w:rFonts w:ascii="Times New Roman" w:hAnsi="Times New Roman" w:cs="Times New Roman"/>
        </w:rPr>
        <w:t xml:space="preserve"> the initial characterisation results of cement samples, and the effect of introducing the waste simulants</w:t>
      </w:r>
      <w:r w:rsidR="002342CF">
        <w:rPr>
          <w:rFonts w:ascii="Times New Roman" w:hAnsi="Times New Roman" w:cs="Times New Roman"/>
        </w:rPr>
        <w:t xml:space="preserve"> on the cement phases</w:t>
      </w:r>
      <w:r w:rsidRPr="009D4D4A">
        <w:rPr>
          <w:rFonts w:ascii="Times New Roman" w:hAnsi="Times New Roman" w:cs="Times New Roman"/>
        </w:rPr>
        <w:t xml:space="preserve"> is discussed. The second section</w:t>
      </w:r>
      <w:r w:rsidR="002342CF">
        <w:rPr>
          <w:rFonts w:ascii="Times New Roman" w:hAnsi="Times New Roman" w:cs="Times New Roman"/>
        </w:rPr>
        <w:t>, 4.2</w:t>
      </w:r>
      <w:proofErr w:type="gramStart"/>
      <w:r w:rsidR="002342CF">
        <w:rPr>
          <w:rFonts w:ascii="Times New Roman" w:hAnsi="Times New Roman" w:cs="Times New Roman"/>
        </w:rPr>
        <w:t xml:space="preserve">, </w:t>
      </w:r>
      <w:r w:rsidRPr="009D4D4A">
        <w:rPr>
          <w:rFonts w:ascii="Times New Roman" w:hAnsi="Times New Roman" w:cs="Times New Roman"/>
        </w:rPr>
        <w:t xml:space="preserve"> presents</w:t>
      </w:r>
      <w:proofErr w:type="gramEnd"/>
      <w:r w:rsidRPr="009D4D4A">
        <w:rPr>
          <w:rFonts w:ascii="Times New Roman" w:hAnsi="Times New Roman" w:cs="Times New Roman"/>
        </w:rPr>
        <w:t xml:space="preserve"> the results from the leaching experiments, wherein the different leaching methods are compared, and the impact of leaching on the cement phase assemblage and crystal structure is discussed. The synthesis results of the AFm phases in the system are given in section </w:t>
      </w:r>
      <w:r w:rsidR="002342CF">
        <w:rPr>
          <w:rFonts w:ascii="Times New Roman" w:hAnsi="Times New Roman" w:cs="Times New Roman"/>
        </w:rPr>
        <w:t>4.</w:t>
      </w:r>
      <w:r w:rsidRPr="009D4D4A">
        <w:rPr>
          <w:rFonts w:ascii="Times New Roman" w:hAnsi="Times New Roman" w:cs="Times New Roman"/>
        </w:rPr>
        <w:t>3 alongside an investigation into the incorporation of the strontium and caesium within the cement matrix. Finally the results on the Ce leach tests in presence of superplasticiser are discussed in section 4</w:t>
      </w:r>
      <w:r w:rsidR="002342CF">
        <w:rPr>
          <w:rFonts w:ascii="Times New Roman" w:hAnsi="Times New Roman" w:cs="Times New Roman"/>
        </w:rPr>
        <w:t>.4</w:t>
      </w:r>
      <w:r w:rsidRPr="009D4D4A">
        <w:rPr>
          <w:rFonts w:ascii="Times New Roman" w:hAnsi="Times New Roman" w:cs="Times New Roman"/>
        </w:rPr>
        <w:t>, as well as the credibility of NRVB</w:t>
      </w:r>
      <w:r w:rsidR="008F7F6F">
        <w:rPr>
          <w:rFonts w:ascii="Times New Roman" w:hAnsi="Times New Roman" w:cs="Times New Roman"/>
        </w:rPr>
        <w:t xml:space="preserve"> as barrier between the leached solution and the storage container</w:t>
      </w:r>
      <w:r w:rsidR="002342CF">
        <w:rPr>
          <w:rFonts w:ascii="Times New Roman" w:hAnsi="Times New Roman" w:cs="Times New Roman"/>
        </w:rPr>
        <w:t>.</w:t>
      </w:r>
    </w:p>
    <w:p w14:paraId="6AC299E7" w14:textId="77777777" w:rsidR="00777A0A" w:rsidRPr="009D4D4A" w:rsidRDefault="00777A0A" w:rsidP="00777A0A">
      <w:pPr>
        <w:spacing w:before="240" w:after="120" w:line="360" w:lineRule="auto"/>
        <w:jc w:val="both"/>
        <w:outlineLvl w:val="0"/>
        <w:rPr>
          <w:rFonts w:ascii="Times New Roman" w:hAnsi="Times New Roman" w:cs="Times New Roman"/>
          <w:b/>
          <w:bCs/>
          <w:smallCaps/>
          <w:sz w:val="32"/>
          <w:szCs w:val="32"/>
          <w:u w:val="single"/>
        </w:rPr>
      </w:pPr>
    </w:p>
    <w:p w14:paraId="469723C3" w14:textId="77777777" w:rsidR="00777A0A" w:rsidRPr="009D4D4A" w:rsidRDefault="00777A0A" w:rsidP="00176113">
      <w:pPr>
        <w:spacing w:before="240" w:after="120" w:line="360" w:lineRule="auto"/>
        <w:rPr>
          <w:rFonts w:ascii="Times New Roman" w:hAnsi="Times New Roman" w:cs="Times New Roman"/>
          <w:smallCaps/>
          <w:spacing w:val="-20"/>
          <w:sz w:val="48"/>
          <w:szCs w:val="40"/>
        </w:rPr>
      </w:pPr>
    </w:p>
    <w:p w14:paraId="2F43B872" w14:textId="77777777" w:rsidR="00777A0A" w:rsidRPr="009D4D4A" w:rsidRDefault="00777A0A" w:rsidP="00176113">
      <w:pPr>
        <w:spacing w:before="240" w:after="120" w:line="360" w:lineRule="auto"/>
        <w:rPr>
          <w:rFonts w:ascii="Times New Roman" w:hAnsi="Times New Roman" w:cs="Times New Roman"/>
          <w:smallCaps/>
          <w:spacing w:val="-20"/>
          <w:sz w:val="48"/>
          <w:szCs w:val="40"/>
        </w:rPr>
      </w:pPr>
    </w:p>
    <w:p w14:paraId="5407C7A0" w14:textId="77777777" w:rsidR="00777A0A" w:rsidRPr="009D4D4A" w:rsidRDefault="00777A0A" w:rsidP="00176113">
      <w:pPr>
        <w:spacing w:before="240" w:after="120" w:line="360" w:lineRule="auto"/>
        <w:rPr>
          <w:rFonts w:ascii="Times New Roman" w:hAnsi="Times New Roman" w:cs="Times New Roman"/>
          <w:smallCaps/>
          <w:spacing w:val="-20"/>
          <w:sz w:val="48"/>
          <w:szCs w:val="40"/>
        </w:rPr>
      </w:pPr>
    </w:p>
    <w:p w14:paraId="498239A3" w14:textId="77777777" w:rsidR="00777A0A" w:rsidRDefault="00777A0A" w:rsidP="00176113">
      <w:pPr>
        <w:spacing w:before="240" w:after="120" w:line="360" w:lineRule="auto"/>
        <w:rPr>
          <w:rFonts w:ascii="Times New Roman" w:hAnsi="Times New Roman" w:cs="Times New Roman"/>
          <w:smallCaps/>
          <w:spacing w:val="-20"/>
          <w:sz w:val="48"/>
          <w:szCs w:val="40"/>
        </w:rPr>
      </w:pPr>
    </w:p>
    <w:p w14:paraId="23EA0D5D" w14:textId="77777777" w:rsidR="00777A0A" w:rsidRPr="009D4D4A" w:rsidRDefault="00777A0A" w:rsidP="00176113">
      <w:pPr>
        <w:spacing w:before="240" w:after="120" w:line="360" w:lineRule="auto"/>
        <w:rPr>
          <w:rFonts w:ascii="Times New Roman" w:hAnsi="Times New Roman" w:cs="Times New Roman"/>
          <w:smallCaps/>
          <w:spacing w:val="-20"/>
          <w:sz w:val="48"/>
          <w:szCs w:val="40"/>
        </w:rPr>
      </w:pPr>
    </w:p>
    <w:p w14:paraId="650F78E2" w14:textId="77777777" w:rsidR="00777A0A" w:rsidRPr="009D4D4A" w:rsidRDefault="00777A0A" w:rsidP="00176113">
      <w:pPr>
        <w:spacing w:before="240" w:after="120" w:line="360" w:lineRule="auto"/>
        <w:rPr>
          <w:rFonts w:ascii="Times New Roman" w:hAnsi="Times New Roman" w:cs="Times New Roman"/>
          <w:smallCaps/>
          <w:spacing w:val="-20"/>
          <w:sz w:val="48"/>
          <w:szCs w:val="40"/>
        </w:rPr>
      </w:pPr>
    </w:p>
    <w:p w14:paraId="1D9D569D" w14:textId="047F640A" w:rsidR="00777A0A" w:rsidRPr="009D4D4A" w:rsidRDefault="00777A0A" w:rsidP="00777A0A">
      <w:pPr>
        <w:pBdr>
          <w:bottom w:val="single" w:sz="4" w:space="1" w:color="auto"/>
        </w:pBdr>
        <w:spacing w:before="240" w:after="120"/>
        <w:rPr>
          <w:rFonts w:ascii="Times New Roman" w:hAnsi="Times New Roman" w:cs="Times New Roman"/>
          <w:bCs/>
          <w:smallCaps/>
          <w:sz w:val="40"/>
          <w:szCs w:val="28"/>
        </w:rPr>
      </w:pPr>
      <w:r w:rsidRPr="009D4D4A">
        <w:rPr>
          <w:rFonts w:ascii="Times New Roman" w:hAnsi="Times New Roman" w:cs="Times New Roman"/>
          <w:smallCaps/>
          <w:spacing w:val="-20"/>
          <w:sz w:val="48"/>
          <w:szCs w:val="40"/>
        </w:rPr>
        <w:lastRenderedPageBreak/>
        <w:t>4.1:</w:t>
      </w:r>
      <w:r w:rsidRPr="009D4D4A">
        <w:rPr>
          <w:rFonts w:ascii="Times New Roman" w:hAnsi="Times New Roman" w:cs="Times New Roman"/>
          <w:bCs/>
          <w:smallCaps/>
          <w:sz w:val="48"/>
          <w:szCs w:val="40"/>
        </w:rPr>
        <w:t xml:space="preserve"> </w:t>
      </w:r>
      <w:r w:rsidRPr="004E0366">
        <w:rPr>
          <w:rFonts w:ascii="Times New Roman" w:hAnsi="Times New Roman" w:cs="Times New Roman"/>
          <w:b/>
          <w:bCs/>
          <w:smallCaps/>
          <w:sz w:val="40"/>
          <w:szCs w:val="34"/>
        </w:rPr>
        <w:t>Characterisation of cement samples</w:t>
      </w:r>
    </w:p>
    <w:p w14:paraId="6AA70E5D" w14:textId="047EB5EE" w:rsidR="00777A0A" w:rsidRDefault="00777A0A" w:rsidP="00751C5B">
      <w:pPr>
        <w:spacing w:before="240" w:after="120" w:line="360" w:lineRule="auto"/>
        <w:jc w:val="both"/>
        <w:rPr>
          <w:rFonts w:ascii="Times New Roman" w:hAnsi="Times New Roman" w:cs="Times New Roman"/>
          <w:b/>
          <w:bCs/>
          <w:smallCaps/>
          <w:sz w:val="36"/>
          <w:szCs w:val="28"/>
        </w:rPr>
      </w:pPr>
      <w:r w:rsidRPr="009D4D4A">
        <w:rPr>
          <w:rFonts w:ascii="Times New Roman" w:hAnsi="Times New Roman" w:cs="Times New Roman"/>
        </w:rPr>
        <w:t xml:space="preserve">This section focuses on the analysis of the cement samples and the </w:t>
      </w:r>
      <w:r w:rsidR="00E501C6">
        <w:rPr>
          <w:rFonts w:ascii="Times New Roman" w:hAnsi="Times New Roman" w:cs="Times New Roman"/>
        </w:rPr>
        <w:t>leachate</w:t>
      </w:r>
      <w:r w:rsidRPr="009D4D4A">
        <w:rPr>
          <w:rFonts w:ascii="Times New Roman" w:hAnsi="Times New Roman" w:cs="Times New Roman"/>
        </w:rPr>
        <w:t xml:space="preserve"> prior to leaching </w:t>
      </w:r>
      <w:r w:rsidR="00930903">
        <w:rPr>
          <w:rFonts w:ascii="Times New Roman" w:hAnsi="Times New Roman" w:cs="Times New Roman"/>
        </w:rPr>
        <w:t xml:space="preserve">after 42 days of curing </w:t>
      </w:r>
      <w:r w:rsidRPr="009D4D4A">
        <w:rPr>
          <w:rFonts w:ascii="Times New Roman" w:hAnsi="Times New Roman" w:cs="Times New Roman"/>
        </w:rPr>
        <w:t xml:space="preserve">(referred to as the </w:t>
      </w:r>
      <w:r w:rsidR="008F7F6F" w:rsidRPr="008F7F6F">
        <w:rPr>
          <w:rFonts w:ascii="Times New Roman" w:hAnsi="Times New Roman" w:cs="Times New Roman"/>
          <w:b/>
        </w:rPr>
        <w:t>0D</w:t>
      </w:r>
      <w:r w:rsidR="008F7F6F">
        <w:rPr>
          <w:rFonts w:ascii="Times New Roman" w:hAnsi="Times New Roman" w:cs="Times New Roman"/>
          <w:b/>
        </w:rPr>
        <w:t xml:space="preserve"> </w:t>
      </w:r>
      <w:r w:rsidR="008F7F6F">
        <w:rPr>
          <w:rFonts w:ascii="Times New Roman" w:hAnsi="Times New Roman" w:cs="Times New Roman"/>
        </w:rPr>
        <w:t xml:space="preserve">samples meaning </w:t>
      </w:r>
      <w:r w:rsidR="008F7F6F" w:rsidRPr="009D4D4A">
        <w:rPr>
          <w:rFonts w:ascii="Times New Roman" w:hAnsi="Times New Roman" w:cs="Times New Roman"/>
        </w:rPr>
        <w:t>0 days</w:t>
      </w:r>
      <w:r w:rsidR="008F7F6F">
        <w:rPr>
          <w:rFonts w:ascii="Times New Roman" w:hAnsi="Times New Roman" w:cs="Times New Roman"/>
        </w:rPr>
        <w:t xml:space="preserve"> of leaching, </w:t>
      </w:r>
      <w:r w:rsidR="00971672">
        <w:rPr>
          <w:rFonts w:ascii="Times New Roman" w:hAnsi="Times New Roman" w:cs="Times New Roman"/>
        </w:rPr>
        <w:t>i.e.</w:t>
      </w:r>
      <w:r w:rsidR="008F7F6F">
        <w:rPr>
          <w:rFonts w:ascii="Times New Roman" w:hAnsi="Times New Roman" w:cs="Times New Roman"/>
        </w:rPr>
        <w:t xml:space="preserve"> no leaching</w:t>
      </w:r>
      <w:r w:rsidRPr="009D4D4A">
        <w:rPr>
          <w:rFonts w:ascii="Times New Roman" w:hAnsi="Times New Roman" w:cs="Times New Roman"/>
        </w:rPr>
        <w:t xml:space="preserve">).  The cement samples were first analysed to characterise them and monitor the changes, if </w:t>
      </w:r>
      <w:proofErr w:type="gramStart"/>
      <w:r w:rsidRPr="009D4D4A">
        <w:rPr>
          <w:rFonts w:ascii="Times New Roman" w:hAnsi="Times New Roman" w:cs="Times New Roman"/>
        </w:rPr>
        <w:t>any, that</w:t>
      </w:r>
      <w:proofErr w:type="gramEnd"/>
      <w:r w:rsidRPr="009D4D4A">
        <w:rPr>
          <w:rFonts w:ascii="Times New Roman" w:hAnsi="Times New Roman" w:cs="Times New Roman"/>
        </w:rPr>
        <w:t xml:space="preserve"> were a result of introducing strontium and caesium nitrate. </w:t>
      </w:r>
    </w:p>
    <w:p w14:paraId="25DEF55B" w14:textId="77777777" w:rsidR="00777A0A" w:rsidRPr="00236529" w:rsidRDefault="00777A0A" w:rsidP="00777A0A">
      <w:pPr>
        <w:spacing w:before="240" w:after="120" w:line="360" w:lineRule="auto"/>
        <w:ind w:left="720" w:hanging="720"/>
        <w:rPr>
          <w:rFonts w:ascii="Times New Roman" w:hAnsi="Times New Roman" w:cs="Times New Roman"/>
          <w:b/>
          <w:bCs/>
          <w:smallCaps/>
          <w:sz w:val="36"/>
          <w:szCs w:val="28"/>
        </w:rPr>
      </w:pPr>
      <w:r w:rsidRPr="00236529">
        <w:rPr>
          <w:rFonts w:ascii="Times New Roman" w:hAnsi="Times New Roman" w:cs="Times New Roman"/>
          <w:b/>
          <w:bCs/>
          <w:smallCaps/>
          <w:sz w:val="36"/>
          <w:szCs w:val="28"/>
        </w:rPr>
        <w:t>4.1.1</w:t>
      </w:r>
      <w:r w:rsidRPr="00236529">
        <w:rPr>
          <w:rFonts w:ascii="Times New Roman" w:hAnsi="Times New Roman" w:cs="Times New Roman"/>
          <w:b/>
          <w:bCs/>
          <w:smallCaps/>
          <w:sz w:val="36"/>
          <w:szCs w:val="28"/>
        </w:rPr>
        <w:tab/>
        <w:t>RESULTS</w:t>
      </w:r>
    </w:p>
    <w:p w14:paraId="3F8F749A" w14:textId="77777777" w:rsidR="00777A0A" w:rsidRPr="009D4D4A" w:rsidRDefault="00777A0A" w:rsidP="00777A0A">
      <w:pPr>
        <w:spacing w:before="240" w:after="120" w:line="360" w:lineRule="auto"/>
        <w:jc w:val="both"/>
        <w:outlineLvl w:val="0"/>
        <w:rPr>
          <w:rFonts w:ascii="Times New Roman" w:hAnsi="Times New Roman" w:cs="Times New Roman"/>
          <w:b/>
          <w:bCs/>
          <w:i/>
          <w:iCs/>
        </w:rPr>
      </w:pPr>
      <w:proofErr w:type="gramStart"/>
      <w:r w:rsidRPr="009D4D4A">
        <w:rPr>
          <w:rFonts w:ascii="Times New Roman" w:hAnsi="Times New Roman" w:cs="Times New Roman"/>
          <w:b/>
          <w:bCs/>
          <w:i/>
          <w:iCs/>
        </w:rPr>
        <w:t>i</w:t>
      </w:r>
      <w:proofErr w:type="gramEnd"/>
      <w:r w:rsidRPr="009D4D4A">
        <w:rPr>
          <w:rFonts w:ascii="Times New Roman" w:hAnsi="Times New Roman" w:cs="Times New Roman"/>
          <w:b/>
          <w:bCs/>
          <w:i/>
          <w:iCs/>
        </w:rPr>
        <w:t xml:space="preserve"> </w:t>
      </w:r>
      <w:r w:rsidRPr="009D4D4A">
        <w:rPr>
          <w:rFonts w:ascii="Times New Roman" w:hAnsi="Times New Roman" w:cs="Times New Roman"/>
          <w:b/>
          <w:bCs/>
          <w:i/>
          <w:iCs/>
        </w:rPr>
        <w:tab/>
        <w:t>X-ray diffraction (XRD)</w:t>
      </w:r>
    </w:p>
    <w:p w14:paraId="7D791933" w14:textId="2E19DBB2" w:rsidR="00777A0A" w:rsidRPr="009D4D4A" w:rsidRDefault="00777A0A" w:rsidP="00777A0A">
      <w:pPr>
        <w:spacing w:line="480" w:lineRule="exact"/>
        <w:jc w:val="both"/>
        <w:outlineLvl w:val="0"/>
        <w:rPr>
          <w:rFonts w:ascii="Times New Roman" w:hAnsi="Times New Roman" w:cs="Times New Roman"/>
        </w:rPr>
      </w:pPr>
      <w:r w:rsidRPr="009D4D4A">
        <w:rPr>
          <w:rFonts w:ascii="Times New Roman" w:hAnsi="Times New Roman" w:cs="Times New Roman"/>
        </w:rPr>
        <w:t>The XRD traces of the samples are shown in Figure 4.1 for the blank BFS</w:t>
      </w:r>
      <w:proofErr w:type="gramStart"/>
      <w:r w:rsidRPr="009D4D4A">
        <w:rPr>
          <w:rFonts w:ascii="Times New Roman" w:hAnsi="Times New Roman" w:cs="Times New Roman"/>
        </w:rPr>
        <w:t>:</w:t>
      </w:r>
      <w:r w:rsidR="00E85025">
        <w:rPr>
          <w:rFonts w:ascii="Times New Roman" w:hAnsi="Times New Roman" w:cs="Times New Roman"/>
        </w:rPr>
        <w:t>PC</w:t>
      </w:r>
      <w:proofErr w:type="gramEnd"/>
      <w:r w:rsidRPr="009D4D4A">
        <w:rPr>
          <w:rFonts w:ascii="Times New Roman" w:hAnsi="Times New Roman" w:cs="Times New Roman"/>
        </w:rPr>
        <w:t>=9:1 cement matrix (denoted as</w:t>
      </w:r>
      <w:r w:rsidRPr="00B34AE9">
        <w:rPr>
          <w:rFonts w:ascii="Times New Roman" w:hAnsi="Times New Roman" w:cs="Times New Roman"/>
          <w:b/>
        </w:rPr>
        <w:t xml:space="preserve"> B</w:t>
      </w:r>
      <w:r w:rsidRPr="009D4D4A">
        <w:rPr>
          <w:rFonts w:ascii="Times New Roman" w:hAnsi="Times New Roman" w:cs="Times New Roman"/>
        </w:rPr>
        <w:t xml:space="preserve">), the sample containing Cs (denoted as </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m:t>
            </m:r>
          </m:e>
        </m:acc>
      </m:oMath>
      <w:r w:rsidRPr="009D4D4A">
        <w:rPr>
          <w:rFonts w:ascii="Times New Roman" w:hAnsi="Times New Roman" w:cs="Times New Roman"/>
        </w:rPr>
        <w:fldChar w:fldCharType="begin"/>
      </w:r>
      <w:r w:rsidRPr="009D4D4A">
        <w:rPr>
          <w:rFonts w:ascii="Times New Roman" w:hAnsi="Times New Roman" w:cs="Times New Roman"/>
        </w:rPr>
        <w:instrText xml:space="preserve"> QUOTE </w:instrText>
      </w:r>
      <w:r w:rsidR="0050690C">
        <w:rPr>
          <w:rFonts w:ascii="Times New Roman" w:hAnsi="Times New Roman" w:cs="Times New Roman"/>
        </w:rPr>
        <w:pict w14:anchorId="021A64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pt;height:14.55pt" equationxml="&lt;">
            <v:imagedata r:id="rId44" o:title="" chromakey="white"/>
          </v:shape>
        </w:pict>
      </w:r>
      <w:r w:rsidRPr="009D4D4A">
        <w:rPr>
          <w:rFonts w:ascii="Times New Roman" w:hAnsi="Times New Roman" w:cs="Times New Roman"/>
        </w:rPr>
        <w:instrText xml:space="preserve"> </w:instrText>
      </w:r>
      <w:r w:rsidRPr="009D4D4A">
        <w:rPr>
          <w:rFonts w:ascii="Times New Roman" w:hAnsi="Times New Roman" w:cs="Times New Roman"/>
        </w:rPr>
        <w:fldChar w:fldCharType="end"/>
      </w:r>
      <w:r w:rsidRPr="009D4D4A">
        <w:rPr>
          <w:rFonts w:ascii="Times New Roman" w:hAnsi="Times New Roman" w:cs="Times New Roman"/>
        </w:rPr>
        <w:t xml:space="preserve">), the sample containing Sr (denoted as </w:t>
      </w:r>
      <m:oMath>
        <m:acc>
          <m:accPr>
            <m:chr m:val="̅"/>
            <m:ctrlPr>
              <w:rPr>
                <w:rFonts w:ascii="Cambria Math" w:hAnsi="Cambria Math" w:cs="Times New Roman"/>
                <w:i/>
                <w:sz w:val="36"/>
              </w:rPr>
            </m:ctrlPr>
          </m:accPr>
          <m:e>
            <m:r>
              <m:rPr>
                <m:sty m:val="p"/>
              </m:rPr>
              <w:rPr>
                <w:rFonts w:ascii="Cambria Math" w:hAnsi="Cambria Math" w:cs="Times New Roman"/>
                <w:sz w:val="36"/>
              </w:rPr>
              <m:t>s</m:t>
            </m:r>
          </m:e>
        </m:acc>
      </m:oMath>
      <w:r w:rsidRPr="009D4D4A">
        <w:rPr>
          <w:rFonts w:ascii="Times New Roman" w:hAnsi="Times New Roman" w:cs="Times New Roman"/>
        </w:rPr>
        <w:t xml:space="preserve">) and the sample containing both Cs and Sr (denoted as </w:t>
      </w:r>
      <m:oMath>
        <m:acc>
          <m:accPr>
            <m:chr m:val="̅"/>
            <m:ctrlPr>
              <w:rPr>
                <w:rFonts w:ascii="Cambria Math" w:hAnsi="Cambria Math" w:cs="Times New Roman"/>
                <w:i/>
                <w:sz w:val="36"/>
                <w:szCs w:val="36"/>
              </w:rPr>
            </m:ctrlPr>
          </m:accPr>
          <m:e>
            <m:r>
              <m:rPr>
                <m:nor/>
              </m:rPr>
              <w:rPr>
                <w:rFonts w:ascii="Times New Roman" w:hAnsi="Times New Roman" w:cs="Times New Roman"/>
                <w:bCs/>
                <w:sz w:val="36"/>
                <w:szCs w:val="36"/>
              </w:rPr>
              <m:t>cs</m:t>
            </m:r>
          </m:e>
        </m:acc>
      </m:oMath>
      <w:r w:rsidRPr="009D4D4A">
        <w:rPr>
          <w:rFonts w:ascii="Times New Roman" w:hAnsi="Times New Roman" w:cs="Times New Roman"/>
          <w:sz w:val="26"/>
        </w:rPr>
        <w:t xml:space="preserve">). The </w:t>
      </w:r>
      <w:r w:rsidRPr="009D4D4A">
        <w:rPr>
          <w:rFonts w:ascii="Times New Roman" w:hAnsi="Times New Roman" w:cs="Times New Roman"/>
        </w:rPr>
        <w:t>labels used in Figure 4</w:t>
      </w:r>
      <w:r w:rsidR="00B34AE9">
        <w:rPr>
          <w:rFonts w:ascii="Times New Roman" w:hAnsi="Times New Roman" w:cs="Times New Roman"/>
        </w:rPr>
        <w:t>.1</w:t>
      </w:r>
      <w:r w:rsidRPr="009D4D4A">
        <w:rPr>
          <w:rFonts w:ascii="Times New Roman" w:hAnsi="Times New Roman" w:cs="Times New Roman"/>
        </w:rPr>
        <w:t xml:space="preserve"> are summarised in Table 4.1. </w:t>
      </w:r>
    </w:p>
    <w:p w14:paraId="14EEA83B" w14:textId="3B5EC541" w:rsidR="00777A0A" w:rsidRDefault="00777A0A" w:rsidP="00777A0A">
      <w:pPr>
        <w:spacing w:before="120" w:after="120" w:line="480" w:lineRule="exact"/>
        <w:jc w:val="both"/>
        <w:outlineLvl w:val="0"/>
        <w:rPr>
          <w:rFonts w:ascii="Times New Roman" w:eastAsia="MS ??" w:hAnsi="Times New Roman" w:cs="Times New Roman"/>
        </w:rPr>
      </w:pPr>
      <w:r w:rsidRPr="009D4D4A">
        <w:rPr>
          <w:rFonts w:ascii="Times New Roman" w:hAnsi="Times New Roman" w:cs="Times New Roman"/>
        </w:rPr>
        <w:t>The trace for the blank cement sample (</w:t>
      </w:r>
      <w:r w:rsidRPr="00B34AE9">
        <w:rPr>
          <w:rFonts w:ascii="Times New Roman" w:hAnsi="Times New Roman" w:cs="Times New Roman"/>
          <w:b/>
        </w:rPr>
        <w:t>B</w:t>
      </w:r>
      <w:r w:rsidRPr="009D4D4A">
        <w:rPr>
          <w:rFonts w:ascii="Times New Roman" w:hAnsi="Times New Roman" w:cs="Times New Roman"/>
        </w:rPr>
        <w:t>), which excludes the waste simulants, agrees with literature reports [1,2,3]. There is a pronounced broad peak at roughly 30</w:t>
      </w:r>
      <w:r w:rsidRPr="009D4D4A">
        <w:rPr>
          <w:rFonts w:ascii="Times New Roman" w:hAnsi="Times New Roman" w:cs="Times New Roman"/>
          <w:vertAlign w:val="superscript"/>
        </w:rPr>
        <w:t>o</w:t>
      </w:r>
      <w:r w:rsidRPr="009D4D4A">
        <w:rPr>
          <w:rFonts w:ascii="Times New Roman" w:hAnsi="Times New Roman" w:cs="Times New Roman"/>
        </w:rPr>
        <w:t>2θ which, according to Wang and Scrivener [3], is attributed to the (110) reflection</w:t>
      </w:r>
      <w:r w:rsidR="00B34AE9">
        <w:rPr>
          <w:rFonts w:ascii="Times New Roman" w:hAnsi="Times New Roman" w:cs="Times New Roman"/>
        </w:rPr>
        <w:t xml:space="preserve"> </w:t>
      </w:r>
      <w:proofErr w:type="gramStart"/>
      <w:r w:rsidR="00B34AE9">
        <w:rPr>
          <w:rFonts w:ascii="Times New Roman" w:hAnsi="Times New Roman" w:cs="Times New Roman"/>
        </w:rPr>
        <w:t xml:space="preserve">of </w:t>
      </w:r>
      <w:r w:rsidR="00576881">
        <w:rPr>
          <w:rFonts w:ascii="Times New Roman" w:hAnsi="Times New Roman" w:cs="Times New Roman"/>
        </w:rPr>
        <w:t xml:space="preserve"> the</w:t>
      </w:r>
      <w:proofErr w:type="gramEnd"/>
      <w:r w:rsidR="00576881">
        <w:rPr>
          <w:rFonts w:ascii="Times New Roman" w:hAnsi="Times New Roman" w:cs="Times New Roman"/>
        </w:rPr>
        <w:t xml:space="preserve"> </w:t>
      </w:r>
      <w:r w:rsidR="00B34AE9">
        <w:rPr>
          <w:rFonts w:ascii="Times New Roman" w:hAnsi="Times New Roman" w:cs="Times New Roman"/>
        </w:rPr>
        <w:t xml:space="preserve">crystalline </w:t>
      </w:r>
      <w:r w:rsidR="00576881">
        <w:rPr>
          <w:rFonts w:ascii="Times New Roman" w:hAnsi="Times New Roman" w:cs="Times New Roman"/>
        </w:rPr>
        <w:t xml:space="preserve">aspects of </w:t>
      </w:r>
      <w:r w:rsidR="00B34AE9">
        <w:rPr>
          <w:rFonts w:ascii="Times New Roman" w:hAnsi="Times New Roman" w:cs="Times New Roman"/>
        </w:rPr>
        <w:t>C-S-H(I). T</w:t>
      </w:r>
      <w:r w:rsidRPr="009D4D4A">
        <w:rPr>
          <w:rFonts w:ascii="Times New Roman" w:hAnsi="Times New Roman" w:cs="Times New Roman"/>
        </w:rPr>
        <w:t xml:space="preserve">his suggestion is also supported </w:t>
      </w:r>
      <w:proofErr w:type="gramStart"/>
      <w:r w:rsidRPr="009D4D4A">
        <w:rPr>
          <w:rFonts w:ascii="Times New Roman" w:hAnsi="Times New Roman" w:cs="Times New Roman"/>
        </w:rPr>
        <w:t>by  He</w:t>
      </w:r>
      <w:proofErr w:type="gramEnd"/>
      <w:r w:rsidRPr="009D4D4A">
        <w:rPr>
          <w:rFonts w:ascii="Times New Roman" w:hAnsi="Times New Roman" w:cs="Times New Roman"/>
        </w:rPr>
        <w:t xml:space="preserve"> et al [4].</w:t>
      </w:r>
      <w:r w:rsidRPr="002C7E12">
        <w:t xml:space="preserve"> </w:t>
      </w:r>
      <w:r w:rsidRPr="002C7E12">
        <w:rPr>
          <w:rFonts w:ascii="Times New Roman" w:hAnsi="Times New Roman" w:cs="Times New Roman"/>
        </w:rPr>
        <w:t>This peak can also be partially attributed to the presence of calcium carbonate (CC)</w:t>
      </w:r>
      <w:proofErr w:type="gramStart"/>
      <w:r w:rsidRPr="002C7E12">
        <w:rPr>
          <w:rFonts w:ascii="Times New Roman" w:hAnsi="Times New Roman" w:cs="Times New Roman"/>
        </w:rPr>
        <w:t>,</w:t>
      </w:r>
      <w:proofErr w:type="gramEnd"/>
      <w:r w:rsidRPr="002C7E12">
        <w:rPr>
          <w:rFonts w:ascii="Times New Roman" w:hAnsi="Times New Roman" w:cs="Times New Roman"/>
        </w:rPr>
        <w:t xml:space="preserve"> thi</w:t>
      </w:r>
      <w:r w:rsidR="00490313">
        <w:rPr>
          <w:rFonts w:ascii="Times New Roman" w:hAnsi="Times New Roman" w:cs="Times New Roman"/>
        </w:rPr>
        <w:t>s</w:t>
      </w:r>
      <w:r w:rsidRPr="002C7E12">
        <w:rPr>
          <w:rFonts w:ascii="Times New Roman" w:hAnsi="Times New Roman" w:cs="Times New Roman"/>
        </w:rPr>
        <w:t xml:space="preserve"> could be the result of carbonation via </w:t>
      </w:r>
      <w:r w:rsidR="00490313">
        <w:rPr>
          <w:rFonts w:ascii="Times New Roman" w:hAnsi="Times New Roman" w:cs="Times New Roman"/>
        </w:rPr>
        <w:t>the exposure to air (</w:t>
      </w:r>
      <w:r w:rsidR="00B34AE9">
        <w:rPr>
          <w:rFonts w:ascii="Times New Roman" w:hAnsi="Times New Roman" w:cs="Times New Roman"/>
        </w:rPr>
        <w:t>which was collectively around 1</w:t>
      </w:r>
      <w:r w:rsidR="00490313">
        <w:rPr>
          <w:rFonts w:ascii="Times New Roman" w:hAnsi="Times New Roman" w:cs="Times New Roman"/>
        </w:rPr>
        <w:t xml:space="preserve"> hour) </w:t>
      </w:r>
      <w:r w:rsidRPr="002C7E12">
        <w:rPr>
          <w:rFonts w:ascii="Times New Roman" w:hAnsi="Times New Roman" w:cs="Times New Roman"/>
        </w:rPr>
        <w:t xml:space="preserve">when the samples were prepared for analysis. </w:t>
      </w:r>
      <w:r w:rsidRPr="009D4D4A">
        <w:rPr>
          <w:rFonts w:ascii="Times New Roman" w:eastAsia="MS ??" w:hAnsi="Times New Roman" w:cs="Times New Roman"/>
        </w:rPr>
        <w:t xml:space="preserve"> </w:t>
      </w:r>
    </w:p>
    <w:p w14:paraId="22B8A99D" w14:textId="623670A6" w:rsidR="00777A0A" w:rsidRPr="009D4D4A" w:rsidRDefault="00777A0A" w:rsidP="00777A0A">
      <w:pPr>
        <w:spacing w:before="120" w:after="120" w:line="480" w:lineRule="exact"/>
        <w:jc w:val="both"/>
        <w:outlineLvl w:val="0"/>
        <w:rPr>
          <w:rFonts w:ascii="Times New Roman" w:hAnsi="Times New Roman" w:cs="Times New Roman"/>
        </w:rPr>
      </w:pPr>
      <w:r w:rsidRPr="009D4D4A">
        <w:rPr>
          <w:rFonts w:ascii="Times New Roman" w:hAnsi="Times New Roman" w:cs="Times New Roman"/>
        </w:rPr>
        <w:t>The other major phases identified were portlandite (P), hydrotalcite (HC), monosulphoaluminate (AFm) and a small peak for ettringite (E). A gehlenite (G) peak is present alongside the glassy amorphous hump at around 26-33</w:t>
      </w:r>
      <w:r w:rsidRPr="009D4D4A">
        <w:rPr>
          <w:rFonts w:ascii="Times New Roman" w:hAnsi="Times New Roman" w:cs="Times New Roman"/>
          <w:vertAlign w:val="superscript"/>
        </w:rPr>
        <w:t>o</w:t>
      </w:r>
      <w:r w:rsidRPr="009D4D4A">
        <w:rPr>
          <w:rFonts w:ascii="Times New Roman" w:hAnsi="Times New Roman" w:cs="Times New Roman"/>
        </w:rPr>
        <w:t>2θ both of which are attributed t</w:t>
      </w:r>
      <w:r w:rsidR="00B34AE9">
        <w:rPr>
          <w:rFonts w:ascii="Times New Roman" w:hAnsi="Times New Roman" w:cs="Times New Roman"/>
        </w:rPr>
        <w:t>o the BFS as shown in Chapter 3</w:t>
      </w:r>
      <w:r w:rsidRPr="009D4D4A">
        <w:rPr>
          <w:rFonts w:ascii="Times New Roman" w:hAnsi="Times New Roman" w:cs="Times New Roman"/>
        </w:rPr>
        <w:t xml:space="preserve"> </w:t>
      </w:r>
      <w:r w:rsidR="002B54CE">
        <w:rPr>
          <w:rFonts w:ascii="Times New Roman" w:hAnsi="Times New Roman" w:cs="Times New Roman"/>
        </w:rPr>
        <w:t>[5,6]</w:t>
      </w:r>
    </w:p>
    <w:p w14:paraId="1FEC0F97" w14:textId="77777777" w:rsidR="00777A0A" w:rsidRPr="009D4D4A" w:rsidRDefault="00777A0A" w:rsidP="00777A0A">
      <w:pPr>
        <w:ind w:left="-142"/>
        <w:jc w:val="center"/>
        <w:rPr>
          <w:rFonts w:ascii="Times New Roman" w:hAnsi="Times New Roman" w:cs="Times New Roman"/>
          <w:b/>
          <w:sz w:val="28"/>
        </w:rPr>
      </w:pPr>
      <w:r>
        <w:rPr>
          <w:rFonts w:ascii="Times New Roman" w:hAnsi="Times New Roman" w:cs="Times New Roman"/>
          <w:b/>
          <w:noProof/>
          <w:sz w:val="28"/>
        </w:rPr>
        <w:lastRenderedPageBreak/>
        <w:drawing>
          <wp:inline distT="0" distB="0" distL="0" distR="0" wp14:anchorId="6C259503" wp14:editId="621B8E0B">
            <wp:extent cx="5486259" cy="3318553"/>
            <wp:effectExtent l="0" t="0" r="635"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a:extLst>
                        <a:ext uri="{28A0092B-C50C-407E-A947-70E740481C1C}">
                          <a14:useLocalDpi xmlns:a14="http://schemas.microsoft.com/office/drawing/2010/main" val="0"/>
                        </a:ext>
                      </a:extLst>
                    </a:blip>
                    <a:srcRect b="7781"/>
                    <a:stretch/>
                  </pic:blipFill>
                  <pic:spPr bwMode="auto">
                    <a:xfrm>
                      <a:off x="0" y="0"/>
                      <a:ext cx="5511866" cy="3334042"/>
                    </a:xfrm>
                    <a:prstGeom prst="rect">
                      <a:avLst/>
                    </a:prstGeom>
                    <a:noFill/>
                    <a:ln>
                      <a:noFill/>
                    </a:ln>
                    <a:extLst>
                      <a:ext uri="{53640926-AAD7-44d8-BBD7-CCE9431645EC}">
                        <a14:shadowObscured xmlns:a14="http://schemas.microsoft.com/office/drawing/2010/main"/>
                      </a:ext>
                    </a:extLst>
                  </pic:spPr>
                </pic:pic>
              </a:graphicData>
            </a:graphic>
          </wp:inline>
        </w:drawing>
      </w:r>
    </w:p>
    <w:p w14:paraId="3E1EE6BA" w14:textId="77777777" w:rsidR="00777A0A" w:rsidRPr="009D4D4A" w:rsidRDefault="00777A0A" w:rsidP="00777A0A">
      <w:pPr>
        <w:jc w:val="center"/>
        <w:outlineLvl w:val="0"/>
        <w:rPr>
          <w:rFonts w:ascii="Times New Roman" w:hAnsi="Times New Roman" w:cs="Times New Roman"/>
          <w:color w:val="000000"/>
        </w:rPr>
      </w:pPr>
      <w:r w:rsidRPr="009D4D4A">
        <w:rPr>
          <w:rFonts w:ascii="Times New Roman" w:hAnsi="Times New Roman" w:cs="Times New Roman"/>
          <w:b/>
          <w:color w:val="000000"/>
        </w:rPr>
        <w:t>Figure 4.1</w:t>
      </w:r>
      <w:r w:rsidRPr="009D4D4A">
        <w:rPr>
          <w:rFonts w:ascii="Times New Roman" w:hAnsi="Times New Roman" w:cs="Times New Roman"/>
          <w:color w:val="000000"/>
        </w:rPr>
        <w:t>:</w:t>
      </w:r>
      <w:r w:rsidRPr="009D4D4A">
        <w:rPr>
          <w:rFonts w:ascii="Times New Roman" w:hAnsi="Times New Roman" w:cs="Times New Roman"/>
          <w:color w:val="000000"/>
        </w:rPr>
        <w:tab/>
        <w:t>XRD traces for samples of each formulation before leaching                     (0D = 0 Days of leaching)</w:t>
      </w:r>
      <w:r>
        <w:rPr>
          <w:rFonts w:ascii="Times New Roman" w:hAnsi="Times New Roman" w:cs="Times New Roman"/>
          <w:color w:val="000000"/>
        </w:rPr>
        <w:t>.</w:t>
      </w:r>
      <w:r w:rsidRPr="009D4D4A">
        <w:rPr>
          <w:rFonts w:ascii="Times New Roman" w:hAnsi="Times New Roman" w:cs="Times New Roman"/>
          <w:color w:val="000000"/>
        </w:rPr>
        <w:t xml:space="preserve"> </w:t>
      </w:r>
      <w:r w:rsidRPr="009D4D4A">
        <w:rPr>
          <w:rFonts w:ascii="Times New Roman" w:hAnsi="Times New Roman" w:cs="Times New Roman"/>
        </w:rPr>
        <w:t>The labels used are summarised in Table 4.1.</w:t>
      </w:r>
    </w:p>
    <w:p w14:paraId="4286435D" w14:textId="77777777" w:rsidR="00777A0A" w:rsidRPr="009D4D4A" w:rsidRDefault="00777A0A" w:rsidP="00777A0A">
      <w:pPr>
        <w:jc w:val="center"/>
        <w:outlineLvl w:val="0"/>
        <w:rPr>
          <w:rFonts w:ascii="Times New Roman" w:hAnsi="Times New Roman" w:cs="Times New Roman"/>
          <w:color w:val="000000"/>
        </w:rPr>
      </w:pPr>
    </w:p>
    <w:p w14:paraId="035DC03D" w14:textId="56251A68" w:rsidR="0044704C" w:rsidRDefault="00777A0A" w:rsidP="00777A0A">
      <w:pPr>
        <w:pStyle w:val="NormalWeb"/>
        <w:spacing w:before="0" w:beforeAutospacing="0" w:after="0" w:afterAutospacing="0"/>
        <w:jc w:val="center"/>
        <w:rPr>
          <w:rFonts w:ascii="Times New Roman" w:hAnsi="Times New Roman"/>
          <w:b/>
          <w:sz w:val="24"/>
          <w:szCs w:val="24"/>
        </w:rPr>
      </w:pPr>
      <w:r w:rsidRPr="009D4D4A">
        <w:rPr>
          <w:rFonts w:ascii="Times New Roman" w:hAnsi="Times New Roman"/>
          <w:b/>
          <w:sz w:val="24"/>
          <w:szCs w:val="24"/>
        </w:rPr>
        <w:t xml:space="preserve"> </w:t>
      </w:r>
    </w:p>
    <w:p w14:paraId="6872DC86" w14:textId="77777777" w:rsidR="00B10C45" w:rsidRPr="009D4D4A" w:rsidRDefault="00B10C45" w:rsidP="00777A0A">
      <w:pPr>
        <w:pStyle w:val="NormalWeb"/>
        <w:spacing w:before="0" w:beforeAutospacing="0" w:after="0" w:afterAutospacing="0"/>
        <w:jc w:val="center"/>
        <w:rPr>
          <w:rFonts w:ascii="Times New Roman" w:hAnsi="Times New Roman"/>
          <w:b/>
          <w:sz w:val="24"/>
          <w:szCs w:val="24"/>
        </w:rPr>
      </w:pPr>
    </w:p>
    <w:tbl>
      <w:tblPr>
        <w:tblStyle w:val="TableGrid"/>
        <w:tblpPr w:leftFromText="180" w:rightFromText="180" w:vertAnchor="text" w:horzAnchor="margin" w:tblpXSpec="center" w:tblpY="518"/>
        <w:tblW w:w="9889" w:type="dxa"/>
        <w:tblLook w:val="04A0" w:firstRow="1" w:lastRow="0" w:firstColumn="1" w:lastColumn="0" w:noHBand="0" w:noVBand="1"/>
      </w:tblPr>
      <w:tblGrid>
        <w:gridCol w:w="904"/>
        <w:gridCol w:w="1828"/>
        <w:gridCol w:w="2843"/>
        <w:gridCol w:w="1974"/>
        <w:gridCol w:w="2340"/>
      </w:tblGrid>
      <w:tr w:rsidR="00777A0A" w:rsidRPr="009D4D4A" w14:paraId="271ECDF1" w14:textId="77777777" w:rsidTr="00E85025">
        <w:trPr>
          <w:trHeight w:val="416"/>
        </w:trPr>
        <w:tc>
          <w:tcPr>
            <w:tcW w:w="904" w:type="dxa"/>
            <w:shd w:val="clear" w:color="auto" w:fill="D9D9D9" w:themeFill="background1" w:themeFillShade="D9"/>
            <w:vAlign w:val="center"/>
          </w:tcPr>
          <w:p w14:paraId="25607931" w14:textId="77777777" w:rsidR="00777A0A" w:rsidRPr="009D4D4A" w:rsidRDefault="00777A0A" w:rsidP="00E85025">
            <w:pPr>
              <w:jc w:val="center"/>
              <w:rPr>
                <w:rFonts w:ascii="Times New Roman" w:hAnsi="Times New Roman" w:cs="Times New Roman"/>
                <w:b/>
                <w:color w:val="000000"/>
                <w:sz w:val="24"/>
                <w:szCs w:val="24"/>
              </w:rPr>
            </w:pPr>
            <w:r w:rsidRPr="009D4D4A">
              <w:rPr>
                <w:rFonts w:ascii="Times New Roman" w:hAnsi="Times New Roman" w:cs="Times New Roman"/>
                <w:b/>
                <w:color w:val="000000"/>
                <w:sz w:val="24"/>
                <w:szCs w:val="24"/>
              </w:rPr>
              <w:t>Label</w:t>
            </w:r>
          </w:p>
        </w:tc>
        <w:tc>
          <w:tcPr>
            <w:tcW w:w="1828" w:type="dxa"/>
            <w:shd w:val="clear" w:color="auto" w:fill="D9D9D9" w:themeFill="background1" w:themeFillShade="D9"/>
            <w:vAlign w:val="center"/>
          </w:tcPr>
          <w:p w14:paraId="011608D3" w14:textId="77777777" w:rsidR="00777A0A" w:rsidRPr="009D4D4A" w:rsidRDefault="00777A0A" w:rsidP="00E85025">
            <w:pPr>
              <w:jc w:val="center"/>
              <w:rPr>
                <w:rFonts w:ascii="Times New Roman" w:hAnsi="Times New Roman" w:cs="Times New Roman"/>
                <w:b/>
                <w:color w:val="000000"/>
                <w:sz w:val="24"/>
                <w:szCs w:val="24"/>
              </w:rPr>
            </w:pPr>
            <w:r w:rsidRPr="009D4D4A">
              <w:rPr>
                <w:rFonts w:ascii="Times New Roman" w:hAnsi="Times New Roman" w:cs="Times New Roman"/>
                <w:b/>
                <w:color w:val="000000"/>
                <w:sz w:val="24"/>
                <w:szCs w:val="24"/>
              </w:rPr>
              <w:t>Name</w:t>
            </w:r>
          </w:p>
        </w:tc>
        <w:tc>
          <w:tcPr>
            <w:tcW w:w="2843" w:type="dxa"/>
            <w:shd w:val="clear" w:color="auto" w:fill="D9D9D9" w:themeFill="background1" w:themeFillShade="D9"/>
            <w:vAlign w:val="center"/>
          </w:tcPr>
          <w:p w14:paraId="455D26B9" w14:textId="77777777" w:rsidR="00777A0A" w:rsidRPr="009D4D4A" w:rsidRDefault="00777A0A" w:rsidP="00E85025">
            <w:pPr>
              <w:jc w:val="center"/>
              <w:rPr>
                <w:rFonts w:ascii="Times New Roman" w:hAnsi="Times New Roman" w:cs="Times New Roman"/>
                <w:b/>
                <w:color w:val="000000"/>
                <w:sz w:val="24"/>
                <w:szCs w:val="24"/>
              </w:rPr>
            </w:pPr>
            <w:r w:rsidRPr="009D4D4A">
              <w:rPr>
                <w:rFonts w:ascii="Times New Roman" w:hAnsi="Times New Roman" w:cs="Times New Roman"/>
                <w:b/>
                <w:color w:val="000000"/>
                <w:sz w:val="24"/>
                <w:szCs w:val="24"/>
              </w:rPr>
              <w:t>Formula</w:t>
            </w:r>
          </w:p>
        </w:tc>
        <w:tc>
          <w:tcPr>
            <w:tcW w:w="1974" w:type="dxa"/>
            <w:shd w:val="clear" w:color="auto" w:fill="D9D9D9" w:themeFill="background1" w:themeFillShade="D9"/>
            <w:vAlign w:val="center"/>
          </w:tcPr>
          <w:p w14:paraId="21A35729" w14:textId="77777777" w:rsidR="00777A0A" w:rsidRPr="009D4D4A" w:rsidRDefault="00777A0A" w:rsidP="00E85025">
            <w:pPr>
              <w:jc w:val="center"/>
              <w:rPr>
                <w:rFonts w:ascii="Times New Roman" w:hAnsi="Times New Roman" w:cs="Times New Roman"/>
                <w:b/>
                <w:color w:val="000000"/>
                <w:sz w:val="24"/>
                <w:szCs w:val="24"/>
              </w:rPr>
            </w:pPr>
            <w:r w:rsidRPr="009D4D4A">
              <w:rPr>
                <w:rFonts w:ascii="Times New Roman" w:hAnsi="Times New Roman" w:cs="Times New Roman"/>
                <w:b/>
                <w:color w:val="000000"/>
                <w:sz w:val="24"/>
                <w:szCs w:val="24"/>
              </w:rPr>
              <w:t>Main Peaks (</w:t>
            </w:r>
            <w:r w:rsidRPr="009D4D4A">
              <w:rPr>
                <w:rFonts w:ascii="Times New Roman" w:hAnsi="Times New Roman" w:cs="Times New Roman"/>
                <w:b/>
                <w:color w:val="000000"/>
                <w:sz w:val="24"/>
                <w:szCs w:val="24"/>
                <w:vertAlign w:val="superscript"/>
              </w:rPr>
              <w:t>o</w:t>
            </w:r>
            <w:r w:rsidRPr="009D4D4A">
              <w:rPr>
                <w:rFonts w:ascii="Times New Roman" w:hAnsi="Times New Roman" w:cs="Times New Roman"/>
                <w:b/>
                <w:color w:val="000000"/>
                <w:sz w:val="24"/>
                <w:szCs w:val="24"/>
              </w:rPr>
              <w:t>2θ)</w:t>
            </w:r>
          </w:p>
        </w:tc>
        <w:tc>
          <w:tcPr>
            <w:tcW w:w="2340" w:type="dxa"/>
            <w:shd w:val="clear" w:color="auto" w:fill="D9D9D9" w:themeFill="background1" w:themeFillShade="D9"/>
            <w:vAlign w:val="center"/>
          </w:tcPr>
          <w:p w14:paraId="12537792" w14:textId="77777777" w:rsidR="00777A0A" w:rsidRPr="009D4D4A" w:rsidRDefault="00777A0A" w:rsidP="00E85025">
            <w:pPr>
              <w:jc w:val="center"/>
              <w:rPr>
                <w:rFonts w:ascii="Times New Roman" w:hAnsi="Times New Roman" w:cs="Times New Roman"/>
                <w:b/>
                <w:color w:val="000000"/>
                <w:sz w:val="24"/>
                <w:szCs w:val="24"/>
              </w:rPr>
            </w:pPr>
            <w:r w:rsidRPr="009D4D4A">
              <w:rPr>
                <w:rFonts w:ascii="Times New Roman" w:hAnsi="Times New Roman" w:cs="Times New Roman"/>
                <w:b/>
                <w:color w:val="000000"/>
                <w:sz w:val="24"/>
                <w:szCs w:val="24"/>
              </w:rPr>
              <w:t>Peak Information</w:t>
            </w:r>
          </w:p>
        </w:tc>
      </w:tr>
      <w:tr w:rsidR="00777A0A" w:rsidRPr="009D4D4A" w14:paraId="6D50C8F7" w14:textId="77777777" w:rsidTr="00E85025">
        <w:trPr>
          <w:trHeight w:val="844"/>
        </w:trPr>
        <w:tc>
          <w:tcPr>
            <w:tcW w:w="904" w:type="dxa"/>
            <w:vAlign w:val="center"/>
          </w:tcPr>
          <w:p w14:paraId="63CF6F57" w14:textId="77777777" w:rsidR="00777A0A" w:rsidRPr="009D4D4A" w:rsidRDefault="00777A0A" w:rsidP="00E85025">
            <w:pPr>
              <w:jc w:val="center"/>
              <w:rPr>
                <w:rFonts w:ascii="Times New Roman" w:hAnsi="Times New Roman" w:cs="Times New Roman"/>
                <w:b/>
                <w:color w:val="000000"/>
                <w:sz w:val="24"/>
                <w:szCs w:val="24"/>
              </w:rPr>
            </w:pPr>
            <w:r w:rsidRPr="009D4D4A">
              <w:rPr>
                <w:rFonts w:ascii="Times New Roman" w:hAnsi="Times New Roman" w:cs="Times New Roman"/>
                <w:b/>
                <w:color w:val="000000"/>
                <w:sz w:val="24"/>
                <w:szCs w:val="24"/>
              </w:rPr>
              <w:t>C-S-H</w:t>
            </w:r>
          </w:p>
        </w:tc>
        <w:tc>
          <w:tcPr>
            <w:tcW w:w="1828" w:type="dxa"/>
            <w:vAlign w:val="center"/>
          </w:tcPr>
          <w:p w14:paraId="27EF3FD0" w14:textId="77777777" w:rsidR="00777A0A" w:rsidRPr="009D4D4A" w:rsidRDefault="00777A0A" w:rsidP="00E85025">
            <w:pPr>
              <w:jc w:val="center"/>
              <w:rPr>
                <w:rFonts w:ascii="Times New Roman" w:hAnsi="Times New Roman" w:cs="Times New Roman"/>
                <w:color w:val="000000"/>
                <w:sz w:val="24"/>
                <w:szCs w:val="24"/>
              </w:rPr>
            </w:pPr>
            <w:r w:rsidRPr="009D4D4A">
              <w:rPr>
                <w:rFonts w:ascii="Times New Roman" w:hAnsi="Times New Roman" w:cs="Times New Roman"/>
                <w:color w:val="000000"/>
                <w:sz w:val="24"/>
                <w:szCs w:val="24"/>
              </w:rPr>
              <w:t>Calcium silicate hydrate</w:t>
            </w:r>
          </w:p>
        </w:tc>
        <w:tc>
          <w:tcPr>
            <w:tcW w:w="2843" w:type="dxa"/>
            <w:vAlign w:val="center"/>
          </w:tcPr>
          <w:p w14:paraId="206FD4EC" w14:textId="22CE1034" w:rsidR="00777A0A" w:rsidRPr="009D4D4A" w:rsidRDefault="00AD06EC" w:rsidP="00AD06EC">
            <w:pPr>
              <w:jc w:val="center"/>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 xml:space="preserve">Hydrated </w:t>
            </w:r>
            <w:r w:rsidR="003F0A17">
              <w:rPr>
                <w:rFonts w:ascii="Times New Roman" w:eastAsia="Times New Roman" w:hAnsi="Times New Roman" w:cs="Times New Roman"/>
                <w:sz w:val="24"/>
                <w:szCs w:val="24"/>
                <w:lang w:eastAsia="en-GB"/>
              </w:rPr>
              <w:t xml:space="preserve">calcium silicate </w:t>
            </w:r>
            <w:r>
              <w:rPr>
                <w:rFonts w:ascii="Times New Roman" w:eastAsia="Times New Roman" w:hAnsi="Times New Roman" w:cs="Times New Roman"/>
                <w:sz w:val="24"/>
                <w:szCs w:val="24"/>
                <w:lang w:eastAsia="en-GB"/>
              </w:rPr>
              <w:t>(tobermorite)</w:t>
            </w:r>
          </w:p>
        </w:tc>
        <w:tc>
          <w:tcPr>
            <w:tcW w:w="1974" w:type="dxa"/>
            <w:vAlign w:val="center"/>
          </w:tcPr>
          <w:p w14:paraId="7D482AB6" w14:textId="77777777" w:rsidR="00777A0A" w:rsidRPr="009D4D4A" w:rsidRDefault="00777A0A" w:rsidP="00E85025">
            <w:pPr>
              <w:jc w:val="center"/>
              <w:rPr>
                <w:rFonts w:ascii="Times New Roman" w:hAnsi="Times New Roman" w:cs="Times New Roman"/>
                <w:color w:val="000000"/>
                <w:sz w:val="24"/>
                <w:szCs w:val="24"/>
              </w:rPr>
            </w:pPr>
            <w:r w:rsidRPr="009D4D4A">
              <w:rPr>
                <w:rFonts w:ascii="Times New Roman" w:hAnsi="Times New Roman" w:cs="Times New Roman"/>
                <w:color w:val="000000"/>
                <w:sz w:val="24"/>
                <w:szCs w:val="24"/>
              </w:rPr>
              <w:t>7.07, 29.06, 31.94, 49.79</w:t>
            </w:r>
          </w:p>
        </w:tc>
        <w:tc>
          <w:tcPr>
            <w:tcW w:w="2340" w:type="dxa"/>
            <w:vAlign w:val="center"/>
          </w:tcPr>
          <w:p w14:paraId="549B852C" w14:textId="77777777" w:rsidR="00777A0A" w:rsidRPr="009D4D4A" w:rsidRDefault="00777A0A" w:rsidP="00E85025">
            <w:pPr>
              <w:jc w:val="center"/>
              <w:rPr>
                <w:rFonts w:ascii="Times New Roman" w:hAnsi="Times New Roman" w:cs="Times New Roman"/>
                <w:color w:val="000000"/>
                <w:sz w:val="24"/>
                <w:szCs w:val="24"/>
              </w:rPr>
            </w:pPr>
            <w:r w:rsidRPr="009D4D4A">
              <w:rPr>
                <w:rFonts w:ascii="Times New Roman" w:hAnsi="Times New Roman" w:cs="Times New Roman"/>
                <w:color w:val="000000"/>
                <w:sz w:val="24"/>
                <w:szCs w:val="24"/>
              </w:rPr>
              <w:t>Taylor [17], ICDD No. [9-210]</w:t>
            </w:r>
          </w:p>
        </w:tc>
      </w:tr>
      <w:tr w:rsidR="00777A0A" w:rsidRPr="009D4D4A" w14:paraId="3F460B84" w14:textId="77777777" w:rsidTr="00E85025">
        <w:trPr>
          <w:trHeight w:val="842"/>
        </w:trPr>
        <w:tc>
          <w:tcPr>
            <w:tcW w:w="904" w:type="dxa"/>
            <w:vAlign w:val="center"/>
          </w:tcPr>
          <w:p w14:paraId="4F3A9FB8" w14:textId="77777777" w:rsidR="00777A0A" w:rsidRPr="009D4D4A" w:rsidRDefault="00777A0A" w:rsidP="00E85025">
            <w:pPr>
              <w:jc w:val="center"/>
              <w:rPr>
                <w:rFonts w:ascii="Times New Roman" w:hAnsi="Times New Roman" w:cs="Times New Roman"/>
                <w:b/>
                <w:color w:val="000000"/>
                <w:sz w:val="24"/>
                <w:szCs w:val="24"/>
              </w:rPr>
            </w:pPr>
            <w:r w:rsidRPr="009D4D4A">
              <w:rPr>
                <w:rFonts w:ascii="Times New Roman" w:hAnsi="Times New Roman" w:cs="Times New Roman"/>
                <w:b/>
                <w:color w:val="000000"/>
                <w:sz w:val="24"/>
                <w:szCs w:val="24"/>
              </w:rPr>
              <w:t>AFM</w:t>
            </w:r>
          </w:p>
        </w:tc>
        <w:tc>
          <w:tcPr>
            <w:tcW w:w="1828" w:type="dxa"/>
            <w:vAlign w:val="center"/>
          </w:tcPr>
          <w:p w14:paraId="170E3694" w14:textId="77777777" w:rsidR="00777A0A" w:rsidRPr="009D4D4A" w:rsidRDefault="00777A0A" w:rsidP="00E85025">
            <w:pPr>
              <w:jc w:val="center"/>
              <w:rPr>
                <w:rFonts w:ascii="Times New Roman" w:hAnsi="Times New Roman" w:cs="Times New Roman"/>
                <w:color w:val="000000"/>
                <w:sz w:val="24"/>
                <w:szCs w:val="24"/>
              </w:rPr>
            </w:pPr>
            <w:r w:rsidRPr="009D4D4A">
              <w:rPr>
                <w:rFonts w:ascii="Times New Roman" w:hAnsi="Times New Roman" w:cs="Times New Roman"/>
                <w:color w:val="000000"/>
                <w:sz w:val="24"/>
                <w:szCs w:val="24"/>
              </w:rPr>
              <w:t>Monosulphate (AFm)</w:t>
            </w:r>
          </w:p>
        </w:tc>
        <w:tc>
          <w:tcPr>
            <w:tcW w:w="2843" w:type="dxa"/>
            <w:vAlign w:val="center"/>
          </w:tcPr>
          <w:p w14:paraId="1750925A" w14:textId="77777777" w:rsidR="00777A0A" w:rsidRPr="009D4D4A" w:rsidRDefault="00777A0A" w:rsidP="00E85025">
            <w:pPr>
              <w:jc w:val="center"/>
              <w:rPr>
                <w:rFonts w:ascii="Times New Roman" w:hAnsi="Times New Roman" w:cs="Times New Roman"/>
                <w:color w:val="000000"/>
                <w:sz w:val="24"/>
                <w:szCs w:val="24"/>
              </w:rPr>
            </w:pPr>
            <w:proofErr w:type="gramStart"/>
            <w:r w:rsidRPr="009D4D4A">
              <w:rPr>
                <w:rFonts w:ascii="Times New Roman" w:hAnsi="Times New Roman" w:cs="Times New Roman"/>
                <w:sz w:val="24"/>
                <w:szCs w:val="24"/>
              </w:rPr>
              <w:t>Ca</w:t>
            </w:r>
            <w:r w:rsidRPr="009D4D4A">
              <w:rPr>
                <w:rFonts w:ascii="Times New Roman" w:hAnsi="Times New Roman" w:cs="Times New Roman"/>
                <w:sz w:val="24"/>
                <w:szCs w:val="24"/>
                <w:vertAlign w:val="subscript"/>
              </w:rPr>
              <w:t>4</w:t>
            </w:r>
            <w:r w:rsidRPr="009D4D4A">
              <w:rPr>
                <w:rFonts w:ascii="Times New Roman" w:hAnsi="Times New Roman" w:cs="Times New Roman"/>
                <w:sz w:val="24"/>
                <w:szCs w:val="24"/>
              </w:rPr>
              <w:t>Al</w:t>
            </w:r>
            <w:r w:rsidRPr="009D4D4A">
              <w:rPr>
                <w:rFonts w:ascii="Times New Roman" w:hAnsi="Times New Roman" w:cs="Times New Roman"/>
                <w:sz w:val="24"/>
                <w:szCs w:val="24"/>
                <w:vertAlign w:val="subscript"/>
              </w:rPr>
              <w:t>2</w:t>
            </w:r>
            <w:r w:rsidRPr="009D4D4A">
              <w:rPr>
                <w:rFonts w:ascii="Times New Roman" w:hAnsi="Times New Roman" w:cs="Times New Roman"/>
                <w:sz w:val="24"/>
                <w:szCs w:val="24"/>
              </w:rPr>
              <w:t>(</w:t>
            </w:r>
            <w:proofErr w:type="gramEnd"/>
            <w:r w:rsidRPr="009D4D4A">
              <w:rPr>
                <w:rFonts w:ascii="Times New Roman" w:hAnsi="Times New Roman" w:cs="Times New Roman"/>
                <w:sz w:val="24"/>
                <w:szCs w:val="24"/>
              </w:rPr>
              <w:t>OH)</w:t>
            </w:r>
            <w:r w:rsidRPr="009D4D4A">
              <w:rPr>
                <w:rFonts w:ascii="Times New Roman" w:hAnsi="Times New Roman" w:cs="Times New Roman"/>
                <w:sz w:val="24"/>
                <w:szCs w:val="24"/>
                <w:vertAlign w:val="subscript"/>
              </w:rPr>
              <w:t>12</w:t>
            </w:r>
            <w:r w:rsidRPr="009D4D4A">
              <w:rPr>
                <w:rFonts w:ascii="Times New Roman" w:hAnsi="Times New Roman" w:cs="Times New Roman"/>
                <w:sz w:val="24"/>
                <w:szCs w:val="24"/>
              </w:rPr>
              <w:t>(SO</w:t>
            </w:r>
            <w:r w:rsidRPr="009D4D4A">
              <w:rPr>
                <w:rFonts w:ascii="Times New Roman" w:hAnsi="Times New Roman" w:cs="Times New Roman"/>
                <w:sz w:val="24"/>
                <w:szCs w:val="24"/>
                <w:vertAlign w:val="subscript"/>
              </w:rPr>
              <w:t>4</w:t>
            </w:r>
            <w:r w:rsidRPr="009D4D4A">
              <w:rPr>
                <w:rFonts w:ascii="Times New Roman" w:hAnsi="Times New Roman" w:cs="Times New Roman"/>
                <w:sz w:val="24"/>
                <w:szCs w:val="24"/>
              </w:rPr>
              <w:t>).6H</w:t>
            </w:r>
            <w:r w:rsidRPr="009D4D4A">
              <w:rPr>
                <w:rFonts w:ascii="Times New Roman" w:hAnsi="Times New Roman" w:cs="Times New Roman"/>
                <w:sz w:val="24"/>
                <w:szCs w:val="24"/>
                <w:vertAlign w:val="subscript"/>
              </w:rPr>
              <w:t>2</w:t>
            </w:r>
            <w:r w:rsidRPr="009D4D4A">
              <w:rPr>
                <w:rFonts w:ascii="Times New Roman" w:hAnsi="Times New Roman" w:cs="Times New Roman"/>
                <w:sz w:val="24"/>
                <w:szCs w:val="24"/>
              </w:rPr>
              <w:t>O</w:t>
            </w:r>
          </w:p>
        </w:tc>
        <w:tc>
          <w:tcPr>
            <w:tcW w:w="1974" w:type="dxa"/>
            <w:vAlign w:val="center"/>
          </w:tcPr>
          <w:p w14:paraId="090B3E39" w14:textId="06FFFAE0" w:rsidR="00777A0A" w:rsidRPr="009D4D4A" w:rsidRDefault="009E3314" w:rsidP="00E85025">
            <w:pPr>
              <w:jc w:val="center"/>
              <w:rPr>
                <w:rFonts w:ascii="Times New Roman" w:hAnsi="Times New Roman" w:cs="Times New Roman"/>
                <w:sz w:val="24"/>
                <w:szCs w:val="24"/>
              </w:rPr>
            </w:pPr>
            <w:r>
              <w:rPr>
                <w:rFonts w:ascii="Times New Roman" w:hAnsi="Times New Roman" w:cs="Times New Roman"/>
                <w:color w:val="000000"/>
                <w:sz w:val="24"/>
                <w:szCs w:val="24"/>
              </w:rPr>
              <w:t>9.9, 19.6</w:t>
            </w:r>
            <w:r w:rsidR="00777A0A" w:rsidRPr="009D4D4A">
              <w:rPr>
                <w:rFonts w:ascii="Times New Roman" w:hAnsi="Times New Roman" w:cs="Times New Roman"/>
                <w:color w:val="000000"/>
                <w:sz w:val="24"/>
                <w:szCs w:val="24"/>
              </w:rPr>
              <w:t>4</w:t>
            </w:r>
          </w:p>
        </w:tc>
        <w:tc>
          <w:tcPr>
            <w:tcW w:w="2340" w:type="dxa"/>
            <w:vAlign w:val="center"/>
          </w:tcPr>
          <w:p w14:paraId="0F5EB4AD" w14:textId="77777777" w:rsidR="00777A0A" w:rsidRPr="009D4D4A" w:rsidRDefault="00777A0A" w:rsidP="00E85025">
            <w:pPr>
              <w:jc w:val="center"/>
              <w:rPr>
                <w:rFonts w:ascii="Times New Roman" w:hAnsi="Times New Roman" w:cs="Times New Roman"/>
                <w:sz w:val="24"/>
                <w:szCs w:val="24"/>
              </w:rPr>
            </w:pPr>
            <w:r w:rsidRPr="009D4D4A">
              <w:rPr>
                <w:rFonts w:ascii="Times New Roman" w:hAnsi="Times New Roman" w:cs="Times New Roman"/>
                <w:sz w:val="24"/>
                <w:szCs w:val="24"/>
              </w:rPr>
              <w:t>ICDD No.</w:t>
            </w:r>
            <w:r w:rsidRPr="009D4D4A">
              <w:rPr>
                <w:rFonts w:ascii="Times New Roman" w:hAnsi="Times New Roman" w:cs="Times New Roman"/>
                <w:color w:val="000000"/>
                <w:sz w:val="24"/>
                <w:szCs w:val="24"/>
              </w:rPr>
              <w:t xml:space="preserve"> [50-1607]</w:t>
            </w:r>
          </w:p>
        </w:tc>
      </w:tr>
      <w:tr w:rsidR="00777A0A" w:rsidRPr="009D4D4A" w14:paraId="4B604375" w14:textId="77777777" w:rsidTr="00E85025">
        <w:trPr>
          <w:trHeight w:val="712"/>
        </w:trPr>
        <w:tc>
          <w:tcPr>
            <w:tcW w:w="904" w:type="dxa"/>
            <w:vAlign w:val="center"/>
          </w:tcPr>
          <w:p w14:paraId="7D34A968" w14:textId="77777777" w:rsidR="00777A0A" w:rsidRPr="009D4D4A" w:rsidRDefault="00777A0A" w:rsidP="00E85025">
            <w:pPr>
              <w:jc w:val="center"/>
              <w:rPr>
                <w:rFonts w:ascii="Times New Roman" w:hAnsi="Times New Roman" w:cs="Times New Roman"/>
                <w:b/>
                <w:color w:val="000000"/>
                <w:sz w:val="24"/>
                <w:szCs w:val="24"/>
              </w:rPr>
            </w:pPr>
            <w:r w:rsidRPr="009D4D4A">
              <w:rPr>
                <w:rFonts w:ascii="Times New Roman" w:hAnsi="Times New Roman" w:cs="Times New Roman"/>
                <w:b/>
                <w:color w:val="000000"/>
                <w:sz w:val="24"/>
                <w:szCs w:val="24"/>
              </w:rPr>
              <w:t>E</w:t>
            </w:r>
          </w:p>
        </w:tc>
        <w:tc>
          <w:tcPr>
            <w:tcW w:w="1828" w:type="dxa"/>
            <w:vAlign w:val="center"/>
          </w:tcPr>
          <w:p w14:paraId="6853EE8B" w14:textId="77777777" w:rsidR="00777A0A" w:rsidRPr="009D4D4A" w:rsidRDefault="00777A0A" w:rsidP="00E85025">
            <w:pPr>
              <w:jc w:val="center"/>
              <w:rPr>
                <w:rFonts w:ascii="Times New Roman" w:hAnsi="Times New Roman" w:cs="Times New Roman"/>
                <w:color w:val="000000"/>
                <w:sz w:val="24"/>
                <w:szCs w:val="24"/>
              </w:rPr>
            </w:pPr>
            <w:r w:rsidRPr="009D4D4A">
              <w:rPr>
                <w:rFonts w:ascii="Times New Roman" w:hAnsi="Times New Roman" w:cs="Times New Roman"/>
                <w:color w:val="000000"/>
                <w:sz w:val="24"/>
                <w:szCs w:val="24"/>
              </w:rPr>
              <w:t>Ettringite (AFt)</w:t>
            </w:r>
          </w:p>
        </w:tc>
        <w:tc>
          <w:tcPr>
            <w:tcW w:w="2843" w:type="dxa"/>
            <w:vAlign w:val="center"/>
          </w:tcPr>
          <w:p w14:paraId="76F33CC2" w14:textId="77777777" w:rsidR="00777A0A" w:rsidRPr="009D4D4A" w:rsidRDefault="00777A0A" w:rsidP="00E85025">
            <w:pPr>
              <w:jc w:val="center"/>
              <w:rPr>
                <w:rFonts w:ascii="Times New Roman" w:hAnsi="Times New Roman" w:cs="Times New Roman"/>
                <w:color w:val="000000"/>
                <w:sz w:val="24"/>
                <w:szCs w:val="24"/>
              </w:rPr>
            </w:pPr>
            <w:proofErr w:type="gramStart"/>
            <w:r w:rsidRPr="009D4D4A">
              <w:rPr>
                <w:rFonts w:ascii="Times New Roman" w:hAnsi="Times New Roman" w:cs="Times New Roman"/>
                <w:sz w:val="24"/>
                <w:szCs w:val="24"/>
              </w:rPr>
              <w:t>Ca</w:t>
            </w:r>
            <w:r w:rsidRPr="009D4D4A">
              <w:rPr>
                <w:rFonts w:ascii="Times New Roman" w:hAnsi="Times New Roman" w:cs="Times New Roman"/>
                <w:sz w:val="24"/>
                <w:szCs w:val="24"/>
                <w:vertAlign w:val="subscript"/>
              </w:rPr>
              <w:t>6</w:t>
            </w:r>
            <w:r w:rsidRPr="009D4D4A">
              <w:rPr>
                <w:rFonts w:ascii="Times New Roman" w:hAnsi="Times New Roman" w:cs="Times New Roman"/>
                <w:sz w:val="24"/>
                <w:szCs w:val="24"/>
              </w:rPr>
              <w:t>Al</w:t>
            </w:r>
            <w:r w:rsidRPr="009D4D4A">
              <w:rPr>
                <w:rFonts w:ascii="Times New Roman" w:hAnsi="Times New Roman" w:cs="Times New Roman"/>
                <w:sz w:val="24"/>
                <w:szCs w:val="24"/>
                <w:vertAlign w:val="subscript"/>
              </w:rPr>
              <w:t>2</w:t>
            </w:r>
            <w:r w:rsidRPr="009D4D4A">
              <w:rPr>
                <w:rFonts w:ascii="Times New Roman" w:hAnsi="Times New Roman" w:cs="Times New Roman"/>
                <w:sz w:val="24"/>
                <w:szCs w:val="24"/>
              </w:rPr>
              <w:t>(</w:t>
            </w:r>
            <w:proofErr w:type="gramEnd"/>
            <w:r w:rsidRPr="009D4D4A">
              <w:rPr>
                <w:rFonts w:ascii="Times New Roman" w:hAnsi="Times New Roman" w:cs="Times New Roman"/>
                <w:sz w:val="24"/>
                <w:szCs w:val="24"/>
              </w:rPr>
              <w:t>OH)</w:t>
            </w:r>
            <w:r w:rsidRPr="009D4D4A">
              <w:rPr>
                <w:rFonts w:ascii="Times New Roman" w:hAnsi="Times New Roman" w:cs="Times New Roman"/>
                <w:sz w:val="24"/>
                <w:szCs w:val="24"/>
                <w:vertAlign w:val="subscript"/>
              </w:rPr>
              <w:t>12</w:t>
            </w:r>
            <w:r w:rsidRPr="009D4D4A">
              <w:rPr>
                <w:rFonts w:ascii="Times New Roman" w:hAnsi="Times New Roman" w:cs="Times New Roman"/>
                <w:sz w:val="24"/>
                <w:szCs w:val="24"/>
              </w:rPr>
              <w:t>(SO</w:t>
            </w:r>
            <w:r w:rsidRPr="009D4D4A">
              <w:rPr>
                <w:rFonts w:ascii="Times New Roman" w:hAnsi="Times New Roman" w:cs="Times New Roman"/>
                <w:sz w:val="24"/>
                <w:szCs w:val="24"/>
                <w:vertAlign w:val="subscript"/>
              </w:rPr>
              <w:t>4</w:t>
            </w:r>
            <w:r w:rsidRPr="009D4D4A">
              <w:rPr>
                <w:rFonts w:ascii="Times New Roman" w:hAnsi="Times New Roman" w:cs="Times New Roman"/>
                <w:sz w:val="24"/>
                <w:szCs w:val="24"/>
              </w:rPr>
              <w:t>)</w:t>
            </w:r>
            <w:r w:rsidRPr="009D4D4A">
              <w:rPr>
                <w:rFonts w:ascii="Times New Roman" w:hAnsi="Times New Roman" w:cs="Times New Roman"/>
                <w:sz w:val="24"/>
                <w:szCs w:val="24"/>
                <w:vertAlign w:val="subscript"/>
              </w:rPr>
              <w:t>3</w:t>
            </w:r>
            <w:r w:rsidRPr="009D4D4A">
              <w:rPr>
                <w:rFonts w:ascii="Times New Roman" w:hAnsi="Times New Roman" w:cs="Times New Roman"/>
                <w:sz w:val="24"/>
                <w:szCs w:val="24"/>
              </w:rPr>
              <w:t xml:space="preserve"> .26H</w:t>
            </w:r>
            <w:r w:rsidRPr="009D4D4A">
              <w:rPr>
                <w:rFonts w:ascii="Times New Roman" w:hAnsi="Times New Roman" w:cs="Times New Roman"/>
                <w:sz w:val="24"/>
                <w:szCs w:val="24"/>
                <w:vertAlign w:val="subscript"/>
              </w:rPr>
              <w:t>2</w:t>
            </w:r>
            <w:r w:rsidRPr="009D4D4A">
              <w:rPr>
                <w:rFonts w:ascii="Times New Roman" w:hAnsi="Times New Roman" w:cs="Times New Roman"/>
                <w:sz w:val="24"/>
                <w:szCs w:val="24"/>
              </w:rPr>
              <w:t>O</w:t>
            </w:r>
          </w:p>
        </w:tc>
        <w:tc>
          <w:tcPr>
            <w:tcW w:w="1974" w:type="dxa"/>
            <w:vAlign w:val="center"/>
          </w:tcPr>
          <w:p w14:paraId="6C6EDEC0" w14:textId="77777777" w:rsidR="00777A0A" w:rsidRPr="009D4D4A" w:rsidRDefault="00777A0A" w:rsidP="00E85025">
            <w:pPr>
              <w:jc w:val="center"/>
              <w:rPr>
                <w:rFonts w:ascii="Times New Roman" w:hAnsi="Times New Roman" w:cs="Times New Roman"/>
                <w:color w:val="000000"/>
                <w:sz w:val="24"/>
                <w:szCs w:val="24"/>
              </w:rPr>
            </w:pPr>
            <w:r w:rsidRPr="009D4D4A">
              <w:rPr>
                <w:rFonts w:ascii="Times New Roman" w:hAnsi="Times New Roman" w:cs="Times New Roman"/>
                <w:color w:val="000000"/>
                <w:sz w:val="24"/>
                <w:szCs w:val="24"/>
              </w:rPr>
              <w:t>9.0, 15.78</w:t>
            </w:r>
          </w:p>
        </w:tc>
        <w:tc>
          <w:tcPr>
            <w:tcW w:w="2340" w:type="dxa"/>
            <w:vAlign w:val="center"/>
          </w:tcPr>
          <w:p w14:paraId="74646AC0" w14:textId="77777777" w:rsidR="00777A0A" w:rsidRPr="009D4D4A" w:rsidRDefault="00777A0A" w:rsidP="00E85025">
            <w:pPr>
              <w:jc w:val="center"/>
              <w:rPr>
                <w:rFonts w:ascii="Times New Roman" w:hAnsi="Times New Roman" w:cs="Times New Roman"/>
                <w:sz w:val="24"/>
                <w:szCs w:val="24"/>
              </w:rPr>
            </w:pPr>
            <w:r w:rsidRPr="009D4D4A">
              <w:rPr>
                <w:rFonts w:ascii="Times New Roman" w:hAnsi="Times New Roman" w:cs="Times New Roman"/>
                <w:sz w:val="24"/>
                <w:szCs w:val="24"/>
              </w:rPr>
              <w:t>ICDD No. [41-1451]</w:t>
            </w:r>
          </w:p>
        </w:tc>
      </w:tr>
      <w:tr w:rsidR="00777A0A" w:rsidRPr="009D4D4A" w14:paraId="03FD88B7" w14:textId="77777777" w:rsidTr="00E85025">
        <w:trPr>
          <w:trHeight w:val="841"/>
        </w:trPr>
        <w:tc>
          <w:tcPr>
            <w:tcW w:w="904" w:type="dxa"/>
            <w:vAlign w:val="center"/>
          </w:tcPr>
          <w:p w14:paraId="4708B526" w14:textId="77777777" w:rsidR="00777A0A" w:rsidRPr="009D4D4A" w:rsidRDefault="00777A0A" w:rsidP="00E85025">
            <w:pPr>
              <w:jc w:val="center"/>
              <w:rPr>
                <w:rFonts w:ascii="Times New Roman" w:hAnsi="Times New Roman" w:cs="Times New Roman"/>
                <w:b/>
                <w:color w:val="000000"/>
                <w:sz w:val="24"/>
                <w:szCs w:val="24"/>
              </w:rPr>
            </w:pPr>
            <w:r w:rsidRPr="009D4D4A">
              <w:rPr>
                <w:rFonts w:ascii="Times New Roman" w:hAnsi="Times New Roman" w:cs="Times New Roman"/>
                <w:b/>
                <w:color w:val="000000"/>
                <w:sz w:val="24"/>
                <w:szCs w:val="24"/>
              </w:rPr>
              <w:t>G</w:t>
            </w:r>
          </w:p>
        </w:tc>
        <w:tc>
          <w:tcPr>
            <w:tcW w:w="1828" w:type="dxa"/>
            <w:vAlign w:val="center"/>
          </w:tcPr>
          <w:p w14:paraId="341A3DE2" w14:textId="77777777" w:rsidR="00777A0A" w:rsidRPr="009D4D4A" w:rsidRDefault="00777A0A" w:rsidP="00E85025">
            <w:pPr>
              <w:jc w:val="center"/>
              <w:rPr>
                <w:rFonts w:ascii="Times New Roman" w:hAnsi="Times New Roman" w:cs="Times New Roman"/>
                <w:color w:val="000000"/>
                <w:sz w:val="24"/>
                <w:szCs w:val="24"/>
              </w:rPr>
            </w:pPr>
            <w:r w:rsidRPr="009D4D4A">
              <w:rPr>
                <w:rFonts w:ascii="Times New Roman" w:hAnsi="Times New Roman" w:cs="Times New Roman"/>
                <w:color w:val="000000"/>
                <w:sz w:val="24"/>
                <w:szCs w:val="24"/>
              </w:rPr>
              <w:t>Gehlenite</w:t>
            </w:r>
          </w:p>
        </w:tc>
        <w:tc>
          <w:tcPr>
            <w:tcW w:w="2843" w:type="dxa"/>
            <w:vAlign w:val="center"/>
          </w:tcPr>
          <w:p w14:paraId="6DC4E117" w14:textId="5E710679" w:rsidR="00777A0A" w:rsidRPr="00C6764D" w:rsidRDefault="00FC41D6" w:rsidP="00FC41D6">
            <w:pPr>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r w:rsidR="00777A0A" w:rsidRPr="009D4D4A">
              <w:rPr>
                <w:rFonts w:ascii="Times New Roman" w:hAnsi="Times New Roman" w:cs="Times New Roman"/>
                <w:color w:val="000000"/>
                <w:sz w:val="24"/>
                <w:szCs w:val="24"/>
              </w:rPr>
              <w:t>Ca</w:t>
            </w:r>
            <w:r w:rsidR="00A128A8">
              <w:rPr>
                <w:rFonts w:ascii="Times New Roman" w:hAnsi="Times New Roman" w:cs="Times New Roman"/>
                <w:color w:val="000000"/>
                <w:sz w:val="24"/>
                <w:szCs w:val="24"/>
              </w:rPr>
              <w:t>O</w:t>
            </w:r>
            <w:r w:rsidR="00777A0A" w:rsidRPr="009D4D4A">
              <w:rPr>
                <w:rFonts w:ascii="Times New Roman" w:hAnsi="Times New Roman" w:cs="Times New Roman"/>
                <w:color w:val="000000"/>
                <w:sz w:val="24"/>
                <w:szCs w:val="24"/>
              </w:rPr>
              <w:t>Al</w:t>
            </w:r>
            <w:r w:rsidR="00777A0A" w:rsidRPr="009D4D4A">
              <w:rPr>
                <w:rFonts w:ascii="Times New Roman" w:hAnsi="Times New Roman" w:cs="Times New Roman"/>
                <w:color w:val="000000"/>
                <w:sz w:val="24"/>
                <w:szCs w:val="24"/>
                <w:vertAlign w:val="subscript"/>
              </w:rPr>
              <w:t>2</w:t>
            </w:r>
            <w:r>
              <w:rPr>
                <w:rFonts w:ascii="Times New Roman" w:hAnsi="Times New Roman" w:cs="Times New Roman"/>
                <w:color w:val="000000"/>
                <w:sz w:val="24"/>
                <w:szCs w:val="24"/>
              </w:rPr>
              <w:t>O</w:t>
            </w:r>
            <w:r>
              <w:rPr>
                <w:rFonts w:ascii="Times New Roman" w:hAnsi="Times New Roman" w:cs="Times New Roman"/>
                <w:color w:val="000000"/>
                <w:sz w:val="24"/>
                <w:szCs w:val="24"/>
                <w:vertAlign w:val="subscript"/>
              </w:rPr>
              <w:t>3</w:t>
            </w:r>
            <w:r>
              <w:rPr>
                <w:rFonts w:ascii="Times New Roman" w:hAnsi="Times New Roman" w:cs="Times New Roman"/>
                <w:color w:val="000000"/>
                <w:sz w:val="24"/>
                <w:szCs w:val="24"/>
              </w:rPr>
              <w:t>S</w:t>
            </w:r>
            <w:r w:rsidR="00777A0A" w:rsidRPr="009D4D4A">
              <w:rPr>
                <w:rFonts w:ascii="Times New Roman" w:hAnsi="Times New Roman" w:cs="Times New Roman"/>
                <w:color w:val="000000"/>
                <w:sz w:val="24"/>
                <w:szCs w:val="24"/>
              </w:rPr>
              <w:t>iO</w:t>
            </w:r>
            <w:r>
              <w:rPr>
                <w:rFonts w:ascii="Times New Roman" w:hAnsi="Times New Roman" w:cs="Times New Roman"/>
                <w:color w:val="000000"/>
                <w:sz w:val="24"/>
                <w:szCs w:val="24"/>
                <w:vertAlign w:val="subscript"/>
              </w:rPr>
              <w:t>2</w:t>
            </w:r>
            <w:r>
              <w:rPr>
                <w:rFonts w:ascii="Times New Roman" w:hAnsi="Times New Roman" w:cs="Times New Roman"/>
                <w:color w:val="000000"/>
                <w:sz w:val="24"/>
                <w:szCs w:val="24"/>
              </w:rPr>
              <w:t>.H</w:t>
            </w:r>
            <w:r>
              <w:rPr>
                <w:rFonts w:ascii="Times New Roman" w:hAnsi="Times New Roman" w:cs="Times New Roman"/>
                <w:color w:val="000000"/>
                <w:sz w:val="24"/>
                <w:szCs w:val="24"/>
                <w:vertAlign w:val="subscript"/>
              </w:rPr>
              <w:t>2</w:t>
            </w:r>
            <w:r>
              <w:rPr>
                <w:rFonts w:ascii="Times New Roman" w:hAnsi="Times New Roman" w:cs="Times New Roman"/>
                <w:color w:val="000000"/>
                <w:sz w:val="24"/>
                <w:szCs w:val="24"/>
              </w:rPr>
              <w:t>O</w:t>
            </w:r>
          </w:p>
        </w:tc>
        <w:tc>
          <w:tcPr>
            <w:tcW w:w="1974" w:type="dxa"/>
            <w:vAlign w:val="center"/>
          </w:tcPr>
          <w:p w14:paraId="34FC0EF7" w14:textId="77777777" w:rsidR="00777A0A" w:rsidRPr="009D4D4A" w:rsidRDefault="00777A0A" w:rsidP="00E85025">
            <w:pPr>
              <w:jc w:val="center"/>
              <w:rPr>
                <w:rFonts w:ascii="Times New Roman" w:hAnsi="Times New Roman" w:cs="Times New Roman"/>
                <w:sz w:val="24"/>
                <w:szCs w:val="24"/>
              </w:rPr>
            </w:pPr>
            <w:r w:rsidRPr="009D4D4A">
              <w:rPr>
                <w:rFonts w:ascii="Times New Roman" w:hAnsi="Times New Roman" w:cs="Times New Roman"/>
                <w:color w:val="000000"/>
                <w:sz w:val="24"/>
                <w:szCs w:val="24"/>
              </w:rPr>
              <w:t>23.88, 31.37, 52.10</w:t>
            </w:r>
          </w:p>
        </w:tc>
        <w:tc>
          <w:tcPr>
            <w:tcW w:w="2340" w:type="dxa"/>
            <w:vAlign w:val="center"/>
          </w:tcPr>
          <w:p w14:paraId="44D6EAE1" w14:textId="77777777" w:rsidR="00777A0A" w:rsidRPr="009D4D4A" w:rsidRDefault="00777A0A" w:rsidP="00E85025">
            <w:pPr>
              <w:jc w:val="center"/>
              <w:rPr>
                <w:rFonts w:ascii="Times New Roman" w:hAnsi="Times New Roman" w:cs="Times New Roman"/>
                <w:sz w:val="24"/>
                <w:szCs w:val="24"/>
              </w:rPr>
            </w:pPr>
            <w:r w:rsidRPr="009D4D4A">
              <w:rPr>
                <w:rFonts w:ascii="Times New Roman" w:hAnsi="Times New Roman" w:cs="Times New Roman"/>
                <w:sz w:val="24"/>
                <w:szCs w:val="24"/>
              </w:rPr>
              <w:t xml:space="preserve">ICDD No. </w:t>
            </w:r>
            <w:r w:rsidRPr="009D4D4A">
              <w:rPr>
                <w:rFonts w:ascii="Times New Roman" w:hAnsi="Times New Roman" w:cs="Times New Roman"/>
                <w:color w:val="000000"/>
                <w:sz w:val="24"/>
                <w:szCs w:val="24"/>
              </w:rPr>
              <w:t>[73-2041]</w:t>
            </w:r>
          </w:p>
        </w:tc>
      </w:tr>
      <w:tr w:rsidR="00777A0A" w:rsidRPr="009D4D4A" w14:paraId="7CA1DB4D" w14:textId="77777777" w:rsidTr="00E85025">
        <w:trPr>
          <w:trHeight w:val="400"/>
        </w:trPr>
        <w:tc>
          <w:tcPr>
            <w:tcW w:w="904" w:type="dxa"/>
            <w:vAlign w:val="center"/>
          </w:tcPr>
          <w:p w14:paraId="30729931" w14:textId="77777777" w:rsidR="00777A0A" w:rsidRPr="009D4D4A" w:rsidRDefault="00777A0A" w:rsidP="00E85025">
            <w:pPr>
              <w:jc w:val="center"/>
              <w:rPr>
                <w:rFonts w:ascii="Times New Roman" w:hAnsi="Times New Roman" w:cs="Times New Roman"/>
                <w:b/>
                <w:color w:val="000000"/>
                <w:sz w:val="24"/>
                <w:szCs w:val="24"/>
              </w:rPr>
            </w:pPr>
            <w:r w:rsidRPr="009D4D4A">
              <w:rPr>
                <w:rFonts w:ascii="Times New Roman" w:hAnsi="Times New Roman" w:cs="Times New Roman"/>
                <w:b/>
                <w:color w:val="000000"/>
                <w:sz w:val="24"/>
                <w:szCs w:val="24"/>
              </w:rPr>
              <w:t>P</w:t>
            </w:r>
          </w:p>
        </w:tc>
        <w:tc>
          <w:tcPr>
            <w:tcW w:w="1828" w:type="dxa"/>
            <w:vAlign w:val="center"/>
          </w:tcPr>
          <w:p w14:paraId="376BB5EF" w14:textId="77777777" w:rsidR="00777A0A" w:rsidRPr="009D4D4A" w:rsidRDefault="00777A0A" w:rsidP="00E85025">
            <w:pPr>
              <w:jc w:val="center"/>
              <w:rPr>
                <w:rFonts w:ascii="Times New Roman" w:hAnsi="Times New Roman" w:cs="Times New Roman"/>
                <w:color w:val="000000"/>
                <w:sz w:val="24"/>
                <w:szCs w:val="24"/>
              </w:rPr>
            </w:pPr>
            <w:r w:rsidRPr="009D4D4A">
              <w:rPr>
                <w:rFonts w:ascii="Times New Roman" w:hAnsi="Times New Roman" w:cs="Times New Roman"/>
                <w:color w:val="000000"/>
                <w:sz w:val="24"/>
                <w:szCs w:val="24"/>
              </w:rPr>
              <w:t>Portlandite</w:t>
            </w:r>
          </w:p>
        </w:tc>
        <w:tc>
          <w:tcPr>
            <w:tcW w:w="2843" w:type="dxa"/>
            <w:vAlign w:val="center"/>
          </w:tcPr>
          <w:p w14:paraId="3A2F5017" w14:textId="77777777" w:rsidR="00777A0A" w:rsidRPr="009D4D4A" w:rsidRDefault="00777A0A" w:rsidP="00E85025">
            <w:pPr>
              <w:jc w:val="center"/>
              <w:rPr>
                <w:rFonts w:ascii="Times New Roman" w:hAnsi="Times New Roman" w:cs="Times New Roman"/>
                <w:color w:val="000000"/>
                <w:sz w:val="24"/>
                <w:szCs w:val="24"/>
              </w:rPr>
            </w:pPr>
            <w:proofErr w:type="gramStart"/>
            <w:r w:rsidRPr="009D4D4A">
              <w:rPr>
                <w:rFonts w:ascii="Times New Roman" w:hAnsi="Times New Roman" w:cs="Times New Roman"/>
                <w:color w:val="000000"/>
                <w:sz w:val="24"/>
                <w:szCs w:val="24"/>
              </w:rPr>
              <w:t>Ca(</w:t>
            </w:r>
            <w:proofErr w:type="gramEnd"/>
            <w:r w:rsidRPr="009D4D4A">
              <w:rPr>
                <w:rFonts w:ascii="Times New Roman" w:hAnsi="Times New Roman" w:cs="Times New Roman"/>
                <w:color w:val="000000"/>
                <w:sz w:val="24"/>
                <w:szCs w:val="24"/>
              </w:rPr>
              <w:t>OH)</w:t>
            </w:r>
            <w:r w:rsidRPr="009D4D4A">
              <w:rPr>
                <w:rFonts w:ascii="Times New Roman" w:hAnsi="Times New Roman" w:cs="Times New Roman"/>
                <w:color w:val="000000"/>
                <w:sz w:val="24"/>
                <w:szCs w:val="24"/>
                <w:vertAlign w:val="subscript"/>
              </w:rPr>
              <w:t>2</w:t>
            </w:r>
          </w:p>
        </w:tc>
        <w:tc>
          <w:tcPr>
            <w:tcW w:w="1974" w:type="dxa"/>
            <w:vAlign w:val="center"/>
          </w:tcPr>
          <w:p w14:paraId="44205A06" w14:textId="77777777" w:rsidR="00777A0A" w:rsidRPr="009D4D4A" w:rsidRDefault="00777A0A" w:rsidP="00E85025">
            <w:pPr>
              <w:jc w:val="center"/>
              <w:rPr>
                <w:rFonts w:ascii="Times New Roman" w:hAnsi="Times New Roman" w:cs="Times New Roman"/>
                <w:sz w:val="24"/>
                <w:szCs w:val="24"/>
              </w:rPr>
            </w:pPr>
            <w:r w:rsidRPr="009D4D4A">
              <w:rPr>
                <w:rFonts w:ascii="Times New Roman" w:hAnsi="Times New Roman" w:cs="Times New Roman"/>
                <w:sz w:val="24"/>
                <w:szCs w:val="24"/>
              </w:rPr>
              <w:t>18.01, 28.6, 34.10, 47.12</w:t>
            </w:r>
          </w:p>
        </w:tc>
        <w:tc>
          <w:tcPr>
            <w:tcW w:w="2340" w:type="dxa"/>
            <w:vAlign w:val="center"/>
          </w:tcPr>
          <w:p w14:paraId="282A5F97" w14:textId="77777777" w:rsidR="00777A0A" w:rsidRPr="009D4D4A" w:rsidRDefault="00777A0A" w:rsidP="00E85025">
            <w:pPr>
              <w:jc w:val="center"/>
              <w:rPr>
                <w:rFonts w:ascii="Times New Roman" w:hAnsi="Times New Roman" w:cs="Times New Roman"/>
                <w:sz w:val="24"/>
                <w:szCs w:val="24"/>
              </w:rPr>
            </w:pPr>
            <w:r w:rsidRPr="009D4D4A">
              <w:rPr>
                <w:rFonts w:ascii="Times New Roman" w:hAnsi="Times New Roman" w:cs="Times New Roman"/>
                <w:sz w:val="24"/>
                <w:szCs w:val="24"/>
              </w:rPr>
              <w:t>ICDD No.</w:t>
            </w:r>
            <w:r w:rsidRPr="009D4D4A">
              <w:rPr>
                <w:rFonts w:ascii="Times New Roman" w:hAnsi="Times New Roman" w:cs="Times New Roman"/>
                <w:color w:val="000000"/>
                <w:sz w:val="24"/>
                <w:szCs w:val="24"/>
              </w:rPr>
              <w:t xml:space="preserve"> [44-1481]</w:t>
            </w:r>
          </w:p>
        </w:tc>
      </w:tr>
      <w:tr w:rsidR="00777A0A" w:rsidRPr="009D4D4A" w14:paraId="73ABBF19" w14:textId="77777777" w:rsidTr="00E85025">
        <w:trPr>
          <w:trHeight w:val="687"/>
        </w:trPr>
        <w:tc>
          <w:tcPr>
            <w:tcW w:w="904" w:type="dxa"/>
            <w:vAlign w:val="center"/>
          </w:tcPr>
          <w:p w14:paraId="686702B2" w14:textId="77777777" w:rsidR="00777A0A" w:rsidRPr="009D4D4A" w:rsidRDefault="00777A0A" w:rsidP="00E85025">
            <w:pPr>
              <w:jc w:val="center"/>
              <w:rPr>
                <w:rFonts w:ascii="Times New Roman" w:hAnsi="Times New Roman" w:cs="Times New Roman"/>
                <w:b/>
                <w:color w:val="000000"/>
                <w:sz w:val="24"/>
                <w:szCs w:val="24"/>
              </w:rPr>
            </w:pPr>
            <w:r w:rsidRPr="009D4D4A">
              <w:rPr>
                <w:rFonts w:ascii="Times New Roman" w:hAnsi="Times New Roman" w:cs="Times New Roman"/>
                <w:b/>
                <w:color w:val="000000"/>
                <w:sz w:val="24"/>
                <w:szCs w:val="24"/>
              </w:rPr>
              <w:t>HC</w:t>
            </w:r>
          </w:p>
        </w:tc>
        <w:tc>
          <w:tcPr>
            <w:tcW w:w="1828" w:type="dxa"/>
            <w:vAlign w:val="center"/>
          </w:tcPr>
          <w:p w14:paraId="52DF4BE4" w14:textId="77777777" w:rsidR="00777A0A" w:rsidRPr="009D4D4A" w:rsidRDefault="00777A0A" w:rsidP="00E85025">
            <w:pPr>
              <w:jc w:val="center"/>
              <w:rPr>
                <w:rFonts w:ascii="Times New Roman" w:hAnsi="Times New Roman" w:cs="Times New Roman"/>
                <w:color w:val="000000"/>
                <w:sz w:val="24"/>
                <w:szCs w:val="24"/>
              </w:rPr>
            </w:pPr>
            <w:r w:rsidRPr="009D4D4A">
              <w:rPr>
                <w:rFonts w:ascii="Times New Roman" w:hAnsi="Times New Roman" w:cs="Times New Roman"/>
                <w:color w:val="000000"/>
                <w:sz w:val="24"/>
                <w:szCs w:val="24"/>
              </w:rPr>
              <w:t>Hydrotalcite</w:t>
            </w:r>
          </w:p>
        </w:tc>
        <w:tc>
          <w:tcPr>
            <w:tcW w:w="2843" w:type="dxa"/>
            <w:vAlign w:val="center"/>
          </w:tcPr>
          <w:p w14:paraId="5B6F52E0" w14:textId="5943750D" w:rsidR="00777A0A" w:rsidRPr="00225C92" w:rsidRDefault="002F5542" w:rsidP="00E85025">
            <w:pPr>
              <w:jc w:val="center"/>
              <w:rPr>
                <w:rFonts w:ascii="Times New Roman" w:hAnsi="Times New Roman" w:cs="Times New Roman"/>
                <w:sz w:val="24"/>
                <w:szCs w:val="24"/>
              </w:rPr>
            </w:pPr>
            <w:proofErr w:type="gramStart"/>
            <w:r w:rsidRPr="002F5542">
              <w:rPr>
                <w:rFonts w:ascii="Times New Roman" w:hAnsi="Times New Roman" w:cs="Times New Roman"/>
                <w:color w:val="000000"/>
                <w:sz w:val="24"/>
                <w:szCs w:val="24"/>
              </w:rPr>
              <w:t>Mg</w:t>
            </w:r>
            <w:r w:rsidRPr="00751C5B">
              <w:rPr>
                <w:rFonts w:ascii="Times New Roman" w:hAnsi="Times New Roman" w:cs="Times New Roman"/>
                <w:color w:val="000000"/>
                <w:vertAlign w:val="subscript"/>
              </w:rPr>
              <w:t>6</w:t>
            </w:r>
            <w:r w:rsidRPr="002F5542">
              <w:rPr>
                <w:rFonts w:ascii="Times New Roman" w:hAnsi="Times New Roman" w:cs="Times New Roman"/>
                <w:color w:val="000000"/>
                <w:sz w:val="24"/>
                <w:szCs w:val="24"/>
              </w:rPr>
              <w:t>Al</w:t>
            </w:r>
            <w:r w:rsidRPr="00751C5B">
              <w:rPr>
                <w:rFonts w:ascii="Times New Roman" w:hAnsi="Times New Roman" w:cs="Times New Roman"/>
                <w:color w:val="000000"/>
                <w:vertAlign w:val="subscript"/>
              </w:rPr>
              <w:t>2</w:t>
            </w:r>
            <w:r w:rsidRPr="002F5542">
              <w:rPr>
                <w:rFonts w:ascii="Times New Roman" w:hAnsi="Times New Roman" w:cs="Times New Roman"/>
                <w:color w:val="000000"/>
                <w:sz w:val="24"/>
                <w:szCs w:val="24"/>
              </w:rPr>
              <w:t>CO</w:t>
            </w:r>
            <w:r w:rsidRPr="00751C5B">
              <w:rPr>
                <w:rFonts w:ascii="Times New Roman" w:hAnsi="Times New Roman" w:cs="Times New Roman"/>
                <w:color w:val="000000"/>
                <w:vertAlign w:val="subscript"/>
              </w:rPr>
              <w:t>3</w:t>
            </w:r>
            <w:r w:rsidR="00F57B4D">
              <w:rPr>
                <w:rFonts w:ascii="Times New Roman" w:hAnsi="Times New Roman" w:cs="Times New Roman"/>
                <w:color w:val="000000"/>
                <w:sz w:val="24"/>
                <w:szCs w:val="24"/>
              </w:rPr>
              <w:t>(</w:t>
            </w:r>
            <w:proofErr w:type="gramEnd"/>
            <w:r w:rsidR="00F57B4D">
              <w:rPr>
                <w:rFonts w:ascii="Times New Roman" w:hAnsi="Times New Roman" w:cs="Times New Roman"/>
                <w:color w:val="000000"/>
                <w:sz w:val="24"/>
                <w:szCs w:val="24"/>
              </w:rPr>
              <w:t>OH)</w:t>
            </w:r>
            <w:r w:rsidRPr="00751C5B">
              <w:rPr>
                <w:rFonts w:ascii="Times New Roman" w:hAnsi="Times New Roman" w:cs="Times New Roman"/>
                <w:color w:val="000000"/>
                <w:vertAlign w:val="subscript"/>
              </w:rPr>
              <w:t>16</w:t>
            </w:r>
            <w:r w:rsidR="00F57B4D">
              <w:rPr>
                <w:rFonts w:ascii="Times New Roman" w:hAnsi="Times New Roman" w:cs="Times New Roman"/>
                <w:color w:val="000000"/>
                <w:sz w:val="24"/>
                <w:szCs w:val="24"/>
              </w:rPr>
              <w:t>·</w:t>
            </w:r>
            <w:r w:rsidRPr="002F5542">
              <w:rPr>
                <w:rFonts w:ascii="Times New Roman" w:hAnsi="Times New Roman" w:cs="Times New Roman"/>
                <w:color w:val="000000"/>
                <w:sz w:val="24"/>
                <w:szCs w:val="24"/>
              </w:rPr>
              <w:t>4(H</w:t>
            </w:r>
            <w:r w:rsidRPr="00751C5B">
              <w:rPr>
                <w:rFonts w:ascii="Times New Roman" w:hAnsi="Times New Roman" w:cs="Times New Roman"/>
                <w:color w:val="000000"/>
                <w:vertAlign w:val="subscript"/>
              </w:rPr>
              <w:t>2</w:t>
            </w:r>
            <w:r w:rsidRPr="002F5542">
              <w:rPr>
                <w:rFonts w:ascii="Times New Roman" w:hAnsi="Times New Roman" w:cs="Times New Roman"/>
                <w:color w:val="000000"/>
                <w:sz w:val="24"/>
                <w:szCs w:val="24"/>
              </w:rPr>
              <w:t>O)</w:t>
            </w:r>
          </w:p>
        </w:tc>
        <w:tc>
          <w:tcPr>
            <w:tcW w:w="1974" w:type="dxa"/>
            <w:vAlign w:val="center"/>
          </w:tcPr>
          <w:p w14:paraId="58CB4E8A" w14:textId="77777777" w:rsidR="00777A0A" w:rsidRPr="009D4D4A" w:rsidRDefault="00777A0A" w:rsidP="00E85025">
            <w:pPr>
              <w:jc w:val="center"/>
              <w:rPr>
                <w:rFonts w:ascii="Times New Roman" w:hAnsi="Times New Roman" w:cs="Times New Roman"/>
                <w:sz w:val="24"/>
                <w:szCs w:val="24"/>
              </w:rPr>
            </w:pPr>
            <w:r w:rsidRPr="009D4D4A">
              <w:rPr>
                <w:rFonts w:ascii="Times New Roman" w:hAnsi="Times New Roman" w:cs="Times New Roman"/>
                <w:color w:val="000000"/>
                <w:sz w:val="24"/>
                <w:szCs w:val="24"/>
              </w:rPr>
              <w:t>11.27, 22.70, 54.79</w:t>
            </w:r>
          </w:p>
        </w:tc>
        <w:tc>
          <w:tcPr>
            <w:tcW w:w="2340" w:type="dxa"/>
            <w:vAlign w:val="center"/>
          </w:tcPr>
          <w:p w14:paraId="0A90E4F2" w14:textId="77777777" w:rsidR="00777A0A" w:rsidRPr="009D4D4A" w:rsidRDefault="00777A0A" w:rsidP="00E85025">
            <w:pPr>
              <w:jc w:val="center"/>
              <w:rPr>
                <w:rFonts w:ascii="Times New Roman" w:hAnsi="Times New Roman" w:cs="Times New Roman"/>
                <w:color w:val="000000"/>
                <w:sz w:val="24"/>
                <w:szCs w:val="24"/>
              </w:rPr>
            </w:pPr>
            <w:r w:rsidRPr="009D4D4A">
              <w:rPr>
                <w:rFonts w:ascii="Times New Roman" w:hAnsi="Times New Roman" w:cs="Times New Roman"/>
                <w:color w:val="000000"/>
                <w:sz w:val="24"/>
                <w:szCs w:val="24"/>
              </w:rPr>
              <w:t>ICCD No. [41-1428]</w:t>
            </w:r>
          </w:p>
        </w:tc>
      </w:tr>
      <w:tr w:rsidR="00777A0A" w:rsidRPr="009D4D4A" w14:paraId="1BC5BA6C" w14:textId="77777777" w:rsidTr="00E85025">
        <w:trPr>
          <w:trHeight w:val="413"/>
        </w:trPr>
        <w:tc>
          <w:tcPr>
            <w:tcW w:w="904" w:type="dxa"/>
            <w:vAlign w:val="center"/>
          </w:tcPr>
          <w:p w14:paraId="1ECF2236" w14:textId="77777777" w:rsidR="00777A0A" w:rsidRPr="009D4D4A" w:rsidRDefault="00777A0A" w:rsidP="00E85025">
            <w:pPr>
              <w:jc w:val="center"/>
              <w:rPr>
                <w:rFonts w:ascii="Times New Roman" w:hAnsi="Times New Roman" w:cs="Times New Roman"/>
                <w:b/>
                <w:color w:val="000000"/>
                <w:sz w:val="24"/>
                <w:szCs w:val="24"/>
              </w:rPr>
            </w:pPr>
            <w:r w:rsidRPr="009D4D4A">
              <w:rPr>
                <w:rFonts w:ascii="Times New Roman" w:hAnsi="Times New Roman" w:cs="Times New Roman"/>
                <w:b/>
                <w:color w:val="000000"/>
                <w:sz w:val="24"/>
                <w:szCs w:val="24"/>
              </w:rPr>
              <w:t>CC</w:t>
            </w:r>
          </w:p>
        </w:tc>
        <w:tc>
          <w:tcPr>
            <w:tcW w:w="1828" w:type="dxa"/>
            <w:vAlign w:val="center"/>
          </w:tcPr>
          <w:p w14:paraId="0B603C79" w14:textId="77777777" w:rsidR="00777A0A" w:rsidRPr="009D4D4A" w:rsidRDefault="00777A0A" w:rsidP="00E85025">
            <w:pPr>
              <w:jc w:val="center"/>
              <w:rPr>
                <w:rFonts w:ascii="Times New Roman" w:hAnsi="Times New Roman" w:cs="Times New Roman"/>
                <w:color w:val="000000"/>
                <w:sz w:val="24"/>
                <w:szCs w:val="24"/>
              </w:rPr>
            </w:pPr>
            <w:r w:rsidRPr="009D4D4A">
              <w:rPr>
                <w:rFonts w:ascii="Times New Roman" w:hAnsi="Times New Roman" w:cs="Times New Roman"/>
                <w:color w:val="000000"/>
                <w:sz w:val="24"/>
                <w:szCs w:val="24"/>
              </w:rPr>
              <w:t>Calcium carbonate (Calcite)</w:t>
            </w:r>
          </w:p>
        </w:tc>
        <w:tc>
          <w:tcPr>
            <w:tcW w:w="2843" w:type="dxa"/>
            <w:vAlign w:val="center"/>
          </w:tcPr>
          <w:p w14:paraId="05FCB30B" w14:textId="77777777" w:rsidR="00777A0A" w:rsidRPr="009D4D4A" w:rsidRDefault="00777A0A" w:rsidP="00E85025">
            <w:pPr>
              <w:jc w:val="center"/>
              <w:rPr>
                <w:rFonts w:ascii="Times New Roman" w:hAnsi="Times New Roman" w:cs="Times New Roman"/>
                <w:color w:val="000000"/>
                <w:sz w:val="24"/>
                <w:szCs w:val="24"/>
                <w:vertAlign w:val="subscript"/>
              </w:rPr>
            </w:pPr>
            <w:r w:rsidRPr="009D4D4A">
              <w:rPr>
                <w:rFonts w:ascii="Times New Roman" w:hAnsi="Times New Roman" w:cs="Times New Roman"/>
                <w:color w:val="000000"/>
                <w:sz w:val="24"/>
                <w:szCs w:val="24"/>
              </w:rPr>
              <w:t>CaCO</w:t>
            </w:r>
            <w:r w:rsidRPr="009D4D4A">
              <w:rPr>
                <w:rFonts w:ascii="Times New Roman" w:hAnsi="Times New Roman" w:cs="Times New Roman"/>
                <w:color w:val="000000"/>
                <w:sz w:val="24"/>
                <w:szCs w:val="24"/>
                <w:vertAlign w:val="subscript"/>
              </w:rPr>
              <w:t>3</w:t>
            </w:r>
          </w:p>
        </w:tc>
        <w:tc>
          <w:tcPr>
            <w:tcW w:w="1974" w:type="dxa"/>
            <w:vAlign w:val="center"/>
          </w:tcPr>
          <w:p w14:paraId="4A6D729B" w14:textId="77777777" w:rsidR="00777A0A" w:rsidRPr="009D4D4A" w:rsidRDefault="00777A0A" w:rsidP="00E85025">
            <w:pPr>
              <w:jc w:val="center"/>
              <w:rPr>
                <w:rFonts w:ascii="Times New Roman" w:hAnsi="Times New Roman" w:cs="Times New Roman"/>
                <w:color w:val="000000"/>
                <w:sz w:val="24"/>
                <w:szCs w:val="24"/>
              </w:rPr>
            </w:pPr>
            <w:r w:rsidRPr="009D4D4A">
              <w:rPr>
                <w:rFonts w:ascii="Times New Roman" w:hAnsi="Times New Roman" w:cs="Times New Roman"/>
                <w:color w:val="000000"/>
                <w:sz w:val="24"/>
                <w:szCs w:val="24"/>
              </w:rPr>
              <w:t>29.41, 39.40</w:t>
            </w:r>
          </w:p>
        </w:tc>
        <w:tc>
          <w:tcPr>
            <w:tcW w:w="2340" w:type="dxa"/>
            <w:vAlign w:val="center"/>
          </w:tcPr>
          <w:p w14:paraId="63D27455" w14:textId="77777777" w:rsidR="00777A0A" w:rsidRPr="009D4D4A" w:rsidRDefault="00777A0A" w:rsidP="00E85025">
            <w:pPr>
              <w:jc w:val="center"/>
              <w:rPr>
                <w:rFonts w:ascii="Times New Roman" w:hAnsi="Times New Roman" w:cs="Times New Roman"/>
                <w:color w:val="000000"/>
                <w:sz w:val="24"/>
                <w:szCs w:val="24"/>
              </w:rPr>
            </w:pPr>
            <w:r w:rsidRPr="009D4D4A">
              <w:rPr>
                <w:rFonts w:ascii="Times New Roman" w:hAnsi="Times New Roman" w:cs="Times New Roman"/>
                <w:color w:val="000000"/>
                <w:sz w:val="24"/>
                <w:szCs w:val="24"/>
              </w:rPr>
              <w:t>ICCD No. [5-586]</w:t>
            </w:r>
          </w:p>
        </w:tc>
      </w:tr>
      <w:tr w:rsidR="00777A0A" w:rsidRPr="009D4D4A" w14:paraId="3F1CC399" w14:textId="77777777" w:rsidTr="00E85025">
        <w:trPr>
          <w:trHeight w:val="79"/>
        </w:trPr>
        <w:tc>
          <w:tcPr>
            <w:tcW w:w="904" w:type="dxa"/>
            <w:vAlign w:val="center"/>
          </w:tcPr>
          <w:p w14:paraId="0B8D7709" w14:textId="77777777" w:rsidR="00777A0A" w:rsidRPr="009D4D4A" w:rsidRDefault="00777A0A" w:rsidP="00E85025">
            <w:pPr>
              <w:jc w:val="center"/>
              <w:rPr>
                <w:rFonts w:ascii="Times New Roman" w:hAnsi="Times New Roman" w:cs="Times New Roman"/>
                <w:b/>
                <w:color w:val="000000"/>
                <w:sz w:val="24"/>
                <w:szCs w:val="24"/>
              </w:rPr>
            </w:pPr>
            <w:r w:rsidRPr="009D4D4A">
              <w:rPr>
                <w:rFonts w:ascii="Times New Roman" w:hAnsi="Times New Roman" w:cs="Times New Roman"/>
                <w:b/>
                <w:color w:val="000000"/>
                <w:sz w:val="24"/>
                <w:szCs w:val="24"/>
              </w:rPr>
              <w:t>CN</w:t>
            </w:r>
          </w:p>
        </w:tc>
        <w:tc>
          <w:tcPr>
            <w:tcW w:w="1828" w:type="dxa"/>
            <w:vAlign w:val="center"/>
          </w:tcPr>
          <w:p w14:paraId="4D1C57C8" w14:textId="77777777" w:rsidR="00777A0A" w:rsidRPr="009D4D4A" w:rsidRDefault="00777A0A" w:rsidP="00E85025">
            <w:pPr>
              <w:jc w:val="center"/>
              <w:rPr>
                <w:rFonts w:ascii="Times New Roman" w:hAnsi="Times New Roman" w:cs="Times New Roman"/>
                <w:color w:val="000000"/>
                <w:sz w:val="24"/>
                <w:szCs w:val="24"/>
              </w:rPr>
            </w:pPr>
            <w:r w:rsidRPr="009D4D4A">
              <w:rPr>
                <w:rFonts w:ascii="Times New Roman" w:hAnsi="Times New Roman" w:cs="Times New Roman"/>
                <w:color w:val="000000"/>
                <w:sz w:val="24"/>
                <w:szCs w:val="24"/>
              </w:rPr>
              <w:t>Caesium Nitrate</w:t>
            </w:r>
          </w:p>
        </w:tc>
        <w:tc>
          <w:tcPr>
            <w:tcW w:w="2843" w:type="dxa"/>
            <w:vAlign w:val="center"/>
          </w:tcPr>
          <w:p w14:paraId="53606062" w14:textId="77777777" w:rsidR="00777A0A" w:rsidRPr="009D4D4A" w:rsidRDefault="00777A0A" w:rsidP="00E85025">
            <w:pPr>
              <w:jc w:val="center"/>
              <w:rPr>
                <w:rFonts w:ascii="Times New Roman" w:hAnsi="Times New Roman" w:cs="Times New Roman"/>
                <w:color w:val="000000"/>
                <w:sz w:val="24"/>
                <w:szCs w:val="24"/>
              </w:rPr>
            </w:pPr>
            <w:r w:rsidRPr="009D4D4A">
              <w:rPr>
                <w:rFonts w:ascii="Times New Roman" w:hAnsi="Times New Roman" w:cs="Times New Roman"/>
                <w:color w:val="000000"/>
                <w:sz w:val="24"/>
                <w:szCs w:val="24"/>
              </w:rPr>
              <w:t>CsNO</w:t>
            </w:r>
            <w:r w:rsidRPr="009D4D4A">
              <w:rPr>
                <w:rFonts w:ascii="Times New Roman" w:hAnsi="Times New Roman" w:cs="Times New Roman"/>
                <w:color w:val="000000"/>
                <w:sz w:val="24"/>
                <w:szCs w:val="24"/>
                <w:vertAlign w:val="subscript"/>
              </w:rPr>
              <w:t>3</w:t>
            </w:r>
          </w:p>
        </w:tc>
        <w:tc>
          <w:tcPr>
            <w:tcW w:w="1974" w:type="dxa"/>
            <w:vAlign w:val="center"/>
          </w:tcPr>
          <w:p w14:paraId="335E6971" w14:textId="77777777" w:rsidR="00777A0A" w:rsidRPr="009D4D4A" w:rsidRDefault="00777A0A" w:rsidP="00E85025">
            <w:pPr>
              <w:jc w:val="center"/>
              <w:rPr>
                <w:rFonts w:ascii="Times New Roman" w:hAnsi="Times New Roman" w:cs="Times New Roman"/>
                <w:sz w:val="24"/>
                <w:szCs w:val="24"/>
              </w:rPr>
            </w:pPr>
            <w:r w:rsidRPr="009D4D4A">
              <w:rPr>
                <w:rFonts w:ascii="Times New Roman" w:hAnsi="Times New Roman" w:cs="Times New Roman"/>
                <w:sz w:val="24"/>
                <w:szCs w:val="24"/>
              </w:rPr>
              <w:t>19.9, 28.299</w:t>
            </w:r>
          </w:p>
        </w:tc>
        <w:tc>
          <w:tcPr>
            <w:tcW w:w="2340" w:type="dxa"/>
            <w:vAlign w:val="center"/>
          </w:tcPr>
          <w:p w14:paraId="47FFE5B9" w14:textId="77777777" w:rsidR="00777A0A" w:rsidRPr="009D4D4A" w:rsidRDefault="00777A0A" w:rsidP="00E85025">
            <w:pPr>
              <w:jc w:val="center"/>
              <w:rPr>
                <w:rFonts w:ascii="Times New Roman" w:hAnsi="Times New Roman" w:cs="Times New Roman"/>
                <w:sz w:val="24"/>
                <w:szCs w:val="24"/>
              </w:rPr>
            </w:pPr>
            <w:r w:rsidRPr="009D4D4A">
              <w:rPr>
                <w:rFonts w:ascii="Times New Roman" w:hAnsi="Times New Roman" w:cs="Times New Roman"/>
                <w:sz w:val="24"/>
                <w:szCs w:val="24"/>
              </w:rPr>
              <w:t>ICDD No. [83-1138]</w:t>
            </w:r>
          </w:p>
        </w:tc>
      </w:tr>
      <w:tr w:rsidR="00777A0A" w:rsidRPr="009D4D4A" w14:paraId="3CAB6C7E" w14:textId="77777777" w:rsidTr="00E85025">
        <w:trPr>
          <w:trHeight w:val="75"/>
        </w:trPr>
        <w:tc>
          <w:tcPr>
            <w:tcW w:w="904" w:type="dxa"/>
            <w:vAlign w:val="center"/>
          </w:tcPr>
          <w:p w14:paraId="4D8892CF" w14:textId="77777777" w:rsidR="00777A0A" w:rsidRPr="009D4D4A" w:rsidRDefault="00777A0A" w:rsidP="00E85025">
            <w:pPr>
              <w:jc w:val="center"/>
              <w:rPr>
                <w:rFonts w:ascii="Times New Roman" w:hAnsi="Times New Roman" w:cs="Times New Roman"/>
                <w:b/>
                <w:color w:val="000000"/>
                <w:sz w:val="24"/>
                <w:szCs w:val="24"/>
              </w:rPr>
            </w:pPr>
            <w:r w:rsidRPr="009D4D4A">
              <w:rPr>
                <w:rFonts w:ascii="Times New Roman" w:hAnsi="Times New Roman" w:cs="Times New Roman"/>
                <w:b/>
                <w:color w:val="000000"/>
                <w:sz w:val="24"/>
                <w:szCs w:val="24"/>
              </w:rPr>
              <w:t>CAN</w:t>
            </w:r>
          </w:p>
        </w:tc>
        <w:tc>
          <w:tcPr>
            <w:tcW w:w="1828" w:type="dxa"/>
            <w:vAlign w:val="center"/>
          </w:tcPr>
          <w:p w14:paraId="0B74DAF5" w14:textId="77777777" w:rsidR="00777A0A" w:rsidRPr="009D4D4A" w:rsidRDefault="00777A0A" w:rsidP="00E85025">
            <w:pPr>
              <w:jc w:val="center"/>
              <w:rPr>
                <w:rFonts w:ascii="Times New Roman" w:hAnsi="Times New Roman" w:cs="Times New Roman"/>
                <w:color w:val="000000"/>
                <w:sz w:val="24"/>
                <w:szCs w:val="24"/>
              </w:rPr>
            </w:pPr>
            <w:r w:rsidRPr="009D4D4A">
              <w:rPr>
                <w:rFonts w:ascii="Times New Roman" w:hAnsi="Times New Roman" w:cs="Times New Roman"/>
                <w:color w:val="000000"/>
                <w:sz w:val="24"/>
                <w:szCs w:val="24"/>
              </w:rPr>
              <w:t>Calcium Aluminonitrate</w:t>
            </w:r>
          </w:p>
        </w:tc>
        <w:tc>
          <w:tcPr>
            <w:tcW w:w="2843" w:type="dxa"/>
            <w:vAlign w:val="center"/>
          </w:tcPr>
          <w:p w14:paraId="1D008E9F" w14:textId="77777777" w:rsidR="00777A0A" w:rsidRPr="009D4D4A" w:rsidRDefault="00777A0A" w:rsidP="00E85025">
            <w:pPr>
              <w:jc w:val="center"/>
              <w:rPr>
                <w:rFonts w:ascii="Times New Roman" w:hAnsi="Times New Roman" w:cs="Times New Roman"/>
                <w:color w:val="000000"/>
                <w:sz w:val="24"/>
                <w:szCs w:val="24"/>
              </w:rPr>
            </w:pPr>
            <w:proofErr w:type="gramStart"/>
            <w:r w:rsidRPr="009D4D4A">
              <w:rPr>
                <w:rFonts w:ascii="Times New Roman" w:hAnsi="Times New Roman" w:cs="Times New Roman"/>
                <w:sz w:val="24"/>
                <w:szCs w:val="24"/>
              </w:rPr>
              <w:t>Ca</w:t>
            </w:r>
            <w:r w:rsidRPr="009D4D4A">
              <w:rPr>
                <w:rFonts w:ascii="Times New Roman" w:hAnsi="Times New Roman" w:cs="Times New Roman"/>
                <w:sz w:val="24"/>
                <w:szCs w:val="24"/>
                <w:vertAlign w:val="subscript"/>
              </w:rPr>
              <w:t>4</w:t>
            </w:r>
            <w:r w:rsidRPr="009D4D4A">
              <w:rPr>
                <w:rFonts w:ascii="Times New Roman" w:hAnsi="Times New Roman" w:cs="Times New Roman"/>
                <w:sz w:val="24"/>
                <w:szCs w:val="24"/>
              </w:rPr>
              <w:t>Al</w:t>
            </w:r>
            <w:r w:rsidRPr="009D4D4A">
              <w:rPr>
                <w:rFonts w:ascii="Times New Roman" w:hAnsi="Times New Roman" w:cs="Times New Roman"/>
                <w:sz w:val="24"/>
                <w:szCs w:val="24"/>
                <w:vertAlign w:val="subscript"/>
              </w:rPr>
              <w:t>2</w:t>
            </w:r>
            <w:r w:rsidRPr="009D4D4A">
              <w:rPr>
                <w:rFonts w:ascii="Times New Roman" w:hAnsi="Times New Roman" w:cs="Times New Roman"/>
                <w:sz w:val="24"/>
                <w:szCs w:val="24"/>
              </w:rPr>
              <w:t>(</w:t>
            </w:r>
            <w:proofErr w:type="gramEnd"/>
            <w:r w:rsidRPr="009D4D4A">
              <w:rPr>
                <w:rFonts w:ascii="Times New Roman" w:hAnsi="Times New Roman" w:cs="Times New Roman"/>
                <w:sz w:val="24"/>
                <w:szCs w:val="24"/>
              </w:rPr>
              <w:t>OH)</w:t>
            </w:r>
            <w:r w:rsidRPr="009D4D4A">
              <w:rPr>
                <w:rFonts w:ascii="Times New Roman" w:hAnsi="Times New Roman" w:cs="Times New Roman"/>
                <w:sz w:val="24"/>
                <w:szCs w:val="24"/>
                <w:vertAlign w:val="subscript"/>
              </w:rPr>
              <w:t>12</w:t>
            </w:r>
            <w:r w:rsidRPr="009D4D4A">
              <w:rPr>
                <w:rFonts w:ascii="Times New Roman" w:hAnsi="Times New Roman" w:cs="Times New Roman"/>
                <w:sz w:val="24"/>
                <w:szCs w:val="24"/>
              </w:rPr>
              <w:t>(NO</w:t>
            </w:r>
            <w:r w:rsidRPr="009D4D4A">
              <w:rPr>
                <w:rFonts w:ascii="Times New Roman" w:hAnsi="Times New Roman" w:cs="Times New Roman"/>
                <w:sz w:val="24"/>
                <w:szCs w:val="24"/>
                <w:vertAlign w:val="subscript"/>
              </w:rPr>
              <w:t>3</w:t>
            </w:r>
            <w:r w:rsidRPr="009D4D4A">
              <w:rPr>
                <w:rFonts w:ascii="Times New Roman" w:hAnsi="Times New Roman" w:cs="Times New Roman"/>
                <w:sz w:val="24"/>
                <w:szCs w:val="24"/>
              </w:rPr>
              <w:t>)</w:t>
            </w:r>
            <w:r w:rsidRPr="009D4D4A">
              <w:rPr>
                <w:rFonts w:ascii="Times New Roman" w:hAnsi="Times New Roman" w:cs="Times New Roman"/>
                <w:sz w:val="24"/>
                <w:szCs w:val="24"/>
                <w:vertAlign w:val="subscript"/>
              </w:rPr>
              <w:t>2</w:t>
            </w:r>
            <w:r w:rsidRPr="009D4D4A">
              <w:rPr>
                <w:rFonts w:ascii="Times New Roman" w:hAnsi="Times New Roman" w:cs="Times New Roman"/>
                <w:sz w:val="24"/>
                <w:szCs w:val="24"/>
              </w:rPr>
              <w:t>·4H</w:t>
            </w:r>
            <w:r w:rsidRPr="009D4D4A">
              <w:rPr>
                <w:rFonts w:ascii="Times New Roman" w:hAnsi="Times New Roman" w:cs="Times New Roman"/>
                <w:sz w:val="24"/>
                <w:szCs w:val="24"/>
                <w:vertAlign w:val="subscript"/>
              </w:rPr>
              <w:t>2</w:t>
            </w:r>
            <w:r w:rsidRPr="009D4D4A">
              <w:rPr>
                <w:rFonts w:ascii="Times New Roman" w:hAnsi="Times New Roman" w:cs="Times New Roman"/>
                <w:sz w:val="24"/>
                <w:szCs w:val="24"/>
              </w:rPr>
              <w:t>O</w:t>
            </w:r>
          </w:p>
        </w:tc>
        <w:tc>
          <w:tcPr>
            <w:tcW w:w="1974" w:type="dxa"/>
            <w:vAlign w:val="center"/>
          </w:tcPr>
          <w:p w14:paraId="396C2448" w14:textId="77777777" w:rsidR="00777A0A" w:rsidRPr="009D4D4A" w:rsidRDefault="00777A0A" w:rsidP="00E85025">
            <w:pPr>
              <w:jc w:val="center"/>
              <w:rPr>
                <w:rFonts w:ascii="Times New Roman" w:hAnsi="Times New Roman" w:cs="Times New Roman"/>
                <w:color w:val="000000"/>
                <w:sz w:val="24"/>
                <w:szCs w:val="24"/>
              </w:rPr>
            </w:pPr>
            <w:r w:rsidRPr="009D4D4A">
              <w:rPr>
                <w:rFonts w:ascii="Times New Roman" w:hAnsi="Times New Roman" w:cs="Times New Roman"/>
                <w:color w:val="000000"/>
                <w:sz w:val="24"/>
                <w:szCs w:val="24"/>
              </w:rPr>
              <w:t>10.35, 20.8</w:t>
            </w:r>
          </w:p>
        </w:tc>
        <w:tc>
          <w:tcPr>
            <w:tcW w:w="2340" w:type="dxa"/>
            <w:vAlign w:val="center"/>
          </w:tcPr>
          <w:p w14:paraId="04B8B2AE" w14:textId="77777777" w:rsidR="00777A0A" w:rsidRPr="009D4D4A" w:rsidRDefault="00777A0A" w:rsidP="00E85025">
            <w:pPr>
              <w:jc w:val="center"/>
              <w:rPr>
                <w:rFonts w:ascii="Times New Roman" w:hAnsi="Times New Roman" w:cs="Times New Roman"/>
                <w:color w:val="000000"/>
                <w:sz w:val="24"/>
                <w:szCs w:val="24"/>
              </w:rPr>
            </w:pPr>
            <w:r w:rsidRPr="009D4D4A">
              <w:rPr>
                <w:rFonts w:ascii="Times New Roman" w:hAnsi="Times New Roman" w:cs="Times New Roman"/>
                <w:color w:val="000000"/>
                <w:sz w:val="24"/>
                <w:szCs w:val="24"/>
              </w:rPr>
              <w:t>ICDD No</w:t>
            </w:r>
            <w:proofErr w:type="gramStart"/>
            <w:r w:rsidRPr="009D4D4A">
              <w:rPr>
                <w:rFonts w:ascii="Times New Roman" w:hAnsi="Times New Roman" w:cs="Times New Roman"/>
                <w:color w:val="000000"/>
                <w:sz w:val="24"/>
                <w:szCs w:val="24"/>
              </w:rPr>
              <w:t>.[</w:t>
            </w:r>
            <w:proofErr w:type="gramEnd"/>
            <w:r w:rsidRPr="009D4D4A">
              <w:rPr>
                <w:rFonts w:ascii="Times New Roman" w:hAnsi="Times New Roman" w:cs="Times New Roman"/>
                <w:color w:val="000000"/>
                <w:sz w:val="24"/>
                <w:szCs w:val="24"/>
              </w:rPr>
              <w:t>50-652]</w:t>
            </w:r>
          </w:p>
        </w:tc>
      </w:tr>
    </w:tbl>
    <w:p w14:paraId="176DE8DB" w14:textId="77777777" w:rsidR="00777A0A" w:rsidRPr="009D4D4A" w:rsidRDefault="00777A0A" w:rsidP="00777A0A">
      <w:pPr>
        <w:pStyle w:val="NormalWeb"/>
        <w:spacing w:before="0" w:beforeAutospacing="0" w:after="0" w:afterAutospacing="0"/>
        <w:jc w:val="center"/>
        <w:rPr>
          <w:rFonts w:ascii="Times New Roman" w:hAnsi="Times New Roman"/>
          <w:sz w:val="24"/>
          <w:szCs w:val="24"/>
        </w:rPr>
      </w:pPr>
      <w:r w:rsidRPr="009D4D4A">
        <w:rPr>
          <w:rFonts w:ascii="Times New Roman" w:hAnsi="Times New Roman"/>
          <w:b/>
          <w:sz w:val="24"/>
          <w:szCs w:val="24"/>
        </w:rPr>
        <w:t>Table 4.1:</w:t>
      </w:r>
      <w:r w:rsidRPr="009D4D4A">
        <w:rPr>
          <w:rFonts w:ascii="Times New Roman" w:hAnsi="Times New Roman"/>
          <w:sz w:val="24"/>
          <w:szCs w:val="24"/>
        </w:rPr>
        <w:t xml:space="preserve"> </w:t>
      </w:r>
      <w:r w:rsidRPr="009D4D4A">
        <w:rPr>
          <w:rFonts w:ascii="Times New Roman" w:hAnsi="Times New Roman"/>
          <w:sz w:val="24"/>
          <w:szCs w:val="24"/>
        </w:rPr>
        <w:tab/>
        <w:t>XRD peak data and labels</w:t>
      </w:r>
    </w:p>
    <w:p w14:paraId="6E8ACD2F" w14:textId="77777777" w:rsidR="00777A0A" w:rsidRDefault="00777A0A" w:rsidP="00777A0A">
      <w:pPr>
        <w:pStyle w:val="NormalWeb"/>
        <w:widowControl w:val="0"/>
        <w:spacing w:before="0" w:beforeAutospacing="0" w:after="0" w:afterAutospacing="0" w:line="480" w:lineRule="exact"/>
        <w:jc w:val="both"/>
        <w:rPr>
          <w:rFonts w:ascii="Times New Roman" w:hAnsi="Times New Roman"/>
          <w:sz w:val="24"/>
          <w:szCs w:val="24"/>
        </w:rPr>
      </w:pPr>
    </w:p>
    <w:p w14:paraId="5DEE63AE" w14:textId="3C169366" w:rsidR="00777A0A" w:rsidRPr="009D4D4A" w:rsidRDefault="00777A0A" w:rsidP="00777A0A">
      <w:pPr>
        <w:pStyle w:val="NormalWeb"/>
        <w:widowControl w:val="0"/>
        <w:spacing w:before="0" w:beforeAutospacing="0" w:after="0" w:afterAutospacing="0" w:line="480" w:lineRule="exact"/>
        <w:jc w:val="both"/>
        <w:rPr>
          <w:rFonts w:ascii="Times New Roman" w:hAnsi="Times New Roman"/>
          <w:sz w:val="24"/>
          <w:szCs w:val="24"/>
        </w:rPr>
      </w:pPr>
      <w:r w:rsidRPr="009D4D4A">
        <w:rPr>
          <w:rFonts w:ascii="Times New Roman" w:hAnsi="Times New Roman"/>
          <w:sz w:val="24"/>
          <w:szCs w:val="24"/>
        </w:rPr>
        <w:t xml:space="preserve">In the sample </w:t>
      </w:r>
      <m:oMath>
        <m:acc>
          <m:accPr>
            <m:chr m:val="̅"/>
            <m:ctrlPr>
              <w:rPr>
                <w:rFonts w:ascii="Cambria Math" w:hAnsi="Cambria Math"/>
                <w:i/>
                <w:sz w:val="36"/>
                <w:szCs w:val="36"/>
              </w:rPr>
            </m:ctrlPr>
          </m:accPr>
          <m:e>
            <m:r>
              <m:rPr>
                <m:sty m:val="p"/>
              </m:rPr>
              <w:rPr>
                <w:rFonts w:ascii="Cambria Math" w:hAnsi="Cambria Math"/>
                <w:sz w:val="36"/>
                <w:szCs w:val="36"/>
              </w:rPr>
              <m:t>c</m:t>
            </m:r>
          </m:e>
        </m:acc>
      </m:oMath>
      <w:r w:rsidRPr="009D4D4A">
        <w:rPr>
          <w:rFonts w:ascii="Times New Roman" w:hAnsi="Times New Roman"/>
          <w:sz w:val="24"/>
          <w:szCs w:val="24"/>
        </w:rPr>
        <w:t xml:space="preserve"> (labelled </w:t>
      </w:r>
      <w:r w:rsidRPr="009D4D4A">
        <w:rPr>
          <w:rFonts w:ascii="Times New Roman" w:hAnsi="Times New Roman"/>
          <w:b/>
          <w:sz w:val="24"/>
          <w:szCs w:val="24"/>
        </w:rPr>
        <w:t>0D</w:t>
      </w:r>
      <m:oMath>
        <m:acc>
          <m:accPr>
            <m:chr m:val="̅"/>
            <m:ctrlPr>
              <w:rPr>
                <w:rFonts w:ascii="Cambria Math" w:hAnsi="Cambria Math"/>
                <w:i/>
                <w:sz w:val="36"/>
                <w:szCs w:val="32"/>
              </w:rPr>
            </m:ctrlPr>
          </m:accPr>
          <m:e>
            <m:r>
              <m:rPr>
                <m:sty m:val="p"/>
              </m:rPr>
              <w:rPr>
                <w:rFonts w:ascii="Cambria Math" w:hAnsi="Cambria Math"/>
                <w:sz w:val="36"/>
                <w:szCs w:val="32"/>
              </w:rPr>
              <m:t>c</m:t>
            </m:r>
          </m:e>
        </m:acc>
      </m:oMath>
      <w:r w:rsidRPr="009D4D4A">
        <w:rPr>
          <w:rFonts w:ascii="Times New Roman" w:hAnsi="Times New Roman"/>
          <w:sz w:val="24"/>
          <w:szCs w:val="24"/>
        </w:rPr>
        <w:t>) with the addition of CsNO</w:t>
      </w:r>
      <w:r w:rsidRPr="009D4D4A">
        <w:rPr>
          <w:rFonts w:ascii="Times New Roman" w:hAnsi="Times New Roman"/>
          <w:sz w:val="24"/>
          <w:szCs w:val="24"/>
          <w:vertAlign w:val="subscript"/>
        </w:rPr>
        <w:t>3</w:t>
      </w:r>
      <w:r w:rsidRPr="009D4D4A">
        <w:rPr>
          <w:rFonts w:ascii="Times New Roman" w:hAnsi="Times New Roman"/>
          <w:sz w:val="24"/>
          <w:szCs w:val="24"/>
        </w:rPr>
        <w:t xml:space="preserve"> to the matrix, the peaks for P and HC could not be seen although the peaks attribut</w:t>
      </w:r>
      <w:r w:rsidR="009E3314">
        <w:rPr>
          <w:rFonts w:ascii="Times New Roman" w:hAnsi="Times New Roman"/>
          <w:sz w:val="24"/>
          <w:szCs w:val="24"/>
        </w:rPr>
        <w:t>ed to the other phases present</w:t>
      </w:r>
      <w:r w:rsidRPr="009D4D4A">
        <w:rPr>
          <w:rFonts w:ascii="Times New Roman" w:hAnsi="Times New Roman"/>
          <w:sz w:val="24"/>
          <w:szCs w:val="24"/>
        </w:rPr>
        <w:t xml:space="preserve"> in </w:t>
      </w:r>
      <w:r w:rsidRPr="009D4D4A">
        <w:rPr>
          <w:rFonts w:ascii="Times New Roman" w:hAnsi="Times New Roman"/>
          <w:b/>
          <w:sz w:val="24"/>
          <w:szCs w:val="24"/>
        </w:rPr>
        <w:t>0DB</w:t>
      </w:r>
      <w:r w:rsidRPr="009D4D4A">
        <w:rPr>
          <w:rFonts w:ascii="Times New Roman" w:hAnsi="Times New Roman"/>
          <w:sz w:val="24"/>
          <w:szCs w:val="24"/>
        </w:rPr>
        <w:t xml:space="preserve"> were observed. Extra peaks of a relatively strong intensity associated with CsNO</w:t>
      </w:r>
      <w:r w:rsidRPr="009D4D4A">
        <w:rPr>
          <w:rFonts w:ascii="Times New Roman" w:hAnsi="Times New Roman"/>
          <w:sz w:val="24"/>
          <w:szCs w:val="24"/>
          <w:vertAlign w:val="subscript"/>
        </w:rPr>
        <w:t>3</w:t>
      </w:r>
      <w:r w:rsidRPr="009D4D4A">
        <w:rPr>
          <w:rFonts w:ascii="Times New Roman" w:hAnsi="Times New Roman"/>
          <w:sz w:val="24"/>
          <w:szCs w:val="24"/>
        </w:rPr>
        <w:t xml:space="preserve"> can be seen. The AFm peaks within </w:t>
      </w:r>
      <w:r w:rsidRPr="009D4D4A">
        <w:rPr>
          <w:rFonts w:ascii="Times New Roman" w:hAnsi="Times New Roman"/>
          <w:b/>
          <w:sz w:val="24"/>
          <w:szCs w:val="24"/>
        </w:rPr>
        <w:t>0D</w:t>
      </w:r>
      <m:oMath>
        <m:acc>
          <m:accPr>
            <m:chr m:val="̅"/>
            <m:ctrlPr>
              <w:rPr>
                <w:rFonts w:ascii="Cambria Math" w:hAnsi="Cambria Math"/>
                <w:i/>
                <w:sz w:val="36"/>
                <w:szCs w:val="32"/>
              </w:rPr>
            </m:ctrlPr>
          </m:accPr>
          <m:e>
            <m:r>
              <m:rPr>
                <m:sty m:val="p"/>
              </m:rPr>
              <w:rPr>
                <w:rFonts w:ascii="Cambria Math" w:hAnsi="Cambria Math"/>
                <w:sz w:val="36"/>
                <w:szCs w:val="32"/>
              </w:rPr>
              <m:t>c</m:t>
            </m:r>
          </m:e>
        </m:acc>
      </m:oMath>
      <w:r w:rsidRPr="009D4D4A">
        <w:rPr>
          <w:rFonts w:ascii="Times New Roman" w:hAnsi="Times New Roman"/>
          <w:sz w:val="32"/>
          <w:szCs w:val="32"/>
        </w:rPr>
        <w:t xml:space="preserve"> </w:t>
      </w:r>
      <w:r w:rsidRPr="009D4D4A">
        <w:rPr>
          <w:rFonts w:ascii="Times New Roman" w:hAnsi="Times New Roman"/>
          <w:sz w:val="24"/>
          <w:szCs w:val="24"/>
        </w:rPr>
        <w:t xml:space="preserve">are more intense in comparison with </w:t>
      </w:r>
      <w:r w:rsidRPr="009D4D4A">
        <w:rPr>
          <w:rFonts w:ascii="Times New Roman" w:hAnsi="Times New Roman"/>
          <w:b/>
          <w:sz w:val="24"/>
          <w:szCs w:val="24"/>
        </w:rPr>
        <w:t xml:space="preserve">0DB </w:t>
      </w:r>
      <w:r w:rsidRPr="009D4D4A">
        <w:rPr>
          <w:rFonts w:ascii="Times New Roman" w:hAnsi="Times New Roman"/>
          <w:sz w:val="24"/>
          <w:szCs w:val="24"/>
        </w:rPr>
        <w:t>suggesting an increased amount of this phase, whilst the ettringite peaks were not observed.</w:t>
      </w:r>
      <w:r w:rsidR="002B54CE">
        <w:rPr>
          <w:rFonts w:ascii="Times New Roman" w:hAnsi="Times New Roman"/>
          <w:sz w:val="24"/>
          <w:szCs w:val="24"/>
        </w:rPr>
        <w:t xml:space="preserve"> [7,8]</w:t>
      </w:r>
    </w:p>
    <w:p w14:paraId="1D7301B9" w14:textId="311233EA" w:rsidR="00777A0A" w:rsidRPr="009D4D4A" w:rsidRDefault="00777A0A" w:rsidP="00777A0A">
      <w:pPr>
        <w:pStyle w:val="NormalWeb"/>
        <w:widowControl w:val="0"/>
        <w:spacing w:before="0" w:beforeAutospacing="0" w:after="0" w:afterAutospacing="0" w:line="480" w:lineRule="exact"/>
        <w:jc w:val="both"/>
        <w:rPr>
          <w:rFonts w:ascii="Times New Roman" w:hAnsi="Times New Roman"/>
          <w:sz w:val="24"/>
          <w:szCs w:val="24"/>
        </w:rPr>
      </w:pPr>
      <w:r w:rsidRPr="009D4D4A">
        <w:rPr>
          <w:rFonts w:ascii="Times New Roman" w:hAnsi="Times New Roman"/>
          <w:sz w:val="24"/>
          <w:szCs w:val="24"/>
        </w:rPr>
        <w:t xml:space="preserve">The introduction of </w:t>
      </w:r>
      <w:proofErr w:type="gramStart"/>
      <w:r w:rsidRPr="009D4D4A">
        <w:rPr>
          <w:rFonts w:ascii="Times New Roman" w:hAnsi="Times New Roman"/>
          <w:sz w:val="24"/>
          <w:szCs w:val="24"/>
        </w:rPr>
        <w:t>Sr(</w:t>
      </w:r>
      <w:proofErr w:type="gramEnd"/>
      <w:r w:rsidRPr="009D4D4A">
        <w:rPr>
          <w:rFonts w:ascii="Times New Roman" w:hAnsi="Times New Roman"/>
          <w:sz w:val="24"/>
          <w:szCs w:val="24"/>
        </w:rPr>
        <w:t>NO</w:t>
      </w:r>
      <w:r w:rsidRPr="009D4D4A">
        <w:rPr>
          <w:rFonts w:ascii="Times New Roman" w:hAnsi="Times New Roman"/>
          <w:sz w:val="24"/>
          <w:szCs w:val="24"/>
          <w:vertAlign w:val="subscript"/>
        </w:rPr>
        <w:t>3</w:t>
      </w:r>
      <w:r w:rsidRPr="009D4D4A">
        <w:rPr>
          <w:rFonts w:ascii="Times New Roman" w:hAnsi="Times New Roman"/>
          <w:sz w:val="24"/>
          <w:szCs w:val="24"/>
        </w:rPr>
        <w:t>)</w:t>
      </w:r>
      <w:r w:rsidRPr="009D4D4A">
        <w:rPr>
          <w:rFonts w:ascii="Times New Roman" w:hAnsi="Times New Roman"/>
          <w:sz w:val="24"/>
          <w:szCs w:val="24"/>
          <w:vertAlign w:val="subscript"/>
        </w:rPr>
        <w:t>2</w:t>
      </w:r>
      <w:r w:rsidRPr="009D4D4A">
        <w:rPr>
          <w:rFonts w:ascii="Times New Roman" w:hAnsi="Times New Roman"/>
          <w:sz w:val="24"/>
          <w:szCs w:val="24"/>
        </w:rPr>
        <w:t xml:space="preserve"> in the sample </w:t>
      </w:r>
      <m:oMath>
        <m:acc>
          <m:accPr>
            <m:chr m:val="̅"/>
            <m:ctrlPr>
              <w:rPr>
                <w:rFonts w:ascii="Cambria Math" w:hAnsi="Cambria Math"/>
                <w:i/>
                <w:sz w:val="36"/>
                <w:szCs w:val="24"/>
              </w:rPr>
            </m:ctrlPr>
          </m:accPr>
          <m:e>
            <m:r>
              <m:rPr>
                <m:sty m:val="p"/>
              </m:rPr>
              <w:rPr>
                <w:rFonts w:ascii="Cambria Math" w:hAnsi="Cambria Math"/>
                <w:sz w:val="36"/>
                <w:szCs w:val="24"/>
              </w:rPr>
              <m:t>s</m:t>
            </m:r>
          </m:e>
        </m:acc>
      </m:oMath>
      <w:r w:rsidRPr="009D4D4A">
        <w:rPr>
          <w:rFonts w:ascii="Times New Roman" w:hAnsi="Times New Roman"/>
          <w:sz w:val="36"/>
          <w:szCs w:val="24"/>
        </w:rPr>
        <w:t xml:space="preserve"> </w:t>
      </w:r>
      <w:r w:rsidRPr="009D4D4A">
        <w:rPr>
          <w:rFonts w:ascii="Times New Roman" w:hAnsi="Times New Roman"/>
          <w:sz w:val="24"/>
          <w:szCs w:val="24"/>
        </w:rPr>
        <w:t xml:space="preserve">(labelled </w:t>
      </w:r>
      <w:r w:rsidRPr="009D4D4A">
        <w:rPr>
          <w:rFonts w:ascii="Times New Roman" w:hAnsi="Times New Roman"/>
          <w:b/>
          <w:sz w:val="24"/>
          <w:szCs w:val="24"/>
        </w:rPr>
        <w:t>0D</w:t>
      </w:r>
      <m:oMath>
        <m:acc>
          <m:accPr>
            <m:chr m:val="̅"/>
            <m:ctrlPr>
              <w:rPr>
                <w:rFonts w:ascii="Cambria Math" w:hAnsi="Cambria Math"/>
                <w:i/>
                <w:sz w:val="36"/>
                <w:szCs w:val="24"/>
              </w:rPr>
            </m:ctrlPr>
          </m:accPr>
          <m:e>
            <m:r>
              <m:rPr>
                <m:sty m:val="p"/>
              </m:rPr>
              <w:rPr>
                <w:rFonts w:ascii="Cambria Math" w:hAnsi="Cambria Math"/>
                <w:sz w:val="36"/>
                <w:szCs w:val="24"/>
              </w:rPr>
              <m:t>s</m:t>
            </m:r>
          </m:e>
        </m:acc>
      </m:oMath>
      <w:r w:rsidRPr="009D4D4A">
        <w:rPr>
          <w:rFonts w:ascii="Times New Roman" w:hAnsi="Times New Roman"/>
          <w:sz w:val="24"/>
          <w:szCs w:val="24"/>
        </w:rPr>
        <w:t>)</w:t>
      </w:r>
      <w:r w:rsidRPr="009D4D4A">
        <w:rPr>
          <w:rFonts w:ascii="Times New Roman" w:hAnsi="Times New Roman"/>
          <w:b/>
          <w:sz w:val="36"/>
          <w:szCs w:val="24"/>
        </w:rPr>
        <w:t xml:space="preserve"> </w:t>
      </w:r>
      <w:r w:rsidRPr="009D4D4A">
        <w:rPr>
          <w:rFonts w:ascii="Times New Roman" w:hAnsi="Times New Roman"/>
          <w:sz w:val="24"/>
          <w:szCs w:val="24"/>
        </w:rPr>
        <w:t>also resulted in a different phase assemblage. Peaks for P and AFm were absent, and peaks considered to be for calcium alumino-nitrate (</w:t>
      </w:r>
      <w:r w:rsidRPr="009D4D4A">
        <w:rPr>
          <w:rFonts w:ascii="Times New Roman" w:hAnsi="Times New Roman"/>
          <w:color w:val="000000"/>
          <w:sz w:val="24"/>
          <w:szCs w:val="24"/>
        </w:rPr>
        <w:t>CAN</w:t>
      </w:r>
      <w:r w:rsidRPr="009D4D4A">
        <w:rPr>
          <w:rFonts w:ascii="Times New Roman" w:hAnsi="Times New Roman"/>
          <w:sz w:val="24"/>
          <w:szCs w:val="24"/>
        </w:rPr>
        <w:t xml:space="preserve">) were observed. The CAN is </w:t>
      </w:r>
      <w:r w:rsidR="008F1F0E">
        <w:rPr>
          <w:rFonts w:ascii="Times New Roman" w:hAnsi="Times New Roman"/>
          <w:sz w:val="24"/>
          <w:szCs w:val="24"/>
        </w:rPr>
        <w:t>a type of</w:t>
      </w:r>
      <w:r w:rsidRPr="009D4D4A">
        <w:rPr>
          <w:rFonts w:ascii="Times New Roman" w:hAnsi="Times New Roman"/>
          <w:sz w:val="24"/>
          <w:szCs w:val="24"/>
        </w:rPr>
        <w:t xml:space="preserve"> AFm,</w:t>
      </w:r>
      <w:r w:rsidR="00B34AE9">
        <w:rPr>
          <w:rFonts w:ascii="Times New Roman" w:hAnsi="Times New Roman"/>
          <w:sz w:val="24"/>
          <w:szCs w:val="24"/>
        </w:rPr>
        <w:t xml:space="preserve"> wherein</w:t>
      </w:r>
      <w:r w:rsidRPr="009D4D4A">
        <w:rPr>
          <w:rFonts w:ascii="Times New Roman" w:hAnsi="Times New Roman"/>
          <w:sz w:val="24"/>
          <w:szCs w:val="24"/>
        </w:rPr>
        <w:t xml:space="preserve"> the nitrate anions </w:t>
      </w:r>
      <w:r w:rsidR="00B34AE9">
        <w:rPr>
          <w:rFonts w:ascii="Times New Roman" w:hAnsi="Times New Roman"/>
          <w:sz w:val="24"/>
          <w:szCs w:val="24"/>
        </w:rPr>
        <w:t xml:space="preserve">are </w:t>
      </w:r>
      <w:r w:rsidRPr="009D4D4A">
        <w:rPr>
          <w:rFonts w:ascii="Times New Roman" w:hAnsi="Times New Roman"/>
          <w:sz w:val="24"/>
          <w:szCs w:val="24"/>
        </w:rPr>
        <w:t>substituting for the interlayer sulphate anions within the AFm phase. The ettringite peak (E) clearly observed at around 9</w:t>
      </w:r>
      <w:r w:rsidRPr="009D4D4A">
        <w:rPr>
          <w:rFonts w:ascii="Times New Roman" w:hAnsi="Times New Roman"/>
          <w:sz w:val="24"/>
          <w:szCs w:val="24"/>
          <w:vertAlign w:val="superscript"/>
        </w:rPr>
        <w:t>o</w:t>
      </w:r>
      <w:r w:rsidRPr="009D4D4A">
        <w:rPr>
          <w:rFonts w:ascii="Times New Roman" w:hAnsi="Times New Roman"/>
          <w:sz w:val="24"/>
          <w:szCs w:val="24"/>
        </w:rPr>
        <w:t xml:space="preserve">2θ </w:t>
      </w:r>
      <w:proofErr w:type="gramStart"/>
      <w:r w:rsidRPr="009D4D4A">
        <w:rPr>
          <w:rFonts w:ascii="Times New Roman" w:hAnsi="Times New Roman"/>
          <w:sz w:val="24"/>
          <w:szCs w:val="24"/>
        </w:rPr>
        <w:t>suggest</w:t>
      </w:r>
      <w:proofErr w:type="gramEnd"/>
      <w:r w:rsidRPr="009D4D4A">
        <w:rPr>
          <w:rFonts w:ascii="Times New Roman" w:hAnsi="Times New Roman"/>
          <w:sz w:val="24"/>
          <w:szCs w:val="24"/>
        </w:rPr>
        <w:t xml:space="preserve"> a significant amount of ettringite formation in the </w:t>
      </w:r>
      <w:r w:rsidRPr="009D4D4A">
        <w:rPr>
          <w:rFonts w:ascii="Times New Roman" w:hAnsi="Times New Roman"/>
          <w:b/>
          <w:sz w:val="24"/>
          <w:szCs w:val="24"/>
        </w:rPr>
        <w:t>0D</w:t>
      </w:r>
      <m:oMath>
        <m:acc>
          <m:accPr>
            <m:chr m:val="̅"/>
            <m:ctrlPr>
              <w:rPr>
                <w:rFonts w:ascii="Cambria Math" w:hAnsi="Cambria Math"/>
                <w:i/>
                <w:sz w:val="36"/>
                <w:szCs w:val="24"/>
              </w:rPr>
            </m:ctrlPr>
          </m:accPr>
          <m:e>
            <m:r>
              <m:rPr>
                <m:sty m:val="p"/>
              </m:rPr>
              <w:rPr>
                <w:rFonts w:ascii="Cambria Math" w:hAnsi="Cambria Math"/>
                <w:sz w:val="36"/>
                <w:szCs w:val="24"/>
              </w:rPr>
              <m:t>s</m:t>
            </m:r>
          </m:e>
        </m:acc>
      </m:oMath>
      <w:r w:rsidRPr="009D4D4A">
        <w:rPr>
          <w:rFonts w:ascii="Times New Roman" w:hAnsi="Times New Roman"/>
          <w:sz w:val="24"/>
          <w:szCs w:val="24"/>
        </w:rPr>
        <w:t>.</w:t>
      </w:r>
      <w:r w:rsidR="00DA1D52">
        <w:rPr>
          <w:rFonts w:ascii="Times New Roman" w:hAnsi="Times New Roman"/>
          <w:sz w:val="24"/>
          <w:szCs w:val="24"/>
        </w:rPr>
        <w:t xml:space="preserve"> Peaks were expected for </w:t>
      </w:r>
      <w:proofErr w:type="gramStart"/>
      <w:r w:rsidR="00DA1D52">
        <w:rPr>
          <w:rFonts w:ascii="Times New Roman" w:hAnsi="Times New Roman"/>
          <w:sz w:val="24"/>
          <w:szCs w:val="24"/>
        </w:rPr>
        <w:t>Sr(</w:t>
      </w:r>
      <w:proofErr w:type="gramEnd"/>
      <w:r w:rsidR="00DA1D52">
        <w:rPr>
          <w:rFonts w:ascii="Times New Roman" w:hAnsi="Times New Roman"/>
          <w:sz w:val="24"/>
          <w:szCs w:val="24"/>
        </w:rPr>
        <w:t>NO</w:t>
      </w:r>
      <w:r w:rsidR="00DA1D52">
        <w:rPr>
          <w:rFonts w:ascii="Times New Roman" w:hAnsi="Times New Roman"/>
          <w:sz w:val="24"/>
          <w:szCs w:val="24"/>
          <w:vertAlign w:val="subscript"/>
        </w:rPr>
        <w:t>3</w:t>
      </w:r>
      <w:r w:rsidR="00DA1D52">
        <w:rPr>
          <w:rFonts w:ascii="Times New Roman" w:hAnsi="Times New Roman"/>
          <w:sz w:val="24"/>
          <w:szCs w:val="24"/>
        </w:rPr>
        <w:t>)</w:t>
      </w:r>
      <w:r w:rsidR="00DA1D52">
        <w:rPr>
          <w:rFonts w:ascii="Times New Roman" w:hAnsi="Times New Roman"/>
          <w:sz w:val="24"/>
          <w:szCs w:val="24"/>
          <w:vertAlign w:val="subscript"/>
        </w:rPr>
        <w:t>2</w:t>
      </w:r>
      <w:r w:rsidR="00DA1D52">
        <w:rPr>
          <w:rFonts w:ascii="Times New Roman" w:hAnsi="Times New Roman"/>
          <w:sz w:val="24"/>
          <w:szCs w:val="24"/>
        </w:rPr>
        <w:t xml:space="preserve"> based on the behaviour of Cs, however n</w:t>
      </w:r>
      <w:r w:rsidR="006A1C29">
        <w:rPr>
          <w:rFonts w:ascii="Times New Roman" w:hAnsi="Times New Roman"/>
          <w:sz w:val="24"/>
          <w:szCs w:val="24"/>
        </w:rPr>
        <w:t>either of the Sr containing samples produced peaks associated with any Sr containing phases.</w:t>
      </w:r>
    </w:p>
    <w:p w14:paraId="73CF4872" w14:textId="73691801" w:rsidR="009E3314" w:rsidRPr="00B10C45" w:rsidRDefault="00777A0A" w:rsidP="00B10C45">
      <w:pPr>
        <w:spacing w:after="100" w:afterAutospacing="1" w:line="480" w:lineRule="exact"/>
        <w:jc w:val="both"/>
        <w:rPr>
          <w:rFonts w:ascii="Times New Roman" w:hAnsi="Times New Roman" w:cs="Times New Roman"/>
        </w:rPr>
      </w:pPr>
      <w:r w:rsidRPr="009D4D4A">
        <w:rPr>
          <w:rFonts w:ascii="Times New Roman" w:hAnsi="Times New Roman" w:cs="Times New Roman"/>
        </w:rPr>
        <w:t>A mixture of the effects from CsNO</w:t>
      </w:r>
      <w:r w:rsidRPr="009D4D4A">
        <w:rPr>
          <w:rFonts w:ascii="Times New Roman" w:hAnsi="Times New Roman" w:cs="Times New Roman"/>
          <w:vertAlign w:val="subscript"/>
        </w:rPr>
        <w:t>3</w:t>
      </w:r>
      <w:r w:rsidRPr="009D4D4A">
        <w:rPr>
          <w:rFonts w:ascii="Times New Roman" w:hAnsi="Times New Roman" w:cs="Times New Roman"/>
        </w:rPr>
        <w:t xml:space="preserve"> and </w:t>
      </w:r>
      <w:proofErr w:type="gramStart"/>
      <w:r w:rsidRPr="009D4D4A">
        <w:rPr>
          <w:rFonts w:ascii="Times New Roman" w:hAnsi="Times New Roman" w:cs="Times New Roman"/>
        </w:rPr>
        <w:t>Sr(</w:t>
      </w:r>
      <w:proofErr w:type="gramEnd"/>
      <w:r w:rsidRPr="009D4D4A">
        <w:rPr>
          <w:rFonts w:ascii="Times New Roman" w:hAnsi="Times New Roman" w:cs="Times New Roman"/>
        </w:rPr>
        <w:t>NO</w:t>
      </w:r>
      <w:r w:rsidRPr="009D4D4A">
        <w:rPr>
          <w:rFonts w:ascii="Times New Roman" w:hAnsi="Times New Roman" w:cs="Times New Roman"/>
          <w:vertAlign w:val="subscript"/>
        </w:rPr>
        <w:t>3</w:t>
      </w:r>
      <w:r w:rsidRPr="009D4D4A">
        <w:rPr>
          <w:rFonts w:ascii="Times New Roman" w:hAnsi="Times New Roman" w:cs="Times New Roman"/>
        </w:rPr>
        <w:t>)</w:t>
      </w:r>
      <w:r w:rsidRPr="009D4D4A">
        <w:rPr>
          <w:rFonts w:ascii="Times New Roman" w:hAnsi="Times New Roman" w:cs="Times New Roman"/>
          <w:vertAlign w:val="subscript"/>
        </w:rPr>
        <w:t>2</w:t>
      </w:r>
      <w:r w:rsidRPr="009D4D4A">
        <w:rPr>
          <w:rFonts w:ascii="Times New Roman" w:hAnsi="Times New Roman" w:cs="Times New Roman"/>
        </w:rPr>
        <w:t xml:space="preserve"> was observed in sample </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sidRPr="009D4D4A">
        <w:rPr>
          <w:rFonts w:ascii="Times New Roman" w:hAnsi="Times New Roman" w:cs="Times New Roman"/>
        </w:rPr>
        <w:t xml:space="preserve"> (labelled </w:t>
      </w:r>
      <w:r w:rsidRPr="009D4D4A">
        <w:rPr>
          <w:rFonts w:ascii="Times New Roman" w:hAnsi="Times New Roman" w:cs="Times New Roman"/>
          <w:b/>
        </w:rPr>
        <w:t>0D</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sidRPr="009D4D4A">
        <w:rPr>
          <w:rFonts w:ascii="Times New Roman" w:hAnsi="Times New Roman" w:cs="Times New Roman"/>
        </w:rPr>
        <w:t xml:space="preserve">). </w:t>
      </w:r>
      <w:r>
        <w:rPr>
          <w:rFonts w:ascii="Times New Roman" w:hAnsi="Times New Roman" w:cs="Times New Roman"/>
        </w:rPr>
        <w:t xml:space="preserve">The XRD trace for this sample shows CAN and ettringite peaks, </w:t>
      </w:r>
      <w:r w:rsidR="004A228B">
        <w:rPr>
          <w:rFonts w:ascii="Times New Roman" w:hAnsi="Times New Roman" w:cs="Times New Roman"/>
        </w:rPr>
        <w:t>but no</w:t>
      </w:r>
      <w:r>
        <w:rPr>
          <w:rFonts w:ascii="Times New Roman" w:hAnsi="Times New Roman" w:cs="Times New Roman"/>
        </w:rPr>
        <w:t xml:space="preserve"> AFm peaks. </w:t>
      </w:r>
      <w:r w:rsidR="009E3314" w:rsidRPr="009D4D4A">
        <w:rPr>
          <w:rFonts w:ascii="Times New Roman" w:hAnsi="Times New Roman" w:cs="Times New Roman"/>
        </w:rPr>
        <w:t>The peaks attributed to</w:t>
      </w:r>
      <w:r w:rsidR="00040734">
        <w:rPr>
          <w:rFonts w:ascii="Times New Roman" w:hAnsi="Times New Roman" w:cs="Times New Roman"/>
        </w:rPr>
        <w:t xml:space="preserve"> the phases produced from</w:t>
      </w:r>
      <w:r w:rsidR="009E3314" w:rsidRPr="009D4D4A">
        <w:rPr>
          <w:rFonts w:ascii="Times New Roman" w:hAnsi="Times New Roman" w:cs="Times New Roman"/>
        </w:rPr>
        <w:t xml:space="preserve"> BFS and the </w:t>
      </w:r>
      <w:r w:rsidR="00040734">
        <w:rPr>
          <w:rFonts w:ascii="Times New Roman" w:hAnsi="Times New Roman" w:cs="Times New Roman"/>
        </w:rPr>
        <w:t xml:space="preserve">peaks associated with the </w:t>
      </w:r>
      <w:r w:rsidR="009E3314" w:rsidRPr="009D4D4A">
        <w:rPr>
          <w:rFonts w:ascii="Times New Roman" w:hAnsi="Times New Roman" w:cs="Times New Roman"/>
        </w:rPr>
        <w:t xml:space="preserve">C-S-H (I) crystals are present in all four cement sample formulations suggesting that the introduction of waste simulants does not impact the formation of </w:t>
      </w:r>
      <w:r w:rsidR="002B54CE">
        <w:rPr>
          <w:rFonts w:ascii="Times New Roman" w:hAnsi="Times New Roman" w:cs="Times New Roman"/>
        </w:rPr>
        <w:t>these phases during hydration. [9]</w:t>
      </w:r>
    </w:p>
    <w:p w14:paraId="5858E826" w14:textId="77777777" w:rsidR="00777A0A" w:rsidRPr="00D37DE3" w:rsidRDefault="00777A0A" w:rsidP="00777A0A">
      <w:pPr>
        <w:pStyle w:val="NormalWeb"/>
        <w:spacing w:before="240" w:beforeAutospacing="0" w:after="120" w:afterAutospacing="0" w:line="480" w:lineRule="exact"/>
        <w:jc w:val="both"/>
        <w:rPr>
          <w:i/>
          <w:sz w:val="24"/>
          <w:szCs w:val="24"/>
        </w:rPr>
      </w:pPr>
      <w:proofErr w:type="gramStart"/>
      <w:r w:rsidRPr="00D37DE3">
        <w:rPr>
          <w:b/>
          <w:i/>
          <w:sz w:val="24"/>
          <w:szCs w:val="24"/>
        </w:rPr>
        <w:t>ii</w:t>
      </w:r>
      <w:proofErr w:type="gramEnd"/>
      <w:r w:rsidRPr="00D37DE3">
        <w:rPr>
          <w:b/>
          <w:i/>
          <w:sz w:val="24"/>
          <w:szCs w:val="24"/>
        </w:rPr>
        <w:tab/>
        <w:t>Thermogravimetric Analysis (TGA)</w:t>
      </w:r>
    </w:p>
    <w:p w14:paraId="20301AAF" w14:textId="586ED3A7" w:rsidR="00777A0A" w:rsidRDefault="00777A0A" w:rsidP="0044704C">
      <w:pPr>
        <w:spacing w:line="480" w:lineRule="exact"/>
        <w:jc w:val="both"/>
        <w:rPr>
          <w:rFonts w:ascii="Times New Roman" w:hAnsi="Times New Roman" w:cs="Times New Roman"/>
        </w:rPr>
      </w:pPr>
      <w:r w:rsidRPr="00E908AE">
        <w:rPr>
          <w:rFonts w:ascii="Times New Roman" w:hAnsi="Times New Roman" w:cs="Times New Roman"/>
          <w:szCs w:val="44"/>
        </w:rPr>
        <w:t xml:space="preserve">Several components and phases were identified in </w:t>
      </w:r>
      <w:r>
        <w:rPr>
          <w:rFonts w:ascii="Times New Roman" w:hAnsi="Times New Roman" w:cs="Times New Roman"/>
          <w:szCs w:val="44"/>
        </w:rPr>
        <w:t xml:space="preserve">the four </w:t>
      </w:r>
      <w:proofErr w:type="gramStart"/>
      <w:r>
        <w:rPr>
          <w:rFonts w:ascii="Times New Roman" w:hAnsi="Times New Roman" w:cs="Times New Roman"/>
          <w:szCs w:val="44"/>
        </w:rPr>
        <w:t>samples</w:t>
      </w:r>
      <w:r w:rsidRPr="00E908AE">
        <w:rPr>
          <w:rFonts w:ascii="Times New Roman" w:hAnsi="Times New Roman" w:cs="Times New Roman"/>
          <w:szCs w:val="44"/>
        </w:rPr>
        <w:t>,</w:t>
      </w:r>
      <w:proofErr w:type="gramEnd"/>
      <w:r w:rsidRPr="00E908AE">
        <w:rPr>
          <w:rFonts w:ascii="Times New Roman" w:hAnsi="Times New Roman" w:cs="Times New Roman"/>
          <w:szCs w:val="44"/>
        </w:rPr>
        <w:t xml:space="preserve"> literature states that these components/phases dehydrate at the temperature ranges given in </w:t>
      </w:r>
      <w:r w:rsidR="00AC41FB">
        <w:rPr>
          <w:rFonts w:ascii="Times New Roman" w:hAnsi="Times New Roman" w:cs="Times New Roman"/>
          <w:szCs w:val="44"/>
        </w:rPr>
        <w:t>table 4.2</w:t>
      </w:r>
      <w:r w:rsidRPr="00E908AE">
        <w:rPr>
          <w:rFonts w:ascii="Times New Roman" w:hAnsi="Times New Roman" w:cs="Times New Roman"/>
          <w:szCs w:val="44"/>
        </w:rPr>
        <w:t xml:space="preserve">.  </w:t>
      </w:r>
      <w:r>
        <w:rPr>
          <w:rFonts w:ascii="Times New Roman" w:hAnsi="Times New Roman" w:cs="Times New Roman"/>
          <w:szCs w:val="44"/>
        </w:rPr>
        <w:t>(</w:t>
      </w:r>
      <w:proofErr w:type="gramStart"/>
      <w:r w:rsidR="00B34AE9">
        <w:rPr>
          <w:rFonts w:ascii="Times New Roman" w:hAnsi="Times New Roman" w:cs="Times New Roman"/>
          <w:szCs w:val="44"/>
        </w:rPr>
        <w:t>i</w:t>
      </w:r>
      <w:r w:rsidRPr="00E908AE">
        <w:rPr>
          <w:rFonts w:ascii="Times New Roman" w:hAnsi="Times New Roman" w:cs="Times New Roman"/>
          <w:szCs w:val="44"/>
        </w:rPr>
        <w:t>nformation</w:t>
      </w:r>
      <w:proofErr w:type="gramEnd"/>
      <w:r w:rsidRPr="00E908AE">
        <w:rPr>
          <w:rFonts w:ascii="Times New Roman" w:hAnsi="Times New Roman" w:cs="Times New Roman"/>
          <w:szCs w:val="44"/>
        </w:rPr>
        <w:t xml:space="preserve"> gathered from [</w:t>
      </w:r>
      <w:r>
        <w:rPr>
          <w:rFonts w:ascii="Times New Roman" w:hAnsi="Times New Roman" w:cs="Times New Roman"/>
          <w:szCs w:val="44"/>
        </w:rPr>
        <w:t>10,11</w:t>
      </w:r>
      <w:r w:rsidRPr="00E908AE">
        <w:rPr>
          <w:rFonts w:ascii="Times New Roman" w:hAnsi="Times New Roman" w:cs="Times New Roman"/>
          <w:szCs w:val="44"/>
        </w:rPr>
        <w:t>]</w:t>
      </w:r>
      <w:r>
        <w:rPr>
          <w:rFonts w:ascii="Times New Roman" w:hAnsi="Times New Roman" w:cs="Times New Roman"/>
          <w:szCs w:val="44"/>
        </w:rPr>
        <w:t>).</w:t>
      </w:r>
      <w:r w:rsidRPr="00741F78">
        <w:rPr>
          <w:rFonts w:ascii="Times" w:hAnsi="Times" w:cs="Times New Roman"/>
        </w:rPr>
        <w:t xml:space="preserve"> </w:t>
      </w:r>
      <w:r>
        <w:rPr>
          <w:rFonts w:ascii="Times" w:hAnsi="Times" w:cs="Times New Roman"/>
        </w:rPr>
        <w:t>The</w:t>
      </w:r>
      <w:r w:rsidRPr="00E908AE">
        <w:rPr>
          <w:rFonts w:ascii="Times" w:hAnsi="Times" w:cs="Times New Roman"/>
        </w:rPr>
        <w:t xml:space="preserve"> thermogravimetry (TG) and differential thermogravimetry (DTG) curves for </w:t>
      </w:r>
      <w:r w:rsidRPr="0046338E">
        <w:rPr>
          <w:rFonts w:ascii="Times" w:hAnsi="Times" w:cs="Times New Roman"/>
          <w:b/>
        </w:rPr>
        <w:t>0DB</w:t>
      </w:r>
      <w:r>
        <w:rPr>
          <w:rFonts w:ascii="Times" w:hAnsi="Times" w:cs="Times New Roman"/>
        </w:rPr>
        <w:t xml:space="preserve"> and </w:t>
      </w:r>
      <w:r w:rsidRPr="0046338E">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rPr>
        <w:t xml:space="preserve"> are shown in Figure 4.2. </w:t>
      </w:r>
      <w:r w:rsidRPr="007A78EA">
        <w:rPr>
          <w:rFonts w:ascii="Times New Roman" w:hAnsi="Times New Roman" w:cs="Times New Roman"/>
          <w:color w:val="000000"/>
        </w:rPr>
        <w:t xml:space="preserve">The </w:t>
      </w:r>
      <w:r>
        <w:rPr>
          <w:rFonts w:ascii="Times New Roman" w:hAnsi="Times New Roman" w:cs="Times New Roman"/>
          <w:color w:val="000000"/>
        </w:rPr>
        <w:t xml:space="preserve">TG and DTG </w:t>
      </w:r>
      <w:r w:rsidRPr="007A78EA">
        <w:rPr>
          <w:rFonts w:ascii="Times New Roman" w:hAnsi="Times New Roman" w:cs="Times New Roman"/>
          <w:color w:val="000000"/>
        </w:rPr>
        <w:t xml:space="preserve">heating profiles for the </w:t>
      </w:r>
      <w:r w:rsidRPr="007A78EA">
        <w:rPr>
          <w:rFonts w:ascii="Times New Roman" w:hAnsi="Times New Roman" w:cs="Times New Roman"/>
          <w:b/>
        </w:rPr>
        <w:t>0D</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m:t>
            </m:r>
          </m:e>
        </m:acc>
      </m:oMath>
      <w:r w:rsidRPr="007A78EA">
        <w:rPr>
          <w:rFonts w:ascii="Times New Roman" w:hAnsi="Times New Roman" w:cs="Times New Roman"/>
          <w:sz w:val="36"/>
          <w:szCs w:val="36"/>
        </w:rPr>
        <w:t xml:space="preserve"> </w:t>
      </w:r>
      <w:r w:rsidRPr="007A78EA">
        <w:rPr>
          <w:rFonts w:ascii="Times New Roman" w:hAnsi="Times New Roman" w:cs="Times New Roman"/>
        </w:rPr>
        <w:t xml:space="preserve">and </w:t>
      </w:r>
      <w:r w:rsidRPr="007A78EA">
        <w:rPr>
          <w:rFonts w:ascii="Times New Roman" w:hAnsi="Times New Roman" w:cs="Times New Roman"/>
          <w:b/>
        </w:rPr>
        <w:t>0D</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s</m:t>
            </m:r>
          </m:e>
        </m:acc>
      </m:oMath>
      <w:r w:rsidRPr="007A78EA">
        <w:rPr>
          <w:rFonts w:ascii="Times New Roman" w:hAnsi="Times New Roman" w:cs="Times New Roman"/>
          <w:sz w:val="36"/>
          <w:szCs w:val="36"/>
        </w:rPr>
        <w:t xml:space="preserve"> </w:t>
      </w:r>
      <w:r w:rsidRPr="007A78EA">
        <w:rPr>
          <w:rFonts w:ascii="Times New Roman" w:hAnsi="Times New Roman" w:cs="Times New Roman"/>
        </w:rPr>
        <w:t xml:space="preserve">samples are shown in Figure 4.3. They correspond strongly with the XRD results. </w:t>
      </w:r>
      <w:r w:rsidRPr="00E908AE">
        <w:rPr>
          <w:rFonts w:ascii="Times" w:hAnsi="Times" w:cs="Times New Roman"/>
        </w:rPr>
        <w:t xml:space="preserve"> </w:t>
      </w:r>
      <w:r>
        <w:rPr>
          <w:rFonts w:ascii="Times" w:hAnsi="Times" w:cs="Times New Roman"/>
        </w:rPr>
        <w:t>In all samples the weight losses below 100</w:t>
      </w:r>
      <w:r>
        <w:rPr>
          <w:rFonts w:ascii="Times" w:hAnsi="Times" w:cs="Times New Roman"/>
          <w:vertAlign w:val="superscript"/>
        </w:rPr>
        <w:t>o</w:t>
      </w:r>
      <w:r>
        <w:rPr>
          <w:rFonts w:ascii="Times" w:hAnsi="Times" w:cs="Times New Roman"/>
        </w:rPr>
        <w:t>C are partially attributed to the evaporation of free water.</w:t>
      </w:r>
    </w:p>
    <w:p w14:paraId="4A6E647E" w14:textId="77777777" w:rsidR="0044704C" w:rsidRPr="0044704C" w:rsidRDefault="0044704C" w:rsidP="0044704C">
      <w:pPr>
        <w:spacing w:line="480" w:lineRule="exact"/>
        <w:jc w:val="both"/>
        <w:rPr>
          <w:rFonts w:ascii="Times New Roman" w:hAnsi="Times New Roman" w:cs="Times New Roman"/>
        </w:rPr>
      </w:pPr>
    </w:p>
    <w:p w14:paraId="707C6305" w14:textId="2EAAD3D1" w:rsidR="00777A0A" w:rsidRPr="00E908AE" w:rsidRDefault="00777A0A" w:rsidP="00777A0A">
      <w:pPr>
        <w:spacing w:before="240" w:after="120"/>
        <w:ind w:left="-142" w:right="-1339"/>
        <w:rPr>
          <w:rFonts w:ascii="Times New Roman" w:hAnsi="Times New Roman" w:cs="Times New Roman"/>
          <w:szCs w:val="44"/>
        </w:rPr>
      </w:pPr>
      <w:r w:rsidRPr="00E908AE">
        <w:rPr>
          <w:rFonts w:ascii="Times New Roman" w:hAnsi="Times New Roman" w:cs="Times New Roman"/>
          <w:b/>
          <w:szCs w:val="44"/>
        </w:rPr>
        <w:t xml:space="preserve">Table </w:t>
      </w:r>
      <w:r>
        <w:rPr>
          <w:rFonts w:ascii="Times New Roman" w:hAnsi="Times New Roman" w:cs="Times New Roman"/>
          <w:b/>
          <w:szCs w:val="44"/>
        </w:rPr>
        <w:t>4.2</w:t>
      </w:r>
      <w:r w:rsidRPr="00E908AE">
        <w:rPr>
          <w:rFonts w:ascii="Times New Roman" w:hAnsi="Times New Roman" w:cs="Times New Roman"/>
          <w:szCs w:val="44"/>
        </w:rPr>
        <w:t>: Cement components and corresponding dehydration/volatilisation temperatures</w:t>
      </w:r>
      <w:r w:rsidR="00B50FAE">
        <w:rPr>
          <w:rFonts w:ascii="Times New Roman" w:hAnsi="Times New Roman" w:cs="Times New Roman"/>
          <w:szCs w:val="44"/>
        </w:rPr>
        <w:t xml:space="preserve"> </w:t>
      </w:r>
    </w:p>
    <w:tbl>
      <w:tblPr>
        <w:tblStyle w:val="TableGrid"/>
        <w:tblW w:w="8081" w:type="dxa"/>
        <w:tblInd w:w="250" w:type="dxa"/>
        <w:tblLayout w:type="fixed"/>
        <w:tblLook w:val="04A0" w:firstRow="1" w:lastRow="0" w:firstColumn="1" w:lastColumn="0" w:noHBand="0" w:noVBand="1"/>
      </w:tblPr>
      <w:tblGrid>
        <w:gridCol w:w="1227"/>
        <w:gridCol w:w="2135"/>
        <w:gridCol w:w="3125"/>
        <w:gridCol w:w="1594"/>
      </w:tblGrid>
      <w:tr w:rsidR="00777A0A" w:rsidRPr="00E908AE" w14:paraId="2CE4F40C" w14:textId="77777777" w:rsidTr="00E85025">
        <w:trPr>
          <w:trHeight w:val="450"/>
        </w:trPr>
        <w:tc>
          <w:tcPr>
            <w:tcW w:w="1227" w:type="dxa"/>
            <w:shd w:val="clear" w:color="auto" w:fill="BFBFBF" w:themeFill="background1" w:themeFillShade="BF"/>
          </w:tcPr>
          <w:p w14:paraId="6EEFA08A" w14:textId="77777777" w:rsidR="00777A0A" w:rsidRPr="00E908AE" w:rsidRDefault="00777A0A" w:rsidP="00E85025">
            <w:pPr>
              <w:spacing w:before="240" w:after="120"/>
              <w:jc w:val="center"/>
              <w:rPr>
                <w:rFonts w:ascii="Times New Roman" w:hAnsi="Times New Roman" w:cs="Times New Roman"/>
                <w:b/>
                <w:sz w:val="24"/>
                <w:szCs w:val="44"/>
              </w:rPr>
            </w:pPr>
            <w:r w:rsidRPr="00E908AE">
              <w:rPr>
                <w:rFonts w:ascii="Times New Roman" w:hAnsi="Times New Roman" w:cs="Times New Roman"/>
                <w:b/>
                <w:sz w:val="24"/>
                <w:szCs w:val="44"/>
              </w:rPr>
              <w:t>Label</w:t>
            </w:r>
          </w:p>
        </w:tc>
        <w:tc>
          <w:tcPr>
            <w:tcW w:w="2135" w:type="dxa"/>
            <w:shd w:val="clear" w:color="auto" w:fill="BFBFBF" w:themeFill="background1" w:themeFillShade="BF"/>
          </w:tcPr>
          <w:p w14:paraId="79EEB35C" w14:textId="77777777" w:rsidR="00777A0A" w:rsidRPr="00E908AE" w:rsidRDefault="00777A0A" w:rsidP="00E85025">
            <w:pPr>
              <w:spacing w:before="240" w:after="120"/>
              <w:jc w:val="center"/>
              <w:rPr>
                <w:rFonts w:ascii="Times New Roman" w:hAnsi="Times New Roman" w:cs="Times New Roman"/>
                <w:b/>
                <w:sz w:val="24"/>
                <w:szCs w:val="44"/>
              </w:rPr>
            </w:pPr>
            <w:r w:rsidRPr="00E908AE">
              <w:rPr>
                <w:rFonts w:ascii="Times New Roman" w:hAnsi="Times New Roman" w:cs="Times New Roman"/>
                <w:b/>
                <w:sz w:val="24"/>
                <w:szCs w:val="44"/>
              </w:rPr>
              <w:t>Component</w:t>
            </w:r>
          </w:p>
        </w:tc>
        <w:tc>
          <w:tcPr>
            <w:tcW w:w="3125" w:type="dxa"/>
            <w:shd w:val="clear" w:color="auto" w:fill="BFBFBF" w:themeFill="background1" w:themeFillShade="BF"/>
            <w:vAlign w:val="center"/>
          </w:tcPr>
          <w:p w14:paraId="5563B98C" w14:textId="77777777" w:rsidR="00777A0A" w:rsidRPr="00E908AE" w:rsidRDefault="00777A0A" w:rsidP="00E85025">
            <w:pPr>
              <w:spacing w:before="240" w:after="120"/>
              <w:jc w:val="center"/>
              <w:rPr>
                <w:rFonts w:ascii="Times New Roman" w:hAnsi="Times New Roman" w:cs="Times New Roman"/>
                <w:b/>
                <w:sz w:val="24"/>
                <w:szCs w:val="24"/>
              </w:rPr>
            </w:pPr>
            <w:r w:rsidRPr="00E908AE">
              <w:rPr>
                <w:rFonts w:ascii="Times New Roman" w:hAnsi="Times New Roman" w:cs="Times New Roman"/>
                <w:b/>
                <w:sz w:val="24"/>
                <w:szCs w:val="24"/>
              </w:rPr>
              <w:t>Formula</w:t>
            </w:r>
          </w:p>
        </w:tc>
        <w:tc>
          <w:tcPr>
            <w:tcW w:w="1594" w:type="dxa"/>
            <w:shd w:val="clear" w:color="auto" w:fill="BFBFBF" w:themeFill="background1" w:themeFillShade="BF"/>
          </w:tcPr>
          <w:p w14:paraId="6DD203B4" w14:textId="77777777" w:rsidR="00777A0A" w:rsidRPr="00E908AE" w:rsidRDefault="00777A0A" w:rsidP="00E85025">
            <w:pPr>
              <w:spacing w:before="240" w:after="120"/>
              <w:jc w:val="center"/>
              <w:rPr>
                <w:rFonts w:ascii="Times New Roman" w:hAnsi="Times New Roman" w:cs="Times New Roman"/>
                <w:b/>
                <w:sz w:val="24"/>
                <w:szCs w:val="44"/>
              </w:rPr>
            </w:pPr>
            <w:r w:rsidRPr="00E908AE">
              <w:rPr>
                <w:rFonts w:ascii="Times New Roman" w:hAnsi="Times New Roman" w:cs="Times New Roman"/>
                <w:b/>
                <w:sz w:val="24"/>
                <w:szCs w:val="44"/>
              </w:rPr>
              <w:t xml:space="preserve">Temperature range </w:t>
            </w:r>
            <w:r w:rsidRPr="00E908AE">
              <w:rPr>
                <w:rFonts w:ascii="Times New Roman" w:hAnsi="Times New Roman" w:cs="Times New Roman"/>
                <w:b/>
                <w:sz w:val="24"/>
                <w:szCs w:val="44"/>
                <w:vertAlign w:val="superscript"/>
              </w:rPr>
              <w:t>o</w:t>
            </w:r>
            <w:r w:rsidRPr="00E908AE">
              <w:rPr>
                <w:rFonts w:ascii="Times New Roman" w:hAnsi="Times New Roman" w:cs="Times New Roman"/>
                <w:b/>
                <w:sz w:val="24"/>
                <w:szCs w:val="44"/>
              </w:rPr>
              <w:t>C</w:t>
            </w:r>
          </w:p>
        </w:tc>
      </w:tr>
      <w:tr w:rsidR="00777A0A" w:rsidRPr="00E908AE" w14:paraId="51FEED0D" w14:textId="77777777" w:rsidTr="00E85025">
        <w:trPr>
          <w:trHeight w:val="94"/>
        </w:trPr>
        <w:tc>
          <w:tcPr>
            <w:tcW w:w="1227" w:type="dxa"/>
          </w:tcPr>
          <w:p w14:paraId="66733A50" w14:textId="77777777"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C-S-H</w:t>
            </w:r>
          </w:p>
        </w:tc>
        <w:tc>
          <w:tcPr>
            <w:tcW w:w="2135" w:type="dxa"/>
          </w:tcPr>
          <w:p w14:paraId="6D90F39D" w14:textId="77777777"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C-S-H</w:t>
            </w:r>
          </w:p>
        </w:tc>
        <w:tc>
          <w:tcPr>
            <w:tcW w:w="3125" w:type="dxa"/>
            <w:vAlign w:val="center"/>
          </w:tcPr>
          <w:p w14:paraId="6CDEC518" w14:textId="34370D2B" w:rsidR="00777A0A" w:rsidRPr="00F36A67" w:rsidRDefault="006D6C04" w:rsidP="00B2494C">
            <w:pPr>
              <w:spacing w:before="240" w:after="120"/>
              <w:jc w:val="center"/>
              <w:rPr>
                <w:rFonts w:ascii="Times New Roman" w:hAnsi="Times New Roman" w:cs="Times New Roman"/>
                <w:sz w:val="24"/>
                <w:szCs w:val="24"/>
              </w:rPr>
            </w:pPr>
            <w:r>
              <w:rPr>
                <w:rFonts w:ascii="Times New Roman" w:eastAsia="Times New Roman" w:hAnsi="Times New Roman" w:cs="Times New Roman"/>
                <w:lang w:eastAsia="en-GB"/>
              </w:rPr>
              <w:t>Amorphous calcium silicate hydrate</w:t>
            </w:r>
          </w:p>
        </w:tc>
        <w:tc>
          <w:tcPr>
            <w:tcW w:w="1594" w:type="dxa"/>
          </w:tcPr>
          <w:p w14:paraId="393C1BAF" w14:textId="225E5753" w:rsidR="00777A0A" w:rsidRPr="00F36A67" w:rsidRDefault="00777A0A" w:rsidP="00040734">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110-</w:t>
            </w:r>
            <w:r w:rsidR="00040734" w:rsidRPr="00F36A67">
              <w:rPr>
                <w:rFonts w:ascii="Times New Roman" w:hAnsi="Times New Roman" w:cs="Times New Roman"/>
                <w:sz w:val="24"/>
                <w:szCs w:val="24"/>
              </w:rPr>
              <w:t>1</w:t>
            </w:r>
            <w:r w:rsidR="00040734">
              <w:rPr>
                <w:rFonts w:ascii="Times New Roman" w:hAnsi="Times New Roman" w:cs="Times New Roman"/>
                <w:sz w:val="24"/>
                <w:szCs w:val="24"/>
              </w:rPr>
              <w:t>000</w:t>
            </w:r>
          </w:p>
        </w:tc>
      </w:tr>
      <w:tr w:rsidR="00777A0A" w:rsidRPr="00E908AE" w14:paraId="6B5E85ED" w14:textId="77777777" w:rsidTr="00E85025">
        <w:trPr>
          <w:trHeight w:val="451"/>
        </w:trPr>
        <w:tc>
          <w:tcPr>
            <w:tcW w:w="1227" w:type="dxa"/>
          </w:tcPr>
          <w:p w14:paraId="3BD8FBD1" w14:textId="77777777"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AFM</w:t>
            </w:r>
          </w:p>
        </w:tc>
        <w:tc>
          <w:tcPr>
            <w:tcW w:w="2135" w:type="dxa"/>
          </w:tcPr>
          <w:p w14:paraId="0E415094" w14:textId="77777777"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Monosulphate</w:t>
            </w:r>
          </w:p>
        </w:tc>
        <w:tc>
          <w:tcPr>
            <w:tcW w:w="3125" w:type="dxa"/>
            <w:vAlign w:val="center"/>
          </w:tcPr>
          <w:p w14:paraId="7ABCF476" w14:textId="77777777" w:rsidR="00777A0A" w:rsidRPr="00F36A67" w:rsidRDefault="00777A0A" w:rsidP="00E85025">
            <w:pPr>
              <w:spacing w:before="240" w:after="120"/>
              <w:jc w:val="center"/>
              <w:rPr>
                <w:rFonts w:ascii="Times New Roman" w:hAnsi="Times New Roman" w:cs="Times New Roman"/>
                <w:sz w:val="24"/>
                <w:szCs w:val="24"/>
              </w:rPr>
            </w:pPr>
            <w:proofErr w:type="gramStart"/>
            <w:r>
              <w:rPr>
                <w:rFonts w:ascii="Times" w:hAnsi="Times" w:cs="Times New Roman"/>
                <w:sz w:val="24"/>
                <w:szCs w:val="24"/>
              </w:rPr>
              <w:t>Ca</w:t>
            </w:r>
            <w:r>
              <w:rPr>
                <w:rFonts w:ascii="Times" w:hAnsi="Times" w:cs="Times New Roman"/>
                <w:sz w:val="24"/>
                <w:szCs w:val="24"/>
                <w:vertAlign w:val="subscript"/>
              </w:rPr>
              <w:t>4</w:t>
            </w:r>
            <w:r>
              <w:rPr>
                <w:rFonts w:ascii="Times" w:hAnsi="Times" w:cs="Times New Roman"/>
                <w:sz w:val="24"/>
                <w:szCs w:val="24"/>
              </w:rPr>
              <w:t>Al</w:t>
            </w:r>
            <w:r>
              <w:rPr>
                <w:rFonts w:ascii="Times" w:hAnsi="Times" w:cs="Times New Roman"/>
                <w:sz w:val="24"/>
                <w:szCs w:val="24"/>
                <w:vertAlign w:val="subscript"/>
              </w:rPr>
              <w:t>2</w:t>
            </w:r>
            <w:r>
              <w:rPr>
                <w:rFonts w:ascii="Times" w:hAnsi="Times" w:cs="Times New Roman"/>
                <w:sz w:val="24"/>
                <w:szCs w:val="24"/>
              </w:rPr>
              <w:t>(</w:t>
            </w:r>
            <w:proofErr w:type="gramEnd"/>
            <w:r>
              <w:rPr>
                <w:rFonts w:ascii="Times" w:hAnsi="Times" w:cs="Times New Roman"/>
                <w:sz w:val="24"/>
                <w:szCs w:val="24"/>
              </w:rPr>
              <w:t>OH)</w:t>
            </w:r>
            <w:r>
              <w:rPr>
                <w:rFonts w:ascii="Times" w:hAnsi="Times" w:cs="Times New Roman"/>
                <w:sz w:val="24"/>
                <w:szCs w:val="24"/>
                <w:vertAlign w:val="subscript"/>
              </w:rPr>
              <w:t>12</w:t>
            </w:r>
            <w:r>
              <w:rPr>
                <w:rFonts w:ascii="Times" w:hAnsi="Times" w:cs="Times New Roman"/>
                <w:sz w:val="24"/>
                <w:szCs w:val="24"/>
              </w:rPr>
              <w:t>(SO</w:t>
            </w:r>
            <w:r>
              <w:rPr>
                <w:rFonts w:ascii="Times" w:hAnsi="Times" w:cs="Times New Roman"/>
                <w:sz w:val="24"/>
                <w:szCs w:val="24"/>
                <w:vertAlign w:val="subscript"/>
              </w:rPr>
              <w:t>4</w:t>
            </w:r>
            <w:r>
              <w:rPr>
                <w:rFonts w:ascii="Times" w:hAnsi="Times" w:cs="Times New Roman"/>
                <w:sz w:val="24"/>
                <w:szCs w:val="24"/>
              </w:rPr>
              <w:t>).6H</w:t>
            </w:r>
            <w:r>
              <w:rPr>
                <w:rFonts w:ascii="Times" w:hAnsi="Times" w:cs="Times New Roman"/>
                <w:sz w:val="24"/>
                <w:szCs w:val="24"/>
                <w:vertAlign w:val="subscript"/>
              </w:rPr>
              <w:t>2</w:t>
            </w:r>
            <w:r>
              <w:rPr>
                <w:rFonts w:ascii="Times" w:hAnsi="Times" w:cs="Times New Roman"/>
                <w:sz w:val="24"/>
                <w:szCs w:val="24"/>
              </w:rPr>
              <w:t>O</w:t>
            </w:r>
          </w:p>
        </w:tc>
        <w:tc>
          <w:tcPr>
            <w:tcW w:w="1594" w:type="dxa"/>
          </w:tcPr>
          <w:p w14:paraId="3DFB43A2" w14:textId="77777777"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180-210, 220-270</w:t>
            </w:r>
          </w:p>
        </w:tc>
      </w:tr>
      <w:tr w:rsidR="00777A0A" w:rsidRPr="00E908AE" w14:paraId="2AF027D6" w14:textId="77777777" w:rsidTr="00E85025">
        <w:trPr>
          <w:trHeight w:val="665"/>
        </w:trPr>
        <w:tc>
          <w:tcPr>
            <w:tcW w:w="1227" w:type="dxa"/>
            <w:vAlign w:val="center"/>
          </w:tcPr>
          <w:p w14:paraId="2444BA67" w14:textId="77777777"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CAN</w:t>
            </w:r>
          </w:p>
        </w:tc>
        <w:tc>
          <w:tcPr>
            <w:tcW w:w="2135" w:type="dxa"/>
            <w:vAlign w:val="center"/>
          </w:tcPr>
          <w:p w14:paraId="7BAFCB12" w14:textId="77777777"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Calcium Aluminonitrate</w:t>
            </w:r>
          </w:p>
        </w:tc>
        <w:tc>
          <w:tcPr>
            <w:tcW w:w="3125" w:type="dxa"/>
            <w:vAlign w:val="center"/>
          </w:tcPr>
          <w:p w14:paraId="220E6096" w14:textId="77777777" w:rsidR="00777A0A" w:rsidRPr="00F36A67" w:rsidRDefault="00777A0A" w:rsidP="00E85025">
            <w:pPr>
              <w:spacing w:before="240" w:after="120"/>
              <w:jc w:val="center"/>
              <w:rPr>
                <w:rFonts w:ascii="Times New Roman" w:hAnsi="Times New Roman" w:cs="Times New Roman"/>
                <w:color w:val="000000"/>
                <w:position w:val="-4"/>
                <w:sz w:val="24"/>
                <w:szCs w:val="24"/>
              </w:rPr>
            </w:pPr>
            <w:proofErr w:type="gramStart"/>
            <w:r w:rsidRPr="00F36A67">
              <w:rPr>
                <w:rFonts w:ascii="Times-Roman" w:hAnsi="Times-Roman" w:cs="Times-Roman"/>
                <w:color w:val="000000"/>
                <w:sz w:val="24"/>
                <w:szCs w:val="24"/>
              </w:rPr>
              <w:t>Ca</w:t>
            </w:r>
            <w:r w:rsidRPr="00F36A67">
              <w:rPr>
                <w:rFonts w:ascii="Times-Roman" w:hAnsi="Times-Roman" w:cs="Times-Roman"/>
                <w:color w:val="000000"/>
                <w:sz w:val="24"/>
                <w:szCs w:val="24"/>
                <w:vertAlign w:val="subscript"/>
              </w:rPr>
              <w:t>4</w:t>
            </w:r>
            <w:r w:rsidRPr="00F36A67">
              <w:rPr>
                <w:rFonts w:ascii="Times-Roman" w:hAnsi="Times-Roman" w:cs="Times-Roman"/>
                <w:color w:val="000000"/>
                <w:sz w:val="24"/>
                <w:szCs w:val="24"/>
              </w:rPr>
              <w:t>Al</w:t>
            </w:r>
            <w:r w:rsidRPr="00F36A67">
              <w:rPr>
                <w:rFonts w:ascii="Times-Roman" w:hAnsi="Times-Roman" w:cs="Times-Roman"/>
                <w:color w:val="000000"/>
                <w:sz w:val="24"/>
                <w:szCs w:val="24"/>
                <w:vertAlign w:val="subscript"/>
              </w:rPr>
              <w:t>2</w:t>
            </w:r>
            <w:r w:rsidRPr="00F36A67">
              <w:rPr>
                <w:rFonts w:ascii="Times-Roman" w:hAnsi="Times-Roman" w:cs="Times-Roman"/>
                <w:color w:val="000000"/>
                <w:sz w:val="24"/>
                <w:szCs w:val="24"/>
              </w:rPr>
              <w:t>(</w:t>
            </w:r>
            <w:proofErr w:type="gramEnd"/>
            <w:r w:rsidRPr="00F36A67">
              <w:rPr>
                <w:rFonts w:ascii="Times-Roman" w:hAnsi="Times-Roman" w:cs="Times-Roman"/>
                <w:color w:val="000000"/>
                <w:sz w:val="24"/>
                <w:szCs w:val="24"/>
              </w:rPr>
              <w:t>OH)</w:t>
            </w:r>
            <w:r w:rsidRPr="00F36A67">
              <w:rPr>
                <w:rFonts w:ascii="Times-Roman" w:hAnsi="Times-Roman" w:cs="Times-Roman"/>
                <w:color w:val="000000"/>
                <w:sz w:val="24"/>
                <w:szCs w:val="24"/>
                <w:vertAlign w:val="subscript"/>
              </w:rPr>
              <w:t>12</w:t>
            </w:r>
            <w:r w:rsidRPr="00F36A67">
              <w:rPr>
                <w:rFonts w:ascii="Times-Roman" w:hAnsi="Times-Roman" w:cs="Times-Roman"/>
                <w:color w:val="000000"/>
                <w:sz w:val="24"/>
                <w:szCs w:val="24"/>
              </w:rPr>
              <w:t>(NO</w:t>
            </w:r>
            <w:r w:rsidRPr="00F36A67">
              <w:rPr>
                <w:rFonts w:ascii="Times-Roman" w:hAnsi="Times-Roman" w:cs="Times-Roman"/>
                <w:color w:val="000000"/>
                <w:sz w:val="24"/>
                <w:szCs w:val="24"/>
                <w:vertAlign w:val="subscript"/>
              </w:rPr>
              <w:t>3</w:t>
            </w:r>
            <w:r w:rsidRPr="00F36A67">
              <w:rPr>
                <w:rFonts w:ascii="Times-Roman" w:hAnsi="Times-Roman" w:cs="Times-Roman"/>
                <w:color w:val="000000"/>
                <w:sz w:val="24"/>
                <w:szCs w:val="24"/>
              </w:rPr>
              <w:t>)</w:t>
            </w:r>
            <w:r w:rsidRPr="00F36A67">
              <w:rPr>
                <w:rFonts w:ascii="Times-Roman" w:hAnsi="Times-Roman" w:cs="Times-Roman"/>
                <w:color w:val="000000"/>
                <w:sz w:val="24"/>
                <w:szCs w:val="24"/>
                <w:vertAlign w:val="subscript"/>
              </w:rPr>
              <w:t>2</w:t>
            </w:r>
            <w:r w:rsidRPr="00F36A67">
              <w:rPr>
                <w:rFonts w:ascii="Times-Roman" w:hAnsi="Times-Roman" w:cs="Times-Roman"/>
                <w:color w:val="000000"/>
                <w:sz w:val="24"/>
                <w:szCs w:val="24"/>
              </w:rPr>
              <w:t>·4H</w:t>
            </w:r>
            <w:r w:rsidRPr="00F36A67">
              <w:rPr>
                <w:rFonts w:ascii="Times-Roman" w:hAnsi="Times-Roman" w:cs="Times-Roman"/>
                <w:color w:val="000000"/>
                <w:sz w:val="24"/>
                <w:szCs w:val="24"/>
                <w:vertAlign w:val="subscript"/>
              </w:rPr>
              <w:t>2</w:t>
            </w:r>
            <w:r w:rsidRPr="00F36A67">
              <w:rPr>
                <w:rFonts w:ascii="Times-Roman" w:hAnsi="Times-Roman" w:cs="Times-Roman"/>
                <w:color w:val="000000"/>
                <w:sz w:val="24"/>
                <w:szCs w:val="24"/>
              </w:rPr>
              <w:t>O</w:t>
            </w:r>
          </w:p>
        </w:tc>
        <w:tc>
          <w:tcPr>
            <w:tcW w:w="1594" w:type="dxa"/>
            <w:vAlign w:val="center"/>
          </w:tcPr>
          <w:p w14:paraId="1C9C1577" w14:textId="173815C3"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100-120, 240-280</w:t>
            </w:r>
            <w:r w:rsidR="0067418E">
              <w:rPr>
                <w:rFonts w:ascii="Times New Roman" w:hAnsi="Times New Roman" w:cs="Times New Roman"/>
                <w:sz w:val="24"/>
                <w:szCs w:val="24"/>
              </w:rPr>
              <w:t>, 510-590</w:t>
            </w:r>
          </w:p>
        </w:tc>
      </w:tr>
      <w:tr w:rsidR="00777A0A" w:rsidRPr="00E908AE" w14:paraId="385CF4E9" w14:textId="77777777" w:rsidTr="00E85025">
        <w:tc>
          <w:tcPr>
            <w:tcW w:w="1227" w:type="dxa"/>
          </w:tcPr>
          <w:p w14:paraId="5A34F9A8" w14:textId="77777777"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P</w:t>
            </w:r>
          </w:p>
        </w:tc>
        <w:tc>
          <w:tcPr>
            <w:tcW w:w="2135" w:type="dxa"/>
          </w:tcPr>
          <w:p w14:paraId="3D5A95B9" w14:textId="77777777"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Portlandite</w:t>
            </w:r>
          </w:p>
        </w:tc>
        <w:tc>
          <w:tcPr>
            <w:tcW w:w="3125" w:type="dxa"/>
            <w:vAlign w:val="center"/>
          </w:tcPr>
          <w:p w14:paraId="572E9F11" w14:textId="77777777" w:rsidR="00777A0A" w:rsidRPr="00F36A67" w:rsidRDefault="00777A0A" w:rsidP="00E85025">
            <w:pPr>
              <w:spacing w:before="240" w:after="120"/>
              <w:jc w:val="center"/>
              <w:rPr>
                <w:rFonts w:ascii="Times New Roman" w:hAnsi="Times New Roman" w:cs="Times New Roman"/>
                <w:sz w:val="24"/>
                <w:szCs w:val="24"/>
              </w:rPr>
            </w:pPr>
            <w:proofErr w:type="gramStart"/>
            <w:r w:rsidRPr="00F36A67">
              <w:rPr>
                <w:rFonts w:ascii="Times New Roman" w:hAnsi="Times New Roman" w:cs="Times New Roman"/>
                <w:color w:val="000000"/>
                <w:sz w:val="24"/>
                <w:szCs w:val="24"/>
              </w:rPr>
              <w:t>Ca(</w:t>
            </w:r>
            <w:proofErr w:type="gramEnd"/>
            <w:r w:rsidRPr="00F36A67">
              <w:rPr>
                <w:rFonts w:ascii="Times New Roman" w:hAnsi="Times New Roman" w:cs="Times New Roman"/>
                <w:color w:val="000000"/>
                <w:sz w:val="24"/>
                <w:szCs w:val="24"/>
              </w:rPr>
              <w:t>OH)</w:t>
            </w:r>
            <w:r w:rsidRPr="00751C5B">
              <w:rPr>
                <w:rFonts w:ascii="Times New Roman" w:hAnsi="Times New Roman" w:cs="Times New Roman"/>
                <w:color w:val="000000"/>
                <w:position w:val="-4"/>
                <w:vertAlign w:val="subscript"/>
              </w:rPr>
              <w:t>2</w:t>
            </w:r>
          </w:p>
        </w:tc>
        <w:tc>
          <w:tcPr>
            <w:tcW w:w="1594" w:type="dxa"/>
          </w:tcPr>
          <w:p w14:paraId="3299263E" w14:textId="77777777"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440-500</w:t>
            </w:r>
          </w:p>
        </w:tc>
      </w:tr>
      <w:tr w:rsidR="00777A0A" w:rsidRPr="00E908AE" w14:paraId="433543AA" w14:textId="77777777" w:rsidTr="00E85025">
        <w:tc>
          <w:tcPr>
            <w:tcW w:w="1227" w:type="dxa"/>
          </w:tcPr>
          <w:p w14:paraId="612C670F" w14:textId="77777777"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CC</w:t>
            </w:r>
          </w:p>
        </w:tc>
        <w:tc>
          <w:tcPr>
            <w:tcW w:w="2135" w:type="dxa"/>
          </w:tcPr>
          <w:p w14:paraId="7F7A912C" w14:textId="77777777"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Calcite</w:t>
            </w:r>
          </w:p>
        </w:tc>
        <w:tc>
          <w:tcPr>
            <w:tcW w:w="3125" w:type="dxa"/>
            <w:vAlign w:val="center"/>
          </w:tcPr>
          <w:p w14:paraId="1C204650" w14:textId="77777777"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color w:val="000000"/>
                <w:sz w:val="24"/>
                <w:szCs w:val="24"/>
              </w:rPr>
              <w:t>CaCO</w:t>
            </w:r>
            <w:r w:rsidRPr="00751C5B">
              <w:rPr>
                <w:rFonts w:ascii="Times New Roman" w:hAnsi="Times New Roman" w:cs="Times New Roman"/>
                <w:color w:val="000000"/>
                <w:position w:val="-2"/>
                <w:vertAlign w:val="subscript"/>
              </w:rPr>
              <w:t>3</w:t>
            </w:r>
          </w:p>
        </w:tc>
        <w:tc>
          <w:tcPr>
            <w:tcW w:w="1594" w:type="dxa"/>
          </w:tcPr>
          <w:p w14:paraId="1D363252" w14:textId="77777777"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600-750</w:t>
            </w:r>
          </w:p>
        </w:tc>
      </w:tr>
      <w:tr w:rsidR="00777A0A" w:rsidRPr="00E908AE" w14:paraId="42044C80" w14:textId="77777777" w:rsidTr="00E85025">
        <w:tc>
          <w:tcPr>
            <w:tcW w:w="1227" w:type="dxa"/>
          </w:tcPr>
          <w:p w14:paraId="6D719C5C" w14:textId="77777777"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CN</w:t>
            </w:r>
          </w:p>
        </w:tc>
        <w:tc>
          <w:tcPr>
            <w:tcW w:w="2135" w:type="dxa"/>
          </w:tcPr>
          <w:p w14:paraId="3A8859D4" w14:textId="1848D14A" w:rsidR="00777A0A" w:rsidRPr="00F36A67" w:rsidRDefault="00971672"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Caesium</w:t>
            </w:r>
            <w:r w:rsidR="00777A0A" w:rsidRPr="00F36A67">
              <w:rPr>
                <w:rFonts w:ascii="Times New Roman" w:hAnsi="Times New Roman" w:cs="Times New Roman"/>
                <w:sz w:val="24"/>
                <w:szCs w:val="24"/>
              </w:rPr>
              <w:t xml:space="preserve"> Nitrate</w:t>
            </w:r>
          </w:p>
        </w:tc>
        <w:tc>
          <w:tcPr>
            <w:tcW w:w="3125" w:type="dxa"/>
            <w:vAlign w:val="center"/>
          </w:tcPr>
          <w:p w14:paraId="1BEADCC7" w14:textId="77777777"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CsNO</w:t>
            </w:r>
            <w:r w:rsidRPr="00F36A67">
              <w:rPr>
                <w:rFonts w:ascii="Times New Roman" w:hAnsi="Times New Roman" w:cs="Times New Roman"/>
                <w:sz w:val="24"/>
                <w:szCs w:val="24"/>
                <w:vertAlign w:val="subscript"/>
              </w:rPr>
              <w:t>3</w:t>
            </w:r>
          </w:p>
        </w:tc>
        <w:tc>
          <w:tcPr>
            <w:tcW w:w="1594" w:type="dxa"/>
          </w:tcPr>
          <w:p w14:paraId="1C249211" w14:textId="77777777"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500-540</w:t>
            </w:r>
          </w:p>
        </w:tc>
      </w:tr>
      <w:tr w:rsidR="00777A0A" w:rsidRPr="00E908AE" w14:paraId="571AB721" w14:textId="77777777" w:rsidTr="00E85025">
        <w:tc>
          <w:tcPr>
            <w:tcW w:w="1227" w:type="dxa"/>
          </w:tcPr>
          <w:p w14:paraId="39F7986D" w14:textId="77777777"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HC</w:t>
            </w:r>
          </w:p>
        </w:tc>
        <w:tc>
          <w:tcPr>
            <w:tcW w:w="2135" w:type="dxa"/>
          </w:tcPr>
          <w:p w14:paraId="6A9F63D6" w14:textId="77777777" w:rsidR="00777A0A" w:rsidRPr="00F36A67" w:rsidRDefault="00777A0A" w:rsidP="00E85025">
            <w:pPr>
              <w:spacing w:before="240" w:after="120"/>
              <w:jc w:val="center"/>
              <w:rPr>
                <w:rFonts w:ascii="Times New Roman" w:hAnsi="Times New Roman" w:cs="Times New Roman"/>
                <w:sz w:val="24"/>
                <w:szCs w:val="24"/>
              </w:rPr>
            </w:pPr>
            <w:r w:rsidRPr="00F36A67">
              <w:rPr>
                <w:rFonts w:ascii="Times New Roman" w:hAnsi="Times New Roman" w:cs="Times New Roman"/>
                <w:sz w:val="24"/>
                <w:szCs w:val="24"/>
              </w:rPr>
              <w:t>Hydrotalcite</w:t>
            </w:r>
          </w:p>
        </w:tc>
        <w:tc>
          <w:tcPr>
            <w:tcW w:w="3125" w:type="dxa"/>
            <w:vAlign w:val="center"/>
          </w:tcPr>
          <w:p w14:paraId="7FC60B90" w14:textId="377DF405" w:rsidR="00777A0A" w:rsidRPr="001425CA" w:rsidRDefault="006D6C04" w:rsidP="00E85025">
            <w:pPr>
              <w:spacing w:before="240" w:after="120"/>
              <w:jc w:val="center"/>
              <w:rPr>
                <w:rFonts w:ascii="Times New Roman" w:hAnsi="Times New Roman" w:cs="Times New Roman"/>
                <w:sz w:val="24"/>
                <w:szCs w:val="24"/>
              </w:rPr>
            </w:pPr>
            <w:proofErr w:type="gramStart"/>
            <w:r>
              <w:rPr>
                <w:rFonts w:ascii="Times New Roman" w:hAnsi="Times New Roman" w:cs="Times New Roman"/>
                <w:color w:val="000000"/>
              </w:rPr>
              <w:t>Mg</w:t>
            </w:r>
            <w:r>
              <w:rPr>
                <w:rFonts w:ascii="Times New Roman" w:hAnsi="Times New Roman" w:cs="Times New Roman"/>
                <w:color w:val="000000"/>
                <w:vertAlign w:val="subscript"/>
              </w:rPr>
              <w:t>6</w:t>
            </w:r>
            <w:r>
              <w:rPr>
                <w:rFonts w:ascii="Times New Roman" w:hAnsi="Times New Roman" w:cs="Times New Roman"/>
                <w:color w:val="000000"/>
              </w:rPr>
              <w:t>Al</w:t>
            </w:r>
            <w:r>
              <w:rPr>
                <w:rFonts w:ascii="Times New Roman" w:hAnsi="Times New Roman" w:cs="Times New Roman"/>
                <w:color w:val="000000"/>
                <w:vertAlign w:val="subscript"/>
              </w:rPr>
              <w:t>2</w:t>
            </w:r>
            <w:r>
              <w:rPr>
                <w:rFonts w:ascii="Times New Roman" w:hAnsi="Times New Roman" w:cs="Times New Roman"/>
                <w:color w:val="000000"/>
              </w:rPr>
              <w:t>CO</w:t>
            </w:r>
            <w:r>
              <w:rPr>
                <w:rFonts w:ascii="Times New Roman" w:hAnsi="Times New Roman" w:cs="Times New Roman"/>
                <w:color w:val="000000"/>
                <w:vertAlign w:val="subscript"/>
              </w:rPr>
              <w:t>3</w:t>
            </w:r>
            <w:r>
              <w:rPr>
                <w:rFonts w:ascii="Times New Roman" w:hAnsi="Times New Roman" w:cs="Times New Roman"/>
                <w:color w:val="000000"/>
              </w:rPr>
              <w:t>(</w:t>
            </w:r>
            <w:proofErr w:type="gramEnd"/>
            <w:r>
              <w:rPr>
                <w:rFonts w:ascii="Times New Roman" w:hAnsi="Times New Roman" w:cs="Times New Roman"/>
                <w:color w:val="000000"/>
              </w:rPr>
              <w:t>OH)</w:t>
            </w:r>
            <w:r>
              <w:rPr>
                <w:rFonts w:ascii="Times New Roman" w:hAnsi="Times New Roman" w:cs="Times New Roman"/>
                <w:color w:val="000000"/>
                <w:vertAlign w:val="subscript"/>
              </w:rPr>
              <w:t>16</w:t>
            </w:r>
            <w:r>
              <w:rPr>
                <w:rFonts w:ascii="Times New Roman" w:hAnsi="Times New Roman" w:cs="Times New Roman"/>
                <w:color w:val="000000"/>
              </w:rPr>
              <w:t>·4(H</w:t>
            </w:r>
            <w:r>
              <w:rPr>
                <w:rFonts w:ascii="Times New Roman" w:hAnsi="Times New Roman" w:cs="Times New Roman"/>
                <w:color w:val="000000"/>
                <w:vertAlign w:val="subscript"/>
              </w:rPr>
              <w:t>2</w:t>
            </w:r>
            <w:r>
              <w:rPr>
                <w:rFonts w:ascii="Times New Roman" w:hAnsi="Times New Roman" w:cs="Times New Roman"/>
                <w:color w:val="000000"/>
              </w:rPr>
              <w:t>O)</w:t>
            </w:r>
          </w:p>
        </w:tc>
        <w:tc>
          <w:tcPr>
            <w:tcW w:w="1594" w:type="dxa"/>
          </w:tcPr>
          <w:p w14:paraId="6BB6990F" w14:textId="77777777" w:rsidR="00777A0A" w:rsidRPr="00F36A67" w:rsidRDefault="00777A0A" w:rsidP="00E85025">
            <w:pPr>
              <w:tabs>
                <w:tab w:val="center" w:pos="1247"/>
                <w:tab w:val="right" w:pos="2495"/>
              </w:tabs>
              <w:spacing w:before="240" w:after="120"/>
              <w:jc w:val="center"/>
              <w:rPr>
                <w:rFonts w:ascii="Times New Roman" w:hAnsi="Times New Roman" w:cs="Times New Roman"/>
                <w:sz w:val="24"/>
                <w:szCs w:val="24"/>
              </w:rPr>
            </w:pPr>
            <w:r>
              <w:rPr>
                <w:rFonts w:ascii="Times New Roman" w:hAnsi="Times New Roman" w:cs="Times New Roman"/>
                <w:sz w:val="24"/>
                <w:szCs w:val="24"/>
              </w:rPr>
              <w:t>300-37</w:t>
            </w:r>
            <w:r w:rsidRPr="00F36A67">
              <w:rPr>
                <w:rFonts w:ascii="Times New Roman" w:hAnsi="Times New Roman" w:cs="Times New Roman"/>
                <w:sz w:val="24"/>
                <w:szCs w:val="24"/>
              </w:rPr>
              <w:t>5</w:t>
            </w:r>
          </w:p>
        </w:tc>
      </w:tr>
    </w:tbl>
    <w:p w14:paraId="36F04F5F" w14:textId="2297BFC3" w:rsidR="00777A0A" w:rsidRPr="001E795E" w:rsidRDefault="00777A0A" w:rsidP="00777A0A">
      <w:pPr>
        <w:spacing w:before="120" w:after="120" w:line="480" w:lineRule="exact"/>
        <w:jc w:val="both"/>
        <w:outlineLvl w:val="0"/>
        <w:rPr>
          <w:rFonts w:ascii="Times" w:hAnsi="Times"/>
        </w:rPr>
      </w:pPr>
      <w:r>
        <w:rPr>
          <w:rFonts w:ascii="Times" w:hAnsi="Times"/>
        </w:rPr>
        <w:br/>
        <w:t xml:space="preserve">The majority of the weight loss in sample </w:t>
      </w:r>
      <w:r w:rsidRPr="0046338E">
        <w:rPr>
          <w:rFonts w:ascii="Times" w:hAnsi="Times"/>
          <w:b/>
        </w:rPr>
        <w:t>0DB</w:t>
      </w:r>
      <w:r>
        <w:rPr>
          <w:rFonts w:ascii="Times" w:hAnsi="Times"/>
        </w:rPr>
        <w:t xml:space="preserve"> was due to</w:t>
      </w:r>
      <w:r w:rsidR="001425CA">
        <w:rPr>
          <w:rFonts w:ascii="Times" w:hAnsi="Times"/>
        </w:rPr>
        <w:t xml:space="preserve"> loss</w:t>
      </w:r>
      <w:r w:rsidR="00B34AE9">
        <w:rPr>
          <w:rFonts w:ascii="Times" w:hAnsi="Times"/>
        </w:rPr>
        <w:t xml:space="preserve"> of free water</w:t>
      </w:r>
      <w:r w:rsidR="00B40A26">
        <w:rPr>
          <w:rFonts w:ascii="Times" w:hAnsi="Times"/>
        </w:rPr>
        <w:t xml:space="preserve"> and the dehydration of the C-S-H gel</w:t>
      </w:r>
      <w:r w:rsidR="00B34AE9">
        <w:rPr>
          <w:rFonts w:ascii="Times" w:hAnsi="Times"/>
        </w:rPr>
        <w:t xml:space="preserve"> </w:t>
      </w:r>
      <w:r>
        <w:rPr>
          <w:rFonts w:ascii="Times" w:hAnsi="Times"/>
        </w:rPr>
        <w:t>at 100</w:t>
      </w:r>
      <w:r>
        <w:rPr>
          <w:rFonts w:ascii="Times" w:hAnsi="Times"/>
          <w:vertAlign w:val="superscript"/>
        </w:rPr>
        <w:t>o</w:t>
      </w:r>
      <w:r>
        <w:rPr>
          <w:rFonts w:ascii="Times" w:hAnsi="Times"/>
        </w:rPr>
        <w:t>C. The loss at 150</w:t>
      </w:r>
      <w:r>
        <w:rPr>
          <w:rFonts w:ascii="Times" w:hAnsi="Times"/>
          <w:vertAlign w:val="superscript"/>
        </w:rPr>
        <w:t>o</w:t>
      </w:r>
      <w:r>
        <w:rPr>
          <w:rFonts w:ascii="Times" w:hAnsi="Times"/>
        </w:rPr>
        <w:t>C was due to the dehydration of AFm phase. T</w:t>
      </w:r>
      <w:r w:rsidRPr="00D3707A">
        <w:rPr>
          <w:rFonts w:ascii="Times" w:hAnsi="Times"/>
        </w:rPr>
        <w:t>her</w:t>
      </w:r>
      <w:r>
        <w:rPr>
          <w:rFonts w:ascii="Times" w:hAnsi="Times"/>
        </w:rPr>
        <w:t>e is a small peak in DTG curve at around 375</w:t>
      </w:r>
      <w:r>
        <w:rPr>
          <w:rFonts w:ascii="Times" w:hAnsi="Times"/>
          <w:vertAlign w:val="superscript"/>
        </w:rPr>
        <w:t>o</w:t>
      </w:r>
      <w:r w:rsidRPr="00D3707A">
        <w:rPr>
          <w:rFonts w:ascii="Times" w:hAnsi="Times"/>
        </w:rPr>
        <w:t>C</w:t>
      </w:r>
      <w:r>
        <w:rPr>
          <w:rFonts w:ascii="Times" w:hAnsi="Times"/>
        </w:rPr>
        <w:t>,</w:t>
      </w:r>
      <w:r w:rsidRPr="00D3707A">
        <w:rPr>
          <w:rFonts w:ascii="Times" w:hAnsi="Times"/>
        </w:rPr>
        <w:t xml:space="preserve"> </w:t>
      </w:r>
      <w:r>
        <w:rPr>
          <w:rFonts w:ascii="Times" w:hAnsi="Times"/>
        </w:rPr>
        <w:t xml:space="preserve">corresponding </w:t>
      </w:r>
      <w:r w:rsidRPr="00D3707A">
        <w:rPr>
          <w:rFonts w:ascii="Times" w:hAnsi="Times"/>
        </w:rPr>
        <w:t>to the dehydration of the hydrotalcite phase</w:t>
      </w:r>
      <w:r>
        <w:rPr>
          <w:rFonts w:ascii="Times" w:hAnsi="Times"/>
        </w:rPr>
        <w:t xml:space="preserve"> (HC) according to Ramachandran et al. [11</w:t>
      </w:r>
      <w:r w:rsidRPr="00D3707A">
        <w:rPr>
          <w:rFonts w:ascii="Times" w:hAnsi="Times"/>
        </w:rPr>
        <w:t>]</w:t>
      </w:r>
      <w:r>
        <w:rPr>
          <w:rFonts w:ascii="Times" w:hAnsi="Times"/>
        </w:rPr>
        <w:t xml:space="preserve">, which </w:t>
      </w:r>
      <w:r w:rsidRPr="00D3707A">
        <w:rPr>
          <w:rFonts w:ascii="Times" w:hAnsi="Times"/>
        </w:rPr>
        <w:t xml:space="preserve">causes </w:t>
      </w:r>
      <w:r>
        <w:rPr>
          <w:rFonts w:ascii="Times" w:hAnsi="Times"/>
        </w:rPr>
        <w:t>approximately</w:t>
      </w:r>
      <w:r w:rsidRPr="00D3707A">
        <w:rPr>
          <w:rFonts w:ascii="Times" w:hAnsi="Times"/>
        </w:rPr>
        <w:t xml:space="preserve"> 1</w:t>
      </w:r>
      <w:r>
        <w:rPr>
          <w:rFonts w:ascii="Times" w:hAnsi="Times"/>
        </w:rPr>
        <w:t xml:space="preserve"> </w:t>
      </w:r>
      <w:r w:rsidRPr="00D3707A">
        <w:rPr>
          <w:rFonts w:ascii="Times" w:hAnsi="Times"/>
        </w:rPr>
        <w:t>% weight loss.</w:t>
      </w:r>
      <w:r>
        <w:rPr>
          <w:rFonts w:ascii="Times" w:hAnsi="Times"/>
        </w:rPr>
        <w:t xml:space="preserve"> The rest of the weight loss is due to the dehydroxylation of Portlandite (P) and the small weight loss associated with calcium carbonate (</w:t>
      </w:r>
      <w:r w:rsidR="00B34AE9">
        <w:rPr>
          <w:rFonts w:ascii="Times" w:hAnsi="Times"/>
        </w:rPr>
        <w:t>CC</w:t>
      </w:r>
      <w:r>
        <w:rPr>
          <w:rFonts w:ascii="Times" w:hAnsi="Times"/>
        </w:rPr>
        <w:t>) at around 600-700</w:t>
      </w:r>
      <w:r>
        <w:rPr>
          <w:rFonts w:ascii="Times" w:hAnsi="Times"/>
          <w:vertAlign w:val="superscript"/>
        </w:rPr>
        <w:t>o</w:t>
      </w:r>
      <w:r>
        <w:rPr>
          <w:rFonts w:ascii="Times" w:hAnsi="Times"/>
        </w:rPr>
        <w:t>C. The weight loss due to this phase is approximately &lt; 1 %.</w:t>
      </w:r>
    </w:p>
    <w:p w14:paraId="3C21B5F2" w14:textId="0E0E3154" w:rsidR="00777A0A" w:rsidRPr="00E908AE" w:rsidRDefault="00777A0A" w:rsidP="00777A0A">
      <w:pPr>
        <w:spacing w:before="240" w:after="120" w:line="360" w:lineRule="auto"/>
        <w:jc w:val="both"/>
        <w:rPr>
          <w:rFonts w:ascii="Times" w:hAnsi="Times" w:cs="Times New Roman"/>
        </w:rPr>
      </w:pPr>
      <w:r>
        <w:rPr>
          <w:rFonts w:ascii="Times" w:hAnsi="Times" w:cs="Times New Roman"/>
        </w:rPr>
        <w:t xml:space="preserve">In contrast the majority of the weight loss in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sz w:val="20"/>
          <w:szCs w:val="20"/>
        </w:rPr>
        <w:t xml:space="preserve"> </w:t>
      </w:r>
      <w:r w:rsidR="00B34AE9">
        <w:rPr>
          <w:rFonts w:ascii="Times" w:hAnsi="Times"/>
          <w:sz w:val="20"/>
          <w:szCs w:val="20"/>
        </w:rPr>
        <w:t xml:space="preserve">is </w:t>
      </w:r>
      <w:r w:rsidR="005D5245">
        <w:rPr>
          <w:rFonts w:ascii="Times" w:hAnsi="Times" w:cs="Times New Roman"/>
        </w:rPr>
        <w:t>not only</w:t>
      </w:r>
      <w:r>
        <w:rPr>
          <w:rFonts w:ascii="Times" w:hAnsi="Times" w:cs="Times New Roman"/>
        </w:rPr>
        <w:t xml:space="preserve"> due to C-S-H but also the CAN phase and CsNO</w:t>
      </w:r>
      <w:r>
        <w:rPr>
          <w:rFonts w:ascii="Times" w:hAnsi="Times" w:cs="Times New Roman"/>
          <w:vertAlign w:val="subscript"/>
        </w:rPr>
        <w:t>3</w:t>
      </w:r>
      <w:r>
        <w:rPr>
          <w:rFonts w:ascii="Times" w:hAnsi="Times" w:cs="Times New Roman"/>
        </w:rPr>
        <w:t>. The DTG curve</w:t>
      </w:r>
      <w:r w:rsidRPr="004B707E">
        <w:rPr>
          <w:rFonts w:ascii="Times" w:hAnsi="Times" w:cs="Times New Roman"/>
        </w:rPr>
        <w:t xml:space="preserve"> supports the </w:t>
      </w:r>
      <w:r>
        <w:rPr>
          <w:rFonts w:ascii="Times" w:hAnsi="Times" w:cs="Times New Roman"/>
        </w:rPr>
        <w:t>suggestion from the XRD results</w:t>
      </w:r>
      <w:r w:rsidRPr="004B707E">
        <w:rPr>
          <w:rFonts w:ascii="Times" w:hAnsi="Times" w:cs="Times New Roman"/>
        </w:rPr>
        <w:t xml:space="preserve"> that a calcium aluminonitrate phase rather than a monosulphate phase</w:t>
      </w:r>
      <w:r w:rsidRPr="000B3122">
        <w:rPr>
          <w:rFonts w:ascii="Times" w:hAnsi="Times" w:cs="Times New Roman"/>
        </w:rPr>
        <w:t xml:space="preserve"> </w:t>
      </w:r>
      <w:r w:rsidRPr="004B707E">
        <w:rPr>
          <w:rFonts w:ascii="Times" w:hAnsi="Times" w:cs="Times New Roman"/>
        </w:rPr>
        <w:t xml:space="preserve">was formed in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Pr="004B707E">
        <w:rPr>
          <w:rFonts w:ascii="Times" w:hAnsi="Times" w:cs="Times New Roman"/>
        </w:rPr>
        <w:t>.</w:t>
      </w:r>
      <w:r>
        <w:rPr>
          <w:rFonts w:ascii="Times" w:hAnsi="Times" w:cs="Times New Roman"/>
        </w:rPr>
        <w:t xml:space="preserve"> </w:t>
      </w:r>
    </w:p>
    <w:p w14:paraId="744DD4DC" w14:textId="1C28E0C0" w:rsidR="00777A0A" w:rsidRPr="00E152CB" w:rsidRDefault="00777A0A" w:rsidP="00777A0A">
      <w:pPr>
        <w:spacing w:before="240" w:after="120"/>
        <w:ind w:left="142"/>
        <w:jc w:val="center"/>
        <w:rPr>
          <w:rFonts w:ascii="Times" w:hAnsi="Times" w:cs="Arial"/>
          <w:color w:val="000000"/>
          <w:sz w:val="16"/>
          <w:szCs w:val="16"/>
        </w:rPr>
      </w:pPr>
      <w:r w:rsidRPr="00056614">
        <w:rPr>
          <w:rFonts w:ascii="Times" w:hAnsi="Times" w:cs="Arial"/>
          <w:noProof/>
          <w:color w:val="000000"/>
          <w:sz w:val="16"/>
          <w:szCs w:val="16"/>
        </w:rPr>
        <w:lastRenderedPageBreak/>
        <w:drawing>
          <wp:inline distT="0" distB="0" distL="0" distR="0" wp14:anchorId="3E7676B0" wp14:editId="61B410E2">
            <wp:extent cx="5270500" cy="2920993"/>
            <wp:effectExtent l="0" t="0" r="0" b="635"/>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0500" cy="2920993"/>
                    </a:xfrm>
                    <a:prstGeom prst="rect">
                      <a:avLst/>
                    </a:prstGeom>
                    <a:noFill/>
                    <a:ln>
                      <a:noFill/>
                    </a:ln>
                  </pic:spPr>
                </pic:pic>
              </a:graphicData>
            </a:graphic>
          </wp:inline>
        </w:drawing>
      </w:r>
      <w:r w:rsidRPr="00E908AE">
        <w:rPr>
          <w:rFonts w:ascii="Times" w:hAnsi="Times" w:cs="Arial"/>
          <w:b/>
          <w:color w:val="000000"/>
        </w:rPr>
        <w:t>Figure 4.</w:t>
      </w:r>
      <w:r>
        <w:rPr>
          <w:rFonts w:ascii="Times" w:hAnsi="Times" w:cs="Arial"/>
          <w:b/>
          <w:color w:val="000000"/>
        </w:rPr>
        <w:t>2</w:t>
      </w:r>
      <w:r w:rsidRPr="00E908AE">
        <w:rPr>
          <w:rFonts w:ascii="Times" w:hAnsi="Times" w:cs="Arial"/>
          <w:b/>
          <w:color w:val="000000"/>
        </w:rPr>
        <w:t>:</w:t>
      </w:r>
      <w:r w:rsidRPr="00E908AE">
        <w:rPr>
          <w:rFonts w:ascii="Times" w:hAnsi="Times" w:cs="Arial"/>
          <w:color w:val="000000"/>
        </w:rPr>
        <w:tab/>
        <w:t xml:space="preserve">TGA &amp; DTG curves for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Pr="00E908AE">
        <w:rPr>
          <w:rFonts w:ascii="Times" w:hAnsi="Times" w:cs="Arial"/>
          <w:color w:val="000000"/>
        </w:rPr>
        <w:t xml:space="preserve"> and </w:t>
      </w:r>
      <w:r w:rsidRPr="000B3122">
        <w:rPr>
          <w:rFonts w:ascii="Times" w:hAnsi="Times" w:cs="Arial"/>
          <w:b/>
          <w:color w:val="000000"/>
        </w:rPr>
        <w:t>B</w:t>
      </w:r>
      <w:r w:rsidRPr="00E908AE">
        <w:rPr>
          <w:rFonts w:ascii="Times" w:hAnsi="Times" w:cs="Arial"/>
          <w:color w:val="000000"/>
        </w:rPr>
        <w:t xml:space="preserve"> before leaching</w:t>
      </w:r>
      <w:r w:rsidR="00B10C45">
        <w:rPr>
          <w:rFonts w:ascii="Times" w:hAnsi="Times" w:cs="Arial"/>
          <w:color w:val="000000"/>
        </w:rPr>
        <w:t xml:space="preserve"> (left Y axis associated with TG curves, right Y axis associated with DTG curves)</w:t>
      </w:r>
    </w:p>
    <w:p w14:paraId="611DEC9B" w14:textId="77777777" w:rsidR="00294A6A" w:rsidRDefault="00294A6A" w:rsidP="00777A0A">
      <w:pPr>
        <w:spacing w:before="120" w:after="120" w:line="360" w:lineRule="auto"/>
        <w:jc w:val="both"/>
        <w:outlineLvl w:val="0"/>
        <w:rPr>
          <w:rFonts w:ascii="Times" w:hAnsi="Times" w:cs="Times New Roman"/>
        </w:rPr>
      </w:pPr>
    </w:p>
    <w:p w14:paraId="3F1D55FE" w14:textId="3A0E080D" w:rsidR="00777A0A" w:rsidRDefault="00777A0A" w:rsidP="00777A0A">
      <w:pPr>
        <w:spacing w:before="120" w:after="120" w:line="360" w:lineRule="auto"/>
        <w:jc w:val="both"/>
        <w:outlineLvl w:val="0"/>
        <w:rPr>
          <w:rFonts w:ascii="Times" w:hAnsi="Times" w:cs="Times New Roman"/>
        </w:rPr>
      </w:pPr>
      <w:r>
        <w:rPr>
          <w:rFonts w:ascii="Times" w:hAnsi="Times"/>
        </w:rPr>
        <w:t>The weight loss in the 60-160</w:t>
      </w:r>
      <w:r>
        <w:rPr>
          <w:rFonts w:ascii="Times" w:hAnsi="Times"/>
          <w:vertAlign w:val="superscript"/>
        </w:rPr>
        <w:t>o</w:t>
      </w:r>
      <w:r>
        <w:rPr>
          <w:rFonts w:ascii="Times" w:hAnsi="Times"/>
        </w:rPr>
        <w:t>C regions is attributed partially</w:t>
      </w:r>
      <w:r w:rsidR="00077B60">
        <w:rPr>
          <w:rFonts w:ascii="Times" w:hAnsi="Times"/>
        </w:rPr>
        <w:t xml:space="preserve"> to the dehydration of C-S-H. </w:t>
      </w:r>
      <w:r>
        <w:rPr>
          <w:rFonts w:ascii="Times" w:hAnsi="Times"/>
        </w:rPr>
        <w:t>It is known that CAN has a two stage dehydration process in this temperature region</w:t>
      </w:r>
      <w:r w:rsidR="00077B60">
        <w:rPr>
          <w:rFonts w:ascii="Times" w:hAnsi="Times"/>
        </w:rPr>
        <w:t>, losing two chemically bound</w:t>
      </w:r>
      <w:r>
        <w:rPr>
          <w:rFonts w:ascii="Times" w:hAnsi="Times"/>
        </w:rPr>
        <w:t xml:space="preserve"> H</w:t>
      </w:r>
      <w:r>
        <w:rPr>
          <w:rFonts w:ascii="Times" w:hAnsi="Times"/>
          <w:vertAlign w:val="subscript"/>
        </w:rPr>
        <w:t>2</w:t>
      </w:r>
      <w:r>
        <w:rPr>
          <w:rFonts w:ascii="Times" w:hAnsi="Times"/>
        </w:rPr>
        <w:t>O molecules at 70</w:t>
      </w:r>
      <w:r>
        <w:rPr>
          <w:rFonts w:ascii="Times" w:hAnsi="Times"/>
          <w:vertAlign w:val="superscript"/>
        </w:rPr>
        <w:t>o</w:t>
      </w:r>
      <w:r>
        <w:rPr>
          <w:rFonts w:ascii="Times" w:hAnsi="Times"/>
        </w:rPr>
        <w:t>C and the remaining two H</w:t>
      </w:r>
      <w:r>
        <w:rPr>
          <w:rFonts w:ascii="Times" w:hAnsi="Times"/>
          <w:vertAlign w:val="subscript"/>
        </w:rPr>
        <w:t>2</w:t>
      </w:r>
      <w:r>
        <w:rPr>
          <w:rFonts w:ascii="Times" w:hAnsi="Times"/>
        </w:rPr>
        <w:t>O molecules</w:t>
      </w:r>
      <w:r w:rsidRPr="00B457FD">
        <w:rPr>
          <w:rFonts w:ascii="Times" w:hAnsi="Times"/>
        </w:rPr>
        <w:t xml:space="preserve"> </w:t>
      </w:r>
      <w:r>
        <w:rPr>
          <w:rFonts w:ascii="Times" w:hAnsi="Times"/>
        </w:rPr>
        <w:t>at 110</w:t>
      </w:r>
      <w:r>
        <w:rPr>
          <w:rFonts w:ascii="Times" w:hAnsi="Times"/>
          <w:vertAlign w:val="superscript"/>
        </w:rPr>
        <w:t>o</w:t>
      </w:r>
      <w:r>
        <w:rPr>
          <w:rFonts w:ascii="Times" w:hAnsi="Times"/>
        </w:rPr>
        <w:t xml:space="preserve">C, leaving </w:t>
      </w:r>
      <w:proofErr w:type="gramStart"/>
      <w:r>
        <w:rPr>
          <w:rFonts w:ascii="Times" w:hAnsi="Times" w:cs="Times"/>
          <w:color w:val="000000"/>
        </w:rPr>
        <w:t>Ca</w:t>
      </w:r>
      <w:r>
        <w:rPr>
          <w:rFonts w:ascii="Times" w:hAnsi="Times" w:cs="Times"/>
          <w:color w:val="000000"/>
          <w:vertAlign w:val="subscript"/>
        </w:rPr>
        <w:t>4</w:t>
      </w:r>
      <w:r>
        <w:rPr>
          <w:rFonts w:ascii="Times" w:hAnsi="Times" w:cs="Times"/>
          <w:color w:val="000000"/>
        </w:rPr>
        <w:t>Al</w:t>
      </w:r>
      <w:r>
        <w:rPr>
          <w:rFonts w:ascii="Times" w:hAnsi="Times" w:cs="Times"/>
          <w:color w:val="000000"/>
          <w:vertAlign w:val="subscript"/>
        </w:rPr>
        <w:t>2</w:t>
      </w:r>
      <w:r>
        <w:rPr>
          <w:rFonts w:ascii="Times" w:hAnsi="Times" w:cs="Times"/>
          <w:color w:val="000000"/>
        </w:rPr>
        <w:t>(</w:t>
      </w:r>
      <w:proofErr w:type="gramEnd"/>
      <w:r>
        <w:rPr>
          <w:rFonts w:ascii="Times" w:hAnsi="Times" w:cs="Times"/>
          <w:color w:val="000000"/>
        </w:rPr>
        <w:t>OH)</w:t>
      </w:r>
      <w:r>
        <w:rPr>
          <w:rFonts w:ascii="Times" w:hAnsi="Times" w:cs="Times"/>
          <w:color w:val="000000"/>
          <w:vertAlign w:val="subscript"/>
        </w:rPr>
        <w:t>12</w:t>
      </w:r>
      <w:r>
        <w:rPr>
          <w:rFonts w:ascii="Times" w:hAnsi="Times" w:cs="Times"/>
          <w:color w:val="000000"/>
        </w:rPr>
        <w:t>(NO</w:t>
      </w:r>
      <w:r>
        <w:rPr>
          <w:rFonts w:ascii="Times" w:hAnsi="Times" w:cs="Times"/>
          <w:color w:val="000000"/>
          <w:vertAlign w:val="subscript"/>
        </w:rPr>
        <w:t>3</w:t>
      </w:r>
      <w:r>
        <w:rPr>
          <w:rFonts w:ascii="Times" w:hAnsi="Times" w:cs="Times"/>
          <w:color w:val="000000"/>
        </w:rPr>
        <w:t>)</w:t>
      </w:r>
      <w:r>
        <w:rPr>
          <w:rFonts w:ascii="Times" w:hAnsi="Times" w:cs="Times"/>
          <w:color w:val="000000"/>
          <w:vertAlign w:val="subscript"/>
        </w:rPr>
        <w:t>2</w:t>
      </w:r>
      <w:r>
        <w:rPr>
          <w:rFonts w:ascii="Times" w:hAnsi="Times"/>
        </w:rPr>
        <w:t xml:space="preserve"> [10]. Due to the overlap in the weight loss associated with different phases, it is difficult to establish the weight loss due to each phase. </w:t>
      </w:r>
    </w:p>
    <w:p w14:paraId="6378C258" w14:textId="61AE9B9E" w:rsidR="00777A0A" w:rsidRDefault="00777A0A" w:rsidP="00777A0A">
      <w:pPr>
        <w:spacing w:before="120" w:after="120" w:line="360" w:lineRule="auto"/>
        <w:jc w:val="both"/>
        <w:outlineLvl w:val="0"/>
        <w:rPr>
          <w:rFonts w:ascii="Times New Roman" w:hAnsi="Times New Roman" w:cs="Times New Roman"/>
        </w:rPr>
      </w:pPr>
      <w:r>
        <w:rPr>
          <w:rFonts w:ascii="Times" w:hAnsi="Times" w:cs="Times New Roman"/>
        </w:rPr>
        <w:t>At around 210-310</w:t>
      </w:r>
      <w:r>
        <w:rPr>
          <w:rFonts w:ascii="Times" w:hAnsi="Times" w:cs="Times New Roman"/>
          <w:vertAlign w:val="superscript"/>
        </w:rPr>
        <w:t>o</w:t>
      </w:r>
      <w:r w:rsidRPr="004B707E">
        <w:rPr>
          <w:rFonts w:ascii="Times" w:hAnsi="Times" w:cs="Times New Roman"/>
        </w:rPr>
        <w:t xml:space="preserve">C there is a peak due to the reduction of the </w:t>
      </w:r>
      <w:r>
        <w:rPr>
          <w:rFonts w:ascii="Times" w:hAnsi="Times" w:cs="Times New Roman"/>
        </w:rPr>
        <w:t>dehydrated CAN phase</w:t>
      </w:r>
      <w:r w:rsidRPr="004B707E">
        <w:rPr>
          <w:rFonts w:ascii="Times" w:hAnsi="Times" w:cs="Times New Roman"/>
        </w:rPr>
        <w:t xml:space="preserve"> causing around 2% weight loss. </w:t>
      </w:r>
      <w:r>
        <w:rPr>
          <w:rFonts w:ascii="Times" w:hAnsi="Times"/>
        </w:rPr>
        <w:t xml:space="preserve">This </w:t>
      </w:r>
      <w:r w:rsidR="00B154BB">
        <w:rPr>
          <w:rFonts w:ascii="Times" w:hAnsi="Times"/>
        </w:rPr>
        <w:t>is</w:t>
      </w:r>
      <w:r w:rsidRPr="004B707E">
        <w:rPr>
          <w:rFonts w:ascii="Times" w:hAnsi="Times"/>
        </w:rPr>
        <w:t xml:space="preserve"> due to the</w:t>
      </w:r>
      <w:r>
        <w:rPr>
          <w:rFonts w:ascii="Times" w:hAnsi="Times"/>
        </w:rPr>
        <w:t xml:space="preserve"> dehydroxylation of CAN </w:t>
      </w:r>
      <w:r w:rsidRPr="007A78EA">
        <w:rPr>
          <w:rFonts w:ascii="Times New Roman" w:hAnsi="Times New Roman" w:cs="Times New Roman"/>
        </w:rPr>
        <w:t xml:space="preserve">phase, wherein </w:t>
      </w:r>
      <w:r w:rsidR="005E0AF7">
        <w:rPr>
          <w:rFonts w:ascii="Times New Roman" w:hAnsi="Times New Roman" w:cs="Times New Roman"/>
        </w:rPr>
        <w:t>three molecules of water</w:t>
      </w:r>
      <w:r w:rsidR="00B46EFD">
        <w:rPr>
          <w:rFonts w:ascii="Times New Roman" w:hAnsi="Times New Roman" w:cs="Times New Roman"/>
          <w:vertAlign w:val="superscript"/>
        </w:rPr>
        <w:t xml:space="preserve"> </w:t>
      </w:r>
      <w:r w:rsidR="00B46EFD">
        <w:rPr>
          <w:rFonts w:ascii="Times New Roman" w:hAnsi="Times New Roman" w:cs="Times New Roman"/>
        </w:rPr>
        <w:t>are released</w:t>
      </w:r>
      <w:r w:rsidRPr="007A78EA">
        <w:rPr>
          <w:rFonts w:ascii="Times New Roman" w:hAnsi="Times New Roman" w:cs="Times New Roman"/>
        </w:rPr>
        <w:t xml:space="preserve">, and the reduction of nitrate liberating one </w:t>
      </w:r>
      <w:r w:rsidR="008F3769">
        <w:rPr>
          <w:rFonts w:ascii="Times New Roman" w:hAnsi="Times New Roman" w:cs="Times New Roman"/>
        </w:rPr>
        <w:t>O</w:t>
      </w:r>
      <w:r w:rsidR="008F3769">
        <w:rPr>
          <w:rFonts w:ascii="Times New Roman" w:hAnsi="Times New Roman" w:cs="Times New Roman"/>
          <w:vertAlign w:val="superscript"/>
        </w:rPr>
        <w:t>2-</w:t>
      </w:r>
      <w:r w:rsidRPr="007A78EA">
        <w:rPr>
          <w:rFonts w:ascii="Times New Roman" w:hAnsi="Times New Roman" w:cs="Times New Roman"/>
        </w:rPr>
        <w:t xml:space="preserve"> forming the nitrite </w:t>
      </w:r>
      <w:proofErr w:type="gramStart"/>
      <w:r w:rsidRPr="007A78EA">
        <w:rPr>
          <w:rFonts w:ascii="Times New Roman" w:hAnsi="Times New Roman" w:cs="Times New Roman"/>
          <w:color w:val="000000"/>
        </w:rPr>
        <w:t>Ca</w:t>
      </w:r>
      <w:r w:rsidRPr="007A78EA">
        <w:rPr>
          <w:rFonts w:ascii="Times New Roman" w:hAnsi="Times New Roman" w:cs="Times New Roman"/>
          <w:color w:val="000000"/>
          <w:vertAlign w:val="subscript"/>
        </w:rPr>
        <w:t>4</w:t>
      </w:r>
      <w:r w:rsidRPr="007A78EA">
        <w:rPr>
          <w:rFonts w:ascii="Times New Roman" w:hAnsi="Times New Roman" w:cs="Times New Roman"/>
          <w:color w:val="000000"/>
        </w:rPr>
        <w:t>Al</w:t>
      </w:r>
      <w:r w:rsidRPr="007A78EA">
        <w:rPr>
          <w:rFonts w:ascii="Times New Roman" w:hAnsi="Times New Roman" w:cs="Times New Roman"/>
          <w:color w:val="000000"/>
          <w:vertAlign w:val="subscript"/>
        </w:rPr>
        <w:t>2</w:t>
      </w:r>
      <w:r w:rsidRPr="007A78EA">
        <w:rPr>
          <w:rFonts w:ascii="Times New Roman" w:hAnsi="Times New Roman" w:cs="Times New Roman"/>
          <w:color w:val="000000"/>
        </w:rPr>
        <w:t>O</w:t>
      </w:r>
      <w:r w:rsidRPr="007A78EA">
        <w:rPr>
          <w:rFonts w:ascii="Times New Roman" w:hAnsi="Times New Roman" w:cs="Times New Roman"/>
          <w:color w:val="000000"/>
          <w:vertAlign w:val="subscript"/>
        </w:rPr>
        <w:t>3</w:t>
      </w:r>
      <w:r w:rsidRPr="007A78EA">
        <w:rPr>
          <w:rFonts w:ascii="Times New Roman" w:hAnsi="Times New Roman" w:cs="Times New Roman"/>
          <w:color w:val="000000"/>
        </w:rPr>
        <w:t>(</w:t>
      </w:r>
      <w:proofErr w:type="gramEnd"/>
      <w:r w:rsidRPr="007A78EA">
        <w:rPr>
          <w:rFonts w:ascii="Times New Roman" w:hAnsi="Times New Roman" w:cs="Times New Roman"/>
          <w:color w:val="000000"/>
        </w:rPr>
        <w:t>OH)</w:t>
      </w:r>
      <w:r w:rsidRPr="007A78EA">
        <w:rPr>
          <w:rFonts w:ascii="Times New Roman" w:hAnsi="Times New Roman" w:cs="Times New Roman"/>
          <w:color w:val="000000"/>
          <w:vertAlign w:val="subscript"/>
        </w:rPr>
        <w:t xml:space="preserve">6 </w:t>
      </w:r>
      <w:r w:rsidRPr="007A78EA">
        <w:rPr>
          <w:rFonts w:ascii="Times New Roman" w:hAnsi="Times New Roman" w:cs="Times New Roman"/>
          <w:color w:val="000000"/>
        </w:rPr>
        <w:t>(NO</w:t>
      </w:r>
      <w:r w:rsidRPr="007A78EA">
        <w:rPr>
          <w:rFonts w:ascii="Times New Roman" w:hAnsi="Times New Roman" w:cs="Times New Roman"/>
          <w:color w:val="000000"/>
          <w:vertAlign w:val="subscript"/>
        </w:rPr>
        <w:t>2</w:t>
      </w:r>
      <w:r w:rsidRPr="007A78EA">
        <w:rPr>
          <w:rFonts w:ascii="Times New Roman" w:hAnsi="Times New Roman" w:cs="Times New Roman"/>
          <w:color w:val="000000"/>
        </w:rPr>
        <w:t>)</w:t>
      </w:r>
      <w:r w:rsidRPr="007A78EA">
        <w:rPr>
          <w:rFonts w:ascii="Times New Roman" w:hAnsi="Times New Roman" w:cs="Times New Roman"/>
          <w:color w:val="000000"/>
          <w:vertAlign w:val="subscript"/>
        </w:rPr>
        <w:t>2</w:t>
      </w:r>
      <w:r w:rsidRPr="007A78EA">
        <w:rPr>
          <w:rFonts w:ascii="Times New Roman" w:hAnsi="Times New Roman" w:cs="Times New Roman"/>
          <w:color w:val="000000"/>
        </w:rPr>
        <w:t xml:space="preserve"> [10].  </w:t>
      </w:r>
      <w:r w:rsidRPr="007A78EA">
        <w:rPr>
          <w:rFonts w:ascii="Times New Roman" w:hAnsi="Times New Roman" w:cs="Times New Roman"/>
        </w:rPr>
        <w:t>There is a further 2% weight loss at 310-380</w:t>
      </w:r>
      <w:r w:rsidRPr="007A78EA">
        <w:rPr>
          <w:rFonts w:ascii="Times New Roman" w:hAnsi="Times New Roman" w:cs="Times New Roman"/>
          <w:vertAlign w:val="superscript"/>
        </w:rPr>
        <w:t>o</w:t>
      </w:r>
      <w:r w:rsidRPr="007A78EA">
        <w:rPr>
          <w:rFonts w:ascii="Times New Roman" w:hAnsi="Times New Roman" w:cs="Times New Roman"/>
        </w:rPr>
        <w:t>C is d</w:t>
      </w:r>
      <w:r w:rsidR="00294A6A">
        <w:rPr>
          <w:rFonts w:ascii="Times New Roman" w:hAnsi="Times New Roman" w:cs="Times New Roman"/>
        </w:rPr>
        <w:t>ue to the</w:t>
      </w:r>
      <w:r w:rsidRPr="007A78EA">
        <w:rPr>
          <w:rFonts w:ascii="Times New Roman" w:hAnsi="Times New Roman" w:cs="Times New Roman"/>
        </w:rPr>
        <w:t xml:space="preserve"> dehydration of the hydrogarnet phase (HG) [11] as past literature has shown that the formation of the hydrogarnet phase within </w:t>
      </w:r>
      <w:r w:rsidR="00E85025">
        <w:rPr>
          <w:rFonts w:ascii="Times New Roman" w:hAnsi="Times New Roman" w:cs="Times New Roman"/>
        </w:rPr>
        <w:t>PC</w:t>
      </w:r>
      <w:r w:rsidR="00B10C45">
        <w:rPr>
          <w:rFonts w:ascii="Times New Roman" w:hAnsi="Times New Roman" w:cs="Times New Roman"/>
        </w:rPr>
        <w:t xml:space="preserve"> cements is possible [12,13</w:t>
      </w:r>
      <w:r w:rsidRPr="007A78EA">
        <w:rPr>
          <w:rFonts w:ascii="Times New Roman" w:hAnsi="Times New Roman" w:cs="Times New Roman"/>
        </w:rPr>
        <w:t>]. This phase is know</w:t>
      </w:r>
      <w:r w:rsidR="00B10C45">
        <w:rPr>
          <w:rFonts w:ascii="Times New Roman" w:hAnsi="Times New Roman" w:cs="Times New Roman"/>
        </w:rPr>
        <w:t>n to have poor crystallinity [13</w:t>
      </w:r>
      <w:r w:rsidRPr="007A78EA">
        <w:rPr>
          <w:rFonts w:ascii="Times New Roman" w:hAnsi="Times New Roman" w:cs="Times New Roman"/>
        </w:rPr>
        <w:t xml:space="preserve">], which could explain its presence in the TG </w:t>
      </w:r>
      <w:r w:rsidR="00B34AE9">
        <w:rPr>
          <w:rFonts w:ascii="Times New Roman" w:hAnsi="Times New Roman" w:cs="Times New Roman"/>
        </w:rPr>
        <w:t xml:space="preserve">even though there was a lack </w:t>
      </w:r>
      <w:r w:rsidRPr="007A78EA">
        <w:rPr>
          <w:rFonts w:ascii="Times New Roman" w:hAnsi="Times New Roman" w:cs="Times New Roman"/>
        </w:rPr>
        <w:t xml:space="preserve">of </w:t>
      </w:r>
      <w:proofErr w:type="gramStart"/>
      <w:r w:rsidRPr="007A78EA">
        <w:rPr>
          <w:rFonts w:ascii="Times New Roman" w:hAnsi="Times New Roman" w:cs="Times New Roman"/>
        </w:rPr>
        <w:t>attributable</w:t>
      </w:r>
      <w:proofErr w:type="gramEnd"/>
      <w:r w:rsidRPr="007A78EA">
        <w:rPr>
          <w:rFonts w:ascii="Times New Roman" w:hAnsi="Times New Roman" w:cs="Times New Roman"/>
        </w:rPr>
        <w:t xml:space="preserve"> peaks in the XRD traces. </w:t>
      </w:r>
    </w:p>
    <w:p w14:paraId="2AC49857" w14:textId="31B7AE9C" w:rsidR="00777A0A" w:rsidRDefault="00777A0A" w:rsidP="002D1FBE">
      <w:pPr>
        <w:spacing w:before="120" w:after="120" w:line="480" w:lineRule="exact"/>
        <w:jc w:val="both"/>
        <w:outlineLvl w:val="0"/>
        <w:rPr>
          <w:rFonts w:ascii="Times" w:hAnsi="Times" w:cs="Times"/>
          <w:color w:val="000000"/>
        </w:rPr>
      </w:pPr>
      <w:r>
        <w:rPr>
          <w:rFonts w:ascii="Times" w:hAnsi="Times"/>
        </w:rPr>
        <w:t xml:space="preserve">There was no weight loss due to the dehydroxylation of portlandite in </w:t>
      </w:r>
      <w:r w:rsidR="000F6BBD">
        <w:rPr>
          <w:rFonts w:ascii="Times" w:hAnsi="Times" w:cs="Times New Roman"/>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rPr>
        <w:t xml:space="preserve">, </w:t>
      </w:r>
      <w:r w:rsidR="00B34AE9">
        <w:rPr>
          <w:rFonts w:ascii="Times" w:hAnsi="Times"/>
        </w:rPr>
        <w:t xml:space="preserve">suggesting the absence of this phase and agreeing </w:t>
      </w:r>
      <w:r>
        <w:rPr>
          <w:rFonts w:ascii="Times" w:hAnsi="Times"/>
        </w:rPr>
        <w:t xml:space="preserve">with the XRD results. The weight loss </w:t>
      </w:r>
      <w:r>
        <w:rPr>
          <w:rFonts w:ascii="Times New Roman" w:hAnsi="Times New Roman"/>
          <w:szCs w:val="44"/>
        </w:rPr>
        <w:t>of approximately</w:t>
      </w:r>
      <w:r w:rsidR="00971D8B">
        <w:rPr>
          <w:rFonts w:ascii="Times New Roman" w:hAnsi="Times New Roman"/>
          <w:szCs w:val="44"/>
        </w:rPr>
        <w:t xml:space="preserve"> 6</w:t>
      </w:r>
      <w:r w:rsidRPr="00E908AE">
        <w:rPr>
          <w:rFonts w:ascii="Times New Roman" w:hAnsi="Times New Roman"/>
          <w:szCs w:val="44"/>
        </w:rPr>
        <w:t xml:space="preserve">% </w:t>
      </w:r>
      <w:r>
        <w:rPr>
          <w:rFonts w:ascii="Times" w:hAnsi="Times"/>
        </w:rPr>
        <w:t>over the range 460-660</w:t>
      </w:r>
      <w:r>
        <w:rPr>
          <w:rFonts w:ascii="Times" w:hAnsi="Times"/>
          <w:vertAlign w:val="superscript"/>
        </w:rPr>
        <w:t>o</w:t>
      </w:r>
      <w:r>
        <w:rPr>
          <w:rFonts w:ascii="Times" w:hAnsi="Times"/>
        </w:rPr>
        <w:t>C</w:t>
      </w:r>
      <w:r w:rsidRPr="00D4626A">
        <w:rPr>
          <w:rFonts w:ascii="Times New Roman" w:hAnsi="Times New Roman"/>
          <w:szCs w:val="44"/>
        </w:rPr>
        <w:t xml:space="preserve"> </w:t>
      </w:r>
      <w:r>
        <w:rPr>
          <w:rFonts w:ascii="Times" w:hAnsi="Times"/>
        </w:rPr>
        <w:t xml:space="preserve">is due to two events: </w:t>
      </w:r>
      <w:r w:rsidRPr="003F0014">
        <w:rPr>
          <w:rFonts w:ascii="Times" w:hAnsi="Times"/>
        </w:rPr>
        <w:t xml:space="preserve">the </w:t>
      </w:r>
      <w:r w:rsidR="00B34AE9">
        <w:rPr>
          <w:rFonts w:ascii="Times" w:hAnsi="Times"/>
        </w:rPr>
        <w:t xml:space="preserve">first being the </w:t>
      </w:r>
      <w:r w:rsidRPr="003F0014">
        <w:rPr>
          <w:rFonts w:ascii="Times" w:hAnsi="Times"/>
        </w:rPr>
        <w:t xml:space="preserve">melting and eventual decomposition </w:t>
      </w:r>
      <w:r>
        <w:rPr>
          <w:rFonts w:ascii="Times" w:hAnsi="Times"/>
        </w:rPr>
        <w:t>of CsNO</w:t>
      </w:r>
      <w:r w:rsidRPr="000A204D">
        <w:rPr>
          <w:rFonts w:ascii="Times" w:hAnsi="Times"/>
          <w:vertAlign w:val="subscript"/>
        </w:rPr>
        <w:t>3</w:t>
      </w:r>
      <w:r w:rsidR="003E5EE9">
        <w:rPr>
          <w:rFonts w:ascii="Times" w:hAnsi="Times"/>
        </w:rPr>
        <w:t xml:space="preserve"> liberating</w:t>
      </w:r>
      <w:r>
        <w:rPr>
          <w:rFonts w:ascii="Times" w:hAnsi="Times"/>
        </w:rPr>
        <w:t xml:space="preserve"> O</w:t>
      </w:r>
      <w:r>
        <w:rPr>
          <w:rFonts w:ascii="Times" w:hAnsi="Times"/>
          <w:vertAlign w:val="subscript"/>
        </w:rPr>
        <w:t>2</w:t>
      </w:r>
      <w:r w:rsidR="003E5EE9">
        <w:rPr>
          <w:rFonts w:ascii="Times" w:hAnsi="Times"/>
          <w:vertAlign w:val="subscript"/>
        </w:rPr>
        <w:t xml:space="preserve"> </w:t>
      </w:r>
      <w:r w:rsidR="003E5EE9">
        <w:rPr>
          <w:rFonts w:ascii="Times" w:hAnsi="Times"/>
        </w:rPr>
        <w:t>gas</w:t>
      </w:r>
      <w:r w:rsidR="00B34AE9">
        <w:rPr>
          <w:rFonts w:ascii="Times" w:hAnsi="Times"/>
        </w:rPr>
        <w:t xml:space="preserve">, </w:t>
      </w:r>
      <w:r w:rsidR="003E5EE9">
        <w:rPr>
          <w:rFonts w:ascii="Times" w:hAnsi="Times"/>
        </w:rPr>
        <w:t>leaving behind</w:t>
      </w:r>
      <w:r w:rsidRPr="003F0014">
        <w:rPr>
          <w:rFonts w:ascii="Times" w:hAnsi="Times"/>
        </w:rPr>
        <w:t xml:space="preserve"> caesium </w:t>
      </w:r>
      <w:r w:rsidRPr="003F0014">
        <w:rPr>
          <w:rFonts w:ascii="Times" w:hAnsi="Times"/>
        </w:rPr>
        <w:lastRenderedPageBreak/>
        <w:t>nitrite (CsNO</w:t>
      </w:r>
      <w:r w:rsidRPr="000A204D">
        <w:rPr>
          <w:rFonts w:ascii="Times" w:hAnsi="Times"/>
          <w:vertAlign w:val="subscript"/>
        </w:rPr>
        <w:t>2</w:t>
      </w:r>
      <w:r w:rsidRPr="003F0014">
        <w:rPr>
          <w:rFonts w:ascii="Times" w:hAnsi="Times"/>
        </w:rPr>
        <w:t>) [</w:t>
      </w:r>
      <w:r w:rsidR="00B10C45">
        <w:rPr>
          <w:rFonts w:ascii="Times" w:hAnsi="Times"/>
        </w:rPr>
        <w:t>14,15</w:t>
      </w:r>
      <w:r w:rsidR="00B34AE9">
        <w:rPr>
          <w:rFonts w:ascii="Times" w:hAnsi="Times"/>
        </w:rPr>
        <w:t>]. The second is the</w:t>
      </w:r>
      <w:r>
        <w:rPr>
          <w:rFonts w:ascii="Times" w:hAnsi="Times"/>
        </w:rPr>
        <w:t xml:space="preserve"> decomposition of the nitrite in the </w:t>
      </w:r>
      <w:proofErr w:type="gramStart"/>
      <w:r w:rsidRPr="007A78EA">
        <w:rPr>
          <w:rFonts w:ascii="Times New Roman" w:hAnsi="Times New Roman" w:cs="Times New Roman"/>
          <w:color w:val="000000"/>
        </w:rPr>
        <w:t>Ca</w:t>
      </w:r>
      <w:r w:rsidRPr="007A78EA">
        <w:rPr>
          <w:rFonts w:ascii="Times New Roman" w:hAnsi="Times New Roman" w:cs="Times New Roman"/>
          <w:color w:val="000000"/>
          <w:vertAlign w:val="subscript"/>
        </w:rPr>
        <w:t>4</w:t>
      </w:r>
      <w:r w:rsidRPr="007A78EA">
        <w:rPr>
          <w:rFonts w:ascii="Times New Roman" w:hAnsi="Times New Roman" w:cs="Times New Roman"/>
          <w:color w:val="000000"/>
        </w:rPr>
        <w:t>Al</w:t>
      </w:r>
      <w:r w:rsidRPr="007A78EA">
        <w:rPr>
          <w:rFonts w:ascii="Times New Roman" w:hAnsi="Times New Roman" w:cs="Times New Roman"/>
          <w:color w:val="000000"/>
          <w:vertAlign w:val="subscript"/>
        </w:rPr>
        <w:t>2</w:t>
      </w:r>
      <w:r w:rsidRPr="007A78EA">
        <w:rPr>
          <w:rFonts w:ascii="Times New Roman" w:hAnsi="Times New Roman" w:cs="Times New Roman"/>
          <w:color w:val="000000"/>
        </w:rPr>
        <w:t>O</w:t>
      </w:r>
      <w:r w:rsidRPr="007A78EA">
        <w:rPr>
          <w:rFonts w:ascii="Times New Roman" w:hAnsi="Times New Roman" w:cs="Times New Roman"/>
          <w:color w:val="000000"/>
          <w:vertAlign w:val="subscript"/>
        </w:rPr>
        <w:t>3</w:t>
      </w:r>
      <w:r w:rsidRPr="007A78EA">
        <w:rPr>
          <w:rFonts w:ascii="Times New Roman" w:hAnsi="Times New Roman" w:cs="Times New Roman"/>
          <w:color w:val="000000"/>
        </w:rPr>
        <w:t>(</w:t>
      </w:r>
      <w:proofErr w:type="gramEnd"/>
      <w:r w:rsidRPr="007A78EA">
        <w:rPr>
          <w:rFonts w:ascii="Times New Roman" w:hAnsi="Times New Roman" w:cs="Times New Roman"/>
          <w:color w:val="000000"/>
        </w:rPr>
        <w:t>OH)</w:t>
      </w:r>
      <w:r w:rsidRPr="007A78EA">
        <w:rPr>
          <w:rFonts w:ascii="Times New Roman" w:hAnsi="Times New Roman" w:cs="Times New Roman"/>
          <w:color w:val="000000"/>
          <w:vertAlign w:val="subscript"/>
        </w:rPr>
        <w:t>6</w:t>
      </w:r>
      <w:r w:rsidRPr="007A78EA">
        <w:rPr>
          <w:rFonts w:ascii="Times New Roman" w:hAnsi="Times New Roman" w:cs="Times New Roman"/>
          <w:color w:val="000000"/>
        </w:rPr>
        <w:t>(NO</w:t>
      </w:r>
      <w:r w:rsidRPr="007A78EA">
        <w:rPr>
          <w:rFonts w:ascii="Times New Roman" w:hAnsi="Times New Roman" w:cs="Times New Roman"/>
          <w:color w:val="000000"/>
          <w:vertAlign w:val="subscript"/>
        </w:rPr>
        <w:t>2</w:t>
      </w:r>
      <w:r w:rsidRPr="007A78EA">
        <w:rPr>
          <w:rFonts w:ascii="Times New Roman" w:hAnsi="Times New Roman" w:cs="Times New Roman"/>
          <w:color w:val="000000"/>
        </w:rPr>
        <w:t>)</w:t>
      </w:r>
      <w:r w:rsidRPr="007A78EA">
        <w:rPr>
          <w:rFonts w:ascii="Times New Roman" w:hAnsi="Times New Roman" w:cs="Times New Roman"/>
          <w:color w:val="000000"/>
          <w:vertAlign w:val="subscript"/>
        </w:rPr>
        <w:t>2</w:t>
      </w:r>
      <w:r w:rsidRPr="007A78EA">
        <w:rPr>
          <w:rFonts w:ascii="Times New Roman" w:hAnsi="Times New Roman" w:cs="Times New Roman"/>
          <w:color w:val="000000"/>
        </w:rPr>
        <w:t xml:space="preserve"> </w:t>
      </w:r>
      <w:r>
        <w:rPr>
          <w:rFonts w:ascii="Times" w:hAnsi="Times" w:cs="Times"/>
          <w:color w:val="000000"/>
        </w:rPr>
        <w:t>phase, producing Ca</w:t>
      </w:r>
      <w:r>
        <w:rPr>
          <w:rFonts w:ascii="Times" w:hAnsi="Times" w:cs="Times"/>
          <w:color w:val="000000"/>
          <w:vertAlign w:val="subscript"/>
        </w:rPr>
        <w:t>4</w:t>
      </w:r>
      <w:r>
        <w:rPr>
          <w:rFonts w:ascii="Times" w:hAnsi="Times" w:cs="Times"/>
          <w:color w:val="000000"/>
        </w:rPr>
        <w:t>Al</w:t>
      </w:r>
      <w:r>
        <w:rPr>
          <w:rFonts w:ascii="Times" w:hAnsi="Times" w:cs="Times"/>
          <w:color w:val="000000"/>
          <w:vertAlign w:val="subscript"/>
        </w:rPr>
        <w:t>2</w:t>
      </w:r>
      <w:r w:rsidRPr="007A78EA">
        <w:rPr>
          <w:rFonts w:ascii="Times New Roman" w:hAnsi="Times New Roman" w:cs="Times New Roman"/>
          <w:color w:val="000000"/>
        </w:rPr>
        <w:t>O</w:t>
      </w:r>
      <w:r>
        <w:rPr>
          <w:rFonts w:ascii="Times New Roman" w:hAnsi="Times New Roman" w:cs="Times New Roman"/>
          <w:color w:val="000000"/>
          <w:vertAlign w:val="subscript"/>
        </w:rPr>
        <w:t>5</w:t>
      </w:r>
      <w:r>
        <w:rPr>
          <w:rFonts w:ascii="Times" w:hAnsi="Times" w:cs="Times"/>
          <w:color w:val="000000"/>
        </w:rPr>
        <w:t>(OH)</w:t>
      </w:r>
      <w:r>
        <w:rPr>
          <w:rFonts w:ascii="Times" w:hAnsi="Times" w:cs="Times"/>
          <w:color w:val="000000"/>
          <w:vertAlign w:val="subscript"/>
        </w:rPr>
        <w:t>4</w:t>
      </w:r>
      <w:r>
        <w:rPr>
          <w:rFonts w:ascii="Times" w:hAnsi="Times" w:cs="Times"/>
          <w:color w:val="000000"/>
        </w:rPr>
        <w:t>, which according to Renaudin et al. [10] fully decomposes at 1300</w:t>
      </w:r>
      <w:r>
        <w:rPr>
          <w:rFonts w:ascii="Times" w:hAnsi="Times" w:cs="Times"/>
          <w:color w:val="000000"/>
          <w:vertAlign w:val="superscript"/>
        </w:rPr>
        <w:t>o</w:t>
      </w:r>
      <w:r>
        <w:rPr>
          <w:rFonts w:ascii="Times" w:hAnsi="Times" w:cs="Times"/>
          <w:color w:val="000000"/>
        </w:rPr>
        <w:t xml:space="preserve">C to give </w:t>
      </w:r>
      <w:r w:rsidR="003E5EE9">
        <w:rPr>
          <w:rFonts w:ascii="Times" w:hAnsi="Times" w:cs="Times"/>
          <w:color w:val="000000"/>
        </w:rPr>
        <w:t>a</w:t>
      </w:r>
      <w:r>
        <w:rPr>
          <w:rFonts w:ascii="Times" w:hAnsi="Times" w:cs="Times"/>
          <w:color w:val="000000"/>
        </w:rPr>
        <w:t xml:space="preserve"> product with composition  of Ca</w:t>
      </w:r>
      <w:r>
        <w:rPr>
          <w:rFonts w:ascii="Times" w:hAnsi="Times" w:cs="Times"/>
          <w:color w:val="000000"/>
        </w:rPr>
        <w:softHyphen/>
      </w:r>
      <w:r>
        <w:rPr>
          <w:rFonts w:ascii="Times" w:hAnsi="Times" w:cs="Times"/>
          <w:color w:val="000000"/>
          <w:vertAlign w:val="subscript"/>
        </w:rPr>
        <w:t>4</w:t>
      </w:r>
      <w:r>
        <w:rPr>
          <w:rFonts w:ascii="Times" w:hAnsi="Times" w:cs="Times"/>
          <w:color w:val="000000"/>
        </w:rPr>
        <w:t>Al</w:t>
      </w:r>
      <w:r>
        <w:rPr>
          <w:rFonts w:ascii="Times" w:hAnsi="Times" w:cs="Times"/>
          <w:color w:val="000000"/>
          <w:vertAlign w:val="subscript"/>
        </w:rPr>
        <w:t>2</w:t>
      </w:r>
      <w:r>
        <w:rPr>
          <w:rFonts w:ascii="Times" w:hAnsi="Times" w:cs="Times"/>
          <w:color w:val="000000"/>
        </w:rPr>
        <w:t>O</w:t>
      </w:r>
      <w:r>
        <w:rPr>
          <w:rFonts w:ascii="Times" w:hAnsi="Times" w:cs="Times"/>
          <w:color w:val="000000"/>
          <w:vertAlign w:val="subscript"/>
        </w:rPr>
        <w:t>7</w:t>
      </w:r>
      <w:r>
        <w:rPr>
          <w:rFonts w:ascii="Times" w:hAnsi="Times" w:cs="Times"/>
          <w:color w:val="000000"/>
        </w:rPr>
        <w:t>.</w:t>
      </w:r>
    </w:p>
    <w:p w14:paraId="53150A6F" w14:textId="327BCE03" w:rsidR="00777A0A" w:rsidRPr="008C50A6" w:rsidRDefault="00777A0A" w:rsidP="002D1FBE">
      <w:pPr>
        <w:spacing w:line="480" w:lineRule="exact"/>
        <w:jc w:val="both"/>
        <w:rPr>
          <w:rFonts w:ascii="Times" w:hAnsi="Times"/>
        </w:rPr>
      </w:pPr>
      <w:r w:rsidRPr="008C50A6">
        <w:rPr>
          <w:rFonts w:ascii="Times" w:hAnsi="Times"/>
        </w:rPr>
        <w:t xml:space="preserve">The TG and DTG profiles for </w:t>
      </w:r>
      <w:r w:rsidRPr="00B34AE9">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m:t>
            </m:r>
          </m:e>
        </m:acc>
        <m:r>
          <w:rPr>
            <w:rFonts w:ascii="Cambria Math" w:hAnsi="Cambria Math" w:cs="Arial"/>
            <w:sz w:val="36"/>
            <w:szCs w:val="36"/>
          </w:rPr>
          <m:t xml:space="preserve"> </m:t>
        </m:r>
      </m:oMath>
      <w:r w:rsidRPr="008C50A6">
        <w:rPr>
          <w:rFonts w:ascii="Times New Roman" w:hAnsi="Times New Roman" w:cs="Arial"/>
        </w:rPr>
        <w:t>shown in Figure 4.</w:t>
      </w:r>
      <w:r w:rsidR="003E5EE9">
        <w:rPr>
          <w:rFonts w:ascii="Times New Roman" w:hAnsi="Times New Roman" w:cs="Arial"/>
        </w:rPr>
        <w:t>3</w:t>
      </w:r>
      <w:r w:rsidRPr="008C50A6">
        <w:rPr>
          <w:rFonts w:ascii="Times New Roman" w:hAnsi="Times New Roman" w:cs="Arial"/>
        </w:rPr>
        <w:t xml:space="preserve"> </w:t>
      </w:r>
      <w:r w:rsidRPr="008C50A6">
        <w:rPr>
          <w:rFonts w:ascii="Times New Roman" w:hAnsi="Times New Roman"/>
        </w:rPr>
        <w:t>were</w:t>
      </w:r>
      <w:r w:rsidRPr="008C50A6">
        <w:rPr>
          <w:rFonts w:ascii="Times" w:hAnsi="Times"/>
        </w:rPr>
        <w:t xml:space="preserve"> very similar to those for </w:t>
      </w:r>
      <w:r w:rsidRPr="000F6BBD">
        <w:rPr>
          <w:rFonts w:ascii="Times" w:hAnsi="Times"/>
          <w:b/>
        </w:rPr>
        <w:t>0DB</w:t>
      </w:r>
      <w:r w:rsidRPr="008C50A6">
        <w:rPr>
          <w:rFonts w:ascii="Times" w:hAnsi="Times"/>
        </w:rPr>
        <w:t xml:space="preserve">, although the sample </w:t>
      </w:r>
      <w:r w:rsidRPr="00B34AE9">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m:t>
            </m:r>
          </m:e>
        </m:acc>
      </m:oMath>
      <w:r w:rsidRPr="008C50A6">
        <w:rPr>
          <w:rFonts w:ascii="Times" w:hAnsi="Times"/>
        </w:rPr>
        <w:t xml:space="preserve"> shows a small additional weight loss of approximately 3wt% at 480-600</w:t>
      </w:r>
      <w:r w:rsidRPr="008C50A6">
        <w:rPr>
          <w:rFonts w:ascii="Times" w:hAnsi="Times"/>
          <w:vertAlign w:val="superscript"/>
        </w:rPr>
        <w:t>o</w:t>
      </w:r>
      <w:r w:rsidRPr="008C50A6">
        <w:rPr>
          <w:rFonts w:ascii="Times" w:hAnsi="Times"/>
        </w:rPr>
        <w:t>C attributed to CsNO</w:t>
      </w:r>
      <w:r w:rsidRPr="008C50A6">
        <w:rPr>
          <w:rFonts w:ascii="Times" w:hAnsi="Times"/>
          <w:vertAlign w:val="subscript"/>
        </w:rPr>
        <w:t>3</w:t>
      </w:r>
      <w:r w:rsidR="00B10C45">
        <w:rPr>
          <w:rFonts w:ascii="Times" w:hAnsi="Times"/>
        </w:rPr>
        <w:t xml:space="preserve"> decomposition [14,15</w:t>
      </w:r>
      <w:r w:rsidRPr="008C50A6">
        <w:rPr>
          <w:rFonts w:ascii="Times" w:hAnsi="Times"/>
        </w:rPr>
        <w:t>]</w:t>
      </w:r>
      <w:r w:rsidR="003E5EE9">
        <w:rPr>
          <w:rFonts w:ascii="Times" w:hAnsi="Times"/>
        </w:rPr>
        <w:t>.</w:t>
      </w:r>
      <w:r w:rsidRPr="008C50A6">
        <w:rPr>
          <w:rFonts w:ascii="Times" w:hAnsi="Times"/>
        </w:rPr>
        <w:t xml:space="preserve"> The </w:t>
      </w:r>
      <w:r w:rsidRPr="00B34AE9">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m:t>
            </m:r>
          </m:e>
        </m:acc>
      </m:oMath>
      <w:r w:rsidRPr="008C50A6">
        <w:rPr>
          <w:rFonts w:cs="Arial"/>
          <w:sz w:val="36"/>
          <w:szCs w:val="36"/>
        </w:rPr>
        <w:t xml:space="preserve"> </w:t>
      </w:r>
      <w:r w:rsidRPr="008C50A6">
        <w:rPr>
          <w:rFonts w:ascii="Times" w:hAnsi="Times"/>
        </w:rPr>
        <w:t xml:space="preserve">data also shows a weight loss attributable to P.  As this phase was not identified in the XRD trace, it was formed either in small amounts or with poor crystallinity. </w:t>
      </w:r>
    </w:p>
    <w:p w14:paraId="693E3371" w14:textId="77777777" w:rsidR="00777A0A" w:rsidRPr="007A78EA" w:rsidRDefault="00777A0A" w:rsidP="00455541">
      <w:pPr>
        <w:spacing w:before="120" w:after="120"/>
        <w:jc w:val="both"/>
        <w:outlineLvl w:val="0"/>
        <w:rPr>
          <w:rFonts w:ascii="Times New Roman" w:hAnsi="Times New Roman" w:cs="Times New Roman"/>
          <w:szCs w:val="20"/>
        </w:rPr>
      </w:pPr>
    </w:p>
    <w:p w14:paraId="12485E34" w14:textId="432233B3" w:rsidR="00777A0A" w:rsidRPr="008940AB" w:rsidRDefault="00777A0A" w:rsidP="00455541">
      <w:pPr>
        <w:spacing w:before="120" w:after="120"/>
        <w:ind w:left="142"/>
        <w:jc w:val="center"/>
        <w:rPr>
          <w:rFonts w:ascii="Times" w:hAnsi="Times" w:cs="Arial"/>
          <w:color w:val="000000"/>
        </w:rPr>
      </w:pPr>
      <w:r>
        <w:rPr>
          <w:rFonts w:ascii="Times" w:hAnsi="Times" w:cs="Times New Roman"/>
          <w:b/>
          <w:noProof/>
          <w:sz w:val="28"/>
        </w:rPr>
        <w:drawing>
          <wp:inline distT="0" distB="0" distL="0" distR="0" wp14:anchorId="53F88ADD" wp14:editId="00F4152F">
            <wp:extent cx="5576835" cy="3082923"/>
            <wp:effectExtent l="0" t="0" r="5080" b="381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75985" cy="3082453"/>
                    </a:xfrm>
                    <a:prstGeom prst="rect">
                      <a:avLst/>
                    </a:prstGeom>
                    <a:noFill/>
                    <a:ln>
                      <a:noFill/>
                    </a:ln>
                  </pic:spPr>
                </pic:pic>
              </a:graphicData>
            </a:graphic>
          </wp:inline>
        </w:drawing>
      </w:r>
      <w:r>
        <w:rPr>
          <w:rFonts w:ascii="Times" w:hAnsi="Times" w:cs="Arial"/>
          <w:b/>
          <w:color w:val="000000"/>
        </w:rPr>
        <w:t>Figure 4.3</w:t>
      </w:r>
      <w:r w:rsidRPr="00E908AE">
        <w:rPr>
          <w:rFonts w:ascii="Times" w:hAnsi="Times" w:cs="Arial"/>
          <w:b/>
          <w:color w:val="000000"/>
        </w:rPr>
        <w:t>:</w:t>
      </w:r>
      <w:r w:rsidRPr="00E908AE">
        <w:rPr>
          <w:rFonts w:ascii="Times" w:hAnsi="Times" w:cs="Arial"/>
          <w:color w:val="000000"/>
        </w:rPr>
        <w:tab/>
        <w:t xml:space="preserve">TGA &amp; DTG curves for </w:t>
      </w:r>
      <m:oMath>
        <m:acc>
          <m:accPr>
            <m:chr m:val="̅"/>
            <m:ctrlPr>
              <w:rPr>
                <w:rFonts w:ascii="Cambria Math" w:hAnsi="Cambria Math" w:cs="Arial"/>
                <w:i/>
                <w:sz w:val="36"/>
                <w:szCs w:val="36"/>
              </w:rPr>
            </m:ctrlPr>
          </m:accPr>
          <m:e>
            <m:r>
              <m:rPr>
                <m:sty m:val="p"/>
              </m:rPr>
              <w:rPr>
                <w:rFonts w:ascii="Cambria Math" w:hAnsi="Cambria Math" w:cs="Arial"/>
                <w:sz w:val="36"/>
                <w:szCs w:val="36"/>
              </w:rPr>
              <m:t>c</m:t>
            </m:r>
          </m:e>
        </m:acc>
      </m:oMath>
      <w:r w:rsidRPr="00E908AE">
        <w:rPr>
          <w:rFonts w:ascii="Times" w:hAnsi="Times" w:cs="Arial"/>
          <w:color w:val="000000"/>
        </w:rPr>
        <w:t xml:space="preserve"> and </w:t>
      </w:r>
      <m:oMath>
        <m:acc>
          <m:accPr>
            <m:chr m:val="̅"/>
            <m:ctrlPr>
              <w:rPr>
                <w:rFonts w:ascii="Cambria Math" w:hAnsi="Cambria Math" w:cs="Arial"/>
                <w:i/>
                <w:sz w:val="36"/>
                <w:szCs w:val="36"/>
              </w:rPr>
            </m:ctrlPr>
          </m:accPr>
          <m:e>
            <m:r>
              <m:rPr>
                <m:sty m:val="p"/>
              </m:rPr>
              <w:rPr>
                <w:rFonts w:ascii="Cambria Math" w:hAnsi="Cambria Math" w:cs="Arial"/>
                <w:sz w:val="36"/>
                <w:szCs w:val="36"/>
              </w:rPr>
              <m:t>s</m:t>
            </m:r>
          </m:e>
        </m:acc>
      </m:oMath>
      <w:r w:rsidRPr="00E908AE">
        <w:rPr>
          <w:rFonts w:ascii="Times" w:hAnsi="Times" w:cs="Arial"/>
          <w:color w:val="000000"/>
        </w:rPr>
        <w:t xml:space="preserve"> before leaching</w:t>
      </w:r>
      <w:r w:rsidR="00B10C45">
        <w:rPr>
          <w:rFonts w:ascii="Times" w:hAnsi="Times" w:cs="Arial"/>
          <w:color w:val="000000"/>
        </w:rPr>
        <w:t xml:space="preserve"> (left Y axis associated with TG curves, right Y axis associated with DTG curves)</w:t>
      </w:r>
      <w:r>
        <w:rPr>
          <w:rFonts w:ascii="Times" w:hAnsi="Times" w:cs="Arial"/>
          <w:color w:val="000000"/>
        </w:rPr>
        <w:br/>
      </w:r>
    </w:p>
    <w:p w14:paraId="7D52B6CC" w14:textId="72B84014" w:rsidR="00777A0A" w:rsidRDefault="00777A0A" w:rsidP="00455541">
      <w:pPr>
        <w:spacing w:before="120" w:after="120" w:line="480" w:lineRule="exact"/>
        <w:jc w:val="both"/>
        <w:rPr>
          <w:rFonts w:ascii="Times" w:hAnsi="Times"/>
        </w:rPr>
      </w:pPr>
      <w:r w:rsidRPr="00E908AE">
        <w:rPr>
          <w:rFonts w:ascii="Times" w:hAnsi="Times"/>
        </w:rPr>
        <w:t xml:space="preserve">The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s</m:t>
            </m:r>
          </m:e>
        </m:acc>
      </m:oMath>
      <w:r w:rsidRPr="00E908AE">
        <w:rPr>
          <w:rFonts w:ascii="Times" w:hAnsi="Times"/>
        </w:rPr>
        <w:t xml:space="preserve"> </w:t>
      </w:r>
      <w:r>
        <w:rPr>
          <w:rFonts w:ascii="Times" w:hAnsi="Times"/>
        </w:rPr>
        <w:t xml:space="preserve">profiles </w:t>
      </w:r>
      <w:r w:rsidRPr="00E908AE">
        <w:rPr>
          <w:rFonts w:ascii="Times" w:hAnsi="Times"/>
        </w:rPr>
        <w:t xml:space="preserve">were similar to those for </w:t>
      </w:r>
      <w:r>
        <w:rPr>
          <w:rFonts w:ascii="Times" w:hAnsi="Times"/>
        </w:rPr>
        <w:t xml:space="preserve">in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Pr="00E908AE">
        <w:rPr>
          <w:rFonts w:ascii="Times" w:hAnsi="Times"/>
        </w:rPr>
        <w:t>, showing that the majority of the weight loss was due to</w:t>
      </w:r>
      <w:r>
        <w:rPr>
          <w:rFonts w:ascii="Times" w:hAnsi="Times"/>
        </w:rPr>
        <w:t xml:space="preserve"> the</w:t>
      </w:r>
      <w:r w:rsidRPr="00E908AE">
        <w:rPr>
          <w:rFonts w:ascii="Times" w:hAnsi="Times"/>
        </w:rPr>
        <w:t xml:space="preserve"> C-S-H and the CAN phases.  Decomposition of </w:t>
      </w:r>
      <w:proofErr w:type="gramStart"/>
      <w:r w:rsidRPr="00E908AE">
        <w:rPr>
          <w:rFonts w:ascii="Times" w:hAnsi="Times"/>
        </w:rPr>
        <w:t>Sr(</w:t>
      </w:r>
      <w:proofErr w:type="gramEnd"/>
      <w:r w:rsidRPr="00E908AE">
        <w:rPr>
          <w:rFonts w:ascii="Times" w:hAnsi="Times"/>
        </w:rPr>
        <w:t>NO</w:t>
      </w:r>
      <w:r w:rsidRPr="00E908AE">
        <w:rPr>
          <w:rFonts w:ascii="Times" w:hAnsi="Times"/>
          <w:vertAlign w:val="subscript"/>
        </w:rPr>
        <w:t>3</w:t>
      </w:r>
      <w:r w:rsidRPr="00E908AE">
        <w:rPr>
          <w:rFonts w:ascii="Times" w:hAnsi="Times"/>
        </w:rPr>
        <w:t>)</w:t>
      </w:r>
      <w:r w:rsidRPr="00E908AE">
        <w:rPr>
          <w:rFonts w:ascii="Times" w:hAnsi="Times"/>
          <w:vertAlign w:val="subscript"/>
        </w:rPr>
        <w:t>2</w:t>
      </w:r>
      <w:r w:rsidRPr="00E908AE">
        <w:rPr>
          <w:rFonts w:ascii="Times" w:hAnsi="Times"/>
        </w:rPr>
        <w:t>, which should appear at 6</w:t>
      </w:r>
      <w:r>
        <w:rPr>
          <w:rFonts w:ascii="Times" w:hAnsi="Times"/>
        </w:rPr>
        <w:t>10-670</w:t>
      </w:r>
      <w:r w:rsidRPr="00E908AE">
        <w:rPr>
          <w:rFonts w:ascii="Times" w:hAnsi="Times"/>
          <w:vertAlign w:val="superscript"/>
        </w:rPr>
        <w:t>o</w:t>
      </w:r>
      <w:r w:rsidR="007F26D9">
        <w:rPr>
          <w:rFonts w:ascii="Times" w:hAnsi="Times"/>
        </w:rPr>
        <w:t>C [16</w:t>
      </w:r>
      <w:r>
        <w:rPr>
          <w:rFonts w:ascii="Times" w:hAnsi="Times"/>
        </w:rPr>
        <w:t>] was not observed</w:t>
      </w:r>
      <w:r w:rsidRPr="00E908AE">
        <w:rPr>
          <w:rFonts w:ascii="Times" w:hAnsi="Times"/>
        </w:rPr>
        <w:t xml:space="preserve">. This </w:t>
      </w:r>
      <w:r>
        <w:rPr>
          <w:rFonts w:ascii="Times" w:hAnsi="Times"/>
        </w:rPr>
        <w:t>confirms the observation in the XRD data that,</w:t>
      </w:r>
      <w:r w:rsidRPr="00E908AE">
        <w:rPr>
          <w:rFonts w:ascii="Times" w:hAnsi="Times"/>
        </w:rPr>
        <w:t xml:space="preserve"> unlike Cs, the Sr was </w:t>
      </w:r>
      <w:r>
        <w:rPr>
          <w:rFonts w:ascii="Times" w:hAnsi="Times"/>
        </w:rPr>
        <w:t>associated with other</w:t>
      </w:r>
      <w:r w:rsidRPr="00E908AE">
        <w:rPr>
          <w:rFonts w:ascii="Times" w:hAnsi="Times"/>
        </w:rPr>
        <w:t xml:space="preserve"> phase</w:t>
      </w:r>
      <w:r>
        <w:rPr>
          <w:rFonts w:ascii="Times" w:hAnsi="Times"/>
        </w:rPr>
        <w:t>s</w:t>
      </w:r>
      <w:r w:rsidRPr="00E908AE">
        <w:rPr>
          <w:rFonts w:ascii="Times" w:hAnsi="Times"/>
        </w:rPr>
        <w:t xml:space="preserve"> in the cement matrix</w:t>
      </w:r>
      <w:r w:rsidR="00B72990">
        <w:rPr>
          <w:rFonts w:ascii="Times" w:hAnsi="Times"/>
        </w:rPr>
        <w:t>.</w:t>
      </w:r>
    </w:p>
    <w:p w14:paraId="693B9C01" w14:textId="20818536" w:rsidR="00777A0A" w:rsidRPr="00D04ADD" w:rsidRDefault="00777A0A" w:rsidP="00455541">
      <w:pPr>
        <w:spacing w:line="480" w:lineRule="exact"/>
        <w:jc w:val="both"/>
        <w:rPr>
          <w:rFonts w:ascii="Times" w:hAnsi="Times" w:cs="Times New Roman"/>
        </w:rPr>
      </w:pPr>
      <w:r w:rsidRPr="00E908AE">
        <w:rPr>
          <w:rFonts w:ascii="Times" w:hAnsi="Times"/>
        </w:rPr>
        <w:t>The total weight losses of samples</w:t>
      </w:r>
      <w:r>
        <w:rPr>
          <w:rFonts w:ascii="Times" w:hAnsi="Times"/>
        </w:rPr>
        <w:t xml:space="preserve">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s</m:t>
            </m:r>
          </m:e>
        </m:acc>
      </m:oMath>
      <w:r>
        <w:rPr>
          <w:rFonts w:ascii="Times" w:hAnsi="Times"/>
        </w:rPr>
        <w:t xml:space="preserve"> and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sz w:val="20"/>
          <w:szCs w:val="20"/>
        </w:rPr>
        <w:t xml:space="preserve"> </w:t>
      </w:r>
      <w:r w:rsidRPr="00E908AE">
        <w:rPr>
          <w:rFonts w:ascii="Times" w:hAnsi="Times"/>
        </w:rPr>
        <w:t xml:space="preserve">were significantly larger than </w:t>
      </w:r>
      <w:r>
        <w:rPr>
          <w:rFonts w:ascii="Times" w:hAnsi="Times"/>
        </w:rPr>
        <w:t>those</w:t>
      </w:r>
      <w:r w:rsidRPr="00E908AE">
        <w:rPr>
          <w:rFonts w:ascii="Times" w:hAnsi="Times"/>
        </w:rPr>
        <w:t xml:space="preserve"> of</w:t>
      </w:r>
      <w:r>
        <w:rPr>
          <w:rFonts w:ascii="Times" w:hAnsi="Times"/>
        </w:rPr>
        <w:t xml:space="preserve">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m:t>
            </m:r>
          </m:e>
        </m:acc>
      </m:oMath>
      <w:r>
        <w:rPr>
          <w:rFonts w:cs="Arial"/>
          <w:sz w:val="36"/>
          <w:szCs w:val="36"/>
        </w:rPr>
        <w:t xml:space="preserve"> </w:t>
      </w:r>
      <w:r w:rsidRPr="00E908AE">
        <w:rPr>
          <w:rFonts w:ascii="Times" w:hAnsi="Times"/>
        </w:rPr>
        <w:t xml:space="preserve">and </w:t>
      </w:r>
      <w:r w:rsidRPr="001B2A69">
        <w:rPr>
          <w:rFonts w:ascii="Times" w:hAnsi="Times"/>
          <w:b/>
        </w:rPr>
        <w:t>0DB</w:t>
      </w:r>
      <w:r w:rsidRPr="00E908AE">
        <w:rPr>
          <w:rFonts w:ascii="Times" w:hAnsi="Times"/>
        </w:rPr>
        <w:t xml:space="preserve">. It can be surmised that </w:t>
      </w:r>
      <w:r>
        <w:rPr>
          <w:rFonts w:ascii="Times" w:hAnsi="Times"/>
        </w:rPr>
        <w:t>this</w:t>
      </w:r>
      <w:r w:rsidRPr="00E908AE">
        <w:rPr>
          <w:rFonts w:ascii="Times" w:hAnsi="Times"/>
        </w:rPr>
        <w:t xml:space="preserve"> is due to the introduction of </w:t>
      </w:r>
      <w:proofErr w:type="gramStart"/>
      <w:r w:rsidRPr="00E908AE">
        <w:rPr>
          <w:rFonts w:ascii="Times" w:hAnsi="Times"/>
        </w:rPr>
        <w:t>Sr(</w:t>
      </w:r>
      <w:proofErr w:type="gramEnd"/>
      <w:r w:rsidRPr="00E908AE">
        <w:rPr>
          <w:rFonts w:ascii="Times" w:hAnsi="Times"/>
        </w:rPr>
        <w:t>NO</w:t>
      </w:r>
      <w:r w:rsidRPr="00E908AE">
        <w:rPr>
          <w:rFonts w:ascii="Times" w:hAnsi="Times"/>
          <w:vertAlign w:val="subscript"/>
        </w:rPr>
        <w:t>3</w:t>
      </w:r>
      <w:r w:rsidRPr="00E908AE">
        <w:rPr>
          <w:rFonts w:ascii="Times" w:hAnsi="Times"/>
        </w:rPr>
        <w:t>)</w:t>
      </w:r>
      <w:r w:rsidRPr="00E908AE">
        <w:rPr>
          <w:rFonts w:ascii="Times" w:hAnsi="Times"/>
          <w:vertAlign w:val="subscript"/>
        </w:rPr>
        <w:t>2</w:t>
      </w:r>
      <w:r w:rsidR="00447E41">
        <w:rPr>
          <w:rFonts w:ascii="Times" w:hAnsi="Times"/>
          <w:vertAlign w:val="subscript"/>
        </w:rPr>
        <w:t xml:space="preserve"> </w:t>
      </w:r>
      <w:r w:rsidR="00447E41">
        <w:rPr>
          <w:rFonts w:ascii="Times" w:hAnsi="Times"/>
        </w:rPr>
        <w:t xml:space="preserve">and will be </w:t>
      </w:r>
      <w:r w:rsidR="00C71E04">
        <w:rPr>
          <w:rFonts w:ascii="Times" w:hAnsi="Times"/>
        </w:rPr>
        <w:t>investigated</w:t>
      </w:r>
      <w:r w:rsidR="00447E41">
        <w:rPr>
          <w:rFonts w:ascii="Times" w:hAnsi="Times"/>
        </w:rPr>
        <w:t xml:space="preserve"> further</w:t>
      </w:r>
      <w:r w:rsidR="006531CE">
        <w:rPr>
          <w:rFonts w:ascii="Times" w:hAnsi="Times"/>
        </w:rPr>
        <w:t xml:space="preserve"> in the discussion section of this chapter.</w:t>
      </w:r>
      <w:r>
        <w:rPr>
          <w:rFonts w:ascii="Times" w:hAnsi="Times"/>
          <w:vertAlign w:val="subscript"/>
        </w:rPr>
        <w:t xml:space="preserve"> </w:t>
      </w:r>
      <w:r>
        <w:rPr>
          <w:rFonts w:ascii="Times" w:hAnsi="Times" w:cs="Times New Roman"/>
        </w:rPr>
        <w:t xml:space="preserve"> The weight loss in the 60-</w:t>
      </w:r>
      <w:r>
        <w:rPr>
          <w:rFonts w:ascii="Times" w:hAnsi="Times" w:cs="Times New Roman"/>
        </w:rPr>
        <w:lastRenderedPageBreak/>
        <w:t>100</w:t>
      </w:r>
      <w:r>
        <w:rPr>
          <w:rFonts w:ascii="Times" w:hAnsi="Times" w:cs="Times New Roman"/>
          <w:vertAlign w:val="superscript"/>
        </w:rPr>
        <w:t>o</w:t>
      </w:r>
      <w:r>
        <w:rPr>
          <w:rFonts w:ascii="Times" w:hAnsi="Times" w:cs="Times New Roman"/>
        </w:rPr>
        <w:t xml:space="preserve">C </w:t>
      </w:r>
      <w:proofErr w:type="gramStart"/>
      <w:r>
        <w:rPr>
          <w:rFonts w:ascii="Times" w:hAnsi="Times" w:cs="Times New Roman"/>
        </w:rPr>
        <w:t>region</w:t>
      </w:r>
      <w:proofErr w:type="gramEnd"/>
      <w:r>
        <w:rPr>
          <w:rFonts w:ascii="Times" w:hAnsi="Times" w:cs="Times New Roman"/>
        </w:rPr>
        <w:t xml:space="preserve"> from heating the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s</m:t>
            </m:r>
          </m:e>
        </m:acc>
      </m:oMath>
      <w:r w:rsidR="00B72990">
        <w:rPr>
          <w:rFonts w:ascii="Times" w:hAnsi="Times"/>
        </w:rPr>
        <w:t xml:space="preserve"> </w:t>
      </w:r>
      <w:r w:rsidR="00B72990">
        <w:rPr>
          <w:rFonts w:ascii="Times" w:hAnsi="Times" w:cs="Times New Roman"/>
        </w:rPr>
        <w:t>significantly</w:t>
      </w:r>
      <w:r>
        <w:rPr>
          <w:rFonts w:ascii="Times" w:hAnsi="Times" w:cs="Times New Roman"/>
        </w:rPr>
        <w:t xml:space="preserve"> higher than weight loss in the same region from the other three samples.</w:t>
      </w:r>
      <w:r w:rsidR="00447E41">
        <w:rPr>
          <w:rFonts w:ascii="Times" w:hAnsi="Times" w:cs="Times New Roman"/>
        </w:rPr>
        <w:t xml:space="preserve"> </w:t>
      </w:r>
    </w:p>
    <w:p w14:paraId="2EDCC1C8" w14:textId="77777777" w:rsidR="00777A0A" w:rsidRDefault="00777A0A" w:rsidP="00777A0A">
      <w:pPr>
        <w:spacing w:before="240" w:after="120" w:line="360" w:lineRule="auto"/>
        <w:outlineLvl w:val="0"/>
        <w:rPr>
          <w:rFonts w:ascii="Times" w:hAnsi="Times" w:cs="Times New Roman"/>
          <w:b/>
          <w:bCs/>
          <w:i/>
          <w:iCs/>
        </w:rPr>
      </w:pPr>
    </w:p>
    <w:p w14:paraId="6602F351" w14:textId="77777777" w:rsidR="00777A0A" w:rsidRPr="00D37DE3" w:rsidRDefault="00777A0A" w:rsidP="00777A0A">
      <w:pPr>
        <w:spacing w:before="240" w:after="120" w:line="360" w:lineRule="auto"/>
        <w:outlineLvl w:val="0"/>
        <w:rPr>
          <w:rFonts w:ascii="Times" w:hAnsi="Times" w:cs="Times New Roman"/>
          <w:b/>
          <w:bCs/>
          <w:i/>
          <w:iCs/>
        </w:rPr>
      </w:pPr>
      <w:proofErr w:type="gramStart"/>
      <w:r w:rsidRPr="00D37DE3">
        <w:rPr>
          <w:rFonts w:ascii="Times" w:hAnsi="Times" w:cs="Times New Roman"/>
          <w:b/>
          <w:bCs/>
          <w:i/>
          <w:iCs/>
        </w:rPr>
        <w:t>iii</w:t>
      </w:r>
      <w:proofErr w:type="gramEnd"/>
      <w:r w:rsidRPr="00D37DE3">
        <w:rPr>
          <w:rFonts w:ascii="Times" w:hAnsi="Times" w:cs="Times New Roman"/>
          <w:b/>
          <w:bCs/>
          <w:i/>
          <w:iCs/>
        </w:rPr>
        <w:tab/>
        <w:t>Mercury Intrusion Porosimetry (MIP)</w:t>
      </w:r>
      <w:r>
        <w:rPr>
          <w:rFonts w:ascii="Times" w:hAnsi="Times" w:cs="Times New Roman"/>
          <w:b/>
          <w:bCs/>
          <w:i/>
          <w:iCs/>
        </w:rPr>
        <w:t xml:space="preserve"> </w:t>
      </w:r>
    </w:p>
    <w:p w14:paraId="3BBB7303" w14:textId="690C72F5" w:rsidR="00777A0A" w:rsidRPr="007E2570" w:rsidRDefault="00777A0A" w:rsidP="00777A0A">
      <w:pPr>
        <w:spacing w:before="240" w:after="120" w:line="360" w:lineRule="auto"/>
        <w:jc w:val="both"/>
        <w:rPr>
          <w:rFonts w:ascii="Times" w:hAnsi="Times" w:cs="Times New Roman"/>
        </w:rPr>
      </w:pPr>
      <w:r>
        <w:rPr>
          <w:rFonts w:ascii="Times" w:hAnsi="Times" w:cs="Times New Roman"/>
        </w:rPr>
        <w:t xml:space="preserve">The </w:t>
      </w:r>
      <w:r>
        <w:rPr>
          <w:rFonts w:ascii="Times" w:hAnsi="Times" w:cs="Times New Roman"/>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rPr>
        <w:t xml:space="preserve"> and </w:t>
      </w:r>
      <w:r w:rsidRPr="0046338E">
        <w:rPr>
          <w:rFonts w:ascii="Times" w:hAnsi="Times" w:cs="Times New Roman"/>
          <w:b/>
        </w:rPr>
        <w:t>0DB</w:t>
      </w:r>
      <w:r>
        <w:rPr>
          <w:rFonts w:ascii="Times" w:hAnsi="Times" w:cs="Times New Roman"/>
          <w:b/>
        </w:rPr>
        <w:t xml:space="preserve"> </w:t>
      </w:r>
      <w:r>
        <w:rPr>
          <w:rFonts w:ascii="Times" w:hAnsi="Times" w:cs="Times New Roman"/>
        </w:rPr>
        <w:t>samples were analysed using MIP and</w:t>
      </w:r>
      <w:r>
        <w:rPr>
          <w:rFonts w:ascii="Times" w:hAnsi="Times"/>
          <w:sz w:val="20"/>
          <w:szCs w:val="20"/>
        </w:rPr>
        <w:t xml:space="preserve"> </w:t>
      </w:r>
      <w:r>
        <w:rPr>
          <w:rFonts w:ascii="Times" w:hAnsi="Times" w:cs="Times New Roman"/>
        </w:rPr>
        <w:t xml:space="preserve">Figure 4.4 </w:t>
      </w:r>
      <w:r w:rsidRPr="00E908AE">
        <w:rPr>
          <w:rFonts w:ascii="Times" w:hAnsi="Times" w:cs="Times New Roman"/>
        </w:rPr>
        <w:t xml:space="preserve">shows the pore volume distribution for </w:t>
      </w:r>
      <w:r>
        <w:rPr>
          <w:rFonts w:ascii="Times" w:hAnsi="Times" w:cs="Times New Roman"/>
        </w:rPr>
        <w:t>these samples</w:t>
      </w:r>
      <w:r w:rsidRPr="00E908AE">
        <w:rPr>
          <w:rFonts w:ascii="Times" w:hAnsi="Times" w:cs="Times New Roman"/>
        </w:rPr>
        <w:t xml:space="preserve">. </w:t>
      </w:r>
      <w:r>
        <w:rPr>
          <w:rFonts w:ascii="Times" w:hAnsi="Times" w:cs="Times New Roman"/>
        </w:rPr>
        <w:t>The relationship between the applied pressure and the pore size is base</w:t>
      </w:r>
      <w:r w:rsidR="00005804">
        <w:rPr>
          <w:rFonts w:ascii="Times" w:hAnsi="Times" w:cs="Times New Roman"/>
        </w:rPr>
        <w:t>d on the Washburn Equation 4.1</w:t>
      </w:r>
      <w:r w:rsidR="007E2570">
        <w:rPr>
          <w:rFonts w:ascii="Times" w:hAnsi="Times" w:cs="Times New Roman"/>
        </w:rPr>
        <w:t>[17</w:t>
      </w:r>
      <w:r>
        <w:rPr>
          <w:rFonts w:ascii="Times" w:hAnsi="Times" w:cs="Times New Roman"/>
        </w:rPr>
        <w:t>]:</w:t>
      </w:r>
    </w:p>
    <w:p w14:paraId="21381B6D" w14:textId="19BEAD91" w:rsidR="00777A0A" w:rsidRPr="00E00A80" w:rsidRDefault="00777A0A" w:rsidP="00777A0A">
      <w:pPr>
        <w:spacing w:before="240" w:after="120"/>
        <w:jc w:val="center"/>
        <w:rPr>
          <w:rFonts w:ascii="Times" w:hAnsi="Times" w:cs="Times New Roman"/>
        </w:rPr>
      </w:pPr>
      <w:r w:rsidRPr="00D914FE">
        <w:rPr>
          <w:rFonts w:ascii="Times" w:hAnsi="Times" w:cs="Times New Roman"/>
          <w:i/>
          <w:sz w:val="32"/>
        </w:rPr>
        <w:tab/>
      </w:r>
      <w:r w:rsidRPr="00E00A80">
        <w:rPr>
          <w:rFonts w:ascii="Times" w:hAnsi="Times" w:cs="Times New Roman"/>
          <w:i/>
        </w:rPr>
        <w:tab/>
      </w:r>
      <w:r w:rsidRPr="00E00A80">
        <w:rPr>
          <w:rFonts w:ascii="Times" w:hAnsi="Times" w:cs="Times New Roman"/>
          <w:i/>
        </w:rPr>
        <w:tab/>
      </w:r>
      <w:r w:rsidRPr="00E00A80">
        <w:rPr>
          <w:rFonts w:ascii="Times" w:hAnsi="Times" w:cs="Times New Roman"/>
          <w:i/>
        </w:rPr>
        <w:tab/>
      </w:r>
      <m:oMath>
        <m:r>
          <m:rPr>
            <m:sty m:val="p"/>
          </m:rPr>
          <w:rPr>
            <w:rFonts w:ascii="Cambria Math" w:hAnsi="Cambria Math" w:cs="Times New Roman"/>
            <w:sz w:val="28"/>
            <w:szCs w:val="32"/>
          </w:rPr>
          <m:t xml:space="preserve">r= </m:t>
        </m:r>
        <m:f>
          <m:fPr>
            <m:ctrlPr>
              <w:rPr>
                <w:rFonts w:ascii="Cambria Math" w:hAnsi="Cambria Math" w:cs="Times New Roman"/>
                <w:sz w:val="28"/>
                <w:szCs w:val="32"/>
              </w:rPr>
            </m:ctrlPr>
          </m:fPr>
          <m:num>
            <m:r>
              <m:rPr>
                <m:sty m:val="p"/>
              </m:rPr>
              <w:rPr>
                <w:rFonts w:ascii="Cambria Math" w:hAnsi="Cambria Math" w:cs="Times New Roman"/>
                <w:sz w:val="28"/>
                <w:szCs w:val="32"/>
              </w:rPr>
              <m:t xml:space="preserve">-2 </m:t>
            </m:r>
            <m:r>
              <m:rPr>
                <m:sty m:val="p"/>
              </m:rPr>
              <w:rPr>
                <w:rFonts w:ascii="Cambria Math" w:hAnsi="Cambria Math" w:cs="Times New Roman" w:hint="eastAsia"/>
                <w:sz w:val="28"/>
                <w:szCs w:val="32"/>
              </w:rPr>
              <m:t>×</m:t>
            </m:r>
            <m:r>
              <m:rPr>
                <m:sty m:val="p"/>
              </m:rPr>
              <w:rPr>
                <w:rFonts w:ascii="Cambria Math" w:hAnsi="Cambria Math" w:cs="Times New Roman"/>
                <w:sz w:val="28"/>
                <w:szCs w:val="32"/>
              </w:rPr>
              <m:t xml:space="preserve">  </m:t>
            </m:r>
            <m:sSub>
              <m:sSubPr>
                <m:ctrlPr>
                  <w:rPr>
                    <w:rFonts w:ascii="Cambria Math" w:hAnsi="Cambria Math" w:cs="Times New Roman"/>
                    <w:sz w:val="28"/>
                    <w:szCs w:val="32"/>
                  </w:rPr>
                </m:ctrlPr>
              </m:sSubPr>
              <m:e>
                <m:r>
                  <m:rPr>
                    <m:sty m:val="p"/>
                  </m:rPr>
                  <w:rPr>
                    <w:rFonts w:ascii="Cambria Math" w:hAnsi="Cambria Math" w:cs="Times New Roman" w:hint="eastAsia"/>
                    <w:sz w:val="28"/>
                    <w:szCs w:val="32"/>
                  </w:rPr>
                  <m:t>γ</m:t>
                </m:r>
              </m:e>
              <m:sub>
                <m:r>
                  <w:rPr>
                    <w:rFonts w:ascii="Cambria Math" w:hAnsi="Cambria Math" w:cs="Times New Roman"/>
                    <w:sz w:val="28"/>
                    <w:szCs w:val="32"/>
                  </w:rPr>
                  <m:t>m</m:t>
                </m:r>
              </m:sub>
            </m:sSub>
            <m:r>
              <m:rPr>
                <m:sty m:val="p"/>
              </m:rPr>
              <w:rPr>
                <w:rFonts w:ascii="Cambria Math" w:hAnsi="Cambria Math" w:cs="Times New Roman" w:hint="eastAsia"/>
                <w:sz w:val="28"/>
                <w:szCs w:val="32"/>
              </w:rPr>
              <m:t>×</m:t>
            </m:r>
            <m:r>
              <m:rPr>
                <m:sty m:val="p"/>
              </m:rPr>
              <w:rPr>
                <w:rFonts w:ascii="Cambria Math" w:hAnsi="Cambria Math" w:cs="Times New Roman"/>
                <w:sz w:val="28"/>
                <w:szCs w:val="32"/>
              </w:rPr>
              <m:t xml:space="preserve"> cos</m:t>
            </m:r>
            <m:r>
              <m:rPr>
                <m:sty m:val="p"/>
              </m:rPr>
              <w:rPr>
                <w:rFonts w:ascii="Cambria Math" w:hAnsi="Cambria Math" w:cs="Times New Roman" w:hint="eastAsia"/>
                <w:sz w:val="28"/>
                <w:szCs w:val="32"/>
              </w:rPr>
              <m:t>θ</m:t>
            </m:r>
          </m:num>
          <m:den>
            <m:r>
              <m:rPr>
                <m:sty m:val="p"/>
              </m:rPr>
              <w:rPr>
                <w:rFonts w:ascii="Cambria Math" w:hAnsi="Cambria Math" w:cs="Times New Roman"/>
                <w:sz w:val="28"/>
                <w:szCs w:val="32"/>
              </w:rPr>
              <m:t xml:space="preserve">p </m:t>
            </m:r>
          </m:den>
        </m:f>
      </m:oMath>
      <w:r w:rsidRPr="00E00A80">
        <w:rPr>
          <w:rFonts w:ascii="Times" w:hAnsi="Times" w:cs="Times New Roman"/>
          <w:sz w:val="32"/>
          <w:szCs w:val="32"/>
        </w:rPr>
        <w:t xml:space="preserve"> </w:t>
      </w:r>
      <w:r w:rsidRPr="00E00A80">
        <w:rPr>
          <w:rFonts w:ascii="Times" w:hAnsi="Times" w:cs="Times New Roman"/>
          <w:i/>
        </w:rPr>
        <w:tab/>
      </w:r>
      <w:r w:rsidRPr="00E00A80">
        <w:rPr>
          <w:rFonts w:ascii="Times" w:hAnsi="Times" w:cs="Times New Roman"/>
          <w:i/>
        </w:rPr>
        <w:tab/>
      </w:r>
      <w:r w:rsidRPr="00E00A80">
        <w:rPr>
          <w:rFonts w:ascii="Times" w:hAnsi="Times" w:cs="Times New Roman"/>
        </w:rPr>
        <w:tab/>
      </w:r>
      <w:r w:rsidRPr="00005804">
        <w:rPr>
          <w:rFonts w:ascii="Times" w:hAnsi="Times" w:cs="Times New Roman"/>
          <w:sz w:val="32"/>
        </w:rPr>
        <w:t xml:space="preserve">        </w:t>
      </w:r>
      <w:r w:rsidR="00005804">
        <w:rPr>
          <w:rFonts w:ascii="Times" w:hAnsi="Times" w:cs="Times New Roman"/>
          <w:szCs w:val="20"/>
        </w:rPr>
        <w:t>(4.1</w:t>
      </w:r>
      <w:r w:rsidRPr="00005804">
        <w:rPr>
          <w:rFonts w:ascii="Times" w:hAnsi="Times" w:cs="Times New Roman"/>
          <w:szCs w:val="20"/>
        </w:rPr>
        <w:t>)</w:t>
      </w:r>
    </w:p>
    <w:p w14:paraId="0080D634" w14:textId="425729D8" w:rsidR="00777A0A" w:rsidRDefault="00777A0A" w:rsidP="00777A0A">
      <w:pPr>
        <w:spacing w:before="240" w:after="120"/>
        <w:jc w:val="center"/>
        <w:rPr>
          <w:rFonts w:ascii="Times" w:hAnsi="Times" w:cs="Times New Roman"/>
          <w:szCs w:val="20"/>
        </w:rPr>
      </w:pPr>
      <w:r w:rsidRPr="007E2570">
        <w:rPr>
          <w:rFonts w:ascii="Times" w:hAnsi="Times" w:cs="Times New Roman"/>
          <w:szCs w:val="20"/>
        </w:rPr>
        <w:t xml:space="preserve">Where </w:t>
      </w:r>
      <w:r w:rsidR="00A32FCA">
        <w:rPr>
          <w:rFonts w:ascii="Times" w:hAnsi="Times" w:cs="Times New Roman"/>
          <w:szCs w:val="20"/>
        </w:rPr>
        <w:t xml:space="preserve">r </w:t>
      </w:r>
      <w:r w:rsidRPr="007E2570">
        <w:rPr>
          <w:rFonts w:ascii="Times" w:hAnsi="Times" w:cs="Times New Roman"/>
          <w:szCs w:val="20"/>
        </w:rPr>
        <w:t>is the pore</w:t>
      </w:r>
      <w:r w:rsidR="00A32FCA">
        <w:rPr>
          <w:rFonts w:ascii="Times" w:hAnsi="Times" w:cs="Times New Roman"/>
          <w:szCs w:val="20"/>
        </w:rPr>
        <w:t xml:space="preserve"> radius</w:t>
      </w:r>
      <w:r w:rsidRPr="007E2570">
        <w:rPr>
          <w:rFonts w:ascii="Times" w:hAnsi="Times" w:cs="Times New Roman"/>
          <w:szCs w:val="20"/>
        </w:rPr>
        <w:t xml:space="preserve">, </w:t>
      </w:r>
      <m:oMath>
        <m:sSub>
          <m:sSubPr>
            <m:ctrlPr>
              <w:rPr>
                <w:rFonts w:ascii="Cambria Math" w:hAnsi="Cambria Math" w:cs="Times New Roman"/>
                <w:sz w:val="28"/>
                <w:szCs w:val="32"/>
              </w:rPr>
            </m:ctrlPr>
          </m:sSubPr>
          <m:e>
            <m:r>
              <m:rPr>
                <m:sty m:val="p"/>
              </m:rPr>
              <w:rPr>
                <w:rFonts w:ascii="Cambria Math" w:hAnsi="Cambria Math" w:cs="Times New Roman"/>
                <w:sz w:val="28"/>
                <w:szCs w:val="32"/>
              </w:rPr>
              <m:t>γ</m:t>
            </m:r>
          </m:e>
          <m:sub>
            <m:r>
              <w:rPr>
                <w:rFonts w:ascii="Cambria Math" w:hAnsi="Cambria Math" w:cs="Times New Roman"/>
                <w:sz w:val="28"/>
                <w:szCs w:val="32"/>
              </w:rPr>
              <m:t>m</m:t>
            </m:r>
          </m:sub>
        </m:sSub>
        <w:proofErr w:type="gramStart"/>
        <m:r>
          <m:rPr>
            <m:sty m:val="p"/>
          </m:rPr>
          <w:rPr>
            <w:rFonts w:ascii="Cambria Math" w:hAnsi="Cambria Math"/>
            <w:sz w:val="20"/>
            <w:szCs w:val="20"/>
            <w:lang w:val="en-GB"/>
          </w:rPr>
          <m:t xml:space="preserve"> </m:t>
        </m:r>
      </m:oMath>
      <w:r w:rsidRPr="007E2570">
        <w:rPr>
          <w:rFonts w:ascii="Times" w:hAnsi="Times" w:cs="Times New Roman"/>
          <w:szCs w:val="20"/>
        </w:rPr>
        <w:t xml:space="preserve"> is</w:t>
      </w:r>
      <w:proofErr w:type="gramEnd"/>
      <w:r w:rsidRPr="007E2570">
        <w:rPr>
          <w:rFonts w:ascii="Times" w:hAnsi="Times" w:cs="Times New Roman"/>
          <w:szCs w:val="20"/>
        </w:rPr>
        <w:t xml:space="preserve"> the surface tension </w:t>
      </w:r>
      <w:r w:rsidR="00975BCF">
        <w:rPr>
          <w:rFonts w:ascii="Times" w:hAnsi="Times" w:cs="Times New Roman"/>
          <w:szCs w:val="20"/>
        </w:rPr>
        <w:t xml:space="preserve">between mercury and the pore wall (N/m), </w:t>
      </w:r>
      <m:oMath>
        <m:r>
          <m:rPr>
            <m:sty m:val="p"/>
          </m:rPr>
          <w:rPr>
            <w:rFonts w:ascii="Cambria Math" w:hAnsi="Cambria Math" w:cs="Times New Roman"/>
            <w:szCs w:val="20"/>
          </w:rPr>
          <m:t>θ</m:t>
        </m:r>
      </m:oMath>
      <w:r w:rsidRPr="007E2570">
        <w:rPr>
          <w:rFonts w:ascii="Times" w:hAnsi="Times" w:cs="Times New Roman"/>
          <w:szCs w:val="20"/>
        </w:rPr>
        <w:t xml:space="preserve"> is the contact angle between the mercury and the specifmen surface, p is the pressure </w:t>
      </w:r>
    </w:p>
    <w:p w14:paraId="732F113C" w14:textId="77777777" w:rsidR="007E2570" w:rsidRPr="007E2570" w:rsidRDefault="007E2570" w:rsidP="00777A0A">
      <w:pPr>
        <w:spacing w:before="240" w:after="120"/>
        <w:jc w:val="center"/>
        <w:rPr>
          <w:rFonts w:ascii="Times" w:hAnsi="Times" w:cs="Times New Roman"/>
          <w:szCs w:val="20"/>
        </w:rPr>
      </w:pPr>
    </w:p>
    <w:p w14:paraId="2AB5825E" w14:textId="53B73374" w:rsidR="00777A0A" w:rsidRDefault="00777A0A" w:rsidP="00777A0A">
      <w:pPr>
        <w:jc w:val="center"/>
        <w:outlineLvl w:val="0"/>
        <w:rPr>
          <w:rFonts w:ascii="Times" w:hAnsi="Times" w:cs="Times New Roman"/>
        </w:rPr>
      </w:pPr>
      <w:r>
        <w:rPr>
          <w:noProof/>
        </w:rPr>
        <w:drawing>
          <wp:inline distT="0" distB="0" distL="0" distR="0" wp14:anchorId="2EDD57D5" wp14:editId="47504F43">
            <wp:extent cx="2898597" cy="2575325"/>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Pr="00182726">
        <w:rPr>
          <w:noProof/>
          <w:lang w:eastAsia="en-GB"/>
        </w:rPr>
        <w:t xml:space="preserve"> </w:t>
      </w:r>
      <w:r>
        <w:rPr>
          <w:rFonts w:ascii="Times" w:hAnsi="Times" w:cs="Times New Roman"/>
        </w:rPr>
        <w:br/>
      </w:r>
      <w:r>
        <w:rPr>
          <w:rFonts w:ascii="Times" w:hAnsi="Times" w:cs="Times New Roman"/>
          <w:b/>
        </w:rPr>
        <w:t>Figure 4.4</w:t>
      </w:r>
      <w:r w:rsidRPr="00E908AE">
        <w:rPr>
          <w:rFonts w:ascii="Times" w:hAnsi="Times" w:cs="Times New Roman"/>
          <w:b/>
        </w:rPr>
        <w:t>:</w:t>
      </w:r>
      <w:r w:rsidRPr="00E908AE">
        <w:rPr>
          <w:rFonts w:ascii="Times" w:hAnsi="Times" w:cs="Times New Roman"/>
        </w:rPr>
        <w:t xml:space="preserve"> </w:t>
      </w:r>
      <w:r w:rsidR="00B3713F">
        <w:rPr>
          <w:rFonts w:ascii="Times" w:hAnsi="Times" w:cs="Times New Roman"/>
        </w:rPr>
        <w:t xml:space="preserve">Incremental </w:t>
      </w:r>
      <w:r>
        <w:rPr>
          <w:rFonts w:ascii="Times" w:hAnsi="Times" w:cs="Times New Roman"/>
        </w:rPr>
        <w:t>porosity</w:t>
      </w:r>
      <w:r w:rsidRPr="00E908AE">
        <w:rPr>
          <w:rFonts w:ascii="Times" w:hAnsi="Times" w:cs="Times New Roman"/>
        </w:rPr>
        <w:t xml:space="preserve"> for </w:t>
      </w:r>
      <w:r>
        <w:rPr>
          <w:rFonts w:ascii="Times" w:hAnsi="Times" w:cs="Times New Roman"/>
          <w:b/>
        </w:rPr>
        <w:t xml:space="preserve">0DB </w:t>
      </w:r>
      <w:r>
        <w:rPr>
          <w:rFonts w:ascii="Times" w:hAnsi="Times" w:cs="Times New Roman"/>
        </w:rPr>
        <w:t xml:space="preserve">and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
    <w:p w14:paraId="10571F33" w14:textId="77777777" w:rsidR="00777A0A" w:rsidRDefault="00777A0A" w:rsidP="00777A0A">
      <w:pPr>
        <w:ind w:left="-426" w:firstLine="284"/>
        <w:rPr>
          <w:rFonts w:ascii="Times" w:hAnsi="Times" w:cs="Times New Roman"/>
        </w:rPr>
      </w:pPr>
    </w:p>
    <w:p w14:paraId="7954B334" w14:textId="24ED0E06" w:rsidR="00777A0A" w:rsidRDefault="00777A0A" w:rsidP="00777A0A">
      <w:pPr>
        <w:spacing w:line="480" w:lineRule="exact"/>
        <w:jc w:val="both"/>
        <w:rPr>
          <w:rFonts w:ascii="Times" w:hAnsi="Times"/>
        </w:rPr>
      </w:pPr>
      <w:r>
        <w:rPr>
          <w:rFonts w:ascii="Times" w:hAnsi="Times" w:cs="Times New Roman"/>
        </w:rPr>
        <w:t xml:space="preserve">The majority of the pores within </w:t>
      </w:r>
      <w:r w:rsidRPr="00E2260E">
        <w:rPr>
          <w:rFonts w:ascii="Times" w:hAnsi="Times" w:cs="Times New Roman"/>
          <w:b/>
        </w:rPr>
        <w:t>0DB</w:t>
      </w:r>
      <w:r>
        <w:rPr>
          <w:rFonts w:ascii="Times" w:hAnsi="Times" w:cs="Times New Roman"/>
        </w:rPr>
        <w:t xml:space="preserve"> on average have a diameter of approximately </w:t>
      </w:r>
      <w:r w:rsidR="00812F86">
        <w:rPr>
          <w:rFonts w:ascii="Times" w:hAnsi="Times" w:cs="Times New Roman"/>
        </w:rPr>
        <w:t>0.</w:t>
      </w:r>
      <w:r w:rsidR="004C1912">
        <w:rPr>
          <w:rFonts w:ascii="Times" w:hAnsi="Times" w:cs="Times New Roman"/>
        </w:rPr>
        <w:t>0</w:t>
      </w:r>
      <w:r w:rsidR="00812F86">
        <w:rPr>
          <w:rFonts w:ascii="Times" w:hAnsi="Times" w:cs="Times New Roman"/>
        </w:rPr>
        <w:t>5-</w:t>
      </w:r>
      <w:r>
        <w:rPr>
          <w:rFonts w:ascii="Times" w:hAnsi="Times" w:cs="Times New Roman"/>
        </w:rPr>
        <w:t>0.1</w:t>
      </w:r>
      <w:r w:rsidR="004C1912">
        <w:rPr>
          <w:rFonts w:ascii="Times" w:hAnsi="Times" w:cs="Times New Roman"/>
        </w:rPr>
        <w:t xml:space="preserve"> </w:t>
      </w:r>
      <w:r>
        <w:rPr>
          <w:rFonts w:ascii="Times" w:hAnsi="Times" w:cs="Times New Roman"/>
        </w:rPr>
        <w:t xml:space="preserve">µm, these pores </w:t>
      </w:r>
      <w:r>
        <w:rPr>
          <w:rFonts w:ascii="Times" w:hAnsi="Times"/>
        </w:rPr>
        <w:t xml:space="preserve">are known as </w:t>
      </w:r>
      <w:r w:rsidR="001E31A7">
        <w:rPr>
          <w:rFonts w:ascii="Times" w:hAnsi="Times"/>
        </w:rPr>
        <w:t>capillary</w:t>
      </w:r>
      <w:r w:rsidR="004C1912">
        <w:rPr>
          <w:rFonts w:ascii="Times" w:hAnsi="Times"/>
        </w:rPr>
        <w:t xml:space="preserve"> m</w:t>
      </w:r>
      <w:r w:rsidR="009E35B5">
        <w:rPr>
          <w:rFonts w:ascii="Times" w:hAnsi="Times"/>
        </w:rPr>
        <w:t>eso</w:t>
      </w:r>
      <w:r w:rsidR="007E2570">
        <w:rPr>
          <w:rFonts w:ascii="Times" w:hAnsi="Times"/>
        </w:rPr>
        <w:t>pores [18]</w:t>
      </w:r>
      <w:r>
        <w:rPr>
          <w:rFonts w:ascii="Times" w:hAnsi="Times"/>
        </w:rPr>
        <w:t xml:space="preserve"> and are a </w:t>
      </w:r>
      <w:r w:rsidR="004C1912">
        <w:rPr>
          <w:rFonts w:ascii="Times" w:hAnsi="Times"/>
        </w:rPr>
        <w:t xml:space="preserve">product </w:t>
      </w:r>
      <w:r w:rsidR="001E31A7">
        <w:rPr>
          <w:rFonts w:ascii="Times" w:hAnsi="Times"/>
        </w:rPr>
        <w:t>of the initial water-f</w:t>
      </w:r>
      <w:r w:rsidR="008A406F">
        <w:rPr>
          <w:rFonts w:ascii="Times" w:hAnsi="Times"/>
        </w:rPr>
        <w:t xml:space="preserve">illed spaces within the cement and </w:t>
      </w:r>
      <w:r w:rsidR="001E31A7">
        <w:rPr>
          <w:rFonts w:ascii="Times" w:hAnsi="Times"/>
        </w:rPr>
        <w:t xml:space="preserve">they are </w:t>
      </w:r>
      <w:r w:rsidR="008A406F">
        <w:rPr>
          <w:rFonts w:ascii="Times" w:hAnsi="Times"/>
        </w:rPr>
        <w:t>dependent</w:t>
      </w:r>
      <w:r w:rsidR="001E31A7">
        <w:rPr>
          <w:rFonts w:ascii="Times" w:hAnsi="Times"/>
        </w:rPr>
        <w:t xml:space="preserve"> on the water/cement ratio</w:t>
      </w:r>
      <w:r w:rsidR="008A406F">
        <w:rPr>
          <w:rFonts w:ascii="Times" w:hAnsi="Times"/>
        </w:rPr>
        <w:t xml:space="preserve">. </w:t>
      </w:r>
      <w:r w:rsidR="009B1978">
        <w:rPr>
          <w:rFonts w:ascii="Times" w:hAnsi="Times"/>
        </w:rPr>
        <w:t xml:space="preserve">These remnants of water filled spaces are </w:t>
      </w:r>
      <w:r w:rsidR="004C1912">
        <w:rPr>
          <w:rFonts w:ascii="Times" w:hAnsi="Times"/>
        </w:rPr>
        <w:t>also the cause of the larger capillary pores at 0.1-0</w:t>
      </w:r>
      <w:r w:rsidR="00B910D1">
        <w:rPr>
          <w:rFonts w:ascii="Times" w:hAnsi="Times"/>
        </w:rPr>
        <w:t>.</w:t>
      </w:r>
      <w:r w:rsidR="004C1912">
        <w:rPr>
          <w:rFonts w:ascii="Times" w:hAnsi="Times"/>
        </w:rPr>
        <w:t>3</w:t>
      </w:r>
      <w:r w:rsidR="004C1912" w:rsidRPr="004C1912">
        <w:rPr>
          <w:rFonts w:ascii="Times" w:hAnsi="Times" w:cs="Times New Roman"/>
        </w:rPr>
        <w:t xml:space="preserve"> </w:t>
      </w:r>
      <w:r w:rsidR="004C1912">
        <w:rPr>
          <w:rFonts w:ascii="Times" w:hAnsi="Times" w:cs="Times New Roman"/>
        </w:rPr>
        <w:t>µm</w:t>
      </w:r>
      <w:r w:rsidR="00B910D1">
        <w:rPr>
          <w:rFonts w:ascii="Times" w:hAnsi="Times" w:cs="Times New Roman"/>
        </w:rPr>
        <w:t>.</w:t>
      </w:r>
    </w:p>
    <w:p w14:paraId="416BBD43" w14:textId="46BF5CD6" w:rsidR="00777A0A" w:rsidRDefault="00777A0A" w:rsidP="00777A0A">
      <w:pPr>
        <w:spacing w:line="480" w:lineRule="exact"/>
        <w:jc w:val="both"/>
        <w:rPr>
          <w:rFonts w:ascii="Times" w:hAnsi="Times"/>
        </w:rPr>
      </w:pPr>
      <w:r>
        <w:rPr>
          <w:rFonts w:ascii="Times" w:hAnsi="Times"/>
        </w:rPr>
        <w:lastRenderedPageBreak/>
        <w:t xml:space="preserve">The pores within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cs="Arial"/>
          <w:sz w:val="36"/>
          <w:szCs w:val="36"/>
        </w:rPr>
        <w:t xml:space="preserve"> </w:t>
      </w:r>
      <w:r>
        <w:rPr>
          <w:rFonts w:ascii="Times" w:hAnsi="Times"/>
        </w:rPr>
        <w:t>are widely distributed b</w:t>
      </w:r>
      <w:r w:rsidR="00C33D50">
        <w:rPr>
          <w:rFonts w:ascii="Times" w:hAnsi="Times"/>
        </w:rPr>
        <w:t>etween 0.1</w:t>
      </w:r>
      <w:r w:rsidR="004C1912">
        <w:rPr>
          <w:rFonts w:ascii="Times" w:hAnsi="Times"/>
        </w:rPr>
        <w:t xml:space="preserve"> </w:t>
      </w:r>
      <w:r w:rsidR="00C33D50">
        <w:rPr>
          <w:rFonts w:ascii="Times" w:hAnsi="Times"/>
        </w:rPr>
        <w:t>µm and 0.01</w:t>
      </w:r>
      <w:r w:rsidR="004C1912">
        <w:rPr>
          <w:rFonts w:ascii="Times" w:hAnsi="Times"/>
        </w:rPr>
        <w:t xml:space="preserve"> </w:t>
      </w:r>
      <w:r w:rsidR="00C33D50">
        <w:rPr>
          <w:rFonts w:ascii="Times" w:hAnsi="Times"/>
        </w:rPr>
        <w:t>µm, with the largest population being</w:t>
      </w:r>
      <w:r>
        <w:rPr>
          <w:rFonts w:ascii="Times" w:hAnsi="Times"/>
        </w:rPr>
        <w:t xml:space="preserve"> 0.01-0.05</w:t>
      </w:r>
      <w:r w:rsidR="00893D7E">
        <w:rPr>
          <w:rFonts w:ascii="Times" w:hAnsi="Times"/>
        </w:rPr>
        <w:t xml:space="preserve"> µm </w:t>
      </w:r>
      <w:r w:rsidR="007732C9">
        <w:rPr>
          <w:rFonts w:ascii="Times" w:hAnsi="Times"/>
        </w:rPr>
        <w:t>referred</w:t>
      </w:r>
      <w:r w:rsidR="00893D7E">
        <w:rPr>
          <w:rFonts w:ascii="Times" w:hAnsi="Times"/>
        </w:rPr>
        <w:t xml:space="preserve"> to</w:t>
      </w:r>
      <w:r w:rsidR="007E2570">
        <w:rPr>
          <w:rFonts w:ascii="Times" w:hAnsi="Times" w:cs="Times New Roman"/>
        </w:rPr>
        <w:t xml:space="preserve"> as gel </w:t>
      </w:r>
      <w:r w:rsidR="009E4090">
        <w:rPr>
          <w:rFonts w:ascii="Times" w:hAnsi="Times" w:cs="Times New Roman"/>
        </w:rPr>
        <w:t>meso</w:t>
      </w:r>
      <w:r w:rsidR="007E2570">
        <w:rPr>
          <w:rFonts w:ascii="Times" w:hAnsi="Times" w:cs="Times New Roman"/>
        </w:rPr>
        <w:t xml:space="preserve">pores </w:t>
      </w:r>
      <w:r w:rsidR="00893D7E">
        <w:rPr>
          <w:rFonts w:ascii="Times" w:hAnsi="Times" w:cs="Times New Roman"/>
        </w:rPr>
        <w:t>within the C-S-H gel</w:t>
      </w:r>
      <w:r w:rsidR="007732C9">
        <w:rPr>
          <w:rFonts w:ascii="Times" w:hAnsi="Times" w:cs="Times New Roman"/>
        </w:rPr>
        <w:t xml:space="preserve"> [18]</w:t>
      </w:r>
      <w:r w:rsidR="00893D7E">
        <w:rPr>
          <w:rFonts w:ascii="Times" w:hAnsi="Times"/>
        </w:rPr>
        <w:t>. The</w:t>
      </w:r>
      <w:r w:rsidR="009E4090">
        <w:rPr>
          <w:rFonts w:ascii="Times" w:hAnsi="Times"/>
        </w:rPr>
        <w:t xml:space="preserve"> </w:t>
      </w:r>
      <w:r w:rsidR="000044B1">
        <w:rPr>
          <w:rFonts w:ascii="Times" w:hAnsi="Times"/>
        </w:rPr>
        <w:t>coarser</w:t>
      </w:r>
      <w:r w:rsidR="00893D7E">
        <w:rPr>
          <w:rFonts w:ascii="Times" w:hAnsi="Times"/>
        </w:rPr>
        <w:t xml:space="preserve"> </w:t>
      </w:r>
      <w:r>
        <w:rPr>
          <w:rFonts w:ascii="Times" w:hAnsi="Times"/>
        </w:rPr>
        <w:t>pores at 0.</w:t>
      </w:r>
      <w:r w:rsidR="00D24BA0">
        <w:rPr>
          <w:rFonts w:ascii="Times" w:hAnsi="Times"/>
        </w:rPr>
        <w:t>4</w:t>
      </w:r>
      <w:r>
        <w:rPr>
          <w:rFonts w:ascii="Times" w:hAnsi="Times"/>
        </w:rPr>
        <w:t>-0.</w:t>
      </w:r>
      <w:r w:rsidR="00D24BA0">
        <w:rPr>
          <w:rFonts w:ascii="Times" w:hAnsi="Times"/>
        </w:rPr>
        <w:t>9</w:t>
      </w:r>
      <w:r w:rsidR="007732C9">
        <w:rPr>
          <w:rFonts w:ascii="Times" w:hAnsi="Times"/>
        </w:rPr>
        <w:t xml:space="preserve"> µm</w:t>
      </w:r>
      <w:r>
        <w:rPr>
          <w:rFonts w:ascii="Times" w:hAnsi="Times"/>
        </w:rPr>
        <w:t xml:space="preserve"> are </w:t>
      </w:r>
      <w:r w:rsidR="009E35B5">
        <w:rPr>
          <w:rFonts w:ascii="Times" w:hAnsi="Times"/>
        </w:rPr>
        <w:t>c</w:t>
      </w:r>
      <w:r w:rsidR="0027144B">
        <w:rPr>
          <w:rFonts w:ascii="Times" w:hAnsi="Times"/>
        </w:rPr>
        <w:t xml:space="preserve">apillary </w:t>
      </w:r>
      <w:r w:rsidR="009E35B5">
        <w:rPr>
          <w:rFonts w:ascii="Times" w:hAnsi="Times"/>
        </w:rPr>
        <w:t>macro</w:t>
      </w:r>
      <w:r w:rsidR="0027144B">
        <w:rPr>
          <w:rFonts w:ascii="Times" w:hAnsi="Times"/>
        </w:rPr>
        <w:t>pores</w:t>
      </w:r>
      <w:r>
        <w:rPr>
          <w:rFonts w:ascii="Times" w:hAnsi="Times"/>
        </w:rPr>
        <w:t xml:space="preserve"> </w:t>
      </w:r>
      <w:r w:rsidR="009E35B5">
        <w:rPr>
          <w:rFonts w:ascii="Times" w:hAnsi="Times"/>
        </w:rPr>
        <w:t xml:space="preserve"> </w:t>
      </w:r>
      <w:r w:rsidR="00E377C1">
        <w:rPr>
          <w:rFonts w:ascii="Times" w:hAnsi="Times"/>
        </w:rPr>
        <w:t>[17].</w:t>
      </w:r>
    </w:p>
    <w:p w14:paraId="5D48986B" w14:textId="1B4C26DF" w:rsidR="00777A0A" w:rsidRPr="00E335D3" w:rsidRDefault="00777A0A" w:rsidP="00777A0A">
      <w:pPr>
        <w:spacing w:line="480" w:lineRule="exact"/>
        <w:jc w:val="both"/>
        <w:rPr>
          <w:rFonts w:ascii="Times" w:hAnsi="Times" w:cs="Times New Roman"/>
        </w:rPr>
      </w:pPr>
      <w:r>
        <w:rPr>
          <w:rFonts w:ascii="Times" w:hAnsi="Times" w:cs="Times New Roman"/>
        </w:rPr>
        <w:t>The total porosity of</w:t>
      </w:r>
      <w:r w:rsidR="00DE27F0">
        <w:rPr>
          <w:rFonts w:ascii="Times" w:hAnsi="Times" w:cs="Times New Roman"/>
        </w:rPr>
        <w:t xml:space="preserve"> both samples was also compared</w:t>
      </w:r>
      <w:r w:rsidRPr="00E335D3">
        <w:rPr>
          <w:rFonts w:ascii="Times" w:hAnsi="Times" w:cs="Times New Roman"/>
        </w:rPr>
        <w:t>.</w:t>
      </w:r>
      <w:r w:rsidRPr="00E335D3">
        <w:rPr>
          <w:rFonts w:ascii="Times" w:hAnsi="Times" w:cs="Times New Roman"/>
          <w:b/>
        </w:rPr>
        <w:t xml:space="preserve"> </w:t>
      </w:r>
      <w:r w:rsidRPr="00E335D3">
        <w:rPr>
          <w:rFonts w:ascii="Times" w:hAnsi="Times" w:cs="Times New Roman"/>
        </w:rPr>
        <w:t>The to</w:t>
      </w:r>
      <w:r w:rsidR="00DE27F0">
        <w:rPr>
          <w:rFonts w:ascii="Times" w:hAnsi="Times" w:cs="Times New Roman"/>
        </w:rPr>
        <w:t>tal porosity was 0.</w:t>
      </w:r>
      <w:r w:rsidRPr="00E335D3">
        <w:rPr>
          <w:rFonts w:ascii="Times" w:hAnsi="Times" w:cs="Times New Roman"/>
        </w:rPr>
        <w:t xml:space="preserve">064 ml/g for the </w:t>
      </w:r>
      <w:r w:rsidRPr="00E335D3">
        <w:rPr>
          <w:rFonts w:ascii="Times" w:hAnsi="Times" w:cs="Times New Roman"/>
          <w:b/>
        </w:rPr>
        <w:t>0DB</w:t>
      </w:r>
      <w:r w:rsidRPr="00E335D3">
        <w:rPr>
          <w:rFonts w:ascii="Times" w:hAnsi="Times" w:cs="Times New Roman"/>
        </w:rPr>
        <w:t xml:space="preserve"> sample and 0.096 ml/g for the </w:t>
      </w:r>
      <w:r w:rsidR="00DE27F0">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Pr="00E335D3">
        <w:rPr>
          <w:rFonts w:ascii="Times" w:hAnsi="Times" w:cs="Times New Roman"/>
        </w:rPr>
        <w:t>.</w:t>
      </w:r>
      <w:r w:rsidRPr="00E335D3">
        <w:rPr>
          <w:rFonts w:ascii="Times" w:hAnsi="Times" w:cs="Arial"/>
        </w:rPr>
        <w:t xml:space="preserve"> </w:t>
      </w:r>
      <w:r w:rsidRPr="00E335D3">
        <w:rPr>
          <w:rFonts w:ascii="Times" w:hAnsi="Times"/>
        </w:rPr>
        <w:t xml:space="preserve">The porosity </w:t>
      </w:r>
      <w:r w:rsidR="00FE5A88">
        <w:rPr>
          <w:rFonts w:ascii="Times" w:hAnsi="Times"/>
        </w:rPr>
        <w:t xml:space="preserve">measurements account for pores down to </w:t>
      </w:r>
      <w:r w:rsidR="007732C9">
        <w:rPr>
          <w:rFonts w:ascii="Times" w:hAnsi="Times"/>
        </w:rPr>
        <w:t>only</w:t>
      </w:r>
      <w:r w:rsidR="00FE5A88">
        <w:rPr>
          <w:rFonts w:ascii="Times" w:hAnsi="Times"/>
        </w:rPr>
        <w:t xml:space="preserve"> </w:t>
      </w:r>
      <w:r w:rsidR="007732C9">
        <w:rPr>
          <w:rFonts w:ascii="Times" w:hAnsi="Times"/>
        </w:rPr>
        <w:t>~</w:t>
      </w:r>
      <w:r w:rsidR="00FE5A88">
        <w:rPr>
          <w:rFonts w:ascii="Times" w:hAnsi="Times"/>
        </w:rPr>
        <w:t xml:space="preserve">0.007µm, </w:t>
      </w:r>
      <w:r w:rsidR="007732C9">
        <w:rPr>
          <w:rFonts w:ascii="Times" w:hAnsi="Times"/>
        </w:rPr>
        <w:t xml:space="preserve">which is </w:t>
      </w:r>
      <w:r w:rsidRPr="00E335D3">
        <w:rPr>
          <w:rFonts w:ascii="Times" w:hAnsi="Times"/>
        </w:rPr>
        <w:t xml:space="preserve">due to the </w:t>
      </w:r>
      <w:r w:rsidRPr="00E335D3">
        <w:t>maximum pressure set for the measurement</w:t>
      </w:r>
      <w:r w:rsidR="00FE5A88">
        <w:rPr>
          <w:rFonts w:ascii="Times" w:hAnsi="Times"/>
        </w:rPr>
        <w:t>.</w:t>
      </w:r>
    </w:p>
    <w:p w14:paraId="450C1BFC" w14:textId="50867BAD" w:rsidR="00777A0A" w:rsidRPr="008F42F8" w:rsidRDefault="00777A0A" w:rsidP="00777A0A">
      <w:pPr>
        <w:spacing w:before="240" w:after="120" w:line="360" w:lineRule="auto"/>
        <w:jc w:val="both"/>
        <w:rPr>
          <w:rFonts w:ascii="Times" w:hAnsi="Times"/>
        </w:rPr>
      </w:pPr>
      <w:r>
        <w:rPr>
          <w:rFonts w:ascii="Times" w:hAnsi="Times"/>
        </w:rPr>
        <w:t xml:space="preserve">Figure 4.5 shows the cumulative pore volume data for </w:t>
      </w:r>
      <w:r w:rsidRPr="007A0CE7">
        <w:rPr>
          <w:rFonts w:ascii="Times" w:hAnsi="Times"/>
          <w:b/>
        </w:rPr>
        <w:t>0DB</w:t>
      </w:r>
      <w:r>
        <w:rPr>
          <w:rFonts w:ascii="Times" w:hAnsi="Times"/>
        </w:rPr>
        <w:t xml:space="preserve"> on first intrusion and extrusion (In 1 and Ex 1). The figure also</w:t>
      </w:r>
      <w:r w:rsidR="00FE5A88">
        <w:rPr>
          <w:rFonts w:ascii="Times" w:hAnsi="Times"/>
        </w:rPr>
        <w:t xml:space="preserve"> shows</w:t>
      </w:r>
      <w:r w:rsidR="00760DDE">
        <w:rPr>
          <w:rFonts w:ascii="Times" w:hAnsi="Times"/>
        </w:rPr>
        <w:t xml:space="preserve"> the</w:t>
      </w:r>
      <w:r>
        <w:rPr>
          <w:rFonts w:ascii="Times" w:hAnsi="Times"/>
        </w:rPr>
        <w:t xml:space="preserve"> second intrusion and extrusion successively performed after the first ones (In 2 and Ex 2).</w:t>
      </w:r>
      <w:r w:rsidRPr="00BC08E7">
        <w:rPr>
          <w:rFonts w:ascii="Times" w:hAnsi="Times"/>
        </w:rPr>
        <w:t xml:space="preserve"> </w:t>
      </w:r>
      <w:r>
        <w:rPr>
          <w:rFonts w:ascii="Times" w:hAnsi="Times"/>
        </w:rPr>
        <w:t>A significant amount of mercury appears to be rema</w:t>
      </w:r>
      <w:r w:rsidR="007E2570">
        <w:rPr>
          <w:rFonts w:ascii="Times" w:hAnsi="Times"/>
        </w:rPr>
        <w:t xml:space="preserve">ining in the inkbottle pores </w:t>
      </w:r>
      <w:r>
        <w:rPr>
          <w:rFonts w:ascii="Times" w:hAnsi="Times"/>
        </w:rPr>
        <w:t>after the first extrusion</w:t>
      </w:r>
      <w:r w:rsidR="00961F73">
        <w:rPr>
          <w:rFonts w:ascii="Times" w:hAnsi="Times"/>
        </w:rPr>
        <w:t xml:space="preserve"> [19]</w:t>
      </w:r>
      <w:r>
        <w:rPr>
          <w:rFonts w:ascii="Times" w:hAnsi="Times"/>
        </w:rPr>
        <w:t>. Inkbottle po</w:t>
      </w:r>
      <w:r w:rsidR="00F9532C">
        <w:rPr>
          <w:rFonts w:ascii="Times" w:hAnsi="Times"/>
        </w:rPr>
        <w:t xml:space="preserve">res are capillary pores consisting </w:t>
      </w:r>
      <w:r>
        <w:rPr>
          <w:rFonts w:ascii="Times" w:hAnsi="Times"/>
        </w:rPr>
        <w:t>of a larger ‘head’ pore connected to the surface by a much smaller ‘n</w:t>
      </w:r>
      <w:r w:rsidR="007E2570">
        <w:rPr>
          <w:rFonts w:ascii="Times" w:hAnsi="Times"/>
        </w:rPr>
        <w:t>eck’ pore as shown in Fig 4.6 [19, 20</w:t>
      </w:r>
      <w:r>
        <w:rPr>
          <w:rFonts w:ascii="Times" w:hAnsi="Times"/>
        </w:rPr>
        <w:t xml:space="preserve">]. Since the </w:t>
      </w:r>
      <w:proofErr w:type="gramStart"/>
      <w:r>
        <w:rPr>
          <w:rFonts w:ascii="Times" w:hAnsi="Times"/>
        </w:rPr>
        <w:t>ink bottle</w:t>
      </w:r>
      <w:proofErr w:type="gramEnd"/>
      <w:r>
        <w:rPr>
          <w:rFonts w:ascii="Times" w:hAnsi="Times"/>
        </w:rPr>
        <w:t xml:space="preserve"> pores are already filled, no additional mercury is entrapped after the second intrusion and extrusion. </w:t>
      </w:r>
    </w:p>
    <w:p w14:paraId="4A84EBEA" w14:textId="4F5271AD" w:rsidR="00777A0A" w:rsidRPr="00960599" w:rsidRDefault="00874189" w:rsidP="00960599">
      <w:pPr>
        <w:spacing w:before="240" w:after="120"/>
        <w:jc w:val="center"/>
        <w:rPr>
          <w:rFonts w:ascii="Times New Roman" w:hAnsi="Times New Roman" w:cs="Times New Roman"/>
        </w:rPr>
      </w:pPr>
      <w:r>
        <w:rPr>
          <w:noProof/>
        </w:rPr>
        <w:drawing>
          <wp:inline distT="0" distB="0" distL="0" distR="0" wp14:anchorId="6E2576DB" wp14:editId="55F09108">
            <wp:extent cx="3550519" cy="2266749"/>
            <wp:effectExtent l="0" t="0" r="5715" b="0"/>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00960599">
        <w:rPr>
          <w:rFonts w:ascii="Times New Roman" w:hAnsi="Times New Roman" w:cs="Times New Roman"/>
        </w:rPr>
        <w:br/>
      </w:r>
      <w:r w:rsidR="00777A0A">
        <w:rPr>
          <w:rFonts w:ascii="Times" w:hAnsi="Times" w:cs="Times New Roman"/>
          <w:b/>
        </w:rPr>
        <w:t>Figure 4.5</w:t>
      </w:r>
      <w:r w:rsidR="00777A0A" w:rsidRPr="00E908AE">
        <w:rPr>
          <w:rFonts w:ascii="Times" w:hAnsi="Times" w:cs="Times New Roman"/>
          <w:b/>
        </w:rPr>
        <w:t>:</w:t>
      </w:r>
      <w:r w:rsidR="00777A0A" w:rsidRPr="00E908AE">
        <w:rPr>
          <w:rFonts w:ascii="Times" w:hAnsi="Times" w:cs="Times New Roman"/>
        </w:rPr>
        <w:t xml:space="preserve"> Cumulative pore volum</w:t>
      </w:r>
      <w:r w:rsidR="00777A0A">
        <w:rPr>
          <w:rFonts w:ascii="Times" w:hAnsi="Times" w:cs="Times New Roman"/>
        </w:rPr>
        <w:t xml:space="preserve">e </w:t>
      </w:r>
      <w:r w:rsidR="000D4AEA">
        <w:rPr>
          <w:rFonts w:ascii="Times" w:hAnsi="Times" w:cs="Times New Roman"/>
        </w:rPr>
        <w:t>compared with</w:t>
      </w:r>
      <w:r w:rsidR="00777A0A">
        <w:rPr>
          <w:rFonts w:ascii="Times" w:hAnsi="Times" w:cs="Times New Roman"/>
        </w:rPr>
        <w:t xml:space="preserve"> pore diameters for </w:t>
      </w:r>
      <w:r w:rsidR="00777A0A">
        <w:rPr>
          <w:rFonts w:ascii="Times" w:hAnsi="Times" w:cs="Times New Roman"/>
          <w:b/>
        </w:rPr>
        <w:t>0DB</w:t>
      </w:r>
      <w:r w:rsidR="00777A0A">
        <w:rPr>
          <w:rFonts w:ascii="Times" w:hAnsi="Times" w:cs="Times New Roman"/>
        </w:rPr>
        <w:t xml:space="preserve">. </w:t>
      </w:r>
    </w:p>
    <w:p w14:paraId="685B44C0" w14:textId="77777777" w:rsidR="00777A0A" w:rsidRPr="00EE2053" w:rsidRDefault="00777A0A" w:rsidP="00777A0A">
      <w:pPr>
        <w:jc w:val="center"/>
        <w:outlineLvl w:val="0"/>
        <w:rPr>
          <w:rFonts w:ascii="Times" w:hAnsi="Times" w:cs="Times New Roman"/>
        </w:rPr>
      </w:pPr>
    </w:p>
    <w:p w14:paraId="1069644D" w14:textId="77777777" w:rsidR="00777A0A" w:rsidRDefault="00777A0A" w:rsidP="00777A0A">
      <w:pPr>
        <w:spacing w:before="240" w:after="120"/>
        <w:jc w:val="center"/>
        <w:rPr>
          <w:rFonts w:ascii="Times" w:hAnsi="Times" w:cs="Times New Roman"/>
        </w:rPr>
      </w:pPr>
      <w:r w:rsidRPr="003E3A6E">
        <w:rPr>
          <w:rFonts w:ascii="Times" w:hAnsi="Times" w:cs="Times New Roman"/>
          <w:noProof/>
        </w:rPr>
        <w:lastRenderedPageBreak/>
        <w:drawing>
          <wp:inline distT="0" distB="0" distL="0" distR="0" wp14:anchorId="5312E859" wp14:editId="17687DB8">
            <wp:extent cx="3479087" cy="1963193"/>
            <wp:effectExtent l="0" t="0" r="1270" b="0"/>
            <wp:docPr id="22" name="Picture 2" descr="SSD:Users:WG:Desktop:Screen Shot 2014-01-26 at 12.2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D:Users:WG:Desktop:Screen Shot 2014-01-26 at 12.28.1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81018" cy="1964282"/>
                    </a:xfrm>
                    <a:prstGeom prst="rect">
                      <a:avLst/>
                    </a:prstGeom>
                    <a:noFill/>
                    <a:ln>
                      <a:noFill/>
                    </a:ln>
                  </pic:spPr>
                </pic:pic>
              </a:graphicData>
            </a:graphic>
          </wp:inline>
        </w:drawing>
      </w:r>
    </w:p>
    <w:p w14:paraId="36399CB0" w14:textId="56EE2B09" w:rsidR="00777A0A" w:rsidRDefault="00777A0A" w:rsidP="00777A0A">
      <w:pPr>
        <w:spacing w:before="240" w:after="120"/>
        <w:jc w:val="center"/>
        <w:rPr>
          <w:rFonts w:ascii="Times" w:hAnsi="Times" w:cs="Times New Roman"/>
        </w:rPr>
      </w:pPr>
      <w:r>
        <w:rPr>
          <w:rFonts w:ascii="Times" w:hAnsi="Times" w:cs="Times New Roman"/>
          <w:b/>
        </w:rPr>
        <w:t>Figure 4.6:</w:t>
      </w:r>
      <w:r>
        <w:rPr>
          <w:rFonts w:ascii="Times" w:hAnsi="Times" w:cs="Times New Roman"/>
          <w:b/>
        </w:rPr>
        <w:tab/>
      </w:r>
      <w:r>
        <w:rPr>
          <w:rFonts w:ascii="Times" w:hAnsi="Times" w:cs="Times New Roman"/>
        </w:rPr>
        <w:t xml:space="preserve">Change of capillary </w:t>
      </w:r>
      <w:r w:rsidR="007E2570">
        <w:rPr>
          <w:rFonts w:ascii="Times" w:hAnsi="Times" w:cs="Times New Roman"/>
        </w:rPr>
        <w:t>pore into the inkbottle pore [19</w:t>
      </w:r>
      <w:r>
        <w:rPr>
          <w:rFonts w:ascii="Times" w:hAnsi="Times" w:cs="Times New Roman"/>
        </w:rPr>
        <w:t>]</w:t>
      </w:r>
    </w:p>
    <w:p w14:paraId="5B3CE70D" w14:textId="77777777" w:rsidR="00777A0A" w:rsidRDefault="00777A0A" w:rsidP="00777A0A">
      <w:pPr>
        <w:spacing w:before="240" w:after="120" w:line="360" w:lineRule="auto"/>
        <w:jc w:val="both"/>
        <w:rPr>
          <w:rFonts w:ascii="Times New Roman" w:hAnsi="Times New Roman" w:cs="Times New Roman"/>
        </w:rPr>
      </w:pPr>
    </w:p>
    <w:p w14:paraId="4A78B2C4" w14:textId="09A48AE1" w:rsidR="00777A0A" w:rsidRDefault="00777A0A" w:rsidP="00777A0A">
      <w:pPr>
        <w:spacing w:before="240" w:after="120" w:line="360" w:lineRule="auto"/>
        <w:jc w:val="both"/>
        <w:rPr>
          <w:rFonts w:ascii="Times New Roman" w:hAnsi="Times New Roman"/>
        </w:rPr>
      </w:pPr>
      <w:r>
        <w:rPr>
          <w:rFonts w:ascii="Times New Roman" w:hAnsi="Times New Roman"/>
        </w:rPr>
        <w:t>Based on the difference between the cumulative porosity volume</w:t>
      </w:r>
      <w:r w:rsidRPr="00EE2053">
        <w:rPr>
          <w:rFonts w:ascii="Times" w:hAnsi="Times"/>
        </w:rPr>
        <w:t xml:space="preserve"> </w:t>
      </w:r>
      <w:r>
        <w:rPr>
          <w:rFonts w:ascii="Times New Roman" w:hAnsi="Times New Roman"/>
        </w:rPr>
        <w:t xml:space="preserve">in the first intrusion </w:t>
      </w:r>
      <w:r w:rsidR="003154EE">
        <w:rPr>
          <w:rFonts w:ascii="Times" w:hAnsi="Times"/>
        </w:rPr>
        <w:t>(0.064</w:t>
      </w:r>
      <w:r>
        <w:rPr>
          <w:rFonts w:ascii="Times" w:hAnsi="Times"/>
        </w:rPr>
        <w:t xml:space="preserve"> ml/</w:t>
      </w:r>
      <w:proofErr w:type="gramStart"/>
      <w:r>
        <w:rPr>
          <w:rFonts w:ascii="Times" w:hAnsi="Times"/>
        </w:rPr>
        <w:t>g</w:t>
      </w:r>
      <w:r>
        <w:rPr>
          <w:rFonts w:ascii="Times New Roman" w:hAnsi="Times New Roman"/>
        </w:rPr>
        <w:t xml:space="preserve"> )</w:t>
      </w:r>
      <w:proofErr w:type="gramEnd"/>
      <w:r>
        <w:rPr>
          <w:rFonts w:ascii="Times New Roman" w:hAnsi="Times New Roman"/>
        </w:rPr>
        <w:t xml:space="preserve"> and that </w:t>
      </w:r>
      <w:r w:rsidR="003154EE">
        <w:rPr>
          <w:rFonts w:ascii="Times New Roman" w:hAnsi="Times New Roman"/>
        </w:rPr>
        <w:t>in the second intrusion (0.0284</w:t>
      </w:r>
      <w:r>
        <w:rPr>
          <w:rFonts w:ascii="Times New Roman" w:hAnsi="Times New Roman"/>
        </w:rPr>
        <w:t>ml/g), the inkbottle pores appea</w:t>
      </w:r>
      <w:r w:rsidR="007A7FB4">
        <w:rPr>
          <w:rFonts w:ascii="Times New Roman" w:hAnsi="Times New Roman"/>
        </w:rPr>
        <w:t>r</w:t>
      </w:r>
      <w:r>
        <w:rPr>
          <w:rFonts w:ascii="Times New Roman" w:hAnsi="Times New Roman"/>
        </w:rPr>
        <w:t xml:space="preserve"> to be </w:t>
      </w:r>
      <w:r w:rsidR="003154EE">
        <w:rPr>
          <w:rFonts w:ascii="Times New Roman" w:hAnsi="Times New Roman"/>
        </w:rPr>
        <w:t>responsible for approximately 44</w:t>
      </w:r>
      <w:r>
        <w:rPr>
          <w:rFonts w:ascii="Times New Roman" w:hAnsi="Times New Roman"/>
        </w:rPr>
        <w:t xml:space="preserve"> % of the total porosity. </w:t>
      </w:r>
    </w:p>
    <w:p w14:paraId="20F783F0" w14:textId="745A1738" w:rsidR="00777A0A" w:rsidRDefault="00777A0A" w:rsidP="00777A0A">
      <w:pPr>
        <w:spacing w:before="240" w:after="120" w:line="360" w:lineRule="auto"/>
        <w:jc w:val="both"/>
        <w:rPr>
          <w:rFonts w:ascii="Times New Roman" w:hAnsi="Times New Roman"/>
        </w:rPr>
      </w:pPr>
      <w:r>
        <w:rPr>
          <w:rFonts w:ascii="Times New Roman" w:hAnsi="Times New Roman"/>
        </w:rPr>
        <w:t>There is a difference in pore diameter distribution between the In2 and Ex2, which is referred to</w:t>
      </w:r>
      <w:r w:rsidR="007E2570">
        <w:rPr>
          <w:rFonts w:ascii="Times New Roman" w:hAnsi="Times New Roman"/>
        </w:rPr>
        <w:t xml:space="preserve"> as contact angle hysteresis [21</w:t>
      </w:r>
      <w:r>
        <w:rPr>
          <w:rFonts w:ascii="Times New Roman" w:hAnsi="Times New Roman"/>
        </w:rPr>
        <w:t>]. This is based on the difference in contact angle depending on whether the m</w:t>
      </w:r>
      <w:r w:rsidR="00EF7C91">
        <w:rPr>
          <w:rFonts w:ascii="Times New Roman" w:hAnsi="Times New Roman"/>
        </w:rPr>
        <w:t>ercury meniscus is advancing (during</w:t>
      </w:r>
      <w:r>
        <w:rPr>
          <w:rFonts w:ascii="Times New Roman" w:hAnsi="Times New Roman"/>
        </w:rPr>
        <w:t xml:space="preserve"> intrusion) or receding (in extrusion), wherein the intrusion contact angle is larger than the extrusion contact angle. The obtained data was corrected, applying a contact angle shift of 100</w:t>
      </w:r>
      <w:r>
        <w:rPr>
          <w:rFonts w:ascii="Times New Roman" w:hAnsi="Times New Roman"/>
          <w:vertAlign w:val="superscript"/>
        </w:rPr>
        <w:t>o</w:t>
      </w:r>
      <w:r>
        <w:rPr>
          <w:rFonts w:ascii="Times New Roman" w:hAnsi="Times New Roman"/>
        </w:rPr>
        <w:t xml:space="preserve"> [</w:t>
      </w:r>
      <w:r w:rsidR="007E2570">
        <w:rPr>
          <w:rFonts w:ascii="Times New Roman" w:hAnsi="Times New Roman"/>
        </w:rPr>
        <w:t>22,23</w:t>
      </w:r>
      <w:r>
        <w:rPr>
          <w:rFonts w:ascii="Times New Roman" w:hAnsi="Times New Roman"/>
        </w:rPr>
        <w:t>] for the extrusion diameter to the original contact angle of 130</w:t>
      </w:r>
      <w:r>
        <w:rPr>
          <w:rFonts w:ascii="Times New Roman" w:hAnsi="Times New Roman"/>
          <w:vertAlign w:val="superscript"/>
        </w:rPr>
        <w:t>o</w:t>
      </w:r>
      <w:r>
        <w:rPr>
          <w:rFonts w:ascii="Times New Roman" w:hAnsi="Times New Roman"/>
        </w:rPr>
        <w:t xml:space="preserve"> </w:t>
      </w:r>
      <w:r w:rsidR="00E12930">
        <w:rPr>
          <w:rFonts w:ascii="Times New Roman" w:hAnsi="Times New Roman"/>
        </w:rPr>
        <w:t>[</w:t>
      </w:r>
      <w:r w:rsidR="00A3177D">
        <w:rPr>
          <w:rFonts w:ascii="Times New Roman" w:hAnsi="Times New Roman"/>
        </w:rPr>
        <w:t>24</w:t>
      </w:r>
      <w:r w:rsidR="00346021">
        <w:rPr>
          <w:rFonts w:ascii="Times New Roman" w:hAnsi="Times New Roman"/>
        </w:rPr>
        <w:t xml:space="preserve">] </w:t>
      </w:r>
      <w:r>
        <w:rPr>
          <w:rFonts w:ascii="Times New Roman" w:hAnsi="Times New Roman"/>
        </w:rPr>
        <w:t>for intrusion, which corresponds to the correction of the pore diameter by a factor of 3.75. The corrected data shown in Figure 4.7 is now in stronger agreement.</w:t>
      </w:r>
    </w:p>
    <w:p w14:paraId="528D446F" w14:textId="69656F5E" w:rsidR="00777A0A" w:rsidRDefault="005E054B" w:rsidP="00777A0A">
      <w:pPr>
        <w:jc w:val="center"/>
        <w:rPr>
          <w:rFonts w:ascii="Times New Roman" w:hAnsi="Times New Roman" w:cs="Times New Roman"/>
        </w:rPr>
      </w:pPr>
      <w:r>
        <w:rPr>
          <w:noProof/>
        </w:rPr>
        <w:drawing>
          <wp:inline distT="0" distB="0" distL="0" distR="0" wp14:anchorId="736E618E" wp14:editId="1B1BC16A">
            <wp:extent cx="3434137" cy="2286635"/>
            <wp:effectExtent l="0" t="0" r="0" b="0"/>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08743A6" w14:textId="2F866491" w:rsidR="00777A0A" w:rsidRPr="005D09D8" w:rsidRDefault="00777A0A" w:rsidP="00777A0A">
      <w:pPr>
        <w:jc w:val="center"/>
        <w:outlineLvl w:val="0"/>
        <w:rPr>
          <w:rFonts w:ascii="Times" w:hAnsi="Times" w:cs="Times New Roman"/>
        </w:rPr>
      </w:pPr>
      <w:r>
        <w:rPr>
          <w:rFonts w:ascii="Times" w:hAnsi="Times" w:cs="Times New Roman"/>
          <w:b/>
        </w:rPr>
        <w:t>Figure 4.7</w:t>
      </w:r>
      <w:r w:rsidRPr="00E908AE">
        <w:rPr>
          <w:rFonts w:ascii="Times" w:hAnsi="Times" w:cs="Times New Roman"/>
          <w:b/>
        </w:rPr>
        <w:t>:</w:t>
      </w:r>
      <w:r w:rsidRPr="00E908AE">
        <w:rPr>
          <w:rFonts w:ascii="Times" w:hAnsi="Times" w:cs="Times New Roman"/>
        </w:rPr>
        <w:t xml:space="preserve"> Cumulative pore volum</w:t>
      </w:r>
      <w:r>
        <w:rPr>
          <w:rFonts w:ascii="Times" w:hAnsi="Times" w:cs="Times New Roman"/>
        </w:rPr>
        <w:t xml:space="preserve">e </w:t>
      </w:r>
      <w:r w:rsidR="000D4AEA">
        <w:rPr>
          <w:rFonts w:ascii="Times" w:hAnsi="Times" w:cs="Times New Roman"/>
        </w:rPr>
        <w:t>compared with</w:t>
      </w:r>
      <w:r>
        <w:rPr>
          <w:rFonts w:ascii="Times" w:hAnsi="Times" w:cs="Times New Roman"/>
        </w:rPr>
        <w:t xml:space="preserve"> pore diameters for </w:t>
      </w:r>
      <w:r>
        <w:rPr>
          <w:rFonts w:ascii="Times" w:hAnsi="Times" w:cs="Times New Roman"/>
          <w:b/>
        </w:rPr>
        <w:t xml:space="preserve">0DB </w:t>
      </w:r>
      <w:r w:rsidRPr="0047349E">
        <w:rPr>
          <w:rFonts w:ascii="Times" w:hAnsi="Times" w:cs="Times New Roman"/>
        </w:rPr>
        <w:t>(correct</w:t>
      </w:r>
      <w:r w:rsidR="00AC6C17">
        <w:rPr>
          <w:rFonts w:ascii="Times" w:hAnsi="Times" w:cs="Times New Roman"/>
        </w:rPr>
        <w:t>ed</w:t>
      </w:r>
      <w:r w:rsidRPr="0047349E">
        <w:rPr>
          <w:rFonts w:ascii="Times" w:hAnsi="Times" w:cs="Times New Roman"/>
        </w:rPr>
        <w:t xml:space="preserve"> 2</w:t>
      </w:r>
      <w:r w:rsidRPr="0047349E">
        <w:rPr>
          <w:rFonts w:ascii="Times" w:hAnsi="Times" w:cs="Times New Roman"/>
          <w:vertAlign w:val="superscript"/>
        </w:rPr>
        <w:t>nd</w:t>
      </w:r>
      <w:r w:rsidR="00310DD6">
        <w:rPr>
          <w:rFonts w:ascii="Times" w:hAnsi="Times" w:cs="Times New Roman"/>
        </w:rPr>
        <w:t xml:space="preserve"> extrusion)</w:t>
      </w:r>
    </w:p>
    <w:p w14:paraId="303AEB4E" w14:textId="0F72B6AF" w:rsidR="00777A0A" w:rsidRDefault="00777A0A" w:rsidP="00961F73">
      <w:pPr>
        <w:spacing w:before="240" w:after="120" w:line="480" w:lineRule="exact"/>
        <w:jc w:val="both"/>
        <w:rPr>
          <w:rFonts w:ascii="Times" w:hAnsi="Times"/>
        </w:rPr>
      </w:pPr>
      <w:r>
        <w:rPr>
          <w:rFonts w:ascii="Times New Roman" w:hAnsi="Times New Roman"/>
        </w:rPr>
        <w:lastRenderedPageBreak/>
        <w:t xml:space="preserve">The cumulative porosity volume in </w:t>
      </w:r>
      <w:r>
        <w:rPr>
          <w:rFonts w:cs="Arial"/>
          <w:b/>
        </w:rPr>
        <w:t>0D</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Pr>
          <w:rFonts w:ascii="Times" w:hAnsi="Times"/>
          <w:sz w:val="20"/>
          <w:szCs w:val="20"/>
        </w:rPr>
        <w:t xml:space="preserve"> </w:t>
      </w:r>
      <w:r w:rsidR="007A7FB4">
        <w:rPr>
          <w:rFonts w:ascii="Times New Roman" w:hAnsi="Times New Roman"/>
        </w:rPr>
        <w:t xml:space="preserve">is 0.096 </w:t>
      </w:r>
      <w:r>
        <w:rPr>
          <w:rFonts w:ascii="Times New Roman" w:hAnsi="Times New Roman"/>
        </w:rPr>
        <w:t>ml/g, of which approximately 75% appears to be inkbottle pores based on the first intrusion (In 1 and Ex 1) and second intrusion (In 2 and Ex 2) data shown in Figure 4.8</w:t>
      </w:r>
      <w:r w:rsidR="004E4485">
        <w:rPr>
          <w:rFonts w:ascii="Times New Roman" w:hAnsi="Times New Roman"/>
        </w:rPr>
        <w:t xml:space="preserve"> before the c</w:t>
      </w:r>
      <w:r w:rsidR="00E20C6A">
        <w:rPr>
          <w:rFonts w:ascii="Times New Roman" w:hAnsi="Times New Roman"/>
        </w:rPr>
        <w:t>o</w:t>
      </w:r>
      <w:r w:rsidR="004E4485">
        <w:rPr>
          <w:rFonts w:ascii="Times New Roman" w:hAnsi="Times New Roman"/>
        </w:rPr>
        <w:t>ntact angle correction</w:t>
      </w:r>
      <w:r>
        <w:rPr>
          <w:rFonts w:ascii="Times New Roman" w:hAnsi="Times New Roman"/>
        </w:rPr>
        <w:t>. The</w:t>
      </w:r>
      <w:r w:rsidR="00FE2083">
        <w:rPr>
          <w:rFonts w:ascii="Times New Roman" w:hAnsi="Times New Roman"/>
        </w:rPr>
        <w:t xml:space="preserve">refore the percentage of inkbottle pores in </w:t>
      </w:r>
      <w:r>
        <w:rPr>
          <w:rFonts w:cs="Arial"/>
          <w:b/>
        </w:rPr>
        <w:t>0D</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Pr>
          <w:rFonts w:ascii="Times" w:hAnsi="Times"/>
          <w:sz w:val="20"/>
          <w:szCs w:val="20"/>
        </w:rPr>
        <w:t xml:space="preserve"> </w:t>
      </w:r>
      <w:r w:rsidR="00FE2083">
        <w:rPr>
          <w:rFonts w:ascii="Times New Roman" w:hAnsi="Times New Roman"/>
        </w:rPr>
        <w:t>is higher</w:t>
      </w:r>
      <w:r>
        <w:rPr>
          <w:rFonts w:ascii="Times" w:hAnsi="Times"/>
        </w:rPr>
        <w:t xml:space="preserve"> than</w:t>
      </w:r>
      <w:r w:rsidR="00FE2083">
        <w:rPr>
          <w:rFonts w:ascii="Times" w:hAnsi="Times"/>
        </w:rPr>
        <w:t xml:space="preserve"> in</w:t>
      </w:r>
      <w:r>
        <w:rPr>
          <w:rFonts w:ascii="Times New Roman" w:hAnsi="Times New Roman"/>
        </w:rPr>
        <w:t xml:space="preserve"> </w:t>
      </w:r>
      <w:r>
        <w:rPr>
          <w:rFonts w:ascii="Times New Roman" w:hAnsi="Times New Roman"/>
          <w:b/>
        </w:rPr>
        <w:t>0DB</w:t>
      </w:r>
      <w:r>
        <w:rPr>
          <w:rFonts w:ascii="Times" w:hAnsi="Times"/>
        </w:rPr>
        <w:t xml:space="preserve">. </w:t>
      </w:r>
      <w:r w:rsidR="00CB17B5">
        <w:rPr>
          <w:rFonts w:ascii="Times" w:hAnsi="Times"/>
        </w:rPr>
        <w:t>Again, w</w:t>
      </w:r>
      <w:r>
        <w:rPr>
          <w:rFonts w:ascii="Times" w:hAnsi="Times"/>
        </w:rPr>
        <w:t>hen the</w:t>
      </w:r>
      <w:r w:rsidR="00CB17B5">
        <w:rPr>
          <w:rFonts w:ascii="Times" w:hAnsi="Times"/>
        </w:rPr>
        <w:t xml:space="preserve"> contact angle</w:t>
      </w:r>
      <w:r>
        <w:rPr>
          <w:rFonts w:ascii="Times" w:hAnsi="Times"/>
        </w:rPr>
        <w:t xml:space="preserve"> correction was implemented to </w:t>
      </w:r>
      <w:r w:rsidR="00CB17B5">
        <w:rPr>
          <w:rFonts w:ascii="Times" w:hAnsi="Times"/>
        </w:rPr>
        <w:t xml:space="preserve">the </w:t>
      </w:r>
      <w:r>
        <w:rPr>
          <w:rFonts w:ascii="Times" w:hAnsi="Times"/>
        </w:rPr>
        <w:t xml:space="preserve">Ex2 values, the In2 and Ex2 </w:t>
      </w:r>
      <w:r w:rsidR="00CB17B5">
        <w:rPr>
          <w:rFonts w:ascii="Times" w:hAnsi="Times"/>
        </w:rPr>
        <w:t>data were better matched</w:t>
      </w:r>
      <w:r>
        <w:rPr>
          <w:rFonts w:ascii="Times" w:hAnsi="Times"/>
        </w:rPr>
        <w:t xml:space="preserve">. </w:t>
      </w:r>
    </w:p>
    <w:p w14:paraId="4A917124" w14:textId="04BA2338" w:rsidR="00777A0A" w:rsidRPr="00190824" w:rsidRDefault="00777A0A" w:rsidP="00190824">
      <w:pPr>
        <w:spacing w:before="240" w:after="120"/>
        <w:jc w:val="center"/>
        <w:rPr>
          <w:rFonts w:ascii="Times New Roman" w:hAnsi="Times New Roman" w:cs="Times New Roman"/>
        </w:rPr>
      </w:pPr>
      <w:r>
        <w:rPr>
          <w:noProof/>
        </w:rPr>
        <w:drawing>
          <wp:inline distT="0" distB="0" distL="0" distR="0" wp14:anchorId="796D2376" wp14:editId="1B7BD0FC">
            <wp:extent cx="3480371" cy="2171700"/>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00190824">
        <w:rPr>
          <w:rFonts w:ascii="Times New Roman" w:hAnsi="Times New Roman" w:cs="Times New Roman"/>
        </w:rPr>
        <w:br/>
      </w:r>
      <w:r>
        <w:rPr>
          <w:rFonts w:ascii="Times" w:hAnsi="Times" w:cs="Times New Roman"/>
          <w:b/>
        </w:rPr>
        <w:t>Figure 4.8:</w:t>
      </w:r>
      <w:r>
        <w:rPr>
          <w:rFonts w:ascii="Times" w:hAnsi="Times" w:cs="Times New Roman"/>
        </w:rPr>
        <w:t xml:space="preserve"> Cumulative pore volume </w:t>
      </w:r>
      <w:r w:rsidR="000D4AEA">
        <w:rPr>
          <w:rFonts w:ascii="Times" w:hAnsi="Times" w:cs="Times New Roman"/>
        </w:rPr>
        <w:t>compared with</w:t>
      </w:r>
      <w:r>
        <w:rPr>
          <w:rFonts w:ascii="Times" w:hAnsi="Times" w:cs="Times New Roman"/>
        </w:rPr>
        <w:t xml:space="preserve"> pore diameters for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
    <w:p w14:paraId="604A578F" w14:textId="05F8BE00" w:rsidR="00777A0A" w:rsidRPr="00A3177D" w:rsidRDefault="00777A0A" w:rsidP="00F9532C">
      <w:pPr>
        <w:tabs>
          <w:tab w:val="left" w:pos="4989"/>
        </w:tabs>
        <w:spacing w:before="240" w:after="120" w:line="480" w:lineRule="exact"/>
        <w:jc w:val="both"/>
        <w:rPr>
          <w:rFonts w:ascii="Times" w:hAnsi="Times" w:cs="Times New Roman"/>
        </w:rPr>
      </w:pPr>
      <w:r>
        <w:rPr>
          <w:rFonts w:ascii="Times New Roman" w:hAnsi="Times New Roman"/>
        </w:rPr>
        <w:t>The incremental pore volume for the second intrusion in the</w:t>
      </w:r>
      <w:r w:rsidR="004F1469">
        <w:rPr>
          <w:rFonts w:ascii="Times New Roman" w:hAnsi="Times New Roman"/>
        </w:rPr>
        <w:t xml:space="preserve"> samples is </w:t>
      </w:r>
      <w:r>
        <w:rPr>
          <w:rFonts w:ascii="Times New Roman" w:hAnsi="Times New Roman"/>
        </w:rPr>
        <w:t>compared in figure 4.9. Both samples s</w:t>
      </w:r>
      <w:r w:rsidR="00942C97">
        <w:rPr>
          <w:rFonts w:ascii="Times New Roman" w:hAnsi="Times New Roman"/>
        </w:rPr>
        <w:t>h</w:t>
      </w:r>
      <w:r>
        <w:rPr>
          <w:rFonts w:ascii="Times New Roman" w:hAnsi="Times New Roman"/>
        </w:rPr>
        <w:t xml:space="preserve">ow a similar pore size distribution, ranging from 0.2 – 0.01 </w:t>
      </w:r>
      <w:r w:rsidR="00947B7A">
        <w:rPr>
          <w:rFonts w:ascii="Times" w:hAnsi="Times"/>
        </w:rPr>
        <w:t>µm. The</w:t>
      </w:r>
      <w:r>
        <w:rPr>
          <w:rFonts w:ascii="Times" w:hAnsi="Times"/>
        </w:rPr>
        <w:t xml:space="preserve"> </w:t>
      </w:r>
      <w:r w:rsidR="00947B7A" w:rsidRPr="00947B7A">
        <w:rPr>
          <w:rFonts w:ascii="Times" w:hAnsi="Times" w:cs="Arial"/>
          <w:b/>
          <w:bCs/>
          <w:color w:val="000000"/>
        </w:rPr>
        <w:t>0D</w:t>
      </w:r>
      <m:oMath>
        <m:acc>
          <m:accPr>
            <m:chr m:val="̅"/>
            <m:ctrlPr>
              <w:rPr>
                <w:rFonts w:ascii="Cambria Math" w:hAnsi="Cambria Math" w:cs="Arial"/>
                <w:b/>
                <w:i/>
                <w:sz w:val="36"/>
                <w:szCs w:val="36"/>
              </w:rPr>
            </m:ctrlPr>
          </m:accPr>
          <m:e>
            <m:r>
              <m:rPr>
                <m:sty m:val="p"/>
              </m:rPr>
              <w:rPr>
                <w:rFonts w:ascii="Cambria Math" w:hAnsi="Cambria Math" w:cs="Arial"/>
                <w:sz w:val="36"/>
                <w:szCs w:val="36"/>
              </w:rPr>
              <m:t>cs</m:t>
            </m:r>
          </m:e>
        </m:acc>
      </m:oMath>
      <w:r w:rsidR="00190824">
        <w:rPr>
          <w:rFonts w:ascii="Times" w:hAnsi="Times" w:cs="Arial"/>
          <w:bCs/>
          <w:color w:val="000000"/>
        </w:rPr>
        <w:t xml:space="preserve"> sample</w:t>
      </w:r>
      <w:r w:rsidR="00947B7A">
        <w:rPr>
          <w:rFonts w:ascii="Times" w:hAnsi="Times" w:cs="Arial"/>
          <w:bCs/>
          <w:color w:val="000000"/>
        </w:rPr>
        <w:t xml:space="preserve"> has less pores </w:t>
      </w:r>
      <w:r>
        <w:rPr>
          <w:rFonts w:ascii="Times" w:hAnsi="Times"/>
        </w:rPr>
        <w:t>0.01</w:t>
      </w:r>
      <w:r w:rsidRPr="00A97DBC">
        <w:rPr>
          <w:rFonts w:ascii="Times" w:hAnsi="Times"/>
        </w:rPr>
        <w:t xml:space="preserve"> </w:t>
      </w:r>
      <w:r>
        <w:rPr>
          <w:rFonts w:ascii="Times" w:hAnsi="Times"/>
        </w:rPr>
        <w:t>µm in diameter</w:t>
      </w:r>
      <w:r w:rsidR="00947B7A">
        <w:rPr>
          <w:rFonts w:ascii="Times" w:hAnsi="Times"/>
        </w:rPr>
        <w:t xml:space="preserve"> than the </w:t>
      </w:r>
      <w:r w:rsidR="00947B7A" w:rsidRPr="00947B7A">
        <w:rPr>
          <w:rFonts w:ascii="Times" w:hAnsi="Times"/>
          <w:b/>
        </w:rPr>
        <w:t>0DB</w:t>
      </w:r>
      <w:r>
        <w:rPr>
          <w:rFonts w:ascii="Times" w:hAnsi="Times"/>
        </w:rPr>
        <w:t>.</w:t>
      </w:r>
      <w:r w:rsidR="00942C97">
        <w:rPr>
          <w:rFonts w:ascii="Times" w:hAnsi="Times" w:cs="Times New Roman"/>
        </w:rPr>
        <w:t xml:space="preserve"> </w:t>
      </w:r>
    </w:p>
    <w:p w14:paraId="1F0E0482" w14:textId="12D5FF58" w:rsidR="00777A0A" w:rsidRDefault="00286F34" w:rsidP="00777A0A">
      <w:pPr>
        <w:widowControl w:val="0"/>
        <w:autoSpaceDE w:val="0"/>
        <w:autoSpaceDN w:val="0"/>
        <w:adjustRightInd w:val="0"/>
        <w:spacing w:before="240" w:after="120"/>
        <w:jc w:val="center"/>
        <w:rPr>
          <w:rFonts w:ascii="Times New Roman" w:hAnsi="Times New Roman" w:cs="Times New Roman"/>
          <w:sz w:val="26"/>
          <w:szCs w:val="26"/>
        </w:rPr>
      </w:pPr>
      <w:r>
        <w:rPr>
          <w:noProof/>
        </w:rPr>
        <w:drawing>
          <wp:inline distT="0" distB="0" distL="0" distR="0" wp14:anchorId="36B196C8" wp14:editId="34003D25">
            <wp:extent cx="3517900" cy="2540000"/>
            <wp:effectExtent l="0" t="0" r="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7CFB6DB" w14:textId="7B92B170" w:rsidR="00777A0A" w:rsidRDefault="00777A0A" w:rsidP="00777A0A">
      <w:pPr>
        <w:jc w:val="center"/>
        <w:outlineLvl w:val="0"/>
        <w:rPr>
          <w:rFonts w:cs="Arial"/>
          <w:sz w:val="36"/>
          <w:szCs w:val="36"/>
        </w:rPr>
      </w:pPr>
      <w:r>
        <w:rPr>
          <w:rFonts w:ascii="Times" w:hAnsi="Times" w:cs="Times New Roman"/>
          <w:b/>
        </w:rPr>
        <w:t>Figure 4.9:</w:t>
      </w:r>
      <w:r>
        <w:rPr>
          <w:rFonts w:ascii="Times" w:hAnsi="Times" w:cs="Times New Roman"/>
        </w:rPr>
        <w:t xml:space="preserve"> </w:t>
      </w:r>
      <w:r w:rsidRPr="00961F73">
        <w:rPr>
          <w:rFonts w:ascii="Times" w:hAnsi="Times" w:cs="Times New Roman"/>
        </w:rPr>
        <w:t xml:space="preserve">Volume of pores </w:t>
      </w:r>
      <w:r w:rsidR="000D4AEA" w:rsidRPr="00961F73">
        <w:rPr>
          <w:rFonts w:ascii="Times" w:hAnsi="Times" w:cs="Times New Roman"/>
        </w:rPr>
        <w:t>compared with</w:t>
      </w:r>
      <w:r w:rsidRPr="00961F73">
        <w:rPr>
          <w:rFonts w:ascii="Times" w:hAnsi="Times" w:cs="Times New Roman"/>
        </w:rPr>
        <w:t xml:space="preserve"> pore diameters for 2</w:t>
      </w:r>
      <w:r w:rsidRPr="00961F73">
        <w:rPr>
          <w:rFonts w:ascii="Times" w:hAnsi="Times" w:cs="Times New Roman"/>
          <w:vertAlign w:val="superscript"/>
        </w:rPr>
        <w:t>nd</w:t>
      </w:r>
      <w:r w:rsidRPr="00961F73">
        <w:rPr>
          <w:rFonts w:ascii="Times" w:hAnsi="Times" w:cs="Times New Roman"/>
        </w:rPr>
        <w:t xml:space="preserve"> intrusion for </w:t>
      </w:r>
      <w:r w:rsidRPr="00961F73">
        <w:rPr>
          <w:rFonts w:ascii="Times" w:hAnsi="Times" w:cs="Times New Roman"/>
          <w:b/>
        </w:rPr>
        <w:t xml:space="preserve">0DB </w:t>
      </w:r>
      <w:r w:rsidRPr="00961F73">
        <w:rPr>
          <w:rFonts w:ascii="Times" w:hAnsi="Times" w:cs="Times New Roman"/>
        </w:rPr>
        <w:t xml:space="preserve">and </w:t>
      </w:r>
      <w:r w:rsidRPr="00961F73">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Pr="00961F73">
        <w:rPr>
          <w:rFonts w:cs="Arial"/>
          <w:sz w:val="36"/>
          <w:szCs w:val="36"/>
        </w:rPr>
        <w:t xml:space="preserve"> </w:t>
      </w:r>
    </w:p>
    <w:p w14:paraId="76A6E245" w14:textId="77777777" w:rsidR="00777A0A" w:rsidRPr="009120BA" w:rsidRDefault="00777A0A" w:rsidP="00777A0A">
      <w:pPr>
        <w:spacing w:line="360" w:lineRule="auto"/>
        <w:jc w:val="center"/>
        <w:outlineLvl w:val="0"/>
        <w:rPr>
          <w:rFonts w:cs="Arial"/>
          <w:sz w:val="36"/>
          <w:szCs w:val="36"/>
        </w:rPr>
      </w:pPr>
    </w:p>
    <w:p w14:paraId="7B4374DD" w14:textId="77777777" w:rsidR="00777A0A" w:rsidRPr="00D37DE3" w:rsidRDefault="00777A0A" w:rsidP="00777A0A">
      <w:pPr>
        <w:spacing w:before="240" w:after="120" w:line="360" w:lineRule="auto"/>
        <w:rPr>
          <w:rFonts w:ascii="Times" w:hAnsi="Times" w:cs="Arial"/>
          <w:b/>
          <w:bCs/>
          <w:i/>
          <w:color w:val="000000"/>
        </w:rPr>
      </w:pPr>
      <w:r w:rsidRPr="00D37DE3">
        <w:rPr>
          <w:rFonts w:ascii="Times" w:hAnsi="Times" w:cs="Arial"/>
          <w:b/>
          <w:bCs/>
          <w:i/>
          <w:color w:val="000000"/>
        </w:rPr>
        <w:t>iv</w:t>
      </w:r>
      <w:r>
        <w:rPr>
          <w:rFonts w:ascii="Times" w:hAnsi="Times" w:cs="Arial"/>
          <w:b/>
          <w:bCs/>
          <w:i/>
          <w:color w:val="000000"/>
        </w:rPr>
        <w:t>.</w:t>
      </w:r>
      <w:r w:rsidRPr="00D37DE3">
        <w:rPr>
          <w:rFonts w:ascii="Times" w:hAnsi="Times" w:cs="Arial"/>
          <w:b/>
          <w:bCs/>
          <w:i/>
          <w:color w:val="000000"/>
        </w:rPr>
        <w:tab/>
        <w:t>Nuclear Magnetic Resonance Spectroscopy (NMR)</w:t>
      </w:r>
    </w:p>
    <w:p w14:paraId="3D0DBD77" w14:textId="637F9847" w:rsidR="008168D8" w:rsidRDefault="00777A0A" w:rsidP="00947B7A">
      <w:pPr>
        <w:spacing w:before="240" w:after="120" w:line="480" w:lineRule="exact"/>
        <w:jc w:val="both"/>
        <w:rPr>
          <w:rFonts w:ascii="Times" w:hAnsi="Times" w:cs="Arial"/>
          <w:bCs/>
          <w:color w:val="000000"/>
        </w:rPr>
      </w:pPr>
      <w:r>
        <w:rPr>
          <w:rFonts w:ascii="Times" w:hAnsi="Times" w:cs="Arial"/>
          <w:bCs/>
          <w:color w:val="000000"/>
        </w:rPr>
        <w:t xml:space="preserve">The </w:t>
      </w:r>
      <w:r w:rsidRPr="00947B7A">
        <w:rPr>
          <w:rFonts w:ascii="Times" w:hAnsi="Times" w:cs="Arial"/>
          <w:b/>
          <w:bCs/>
          <w:color w:val="000000"/>
        </w:rPr>
        <w:t>0DB</w:t>
      </w:r>
      <w:r>
        <w:rPr>
          <w:rFonts w:ascii="Times" w:hAnsi="Times" w:cs="Arial"/>
          <w:bCs/>
          <w:color w:val="000000"/>
        </w:rPr>
        <w:t xml:space="preserve"> and </w:t>
      </w:r>
      <w:r w:rsidRPr="00947B7A">
        <w:rPr>
          <w:rFonts w:ascii="Times" w:hAnsi="Times" w:cs="Arial"/>
          <w:b/>
          <w:bCs/>
          <w:color w:val="000000"/>
        </w:rPr>
        <w:t>0D</w:t>
      </w:r>
      <m:oMath>
        <m:acc>
          <m:accPr>
            <m:chr m:val="̅"/>
            <m:ctrlPr>
              <w:rPr>
                <w:rFonts w:ascii="Cambria Math" w:hAnsi="Cambria Math" w:cs="Arial"/>
                <w:b/>
                <w:i/>
                <w:sz w:val="36"/>
                <w:szCs w:val="36"/>
              </w:rPr>
            </m:ctrlPr>
          </m:accPr>
          <m:e>
            <m:r>
              <m:rPr>
                <m:sty m:val="p"/>
              </m:rPr>
              <w:rPr>
                <w:rFonts w:ascii="Cambria Math" w:hAnsi="Cambria Math" w:cs="Arial"/>
                <w:sz w:val="36"/>
                <w:szCs w:val="36"/>
              </w:rPr>
              <m:t>cs</m:t>
            </m:r>
          </m:e>
        </m:acc>
      </m:oMath>
      <w:r>
        <w:rPr>
          <w:rFonts w:ascii="Times" w:hAnsi="Times" w:cs="Arial"/>
          <w:bCs/>
          <w:color w:val="000000"/>
        </w:rPr>
        <w:t xml:space="preserve"> samples were analysed using NMR</w:t>
      </w:r>
      <w:r w:rsidR="00773F15">
        <w:rPr>
          <w:rFonts w:ascii="Times" w:hAnsi="Times" w:cs="Arial"/>
          <w:bCs/>
          <w:color w:val="000000"/>
        </w:rPr>
        <w:t xml:space="preserve"> spectroscopy</w:t>
      </w:r>
      <w:r>
        <w:rPr>
          <w:rFonts w:ascii="Times" w:hAnsi="Times" w:cs="Arial"/>
          <w:bCs/>
          <w:color w:val="000000"/>
        </w:rPr>
        <w:t xml:space="preserve"> at different curing times to monitor the phase evolution up to 720 days. Figure 4.10 shows the </w:t>
      </w:r>
      <w:r w:rsidRPr="00113F0C">
        <w:rPr>
          <w:rFonts w:ascii="Times" w:hAnsi="Times" w:cs="Arial"/>
          <w:bCs/>
          <w:color w:val="000000"/>
          <w:vertAlign w:val="superscript"/>
        </w:rPr>
        <w:t>29</w:t>
      </w:r>
      <w:r>
        <w:rPr>
          <w:rFonts w:ascii="Times" w:hAnsi="Times" w:cs="Arial"/>
          <w:bCs/>
          <w:color w:val="000000"/>
        </w:rPr>
        <w:t xml:space="preserve">Si MAS spectra for </w:t>
      </w:r>
      <w:r w:rsidRPr="00947B7A">
        <w:rPr>
          <w:rFonts w:ascii="Times" w:hAnsi="Times" w:cs="Arial"/>
          <w:b/>
          <w:bCs/>
          <w:color w:val="000000"/>
        </w:rPr>
        <w:t xml:space="preserve">0DB </w:t>
      </w:r>
      <w:r>
        <w:rPr>
          <w:rFonts w:ascii="Times" w:hAnsi="Times" w:cs="Arial"/>
          <w:bCs/>
          <w:color w:val="000000"/>
        </w:rPr>
        <w:t>samples cured at 28, 90 and 720 days</w:t>
      </w:r>
      <w:r w:rsidR="00BC133E">
        <w:rPr>
          <w:rFonts w:ascii="Times" w:hAnsi="Times" w:cs="Arial"/>
          <w:bCs/>
          <w:color w:val="000000"/>
        </w:rPr>
        <w:t xml:space="preserve"> and </w:t>
      </w:r>
      <w:r w:rsidR="00961F73">
        <w:rPr>
          <w:rFonts w:ascii="Times" w:hAnsi="Times" w:cs="Arial"/>
          <w:bCs/>
          <w:color w:val="000000"/>
        </w:rPr>
        <w:t>figure</w:t>
      </w:r>
      <w:r w:rsidR="00BC133E">
        <w:rPr>
          <w:rFonts w:ascii="Times" w:hAnsi="Times" w:cs="Arial"/>
          <w:bCs/>
          <w:color w:val="000000"/>
        </w:rPr>
        <w:t xml:space="preserve"> 4.11 shows </w:t>
      </w:r>
      <w:r w:rsidR="00773F15">
        <w:rPr>
          <w:rFonts w:ascii="Times" w:hAnsi="Times" w:cs="Arial"/>
          <w:bCs/>
          <w:color w:val="000000"/>
        </w:rPr>
        <w:t>the same for</w:t>
      </w:r>
      <w:r w:rsidR="00BC133E">
        <w:rPr>
          <w:rFonts w:ascii="Times" w:hAnsi="Times" w:cs="Arial"/>
          <w:bCs/>
          <w:color w:val="000000"/>
        </w:rPr>
        <w:t xml:space="preserve"> </w:t>
      </w:r>
      <w:r w:rsidR="00883FA7" w:rsidRPr="00947B7A">
        <w:rPr>
          <w:rFonts w:ascii="Times" w:hAnsi="Times" w:cs="Arial"/>
          <w:b/>
          <w:bCs/>
          <w:color w:val="000000"/>
        </w:rPr>
        <w:t>0D</w:t>
      </w:r>
      <m:oMath>
        <m:acc>
          <m:accPr>
            <m:chr m:val="̅"/>
            <m:ctrlPr>
              <w:rPr>
                <w:rFonts w:ascii="Cambria Math" w:hAnsi="Cambria Math" w:cs="Arial"/>
                <w:b/>
                <w:i/>
                <w:sz w:val="36"/>
                <w:szCs w:val="36"/>
              </w:rPr>
            </m:ctrlPr>
          </m:accPr>
          <m:e>
            <m:r>
              <m:rPr>
                <m:sty m:val="p"/>
              </m:rPr>
              <w:rPr>
                <w:rFonts w:ascii="Cambria Math" w:hAnsi="Cambria Math" w:cs="Arial"/>
                <w:sz w:val="36"/>
                <w:szCs w:val="36"/>
              </w:rPr>
              <m:t>cs</m:t>
            </m:r>
          </m:e>
        </m:acc>
      </m:oMath>
      <w:r w:rsidR="00773F15">
        <w:rPr>
          <w:rFonts w:ascii="Times" w:hAnsi="Times" w:cs="Arial"/>
          <w:bCs/>
          <w:color w:val="000000"/>
        </w:rPr>
        <w:t xml:space="preserve">, also including 360 days (The </w:t>
      </w:r>
      <w:r w:rsidR="00773F15" w:rsidRPr="00773F15">
        <w:rPr>
          <w:rFonts w:ascii="Times" w:hAnsi="Times" w:cs="Arial"/>
          <w:b/>
          <w:bCs/>
          <w:color w:val="000000"/>
        </w:rPr>
        <w:t>0DB</w:t>
      </w:r>
      <w:r w:rsidR="00773F15">
        <w:rPr>
          <w:rFonts w:ascii="Times" w:hAnsi="Times" w:cs="Arial"/>
          <w:bCs/>
          <w:color w:val="000000"/>
        </w:rPr>
        <w:t xml:space="preserve"> samples cured for 360 days were not available</w:t>
      </w:r>
      <w:r w:rsidR="001B3FB0">
        <w:rPr>
          <w:rFonts w:ascii="Times" w:hAnsi="Times" w:cs="Arial"/>
          <w:bCs/>
          <w:color w:val="000000"/>
        </w:rPr>
        <w:t xml:space="preserve">). </w:t>
      </w:r>
      <w:r>
        <w:rPr>
          <w:rFonts w:ascii="Times" w:hAnsi="Times" w:cs="Arial"/>
          <w:bCs/>
          <w:color w:val="000000"/>
        </w:rPr>
        <w:t xml:space="preserve">The spectrum for </w:t>
      </w:r>
      <w:r w:rsidR="00942C97">
        <w:rPr>
          <w:rFonts w:ascii="Times" w:hAnsi="Times" w:cs="Arial"/>
          <w:bCs/>
          <w:color w:val="000000"/>
        </w:rPr>
        <w:t>anhydrous</w:t>
      </w:r>
      <w:r>
        <w:rPr>
          <w:rFonts w:ascii="Times" w:hAnsi="Times" w:cs="Arial"/>
          <w:bCs/>
          <w:color w:val="000000"/>
        </w:rPr>
        <w:t xml:space="preserve"> BFS</w:t>
      </w:r>
      <w:proofErr w:type="gramStart"/>
      <w:r>
        <w:rPr>
          <w:rFonts w:ascii="Times" w:hAnsi="Times" w:cs="Arial"/>
          <w:bCs/>
          <w:color w:val="000000"/>
        </w:rPr>
        <w:t>:</w:t>
      </w:r>
      <w:r w:rsidR="00E85025">
        <w:rPr>
          <w:rFonts w:ascii="Times" w:hAnsi="Times" w:cs="Arial"/>
          <w:bCs/>
          <w:color w:val="000000"/>
        </w:rPr>
        <w:t>PC</w:t>
      </w:r>
      <w:proofErr w:type="gramEnd"/>
      <w:r>
        <w:rPr>
          <w:rFonts w:ascii="Times" w:hAnsi="Times" w:cs="Arial"/>
          <w:bCs/>
          <w:color w:val="000000"/>
        </w:rPr>
        <w:t xml:space="preserve"> mixed at 9:1 rat</w:t>
      </w:r>
      <w:r w:rsidR="00773F15">
        <w:rPr>
          <w:rFonts w:ascii="Times" w:hAnsi="Times" w:cs="Arial"/>
          <w:bCs/>
          <w:color w:val="000000"/>
        </w:rPr>
        <w:t>io is also shown as a reference</w:t>
      </w:r>
      <w:r w:rsidR="00DC75BA">
        <w:rPr>
          <w:rFonts w:ascii="Times" w:hAnsi="Times" w:cs="Arial"/>
          <w:bCs/>
          <w:color w:val="000000"/>
        </w:rPr>
        <w:t xml:space="preserve">. </w:t>
      </w:r>
      <w:r>
        <w:rPr>
          <w:rFonts w:ascii="Times" w:hAnsi="Times" w:cs="Arial"/>
          <w:bCs/>
          <w:color w:val="000000"/>
        </w:rPr>
        <w:t>These data</w:t>
      </w:r>
      <w:r w:rsidR="00773F15">
        <w:rPr>
          <w:rFonts w:ascii="Times" w:hAnsi="Times" w:cs="Arial"/>
          <w:bCs/>
          <w:color w:val="000000"/>
        </w:rPr>
        <w:t xml:space="preserve"> present information regarding the C-S-H gel formation</w:t>
      </w:r>
      <w:r>
        <w:rPr>
          <w:rFonts w:ascii="Times" w:hAnsi="Times" w:cs="Arial"/>
          <w:bCs/>
          <w:color w:val="000000"/>
        </w:rPr>
        <w:t xml:space="preserve"> present </w:t>
      </w:r>
      <w:r w:rsidR="00773F15">
        <w:rPr>
          <w:rFonts w:ascii="Times" w:hAnsi="Times" w:cs="Arial"/>
          <w:bCs/>
          <w:color w:val="000000"/>
        </w:rPr>
        <w:t xml:space="preserve">and </w:t>
      </w:r>
      <w:r>
        <w:rPr>
          <w:rFonts w:ascii="Times" w:hAnsi="Times" w:cs="Arial"/>
          <w:bCs/>
          <w:color w:val="000000"/>
        </w:rPr>
        <w:t>the local silicate tetrahedral environment referred to as Q</w:t>
      </w:r>
      <w:r>
        <w:rPr>
          <w:rFonts w:ascii="Times" w:hAnsi="Times" w:cs="Arial"/>
          <w:bCs/>
          <w:color w:val="000000"/>
          <w:vertAlign w:val="superscript"/>
        </w:rPr>
        <w:t>n</w:t>
      </w:r>
      <w:r>
        <w:rPr>
          <w:rFonts w:ascii="Times" w:hAnsi="Times" w:cs="Arial"/>
          <w:bCs/>
          <w:color w:val="000000"/>
        </w:rPr>
        <w:t>, where Q refers to the silicon tetrahedron bonded to four oxygen atoms (SiO</w:t>
      </w:r>
      <w:r>
        <w:rPr>
          <w:rFonts w:ascii="Times" w:hAnsi="Times" w:cs="Arial"/>
          <w:bCs/>
          <w:color w:val="000000"/>
          <w:vertAlign w:val="subscript"/>
        </w:rPr>
        <w:t>4</w:t>
      </w:r>
      <w:r w:rsidR="00F17A05">
        <w:rPr>
          <w:rFonts w:ascii="Times" w:hAnsi="Times" w:cs="Arial"/>
          <w:bCs/>
          <w:color w:val="000000"/>
        </w:rPr>
        <w:t>) and</w:t>
      </w:r>
      <w:r>
        <w:rPr>
          <w:rFonts w:ascii="Times" w:hAnsi="Times" w:cs="Arial"/>
          <w:bCs/>
          <w:color w:val="000000"/>
        </w:rPr>
        <w:t xml:space="preserve"> </w:t>
      </w:r>
      <w:r w:rsidR="00F17A05">
        <w:rPr>
          <w:rFonts w:ascii="Times" w:hAnsi="Times" w:cs="Arial"/>
          <w:bCs/>
          <w:color w:val="000000"/>
        </w:rPr>
        <w:t>‘</w:t>
      </w:r>
      <w:r>
        <w:rPr>
          <w:rFonts w:ascii="Times" w:hAnsi="Times" w:cs="Arial"/>
          <w:bCs/>
          <w:color w:val="000000"/>
        </w:rPr>
        <w:t>n</w:t>
      </w:r>
      <w:r w:rsidR="00F17A05">
        <w:rPr>
          <w:rFonts w:ascii="Times" w:hAnsi="Times" w:cs="Arial"/>
          <w:bCs/>
          <w:color w:val="000000"/>
        </w:rPr>
        <w:t>’</w:t>
      </w:r>
      <w:r>
        <w:rPr>
          <w:rFonts w:ascii="Times" w:hAnsi="Times" w:cs="Arial"/>
          <w:bCs/>
          <w:color w:val="000000"/>
        </w:rPr>
        <w:t xml:space="preserve"> refers to the number of other Q units the SiO</w:t>
      </w:r>
      <w:r>
        <w:rPr>
          <w:rFonts w:ascii="Times" w:hAnsi="Times" w:cs="Arial"/>
          <w:bCs/>
          <w:color w:val="000000"/>
          <w:vertAlign w:val="subscript"/>
        </w:rPr>
        <w:t>4</w:t>
      </w:r>
      <w:r>
        <w:rPr>
          <w:rFonts w:ascii="Times" w:hAnsi="Times" w:cs="Arial"/>
          <w:bCs/>
          <w:color w:val="000000"/>
        </w:rPr>
        <w:t xml:space="preserve"> is connected to. The </w:t>
      </w:r>
      <w:r w:rsidR="00883550">
        <w:rPr>
          <w:rFonts w:ascii="Times" w:hAnsi="Times" w:cs="Arial"/>
          <w:bCs/>
          <w:color w:val="000000"/>
        </w:rPr>
        <w:t>anhydrous</w:t>
      </w:r>
      <w:r>
        <w:rPr>
          <w:rFonts w:ascii="Times" w:hAnsi="Times" w:cs="Arial"/>
          <w:bCs/>
          <w:color w:val="000000"/>
        </w:rPr>
        <w:t xml:space="preserve"> BFS/</w:t>
      </w:r>
      <w:r w:rsidR="00E85025">
        <w:rPr>
          <w:rFonts w:ascii="Times" w:hAnsi="Times" w:cs="Arial"/>
          <w:bCs/>
          <w:color w:val="000000"/>
        </w:rPr>
        <w:t>PC</w:t>
      </w:r>
      <w:r>
        <w:rPr>
          <w:rFonts w:ascii="Times" w:hAnsi="Times" w:cs="Arial"/>
          <w:bCs/>
          <w:color w:val="000000"/>
        </w:rPr>
        <w:t xml:space="preserve"> </w:t>
      </w:r>
      <w:r w:rsidR="006C6686">
        <w:rPr>
          <w:rFonts w:ascii="Times" w:hAnsi="Times" w:cs="Arial"/>
          <w:bCs/>
          <w:color w:val="000000"/>
        </w:rPr>
        <w:t xml:space="preserve">in figure 4.10 </w:t>
      </w:r>
      <w:r>
        <w:rPr>
          <w:rFonts w:ascii="Times" w:hAnsi="Times" w:cs="Arial"/>
          <w:bCs/>
          <w:color w:val="000000"/>
        </w:rPr>
        <w:t xml:space="preserve">shows a large hump between -70 and -80 ppm </w:t>
      </w:r>
      <w:r w:rsidR="006C6686">
        <w:rPr>
          <w:rFonts w:ascii="Times" w:hAnsi="Times" w:cs="Arial"/>
          <w:bCs/>
          <w:color w:val="000000"/>
        </w:rPr>
        <w:t xml:space="preserve">(parts per million) </w:t>
      </w:r>
      <w:r>
        <w:rPr>
          <w:rFonts w:ascii="Times" w:hAnsi="Times" w:cs="Arial"/>
          <w:bCs/>
          <w:color w:val="000000"/>
        </w:rPr>
        <w:t>attributed to Q</w:t>
      </w:r>
      <w:r w:rsidRPr="00253CAD">
        <w:rPr>
          <w:rFonts w:ascii="Times" w:hAnsi="Times" w:cs="Arial"/>
          <w:bCs/>
          <w:color w:val="000000"/>
          <w:vertAlign w:val="superscript"/>
        </w:rPr>
        <w:t>0</w:t>
      </w:r>
      <w:r w:rsidR="009065FB">
        <w:rPr>
          <w:rFonts w:ascii="Times" w:hAnsi="Times" w:cs="Arial"/>
          <w:bCs/>
          <w:color w:val="000000"/>
        </w:rPr>
        <w:t xml:space="preserve">. </w:t>
      </w:r>
      <w:r>
        <w:rPr>
          <w:rFonts w:ascii="Times" w:hAnsi="Times" w:cs="Arial"/>
          <w:bCs/>
          <w:color w:val="000000"/>
        </w:rPr>
        <w:t>As hydration begins and progress</w:t>
      </w:r>
      <w:r w:rsidR="00BC133E">
        <w:rPr>
          <w:rFonts w:ascii="Times" w:hAnsi="Times" w:cs="Arial"/>
          <w:bCs/>
          <w:color w:val="000000"/>
        </w:rPr>
        <w:t>es</w:t>
      </w:r>
      <w:r w:rsidR="009065FB">
        <w:rPr>
          <w:rFonts w:ascii="Times" w:hAnsi="Times" w:cs="Arial"/>
          <w:bCs/>
          <w:color w:val="000000"/>
        </w:rPr>
        <w:t xml:space="preserve"> a peak starts to show in this </w:t>
      </w:r>
      <w:proofErr w:type="gramStart"/>
      <w:r w:rsidR="009065FB">
        <w:rPr>
          <w:rFonts w:ascii="Times" w:hAnsi="Times" w:cs="Arial"/>
          <w:bCs/>
          <w:color w:val="000000"/>
        </w:rPr>
        <w:t>region which</w:t>
      </w:r>
      <w:proofErr w:type="gramEnd"/>
      <w:r w:rsidR="009065FB">
        <w:rPr>
          <w:rFonts w:ascii="Times" w:hAnsi="Times" w:cs="Arial"/>
          <w:bCs/>
          <w:color w:val="000000"/>
        </w:rPr>
        <w:t xml:space="preserve"> is attributed with the monomeric orthosilicate anion (SiO</w:t>
      </w:r>
      <w:r w:rsidR="009065FB">
        <w:rPr>
          <w:rFonts w:ascii="Times" w:hAnsi="Times" w:cs="Arial"/>
          <w:bCs/>
          <w:color w:val="000000"/>
          <w:vertAlign w:val="subscript"/>
        </w:rPr>
        <w:t>4</w:t>
      </w:r>
      <w:r w:rsidR="009065FB">
        <w:rPr>
          <w:rFonts w:ascii="Times" w:hAnsi="Times" w:cs="Arial"/>
          <w:bCs/>
          <w:color w:val="000000"/>
          <w:vertAlign w:val="superscript"/>
        </w:rPr>
        <w:t>4-</w:t>
      </w:r>
      <w:r w:rsidR="009065FB">
        <w:rPr>
          <w:rFonts w:ascii="Times" w:hAnsi="Times" w:cs="Arial"/>
          <w:bCs/>
          <w:color w:val="000000"/>
        </w:rPr>
        <w:t>) typically found in C</w:t>
      </w:r>
      <w:r w:rsidR="009065FB">
        <w:rPr>
          <w:rFonts w:ascii="Times" w:hAnsi="Times" w:cs="Arial"/>
          <w:bCs/>
          <w:color w:val="000000"/>
          <w:vertAlign w:val="subscript"/>
        </w:rPr>
        <w:t>3</w:t>
      </w:r>
      <w:r w:rsidR="009065FB">
        <w:rPr>
          <w:rFonts w:ascii="Times" w:hAnsi="Times" w:cs="Arial"/>
          <w:bCs/>
          <w:color w:val="000000"/>
        </w:rPr>
        <w:t>S and C</w:t>
      </w:r>
      <w:r w:rsidR="009065FB">
        <w:rPr>
          <w:rFonts w:ascii="Times" w:hAnsi="Times" w:cs="Arial"/>
          <w:bCs/>
          <w:color w:val="000000"/>
          <w:vertAlign w:val="subscript"/>
        </w:rPr>
        <w:t>2</w:t>
      </w:r>
      <w:r w:rsidR="009065FB">
        <w:rPr>
          <w:rFonts w:ascii="Times" w:hAnsi="Times" w:cs="Arial"/>
          <w:bCs/>
          <w:color w:val="000000"/>
        </w:rPr>
        <w:t>S [25]. T</w:t>
      </w:r>
      <w:r w:rsidR="00BC133E">
        <w:rPr>
          <w:rFonts w:ascii="Times" w:hAnsi="Times" w:cs="Arial"/>
          <w:bCs/>
          <w:color w:val="000000"/>
        </w:rPr>
        <w:t xml:space="preserve">he intensity of this </w:t>
      </w:r>
      <w:r w:rsidR="009065FB">
        <w:rPr>
          <w:rFonts w:ascii="Times" w:hAnsi="Times" w:cs="Arial"/>
          <w:bCs/>
          <w:color w:val="000000"/>
        </w:rPr>
        <w:t xml:space="preserve">peak </w:t>
      </w:r>
      <w:r>
        <w:rPr>
          <w:rFonts w:ascii="Times" w:hAnsi="Times" w:cs="Arial"/>
          <w:bCs/>
          <w:color w:val="000000"/>
        </w:rPr>
        <w:t>decrease</w:t>
      </w:r>
      <w:r w:rsidR="00C31B46">
        <w:rPr>
          <w:rFonts w:ascii="Times" w:hAnsi="Times" w:cs="Arial"/>
          <w:bCs/>
          <w:color w:val="000000"/>
        </w:rPr>
        <w:t xml:space="preserve">s significantly in the </w:t>
      </w:r>
      <w:proofErr w:type="gramStart"/>
      <w:r w:rsidR="00C31B46">
        <w:rPr>
          <w:rFonts w:ascii="Times" w:hAnsi="Times" w:cs="Arial"/>
          <w:bCs/>
          <w:color w:val="000000"/>
        </w:rPr>
        <w:t>28 day</w:t>
      </w:r>
      <w:proofErr w:type="gramEnd"/>
      <w:r w:rsidR="00C31B46">
        <w:rPr>
          <w:rFonts w:ascii="Times" w:hAnsi="Times" w:cs="Arial"/>
          <w:bCs/>
          <w:color w:val="000000"/>
        </w:rPr>
        <w:t xml:space="preserve"> sample and continues to decrease slightly in the 90 days sample, and then slightly increases in the 2 year sample. The initial significant decrease is </w:t>
      </w:r>
      <w:r>
        <w:rPr>
          <w:rFonts w:ascii="Times" w:hAnsi="Times" w:cs="Arial"/>
          <w:bCs/>
          <w:color w:val="000000"/>
        </w:rPr>
        <w:t>due to the hydration of these clinker phases</w:t>
      </w:r>
      <w:r w:rsidR="00461717">
        <w:rPr>
          <w:rFonts w:ascii="Times" w:hAnsi="Times" w:cs="Arial"/>
          <w:bCs/>
          <w:color w:val="000000"/>
        </w:rPr>
        <w:t xml:space="preserve">. </w:t>
      </w:r>
      <w:r w:rsidR="00BC133E">
        <w:rPr>
          <w:rFonts w:ascii="Times" w:hAnsi="Times" w:cs="Arial"/>
          <w:bCs/>
          <w:color w:val="000000"/>
        </w:rPr>
        <w:t>The</w:t>
      </w:r>
      <w:r w:rsidR="00461717">
        <w:rPr>
          <w:rFonts w:ascii="Times" w:hAnsi="Times" w:cs="Arial"/>
          <w:bCs/>
          <w:color w:val="000000"/>
        </w:rPr>
        <w:t xml:space="preserve"> Q</w:t>
      </w:r>
      <w:r w:rsidR="00461717">
        <w:rPr>
          <w:rFonts w:ascii="Times" w:hAnsi="Times" w:cs="Arial"/>
          <w:bCs/>
          <w:color w:val="000000"/>
          <w:vertAlign w:val="superscript"/>
        </w:rPr>
        <w:t>1</w:t>
      </w:r>
      <w:r w:rsidR="00461717">
        <w:rPr>
          <w:rFonts w:ascii="Times" w:hAnsi="Times" w:cs="Arial"/>
          <w:bCs/>
          <w:color w:val="000000"/>
        </w:rPr>
        <w:t xml:space="preserve"> </w:t>
      </w:r>
      <w:r w:rsidR="00461717" w:rsidRPr="00E31382">
        <w:rPr>
          <w:rFonts w:ascii="Times" w:hAnsi="Times" w:cs="Arial"/>
          <w:bCs/>
          <w:color w:val="000000" w:themeColor="text1"/>
        </w:rPr>
        <w:t>resonance, representing the end group of a C-S-H chain [</w:t>
      </w:r>
      <w:r w:rsidR="00D81052">
        <w:rPr>
          <w:rFonts w:ascii="Times" w:hAnsi="Times" w:cs="Arial"/>
          <w:bCs/>
          <w:color w:val="000000" w:themeColor="text1"/>
        </w:rPr>
        <w:t>26</w:t>
      </w:r>
      <w:r w:rsidR="00461717" w:rsidRPr="00E31382">
        <w:rPr>
          <w:rFonts w:ascii="Times" w:hAnsi="Times" w:cs="Arial"/>
          <w:bCs/>
          <w:color w:val="000000" w:themeColor="text1"/>
        </w:rPr>
        <w:t>]</w:t>
      </w:r>
      <w:r w:rsidR="00F23655" w:rsidRPr="00E31382">
        <w:rPr>
          <w:rFonts w:ascii="Times" w:hAnsi="Times" w:cs="Arial"/>
          <w:bCs/>
          <w:color w:val="000000" w:themeColor="text1"/>
        </w:rPr>
        <w:t xml:space="preserve"> connected to one</w:t>
      </w:r>
      <w:r w:rsidR="00BC133E" w:rsidRPr="00E31382">
        <w:rPr>
          <w:rFonts w:ascii="Times" w:hAnsi="Times" w:cs="Arial"/>
          <w:bCs/>
          <w:color w:val="000000" w:themeColor="text1"/>
        </w:rPr>
        <w:t xml:space="preserve"> SiO</w:t>
      </w:r>
      <w:r w:rsidR="00BC133E" w:rsidRPr="00E31382">
        <w:rPr>
          <w:rFonts w:ascii="Times" w:hAnsi="Times" w:cs="Arial"/>
          <w:bCs/>
          <w:color w:val="000000" w:themeColor="text1"/>
          <w:vertAlign w:val="subscript"/>
        </w:rPr>
        <w:t>4</w:t>
      </w:r>
      <w:r w:rsidR="00BC133E" w:rsidRPr="00E31382">
        <w:rPr>
          <w:rFonts w:ascii="Times" w:hAnsi="Times" w:cs="Arial"/>
          <w:bCs/>
          <w:color w:val="000000" w:themeColor="text1"/>
        </w:rPr>
        <w:t xml:space="preserve"> unit</w:t>
      </w:r>
      <w:r w:rsidR="00461717" w:rsidRPr="00E31382">
        <w:rPr>
          <w:rFonts w:ascii="Times" w:hAnsi="Times" w:cs="Arial"/>
          <w:bCs/>
          <w:color w:val="000000" w:themeColor="text1"/>
        </w:rPr>
        <w:t>, also</w:t>
      </w:r>
      <w:r w:rsidR="00461717">
        <w:rPr>
          <w:rFonts w:ascii="Times" w:hAnsi="Times" w:cs="Arial"/>
          <w:bCs/>
          <w:color w:val="000000"/>
        </w:rPr>
        <w:t xml:space="preserve"> produces peaks within this region</w:t>
      </w:r>
      <w:r w:rsidR="00BC133E">
        <w:rPr>
          <w:rFonts w:ascii="Times" w:hAnsi="Times" w:cs="Arial"/>
          <w:bCs/>
          <w:color w:val="000000"/>
        </w:rPr>
        <w:t xml:space="preserve"> at around -74 ppm.</w:t>
      </w:r>
      <w:r>
        <w:rPr>
          <w:rFonts w:ascii="Times" w:hAnsi="Times" w:cs="Arial"/>
          <w:bCs/>
          <w:color w:val="000000"/>
        </w:rPr>
        <w:t xml:space="preserve"> </w:t>
      </w:r>
      <w:r w:rsidR="00971672">
        <w:rPr>
          <w:rFonts w:ascii="Times" w:hAnsi="Times" w:cs="Arial"/>
          <w:bCs/>
          <w:color w:val="000000"/>
        </w:rPr>
        <w:t xml:space="preserve">The main peak in the hydrated samples at -81ppm is the resonance attributed to </w:t>
      </w:r>
      <w:proofErr w:type="gramStart"/>
      <w:r w:rsidR="00971672">
        <w:rPr>
          <w:rFonts w:ascii="Times" w:hAnsi="Times" w:cs="Arial"/>
          <w:bCs/>
          <w:color w:val="000000"/>
        </w:rPr>
        <w:t>Q</w:t>
      </w:r>
      <w:r w:rsidR="00971672">
        <w:rPr>
          <w:rFonts w:ascii="Times" w:hAnsi="Times" w:cs="Arial"/>
          <w:bCs/>
          <w:color w:val="000000"/>
          <w:vertAlign w:val="superscript"/>
        </w:rPr>
        <w:t>2</w:t>
      </w:r>
      <w:r w:rsidR="00971672">
        <w:rPr>
          <w:rFonts w:ascii="Times" w:hAnsi="Times" w:cs="Arial"/>
          <w:bCs/>
          <w:color w:val="000000"/>
        </w:rPr>
        <w:t>(</w:t>
      </w:r>
      <w:proofErr w:type="gramEnd"/>
      <w:r w:rsidR="00971672">
        <w:rPr>
          <w:rFonts w:ascii="Times" w:hAnsi="Times" w:cs="Arial"/>
          <w:bCs/>
          <w:color w:val="000000"/>
        </w:rPr>
        <w:t>1Al) sites within C-S-H (i.e. a SiO</w:t>
      </w:r>
      <w:r w:rsidR="00971672">
        <w:rPr>
          <w:rFonts w:ascii="Times" w:hAnsi="Times" w:cs="Arial"/>
          <w:bCs/>
          <w:color w:val="000000"/>
          <w:vertAlign w:val="subscript"/>
        </w:rPr>
        <w:t>4</w:t>
      </w:r>
      <w:r w:rsidR="00971672">
        <w:rPr>
          <w:rFonts w:ascii="Times" w:hAnsi="Times" w:cs="Arial"/>
          <w:bCs/>
          <w:color w:val="000000"/>
          <w:vertAlign w:val="superscript"/>
        </w:rPr>
        <w:t xml:space="preserve"> </w:t>
      </w:r>
      <w:r w:rsidR="00971672">
        <w:rPr>
          <w:rFonts w:ascii="Times" w:hAnsi="Times" w:cs="Arial"/>
          <w:bCs/>
          <w:color w:val="000000"/>
        </w:rPr>
        <w:t>unit connected to one SiO</w:t>
      </w:r>
      <w:r w:rsidR="00971672">
        <w:rPr>
          <w:rFonts w:ascii="Times" w:hAnsi="Times" w:cs="Arial"/>
          <w:bCs/>
          <w:color w:val="000000"/>
          <w:vertAlign w:val="subscript"/>
        </w:rPr>
        <w:t xml:space="preserve">4 </w:t>
      </w:r>
      <w:r w:rsidR="00971672">
        <w:rPr>
          <w:rFonts w:ascii="Times" w:hAnsi="Times" w:cs="Arial"/>
          <w:bCs/>
          <w:color w:val="000000"/>
        </w:rPr>
        <w:t xml:space="preserve">and one </w:t>
      </w:r>
      <w:r w:rsidR="00971672" w:rsidRPr="00F23655">
        <w:rPr>
          <w:rFonts w:ascii="Times" w:hAnsi="Times" w:cs="Arial"/>
          <w:bCs/>
          <w:color w:val="000000"/>
        </w:rPr>
        <w:t>AlO</w:t>
      </w:r>
      <w:r w:rsidR="00971672" w:rsidRPr="00773F15">
        <w:rPr>
          <w:rFonts w:ascii="Times" w:hAnsi="Times" w:cs="Arial"/>
          <w:bCs/>
          <w:color w:val="000000"/>
          <w:vertAlign w:val="subscript"/>
        </w:rPr>
        <w:t>4</w:t>
      </w:r>
      <w:r w:rsidR="00971672" w:rsidRPr="00F23655">
        <w:rPr>
          <w:rFonts w:ascii="Times" w:hAnsi="Times" w:cs="Arial"/>
          <w:bCs/>
          <w:color w:val="000000"/>
        </w:rPr>
        <w:t xml:space="preserve"> tetrahedron</w:t>
      </w:r>
      <w:r w:rsidR="00971672">
        <w:rPr>
          <w:rFonts w:ascii="Times" w:hAnsi="Times" w:cs="Arial"/>
          <w:bCs/>
          <w:color w:val="000000"/>
        </w:rPr>
        <w:t xml:space="preserve">). </w:t>
      </w:r>
      <w:r w:rsidR="00BC133E">
        <w:rPr>
          <w:rFonts w:ascii="Times" w:hAnsi="Times" w:cs="Times"/>
          <w:szCs w:val="26"/>
        </w:rPr>
        <w:t>As an example, Fig 4.12 shows a single layer in the crystal structure of tobermorite (believed to have the same layer structure as C-S-H), showing</w:t>
      </w:r>
      <w:r w:rsidR="00D81052">
        <w:rPr>
          <w:rFonts w:ascii="Times" w:hAnsi="Times" w:cs="Times"/>
          <w:szCs w:val="26"/>
        </w:rPr>
        <w:t xml:space="preserve"> the location of these sites [27</w:t>
      </w:r>
      <w:r w:rsidR="00BC133E">
        <w:rPr>
          <w:rFonts w:ascii="Times" w:hAnsi="Times" w:cs="Times"/>
          <w:szCs w:val="26"/>
        </w:rPr>
        <w:t>]</w:t>
      </w:r>
      <w:r>
        <w:rPr>
          <w:rFonts w:ascii="Times" w:hAnsi="Times" w:cs="Arial"/>
          <w:bCs/>
          <w:color w:val="000000"/>
        </w:rPr>
        <w:t>. The</w:t>
      </w:r>
      <w:r w:rsidR="00BC133E">
        <w:rPr>
          <w:rFonts w:ascii="Times" w:hAnsi="Times" w:cs="Arial"/>
          <w:bCs/>
          <w:color w:val="000000"/>
        </w:rPr>
        <w:t xml:space="preserve"> </w:t>
      </w:r>
      <w:proofErr w:type="gramStart"/>
      <w:r w:rsidR="00BC133E">
        <w:rPr>
          <w:rFonts w:ascii="Times" w:hAnsi="Times" w:cs="Arial"/>
          <w:bCs/>
          <w:color w:val="000000"/>
        </w:rPr>
        <w:t>Q</w:t>
      </w:r>
      <w:r w:rsidR="00BC133E">
        <w:rPr>
          <w:rFonts w:ascii="Times" w:hAnsi="Times" w:cs="Arial"/>
          <w:bCs/>
          <w:color w:val="000000"/>
          <w:vertAlign w:val="superscript"/>
        </w:rPr>
        <w:t>2</w:t>
      </w:r>
      <w:r w:rsidR="00BC133E">
        <w:rPr>
          <w:rFonts w:ascii="Times" w:hAnsi="Times" w:cs="Arial"/>
          <w:bCs/>
          <w:color w:val="000000"/>
        </w:rPr>
        <w:t>(</w:t>
      </w:r>
      <w:proofErr w:type="gramEnd"/>
      <w:r w:rsidR="00BC133E">
        <w:rPr>
          <w:rFonts w:ascii="Times" w:hAnsi="Times" w:cs="Arial"/>
          <w:bCs/>
          <w:color w:val="000000"/>
        </w:rPr>
        <w:t>1Al)</w:t>
      </w:r>
      <w:r>
        <w:rPr>
          <w:rFonts w:ascii="Times" w:hAnsi="Times" w:cs="Arial"/>
          <w:bCs/>
          <w:color w:val="000000"/>
        </w:rPr>
        <w:t xml:space="preserve"> peak intensity increases with time whilst the unreacted Q</w:t>
      </w:r>
      <w:r>
        <w:rPr>
          <w:rFonts w:ascii="Times" w:hAnsi="Times" w:cs="Arial"/>
          <w:bCs/>
          <w:color w:val="000000"/>
          <w:vertAlign w:val="superscript"/>
        </w:rPr>
        <w:t>0</w:t>
      </w:r>
      <w:r>
        <w:rPr>
          <w:rFonts w:ascii="Times" w:hAnsi="Times" w:cs="Arial"/>
          <w:bCs/>
          <w:color w:val="000000"/>
        </w:rPr>
        <w:t xml:space="preserve"> decreases</w:t>
      </w:r>
      <w:r w:rsidRPr="001F4820">
        <w:rPr>
          <w:rFonts w:ascii="Times" w:hAnsi="Times" w:cs="Arial"/>
          <w:bCs/>
          <w:color w:val="000000"/>
        </w:rPr>
        <w:t xml:space="preserve"> </w:t>
      </w:r>
      <w:r>
        <w:rPr>
          <w:rFonts w:ascii="Times" w:hAnsi="Times" w:cs="Arial"/>
          <w:bCs/>
          <w:color w:val="000000"/>
        </w:rPr>
        <w:t>as expected</w:t>
      </w:r>
      <w:r w:rsidR="00BC133E">
        <w:rPr>
          <w:rFonts w:ascii="Times" w:hAnsi="Times" w:cs="Arial"/>
          <w:bCs/>
          <w:color w:val="000000"/>
        </w:rPr>
        <w:t>.</w:t>
      </w:r>
      <w:r w:rsidR="00BC133E" w:rsidRPr="00BC133E">
        <w:rPr>
          <w:rFonts w:ascii="Times" w:hAnsi="Times" w:cs="Arial"/>
          <w:bCs/>
          <w:color w:val="000000"/>
        </w:rPr>
        <w:t xml:space="preserve"> </w:t>
      </w:r>
      <w:r w:rsidR="00BC133E">
        <w:rPr>
          <w:rFonts w:ascii="Times" w:hAnsi="Times" w:cs="Arial"/>
          <w:bCs/>
          <w:color w:val="000000"/>
        </w:rPr>
        <w:t xml:space="preserve">The </w:t>
      </w:r>
      <w:r w:rsidR="00C8541A">
        <w:rPr>
          <w:rFonts w:ascii="Times" w:hAnsi="Times" w:cs="Arial"/>
          <w:bCs/>
          <w:color w:val="000000"/>
        </w:rPr>
        <w:t>highest rate of</w:t>
      </w:r>
      <w:r w:rsidR="00BC133E">
        <w:rPr>
          <w:rFonts w:ascii="Times" w:hAnsi="Times" w:cs="Arial"/>
          <w:bCs/>
          <w:color w:val="000000"/>
        </w:rPr>
        <w:t xml:space="preserve"> hydration appears to have occurred within the first 28 days</w:t>
      </w:r>
      <w:r w:rsidR="00C8541A">
        <w:rPr>
          <w:rFonts w:ascii="Times" w:hAnsi="Times" w:cs="Arial"/>
          <w:bCs/>
          <w:color w:val="000000"/>
        </w:rPr>
        <w:t xml:space="preserve">, there is little change when comparing the 28 day and 90 day </w:t>
      </w:r>
      <w:proofErr w:type="gramStart"/>
      <w:r w:rsidR="00C8541A">
        <w:rPr>
          <w:rFonts w:ascii="Times" w:hAnsi="Times" w:cs="Arial"/>
          <w:bCs/>
          <w:color w:val="000000"/>
        </w:rPr>
        <w:t>peaks</w:t>
      </w:r>
      <w:r w:rsidR="00BC133E">
        <w:rPr>
          <w:rFonts w:ascii="Times" w:hAnsi="Times" w:cs="Arial"/>
          <w:bCs/>
          <w:color w:val="000000"/>
        </w:rPr>
        <w:t>,</w:t>
      </w:r>
      <w:proofErr w:type="gramEnd"/>
      <w:r w:rsidR="00BC133E">
        <w:rPr>
          <w:rFonts w:ascii="Times" w:hAnsi="Times" w:cs="Arial"/>
          <w:bCs/>
          <w:color w:val="000000"/>
        </w:rPr>
        <w:t xml:space="preserve"> therefore the selection of 42 day period for this project was a reasonable choice with reference to</w:t>
      </w:r>
      <w:r w:rsidR="00C8541A">
        <w:rPr>
          <w:rFonts w:ascii="Times" w:hAnsi="Times" w:cs="Arial"/>
          <w:bCs/>
          <w:color w:val="000000"/>
        </w:rPr>
        <w:t xml:space="preserve"> </w:t>
      </w:r>
      <w:r w:rsidR="00BC133E">
        <w:rPr>
          <w:rFonts w:ascii="Times" w:hAnsi="Times" w:cs="Arial"/>
          <w:bCs/>
          <w:color w:val="000000"/>
        </w:rPr>
        <w:t>C-S-H gel formation</w:t>
      </w:r>
      <w:r w:rsidR="00C8541A">
        <w:rPr>
          <w:rFonts w:ascii="Times" w:hAnsi="Times" w:cs="Arial"/>
          <w:bCs/>
          <w:color w:val="000000"/>
        </w:rPr>
        <w:t xml:space="preserve">. There is however a change in the peaks between 90 days and 720 </w:t>
      </w:r>
      <w:proofErr w:type="gramStart"/>
      <w:r w:rsidR="00C8541A">
        <w:rPr>
          <w:rFonts w:ascii="Times" w:hAnsi="Times" w:cs="Arial"/>
          <w:bCs/>
          <w:color w:val="000000"/>
        </w:rPr>
        <w:t xml:space="preserve">days </w:t>
      </w:r>
      <w:r w:rsidR="00C8541A">
        <w:rPr>
          <w:rFonts w:ascii="Times" w:hAnsi="Times" w:cs="Arial"/>
          <w:bCs/>
          <w:color w:val="000000"/>
        </w:rPr>
        <w:lastRenderedPageBreak/>
        <w:t>which suggests that hydration</w:t>
      </w:r>
      <w:proofErr w:type="gramEnd"/>
      <w:r w:rsidR="00C8541A">
        <w:rPr>
          <w:rFonts w:ascii="Times" w:hAnsi="Times" w:cs="Arial"/>
          <w:bCs/>
          <w:color w:val="000000"/>
        </w:rPr>
        <w:t xml:space="preserve"> is continuing, or could also be due to the reintroduction of the cement to water</w:t>
      </w:r>
      <w:r w:rsidR="00BC133E">
        <w:rPr>
          <w:rFonts w:ascii="Times" w:hAnsi="Times" w:cs="Arial"/>
          <w:bCs/>
          <w:color w:val="000000"/>
        </w:rPr>
        <w:t>.</w:t>
      </w:r>
      <w:r w:rsidR="00EA36DB">
        <w:rPr>
          <w:rFonts w:ascii="Times" w:hAnsi="Times" w:cs="Arial"/>
          <w:bCs/>
          <w:color w:val="000000"/>
        </w:rPr>
        <w:t xml:space="preserve"> </w:t>
      </w:r>
      <w:r>
        <w:rPr>
          <w:rFonts w:ascii="Times" w:hAnsi="Times" w:cs="Arial"/>
          <w:bCs/>
          <w:color w:val="000000"/>
        </w:rPr>
        <w:t xml:space="preserve">The </w:t>
      </w:r>
      <w:r w:rsidR="00BC133E">
        <w:rPr>
          <w:rFonts w:ascii="Times" w:hAnsi="Times" w:cs="Arial"/>
          <w:bCs/>
          <w:color w:val="000000"/>
        </w:rPr>
        <w:t>Si bound to two SiO</w:t>
      </w:r>
      <w:r w:rsidR="00BC133E">
        <w:rPr>
          <w:rFonts w:ascii="Times" w:hAnsi="Times" w:cs="Arial"/>
          <w:bCs/>
          <w:color w:val="000000"/>
          <w:vertAlign w:val="subscript"/>
        </w:rPr>
        <w:t xml:space="preserve">4 </w:t>
      </w:r>
      <w:r w:rsidR="00BC133E">
        <w:rPr>
          <w:rFonts w:ascii="Times" w:hAnsi="Times" w:cs="Arial"/>
          <w:bCs/>
          <w:color w:val="000000"/>
        </w:rPr>
        <w:t xml:space="preserve">units, usually found </w:t>
      </w:r>
      <w:r w:rsidR="007769E6">
        <w:rPr>
          <w:rFonts w:ascii="Times" w:hAnsi="Times" w:cs="Arial"/>
          <w:bCs/>
          <w:color w:val="000000"/>
        </w:rPr>
        <w:t>i</w:t>
      </w:r>
      <w:r w:rsidR="00BC133E">
        <w:rPr>
          <w:rFonts w:ascii="Times" w:hAnsi="Times" w:cs="Arial"/>
          <w:bCs/>
          <w:color w:val="000000"/>
        </w:rPr>
        <w:t xml:space="preserve">n the middle of the </w:t>
      </w:r>
      <w:r w:rsidR="00B40554">
        <w:rPr>
          <w:rFonts w:ascii="Times" w:hAnsi="Times" w:cs="Arial"/>
          <w:bCs/>
          <w:color w:val="000000"/>
        </w:rPr>
        <w:t xml:space="preserve">  </w:t>
      </w:r>
      <w:r w:rsidR="00BC133E">
        <w:rPr>
          <w:rFonts w:ascii="Times" w:hAnsi="Times" w:cs="Arial"/>
          <w:bCs/>
          <w:color w:val="000000"/>
        </w:rPr>
        <w:t>C-S-H chain, have a resonance that produces the</w:t>
      </w:r>
      <w:r w:rsidR="00AB4F2D">
        <w:rPr>
          <w:rFonts w:ascii="Times" w:hAnsi="Times" w:cs="Arial"/>
          <w:bCs/>
          <w:color w:val="000000"/>
        </w:rPr>
        <w:t xml:space="preserve"> </w:t>
      </w:r>
      <w:r>
        <w:rPr>
          <w:rFonts w:ascii="Times" w:hAnsi="Times" w:cs="Arial"/>
          <w:bCs/>
          <w:color w:val="000000"/>
        </w:rPr>
        <w:t>Q</w:t>
      </w:r>
      <w:r>
        <w:rPr>
          <w:rFonts w:ascii="Times" w:hAnsi="Times" w:cs="Arial"/>
          <w:bCs/>
          <w:color w:val="000000"/>
          <w:vertAlign w:val="superscript"/>
        </w:rPr>
        <w:t>2</w:t>
      </w:r>
      <w:r w:rsidR="00F17A05">
        <w:rPr>
          <w:rFonts w:ascii="Times" w:hAnsi="Times" w:cs="Arial"/>
          <w:bCs/>
          <w:color w:val="000000"/>
        </w:rPr>
        <w:t xml:space="preserve"> peak at around -84ppm </w:t>
      </w:r>
      <w:r w:rsidR="00F566BD">
        <w:rPr>
          <w:rFonts w:ascii="Times" w:hAnsi="Times" w:cs="Arial"/>
          <w:bCs/>
          <w:color w:val="000000"/>
        </w:rPr>
        <w:t>[28</w:t>
      </w:r>
      <w:r w:rsidR="00674699">
        <w:rPr>
          <w:rFonts w:ascii="Times" w:hAnsi="Times" w:cs="Arial"/>
          <w:bCs/>
          <w:color w:val="000000"/>
        </w:rPr>
        <w:t>]</w:t>
      </w:r>
      <w:r>
        <w:rPr>
          <w:rFonts w:ascii="Times" w:hAnsi="Times" w:cs="Arial"/>
          <w:bCs/>
          <w:color w:val="000000"/>
        </w:rPr>
        <w:t xml:space="preserve">.  </w:t>
      </w:r>
      <w:r w:rsidR="00BC133E">
        <w:rPr>
          <w:rFonts w:ascii="Times" w:hAnsi="Times" w:cs="Arial"/>
          <w:bCs/>
          <w:color w:val="000000"/>
        </w:rPr>
        <w:t xml:space="preserve">There seems to be a larger amount of </w:t>
      </w:r>
      <w:proofErr w:type="gramStart"/>
      <w:r w:rsidR="00BC133E">
        <w:rPr>
          <w:rFonts w:ascii="Times" w:hAnsi="Times" w:cs="Arial"/>
          <w:bCs/>
          <w:color w:val="000000"/>
        </w:rPr>
        <w:t>Q</w:t>
      </w:r>
      <w:r w:rsidR="00BC133E">
        <w:rPr>
          <w:rFonts w:ascii="Times" w:hAnsi="Times" w:cs="Arial"/>
          <w:bCs/>
          <w:color w:val="000000"/>
          <w:vertAlign w:val="superscript"/>
        </w:rPr>
        <w:t>2</w:t>
      </w:r>
      <w:r w:rsidR="00BC133E">
        <w:rPr>
          <w:rFonts w:ascii="Times" w:hAnsi="Times" w:cs="Arial"/>
          <w:bCs/>
          <w:color w:val="000000"/>
        </w:rPr>
        <w:t>(</w:t>
      </w:r>
      <w:proofErr w:type="gramEnd"/>
      <w:r w:rsidR="00BC133E">
        <w:rPr>
          <w:rFonts w:ascii="Times" w:hAnsi="Times" w:cs="Arial"/>
          <w:bCs/>
          <w:color w:val="000000"/>
        </w:rPr>
        <w:t>1Al)  in comparison to the Q</w:t>
      </w:r>
      <w:r w:rsidR="00BC133E">
        <w:rPr>
          <w:rFonts w:ascii="Times" w:hAnsi="Times" w:cs="Arial"/>
          <w:bCs/>
          <w:color w:val="000000"/>
          <w:vertAlign w:val="superscript"/>
        </w:rPr>
        <w:t>2</w:t>
      </w:r>
      <w:r w:rsidR="00BC133E">
        <w:rPr>
          <w:rFonts w:ascii="Times" w:hAnsi="Times" w:cs="Arial"/>
          <w:bCs/>
          <w:color w:val="000000"/>
        </w:rPr>
        <w:t xml:space="preserve"> suggesting that a significant amount of Al substitution into the C-S-H gel has occurred</w:t>
      </w:r>
      <w:r w:rsidR="00A0540E">
        <w:rPr>
          <w:rFonts w:ascii="Times" w:hAnsi="Times" w:cs="Arial"/>
          <w:bCs/>
          <w:color w:val="000000"/>
        </w:rPr>
        <w:t xml:space="preserve"> during hydration</w:t>
      </w:r>
      <w:r w:rsidR="00BC133E">
        <w:rPr>
          <w:rFonts w:ascii="Times" w:hAnsi="Times" w:cs="Arial"/>
          <w:bCs/>
          <w:color w:val="000000"/>
        </w:rPr>
        <w:t>.</w:t>
      </w:r>
      <w:r>
        <w:rPr>
          <w:rFonts w:ascii="Times" w:hAnsi="Times" w:cs="Arial"/>
          <w:bCs/>
          <w:color w:val="000000"/>
        </w:rPr>
        <w:t xml:space="preserve"> </w:t>
      </w:r>
    </w:p>
    <w:p w14:paraId="1373AD72" w14:textId="7D6B24F0" w:rsidR="00777A0A" w:rsidRDefault="00F17A05" w:rsidP="008168D8">
      <w:pPr>
        <w:spacing w:before="240" w:after="120" w:line="360" w:lineRule="auto"/>
        <w:jc w:val="center"/>
        <w:rPr>
          <w:rFonts w:ascii="Times" w:hAnsi="Times" w:cs="Arial"/>
          <w:bCs/>
          <w:color w:val="000000"/>
        </w:rPr>
      </w:pPr>
      <w:r>
        <w:rPr>
          <w:rFonts w:ascii="Times" w:hAnsi="Times" w:cs="Arial"/>
          <w:bCs/>
          <w:noProof/>
          <w:color w:val="000000"/>
        </w:rPr>
        <w:drawing>
          <wp:inline distT="0" distB="0" distL="0" distR="0" wp14:anchorId="255CC952" wp14:editId="01134411">
            <wp:extent cx="3007777" cy="4154612"/>
            <wp:effectExtent l="0" t="0" r="0" b="11430"/>
            <wp:docPr id="10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08406" cy="4155481"/>
                    </a:xfrm>
                    <a:prstGeom prst="rect">
                      <a:avLst/>
                    </a:prstGeom>
                    <a:noFill/>
                    <a:ln>
                      <a:noFill/>
                    </a:ln>
                  </pic:spPr>
                </pic:pic>
              </a:graphicData>
            </a:graphic>
          </wp:inline>
        </w:drawing>
      </w:r>
      <w:r w:rsidRPr="00F17A05">
        <w:rPr>
          <w:rFonts w:ascii="Times" w:hAnsi="Times" w:cs="Arial"/>
          <w:bCs/>
          <w:color w:val="000000"/>
        </w:rPr>
        <w:t xml:space="preserve"> </w:t>
      </w:r>
      <w:r w:rsidR="008168D8">
        <w:rPr>
          <w:rFonts w:ascii="Times" w:hAnsi="Times" w:cs="Arial"/>
          <w:bCs/>
          <w:color w:val="000000"/>
        </w:rPr>
        <w:br/>
      </w:r>
      <w:r w:rsidR="00777A0A">
        <w:rPr>
          <w:rFonts w:ascii="Times" w:hAnsi="Times" w:cs="Arial"/>
          <w:b/>
          <w:bCs/>
          <w:color w:val="000000"/>
        </w:rPr>
        <w:t xml:space="preserve">Figure 4.10: </w:t>
      </w:r>
      <w:r w:rsidR="00777A0A">
        <w:rPr>
          <w:rFonts w:ascii="Times" w:hAnsi="Times" w:cs="Arial"/>
          <w:bCs/>
          <w:color w:val="000000"/>
          <w:vertAlign w:val="superscript"/>
        </w:rPr>
        <w:t>29</w:t>
      </w:r>
      <w:r w:rsidR="00777A0A">
        <w:rPr>
          <w:rFonts w:ascii="Times" w:hAnsi="Times" w:cs="Arial"/>
          <w:bCs/>
          <w:color w:val="000000"/>
        </w:rPr>
        <w:t xml:space="preserve">Si MAS spectra for </w:t>
      </w:r>
      <w:r w:rsidR="00B72CA0">
        <w:rPr>
          <w:rFonts w:ascii="Times" w:hAnsi="Times" w:cs="Arial"/>
          <w:bCs/>
          <w:color w:val="000000"/>
        </w:rPr>
        <w:t xml:space="preserve">the </w:t>
      </w:r>
      <w:r w:rsidR="00777A0A" w:rsidRPr="000F6BBD">
        <w:rPr>
          <w:rFonts w:ascii="Times" w:hAnsi="Times" w:cs="Arial"/>
          <w:b/>
          <w:bCs/>
          <w:color w:val="000000"/>
        </w:rPr>
        <w:t>0DB</w:t>
      </w:r>
      <w:r w:rsidR="00777A0A">
        <w:rPr>
          <w:rFonts w:ascii="Times" w:hAnsi="Times" w:cs="Arial"/>
          <w:bCs/>
          <w:color w:val="000000"/>
        </w:rPr>
        <w:t xml:space="preserve"> sample at different curing periods </w:t>
      </w:r>
    </w:p>
    <w:p w14:paraId="20FFF0B5" w14:textId="3101D255" w:rsidR="00777A0A" w:rsidRPr="002F01CA" w:rsidRDefault="00777A0A" w:rsidP="00F17A05">
      <w:pPr>
        <w:spacing w:before="240" w:after="120" w:line="440" w:lineRule="exact"/>
        <w:jc w:val="both"/>
        <w:rPr>
          <w:rFonts w:ascii="Times" w:hAnsi="Times" w:cs="Times"/>
          <w:szCs w:val="26"/>
        </w:rPr>
      </w:pPr>
      <w:r>
        <w:rPr>
          <w:rFonts w:ascii="Times" w:hAnsi="Times" w:cs="Arial"/>
          <w:bCs/>
          <w:color w:val="000000"/>
        </w:rPr>
        <w:t xml:space="preserve">Figure 4.11 shows the </w:t>
      </w:r>
      <w:r>
        <w:rPr>
          <w:rFonts w:ascii="Times" w:hAnsi="Times" w:cs="Arial"/>
          <w:bCs/>
          <w:color w:val="000000"/>
          <w:vertAlign w:val="superscript"/>
        </w:rPr>
        <w:t>29</w:t>
      </w:r>
      <w:r>
        <w:rPr>
          <w:rFonts w:ascii="Times" w:hAnsi="Times" w:cs="Arial"/>
          <w:bCs/>
          <w:color w:val="000000"/>
        </w:rPr>
        <w:t xml:space="preserve">Si MAS spectra for the </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Pr>
          <w:rFonts w:ascii="Times" w:hAnsi="Times"/>
          <w:sz w:val="20"/>
          <w:szCs w:val="20"/>
        </w:rPr>
        <w:t xml:space="preserve"> </w:t>
      </w:r>
      <w:r>
        <w:rPr>
          <w:rFonts w:ascii="Times" w:hAnsi="Times" w:cs="Arial"/>
          <w:bCs/>
          <w:color w:val="000000"/>
        </w:rPr>
        <w:t>series. The Q</w:t>
      </w:r>
      <w:r>
        <w:rPr>
          <w:rFonts w:ascii="Times" w:hAnsi="Times" w:cs="Arial"/>
          <w:bCs/>
          <w:color w:val="000000"/>
          <w:vertAlign w:val="superscript"/>
        </w:rPr>
        <w:t>0</w:t>
      </w:r>
      <w:r>
        <w:rPr>
          <w:rFonts w:ascii="Times" w:hAnsi="Times" w:cs="Arial"/>
          <w:bCs/>
          <w:color w:val="000000"/>
        </w:rPr>
        <w:t xml:space="preserve"> hump initially decreases as hydration occurs </w:t>
      </w:r>
      <w:r w:rsidR="000C484C">
        <w:rPr>
          <w:rFonts w:ascii="Times" w:hAnsi="Times" w:cs="Arial"/>
          <w:bCs/>
          <w:color w:val="000000"/>
        </w:rPr>
        <w:t xml:space="preserve">similarly to the </w:t>
      </w:r>
      <w:r w:rsidR="000C484C" w:rsidRPr="000F6BBD">
        <w:rPr>
          <w:rFonts w:ascii="Times" w:hAnsi="Times" w:cs="Arial"/>
          <w:b/>
          <w:bCs/>
          <w:color w:val="000000"/>
        </w:rPr>
        <w:t>0DB</w:t>
      </w:r>
      <w:r w:rsidR="000C484C">
        <w:rPr>
          <w:rFonts w:ascii="Times" w:hAnsi="Times" w:cs="Arial"/>
          <w:bCs/>
          <w:color w:val="000000"/>
        </w:rPr>
        <w:t xml:space="preserve"> series, and</w:t>
      </w:r>
      <w:r>
        <w:rPr>
          <w:rFonts w:ascii="Times" w:hAnsi="Times" w:cs="Arial"/>
          <w:bCs/>
          <w:color w:val="000000"/>
        </w:rPr>
        <w:t xml:space="preserve"> the peak intensity of the Q</w:t>
      </w:r>
      <w:r w:rsidR="001B128D">
        <w:rPr>
          <w:rFonts w:ascii="Times" w:hAnsi="Times" w:cs="Arial"/>
          <w:bCs/>
          <w:color w:val="000000"/>
          <w:vertAlign w:val="superscript"/>
        </w:rPr>
        <w:t>1</w:t>
      </w:r>
      <w:r w:rsidR="00B72CA0">
        <w:rPr>
          <w:rFonts w:ascii="Times" w:hAnsi="Times" w:cs="Arial"/>
          <w:bCs/>
          <w:color w:val="000000"/>
        </w:rPr>
        <w:t xml:space="preserve"> appears to increase</w:t>
      </w:r>
      <w:r>
        <w:rPr>
          <w:rFonts w:ascii="Times" w:hAnsi="Times" w:cs="Arial"/>
          <w:bCs/>
          <w:color w:val="000000"/>
        </w:rPr>
        <w:t xml:space="preserve"> after longer curing period. </w:t>
      </w:r>
    </w:p>
    <w:p w14:paraId="15C21D75" w14:textId="77777777" w:rsidR="00777A0A" w:rsidRDefault="00777A0A" w:rsidP="00777A0A">
      <w:pPr>
        <w:spacing w:before="240" w:after="120" w:line="480" w:lineRule="exact"/>
        <w:jc w:val="both"/>
        <w:rPr>
          <w:rFonts w:ascii="Times" w:hAnsi="Times" w:cs="Arial"/>
          <w:b/>
          <w:bCs/>
          <w:color w:val="000000"/>
          <w:sz w:val="28"/>
          <w:szCs w:val="28"/>
          <w:u w:val="single"/>
        </w:rPr>
      </w:pPr>
    </w:p>
    <w:p w14:paraId="52F0D2D7" w14:textId="77777777" w:rsidR="00777A0A" w:rsidRPr="00264A10" w:rsidRDefault="00777A0A" w:rsidP="00777A0A">
      <w:pPr>
        <w:spacing w:before="240" w:after="120"/>
        <w:jc w:val="center"/>
        <w:rPr>
          <w:rFonts w:ascii="Times" w:hAnsi="Times" w:cs="Arial"/>
          <w:b/>
          <w:bCs/>
          <w:i/>
          <w:color w:val="000000"/>
          <w:sz w:val="28"/>
          <w:szCs w:val="28"/>
          <w:u w:val="single"/>
        </w:rPr>
      </w:pPr>
      <w:r w:rsidRPr="00D71E9F">
        <w:rPr>
          <w:rFonts w:ascii="Times" w:hAnsi="Times" w:cs="Arial"/>
          <w:b/>
          <w:bCs/>
          <w:i/>
          <w:noProof/>
          <w:color w:val="000000"/>
          <w:sz w:val="28"/>
          <w:szCs w:val="28"/>
        </w:rPr>
        <w:lastRenderedPageBreak/>
        <w:drawing>
          <wp:inline distT="0" distB="0" distL="0" distR="0" wp14:anchorId="21D564EA" wp14:editId="418CC40E">
            <wp:extent cx="4066015" cy="3771900"/>
            <wp:effectExtent l="0" t="0" r="0" b="0"/>
            <wp:docPr id="9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66984" cy="3772799"/>
                    </a:xfrm>
                    <a:prstGeom prst="rect">
                      <a:avLst/>
                    </a:prstGeom>
                    <a:noFill/>
                    <a:ln>
                      <a:noFill/>
                    </a:ln>
                  </pic:spPr>
                </pic:pic>
              </a:graphicData>
            </a:graphic>
          </wp:inline>
        </w:drawing>
      </w:r>
    </w:p>
    <w:p w14:paraId="7BD56AED" w14:textId="77777777" w:rsidR="00777A0A" w:rsidRDefault="00777A0A" w:rsidP="00777A0A">
      <w:pPr>
        <w:spacing w:after="240"/>
        <w:jc w:val="center"/>
        <w:rPr>
          <w:rFonts w:ascii="Times" w:hAnsi="Times" w:cs="Arial"/>
          <w:bCs/>
          <w:color w:val="000000"/>
        </w:rPr>
      </w:pPr>
      <w:r>
        <w:rPr>
          <w:rFonts w:ascii="Times" w:hAnsi="Times" w:cs="Arial"/>
          <w:b/>
          <w:bCs/>
          <w:color w:val="000000"/>
        </w:rPr>
        <w:t>Figure 4.11</w:t>
      </w:r>
      <w:r w:rsidRPr="00B22A31">
        <w:rPr>
          <w:rFonts w:ascii="Times" w:hAnsi="Times" w:cs="Arial"/>
          <w:b/>
          <w:bCs/>
          <w:color w:val="000000"/>
        </w:rPr>
        <w:t xml:space="preserve">: </w:t>
      </w:r>
      <w:r w:rsidRPr="00113F0C">
        <w:rPr>
          <w:rFonts w:ascii="Times" w:hAnsi="Times" w:cs="Arial"/>
          <w:bCs/>
          <w:color w:val="000000"/>
          <w:vertAlign w:val="superscript"/>
        </w:rPr>
        <w:t>29</w:t>
      </w:r>
      <w:r>
        <w:rPr>
          <w:rFonts w:ascii="Times" w:hAnsi="Times" w:cs="Arial"/>
          <w:bCs/>
          <w:color w:val="000000"/>
        </w:rPr>
        <w:t xml:space="preserve">Si MAS spectra for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cs="Arial"/>
          <w:szCs w:val="36"/>
        </w:rPr>
        <w:t>,</w:t>
      </w:r>
      <w:r>
        <w:rPr>
          <w:rFonts w:ascii="Times" w:hAnsi="Times"/>
          <w:sz w:val="20"/>
          <w:szCs w:val="20"/>
        </w:rPr>
        <w:t xml:space="preserve"> </w:t>
      </w:r>
      <w:r>
        <w:rPr>
          <w:rFonts w:ascii="Times" w:hAnsi="Times" w:cs="Arial"/>
          <w:bCs/>
          <w:color w:val="000000"/>
        </w:rPr>
        <w:t>sample at different curing at 0D</w:t>
      </w:r>
    </w:p>
    <w:p w14:paraId="444EA7B1" w14:textId="77777777" w:rsidR="00D330CA" w:rsidRDefault="00D330CA" w:rsidP="00777A0A">
      <w:pPr>
        <w:spacing w:after="240"/>
        <w:jc w:val="center"/>
        <w:rPr>
          <w:rFonts w:ascii="Times" w:hAnsi="Times" w:cs="Arial"/>
          <w:bCs/>
          <w:color w:val="000000"/>
        </w:rPr>
      </w:pPr>
    </w:p>
    <w:p w14:paraId="3860B1BD" w14:textId="77777777" w:rsidR="00777A0A" w:rsidRDefault="00777A0A" w:rsidP="00777A0A">
      <w:pPr>
        <w:widowControl w:val="0"/>
        <w:autoSpaceDE w:val="0"/>
        <w:autoSpaceDN w:val="0"/>
        <w:adjustRightInd w:val="0"/>
        <w:jc w:val="center"/>
        <w:rPr>
          <w:rFonts w:ascii="Times" w:hAnsi="Times" w:cs="Times"/>
        </w:rPr>
      </w:pPr>
      <w:r>
        <w:rPr>
          <w:rFonts w:ascii="Times" w:hAnsi="Times" w:cs="Times"/>
          <w:noProof/>
        </w:rPr>
        <w:drawing>
          <wp:inline distT="0" distB="0" distL="0" distR="0" wp14:anchorId="4D1BBA40" wp14:editId="3BC4F767">
            <wp:extent cx="2242457" cy="2352732"/>
            <wp:effectExtent l="0" t="0" r="0" b="9525"/>
            <wp:docPr id="3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42457" cy="2352732"/>
                    </a:xfrm>
                    <a:prstGeom prst="rect">
                      <a:avLst/>
                    </a:prstGeom>
                    <a:noFill/>
                    <a:ln>
                      <a:noFill/>
                    </a:ln>
                  </pic:spPr>
                </pic:pic>
              </a:graphicData>
            </a:graphic>
          </wp:inline>
        </w:drawing>
      </w:r>
    </w:p>
    <w:p w14:paraId="708F7081" w14:textId="77777777" w:rsidR="00777A0A" w:rsidRDefault="00777A0A" w:rsidP="00777A0A">
      <w:pPr>
        <w:widowControl w:val="0"/>
        <w:autoSpaceDE w:val="0"/>
        <w:autoSpaceDN w:val="0"/>
        <w:adjustRightInd w:val="0"/>
        <w:rPr>
          <w:rFonts w:ascii="Times" w:hAnsi="Times" w:cs="Times"/>
        </w:rPr>
      </w:pPr>
    </w:p>
    <w:p w14:paraId="49DC04B1" w14:textId="3C7B2F32" w:rsidR="00777A0A" w:rsidRPr="00B22A31" w:rsidRDefault="00777A0A" w:rsidP="00777A0A">
      <w:pPr>
        <w:jc w:val="center"/>
        <w:rPr>
          <w:rFonts w:ascii="Times" w:hAnsi="Times" w:cs="Arial"/>
          <w:b/>
          <w:bCs/>
          <w:color w:val="000000"/>
        </w:rPr>
      </w:pPr>
      <w:r>
        <w:rPr>
          <w:rFonts w:ascii="Times" w:hAnsi="Times" w:cs="Arial"/>
          <w:b/>
          <w:bCs/>
          <w:color w:val="000000"/>
        </w:rPr>
        <w:t>Figure 4.12</w:t>
      </w:r>
      <w:r w:rsidRPr="00B22A31">
        <w:rPr>
          <w:rFonts w:ascii="Times" w:hAnsi="Times" w:cs="Arial"/>
          <w:b/>
          <w:bCs/>
          <w:color w:val="000000"/>
        </w:rPr>
        <w:t xml:space="preserve">: </w:t>
      </w:r>
      <w:r>
        <w:rPr>
          <w:rFonts w:ascii="Times" w:hAnsi="Times" w:cs="Arial"/>
          <w:bCs/>
          <w:color w:val="000000"/>
        </w:rPr>
        <w:t xml:space="preserve">Schematic of </w:t>
      </w:r>
      <w:r w:rsidR="00D32A6B">
        <w:rPr>
          <w:rFonts w:ascii="Times" w:hAnsi="Times" w:cs="Arial"/>
          <w:bCs/>
          <w:color w:val="000000"/>
        </w:rPr>
        <w:t xml:space="preserve">part of a layer of </w:t>
      </w:r>
      <w:r w:rsidR="00121F95">
        <w:rPr>
          <w:rFonts w:ascii="Times" w:hAnsi="Times" w:cs="Arial"/>
          <w:bCs/>
          <w:color w:val="000000"/>
        </w:rPr>
        <w:t xml:space="preserve">crystal structure of </w:t>
      </w:r>
      <w:r w:rsidR="00D37319">
        <w:rPr>
          <w:rFonts w:ascii="Times" w:hAnsi="Times" w:cs="Arial"/>
          <w:bCs/>
          <w:color w:val="000000"/>
        </w:rPr>
        <w:t>tobermorite</w:t>
      </w:r>
      <w:r w:rsidR="00D32A6B">
        <w:rPr>
          <w:rFonts w:ascii="Times" w:hAnsi="Times" w:cs="Arial"/>
          <w:bCs/>
          <w:color w:val="000000"/>
        </w:rPr>
        <w:t xml:space="preserve"> missing the external CaO</w:t>
      </w:r>
      <w:r w:rsidR="00A84365">
        <w:rPr>
          <w:rFonts w:ascii="Times" w:hAnsi="Times" w:cs="Arial"/>
          <w:bCs/>
          <w:color w:val="000000"/>
        </w:rPr>
        <w:t xml:space="preserve"> layer</w:t>
      </w:r>
      <w:r w:rsidR="00D37319">
        <w:rPr>
          <w:rFonts w:ascii="Times" w:hAnsi="Times" w:cs="Arial"/>
          <w:bCs/>
          <w:color w:val="000000"/>
        </w:rPr>
        <w:t xml:space="preserve"> [29</w:t>
      </w:r>
      <w:r>
        <w:rPr>
          <w:rFonts w:ascii="Times" w:hAnsi="Times" w:cs="Arial"/>
          <w:bCs/>
          <w:color w:val="000000"/>
        </w:rPr>
        <w:t>]</w:t>
      </w:r>
    </w:p>
    <w:p w14:paraId="38A6C283" w14:textId="62656F23" w:rsidR="00777A0A" w:rsidRPr="00D330CA" w:rsidRDefault="005C4715" w:rsidP="003D0730">
      <w:pPr>
        <w:spacing w:before="240" w:after="120" w:line="480" w:lineRule="exact"/>
        <w:jc w:val="both"/>
        <w:rPr>
          <w:rFonts w:ascii="Times" w:hAnsi="Times" w:cs="Times"/>
          <w:szCs w:val="26"/>
        </w:rPr>
      </w:pPr>
      <w:r>
        <w:rPr>
          <w:rFonts w:ascii="Times" w:hAnsi="Times" w:cs="Times"/>
        </w:rPr>
        <w:t>T</w:t>
      </w:r>
      <w:r w:rsidR="00777A0A">
        <w:rPr>
          <w:rFonts w:ascii="Times" w:hAnsi="Times" w:cs="Times"/>
        </w:rPr>
        <w:t xml:space="preserve">he spectra of </w:t>
      </w:r>
      <w:r w:rsidR="00777A0A" w:rsidRPr="00883FA7">
        <w:rPr>
          <w:rFonts w:ascii="Times" w:hAnsi="Times" w:cs="Times"/>
          <w:b/>
        </w:rPr>
        <w:t>0DB</w:t>
      </w:r>
      <w:r w:rsidR="00777A0A">
        <w:rPr>
          <w:rFonts w:ascii="Times" w:hAnsi="Times" w:cs="Times"/>
        </w:rPr>
        <w:t xml:space="preserve"> and </w:t>
      </w:r>
      <w:r w:rsidR="00883FA7" w:rsidRPr="00947B7A">
        <w:rPr>
          <w:rFonts w:ascii="Times" w:hAnsi="Times" w:cs="Arial"/>
          <w:b/>
          <w:bCs/>
          <w:color w:val="000000"/>
        </w:rPr>
        <w:t>0D</w:t>
      </w:r>
      <m:oMath>
        <m:acc>
          <m:accPr>
            <m:chr m:val="̅"/>
            <m:ctrlPr>
              <w:rPr>
                <w:rFonts w:ascii="Cambria Math" w:hAnsi="Cambria Math" w:cs="Arial"/>
                <w:b/>
                <w:i/>
                <w:sz w:val="36"/>
                <w:szCs w:val="36"/>
              </w:rPr>
            </m:ctrlPr>
          </m:accPr>
          <m:e>
            <m:r>
              <m:rPr>
                <m:sty m:val="p"/>
              </m:rPr>
              <w:rPr>
                <w:rFonts w:ascii="Cambria Math" w:hAnsi="Cambria Math" w:cs="Arial"/>
                <w:sz w:val="36"/>
                <w:szCs w:val="36"/>
              </w:rPr>
              <m:t>cs</m:t>
            </m:r>
          </m:e>
        </m:acc>
      </m:oMath>
      <w:r w:rsidR="00777A0A">
        <w:rPr>
          <w:rFonts w:ascii="Times" w:hAnsi="Times" w:cs="Times"/>
        </w:rPr>
        <w:t xml:space="preserve"> series for the first 90 days are compared in Figure 4.13</w:t>
      </w:r>
      <w:r w:rsidR="00B15417">
        <w:rPr>
          <w:rFonts w:ascii="Times" w:hAnsi="Times" w:cs="Times"/>
        </w:rPr>
        <w:t xml:space="preserve"> using peak intensities as a rough guide</w:t>
      </w:r>
      <w:r w:rsidR="00777A0A">
        <w:rPr>
          <w:rFonts w:ascii="Times" w:hAnsi="Times" w:cs="Times"/>
        </w:rPr>
        <w:t>.</w:t>
      </w:r>
      <w:r w:rsidR="00D330CA" w:rsidRPr="00D330CA">
        <w:rPr>
          <w:rFonts w:ascii="Times" w:hAnsi="Times" w:cs="Arial"/>
          <w:bCs/>
          <w:color w:val="000000"/>
        </w:rPr>
        <w:t xml:space="preserve"> </w:t>
      </w:r>
      <w:r w:rsidR="00D330CA">
        <w:rPr>
          <w:rFonts w:ascii="Times" w:hAnsi="Times" w:cs="Arial"/>
          <w:bCs/>
          <w:color w:val="000000"/>
        </w:rPr>
        <w:t xml:space="preserve">The </w:t>
      </w:r>
      <w:r w:rsidR="00FF4E5B">
        <w:rPr>
          <w:rFonts w:ascii="Times" w:hAnsi="Times" w:cs="Arial"/>
          <w:bCs/>
          <w:color w:val="000000"/>
        </w:rPr>
        <w:t>relative p</w:t>
      </w:r>
      <w:r w:rsidR="00D330CA">
        <w:rPr>
          <w:rFonts w:ascii="Times" w:hAnsi="Times" w:cs="Arial"/>
          <w:bCs/>
          <w:color w:val="000000"/>
        </w:rPr>
        <w:t>eak intensities for</w:t>
      </w:r>
      <w:r w:rsidR="00DA400E">
        <w:rPr>
          <w:rFonts w:ascii="Times" w:hAnsi="Times" w:cs="Arial"/>
          <w:bCs/>
          <w:color w:val="000000"/>
        </w:rPr>
        <w:t xml:space="preserve"> Q</w:t>
      </w:r>
      <w:r w:rsidR="00DA400E">
        <w:rPr>
          <w:rFonts w:ascii="Times" w:hAnsi="Times" w:cs="Arial"/>
          <w:bCs/>
          <w:color w:val="000000"/>
          <w:vertAlign w:val="superscript"/>
        </w:rPr>
        <w:t>2</w:t>
      </w:r>
      <w:r w:rsidR="00DA400E">
        <w:rPr>
          <w:rFonts w:ascii="Times" w:hAnsi="Times" w:cs="Arial"/>
          <w:bCs/>
          <w:color w:val="000000"/>
        </w:rPr>
        <w:t xml:space="preserve"> and</w:t>
      </w:r>
      <w:r w:rsidR="00D330CA">
        <w:rPr>
          <w:rFonts w:ascii="Times" w:hAnsi="Times" w:cs="Arial"/>
          <w:bCs/>
          <w:color w:val="000000"/>
        </w:rPr>
        <w:t xml:space="preserve"> </w:t>
      </w:r>
      <w:proofErr w:type="gramStart"/>
      <w:r w:rsidR="00D330CA">
        <w:rPr>
          <w:rFonts w:ascii="Times" w:hAnsi="Times" w:cs="Arial"/>
          <w:bCs/>
          <w:color w:val="000000"/>
        </w:rPr>
        <w:t>Q</w:t>
      </w:r>
      <w:r w:rsidR="00D330CA">
        <w:rPr>
          <w:rFonts w:ascii="Times" w:hAnsi="Times" w:cs="Arial"/>
          <w:bCs/>
          <w:color w:val="000000"/>
          <w:vertAlign w:val="superscript"/>
        </w:rPr>
        <w:t>2</w:t>
      </w:r>
      <w:r w:rsidR="00D330CA">
        <w:rPr>
          <w:rFonts w:ascii="Times" w:hAnsi="Times" w:cs="Arial"/>
          <w:bCs/>
          <w:color w:val="000000"/>
        </w:rPr>
        <w:t>(</w:t>
      </w:r>
      <w:proofErr w:type="gramEnd"/>
      <w:r w:rsidR="00D330CA">
        <w:rPr>
          <w:rFonts w:ascii="Times" w:hAnsi="Times" w:cs="Arial"/>
          <w:bCs/>
          <w:color w:val="000000"/>
        </w:rPr>
        <w:t>1Al)</w:t>
      </w:r>
      <w:r w:rsidR="00FF4E5B">
        <w:rPr>
          <w:rFonts w:ascii="Times" w:hAnsi="Times" w:cs="Arial"/>
          <w:bCs/>
          <w:color w:val="000000"/>
        </w:rPr>
        <w:t xml:space="preserve"> is </w:t>
      </w:r>
      <w:r w:rsidR="00DA400E">
        <w:rPr>
          <w:rFonts w:ascii="Times" w:hAnsi="Times" w:cs="Arial"/>
          <w:bCs/>
          <w:color w:val="000000"/>
        </w:rPr>
        <w:t>higher</w:t>
      </w:r>
      <w:r w:rsidR="00D330CA">
        <w:rPr>
          <w:rFonts w:ascii="Times" w:hAnsi="Times" w:cs="Arial"/>
          <w:bCs/>
          <w:color w:val="000000"/>
        </w:rPr>
        <w:t xml:space="preserve"> </w:t>
      </w:r>
      <w:r w:rsidR="00FF4E5B">
        <w:rPr>
          <w:rFonts w:ascii="Times" w:hAnsi="Times" w:cs="Arial"/>
          <w:bCs/>
          <w:color w:val="000000"/>
        </w:rPr>
        <w:t>to that in</w:t>
      </w:r>
      <w:r w:rsidR="00D330CA">
        <w:rPr>
          <w:rFonts w:ascii="Times" w:hAnsi="Times" w:cs="Arial"/>
          <w:bCs/>
          <w:color w:val="000000"/>
        </w:rPr>
        <w:t xml:space="preserve"> the </w:t>
      </w:r>
      <w:r w:rsidR="00D330CA" w:rsidRPr="007B70CB">
        <w:rPr>
          <w:rFonts w:ascii="Times" w:hAnsi="Times" w:cs="Arial"/>
          <w:b/>
          <w:bCs/>
          <w:color w:val="000000"/>
        </w:rPr>
        <w:t>0DB</w:t>
      </w:r>
      <w:r w:rsidR="00D330CA">
        <w:rPr>
          <w:rFonts w:ascii="Times" w:hAnsi="Times" w:cs="Arial"/>
          <w:bCs/>
          <w:color w:val="000000"/>
        </w:rPr>
        <w:t xml:space="preserve"> series</w:t>
      </w:r>
      <w:r w:rsidR="00FF4E5B">
        <w:rPr>
          <w:rFonts w:ascii="Times" w:hAnsi="Times" w:cs="Arial"/>
          <w:bCs/>
          <w:color w:val="000000"/>
        </w:rPr>
        <w:t>, the</w:t>
      </w:r>
      <w:r w:rsidR="00D330CA">
        <w:rPr>
          <w:rFonts w:ascii="Times" w:hAnsi="Times" w:cs="Arial"/>
          <w:bCs/>
          <w:color w:val="000000"/>
        </w:rPr>
        <w:t xml:space="preserve"> Q</w:t>
      </w:r>
      <w:r w:rsidR="00D330CA">
        <w:rPr>
          <w:rFonts w:ascii="Times" w:hAnsi="Times" w:cs="Arial"/>
          <w:bCs/>
          <w:color w:val="000000"/>
          <w:vertAlign w:val="superscript"/>
        </w:rPr>
        <w:t>2</w:t>
      </w:r>
      <w:r w:rsidR="00381C0E">
        <w:rPr>
          <w:rFonts w:ascii="Times" w:hAnsi="Times" w:cs="Arial"/>
          <w:bCs/>
          <w:color w:val="000000"/>
        </w:rPr>
        <w:t xml:space="preserve"> </w:t>
      </w:r>
      <w:r w:rsidR="00FF4E5B">
        <w:rPr>
          <w:rFonts w:ascii="Times" w:hAnsi="Times" w:cs="Arial"/>
          <w:bCs/>
          <w:color w:val="000000"/>
        </w:rPr>
        <w:t>peaks are</w:t>
      </w:r>
      <w:r w:rsidR="00D330CA">
        <w:rPr>
          <w:rFonts w:ascii="Times" w:hAnsi="Times" w:cs="Arial"/>
          <w:bCs/>
          <w:color w:val="000000"/>
        </w:rPr>
        <w:t xml:space="preserve"> </w:t>
      </w:r>
      <w:r w:rsidR="00DA400E">
        <w:rPr>
          <w:rFonts w:ascii="Times" w:hAnsi="Times" w:cs="Arial"/>
          <w:bCs/>
          <w:color w:val="000000"/>
        </w:rPr>
        <w:t xml:space="preserve">significantly </w:t>
      </w:r>
      <w:r w:rsidR="00D330CA">
        <w:rPr>
          <w:rFonts w:ascii="Times" w:hAnsi="Times" w:cs="Arial"/>
          <w:bCs/>
          <w:color w:val="000000"/>
        </w:rPr>
        <w:t xml:space="preserve">more intense in the </w:t>
      </w:r>
      <w:r w:rsidR="000F6BBD">
        <w:rPr>
          <w:rFonts w:ascii="Times" w:hAnsi="Times" w:cs="Times New Roman"/>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D330CA">
        <w:rPr>
          <w:rFonts w:ascii="Times" w:hAnsi="Times" w:cs="Arial"/>
          <w:bCs/>
          <w:color w:val="000000"/>
        </w:rPr>
        <w:t xml:space="preserve"> samples (figure 4.13). Furthermore the Q</w:t>
      </w:r>
      <w:r w:rsidR="00D330CA">
        <w:rPr>
          <w:rFonts w:ascii="Times" w:hAnsi="Times" w:cs="Arial"/>
          <w:bCs/>
          <w:color w:val="000000"/>
          <w:vertAlign w:val="superscript"/>
        </w:rPr>
        <w:t>1</w:t>
      </w:r>
      <w:r w:rsidR="00D330CA">
        <w:rPr>
          <w:rFonts w:ascii="Times" w:hAnsi="Times" w:cs="Arial"/>
          <w:bCs/>
          <w:color w:val="000000"/>
        </w:rPr>
        <w:t xml:space="preserve"> peaks in </w:t>
      </w:r>
      <w:r w:rsidR="00D330CA" w:rsidRPr="000F6BBD">
        <w:rPr>
          <w:rFonts w:ascii="Times" w:hAnsi="Times" w:cs="Arial"/>
          <w:b/>
          <w:bCs/>
          <w:color w:val="000000"/>
        </w:rPr>
        <w:t>0DB</w:t>
      </w:r>
      <w:r w:rsidR="00D330CA">
        <w:rPr>
          <w:rFonts w:ascii="Times" w:hAnsi="Times" w:cs="Arial"/>
          <w:bCs/>
          <w:color w:val="000000"/>
        </w:rPr>
        <w:t xml:space="preserve"> are more intense than those in </w:t>
      </w:r>
      <w:r w:rsidR="003D0730">
        <w:rPr>
          <w:rFonts w:ascii="Times" w:hAnsi="Times" w:cs="Arial"/>
          <w:b/>
          <w:bCs/>
          <w:color w:val="000000"/>
        </w:rPr>
        <w:lastRenderedPageBreak/>
        <w:t>0D</w:t>
      </w:r>
      <m:oMath>
        <m:acc>
          <m:accPr>
            <m:chr m:val="̅"/>
            <m:ctrlPr>
              <w:rPr>
                <w:rFonts w:ascii="Cambria Math" w:hAnsi="Cambria Math" w:cs="Arial"/>
                <w:b/>
                <w:i/>
                <w:sz w:val="36"/>
                <w:szCs w:val="36"/>
              </w:rPr>
            </m:ctrlPr>
          </m:accPr>
          <m:e>
            <m:r>
              <m:rPr>
                <m:sty m:val="p"/>
              </m:rPr>
              <w:rPr>
                <w:rFonts w:ascii="Cambria Math" w:hAnsi="Cambria Math" w:cs="Arial"/>
                <w:sz w:val="36"/>
                <w:szCs w:val="36"/>
              </w:rPr>
              <m:t>cs</m:t>
            </m:r>
          </m:e>
        </m:acc>
      </m:oMath>
      <w:r w:rsidR="00D330CA">
        <w:rPr>
          <w:rFonts w:ascii="Times" w:hAnsi="Times" w:cs="Arial"/>
          <w:bCs/>
          <w:color w:val="000000"/>
        </w:rPr>
        <w:t xml:space="preserve">. </w:t>
      </w:r>
      <w:r w:rsidR="00D330CA">
        <w:rPr>
          <w:rFonts w:ascii="Times" w:hAnsi="Times" w:cs="Times"/>
          <w:szCs w:val="26"/>
        </w:rPr>
        <w:t>Sun et al</w:t>
      </w:r>
      <w:r w:rsidR="009F186C">
        <w:rPr>
          <w:rFonts w:ascii="Times" w:hAnsi="Times" w:cs="Times"/>
          <w:szCs w:val="26"/>
        </w:rPr>
        <w:t xml:space="preserve"> [30]</w:t>
      </w:r>
      <w:r w:rsidR="00D330CA">
        <w:rPr>
          <w:rFonts w:ascii="Times" w:hAnsi="Times" w:cs="Times"/>
          <w:szCs w:val="26"/>
        </w:rPr>
        <w:t xml:space="preserve"> explained the increase in </w:t>
      </w:r>
      <w:proofErr w:type="gramStart"/>
      <w:r w:rsidR="00D330CA">
        <w:rPr>
          <w:rFonts w:ascii="Times" w:hAnsi="Times" w:cs="Times"/>
          <w:szCs w:val="26"/>
        </w:rPr>
        <w:t>Q</w:t>
      </w:r>
      <w:r w:rsidR="00D330CA">
        <w:rPr>
          <w:rFonts w:ascii="Times" w:hAnsi="Times" w:cs="Times"/>
          <w:szCs w:val="26"/>
          <w:vertAlign w:val="superscript"/>
        </w:rPr>
        <w:t>2</w:t>
      </w:r>
      <w:r w:rsidR="007C2D1C">
        <w:rPr>
          <w:rFonts w:ascii="Times" w:hAnsi="Times" w:cs="Times"/>
          <w:szCs w:val="26"/>
        </w:rPr>
        <w:t>(</w:t>
      </w:r>
      <w:proofErr w:type="gramEnd"/>
      <w:r w:rsidR="007C2D1C">
        <w:rPr>
          <w:rFonts w:ascii="Times" w:hAnsi="Times" w:cs="Times"/>
          <w:szCs w:val="26"/>
        </w:rPr>
        <w:t>Al)</w:t>
      </w:r>
      <w:r w:rsidR="00D330CA">
        <w:rPr>
          <w:rFonts w:ascii="Times" w:hAnsi="Times" w:cs="Times"/>
          <w:szCs w:val="26"/>
        </w:rPr>
        <w:t xml:space="preserve"> intensity and decrease of Q</w:t>
      </w:r>
      <w:r w:rsidR="00D330CA">
        <w:rPr>
          <w:rFonts w:ascii="Times" w:hAnsi="Times" w:cs="Times"/>
          <w:szCs w:val="26"/>
          <w:vertAlign w:val="superscript"/>
        </w:rPr>
        <w:t>1</w:t>
      </w:r>
      <w:r w:rsidR="00D330CA">
        <w:rPr>
          <w:rFonts w:ascii="Times" w:hAnsi="Times" w:cs="Times"/>
          <w:szCs w:val="26"/>
        </w:rPr>
        <w:t xml:space="preserve"> was due to the Al entering the tetrahedral chain sites and the Al-Si chains becoming p</w:t>
      </w:r>
      <w:r w:rsidR="00DC4087">
        <w:rPr>
          <w:rFonts w:ascii="Times" w:hAnsi="Times" w:cs="Times"/>
          <w:szCs w:val="26"/>
        </w:rPr>
        <w:t>rogressively more polymerised [28</w:t>
      </w:r>
      <w:r w:rsidR="00D330CA">
        <w:rPr>
          <w:rFonts w:ascii="Times" w:hAnsi="Times" w:cs="Times"/>
          <w:szCs w:val="26"/>
        </w:rPr>
        <w:t>]. Because the bond length of Al-O is typically longer than that of Si-O, the</w:t>
      </w:r>
      <w:r w:rsidR="00DA400E">
        <w:rPr>
          <w:rFonts w:ascii="Times" w:hAnsi="Times" w:cs="Times"/>
          <w:szCs w:val="26"/>
        </w:rPr>
        <w:t xml:space="preserve"> Al </w:t>
      </w:r>
      <w:r w:rsidR="000044B1">
        <w:rPr>
          <w:rFonts w:ascii="Times" w:hAnsi="Times" w:cs="Times"/>
          <w:szCs w:val="26"/>
        </w:rPr>
        <w:t>substitutions</w:t>
      </w:r>
      <w:r w:rsidR="00DA400E">
        <w:rPr>
          <w:rFonts w:ascii="Times" w:hAnsi="Times" w:cs="Times"/>
          <w:szCs w:val="26"/>
        </w:rPr>
        <w:t xml:space="preserve"> occur at the </w:t>
      </w:r>
      <w:r w:rsidR="00D330CA">
        <w:rPr>
          <w:rFonts w:ascii="Times" w:hAnsi="Times" w:cs="Times"/>
          <w:szCs w:val="26"/>
        </w:rPr>
        <w:t>bridging site (Q</w:t>
      </w:r>
      <w:r w:rsidR="00D330CA">
        <w:rPr>
          <w:rFonts w:ascii="Times" w:hAnsi="Times" w:cs="Times"/>
          <w:szCs w:val="26"/>
          <w:vertAlign w:val="superscript"/>
        </w:rPr>
        <w:t>2</w:t>
      </w:r>
      <w:r w:rsidR="00D330CA">
        <w:rPr>
          <w:rFonts w:ascii="Times" w:hAnsi="Times" w:cs="Times"/>
          <w:szCs w:val="26"/>
        </w:rPr>
        <w:t xml:space="preserve">) </w:t>
      </w:r>
      <w:r w:rsidR="00DA400E">
        <w:rPr>
          <w:rFonts w:ascii="Times" w:hAnsi="Times" w:cs="Times"/>
          <w:szCs w:val="26"/>
        </w:rPr>
        <w:t>is this region is</w:t>
      </w:r>
      <w:r w:rsidR="00D330CA">
        <w:rPr>
          <w:rFonts w:ascii="Times" w:hAnsi="Times" w:cs="Times"/>
          <w:szCs w:val="26"/>
        </w:rPr>
        <w:t xml:space="preserve"> more favorable to accommodate these larger</w:t>
      </w:r>
      <w:r w:rsidR="00DA400E">
        <w:rPr>
          <w:rFonts w:ascii="Times" w:hAnsi="Times" w:cs="Times"/>
          <w:szCs w:val="26"/>
        </w:rPr>
        <w:t xml:space="preserve"> Al-O</w:t>
      </w:r>
      <w:r w:rsidR="00D330CA">
        <w:rPr>
          <w:rFonts w:ascii="Times" w:hAnsi="Times" w:cs="Times"/>
          <w:szCs w:val="26"/>
        </w:rPr>
        <w:t xml:space="preserve"> </w:t>
      </w:r>
      <w:proofErr w:type="gramStart"/>
      <w:r w:rsidR="00D330CA">
        <w:rPr>
          <w:rFonts w:ascii="Times" w:hAnsi="Times" w:cs="Times"/>
          <w:szCs w:val="26"/>
        </w:rPr>
        <w:t>bonds</w:t>
      </w:r>
      <w:proofErr w:type="gramEnd"/>
      <w:r w:rsidR="00D330CA">
        <w:rPr>
          <w:rFonts w:ascii="Times" w:hAnsi="Times" w:cs="Times"/>
          <w:szCs w:val="26"/>
        </w:rPr>
        <w:t xml:space="preserve"> as there would be more space available</w:t>
      </w:r>
      <w:r w:rsidR="00FF4E5B">
        <w:rPr>
          <w:rFonts w:ascii="Times" w:hAnsi="Times" w:cs="Times"/>
          <w:szCs w:val="26"/>
        </w:rPr>
        <w:t>. This connects the Q</w:t>
      </w:r>
      <w:r w:rsidR="00FF4E5B">
        <w:rPr>
          <w:rFonts w:ascii="Times" w:hAnsi="Times" w:cs="Times"/>
          <w:szCs w:val="26"/>
          <w:vertAlign w:val="superscript"/>
        </w:rPr>
        <w:t>1</w:t>
      </w:r>
      <w:r w:rsidR="00FF4E5B">
        <w:rPr>
          <w:rFonts w:ascii="Times" w:hAnsi="Times" w:cs="Times"/>
          <w:szCs w:val="26"/>
        </w:rPr>
        <w:t xml:space="preserve"> Si-sites to </w:t>
      </w:r>
      <w:proofErr w:type="gramStart"/>
      <w:r w:rsidR="00FF4E5B">
        <w:rPr>
          <w:rFonts w:ascii="Times" w:hAnsi="Times" w:cs="Times"/>
          <w:szCs w:val="26"/>
        </w:rPr>
        <w:t>Q</w:t>
      </w:r>
      <w:r w:rsidR="00FF4E5B">
        <w:rPr>
          <w:rFonts w:ascii="Times" w:hAnsi="Times" w:cs="Times"/>
          <w:szCs w:val="26"/>
          <w:vertAlign w:val="superscript"/>
        </w:rPr>
        <w:t>2</w:t>
      </w:r>
      <w:r w:rsidR="00FF4E5B">
        <w:rPr>
          <w:rFonts w:ascii="Times" w:hAnsi="Times" w:cs="Times"/>
          <w:szCs w:val="26"/>
        </w:rPr>
        <w:t>(</w:t>
      </w:r>
      <w:proofErr w:type="gramEnd"/>
      <w:r w:rsidR="00FF4E5B">
        <w:rPr>
          <w:rFonts w:ascii="Times" w:hAnsi="Times" w:cs="Times"/>
          <w:szCs w:val="26"/>
        </w:rPr>
        <w:t>1Al) sites increasing polymerisation</w:t>
      </w:r>
      <w:r w:rsidR="00D330CA">
        <w:rPr>
          <w:rFonts w:ascii="Times" w:hAnsi="Times" w:cs="Times"/>
          <w:szCs w:val="26"/>
        </w:rPr>
        <w:t xml:space="preserve">. This </w:t>
      </w:r>
      <w:r w:rsidR="00D37319">
        <w:rPr>
          <w:rFonts w:ascii="Times" w:hAnsi="Times" w:cs="Times"/>
          <w:szCs w:val="26"/>
        </w:rPr>
        <w:t xml:space="preserve">is </w:t>
      </w:r>
      <w:r w:rsidR="00971672">
        <w:rPr>
          <w:rFonts w:ascii="Times" w:hAnsi="Times" w:cs="Times"/>
          <w:szCs w:val="26"/>
        </w:rPr>
        <w:t>supported</w:t>
      </w:r>
      <w:r w:rsidR="00D37319">
        <w:rPr>
          <w:rFonts w:ascii="Times" w:hAnsi="Times" w:cs="Times"/>
          <w:szCs w:val="26"/>
        </w:rPr>
        <w:t xml:space="preserve"> by Brough et al. [31</w:t>
      </w:r>
      <w:r w:rsidR="00D330CA">
        <w:rPr>
          <w:rFonts w:ascii="Times" w:hAnsi="Times" w:cs="Times"/>
          <w:szCs w:val="26"/>
        </w:rPr>
        <w:t xml:space="preserve">] who stated that more Al substitutions for Si </w:t>
      </w:r>
      <w:r w:rsidR="00D330CA">
        <w:rPr>
          <w:rFonts w:ascii="Times" w:hAnsi="Times" w:cs="Arial"/>
          <w:bCs/>
          <w:color w:val="000000"/>
        </w:rPr>
        <w:t>into the tetrahedral sites in the mid-location of the C-S-H chain,</w:t>
      </w:r>
      <w:r w:rsidR="00D330CA">
        <w:rPr>
          <w:rFonts w:ascii="Times" w:hAnsi="Times" w:cs="Times"/>
          <w:szCs w:val="26"/>
        </w:rPr>
        <w:t xml:space="preserve"> forming Q</w:t>
      </w:r>
      <w:r w:rsidR="00D330CA">
        <w:rPr>
          <w:rFonts w:ascii="Times" w:hAnsi="Times" w:cs="Times"/>
          <w:szCs w:val="26"/>
          <w:vertAlign w:val="superscript"/>
        </w:rPr>
        <w:t>2</w:t>
      </w:r>
      <w:r w:rsidR="00D330CA">
        <w:rPr>
          <w:rFonts w:ascii="Times" w:hAnsi="Times" w:cs="Times"/>
          <w:szCs w:val="26"/>
        </w:rPr>
        <w:t xml:space="preserve"> unit as opposed to Q</w:t>
      </w:r>
      <w:r w:rsidR="00D330CA">
        <w:rPr>
          <w:rFonts w:ascii="Times" w:hAnsi="Times" w:cs="Times"/>
          <w:szCs w:val="26"/>
          <w:vertAlign w:val="superscript"/>
        </w:rPr>
        <w:t>1</w:t>
      </w:r>
      <w:r w:rsidR="00D330CA">
        <w:rPr>
          <w:rFonts w:ascii="Times" w:hAnsi="Times" w:cs="Times"/>
          <w:szCs w:val="26"/>
        </w:rPr>
        <w:t>. They also found that this substitution caused a shift of the Q</w:t>
      </w:r>
      <w:r w:rsidR="00D330CA">
        <w:rPr>
          <w:rFonts w:ascii="Times" w:hAnsi="Times" w:cs="Times"/>
          <w:szCs w:val="26"/>
          <w:vertAlign w:val="superscript"/>
        </w:rPr>
        <w:t xml:space="preserve">2 </w:t>
      </w:r>
      <w:r w:rsidR="00D330CA">
        <w:rPr>
          <w:rFonts w:ascii="Times" w:hAnsi="Times" w:cs="Times"/>
          <w:szCs w:val="26"/>
        </w:rPr>
        <w:t>peaks to the left.</w:t>
      </w:r>
      <w:r w:rsidR="00D330CA">
        <w:rPr>
          <w:rFonts w:ascii="Times" w:hAnsi="Times" w:cs="Arial"/>
          <w:bCs/>
          <w:color w:val="000000"/>
        </w:rPr>
        <w:t xml:space="preserve"> </w:t>
      </w:r>
      <w:r w:rsidR="00D330CA">
        <w:rPr>
          <w:rFonts w:ascii="Times" w:hAnsi="Times" w:cs="Times"/>
          <w:szCs w:val="26"/>
        </w:rPr>
        <w:t xml:space="preserve"> However figure 4.13 shows a similar intensity in the </w:t>
      </w:r>
      <w:proofErr w:type="gramStart"/>
      <w:r w:rsidR="00D330CA">
        <w:rPr>
          <w:rFonts w:ascii="Times" w:hAnsi="Times" w:cs="Times"/>
          <w:szCs w:val="26"/>
        </w:rPr>
        <w:t>Q</w:t>
      </w:r>
      <w:r w:rsidR="00D330CA">
        <w:rPr>
          <w:rFonts w:ascii="Times" w:hAnsi="Times" w:cs="Times"/>
          <w:szCs w:val="26"/>
          <w:vertAlign w:val="superscript"/>
        </w:rPr>
        <w:t>2</w:t>
      </w:r>
      <w:r w:rsidR="00D330CA">
        <w:rPr>
          <w:rFonts w:ascii="Times" w:hAnsi="Times" w:cs="Times"/>
          <w:szCs w:val="26"/>
        </w:rPr>
        <w:t>(</w:t>
      </w:r>
      <w:proofErr w:type="gramEnd"/>
      <w:r w:rsidR="00D330CA">
        <w:rPr>
          <w:rFonts w:ascii="Times" w:hAnsi="Times" w:cs="Times"/>
          <w:szCs w:val="26"/>
        </w:rPr>
        <w:t>1Al) sites, therefore suggesting that although the same amount of Q</w:t>
      </w:r>
      <w:r w:rsidR="00D330CA">
        <w:rPr>
          <w:rFonts w:ascii="Times" w:hAnsi="Times" w:cs="Times"/>
          <w:szCs w:val="26"/>
          <w:vertAlign w:val="superscript"/>
        </w:rPr>
        <w:t>2</w:t>
      </w:r>
      <w:r w:rsidR="00D330CA">
        <w:rPr>
          <w:rFonts w:ascii="Times" w:hAnsi="Times" w:cs="Times"/>
          <w:szCs w:val="26"/>
        </w:rPr>
        <w:t xml:space="preserve">(1Al) sites are present, the C-S-H chains in </w:t>
      </w:r>
      <w:r w:rsidR="00883FA7" w:rsidRPr="00947B7A">
        <w:rPr>
          <w:rFonts w:ascii="Times" w:hAnsi="Times" w:cs="Arial"/>
          <w:b/>
          <w:bCs/>
          <w:color w:val="000000"/>
        </w:rPr>
        <w:t>0D</w:t>
      </w:r>
      <m:oMath>
        <m:acc>
          <m:accPr>
            <m:chr m:val="̅"/>
            <m:ctrlPr>
              <w:rPr>
                <w:rFonts w:ascii="Cambria Math" w:hAnsi="Cambria Math" w:cs="Arial"/>
                <w:b/>
                <w:i/>
                <w:sz w:val="36"/>
                <w:szCs w:val="36"/>
              </w:rPr>
            </m:ctrlPr>
          </m:accPr>
          <m:e>
            <m:r>
              <m:rPr>
                <m:sty m:val="p"/>
              </m:rPr>
              <w:rPr>
                <w:rFonts w:ascii="Cambria Math" w:hAnsi="Cambria Math" w:cs="Arial"/>
                <w:sz w:val="36"/>
                <w:szCs w:val="36"/>
              </w:rPr>
              <m:t>cs</m:t>
            </m:r>
          </m:e>
        </m:acc>
      </m:oMath>
      <w:r w:rsidR="00D330CA">
        <w:rPr>
          <w:rFonts w:ascii="Times" w:hAnsi="Times" w:cs="Times"/>
          <w:szCs w:val="26"/>
        </w:rPr>
        <w:t xml:space="preserve"> are longer. </w:t>
      </w:r>
      <w:r w:rsidR="00777A0A">
        <w:rPr>
          <w:rFonts w:ascii="Times" w:hAnsi="Times" w:cs="Times"/>
        </w:rPr>
        <w:t xml:space="preserve"> Furthermore the hump for the </w:t>
      </w:r>
      <w:r w:rsidR="004E5745">
        <w:rPr>
          <w:rFonts w:ascii="Times" w:hAnsi="Times" w:cs="Times"/>
        </w:rPr>
        <w:t>unreacted slag</w:t>
      </w:r>
      <w:r w:rsidR="00777A0A">
        <w:rPr>
          <w:rFonts w:ascii="Times" w:hAnsi="Times" w:cs="Times"/>
        </w:rPr>
        <w:t xml:space="preserve"> is slightly more intense in the blank sample, suggesting that hydration is occurring faster in</w:t>
      </w:r>
      <m:oMath>
        <m:r>
          <m:rPr>
            <m:sty m:val="bi"/>
          </m:rPr>
          <w:rPr>
            <w:rFonts w:ascii="Cambria Math" w:hAnsi="Cambria Math" w:cs="Arial"/>
            <w:sz w:val="36"/>
            <w:szCs w:val="36"/>
          </w:rPr>
          <m:t xml:space="preserve"> </m:t>
        </m:r>
        <m:acc>
          <m:accPr>
            <m:chr m:val="̅"/>
            <m:ctrlPr>
              <w:rPr>
                <w:rFonts w:ascii="Cambria Math" w:hAnsi="Cambria Math" w:cs="Arial"/>
                <w:b/>
                <w:i/>
                <w:sz w:val="36"/>
                <w:szCs w:val="36"/>
              </w:rPr>
            </m:ctrlPr>
          </m:accPr>
          <m:e>
            <m:r>
              <m:rPr>
                <m:sty m:val="p"/>
              </m:rPr>
              <w:rPr>
                <w:rFonts w:ascii="Cambria Math" w:hAnsi="Cambria Math" w:cs="Arial"/>
                <w:sz w:val="36"/>
                <w:szCs w:val="36"/>
              </w:rPr>
              <m:t>cs</m:t>
            </m:r>
          </m:e>
        </m:acc>
        <m:r>
          <m:rPr>
            <m:sty m:val="bi"/>
          </m:rPr>
          <w:rPr>
            <w:rFonts w:ascii="Cambria Math" w:hAnsi="Cambria Math" w:cs="Arial"/>
            <w:sz w:val="36"/>
            <w:szCs w:val="36"/>
          </w:rPr>
          <m:t xml:space="preserve"> </m:t>
        </m:r>
      </m:oMath>
      <w:r w:rsidR="00777A0A">
        <w:rPr>
          <w:rFonts w:ascii="Times" w:hAnsi="Times" w:cs="Times"/>
        </w:rPr>
        <w:t>sample</w:t>
      </w:r>
      <w:r w:rsidR="004E5745">
        <w:rPr>
          <w:rFonts w:ascii="Times" w:hAnsi="Times" w:cs="Times"/>
        </w:rPr>
        <w:t>, this is</w:t>
      </w:r>
      <w:r w:rsidR="00645502">
        <w:rPr>
          <w:rFonts w:ascii="Times" w:hAnsi="Times" w:cs="Times"/>
        </w:rPr>
        <w:t xml:space="preserve"> studied</w:t>
      </w:r>
      <w:r w:rsidR="004E5745">
        <w:rPr>
          <w:rFonts w:ascii="Times" w:hAnsi="Times" w:cs="Times"/>
        </w:rPr>
        <w:t xml:space="preserve"> further in the discussion section of this chapter</w:t>
      </w:r>
      <w:r w:rsidR="00777A0A">
        <w:rPr>
          <w:rFonts w:ascii="Times" w:hAnsi="Times" w:cs="Times"/>
        </w:rPr>
        <w:t xml:space="preserve">. </w:t>
      </w:r>
    </w:p>
    <w:p w14:paraId="188DCBE5" w14:textId="686570DF" w:rsidR="0051159B" w:rsidRDefault="0051159B" w:rsidP="00777A0A">
      <w:pPr>
        <w:widowControl w:val="0"/>
        <w:autoSpaceDE w:val="0"/>
        <w:autoSpaceDN w:val="0"/>
        <w:adjustRightInd w:val="0"/>
        <w:jc w:val="center"/>
        <w:rPr>
          <w:rFonts w:ascii="Times" w:hAnsi="Times" w:cs="Arial"/>
          <w:b/>
          <w:bCs/>
          <w:color w:val="000000"/>
        </w:rPr>
      </w:pPr>
      <w:r w:rsidRPr="00751C5B">
        <w:rPr>
          <w:rFonts w:ascii="Times" w:hAnsi="Times" w:cs="Arial"/>
          <w:b/>
          <w:bCs/>
          <w:noProof/>
          <w:color w:val="000000"/>
        </w:rPr>
        <w:drawing>
          <wp:inline distT="0" distB="0" distL="0" distR="0" wp14:anchorId="3F6020A4" wp14:editId="32F5BE2E">
            <wp:extent cx="4455294" cy="3458447"/>
            <wp:effectExtent l="0" t="0" r="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55871" cy="3458895"/>
                    </a:xfrm>
                    <a:prstGeom prst="rect">
                      <a:avLst/>
                    </a:prstGeom>
                    <a:noFill/>
                    <a:ln>
                      <a:noFill/>
                    </a:ln>
                  </pic:spPr>
                </pic:pic>
              </a:graphicData>
            </a:graphic>
          </wp:inline>
        </w:drawing>
      </w:r>
    </w:p>
    <w:p w14:paraId="7080DFB2" w14:textId="16A80F14" w:rsidR="00777A0A" w:rsidRPr="00E03AE4" w:rsidRDefault="00777A0A" w:rsidP="00777A0A">
      <w:pPr>
        <w:widowControl w:val="0"/>
        <w:autoSpaceDE w:val="0"/>
        <w:autoSpaceDN w:val="0"/>
        <w:adjustRightInd w:val="0"/>
        <w:jc w:val="center"/>
        <w:rPr>
          <w:rFonts w:ascii="Times" w:hAnsi="Times" w:cs="Times"/>
        </w:rPr>
      </w:pPr>
      <w:r>
        <w:rPr>
          <w:rFonts w:ascii="Times" w:hAnsi="Times" w:cs="Arial"/>
          <w:b/>
          <w:bCs/>
          <w:color w:val="000000"/>
        </w:rPr>
        <w:t xml:space="preserve">Figure 4.13: </w:t>
      </w:r>
      <w:r>
        <w:rPr>
          <w:rFonts w:ascii="Times" w:hAnsi="Times" w:cs="Arial"/>
          <w:bCs/>
          <w:color w:val="000000"/>
          <w:vertAlign w:val="superscript"/>
        </w:rPr>
        <w:t>29</w:t>
      </w:r>
      <w:r>
        <w:rPr>
          <w:rFonts w:ascii="Times" w:hAnsi="Times" w:cs="Arial"/>
          <w:bCs/>
          <w:color w:val="000000"/>
        </w:rPr>
        <w:t xml:space="preserve">Si MAS spectra for </w:t>
      </w:r>
      <w:r>
        <w:rPr>
          <w:rFonts w:ascii="Times" w:hAnsi="Times" w:cs="Arial"/>
          <w:b/>
          <w:bCs/>
          <w:color w:val="000000"/>
        </w:rPr>
        <w:t xml:space="preserve">B </w:t>
      </w:r>
      <w:r w:rsidR="000D4AEA" w:rsidRPr="00883FA7">
        <w:rPr>
          <w:rFonts w:ascii="Times" w:hAnsi="Times" w:cs="Arial"/>
          <w:bCs/>
          <w:color w:val="000000"/>
        </w:rPr>
        <w:t>compared with</w:t>
      </w:r>
      <w:r>
        <w:rPr>
          <w:rFonts w:ascii="Times" w:hAnsi="Times" w:cs="Arial"/>
          <w:bCs/>
          <w:color w:val="000000"/>
        </w:rPr>
        <w:t xml:space="preserve">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sz w:val="20"/>
          <w:szCs w:val="20"/>
        </w:rPr>
        <w:t xml:space="preserve"> </w:t>
      </w:r>
      <w:r>
        <w:rPr>
          <w:rFonts w:ascii="Times" w:hAnsi="Times" w:cs="Arial"/>
          <w:bCs/>
          <w:color w:val="000000"/>
        </w:rPr>
        <w:t>samples at different curing periods at 0D</w:t>
      </w:r>
      <w:r w:rsidR="00EE0709">
        <w:rPr>
          <w:rFonts w:ascii="Times" w:hAnsi="Times" w:cs="Arial"/>
          <w:bCs/>
          <w:color w:val="000000"/>
        </w:rPr>
        <w:t xml:space="preserve"> (</w:t>
      </w:r>
      <w:r w:rsidR="008A387F">
        <w:rPr>
          <w:rFonts w:ascii="Times" w:hAnsi="Times" w:cs="Arial"/>
          <w:bCs/>
          <w:color w:val="000000"/>
        </w:rPr>
        <w:t>The signal intensity v</w:t>
      </w:r>
      <w:r w:rsidR="00EE0709">
        <w:rPr>
          <w:rFonts w:ascii="Times" w:hAnsi="Times" w:cs="Arial"/>
          <w:bCs/>
          <w:color w:val="000000"/>
        </w:rPr>
        <w:t xml:space="preserve">alues shown for </w:t>
      </w:r>
      <w:r w:rsidR="00165021">
        <w:rPr>
          <w:rFonts w:ascii="Times" w:hAnsi="Times" w:cs="Times"/>
          <w:szCs w:val="26"/>
        </w:rPr>
        <w:t>Q</w:t>
      </w:r>
      <w:r w:rsidR="00165021">
        <w:rPr>
          <w:rFonts w:ascii="Times" w:hAnsi="Times" w:cs="Times"/>
          <w:szCs w:val="26"/>
          <w:vertAlign w:val="superscript"/>
        </w:rPr>
        <w:t>1</w:t>
      </w:r>
      <w:r w:rsidR="00EE0709">
        <w:rPr>
          <w:rFonts w:ascii="Times" w:hAnsi="Times" w:cs="Arial"/>
          <w:bCs/>
          <w:color w:val="000000"/>
        </w:rPr>
        <w:t xml:space="preserve">, </w:t>
      </w:r>
      <w:proofErr w:type="gramStart"/>
      <w:r w:rsidR="00165021">
        <w:rPr>
          <w:rFonts w:ascii="Times" w:hAnsi="Times" w:cs="Times"/>
          <w:szCs w:val="26"/>
        </w:rPr>
        <w:t>Q</w:t>
      </w:r>
      <w:r w:rsidR="00165021">
        <w:rPr>
          <w:rFonts w:ascii="Times" w:hAnsi="Times" w:cs="Times"/>
          <w:szCs w:val="26"/>
          <w:vertAlign w:val="superscript"/>
        </w:rPr>
        <w:t>2</w:t>
      </w:r>
      <w:r w:rsidR="00165021">
        <w:rPr>
          <w:rFonts w:ascii="Times" w:hAnsi="Times" w:cs="Times"/>
          <w:szCs w:val="26"/>
        </w:rPr>
        <w:t>(</w:t>
      </w:r>
      <w:proofErr w:type="gramEnd"/>
      <w:r w:rsidR="00165021">
        <w:rPr>
          <w:rFonts w:ascii="Times" w:hAnsi="Times" w:cs="Times"/>
          <w:szCs w:val="26"/>
        </w:rPr>
        <w:t>Al)</w:t>
      </w:r>
      <w:r w:rsidR="00165021">
        <w:rPr>
          <w:rFonts w:ascii="Times" w:hAnsi="Times" w:cs="Arial"/>
          <w:bCs/>
          <w:color w:val="000000"/>
        </w:rPr>
        <w:t>, Q</w:t>
      </w:r>
      <w:r w:rsidR="00165021">
        <w:rPr>
          <w:rFonts w:ascii="Times" w:hAnsi="Times" w:cs="Arial"/>
          <w:bCs/>
          <w:color w:val="000000"/>
          <w:vertAlign w:val="superscript"/>
        </w:rPr>
        <w:t>2</w:t>
      </w:r>
      <w:r w:rsidR="00EE0709">
        <w:rPr>
          <w:rFonts w:ascii="Times" w:hAnsi="Times" w:cs="Arial"/>
          <w:bCs/>
          <w:color w:val="000000"/>
        </w:rPr>
        <w:t>)</w:t>
      </w:r>
    </w:p>
    <w:p w14:paraId="79A912F9" w14:textId="77777777" w:rsidR="00121F95" w:rsidRDefault="00121F95" w:rsidP="00777A0A">
      <w:pPr>
        <w:widowControl w:val="0"/>
        <w:autoSpaceDE w:val="0"/>
        <w:autoSpaceDN w:val="0"/>
        <w:adjustRightInd w:val="0"/>
        <w:spacing w:after="240" w:line="360" w:lineRule="auto"/>
        <w:jc w:val="both"/>
        <w:rPr>
          <w:rFonts w:ascii="Times" w:hAnsi="Times" w:cs="Arial"/>
          <w:bCs/>
          <w:color w:val="000000"/>
        </w:rPr>
      </w:pPr>
    </w:p>
    <w:p w14:paraId="1B12B424" w14:textId="3B1D5DD3" w:rsidR="00777A0A" w:rsidRPr="00875481" w:rsidRDefault="00777A0A" w:rsidP="002F7FD6">
      <w:pPr>
        <w:widowControl w:val="0"/>
        <w:autoSpaceDE w:val="0"/>
        <w:autoSpaceDN w:val="0"/>
        <w:adjustRightInd w:val="0"/>
        <w:spacing w:after="240" w:line="480" w:lineRule="exact"/>
        <w:jc w:val="both"/>
        <w:rPr>
          <w:rFonts w:ascii="Times" w:hAnsi="Times" w:cs="Times"/>
        </w:rPr>
      </w:pPr>
      <w:r w:rsidRPr="00182283">
        <w:rPr>
          <w:rFonts w:ascii="Times" w:hAnsi="Times" w:cs="Arial"/>
          <w:bCs/>
          <w:color w:val="000000"/>
        </w:rPr>
        <w:lastRenderedPageBreak/>
        <w:t xml:space="preserve">The </w:t>
      </w:r>
      <w:r>
        <w:rPr>
          <w:rFonts w:ascii="Times" w:hAnsi="Times" w:cs="Times"/>
          <w:position w:val="5"/>
          <w:sz w:val="20"/>
        </w:rPr>
        <w:t>27</w:t>
      </w:r>
      <w:r w:rsidRPr="00182283">
        <w:rPr>
          <w:rFonts w:ascii="Times" w:hAnsi="Times" w:cs="Times"/>
        </w:rPr>
        <w:t>Al MAS</w:t>
      </w:r>
      <w:r>
        <w:rPr>
          <w:rFonts w:ascii="Times" w:hAnsi="Times" w:cs="Times"/>
        </w:rPr>
        <w:t xml:space="preserve"> spectra were also collected for </w:t>
      </w:r>
      <w:r w:rsidRPr="002F7FD6">
        <w:rPr>
          <w:rFonts w:ascii="Times" w:hAnsi="Times" w:cs="Times"/>
        </w:rPr>
        <w:t>both the series</w:t>
      </w:r>
      <w:r>
        <w:rPr>
          <w:rFonts w:ascii="Times" w:hAnsi="Times" w:cs="Times"/>
        </w:rPr>
        <w:t xml:space="preserve">. Figure 4.19 shows those for </w:t>
      </w:r>
      <w:r w:rsidR="002F7FD6">
        <w:rPr>
          <w:rFonts w:ascii="Times" w:hAnsi="Times" w:cs="Times"/>
        </w:rPr>
        <w:t xml:space="preserve">the </w:t>
      </w:r>
      <w:r w:rsidRPr="00DC4087">
        <w:rPr>
          <w:rFonts w:ascii="Times" w:hAnsi="Times" w:cs="Times"/>
          <w:b/>
        </w:rPr>
        <w:t>0DB</w:t>
      </w:r>
      <w:r>
        <w:rPr>
          <w:rFonts w:ascii="Times" w:hAnsi="Times" w:cs="Times"/>
        </w:rPr>
        <w:t xml:space="preserve"> series. These spectra help characterise the calcium aluminates and aluminate hydrates such as AFt and AFm [</w:t>
      </w:r>
      <w:r w:rsidR="00DC4087">
        <w:rPr>
          <w:rFonts w:ascii="Times" w:hAnsi="Times" w:cs="Times"/>
        </w:rPr>
        <w:t>26,27</w:t>
      </w:r>
      <w:r>
        <w:rPr>
          <w:rFonts w:ascii="Times" w:hAnsi="Times" w:cs="Times"/>
        </w:rPr>
        <w:t>]. The hump peaking</w:t>
      </w:r>
      <w:r w:rsidR="007C66F1">
        <w:rPr>
          <w:rFonts w:ascii="Times" w:hAnsi="Times" w:cs="Times"/>
        </w:rPr>
        <w:t xml:space="preserve"> 59</w:t>
      </w:r>
      <w:r>
        <w:rPr>
          <w:rFonts w:ascii="Times" w:hAnsi="Times" w:cs="Times"/>
        </w:rPr>
        <w:t>-80 ppm is attributed to the tetrahedrally coordinated (</w:t>
      </w:r>
      <w:proofErr w:type="gramStart"/>
      <w:r>
        <w:rPr>
          <w:rFonts w:ascii="Times" w:hAnsi="Times" w:cs="Times"/>
        </w:rPr>
        <w:t>Al(</w:t>
      </w:r>
      <w:proofErr w:type="gramEnd"/>
      <w:r>
        <w:rPr>
          <w:rFonts w:ascii="Times" w:hAnsi="Times" w:cs="Times"/>
        </w:rPr>
        <w:t>4)) incorporated in the C-S-H phase [</w:t>
      </w:r>
      <w:r w:rsidR="00D37319">
        <w:rPr>
          <w:rFonts w:ascii="Times" w:hAnsi="Times" w:cs="Times"/>
        </w:rPr>
        <w:t>32</w:t>
      </w:r>
      <w:r w:rsidR="00B85918">
        <w:rPr>
          <w:rFonts w:ascii="Times" w:hAnsi="Times" w:cs="Times"/>
        </w:rPr>
        <w:t>],</w:t>
      </w:r>
      <w:r w:rsidR="00512622">
        <w:rPr>
          <w:rFonts w:ascii="Times" w:hAnsi="Times" w:cs="Times"/>
        </w:rPr>
        <w:t xml:space="preserve"> </w:t>
      </w:r>
      <w:r>
        <w:rPr>
          <w:rFonts w:ascii="Times" w:hAnsi="Times" w:cs="Times"/>
        </w:rPr>
        <w:t>wh</w:t>
      </w:r>
      <w:r w:rsidR="00B85918">
        <w:rPr>
          <w:rFonts w:ascii="Times" w:hAnsi="Times" w:cs="Times"/>
        </w:rPr>
        <w:t>ich at 72</w:t>
      </w:r>
      <w:r>
        <w:rPr>
          <w:rFonts w:ascii="Times" w:hAnsi="Times" w:cs="Times"/>
        </w:rPr>
        <w:t>0 days</w:t>
      </w:r>
      <w:r w:rsidR="00B85918">
        <w:rPr>
          <w:rFonts w:ascii="Times" w:hAnsi="Times" w:cs="Times"/>
        </w:rPr>
        <w:t xml:space="preserve"> shows a sharp peak at </w:t>
      </w:r>
      <w:r w:rsidR="007C66F1">
        <w:rPr>
          <w:rFonts w:ascii="Times" w:hAnsi="Times" w:cs="Times"/>
        </w:rPr>
        <w:t>59</w:t>
      </w:r>
      <w:r w:rsidR="00026D92">
        <w:rPr>
          <w:rFonts w:ascii="Times" w:hAnsi="Times" w:cs="Times"/>
        </w:rPr>
        <w:t xml:space="preserve"> </w:t>
      </w:r>
      <w:r w:rsidR="00B85918">
        <w:rPr>
          <w:rFonts w:ascii="Times" w:hAnsi="Times" w:cs="Times"/>
        </w:rPr>
        <w:t>ppm</w:t>
      </w:r>
      <w:r w:rsidR="007C66F1">
        <w:rPr>
          <w:rFonts w:ascii="Times" w:hAnsi="Times" w:cs="Times"/>
        </w:rPr>
        <w:t xml:space="preserve">, according to </w:t>
      </w:r>
      <w:r w:rsidR="00BF19F4">
        <w:rPr>
          <w:rFonts w:ascii="Times" w:hAnsi="Times" w:cs="Times"/>
        </w:rPr>
        <w:t>[32</w:t>
      </w:r>
      <w:r w:rsidR="00D05860">
        <w:rPr>
          <w:rFonts w:ascii="Times" w:hAnsi="Times" w:cs="Times"/>
        </w:rPr>
        <w:t xml:space="preserve">] </w:t>
      </w:r>
      <w:r w:rsidR="007C66F1">
        <w:rPr>
          <w:rFonts w:ascii="Times" w:hAnsi="Times" w:cs="Times"/>
        </w:rPr>
        <w:t>this</w:t>
      </w:r>
      <w:r w:rsidR="00D77B5E">
        <w:rPr>
          <w:rFonts w:ascii="Times" w:hAnsi="Times" w:cs="Times"/>
        </w:rPr>
        <w:t xml:space="preserve"> is due to the Al(4) sites in unhydrated material.</w:t>
      </w:r>
      <w:r>
        <w:rPr>
          <w:rFonts w:ascii="Times" w:hAnsi="Times" w:cs="Times"/>
        </w:rPr>
        <w:t xml:space="preserve"> A broad peak at 37 ppm is a </w:t>
      </w:r>
      <w:r w:rsidR="00971672">
        <w:rPr>
          <w:rFonts w:ascii="Times" w:hAnsi="Times" w:cs="Times"/>
        </w:rPr>
        <w:t>penta-coordinated</w:t>
      </w:r>
      <w:r>
        <w:rPr>
          <w:rFonts w:ascii="Times" w:hAnsi="Times" w:cs="Times"/>
        </w:rPr>
        <w:t xml:space="preserve"> AlO</w:t>
      </w:r>
      <w:r>
        <w:rPr>
          <w:rFonts w:ascii="Times" w:hAnsi="Times" w:cs="Times"/>
          <w:vertAlign w:val="subscript"/>
        </w:rPr>
        <w:t>5</w:t>
      </w:r>
      <w:r>
        <w:rPr>
          <w:rFonts w:ascii="Times" w:hAnsi="Times" w:cs="Times"/>
        </w:rPr>
        <w:t xml:space="preserve"> (</w:t>
      </w:r>
      <w:proofErr w:type="gramStart"/>
      <w:r>
        <w:rPr>
          <w:rFonts w:ascii="Times" w:hAnsi="Times" w:cs="Times"/>
        </w:rPr>
        <w:t>Al(</w:t>
      </w:r>
      <w:proofErr w:type="gramEnd"/>
      <w:r>
        <w:rPr>
          <w:rFonts w:ascii="Times" w:hAnsi="Times" w:cs="Times"/>
        </w:rPr>
        <w:t>5)) [</w:t>
      </w:r>
      <w:r w:rsidR="00FB6B6E">
        <w:rPr>
          <w:rFonts w:ascii="Times" w:hAnsi="Times" w:cs="Times"/>
        </w:rPr>
        <w:t>31,33</w:t>
      </w:r>
      <w:r>
        <w:rPr>
          <w:rFonts w:ascii="Times" w:hAnsi="Times" w:cs="Times"/>
        </w:rPr>
        <w:t>], which is due to the Al</w:t>
      </w:r>
      <w:r>
        <w:rPr>
          <w:rFonts w:ascii="Times" w:hAnsi="Times" w:cs="Times"/>
          <w:vertAlign w:val="superscript"/>
        </w:rPr>
        <w:t>3+</w:t>
      </w:r>
      <w:r>
        <w:rPr>
          <w:rFonts w:ascii="Times" w:hAnsi="Times" w:cs="Times"/>
        </w:rPr>
        <w:t xml:space="preserve"> substitution for the Ca</w:t>
      </w:r>
      <w:r>
        <w:rPr>
          <w:rFonts w:ascii="Times" w:hAnsi="Times" w:cs="Times"/>
          <w:vertAlign w:val="superscript"/>
        </w:rPr>
        <w:t xml:space="preserve">2+ </w:t>
      </w:r>
      <w:r>
        <w:rPr>
          <w:rFonts w:ascii="Times" w:hAnsi="Times" w:cs="Times"/>
        </w:rPr>
        <w:t>site in the C-S-H interlayers</w:t>
      </w:r>
      <w:r w:rsidRPr="00694BFB">
        <w:rPr>
          <w:rFonts w:ascii="Times" w:hAnsi="Times" w:cs="Times"/>
        </w:rPr>
        <w:t xml:space="preserve"> </w:t>
      </w:r>
      <w:r>
        <w:rPr>
          <w:rFonts w:ascii="Times" w:hAnsi="Times" w:cs="Times"/>
        </w:rPr>
        <w:t>according to Faucon et al. [</w:t>
      </w:r>
      <w:r w:rsidR="00FB6B6E">
        <w:rPr>
          <w:rFonts w:ascii="Times" w:hAnsi="Times" w:cs="Times"/>
        </w:rPr>
        <w:t>32</w:t>
      </w:r>
      <w:r>
        <w:rPr>
          <w:rFonts w:ascii="Times" w:hAnsi="Times" w:cs="Times"/>
        </w:rPr>
        <w:t xml:space="preserve">]. </w:t>
      </w:r>
    </w:p>
    <w:p w14:paraId="379581F3" w14:textId="70A53414" w:rsidR="00777A0A" w:rsidRDefault="00675BC7" w:rsidP="00777A0A">
      <w:pPr>
        <w:spacing w:before="240" w:after="120"/>
        <w:jc w:val="center"/>
        <w:rPr>
          <w:rFonts w:ascii="Times" w:hAnsi="Times" w:cs="Arial"/>
          <w:b/>
          <w:bCs/>
          <w:color w:val="000000"/>
          <w:sz w:val="28"/>
          <w:szCs w:val="28"/>
        </w:rPr>
      </w:pPr>
      <w:r w:rsidRPr="00751C5B">
        <w:rPr>
          <w:rFonts w:ascii="Times" w:hAnsi="Times" w:cs="Arial"/>
          <w:b/>
          <w:bCs/>
          <w:noProof/>
          <w:color w:val="000000"/>
          <w:sz w:val="28"/>
          <w:szCs w:val="28"/>
        </w:rPr>
        <w:drawing>
          <wp:inline distT="0" distB="0" distL="0" distR="0" wp14:anchorId="290B5DAE" wp14:editId="3775B8E0">
            <wp:extent cx="4447540" cy="2906829"/>
            <wp:effectExtent l="0" t="0" r="0" b="0"/>
            <wp:docPr id="9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a:extLst>
                        <a:ext uri="{28A0092B-C50C-407E-A947-70E740481C1C}">
                          <a14:useLocalDpi xmlns:a14="http://schemas.microsoft.com/office/drawing/2010/main" val="0"/>
                        </a:ext>
                      </a:extLst>
                    </a:blip>
                    <a:srcRect b="15804"/>
                    <a:stretch/>
                  </pic:blipFill>
                  <pic:spPr bwMode="auto">
                    <a:xfrm>
                      <a:off x="0" y="0"/>
                      <a:ext cx="4449445" cy="2908074"/>
                    </a:xfrm>
                    <a:prstGeom prst="rect">
                      <a:avLst/>
                    </a:prstGeom>
                    <a:noFill/>
                    <a:ln>
                      <a:noFill/>
                    </a:ln>
                    <a:extLst>
                      <a:ext uri="{53640926-AAD7-44d8-BBD7-CCE9431645EC}">
                        <a14:shadowObscured xmlns:a14="http://schemas.microsoft.com/office/drawing/2010/main"/>
                      </a:ext>
                    </a:extLst>
                  </pic:spPr>
                </pic:pic>
              </a:graphicData>
            </a:graphic>
          </wp:inline>
        </w:drawing>
      </w:r>
    </w:p>
    <w:p w14:paraId="7DA71BF1" w14:textId="69668943" w:rsidR="00777A0A" w:rsidRDefault="00777A0A" w:rsidP="00777A0A">
      <w:pPr>
        <w:spacing w:before="240" w:after="120"/>
        <w:jc w:val="center"/>
        <w:rPr>
          <w:rFonts w:ascii="Times" w:hAnsi="Times" w:cs="Arial"/>
          <w:bCs/>
          <w:color w:val="000000"/>
        </w:rPr>
      </w:pPr>
      <w:r>
        <w:rPr>
          <w:rFonts w:ascii="Times" w:hAnsi="Times" w:cs="Arial"/>
          <w:b/>
          <w:bCs/>
          <w:color w:val="000000"/>
        </w:rPr>
        <w:t xml:space="preserve">Figure 4.19: </w:t>
      </w:r>
      <w:r>
        <w:rPr>
          <w:rFonts w:ascii="Times" w:hAnsi="Times" w:cs="Arial"/>
          <w:bCs/>
          <w:color w:val="000000"/>
          <w:vertAlign w:val="superscript"/>
        </w:rPr>
        <w:t>27</w:t>
      </w:r>
      <w:r>
        <w:rPr>
          <w:rFonts w:ascii="Times" w:hAnsi="Times" w:cs="Arial"/>
          <w:bCs/>
          <w:color w:val="000000"/>
        </w:rPr>
        <w:t xml:space="preserve">Al MAS spectra for </w:t>
      </w:r>
      <w:r w:rsidRPr="000F6BBD">
        <w:rPr>
          <w:rFonts w:ascii="Times" w:hAnsi="Times" w:cs="Arial"/>
          <w:b/>
          <w:bCs/>
          <w:color w:val="000000"/>
        </w:rPr>
        <w:t>0DB</w:t>
      </w:r>
      <w:r>
        <w:rPr>
          <w:rFonts w:ascii="Times" w:hAnsi="Times" w:cs="Arial"/>
          <w:b/>
          <w:bCs/>
          <w:color w:val="000000"/>
        </w:rPr>
        <w:t xml:space="preserve"> </w:t>
      </w:r>
      <w:r>
        <w:rPr>
          <w:rFonts w:ascii="Times" w:hAnsi="Times" w:cs="Arial"/>
          <w:bCs/>
          <w:color w:val="000000"/>
        </w:rPr>
        <w:t>sample at different curing periods</w:t>
      </w:r>
      <w:r w:rsidR="00FA09F8">
        <w:rPr>
          <w:rFonts w:ascii="Times" w:hAnsi="Times" w:cs="Arial"/>
          <w:bCs/>
          <w:color w:val="000000"/>
        </w:rPr>
        <w:br/>
      </w:r>
    </w:p>
    <w:p w14:paraId="2C7B9311" w14:textId="0CCBC799" w:rsidR="00777A0A" w:rsidRPr="00751C5B" w:rsidRDefault="00CD3BB6" w:rsidP="00FA09F8">
      <w:pPr>
        <w:widowControl w:val="0"/>
        <w:autoSpaceDE w:val="0"/>
        <w:autoSpaceDN w:val="0"/>
        <w:adjustRightInd w:val="0"/>
        <w:spacing w:after="240" w:line="480" w:lineRule="exact"/>
        <w:jc w:val="both"/>
        <w:rPr>
          <w:rFonts w:ascii="Times" w:hAnsi="Times" w:cs="Times"/>
          <w:lang w:val="en-GB"/>
        </w:rPr>
      </w:pPr>
      <w:r>
        <w:rPr>
          <w:rFonts w:ascii="Times" w:hAnsi="Times" w:cs="Times"/>
        </w:rPr>
        <w:t>A</w:t>
      </w:r>
      <w:r w:rsidR="00777A0A">
        <w:rPr>
          <w:rFonts w:ascii="Times" w:hAnsi="Times" w:cs="Times"/>
        </w:rPr>
        <w:t xml:space="preserve"> main peak </w:t>
      </w:r>
      <w:proofErr w:type="gramStart"/>
      <w:r w:rsidR="00777A0A">
        <w:rPr>
          <w:rFonts w:ascii="Times" w:hAnsi="Times" w:cs="Times"/>
        </w:rPr>
        <w:t>around 9.5 ppm</w:t>
      </w:r>
      <w:proofErr w:type="gramEnd"/>
      <w:r w:rsidR="00777A0A">
        <w:rPr>
          <w:rFonts w:ascii="Times" w:hAnsi="Times" w:cs="Times"/>
        </w:rPr>
        <w:t xml:space="preserve"> was observed in the hydrated samples. The resonance in this region for Portlan</w:t>
      </w:r>
      <w:r>
        <w:rPr>
          <w:rFonts w:ascii="Times" w:hAnsi="Times" w:cs="Times"/>
        </w:rPr>
        <w:t>d</w:t>
      </w:r>
      <w:r w:rsidR="00777A0A">
        <w:rPr>
          <w:rFonts w:ascii="Times" w:hAnsi="Times" w:cs="Times"/>
        </w:rPr>
        <w:t xml:space="preserve"> cement has been report</w:t>
      </w:r>
      <w:r w:rsidR="00E325B4">
        <w:rPr>
          <w:rFonts w:ascii="Times" w:hAnsi="Times" w:cs="Times"/>
        </w:rPr>
        <w:t xml:space="preserve">ed as </w:t>
      </w:r>
      <w:r w:rsidR="002C2C03">
        <w:rPr>
          <w:rFonts w:ascii="Times" w:hAnsi="Times" w:cs="Times"/>
        </w:rPr>
        <w:t xml:space="preserve">attributed </w:t>
      </w:r>
      <w:r w:rsidR="00E325B4">
        <w:rPr>
          <w:rFonts w:ascii="Times" w:hAnsi="Times" w:cs="Times"/>
        </w:rPr>
        <w:t>to the AFm</w:t>
      </w:r>
      <w:r w:rsidR="00FA09F8">
        <w:rPr>
          <w:rFonts w:ascii="Times" w:hAnsi="Times" w:cs="Times"/>
        </w:rPr>
        <w:t xml:space="preserve"> type phases</w:t>
      </w:r>
      <w:r w:rsidR="00E325B4">
        <w:rPr>
          <w:rFonts w:ascii="Times" w:hAnsi="Times" w:cs="Times"/>
        </w:rPr>
        <w:t xml:space="preserve"> [</w:t>
      </w:r>
      <w:r w:rsidR="00FB6B6E">
        <w:rPr>
          <w:rFonts w:ascii="Times" w:hAnsi="Times" w:cs="Times"/>
        </w:rPr>
        <w:t>31,33</w:t>
      </w:r>
      <w:r w:rsidR="00777A0A">
        <w:rPr>
          <w:rFonts w:ascii="Times" w:hAnsi="Times" w:cs="Times"/>
        </w:rPr>
        <w:t xml:space="preserve">], where Al </w:t>
      </w:r>
      <w:r>
        <w:rPr>
          <w:rFonts w:ascii="Times" w:hAnsi="Times" w:cs="Times"/>
        </w:rPr>
        <w:t>is present as</w:t>
      </w:r>
      <w:r w:rsidR="00777A0A">
        <w:rPr>
          <w:rFonts w:ascii="Times" w:hAnsi="Times" w:cs="Times"/>
        </w:rPr>
        <w:t xml:space="preserve"> octa</w:t>
      </w:r>
      <w:r w:rsidR="00FB6B6E">
        <w:rPr>
          <w:rFonts w:ascii="Times" w:hAnsi="Times" w:cs="Times"/>
        </w:rPr>
        <w:t>hedrally coordinated (</w:t>
      </w:r>
      <w:proofErr w:type="gramStart"/>
      <w:r w:rsidR="00FB6B6E">
        <w:rPr>
          <w:rFonts w:ascii="Times" w:hAnsi="Times" w:cs="Times"/>
        </w:rPr>
        <w:t>Al(</w:t>
      </w:r>
      <w:proofErr w:type="gramEnd"/>
      <w:r w:rsidR="00FB6B6E">
        <w:rPr>
          <w:rFonts w:ascii="Times" w:hAnsi="Times" w:cs="Times"/>
        </w:rPr>
        <w:t>6)) [33</w:t>
      </w:r>
      <w:r w:rsidR="00777A0A">
        <w:rPr>
          <w:rFonts w:ascii="Times" w:hAnsi="Times" w:cs="Times"/>
        </w:rPr>
        <w:t>].</w:t>
      </w:r>
      <w:r w:rsidR="00777A0A" w:rsidRPr="009932CF">
        <w:rPr>
          <w:rFonts w:ascii="Times" w:hAnsi="Times" w:cs="Times"/>
        </w:rPr>
        <w:t xml:space="preserve"> </w:t>
      </w:r>
      <w:r w:rsidR="00777A0A">
        <w:rPr>
          <w:rFonts w:ascii="Times" w:hAnsi="Times" w:cs="Times"/>
        </w:rPr>
        <w:t xml:space="preserve">The spectra for the hydrated samples also show a small shoulder at around 5.6 </w:t>
      </w:r>
      <w:proofErr w:type="gramStart"/>
      <w:r w:rsidR="00777A0A">
        <w:rPr>
          <w:rFonts w:ascii="Times" w:hAnsi="Times" w:cs="Times"/>
        </w:rPr>
        <w:t>ppm which</w:t>
      </w:r>
      <w:proofErr w:type="gramEnd"/>
      <w:r w:rsidR="00777A0A">
        <w:rPr>
          <w:rFonts w:ascii="Times" w:hAnsi="Times" w:cs="Times"/>
        </w:rPr>
        <w:t xml:space="preserve"> becomes more pronounced as time progresses.</w:t>
      </w:r>
      <w:r w:rsidR="00777A0A" w:rsidRPr="00510CEF">
        <w:rPr>
          <w:rFonts w:ascii="Times" w:hAnsi="Times" w:cs="Times"/>
        </w:rPr>
        <w:t xml:space="preserve"> </w:t>
      </w:r>
      <w:r w:rsidR="00777A0A">
        <w:rPr>
          <w:rFonts w:ascii="Times" w:hAnsi="Times" w:cs="Times"/>
        </w:rPr>
        <w:t>Some reports state this as an Al</w:t>
      </w:r>
      <w:r w:rsidR="00777A0A">
        <w:rPr>
          <w:rFonts w:ascii="Times" w:hAnsi="Times" w:cs="Times"/>
          <w:vertAlign w:val="superscript"/>
        </w:rPr>
        <w:t>3+</w:t>
      </w:r>
      <w:r w:rsidR="00777A0A">
        <w:rPr>
          <w:rFonts w:ascii="Times" w:hAnsi="Times" w:cs="Times"/>
        </w:rPr>
        <w:t xml:space="preserve"> substitution for Ca</w:t>
      </w:r>
      <w:r w:rsidR="00777A0A">
        <w:rPr>
          <w:rFonts w:ascii="Times" w:hAnsi="Times" w:cs="Times"/>
          <w:vertAlign w:val="superscript"/>
        </w:rPr>
        <w:t>2+</w:t>
      </w:r>
      <w:r w:rsidR="00777A0A">
        <w:rPr>
          <w:rFonts w:ascii="Times" w:hAnsi="Times" w:cs="Times"/>
        </w:rPr>
        <w:t xml:space="preserve"> in the CaO</w:t>
      </w:r>
      <w:r w:rsidR="00777A0A">
        <w:rPr>
          <w:rFonts w:ascii="Times" w:hAnsi="Times" w:cs="Times"/>
          <w:vertAlign w:val="subscript"/>
        </w:rPr>
        <w:t>2</w:t>
      </w:r>
      <w:r w:rsidR="000B226E">
        <w:rPr>
          <w:rFonts w:ascii="Times" w:hAnsi="Times" w:cs="Times"/>
        </w:rPr>
        <w:t xml:space="preserve"> layer of the C-S-H [</w:t>
      </w:r>
      <w:r w:rsidR="00744D33">
        <w:rPr>
          <w:rFonts w:ascii="Times" w:hAnsi="Times" w:cs="Times"/>
        </w:rPr>
        <w:t>32,33</w:t>
      </w:r>
      <w:r w:rsidR="00777A0A">
        <w:rPr>
          <w:rFonts w:ascii="Times" w:hAnsi="Times" w:cs="Times"/>
        </w:rPr>
        <w:t xml:space="preserve">], </w:t>
      </w:r>
      <w:proofErr w:type="gramStart"/>
      <w:r w:rsidR="00777A0A">
        <w:rPr>
          <w:rFonts w:ascii="Times" w:hAnsi="Times" w:cs="Times"/>
        </w:rPr>
        <w:t>however after further investigation and analysis this was discount</w:t>
      </w:r>
      <w:r w:rsidR="00BF1DFA">
        <w:rPr>
          <w:rFonts w:ascii="Times" w:hAnsi="Times" w:cs="Times"/>
        </w:rPr>
        <w:t>ed by Anderse</w:t>
      </w:r>
      <w:r w:rsidR="00FB6B6E">
        <w:rPr>
          <w:rFonts w:ascii="Times" w:hAnsi="Times" w:cs="Times"/>
        </w:rPr>
        <w:t>n et al</w:t>
      </w:r>
      <w:proofErr w:type="gramEnd"/>
      <w:r w:rsidR="00FB6B6E">
        <w:rPr>
          <w:rFonts w:ascii="Times" w:hAnsi="Times" w:cs="Times"/>
        </w:rPr>
        <w:t xml:space="preserve"> [29</w:t>
      </w:r>
      <w:r w:rsidR="00BF1DFA">
        <w:rPr>
          <w:rFonts w:ascii="Times" w:hAnsi="Times" w:cs="Times"/>
        </w:rPr>
        <w:t>]. They</w:t>
      </w:r>
      <w:r w:rsidR="001A16D5">
        <w:rPr>
          <w:rFonts w:ascii="Times" w:hAnsi="Times" w:cs="Times"/>
        </w:rPr>
        <w:t xml:space="preserve"> </w:t>
      </w:r>
      <w:r w:rsidR="00777A0A">
        <w:rPr>
          <w:rFonts w:ascii="Times" w:hAnsi="Times" w:cs="Times"/>
        </w:rPr>
        <w:t>found that the resonance in this region</w:t>
      </w:r>
      <w:r w:rsidR="00BF1DFA">
        <w:rPr>
          <w:rFonts w:ascii="Times" w:hAnsi="Times" w:cs="Times"/>
        </w:rPr>
        <w:t xml:space="preserve"> is due</w:t>
      </w:r>
      <w:r w:rsidR="00777A0A">
        <w:rPr>
          <w:rFonts w:ascii="Times" w:hAnsi="Times" w:cs="Times"/>
        </w:rPr>
        <w:t xml:space="preserve"> to</w:t>
      </w:r>
      <w:r w:rsidR="00BF1DFA">
        <w:rPr>
          <w:rFonts w:ascii="Times" w:hAnsi="Times" w:cs="Times"/>
        </w:rPr>
        <w:t xml:space="preserve"> either</w:t>
      </w:r>
      <w:r w:rsidR="00777A0A">
        <w:rPr>
          <w:rFonts w:ascii="Times" w:hAnsi="Times" w:cs="Times"/>
        </w:rPr>
        <w:t xml:space="preserve"> </w:t>
      </w:r>
      <w:r w:rsidR="00777A0A" w:rsidRPr="00680501">
        <w:rPr>
          <w:rFonts w:ascii="Times" w:hAnsi="Times" w:cs="Times"/>
        </w:rPr>
        <w:t>a less-crystalline</w:t>
      </w:r>
      <w:r w:rsidR="00777A0A">
        <w:rPr>
          <w:rFonts w:ascii="Times" w:hAnsi="Times" w:cs="Times"/>
        </w:rPr>
        <w:t xml:space="preserve"> </w:t>
      </w:r>
      <w:r w:rsidR="00777A0A" w:rsidRPr="00680501">
        <w:rPr>
          <w:rFonts w:ascii="Times" w:hAnsi="Times" w:cs="Times"/>
        </w:rPr>
        <w:t xml:space="preserve">alumina gel or </w:t>
      </w:r>
      <w:r w:rsidR="00BF1DFA">
        <w:rPr>
          <w:rFonts w:ascii="Times" w:hAnsi="Times" w:cs="Times"/>
        </w:rPr>
        <w:t xml:space="preserve">a </w:t>
      </w:r>
      <w:r w:rsidR="00777A0A" w:rsidRPr="00680501">
        <w:rPr>
          <w:rFonts w:ascii="Times" w:hAnsi="Times" w:cs="Times"/>
        </w:rPr>
        <w:t>calcium aluminate hydrate phase</w:t>
      </w:r>
      <w:r w:rsidR="00777A0A" w:rsidRPr="00680501" w:rsidDel="00680501">
        <w:rPr>
          <w:rFonts w:ascii="Times" w:hAnsi="Times" w:cs="Times"/>
        </w:rPr>
        <w:t xml:space="preserve"> </w:t>
      </w:r>
      <w:r w:rsidR="00FA09F8">
        <w:rPr>
          <w:rFonts w:ascii="Times" w:hAnsi="Times" w:cs="Times"/>
        </w:rPr>
        <w:t>[29</w:t>
      </w:r>
      <w:r w:rsidR="00777A0A">
        <w:rPr>
          <w:rFonts w:ascii="Times" w:hAnsi="Times" w:cs="Times"/>
        </w:rPr>
        <w:t xml:space="preserve">]. </w:t>
      </w:r>
      <w:r w:rsidR="00777A0A">
        <w:rPr>
          <w:rFonts w:ascii="Times" w:hAnsi="Times" w:cs="Times"/>
          <w:vertAlign w:val="subscript"/>
        </w:rPr>
        <w:t>.</w:t>
      </w:r>
      <w:r w:rsidR="00777A0A">
        <w:rPr>
          <w:rFonts w:ascii="Times" w:hAnsi="Times" w:cs="Times"/>
        </w:rPr>
        <w:t xml:space="preserve"> The resonance peak for AFt i</w:t>
      </w:r>
      <w:r w:rsidR="005408E5">
        <w:rPr>
          <w:rFonts w:ascii="Times" w:hAnsi="Times" w:cs="Times"/>
        </w:rPr>
        <w:t>s</w:t>
      </w:r>
      <w:r w:rsidR="00FA09F8">
        <w:rPr>
          <w:rFonts w:ascii="Times" w:hAnsi="Times" w:cs="Times"/>
        </w:rPr>
        <w:t xml:space="preserve"> expected at around 12-14ppm</w:t>
      </w:r>
      <w:r w:rsidR="00777A0A">
        <w:rPr>
          <w:rFonts w:ascii="Times" w:hAnsi="Times" w:cs="Times"/>
        </w:rPr>
        <w:t xml:space="preserve">, which may correspond to the slight shoulder </w:t>
      </w:r>
      <w:r w:rsidR="00BF1DFA">
        <w:rPr>
          <w:rFonts w:ascii="Times" w:hAnsi="Times" w:cs="Times"/>
        </w:rPr>
        <w:t xml:space="preserve">observed </w:t>
      </w:r>
      <w:r w:rsidR="00BF1DFA">
        <w:rPr>
          <w:rFonts w:ascii="Times" w:hAnsi="Times" w:cs="Times"/>
        </w:rPr>
        <w:lastRenderedPageBreak/>
        <w:t>at 13 ppm.</w:t>
      </w:r>
      <w:r w:rsidR="007A475B">
        <w:rPr>
          <w:rFonts w:ascii="Times" w:hAnsi="Times" w:cs="Times"/>
        </w:rPr>
        <w:t xml:space="preserve"> The peak expected at 1.6ppm produced by the octahedral coordination of Al was not present in figure 4.19. </w:t>
      </w:r>
      <w:r w:rsidR="008220BA">
        <w:rPr>
          <w:rFonts w:ascii="Times" w:hAnsi="Times" w:cs="Times"/>
        </w:rPr>
        <w:t>[33]</w:t>
      </w:r>
    </w:p>
    <w:p w14:paraId="1BC5C79F" w14:textId="00B4F474" w:rsidR="00777A0A" w:rsidRDefault="00777A0A" w:rsidP="00FA09F8">
      <w:pPr>
        <w:spacing w:before="240" w:after="120" w:line="480" w:lineRule="exact"/>
        <w:jc w:val="both"/>
        <w:rPr>
          <w:rFonts w:ascii="Times" w:hAnsi="Times" w:cs="Times"/>
        </w:rPr>
      </w:pPr>
      <w:r>
        <w:rPr>
          <w:rFonts w:ascii="Times" w:hAnsi="Times" w:cs="Times"/>
        </w:rPr>
        <w:t xml:space="preserve">The </w:t>
      </w:r>
      <w:r w:rsidRPr="000709FD">
        <w:rPr>
          <w:rFonts w:ascii="Times" w:hAnsi="Times" w:cs="Times"/>
          <w:vertAlign w:val="superscript"/>
        </w:rPr>
        <w:t>27</w:t>
      </w:r>
      <w:r>
        <w:rPr>
          <w:rFonts w:ascii="Times" w:hAnsi="Times" w:cs="Times"/>
        </w:rPr>
        <w:t xml:space="preserve">Al NMR spectra for the </w:t>
      </w:r>
      <w:r w:rsidR="00883FA7" w:rsidRPr="00947B7A">
        <w:rPr>
          <w:rFonts w:ascii="Times" w:hAnsi="Times" w:cs="Arial"/>
          <w:b/>
          <w:bCs/>
          <w:color w:val="000000"/>
        </w:rPr>
        <w:t>0D</w:t>
      </w:r>
      <m:oMath>
        <m:acc>
          <m:accPr>
            <m:chr m:val="̅"/>
            <m:ctrlPr>
              <w:rPr>
                <w:rFonts w:ascii="Cambria Math" w:hAnsi="Cambria Math" w:cs="Arial"/>
                <w:b/>
                <w:i/>
                <w:sz w:val="36"/>
                <w:szCs w:val="36"/>
              </w:rPr>
            </m:ctrlPr>
          </m:accPr>
          <m:e>
            <m:r>
              <m:rPr>
                <m:sty m:val="p"/>
              </m:rPr>
              <w:rPr>
                <w:rFonts w:ascii="Cambria Math" w:hAnsi="Cambria Math" w:cs="Arial"/>
                <w:sz w:val="36"/>
                <w:szCs w:val="36"/>
              </w:rPr>
              <m:t>cs</m:t>
            </m:r>
          </m:e>
        </m:acc>
      </m:oMath>
      <w:r>
        <w:rPr>
          <w:rFonts w:ascii="Times" w:hAnsi="Times" w:cs="Times"/>
        </w:rPr>
        <w:t xml:space="preserve"> series</w:t>
      </w:r>
      <w:r w:rsidR="00BF1DFA">
        <w:rPr>
          <w:rFonts w:ascii="Times" w:hAnsi="Times" w:cs="Times"/>
        </w:rPr>
        <w:t xml:space="preserve"> are shown in Figure 4.20. </w:t>
      </w:r>
      <w:r w:rsidR="00BE25E8">
        <w:rPr>
          <w:rFonts w:ascii="Times" w:hAnsi="Times" w:cs="Times"/>
        </w:rPr>
        <w:t xml:space="preserve">Using peak </w:t>
      </w:r>
      <w:r w:rsidR="007741C5">
        <w:rPr>
          <w:rFonts w:ascii="Times" w:hAnsi="Times" w:cs="Times"/>
        </w:rPr>
        <w:t>intensity</w:t>
      </w:r>
      <w:r w:rsidR="00BE25E8">
        <w:rPr>
          <w:rFonts w:ascii="Times" w:hAnsi="Times" w:cs="Times"/>
        </w:rPr>
        <w:t xml:space="preserve"> values</w:t>
      </w:r>
      <w:r w:rsidR="007741C5">
        <w:rPr>
          <w:rFonts w:ascii="Times" w:hAnsi="Times" w:cs="Times"/>
        </w:rPr>
        <w:t xml:space="preserve"> as a guide</w:t>
      </w:r>
      <w:r w:rsidR="00BE25E8">
        <w:rPr>
          <w:rFonts w:ascii="Times" w:hAnsi="Times" w:cs="Times"/>
        </w:rPr>
        <w:t xml:space="preserve"> it can be seen that the </w:t>
      </w:r>
      <w:r>
        <w:rPr>
          <w:rFonts w:ascii="Times" w:hAnsi="Times" w:cs="Times"/>
        </w:rPr>
        <w:t>C-S-H hump</w:t>
      </w:r>
      <w:r w:rsidR="00CD3BB6">
        <w:rPr>
          <w:rFonts w:ascii="Times" w:hAnsi="Times" w:cs="Times"/>
        </w:rPr>
        <w:t>, between 60-80 ppm,</w:t>
      </w:r>
      <w:r>
        <w:rPr>
          <w:rFonts w:ascii="Times" w:hAnsi="Times" w:cs="Times"/>
        </w:rPr>
        <w:t xml:space="preserve"> in the </w:t>
      </w:r>
      <w:r w:rsidR="00883FA7" w:rsidRPr="00947B7A">
        <w:rPr>
          <w:rFonts w:ascii="Times" w:hAnsi="Times" w:cs="Arial"/>
          <w:b/>
          <w:bCs/>
          <w:color w:val="000000"/>
        </w:rPr>
        <w:t>0D</w:t>
      </w:r>
      <m:oMath>
        <m:acc>
          <m:accPr>
            <m:chr m:val="̅"/>
            <m:ctrlPr>
              <w:rPr>
                <w:rFonts w:ascii="Cambria Math" w:hAnsi="Cambria Math" w:cs="Arial"/>
                <w:b/>
                <w:i/>
                <w:sz w:val="36"/>
                <w:szCs w:val="36"/>
              </w:rPr>
            </m:ctrlPr>
          </m:accPr>
          <m:e>
            <m:r>
              <m:rPr>
                <m:sty m:val="p"/>
              </m:rPr>
              <w:rPr>
                <w:rFonts w:ascii="Cambria Math" w:hAnsi="Cambria Math" w:cs="Arial"/>
                <w:sz w:val="36"/>
                <w:szCs w:val="36"/>
              </w:rPr>
              <m:t>cs</m:t>
            </m:r>
          </m:e>
        </m:acc>
      </m:oMath>
      <w:r>
        <w:rPr>
          <w:rFonts w:ascii="Times" w:hAnsi="Times"/>
          <w:sz w:val="20"/>
          <w:szCs w:val="20"/>
        </w:rPr>
        <w:t xml:space="preserve"> </w:t>
      </w:r>
      <w:r>
        <w:rPr>
          <w:rFonts w:ascii="Times" w:hAnsi="Times"/>
          <w:szCs w:val="20"/>
        </w:rPr>
        <w:t xml:space="preserve">is smaller than in the </w:t>
      </w:r>
      <w:r w:rsidRPr="00883FA7">
        <w:rPr>
          <w:rFonts w:ascii="Times" w:hAnsi="Times"/>
          <w:b/>
          <w:szCs w:val="20"/>
        </w:rPr>
        <w:t>0DB</w:t>
      </w:r>
      <w:r>
        <w:rPr>
          <w:rFonts w:ascii="Times" w:hAnsi="Times"/>
          <w:szCs w:val="20"/>
        </w:rPr>
        <w:t xml:space="preserve"> series suggesting </w:t>
      </w:r>
      <w:r w:rsidR="00C24D39">
        <w:rPr>
          <w:rFonts w:ascii="Times" w:hAnsi="Times"/>
          <w:szCs w:val="20"/>
        </w:rPr>
        <w:t>that les</w:t>
      </w:r>
      <w:r>
        <w:rPr>
          <w:rFonts w:ascii="Times" w:hAnsi="Times"/>
          <w:szCs w:val="20"/>
        </w:rPr>
        <w:t>s</w:t>
      </w:r>
      <w:r w:rsidR="00C24D39">
        <w:rPr>
          <w:rFonts w:ascii="Times" w:hAnsi="Times"/>
          <w:szCs w:val="20"/>
        </w:rPr>
        <w:t xml:space="preserve"> of the Al was in the C-S-H in comparison to </w:t>
      </w:r>
      <w:r w:rsidR="00C24D39" w:rsidRPr="00883FA7">
        <w:rPr>
          <w:rFonts w:ascii="Times" w:hAnsi="Times"/>
          <w:b/>
          <w:szCs w:val="20"/>
        </w:rPr>
        <w:t>0DB</w:t>
      </w:r>
      <w:r w:rsidR="001E18D0">
        <w:rPr>
          <w:rFonts w:ascii="Times" w:hAnsi="Times"/>
          <w:szCs w:val="20"/>
        </w:rPr>
        <w:t xml:space="preserve">, </w:t>
      </w:r>
      <w:r w:rsidR="00381C0E">
        <w:rPr>
          <w:rFonts w:ascii="Times" w:hAnsi="Times"/>
          <w:szCs w:val="20"/>
        </w:rPr>
        <w:t>supporting the</w:t>
      </w:r>
      <w:r w:rsidR="001E18D0">
        <w:rPr>
          <w:rFonts w:ascii="Times" w:hAnsi="Times"/>
          <w:szCs w:val="20"/>
        </w:rPr>
        <w:t xml:space="preserve"> </w:t>
      </w:r>
      <w:r w:rsidR="00883FA7">
        <w:rPr>
          <w:rFonts w:ascii="Times" w:hAnsi="Times" w:cs="Arial"/>
          <w:bCs/>
          <w:color w:val="000000"/>
          <w:vertAlign w:val="superscript"/>
        </w:rPr>
        <w:t>29</w:t>
      </w:r>
      <w:r w:rsidR="00883FA7">
        <w:rPr>
          <w:rFonts w:ascii="Times" w:hAnsi="Times" w:cs="Arial"/>
          <w:bCs/>
          <w:color w:val="000000"/>
        </w:rPr>
        <w:t>Si MAS</w:t>
      </w:r>
      <w:r w:rsidR="001E18D0">
        <w:rPr>
          <w:rFonts w:ascii="Times" w:hAnsi="Times"/>
          <w:szCs w:val="20"/>
        </w:rPr>
        <w:t xml:space="preserve"> results</w:t>
      </w:r>
      <w:r>
        <w:rPr>
          <w:rFonts w:ascii="Times" w:hAnsi="Times"/>
          <w:szCs w:val="20"/>
        </w:rPr>
        <w:t xml:space="preserve">. </w:t>
      </w:r>
      <w:r w:rsidR="001E18D0">
        <w:rPr>
          <w:rFonts w:ascii="Times" w:hAnsi="Times" w:cs="Times"/>
        </w:rPr>
        <w:t xml:space="preserve"> T</w:t>
      </w:r>
      <w:r>
        <w:rPr>
          <w:rFonts w:ascii="Times" w:hAnsi="Times" w:cs="Times"/>
        </w:rPr>
        <w:t>he peak attributable to AFm is much more intense. This suggests that more aluminium is incorporated into the AFm</w:t>
      </w:r>
      <w:r w:rsidR="00FA09F8">
        <w:rPr>
          <w:rFonts w:ascii="Times" w:hAnsi="Times" w:cs="Times"/>
        </w:rPr>
        <w:t xml:space="preserve"> type</w:t>
      </w:r>
      <w:r>
        <w:rPr>
          <w:rFonts w:ascii="Times" w:hAnsi="Times" w:cs="Times"/>
        </w:rPr>
        <w:t xml:space="preserve"> phase in the </w:t>
      </w:r>
      <w:r w:rsidR="00883FA7" w:rsidRPr="00947B7A">
        <w:rPr>
          <w:rFonts w:ascii="Times" w:hAnsi="Times" w:cs="Arial"/>
          <w:b/>
          <w:bCs/>
          <w:color w:val="000000"/>
        </w:rPr>
        <w:t>0D</w:t>
      </w:r>
      <m:oMath>
        <m:acc>
          <m:accPr>
            <m:chr m:val="̅"/>
            <m:ctrlPr>
              <w:rPr>
                <w:rFonts w:ascii="Cambria Math" w:hAnsi="Cambria Math" w:cs="Arial"/>
                <w:b/>
                <w:i/>
                <w:sz w:val="36"/>
                <w:szCs w:val="36"/>
              </w:rPr>
            </m:ctrlPr>
          </m:accPr>
          <m:e>
            <m:r>
              <m:rPr>
                <m:sty m:val="p"/>
              </m:rPr>
              <w:rPr>
                <w:rFonts w:ascii="Cambria Math" w:hAnsi="Cambria Math" w:cs="Arial"/>
                <w:sz w:val="36"/>
                <w:szCs w:val="36"/>
              </w:rPr>
              <m:t>cs</m:t>
            </m:r>
          </m:e>
        </m:acc>
      </m:oMath>
      <w:r>
        <w:rPr>
          <w:rFonts w:ascii="Times" w:hAnsi="Times" w:cs="Times"/>
        </w:rPr>
        <w:t xml:space="preserve"> samples. </w:t>
      </w:r>
    </w:p>
    <w:p w14:paraId="02988215" w14:textId="77777777" w:rsidR="00381C0E" w:rsidRPr="00E774AC" w:rsidRDefault="00381C0E" w:rsidP="00FA09F8">
      <w:pPr>
        <w:spacing w:before="240" w:after="120" w:line="480" w:lineRule="exact"/>
        <w:jc w:val="both"/>
        <w:rPr>
          <w:rFonts w:ascii="Times" w:hAnsi="Times" w:cs="Arial"/>
          <w:b/>
          <w:bCs/>
          <w:color w:val="000000"/>
          <w:sz w:val="28"/>
          <w:szCs w:val="28"/>
        </w:rPr>
      </w:pPr>
    </w:p>
    <w:p w14:paraId="32ACB0E3" w14:textId="1464242B" w:rsidR="00777A0A" w:rsidRPr="00CD3BB6" w:rsidRDefault="004D6B40" w:rsidP="00CD3BB6">
      <w:pPr>
        <w:widowControl w:val="0"/>
        <w:autoSpaceDE w:val="0"/>
        <w:autoSpaceDN w:val="0"/>
        <w:adjustRightInd w:val="0"/>
        <w:spacing w:after="240"/>
        <w:jc w:val="center"/>
        <w:rPr>
          <w:rFonts w:ascii="Times" w:hAnsi="Times" w:cs="Times"/>
        </w:rPr>
      </w:pPr>
      <w:r>
        <w:rPr>
          <w:rFonts w:ascii="Times" w:hAnsi="Times" w:cs="Arial"/>
          <w:b/>
          <w:bCs/>
          <w:noProof/>
          <w:color w:val="000000"/>
        </w:rPr>
        <w:drawing>
          <wp:inline distT="0" distB="0" distL="0" distR="0" wp14:anchorId="17C3CD2D" wp14:editId="083AC819">
            <wp:extent cx="5073015" cy="3482939"/>
            <wp:effectExtent l="0" t="0" r="6985" b="0"/>
            <wp:docPr id="10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9">
                      <a:extLst>
                        <a:ext uri="{28A0092B-C50C-407E-A947-70E740481C1C}">
                          <a14:useLocalDpi xmlns:a14="http://schemas.microsoft.com/office/drawing/2010/main" val="0"/>
                        </a:ext>
                      </a:extLst>
                    </a:blip>
                    <a:srcRect b="-2110"/>
                    <a:stretch/>
                  </pic:blipFill>
                  <pic:spPr bwMode="auto">
                    <a:xfrm>
                      <a:off x="0" y="0"/>
                      <a:ext cx="5073516" cy="3483283"/>
                    </a:xfrm>
                    <a:prstGeom prst="rect">
                      <a:avLst/>
                    </a:prstGeom>
                    <a:noFill/>
                    <a:ln>
                      <a:noFill/>
                    </a:ln>
                    <a:extLst>
                      <a:ext uri="{53640926-AAD7-44d8-BBD7-CCE9431645EC}">
                        <a14:shadowObscured xmlns:a14="http://schemas.microsoft.com/office/drawing/2010/main"/>
                      </a:ext>
                    </a:extLst>
                  </pic:spPr>
                </pic:pic>
              </a:graphicData>
            </a:graphic>
          </wp:inline>
        </w:drawing>
      </w:r>
      <w:r w:rsidRPr="004D6B40">
        <w:rPr>
          <w:rFonts w:ascii="Times" w:hAnsi="Times" w:cs="Arial"/>
          <w:b/>
          <w:bCs/>
          <w:color w:val="000000"/>
        </w:rPr>
        <w:t xml:space="preserve"> </w:t>
      </w:r>
      <w:r>
        <w:rPr>
          <w:rFonts w:ascii="Times" w:hAnsi="Times" w:cs="Arial"/>
          <w:b/>
          <w:bCs/>
          <w:color w:val="000000"/>
        </w:rPr>
        <w:br/>
      </w:r>
      <w:r w:rsidR="00777A0A">
        <w:rPr>
          <w:rFonts w:ascii="Times" w:hAnsi="Times" w:cs="Arial"/>
          <w:b/>
          <w:bCs/>
          <w:color w:val="000000"/>
        </w:rPr>
        <w:t xml:space="preserve">Figure 4.20: </w:t>
      </w:r>
      <w:r w:rsidR="00777A0A">
        <w:rPr>
          <w:rFonts w:ascii="Times" w:hAnsi="Times" w:cs="Arial"/>
          <w:bCs/>
          <w:color w:val="000000"/>
          <w:vertAlign w:val="superscript"/>
        </w:rPr>
        <w:t>27</w:t>
      </w:r>
      <w:r w:rsidR="00777A0A">
        <w:rPr>
          <w:rFonts w:ascii="Times" w:hAnsi="Times" w:cs="Arial"/>
          <w:bCs/>
          <w:color w:val="000000"/>
        </w:rPr>
        <w:t xml:space="preserve">Al MAS spectra for </w:t>
      </w:r>
      <w:r w:rsidR="000F6BBD">
        <w:rPr>
          <w:rFonts w:ascii="Times" w:hAnsi="Times" w:cs="Times New Roman"/>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777A0A">
        <w:rPr>
          <w:rFonts w:ascii="Times" w:hAnsi="Times" w:cs="Arial"/>
          <w:b/>
          <w:bCs/>
          <w:color w:val="000000"/>
        </w:rPr>
        <w:t xml:space="preserve"> </w:t>
      </w:r>
      <w:r w:rsidR="00777A0A">
        <w:rPr>
          <w:rFonts w:ascii="Times" w:hAnsi="Times" w:cs="Arial"/>
          <w:bCs/>
          <w:color w:val="000000"/>
        </w:rPr>
        <w:t xml:space="preserve">sample at different curing periods </w:t>
      </w:r>
    </w:p>
    <w:p w14:paraId="49A71982" w14:textId="77777777" w:rsidR="00381C0E" w:rsidRDefault="00381C0E" w:rsidP="00777A0A">
      <w:pPr>
        <w:spacing w:before="240" w:after="120" w:line="360" w:lineRule="auto"/>
        <w:rPr>
          <w:rFonts w:ascii="Times" w:hAnsi="Times" w:cs="Arial"/>
          <w:b/>
          <w:bCs/>
          <w:i/>
          <w:color w:val="000000"/>
        </w:rPr>
      </w:pPr>
    </w:p>
    <w:p w14:paraId="2BF4DF1E" w14:textId="77777777" w:rsidR="005C1889" w:rsidRDefault="005C1889" w:rsidP="00381C0E">
      <w:pPr>
        <w:spacing w:before="120" w:line="480" w:lineRule="exact"/>
        <w:rPr>
          <w:rFonts w:ascii="Times" w:hAnsi="Times" w:cs="Arial"/>
          <w:b/>
          <w:bCs/>
          <w:i/>
          <w:color w:val="000000"/>
        </w:rPr>
      </w:pPr>
    </w:p>
    <w:p w14:paraId="6C205EE2" w14:textId="77777777" w:rsidR="005C1889" w:rsidRDefault="005C1889" w:rsidP="00381C0E">
      <w:pPr>
        <w:spacing w:before="120" w:line="480" w:lineRule="exact"/>
        <w:rPr>
          <w:rFonts w:ascii="Times" w:hAnsi="Times" w:cs="Arial"/>
          <w:b/>
          <w:bCs/>
          <w:i/>
          <w:color w:val="000000"/>
        </w:rPr>
      </w:pPr>
    </w:p>
    <w:p w14:paraId="1980FC0F" w14:textId="77777777" w:rsidR="005A7409" w:rsidRDefault="005A7409" w:rsidP="00381C0E">
      <w:pPr>
        <w:spacing w:before="120" w:line="480" w:lineRule="exact"/>
        <w:rPr>
          <w:rFonts w:ascii="Times" w:hAnsi="Times" w:cs="Arial"/>
          <w:b/>
          <w:bCs/>
          <w:i/>
          <w:color w:val="000000"/>
        </w:rPr>
      </w:pPr>
    </w:p>
    <w:p w14:paraId="30E4EDE7" w14:textId="77777777" w:rsidR="005C1889" w:rsidRDefault="005C1889" w:rsidP="00381C0E">
      <w:pPr>
        <w:spacing w:before="120" w:line="480" w:lineRule="exact"/>
        <w:rPr>
          <w:rFonts w:ascii="Times" w:hAnsi="Times" w:cs="Arial"/>
          <w:b/>
          <w:bCs/>
          <w:i/>
          <w:color w:val="000000"/>
        </w:rPr>
      </w:pPr>
    </w:p>
    <w:p w14:paraId="739C949F" w14:textId="77777777" w:rsidR="00381C0E" w:rsidRDefault="00777A0A" w:rsidP="00381C0E">
      <w:pPr>
        <w:spacing w:before="120" w:line="480" w:lineRule="exact"/>
        <w:rPr>
          <w:rFonts w:ascii="Times" w:hAnsi="Times" w:cs="Arial"/>
          <w:b/>
          <w:bCs/>
          <w:i/>
          <w:color w:val="000000"/>
        </w:rPr>
      </w:pPr>
      <w:r w:rsidRPr="00BA1F59">
        <w:rPr>
          <w:rFonts w:ascii="Times" w:hAnsi="Times" w:cs="Arial"/>
          <w:b/>
          <w:bCs/>
          <w:i/>
          <w:color w:val="000000"/>
        </w:rPr>
        <w:lastRenderedPageBreak/>
        <w:t>v.</w:t>
      </w:r>
      <w:r w:rsidRPr="00BA1F59">
        <w:rPr>
          <w:rFonts w:ascii="Times" w:hAnsi="Times" w:cs="Arial"/>
          <w:b/>
          <w:bCs/>
          <w:i/>
          <w:color w:val="000000"/>
        </w:rPr>
        <w:tab/>
        <w:t xml:space="preserve">Scanning Electron Microscopy </w:t>
      </w:r>
      <w:r>
        <w:rPr>
          <w:rFonts w:ascii="Times" w:hAnsi="Times" w:cs="Arial"/>
          <w:b/>
          <w:bCs/>
          <w:i/>
          <w:color w:val="000000"/>
        </w:rPr>
        <w:t>(</w:t>
      </w:r>
      <w:r w:rsidRPr="00BA1F59">
        <w:rPr>
          <w:rFonts w:ascii="Times" w:hAnsi="Times" w:cs="Arial"/>
          <w:b/>
          <w:bCs/>
          <w:i/>
          <w:color w:val="000000"/>
        </w:rPr>
        <w:t>SEM</w:t>
      </w:r>
      <w:r>
        <w:rPr>
          <w:rFonts w:ascii="Times" w:hAnsi="Times" w:cs="Arial"/>
          <w:b/>
          <w:bCs/>
          <w:i/>
          <w:color w:val="000000"/>
        </w:rPr>
        <w:t>)</w:t>
      </w:r>
    </w:p>
    <w:p w14:paraId="0790B866" w14:textId="74A3700A" w:rsidR="00777A0A" w:rsidRPr="00381C0E" w:rsidRDefault="00777A0A" w:rsidP="00381C0E">
      <w:pPr>
        <w:spacing w:before="120" w:line="480" w:lineRule="exact"/>
        <w:jc w:val="both"/>
        <w:rPr>
          <w:rFonts w:ascii="Times" w:hAnsi="Times" w:cs="Arial"/>
          <w:b/>
          <w:bCs/>
          <w:i/>
          <w:color w:val="000000"/>
        </w:rPr>
      </w:pPr>
      <w:r>
        <w:rPr>
          <w:rFonts w:ascii="Times" w:hAnsi="Times" w:cs="Arial"/>
          <w:bCs/>
          <w:color w:val="000000"/>
        </w:rPr>
        <w:t>A backscattered electron image for</w:t>
      </w:r>
      <w:r>
        <w:rPr>
          <w:rFonts w:ascii="Times" w:hAnsi="Times" w:cs="Arial"/>
          <w:b/>
          <w:bCs/>
          <w:color w:val="000000"/>
        </w:rPr>
        <w:t xml:space="preserve"> 0DB </w:t>
      </w:r>
      <w:r>
        <w:rPr>
          <w:rFonts w:ascii="Times" w:hAnsi="Times" w:cs="Arial"/>
          <w:bCs/>
          <w:color w:val="000000"/>
        </w:rPr>
        <w:t xml:space="preserve">is shown in Figure 4.21. Some of the cement particles have not been completely reacted, and in some particles, </w:t>
      </w:r>
      <w:r w:rsidR="001B2073">
        <w:rPr>
          <w:rFonts w:ascii="Times" w:hAnsi="Times" w:cs="Arial"/>
          <w:bCs/>
          <w:color w:val="000000"/>
        </w:rPr>
        <w:t xml:space="preserve">the </w:t>
      </w:r>
      <w:r>
        <w:rPr>
          <w:rFonts w:ascii="Times" w:hAnsi="Times" w:cs="Arial"/>
          <w:bCs/>
          <w:color w:val="000000"/>
        </w:rPr>
        <w:t>hydrating rim</w:t>
      </w:r>
      <w:r w:rsidR="001B2073">
        <w:rPr>
          <w:rFonts w:ascii="Times" w:hAnsi="Times" w:cs="Arial"/>
          <w:bCs/>
          <w:color w:val="000000"/>
        </w:rPr>
        <w:t xml:space="preserve"> resulting from these reactions can be seen, which is</w:t>
      </w:r>
      <w:r>
        <w:rPr>
          <w:rFonts w:ascii="Times" w:hAnsi="Times" w:cs="Arial"/>
          <w:bCs/>
          <w:color w:val="000000"/>
        </w:rPr>
        <w:t xml:space="preserve"> usually composed of inner product </w:t>
      </w:r>
      <w:r w:rsidR="001B2073">
        <w:rPr>
          <w:rFonts w:ascii="Times" w:hAnsi="Times" w:cs="Arial"/>
          <w:bCs/>
          <w:color w:val="000000"/>
        </w:rPr>
        <w:t xml:space="preserve">     </w:t>
      </w:r>
      <w:r>
        <w:rPr>
          <w:rFonts w:ascii="Times" w:hAnsi="Times" w:cs="Arial"/>
          <w:bCs/>
          <w:color w:val="000000"/>
        </w:rPr>
        <w:t xml:space="preserve">C-S-H gel [38]. </w:t>
      </w:r>
      <w:r w:rsidR="00410D34">
        <w:rPr>
          <w:rFonts w:ascii="Times" w:hAnsi="Times" w:cs="Arial"/>
          <w:bCs/>
          <w:color w:val="000000"/>
        </w:rPr>
        <w:t>Hydration rims were</w:t>
      </w:r>
      <w:r>
        <w:rPr>
          <w:rFonts w:ascii="Times" w:hAnsi="Times" w:cs="Arial"/>
          <w:bCs/>
          <w:color w:val="000000"/>
        </w:rPr>
        <w:t xml:space="preserve"> also observed around the BFS particles in Figure 4.21. The edges of the BFS particles were smooth with no obvious signs of degradation, suggesting that the glassy structure of the BFS has not been </w:t>
      </w:r>
      <w:proofErr w:type="gramStart"/>
      <w:r>
        <w:rPr>
          <w:rFonts w:ascii="Times" w:hAnsi="Times" w:cs="Arial"/>
          <w:bCs/>
          <w:color w:val="000000"/>
        </w:rPr>
        <w:t>attacked</w:t>
      </w:r>
      <w:r w:rsidR="00BE6858">
        <w:rPr>
          <w:rFonts w:ascii="Times" w:hAnsi="Times" w:cs="Arial"/>
          <w:bCs/>
          <w:color w:val="000000"/>
        </w:rPr>
        <w:t xml:space="preserve"> which</w:t>
      </w:r>
      <w:proofErr w:type="gramEnd"/>
      <w:r w:rsidR="00BE6858">
        <w:rPr>
          <w:rFonts w:ascii="Times" w:hAnsi="Times" w:cs="Arial"/>
          <w:bCs/>
          <w:color w:val="000000"/>
        </w:rPr>
        <w:t xml:space="preserve"> was not expected</w:t>
      </w:r>
      <w:r>
        <w:rPr>
          <w:rFonts w:ascii="Times" w:hAnsi="Times" w:cs="Arial"/>
          <w:bCs/>
          <w:color w:val="000000"/>
        </w:rPr>
        <w:t>.  The formation of Portlandite (</w:t>
      </w:r>
      <w:proofErr w:type="gramStart"/>
      <w:r>
        <w:rPr>
          <w:rFonts w:ascii="Times" w:hAnsi="Times" w:cs="Arial"/>
          <w:bCs/>
          <w:color w:val="000000"/>
        </w:rPr>
        <w:t>Ca(</w:t>
      </w:r>
      <w:proofErr w:type="gramEnd"/>
      <w:r>
        <w:rPr>
          <w:rFonts w:ascii="Times" w:hAnsi="Times" w:cs="Arial"/>
          <w:bCs/>
          <w:color w:val="000000"/>
        </w:rPr>
        <w:t>OH)</w:t>
      </w:r>
      <w:r>
        <w:rPr>
          <w:rFonts w:ascii="Times" w:hAnsi="Times" w:cs="Arial"/>
          <w:bCs/>
          <w:color w:val="000000"/>
          <w:vertAlign w:val="subscript"/>
        </w:rPr>
        <w:t>2</w:t>
      </w:r>
      <w:r>
        <w:rPr>
          <w:rFonts w:ascii="Times" w:hAnsi="Times" w:cs="Arial"/>
          <w:bCs/>
          <w:color w:val="000000"/>
        </w:rPr>
        <w:t>) was also observed,</w:t>
      </w:r>
      <w:r w:rsidRPr="00412223">
        <w:rPr>
          <w:rFonts w:ascii="Times" w:hAnsi="Times" w:cs="Arial"/>
          <w:bCs/>
          <w:color w:val="000000"/>
        </w:rPr>
        <w:t xml:space="preserve"> </w:t>
      </w:r>
      <w:r>
        <w:rPr>
          <w:rFonts w:ascii="Times" w:hAnsi="Times" w:cs="Arial"/>
          <w:bCs/>
          <w:color w:val="000000"/>
        </w:rPr>
        <w:t xml:space="preserve">filling the water filled spaces [7] and was easy to differentiate as it is brighter. The image also shows unfilled voids and pores between the hydration products, as well as the large BFS particles.  </w:t>
      </w:r>
    </w:p>
    <w:p w14:paraId="55FEE071" w14:textId="77777777" w:rsidR="00777A0A" w:rsidRDefault="00777A0A" w:rsidP="00777A0A">
      <w:pPr>
        <w:spacing w:before="240" w:after="120"/>
        <w:ind w:left="-851"/>
        <w:outlineLvl w:val="0"/>
        <w:rPr>
          <w:rFonts w:ascii="Times" w:hAnsi="Times" w:cs="Arial"/>
          <w:b/>
          <w:bCs/>
          <w:color w:val="000000"/>
          <w:sz w:val="28"/>
          <w:szCs w:val="28"/>
        </w:rPr>
      </w:pPr>
      <w:r>
        <w:rPr>
          <w:rFonts w:ascii="Times" w:hAnsi="Times" w:cs="Arial"/>
          <w:b/>
          <w:noProof/>
          <w:color w:val="000000"/>
          <w:sz w:val="28"/>
          <w:szCs w:val="28"/>
        </w:rPr>
        <w:drawing>
          <wp:inline distT="0" distB="0" distL="0" distR="0" wp14:anchorId="0A00274B" wp14:editId="1F2AE943">
            <wp:extent cx="5566025" cy="2802866"/>
            <wp:effectExtent l="0" t="0" r="0" b="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66291" cy="2803000"/>
                    </a:xfrm>
                    <a:prstGeom prst="rect">
                      <a:avLst/>
                    </a:prstGeom>
                    <a:noFill/>
                    <a:ln>
                      <a:noFill/>
                    </a:ln>
                  </pic:spPr>
                </pic:pic>
              </a:graphicData>
            </a:graphic>
          </wp:inline>
        </w:drawing>
      </w:r>
    </w:p>
    <w:p w14:paraId="2DF54284" w14:textId="76B2176F" w:rsidR="00777A0A" w:rsidRDefault="00777A0A" w:rsidP="00777A0A">
      <w:pPr>
        <w:spacing w:before="240" w:after="120"/>
        <w:jc w:val="center"/>
        <w:outlineLvl w:val="0"/>
        <w:rPr>
          <w:rFonts w:ascii="Times" w:hAnsi="Times" w:cs="Arial"/>
          <w:b/>
          <w:bCs/>
          <w:color w:val="000000"/>
          <w:szCs w:val="28"/>
        </w:rPr>
      </w:pPr>
      <w:r w:rsidRPr="00BB1EDD">
        <w:rPr>
          <w:rFonts w:ascii="Times" w:hAnsi="Times" w:cs="Arial"/>
          <w:b/>
          <w:bCs/>
          <w:color w:val="000000"/>
          <w:szCs w:val="28"/>
        </w:rPr>
        <w:t xml:space="preserve">Figure 4.21: </w:t>
      </w:r>
      <w:r w:rsidRPr="00BB1EDD">
        <w:rPr>
          <w:rFonts w:ascii="Times" w:hAnsi="Times" w:cs="Arial"/>
          <w:bCs/>
          <w:color w:val="000000"/>
          <w:szCs w:val="28"/>
        </w:rPr>
        <w:t xml:space="preserve">Backscattered SEM image of </w:t>
      </w:r>
      <w:r w:rsidRPr="00B64A52">
        <w:rPr>
          <w:rFonts w:ascii="Times" w:hAnsi="Times" w:cs="Arial"/>
          <w:b/>
          <w:bCs/>
          <w:color w:val="000000"/>
          <w:szCs w:val="28"/>
        </w:rPr>
        <w:t>0DB</w:t>
      </w:r>
      <w:r w:rsidR="00D50DF4" w:rsidRPr="00751C5B">
        <w:rPr>
          <w:rFonts w:ascii="Times" w:hAnsi="Times" w:cs="Arial"/>
          <w:bCs/>
          <w:color w:val="000000"/>
          <w:szCs w:val="28"/>
        </w:rPr>
        <w:t xml:space="preserve"> (42 days cured)</w:t>
      </w:r>
    </w:p>
    <w:p w14:paraId="32AF727F" w14:textId="77777777" w:rsidR="00777A0A" w:rsidRDefault="00777A0A" w:rsidP="00E562AB">
      <w:pPr>
        <w:spacing w:before="240" w:after="120" w:line="480" w:lineRule="exact"/>
        <w:jc w:val="both"/>
        <w:outlineLvl w:val="0"/>
        <w:rPr>
          <w:rFonts w:ascii="Times" w:hAnsi="Times" w:cs="Arial"/>
          <w:bCs/>
          <w:color w:val="000000"/>
          <w:szCs w:val="28"/>
        </w:rPr>
      </w:pPr>
      <w:r>
        <w:rPr>
          <w:rFonts w:ascii="Times" w:hAnsi="Times" w:cs="Arial"/>
          <w:bCs/>
          <w:color w:val="000000"/>
          <w:szCs w:val="28"/>
        </w:rPr>
        <w:t xml:space="preserve">A </w:t>
      </w:r>
      <w:proofErr w:type="gramStart"/>
      <w:r>
        <w:rPr>
          <w:rFonts w:ascii="Times" w:hAnsi="Times" w:cs="Arial"/>
          <w:bCs/>
          <w:color w:val="000000"/>
          <w:szCs w:val="28"/>
        </w:rPr>
        <w:t>back scattered</w:t>
      </w:r>
      <w:proofErr w:type="gramEnd"/>
      <w:r>
        <w:rPr>
          <w:rFonts w:ascii="Times" w:hAnsi="Times" w:cs="Arial"/>
          <w:bCs/>
          <w:color w:val="000000"/>
          <w:szCs w:val="28"/>
        </w:rPr>
        <w:t xml:space="preserve"> electron image for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Arial"/>
          <w:b/>
          <w:bCs/>
          <w:color w:val="000000"/>
          <w:szCs w:val="28"/>
        </w:rPr>
        <w:t xml:space="preserve"> </w:t>
      </w:r>
      <w:r w:rsidRPr="00E562AB">
        <w:rPr>
          <w:rFonts w:ascii="Times" w:hAnsi="Times" w:cs="Arial"/>
          <w:bCs/>
          <w:color w:val="000000"/>
          <w:szCs w:val="28"/>
        </w:rPr>
        <w:t>after 42 days of hydration</w:t>
      </w:r>
      <w:r>
        <w:rPr>
          <w:rFonts w:ascii="Times" w:hAnsi="Times" w:cs="Arial"/>
          <w:b/>
          <w:bCs/>
          <w:color w:val="000000"/>
          <w:szCs w:val="28"/>
        </w:rPr>
        <w:t xml:space="preserve"> </w:t>
      </w:r>
      <w:r>
        <w:rPr>
          <w:rFonts w:ascii="Times" w:hAnsi="Times" w:cs="Arial"/>
          <w:bCs/>
          <w:color w:val="000000"/>
          <w:szCs w:val="28"/>
        </w:rPr>
        <w:t xml:space="preserve">is shown Figure 4.22. The BFS particles in this sample also show hydration rims although the edges show some signs of pitting suggesting a more advanced stage of hydration. The sample also show unreacted cement particles although not as much as the </w:t>
      </w:r>
      <w:r w:rsidRPr="00B64A52">
        <w:rPr>
          <w:rFonts w:ascii="Times" w:hAnsi="Times" w:cs="Arial"/>
          <w:b/>
          <w:bCs/>
          <w:color w:val="000000"/>
          <w:szCs w:val="28"/>
        </w:rPr>
        <w:t>0DB</w:t>
      </w:r>
      <w:r>
        <w:rPr>
          <w:rFonts w:ascii="Times" w:hAnsi="Times" w:cs="Arial"/>
          <w:bCs/>
          <w:color w:val="000000"/>
          <w:szCs w:val="28"/>
        </w:rPr>
        <w:t xml:space="preserve"> sample.  The formation of Portlandite was not observed.  This absence of Portlandite corresponds with the XRD and TGA results. </w:t>
      </w:r>
    </w:p>
    <w:p w14:paraId="0FC84D67" w14:textId="12623970" w:rsidR="00777A0A" w:rsidRPr="00E24477" w:rsidRDefault="00777A0A" w:rsidP="00777A0A">
      <w:pPr>
        <w:spacing w:before="240" w:after="120"/>
        <w:ind w:left="-142"/>
        <w:jc w:val="center"/>
        <w:outlineLvl w:val="0"/>
        <w:rPr>
          <w:rFonts w:ascii="Times" w:hAnsi="Times" w:cs="Times New Roman"/>
          <w:b/>
          <w:bCs/>
          <w:smallCaps/>
          <w:sz w:val="32"/>
          <w:szCs w:val="32"/>
        </w:rPr>
      </w:pPr>
      <w:r w:rsidRPr="00AA2B36">
        <w:rPr>
          <w:rFonts w:ascii="Times" w:hAnsi="Times" w:cs="Times New Roman"/>
          <w:b/>
          <w:bCs/>
          <w:smallCaps/>
          <w:noProof/>
          <w:sz w:val="32"/>
          <w:szCs w:val="32"/>
        </w:rPr>
        <w:lastRenderedPageBreak/>
        <w:drawing>
          <wp:inline distT="0" distB="0" distL="0" distR="0" wp14:anchorId="0F72FBBD" wp14:editId="5E5671B3">
            <wp:extent cx="6495836" cy="2447008"/>
            <wp:effectExtent l="0" t="0" r="0" b="0"/>
            <wp:docPr id="9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99045" cy="2448217"/>
                    </a:xfrm>
                    <a:prstGeom prst="rect">
                      <a:avLst/>
                    </a:prstGeom>
                    <a:noFill/>
                    <a:ln>
                      <a:noFill/>
                    </a:ln>
                  </pic:spPr>
                </pic:pic>
              </a:graphicData>
            </a:graphic>
          </wp:inline>
        </w:drawing>
      </w:r>
      <w:r>
        <w:rPr>
          <w:rFonts w:ascii="Times" w:hAnsi="Times" w:cs="Times New Roman"/>
          <w:b/>
        </w:rPr>
        <w:t>Figure 4.22:</w:t>
      </w:r>
      <w:r>
        <w:rPr>
          <w:rFonts w:ascii="Times" w:hAnsi="Times" w:cs="Times New Roman"/>
        </w:rPr>
        <w:t xml:space="preserve"> </w:t>
      </w:r>
      <w:r>
        <w:rPr>
          <w:rFonts w:ascii="Times" w:hAnsi="Times" w:cs="Arial"/>
          <w:bCs/>
          <w:color w:val="000000"/>
          <w:szCs w:val="28"/>
        </w:rPr>
        <w:t>Backscattered SEM image of</w:t>
      </w:r>
      <w:r w:rsidR="00A6291D">
        <w:rPr>
          <w:rFonts w:ascii="Times" w:hAnsi="Times" w:cs="Arial"/>
          <w:bCs/>
          <w:color w:val="000000"/>
          <w:szCs w:val="28"/>
        </w:rPr>
        <w:t xml:space="preserve"> 42 day cured</w:t>
      </w:r>
      <w:r>
        <w:rPr>
          <w:rFonts w:ascii="Times" w:hAnsi="Times" w:cs="Arial"/>
          <w:bCs/>
          <w:color w:val="000000"/>
          <w:szCs w:val="28"/>
        </w:rPr>
        <w:t xml:space="preserve">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A6291D">
        <w:rPr>
          <w:rFonts w:cs="Arial"/>
          <w:sz w:val="36"/>
          <w:szCs w:val="36"/>
        </w:rPr>
        <w:t xml:space="preserve"> </w:t>
      </w:r>
    </w:p>
    <w:p w14:paraId="3629FB56" w14:textId="67E1B211" w:rsidR="00777A0A" w:rsidRDefault="00777A0A" w:rsidP="00381C0E">
      <w:pPr>
        <w:spacing w:before="240" w:after="120" w:line="480" w:lineRule="exact"/>
        <w:jc w:val="both"/>
        <w:outlineLvl w:val="0"/>
        <w:rPr>
          <w:rFonts w:ascii="Times New Roman" w:hAnsi="Times New Roman" w:cs="Times New Roman"/>
        </w:rPr>
      </w:pPr>
      <w:r>
        <w:rPr>
          <w:rFonts w:ascii="Times New Roman" w:hAnsi="Times New Roman" w:cs="Times New Roman"/>
        </w:rPr>
        <w:t xml:space="preserve">The elemental map in Figure 4.23 shows that the Cs and Sr have localised distributions within the cement matrix. Cs seems to be concentrated in a small area, whereas Sr is more dispersed. This may suggest that Cs has not been incorporated into any cement phases whereas Sr has been. </w:t>
      </w:r>
      <w:r>
        <w:rPr>
          <w:rFonts w:ascii="Times New Roman" w:hAnsi="Times New Roman" w:cs="Times New Roman"/>
          <w:bCs/>
          <w:color w:val="000000"/>
          <w:szCs w:val="28"/>
        </w:rPr>
        <w:t xml:space="preserve">The elemental map shows an overlap of Al and S, suggesting the formation of AFm/AFt phases in this </w:t>
      </w:r>
      <w:proofErr w:type="gramStart"/>
      <w:r>
        <w:rPr>
          <w:rFonts w:ascii="Times New Roman" w:hAnsi="Times New Roman" w:cs="Times New Roman"/>
          <w:bCs/>
          <w:color w:val="000000"/>
          <w:szCs w:val="28"/>
        </w:rPr>
        <w:t>area.</w:t>
      </w:r>
      <w:r>
        <w:rPr>
          <w:rFonts w:ascii="Times New Roman" w:hAnsi="Times New Roman" w:cs="Times New Roman"/>
        </w:rPr>
        <w:t>The</w:t>
      </w:r>
      <w:proofErr w:type="gramEnd"/>
      <w:r>
        <w:rPr>
          <w:rFonts w:ascii="Times New Roman" w:hAnsi="Times New Roman" w:cs="Times New Roman"/>
        </w:rPr>
        <w:t xml:space="preserve"> Sr </w:t>
      </w:r>
      <w:r w:rsidR="006B6CF8">
        <w:rPr>
          <w:rFonts w:ascii="Times New Roman" w:hAnsi="Times New Roman" w:cs="Times New Roman"/>
        </w:rPr>
        <w:t>dispersion</w:t>
      </w:r>
      <w:r>
        <w:rPr>
          <w:rFonts w:ascii="Times New Roman" w:hAnsi="Times New Roman" w:cs="Times New Roman"/>
        </w:rPr>
        <w:t xml:space="preserve"> seems to be in the region with less S, which may suggest that the Sr is incorporated in phases other than the AFt/AFm phase</w:t>
      </w:r>
      <w:r w:rsidR="000A10B9">
        <w:rPr>
          <w:rFonts w:ascii="Times New Roman" w:hAnsi="Times New Roman" w:cs="Times New Roman"/>
        </w:rPr>
        <w:t xml:space="preserve"> suggested in </w:t>
      </w:r>
      <w:r w:rsidR="00BE6858">
        <w:rPr>
          <w:rFonts w:ascii="Times New Roman" w:hAnsi="Times New Roman" w:cs="Times New Roman"/>
        </w:rPr>
        <w:t xml:space="preserve">some </w:t>
      </w:r>
      <w:r w:rsidR="000A10B9">
        <w:rPr>
          <w:rFonts w:ascii="Times New Roman" w:hAnsi="Times New Roman" w:cs="Times New Roman"/>
        </w:rPr>
        <w:t>literature [35</w:t>
      </w:r>
      <w:r w:rsidR="006B6CF8">
        <w:rPr>
          <w:rFonts w:ascii="Times New Roman" w:hAnsi="Times New Roman" w:cs="Times New Roman"/>
        </w:rPr>
        <w:t>]. However the elemental map does show</w:t>
      </w:r>
      <w:r>
        <w:rPr>
          <w:rFonts w:ascii="Times New Roman" w:hAnsi="Times New Roman" w:cs="Times New Roman"/>
        </w:rPr>
        <w:t xml:space="preserve"> region</w:t>
      </w:r>
      <w:r w:rsidR="006B6CF8">
        <w:rPr>
          <w:rFonts w:ascii="Times New Roman" w:hAnsi="Times New Roman" w:cs="Times New Roman"/>
        </w:rPr>
        <w:t>s</w:t>
      </w:r>
      <w:r>
        <w:rPr>
          <w:rFonts w:ascii="Times New Roman" w:hAnsi="Times New Roman" w:cs="Times New Roman"/>
        </w:rPr>
        <w:t xml:space="preserve"> where the Sr</w:t>
      </w:r>
      <w:r w:rsidR="00D70F04">
        <w:rPr>
          <w:rFonts w:ascii="Times New Roman" w:hAnsi="Times New Roman" w:cs="Times New Roman"/>
        </w:rPr>
        <w:t xml:space="preserve">, </w:t>
      </w:r>
      <w:r w:rsidR="000D6467">
        <w:rPr>
          <w:rFonts w:ascii="Times New Roman" w:hAnsi="Times New Roman" w:cs="Times New Roman"/>
        </w:rPr>
        <w:t>Ca and</w:t>
      </w:r>
      <w:r>
        <w:rPr>
          <w:rFonts w:ascii="Times New Roman" w:hAnsi="Times New Roman" w:cs="Times New Roman"/>
        </w:rPr>
        <w:t xml:space="preserve"> </w:t>
      </w:r>
      <w:r w:rsidR="000D6467">
        <w:rPr>
          <w:rFonts w:ascii="Times New Roman" w:hAnsi="Times New Roman" w:cs="Times New Roman"/>
        </w:rPr>
        <w:t xml:space="preserve">Mg </w:t>
      </w:r>
      <w:r>
        <w:rPr>
          <w:rFonts w:ascii="Times New Roman" w:hAnsi="Times New Roman" w:cs="Times New Roman"/>
        </w:rPr>
        <w:t>seem to overlap without the presence of S</w:t>
      </w:r>
      <w:r w:rsidR="000D6467">
        <w:rPr>
          <w:rFonts w:ascii="Times New Roman" w:hAnsi="Times New Roman" w:cs="Times New Roman"/>
        </w:rPr>
        <w:t xml:space="preserve"> or Al</w:t>
      </w:r>
      <w:r>
        <w:rPr>
          <w:rFonts w:ascii="Times New Roman" w:hAnsi="Times New Roman" w:cs="Times New Roman"/>
        </w:rPr>
        <w:t xml:space="preserve">. </w:t>
      </w:r>
    </w:p>
    <w:p w14:paraId="5950B2B1" w14:textId="77777777" w:rsidR="00E562AB" w:rsidRPr="00E562AB" w:rsidRDefault="00E562AB" w:rsidP="00777A0A">
      <w:pPr>
        <w:spacing w:before="240" w:after="120" w:line="360" w:lineRule="auto"/>
        <w:jc w:val="both"/>
        <w:outlineLvl w:val="0"/>
        <w:rPr>
          <w:rFonts w:ascii="Times New Roman" w:hAnsi="Times New Roman" w:cs="Times New Roman"/>
        </w:rPr>
      </w:pPr>
    </w:p>
    <w:p w14:paraId="039BE7D0" w14:textId="77777777" w:rsidR="00777A0A" w:rsidRDefault="00777A0A" w:rsidP="00777A0A">
      <w:pPr>
        <w:spacing w:before="240" w:after="120" w:line="360" w:lineRule="auto"/>
        <w:jc w:val="both"/>
        <w:outlineLvl w:val="0"/>
        <w:rPr>
          <w:rFonts w:ascii="Times" w:hAnsi="Times" w:cs="Times New Roman"/>
          <w:bCs/>
          <w:smallCaps/>
          <w:sz w:val="32"/>
          <w:szCs w:val="32"/>
        </w:rPr>
      </w:pPr>
      <w:r w:rsidRPr="003433CD">
        <w:rPr>
          <w:rFonts w:ascii="Times" w:hAnsi="Times" w:cs="Times New Roman"/>
          <w:bCs/>
          <w:smallCaps/>
          <w:noProof/>
          <w:sz w:val="32"/>
          <w:szCs w:val="32"/>
        </w:rPr>
        <w:drawing>
          <wp:inline distT="0" distB="0" distL="0" distR="0" wp14:anchorId="5B9E186D" wp14:editId="549B2DB0">
            <wp:extent cx="4870686" cy="2532647"/>
            <wp:effectExtent l="0" t="0" r="6350" b="7620"/>
            <wp:docPr id="9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73985" cy="2534363"/>
                    </a:xfrm>
                    <a:prstGeom prst="rect">
                      <a:avLst/>
                    </a:prstGeom>
                    <a:noFill/>
                    <a:ln>
                      <a:noFill/>
                    </a:ln>
                  </pic:spPr>
                </pic:pic>
              </a:graphicData>
            </a:graphic>
          </wp:inline>
        </w:drawing>
      </w:r>
    </w:p>
    <w:p w14:paraId="5E6F47E8" w14:textId="443DA5FA" w:rsidR="00E562AB" w:rsidRDefault="00777A0A" w:rsidP="00751C5B">
      <w:pPr>
        <w:widowControl w:val="0"/>
        <w:autoSpaceDE w:val="0"/>
        <w:autoSpaceDN w:val="0"/>
        <w:adjustRightInd w:val="0"/>
        <w:spacing w:after="240"/>
        <w:jc w:val="center"/>
        <w:rPr>
          <w:rFonts w:ascii="Times" w:hAnsi="Times" w:cs="Times New Roman"/>
          <w:b/>
          <w:bCs/>
          <w:smallCaps/>
          <w:sz w:val="36"/>
          <w:szCs w:val="32"/>
        </w:rPr>
      </w:pPr>
      <w:r w:rsidRPr="004E3008">
        <w:rPr>
          <w:rFonts w:ascii="Times" w:hAnsi="Times" w:cs="Times New Roman"/>
          <w:b/>
          <w:bCs/>
        </w:rPr>
        <w:t xml:space="preserve">Figure 4.23: </w:t>
      </w:r>
      <w:r>
        <w:rPr>
          <w:rFonts w:ascii="Times" w:hAnsi="Times" w:cs="Times New Roman"/>
          <w:b/>
          <w:bCs/>
        </w:rPr>
        <w:t xml:space="preserve"> </w:t>
      </w:r>
      <w:r w:rsidRPr="00CF24B8">
        <w:rPr>
          <w:rFonts w:ascii="Times" w:hAnsi="Times" w:cs="Times New Roman"/>
          <w:bCs/>
        </w:rPr>
        <w:t>Backscattered electron image with X-ray dot maps of ar</w:t>
      </w:r>
      <w:r>
        <w:rPr>
          <w:rFonts w:ascii="Times" w:hAnsi="Times" w:cs="Times New Roman"/>
          <w:bCs/>
        </w:rPr>
        <w:t xml:space="preserve">ea highlighted by </w:t>
      </w:r>
      <w:r>
        <w:rPr>
          <w:rFonts w:ascii="Times" w:hAnsi="Times" w:cs="Times New Roman"/>
          <w:bCs/>
        </w:rPr>
        <w:lastRenderedPageBreak/>
        <w:t>dotted line and</w:t>
      </w:r>
      <w:r w:rsidR="007E4272">
        <w:rPr>
          <w:rFonts w:ascii="Times" w:hAnsi="Times" w:cs="Times New Roman"/>
          <w:bCs/>
        </w:rPr>
        <w:t xml:space="preserve"> an</w:t>
      </w:r>
      <w:r w:rsidRPr="00CF24B8">
        <w:rPr>
          <w:rFonts w:ascii="Times" w:hAnsi="Times" w:cs="Times New Roman"/>
          <w:bCs/>
        </w:rPr>
        <w:t xml:space="preserve"> EDS trace from </w:t>
      </w:r>
      <w:r w:rsidR="007E4272">
        <w:rPr>
          <w:rFonts w:ascii="Times" w:hAnsi="Times" w:cs="Times New Roman"/>
          <w:bCs/>
        </w:rPr>
        <w:t xml:space="preserve">a </w:t>
      </w:r>
      <w:r w:rsidRPr="00CF24B8">
        <w:rPr>
          <w:rFonts w:ascii="Times" w:hAnsi="Times" w:cs="Times New Roman"/>
          <w:bCs/>
        </w:rPr>
        <w:t>point within</w:t>
      </w:r>
      <w:r w:rsidR="007E4272">
        <w:rPr>
          <w:rFonts w:ascii="Times" w:hAnsi="Times" w:cs="Times New Roman"/>
          <w:bCs/>
        </w:rPr>
        <w:t xml:space="preserve"> the</w:t>
      </w:r>
      <w:r>
        <w:rPr>
          <w:rFonts w:ascii="Times" w:hAnsi="Times" w:cs="Times New Roman"/>
          <w:bCs/>
        </w:rPr>
        <w:t xml:space="preserve"> </w:t>
      </w:r>
      <w:r w:rsidRPr="00CF24B8">
        <w:rPr>
          <w:rFonts w:ascii="Times" w:hAnsi="Times" w:cs="Times New Roman"/>
          <w:bCs/>
        </w:rPr>
        <w:t>highlighted region</w:t>
      </w:r>
      <w:r w:rsidR="00561F5D">
        <w:rPr>
          <w:rFonts w:ascii="Times" w:hAnsi="Times" w:cs="Times New Roman"/>
          <w:bCs/>
        </w:rPr>
        <w:t xml:space="preserve"> </w:t>
      </w:r>
      <w:r w:rsidR="00561F5D">
        <w:rPr>
          <w:rFonts w:ascii="Times" w:hAnsi="Times" w:cs="Times New Roman"/>
          <w:bCs/>
        </w:rPr>
        <w:br/>
        <w:t>(White regions are high concentration, black regions are low concentration</w:t>
      </w:r>
    </w:p>
    <w:p w14:paraId="62960AC7" w14:textId="77777777" w:rsidR="00777A0A" w:rsidRDefault="00777A0A" w:rsidP="00777A0A">
      <w:pPr>
        <w:spacing w:before="240" w:after="120" w:line="480" w:lineRule="exact"/>
        <w:jc w:val="both"/>
        <w:outlineLvl w:val="0"/>
        <w:rPr>
          <w:rFonts w:ascii="Times" w:hAnsi="Times" w:cs="Arial"/>
          <w:color w:val="000000"/>
          <w:sz w:val="28"/>
        </w:rPr>
      </w:pPr>
      <w:r>
        <w:rPr>
          <w:rFonts w:ascii="Times" w:hAnsi="Times" w:cs="Times New Roman"/>
          <w:b/>
          <w:bCs/>
          <w:smallCaps/>
          <w:sz w:val="36"/>
          <w:szCs w:val="32"/>
        </w:rPr>
        <w:t>4.1.2</w:t>
      </w:r>
      <w:r>
        <w:rPr>
          <w:rFonts w:ascii="Times" w:hAnsi="Times" w:cs="Times New Roman"/>
          <w:b/>
          <w:bCs/>
          <w:smallCaps/>
          <w:sz w:val="36"/>
          <w:szCs w:val="32"/>
        </w:rPr>
        <w:tab/>
        <w:t>Discussion</w:t>
      </w:r>
      <w:r>
        <w:rPr>
          <w:rFonts w:ascii="Times" w:hAnsi="Times" w:cs="Arial"/>
          <w:color w:val="000000"/>
          <w:sz w:val="28"/>
        </w:rPr>
        <w:t xml:space="preserve"> </w:t>
      </w:r>
    </w:p>
    <w:p w14:paraId="1E2ACFB2" w14:textId="151B551D" w:rsidR="00504CBE" w:rsidRDefault="00777A0A" w:rsidP="00751C5B">
      <w:pPr>
        <w:spacing w:line="480" w:lineRule="exact"/>
        <w:jc w:val="both"/>
        <w:rPr>
          <w:rFonts w:ascii="Times" w:hAnsi="Times" w:cs="Arial"/>
        </w:rPr>
      </w:pPr>
      <w:r>
        <w:rPr>
          <w:rFonts w:ascii="Times" w:hAnsi="Times"/>
        </w:rPr>
        <w:t xml:space="preserve">The cement samples were analysed before the leaching experiments to better understand the cement </w:t>
      </w:r>
      <w:r w:rsidR="00ED2135">
        <w:rPr>
          <w:rFonts w:ascii="Times" w:hAnsi="Times"/>
        </w:rPr>
        <w:t>micro</w:t>
      </w:r>
      <w:r>
        <w:rPr>
          <w:rFonts w:ascii="Times" w:hAnsi="Times"/>
        </w:rPr>
        <w:t>structure, phase formation and obtain an idea of the location of retained caesium and strontium within the cement. The XRD res</w:t>
      </w:r>
      <w:r w:rsidR="00E72E7E">
        <w:rPr>
          <w:rFonts w:ascii="Times" w:hAnsi="Times"/>
        </w:rPr>
        <w:t xml:space="preserve">ults showed that the main peak, </w:t>
      </w:r>
      <w:r>
        <w:rPr>
          <w:rFonts w:ascii="Times" w:hAnsi="Times"/>
        </w:rPr>
        <w:t xml:space="preserve">associated with </w:t>
      </w:r>
      <w:r w:rsidR="00E72E7E">
        <w:rPr>
          <w:rFonts w:ascii="Times" w:hAnsi="Times"/>
        </w:rPr>
        <w:t xml:space="preserve">the BFS and C-S-H phases, </w:t>
      </w:r>
      <w:r>
        <w:rPr>
          <w:rFonts w:ascii="Times" w:hAnsi="Times"/>
        </w:rPr>
        <w:t>were present in all sample formulations, especially the pronounced peak at 29</w:t>
      </w:r>
      <w:r>
        <w:rPr>
          <w:rFonts w:ascii="Times" w:hAnsi="Times"/>
          <w:vertAlign w:val="superscript"/>
        </w:rPr>
        <w:t>o</w:t>
      </w:r>
      <w:r>
        <w:rPr>
          <w:rFonts w:ascii="Times" w:hAnsi="Times"/>
        </w:rPr>
        <w:t>2</w:t>
      </w:r>
      <w:r>
        <w:rPr>
          <w:rFonts w:ascii="Times New Roman" w:hAnsi="Times New Roman" w:cs="Times New Roman"/>
        </w:rPr>
        <w:t>θ attributed to the (110) reflection of semi-crystalline C-S-</w:t>
      </w:r>
      <w:proofErr w:type="gramStart"/>
      <w:r>
        <w:rPr>
          <w:rFonts w:ascii="Times New Roman" w:hAnsi="Times New Roman" w:cs="Times New Roman"/>
        </w:rPr>
        <w:t>H(</w:t>
      </w:r>
      <w:proofErr w:type="gramEnd"/>
      <w:r>
        <w:rPr>
          <w:rFonts w:ascii="Times New Roman" w:hAnsi="Times New Roman" w:cs="Times New Roman"/>
        </w:rPr>
        <w:t xml:space="preserve">I) [3,4]. In the </w:t>
      </w:r>
      <w:r w:rsidRPr="00A53A63">
        <w:rPr>
          <w:rFonts w:ascii="Times New Roman" w:hAnsi="Times New Roman" w:cs="Times New Roman"/>
          <w:b/>
        </w:rPr>
        <w:t>0D</w:t>
      </w:r>
      <m:oMath>
        <m:acc>
          <m:accPr>
            <m:chr m:val="̅"/>
            <m:ctrlPr>
              <w:rPr>
                <w:rFonts w:ascii="Cambria Math" w:hAnsi="Cambria Math" w:cs="Arial"/>
                <w:b/>
                <w:i/>
                <w:sz w:val="36"/>
                <w:szCs w:val="36"/>
              </w:rPr>
            </m:ctrlPr>
          </m:accPr>
          <m:e>
            <m:r>
              <m:rPr>
                <m:sty m:val="p"/>
              </m:rPr>
              <w:rPr>
                <w:rFonts w:ascii="Cambria Math" w:hAnsi="Cambria Math" w:cs="Arial"/>
                <w:sz w:val="36"/>
                <w:szCs w:val="36"/>
              </w:rPr>
              <m:t>s</m:t>
            </m:r>
          </m:e>
        </m:acc>
      </m:oMath>
      <w:r>
        <w:rPr>
          <w:rFonts w:ascii="Times New Roman" w:hAnsi="Times New Roman" w:cs="Times New Roman"/>
        </w:rPr>
        <w:t xml:space="preserve"> sample, the tip of this peak has slightly shifted to the left and is relatively stronger in comparison to </w:t>
      </w:r>
      <w:r w:rsidRPr="000F6BBD">
        <w:rPr>
          <w:rFonts w:ascii="Times New Roman" w:hAnsi="Times New Roman" w:cs="Times New Roman"/>
          <w:b/>
        </w:rPr>
        <w:t>0DB</w:t>
      </w:r>
      <w:r>
        <w:rPr>
          <w:rFonts w:ascii="Times New Roman" w:hAnsi="Times New Roman" w:cs="Times New Roman"/>
        </w:rPr>
        <w:t xml:space="preserve">, </w:t>
      </w:r>
      <w:r w:rsidRPr="00C97719">
        <w:rPr>
          <w:rFonts w:ascii="Times New Roman" w:hAnsi="Times New Roman" w:cs="Times New Roman"/>
          <w:b/>
        </w:rPr>
        <w:t>0D</w:t>
      </w:r>
      <m:oMath>
        <m:acc>
          <m:accPr>
            <m:chr m:val="̅"/>
            <m:ctrlPr>
              <w:rPr>
                <w:rFonts w:ascii="Cambria Math" w:hAnsi="Cambria Math" w:cs="Arial"/>
                <w:b/>
                <w:i/>
                <w:sz w:val="36"/>
                <w:szCs w:val="36"/>
              </w:rPr>
            </m:ctrlPr>
          </m:accPr>
          <m:e>
            <m:r>
              <m:rPr>
                <m:sty m:val="p"/>
              </m:rPr>
              <w:rPr>
                <w:rFonts w:ascii="Cambria Math" w:hAnsi="Cambria Math" w:cs="Arial"/>
                <w:sz w:val="36"/>
                <w:szCs w:val="36"/>
              </w:rPr>
              <m:t>c</m:t>
            </m:r>
          </m:e>
        </m:acc>
      </m:oMath>
      <w:r w:rsidR="00C97719">
        <w:rPr>
          <w:rFonts w:ascii="Times" w:hAnsi="Times"/>
          <w:sz w:val="20"/>
          <w:szCs w:val="20"/>
          <w:lang w:val="en-GB"/>
        </w:rPr>
        <w:t xml:space="preserve"> </w:t>
      </w:r>
      <w:r>
        <w:rPr>
          <w:rFonts w:ascii="Times New Roman" w:hAnsi="Times New Roman" w:cs="Times New Roman"/>
        </w:rPr>
        <w:t xml:space="preserve">and </w:t>
      </w:r>
      <w:r w:rsidR="000F6BBD">
        <w:rPr>
          <w:rFonts w:ascii="Times" w:hAnsi="Times" w:cs="Times New Roman"/>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New Roman" w:hAnsi="Times New Roman" w:cs="Times New Roman"/>
        </w:rPr>
        <w:t xml:space="preserve">. </w:t>
      </w:r>
      <w:r>
        <w:rPr>
          <w:rFonts w:ascii="Times New Roman" w:hAnsi="Times New Roman" w:cs="Times New Roman"/>
          <w:color w:val="000000" w:themeColor="text1"/>
        </w:rPr>
        <w:t>The</w:t>
      </w:r>
      <w:r>
        <w:rPr>
          <w:rFonts w:ascii="Times" w:hAnsi="Times" w:cs="Arial"/>
          <w:color w:val="000000" w:themeColor="text1"/>
        </w:rPr>
        <w:t xml:space="preserve"> d-spacing of (110) positively correlated with the calcium/silica</w:t>
      </w:r>
      <w:r w:rsidR="00C97719">
        <w:rPr>
          <w:rFonts w:ascii="Times" w:hAnsi="Times" w:cs="Arial"/>
          <w:color w:val="000000" w:themeColor="text1"/>
        </w:rPr>
        <w:t xml:space="preserve"> </w:t>
      </w:r>
      <w:r>
        <w:rPr>
          <w:rFonts w:ascii="Times" w:hAnsi="Times" w:cs="Arial"/>
          <w:color w:val="000000" w:themeColor="text1"/>
        </w:rPr>
        <w:t xml:space="preserve">ratio [4]. Therefore as the </w:t>
      </w:r>
      <w:r w:rsidR="00C97719">
        <w:rPr>
          <w:rFonts w:ascii="Times" w:hAnsi="Times" w:cs="Arial"/>
          <w:color w:val="000000" w:themeColor="text1"/>
        </w:rPr>
        <w:t>calcium/silica ratio</w:t>
      </w:r>
      <w:r>
        <w:rPr>
          <w:rFonts w:ascii="Times" w:hAnsi="Times" w:cs="Arial"/>
          <w:color w:val="000000" w:themeColor="text1"/>
        </w:rPr>
        <w:t xml:space="preserve"> increases in the system we would expect (assuming Bragg’s law) the </w:t>
      </w:r>
      <w:r>
        <w:rPr>
          <w:rFonts w:ascii="Times" w:hAnsi="Times" w:cs="Arial"/>
          <w:color w:val="000000" w:themeColor="text1"/>
          <w:vertAlign w:val="superscript"/>
        </w:rPr>
        <w:t>o</w:t>
      </w:r>
      <w:r>
        <w:rPr>
          <w:rFonts w:ascii="Times" w:hAnsi="Times" w:cs="Arial"/>
          <w:color w:val="000000" w:themeColor="text1"/>
        </w:rPr>
        <w:t xml:space="preserve">2θ values to decrease and thus observe a shifting of this peak to the left. This suggests that the calcium to silica ratio in the </w:t>
      </w:r>
      <w:r w:rsidRPr="00C97719">
        <w:rPr>
          <w:rFonts w:ascii="Times" w:hAnsi="Times" w:cs="Arial"/>
          <w:b/>
          <w:color w:val="000000" w:themeColor="text1"/>
        </w:rPr>
        <w:t>0D</w:t>
      </w:r>
      <m:oMath>
        <m:acc>
          <m:accPr>
            <m:chr m:val="̅"/>
            <m:ctrlPr>
              <w:rPr>
                <w:rFonts w:ascii="Cambria Math" w:hAnsi="Cambria Math" w:cs="Arial"/>
                <w:b/>
                <w:i/>
                <w:sz w:val="36"/>
                <w:szCs w:val="36"/>
              </w:rPr>
            </m:ctrlPr>
          </m:accPr>
          <m:e>
            <m:r>
              <m:rPr>
                <m:sty m:val="p"/>
              </m:rPr>
              <w:rPr>
                <w:rFonts w:ascii="Cambria Math" w:hAnsi="Cambria Math" w:cs="Arial"/>
                <w:sz w:val="36"/>
                <w:szCs w:val="36"/>
              </w:rPr>
              <m:t>s</m:t>
            </m:r>
          </m:e>
        </m:acc>
      </m:oMath>
      <w:proofErr w:type="gramStart"/>
      <w:r w:rsidR="00C97719">
        <w:rPr>
          <w:rFonts w:ascii="Times" w:hAnsi="Times"/>
          <w:sz w:val="20"/>
          <w:szCs w:val="20"/>
          <w:lang w:val="en-GB"/>
        </w:rPr>
        <w:t xml:space="preserve"> </w:t>
      </w:r>
      <w:r>
        <w:rPr>
          <w:rFonts w:ascii="Times" w:hAnsi="Times" w:cs="Arial"/>
          <w:color w:val="000000" w:themeColor="text1"/>
        </w:rPr>
        <w:t xml:space="preserve"> sample</w:t>
      </w:r>
      <w:proofErr w:type="gramEnd"/>
      <w:r>
        <w:rPr>
          <w:rFonts w:ascii="Times" w:hAnsi="Times" w:cs="Arial"/>
          <w:color w:val="000000" w:themeColor="text1"/>
        </w:rPr>
        <w:t xml:space="preserve"> is slightly higher</w:t>
      </w:r>
      <w:r w:rsidR="00141767">
        <w:rPr>
          <w:rFonts w:ascii="Times" w:hAnsi="Times" w:cs="Arial"/>
          <w:color w:val="000000" w:themeColor="text1"/>
        </w:rPr>
        <w:t xml:space="preserve"> than in other samples</w:t>
      </w:r>
      <w:r>
        <w:rPr>
          <w:rFonts w:ascii="Times" w:hAnsi="Times" w:cs="Arial"/>
          <w:color w:val="000000" w:themeColor="text1"/>
        </w:rPr>
        <w:t xml:space="preserve">. </w:t>
      </w:r>
      <w:r w:rsidR="0034138F">
        <w:rPr>
          <w:rFonts w:ascii="Times" w:hAnsi="Times" w:cs="Arial"/>
          <w:szCs w:val="36"/>
        </w:rPr>
        <w:t>Cement</w:t>
      </w:r>
      <w:r>
        <w:rPr>
          <w:rFonts w:ascii="Times" w:hAnsi="Times" w:cs="Arial"/>
          <w:szCs w:val="36"/>
        </w:rPr>
        <w:t xml:space="preserve"> systems </w:t>
      </w:r>
      <w:r w:rsidR="008B6187">
        <w:rPr>
          <w:rFonts w:ascii="Times" w:hAnsi="Times" w:cs="Arial"/>
          <w:szCs w:val="36"/>
        </w:rPr>
        <w:t>containing</w:t>
      </w:r>
      <w:r>
        <w:rPr>
          <w:rFonts w:ascii="Times" w:hAnsi="Times" w:cs="Arial"/>
          <w:szCs w:val="36"/>
        </w:rPr>
        <w:t xml:space="preserve"> C-S-H should contain a network of micropores ranging in size between 0.0001</w:t>
      </w:r>
      <w:r>
        <w:rPr>
          <w:rFonts w:ascii="Times" w:hAnsi="Times"/>
        </w:rPr>
        <w:t>µm and 0.001µm. These micropores are an</w:t>
      </w:r>
      <w:r w:rsidR="00141767">
        <w:rPr>
          <w:rFonts w:ascii="Times" w:hAnsi="Times"/>
        </w:rPr>
        <w:t xml:space="preserve"> intrinsi</w:t>
      </w:r>
      <w:r w:rsidR="000A10B9">
        <w:rPr>
          <w:rFonts w:ascii="Times" w:hAnsi="Times"/>
        </w:rPr>
        <w:t>c feature of the C-S-H gel [18</w:t>
      </w:r>
      <w:r w:rsidR="00503F87">
        <w:rPr>
          <w:rFonts w:ascii="Times" w:hAnsi="Times"/>
        </w:rPr>
        <w:t>] and are</w:t>
      </w:r>
      <w:r w:rsidR="00141767">
        <w:rPr>
          <w:rFonts w:ascii="Times" w:hAnsi="Times"/>
        </w:rPr>
        <w:t xml:space="preserve"> not accounted for in the MIP results. </w:t>
      </w:r>
      <w:r>
        <w:rPr>
          <w:rFonts w:ascii="Times" w:hAnsi="Times"/>
        </w:rPr>
        <w:t>This limitation is however</w:t>
      </w:r>
      <w:r w:rsidR="00CA0EE6">
        <w:rPr>
          <w:rFonts w:ascii="Times" w:hAnsi="Times"/>
        </w:rPr>
        <w:t xml:space="preserve"> is</w:t>
      </w:r>
      <w:r>
        <w:rPr>
          <w:rFonts w:ascii="Times" w:hAnsi="Times"/>
        </w:rPr>
        <w:t xml:space="preserve"> of little significance in this project as</w:t>
      </w:r>
      <w:r w:rsidR="000A10B9">
        <w:rPr>
          <w:rFonts w:ascii="Times" w:hAnsi="Times"/>
        </w:rPr>
        <w:t xml:space="preserve"> Cheng et al [36</w:t>
      </w:r>
      <w:r w:rsidR="00095F2D">
        <w:rPr>
          <w:rFonts w:ascii="Times" w:hAnsi="Times"/>
        </w:rPr>
        <w:t>] found that</w:t>
      </w:r>
      <w:r>
        <w:rPr>
          <w:rFonts w:ascii="Times" w:hAnsi="Times"/>
        </w:rPr>
        <w:t xml:space="preserve"> porosities of this size have been shown to contribute very little to the</w:t>
      </w:r>
      <w:r w:rsidR="00C97719">
        <w:rPr>
          <w:rFonts w:ascii="Times" w:hAnsi="Times"/>
        </w:rPr>
        <w:t xml:space="preserve"> leaching</w:t>
      </w:r>
      <w:r>
        <w:rPr>
          <w:rFonts w:ascii="Times" w:hAnsi="Times"/>
        </w:rPr>
        <w:t xml:space="preserve"> profiles</w:t>
      </w:r>
      <w:r w:rsidR="00947316">
        <w:rPr>
          <w:rFonts w:ascii="Times" w:hAnsi="Times"/>
        </w:rPr>
        <w:t xml:space="preserve"> of ions within the cement</w:t>
      </w:r>
      <w:r>
        <w:rPr>
          <w:rFonts w:ascii="Times" w:hAnsi="Times"/>
        </w:rPr>
        <w:t xml:space="preserve">.  </w:t>
      </w:r>
      <w:r w:rsidR="00C97719">
        <w:rPr>
          <w:rFonts w:ascii="Times" w:hAnsi="Times"/>
        </w:rPr>
        <w:t>They also found</w:t>
      </w:r>
      <w:r>
        <w:rPr>
          <w:rFonts w:ascii="Times" w:hAnsi="Times"/>
        </w:rPr>
        <w:t xml:space="preserve"> that the increase of C-S-H gel within a cement sample could reduce the porosity</w:t>
      </w:r>
      <w:r w:rsidR="000A10B9">
        <w:rPr>
          <w:rFonts w:ascii="Times" w:hAnsi="Times"/>
        </w:rPr>
        <w:t xml:space="preserve"> [36]</w:t>
      </w:r>
      <w:r>
        <w:rPr>
          <w:rFonts w:ascii="Times" w:hAnsi="Times"/>
        </w:rPr>
        <w:t xml:space="preserve">. </w:t>
      </w:r>
      <w:r w:rsidR="00ED2135">
        <w:rPr>
          <w:rFonts w:ascii="Times" w:hAnsi="Times"/>
        </w:rPr>
        <w:t>The larger weight loss in the 100</w:t>
      </w:r>
      <w:r w:rsidR="00ED2135">
        <w:rPr>
          <w:rFonts w:ascii="Times" w:hAnsi="Times"/>
          <w:vertAlign w:val="superscript"/>
        </w:rPr>
        <w:t>o</w:t>
      </w:r>
      <w:r w:rsidR="00ED2135">
        <w:rPr>
          <w:rFonts w:ascii="Times" w:hAnsi="Times"/>
        </w:rPr>
        <w:t xml:space="preserve">C region </w:t>
      </w:r>
      <w:r w:rsidR="00504CBE">
        <w:rPr>
          <w:rFonts w:ascii="Times" w:hAnsi="Times"/>
        </w:rPr>
        <w:t xml:space="preserve">could be </w:t>
      </w:r>
      <w:r w:rsidR="00ED2135">
        <w:rPr>
          <w:rFonts w:ascii="Times" w:hAnsi="Times"/>
        </w:rPr>
        <w:t>due to the</w:t>
      </w:r>
      <w:r>
        <w:rPr>
          <w:rFonts w:ascii="Times" w:hAnsi="Times"/>
        </w:rPr>
        <w:t xml:space="preserve"> </w:t>
      </w:r>
      <w:r w:rsidR="00504CBE">
        <w:rPr>
          <w:rFonts w:ascii="Times" w:hAnsi="Times"/>
        </w:rPr>
        <w:t xml:space="preserve">dehydration of more </w:t>
      </w:r>
      <w:r>
        <w:rPr>
          <w:rFonts w:ascii="Times" w:hAnsi="Times"/>
        </w:rPr>
        <w:t xml:space="preserve">C-S-H in the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cs="Arial"/>
          <w:szCs w:val="36"/>
        </w:rPr>
        <w:t>,</w:t>
      </w:r>
      <w:r>
        <w:rPr>
          <w:rFonts w:cs="Arial"/>
          <w:sz w:val="36"/>
          <w:szCs w:val="36"/>
        </w:rPr>
        <w:t xml:space="preserve"> </w:t>
      </w:r>
      <w:r w:rsidR="00C97719">
        <w:rPr>
          <w:rFonts w:ascii="Times" w:hAnsi="Times" w:cs="Arial"/>
        </w:rPr>
        <w:t>however the sample is much less porous in</w:t>
      </w:r>
      <w:r>
        <w:rPr>
          <w:rFonts w:ascii="Times" w:hAnsi="Times" w:cs="Arial"/>
        </w:rPr>
        <w:t xml:space="preserve"> comparison to </w:t>
      </w:r>
      <w:r>
        <w:rPr>
          <w:rFonts w:ascii="Times" w:hAnsi="Times"/>
          <w:b/>
        </w:rPr>
        <w:t>0DB</w:t>
      </w:r>
      <w:r w:rsidR="00C97719">
        <w:rPr>
          <w:rFonts w:ascii="Times" w:hAnsi="Times"/>
          <w:b/>
        </w:rPr>
        <w:t>.</w:t>
      </w:r>
      <w:r w:rsidR="00C97719">
        <w:rPr>
          <w:rFonts w:ascii="Times" w:hAnsi="Times" w:cs="Arial"/>
        </w:rPr>
        <w:t xml:space="preserve"> </w:t>
      </w:r>
      <w:r w:rsidR="00504CBE" w:rsidRPr="00504CBE">
        <w:rPr>
          <w:rFonts w:ascii="Times" w:hAnsi="Times" w:cs="Times New Roman"/>
        </w:rPr>
        <w:t>This suggests that the Sr substitutes into the C-S-H, leaving the nitrate to react and form AFm phases, while the CsNO3 is left in the pore solution and then crystallises when the samples are dried.</w:t>
      </w:r>
    </w:p>
    <w:p w14:paraId="74978582" w14:textId="235FDC36" w:rsidR="00777A0A" w:rsidRDefault="00504CBE" w:rsidP="00751C5B">
      <w:pPr>
        <w:spacing w:line="480" w:lineRule="exact"/>
        <w:jc w:val="both"/>
        <w:rPr>
          <w:rFonts w:ascii="Times" w:hAnsi="Times" w:cs="Arial"/>
        </w:rPr>
      </w:pPr>
      <w:r>
        <w:rPr>
          <w:rFonts w:ascii="Times" w:hAnsi="Times" w:cs="Arial"/>
        </w:rPr>
        <w:t>The</w:t>
      </w:r>
      <w:r w:rsidR="00C97719">
        <w:rPr>
          <w:rFonts w:ascii="Times" w:hAnsi="Times" w:cs="Arial"/>
        </w:rPr>
        <w:t xml:space="preserve"> large weight loss in the 100</w:t>
      </w:r>
      <w:r w:rsidR="00C97719">
        <w:rPr>
          <w:rFonts w:ascii="Times" w:hAnsi="Times" w:cs="Arial"/>
          <w:vertAlign w:val="superscript"/>
        </w:rPr>
        <w:t>o</w:t>
      </w:r>
      <w:r w:rsidR="00C97719">
        <w:rPr>
          <w:rFonts w:ascii="Times" w:hAnsi="Times" w:cs="Arial"/>
        </w:rPr>
        <w:t xml:space="preserve">C region from </w:t>
      </w:r>
      <w:r w:rsidR="00C97719">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 xml:space="preserve">cs </m:t>
            </m:r>
          </m:e>
        </m:acc>
      </m:oMath>
      <w:r w:rsidR="00C97719">
        <w:rPr>
          <w:rFonts w:ascii="Times" w:hAnsi="Times" w:cs="Arial"/>
        </w:rPr>
        <w:t xml:space="preserve">could </w:t>
      </w:r>
      <w:r>
        <w:rPr>
          <w:rFonts w:ascii="Times" w:hAnsi="Times" w:cs="Arial"/>
        </w:rPr>
        <w:t xml:space="preserve">also </w:t>
      </w:r>
      <w:r w:rsidR="00C97719">
        <w:rPr>
          <w:rFonts w:ascii="Times" w:hAnsi="Times" w:cs="Arial"/>
        </w:rPr>
        <w:t>be attributed to the CAN phase as opposed to more C-S-H being present.</w:t>
      </w:r>
      <w:r w:rsidR="00777A0A">
        <w:rPr>
          <w:rFonts w:ascii="Times" w:hAnsi="Times" w:cs="Arial"/>
        </w:rPr>
        <w:t xml:space="preserve"> The NMR results </w:t>
      </w:r>
      <w:r w:rsidR="00CA0EE6">
        <w:rPr>
          <w:rFonts w:ascii="Times" w:hAnsi="Times" w:cs="Arial"/>
        </w:rPr>
        <w:t>however do not show</w:t>
      </w:r>
      <w:r w:rsidR="00777A0A">
        <w:rPr>
          <w:rFonts w:ascii="Times" w:hAnsi="Times" w:cs="Arial"/>
        </w:rPr>
        <w:t xml:space="preserve"> this</w:t>
      </w:r>
      <w:r w:rsidR="00F82BD5">
        <w:rPr>
          <w:rFonts w:ascii="Times" w:hAnsi="Times" w:cs="Arial"/>
        </w:rPr>
        <w:t>,</w:t>
      </w:r>
      <w:r w:rsidR="00777A0A">
        <w:rPr>
          <w:rFonts w:ascii="Times" w:hAnsi="Times" w:cs="Arial"/>
        </w:rPr>
        <w:t xml:space="preserve"> </w:t>
      </w:r>
      <w:r w:rsidR="00CA0EE6">
        <w:rPr>
          <w:rFonts w:ascii="Times" w:hAnsi="Times" w:cs="Arial"/>
        </w:rPr>
        <w:t xml:space="preserve">indicating similar amounts of C-S-H in both </w:t>
      </w:r>
      <w:r w:rsidR="00777A0A">
        <w:rPr>
          <w:rFonts w:ascii="Times" w:hAnsi="Times" w:cs="Arial"/>
        </w:rPr>
        <w:t>sample</w:t>
      </w:r>
      <w:r w:rsidR="00CA0EE6">
        <w:rPr>
          <w:rFonts w:ascii="Times" w:hAnsi="Times" w:cs="Arial"/>
        </w:rPr>
        <w:t>s.</w:t>
      </w:r>
      <w:r w:rsidR="00777A0A">
        <w:rPr>
          <w:rFonts w:ascii="Times" w:hAnsi="Times" w:cs="Arial"/>
        </w:rPr>
        <w:t xml:space="preserve"> </w:t>
      </w:r>
    </w:p>
    <w:p w14:paraId="73E9CB27" w14:textId="7696F695" w:rsidR="00777A0A" w:rsidRPr="00234795" w:rsidRDefault="00777A0A" w:rsidP="00666CE3">
      <w:pPr>
        <w:spacing w:line="480" w:lineRule="exact"/>
        <w:jc w:val="both"/>
        <w:rPr>
          <w:rFonts w:ascii="Times New Roman" w:hAnsi="Times New Roman" w:cs="Times New Roman"/>
          <w:color w:val="FF0000"/>
        </w:rPr>
      </w:pPr>
      <w:r>
        <w:rPr>
          <w:rFonts w:ascii="Times New Roman" w:hAnsi="Times New Roman" w:cs="Times New Roman"/>
          <w:color w:val="000000" w:themeColor="text1"/>
        </w:rPr>
        <w:lastRenderedPageBreak/>
        <w:t>The introduction of Cs and Sr into the cement system caused an absence in the portlan</w:t>
      </w:r>
      <w:r w:rsidR="008A406F">
        <w:rPr>
          <w:rFonts w:ascii="Times New Roman" w:hAnsi="Times New Roman" w:cs="Times New Roman"/>
          <w:color w:val="000000" w:themeColor="text1"/>
        </w:rPr>
        <w:t>dite (P)</w:t>
      </w:r>
      <w:r w:rsidR="00344429">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913104">
        <w:rPr>
          <w:rFonts w:ascii="Times New Roman" w:hAnsi="Times New Roman" w:cs="Times New Roman"/>
        </w:rPr>
        <w:t xml:space="preserve">The introduction of the </w:t>
      </w:r>
      <w:r w:rsidR="00AD0D07">
        <w:rPr>
          <w:rFonts w:ascii="Times New Roman" w:hAnsi="Times New Roman" w:cs="Times New Roman"/>
        </w:rPr>
        <w:t xml:space="preserve">Cs and Sr in nitrate in the cement paste </w:t>
      </w:r>
      <w:r w:rsidR="00913104">
        <w:rPr>
          <w:rFonts w:ascii="Times New Roman" w:hAnsi="Times New Roman" w:cs="Times New Roman"/>
        </w:rPr>
        <w:t>would form a NO</w:t>
      </w:r>
      <w:r w:rsidR="00913104">
        <w:rPr>
          <w:rFonts w:ascii="Times New Roman" w:hAnsi="Times New Roman" w:cs="Times New Roman"/>
        </w:rPr>
        <w:softHyphen/>
      </w:r>
      <w:r w:rsidR="00913104">
        <w:rPr>
          <w:rFonts w:ascii="Times New Roman" w:hAnsi="Times New Roman" w:cs="Times New Roman"/>
          <w:vertAlign w:val="subscript"/>
        </w:rPr>
        <w:t>3</w:t>
      </w:r>
      <w:r w:rsidR="00913104">
        <w:rPr>
          <w:rFonts w:ascii="Times New Roman" w:hAnsi="Times New Roman" w:cs="Times New Roman"/>
          <w:vertAlign w:val="superscript"/>
        </w:rPr>
        <w:t>-</w:t>
      </w:r>
      <w:r w:rsidR="00AD0D07">
        <w:rPr>
          <w:rFonts w:ascii="Times New Roman" w:hAnsi="Times New Roman" w:cs="Times New Roman"/>
        </w:rPr>
        <w:t xml:space="preserve"> solution, which is more acidic than the solution in the B </w:t>
      </w:r>
      <w:proofErr w:type="gramStart"/>
      <w:r w:rsidR="00AD0D07">
        <w:rPr>
          <w:rFonts w:ascii="Times New Roman" w:hAnsi="Times New Roman" w:cs="Times New Roman"/>
        </w:rPr>
        <w:t>series</w:t>
      </w:r>
      <w:r w:rsidR="003834FD">
        <w:rPr>
          <w:rFonts w:ascii="Times New Roman" w:hAnsi="Times New Roman" w:cs="Times New Roman"/>
        </w:rPr>
        <w:t>,</w:t>
      </w:r>
      <w:proofErr w:type="gramEnd"/>
      <w:r w:rsidR="003834FD">
        <w:rPr>
          <w:rFonts w:ascii="Times New Roman" w:hAnsi="Times New Roman" w:cs="Times New Roman"/>
        </w:rPr>
        <w:t xml:space="preserve"> this higher acidity could be the cause of this absence</w:t>
      </w:r>
      <w:r w:rsidR="00AD0D07">
        <w:rPr>
          <w:rFonts w:ascii="Times New Roman" w:hAnsi="Times New Roman" w:cs="Times New Roman"/>
        </w:rPr>
        <w:t xml:space="preserve">. </w:t>
      </w:r>
      <w:r>
        <w:rPr>
          <w:rFonts w:ascii="Times New Roman" w:hAnsi="Times New Roman" w:cs="Times New Roman"/>
        </w:rPr>
        <w:t xml:space="preserve"> The absence of </w:t>
      </w:r>
      <w:r w:rsidR="00BB14A9">
        <w:rPr>
          <w:rFonts w:ascii="Times New Roman" w:hAnsi="Times New Roman" w:cs="Times New Roman"/>
        </w:rPr>
        <w:t>the P</w:t>
      </w:r>
      <w:r>
        <w:rPr>
          <w:rFonts w:ascii="Times New Roman" w:hAnsi="Times New Roman" w:cs="Times New Roman"/>
        </w:rPr>
        <w:t xml:space="preserve"> is supported by the TGA data which showed weight loss in the </w:t>
      </w:r>
      <w:r w:rsidRPr="000F6BBD">
        <w:rPr>
          <w:rFonts w:ascii="Times New Roman" w:hAnsi="Times New Roman" w:cs="Times New Roman"/>
          <w:b/>
        </w:rPr>
        <w:t>0DB</w:t>
      </w:r>
      <w:r>
        <w:rPr>
          <w:rFonts w:ascii="Times New Roman" w:hAnsi="Times New Roman" w:cs="Times New Roman"/>
        </w:rPr>
        <w:t xml:space="preserve"> at 150</w:t>
      </w:r>
      <w:r>
        <w:rPr>
          <w:rFonts w:ascii="Times New Roman" w:hAnsi="Times New Roman" w:cs="Times New Roman"/>
          <w:vertAlign w:val="superscript"/>
        </w:rPr>
        <w:t>o</w:t>
      </w:r>
      <w:r>
        <w:rPr>
          <w:rFonts w:ascii="Times New Roman" w:hAnsi="Times New Roman" w:cs="Times New Roman"/>
        </w:rPr>
        <w:t>C due to the dehydration of the HC phase [11], and at 400-440</w:t>
      </w:r>
      <w:r>
        <w:rPr>
          <w:rFonts w:ascii="Times New Roman" w:hAnsi="Times New Roman" w:cs="Times New Roman"/>
          <w:vertAlign w:val="superscript"/>
        </w:rPr>
        <w:t>o</w:t>
      </w:r>
      <w:r>
        <w:rPr>
          <w:rFonts w:ascii="Times New Roman" w:hAnsi="Times New Roman" w:cs="Times New Roman"/>
        </w:rPr>
        <w:t>C due to the dehydroxylation of P.</w:t>
      </w:r>
      <w:r w:rsidR="00A06362">
        <w:rPr>
          <w:rFonts w:ascii="Times New Roman" w:hAnsi="Times New Roman" w:cs="Times New Roman"/>
        </w:rPr>
        <w:t xml:space="preserve"> Given that the percentage mass of PC decreases in the waste loaded samples</w:t>
      </w:r>
      <w:r w:rsidR="00A06362">
        <w:rPr>
          <w:rFonts w:ascii="Times New Roman" w:hAnsi="Times New Roman" w:cs="Times New Roman"/>
          <w:vertAlign w:val="subscript"/>
        </w:rPr>
        <w:t>,</w:t>
      </w:r>
      <w:r w:rsidR="00A06362">
        <w:rPr>
          <w:rFonts w:ascii="Times New Roman" w:hAnsi="Times New Roman" w:cs="Times New Roman"/>
        </w:rPr>
        <w:t xml:space="preserve"> it is unlikely that this is the cause for the absence of P phase, as the fraction of PC was decreased by approximately 2-3% only.</w:t>
      </w:r>
      <w:r w:rsidR="00A06362">
        <w:rPr>
          <w:rFonts w:ascii="Times New Roman" w:hAnsi="Times New Roman" w:cs="Times New Roman"/>
          <w:color w:val="FF0000"/>
        </w:rPr>
        <w:t xml:space="preserve"> </w:t>
      </w:r>
      <w:r w:rsidR="005B135B">
        <w:rPr>
          <w:rFonts w:ascii="Times New Roman" w:hAnsi="Times New Roman" w:cs="Times New Roman"/>
        </w:rPr>
        <w:t>These</w:t>
      </w:r>
      <w:r>
        <w:rPr>
          <w:rFonts w:ascii="Times New Roman" w:hAnsi="Times New Roman" w:cs="Times New Roman"/>
        </w:rPr>
        <w:t xml:space="preserve"> events do not occur during the heating profile of </w:t>
      </w:r>
      <w:r w:rsidR="00CA6112">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s</m:t>
            </m:r>
          </m:e>
        </m:acc>
      </m:oMath>
      <w:r w:rsidR="00CA6112">
        <w:rPr>
          <w:rFonts w:ascii="Times" w:hAnsi="Times"/>
        </w:rPr>
        <w:t xml:space="preserve"> </w:t>
      </w:r>
      <w:r w:rsidR="00CD2A13">
        <w:rPr>
          <w:rFonts w:ascii="Times New Roman" w:hAnsi="Times New Roman" w:cs="Times New Roman"/>
        </w:rPr>
        <w:t xml:space="preserve">or </w:t>
      </w:r>
      <w:r w:rsidR="00CA6112">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5B135B">
        <w:rPr>
          <w:rFonts w:ascii="Times New Roman" w:hAnsi="Times New Roman" w:cs="Times New Roman"/>
        </w:rPr>
        <w:t>. T</w:t>
      </w:r>
      <w:r w:rsidR="003D7495">
        <w:rPr>
          <w:rFonts w:ascii="Times New Roman" w:hAnsi="Times New Roman" w:cs="Times New Roman"/>
        </w:rPr>
        <w:t>he</w:t>
      </w:r>
      <w:r>
        <w:rPr>
          <w:rFonts w:ascii="Times New Roman" w:hAnsi="Times New Roman" w:cs="Times New Roman"/>
        </w:rPr>
        <w:t xml:space="preserve"> </w:t>
      </w:r>
      <w:r w:rsidR="00CA6112">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m:t>
            </m:r>
          </m:e>
        </m:acc>
      </m:oMath>
      <w:r w:rsidR="00CA6112">
        <w:rPr>
          <w:rFonts w:ascii="Times" w:hAnsi="Times"/>
        </w:rPr>
        <w:t xml:space="preserve"> </w:t>
      </w:r>
      <w:r>
        <w:rPr>
          <w:rFonts w:ascii="Times New Roman" w:hAnsi="Times New Roman" w:cs="Times New Roman"/>
        </w:rPr>
        <w:t>TGA data suggests a small presence of P.</w:t>
      </w:r>
      <w:r w:rsidR="00CD2A13">
        <w:rPr>
          <w:rFonts w:ascii="Times New Roman" w:hAnsi="Times New Roman" w:cs="Times New Roman"/>
        </w:rPr>
        <w:t xml:space="preserve"> </w:t>
      </w:r>
      <w:r w:rsidR="00AB2C76">
        <w:rPr>
          <w:rFonts w:ascii="Times New Roman" w:hAnsi="Times New Roman" w:cs="Times New Roman"/>
        </w:rPr>
        <w:t>Therefore it seems the introduction of Sr caused an absence in the P phase</w:t>
      </w:r>
      <w:r w:rsidR="000A10B9">
        <w:rPr>
          <w:rFonts w:ascii="Times New Roman" w:hAnsi="Times New Roman" w:cs="Times New Roman"/>
        </w:rPr>
        <w:t>. However Rahman et al [37</w:t>
      </w:r>
      <w:r w:rsidR="003D7495">
        <w:rPr>
          <w:rFonts w:ascii="Times New Roman" w:hAnsi="Times New Roman" w:cs="Times New Roman"/>
        </w:rPr>
        <w:t>] found that the introduction of Sr (in chloride form) did not impact any of the hydration phases or lead to the for</w:t>
      </w:r>
      <w:r w:rsidR="000A10B9">
        <w:rPr>
          <w:rFonts w:ascii="Times New Roman" w:hAnsi="Times New Roman" w:cs="Times New Roman"/>
        </w:rPr>
        <w:t>mation of any new phases</w:t>
      </w:r>
      <w:r w:rsidR="00AB2C76">
        <w:rPr>
          <w:rFonts w:ascii="Times New Roman" w:hAnsi="Times New Roman" w:cs="Times New Roman"/>
        </w:rPr>
        <w:t>.</w:t>
      </w:r>
      <w:r w:rsidR="003D7495">
        <w:rPr>
          <w:rFonts w:ascii="Times New Roman" w:hAnsi="Times New Roman" w:cs="Times New Roman"/>
        </w:rPr>
        <w:t xml:space="preserve"> </w:t>
      </w:r>
      <w:proofErr w:type="gramStart"/>
      <w:r w:rsidR="003D7495">
        <w:rPr>
          <w:rFonts w:ascii="Times New Roman" w:hAnsi="Times New Roman" w:cs="Times New Roman"/>
        </w:rPr>
        <w:t>This is</w:t>
      </w:r>
      <w:r w:rsidR="000A10B9">
        <w:rPr>
          <w:rFonts w:ascii="Times New Roman" w:hAnsi="Times New Roman" w:cs="Times New Roman"/>
        </w:rPr>
        <w:t xml:space="preserve"> supported by Wieland et al [38</w:t>
      </w:r>
      <w:r w:rsidR="003D7495">
        <w:rPr>
          <w:rFonts w:ascii="Times New Roman" w:hAnsi="Times New Roman" w:cs="Times New Roman"/>
        </w:rPr>
        <w:t>] who added the strontium in its pure form</w:t>
      </w:r>
      <w:r w:rsidR="007356C5">
        <w:rPr>
          <w:rFonts w:ascii="Times New Roman" w:hAnsi="Times New Roman" w:cs="Times New Roman"/>
        </w:rPr>
        <w:t xml:space="preserve"> and found that portlandite was one of the main hydrate phases formed</w:t>
      </w:r>
      <w:proofErr w:type="gramEnd"/>
      <w:r w:rsidR="003D7495">
        <w:rPr>
          <w:rFonts w:ascii="Times New Roman" w:hAnsi="Times New Roman" w:cs="Times New Roman"/>
        </w:rPr>
        <w:t>. This suggests that adding Sr in the nitrate form is the causing the alteration in the cement hydrate phases. Th</w:t>
      </w:r>
      <w:r w:rsidR="007356C5">
        <w:rPr>
          <w:rFonts w:ascii="Times New Roman" w:hAnsi="Times New Roman" w:cs="Times New Roman"/>
        </w:rPr>
        <w:t>is</w:t>
      </w:r>
      <w:r w:rsidR="003D7495">
        <w:rPr>
          <w:rFonts w:ascii="Times New Roman" w:hAnsi="Times New Roman" w:cs="Times New Roman"/>
        </w:rPr>
        <w:t xml:space="preserve"> absence of P seems to have </w:t>
      </w:r>
      <w:r w:rsidR="007356C5">
        <w:rPr>
          <w:rFonts w:ascii="Times New Roman" w:hAnsi="Times New Roman" w:cs="Times New Roman"/>
        </w:rPr>
        <w:t>impacted</w:t>
      </w:r>
      <w:r w:rsidR="003D7495">
        <w:rPr>
          <w:rFonts w:ascii="Times New Roman" w:hAnsi="Times New Roman" w:cs="Times New Roman"/>
        </w:rPr>
        <w:t xml:space="preserve"> the porosity</w:t>
      </w:r>
      <w:r w:rsidR="005B135B">
        <w:rPr>
          <w:rFonts w:ascii="Times New Roman" w:hAnsi="Times New Roman" w:cs="Times New Roman"/>
        </w:rPr>
        <w:t xml:space="preserve"> distribution when comparing </w:t>
      </w:r>
      <w:r w:rsidR="005B135B">
        <w:rPr>
          <w:rFonts w:ascii="Times" w:hAnsi="Times"/>
          <w:b/>
        </w:rPr>
        <w:t xml:space="preserve">0DB </w:t>
      </w:r>
      <w:r w:rsidR="005B135B">
        <w:rPr>
          <w:rFonts w:ascii="Times" w:hAnsi="Times"/>
        </w:rPr>
        <w:t xml:space="preserve">and </w:t>
      </w:r>
      <w:r w:rsidR="005B135B">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3D7495">
        <w:rPr>
          <w:rFonts w:ascii="Times New Roman" w:hAnsi="Times New Roman" w:cs="Times New Roman"/>
        </w:rPr>
        <w:t>.</w:t>
      </w:r>
      <w:r>
        <w:rPr>
          <w:rFonts w:ascii="Times New Roman" w:hAnsi="Times New Roman" w:cs="Times New Roman"/>
        </w:rPr>
        <w:t xml:space="preserve"> </w:t>
      </w:r>
      <w:r>
        <w:rPr>
          <w:rFonts w:ascii="Times" w:hAnsi="Times"/>
        </w:rPr>
        <w:t xml:space="preserve">The majority of the pores within </w:t>
      </w:r>
      <w:r>
        <w:rPr>
          <w:rFonts w:ascii="Times" w:hAnsi="Times"/>
          <w:b/>
        </w:rPr>
        <w:t>0DB</w:t>
      </w:r>
      <w:r>
        <w:rPr>
          <w:rFonts w:ascii="Times" w:hAnsi="Times"/>
        </w:rPr>
        <w:t xml:space="preserve"> on average have a diameter of approximately </w:t>
      </w:r>
      <w:r w:rsidR="003D7495">
        <w:rPr>
          <w:rFonts w:ascii="Times" w:hAnsi="Times"/>
        </w:rPr>
        <w:t>0.05-</w:t>
      </w:r>
      <w:r>
        <w:rPr>
          <w:rFonts w:ascii="Times" w:hAnsi="Times"/>
        </w:rPr>
        <w:t>0.1</w:t>
      </w:r>
      <w:r w:rsidR="003D7495">
        <w:rPr>
          <w:rFonts w:ascii="Times" w:hAnsi="Times"/>
        </w:rPr>
        <w:t xml:space="preserve"> </w:t>
      </w:r>
      <w:r>
        <w:rPr>
          <w:rFonts w:ascii="Times" w:hAnsi="Times"/>
        </w:rPr>
        <w:t>µm, these pores are</w:t>
      </w:r>
      <w:r w:rsidR="009E0BDC">
        <w:rPr>
          <w:rFonts w:ascii="Times" w:hAnsi="Times"/>
        </w:rPr>
        <w:t xml:space="preserve"> referred to as </w:t>
      </w:r>
      <w:r w:rsidR="001D5CA2">
        <w:rPr>
          <w:rFonts w:ascii="Times" w:hAnsi="Times"/>
        </w:rPr>
        <w:t>mesopores</w:t>
      </w:r>
      <w:r w:rsidR="009E0BDC">
        <w:rPr>
          <w:rFonts w:ascii="Times" w:hAnsi="Times"/>
        </w:rPr>
        <w:t xml:space="preserve"> [18</w:t>
      </w:r>
      <w:r>
        <w:rPr>
          <w:rFonts w:ascii="Times" w:hAnsi="Times"/>
        </w:rPr>
        <w:t xml:space="preserve">] </w:t>
      </w:r>
      <w:r w:rsidR="007356C5">
        <w:rPr>
          <w:rFonts w:ascii="Times" w:hAnsi="Times"/>
        </w:rPr>
        <w:t>which, although are attributed to the</w:t>
      </w:r>
      <w:r w:rsidR="007356C5" w:rsidRPr="007356C5">
        <w:rPr>
          <w:rFonts w:ascii="Times" w:hAnsi="Times"/>
        </w:rPr>
        <w:t xml:space="preserve"> </w:t>
      </w:r>
      <w:r w:rsidR="007356C5">
        <w:rPr>
          <w:rFonts w:ascii="Times" w:hAnsi="Times"/>
        </w:rPr>
        <w:t xml:space="preserve">water-filled spaces within the cement, </w:t>
      </w:r>
      <w:r w:rsidR="003D7495">
        <w:rPr>
          <w:rFonts w:ascii="Times" w:hAnsi="Times"/>
        </w:rPr>
        <w:t>are</w:t>
      </w:r>
      <w:r w:rsidR="007356C5">
        <w:rPr>
          <w:rFonts w:ascii="Times" w:hAnsi="Times"/>
        </w:rPr>
        <w:t xml:space="preserve"> also</w:t>
      </w:r>
      <w:r w:rsidR="003D7495">
        <w:rPr>
          <w:rFonts w:ascii="Times" w:hAnsi="Times"/>
        </w:rPr>
        <w:t xml:space="preserve"> </w:t>
      </w:r>
      <w:r w:rsidR="001D5CA2">
        <w:rPr>
          <w:rFonts w:ascii="Times" w:hAnsi="Times"/>
        </w:rPr>
        <w:t>formed when</w:t>
      </w:r>
      <w:r>
        <w:rPr>
          <w:rFonts w:ascii="Times" w:hAnsi="Times"/>
        </w:rPr>
        <w:t xml:space="preserve"> phases</w:t>
      </w:r>
      <w:r w:rsidR="001D5CA2">
        <w:rPr>
          <w:rFonts w:ascii="Times" w:hAnsi="Times"/>
        </w:rPr>
        <w:t xml:space="preserve"> such as P</w:t>
      </w:r>
      <w:r>
        <w:rPr>
          <w:rFonts w:ascii="Times" w:hAnsi="Times"/>
        </w:rPr>
        <w:t xml:space="preserve"> grow within cavities and subdivide the larger pores within the cement structure [1</w:t>
      </w:r>
      <w:r w:rsidR="00A8134A">
        <w:rPr>
          <w:rFonts w:ascii="Times" w:hAnsi="Times"/>
        </w:rPr>
        <w:t>8</w:t>
      </w:r>
      <w:r>
        <w:rPr>
          <w:rFonts w:ascii="Times" w:hAnsi="Times"/>
        </w:rPr>
        <w:t xml:space="preserve">]. This would explain the significantly higher volume of 0.1µm pores in </w:t>
      </w:r>
      <w:r>
        <w:rPr>
          <w:rFonts w:ascii="Times" w:hAnsi="Times"/>
          <w:b/>
        </w:rPr>
        <w:t>0DB</w:t>
      </w:r>
      <w:r>
        <w:rPr>
          <w:rFonts w:ascii="Times" w:hAnsi="Times"/>
        </w:rPr>
        <w:t xml:space="preserve"> than in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Arial"/>
          <w:szCs w:val="36"/>
        </w:rPr>
        <w:t xml:space="preserve">. </w:t>
      </w:r>
      <w:r w:rsidR="005B135B">
        <w:rPr>
          <w:rFonts w:ascii="Times" w:hAnsi="Times" w:cs="Arial"/>
          <w:szCs w:val="36"/>
        </w:rPr>
        <w:t xml:space="preserve">These pores are also known to decrease as the rate of hydration decrease therefore suggesting that </w:t>
      </w:r>
      <w:r w:rsidR="007E6FAE">
        <w:rPr>
          <w:rFonts w:ascii="Times" w:hAnsi="Times" w:cs="Arial"/>
          <w:b/>
          <w:szCs w:val="36"/>
        </w:rPr>
        <w:t>0D</w:t>
      </w:r>
      <w:r w:rsidR="007E6FAE">
        <w:rPr>
          <w:rFonts w:ascii="Times" w:hAnsi="Times"/>
          <w:b/>
        </w:rPr>
        <w:t>B</w:t>
      </w:r>
      <w:r w:rsidR="007E6FAE">
        <w:rPr>
          <w:rFonts w:ascii="Times" w:hAnsi="Times"/>
          <w:sz w:val="20"/>
          <w:szCs w:val="20"/>
          <w:lang w:val="en-GB"/>
        </w:rPr>
        <w:t xml:space="preserve"> </w:t>
      </w:r>
      <w:r w:rsidR="007E6FAE">
        <w:rPr>
          <w:rFonts w:ascii="Times" w:hAnsi="Times" w:cs="Arial"/>
          <w:szCs w:val="36"/>
        </w:rPr>
        <w:t>would hydrate</w:t>
      </w:r>
      <w:r w:rsidR="005B135B">
        <w:rPr>
          <w:rFonts w:ascii="Times" w:hAnsi="Times" w:cs="Arial"/>
          <w:szCs w:val="36"/>
        </w:rPr>
        <w:t xml:space="preserve"> at a slower rate. </w:t>
      </w:r>
      <w:r>
        <w:rPr>
          <w:rFonts w:ascii="Times" w:hAnsi="Times" w:cs="Arial"/>
          <w:szCs w:val="36"/>
        </w:rPr>
        <w:t>T</w:t>
      </w:r>
      <w:r>
        <w:rPr>
          <w:rFonts w:ascii="Times" w:hAnsi="Times"/>
        </w:rPr>
        <w:t xml:space="preserve">he </w:t>
      </w:r>
      <w:r>
        <w:rPr>
          <w:rFonts w:ascii="Times" w:hAnsi="Times"/>
          <w:b/>
        </w:rPr>
        <w:t>0DB</w:t>
      </w:r>
      <w:r>
        <w:rPr>
          <w:rFonts w:ascii="Times" w:hAnsi="Times"/>
        </w:rPr>
        <w:t xml:space="preserve"> sample was expected to have a</w:t>
      </w:r>
      <w:r w:rsidR="00E562AB">
        <w:rPr>
          <w:rFonts w:ascii="Times" w:hAnsi="Times"/>
        </w:rPr>
        <w:t xml:space="preserve"> lower porosity according to [18</w:t>
      </w:r>
      <w:r>
        <w:rPr>
          <w:rFonts w:ascii="Times" w:hAnsi="Times"/>
        </w:rPr>
        <w:t xml:space="preserve">] higher porosity results in an increased </w:t>
      </w:r>
      <w:r w:rsidR="00CE40BB">
        <w:rPr>
          <w:rFonts w:ascii="Times" w:hAnsi="Times"/>
        </w:rPr>
        <w:t xml:space="preserve">leaching </w:t>
      </w:r>
      <w:r w:rsidR="00EE015E">
        <w:rPr>
          <w:rFonts w:ascii="Times" w:hAnsi="Times"/>
        </w:rPr>
        <w:t>rate, and Chang [39</w:t>
      </w:r>
      <w:r>
        <w:rPr>
          <w:rFonts w:ascii="Times" w:hAnsi="Times"/>
        </w:rPr>
        <w:t>] suggests that cements containing waste simulants such as strontium and caesium have a much higher</w:t>
      </w:r>
      <w:r w:rsidR="00CE40BB">
        <w:rPr>
          <w:rFonts w:ascii="Times" w:hAnsi="Times"/>
        </w:rPr>
        <w:t xml:space="preserve"> leaching</w:t>
      </w:r>
      <w:r>
        <w:rPr>
          <w:rFonts w:ascii="Times" w:hAnsi="Times"/>
        </w:rPr>
        <w:t xml:space="preserve"> rate than those that do not contain </w:t>
      </w:r>
      <w:r w:rsidR="00E562AB">
        <w:rPr>
          <w:rFonts w:ascii="Times" w:hAnsi="Times"/>
        </w:rPr>
        <w:t>any wastes. However, Glasser [18</w:t>
      </w:r>
      <w:r>
        <w:rPr>
          <w:rFonts w:ascii="Times" w:hAnsi="Times"/>
        </w:rPr>
        <w:t xml:space="preserve">] proposed that </w:t>
      </w:r>
      <w:proofErr w:type="gramStart"/>
      <w:r>
        <w:rPr>
          <w:rFonts w:ascii="Times" w:hAnsi="Times"/>
        </w:rPr>
        <w:t xml:space="preserve">rapid </w:t>
      </w:r>
      <w:r w:rsidR="00CE40BB">
        <w:rPr>
          <w:rFonts w:ascii="Times" w:hAnsi="Times"/>
        </w:rPr>
        <w:t>leaching</w:t>
      </w:r>
      <w:r>
        <w:rPr>
          <w:rFonts w:ascii="Times" w:hAnsi="Times"/>
        </w:rPr>
        <w:t xml:space="preserve"> is impacted by the volume of the mesopores and coarse pores as opposed to the finer pores</w:t>
      </w:r>
      <w:proofErr w:type="gramEnd"/>
      <w:r>
        <w:rPr>
          <w:rFonts w:ascii="Times" w:hAnsi="Times"/>
        </w:rPr>
        <w:t xml:space="preserve">. The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rPr>
        <w:t xml:space="preserve"> sample has a much higher volume of pores that impact the diffusion rate, meaning that the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rPr>
        <w:t xml:space="preserve"> will probab</w:t>
      </w:r>
      <w:r w:rsidR="00BE2DF5">
        <w:rPr>
          <w:rFonts w:ascii="Times" w:hAnsi="Times"/>
        </w:rPr>
        <w:t xml:space="preserve">ly have a higher leaching rate. </w:t>
      </w:r>
    </w:p>
    <w:p w14:paraId="0C9C8A08" w14:textId="0B9867C9" w:rsidR="00777A0A" w:rsidRDefault="00777A0A" w:rsidP="00666CE3">
      <w:pPr>
        <w:pStyle w:val="NormalWeb"/>
        <w:widowControl w:val="0"/>
        <w:spacing w:before="0" w:beforeAutospacing="0" w:after="0" w:afterAutospacing="0" w:line="480" w:lineRule="exact"/>
        <w:jc w:val="both"/>
        <w:rPr>
          <w:rFonts w:cs="Times"/>
          <w:color w:val="000000" w:themeColor="text1"/>
          <w:sz w:val="26"/>
          <w:szCs w:val="26"/>
          <w:lang w:val="en-US"/>
        </w:rPr>
      </w:pPr>
      <w:r w:rsidRPr="00B255B7">
        <w:rPr>
          <w:rFonts w:ascii="Times New Roman" w:hAnsi="Times New Roman"/>
          <w:color w:val="000000" w:themeColor="text1"/>
          <w:sz w:val="24"/>
          <w:szCs w:val="24"/>
        </w:rPr>
        <w:lastRenderedPageBreak/>
        <w:t xml:space="preserve">The ettringite peak </w:t>
      </w:r>
      <w:r w:rsidR="00FE1861">
        <w:rPr>
          <w:rFonts w:ascii="Times New Roman" w:hAnsi="Times New Roman"/>
          <w:color w:val="000000" w:themeColor="text1"/>
          <w:sz w:val="24"/>
          <w:szCs w:val="24"/>
        </w:rPr>
        <w:t>observed</w:t>
      </w:r>
      <w:r w:rsidR="00746634">
        <w:rPr>
          <w:rFonts w:ascii="Times New Roman" w:hAnsi="Times New Roman"/>
          <w:color w:val="000000" w:themeColor="text1"/>
          <w:sz w:val="24"/>
          <w:szCs w:val="24"/>
        </w:rPr>
        <w:t xml:space="preserve"> </w:t>
      </w:r>
      <w:r w:rsidRPr="00B255B7">
        <w:rPr>
          <w:rFonts w:ascii="Times New Roman" w:hAnsi="Times New Roman"/>
          <w:color w:val="000000" w:themeColor="text1"/>
          <w:sz w:val="24"/>
          <w:szCs w:val="24"/>
        </w:rPr>
        <w:t xml:space="preserve">in </w:t>
      </w:r>
      <w:r w:rsidRPr="000F6BBD">
        <w:rPr>
          <w:rFonts w:ascii="Times New Roman" w:hAnsi="Times New Roman"/>
          <w:b/>
          <w:color w:val="000000" w:themeColor="text1"/>
          <w:sz w:val="24"/>
          <w:szCs w:val="24"/>
        </w:rPr>
        <w:t>0DB</w:t>
      </w:r>
      <w:r w:rsidRPr="00B255B7">
        <w:rPr>
          <w:rFonts w:ascii="Times New Roman" w:hAnsi="Times New Roman"/>
          <w:color w:val="000000" w:themeColor="text1"/>
          <w:sz w:val="24"/>
          <w:szCs w:val="24"/>
        </w:rPr>
        <w:t xml:space="preserve">, </w:t>
      </w:r>
      <w:r w:rsidR="000F6BBD" w:rsidRPr="000F6BBD">
        <w:rPr>
          <w:b/>
          <w:sz w:val="24"/>
          <w:szCs w:val="24"/>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6E2B9B">
        <w:rPr>
          <w:rFonts w:ascii="Times New Roman" w:hAnsi="Times New Roman"/>
          <w:color w:val="000000" w:themeColor="text1"/>
          <w:sz w:val="24"/>
          <w:szCs w:val="24"/>
        </w:rPr>
        <w:t xml:space="preserve">, and </w:t>
      </w:r>
      <w:r w:rsidR="006E2B9B" w:rsidRPr="000F6BBD">
        <w:rPr>
          <w:b/>
          <w:sz w:val="24"/>
          <w:szCs w:val="24"/>
        </w:rPr>
        <w:t>0D</w:t>
      </w:r>
      <m:oMath>
        <m:acc>
          <m:accPr>
            <m:chr m:val="̅"/>
            <m:ctrlPr>
              <w:rPr>
                <w:rFonts w:ascii="Cambria Math" w:hAnsi="Cambria Math" w:cs="Arial"/>
                <w:i/>
                <w:sz w:val="36"/>
                <w:szCs w:val="36"/>
              </w:rPr>
            </m:ctrlPr>
          </m:accPr>
          <m:e>
            <m:r>
              <m:rPr>
                <m:sty m:val="p"/>
              </m:rPr>
              <w:rPr>
                <w:rFonts w:ascii="Cambria Math" w:hAnsi="Cambria Math" w:cs="Arial"/>
                <w:sz w:val="36"/>
                <w:szCs w:val="36"/>
              </w:rPr>
              <m:t>s</m:t>
            </m:r>
          </m:e>
        </m:acc>
      </m:oMath>
      <w:r w:rsidRPr="00B255B7">
        <w:rPr>
          <w:rFonts w:ascii="Times New Roman" w:hAnsi="Times New Roman"/>
          <w:color w:val="000000" w:themeColor="text1"/>
          <w:sz w:val="24"/>
          <w:szCs w:val="24"/>
        </w:rPr>
        <w:t xml:space="preserve"> at</w:t>
      </w:r>
      <w:r>
        <w:rPr>
          <w:rFonts w:ascii="Times New Roman" w:hAnsi="Times New Roman"/>
          <w:color w:val="FF0000"/>
          <w:sz w:val="24"/>
          <w:szCs w:val="24"/>
        </w:rPr>
        <w:t xml:space="preserve"> </w:t>
      </w:r>
      <w:r>
        <w:rPr>
          <w:rFonts w:ascii="Times New Roman" w:hAnsi="Times New Roman"/>
          <w:color w:val="000000"/>
          <w:sz w:val="24"/>
          <w:szCs w:val="24"/>
        </w:rPr>
        <w:t>9.0</w:t>
      </w:r>
      <w:r>
        <w:rPr>
          <w:sz w:val="24"/>
          <w:szCs w:val="24"/>
          <w:vertAlign w:val="superscript"/>
        </w:rPr>
        <w:t>o</w:t>
      </w:r>
      <w:r>
        <w:rPr>
          <w:sz w:val="24"/>
          <w:szCs w:val="24"/>
        </w:rPr>
        <w:t>2</w:t>
      </w:r>
      <w:r>
        <w:rPr>
          <w:rFonts w:ascii="Times New Roman" w:hAnsi="Times New Roman"/>
          <w:sz w:val="24"/>
          <w:szCs w:val="24"/>
        </w:rPr>
        <w:t xml:space="preserve">θ was absent in </w:t>
      </w:r>
      <w:r w:rsidR="006E2B9B" w:rsidRPr="006E2B9B">
        <w:rPr>
          <w:b/>
          <w:sz w:val="24"/>
        </w:rPr>
        <w:t>0D</w:t>
      </w:r>
      <m:oMath>
        <m:acc>
          <m:accPr>
            <m:chr m:val="̅"/>
            <m:ctrlPr>
              <w:rPr>
                <w:rFonts w:ascii="Cambria Math" w:hAnsi="Cambria Math" w:cs="Arial"/>
                <w:i/>
                <w:sz w:val="36"/>
                <w:szCs w:val="36"/>
              </w:rPr>
            </m:ctrlPr>
          </m:accPr>
          <m:e>
            <m:r>
              <m:rPr>
                <m:sty m:val="p"/>
              </m:rPr>
              <w:rPr>
                <w:rFonts w:ascii="Cambria Math" w:hAnsi="Cambria Math" w:cs="Arial"/>
                <w:sz w:val="36"/>
                <w:szCs w:val="36"/>
              </w:rPr>
              <m:t>c</m:t>
            </m:r>
          </m:e>
        </m:acc>
      </m:oMath>
      <w:r>
        <w:rPr>
          <w:rFonts w:ascii="Times New Roman" w:hAnsi="Times New Roman"/>
          <w:sz w:val="24"/>
          <w:szCs w:val="24"/>
        </w:rPr>
        <w:t>. Instead</w:t>
      </w:r>
      <w:r w:rsidR="00E74E83">
        <w:rPr>
          <w:rFonts w:ascii="Times New Roman" w:hAnsi="Times New Roman"/>
          <w:sz w:val="24"/>
          <w:szCs w:val="24"/>
        </w:rPr>
        <w:t>,</w:t>
      </w:r>
      <w:r>
        <w:rPr>
          <w:rFonts w:ascii="Times New Roman" w:hAnsi="Times New Roman"/>
          <w:sz w:val="24"/>
          <w:szCs w:val="24"/>
        </w:rPr>
        <w:t xml:space="preserve"> in the </w:t>
      </w:r>
      <w:r w:rsidR="006E2B9B" w:rsidRPr="006E2B9B">
        <w:rPr>
          <w:b/>
          <w:sz w:val="24"/>
        </w:rPr>
        <w:t>0D</w:t>
      </w:r>
      <m:oMath>
        <m:acc>
          <m:accPr>
            <m:chr m:val="̅"/>
            <m:ctrlPr>
              <w:rPr>
                <w:rFonts w:ascii="Cambria Math" w:hAnsi="Cambria Math" w:cs="Arial"/>
                <w:i/>
                <w:sz w:val="36"/>
                <w:szCs w:val="36"/>
              </w:rPr>
            </m:ctrlPr>
          </m:accPr>
          <m:e>
            <m:r>
              <m:rPr>
                <m:sty m:val="p"/>
              </m:rPr>
              <w:rPr>
                <w:rFonts w:ascii="Cambria Math" w:hAnsi="Cambria Math" w:cs="Arial"/>
                <w:sz w:val="36"/>
                <w:szCs w:val="36"/>
              </w:rPr>
              <m:t>c</m:t>
            </m:r>
          </m:e>
        </m:acc>
      </m:oMath>
      <w:r w:rsidR="00E74E83">
        <w:rPr>
          <w:rFonts w:ascii="Times New Roman" w:hAnsi="Times New Roman"/>
          <w:sz w:val="24"/>
          <w:szCs w:val="24"/>
        </w:rPr>
        <w:t xml:space="preserve">, </w:t>
      </w:r>
      <w:r>
        <w:rPr>
          <w:rFonts w:ascii="Times New Roman" w:hAnsi="Times New Roman"/>
          <w:sz w:val="24"/>
          <w:szCs w:val="24"/>
        </w:rPr>
        <w:t xml:space="preserve">the peaks for AFm were more intense.  </w:t>
      </w:r>
      <w:r w:rsidR="007E6FAE" w:rsidRPr="007E6FAE">
        <w:rPr>
          <w:rFonts w:cs="Arial"/>
          <w:sz w:val="24"/>
          <w:szCs w:val="24"/>
        </w:rPr>
        <w:t xml:space="preserve">The TGA results </w:t>
      </w:r>
      <w:r w:rsidR="007E6FAE">
        <w:rPr>
          <w:rFonts w:cs="Arial"/>
          <w:sz w:val="24"/>
          <w:szCs w:val="24"/>
        </w:rPr>
        <w:t>also showed that</w:t>
      </w:r>
      <w:r w:rsidR="007E6FAE" w:rsidRPr="007E6FAE">
        <w:rPr>
          <w:rFonts w:cs="Arial"/>
          <w:sz w:val="24"/>
          <w:szCs w:val="24"/>
        </w:rPr>
        <w:t xml:space="preserve"> the AFm was formed in the </w:t>
      </w:r>
      <w:r w:rsidR="007E6FAE" w:rsidRPr="007E6FAE">
        <w:rPr>
          <w:b/>
          <w:sz w:val="24"/>
          <w:szCs w:val="24"/>
        </w:rPr>
        <w:t>0D</w:t>
      </w:r>
      <m:oMath>
        <m:acc>
          <m:accPr>
            <m:chr m:val="̅"/>
            <m:ctrlPr>
              <w:rPr>
                <w:rFonts w:ascii="Cambria Math" w:hAnsi="Cambria Math" w:cs="Arial"/>
                <w:i/>
                <w:sz w:val="36"/>
                <w:szCs w:val="24"/>
              </w:rPr>
            </m:ctrlPr>
          </m:accPr>
          <m:e>
            <m:r>
              <m:rPr>
                <m:sty m:val="p"/>
              </m:rPr>
              <w:rPr>
                <w:rFonts w:ascii="Cambria Math" w:hAnsi="Cambria Math" w:cs="Arial"/>
                <w:sz w:val="36"/>
                <w:szCs w:val="24"/>
              </w:rPr>
              <m:t>c</m:t>
            </m:r>
          </m:e>
        </m:acc>
      </m:oMath>
      <w:r w:rsidR="007E6FAE" w:rsidRPr="007E6FAE">
        <w:rPr>
          <w:rFonts w:cs="Arial"/>
          <w:sz w:val="36"/>
          <w:szCs w:val="24"/>
        </w:rPr>
        <w:t xml:space="preserve"> </w:t>
      </w:r>
      <w:r w:rsidR="007E6FAE">
        <w:rPr>
          <w:rFonts w:cs="Arial"/>
          <w:sz w:val="24"/>
          <w:szCs w:val="24"/>
        </w:rPr>
        <w:t xml:space="preserve">sample in comparison to the other samples. </w:t>
      </w:r>
      <w:r>
        <w:rPr>
          <w:rFonts w:cs="Arial"/>
          <w:color w:val="000000" w:themeColor="text1"/>
          <w:sz w:val="24"/>
          <w:szCs w:val="24"/>
        </w:rPr>
        <w:t>Ettringite is produced in Portland cement when the C</w:t>
      </w:r>
      <w:r>
        <w:rPr>
          <w:rFonts w:cs="Arial"/>
          <w:color w:val="000000" w:themeColor="text1"/>
          <w:sz w:val="24"/>
          <w:szCs w:val="24"/>
          <w:vertAlign w:val="subscript"/>
        </w:rPr>
        <w:t>3</w:t>
      </w:r>
      <w:r>
        <w:rPr>
          <w:rFonts w:cs="Arial"/>
          <w:color w:val="000000" w:themeColor="text1"/>
          <w:sz w:val="24"/>
          <w:szCs w:val="24"/>
        </w:rPr>
        <w:t>A clinker phase hydrates [</w:t>
      </w:r>
      <w:r w:rsidR="00A26A68">
        <w:rPr>
          <w:rFonts w:cs="Arial"/>
          <w:color w:val="000000" w:themeColor="text1"/>
          <w:sz w:val="24"/>
          <w:szCs w:val="24"/>
        </w:rPr>
        <w:t>3</w:t>
      </w:r>
      <w:r>
        <w:rPr>
          <w:rFonts w:cs="Arial"/>
          <w:color w:val="000000" w:themeColor="text1"/>
          <w:sz w:val="24"/>
          <w:szCs w:val="24"/>
        </w:rPr>
        <w:t xml:space="preserve">]. </w:t>
      </w:r>
      <w:r>
        <w:rPr>
          <w:rFonts w:cs="Times"/>
          <w:color w:val="000000" w:themeColor="text1"/>
          <w:sz w:val="24"/>
          <w:szCs w:val="24"/>
          <w:lang w:val="en-US"/>
        </w:rPr>
        <w:t>As hydration progresses, the sulphate concentration in solution drops below a critical value us</w:t>
      </w:r>
      <w:r w:rsidR="00E74E83">
        <w:rPr>
          <w:rFonts w:cs="Times"/>
          <w:color w:val="000000" w:themeColor="text1"/>
          <w:sz w:val="24"/>
          <w:szCs w:val="24"/>
          <w:lang w:val="en-US"/>
        </w:rPr>
        <w:t xml:space="preserve">ually after about one </w:t>
      </w:r>
      <w:r>
        <w:rPr>
          <w:rFonts w:cs="Times"/>
          <w:color w:val="000000" w:themeColor="text1"/>
          <w:sz w:val="24"/>
          <w:szCs w:val="24"/>
          <w:lang w:val="en-US"/>
        </w:rPr>
        <w:t>day, at which point the ettringite becomes unstable and further hydration forms the AFm phase as the stable hydration product</w:t>
      </w:r>
      <w:r w:rsidR="00CD0EBA">
        <w:rPr>
          <w:rFonts w:cs="Times"/>
          <w:color w:val="000000" w:themeColor="text1"/>
          <w:sz w:val="24"/>
          <w:szCs w:val="24"/>
          <w:lang w:val="en-US"/>
        </w:rPr>
        <w:t>,</w:t>
      </w:r>
      <w:r>
        <w:rPr>
          <w:rFonts w:cs="Times"/>
          <w:color w:val="000000" w:themeColor="text1"/>
          <w:sz w:val="24"/>
          <w:szCs w:val="24"/>
          <w:lang w:val="en-US"/>
        </w:rPr>
        <w:t xml:space="preserve"> </w:t>
      </w:r>
      <w:r w:rsidR="00E74E83">
        <w:rPr>
          <w:rFonts w:cs="Times"/>
          <w:color w:val="000000" w:themeColor="text1"/>
          <w:sz w:val="24"/>
          <w:szCs w:val="24"/>
          <w:lang w:val="en-US"/>
        </w:rPr>
        <w:t>based on the following reaction,</w:t>
      </w:r>
    </w:p>
    <w:p w14:paraId="6C681365" w14:textId="0A0C48BF" w:rsidR="00777A0A" w:rsidRDefault="00777A0A" w:rsidP="00777A0A">
      <w:pPr>
        <w:pStyle w:val="NormalWeb"/>
        <w:spacing w:before="0" w:beforeAutospacing="0" w:after="0" w:afterAutospacing="0" w:line="480" w:lineRule="exact"/>
        <w:ind w:left="2160"/>
        <w:contextualSpacing/>
        <w:jc w:val="center"/>
        <w:rPr>
          <w:color w:val="000000" w:themeColor="text1"/>
          <w:sz w:val="22"/>
          <w:lang w:val="en-US"/>
        </w:rPr>
      </w:pPr>
      <w:r>
        <w:rPr>
          <w:color w:val="000000" w:themeColor="text1"/>
          <w:sz w:val="22"/>
          <w:lang w:val="en-US"/>
        </w:rPr>
        <w:t>AFt</w:t>
      </w:r>
      <w:r>
        <w:rPr>
          <w:color w:val="000000" w:themeColor="text1"/>
          <w:sz w:val="22"/>
          <w:vertAlign w:val="subscript"/>
          <w:lang w:val="en-US"/>
        </w:rPr>
        <w:t xml:space="preserve"> </w:t>
      </w:r>
      <w:r>
        <w:rPr>
          <w:color w:val="000000" w:themeColor="text1"/>
          <w:sz w:val="22"/>
          <w:lang w:val="en-US"/>
        </w:rPr>
        <w:t>+ 2C</w:t>
      </w:r>
      <w:r>
        <w:rPr>
          <w:color w:val="000000" w:themeColor="text1"/>
          <w:sz w:val="22"/>
          <w:vertAlign w:val="subscript"/>
          <w:lang w:val="en-US"/>
        </w:rPr>
        <w:t>3</w:t>
      </w:r>
      <w:r>
        <w:rPr>
          <w:color w:val="000000" w:themeColor="text1"/>
          <w:sz w:val="22"/>
          <w:lang w:val="en-US"/>
        </w:rPr>
        <w:t xml:space="preserve">A </w:t>
      </w:r>
      <w:r>
        <w:rPr>
          <w:rFonts w:ascii="Times New Roman" w:hAnsi="Times New Roman"/>
          <w:color w:val="000000" w:themeColor="text1"/>
          <w:sz w:val="22"/>
          <w:lang w:val="en-US"/>
        </w:rPr>
        <w:t>→</w:t>
      </w:r>
      <w:r>
        <w:rPr>
          <w:color w:val="000000" w:themeColor="text1"/>
          <w:sz w:val="22"/>
          <w:lang w:val="en-US"/>
        </w:rPr>
        <w:t xml:space="preserve"> AFm</w:t>
      </w:r>
      <w:r>
        <w:rPr>
          <w:color w:val="000000" w:themeColor="text1"/>
          <w:sz w:val="22"/>
          <w:lang w:val="en-US"/>
        </w:rPr>
        <w:tab/>
      </w:r>
      <w:r>
        <w:rPr>
          <w:color w:val="000000" w:themeColor="text1"/>
          <w:sz w:val="22"/>
          <w:lang w:val="en-US"/>
        </w:rPr>
        <w:tab/>
      </w:r>
      <w:r>
        <w:rPr>
          <w:color w:val="000000" w:themeColor="text1"/>
          <w:sz w:val="22"/>
          <w:lang w:val="en-US"/>
        </w:rPr>
        <w:tab/>
      </w:r>
      <w:r>
        <w:rPr>
          <w:color w:val="000000" w:themeColor="text1"/>
          <w:sz w:val="22"/>
          <w:lang w:val="en-US"/>
        </w:rPr>
        <w:tab/>
      </w:r>
      <w:r>
        <w:rPr>
          <w:color w:val="000000" w:themeColor="text1"/>
          <w:sz w:val="22"/>
          <w:lang w:val="en-US"/>
        </w:rPr>
        <w:tab/>
      </w:r>
    </w:p>
    <w:p w14:paraId="6FBCF643" w14:textId="7B5D344F" w:rsidR="00777A0A" w:rsidRDefault="00777A0A" w:rsidP="00777A0A">
      <w:pPr>
        <w:pStyle w:val="NormalWeb"/>
        <w:spacing w:before="240" w:beforeAutospacing="0" w:after="120" w:afterAutospacing="0" w:line="480" w:lineRule="exact"/>
        <w:jc w:val="both"/>
        <w:rPr>
          <w:rFonts w:ascii="Times New Roman" w:hAnsi="Times New Roman"/>
          <w:color w:val="000000" w:themeColor="text1"/>
          <w:sz w:val="22"/>
          <w:szCs w:val="24"/>
          <w:lang w:val="en-US"/>
        </w:rPr>
      </w:pPr>
      <w:r>
        <w:rPr>
          <w:rFonts w:cs="Times"/>
          <w:color w:val="000000" w:themeColor="text1"/>
          <w:sz w:val="24"/>
          <w:szCs w:val="26"/>
          <w:lang w:val="en-US"/>
        </w:rPr>
        <w:t>According to Schewiete et al [5] ettringite forms as a layer surrounding the C</w:t>
      </w:r>
      <w:r>
        <w:rPr>
          <w:rFonts w:cs="Times"/>
          <w:color w:val="000000" w:themeColor="text1"/>
          <w:sz w:val="24"/>
          <w:szCs w:val="26"/>
          <w:vertAlign w:val="subscript"/>
          <w:lang w:val="en-US"/>
        </w:rPr>
        <w:t>3</w:t>
      </w:r>
      <w:r>
        <w:rPr>
          <w:rFonts w:cs="Times"/>
          <w:color w:val="000000" w:themeColor="text1"/>
          <w:sz w:val="24"/>
          <w:szCs w:val="26"/>
          <w:lang w:val="en-US"/>
        </w:rPr>
        <w:t>A particle impeding further contact between sulphate ions and the C</w:t>
      </w:r>
      <w:r>
        <w:rPr>
          <w:rFonts w:cs="Times"/>
          <w:color w:val="000000" w:themeColor="text1"/>
          <w:sz w:val="24"/>
          <w:szCs w:val="26"/>
          <w:vertAlign w:val="subscript"/>
          <w:lang w:val="en-US"/>
        </w:rPr>
        <w:t>3</w:t>
      </w:r>
      <w:r>
        <w:rPr>
          <w:rFonts w:cs="Times"/>
          <w:color w:val="000000" w:themeColor="text1"/>
          <w:sz w:val="24"/>
          <w:szCs w:val="26"/>
          <w:lang w:val="en-US"/>
        </w:rPr>
        <w:t>A surface. This creates an induction and retards the hydration of the C</w:t>
      </w:r>
      <w:r>
        <w:rPr>
          <w:rFonts w:cs="Times"/>
          <w:color w:val="000000" w:themeColor="text1"/>
          <w:sz w:val="24"/>
          <w:szCs w:val="26"/>
          <w:vertAlign w:val="subscript"/>
          <w:lang w:val="en-US"/>
        </w:rPr>
        <w:t>3</w:t>
      </w:r>
      <w:r>
        <w:rPr>
          <w:rFonts w:cs="Times"/>
          <w:color w:val="000000" w:themeColor="text1"/>
          <w:sz w:val="24"/>
          <w:szCs w:val="26"/>
          <w:lang w:val="en-US"/>
        </w:rPr>
        <w:t>A particle until the levels of SO</w:t>
      </w:r>
      <w:r>
        <w:rPr>
          <w:rFonts w:cs="Times"/>
          <w:color w:val="000000" w:themeColor="text1"/>
          <w:sz w:val="24"/>
          <w:szCs w:val="26"/>
          <w:vertAlign w:val="subscript"/>
          <w:lang w:val="en-US"/>
        </w:rPr>
        <w:t>4</w:t>
      </w:r>
      <w:r>
        <w:rPr>
          <w:rFonts w:cs="Times"/>
          <w:color w:val="000000" w:themeColor="text1"/>
          <w:sz w:val="24"/>
          <w:szCs w:val="26"/>
          <w:vertAlign w:val="superscript"/>
          <w:lang w:val="en-US"/>
        </w:rPr>
        <w:t>2-</w:t>
      </w:r>
      <w:r>
        <w:rPr>
          <w:rFonts w:cs="Times"/>
          <w:color w:val="000000" w:themeColor="text1"/>
          <w:sz w:val="24"/>
          <w:szCs w:val="26"/>
          <w:lang w:val="en-US"/>
        </w:rPr>
        <w:t xml:space="preserve"> fall below a certain threshold at which point the ettringite layer ruptures causing a renewed hydration of C</w:t>
      </w:r>
      <w:r>
        <w:rPr>
          <w:rFonts w:cs="Times"/>
          <w:color w:val="000000" w:themeColor="text1"/>
          <w:sz w:val="24"/>
          <w:szCs w:val="26"/>
          <w:vertAlign w:val="subscript"/>
          <w:lang w:val="en-US"/>
        </w:rPr>
        <w:t>3</w:t>
      </w:r>
      <w:r>
        <w:rPr>
          <w:rFonts w:cs="Times"/>
          <w:color w:val="000000" w:themeColor="text1"/>
          <w:sz w:val="24"/>
          <w:szCs w:val="26"/>
          <w:lang w:val="en-US"/>
        </w:rPr>
        <w:t>A to form AFm as shown</w:t>
      </w:r>
      <w:r w:rsidR="00FE1861">
        <w:rPr>
          <w:rFonts w:cs="Times"/>
          <w:color w:val="000000" w:themeColor="text1"/>
          <w:sz w:val="24"/>
          <w:szCs w:val="26"/>
          <w:lang w:val="en-US"/>
        </w:rPr>
        <w:t xml:space="preserve"> in the schematic in figure 4.24 </w:t>
      </w:r>
      <w:r>
        <w:rPr>
          <w:rFonts w:cs="Times"/>
          <w:color w:val="000000" w:themeColor="text1"/>
          <w:sz w:val="24"/>
          <w:szCs w:val="26"/>
          <w:lang w:val="en-US"/>
        </w:rPr>
        <w:t>(left).</w:t>
      </w:r>
      <w:r>
        <w:rPr>
          <w:rFonts w:cs="Arial"/>
          <w:color w:val="000000" w:themeColor="text1"/>
          <w:sz w:val="22"/>
          <w:szCs w:val="24"/>
        </w:rPr>
        <w:t xml:space="preserve"> </w:t>
      </w:r>
      <w:r w:rsidRPr="007E6FAE">
        <w:rPr>
          <w:rFonts w:cs="Arial"/>
          <w:color w:val="000000" w:themeColor="text1"/>
          <w:sz w:val="24"/>
          <w:szCs w:val="24"/>
        </w:rPr>
        <w:t xml:space="preserve"> </w:t>
      </w:r>
    </w:p>
    <w:p w14:paraId="3F4049D2" w14:textId="41ACC59E" w:rsidR="00777A0A" w:rsidRDefault="00777A0A" w:rsidP="0031372F">
      <w:pPr>
        <w:pStyle w:val="NormalWeb"/>
        <w:spacing w:before="240" w:beforeAutospacing="0" w:after="120" w:afterAutospacing="0"/>
        <w:ind w:left="-709" w:right="-347"/>
        <w:jc w:val="center"/>
        <w:rPr>
          <w:rFonts w:cs="Arial"/>
          <w:color w:val="000000" w:themeColor="text1"/>
          <w:sz w:val="24"/>
          <w:szCs w:val="24"/>
        </w:rPr>
      </w:pPr>
      <w:bookmarkStart w:id="1" w:name="OLE_LINK1"/>
      <w:r w:rsidRPr="001B014D">
        <w:rPr>
          <w:rFonts w:cs="Arial"/>
          <w:noProof/>
          <w:color w:val="0070C0"/>
          <w:sz w:val="24"/>
          <w:szCs w:val="24"/>
          <w:lang w:val="en-US"/>
        </w:rPr>
        <w:drawing>
          <wp:inline distT="0" distB="0" distL="0" distR="0" wp14:anchorId="5A03146B" wp14:editId="399FE777">
            <wp:extent cx="6534725" cy="2896837"/>
            <wp:effectExtent l="0" t="0" r="0" b="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538480" cy="2898501"/>
                    </a:xfrm>
                    <a:prstGeom prst="rect">
                      <a:avLst/>
                    </a:prstGeom>
                    <a:noFill/>
                    <a:ln>
                      <a:noFill/>
                    </a:ln>
                  </pic:spPr>
                </pic:pic>
              </a:graphicData>
            </a:graphic>
          </wp:inline>
        </w:drawing>
      </w:r>
      <w:bookmarkEnd w:id="1"/>
      <w:r>
        <w:rPr>
          <w:rFonts w:cs="Arial"/>
          <w:b/>
          <w:color w:val="000000" w:themeColor="text1"/>
          <w:sz w:val="24"/>
          <w:szCs w:val="24"/>
        </w:rPr>
        <w:t>Figure 4.2</w:t>
      </w:r>
      <w:r w:rsidR="00FE1861">
        <w:rPr>
          <w:rFonts w:cs="Arial"/>
          <w:b/>
          <w:color w:val="000000" w:themeColor="text1"/>
          <w:sz w:val="24"/>
          <w:szCs w:val="24"/>
        </w:rPr>
        <w:t>4</w:t>
      </w:r>
      <w:r>
        <w:rPr>
          <w:rFonts w:cs="Arial"/>
          <w:color w:val="000000" w:themeColor="text1"/>
          <w:sz w:val="24"/>
          <w:szCs w:val="24"/>
        </w:rPr>
        <w:t>:</w:t>
      </w:r>
      <w:r>
        <w:rPr>
          <w:rFonts w:cs="Arial"/>
          <w:color w:val="000000" w:themeColor="text1"/>
          <w:sz w:val="24"/>
          <w:szCs w:val="24"/>
        </w:rPr>
        <w:tab/>
        <w:t>(Left) Schematic of AFm formation during C</w:t>
      </w:r>
      <w:r>
        <w:rPr>
          <w:rFonts w:cs="Arial"/>
          <w:color w:val="000000" w:themeColor="text1"/>
          <w:sz w:val="24"/>
          <w:szCs w:val="24"/>
          <w:vertAlign w:val="subscript"/>
        </w:rPr>
        <w:t>3</w:t>
      </w:r>
      <w:r>
        <w:rPr>
          <w:rFonts w:cs="Arial"/>
          <w:color w:val="000000" w:themeColor="text1"/>
          <w:sz w:val="24"/>
          <w:szCs w:val="24"/>
        </w:rPr>
        <w:t>A hydration, (Right) heat evolution during respective stages [5]</w:t>
      </w:r>
    </w:p>
    <w:p w14:paraId="268789B6" w14:textId="66E88FC7" w:rsidR="00777A0A" w:rsidRPr="007E6FAE" w:rsidRDefault="00777A0A" w:rsidP="00EB7529">
      <w:pPr>
        <w:spacing w:before="240" w:after="120" w:line="480" w:lineRule="exact"/>
        <w:jc w:val="both"/>
        <w:rPr>
          <w:rFonts w:ascii="Times" w:hAnsi="Times" w:cs="Arial"/>
        </w:rPr>
      </w:pPr>
      <w:r>
        <w:rPr>
          <w:rFonts w:ascii="Times" w:hAnsi="Times" w:cs="Arial"/>
        </w:rPr>
        <w:t>These results suggest the caesium nitrate accelerates this hydration or similar process, promoting the AFm formatio</w:t>
      </w:r>
      <w:r w:rsidR="00C40FF7">
        <w:rPr>
          <w:rFonts w:ascii="Times" w:hAnsi="Times" w:cs="Arial"/>
        </w:rPr>
        <w:t>n</w:t>
      </w:r>
      <w:r w:rsidR="00CD00C6">
        <w:rPr>
          <w:rFonts w:ascii="Times" w:hAnsi="Times" w:cs="Arial"/>
        </w:rPr>
        <w:t>, which would result in a</w:t>
      </w:r>
      <w:r w:rsidR="007A5617">
        <w:rPr>
          <w:rFonts w:ascii="Times" w:hAnsi="Times" w:cs="Arial"/>
        </w:rPr>
        <w:t>n</w:t>
      </w:r>
      <w:r w:rsidR="00CD00C6">
        <w:rPr>
          <w:rFonts w:ascii="Times" w:hAnsi="Times" w:cs="Arial"/>
        </w:rPr>
        <w:t xml:space="preserve"> </w:t>
      </w:r>
      <w:r w:rsidR="001F5A9A">
        <w:rPr>
          <w:rFonts w:ascii="Times" w:hAnsi="Times" w:cs="Arial"/>
        </w:rPr>
        <w:t>increase</w:t>
      </w:r>
      <w:r w:rsidR="00CD00C6">
        <w:rPr>
          <w:rFonts w:ascii="Times" w:hAnsi="Times" w:cs="Arial"/>
        </w:rPr>
        <w:t xml:space="preserve"> of sulphate in pore solution</w:t>
      </w:r>
      <w:r>
        <w:rPr>
          <w:rFonts w:ascii="Times" w:hAnsi="Times" w:cs="Arial"/>
        </w:rPr>
        <w:t xml:space="preserve">.  </w:t>
      </w:r>
      <w:r>
        <w:rPr>
          <w:rFonts w:ascii="Times" w:hAnsi="Times"/>
        </w:rPr>
        <w:t xml:space="preserve">The increased hydration in the </w:t>
      </w:r>
      <w:r w:rsidR="00013314">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013314">
        <w:rPr>
          <w:rFonts w:ascii="Times" w:hAnsi="Times"/>
        </w:rPr>
        <w:t xml:space="preserve"> </w:t>
      </w:r>
      <w:r>
        <w:rPr>
          <w:rFonts w:ascii="Times" w:hAnsi="Times"/>
        </w:rPr>
        <w:t xml:space="preserve"> samples</w:t>
      </w:r>
      <w:proofErr w:type="gramEnd"/>
      <w:r>
        <w:rPr>
          <w:rFonts w:ascii="Times" w:hAnsi="Times"/>
        </w:rPr>
        <w:t xml:space="preserve"> is also supported by the </w:t>
      </w:r>
      <w:r w:rsidR="00F02063">
        <w:rPr>
          <w:rFonts w:ascii="Times" w:hAnsi="Times"/>
        </w:rPr>
        <w:t>Si NMR</w:t>
      </w:r>
      <w:r>
        <w:rPr>
          <w:rFonts w:ascii="Times" w:hAnsi="Times"/>
        </w:rPr>
        <w:t xml:space="preserve"> </w:t>
      </w:r>
      <w:r w:rsidR="00F02063">
        <w:rPr>
          <w:rFonts w:ascii="Times" w:hAnsi="Times"/>
        </w:rPr>
        <w:lastRenderedPageBreak/>
        <w:t>results, which</w:t>
      </w:r>
      <w:r>
        <w:rPr>
          <w:rFonts w:ascii="Times" w:hAnsi="Times"/>
        </w:rPr>
        <w:t xml:space="preserve"> show that the Q</w:t>
      </w:r>
      <w:r>
        <w:rPr>
          <w:rFonts w:ascii="Times" w:hAnsi="Times"/>
          <w:vertAlign w:val="superscript"/>
        </w:rPr>
        <w:t>o</w:t>
      </w:r>
      <w:r>
        <w:rPr>
          <w:rFonts w:ascii="Times" w:hAnsi="Times"/>
        </w:rPr>
        <w:t xml:space="preserve"> hump of the unhydrated clinker phases is smaller in the </w:t>
      </w:r>
      <w:r w:rsidR="00EB7529">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B7529">
        <w:rPr>
          <w:rFonts w:ascii="Times" w:hAnsi="Times"/>
        </w:rPr>
        <w:t xml:space="preserve"> </w:t>
      </w:r>
      <w:r>
        <w:rPr>
          <w:rFonts w:ascii="Times" w:hAnsi="Times"/>
        </w:rPr>
        <w:t xml:space="preserve"> than that </w:t>
      </w:r>
      <w:r w:rsidRPr="00EB7529">
        <w:rPr>
          <w:rFonts w:ascii="Times" w:hAnsi="Times"/>
          <w:b/>
        </w:rPr>
        <w:t>0DB</w:t>
      </w:r>
      <w:r>
        <w:rPr>
          <w:rFonts w:ascii="Times" w:hAnsi="Times"/>
        </w:rPr>
        <w:t xml:space="preserve"> after 28 days and 90 days o</w:t>
      </w:r>
      <w:r w:rsidR="00E35790">
        <w:rPr>
          <w:rFonts w:ascii="Times" w:hAnsi="Times"/>
        </w:rPr>
        <w:t>f</w:t>
      </w:r>
      <w:r w:rsidR="00A26A68">
        <w:rPr>
          <w:rFonts w:ascii="Times" w:hAnsi="Times"/>
        </w:rPr>
        <w:t xml:space="preserve"> curing.  Atkins and Glasser [40</w:t>
      </w:r>
      <w:r>
        <w:rPr>
          <w:rFonts w:ascii="Times" w:hAnsi="Times"/>
        </w:rPr>
        <w:t>] found that the porosity of samples increased as the hydration rate increased, this was due to the growing volume of hydration products splitting the pores within the sample into smaller finer</w:t>
      </w:r>
      <w:r w:rsidR="00F02063">
        <w:rPr>
          <w:rFonts w:ascii="Times" w:hAnsi="Times"/>
        </w:rPr>
        <w:t xml:space="preserve"> pores</w:t>
      </w:r>
      <w:r w:rsidR="000A591F">
        <w:rPr>
          <w:rFonts w:ascii="Times" w:hAnsi="Times"/>
        </w:rPr>
        <w:t xml:space="preserve"> thus explaining the </w:t>
      </w:r>
      <w:r w:rsidR="00FE1861">
        <w:rPr>
          <w:rFonts w:ascii="Times" w:hAnsi="Times"/>
        </w:rPr>
        <w:t xml:space="preserve">higher percentage of smaller pores </w:t>
      </w:r>
      <w:r w:rsidR="000A591F">
        <w:rPr>
          <w:rFonts w:ascii="Times" w:hAnsi="Times"/>
        </w:rPr>
        <w:t xml:space="preserve">in </w:t>
      </w:r>
      <w:r w:rsidR="000A591F">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0A591F">
        <w:rPr>
          <w:rFonts w:ascii="Times" w:hAnsi="Times"/>
        </w:rPr>
        <w:t>.</w:t>
      </w:r>
      <w:r>
        <w:rPr>
          <w:rFonts w:ascii="Times" w:hAnsi="Times"/>
        </w:rPr>
        <w:t xml:space="preserve"> </w:t>
      </w:r>
      <w:r w:rsidR="00A7181C">
        <w:rPr>
          <w:rFonts w:ascii="Times" w:hAnsi="Times"/>
        </w:rPr>
        <w:t>According</w:t>
      </w:r>
      <w:r>
        <w:rPr>
          <w:rFonts w:ascii="Times" w:hAnsi="Times"/>
        </w:rPr>
        <w:t xml:space="preserve"> to the XRD and TGA results of </w:t>
      </w:r>
      <w:r w:rsidR="00EB7529">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rPr>
        <w:t>, ettringite is formed along with the nitrated AFm phase CAN. This substitution of SO</w:t>
      </w:r>
      <w:r>
        <w:rPr>
          <w:rFonts w:ascii="Times" w:hAnsi="Times"/>
          <w:vertAlign w:val="subscript"/>
        </w:rPr>
        <w:t>4</w:t>
      </w:r>
      <w:r w:rsidR="002850B7">
        <w:rPr>
          <w:rFonts w:ascii="Times" w:hAnsi="Times"/>
          <w:vertAlign w:val="superscript"/>
        </w:rPr>
        <w:t>2-</w:t>
      </w:r>
      <w:r>
        <w:rPr>
          <w:rFonts w:ascii="Times" w:hAnsi="Times"/>
        </w:rPr>
        <w:t xml:space="preserve"> by NO</w:t>
      </w:r>
      <w:r>
        <w:rPr>
          <w:rFonts w:ascii="Times" w:hAnsi="Times"/>
          <w:vertAlign w:val="subscript"/>
        </w:rPr>
        <w:t>3</w:t>
      </w:r>
      <w:r>
        <w:rPr>
          <w:rFonts w:ascii="Times" w:hAnsi="Times"/>
          <w:vertAlign w:val="superscript"/>
        </w:rPr>
        <w:t>-</w:t>
      </w:r>
      <w:r>
        <w:rPr>
          <w:rFonts w:ascii="Times" w:hAnsi="Times"/>
        </w:rPr>
        <w:t xml:space="preserve"> ions in AFm </w:t>
      </w:r>
      <w:proofErr w:type="gramStart"/>
      <w:r>
        <w:rPr>
          <w:rFonts w:ascii="Times" w:hAnsi="Times"/>
        </w:rPr>
        <w:t>phase,</w:t>
      </w:r>
      <w:proofErr w:type="gramEnd"/>
      <w:r>
        <w:rPr>
          <w:rFonts w:ascii="Times" w:hAnsi="Times"/>
        </w:rPr>
        <w:t xml:space="preserve"> </w:t>
      </w:r>
      <w:r w:rsidR="00FE1861">
        <w:rPr>
          <w:rFonts w:ascii="Times" w:hAnsi="Times"/>
        </w:rPr>
        <w:t>will liberate</w:t>
      </w:r>
      <w:r w:rsidR="007A5617">
        <w:rPr>
          <w:rFonts w:ascii="Times" w:hAnsi="Times"/>
        </w:rPr>
        <w:t xml:space="preserve"> even</w:t>
      </w:r>
      <w:r w:rsidR="00FE1861">
        <w:rPr>
          <w:rFonts w:ascii="Times" w:hAnsi="Times"/>
        </w:rPr>
        <w:t xml:space="preserve"> more </w:t>
      </w:r>
      <w:r>
        <w:rPr>
          <w:rFonts w:ascii="Times" w:hAnsi="Times"/>
        </w:rPr>
        <w:t>SO</w:t>
      </w:r>
      <w:r>
        <w:rPr>
          <w:rFonts w:ascii="Times" w:hAnsi="Times"/>
          <w:vertAlign w:val="subscript"/>
        </w:rPr>
        <w:t>4</w:t>
      </w:r>
      <w:r w:rsidR="002850B7">
        <w:rPr>
          <w:rFonts w:ascii="Times" w:hAnsi="Times"/>
          <w:vertAlign w:val="superscript"/>
        </w:rPr>
        <w:t>2-</w:t>
      </w:r>
      <w:r>
        <w:rPr>
          <w:rFonts w:ascii="Times" w:hAnsi="Times"/>
        </w:rPr>
        <w:t xml:space="preserve"> </w:t>
      </w:r>
      <w:r w:rsidR="00FE1861">
        <w:rPr>
          <w:rFonts w:ascii="Times" w:hAnsi="Times"/>
        </w:rPr>
        <w:t xml:space="preserve">therefore prolonging the time period before which the </w:t>
      </w:r>
      <w:r>
        <w:rPr>
          <w:rFonts w:ascii="Times" w:hAnsi="Times"/>
        </w:rPr>
        <w:t>ettringite</w:t>
      </w:r>
      <w:r w:rsidR="00FE1861">
        <w:rPr>
          <w:rFonts w:ascii="Times" w:hAnsi="Times"/>
        </w:rPr>
        <w:t xml:space="preserve"> layer is r</w:t>
      </w:r>
      <w:r w:rsidR="001803BC">
        <w:rPr>
          <w:rFonts w:ascii="Times" w:hAnsi="Times"/>
        </w:rPr>
        <w:t>u</w:t>
      </w:r>
      <w:r w:rsidR="00FE1861">
        <w:rPr>
          <w:rFonts w:ascii="Times" w:hAnsi="Times"/>
        </w:rPr>
        <w:t>ptured</w:t>
      </w:r>
      <w:r>
        <w:rPr>
          <w:rFonts w:ascii="Times" w:hAnsi="Times"/>
        </w:rPr>
        <w:t xml:space="preserve"> [9].</w:t>
      </w:r>
      <w:r>
        <w:rPr>
          <w:rFonts w:ascii="Times" w:hAnsi="Times"/>
          <w:color w:val="FF0000"/>
        </w:rPr>
        <w:t xml:space="preserve"> </w:t>
      </w:r>
    </w:p>
    <w:p w14:paraId="728CF817" w14:textId="0D10807F" w:rsidR="00777A0A" w:rsidRPr="0028740C" w:rsidRDefault="00777A0A" w:rsidP="00EB7529">
      <w:pPr>
        <w:spacing w:line="480" w:lineRule="exact"/>
        <w:jc w:val="both"/>
        <w:outlineLvl w:val="0"/>
        <w:rPr>
          <w:rFonts w:cs="Arial"/>
          <w:sz w:val="36"/>
          <w:szCs w:val="36"/>
        </w:rPr>
      </w:pPr>
      <w:r>
        <w:rPr>
          <w:rFonts w:ascii="Times" w:hAnsi="Times"/>
        </w:rPr>
        <w:t xml:space="preserve">Both the </w:t>
      </w:r>
      <w:r w:rsidR="00EB7529">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m:t>
            </m:r>
          </m:e>
        </m:acc>
      </m:oMath>
      <w:r w:rsidR="00EB7529">
        <w:rPr>
          <w:rFonts w:ascii="Times" w:hAnsi="Times"/>
        </w:rPr>
        <w:t xml:space="preserve"> </w:t>
      </w:r>
      <w:r>
        <w:rPr>
          <w:rFonts w:ascii="Times" w:hAnsi="Times"/>
        </w:rPr>
        <w:t xml:space="preserve">and </w:t>
      </w:r>
      <w:r w:rsidR="00EB7529">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EB7529">
        <w:rPr>
          <w:rFonts w:ascii="Times" w:hAnsi="Times"/>
        </w:rPr>
        <w:t xml:space="preserve"> </w:t>
      </w:r>
      <w:r>
        <w:rPr>
          <w:rFonts w:ascii="Times" w:hAnsi="Times"/>
        </w:rPr>
        <w:t xml:space="preserve"> analyses</w:t>
      </w:r>
      <w:proofErr w:type="gramEnd"/>
      <w:r>
        <w:rPr>
          <w:rFonts w:ascii="Times" w:hAnsi="Times"/>
        </w:rPr>
        <w:t xml:space="preserve"> show that CsNO</w:t>
      </w:r>
      <w:r>
        <w:rPr>
          <w:rFonts w:ascii="Times" w:hAnsi="Times"/>
          <w:vertAlign w:val="subscript"/>
        </w:rPr>
        <w:t>3</w:t>
      </w:r>
      <w:r>
        <w:rPr>
          <w:rFonts w:ascii="Times" w:hAnsi="Times"/>
        </w:rPr>
        <w:t xml:space="preserve"> is present in the solid cement sample. During sample preparation the CsNO</w:t>
      </w:r>
      <w:r>
        <w:rPr>
          <w:rFonts w:ascii="Times" w:hAnsi="Times"/>
          <w:vertAlign w:val="subscript"/>
        </w:rPr>
        <w:t>3</w:t>
      </w:r>
      <w:r>
        <w:rPr>
          <w:rFonts w:ascii="Times" w:hAnsi="Times"/>
        </w:rPr>
        <w:t xml:space="preserve"> is dissolved in water where the nitrate dissociates to give Cs</w:t>
      </w:r>
      <w:r>
        <w:rPr>
          <w:rFonts w:ascii="Times" w:hAnsi="Times"/>
          <w:vertAlign w:val="superscript"/>
        </w:rPr>
        <w:t>+</w:t>
      </w:r>
      <w:r>
        <w:rPr>
          <w:rFonts w:ascii="Times" w:hAnsi="Times"/>
        </w:rPr>
        <w:t xml:space="preserve"> and NO</w:t>
      </w:r>
      <w:r>
        <w:rPr>
          <w:rFonts w:ascii="Times" w:hAnsi="Times"/>
          <w:vertAlign w:val="subscript"/>
        </w:rPr>
        <w:t>3</w:t>
      </w:r>
      <w:r>
        <w:rPr>
          <w:rFonts w:ascii="Times" w:hAnsi="Times"/>
          <w:vertAlign w:val="superscript"/>
        </w:rPr>
        <w:t>-</w:t>
      </w:r>
      <w:r>
        <w:rPr>
          <w:rFonts w:ascii="Times" w:hAnsi="Times"/>
        </w:rPr>
        <w:t>. The prominent presence of CsNO</w:t>
      </w:r>
      <w:r>
        <w:rPr>
          <w:rFonts w:ascii="Times" w:hAnsi="Times"/>
          <w:vertAlign w:val="subscript"/>
        </w:rPr>
        <w:t xml:space="preserve">3 </w:t>
      </w:r>
      <w:r>
        <w:rPr>
          <w:rFonts w:ascii="Times" w:hAnsi="Times"/>
        </w:rPr>
        <w:t xml:space="preserve">in the XRD and TGA suggest that </w:t>
      </w:r>
      <w:r w:rsidR="00A7181C">
        <w:rPr>
          <w:rFonts w:ascii="Times" w:hAnsi="Times"/>
        </w:rPr>
        <w:t>it was precipitated from a saturated solution</w:t>
      </w:r>
      <w:r w:rsidR="00A62EE2">
        <w:rPr>
          <w:rFonts w:ascii="Times" w:hAnsi="Times"/>
        </w:rPr>
        <w:t>. As water is used up during the hydration process the concentration of CsNO</w:t>
      </w:r>
      <w:r w:rsidR="00A62EE2">
        <w:rPr>
          <w:rFonts w:ascii="Times" w:hAnsi="Times"/>
          <w:vertAlign w:val="subscript"/>
        </w:rPr>
        <w:t>3</w:t>
      </w:r>
      <w:r w:rsidR="00A62EE2">
        <w:rPr>
          <w:rFonts w:ascii="Times" w:hAnsi="Times"/>
        </w:rPr>
        <w:t xml:space="preserve"> surpasses the solubility limit, therefore this could also be the reason for its precipitation</w:t>
      </w:r>
      <w:r w:rsidR="00DF39C6">
        <w:rPr>
          <w:rFonts w:ascii="Times" w:hAnsi="Times"/>
        </w:rPr>
        <w:t xml:space="preserve">. </w:t>
      </w:r>
      <w:r w:rsidR="004141C5">
        <w:rPr>
          <w:rFonts w:ascii="Times" w:hAnsi="Times"/>
        </w:rPr>
        <w:t>Alternatively</w:t>
      </w:r>
      <w:r w:rsidR="00DF39C6">
        <w:rPr>
          <w:rFonts w:ascii="Times" w:hAnsi="Times"/>
        </w:rPr>
        <w:t xml:space="preserve"> it could have also been </w:t>
      </w:r>
      <w:r w:rsidR="004141C5">
        <w:rPr>
          <w:rFonts w:ascii="Times" w:hAnsi="Times"/>
        </w:rPr>
        <w:t>crystalized</w:t>
      </w:r>
      <w:r w:rsidR="00DF39C6">
        <w:rPr>
          <w:rFonts w:ascii="Times" w:hAnsi="Times"/>
        </w:rPr>
        <w:t xml:space="preserve"> from the pore solution during drying for analysis</w:t>
      </w:r>
      <w:r>
        <w:rPr>
          <w:rFonts w:ascii="Times" w:hAnsi="Times"/>
        </w:rPr>
        <w:t>. During the early stages of hydration these grains form clumps or masses however due to their random geometry</w:t>
      </w:r>
      <w:r w:rsidR="008E233D">
        <w:rPr>
          <w:rFonts w:ascii="Times" w:hAnsi="Times"/>
        </w:rPr>
        <w:t xml:space="preserve"> they</w:t>
      </w:r>
      <w:r>
        <w:rPr>
          <w:rFonts w:ascii="Times" w:hAnsi="Times"/>
        </w:rPr>
        <w:t xml:space="preserve"> do not do this in a particular order, thus producing larger voids that never become filled with hydrate products</w:t>
      </w:r>
      <w:r w:rsidR="007A5617">
        <w:rPr>
          <w:rFonts w:ascii="Times" w:hAnsi="Times"/>
        </w:rPr>
        <w:t xml:space="preserve">, which could explain the </w:t>
      </w:r>
      <w:r w:rsidR="00971672">
        <w:rPr>
          <w:rFonts w:ascii="Times" w:hAnsi="Times"/>
        </w:rPr>
        <w:t>higher</w:t>
      </w:r>
      <w:r w:rsidR="007A5617">
        <w:rPr>
          <w:rFonts w:ascii="Times" w:hAnsi="Times"/>
        </w:rPr>
        <w:t xml:space="preserve"> amount </w:t>
      </w:r>
      <w:r w:rsidR="00971672">
        <w:rPr>
          <w:rFonts w:ascii="Times" w:hAnsi="Times"/>
        </w:rPr>
        <w:t>of</w:t>
      </w:r>
      <w:r w:rsidR="007A5617">
        <w:rPr>
          <w:rFonts w:ascii="Times" w:hAnsi="Times"/>
        </w:rPr>
        <w:t xml:space="preserve"> intrinsic pores in the </w:t>
      </w:r>
      <w:r w:rsidR="007A5617">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rPr>
        <w:t xml:space="preserve">. </w:t>
      </w:r>
      <w:r w:rsidR="00E20F12">
        <w:rPr>
          <w:rFonts w:ascii="Times" w:hAnsi="Times"/>
        </w:rPr>
        <w:t>T</w:t>
      </w:r>
      <w:r>
        <w:rPr>
          <w:rFonts w:ascii="Times" w:hAnsi="Times"/>
        </w:rPr>
        <w:t>he Cs was not immobilised in the cement and as can be seen in the SEM results seems to have concentrated</w:t>
      </w:r>
      <w:r w:rsidR="00E20F12">
        <w:rPr>
          <w:rFonts w:ascii="Times" w:hAnsi="Times"/>
        </w:rPr>
        <w:t xml:space="preserve"> in</w:t>
      </w:r>
      <w:r>
        <w:rPr>
          <w:rFonts w:ascii="Times" w:hAnsi="Times"/>
        </w:rPr>
        <w:t xml:space="preserve"> clusters within the </w:t>
      </w:r>
      <w:proofErr w:type="gramStart"/>
      <w:r>
        <w:rPr>
          <w:rFonts w:ascii="Times" w:hAnsi="Times"/>
        </w:rPr>
        <w:t>sample</w:t>
      </w:r>
      <w:r w:rsidR="0000425C">
        <w:rPr>
          <w:rFonts w:ascii="Times" w:hAnsi="Times"/>
        </w:rPr>
        <w:t xml:space="preserve"> which may result in acidic conditions in these</w:t>
      </w:r>
      <w:proofErr w:type="gramEnd"/>
      <w:r w:rsidR="0000425C">
        <w:rPr>
          <w:rFonts w:ascii="Times" w:hAnsi="Times"/>
        </w:rPr>
        <w:t xml:space="preserve"> concentrated regions</w:t>
      </w:r>
      <w:r>
        <w:rPr>
          <w:rFonts w:ascii="Times" w:hAnsi="Times"/>
        </w:rPr>
        <w:t xml:space="preserve">. </w:t>
      </w:r>
    </w:p>
    <w:p w14:paraId="23FF5264" w14:textId="4A9F44C9" w:rsidR="00C05F7B" w:rsidRDefault="00777A0A" w:rsidP="00EB7529">
      <w:pPr>
        <w:spacing w:before="120" w:after="120" w:line="480" w:lineRule="exact"/>
        <w:jc w:val="both"/>
        <w:outlineLvl w:val="0"/>
        <w:rPr>
          <w:rFonts w:ascii="Times" w:hAnsi="Times"/>
          <w:szCs w:val="20"/>
        </w:rPr>
      </w:pPr>
      <w:r>
        <w:rPr>
          <w:rFonts w:ascii="Times" w:hAnsi="Times"/>
        </w:rPr>
        <w:t xml:space="preserve">The nitrated phase CAN seems to be </w:t>
      </w:r>
      <w:r w:rsidR="00FE2703">
        <w:rPr>
          <w:rFonts w:ascii="Times" w:hAnsi="Times"/>
        </w:rPr>
        <w:t xml:space="preserve">the </w:t>
      </w:r>
      <w:r>
        <w:rPr>
          <w:rFonts w:ascii="Times" w:hAnsi="Times"/>
        </w:rPr>
        <w:t xml:space="preserve">result of the </w:t>
      </w:r>
      <w:proofErr w:type="gramStart"/>
      <w:r>
        <w:rPr>
          <w:rFonts w:ascii="Times New Roman" w:hAnsi="Times New Roman"/>
        </w:rPr>
        <w:t>Sr(</w:t>
      </w:r>
      <w:proofErr w:type="gramEnd"/>
      <w:r>
        <w:rPr>
          <w:rFonts w:ascii="Times New Roman" w:hAnsi="Times New Roman"/>
        </w:rPr>
        <w:t>NO</w:t>
      </w:r>
      <w:r>
        <w:rPr>
          <w:rFonts w:ascii="Times New Roman" w:hAnsi="Times New Roman"/>
          <w:vertAlign w:val="subscript"/>
        </w:rPr>
        <w:t>3</w:t>
      </w:r>
      <w:r>
        <w:rPr>
          <w:rFonts w:ascii="Times New Roman" w:hAnsi="Times New Roman"/>
        </w:rPr>
        <w:t>)</w:t>
      </w:r>
      <w:r>
        <w:rPr>
          <w:rFonts w:ascii="Times New Roman" w:hAnsi="Times New Roman"/>
          <w:vertAlign w:val="subscript"/>
        </w:rPr>
        <w:t xml:space="preserve">2 </w:t>
      </w:r>
      <w:r>
        <w:rPr>
          <w:rFonts w:ascii="Times New Roman" w:hAnsi="Times New Roman"/>
        </w:rPr>
        <w:t xml:space="preserve">introduction as it is only present in the </w:t>
      </w:r>
      <w:r w:rsidR="00EB7529">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B7529">
        <w:rPr>
          <w:rFonts w:ascii="Times" w:hAnsi="Times"/>
        </w:rPr>
        <w:t xml:space="preserve"> </w:t>
      </w:r>
      <w:r>
        <w:rPr>
          <w:rFonts w:ascii="Times New Roman" w:hAnsi="Times New Roman"/>
        </w:rPr>
        <w:t xml:space="preserve">and </w:t>
      </w:r>
      <w:r w:rsidR="00EB7529">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s</m:t>
            </m:r>
          </m:e>
        </m:acc>
      </m:oMath>
      <w:r w:rsidR="00EB7529">
        <w:rPr>
          <w:rFonts w:ascii="Times" w:hAnsi="Times"/>
        </w:rPr>
        <w:t xml:space="preserve"> </w:t>
      </w:r>
      <w:r>
        <w:rPr>
          <w:rFonts w:ascii="Times New Roman" w:hAnsi="Times New Roman"/>
        </w:rPr>
        <w:t xml:space="preserve">samples. </w:t>
      </w:r>
      <w:r>
        <w:rPr>
          <w:rFonts w:ascii="Times" w:hAnsi="Times" w:cs="Arial"/>
        </w:rPr>
        <w:t>CAN</w:t>
      </w:r>
      <w:r w:rsidR="0000425C">
        <w:rPr>
          <w:rFonts w:ascii="Times" w:hAnsi="Times" w:cs="Arial"/>
        </w:rPr>
        <w:t xml:space="preserve"> is</w:t>
      </w:r>
      <w:r>
        <w:rPr>
          <w:rFonts w:ascii="Times" w:hAnsi="Times" w:cs="Arial"/>
        </w:rPr>
        <w:t xml:space="preserve"> </w:t>
      </w:r>
      <w:r w:rsidR="00FE2703">
        <w:rPr>
          <w:rFonts w:ascii="Times" w:hAnsi="Times" w:cs="Arial"/>
        </w:rPr>
        <w:t xml:space="preserve">an </w:t>
      </w:r>
      <w:r>
        <w:rPr>
          <w:rFonts w:ascii="Times" w:hAnsi="Times" w:cs="Arial"/>
        </w:rPr>
        <w:t>AFm</w:t>
      </w:r>
      <w:r w:rsidR="00FE2703">
        <w:rPr>
          <w:rFonts w:ascii="Times" w:hAnsi="Times" w:cs="Arial"/>
        </w:rPr>
        <w:t xml:space="preserve"> phase</w:t>
      </w:r>
      <w:r>
        <w:rPr>
          <w:rFonts w:ascii="Times" w:hAnsi="Times" w:cs="Arial"/>
        </w:rPr>
        <w:t xml:space="preserve">, </w:t>
      </w:r>
      <w:r>
        <w:rPr>
          <w:rFonts w:ascii="Times" w:hAnsi="Times"/>
        </w:rPr>
        <w:t>the nitrate anions substituting for the interlayer sulphate anions within the AFm phase [6]. According to Balonis [9] the calcium aluminohydrate phases can incorporat</w:t>
      </w:r>
      <w:r w:rsidR="0028740C">
        <w:rPr>
          <w:rFonts w:ascii="Times" w:hAnsi="Times"/>
        </w:rPr>
        <w:t xml:space="preserve">e various oxyanions </w:t>
      </w:r>
      <w:r w:rsidR="00371B8C">
        <w:rPr>
          <w:rFonts w:ascii="Times" w:hAnsi="Times"/>
        </w:rPr>
        <w:t>attaching to</w:t>
      </w:r>
      <w:r w:rsidR="0028740C">
        <w:rPr>
          <w:rFonts w:ascii="Times" w:hAnsi="Times"/>
        </w:rPr>
        <w:t xml:space="preserve"> Ca</w:t>
      </w:r>
      <w:r w:rsidR="0028740C">
        <w:rPr>
          <w:rFonts w:ascii="Times" w:hAnsi="Times"/>
          <w:vertAlign w:val="superscript"/>
        </w:rPr>
        <w:t>2+</w:t>
      </w:r>
      <w:r>
        <w:rPr>
          <w:rFonts w:ascii="Times" w:hAnsi="Times"/>
        </w:rPr>
        <w:t>, forming various solid solutions. These can be described by the following general formulae 3CaO.Al</w:t>
      </w:r>
      <w:r>
        <w:rPr>
          <w:rFonts w:ascii="Times" w:hAnsi="Times"/>
          <w:vertAlign w:val="subscript"/>
        </w:rPr>
        <w:t>2</w:t>
      </w:r>
      <w:r>
        <w:rPr>
          <w:rFonts w:ascii="Times" w:hAnsi="Times"/>
        </w:rPr>
        <w:t>O</w:t>
      </w:r>
      <w:r>
        <w:rPr>
          <w:rFonts w:ascii="Times" w:hAnsi="Times"/>
          <w:vertAlign w:val="subscript"/>
        </w:rPr>
        <w:t>3.</w:t>
      </w:r>
      <w:r>
        <w:rPr>
          <w:rFonts w:ascii="Times" w:hAnsi="Times"/>
        </w:rPr>
        <w:t>CaX.4H</w:t>
      </w:r>
      <w:r>
        <w:rPr>
          <w:rFonts w:ascii="Times" w:hAnsi="Times"/>
          <w:vertAlign w:val="subscript"/>
        </w:rPr>
        <w:t>2</w:t>
      </w:r>
      <w:r>
        <w:rPr>
          <w:rFonts w:ascii="Times" w:hAnsi="Times"/>
        </w:rPr>
        <w:t>O and 3CaO.Al</w:t>
      </w:r>
      <w:r>
        <w:rPr>
          <w:rFonts w:ascii="Times" w:hAnsi="Times"/>
          <w:vertAlign w:val="subscript"/>
        </w:rPr>
        <w:t>2</w:t>
      </w:r>
      <w:r>
        <w:rPr>
          <w:rFonts w:ascii="Times" w:hAnsi="Times"/>
        </w:rPr>
        <w:t>O</w:t>
      </w:r>
      <w:r>
        <w:rPr>
          <w:rFonts w:ascii="Times" w:hAnsi="Times"/>
          <w:vertAlign w:val="subscript"/>
        </w:rPr>
        <w:t>3.</w:t>
      </w:r>
      <w:r>
        <w:rPr>
          <w:rFonts w:ascii="Times" w:hAnsi="Times"/>
        </w:rPr>
        <w:t>CaY</w:t>
      </w:r>
      <w:r>
        <w:rPr>
          <w:rFonts w:ascii="Times" w:hAnsi="Times"/>
          <w:vertAlign w:val="subscript"/>
        </w:rPr>
        <w:t>2</w:t>
      </w:r>
      <w:r>
        <w:rPr>
          <w:rFonts w:ascii="Times" w:hAnsi="Times"/>
        </w:rPr>
        <w:t>.4H</w:t>
      </w:r>
      <w:r>
        <w:rPr>
          <w:rFonts w:ascii="Times" w:hAnsi="Times"/>
          <w:vertAlign w:val="subscript"/>
        </w:rPr>
        <w:t>2</w:t>
      </w:r>
      <w:r>
        <w:rPr>
          <w:rFonts w:ascii="Times" w:hAnsi="Times"/>
        </w:rPr>
        <w:t>O, depending on the oxyanions. In this instance X = SO</w:t>
      </w:r>
      <w:r>
        <w:rPr>
          <w:rFonts w:ascii="Times" w:hAnsi="Times"/>
          <w:vertAlign w:val="subscript"/>
        </w:rPr>
        <w:t>4</w:t>
      </w:r>
      <w:r>
        <w:rPr>
          <w:rFonts w:ascii="Times" w:hAnsi="Times"/>
          <w:vertAlign w:val="superscript"/>
        </w:rPr>
        <w:t>2-</w:t>
      </w:r>
      <w:r>
        <w:rPr>
          <w:rFonts w:ascii="Times" w:hAnsi="Times"/>
        </w:rPr>
        <w:t xml:space="preserve"> for AFm phase, Y = NO</w:t>
      </w:r>
      <w:r>
        <w:rPr>
          <w:rFonts w:ascii="Times" w:hAnsi="Times"/>
          <w:vertAlign w:val="subscript"/>
        </w:rPr>
        <w:t>3</w:t>
      </w:r>
      <w:r>
        <w:rPr>
          <w:rFonts w:ascii="Times" w:hAnsi="Times"/>
          <w:vertAlign w:val="superscript"/>
        </w:rPr>
        <w:t>-</w:t>
      </w:r>
      <w:r>
        <w:rPr>
          <w:rFonts w:ascii="Times" w:hAnsi="Times"/>
        </w:rPr>
        <w:t xml:space="preserve"> for CAN phase. The resulting structure </w:t>
      </w:r>
      <w:r>
        <w:rPr>
          <w:rFonts w:ascii="Times" w:hAnsi="Times"/>
        </w:rPr>
        <w:lastRenderedPageBreak/>
        <w:t>after the substitution is shown in Figure 4.</w:t>
      </w:r>
      <w:r w:rsidR="00FE1861">
        <w:rPr>
          <w:rFonts w:ascii="Times" w:hAnsi="Times"/>
        </w:rPr>
        <w:t>25 (left)</w:t>
      </w:r>
      <w:r>
        <w:rPr>
          <w:rFonts w:ascii="Times" w:hAnsi="Times"/>
        </w:rPr>
        <w:t xml:space="preserve">, a projection on (010) of the phase taken from Renaudin et al. [10], who identified the phase as </w:t>
      </w:r>
      <w:r>
        <w:rPr>
          <w:rFonts w:ascii="Times" w:hAnsi="Times" w:cs="Times"/>
          <w:color w:val="000000"/>
        </w:rPr>
        <w:t>tetrahydrated binitroaluminate.</w:t>
      </w:r>
      <w:r>
        <w:rPr>
          <w:rFonts w:ascii="Times" w:hAnsi="Times"/>
        </w:rPr>
        <w:t xml:space="preserve"> McCarthy et al. [7] suggest that the substitution of this type can also occur in the </w:t>
      </w:r>
      <w:proofErr w:type="gramStart"/>
      <w:r>
        <w:rPr>
          <w:rFonts w:ascii="Times" w:hAnsi="Times"/>
        </w:rPr>
        <w:t>AFt</w:t>
      </w:r>
      <w:proofErr w:type="gramEnd"/>
      <w:r>
        <w:rPr>
          <w:rFonts w:ascii="Times" w:hAnsi="Times"/>
        </w:rPr>
        <w:t xml:space="preserve"> phases although </w:t>
      </w:r>
      <w:r w:rsidR="0008287E">
        <w:rPr>
          <w:rFonts w:ascii="Times" w:hAnsi="Times"/>
        </w:rPr>
        <w:t>contradictory results have</w:t>
      </w:r>
      <w:r>
        <w:rPr>
          <w:rFonts w:ascii="Times" w:hAnsi="Times"/>
        </w:rPr>
        <w:t xml:space="preserve"> also been reported [8]. The symmetry and </w:t>
      </w:r>
      <w:proofErr w:type="gramStart"/>
      <w:r>
        <w:rPr>
          <w:rFonts w:ascii="Times" w:hAnsi="Times"/>
        </w:rPr>
        <w:t>d-spacing</w:t>
      </w:r>
      <w:proofErr w:type="gramEnd"/>
      <w:r>
        <w:rPr>
          <w:rFonts w:ascii="Times" w:hAnsi="Times"/>
        </w:rPr>
        <w:t xml:space="preserve"> in the crystal structure of CAN are different to those i</w:t>
      </w:r>
      <w:r w:rsidR="0028740C">
        <w:rPr>
          <w:rFonts w:ascii="Times" w:hAnsi="Times"/>
        </w:rPr>
        <w:t xml:space="preserve">n AFm, and therefore the x-ray </w:t>
      </w:r>
      <w:r w:rsidR="001E0809">
        <w:rPr>
          <w:rFonts w:ascii="Times" w:hAnsi="Times"/>
        </w:rPr>
        <w:t>diffraction pattern is different</w:t>
      </w:r>
      <w:r>
        <w:rPr>
          <w:rFonts w:ascii="Times" w:hAnsi="Times"/>
        </w:rPr>
        <w:t xml:space="preserve">. </w:t>
      </w:r>
      <w:r>
        <w:rPr>
          <w:rFonts w:ascii="Times" w:hAnsi="Times" w:cs="Arial"/>
        </w:rPr>
        <w:t xml:space="preserve"> </w:t>
      </w:r>
      <w:r w:rsidR="001E0809">
        <w:rPr>
          <w:rFonts w:ascii="Times" w:hAnsi="Times"/>
        </w:rPr>
        <w:t>The TGA results indicate strongly the existence of CAN phase.</w:t>
      </w:r>
      <w:r>
        <w:rPr>
          <w:rFonts w:ascii="Times" w:hAnsi="Times"/>
        </w:rPr>
        <w:t xml:space="preserve"> The existence of the intermediate </w:t>
      </w:r>
      <w:proofErr w:type="gramStart"/>
      <w:r>
        <w:rPr>
          <w:rFonts w:ascii="Times" w:hAnsi="Times" w:cs="Times"/>
          <w:color w:val="000000"/>
        </w:rPr>
        <w:t>Ca</w:t>
      </w:r>
      <w:r>
        <w:rPr>
          <w:rFonts w:ascii="Times" w:hAnsi="Times" w:cs="Times"/>
          <w:color w:val="000000"/>
          <w:vertAlign w:val="subscript"/>
        </w:rPr>
        <w:t>4</w:t>
      </w:r>
      <w:r>
        <w:rPr>
          <w:rFonts w:ascii="Times" w:hAnsi="Times" w:cs="Times"/>
          <w:color w:val="000000"/>
        </w:rPr>
        <w:t>Al</w:t>
      </w:r>
      <w:r>
        <w:rPr>
          <w:rFonts w:ascii="Times" w:hAnsi="Times" w:cs="Times"/>
          <w:color w:val="000000"/>
          <w:vertAlign w:val="subscript"/>
        </w:rPr>
        <w:t>2</w:t>
      </w:r>
      <w:r>
        <w:rPr>
          <w:rFonts w:ascii="Times" w:hAnsi="Times" w:cs="Times"/>
          <w:color w:val="000000"/>
        </w:rPr>
        <w:t>(</w:t>
      </w:r>
      <w:proofErr w:type="gramEnd"/>
      <w:r>
        <w:rPr>
          <w:rFonts w:ascii="Times" w:hAnsi="Times" w:cs="Times"/>
          <w:color w:val="000000"/>
        </w:rPr>
        <w:t>OH)</w:t>
      </w:r>
      <w:r>
        <w:rPr>
          <w:rFonts w:ascii="Times" w:hAnsi="Times" w:cs="Times"/>
          <w:color w:val="000000"/>
          <w:vertAlign w:val="subscript"/>
        </w:rPr>
        <w:t>12</w:t>
      </w:r>
      <w:r>
        <w:rPr>
          <w:rFonts w:ascii="Times" w:hAnsi="Times" w:cs="Times"/>
          <w:color w:val="000000"/>
        </w:rPr>
        <w:t>(NO</w:t>
      </w:r>
      <w:r>
        <w:rPr>
          <w:rFonts w:ascii="Times" w:hAnsi="Times" w:cs="Times"/>
          <w:color w:val="000000"/>
          <w:vertAlign w:val="subscript"/>
        </w:rPr>
        <w:t>3</w:t>
      </w:r>
      <w:r>
        <w:rPr>
          <w:rFonts w:ascii="Times" w:hAnsi="Times" w:cs="Times"/>
          <w:color w:val="000000"/>
        </w:rPr>
        <w:t>)</w:t>
      </w:r>
      <w:r>
        <w:rPr>
          <w:rFonts w:ascii="Times" w:hAnsi="Times" w:cs="Times"/>
          <w:color w:val="000000"/>
          <w:vertAlign w:val="subscript"/>
        </w:rPr>
        <w:t>2</w:t>
      </w:r>
      <w:r>
        <w:rPr>
          <w:rFonts w:ascii="Times" w:hAnsi="Times" w:cs="Times"/>
          <w:color w:val="000000"/>
        </w:rPr>
        <w:t>.</w:t>
      </w:r>
      <w:r>
        <w:rPr>
          <w:rFonts w:ascii="Times" w:hAnsi="Times"/>
        </w:rPr>
        <w:t>2H</w:t>
      </w:r>
      <w:r>
        <w:rPr>
          <w:rFonts w:ascii="Times" w:hAnsi="Times"/>
          <w:vertAlign w:val="subscript"/>
        </w:rPr>
        <w:t>2</w:t>
      </w:r>
      <w:r>
        <w:rPr>
          <w:rFonts w:ascii="Times" w:hAnsi="Times"/>
        </w:rPr>
        <w:t>O</w:t>
      </w:r>
      <w:r w:rsidR="001E0809">
        <w:rPr>
          <w:rFonts w:ascii="Times" w:hAnsi="Times"/>
        </w:rPr>
        <w:t xml:space="preserve"> phase</w:t>
      </w:r>
      <w:r>
        <w:rPr>
          <w:rFonts w:ascii="Times" w:hAnsi="Times"/>
        </w:rPr>
        <w:t xml:space="preserve"> </w:t>
      </w:r>
      <w:r w:rsidR="001E0809">
        <w:rPr>
          <w:rFonts w:ascii="Times" w:hAnsi="Times"/>
        </w:rPr>
        <w:t>found in the 70-100</w:t>
      </w:r>
      <w:r w:rsidR="001E0809">
        <w:rPr>
          <w:rFonts w:ascii="Times" w:hAnsi="Times"/>
          <w:vertAlign w:val="superscript"/>
        </w:rPr>
        <w:t>o</w:t>
      </w:r>
      <w:r w:rsidR="001E0809">
        <w:rPr>
          <w:rFonts w:ascii="Times" w:hAnsi="Times"/>
        </w:rPr>
        <w:t>C rang</w:t>
      </w:r>
      <w:r w:rsidR="00874249">
        <w:rPr>
          <w:rFonts w:ascii="Times" w:hAnsi="Times"/>
        </w:rPr>
        <w:t>e</w:t>
      </w:r>
      <w:r w:rsidR="001E0809">
        <w:rPr>
          <w:rFonts w:ascii="Times" w:hAnsi="Times"/>
        </w:rPr>
        <w:t xml:space="preserve"> </w:t>
      </w:r>
      <w:r>
        <w:rPr>
          <w:rFonts w:ascii="Times" w:hAnsi="Times"/>
        </w:rPr>
        <w:t>during the two step dehydration has been confirmed by Renaudin et al. using Raman spectroscopy</w:t>
      </w:r>
      <w:r w:rsidR="00EB7529">
        <w:rPr>
          <w:rFonts w:ascii="Times" w:hAnsi="Times"/>
        </w:rPr>
        <w:t xml:space="preserve"> [10]. The TGA data of </w:t>
      </w:r>
      <w:r w:rsidR="00EB7529">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s</m:t>
            </m:r>
          </m:e>
        </m:acc>
      </m:oMath>
      <w:r w:rsidR="00EB7529">
        <w:rPr>
          <w:rFonts w:ascii="Times" w:hAnsi="Times"/>
        </w:rPr>
        <w:t xml:space="preserve"> and </w:t>
      </w:r>
      <w:r w:rsidR="00EB7529">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B7529">
        <w:rPr>
          <w:rFonts w:ascii="Times" w:hAnsi="Times"/>
        </w:rPr>
        <w:t xml:space="preserve"> </w:t>
      </w:r>
      <w:r>
        <w:rPr>
          <w:rFonts w:ascii="Times" w:hAnsi="Times"/>
        </w:rPr>
        <w:t xml:space="preserve">showed weight loss </w:t>
      </w:r>
      <w:r w:rsidR="00223CFB">
        <w:rPr>
          <w:rFonts w:ascii="Times" w:hAnsi="Times"/>
        </w:rPr>
        <w:t xml:space="preserve">in the range </w:t>
      </w:r>
      <w:r>
        <w:rPr>
          <w:rFonts w:ascii="Times" w:hAnsi="Times"/>
        </w:rPr>
        <w:t>60-120</w:t>
      </w:r>
      <w:r>
        <w:rPr>
          <w:rFonts w:ascii="Times" w:hAnsi="Times"/>
          <w:vertAlign w:val="superscript"/>
        </w:rPr>
        <w:t>o</w:t>
      </w:r>
      <w:r>
        <w:rPr>
          <w:rFonts w:ascii="Times" w:hAnsi="Times"/>
        </w:rPr>
        <w:t>C regions. When heated to 70</w:t>
      </w:r>
      <w:r>
        <w:rPr>
          <w:rFonts w:ascii="Times" w:hAnsi="Times"/>
          <w:vertAlign w:val="superscript"/>
        </w:rPr>
        <w:t>o</w:t>
      </w:r>
      <w:r>
        <w:rPr>
          <w:rFonts w:ascii="Times" w:hAnsi="Times"/>
        </w:rPr>
        <w:t>C,</w:t>
      </w:r>
      <w:r>
        <w:rPr>
          <w:rFonts w:ascii="Times" w:hAnsi="Times"/>
          <w:sz w:val="20"/>
          <w:szCs w:val="20"/>
        </w:rPr>
        <w:t xml:space="preserve"> </w:t>
      </w:r>
      <w:r>
        <w:rPr>
          <w:rFonts w:ascii="Times" w:hAnsi="Times"/>
          <w:szCs w:val="20"/>
        </w:rPr>
        <w:t>the main [</w:t>
      </w:r>
      <w:proofErr w:type="gramStart"/>
      <w:r>
        <w:rPr>
          <w:rFonts w:ascii="Times" w:hAnsi="Times"/>
          <w:szCs w:val="20"/>
        </w:rPr>
        <w:t>Ca</w:t>
      </w:r>
      <w:r>
        <w:rPr>
          <w:rFonts w:ascii="Times" w:hAnsi="Times"/>
          <w:szCs w:val="20"/>
          <w:vertAlign w:val="subscript"/>
        </w:rPr>
        <w:t>2</w:t>
      </w:r>
      <w:r>
        <w:rPr>
          <w:rFonts w:ascii="Times" w:hAnsi="Times"/>
          <w:szCs w:val="20"/>
        </w:rPr>
        <w:t>Al(</w:t>
      </w:r>
      <w:proofErr w:type="gramEnd"/>
      <w:r>
        <w:rPr>
          <w:rFonts w:ascii="Times" w:hAnsi="Times"/>
          <w:szCs w:val="20"/>
        </w:rPr>
        <w:t>OH)</w:t>
      </w:r>
      <w:r>
        <w:rPr>
          <w:rFonts w:ascii="Times" w:hAnsi="Times"/>
          <w:szCs w:val="20"/>
          <w:vertAlign w:val="subscript"/>
        </w:rPr>
        <w:t>6</w:t>
      </w:r>
      <w:r>
        <w:rPr>
          <w:rFonts w:ascii="Times" w:hAnsi="Times"/>
          <w:szCs w:val="20"/>
        </w:rPr>
        <w:t>]</w:t>
      </w:r>
      <w:r>
        <w:rPr>
          <w:rFonts w:ascii="Times" w:hAnsi="Times"/>
          <w:szCs w:val="20"/>
          <w:vertAlign w:val="superscript"/>
        </w:rPr>
        <w:t>+</w:t>
      </w:r>
      <w:r>
        <w:rPr>
          <w:rFonts w:ascii="Times" w:hAnsi="Times"/>
          <w:szCs w:val="20"/>
        </w:rPr>
        <w:t xml:space="preserve">  layers, shown in Figure 4.5 (left) undergo a sideways translation due to the loss of the water molecules, decreasing the interlayer distances. </w:t>
      </w:r>
      <w:proofErr w:type="gramStart"/>
      <w:r>
        <w:rPr>
          <w:rFonts w:ascii="Times" w:hAnsi="Times"/>
          <w:szCs w:val="20"/>
        </w:rPr>
        <w:t>These layers are then bridged by NO</w:t>
      </w:r>
      <w:r>
        <w:rPr>
          <w:rFonts w:ascii="Times" w:hAnsi="Times"/>
          <w:szCs w:val="20"/>
          <w:vertAlign w:val="subscript"/>
        </w:rPr>
        <w:t>3</w:t>
      </w:r>
      <w:r>
        <w:rPr>
          <w:rFonts w:ascii="Times" w:hAnsi="Times"/>
          <w:szCs w:val="20"/>
          <w:vertAlign w:val="superscript"/>
        </w:rPr>
        <w:t>-</w:t>
      </w:r>
      <w:r>
        <w:rPr>
          <w:rFonts w:ascii="Times" w:hAnsi="Times"/>
          <w:szCs w:val="20"/>
        </w:rPr>
        <w:t xml:space="preserve"> groups</w:t>
      </w:r>
      <w:proofErr w:type="gramEnd"/>
      <w:r>
        <w:rPr>
          <w:rFonts w:ascii="Times" w:hAnsi="Times"/>
          <w:szCs w:val="20"/>
        </w:rPr>
        <w:t xml:space="preserve">, and as a result, </w:t>
      </w:r>
      <w:r>
        <w:rPr>
          <w:rFonts w:ascii="Times" w:hAnsi="Times"/>
        </w:rPr>
        <w:t>the crystal orientation changes from a two-dimensional layer structure to a pillar structure</w:t>
      </w:r>
      <w:r>
        <w:rPr>
          <w:rFonts w:ascii="Times" w:hAnsi="Times"/>
          <w:sz w:val="20"/>
          <w:szCs w:val="20"/>
        </w:rPr>
        <w:t xml:space="preserve"> </w:t>
      </w:r>
      <w:r>
        <w:rPr>
          <w:rFonts w:ascii="Times" w:hAnsi="Times"/>
          <w:szCs w:val="20"/>
        </w:rPr>
        <w:t>as shown in Figure 4.</w:t>
      </w:r>
      <w:r w:rsidR="00FE1861">
        <w:rPr>
          <w:rFonts w:ascii="Times" w:hAnsi="Times"/>
          <w:szCs w:val="20"/>
        </w:rPr>
        <w:t>2</w:t>
      </w:r>
      <w:r>
        <w:rPr>
          <w:rFonts w:ascii="Times" w:hAnsi="Times"/>
          <w:szCs w:val="20"/>
        </w:rPr>
        <w:t>5 (right).</w:t>
      </w:r>
    </w:p>
    <w:p w14:paraId="6B6FB179" w14:textId="77777777" w:rsidR="00777A0A" w:rsidRPr="00E908AE" w:rsidRDefault="00777A0A" w:rsidP="00C05F7B">
      <w:pPr>
        <w:spacing w:before="240" w:after="120"/>
        <w:jc w:val="center"/>
        <w:rPr>
          <w:rFonts w:ascii="Times" w:hAnsi="Times"/>
        </w:rPr>
      </w:pPr>
      <w:r w:rsidRPr="00687341">
        <w:rPr>
          <w:rFonts w:ascii="Times New Roman" w:hAnsi="Times New Roman"/>
          <w:noProof/>
        </w:rPr>
        <w:drawing>
          <wp:inline distT="0" distB="0" distL="0" distR="0" wp14:anchorId="1BE54B5A" wp14:editId="5C55CA51">
            <wp:extent cx="2940737" cy="3314700"/>
            <wp:effectExtent l="0" t="0" r="0" b="0"/>
            <wp:docPr id="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40737" cy="3314700"/>
                    </a:xfrm>
                    <a:prstGeom prst="rect">
                      <a:avLst/>
                    </a:prstGeom>
                    <a:noFill/>
                    <a:ln>
                      <a:noFill/>
                    </a:ln>
                  </pic:spPr>
                </pic:pic>
              </a:graphicData>
            </a:graphic>
          </wp:inline>
        </w:drawing>
      </w:r>
      <w:r>
        <w:rPr>
          <w:rFonts w:ascii="Times" w:hAnsi="Times"/>
          <w:noProof/>
        </w:rPr>
        <w:drawing>
          <wp:inline distT="0" distB="0" distL="0" distR="0" wp14:anchorId="7E9BB46F" wp14:editId="7689EABD">
            <wp:extent cx="1940531" cy="3223609"/>
            <wp:effectExtent l="0" t="0" r="0" b="2540"/>
            <wp:docPr id="941" name="Picture 262" descr="SSD:Users:WG:Desktop:Screen Shot 2013-12-01 at 16.5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SSD:Users:WG:Desktop:Screen Shot 2013-12-01 at 16.54.25.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40542" cy="3223627"/>
                    </a:xfrm>
                    <a:prstGeom prst="rect">
                      <a:avLst/>
                    </a:prstGeom>
                    <a:noFill/>
                    <a:ln>
                      <a:noFill/>
                    </a:ln>
                  </pic:spPr>
                </pic:pic>
              </a:graphicData>
            </a:graphic>
          </wp:inline>
        </w:drawing>
      </w:r>
    </w:p>
    <w:p w14:paraId="6FA2D98B" w14:textId="5B1EB7A6" w:rsidR="00777A0A" w:rsidRPr="00FE1861" w:rsidRDefault="00777A0A" w:rsidP="00C05F7B">
      <w:pPr>
        <w:spacing w:before="240" w:after="120"/>
        <w:jc w:val="center"/>
        <w:rPr>
          <w:rFonts w:ascii="Times New Roman" w:hAnsi="Times New Roman"/>
          <w:color w:val="000000"/>
          <w:position w:val="-4"/>
        </w:rPr>
      </w:pPr>
      <w:r>
        <w:rPr>
          <w:rFonts w:ascii="Times New Roman" w:hAnsi="Times New Roman"/>
          <w:b/>
          <w:color w:val="000000"/>
          <w:position w:val="-4"/>
        </w:rPr>
        <w:t>Figure 4.</w:t>
      </w:r>
      <w:r w:rsidR="00FE1861">
        <w:rPr>
          <w:rFonts w:ascii="Times New Roman" w:hAnsi="Times New Roman"/>
          <w:b/>
          <w:color w:val="000000"/>
          <w:position w:val="-4"/>
        </w:rPr>
        <w:t>2</w:t>
      </w:r>
      <w:r>
        <w:rPr>
          <w:rFonts w:ascii="Times New Roman" w:hAnsi="Times New Roman"/>
          <w:b/>
          <w:color w:val="000000"/>
          <w:position w:val="-4"/>
        </w:rPr>
        <w:t>5:</w:t>
      </w:r>
      <w:r>
        <w:rPr>
          <w:rFonts w:ascii="Times New Roman" w:hAnsi="Times New Roman"/>
          <w:color w:val="000000"/>
          <w:position w:val="-4"/>
        </w:rPr>
        <w:tab/>
        <w:t>Projection on (010) layers of hydrated (left) and tetrahydrated binitroaluminate (right) [10]</w:t>
      </w:r>
    </w:p>
    <w:p w14:paraId="5580A3A1" w14:textId="524841DD" w:rsidR="00777A0A" w:rsidRPr="00FE691F" w:rsidRDefault="00777A0A" w:rsidP="00C05F7B">
      <w:pPr>
        <w:spacing w:before="120" w:after="120" w:line="480" w:lineRule="exact"/>
        <w:jc w:val="both"/>
        <w:outlineLvl w:val="0"/>
        <w:rPr>
          <w:rFonts w:ascii="Times" w:hAnsi="Times"/>
        </w:rPr>
      </w:pPr>
      <w:r w:rsidRPr="00FE691F">
        <w:rPr>
          <w:rFonts w:ascii="Times" w:hAnsi="Times"/>
        </w:rPr>
        <w:lastRenderedPageBreak/>
        <w:t>The dehydroxylation of CAN at 240-310</w:t>
      </w:r>
      <w:r w:rsidRPr="00FE691F">
        <w:rPr>
          <w:rFonts w:ascii="Times" w:hAnsi="Times"/>
          <w:vertAlign w:val="superscript"/>
        </w:rPr>
        <w:t xml:space="preserve"> o</w:t>
      </w:r>
      <w:r w:rsidRPr="00FE691F">
        <w:rPr>
          <w:rFonts w:ascii="Times" w:hAnsi="Times"/>
        </w:rPr>
        <w:t>C can be used to calculate the mass of CAN within the sample. Assuming that the</w:t>
      </w:r>
      <w:r w:rsidR="00B560D9">
        <w:rPr>
          <w:rFonts w:ascii="Times" w:hAnsi="Times"/>
        </w:rPr>
        <w:t xml:space="preserve"> majority</w:t>
      </w:r>
      <w:r w:rsidRPr="00FE691F">
        <w:rPr>
          <w:rFonts w:ascii="Times" w:hAnsi="Times"/>
        </w:rPr>
        <w:t xml:space="preserve"> weight loss in this region is due to this event and that none of the Sr is retained within this phase, E</w:t>
      </w:r>
      <w:r w:rsidR="009E589B">
        <w:rPr>
          <w:rFonts w:ascii="Times New Roman" w:hAnsi="Times New Roman"/>
        </w:rPr>
        <w:t>quation 4.2</w:t>
      </w:r>
      <w:r w:rsidRPr="00FE691F">
        <w:rPr>
          <w:rFonts w:ascii="Times New Roman" w:hAnsi="Times New Roman"/>
        </w:rPr>
        <w:t xml:space="preserve"> could be used to </w:t>
      </w:r>
      <w:r w:rsidR="00B560D9">
        <w:rPr>
          <w:rFonts w:ascii="Times New Roman" w:hAnsi="Times New Roman"/>
        </w:rPr>
        <w:t xml:space="preserve">roughly </w:t>
      </w:r>
      <w:r w:rsidRPr="00FE691F">
        <w:rPr>
          <w:rFonts w:ascii="Times New Roman" w:hAnsi="Times New Roman"/>
        </w:rPr>
        <w:t xml:space="preserve">estimate the weight % of the dehydrated CAN in </w:t>
      </w:r>
      <w:r w:rsidRPr="00FE691F">
        <w:rPr>
          <w:rFonts w:cs="Arial"/>
          <w:b/>
        </w:rPr>
        <w:t>0D</w:t>
      </w:r>
      <m:oMath>
        <m:acc>
          <m:accPr>
            <m:chr m:val="̅"/>
            <m:ctrlPr>
              <w:rPr>
                <w:rFonts w:ascii="Cambria Math" w:hAnsi="Cambria Math" w:cs="Arial"/>
                <w:i/>
                <w:sz w:val="36"/>
              </w:rPr>
            </m:ctrlPr>
          </m:accPr>
          <m:e>
            <m:r>
              <m:rPr>
                <m:sty m:val="p"/>
              </m:rPr>
              <w:rPr>
                <w:rFonts w:ascii="Cambria Math" w:hAnsi="Cambria Math" w:cs="Arial"/>
                <w:sz w:val="36"/>
              </w:rPr>
              <m:t>cs</m:t>
            </m:r>
          </m:e>
        </m:acc>
      </m:oMath>
      <w:r w:rsidRPr="00FE691F">
        <w:rPr>
          <w:rFonts w:ascii="Times" w:hAnsi="Times"/>
        </w:rPr>
        <w:t xml:space="preserve">. </w:t>
      </w:r>
      <w:r w:rsidR="00FE691F" w:rsidRPr="00FE691F">
        <w:rPr>
          <w:rFonts w:ascii="Times" w:hAnsi="Times"/>
        </w:rPr>
        <w:t>By calculating the wt% of dehydrated CAN phase (CAN*)</w:t>
      </w:r>
    </w:p>
    <w:p w14:paraId="43123453" w14:textId="39139919" w:rsidR="00777A0A" w:rsidRDefault="00777A0A" w:rsidP="00C05F7B">
      <w:pPr>
        <w:spacing w:before="120" w:after="120" w:line="480" w:lineRule="exact"/>
        <w:jc w:val="center"/>
        <w:outlineLvl w:val="0"/>
        <w:rPr>
          <w:rFonts w:ascii="Abadi MT Condensed Extra Bold" w:hAnsi="Abadi MT Condensed Extra Bold"/>
          <w:b/>
          <w:sz w:val="20"/>
          <w:szCs w:val="20"/>
        </w:rPr>
      </w:pPr>
      <m:oMathPara>
        <m:oMath>
          <m:r>
            <m:rPr>
              <m:sty m:val="p"/>
            </m:rPr>
            <w:rPr>
              <w:rFonts w:ascii="Cambria Math" w:hAnsi="Cambria Math"/>
              <w:sz w:val="20"/>
              <w:szCs w:val="20"/>
            </w:rPr>
            <m:t xml:space="preserve">Wt % of CAN* in </m:t>
          </m:r>
          <m:r>
            <m:rPr>
              <m:sty m:val="b"/>
            </m:rPr>
            <w:rPr>
              <w:rFonts w:ascii="Cambria Math" w:hAnsi="Cambria Math" w:cs="STIXGeneral-Bold"/>
              <w:sz w:val="20"/>
              <w:szCs w:val="20"/>
            </w:rPr>
            <m:t>0</m:t>
          </m:r>
          <m:r>
            <m:rPr>
              <m:sty m:val="b"/>
            </m:rPr>
            <w:rPr>
              <w:rFonts w:ascii="Cambria Math" w:hAnsi="Cambria Math" w:cs="Arial"/>
              <w:sz w:val="20"/>
              <w:szCs w:val="20"/>
            </w:rPr>
            <m:t>D</m:t>
          </m:r>
          <m:acc>
            <m:accPr>
              <m:chr m:val="̅"/>
              <m:ctrlPr>
                <w:rPr>
                  <w:rFonts w:ascii="Cambria Math" w:hAnsi="Cambria Math" w:cs="Arial"/>
                </w:rPr>
              </m:ctrlPr>
            </m:accPr>
            <m:e>
              <m:r>
                <m:rPr>
                  <m:sty m:val="p"/>
                </m:rPr>
                <w:rPr>
                  <w:rFonts w:ascii="Cambria Math" w:hAnsi="Cambria Math" w:cs="Arial"/>
                  <w:sz w:val="28"/>
                  <w:szCs w:val="20"/>
                </w:rPr>
                <m:t>cs</m:t>
              </m:r>
            </m:e>
          </m:acc>
          <m:r>
            <m:rPr>
              <m:sty m:val="p"/>
            </m:rPr>
            <w:rPr>
              <w:rFonts w:ascii="Cambria Math" w:hAnsi="Cambria Math"/>
              <w:sz w:val="20"/>
              <w:szCs w:val="20"/>
            </w:rPr>
            <m:t xml:space="preserve">= </m:t>
          </m:r>
          <m:f>
            <m:fPr>
              <m:ctrlPr>
                <w:rPr>
                  <w:rFonts w:ascii="Cambria Math" w:hAnsi="Cambria Math"/>
                </w:rPr>
              </m:ctrlPr>
            </m:fPr>
            <m:num>
              <m:r>
                <m:rPr>
                  <m:sty m:val="p"/>
                </m:rPr>
                <w:rPr>
                  <w:rFonts w:ascii="Cambria Math" w:hAnsi="Cambria Math"/>
                  <w:sz w:val="20"/>
                  <w:szCs w:val="20"/>
                </w:rPr>
                <m:t>Wt% loss due to dehydroxlaytion and reduction</m:t>
              </m:r>
            </m:num>
            <m:den>
              <m:r>
                <m:rPr>
                  <m:sty m:val="p"/>
                </m:rPr>
                <w:rPr>
                  <w:rFonts w:ascii="Cambria Math" w:hAnsi="Cambria Math"/>
                  <w:sz w:val="20"/>
                  <w:szCs w:val="20"/>
                </w:rPr>
                <m:t xml:space="preserve">(6 × </m:t>
              </m:r>
              <m:d>
                <m:dPr>
                  <m:ctrlPr>
                    <w:rPr>
                      <w:rFonts w:ascii="Cambria Math" w:hAnsi="Cambria Math"/>
                    </w:rPr>
                  </m:ctrlPr>
                </m:dPr>
                <m:e>
                  <m:r>
                    <m:rPr>
                      <m:sty m:val="p"/>
                    </m:rPr>
                    <w:rPr>
                      <w:rFonts w:ascii="Cambria Math" w:hAnsi="Cambria Math"/>
                      <w:sz w:val="20"/>
                      <w:szCs w:val="20"/>
                    </w:rPr>
                    <m:t xml:space="preserve">Wt % of </m:t>
                  </m:r>
                  <m:sSup>
                    <m:sSupPr>
                      <m:ctrlPr>
                        <w:rPr>
                          <w:rFonts w:ascii="Cambria Math" w:hAnsi="Cambria Math"/>
                        </w:rPr>
                      </m:ctrlPr>
                    </m:sSupPr>
                    <m:e>
                      <m:r>
                        <m:rPr>
                          <m:sty m:val="p"/>
                        </m:rPr>
                        <w:rPr>
                          <w:rFonts w:ascii="Cambria Math" w:hAnsi="Cambria Math"/>
                          <w:sz w:val="20"/>
                          <w:szCs w:val="20"/>
                        </w:rPr>
                        <m:t>H</m:t>
                      </m:r>
                    </m:e>
                    <m:sup>
                      <m:r>
                        <m:rPr>
                          <m:sty m:val="p"/>
                        </m:rPr>
                        <w:rPr>
                          <w:rFonts w:ascii="Cambria Math" w:hAnsi="Cambria Math"/>
                          <w:sz w:val="20"/>
                          <w:szCs w:val="20"/>
                        </w:rPr>
                        <m:t>+</m:t>
                      </m:r>
                    </m:sup>
                  </m:sSup>
                  <m:r>
                    <m:rPr>
                      <m:sty m:val="p"/>
                    </m:rPr>
                    <w:rPr>
                      <w:rFonts w:ascii="Cambria Math" w:hAnsi="Cambria Math"/>
                      <w:sz w:val="20"/>
                      <w:szCs w:val="20"/>
                    </w:rPr>
                    <m:t xml:space="preserve"> in phase</m:t>
                  </m:r>
                </m:e>
              </m:d>
              <m:r>
                <m:rPr>
                  <m:sty m:val="p"/>
                </m:rPr>
                <w:rPr>
                  <w:rFonts w:ascii="Cambria Math" w:hAnsi="Cambria Math"/>
                  <w:sz w:val="20"/>
                  <w:szCs w:val="20"/>
                </w:rPr>
                <m:t xml:space="preserve">+3 ×(Wt % of </m:t>
              </m:r>
              <m:sSup>
                <m:sSupPr>
                  <m:ctrlPr>
                    <w:rPr>
                      <w:rFonts w:ascii="Cambria Math" w:hAnsi="Cambria Math"/>
                    </w:rPr>
                  </m:ctrlPr>
                </m:sSupPr>
                <m:e>
                  <m:r>
                    <m:rPr>
                      <m:sty m:val="p"/>
                    </m:rPr>
                    <w:rPr>
                      <w:rFonts w:ascii="Cambria Math" w:hAnsi="Cambria Math"/>
                      <w:sz w:val="20"/>
                      <w:szCs w:val="20"/>
                    </w:rPr>
                    <m:t>O</m:t>
                  </m:r>
                </m:e>
                <m:sup>
                  <m:r>
                    <m:rPr>
                      <m:sty m:val="p"/>
                    </m:rPr>
                    <w:rPr>
                      <w:rFonts w:ascii="Cambria Math" w:hAnsi="Cambria Math"/>
                      <w:sz w:val="20"/>
                      <w:szCs w:val="20"/>
                    </w:rPr>
                    <m:t>2-</m:t>
                  </m:r>
                </m:sup>
              </m:sSup>
              <m:r>
                <m:rPr>
                  <m:sty m:val="p"/>
                </m:rPr>
                <w:rPr>
                  <w:rFonts w:ascii="Cambria Math" w:hAnsi="Cambria Math"/>
                  <w:sz w:val="20"/>
                  <w:szCs w:val="20"/>
                </w:rPr>
                <m:t xml:space="preserve"> in phase))</m:t>
              </m:r>
            </m:den>
          </m:f>
          <m:r>
            <m:rPr>
              <m:sty m:val="p"/>
            </m:rPr>
            <w:rPr>
              <w:rFonts w:ascii="Cambria Math" w:hAnsi="Cambria Math"/>
              <w:sz w:val="20"/>
              <w:szCs w:val="20"/>
            </w:rPr>
            <m:t>×100</m:t>
          </m:r>
          <m:r>
            <m:rPr>
              <m:sty m:val="b"/>
            </m:rPr>
            <w:rPr>
              <w:rFonts w:ascii="Cambria Math" w:hAnsi="Cambria Math"/>
              <w:sz w:val="20"/>
              <w:szCs w:val="20"/>
            </w:rPr>
            <m:t xml:space="preserve">          </m:t>
          </m:r>
          <m:r>
            <m:rPr>
              <m:sty m:val="p"/>
            </m:rPr>
            <w:rPr>
              <w:rFonts w:ascii="Cambria Math" w:hAnsi="Cambria Math"/>
              <w:sz w:val="20"/>
              <w:szCs w:val="20"/>
            </w:rPr>
            <m:t>(4.2)</m:t>
          </m:r>
        </m:oMath>
      </m:oMathPara>
    </w:p>
    <w:p w14:paraId="62921535" w14:textId="73BC1B88" w:rsidR="00242730" w:rsidRDefault="00FE0B99" w:rsidP="00C05F7B">
      <w:pPr>
        <w:spacing w:before="240" w:after="120" w:line="480" w:lineRule="exact"/>
        <w:jc w:val="both"/>
        <w:rPr>
          <w:rFonts w:ascii="Times" w:hAnsi="Times" w:cs="Times New Roman"/>
        </w:rPr>
      </w:pPr>
      <w:r>
        <w:rPr>
          <w:rFonts w:ascii="Times" w:hAnsi="Times"/>
          <w:iCs/>
        </w:rPr>
        <w:t>During the dehydroxylation</w:t>
      </w:r>
      <w:r w:rsidR="00C408BB">
        <w:rPr>
          <w:rFonts w:ascii="Times" w:hAnsi="Times"/>
          <w:iCs/>
        </w:rPr>
        <w:t xml:space="preserve"> and reduction</w:t>
      </w:r>
      <w:r w:rsidR="000405FA">
        <w:rPr>
          <w:rFonts w:ascii="Times" w:hAnsi="Times"/>
          <w:iCs/>
        </w:rPr>
        <w:t xml:space="preserve"> of </w:t>
      </w:r>
      <w:proofErr w:type="gramStart"/>
      <w:r w:rsidR="000405FA">
        <w:rPr>
          <w:rFonts w:ascii="Times" w:hAnsi="Times" w:cs="Times"/>
          <w:iCs/>
          <w:color w:val="000000"/>
        </w:rPr>
        <w:t>Ca</w:t>
      </w:r>
      <w:r w:rsidR="000405FA">
        <w:rPr>
          <w:rFonts w:ascii="Times" w:hAnsi="Times" w:cs="Times"/>
          <w:iCs/>
          <w:color w:val="000000"/>
          <w:vertAlign w:val="subscript"/>
        </w:rPr>
        <w:t>4</w:t>
      </w:r>
      <w:r w:rsidR="000405FA">
        <w:rPr>
          <w:rFonts w:ascii="Times" w:hAnsi="Times" w:cs="Times"/>
          <w:iCs/>
          <w:color w:val="000000"/>
        </w:rPr>
        <w:t>Al</w:t>
      </w:r>
      <w:r w:rsidR="000405FA">
        <w:rPr>
          <w:rFonts w:ascii="Times" w:hAnsi="Times" w:cs="Times"/>
          <w:iCs/>
          <w:color w:val="000000"/>
          <w:vertAlign w:val="subscript"/>
        </w:rPr>
        <w:t>2</w:t>
      </w:r>
      <w:r w:rsidR="000405FA">
        <w:rPr>
          <w:rFonts w:ascii="Times" w:hAnsi="Times" w:cs="Times"/>
          <w:iCs/>
          <w:color w:val="000000"/>
        </w:rPr>
        <w:t>(</w:t>
      </w:r>
      <w:proofErr w:type="gramEnd"/>
      <w:r w:rsidR="000405FA">
        <w:rPr>
          <w:rFonts w:ascii="Times" w:hAnsi="Times" w:cs="Times"/>
          <w:iCs/>
          <w:color w:val="000000"/>
        </w:rPr>
        <w:t>OH)</w:t>
      </w:r>
      <w:r w:rsidR="000405FA">
        <w:rPr>
          <w:rFonts w:ascii="Times" w:hAnsi="Times" w:cs="Times"/>
          <w:iCs/>
          <w:color w:val="000000"/>
          <w:vertAlign w:val="subscript"/>
        </w:rPr>
        <w:t>12</w:t>
      </w:r>
      <w:r w:rsidR="000405FA">
        <w:rPr>
          <w:rFonts w:ascii="Times" w:hAnsi="Times" w:cs="Times"/>
          <w:iCs/>
          <w:color w:val="000000"/>
        </w:rPr>
        <w:t>(NO</w:t>
      </w:r>
      <w:r w:rsidR="000405FA">
        <w:rPr>
          <w:rFonts w:ascii="Times" w:hAnsi="Times" w:cs="Times"/>
          <w:iCs/>
          <w:color w:val="000000"/>
          <w:vertAlign w:val="subscript"/>
        </w:rPr>
        <w:t>3</w:t>
      </w:r>
      <w:r w:rsidR="000405FA">
        <w:rPr>
          <w:rFonts w:ascii="Times" w:hAnsi="Times" w:cs="Times"/>
          <w:iCs/>
          <w:color w:val="000000"/>
        </w:rPr>
        <w:t>)</w:t>
      </w:r>
      <w:r w:rsidR="000405FA">
        <w:rPr>
          <w:rFonts w:ascii="Times" w:hAnsi="Times" w:cs="Times"/>
          <w:iCs/>
          <w:color w:val="000000"/>
          <w:vertAlign w:val="subscript"/>
        </w:rPr>
        <w:t>2</w:t>
      </w:r>
      <w:r w:rsidR="000405FA">
        <w:rPr>
          <w:rFonts w:ascii="Times" w:hAnsi="Times"/>
          <w:iCs/>
        </w:rPr>
        <w:t xml:space="preserve">, </w:t>
      </w:r>
      <w:r w:rsidR="005E0AF7">
        <w:rPr>
          <w:rFonts w:ascii="Times" w:hAnsi="Times"/>
          <w:iCs/>
        </w:rPr>
        <w:t>three molecules of water</w:t>
      </w:r>
      <w:r w:rsidR="00D8538D">
        <w:rPr>
          <w:rFonts w:ascii="Times" w:hAnsi="Times"/>
          <w:iCs/>
          <w:vertAlign w:val="superscript"/>
        </w:rPr>
        <w:t>-</w:t>
      </w:r>
      <w:r w:rsidR="00D8538D">
        <w:rPr>
          <w:rFonts w:ascii="Times" w:hAnsi="Times"/>
          <w:iCs/>
        </w:rPr>
        <w:t xml:space="preserve"> </w:t>
      </w:r>
      <w:r w:rsidR="00C408BB">
        <w:rPr>
          <w:rFonts w:ascii="Times" w:hAnsi="Times"/>
          <w:iCs/>
        </w:rPr>
        <w:t>are released.</w:t>
      </w:r>
      <w:r>
        <w:rPr>
          <w:rFonts w:ascii="Times" w:hAnsi="Times"/>
          <w:iCs/>
        </w:rPr>
        <w:t xml:space="preserve"> </w:t>
      </w:r>
      <w:r w:rsidR="00777A0A">
        <w:rPr>
          <w:rFonts w:ascii="Times" w:hAnsi="Times"/>
          <w:iCs/>
        </w:rPr>
        <w:t xml:space="preserve">The % values in the equation are calculated using the dehydrated CAN* </w:t>
      </w:r>
      <w:proofErr w:type="gramStart"/>
      <w:r w:rsidR="00777A0A">
        <w:rPr>
          <w:rFonts w:ascii="Times" w:hAnsi="Times" w:cs="Times"/>
          <w:iCs/>
          <w:color w:val="000000"/>
        </w:rPr>
        <w:t>Ca</w:t>
      </w:r>
      <w:r w:rsidR="00777A0A">
        <w:rPr>
          <w:rFonts w:ascii="Times" w:hAnsi="Times" w:cs="Times"/>
          <w:iCs/>
          <w:color w:val="000000"/>
          <w:vertAlign w:val="subscript"/>
        </w:rPr>
        <w:t>4</w:t>
      </w:r>
      <w:r w:rsidR="00777A0A">
        <w:rPr>
          <w:rFonts w:ascii="Times" w:hAnsi="Times" w:cs="Times"/>
          <w:iCs/>
          <w:color w:val="000000"/>
        </w:rPr>
        <w:t>Al</w:t>
      </w:r>
      <w:r w:rsidR="00777A0A">
        <w:rPr>
          <w:rFonts w:ascii="Times" w:hAnsi="Times" w:cs="Times"/>
          <w:iCs/>
          <w:color w:val="000000"/>
          <w:vertAlign w:val="subscript"/>
        </w:rPr>
        <w:t>2</w:t>
      </w:r>
      <w:r w:rsidR="00777A0A">
        <w:rPr>
          <w:rFonts w:ascii="Times" w:hAnsi="Times" w:cs="Times"/>
          <w:iCs/>
          <w:color w:val="000000"/>
        </w:rPr>
        <w:t>(</w:t>
      </w:r>
      <w:proofErr w:type="gramEnd"/>
      <w:r w:rsidR="00777A0A">
        <w:rPr>
          <w:rFonts w:ascii="Times" w:hAnsi="Times" w:cs="Times"/>
          <w:iCs/>
          <w:color w:val="000000"/>
        </w:rPr>
        <w:t>OH)</w:t>
      </w:r>
      <w:r w:rsidR="00777A0A">
        <w:rPr>
          <w:rFonts w:ascii="Times" w:hAnsi="Times" w:cs="Times"/>
          <w:iCs/>
          <w:color w:val="000000"/>
          <w:vertAlign w:val="subscript"/>
        </w:rPr>
        <w:t>12</w:t>
      </w:r>
      <w:r w:rsidR="00777A0A">
        <w:rPr>
          <w:rFonts w:ascii="Times" w:hAnsi="Times" w:cs="Times"/>
          <w:iCs/>
          <w:color w:val="000000"/>
        </w:rPr>
        <w:t>(NO</w:t>
      </w:r>
      <w:r w:rsidR="00777A0A">
        <w:rPr>
          <w:rFonts w:ascii="Times" w:hAnsi="Times" w:cs="Times"/>
          <w:iCs/>
          <w:color w:val="000000"/>
          <w:vertAlign w:val="subscript"/>
        </w:rPr>
        <w:t>3</w:t>
      </w:r>
      <w:r w:rsidR="00777A0A">
        <w:rPr>
          <w:rFonts w:ascii="Times" w:hAnsi="Times" w:cs="Times"/>
          <w:iCs/>
          <w:color w:val="000000"/>
        </w:rPr>
        <w:t>)</w:t>
      </w:r>
      <w:r w:rsidR="00777A0A">
        <w:rPr>
          <w:rFonts w:ascii="Times" w:hAnsi="Times" w:cs="Times"/>
          <w:iCs/>
          <w:color w:val="000000"/>
          <w:vertAlign w:val="subscript"/>
        </w:rPr>
        <w:t>2</w:t>
      </w:r>
      <w:r w:rsidR="00777A0A">
        <w:rPr>
          <w:rFonts w:ascii="Times" w:hAnsi="Times" w:cs="Times"/>
          <w:iCs/>
          <w:color w:val="000000"/>
        </w:rPr>
        <w:t>.</w:t>
      </w:r>
      <w:r w:rsidR="00777A0A">
        <w:rPr>
          <w:rFonts w:ascii="Times" w:hAnsi="Times"/>
          <w:szCs w:val="44"/>
        </w:rPr>
        <w:t xml:space="preserve"> The wt% of H</w:t>
      </w:r>
      <w:r w:rsidR="00777A0A">
        <w:rPr>
          <w:rFonts w:ascii="Times" w:hAnsi="Times"/>
          <w:szCs w:val="44"/>
          <w:vertAlign w:val="superscript"/>
        </w:rPr>
        <w:t>+</w:t>
      </w:r>
      <w:r w:rsidR="00777A0A">
        <w:rPr>
          <w:rFonts w:ascii="Times" w:hAnsi="Times"/>
          <w:szCs w:val="44"/>
        </w:rPr>
        <w:t xml:space="preserve"> and O</w:t>
      </w:r>
      <w:r w:rsidR="00777A0A">
        <w:rPr>
          <w:rFonts w:ascii="Times" w:hAnsi="Times"/>
          <w:szCs w:val="44"/>
          <w:vertAlign w:val="superscript"/>
        </w:rPr>
        <w:t>2-</w:t>
      </w:r>
      <w:r w:rsidR="00777A0A">
        <w:rPr>
          <w:rFonts w:ascii="Times" w:hAnsi="Times"/>
          <w:szCs w:val="44"/>
        </w:rPr>
        <w:t xml:space="preserve"> in th</w:t>
      </w:r>
      <w:r w:rsidR="001A6341">
        <w:rPr>
          <w:rFonts w:ascii="Times" w:hAnsi="Times"/>
          <w:szCs w:val="44"/>
        </w:rPr>
        <w:t>e dehydrated CAN* phase were 0.</w:t>
      </w:r>
      <w:r w:rsidR="00482314">
        <w:rPr>
          <w:rFonts w:ascii="Times" w:hAnsi="Times"/>
          <w:szCs w:val="44"/>
        </w:rPr>
        <w:t>18</w:t>
      </w:r>
      <w:r w:rsidR="00F43374">
        <w:rPr>
          <w:rFonts w:ascii="Times" w:hAnsi="Times"/>
          <w:szCs w:val="44"/>
        </w:rPr>
        <w:t>% and 2.95</w:t>
      </w:r>
      <w:r w:rsidR="00777A0A">
        <w:rPr>
          <w:rFonts w:ascii="Times" w:hAnsi="Times"/>
          <w:szCs w:val="44"/>
        </w:rPr>
        <w:t>% respectively</w:t>
      </w:r>
      <w:r w:rsidR="00B50797">
        <w:rPr>
          <w:rFonts w:ascii="Times" w:hAnsi="Times"/>
          <w:szCs w:val="44"/>
        </w:rPr>
        <w:t xml:space="preserve"> which means that </w:t>
      </w:r>
      <w:proofErr w:type="gramStart"/>
      <w:r w:rsidR="00B50797">
        <w:rPr>
          <w:rFonts w:ascii="Times" w:hAnsi="Times" w:cs="Times"/>
          <w:iCs/>
          <w:color w:val="000000"/>
        </w:rPr>
        <w:t>Ca</w:t>
      </w:r>
      <w:r w:rsidR="00B50797">
        <w:rPr>
          <w:rFonts w:ascii="Times" w:hAnsi="Times" w:cs="Times"/>
          <w:iCs/>
          <w:color w:val="000000"/>
          <w:vertAlign w:val="subscript"/>
        </w:rPr>
        <w:t>4</w:t>
      </w:r>
      <w:r w:rsidR="00B50797">
        <w:rPr>
          <w:rFonts w:ascii="Times" w:hAnsi="Times" w:cs="Times"/>
          <w:iCs/>
          <w:color w:val="000000"/>
        </w:rPr>
        <w:t>Al</w:t>
      </w:r>
      <w:r w:rsidR="00B50797">
        <w:rPr>
          <w:rFonts w:ascii="Times" w:hAnsi="Times" w:cs="Times"/>
          <w:iCs/>
          <w:color w:val="000000"/>
          <w:vertAlign w:val="subscript"/>
        </w:rPr>
        <w:t>2</w:t>
      </w:r>
      <w:r w:rsidR="00B50797">
        <w:rPr>
          <w:rFonts w:ascii="Times" w:hAnsi="Times" w:cs="Times"/>
          <w:iCs/>
          <w:color w:val="000000"/>
        </w:rPr>
        <w:t>(</w:t>
      </w:r>
      <w:proofErr w:type="gramEnd"/>
      <w:r w:rsidR="00B50797">
        <w:rPr>
          <w:rFonts w:ascii="Times" w:hAnsi="Times" w:cs="Times"/>
          <w:iCs/>
          <w:color w:val="000000"/>
        </w:rPr>
        <w:t>OH)</w:t>
      </w:r>
      <w:r w:rsidR="00B50797">
        <w:rPr>
          <w:rFonts w:ascii="Times" w:hAnsi="Times" w:cs="Times"/>
          <w:iCs/>
          <w:color w:val="000000"/>
          <w:vertAlign w:val="subscript"/>
        </w:rPr>
        <w:t>12</w:t>
      </w:r>
      <w:r w:rsidR="00B50797">
        <w:rPr>
          <w:rFonts w:ascii="Times" w:hAnsi="Times" w:cs="Times"/>
          <w:iCs/>
          <w:color w:val="000000"/>
        </w:rPr>
        <w:t>(NO</w:t>
      </w:r>
      <w:r w:rsidR="00B50797">
        <w:rPr>
          <w:rFonts w:ascii="Times" w:hAnsi="Times" w:cs="Times"/>
          <w:iCs/>
          <w:color w:val="000000"/>
          <w:vertAlign w:val="subscript"/>
        </w:rPr>
        <w:t>3</w:t>
      </w:r>
      <w:r w:rsidR="00B50797">
        <w:rPr>
          <w:rFonts w:ascii="Times" w:hAnsi="Times" w:cs="Times"/>
          <w:iCs/>
          <w:color w:val="000000"/>
        </w:rPr>
        <w:t>)</w:t>
      </w:r>
      <w:r w:rsidR="00B50797">
        <w:rPr>
          <w:rFonts w:ascii="Times" w:hAnsi="Times" w:cs="Times"/>
          <w:iCs/>
          <w:color w:val="000000"/>
          <w:vertAlign w:val="subscript"/>
        </w:rPr>
        <w:t>2</w:t>
      </w:r>
      <w:r w:rsidR="00B50797">
        <w:rPr>
          <w:rFonts w:ascii="Times" w:hAnsi="Times" w:cs="Times"/>
          <w:iCs/>
          <w:color w:val="000000"/>
        </w:rPr>
        <w:t xml:space="preserve"> encountered a 9.93% weight loss during this event. The total sample weight loss in this region was estimated at 2%, when </w:t>
      </w:r>
      <w:proofErr w:type="gramStart"/>
      <w:r w:rsidR="00B50797">
        <w:rPr>
          <w:rFonts w:ascii="Times" w:hAnsi="Times" w:cs="Times"/>
          <w:iCs/>
          <w:color w:val="000000"/>
        </w:rPr>
        <w:t>Ca</w:t>
      </w:r>
      <w:r w:rsidR="00B50797">
        <w:rPr>
          <w:rFonts w:ascii="Times" w:hAnsi="Times" w:cs="Times"/>
          <w:iCs/>
          <w:color w:val="000000"/>
          <w:vertAlign w:val="subscript"/>
        </w:rPr>
        <w:t>4</w:t>
      </w:r>
      <w:r w:rsidR="00B50797">
        <w:rPr>
          <w:rFonts w:ascii="Times" w:hAnsi="Times" w:cs="Times"/>
          <w:iCs/>
          <w:color w:val="000000"/>
        </w:rPr>
        <w:t>Al</w:t>
      </w:r>
      <w:r w:rsidR="00B50797">
        <w:rPr>
          <w:rFonts w:ascii="Times" w:hAnsi="Times" w:cs="Times"/>
          <w:iCs/>
          <w:color w:val="000000"/>
          <w:vertAlign w:val="subscript"/>
        </w:rPr>
        <w:t>2</w:t>
      </w:r>
      <w:r w:rsidR="00B50797">
        <w:rPr>
          <w:rFonts w:ascii="Times" w:hAnsi="Times" w:cs="Times"/>
          <w:iCs/>
          <w:color w:val="000000"/>
        </w:rPr>
        <w:t>(</w:t>
      </w:r>
      <w:proofErr w:type="gramEnd"/>
      <w:r w:rsidR="00B50797">
        <w:rPr>
          <w:rFonts w:ascii="Times" w:hAnsi="Times" w:cs="Times"/>
          <w:iCs/>
          <w:color w:val="000000"/>
        </w:rPr>
        <w:t>OH)</w:t>
      </w:r>
      <w:r w:rsidR="00B50797">
        <w:rPr>
          <w:rFonts w:ascii="Times" w:hAnsi="Times" w:cs="Times"/>
          <w:iCs/>
          <w:color w:val="000000"/>
          <w:vertAlign w:val="subscript"/>
        </w:rPr>
        <w:t>12</w:t>
      </w:r>
      <w:r w:rsidR="00B50797">
        <w:rPr>
          <w:rFonts w:ascii="Times" w:hAnsi="Times" w:cs="Times"/>
          <w:iCs/>
          <w:color w:val="000000"/>
        </w:rPr>
        <w:t>(NO</w:t>
      </w:r>
      <w:r w:rsidR="00B50797">
        <w:rPr>
          <w:rFonts w:ascii="Times" w:hAnsi="Times" w:cs="Times"/>
          <w:iCs/>
          <w:color w:val="000000"/>
          <w:vertAlign w:val="subscript"/>
        </w:rPr>
        <w:t>3</w:t>
      </w:r>
      <w:r w:rsidR="00B50797">
        <w:rPr>
          <w:rFonts w:ascii="Times" w:hAnsi="Times" w:cs="Times"/>
          <w:iCs/>
          <w:color w:val="000000"/>
        </w:rPr>
        <w:t>)</w:t>
      </w:r>
      <w:r w:rsidR="00B50797">
        <w:rPr>
          <w:rFonts w:ascii="Times" w:hAnsi="Times" w:cs="Times"/>
          <w:iCs/>
          <w:color w:val="000000"/>
          <w:vertAlign w:val="subscript"/>
        </w:rPr>
        <w:t>2</w:t>
      </w:r>
      <w:r w:rsidR="00B50797">
        <w:rPr>
          <w:rFonts w:ascii="Times" w:hAnsi="Times" w:cs="Times"/>
          <w:iCs/>
          <w:color w:val="000000"/>
        </w:rPr>
        <w:t xml:space="preserve"> loses 9.93% the  total sample loses 2%</w:t>
      </w:r>
      <w:r w:rsidR="00777A0A">
        <w:rPr>
          <w:rFonts w:ascii="Times" w:hAnsi="Times"/>
          <w:szCs w:val="44"/>
        </w:rPr>
        <w:t>. Therefore the total wt% of the dehydrated CAN* phase (molecular mass= 542) within the sample</w:t>
      </w:r>
      <w:r w:rsidR="00B50797">
        <w:rPr>
          <w:rFonts w:ascii="Times" w:hAnsi="Times"/>
          <w:szCs w:val="44"/>
        </w:rPr>
        <w:t xml:space="preserve"> is roughly estimated at</w:t>
      </w:r>
      <w:r w:rsidR="00777A0A">
        <w:rPr>
          <w:rFonts w:ascii="Times" w:hAnsi="Times"/>
          <w:szCs w:val="44"/>
        </w:rPr>
        <w:t xml:space="preserve"> </w:t>
      </w:r>
      <w:r w:rsidR="00B50797">
        <w:rPr>
          <w:rFonts w:ascii="Times" w:hAnsi="Times"/>
          <w:szCs w:val="44"/>
        </w:rPr>
        <w:t>20</w:t>
      </w:r>
      <w:r w:rsidR="00777A0A">
        <w:rPr>
          <w:rFonts w:ascii="Times" w:hAnsi="Times"/>
          <w:szCs w:val="44"/>
        </w:rPr>
        <w:t>%. A similar equation can then be used to calculate the wt% of the original hydrated CAN (Molecular mass=614) phase in the sample. The 4H</w:t>
      </w:r>
      <w:r w:rsidR="00777A0A">
        <w:rPr>
          <w:rFonts w:ascii="Times" w:hAnsi="Times"/>
          <w:szCs w:val="44"/>
          <w:vertAlign w:val="subscript"/>
        </w:rPr>
        <w:t>2</w:t>
      </w:r>
      <w:r w:rsidR="00777A0A">
        <w:rPr>
          <w:rFonts w:ascii="Times" w:hAnsi="Times"/>
          <w:szCs w:val="44"/>
        </w:rPr>
        <w:t>O molecules los</w:t>
      </w:r>
      <w:r w:rsidR="00FE691F">
        <w:rPr>
          <w:rFonts w:ascii="Times" w:hAnsi="Times"/>
          <w:szCs w:val="44"/>
        </w:rPr>
        <w:t>t during dehydrat</w:t>
      </w:r>
      <w:r w:rsidR="00F43374">
        <w:rPr>
          <w:rFonts w:ascii="Times" w:hAnsi="Times"/>
          <w:szCs w:val="44"/>
        </w:rPr>
        <w:t xml:space="preserve">ion make up 11.7 </w:t>
      </w:r>
      <w:r w:rsidR="001A6341">
        <w:rPr>
          <w:rFonts w:ascii="Times" w:hAnsi="Times"/>
          <w:szCs w:val="44"/>
        </w:rPr>
        <w:t>wt</w:t>
      </w:r>
      <w:r w:rsidR="00777A0A">
        <w:rPr>
          <w:rFonts w:ascii="Times" w:hAnsi="Times"/>
          <w:szCs w:val="44"/>
        </w:rPr>
        <w:t xml:space="preserve">% of the CAN phase. </w:t>
      </w:r>
      <w:r w:rsidR="00971D8B">
        <w:rPr>
          <w:rFonts w:ascii="Times" w:hAnsi="Times"/>
          <w:szCs w:val="44"/>
        </w:rPr>
        <w:t>If the CAN loses 11.7 wt% when it dehydrates to form CAN* which is 8 wt% of the sample, this means CAN is 9wt %</w:t>
      </w:r>
      <w:r w:rsidR="00777A0A">
        <w:rPr>
          <w:rFonts w:ascii="Times" w:hAnsi="Times"/>
          <w:szCs w:val="44"/>
        </w:rPr>
        <w:t>.</w:t>
      </w:r>
      <w:r w:rsidR="00401A28">
        <w:rPr>
          <w:rFonts w:ascii="Times" w:hAnsi="Times"/>
          <w:szCs w:val="44"/>
        </w:rPr>
        <w:t xml:space="preserve"> </w:t>
      </w:r>
      <w:r w:rsidR="00971672">
        <w:rPr>
          <w:rFonts w:ascii="Times" w:hAnsi="Times"/>
          <w:szCs w:val="44"/>
        </w:rPr>
        <w:t>Furthermore quantifying CAN, can allow for the calculation of the CsNO</w:t>
      </w:r>
      <w:r w:rsidR="00971672">
        <w:rPr>
          <w:rFonts w:ascii="Times" w:hAnsi="Times"/>
          <w:szCs w:val="44"/>
          <w:vertAlign w:val="subscript"/>
        </w:rPr>
        <w:t xml:space="preserve">3 </w:t>
      </w:r>
      <w:r w:rsidR="00971672">
        <w:rPr>
          <w:rFonts w:ascii="Times" w:hAnsi="Times"/>
          <w:szCs w:val="44"/>
        </w:rPr>
        <w:t xml:space="preserve">in the </w:t>
      </w:r>
      <w:r w:rsidR="00971672">
        <w:rPr>
          <w:rFonts w:ascii="Times" w:hAnsi="Times"/>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971672">
        <w:rPr>
          <w:rFonts w:ascii="Times" w:hAnsi="Times"/>
          <w:szCs w:val="44"/>
        </w:rPr>
        <w:t xml:space="preserve"> sample. </w:t>
      </w:r>
      <w:r w:rsidR="00242730">
        <w:rPr>
          <w:rFonts w:ascii="Times" w:hAnsi="Times"/>
          <w:szCs w:val="44"/>
        </w:rPr>
        <w:t xml:space="preserve">Given that there is an overlap in the heating profile of CAN and </w:t>
      </w:r>
      <w:proofErr w:type="gramStart"/>
      <w:r w:rsidR="00242730">
        <w:rPr>
          <w:rFonts w:ascii="Times" w:hAnsi="Times"/>
          <w:szCs w:val="44"/>
        </w:rPr>
        <w:t>CsNO</w:t>
      </w:r>
      <w:r w:rsidR="00242730">
        <w:rPr>
          <w:rFonts w:ascii="Times" w:hAnsi="Times"/>
          <w:szCs w:val="44"/>
          <w:vertAlign w:val="subscript"/>
        </w:rPr>
        <w:t>3</w:t>
      </w:r>
      <w:r w:rsidR="00242730">
        <w:rPr>
          <w:rFonts w:ascii="Times" w:hAnsi="Times"/>
          <w:szCs w:val="44"/>
        </w:rPr>
        <w:t xml:space="preserve"> </w:t>
      </w:r>
      <w:r w:rsidR="00777A0A">
        <w:rPr>
          <w:rFonts w:ascii="Times" w:hAnsi="Times"/>
          <w:szCs w:val="44"/>
        </w:rPr>
        <w:t xml:space="preserve"> </w:t>
      </w:r>
      <w:r w:rsidR="00971672">
        <w:rPr>
          <w:rFonts w:ascii="Times" w:hAnsi="Times"/>
          <w:szCs w:val="44"/>
        </w:rPr>
        <w:t>events</w:t>
      </w:r>
      <w:proofErr w:type="gramEnd"/>
      <w:r w:rsidR="006E4C73">
        <w:rPr>
          <w:rFonts w:ascii="Times" w:hAnsi="Times"/>
          <w:szCs w:val="44"/>
        </w:rPr>
        <w:t xml:space="preserve"> between 460-660</w:t>
      </w:r>
      <w:r w:rsidR="006E4C73">
        <w:rPr>
          <w:rFonts w:ascii="Times" w:hAnsi="Times"/>
          <w:szCs w:val="44"/>
          <w:vertAlign w:val="superscript"/>
        </w:rPr>
        <w:t>o</w:t>
      </w:r>
      <w:r w:rsidR="006E4C73">
        <w:rPr>
          <w:rFonts w:ascii="Times" w:hAnsi="Times"/>
          <w:szCs w:val="44"/>
        </w:rPr>
        <w:t>C it was difficult to quantify the CsNO</w:t>
      </w:r>
      <w:r w:rsidR="006E4C73">
        <w:rPr>
          <w:rFonts w:ascii="Times" w:hAnsi="Times"/>
          <w:szCs w:val="44"/>
          <w:vertAlign w:val="subscript"/>
        </w:rPr>
        <w:t xml:space="preserve">3. </w:t>
      </w:r>
      <w:r w:rsidR="006E4C73">
        <w:rPr>
          <w:rFonts w:ascii="Times" w:hAnsi="Times"/>
          <w:szCs w:val="44"/>
        </w:rPr>
        <w:t xml:space="preserve">However the decomposition of the nitrate results in a 30 wt% loss of CAN*, given this is 8 wt% of the sample, we the can expect the decomposition behavior would result in a 2.4 wt% loss of the sample. Given the total weight loss within this region was around </w:t>
      </w:r>
      <w:proofErr w:type="gramStart"/>
      <w:r w:rsidR="006E4C73">
        <w:rPr>
          <w:rFonts w:ascii="Times" w:hAnsi="Times"/>
          <w:szCs w:val="44"/>
        </w:rPr>
        <w:t>6 wt</w:t>
      </w:r>
      <w:proofErr w:type="gramEnd"/>
      <w:r w:rsidR="006E4C73">
        <w:rPr>
          <w:rFonts w:ascii="Times" w:hAnsi="Times"/>
          <w:szCs w:val="44"/>
        </w:rPr>
        <w:t>%, this means roughly 4.6% wt% was due to the melting and decomposition of CsNO</w:t>
      </w:r>
      <w:r w:rsidR="006E4C73">
        <w:rPr>
          <w:rFonts w:ascii="Times" w:hAnsi="Times"/>
          <w:szCs w:val="44"/>
          <w:vertAlign w:val="subscript"/>
        </w:rPr>
        <w:t xml:space="preserve">3. </w:t>
      </w:r>
      <w:r w:rsidR="006E4C73">
        <w:rPr>
          <w:rFonts w:ascii="Times" w:hAnsi="Times"/>
          <w:szCs w:val="44"/>
        </w:rPr>
        <w:t>This accounts for nearly all the original amount of CsNO</w:t>
      </w:r>
      <w:r w:rsidR="006E4C73">
        <w:rPr>
          <w:rFonts w:ascii="Times" w:hAnsi="Times"/>
          <w:szCs w:val="44"/>
          <w:vertAlign w:val="subscript"/>
        </w:rPr>
        <w:t>3</w:t>
      </w:r>
      <w:r w:rsidR="006E4C73">
        <w:rPr>
          <w:rFonts w:ascii="Times" w:hAnsi="Times"/>
          <w:szCs w:val="44"/>
        </w:rPr>
        <w:t xml:space="preserve"> added within the </w:t>
      </w:r>
      <w:r w:rsidR="00777A0A">
        <w:rPr>
          <w:rFonts w:ascii="Times" w:hAnsi="Time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777A0A">
        <w:rPr>
          <w:rFonts w:ascii="Times" w:hAnsi="Times" w:cs="Times New Roman"/>
          <w:szCs w:val="44"/>
        </w:rPr>
        <w:t xml:space="preserve"> sample</w:t>
      </w:r>
      <w:r w:rsidR="00C65DD6">
        <w:rPr>
          <w:rFonts w:ascii="Times" w:hAnsi="Times" w:cs="Times New Roman"/>
        </w:rPr>
        <w:t xml:space="preserve">. </w:t>
      </w:r>
      <w:r w:rsidR="006E4C73">
        <w:rPr>
          <w:rFonts w:ascii="Times" w:hAnsi="Times" w:cs="Times New Roman"/>
        </w:rPr>
        <w:t>Therefore it can be concluded that none of the Cs was retained in any of the cement hydrate phases.</w:t>
      </w:r>
    </w:p>
    <w:p w14:paraId="1A34D775" w14:textId="6E175EA6" w:rsidR="00777A0A" w:rsidRDefault="00777A0A" w:rsidP="00C05F7B">
      <w:pPr>
        <w:spacing w:line="480" w:lineRule="exact"/>
        <w:jc w:val="both"/>
        <w:rPr>
          <w:rFonts w:ascii="Times" w:hAnsi="Times"/>
        </w:rPr>
      </w:pPr>
      <w:r>
        <w:rPr>
          <w:rFonts w:ascii="Times" w:hAnsi="Times"/>
        </w:rPr>
        <w:t xml:space="preserve">The TGA data showed that the </w:t>
      </w:r>
      <w:r w:rsidR="00F57FCA">
        <w:rPr>
          <w:rFonts w:ascii="Times" w:hAnsi="Times"/>
        </w:rPr>
        <w:t xml:space="preserve">total </w:t>
      </w:r>
      <w:r>
        <w:rPr>
          <w:rFonts w:ascii="Times" w:hAnsi="Times"/>
        </w:rPr>
        <w:t xml:space="preserve">weight loss associated with this </w:t>
      </w:r>
      <w:r w:rsidR="00401A28">
        <w:rPr>
          <w:rFonts w:ascii="Times" w:hAnsi="Times"/>
        </w:rPr>
        <w:t xml:space="preserve">CAN </w:t>
      </w:r>
      <w:r>
        <w:rPr>
          <w:rFonts w:ascii="Times" w:hAnsi="Times"/>
        </w:rPr>
        <w:t xml:space="preserve">phase </w:t>
      </w:r>
      <w:r w:rsidR="00F57FCA">
        <w:rPr>
          <w:rFonts w:ascii="Times" w:hAnsi="Times"/>
        </w:rPr>
        <w:t xml:space="preserve">over </w:t>
      </w:r>
      <w:r w:rsidR="00EF1429">
        <w:rPr>
          <w:rFonts w:ascii="Times" w:hAnsi="Times"/>
        </w:rPr>
        <w:t>its</w:t>
      </w:r>
      <w:r w:rsidR="00F57FCA">
        <w:rPr>
          <w:rFonts w:ascii="Times" w:hAnsi="Times"/>
        </w:rPr>
        <w:t xml:space="preserve"> respective temperature range was more than that lost</w:t>
      </w:r>
      <w:r>
        <w:rPr>
          <w:rFonts w:ascii="Times" w:hAnsi="Times"/>
        </w:rPr>
        <w:t xml:space="preserve"> from AFm in </w:t>
      </w:r>
      <w:r w:rsidRPr="000F6BBD">
        <w:rPr>
          <w:rFonts w:ascii="Times" w:hAnsi="Times"/>
          <w:b/>
        </w:rPr>
        <w:t>0DB</w:t>
      </w:r>
      <w:r w:rsidR="00F57FCA">
        <w:rPr>
          <w:rFonts w:ascii="Times" w:hAnsi="Times"/>
        </w:rPr>
        <w:t xml:space="preserve"> in </w:t>
      </w:r>
      <w:r w:rsidR="00EF1429">
        <w:rPr>
          <w:rFonts w:ascii="Times" w:hAnsi="Times"/>
        </w:rPr>
        <w:t>its</w:t>
      </w:r>
      <w:r w:rsidR="00F57FCA">
        <w:rPr>
          <w:rFonts w:ascii="Times" w:hAnsi="Times"/>
        </w:rPr>
        <w:t xml:space="preserve"> respective </w:t>
      </w:r>
      <w:r w:rsidR="00F57FCA">
        <w:rPr>
          <w:rFonts w:ascii="Times" w:hAnsi="Times"/>
        </w:rPr>
        <w:lastRenderedPageBreak/>
        <w:t>temperature range</w:t>
      </w:r>
      <w:r>
        <w:rPr>
          <w:rFonts w:ascii="Times" w:hAnsi="Times"/>
        </w:rPr>
        <w:t xml:space="preserve">. Suggesting more of this phase formed in </w:t>
      </w:r>
      <w:r w:rsidR="000F6BBD">
        <w:rPr>
          <w:rFonts w:ascii="Times" w:hAnsi="Times" w:cs="Times New Roman"/>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rPr>
        <w:t xml:space="preserve"> than AFm in </w:t>
      </w:r>
      <w:r w:rsidRPr="000F6BBD">
        <w:rPr>
          <w:rFonts w:ascii="Times" w:hAnsi="Times"/>
          <w:b/>
        </w:rPr>
        <w:t>0DB</w:t>
      </w:r>
      <w:r>
        <w:rPr>
          <w:rFonts w:ascii="Times" w:hAnsi="Times"/>
        </w:rPr>
        <w:t xml:space="preserve">. This was supported by the Al NMR results showing much more intense peaks </w:t>
      </w:r>
      <w:r w:rsidR="00874249">
        <w:rPr>
          <w:rFonts w:ascii="Times" w:hAnsi="Times"/>
        </w:rPr>
        <w:t xml:space="preserve">in the </w:t>
      </w:r>
      <w:r w:rsidR="00874249">
        <w:rPr>
          <w:rFonts w:ascii="Times" w:hAnsi="Times" w:cs="Times New Roman"/>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874249">
        <w:rPr>
          <w:rFonts w:ascii="Times" w:hAnsi="Times"/>
        </w:rPr>
        <w:t xml:space="preserve">  </w:t>
      </w:r>
      <w:r>
        <w:rPr>
          <w:rFonts w:ascii="Times" w:hAnsi="Times"/>
        </w:rPr>
        <w:t>for</w:t>
      </w:r>
      <w:proofErr w:type="gramEnd"/>
      <w:r>
        <w:rPr>
          <w:rFonts w:ascii="Times" w:hAnsi="Times"/>
        </w:rPr>
        <w:t xml:space="preserve"> the octahedrally Al found in these phases. Furthermore there is a significant increase in percentage weight loss in the range 60-100</w:t>
      </w:r>
      <w:r>
        <w:rPr>
          <w:rFonts w:ascii="Times" w:hAnsi="Times"/>
          <w:vertAlign w:val="superscript"/>
        </w:rPr>
        <w:t>o</w:t>
      </w:r>
      <w:r>
        <w:rPr>
          <w:rFonts w:ascii="Times" w:hAnsi="Times"/>
        </w:rPr>
        <w:t xml:space="preserve">C in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s</m:t>
            </m:r>
          </m:e>
        </m:acc>
      </m:oMath>
      <w:r>
        <w:rPr>
          <w:rFonts w:ascii="Times" w:hAnsi="Times"/>
        </w:rPr>
        <w:t xml:space="preserve"> when compared to </w:t>
      </w:r>
      <w:r>
        <w:rPr>
          <w:rFonts w:ascii="Times" w:hAnsi="Times"/>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rPr>
        <w:t xml:space="preserve">, suggesting an increase of the CAN phase in 0DS. </w:t>
      </w:r>
    </w:p>
    <w:p w14:paraId="783A5A59" w14:textId="4E7E6017" w:rsidR="00777A0A" w:rsidRDefault="00777A0A" w:rsidP="00C05F7B">
      <w:pPr>
        <w:spacing w:line="480" w:lineRule="exact"/>
        <w:jc w:val="both"/>
        <w:rPr>
          <w:rFonts w:ascii="Times" w:hAnsi="Times" w:cs="Times New Roman"/>
        </w:rPr>
      </w:pPr>
      <w:r>
        <w:rPr>
          <w:rFonts w:ascii="Times" w:hAnsi="Times"/>
        </w:rPr>
        <w:t>The introduction of Sr into the cement system also gave rise to what looks to be the hydrogarnet phase.</w:t>
      </w:r>
      <w:r w:rsidR="00A26A68">
        <w:rPr>
          <w:rFonts w:ascii="Times" w:hAnsi="Times" w:cs="Times New Roman"/>
        </w:rPr>
        <w:t xml:space="preserve">  Atkins &amp; Glasser [40</w:t>
      </w:r>
      <w:r>
        <w:rPr>
          <w:rFonts w:ascii="Times" w:hAnsi="Times" w:cs="Times New Roman"/>
        </w:rPr>
        <w:t>] found that Sr</w:t>
      </w:r>
      <w:r>
        <w:rPr>
          <w:rFonts w:ascii="Times" w:hAnsi="Times" w:cs="Times New Roman"/>
          <w:vertAlign w:val="superscript"/>
        </w:rPr>
        <w:t>2+</w:t>
      </w:r>
      <w:r>
        <w:rPr>
          <w:rFonts w:ascii="Times" w:hAnsi="Times" w:cs="Times New Roman"/>
        </w:rPr>
        <w:t xml:space="preserve"> could also be retained in the hydrogarnet phase by substituting for Ca</w:t>
      </w:r>
      <w:r>
        <w:rPr>
          <w:rFonts w:ascii="Times" w:hAnsi="Times" w:cs="Times New Roman"/>
          <w:vertAlign w:val="superscript"/>
        </w:rPr>
        <w:t>2+</w:t>
      </w:r>
      <w:proofErr w:type="gramStart"/>
      <w:r>
        <w:rPr>
          <w:rFonts w:ascii="Times" w:hAnsi="Times" w:cs="Times New Roman"/>
        </w:rPr>
        <w:t>,</w:t>
      </w:r>
      <w:proofErr w:type="gramEnd"/>
      <w:r w:rsidR="004B7DA6">
        <w:rPr>
          <w:rFonts w:ascii="Times" w:hAnsi="Times" w:cs="Times New Roman"/>
        </w:rPr>
        <w:t xml:space="preserve"> this is supported by Carlson</w:t>
      </w:r>
      <w:r w:rsidR="00031DCA">
        <w:rPr>
          <w:rFonts w:ascii="Times" w:hAnsi="Times" w:cs="Times New Roman"/>
        </w:rPr>
        <w:t xml:space="preserve"> [41</w:t>
      </w:r>
      <w:r>
        <w:rPr>
          <w:rFonts w:ascii="Times" w:hAnsi="Times" w:cs="Times New Roman"/>
        </w:rPr>
        <w:t xml:space="preserve">] who found that this substitution occurred in various hydrogarnet type phases. Furthermore </w:t>
      </w:r>
      <w:r w:rsidR="00031DCA">
        <w:rPr>
          <w:rFonts w:ascii="Times" w:hAnsi="Times" w:cs="Times New Roman"/>
        </w:rPr>
        <w:t xml:space="preserve">Carlson </w:t>
      </w:r>
      <w:r>
        <w:rPr>
          <w:rFonts w:ascii="Times" w:hAnsi="Times" w:cs="Times New Roman"/>
        </w:rPr>
        <w:t>also concluded that the decomposition of these strontium containing calcium aluminate hydrates would occur in the temperature range of 350-450</w:t>
      </w:r>
      <w:r>
        <w:rPr>
          <w:rFonts w:ascii="Times" w:hAnsi="Times" w:cs="Times New Roman"/>
          <w:vertAlign w:val="superscript"/>
        </w:rPr>
        <w:t>o</w:t>
      </w:r>
      <w:r>
        <w:rPr>
          <w:rFonts w:ascii="Times" w:hAnsi="Times" w:cs="Times New Roman"/>
        </w:rPr>
        <w:t xml:space="preserve">C depending on the phase. However </w:t>
      </w:r>
      <w:r w:rsidR="00C05F7B">
        <w:rPr>
          <w:rFonts w:ascii="Times" w:hAnsi="Times" w:cs="Times New Roman"/>
        </w:rPr>
        <w:t xml:space="preserve">this would not be expected as </w:t>
      </w:r>
      <w:r>
        <w:rPr>
          <w:rFonts w:ascii="Times" w:hAnsi="Times" w:cs="Times New Roman"/>
        </w:rPr>
        <w:t>the CAN crystal structure is made up of (NO</w:t>
      </w:r>
      <w:r>
        <w:rPr>
          <w:rFonts w:ascii="Times" w:hAnsi="Times" w:cs="Times New Roman"/>
          <w:vertAlign w:val="subscript"/>
        </w:rPr>
        <w:t>3</w:t>
      </w:r>
      <w:r>
        <w:rPr>
          <w:rFonts w:ascii="Times" w:hAnsi="Times" w:cs="Times New Roman"/>
          <w:vertAlign w:val="superscript"/>
        </w:rPr>
        <w:t>-</w:t>
      </w:r>
      <w:proofErr w:type="gramStart"/>
      <w:r>
        <w:rPr>
          <w:rFonts w:ascii="Times" w:hAnsi="Times" w:cs="Times New Roman"/>
        </w:rPr>
        <w:t>)</w:t>
      </w:r>
      <w:r>
        <w:rPr>
          <w:rFonts w:ascii="Times" w:hAnsi="Times" w:cs="Times New Roman"/>
          <w:vertAlign w:val="subscript"/>
        </w:rPr>
        <w:t>2</w:t>
      </w:r>
      <w:proofErr w:type="gramEnd"/>
      <w:r>
        <w:rPr>
          <w:rFonts w:ascii="Times" w:hAnsi="Times" w:cs="Times New Roman"/>
        </w:rPr>
        <w:t xml:space="preserve"> ions in place of the SO</w:t>
      </w:r>
      <w:r>
        <w:rPr>
          <w:rFonts w:ascii="Times" w:hAnsi="Times" w:cs="Times New Roman"/>
          <w:vertAlign w:val="subscript"/>
        </w:rPr>
        <w:t>4</w:t>
      </w:r>
      <w:r>
        <w:rPr>
          <w:rFonts w:ascii="Times" w:hAnsi="Times" w:cs="Times New Roman"/>
          <w:vertAlign w:val="superscript"/>
        </w:rPr>
        <w:t>2-</w:t>
      </w:r>
      <w:r>
        <w:rPr>
          <w:rFonts w:ascii="Times" w:hAnsi="Times" w:cs="Times New Roman"/>
        </w:rPr>
        <w:t>, thus increasing the SO</w:t>
      </w:r>
      <w:r>
        <w:rPr>
          <w:rFonts w:ascii="Times" w:hAnsi="Times" w:cs="Times New Roman"/>
          <w:vertAlign w:val="subscript"/>
        </w:rPr>
        <w:t>4</w:t>
      </w:r>
      <w:r>
        <w:rPr>
          <w:rFonts w:ascii="Times" w:hAnsi="Times" w:cs="Times New Roman"/>
          <w:vertAlign w:val="superscript"/>
        </w:rPr>
        <w:t>2-</w:t>
      </w:r>
      <w:r>
        <w:rPr>
          <w:rFonts w:ascii="Times" w:hAnsi="Times" w:cs="Times New Roman"/>
        </w:rPr>
        <w:t xml:space="preserve"> content in</w:t>
      </w:r>
      <w:r w:rsidR="00031DCA">
        <w:rPr>
          <w:rFonts w:ascii="Times" w:hAnsi="Times" w:cs="Times New Roman"/>
        </w:rPr>
        <w:t xml:space="preserve"> solution and Kalousek et al. [41</w:t>
      </w:r>
      <w:r>
        <w:rPr>
          <w:rFonts w:ascii="Times" w:hAnsi="Times" w:cs="Times New Roman"/>
        </w:rPr>
        <w:t>] found that with the addition of SO</w:t>
      </w:r>
      <w:r>
        <w:rPr>
          <w:rFonts w:ascii="Times" w:hAnsi="Times" w:cs="Times New Roman"/>
          <w:vertAlign w:val="subscript"/>
        </w:rPr>
        <w:t>4</w:t>
      </w:r>
      <w:r>
        <w:rPr>
          <w:rFonts w:ascii="Times" w:hAnsi="Times" w:cs="Times New Roman"/>
          <w:vertAlign w:val="superscript"/>
        </w:rPr>
        <w:t>2-</w:t>
      </w:r>
      <w:r>
        <w:rPr>
          <w:rFonts w:ascii="Times" w:hAnsi="Times" w:cs="Times New Roman"/>
        </w:rPr>
        <w:t xml:space="preserve"> </w:t>
      </w:r>
      <w:r w:rsidR="00971672">
        <w:rPr>
          <w:rFonts w:ascii="Times" w:hAnsi="Times" w:cs="Times New Roman"/>
        </w:rPr>
        <w:t>into</w:t>
      </w:r>
      <w:r w:rsidR="004F5A65">
        <w:rPr>
          <w:rFonts w:ascii="Times" w:hAnsi="Times" w:cs="Times New Roman"/>
        </w:rPr>
        <w:t xml:space="preserve"> the system </w:t>
      </w:r>
      <w:r>
        <w:rPr>
          <w:rFonts w:ascii="Times" w:hAnsi="Times" w:cs="Times New Roman"/>
        </w:rPr>
        <w:t>the formation of the hydrogarnet phase was suppressed. This was supported by t</w:t>
      </w:r>
      <w:r w:rsidR="00C05F7B">
        <w:rPr>
          <w:rFonts w:ascii="Times" w:hAnsi="Times" w:cs="Times New Roman"/>
        </w:rPr>
        <w:t>he backscattered electron image, which</w:t>
      </w:r>
      <w:r>
        <w:rPr>
          <w:rFonts w:ascii="Times" w:hAnsi="Times" w:cs="Times New Roman"/>
        </w:rPr>
        <w:t xml:space="preserve"> shows association between Sr and Al without S, indicating the </w:t>
      </w:r>
      <w:r w:rsidR="003C0DF1">
        <w:rPr>
          <w:rFonts w:ascii="Times" w:hAnsi="Times" w:cs="Times New Roman"/>
        </w:rPr>
        <w:t xml:space="preserve">possible </w:t>
      </w:r>
      <w:r>
        <w:rPr>
          <w:rFonts w:ascii="Times" w:hAnsi="Times" w:cs="Times New Roman"/>
        </w:rPr>
        <w:t>presen</w:t>
      </w:r>
      <w:r w:rsidR="003C0DF1">
        <w:rPr>
          <w:rFonts w:ascii="Times" w:hAnsi="Times" w:cs="Times New Roman"/>
        </w:rPr>
        <w:t>ce</w:t>
      </w:r>
      <w:r>
        <w:rPr>
          <w:rFonts w:ascii="Times" w:hAnsi="Times" w:cs="Times New Roman"/>
        </w:rPr>
        <w:t xml:space="preserve"> of Sr into a hydrogarnet phase. </w:t>
      </w:r>
    </w:p>
    <w:p w14:paraId="05CA70BF" w14:textId="77777777" w:rsidR="00C05F7B" w:rsidRDefault="00C05F7B" w:rsidP="00C05F7B">
      <w:pPr>
        <w:spacing w:line="480" w:lineRule="exact"/>
        <w:jc w:val="both"/>
        <w:rPr>
          <w:rFonts w:ascii="Times" w:hAnsi="Times" w:cs="Times New Roman"/>
        </w:rPr>
      </w:pPr>
    </w:p>
    <w:p w14:paraId="1241F2C7" w14:textId="77777777" w:rsidR="00D601C6" w:rsidRDefault="00D601C6" w:rsidP="001F7280">
      <w:pPr>
        <w:spacing w:before="240" w:after="120"/>
        <w:jc w:val="both"/>
        <w:rPr>
          <w:rFonts w:ascii="Times New Roman" w:hAnsi="Times New Roman" w:cs="Times New Roman"/>
          <w:sz w:val="22"/>
          <w:szCs w:val="22"/>
        </w:rPr>
      </w:pPr>
    </w:p>
    <w:p w14:paraId="1C09956D" w14:textId="77777777" w:rsidR="00271DB2" w:rsidRDefault="00271DB2" w:rsidP="001F7280">
      <w:pPr>
        <w:spacing w:before="240" w:after="120"/>
        <w:jc w:val="both"/>
        <w:rPr>
          <w:rFonts w:ascii="Times New Roman" w:hAnsi="Times New Roman" w:cs="Times New Roman"/>
          <w:sz w:val="22"/>
          <w:szCs w:val="22"/>
        </w:rPr>
      </w:pPr>
    </w:p>
    <w:p w14:paraId="36B63C36" w14:textId="77777777" w:rsidR="00271DB2" w:rsidRDefault="00271DB2" w:rsidP="001F7280">
      <w:pPr>
        <w:spacing w:before="240" w:after="120"/>
        <w:jc w:val="both"/>
        <w:rPr>
          <w:rFonts w:ascii="Times New Roman" w:hAnsi="Times New Roman" w:cs="Times New Roman"/>
          <w:sz w:val="22"/>
          <w:szCs w:val="22"/>
        </w:rPr>
      </w:pPr>
    </w:p>
    <w:p w14:paraId="0830A449" w14:textId="77777777" w:rsidR="00271DB2" w:rsidRDefault="00271DB2" w:rsidP="001F7280">
      <w:pPr>
        <w:spacing w:before="240" w:after="120"/>
        <w:jc w:val="both"/>
        <w:rPr>
          <w:rFonts w:ascii="Times New Roman" w:hAnsi="Times New Roman" w:cs="Times New Roman"/>
          <w:sz w:val="22"/>
          <w:szCs w:val="22"/>
        </w:rPr>
      </w:pPr>
    </w:p>
    <w:p w14:paraId="4D1B2EA1" w14:textId="77777777" w:rsidR="00271DB2" w:rsidRDefault="00271DB2" w:rsidP="001F7280">
      <w:pPr>
        <w:spacing w:before="240" w:after="120"/>
        <w:jc w:val="both"/>
        <w:rPr>
          <w:rFonts w:ascii="Times New Roman" w:hAnsi="Times New Roman" w:cs="Times New Roman"/>
          <w:sz w:val="22"/>
          <w:szCs w:val="22"/>
        </w:rPr>
      </w:pPr>
    </w:p>
    <w:p w14:paraId="070B7C83" w14:textId="77777777" w:rsidR="00D601C6" w:rsidRDefault="00D601C6" w:rsidP="001F7280">
      <w:pPr>
        <w:spacing w:before="240" w:after="120"/>
        <w:jc w:val="both"/>
        <w:rPr>
          <w:rFonts w:ascii="Times New Roman" w:hAnsi="Times New Roman" w:cs="Times New Roman"/>
          <w:sz w:val="22"/>
          <w:szCs w:val="22"/>
        </w:rPr>
      </w:pPr>
    </w:p>
    <w:p w14:paraId="5EB45440" w14:textId="77777777" w:rsidR="00D601C6" w:rsidRDefault="00D601C6" w:rsidP="001F7280">
      <w:pPr>
        <w:spacing w:before="240" w:after="120"/>
        <w:jc w:val="both"/>
        <w:rPr>
          <w:rFonts w:ascii="Times New Roman" w:hAnsi="Times New Roman" w:cs="Times New Roman"/>
          <w:sz w:val="22"/>
          <w:szCs w:val="22"/>
        </w:rPr>
      </w:pPr>
    </w:p>
    <w:p w14:paraId="471110F6" w14:textId="77777777" w:rsidR="00D601C6" w:rsidRDefault="00D601C6" w:rsidP="001F7280">
      <w:pPr>
        <w:spacing w:before="240" w:after="120"/>
        <w:jc w:val="both"/>
        <w:rPr>
          <w:rFonts w:ascii="Times New Roman" w:hAnsi="Times New Roman" w:cs="Times New Roman"/>
          <w:sz w:val="22"/>
          <w:szCs w:val="22"/>
        </w:rPr>
      </w:pPr>
    </w:p>
    <w:p w14:paraId="74C494EA" w14:textId="77777777" w:rsidR="00D601C6" w:rsidRDefault="00D601C6" w:rsidP="001F7280">
      <w:pPr>
        <w:spacing w:before="240" w:after="120"/>
        <w:jc w:val="both"/>
        <w:rPr>
          <w:rFonts w:ascii="Times New Roman" w:hAnsi="Times New Roman" w:cs="Times New Roman"/>
          <w:sz w:val="22"/>
          <w:szCs w:val="22"/>
        </w:rPr>
      </w:pPr>
    </w:p>
    <w:p w14:paraId="59D5888D" w14:textId="77777777" w:rsidR="00D601C6" w:rsidRDefault="00D601C6" w:rsidP="001F7280">
      <w:pPr>
        <w:spacing w:before="240" w:after="120"/>
        <w:jc w:val="both"/>
        <w:rPr>
          <w:rFonts w:ascii="Times New Roman" w:hAnsi="Times New Roman" w:cs="Times New Roman"/>
          <w:sz w:val="22"/>
          <w:szCs w:val="22"/>
        </w:rPr>
      </w:pPr>
    </w:p>
    <w:p w14:paraId="3F752CA8" w14:textId="77777777" w:rsidR="00CB5237" w:rsidRDefault="00CB5237" w:rsidP="001F7280">
      <w:pPr>
        <w:spacing w:before="240" w:after="120"/>
        <w:jc w:val="both"/>
        <w:rPr>
          <w:rFonts w:ascii="Times New Roman" w:hAnsi="Times New Roman" w:cs="Times New Roman"/>
          <w:sz w:val="22"/>
          <w:szCs w:val="22"/>
        </w:rPr>
      </w:pPr>
    </w:p>
    <w:p w14:paraId="6C1589B8" w14:textId="77777777" w:rsidR="00E272DB" w:rsidRDefault="00E272DB" w:rsidP="00A2570F">
      <w:pPr>
        <w:rPr>
          <w:rFonts w:ascii="Times" w:hAnsi="Times" w:cs="Times New Roman"/>
          <w:smallCaps/>
          <w:spacing w:val="-20"/>
          <w:sz w:val="48"/>
          <w:szCs w:val="40"/>
        </w:rPr>
      </w:pPr>
    </w:p>
    <w:p w14:paraId="35370E76" w14:textId="77777777" w:rsidR="005708A0" w:rsidRPr="00C06D3B" w:rsidRDefault="005708A0" w:rsidP="00C06D3B">
      <w:pPr>
        <w:pBdr>
          <w:bottom w:val="single" w:sz="4" w:space="0" w:color="auto"/>
        </w:pBdr>
        <w:rPr>
          <w:rFonts w:ascii="Times New Roman" w:hAnsi="Times New Roman" w:cs="Times New Roman"/>
          <w:bCs/>
          <w:smallCaps/>
          <w:color w:val="0D0D0D" w:themeColor="text1" w:themeTint="F2"/>
          <w:sz w:val="32"/>
          <w:szCs w:val="28"/>
        </w:rPr>
      </w:pPr>
      <w:proofErr w:type="gramStart"/>
      <w:r w:rsidRPr="00C06D3B">
        <w:rPr>
          <w:rFonts w:ascii="Times" w:hAnsi="Times" w:cs="Times New Roman"/>
          <w:smallCaps/>
          <w:color w:val="0D0D0D" w:themeColor="text1" w:themeTint="F2"/>
          <w:spacing w:val="-20"/>
          <w:sz w:val="48"/>
          <w:szCs w:val="40"/>
        </w:rPr>
        <w:t>Section  4.2</w:t>
      </w:r>
      <w:proofErr w:type="gramEnd"/>
      <w:r w:rsidRPr="00C06D3B">
        <w:rPr>
          <w:rFonts w:ascii="Times" w:hAnsi="Times" w:cs="Times New Roman"/>
          <w:smallCaps/>
          <w:color w:val="0D0D0D" w:themeColor="text1" w:themeTint="F2"/>
          <w:spacing w:val="-20"/>
          <w:sz w:val="48"/>
          <w:szCs w:val="40"/>
        </w:rPr>
        <w:t>:</w:t>
      </w:r>
      <w:r w:rsidRPr="00C06D3B">
        <w:rPr>
          <w:rFonts w:ascii="Times New Roman" w:hAnsi="Times New Roman" w:cs="Times New Roman"/>
          <w:bCs/>
          <w:smallCaps/>
          <w:color w:val="0D0D0D" w:themeColor="text1" w:themeTint="F2"/>
          <w:sz w:val="48"/>
          <w:szCs w:val="40"/>
        </w:rPr>
        <w:t xml:space="preserve"> </w:t>
      </w:r>
      <w:r w:rsidRPr="00C06D3B">
        <w:rPr>
          <w:rFonts w:ascii="Times New Roman" w:hAnsi="Times New Roman" w:cs="Times New Roman"/>
          <w:bCs/>
          <w:smallCaps/>
          <w:color w:val="0D0D0D" w:themeColor="text1" w:themeTint="F2"/>
          <w:sz w:val="32"/>
          <w:szCs w:val="28"/>
        </w:rPr>
        <w:t>Leaching of Cementitious Waste forms containing Caesium Nitrate and Strontium Nitrate</w:t>
      </w:r>
    </w:p>
    <w:p w14:paraId="1C32A0F5" w14:textId="720F4D3D" w:rsidR="005708A0" w:rsidRPr="009730AA" w:rsidRDefault="005708A0" w:rsidP="005708A0">
      <w:pPr>
        <w:spacing w:line="480" w:lineRule="exact"/>
        <w:jc w:val="both"/>
        <w:rPr>
          <w:rFonts w:ascii="Times" w:hAnsi="Times"/>
        </w:rPr>
      </w:pPr>
      <w:r>
        <w:rPr>
          <w:rFonts w:ascii="Times" w:hAnsi="Times"/>
        </w:rPr>
        <w:t>This section presents and discusses the results of the leaching experiments. The first part compares the electrical leaching method (E series, 5E using a current of 5</w:t>
      </w:r>
      <w:r w:rsidR="00BF19F4">
        <w:t>A/m</w:t>
      </w:r>
      <w:r w:rsidR="00BF19F4">
        <w:rPr>
          <w:vertAlign w:val="superscript"/>
        </w:rPr>
        <w:t>2</w:t>
      </w:r>
      <w:r w:rsidR="00BF19F4">
        <w:rPr>
          <w:rFonts w:ascii="Times" w:hAnsi="Times"/>
          <w:sz w:val="20"/>
          <w:szCs w:val="20"/>
          <w:lang w:val="en-GB"/>
        </w:rPr>
        <w:t xml:space="preserve"> </w:t>
      </w:r>
      <w:r>
        <w:rPr>
          <w:rFonts w:ascii="Times" w:hAnsi="Times"/>
        </w:rPr>
        <w:t>and 25E a current of 25</w:t>
      </w:r>
      <w:r w:rsidR="00BF19F4">
        <w:t>A/</w:t>
      </w:r>
      <w:proofErr w:type="gramStart"/>
      <w:r w:rsidR="00BF19F4">
        <w:t>m</w:t>
      </w:r>
      <w:r w:rsidR="00BF19F4">
        <w:rPr>
          <w:vertAlign w:val="superscript"/>
        </w:rPr>
        <w:t>2</w:t>
      </w:r>
      <w:r w:rsidR="00BF19F4">
        <w:rPr>
          <w:rFonts w:ascii="Times" w:hAnsi="Times"/>
          <w:sz w:val="20"/>
          <w:szCs w:val="20"/>
          <w:lang w:val="en-GB"/>
        </w:rPr>
        <w:t xml:space="preserve"> )</w:t>
      </w:r>
      <w:proofErr w:type="gramEnd"/>
      <w:r w:rsidR="00BF19F4">
        <w:rPr>
          <w:rFonts w:ascii="Times" w:hAnsi="Times"/>
          <w:sz w:val="20"/>
          <w:szCs w:val="20"/>
          <w:lang w:val="en-GB"/>
        </w:rPr>
        <w:t xml:space="preserve"> </w:t>
      </w:r>
      <w:r>
        <w:rPr>
          <w:rFonts w:ascii="Times" w:hAnsi="Times"/>
        </w:rPr>
        <w:t xml:space="preserve">to the static (W series), semi-static and acidic (A series). Both the cement and solution samples were analysed after each leaching method to draw a comparison with the results presented in section 4.1. The second part of this section investigates the impact of leaching on the cement surface, by studying the depth of </w:t>
      </w:r>
      <w:r w:rsidR="00BA36BB">
        <w:rPr>
          <w:rFonts w:ascii="Times" w:hAnsi="Times"/>
        </w:rPr>
        <w:t>leaching and its impact on</w:t>
      </w:r>
      <w:r>
        <w:rPr>
          <w:rFonts w:ascii="Times" w:hAnsi="Times"/>
        </w:rPr>
        <w:t xml:space="preserve"> the</w:t>
      </w:r>
      <w:r w:rsidR="00315E85">
        <w:rPr>
          <w:rFonts w:ascii="Times" w:hAnsi="Times"/>
        </w:rPr>
        <w:t xml:space="preserve"> cement of the</w:t>
      </w:r>
      <w:r>
        <w:rPr>
          <w:rFonts w:ascii="Times" w:hAnsi="Times"/>
        </w:rPr>
        <w:t xml:space="preserve"> semi-static samples. The semi-static samples were chosen because these were the very first leaching experiments to be set up and as such the</w:t>
      </w:r>
      <w:r w:rsidR="00315E85">
        <w:rPr>
          <w:rFonts w:ascii="Times" w:hAnsi="Times"/>
        </w:rPr>
        <w:t>ir</w:t>
      </w:r>
      <w:r>
        <w:rPr>
          <w:rFonts w:ascii="Times" w:hAnsi="Times"/>
        </w:rPr>
        <w:t xml:space="preserve"> data spans a longer period of time. </w:t>
      </w:r>
    </w:p>
    <w:p w14:paraId="5D55938B" w14:textId="77777777" w:rsidR="005708A0" w:rsidRDefault="005708A0" w:rsidP="005708A0">
      <w:pPr>
        <w:spacing w:before="240" w:after="120" w:line="480" w:lineRule="exact"/>
        <w:outlineLvl w:val="0"/>
        <w:rPr>
          <w:rFonts w:ascii="Times New Roman" w:hAnsi="Times New Roman" w:cs="Times New Roman"/>
          <w:b/>
          <w:bCs/>
          <w:smallCaps/>
          <w:sz w:val="36"/>
          <w:szCs w:val="28"/>
          <w:u w:val="single"/>
        </w:rPr>
      </w:pPr>
      <w:r>
        <w:rPr>
          <w:rFonts w:ascii="Times New Roman" w:hAnsi="Times New Roman" w:cs="Times New Roman"/>
          <w:b/>
          <w:bCs/>
          <w:smallCaps/>
          <w:sz w:val="36"/>
          <w:szCs w:val="28"/>
          <w:u w:val="single"/>
        </w:rPr>
        <w:t>4.2</w:t>
      </w:r>
      <w:r w:rsidRPr="004D476A">
        <w:rPr>
          <w:rFonts w:ascii="Times New Roman" w:hAnsi="Times New Roman" w:cs="Times New Roman"/>
          <w:b/>
          <w:bCs/>
          <w:smallCaps/>
          <w:sz w:val="36"/>
          <w:szCs w:val="28"/>
          <w:u w:val="single"/>
        </w:rPr>
        <w:t>.1</w:t>
      </w:r>
      <w:r w:rsidRPr="004D476A">
        <w:rPr>
          <w:rFonts w:ascii="Times New Roman" w:hAnsi="Times New Roman" w:cs="Times New Roman"/>
          <w:b/>
          <w:bCs/>
          <w:smallCaps/>
          <w:sz w:val="36"/>
          <w:szCs w:val="28"/>
          <w:u w:val="single"/>
        </w:rPr>
        <w:tab/>
        <w:t>Accelerated Leaching Experiments</w:t>
      </w:r>
    </w:p>
    <w:p w14:paraId="60EDB3B5" w14:textId="501316D8" w:rsidR="00315E85" w:rsidRDefault="005708A0" w:rsidP="00315E85">
      <w:pPr>
        <w:spacing w:before="240" w:after="120" w:line="480" w:lineRule="exact"/>
        <w:jc w:val="both"/>
        <w:outlineLvl w:val="0"/>
        <w:rPr>
          <w:rFonts w:ascii="Times" w:hAnsi="Times" w:cs="Times New Roman"/>
          <w:bCs/>
          <w:iCs/>
        </w:rPr>
      </w:pPr>
      <w:r w:rsidRPr="00181B32">
        <w:rPr>
          <w:rFonts w:ascii="Times New Roman" w:hAnsi="Times New Roman" w:cs="Times New Roman"/>
          <w:b/>
          <w:bCs/>
          <w:smallCaps/>
          <w:sz w:val="32"/>
          <w:szCs w:val="28"/>
        </w:rPr>
        <w:t>4.2.1.1</w:t>
      </w:r>
      <w:r w:rsidRPr="00181B32">
        <w:rPr>
          <w:rFonts w:ascii="Times New Roman" w:hAnsi="Times New Roman" w:cs="Times New Roman"/>
          <w:b/>
          <w:bCs/>
          <w:smallCaps/>
          <w:sz w:val="32"/>
          <w:szCs w:val="28"/>
        </w:rPr>
        <w:tab/>
        <w:t>Results</w:t>
      </w:r>
      <w:r>
        <w:rPr>
          <w:rFonts w:ascii="Times New Roman" w:hAnsi="Times New Roman" w:cs="Times New Roman"/>
          <w:b/>
          <w:bCs/>
          <w:smallCaps/>
          <w:sz w:val="32"/>
          <w:szCs w:val="28"/>
        </w:rPr>
        <w:br/>
      </w:r>
      <w:r w:rsidRPr="00273F99">
        <w:rPr>
          <w:rFonts w:ascii="Times" w:hAnsi="Times" w:cs="Times New Roman"/>
          <w:bCs/>
          <w:iCs/>
        </w:rPr>
        <w:t xml:space="preserve">The solutions collected from each of the leaching experiments were analysed using inductively coupled plasma mass spectrometry (ICP-MS) to quantify the concentration </w:t>
      </w:r>
      <w:r>
        <w:rPr>
          <w:rFonts w:ascii="Times" w:hAnsi="Times" w:cs="Times New Roman"/>
          <w:bCs/>
          <w:iCs/>
        </w:rPr>
        <w:t>of elements leached. This method was used to measure concentrations of Ca, Cs,</w:t>
      </w:r>
      <w:r w:rsidR="009E589B">
        <w:rPr>
          <w:rFonts w:ascii="Times" w:hAnsi="Times" w:cs="Times New Roman"/>
          <w:bCs/>
          <w:iCs/>
        </w:rPr>
        <w:t xml:space="preserve"> Sr, Al, Na and Mg. Equation 4.3</w:t>
      </w:r>
      <w:r>
        <w:rPr>
          <w:rFonts w:ascii="Times" w:hAnsi="Times" w:cs="Times New Roman"/>
          <w:bCs/>
          <w:iCs/>
        </w:rPr>
        <w:t xml:space="preserve"> was u</w:t>
      </w:r>
      <w:r w:rsidR="00BC2A7B">
        <w:rPr>
          <w:rFonts w:ascii="Times" w:hAnsi="Times" w:cs="Times New Roman"/>
          <w:bCs/>
          <w:iCs/>
        </w:rPr>
        <w:t>sed to calculate the normalized leaching rate</w:t>
      </w:r>
      <w:r>
        <w:rPr>
          <w:rFonts w:ascii="Times" w:hAnsi="Times" w:cs="Times New Roman"/>
          <w:bCs/>
          <w:iCs/>
        </w:rPr>
        <w:t xml:space="preserve"> in solution. In the semi-static tests the number of water changes was factored into the calculations when </w:t>
      </w:r>
      <w:r w:rsidR="00BA36BB">
        <w:rPr>
          <w:rFonts w:ascii="Times" w:hAnsi="Times" w:cs="Times New Roman"/>
          <w:bCs/>
          <w:iCs/>
        </w:rPr>
        <w:t>estimating the total volume of solution</w:t>
      </w:r>
      <w:r w:rsidR="00086C8C">
        <w:rPr>
          <w:rFonts w:ascii="Times" w:hAnsi="Times" w:cs="Times New Roman"/>
          <w:bCs/>
          <w:iCs/>
        </w:rPr>
        <w:t>.</w:t>
      </w:r>
      <w:r w:rsidR="00315E85" w:rsidRPr="00315E85">
        <w:rPr>
          <w:rFonts w:ascii="Times" w:hAnsi="Times" w:cs="Times New Roman"/>
          <w:bCs/>
          <w:iCs/>
        </w:rPr>
        <w:t xml:space="preserve"> </w:t>
      </w:r>
      <w:r w:rsidR="00315E85" w:rsidRPr="00273F99">
        <w:rPr>
          <w:rFonts w:ascii="Times" w:hAnsi="Times" w:cs="Times New Roman"/>
          <w:bCs/>
          <w:iCs/>
        </w:rPr>
        <w:t>The leached amounts of C</w:t>
      </w:r>
      <w:r w:rsidR="00315E85">
        <w:rPr>
          <w:rFonts w:ascii="Times" w:hAnsi="Times" w:cs="Times New Roman"/>
          <w:bCs/>
          <w:iCs/>
        </w:rPr>
        <w:t xml:space="preserve">a from the </w:t>
      </w:r>
      <m:oMath>
        <m:acc>
          <m:accPr>
            <m:chr m:val="̅"/>
            <m:ctrlPr>
              <w:rPr>
                <w:rFonts w:ascii="Cambria Math" w:hAnsi="Cambria Math" w:cs="Times New Roman"/>
                <w:i/>
                <w:sz w:val="36"/>
                <w:szCs w:val="36"/>
              </w:rPr>
            </m:ctrlPr>
          </m:accPr>
          <m:e>
            <m:r>
              <m:rPr>
                <m:nor/>
              </m:rPr>
              <w:rPr>
                <w:rFonts w:ascii="Times New Roman" w:hAnsi="Times New Roman" w:cs="Times New Roman"/>
                <w:bCs/>
                <w:sz w:val="36"/>
                <w:szCs w:val="36"/>
              </w:rPr>
              <m:t>cs</m:t>
            </m:r>
          </m:e>
        </m:acc>
      </m:oMath>
      <w:r w:rsidR="00315E85">
        <w:rPr>
          <w:rFonts w:ascii="Times" w:hAnsi="Times" w:cs="Times New Roman"/>
          <w:bCs/>
          <w:iCs/>
        </w:rPr>
        <w:t xml:space="preserve"> samples </w:t>
      </w:r>
      <w:r w:rsidR="00315E85" w:rsidRPr="00273F99">
        <w:rPr>
          <w:rFonts w:ascii="Times" w:hAnsi="Times" w:cs="Times New Roman"/>
          <w:bCs/>
          <w:iCs/>
        </w:rPr>
        <w:t xml:space="preserve">are shown in </w:t>
      </w:r>
      <w:r w:rsidR="00315E85">
        <w:rPr>
          <w:rFonts w:ascii="Times" w:hAnsi="Times" w:cs="Times New Roman"/>
          <w:bCs/>
          <w:iCs/>
        </w:rPr>
        <w:t xml:space="preserve">figure 4.26. These values have been rounded to the nearest whole number. </w:t>
      </w:r>
    </w:p>
    <w:p w14:paraId="370A32B5" w14:textId="16D96101" w:rsidR="005708A0" w:rsidRPr="00BA36BB" w:rsidRDefault="005708A0" w:rsidP="005708A0">
      <w:pPr>
        <w:spacing w:before="240" w:after="120" w:line="480" w:lineRule="exact"/>
        <w:jc w:val="both"/>
        <w:outlineLvl w:val="0"/>
        <w:rPr>
          <w:rFonts w:ascii="Times" w:hAnsi="Times" w:cs="Times New Roman"/>
          <w:bCs/>
          <w:iCs/>
        </w:rPr>
      </w:pPr>
    </w:p>
    <w:p w14:paraId="1D482339" w14:textId="47911A05" w:rsidR="005708A0" w:rsidRPr="004107A3" w:rsidRDefault="0050690C" w:rsidP="00BC2A7B">
      <w:pPr>
        <w:spacing w:before="240"/>
        <w:jc w:val="right"/>
        <w:outlineLvl w:val="0"/>
        <w:rPr>
          <w:rFonts w:ascii="Times" w:hAnsi="Times" w:cs="Times New Roman"/>
          <w:bCs/>
          <w:iCs/>
        </w:rPr>
      </w:pPr>
      <m:oMath>
        <m:sSub>
          <m:sSubPr>
            <m:ctrlPr>
              <w:rPr>
                <w:rFonts w:ascii="Cambria Math" w:hAnsi="Cambria Math"/>
                <w:sz w:val="32"/>
                <w:szCs w:val="28"/>
              </w:rPr>
            </m:ctrlPr>
          </m:sSubPr>
          <m:e>
            <m:r>
              <m:rPr>
                <m:sty m:val="bi"/>
              </m:rPr>
              <w:rPr>
                <w:rFonts w:ascii="Cambria Math" w:hAnsi="Cambria Math"/>
                <w:sz w:val="32"/>
                <w:szCs w:val="28"/>
              </w:rPr>
              <m:t>NR</m:t>
            </m:r>
          </m:e>
          <m:sub>
            <m:r>
              <m:rPr>
                <m:sty m:val="bi"/>
              </m:rPr>
              <w:rPr>
                <w:rFonts w:ascii="Cambria Math" w:hAnsi="Cambria Math"/>
                <w:sz w:val="32"/>
                <w:szCs w:val="28"/>
              </w:rPr>
              <m:t>l</m:t>
            </m:r>
          </m:sub>
        </m:sSub>
        <m:r>
          <m:rPr>
            <m:sty m:val="b"/>
          </m:rPr>
          <w:rPr>
            <w:rFonts w:ascii="Cambria Math" w:hAnsi="Cambria Math"/>
            <w:sz w:val="32"/>
            <w:szCs w:val="28"/>
          </w:rPr>
          <m:t xml:space="preserve">= </m:t>
        </m:r>
        <m:f>
          <m:fPr>
            <m:ctrlPr>
              <w:rPr>
                <w:rFonts w:ascii="Cambria Math" w:hAnsi="Cambria Math"/>
                <w:sz w:val="32"/>
                <w:szCs w:val="28"/>
              </w:rPr>
            </m:ctrlPr>
          </m:fPr>
          <m:num>
            <m:acc>
              <m:accPr>
                <m:chr m:val="̅"/>
                <m:ctrlPr>
                  <w:rPr>
                    <w:rFonts w:ascii="Cambria Math" w:hAnsi="Cambria Math"/>
                    <w:sz w:val="32"/>
                    <w:szCs w:val="28"/>
                  </w:rPr>
                </m:ctrlPr>
              </m:accPr>
              <m:e>
                <m:r>
                  <m:rPr>
                    <m:sty m:val="bi"/>
                  </m:rPr>
                  <w:rPr>
                    <w:rFonts w:ascii="Cambria Math" w:hAnsi="Cambria Math"/>
                    <w:sz w:val="32"/>
                    <w:szCs w:val="28"/>
                  </w:rPr>
                  <m:t>M</m:t>
                </m:r>
              </m:e>
            </m:acc>
            <m:r>
              <m:rPr>
                <m:sty m:val="b"/>
              </m:rPr>
              <w:rPr>
                <w:rFonts w:ascii="Cambria Math" w:hAnsi="Cambria Math"/>
                <w:sz w:val="32"/>
                <w:szCs w:val="28"/>
              </w:rPr>
              <m:t xml:space="preserve">  </m:t>
            </m:r>
          </m:num>
          <m:den>
            <m:sSub>
              <m:sSubPr>
                <m:ctrlPr>
                  <w:rPr>
                    <w:rFonts w:ascii="Cambria Math" w:hAnsi="Cambria Math"/>
                    <w:sz w:val="32"/>
                    <w:szCs w:val="28"/>
                  </w:rPr>
                </m:ctrlPr>
              </m:sSubPr>
              <m:e>
                <m:r>
                  <m:rPr>
                    <m:sty m:val="bi"/>
                  </m:rPr>
                  <w:rPr>
                    <w:rFonts w:ascii="Cambria Math" w:hAnsi="Cambria Math"/>
                    <w:sz w:val="32"/>
                    <w:szCs w:val="28"/>
                  </w:rPr>
                  <m:t>A</m:t>
                </m:r>
              </m:e>
              <m:sub>
                <m:r>
                  <m:rPr>
                    <m:sty m:val="bi"/>
                  </m:rPr>
                  <w:rPr>
                    <w:rFonts w:ascii="Cambria Math" w:hAnsi="Cambria Math"/>
                    <w:sz w:val="32"/>
                    <w:szCs w:val="28"/>
                  </w:rPr>
                  <m:t>s</m:t>
                </m:r>
              </m:sub>
            </m:sSub>
            <m:r>
              <m:rPr>
                <m:sty m:val="b"/>
              </m:rPr>
              <w:rPr>
                <w:rFonts w:ascii="Cambria Math" w:hAnsi="Cambria Math"/>
                <w:sz w:val="32"/>
                <w:szCs w:val="28"/>
              </w:rPr>
              <m:t xml:space="preserve"> × </m:t>
            </m:r>
            <m:r>
              <m:rPr>
                <m:sty m:val="bi"/>
              </m:rPr>
              <w:rPr>
                <w:rFonts w:ascii="Cambria Math" w:hAnsi="Cambria Math"/>
                <w:sz w:val="32"/>
                <w:szCs w:val="28"/>
              </w:rPr>
              <m:t>T</m:t>
            </m:r>
          </m:den>
        </m:f>
        <m:r>
          <m:rPr>
            <m:sty m:val="bi"/>
          </m:rPr>
          <w:rPr>
            <w:rFonts w:ascii="Cambria Math" w:hAnsi="Cambria Math"/>
            <w:sz w:val="32"/>
            <w:szCs w:val="28"/>
          </w:rPr>
          <m:t xml:space="preserve"> ×</m:t>
        </m:r>
        <m:sSub>
          <m:sSubPr>
            <m:ctrlPr>
              <w:rPr>
                <w:rFonts w:ascii="Cambria Math" w:hAnsi="Cambria Math"/>
                <w:i/>
                <w:sz w:val="32"/>
                <w:szCs w:val="28"/>
              </w:rPr>
            </m:ctrlPr>
          </m:sSubPr>
          <m:e>
            <m:r>
              <m:rPr>
                <m:sty m:val="bi"/>
              </m:rPr>
              <w:rPr>
                <w:rFonts w:ascii="Cambria Math" w:hAnsi="Cambria Math"/>
                <w:sz w:val="32"/>
                <w:szCs w:val="28"/>
              </w:rPr>
              <m:t>m</m:t>
            </m:r>
          </m:e>
          <m:sub>
            <m:r>
              <m:rPr>
                <m:sty m:val="bi"/>
              </m:rPr>
              <w:rPr>
                <w:rFonts w:ascii="Cambria Math" w:hAnsi="Cambria Math"/>
                <w:sz w:val="32"/>
                <w:szCs w:val="28"/>
              </w:rPr>
              <m:t>f</m:t>
            </m:r>
          </m:sub>
        </m:sSub>
      </m:oMath>
      <w:r w:rsidR="009E589B">
        <w:rPr>
          <w:rFonts w:ascii="Times" w:hAnsi="Times" w:cs="Times New Roman"/>
          <w:bCs/>
          <w:iCs/>
        </w:rPr>
        <w:t xml:space="preserve"> </w:t>
      </w:r>
      <w:r w:rsidR="009E589B">
        <w:rPr>
          <w:rFonts w:ascii="Times" w:hAnsi="Times" w:cs="Times New Roman"/>
          <w:bCs/>
          <w:iCs/>
        </w:rPr>
        <w:tab/>
      </w:r>
      <w:r w:rsidR="009E589B">
        <w:rPr>
          <w:rFonts w:ascii="Times" w:hAnsi="Times" w:cs="Times New Roman"/>
          <w:bCs/>
          <w:iCs/>
        </w:rPr>
        <w:tab/>
      </w:r>
      <w:r w:rsidR="009E589B">
        <w:rPr>
          <w:rFonts w:ascii="Times" w:hAnsi="Times" w:cs="Times New Roman"/>
          <w:bCs/>
          <w:iCs/>
        </w:rPr>
        <w:tab/>
      </w:r>
      <w:r w:rsidR="009E589B">
        <w:rPr>
          <w:rFonts w:ascii="Times" w:hAnsi="Times" w:cs="Times New Roman"/>
          <w:bCs/>
          <w:iCs/>
        </w:rPr>
        <w:tab/>
        <w:t>(4.3)</w:t>
      </w:r>
      <w:r w:rsidR="00031DCA">
        <w:rPr>
          <w:rFonts w:ascii="Times" w:hAnsi="Times" w:cs="Times New Roman"/>
          <w:b/>
          <w:bCs/>
          <w:iCs/>
          <w:sz w:val="32"/>
          <w:vertAlign w:val="superscript"/>
        </w:rPr>
        <w:t>[43</w:t>
      </w:r>
      <w:r w:rsidR="005708A0" w:rsidRPr="004107A3">
        <w:rPr>
          <w:rFonts w:ascii="Times" w:hAnsi="Times" w:cs="Times New Roman"/>
          <w:b/>
          <w:bCs/>
          <w:iCs/>
          <w:sz w:val="32"/>
          <w:vertAlign w:val="superscript"/>
        </w:rPr>
        <w:t>]</w:t>
      </w:r>
    </w:p>
    <w:p w14:paraId="73E7BA4B" w14:textId="47626E5E" w:rsidR="00BC2A7B" w:rsidRPr="00BC2A7B" w:rsidRDefault="0050690C" w:rsidP="00BC2A7B">
      <w:pPr>
        <w:jc w:val="both"/>
        <w:outlineLvl w:val="0"/>
        <w:rPr>
          <w:rFonts w:ascii="Times" w:hAnsi="Times" w:cs="Times New Roman"/>
          <w:bCs/>
          <w:iCs/>
          <w:sz w:val="22"/>
        </w:rPr>
      </w:pPr>
      <m:oMath>
        <m:acc>
          <m:accPr>
            <m:chr m:val="̅"/>
            <m:ctrlPr>
              <w:rPr>
                <w:rFonts w:ascii="Cambria Math" w:hAnsi="Cambria Math"/>
                <w:sz w:val="28"/>
                <w:szCs w:val="28"/>
              </w:rPr>
            </m:ctrlPr>
          </m:accPr>
          <m:e>
            <m:r>
              <m:rPr>
                <m:sty m:val="bi"/>
              </m:rPr>
              <w:rPr>
                <w:rFonts w:ascii="Cambria Math" w:hAnsi="Cambria Math"/>
                <w:sz w:val="22"/>
                <w:szCs w:val="28"/>
              </w:rPr>
              <m:t>M</m:t>
            </m:r>
          </m:e>
        </m:acc>
      </m:oMath>
      <w:r w:rsidR="00BC2A7B" w:rsidRPr="00BC2A7B">
        <w:rPr>
          <w:rFonts w:ascii="Times" w:hAnsi="Times" w:cs="Times New Roman"/>
          <w:bCs/>
          <w:iCs/>
          <w:sz w:val="22"/>
        </w:rPr>
        <w:t xml:space="preserve"> </w:t>
      </w:r>
      <w:proofErr w:type="gramStart"/>
      <w:r w:rsidR="00BC2A7B" w:rsidRPr="00BC2A7B">
        <w:rPr>
          <w:rFonts w:ascii="Times" w:hAnsi="Times" w:cs="Times New Roman"/>
          <w:bCs/>
          <w:iCs/>
          <w:sz w:val="22"/>
        </w:rPr>
        <w:t>is</w:t>
      </w:r>
      <w:proofErr w:type="gramEnd"/>
      <w:r w:rsidR="00BC2A7B" w:rsidRPr="00BC2A7B">
        <w:rPr>
          <w:rFonts w:ascii="Times" w:hAnsi="Times" w:cs="Times New Roman"/>
          <w:bCs/>
          <w:iCs/>
          <w:sz w:val="22"/>
        </w:rPr>
        <w:t xml:space="preserve"> the average amount of element </w:t>
      </w:r>
      <w:r w:rsidR="00BC2A7B" w:rsidRPr="00BC2A7B">
        <w:rPr>
          <w:rFonts w:ascii="Times" w:hAnsi="Times" w:cs="Times New Roman"/>
          <w:b/>
          <w:bCs/>
          <w:i/>
          <w:iCs/>
          <w:sz w:val="22"/>
        </w:rPr>
        <w:t xml:space="preserve">i </w:t>
      </w:r>
      <w:r w:rsidR="00BC2A7B" w:rsidRPr="00BC2A7B">
        <w:rPr>
          <w:rFonts w:ascii="Times" w:hAnsi="Times" w:cs="Times New Roman"/>
          <w:bCs/>
          <w:iCs/>
          <w:sz w:val="22"/>
        </w:rPr>
        <w:t xml:space="preserve">in leachate (mg); </w:t>
      </w:r>
      <w:r w:rsidR="00BC2A7B" w:rsidRPr="00BC2A7B">
        <w:rPr>
          <w:rFonts w:ascii="Times" w:hAnsi="Times" w:cs="Times New Roman"/>
          <w:b/>
          <w:bCs/>
          <w:i/>
          <w:iCs/>
          <w:sz w:val="22"/>
        </w:rPr>
        <w:t>m</w:t>
      </w:r>
      <w:r w:rsidR="00BC2A7B" w:rsidRPr="00BC2A7B">
        <w:rPr>
          <w:rFonts w:ascii="Times" w:hAnsi="Times" w:cs="Times New Roman"/>
          <w:b/>
          <w:bCs/>
          <w:i/>
          <w:iCs/>
          <w:sz w:val="22"/>
          <w:vertAlign w:val="subscript"/>
        </w:rPr>
        <w:t>f</w:t>
      </w:r>
      <w:r w:rsidR="00BC2A7B" w:rsidRPr="00BC2A7B">
        <w:rPr>
          <w:rFonts w:ascii="Times" w:hAnsi="Times" w:cs="Times New Roman"/>
          <w:bCs/>
          <w:iCs/>
          <w:sz w:val="22"/>
        </w:rPr>
        <w:t xml:space="preserve"> is the elemental mass fraction of element </w:t>
      </w:r>
      <w:r w:rsidR="00BC2A7B" w:rsidRPr="00BC2A7B">
        <w:rPr>
          <w:rFonts w:ascii="Times" w:hAnsi="Times" w:cs="Times New Roman"/>
          <w:b/>
          <w:bCs/>
          <w:i/>
          <w:iCs/>
          <w:sz w:val="22"/>
        </w:rPr>
        <w:t>i</w:t>
      </w:r>
      <w:r w:rsidR="00BC2A7B" w:rsidRPr="00BC2A7B">
        <w:rPr>
          <w:rFonts w:ascii="Times" w:hAnsi="Times" w:cs="Times New Roman"/>
          <w:bCs/>
          <w:i/>
          <w:iCs/>
          <w:sz w:val="22"/>
        </w:rPr>
        <w:t xml:space="preserve"> </w:t>
      </w:r>
      <w:r w:rsidR="00BC2A7B" w:rsidRPr="00BC2A7B">
        <w:rPr>
          <w:rFonts w:ascii="Times" w:hAnsi="Times" w:cs="Times New Roman"/>
          <w:bCs/>
          <w:iCs/>
          <w:sz w:val="22"/>
        </w:rPr>
        <w:t xml:space="preserve">in the cement; </w:t>
      </w:r>
      <w:r w:rsidR="00BC2A7B" w:rsidRPr="00BC2A7B">
        <w:rPr>
          <w:rFonts w:ascii="Times" w:hAnsi="Times" w:cs="Times New Roman"/>
          <w:b/>
          <w:bCs/>
          <w:i/>
          <w:iCs/>
          <w:sz w:val="22"/>
        </w:rPr>
        <w:t>A</w:t>
      </w:r>
      <w:r w:rsidR="00BC2A7B" w:rsidRPr="00BC2A7B">
        <w:rPr>
          <w:rFonts w:ascii="Times" w:hAnsi="Times" w:cs="Times New Roman"/>
          <w:b/>
          <w:bCs/>
          <w:i/>
          <w:iCs/>
          <w:sz w:val="22"/>
          <w:vertAlign w:val="subscript"/>
        </w:rPr>
        <w:t>s</w:t>
      </w:r>
      <w:r w:rsidR="00BC2A7B" w:rsidRPr="00BC2A7B">
        <w:rPr>
          <w:rFonts w:ascii="Times" w:hAnsi="Times" w:cs="Times New Roman"/>
          <w:bCs/>
          <w:iCs/>
          <w:sz w:val="22"/>
        </w:rPr>
        <w:t xml:space="preserve"> is the surface area of cement exposed to solution (cm</w:t>
      </w:r>
      <w:r w:rsidR="00BC2A7B" w:rsidRPr="00BC2A7B">
        <w:rPr>
          <w:rFonts w:ascii="Times" w:hAnsi="Times" w:cs="Times New Roman"/>
          <w:bCs/>
          <w:iCs/>
          <w:sz w:val="22"/>
          <w:vertAlign w:val="superscript"/>
        </w:rPr>
        <w:t>2</w:t>
      </w:r>
      <w:r w:rsidR="00BC2A7B" w:rsidRPr="00BC2A7B">
        <w:rPr>
          <w:rFonts w:ascii="Times" w:hAnsi="Times" w:cs="Times New Roman"/>
          <w:bCs/>
          <w:iCs/>
          <w:sz w:val="22"/>
        </w:rPr>
        <w:t xml:space="preserve">) and </w:t>
      </w:r>
      <w:r w:rsidR="00BC2A7B" w:rsidRPr="00BC2A7B">
        <w:rPr>
          <w:rFonts w:ascii="Times" w:hAnsi="Times" w:cs="Times New Roman"/>
          <w:b/>
          <w:bCs/>
          <w:i/>
          <w:iCs/>
          <w:sz w:val="22"/>
        </w:rPr>
        <w:t>T</w:t>
      </w:r>
      <w:r w:rsidR="00BC2A7B" w:rsidRPr="00BC2A7B">
        <w:rPr>
          <w:rFonts w:ascii="Times" w:hAnsi="Times" w:cs="Times New Roman"/>
          <w:bCs/>
          <w:iCs/>
          <w:sz w:val="22"/>
        </w:rPr>
        <w:t xml:space="preserve"> is the leaching interval (days).</w:t>
      </w:r>
    </w:p>
    <w:p w14:paraId="74C7A5C3" w14:textId="77777777" w:rsidR="005708A0" w:rsidRPr="006415BC" w:rsidRDefault="005708A0" w:rsidP="005708A0">
      <w:pPr>
        <w:spacing w:before="240" w:after="120"/>
        <w:jc w:val="both"/>
        <w:outlineLvl w:val="0"/>
        <w:rPr>
          <w:rFonts w:ascii="Times" w:hAnsi="Times" w:cs="Times New Roman"/>
          <w:bCs/>
          <w:iCs/>
        </w:rPr>
        <w:sectPr w:rsidR="005708A0" w:rsidRPr="006415BC" w:rsidSect="00E85025">
          <w:pgSz w:w="11900" w:h="16840"/>
          <w:pgMar w:top="1440" w:right="1268" w:bottom="1440" w:left="1800" w:header="708" w:footer="708" w:gutter="0"/>
          <w:cols w:space="708"/>
          <w:docGrid w:linePitch="360"/>
        </w:sectPr>
      </w:pPr>
    </w:p>
    <w:p w14:paraId="2A2F1C8F" w14:textId="77777777" w:rsidR="005708A0" w:rsidRDefault="005708A0" w:rsidP="005708A0">
      <w:pPr>
        <w:spacing w:before="240" w:after="120"/>
        <w:ind w:left="-426"/>
        <w:jc w:val="both"/>
        <w:rPr>
          <w:rFonts w:ascii="Times New Roman" w:hAnsi="Times New Roman" w:cs="Times New Roman"/>
        </w:rPr>
      </w:pPr>
      <w:r>
        <w:rPr>
          <w:noProof/>
        </w:rPr>
        <w:lastRenderedPageBreak/>
        <w:drawing>
          <wp:inline distT="0" distB="0" distL="0" distR="0" wp14:anchorId="4C0CD8E8" wp14:editId="5F9F7391">
            <wp:extent cx="9757138" cy="5720443"/>
            <wp:effectExtent l="0" t="0" r="0" b="0"/>
            <wp:docPr id="944" name="Chart 9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C675105" w14:textId="6983314F" w:rsidR="005708A0" w:rsidRDefault="00D0163B" w:rsidP="005708A0">
      <w:pPr>
        <w:spacing w:before="240" w:after="120"/>
        <w:ind w:left="1134"/>
        <w:jc w:val="center"/>
        <w:rPr>
          <w:rFonts w:ascii="Times New Roman" w:hAnsi="Times New Roman" w:cs="Times New Roman"/>
        </w:rPr>
      </w:pPr>
      <w:r>
        <w:rPr>
          <w:rFonts w:ascii="Times New Roman" w:hAnsi="Times New Roman" w:cs="Times New Roman"/>
          <w:b/>
        </w:rPr>
        <w:t>Figure 4.26</w:t>
      </w:r>
      <w:r w:rsidR="005708A0" w:rsidRPr="006B0A75">
        <w:rPr>
          <w:rFonts w:ascii="Times New Roman" w:hAnsi="Times New Roman" w:cs="Times New Roman"/>
          <w:b/>
        </w:rPr>
        <w:t>:</w:t>
      </w:r>
      <w:r w:rsidR="005708A0">
        <w:rPr>
          <w:rFonts w:ascii="Times New Roman" w:hAnsi="Times New Roman" w:cs="Times New Roman"/>
        </w:rPr>
        <w:t xml:space="preserve"> </w:t>
      </w:r>
      <w:r w:rsidR="005708A0">
        <w:rPr>
          <w:rFonts w:ascii="Times New Roman" w:hAnsi="Times New Roman" w:cs="Times New Roman"/>
        </w:rPr>
        <w:tab/>
        <w:t>Normalised accumulated Ca mass in solution after each respective leaching period</w:t>
      </w:r>
    </w:p>
    <w:p w14:paraId="529C1A10" w14:textId="77777777" w:rsidR="005708A0" w:rsidRDefault="005708A0" w:rsidP="005708A0">
      <w:pPr>
        <w:spacing w:before="240" w:after="120" w:line="480" w:lineRule="exact"/>
        <w:rPr>
          <w:rFonts w:ascii="Times New Roman" w:hAnsi="Times New Roman" w:cs="Times New Roman"/>
        </w:rPr>
        <w:sectPr w:rsidR="005708A0" w:rsidSect="00E85025">
          <w:pgSz w:w="16840" w:h="11900" w:orient="landscape"/>
          <w:pgMar w:top="568" w:right="1440" w:bottom="1268" w:left="1440" w:header="708" w:footer="708" w:gutter="0"/>
          <w:cols w:space="708"/>
          <w:docGrid w:linePitch="360"/>
        </w:sectPr>
      </w:pPr>
    </w:p>
    <w:p w14:paraId="49A0AB5B" w14:textId="02368186" w:rsidR="005708A0" w:rsidRDefault="005708A0" w:rsidP="005708A0">
      <w:pPr>
        <w:spacing w:before="240" w:after="120" w:line="480" w:lineRule="exact"/>
        <w:jc w:val="both"/>
        <w:rPr>
          <w:rFonts w:ascii="Times New Roman" w:hAnsi="Times New Roman" w:cs="Times New Roman"/>
        </w:rPr>
      </w:pPr>
      <w:r>
        <w:rPr>
          <w:rFonts w:ascii="Times New Roman" w:hAnsi="Times New Roman" w:cs="Times New Roman"/>
        </w:rPr>
        <w:lastRenderedPageBreak/>
        <w:t xml:space="preserve">Comparing the results obtained from the static and the </w:t>
      </w:r>
      <w:r w:rsidR="00315E85">
        <w:rPr>
          <w:rFonts w:ascii="Times New Roman" w:hAnsi="Times New Roman" w:cs="Times New Roman"/>
        </w:rPr>
        <w:t>semi static leaching in figure 4.26</w:t>
      </w:r>
      <w:r>
        <w:rPr>
          <w:rFonts w:ascii="Times New Roman" w:hAnsi="Times New Roman" w:cs="Times New Roman"/>
        </w:rPr>
        <w:t xml:space="preserve"> it can be seen that the in the semi–static procedure Ca </w:t>
      </w:r>
      <w:r w:rsidR="00BC2A7B">
        <w:rPr>
          <w:rFonts w:ascii="Times New Roman" w:hAnsi="Times New Roman" w:cs="Times New Roman"/>
        </w:rPr>
        <w:t xml:space="preserve">leaching </w:t>
      </w:r>
      <w:r>
        <w:rPr>
          <w:rFonts w:ascii="Times New Roman" w:hAnsi="Times New Roman" w:cs="Times New Roman"/>
        </w:rPr>
        <w:t xml:space="preserve">is slightly higher. The electrical leaching produces the </w:t>
      </w:r>
      <w:r w:rsidR="00315E85">
        <w:rPr>
          <w:rFonts w:ascii="Times New Roman" w:hAnsi="Times New Roman" w:cs="Times New Roman"/>
        </w:rPr>
        <w:t>largest</w:t>
      </w:r>
      <w:r>
        <w:rPr>
          <w:rFonts w:ascii="Times New Roman" w:hAnsi="Times New Roman" w:cs="Times New Roman"/>
        </w:rPr>
        <w:t xml:space="preserve"> amounts of leached Ca when comparing the mass amounts after 7 days for each method. An increase in the electrical current from </w:t>
      </w:r>
      <w:r w:rsidR="00344429">
        <w:rPr>
          <w:rFonts w:ascii="Times New Roman" w:hAnsi="Times New Roman" w:cs="Times New Roman"/>
        </w:rPr>
        <w:t>5A</w:t>
      </w:r>
      <w:r w:rsidR="00344429" w:rsidDel="00344429">
        <w:rPr>
          <w:rFonts w:ascii="Times New Roman" w:hAnsi="Times New Roman" w:cs="Times New Roman"/>
        </w:rPr>
        <w:t xml:space="preserve"> </w:t>
      </w:r>
      <w:r w:rsidR="002D5200">
        <w:rPr>
          <w:rFonts w:ascii="Times New Roman" w:hAnsi="Times New Roman" w:cs="Times New Roman"/>
        </w:rPr>
        <w:t>/m</w:t>
      </w:r>
      <w:r w:rsidR="002D5200">
        <w:rPr>
          <w:rFonts w:ascii="Times New Roman" w:hAnsi="Times New Roman" w:cs="Times New Roman"/>
          <w:vertAlign w:val="superscript"/>
        </w:rPr>
        <w:t>2</w:t>
      </w:r>
      <w:r>
        <w:rPr>
          <w:rFonts w:ascii="Times New Roman" w:hAnsi="Times New Roman" w:cs="Times New Roman"/>
        </w:rPr>
        <w:t>to 25A</w:t>
      </w:r>
      <w:r w:rsidR="002D5200">
        <w:rPr>
          <w:rFonts w:ascii="Times New Roman" w:hAnsi="Times New Roman" w:cs="Times New Roman"/>
        </w:rPr>
        <w:t>/m</w:t>
      </w:r>
      <w:r w:rsidR="002D5200">
        <w:rPr>
          <w:rFonts w:ascii="Times New Roman" w:hAnsi="Times New Roman" w:cs="Times New Roman"/>
          <w:vertAlign w:val="superscript"/>
        </w:rPr>
        <w:t>2</w:t>
      </w:r>
      <w:r w:rsidR="00093C9C">
        <w:rPr>
          <w:rFonts w:ascii="Times New Roman" w:hAnsi="Times New Roman" w:cs="Times New Roman"/>
          <w:vertAlign w:val="superscript"/>
        </w:rPr>
        <w:t xml:space="preserve"> </w:t>
      </w:r>
      <w:r>
        <w:rPr>
          <w:rFonts w:ascii="Times New Roman" w:hAnsi="Times New Roman" w:cs="Times New Roman"/>
        </w:rPr>
        <w:t xml:space="preserve">causes the leached amounts to </w:t>
      </w:r>
      <w:r w:rsidR="00E14FA4">
        <w:rPr>
          <w:rFonts w:ascii="Times New Roman" w:hAnsi="Times New Roman" w:cs="Times New Roman"/>
        </w:rPr>
        <w:t>increase by a factor of 1.5</w:t>
      </w:r>
      <w:r>
        <w:rPr>
          <w:rFonts w:ascii="Times New Roman" w:hAnsi="Times New Roman" w:cs="Times New Roman"/>
        </w:rPr>
        <w:t>. The acidic leaching also has an accelerating impact, however the rate of increase seems to</w:t>
      </w:r>
      <w:r w:rsidR="00315E85">
        <w:rPr>
          <w:rFonts w:ascii="Times New Roman" w:hAnsi="Times New Roman" w:cs="Times New Roman"/>
        </w:rPr>
        <w:t xml:space="preserve"> fall</w:t>
      </w:r>
      <w:r>
        <w:rPr>
          <w:rFonts w:ascii="Times New Roman" w:hAnsi="Times New Roman" w:cs="Times New Roman"/>
        </w:rPr>
        <w:t xml:space="preserve"> dramatically after 28 days, as the leached amounts at 3 months are only slightly higher than those leached at 28 days. </w:t>
      </w:r>
    </w:p>
    <w:p w14:paraId="33DAB034" w14:textId="7835DF53" w:rsidR="005708A0" w:rsidRDefault="005708A0" w:rsidP="005708A0">
      <w:pPr>
        <w:spacing w:line="480" w:lineRule="exact"/>
        <w:jc w:val="both"/>
        <w:rPr>
          <w:rFonts w:ascii="Times New Roman" w:hAnsi="Times New Roman" w:cs="Times New Roman"/>
        </w:rPr>
      </w:pPr>
      <w:r>
        <w:rPr>
          <w:rFonts w:ascii="Times New Roman" w:hAnsi="Times New Roman" w:cs="Times New Roman"/>
        </w:rPr>
        <w:t>The normalised leaching rates of</w:t>
      </w:r>
      <w:r w:rsidR="00E14FA4">
        <w:rPr>
          <w:rFonts w:ascii="Times New Roman" w:hAnsi="Times New Roman" w:cs="Times New Roman"/>
        </w:rPr>
        <w:t xml:space="preserve"> Ca</w:t>
      </w:r>
      <w:r w:rsidR="009C1319">
        <w:rPr>
          <w:rFonts w:ascii="Times New Roman" w:hAnsi="Times New Roman" w:cs="Times New Roman"/>
        </w:rPr>
        <w:t xml:space="preserve"> for</w:t>
      </w:r>
      <w:r w:rsidR="00E14FA4">
        <w:rPr>
          <w:rFonts w:ascii="Times New Roman" w:hAnsi="Times New Roman" w:cs="Times New Roman"/>
        </w:rPr>
        <w:t xml:space="preserve"> the</w:t>
      </w:r>
      <w:r>
        <w:rPr>
          <w:rFonts w:ascii="Times New Roman" w:hAnsi="Times New Roman" w:cs="Times New Roman"/>
        </w:rPr>
        <w:t xml:space="preserve"> </w:t>
      </w:r>
      <w:r w:rsidRPr="00E7769F">
        <w:rPr>
          <w:rFonts w:ascii="Times New Roman" w:hAnsi="Times New Roman" w:cs="Times New Roman"/>
          <w:b/>
        </w:rPr>
        <w:t>W</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Pr>
          <w:rFonts w:ascii="Times" w:hAnsi="Times"/>
          <w:sz w:val="20"/>
          <w:szCs w:val="20"/>
        </w:rPr>
        <w:t xml:space="preserve"> </w:t>
      </w:r>
      <w:r>
        <w:rPr>
          <w:rFonts w:ascii="Times New Roman" w:hAnsi="Times New Roman" w:cs="Times New Roman"/>
        </w:rPr>
        <w:t xml:space="preserve">series were plotted over the 2-year course against the </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Pr>
          <w:rFonts w:ascii="Times New Roman" w:hAnsi="Times New Roman" w:cs="Times New Roman"/>
        </w:rPr>
        <w:t xml:space="preserve"> series in fig</w:t>
      </w:r>
      <w:r w:rsidR="009D71B4">
        <w:rPr>
          <w:rFonts w:ascii="Times New Roman" w:hAnsi="Times New Roman" w:cs="Times New Roman"/>
        </w:rPr>
        <w:t>ure</w:t>
      </w:r>
      <w:r>
        <w:rPr>
          <w:rFonts w:ascii="Times New Roman" w:hAnsi="Times New Roman" w:cs="Times New Roman"/>
        </w:rPr>
        <w:t xml:space="preserve"> 4.2</w:t>
      </w:r>
      <w:r w:rsidR="00315E85">
        <w:rPr>
          <w:rFonts w:ascii="Times New Roman" w:hAnsi="Times New Roman" w:cs="Times New Roman"/>
        </w:rPr>
        <w:t>7</w:t>
      </w:r>
      <w:r>
        <w:rPr>
          <w:rFonts w:ascii="Times New Roman" w:hAnsi="Times New Roman" w:cs="Times New Roman"/>
        </w:rPr>
        <w:t xml:space="preserve">. </w:t>
      </w:r>
      <w:r w:rsidR="009C1319">
        <w:rPr>
          <w:rFonts w:ascii="Times New Roman" w:hAnsi="Times New Roman" w:cs="Times New Roman"/>
        </w:rPr>
        <w:t>C</w:t>
      </w:r>
      <w:r>
        <w:rPr>
          <w:rFonts w:ascii="Times New Roman" w:hAnsi="Times New Roman" w:cs="Times New Roman"/>
        </w:rPr>
        <w:t xml:space="preserve">hanging the solution increases leaching rate, as this </w:t>
      </w:r>
      <w:r w:rsidR="00315E85">
        <w:rPr>
          <w:rFonts w:ascii="Times New Roman" w:hAnsi="Times New Roman" w:cs="Times New Roman"/>
        </w:rPr>
        <w:t xml:space="preserve">can be seen within the first 14 days, the rate is </w:t>
      </w:r>
      <w:r>
        <w:rPr>
          <w:rFonts w:ascii="Times New Roman" w:hAnsi="Times New Roman" w:cs="Times New Roman"/>
        </w:rPr>
        <w:t xml:space="preserve">higher in the </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Pr>
          <w:rFonts w:ascii="Times New Roman" w:hAnsi="Times New Roman" w:cs="Times New Roman"/>
        </w:rPr>
        <w:t xml:space="preserve"> series than in the </w:t>
      </w:r>
      <w:r>
        <w:rPr>
          <w:rFonts w:ascii="Times New Roman" w:hAnsi="Times New Roman" w:cs="Times New Roman"/>
          <w:b/>
        </w:rPr>
        <w:t>W</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proofErr w:type="gramStart"/>
      <w:r>
        <w:rPr>
          <w:rFonts w:ascii="Times" w:hAnsi="Times"/>
          <w:sz w:val="20"/>
          <w:szCs w:val="20"/>
        </w:rPr>
        <w:t xml:space="preserve"> </w:t>
      </w:r>
      <w:r>
        <w:rPr>
          <w:rFonts w:ascii="Times New Roman" w:hAnsi="Times New Roman" w:cs="Times New Roman"/>
        </w:rPr>
        <w:t>.</w:t>
      </w:r>
      <w:proofErr w:type="gramEnd"/>
      <w:r>
        <w:rPr>
          <w:rFonts w:ascii="Times New Roman" w:hAnsi="Times New Roman" w:cs="Times New Roman"/>
        </w:rPr>
        <w:t xml:space="preserve"> This is expected given that </w:t>
      </w:r>
      <w:proofErr w:type="gramStart"/>
      <w:r>
        <w:rPr>
          <w:rFonts w:ascii="Times New Roman" w:hAnsi="Times New Roman" w:cs="Times New Roman"/>
        </w:rPr>
        <w:t>by this point the solution had been changed</w:t>
      </w:r>
      <w:proofErr w:type="gramEnd"/>
      <w:r>
        <w:rPr>
          <w:rFonts w:ascii="Times New Roman" w:hAnsi="Times New Roman" w:cs="Times New Roman"/>
        </w:rPr>
        <w:t xml:space="preserve"> 3 times. </w:t>
      </w:r>
      <w:r w:rsidR="009C1319">
        <w:rPr>
          <w:rFonts w:ascii="Times New Roman" w:hAnsi="Times New Roman" w:cs="Times New Roman"/>
        </w:rPr>
        <w:t xml:space="preserve">The </w:t>
      </w:r>
      <w:r>
        <w:rPr>
          <w:rFonts w:ascii="Times New Roman" w:hAnsi="Times New Roman" w:cs="Times New Roman"/>
        </w:rPr>
        <w:t xml:space="preserve">curves show a sharp decrease in leaching rates at </w:t>
      </w:r>
      <w:r w:rsidR="009C1319">
        <w:rPr>
          <w:rFonts w:ascii="Times New Roman" w:hAnsi="Times New Roman" w:cs="Times New Roman"/>
        </w:rPr>
        <w:t xml:space="preserve">an early stage in both samples, with </w:t>
      </w:r>
      <w:r>
        <w:rPr>
          <w:rFonts w:ascii="Times New Roman" w:hAnsi="Times New Roman" w:cs="Times New Roman"/>
        </w:rPr>
        <w:t xml:space="preserve">the </w:t>
      </w:r>
      <w:r w:rsidRPr="00981D4C">
        <w:rPr>
          <w:rFonts w:ascii="Times New Roman" w:hAnsi="Times New Roman" w:cs="Times New Roman"/>
          <w:b/>
        </w:rPr>
        <w:t>W</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proofErr w:type="gramStart"/>
      <w:r>
        <w:rPr>
          <w:rFonts w:ascii="Times" w:hAnsi="Times"/>
          <w:sz w:val="20"/>
          <w:szCs w:val="20"/>
        </w:rPr>
        <w:t xml:space="preserve"> </w:t>
      </w:r>
      <w:r>
        <w:rPr>
          <w:rFonts w:ascii="Times New Roman" w:hAnsi="Times New Roman" w:cs="Times New Roman"/>
        </w:rPr>
        <w:t xml:space="preserve"> series</w:t>
      </w:r>
      <w:proofErr w:type="gramEnd"/>
      <w:r>
        <w:rPr>
          <w:rFonts w:ascii="Times New Roman" w:hAnsi="Times New Roman" w:cs="Times New Roman"/>
        </w:rPr>
        <w:t xml:space="preserve"> </w:t>
      </w:r>
      <w:r w:rsidR="009C1319">
        <w:rPr>
          <w:rFonts w:ascii="Times New Roman" w:hAnsi="Times New Roman" w:cs="Times New Roman"/>
        </w:rPr>
        <w:t xml:space="preserve">decreasing more than </w:t>
      </w:r>
      <w:r>
        <w:rPr>
          <w:rFonts w:ascii="Times New Roman" w:hAnsi="Times New Roman" w:cs="Times New Roman"/>
        </w:rPr>
        <w:t xml:space="preserve">the </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Pr>
          <w:rFonts w:ascii="Times New Roman" w:hAnsi="Times New Roman" w:cs="Times New Roman"/>
        </w:rPr>
        <w:t>.</w:t>
      </w:r>
    </w:p>
    <w:p w14:paraId="67A6952D" w14:textId="77777777" w:rsidR="005708A0" w:rsidRDefault="005708A0" w:rsidP="005708A0">
      <w:pPr>
        <w:spacing w:line="480" w:lineRule="exact"/>
        <w:jc w:val="both"/>
        <w:rPr>
          <w:rFonts w:ascii="Times New Roman" w:hAnsi="Times New Roman" w:cs="Times New Roman"/>
          <w:color w:val="000000"/>
        </w:rPr>
      </w:pPr>
    </w:p>
    <w:p w14:paraId="7CB5DAD3" w14:textId="77777777" w:rsidR="005708A0" w:rsidRPr="0093435E" w:rsidRDefault="005708A0" w:rsidP="005708A0">
      <w:pPr>
        <w:spacing w:before="240" w:after="120"/>
        <w:ind w:left="284"/>
        <w:jc w:val="both"/>
        <w:rPr>
          <w:rFonts w:ascii="Times New Roman" w:hAnsi="Times New Roman" w:cs="Times New Roman"/>
          <w:b/>
        </w:rPr>
      </w:pPr>
      <w:r w:rsidRPr="0093435E">
        <w:rPr>
          <w:b/>
          <w:noProof/>
        </w:rPr>
        <w:drawing>
          <wp:inline distT="0" distB="0" distL="0" distR="0" wp14:anchorId="698A1076" wp14:editId="7076FBC7">
            <wp:extent cx="5486400" cy="2785745"/>
            <wp:effectExtent l="0" t="0" r="0" b="8255"/>
            <wp:docPr id="947" name="Chart 94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798DE0A" w14:textId="0212E7E4" w:rsidR="005708A0" w:rsidRPr="00092D3D" w:rsidRDefault="005708A0" w:rsidP="005708A0">
      <w:pPr>
        <w:spacing w:before="240" w:after="120"/>
        <w:jc w:val="center"/>
        <w:rPr>
          <w:rFonts w:ascii="Times New Roman" w:hAnsi="Times New Roman" w:cs="Times New Roman"/>
        </w:rPr>
      </w:pPr>
      <w:r>
        <w:rPr>
          <w:rFonts w:ascii="Times New Roman" w:hAnsi="Times New Roman" w:cs="Times New Roman"/>
          <w:b/>
        </w:rPr>
        <w:t>Figure 4.2</w:t>
      </w:r>
      <w:r w:rsidR="00315E85">
        <w:rPr>
          <w:rFonts w:ascii="Times New Roman" w:hAnsi="Times New Roman" w:cs="Times New Roman"/>
          <w:b/>
        </w:rPr>
        <w:t>7</w:t>
      </w:r>
      <w:r w:rsidRPr="0093435E">
        <w:rPr>
          <w:rFonts w:ascii="Times New Roman" w:hAnsi="Times New Roman" w:cs="Times New Roman"/>
          <w:b/>
        </w:rPr>
        <w:t>:</w:t>
      </w:r>
      <w:r>
        <w:rPr>
          <w:rFonts w:ascii="Times New Roman" w:hAnsi="Times New Roman" w:cs="Times New Roman"/>
          <w:b/>
        </w:rPr>
        <w:t xml:space="preserve"> </w:t>
      </w:r>
      <w:r>
        <w:rPr>
          <w:rFonts w:ascii="Times New Roman" w:hAnsi="Times New Roman" w:cs="Times New Roman"/>
        </w:rPr>
        <w:t>Normalised leaching rates of Ca from waste loaded samples leached statically (W) and semi-statically</w:t>
      </w:r>
    </w:p>
    <w:p w14:paraId="6E8B1C8B" w14:textId="77777777" w:rsidR="005708A0" w:rsidRPr="00EB60C3" w:rsidRDefault="005708A0" w:rsidP="005708A0">
      <w:pPr>
        <w:spacing w:line="480" w:lineRule="exact"/>
        <w:jc w:val="both"/>
        <w:rPr>
          <w:rFonts w:ascii="Times New Roman" w:hAnsi="Times New Roman" w:cs="Times New Roman"/>
          <w:color w:val="000000"/>
        </w:rPr>
      </w:pPr>
    </w:p>
    <w:p w14:paraId="69D2E473" w14:textId="0ED028E5" w:rsidR="005708A0" w:rsidRPr="00DD24D8" w:rsidRDefault="005708A0" w:rsidP="005708A0">
      <w:pPr>
        <w:spacing w:before="240" w:after="120" w:line="480" w:lineRule="exact"/>
        <w:jc w:val="both"/>
        <w:rPr>
          <w:rFonts w:ascii="Times New Roman" w:hAnsi="Times New Roman" w:cs="Times New Roman"/>
        </w:rPr>
      </w:pPr>
      <w:r>
        <w:rPr>
          <w:rFonts w:ascii="Times New Roman" w:hAnsi="Times New Roman" w:cs="Times New Roman"/>
        </w:rPr>
        <w:lastRenderedPageBreak/>
        <w:t xml:space="preserve">The curve also shows that the leaching rate of the </w:t>
      </w:r>
      <w:r w:rsidRPr="00981D4C">
        <w:rPr>
          <w:rFonts w:ascii="Times New Roman" w:hAnsi="Times New Roman" w:cs="Times New Roman"/>
          <w:b/>
        </w:rPr>
        <w:t>W</w:t>
      </w:r>
      <w:r>
        <w:rPr>
          <w:rFonts w:ascii="Times New Roman" w:hAnsi="Times New Roman" w:cs="Times New Roman"/>
        </w:rPr>
        <w:t xml:space="preserve"> tests continues decreasing up until 1 year 6 months. This suggests that these cements can</w:t>
      </w:r>
      <w:r w:rsidR="00D32EE2">
        <w:rPr>
          <w:rFonts w:ascii="Times New Roman" w:hAnsi="Times New Roman" w:cs="Times New Roman"/>
        </w:rPr>
        <w:t xml:space="preserve"> leach for</w:t>
      </w:r>
      <w:r>
        <w:rPr>
          <w:rFonts w:ascii="Times New Roman" w:hAnsi="Times New Roman" w:cs="Times New Roman"/>
        </w:rPr>
        <w:t xml:space="preserve"> </w:t>
      </w:r>
      <w:r w:rsidR="00887066">
        <w:rPr>
          <w:rFonts w:ascii="Times New Roman" w:hAnsi="Times New Roman" w:cs="Times New Roman"/>
        </w:rPr>
        <w:t>more than</w:t>
      </w:r>
      <w:r>
        <w:rPr>
          <w:rFonts w:ascii="Times New Roman" w:hAnsi="Times New Roman" w:cs="Times New Roman"/>
        </w:rPr>
        <w:t xml:space="preserve"> 1 year 6 months in a static environment without saturating the leachate, ass</w:t>
      </w:r>
      <w:r w:rsidR="003F5FE2">
        <w:rPr>
          <w:rFonts w:ascii="Times New Roman" w:hAnsi="Times New Roman" w:cs="Times New Roman"/>
        </w:rPr>
        <w:t>uming the leachate is immobile.</w:t>
      </w:r>
    </w:p>
    <w:p w14:paraId="5A92F59B" w14:textId="1F0BDC77" w:rsidR="005708A0" w:rsidRPr="007E4DC7" w:rsidRDefault="005708A0" w:rsidP="005708A0">
      <w:pPr>
        <w:spacing w:before="240" w:after="120" w:line="480" w:lineRule="exact"/>
        <w:jc w:val="both"/>
        <w:rPr>
          <w:rFonts w:ascii="Times New Roman" w:hAnsi="Times New Roman" w:cs="Times New Roman"/>
          <w:color w:val="000000"/>
        </w:rPr>
      </w:pPr>
      <w:r>
        <w:rPr>
          <w:rFonts w:ascii="Times New Roman" w:hAnsi="Times New Roman" w:cs="Times New Roman"/>
          <w:color w:val="000000"/>
        </w:rPr>
        <w:t>The pH for both the static and semi-static</w:t>
      </w:r>
      <w:r w:rsidR="003F5FE2">
        <w:rPr>
          <w:rFonts w:ascii="Times New Roman" w:hAnsi="Times New Roman" w:cs="Times New Roman"/>
          <w:color w:val="000000"/>
        </w:rPr>
        <w:t xml:space="preserve"> testing</w:t>
      </w:r>
      <w:r w:rsidR="00315E85">
        <w:rPr>
          <w:rFonts w:ascii="Times New Roman" w:hAnsi="Times New Roman" w:cs="Times New Roman"/>
          <w:color w:val="000000"/>
        </w:rPr>
        <w:t xml:space="preserve"> were</w:t>
      </w:r>
      <w:r>
        <w:rPr>
          <w:rFonts w:ascii="Times New Roman" w:hAnsi="Times New Roman" w:cs="Times New Roman"/>
          <w:color w:val="000000"/>
        </w:rPr>
        <w:t xml:space="preserve"> compared. In the </w:t>
      </w:r>
      <w:r w:rsidR="003F5FE2">
        <w:rPr>
          <w:rFonts w:ascii="Times New Roman" w:hAnsi="Times New Roman" w:cs="Times New Roman"/>
          <w:color w:val="000000"/>
        </w:rPr>
        <w:t>static leaching</w:t>
      </w:r>
      <w:r>
        <w:rPr>
          <w:rFonts w:ascii="Times New Roman" w:hAnsi="Times New Roman" w:cs="Times New Roman"/>
          <w:color w:val="000000"/>
        </w:rPr>
        <w:t xml:space="preserve"> the pH results exhibited a continuous increase up until 14 days, after this period the pH change was negligible. </w:t>
      </w:r>
      <w:r w:rsidR="00887066">
        <w:rPr>
          <w:rFonts w:ascii="Times New Roman" w:hAnsi="Times New Roman" w:cs="Times New Roman"/>
          <w:color w:val="000000"/>
        </w:rPr>
        <w:t>In the semi-static results it was</w:t>
      </w:r>
      <w:r>
        <w:rPr>
          <w:rFonts w:ascii="Times New Roman" w:hAnsi="Times New Roman" w:cs="Times New Roman"/>
          <w:color w:val="000000"/>
        </w:rPr>
        <w:t xml:space="preserve"> found that because the water was replaced the </w:t>
      </w:r>
      <w:r w:rsidR="00887066">
        <w:rPr>
          <w:rFonts w:ascii="Times New Roman" w:hAnsi="Times New Roman" w:cs="Times New Roman"/>
          <w:color w:val="000000"/>
        </w:rPr>
        <w:t>pH would need to be measured before and after each water change</w:t>
      </w:r>
      <w:r>
        <w:rPr>
          <w:rFonts w:ascii="Times New Roman" w:hAnsi="Times New Roman" w:cs="Times New Roman"/>
          <w:color w:val="000000"/>
        </w:rPr>
        <w:t xml:space="preserve">. Therefore a similar experiment was set up over a short period of time. </w:t>
      </w:r>
      <w:r w:rsidR="003F5FE2">
        <w:rPr>
          <w:rFonts w:ascii="Times New Roman" w:hAnsi="Times New Roman" w:cs="Times New Roman"/>
          <w:color w:val="000000"/>
        </w:rPr>
        <w:t>In the semi-static leaching tests</w:t>
      </w:r>
      <w:r>
        <w:rPr>
          <w:rFonts w:ascii="Times New Roman" w:hAnsi="Times New Roman" w:cs="Times New Roman"/>
          <w:color w:val="000000"/>
        </w:rPr>
        <w:t xml:space="preserve"> the pH was measured before and after each water change as well as measured at the end of each leaching stage. Figure 4.2</w:t>
      </w:r>
      <w:r w:rsidR="00315E85">
        <w:rPr>
          <w:rFonts w:ascii="Times New Roman" w:hAnsi="Times New Roman" w:cs="Times New Roman"/>
          <w:color w:val="000000"/>
        </w:rPr>
        <w:t>8</w:t>
      </w:r>
      <w:r>
        <w:rPr>
          <w:rFonts w:ascii="Times New Roman" w:hAnsi="Times New Roman" w:cs="Times New Roman"/>
          <w:color w:val="000000"/>
        </w:rPr>
        <w:t xml:space="preserve"> represents the data gathered. The yellow squares indicate the pH directly before the water change. </w:t>
      </w:r>
    </w:p>
    <w:p w14:paraId="52E50F61" w14:textId="4A304A25" w:rsidR="005708A0" w:rsidRDefault="005708A0" w:rsidP="005708A0">
      <w:pPr>
        <w:spacing w:before="240" w:after="120"/>
        <w:ind w:hanging="284"/>
        <w:jc w:val="center"/>
        <w:rPr>
          <w:rFonts w:ascii="Times New Roman" w:hAnsi="Times New Roman" w:cs="Times New Roman"/>
          <w:color w:val="000000"/>
        </w:rPr>
      </w:pPr>
      <w:r>
        <w:rPr>
          <w:noProof/>
        </w:rPr>
        <w:drawing>
          <wp:inline distT="0" distB="0" distL="0" distR="0" wp14:anchorId="3CA53B63" wp14:editId="5D6F971C">
            <wp:extent cx="6172200" cy="2971800"/>
            <wp:effectExtent l="0" t="0" r="0" b="0"/>
            <wp:docPr id="948" name="Chart 9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00315E85">
        <w:rPr>
          <w:rFonts w:ascii="Times New Roman" w:hAnsi="Times New Roman" w:cs="Times New Roman"/>
          <w:b/>
          <w:color w:val="000000"/>
        </w:rPr>
        <w:t>Figure 4.28</w:t>
      </w:r>
      <w:r>
        <w:rPr>
          <w:rFonts w:ascii="Times New Roman" w:hAnsi="Times New Roman" w:cs="Times New Roman"/>
          <w:b/>
          <w:color w:val="000000"/>
        </w:rPr>
        <w:t>:</w:t>
      </w:r>
      <w:r>
        <w:rPr>
          <w:rFonts w:ascii="Times New Roman" w:hAnsi="Times New Roman" w:cs="Times New Roman"/>
          <w:color w:val="000000"/>
        </w:rPr>
        <w:tab/>
        <w:t>pH results of static</w:t>
      </w:r>
      <w:r w:rsidR="003F5FE2">
        <w:rPr>
          <w:rFonts w:ascii="Times New Roman" w:hAnsi="Times New Roman" w:cs="Times New Roman"/>
          <w:color w:val="000000"/>
        </w:rPr>
        <w:t xml:space="preserve"> </w:t>
      </w:r>
      <w:r>
        <w:rPr>
          <w:rFonts w:ascii="Times New Roman" w:hAnsi="Times New Roman" w:cs="Times New Roman"/>
          <w:color w:val="000000"/>
        </w:rPr>
        <w:t xml:space="preserve">(W) </w:t>
      </w:r>
      <w:r w:rsidR="003F5FE2">
        <w:rPr>
          <w:rFonts w:ascii="Times New Roman" w:hAnsi="Times New Roman" w:cs="Times New Roman"/>
          <w:color w:val="000000"/>
        </w:rPr>
        <w:t>compared with</w:t>
      </w:r>
      <w:r>
        <w:rPr>
          <w:rFonts w:ascii="Times New Roman" w:hAnsi="Times New Roman" w:cs="Times New Roman"/>
          <w:color w:val="000000"/>
        </w:rPr>
        <w:t xml:space="preserve"> semi-static leaching of</w:t>
      </w:r>
      <w:r w:rsidRPr="00FC5076">
        <w:rPr>
          <w:rFonts w:ascii="Times New Roman" w:hAnsi="Times New Roman" w:cs="Times New Roman"/>
          <w:b/>
          <w:color w:val="000000"/>
        </w:rPr>
        <w:t xml:space="preserve"> B</w:t>
      </w:r>
      <w:r>
        <w:rPr>
          <w:rFonts w:ascii="Times New Roman" w:hAnsi="Times New Roman" w:cs="Times New Roman"/>
          <w:color w:val="000000"/>
        </w:rPr>
        <w:t xml:space="preserve"> and </w:t>
      </w:r>
      <w:r>
        <w:rPr>
          <w:rFonts w:ascii="Times New Roman" w:hAnsi="Times New Roman" w:cs="Times New Roman"/>
          <w:b/>
          <w:color w:val="000000"/>
        </w:rPr>
        <w:t xml:space="preserve">CS </w:t>
      </w:r>
      <w:r>
        <w:rPr>
          <w:rFonts w:ascii="Times" w:hAnsi="Times"/>
          <w:szCs w:val="20"/>
        </w:rPr>
        <w:t>o</w:t>
      </w:r>
      <w:r>
        <w:rPr>
          <w:rFonts w:ascii="Times New Roman" w:hAnsi="Times New Roman" w:cs="Times New Roman"/>
          <w:color w:val="000000"/>
        </w:rPr>
        <w:t>ver 2 weeks</w:t>
      </w:r>
    </w:p>
    <w:p w14:paraId="388BCE6F" w14:textId="772B6D53" w:rsidR="005708A0" w:rsidRDefault="00315E85" w:rsidP="005708A0">
      <w:pPr>
        <w:spacing w:before="240" w:after="120" w:line="480" w:lineRule="exact"/>
        <w:jc w:val="both"/>
        <w:rPr>
          <w:rFonts w:ascii="Times New Roman" w:hAnsi="Times New Roman" w:cs="Times New Roman"/>
        </w:rPr>
      </w:pPr>
      <w:r>
        <w:rPr>
          <w:rFonts w:ascii="Times New Roman" w:hAnsi="Times New Roman" w:cs="Times New Roman"/>
        </w:rPr>
        <w:t>The graph in figure 4.28</w:t>
      </w:r>
      <w:r w:rsidR="005708A0">
        <w:rPr>
          <w:rFonts w:ascii="Times New Roman" w:hAnsi="Times New Roman" w:cs="Times New Roman"/>
        </w:rPr>
        <w:t xml:space="preserve"> shows that water replacement lowers the pH of the leaching environment to approximately 7 in the </w:t>
      </w:r>
      <w:r w:rsidR="005708A0">
        <w:rPr>
          <w:rFonts w:ascii="Times New Roman" w:hAnsi="Times New Roman" w:cs="Times New Roman"/>
          <w:b/>
        </w:rPr>
        <w:t xml:space="preserve">B </w:t>
      </w:r>
      <w:r w:rsidR="005708A0">
        <w:rPr>
          <w:rFonts w:ascii="Times New Roman" w:hAnsi="Times New Roman" w:cs="Times New Roman"/>
        </w:rPr>
        <w:t xml:space="preserve">tests and 8 in the </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sidR="005708A0">
        <w:rPr>
          <w:rFonts w:ascii="Times New Roman" w:hAnsi="Times New Roman" w:cs="Times New Roman"/>
        </w:rPr>
        <w:t xml:space="preserve"> tests. In</w:t>
      </w:r>
      <w:r w:rsidR="00A71B4B">
        <w:rPr>
          <w:rFonts w:ascii="Times New Roman" w:hAnsi="Times New Roman" w:cs="Times New Roman"/>
        </w:rPr>
        <w:t xml:space="preserve"> the</w:t>
      </w:r>
      <w:r w:rsidR="005708A0">
        <w:rPr>
          <w:rFonts w:ascii="Times New Roman" w:hAnsi="Times New Roman" w:cs="Times New Roman"/>
        </w:rPr>
        <w:t xml:space="preserve"> first 7 days the pH does not surpass 9.5 in the</w:t>
      </w:r>
      <m:oMath>
        <m:r>
          <w:rPr>
            <w:rFonts w:ascii="Cambria Math" w:hAnsi="Cambria Math" w:cs="Times New Roman"/>
            <w:sz w:val="36"/>
            <w:szCs w:val="36"/>
          </w:rPr>
          <m:t xml:space="preserve"> </m:t>
        </m:r>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sidR="005708A0">
        <w:rPr>
          <w:rFonts w:ascii="Times" w:hAnsi="Times"/>
          <w:sz w:val="20"/>
          <w:szCs w:val="20"/>
        </w:rPr>
        <w:t xml:space="preserve"> </w:t>
      </w:r>
      <w:r w:rsidR="005708A0">
        <w:rPr>
          <w:rFonts w:ascii="Times New Roman" w:hAnsi="Times New Roman" w:cs="Times New Roman"/>
        </w:rPr>
        <w:t>sample however in the</w:t>
      </w:r>
      <w:r w:rsidR="005708A0">
        <w:rPr>
          <w:rFonts w:ascii="Times New Roman" w:hAnsi="Times New Roman" w:cs="Times New Roman"/>
          <w:b/>
        </w:rPr>
        <w:t xml:space="preserve"> W</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proofErr w:type="gramStart"/>
      <w:r w:rsidR="005708A0">
        <w:rPr>
          <w:rFonts w:ascii="Times" w:hAnsi="Times"/>
          <w:sz w:val="20"/>
          <w:szCs w:val="20"/>
        </w:rPr>
        <w:t xml:space="preserve"> </w:t>
      </w:r>
      <w:r w:rsidR="005708A0">
        <w:rPr>
          <w:rFonts w:ascii="Times New Roman" w:hAnsi="Times New Roman" w:cs="Times New Roman"/>
        </w:rPr>
        <w:t xml:space="preserve"> it</w:t>
      </w:r>
      <w:proofErr w:type="gramEnd"/>
      <w:r w:rsidR="005708A0">
        <w:rPr>
          <w:rFonts w:ascii="Times New Roman" w:hAnsi="Times New Roman" w:cs="Times New Roman"/>
        </w:rPr>
        <w:t xml:space="preserve"> has reached around 10.7. It seems to reach a plateau at 11.5 for the </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sidR="005708A0">
        <w:rPr>
          <w:rFonts w:ascii="Times" w:hAnsi="Times"/>
          <w:sz w:val="20"/>
          <w:szCs w:val="20"/>
        </w:rPr>
        <w:t xml:space="preserve"> </w:t>
      </w:r>
      <w:r w:rsidR="005708A0">
        <w:rPr>
          <w:rFonts w:ascii="Times New Roman" w:hAnsi="Times New Roman" w:cs="Times New Roman"/>
        </w:rPr>
        <w:t xml:space="preserve">and 10.5 for the </w:t>
      </w:r>
      <w:r w:rsidR="005708A0" w:rsidRPr="002A3548">
        <w:rPr>
          <w:rFonts w:ascii="Times New Roman" w:hAnsi="Times New Roman" w:cs="Times New Roman"/>
          <w:b/>
        </w:rPr>
        <w:t>B</w:t>
      </w:r>
      <w:r w:rsidR="00A71B4B">
        <w:rPr>
          <w:rFonts w:ascii="Times New Roman" w:hAnsi="Times New Roman" w:cs="Times New Roman"/>
        </w:rPr>
        <w:t xml:space="preserve"> series. However these levels are </w:t>
      </w:r>
      <w:proofErr w:type="gramStart"/>
      <w:r w:rsidR="00A71B4B">
        <w:rPr>
          <w:rFonts w:ascii="Times New Roman" w:hAnsi="Times New Roman" w:cs="Times New Roman"/>
        </w:rPr>
        <w:t>surpassed  in</w:t>
      </w:r>
      <w:proofErr w:type="gramEnd"/>
      <w:r w:rsidR="00A71B4B">
        <w:rPr>
          <w:rFonts w:ascii="Times New Roman" w:hAnsi="Times New Roman" w:cs="Times New Roman"/>
        </w:rPr>
        <w:t xml:space="preserve"> the </w:t>
      </w:r>
      <w:r w:rsidR="005708A0" w:rsidRPr="002A3548">
        <w:rPr>
          <w:rFonts w:ascii="Times New Roman" w:hAnsi="Times New Roman" w:cs="Times New Roman"/>
          <w:b/>
        </w:rPr>
        <w:t>W</w:t>
      </w:r>
      <w:r w:rsidR="003F5FE2">
        <w:rPr>
          <w:rFonts w:ascii="Times New Roman" w:hAnsi="Times New Roman" w:cs="Times New Roman"/>
        </w:rPr>
        <w:t xml:space="preserve"> sample</w:t>
      </w:r>
      <w:r w:rsidR="00A71B4B">
        <w:rPr>
          <w:rFonts w:ascii="Times New Roman" w:hAnsi="Times New Roman" w:cs="Times New Roman"/>
        </w:rPr>
        <w:t>s</w:t>
      </w:r>
      <w:r w:rsidR="005708A0">
        <w:rPr>
          <w:rFonts w:ascii="Times New Roman" w:hAnsi="Times New Roman" w:cs="Times New Roman"/>
        </w:rPr>
        <w:t xml:space="preserve">. </w:t>
      </w:r>
    </w:p>
    <w:p w14:paraId="258A35BB" w14:textId="68405877" w:rsidR="005708A0" w:rsidRDefault="005708A0" w:rsidP="00A71B4B">
      <w:pPr>
        <w:spacing w:before="240" w:after="120" w:line="480" w:lineRule="exact"/>
        <w:jc w:val="both"/>
        <w:rPr>
          <w:rFonts w:ascii="Times New Roman" w:hAnsi="Times New Roman" w:cs="Times New Roman"/>
        </w:rPr>
      </w:pPr>
      <w:r>
        <w:rPr>
          <w:rFonts w:ascii="Times New Roman" w:hAnsi="Times New Roman" w:cs="Times New Roman"/>
        </w:rPr>
        <w:lastRenderedPageBreak/>
        <w:t xml:space="preserve">The normalised leached amounts of Ca from both the </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Pr>
          <w:rFonts w:ascii="Times" w:hAnsi="Times"/>
          <w:sz w:val="20"/>
          <w:szCs w:val="20"/>
        </w:rPr>
        <w:t xml:space="preserve"> </w:t>
      </w:r>
      <w:r>
        <w:rPr>
          <w:rFonts w:ascii="Times New Roman" w:hAnsi="Times New Roman" w:cs="Times New Roman"/>
        </w:rPr>
        <w:t xml:space="preserve">and </w:t>
      </w:r>
      <w:r w:rsidRPr="00596695">
        <w:rPr>
          <w:rFonts w:ascii="Times New Roman" w:hAnsi="Times New Roman" w:cs="Times New Roman"/>
          <w:b/>
        </w:rPr>
        <w:t>B</w:t>
      </w:r>
      <w:r>
        <w:rPr>
          <w:rFonts w:ascii="Times New Roman" w:hAnsi="Times New Roman" w:cs="Times New Roman"/>
        </w:rPr>
        <w:t xml:space="preserve"> samples for static and semi-static </w:t>
      </w:r>
      <w:r w:rsidR="00A71B4B">
        <w:rPr>
          <w:rFonts w:ascii="Times New Roman" w:hAnsi="Times New Roman" w:cs="Times New Roman"/>
        </w:rPr>
        <w:t>methods are shown in figure 4.29</w:t>
      </w:r>
      <w:r>
        <w:rPr>
          <w:rFonts w:ascii="Times New Roman" w:hAnsi="Times New Roman" w:cs="Times New Roman"/>
        </w:rPr>
        <w:t xml:space="preserve">, and it can be seen that in the semi-static method more Ca leaches out than in the static method for both the </w:t>
      </w:r>
      <w:r w:rsidRPr="002A3548">
        <w:rPr>
          <w:rFonts w:ascii="Times New Roman" w:hAnsi="Times New Roman" w:cs="Times New Roman"/>
          <w:b/>
        </w:rPr>
        <w:t>B</w:t>
      </w:r>
      <w:r>
        <w:rPr>
          <w:rFonts w:ascii="Times New Roman" w:hAnsi="Times New Roman" w:cs="Times New Roman"/>
        </w:rPr>
        <w:t xml:space="preserve"> and </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Pr>
          <w:rFonts w:ascii="Times New Roman" w:hAnsi="Times New Roman" w:cs="Times New Roman"/>
        </w:rPr>
        <w:t xml:space="preserve"> series.</w:t>
      </w:r>
      <w:r w:rsidR="00A71B4B">
        <w:rPr>
          <w:rFonts w:ascii="Times New Roman" w:hAnsi="Times New Roman" w:cs="Times New Roman"/>
        </w:rPr>
        <w:t xml:space="preserve"> Furthermore the leached amount</w:t>
      </w:r>
      <w:r>
        <w:rPr>
          <w:rFonts w:ascii="Times New Roman" w:hAnsi="Times New Roman" w:cs="Times New Roman"/>
        </w:rPr>
        <w:t xml:space="preserve"> of Ca in the </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sidR="00B542B5">
        <w:rPr>
          <w:rFonts w:ascii="Times" w:hAnsi="Times"/>
          <w:sz w:val="20"/>
          <w:szCs w:val="20"/>
        </w:rPr>
        <w:t xml:space="preserve"> samples</w:t>
      </w:r>
      <w:r>
        <w:rPr>
          <w:rFonts w:ascii="Times New Roman" w:hAnsi="Times New Roman" w:cs="Times New Roman"/>
        </w:rPr>
        <w:t xml:space="preserve"> is </w:t>
      </w:r>
      <w:r w:rsidR="00F360B7">
        <w:rPr>
          <w:rFonts w:ascii="Times New Roman" w:hAnsi="Times New Roman" w:cs="Times New Roman"/>
        </w:rPr>
        <w:t>larger</w:t>
      </w:r>
      <w:r>
        <w:rPr>
          <w:rFonts w:ascii="Times New Roman" w:hAnsi="Times New Roman" w:cs="Times New Roman"/>
        </w:rPr>
        <w:t xml:space="preserve"> than in the </w:t>
      </w:r>
      <w:r w:rsidRPr="002A3548">
        <w:rPr>
          <w:rFonts w:ascii="Times New Roman" w:hAnsi="Times New Roman" w:cs="Times New Roman"/>
          <w:b/>
        </w:rPr>
        <w:t>B</w:t>
      </w:r>
      <w:r>
        <w:rPr>
          <w:rFonts w:ascii="Times New Roman" w:hAnsi="Times New Roman" w:cs="Times New Roman"/>
        </w:rPr>
        <w:t xml:space="preserve"> samples in both the static and semi-static tests. On average the increase of Ca leached amounts from the </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Pr>
          <w:rFonts w:ascii="Times" w:hAnsi="Times"/>
          <w:sz w:val="20"/>
          <w:szCs w:val="20"/>
        </w:rPr>
        <w:t xml:space="preserve"> </w:t>
      </w:r>
      <w:r>
        <w:rPr>
          <w:rFonts w:ascii="Times New Roman" w:hAnsi="Times New Roman" w:cs="Times New Roman"/>
        </w:rPr>
        <w:t xml:space="preserve">samples is approximately double that in the </w:t>
      </w:r>
      <w:r w:rsidRPr="002A3548">
        <w:rPr>
          <w:rFonts w:ascii="Times New Roman" w:hAnsi="Times New Roman" w:cs="Times New Roman"/>
          <w:b/>
        </w:rPr>
        <w:t>B</w:t>
      </w:r>
      <w:r>
        <w:rPr>
          <w:rFonts w:ascii="Times New Roman" w:hAnsi="Times New Roman" w:cs="Times New Roman"/>
        </w:rPr>
        <w:t xml:space="preserve"> samples. </w:t>
      </w:r>
    </w:p>
    <w:p w14:paraId="423C154F" w14:textId="77777777" w:rsidR="005708A0" w:rsidRDefault="005708A0" w:rsidP="00A71B4B">
      <w:pPr>
        <w:spacing w:before="240" w:after="120"/>
        <w:ind w:left="-851"/>
        <w:jc w:val="both"/>
        <w:rPr>
          <w:rFonts w:ascii="Times New Roman" w:hAnsi="Times New Roman" w:cs="Times New Roman"/>
        </w:rPr>
      </w:pPr>
      <w:r>
        <w:rPr>
          <w:rFonts w:ascii="Times New Roman" w:hAnsi="Times New Roman" w:cs="Times New Roman"/>
          <w:noProof/>
        </w:rPr>
        <w:drawing>
          <wp:inline distT="0" distB="0" distL="0" distR="0" wp14:anchorId="2E0EA710" wp14:editId="6E7468CC">
            <wp:extent cx="6619789" cy="4395011"/>
            <wp:effectExtent l="0" t="0" r="10160" b="0"/>
            <wp:docPr id="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a:extLst>
                        <a:ext uri="{28A0092B-C50C-407E-A947-70E740481C1C}">
                          <a14:useLocalDpi xmlns:a14="http://schemas.microsoft.com/office/drawing/2010/main" val="0"/>
                        </a:ext>
                      </a:extLst>
                    </a:blip>
                    <a:srcRect l="2011" t="1399" r="2513" b="1111"/>
                    <a:stretch/>
                  </pic:blipFill>
                  <pic:spPr bwMode="auto">
                    <a:xfrm>
                      <a:off x="0" y="0"/>
                      <a:ext cx="6625676" cy="4398920"/>
                    </a:xfrm>
                    <a:prstGeom prst="rect">
                      <a:avLst/>
                    </a:prstGeom>
                    <a:noFill/>
                    <a:ln>
                      <a:noFill/>
                    </a:ln>
                    <a:extLst>
                      <a:ext uri="{53640926-AAD7-44d8-BBD7-CCE9431645EC}">
                        <a14:shadowObscured xmlns:a14="http://schemas.microsoft.com/office/drawing/2010/main"/>
                      </a:ext>
                    </a:extLst>
                  </pic:spPr>
                </pic:pic>
              </a:graphicData>
            </a:graphic>
          </wp:inline>
        </w:drawing>
      </w:r>
    </w:p>
    <w:p w14:paraId="160A5164" w14:textId="4EA5AB62" w:rsidR="005708A0" w:rsidRDefault="005708A0" w:rsidP="005708A0">
      <w:pPr>
        <w:spacing w:after="120"/>
        <w:ind w:left="425"/>
        <w:jc w:val="center"/>
        <w:rPr>
          <w:rFonts w:ascii="Times New Roman" w:hAnsi="Times New Roman" w:cs="Times New Roman"/>
        </w:rPr>
      </w:pPr>
      <w:r w:rsidRPr="0093435E">
        <w:rPr>
          <w:rFonts w:ascii="Times New Roman" w:hAnsi="Times New Roman" w:cs="Times New Roman"/>
          <w:b/>
        </w:rPr>
        <w:t>Figure 4.2</w:t>
      </w:r>
      <w:r w:rsidR="00A71B4B">
        <w:rPr>
          <w:rFonts w:ascii="Times New Roman" w:hAnsi="Times New Roman" w:cs="Times New Roman"/>
          <w:b/>
        </w:rPr>
        <w:t>9</w:t>
      </w:r>
      <w:r w:rsidRPr="0093435E">
        <w:rPr>
          <w:rFonts w:ascii="Times New Roman" w:hAnsi="Times New Roman" w:cs="Times New Roman"/>
          <w:b/>
        </w:rPr>
        <w:t>:</w:t>
      </w:r>
      <w:r>
        <w:rPr>
          <w:rFonts w:ascii="Times New Roman" w:hAnsi="Times New Roman" w:cs="Times New Roman"/>
          <w:b/>
        </w:rPr>
        <w:t xml:space="preserve"> </w:t>
      </w:r>
      <w:r>
        <w:rPr>
          <w:rFonts w:ascii="Times New Roman" w:hAnsi="Times New Roman" w:cs="Times New Roman"/>
        </w:rPr>
        <w:t xml:space="preserve">Normalised accumulated mass of Ca from B and CS for static and semi-static leaching </w:t>
      </w:r>
    </w:p>
    <w:p w14:paraId="24E12D11" w14:textId="7C52299A" w:rsidR="005708A0" w:rsidRPr="008972FD" w:rsidRDefault="005708A0" w:rsidP="005708A0">
      <w:pPr>
        <w:spacing w:before="360" w:after="120" w:line="480" w:lineRule="exact"/>
        <w:jc w:val="both"/>
        <w:rPr>
          <w:rFonts w:ascii="Times New Roman" w:hAnsi="Times New Roman" w:cs="Times New Roman"/>
        </w:rPr>
      </w:pPr>
      <w:r>
        <w:rPr>
          <w:rFonts w:ascii="Times New Roman" w:hAnsi="Times New Roman" w:cs="Times New Roman"/>
        </w:rPr>
        <w:t>A comparison is drawn between all four different lea</w:t>
      </w:r>
      <w:r w:rsidR="00D43FA8">
        <w:rPr>
          <w:rFonts w:ascii="Times New Roman" w:hAnsi="Times New Roman" w:cs="Times New Roman"/>
        </w:rPr>
        <w:t>ching procedures in figures 4.</w:t>
      </w:r>
      <w:r w:rsidR="00A71B4B">
        <w:rPr>
          <w:rFonts w:ascii="Times New Roman" w:hAnsi="Times New Roman" w:cs="Times New Roman"/>
        </w:rPr>
        <w:t xml:space="preserve">30 </w:t>
      </w:r>
      <w:r w:rsidR="00D43FA8">
        <w:rPr>
          <w:rFonts w:ascii="Times New Roman" w:hAnsi="Times New Roman" w:cs="Times New Roman"/>
        </w:rPr>
        <w:t>and 4.</w:t>
      </w:r>
      <w:r w:rsidR="00A71B4B">
        <w:rPr>
          <w:rFonts w:ascii="Times New Roman" w:hAnsi="Times New Roman" w:cs="Times New Roman"/>
        </w:rPr>
        <w:t>31</w:t>
      </w:r>
      <w:r>
        <w:rPr>
          <w:rFonts w:ascii="Times New Roman" w:hAnsi="Times New Roman" w:cs="Times New Roman"/>
        </w:rPr>
        <w:t xml:space="preserve"> for Cs and Sr respectively. The normalised accumulated masses are shown for each leaching procedure and period. </w:t>
      </w:r>
      <w:r w:rsidR="00971672">
        <w:rPr>
          <w:rFonts w:ascii="Times New Roman" w:hAnsi="Times New Roman" w:cs="Times New Roman"/>
        </w:rPr>
        <w:t xml:space="preserve">The acidic test is shown as </w:t>
      </w:r>
      <w:proofErr w:type="gramStart"/>
      <w:r w:rsidR="00971672" w:rsidRPr="002A3548">
        <w:rPr>
          <w:rFonts w:ascii="Times New Roman" w:hAnsi="Times New Roman" w:cs="Times New Roman"/>
          <w:b/>
        </w:rPr>
        <w:t>A</w:t>
      </w:r>
      <w:proofErr w:type="gramEnd"/>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sidR="00971672">
        <w:rPr>
          <w:rFonts w:ascii="Times New Roman" w:hAnsi="Times New Roman" w:cs="Times New Roman"/>
        </w:rPr>
        <w:t xml:space="preserve">. The two electrical tests are shown as </w:t>
      </w:r>
      <w:r w:rsidR="00971672" w:rsidRPr="002A3548">
        <w:rPr>
          <w:rFonts w:ascii="Times New Roman" w:hAnsi="Times New Roman" w:cs="Times New Roman"/>
          <w:b/>
        </w:rPr>
        <w:t>5E-</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sidR="00971672" w:rsidRPr="002A3548">
        <w:rPr>
          <w:rFonts w:ascii="Times New Roman" w:hAnsi="Times New Roman" w:cs="Times New Roman"/>
          <w:b/>
        </w:rPr>
        <w:t xml:space="preserve"> </w:t>
      </w:r>
      <w:r w:rsidR="00971672">
        <w:rPr>
          <w:rFonts w:ascii="Times New Roman" w:hAnsi="Times New Roman" w:cs="Times New Roman"/>
        </w:rPr>
        <w:t>(current of 5A/m</w:t>
      </w:r>
      <w:r w:rsidR="00971672">
        <w:rPr>
          <w:rFonts w:ascii="Times New Roman" w:hAnsi="Times New Roman" w:cs="Times New Roman"/>
          <w:vertAlign w:val="superscript"/>
        </w:rPr>
        <w:t>2</w:t>
      </w:r>
      <w:r w:rsidR="00971672">
        <w:rPr>
          <w:rFonts w:ascii="Times New Roman" w:hAnsi="Times New Roman" w:cs="Times New Roman"/>
        </w:rPr>
        <w:t xml:space="preserve">) and </w:t>
      </w:r>
      <w:r w:rsidR="00971672" w:rsidRPr="002A3548">
        <w:rPr>
          <w:rFonts w:ascii="Times New Roman" w:hAnsi="Times New Roman" w:cs="Times New Roman"/>
          <w:b/>
        </w:rPr>
        <w:t>25E-</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sidR="00971672">
        <w:rPr>
          <w:rFonts w:ascii="Times New Roman" w:hAnsi="Times New Roman" w:cs="Times New Roman"/>
        </w:rPr>
        <w:t xml:space="preserve"> (current of 25A/m</w:t>
      </w:r>
      <w:r w:rsidR="00971672">
        <w:rPr>
          <w:rFonts w:ascii="Times New Roman" w:hAnsi="Times New Roman" w:cs="Times New Roman"/>
          <w:vertAlign w:val="superscript"/>
        </w:rPr>
        <w:t>2</w:t>
      </w:r>
      <w:r w:rsidR="00971672">
        <w:rPr>
          <w:rFonts w:ascii="Times New Roman" w:hAnsi="Times New Roman" w:cs="Times New Roman"/>
        </w:rPr>
        <w:t xml:space="preserve">). </w:t>
      </w:r>
      <w:r>
        <w:rPr>
          <w:rFonts w:ascii="Times New Roman" w:hAnsi="Times New Roman" w:cs="Times New Roman"/>
        </w:rPr>
        <w:t xml:space="preserve">It can be seen that the leaching amounts of Cs and Sr within the </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sidRPr="002A3548">
        <w:rPr>
          <w:rFonts w:ascii="Times New Roman" w:hAnsi="Times New Roman" w:cs="Times New Roman"/>
          <w:b/>
        </w:rPr>
        <w:t xml:space="preserve"> </w:t>
      </w:r>
      <w:r>
        <w:rPr>
          <w:rFonts w:ascii="Times New Roman" w:hAnsi="Times New Roman" w:cs="Times New Roman"/>
        </w:rPr>
        <w:t xml:space="preserve">samples are higher in the semi-static in comparison to the static method.  </w:t>
      </w:r>
    </w:p>
    <w:p w14:paraId="6D8AA071" w14:textId="77777777" w:rsidR="005708A0" w:rsidRDefault="005708A0" w:rsidP="005708A0">
      <w:pPr>
        <w:spacing w:before="240" w:after="120" w:line="480" w:lineRule="exact"/>
        <w:jc w:val="center"/>
        <w:rPr>
          <w:rFonts w:ascii="Times" w:hAnsi="Times" w:cs="Times New Roman"/>
          <w:b/>
          <w:i/>
          <w:sz w:val="36"/>
        </w:rPr>
        <w:sectPr w:rsidR="005708A0" w:rsidSect="00E85025">
          <w:pgSz w:w="11900" w:h="16840"/>
          <w:pgMar w:top="1440" w:right="1270" w:bottom="1440" w:left="1797" w:header="709" w:footer="709" w:gutter="0"/>
          <w:cols w:space="708"/>
          <w:docGrid w:linePitch="360"/>
        </w:sectPr>
      </w:pPr>
    </w:p>
    <w:p w14:paraId="7A3A02E3" w14:textId="77777777" w:rsidR="005708A0" w:rsidRDefault="005708A0" w:rsidP="005708A0">
      <w:pPr>
        <w:spacing w:before="240" w:after="120"/>
        <w:ind w:left="142"/>
        <w:jc w:val="center"/>
        <w:rPr>
          <w:rFonts w:ascii="Times" w:hAnsi="Times" w:cs="Times New Roman"/>
          <w:b/>
          <w:i/>
          <w:sz w:val="36"/>
        </w:rPr>
      </w:pPr>
      <w:r>
        <w:rPr>
          <w:rFonts w:ascii="Times" w:hAnsi="Times" w:cs="Times New Roman"/>
          <w:noProof/>
          <w:sz w:val="36"/>
        </w:rPr>
        <w:lastRenderedPageBreak/>
        <mc:AlternateContent>
          <mc:Choice Requires="wps">
            <w:drawing>
              <wp:anchor distT="0" distB="0" distL="114300" distR="114300" simplePos="0" relativeHeight="251662336" behindDoc="0" locked="0" layoutInCell="1" allowOverlap="1" wp14:anchorId="4554ABAB" wp14:editId="5C4AA7A6">
                <wp:simplePos x="0" y="0"/>
                <wp:positionH relativeFrom="column">
                  <wp:posOffset>5029200</wp:posOffset>
                </wp:positionH>
                <wp:positionV relativeFrom="paragraph">
                  <wp:posOffset>2286000</wp:posOffset>
                </wp:positionV>
                <wp:extent cx="4229100" cy="0"/>
                <wp:effectExtent l="50800" t="25400" r="63500" b="101600"/>
                <wp:wrapNone/>
                <wp:docPr id="942" name="Straight Connector 942"/>
                <wp:cNvGraphicFramePr/>
                <a:graphic xmlns:a="http://schemas.openxmlformats.org/drawingml/2006/main">
                  <a:graphicData uri="http://schemas.microsoft.com/office/word/2010/wordprocessingShape">
                    <wps:wsp>
                      <wps:cNvCnPr/>
                      <wps:spPr>
                        <a:xfrm flipV="1">
                          <a:off x="0" y="0"/>
                          <a:ext cx="4229100" cy="0"/>
                        </a:xfrm>
                        <a:prstGeom prst="line">
                          <a:avLst/>
                        </a:prstGeom>
                        <a:ln w="12700" cmpd="sng">
                          <a:solidFill>
                            <a:schemeClr val="tx1">
                              <a:lumMod val="95000"/>
                              <a:lumOff val="5000"/>
                            </a:schemeClr>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42"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pt,180pt" to="729pt,18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" strokecolor="#0d0d0d [3069]" strokeweight="1pt">
                <v:stroke dashstyle="3 1"/>
                <v:shadow on="t" opacity="24903f" mv:blur="40000f" origin=",.5" offset="0,20000emu"/>
              </v:line>
            </w:pict>
          </mc:Fallback>
        </mc:AlternateContent>
      </w:r>
      <w:r>
        <w:rPr>
          <w:rFonts w:ascii="Times" w:hAnsi="Times" w:cs="Times New Roman"/>
          <w:noProof/>
          <w:sz w:val="36"/>
        </w:rPr>
        <mc:AlternateContent>
          <mc:Choice Requires="wps">
            <w:drawing>
              <wp:anchor distT="0" distB="0" distL="114300" distR="114300" simplePos="0" relativeHeight="251661312" behindDoc="0" locked="0" layoutInCell="1" allowOverlap="1" wp14:anchorId="370E64B2" wp14:editId="3E39CEE4">
                <wp:simplePos x="0" y="0"/>
                <wp:positionH relativeFrom="column">
                  <wp:posOffset>3086100</wp:posOffset>
                </wp:positionH>
                <wp:positionV relativeFrom="paragraph">
                  <wp:posOffset>3314700</wp:posOffset>
                </wp:positionV>
                <wp:extent cx="6286500" cy="0"/>
                <wp:effectExtent l="50800" t="25400" r="63500" b="101600"/>
                <wp:wrapNone/>
                <wp:docPr id="943" name="Straight Connector 943"/>
                <wp:cNvGraphicFramePr/>
                <a:graphic xmlns:a="http://schemas.openxmlformats.org/drawingml/2006/main">
                  <a:graphicData uri="http://schemas.microsoft.com/office/word/2010/wordprocessingShape">
                    <wps:wsp>
                      <wps:cNvCnPr/>
                      <wps:spPr>
                        <a:xfrm>
                          <a:off x="0" y="0"/>
                          <a:ext cx="6286500" cy="0"/>
                        </a:xfrm>
                        <a:prstGeom prst="line">
                          <a:avLst/>
                        </a:prstGeom>
                        <a:ln w="12700" cmpd="sng">
                          <a:solidFill>
                            <a:schemeClr val="tx1">
                              <a:lumMod val="95000"/>
                              <a:lumOff val="5000"/>
                            </a:schemeClr>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43"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pt,261pt" to="738pt,26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" strokecolor="#0d0d0d [3069]" strokeweight="1pt">
                <v:stroke dashstyle="3 1"/>
                <v:shadow on="t" opacity="24903f" mv:blur="40000f" origin=",.5" offset="0,20000emu"/>
              </v:line>
            </w:pict>
          </mc:Fallback>
        </mc:AlternateContent>
      </w:r>
      <w:r w:rsidRPr="00433D4B">
        <w:rPr>
          <w:rFonts w:ascii="Times" w:hAnsi="Times" w:cs="Times New Roman"/>
          <w:b/>
          <w:i/>
          <w:noProof/>
          <w:sz w:val="36"/>
        </w:rPr>
        <w:drawing>
          <wp:inline distT="0" distB="0" distL="0" distR="0" wp14:anchorId="4AC2CC95" wp14:editId="4D02814E">
            <wp:extent cx="8864600" cy="5123212"/>
            <wp:effectExtent l="0" t="0" r="0" b="7620"/>
            <wp:docPr id="950" name="Chart 9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E8DB7C7" w14:textId="21CA738E" w:rsidR="005708A0" w:rsidRPr="00092D3D" w:rsidRDefault="00A71B4B" w:rsidP="005708A0">
      <w:pPr>
        <w:spacing w:before="240" w:after="120"/>
        <w:ind w:left="1276"/>
        <w:jc w:val="center"/>
        <w:rPr>
          <w:rFonts w:ascii="Times New Roman" w:hAnsi="Times New Roman" w:cs="Times New Roman"/>
        </w:rPr>
      </w:pPr>
      <w:r>
        <w:rPr>
          <w:rFonts w:ascii="Times New Roman" w:hAnsi="Times New Roman" w:cs="Times New Roman"/>
          <w:b/>
        </w:rPr>
        <w:t>Figure 4.30</w:t>
      </w:r>
      <w:r w:rsidR="005708A0" w:rsidRPr="0093435E">
        <w:rPr>
          <w:rFonts w:ascii="Times New Roman" w:hAnsi="Times New Roman" w:cs="Times New Roman"/>
          <w:b/>
        </w:rPr>
        <w:t>:</w:t>
      </w:r>
      <w:r w:rsidR="005708A0">
        <w:rPr>
          <w:rFonts w:ascii="Times New Roman" w:hAnsi="Times New Roman" w:cs="Times New Roman"/>
          <w:b/>
        </w:rPr>
        <w:t xml:space="preserve"> </w:t>
      </w:r>
      <w:r w:rsidR="005708A0">
        <w:rPr>
          <w:rFonts w:ascii="Times New Roman" w:hAnsi="Times New Roman" w:cs="Times New Roman"/>
        </w:rPr>
        <w:t xml:space="preserve">Normalised accumulated mass of Cs from waste loaded samples (CS) for each leaching procedure and their respective leaching periods </w:t>
      </w:r>
    </w:p>
    <w:p w14:paraId="3DD003C4" w14:textId="77777777" w:rsidR="005708A0" w:rsidRDefault="005708A0" w:rsidP="005708A0">
      <w:pPr>
        <w:spacing w:before="240" w:after="120"/>
        <w:ind w:left="-142"/>
        <w:rPr>
          <w:rFonts w:ascii="Times" w:hAnsi="Times" w:cs="Times New Roman"/>
          <w:sz w:val="36"/>
        </w:rPr>
      </w:pPr>
      <w:r>
        <w:rPr>
          <w:rFonts w:ascii="Times" w:hAnsi="Times" w:cs="Times New Roman"/>
          <w:noProof/>
          <w:sz w:val="36"/>
        </w:rPr>
        <w:lastRenderedPageBreak/>
        <mc:AlternateContent>
          <mc:Choice Requires="wps">
            <w:drawing>
              <wp:anchor distT="0" distB="0" distL="114300" distR="114300" simplePos="0" relativeHeight="251663360" behindDoc="0" locked="0" layoutInCell="1" allowOverlap="1" wp14:anchorId="6521B8B0" wp14:editId="59B732D2">
                <wp:simplePos x="0" y="0"/>
                <wp:positionH relativeFrom="column">
                  <wp:posOffset>2857500</wp:posOffset>
                </wp:positionH>
                <wp:positionV relativeFrom="paragraph">
                  <wp:posOffset>4350385</wp:posOffset>
                </wp:positionV>
                <wp:extent cx="6286500" cy="0"/>
                <wp:effectExtent l="50800" t="25400" r="63500" b="101600"/>
                <wp:wrapNone/>
                <wp:docPr id="945" name="Straight Connector 945"/>
                <wp:cNvGraphicFramePr/>
                <a:graphic xmlns:a="http://schemas.openxmlformats.org/drawingml/2006/main">
                  <a:graphicData uri="http://schemas.microsoft.com/office/word/2010/wordprocessingShape">
                    <wps:wsp>
                      <wps:cNvCnPr/>
                      <wps:spPr>
                        <a:xfrm>
                          <a:off x="0" y="0"/>
                          <a:ext cx="6286500" cy="0"/>
                        </a:xfrm>
                        <a:prstGeom prst="line">
                          <a:avLst/>
                        </a:prstGeom>
                        <a:ln w="12700" cmpd="sng">
                          <a:solidFill>
                            <a:schemeClr val="tx1">
                              <a:lumMod val="95000"/>
                              <a:lumOff val="5000"/>
                            </a:schemeClr>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45"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342.55pt" to="10in,34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" strokecolor="#0d0d0d [3069]" strokeweight="1pt">
                <v:stroke dashstyle="3 1"/>
                <v:shadow on="t" opacity="24903f" mv:blur="40000f" origin=",.5" offset="0,20000emu"/>
              </v:line>
            </w:pict>
          </mc:Fallback>
        </mc:AlternateContent>
      </w:r>
      <w:r>
        <w:rPr>
          <w:rFonts w:ascii="Times" w:hAnsi="Times" w:cs="Times New Roman"/>
          <w:noProof/>
          <w:sz w:val="36"/>
        </w:rPr>
        <mc:AlternateContent>
          <mc:Choice Requires="wps">
            <w:drawing>
              <wp:anchor distT="0" distB="0" distL="114300" distR="114300" simplePos="0" relativeHeight="251664384" behindDoc="0" locked="0" layoutInCell="1" allowOverlap="1" wp14:anchorId="642577EE" wp14:editId="0C76D6E8">
                <wp:simplePos x="0" y="0"/>
                <wp:positionH relativeFrom="column">
                  <wp:posOffset>4914900</wp:posOffset>
                </wp:positionH>
                <wp:positionV relativeFrom="paragraph">
                  <wp:posOffset>4121785</wp:posOffset>
                </wp:positionV>
                <wp:extent cx="4229100" cy="0"/>
                <wp:effectExtent l="50800" t="25400" r="63500" b="101600"/>
                <wp:wrapNone/>
                <wp:docPr id="946" name="Straight Connector 946"/>
                <wp:cNvGraphicFramePr/>
                <a:graphic xmlns:a="http://schemas.openxmlformats.org/drawingml/2006/main">
                  <a:graphicData uri="http://schemas.microsoft.com/office/word/2010/wordprocessingShape">
                    <wps:wsp>
                      <wps:cNvCnPr/>
                      <wps:spPr>
                        <a:xfrm>
                          <a:off x="0" y="0"/>
                          <a:ext cx="4229100" cy="0"/>
                        </a:xfrm>
                        <a:prstGeom prst="line">
                          <a:avLst/>
                        </a:prstGeom>
                        <a:ln w="12700" cmpd="sng">
                          <a:solidFill>
                            <a:schemeClr val="tx1">
                              <a:lumMod val="95000"/>
                              <a:lumOff val="5000"/>
                            </a:schemeClr>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46"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pt,324.55pt" to="10in,324.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" strokecolor="#0d0d0d [3069]" strokeweight="1pt">
                <v:stroke dashstyle="3 1"/>
                <v:shadow on="t" opacity="24903f" mv:blur="40000f" origin=",.5" offset="0,20000emu"/>
              </v:line>
            </w:pict>
          </mc:Fallback>
        </mc:AlternateContent>
      </w:r>
      <w:r>
        <w:rPr>
          <w:noProof/>
        </w:rPr>
        <w:drawing>
          <wp:inline distT="0" distB="0" distL="0" distR="0" wp14:anchorId="461F35E8" wp14:editId="3663E4E4">
            <wp:extent cx="9133114" cy="5261701"/>
            <wp:effectExtent l="0" t="0" r="11430" b="0"/>
            <wp:docPr id="951" name="Chart 95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02D5210" w14:textId="4DAFCF8B" w:rsidR="005708A0" w:rsidRDefault="00A71B4B" w:rsidP="005708A0">
      <w:pPr>
        <w:spacing w:before="240" w:after="120"/>
        <w:ind w:left="1276"/>
        <w:jc w:val="center"/>
        <w:rPr>
          <w:rFonts w:ascii="Times New Roman" w:hAnsi="Times New Roman" w:cs="Times New Roman"/>
        </w:rPr>
      </w:pPr>
      <w:r>
        <w:rPr>
          <w:rFonts w:ascii="Times New Roman" w:hAnsi="Times New Roman" w:cs="Times New Roman"/>
          <w:b/>
        </w:rPr>
        <w:t>Figure 4.31</w:t>
      </w:r>
      <w:r w:rsidR="005708A0">
        <w:rPr>
          <w:rFonts w:ascii="Times New Roman" w:hAnsi="Times New Roman" w:cs="Times New Roman"/>
          <w:b/>
        </w:rPr>
        <w:t xml:space="preserve">: </w:t>
      </w:r>
      <w:r w:rsidR="005708A0">
        <w:rPr>
          <w:rFonts w:ascii="Times New Roman" w:hAnsi="Times New Roman" w:cs="Times New Roman"/>
        </w:rPr>
        <w:t xml:space="preserve">Normalised accumulated mass of Sr from waste loaded samples (CS) for each leaching procedure and their respective leaching periods </w:t>
      </w:r>
    </w:p>
    <w:p w14:paraId="15B2242E" w14:textId="77777777" w:rsidR="005708A0" w:rsidRDefault="005708A0" w:rsidP="005708A0">
      <w:pPr>
        <w:spacing w:before="240" w:after="120" w:line="480" w:lineRule="exact"/>
        <w:ind w:left="-709"/>
        <w:jc w:val="center"/>
        <w:rPr>
          <w:rFonts w:ascii="Times" w:hAnsi="Times" w:cs="Times New Roman"/>
          <w:sz w:val="36"/>
        </w:rPr>
        <w:sectPr w:rsidR="005708A0" w:rsidSect="00E85025">
          <w:pgSz w:w="16840" w:h="11900" w:orient="landscape"/>
          <w:pgMar w:top="709" w:right="1440" w:bottom="1268" w:left="1440" w:header="708" w:footer="708" w:gutter="0"/>
          <w:cols w:space="1701"/>
          <w:docGrid w:linePitch="360"/>
        </w:sectPr>
      </w:pPr>
    </w:p>
    <w:p w14:paraId="6E22AFA2" w14:textId="7712FD44" w:rsidR="005708A0" w:rsidRDefault="005708A0" w:rsidP="005708A0">
      <w:pPr>
        <w:spacing w:before="240" w:after="120" w:line="480" w:lineRule="exact"/>
        <w:jc w:val="both"/>
        <w:rPr>
          <w:rFonts w:ascii="Times New Roman" w:hAnsi="Times New Roman" w:cs="Times New Roman"/>
        </w:rPr>
      </w:pPr>
      <w:r>
        <w:rPr>
          <w:rFonts w:ascii="Times New Roman" w:hAnsi="Times New Roman" w:cs="Times New Roman"/>
        </w:rPr>
        <w:lastRenderedPageBreak/>
        <w:t xml:space="preserve">The electrical and acidic leaching tests, showed a significant increase in </w:t>
      </w:r>
      <w:r w:rsidR="0080055A">
        <w:rPr>
          <w:rFonts w:ascii="Times New Roman" w:hAnsi="Times New Roman" w:cs="Times New Roman"/>
        </w:rPr>
        <w:t>leaching</w:t>
      </w:r>
      <w:r>
        <w:rPr>
          <w:rFonts w:ascii="Times New Roman" w:hAnsi="Times New Roman" w:cs="Times New Roman"/>
        </w:rPr>
        <w:t xml:space="preserve"> when comparing to the static tests. </w:t>
      </w:r>
      <w:r w:rsidR="00AB56A8">
        <w:rPr>
          <w:rFonts w:ascii="Times New Roman" w:hAnsi="Times New Roman" w:cs="Times New Roman"/>
        </w:rPr>
        <w:t>Comparing leached amounts after 7 days, t</w:t>
      </w:r>
      <w:r>
        <w:rPr>
          <w:rFonts w:ascii="Times New Roman" w:hAnsi="Times New Roman" w:cs="Times New Roman"/>
        </w:rPr>
        <w:t xml:space="preserve">he electrical leaching method </w:t>
      </w:r>
      <w:r>
        <w:rPr>
          <w:rFonts w:ascii="Times New Roman" w:hAnsi="Times New Roman" w:cs="Times New Roman"/>
          <w:b/>
        </w:rPr>
        <w:t>25E-</w:t>
      </w:r>
      <m:oMath>
        <m:acc>
          <m:accPr>
            <m:chr m:val="̅"/>
            <m:ctrlPr>
              <w:rPr>
                <w:rFonts w:ascii="Cambria Math" w:hAnsi="Cambria Math" w:cs="Times New Roman"/>
                <w:i/>
                <w:sz w:val="36"/>
                <w:szCs w:val="36"/>
              </w:rPr>
            </m:ctrlPr>
          </m:accPr>
          <m:e>
            <w:proofErr w:type="gramStart"/>
            <m:r>
              <m:rPr>
                <m:sty m:val="p"/>
              </m:rPr>
              <w:rPr>
                <w:rFonts w:ascii="Cambria Math" w:hAnsi="Cambria Math" w:cs="Times New Roman"/>
                <w:sz w:val="36"/>
                <w:szCs w:val="36"/>
              </w:rPr>
              <m:t>cs</m:t>
            </m:r>
          </m:e>
        </m:acc>
      </m:oMath>
      <w:r>
        <w:rPr>
          <w:rFonts w:ascii="Times New Roman" w:hAnsi="Times New Roman" w:cs="Times New Roman"/>
        </w:rPr>
        <w:t xml:space="preserve"> </w:t>
      </w:r>
      <w:r w:rsidR="001D17FD">
        <w:rPr>
          <w:rFonts w:ascii="Times New Roman" w:hAnsi="Times New Roman" w:cs="Times New Roman"/>
        </w:rPr>
        <w:t>has</w:t>
      </w:r>
      <w:proofErr w:type="gramEnd"/>
      <w:r>
        <w:rPr>
          <w:rFonts w:ascii="Times New Roman" w:hAnsi="Times New Roman" w:cs="Times New Roman"/>
        </w:rPr>
        <w:t xml:space="preserve"> the highest leach</w:t>
      </w:r>
      <w:r w:rsidR="0080055A">
        <w:rPr>
          <w:rFonts w:ascii="Times New Roman" w:hAnsi="Times New Roman" w:cs="Times New Roman"/>
        </w:rPr>
        <w:t>ed amounts</w:t>
      </w:r>
      <w:r>
        <w:rPr>
          <w:rFonts w:ascii="Times New Roman" w:hAnsi="Times New Roman" w:cs="Times New Roman"/>
        </w:rPr>
        <w:t xml:space="preserve"> of Ca, Cs and Sr leaching. </w:t>
      </w:r>
      <w:r w:rsidR="00AB56A8">
        <w:rPr>
          <w:rFonts w:ascii="Times New Roman" w:hAnsi="Times New Roman" w:cs="Times New Roman"/>
        </w:rPr>
        <w:t>It</w:t>
      </w:r>
      <w:r>
        <w:rPr>
          <w:rFonts w:ascii="Times New Roman" w:hAnsi="Times New Roman" w:cs="Times New Roman"/>
        </w:rPr>
        <w:t xml:space="preserve"> can be seen that the amounts diffused in </w:t>
      </w:r>
      <w:r w:rsidR="00A71B4B">
        <w:rPr>
          <w:rFonts w:ascii="Times New Roman" w:hAnsi="Times New Roman" w:cs="Times New Roman"/>
          <w:b/>
        </w:rPr>
        <w:t>25E-</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proofErr w:type="gramStart"/>
      <w:r w:rsidR="00A71B4B">
        <w:rPr>
          <w:rFonts w:ascii="Times New Roman" w:hAnsi="Times New Roman" w:cs="Times New Roman"/>
        </w:rPr>
        <w:t xml:space="preserve"> </w:t>
      </w:r>
      <w:r w:rsidR="00A71B4B">
        <w:rPr>
          <w:rFonts w:ascii="Times" w:hAnsi="Times"/>
          <w:sz w:val="20"/>
          <w:szCs w:val="20"/>
        </w:rPr>
        <w:t xml:space="preserve"> </w:t>
      </w:r>
      <w:r w:rsidR="00A71B4B" w:rsidRPr="00A71B4B">
        <w:rPr>
          <w:rFonts w:ascii="Times" w:hAnsi="Times"/>
          <w:szCs w:val="20"/>
        </w:rPr>
        <w:t>after</w:t>
      </w:r>
      <w:proofErr w:type="gramEnd"/>
      <w:r w:rsidR="00A71B4B" w:rsidRPr="00A71B4B">
        <w:rPr>
          <w:rFonts w:ascii="Times" w:hAnsi="Times"/>
          <w:szCs w:val="20"/>
        </w:rPr>
        <w:t xml:space="preserve"> </w:t>
      </w:r>
      <w:r w:rsidR="00A71B4B">
        <w:rPr>
          <w:rFonts w:ascii="Times New Roman" w:hAnsi="Times New Roman" w:cs="Times New Roman"/>
        </w:rPr>
        <w:t>7 days</w:t>
      </w:r>
      <w:r>
        <w:rPr>
          <w:rFonts w:ascii="Times New Roman" w:hAnsi="Times New Roman" w:cs="Times New Roman"/>
        </w:rPr>
        <w:t xml:space="preserve"> are almost triple the amounts of Cs diffused in </w:t>
      </w:r>
      <w:r>
        <w:rPr>
          <w:rFonts w:ascii="Times New Roman" w:hAnsi="Times New Roman" w:cs="Times New Roman"/>
          <w:b/>
        </w:rPr>
        <w:t>W</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Pr>
          <w:rFonts w:ascii="Times" w:hAnsi="Times"/>
          <w:sz w:val="20"/>
          <w:szCs w:val="20"/>
        </w:rPr>
        <w:t xml:space="preserve"> </w:t>
      </w:r>
      <w:r>
        <w:rPr>
          <w:rFonts w:ascii="Times New Roman" w:hAnsi="Times New Roman" w:cs="Times New Roman"/>
        </w:rPr>
        <w:t xml:space="preserve"> after 2 years</w:t>
      </w:r>
      <w:r>
        <w:rPr>
          <w:rFonts w:ascii="Times" w:hAnsi="Times" w:cs="Times"/>
        </w:rPr>
        <w:t xml:space="preserve">. </w:t>
      </w:r>
      <w:r>
        <w:rPr>
          <w:rFonts w:ascii="Times New Roman" w:hAnsi="Times New Roman" w:cs="Times New Roman"/>
        </w:rPr>
        <w:t xml:space="preserve"> The leaching rates of all the tests is ranked as follows </w:t>
      </w:r>
      <w:r>
        <w:rPr>
          <w:rFonts w:ascii="Times New Roman" w:hAnsi="Times New Roman" w:cs="Times New Roman"/>
          <w:b/>
        </w:rPr>
        <w:t>25E-</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Pr>
          <w:rFonts w:ascii="Times New Roman" w:hAnsi="Times New Roman" w:cs="Times New Roman"/>
          <w:b/>
        </w:rPr>
        <w:t xml:space="preserve"> </w:t>
      </w:r>
      <w:r>
        <w:rPr>
          <w:rFonts w:ascii="Times New Roman" w:hAnsi="Times New Roman" w:cs="Times New Roman"/>
        </w:rPr>
        <w:t xml:space="preserve">&gt; </w:t>
      </w:r>
      <w:r>
        <w:rPr>
          <w:rFonts w:ascii="Times New Roman" w:hAnsi="Times New Roman" w:cs="Times New Roman"/>
          <w:b/>
        </w:rPr>
        <w:t>5E-</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Pr>
          <w:rFonts w:ascii="Times New Roman" w:hAnsi="Times New Roman" w:cs="Times New Roman"/>
        </w:rPr>
        <w:t xml:space="preserve"> </w:t>
      </w:r>
      <w:r>
        <w:rPr>
          <w:rFonts w:ascii="Times" w:hAnsi="Times"/>
          <w:sz w:val="20"/>
          <w:szCs w:val="20"/>
        </w:rPr>
        <w:t xml:space="preserve"> </w:t>
      </w:r>
      <w:r>
        <w:rPr>
          <w:rFonts w:ascii="Times New Roman" w:hAnsi="Times New Roman" w:cs="Times New Roman"/>
        </w:rPr>
        <w:t>&gt;</w:t>
      </w:r>
      <w:r w:rsidRPr="00AD46D8">
        <w:rPr>
          <w:rFonts w:ascii="Times New Roman" w:hAnsi="Times New Roman" w:cs="Times New Roman"/>
          <w:b/>
        </w:rPr>
        <w:t>A-</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Pr>
          <w:rFonts w:ascii="Times" w:hAnsi="Times"/>
          <w:sz w:val="20"/>
          <w:szCs w:val="20"/>
        </w:rPr>
        <w:t xml:space="preserve"> </w:t>
      </w:r>
      <w:r>
        <w:rPr>
          <w:rFonts w:ascii="Times New Roman" w:hAnsi="Times New Roman" w:cs="Times New Roman"/>
        </w:rPr>
        <w:t>&gt;</w:t>
      </w:r>
      <m:oMath>
        <m:r>
          <w:rPr>
            <w:rFonts w:ascii="Cambria Math" w:hAnsi="Cambria Math" w:cs="Times New Roman"/>
            <w:sz w:val="36"/>
            <w:szCs w:val="36"/>
          </w:rPr>
          <m:t xml:space="preserve"> </m:t>
        </m:r>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Pr>
          <w:rFonts w:ascii="Times" w:hAnsi="Times"/>
          <w:sz w:val="20"/>
          <w:szCs w:val="20"/>
        </w:rPr>
        <w:t xml:space="preserve"> </w:t>
      </w:r>
      <w:r>
        <w:rPr>
          <w:rFonts w:ascii="Times New Roman" w:hAnsi="Times New Roman" w:cs="Times New Roman"/>
        </w:rPr>
        <w:t>&gt;</w:t>
      </w:r>
      <w:r w:rsidRPr="00AD46D8">
        <w:rPr>
          <w:rFonts w:ascii="Times New Roman" w:hAnsi="Times New Roman" w:cs="Times New Roman"/>
          <w:b/>
        </w:rPr>
        <w:t xml:space="preserve"> </w:t>
      </w:r>
      <w:r>
        <w:rPr>
          <w:rFonts w:ascii="Times New Roman" w:hAnsi="Times New Roman" w:cs="Times New Roman"/>
          <w:b/>
        </w:rPr>
        <w:t>W</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Pr>
          <w:rFonts w:ascii="Times New Roman" w:hAnsi="Times New Roman" w:cs="Times New Roman"/>
        </w:rPr>
        <w:t xml:space="preserve">. </w:t>
      </w:r>
    </w:p>
    <w:p w14:paraId="3CFDB639" w14:textId="282BB984" w:rsidR="00B542B5" w:rsidRDefault="005708A0" w:rsidP="005708A0">
      <w:pPr>
        <w:spacing w:before="240" w:after="120" w:line="480" w:lineRule="exact"/>
        <w:jc w:val="both"/>
        <w:rPr>
          <w:rFonts w:ascii="Times New Roman" w:hAnsi="Times New Roman" w:cs="Times New Roman"/>
        </w:rPr>
      </w:pPr>
      <w:r>
        <w:rPr>
          <w:rFonts w:ascii="Times" w:hAnsi="Times" w:cs="Times New Roman"/>
        </w:rPr>
        <w:t>Furthermore comparing the l</w:t>
      </w:r>
      <w:r w:rsidR="00A71B4B">
        <w:rPr>
          <w:rFonts w:ascii="Times" w:hAnsi="Times" w:cs="Times New Roman"/>
        </w:rPr>
        <w:t>eached amounts of Cs in fig 4.</w:t>
      </w:r>
      <w:r w:rsidR="00B542B5">
        <w:rPr>
          <w:rFonts w:ascii="Times" w:hAnsi="Times" w:cs="Times New Roman"/>
        </w:rPr>
        <w:t>30</w:t>
      </w:r>
      <w:r>
        <w:rPr>
          <w:rFonts w:ascii="Times" w:hAnsi="Times" w:cs="Times New Roman"/>
        </w:rPr>
        <w:t xml:space="preserve"> we can see that </w:t>
      </w:r>
      <w:r w:rsidR="00442769">
        <w:rPr>
          <w:rFonts w:ascii="Times" w:hAnsi="Times" w:cs="Times New Roman"/>
        </w:rPr>
        <w:t>t</w:t>
      </w:r>
      <w:r>
        <w:rPr>
          <w:rFonts w:ascii="Times" w:hAnsi="Times" w:cs="Times New Roman"/>
        </w:rPr>
        <w:t>he amount of Cs leached after a 2-year period using semi-static or static leaching can be obtained by leaching</w:t>
      </w:r>
      <w:r>
        <w:rPr>
          <w:rFonts w:ascii="Times New Roman" w:hAnsi="Times New Roman" w:cs="Times New Roman"/>
        </w:rPr>
        <w:t xml:space="preserve"> the samples electrically for 3 days under a </w:t>
      </w:r>
      <w:r w:rsidR="00344429">
        <w:rPr>
          <w:rFonts w:ascii="Times New Roman" w:hAnsi="Times New Roman" w:cs="Times New Roman"/>
        </w:rPr>
        <w:t>5A/m</w:t>
      </w:r>
      <w:r w:rsidR="00344429">
        <w:rPr>
          <w:rFonts w:ascii="Times New Roman" w:hAnsi="Times New Roman" w:cs="Times New Roman"/>
          <w:vertAlign w:val="superscript"/>
        </w:rPr>
        <w:t>2</w:t>
      </w:r>
      <w:r>
        <w:rPr>
          <w:rFonts w:ascii="Times New Roman" w:hAnsi="Times New Roman" w:cs="Times New Roman"/>
        </w:rPr>
        <w:t xml:space="preserve"> current or for a period between 1-3 days under 2</w:t>
      </w:r>
      <w:r w:rsidR="00344429">
        <w:rPr>
          <w:rFonts w:ascii="Times New Roman" w:hAnsi="Times New Roman" w:cs="Times New Roman"/>
        </w:rPr>
        <w:t>5A/m</w:t>
      </w:r>
      <w:r w:rsidR="00344429">
        <w:rPr>
          <w:rFonts w:ascii="Times New Roman" w:hAnsi="Times New Roman" w:cs="Times New Roman"/>
          <w:vertAlign w:val="superscript"/>
        </w:rPr>
        <w:t>2</w:t>
      </w:r>
      <w:r>
        <w:rPr>
          <w:rFonts w:ascii="Times New Roman" w:hAnsi="Times New Roman" w:cs="Times New Roman"/>
        </w:rPr>
        <w:t>. The same amounts can also be obtained by leaching the sample</w:t>
      </w:r>
      <w:r w:rsidR="00B542B5">
        <w:rPr>
          <w:rFonts w:ascii="Times New Roman" w:hAnsi="Times New Roman" w:cs="Times New Roman"/>
        </w:rPr>
        <w:t xml:space="preserve"> acidically for a period </w:t>
      </w:r>
      <w:proofErr w:type="gramStart"/>
      <w:r w:rsidR="00B542B5">
        <w:rPr>
          <w:rFonts w:ascii="Times New Roman" w:hAnsi="Times New Roman" w:cs="Times New Roman"/>
        </w:rPr>
        <w:t xml:space="preserve">of  </w:t>
      </w:r>
      <w:r>
        <w:rPr>
          <w:rFonts w:ascii="Times New Roman" w:hAnsi="Times New Roman" w:cs="Times New Roman"/>
        </w:rPr>
        <w:t>7</w:t>
      </w:r>
      <w:proofErr w:type="gramEnd"/>
      <w:r>
        <w:rPr>
          <w:rFonts w:ascii="Times New Roman" w:hAnsi="Times New Roman" w:cs="Times New Roman"/>
        </w:rPr>
        <w:t>-14 days. These similarities in leached amounts tend to differ in the case of Sr, as shown in fig</w:t>
      </w:r>
      <w:r w:rsidR="00C02B88">
        <w:rPr>
          <w:rFonts w:ascii="Times New Roman" w:hAnsi="Times New Roman" w:cs="Times New Roman"/>
        </w:rPr>
        <w:t>ure</w:t>
      </w:r>
      <w:r w:rsidR="00B542B5">
        <w:rPr>
          <w:rFonts w:ascii="Times New Roman" w:hAnsi="Times New Roman" w:cs="Times New Roman"/>
        </w:rPr>
        <w:t xml:space="preserve"> 4.31</w:t>
      </w:r>
      <w:r>
        <w:rPr>
          <w:rFonts w:ascii="Times New Roman" w:hAnsi="Times New Roman" w:cs="Times New Roman"/>
        </w:rPr>
        <w:t>.</w:t>
      </w:r>
    </w:p>
    <w:p w14:paraId="43B8B929" w14:textId="01434989" w:rsidR="005708A0" w:rsidRPr="00BF73A1" w:rsidRDefault="005708A0" w:rsidP="005708A0">
      <w:pPr>
        <w:spacing w:before="240" w:after="120" w:line="480" w:lineRule="exact"/>
        <w:jc w:val="both"/>
        <w:rPr>
          <w:rFonts w:ascii="Times New Roman" w:hAnsi="Times New Roman" w:cs="Times New Roman"/>
        </w:rPr>
      </w:pPr>
      <w:r>
        <w:rPr>
          <w:rFonts w:ascii="Times New Roman" w:hAnsi="Times New Roman" w:cs="Times New Roman"/>
        </w:rPr>
        <w:t xml:space="preserve"> </w:t>
      </w:r>
      <w:r w:rsidR="00C02B88">
        <w:rPr>
          <w:rFonts w:ascii="Times New Roman" w:hAnsi="Times New Roman" w:cs="Times New Roman"/>
        </w:rPr>
        <w:t xml:space="preserve">Samples </w:t>
      </w:r>
      <w:r w:rsidR="00C02B88" w:rsidRPr="00C02B88">
        <w:rPr>
          <w:rFonts w:ascii="Times New Roman" w:hAnsi="Times New Roman" w:cs="Times New Roman"/>
        </w:rPr>
        <w:t>with a similar level of Cs leaching, was s</w:t>
      </w:r>
      <w:r w:rsidR="00C02B88">
        <w:rPr>
          <w:rFonts w:ascii="Times New Roman" w:hAnsi="Times New Roman" w:cs="Times New Roman"/>
        </w:rPr>
        <w:t>elected from each leaching test</w:t>
      </w:r>
      <w:r w:rsidR="00C02B88" w:rsidRPr="00C02B88">
        <w:rPr>
          <w:rFonts w:ascii="Times New Roman" w:hAnsi="Times New Roman" w:cs="Times New Roman"/>
        </w:rPr>
        <w:t>, and they were compared using XRD data to investigate how the leaching of Cs influences the crystalline phases.</w:t>
      </w:r>
      <w:r>
        <w:rPr>
          <w:rFonts w:ascii="Times New Roman" w:hAnsi="Times New Roman" w:cs="Times New Roman"/>
        </w:rPr>
        <w:t xml:space="preserve"> The traces are given in fig</w:t>
      </w:r>
      <w:r w:rsidR="00C02B88">
        <w:rPr>
          <w:rFonts w:ascii="Times New Roman" w:hAnsi="Times New Roman" w:cs="Times New Roman"/>
        </w:rPr>
        <w:t>ure</w:t>
      </w:r>
      <w:r w:rsidR="00B542B5">
        <w:rPr>
          <w:rFonts w:ascii="Times New Roman" w:hAnsi="Times New Roman" w:cs="Times New Roman"/>
        </w:rPr>
        <w:t xml:space="preserve"> 4.32</w:t>
      </w:r>
      <w:r>
        <w:rPr>
          <w:rFonts w:ascii="Times New Roman" w:hAnsi="Times New Roman" w:cs="Times New Roman"/>
        </w:rPr>
        <w:t xml:space="preserve">.  </w:t>
      </w:r>
    </w:p>
    <w:p w14:paraId="20A43589" w14:textId="77777777" w:rsidR="005708A0" w:rsidRDefault="005708A0" w:rsidP="005708A0">
      <w:pPr>
        <w:spacing w:after="120"/>
        <w:jc w:val="center"/>
        <w:rPr>
          <w:rFonts w:ascii="Times New Roman" w:hAnsi="Times New Roman" w:cs="Times New Roman"/>
        </w:rPr>
      </w:pPr>
    </w:p>
    <w:p w14:paraId="56A681DD" w14:textId="0564F0EB" w:rsidR="005708A0" w:rsidRDefault="005708A0" w:rsidP="005708A0">
      <w:pPr>
        <w:spacing w:after="120"/>
        <w:jc w:val="center"/>
        <w:rPr>
          <w:rFonts w:ascii="Times New Roman" w:hAnsi="Times New Roman" w:cs="Times New Roman"/>
        </w:rPr>
      </w:pPr>
      <w:r w:rsidRPr="00EB7994">
        <w:rPr>
          <w:rFonts w:ascii="Times New Roman" w:hAnsi="Times New Roman" w:cs="Times New Roman"/>
          <w:noProof/>
        </w:rPr>
        <w:drawing>
          <wp:inline distT="0" distB="0" distL="0" distR="0" wp14:anchorId="3150CFFA" wp14:editId="044778CC">
            <wp:extent cx="5608320" cy="3153756"/>
            <wp:effectExtent l="0" t="0" r="5080" b="0"/>
            <wp:docPr id="9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08320" cy="3153756"/>
                    </a:xfrm>
                    <a:prstGeom prst="rect">
                      <a:avLst/>
                    </a:prstGeom>
                    <a:noFill/>
                    <a:ln>
                      <a:noFill/>
                    </a:ln>
                  </pic:spPr>
                </pic:pic>
              </a:graphicData>
            </a:graphic>
          </wp:inline>
        </w:drawing>
      </w:r>
      <w:r w:rsidR="00B542B5">
        <w:rPr>
          <w:rFonts w:ascii="Times New Roman" w:hAnsi="Times New Roman" w:cs="Times New Roman"/>
          <w:b/>
        </w:rPr>
        <w:t>Figure 4.32</w:t>
      </w:r>
      <w:r>
        <w:rPr>
          <w:rFonts w:ascii="Times New Roman" w:hAnsi="Times New Roman" w:cs="Times New Roman"/>
          <w:b/>
        </w:rPr>
        <w:t xml:space="preserve">: </w:t>
      </w:r>
      <w:r>
        <w:rPr>
          <w:rFonts w:ascii="Times New Roman" w:hAnsi="Times New Roman" w:cs="Times New Roman"/>
        </w:rPr>
        <w:t>XRD traces for cement samples from solutions with similar normalised Cs mass</w:t>
      </w:r>
    </w:p>
    <w:p w14:paraId="4CD0E4DC" w14:textId="0809BE9F" w:rsidR="005708A0" w:rsidRDefault="005708A0" w:rsidP="005708A0">
      <w:pPr>
        <w:spacing w:before="240" w:after="240" w:line="480" w:lineRule="exact"/>
        <w:jc w:val="both"/>
        <w:rPr>
          <w:rFonts w:ascii="Times New Roman" w:hAnsi="Times New Roman" w:cs="Times New Roman"/>
        </w:rPr>
      </w:pPr>
      <w:r>
        <w:rPr>
          <w:rFonts w:ascii="Times New Roman" w:hAnsi="Times New Roman" w:cs="Times New Roman"/>
        </w:rPr>
        <w:lastRenderedPageBreak/>
        <w:t xml:space="preserve">The XRD traces </w:t>
      </w:r>
      <w:r w:rsidR="00226CCF">
        <w:rPr>
          <w:rFonts w:ascii="Times New Roman" w:hAnsi="Times New Roman" w:cs="Times New Roman"/>
        </w:rPr>
        <w:t xml:space="preserve">for all the samples show a </w:t>
      </w:r>
      <w:r w:rsidR="00D94FDF">
        <w:rPr>
          <w:rFonts w:ascii="Times New Roman" w:hAnsi="Times New Roman" w:cs="Times New Roman"/>
        </w:rPr>
        <w:t xml:space="preserve">good </w:t>
      </w:r>
      <w:r w:rsidR="00226CCF">
        <w:rPr>
          <w:rFonts w:ascii="Times New Roman" w:hAnsi="Times New Roman" w:cs="Times New Roman"/>
        </w:rPr>
        <w:t>correspondence with one another</w:t>
      </w:r>
      <w:r w:rsidR="00D94FDF">
        <w:rPr>
          <w:rFonts w:ascii="Times New Roman" w:hAnsi="Times New Roman" w:cs="Times New Roman"/>
        </w:rPr>
        <w:t xml:space="preserve"> for certain phases</w:t>
      </w:r>
      <w:r>
        <w:rPr>
          <w:rFonts w:ascii="Times New Roman" w:hAnsi="Times New Roman" w:cs="Times New Roman"/>
        </w:rPr>
        <w:t xml:space="preserve">. The CAN peak intensity in </w:t>
      </w:r>
      <w:r>
        <w:rPr>
          <w:rFonts w:ascii="Times New Roman" w:hAnsi="Times New Roman" w:cs="Times New Roman"/>
          <w:b/>
        </w:rPr>
        <w:t>25E-3D</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Pr>
          <w:rFonts w:ascii="Times New Roman" w:hAnsi="Times New Roman" w:cs="Times New Roman"/>
        </w:rPr>
        <w:t xml:space="preserve"> seems relatively weaker than in the other samples, to the point that it is barely visible. Also the </w:t>
      </w:r>
      <w:r w:rsidR="00226CCF">
        <w:rPr>
          <w:rFonts w:ascii="Times New Roman" w:hAnsi="Times New Roman" w:cs="Times New Roman"/>
        </w:rPr>
        <w:t xml:space="preserve">CAN </w:t>
      </w:r>
      <w:r>
        <w:rPr>
          <w:rFonts w:ascii="Times New Roman" w:hAnsi="Times New Roman" w:cs="Times New Roman"/>
        </w:rPr>
        <w:t xml:space="preserve">peak seems strongest in the </w:t>
      </w:r>
      <w:r w:rsidRPr="00AD46D8">
        <w:rPr>
          <w:rFonts w:ascii="Times New Roman" w:hAnsi="Times New Roman" w:cs="Times New Roman"/>
          <w:b/>
        </w:rPr>
        <w:t>W2Y</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proofErr w:type="gramStart"/>
      <w:r>
        <w:rPr>
          <w:rFonts w:ascii="Times" w:hAnsi="Times"/>
          <w:sz w:val="20"/>
          <w:szCs w:val="20"/>
        </w:rPr>
        <w:t xml:space="preserve">  </w:t>
      </w:r>
      <w:r>
        <w:rPr>
          <w:rFonts w:ascii="Times New Roman" w:hAnsi="Times New Roman" w:cs="Times New Roman"/>
        </w:rPr>
        <w:t>sample</w:t>
      </w:r>
      <w:proofErr w:type="gramEnd"/>
      <w:r w:rsidR="00184F4A">
        <w:rPr>
          <w:rFonts w:ascii="Times New Roman" w:hAnsi="Times New Roman" w:cs="Times New Roman"/>
        </w:rPr>
        <w:t xml:space="preserve"> suggesting a larger amount of this phase within this sample</w:t>
      </w:r>
      <w:r>
        <w:rPr>
          <w:rFonts w:ascii="Times New Roman" w:hAnsi="Times New Roman" w:cs="Times New Roman"/>
        </w:rPr>
        <w:t xml:space="preserve">. The amounts of Sr leached out of </w:t>
      </w:r>
      <w:r>
        <w:rPr>
          <w:rFonts w:ascii="Times New Roman" w:hAnsi="Times New Roman" w:cs="Times New Roman"/>
          <w:b/>
        </w:rPr>
        <w:t>W2Y</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Pr>
          <w:rFonts w:ascii="Times" w:hAnsi="Times"/>
          <w:sz w:val="20"/>
          <w:szCs w:val="20"/>
        </w:rPr>
        <w:t xml:space="preserve"> </w:t>
      </w:r>
      <w:r>
        <w:rPr>
          <w:rFonts w:ascii="Times New Roman" w:hAnsi="Times New Roman" w:cs="Times New Roman"/>
        </w:rPr>
        <w:t>is very small as shown in fig</w:t>
      </w:r>
      <w:r w:rsidR="00184F4A">
        <w:rPr>
          <w:rFonts w:ascii="Times New Roman" w:hAnsi="Times New Roman" w:cs="Times New Roman"/>
        </w:rPr>
        <w:t>ure</w:t>
      </w:r>
      <w:r w:rsidR="00B542B5">
        <w:rPr>
          <w:rFonts w:ascii="Times New Roman" w:hAnsi="Times New Roman" w:cs="Times New Roman"/>
        </w:rPr>
        <w:t xml:space="preserve"> 4.31 </w:t>
      </w:r>
      <w:r>
        <w:rPr>
          <w:rFonts w:ascii="Times New Roman" w:hAnsi="Times New Roman" w:cs="Times New Roman"/>
        </w:rPr>
        <w:t>in comparison to the leached Cs amounts. This supports the proposal that the Sr maybe immobilised within</w:t>
      </w:r>
      <w:r w:rsidR="00D94FDF">
        <w:rPr>
          <w:rFonts w:ascii="Times New Roman" w:hAnsi="Times New Roman" w:cs="Times New Roman"/>
        </w:rPr>
        <w:t xml:space="preserve"> the cement, possibly</w:t>
      </w:r>
      <w:r>
        <w:rPr>
          <w:rFonts w:ascii="Times New Roman" w:hAnsi="Times New Roman" w:cs="Times New Roman"/>
        </w:rPr>
        <w:t xml:space="preserve"> th</w:t>
      </w:r>
      <w:r w:rsidR="00D94FDF">
        <w:rPr>
          <w:rFonts w:ascii="Times New Roman" w:hAnsi="Times New Roman" w:cs="Times New Roman"/>
        </w:rPr>
        <w:t xml:space="preserve">e </w:t>
      </w:r>
      <w:r>
        <w:rPr>
          <w:rFonts w:ascii="Times New Roman" w:hAnsi="Times New Roman" w:cs="Times New Roman"/>
        </w:rPr>
        <w:t>nitrated AFm phase (CAN)</w:t>
      </w:r>
      <w:r w:rsidR="00D94FDF">
        <w:rPr>
          <w:rFonts w:ascii="Times New Roman" w:hAnsi="Times New Roman" w:cs="Times New Roman"/>
        </w:rPr>
        <w:t xml:space="preserve"> or another phase</w:t>
      </w:r>
      <w:r>
        <w:rPr>
          <w:rFonts w:ascii="Times New Roman" w:hAnsi="Times New Roman" w:cs="Times New Roman"/>
        </w:rPr>
        <w:t>. A small peak for CsNO</w:t>
      </w:r>
      <w:r>
        <w:rPr>
          <w:rFonts w:ascii="Times New Roman" w:hAnsi="Times New Roman" w:cs="Times New Roman"/>
          <w:vertAlign w:val="subscript"/>
        </w:rPr>
        <w:t>3</w:t>
      </w:r>
      <w:r>
        <w:rPr>
          <w:rFonts w:ascii="Times New Roman" w:hAnsi="Times New Roman" w:cs="Times New Roman"/>
        </w:rPr>
        <w:t xml:space="preserve"> is present in both </w:t>
      </w:r>
      <w:r>
        <w:rPr>
          <w:rFonts w:ascii="Times New Roman" w:hAnsi="Times New Roman" w:cs="Times New Roman"/>
          <w:b/>
        </w:rPr>
        <w:t>W2Y</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proofErr w:type="gramStart"/>
      <w:r>
        <w:rPr>
          <w:rFonts w:ascii="Times" w:hAnsi="Times"/>
          <w:sz w:val="20"/>
          <w:szCs w:val="20"/>
        </w:rPr>
        <w:t xml:space="preserve">  </w:t>
      </w:r>
      <w:r>
        <w:rPr>
          <w:rFonts w:ascii="Times New Roman" w:hAnsi="Times New Roman" w:cs="Times New Roman"/>
        </w:rPr>
        <w:t>and</w:t>
      </w:r>
      <w:proofErr w:type="gramEnd"/>
      <w:r>
        <w:rPr>
          <w:rFonts w:ascii="Times New Roman" w:hAnsi="Times New Roman" w:cs="Times New Roman"/>
        </w:rPr>
        <w:t xml:space="preserve"> </w:t>
      </w:r>
      <w:r w:rsidRPr="007F3BA9">
        <w:rPr>
          <w:rFonts w:ascii="Times New Roman" w:hAnsi="Times New Roman" w:cs="Times New Roman"/>
          <w:b/>
        </w:rPr>
        <w:t>A14D</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sidR="007F3BA9">
        <w:rPr>
          <w:rFonts w:ascii="Times" w:hAnsi="Times"/>
          <w:sz w:val="20"/>
          <w:szCs w:val="20"/>
        </w:rPr>
        <w:t xml:space="preserve">  </w:t>
      </w:r>
      <w:r>
        <w:rPr>
          <w:rFonts w:ascii="Times New Roman" w:hAnsi="Times New Roman" w:cs="Times New Roman"/>
        </w:rPr>
        <w:t xml:space="preserve">. The peak intensities of the </w:t>
      </w:r>
      <w:r w:rsidR="00566F98">
        <w:rPr>
          <w:rFonts w:ascii="Times New Roman" w:hAnsi="Times New Roman" w:cs="Times New Roman"/>
        </w:rPr>
        <w:t xml:space="preserve">main phases in </w:t>
      </w:r>
      <w:r w:rsidRPr="007F3BA9">
        <w:rPr>
          <w:rFonts w:ascii="Times New Roman" w:hAnsi="Times New Roman" w:cs="Times New Roman"/>
          <w:b/>
        </w:rPr>
        <w:t>5E-3D</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proofErr w:type="gramStart"/>
      <w:r w:rsidR="007F3BA9">
        <w:rPr>
          <w:rFonts w:ascii="Times" w:hAnsi="Times"/>
          <w:sz w:val="20"/>
          <w:szCs w:val="20"/>
        </w:rPr>
        <w:t xml:space="preserve">  </w:t>
      </w:r>
      <w:r>
        <w:rPr>
          <w:rFonts w:ascii="Times New Roman" w:hAnsi="Times New Roman" w:cs="Times New Roman"/>
        </w:rPr>
        <w:t>seem</w:t>
      </w:r>
      <w:proofErr w:type="gramEnd"/>
      <w:r>
        <w:rPr>
          <w:rFonts w:ascii="Times New Roman" w:hAnsi="Times New Roman" w:cs="Times New Roman"/>
        </w:rPr>
        <w:t xml:space="preserve"> well matched to those of the </w:t>
      </w:r>
      <w:r w:rsidRPr="007F3BA9">
        <w:rPr>
          <w:rFonts w:ascii="Times New Roman" w:hAnsi="Times New Roman" w:cs="Times New Roman"/>
          <w:b/>
        </w:rPr>
        <w:t>2Y</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sidR="007F3BA9">
        <w:rPr>
          <w:rFonts w:ascii="Times" w:hAnsi="Times"/>
          <w:sz w:val="20"/>
          <w:szCs w:val="20"/>
        </w:rPr>
        <w:t xml:space="preserve">  </w:t>
      </w:r>
      <w:r>
        <w:rPr>
          <w:rFonts w:ascii="Times New Roman" w:hAnsi="Times New Roman" w:cs="Times New Roman"/>
        </w:rPr>
        <w:t>. The electrically leached samples do however show a relatively stronger peak for the HC phase, as well as</w:t>
      </w:r>
      <w:r w:rsidR="00566F98">
        <w:rPr>
          <w:rFonts w:ascii="Times New Roman" w:hAnsi="Times New Roman" w:cs="Times New Roman"/>
        </w:rPr>
        <w:t xml:space="preserve"> a</w:t>
      </w:r>
      <w:r>
        <w:rPr>
          <w:rFonts w:ascii="Times New Roman" w:hAnsi="Times New Roman" w:cs="Times New Roman"/>
        </w:rPr>
        <w:t xml:space="preserve"> </w:t>
      </w:r>
      <w:r w:rsidR="00566F98">
        <w:rPr>
          <w:rFonts w:ascii="Times New Roman" w:hAnsi="Times New Roman" w:cs="Times New Roman"/>
        </w:rPr>
        <w:t>more pronounced</w:t>
      </w:r>
      <w:r>
        <w:rPr>
          <w:rFonts w:ascii="Times New Roman" w:hAnsi="Times New Roman" w:cs="Times New Roman"/>
        </w:rPr>
        <w:t xml:space="preserve"> C-S-H hump. The A14DCS does not show a peak for CAN, and instead a peak for AFM is present. </w:t>
      </w:r>
    </w:p>
    <w:p w14:paraId="04E8A324" w14:textId="0000364C" w:rsidR="005708A0" w:rsidRDefault="005708A0" w:rsidP="005708A0">
      <w:pPr>
        <w:spacing w:before="240" w:after="120" w:line="480" w:lineRule="exact"/>
        <w:jc w:val="both"/>
        <w:rPr>
          <w:rFonts w:ascii="Times New Roman" w:hAnsi="Times New Roman" w:cs="Times New Roman"/>
        </w:rPr>
      </w:pPr>
      <w:r>
        <w:rPr>
          <w:rFonts w:ascii="Times New Roman" w:hAnsi="Times New Roman" w:cs="Times New Roman"/>
        </w:rPr>
        <w:t>The leached amounts of Sr increase by a much larger magnitude</w:t>
      </w:r>
      <w:r w:rsidR="00566F98">
        <w:rPr>
          <w:rFonts w:ascii="Times New Roman" w:hAnsi="Times New Roman" w:cs="Times New Roman"/>
        </w:rPr>
        <w:t xml:space="preserve"> </w:t>
      </w:r>
      <w:r w:rsidR="0099415F">
        <w:rPr>
          <w:rFonts w:ascii="Times New Roman" w:hAnsi="Times New Roman" w:cs="Times New Roman"/>
        </w:rPr>
        <w:t xml:space="preserve">than Cs </w:t>
      </w:r>
      <w:r>
        <w:rPr>
          <w:rFonts w:ascii="Times New Roman" w:hAnsi="Times New Roman" w:cs="Times New Roman"/>
        </w:rPr>
        <w:t xml:space="preserve">in the accelerated methods, for example the leached amounts of Sr after 7 days in 25E-CS is around nine times the amounts </w:t>
      </w:r>
      <w:r w:rsidR="00566F98">
        <w:rPr>
          <w:rFonts w:ascii="Times New Roman" w:hAnsi="Times New Roman" w:cs="Times New Roman"/>
        </w:rPr>
        <w:t>leached after 2 years in W-CS (a</w:t>
      </w:r>
      <w:r>
        <w:rPr>
          <w:rFonts w:ascii="Times New Roman" w:hAnsi="Times New Roman" w:cs="Times New Roman"/>
        </w:rPr>
        <w:t xml:space="preserve">s opposed to three times when comparing the Cs amounts). </w:t>
      </w:r>
      <w:r w:rsidR="00F262D6">
        <w:rPr>
          <w:rFonts w:ascii="Times New Roman" w:hAnsi="Times New Roman" w:cs="Times New Roman"/>
        </w:rPr>
        <w:t>In the</w:t>
      </w:r>
      <w:r>
        <w:rPr>
          <w:rFonts w:ascii="Times New Roman" w:hAnsi="Times New Roman" w:cs="Times New Roman"/>
        </w:rPr>
        <w:t xml:space="preserve"> acidic methods the leached amounts of Sr are very similar to t</w:t>
      </w:r>
      <w:r w:rsidR="00566F98">
        <w:rPr>
          <w:rFonts w:ascii="Times New Roman" w:hAnsi="Times New Roman" w:cs="Times New Roman"/>
        </w:rPr>
        <w:t>hose</w:t>
      </w:r>
      <w:r>
        <w:rPr>
          <w:rFonts w:ascii="Times New Roman" w:hAnsi="Times New Roman" w:cs="Times New Roman"/>
        </w:rPr>
        <w:t xml:space="preserve"> of Cs</w:t>
      </w:r>
      <w:r w:rsidR="0099415F">
        <w:rPr>
          <w:rFonts w:ascii="Times New Roman" w:hAnsi="Times New Roman" w:cs="Times New Roman"/>
        </w:rPr>
        <w:t xml:space="preserve">. Given </w:t>
      </w:r>
      <w:r w:rsidR="00BD2E83">
        <w:rPr>
          <w:rFonts w:ascii="Times New Roman" w:hAnsi="Times New Roman" w:cs="Times New Roman"/>
        </w:rPr>
        <w:t xml:space="preserve">that </w:t>
      </w:r>
      <w:r w:rsidR="0099415F">
        <w:rPr>
          <w:rFonts w:ascii="Times New Roman" w:hAnsi="Times New Roman" w:cs="Times New Roman"/>
        </w:rPr>
        <w:t xml:space="preserve">Cs is 1.5 times </w:t>
      </w:r>
      <w:r w:rsidR="00BD2E83">
        <w:rPr>
          <w:rFonts w:ascii="Times New Roman" w:hAnsi="Times New Roman" w:cs="Times New Roman"/>
        </w:rPr>
        <w:t xml:space="preserve">heavier than </w:t>
      </w:r>
      <w:r w:rsidR="0099415F">
        <w:rPr>
          <w:rFonts w:ascii="Times New Roman" w:hAnsi="Times New Roman" w:cs="Times New Roman"/>
        </w:rPr>
        <w:t>Sr</w:t>
      </w:r>
      <w:r w:rsidR="00BD2E83">
        <w:rPr>
          <w:rFonts w:ascii="Times New Roman" w:hAnsi="Times New Roman" w:cs="Times New Roman"/>
        </w:rPr>
        <w:t xml:space="preserve">, </w:t>
      </w:r>
      <w:r w:rsidR="0099415F">
        <w:rPr>
          <w:rFonts w:ascii="Times New Roman" w:hAnsi="Times New Roman" w:cs="Times New Roman"/>
        </w:rPr>
        <w:t>this would suggest that</w:t>
      </w:r>
      <w:r w:rsidR="00BD2E83">
        <w:rPr>
          <w:rFonts w:ascii="Times New Roman" w:hAnsi="Times New Roman" w:cs="Times New Roman"/>
        </w:rPr>
        <w:t xml:space="preserve"> more Sr is in the system as</w:t>
      </w:r>
      <w:r w:rsidR="0099415F">
        <w:rPr>
          <w:rFonts w:ascii="Times New Roman" w:hAnsi="Times New Roman" w:cs="Times New Roman"/>
        </w:rPr>
        <w:t xml:space="preserve"> Cs</w:t>
      </w:r>
      <w:r w:rsidR="00BD2E83">
        <w:rPr>
          <w:rFonts w:ascii="Times New Roman" w:hAnsi="Times New Roman" w:cs="Times New Roman"/>
        </w:rPr>
        <w:t xml:space="preserve">, and therefore is leaching </w:t>
      </w:r>
      <w:r w:rsidR="0099415F">
        <w:rPr>
          <w:rFonts w:ascii="Times New Roman" w:hAnsi="Times New Roman" w:cs="Times New Roman"/>
        </w:rPr>
        <w:t xml:space="preserve">at a lower rate than the </w:t>
      </w:r>
      <w:r w:rsidR="00BD2E83">
        <w:rPr>
          <w:rFonts w:ascii="Times New Roman" w:hAnsi="Times New Roman" w:cs="Times New Roman"/>
        </w:rPr>
        <w:t>Cs</w:t>
      </w:r>
      <w:r>
        <w:rPr>
          <w:rFonts w:ascii="Times New Roman" w:hAnsi="Times New Roman" w:cs="Times New Roman"/>
        </w:rPr>
        <w:t xml:space="preserve">. The difference between Cs and Sr leached amounts in the electrical leaching methods is also significantly smaller than in the static and semi-static leaching procedures. (Cs leaches at a rate of 4:1 in comparison to Sr in the static and semi-static series, however the ratio drops to around 2:1 in the electrical leached samples and approximately 1:1 in the acidic). </w:t>
      </w:r>
    </w:p>
    <w:p w14:paraId="6BC76009" w14:textId="3FECE556" w:rsidR="005708A0" w:rsidRDefault="005708A0" w:rsidP="005708A0">
      <w:pPr>
        <w:spacing w:before="240" w:after="120" w:line="480" w:lineRule="exact"/>
        <w:jc w:val="both"/>
        <w:rPr>
          <w:rFonts w:ascii="Times New Roman" w:hAnsi="Times New Roman" w:cs="Times New Roman"/>
        </w:rPr>
      </w:pPr>
      <w:r>
        <w:rPr>
          <w:rFonts w:ascii="Times New Roman" w:hAnsi="Times New Roman" w:cs="Times New Roman"/>
        </w:rPr>
        <w:t xml:space="preserve">Therefore cement samples that take into account the similarities in leached amounts of both Cs and Sr were compared. The normalised mass amounts of both Cs and Sr from the </w:t>
      </w:r>
      <w:r>
        <w:rPr>
          <w:rFonts w:ascii="Times New Roman" w:hAnsi="Times New Roman" w:cs="Times New Roman"/>
          <w:b/>
        </w:rPr>
        <w:t>W2Y</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proofErr w:type="gramStart"/>
      <w:r>
        <w:rPr>
          <w:rFonts w:ascii="Times" w:hAnsi="Times"/>
          <w:sz w:val="20"/>
          <w:szCs w:val="20"/>
        </w:rPr>
        <w:t xml:space="preserve">  </w:t>
      </w:r>
      <w:r>
        <w:rPr>
          <w:rFonts w:ascii="Times New Roman" w:hAnsi="Times New Roman" w:cs="Times New Roman"/>
        </w:rPr>
        <w:t>samples</w:t>
      </w:r>
      <w:proofErr w:type="gramEnd"/>
      <w:r>
        <w:rPr>
          <w:rFonts w:ascii="Times New Roman" w:hAnsi="Times New Roman" w:cs="Times New Roman"/>
        </w:rPr>
        <w:t xml:space="preserve"> </w:t>
      </w:r>
      <w:r w:rsidR="007F58B9">
        <w:rPr>
          <w:rFonts w:ascii="Times New Roman" w:hAnsi="Times New Roman" w:cs="Times New Roman"/>
        </w:rPr>
        <w:t xml:space="preserve">were closest </w:t>
      </w:r>
      <w:r>
        <w:rPr>
          <w:rFonts w:ascii="Times New Roman" w:hAnsi="Times New Roman" w:cs="Times New Roman"/>
        </w:rPr>
        <w:t xml:space="preserve">to the </w:t>
      </w:r>
      <w:r w:rsidRPr="0099415F">
        <w:rPr>
          <w:rFonts w:ascii="Times New Roman" w:hAnsi="Times New Roman" w:cs="Times New Roman"/>
          <w:b/>
        </w:rPr>
        <w:t>A7D</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sidR="0099415F">
        <w:rPr>
          <w:rFonts w:ascii="Times" w:hAnsi="Times"/>
          <w:sz w:val="20"/>
          <w:szCs w:val="20"/>
        </w:rPr>
        <w:t xml:space="preserve">  </w:t>
      </w:r>
      <w:r>
        <w:rPr>
          <w:rFonts w:ascii="Times New Roman" w:hAnsi="Times New Roman" w:cs="Times New Roman"/>
        </w:rPr>
        <w:t xml:space="preserve">, </w:t>
      </w:r>
      <w:r w:rsidRPr="0099415F">
        <w:rPr>
          <w:rFonts w:ascii="Times New Roman" w:hAnsi="Times New Roman" w:cs="Times New Roman"/>
          <w:b/>
        </w:rPr>
        <w:t>1Y6M</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sidR="0099415F">
        <w:rPr>
          <w:rFonts w:ascii="Times" w:hAnsi="Times"/>
          <w:sz w:val="20"/>
          <w:szCs w:val="20"/>
        </w:rPr>
        <w:t xml:space="preserve">  </w:t>
      </w:r>
      <w:r>
        <w:rPr>
          <w:rFonts w:ascii="Times New Roman" w:hAnsi="Times New Roman" w:cs="Times New Roman"/>
        </w:rPr>
        <w:t xml:space="preserve">, </w:t>
      </w:r>
      <w:r w:rsidRPr="0099415F">
        <w:rPr>
          <w:rFonts w:ascii="Times New Roman" w:hAnsi="Times New Roman" w:cs="Times New Roman"/>
          <w:b/>
        </w:rPr>
        <w:t>5E-1D</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sidR="0099415F">
        <w:rPr>
          <w:rFonts w:ascii="Times" w:hAnsi="Times"/>
          <w:sz w:val="20"/>
          <w:szCs w:val="20"/>
        </w:rPr>
        <w:t xml:space="preserve">  </w:t>
      </w:r>
      <w:r>
        <w:rPr>
          <w:rFonts w:ascii="Times New Roman" w:hAnsi="Times New Roman" w:cs="Times New Roman"/>
        </w:rPr>
        <w:t>. The XRD traces of these samples were compared in fig</w:t>
      </w:r>
      <w:r w:rsidR="007F58B9">
        <w:rPr>
          <w:rFonts w:ascii="Times New Roman" w:hAnsi="Times New Roman" w:cs="Times New Roman"/>
        </w:rPr>
        <w:t>ure</w:t>
      </w:r>
      <w:r w:rsidR="0099415F">
        <w:rPr>
          <w:rFonts w:ascii="Times New Roman" w:hAnsi="Times New Roman" w:cs="Times New Roman"/>
        </w:rPr>
        <w:t xml:space="preserve"> 4.33</w:t>
      </w:r>
      <w:r>
        <w:rPr>
          <w:rFonts w:ascii="Times New Roman" w:hAnsi="Times New Roman" w:cs="Times New Roman"/>
        </w:rPr>
        <w:t xml:space="preserve">. </w:t>
      </w:r>
    </w:p>
    <w:p w14:paraId="5ABC2FCE" w14:textId="77777777" w:rsidR="005708A0" w:rsidRDefault="005708A0" w:rsidP="005708A0">
      <w:pPr>
        <w:spacing w:after="120"/>
        <w:ind w:left="-284"/>
        <w:jc w:val="both"/>
        <w:rPr>
          <w:rFonts w:ascii="Times New Roman" w:hAnsi="Times New Roman" w:cs="Times New Roman"/>
        </w:rPr>
      </w:pPr>
      <w:r w:rsidRPr="00394DCD">
        <w:rPr>
          <w:rFonts w:ascii="Times New Roman" w:hAnsi="Times New Roman" w:cs="Times New Roman"/>
          <w:noProof/>
        </w:rPr>
        <w:lastRenderedPageBreak/>
        <w:drawing>
          <wp:inline distT="0" distB="0" distL="0" distR="0" wp14:anchorId="44F1EED2" wp14:editId="0B26977A">
            <wp:extent cx="5320067" cy="3627120"/>
            <wp:effectExtent l="0" t="0" r="0" b="5080"/>
            <wp:docPr id="9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3">
                      <a:extLst>
                        <a:ext uri="{28A0092B-C50C-407E-A947-70E740481C1C}">
                          <a14:useLocalDpi xmlns:a14="http://schemas.microsoft.com/office/drawing/2010/main" val="0"/>
                        </a:ext>
                      </a:extLst>
                    </a:blip>
                    <a:srcRect l="5130"/>
                    <a:stretch/>
                  </pic:blipFill>
                  <pic:spPr bwMode="auto">
                    <a:xfrm>
                      <a:off x="0" y="0"/>
                      <a:ext cx="5320614" cy="3627493"/>
                    </a:xfrm>
                    <a:prstGeom prst="rect">
                      <a:avLst/>
                    </a:prstGeom>
                    <a:noFill/>
                    <a:ln>
                      <a:noFill/>
                    </a:ln>
                    <a:extLst>
                      <a:ext uri="{53640926-AAD7-44d8-BBD7-CCE9431645EC}">
                        <a14:shadowObscured xmlns:a14="http://schemas.microsoft.com/office/drawing/2010/main"/>
                      </a:ext>
                    </a:extLst>
                  </pic:spPr>
                </pic:pic>
              </a:graphicData>
            </a:graphic>
          </wp:inline>
        </w:drawing>
      </w:r>
    </w:p>
    <w:p w14:paraId="0082D977" w14:textId="7181F9AE" w:rsidR="005708A0" w:rsidRDefault="0099415F" w:rsidP="005708A0">
      <w:pPr>
        <w:spacing w:after="360"/>
        <w:jc w:val="center"/>
        <w:rPr>
          <w:rFonts w:ascii="Times New Roman" w:hAnsi="Times New Roman" w:cs="Times New Roman"/>
        </w:rPr>
      </w:pPr>
      <w:r>
        <w:rPr>
          <w:rFonts w:ascii="Times New Roman" w:hAnsi="Times New Roman" w:cs="Times New Roman"/>
          <w:b/>
        </w:rPr>
        <w:t>Figure 4.33</w:t>
      </w:r>
      <w:r w:rsidR="005708A0">
        <w:rPr>
          <w:rFonts w:ascii="Times New Roman" w:hAnsi="Times New Roman" w:cs="Times New Roman"/>
          <w:b/>
        </w:rPr>
        <w:t xml:space="preserve">: </w:t>
      </w:r>
      <w:r w:rsidR="005708A0">
        <w:rPr>
          <w:rFonts w:ascii="Times New Roman" w:hAnsi="Times New Roman" w:cs="Times New Roman"/>
        </w:rPr>
        <w:t xml:space="preserve">XRD traces for cement samples from solutions with </w:t>
      </w:r>
      <w:r w:rsidR="00A96B84">
        <w:rPr>
          <w:rFonts w:ascii="Times New Roman" w:hAnsi="Times New Roman" w:cs="Times New Roman"/>
        </w:rPr>
        <w:t xml:space="preserve">the closest </w:t>
      </w:r>
      <w:r w:rsidR="006902DC">
        <w:rPr>
          <w:rFonts w:ascii="Times New Roman" w:hAnsi="Times New Roman" w:cs="Times New Roman"/>
        </w:rPr>
        <w:t>a</w:t>
      </w:r>
      <w:r w:rsidR="00A96B84">
        <w:rPr>
          <w:rFonts w:ascii="Times New Roman" w:hAnsi="Times New Roman" w:cs="Times New Roman"/>
        </w:rPr>
        <w:t xml:space="preserve">mounts of </w:t>
      </w:r>
      <w:r w:rsidR="005708A0">
        <w:rPr>
          <w:rFonts w:ascii="Times New Roman" w:hAnsi="Times New Roman" w:cs="Times New Roman"/>
        </w:rPr>
        <w:t xml:space="preserve">normalised Cs and Sr mass </w:t>
      </w:r>
      <w:r w:rsidR="00A96B84">
        <w:rPr>
          <w:rFonts w:ascii="Times New Roman" w:hAnsi="Times New Roman" w:cs="Times New Roman"/>
        </w:rPr>
        <w:t xml:space="preserve">in solution in comparison to </w:t>
      </w:r>
      <w:r w:rsidR="00A96B84" w:rsidRPr="00EB7529">
        <w:rPr>
          <w:rFonts w:ascii="Times New Roman" w:hAnsi="Times New Roman" w:cs="Times New Roman"/>
          <w:b/>
        </w:rPr>
        <w:t>W2Y</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
    <w:p w14:paraId="36DD65B9" w14:textId="44712FCA" w:rsidR="005708A0" w:rsidRDefault="005708A0" w:rsidP="005708A0">
      <w:pPr>
        <w:spacing w:before="240" w:after="120" w:line="480" w:lineRule="exact"/>
        <w:jc w:val="both"/>
        <w:rPr>
          <w:rFonts w:ascii="Times New Roman" w:hAnsi="Times New Roman" w:cs="Times New Roman"/>
        </w:rPr>
      </w:pPr>
      <w:r>
        <w:rPr>
          <w:rFonts w:ascii="Times New Roman" w:hAnsi="Times New Roman" w:cs="Times New Roman"/>
        </w:rPr>
        <w:t>The XRD results show strong agreem</w:t>
      </w:r>
      <w:r w:rsidR="004D0AF0">
        <w:rPr>
          <w:rFonts w:ascii="Times New Roman" w:hAnsi="Times New Roman" w:cs="Times New Roman"/>
        </w:rPr>
        <w:t>ent, with similar peak intensities</w:t>
      </w:r>
      <w:r>
        <w:rPr>
          <w:rFonts w:ascii="Times New Roman" w:hAnsi="Times New Roman" w:cs="Times New Roman"/>
        </w:rPr>
        <w:t xml:space="preserve"> for the main crystal phases. Generally the </w:t>
      </w:r>
      <w:r w:rsidRPr="0099415F">
        <w:rPr>
          <w:rFonts w:ascii="Times New Roman" w:hAnsi="Times New Roman" w:cs="Times New Roman"/>
          <w:b/>
        </w:rPr>
        <w:t>1Y6M</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proofErr w:type="gramStart"/>
      <w:r w:rsidR="0099415F">
        <w:rPr>
          <w:rFonts w:ascii="Times" w:hAnsi="Times"/>
          <w:sz w:val="20"/>
          <w:szCs w:val="20"/>
        </w:rPr>
        <w:t xml:space="preserve">  </w:t>
      </w:r>
      <w:r>
        <w:rPr>
          <w:rFonts w:ascii="Times New Roman" w:hAnsi="Times New Roman" w:cs="Times New Roman"/>
        </w:rPr>
        <w:t>sample</w:t>
      </w:r>
      <w:proofErr w:type="gramEnd"/>
      <w:r>
        <w:rPr>
          <w:rFonts w:ascii="Times New Roman" w:hAnsi="Times New Roman" w:cs="Times New Roman"/>
        </w:rPr>
        <w:t xml:space="preserve"> seems to have relatively smaller peaks, this does comply with the results in fig</w:t>
      </w:r>
      <w:r w:rsidR="0099415F">
        <w:rPr>
          <w:rFonts w:ascii="Times New Roman" w:hAnsi="Times New Roman" w:cs="Times New Roman"/>
        </w:rPr>
        <w:t>ure 4.30 and 4.31</w:t>
      </w:r>
      <w:r w:rsidR="00A96B84">
        <w:rPr>
          <w:rFonts w:ascii="Times New Roman" w:hAnsi="Times New Roman" w:cs="Times New Roman"/>
        </w:rPr>
        <w:t xml:space="preserve"> as the leached amounts</w:t>
      </w:r>
      <w:r>
        <w:rPr>
          <w:rFonts w:ascii="Times New Roman" w:hAnsi="Times New Roman" w:cs="Times New Roman"/>
        </w:rPr>
        <w:t xml:space="preserve"> for both Cs and Sr in this sample are higher than the other samples. The intensity of the CAN peak seems to be relatively stronger in both the </w:t>
      </w:r>
      <w:r w:rsidRPr="0099415F">
        <w:rPr>
          <w:rFonts w:ascii="Times New Roman" w:hAnsi="Times New Roman" w:cs="Times New Roman"/>
          <w:b/>
        </w:rPr>
        <w:t>E</w:t>
      </w:r>
      <w:r>
        <w:rPr>
          <w:rFonts w:ascii="Times New Roman" w:hAnsi="Times New Roman" w:cs="Times New Roman"/>
        </w:rPr>
        <w:t xml:space="preserve"> samples. These samples also show a peak for the HC again, whereas the other samples do not. The acidic method seems to alter the crystal structure </w:t>
      </w:r>
      <w:r w:rsidR="007A6C1B">
        <w:rPr>
          <w:rFonts w:ascii="Times New Roman" w:hAnsi="Times New Roman" w:cs="Times New Roman"/>
        </w:rPr>
        <w:t xml:space="preserve">phase </w:t>
      </w:r>
      <w:r w:rsidR="00D208FA">
        <w:rPr>
          <w:rFonts w:ascii="Times New Roman" w:hAnsi="Times New Roman" w:cs="Times New Roman"/>
        </w:rPr>
        <w:t>assemblage</w:t>
      </w:r>
      <w:r w:rsidR="007A6C1B">
        <w:rPr>
          <w:rFonts w:ascii="Times New Roman" w:hAnsi="Times New Roman" w:cs="Times New Roman"/>
        </w:rPr>
        <w:t xml:space="preserve"> </w:t>
      </w:r>
      <w:r>
        <w:rPr>
          <w:rFonts w:ascii="Times New Roman" w:hAnsi="Times New Roman" w:cs="Times New Roman"/>
        </w:rPr>
        <w:t>by impacting the AF</w:t>
      </w:r>
      <w:r w:rsidR="004D0AF0">
        <w:rPr>
          <w:rFonts w:ascii="Times New Roman" w:hAnsi="Times New Roman" w:cs="Times New Roman"/>
        </w:rPr>
        <w:t xml:space="preserve">m </w:t>
      </w:r>
      <w:r>
        <w:rPr>
          <w:rFonts w:ascii="Times New Roman" w:hAnsi="Times New Roman" w:cs="Times New Roman"/>
        </w:rPr>
        <w:t>phases. A</w:t>
      </w:r>
      <w:r w:rsidR="00D208FA">
        <w:rPr>
          <w:rFonts w:ascii="Times New Roman" w:hAnsi="Times New Roman" w:cs="Times New Roman"/>
        </w:rPr>
        <w:t>gain the</w:t>
      </w:r>
      <w:r>
        <w:rPr>
          <w:rFonts w:ascii="Times New Roman" w:hAnsi="Times New Roman" w:cs="Times New Roman"/>
        </w:rPr>
        <w:t xml:space="preserve"> increase in leached amounts between </w:t>
      </w:r>
      <w:r w:rsidRPr="00EB7529">
        <w:rPr>
          <w:rFonts w:ascii="Times New Roman" w:hAnsi="Times New Roman" w:cs="Times New Roman"/>
          <w:b/>
        </w:rPr>
        <w:t>A28</w:t>
      </w:r>
      <w:r w:rsidR="00EB7529" w:rsidRPr="00EB7529">
        <w:rPr>
          <w:rFonts w:cs="Arial"/>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B7529">
        <w:rPr>
          <w:rFonts w:ascii="Times" w:hAnsi="Times"/>
        </w:rPr>
        <w:t xml:space="preserve"> </w:t>
      </w:r>
      <w:r>
        <w:rPr>
          <w:rFonts w:ascii="Times New Roman" w:hAnsi="Times New Roman" w:cs="Times New Roman"/>
        </w:rPr>
        <w:t xml:space="preserve">and </w:t>
      </w:r>
      <w:r w:rsidRPr="00EB7529">
        <w:rPr>
          <w:rFonts w:ascii="Times New Roman" w:hAnsi="Times New Roman" w:cs="Times New Roman"/>
          <w:b/>
        </w:rPr>
        <w:t>A3M</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B7529">
        <w:rPr>
          <w:rFonts w:ascii="Times" w:hAnsi="Times"/>
        </w:rPr>
        <w:t xml:space="preserve"> </w:t>
      </w:r>
      <w:r w:rsidR="00D208FA">
        <w:rPr>
          <w:rFonts w:ascii="Times New Roman" w:hAnsi="Times New Roman" w:cs="Times New Roman"/>
        </w:rPr>
        <w:t>was also very small</w:t>
      </w:r>
      <w:r>
        <w:rPr>
          <w:rFonts w:ascii="Times New Roman" w:hAnsi="Times New Roman" w:cs="Times New Roman"/>
        </w:rPr>
        <w:t xml:space="preserve"> for Cs and Sr in the acidic leaching procedure. </w:t>
      </w:r>
    </w:p>
    <w:p w14:paraId="66944C96" w14:textId="25B82392" w:rsidR="005708A0" w:rsidRDefault="005708A0" w:rsidP="005708A0">
      <w:pPr>
        <w:spacing w:before="240" w:after="120" w:line="480" w:lineRule="exact"/>
        <w:jc w:val="both"/>
        <w:rPr>
          <w:rFonts w:ascii="Times New Roman" w:hAnsi="Times New Roman" w:cs="Times New Roman"/>
        </w:rPr>
      </w:pPr>
      <w:r>
        <w:rPr>
          <w:rFonts w:ascii="Times New Roman" w:hAnsi="Times New Roman" w:cs="Times New Roman"/>
        </w:rPr>
        <w:t xml:space="preserve">To further investigate the phase assemblage and the impacts of the various leaching methods, the semi-static and acidic leached samples DTG data were compared. The DTG curve of the </w:t>
      </w:r>
      <w:r w:rsidRPr="00EB7529">
        <w:rPr>
          <w:rFonts w:ascii="Times New Roman" w:hAnsi="Times New Roman" w:cs="Times New Roman"/>
          <w:b/>
        </w:rPr>
        <w:t>1Y6M</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EB7529">
        <w:rPr>
          <w:rFonts w:ascii="Times" w:hAnsi="Times"/>
        </w:rPr>
        <w:t xml:space="preserve"> </w:t>
      </w:r>
      <w:r>
        <w:rPr>
          <w:rFonts w:ascii="Times New Roman" w:hAnsi="Times New Roman" w:cs="Times New Roman"/>
        </w:rPr>
        <w:t xml:space="preserve"> sample</w:t>
      </w:r>
      <w:proofErr w:type="gramEnd"/>
      <w:r>
        <w:rPr>
          <w:rFonts w:ascii="Times New Roman" w:hAnsi="Times New Roman" w:cs="Times New Roman"/>
        </w:rPr>
        <w:t xml:space="preserve"> compared with the </w:t>
      </w:r>
      <w:r w:rsidRPr="00EB7529">
        <w:rPr>
          <w:rFonts w:ascii="Times New Roman" w:hAnsi="Times New Roman" w:cs="Times New Roman"/>
          <w:b/>
        </w:rPr>
        <w:t>A7</w:t>
      </w:r>
      <w:r w:rsidR="00EB7529">
        <w:rPr>
          <w:rFonts w:cs="Arial"/>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B7529">
        <w:rPr>
          <w:rFonts w:ascii="Times" w:hAnsi="Times"/>
        </w:rPr>
        <w:t xml:space="preserve"> </w:t>
      </w:r>
      <w:r w:rsidR="00D208FA">
        <w:rPr>
          <w:rFonts w:ascii="Times New Roman" w:hAnsi="Times New Roman" w:cs="Times New Roman"/>
        </w:rPr>
        <w:t xml:space="preserve"> is shown in figure 4.34</w:t>
      </w:r>
      <w:r>
        <w:rPr>
          <w:rFonts w:ascii="Times New Roman" w:hAnsi="Times New Roman" w:cs="Times New Roman"/>
        </w:rPr>
        <w:t xml:space="preserve"> and </w:t>
      </w:r>
      <w:r w:rsidRPr="00EB7529">
        <w:rPr>
          <w:rFonts w:ascii="Times New Roman" w:hAnsi="Times New Roman" w:cs="Times New Roman"/>
          <w:b/>
        </w:rPr>
        <w:t>2Y</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B7529">
        <w:rPr>
          <w:rFonts w:ascii="Times" w:hAnsi="Times"/>
        </w:rPr>
        <w:t xml:space="preserve"> </w:t>
      </w:r>
      <w:r>
        <w:rPr>
          <w:rFonts w:ascii="Times New Roman" w:hAnsi="Times New Roman" w:cs="Times New Roman"/>
        </w:rPr>
        <w:t xml:space="preserve"> was </w:t>
      </w:r>
      <w:r w:rsidR="00D208FA">
        <w:rPr>
          <w:rFonts w:ascii="Times New Roman" w:hAnsi="Times New Roman" w:cs="Times New Roman"/>
        </w:rPr>
        <w:t xml:space="preserve">compared with </w:t>
      </w:r>
      <w:r w:rsidR="00D208FA" w:rsidRPr="00D208FA">
        <w:rPr>
          <w:rFonts w:ascii="Times New Roman" w:hAnsi="Times New Roman" w:cs="Times New Roman"/>
          <w:b/>
        </w:rPr>
        <w:t>A14D</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sidR="00D208FA">
        <w:rPr>
          <w:rFonts w:ascii="Times" w:hAnsi="Times"/>
          <w:sz w:val="20"/>
          <w:szCs w:val="20"/>
        </w:rPr>
        <w:t xml:space="preserve">  </w:t>
      </w:r>
      <w:r w:rsidR="00D208FA">
        <w:rPr>
          <w:rFonts w:ascii="Times New Roman" w:hAnsi="Times New Roman" w:cs="Times New Roman"/>
        </w:rPr>
        <w:t xml:space="preserve"> in figure 4.5</w:t>
      </w:r>
      <w:r>
        <w:rPr>
          <w:rFonts w:ascii="Times New Roman" w:hAnsi="Times New Roman" w:cs="Times New Roman"/>
        </w:rPr>
        <w:t xml:space="preserve"> as these had the closest similarities in leached amounts</w:t>
      </w:r>
      <w:r w:rsidR="007A6C1B">
        <w:rPr>
          <w:rFonts w:ascii="Times New Roman" w:hAnsi="Times New Roman" w:cs="Times New Roman"/>
        </w:rPr>
        <w:t xml:space="preserve"> of Cs</w:t>
      </w:r>
      <w:r>
        <w:rPr>
          <w:rFonts w:ascii="Times New Roman" w:hAnsi="Times New Roman" w:cs="Times New Roman"/>
        </w:rPr>
        <w:t xml:space="preserve">. </w:t>
      </w:r>
    </w:p>
    <w:p w14:paraId="624B0EC0" w14:textId="77777777" w:rsidR="005708A0" w:rsidRDefault="005708A0" w:rsidP="005708A0">
      <w:pPr>
        <w:spacing w:before="240" w:after="120" w:line="480" w:lineRule="exact"/>
        <w:jc w:val="both"/>
        <w:rPr>
          <w:rFonts w:ascii="Times New Roman" w:hAnsi="Times New Roman" w:cs="Times New Roman"/>
        </w:rPr>
      </w:pPr>
    </w:p>
    <w:p w14:paraId="7481CA0B" w14:textId="77777777" w:rsidR="005708A0" w:rsidRDefault="005708A0" w:rsidP="005708A0">
      <w:pPr>
        <w:spacing w:after="120"/>
        <w:jc w:val="center"/>
        <w:rPr>
          <w:rFonts w:ascii="Times New Roman" w:hAnsi="Times New Roman" w:cs="Times New Roman"/>
        </w:rPr>
      </w:pPr>
      <w:r w:rsidRPr="002138DB">
        <w:rPr>
          <w:rFonts w:ascii="Times New Roman" w:hAnsi="Times New Roman" w:cs="Times New Roman"/>
          <w:noProof/>
        </w:rPr>
        <w:drawing>
          <wp:inline distT="0" distB="0" distL="0" distR="0" wp14:anchorId="5C806880" wp14:editId="4535CE2B">
            <wp:extent cx="5608320" cy="3638703"/>
            <wp:effectExtent l="0" t="0" r="5080" b="0"/>
            <wp:docPr id="9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08320" cy="3638703"/>
                    </a:xfrm>
                    <a:prstGeom prst="rect">
                      <a:avLst/>
                    </a:prstGeom>
                    <a:noFill/>
                    <a:ln>
                      <a:noFill/>
                    </a:ln>
                  </pic:spPr>
                </pic:pic>
              </a:graphicData>
            </a:graphic>
          </wp:inline>
        </w:drawing>
      </w:r>
    </w:p>
    <w:p w14:paraId="3230F039" w14:textId="161C7C0F" w:rsidR="005708A0" w:rsidRDefault="00D208FA" w:rsidP="005708A0">
      <w:pPr>
        <w:spacing w:after="360"/>
        <w:jc w:val="center"/>
        <w:rPr>
          <w:rFonts w:ascii="Times New Roman" w:hAnsi="Times New Roman" w:cs="Times New Roman"/>
        </w:rPr>
      </w:pPr>
      <w:r>
        <w:rPr>
          <w:rFonts w:ascii="Times New Roman" w:hAnsi="Times New Roman" w:cs="Times New Roman"/>
          <w:b/>
        </w:rPr>
        <w:t>Figure 4.34</w:t>
      </w:r>
      <w:r w:rsidR="005708A0">
        <w:rPr>
          <w:rFonts w:ascii="Times New Roman" w:hAnsi="Times New Roman" w:cs="Times New Roman"/>
          <w:b/>
        </w:rPr>
        <w:t xml:space="preserve">: </w:t>
      </w:r>
      <w:r w:rsidR="005708A0">
        <w:rPr>
          <w:rFonts w:ascii="Times New Roman" w:hAnsi="Times New Roman" w:cs="Times New Roman"/>
        </w:rPr>
        <w:t xml:space="preserve">DTG curves from samples </w:t>
      </w:r>
      <w:r w:rsidR="005708A0" w:rsidRPr="00EB7529">
        <w:rPr>
          <w:rFonts w:ascii="Times New Roman" w:hAnsi="Times New Roman" w:cs="Times New Roman"/>
          <w:b/>
        </w:rPr>
        <w:t>1Y6</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B7529">
        <w:rPr>
          <w:rFonts w:ascii="Times" w:hAnsi="Times"/>
        </w:rPr>
        <w:t xml:space="preserve"> </w:t>
      </w:r>
      <w:r w:rsidR="005708A0">
        <w:rPr>
          <w:rFonts w:ascii="Times New Roman" w:hAnsi="Times New Roman" w:cs="Times New Roman"/>
        </w:rPr>
        <w:t xml:space="preserve">and </w:t>
      </w:r>
      <w:r w:rsidR="005708A0" w:rsidRPr="00EB7529">
        <w:rPr>
          <w:rFonts w:ascii="Times New Roman" w:hAnsi="Times New Roman" w:cs="Times New Roman"/>
          <w:b/>
        </w:rPr>
        <w:t>A7</w:t>
      </w:r>
      <w:r w:rsidR="00EB7529">
        <w:rPr>
          <w:rFonts w:cs="Arial"/>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A2570F">
        <w:rPr>
          <w:rFonts w:cs="Arial"/>
          <w:sz w:val="36"/>
          <w:szCs w:val="36"/>
        </w:rPr>
        <w:t xml:space="preserve"> </w:t>
      </w:r>
    </w:p>
    <w:p w14:paraId="698D037D" w14:textId="787C5C13" w:rsidR="00A16C02" w:rsidRPr="00D52033" w:rsidRDefault="005708A0" w:rsidP="00A16C02">
      <w:pPr>
        <w:widowControl w:val="0"/>
        <w:autoSpaceDE w:val="0"/>
        <w:autoSpaceDN w:val="0"/>
        <w:adjustRightInd w:val="0"/>
        <w:spacing w:after="240" w:line="480" w:lineRule="exact"/>
        <w:jc w:val="both"/>
        <w:rPr>
          <w:rFonts w:ascii="Times" w:hAnsi="Times" w:cs="Times"/>
        </w:rPr>
      </w:pPr>
      <w:r>
        <w:rPr>
          <w:rFonts w:ascii="Times New Roman" w:hAnsi="Times New Roman" w:cs="Times New Roman"/>
        </w:rPr>
        <w:t xml:space="preserve">The DTG curve for </w:t>
      </w:r>
      <w:r w:rsidRPr="00EB7529">
        <w:rPr>
          <w:rFonts w:ascii="Times New Roman" w:hAnsi="Times New Roman" w:cs="Times New Roman"/>
          <w:b/>
        </w:rPr>
        <w:t>A7</w:t>
      </w:r>
      <w:r w:rsidR="00EB7529">
        <w:rPr>
          <w:rFonts w:cs="Arial"/>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EB7529">
        <w:rPr>
          <w:rFonts w:ascii="Times" w:hAnsi="Times"/>
        </w:rPr>
        <w:t xml:space="preserve"> </w:t>
      </w:r>
      <w:r>
        <w:rPr>
          <w:rFonts w:ascii="Times New Roman" w:hAnsi="Times New Roman" w:cs="Times New Roman"/>
        </w:rPr>
        <w:t xml:space="preserve"> shows</w:t>
      </w:r>
      <w:proofErr w:type="gramEnd"/>
      <w:r>
        <w:rPr>
          <w:rFonts w:ascii="Times New Roman" w:hAnsi="Times New Roman" w:cs="Times New Roman"/>
        </w:rPr>
        <w:t xml:space="preserve"> a peak for</w:t>
      </w:r>
      <w:r w:rsidR="00EF2915">
        <w:rPr>
          <w:rFonts w:ascii="Times New Roman" w:hAnsi="Times New Roman" w:cs="Times New Roman"/>
        </w:rPr>
        <w:t xml:space="preserve"> </w:t>
      </w:r>
      <w:r>
        <w:rPr>
          <w:rFonts w:ascii="Times New Roman" w:hAnsi="Times New Roman" w:cs="Times New Roman"/>
        </w:rPr>
        <w:t>A</w:t>
      </w:r>
      <w:r w:rsidR="007205CA">
        <w:rPr>
          <w:rFonts w:ascii="Times New Roman" w:hAnsi="Times New Roman" w:cs="Times New Roman"/>
        </w:rPr>
        <w:t>Fm, similarly so does the</w:t>
      </w:r>
      <w:r w:rsidR="009D7446">
        <w:rPr>
          <w:rFonts w:ascii="Times New Roman" w:hAnsi="Times New Roman" w:cs="Times New Roman"/>
        </w:rPr>
        <w:t xml:space="preserve"> </w:t>
      </w:r>
      <w:r w:rsidRPr="00EB7529">
        <w:rPr>
          <w:rFonts w:ascii="Times New Roman" w:hAnsi="Times New Roman" w:cs="Times New Roman"/>
          <w:b/>
        </w:rPr>
        <w:t>W-1Y6</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B7529">
        <w:rPr>
          <w:rFonts w:ascii="Times" w:hAnsi="Times"/>
        </w:rPr>
        <w:t xml:space="preserve"> </w:t>
      </w:r>
      <w:r>
        <w:rPr>
          <w:rFonts w:ascii="Times New Roman" w:hAnsi="Times New Roman" w:cs="Times New Roman"/>
        </w:rPr>
        <w:t xml:space="preserve"> sample. However as shown in</w:t>
      </w:r>
      <w:r w:rsidRPr="00006226">
        <w:rPr>
          <w:rFonts w:ascii="Times New Roman" w:hAnsi="Times New Roman" w:cs="Times New Roman"/>
        </w:rPr>
        <w:t xml:space="preserve"> </w:t>
      </w:r>
      <w:r w:rsidR="007205CA">
        <w:rPr>
          <w:rFonts w:ascii="Times New Roman" w:hAnsi="Times New Roman" w:cs="Times New Roman"/>
        </w:rPr>
        <w:t xml:space="preserve">the heating profile, </w:t>
      </w:r>
      <w:r>
        <w:rPr>
          <w:rFonts w:ascii="Times New Roman" w:hAnsi="Times New Roman" w:cs="Times New Roman"/>
        </w:rPr>
        <w:t>the CAN phase is absent in DTG of the a</w:t>
      </w:r>
      <w:r w:rsidR="007205CA">
        <w:rPr>
          <w:rFonts w:ascii="Times New Roman" w:hAnsi="Times New Roman" w:cs="Times New Roman"/>
        </w:rPr>
        <w:t xml:space="preserve">cidically </w:t>
      </w:r>
      <w:r w:rsidR="005E0BA6">
        <w:rPr>
          <w:rFonts w:ascii="Times New Roman" w:hAnsi="Times New Roman" w:cs="Times New Roman"/>
        </w:rPr>
        <w:t>leached</w:t>
      </w:r>
      <w:r w:rsidR="007205CA">
        <w:rPr>
          <w:rFonts w:ascii="Times New Roman" w:hAnsi="Times New Roman" w:cs="Times New Roman"/>
        </w:rPr>
        <w:t xml:space="preserve"> </w:t>
      </w:r>
      <w:r>
        <w:rPr>
          <w:rFonts w:ascii="Times New Roman" w:hAnsi="Times New Roman" w:cs="Times New Roman"/>
        </w:rPr>
        <w:t>sample supporting the XRD findings, instead there is a very strong peak at around 320-380</w:t>
      </w:r>
      <w:r>
        <w:rPr>
          <w:rFonts w:ascii="Times New Roman" w:hAnsi="Times New Roman" w:cs="Times New Roman"/>
          <w:vertAlign w:val="superscript"/>
        </w:rPr>
        <w:t>o</w:t>
      </w:r>
      <w:r>
        <w:rPr>
          <w:rFonts w:ascii="Times New Roman" w:hAnsi="Times New Roman" w:cs="Times New Roman"/>
        </w:rPr>
        <w:t>C which could possibly be attributed to the dehydra</w:t>
      </w:r>
      <w:r w:rsidR="002B02B0">
        <w:rPr>
          <w:rFonts w:ascii="Times New Roman" w:hAnsi="Times New Roman" w:cs="Times New Roman"/>
        </w:rPr>
        <w:t>tion of the hydrogarnet phase [40</w:t>
      </w:r>
      <w:r>
        <w:rPr>
          <w:rFonts w:ascii="Times New Roman" w:hAnsi="Times New Roman" w:cs="Times New Roman"/>
        </w:rPr>
        <w:t>]. The XRD traces in fig</w:t>
      </w:r>
      <w:r w:rsidR="004A2551">
        <w:rPr>
          <w:rFonts w:ascii="Times New Roman" w:hAnsi="Times New Roman" w:cs="Times New Roman"/>
        </w:rPr>
        <w:t>ure 4.30 and</w:t>
      </w:r>
      <w:r>
        <w:rPr>
          <w:rFonts w:ascii="Times New Roman" w:hAnsi="Times New Roman" w:cs="Times New Roman"/>
        </w:rPr>
        <w:t xml:space="preserve"> 4.31 show no peaks for this phase, this could be, however, due to the fact that hydrogarnet is kn</w:t>
      </w:r>
      <w:r w:rsidR="002B02B0">
        <w:rPr>
          <w:rFonts w:ascii="Times New Roman" w:hAnsi="Times New Roman" w:cs="Times New Roman"/>
        </w:rPr>
        <w:t>own to be poorly crystalline [46</w:t>
      </w:r>
      <w:r>
        <w:rPr>
          <w:rFonts w:ascii="Times New Roman" w:hAnsi="Times New Roman" w:cs="Times New Roman"/>
        </w:rPr>
        <w:t>].</w:t>
      </w:r>
      <w:r>
        <w:rPr>
          <w:rFonts w:ascii="Times" w:hAnsi="Times" w:cs="Times"/>
          <w:sz w:val="26"/>
          <w:szCs w:val="26"/>
        </w:rPr>
        <w:t xml:space="preserve"> </w:t>
      </w:r>
      <w:r w:rsidR="002B02B0">
        <w:rPr>
          <w:rFonts w:ascii="Times" w:hAnsi="Times" w:cs="Times"/>
        </w:rPr>
        <w:t>Ben Haha et al [45</w:t>
      </w:r>
      <w:r w:rsidR="00A16C02">
        <w:rPr>
          <w:rFonts w:ascii="Times" w:hAnsi="Times" w:cs="Times"/>
        </w:rPr>
        <w:t>] stated that the hydrotalcite phase (HC) was responsible for the weight loss between 340-400</w:t>
      </w:r>
      <w:r w:rsidR="00A16C02">
        <w:rPr>
          <w:rFonts w:ascii="Times" w:hAnsi="Times" w:cs="Times"/>
          <w:vertAlign w:val="superscript"/>
        </w:rPr>
        <w:t>o</w:t>
      </w:r>
      <w:r w:rsidR="00A16C02">
        <w:rPr>
          <w:rFonts w:ascii="Times" w:hAnsi="Times" w:cs="Times"/>
        </w:rPr>
        <w:t>C as opposed to hydrogarnet</w:t>
      </w:r>
      <w:r w:rsidR="00A16C02" w:rsidRPr="00A46675">
        <w:rPr>
          <w:rFonts w:ascii="Times" w:hAnsi="Times" w:cs="Times"/>
        </w:rPr>
        <w:t>.</w:t>
      </w:r>
      <w:r w:rsidR="00A16C02">
        <w:rPr>
          <w:rFonts w:ascii="Times" w:hAnsi="Times" w:cs="Times"/>
        </w:rPr>
        <w:t xml:space="preserve"> As this DTG peak is considerably broad and falls between both events and as both of these phases are poor crystalline it is hard to distinguish which is responsible. However given that the heat loss begins at approximately 300</w:t>
      </w:r>
      <w:r w:rsidR="00A16C02">
        <w:rPr>
          <w:rFonts w:ascii="Times" w:hAnsi="Times" w:cs="Times"/>
          <w:vertAlign w:val="superscript"/>
        </w:rPr>
        <w:t>o</w:t>
      </w:r>
      <w:r w:rsidR="00A16C02">
        <w:rPr>
          <w:rFonts w:ascii="Times" w:hAnsi="Times" w:cs="Times"/>
        </w:rPr>
        <w:t xml:space="preserve">C it is more likely this is due to the dehydration of the hydrogarnet phase. </w:t>
      </w:r>
    </w:p>
    <w:p w14:paraId="1A7C87A9" w14:textId="2E305F39" w:rsidR="005708A0" w:rsidRPr="00A16C02" w:rsidRDefault="00D208FA" w:rsidP="005708A0">
      <w:pPr>
        <w:spacing w:before="240" w:after="120" w:line="480" w:lineRule="exact"/>
        <w:jc w:val="both"/>
        <w:rPr>
          <w:rFonts w:ascii="Times" w:hAnsi="Times"/>
        </w:rPr>
      </w:pPr>
      <w:r>
        <w:rPr>
          <w:rFonts w:ascii="Times" w:hAnsi="Times" w:cs="Times"/>
        </w:rPr>
        <w:lastRenderedPageBreak/>
        <w:t>The DTG curves in figure 4.35</w:t>
      </w:r>
      <w:r w:rsidR="005708A0" w:rsidRPr="00A16C02">
        <w:rPr>
          <w:rFonts w:ascii="Times" w:hAnsi="Times" w:cs="Times"/>
        </w:rPr>
        <w:t xml:space="preserve"> show a very weak shoulder for the AF</w:t>
      </w:r>
      <w:r w:rsidR="005708A0" w:rsidRPr="00751C5B">
        <w:rPr>
          <w:rFonts w:ascii="Times" w:hAnsi="Times" w:cs="Times"/>
          <w:vertAlign w:val="subscript"/>
        </w:rPr>
        <w:t>M</w:t>
      </w:r>
      <w:r w:rsidR="005708A0" w:rsidRPr="00A16C02">
        <w:rPr>
          <w:rFonts w:ascii="Times" w:hAnsi="Times" w:cs="Times"/>
        </w:rPr>
        <w:t xml:space="preserve"> phase in </w:t>
      </w:r>
      <w:r w:rsidR="005708A0" w:rsidRPr="00A16C02">
        <w:rPr>
          <w:rFonts w:ascii="Times New Roman" w:hAnsi="Times New Roman" w:cs="Times New Roman"/>
          <w:b/>
        </w:rPr>
        <w:t>W2Y</w:t>
      </w:r>
      <m:oMath>
        <m:acc>
          <m:accPr>
            <m:chr m:val="̅"/>
            <m:ctrlPr>
              <w:rPr>
                <w:rFonts w:ascii="Cambria Math" w:hAnsi="Cambria Math" w:cs="Times New Roman"/>
                <w:i/>
                <w:sz w:val="36"/>
                <w:szCs w:val="30"/>
              </w:rPr>
            </m:ctrlPr>
          </m:accPr>
          <m:e>
            <m:r>
              <m:rPr>
                <m:sty m:val="p"/>
              </m:rPr>
              <w:rPr>
                <w:rFonts w:ascii="Cambria Math" w:hAnsi="Cambria Math" w:cs="Times New Roman"/>
                <w:sz w:val="36"/>
                <w:szCs w:val="30"/>
              </w:rPr>
              <m:t>cs</m:t>
            </m:r>
          </m:e>
        </m:acc>
      </m:oMath>
      <w:r w:rsidR="004A2551" w:rsidRPr="00A16C02">
        <w:rPr>
          <w:rFonts w:ascii="Times" w:hAnsi="Times" w:cs="Times"/>
        </w:rPr>
        <w:t>, whereas the shoulder for AFm</w:t>
      </w:r>
      <w:r w:rsidR="005708A0" w:rsidRPr="00A16C02">
        <w:rPr>
          <w:rFonts w:ascii="Times" w:hAnsi="Times" w:cs="Times"/>
        </w:rPr>
        <w:t xml:space="preserve"> in the </w:t>
      </w:r>
      <w:r w:rsidR="00EB7529">
        <w:rPr>
          <w:rFonts w:cs="Arial"/>
          <w:b/>
        </w:rPr>
        <w:t>A14D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B7529">
        <w:rPr>
          <w:rFonts w:ascii="Times" w:hAnsi="Times"/>
        </w:rPr>
        <w:t xml:space="preserve"> </w:t>
      </w:r>
      <w:r w:rsidR="005708A0" w:rsidRPr="00A16C02">
        <w:rPr>
          <w:rFonts w:ascii="Times" w:hAnsi="Times" w:cs="Times"/>
        </w:rPr>
        <w:t xml:space="preserve">seems to be relatively </w:t>
      </w:r>
      <w:r w:rsidR="004A2551" w:rsidRPr="00A16C02">
        <w:rPr>
          <w:rFonts w:ascii="Times" w:hAnsi="Times" w:cs="Times"/>
        </w:rPr>
        <w:t xml:space="preserve">larger </w:t>
      </w:r>
      <w:r w:rsidR="005708A0" w:rsidRPr="00A16C02">
        <w:rPr>
          <w:rFonts w:ascii="Times" w:hAnsi="Times" w:cs="Times"/>
        </w:rPr>
        <w:t>than</w:t>
      </w:r>
      <w:r w:rsidR="0066113D" w:rsidRPr="00A16C02">
        <w:rPr>
          <w:rFonts w:ascii="Times" w:hAnsi="Times" w:cs="Times"/>
        </w:rPr>
        <w:t xml:space="preserve"> in</w:t>
      </w:r>
      <w:r w:rsidR="005708A0" w:rsidRPr="00A16C02">
        <w:rPr>
          <w:rFonts w:ascii="Times" w:hAnsi="Times" w:cs="Times"/>
        </w:rPr>
        <w:t xml:space="preserve"> A7DCS. The peak for CAN in the </w:t>
      </w:r>
      <w:r w:rsidR="005708A0" w:rsidRPr="00A16C02">
        <w:rPr>
          <w:rFonts w:ascii="Times New Roman" w:hAnsi="Times New Roman" w:cs="Times New Roman"/>
          <w:b/>
        </w:rPr>
        <w:t>W2Y</w:t>
      </w:r>
      <m:oMath>
        <m:acc>
          <m:accPr>
            <m:chr m:val="̅"/>
            <m:ctrlPr>
              <w:rPr>
                <w:rFonts w:ascii="Cambria Math" w:hAnsi="Cambria Math" w:cs="Times New Roman"/>
                <w:i/>
                <w:sz w:val="36"/>
                <w:szCs w:val="30"/>
              </w:rPr>
            </m:ctrlPr>
          </m:accPr>
          <m:e>
            <m:r>
              <m:rPr>
                <m:sty m:val="p"/>
              </m:rPr>
              <w:rPr>
                <w:rFonts w:ascii="Cambria Math" w:hAnsi="Cambria Math" w:cs="Times New Roman"/>
                <w:sz w:val="36"/>
                <w:szCs w:val="30"/>
              </w:rPr>
              <m:t>cs</m:t>
            </m:r>
          </m:e>
        </m:acc>
      </m:oMath>
      <w:r w:rsidR="00280E6E" w:rsidRPr="00A16C02">
        <w:rPr>
          <w:rFonts w:ascii="Times" w:hAnsi="Times"/>
        </w:rPr>
        <w:t xml:space="preserve"> is</w:t>
      </w:r>
      <w:r w:rsidR="005708A0" w:rsidRPr="00A16C02">
        <w:rPr>
          <w:rFonts w:ascii="Times" w:hAnsi="Times" w:cs="Times"/>
        </w:rPr>
        <w:t xml:space="preserve"> </w:t>
      </w:r>
      <w:r w:rsidR="0066113D" w:rsidRPr="00A16C02">
        <w:rPr>
          <w:rFonts w:ascii="Times" w:hAnsi="Times" w:cs="Times"/>
        </w:rPr>
        <w:t xml:space="preserve">smaller in comparison to </w:t>
      </w:r>
      <w:r w:rsidR="00EB7529">
        <w:rPr>
          <w:rFonts w:cs="Arial"/>
          <w:b/>
        </w:rPr>
        <w:t>W1Y6M</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66113D" w:rsidRPr="00A16C02">
        <w:rPr>
          <w:rFonts w:ascii="Times New Roman" w:hAnsi="Times New Roman" w:cs="Times New Roman"/>
        </w:rPr>
        <w:t>,</w:t>
      </w:r>
      <w:r w:rsidR="005708A0" w:rsidRPr="00A16C02">
        <w:rPr>
          <w:rFonts w:ascii="Times" w:hAnsi="Times" w:cs="Times"/>
        </w:rPr>
        <w:t xml:space="preserve"> as expected. </w:t>
      </w:r>
      <w:r w:rsidR="0066113D" w:rsidRPr="00A16C02">
        <w:rPr>
          <w:rFonts w:ascii="Times" w:hAnsi="Times" w:cs="Times"/>
        </w:rPr>
        <w:t>Again</w:t>
      </w:r>
      <w:r w:rsidR="005708A0" w:rsidRPr="00A16C02">
        <w:rPr>
          <w:rFonts w:ascii="Times" w:hAnsi="Times" w:cs="Times"/>
        </w:rPr>
        <w:t xml:space="preserve"> the CAN peak is absent in the </w:t>
      </w:r>
      <w:r w:rsidR="00EB7529">
        <w:rPr>
          <w:rFonts w:cs="Arial"/>
          <w:b/>
        </w:rPr>
        <w:t>A14D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EB7529">
        <w:rPr>
          <w:rFonts w:ascii="Times" w:hAnsi="Times"/>
        </w:rPr>
        <w:t xml:space="preserve"> </w:t>
      </w:r>
      <w:r w:rsidR="005708A0" w:rsidRPr="00A16C02">
        <w:rPr>
          <w:rFonts w:ascii="Times" w:hAnsi="Times" w:cs="Times"/>
        </w:rPr>
        <w:t xml:space="preserve"> DTG</w:t>
      </w:r>
      <w:proofErr w:type="gramEnd"/>
      <w:r w:rsidR="005708A0" w:rsidRPr="00A16C02">
        <w:rPr>
          <w:rFonts w:ascii="Times" w:hAnsi="Times" w:cs="Times"/>
        </w:rPr>
        <w:t xml:space="preserve"> profile with a strong peak for what is suggested to be a result of the hydrogarnet dehydration. </w:t>
      </w:r>
    </w:p>
    <w:p w14:paraId="366D26C7" w14:textId="77777777" w:rsidR="005708A0" w:rsidRDefault="005708A0" w:rsidP="005708A0">
      <w:pPr>
        <w:spacing w:before="240" w:after="120"/>
        <w:jc w:val="center"/>
        <w:rPr>
          <w:rFonts w:ascii="Times New Roman" w:hAnsi="Times New Roman" w:cs="Times New Roman"/>
        </w:rPr>
      </w:pPr>
      <w:r w:rsidRPr="008E6212">
        <w:rPr>
          <w:rFonts w:ascii="Times New Roman" w:hAnsi="Times New Roman" w:cs="Times New Roman"/>
          <w:noProof/>
        </w:rPr>
        <w:drawing>
          <wp:inline distT="0" distB="0" distL="0" distR="0" wp14:anchorId="3C330F07" wp14:editId="0DD45D5B">
            <wp:extent cx="5888143" cy="3657600"/>
            <wp:effectExtent l="0" t="0" r="5080" b="0"/>
            <wp:docPr id="9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5"/>
                    <a:stretch>
                      <a:fillRect/>
                    </a:stretch>
                  </pic:blipFill>
                  <pic:spPr>
                    <a:xfrm>
                      <a:off x="0" y="0"/>
                      <a:ext cx="5888143" cy="3657600"/>
                    </a:xfrm>
                    <a:prstGeom prst="rect">
                      <a:avLst/>
                    </a:prstGeom>
                  </pic:spPr>
                </pic:pic>
              </a:graphicData>
            </a:graphic>
          </wp:inline>
        </w:drawing>
      </w:r>
    </w:p>
    <w:p w14:paraId="1475659B" w14:textId="041D553F" w:rsidR="005708A0" w:rsidRDefault="00D208FA" w:rsidP="005708A0">
      <w:pPr>
        <w:spacing w:after="360"/>
        <w:jc w:val="center"/>
        <w:rPr>
          <w:rFonts w:ascii="Times New Roman" w:hAnsi="Times New Roman" w:cs="Times New Roman"/>
        </w:rPr>
      </w:pPr>
      <w:r>
        <w:rPr>
          <w:rFonts w:ascii="Times New Roman" w:hAnsi="Times New Roman" w:cs="Times New Roman"/>
          <w:b/>
        </w:rPr>
        <w:t>Figure 4.35</w:t>
      </w:r>
      <w:r w:rsidR="005708A0">
        <w:rPr>
          <w:rFonts w:ascii="Times New Roman" w:hAnsi="Times New Roman" w:cs="Times New Roman"/>
          <w:b/>
        </w:rPr>
        <w:t xml:space="preserve">: </w:t>
      </w:r>
      <w:r w:rsidR="005708A0">
        <w:rPr>
          <w:rFonts w:ascii="Times New Roman" w:hAnsi="Times New Roman" w:cs="Times New Roman"/>
        </w:rPr>
        <w:t xml:space="preserve">DTG curves from samples </w:t>
      </w:r>
      <w:r w:rsidR="00EB7529">
        <w:rPr>
          <w:rFonts w:cs="Arial"/>
          <w:b/>
        </w:rPr>
        <w:t>W2Y</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EB7529">
        <w:rPr>
          <w:rFonts w:ascii="Times" w:hAnsi="Times"/>
        </w:rPr>
        <w:t xml:space="preserve"> </w:t>
      </w:r>
      <w:r w:rsidR="005708A0">
        <w:rPr>
          <w:rFonts w:ascii="Times New Roman" w:hAnsi="Times New Roman" w:cs="Times New Roman"/>
        </w:rPr>
        <w:t xml:space="preserve"> and</w:t>
      </w:r>
      <w:proofErr w:type="gramEnd"/>
      <w:r w:rsidR="005708A0">
        <w:rPr>
          <w:rFonts w:ascii="Times New Roman" w:hAnsi="Times New Roman" w:cs="Times New Roman"/>
        </w:rPr>
        <w:t xml:space="preserve"> </w:t>
      </w:r>
      <w:r w:rsidR="00EB7529" w:rsidRPr="00EB7529">
        <w:rPr>
          <w:rFonts w:ascii="Times New Roman" w:hAnsi="Times New Roman" w:cs="Times New Roman"/>
          <w:b/>
        </w:rPr>
        <w:t>A14</w:t>
      </w:r>
      <w:r w:rsidR="00EB7529">
        <w:rPr>
          <w:rFonts w:cs="Arial"/>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
    <w:p w14:paraId="633D3587" w14:textId="058A31A6" w:rsidR="005708A0" w:rsidRDefault="005708A0" w:rsidP="005708A0">
      <w:pPr>
        <w:spacing w:line="480" w:lineRule="exact"/>
        <w:jc w:val="both"/>
        <w:rPr>
          <w:rFonts w:ascii="Times New Roman" w:hAnsi="Times New Roman" w:cs="Times New Roman"/>
        </w:rPr>
      </w:pPr>
      <w:r>
        <w:rPr>
          <w:rFonts w:ascii="Times New Roman" w:hAnsi="Times New Roman" w:cs="Times New Roman"/>
        </w:rPr>
        <w:t xml:space="preserve">In order to further study the suitability of the acidic leaching test the cement pore structure was studied. The porosity of </w:t>
      </w:r>
      <w:r w:rsidR="00EB7529">
        <w:rPr>
          <w:rFonts w:cs="Arial"/>
          <w:b/>
        </w:rPr>
        <w:t>A14D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EB7529">
        <w:rPr>
          <w:rFonts w:ascii="Times" w:hAnsi="Times"/>
        </w:rPr>
        <w:t xml:space="preserve"> </w:t>
      </w:r>
      <w:r>
        <w:rPr>
          <w:rFonts w:ascii="Times New Roman" w:hAnsi="Times New Roman" w:cs="Times New Roman"/>
        </w:rPr>
        <w:t xml:space="preserve"> was</w:t>
      </w:r>
      <w:proofErr w:type="gramEnd"/>
      <w:r>
        <w:rPr>
          <w:rFonts w:ascii="Times New Roman" w:hAnsi="Times New Roman" w:cs="Times New Roman"/>
        </w:rPr>
        <w:t xml:space="preserve"> compared with </w:t>
      </w:r>
      <w:r w:rsidR="00EB7529">
        <w:rPr>
          <w:rFonts w:cs="Arial"/>
          <w:b/>
        </w:rPr>
        <w:t>W2Y</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B7529">
        <w:rPr>
          <w:rFonts w:ascii="Times" w:hAnsi="Times"/>
        </w:rPr>
        <w:t xml:space="preserve"> </w:t>
      </w:r>
      <w:r>
        <w:rPr>
          <w:rFonts w:ascii="Times New Roman" w:hAnsi="Times New Roman" w:cs="Times New Roman"/>
        </w:rPr>
        <w:t>using the cumulative volume of pores found in each sample via M</w:t>
      </w:r>
      <w:r w:rsidR="00440B81">
        <w:rPr>
          <w:rFonts w:ascii="Times New Roman" w:hAnsi="Times New Roman" w:cs="Times New Roman"/>
        </w:rPr>
        <w:t>IP analysis as shown in figure 4.36</w:t>
      </w:r>
      <w:r>
        <w:rPr>
          <w:rFonts w:ascii="Times New Roman" w:hAnsi="Times New Roman" w:cs="Times New Roman"/>
        </w:rPr>
        <w:t xml:space="preserve">. </w:t>
      </w:r>
    </w:p>
    <w:p w14:paraId="3E3B56C8" w14:textId="1E64CD80" w:rsidR="005708A0" w:rsidRDefault="005708A0" w:rsidP="005708A0">
      <w:pPr>
        <w:spacing w:line="480" w:lineRule="exact"/>
        <w:jc w:val="both"/>
        <w:rPr>
          <w:rFonts w:ascii="Times New Roman" w:hAnsi="Times New Roman" w:cs="Times New Roman"/>
        </w:rPr>
      </w:pPr>
      <w:r>
        <w:rPr>
          <w:rFonts w:ascii="Times New Roman" w:hAnsi="Times New Roman" w:cs="Times New Roman"/>
        </w:rPr>
        <w:t xml:space="preserve">It was found that the </w:t>
      </w:r>
      <w:r w:rsidR="00EB7529" w:rsidRPr="00257A9F">
        <w:rPr>
          <w:rFonts w:ascii="Times New Roman" w:hAnsi="Times New Roman" w:cs="Times New Roman"/>
          <w:b/>
        </w:rPr>
        <w:t>A14</w:t>
      </w:r>
      <w:r w:rsidR="00EB7529" w:rsidRPr="00257A9F">
        <w:rPr>
          <w:rFonts w:cs="Arial"/>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EB7529">
        <w:rPr>
          <w:rFonts w:ascii="Times" w:hAnsi="Times"/>
        </w:rPr>
        <w:t xml:space="preserve"> </w:t>
      </w:r>
      <w:r>
        <w:rPr>
          <w:rFonts w:ascii="Times New Roman" w:hAnsi="Times New Roman" w:cs="Times New Roman"/>
        </w:rPr>
        <w:t xml:space="preserve"> was</w:t>
      </w:r>
      <w:proofErr w:type="gramEnd"/>
      <w:r>
        <w:rPr>
          <w:rFonts w:ascii="Times New Roman" w:hAnsi="Times New Roman" w:cs="Times New Roman"/>
        </w:rPr>
        <w:t xml:space="preserve"> approximately 40% more porous than the </w:t>
      </w:r>
      <w:r>
        <w:rPr>
          <w:rFonts w:ascii="Times New Roman" w:hAnsi="Times New Roman" w:cs="Times New Roman"/>
          <w:b/>
        </w:rPr>
        <w:t>W2Y</w:t>
      </w:r>
      <m:oMath>
        <m:acc>
          <m:accPr>
            <m:chr m:val="̅"/>
            <m:ctrlPr>
              <w:rPr>
                <w:rFonts w:ascii="Cambria Math" w:hAnsi="Cambria Math" w:cs="Times New Roman"/>
                <w:i/>
                <w:sz w:val="36"/>
                <w:szCs w:val="36"/>
              </w:rPr>
            </m:ctrlPr>
          </m:accPr>
          <m:e>
            <m:r>
              <m:rPr>
                <m:sty m:val="p"/>
              </m:rPr>
              <w:rPr>
                <w:rFonts w:ascii="Cambria Math" w:hAnsi="Cambria Math" w:cs="Times New Roman"/>
                <w:sz w:val="36"/>
                <w:szCs w:val="36"/>
              </w:rPr>
              <m:t>cs</m:t>
            </m:r>
          </m:e>
        </m:acc>
      </m:oMath>
      <w:r>
        <w:rPr>
          <w:rFonts w:ascii="Times" w:hAnsi="Times"/>
          <w:sz w:val="20"/>
          <w:szCs w:val="20"/>
        </w:rPr>
        <w:t xml:space="preserve">   </w:t>
      </w:r>
      <w:r>
        <w:rPr>
          <w:rFonts w:ascii="Times New Roman" w:hAnsi="Times New Roman" w:cs="Times New Roman"/>
        </w:rPr>
        <w:t>sample, which corresponds favourably with th</w:t>
      </w:r>
      <w:r w:rsidR="00257A9F">
        <w:rPr>
          <w:rFonts w:ascii="Times New Roman" w:hAnsi="Times New Roman" w:cs="Times New Roman"/>
        </w:rPr>
        <w:t>e leached data in figs 4.26, 4.30 and 4.31</w:t>
      </w:r>
      <w:r>
        <w:rPr>
          <w:rFonts w:ascii="Times New Roman" w:hAnsi="Times New Roman" w:cs="Times New Roman"/>
        </w:rPr>
        <w:t xml:space="preserve">. This in turn would cause an increase in degradation and </w:t>
      </w:r>
      <w:proofErr w:type="gramStart"/>
      <w:r>
        <w:rPr>
          <w:rFonts w:ascii="Times New Roman" w:hAnsi="Times New Roman" w:cs="Times New Roman"/>
        </w:rPr>
        <w:t>leaching</w:t>
      </w:r>
      <w:proofErr w:type="gramEnd"/>
      <w:r>
        <w:rPr>
          <w:rFonts w:ascii="Times New Roman" w:hAnsi="Times New Roman" w:cs="Times New Roman"/>
        </w:rPr>
        <w:t xml:space="preserve"> as it would increase the exposure surface of cement to the acidic solution. </w:t>
      </w:r>
    </w:p>
    <w:p w14:paraId="057D0F3A" w14:textId="77777777" w:rsidR="005708A0" w:rsidRDefault="005708A0" w:rsidP="005708A0">
      <w:pPr>
        <w:rPr>
          <w:rFonts w:ascii="Times New Roman" w:hAnsi="Times New Roman" w:cs="Times New Roman"/>
        </w:rPr>
      </w:pPr>
    </w:p>
    <w:p w14:paraId="29BDCC02" w14:textId="77777777" w:rsidR="005708A0" w:rsidRDefault="005708A0" w:rsidP="005708A0">
      <w:pPr>
        <w:jc w:val="center"/>
        <w:rPr>
          <w:rFonts w:ascii="Times New Roman" w:hAnsi="Times New Roman" w:cs="Times New Roman"/>
        </w:rPr>
      </w:pPr>
      <w:r>
        <w:rPr>
          <w:noProof/>
        </w:rPr>
        <w:lastRenderedPageBreak/>
        <w:drawing>
          <wp:inline distT="0" distB="0" distL="0" distR="0" wp14:anchorId="270E2F6C" wp14:editId="663E0106">
            <wp:extent cx="4512129" cy="2743200"/>
            <wp:effectExtent l="0" t="0" r="9525" b="0"/>
            <wp:docPr id="256" name="Chart 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1483B72" w14:textId="55E54CBF" w:rsidR="005708A0" w:rsidRDefault="00257A9F" w:rsidP="005708A0">
      <w:pPr>
        <w:spacing w:after="360"/>
        <w:jc w:val="center"/>
        <w:rPr>
          <w:rFonts w:ascii="Times New Roman" w:hAnsi="Times New Roman" w:cs="Times New Roman"/>
        </w:rPr>
      </w:pPr>
      <w:r>
        <w:rPr>
          <w:rFonts w:ascii="Times New Roman" w:hAnsi="Times New Roman" w:cs="Times New Roman"/>
          <w:b/>
        </w:rPr>
        <w:t>Figure 4.36</w:t>
      </w:r>
      <w:r w:rsidR="005708A0">
        <w:rPr>
          <w:rFonts w:ascii="Times New Roman" w:hAnsi="Times New Roman" w:cs="Times New Roman"/>
          <w:b/>
        </w:rPr>
        <w:t xml:space="preserve">: </w:t>
      </w:r>
      <w:r w:rsidR="00D812ED">
        <w:rPr>
          <w:rFonts w:ascii="Times New Roman" w:hAnsi="Times New Roman" w:cs="Times New Roman"/>
        </w:rPr>
        <w:t xml:space="preserve">MIP </w:t>
      </w:r>
      <w:r w:rsidR="005708A0">
        <w:rPr>
          <w:rFonts w:ascii="Times New Roman" w:hAnsi="Times New Roman" w:cs="Times New Roman"/>
        </w:rPr>
        <w:t xml:space="preserve">curves from samples </w:t>
      </w:r>
      <w:r w:rsidR="00EB7529">
        <w:rPr>
          <w:rFonts w:cs="Arial"/>
          <w:b/>
        </w:rPr>
        <w:t>W2Y</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B7529">
        <w:rPr>
          <w:rFonts w:ascii="Times" w:hAnsi="Times"/>
        </w:rPr>
        <w:t xml:space="preserve"> </w:t>
      </w:r>
      <w:r w:rsidR="005708A0">
        <w:rPr>
          <w:rFonts w:ascii="Times New Roman" w:hAnsi="Times New Roman" w:cs="Times New Roman"/>
        </w:rPr>
        <w:t xml:space="preserve">and </w:t>
      </w:r>
      <w:r w:rsidR="00EB7529">
        <w:rPr>
          <w:rFonts w:ascii="Times New Roman" w:hAnsi="Times New Roman" w:cs="Times New Roman"/>
          <w:b/>
        </w:rPr>
        <w:t>A14</w:t>
      </w:r>
      <w:r w:rsidR="00EB7529">
        <w:rPr>
          <w:rFonts w:cs="Arial"/>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
    <w:p w14:paraId="75DE873C" w14:textId="2FBD8822" w:rsidR="006872A8" w:rsidRDefault="005708A0" w:rsidP="005708A0">
      <w:pPr>
        <w:spacing w:line="480" w:lineRule="exact"/>
        <w:jc w:val="both"/>
        <w:rPr>
          <w:rFonts w:ascii="Times New Roman" w:hAnsi="Times New Roman" w:cs="Times New Roman"/>
        </w:rPr>
      </w:pPr>
      <w:r>
        <w:rPr>
          <w:rFonts w:ascii="Times New Roman" w:hAnsi="Times New Roman" w:cs="Times New Roman"/>
        </w:rPr>
        <w:t xml:space="preserve">The XRD traces show that applying the electrical accelerated leaching methods to these cement samples </w:t>
      </w:r>
      <w:r w:rsidR="00A514CB">
        <w:rPr>
          <w:rFonts w:ascii="Times New Roman" w:hAnsi="Times New Roman" w:cs="Times New Roman"/>
        </w:rPr>
        <w:t xml:space="preserve">retains the same phases as in the samples leached under static/semi-static conditions, </w:t>
      </w:r>
      <w:r w:rsidR="00971672">
        <w:rPr>
          <w:rFonts w:ascii="Times New Roman" w:hAnsi="Times New Roman" w:cs="Times New Roman"/>
        </w:rPr>
        <w:t>however</w:t>
      </w:r>
      <w:r w:rsidR="00A514CB">
        <w:rPr>
          <w:rFonts w:ascii="Times New Roman" w:hAnsi="Times New Roman" w:cs="Times New Roman"/>
        </w:rPr>
        <w:t xml:space="preserve"> the volumetric and surface </w:t>
      </w:r>
      <w:r w:rsidR="00971672">
        <w:rPr>
          <w:rFonts w:ascii="Times New Roman" w:hAnsi="Times New Roman" w:cs="Times New Roman"/>
        </w:rPr>
        <w:t>characteristics</w:t>
      </w:r>
      <w:r w:rsidR="00A514CB">
        <w:rPr>
          <w:rFonts w:ascii="Times New Roman" w:hAnsi="Times New Roman" w:cs="Times New Roman"/>
        </w:rPr>
        <w:t xml:space="preserve"> might have been altered </w:t>
      </w:r>
      <w:r w:rsidR="00971672">
        <w:rPr>
          <w:rFonts w:ascii="Times New Roman" w:hAnsi="Times New Roman" w:cs="Times New Roman"/>
        </w:rPr>
        <w:t>significantly</w:t>
      </w:r>
      <w:r w:rsidR="00A514CB">
        <w:rPr>
          <w:rFonts w:ascii="Times New Roman" w:hAnsi="Times New Roman" w:cs="Times New Roman"/>
        </w:rPr>
        <w:t>.</w:t>
      </w:r>
      <w:r w:rsidR="00FF784B">
        <w:rPr>
          <w:rFonts w:ascii="Times New Roman" w:hAnsi="Times New Roman" w:cs="Times New Roman"/>
        </w:rPr>
        <w:t xml:space="preserve"> </w:t>
      </w:r>
      <w:r w:rsidR="005A5FB2">
        <w:rPr>
          <w:rFonts w:ascii="Times New Roman" w:hAnsi="Times New Roman" w:cs="Times New Roman"/>
        </w:rPr>
        <w:t>T</w:t>
      </w:r>
      <w:r w:rsidR="0013030C">
        <w:rPr>
          <w:rFonts w:ascii="Times New Roman" w:hAnsi="Times New Roman" w:cs="Times New Roman"/>
        </w:rPr>
        <w:t>he Ca</w:t>
      </w:r>
      <w:proofErr w:type="gramStart"/>
      <w:r w:rsidR="0013030C">
        <w:rPr>
          <w:rFonts w:ascii="Times New Roman" w:hAnsi="Times New Roman" w:cs="Times New Roman"/>
        </w:rPr>
        <w:t>:Cs:Sr</w:t>
      </w:r>
      <w:proofErr w:type="gramEnd"/>
      <w:r w:rsidR="0013030C">
        <w:rPr>
          <w:rFonts w:ascii="Times New Roman" w:hAnsi="Times New Roman" w:cs="Times New Roman"/>
        </w:rPr>
        <w:t xml:space="preserve"> leached amount ratios</w:t>
      </w:r>
      <w:r w:rsidR="00205E0C">
        <w:rPr>
          <w:rFonts w:ascii="Times New Roman" w:hAnsi="Times New Roman" w:cs="Times New Roman"/>
        </w:rPr>
        <w:t xml:space="preserve"> in the static and semi-static methods with those in the electrical methods</w:t>
      </w:r>
      <w:r w:rsidR="0013030C">
        <w:rPr>
          <w:rFonts w:ascii="Times New Roman" w:hAnsi="Times New Roman" w:cs="Times New Roman"/>
        </w:rPr>
        <w:t xml:space="preserve"> </w:t>
      </w:r>
      <w:r w:rsidR="00257A9F">
        <w:rPr>
          <w:rFonts w:ascii="Times New Roman" w:hAnsi="Times New Roman" w:cs="Times New Roman"/>
        </w:rPr>
        <w:t>from figure 4.26, 4.30 and 4.31</w:t>
      </w:r>
      <w:r w:rsidR="00205E0C">
        <w:rPr>
          <w:rFonts w:ascii="Times New Roman" w:hAnsi="Times New Roman" w:cs="Times New Roman"/>
        </w:rPr>
        <w:t xml:space="preserve">, shows that larger amounts of Cs and Sr leach out in comparison to Ca in the electrical methods than in the static methods. </w:t>
      </w:r>
    </w:p>
    <w:p w14:paraId="7B1D72A1" w14:textId="58AC70CE" w:rsidR="005708A0" w:rsidRDefault="005708A0" w:rsidP="005708A0">
      <w:pPr>
        <w:spacing w:line="480" w:lineRule="exact"/>
        <w:jc w:val="both"/>
        <w:rPr>
          <w:rFonts w:ascii="Times New Roman" w:hAnsi="Times New Roman" w:cs="Times New Roman"/>
        </w:rPr>
      </w:pPr>
      <w:r>
        <w:rPr>
          <w:rFonts w:ascii="Times New Roman" w:hAnsi="Times New Roman" w:cs="Times New Roman"/>
        </w:rPr>
        <w:t xml:space="preserve">To investigate this further the electrically leached samples DTG data were also compared with the static and semi-static method. The </w:t>
      </w:r>
      <w:r w:rsidR="00EB7529">
        <w:rPr>
          <w:rFonts w:cs="Arial"/>
          <w:b/>
        </w:rPr>
        <w:t>2Y</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EB7529">
        <w:rPr>
          <w:rFonts w:ascii="Times" w:hAnsi="Times"/>
        </w:rPr>
        <w:t xml:space="preserve"> </w:t>
      </w:r>
      <w:r>
        <w:rPr>
          <w:rFonts w:ascii="Times New Roman" w:hAnsi="Times New Roman" w:cs="Times New Roman"/>
        </w:rPr>
        <w:t xml:space="preserve"> DTG</w:t>
      </w:r>
      <w:proofErr w:type="gramEnd"/>
      <w:r>
        <w:rPr>
          <w:rFonts w:ascii="Times New Roman" w:hAnsi="Times New Roman" w:cs="Times New Roman"/>
        </w:rPr>
        <w:t xml:space="preserve"> curve was compared with </w:t>
      </w:r>
      <w:r w:rsidR="00971672">
        <w:rPr>
          <w:rFonts w:ascii="Times New Roman" w:hAnsi="Times New Roman" w:cs="Times New Roman"/>
        </w:rPr>
        <w:t>that</w:t>
      </w:r>
      <w:r w:rsidR="00257A9F">
        <w:rPr>
          <w:rFonts w:ascii="Times New Roman" w:hAnsi="Times New Roman" w:cs="Times New Roman"/>
        </w:rPr>
        <w:t xml:space="preserve"> of the</w:t>
      </w:r>
      <w:r w:rsidR="00EB7529">
        <w:rPr>
          <w:rFonts w:ascii="Times New Roman" w:hAnsi="Times New Roman" w:cs="Times New Roman"/>
        </w:rPr>
        <w:t xml:space="preserve"> electrically leached samples </w:t>
      </w:r>
      <w:r w:rsidR="00EB7529">
        <w:rPr>
          <w:rFonts w:ascii="Times New Roman" w:hAnsi="Times New Roman" w:cs="Times New Roman"/>
          <w:b/>
        </w:rPr>
        <w:t>5E-3</w:t>
      </w:r>
      <w:r w:rsidR="00EB7529">
        <w:rPr>
          <w:rFonts w:cs="Arial"/>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B7529">
        <w:rPr>
          <w:rFonts w:ascii="Times" w:hAnsi="Times"/>
        </w:rPr>
        <w:t xml:space="preserve"> </w:t>
      </w:r>
      <w:r>
        <w:rPr>
          <w:rFonts w:ascii="Times New Roman" w:hAnsi="Times New Roman" w:cs="Times New Roman"/>
        </w:rPr>
        <w:t>and</w:t>
      </w:r>
      <w:r w:rsidR="00257A9F">
        <w:rPr>
          <w:rFonts w:ascii="Times New Roman" w:hAnsi="Times New Roman" w:cs="Times New Roman"/>
        </w:rPr>
        <w:t xml:space="preserve"> </w:t>
      </w:r>
      <w:r w:rsidR="00EB7529" w:rsidRPr="00EB7529">
        <w:rPr>
          <w:rFonts w:ascii="Times New Roman" w:hAnsi="Times New Roman" w:cs="Times New Roman"/>
          <w:b/>
        </w:rPr>
        <w:t>25E-3D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B7529">
        <w:rPr>
          <w:rFonts w:ascii="Times" w:hAnsi="Times"/>
        </w:rPr>
        <w:t xml:space="preserve"> </w:t>
      </w:r>
      <w:r w:rsidR="00257A9F">
        <w:rPr>
          <w:rFonts w:ascii="Times New Roman" w:hAnsi="Times New Roman" w:cs="Times New Roman"/>
        </w:rPr>
        <w:t>in figures 4.37 and 4.38</w:t>
      </w:r>
      <w:r>
        <w:rPr>
          <w:rFonts w:ascii="Times New Roman" w:hAnsi="Times New Roman" w:cs="Times New Roman"/>
        </w:rPr>
        <w:t xml:space="preserve"> respectively. </w:t>
      </w:r>
    </w:p>
    <w:p w14:paraId="70CBED1D" w14:textId="31AFFDBF" w:rsidR="005708A0" w:rsidRDefault="005708A0" w:rsidP="00EB7529">
      <w:pPr>
        <w:spacing w:before="240" w:after="120"/>
        <w:ind w:left="-426"/>
        <w:jc w:val="center"/>
        <w:rPr>
          <w:rFonts w:ascii="Times New Roman" w:hAnsi="Times New Roman" w:cs="Times New Roman"/>
        </w:rPr>
      </w:pPr>
      <w:r>
        <w:rPr>
          <w:rFonts w:ascii="Times New Roman" w:hAnsi="Times New Roman" w:cs="Times New Roman"/>
          <w:noProof/>
        </w:rPr>
        <w:lastRenderedPageBreak/>
        <w:drawing>
          <wp:inline distT="0" distB="0" distL="0" distR="0" wp14:anchorId="73BA2542" wp14:editId="7814B80A">
            <wp:extent cx="4505218" cy="2899380"/>
            <wp:effectExtent l="0" t="0" r="0" b="0"/>
            <wp:docPr id="2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7">
                      <a:extLst>
                        <a:ext uri="{28A0092B-C50C-407E-A947-70E740481C1C}">
                          <a14:useLocalDpi xmlns:a14="http://schemas.microsoft.com/office/drawing/2010/main" val="0"/>
                        </a:ext>
                      </a:extLst>
                    </a:blip>
                    <a:srcRect t="8044"/>
                    <a:stretch/>
                  </pic:blipFill>
                  <pic:spPr bwMode="auto">
                    <a:xfrm>
                      <a:off x="0" y="0"/>
                      <a:ext cx="4512543" cy="2904094"/>
                    </a:xfrm>
                    <a:prstGeom prst="rect">
                      <a:avLst/>
                    </a:prstGeom>
                    <a:noFill/>
                    <a:ln>
                      <a:noFill/>
                    </a:ln>
                    <a:extLst>
                      <a:ext uri="{53640926-AAD7-44d8-BBD7-CCE9431645EC}">
                        <a14:shadowObscured xmlns:a14="http://schemas.microsoft.com/office/drawing/2010/main"/>
                      </a:ext>
                    </a:extLst>
                  </pic:spPr>
                </pic:pic>
              </a:graphicData>
            </a:graphic>
          </wp:inline>
        </w:drawing>
      </w:r>
      <w:r w:rsidR="00EB7529">
        <w:rPr>
          <w:rFonts w:ascii="Times New Roman" w:hAnsi="Times New Roman" w:cs="Times New Roman"/>
        </w:rPr>
        <w:br/>
      </w:r>
      <w:r w:rsidR="00257A9F">
        <w:rPr>
          <w:rFonts w:ascii="Times New Roman" w:hAnsi="Times New Roman" w:cs="Times New Roman"/>
          <w:b/>
        </w:rPr>
        <w:t>Figure 4.37</w:t>
      </w:r>
      <w:r>
        <w:rPr>
          <w:rFonts w:ascii="Times New Roman" w:hAnsi="Times New Roman" w:cs="Times New Roman"/>
          <w:b/>
        </w:rPr>
        <w:t xml:space="preserve">: </w:t>
      </w:r>
      <w:r>
        <w:rPr>
          <w:rFonts w:ascii="Times New Roman" w:hAnsi="Times New Roman" w:cs="Times New Roman"/>
        </w:rPr>
        <w:t xml:space="preserve">DTG curves from samples </w:t>
      </w:r>
      <w:r w:rsidRPr="00EB7529">
        <w:rPr>
          <w:rFonts w:ascii="Times New Roman" w:hAnsi="Times New Roman" w:cs="Times New Roman"/>
          <w:b/>
        </w:rPr>
        <w:t>2Y</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B7529">
        <w:rPr>
          <w:rFonts w:ascii="Times" w:hAnsi="Times"/>
        </w:rPr>
        <w:t xml:space="preserve"> </w:t>
      </w:r>
      <w:r>
        <w:rPr>
          <w:rFonts w:ascii="Times New Roman" w:hAnsi="Times New Roman" w:cs="Times New Roman"/>
        </w:rPr>
        <w:t xml:space="preserve">and </w:t>
      </w:r>
      <w:r w:rsidRPr="00EB7529">
        <w:rPr>
          <w:rFonts w:ascii="Times New Roman" w:hAnsi="Times New Roman" w:cs="Times New Roman"/>
          <w:b/>
        </w:rPr>
        <w:t>5E-3D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B7529">
        <w:rPr>
          <w:rFonts w:ascii="Times" w:hAnsi="Times"/>
        </w:rPr>
        <w:t xml:space="preserve"> </w:t>
      </w:r>
      <w:r w:rsidR="00EB7529">
        <w:rPr>
          <w:rFonts w:ascii="Times New Roman" w:hAnsi="Times New Roman" w:cs="Times New Roman"/>
        </w:rPr>
        <w:t xml:space="preserve"> </w:t>
      </w:r>
    </w:p>
    <w:p w14:paraId="5A545BC8" w14:textId="6A70758F" w:rsidR="005708A0" w:rsidRPr="00191ED5" w:rsidRDefault="005708A0" w:rsidP="005708A0">
      <w:pPr>
        <w:spacing w:before="240" w:after="120" w:line="480" w:lineRule="exact"/>
        <w:jc w:val="both"/>
        <w:rPr>
          <w:rFonts w:ascii="Times" w:hAnsi="Times" w:cs="Helvetica Neue"/>
          <w:bCs/>
          <w:color w:val="343434"/>
        </w:rPr>
      </w:pPr>
      <w:r>
        <w:rPr>
          <w:rFonts w:ascii="Times" w:hAnsi="Times" w:cs="Helvetica Neue"/>
          <w:bCs/>
          <w:color w:val="343434"/>
        </w:rPr>
        <w:t xml:space="preserve">There is a strong agreement between the </w:t>
      </w:r>
      <w:r w:rsidRPr="004C204E">
        <w:rPr>
          <w:rFonts w:ascii="Times" w:hAnsi="Times" w:cs="Helvetica Neue"/>
          <w:b/>
          <w:bCs/>
          <w:color w:val="343434"/>
        </w:rPr>
        <w:t>2Y</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Helvetica Neue"/>
          <w:bCs/>
          <w:color w:val="343434"/>
        </w:rPr>
        <w:t xml:space="preserve"> and </w:t>
      </w:r>
      <w:r w:rsidR="004C204E" w:rsidRPr="00EB7529">
        <w:rPr>
          <w:rFonts w:ascii="Times New Roman" w:hAnsi="Times New Roman" w:cs="Times New Roman"/>
          <w:b/>
        </w:rPr>
        <w:t>5E-3D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4C204E">
        <w:rPr>
          <w:rFonts w:ascii="Times New Roman" w:hAnsi="Times New Roman" w:cs="Times New Roman"/>
          <w:sz w:val="36"/>
          <w:szCs w:val="36"/>
        </w:rPr>
        <w:t xml:space="preserve"> </w:t>
      </w:r>
      <w:r>
        <w:rPr>
          <w:rFonts w:ascii="Times" w:hAnsi="Times" w:cs="Helvetica Neue"/>
          <w:bCs/>
          <w:color w:val="343434"/>
        </w:rPr>
        <w:t xml:space="preserve">DTG curves showing a very similar phase assemblage with similar peak intensities for each phase. The </w:t>
      </w:r>
      <w:r w:rsidR="0027468F">
        <w:rPr>
          <w:rFonts w:ascii="Times" w:hAnsi="Times" w:cs="Helvetica Neue"/>
          <w:bCs/>
          <w:color w:val="343434"/>
        </w:rPr>
        <w:t>main</w:t>
      </w:r>
      <w:r>
        <w:rPr>
          <w:rFonts w:ascii="Times" w:hAnsi="Times" w:cs="Helvetica Neue"/>
          <w:bCs/>
          <w:color w:val="343434"/>
        </w:rPr>
        <w:t xml:space="preserve"> difference is that the shoulder for the AFM phase is not present in the electrically leached sample</w:t>
      </w:r>
      <w:r w:rsidR="00AF7BA7">
        <w:rPr>
          <w:rFonts w:ascii="Times" w:hAnsi="Times" w:cs="Helvetica Neue"/>
          <w:bCs/>
          <w:color w:val="343434"/>
        </w:rPr>
        <w:t xml:space="preserve"> and the C-S-H peak is narrower in the electrical leached sample</w:t>
      </w:r>
      <w:r w:rsidR="00257A9F">
        <w:rPr>
          <w:rFonts w:ascii="Times" w:hAnsi="Times" w:cs="Helvetica Neue"/>
          <w:bCs/>
          <w:color w:val="343434"/>
        </w:rPr>
        <w:t>. In figure 4.38</w:t>
      </w:r>
      <w:r>
        <w:rPr>
          <w:rFonts w:ascii="Times" w:hAnsi="Times" w:cs="Helvetica Neue"/>
          <w:bCs/>
          <w:color w:val="343434"/>
        </w:rPr>
        <w:t>, however, this AF</w:t>
      </w:r>
      <w:r w:rsidR="00257A9F">
        <w:rPr>
          <w:rFonts w:ascii="Times" w:hAnsi="Times" w:cs="Helvetica Neue"/>
          <w:bCs/>
          <w:color w:val="343434"/>
        </w:rPr>
        <w:t>m</w:t>
      </w:r>
      <w:r>
        <w:rPr>
          <w:rFonts w:ascii="Times" w:hAnsi="Times" w:cs="Helvetica Neue"/>
          <w:bCs/>
          <w:color w:val="343434"/>
        </w:rPr>
        <w:t xml:space="preserve"> phase is present in the </w:t>
      </w:r>
      <w:r w:rsidRPr="004C204E">
        <w:rPr>
          <w:rFonts w:ascii="Times" w:hAnsi="Times" w:cs="Helvetica Neue"/>
          <w:b/>
          <w:bCs/>
          <w:color w:val="343434"/>
        </w:rPr>
        <w:t>25E-3D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Helvetica Neue"/>
          <w:bCs/>
          <w:color w:val="343434"/>
        </w:rPr>
        <w:t xml:space="preserve"> sample and the peaks associated with the CAN phase are absent. </w:t>
      </w:r>
    </w:p>
    <w:p w14:paraId="708BF10B" w14:textId="0BB9C3D6" w:rsidR="005708A0" w:rsidRDefault="005708A0" w:rsidP="00257A9F">
      <w:pPr>
        <w:spacing w:before="240" w:after="120"/>
        <w:jc w:val="center"/>
        <w:rPr>
          <w:rFonts w:ascii="Times New Roman" w:hAnsi="Times New Roman" w:cs="Times New Roman"/>
        </w:rPr>
      </w:pPr>
      <w:r>
        <w:rPr>
          <w:rFonts w:ascii="Times New Roman" w:hAnsi="Times New Roman" w:cs="Times New Roman"/>
          <w:noProof/>
        </w:rPr>
        <w:drawing>
          <wp:inline distT="0" distB="0" distL="0" distR="0" wp14:anchorId="3C5E86C6" wp14:editId="11652B01">
            <wp:extent cx="4897093" cy="3194957"/>
            <wp:effectExtent l="0" t="0" r="5715" b="5715"/>
            <wp:docPr id="2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98143" cy="3195642"/>
                    </a:xfrm>
                    <a:prstGeom prst="rect">
                      <a:avLst/>
                    </a:prstGeom>
                    <a:noFill/>
                    <a:ln>
                      <a:noFill/>
                    </a:ln>
                  </pic:spPr>
                </pic:pic>
              </a:graphicData>
            </a:graphic>
          </wp:inline>
        </w:drawing>
      </w:r>
      <w:r w:rsidR="00257A9F">
        <w:rPr>
          <w:rFonts w:ascii="Times New Roman" w:hAnsi="Times New Roman" w:cs="Times New Roman"/>
        </w:rPr>
        <w:br/>
      </w:r>
      <w:r w:rsidR="00831C8B">
        <w:rPr>
          <w:rFonts w:ascii="Times New Roman" w:hAnsi="Times New Roman" w:cs="Times New Roman"/>
          <w:b/>
        </w:rPr>
        <w:t>Figure 4.38</w:t>
      </w:r>
      <w:r>
        <w:rPr>
          <w:rFonts w:ascii="Times New Roman" w:hAnsi="Times New Roman" w:cs="Times New Roman"/>
          <w:b/>
        </w:rPr>
        <w:t xml:space="preserve">: </w:t>
      </w:r>
      <w:r>
        <w:rPr>
          <w:rFonts w:ascii="Times New Roman" w:hAnsi="Times New Roman" w:cs="Times New Roman"/>
        </w:rPr>
        <w:t xml:space="preserve">DTG curves from samples </w:t>
      </w:r>
      <w:r w:rsidRPr="004C204E">
        <w:rPr>
          <w:rFonts w:ascii="Times New Roman" w:hAnsi="Times New Roman" w:cs="Times New Roman"/>
          <w:b/>
        </w:rPr>
        <w:t>2Y</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New Roman" w:hAnsi="Times New Roman" w:cs="Times New Roman"/>
        </w:rPr>
        <w:t xml:space="preserve"> and </w:t>
      </w:r>
      <w:r w:rsidRPr="004C204E">
        <w:rPr>
          <w:rFonts w:ascii="Times New Roman" w:hAnsi="Times New Roman" w:cs="Times New Roman"/>
          <w:b/>
        </w:rPr>
        <w:t>25E-3D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
    <w:p w14:paraId="101A8AE5" w14:textId="05B6D6FE" w:rsidR="00170394" w:rsidRDefault="005708A0" w:rsidP="00170394">
      <w:pPr>
        <w:spacing w:before="240" w:after="120" w:line="480" w:lineRule="exact"/>
        <w:jc w:val="both"/>
        <w:rPr>
          <w:rFonts w:ascii="Times New Roman" w:hAnsi="Times New Roman" w:cs="Times New Roman"/>
        </w:rPr>
      </w:pPr>
      <w:r w:rsidRPr="006E1203">
        <w:rPr>
          <w:rFonts w:ascii="Times New Roman" w:hAnsi="Times New Roman" w:cs="Times New Roman"/>
        </w:rPr>
        <w:lastRenderedPageBreak/>
        <w:t xml:space="preserve">In order to investigate </w:t>
      </w:r>
      <w:r>
        <w:rPr>
          <w:rFonts w:ascii="Times New Roman" w:hAnsi="Times New Roman" w:cs="Times New Roman"/>
        </w:rPr>
        <w:t>C-S-H behaviour, the TG and DTG curves of the</w:t>
      </w:r>
      <w:r w:rsidRPr="006E1203">
        <w:rPr>
          <w:rFonts w:ascii="Times New Roman" w:hAnsi="Times New Roman" w:cs="Times New Roman"/>
        </w:rPr>
        <w:t xml:space="preserve"> </w:t>
      </w:r>
      <w:r w:rsidRPr="00220662">
        <w:rPr>
          <w:rFonts w:ascii="Times New Roman" w:hAnsi="Times New Roman" w:cs="Times New Roman"/>
          <w:b/>
        </w:rPr>
        <w:t>7D</w:t>
      </w:r>
      <w:r w:rsidRPr="006E1203">
        <w:rPr>
          <w:rFonts w:ascii="Times New Roman" w:hAnsi="Times New Roman" w:cs="Times New Roman"/>
        </w:rPr>
        <w:t xml:space="preserve"> samples for both electrical methods (</w:t>
      </w:r>
      <w:r w:rsidRPr="00220662">
        <w:rPr>
          <w:rFonts w:ascii="Times New Roman" w:hAnsi="Times New Roman" w:cs="Times New Roman"/>
          <w:b/>
        </w:rPr>
        <w:t xml:space="preserve">5E </w:t>
      </w:r>
      <w:r w:rsidRPr="006E1203">
        <w:rPr>
          <w:rFonts w:ascii="Times New Roman" w:hAnsi="Times New Roman" w:cs="Times New Roman"/>
        </w:rPr>
        <w:t xml:space="preserve">and </w:t>
      </w:r>
      <w:r w:rsidRPr="00220662">
        <w:rPr>
          <w:rFonts w:ascii="Times New Roman" w:hAnsi="Times New Roman" w:cs="Times New Roman"/>
          <w:b/>
        </w:rPr>
        <w:t>25E</w:t>
      </w:r>
      <w:r>
        <w:rPr>
          <w:rFonts w:ascii="Times New Roman" w:hAnsi="Times New Roman" w:cs="Times New Roman"/>
        </w:rPr>
        <w:t>) were</w:t>
      </w:r>
      <w:r w:rsidRPr="006E1203">
        <w:rPr>
          <w:rFonts w:ascii="Times New Roman" w:hAnsi="Times New Roman" w:cs="Times New Roman"/>
        </w:rPr>
        <w:t xml:space="preserve"> compared to th</w:t>
      </w:r>
      <w:r w:rsidR="00F12A19">
        <w:rPr>
          <w:rFonts w:ascii="Times New Roman" w:hAnsi="Times New Roman" w:cs="Times New Roman"/>
        </w:rPr>
        <w:t xml:space="preserve">ose </w:t>
      </w:r>
      <w:r>
        <w:rPr>
          <w:rFonts w:ascii="Times New Roman" w:hAnsi="Times New Roman" w:cs="Times New Roman"/>
        </w:rPr>
        <w:t xml:space="preserve">of </w:t>
      </w:r>
      <w:r w:rsidRPr="00220662">
        <w:rPr>
          <w:rFonts w:ascii="Times New Roman" w:hAnsi="Times New Roman" w:cs="Times New Roman"/>
          <w:b/>
        </w:rPr>
        <w:t>1D</w:t>
      </w:r>
      <w:r>
        <w:rPr>
          <w:rFonts w:ascii="Times New Roman" w:hAnsi="Times New Roman" w:cs="Times New Roman"/>
        </w:rPr>
        <w:t xml:space="preserve"> and </w:t>
      </w:r>
      <w:r w:rsidRPr="00220662">
        <w:rPr>
          <w:rFonts w:ascii="Times New Roman" w:hAnsi="Times New Roman" w:cs="Times New Roman"/>
          <w:b/>
        </w:rPr>
        <w:t>3D</w:t>
      </w:r>
      <w:r w:rsidR="00831C8B">
        <w:rPr>
          <w:rFonts w:ascii="Times New Roman" w:hAnsi="Times New Roman" w:cs="Times New Roman"/>
        </w:rPr>
        <w:t>, shown in fig. 4.39 and 4.40</w:t>
      </w:r>
      <w:r w:rsidRPr="006E1203">
        <w:rPr>
          <w:rFonts w:ascii="Times New Roman" w:hAnsi="Times New Roman" w:cs="Times New Roman"/>
        </w:rPr>
        <w:t xml:space="preserve">. These curves show a </w:t>
      </w:r>
      <w:r w:rsidR="0095410D">
        <w:rPr>
          <w:rFonts w:ascii="Times New Roman" w:hAnsi="Times New Roman" w:cs="Times New Roman"/>
        </w:rPr>
        <w:t>decrease</w:t>
      </w:r>
      <w:r w:rsidRPr="006E1203">
        <w:rPr>
          <w:rFonts w:ascii="Times New Roman" w:hAnsi="Times New Roman" w:cs="Times New Roman"/>
        </w:rPr>
        <w:t xml:space="preserve"> in the peak associated with C-S-H</w:t>
      </w:r>
      <w:r w:rsidR="0095410D">
        <w:rPr>
          <w:rFonts w:ascii="Times New Roman" w:hAnsi="Times New Roman" w:cs="Times New Roman"/>
        </w:rPr>
        <w:t xml:space="preserve"> after 1 day up until 3 days, as expected. However after 7 days the amount of C-S-H has significantly increased in both methods</w:t>
      </w:r>
      <w:r w:rsidRPr="006E1203">
        <w:rPr>
          <w:rFonts w:ascii="Times New Roman" w:hAnsi="Times New Roman" w:cs="Times New Roman"/>
        </w:rPr>
        <w:t xml:space="preserve">. The applied electrical current </w:t>
      </w:r>
      <w:r w:rsidR="00F12A19">
        <w:rPr>
          <w:rFonts w:ascii="Times New Roman" w:hAnsi="Times New Roman" w:cs="Times New Roman"/>
        </w:rPr>
        <w:t>is</w:t>
      </w:r>
      <w:r w:rsidRPr="006E1203">
        <w:rPr>
          <w:rFonts w:ascii="Times New Roman" w:hAnsi="Times New Roman" w:cs="Times New Roman"/>
        </w:rPr>
        <w:t xml:space="preserve"> known to have an accelerating effect on the cement hydration</w:t>
      </w:r>
      <w:r w:rsidR="002B02B0">
        <w:rPr>
          <w:rFonts w:ascii="Times New Roman" w:hAnsi="Times New Roman" w:cs="Times New Roman"/>
        </w:rPr>
        <w:t xml:space="preserve"> [47</w:t>
      </w:r>
      <w:r>
        <w:rPr>
          <w:rFonts w:ascii="Times New Roman" w:hAnsi="Times New Roman" w:cs="Times New Roman"/>
        </w:rPr>
        <w:t>] therefore</w:t>
      </w:r>
      <w:r w:rsidRPr="006E1203">
        <w:rPr>
          <w:rFonts w:ascii="Times New Roman" w:hAnsi="Times New Roman" w:cs="Times New Roman"/>
        </w:rPr>
        <w:t xml:space="preserve"> the samples were only cured for 42 days after which</w:t>
      </w:r>
      <w:r>
        <w:rPr>
          <w:rFonts w:ascii="Times New Roman" w:hAnsi="Times New Roman" w:cs="Times New Roman"/>
        </w:rPr>
        <w:t xml:space="preserve"> hydration was arrested,</w:t>
      </w:r>
      <w:r w:rsidRPr="006E1203">
        <w:rPr>
          <w:rFonts w:ascii="Times New Roman" w:hAnsi="Times New Roman" w:cs="Times New Roman"/>
        </w:rPr>
        <w:t xml:space="preserve"> in which case </w:t>
      </w:r>
      <w:r>
        <w:rPr>
          <w:rFonts w:ascii="Times New Roman" w:hAnsi="Times New Roman" w:cs="Times New Roman"/>
        </w:rPr>
        <w:t>C-S-H formation is not complete. A</w:t>
      </w:r>
      <w:r w:rsidRPr="006E1203">
        <w:rPr>
          <w:rFonts w:ascii="Times New Roman" w:hAnsi="Times New Roman" w:cs="Times New Roman"/>
        </w:rPr>
        <w:t xml:space="preserve">pplying the electrical current may start hydration again </w:t>
      </w:r>
      <w:r w:rsidR="00A240EB">
        <w:rPr>
          <w:rFonts w:ascii="Times New Roman" w:hAnsi="Times New Roman" w:cs="Times New Roman"/>
        </w:rPr>
        <w:t xml:space="preserve">as the hydrate ions are transferred through the sample at an accelerated </w:t>
      </w:r>
      <w:r w:rsidR="007B6CEF">
        <w:rPr>
          <w:rFonts w:ascii="Times New Roman" w:hAnsi="Times New Roman" w:cs="Times New Roman"/>
        </w:rPr>
        <w:t xml:space="preserve">rate </w:t>
      </w:r>
      <w:r w:rsidRPr="006E1203">
        <w:rPr>
          <w:rFonts w:ascii="Times New Roman" w:hAnsi="Times New Roman" w:cs="Times New Roman"/>
        </w:rPr>
        <w:t>and</w:t>
      </w:r>
      <w:r w:rsidR="00A240EB">
        <w:rPr>
          <w:rFonts w:ascii="Times New Roman" w:hAnsi="Times New Roman" w:cs="Times New Roman"/>
        </w:rPr>
        <w:t xml:space="preserve"> this </w:t>
      </w:r>
      <w:r w:rsidR="000B397F">
        <w:rPr>
          <w:rFonts w:ascii="Times New Roman" w:hAnsi="Times New Roman" w:cs="Times New Roman"/>
        </w:rPr>
        <w:t>could</w:t>
      </w:r>
      <w:r w:rsidRPr="006E1203">
        <w:rPr>
          <w:rFonts w:ascii="Times New Roman" w:hAnsi="Times New Roman" w:cs="Times New Roman"/>
        </w:rPr>
        <w:t xml:space="preserve"> further accelerate production of C-S-</w:t>
      </w:r>
      <w:r w:rsidR="00A240EB">
        <w:rPr>
          <w:rFonts w:ascii="Times New Roman" w:hAnsi="Times New Roman" w:cs="Times New Roman"/>
        </w:rPr>
        <w:t>H</w:t>
      </w:r>
      <w:r w:rsidRPr="006E1203">
        <w:rPr>
          <w:rFonts w:ascii="Times New Roman" w:hAnsi="Times New Roman" w:cs="Times New Roman"/>
        </w:rPr>
        <w:t xml:space="preserve">, off-setting the amount of C-S-H lost during the leaching process, </w:t>
      </w:r>
      <w:r>
        <w:rPr>
          <w:rFonts w:ascii="Times New Roman" w:hAnsi="Times New Roman" w:cs="Times New Roman"/>
        </w:rPr>
        <w:t xml:space="preserve">and </w:t>
      </w:r>
      <w:r w:rsidRPr="006E1203">
        <w:rPr>
          <w:rFonts w:ascii="Times New Roman" w:hAnsi="Times New Roman" w:cs="Times New Roman"/>
        </w:rPr>
        <w:t>therefore increasing the total amount of C-S</w:t>
      </w:r>
      <w:r w:rsidR="00E36445">
        <w:rPr>
          <w:rFonts w:ascii="Times New Roman" w:hAnsi="Times New Roman" w:cs="Times New Roman"/>
        </w:rPr>
        <w:t>-H within the cement sample [48</w:t>
      </w:r>
      <w:r w:rsidRPr="006E1203">
        <w:rPr>
          <w:rFonts w:ascii="Times New Roman" w:hAnsi="Times New Roman" w:cs="Times New Roman"/>
        </w:rPr>
        <w:t xml:space="preserve">]. </w:t>
      </w:r>
    </w:p>
    <w:p w14:paraId="1FAEE5A6" w14:textId="5D877094" w:rsidR="00220662" w:rsidRDefault="00D61E03" w:rsidP="00831C8B">
      <w:pPr>
        <w:spacing w:before="240" w:after="120"/>
        <w:jc w:val="center"/>
        <w:rPr>
          <w:rFonts w:ascii="Times New Roman" w:hAnsi="Times New Roman" w:cs="Times New Roman"/>
        </w:rPr>
      </w:pPr>
      <w:r>
        <w:rPr>
          <w:rFonts w:ascii="Times New Roman" w:hAnsi="Times New Roman" w:cs="Times New Roman"/>
          <w:noProof/>
        </w:rPr>
        <w:drawing>
          <wp:inline distT="0" distB="0" distL="0" distR="0" wp14:anchorId="6A77534A" wp14:editId="1900D6D3">
            <wp:extent cx="4587411" cy="2970807"/>
            <wp:effectExtent l="0" t="0" r="10160" b="1270"/>
            <wp:docPr id="9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89327" cy="2972048"/>
                    </a:xfrm>
                    <a:prstGeom prst="rect">
                      <a:avLst/>
                    </a:prstGeom>
                    <a:noFill/>
                    <a:ln>
                      <a:noFill/>
                    </a:ln>
                  </pic:spPr>
                </pic:pic>
              </a:graphicData>
            </a:graphic>
          </wp:inline>
        </w:drawing>
      </w:r>
      <w:r w:rsidR="00831C8B">
        <w:rPr>
          <w:rFonts w:ascii="Times New Roman" w:hAnsi="Times New Roman" w:cs="Times New Roman"/>
        </w:rPr>
        <w:br/>
      </w:r>
      <w:r w:rsidR="00831C8B" w:rsidRPr="00831C8B">
        <w:rPr>
          <w:rFonts w:ascii="Times New Roman" w:hAnsi="Times New Roman" w:cs="Times New Roman"/>
          <w:b/>
        </w:rPr>
        <w:t>Figure 4.39</w:t>
      </w:r>
      <w:r w:rsidR="00220662" w:rsidRPr="00831C8B">
        <w:rPr>
          <w:rFonts w:ascii="Times New Roman" w:hAnsi="Times New Roman" w:cs="Times New Roman"/>
          <w:b/>
        </w:rPr>
        <w:t>:</w:t>
      </w:r>
      <w:r w:rsidR="00220662">
        <w:rPr>
          <w:rFonts w:ascii="Times New Roman" w:hAnsi="Times New Roman" w:cs="Times New Roman"/>
        </w:rPr>
        <w:tab/>
      </w:r>
      <w:r w:rsidR="00831C8B">
        <w:rPr>
          <w:rFonts w:ascii="Times New Roman" w:hAnsi="Times New Roman" w:cs="Times New Roman"/>
        </w:rPr>
        <w:t xml:space="preserve">DTG curves for samples </w:t>
      </w:r>
      <w:r w:rsidR="00831C8B">
        <w:rPr>
          <w:rFonts w:ascii="Times New Roman" w:hAnsi="Times New Roman" w:cs="Times New Roman"/>
          <w:b/>
        </w:rPr>
        <w:t>5E-1</w:t>
      </w:r>
      <w:r w:rsidR="00831C8B" w:rsidRPr="004C204E">
        <w:rPr>
          <w:rFonts w:ascii="Times New Roman" w:hAnsi="Times New Roman"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831C8B">
        <w:rPr>
          <w:rFonts w:ascii="Times New Roman" w:hAnsi="Times New Roman" w:cs="Times New Roman"/>
          <w:sz w:val="36"/>
          <w:szCs w:val="36"/>
        </w:rPr>
        <w:t>,</w:t>
      </w:r>
      <w:r w:rsidR="00831C8B">
        <w:rPr>
          <w:rFonts w:ascii="Times New Roman" w:hAnsi="Times New Roman" w:cs="Times New Roman"/>
        </w:rPr>
        <w:t xml:space="preserve"> </w:t>
      </w:r>
      <w:r w:rsidR="00831C8B">
        <w:rPr>
          <w:rFonts w:ascii="Times New Roman" w:hAnsi="Times New Roman" w:cs="Times New Roman"/>
          <w:b/>
        </w:rPr>
        <w:t>5E</w:t>
      </w:r>
      <w:r w:rsidR="00831C8B" w:rsidRPr="004C204E">
        <w:rPr>
          <w:rFonts w:ascii="Times New Roman" w:hAnsi="Times New Roman" w:cs="Times New Roman"/>
          <w:b/>
        </w:rPr>
        <w:t>-3D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r>
          <w:rPr>
            <w:rFonts w:ascii="Cambria Math" w:hAnsi="Cambria Math" w:cs="Arial"/>
            <w:sz w:val="36"/>
            <w:szCs w:val="36"/>
          </w:rPr>
          <m:t xml:space="preserve">, </m:t>
        </m:r>
      </m:oMath>
      <w:r w:rsidR="00831C8B">
        <w:rPr>
          <w:rFonts w:ascii="Times New Roman" w:hAnsi="Times New Roman" w:cs="Times New Roman"/>
          <w:b/>
        </w:rPr>
        <w:t>5E-7</w:t>
      </w:r>
      <w:r w:rsidR="00831C8B" w:rsidRPr="004C204E">
        <w:rPr>
          <w:rFonts w:ascii="Times New Roman" w:hAnsi="Times New Roman"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
    <w:p w14:paraId="4F28D605" w14:textId="7D3E9940" w:rsidR="00220662" w:rsidRPr="006E1203" w:rsidRDefault="00D61E03" w:rsidP="00831C8B">
      <w:pPr>
        <w:spacing w:before="240" w:after="120"/>
        <w:jc w:val="center"/>
        <w:rPr>
          <w:rFonts w:ascii="Times New Roman" w:hAnsi="Times New Roman" w:cs="Times New Roman"/>
        </w:rPr>
      </w:pPr>
      <w:r>
        <w:rPr>
          <w:rFonts w:ascii="Times New Roman" w:hAnsi="Times New Roman" w:cs="Times New Roman"/>
          <w:noProof/>
        </w:rPr>
        <w:lastRenderedPageBreak/>
        <w:drawing>
          <wp:inline distT="0" distB="0" distL="0" distR="0" wp14:anchorId="4DC7D60D" wp14:editId="5967E77C">
            <wp:extent cx="4681163" cy="3031520"/>
            <wp:effectExtent l="0" t="0" r="0" b="0"/>
            <wp:docPr id="9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82767" cy="3032559"/>
                    </a:xfrm>
                    <a:prstGeom prst="rect">
                      <a:avLst/>
                    </a:prstGeom>
                    <a:noFill/>
                    <a:ln>
                      <a:noFill/>
                    </a:ln>
                  </pic:spPr>
                </pic:pic>
              </a:graphicData>
            </a:graphic>
          </wp:inline>
        </w:drawing>
      </w:r>
      <w:r w:rsidR="00831C8B">
        <w:rPr>
          <w:rFonts w:ascii="Times New Roman" w:hAnsi="Times New Roman" w:cs="Times New Roman"/>
        </w:rPr>
        <w:br/>
      </w:r>
      <w:r w:rsidR="00831C8B" w:rsidRPr="00831C8B">
        <w:rPr>
          <w:rFonts w:ascii="Times New Roman" w:hAnsi="Times New Roman" w:cs="Times New Roman"/>
          <w:b/>
        </w:rPr>
        <w:t>Figure 4.40</w:t>
      </w:r>
      <w:r w:rsidR="00831C8B">
        <w:rPr>
          <w:rFonts w:ascii="Times New Roman" w:hAnsi="Times New Roman" w:cs="Times New Roman"/>
        </w:rPr>
        <w:t xml:space="preserve">: DTG curves for </w:t>
      </w:r>
      <w:proofErr w:type="gramStart"/>
      <w:r w:rsidR="00831C8B">
        <w:rPr>
          <w:rFonts w:ascii="Times New Roman" w:hAnsi="Times New Roman" w:cs="Times New Roman"/>
        </w:rPr>
        <w:t xml:space="preserve">samples  </w:t>
      </w:r>
      <w:r w:rsidR="00831C8B" w:rsidRPr="00831C8B">
        <w:rPr>
          <w:rFonts w:ascii="Times New Roman" w:hAnsi="Times New Roman" w:cs="Times New Roman"/>
          <w:b/>
        </w:rPr>
        <w:t>2</w:t>
      </w:r>
      <w:r w:rsidR="00831C8B">
        <w:rPr>
          <w:rFonts w:ascii="Times New Roman" w:hAnsi="Times New Roman" w:cs="Times New Roman"/>
          <w:b/>
        </w:rPr>
        <w:t>5E</w:t>
      </w:r>
      <w:proofErr w:type="gramEnd"/>
      <w:r w:rsidR="00831C8B">
        <w:rPr>
          <w:rFonts w:ascii="Times New Roman" w:hAnsi="Times New Roman" w:cs="Times New Roman"/>
          <w:b/>
        </w:rPr>
        <w:t>-1</w:t>
      </w:r>
      <w:r w:rsidR="00831C8B" w:rsidRPr="004C204E">
        <w:rPr>
          <w:rFonts w:ascii="Times New Roman" w:hAnsi="Times New Roman"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831C8B">
        <w:rPr>
          <w:rFonts w:ascii="Times New Roman" w:hAnsi="Times New Roman" w:cs="Times New Roman"/>
          <w:sz w:val="36"/>
          <w:szCs w:val="36"/>
        </w:rPr>
        <w:t>,</w:t>
      </w:r>
      <w:r w:rsidR="00831C8B">
        <w:rPr>
          <w:rFonts w:ascii="Times New Roman" w:hAnsi="Times New Roman" w:cs="Times New Roman"/>
        </w:rPr>
        <w:t xml:space="preserve"> </w:t>
      </w:r>
      <w:r w:rsidR="00831C8B" w:rsidRPr="00831C8B">
        <w:rPr>
          <w:rFonts w:ascii="Times New Roman" w:hAnsi="Times New Roman" w:cs="Times New Roman"/>
          <w:b/>
        </w:rPr>
        <w:t>2</w:t>
      </w:r>
      <w:r w:rsidR="00831C8B">
        <w:rPr>
          <w:rFonts w:ascii="Times New Roman" w:hAnsi="Times New Roman" w:cs="Times New Roman"/>
          <w:b/>
        </w:rPr>
        <w:t>5E</w:t>
      </w:r>
      <w:r w:rsidR="00831C8B" w:rsidRPr="004C204E">
        <w:rPr>
          <w:rFonts w:ascii="Times New Roman" w:hAnsi="Times New Roman" w:cs="Times New Roman"/>
          <w:b/>
        </w:rPr>
        <w:t>-3D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r>
          <w:rPr>
            <w:rFonts w:ascii="Cambria Math" w:hAnsi="Cambria Math" w:cs="Arial"/>
            <w:sz w:val="36"/>
            <w:szCs w:val="36"/>
          </w:rPr>
          <m:t>,</m:t>
        </m:r>
      </m:oMath>
      <w:r w:rsidR="00831C8B">
        <w:rPr>
          <w:rFonts w:ascii="Times New Roman" w:hAnsi="Times New Roman" w:cs="Times New Roman"/>
          <w:b/>
        </w:rPr>
        <w:t xml:space="preserve"> 25E-7</w:t>
      </w:r>
      <w:r w:rsidR="00831C8B" w:rsidRPr="004C204E">
        <w:rPr>
          <w:rFonts w:ascii="Times New Roman" w:hAnsi="Times New Roman"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
    <w:p w14:paraId="7E582E5F" w14:textId="33B8BD42" w:rsidR="005708A0" w:rsidRPr="006E1203" w:rsidRDefault="005708A0" w:rsidP="005708A0">
      <w:pPr>
        <w:spacing w:before="240" w:after="120" w:line="480" w:lineRule="exact"/>
        <w:jc w:val="both"/>
        <w:rPr>
          <w:rFonts w:ascii="Times New Roman" w:hAnsi="Times New Roman" w:cs="Times New Roman"/>
        </w:rPr>
      </w:pPr>
      <w:r>
        <w:rPr>
          <w:rFonts w:ascii="Times New Roman" w:hAnsi="Times New Roman" w:cs="Times New Roman"/>
        </w:rPr>
        <w:t>Another observation from t</w:t>
      </w:r>
      <w:r w:rsidRPr="006E1203">
        <w:rPr>
          <w:rFonts w:ascii="Times New Roman" w:hAnsi="Times New Roman" w:cs="Times New Roman"/>
        </w:rPr>
        <w:t>h</w:t>
      </w:r>
      <w:r>
        <w:rPr>
          <w:rFonts w:ascii="Times New Roman" w:hAnsi="Times New Roman" w:cs="Times New Roman"/>
        </w:rPr>
        <w:t xml:space="preserve">e </w:t>
      </w:r>
      <w:r w:rsidRPr="00ED5935">
        <w:rPr>
          <w:rFonts w:ascii="Times New Roman" w:hAnsi="Times New Roman" w:cs="Times New Roman"/>
          <w:b/>
        </w:rPr>
        <w:t>25E-3D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831C8B">
        <w:rPr>
          <w:rFonts w:ascii="Times New Roman" w:hAnsi="Times New Roman" w:cs="Times New Roman"/>
        </w:rPr>
        <w:t xml:space="preserve"> TG curve in fig</w:t>
      </w:r>
      <w:r w:rsidR="000D137B">
        <w:rPr>
          <w:rFonts w:ascii="Times New Roman" w:hAnsi="Times New Roman" w:cs="Times New Roman"/>
        </w:rPr>
        <w:t>ure</w:t>
      </w:r>
      <w:r w:rsidR="00831C8B">
        <w:rPr>
          <w:rFonts w:ascii="Times New Roman" w:hAnsi="Times New Roman" w:cs="Times New Roman"/>
        </w:rPr>
        <w:t xml:space="preserve"> 4.40</w:t>
      </w:r>
      <w:r w:rsidRPr="006E1203">
        <w:rPr>
          <w:rFonts w:ascii="Times New Roman" w:hAnsi="Times New Roman" w:cs="Times New Roman"/>
        </w:rPr>
        <w:t xml:space="preserve"> </w:t>
      </w:r>
      <w:r>
        <w:rPr>
          <w:rFonts w:ascii="Times New Roman" w:hAnsi="Times New Roman" w:cs="Times New Roman"/>
        </w:rPr>
        <w:t>shows</w:t>
      </w:r>
      <w:r w:rsidR="0056068B">
        <w:rPr>
          <w:rFonts w:ascii="Times New Roman" w:hAnsi="Times New Roman" w:cs="Times New Roman"/>
        </w:rPr>
        <w:t xml:space="preserve"> that the CAN phase was mostly</w:t>
      </w:r>
      <w:r w:rsidRPr="006E1203">
        <w:rPr>
          <w:rFonts w:ascii="Times New Roman" w:hAnsi="Times New Roman" w:cs="Times New Roman"/>
        </w:rPr>
        <w:t xml:space="preserve"> leached out of the sample, given the high aluminium content of this phase the aluminium ICP</w:t>
      </w:r>
      <w:r>
        <w:rPr>
          <w:rFonts w:ascii="Times New Roman" w:hAnsi="Times New Roman" w:cs="Times New Roman"/>
        </w:rPr>
        <w:t>-MS</w:t>
      </w:r>
      <w:r w:rsidRPr="006E1203">
        <w:rPr>
          <w:rFonts w:ascii="Times New Roman" w:hAnsi="Times New Roman" w:cs="Times New Roman"/>
        </w:rPr>
        <w:t xml:space="preserve"> data was further studied. The normalised leached mass of Al is compared between the </w:t>
      </w:r>
      <w:r w:rsidRPr="002457AA">
        <w:rPr>
          <w:rFonts w:ascii="Times New Roman" w:hAnsi="Times New Roman" w:cs="Times New Roman"/>
        </w:rPr>
        <w:t>electrically leached samples, static and semi-static</w:t>
      </w:r>
      <w:r w:rsidR="000D137B">
        <w:rPr>
          <w:rFonts w:ascii="Times New Roman" w:hAnsi="Times New Roman" w:cs="Times New Roman"/>
        </w:rPr>
        <w:t xml:space="preserve"> in figure 4.41</w:t>
      </w:r>
      <w:r w:rsidRPr="002457AA">
        <w:rPr>
          <w:rFonts w:ascii="Times New Roman" w:hAnsi="Times New Roman" w:cs="Times New Roman"/>
        </w:rPr>
        <w:t>.</w:t>
      </w:r>
      <w:r w:rsidRPr="006E1203">
        <w:rPr>
          <w:rFonts w:ascii="Times New Roman" w:hAnsi="Times New Roman" w:cs="Times New Roman"/>
        </w:rPr>
        <w:t xml:space="preserve"> </w:t>
      </w:r>
    </w:p>
    <w:p w14:paraId="17F8006E" w14:textId="77777777" w:rsidR="005708A0" w:rsidRDefault="005708A0" w:rsidP="005708A0">
      <w:pPr>
        <w:spacing w:before="240" w:after="120"/>
        <w:rPr>
          <w:rFonts w:ascii="Times New Roman" w:hAnsi="Times New Roman" w:cs="Times New Roman"/>
        </w:rPr>
      </w:pPr>
      <w:r w:rsidRPr="006E1203">
        <w:rPr>
          <w:rFonts w:ascii="Times New Roman" w:hAnsi="Times New Roman" w:cs="Times New Roman"/>
        </w:rPr>
        <w:t xml:space="preserve"> </w:t>
      </w:r>
    </w:p>
    <w:p w14:paraId="3397AB4B" w14:textId="39135278" w:rsidR="005708A0" w:rsidRDefault="005708A0" w:rsidP="00831C8B">
      <w:pPr>
        <w:ind w:left="-142"/>
        <w:jc w:val="center"/>
        <w:rPr>
          <w:rFonts w:ascii="Times New Roman" w:hAnsi="Times New Roman" w:cs="Times New Roman"/>
        </w:rPr>
      </w:pPr>
      <w:r w:rsidRPr="006C5680">
        <w:rPr>
          <w:rFonts w:ascii="Times New Roman" w:hAnsi="Times New Roman" w:cs="Times New Roman"/>
          <w:noProof/>
        </w:rPr>
        <w:lastRenderedPageBreak/>
        <w:drawing>
          <wp:inline distT="0" distB="0" distL="0" distR="0" wp14:anchorId="712F8D5E" wp14:editId="02D08BA9">
            <wp:extent cx="5486400" cy="3206115"/>
            <wp:effectExtent l="0" t="0" r="0" b="0"/>
            <wp:docPr id="259" name="Chart 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r w:rsidR="000D137B">
        <w:rPr>
          <w:rFonts w:ascii="Times" w:hAnsi="Times" w:cs="Times New Roman"/>
          <w:b/>
        </w:rPr>
        <w:t>Figure 4.41</w:t>
      </w:r>
      <w:r>
        <w:rPr>
          <w:rFonts w:ascii="Times" w:hAnsi="Times" w:cs="Times New Roman"/>
          <w:b/>
        </w:rPr>
        <w:t xml:space="preserve">: </w:t>
      </w:r>
      <w:r>
        <w:rPr>
          <w:rFonts w:ascii="Times New Roman" w:hAnsi="Times New Roman" w:cs="Times New Roman"/>
        </w:rPr>
        <w:t>Normalised accumulated mass of Al from waste loaded samples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New Roman" w:hAnsi="Times New Roman" w:cs="Times New Roman"/>
        </w:rPr>
        <w:t>) for each leaching procedure and their respective leaching periods</w:t>
      </w:r>
    </w:p>
    <w:p w14:paraId="5C931A0F" w14:textId="50BF8363" w:rsidR="005708A0" w:rsidRDefault="005708A0" w:rsidP="005708A0">
      <w:pPr>
        <w:spacing w:before="240" w:after="120" w:line="480" w:lineRule="exact"/>
        <w:jc w:val="both"/>
        <w:rPr>
          <w:rFonts w:ascii="Times New Roman" w:hAnsi="Times New Roman" w:cs="Times New Roman"/>
        </w:rPr>
      </w:pPr>
      <w:r>
        <w:rPr>
          <w:rFonts w:ascii="Times New Roman" w:hAnsi="Times New Roman" w:cs="Times New Roman"/>
        </w:rPr>
        <w:t xml:space="preserve">The difference in leached amounts of Al between the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New Roman" w:hAnsi="Times New Roman" w:cs="Times New Roman"/>
        </w:rPr>
        <w:t xml:space="preserve"> and </w:t>
      </w:r>
      <w:r w:rsidRPr="00ED5935">
        <w:rPr>
          <w:rFonts w:ascii="Times New Roman" w:hAnsi="Times New Roman" w:cs="Times New Roman"/>
          <w:b/>
        </w:rPr>
        <w:t>W</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New Roman" w:hAnsi="Times New Roman" w:cs="Times New Roman"/>
        </w:rPr>
        <w:t xml:space="preserve"> are as expected and roughly follow that of the Ca, Cs and Sr behaviour. However there is a larger difference in leached amounts between the electrical leaching and non-electrical. It seems that the acceleration factor is much larger for Al in the electrical leaching process than for Ca, Cs and Sr. </w:t>
      </w:r>
      <w:r w:rsidR="00C83C3E">
        <w:rPr>
          <w:rFonts w:ascii="Times New Roman" w:hAnsi="Times New Roman" w:cs="Times New Roman"/>
        </w:rPr>
        <w:t>For example, when comparing</w:t>
      </w:r>
      <w:r>
        <w:rPr>
          <w:rFonts w:ascii="Times New Roman" w:hAnsi="Times New Roman" w:cs="Times New Roman"/>
        </w:rPr>
        <w:t xml:space="preserve"> the leached amounts of </w:t>
      </w:r>
      <w:r w:rsidR="00794391">
        <w:rPr>
          <w:rFonts w:ascii="Times New Roman" w:hAnsi="Times New Roman" w:cs="Times New Roman"/>
        </w:rPr>
        <w:t xml:space="preserve">ions in the </w:t>
      </w:r>
      <w:r w:rsidRPr="00ED5935">
        <w:rPr>
          <w:rFonts w:ascii="Times New Roman" w:hAnsi="Times New Roman" w:cs="Times New Roman"/>
          <w:b/>
        </w:rPr>
        <w:t>2Y</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New Roman" w:hAnsi="Times New Roman" w:cs="Times New Roman"/>
        </w:rPr>
        <w:t xml:space="preserve"> an</w:t>
      </w:r>
      <w:r w:rsidR="00C83C3E">
        <w:rPr>
          <w:rFonts w:ascii="Times New Roman" w:hAnsi="Times New Roman" w:cs="Times New Roman"/>
        </w:rPr>
        <w:t xml:space="preserve">d </w:t>
      </w:r>
      <w:r w:rsidR="00C83C3E" w:rsidRPr="00ED5935">
        <w:rPr>
          <w:rFonts w:ascii="Times New Roman" w:hAnsi="Times New Roman" w:cs="Times New Roman"/>
          <w:b/>
        </w:rPr>
        <w:t>25E-3D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C83C3E">
        <w:rPr>
          <w:rFonts w:ascii="Times New Roman" w:hAnsi="Times New Roman" w:cs="Times New Roman"/>
        </w:rPr>
        <w:t>, i</w:t>
      </w:r>
      <w:r>
        <w:rPr>
          <w:rFonts w:ascii="Times New Roman" w:hAnsi="Times New Roman" w:cs="Times New Roman"/>
        </w:rPr>
        <w:t xml:space="preserve">n the </w:t>
      </w:r>
      <w:r w:rsidRPr="00ED5935">
        <w:rPr>
          <w:rFonts w:ascii="Times New Roman" w:hAnsi="Times New Roman" w:cs="Times New Roman"/>
          <w:b/>
        </w:rPr>
        <w:t>25E-3D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D5935">
        <w:rPr>
          <w:rFonts w:ascii="Times New Roman" w:hAnsi="Times New Roman" w:cs="Times New Roman"/>
          <w:sz w:val="36"/>
          <w:szCs w:val="36"/>
        </w:rPr>
        <w:t xml:space="preserve"> </w:t>
      </w:r>
      <w:r>
        <w:rPr>
          <w:rFonts w:ascii="Times New Roman" w:hAnsi="Times New Roman" w:cs="Times New Roman"/>
        </w:rPr>
        <w:t xml:space="preserve">the amount of </w:t>
      </w:r>
      <w:r w:rsidR="00794391">
        <w:rPr>
          <w:rFonts w:ascii="Times New Roman" w:hAnsi="Times New Roman" w:cs="Times New Roman"/>
        </w:rPr>
        <w:t xml:space="preserve">leached </w:t>
      </w:r>
      <w:r>
        <w:rPr>
          <w:rFonts w:ascii="Times New Roman" w:hAnsi="Times New Roman" w:cs="Times New Roman"/>
        </w:rPr>
        <w:t xml:space="preserve">Ca was higher by approximately 7%, Cs by </w:t>
      </w:r>
      <w:r w:rsidR="000D137B">
        <w:rPr>
          <w:rFonts w:ascii="Times New Roman" w:hAnsi="Times New Roman" w:cs="Times New Roman"/>
        </w:rPr>
        <w:t xml:space="preserve">37%, Sr by 62% and Al by 114%. </w:t>
      </w:r>
      <w:r>
        <w:rPr>
          <w:rFonts w:ascii="Times New Roman" w:hAnsi="Times New Roman" w:cs="Times New Roman"/>
        </w:rPr>
        <w:t xml:space="preserve">This significant increase is consistent in all leaching periods in both the </w:t>
      </w:r>
      <w:r w:rsidRPr="000D137B">
        <w:rPr>
          <w:rFonts w:ascii="Times New Roman" w:hAnsi="Times New Roman" w:cs="Times New Roman"/>
          <w:b/>
        </w:rPr>
        <w:t>5E</w:t>
      </w:r>
      <w:r>
        <w:rPr>
          <w:rFonts w:ascii="Times New Roman" w:hAnsi="Times New Roman" w:cs="Times New Roman"/>
        </w:rPr>
        <w:t xml:space="preserve"> and </w:t>
      </w:r>
      <w:r w:rsidRPr="000D137B">
        <w:rPr>
          <w:rFonts w:ascii="Times New Roman" w:hAnsi="Times New Roman" w:cs="Times New Roman"/>
          <w:b/>
        </w:rPr>
        <w:t>25E</w:t>
      </w:r>
      <w:r>
        <w:rPr>
          <w:rFonts w:ascii="Times New Roman" w:hAnsi="Times New Roman" w:cs="Times New Roman"/>
        </w:rPr>
        <w:t xml:space="preserve"> series. The leached amounts of Al in the acidic leaching procedure are significantly </w:t>
      </w:r>
      <w:proofErr w:type="gramStart"/>
      <w:r>
        <w:rPr>
          <w:rFonts w:ascii="Times New Roman" w:hAnsi="Times New Roman" w:cs="Times New Roman"/>
        </w:rPr>
        <w:t>low,</w:t>
      </w:r>
      <w:proofErr w:type="gramEnd"/>
      <w:r>
        <w:rPr>
          <w:rFonts w:ascii="Times New Roman" w:hAnsi="Times New Roman" w:cs="Times New Roman"/>
        </w:rPr>
        <w:t xml:space="preserve"> this does not correspond to the </w:t>
      </w:r>
      <w:r w:rsidR="00794391">
        <w:rPr>
          <w:rFonts w:ascii="Times New Roman" w:hAnsi="Times New Roman" w:cs="Times New Roman"/>
        </w:rPr>
        <w:t>leaching</w:t>
      </w:r>
      <w:r>
        <w:rPr>
          <w:rFonts w:ascii="Times New Roman" w:hAnsi="Times New Roman" w:cs="Times New Roman"/>
        </w:rPr>
        <w:t xml:space="preserve"> behaviour of the other ions during this procedure, and is much lower than even the static procedure. </w:t>
      </w:r>
    </w:p>
    <w:p w14:paraId="125BAC09" w14:textId="7BA270F2" w:rsidR="005708A0" w:rsidRDefault="005708A0" w:rsidP="005708A0">
      <w:pPr>
        <w:spacing w:before="240" w:after="120" w:line="480" w:lineRule="exact"/>
        <w:jc w:val="both"/>
        <w:rPr>
          <w:rFonts w:ascii="Times New Roman" w:hAnsi="Times New Roman" w:cs="Times New Roman"/>
        </w:rPr>
      </w:pPr>
      <w:r>
        <w:rPr>
          <w:rFonts w:ascii="Times New Roman" w:hAnsi="Times New Roman" w:cs="Times New Roman"/>
        </w:rPr>
        <w:t xml:space="preserve">The exposure surface of the </w:t>
      </w:r>
      <w:r w:rsidRPr="00ED5935">
        <w:rPr>
          <w:rFonts w:ascii="Times New Roman" w:hAnsi="Times New Roman" w:cs="Times New Roman"/>
          <w:b/>
        </w:rPr>
        <w:t>2Y</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64227B">
        <w:rPr>
          <w:rFonts w:ascii="Times New Roman" w:hAnsi="Times New Roman" w:cs="Times New Roman"/>
        </w:rPr>
        <w:t xml:space="preserve"> sample was analysed using SEM</w:t>
      </w:r>
      <w:r>
        <w:rPr>
          <w:rFonts w:ascii="Times New Roman" w:hAnsi="Times New Roman" w:cs="Times New Roman"/>
        </w:rPr>
        <w:t xml:space="preserve"> (fig</w:t>
      </w:r>
      <w:r w:rsidR="00794391">
        <w:rPr>
          <w:rFonts w:ascii="Times New Roman" w:hAnsi="Times New Roman" w:cs="Times New Roman"/>
        </w:rPr>
        <w:t>ure</w:t>
      </w:r>
      <w:r w:rsidR="000D137B">
        <w:rPr>
          <w:rFonts w:ascii="Times New Roman" w:hAnsi="Times New Roman" w:cs="Times New Roman"/>
        </w:rPr>
        <w:t xml:space="preserve"> 4.42</w:t>
      </w:r>
      <w:r>
        <w:rPr>
          <w:rFonts w:ascii="Times New Roman" w:hAnsi="Times New Roman" w:cs="Times New Roman"/>
        </w:rPr>
        <w:t xml:space="preserve">) and compared with the exposure surface of </w:t>
      </w:r>
      <w:r w:rsidRPr="00ED5935">
        <w:rPr>
          <w:rFonts w:ascii="Times New Roman" w:hAnsi="Times New Roman" w:cs="Times New Roman"/>
          <w:b/>
        </w:rPr>
        <w:t>25E-3D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64227B">
        <w:rPr>
          <w:rFonts w:ascii="Times New Roman" w:hAnsi="Times New Roman" w:cs="Times New Roman"/>
        </w:rPr>
        <w:t xml:space="preserve"> (fig 4.43</w:t>
      </w:r>
      <w:r>
        <w:rPr>
          <w:rFonts w:ascii="Times New Roman" w:hAnsi="Times New Roman" w:cs="Times New Roman"/>
        </w:rPr>
        <w:t>). The bl</w:t>
      </w:r>
      <w:r w:rsidR="000D137B">
        <w:rPr>
          <w:rFonts w:ascii="Times New Roman" w:hAnsi="Times New Roman" w:cs="Times New Roman"/>
        </w:rPr>
        <w:t xml:space="preserve">ack area at the top of fig 4.42 </w:t>
      </w:r>
      <w:r w:rsidR="002C4D30">
        <w:rPr>
          <w:rFonts w:ascii="Times New Roman" w:hAnsi="Times New Roman" w:cs="Times New Roman"/>
        </w:rPr>
        <w:t xml:space="preserve">is the exposure surface and </w:t>
      </w:r>
      <w:r>
        <w:rPr>
          <w:rFonts w:ascii="Times New Roman" w:hAnsi="Times New Roman" w:cs="Times New Roman"/>
        </w:rPr>
        <w:t xml:space="preserve">shows the completely degraded regions of the cement sample. The degradation is staggered throughout the sample. The degraded area is made up of very porous C-S-H gel with traces of </w:t>
      </w:r>
      <w:r w:rsidR="00C666A1">
        <w:rPr>
          <w:rFonts w:ascii="Times New Roman" w:hAnsi="Times New Roman" w:cs="Times New Roman"/>
        </w:rPr>
        <w:t>BFS particles</w:t>
      </w:r>
      <w:r>
        <w:rPr>
          <w:rFonts w:ascii="Times New Roman" w:hAnsi="Times New Roman" w:cs="Times New Roman"/>
        </w:rPr>
        <w:t xml:space="preserve">. </w:t>
      </w:r>
    </w:p>
    <w:p w14:paraId="71F34E31" w14:textId="21D3FEFC" w:rsidR="005708A0" w:rsidRDefault="00C666A1" w:rsidP="000D137B">
      <w:pPr>
        <w:spacing w:before="240" w:after="120"/>
        <w:jc w:val="center"/>
        <w:rPr>
          <w:rFonts w:ascii="Times New Roman" w:hAnsi="Times New Roman" w:cs="Times New Roman"/>
        </w:rPr>
      </w:pPr>
      <w:r w:rsidRPr="00751C5B">
        <w:rPr>
          <w:rFonts w:ascii="Times" w:hAnsi="Times" w:cs="Times New Roman"/>
          <w:b/>
          <w:noProof/>
        </w:rPr>
        <w:lastRenderedPageBreak/>
        <w:drawing>
          <wp:inline distT="0" distB="0" distL="0" distR="0" wp14:anchorId="29BFF97C" wp14:editId="5693096A">
            <wp:extent cx="4567187" cy="2676090"/>
            <wp:effectExtent l="0" t="0" r="0" b="0"/>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68173" cy="2676668"/>
                    </a:xfrm>
                    <a:prstGeom prst="rect">
                      <a:avLst/>
                    </a:prstGeom>
                    <a:noFill/>
                    <a:ln>
                      <a:noFill/>
                    </a:ln>
                  </pic:spPr>
                </pic:pic>
              </a:graphicData>
            </a:graphic>
          </wp:inline>
        </w:drawing>
      </w:r>
      <w:r w:rsidR="000D137B">
        <w:rPr>
          <w:rFonts w:ascii="Times New Roman" w:hAnsi="Times New Roman" w:cs="Times New Roman"/>
        </w:rPr>
        <w:br/>
      </w:r>
      <w:r w:rsidR="000D137B">
        <w:rPr>
          <w:rFonts w:ascii="Times" w:hAnsi="Times" w:cs="Times New Roman"/>
          <w:b/>
        </w:rPr>
        <w:t>Figure 4.42</w:t>
      </w:r>
      <w:r w:rsidR="005708A0">
        <w:rPr>
          <w:rFonts w:ascii="Times" w:hAnsi="Times" w:cs="Times New Roman"/>
          <w:b/>
        </w:rPr>
        <w:t xml:space="preserve">: </w:t>
      </w:r>
      <w:r w:rsidR="00DC28C3">
        <w:rPr>
          <w:rFonts w:ascii="Times New Roman" w:hAnsi="Times New Roman" w:cs="Times New Roman"/>
        </w:rPr>
        <w:t xml:space="preserve">SEM-BSE </w:t>
      </w:r>
      <w:r w:rsidR="005708A0">
        <w:rPr>
          <w:rFonts w:ascii="Times New Roman" w:hAnsi="Times New Roman" w:cs="Times New Roman"/>
        </w:rPr>
        <w:t xml:space="preserve">on </w:t>
      </w:r>
      <w:r w:rsidR="005708A0" w:rsidRPr="00ED5935">
        <w:rPr>
          <w:rFonts w:ascii="Times New Roman" w:hAnsi="Times New Roman" w:cs="Times New Roman"/>
          <w:b/>
        </w:rPr>
        <w:t>2Y</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0D137B">
        <w:rPr>
          <w:rFonts w:ascii="Times New Roman" w:hAnsi="Times New Roman" w:cs="Times New Roman"/>
        </w:rPr>
        <w:t xml:space="preserve"> exposure</w:t>
      </w:r>
      <w:r w:rsidR="005708A0">
        <w:rPr>
          <w:rFonts w:ascii="Times New Roman" w:hAnsi="Times New Roman" w:cs="Times New Roman"/>
        </w:rPr>
        <w:t xml:space="preserve"> surface</w:t>
      </w:r>
    </w:p>
    <w:p w14:paraId="40EB7070" w14:textId="2970A9B2" w:rsidR="005708A0" w:rsidRDefault="005708A0" w:rsidP="005708A0">
      <w:pPr>
        <w:spacing w:before="240" w:after="120" w:line="480" w:lineRule="exact"/>
        <w:jc w:val="both"/>
        <w:rPr>
          <w:rFonts w:ascii="Times New Roman" w:hAnsi="Times New Roman" w:cs="Times New Roman"/>
        </w:rPr>
      </w:pPr>
      <w:r>
        <w:rPr>
          <w:rFonts w:ascii="Times New Roman" w:hAnsi="Times New Roman" w:cs="Times New Roman"/>
        </w:rPr>
        <w:t xml:space="preserve">The exposure surface of </w:t>
      </w:r>
      <w:r w:rsidRPr="00ED5935">
        <w:rPr>
          <w:rFonts w:ascii="Times New Roman" w:hAnsi="Times New Roman" w:cs="Times New Roman"/>
          <w:b/>
        </w:rPr>
        <w:t>25E-3D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D5935">
        <w:rPr>
          <w:rFonts w:ascii="Times New Roman" w:hAnsi="Times New Roman" w:cs="Times New Roman"/>
        </w:rPr>
        <w:t xml:space="preserve"> </w:t>
      </w:r>
      <w:r>
        <w:rPr>
          <w:rFonts w:ascii="Times New Roman" w:hAnsi="Times New Roman" w:cs="Times New Roman"/>
        </w:rPr>
        <w:t xml:space="preserve">shows a more degraded cement sample, the </w:t>
      </w:r>
      <w:r w:rsidR="00E76A71">
        <w:rPr>
          <w:rFonts w:ascii="Times New Roman" w:hAnsi="Times New Roman" w:cs="Times New Roman"/>
        </w:rPr>
        <w:t xml:space="preserve">cement particle </w:t>
      </w:r>
      <w:r>
        <w:rPr>
          <w:rFonts w:ascii="Times New Roman" w:hAnsi="Times New Roman" w:cs="Times New Roman"/>
        </w:rPr>
        <w:t xml:space="preserve">depletion seems sudden whereas in the </w:t>
      </w:r>
      <w:r w:rsidRPr="00ED5935">
        <w:rPr>
          <w:rFonts w:ascii="Times New Roman" w:hAnsi="Times New Roman" w:cs="Times New Roman"/>
          <w:b/>
        </w:rPr>
        <w:t>2Y</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ED5935">
        <w:rPr>
          <w:rFonts w:ascii="Times New Roman" w:hAnsi="Times New Roman" w:cs="Times New Roman"/>
        </w:rPr>
        <w:t xml:space="preserve"> </w:t>
      </w:r>
      <w:r>
        <w:rPr>
          <w:rFonts w:ascii="Times New Roman" w:hAnsi="Times New Roman" w:cs="Times New Roman"/>
        </w:rPr>
        <w:t xml:space="preserve"> sample</w:t>
      </w:r>
      <w:proofErr w:type="gramEnd"/>
      <w:r>
        <w:rPr>
          <w:rFonts w:ascii="Times New Roman" w:hAnsi="Times New Roman" w:cs="Times New Roman"/>
        </w:rPr>
        <w:t xml:space="preserve"> it is more of a gradual decrease in </w:t>
      </w:r>
      <w:r w:rsidR="00E76A71">
        <w:rPr>
          <w:rFonts w:ascii="Times New Roman" w:hAnsi="Times New Roman" w:cs="Times New Roman"/>
        </w:rPr>
        <w:t>cement particles.</w:t>
      </w:r>
      <w:r>
        <w:rPr>
          <w:rFonts w:ascii="Times New Roman" w:hAnsi="Times New Roman" w:cs="Times New Roman"/>
        </w:rPr>
        <w:t xml:space="preserve"> Although both samples </w:t>
      </w:r>
      <w:r w:rsidR="00DC28C3">
        <w:rPr>
          <w:rFonts w:ascii="Times New Roman" w:hAnsi="Times New Roman" w:cs="Times New Roman"/>
        </w:rPr>
        <w:t>show</w:t>
      </w:r>
      <w:r>
        <w:rPr>
          <w:rFonts w:ascii="Times New Roman" w:hAnsi="Times New Roman" w:cs="Times New Roman"/>
        </w:rPr>
        <w:t xml:space="preserve"> similar patterns of degradation</w:t>
      </w:r>
      <w:r w:rsidR="00DC28C3">
        <w:rPr>
          <w:rFonts w:ascii="Times New Roman" w:hAnsi="Times New Roman" w:cs="Times New Roman"/>
        </w:rPr>
        <w:t>, the electrical leached sample</w:t>
      </w:r>
      <w:r>
        <w:rPr>
          <w:rFonts w:ascii="Times New Roman" w:hAnsi="Times New Roman" w:cs="Times New Roman"/>
        </w:rPr>
        <w:t xml:space="preserve"> in fig 4.4</w:t>
      </w:r>
      <w:r w:rsidR="0064227B">
        <w:rPr>
          <w:rFonts w:ascii="Times New Roman" w:hAnsi="Times New Roman" w:cs="Times New Roman"/>
        </w:rPr>
        <w:t>3</w:t>
      </w:r>
      <w:r>
        <w:rPr>
          <w:rFonts w:ascii="Times New Roman" w:hAnsi="Times New Roman" w:cs="Times New Roman"/>
        </w:rPr>
        <w:t xml:space="preserve"> </w:t>
      </w:r>
      <w:r w:rsidR="00DC28C3">
        <w:rPr>
          <w:rFonts w:ascii="Times New Roman" w:hAnsi="Times New Roman" w:cs="Times New Roman"/>
        </w:rPr>
        <w:t>is</w:t>
      </w:r>
      <w:r>
        <w:rPr>
          <w:rFonts w:ascii="Times New Roman" w:hAnsi="Times New Roman" w:cs="Times New Roman"/>
        </w:rPr>
        <w:t xml:space="preserve"> more degraded with more of the hydrated cement </w:t>
      </w:r>
      <w:r w:rsidR="00DC28C3">
        <w:rPr>
          <w:rFonts w:ascii="Times New Roman" w:hAnsi="Times New Roman" w:cs="Times New Roman"/>
        </w:rPr>
        <w:t>particles</w:t>
      </w:r>
      <w:r>
        <w:rPr>
          <w:rFonts w:ascii="Times New Roman" w:hAnsi="Times New Roman" w:cs="Times New Roman"/>
        </w:rPr>
        <w:t xml:space="preserve"> absent and a more porous structure</w:t>
      </w:r>
      <w:r w:rsidR="00FA1677">
        <w:rPr>
          <w:rFonts w:ascii="Times New Roman" w:hAnsi="Times New Roman" w:cs="Times New Roman"/>
        </w:rPr>
        <w:t xml:space="preserve">, illustrating a significant change in </w:t>
      </w:r>
      <w:r w:rsidR="00923A5D">
        <w:rPr>
          <w:rFonts w:ascii="Times New Roman" w:hAnsi="Times New Roman" w:cs="Times New Roman"/>
        </w:rPr>
        <w:t>microstructure</w:t>
      </w:r>
      <w:r w:rsidR="00FA1677">
        <w:rPr>
          <w:rFonts w:ascii="Times New Roman" w:hAnsi="Times New Roman" w:cs="Times New Roman"/>
        </w:rPr>
        <w:t xml:space="preserve"> due to the electrical current</w:t>
      </w:r>
      <w:r>
        <w:rPr>
          <w:rFonts w:ascii="Times New Roman" w:hAnsi="Times New Roman" w:cs="Times New Roman"/>
        </w:rPr>
        <w:t xml:space="preserve">. There are dark voids surrounding the </w:t>
      </w:r>
      <w:r w:rsidR="00A96FA0">
        <w:rPr>
          <w:rFonts w:ascii="Times New Roman" w:hAnsi="Times New Roman" w:cs="Times New Roman"/>
        </w:rPr>
        <w:t>BFS particles</w:t>
      </w:r>
      <w:r>
        <w:rPr>
          <w:rFonts w:ascii="Times New Roman" w:hAnsi="Times New Roman" w:cs="Times New Roman"/>
        </w:rPr>
        <w:t xml:space="preserve"> at a deeper level in comparison to the </w:t>
      </w:r>
      <w:r w:rsidRPr="00ED5935">
        <w:rPr>
          <w:rFonts w:ascii="Times New Roman" w:hAnsi="Times New Roman" w:cs="Times New Roman"/>
          <w:b/>
        </w:rPr>
        <w:t>2Y</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64227B">
        <w:rPr>
          <w:rFonts w:ascii="Times New Roman" w:hAnsi="Times New Roman" w:cs="Times New Roman"/>
        </w:rPr>
        <w:t xml:space="preserve"> sample</w:t>
      </w:r>
      <w:r>
        <w:rPr>
          <w:rFonts w:ascii="Times New Roman" w:hAnsi="Times New Roman" w:cs="Times New Roman"/>
        </w:rPr>
        <w:t xml:space="preserve">. </w:t>
      </w:r>
    </w:p>
    <w:p w14:paraId="23455680" w14:textId="77777777" w:rsidR="005708A0" w:rsidRDefault="005708A0" w:rsidP="005708A0">
      <w:pPr>
        <w:spacing w:before="240" w:after="120"/>
        <w:jc w:val="center"/>
        <w:rPr>
          <w:rFonts w:ascii="Times New Roman" w:hAnsi="Times New Roman" w:cs="Times New Roman"/>
        </w:rPr>
      </w:pPr>
    </w:p>
    <w:p w14:paraId="36142FDD" w14:textId="622AE236" w:rsidR="005708A0" w:rsidRDefault="00C666A1" w:rsidP="005708A0">
      <w:pPr>
        <w:spacing w:before="240" w:after="120"/>
        <w:jc w:val="center"/>
        <w:rPr>
          <w:rFonts w:ascii="Times New Roman" w:hAnsi="Times New Roman" w:cs="Times New Roman"/>
        </w:rPr>
      </w:pPr>
      <w:r w:rsidRPr="00751C5B">
        <w:rPr>
          <w:rFonts w:ascii="Times New Roman" w:hAnsi="Times New Roman" w:cs="Times New Roman"/>
          <w:noProof/>
        </w:rPr>
        <w:drawing>
          <wp:inline distT="0" distB="0" distL="0" distR="0" wp14:anchorId="56863C51" wp14:editId="49CDF5F9">
            <wp:extent cx="4569594" cy="2535978"/>
            <wp:effectExtent l="0" t="0" r="0" b="4445"/>
            <wp:docPr id="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69827" cy="2536107"/>
                    </a:xfrm>
                    <a:prstGeom prst="rect">
                      <a:avLst/>
                    </a:prstGeom>
                    <a:noFill/>
                    <a:ln>
                      <a:noFill/>
                    </a:ln>
                  </pic:spPr>
                </pic:pic>
              </a:graphicData>
            </a:graphic>
          </wp:inline>
        </w:drawing>
      </w:r>
    </w:p>
    <w:p w14:paraId="3F7CF013" w14:textId="40DDA723" w:rsidR="005708A0" w:rsidRDefault="0064227B" w:rsidP="005708A0">
      <w:pPr>
        <w:jc w:val="center"/>
        <w:rPr>
          <w:rFonts w:ascii="Times New Roman" w:hAnsi="Times New Roman" w:cs="Times New Roman"/>
        </w:rPr>
      </w:pPr>
      <w:r>
        <w:rPr>
          <w:rFonts w:ascii="Times" w:hAnsi="Times" w:cs="Times New Roman"/>
          <w:b/>
        </w:rPr>
        <w:t>Figure 4.43</w:t>
      </w:r>
      <w:r w:rsidR="005708A0">
        <w:rPr>
          <w:rFonts w:ascii="Times" w:hAnsi="Times" w:cs="Times New Roman"/>
          <w:b/>
        </w:rPr>
        <w:t xml:space="preserve">: </w:t>
      </w:r>
      <w:r w:rsidR="005708A0">
        <w:rPr>
          <w:rFonts w:ascii="Times New Roman" w:hAnsi="Times New Roman" w:cs="Times New Roman"/>
        </w:rPr>
        <w:t>SEM-</w:t>
      </w:r>
      <w:r w:rsidR="00A96FA0">
        <w:rPr>
          <w:rFonts w:ascii="Times New Roman" w:hAnsi="Times New Roman" w:cs="Times New Roman"/>
        </w:rPr>
        <w:t>BSE</w:t>
      </w:r>
      <w:r w:rsidR="005708A0">
        <w:rPr>
          <w:rFonts w:ascii="Times New Roman" w:hAnsi="Times New Roman" w:cs="Times New Roman"/>
        </w:rPr>
        <w:t xml:space="preserve"> on </w:t>
      </w:r>
      <w:r w:rsidR="005708A0" w:rsidRPr="00ED5935">
        <w:rPr>
          <w:rFonts w:ascii="Times New Roman" w:hAnsi="Times New Roman" w:cs="Times New Roman"/>
          <w:b/>
        </w:rPr>
        <w:t>25E-3D</w:t>
      </w:r>
      <m:oMath>
        <m:acc>
          <m:accPr>
            <m:chr m:val="̅"/>
            <m:ctrlPr>
              <w:rPr>
                <w:rFonts w:ascii="Cambria Math" w:hAnsi="Cambria Math" w:cs="Arial"/>
                <w:b/>
                <w:i/>
                <w:sz w:val="36"/>
                <w:szCs w:val="36"/>
              </w:rPr>
            </m:ctrlPr>
          </m:accPr>
          <m:e>
            <m:r>
              <m:rPr>
                <m:sty m:val="b"/>
              </m:rPr>
              <w:rPr>
                <w:rFonts w:ascii="Cambria Math" w:hAnsi="Cambria Math" w:cs="Arial"/>
                <w:sz w:val="36"/>
                <w:szCs w:val="36"/>
              </w:rPr>
              <m:t>cs</m:t>
            </m:r>
          </m:e>
        </m:acc>
      </m:oMath>
      <w:proofErr w:type="gramStart"/>
      <w:r w:rsidR="00ED5935">
        <w:rPr>
          <w:rFonts w:ascii="Times New Roman" w:hAnsi="Times New Roman" w:cs="Times New Roman"/>
        </w:rPr>
        <w:t xml:space="preserve"> </w:t>
      </w:r>
      <w:r w:rsidR="005708A0">
        <w:rPr>
          <w:rFonts w:ascii="Times New Roman" w:hAnsi="Times New Roman" w:cs="Times New Roman"/>
        </w:rPr>
        <w:t xml:space="preserve"> exposure</w:t>
      </w:r>
      <w:proofErr w:type="gramEnd"/>
      <w:r w:rsidR="005708A0">
        <w:rPr>
          <w:rFonts w:ascii="Times New Roman" w:hAnsi="Times New Roman" w:cs="Times New Roman"/>
        </w:rPr>
        <w:t xml:space="preserve"> surface</w:t>
      </w:r>
    </w:p>
    <w:p w14:paraId="6BCD9678" w14:textId="77777777" w:rsidR="005708A0" w:rsidRDefault="005708A0" w:rsidP="005708A0">
      <w:pPr>
        <w:spacing w:before="240" w:after="120" w:line="480" w:lineRule="exact"/>
        <w:jc w:val="both"/>
        <w:rPr>
          <w:rFonts w:ascii="Times" w:hAnsi="Times"/>
          <w:sz w:val="20"/>
          <w:szCs w:val="20"/>
        </w:rPr>
      </w:pPr>
      <w:r>
        <w:rPr>
          <w:rFonts w:ascii="Times New Roman" w:hAnsi="Times New Roman" w:cs="Times New Roman"/>
          <w:b/>
          <w:bCs/>
          <w:smallCaps/>
          <w:sz w:val="32"/>
          <w:szCs w:val="28"/>
        </w:rPr>
        <w:lastRenderedPageBreak/>
        <w:t>4.2.1.2</w:t>
      </w:r>
      <w:r>
        <w:rPr>
          <w:rFonts w:ascii="Times New Roman" w:hAnsi="Times New Roman" w:cs="Times New Roman"/>
          <w:b/>
          <w:bCs/>
          <w:smallCaps/>
          <w:sz w:val="32"/>
          <w:szCs w:val="28"/>
        </w:rPr>
        <w:tab/>
        <w:t>discussion</w:t>
      </w:r>
    </w:p>
    <w:p w14:paraId="49125A07" w14:textId="23DF2BD1" w:rsidR="005708A0" w:rsidRPr="00F22E8F" w:rsidRDefault="005708A0" w:rsidP="0064227B">
      <w:pPr>
        <w:spacing w:before="240" w:after="120" w:line="480" w:lineRule="exact"/>
        <w:jc w:val="both"/>
        <w:rPr>
          <w:rFonts w:ascii="Times" w:hAnsi="Times"/>
          <w:sz w:val="20"/>
          <w:szCs w:val="20"/>
        </w:rPr>
      </w:pPr>
      <w:r>
        <w:rPr>
          <w:rFonts w:ascii="Times New Roman" w:hAnsi="Times New Roman" w:cs="Times New Roman"/>
        </w:rPr>
        <w:t xml:space="preserve">The cement samples were subjected to various leaching methods over varying durations of time. Initially the </w:t>
      </w:r>
      <w:proofErr w:type="gramStart"/>
      <w:r>
        <w:rPr>
          <w:rFonts w:ascii="Times New Roman" w:hAnsi="Times New Roman" w:cs="Times New Roman"/>
        </w:rPr>
        <w:t>calcium leached</w:t>
      </w:r>
      <w:proofErr w:type="gramEnd"/>
      <w:r>
        <w:rPr>
          <w:rFonts w:ascii="Times New Roman" w:hAnsi="Times New Roman" w:cs="Times New Roman"/>
        </w:rPr>
        <w:t xml:space="preserve"> amounts were analysed and the semi-static method was compared to the static method. Calcium was chosen as an indicator of chemical deterioration as it is the main element in the majority of the hydrate phases and has a very significant impact on the cement chemistry [</w:t>
      </w:r>
      <w:r w:rsidR="004745FF">
        <w:rPr>
          <w:rFonts w:ascii="Times New Roman" w:hAnsi="Times New Roman" w:cs="Times New Roman"/>
        </w:rPr>
        <w:t>47,49</w:t>
      </w:r>
      <w:r>
        <w:rPr>
          <w:rFonts w:ascii="Times New Roman" w:hAnsi="Times New Roman" w:cs="Times New Roman"/>
        </w:rPr>
        <w:t xml:space="preserve">]. The results showed that there was a slight acceleration in calcium ion </w:t>
      </w:r>
      <w:r w:rsidR="00A96FA0">
        <w:rPr>
          <w:rFonts w:ascii="Times New Roman" w:hAnsi="Times New Roman" w:cs="Times New Roman"/>
        </w:rPr>
        <w:t>leaching</w:t>
      </w:r>
      <w:r>
        <w:rPr>
          <w:rFonts w:ascii="Times New Roman" w:hAnsi="Times New Roman" w:cs="Times New Roman"/>
        </w:rPr>
        <w:t xml:space="preserve"> in the semi-static method. Further research showed that Cs and Sr leaching was also accelerated in the semi-static method. This is attributed to the change in concentration gradient when replacing the solution every 7 days initially and event</w:t>
      </w:r>
      <w:r w:rsidR="0064227B">
        <w:rPr>
          <w:rFonts w:ascii="Times New Roman" w:hAnsi="Times New Roman" w:cs="Times New Roman"/>
        </w:rPr>
        <w:t>ually every 10 days. Figure 4.44</w:t>
      </w:r>
      <w:r>
        <w:rPr>
          <w:rFonts w:ascii="Times New Roman" w:hAnsi="Times New Roman" w:cs="Times New Roman"/>
        </w:rPr>
        <w:t xml:space="preserve"> simulates what happens when the exposure surface is in contact with the solution at the start of each test, the concentration of ions in solution is, of course, zero and the concentration of ions in the sample is optimal. This concentration gradient causes an affinity for ions to diffuse into solution. As leaching progresses the concentration of ions in solution increases and the difference in concentrations between the ions in solution and the ions in the sample decreases. This in turn causes a decrease in affinity for ions to </w:t>
      </w:r>
      <w:r w:rsidR="00AC5659">
        <w:rPr>
          <w:rFonts w:ascii="Times New Roman" w:hAnsi="Times New Roman" w:cs="Times New Roman"/>
        </w:rPr>
        <w:t>leach out</w:t>
      </w:r>
      <w:r>
        <w:rPr>
          <w:rFonts w:ascii="Times New Roman" w:hAnsi="Times New Roman" w:cs="Times New Roman"/>
        </w:rPr>
        <w:t xml:space="preserve"> and reduces the leaching rate. Eventually the sample solution reaches saturation at which point the affinity for ion </w:t>
      </w:r>
      <w:r w:rsidR="00AC5659">
        <w:rPr>
          <w:rFonts w:ascii="Times New Roman" w:hAnsi="Times New Roman" w:cs="Times New Roman"/>
        </w:rPr>
        <w:t>leaching</w:t>
      </w:r>
      <w:r>
        <w:rPr>
          <w:rFonts w:ascii="Times New Roman" w:hAnsi="Times New Roman" w:cs="Times New Roman"/>
        </w:rPr>
        <w:t xml:space="preserve"> is very low and close to 0. </w:t>
      </w:r>
      <w:r w:rsidR="00CB1DBE">
        <w:rPr>
          <w:rFonts w:ascii="Times New Roman" w:hAnsi="Times New Roman" w:cs="Times New Roman"/>
        </w:rPr>
        <w:t>T</w:t>
      </w:r>
      <w:r w:rsidR="00CB1DBE" w:rsidRPr="00CB1DBE">
        <w:rPr>
          <w:rFonts w:ascii="Times New Roman" w:hAnsi="Times New Roman" w:cs="Times New Roman"/>
        </w:rPr>
        <w:t xml:space="preserve">here are always ions coming out from the solid and those going back from the solution. The balance between those two flows results in a certain concentration of ions in solution at a certain </w:t>
      </w:r>
      <w:r w:rsidR="00CB1DBE">
        <w:rPr>
          <w:rFonts w:ascii="Times New Roman" w:hAnsi="Times New Roman" w:cs="Times New Roman"/>
        </w:rPr>
        <w:t>time</w:t>
      </w:r>
      <w:r w:rsidR="00CB1DBE" w:rsidRPr="00CB1DBE">
        <w:rPr>
          <w:rFonts w:ascii="Times New Roman" w:hAnsi="Times New Roman" w:cs="Times New Roman"/>
        </w:rPr>
        <w:t>. When the concentration of the ion in the solution increases, the ones going back from the solution</w:t>
      </w:r>
      <w:r w:rsidR="00CB1DBE">
        <w:rPr>
          <w:rFonts w:ascii="Times New Roman" w:hAnsi="Times New Roman" w:cs="Times New Roman"/>
        </w:rPr>
        <w:t xml:space="preserve"> into the cement</w:t>
      </w:r>
      <w:r w:rsidR="00CB1DBE" w:rsidRPr="00CB1DBE">
        <w:rPr>
          <w:rFonts w:ascii="Times New Roman" w:hAnsi="Times New Roman" w:cs="Times New Roman"/>
        </w:rPr>
        <w:t xml:space="preserve"> naturally increases. This results in the reduction of NET ion coming out from the solid.</w:t>
      </w:r>
      <w:r w:rsidR="00CB1DBE">
        <w:rPr>
          <w:rFonts w:ascii="Times New Roman" w:hAnsi="Times New Roman" w:cs="Times New Roman"/>
        </w:rPr>
        <w:t xml:space="preserve"> </w:t>
      </w:r>
      <w:r>
        <w:rPr>
          <w:rFonts w:ascii="Times New Roman" w:hAnsi="Times New Roman" w:cs="Times New Roman"/>
        </w:rPr>
        <w:t xml:space="preserve">In the semi-static tests, however, the solution is replaced at regular intervals thus resetting the concentration gradient and increasing ion diffusion as illustrated by the schematic </w:t>
      </w:r>
      <w:r w:rsidR="00CB1DBE">
        <w:rPr>
          <w:rFonts w:ascii="Times New Roman" w:hAnsi="Times New Roman" w:cs="Times New Roman"/>
        </w:rPr>
        <w:t xml:space="preserve">diagram </w:t>
      </w:r>
      <w:r w:rsidR="00BB6AF7">
        <w:rPr>
          <w:rFonts w:ascii="Times New Roman" w:hAnsi="Times New Roman" w:cs="Times New Roman"/>
        </w:rPr>
        <w:t>in figure 4.44</w:t>
      </w:r>
      <w:r>
        <w:rPr>
          <w:rFonts w:ascii="Times New Roman" w:hAnsi="Times New Roman" w:cs="Times New Roman"/>
        </w:rPr>
        <w:t xml:space="preserve">. </w:t>
      </w:r>
    </w:p>
    <w:p w14:paraId="1AB56CD9" w14:textId="340A8B86" w:rsidR="0064227B" w:rsidRDefault="005708A0" w:rsidP="005708A0">
      <w:pPr>
        <w:spacing w:before="240" w:after="120" w:line="480" w:lineRule="exact"/>
        <w:jc w:val="both"/>
        <w:rPr>
          <w:rFonts w:ascii="Times New Roman" w:hAnsi="Times New Roman" w:cs="Times New Roman"/>
        </w:rPr>
      </w:pPr>
      <w:r>
        <w:rPr>
          <w:rFonts w:ascii="Times New Roman" w:hAnsi="Times New Roman" w:cs="Times New Roman"/>
        </w:rPr>
        <w:t>The Ca leached amounts were much less than the Cs and Sr</w:t>
      </w:r>
      <w:r w:rsidR="00EA4306">
        <w:rPr>
          <w:rFonts w:ascii="Times New Roman" w:hAnsi="Times New Roman" w:cs="Times New Roman"/>
        </w:rPr>
        <w:t>. T</w:t>
      </w:r>
      <w:r>
        <w:rPr>
          <w:rFonts w:ascii="Times New Roman" w:hAnsi="Times New Roman" w:cs="Times New Roman"/>
        </w:rPr>
        <w:t>his could be due the leaching pr</w:t>
      </w:r>
      <w:r w:rsidR="00127B80">
        <w:rPr>
          <w:rFonts w:ascii="Times New Roman" w:hAnsi="Times New Roman" w:cs="Times New Roman"/>
        </w:rPr>
        <w:t>ocess described by Poon et al [50</w:t>
      </w:r>
      <w:r>
        <w:rPr>
          <w:rFonts w:ascii="Times New Roman" w:hAnsi="Times New Roman" w:cs="Times New Roman"/>
        </w:rPr>
        <w:t xml:space="preserve">], explaining that heavy metals leach </w:t>
      </w:r>
      <w:r>
        <w:rPr>
          <w:rFonts w:ascii="Times New Roman" w:hAnsi="Times New Roman" w:cs="Times New Roman"/>
        </w:rPr>
        <w:lastRenderedPageBreak/>
        <w:t>rapidly in the first stage until their respective steady leaching points are reached and the</w:t>
      </w:r>
      <w:r w:rsidR="00EA5280">
        <w:rPr>
          <w:rFonts w:ascii="Times New Roman" w:hAnsi="Times New Roman" w:cs="Times New Roman"/>
        </w:rPr>
        <w:t>n the</w:t>
      </w:r>
      <w:r>
        <w:rPr>
          <w:rFonts w:ascii="Times New Roman" w:hAnsi="Times New Roman" w:cs="Times New Roman"/>
        </w:rPr>
        <w:t xml:space="preserve"> leaching rates decrease. </w:t>
      </w:r>
      <w:r w:rsidR="00EA5280">
        <w:rPr>
          <w:rFonts w:ascii="Times New Roman" w:hAnsi="Times New Roman" w:cs="Times New Roman"/>
        </w:rPr>
        <w:t>This is because in the second stage of leaching, the Ca first needs to leach out in order to degrade the matrices of the solidified wastes before any more o</w:t>
      </w:r>
      <w:r w:rsidR="00BB6AF7">
        <w:rPr>
          <w:rFonts w:ascii="Times New Roman" w:hAnsi="Times New Roman" w:cs="Times New Roman"/>
        </w:rPr>
        <w:t>f</w:t>
      </w:r>
      <w:r w:rsidR="00EA5280">
        <w:rPr>
          <w:rFonts w:ascii="Times New Roman" w:hAnsi="Times New Roman" w:cs="Times New Roman"/>
        </w:rPr>
        <w:t xml:space="preserve"> the heavy metals are leached out. </w:t>
      </w:r>
      <w:r w:rsidR="00BB6AF7">
        <w:rPr>
          <w:rFonts w:ascii="Times New Roman" w:hAnsi="Times New Roman" w:cs="Times New Roman"/>
        </w:rPr>
        <w:t>However this is most probably because the Ca is better retained with the cement in comparison to Sr and Cs.</w:t>
      </w:r>
      <w:r w:rsidR="00EA4306">
        <w:rPr>
          <w:rFonts w:ascii="Times New Roman" w:hAnsi="Times New Roman" w:cs="Times New Roman"/>
        </w:rPr>
        <w:t xml:space="preserve"> Due to Sr and Cs being much larger than Ca and much more mobile. </w:t>
      </w:r>
    </w:p>
    <w:p w14:paraId="0FD94847" w14:textId="77777777" w:rsidR="005708A0" w:rsidRDefault="005708A0" w:rsidP="005708A0">
      <w:pPr>
        <w:spacing w:before="240" w:after="120"/>
        <w:jc w:val="center"/>
        <w:rPr>
          <w:rFonts w:ascii="Times New Roman" w:hAnsi="Times New Roman" w:cs="Times New Roman"/>
        </w:rPr>
      </w:pPr>
      <w:r w:rsidRPr="00C95CED">
        <w:rPr>
          <w:rFonts w:ascii="Times New Roman" w:hAnsi="Times New Roman" w:cs="Times New Roman"/>
          <w:noProof/>
        </w:rPr>
        <w:drawing>
          <wp:inline distT="0" distB="0" distL="0" distR="0" wp14:anchorId="4A08203E" wp14:editId="2D81A7FE">
            <wp:extent cx="3485548" cy="1906780"/>
            <wp:effectExtent l="0" t="0" r="0" b="0"/>
            <wp:docPr id="2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grayscl/>
                      <a:extLst>
                        <a:ext uri="{28A0092B-C50C-407E-A947-70E740481C1C}">
                          <a14:useLocalDpi xmlns:a14="http://schemas.microsoft.com/office/drawing/2010/main" val="0"/>
                        </a:ext>
                      </a:extLst>
                    </a:blip>
                    <a:srcRect/>
                    <a:stretch>
                      <a:fillRect/>
                    </a:stretch>
                  </pic:blipFill>
                  <pic:spPr bwMode="auto">
                    <a:xfrm>
                      <a:off x="0" y="0"/>
                      <a:ext cx="3485946" cy="1906998"/>
                    </a:xfrm>
                    <a:prstGeom prst="rect">
                      <a:avLst/>
                    </a:prstGeom>
                    <a:noFill/>
                    <a:ln>
                      <a:noFill/>
                    </a:ln>
                  </pic:spPr>
                </pic:pic>
              </a:graphicData>
            </a:graphic>
          </wp:inline>
        </w:drawing>
      </w:r>
      <w:r>
        <w:rPr>
          <w:rFonts w:ascii="Times New Roman" w:hAnsi="Times New Roman" w:cs="Times New Roman"/>
        </w:rPr>
        <w:t xml:space="preserve">             </w:t>
      </w:r>
    </w:p>
    <w:p w14:paraId="1DB69081" w14:textId="77777777" w:rsidR="005708A0" w:rsidRDefault="005708A0" w:rsidP="005708A0">
      <w:pPr>
        <w:spacing w:before="240" w:after="120"/>
        <w:jc w:val="center"/>
        <w:rPr>
          <w:rFonts w:ascii="Times New Roman" w:hAnsi="Times New Roman" w:cs="Times New Roman"/>
        </w:rPr>
      </w:pPr>
      <w:r w:rsidRPr="002C5EE0">
        <w:rPr>
          <w:rFonts w:ascii="Times New Roman" w:hAnsi="Times New Roman" w:cs="Times New Roman"/>
          <w:noProof/>
        </w:rPr>
        <w:drawing>
          <wp:inline distT="0" distB="0" distL="0" distR="0" wp14:anchorId="3E701393" wp14:editId="06C11FC9">
            <wp:extent cx="3675647" cy="1959704"/>
            <wp:effectExtent l="0" t="0" r="7620" b="0"/>
            <wp:docPr id="26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5">
                      <a:extLst>
                        <a:ext uri="{28A0092B-C50C-407E-A947-70E740481C1C}">
                          <a14:useLocalDpi xmlns:a14="http://schemas.microsoft.com/office/drawing/2010/main" val="0"/>
                        </a:ext>
                      </a:extLst>
                    </a:blip>
                    <a:srcRect t="1489"/>
                    <a:stretch/>
                  </pic:blipFill>
                  <pic:spPr bwMode="auto">
                    <a:xfrm>
                      <a:off x="0" y="0"/>
                      <a:ext cx="3676466" cy="1960141"/>
                    </a:xfrm>
                    <a:prstGeom prst="rect">
                      <a:avLst/>
                    </a:prstGeom>
                    <a:noFill/>
                    <a:ln>
                      <a:noFill/>
                    </a:ln>
                    <a:extLst>
                      <a:ext uri="{53640926-AAD7-44d8-BBD7-CCE9431645EC}">
                        <a14:shadowObscured xmlns:a14="http://schemas.microsoft.com/office/drawing/2010/main"/>
                      </a:ext>
                    </a:extLst>
                  </pic:spPr>
                </pic:pic>
              </a:graphicData>
            </a:graphic>
          </wp:inline>
        </w:drawing>
      </w:r>
    </w:p>
    <w:p w14:paraId="7FD26DFD" w14:textId="77777777" w:rsidR="005708A0" w:rsidRDefault="005708A0" w:rsidP="005708A0">
      <w:pPr>
        <w:spacing w:before="240" w:after="120"/>
        <w:jc w:val="center"/>
        <w:rPr>
          <w:rFonts w:ascii="Times New Roman" w:hAnsi="Times New Roman" w:cs="Times New Roman"/>
        </w:rPr>
      </w:pPr>
      <w:r w:rsidRPr="00C95CED">
        <w:rPr>
          <w:rFonts w:ascii="Times New Roman" w:hAnsi="Times New Roman" w:cs="Times New Roman"/>
          <w:noProof/>
        </w:rPr>
        <w:drawing>
          <wp:inline distT="0" distB="0" distL="0" distR="0" wp14:anchorId="1447CE8B" wp14:editId="14244A3E">
            <wp:extent cx="3599848" cy="1969308"/>
            <wp:effectExtent l="0" t="0" r="6985" b="12065"/>
            <wp:docPr id="2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grayscl/>
                      <a:extLst>
                        <a:ext uri="{28A0092B-C50C-407E-A947-70E740481C1C}">
                          <a14:useLocalDpi xmlns:a14="http://schemas.microsoft.com/office/drawing/2010/main" val="0"/>
                        </a:ext>
                      </a:extLst>
                    </a:blip>
                    <a:srcRect/>
                    <a:stretch>
                      <a:fillRect/>
                    </a:stretch>
                  </pic:blipFill>
                  <pic:spPr bwMode="auto">
                    <a:xfrm>
                      <a:off x="0" y="0"/>
                      <a:ext cx="3600194" cy="1969497"/>
                    </a:xfrm>
                    <a:prstGeom prst="rect">
                      <a:avLst/>
                    </a:prstGeom>
                    <a:noFill/>
                    <a:ln>
                      <a:noFill/>
                    </a:ln>
                  </pic:spPr>
                </pic:pic>
              </a:graphicData>
            </a:graphic>
          </wp:inline>
        </w:drawing>
      </w:r>
    </w:p>
    <w:p w14:paraId="169AAEA9" w14:textId="53CFFFB5" w:rsidR="005708A0" w:rsidRDefault="0064227B" w:rsidP="00A64DCF">
      <w:pPr>
        <w:spacing w:before="240" w:after="120"/>
        <w:jc w:val="center"/>
        <w:rPr>
          <w:rFonts w:ascii="Times New Roman" w:hAnsi="Times New Roman" w:cs="Times New Roman"/>
        </w:rPr>
      </w:pPr>
      <w:r>
        <w:rPr>
          <w:rFonts w:ascii="Times New Roman" w:hAnsi="Times New Roman" w:cs="Times New Roman"/>
          <w:b/>
        </w:rPr>
        <w:t>Figure 4.44</w:t>
      </w:r>
      <w:r w:rsidR="005708A0" w:rsidRPr="00A14C93">
        <w:rPr>
          <w:rFonts w:ascii="Times New Roman" w:hAnsi="Times New Roman" w:cs="Times New Roman"/>
          <w:b/>
        </w:rPr>
        <w:t>:</w:t>
      </w:r>
      <w:r w:rsidR="005708A0">
        <w:rPr>
          <w:rFonts w:ascii="Times New Roman" w:hAnsi="Times New Roman" w:cs="Times New Roman"/>
        </w:rPr>
        <w:tab/>
        <w:t>Schematic illustrating the relation between solution concentration and ion diffusion speed</w:t>
      </w:r>
    </w:p>
    <w:p w14:paraId="472B57C5" w14:textId="139769A0" w:rsidR="005708A0" w:rsidRDefault="005708A0" w:rsidP="005708A0">
      <w:pPr>
        <w:spacing w:before="240" w:after="120" w:line="480" w:lineRule="exact"/>
        <w:jc w:val="both"/>
        <w:rPr>
          <w:rFonts w:ascii="Times New Roman" w:hAnsi="Times New Roman" w:cs="Times New Roman"/>
        </w:rPr>
      </w:pPr>
      <w:r>
        <w:rPr>
          <w:rFonts w:ascii="Times New Roman" w:hAnsi="Times New Roman" w:cs="Times New Roman"/>
        </w:rPr>
        <w:lastRenderedPageBreak/>
        <w:t>The alkalinity of the solution has a significant impact on the leaching rates. Bishop et al [46] found that an increase in pH increase</w:t>
      </w:r>
      <w:r w:rsidR="00EA5280">
        <w:rPr>
          <w:rFonts w:ascii="Times New Roman" w:hAnsi="Times New Roman" w:cs="Times New Roman"/>
        </w:rPr>
        <w:t>s</w:t>
      </w:r>
      <w:r>
        <w:rPr>
          <w:rFonts w:ascii="Times New Roman" w:hAnsi="Times New Roman" w:cs="Times New Roman"/>
        </w:rPr>
        <w:t xml:space="preserve"> the rate of silica dissolution, up until around a pH of 10. However they</w:t>
      </w:r>
      <w:r w:rsidR="00CB1DBE">
        <w:rPr>
          <w:rFonts w:ascii="Times New Roman" w:hAnsi="Times New Roman" w:cs="Times New Roman"/>
        </w:rPr>
        <w:t xml:space="preserve"> found that at a pH level of &gt;11</w:t>
      </w:r>
      <w:r>
        <w:rPr>
          <w:rFonts w:ascii="Times New Roman" w:hAnsi="Times New Roman" w:cs="Times New Roman"/>
        </w:rPr>
        <w:t xml:space="preserve"> the silica concentration in the solution decreased. Accordi</w:t>
      </w:r>
      <w:r w:rsidR="00D60B19">
        <w:rPr>
          <w:rFonts w:ascii="Times New Roman" w:hAnsi="Times New Roman" w:cs="Times New Roman"/>
        </w:rPr>
        <w:t>ng to Batchelor and McDevitt [51</w:t>
      </w:r>
      <w:r>
        <w:rPr>
          <w:rFonts w:ascii="Times New Roman" w:hAnsi="Times New Roman" w:cs="Times New Roman"/>
        </w:rPr>
        <w:t>] whe</w:t>
      </w:r>
      <w:r w:rsidR="00EA5280">
        <w:rPr>
          <w:rFonts w:ascii="Times New Roman" w:hAnsi="Times New Roman" w:cs="Times New Roman"/>
        </w:rPr>
        <w:t>n the solution is at a pH of &gt;11</w:t>
      </w:r>
      <w:r>
        <w:rPr>
          <w:rFonts w:ascii="Times New Roman" w:hAnsi="Times New Roman" w:cs="Times New Roman"/>
        </w:rPr>
        <w:t xml:space="preserve"> the calcium silicates begin to adsorb to calcium hydroxide</w:t>
      </w:r>
      <w:r w:rsidR="00EA5280">
        <w:rPr>
          <w:rFonts w:ascii="Times New Roman" w:hAnsi="Times New Roman" w:cs="Times New Roman"/>
        </w:rPr>
        <w:t xml:space="preserve"> and as a result form a barrier/obstacle </w:t>
      </w:r>
      <w:r>
        <w:rPr>
          <w:rFonts w:ascii="Times New Roman" w:hAnsi="Times New Roman" w:cs="Times New Roman"/>
        </w:rPr>
        <w:t xml:space="preserve">for further </w:t>
      </w:r>
      <w:r w:rsidR="00EA5280">
        <w:rPr>
          <w:rFonts w:ascii="Times New Roman" w:hAnsi="Times New Roman" w:cs="Times New Roman"/>
        </w:rPr>
        <w:t>leaching.</w:t>
      </w:r>
      <w:r>
        <w:rPr>
          <w:rFonts w:ascii="Times New Roman" w:hAnsi="Times New Roman" w:cs="Times New Roman"/>
        </w:rPr>
        <w:t xml:space="preserve"> This decreases the likelihood of cement degradation. Furthermore they found that at pH levels below 9, the solubility of silicates is very limited [</w:t>
      </w:r>
      <w:r w:rsidR="00D60B19">
        <w:rPr>
          <w:rFonts w:ascii="Times New Roman" w:hAnsi="Times New Roman" w:cs="Times New Roman"/>
        </w:rPr>
        <w:t>49,51</w:t>
      </w:r>
      <w:r>
        <w:rPr>
          <w:rFonts w:ascii="Times New Roman" w:hAnsi="Times New Roman" w:cs="Times New Roman"/>
        </w:rPr>
        <w:t xml:space="preserve">]. The leaching of alkalis from the cement sample will increase the pH. </w:t>
      </w:r>
      <w:r>
        <w:rPr>
          <w:rFonts w:ascii="Times New Roman" w:hAnsi="Times New Roman" w:cs="Times New Roman"/>
          <w:color w:val="000000"/>
        </w:rPr>
        <w:t xml:space="preserve"> The pH of the water fluctuates with the water changes as can be </w:t>
      </w:r>
      <w:r w:rsidR="00971672">
        <w:rPr>
          <w:rFonts w:ascii="Times New Roman" w:hAnsi="Times New Roman" w:cs="Times New Roman"/>
          <w:color w:val="000000"/>
        </w:rPr>
        <w:t>seen</w:t>
      </w:r>
      <w:r>
        <w:rPr>
          <w:rFonts w:ascii="Times New Roman" w:hAnsi="Times New Roman" w:cs="Times New Roman"/>
          <w:color w:val="000000"/>
        </w:rPr>
        <w:t xml:space="preserve"> in fig</w:t>
      </w:r>
      <w:r w:rsidR="00BB6AF7">
        <w:rPr>
          <w:rFonts w:ascii="Times New Roman" w:hAnsi="Times New Roman" w:cs="Times New Roman"/>
          <w:color w:val="000000"/>
        </w:rPr>
        <w:t>ure 4.28</w:t>
      </w:r>
      <w:r>
        <w:rPr>
          <w:rFonts w:ascii="Times New Roman" w:hAnsi="Times New Roman" w:cs="Times New Roman"/>
          <w:color w:val="000000"/>
        </w:rPr>
        <w:t>, every time the water is changed the pH drops by around 0.5-1. Therefore this means the pH remains below 11 phenomena in which silica</w:t>
      </w:r>
      <w:r w:rsidR="00A64DCF">
        <w:rPr>
          <w:rFonts w:ascii="Times New Roman" w:hAnsi="Times New Roman" w:cs="Times New Roman"/>
          <w:color w:val="000000"/>
        </w:rPr>
        <w:t>te</w:t>
      </w:r>
      <w:r>
        <w:rPr>
          <w:rFonts w:ascii="Times New Roman" w:hAnsi="Times New Roman" w:cs="Times New Roman"/>
          <w:color w:val="000000"/>
        </w:rPr>
        <w:t xml:space="preserve"> d</w:t>
      </w:r>
      <w:r w:rsidR="00EA5280">
        <w:rPr>
          <w:rFonts w:ascii="Times New Roman" w:hAnsi="Times New Roman" w:cs="Times New Roman"/>
          <w:color w:val="000000"/>
        </w:rPr>
        <w:t xml:space="preserve">issolution </w:t>
      </w:r>
      <w:r>
        <w:rPr>
          <w:rFonts w:ascii="Times New Roman" w:hAnsi="Times New Roman" w:cs="Times New Roman"/>
          <w:color w:val="000000"/>
        </w:rPr>
        <w:t>is slowed down is not inhibited in the semi-static tests. Based on this it can be expected that in the semi-static solutions there will be a higher concentration of silica</w:t>
      </w:r>
      <w:r w:rsidR="00A64DCF">
        <w:rPr>
          <w:rFonts w:ascii="Times New Roman" w:hAnsi="Times New Roman" w:cs="Times New Roman"/>
          <w:color w:val="000000"/>
        </w:rPr>
        <w:t>te,</w:t>
      </w:r>
      <w:r>
        <w:rPr>
          <w:rFonts w:ascii="Times New Roman" w:hAnsi="Times New Roman" w:cs="Times New Roman"/>
          <w:color w:val="000000"/>
        </w:rPr>
        <w:t xml:space="preserve"> as the silica</w:t>
      </w:r>
      <w:r w:rsidR="00A64DCF">
        <w:rPr>
          <w:rFonts w:ascii="Times New Roman" w:hAnsi="Times New Roman" w:cs="Times New Roman"/>
          <w:color w:val="000000"/>
        </w:rPr>
        <w:t>te</w:t>
      </w:r>
      <w:r>
        <w:rPr>
          <w:rFonts w:ascii="Times New Roman" w:hAnsi="Times New Roman" w:cs="Times New Roman"/>
          <w:color w:val="000000"/>
        </w:rPr>
        <w:t xml:space="preserve"> is mostly associated to the C-S-H phases within the cement an increase in Ca concentration would also be expected. </w:t>
      </w:r>
    </w:p>
    <w:p w14:paraId="64D2FA41" w14:textId="7ED279DB" w:rsidR="005708A0" w:rsidRDefault="005708A0" w:rsidP="005708A0">
      <w:pPr>
        <w:spacing w:line="480" w:lineRule="exact"/>
        <w:jc w:val="both"/>
        <w:rPr>
          <w:rFonts w:ascii="Times New Roman" w:hAnsi="Times New Roman" w:cs="Times New Roman"/>
        </w:rPr>
      </w:pPr>
      <w:r>
        <w:rPr>
          <w:rFonts w:ascii="Times New Roman" w:hAnsi="Times New Roman" w:cs="Times New Roman"/>
        </w:rPr>
        <w:t xml:space="preserve">The acidic leaching procedure showed a significant increase in leached amounts of Ca, Cs and Sr. Comparing the leached amounts of Ca after 7 days in the static and semi-static </w:t>
      </w:r>
      <w:r w:rsidR="00A57738">
        <w:rPr>
          <w:rFonts w:ascii="Times New Roman" w:hAnsi="Times New Roman" w:cs="Times New Roman"/>
        </w:rPr>
        <w:t>with the</w:t>
      </w:r>
      <w:r>
        <w:rPr>
          <w:rFonts w:ascii="Times New Roman" w:hAnsi="Times New Roman" w:cs="Times New Roman"/>
        </w:rPr>
        <w:t xml:space="preserve"> acidic</w:t>
      </w:r>
      <w:r w:rsidR="00A57738">
        <w:rPr>
          <w:rFonts w:ascii="Times New Roman" w:hAnsi="Times New Roman" w:cs="Times New Roman"/>
        </w:rPr>
        <w:t xml:space="preserve"> tests</w:t>
      </w:r>
      <w:r>
        <w:rPr>
          <w:rFonts w:ascii="Times New Roman" w:hAnsi="Times New Roman" w:cs="Times New Roman"/>
        </w:rPr>
        <w:t xml:space="preserve">, it can be seen that the leaching rate on average is increased by a factor of approximately 80 in the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New Roman" w:hAnsi="Times New Roman" w:cs="Times New Roman"/>
        </w:rPr>
        <w:t xml:space="preserve"> samples and 1</w:t>
      </w:r>
      <w:r w:rsidR="00A57738">
        <w:rPr>
          <w:rFonts w:ascii="Times New Roman" w:hAnsi="Times New Roman" w:cs="Times New Roman"/>
        </w:rPr>
        <w:t>10 in the B samples, which is comparable with</w:t>
      </w:r>
      <w:r>
        <w:rPr>
          <w:rFonts w:ascii="Times New Roman" w:hAnsi="Times New Roman" w:cs="Times New Roman"/>
        </w:rPr>
        <w:t xml:space="preserve"> the </w:t>
      </w:r>
      <w:r w:rsidR="008204DC">
        <w:rPr>
          <w:rFonts w:ascii="Times New Roman" w:hAnsi="Times New Roman" w:cs="Times New Roman"/>
        </w:rPr>
        <w:t xml:space="preserve">factor of </w:t>
      </w:r>
      <w:r w:rsidR="00AF6E40">
        <w:rPr>
          <w:rFonts w:ascii="Times New Roman" w:hAnsi="Times New Roman" w:cs="Times New Roman"/>
        </w:rPr>
        <w:t>130 reported by Wan et al [52</w:t>
      </w:r>
      <w:r>
        <w:rPr>
          <w:rFonts w:ascii="Times New Roman" w:hAnsi="Times New Roman" w:cs="Times New Roman"/>
        </w:rPr>
        <w:t xml:space="preserve">] and the </w:t>
      </w:r>
      <w:r w:rsidR="008204DC">
        <w:rPr>
          <w:rFonts w:ascii="Times New Roman" w:hAnsi="Times New Roman" w:cs="Times New Roman"/>
        </w:rPr>
        <w:t xml:space="preserve">factor of </w:t>
      </w:r>
      <w:r>
        <w:rPr>
          <w:rFonts w:ascii="Times New Roman" w:hAnsi="Times New Roman" w:cs="Times New Roman"/>
        </w:rPr>
        <w:t xml:space="preserve">121 </w:t>
      </w:r>
      <w:r w:rsidR="00AF6E40">
        <w:rPr>
          <w:rFonts w:ascii="Times New Roman" w:hAnsi="Times New Roman" w:cs="Times New Roman"/>
        </w:rPr>
        <w:t>reported by Moranille et al. [53</w:t>
      </w:r>
      <w:r>
        <w:rPr>
          <w:rFonts w:ascii="Times New Roman" w:hAnsi="Times New Roman" w:cs="Times New Roman"/>
        </w:rPr>
        <w:t xml:space="preserve">].  Although this method does significantly increase the rate of </w:t>
      </w:r>
      <w:r w:rsidR="00836383">
        <w:rPr>
          <w:rFonts w:ascii="Times New Roman" w:hAnsi="Times New Roman" w:cs="Times New Roman"/>
        </w:rPr>
        <w:t>leaching,</w:t>
      </w:r>
      <w:r>
        <w:rPr>
          <w:rFonts w:ascii="Times New Roman" w:hAnsi="Times New Roman" w:cs="Times New Roman"/>
        </w:rPr>
        <w:t xml:space="preserve"> it presents certain issues. </w:t>
      </w:r>
    </w:p>
    <w:p w14:paraId="0CD779B7" w14:textId="007AC235" w:rsidR="005708A0" w:rsidRPr="007F2732" w:rsidRDefault="005708A0" w:rsidP="005708A0">
      <w:pPr>
        <w:spacing w:line="480" w:lineRule="exact"/>
        <w:jc w:val="both"/>
        <w:rPr>
          <w:rFonts w:ascii="Times" w:eastAsia="Times New Roman" w:hAnsi="Times" w:cs="Times New Roman"/>
          <w:iCs/>
          <w:color w:val="1D2626"/>
          <w:shd w:val="clear" w:color="auto" w:fill="FFFFFF"/>
        </w:rPr>
      </w:pPr>
      <w:r>
        <w:rPr>
          <w:rFonts w:ascii="Times New Roman" w:hAnsi="Times New Roman" w:cs="Times New Roman"/>
        </w:rPr>
        <w:t xml:space="preserve">The introduction of nitrate in the </w:t>
      </w:r>
      <w:r w:rsidR="00836383">
        <w:rPr>
          <w:rFonts w:ascii="Times New Roman" w:hAnsi="Times New Roman" w:cs="Times New Roman"/>
        </w:rPr>
        <w:t xml:space="preserve">acidic leaching </w:t>
      </w:r>
      <w:r>
        <w:rPr>
          <w:rFonts w:ascii="Times New Roman" w:hAnsi="Times New Roman" w:cs="Times New Roman"/>
        </w:rPr>
        <w:t xml:space="preserve">solution interfered with the cement </w:t>
      </w:r>
      <w:r w:rsidRPr="00B05846">
        <w:rPr>
          <w:rFonts w:ascii="Times New Roman" w:hAnsi="Times New Roman" w:cs="Times New Roman"/>
        </w:rPr>
        <w:t xml:space="preserve">matrix as the XRD and DTG data showed different </w:t>
      </w:r>
      <w:proofErr w:type="gramStart"/>
      <w:r w:rsidRPr="00B05846">
        <w:rPr>
          <w:rFonts w:ascii="Times New Roman" w:hAnsi="Times New Roman" w:cs="Times New Roman"/>
        </w:rPr>
        <w:t>phase</w:t>
      </w:r>
      <w:proofErr w:type="gramEnd"/>
      <w:r w:rsidRPr="00B05846">
        <w:rPr>
          <w:rFonts w:ascii="Times New Roman" w:hAnsi="Times New Roman" w:cs="Times New Roman"/>
        </w:rPr>
        <w:t xml:space="preserve"> assemblages within the sample. A significant increase in </w:t>
      </w:r>
      <w:r w:rsidR="00743D2E">
        <w:rPr>
          <w:rFonts w:ascii="Times New Roman" w:hAnsi="Times New Roman" w:cs="Times New Roman"/>
        </w:rPr>
        <w:t xml:space="preserve">what is suggested to be the </w:t>
      </w:r>
      <w:r w:rsidRPr="00B05846">
        <w:rPr>
          <w:rFonts w:ascii="Times New Roman" w:hAnsi="Times New Roman" w:cs="Times New Roman"/>
        </w:rPr>
        <w:t>hydrogarnet phase was shown in the DTG results. Ac</w:t>
      </w:r>
      <w:r w:rsidR="00EF4BCA">
        <w:rPr>
          <w:rFonts w:ascii="Times New Roman" w:hAnsi="Times New Roman" w:cs="Times New Roman"/>
        </w:rPr>
        <w:t>cording to Rodger and Groves [54</w:t>
      </w:r>
      <w:r w:rsidRPr="00B05846">
        <w:rPr>
          <w:rFonts w:ascii="Times New Roman" w:hAnsi="Times New Roman" w:cs="Times New Roman"/>
        </w:rPr>
        <w:t>] s</w:t>
      </w:r>
      <w:r w:rsidRPr="00B05846">
        <w:rPr>
          <w:rFonts w:ascii="Times" w:hAnsi="Times" w:cs="Times"/>
        </w:rPr>
        <w:t xml:space="preserve">mall amounts of hydrogarnet are known to be present in these cement samples and small amounts have been detected in the past, more often in products made up of raw materials rich in </w:t>
      </w:r>
      <w:r w:rsidRPr="00B05846">
        <w:rPr>
          <w:rFonts w:ascii="Times" w:hAnsi="Times" w:cs="Times"/>
        </w:rPr>
        <w:lastRenderedPageBreak/>
        <w:t>alumina. This was found to be the case in systems where SiO</w:t>
      </w:r>
      <w:r w:rsidR="00B05846">
        <w:rPr>
          <w:rFonts w:ascii="Times" w:hAnsi="Times" w:cs="Times"/>
          <w:vertAlign w:val="subscript"/>
        </w:rPr>
        <w:t>2</w:t>
      </w:r>
      <w:r w:rsidRPr="00B05846">
        <w:rPr>
          <w:rFonts w:ascii="Times" w:hAnsi="Times" w:cs="Times"/>
        </w:rPr>
        <w:t xml:space="preserve"> and Al</w:t>
      </w:r>
      <w:r w:rsidRPr="00B05846">
        <w:rPr>
          <w:rFonts w:ascii="Times" w:hAnsi="Times" w:cs="Times"/>
          <w:vertAlign w:val="subscript"/>
        </w:rPr>
        <w:t>2</w:t>
      </w:r>
      <w:r w:rsidRPr="00B05846">
        <w:rPr>
          <w:rFonts w:ascii="Times" w:hAnsi="Times" w:cs="Times"/>
        </w:rPr>
        <w:t>O</w:t>
      </w:r>
      <w:r w:rsidRPr="00B05846">
        <w:rPr>
          <w:rFonts w:ascii="Times" w:hAnsi="Times" w:cs="Times"/>
          <w:vertAlign w:val="subscript"/>
        </w:rPr>
        <w:t xml:space="preserve">3 </w:t>
      </w:r>
      <w:r w:rsidR="0065259B" w:rsidRPr="00B05846">
        <w:rPr>
          <w:rFonts w:ascii="Times" w:hAnsi="Times" w:cs="Times"/>
        </w:rPr>
        <w:t xml:space="preserve">in the cement sample, </w:t>
      </w:r>
      <w:r w:rsidRPr="00B05846">
        <w:rPr>
          <w:rFonts w:ascii="Times" w:hAnsi="Times" w:cs="Times"/>
        </w:rPr>
        <w:t>are readily availab</w:t>
      </w:r>
      <w:r w:rsidR="00B05846">
        <w:rPr>
          <w:rFonts w:ascii="Times" w:hAnsi="Times" w:cs="Times"/>
        </w:rPr>
        <w:t>le compared to Ca. There is a high likelihood of an</w:t>
      </w:r>
      <w:r w:rsidRPr="00B05846">
        <w:rPr>
          <w:rFonts w:ascii="Times" w:hAnsi="Times" w:cs="Times"/>
        </w:rPr>
        <w:t xml:space="preserve"> abundance of Al</w:t>
      </w:r>
      <w:r w:rsidRPr="00B05846">
        <w:rPr>
          <w:rFonts w:ascii="Times" w:hAnsi="Times" w:cs="Times"/>
          <w:vertAlign w:val="subscript"/>
        </w:rPr>
        <w:t>2</w:t>
      </w:r>
      <w:r w:rsidRPr="00B05846">
        <w:rPr>
          <w:rFonts w:ascii="Times" w:hAnsi="Times" w:cs="Times"/>
        </w:rPr>
        <w:t>O</w:t>
      </w:r>
      <w:r w:rsidRPr="00B05846">
        <w:rPr>
          <w:rFonts w:ascii="Times" w:hAnsi="Times" w:cs="Times"/>
          <w:vertAlign w:val="subscript"/>
        </w:rPr>
        <w:t>3</w:t>
      </w:r>
      <w:r w:rsidR="00FE3762">
        <w:rPr>
          <w:rFonts w:ascii="Times" w:hAnsi="Times" w:cs="Times"/>
        </w:rPr>
        <w:t>, as figure 4.41</w:t>
      </w:r>
      <w:r w:rsidRPr="00B05846">
        <w:rPr>
          <w:rFonts w:ascii="Times" w:hAnsi="Times" w:cs="Times"/>
        </w:rPr>
        <w:t xml:space="preserve"> shows that </w:t>
      </w:r>
      <w:r w:rsidR="00330A57" w:rsidRPr="00B05846">
        <w:rPr>
          <w:rFonts w:ascii="Times" w:hAnsi="Times" w:cs="Times"/>
        </w:rPr>
        <w:t>the leaching of Al from the cement sample was limited</w:t>
      </w:r>
      <w:r w:rsidRPr="00B05846">
        <w:rPr>
          <w:rFonts w:ascii="Times" w:hAnsi="Times" w:cs="Times"/>
        </w:rPr>
        <w:t>. They found that in such environments C-S-H of low Ca/Si ratio was formed together with stratlingite, hydrogarnet or both. Therefore the phase represented in</w:t>
      </w:r>
      <w:r w:rsidR="00B05846" w:rsidRPr="00B05846">
        <w:rPr>
          <w:rFonts w:ascii="Times" w:hAnsi="Times" w:cs="Times"/>
        </w:rPr>
        <w:t xml:space="preserve"> the acid leached samples, and the TG data shown in</w:t>
      </w:r>
      <w:r w:rsidRPr="00B05846">
        <w:rPr>
          <w:rFonts w:ascii="Times" w:hAnsi="Times" w:cs="Times"/>
        </w:rPr>
        <w:t xml:space="preserve"> fig</w:t>
      </w:r>
      <w:r w:rsidR="00FE3762">
        <w:rPr>
          <w:rFonts w:ascii="Times" w:hAnsi="Times" w:cs="Times"/>
        </w:rPr>
        <w:t>ures 4.34</w:t>
      </w:r>
      <w:r w:rsidR="00B05846" w:rsidRPr="00B05846">
        <w:rPr>
          <w:rFonts w:ascii="Times" w:hAnsi="Times" w:cs="Times"/>
        </w:rPr>
        <w:t xml:space="preserve"> and</w:t>
      </w:r>
      <w:r w:rsidR="00FE3762">
        <w:rPr>
          <w:rFonts w:ascii="Times" w:hAnsi="Times" w:cs="Times"/>
        </w:rPr>
        <w:t xml:space="preserve"> 4.35</w:t>
      </w:r>
      <w:r w:rsidR="00B05846" w:rsidRPr="00B05846">
        <w:rPr>
          <w:rFonts w:ascii="Times" w:hAnsi="Times" w:cs="Times"/>
        </w:rPr>
        <w:t>,</w:t>
      </w:r>
      <w:r w:rsidRPr="00B05846">
        <w:rPr>
          <w:rFonts w:ascii="Times" w:hAnsi="Times" w:cs="Times"/>
        </w:rPr>
        <w:t xml:space="preserve"> could arise from a mixture of phases consisting of significant amounts of C-S-H and a hydrogarnet similar in composition to tha</w:t>
      </w:r>
      <w:r w:rsidR="00F658AE">
        <w:rPr>
          <w:rFonts w:ascii="Times" w:hAnsi="Times" w:cs="Times"/>
        </w:rPr>
        <w:t>t found by Rodger and Groves [54</w:t>
      </w:r>
      <w:r w:rsidRPr="00B05846">
        <w:rPr>
          <w:rFonts w:ascii="Times" w:hAnsi="Times" w:cs="Times"/>
        </w:rPr>
        <w:t xml:space="preserve">]. </w:t>
      </w:r>
      <w:r w:rsidRPr="00B05846">
        <w:rPr>
          <w:rFonts w:ascii="Times" w:hAnsi="Times" w:cs="Times New Roman"/>
        </w:rPr>
        <w:t xml:space="preserve">According to </w:t>
      </w:r>
      <w:r w:rsidRPr="00B05846">
        <w:rPr>
          <w:rFonts w:ascii="Times" w:eastAsia="Times New Roman" w:hAnsi="Times" w:cs="Times New Roman"/>
          <w:iCs/>
          <w:color w:val="1D2626"/>
          <w:shd w:val="clear" w:color="auto" w:fill="FFFFFF"/>
        </w:rPr>
        <w:t>Roziere and Khelidj</w:t>
      </w:r>
      <w:r w:rsidRPr="00B05846">
        <w:rPr>
          <w:rFonts w:ascii="Times" w:eastAsia="Times New Roman" w:hAnsi="Times" w:cs="Times New Roman"/>
          <w:i/>
          <w:iCs/>
          <w:color w:val="1D2626"/>
          <w:shd w:val="clear" w:color="auto" w:fill="FFFFFF"/>
        </w:rPr>
        <w:t xml:space="preserve"> </w:t>
      </w:r>
      <w:r w:rsidRPr="00B05846">
        <w:rPr>
          <w:rFonts w:ascii="Times" w:eastAsia="Times New Roman" w:hAnsi="Times" w:cs="Times New Roman"/>
          <w:iCs/>
          <w:color w:val="1D2626"/>
          <w:shd w:val="clear" w:color="auto" w:fill="FFFFFF"/>
        </w:rPr>
        <w:t>[5</w:t>
      </w:r>
      <w:r w:rsidR="00F658AE">
        <w:rPr>
          <w:rFonts w:ascii="Times" w:eastAsia="Times New Roman" w:hAnsi="Times" w:cs="Times New Roman"/>
          <w:iCs/>
          <w:color w:val="1D2626"/>
          <w:shd w:val="clear" w:color="auto" w:fill="FFFFFF"/>
        </w:rPr>
        <w:t>5</w:t>
      </w:r>
      <w:r w:rsidRPr="00B05846">
        <w:rPr>
          <w:rFonts w:ascii="Times" w:eastAsia="Times New Roman" w:hAnsi="Times" w:cs="Times New Roman"/>
          <w:iCs/>
          <w:color w:val="1D2626"/>
          <w:shd w:val="clear" w:color="auto" w:fill="FFFFFF"/>
        </w:rPr>
        <w:t>] the leaching of cements in NH</w:t>
      </w:r>
      <w:r w:rsidRPr="00B05846">
        <w:rPr>
          <w:rFonts w:ascii="Times" w:eastAsia="Times New Roman" w:hAnsi="Times" w:cs="Times New Roman"/>
          <w:iCs/>
          <w:color w:val="1D2626"/>
          <w:shd w:val="clear" w:color="auto" w:fill="FFFFFF"/>
          <w:vertAlign w:val="subscript"/>
        </w:rPr>
        <w:t>4</w:t>
      </w:r>
      <w:r w:rsidRPr="00B05846">
        <w:rPr>
          <w:rFonts w:ascii="Times" w:eastAsia="Times New Roman" w:hAnsi="Times" w:cs="Times New Roman"/>
          <w:iCs/>
          <w:color w:val="1D2626"/>
          <w:shd w:val="clear" w:color="auto" w:fill="FFFFFF"/>
        </w:rPr>
        <w:t>NO</w:t>
      </w:r>
      <w:r w:rsidRPr="00B05846">
        <w:rPr>
          <w:rFonts w:ascii="Times" w:eastAsia="Times New Roman" w:hAnsi="Times" w:cs="Times New Roman"/>
          <w:iCs/>
          <w:color w:val="1D2626"/>
          <w:shd w:val="clear" w:color="auto" w:fill="FFFFFF"/>
          <w:vertAlign w:val="subscript"/>
        </w:rPr>
        <w:t xml:space="preserve">3 </w:t>
      </w:r>
      <w:r w:rsidRPr="00B05846">
        <w:rPr>
          <w:rFonts w:ascii="Times" w:eastAsia="Times New Roman" w:hAnsi="Times" w:cs="Times New Roman"/>
          <w:iCs/>
          <w:color w:val="1D2626"/>
          <w:shd w:val="clear" w:color="auto" w:fill="FFFFFF"/>
        </w:rPr>
        <w:t xml:space="preserve">solutions could result in the formation of more CAN phases within the </w:t>
      </w:r>
      <w:proofErr w:type="gramStart"/>
      <w:r w:rsidRPr="00B05846">
        <w:rPr>
          <w:rFonts w:ascii="Times" w:eastAsia="Times New Roman" w:hAnsi="Times" w:cs="Times New Roman"/>
          <w:iCs/>
          <w:color w:val="1D2626"/>
          <w:shd w:val="clear" w:color="auto" w:fill="FFFFFF"/>
        </w:rPr>
        <w:t>cement.</w:t>
      </w:r>
      <w:proofErr w:type="gramEnd"/>
      <w:r w:rsidRPr="00B05846">
        <w:rPr>
          <w:rFonts w:ascii="Times" w:eastAsia="Times New Roman" w:hAnsi="Times" w:cs="Times New Roman"/>
          <w:iCs/>
          <w:color w:val="1D2626"/>
          <w:shd w:val="clear" w:color="auto" w:fill="FFFFFF"/>
        </w:rPr>
        <w:t xml:space="preserve"> However this does not seem to be the case in the </w:t>
      </w:r>
      <w:r w:rsidRPr="00ED5935">
        <w:rPr>
          <w:rFonts w:ascii="Times" w:eastAsia="Times New Roman" w:hAnsi="Times" w:cs="Times New Roman"/>
          <w:b/>
          <w:iCs/>
          <w:color w:val="1D2626"/>
          <w:shd w:val="clear" w:color="auto" w:fill="FFFFFF"/>
        </w:rPr>
        <w:t>A-</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ED5935">
        <w:rPr>
          <w:rFonts w:ascii="Times New Roman" w:hAnsi="Times New Roman" w:cs="Times New Roman"/>
        </w:rPr>
        <w:t xml:space="preserve"> </w:t>
      </w:r>
      <w:r w:rsidRPr="00B05846">
        <w:rPr>
          <w:rFonts w:ascii="Times" w:eastAsia="Times New Roman" w:hAnsi="Times" w:cs="Times New Roman"/>
          <w:iCs/>
          <w:color w:val="1D2626"/>
          <w:shd w:val="clear" w:color="auto" w:fill="FFFFFF"/>
        </w:rPr>
        <w:t xml:space="preserve"> samples</w:t>
      </w:r>
      <w:proofErr w:type="gramEnd"/>
      <w:r w:rsidRPr="00B05846">
        <w:rPr>
          <w:rFonts w:ascii="Times" w:eastAsia="Times New Roman" w:hAnsi="Times" w:cs="Times New Roman"/>
          <w:iCs/>
          <w:color w:val="1D2626"/>
          <w:shd w:val="clear" w:color="auto" w:fill="FFFFFF"/>
        </w:rPr>
        <w:t xml:space="preserve"> as the peaks associat</w:t>
      </w:r>
      <w:r w:rsidR="00B05846">
        <w:rPr>
          <w:rFonts w:ascii="Times" w:eastAsia="Times New Roman" w:hAnsi="Times" w:cs="Times New Roman"/>
          <w:iCs/>
          <w:color w:val="1D2626"/>
          <w:shd w:val="clear" w:color="auto" w:fill="FFFFFF"/>
        </w:rPr>
        <w:t xml:space="preserve">ed with CAN are not visible in </w:t>
      </w:r>
      <w:r w:rsidRPr="00B05846">
        <w:rPr>
          <w:rFonts w:ascii="Times" w:eastAsia="Times New Roman" w:hAnsi="Times" w:cs="Times New Roman"/>
          <w:iCs/>
          <w:color w:val="1D2626"/>
          <w:shd w:val="clear" w:color="auto" w:fill="FFFFFF"/>
        </w:rPr>
        <w:t>either the XRD or TGA data. Also as acidic leaching progresses stronger peaks for</w:t>
      </w:r>
      <w:r>
        <w:rPr>
          <w:rFonts w:ascii="Times" w:eastAsia="Times New Roman" w:hAnsi="Times" w:cs="Times New Roman"/>
          <w:iCs/>
          <w:color w:val="1D2626"/>
          <w:shd w:val="clear" w:color="auto" w:fill="FFFFFF"/>
        </w:rPr>
        <w:t xml:space="preserve"> AF</w:t>
      </w:r>
      <w:r w:rsidR="00FE3762">
        <w:rPr>
          <w:rFonts w:ascii="Times" w:eastAsia="Times New Roman" w:hAnsi="Times" w:cs="Times New Roman"/>
          <w:iCs/>
          <w:color w:val="1D2626"/>
          <w:shd w:val="clear" w:color="auto" w:fill="FFFFFF"/>
        </w:rPr>
        <w:t>m</w:t>
      </w:r>
      <w:r>
        <w:rPr>
          <w:rFonts w:ascii="Times" w:eastAsia="Times New Roman" w:hAnsi="Times" w:cs="Times New Roman"/>
          <w:iCs/>
          <w:color w:val="1D2626"/>
          <w:shd w:val="clear" w:color="auto" w:fill="FFFFFF"/>
        </w:rPr>
        <w:t xml:space="preserve"> can be seen in the </w:t>
      </w:r>
      <w:proofErr w:type="gramStart"/>
      <w:r>
        <w:rPr>
          <w:rFonts w:ascii="Times" w:eastAsia="Times New Roman" w:hAnsi="Times" w:cs="Times New Roman"/>
          <w:iCs/>
          <w:color w:val="1D2626"/>
          <w:shd w:val="clear" w:color="auto" w:fill="FFFFFF"/>
        </w:rPr>
        <w:t>14 day</w:t>
      </w:r>
      <w:proofErr w:type="gramEnd"/>
      <w:r>
        <w:rPr>
          <w:rFonts w:ascii="Times" w:eastAsia="Times New Roman" w:hAnsi="Times" w:cs="Times New Roman"/>
          <w:iCs/>
          <w:color w:val="1D2626"/>
          <w:shd w:val="clear" w:color="auto" w:fill="FFFFFF"/>
        </w:rPr>
        <w:t xml:space="preserve"> sample DTG curve. Acidic </w:t>
      </w:r>
      <w:r>
        <w:rPr>
          <w:rFonts w:ascii="Times New Roman" w:hAnsi="Times New Roman" w:cs="Times New Roman"/>
        </w:rPr>
        <w:t xml:space="preserve">solutions rich in sulphate have shown that the sulphate can substitute back in the cement matrix to form </w:t>
      </w:r>
      <w:r w:rsidR="00971672">
        <w:rPr>
          <w:rFonts w:ascii="Times New Roman" w:hAnsi="Times New Roman" w:cs="Times New Roman"/>
        </w:rPr>
        <w:t>ettringite</w:t>
      </w:r>
      <w:r>
        <w:rPr>
          <w:rFonts w:ascii="Times New Roman" w:hAnsi="Times New Roman" w:cs="Times New Roman"/>
        </w:rPr>
        <w:t xml:space="preserve"> alongside calcium sulphates and suggested that nitrates could also behave in the same manner. Park et al [6]</w:t>
      </w:r>
      <w:r>
        <w:rPr>
          <w:rFonts w:ascii="Times" w:eastAsia="Times New Roman" w:hAnsi="Times" w:cs="Times New Roman"/>
          <w:iCs/>
          <w:color w:val="1D2626"/>
          <w:shd w:val="clear" w:color="auto" w:fill="FFFFFF"/>
        </w:rPr>
        <w:t xml:space="preserve"> found that diffused sulphate can r</w:t>
      </w:r>
      <w:r w:rsidR="00825625">
        <w:rPr>
          <w:rFonts w:ascii="Times" w:eastAsia="Times New Roman" w:hAnsi="Times" w:cs="Times New Roman"/>
          <w:iCs/>
          <w:color w:val="1D2626"/>
          <w:shd w:val="clear" w:color="auto" w:fill="FFFFFF"/>
        </w:rPr>
        <w:t>e-</w:t>
      </w:r>
      <w:r>
        <w:rPr>
          <w:rFonts w:ascii="Times" w:eastAsia="Times New Roman" w:hAnsi="Times" w:cs="Times New Roman"/>
          <w:iCs/>
          <w:color w:val="1D2626"/>
          <w:shd w:val="clear" w:color="auto" w:fill="FFFFFF"/>
        </w:rPr>
        <w:t>enter the cement sample</w:t>
      </w:r>
      <w:r w:rsidR="00743D2E">
        <w:rPr>
          <w:rFonts w:ascii="Times" w:eastAsia="Times New Roman" w:hAnsi="Times" w:cs="Times New Roman"/>
          <w:iCs/>
          <w:color w:val="1D2626"/>
          <w:shd w:val="clear" w:color="auto" w:fill="FFFFFF"/>
        </w:rPr>
        <w:t xml:space="preserve"> to form</w:t>
      </w:r>
      <w:r>
        <w:rPr>
          <w:rFonts w:ascii="Times" w:eastAsia="Times New Roman" w:hAnsi="Times" w:cs="Times New Roman"/>
          <w:iCs/>
          <w:color w:val="1D2626"/>
          <w:shd w:val="clear" w:color="auto" w:fill="FFFFFF"/>
        </w:rPr>
        <w:t xml:space="preserve"> ettringite as suggested by Ta</w:t>
      </w:r>
      <w:r w:rsidR="00F658AE">
        <w:rPr>
          <w:rFonts w:ascii="Times" w:eastAsia="Times New Roman" w:hAnsi="Times" w:cs="Times New Roman"/>
          <w:iCs/>
          <w:color w:val="1D2626"/>
          <w:shd w:val="clear" w:color="auto" w:fill="FFFFFF"/>
        </w:rPr>
        <w:t>ylor [13</w:t>
      </w:r>
      <w:r>
        <w:rPr>
          <w:rFonts w:ascii="Times" w:eastAsia="Times New Roman" w:hAnsi="Times" w:cs="Times New Roman"/>
          <w:iCs/>
          <w:color w:val="1D2626"/>
          <w:shd w:val="clear" w:color="auto" w:fill="FFFFFF"/>
        </w:rPr>
        <w:t xml:space="preserve">]. However they state that although cements can remove sulphates from the solution, nitrates are much harder to remove by </w:t>
      </w:r>
      <w:proofErr w:type="gramStart"/>
      <w:r>
        <w:rPr>
          <w:rFonts w:ascii="Times" w:eastAsia="Times New Roman" w:hAnsi="Times" w:cs="Times New Roman"/>
          <w:iCs/>
          <w:color w:val="1D2626"/>
          <w:shd w:val="clear" w:color="auto" w:fill="FFFFFF"/>
        </w:rPr>
        <w:t>precipitation</w:t>
      </w:r>
      <w:proofErr w:type="gramEnd"/>
      <w:r>
        <w:rPr>
          <w:rFonts w:ascii="Times" w:eastAsia="Times New Roman" w:hAnsi="Times" w:cs="Times New Roman"/>
          <w:iCs/>
          <w:color w:val="1D2626"/>
          <w:shd w:val="clear" w:color="auto" w:fill="FFFFFF"/>
        </w:rPr>
        <w:t xml:space="preserve"> as </w:t>
      </w:r>
      <w:r w:rsidR="00792CB9">
        <w:rPr>
          <w:rFonts w:ascii="Times" w:eastAsia="Times New Roman" w:hAnsi="Times" w:cs="Times New Roman"/>
          <w:iCs/>
          <w:color w:val="1D2626"/>
          <w:shd w:val="clear" w:color="auto" w:fill="FFFFFF"/>
        </w:rPr>
        <w:t>metal nitrates are usually highly soluble and</w:t>
      </w:r>
      <w:r>
        <w:rPr>
          <w:rFonts w:ascii="Times" w:eastAsia="Times New Roman" w:hAnsi="Times" w:cs="Times New Roman"/>
          <w:iCs/>
          <w:color w:val="1D2626"/>
          <w:shd w:val="clear" w:color="auto" w:fill="FFFFFF"/>
        </w:rPr>
        <w:t xml:space="preserve"> rarely complex with cations.  Therefore the acidic solution could be causing a rapid </w:t>
      </w:r>
      <w:r w:rsidR="00825625">
        <w:rPr>
          <w:rFonts w:ascii="Times" w:eastAsia="Times New Roman" w:hAnsi="Times" w:cs="Times New Roman"/>
          <w:iCs/>
          <w:color w:val="1D2626"/>
          <w:shd w:val="clear" w:color="auto" w:fill="FFFFFF"/>
        </w:rPr>
        <w:t>leaching</w:t>
      </w:r>
      <w:r>
        <w:rPr>
          <w:rFonts w:ascii="Times" w:eastAsia="Times New Roman" w:hAnsi="Times" w:cs="Times New Roman"/>
          <w:iCs/>
          <w:color w:val="1D2626"/>
          <w:shd w:val="clear" w:color="auto" w:fill="FFFFFF"/>
        </w:rPr>
        <w:t xml:space="preserve"> of the nitrates and sulphates, with only the sulphates returning into the cement explaining the absence of CAN </w:t>
      </w:r>
      <w:r w:rsidR="00825625">
        <w:rPr>
          <w:rFonts w:ascii="Times" w:eastAsia="Times New Roman" w:hAnsi="Times" w:cs="Times New Roman"/>
          <w:iCs/>
          <w:color w:val="1D2626"/>
          <w:shd w:val="clear" w:color="auto" w:fill="FFFFFF"/>
        </w:rPr>
        <w:t>along with the</w:t>
      </w:r>
      <w:r w:rsidR="00FE3762">
        <w:rPr>
          <w:rFonts w:ascii="Times" w:eastAsia="Times New Roman" w:hAnsi="Times" w:cs="Times New Roman"/>
          <w:iCs/>
          <w:color w:val="1D2626"/>
          <w:shd w:val="clear" w:color="auto" w:fill="FFFFFF"/>
        </w:rPr>
        <w:t xml:space="preserve"> increase in AFm</w:t>
      </w:r>
      <w:r>
        <w:rPr>
          <w:rFonts w:ascii="Times" w:eastAsia="Times New Roman" w:hAnsi="Times" w:cs="Times New Roman"/>
          <w:iCs/>
          <w:color w:val="1D2626"/>
          <w:shd w:val="clear" w:color="auto" w:fill="FFFFFF"/>
        </w:rPr>
        <w:t>. Furthermore a significant amount of the nitrate in so</w:t>
      </w:r>
      <w:r w:rsidR="00825625">
        <w:rPr>
          <w:rFonts w:ascii="Times" w:eastAsia="Times New Roman" w:hAnsi="Times" w:cs="Times New Roman"/>
          <w:iCs/>
          <w:color w:val="1D2626"/>
          <w:shd w:val="clear" w:color="auto" w:fill="FFFFFF"/>
        </w:rPr>
        <w:t xml:space="preserve">lution </w:t>
      </w:r>
      <w:proofErr w:type="gramStart"/>
      <w:r w:rsidR="00825625">
        <w:rPr>
          <w:rFonts w:ascii="Times" w:eastAsia="Times New Roman" w:hAnsi="Times" w:cs="Times New Roman"/>
          <w:iCs/>
          <w:color w:val="1D2626"/>
          <w:shd w:val="clear" w:color="auto" w:fill="FFFFFF"/>
        </w:rPr>
        <w:t>is</w:t>
      </w:r>
      <w:r w:rsidR="008055C1">
        <w:rPr>
          <w:rFonts w:ascii="Times" w:eastAsia="Times New Roman" w:hAnsi="Times" w:cs="Times New Roman"/>
          <w:iCs/>
          <w:color w:val="1D2626"/>
          <w:shd w:val="clear" w:color="auto" w:fill="FFFFFF"/>
        </w:rPr>
        <w:t xml:space="preserve"> expected to be</w:t>
      </w:r>
      <w:r w:rsidR="00825625">
        <w:rPr>
          <w:rFonts w:ascii="Times" w:eastAsia="Times New Roman" w:hAnsi="Times" w:cs="Times New Roman"/>
          <w:iCs/>
          <w:color w:val="1D2626"/>
          <w:shd w:val="clear" w:color="auto" w:fill="FFFFFF"/>
        </w:rPr>
        <w:t xml:space="preserve"> driven</w:t>
      </w:r>
      <w:proofErr w:type="gramEnd"/>
      <w:r w:rsidR="00825625">
        <w:rPr>
          <w:rFonts w:ascii="Times" w:eastAsia="Times New Roman" w:hAnsi="Times" w:cs="Times New Roman"/>
          <w:iCs/>
          <w:color w:val="1D2626"/>
          <w:shd w:val="clear" w:color="auto" w:fill="FFFFFF"/>
        </w:rPr>
        <w:t xml:space="preserve"> off</w:t>
      </w:r>
      <w:r w:rsidR="006A7CE0">
        <w:rPr>
          <w:rFonts w:ascii="Times" w:eastAsia="Times New Roman" w:hAnsi="Times" w:cs="Times New Roman"/>
          <w:iCs/>
          <w:color w:val="1D2626"/>
          <w:shd w:val="clear" w:color="auto" w:fill="FFFFFF"/>
        </w:rPr>
        <w:t xml:space="preserve"> as ammonia gas and this was </w:t>
      </w:r>
      <w:r w:rsidR="00971672">
        <w:rPr>
          <w:rFonts w:ascii="Times" w:eastAsia="Times New Roman" w:hAnsi="Times" w:cs="Times New Roman"/>
          <w:iCs/>
          <w:color w:val="1D2626"/>
          <w:shd w:val="clear" w:color="auto" w:fill="FFFFFF"/>
        </w:rPr>
        <w:t>apparent</w:t>
      </w:r>
      <w:r w:rsidR="006A7CE0">
        <w:rPr>
          <w:rFonts w:ascii="Times" w:eastAsia="Times New Roman" w:hAnsi="Times" w:cs="Times New Roman"/>
          <w:iCs/>
          <w:color w:val="1D2626"/>
          <w:shd w:val="clear" w:color="auto" w:fill="FFFFFF"/>
        </w:rPr>
        <w:t xml:space="preserve"> by the very strong distinctive smell given off when opening the leaching containers</w:t>
      </w:r>
      <w:r>
        <w:rPr>
          <w:rFonts w:ascii="Times" w:eastAsia="Times New Roman" w:hAnsi="Times" w:cs="Times New Roman"/>
          <w:iCs/>
          <w:color w:val="1D2626"/>
          <w:shd w:val="clear" w:color="auto" w:fill="FFFFFF"/>
        </w:rPr>
        <w:t>. The increase in AF</w:t>
      </w:r>
      <w:r w:rsidR="00FE3762">
        <w:rPr>
          <w:rFonts w:ascii="Times" w:eastAsia="Times New Roman" w:hAnsi="Times" w:cs="Times New Roman"/>
          <w:iCs/>
          <w:color w:val="1D2626"/>
          <w:shd w:val="clear" w:color="auto" w:fill="FFFFFF"/>
        </w:rPr>
        <w:t>m</w:t>
      </w:r>
      <w:r>
        <w:rPr>
          <w:rFonts w:ascii="Times" w:eastAsia="Times New Roman" w:hAnsi="Times" w:cs="Times New Roman"/>
          <w:iCs/>
          <w:color w:val="1D2626"/>
          <w:shd w:val="clear" w:color="auto" w:fill="FFFFFF"/>
        </w:rPr>
        <w:t xml:space="preserve"> peaks was also noticed in the </w:t>
      </w:r>
      <w:r w:rsidR="00825625">
        <w:rPr>
          <w:rFonts w:ascii="Times" w:eastAsia="Times New Roman" w:hAnsi="Times" w:cs="Times New Roman"/>
          <w:iCs/>
          <w:color w:val="1D2626"/>
          <w:shd w:val="clear" w:color="auto" w:fill="FFFFFF"/>
        </w:rPr>
        <w:t xml:space="preserve">DTG of </w:t>
      </w:r>
      <w:r>
        <w:rPr>
          <w:rFonts w:ascii="Times" w:eastAsia="Times New Roman" w:hAnsi="Times" w:cs="Times New Roman"/>
          <w:iCs/>
          <w:color w:val="1D2626"/>
          <w:shd w:val="clear" w:color="auto" w:fill="FFFFFF"/>
        </w:rPr>
        <w:t xml:space="preserve">acidically leached blank samples. </w:t>
      </w:r>
      <w:r w:rsidR="00C84C31">
        <w:rPr>
          <w:rFonts w:ascii="Times" w:eastAsia="Times New Roman" w:hAnsi="Times" w:cs="Times New Roman"/>
          <w:iCs/>
          <w:color w:val="1D2626"/>
          <w:shd w:val="clear" w:color="auto" w:fill="FFFFFF"/>
        </w:rPr>
        <w:t xml:space="preserve">Although the electrical </w:t>
      </w:r>
      <w:r w:rsidR="008A1459">
        <w:rPr>
          <w:rFonts w:ascii="Times" w:eastAsia="Times New Roman" w:hAnsi="Times" w:cs="Times New Roman"/>
          <w:iCs/>
          <w:color w:val="1D2626"/>
          <w:shd w:val="clear" w:color="auto" w:fill="FFFFFF"/>
        </w:rPr>
        <w:t>leaching</w:t>
      </w:r>
      <w:r w:rsidR="00C84C31">
        <w:rPr>
          <w:rFonts w:ascii="Times" w:eastAsia="Times New Roman" w:hAnsi="Times" w:cs="Times New Roman"/>
          <w:iCs/>
          <w:color w:val="1D2626"/>
          <w:shd w:val="clear" w:color="auto" w:fill="FFFFFF"/>
        </w:rPr>
        <w:t xml:space="preserve"> method causes an increase in certain phases,</w:t>
      </w:r>
      <w:r>
        <w:rPr>
          <w:rFonts w:ascii="Times" w:eastAsia="Times New Roman" w:hAnsi="Times" w:cs="Times New Roman"/>
          <w:iCs/>
          <w:color w:val="1D2626"/>
          <w:shd w:val="clear" w:color="auto" w:fill="FFFFFF"/>
        </w:rPr>
        <w:t xml:space="preserve"> the acidic leaching method causes </w:t>
      </w:r>
      <w:r w:rsidR="009444AE">
        <w:rPr>
          <w:rFonts w:ascii="Times" w:eastAsia="Times New Roman" w:hAnsi="Times" w:cs="Times New Roman"/>
          <w:iCs/>
          <w:color w:val="1D2626"/>
          <w:shd w:val="clear" w:color="auto" w:fill="FFFFFF"/>
        </w:rPr>
        <w:t xml:space="preserve">significant </w:t>
      </w:r>
      <w:r>
        <w:rPr>
          <w:rFonts w:ascii="Times" w:eastAsia="Times New Roman" w:hAnsi="Times" w:cs="Times New Roman"/>
          <w:iCs/>
          <w:color w:val="1D2626"/>
          <w:shd w:val="clear" w:color="auto" w:fill="FFFFFF"/>
        </w:rPr>
        <w:t>alterations in the cement phase assemblage</w:t>
      </w:r>
      <w:r w:rsidR="00C84C31">
        <w:rPr>
          <w:rFonts w:ascii="Times" w:eastAsia="Times New Roman" w:hAnsi="Times" w:cs="Times New Roman"/>
          <w:iCs/>
          <w:color w:val="1D2626"/>
          <w:shd w:val="clear" w:color="auto" w:fill="FFFFFF"/>
        </w:rPr>
        <w:t xml:space="preserve"> creating new </w:t>
      </w:r>
      <w:proofErr w:type="gramStart"/>
      <w:r w:rsidR="00C84C31">
        <w:rPr>
          <w:rFonts w:ascii="Times" w:eastAsia="Times New Roman" w:hAnsi="Times" w:cs="Times New Roman"/>
          <w:iCs/>
          <w:color w:val="1D2626"/>
          <w:shd w:val="clear" w:color="auto" w:fill="FFFFFF"/>
        </w:rPr>
        <w:t>phases</w:t>
      </w:r>
      <w:r>
        <w:rPr>
          <w:rFonts w:ascii="Times" w:eastAsia="Times New Roman" w:hAnsi="Times" w:cs="Times New Roman"/>
          <w:iCs/>
          <w:color w:val="1D2626"/>
          <w:shd w:val="clear" w:color="auto" w:fill="FFFFFF"/>
        </w:rPr>
        <w:t>,</w:t>
      </w:r>
      <w:proofErr w:type="gramEnd"/>
      <w:r>
        <w:rPr>
          <w:rFonts w:ascii="Times" w:eastAsia="Times New Roman" w:hAnsi="Times" w:cs="Times New Roman"/>
          <w:iCs/>
          <w:color w:val="1D2626"/>
          <w:shd w:val="clear" w:color="auto" w:fill="FFFFFF"/>
        </w:rPr>
        <w:t xml:space="preserve"> this compromises its viability as an option to predict future leaching behaviour of </w:t>
      </w:r>
      <w:r>
        <w:rPr>
          <w:rFonts w:ascii="Times" w:eastAsia="Times New Roman" w:hAnsi="Times" w:cs="Times New Roman"/>
          <w:iCs/>
          <w:color w:val="1D2626"/>
          <w:shd w:val="clear" w:color="auto" w:fill="FFFFFF"/>
        </w:rPr>
        <w:lastRenderedPageBreak/>
        <w:t>cementitious wastes.  The acidic attack on the cement sample also caused an increase in porosity, this is expected as the NO</w:t>
      </w:r>
      <w:r>
        <w:rPr>
          <w:rFonts w:ascii="Times" w:eastAsia="Times New Roman" w:hAnsi="Times" w:cs="Times New Roman"/>
          <w:iCs/>
          <w:color w:val="1D2626"/>
          <w:shd w:val="clear" w:color="auto" w:fill="FFFFFF"/>
          <w:vertAlign w:val="subscript"/>
        </w:rPr>
        <w:t>3</w:t>
      </w:r>
      <w:r>
        <w:rPr>
          <w:rFonts w:ascii="Times" w:eastAsia="Times New Roman" w:hAnsi="Times" w:cs="Times New Roman"/>
          <w:iCs/>
          <w:color w:val="1D2626"/>
          <w:shd w:val="clear" w:color="auto" w:fill="FFFFFF"/>
          <w:vertAlign w:val="superscript"/>
        </w:rPr>
        <w:t>-</w:t>
      </w:r>
      <w:r>
        <w:rPr>
          <w:rFonts w:ascii="Times" w:eastAsia="Times New Roman" w:hAnsi="Times" w:cs="Times New Roman"/>
          <w:iCs/>
          <w:color w:val="1D2626"/>
          <w:shd w:val="clear" w:color="auto" w:fill="FFFFFF"/>
        </w:rPr>
        <w:t xml:space="preserve"> in solution accelerates the </w:t>
      </w:r>
      <w:r w:rsidR="00825625">
        <w:rPr>
          <w:rFonts w:ascii="Times" w:eastAsia="Times New Roman" w:hAnsi="Times" w:cs="Times New Roman"/>
          <w:iCs/>
          <w:color w:val="1D2626"/>
          <w:shd w:val="clear" w:color="auto" w:fill="FFFFFF"/>
        </w:rPr>
        <w:t>calcium and hydroxyl</w:t>
      </w:r>
      <w:r>
        <w:rPr>
          <w:rFonts w:ascii="Times" w:eastAsia="Times New Roman" w:hAnsi="Times" w:cs="Times New Roman"/>
          <w:iCs/>
          <w:color w:val="1D2626"/>
          <w:shd w:val="clear" w:color="auto" w:fill="FFFFFF"/>
        </w:rPr>
        <w:t xml:space="preserve"> </w:t>
      </w:r>
      <w:r w:rsidR="00825625">
        <w:rPr>
          <w:rFonts w:ascii="Times" w:eastAsia="Times New Roman" w:hAnsi="Times" w:cs="Times New Roman"/>
          <w:iCs/>
          <w:color w:val="1D2626"/>
          <w:shd w:val="clear" w:color="auto" w:fill="FFFFFF"/>
        </w:rPr>
        <w:t>leaching</w:t>
      </w:r>
      <w:r>
        <w:rPr>
          <w:rFonts w:ascii="Times" w:eastAsia="Times New Roman" w:hAnsi="Times" w:cs="Times New Roman"/>
          <w:iCs/>
          <w:color w:val="1D2626"/>
          <w:shd w:val="clear" w:color="auto" w:fill="FFFFFF"/>
        </w:rPr>
        <w:t xml:space="preserve"> and displaces the OH</w:t>
      </w:r>
      <w:r>
        <w:rPr>
          <w:rFonts w:ascii="Times" w:eastAsia="Times New Roman" w:hAnsi="Times" w:cs="Times New Roman"/>
          <w:iCs/>
          <w:color w:val="1D2626"/>
          <w:shd w:val="clear" w:color="auto" w:fill="FFFFFF"/>
          <w:vertAlign w:val="superscript"/>
        </w:rPr>
        <w:t>-</w:t>
      </w:r>
      <w:r>
        <w:rPr>
          <w:rFonts w:ascii="Times" w:eastAsia="Times New Roman" w:hAnsi="Times" w:cs="Times New Roman"/>
          <w:iCs/>
          <w:color w:val="1D2626"/>
          <w:shd w:val="clear" w:color="auto" w:fill="FFFFFF"/>
        </w:rPr>
        <w:t xml:space="preserve"> as </w:t>
      </w:r>
      <w:r w:rsidR="00F658AE">
        <w:rPr>
          <w:rFonts w:ascii="Times" w:eastAsia="Times New Roman" w:hAnsi="Times" w:cs="Times New Roman"/>
          <w:iCs/>
          <w:color w:val="1D2626"/>
          <w:shd w:val="clear" w:color="auto" w:fill="FFFFFF"/>
        </w:rPr>
        <w:t>shown by Roziere and Khelidj [55</w:t>
      </w:r>
      <w:r>
        <w:rPr>
          <w:rFonts w:ascii="Times" w:eastAsia="Times New Roman" w:hAnsi="Times" w:cs="Times New Roman"/>
          <w:iCs/>
          <w:color w:val="1D2626"/>
          <w:shd w:val="clear" w:color="auto" w:fill="FFFFFF"/>
        </w:rPr>
        <w:t xml:space="preserve">], to form </w:t>
      </w:r>
      <w:proofErr w:type="gramStart"/>
      <w:r>
        <w:rPr>
          <w:rFonts w:ascii="Times" w:eastAsia="Times New Roman" w:hAnsi="Times" w:cs="Times New Roman"/>
          <w:iCs/>
          <w:color w:val="1D2626"/>
          <w:shd w:val="clear" w:color="auto" w:fill="FFFFFF"/>
        </w:rPr>
        <w:t>Ca(</w:t>
      </w:r>
      <w:proofErr w:type="gramEnd"/>
      <w:r>
        <w:rPr>
          <w:rFonts w:ascii="Times" w:eastAsia="Times New Roman" w:hAnsi="Times" w:cs="Times New Roman"/>
          <w:iCs/>
          <w:color w:val="1D2626"/>
          <w:shd w:val="clear" w:color="auto" w:fill="FFFFFF"/>
        </w:rPr>
        <w:t>NO</w:t>
      </w:r>
      <w:r>
        <w:rPr>
          <w:rFonts w:ascii="Times" w:eastAsia="Times New Roman" w:hAnsi="Times" w:cs="Times New Roman"/>
          <w:iCs/>
          <w:color w:val="1D2626"/>
          <w:shd w:val="clear" w:color="auto" w:fill="FFFFFF"/>
          <w:vertAlign w:val="subscript"/>
        </w:rPr>
        <w:t>3</w:t>
      </w:r>
      <w:r>
        <w:rPr>
          <w:rFonts w:ascii="Times" w:eastAsia="Times New Roman" w:hAnsi="Times" w:cs="Times New Roman"/>
          <w:iCs/>
          <w:color w:val="1D2626"/>
          <w:shd w:val="clear" w:color="auto" w:fill="FFFFFF"/>
        </w:rPr>
        <w:t>)</w:t>
      </w:r>
      <w:r>
        <w:rPr>
          <w:rFonts w:ascii="Times" w:eastAsia="Times New Roman" w:hAnsi="Times" w:cs="Times New Roman"/>
          <w:iCs/>
          <w:color w:val="1D2626"/>
          <w:shd w:val="clear" w:color="auto" w:fill="FFFFFF"/>
          <w:vertAlign w:val="subscript"/>
        </w:rPr>
        <w:t>2</w:t>
      </w:r>
      <w:r>
        <w:rPr>
          <w:rFonts w:ascii="Times" w:eastAsia="Times New Roman" w:hAnsi="Times" w:cs="Times New Roman"/>
          <w:iCs/>
          <w:color w:val="1D2626"/>
          <w:shd w:val="clear" w:color="auto" w:fill="FFFFFF"/>
        </w:rPr>
        <w:t xml:space="preserve"> . This reaction also explains the decrease in rate of </w:t>
      </w:r>
      <w:r w:rsidR="00825625">
        <w:rPr>
          <w:rFonts w:ascii="Times" w:eastAsia="Times New Roman" w:hAnsi="Times" w:cs="Times New Roman"/>
          <w:iCs/>
          <w:color w:val="1D2626"/>
          <w:shd w:val="clear" w:color="auto" w:fill="FFFFFF"/>
        </w:rPr>
        <w:t>leaching</w:t>
      </w:r>
      <w:r>
        <w:rPr>
          <w:rFonts w:ascii="Times" w:eastAsia="Times New Roman" w:hAnsi="Times" w:cs="Times New Roman"/>
          <w:iCs/>
          <w:color w:val="1D2626"/>
          <w:shd w:val="clear" w:color="auto" w:fill="FFFFFF"/>
        </w:rPr>
        <w:t xml:space="preserve"> noticed between 28 days and 3 months in all the samples, the more these reactions occur and the more OH</w:t>
      </w:r>
      <w:r>
        <w:rPr>
          <w:rFonts w:ascii="Times" w:eastAsia="Times New Roman" w:hAnsi="Times" w:cs="Times New Roman"/>
          <w:iCs/>
          <w:color w:val="1D2626"/>
          <w:shd w:val="clear" w:color="auto" w:fill="FFFFFF"/>
          <w:vertAlign w:val="superscript"/>
        </w:rPr>
        <w:t>-</w:t>
      </w:r>
      <w:r>
        <w:rPr>
          <w:rFonts w:ascii="Times" w:eastAsia="Times New Roman" w:hAnsi="Times" w:cs="Times New Roman"/>
          <w:iCs/>
          <w:color w:val="1D2626"/>
          <w:shd w:val="clear" w:color="auto" w:fill="FFFFFF"/>
        </w:rPr>
        <w:t xml:space="preserve"> in solution causes an increase in pH making the solution less acidic. </w:t>
      </w:r>
      <w:r>
        <w:rPr>
          <w:rFonts w:ascii="Times New Roman" w:hAnsi="Times New Roman" w:cs="Times New Roman"/>
        </w:rPr>
        <w:t>Another reason why the porosity i</w:t>
      </w:r>
      <w:r w:rsidR="00D05129">
        <w:rPr>
          <w:rFonts w:ascii="Times New Roman" w:hAnsi="Times New Roman" w:cs="Times New Roman"/>
        </w:rPr>
        <w:t xml:space="preserve">s lower in the </w:t>
      </w:r>
      <w:r w:rsidR="00D05129" w:rsidRPr="00ED5935">
        <w:rPr>
          <w:rFonts w:ascii="Times New Roman" w:hAnsi="Times New Roman" w:cs="Times New Roman"/>
          <w:b/>
        </w:rPr>
        <w:t>W-2Y</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ED5935">
        <w:rPr>
          <w:rFonts w:ascii="Times New Roman" w:hAnsi="Times New Roman" w:cs="Times New Roman"/>
        </w:rPr>
        <w:t xml:space="preserve"> </w:t>
      </w:r>
      <w:r w:rsidR="00D05129">
        <w:rPr>
          <w:rFonts w:ascii="Times New Roman" w:hAnsi="Times New Roman" w:cs="Times New Roman"/>
        </w:rPr>
        <w:t xml:space="preserve"> sample</w:t>
      </w:r>
      <w:proofErr w:type="gramEnd"/>
      <w:r w:rsidR="00D05129">
        <w:rPr>
          <w:rFonts w:ascii="Times New Roman" w:hAnsi="Times New Roman" w:cs="Times New Roman"/>
        </w:rPr>
        <w:t xml:space="preserve"> could be due to the continued hydration over the 2 year period in comparison to the 14 days in </w:t>
      </w:r>
      <w:r w:rsidRPr="00ED5935">
        <w:rPr>
          <w:rFonts w:ascii="Times New Roman" w:hAnsi="Times New Roman" w:cs="Times New Roman"/>
          <w:b/>
        </w:rPr>
        <w:t>A14D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D05129">
        <w:rPr>
          <w:rFonts w:ascii="Times New Roman" w:hAnsi="Times New Roman" w:cs="Times New Roman"/>
        </w:rPr>
        <w:t>, although the leaching amounts are the same</w:t>
      </w:r>
      <w:r>
        <w:rPr>
          <w:rFonts w:ascii="Times New Roman" w:hAnsi="Times New Roman" w:cs="Times New Roman"/>
        </w:rPr>
        <w:t>. According to Liu et al. [5</w:t>
      </w:r>
      <w:r w:rsidR="00E42A7C">
        <w:rPr>
          <w:rFonts w:ascii="Times New Roman" w:hAnsi="Times New Roman" w:cs="Times New Roman"/>
        </w:rPr>
        <w:t>6</w:t>
      </w:r>
      <w:r>
        <w:rPr>
          <w:rFonts w:ascii="Times New Roman" w:hAnsi="Times New Roman" w:cs="Times New Roman"/>
        </w:rPr>
        <w:t xml:space="preserve">], an increase in hydration causes a decrease in porosity and an increase in sample density. </w:t>
      </w:r>
    </w:p>
    <w:p w14:paraId="41651CC0" w14:textId="54E74965" w:rsidR="005708A0" w:rsidRDefault="005708A0" w:rsidP="005708A0">
      <w:pPr>
        <w:spacing w:before="240" w:after="120" w:line="480" w:lineRule="exact"/>
        <w:jc w:val="both"/>
        <w:rPr>
          <w:rFonts w:ascii="Times New Roman" w:hAnsi="Times New Roman" w:cs="Times New Roman"/>
        </w:rPr>
      </w:pPr>
      <w:r>
        <w:rPr>
          <w:rFonts w:ascii="Times New Roman" w:hAnsi="Times New Roman" w:cs="Times New Roman"/>
        </w:rPr>
        <w:t>The electrical leaching tests showed significantly higher leaching rates with generally good agreement in the cement phase assemblage after degradation</w:t>
      </w:r>
      <w:r w:rsidR="00245C2E">
        <w:rPr>
          <w:rFonts w:ascii="Times New Roman" w:hAnsi="Times New Roman" w:cs="Times New Roman"/>
        </w:rPr>
        <w:t xml:space="preserve"> when comparing to the static leached samples</w:t>
      </w:r>
      <w:r>
        <w:rPr>
          <w:rFonts w:ascii="Times New Roman" w:hAnsi="Times New Roman" w:cs="Times New Roman"/>
        </w:rPr>
        <w:t xml:space="preserve">. The increase in electrical current significantly increased the ion </w:t>
      </w:r>
      <w:r w:rsidR="00245C2E">
        <w:rPr>
          <w:rFonts w:ascii="Times New Roman" w:hAnsi="Times New Roman" w:cs="Times New Roman"/>
        </w:rPr>
        <w:t>leaching</w:t>
      </w:r>
      <w:r>
        <w:rPr>
          <w:rFonts w:ascii="Times New Roman" w:hAnsi="Times New Roman" w:cs="Times New Roman"/>
        </w:rPr>
        <w:t xml:space="preserve"> as expected, without compromising the procedure </w:t>
      </w:r>
      <w:r w:rsidR="008711E8">
        <w:rPr>
          <w:rFonts w:ascii="Times New Roman" w:hAnsi="Times New Roman" w:cs="Times New Roman"/>
        </w:rPr>
        <w:t xml:space="preserve">although the phase </w:t>
      </w:r>
      <w:r w:rsidR="00971672">
        <w:rPr>
          <w:rFonts w:ascii="Times New Roman" w:hAnsi="Times New Roman" w:cs="Times New Roman"/>
        </w:rPr>
        <w:t>assemblage</w:t>
      </w:r>
      <w:r w:rsidR="008711E8">
        <w:rPr>
          <w:rFonts w:ascii="Times New Roman" w:hAnsi="Times New Roman" w:cs="Times New Roman"/>
        </w:rPr>
        <w:t xml:space="preserve"> was altered as showing in figure 4.32. </w:t>
      </w:r>
    </w:p>
    <w:p w14:paraId="5F0CBF39" w14:textId="47F78640" w:rsidR="005708A0" w:rsidRPr="006271DA" w:rsidRDefault="005708A0" w:rsidP="005708A0">
      <w:pPr>
        <w:spacing w:before="240" w:after="120" w:line="480" w:lineRule="exact"/>
        <w:jc w:val="both"/>
        <w:rPr>
          <w:rFonts w:ascii="Times New Roman" w:hAnsi="Times New Roman" w:cs="Times New Roman"/>
        </w:rPr>
      </w:pPr>
      <w:r>
        <w:rPr>
          <w:rFonts w:ascii="Times New Roman" w:hAnsi="Times New Roman" w:cs="Times New Roman"/>
        </w:rPr>
        <w:t xml:space="preserve">The </w:t>
      </w:r>
      <w:r w:rsidR="00971672">
        <w:rPr>
          <w:rFonts w:ascii="Times New Roman" w:hAnsi="Times New Roman" w:cs="Times New Roman"/>
        </w:rPr>
        <w:t>microstructural</w:t>
      </w:r>
      <w:r>
        <w:rPr>
          <w:rFonts w:ascii="Times New Roman" w:hAnsi="Times New Roman" w:cs="Times New Roman"/>
        </w:rPr>
        <w:t xml:space="preserve"> analysis of the </w:t>
      </w:r>
      <w:r w:rsidRPr="00ED5935">
        <w:rPr>
          <w:rFonts w:ascii="Times New Roman" w:hAnsi="Times New Roman" w:cs="Times New Roman"/>
          <w:b/>
        </w:rPr>
        <w:t>2Y</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ED5935">
        <w:rPr>
          <w:rFonts w:ascii="Times New Roman" w:hAnsi="Times New Roman" w:cs="Times New Roman"/>
        </w:rPr>
        <w:t xml:space="preserve"> </w:t>
      </w:r>
      <w:r>
        <w:rPr>
          <w:rFonts w:ascii="Times New Roman" w:hAnsi="Times New Roman" w:cs="Times New Roman"/>
        </w:rPr>
        <w:t xml:space="preserve"> samples</w:t>
      </w:r>
      <w:proofErr w:type="gramEnd"/>
      <w:r>
        <w:rPr>
          <w:rFonts w:ascii="Times New Roman" w:hAnsi="Times New Roman" w:cs="Times New Roman"/>
        </w:rPr>
        <w:t xml:space="preserve"> shows a gradual change in the cement structure as the distance from the surface increases, this is </w:t>
      </w:r>
      <w:r w:rsidR="00E42A7C">
        <w:rPr>
          <w:rFonts w:ascii="Times New Roman" w:hAnsi="Times New Roman" w:cs="Times New Roman"/>
        </w:rPr>
        <w:t>explained by Andac &amp; Glasser [57</w:t>
      </w:r>
      <w:r>
        <w:rPr>
          <w:rFonts w:ascii="Times New Roman" w:hAnsi="Times New Roman" w:cs="Times New Roman"/>
        </w:rPr>
        <w:t>] using their zonal description. They state the part of the cement that is immedia</w:t>
      </w:r>
      <w:r w:rsidR="00DA06C4">
        <w:rPr>
          <w:rFonts w:ascii="Times New Roman" w:hAnsi="Times New Roman" w:cs="Times New Roman"/>
        </w:rPr>
        <w:t xml:space="preserve">tely exposed to the leachate </w:t>
      </w:r>
      <w:r>
        <w:rPr>
          <w:rFonts w:ascii="Times New Roman" w:hAnsi="Times New Roman" w:cs="Times New Roman"/>
        </w:rPr>
        <w:t xml:space="preserve">zone </w:t>
      </w:r>
      <w:proofErr w:type="gramStart"/>
      <w:r>
        <w:rPr>
          <w:rFonts w:ascii="Times New Roman" w:hAnsi="Times New Roman" w:cs="Times New Roman"/>
        </w:rPr>
        <w:t>I,</w:t>
      </w:r>
      <w:proofErr w:type="gramEnd"/>
      <w:r>
        <w:rPr>
          <w:rFonts w:ascii="Times New Roman" w:hAnsi="Times New Roman" w:cs="Times New Roman"/>
        </w:rPr>
        <w:t xml:space="preserve"> this zone is very thin and significantly low in Ca. This is followed by zone II </w:t>
      </w:r>
      <w:proofErr w:type="gramStart"/>
      <w:r>
        <w:rPr>
          <w:rFonts w:ascii="Times New Roman" w:hAnsi="Times New Roman" w:cs="Times New Roman"/>
        </w:rPr>
        <w:t>which</w:t>
      </w:r>
      <w:proofErr w:type="gramEnd"/>
      <w:r>
        <w:rPr>
          <w:rFonts w:ascii="Times New Roman" w:hAnsi="Times New Roman" w:cs="Times New Roman"/>
        </w:rPr>
        <w:t xml:space="preserve"> is deeper within the cement and it is where cracking of the cement occurs this can also be seen in fig</w:t>
      </w:r>
      <w:r w:rsidR="00FE3762">
        <w:rPr>
          <w:rFonts w:ascii="Times New Roman" w:hAnsi="Times New Roman" w:cs="Times New Roman"/>
        </w:rPr>
        <w:t>ure 4.42</w:t>
      </w:r>
      <w:r>
        <w:rPr>
          <w:rFonts w:ascii="Times New Roman" w:hAnsi="Times New Roman" w:cs="Times New Roman"/>
        </w:rPr>
        <w:t>. The figure also shows what is described by Andac &amp; Glasser as zone III a moderately leached zone, followed by the calcium-rich zone IV and finally zone V the layer wherein very little</w:t>
      </w:r>
      <w:r w:rsidR="00E42A7C">
        <w:rPr>
          <w:rFonts w:ascii="Times New Roman" w:hAnsi="Times New Roman" w:cs="Times New Roman"/>
        </w:rPr>
        <w:t xml:space="preserve"> or no leaching has occurred [57</w:t>
      </w:r>
      <w:r>
        <w:rPr>
          <w:rFonts w:ascii="Times New Roman" w:hAnsi="Times New Roman" w:cs="Times New Roman"/>
        </w:rPr>
        <w:t xml:space="preserve">]. This gradual zoning does not occur in the electrical sample. The change is more aggressive and zone I is significantly larger than zone II and III, and because the leaching has reached a deeper level zone IV and V are not visible. </w:t>
      </w:r>
    </w:p>
    <w:p w14:paraId="2E75A179" w14:textId="43B9B472" w:rsidR="005708A0" w:rsidRDefault="005708A0" w:rsidP="005708A0">
      <w:pPr>
        <w:spacing w:before="240" w:after="120" w:line="480" w:lineRule="exact"/>
        <w:jc w:val="both"/>
        <w:rPr>
          <w:rFonts w:ascii="Times New Roman" w:hAnsi="Times New Roman" w:cs="Times New Roman"/>
        </w:rPr>
      </w:pPr>
      <w:r>
        <w:rPr>
          <w:rFonts w:ascii="Times New Roman" w:hAnsi="Times New Roman" w:cs="Times New Roman"/>
        </w:rPr>
        <w:lastRenderedPageBreak/>
        <w:t xml:space="preserve">Although the electrical leaching method is a good option for accelerating ion diffusion, there are several limitations when using the method. </w:t>
      </w:r>
      <w:proofErr w:type="gramStart"/>
      <w:r>
        <w:rPr>
          <w:rFonts w:ascii="Times New Roman" w:hAnsi="Times New Roman" w:cs="Times New Roman"/>
        </w:rPr>
        <w:t>The first being the increase in the rates of Al leaching.</w:t>
      </w:r>
      <w:proofErr w:type="gramEnd"/>
      <w:r>
        <w:rPr>
          <w:rFonts w:ascii="Times New Roman" w:hAnsi="Times New Roman" w:cs="Times New Roman"/>
        </w:rPr>
        <w:t xml:space="preserve"> This could suggest that the Al leaches out earlier in the electrical le</w:t>
      </w:r>
      <w:r w:rsidR="00E42A7C">
        <w:rPr>
          <w:rFonts w:ascii="Times New Roman" w:hAnsi="Times New Roman" w:cs="Times New Roman"/>
        </w:rPr>
        <w:t>aching tests. Gordon &amp; Brady [58</w:t>
      </w:r>
      <w:r>
        <w:rPr>
          <w:rFonts w:ascii="Times New Roman" w:hAnsi="Times New Roman" w:cs="Times New Roman"/>
        </w:rPr>
        <w:t xml:space="preserve">] found that AFt and AFm phases leach Al from the very beginning of the test and explained that this could be due to the sulphate and calcium are easily separated due to the weak ionic binding between the </w:t>
      </w:r>
      <w:r w:rsidR="001B37BF">
        <w:rPr>
          <w:rFonts w:ascii="Times New Roman" w:hAnsi="Times New Roman" w:cs="Times New Roman"/>
        </w:rPr>
        <w:t>them and the aluminate</w:t>
      </w:r>
      <w:r>
        <w:rPr>
          <w:rFonts w:ascii="Times New Roman" w:hAnsi="Times New Roman" w:cs="Times New Roman"/>
        </w:rPr>
        <w:t>, therefore the sulphate would be attracted to the anode and the calcium the cathode. In the standard conditions it was found that the leaching behaviour of portlandite, C-S-H and AF</w:t>
      </w:r>
      <w:r w:rsidR="00FE3762">
        <w:rPr>
          <w:rFonts w:ascii="Times New Roman" w:hAnsi="Times New Roman" w:cs="Times New Roman"/>
        </w:rPr>
        <w:t>m</w:t>
      </w:r>
      <w:r>
        <w:rPr>
          <w:rFonts w:ascii="Times New Roman" w:hAnsi="Times New Roman" w:cs="Times New Roman"/>
        </w:rPr>
        <w:t xml:space="preserve"> leaching depended on sample depth, with the phase closest to the surface leaching first.</w:t>
      </w:r>
      <w:r w:rsidRPr="00952694">
        <w:rPr>
          <w:rFonts w:ascii="Times New Roman" w:hAnsi="Times New Roman" w:cs="Times New Roman"/>
        </w:rPr>
        <w:t xml:space="preserve"> </w:t>
      </w:r>
      <w:r>
        <w:rPr>
          <w:rFonts w:ascii="Times New Roman" w:hAnsi="Times New Roman" w:cs="Times New Roman"/>
        </w:rPr>
        <w:t>This also supported by Saito and Deguchi</w:t>
      </w:r>
      <w:r w:rsidR="00A40C66">
        <w:rPr>
          <w:rFonts w:ascii="Times New Roman" w:hAnsi="Times New Roman" w:cs="Times New Roman"/>
        </w:rPr>
        <w:t>’</w:t>
      </w:r>
      <w:r>
        <w:rPr>
          <w:rFonts w:ascii="Times New Roman" w:hAnsi="Times New Roman" w:cs="Times New Roman"/>
        </w:rPr>
        <w:t xml:space="preserve">s </w:t>
      </w:r>
      <w:r w:rsidR="00140ECE">
        <w:rPr>
          <w:rFonts w:ascii="Times New Roman" w:hAnsi="Times New Roman" w:cs="Times New Roman"/>
        </w:rPr>
        <w:t xml:space="preserve">[59] </w:t>
      </w:r>
      <w:r>
        <w:rPr>
          <w:rFonts w:ascii="Times New Roman" w:hAnsi="Times New Roman" w:cs="Times New Roman"/>
        </w:rPr>
        <w:t xml:space="preserve">findings when analysing the degraded cement sample they found that the original AFm and </w:t>
      </w:r>
      <w:proofErr w:type="gramStart"/>
      <w:r>
        <w:rPr>
          <w:rFonts w:ascii="Times New Roman" w:hAnsi="Times New Roman" w:cs="Times New Roman"/>
        </w:rPr>
        <w:t>Ca(</w:t>
      </w:r>
      <w:proofErr w:type="gramEnd"/>
      <w:r>
        <w:rPr>
          <w:rFonts w:ascii="Times New Roman" w:hAnsi="Times New Roman" w:cs="Times New Roman"/>
        </w:rPr>
        <w:t>OH)</w:t>
      </w:r>
      <w:r>
        <w:rPr>
          <w:rFonts w:ascii="Times New Roman" w:hAnsi="Times New Roman" w:cs="Times New Roman"/>
          <w:vertAlign w:val="subscript"/>
        </w:rPr>
        <w:t>2</w:t>
      </w:r>
      <w:r>
        <w:rPr>
          <w:rFonts w:ascii="Times New Roman" w:hAnsi="Times New Roman" w:cs="Times New Roman"/>
        </w:rPr>
        <w:t xml:space="preserve"> in the sample had completely diffused from the degraded region with only C-S-H remaining. </w:t>
      </w:r>
      <w:r w:rsidR="00A40C66">
        <w:rPr>
          <w:rFonts w:ascii="Times New Roman" w:hAnsi="Times New Roman" w:cs="Times New Roman"/>
        </w:rPr>
        <w:t>This suggests</w:t>
      </w:r>
      <w:r>
        <w:rPr>
          <w:rFonts w:ascii="Times New Roman" w:hAnsi="Times New Roman" w:cs="Times New Roman"/>
        </w:rPr>
        <w:t xml:space="preserve"> that both these phases completely leach out before C-S-H</w:t>
      </w:r>
      <w:r w:rsidR="00140ECE">
        <w:rPr>
          <w:rFonts w:ascii="Times New Roman" w:hAnsi="Times New Roman" w:cs="Times New Roman"/>
        </w:rPr>
        <w:t xml:space="preserve">. </w:t>
      </w:r>
      <w:r w:rsidR="00C53999">
        <w:rPr>
          <w:rFonts w:ascii="Times New Roman" w:hAnsi="Times New Roman" w:cs="Times New Roman"/>
        </w:rPr>
        <w:t xml:space="preserve">The results disagree, however, with the work of </w:t>
      </w:r>
      <w:r w:rsidR="00140ECE">
        <w:rPr>
          <w:rFonts w:ascii="Times New Roman" w:hAnsi="Times New Roman" w:cs="Times New Roman"/>
        </w:rPr>
        <w:t>Castellote et al. [60</w:t>
      </w:r>
      <w:r>
        <w:rPr>
          <w:rFonts w:ascii="Times New Roman" w:hAnsi="Times New Roman" w:cs="Times New Roman"/>
        </w:rPr>
        <w:t>]</w:t>
      </w:r>
      <w:r w:rsidR="00C53999">
        <w:rPr>
          <w:rFonts w:ascii="Times New Roman" w:hAnsi="Times New Roman" w:cs="Times New Roman"/>
        </w:rPr>
        <w:t>, who</w:t>
      </w:r>
      <w:r>
        <w:rPr>
          <w:rFonts w:ascii="Times New Roman" w:hAnsi="Times New Roman" w:cs="Times New Roman"/>
        </w:rPr>
        <w:t xml:space="preserve"> found that although the portlandite and C-S-H behaved in this manner, the calcium aluminate phases leached from the sample independent of distance from the electrode. In the static samples however only portlandite leaches first with AFm leaching at a later stage.</w:t>
      </w:r>
      <w:r w:rsidR="00CB5237">
        <w:rPr>
          <w:rFonts w:ascii="Times New Roman" w:hAnsi="Times New Roman" w:cs="Times New Roman"/>
        </w:rPr>
        <w:t xml:space="preserve"> </w:t>
      </w:r>
      <w:r>
        <w:rPr>
          <w:rFonts w:ascii="Times New Roman" w:hAnsi="Times New Roman" w:cs="Times New Roman"/>
        </w:rPr>
        <w:t xml:space="preserve">The second limitation is that the oppositely charged ions are separated. In accordance to basic electrochemical principles the cations will move towards the cathode and anions to the anode. This in turn would cause ions </w:t>
      </w:r>
      <w:r w:rsidR="00F1026D">
        <w:rPr>
          <w:rFonts w:ascii="Times New Roman" w:hAnsi="Times New Roman" w:cs="Times New Roman"/>
        </w:rPr>
        <w:t xml:space="preserve">to leach in </w:t>
      </w:r>
      <w:r>
        <w:rPr>
          <w:rFonts w:ascii="Times New Roman" w:hAnsi="Times New Roman" w:cs="Times New Roman"/>
        </w:rPr>
        <w:t>different directions from two surfaces of the sample. The positive Ca</w:t>
      </w:r>
      <w:r>
        <w:rPr>
          <w:rFonts w:ascii="Times New Roman" w:hAnsi="Times New Roman" w:cs="Times New Roman"/>
          <w:vertAlign w:val="superscript"/>
        </w:rPr>
        <w:t>2+</w:t>
      </w:r>
      <w:r>
        <w:rPr>
          <w:rFonts w:ascii="Times New Roman" w:hAnsi="Times New Roman" w:cs="Times New Roman"/>
        </w:rPr>
        <w:t xml:space="preserve"> ions remain in the solution on the opposite side to the OH</w:t>
      </w:r>
      <w:r>
        <w:rPr>
          <w:rFonts w:ascii="Times New Roman" w:hAnsi="Times New Roman" w:cs="Times New Roman"/>
          <w:vertAlign w:val="superscript"/>
        </w:rPr>
        <w:t>-</w:t>
      </w:r>
      <w:r>
        <w:rPr>
          <w:rFonts w:ascii="Times New Roman" w:hAnsi="Times New Roman" w:cs="Times New Roman"/>
        </w:rPr>
        <w:t xml:space="preserve"> whereas in the standard conditions the Ca</w:t>
      </w:r>
      <w:r w:rsidRPr="00427439">
        <w:rPr>
          <w:rFonts w:ascii="Times New Roman" w:hAnsi="Times New Roman" w:cs="Times New Roman"/>
          <w:vertAlign w:val="superscript"/>
        </w:rPr>
        <w:t>2+</w:t>
      </w:r>
      <w:r>
        <w:rPr>
          <w:rFonts w:ascii="Times New Roman" w:hAnsi="Times New Roman" w:cs="Times New Roman"/>
        </w:rPr>
        <w:t xml:space="preserve"> could react with the leached negative ions. Also the electrical method produces more OH- in solution than usual because of </w:t>
      </w:r>
      <w:r w:rsidR="00F1026D">
        <w:rPr>
          <w:rFonts w:ascii="Times New Roman" w:hAnsi="Times New Roman" w:cs="Times New Roman"/>
        </w:rPr>
        <w:t>water electrolysis which could form</w:t>
      </w:r>
      <w:r>
        <w:rPr>
          <w:rFonts w:ascii="Times New Roman" w:hAnsi="Times New Roman" w:cs="Times New Roman"/>
        </w:rPr>
        <w:t xml:space="preserve"> </w:t>
      </w:r>
      <w:proofErr w:type="gramStart"/>
      <w:r>
        <w:rPr>
          <w:rFonts w:ascii="Times New Roman" w:hAnsi="Times New Roman" w:cs="Times New Roman"/>
        </w:rPr>
        <w:t>Ca(</w:t>
      </w:r>
      <w:proofErr w:type="gramEnd"/>
      <w:r>
        <w:rPr>
          <w:rFonts w:ascii="Times New Roman" w:hAnsi="Times New Roman" w:cs="Times New Roman"/>
        </w:rPr>
        <w:t>OH)</w:t>
      </w:r>
      <w:r w:rsidRPr="00F1026D">
        <w:rPr>
          <w:rFonts w:ascii="Times New Roman" w:hAnsi="Times New Roman" w:cs="Times New Roman"/>
          <w:vertAlign w:val="subscript"/>
        </w:rPr>
        <w:t xml:space="preserve">2 </w:t>
      </w:r>
      <w:r>
        <w:rPr>
          <w:rFonts w:ascii="Times New Roman" w:hAnsi="Times New Roman" w:cs="Times New Roman"/>
        </w:rPr>
        <w:t>p</w:t>
      </w:r>
      <w:r w:rsidR="00F1026D">
        <w:rPr>
          <w:rFonts w:ascii="Times New Roman" w:hAnsi="Times New Roman" w:cs="Times New Roman"/>
        </w:rPr>
        <w:t>recipitate</w:t>
      </w:r>
      <w:r w:rsidR="00243D99">
        <w:rPr>
          <w:rFonts w:ascii="Times New Roman" w:hAnsi="Times New Roman" w:cs="Times New Roman"/>
        </w:rPr>
        <w:t>. This would create a pH imbalance caused by the excess OH</w:t>
      </w:r>
      <w:r w:rsidR="00243D99">
        <w:rPr>
          <w:rFonts w:ascii="Times New Roman" w:hAnsi="Times New Roman" w:cs="Times New Roman"/>
          <w:vertAlign w:val="superscript"/>
        </w:rPr>
        <w:t>-</w:t>
      </w:r>
      <w:r>
        <w:rPr>
          <w:rFonts w:ascii="Times New Roman" w:hAnsi="Times New Roman" w:cs="Times New Roman"/>
        </w:rPr>
        <w:t>.  G</w:t>
      </w:r>
      <w:r w:rsidR="00140ECE">
        <w:rPr>
          <w:rFonts w:ascii="Times New Roman" w:hAnsi="Times New Roman" w:cs="Times New Roman"/>
        </w:rPr>
        <w:t>ordon and Brady [58</w:t>
      </w:r>
      <w:r>
        <w:rPr>
          <w:rFonts w:ascii="Times New Roman" w:hAnsi="Times New Roman" w:cs="Times New Roman"/>
        </w:rPr>
        <w:t xml:space="preserve">] found that a portlandite of </w:t>
      </w:r>
      <w:r w:rsidR="00F1026D">
        <w:rPr>
          <w:rFonts w:ascii="Times New Roman" w:hAnsi="Times New Roman" w:cs="Times New Roman"/>
        </w:rPr>
        <w:t>lower</w:t>
      </w:r>
      <w:r>
        <w:rPr>
          <w:rFonts w:ascii="Times New Roman" w:hAnsi="Times New Roman" w:cs="Times New Roman"/>
        </w:rPr>
        <w:t xml:space="preserve"> </w:t>
      </w:r>
      <w:r w:rsidR="00971672">
        <w:rPr>
          <w:rFonts w:ascii="Times New Roman" w:hAnsi="Times New Roman" w:cs="Times New Roman"/>
        </w:rPr>
        <w:t>crystallinity</w:t>
      </w:r>
      <w:r>
        <w:rPr>
          <w:rFonts w:ascii="Times New Roman" w:hAnsi="Times New Roman" w:cs="Times New Roman"/>
        </w:rPr>
        <w:t xml:space="preserve"> and higher density was </w:t>
      </w:r>
      <w:r w:rsidR="00F1026D">
        <w:rPr>
          <w:rFonts w:ascii="Times New Roman" w:hAnsi="Times New Roman" w:cs="Times New Roman"/>
        </w:rPr>
        <w:t>precipitated</w:t>
      </w:r>
      <w:r>
        <w:rPr>
          <w:rFonts w:ascii="Times New Roman" w:hAnsi="Times New Roman" w:cs="Times New Roman"/>
        </w:rPr>
        <w:t xml:space="preserve"> in the </w:t>
      </w:r>
      <w:r w:rsidR="00F1026D">
        <w:rPr>
          <w:rFonts w:ascii="Times New Roman" w:hAnsi="Times New Roman" w:cs="Times New Roman"/>
        </w:rPr>
        <w:t>electrical</w:t>
      </w:r>
      <w:r>
        <w:rPr>
          <w:rFonts w:ascii="Times New Roman" w:hAnsi="Times New Roman" w:cs="Times New Roman"/>
        </w:rPr>
        <w:t xml:space="preserve"> leached sam</w:t>
      </w:r>
      <w:r w:rsidR="00F1026D">
        <w:rPr>
          <w:rFonts w:ascii="Times New Roman" w:hAnsi="Times New Roman" w:cs="Times New Roman"/>
        </w:rPr>
        <w:t xml:space="preserve">ples. This also means that the     </w:t>
      </w:r>
      <w:r>
        <w:rPr>
          <w:rFonts w:ascii="Times New Roman" w:hAnsi="Times New Roman" w:cs="Times New Roman"/>
        </w:rPr>
        <w:t>C-S-H layer found on the leaching surface in the static</w:t>
      </w:r>
      <w:r w:rsidR="00F1026D">
        <w:rPr>
          <w:rFonts w:ascii="Times New Roman" w:hAnsi="Times New Roman" w:cs="Times New Roman"/>
        </w:rPr>
        <w:t xml:space="preserve"> and semi-static leaching tests</w:t>
      </w:r>
      <w:r>
        <w:rPr>
          <w:rFonts w:ascii="Times New Roman" w:hAnsi="Times New Roman" w:cs="Times New Roman"/>
        </w:rPr>
        <w:t xml:space="preserve"> will only occur on the cathode side of the electrically </w:t>
      </w:r>
      <w:r>
        <w:rPr>
          <w:rFonts w:ascii="Times New Roman" w:hAnsi="Times New Roman" w:cs="Times New Roman"/>
        </w:rPr>
        <w:lastRenderedPageBreak/>
        <w:t>leached samples as the Ca</w:t>
      </w:r>
      <w:r>
        <w:rPr>
          <w:rFonts w:ascii="Times New Roman" w:hAnsi="Times New Roman" w:cs="Times New Roman"/>
          <w:vertAlign w:val="superscript"/>
        </w:rPr>
        <w:t>2+</w:t>
      </w:r>
      <w:r>
        <w:rPr>
          <w:rFonts w:ascii="Times New Roman" w:hAnsi="Times New Roman" w:cs="Times New Roman"/>
        </w:rPr>
        <w:t xml:space="preserve"> will diffuse into the cathode side. Given that this barrier is only forming on one surface of the sample this means the</w:t>
      </w:r>
      <w:r w:rsidR="00F1026D">
        <w:rPr>
          <w:rFonts w:ascii="Times New Roman" w:hAnsi="Times New Roman" w:cs="Times New Roman"/>
        </w:rPr>
        <w:t xml:space="preserve"> cation leaching will decrease and as such the</w:t>
      </w:r>
      <w:r>
        <w:rPr>
          <w:rFonts w:ascii="Times New Roman" w:hAnsi="Times New Roman" w:cs="Times New Roman"/>
        </w:rPr>
        <w:t xml:space="preserve"> anions will </w:t>
      </w:r>
      <w:r w:rsidR="00F1026D">
        <w:rPr>
          <w:rFonts w:ascii="Times New Roman" w:hAnsi="Times New Roman" w:cs="Times New Roman"/>
        </w:rPr>
        <w:t>leach at lower rate too, in order to keep a charge balance</w:t>
      </w:r>
      <w:r>
        <w:rPr>
          <w:rFonts w:ascii="Times New Roman" w:hAnsi="Times New Roman" w:cs="Times New Roman"/>
        </w:rPr>
        <w:t>. Although the OH</w:t>
      </w:r>
      <w:r>
        <w:rPr>
          <w:rFonts w:ascii="Times New Roman" w:hAnsi="Times New Roman" w:cs="Times New Roman"/>
          <w:vertAlign w:val="superscript"/>
        </w:rPr>
        <w:t>-</w:t>
      </w:r>
      <w:r>
        <w:rPr>
          <w:rFonts w:ascii="Times New Roman" w:hAnsi="Times New Roman" w:cs="Times New Roman"/>
        </w:rPr>
        <w:t xml:space="preserve"> from the sample required to reform the C-S-H layer will diffuse into the solution on the anode side, electrolysis o</w:t>
      </w:r>
      <w:r w:rsidR="00140ECE">
        <w:rPr>
          <w:rFonts w:ascii="Times New Roman" w:hAnsi="Times New Roman" w:cs="Times New Roman"/>
        </w:rPr>
        <w:t>f the deionised water itself [57</w:t>
      </w:r>
      <w:r>
        <w:rPr>
          <w:rFonts w:ascii="Times New Roman" w:hAnsi="Times New Roman" w:cs="Times New Roman"/>
        </w:rPr>
        <w:t>] will provide the required OH</w:t>
      </w:r>
      <w:r w:rsidRPr="00A9472F">
        <w:rPr>
          <w:rFonts w:ascii="Times New Roman" w:hAnsi="Times New Roman" w:cs="Times New Roman"/>
          <w:vertAlign w:val="superscript"/>
        </w:rPr>
        <w:t>-</w:t>
      </w:r>
      <w:r>
        <w:rPr>
          <w:rFonts w:ascii="Times New Roman" w:hAnsi="Times New Roman" w:cs="Times New Roman"/>
        </w:rPr>
        <w:t xml:space="preserve"> on the cathode side</w:t>
      </w:r>
      <w:r w:rsidR="00F1026D">
        <w:rPr>
          <w:rFonts w:ascii="Times New Roman" w:hAnsi="Times New Roman" w:cs="Times New Roman"/>
        </w:rPr>
        <w:t xml:space="preserve"> to form this C-S-H barrier</w:t>
      </w:r>
      <w:r>
        <w:rPr>
          <w:rFonts w:ascii="Times New Roman" w:hAnsi="Times New Roman" w:cs="Times New Roman"/>
        </w:rPr>
        <w:t>, as shown here,</w:t>
      </w:r>
    </w:p>
    <w:p w14:paraId="00657618" w14:textId="041FF4E8" w:rsidR="005708A0" w:rsidRPr="00FF7F58" w:rsidRDefault="005708A0" w:rsidP="00751C5B">
      <w:pPr>
        <w:widowControl w:val="0"/>
        <w:autoSpaceDE w:val="0"/>
        <w:autoSpaceDN w:val="0"/>
        <w:adjustRightInd w:val="0"/>
        <w:spacing w:after="240" w:line="480" w:lineRule="exact"/>
        <w:rPr>
          <w:rFonts w:ascii="Times New Roman" w:hAnsi="Times New Roman" w:cs="Times New Roman"/>
        </w:rPr>
      </w:pPr>
      <w:r>
        <w:rPr>
          <w:rFonts w:ascii="Times New Roman" w:hAnsi="Times New Roman" w:cs="Times New Roman"/>
        </w:rPr>
        <w:t xml:space="preserve">At cathode: </w:t>
      </w:r>
      <w:r>
        <w:rPr>
          <w:rFonts w:ascii="Times New Roman" w:hAnsi="Times New Roman" w:cs="Times New Roman"/>
        </w:rPr>
        <w:tab/>
        <w:t>2H</w:t>
      </w:r>
      <w:r>
        <w:rPr>
          <w:rFonts w:ascii="Times New Roman" w:hAnsi="Times New Roman" w:cs="Times New Roman"/>
          <w:vertAlign w:val="subscript"/>
        </w:rPr>
        <w:t>2</w:t>
      </w:r>
      <w:r>
        <w:rPr>
          <w:rFonts w:ascii="Times New Roman" w:hAnsi="Times New Roman" w:cs="Times New Roman"/>
        </w:rPr>
        <w:t>O + 2e</w:t>
      </w:r>
      <w:r>
        <w:rPr>
          <w:rFonts w:ascii="Times New Roman" w:hAnsi="Times New Roman" w:cs="Times New Roman"/>
          <w:vertAlign w:val="superscript"/>
        </w:rPr>
        <w:t>-</w:t>
      </w:r>
      <w:r>
        <w:rPr>
          <w:rFonts w:ascii="Times New Roman" w:hAnsi="Times New Roman" w:cs="Times New Roman"/>
        </w:rPr>
        <w:t xml:space="preserve"> → H</w:t>
      </w:r>
      <w:r>
        <w:rPr>
          <w:rFonts w:ascii="Times New Roman" w:hAnsi="Times New Roman" w:cs="Times New Roman"/>
          <w:vertAlign w:val="subscript"/>
        </w:rPr>
        <w:t>2</w:t>
      </w:r>
      <w:r>
        <w:rPr>
          <w:rFonts w:ascii="Times New Roman" w:hAnsi="Times New Roman" w:cs="Times New Roman"/>
        </w:rPr>
        <w:t xml:space="preserve"> + 2OH</w:t>
      </w:r>
      <w:r>
        <w:rPr>
          <w:rFonts w:ascii="Times New Roman" w:hAnsi="Times New Roman" w:cs="Times New Roman"/>
          <w:vertAlign w:val="superscript"/>
        </w:rPr>
        <w:t>-</w:t>
      </w:r>
      <w:r>
        <w:rPr>
          <w:rFonts w:ascii="Times New Roman" w:hAnsi="Times New Roman" w:cs="Times New Roman"/>
          <w:vertAlign w:val="superscript"/>
        </w:rPr>
        <w:tab/>
      </w:r>
      <w:r>
        <w:rPr>
          <w:rFonts w:ascii="Times New Roman" w:hAnsi="Times New Roman" w:cs="Times New Roman"/>
          <w:vertAlign w:val="superscript"/>
        </w:rPr>
        <w:br/>
      </w:r>
      <w:r>
        <w:rPr>
          <w:rFonts w:ascii="Times New Roman" w:hAnsi="Times New Roman" w:cs="Times New Roman"/>
        </w:rPr>
        <w:t>At anode: H</w:t>
      </w:r>
      <w:r>
        <w:rPr>
          <w:rFonts w:ascii="Times New Roman" w:hAnsi="Times New Roman" w:cs="Times New Roman"/>
          <w:vertAlign w:val="subscript"/>
        </w:rPr>
        <w:t>2</w:t>
      </w:r>
      <w:r>
        <w:rPr>
          <w:rFonts w:ascii="Times New Roman" w:hAnsi="Times New Roman" w:cs="Times New Roman"/>
        </w:rPr>
        <w:t xml:space="preserve">O </w:t>
      </w:r>
      <w:r>
        <w:rPr>
          <w:rFonts w:ascii="Times New Roman" w:hAnsi="Times New Roman" w:cs="Times New Roman"/>
          <w:sz w:val="26"/>
          <w:szCs w:val="26"/>
        </w:rPr>
        <w:t>→ ½ O</w:t>
      </w:r>
      <w:r>
        <w:rPr>
          <w:rFonts w:ascii="Times New Roman" w:hAnsi="Times New Roman" w:cs="Times New Roman"/>
          <w:sz w:val="26"/>
          <w:szCs w:val="26"/>
          <w:vertAlign w:val="subscript"/>
        </w:rPr>
        <w:t>2</w:t>
      </w:r>
      <w:r>
        <w:rPr>
          <w:rFonts w:ascii="Times New Roman" w:hAnsi="Times New Roman" w:cs="Times New Roman"/>
          <w:sz w:val="26"/>
          <w:szCs w:val="26"/>
        </w:rPr>
        <w:t xml:space="preserve"> + 2H</w:t>
      </w:r>
      <w:r>
        <w:rPr>
          <w:rFonts w:ascii="Times New Roman" w:hAnsi="Times New Roman" w:cs="Times New Roman"/>
          <w:sz w:val="26"/>
          <w:szCs w:val="26"/>
          <w:vertAlign w:val="superscript"/>
        </w:rPr>
        <w:t>+</w:t>
      </w:r>
      <w:r>
        <w:rPr>
          <w:rFonts w:ascii="Times New Roman" w:hAnsi="Times New Roman" w:cs="Times New Roman"/>
          <w:sz w:val="26"/>
          <w:szCs w:val="26"/>
        </w:rPr>
        <w:t xml:space="preserve"> + 2e</w:t>
      </w:r>
      <w:r>
        <w:rPr>
          <w:rFonts w:ascii="Times New Roman" w:hAnsi="Times New Roman" w:cs="Times New Roman"/>
          <w:sz w:val="26"/>
          <w:szCs w:val="26"/>
          <w:vertAlign w:val="superscript"/>
        </w:rPr>
        <w:t>-</w:t>
      </w:r>
      <w:r w:rsidR="00CB5237">
        <w:rPr>
          <w:rFonts w:ascii="Times New Roman" w:hAnsi="Times New Roman" w:cs="Times New Roman"/>
        </w:rPr>
        <w:br/>
      </w:r>
      <w:r w:rsidR="00F1026D">
        <w:rPr>
          <w:rFonts w:ascii="Times New Roman" w:hAnsi="Times New Roman" w:cs="Times New Roman"/>
        </w:rPr>
        <w:t>Water</w:t>
      </w:r>
      <w:r>
        <w:rPr>
          <w:rFonts w:ascii="Times New Roman" w:hAnsi="Times New Roman" w:cs="Times New Roman"/>
        </w:rPr>
        <w:t xml:space="preserve"> electrolysis caused the liberation of O</w:t>
      </w:r>
      <w:r w:rsidRPr="00E01745">
        <w:rPr>
          <w:rFonts w:ascii="Times New Roman" w:hAnsi="Times New Roman" w:cs="Times New Roman"/>
          <w:vertAlign w:val="subscript"/>
        </w:rPr>
        <w:t>2</w:t>
      </w:r>
      <w:r>
        <w:rPr>
          <w:rFonts w:ascii="Times New Roman" w:hAnsi="Times New Roman" w:cs="Times New Roman"/>
        </w:rPr>
        <w:t xml:space="preserve"> and H</w:t>
      </w:r>
      <w:r w:rsidRPr="00E01745">
        <w:rPr>
          <w:rFonts w:ascii="Times New Roman" w:hAnsi="Times New Roman" w:cs="Times New Roman"/>
          <w:vertAlign w:val="subscript"/>
        </w:rPr>
        <w:t xml:space="preserve">2 </w:t>
      </w:r>
      <w:r>
        <w:rPr>
          <w:rFonts w:ascii="Times New Roman" w:hAnsi="Times New Roman" w:cs="Times New Roman"/>
        </w:rPr>
        <w:t xml:space="preserve">gases from the solution as shown by Saito et al, this however </w:t>
      </w:r>
      <w:r w:rsidR="00EF0604">
        <w:rPr>
          <w:rFonts w:ascii="Times New Roman" w:hAnsi="Times New Roman" w:cs="Times New Roman"/>
        </w:rPr>
        <w:t>does not</w:t>
      </w:r>
      <w:r>
        <w:rPr>
          <w:rFonts w:ascii="Times New Roman" w:hAnsi="Times New Roman" w:cs="Times New Roman"/>
        </w:rPr>
        <w:t xml:space="preserve"> occur under natural conditions in the semi-static and static tests. However Saito explained that this has minimal effects on the ion movement efficiency. Although significant research is available [</w:t>
      </w:r>
      <w:r w:rsidR="00140ECE">
        <w:rPr>
          <w:rFonts w:ascii="Times New Roman" w:hAnsi="Times New Roman" w:cs="Times New Roman"/>
        </w:rPr>
        <w:t>58,59,60,61</w:t>
      </w:r>
      <w:r>
        <w:rPr>
          <w:rFonts w:ascii="Times New Roman" w:hAnsi="Times New Roman" w:cs="Times New Roman"/>
        </w:rPr>
        <w:t xml:space="preserve">], for the electrical leaching method, little emphasis has been placed on the effect of pH on the </w:t>
      </w:r>
      <w:r w:rsidR="00E2481B">
        <w:rPr>
          <w:rFonts w:ascii="Times New Roman" w:hAnsi="Times New Roman" w:cs="Times New Roman"/>
        </w:rPr>
        <w:t>leaching</w:t>
      </w:r>
      <w:r>
        <w:rPr>
          <w:rFonts w:ascii="Times New Roman" w:hAnsi="Times New Roman" w:cs="Times New Roman"/>
        </w:rPr>
        <w:t xml:space="preserve"> rates. The pH of the solutions was studied for both the anode side and the cathode side. The pH of solutions from both the anode and catho</w:t>
      </w:r>
      <w:r w:rsidR="005F2C56">
        <w:rPr>
          <w:rFonts w:ascii="Times New Roman" w:hAnsi="Times New Roman" w:cs="Times New Roman"/>
        </w:rPr>
        <w:t xml:space="preserve">de side are shown in figure </w:t>
      </w:r>
      <w:proofErr w:type="gramStart"/>
      <w:r w:rsidR="005F2C56">
        <w:rPr>
          <w:rFonts w:ascii="Times New Roman" w:hAnsi="Times New Roman" w:cs="Times New Roman"/>
        </w:rPr>
        <w:t>4.45</w:t>
      </w:r>
      <w:r>
        <w:rPr>
          <w:rFonts w:ascii="Times New Roman" w:hAnsi="Times New Roman" w:cs="Times New Roman"/>
        </w:rPr>
        <w:t xml:space="preserve"> which</w:t>
      </w:r>
      <w:proofErr w:type="gramEnd"/>
      <w:r>
        <w:rPr>
          <w:rFonts w:ascii="Times New Roman" w:hAnsi="Times New Roman" w:cs="Times New Roman"/>
        </w:rPr>
        <w:t xml:space="preserve"> compares the values for </w:t>
      </w:r>
      <w:r w:rsidRPr="00ED5935">
        <w:rPr>
          <w:rFonts w:ascii="Times New Roman" w:hAnsi="Times New Roman" w:cs="Times New Roman"/>
          <w:b/>
        </w:rPr>
        <w:t>5E-B</w:t>
      </w:r>
      <w:r>
        <w:rPr>
          <w:rFonts w:ascii="Times New Roman" w:hAnsi="Times New Roman" w:cs="Times New Roman"/>
        </w:rPr>
        <w:t xml:space="preserve"> and </w:t>
      </w:r>
      <w:r w:rsidRPr="00ED5935">
        <w:rPr>
          <w:rFonts w:ascii="Times New Roman" w:hAnsi="Times New Roman" w:cs="Times New Roman"/>
          <w:b/>
        </w:rPr>
        <w:t>25E-B</w:t>
      </w:r>
      <w:r w:rsidR="005F2C56">
        <w:rPr>
          <w:rFonts w:ascii="Times New Roman" w:hAnsi="Times New Roman" w:cs="Times New Roman"/>
        </w:rPr>
        <w:t xml:space="preserve">, and figure 4.46 </w:t>
      </w:r>
      <w:r>
        <w:rPr>
          <w:rFonts w:ascii="Times New Roman" w:hAnsi="Times New Roman" w:cs="Times New Roman"/>
        </w:rPr>
        <w:t xml:space="preserve">compares the CS samples. The first observation is that the higher current the greater the disparity in pH from the original value. This is expected as the rate of </w:t>
      </w:r>
      <w:r w:rsidR="00167DDB">
        <w:rPr>
          <w:rFonts w:ascii="Times New Roman" w:hAnsi="Times New Roman" w:cs="Times New Roman"/>
        </w:rPr>
        <w:t>leaching</w:t>
      </w:r>
      <w:r>
        <w:rPr>
          <w:rFonts w:ascii="Times New Roman" w:hAnsi="Times New Roman" w:cs="Times New Roman"/>
        </w:rPr>
        <w:t xml:space="preserve"> increases with an increase current. The pH of the solution on the cathode side rapidly rises to 11 in the </w:t>
      </w:r>
      <w:r w:rsidR="00344429">
        <w:rPr>
          <w:rFonts w:ascii="Times New Roman" w:hAnsi="Times New Roman" w:cs="Times New Roman"/>
        </w:rPr>
        <w:t>5A/m</w:t>
      </w:r>
      <w:r w:rsidR="00344429">
        <w:rPr>
          <w:rFonts w:ascii="Times New Roman" w:hAnsi="Times New Roman" w:cs="Times New Roman"/>
          <w:vertAlign w:val="superscript"/>
        </w:rPr>
        <w:t>2</w:t>
      </w:r>
      <w:r>
        <w:rPr>
          <w:rFonts w:ascii="Times New Roman" w:hAnsi="Times New Roman" w:cs="Times New Roman"/>
        </w:rPr>
        <w:t xml:space="preserve"> and 12 in the 2</w:t>
      </w:r>
      <w:r w:rsidR="00344429">
        <w:rPr>
          <w:rFonts w:ascii="Times New Roman" w:hAnsi="Times New Roman" w:cs="Times New Roman"/>
        </w:rPr>
        <w:t>5A/m</w:t>
      </w:r>
      <w:r w:rsidR="00344429">
        <w:rPr>
          <w:rFonts w:ascii="Times New Roman" w:hAnsi="Times New Roman" w:cs="Times New Roman"/>
          <w:vertAlign w:val="superscript"/>
        </w:rPr>
        <w:t>2</w:t>
      </w:r>
      <w:r>
        <w:rPr>
          <w:rFonts w:ascii="Times New Roman" w:hAnsi="Times New Roman" w:cs="Times New Roman"/>
        </w:rPr>
        <w:t xml:space="preserve"> sample. </w:t>
      </w:r>
      <w:r w:rsidR="00971672">
        <w:rPr>
          <w:rFonts w:ascii="Times New Roman" w:hAnsi="Times New Roman" w:cs="Times New Roman"/>
        </w:rPr>
        <w:t>Whereas</w:t>
      </w:r>
      <w:r>
        <w:rPr>
          <w:rFonts w:ascii="Times New Roman" w:hAnsi="Times New Roman" w:cs="Times New Roman"/>
        </w:rPr>
        <w:t xml:space="preserve"> the pH of the solution on the anode side rapidly drops to levels around 3 and 5 respectively, therefore creating a highly alkali solution on one side of the sample and a highly acidic solution on the other. This means on the side that is alkali the leaching rate would decrease, and on the side that is acidic the leaching rate would increase significantly as it was found by several sources that an acidic solution can significantly </w:t>
      </w:r>
      <w:r w:rsidR="00287B8B">
        <w:rPr>
          <w:rFonts w:ascii="Times New Roman" w:hAnsi="Times New Roman" w:cs="Times New Roman"/>
        </w:rPr>
        <w:t>increase rates of leaching [6,53</w:t>
      </w:r>
      <w:r w:rsidR="006445B0">
        <w:rPr>
          <w:rFonts w:ascii="Times New Roman" w:hAnsi="Times New Roman" w:cs="Times New Roman"/>
        </w:rPr>
        <w:t>,62,63,64</w:t>
      </w:r>
      <w:r>
        <w:rPr>
          <w:rFonts w:ascii="Times New Roman" w:hAnsi="Times New Roman" w:cs="Times New Roman"/>
        </w:rPr>
        <w:t>]. This large difference in pH means that ions leaching on the anode side would eventually diffuse at a different rate to</w:t>
      </w:r>
      <w:r w:rsidR="005F2C56">
        <w:rPr>
          <w:rFonts w:ascii="Times New Roman" w:hAnsi="Times New Roman" w:cs="Times New Roman"/>
        </w:rPr>
        <w:t xml:space="preserve"> ions</w:t>
      </w:r>
      <w:r>
        <w:rPr>
          <w:rFonts w:ascii="Times New Roman" w:hAnsi="Times New Roman" w:cs="Times New Roman"/>
        </w:rPr>
        <w:t xml:space="preserve"> the leaching on the </w:t>
      </w:r>
      <w:r>
        <w:rPr>
          <w:rFonts w:ascii="Times New Roman" w:hAnsi="Times New Roman" w:cs="Times New Roman"/>
        </w:rPr>
        <w:lastRenderedPageBreak/>
        <w:t xml:space="preserve">cathode side. </w:t>
      </w:r>
    </w:p>
    <w:p w14:paraId="4F703462" w14:textId="0E92C11C" w:rsidR="005708A0" w:rsidRDefault="005708A0" w:rsidP="005708A0">
      <w:pPr>
        <w:spacing w:before="240" w:after="120"/>
        <w:jc w:val="center"/>
        <w:rPr>
          <w:rFonts w:ascii="Times" w:hAnsi="Times" w:cs="Times New Roman"/>
        </w:rPr>
      </w:pPr>
      <w:r w:rsidRPr="00F00202">
        <w:rPr>
          <w:b/>
          <w:noProof/>
        </w:rPr>
        <w:drawing>
          <wp:inline distT="0" distB="0" distL="0" distR="0" wp14:anchorId="153F4456" wp14:editId="0D3580E1">
            <wp:extent cx="5369694" cy="3424187"/>
            <wp:effectExtent l="0" t="0" r="0" b="5080"/>
            <wp:docPr id="267" name="Chart 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r w:rsidR="005F2C56">
        <w:rPr>
          <w:rFonts w:ascii="Times" w:hAnsi="Times" w:cs="Times New Roman"/>
          <w:b/>
        </w:rPr>
        <w:t>Figure 4.45</w:t>
      </w:r>
      <w:r w:rsidRPr="00F00202">
        <w:rPr>
          <w:rFonts w:ascii="Times" w:hAnsi="Times" w:cs="Times New Roman"/>
          <w:b/>
        </w:rPr>
        <w:t>:</w:t>
      </w:r>
      <w:r>
        <w:rPr>
          <w:rFonts w:ascii="Times" w:hAnsi="Times" w:cs="Times New Roman"/>
          <w:b/>
        </w:rPr>
        <w:t xml:space="preserve"> </w:t>
      </w:r>
      <w:r>
        <w:rPr>
          <w:rFonts w:ascii="Times" w:hAnsi="Times" w:cs="Times New Roman"/>
        </w:rPr>
        <w:t>Leachate pH over 7 day period for E-B samples</w:t>
      </w:r>
    </w:p>
    <w:p w14:paraId="1E968040" w14:textId="77777777" w:rsidR="005708A0" w:rsidRPr="00F00202" w:rsidRDefault="005708A0" w:rsidP="005708A0">
      <w:pPr>
        <w:spacing w:before="240" w:after="120"/>
        <w:jc w:val="center"/>
        <w:rPr>
          <w:rFonts w:ascii="Times" w:hAnsi="Times" w:cs="Times New Roman"/>
        </w:rPr>
      </w:pPr>
    </w:p>
    <w:p w14:paraId="0EC2E7A7" w14:textId="553194EE" w:rsidR="005708A0" w:rsidRPr="004414FD" w:rsidRDefault="005708A0" w:rsidP="005708A0">
      <w:pPr>
        <w:spacing w:before="240" w:after="120"/>
        <w:jc w:val="center"/>
        <w:rPr>
          <w:rFonts w:ascii="Times" w:hAnsi="Times" w:cs="Times New Roman"/>
          <w:sz w:val="36"/>
        </w:rPr>
      </w:pPr>
      <w:r>
        <w:rPr>
          <w:noProof/>
        </w:rPr>
        <w:drawing>
          <wp:inline distT="0" distB="0" distL="0" distR="0" wp14:anchorId="5E39964B" wp14:editId="624798AE">
            <wp:extent cx="5486400" cy="3706586"/>
            <wp:effectExtent l="0" t="0" r="0" b="1905"/>
            <wp:docPr id="268" name="Chart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r w:rsidRPr="00F00202">
        <w:rPr>
          <w:rFonts w:ascii="Times" w:hAnsi="Times" w:cs="Times New Roman"/>
          <w:b/>
        </w:rPr>
        <w:t xml:space="preserve"> </w:t>
      </w:r>
      <w:r w:rsidR="005F2C56">
        <w:rPr>
          <w:rFonts w:ascii="Times" w:hAnsi="Times" w:cs="Times New Roman"/>
          <w:b/>
        </w:rPr>
        <w:t>Figure 4.46</w:t>
      </w:r>
      <w:r>
        <w:rPr>
          <w:rFonts w:ascii="Times" w:hAnsi="Times" w:cs="Times New Roman"/>
          <w:b/>
        </w:rPr>
        <w:t xml:space="preserve">: </w:t>
      </w:r>
      <w:r>
        <w:rPr>
          <w:rFonts w:ascii="Times" w:hAnsi="Times" w:cs="Times New Roman"/>
        </w:rPr>
        <w:t>Leachate pH over 7 day period for E-CS samples</w:t>
      </w:r>
    </w:p>
    <w:p w14:paraId="6562B4B5" w14:textId="59032007" w:rsidR="005708A0" w:rsidRPr="00FF7F58" w:rsidRDefault="006445B0" w:rsidP="005708A0">
      <w:pPr>
        <w:spacing w:before="240" w:after="120" w:line="480" w:lineRule="exact"/>
        <w:jc w:val="both"/>
        <w:rPr>
          <w:rFonts w:ascii="Times" w:hAnsi="Times" w:cs="Times New Roman"/>
          <w:sz w:val="36"/>
        </w:rPr>
      </w:pPr>
      <w:r>
        <w:rPr>
          <w:rFonts w:ascii="Times New Roman" w:hAnsi="Times New Roman" w:cs="Times New Roman"/>
        </w:rPr>
        <w:lastRenderedPageBreak/>
        <w:t>Gordon and Brady [58</w:t>
      </w:r>
      <w:r w:rsidR="005708A0">
        <w:rPr>
          <w:rFonts w:ascii="Times New Roman" w:hAnsi="Times New Roman" w:cs="Times New Roman"/>
        </w:rPr>
        <w:t>] also investigated the pH of pore solution of the cement itself, and found that once the OH</w:t>
      </w:r>
      <w:r w:rsidR="005708A0">
        <w:rPr>
          <w:rFonts w:ascii="Times New Roman" w:hAnsi="Times New Roman" w:cs="Times New Roman"/>
          <w:vertAlign w:val="superscript"/>
        </w:rPr>
        <w:t>-</w:t>
      </w:r>
      <w:r w:rsidR="005708A0">
        <w:rPr>
          <w:rFonts w:ascii="Times New Roman" w:hAnsi="Times New Roman" w:cs="Times New Roman"/>
        </w:rPr>
        <w:t xml:space="preserve"> was produced at the cathode side it moved towards the anode by travelling through the cement sample, while the H</w:t>
      </w:r>
      <w:r w:rsidR="005708A0">
        <w:rPr>
          <w:rFonts w:ascii="Times New Roman" w:hAnsi="Times New Roman" w:cs="Times New Roman"/>
          <w:vertAlign w:val="superscript"/>
        </w:rPr>
        <w:t>+</w:t>
      </w:r>
      <w:r w:rsidR="005708A0">
        <w:rPr>
          <w:rFonts w:ascii="Times New Roman" w:hAnsi="Times New Roman" w:cs="Times New Roman"/>
        </w:rPr>
        <w:t xml:space="preserve"> produced at the anode side moved to the cathode.  They also found that H</w:t>
      </w:r>
      <w:r w:rsidR="005708A0">
        <w:rPr>
          <w:rFonts w:ascii="Times New Roman" w:hAnsi="Times New Roman" w:cs="Times New Roman"/>
          <w:vertAlign w:val="superscript"/>
        </w:rPr>
        <w:t xml:space="preserve">+ </w:t>
      </w:r>
      <w:r w:rsidR="005708A0">
        <w:rPr>
          <w:rFonts w:ascii="Times New Roman" w:hAnsi="Times New Roman" w:cs="Times New Roman"/>
        </w:rPr>
        <w:t>that flowed was neutralised by the excess OH</w:t>
      </w:r>
      <w:r w:rsidR="005708A0">
        <w:rPr>
          <w:rFonts w:ascii="Times New Roman" w:hAnsi="Times New Roman" w:cs="Times New Roman"/>
          <w:vertAlign w:val="superscript"/>
        </w:rPr>
        <w:t>-</w:t>
      </w:r>
      <w:r w:rsidR="005708A0">
        <w:rPr>
          <w:rFonts w:ascii="Times New Roman" w:hAnsi="Times New Roman" w:cs="Times New Roman"/>
        </w:rPr>
        <w:t>. The same amounts of OH</w:t>
      </w:r>
      <w:r w:rsidR="005708A0">
        <w:rPr>
          <w:rFonts w:ascii="Times New Roman" w:hAnsi="Times New Roman" w:cs="Times New Roman"/>
          <w:vertAlign w:val="superscript"/>
        </w:rPr>
        <w:t>-</w:t>
      </w:r>
      <w:r w:rsidR="005708A0">
        <w:rPr>
          <w:rFonts w:ascii="Times New Roman" w:hAnsi="Times New Roman" w:cs="Times New Roman"/>
        </w:rPr>
        <w:t xml:space="preserve"> were produced as a product of electrolysis on the cathode side as H</w:t>
      </w:r>
      <w:r w:rsidR="005708A0">
        <w:rPr>
          <w:rFonts w:ascii="Times New Roman" w:hAnsi="Times New Roman" w:cs="Times New Roman"/>
          <w:vertAlign w:val="superscript"/>
        </w:rPr>
        <w:t>+</w:t>
      </w:r>
      <w:r w:rsidR="005708A0">
        <w:rPr>
          <w:rFonts w:ascii="Times New Roman" w:hAnsi="Times New Roman" w:cs="Times New Roman"/>
        </w:rPr>
        <w:t xml:space="preserve"> on the anode side, therefore meaning there was excess OH</w:t>
      </w:r>
      <w:r w:rsidR="005708A0">
        <w:rPr>
          <w:rFonts w:ascii="Times New Roman" w:hAnsi="Times New Roman" w:cs="Times New Roman"/>
          <w:vertAlign w:val="superscript"/>
        </w:rPr>
        <w:t>-</w:t>
      </w:r>
      <w:r w:rsidR="005708A0">
        <w:rPr>
          <w:rFonts w:ascii="Times New Roman" w:hAnsi="Times New Roman" w:cs="Times New Roman"/>
        </w:rPr>
        <w:t xml:space="preserve"> from the portlandite diffusion. As a result acidification of the </w:t>
      </w:r>
      <w:r w:rsidR="00971672">
        <w:rPr>
          <w:rFonts w:ascii="Times New Roman" w:hAnsi="Times New Roman" w:cs="Times New Roman"/>
        </w:rPr>
        <w:t>surface</w:t>
      </w:r>
      <w:r w:rsidR="00D77C9F">
        <w:rPr>
          <w:rFonts w:ascii="Times New Roman" w:hAnsi="Times New Roman" w:cs="Times New Roman"/>
        </w:rPr>
        <w:t xml:space="preserve"> of the </w:t>
      </w:r>
      <w:r w:rsidR="005708A0">
        <w:rPr>
          <w:rFonts w:ascii="Times New Roman" w:hAnsi="Times New Roman" w:cs="Times New Roman"/>
        </w:rPr>
        <w:t>sample was highly unlikely. Again this will cause an impact on the degradation of either side of the sample. However it was found that in the middle of the sample, at equidistance from both exposure surfaces, contained a pH similar to the initial pH of the sample before leaching. Figures 4.42 and 4.43 also show that the pH reaches a constant at around 12 on the cathode side, t</w:t>
      </w:r>
      <w:r>
        <w:rPr>
          <w:rFonts w:ascii="Times New Roman" w:hAnsi="Times New Roman" w:cs="Times New Roman"/>
        </w:rPr>
        <w:t>his supports Dell’Orso et al [65</w:t>
      </w:r>
      <w:r w:rsidR="005708A0">
        <w:rPr>
          <w:rFonts w:ascii="Times New Roman" w:hAnsi="Times New Roman" w:cs="Times New Roman"/>
        </w:rPr>
        <w:t>].</w:t>
      </w:r>
    </w:p>
    <w:p w14:paraId="16BB6F81" w14:textId="35D031F3" w:rsidR="005708A0" w:rsidRDefault="005708A0" w:rsidP="005708A0">
      <w:pPr>
        <w:spacing w:before="240" w:after="120" w:line="480" w:lineRule="exact"/>
        <w:jc w:val="both"/>
        <w:rPr>
          <w:rFonts w:ascii="Times New Roman" w:hAnsi="Times New Roman" w:cs="Times New Roman"/>
        </w:rPr>
      </w:pPr>
      <w:r>
        <w:rPr>
          <w:rFonts w:ascii="Times New Roman" w:hAnsi="Times New Roman" w:cs="Times New Roman"/>
        </w:rPr>
        <w:t>The TGA data of the electrical leaching tests showed an increase</w:t>
      </w:r>
      <w:r w:rsidR="006445B0">
        <w:rPr>
          <w:rFonts w:ascii="Times New Roman" w:hAnsi="Times New Roman" w:cs="Times New Roman"/>
        </w:rPr>
        <w:t xml:space="preserve"> in C-S-H. Castellote et al. [60</w:t>
      </w:r>
      <w:r>
        <w:rPr>
          <w:rFonts w:ascii="Times New Roman" w:hAnsi="Times New Roman" w:cs="Times New Roman"/>
        </w:rPr>
        <w:t>] studied the microstructural changes in cement paste as a result of electrical leaching. They found that the leached crystalline phases (pore size of 0.07</w:t>
      </w:r>
      <w:r w:rsidR="00240649">
        <w:rPr>
          <w:rFonts w:ascii="Times New Roman" w:hAnsi="Times New Roman" w:cs="Times New Roman"/>
        </w:rPr>
        <w:t xml:space="preserve"> ug</w:t>
      </w:r>
      <w:r>
        <w:rPr>
          <w:rFonts w:ascii="Times New Roman" w:hAnsi="Times New Roman" w:cs="Times New Roman"/>
        </w:rPr>
        <w:t xml:space="preserve">), later precipitate as an </w:t>
      </w:r>
      <w:r w:rsidR="00971672">
        <w:rPr>
          <w:rFonts w:ascii="Times New Roman" w:hAnsi="Times New Roman" w:cs="Times New Roman"/>
        </w:rPr>
        <w:t>amorphous</w:t>
      </w:r>
      <w:r>
        <w:rPr>
          <w:rFonts w:ascii="Times New Roman" w:hAnsi="Times New Roman" w:cs="Times New Roman"/>
        </w:rPr>
        <w:t xml:space="preserve"> phase in the smaller pores, with </w:t>
      </w:r>
      <w:r w:rsidR="005F2C56">
        <w:rPr>
          <w:rFonts w:ascii="Times New Roman" w:hAnsi="Times New Roman" w:cs="Times New Roman"/>
        </w:rPr>
        <w:t>some being located in the C-S-H</w:t>
      </w:r>
      <w:r>
        <w:rPr>
          <w:rFonts w:ascii="Times New Roman" w:hAnsi="Times New Roman" w:cs="Times New Roman"/>
        </w:rPr>
        <w:t xml:space="preserve"> gel layers therefore increasing the amorphous fract</w:t>
      </w:r>
      <w:r w:rsidR="00415E32">
        <w:rPr>
          <w:rFonts w:ascii="Times New Roman" w:hAnsi="Times New Roman" w:cs="Times New Roman"/>
        </w:rPr>
        <w:t xml:space="preserve">ion. </w:t>
      </w:r>
      <w:proofErr w:type="gramStart"/>
      <w:r w:rsidR="00415E32">
        <w:rPr>
          <w:rFonts w:ascii="Times New Roman" w:hAnsi="Times New Roman" w:cs="Times New Roman"/>
        </w:rPr>
        <w:t>This was further supported</w:t>
      </w:r>
      <w:r w:rsidR="005F2C56">
        <w:rPr>
          <w:rFonts w:ascii="Times New Roman" w:hAnsi="Times New Roman" w:cs="Times New Roman"/>
        </w:rPr>
        <w:t xml:space="preserve"> </w:t>
      </w:r>
      <w:r>
        <w:rPr>
          <w:rFonts w:ascii="Times New Roman" w:hAnsi="Times New Roman" w:cs="Times New Roman"/>
        </w:rPr>
        <w:t>by Hindrichs and Odl</w:t>
      </w:r>
      <w:r w:rsidR="00415E32">
        <w:rPr>
          <w:rFonts w:ascii="Times New Roman" w:hAnsi="Times New Roman" w:cs="Times New Roman"/>
        </w:rPr>
        <w:t>er</w:t>
      </w:r>
      <w:proofErr w:type="gramEnd"/>
      <w:r w:rsidR="00415E32">
        <w:rPr>
          <w:rFonts w:ascii="Times New Roman" w:hAnsi="Times New Roman" w:cs="Times New Roman"/>
        </w:rPr>
        <w:t xml:space="preserve"> [66</w:t>
      </w:r>
      <w:r>
        <w:rPr>
          <w:rFonts w:ascii="Times New Roman" w:hAnsi="Times New Roman" w:cs="Times New Roman"/>
        </w:rPr>
        <w:t xml:space="preserve">] where it was considered the C-S-H and </w:t>
      </w:r>
      <w:r w:rsidR="00240649">
        <w:rPr>
          <w:rFonts w:ascii="Times New Roman" w:hAnsi="Times New Roman" w:cs="Times New Roman"/>
        </w:rPr>
        <w:t>p</w:t>
      </w:r>
      <w:r>
        <w:rPr>
          <w:rFonts w:ascii="Times New Roman" w:hAnsi="Times New Roman" w:cs="Times New Roman"/>
        </w:rPr>
        <w:t xml:space="preserve">ortlandite were in solid solution therefore with an increase in Ca and precipitation of </w:t>
      </w:r>
      <w:r w:rsidR="00240649">
        <w:rPr>
          <w:rFonts w:ascii="Times New Roman" w:hAnsi="Times New Roman" w:cs="Times New Roman"/>
        </w:rPr>
        <w:t>portlandite</w:t>
      </w:r>
      <w:r>
        <w:rPr>
          <w:rFonts w:ascii="Times New Roman" w:hAnsi="Times New Roman" w:cs="Times New Roman"/>
        </w:rPr>
        <w:t xml:space="preserve">, it is likely that new C-S-H would form. </w:t>
      </w:r>
    </w:p>
    <w:p w14:paraId="24CF3599" w14:textId="0F18FA1E" w:rsidR="0030528A" w:rsidRDefault="00167DDB" w:rsidP="00167DDB">
      <w:pPr>
        <w:spacing w:before="240" w:after="120" w:line="480" w:lineRule="exact"/>
        <w:jc w:val="both"/>
        <w:rPr>
          <w:rFonts w:ascii="Times New Roman" w:hAnsi="Times New Roman" w:cs="Times New Roman"/>
        </w:rPr>
      </w:pPr>
      <w:r>
        <w:rPr>
          <w:rFonts w:ascii="Times New Roman" w:hAnsi="Times New Roman" w:cs="Times New Roman"/>
        </w:rPr>
        <w:t>A limitation of this study was the use of deionised water, as according to Gl</w:t>
      </w:r>
      <w:r w:rsidR="0030528A">
        <w:rPr>
          <w:rFonts w:ascii="Times New Roman" w:hAnsi="Times New Roman" w:cs="Times New Roman"/>
        </w:rPr>
        <w:t>asser [67</w:t>
      </w:r>
      <w:r>
        <w:rPr>
          <w:rFonts w:ascii="Times New Roman" w:hAnsi="Times New Roman" w:cs="Times New Roman"/>
        </w:rPr>
        <w:t>] deionised water may enhance cement matrix dissolution and it was found that it had the most pronounced effect on the Cs leach rate. This behaviour is different than what would be expected with some natural groundwaters that are of moderate hardness [12]. Furthermore it was found that the carbonat</w:t>
      </w:r>
      <w:r w:rsidR="00AA4204">
        <w:rPr>
          <w:rFonts w:ascii="Times New Roman" w:hAnsi="Times New Roman" w:cs="Times New Roman"/>
        </w:rPr>
        <w:t>e</w:t>
      </w:r>
      <w:r>
        <w:rPr>
          <w:rFonts w:ascii="Times New Roman" w:hAnsi="Times New Roman" w:cs="Times New Roman"/>
        </w:rPr>
        <w:t xml:space="preserve"> from groundwater </w:t>
      </w:r>
      <w:proofErr w:type="gramStart"/>
      <w:r>
        <w:rPr>
          <w:rFonts w:ascii="Times New Roman" w:hAnsi="Times New Roman" w:cs="Times New Roman"/>
        </w:rPr>
        <w:t>can</w:t>
      </w:r>
      <w:proofErr w:type="gramEnd"/>
      <w:r>
        <w:rPr>
          <w:rFonts w:ascii="Times New Roman" w:hAnsi="Times New Roman" w:cs="Times New Roman"/>
        </w:rPr>
        <w:t xml:space="preserve"> partially restore capillary pores and cracks reducing permeability. It also clogs pores and forms a</w:t>
      </w:r>
      <w:r w:rsidR="005F2C56">
        <w:rPr>
          <w:rFonts w:ascii="Times New Roman" w:hAnsi="Times New Roman" w:cs="Times New Roman"/>
        </w:rPr>
        <w:t>n</w:t>
      </w:r>
      <w:r>
        <w:rPr>
          <w:rFonts w:ascii="Times New Roman" w:hAnsi="Times New Roman" w:cs="Times New Roman"/>
        </w:rPr>
        <w:t xml:space="preserve"> obstructive calcite </w:t>
      </w:r>
      <w:proofErr w:type="gramStart"/>
      <w:r>
        <w:rPr>
          <w:rFonts w:ascii="Times New Roman" w:hAnsi="Times New Roman" w:cs="Times New Roman"/>
        </w:rPr>
        <w:t>layer which</w:t>
      </w:r>
      <w:proofErr w:type="gramEnd"/>
      <w:r>
        <w:rPr>
          <w:rFonts w:ascii="Times New Roman" w:hAnsi="Times New Roman" w:cs="Times New Roman"/>
        </w:rPr>
        <w:t xml:space="preserve"> in turn decreases the leach rate. Therefore the difference in leaching behaviour between samples in deionised water and samples in </w:t>
      </w:r>
      <w:r>
        <w:rPr>
          <w:rFonts w:ascii="Times New Roman" w:hAnsi="Times New Roman" w:cs="Times New Roman"/>
        </w:rPr>
        <w:lastRenderedPageBreak/>
        <w:t>extracted groundwater should be investigated to quantify the differences in leaching between the methods, and establish whether they are significant [64].</w:t>
      </w:r>
    </w:p>
    <w:p w14:paraId="7DFC225B" w14:textId="4C400546" w:rsidR="00167DDB" w:rsidRPr="0030528A" w:rsidRDefault="00167DDB" w:rsidP="0030528A">
      <w:pPr>
        <w:widowControl w:val="0"/>
        <w:autoSpaceDE w:val="0"/>
        <w:autoSpaceDN w:val="0"/>
        <w:adjustRightInd w:val="0"/>
        <w:spacing w:after="240" w:line="480" w:lineRule="exact"/>
        <w:jc w:val="both"/>
        <w:rPr>
          <w:rFonts w:ascii="Times" w:hAnsi="Times" w:cs="Times"/>
        </w:rPr>
      </w:pPr>
      <w:r>
        <w:rPr>
          <w:rFonts w:ascii="Times New Roman" w:hAnsi="Times New Roman" w:cs="Times New Roman"/>
        </w:rPr>
        <w:t>Although the above mentioned methods are the generally recognised accelerated leaching methods, there is another factor which can also impact leaching and can be investigated</w:t>
      </w:r>
      <w:r w:rsidR="0030528A">
        <w:rPr>
          <w:rFonts w:ascii="Times New Roman" w:hAnsi="Times New Roman" w:cs="Times New Roman"/>
        </w:rPr>
        <w:t xml:space="preserve"> in future work. Ojovan et al [69</w:t>
      </w:r>
      <w:r>
        <w:rPr>
          <w:rFonts w:ascii="Times New Roman" w:hAnsi="Times New Roman" w:cs="Times New Roman"/>
        </w:rPr>
        <w:t>] studied the impact of the temperature on the leaching rates.  They found that a repository temperature of between 4-14</w:t>
      </w:r>
      <w:r>
        <w:rPr>
          <w:rFonts w:ascii="Times New Roman" w:hAnsi="Times New Roman" w:cs="Times New Roman"/>
        </w:rPr>
        <w:softHyphen/>
      </w:r>
      <w:r>
        <w:rPr>
          <w:rFonts w:ascii="Times New Roman" w:hAnsi="Times New Roman" w:cs="Times New Roman"/>
          <w:vertAlign w:val="superscript"/>
        </w:rPr>
        <w:t>o</w:t>
      </w:r>
      <w:r>
        <w:rPr>
          <w:rFonts w:ascii="Times New Roman" w:hAnsi="Times New Roman" w:cs="Times New Roman"/>
        </w:rPr>
        <w:t>C decreased the leaching rate by a factor of approximately 10. They also found that as temperature increased the leaching rate increased also, this is important in experiments where a repository environment is simulated as temperatures vary, and therefore there is scope to study this further in the future. This is also a concern as elevated temperatures can have a compromising impact on the structural integrity of the cements</w:t>
      </w:r>
      <w:r w:rsidR="00AA4204">
        <w:rPr>
          <w:rFonts w:ascii="Times New Roman" w:hAnsi="Times New Roman" w:cs="Times New Roman"/>
        </w:rPr>
        <w:t xml:space="preserve">, therefore in future work the temperature of the leachate solution could be monitored in the various leaching methods and then </w:t>
      </w:r>
      <w:r w:rsidR="006737D8">
        <w:rPr>
          <w:rFonts w:ascii="Times New Roman" w:hAnsi="Times New Roman" w:cs="Times New Roman"/>
        </w:rPr>
        <w:t>elevated</w:t>
      </w:r>
      <w:r w:rsidR="00AA4204">
        <w:rPr>
          <w:rFonts w:ascii="Times New Roman" w:hAnsi="Times New Roman" w:cs="Times New Roman"/>
        </w:rPr>
        <w:t xml:space="preserve"> to test the impact of this the leaching behaviour and the cement structure. </w:t>
      </w:r>
    </w:p>
    <w:p w14:paraId="43DD7D27" w14:textId="77777777" w:rsidR="005708A0" w:rsidRDefault="005708A0" w:rsidP="005708A0">
      <w:pPr>
        <w:widowControl w:val="0"/>
        <w:autoSpaceDE w:val="0"/>
        <w:autoSpaceDN w:val="0"/>
        <w:adjustRightInd w:val="0"/>
        <w:spacing w:after="240" w:line="480" w:lineRule="exact"/>
        <w:rPr>
          <w:rFonts w:ascii="Times" w:hAnsi="Times" w:cs="Times"/>
        </w:rPr>
      </w:pPr>
    </w:p>
    <w:p w14:paraId="23172BA5" w14:textId="77777777" w:rsidR="005708A0" w:rsidRDefault="005708A0" w:rsidP="005708A0">
      <w:pPr>
        <w:widowControl w:val="0"/>
        <w:autoSpaceDE w:val="0"/>
        <w:autoSpaceDN w:val="0"/>
        <w:adjustRightInd w:val="0"/>
        <w:spacing w:after="240" w:line="480" w:lineRule="exact"/>
        <w:rPr>
          <w:rFonts w:ascii="Times" w:hAnsi="Times" w:cs="Times"/>
        </w:rPr>
      </w:pPr>
    </w:p>
    <w:p w14:paraId="08E2B986" w14:textId="77777777" w:rsidR="002C449D" w:rsidRDefault="002C449D" w:rsidP="005708A0">
      <w:pPr>
        <w:widowControl w:val="0"/>
        <w:autoSpaceDE w:val="0"/>
        <w:autoSpaceDN w:val="0"/>
        <w:adjustRightInd w:val="0"/>
        <w:spacing w:after="240" w:line="480" w:lineRule="exact"/>
        <w:rPr>
          <w:rFonts w:ascii="Times" w:hAnsi="Times" w:cs="Times"/>
        </w:rPr>
      </w:pPr>
    </w:p>
    <w:p w14:paraId="7CF3EE9E" w14:textId="77777777" w:rsidR="002C449D" w:rsidRDefault="002C449D" w:rsidP="005708A0">
      <w:pPr>
        <w:widowControl w:val="0"/>
        <w:autoSpaceDE w:val="0"/>
        <w:autoSpaceDN w:val="0"/>
        <w:adjustRightInd w:val="0"/>
        <w:spacing w:after="240" w:line="480" w:lineRule="exact"/>
        <w:rPr>
          <w:rFonts w:ascii="Times" w:hAnsi="Times" w:cs="Times"/>
        </w:rPr>
      </w:pPr>
    </w:p>
    <w:p w14:paraId="3516124B" w14:textId="77777777" w:rsidR="002C449D" w:rsidRDefault="002C449D" w:rsidP="005708A0">
      <w:pPr>
        <w:widowControl w:val="0"/>
        <w:autoSpaceDE w:val="0"/>
        <w:autoSpaceDN w:val="0"/>
        <w:adjustRightInd w:val="0"/>
        <w:spacing w:after="240" w:line="480" w:lineRule="exact"/>
        <w:rPr>
          <w:rFonts w:ascii="Times" w:hAnsi="Times" w:cs="Times"/>
        </w:rPr>
      </w:pPr>
    </w:p>
    <w:p w14:paraId="2AC89A7E" w14:textId="77777777" w:rsidR="002C449D" w:rsidRDefault="002C449D" w:rsidP="005708A0">
      <w:pPr>
        <w:widowControl w:val="0"/>
        <w:autoSpaceDE w:val="0"/>
        <w:autoSpaceDN w:val="0"/>
        <w:adjustRightInd w:val="0"/>
        <w:spacing w:after="240" w:line="480" w:lineRule="exact"/>
        <w:rPr>
          <w:rFonts w:ascii="Times" w:hAnsi="Times" w:cs="Times"/>
        </w:rPr>
      </w:pPr>
    </w:p>
    <w:p w14:paraId="6CDBA60B" w14:textId="77777777" w:rsidR="002C449D" w:rsidRDefault="002C449D" w:rsidP="005708A0">
      <w:pPr>
        <w:widowControl w:val="0"/>
        <w:autoSpaceDE w:val="0"/>
        <w:autoSpaceDN w:val="0"/>
        <w:adjustRightInd w:val="0"/>
        <w:spacing w:after="240" w:line="480" w:lineRule="exact"/>
        <w:rPr>
          <w:rFonts w:ascii="Times" w:hAnsi="Times" w:cs="Times"/>
        </w:rPr>
      </w:pPr>
    </w:p>
    <w:p w14:paraId="378F4A1C" w14:textId="77777777" w:rsidR="0030528A" w:rsidRDefault="0030528A" w:rsidP="005708A0">
      <w:pPr>
        <w:widowControl w:val="0"/>
        <w:autoSpaceDE w:val="0"/>
        <w:autoSpaceDN w:val="0"/>
        <w:adjustRightInd w:val="0"/>
        <w:spacing w:after="240" w:line="480" w:lineRule="exact"/>
        <w:rPr>
          <w:rFonts w:ascii="Times" w:hAnsi="Times" w:cs="Times"/>
        </w:rPr>
      </w:pPr>
    </w:p>
    <w:p w14:paraId="48FBDCBC" w14:textId="77777777" w:rsidR="000E18FE" w:rsidRDefault="000E18FE" w:rsidP="005708A0">
      <w:pPr>
        <w:widowControl w:val="0"/>
        <w:autoSpaceDE w:val="0"/>
        <w:autoSpaceDN w:val="0"/>
        <w:adjustRightInd w:val="0"/>
        <w:spacing w:after="240" w:line="480" w:lineRule="exact"/>
        <w:rPr>
          <w:rFonts w:ascii="Times" w:hAnsi="Times" w:cs="Times"/>
        </w:rPr>
      </w:pPr>
    </w:p>
    <w:p w14:paraId="4AF210B0" w14:textId="77777777" w:rsidR="005708A0" w:rsidRDefault="005708A0" w:rsidP="005708A0">
      <w:pPr>
        <w:spacing w:before="240" w:after="120" w:line="480" w:lineRule="exact"/>
        <w:jc w:val="both"/>
        <w:outlineLvl w:val="0"/>
        <w:rPr>
          <w:rFonts w:ascii="Times New Roman" w:hAnsi="Times New Roman" w:cs="Times New Roman"/>
          <w:b/>
          <w:bCs/>
          <w:smallCaps/>
          <w:sz w:val="36"/>
          <w:szCs w:val="28"/>
          <w:u w:val="single"/>
        </w:rPr>
      </w:pPr>
      <w:r>
        <w:rPr>
          <w:rFonts w:ascii="Times New Roman" w:hAnsi="Times New Roman" w:cs="Times New Roman"/>
          <w:b/>
          <w:bCs/>
          <w:smallCaps/>
          <w:sz w:val="36"/>
          <w:szCs w:val="28"/>
          <w:u w:val="single"/>
        </w:rPr>
        <w:lastRenderedPageBreak/>
        <w:t>4.2.2</w:t>
      </w:r>
      <w:r>
        <w:rPr>
          <w:rFonts w:ascii="Times New Roman" w:hAnsi="Times New Roman" w:cs="Times New Roman"/>
          <w:b/>
          <w:bCs/>
          <w:smallCaps/>
          <w:sz w:val="36"/>
          <w:szCs w:val="28"/>
          <w:u w:val="single"/>
        </w:rPr>
        <w:tab/>
        <w:t>Cement Degradation During Leaching</w:t>
      </w:r>
    </w:p>
    <w:p w14:paraId="43770F2C" w14:textId="36B8F374" w:rsidR="005708A0" w:rsidRDefault="002C449D" w:rsidP="005708A0">
      <w:pPr>
        <w:spacing w:before="240" w:after="120" w:line="480" w:lineRule="exact"/>
        <w:jc w:val="both"/>
        <w:outlineLvl w:val="0"/>
        <w:rPr>
          <w:rFonts w:ascii="Times" w:hAnsi="Times" w:cs="Times New Roman"/>
          <w:iCs/>
        </w:rPr>
      </w:pPr>
      <w:r w:rsidRPr="002C449D">
        <w:rPr>
          <w:rFonts w:ascii="Times" w:hAnsi="Times" w:cs="Times New Roman"/>
          <w:iCs/>
        </w:rPr>
        <w:t>The diffusion depth was investigated to understand the degradation behaviour over time with varying depth.</w:t>
      </w:r>
      <w:r w:rsidR="005708A0">
        <w:rPr>
          <w:rFonts w:ascii="Times" w:hAnsi="Times" w:cs="Times New Roman"/>
          <w:iCs/>
        </w:rPr>
        <w:t xml:space="preserve"> </w:t>
      </w:r>
      <w:r w:rsidRPr="002C449D">
        <w:rPr>
          <w:rFonts w:ascii="Times" w:hAnsi="Times" w:cs="Times New Roman"/>
          <w:iCs/>
        </w:rPr>
        <w:t xml:space="preserve">The study focuses on the semi static leaching test, as it indicated a degree of acceleration in leaching without obvious alteration in the leaching mechanism. </w:t>
      </w:r>
      <w:r w:rsidR="005708A0">
        <w:rPr>
          <w:rFonts w:ascii="Times" w:hAnsi="Times" w:cs="Times New Roman"/>
          <w:iCs/>
        </w:rPr>
        <w:t>Cement samples were removed and cut at the end of each leaching cycle. Disc samples were dissected at</w:t>
      </w:r>
      <w:r>
        <w:rPr>
          <w:rFonts w:ascii="Times" w:hAnsi="Times" w:cs="Times New Roman"/>
          <w:iCs/>
        </w:rPr>
        <w:t xml:space="preserve"> every</w:t>
      </w:r>
      <w:r w:rsidR="005708A0">
        <w:rPr>
          <w:rFonts w:ascii="Times" w:hAnsi="Times" w:cs="Times New Roman"/>
          <w:iCs/>
        </w:rPr>
        <w:t xml:space="preserve"> 5mm</w:t>
      </w:r>
      <w:r>
        <w:rPr>
          <w:rFonts w:ascii="Times" w:hAnsi="Times" w:cs="Times New Roman"/>
          <w:iCs/>
        </w:rPr>
        <w:t xml:space="preserve"> intervals</w:t>
      </w:r>
      <w:r w:rsidR="005708A0">
        <w:rPr>
          <w:rFonts w:ascii="Times" w:hAnsi="Times" w:cs="Times New Roman"/>
          <w:iCs/>
        </w:rPr>
        <w:t xml:space="preserve"> from the exposure surface </w:t>
      </w:r>
      <w:r>
        <w:rPr>
          <w:rFonts w:ascii="Times" w:hAnsi="Times" w:cs="Times New Roman"/>
          <w:iCs/>
        </w:rPr>
        <w:t xml:space="preserve">to </w:t>
      </w:r>
      <w:r w:rsidR="005708A0">
        <w:rPr>
          <w:rFonts w:ascii="Times" w:hAnsi="Times" w:cs="Times New Roman"/>
          <w:iCs/>
        </w:rPr>
        <w:t xml:space="preserve">a total of </w:t>
      </w:r>
      <w:proofErr w:type="gramStart"/>
      <w:r w:rsidR="005708A0">
        <w:rPr>
          <w:rFonts w:ascii="Times" w:hAnsi="Times" w:cs="Times New Roman"/>
          <w:iCs/>
        </w:rPr>
        <w:t>15mm,</w:t>
      </w:r>
      <w:proofErr w:type="gramEnd"/>
      <w:r w:rsidR="005708A0">
        <w:rPr>
          <w:rFonts w:ascii="Times" w:hAnsi="Times" w:cs="Times New Roman"/>
          <w:iCs/>
        </w:rPr>
        <w:t xml:space="preserve"> these are respectively labelled 1, 2 and 3, with 1 being th</w:t>
      </w:r>
      <w:r>
        <w:rPr>
          <w:rFonts w:ascii="Times" w:hAnsi="Times" w:cs="Times New Roman"/>
          <w:iCs/>
        </w:rPr>
        <w:t xml:space="preserve">e </w:t>
      </w:r>
      <w:r w:rsidR="00D9263F">
        <w:rPr>
          <w:rFonts w:ascii="Times" w:hAnsi="Times" w:cs="Times New Roman"/>
          <w:iCs/>
        </w:rPr>
        <w:t>sample at the top of the sample exposed to the leachate</w:t>
      </w:r>
      <w:r>
        <w:rPr>
          <w:rFonts w:ascii="Times" w:hAnsi="Times" w:cs="Times New Roman"/>
          <w:iCs/>
        </w:rPr>
        <w:t>. This allows</w:t>
      </w:r>
      <w:r w:rsidR="005708A0">
        <w:rPr>
          <w:rFonts w:ascii="Times" w:hAnsi="Times" w:cs="Times New Roman"/>
          <w:iCs/>
        </w:rPr>
        <w:t xml:space="preserve"> for the analysis </w:t>
      </w:r>
      <w:r>
        <w:rPr>
          <w:rFonts w:ascii="Times" w:hAnsi="Times" w:cs="Times New Roman"/>
          <w:iCs/>
        </w:rPr>
        <w:t>a</w:t>
      </w:r>
      <w:r w:rsidR="009A5331">
        <w:rPr>
          <w:rFonts w:ascii="Times" w:hAnsi="Times" w:cs="Times New Roman"/>
          <w:iCs/>
        </w:rPr>
        <w:t>t</w:t>
      </w:r>
      <w:r>
        <w:rPr>
          <w:rFonts w:ascii="Times" w:hAnsi="Times" w:cs="Times New Roman"/>
          <w:iCs/>
        </w:rPr>
        <w:t xml:space="preserve"> different</w:t>
      </w:r>
      <w:r w:rsidR="005708A0">
        <w:rPr>
          <w:rFonts w:ascii="Times" w:hAnsi="Times" w:cs="Times New Roman"/>
          <w:iCs/>
        </w:rPr>
        <w:t xml:space="preserve"> depth within the samples. </w:t>
      </w:r>
    </w:p>
    <w:p w14:paraId="498DDFA7" w14:textId="77777777" w:rsidR="005708A0" w:rsidRDefault="005708A0" w:rsidP="005708A0">
      <w:pPr>
        <w:spacing w:before="240" w:after="120" w:line="480" w:lineRule="exact"/>
        <w:outlineLvl w:val="0"/>
        <w:rPr>
          <w:rFonts w:ascii="Times New Roman" w:hAnsi="Times New Roman" w:cs="Times New Roman"/>
          <w:b/>
          <w:bCs/>
          <w:smallCaps/>
          <w:sz w:val="32"/>
          <w:szCs w:val="28"/>
        </w:rPr>
      </w:pPr>
    </w:p>
    <w:p w14:paraId="62C9ED3F" w14:textId="77777777" w:rsidR="005708A0" w:rsidRPr="00A571B8" w:rsidRDefault="005708A0" w:rsidP="005708A0">
      <w:pPr>
        <w:spacing w:before="240" w:after="120" w:line="480" w:lineRule="exact"/>
        <w:outlineLvl w:val="0"/>
        <w:rPr>
          <w:rFonts w:ascii="Times New Roman" w:hAnsi="Times New Roman" w:cs="Times New Roman"/>
          <w:b/>
          <w:bCs/>
          <w:smallCaps/>
          <w:sz w:val="32"/>
          <w:szCs w:val="28"/>
        </w:rPr>
      </w:pPr>
      <w:r>
        <w:rPr>
          <w:rFonts w:ascii="Times New Roman" w:hAnsi="Times New Roman" w:cs="Times New Roman"/>
          <w:b/>
          <w:bCs/>
          <w:smallCaps/>
          <w:sz w:val="32"/>
          <w:szCs w:val="28"/>
        </w:rPr>
        <w:t>4.2.2</w:t>
      </w:r>
      <w:r w:rsidRPr="00181B32">
        <w:rPr>
          <w:rFonts w:ascii="Times New Roman" w:hAnsi="Times New Roman" w:cs="Times New Roman"/>
          <w:b/>
          <w:bCs/>
          <w:smallCaps/>
          <w:sz w:val="32"/>
          <w:szCs w:val="28"/>
        </w:rPr>
        <w:t>.1</w:t>
      </w:r>
      <w:r w:rsidRPr="00181B32">
        <w:rPr>
          <w:rFonts w:ascii="Times New Roman" w:hAnsi="Times New Roman" w:cs="Times New Roman"/>
          <w:b/>
          <w:bCs/>
          <w:smallCaps/>
          <w:sz w:val="32"/>
          <w:szCs w:val="28"/>
        </w:rPr>
        <w:tab/>
        <w:t>Results</w:t>
      </w:r>
    </w:p>
    <w:p w14:paraId="779F7315" w14:textId="77777777" w:rsidR="005708A0" w:rsidRDefault="005708A0" w:rsidP="005708A0">
      <w:pPr>
        <w:spacing w:before="240" w:after="120" w:line="480" w:lineRule="exact"/>
        <w:jc w:val="both"/>
        <w:outlineLvl w:val="0"/>
        <w:rPr>
          <w:rFonts w:ascii="Times" w:hAnsi="Times" w:cs="Times New Roman"/>
          <w:b/>
          <w:bCs/>
          <w:i/>
          <w:iCs/>
        </w:rPr>
      </w:pPr>
      <w:r>
        <w:rPr>
          <w:rFonts w:ascii="Times" w:hAnsi="Times" w:cs="Times New Roman"/>
          <w:b/>
          <w:bCs/>
          <w:i/>
          <w:iCs/>
        </w:rPr>
        <w:t xml:space="preserve">i. </w:t>
      </w:r>
      <w:r>
        <w:rPr>
          <w:rFonts w:ascii="Times" w:hAnsi="Times" w:cs="Times New Roman"/>
          <w:b/>
          <w:bCs/>
          <w:i/>
          <w:iCs/>
        </w:rPr>
        <w:tab/>
        <w:t>X-ray diffraction (XRD)</w:t>
      </w:r>
    </w:p>
    <w:p w14:paraId="3B0EEDBB" w14:textId="679839F6" w:rsidR="005708A0" w:rsidRDefault="005708A0" w:rsidP="005708A0">
      <w:pPr>
        <w:spacing w:before="240" w:after="120" w:line="480" w:lineRule="exact"/>
        <w:jc w:val="both"/>
        <w:rPr>
          <w:rFonts w:ascii="Times" w:hAnsi="Times" w:cs="Times New Roman"/>
          <w:iCs/>
        </w:rPr>
      </w:pPr>
      <w:r>
        <w:rPr>
          <w:rFonts w:ascii="Times" w:hAnsi="Times" w:cs="Times New Roman"/>
          <w:iCs/>
        </w:rPr>
        <w:t xml:space="preserve">The </w:t>
      </w:r>
      <w:r w:rsidRPr="006E4005">
        <w:rPr>
          <w:rFonts w:ascii="Times" w:hAnsi="Times" w:cs="Times New Roman"/>
          <w:b/>
          <w:iCs/>
        </w:rPr>
        <w:t>7DB</w:t>
      </w:r>
      <w:r>
        <w:rPr>
          <w:rFonts w:ascii="Times" w:hAnsi="Times" w:cs="Times New Roman"/>
          <w:iCs/>
        </w:rPr>
        <w:t xml:space="preserve"> trace is sho</w:t>
      </w:r>
      <w:r w:rsidR="004A5DC1">
        <w:rPr>
          <w:rFonts w:ascii="Times" w:hAnsi="Times" w:cs="Times New Roman"/>
          <w:iCs/>
        </w:rPr>
        <w:t xml:space="preserve">wn for all three samples in figure </w:t>
      </w:r>
      <w:r>
        <w:rPr>
          <w:rFonts w:ascii="Times" w:hAnsi="Times" w:cs="Times New Roman"/>
          <w:iCs/>
        </w:rPr>
        <w:t xml:space="preserve">4.44. The </w:t>
      </w:r>
      <w:r>
        <w:rPr>
          <w:rFonts w:ascii="Times New Roman" w:hAnsi="Times New Roman" w:cs="Times New Roman"/>
        </w:rPr>
        <w:t>distinct peaks</w:t>
      </w:r>
      <w:r w:rsidR="004A5DC1">
        <w:rPr>
          <w:rFonts w:ascii="Times New Roman" w:hAnsi="Times New Roman" w:cs="Times New Roman"/>
        </w:rPr>
        <w:t xml:space="preserve"> shown</w:t>
      </w:r>
      <w:r>
        <w:rPr>
          <w:rFonts w:ascii="Times New Roman" w:hAnsi="Times New Roman" w:cs="Times New Roman"/>
        </w:rPr>
        <w:t xml:space="preserve"> at 38 and 44</w:t>
      </w:r>
      <w:r>
        <w:rPr>
          <w:rFonts w:ascii="Times New Roman" w:hAnsi="Times New Roman" w:cs="Times New Roman"/>
          <w:vertAlign w:val="superscript"/>
        </w:rPr>
        <w:t>o</w:t>
      </w:r>
      <w:r>
        <w:rPr>
          <w:rFonts w:ascii="Times New Roman" w:hAnsi="Times New Roman" w:cs="Times New Roman"/>
        </w:rPr>
        <w:t xml:space="preserve">2θ </w:t>
      </w:r>
      <w:r w:rsidR="008B6238">
        <w:rPr>
          <w:rFonts w:ascii="Times New Roman" w:hAnsi="Times New Roman" w:cs="Times New Roman"/>
        </w:rPr>
        <w:t>are due to the sample holder used for measurement</w:t>
      </w:r>
      <w:r>
        <w:rPr>
          <w:rFonts w:ascii="Times" w:hAnsi="Times" w:cs="Times New Roman"/>
          <w:iCs/>
        </w:rPr>
        <w:t xml:space="preserve">. All </w:t>
      </w:r>
      <w:r w:rsidR="008B6238">
        <w:rPr>
          <w:rFonts w:ascii="Times" w:hAnsi="Times" w:cs="Times New Roman"/>
          <w:iCs/>
        </w:rPr>
        <w:t xml:space="preserve">the original hydrate </w:t>
      </w:r>
      <w:r>
        <w:rPr>
          <w:rFonts w:ascii="Times" w:hAnsi="Times" w:cs="Times New Roman"/>
          <w:iCs/>
        </w:rPr>
        <w:t xml:space="preserve">phases </w:t>
      </w:r>
      <w:r w:rsidR="008B6238">
        <w:rPr>
          <w:rFonts w:ascii="Times" w:hAnsi="Times" w:cs="Times New Roman"/>
          <w:iCs/>
        </w:rPr>
        <w:t xml:space="preserve">that were present in </w:t>
      </w:r>
      <w:r w:rsidR="008B6238" w:rsidRPr="00ED5935">
        <w:rPr>
          <w:rFonts w:ascii="Times" w:hAnsi="Times" w:cs="Times New Roman"/>
          <w:b/>
          <w:iCs/>
        </w:rPr>
        <w:t>0DB</w:t>
      </w:r>
      <w:r w:rsidR="008B6238">
        <w:rPr>
          <w:rFonts w:ascii="Times" w:hAnsi="Times" w:cs="Times New Roman"/>
          <w:iCs/>
        </w:rPr>
        <w:t xml:space="preserve"> are also present in </w:t>
      </w:r>
      <w:r w:rsidR="008B6238" w:rsidRPr="00ED5935">
        <w:rPr>
          <w:rFonts w:ascii="Times" w:hAnsi="Times" w:cs="Times New Roman"/>
          <w:b/>
          <w:iCs/>
        </w:rPr>
        <w:t>7DB1</w:t>
      </w:r>
      <w:r w:rsidR="008B6238">
        <w:rPr>
          <w:rFonts w:ascii="Times" w:hAnsi="Times" w:cs="Times New Roman"/>
          <w:iCs/>
        </w:rPr>
        <w:t xml:space="preserve">, </w:t>
      </w:r>
      <w:r w:rsidR="008B6238" w:rsidRPr="00ED5935">
        <w:rPr>
          <w:rFonts w:ascii="Times" w:hAnsi="Times" w:cs="Times New Roman"/>
          <w:b/>
          <w:iCs/>
        </w:rPr>
        <w:t>7DB2</w:t>
      </w:r>
      <w:r w:rsidR="008B6238">
        <w:rPr>
          <w:rFonts w:ascii="Times" w:hAnsi="Times" w:cs="Times New Roman"/>
          <w:iCs/>
        </w:rPr>
        <w:t xml:space="preserve"> and </w:t>
      </w:r>
      <w:r w:rsidR="008B6238" w:rsidRPr="00ED5935">
        <w:rPr>
          <w:rFonts w:ascii="Times" w:hAnsi="Times" w:cs="Times New Roman"/>
          <w:b/>
          <w:iCs/>
        </w:rPr>
        <w:t>7DB3</w:t>
      </w:r>
      <w:r w:rsidR="008B6238">
        <w:rPr>
          <w:rFonts w:ascii="Times" w:hAnsi="Times" w:cs="Times New Roman"/>
          <w:iCs/>
        </w:rPr>
        <w:t xml:space="preserve">. There is possibly </w:t>
      </w:r>
      <w:r>
        <w:rPr>
          <w:rFonts w:ascii="Times" w:hAnsi="Times" w:cs="Times New Roman"/>
          <w:iCs/>
        </w:rPr>
        <w:t xml:space="preserve">a slight decrease in intensity of the Portlandite peak in the </w:t>
      </w:r>
      <w:r w:rsidRPr="00ED5935">
        <w:rPr>
          <w:rFonts w:ascii="Times" w:hAnsi="Times" w:cs="Times New Roman"/>
          <w:b/>
          <w:iCs/>
        </w:rPr>
        <w:t>7DB1</w:t>
      </w:r>
      <w:r>
        <w:rPr>
          <w:rFonts w:ascii="Times" w:hAnsi="Times" w:cs="Times New Roman"/>
          <w:iCs/>
        </w:rPr>
        <w:t xml:space="preserve"> sample. </w:t>
      </w:r>
    </w:p>
    <w:p w14:paraId="46C2F793" w14:textId="77777777" w:rsidR="005708A0" w:rsidRDefault="005708A0" w:rsidP="005708A0">
      <w:pPr>
        <w:spacing w:before="240" w:after="120" w:line="480" w:lineRule="exact"/>
        <w:jc w:val="both"/>
        <w:rPr>
          <w:rFonts w:ascii="Times" w:hAnsi="Times" w:cs="Times New Roman"/>
          <w:iCs/>
        </w:rPr>
      </w:pPr>
    </w:p>
    <w:p w14:paraId="40A097AC" w14:textId="77777777" w:rsidR="005708A0" w:rsidRDefault="005708A0" w:rsidP="005708A0">
      <w:pPr>
        <w:spacing w:before="240" w:after="120"/>
        <w:jc w:val="both"/>
        <w:rPr>
          <w:rFonts w:ascii="Times" w:hAnsi="Times" w:cs="Times New Roman"/>
          <w:bCs/>
        </w:rPr>
      </w:pPr>
    </w:p>
    <w:p w14:paraId="6BE77015" w14:textId="77777777" w:rsidR="005708A0" w:rsidRDefault="005708A0" w:rsidP="005708A0">
      <w:pPr>
        <w:spacing w:before="240" w:after="120"/>
        <w:ind w:left="-284"/>
        <w:jc w:val="center"/>
        <w:rPr>
          <w:rFonts w:ascii="Times" w:hAnsi="Times" w:cs="Times New Roman"/>
        </w:rPr>
      </w:pPr>
      <w:r>
        <w:rPr>
          <w:rFonts w:ascii="Times" w:hAnsi="Times"/>
          <w:noProof/>
        </w:rPr>
        <w:lastRenderedPageBreak/>
        <w:drawing>
          <wp:inline distT="0" distB="0" distL="0" distR="0" wp14:anchorId="6FB93874" wp14:editId="521DEC8A">
            <wp:extent cx="4875931" cy="3287395"/>
            <wp:effectExtent l="0" t="0" r="1270" b="0"/>
            <wp:docPr id="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9">
                      <a:extLst>
                        <a:ext uri="{28A0092B-C50C-407E-A947-70E740481C1C}">
                          <a14:useLocalDpi xmlns:a14="http://schemas.microsoft.com/office/drawing/2010/main" val="0"/>
                        </a:ext>
                      </a:extLst>
                    </a:blip>
                    <a:srcRect l="6217" r="1150" b="1607"/>
                    <a:stretch/>
                  </pic:blipFill>
                  <pic:spPr bwMode="auto">
                    <a:xfrm>
                      <a:off x="0" y="0"/>
                      <a:ext cx="4875931" cy="3287395"/>
                    </a:xfrm>
                    <a:prstGeom prst="rect">
                      <a:avLst/>
                    </a:prstGeom>
                    <a:noFill/>
                    <a:ln>
                      <a:noFill/>
                    </a:ln>
                    <a:extLst>
                      <a:ext uri="{53640926-AAD7-44d8-BBD7-CCE9431645EC}">
                        <a14:shadowObscured xmlns:a14="http://schemas.microsoft.com/office/drawing/2010/main"/>
                      </a:ext>
                    </a:extLst>
                  </pic:spPr>
                </pic:pic>
              </a:graphicData>
            </a:graphic>
          </wp:inline>
        </w:drawing>
      </w:r>
    </w:p>
    <w:p w14:paraId="28C3C43A" w14:textId="3114E0D7" w:rsidR="005708A0" w:rsidRPr="00D7783F" w:rsidRDefault="005708A0" w:rsidP="005B1026">
      <w:pPr>
        <w:spacing w:before="240" w:after="120"/>
        <w:jc w:val="center"/>
        <w:outlineLvl w:val="0"/>
        <w:rPr>
          <w:rFonts w:ascii="Times" w:hAnsi="Times" w:cs="Times New Roman"/>
          <w:sz w:val="23"/>
          <w:szCs w:val="23"/>
        </w:rPr>
      </w:pPr>
      <w:r w:rsidRPr="00D7783F">
        <w:rPr>
          <w:rFonts w:ascii="Times" w:hAnsi="Times" w:cs="Times New Roman"/>
          <w:b/>
          <w:sz w:val="23"/>
          <w:szCs w:val="23"/>
        </w:rPr>
        <w:t>Figure 4.4</w:t>
      </w:r>
      <w:r w:rsidR="006E4005">
        <w:rPr>
          <w:rFonts w:ascii="Times" w:hAnsi="Times" w:cs="Times New Roman"/>
          <w:b/>
          <w:sz w:val="23"/>
          <w:szCs w:val="23"/>
        </w:rPr>
        <w:t>7</w:t>
      </w:r>
      <w:r w:rsidRPr="00D7783F">
        <w:rPr>
          <w:rFonts w:ascii="Times" w:hAnsi="Times" w:cs="Times New Roman"/>
          <w:b/>
          <w:sz w:val="23"/>
          <w:szCs w:val="23"/>
        </w:rPr>
        <w:t>:</w:t>
      </w:r>
      <w:r w:rsidRPr="00D7783F">
        <w:rPr>
          <w:rFonts w:ascii="Times" w:hAnsi="Times" w:cs="Times New Roman"/>
          <w:b/>
          <w:sz w:val="23"/>
          <w:szCs w:val="23"/>
        </w:rPr>
        <w:tab/>
      </w:r>
      <w:r w:rsidRPr="00D7783F">
        <w:rPr>
          <w:rFonts w:ascii="Times" w:hAnsi="Times" w:cs="Times New Roman"/>
          <w:sz w:val="23"/>
          <w:szCs w:val="23"/>
        </w:rPr>
        <w:t xml:space="preserve">XRD analysis of 7DB series at </w:t>
      </w:r>
      <w:r w:rsidR="001A7F43">
        <w:rPr>
          <w:rFonts w:ascii="Times" w:hAnsi="Times" w:cs="Times New Roman"/>
          <w:sz w:val="23"/>
          <w:szCs w:val="23"/>
        </w:rPr>
        <w:t>5mm, 10mm and 15mm</w:t>
      </w:r>
      <w:r w:rsidRPr="00D7783F">
        <w:rPr>
          <w:rFonts w:ascii="Times" w:hAnsi="Times" w:cs="Times New Roman"/>
          <w:sz w:val="23"/>
          <w:szCs w:val="23"/>
        </w:rPr>
        <w:t xml:space="preserve"> from exposure surface </w:t>
      </w:r>
      <w:r w:rsidR="000D4AEA">
        <w:rPr>
          <w:rFonts w:ascii="Times" w:hAnsi="Times" w:cs="Times New Roman"/>
          <w:sz w:val="23"/>
          <w:szCs w:val="23"/>
        </w:rPr>
        <w:t>compared with</w:t>
      </w:r>
      <w:r w:rsidRPr="00ED5935">
        <w:rPr>
          <w:rFonts w:ascii="Times" w:hAnsi="Times" w:cs="Times New Roman"/>
          <w:b/>
          <w:sz w:val="23"/>
          <w:szCs w:val="23"/>
        </w:rPr>
        <w:t xml:space="preserve"> 0DB</w:t>
      </w:r>
    </w:p>
    <w:p w14:paraId="794B9C70" w14:textId="32C3556A" w:rsidR="005708A0" w:rsidRDefault="005708A0" w:rsidP="005708A0">
      <w:pPr>
        <w:spacing w:before="240" w:after="120" w:line="480" w:lineRule="exact"/>
        <w:jc w:val="both"/>
        <w:rPr>
          <w:rFonts w:ascii="Times" w:hAnsi="Times" w:cs="Times New Roman"/>
        </w:rPr>
      </w:pPr>
      <w:r>
        <w:rPr>
          <w:rFonts w:ascii="Times" w:hAnsi="Times" w:cs="Times New Roman"/>
        </w:rPr>
        <w:t>The traces for samples analysed after 28 d</w:t>
      </w:r>
      <w:r w:rsidR="00BD12A9">
        <w:rPr>
          <w:rFonts w:ascii="Times" w:hAnsi="Times" w:cs="Times New Roman"/>
        </w:rPr>
        <w:t>ays of leaching is shown in figure</w:t>
      </w:r>
      <w:r>
        <w:rPr>
          <w:rFonts w:ascii="Times" w:hAnsi="Times" w:cs="Times New Roman"/>
        </w:rPr>
        <w:t xml:space="preserve"> 4.4</w:t>
      </w:r>
      <w:r w:rsidR="00023B69">
        <w:rPr>
          <w:rFonts w:ascii="Times" w:hAnsi="Times" w:cs="Times New Roman"/>
        </w:rPr>
        <w:t>8</w:t>
      </w:r>
      <w:r>
        <w:rPr>
          <w:rFonts w:ascii="Times" w:hAnsi="Times" w:cs="Times New Roman"/>
        </w:rPr>
        <w:t xml:space="preserve">, </w:t>
      </w:r>
      <w:r w:rsidR="001A7F43">
        <w:rPr>
          <w:rFonts w:ascii="Times" w:hAnsi="Times" w:cs="Times New Roman"/>
        </w:rPr>
        <w:t xml:space="preserve">the </w:t>
      </w:r>
      <w:r w:rsidR="001A7F43" w:rsidRPr="00ED5935">
        <w:rPr>
          <w:rFonts w:ascii="Times" w:hAnsi="Times" w:cs="Times New Roman"/>
          <w:b/>
        </w:rPr>
        <w:t>28DB1</w:t>
      </w:r>
      <w:r w:rsidR="001A7F43">
        <w:rPr>
          <w:rFonts w:ascii="Times" w:hAnsi="Times" w:cs="Times New Roman"/>
        </w:rPr>
        <w:t xml:space="preserve"> sample shows a decrease in peak intensities for all phases</w:t>
      </w:r>
      <w:r>
        <w:rPr>
          <w:rFonts w:ascii="Times" w:hAnsi="Times" w:cs="Times New Roman"/>
        </w:rPr>
        <w:t xml:space="preserve">.  The peaks in </w:t>
      </w:r>
      <w:r w:rsidRPr="00ED5935">
        <w:rPr>
          <w:rFonts w:ascii="Times" w:hAnsi="Times" w:cs="Times New Roman"/>
          <w:b/>
        </w:rPr>
        <w:t>28DB2</w:t>
      </w:r>
      <w:r>
        <w:rPr>
          <w:rFonts w:ascii="Times" w:hAnsi="Times" w:cs="Times New Roman"/>
        </w:rPr>
        <w:t xml:space="preserve"> are also slightly weaker than </w:t>
      </w:r>
      <w:r w:rsidR="00017657">
        <w:rPr>
          <w:rFonts w:ascii="Times" w:hAnsi="Times" w:cs="Times New Roman"/>
        </w:rPr>
        <w:t xml:space="preserve">those in </w:t>
      </w:r>
      <w:r w:rsidRPr="000F6BBD">
        <w:rPr>
          <w:rFonts w:ascii="Times" w:hAnsi="Times" w:cs="Times New Roman"/>
          <w:b/>
        </w:rPr>
        <w:t>0DB</w:t>
      </w:r>
      <w:r>
        <w:rPr>
          <w:rFonts w:ascii="Times" w:hAnsi="Times" w:cs="Times New Roman"/>
        </w:rPr>
        <w:t xml:space="preserve"> suggesting that leaching </w:t>
      </w:r>
      <w:r w:rsidR="00D76C99">
        <w:rPr>
          <w:rFonts w:ascii="Times" w:hAnsi="Times" w:cs="Times New Roman"/>
        </w:rPr>
        <w:t>was significant at this depth The</w:t>
      </w:r>
      <w:r>
        <w:rPr>
          <w:rFonts w:ascii="Times" w:hAnsi="Times" w:cs="Times New Roman"/>
        </w:rPr>
        <w:t xml:space="preserve"> peaks associated with the Al sample holder are not present due to a change in sample holder. </w:t>
      </w:r>
    </w:p>
    <w:p w14:paraId="53E5B549" w14:textId="77777777" w:rsidR="00BD0FF3" w:rsidRDefault="00BD0FF3" w:rsidP="005708A0">
      <w:pPr>
        <w:spacing w:before="240" w:after="120" w:line="480" w:lineRule="exact"/>
        <w:jc w:val="both"/>
        <w:rPr>
          <w:rFonts w:ascii="Times" w:hAnsi="Times" w:cs="Times New Roman"/>
        </w:rPr>
      </w:pPr>
    </w:p>
    <w:p w14:paraId="64BD7DCE" w14:textId="77777777" w:rsidR="005708A0" w:rsidRDefault="005708A0" w:rsidP="005708A0">
      <w:pPr>
        <w:spacing w:before="240" w:after="120"/>
        <w:jc w:val="center"/>
        <w:rPr>
          <w:rFonts w:ascii="Times" w:hAnsi="Times" w:cs="Times New Roman"/>
        </w:rPr>
      </w:pPr>
      <w:r>
        <w:rPr>
          <w:rFonts w:ascii="Times" w:hAnsi="Times" w:cs="Times New Roman"/>
          <w:noProof/>
        </w:rPr>
        <w:lastRenderedPageBreak/>
        <w:drawing>
          <wp:inline distT="0" distB="0" distL="0" distR="0" wp14:anchorId="357D5ED7" wp14:editId="25AC213E">
            <wp:extent cx="5126990" cy="3168015"/>
            <wp:effectExtent l="0" t="0" r="3810" b="6985"/>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26990" cy="3168015"/>
                    </a:xfrm>
                    <a:prstGeom prst="rect">
                      <a:avLst/>
                    </a:prstGeom>
                    <a:noFill/>
                    <a:ln>
                      <a:noFill/>
                    </a:ln>
                  </pic:spPr>
                </pic:pic>
              </a:graphicData>
            </a:graphic>
          </wp:inline>
        </w:drawing>
      </w:r>
    </w:p>
    <w:p w14:paraId="54903142" w14:textId="70DF2AD7" w:rsidR="005708A0" w:rsidRDefault="00023B69" w:rsidP="005708A0">
      <w:pPr>
        <w:spacing w:before="240" w:after="120"/>
        <w:jc w:val="center"/>
        <w:outlineLvl w:val="0"/>
        <w:rPr>
          <w:rFonts w:ascii="Times" w:hAnsi="Times" w:cs="Times New Roman"/>
          <w:sz w:val="23"/>
          <w:szCs w:val="23"/>
        </w:rPr>
      </w:pPr>
      <w:r>
        <w:rPr>
          <w:rFonts w:ascii="Times" w:hAnsi="Times" w:cs="Times New Roman"/>
          <w:b/>
          <w:sz w:val="23"/>
          <w:szCs w:val="23"/>
        </w:rPr>
        <w:t>Figure 4.48</w:t>
      </w:r>
      <w:r w:rsidR="005708A0">
        <w:rPr>
          <w:rFonts w:ascii="Times" w:hAnsi="Times" w:cs="Times New Roman"/>
          <w:b/>
          <w:sz w:val="23"/>
          <w:szCs w:val="23"/>
        </w:rPr>
        <w:t>:</w:t>
      </w:r>
      <w:r w:rsidR="005708A0">
        <w:rPr>
          <w:rFonts w:ascii="Times" w:hAnsi="Times" w:cs="Times New Roman"/>
          <w:b/>
          <w:sz w:val="23"/>
          <w:szCs w:val="23"/>
        </w:rPr>
        <w:tab/>
      </w:r>
      <w:r w:rsidR="005708A0" w:rsidRPr="00D7783F">
        <w:rPr>
          <w:rFonts w:ascii="Times" w:hAnsi="Times" w:cs="Times New Roman"/>
          <w:szCs w:val="23"/>
        </w:rPr>
        <w:t xml:space="preserve">XRD analysis of 28DB series at </w:t>
      </w:r>
      <w:r w:rsidR="009A4B9A">
        <w:rPr>
          <w:rFonts w:ascii="Times" w:hAnsi="Times" w:cs="Times New Roman"/>
          <w:sz w:val="23"/>
          <w:szCs w:val="23"/>
        </w:rPr>
        <w:t>5mm, 10mm and 15mm</w:t>
      </w:r>
      <w:r w:rsidR="009A4B9A">
        <w:rPr>
          <w:rFonts w:ascii="Times" w:hAnsi="Times"/>
          <w:sz w:val="20"/>
          <w:szCs w:val="20"/>
          <w:lang w:val="en-GB"/>
        </w:rPr>
        <w:t xml:space="preserve"> </w:t>
      </w:r>
      <w:r w:rsidR="005708A0" w:rsidRPr="00D7783F">
        <w:rPr>
          <w:rFonts w:ascii="Times" w:hAnsi="Times" w:cs="Times New Roman"/>
          <w:szCs w:val="23"/>
        </w:rPr>
        <w:t xml:space="preserve">from exposure surface </w:t>
      </w:r>
      <w:r w:rsidR="000D4AEA">
        <w:rPr>
          <w:rFonts w:ascii="Times" w:hAnsi="Times" w:cs="Times New Roman"/>
          <w:szCs w:val="23"/>
        </w:rPr>
        <w:t>compared with</w:t>
      </w:r>
      <w:r w:rsidR="005708A0" w:rsidRPr="00D7783F">
        <w:rPr>
          <w:rFonts w:ascii="Times" w:hAnsi="Times" w:cs="Times New Roman"/>
          <w:szCs w:val="23"/>
        </w:rPr>
        <w:t xml:space="preserve"> </w:t>
      </w:r>
      <w:r w:rsidR="005708A0" w:rsidRPr="000F6BBD">
        <w:rPr>
          <w:rFonts w:ascii="Times" w:hAnsi="Times" w:cs="Times New Roman"/>
          <w:b/>
          <w:szCs w:val="23"/>
        </w:rPr>
        <w:t>0DB</w:t>
      </w:r>
    </w:p>
    <w:p w14:paraId="3ABEA09F" w14:textId="198C13E9" w:rsidR="005708A0" w:rsidRDefault="005708A0" w:rsidP="00023B69">
      <w:pPr>
        <w:spacing w:before="240" w:after="120" w:line="480" w:lineRule="exact"/>
        <w:jc w:val="both"/>
        <w:rPr>
          <w:rFonts w:ascii="Times" w:hAnsi="Times" w:cs="Times New Roman"/>
        </w:rPr>
      </w:pPr>
      <w:r>
        <w:rPr>
          <w:rFonts w:ascii="Times" w:hAnsi="Times" w:cs="Times New Roman"/>
        </w:rPr>
        <w:t xml:space="preserve">The traces for the </w:t>
      </w:r>
      <w:r w:rsidR="009A4B9A">
        <w:rPr>
          <w:rFonts w:ascii="Times" w:hAnsi="Times" w:cs="Times New Roman"/>
        </w:rPr>
        <w:t>samples analysed for 6 months are given in figure</w:t>
      </w:r>
      <w:r>
        <w:rPr>
          <w:rFonts w:ascii="Times" w:hAnsi="Times" w:cs="Times New Roman"/>
        </w:rPr>
        <w:t xml:space="preserve"> 4.4</w:t>
      </w:r>
      <w:r w:rsidR="00023B69">
        <w:rPr>
          <w:rFonts w:ascii="Times" w:hAnsi="Times" w:cs="Times New Roman"/>
        </w:rPr>
        <w:t>9</w:t>
      </w:r>
      <w:r w:rsidR="009A4B9A">
        <w:rPr>
          <w:rFonts w:ascii="Times" w:hAnsi="Times" w:cs="Times New Roman"/>
        </w:rPr>
        <w:t xml:space="preserve">, as expected the peaks for the </w:t>
      </w:r>
      <w:r>
        <w:rPr>
          <w:rFonts w:ascii="Times" w:hAnsi="Times" w:cs="Times New Roman"/>
        </w:rPr>
        <w:t xml:space="preserve">phases are very weak and </w:t>
      </w:r>
      <w:r w:rsidR="009A4B9A">
        <w:rPr>
          <w:rFonts w:ascii="Times" w:hAnsi="Times" w:cs="Times New Roman"/>
        </w:rPr>
        <w:t>som</w:t>
      </w:r>
      <w:r w:rsidR="00BD0FF3">
        <w:rPr>
          <w:rFonts w:ascii="Times" w:hAnsi="Times" w:cs="Times New Roman"/>
        </w:rPr>
        <w:t xml:space="preserve">e </w:t>
      </w:r>
      <w:r w:rsidR="009A4B9A">
        <w:rPr>
          <w:rFonts w:ascii="Times" w:hAnsi="Times" w:cs="Times New Roman"/>
        </w:rPr>
        <w:t>are</w:t>
      </w:r>
      <w:r>
        <w:rPr>
          <w:rFonts w:ascii="Times" w:hAnsi="Times" w:cs="Times New Roman"/>
        </w:rPr>
        <w:t xml:space="preserve"> barely visible. The monosulphate peak is barel</w:t>
      </w:r>
      <w:r w:rsidR="00EB4C67">
        <w:rPr>
          <w:rFonts w:ascii="Times" w:hAnsi="Times" w:cs="Times New Roman"/>
        </w:rPr>
        <w:t xml:space="preserve">y visible in both </w:t>
      </w:r>
      <w:r w:rsidR="00EB4C67" w:rsidRPr="00ED5935">
        <w:rPr>
          <w:rFonts w:ascii="Times" w:hAnsi="Times" w:cs="Times New Roman"/>
          <w:b/>
        </w:rPr>
        <w:t>6MB1</w:t>
      </w:r>
      <w:r w:rsidR="00EB4C67">
        <w:rPr>
          <w:rFonts w:ascii="Times" w:hAnsi="Times" w:cs="Times New Roman"/>
        </w:rPr>
        <w:t xml:space="preserve"> and </w:t>
      </w:r>
      <w:proofErr w:type="gramStart"/>
      <w:r w:rsidR="00EB4C67" w:rsidRPr="00ED5935">
        <w:rPr>
          <w:rFonts w:ascii="Times" w:hAnsi="Times" w:cs="Times New Roman"/>
          <w:b/>
        </w:rPr>
        <w:t>6MB2</w:t>
      </w:r>
      <w:r w:rsidR="00EB4C67">
        <w:rPr>
          <w:rFonts w:ascii="Times" w:hAnsi="Times" w:cs="Times New Roman"/>
        </w:rPr>
        <w:t>,</w:t>
      </w:r>
      <w:proofErr w:type="gramEnd"/>
      <w:r w:rsidR="00EB4C67">
        <w:rPr>
          <w:rFonts w:ascii="Times" w:hAnsi="Times" w:cs="Times New Roman"/>
        </w:rPr>
        <w:t xml:space="preserve"> </w:t>
      </w:r>
      <w:r>
        <w:rPr>
          <w:rFonts w:ascii="Times" w:hAnsi="Times" w:cs="Times New Roman"/>
        </w:rPr>
        <w:t xml:space="preserve">this could possibly mean that </w:t>
      </w:r>
      <w:r w:rsidR="00EB4C67">
        <w:rPr>
          <w:rFonts w:ascii="Times" w:hAnsi="Times" w:cs="Times New Roman"/>
        </w:rPr>
        <w:t xml:space="preserve">components of </w:t>
      </w:r>
      <w:r>
        <w:rPr>
          <w:rFonts w:ascii="Times" w:hAnsi="Times" w:cs="Times New Roman"/>
        </w:rPr>
        <w:t>the AFm phase</w:t>
      </w:r>
      <w:r w:rsidR="006319B5">
        <w:rPr>
          <w:rFonts w:ascii="Times" w:hAnsi="Times" w:cs="Times New Roman"/>
        </w:rPr>
        <w:t xml:space="preserve"> are leaching out faster than components in the other phases</w:t>
      </w:r>
      <w:r w:rsidR="00BD0FF3">
        <w:rPr>
          <w:rFonts w:ascii="Times" w:hAnsi="Times" w:cs="Times New Roman"/>
        </w:rPr>
        <w:t xml:space="preserve">. </w:t>
      </w:r>
      <w:r>
        <w:rPr>
          <w:rFonts w:ascii="Times" w:hAnsi="Times" w:cs="Times New Roman"/>
        </w:rPr>
        <w:t xml:space="preserve">The </w:t>
      </w:r>
      <w:r w:rsidR="00EB4C67">
        <w:rPr>
          <w:rFonts w:ascii="Times" w:hAnsi="Times" w:cs="Times New Roman"/>
        </w:rPr>
        <w:t>overall patterns</w:t>
      </w:r>
      <w:r>
        <w:rPr>
          <w:rFonts w:ascii="Times" w:hAnsi="Times" w:cs="Times New Roman"/>
        </w:rPr>
        <w:t xml:space="preserve"> for the </w:t>
      </w:r>
      <w:r w:rsidRPr="00EF2B26">
        <w:rPr>
          <w:rFonts w:ascii="Times" w:hAnsi="Times" w:cs="Times New Roman"/>
          <w:b/>
        </w:rPr>
        <w:t>6MB1</w:t>
      </w:r>
      <w:r>
        <w:rPr>
          <w:rFonts w:ascii="Times" w:hAnsi="Times" w:cs="Times New Roman"/>
        </w:rPr>
        <w:t xml:space="preserve"> and </w:t>
      </w:r>
      <w:r w:rsidRPr="00EF2B26">
        <w:rPr>
          <w:rFonts w:ascii="Times" w:hAnsi="Times" w:cs="Times New Roman"/>
          <w:b/>
        </w:rPr>
        <w:t>6MB2</w:t>
      </w:r>
      <w:r>
        <w:rPr>
          <w:rFonts w:ascii="Times" w:hAnsi="Times" w:cs="Times New Roman"/>
        </w:rPr>
        <w:t xml:space="preserve"> are similar in intensity; however the </w:t>
      </w:r>
      <w:r w:rsidRPr="00EF2B26">
        <w:rPr>
          <w:rFonts w:ascii="Times" w:hAnsi="Times" w:cs="Times New Roman"/>
          <w:b/>
        </w:rPr>
        <w:t>6MB3</w:t>
      </w:r>
      <w:r>
        <w:rPr>
          <w:rFonts w:ascii="Times" w:hAnsi="Times" w:cs="Times New Roman"/>
        </w:rPr>
        <w:t xml:space="preserve"> peaks are significantly more intense. </w:t>
      </w:r>
      <w:r w:rsidR="00EB4C67">
        <w:rPr>
          <w:rFonts w:ascii="Times" w:hAnsi="Times" w:cs="Times New Roman"/>
        </w:rPr>
        <w:t>This</w:t>
      </w:r>
      <w:r>
        <w:rPr>
          <w:rFonts w:ascii="Times" w:hAnsi="Times" w:cs="Times New Roman"/>
        </w:rPr>
        <w:t xml:space="preserve"> suggests that leaching has still not surpassed a 10mm depth within the sample. </w:t>
      </w:r>
    </w:p>
    <w:p w14:paraId="3E24BFF7" w14:textId="773B7889" w:rsidR="005708A0" w:rsidRDefault="005708A0" w:rsidP="00023B69">
      <w:pPr>
        <w:spacing w:before="240" w:after="120" w:line="480" w:lineRule="exact"/>
        <w:jc w:val="both"/>
        <w:rPr>
          <w:rFonts w:ascii="Times" w:hAnsi="Times" w:cs="Times New Roman"/>
        </w:rPr>
      </w:pPr>
      <w:r>
        <w:rPr>
          <w:rFonts w:ascii="Times" w:hAnsi="Times" w:cs="Times New Roman"/>
        </w:rPr>
        <w:t xml:space="preserve">Comparing these traces with that of the </w:t>
      </w:r>
      <w:r w:rsidRPr="00EF2B26">
        <w:rPr>
          <w:rFonts w:ascii="Times" w:hAnsi="Times" w:cs="Times New Roman"/>
          <w:b/>
        </w:rPr>
        <w:t>1Y6MB</w:t>
      </w:r>
      <w:r w:rsidR="00023B69">
        <w:rPr>
          <w:rFonts w:ascii="Times" w:hAnsi="Times" w:cs="Times New Roman"/>
        </w:rPr>
        <w:t xml:space="preserve"> samples in fig. 4.50 </w:t>
      </w:r>
      <w:r>
        <w:rPr>
          <w:rFonts w:ascii="Times" w:hAnsi="Times" w:cs="Times New Roman"/>
        </w:rPr>
        <w:t xml:space="preserve">it can be seen </w:t>
      </w:r>
      <w:r w:rsidR="00EB4C67">
        <w:rPr>
          <w:rFonts w:ascii="Times" w:hAnsi="Times" w:cs="Times New Roman"/>
        </w:rPr>
        <w:t xml:space="preserve">that only C-S-H and </w:t>
      </w:r>
      <w:r w:rsidR="00BD0FF3">
        <w:rPr>
          <w:rFonts w:ascii="Times" w:hAnsi="Times" w:cs="Times New Roman"/>
        </w:rPr>
        <w:t xml:space="preserve">G </w:t>
      </w:r>
      <w:r w:rsidR="00EB4C67">
        <w:rPr>
          <w:rFonts w:ascii="Times" w:hAnsi="Times" w:cs="Times New Roman"/>
        </w:rPr>
        <w:t xml:space="preserve">are identifiable in the </w:t>
      </w:r>
      <w:r w:rsidR="00EB4C67" w:rsidRPr="00EF2B26">
        <w:rPr>
          <w:rFonts w:ascii="Times" w:hAnsi="Times" w:cs="Times New Roman"/>
          <w:b/>
        </w:rPr>
        <w:t>1Y6MB1</w:t>
      </w:r>
      <w:r w:rsidR="00EB4C67">
        <w:rPr>
          <w:rFonts w:ascii="Times" w:hAnsi="Times" w:cs="Times New Roman"/>
        </w:rPr>
        <w:t xml:space="preserve"> samples,</w:t>
      </w:r>
      <w:r>
        <w:rPr>
          <w:rFonts w:ascii="Times" w:hAnsi="Times" w:cs="Times New Roman"/>
        </w:rPr>
        <w:t xml:space="preserve"> indicating that the </w:t>
      </w:r>
      <w:r w:rsidR="006C4EDE">
        <w:rPr>
          <w:rFonts w:ascii="Times" w:hAnsi="Times" w:cs="Times New Roman"/>
        </w:rPr>
        <w:t xml:space="preserve">component of the </w:t>
      </w:r>
      <w:r w:rsidR="00EB4C67">
        <w:rPr>
          <w:rFonts w:ascii="Times" w:hAnsi="Times" w:cs="Times New Roman"/>
        </w:rPr>
        <w:t xml:space="preserve">majority of the </w:t>
      </w:r>
      <w:r w:rsidR="006C4EDE">
        <w:rPr>
          <w:rFonts w:ascii="Times" w:hAnsi="Times" w:cs="Times New Roman"/>
        </w:rPr>
        <w:t>other phases have leached out</w:t>
      </w:r>
      <w:r>
        <w:rPr>
          <w:rFonts w:ascii="Times" w:hAnsi="Times" w:cs="Times New Roman"/>
        </w:rPr>
        <w:t xml:space="preserve"> from the sample. The </w:t>
      </w:r>
      <w:r w:rsidRPr="00EF2B26">
        <w:rPr>
          <w:rFonts w:ascii="Times" w:hAnsi="Times" w:cs="Times New Roman"/>
          <w:b/>
        </w:rPr>
        <w:t>1Y6MB2</w:t>
      </w:r>
      <w:r>
        <w:rPr>
          <w:rFonts w:ascii="Times" w:hAnsi="Times" w:cs="Times New Roman"/>
        </w:rPr>
        <w:t xml:space="preserve"> sample shows weak peaks for </w:t>
      </w:r>
      <w:r w:rsidR="00EB4C67">
        <w:rPr>
          <w:rFonts w:ascii="Times" w:hAnsi="Times" w:cs="Times New Roman"/>
        </w:rPr>
        <w:t xml:space="preserve">the phases originally presented, apart from the AFm </w:t>
      </w:r>
      <w:r w:rsidR="00BD0FF3">
        <w:rPr>
          <w:rFonts w:ascii="Times" w:hAnsi="Times" w:cs="Times New Roman"/>
        </w:rPr>
        <w:t xml:space="preserve">and HC </w:t>
      </w:r>
      <w:r w:rsidR="00EB4C67">
        <w:rPr>
          <w:rFonts w:ascii="Times" w:hAnsi="Times" w:cs="Times New Roman"/>
        </w:rPr>
        <w:t>p</w:t>
      </w:r>
      <w:r w:rsidR="00BD0FF3">
        <w:rPr>
          <w:rFonts w:ascii="Times" w:hAnsi="Times" w:cs="Times New Roman"/>
        </w:rPr>
        <w:t>h</w:t>
      </w:r>
      <w:r w:rsidR="00EB4C67">
        <w:rPr>
          <w:rFonts w:ascii="Times" w:hAnsi="Times" w:cs="Times New Roman"/>
        </w:rPr>
        <w:t>ase</w:t>
      </w:r>
      <w:r w:rsidR="00BD0FF3">
        <w:rPr>
          <w:rFonts w:ascii="Times" w:hAnsi="Times" w:cs="Times New Roman"/>
        </w:rPr>
        <w:t>s</w:t>
      </w:r>
      <w:r>
        <w:rPr>
          <w:rFonts w:ascii="Times" w:hAnsi="Times" w:cs="Times New Roman"/>
        </w:rPr>
        <w:t xml:space="preserve">. </w:t>
      </w:r>
      <w:r w:rsidR="00EB4C67">
        <w:rPr>
          <w:rFonts w:ascii="Times" w:hAnsi="Times" w:cs="Times New Roman"/>
        </w:rPr>
        <w:t>The</w:t>
      </w:r>
      <w:r>
        <w:rPr>
          <w:rFonts w:ascii="Times" w:hAnsi="Times" w:cs="Times New Roman"/>
        </w:rPr>
        <w:t xml:space="preserve"> </w:t>
      </w:r>
      <w:r w:rsidRPr="00EF2B26">
        <w:rPr>
          <w:rFonts w:ascii="Times" w:hAnsi="Times" w:cs="Times New Roman"/>
          <w:b/>
        </w:rPr>
        <w:t>1Y6MB3</w:t>
      </w:r>
      <w:r>
        <w:rPr>
          <w:rFonts w:ascii="Times" w:hAnsi="Times" w:cs="Times New Roman"/>
        </w:rPr>
        <w:t xml:space="preserve"> trace shows weaker peaks in comparison to the </w:t>
      </w:r>
      <w:r w:rsidRPr="00EF2B26">
        <w:rPr>
          <w:rFonts w:ascii="Times" w:hAnsi="Times" w:cs="Times New Roman"/>
          <w:b/>
        </w:rPr>
        <w:t xml:space="preserve">0DB </w:t>
      </w:r>
      <w:r>
        <w:rPr>
          <w:rFonts w:ascii="Times" w:hAnsi="Times" w:cs="Times New Roman"/>
        </w:rPr>
        <w:t xml:space="preserve">sample, which means that the leaching has now </w:t>
      </w:r>
      <w:r w:rsidR="00A65A2B">
        <w:rPr>
          <w:rFonts w:ascii="Times" w:hAnsi="Times" w:cs="Times New Roman"/>
        </w:rPr>
        <w:t>reached</w:t>
      </w:r>
      <w:r>
        <w:rPr>
          <w:rFonts w:ascii="Times" w:hAnsi="Times" w:cs="Times New Roman"/>
        </w:rPr>
        <w:t xml:space="preserve"> third layer of the sample i.e. &gt;10mm depth. </w:t>
      </w:r>
    </w:p>
    <w:p w14:paraId="22E53628" w14:textId="77777777" w:rsidR="005708A0" w:rsidRDefault="005708A0" w:rsidP="005708A0">
      <w:pPr>
        <w:spacing w:before="240" w:after="120" w:line="480" w:lineRule="exact"/>
        <w:rPr>
          <w:rFonts w:ascii="Times" w:hAnsi="Times" w:cs="Times New Roman"/>
        </w:rPr>
      </w:pPr>
    </w:p>
    <w:p w14:paraId="4E5B64B0" w14:textId="77777777" w:rsidR="005708A0" w:rsidRDefault="005708A0" w:rsidP="005708A0">
      <w:pPr>
        <w:spacing w:before="240" w:after="120"/>
        <w:ind w:left="284" w:hanging="709"/>
        <w:jc w:val="center"/>
        <w:rPr>
          <w:rFonts w:ascii="Times" w:hAnsi="Times" w:cs="Times New Roman"/>
        </w:rPr>
      </w:pPr>
      <w:r>
        <w:rPr>
          <w:rFonts w:ascii="Times" w:hAnsi="Times"/>
          <w:noProof/>
        </w:rPr>
        <w:lastRenderedPageBreak/>
        <w:drawing>
          <wp:inline distT="0" distB="0" distL="0" distR="0" wp14:anchorId="578417C5" wp14:editId="0CC47217">
            <wp:extent cx="4996749" cy="3331210"/>
            <wp:effectExtent l="0" t="0" r="7620" b="0"/>
            <wp:docPr id="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1">
                      <a:extLst>
                        <a:ext uri="{28A0092B-C50C-407E-A947-70E740481C1C}">
                          <a14:useLocalDpi xmlns:a14="http://schemas.microsoft.com/office/drawing/2010/main" val="0"/>
                        </a:ext>
                      </a:extLst>
                    </a:blip>
                    <a:srcRect l="4769"/>
                    <a:stretch/>
                  </pic:blipFill>
                  <pic:spPr bwMode="auto">
                    <a:xfrm>
                      <a:off x="0" y="0"/>
                      <a:ext cx="4996749" cy="3331210"/>
                    </a:xfrm>
                    <a:prstGeom prst="rect">
                      <a:avLst/>
                    </a:prstGeom>
                    <a:noFill/>
                    <a:ln>
                      <a:noFill/>
                    </a:ln>
                    <a:extLst>
                      <a:ext uri="{53640926-AAD7-44d8-BBD7-CCE9431645EC}">
                        <a14:shadowObscured xmlns:a14="http://schemas.microsoft.com/office/drawing/2010/main"/>
                      </a:ext>
                    </a:extLst>
                  </pic:spPr>
                </pic:pic>
              </a:graphicData>
            </a:graphic>
          </wp:inline>
        </w:drawing>
      </w:r>
    </w:p>
    <w:p w14:paraId="23328AB5" w14:textId="13DB13A7" w:rsidR="005708A0" w:rsidRDefault="005708A0" w:rsidP="005708A0">
      <w:pPr>
        <w:spacing w:before="240" w:after="120"/>
        <w:jc w:val="center"/>
        <w:outlineLvl w:val="0"/>
        <w:rPr>
          <w:rFonts w:ascii="Times" w:hAnsi="Times" w:cs="Times New Roman"/>
          <w:sz w:val="23"/>
          <w:szCs w:val="23"/>
        </w:rPr>
      </w:pPr>
      <w:r>
        <w:rPr>
          <w:rFonts w:ascii="Times" w:hAnsi="Times" w:cs="Times New Roman"/>
          <w:b/>
          <w:bCs/>
        </w:rPr>
        <w:t>Figure 4.4</w:t>
      </w:r>
      <w:r w:rsidR="00023B69">
        <w:rPr>
          <w:rFonts w:ascii="Times" w:hAnsi="Times" w:cs="Times New Roman"/>
          <w:b/>
          <w:bCs/>
        </w:rPr>
        <w:t>9</w:t>
      </w:r>
      <w:r>
        <w:rPr>
          <w:rFonts w:ascii="Times" w:hAnsi="Times" w:cs="Times New Roman"/>
          <w:b/>
          <w:sz w:val="23"/>
          <w:szCs w:val="23"/>
        </w:rPr>
        <w:t xml:space="preserve">: </w:t>
      </w:r>
      <w:r>
        <w:rPr>
          <w:rFonts w:ascii="Times" w:hAnsi="Times" w:cs="Times New Roman"/>
          <w:sz w:val="23"/>
          <w:szCs w:val="23"/>
        </w:rPr>
        <w:t xml:space="preserve">XRD analysis of 6MB series at </w:t>
      </w:r>
      <w:r w:rsidR="006F36F0">
        <w:rPr>
          <w:rFonts w:ascii="Times" w:hAnsi="Times" w:cs="Times New Roman"/>
          <w:sz w:val="23"/>
          <w:szCs w:val="23"/>
        </w:rPr>
        <w:t>5mm, 10mm and 15mm</w:t>
      </w:r>
      <w:r w:rsidR="006F36F0">
        <w:rPr>
          <w:rFonts w:ascii="Times" w:hAnsi="Times"/>
          <w:sz w:val="20"/>
          <w:szCs w:val="20"/>
          <w:lang w:val="en-GB"/>
        </w:rPr>
        <w:t xml:space="preserve"> </w:t>
      </w:r>
      <w:r>
        <w:rPr>
          <w:rFonts w:ascii="Times" w:hAnsi="Times" w:cs="Times New Roman"/>
          <w:sz w:val="23"/>
          <w:szCs w:val="23"/>
        </w:rPr>
        <w:t xml:space="preserve">from exposure surface </w:t>
      </w:r>
      <w:r w:rsidR="000D4AEA">
        <w:rPr>
          <w:rFonts w:ascii="Times" w:hAnsi="Times" w:cs="Times New Roman"/>
          <w:sz w:val="23"/>
          <w:szCs w:val="23"/>
        </w:rPr>
        <w:t>compared with</w:t>
      </w:r>
      <w:r w:rsidRPr="00EF2B26">
        <w:rPr>
          <w:rFonts w:ascii="Times" w:hAnsi="Times" w:cs="Times New Roman"/>
          <w:b/>
          <w:sz w:val="23"/>
          <w:szCs w:val="23"/>
        </w:rPr>
        <w:t xml:space="preserve"> 0DB</w:t>
      </w:r>
    </w:p>
    <w:p w14:paraId="65000244" w14:textId="77777777" w:rsidR="005708A0" w:rsidRDefault="005708A0" w:rsidP="005708A0">
      <w:pPr>
        <w:spacing w:before="240" w:after="120"/>
        <w:rPr>
          <w:rFonts w:ascii="Times" w:hAnsi="Times" w:cs="Times New Roman"/>
        </w:rPr>
      </w:pPr>
    </w:p>
    <w:p w14:paraId="4C63D39A" w14:textId="77777777" w:rsidR="005708A0" w:rsidRDefault="005708A0" w:rsidP="005708A0">
      <w:pPr>
        <w:spacing w:before="240" w:after="120"/>
        <w:jc w:val="center"/>
        <w:rPr>
          <w:rFonts w:ascii="Times" w:hAnsi="Times" w:cs="Times New Roman"/>
          <w:b/>
          <w:bCs/>
        </w:rPr>
      </w:pPr>
      <w:r>
        <w:rPr>
          <w:b/>
          <w:noProof/>
        </w:rPr>
        <w:drawing>
          <wp:inline distT="0" distB="0" distL="0" distR="0" wp14:anchorId="2B6275E4" wp14:editId="70C4BD7F">
            <wp:extent cx="5338879" cy="3549015"/>
            <wp:effectExtent l="0" t="0" r="0" b="6985"/>
            <wp:docPr id="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2">
                      <a:extLst>
                        <a:ext uri="{28A0092B-C50C-407E-A947-70E740481C1C}">
                          <a14:useLocalDpi xmlns:a14="http://schemas.microsoft.com/office/drawing/2010/main" val="0"/>
                        </a:ext>
                      </a:extLst>
                    </a:blip>
                    <a:srcRect l="3648"/>
                    <a:stretch/>
                  </pic:blipFill>
                  <pic:spPr bwMode="auto">
                    <a:xfrm>
                      <a:off x="0" y="0"/>
                      <a:ext cx="5338879" cy="3549015"/>
                    </a:xfrm>
                    <a:prstGeom prst="rect">
                      <a:avLst/>
                    </a:prstGeom>
                    <a:noFill/>
                    <a:ln>
                      <a:noFill/>
                    </a:ln>
                    <a:extLst>
                      <a:ext uri="{53640926-AAD7-44d8-BBD7-CCE9431645EC}">
                        <a14:shadowObscured xmlns:a14="http://schemas.microsoft.com/office/drawing/2010/main"/>
                      </a:ext>
                    </a:extLst>
                  </pic:spPr>
                </pic:pic>
              </a:graphicData>
            </a:graphic>
          </wp:inline>
        </w:drawing>
      </w:r>
    </w:p>
    <w:p w14:paraId="2CB9A02D" w14:textId="5354AD56" w:rsidR="005708A0" w:rsidRDefault="00023B69" w:rsidP="005708A0">
      <w:pPr>
        <w:spacing w:before="240" w:after="120"/>
        <w:jc w:val="center"/>
        <w:outlineLvl w:val="0"/>
        <w:rPr>
          <w:rFonts w:ascii="Times" w:hAnsi="Times" w:cs="Times New Roman"/>
          <w:sz w:val="23"/>
          <w:szCs w:val="23"/>
        </w:rPr>
      </w:pPr>
      <w:r>
        <w:rPr>
          <w:rFonts w:ascii="Times" w:hAnsi="Times" w:cs="Times New Roman"/>
          <w:b/>
          <w:bCs/>
        </w:rPr>
        <w:t>Figure 4.50</w:t>
      </w:r>
      <w:r w:rsidR="005708A0">
        <w:rPr>
          <w:rFonts w:ascii="Times" w:hAnsi="Times" w:cs="Times New Roman"/>
          <w:b/>
          <w:bCs/>
        </w:rPr>
        <w:t xml:space="preserve">: </w:t>
      </w:r>
      <w:r w:rsidR="005708A0" w:rsidRPr="00F10E4F">
        <w:rPr>
          <w:rFonts w:ascii="Times" w:hAnsi="Times" w:cs="Times New Roman"/>
          <w:szCs w:val="23"/>
        </w:rPr>
        <w:t xml:space="preserve">XRD analysis of 1Y6MB series at </w:t>
      </w:r>
      <w:r w:rsidR="006F36F0">
        <w:rPr>
          <w:rFonts w:ascii="Times" w:hAnsi="Times" w:cs="Times New Roman"/>
          <w:sz w:val="23"/>
          <w:szCs w:val="23"/>
        </w:rPr>
        <w:t>5mm, 10mm and 15mm</w:t>
      </w:r>
      <w:r w:rsidR="006F36F0">
        <w:rPr>
          <w:rFonts w:ascii="Times" w:hAnsi="Times"/>
          <w:sz w:val="20"/>
          <w:szCs w:val="20"/>
          <w:lang w:val="en-GB"/>
        </w:rPr>
        <w:t xml:space="preserve"> </w:t>
      </w:r>
      <w:r w:rsidR="005708A0" w:rsidRPr="00F10E4F">
        <w:rPr>
          <w:rFonts w:ascii="Times" w:hAnsi="Times" w:cs="Times New Roman"/>
          <w:szCs w:val="23"/>
        </w:rPr>
        <w:t xml:space="preserve">from exposure surface </w:t>
      </w:r>
      <w:r w:rsidR="000D4AEA">
        <w:rPr>
          <w:rFonts w:ascii="Times" w:hAnsi="Times" w:cs="Times New Roman"/>
          <w:szCs w:val="23"/>
        </w:rPr>
        <w:t>compared with</w:t>
      </w:r>
      <w:r w:rsidR="005708A0" w:rsidRPr="00F10E4F">
        <w:rPr>
          <w:rFonts w:ascii="Times" w:hAnsi="Times" w:cs="Times New Roman"/>
          <w:szCs w:val="23"/>
        </w:rPr>
        <w:t xml:space="preserve"> </w:t>
      </w:r>
      <w:r w:rsidR="005708A0" w:rsidRPr="00EF2B26">
        <w:rPr>
          <w:rFonts w:ascii="Times" w:hAnsi="Times" w:cs="Times New Roman"/>
          <w:b/>
          <w:szCs w:val="23"/>
        </w:rPr>
        <w:t>0DB</w:t>
      </w:r>
    </w:p>
    <w:p w14:paraId="6842A108" w14:textId="2DE49981" w:rsidR="005708A0" w:rsidRDefault="005708A0" w:rsidP="005708A0">
      <w:pPr>
        <w:spacing w:before="240" w:after="120" w:line="480" w:lineRule="exact"/>
        <w:jc w:val="both"/>
        <w:outlineLvl w:val="0"/>
        <w:rPr>
          <w:rFonts w:ascii="Times" w:hAnsi="Times" w:cs="Times New Roman"/>
          <w:bCs/>
        </w:rPr>
      </w:pPr>
      <w:r w:rsidRPr="0074338E">
        <w:rPr>
          <w:rFonts w:ascii="Times" w:hAnsi="Times" w:cs="Times New Roman"/>
          <w:bCs/>
        </w:rPr>
        <w:lastRenderedPageBreak/>
        <w:t xml:space="preserve">The XRD traces for the </w:t>
      </w:r>
      <w:r w:rsidRPr="00EF2B26">
        <w:rPr>
          <w:rFonts w:ascii="Times" w:hAnsi="Times" w:cs="Times New Roman"/>
          <w:b/>
          <w:bCs/>
        </w:rPr>
        <w:t>2YB</w:t>
      </w:r>
      <w:r w:rsidR="00023B69">
        <w:rPr>
          <w:rFonts w:ascii="Times" w:hAnsi="Times" w:cs="Times New Roman"/>
          <w:bCs/>
        </w:rPr>
        <w:t xml:space="preserve"> </w:t>
      </w:r>
      <w:r w:rsidR="00971672">
        <w:rPr>
          <w:rFonts w:ascii="Times" w:hAnsi="Times" w:cs="Times New Roman"/>
          <w:bCs/>
        </w:rPr>
        <w:t>layers are</w:t>
      </w:r>
      <w:r w:rsidR="00023B69">
        <w:rPr>
          <w:rFonts w:ascii="Times" w:hAnsi="Times" w:cs="Times New Roman"/>
          <w:bCs/>
        </w:rPr>
        <w:t xml:space="preserve"> shown in figure 4.51</w:t>
      </w:r>
      <w:r w:rsidRPr="0074338E">
        <w:rPr>
          <w:rFonts w:ascii="Times" w:hAnsi="Times" w:cs="Times New Roman"/>
          <w:bCs/>
        </w:rPr>
        <w:t xml:space="preserve">. The peak intensities in the </w:t>
      </w:r>
      <w:r w:rsidR="005A3749" w:rsidRPr="00023B69">
        <w:rPr>
          <w:rFonts w:ascii="Times" w:hAnsi="Times" w:cs="Times New Roman"/>
          <w:b/>
          <w:bCs/>
        </w:rPr>
        <w:t>2YB3</w:t>
      </w:r>
      <w:r w:rsidRPr="0074338E">
        <w:rPr>
          <w:rFonts w:ascii="Times" w:hAnsi="Times" w:cs="Times New Roman"/>
          <w:bCs/>
        </w:rPr>
        <w:t xml:space="preserve"> are now significantly weaker, however portlandite is still present. This suggests that after 2 years of semi-static leaching portlandite</w:t>
      </w:r>
      <w:r w:rsidR="005A3749">
        <w:rPr>
          <w:rFonts w:ascii="Times" w:hAnsi="Times" w:cs="Times New Roman"/>
          <w:bCs/>
        </w:rPr>
        <w:t>,</w:t>
      </w:r>
      <w:r w:rsidRPr="0074338E">
        <w:rPr>
          <w:rFonts w:ascii="Times" w:hAnsi="Times" w:cs="Times New Roman"/>
          <w:bCs/>
        </w:rPr>
        <w:t xml:space="preserve"> at a depth of 10-15mm</w:t>
      </w:r>
      <w:r w:rsidR="00023B69">
        <w:rPr>
          <w:rFonts w:ascii="Times" w:hAnsi="Times" w:cs="Times New Roman"/>
          <w:bCs/>
        </w:rPr>
        <w:t>,</w:t>
      </w:r>
      <w:r w:rsidRPr="0074338E">
        <w:rPr>
          <w:rFonts w:ascii="Times" w:hAnsi="Times" w:cs="Times New Roman"/>
          <w:bCs/>
        </w:rPr>
        <w:t xml:space="preserve"> has still not fully degraded</w:t>
      </w:r>
      <w:r w:rsidR="005A3749">
        <w:rPr>
          <w:rFonts w:ascii="Times" w:hAnsi="Times" w:cs="Times New Roman"/>
          <w:bCs/>
        </w:rPr>
        <w:t xml:space="preserve">. </w:t>
      </w:r>
    </w:p>
    <w:p w14:paraId="5F28A312" w14:textId="77777777" w:rsidR="005708A0" w:rsidRPr="00504113" w:rsidRDefault="005708A0" w:rsidP="005708A0">
      <w:pPr>
        <w:spacing w:before="240" w:after="120"/>
        <w:jc w:val="both"/>
        <w:outlineLvl w:val="0"/>
        <w:rPr>
          <w:rFonts w:ascii="Times" w:hAnsi="Times" w:cs="Times New Roman"/>
          <w:bCs/>
        </w:rPr>
      </w:pPr>
    </w:p>
    <w:p w14:paraId="3504CA59" w14:textId="6A223D99" w:rsidR="005708A0" w:rsidRPr="00844F25" w:rsidRDefault="005708A0" w:rsidP="005708A0">
      <w:pPr>
        <w:spacing w:before="240" w:after="120"/>
        <w:jc w:val="center"/>
        <w:rPr>
          <w:rFonts w:ascii="Times" w:hAnsi="Times" w:cs="Times New Roman"/>
        </w:rPr>
      </w:pPr>
      <w:r>
        <w:rPr>
          <w:noProof/>
        </w:rPr>
        <w:drawing>
          <wp:inline distT="0" distB="0" distL="0" distR="0" wp14:anchorId="7E5452E4" wp14:editId="03FCEC58">
            <wp:extent cx="5190064" cy="3371248"/>
            <wp:effectExtent l="0" t="0" r="0" b="6985"/>
            <wp:docPr id="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91340" cy="3372077"/>
                    </a:xfrm>
                    <a:prstGeom prst="rect">
                      <a:avLst/>
                    </a:prstGeom>
                    <a:noFill/>
                    <a:ln>
                      <a:noFill/>
                    </a:ln>
                  </pic:spPr>
                </pic:pic>
              </a:graphicData>
            </a:graphic>
          </wp:inline>
        </w:drawing>
      </w:r>
      <w:r w:rsidR="00023B69">
        <w:rPr>
          <w:rFonts w:ascii="Times" w:hAnsi="Times" w:cs="Times New Roman"/>
          <w:b/>
          <w:sz w:val="23"/>
          <w:szCs w:val="23"/>
        </w:rPr>
        <w:t xml:space="preserve">          Figure 4.51</w:t>
      </w:r>
      <w:r>
        <w:rPr>
          <w:rFonts w:ascii="Times" w:hAnsi="Times" w:cs="Times New Roman"/>
          <w:b/>
          <w:sz w:val="23"/>
          <w:szCs w:val="23"/>
        </w:rPr>
        <w:t>:</w:t>
      </w:r>
      <w:r>
        <w:rPr>
          <w:rFonts w:ascii="Times" w:hAnsi="Times" w:cs="Times New Roman"/>
          <w:b/>
          <w:sz w:val="23"/>
          <w:szCs w:val="23"/>
        </w:rPr>
        <w:tab/>
      </w:r>
      <w:r>
        <w:rPr>
          <w:rFonts w:ascii="Times" w:hAnsi="Times" w:cs="Times New Roman"/>
          <w:sz w:val="23"/>
          <w:szCs w:val="23"/>
        </w:rPr>
        <w:t xml:space="preserve">XRD analysis of 2YB series at </w:t>
      </w:r>
      <w:r w:rsidR="00C96340">
        <w:rPr>
          <w:rFonts w:ascii="Times" w:hAnsi="Times" w:cs="Times New Roman"/>
          <w:sz w:val="23"/>
          <w:szCs w:val="23"/>
        </w:rPr>
        <w:t>5mm, 10mm and 15mm</w:t>
      </w:r>
      <w:r w:rsidR="00C96340">
        <w:rPr>
          <w:rFonts w:ascii="Times" w:hAnsi="Times"/>
          <w:sz w:val="20"/>
          <w:szCs w:val="20"/>
          <w:lang w:val="en-GB"/>
        </w:rPr>
        <w:t xml:space="preserve"> </w:t>
      </w:r>
      <w:r>
        <w:rPr>
          <w:rFonts w:ascii="Times" w:hAnsi="Times" w:cs="Times New Roman"/>
          <w:sz w:val="23"/>
          <w:szCs w:val="23"/>
        </w:rPr>
        <w:t xml:space="preserve">from exposure surface </w:t>
      </w:r>
      <w:r w:rsidR="000D4AEA">
        <w:rPr>
          <w:rFonts w:ascii="Times" w:hAnsi="Times" w:cs="Times New Roman"/>
          <w:sz w:val="23"/>
          <w:szCs w:val="23"/>
        </w:rPr>
        <w:t>compared with</w:t>
      </w:r>
      <w:r w:rsidRPr="00EF2B26">
        <w:rPr>
          <w:rFonts w:ascii="Times" w:hAnsi="Times" w:cs="Times New Roman"/>
          <w:b/>
          <w:sz w:val="23"/>
          <w:szCs w:val="23"/>
        </w:rPr>
        <w:t xml:space="preserve"> 0DB</w:t>
      </w:r>
    </w:p>
    <w:p w14:paraId="13D385E3" w14:textId="7AA57720" w:rsidR="005708A0" w:rsidRDefault="005708A0" w:rsidP="005708A0">
      <w:pPr>
        <w:spacing w:before="240" w:after="120" w:line="480" w:lineRule="exact"/>
        <w:rPr>
          <w:rFonts w:ascii="Times" w:hAnsi="Times" w:cs="Times New Roman"/>
        </w:rPr>
      </w:pPr>
      <w:r>
        <w:rPr>
          <w:rFonts w:ascii="Times" w:hAnsi="Times" w:cs="Times New Roman"/>
        </w:rPr>
        <w:t>The XRD traces of second layers representing a depth of 5mm-10mm hav</w:t>
      </w:r>
      <w:r w:rsidR="00C96340">
        <w:rPr>
          <w:rFonts w:ascii="Times" w:hAnsi="Times" w:cs="Times New Roman"/>
        </w:rPr>
        <w:t>e been compared in figure 4.</w:t>
      </w:r>
      <w:r w:rsidR="00023B69">
        <w:rPr>
          <w:rFonts w:ascii="Times" w:hAnsi="Times" w:cs="Times New Roman"/>
        </w:rPr>
        <w:t>52</w:t>
      </w:r>
      <w:r w:rsidR="00C96340">
        <w:rPr>
          <w:rFonts w:ascii="Times" w:hAnsi="Times" w:cs="Times New Roman"/>
        </w:rPr>
        <w:t xml:space="preserve"> to study the progress of the leaching process</w:t>
      </w:r>
      <w:r>
        <w:rPr>
          <w:rFonts w:ascii="Times" w:hAnsi="Times" w:cs="Times New Roman"/>
        </w:rPr>
        <w:t xml:space="preserve">.  </w:t>
      </w:r>
    </w:p>
    <w:p w14:paraId="34C408DE" w14:textId="77777777" w:rsidR="005708A0" w:rsidRDefault="005708A0" w:rsidP="005708A0">
      <w:pPr>
        <w:spacing w:before="240" w:after="120"/>
        <w:ind w:left="-426"/>
        <w:jc w:val="center"/>
        <w:rPr>
          <w:rFonts w:ascii="Times" w:hAnsi="Times" w:cs="Times New Roman"/>
        </w:rPr>
      </w:pPr>
      <w:r>
        <w:rPr>
          <w:noProof/>
        </w:rPr>
        <w:lastRenderedPageBreak/>
        <w:drawing>
          <wp:inline distT="0" distB="0" distL="0" distR="0" wp14:anchorId="190394A8" wp14:editId="396ABCB6">
            <wp:extent cx="5143500" cy="3409569"/>
            <wp:effectExtent l="0" t="0" r="0" b="0"/>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t="2" b="2065"/>
                    <a:stretch>
                      <a:fillRect/>
                    </a:stretch>
                  </pic:blipFill>
                  <pic:spPr bwMode="auto">
                    <a:xfrm>
                      <a:off x="0" y="0"/>
                      <a:ext cx="5143500" cy="3409569"/>
                    </a:xfrm>
                    <a:prstGeom prst="rect">
                      <a:avLst/>
                    </a:prstGeom>
                    <a:noFill/>
                    <a:ln>
                      <a:noFill/>
                    </a:ln>
                  </pic:spPr>
                </pic:pic>
              </a:graphicData>
            </a:graphic>
          </wp:inline>
        </w:drawing>
      </w:r>
    </w:p>
    <w:p w14:paraId="5F94F75A" w14:textId="53681ABA" w:rsidR="005708A0" w:rsidRDefault="00023B69" w:rsidP="005708A0">
      <w:pPr>
        <w:spacing w:before="240" w:after="120"/>
        <w:jc w:val="center"/>
        <w:outlineLvl w:val="0"/>
        <w:rPr>
          <w:rFonts w:ascii="Times" w:hAnsi="Times" w:cs="Times New Roman"/>
          <w:sz w:val="23"/>
          <w:szCs w:val="23"/>
        </w:rPr>
      </w:pPr>
      <w:r>
        <w:rPr>
          <w:rFonts w:ascii="Times" w:hAnsi="Times" w:cs="Times New Roman"/>
          <w:b/>
          <w:sz w:val="23"/>
          <w:szCs w:val="23"/>
        </w:rPr>
        <w:t>Figure 4.52</w:t>
      </w:r>
      <w:r w:rsidR="005708A0">
        <w:rPr>
          <w:rFonts w:ascii="Times" w:hAnsi="Times" w:cs="Times New Roman"/>
          <w:b/>
          <w:sz w:val="23"/>
          <w:szCs w:val="23"/>
        </w:rPr>
        <w:t>:</w:t>
      </w:r>
      <w:r w:rsidR="005708A0">
        <w:rPr>
          <w:rFonts w:ascii="Times" w:hAnsi="Times" w:cs="Times New Roman"/>
          <w:b/>
          <w:sz w:val="23"/>
          <w:szCs w:val="23"/>
        </w:rPr>
        <w:tab/>
      </w:r>
      <w:r w:rsidR="005708A0" w:rsidRPr="00C33B5D">
        <w:rPr>
          <w:rFonts w:ascii="Times" w:hAnsi="Times" w:cs="Times New Roman"/>
          <w:szCs w:val="23"/>
        </w:rPr>
        <w:t>XRD analysis of the B samples at a depth of 5-10mm over various leaching periods</w:t>
      </w:r>
    </w:p>
    <w:p w14:paraId="70E21534" w14:textId="72DDA4D3" w:rsidR="005708A0" w:rsidRPr="007505FF" w:rsidRDefault="005708A0" w:rsidP="005708A0">
      <w:pPr>
        <w:spacing w:before="240" w:after="120" w:line="480" w:lineRule="exact"/>
        <w:jc w:val="both"/>
        <w:rPr>
          <w:rFonts w:ascii="Times" w:hAnsi="Times" w:cs="Times New Roman"/>
          <w:vertAlign w:val="superscript"/>
        </w:rPr>
      </w:pPr>
      <w:r>
        <w:rPr>
          <w:rFonts w:ascii="Times" w:hAnsi="Times" w:cs="Times New Roman"/>
        </w:rPr>
        <w:t xml:space="preserve">The XRD data for the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EF2B26">
        <w:rPr>
          <w:rFonts w:ascii="Times New Roman" w:hAnsi="Times New Roman" w:cs="Times New Roman"/>
        </w:rPr>
        <w:t xml:space="preserve"> </w:t>
      </w:r>
      <w:r>
        <w:rPr>
          <w:rFonts w:ascii="Times" w:hAnsi="Times" w:cs="Times New Roman"/>
        </w:rPr>
        <w:t xml:space="preserve"> series</w:t>
      </w:r>
      <w:proofErr w:type="gramEnd"/>
      <w:r>
        <w:rPr>
          <w:rFonts w:ascii="Times" w:hAnsi="Times" w:cs="Times New Roman"/>
        </w:rPr>
        <w:t xml:space="preserve"> was analysed in the same manner, the top 3 layers of </w:t>
      </w:r>
      <w:r w:rsidRPr="00EF2B26">
        <w:rPr>
          <w:rFonts w:ascii="Times" w:hAnsi="Times" w:cs="Times New Roman"/>
          <w:b/>
        </w:rPr>
        <w:t>7D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F2B26">
        <w:rPr>
          <w:rFonts w:ascii="Times New Roman" w:hAnsi="Times New Roman" w:cs="Times New Roman"/>
        </w:rPr>
        <w:t xml:space="preserve"> </w:t>
      </w:r>
      <w:r w:rsidR="00023B69">
        <w:rPr>
          <w:rFonts w:ascii="Times" w:hAnsi="Times" w:cs="Times New Roman"/>
        </w:rPr>
        <w:t>are compared in figure 4.53</w:t>
      </w:r>
      <w:r>
        <w:rPr>
          <w:rFonts w:ascii="Times" w:hAnsi="Times" w:cs="Times New Roman"/>
        </w:rPr>
        <w:t>. Again peaks from the aluminium sample holder can be seen. The majority of the peak intensities is similar for all samples, however the CsNO</w:t>
      </w:r>
      <w:r>
        <w:rPr>
          <w:rFonts w:ascii="Times" w:hAnsi="Times" w:cs="Times New Roman"/>
          <w:vertAlign w:val="subscript"/>
        </w:rPr>
        <w:t>3</w:t>
      </w:r>
      <w:r>
        <w:rPr>
          <w:rFonts w:ascii="Times" w:hAnsi="Times" w:cs="Times New Roman"/>
        </w:rPr>
        <w:t xml:space="preserve"> peak is significantly weaker in the </w:t>
      </w:r>
      <w:r w:rsidRPr="00967E43">
        <w:rPr>
          <w:rFonts w:ascii="Times" w:hAnsi="Times" w:cs="Times New Roman"/>
          <w:b/>
        </w:rPr>
        <w:t>7D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Pr="00967E43">
        <w:rPr>
          <w:rFonts w:ascii="Times" w:hAnsi="Times" w:cs="Times New Roman"/>
          <w:b/>
        </w:rPr>
        <w:t>1</w:t>
      </w:r>
      <w:r>
        <w:rPr>
          <w:rFonts w:ascii="Times" w:hAnsi="Times" w:cs="Times New Roman"/>
        </w:rPr>
        <w:t xml:space="preserve"> layer and moderately weaker in the </w:t>
      </w:r>
      <w:r w:rsidRPr="00023B69">
        <w:rPr>
          <w:rFonts w:ascii="Times" w:hAnsi="Times" w:cs="Times New Roman"/>
          <w:b/>
        </w:rPr>
        <w:t>7D</w:t>
      </w:r>
      <m:oMath>
        <m:acc>
          <m:accPr>
            <m:chr m:val="̅"/>
            <m:ctrlPr>
              <w:rPr>
                <w:rFonts w:ascii="Cambria Math" w:hAnsi="Cambria Math" w:cs="Arial"/>
                <w:b/>
                <w:i/>
                <w:sz w:val="36"/>
                <w:szCs w:val="36"/>
              </w:rPr>
            </m:ctrlPr>
          </m:accPr>
          <m:e>
            <m:r>
              <m:rPr>
                <m:sty m:val="p"/>
              </m:rPr>
              <w:rPr>
                <w:rFonts w:ascii="Cambria Math" w:hAnsi="Cambria Math" w:cs="Arial"/>
                <w:sz w:val="36"/>
                <w:szCs w:val="36"/>
              </w:rPr>
              <m:t>cs</m:t>
            </m:r>
          </m:e>
        </m:acc>
      </m:oMath>
      <w:r w:rsidR="00023B69" w:rsidRPr="00023B69">
        <w:rPr>
          <w:rFonts w:ascii="Times" w:hAnsi="Times" w:cs="Times New Roman"/>
          <w:b/>
        </w:rPr>
        <w:t>2</w:t>
      </w:r>
      <w:r>
        <w:rPr>
          <w:rFonts w:ascii="Times" w:hAnsi="Times" w:cs="Times New Roman"/>
        </w:rPr>
        <w:t xml:space="preserve"> sample but remains similar to </w:t>
      </w:r>
      <w:r w:rsidR="000F6BBD">
        <w:rPr>
          <w:rFonts w:ascii="Times" w:hAnsi="Times" w:cs="Times New Roman"/>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rPr>
        <w:t xml:space="preserve"> in the </w:t>
      </w:r>
      <w:r w:rsidRPr="00967E43">
        <w:rPr>
          <w:rFonts w:ascii="Times" w:hAnsi="Times" w:cs="Times New Roman"/>
          <w:b/>
        </w:rPr>
        <w:t>7D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Pr="00967E43">
        <w:rPr>
          <w:rFonts w:ascii="Times" w:hAnsi="Times" w:cs="Times New Roman"/>
          <w:b/>
        </w:rPr>
        <w:t>3</w:t>
      </w:r>
      <w:r>
        <w:rPr>
          <w:rFonts w:ascii="Times" w:hAnsi="Times" w:cs="Times New Roman"/>
        </w:rPr>
        <w:t xml:space="preserve"> samples</w:t>
      </w:r>
      <w:r w:rsidR="007505FF">
        <w:rPr>
          <w:rFonts w:ascii="Times" w:hAnsi="Times" w:cs="Times New Roman"/>
        </w:rPr>
        <w:t>. There is a peak at ~40</w:t>
      </w:r>
      <w:r w:rsidR="007505FF">
        <w:rPr>
          <w:rFonts w:ascii="Times" w:hAnsi="Times" w:cs="Times New Roman"/>
          <w:vertAlign w:val="superscript"/>
        </w:rPr>
        <w:t>o</w:t>
      </w:r>
      <w:r w:rsidR="007505FF">
        <w:rPr>
          <w:rFonts w:ascii="Times New Roman" w:hAnsi="Times New Roman"/>
        </w:rPr>
        <w:t xml:space="preserve">2θ in the </w:t>
      </w:r>
      <w:r w:rsidR="00023B69">
        <w:rPr>
          <w:rFonts w:ascii="Times" w:hAnsi="Times" w:cs="Times New Roman"/>
          <w:b/>
        </w:rPr>
        <w:t>7D</w:t>
      </w:r>
      <m:oMath>
        <m:acc>
          <m:accPr>
            <m:chr m:val="̅"/>
            <m:ctrlPr>
              <w:rPr>
                <w:rFonts w:ascii="Cambria Math" w:hAnsi="Cambria Math" w:cs="Arial"/>
                <w:b/>
                <w:i/>
                <w:sz w:val="36"/>
                <w:szCs w:val="36"/>
              </w:rPr>
            </m:ctrlPr>
          </m:accPr>
          <m:e>
            <m:r>
              <m:rPr>
                <m:sty m:val="p"/>
              </m:rPr>
              <w:rPr>
                <w:rFonts w:ascii="Cambria Math" w:hAnsi="Cambria Math" w:cs="Arial"/>
                <w:sz w:val="36"/>
                <w:szCs w:val="36"/>
              </w:rPr>
              <m:t>cs</m:t>
            </m:r>
          </m:e>
        </m:acc>
      </m:oMath>
      <w:r w:rsidR="00023B69">
        <w:rPr>
          <w:rFonts w:ascii="Times" w:hAnsi="Times" w:cs="Times New Roman"/>
          <w:b/>
        </w:rPr>
        <w:t xml:space="preserve">3 </w:t>
      </w:r>
      <w:r w:rsidR="007505FF">
        <w:rPr>
          <w:rFonts w:ascii="Times New Roman" w:hAnsi="Times New Roman"/>
        </w:rPr>
        <w:t xml:space="preserve">sample that was unidentifiable. </w:t>
      </w:r>
    </w:p>
    <w:p w14:paraId="2C54601B" w14:textId="439E1F2C" w:rsidR="005708A0" w:rsidRDefault="005708A0" w:rsidP="005708A0">
      <w:pPr>
        <w:spacing w:before="240" w:after="120"/>
        <w:jc w:val="center"/>
        <w:outlineLvl w:val="0"/>
        <w:rPr>
          <w:rFonts w:ascii="Times" w:hAnsi="Times" w:cs="Times New Roman"/>
          <w:sz w:val="23"/>
          <w:szCs w:val="23"/>
        </w:rPr>
      </w:pPr>
      <w:r>
        <w:rPr>
          <w:noProof/>
        </w:rPr>
        <w:lastRenderedPageBreak/>
        <w:drawing>
          <wp:inline distT="0" distB="0" distL="0" distR="0" wp14:anchorId="4ED65720" wp14:editId="0FD94BA2">
            <wp:extent cx="5007944" cy="3205880"/>
            <wp:effectExtent l="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09713" cy="3207013"/>
                    </a:xfrm>
                    <a:prstGeom prst="rect">
                      <a:avLst/>
                    </a:prstGeom>
                    <a:noFill/>
                  </pic:spPr>
                </pic:pic>
              </a:graphicData>
            </a:graphic>
          </wp:inline>
        </w:drawing>
      </w:r>
      <w:r>
        <w:rPr>
          <w:rFonts w:ascii="Times" w:hAnsi="Times" w:cs="Times New Roman"/>
        </w:rPr>
        <w:t xml:space="preserve">          </w:t>
      </w:r>
      <w:r w:rsidR="00023B69">
        <w:rPr>
          <w:rFonts w:ascii="Times" w:hAnsi="Times" w:cs="Times New Roman"/>
          <w:b/>
          <w:sz w:val="23"/>
          <w:szCs w:val="23"/>
        </w:rPr>
        <w:t>Figure 4.53</w:t>
      </w:r>
      <w:r>
        <w:rPr>
          <w:rFonts w:ascii="Times" w:hAnsi="Times" w:cs="Times New Roman"/>
          <w:b/>
          <w:sz w:val="23"/>
          <w:szCs w:val="23"/>
        </w:rPr>
        <w:t>:</w:t>
      </w:r>
      <w:r>
        <w:rPr>
          <w:rFonts w:ascii="Times" w:hAnsi="Times" w:cs="Times New Roman"/>
          <w:b/>
          <w:sz w:val="23"/>
          <w:szCs w:val="23"/>
        </w:rPr>
        <w:tab/>
      </w:r>
      <w:r>
        <w:rPr>
          <w:rFonts w:ascii="Times" w:hAnsi="Times" w:cs="Times New Roman"/>
          <w:sz w:val="23"/>
          <w:szCs w:val="23"/>
        </w:rPr>
        <w:t xml:space="preserve">XRD analysis of 7DCS series at various distances from exposure surface </w:t>
      </w:r>
      <w:r w:rsidR="000D4AEA">
        <w:rPr>
          <w:rFonts w:ascii="Times" w:hAnsi="Times" w:cs="Times New Roman"/>
          <w:sz w:val="23"/>
          <w:szCs w:val="23"/>
        </w:rPr>
        <w:t>compared with</w:t>
      </w:r>
      <w:r>
        <w:rPr>
          <w:rFonts w:ascii="Times" w:hAnsi="Times" w:cs="Times New Roman"/>
          <w:sz w:val="23"/>
          <w:szCs w:val="23"/>
        </w:rPr>
        <w:t xml:space="preserve"> </w:t>
      </w:r>
      <w:r w:rsidR="000F6BBD">
        <w:rPr>
          <w:rFonts w:ascii="Times" w:hAnsi="Times" w:cs="Times New Roman"/>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
    <w:p w14:paraId="3BF7BB29" w14:textId="5831CF13" w:rsidR="005708A0" w:rsidRDefault="005708A0" w:rsidP="005708A0">
      <w:pPr>
        <w:spacing w:before="240" w:after="120" w:line="480" w:lineRule="exact"/>
        <w:jc w:val="both"/>
        <w:rPr>
          <w:rFonts w:ascii="Times" w:hAnsi="Times" w:cs="Times New Roman"/>
        </w:rPr>
      </w:pPr>
      <w:r>
        <w:rPr>
          <w:rFonts w:ascii="Times" w:hAnsi="Times" w:cs="Times New Roman"/>
        </w:rPr>
        <w:t xml:space="preserve">The XRD traces of the </w:t>
      </w:r>
      <w:r w:rsidR="00967E43">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764E54">
        <w:rPr>
          <w:rFonts w:ascii="Times" w:hAnsi="Times" w:cs="Times New Roman"/>
        </w:rPr>
        <w:t xml:space="preserve"> series</w:t>
      </w:r>
      <w:r>
        <w:rPr>
          <w:rFonts w:ascii="Times" w:hAnsi="Times" w:cs="Times New Roman"/>
        </w:rPr>
        <w:t xml:space="preserve"> in figure 4.5</w:t>
      </w:r>
      <w:r w:rsidR="00023B69">
        <w:rPr>
          <w:rFonts w:ascii="Times" w:hAnsi="Times" w:cs="Times New Roman"/>
        </w:rPr>
        <w:t>4</w:t>
      </w:r>
      <w:r>
        <w:rPr>
          <w:rFonts w:ascii="Times" w:hAnsi="Times" w:cs="Times New Roman"/>
        </w:rPr>
        <w:t xml:space="preserve"> show that after 28 days of semi-static leaching the top layer </w:t>
      </w:r>
      <w:r w:rsidR="00967E43">
        <w:rPr>
          <w:rFonts w:ascii="Times" w:hAnsi="Times" w:cs="Times New Roman"/>
          <w:b/>
        </w:rPr>
        <w:t>28</w:t>
      </w:r>
      <w:r w:rsidR="00967E43" w:rsidRPr="00967E43">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971672" w:rsidRPr="00967E43">
        <w:rPr>
          <w:rFonts w:ascii="Times" w:hAnsi="Times" w:cs="Times New Roman"/>
          <w:b/>
        </w:rPr>
        <w:t>1</w:t>
      </w:r>
      <w:r w:rsidR="00971672">
        <w:rPr>
          <w:rFonts w:ascii="Times" w:hAnsi="Times" w:cs="Times New Roman"/>
        </w:rPr>
        <w:t xml:space="preserve"> show</w:t>
      </w:r>
      <w:r>
        <w:rPr>
          <w:rFonts w:ascii="Times" w:hAnsi="Times" w:cs="Times New Roman"/>
        </w:rPr>
        <w:t xml:space="preserve"> weak peaks for all phases. There is a significant decrease in the CAN phase in comparison to the </w:t>
      </w:r>
      <w:r w:rsidR="00967E43">
        <w:rPr>
          <w:rFonts w:ascii="Times" w:hAnsi="Times" w:cs="Times New Roman"/>
          <w:b/>
        </w:rPr>
        <w:t>28</w:t>
      </w:r>
      <w:r w:rsidR="00967E43" w:rsidRPr="00967E43">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967E43">
        <w:rPr>
          <w:rFonts w:ascii="Times" w:hAnsi="Times" w:cs="Times New Roman"/>
          <w:b/>
        </w:rPr>
        <w:t>2</w:t>
      </w:r>
      <w:r>
        <w:rPr>
          <w:rFonts w:ascii="Times" w:hAnsi="Times" w:cs="Times New Roman"/>
        </w:rPr>
        <w:t xml:space="preserve">, </w:t>
      </w:r>
      <w:r w:rsidR="00967E43">
        <w:rPr>
          <w:rFonts w:ascii="Times" w:hAnsi="Times" w:cs="Times New Roman"/>
          <w:b/>
        </w:rPr>
        <w:t>28</w:t>
      </w:r>
      <w:r w:rsidR="00967E43" w:rsidRPr="00967E43">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967E43">
        <w:rPr>
          <w:rFonts w:ascii="Times" w:hAnsi="Times" w:cs="Times New Roman"/>
          <w:b/>
        </w:rPr>
        <w:t>3</w:t>
      </w:r>
      <w:r w:rsidR="00967E43">
        <w:rPr>
          <w:rFonts w:ascii="Times" w:hAnsi="Times" w:cs="Times New Roman"/>
        </w:rPr>
        <w:t xml:space="preserve"> </w:t>
      </w:r>
      <w:r>
        <w:rPr>
          <w:rFonts w:ascii="Times" w:hAnsi="Times" w:cs="Times New Roman"/>
        </w:rPr>
        <w:t xml:space="preserve">and </w:t>
      </w:r>
      <w:r w:rsidR="00967E43">
        <w:rPr>
          <w:rFonts w:ascii="Times" w:hAnsi="Times" w:cs="Times New Roman"/>
          <w:b/>
        </w:rPr>
        <w:t>0</w:t>
      </w:r>
      <w:r w:rsidR="00967E43" w:rsidRPr="00967E43">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967E43">
        <w:rPr>
          <w:rFonts w:ascii="Times" w:hAnsi="Times" w:cs="Times New Roman"/>
        </w:rPr>
        <w:t xml:space="preserve"> </w:t>
      </w:r>
      <w:r>
        <w:rPr>
          <w:rFonts w:ascii="Times" w:hAnsi="Times" w:cs="Times New Roman"/>
        </w:rPr>
        <w:t xml:space="preserve"> samples</w:t>
      </w:r>
      <w:proofErr w:type="gramEnd"/>
      <w:r>
        <w:rPr>
          <w:rFonts w:ascii="Times" w:hAnsi="Times" w:cs="Times New Roman"/>
        </w:rPr>
        <w:t xml:space="preserve">, </w:t>
      </w:r>
      <w:r w:rsidR="007505FF">
        <w:rPr>
          <w:rFonts w:ascii="Times" w:hAnsi="Times" w:cs="Times New Roman"/>
        </w:rPr>
        <w:t xml:space="preserve">suggesting that </w:t>
      </w:r>
      <w:r>
        <w:rPr>
          <w:rFonts w:ascii="Times" w:hAnsi="Times" w:cs="Times New Roman"/>
        </w:rPr>
        <w:t xml:space="preserve">after 28 days there is considerable </w:t>
      </w:r>
      <w:r w:rsidR="007505FF">
        <w:rPr>
          <w:rFonts w:ascii="Times" w:hAnsi="Times" w:cs="Times New Roman"/>
        </w:rPr>
        <w:t>leaching</w:t>
      </w:r>
      <w:r>
        <w:rPr>
          <w:rFonts w:ascii="Times" w:hAnsi="Times" w:cs="Times New Roman"/>
        </w:rPr>
        <w:t xml:space="preserve"> of ions from this phase. The CN (CsNO</w:t>
      </w:r>
      <w:r>
        <w:rPr>
          <w:rFonts w:ascii="Times" w:hAnsi="Times" w:cs="Times New Roman"/>
          <w:vertAlign w:val="subscript"/>
        </w:rPr>
        <w:t>3</w:t>
      </w:r>
      <w:r>
        <w:rPr>
          <w:rFonts w:ascii="Times" w:hAnsi="Times" w:cs="Times New Roman"/>
        </w:rPr>
        <w:t>) peak</w:t>
      </w:r>
      <w:r w:rsidR="00B82499">
        <w:rPr>
          <w:rFonts w:ascii="Times" w:hAnsi="Times" w:cs="Times New Roman"/>
        </w:rPr>
        <w:t>s</w:t>
      </w:r>
      <w:r>
        <w:rPr>
          <w:rFonts w:ascii="Times" w:hAnsi="Times" w:cs="Times New Roman"/>
        </w:rPr>
        <w:t xml:space="preserve"> </w:t>
      </w:r>
      <w:r w:rsidR="00B82499">
        <w:rPr>
          <w:rFonts w:ascii="Times" w:hAnsi="Times" w:cs="Times New Roman"/>
        </w:rPr>
        <w:t>are not observable</w:t>
      </w:r>
      <w:r>
        <w:rPr>
          <w:rFonts w:ascii="Times" w:hAnsi="Times" w:cs="Times New Roman"/>
        </w:rPr>
        <w:t>, suggesting the depletion of the CsNO</w:t>
      </w:r>
      <w:r>
        <w:rPr>
          <w:rFonts w:ascii="Times" w:hAnsi="Times" w:cs="Times New Roman"/>
          <w:vertAlign w:val="subscript"/>
        </w:rPr>
        <w:t>3</w:t>
      </w:r>
      <w:r>
        <w:rPr>
          <w:rFonts w:ascii="Times" w:hAnsi="Times" w:cs="Times New Roman"/>
        </w:rPr>
        <w:t xml:space="preserve"> from the 5mm of the sample after 28 days, however there are still peaks for this phase in the second </w:t>
      </w:r>
      <w:r w:rsidR="00967E43">
        <w:rPr>
          <w:rFonts w:ascii="Times" w:hAnsi="Times" w:cs="Times New Roman"/>
          <w:b/>
        </w:rPr>
        <w:t>28</w:t>
      </w:r>
      <w:r w:rsidR="00967E43" w:rsidRPr="00967E43">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967E43">
        <w:rPr>
          <w:rFonts w:ascii="Times" w:hAnsi="Times" w:cs="Times New Roman"/>
          <w:b/>
        </w:rPr>
        <w:t>2</w:t>
      </w:r>
      <w:r w:rsidR="00967E43">
        <w:rPr>
          <w:rFonts w:ascii="Times" w:hAnsi="Times" w:cs="Times New Roman"/>
        </w:rPr>
        <w:t xml:space="preserve"> </w:t>
      </w:r>
      <w:r>
        <w:rPr>
          <w:rFonts w:ascii="Times" w:hAnsi="Times" w:cs="Times New Roman"/>
        </w:rPr>
        <w:t xml:space="preserve">layer, </w:t>
      </w:r>
      <w:r w:rsidR="00B82499">
        <w:rPr>
          <w:rFonts w:ascii="Times" w:hAnsi="Times" w:cs="Times New Roman"/>
        </w:rPr>
        <w:t>which unexpectedly seem to be stronger</w:t>
      </w:r>
      <w:r>
        <w:rPr>
          <w:rFonts w:ascii="Times" w:hAnsi="Times" w:cs="Times New Roman"/>
        </w:rPr>
        <w:t xml:space="preserve"> than </w:t>
      </w:r>
      <w:r w:rsidR="00B82499">
        <w:rPr>
          <w:rFonts w:ascii="Times" w:hAnsi="Times" w:cs="Times New Roman"/>
        </w:rPr>
        <w:t xml:space="preserve">those in </w:t>
      </w:r>
      <w:r w:rsidR="00967E43">
        <w:rPr>
          <w:rFonts w:ascii="Times" w:hAnsi="Times" w:cs="Times New Roman"/>
          <w:b/>
        </w:rPr>
        <w:t>28</w:t>
      </w:r>
      <w:r w:rsidR="00967E43" w:rsidRPr="00967E43">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967E43">
        <w:rPr>
          <w:rFonts w:ascii="Times" w:hAnsi="Times" w:cs="Times New Roman"/>
          <w:b/>
        </w:rPr>
        <w:t>3</w:t>
      </w:r>
      <w:r w:rsidR="00E12819">
        <w:rPr>
          <w:rFonts w:ascii="Times" w:hAnsi="Times" w:cs="Times New Roman"/>
          <w:b/>
        </w:rPr>
        <w:t xml:space="preserve">. </w:t>
      </w:r>
      <w:r w:rsidR="00E12819">
        <w:rPr>
          <w:rFonts w:ascii="Times" w:hAnsi="Times" w:cs="Times New Roman"/>
        </w:rPr>
        <w:t xml:space="preserve">This could be due to the concentration gradient drawing the phase </w:t>
      </w:r>
      <w:r w:rsidR="00971672">
        <w:rPr>
          <w:rFonts w:ascii="Times" w:hAnsi="Times" w:cs="Times New Roman"/>
        </w:rPr>
        <w:t>components</w:t>
      </w:r>
      <w:r w:rsidR="00E12819">
        <w:rPr>
          <w:rFonts w:ascii="Times" w:hAnsi="Times" w:cs="Times New Roman"/>
        </w:rPr>
        <w:t xml:space="preserve"> towards the surface</w:t>
      </w:r>
      <w:r>
        <w:rPr>
          <w:rFonts w:ascii="Times" w:hAnsi="Times" w:cs="Times New Roman"/>
        </w:rPr>
        <w:t xml:space="preserve">. The shoulder/peak attributed with hydrotalcite is stronger in the </w:t>
      </w:r>
      <w:r w:rsidR="00967E43">
        <w:rPr>
          <w:rFonts w:ascii="Times" w:hAnsi="Times" w:cs="Times New Roman"/>
          <w:b/>
        </w:rPr>
        <w:t>28</w:t>
      </w:r>
      <w:r w:rsidR="00967E43" w:rsidRPr="00967E43">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967E43">
        <w:rPr>
          <w:rFonts w:ascii="Times" w:hAnsi="Times" w:cs="Times New Roman"/>
          <w:b/>
        </w:rPr>
        <w:t>3</w:t>
      </w:r>
      <w:r>
        <w:rPr>
          <w:rFonts w:ascii="Times" w:hAnsi="Times" w:cs="Times New Roman"/>
        </w:rPr>
        <w:t xml:space="preserve"> in comparison with </w:t>
      </w:r>
      <w:r w:rsidR="00967E43">
        <w:rPr>
          <w:rFonts w:ascii="Times" w:hAnsi="Times" w:cs="Times New Roman"/>
          <w:b/>
        </w:rPr>
        <w:t>0</w:t>
      </w:r>
      <w:r w:rsidR="00967E43" w:rsidRPr="00967E43">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rPr>
        <w:t xml:space="preserve">, which </w:t>
      </w:r>
      <w:r w:rsidR="004E699E">
        <w:rPr>
          <w:rFonts w:ascii="Times" w:hAnsi="Times" w:cs="Times New Roman"/>
        </w:rPr>
        <w:t>is probably the</w:t>
      </w:r>
      <w:r>
        <w:rPr>
          <w:rFonts w:ascii="Times" w:hAnsi="Times" w:cs="Times New Roman"/>
        </w:rPr>
        <w:t xml:space="preserve"> result of continued hydration in the </w:t>
      </w:r>
      <w:proofErr w:type="gramStart"/>
      <w:r>
        <w:rPr>
          <w:rFonts w:ascii="Times" w:hAnsi="Times" w:cs="Times New Roman"/>
        </w:rPr>
        <w:t>28 day</w:t>
      </w:r>
      <w:proofErr w:type="gramEnd"/>
      <w:r>
        <w:rPr>
          <w:rFonts w:ascii="Times" w:hAnsi="Times" w:cs="Times New Roman"/>
        </w:rPr>
        <w:t xml:space="preserve"> leaching period. These results </w:t>
      </w:r>
      <w:r w:rsidR="00B82499">
        <w:rPr>
          <w:rFonts w:ascii="Times" w:hAnsi="Times" w:cs="Times New Roman"/>
        </w:rPr>
        <w:t>will</w:t>
      </w:r>
      <w:r>
        <w:rPr>
          <w:rFonts w:ascii="Times" w:hAnsi="Times" w:cs="Times New Roman"/>
        </w:rPr>
        <w:t xml:space="preserve"> be cross-referenced with the TG results to further investigate this. </w:t>
      </w:r>
    </w:p>
    <w:p w14:paraId="29D3D515" w14:textId="77777777" w:rsidR="005708A0" w:rsidRDefault="005708A0" w:rsidP="005708A0">
      <w:pPr>
        <w:spacing w:before="240" w:after="120"/>
        <w:ind w:left="-284"/>
        <w:jc w:val="both"/>
        <w:rPr>
          <w:rFonts w:ascii="Times" w:hAnsi="Times" w:cs="Times New Roman"/>
        </w:rPr>
      </w:pPr>
    </w:p>
    <w:p w14:paraId="3EA26184" w14:textId="77777777" w:rsidR="005708A0" w:rsidRDefault="005708A0" w:rsidP="00023B69">
      <w:pPr>
        <w:ind w:left="-426"/>
        <w:jc w:val="center"/>
        <w:rPr>
          <w:rFonts w:ascii="Times" w:hAnsi="Times" w:cs="Times New Roman"/>
        </w:rPr>
      </w:pPr>
      <w:r>
        <w:rPr>
          <w:rFonts w:ascii="Times" w:hAnsi="Times" w:cs="Times New Roman"/>
          <w:noProof/>
        </w:rPr>
        <w:lastRenderedPageBreak/>
        <w:drawing>
          <wp:inline distT="0" distB="0" distL="0" distR="0" wp14:anchorId="1E3733A3" wp14:editId="312488FA">
            <wp:extent cx="5019067" cy="2769235"/>
            <wp:effectExtent l="0" t="0" r="10160" b="0"/>
            <wp:docPr id="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6">
                      <a:extLst>
                        <a:ext uri="{28A0092B-C50C-407E-A947-70E740481C1C}">
                          <a14:useLocalDpi xmlns:a14="http://schemas.microsoft.com/office/drawing/2010/main" val="0"/>
                        </a:ext>
                      </a:extLst>
                    </a:blip>
                    <a:srcRect l="4112"/>
                    <a:stretch/>
                  </pic:blipFill>
                  <pic:spPr bwMode="auto">
                    <a:xfrm>
                      <a:off x="0" y="0"/>
                      <a:ext cx="5019911" cy="2769701"/>
                    </a:xfrm>
                    <a:prstGeom prst="rect">
                      <a:avLst/>
                    </a:prstGeom>
                    <a:noFill/>
                    <a:ln>
                      <a:noFill/>
                    </a:ln>
                    <a:extLst>
                      <a:ext uri="{53640926-AAD7-44d8-BBD7-CCE9431645EC}">
                        <a14:shadowObscured xmlns:a14="http://schemas.microsoft.com/office/drawing/2010/main"/>
                      </a:ext>
                    </a:extLst>
                  </pic:spPr>
                </pic:pic>
              </a:graphicData>
            </a:graphic>
          </wp:inline>
        </w:drawing>
      </w:r>
    </w:p>
    <w:p w14:paraId="7683EB74" w14:textId="686979FA" w:rsidR="005708A0" w:rsidRDefault="00023B69" w:rsidP="00023B69">
      <w:pPr>
        <w:jc w:val="center"/>
        <w:outlineLvl w:val="0"/>
        <w:rPr>
          <w:rFonts w:ascii="Times" w:hAnsi="Times" w:cs="Times New Roman"/>
          <w:sz w:val="23"/>
          <w:szCs w:val="23"/>
        </w:rPr>
      </w:pPr>
      <w:r>
        <w:rPr>
          <w:rFonts w:ascii="Times" w:hAnsi="Times" w:cs="Times New Roman"/>
          <w:b/>
          <w:sz w:val="23"/>
          <w:szCs w:val="23"/>
        </w:rPr>
        <w:t>Figure 4.54</w:t>
      </w:r>
      <w:r w:rsidR="005708A0">
        <w:rPr>
          <w:rFonts w:ascii="Times" w:hAnsi="Times" w:cs="Times New Roman"/>
          <w:b/>
          <w:sz w:val="23"/>
          <w:szCs w:val="23"/>
        </w:rPr>
        <w:t xml:space="preserve">: </w:t>
      </w:r>
      <w:r w:rsidR="005708A0">
        <w:rPr>
          <w:rFonts w:ascii="Times" w:hAnsi="Times" w:cs="Times New Roman"/>
          <w:sz w:val="23"/>
          <w:szCs w:val="23"/>
        </w:rPr>
        <w:t xml:space="preserve">XRD analysis of 28DCS series at </w:t>
      </w:r>
      <w:r w:rsidR="00B82499">
        <w:rPr>
          <w:rFonts w:ascii="Times" w:hAnsi="Times" w:cs="Times New Roman"/>
          <w:sz w:val="23"/>
          <w:szCs w:val="23"/>
        </w:rPr>
        <w:t>5mm, 10mm and 15mm</w:t>
      </w:r>
      <w:r w:rsidR="00B82499">
        <w:rPr>
          <w:rFonts w:ascii="Times" w:hAnsi="Times"/>
          <w:sz w:val="20"/>
          <w:szCs w:val="20"/>
          <w:lang w:val="en-GB"/>
        </w:rPr>
        <w:t xml:space="preserve"> </w:t>
      </w:r>
      <w:r w:rsidR="005708A0">
        <w:rPr>
          <w:rFonts w:ascii="Times" w:hAnsi="Times" w:cs="Times New Roman"/>
          <w:sz w:val="23"/>
          <w:szCs w:val="23"/>
        </w:rPr>
        <w:t xml:space="preserve">from exposure surface </w:t>
      </w:r>
      <w:r w:rsidR="000D4AEA">
        <w:rPr>
          <w:rFonts w:ascii="Times" w:hAnsi="Times" w:cs="Times New Roman"/>
          <w:sz w:val="23"/>
          <w:szCs w:val="23"/>
        </w:rPr>
        <w:t>compared with</w:t>
      </w:r>
      <w:r w:rsidR="005708A0">
        <w:rPr>
          <w:rFonts w:ascii="Times" w:hAnsi="Times" w:cs="Times New Roman"/>
          <w:sz w:val="23"/>
          <w:szCs w:val="23"/>
        </w:rPr>
        <w:t xml:space="preserve"> </w:t>
      </w:r>
      <w:r w:rsidR="00D07138">
        <w:rPr>
          <w:rFonts w:ascii="Times" w:hAnsi="Times" w:cs="Times New Roman"/>
          <w:b/>
        </w:rPr>
        <w:t>0</w:t>
      </w:r>
      <w:r w:rsidR="00D07138" w:rsidRPr="00967E43">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
    <w:p w14:paraId="3DECAD90" w14:textId="1EA578E0" w:rsidR="005708A0" w:rsidRPr="00AA226E" w:rsidRDefault="005708A0" w:rsidP="005708A0">
      <w:pPr>
        <w:spacing w:before="240" w:after="120" w:line="480" w:lineRule="exact"/>
        <w:jc w:val="both"/>
        <w:outlineLvl w:val="0"/>
        <w:rPr>
          <w:rFonts w:ascii="Times" w:hAnsi="Times" w:cs="Times New Roman"/>
          <w:bCs/>
          <w:iCs/>
        </w:rPr>
      </w:pPr>
      <w:r>
        <w:rPr>
          <w:rFonts w:ascii="Times" w:hAnsi="Times" w:cs="Times New Roman"/>
          <w:bCs/>
          <w:iCs/>
        </w:rPr>
        <w:t xml:space="preserve">The CAN peak intensity is not changed for </w:t>
      </w:r>
      <w:r w:rsidR="00D07138">
        <w:rPr>
          <w:rFonts w:ascii="Times" w:hAnsi="Times" w:cs="Times New Roman"/>
          <w:b/>
        </w:rPr>
        <w:t>6M</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D07138">
        <w:rPr>
          <w:rFonts w:ascii="Times" w:hAnsi="Times" w:cs="Times New Roman"/>
          <w:b/>
        </w:rPr>
        <w:t>3</w:t>
      </w:r>
      <w:r w:rsidR="00B82499">
        <w:rPr>
          <w:rFonts w:ascii="Times" w:hAnsi="Times" w:cs="Times New Roman"/>
          <w:bCs/>
          <w:iCs/>
        </w:rPr>
        <w:t xml:space="preserve"> as shown in figure 4.5</w:t>
      </w:r>
      <w:r w:rsidR="00023B69">
        <w:rPr>
          <w:rFonts w:ascii="Times" w:hAnsi="Times" w:cs="Times New Roman"/>
          <w:bCs/>
          <w:iCs/>
        </w:rPr>
        <w:t>5</w:t>
      </w:r>
      <w:r>
        <w:rPr>
          <w:rFonts w:ascii="Times" w:hAnsi="Times" w:cs="Times New Roman"/>
          <w:bCs/>
          <w:iCs/>
        </w:rPr>
        <w:t xml:space="preserve">, however has decreased significantly for </w:t>
      </w:r>
      <w:r w:rsidR="00D07138">
        <w:rPr>
          <w:rFonts w:ascii="Times" w:hAnsi="Times" w:cs="Times New Roman"/>
          <w:b/>
        </w:rPr>
        <w:t>6M</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D07138">
        <w:rPr>
          <w:rFonts w:ascii="Times" w:hAnsi="Times" w:cs="Times New Roman"/>
          <w:b/>
        </w:rPr>
        <w:t>2</w:t>
      </w:r>
      <w:r>
        <w:rPr>
          <w:rFonts w:ascii="Times" w:hAnsi="Times" w:cs="Times New Roman"/>
          <w:bCs/>
          <w:iCs/>
        </w:rPr>
        <w:t xml:space="preserve"> in comparison to </w:t>
      </w:r>
      <w:r w:rsidR="00D07138">
        <w:rPr>
          <w:rFonts w:ascii="Times" w:hAnsi="Times" w:cs="Times New Roman"/>
          <w:b/>
        </w:rPr>
        <w:t>28</w:t>
      </w:r>
      <w:r w:rsidR="00D07138" w:rsidRPr="00967E43">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D07138">
        <w:rPr>
          <w:rFonts w:ascii="Times" w:hAnsi="Times" w:cs="Times New Roman"/>
          <w:b/>
        </w:rPr>
        <w:t>2</w:t>
      </w:r>
      <w:r>
        <w:rPr>
          <w:rFonts w:ascii="Times" w:hAnsi="Times" w:cs="Times New Roman"/>
          <w:bCs/>
          <w:iCs/>
        </w:rPr>
        <w:t xml:space="preserve">. There is also a stronger peak in </w:t>
      </w:r>
      <w:r w:rsidR="00D07138">
        <w:rPr>
          <w:rFonts w:ascii="Times" w:hAnsi="Times" w:cs="Times New Roman"/>
          <w:b/>
        </w:rPr>
        <w:t>6M</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D07138">
        <w:rPr>
          <w:rFonts w:ascii="Times" w:hAnsi="Times" w:cs="Times New Roman"/>
          <w:b/>
        </w:rPr>
        <w:t>2</w:t>
      </w:r>
      <w:r w:rsidR="00D07138">
        <w:rPr>
          <w:rFonts w:ascii="Times" w:hAnsi="Times" w:cs="Times New Roman"/>
          <w:bCs/>
          <w:iCs/>
        </w:rPr>
        <w:t xml:space="preserve"> </w:t>
      </w:r>
      <w:r>
        <w:rPr>
          <w:rFonts w:ascii="Times" w:hAnsi="Times" w:cs="Times New Roman"/>
          <w:bCs/>
          <w:iCs/>
        </w:rPr>
        <w:t xml:space="preserve">attributed to the crystalline C-S-H phase, which could be the result of hydration. The CN peak seems to be absent in all three layers suggesting that the leaching of this phase has reached a depth of 15mm within the sample, although </w:t>
      </w:r>
      <w:r w:rsidR="00D07138">
        <w:rPr>
          <w:rFonts w:ascii="Times" w:hAnsi="Times" w:cs="Times New Roman"/>
          <w:b/>
        </w:rPr>
        <w:t>6M</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D07138">
        <w:rPr>
          <w:rFonts w:ascii="Times" w:hAnsi="Times" w:cs="Times New Roman"/>
          <w:b/>
        </w:rPr>
        <w:t>3</w:t>
      </w:r>
      <w:r w:rsidR="00D07138">
        <w:rPr>
          <w:rFonts w:ascii="Times" w:hAnsi="Times" w:cs="Times New Roman"/>
          <w:bCs/>
          <w:iCs/>
        </w:rPr>
        <w:t xml:space="preserve"> </w:t>
      </w:r>
      <w:r>
        <w:rPr>
          <w:rFonts w:ascii="Times" w:hAnsi="Times" w:cs="Times New Roman"/>
          <w:bCs/>
          <w:iCs/>
        </w:rPr>
        <w:t xml:space="preserve"> shows</w:t>
      </w:r>
      <w:proofErr w:type="gramEnd"/>
      <w:r>
        <w:rPr>
          <w:rFonts w:ascii="Times" w:hAnsi="Times" w:cs="Times New Roman"/>
          <w:bCs/>
          <w:iCs/>
        </w:rPr>
        <w:t xml:space="preserve"> strong peaks for all the other phases. </w:t>
      </w:r>
      <w:r w:rsidR="00764E54">
        <w:rPr>
          <w:rFonts w:ascii="Times" w:hAnsi="Times" w:cs="Times New Roman"/>
          <w:bCs/>
          <w:iCs/>
        </w:rPr>
        <w:t xml:space="preserve"> The ettringite peak disappears in all samples </w:t>
      </w:r>
      <w:r w:rsidR="00D06A52">
        <w:rPr>
          <w:rFonts w:ascii="Times" w:hAnsi="Times" w:cs="Times New Roman"/>
          <w:bCs/>
          <w:iCs/>
        </w:rPr>
        <w:t xml:space="preserve">after 7 days </w:t>
      </w:r>
      <w:r w:rsidR="00764E54">
        <w:rPr>
          <w:rFonts w:ascii="Times" w:hAnsi="Times" w:cs="Times New Roman"/>
          <w:bCs/>
          <w:iCs/>
        </w:rPr>
        <w:t>suggesting that the continuous hydration changed this into the AFm phase CAN.</w:t>
      </w:r>
    </w:p>
    <w:p w14:paraId="3BCB40DC" w14:textId="77777777" w:rsidR="005708A0" w:rsidRDefault="005708A0" w:rsidP="00023B69">
      <w:pPr>
        <w:jc w:val="center"/>
        <w:outlineLvl w:val="0"/>
        <w:rPr>
          <w:rFonts w:ascii="Times" w:hAnsi="Times" w:cs="Times New Roman"/>
          <w:b/>
          <w:bCs/>
          <w:iCs/>
        </w:rPr>
      </w:pPr>
      <w:r>
        <w:rPr>
          <w:rFonts w:ascii="Times" w:hAnsi="Times" w:cs="Times New Roman"/>
          <w:b/>
          <w:noProof/>
        </w:rPr>
        <w:drawing>
          <wp:inline distT="0" distB="0" distL="0" distR="0" wp14:anchorId="01482424" wp14:editId="27DC64D9">
            <wp:extent cx="4875257" cy="2926109"/>
            <wp:effectExtent l="0" t="0" r="1905" b="0"/>
            <wp:docPr id="2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7">
                      <a:extLst>
                        <a:ext uri="{28A0092B-C50C-407E-A947-70E740481C1C}">
                          <a14:useLocalDpi xmlns:a14="http://schemas.microsoft.com/office/drawing/2010/main" val="0"/>
                        </a:ext>
                      </a:extLst>
                    </a:blip>
                    <a:srcRect l="4403"/>
                    <a:stretch/>
                  </pic:blipFill>
                  <pic:spPr bwMode="auto">
                    <a:xfrm>
                      <a:off x="0" y="0"/>
                      <a:ext cx="4876852" cy="2927066"/>
                    </a:xfrm>
                    <a:prstGeom prst="rect">
                      <a:avLst/>
                    </a:prstGeom>
                    <a:noFill/>
                    <a:ln>
                      <a:noFill/>
                    </a:ln>
                    <a:extLst>
                      <a:ext uri="{53640926-AAD7-44d8-BBD7-CCE9431645EC}">
                        <a14:shadowObscured xmlns:a14="http://schemas.microsoft.com/office/drawing/2010/main"/>
                      </a:ext>
                    </a:extLst>
                  </pic:spPr>
                </pic:pic>
              </a:graphicData>
            </a:graphic>
          </wp:inline>
        </w:drawing>
      </w:r>
    </w:p>
    <w:p w14:paraId="05F576AF" w14:textId="4A35C53F" w:rsidR="005708A0" w:rsidRPr="00D07138" w:rsidRDefault="00023B69" w:rsidP="00023B69">
      <w:pPr>
        <w:jc w:val="center"/>
        <w:outlineLvl w:val="0"/>
        <w:rPr>
          <w:rFonts w:ascii="Times" w:hAnsi="Times" w:cs="Times New Roman"/>
          <w:b/>
          <w:bCs/>
          <w:iCs/>
        </w:rPr>
      </w:pPr>
      <w:r>
        <w:rPr>
          <w:rFonts w:ascii="Times" w:hAnsi="Times" w:cs="Times New Roman"/>
          <w:b/>
          <w:sz w:val="23"/>
          <w:szCs w:val="23"/>
        </w:rPr>
        <w:lastRenderedPageBreak/>
        <w:t>Figure 4.55</w:t>
      </w:r>
      <w:r w:rsidR="005708A0">
        <w:rPr>
          <w:rFonts w:ascii="Times" w:hAnsi="Times" w:cs="Times New Roman"/>
          <w:b/>
          <w:sz w:val="23"/>
          <w:szCs w:val="23"/>
        </w:rPr>
        <w:t xml:space="preserve">: </w:t>
      </w:r>
      <w:r w:rsidR="005708A0">
        <w:rPr>
          <w:rFonts w:ascii="Times" w:hAnsi="Times" w:cs="Times New Roman"/>
          <w:sz w:val="23"/>
          <w:szCs w:val="23"/>
        </w:rPr>
        <w:t xml:space="preserve">XRD analysis of </w:t>
      </w:r>
      <w:r w:rsidR="00D07138">
        <w:rPr>
          <w:rFonts w:ascii="Times" w:hAnsi="Times" w:cs="Times New Roman"/>
          <w:b/>
        </w:rPr>
        <w:t>6M</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D07138">
        <w:rPr>
          <w:rFonts w:ascii="Times" w:hAnsi="Times" w:cs="Times New Roman"/>
          <w:bCs/>
          <w:iCs/>
        </w:rPr>
        <w:t xml:space="preserve"> </w:t>
      </w:r>
      <w:r w:rsidR="005708A0">
        <w:rPr>
          <w:rFonts w:ascii="Times" w:hAnsi="Times" w:cs="Times New Roman"/>
          <w:sz w:val="23"/>
          <w:szCs w:val="23"/>
        </w:rPr>
        <w:t xml:space="preserve"> series</w:t>
      </w:r>
      <w:proofErr w:type="gramEnd"/>
      <w:r w:rsidR="005708A0">
        <w:rPr>
          <w:rFonts w:ascii="Times" w:hAnsi="Times" w:cs="Times New Roman"/>
          <w:sz w:val="23"/>
          <w:szCs w:val="23"/>
        </w:rPr>
        <w:t xml:space="preserve"> at various distances from exposure surface </w:t>
      </w:r>
      <w:r w:rsidR="000D4AEA">
        <w:rPr>
          <w:rFonts w:ascii="Times" w:hAnsi="Times" w:cs="Times New Roman"/>
          <w:sz w:val="23"/>
          <w:szCs w:val="23"/>
        </w:rPr>
        <w:t>compared with</w:t>
      </w:r>
      <w:r w:rsidR="005708A0">
        <w:rPr>
          <w:rFonts w:ascii="Times" w:hAnsi="Times" w:cs="Times New Roman"/>
          <w:sz w:val="23"/>
          <w:szCs w:val="23"/>
        </w:rPr>
        <w:t xml:space="preserve"> </w:t>
      </w:r>
      <w:r w:rsidR="00D07138">
        <w:rPr>
          <w:rFonts w:ascii="Times" w:hAnsi="Times" w:cs="Times New Roman"/>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
    <w:p w14:paraId="34D6C668" w14:textId="09E1DDF4" w:rsidR="005708A0" w:rsidRDefault="005708A0" w:rsidP="005708A0">
      <w:pPr>
        <w:spacing w:before="240" w:after="120" w:line="480" w:lineRule="exact"/>
        <w:jc w:val="both"/>
        <w:outlineLvl w:val="0"/>
        <w:rPr>
          <w:rFonts w:ascii="Times" w:hAnsi="Times" w:cs="Times New Roman"/>
          <w:bCs/>
          <w:iCs/>
        </w:rPr>
      </w:pPr>
      <w:r>
        <w:rPr>
          <w:rFonts w:ascii="Times" w:hAnsi="Times" w:cs="Times New Roman"/>
          <w:bCs/>
          <w:iCs/>
        </w:rPr>
        <w:t xml:space="preserve">The </w:t>
      </w:r>
      <w:r w:rsidR="00D07138" w:rsidRPr="00D07138">
        <w:rPr>
          <w:rFonts w:ascii="Times" w:hAnsi="Times" w:cs="Times New Roman"/>
          <w:b/>
          <w:bCs/>
          <w:iCs/>
        </w:rPr>
        <w:t>1Y</w:t>
      </w:r>
      <w:r w:rsidR="00D07138">
        <w:rPr>
          <w:rFonts w:ascii="Times" w:hAnsi="Times" w:cs="Times New Roman"/>
          <w:b/>
        </w:rPr>
        <w:t>6M</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D07138">
        <w:rPr>
          <w:rFonts w:ascii="Times" w:hAnsi="Times" w:cs="Times New Roman"/>
          <w:b/>
        </w:rPr>
        <w:t>1</w:t>
      </w:r>
      <w:r w:rsidR="00D07138">
        <w:rPr>
          <w:rFonts w:ascii="Times" w:hAnsi="Times" w:cs="Times New Roman"/>
          <w:bCs/>
          <w:iCs/>
        </w:rPr>
        <w:t xml:space="preserve"> </w:t>
      </w:r>
      <w:r w:rsidR="00023B69">
        <w:rPr>
          <w:rFonts w:ascii="Times" w:hAnsi="Times" w:cs="Times New Roman"/>
          <w:bCs/>
          <w:iCs/>
        </w:rPr>
        <w:t>XRD traces shown in figure 4.5</w:t>
      </w:r>
      <w:r w:rsidR="00AB7366">
        <w:rPr>
          <w:rFonts w:ascii="Times" w:hAnsi="Times" w:cs="Times New Roman"/>
          <w:bCs/>
          <w:iCs/>
        </w:rPr>
        <w:t>6</w:t>
      </w:r>
      <w:r>
        <w:rPr>
          <w:rFonts w:ascii="Times" w:hAnsi="Times" w:cs="Times New Roman"/>
          <w:bCs/>
          <w:iCs/>
        </w:rPr>
        <w:t xml:space="preserve"> show no </w:t>
      </w:r>
      <w:r w:rsidR="00B82499">
        <w:rPr>
          <w:rFonts w:ascii="Times" w:hAnsi="Times" w:cs="Times New Roman"/>
          <w:bCs/>
          <w:iCs/>
        </w:rPr>
        <w:t xml:space="preserve">clear </w:t>
      </w:r>
      <w:r>
        <w:rPr>
          <w:rFonts w:ascii="Times" w:hAnsi="Times" w:cs="Times New Roman"/>
          <w:bCs/>
          <w:iCs/>
        </w:rPr>
        <w:t xml:space="preserve">peaks for CAN or CN, however HC peaks are still visible. This suggests that the CAN phase is depleted within 5mm of the cement sample. The CN is absent in the second layer </w:t>
      </w:r>
      <w:r w:rsidR="00D07138" w:rsidRPr="00D07138">
        <w:rPr>
          <w:rFonts w:ascii="Times" w:hAnsi="Times" w:cs="Times New Roman"/>
          <w:b/>
          <w:bCs/>
          <w:iCs/>
        </w:rPr>
        <w:t>1Y</w:t>
      </w:r>
      <w:r w:rsidR="00D07138">
        <w:rPr>
          <w:rFonts w:ascii="Times" w:hAnsi="Times" w:cs="Times New Roman"/>
          <w:b/>
        </w:rPr>
        <w:t>6M</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D07138">
        <w:rPr>
          <w:rFonts w:ascii="Times" w:hAnsi="Times" w:cs="Times New Roman"/>
          <w:b/>
        </w:rPr>
        <w:t>2</w:t>
      </w:r>
      <w:r w:rsidR="00D07138">
        <w:rPr>
          <w:rFonts w:ascii="Times" w:hAnsi="Times" w:cs="Times New Roman"/>
          <w:bCs/>
          <w:iCs/>
        </w:rPr>
        <w:t xml:space="preserve"> </w:t>
      </w:r>
      <w:r>
        <w:rPr>
          <w:rFonts w:ascii="Times" w:hAnsi="Times" w:cs="Times New Roman"/>
          <w:bCs/>
          <w:iCs/>
        </w:rPr>
        <w:t>,</w:t>
      </w:r>
      <w:proofErr w:type="gramEnd"/>
      <w:r>
        <w:rPr>
          <w:rFonts w:ascii="Times" w:hAnsi="Times" w:cs="Times New Roman"/>
          <w:bCs/>
          <w:iCs/>
        </w:rPr>
        <w:t xml:space="preserve"> however can be seen in the third layer </w:t>
      </w:r>
      <w:r w:rsidR="00D07138" w:rsidRPr="00D07138">
        <w:rPr>
          <w:rFonts w:ascii="Times" w:hAnsi="Times" w:cs="Times New Roman"/>
          <w:b/>
          <w:bCs/>
          <w:iCs/>
        </w:rPr>
        <w:t>1Y</w:t>
      </w:r>
      <w:r w:rsidR="00D07138">
        <w:rPr>
          <w:rFonts w:ascii="Times" w:hAnsi="Times" w:cs="Times New Roman"/>
          <w:b/>
        </w:rPr>
        <w:t>6M</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D07138">
        <w:rPr>
          <w:rFonts w:ascii="Times" w:hAnsi="Times" w:cs="Times New Roman"/>
          <w:b/>
        </w:rPr>
        <w:t>3</w:t>
      </w:r>
      <w:r>
        <w:rPr>
          <w:rFonts w:ascii="Times" w:hAnsi="Times" w:cs="Times New Roman"/>
          <w:bCs/>
          <w:iCs/>
        </w:rPr>
        <w:t>. This does not follow the suggestio</w:t>
      </w:r>
      <w:r w:rsidR="00023B69">
        <w:rPr>
          <w:rFonts w:ascii="Times" w:hAnsi="Times" w:cs="Times New Roman"/>
          <w:bCs/>
          <w:iCs/>
        </w:rPr>
        <w:t>ns of figure 4.56</w:t>
      </w:r>
      <w:r>
        <w:rPr>
          <w:rFonts w:ascii="Times" w:hAnsi="Times" w:cs="Times New Roman"/>
          <w:bCs/>
          <w:iCs/>
        </w:rPr>
        <w:t xml:space="preserve"> that the CsNO</w:t>
      </w:r>
      <w:r>
        <w:rPr>
          <w:rFonts w:ascii="Times" w:hAnsi="Times" w:cs="Times New Roman"/>
          <w:bCs/>
          <w:iCs/>
          <w:vertAlign w:val="subscript"/>
        </w:rPr>
        <w:t>3</w:t>
      </w:r>
      <w:r>
        <w:rPr>
          <w:rFonts w:ascii="Times" w:hAnsi="Times" w:cs="Times New Roman"/>
          <w:bCs/>
          <w:iCs/>
        </w:rPr>
        <w:t xml:space="preserve"> diffusion has reached the third layer.</w:t>
      </w:r>
    </w:p>
    <w:p w14:paraId="2E864B6A" w14:textId="77777777" w:rsidR="005708A0" w:rsidRPr="00C22510" w:rsidRDefault="005708A0" w:rsidP="005708A0">
      <w:pPr>
        <w:spacing w:before="240" w:after="120"/>
        <w:jc w:val="center"/>
        <w:outlineLvl w:val="0"/>
        <w:rPr>
          <w:rFonts w:ascii="Times" w:hAnsi="Times" w:cs="Times New Roman"/>
          <w:bCs/>
          <w:iCs/>
        </w:rPr>
      </w:pPr>
    </w:p>
    <w:p w14:paraId="7107EDDB" w14:textId="77777777" w:rsidR="005708A0" w:rsidRDefault="005708A0" w:rsidP="005708A0">
      <w:pPr>
        <w:spacing w:before="240" w:after="120"/>
        <w:ind w:left="142"/>
        <w:jc w:val="center"/>
        <w:outlineLvl w:val="0"/>
        <w:rPr>
          <w:rFonts w:ascii="Times" w:hAnsi="Times" w:cs="Times New Roman"/>
          <w:b/>
          <w:bCs/>
          <w:iCs/>
        </w:rPr>
      </w:pPr>
      <w:r>
        <w:rPr>
          <w:rFonts w:ascii="Times" w:hAnsi="Times" w:cs="Times New Roman"/>
          <w:b/>
          <w:noProof/>
        </w:rPr>
        <w:drawing>
          <wp:inline distT="0" distB="0" distL="0" distR="0" wp14:anchorId="403AF83C" wp14:editId="3674909B">
            <wp:extent cx="5482457" cy="3352800"/>
            <wp:effectExtent l="0" t="0" r="0" b="0"/>
            <wp:docPr id="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8">
                      <a:extLst>
                        <a:ext uri="{28A0092B-C50C-407E-A947-70E740481C1C}">
                          <a14:useLocalDpi xmlns:a14="http://schemas.microsoft.com/office/drawing/2010/main" val="0"/>
                        </a:ext>
                      </a:extLst>
                    </a:blip>
                    <a:srcRect l="2399"/>
                    <a:stretch/>
                  </pic:blipFill>
                  <pic:spPr bwMode="auto">
                    <a:xfrm>
                      <a:off x="0" y="0"/>
                      <a:ext cx="5482457" cy="3352800"/>
                    </a:xfrm>
                    <a:prstGeom prst="rect">
                      <a:avLst/>
                    </a:prstGeom>
                    <a:noFill/>
                    <a:ln>
                      <a:noFill/>
                    </a:ln>
                    <a:extLst>
                      <a:ext uri="{53640926-AAD7-44d8-BBD7-CCE9431645EC}">
                        <a14:shadowObscured xmlns:a14="http://schemas.microsoft.com/office/drawing/2010/main"/>
                      </a:ext>
                    </a:extLst>
                  </pic:spPr>
                </pic:pic>
              </a:graphicData>
            </a:graphic>
          </wp:inline>
        </w:drawing>
      </w:r>
    </w:p>
    <w:p w14:paraId="583CEE48" w14:textId="390C8925" w:rsidR="005708A0" w:rsidRDefault="00023B69" w:rsidP="005708A0">
      <w:pPr>
        <w:spacing w:before="240" w:after="120"/>
        <w:jc w:val="center"/>
        <w:outlineLvl w:val="0"/>
        <w:rPr>
          <w:rFonts w:ascii="Times" w:hAnsi="Times" w:cs="Times New Roman"/>
          <w:sz w:val="23"/>
          <w:szCs w:val="23"/>
        </w:rPr>
      </w:pPr>
      <w:r>
        <w:rPr>
          <w:rFonts w:ascii="Times" w:hAnsi="Times" w:cs="Times New Roman"/>
          <w:b/>
          <w:sz w:val="23"/>
          <w:szCs w:val="23"/>
        </w:rPr>
        <w:t>Figure 4.5</w:t>
      </w:r>
      <w:r w:rsidR="00AB7366">
        <w:rPr>
          <w:rFonts w:ascii="Times" w:hAnsi="Times" w:cs="Times New Roman"/>
          <w:b/>
          <w:sz w:val="23"/>
          <w:szCs w:val="23"/>
        </w:rPr>
        <w:t>6</w:t>
      </w:r>
      <w:r w:rsidR="005708A0">
        <w:rPr>
          <w:rFonts w:ascii="Times" w:hAnsi="Times" w:cs="Times New Roman"/>
          <w:b/>
          <w:sz w:val="23"/>
          <w:szCs w:val="23"/>
        </w:rPr>
        <w:t xml:space="preserve">: </w:t>
      </w:r>
      <w:r w:rsidR="005708A0" w:rsidRPr="00B27E50">
        <w:rPr>
          <w:rFonts w:ascii="Times" w:hAnsi="Times" w:cs="Times New Roman"/>
          <w:szCs w:val="23"/>
        </w:rPr>
        <w:t xml:space="preserve">XRD analysis of </w:t>
      </w:r>
      <w:r w:rsidR="00052CA8" w:rsidRPr="00D07138">
        <w:rPr>
          <w:rFonts w:ascii="Times" w:hAnsi="Times" w:cs="Times New Roman"/>
          <w:b/>
          <w:bCs/>
          <w:iCs/>
        </w:rPr>
        <w:t>1Y</w:t>
      </w:r>
      <w:r w:rsidR="00052CA8">
        <w:rPr>
          <w:rFonts w:ascii="Times" w:hAnsi="Times" w:cs="Times New Roman"/>
          <w:b/>
        </w:rPr>
        <w:t>6M</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5708A0" w:rsidRPr="00B27E50">
        <w:rPr>
          <w:rFonts w:ascii="Times" w:hAnsi="Times" w:cs="Times New Roman"/>
          <w:szCs w:val="23"/>
        </w:rPr>
        <w:t xml:space="preserve"> series at </w:t>
      </w:r>
      <w:r w:rsidR="00132C21">
        <w:rPr>
          <w:rFonts w:ascii="Times" w:hAnsi="Times" w:cs="Times New Roman"/>
          <w:sz w:val="23"/>
          <w:szCs w:val="23"/>
        </w:rPr>
        <w:t>5mm, 10mm and 15mm</w:t>
      </w:r>
      <w:r w:rsidR="00132C21">
        <w:rPr>
          <w:rFonts w:ascii="Times" w:hAnsi="Times"/>
          <w:sz w:val="20"/>
          <w:szCs w:val="20"/>
          <w:lang w:val="en-GB"/>
        </w:rPr>
        <w:t xml:space="preserve"> </w:t>
      </w:r>
      <w:r w:rsidR="005708A0" w:rsidRPr="00B27E50">
        <w:rPr>
          <w:rFonts w:ascii="Times" w:hAnsi="Times" w:cs="Times New Roman"/>
          <w:szCs w:val="23"/>
        </w:rPr>
        <w:t xml:space="preserve">from exposure surface </w:t>
      </w:r>
      <w:r w:rsidR="000D4AEA">
        <w:rPr>
          <w:rFonts w:ascii="Times" w:hAnsi="Times" w:cs="Times New Roman"/>
          <w:szCs w:val="23"/>
        </w:rPr>
        <w:t>compared with</w:t>
      </w:r>
      <w:r w:rsidR="005708A0" w:rsidRPr="00B27E50">
        <w:rPr>
          <w:rFonts w:ascii="Times" w:hAnsi="Times" w:cs="Times New Roman"/>
          <w:szCs w:val="23"/>
        </w:rPr>
        <w:t xml:space="preserve"> </w:t>
      </w:r>
      <w:r w:rsidR="00052CA8">
        <w:rPr>
          <w:rFonts w:ascii="Times" w:hAnsi="Times" w:cs="Times New Roman"/>
          <w:b/>
          <w:bCs/>
          <w:iCs/>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052CA8">
        <w:rPr>
          <w:rFonts w:ascii="Times" w:hAnsi="Times" w:cs="Times New Roman"/>
          <w:bCs/>
          <w:iCs/>
        </w:rPr>
        <w:t xml:space="preserve"> </w:t>
      </w:r>
    </w:p>
    <w:p w14:paraId="4AC31BB3" w14:textId="3D918638" w:rsidR="00B65C5B" w:rsidRDefault="00CB2ED0" w:rsidP="00B65C5B">
      <w:pPr>
        <w:spacing w:before="240" w:after="120" w:line="480" w:lineRule="exact"/>
        <w:ind w:left="142"/>
        <w:jc w:val="both"/>
        <w:outlineLvl w:val="0"/>
        <w:rPr>
          <w:rFonts w:ascii="Times" w:hAnsi="Times" w:cs="Times New Roman"/>
          <w:bCs/>
          <w:iCs/>
        </w:rPr>
      </w:pPr>
      <w:r>
        <w:rPr>
          <w:rFonts w:ascii="Times" w:hAnsi="Times" w:cs="Times New Roman"/>
          <w:bCs/>
          <w:iCs/>
        </w:rPr>
        <w:t>F</w:t>
      </w:r>
      <w:r w:rsidR="00023B69">
        <w:rPr>
          <w:rFonts w:ascii="Times" w:hAnsi="Times" w:cs="Times New Roman"/>
          <w:bCs/>
          <w:iCs/>
        </w:rPr>
        <w:t>igure 4.58</w:t>
      </w:r>
      <w:r w:rsidR="005708A0">
        <w:rPr>
          <w:rFonts w:ascii="Times" w:hAnsi="Times" w:cs="Times New Roman"/>
          <w:bCs/>
          <w:iCs/>
        </w:rPr>
        <w:t xml:space="preserve"> shows the </w:t>
      </w:r>
      <w:r w:rsidR="00052CA8">
        <w:rPr>
          <w:rFonts w:ascii="Times" w:hAnsi="Times" w:cs="Times New Roman"/>
          <w:b/>
          <w:bCs/>
          <w:iCs/>
        </w:rPr>
        <w:t>2Y</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052CA8">
        <w:rPr>
          <w:rFonts w:ascii="Times" w:hAnsi="Times" w:cs="Times New Roman"/>
          <w:bCs/>
          <w:iCs/>
        </w:rPr>
        <w:t xml:space="preserve"> </w:t>
      </w:r>
      <w:r w:rsidR="005708A0">
        <w:rPr>
          <w:rFonts w:ascii="Times" w:hAnsi="Times" w:cs="Times New Roman"/>
          <w:bCs/>
          <w:iCs/>
        </w:rPr>
        <w:t>samples, the CN peaks are absent in all three layers</w:t>
      </w:r>
      <w:proofErr w:type="gramStart"/>
      <w:r w:rsidR="005708A0">
        <w:rPr>
          <w:rFonts w:ascii="Times" w:hAnsi="Times" w:cs="Times New Roman"/>
          <w:bCs/>
          <w:iCs/>
        </w:rPr>
        <w:t>,  the</w:t>
      </w:r>
      <w:proofErr w:type="gramEnd"/>
      <w:r w:rsidR="00234414">
        <w:rPr>
          <w:rFonts w:ascii="Times" w:hAnsi="Times" w:cs="Times New Roman"/>
          <w:bCs/>
          <w:iCs/>
        </w:rPr>
        <w:t xml:space="preserve"> distinctive</w:t>
      </w:r>
      <w:r w:rsidR="005708A0">
        <w:rPr>
          <w:rFonts w:ascii="Times" w:hAnsi="Times" w:cs="Times New Roman"/>
          <w:bCs/>
          <w:iCs/>
        </w:rPr>
        <w:t xml:space="preserve"> CAN peaks are now absent in the second layer too.  The HC as depleted from the top layer however still remains in the second layer. Finally the CAN phase is still</w:t>
      </w:r>
      <w:r w:rsidR="00234414">
        <w:rPr>
          <w:rFonts w:ascii="Times" w:hAnsi="Times" w:cs="Times New Roman"/>
          <w:bCs/>
          <w:iCs/>
        </w:rPr>
        <w:t xml:space="preserve"> clearly</w:t>
      </w:r>
      <w:r w:rsidR="005708A0">
        <w:rPr>
          <w:rFonts w:ascii="Times" w:hAnsi="Times" w:cs="Times New Roman"/>
          <w:bCs/>
          <w:iCs/>
        </w:rPr>
        <w:t xml:space="preserve"> present in the third layer. This suggests that after 2 years of leaching HC depletion is not complete at a depth of 10mm, and CAN depletion is not complete at a depth of 15mm. </w:t>
      </w:r>
    </w:p>
    <w:p w14:paraId="7D73D95F" w14:textId="77777777" w:rsidR="00B65C5B" w:rsidRDefault="00B65C5B" w:rsidP="00B65C5B">
      <w:pPr>
        <w:spacing w:before="240" w:after="120" w:line="480" w:lineRule="exact"/>
        <w:ind w:left="142"/>
        <w:jc w:val="both"/>
        <w:outlineLvl w:val="0"/>
        <w:rPr>
          <w:rFonts w:ascii="Times" w:hAnsi="Times" w:cs="Times New Roman"/>
          <w:bCs/>
          <w:iCs/>
        </w:rPr>
      </w:pPr>
    </w:p>
    <w:p w14:paraId="410EB6B8" w14:textId="73BC8BE4" w:rsidR="005708A0" w:rsidRDefault="005708A0" w:rsidP="005708A0">
      <w:pPr>
        <w:spacing w:before="240" w:after="120"/>
        <w:jc w:val="center"/>
        <w:outlineLvl w:val="0"/>
        <w:rPr>
          <w:rFonts w:ascii="Times" w:hAnsi="Times" w:cs="Times New Roman"/>
          <w:sz w:val="23"/>
          <w:szCs w:val="23"/>
        </w:rPr>
      </w:pPr>
      <w:r>
        <w:rPr>
          <w:rFonts w:ascii="Times" w:hAnsi="Times" w:cs="Times New Roman"/>
          <w:b/>
          <w:noProof/>
        </w:rPr>
        <w:drawing>
          <wp:inline distT="0" distB="0" distL="0" distR="0" wp14:anchorId="2DFEA1ED" wp14:editId="1C96C06A">
            <wp:extent cx="5617210" cy="2917371"/>
            <wp:effectExtent l="0" t="0" r="0" b="3810"/>
            <wp:docPr id="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9">
                      <a:extLst>
                        <a:ext uri="{28A0092B-C50C-407E-A947-70E740481C1C}">
                          <a14:useLocalDpi xmlns:a14="http://schemas.microsoft.com/office/drawing/2010/main" val="0"/>
                        </a:ext>
                      </a:extLst>
                    </a:blip>
                    <a:srcRect b="6621"/>
                    <a:stretch/>
                  </pic:blipFill>
                  <pic:spPr bwMode="auto">
                    <a:xfrm>
                      <a:off x="0" y="0"/>
                      <a:ext cx="5617210" cy="2917371"/>
                    </a:xfrm>
                    <a:prstGeom prst="rect">
                      <a:avLst/>
                    </a:prstGeom>
                    <a:noFill/>
                    <a:ln>
                      <a:noFill/>
                    </a:ln>
                    <a:extLst>
                      <a:ext uri="{53640926-AAD7-44d8-BBD7-CCE9431645EC}">
                        <a14:shadowObscured xmlns:a14="http://schemas.microsoft.com/office/drawing/2010/main"/>
                      </a:ext>
                    </a:extLst>
                  </pic:spPr>
                </pic:pic>
              </a:graphicData>
            </a:graphic>
          </wp:inline>
        </w:drawing>
      </w:r>
      <w:r w:rsidRPr="00B27E50">
        <w:rPr>
          <w:rFonts w:ascii="Times" w:hAnsi="Times" w:cs="Times New Roman"/>
          <w:b/>
          <w:sz w:val="23"/>
          <w:szCs w:val="23"/>
        </w:rPr>
        <w:t xml:space="preserve"> </w:t>
      </w:r>
      <w:r>
        <w:rPr>
          <w:rFonts w:ascii="Times" w:hAnsi="Times" w:cs="Times New Roman"/>
          <w:b/>
          <w:sz w:val="23"/>
          <w:szCs w:val="23"/>
        </w:rPr>
        <w:t>Figure 4.5</w:t>
      </w:r>
      <w:r w:rsidR="00023B69">
        <w:rPr>
          <w:rFonts w:ascii="Times" w:hAnsi="Times" w:cs="Times New Roman"/>
          <w:b/>
          <w:sz w:val="23"/>
          <w:szCs w:val="23"/>
        </w:rPr>
        <w:t>8</w:t>
      </w:r>
      <w:r>
        <w:rPr>
          <w:rFonts w:ascii="Times" w:hAnsi="Times" w:cs="Times New Roman"/>
          <w:b/>
          <w:sz w:val="23"/>
          <w:szCs w:val="23"/>
        </w:rPr>
        <w:t xml:space="preserve">: </w:t>
      </w:r>
      <w:r>
        <w:rPr>
          <w:rFonts w:ascii="Times" w:hAnsi="Times" w:cs="Times New Roman"/>
          <w:sz w:val="23"/>
          <w:szCs w:val="23"/>
        </w:rPr>
        <w:t xml:space="preserve">XRD analysis of </w:t>
      </w:r>
      <w:r w:rsidR="00052CA8">
        <w:rPr>
          <w:rFonts w:ascii="Times" w:hAnsi="Times" w:cs="Times New Roman"/>
          <w:b/>
          <w:bCs/>
          <w:iCs/>
        </w:rPr>
        <w:t>2Y</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sz w:val="23"/>
          <w:szCs w:val="23"/>
        </w:rPr>
        <w:t xml:space="preserve"> series at </w:t>
      </w:r>
      <w:r w:rsidR="00B65C5B">
        <w:rPr>
          <w:rFonts w:ascii="Times" w:hAnsi="Times" w:cs="Times New Roman"/>
          <w:sz w:val="23"/>
          <w:szCs w:val="23"/>
        </w:rPr>
        <w:t>5mm, 10mm and 15mm</w:t>
      </w:r>
      <w:r w:rsidR="00B65C5B">
        <w:rPr>
          <w:rFonts w:ascii="Times" w:hAnsi="Times"/>
          <w:sz w:val="20"/>
          <w:szCs w:val="20"/>
          <w:lang w:val="en-GB"/>
        </w:rPr>
        <w:t xml:space="preserve"> </w:t>
      </w:r>
      <w:r>
        <w:rPr>
          <w:rFonts w:ascii="Times" w:hAnsi="Times" w:cs="Times New Roman"/>
          <w:sz w:val="23"/>
          <w:szCs w:val="23"/>
        </w:rPr>
        <w:t xml:space="preserve">from exposure surface </w:t>
      </w:r>
      <w:r w:rsidR="000D4AEA">
        <w:rPr>
          <w:rFonts w:ascii="Times" w:hAnsi="Times" w:cs="Times New Roman"/>
          <w:sz w:val="23"/>
          <w:szCs w:val="23"/>
        </w:rPr>
        <w:t>compared with</w:t>
      </w:r>
      <w:r w:rsidR="00052CA8">
        <w:rPr>
          <w:rFonts w:ascii="Times" w:hAnsi="Times" w:cs="Times New Roman"/>
          <w:sz w:val="23"/>
          <w:szCs w:val="23"/>
        </w:rPr>
        <w:t xml:space="preserve"> </w:t>
      </w:r>
      <w:r w:rsidR="00052CA8">
        <w:rPr>
          <w:rFonts w:ascii="Times" w:hAnsi="Times" w:cs="Times New Roman"/>
          <w:b/>
          <w:sz w:val="23"/>
          <w:szCs w:val="23"/>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
    <w:p w14:paraId="218D4DAA" w14:textId="12D6F840" w:rsidR="00CB2ED0" w:rsidRPr="00CB2ED0" w:rsidRDefault="00CB2ED0" w:rsidP="00CB2ED0">
      <w:pPr>
        <w:spacing w:before="240" w:after="120" w:line="480" w:lineRule="exact"/>
        <w:ind w:left="142"/>
        <w:jc w:val="both"/>
        <w:outlineLvl w:val="0"/>
        <w:rPr>
          <w:rFonts w:ascii="Times" w:hAnsi="Times" w:cs="Times New Roman"/>
          <w:bCs/>
          <w:iCs/>
        </w:rPr>
      </w:pPr>
      <w:r>
        <w:rPr>
          <w:rFonts w:ascii="Times" w:hAnsi="Times" w:cs="Times New Roman"/>
          <w:bCs/>
          <w:iCs/>
        </w:rPr>
        <w:t>Finally t</w:t>
      </w:r>
      <w:r w:rsidRPr="00B65C5B">
        <w:rPr>
          <w:rFonts w:ascii="Times" w:hAnsi="Times" w:cs="Times New Roman"/>
          <w:bCs/>
          <w:iCs/>
        </w:rPr>
        <w:t xml:space="preserve">he data for the second layer at all leaching periods are compared for this series in </w:t>
      </w:r>
      <w:r>
        <w:rPr>
          <w:rFonts w:ascii="Times" w:hAnsi="Times" w:cs="Times New Roman"/>
          <w:bCs/>
          <w:iCs/>
        </w:rPr>
        <w:t>figure 4.59</w:t>
      </w:r>
      <w:r w:rsidRPr="00B65C5B">
        <w:rPr>
          <w:rFonts w:ascii="Times" w:hAnsi="Times" w:cs="Times New Roman"/>
          <w:bCs/>
          <w:iCs/>
        </w:rPr>
        <w:t xml:space="preserve">. </w:t>
      </w:r>
      <w:r>
        <w:rPr>
          <w:rFonts w:ascii="Times" w:hAnsi="Times" w:cs="Times New Roman"/>
          <w:bCs/>
          <w:iCs/>
        </w:rPr>
        <w:t xml:space="preserve"> The traces show that the CAN and HC phases are still present in the second layer of the cement sample up until 1 year and 6 months. However the CN peaks disappear at the </w:t>
      </w:r>
      <w:proofErr w:type="gramStart"/>
      <w:r>
        <w:rPr>
          <w:rFonts w:ascii="Times" w:hAnsi="Times" w:cs="Times New Roman"/>
          <w:bCs/>
          <w:iCs/>
        </w:rPr>
        <w:t>6 month</w:t>
      </w:r>
      <w:proofErr w:type="gramEnd"/>
      <w:r>
        <w:rPr>
          <w:rFonts w:ascii="Times" w:hAnsi="Times" w:cs="Times New Roman"/>
          <w:bCs/>
          <w:iCs/>
        </w:rPr>
        <w:t xml:space="preserve"> sample. Suggesting that the CsNO</w:t>
      </w:r>
      <w:r>
        <w:rPr>
          <w:rFonts w:ascii="Times" w:hAnsi="Times" w:cs="Times New Roman"/>
          <w:bCs/>
          <w:iCs/>
        </w:rPr>
        <w:softHyphen/>
      </w:r>
      <w:r>
        <w:rPr>
          <w:rFonts w:ascii="Times" w:hAnsi="Times" w:cs="Times New Roman"/>
          <w:bCs/>
          <w:iCs/>
          <w:vertAlign w:val="subscript"/>
        </w:rPr>
        <w:t>3</w:t>
      </w:r>
      <w:r>
        <w:rPr>
          <w:rFonts w:ascii="Times" w:hAnsi="Times" w:cs="Times New Roman"/>
          <w:bCs/>
          <w:iCs/>
        </w:rPr>
        <w:t xml:space="preserve"> </w:t>
      </w:r>
      <w:r w:rsidR="00971672">
        <w:rPr>
          <w:rFonts w:ascii="Times" w:hAnsi="Times" w:cs="Times New Roman"/>
          <w:bCs/>
          <w:iCs/>
        </w:rPr>
        <w:t>is</w:t>
      </w:r>
      <w:r>
        <w:rPr>
          <w:rFonts w:ascii="Times" w:hAnsi="Times" w:cs="Times New Roman"/>
          <w:bCs/>
          <w:iCs/>
        </w:rPr>
        <w:t xml:space="preserve"> fully leached out within 10mm depth of the sample at this stage. </w:t>
      </w:r>
    </w:p>
    <w:p w14:paraId="6C8497A5" w14:textId="77777777" w:rsidR="005708A0" w:rsidRDefault="005708A0" w:rsidP="005708A0">
      <w:pPr>
        <w:spacing w:before="240" w:after="120" w:line="480" w:lineRule="exact"/>
        <w:jc w:val="center"/>
        <w:outlineLvl w:val="0"/>
        <w:rPr>
          <w:rFonts w:ascii="Times" w:hAnsi="Times" w:cs="Times New Roman"/>
          <w:b/>
          <w:bCs/>
          <w:iCs/>
        </w:rPr>
      </w:pPr>
    </w:p>
    <w:p w14:paraId="35BA76E0" w14:textId="77777777" w:rsidR="005708A0" w:rsidRDefault="005708A0" w:rsidP="005708A0">
      <w:pPr>
        <w:spacing w:before="240" w:after="120"/>
        <w:jc w:val="center"/>
        <w:outlineLvl w:val="0"/>
        <w:rPr>
          <w:rFonts w:ascii="Times" w:hAnsi="Times" w:cs="Times New Roman"/>
          <w:b/>
          <w:bCs/>
          <w:iCs/>
        </w:rPr>
      </w:pPr>
    </w:p>
    <w:p w14:paraId="4D6F326F" w14:textId="1394B88B" w:rsidR="005708A0" w:rsidRPr="00C22510" w:rsidRDefault="00B70275" w:rsidP="005708A0">
      <w:pPr>
        <w:spacing w:before="240" w:after="120"/>
        <w:jc w:val="center"/>
        <w:rPr>
          <w:rFonts w:ascii="Times" w:hAnsi="Times" w:cs="Arial"/>
          <w:color w:val="000000"/>
        </w:rPr>
      </w:pPr>
      <w:r w:rsidRPr="00751C5B">
        <w:rPr>
          <w:rFonts w:ascii="Times" w:hAnsi="Times" w:cs="Arial"/>
          <w:noProof/>
          <w:color w:val="000000"/>
        </w:rPr>
        <w:lastRenderedPageBreak/>
        <w:drawing>
          <wp:inline distT="0" distB="0" distL="0" distR="0" wp14:anchorId="4E9FABFE" wp14:editId="311B9159">
            <wp:extent cx="5270500" cy="3456066"/>
            <wp:effectExtent l="0" t="0" r="0" b="0"/>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0500" cy="3456066"/>
                    </a:xfrm>
                    <a:prstGeom prst="rect">
                      <a:avLst/>
                    </a:prstGeom>
                    <a:noFill/>
                    <a:ln>
                      <a:noFill/>
                    </a:ln>
                  </pic:spPr>
                </pic:pic>
              </a:graphicData>
            </a:graphic>
          </wp:inline>
        </w:drawing>
      </w:r>
    </w:p>
    <w:p w14:paraId="3DEEBBF8" w14:textId="436E58E4" w:rsidR="005708A0" w:rsidRDefault="005708A0" w:rsidP="005708A0">
      <w:pPr>
        <w:spacing w:before="240" w:after="120"/>
        <w:jc w:val="center"/>
        <w:outlineLvl w:val="0"/>
        <w:rPr>
          <w:rFonts w:ascii="Times" w:hAnsi="Times" w:cs="Times New Roman"/>
          <w:sz w:val="23"/>
          <w:szCs w:val="23"/>
        </w:rPr>
      </w:pPr>
      <w:r>
        <w:rPr>
          <w:rFonts w:ascii="Times" w:hAnsi="Times" w:cs="Arial"/>
          <w:b/>
          <w:color w:val="000000"/>
        </w:rPr>
        <w:t>Figure 4.5</w:t>
      </w:r>
      <w:r w:rsidR="00023B69">
        <w:rPr>
          <w:rFonts w:ascii="Times" w:hAnsi="Times" w:cs="Arial"/>
          <w:b/>
          <w:color w:val="000000"/>
        </w:rPr>
        <w:t>9</w:t>
      </w:r>
      <w:r>
        <w:rPr>
          <w:rFonts w:ascii="Times" w:hAnsi="Times" w:cs="Arial"/>
          <w:b/>
          <w:color w:val="000000"/>
        </w:rPr>
        <w:t xml:space="preserve">: </w:t>
      </w:r>
      <w:r>
        <w:rPr>
          <w:rFonts w:ascii="Times" w:hAnsi="Times" w:cs="Times New Roman"/>
          <w:szCs w:val="23"/>
        </w:rPr>
        <w:t xml:space="preserve">XRD analysis of the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szCs w:val="23"/>
        </w:rPr>
        <w:t xml:space="preserve"> samples at a depth of 5-10mm over various leaching periods</w:t>
      </w:r>
    </w:p>
    <w:p w14:paraId="0AADE54D" w14:textId="77777777" w:rsidR="005708A0" w:rsidRPr="0037551F" w:rsidRDefault="005708A0" w:rsidP="005708A0">
      <w:pPr>
        <w:spacing w:before="240" w:after="120" w:line="480" w:lineRule="exact"/>
        <w:jc w:val="center"/>
        <w:outlineLvl w:val="0"/>
        <w:rPr>
          <w:rFonts w:ascii="Times" w:hAnsi="Times" w:cs="Times New Roman"/>
          <w:sz w:val="23"/>
          <w:szCs w:val="23"/>
        </w:rPr>
      </w:pPr>
    </w:p>
    <w:p w14:paraId="4C426408" w14:textId="77777777" w:rsidR="005708A0" w:rsidRDefault="005708A0" w:rsidP="005708A0">
      <w:pPr>
        <w:spacing w:before="240" w:after="120" w:line="480" w:lineRule="exact"/>
        <w:jc w:val="both"/>
        <w:rPr>
          <w:rFonts w:ascii="Times" w:hAnsi="Times" w:cs="Times New Roman"/>
          <w:b/>
          <w:bCs/>
          <w:iCs/>
        </w:rPr>
      </w:pPr>
      <w:r>
        <w:rPr>
          <w:rFonts w:ascii="Times" w:hAnsi="Times" w:cs="Times New Roman"/>
          <w:b/>
          <w:bCs/>
          <w:iCs/>
        </w:rPr>
        <w:t>ii.</w:t>
      </w:r>
      <w:r>
        <w:rPr>
          <w:rFonts w:ascii="Times" w:hAnsi="Times" w:cs="Times New Roman"/>
          <w:b/>
          <w:bCs/>
          <w:iCs/>
        </w:rPr>
        <w:tab/>
        <w:t>Thermogravimetric Analysis (TGA)</w:t>
      </w:r>
    </w:p>
    <w:p w14:paraId="2A04756D" w14:textId="5BFE63EC" w:rsidR="005708A0" w:rsidRDefault="005708A0" w:rsidP="005708A0">
      <w:pPr>
        <w:tabs>
          <w:tab w:val="left" w:pos="20"/>
          <w:tab w:val="left" w:pos="47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40" w:after="120" w:line="480" w:lineRule="exact"/>
        <w:jc w:val="both"/>
        <w:rPr>
          <w:rFonts w:ascii="Times New Roman" w:hAnsi="Times New Roman" w:cs="Times New Roman"/>
          <w:szCs w:val="44"/>
        </w:rPr>
      </w:pPr>
      <w:r>
        <w:rPr>
          <w:rFonts w:ascii="Times New Roman" w:hAnsi="Times New Roman" w:cs="Times New Roman"/>
          <w:szCs w:val="44"/>
        </w:rPr>
        <w:t xml:space="preserve">TGA was used to analyse layers 1,2 and 3 also. The results were collected for the samples at different depths to get a quantified idea of </w:t>
      </w:r>
      <w:r w:rsidR="00FD6ED9">
        <w:rPr>
          <w:rFonts w:ascii="Times New Roman" w:hAnsi="Times New Roman" w:cs="Times New Roman"/>
          <w:szCs w:val="44"/>
        </w:rPr>
        <w:t>phase depletion at different depths during the leaching tests</w:t>
      </w:r>
      <w:r w:rsidR="00997763">
        <w:rPr>
          <w:rFonts w:ascii="Times New Roman" w:hAnsi="Times New Roman" w:cs="Times New Roman"/>
          <w:szCs w:val="44"/>
        </w:rPr>
        <w:t>. Figure</w:t>
      </w:r>
      <w:r>
        <w:rPr>
          <w:rFonts w:ascii="Times New Roman" w:hAnsi="Times New Roman" w:cs="Times New Roman"/>
          <w:szCs w:val="44"/>
        </w:rPr>
        <w:t xml:space="preserve"> 4.6</w:t>
      </w:r>
      <w:r w:rsidR="00601FF9">
        <w:rPr>
          <w:rFonts w:ascii="Times New Roman" w:hAnsi="Times New Roman" w:cs="Times New Roman"/>
          <w:szCs w:val="44"/>
        </w:rPr>
        <w:t>0</w:t>
      </w:r>
      <w:r>
        <w:rPr>
          <w:rFonts w:ascii="Times New Roman" w:hAnsi="Times New Roman" w:cs="Times New Roman"/>
          <w:szCs w:val="44"/>
        </w:rPr>
        <w:t xml:space="preserve"> shows the TG and DTG curves for </w:t>
      </w:r>
      <w:r w:rsidRPr="005837CE">
        <w:rPr>
          <w:rFonts w:ascii="Times New Roman" w:hAnsi="Times New Roman" w:cs="Times New Roman"/>
          <w:b/>
          <w:szCs w:val="44"/>
        </w:rPr>
        <w:t>7DB</w:t>
      </w:r>
      <w:r>
        <w:rPr>
          <w:rFonts w:ascii="Times New Roman" w:hAnsi="Times New Roman" w:cs="Times New Roman"/>
          <w:szCs w:val="44"/>
        </w:rPr>
        <w:t xml:space="preserve">. </w:t>
      </w:r>
    </w:p>
    <w:p w14:paraId="0819AD5E" w14:textId="77777777" w:rsidR="005708A0" w:rsidRDefault="005708A0" w:rsidP="005708A0">
      <w:pPr>
        <w:tabs>
          <w:tab w:val="left" w:pos="20"/>
          <w:tab w:val="left" w:pos="47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40" w:after="120" w:line="480" w:lineRule="exact"/>
        <w:jc w:val="both"/>
        <w:rPr>
          <w:rFonts w:ascii="Times New Roman" w:hAnsi="Times New Roman" w:cs="Times New Roman"/>
          <w:szCs w:val="44"/>
        </w:rPr>
      </w:pPr>
    </w:p>
    <w:p w14:paraId="5C1CAFA9" w14:textId="12537AAA" w:rsidR="005708A0" w:rsidRPr="00AC6120" w:rsidRDefault="005708A0" w:rsidP="005708A0">
      <w:pPr>
        <w:spacing w:before="240" w:after="120"/>
        <w:jc w:val="center"/>
        <w:rPr>
          <w:rFonts w:ascii="Times" w:hAnsi="Times" w:cs="Times New Roman"/>
          <w:b/>
        </w:rPr>
      </w:pPr>
      <w:r>
        <w:rPr>
          <w:noProof/>
        </w:rPr>
        <w:lastRenderedPageBreak/>
        <w:drawing>
          <wp:inline distT="0" distB="0" distL="0" distR="0" wp14:anchorId="64741A82" wp14:editId="5529CC03">
            <wp:extent cx="5715000" cy="2797810"/>
            <wp:effectExtent l="0" t="0" r="0" b="0"/>
            <wp:docPr id="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l="1428" t="3197" r="3027" b="6956"/>
                    <a:stretch>
                      <a:fillRect/>
                    </a:stretch>
                  </pic:blipFill>
                  <pic:spPr bwMode="auto">
                    <a:xfrm>
                      <a:off x="0" y="0"/>
                      <a:ext cx="5715000" cy="2797810"/>
                    </a:xfrm>
                    <a:prstGeom prst="rect">
                      <a:avLst/>
                    </a:prstGeom>
                    <a:noFill/>
                    <a:ln>
                      <a:noFill/>
                    </a:ln>
                  </pic:spPr>
                </pic:pic>
              </a:graphicData>
            </a:graphic>
          </wp:inline>
        </w:drawing>
      </w:r>
      <w:r>
        <w:rPr>
          <w:rFonts w:ascii="Times" w:hAnsi="Times" w:cs="Times New Roman"/>
          <w:b/>
        </w:rPr>
        <w:t>Fig</w:t>
      </w:r>
      <w:r w:rsidR="005278B6">
        <w:rPr>
          <w:rFonts w:ascii="Times" w:hAnsi="Times" w:cs="Times New Roman"/>
          <w:b/>
        </w:rPr>
        <w:t>ure</w:t>
      </w:r>
      <w:r w:rsidR="00023B69">
        <w:rPr>
          <w:rFonts w:ascii="Times" w:hAnsi="Times" w:cs="Times New Roman"/>
          <w:b/>
        </w:rPr>
        <w:t xml:space="preserve"> 4.60</w:t>
      </w:r>
      <w:r>
        <w:rPr>
          <w:rFonts w:ascii="Times" w:hAnsi="Times" w:cs="Times New Roman"/>
          <w:b/>
        </w:rPr>
        <w:t>:</w:t>
      </w:r>
      <w:r w:rsidRPr="00CF020E">
        <w:rPr>
          <w:rFonts w:ascii="Times" w:hAnsi="Times" w:cs="Times New Roman"/>
          <w:sz w:val="23"/>
          <w:szCs w:val="23"/>
        </w:rPr>
        <w:t xml:space="preserve"> </w:t>
      </w:r>
      <w:r>
        <w:rPr>
          <w:rFonts w:ascii="Times" w:hAnsi="Times" w:cs="Times New Roman"/>
          <w:sz w:val="23"/>
          <w:szCs w:val="23"/>
        </w:rPr>
        <w:t xml:space="preserve">TG/DTG analysis of </w:t>
      </w:r>
      <w:r w:rsidRPr="005837CE">
        <w:rPr>
          <w:rFonts w:ascii="Times" w:hAnsi="Times" w:cs="Times New Roman"/>
          <w:b/>
          <w:sz w:val="23"/>
          <w:szCs w:val="23"/>
        </w:rPr>
        <w:t>7DB</w:t>
      </w:r>
      <w:r>
        <w:rPr>
          <w:rFonts w:ascii="Times" w:hAnsi="Times" w:cs="Times New Roman"/>
          <w:sz w:val="23"/>
          <w:szCs w:val="23"/>
        </w:rPr>
        <w:t xml:space="preserve"> series at various distances from exposure surface </w:t>
      </w:r>
      <w:r w:rsidR="000D4AEA">
        <w:rPr>
          <w:rFonts w:ascii="Times" w:hAnsi="Times" w:cs="Times New Roman"/>
          <w:sz w:val="23"/>
          <w:szCs w:val="23"/>
        </w:rPr>
        <w:t>compared with</w:t>
      </w:r>
      <w:r w:rsidRPr="005837CE">
        <w:rPr>
          <w:rFonts w:ascii="Times" w:hAnsi="Times" w:cs="Times New Roman"/>
          <w:b/>
          <w:sz w:val="23"/>
          <w:szCs w:val="23"/>
        </w:rPr>
        <w:t xml:space="preserve"> 0DB</w:t>
      </w:r>
      <w:r w:rsidR="00A2570F">
        <w:rPr>
          <w:rFonts w:ascii="Times" w:hAnsi="Times" w:cs="Times New Roman"/>
          <w:b/>
          <w:sz w:val="23"/>
          <w:szCs w:val="23"/>
        </w:rPr>
        <w:t xml:space="preserve"> </w:t>
      </w:r>
      <w:r w:rsidR="00A2570F">
        <w:rPr>
          <w:rFonts w:ascii="Times" w:hAnsi="Times" w:cs="Arial"/>
          <w:color w:val="000000"/>
        </w:rPr>
        <w:t>(left Y axis associated with TG curves, right Y axis associated with DTG curves)</w:t>
      </w:r>
    </w:p>
    <w:p w14:paraId="538BCF4B" w14:textId="494C492C" w:rsidR="005708A0" w:rsidRPr="00601FF9" w:rsidRDefault="005708A0" w:rsidP="005708A0">
      <w:pPr>
        <w:tabs>
          <w:tab w:val="left" w:pos="20"/>
          <w:tab w:val="left" w:pos="47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40" w:after="120" w:line="480" w:lineRule="exact"/>
        <w:jc w:val="both"/>
        <w:rPr>
          <w:rFonts w:ascii="Times New Roman" w:hAnsi="Times New Roman" w:cs="Times New Roman"/>
          <w:szCs w:val="44"/>
        </w:rPr>
      </w:pPr>
      <w:r>
        <w:rPr>
          <w:rFonts w:ascii="Times New Roman" w:hAnsi="Times New Roman" w:cs="Times New Roman"/>
          <w:szCs w:val="44"/>
        </w:rPr>
        <w:t xml:space="preserve">The total weight loss for </w:t>
      </w:r>
      <w:r w:rsidRPr="005837CE">
        <w:rPr>
          <w:rFonts w:ascii="Times New Roman" w:hAnsi="Times New Roman" w:cs="Times New Roman"/>
          <w:b/>
          <w:szCs w:val="44"/>
        </w:rPr>
        <w:t>7DB1</w:t>
      </w:r>
      <w:r>
        <w:rPr>
          <w:rFonts w:ascii="Times New Roman" w:hAnsi="Times New Roman" w:cs="Times New Roman"/>
          <w:szCs w:val="44"/>
        </w:rPr>
        <w:t xml:space="preserve"> is negligibly less than that of </w:t>
      </w:r>
      <w:r w:rsidRPr="005837CE">
        <w:rPr>
          <w:rFonts w:ascii="Times New Roman" w:hAnsi="Times New Roman" w:cs="Times New Roman"/>
          <w:b/>
          <w:szCs w:val="44"/>
        </w:rPr>
        <w:t>0DB</w:t>
      </w:r>
      <w:r>
        <w:rPr>
          <w:rFonts w:ascii="Times New Roman" w:hAnsi="Times New Roman" w:cs="Times New Roman"/>
          <w:szCs w:val="44"/>
        </w:rPr>
        <w:t xml:space="preserve">, </w:t>
      </w:r>
      <w:r w:rsidRPr="005837CE">
        <w:rPr>
          <w:rFonts w:ascii="Times New Roman" w:hAnsi="Times New Roman" w:cs="Times New Roman"/>
          <w:b/>
          <w:szCs w:val="44"/>
        </w:rPr>
        <w:t>7DB2</w:t>
      </w:r>
      <w:r>
        <w:rPr>
          <w:rFonts w:ascii="Times New Roman" w:hAnsi="Times New Roman" w:cs="Times New Roman"/>
          <w:szCs w:val="44"/>
        </w:rPr>
        <w:t xml:space="preserve"> and </w:t>
      </w:r>
      <w:r w:rsidRPr="005837CE">
        <w:rPr>
          <w:rFonts w:ascii="Times New Roman" w:hAnsi="Times New Roman" w:cs="Times New Roman"/>
          <w:b/>
          <w:szCs w:val="44"/>
        </w:rPr>
        <w:t>7DB3</w:t>
      </w:r>
      <w:r>
        <w:rPr>
          <w:rFonts w:ascii="Times New Roman" w:hAnsi="Times New Roman" w:cs="Times New Roman"/>
          <w:szCs w:val="44"/>
        </w:rPr>
        <w:t xml:space="preserve">. </w:t>
      </w:r>
      <w:r w:rsidR="00997763">
        <w:rPr>
          <w:rFonts w:ascii="Times New Roman" w:hAnsi="Times New Roman" w:cs="Times New Roman"/>
          <w:szCs w:val="44"/>
        </w:rPr>
        <w:t>In the range</w:t>
      </w:r>
      <w:r>
        <w:rPr>
          <w:rFonts w:ascii="Times New Roman" w:hAnsi="Times New Roman" w:cs="Times New Roman"/>
          <w:szCs w:val="44"/>
        </w:rPr>
        <w:t xml:space="preserve"> 25-300</w:t>
      </w:r>
      <w:r>
        <w:rPr>
          <w:rFonts w:ascii="Times New Roman" w:hAnsi="Times New Roman" w:cs="Times New Roman"/>
          <w:szCs w:val="44"/>
          <w:vertAlign w:val="superscript"/>
        </w:rPr>
        <w:t>o</w:t>
      </w:r>
      <w:r>
        <w:rPr>
          <w:rFonts w:ascii="Times New Roman" w:hAnsi="Times New Roman" w:cs="Times New Roman"/>
          <w:szCs w:val="44"/>
        </w:rPr>
        <w:t>C the TG curves show the weight loss to be similar</w:t>
      </w:r>
      <w:r w:rsidR="003B1576">
        <w:rPr>
          <w:rFonts w:ascii="Times New Roman" w:hAnsi="Times New Roman" w:cs="Times New Roman"/>
          <w:szCs w:val="44"/>
        </w:rPr>
        <w:t xml:space="preserve"> for all 4 </w:t>
      </w:r>
      <w:proofErr w:type="gramStart"/>
      <w:r w:rsidR="003B1576">
        <w:rPr>
          <w:rFonts w:ascii="Times New Roman" w:hAnsi="Times New Roman" w:cs="Times New Roman"/>
          <w:szCs w:val="44"/>
        </w:rPr>
        <w:t>samples,</w:t>
      </w:r>
      <w:proofErr w:type="gramEnd"/>
      <w:r w:rsidR="003B1576">
        <w:rPr>
          <w:rFonts w:ascii="Times New Roman" w:hAnsi="Times New Roman" w:cs="Times New Roman"/>
          <w:szCs w:val="44"/>
        </w:rPr>
        <w:t xml:space="preserve"> at around 400</w:t>
      </w:r>
      <w:r>
        <w:rPr>
          <w:rFonts w:ascii="Times New Roman" w:hAnsi="Times New Roman" w:cs="Times New Roman"/>
          <w:szCs w:val="44"/>
          <w:vertAlign w:val="superscript"/>
        </w:rPr>
        <w:t>o</w:t>
      </w:r>
      <w:r>
        <w:rPr>
          <w:rFonts w:ascii="Times New Roman" w:hAnsi="Times New Roman" w:cs="Times New Roman"/>
          <w:szCs w:val="44"/>
        </w:rPr>
        <w:t xml:space="preserve">C the weight loss due to the </w:t>
      </w:r>
      <w:r w:rsidR="003B1576">
        <w:rPr>
          <w:rFonts w:ascii="Times New Roman" w:hAnsi="Times New Roman" w:cs="Times New Roman"/>
          <w:szCs w:val="44"/>
        </w:rPr>
        <w:t>d</w:t>
      </w:r>
      <w:r w:rsidR="003C0487">
        <w:rPr>
          <w:rFonts w:ascii="Times New Roman" w:hAnsi="Times New Roman" w:cs="Times New Roman"/>
          <w:szCs w:val="44"/>
        </w:rPr>
        <w:t>e</w:t>
      </w:r>
      <w:r w:rsidR="003B1576">
        <w:rPr>
          <w:rFonts w:ascii="Times New Roman" w:hAnsi="Times New Roman" w:cs="Times New Roman"/>
          <w:szCs w:val="44"/>
        </w:rPr>
        <w:t>hydroxylation</w:t>
      </w:r>
      <w:r>
        <w:rPr>
          <w:rFonts w:ascii="Times New Roman" w:hAnsi="Times New Roman" w:cs="Times New Roman"/>
          <w:szCs w:val="44"/>
        </w:rPr>
        <w:t xml:space="preserve"> of P is slightly less for </w:t>
      </w:r>
      <w:r w:rsidRPr="005837CE">
        <w:rPr>
          <w:rFonts w:ascii="Times New Roman" w:hAnsi="Times New Roman" w:cs="Times New Roman"/>
          <w:b/>
          <w:szCs w:val="44"/>
        </w:rPr>
        <w:t>7DB1</w:t>
      </w:r>
      <w:r>
        <w:rPr>
          <w:rFonts w:ascii="Times New Roman" w:hAnsi="Times New Roman" w:cs="Times New Roman"/>
          <w:szCs w:val="44"/>
        </w:rPr>
        <w:t xml:space="preserve">. These </w:t>
      </w:r>
      <w:r w:rsidR="00451CFD">
        <w:rPr>
          <w:rFonts w:ascii="Times New Roman" w:hAnsi="Times New Roman" w:cs="Times New Roman"/>
          <w:szCs w:val="44"/>
        </w:rPr>
        <w:t>differences are</w:t>
      </w:r>
      <w:r>
        <w:rPr>
          <w:rFonts w:ascii="Times New Roman" w:hAnsi="Times New Roman" w:cs="Times New Roman"/>
          <w:szCs w:val="44"/>
        </w:rPr>
        <w:t xml:space="preserve"> negligible at this leaching period however with further leaching </w:t>
      </w:r>
      <w:r w:rsidR="001D649E">
        <w:rPr>
          <w:rFonts w:ascii="Times New Roman" w:hAnsi="Times New Roman" w:cs="Times New Roman"/>
          <w:szCs w:val="44"/>
        </w:rPr>
        <w:t xml:space="preserve">after 28 days </w:t>
      </w:r>
      <w:r>
        <w:rPr>
          <w:rFonts w:ascii="Times New Roman" w:hAnsi="Times New Roman" w:cs="Times New Roman"/>
          <w:szCs w:val="44"/>
        </w:rPr>
        <w:t xml:space="preserve">we can see a decrease due to the dehydration of </w:t>
      </w:r>
      <w:r w:rsidR="00E7304D">
        <w:rPr>
          <w:rFonts w:ascii="Times New Roman" w:hAnsi="Times New Roman" w:cs="Times New Roman"/>
          <w:szCs w:val="44"/>
        </w:rPr>
        <w:t xml:space="preserve">C-S-H </w:t>
      </w:r>
      <w:r w:rsidR="001D649E">
        <w:rPr>
          <w:rFonts w:ascii="Times New Roman" w:hAnsi="Times New Roman" w:cs="Times New Roman"/>
          <w:szCs w:val="44"/>
        </w:rPr>
        <w:t xml:space="preserve">and the dihydroxylation of P </w:t>
      </w:r>
      <w:r w:rsidR="00E7304D">
        <w:rPr>
          <w:rFonts w:ascii="Times New Roman" w:hAnsi="Times New Roman" w:cs="Times New Roman"/>
          <w:szCs w:val="44"/>
        </w:rPr>
        <w:t>as shown in figure</w:t>
      </w:r>
      <w:r w:rsidR="00023B69">
        <w:rPr>
          <w:rFonts w:ascii="Times New Roman" w:hAnsi="Times New Roman" w:cs="Times New Roman"/>
          <w:szCs w:val="44"/>
        </w:rPr>
        <w:t xml:space="preserve"> 4</w:t>
      </w:r>
      <w:r w:rsidR="0061312D">
        <w:rPr>
          <w:rFonts w:ascii="Times New Roman" w:hAnsi="Times New Roman" w:cs="Times New Roman"/>
          <w:szCs w:val="44"/>
        </w:rPr>
        <w:t>.</w:t>
      </w:r>
      <w:r w:rsidR="00023B69">
        <w:rPr>
          <w:rFonts w:ascii="Times New Roman" w:hAnsi="Times New Roman" w:cs="Times New Roman"/>
          <w:szCs w:val="44"/>
        </w:rPr>
        <w:t>61</w:t>
      </w:r>
      <w:r w:rsidR="00451CFD">
        <w:rPr>
          <w:rFonts w:ascii="Times New Roman" w:hAnsi="Times New Roman" w:cs="Times New Roman"/>
          <w:szCs w:val="44"/>
        </w:rPr>
        <w:t xml:space="preserve">. </w:t>
      </w:r>
      <w:r w:rsidR="001D649E">
        <w:rPr>
          <w:rFonts w:ascii="Times New Roman" w:hAnsi="Times New Roman" w:cs="Times New Roman"/>
          <w:szCs w:val="44"/>
        </w:rPr>
        <w:t>T</w:t>
      </w:r>
      <w:r>
        <w:rPr>
          <w:rFonts w:ascii="Times New Roman" w:hAnsi="Times New Roman" w:cs="Times New Roman"/>
          <w:szCs w:val="44"/>
        </w:rPr>
        <w:t xml:space="preserve">he weight loss due to Portlandite decreases by around 3% and this is responsible for the majority of difference between the total weight loss in </w:t>
      </w:r>
      <w:r w:rsidRPr="005837CE">
        <w:rPr>
          <w:rFonts w:ascii="Times New Roman" w:hAnsi="Times New Roman" w:cs="Times New Roman"/>
          <w:b/>
          <w:szCs w:val="44"/>
        </w:rPr>
        <w:t>28DB1</w:t>
      </w:r>
      <w:r>
        <w:rPr>
          <w:rFonts w:ascii="Times New Roman" w:hAnsi="Times New Roman" w:cs="Times New Roman"/>
          <w:szCs w:val="44"/>
        </w:rPr>
        <w:t xml:space="preserve"> and </w:t>
      </w:r>
      <w:r w:rsidRPr="005837CE">
        <w:rPr>
          <w:rFonts w:ascii="Times New Roman" w:hAnsi="Times New Roman" w:cs="Times New Roman"/>
          <w:b/>
          <w:szCs w:val="44"/>
        </w:rPr>
        <w:t>0DB</w:t>
      </w:r>
      <w:r>
        <w:rPr>
          <w:rFonts w:ascii="Times New Roman" w:hAnsi="Times New Roman" w:cs="Times New Roman"/>
          <w:szCs w:val="44"/>
        </w:rPr>
        <w:t xml:space="preserve">. </w:t>
      </w:r>
      <w:r w:rsidR="00601FF9">
        <w:rPr>
          <w:rFonts w:ascii="Times New Roman" w:hAnsi="Times New Roman" w:cs="Times New Roman"/>
          <w:szCs w:val="44"/>
        </w:rPr>
        <w:t>The weight loss in the 600-700</w:t>
      </w:r>
      <w:r w:rsidR="00601FF9">
        <w:rPr>
          <w:rFonts w:ascii="Times New Roman" w:hAnsi="Times New Roman" w:cs="Times New Roman"/>
          <w:szCs w:val="44"/>
          <w:vertAlign w:val="superscript"/>
        </w:rPr>
        <w:t>o</w:t>
      </w:r>
      <w:r w:rsidR="00601FF9">
        <w:rPr>
          <w:rFonts w:ascii="Times New Roman" w:hAnsi="Times New Roman" w:cs="Times New Roman"/>
          <w:szCs w:val="44"/>
        </w:rPr>
        <w:t xml:space="preserve">C </w:t>
      </w:r>
      <w:proofErr w:type="gramStart"/>
      <w:r w:rsidR="00601FF9">
        <w:rPr>
          <w:rFonts w:ascii="Times New Roman" w:hAnsi="Times New Roman" w:cs="Times New Roman"/>
          <w:szCs w:val="44"/>
        </w:rPr>
        <w:t>region</w:t>
      </w:r>
      <w:proofErr w:type="gramEnd"/>
      <w:r w:rsidR="00601FF9">
        <w:rPr>
          <w:rFonts w:ascii="Times New Roman" w:hAnsi="Times New Roman" w:cs="Times New Roman"/>
          <w:szCs w:val="44"/>
        </w:rPr>
        <w:t xml:space="preserve"> is due to CC (CaCO</w:t>
      </w:r>
      <w:r w:rsidR="00601FF9">
        <w:rPr>
          <w:rFonts w:ascii="Times New Roman" w:hAnsi="Times New Roman" w:cs="Times New Roman"/>
          <w:szCs w:val="44"/>
          <w:vertAlign w:val="subscript"/>
        </w:rPr>
        <w:t>3</w:t>
      </w:r>
      <w:r w:rsidR="00601FF9">
        <w:rPr>
          <w:rFonts w:ascii="Times New Roman" w:hAnsi="Times New Roman" w:cs="Times New Roman"/>
          <w:szCs w:val="44"/>
        </w:rPr>
        <w:t xml:space="preserve">). </w:t>
      </w:r>
    </w:p>
    <w:p w14:paraId="359C557A" w14:textId="300D9223" w:rsidR="005708A0" w:rsidRDefault="005708A0" w:rsidP="005708A0">
      <w:pPr>
        <w:tabs>
          <w:tab w:val="left" w:pos="284"/>
          <w:tab w:val="left" w:pos="47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40" w:after="120"/>
        <w:jc w:val="center"/>
        <w:rPr>
          <w:rFonts w:ascii="Times New Roman" w:hAnsi="Times New Roman" w:cs="Times New Roman"/>
          <w:szCs w:val="44"/>
        </w:rPr>
      </w:pPr>
      <w:r>
        <w:rPr>
          <w:noProof/>
        </w:rPr>
        <w:lastRenderedPageBreak/>
        <w:drawing>
          <wp:inline distT="0" distB="0" distL="0" distR="0" wp14:anchorId="3F846050" wp14:editId="546FB301">
            <wp:extent cx="5630779" cy="3091815"/>
            <wp:effectExtent l="0" t="0" r="8255" b="6985"/>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2">
                      <a:extLst>
                        <a:ext uri="{28A0092B-C50C-407E-A947-70E740481C1C}">
                          <a14:useLocalDpi xmlns:a14="http://schemas.microsoft.com/office/drawing/2010/main" val="0"/>
                        </a:ext>
                      </a:extLst>
                    </a:blip>
                    <a:srcRect l="777" t="5094" r="9068" b="2094"/>
                    <a:stretch/>
                  </pic:blipFill>
                  <pic:spPr bwMode="auto">
                    <a:xfrm>
                      <a:off x="0" y="0"/>
                      <a:ext cx="5630779" cy="309181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w:hAnsi="Times" w:cs="Times New Roman"/>
          <w:b/>
        </w:rPr>
        <w:t>Fig</w:t>
      </w:r>
      <w:r w:rsidR="005278B6">
        <w:rPr>
          <w:rFonts w:ascii="Times" w:hAnsi="Times" w:cs="Times New Roman"/>
          <w:b/>
        </w:rPr>
        <w:t>ure</w:t>
      </w:r>
      <w:r w:rsidR="0061312D">
        <w:rPr>
          <w:rFonts w:ascii="Times" w:hAnsi="Times" w:cs="Times New Roman"/>
          <w:b/>
        </w:rPr>
        <w:t xml:space="preserve"> 4.61</w:t>
      </w:r>
      <w:r>
        <w:rPr>
          <w:rFonts w:ascii="Times" w:hAnsi="Times" w:cs="Times New Roman"/>
          <w:b/>
        </w:rPr>
        <w:t>:</w:t>
      </w:r>
      <w:r>
        <w:rPr>
          <w:rFonts w:ascii="Times" w:hAnsi="Times" w:cs="Times New Roman"/>
          <w:sz w:val="23"/>
          <w:szCs w:val="23"/>
        </w:rPr>
        <w:t xml:space="preserve"> TG/DTG analysis of </w:t>
      </w:r>
      <w:r w:rsidRPr="005837CE">
        <w:rPr>
          <w:rFonts w:ascii="Times" w:hAnsi="Times" w:cs="Times New Roman"/>
          <w:b/>
          <w:sz w:val="23"/>
          <w:szCs w:val="23"/>
        </w:rPr>
        <w:t>28DB</w:t>
      </w:r>
      <w:r>
        <w:rPr>
          <w:rFonts w:ascii="Times" w:hAnsi="Times" w:cs="Times New Roman"/>
          <w:sz w:val="23"/>
          <w:szCs w:val="23"/>
        </w:rPr>
        <w:t xml:space="preserve"> series at various distances from exposure surface </w:t>
      </w:r>
      <w:r w:rsidR="000D4AEA">
        <w:rPr>
          <w:rFonts w:ascii="Times" w:hAnsi="Times" w:cs="Times New Roman"/>
          <w:sz w:val="23"/>
          <w:szCs w:val="23"/>
        </w:rPr>
        <w:t>compared with</w:t>
      </w:r>
      <w:r>
        <w:rPr>
          <w:rFonts w:ascii="Times" w:hAnsi="Times" w:cs="Times New Roman"/>
          <w:sz w:val="23"/>
          <w:szCs w:val="23"/>
        </w:rPr>
        <w:t xml:space="preserve"> </w:t>
      </w:r>
      <w:r w:rsidRPr="005837CE">
        <w:rPr>
          <w:rFonts w:ascii="Times" w:hAnsi="Times" w:cs="Times New Roman"/>
          <w:b/>
          <w:sz w:val="23"/>
          <w:szCs w:val="23"/>
        </w:rPr>
        <w:t>0DB</w:t>
      </w:r>
      <w:r w:rsidR="00A2570F">
        <w:rPr>
          <w:rFonts w:ascii="Times" w:hAnsi="Times" w:cs="Times New Roman"/>
          <w:b/>
          <w:sz w:val="23"/>
          <w:szCs w:val="23"/>
        </w:rPr>
        <w:t xml:space="preserve"> </w:t>
      </w:r>
      <w:r w:rsidR="00A2570F">
        <w:rPr>
          <w:rFonts w:ascii="Times" w:hAnsi="Times" w:cs="Arial"/>
          <w:color w:val="000000"/>
        </w:rPr>
        <w:t>(left Y axis associated with TG curves, right Y axis associated with DTG curves)</w:t>
      </w:r>
    </w:p>
    <w:p w14:paraId="4987EC02" w14:textId="6C92C8AE" w:rsidR="005708A0" w:rsidRDefault="005708A0" w:rsidP="005708A0">
      <w:pPr>
        <w:spacing w:before="240" w:after="120" w:line="480" w:lineRule="exact"/>
        <w:jc w:val="both"/>
        <w:rPr>
          <w:rFonts w:ascii="Times New Roman" w:hAnsi="Times New Roman" w:cs="Times New Roman"/>
          <w:szCs w:val="44"/>
        </w:rPr>
      </w:pPr>
      <w:r>
        <w:rPr>
          <w:rFonts w:ascii="Times New Roman" w:hAnsi="Times New Roman" w:cs="Times New Roman"/>
          <w:szCs w:val="44"/>
        </w:rPr>
        <w:t>The weight loss in the region of 90-200</w:t>
      </w:r>
      <w:r>
        <w:rPr>
          <w:rFonts w:ascii="Times New Roman" w:hAnsi="Times New Roman" w:cs="Times New Roman"/>
          <w:szCs w:val="44"/>
          <w:vertAlign w:val="superscript"/>
        </w:rPr>
        <w:t>o</w:t>
      </w:r>
      <w:r>
        <w:rPr>
          <w:rFonts w:ascii="Times New Roman" w:hAnsi="Times New Roman" w:cs="Times New Roman"/>
          <w:szCs w:val="44"/>
        </w:rPr>
        <w:t>C attributed to the dehydration of C-S-H and AFm decreases sli</w:t>
      </w:r>
      <w:r w:rsidR="001D649E">
        <w:rPr>
          <w:rFonts w:ascii="Times New Roman" w:hAnsi="Times New Roman" w:cs="Times New Roman"/>
          <w:szCs w:val="44"/>
        </w:rPr>
        <w:t xml:space="preserve">ghtly in the </w:t>
      </w:r>
      <w:r w:rsidR="001D649E" w:rsidRPr="005837CE">
        <w:rPr>
          <w:rFonts w:ascii="Times New Roman" w:hAnsi="Times New Roman" w:cs="Times New Roman"/>
          <w:b/>
          <w:szCs w:val="44"/>
        </w:rPr>
        <w:t>28DB</w:t>
      </w:r>
      <w:r w:rsidR="001D649E">
        <w:rPr>
          <w:rFonts w:ascii="Times New Roman" w:hAnsi="Times New Roman" w:cs="Times New Roman"/>
          <w:szCs w:val="44"/>
        </w:rPr>
        <w:t xml:space="preserve"> samples where</w:t>
      </w:r>
      <w:r>
        <w:rPr>
          <w:rFonts w:ascii="Times New Roman" w:hAnsi="Times New Roman" w:cs="Times New Roman"/>
          <w:szCs w:val="44"/>
        </w:rPr>
        <w:t xml:space="preserve">as it remains similar in the </w:t>
      </w:r>
      <w:r w:rsidRPr="0061312D">
        <w:rPr>
          <w:rFonts w:ascii="Times New Roman" w:hAnsi="Times New Roman" w:cs="Times New Roman"/>
          <w:b/>
          <w:szCs w:val="44"/>
        </w:rPr>
        <w:t>7DB</w:t>
      </w:r>
      <w:r>
        <w:rPr>
          <w:rFonts w:ascii="Times New Roman" w:hAnsi="Times New Roman" w:cs="Times New Roman"/>
          <w:szCs w:val="44"/>
        </w:rPr>
        <w:t xml:space="preserve"> samples. </w:t>
      </w:r>
      <w:r w:rsidR="001D649E">
        <w:rPr>
          <w:rFonts w:ascii="Times New Roman" w:hAnsi="Times New Roman" w:cs="Times New Roman"/>
          <w:szCs w:val="44"/>
        </w:rPr>
        <w:t>It appears that the leaching of C-S-H and AFm became significant</w:t>
      </w:r>
      <w:r>
        <w:rPr>
          <w:rFonts w:ascii="Times New Roman" w:hAnsi="Times New Roman" w:cs="Times New Roman"/>
          <w:szCs w:val="44"/>
        </w:rPr>
        <w:t xml:space="preserve"> after 7 days and reaches a depth &lt;10mm in the sample by 28 days. </w:t>
      </w:r>
    </w:p>
    <w:p w14:paraId="7E75D586" w14:textId="0EA0012B" w:rsidR="005708A0" w:rsidRDefault="005708A0" w:rsidP="005708A0">
      <w:pPr>
        <w:spacing w:before="240" w:after="120" w:line="480" w:lineRule="exact"/>
        <w:jc w:val="both"/>
        <w:rPr>
          <w:rFonts w:ascii="Times New Roman" w:hAnsi="Times New Roman" w:cs="Times New Roman"/>
          <w:szCs w:val="44"/>
        </w:rPr>
      </w:pPr>
      <w:r>
        <w:rPr>
          <w:rFonts w:ascii="Times New Roman" w:hAnsi="Times New Roman" w:cs="Times New Roman"/>
          <w:szCs w:val="44"/>
        </w:rPr>
        <w:t xml:space="preserve">The TGA curves for </w:t>
      </w:r>
      <w:r w:rsidRPr="005837CE">
        <w:rPr>
          <w:rFonts w:ascii="Times New Roman" w:hAnsi="Times New Roman" w:cs="Times New Roman"/>
          <w:b/>
          <w:szCs w:val="44"/>
        </w:rPr>
        <w:t>6MB</w:t>
      </w:r>
      <w:r w:rsidR="0061312D">
        <w:rPr>
          <w:rFonts w:ascii="Times New Roman" w:hAnsi="Times New Roman" w:cs="Times New Roman"/>
          <w:szCs w:val="44"/>
        </w:rPr>
        <w:t xml:space="preserve"> are shown in figure 4.62</w:t>
      </w:r>
      <w:r>
        <w:rPr>
          <w:rFonts w:ascii="Times New Roman" w:hAnsi="Times New Roman" w:cs="Times New Roman"/>
          <w:szCs w:val="44"/>
        </w:rPr>
        <w:t xml:space="preserve">. </w:t>
      </w:r>
      <w:r w:rsidR="001D649E">
        <w:rPr>
          <w:rFonts w:ascii="Times New Roman" w:hAnsi="Times New Roman" w:cs="Times New Roman"/>
          <w:szCs w:val="44"/>
        </w:rPr>
        <w:t>The</w:t>
      </w:r>
      <w:r>
        <w:rPr>
          <w:rFonts w:ascii="Times New Roman" w:hAnsi="Times New Roman" w:cs="Times New Roman"/>
          <w:szCs w:val="44"/>
        </w:rPr>
        <w:t xml:space="preserve"> difference in weight loss between </w:t>
      </w:r>
      <w:r w:rsidRPr="000F6BBD">
        <w:rPr>
          <w:rFonts w:ascii="Times New Roman" w:hAnsi="Times New Roman" w:cs="Times New Roman"/>
          <w:b/>
          <w:szCs w:val="44"/>
        </w:rPr>
        <w:t>0DB</w:t>
      </w:r>
      <w:r>
        <w:rPr>
          <w:rFonts w:ascii="Times New Roman" w:hAnsi="Times New Roman" w:cs="Times New Roman"/>
          <w:szCs w:val="44"/>
        </w:rPr>
        <w:t xml:space="preserve"> and </w:t>
      </w:r>
      <w:r w:rsidRPr="005837CE">
        <w:rPr>
          <w:rFonts w:ascii="Times New Roman" w:hAnsi="Times New Roman" w:cs="Times New Roman"/>
          <w:b/>
          <w:szCs w:val="44"/>
        </w:rPr>
        <w:t>6MB</w:t>
      </w:r>
      <w:r w:rsidR="001D649E" w:rsidRPr="005837CE">
        <w:rPr>
          <w:rFonts w:ascii="Times New Roman" w:hAnsi="Times New Roman" w:cs="Times New Roman"/>
          <w:b/>
          <w:szCs w:val="44"/>
        </w:rPr>
        <w:t>1</w:t>
      </w:r>
      <w:r w:rsidR="001D649E">
        <w:rPr>
          <w:rFonts w:ascii="Times New Roman" w:hAnsi="Times New Roman" w:cs="Times New Roman"/>
          <w:szCs w:val="44"/>
        </w:rPr>
        <w:t xml:space="preserve">, </w:t>
      </w:r>
      <w:r w:rsidR="001D649E" w:rsidRPr="005837CE">
        <w:rPr>
          <w:rFonts w:ascii="Times New Roman" w:hAnsi="Times New Roman" w:cs="Times New Roman"/>
          <w:b/>
          <w:szCs w:val="44"/>
        </w:rPr>
        <w:t>6MB2</w:t>
      </w:r>
      <w:r w:rsidR="001D649E">
        <w:rPr>
          <w:rFonts w:ascii="Times New Roman" w:hAnsi="Times New Roman" w:cs="Times New Roman"/>
          <w:szCs w:val="44"/>
        </w:rPr>
        <w:t xml:space="preserve"> and </w:t>
      </w:r>
      <w:r w:rsidR="001D649E" w:rsidRPr="005837CE">
        <w:rPr>
          <w:rFonts w:ascii="Times New Roman" w:hAnsi="Times New Roman" w:cs="Times New Roman"/>
          <w:b/>
          <w:szCs w:val="44"/>
        </w:rPr>
        <w:t>6MB3</w:t>
      </w:r>
      <w:r>
        <w:rPr>
          <w:rFonts w:ascii="Times New Roman" w:hAnsi="Times New Roman" w:cs="Times New Roman"/>
          <w:szCs w:val="44"/>
        </w:rPr>
        <w:t xml:space="preserve"> </w:t>
      </w:r>
      <w:r w:rsidR="001D649E">
        <w:rPr>
          <w:rFonts w:ascii="Times New Roman" w:hAnsi="Times New Roman" w:cs="Times New Roman"/>
          <w:szCs w:val="44"/>
        </w:rPr>
        <w:t>begins to show at 100</w:t>
      </w:r>
      <w:r w:rsidR="001D649E">
        <w:rPr>
          <w:rFonts w:ascii="Times New Roman" w:hAnsi="Times New Roman" w:cs="Times New Roman"/>
          <w:szCs w:val="44"/>
          <w:vertAlign w:val="superscript"/>
        </w:rPr>
        <w:t>o</w:t>
      </w:r>
      <w:r w:rsidR="001D649E">
        <w:rPr>
          <w:rFonts w:ascii="Times New Roman" w:hAnsi="Times New Roman" w:cs="Times New Roman"/>
          <w:szCs w:val="44"/>
        </w:rPr>
        <w:t>C</w:t>
      </w:r>
      <w:r>
        <w:rPr>
          <w:rFonts w:ascii="Times New Roman" w:hAnsi="Times New Roman" w:cs="Times New Roman"/>
          <w:szCs w:val="44"/>
        </w:rPr>
        <w:t xml:space="preserve">, suggesting that ions from all the identified phases have now started </w:t>
      </w:r>
      <w:r w:rsidR="001D649E">
        <w:rPr>
          <w:rFonts w:ascii="Times New Roman" w:hAnsi="Times New Roman" w:cs="Times New Roman"/>
          <w:szCs w:val="44"/>
        </w:rPr>
        <w:t>leaching out</w:t>
      </w:r>
      <w:r>
        <w:rPr>
          <w:rFonts w:ascii="Times New Roman" w:hAnsi="Times New Roman" w:cs="Times New Roman"/>
          <w:szCs w:val="44"/>
        </w:rPr>
        <w:t xml:space="preserve"> up to a 15mm depth. The </w:t>
      </w:r>
      <w:r w:rsidR="001D649E">
        <w:rPr>
          <w:rFonts w:ascii="Times New Roman" w:hAnsi="Times New Roman" w:cs="Times New Roman"/>
          <w:szCs w:val="44"/>
        </w:rPr>
        <w:t>gradient of the TG curve at 400-450</w:t>
      </w:r>
      <w:r w:rsidR="001D649E">
        <w:rPr>
          <w:rFonts w:ascii="Times New Roman" w:hAnsi="Times New Roman" w:cs="Times New Roman"/>
          <w:szCs w:val="44"/>
          <w:vertAlign w:val="superscript"/>
        </w:rPr>
        <w:t>o</w:t>
      </w:r>
      <w:r w:rsidR="001D649E">
        <w:rPr>
          <w:rFonts w:ascii="Times New Roman" w:hAnsi="Times New Roman" w:cs="Times New Roman"/>
          <w:szCs w:val="44"/>
        </w:rPr>
        <w:t>C</w:t>
      </w:r>
      <w:r w:rsidR="009902FA">
        <w:rPr>
          <w:rFonts w:ascii="Times New Roman" w:hAnsi="Times New Roman" w:cs="Times New Roman"/>
          <w:szCs w:val="44"/>
        </w:rPr>
        <w:t xml:space="preserve"> is flatter</w:t>
      </w:r>
      <w:r w:rsidR="001D649E">
        <w:rPr>
          <w:rFonts w:ascii="Times New Roman" w:hAnsi="Times New Roman" w:cs="Times New Roman"/>
          <w:szCs w:val="44"/>
        </w:rPr>
        <w:t xml:space="preserve"> </w:t>
      </w:r>
      <w:r>
        <w:rPr>
          <w:rFonts w:ascii="Times New Roman" w:hAnsi="Times New Roman" w:cs="Times New Roman"/>
          <w:szCs w:val="44"/>
        </w:rPr>
        <w:t>in</w:t>
      </w:r>
      <w:r w:rsidRPr="005837CE">
        <w:rPr>
          <w:rFonts w:ascii="Times New Roman" w:hAnsi="Times New Roman" w:cs="Times New Roman"/>
          <w:b/>
          <w:szCs w:val="44"/>
        </w:rPr>
        <w:t xml:space="preserve"> 6MB1</w:t>
      </w:r>
      <w:r>
        <w:rPr>
          <w:rFonts w:ascii="Times New Roman" w:hAnsi="Times New Roman" w:cs="Times New Roman"/>
          <w:szCs w:val="44"/>
        </w:rPr>
        <w:t xml:space="preserve"> in comparison to </w:t>
      </w:r>
      <w:r w:rsidRPr="0061312D">
        <w:rPr>
          <w:rFonts w:ascii="Times New Roman" w:hAnsi="Times New Roman" w:cs="Times New Roman"/>
          <w:b/>
          <w:szCs w:val="44"/>
        </w:rPr>
        <w:t xml:space="preserve">6MB2 </w:t>
      </w:r>
      <w:r>
        <w:rPr>
          <w:rFonts w:ascii="Times New Roman" w:hAnsi="Times New Roman" w:cs="Times New Roman"/>
          <w:szCs w:val="44"/>
        </w:rPr>
        <w:t xml:space="preserve">and </w:t>
      </w:r>
      <w:r w:rsidRPr="005837CE">
        <w:rPr>
          <w:rFonts w:ascii="Times New Roman" w:hAnsi="Times New Roman" w:cs="Times New Roman"/>
          <w:b/>
          <w:szCs w:val="44"/>
        </w:rPr>
        <w:t>6MB3</w:t>
      </w:r>
      <w:r w:rsidR="009902FA">
        <w:rPr>
          <w:rFonts w:ascii="Times New Roman" w:hAnsi="Times New Roman" w:cs="Times New Roman"/>
          <w:szCs w:val="44"/>
        </w:rPr>
        <w:t xml:space="preserve"> indicating less of th</w:t>
      </w:r>
      <w:r w:rsidR="004853C0">
        <w:rPr>
          <w:rFonts w:ascii="Times New Roman" w:hAnsi="Times New Roman" w:cs="Times New Roman"/>
          <w:szCs w:val="44"/>
        </w:rPr>
        <w:t>e P</w:t>
      </w:r>
      <w:r w:rsidR="009902FA">
        <w:rPr>
          <w:rFonts w:ascii="Times New Roman" w:hAnsi="Times New Roman" w:cs="Times New Roman"/>
          <w:szCs w:val="44"/>
        </w:rPr>
        <w:t xml:space="preserve"> phase in </w:t>
      </w:r>
      <w:r w:rsidR="009902FA" w:rsidRPr="005837CE">
        <w:rPr>
          <w:rFonts w:ascii="Times New Roman" w:hAnsi="Times New Roman" w:cs="Times New Roman"/>
          <w:b/>
          <w:szCs w:val="44"/>
        </w:rPr>
        <w:t>6MB1</w:t>
      </w:r>
      <w:r>
        <w:rPr>
          <w:rFonts w:ascii="Times New Roman" w:hAnsi="Times New Roman" w:cs="Times New Roman"/>
          <w:szCs w:val="44"/>
        </w:rPr>
        <w:t xml:space="preserve">, this further supports the proposal that ions from portlandite are the first to </w:t>
      </w:r>
      <w:r w:rsidR="009902FA">
        <w:rPr>
          <w:rFonts w:ascii="Times New Roman" w:hAnsi="Times New Roman" w:cs="Times New Roman"/>
          <w:szCs w:val="44"/>
        </w:rPr>
        <w:t>leach</w:t>
      </w:r>
      <w:r>
        <w:rPr>
          <w:rFonts w:ascii="Times New Roman" w:hAnsi="Times New Roman" w:cs="Times New Roman"/>
          <w:szCs w:val="44"/>
        </w:rPr>
        <w:t xml:space="preserve"> into the solution before ions from other phases. This is the main reason for the difference in total weight loss between the top layer </w:t>
      </w:r>
      <w:r w:rsidRPr="005837CE">
        <w:rPr>
          <w:rFonts w:ascii="Times New Roman" w:hAnsi="Times New Roman" w:cs="Times New Roman"/>
          <w:b/>
          <w:szCs w:val="44"/>
        </w:rPr>
        <w:t>6MB1</w:t>
      </w:r>
      <w:r>
        <w:rPr>
          <w:rFonts w:ascii="Times New Roman" w:hAnsi="Times New Roman" w:cs="Times New Roman"/>
          <w:szCs w:val="44"/>
        </w:rPr>
        <w:t xml:space="preserve"> and the deeper layers </w:t>
      </w:r>
      <w:r w:rsidRPr="005837CE">
        <w:rPr>
          <w:rFonts w:ascii="Times New Roman" w:hAnsi="Times New Roman" w:cs="Times New Roman"/>
          <w:b/>
          <w:szCs w:val="44"/>
        </w:rPr>
        <w:t>6MB2</w:t>
      </w:r>
      <w:r>
        <w:rPr>
          <w:rFonts w:ascii="Times New Roman" w:hAnsi="Times New Roman" w:cs="Times New Roman"/>
          <w:szCs w:val="44"/>
        </w:rPr>
        <w:t xml:space="preserve"> and </w:t>
      </w:r>
      <w:r w:rsidRPr="005837CE">
        <w:rPr>
          <w:rFonts w:ascii="Times New Roman" w:hAnsi="Times New Roman" w:cs="Times New Roman"/>
          <w:b/>
          <w:szCs w:val="44"/>
        </w:rPr>
        <w:t>6MB3</w:t>
      </w:r>
      <w:r>
        <w:rPr>
          <w:rFonts w:ascii="Times New Roman" w:hAnsi="Times New Roman" w:cs="Times New Roman"/>
          <w:szCs w:val="44"/>
        </w:rPr>
        <w:t xml:space="preserve">. </w:t>
      </w:r>
    </w:p>
    <w:p w14:paraId="098D7CDB" w14:textId="4E79EA77" w:rsidR="005708A0" w:rsidRPr="001A5671" w:rsidRDefault="005708A0" w:rsidP="005708A0">
      <w:pPr>
        <w:spacing w:before="240" w:after="120"/>
        <w:jc w:val="center"/>
        <w:rPr>
          <w:rFonts w:ascii="Times" w:hAnsi="Times" w:cs="Times New Roman"/>
          <w:b/>
        </w:rPr>
      </w:pPr>
      <w:r w:rsidRPr="00BF18BB">
        <w:rPr>
          <w:rFonts w:ascii="Times" w:hAnsi="Times" w:cs="Times New Roman"/>
          <w:noProof/>
        </w:rPr>
        <w:lastRenderedPageBreak/>
        <w:drawing>
          <wp:inline distT="0" distB="0" distL="0" distR="0" wp14:anchorId="5C331450" wp14:editId="2E9F30EF">
            <wp:extent cx="5457524" cy="2889885"/>
            <wp:effectExtent l="0" t="0" r="3810" b="5715"/>
            <wp:docPr id="2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3">
                      <a:extLst>
                        <a:ext uri="{28A0092B-C50C-407E-A947-70E740481C1C}">
                          <a14:useLocalDpi xmlns:a14="http://schemas.microsoft.com/office/drawing/2010/main" val="0"/>
                        </a:ext>
                      </a:extLst>
                    </a:blip>
                    <a:srcRect r="2672"/>
                    <a:stretch/>
                  </pic:blipFill>
                  <pic:spPr bwMode="auto">
                    <a:xfrm>
                      <a:off x="0" y="0"/>
                      <a:ext cx="5458481" cy="2890392"/>
                    </a:xfrm>
                    <a:prstGeom prst="rect">
                      <a:avLst/>
                    </a:prstGeom>
                    <a:noFill/>
                    <a:ln>
                      <a:noFill/>
                    </a:ln>
                    <a:extLst>
                      <a:ext uri="{53640926-AAD7-44d8-BBD7-CCE9431645EC}">
                        <a14:shadowObscured xmlns:a14="http://schemas.microsoft.com/office/drawing/2010/main"/>
                      </a:ext>
                    </a:extLst>
                  </pic:spPr>
                </pic:pic>
              </a:graphicData>
            </a:graphic>
          </wp:inline>
        </w:drawing>
      </w:r>
      <w:r w:rsidRPr="001A5671">
        <w:rPr>
          <w:rFonts w:ascii="Times" w:hAnsi="Times" w:cs="Times New Roman"/>
          <w:b/>
        </w:rPr>
        <w:t xml:space="preserve"> </w:t>
      </w:r>
      <w:r>
        <w:rPr>
          <w:rFonts w:ascii="Times" w:hAnsi="Times" w:cs="Times New Roman"/>
          <w:b/>
        </w:rPr>
        <w:t xml:space="preserve">   Fig</w:t>
      </w:r>
      <w:r w:rsidR="005278B6">
        <w:rPr>
          <w:rFonts w:ascii="Times" w:hAnsi="Times" w:cs="Times New Roman"/>
          <w:b/>
        </w:rPr>
        <w:t>ure</w:t>
      </w:r>
      <w:r w:rsidR="00B626A8">
        <w:rPr>
          <w:rFonts w:ascii="Times" w:hAnsi="Times" w:cs="Times New Roman"/>
          <w:b/>
        </w:rPr>
        <w:t xml:space="preserve"> 4.62</w:t>
      </w:r>
      <w:r>
        <w:rPr>
          <w:rFonts w:ascii="Times" w:hAnsi="Times" w:cs="Times New Roman"/>
          <w:b/>
        </w:rPr>
        <w:t>:</w:t>
      </w:r>
      <w:r>
        <w:rPr>
          <w:rFonts w:ascii="Times" w:hAnsi="Times" w:cs="Times New Roman"/>
          <w:sz w:val="23"/>
          <w:szCs w:val="23"/>
        </w:rPr>
        <w:t xml:space="preserve"> TG/DTG analysis of </w:t>
      </w:r>
      <w:r w:rsidRPr="005837CE">
        <w:rPr>
          <w:rFonts w:ascii="Times" w:hAnsi="Times" w:cs="Times New Roman"/>
          <w:b/>
          <w:sz w:val="23"/>
          <w:szCs w:val="23"/>
        </w:rPr>
        <w:t>6MB</w:t>
      </w:r>
      <w:r>
        <w:rPr>
          <w:rFonts w:ascii="Times" w:hAnsi="Times" w:cs="Times New Roman"/>
          <w:sz w:val="23"/>
          <w:szCs w:val="23"/>
        </w:rPr>
        <w:t xml:space="preserve"> series at various distances from exposure surface </w:t>
      </w:r>
      <w:r w:rsidR="000D4AEA">
        <w:rPr>
          <w:rFonts w:ascii="Times" w:hAnsi="Times" w:cs="Times New Roman"/>
          <w:sz w:val="23"/>
          <w:szCs w:val="23"/>
        </w:rPr>
        <w:t>compared with</w:t>
      </w:r>
      <w:r>
        <w:rPr>
          <w:rFonts w:ascii="Times" w:hAnsi="Times" w:cs="Times New Roman"/>
          <w:sz w:val="23"/>
          <w:szCs w:val="23"/>
        </w:rPr>
        <w:t xml:space="preserve"> </w:t>
      </w:r>
      <w:r w:rsidRPr="005837CE">
        <w:rPr>
          <w:rFonts w:ascii="Times" w:hAnsi="Times" w:cs="Times New Roman"/>
          <w:b/>
          <w:sz w:val="23"/>
          <w:szCs w:val="23"/>
        </w:rPr>
        <w:t>0DB</w:t>
      </w:r>
      <w:r w:rsidR="00A2570F">
        <w:rPr>
          <w:rFonts w:ascii="Times" w:hAnsi="Times" w:cs="Times New Roman"/>
          <w:b/>
          <w:sz w:val="23"/>
          <w:szCs w:val="23"/>
        </w:rPr>
        <w:t xml:space="preserve"> </w:t>
      </w:r>
      <w:r w:rsidR="00A2570F">
        <w:rPr>
          <w:rFonts w:ascii="Times" w:hAnsi="Times" w:cs="Arial"/>
          <w:color w:val="000000"/>
        </w:rPr>
        <w:t>(left Y axis associated with TG curves, right Y axis associated with DTG curves)</w:t>
      </w:r>
    </w:p>
    <w:p w14:paraId="13FB84C0" w14:textId="2B597C7B" w:rsidR="005708A0" w:rsidRDefault="005708A0" w:rsidP="005708A0">
      <w:pPr>
        <w:spacing w:before="240" w:after="120" w:line="480" w:lineRule="exact"/>
        <w:jc w:val="both"/>
        <w:rPr>
          <w:rFonts w:ascii="Times" w:hAnsi="Times" w:cs="Times New Roman"/>
        </w:rPr>
      </w:pPr>
      <w:r>
        <w:rPr>
          <w:rFonts w:ascii="Times" w:hAnsi="Times" w:cs="Times New Roman"/>
        </w:rPr>
        <w:t>The behaviour of the</w:t>
      </w:r>
      <w:r w:rsidRPr="005837CE">
        <w:rPr>
          <w:rFonts w:ascii="Times" w:hAnsi="Times" w:cs="Times New Roman"/>
          <w:b/>
        </w:rPr>
        <w:t xml:space="preserve"> 2YB</w:t>
      </w:r>
      <w:r>
        <w:rPr>
          <w:rFonts w:ascii="Times" w:hAnsi="Times" w:cs="Times New Roman"/>
        </w:rPr>
        <w:t xml:space="preserve"> samples (shown in figure 4.6</w:t>
      </w:r>
      <w:r w:rsidR="00B626A8">
        <w:rPr>
          <w:rFonts w:ascii="Times" w:hAnsi="Times" w:cs="Times New Roman"/>
        </w:rPr>
        <w:t>3</w:t>
      </w:r>
      <w:r>
        <w:rPr>
          <w:rFonts w:ascii="Times" w:hAnsi="Times" w:cs="Times New Roman"/>
        </w:rPr>
        <w:t xml:space="preserve">) is somewhat unexpected and does not follow the pattern of earlier samples. </w:t>
      </w:r>
      <w:r w:rsidR="009902FA">
        <w:rPr>
          <w:rFonts w:ascii="Times" w:hAnsi="Times" w:cs="Times New Roman"/>
        </w:rPr>
        <w:t>T</w:t>
      </w:r>
      <w:r>
        <w:rPr>
          <w:rFonts w:ascii="Times" w:hAnsi="Times" w:cs="Times New Roman"/>
        </w:rPr>
        <w:t xml:space="preserve">here seems to be an increase in weight loss </w:t>
      </w:r>
      <w:r w:rsidR="006D40B5">
        <w:rPr>
          <w:rFonts w:ascii="Times" w:hAnsi="Times" w:cs="Times New Roman"/>
        </w:rPr>
        <w:t>for</w:t>
      </w:r>
      <w:r>
        <w:rPr>
          <w:rFonts w:ascii="Times" w:hAnsi="Times" w:cs="Times New Roman"/>
        </w:rPr>
        <w:t xml:space="preserve"> C-S-H dehydration in all 3 layers in comparison with </w:t>
      </w:r>
      <w:r w:rsidRPr="005837CE">
        <w:rPr>
          <w:rFonts w:ascii="Times" w:hAnsi="Times" w:cs="Times New Roman"/>
          <w:b/>
        </w:rPr>
        <w:t>0DB</w:t>
      </w:r>
      <w:r>
        <w:rPr>
          <w:rFonts w:ascii="Times" w:hAnsi="Times" w:cs="Times New Roman"/>
        </w:rPr>
        <w:t xml:space="preserve">, however the weight loss due to portlandite is less in the </w:t>
      </w:r>
      <w:r w:rsidRPr="005837CE">
        <w:rPr>
          <w:rFonts w:ascii="Times" w:hAnsi="Times" w:cs="Times New Roman"/>
          <w:b/>
        </w:rPr>
        <w:t xml:space="preserve">2YB </w:t>
      </w:r>
      <w:r>
        <w:rPr>
          <w:rFonts w:ascii="Times" w:hAnsi="Times" w:cs="Times New Roman"/>
        </w:rPr>
        <w:t>samples than</w:t>
      </w:r>
      <w:r w:rsidRPr="005837CE">
        <w:rPr>
          <w:rFonts w:ascii="Times" w:hAnsi="Times" w:cs="Times New Roman"/>
          <w:b/>
        </w:rPr>
        <w:t xml:space="preserve"> 0DB</w:t>
      </w:r>
      <w:r w:rsidR="0098142A">
        <w:rPr>
          <w:rFonts w:ascii="Times" w:hAnsi="Times" w:cs="Times New Roman"/>
        </w:rPr>
        <w:t xml:space="preserve"> as it is consumed by slag in a pozzolanic-type process. T</w:t>
      </w:r>
      <w:r>
        <w:rPr>
          <w:rFonts w:ascii="Times" w:hAnsi="Times" w:cs="Times New Roman"/>
        </w:rPr>
        <w:t>hese two main factors seem to offset each other and as such all three samples have a very similar total weight loss.</w:t>
      </w:r>
      <w:r w:rsidR="00A038EB">
        <w:rPr>
          <w:rFonts w:ascii="Times" w:hAnsi="Times" w:cs="Times New Roman"/>
        </w:rPr>
        <w:t xml:space="preserve"> There is also a decrease in weight loss due to the CC phase, </w:t>
      </w:r>
    </w:p>
    <w:p w14:paraId="33206D27" w14:textId="1D36A382" w:rsidR="005708A0" w:rsidRDefault="005708A0" w:rsidP="005708A0">
      <w:pPr>
        <w:spacing w:before="240" w:after="120"/>
        <w:ind w:left="142"/>
        <w:jc w:val="center"/>
        <w:rPr>
          <w:rFonts w:ascii="Times" w:hAnsi="Times" w:cs="Times New Roman"/>
        </w:rPr>
      </w:pPr>
      <w:r w:rsidRPr="00756863">
        <w:rPr>
          <w:rFonts w:ascii="Times" w:hAnsi="Times" w:cs="Times New Roman"/>
          <w:noProof/>
        </w:rPr>
        <w:lastRenderedPageBreak/>
        <w:drawing>
          <wp:inline distT="0" distB="0" distL="0" distR="0" wp14:anchorId="2C24FB92" wp14:editId="21D3D31A">
            <wp:extent cx="5438140" cy="2666197"/>
            <wp:effectExtent l="0" t="0" r="0" b="1270"/>
            <wp:docPr id="2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4">
                      <a:extLst>
                        <a:ext uri="{28A0092B-C50C-407E-A947-70E740481C1C}">
                          <a14:useLocalDpi xmlns:a14="http://schemas.microsoft.com/office/drawing/2010/main" val="0"/>
                        </a:ext>
                      </a:extLst>
                    </a:blip>
                    <a:srcRect r="3014" b="7900"/>
                    <a:stretch/>
                  </pic:blipFill>
                  <pic:spPr bwMode="auto">
                    <a:xfrm>
                      <a:off x="0" y="0"/>
                      <a:ext cx="5439253" cy="266674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w:hAnsi="Times" w:cs="Times New Roman"/>
          <w:b/>
        </w:rPr>
        <w:t xml:space="preserve"> Fig</w:t>
      </w:r>
      <w:r w:rsidR="005278B6">
        <w:rPr>
          <w:rFonts w:ascii="Times" w:hAnsi="Times" w:cs="Times New Roman"/>
          <w:b/>
        </w:rPr>
        <w:t>ure</w:t>
      </w:r>
      <w:r w:rsidR="00B626A8">
        <w:rPr>
          <w:rFonts w:ascii="Times" w:hAnsi="Times" w:cs="Times New Roman"/>
          <w:b/>
        </w:rPr>
        <w:t xml:space="preserve"> 4.63</w:t>
      </w:r>
      <w:r>
        <w:rPr>
          <w:rFonts w:ascii="Times" w:hAnsi="Times" w:cs="Times New Roman"/>
          <w:b/>
        </w:rPr>
        <w:t>:</w:t>
      </w:r>
      <w:r>
        <w:rPr>
          <w:rFonts w:ascii="Times" w:hAnsi="Times" w:cs="Times New Roman"/>
          <w:sz w:val="23"/>
          <w:szCs w:val="23"/>
        </w:rPr>
        <w:t xml:space="preserve"> TG/DTG analysis of </w:t>
      </w:r>
      <w:r w:rsidRPr="005837CE">
        <w:rPr>
          <w:rFonts w:ascii="Times" w:hAnsi="Times" w:cs="Times New Roman"/>
          <w:b/>
          <w:sz w:val="23"/>
          <w:szCs w:val="23"/>
        </w:rPr>
        <w:t>2YB</w:t>
      </w:r>
      <w:r>
        <w:rPr>
          <w:rFonts w:ascii="Times" w:hAnsi="Times" w:cs="Times New Roman"/>
          <w:sz w:val="23"/>
          <w:szCs w:val="23"/>
        </w:rPr>
        <w:t xml:space="preserve"> series at various distances from exposure surface </w:t>
      </w:r>
      <w:r w:rsidR="000D4AEA">
        <w:rPr>
          <w:rFonts w:ascii="Times" w:hAnsi="Times" w:cs="Times New Roman"/>
          <w:sz w:val="23"/>
          <w:szCs w:val="23"/>
        </w:rPr>
        <w:t>compared with</w:t>
      </w:r>
      <w:r>
        <w:rPr>
          <w:rFonts w:ascii="Times" w:hAnsi="Times" w:cs="Times New Roman"/>
          <w:sz w:val="23"/>
          <w:szCs w:val="23"/>
        </w:rPr>
        <w:t xml:space="preserve"> </w:t>
      </w:r>
      <w:r w:rsidRPr="005837CE">
        <w:rPr>
          <w:rFonts w:ascii="Times" w:hAnsi="Times" w:cs="Times New Roman"/>
          <w:b/>
          <w:sz w:val="23"/>
          <w:szCs w:val="23"/>
        </w:rPr>
        <w:t>0DB</w:t>
      </w:r>
    </w:p>
    <w:p w14:paraId="7E083BDE" w14:textId="77777777" w:rsidR="005708A0" w:rsidRDefault="005708A0" w:rsidP="005708A0">
      <w:pPr>
        <w:spacing w:before="240" w:after="120" w:line="480" w:lineRule="exact"/>
        <w:jc w:val="both"/>
        <w:rPr>
          <w:rFonts w:ascii="Times" w:hAnsi="Times" w:cs="Arial"/>
          <w:color w:val="000000"/>
        </w:rPr>
      </w:pPr>
    </w:p>
    <w:p w14:paraId="1CEDB786" w14:textId="332E21B4" w:rsidR="005708A0" w:rsidRDefault="005708A0" w:rsidP="005708A0">
      <w:pPr>
        <w:spacing w:before="240" w:after="120" w:line="480" w:lineRule="exact"/>
        <w:jc w:val="both"/>
        <w:rPr>
          <w:rFonts w:ascii="Times" w:hAnsi="Times" w:cs="Arial"/>
          <w:color w:val="000000"/>
        </w:rPr>
      </w:pPr>
      <w:r>
        <w:rPr>
          <w:rFonts w:ascii="Times" w:hAnsi="Times" w:cs="Arial"/>
          <w:color w:val="000000"/>
        </w:rPr>
        <w:t>The TGA curves for the</w:t>
      </w:r>
      <w:r w:rsidR="005837CE">
        <w:rPr>
          <w:rFonts w:ascii="Times" w:hAnsi="Times" w:cs="Arial"/>
          <w:color w:val="000000"/>
        </w:rPr>
        <w:t xml:space="preserve">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Arial"/>
          <w:color w:val="000000"/>
        </w:rPr>
        <w:t xml:space="preserve"> series </w:t>
      </w:r>
      <w:r w:rsidR="00B626A8">
        <w:rPr>
          <w:rFonts w:ascii="Times" w:hAnsi="Times" w:cs="Arial"/>
          <w:color w:val="000000"/>
        </w:rPr>
        <w:t>were also collected, figure 4.64</w:t>
      </w:r>
      <w:r>
        <w:rPr>
          <w:rFonts w:ascii="Times" w:hAnsi="Times" w:cs="Arial"/>
          <w:color w:val="000000"/>
        </w:rPr>
        <w:t xml:space="preserve"> shows the </w:t>
      </w:r>
      <w:r w:rsidRPr="00B626A8">
        <w:rPr>
          <w:rFonts w:ascii="Times" w:hAnsi="Times" w:cs="Arial"/>
          <w:b/>
          <w:color w:val="000000"/>
        </w:rPr>
        <w:t>7D</w:t>
      </w:r>
      <m:oMath>
        <m:r>
          <m:rPr>
            <m:sty m:val="p"/>
          </m:rPr>
          <w:rPr>
            <w:rFonts w:ascii="Cambria Math" w:hAnsi="Cambria Math" w:cs="Arial"/>
            <w:sz w:val="36"/>
            <w:szCs w:val="36"/>
          </w:rPr>
          <m:t>cs</m:t>
        </m:r>
      </m:oMath>
      <w:r w:rsidR="00B626A8">
        <w:rPr>
          <w:rFonts w:ascii="Times" w:hAnsi="Times"/>
          <w:sz w:val="20"/>
          <w:szCs w:val="20"/>
          <w:lang w:val="en-GB"/>
        </w:rPr>
        <w:t xml:space="preserve"> </w:t>
      </w:r>
      <w:r>
        <w:rPr>
          <w:rFonts w:ascii="Times" w:hAnsi="Times" w:cs="Arial"/>
          <w:color w:val="000000"/>
        </w:rPr>
        <w:t xml:space="preserve">series. </w:t>
      </w:r>
      <w:r>
        <w:rPr>
          <w:rFonts w:ascii="Times New Roman" w:hAnsi="Times New Roman" w:cs="Times New Roman"/>
          <w:color w:val="000000"/>
        </w:rPr>
        <w:t>After 7 days of leaching, the total weight loss decreased by approximately 2.5% for all three discs</w:t>
      </w:r>
      <w:r w:rsidR="006D40B5">
        <w:rPr>
          <w:rFonts w:ascii="Times New Roman" w:hAnsi="Times New Roman" w:cs="Times New Roman"/>
          <w:color w:val="000000"/>
        </w:rPr>
        <w:t xml:space="preserve">, compared with that of the </w:t>
      </w:r>
      <w:r w:rsidR="000F6BBD">
        <w:rPr>
          <w:rFonts w:ascii="Times" w:hAnsi="Times" w:cs="Times New Roman"/>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6D40B5">
        <w:rPr>
          <w:rFonts w:ascii="Times New Roman" w:hAnsi="Times New Roman" w:cs="Times New Roman"/>
          <w:color w:val="000000"/>
        </w:rPr>
        <w:t xml:space="preserve"> sample</w:t>
      </w:r>
      <w:r>
        <w:rPr>
          <w:rFonts w:ascii="Times New Roman" w:hAnsi="Times New Roman" w:cs="Times New Roman"/>
          <w:color w:val="000000"/>
        </w:rPr>
        <w:t>. The difference in weight loss begins at around 300</w:t>
      </w:r>
      <w:r>
        <w:rPr>
          <w:rFonts w:ascii="Times New Roman" w:hAnsi="Times New Roman" w:cs="Times New Roman"/>
          <w:color w:val="000000"/>
          <w:position w:val="10"/>
          <w:sz w:val="16"/>
          <w:szCs w:val="16"/>
        </w:rPr>
        <w:t>o</w:t>
      </w:r>
      <w:r w:rsidR="00725C61">
        <w:rPr>
          <w:rFonts w:ascii="Times New Roman" w:hAnsi="Times New Roman" w:cs="Times New Roman"/>
          <w:color w:val="000000"/>
        </w:rPr>
        <w:t>C therefore this difference</w:t>
      </w:r>
      <w:r>
        <w:rPr>
          <w:rFonts w:ascii="Times New Roman" w:hAnsi="Times New Roman" w:cs="Times New Roman"/>
          <w:color w:val="000000"/>
        </w:rPr>
        <w:t xml:space="preserve"> can be attributed to the </w:t>
      </w:r>
      <w:r w:rsidR="00F63C0D">
        <w:rPr>
          <w:rFonts w:ascii="Times New Roman" w:hAnsi="Times New Roman" w:cs="Times New Roman"/>
          <w:color w:val="000000"/>
        </w:rPr>
        <w:t>leaching out</w:t>
      </w:r>
      <w:r>
        <w:rPr>
          <w:rFonts w:ascii="Times New Roman" w:hAnsi="Times New Roman" w:cs="Times New Roman"/>
          <w:color w:val="000000"/>
        </w:rPr>
        <w:t xml:space="preserve"> of ions from the CAN </w:t>
      </w:r>
      <w:proofErr w:type="gramStart"/>
      <w:r>
        <w:rPr>
          <w:rFonts w:ascii="Times New Roman" w:hAnsi="Times New Roman" w:cs="Times New Roman"/>
          <w:color w:val="000000"/>
        </w:rPr>
        <w:t>phase</w:t>
      </w:r>
      <w:r w:rsidR="00725C61">
        <w:rPr>
          <w:rFonts w:ascii="Times New Roman" w:hAnsi="Times New Roman" w:cs="Times New Roman"/>
          <w:color w:val="000000"/>
        </w:rPr>
        <w:t>,</w:t>
      </w:r>
      <w:proofErr w:type="gramEnd"/>
      <w:r w:rsidR="00725C61">
        <w:rPr>
          <w:rFonts w:ascii="Times New Roman" w:hAnsi="Times New Roman" w:cs="Times New Roman"/>
          <w:color w:val="000000"/>
        </w:rPr>
        <w:t xml:space="preserve"> this difference increases at the other CAN events on the heating profile</w:t>
      </w:r>
      <w:r>
        <w:rPr>
          <w:rFonts w:ascii="Times New Roman" w:hAnsi="Times New Roman" w:cs="Times New Roman"/>
          <w:color w:val="000000"/>
        </w:rPr>
        <w:t xml:space="preserve">. </w:t>
      </w:r>
      <w:r w:rsidR="00725C61">
        <w:rPr>
          <w:rFonts w:ascii="Times New Roman" w:hAnsi="Times New Roman" w:cs="Times New Roman"/>
          <w:color w:val="000000"/>
        </w:rPr>
        <w:t>The</w:t>
      </w:r>
      <w:r>
        <w:rPr>
          <w:rFonts w:ascii="Times New Roman" w:hAnsi="Times New Roman" w:cs="Times New Roman"/>
          <w:color w:val="000000"/>
        </w:rPr>
        <w:t xml:space="preserve"> significant difference in weight</w:t>
      </w:r>
      <w:r w:rsidR="00725C61">
        <w:rPr>
          <w:rFonts w:ascii="Times New Roman" w:hAnsi="Times New Roman" w:cs="Times New Roman"/>
          <w:color w:val="000000"/>
        </w:rPr>
        <w:t xml:space="preserve"> loss starts at around 50</w:t>
      </w:r>
      <w:r>
        <w:rPr>
          <w:rFonts w:ascii="Times New Roman" w:hAnsi="Times New Roman" w:cs="Times New Roman"/>
          <w:color w:val="000000"/>
        </w:rPr>
        <w:t>0</w:t>
      </w:r>
      <w:r>
        <w:rPr>
          <w:rFonts w:ascii="Times New Roman" w:hAnsi="Times New Roman" w:cs="Times New Roman"/>
          <w:color w:val="000000"/>
          <w:vertAlign w:val="superscript"/>
        </w:rPr>
        <w:t>o</w:t>
      </w:r>
      <w:r>
        <w:rPr>
          <w:rFonts w:ascii="Times New Roman" w:hAnsi="Times New Roman" w:cs="Times New Roman"/>
          <w:color w:val="000000"/>
        </w:rPr>
        <w:t>C. This has</w:t>
      </w:r>
      <w:r w:rsidR="00725C61">
        <w:rPr>
          <w:rFonts w:ascii="Times New Roman" w:hAnsi="Times New Roman" w:cs="Times New Roman"/>
          <w:color w:val="000000"/>
        </w:rPr>
        <w:t xml:space="preserve"> also</w:t>
      </w:r>
      <w:r>
        <w:rPr>
          <w:rFonts w:ascii="Times New Roman" w:hAnsi="Times New Roman" w:cs="Times New Roman"/>
          <w:color w:val="000000"/>
        </w:rPr>
        <w:t xml:space="preserve"> been attributed to the decomposition of CsNO</w:t>
      </w:r>
      <w:r>
        <w:rPr>
          <w:rFonts w:ascii="Times New Roman" w:hAnsi="Times New Roman" w:cs="Times New Roman"/>
          <w:color w:val="000000"/>
          <w:vertAlign w:val="subscript"/>
        </w:rPr>
        <w:t>3</w:t>
      </w:r>
      <w:r>
        <w:rPr>
          <w:rFonts w:ascii="Times New Roman" w:hAnsi="Times New Roman" w:cs="Times New Roman"/>
          <w:color w:val="000000"/>
        </w:rPr>
        <w:t xml:space="preserve"> and </w:t>
      </w:r>
      <w:r>
        <w:rPr>
          <w:rFonts w:ascii="Times" w:hAnsi="Times" w:cs="Times New Roman"/>
        </w:rPr>
        <w:t xml:space="preserve">the decomposition of the nitrite in the </w:t>
      </w:r>
      <w:proofErr w:type="gramStart"/>
      <w:r>
        <w:rPr>
          <w:rFonts w:ascii="Times" w:hAnsi="Times" w:cs="Times"/>
          <w:color w:val="000000"/>
        </w:rPr>
        <w:t>Ca</w:t>
      </w:r>
      <w:r>
        <w:rPr>
          <w:rFonts w:ascii="Times" w:hAnsi="Times" w:cs="Times"/>
          <w:color w:val="000000"/>
          <w:vertAlign w:val="subscript"/>
        </w:rPr>
        <w:t>4</w:t>
      </w:r>
      <w:r>
        <w:rPr>
          <w:rFonts w:ascii="Times" w:hAnsi="Times" w:cs="Times"/>
          <w:color w:val="000000"/>
        </w:rPr>
        <w:t>Al</w:t>
      </w:r>
      <w:r>
        <w:rPr>
          <w:rFonts w:ascii="Times" w:hAnsi="Times" w:cs="Times"/>
          <w:color w:val="000000"/>
          <w:vertAlign w:val="subscript"/>
        </w:rPr>
        <w:t>2</w:t>
      </w:r>
      <w:r>
        <w:rPr>
          <w:rFonts w:ascii="Times" w:hAnsi="Times" w:cs="Times"/>
          <w:color w:val="000000"/>
        </w:rPr>
        <w:t>(</w:t>
      </w:r>
      <w:proofErr w:type="gramEnd"/>
      <w:r>
        <w:rPr>
          <w:rFonts w:ascii="Times" w:hAnsi="Times" w:cs="Times"/>
          <w:color w:val="000000"/>
        </w:rPr>
        <w:t>OH)</w:t>
      </w:r>
      <w:r>
        <w:rPr>
          <w:rFonts w:ascii="Times" w:hAnsi="Times" w:cs="Times"/>
          <w:color w:val="000000"/>
          <w:vertAlign w:val="subscript"/>
        </w:rPr>
        <w:t>6</w:t>
      </w:r>
      <w:r>
        <w:rPr>
          <w:rFonts w:ascii="Times" w:hAnsi="Times" w:cs="Times"/>
          <w:color w:val="000000"/>
        </w:rPr>
        <w:t>(NO</w:t>
      </w:r>
      <w:r>
        <w:rPr>
          <w:rFonts w:ascii="Times" w:hAnsi="Times" w:cs="Times"/>
          <w:color w:val="000000"/>
          <w:vertAlign w:val="subscript"/>
        </w:rPr>
        <w:t>2</w:t>
      </w:r>
      <w:r>
        <w:rPr>
          <w:rFonts w:ascii="Times" w:hAnsi="Times" w:cs="Times"/>
          <w:color w:val="000000"/>
        </w:rPr>
        <w:t>)</w:t>
      </w:r>
      <w:r>
        <w:rPr>
          <w:rFonts w:ascii="Times" w:hAnsi="Times" w:cs="Times"/>
          <w:color w:val="000000"/>
          <w:vertAlign w:val="subscript"/>
        </w:rPr>
        <w:t xml:space="preserve">2 </w:t>
      </w:r>
      <w:r>
        <w:rPr>
          <w:rFonts w:ascii="Times" w:hAnsi="Times" w:cs="Times"/>
          <w:color w:val="000000"/>
        </w:rPr>
        <w:t>phase producing Ca</w:t>
      </w:r>
      <w:r>
        <w:rPr>
          <w:rFonts w:ascii="Times" w:hAnsi="Times" w:cs="Times"/>
          <w:color w:val="000000"/>
          <w:vertAlign w:val="subscript"/>
        </w:rPr>
        <w:t>4</w:t>
      </w:r>
      <w:r>
        <w:rPr>
          <w:rFonts w:ascii="Times" w:hAnsi="Times" w:cs="Times"/>
          <w:color w:val="000000"/>
        </w:rPr>
        <w:t>Al</w:t>
      </w:r>
      <w:r>
        <w:rPr>
          <w:rFonts w:ascii="Times" w:hAnsi="Times" w:cs="Times"/>
          <w:color w:val="000000"/>
          <w:vertAlign w:val="subscript"/>
        </w:rPr>
        <w:t>2</w:t>
      </w:r>
      <w:r>
        <w:rPr>
          <w:rFonts w:ascii="Times" w:hAnsi="Times" w:cs="Times"/>
          <w:color w:val="000000"/>
        </w:rPr>
        <w:t>(OH)</w:t>
      </w:r>
      <w:r>
        <w:rPr>
          <w:rFonts w:ascii="Times" w:hAnsi="Times" w:cs="Times"/>
          <w:color w:val="000000"/>
          <w:vertAlign w:val="subscript"/>
        </w:rPr>
        <w:t>6</w:t>
      </w:r>
      <w:r>
        <w:rPr>
          <w:rFonts w:ascii="Times" w:hAnsi="Times" w:cs="Times"/>
          <w:color w:val="000000"/>
        </w:rPr>
        <w:t xml:space="preserve">. </w:t>
      </w:r>
      <w:r w:rsidR="00181C4B">
        <w:rPr>
          <w:rFonts w:ascii="Times" w:hAnsi="Times" w:cs="Times"/>
          <w:color w:val="000000"/>
        </w:rPr>
        <w:t xml:space="preserve">This difference in weight loss due to the </w:t>
      </w:r>
      <w:r>
        <w:rPr>
          <w:rFonts w:ascii="Times" w:hAnsi="Times" w:cs="Times"/>
          <w:color w:val="000000"/>
        </w:rPr>
        <w:t xml:space="preserve">leaching of </w:t>
      </w:r>
      <w:proofErr w:type="gramStart"/>
      <w:r>
        <w:rPr>
          <w:rFonts w:ascii="Times" w:hAnsi="Times" w:cs="Times"/>
          <w:color w:val="000000"/>
        </w:rPr>
        <w:t>CsNO</w:t>
      </w:r>
      <w:r>
        <w:rPr>
          <w:rFonts w:ascii="Times" w:hAnsi="Times" w:cs="Times"/>
          <w:color w:val="000000"/>
          <w:vertAlign w:val="subscript"/>
        </w:rPr>
        <w:t>3</w:t>
      </w:r>
      <w:r>
        <w:rPr>
          <w:rFonts w:ascii="Times" w:hAnsi="Times" w:cs="Times"/>
          <w:color w:val="000000"/>
        </w:rPr>
        <w:t>,</w:t>
      </w:r>
      <w:proofErr w:type="gramEnd"/>
      <w:r>
        <w:rPr>
          <w:rFonts w:ascii="Times" w:hAnsi="Times" w:cs="Times"/>
          <w:color w:val="000000"/>
        </w:rPr>
        <w:t xml:space="preserve"> corresponds strongly with the XRD analysis</w:t>
      </w:r>
      <w:r w:rsidR="000B5F00">
        <w:rPr>
          <w:rFonts w:ascii="Times" w:hAnsi="Times" w:cs="Times"/>
          <w:color w:val="000000"/>
        </w:rPr>
        <w:t>,</w:t>
      </w:r>
      <w:r w:rsidR="00181C4B">
        <w:rPr>
          <w:rFonts w:ascii="Times" w:hAnsi="Times" w:cs="Times"/>
          <w:color w:val="000000"/>
        </w:rPr>
        <w:t xml:space="preserve"> suggesting that</w:t>
      </w:r>
      <w:r>
        <w:rPr>
          <w:rFonts w:ascii="Times" w:hAnsi="Times" w:cs="Times"/>
          <w:color w:val="000000"/>
        </w:rPr>
        <w:t xml:space="preserve"> the CsNO</w:t>
      </w:r>
      <w:r>
        <w:rPr>
          <w:rFonts w:ascii="Times" w:hAnsi="Times" w:cs="Times"/>
          <w:color w:val="000000"/>
          <w:vertAlign w:val="subscript"/>
        </w:rPr>
        <w:t>3</w:t>
      </w:r>
      <w:r>
        <w:rPr>
          <w:rFonts w:ascii="Times" w:hAnsi="Times" w:cs="Times"/>
          <w:color w:val="000000"/>
        </w:rPr>
        <w:t xml:space="preserve"> is not well retained within the sample and leaches very easily</w:t>
      </w:r>
      <w:r w:rsidR="00181C4B">
        <w:rPr>
          <w:rFonts w:ascii="Times" w:hAnsi="Times" w:cs="Times"/>
          <w:color w:val="000000"/>
        </w:rPr>
        <w:t xml:space="preserve"> at depths</w:t>
      </w:r>
      <w:r>
        <w:rPr>
          <w:rFonts w:ascii="Times" w:hAnsi="Times" w:cs="Times"/>
          <w:color w:val="000000"/>
        </w:rPr>
        <w:t xml:space="preserve"> up to 15mm in the sample after only 7 days. </w:t>
      </w:r>
    </w:p>
    <w:p w14:paraId="4F73FEF2" w14:textId="02BB9B45" w:rsidR="00C9080F" w:rsidRDefault="00CB4B7A" w:rsidP="00B77E76">
      <w:pPr>
        <w:rPr>
          <w:rFonts w:ascii="Times" w:hAnsi="Times" w:cs="Times New Roman"/>
          <w:b/>
        </w:rPr>
      </w:pPr>
      <w:r w:rsidRPr="00751C5B">
        <w:rPr>
          <w:rFonts w:ascii="Times" w:hAnsi="Times" w:cs="Times New Roman"/>
          <w:b/>
          <w:noProof/>
        </w:rPr>
        <w:lastRenderedPageBreak/>
        <w:drawing>
          <wp:inline distT="0" distB="0" distL="0" distR="0" wp14:anchorId="01879005" wp14:editId="7A85358B">
            <wp:extent cx="5002630" cy="3083894"/>
            <wp:effectExtent l="0" t="0" r="7620" b="254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01598" cy="3083258"/>
                    </a:xfrm>
                    <a:prstGeom prst="rect">
                      <a:avLst/>
                    </a:prstGeom>
                    <a:noFill/>
                  </pic:spPr>
                </pic:pic>
              </a:graphicData>
            </a:graphic>
          </wp:inline>
        </w:drawing>
      </w:r>
    </w:p>
    <w:p w14:paraId="66A65D87" w14:textId="23E3D4C4" w:rsidR="005708A0" w:rsidRPr="00A0610E" w:rsidRDefault="005708A0" w:rsidP="00C9080F">
      <w:pPr>
        <w:spacing w:line="240" w:lineRule="exact"/>
        <w:jc w:val="center"/>
        <w:rPr>
          <w:rFonts w:ascii="Times" w:hAnsi="Times" w:cs="Times New Roman"/>
          <w:sz w:val="23"/>
          <w:szCs w:val="23"/>
        </w:rPr>
      </w:pPr>
      <w:r>
        <w:rPr>
          <w:rFonts w:ascii="Times" w:hAnsi="Times" w:cs="Times New Roman"/>
          <w:b/>
        </w:rPr>
        <w:t>Fig</w:t>
      </w:r>
      <w:r w:rsidR="005278B6">
        <w:rPr>
          <w:rFonts w:ascii="Times" w:hAnsi="Times" w:cs="Times New Roman"/>
          <w:b/>
        </w:rPr>
        <w:t>ure</w:t>
      </w:r>
      <w:r w:rsidR="00482262">
        <w:rPr>
          <w:rFonts w:ascii="Times" w:hAnsi="Times" w:cs="Times New Roman"/>
          <w:b/>
        </w:rPr>
        <w:t xml:space="preserve"> 4.64</w:t>
      </w:r>
      <w:r>
        <w:rPr>
          <w:rFonts w:ascii="Times" w:hAnsi="Times" w:cs="Times New Roman"/>
          <w:b/>
        </w:rPr>
        <w:t>:</w:t>
      </w:r>
      <w:r>
        <w:rPr>
          <w:rFonts w:ascii="Times" w:hAnsi="Times" w:cs="Times New Roman"/>
          <w:sz w:val="23"/>
          <w:szCs w:val="23"/>
        </w:rPr>
        <w:t xml:space="preserve"> TG/DTG analysis of </w:t>
      </w:r>
      <w:r w:rsidR="005D0957" w:rsidRPr="005D0957">
        <w:rPr>
          <w:rFonts w:ascii="Times" w:hAnsi="Times" w:cs="Times New Roman"/>
          <w:b/>
          <w:sz w:val="23"/>
          <w:szCs w:val="23"/>
        </w:rPr>
        <w:t>7D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sz w:val="23"/>
          <w:szCs w:val="23"/>
        </w:rPr>
        <w:t xml:space="preserve"> series at various distances from exposure surface </w:t>
      </w:r>
      <w:r w:rsidR="000D4AEA">
        <w:rPr>
          <w:rFonts w:ascii="Times" w:hAnsi="Times" w:cs="Times New Roman"/>
          <w:sz w:val="23"/>
          <w:szCs w:val="23"/>
        </w:rPr>
        <w:t>compared with</w:t>
      </w:r>
      <w:r>
        <w:rPr>
          <w:rFonts w:ascii="Times" w:hAnsi="Times" w:cs="Times New Roman"/>
          <w:sz w:val="23"/>
          <w:szCs w:val="23"/>
        </w:rPr>
        <w:t xml:space="preserve"> </w:t>
      </w:r>
      <w:r w:rsidRPr="005D0957">
        <w:rPr>
          <w:rFonts w:ascii="Times" w:hAnsi="Times" w:cs="Times New Roman"/>
          <w:b/>
          <w:sz w:val="23"/>
          <w:szCs w:val="23"/>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A2570F">
        <w:rPr>
          <w:rFonts w:ascii="Times" w:hAnsi="Times" w:cs="Times New Roman"/>
          <w:sz w:val="36"/>
          <w:szCs w:val="36"/>
        </w:rPr>
        <w:t xml:space="preserve"> </w:t>
      </w:r>
      <w:r w:rsidR="00C9080F">
        <w:rPr>
          <w:rFonts w:ascii="Times" w:hAnsi="Times" w:cs="Arial"/>
          <w:color w:val="000000"/>
        </w:rPr>
        <w:t>(left Y axis associated with TG curves, right Y axis associated with DTG curves)</w:t>
      </w:r>
    </w:p>
    <w:p w14:paraId="175EF9AF" w14:textId="5285B562" w:rsidR="005708A0" w:rsidRPr="006D6DA3" w:rsidRDefault="005708A0" w:rsidP="005708A0">
      <w:pPr>
        <w:spacing w:before="240" w:after="120" w:line="480" w:lineRule="exact"/>
        <w:jc w:val="both"/>
        <w:rPr>
          <w:rFonts w:ascii="Times" w:hAnsi="Times" w:cs="Times New Roman"/>
          <w:b/>
        </w:rPr>
      </w:pPr>
      <w:r>
        <w:rPr>
          <w:rFonts w:ascii="Times" w:hAnsi="Times" w:cs="Times New Roman"/>
        </w:rPr>
        <w:t xml:space="preserve">The TGA for each of the </w:t>
      </w:r>
      <w:r w:rsidRPr="005D0957">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rPr>
        <w:t xml:space="preserve"> series is compared to </w:t>
      </w:r>
      <w:r w:rsidRPr="00CE1CA5">
        <w:rPr>
          <w:rFonts w:ascii="Times" w:hAnsi="Times" w:cs="Times New Roman"/>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rPr>
        <w:t xml:space="preserve"> in fig</w:t>
      </w:r>
      <w:r w:rsidR="00482262">
        <w:rPr>
          <w:rFonts w:ascii="Times" w:hAnsi="Times" w:cs="Times New Roman"/>
        </w:rPr>
        <w:t>ure</w:t>
      </w:r>
      <w:r>
        <w:rPr>
          <w:rFonts w:ascii="Times" w:hAnsi="Times" w:cs="Times New Roman"/>
        </w:rPr>
        <w:t xml:space="preserve"> 4.6</w:t>
      </w:r>
      <w:r w:rsidR="00482262">
        <w:rPr>
          <w:rFonts w:ascii="Times" w:hAnsi="Times" w:cs="Times New Roman"/>
        </w:rPr>
        <w:t>5</w:t>
      </w:r>
      <w:r>
        <w:rPr>
          <w:rFonts w:ascii="Times" w:hAnsi="Times" w:cs="Times New Roman"/>
        </w:rPr>
        <w:t>. After 28 days the difference in weight loss becomes apparent much earlier in the heating profile</w:t>
      </w:r>
      <w:r w:rsidR="00A101E9">
        <w:rPr>
          <w:rFonts w:ascii="Times" w:hAnsi="Times" w:cs="Times New Roman"/>
        </w:rPr>
        <w:t xml:space="preserve"> at 100</w:t>
      </w:r>
      <w:r w:rsidR="00A101E9">
        <w:rPr>
          <w:rFonts w:ascii="Times" w:hAnsi="Times" w:cs="Times New Roman"/>
          <w:vertAlign w:val="superscript"/>
        </w:rPr>
        <w:t>o</w:t>
      </w:r>
      <w:r w:rsidR="00A101E9">
        <w:rPr>
          <w:rFonts w:ascii="Times" w:hAnsi="Times" w:cs="Times New Roman"/>
        </w:rPr>
        <w:t>C</w:t>
      </w:r>
      <w:r>
        <w:rPr>
          <w:rFonts w:ascii="Times" w:hAnsi="Times" w:cs="Times New Roman"/>
        </w:rPr>
        <w:t>. The</w:t>
      </w:r>
      <w:r w:rsidR="00607D83">
        <w:rPr>
          <w:rFonts w:ascii="Times" w:hAnsi="Times" w:cs="Times New Roman"/>
        </w:rPr>
        <w:t>re is a negligible difference between</w:t>
      </w:r>
      <w:r>
        <w:rPr>
          <w:rFonts w:ascii="Times" w:hAnsi="Times" w:cs="Times New Roman"/>
        </w:rPr>
        <w:t xml:space="preserve"> total weight loss between </w:t>
      </w:r>
      <w:r w:rsidR="00CE1CA5" w:rsidRPr="00CE1CA5">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CE1CA5">
        <w:rPr>
          <w:rFonts w:ascii="Times" w:hAnsi="Times" w:cs="Times New Roman"/>
          <w:b/>
        </w:rPr>
        <w:t>1</w:t>
      </w:r>
      <w:r>
        <w:rPr>
          <w:rFonts w:ascii="Times" w:hAnsi="Times" w:cs="Times New Roman"/>
        </w:rPr>
        <w:t xml:space="preserve"> and </w:t>
      </w:r>
      <w:r w:rsidR="00A101E9" w:rsidRPr="00CE1CA5">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Pr="00CE1CA5">
        <w:rPr>
          <w:rFonts w:ascii="Times" w:hAnsi="Times" w:cs="Times New Roman"/>
          <w:b/>
        </w:rPr>
        <w:t>2</w:t>
      </w:r>
      <w:r>
        <w:rPr>
          <w:rFonts w:ascii="Times" w:hAnsi="Times" w:cs="Times New Roman"/>
        </w:rPr>
        <w:t>; this suggests that ions from all the identified phases have started to leach from deeper within the sample.</w:t>
      </w:r>
    </w:p>
    <w:p w14:paraId="07FE8810" w14:textId="2FD5147B" w:rsidR="00C9080F" w:rsidRDefault="00B77E76" w:rsidP="00C9080F">
      <w:pPr>
        <w:jc w:val="center"/>
        <w:rPr>
          <w:rFonts w:ascii="Times" w:hAnsi="Times" w:cs="Times New Roman"/>
          <w:b/>
        </w:rPr>
      </w:pPr>
      <w:r w:rsidRPr="00B77E76">
        <w:rPr>
          <w:rFonts w:ascii="Times" w:hAnsi="Times" w:cs="Times New Roman"/>
          <w:b/>
          <w:noProof/>
        </w:rPr>
        <w:drawing>
          <wp:inline distT="0" distB="0" distL="0" distR="0" wp14:anchorId="22DE15E3" wp14:editId="7496C9C0">
            <wp:extent cx="4942703" cy="2625206"/>
            <wp:effectExtent l="0" t="0" r="0" b="381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49714" cy="2628930"/>
                    </a:xfrm>
                    <a:prstGeom prst="rect">
                      <a:avLst/>
                    </a:prstGeom>
                    <a:noFill/>
                    <a:ln>
                      <a:noFill/>
                    </a:ln>
                  </pic:spPr>
                </pic:pic>
              </a:graphicData>
            </a:graphic>
          </wp:inline>
        </w:drawing>
      </w:r>
    </w:p>
    <w:p w14:paraId="319D68CB" w14:textId="4AB6815D" w:rsidR="005708A0" w:rsidRDefault="005708A0" w:rsidP="00C9080F">
      <w:pPr>
        <w:spacing w:line="280" w:lineRule="exact"/>
        <w:jc w:val="center"/>
        <w:rPr>
          <w:rFonts w:ascii="Times" w:hAnsi="Times" w:cs="Times New Roman"/>
        </w:rPr>
      </w:pPr>
      <w:r w:rsidRPr="006D6DA3">
        <w:rPr>
          <w:rFonts w:ascii="Times" w:hAnsi="Times" w:cs="Times New Roman"/>
          <w:b/>
        </w:rPr>
        <w:t xml:space="preserve"> </w:t>
      </w:r>
      <w:r>
        <w:rPr>
          <w:rFonts w:ascii="Times" w:hAnsi="Times" w:cs="Times New Roman"/>
          <w:b/>
        </w:rPr>
        <w:t>Fig</w:t>
      </w:r>
      <w:r w:rsidR="005278B6">
        <w:rPr>
          <w:rFonts w:ascii="Times" w:hAnsi="Times" w:cs="Times New Roman"/>
          <w:b/>
        </w:rPr>
        <w:t>ure</w:t>
      </w:r>
      <w:r w:rsidR="00482262">
        <w:rPr>
          <w:rFonts w:ascii="Times" w:hAnsi="Times" w:cs="Times New Roman"/>
          <w:b/>
        </w:rPr>
        <w:t xml:space="preserve"> 4.65</w:t>
      </w:r>
      <w:r>
        <w:rPr>
          <w:rFonts w:ascii="Times" w:hAnsi="Times" w:cs="Times New Roman"/>
          <w:b/>
        </w:rPr>
        <w:t>:</w:t>
      </w:r>
      <w:r>
        <w:rPr>
          <w:rFonts w:ascii="Times" w:hAnsi="Times" w:cs="Times New Roman"/>
          <w:sz w:val="23"/>
          <w:szCs w:val="23"/>
        </w:rPr>
        <w:t xml:space="preserve"> TG/DTG analysis of </w:t>
      </w:r>
      <w:r w:rsidR="00CE1CA5" w:rsidRPr="00CE1CA5">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sz w:val="23"/>
          <w:szCs w:val="23"/>
        </w:rPr>
        <w:t xml:space="preserve"> series at various distances from exposure surface </w:t>
      </w:r>
      <w:r w:rsidR="000D4AEA">
        <w:rPr>
          <w:rFonts w:ascii="Times" w:hAnsi="Times" w:cs="Times New Roman"/>
          <w:sz w:val="23"/>
          <w:szCs w:val="23"/>
        </w:rPr>
        <w:t>compared with</w:t>
      </w:r>
      <w:r>
        <w:rPr>
          <w:rFonts w:ascii="Times" w:hAnsi="Times" w:cs="Times New Roman"/>
          <w:sz w:val="23"/>
          <w:szCs w:val="23"/>
        </w:rPr>
        <w:t xml:space="preserve"> </w:t>
      </w:r>
      <w:r w:rsidR="00CE1CA5">
        <w:rPr>
          <w:rFonts w:ascii="Times" w:hAnsi="Times" w:cs="Times New Roman"/>
          <w:b/>
        </w:rPr>
        <w:t>0</w:t>
      </w:r>
      <w:r w:rsidR="00CE1CA5" w:rsidRPr="00CE1CA5">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C9080F">
        <w:rPr>
          <w:rFonts w:ascii="Times" w:hAnsi="Times" w:cs="Times New Roman"/>
          <w:sz w:val="36"/>
          <w:szCs w:val="36"/>
        </w:rPr>
        <w:t xml:space="preserve"> </w:t>
      </w:r>
      <w:r w:rsidR="00C9080F">
        <w:rPr>
          <w:rFonts w:ascii="Times" w:hAnsi="Times" w:cs="Arial"/>
          <w:color w:val="000000"/>
        </w:rPr>
        <w:t>(left Y axis associated with TG curves, right Y axis associated with DTG curves)</w:t>
      </w:r>
    </w:p>
    <w:p w14:paraId="7ECA12C0" w14:textId="0F3D3CE4" w:rsidR="005708A0" w:rsidRDefault="005708A0" w:rsidP="005708A0">
      <w:pPr>
        <w:spacing w:before="240" w:after="120" w:line="480" w:lineRule="exact"/>
        <w:jc w:val="both"/>
        <w:rPr>
          <w:rFonts w:ascii="Times" w:hAnsi="Times" w:cs="Times New Roman"/>
        </w:rPr>
      </w:pPr>
      <w:r>
        <w:rPr>
          <w:rFonts w:ascii="Times" w:hAnsi="Times" w:cs="Times New Roman"/>
        </w:rPr>
        <w:lastRenderedPageBreak/>
        <w:t xml:space="preserve"> In comparison to fig</w:t>
      </w:r>
      <w:r w:rsidR="00BE7701">
        <w:rPr>
          <w:rFonts w:ascii="Times" w:hAnsi="Times" w:cs="Times New Roman"/>
        </w:rPr>
        <w:t>ure</w:t>
      </w:r>
      <w:r w:rsidR="00482262">
        <w:rPr>
          <w:rFonts w:ascii="Times" w:hAnsi="Times" w:cs="Times New Roman"/>
        </w:rPr>
        <w:t xml:space="preserve"> 4.64</w:t>
      </w:r>
      <w:r>
        <w:rPr>
          <w:rFonts w:ascii="Times" w:hAnsi="Times" w:cs="Times New Roman"/>
        </w:rPr>
        <w:t xml:space="preserve">, it can be seen here that there is less C-S-H and CAN, suggesting that ion </w:t>
      </w:r>
      <w:r w:rsidR="000D4AEA">
        <w:rPr>
          <w:rFonts w:ascii="Times" w:hAnsi="Times" w:cs="Times New Roman"/>
        </w:rPr>
        <w:t>leaching</w:t>
      </w:r>
      <w:r>
        <w:rPr>
          <w:rFonts w:ascii="Times" w:hAnsi="Times" w:cs="Times New Roman"/>
        </w:rPr>
        <w:t xml:space="preserve"> f</w:t>
      </w:r>
      <w:r w:rsidR="000D4AEA">
        <w:rPr>
          <w:rFonts w:ascii="Times" w:hAnsi="Times" w:cs="Times New Roman"/>
        </w:rPr>
        <w:t>rom these phases is occurring. Again t</w:t>
      </w:r>
      <w:r>
        <w:rPr>
          <w:rFonts w:ascii="Times" w:hAnsi="Times" w:cs="Times New Roman"/>
        </w:rPr>
        <w:t>he weight loss attributed to CsNO</w:t>
      </w:r>
      <w:r>
        <w:rPr>
          <w:rFonts w:ascii="Times" w:hAnsi="Times" w:cs="Times New Roman"/>
        </w:rPr>
        <w:softHyphen/>
      </w:r>
      <w:r>
        <w:rPr>
          <w:rFonts w:ascii="Times" w:hAnsi="Times" w:cs="Times New Roman"/>
          <w:vertAlign w:val="subscript"/>
        </w:rPr>
        <w:t>3</w:t>
      </w:r>
      <w:r w:rsidR="000D4AEA">
        <w:rPr>
          <w:rFonts w:ascii="Times" w:hAnsi="Times" w:cs="Times New Roman"/>
        </w:rPr>
        <w:t xml:space="preserve"> starting at around 50</w:t>
      </w:r>
      <w:r>
        <w:rPr>
          <w:rFonts w:ascii="Times" w:hAnsi="Times" w:cs="Times New Roman"/>
        </w:rPr>
        <w:t>0</w:t>
      </w:r>
      <w:r>
        <w:rPr>
          <w:rFonts w:ascii="Times" w:hAnsi="Times" w:cs="Times New Roman"/>
          <w:vertAlign w:val="superscript"/>
        </w:rPr>
        <w:t>o</w:t>
      </w:r>
      <w:r>
        <w:rPr>
          <w:rFonts w:ascii="Times" w:hAnsi="Times" w:cs="Times New Roman"/>
        </w:rPr>
        <w:t xml:space="preserve">C seems to be much higher for </w:t>
      </w:r>
      <w:r w:rsidR="00CE1CA5" w:rsidRPr="00CE1CA5">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CE1CA5">
        <w:rPr>
          <w:rFonts w:ascii="Times" w:hAnsi="Times" w:cs="Times New Roman"/>
          <w:b/>
        </w:rPr>
        <w:t xml:space="preserve">3 </w:t>
      </w:r>
      <w:r>
        <w:rPr>
          <w:rFonts w:ascii="Times" w:hAnsi="Times" w:cs="Times New Roman"/>
        </w:rPr>
        <w:t xml:space="preserve">and </w:t>
      </w:r>
      <w:r w:rsidR="00CE1CA5">
        <w:rPr>
          <w:rFonts w:ascii="Times" w:hAnsi="Times" w:cs="Times New Roman"/>
          <w:b/>
        </w:rPr>
        <w:t>0</w:t>
      </w:r>
      <w:r w:rsidR="00CE1CA5" w:rsidRPr="00CE1CA5">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rPr>
        <w:t xml:space="preserve"> suggesting that after 28 days most of the CsNO</w:t>
      </w:r>
      <w:r>
        <w:rPr>
          <w:rFonts w:ascii="Times" w:hAnsi="Times" w:cs="Times New Roman"/>
          <w:vertAlign w:val="subscript"/>
        </w:rPr>
        <w:t>3</w:t>
      </w:r>
      <w:r>
        <w:rPr>
          <w:rFonts w:ascii="Times" w:hAnsi="Times" w:cs="Times New Roman"/>
        </w:rPr>
        <w:t xml:space="preserve"> has leached from 10mm of the sample, as the </w:t>
      </w:r>
      <w:r w:rsidR="000D4AEA">
        <w:rPr>
          <w:rFonts w:ascii="Times" w:hAnsi="Times" w:cs="Times New Roman"/>
        </w:rPr>
        <w:t xml:space="preserve">heating </w:t>
      </w:r>
      <w:r>
        <w:rPr>
          <w:rFonts w:ascii="Times" w:hAnsi="Times" w:cs="Times New Roman"/>
        </w:rPr>
        <w:t>p</w:t>
      </w:r>
      <w:r w:rsidR="000D4AEA">
        <w:rPr>
          <w:rFonts w:ascii="Times" w:hAnsi="Times" w:cs="Times New Roman"/>
        </w:rPr>
        <w:t xml:space="preserve">rofile seems very similar for both </w:t>
      </w:r>
      <w:r w:rsidR="00CE1CA5" w:rsidRPr="00CE1CA5">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CE1CA5">
        <w:rPr>
          <w:rFonts w:ascii="Times" w:hAnsi="Times" w:cs="Times New Roman"/>
          <w:b/>
        </w:rPr>
        <w:t>1</w:t>
      </w:r>
      <w:r w:rsidR="000D4AEA">
        <w:rPr>
          <w:rFonts w:ascii="Times" w:hAnsi="Times" w:cs="Times New Roman"/>
        </w:rPr>
        <w:t xml:space="preserve"> and </w:t>
      </w:r>
      <w:r w:rsidR="00CE1CA5" w:rsidRPr="00CE1CA5">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CE1CA5" w:rsidRPr="00CE1CA5">
        <w:rPr>
          <w:rFonts w:ascii="Times" w:hAnsi="Times" w:cs="Times New Roman"/>
          <w:b/>
        </w:rPr>
        <w:t>2</w:t>
      </w:r>
      <w:r>
        <w:rPr>
          <w:rFonts w:ascii="Times" w:hAnsi="Times" w:cs="Times New Roman"/>
        </w:rPr>
        <w:t xml:space="preserve">. The weight loss for both </w:t>
      </w:r>
      <w:r w:rsidR="000F6BBD">
        <w:rPr>
          <w:rFonts w:ascii="Times" w:hAnsi="Times" w:cs="Times New Roman"/>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rPr>
        <w:t xml:space="preserve"> and </w:t>
      </w:r>
      <w:r w:rsidR="00482262">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482262">
        <w:rPr>
          <w:rFonts w:ascii="Times" w:hAnsi="Times" w:cs="Times New Roman"/>
          <w:b/>
        </w:rPr>
        <w:t xml:space="preserve">3 </w:t>
      </w:r>
      <w:r>
        <w:rPr>
          <w:rFonts w:ascii="Times" w:hAnsi="Times" w:cs="Times New Roman"/>
        </w:rPr>
        <w:t xml:space="preserve">for this event is approximately 3wt%. </w:t>
      </w:r>
    </w:p>
    <w:p w14:paraId="293E5C3E" w14:textId="3CA44EA1" w:rsidR="005708A0" w:rsidRDefault="005708A0" w:rsidP="005708A0">
      <w:pPr>
        <w:spacing w:before="240" w:after="120" w:line="480" w:lineRule="exact"/>
        <w:jc w:val="both"/>
        <w:rPr>
          <w:rFonts w:ascii="Times" w:hAnsi="Times" w:cs="Times New Roman"/>
        </w:rPr>
      </w:pPr>
      <w:r>
        <w:rPr>
          <w:rFonts w:ascii="Times" w:hAnsi="Times" w:cs="Times New Roman"/>
        </w:rPr>
        <w:t xml:space="preserve">The </w:t>
      </w:r>
      <w:proofErr w:type="gramStart"/>
      <w:r>
        <w:rPr>
          <w:rFonts w:ascii="Times" w:hAnsi="Times" w:cs="Times New Roman"/>
        </w:rPr>
        <w:t>6 month</w:t>
      </w:r>
      <w:proofErr w:type="gramEnd"/>
      <w:r>
        <w:rPr>
          <w:rFonts w:ascii="Times" w:hAnsi="Times" w:cs="Times New Roman"/>
        </w:rPr>
        <w:t xml:space="preserve"> sample analysis in fig</w:t>
      </w:r>
      <w:r w:rsidR="000D4AEA">
        <w:rPr>
          <w:rFonts w:ascii="Times" w:hAnsi="Times" w:cs="Times New Roman"/>
        </w:rPr>
        <w:t>ure</w:t>
      </w:r>
      <w:r w:rsidR="00482262">
        <w:rPr>
          <w:rFonts w:ascii="Times" w:hAnsi="Times" w:cs="Times New Roman"/>
        </w:rPr>
        <w:t xml:space="preserve"> 4.66</w:t>
      </w:r>
      <w:r>
        <w:rPr>
          <w:rFonts w:ascii="Times" w:hAnsi="Times" w:cs="Times New Roman"/>
        </w:rPr>
        <w:t xml:space="preserve"> shows little </w:t>
      </w:r>
      <w:r w:rsidR="000D4AEA">
        <w:rPr>
          <w:rFonts w:ascii="Times" w:hAnsi="Times" w:cs="Times New Roman"/>
        </w:rPr>
        <w:t>difference in the heating profile between the</w:t>
      </w:r>
      <w:r>
        <w:rPr>
          <w:rFonts w:ascii="Times" w:hAnsi="Times" w:cs="Times New Roman"/>
        </w:rPr>
        <w:t xml:space="preserve"> top two discs, however the </w:t>
      </w:r>
      <w:r w:rsidR="00CE1CA5">
        <w:rPr>
          <w:rFonts w:ascii="Times" w:hAnsi="Times" w:cs="Times New Roman"/>
          <w:b/>
        </w:rPr>
        <w:t>6M</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CE1CA5">
        <w:rPr>
          <w:rFonts w:ascii="Times" w:hAnsi="Times" w:cs="Times New Roman"/>
          <w:b/>
        </w:rPr>
        <w:t>3</w:t>
      </w:r>
      <w:r>
        <w:rPr>
          <w:rFonts w:ascii="Times" w:hAnsi="Times" w:cs="Times New Roman"/>
        </w:rPr>
        <w:t xml:space="preserve"> total we</w:t>
      </w:r>
      <w:r w:rsidR="00CE1CA5">
        <w:rPr>
          <w:rFonts w:ascii="Times" w:hAnsi="Times" w:cs="Times New Roman"/>
        </w:rPr>
        <w:t xml:space="preserve">ight loss is more than that in </w:t>
      </w:r>
      <w:r w:rsidR="00CE1CA5" w:rsidRPr="00CE1CA5">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CE1CA5">
        <w:rPr>
          <w:rFonts w:ascii="Times" w:hAnsi="Times" w:cs="Times New Roman"/>
          <w:b/>
        </w:rPr>
        <w:t>3</w:t>
      </w:r>
      <w:r>
        <w:rPr>
          <w:rFonts w:ascii="Times" w:hAnsi="Times" w:cs="Times New Roman"/>
        </w:rPr>
        <w:t xml:space="preserve">. </w:t>
      </w:r>
      <w:r w:rsidR="00CB4B7A">
        <w:rPr>
          <w:rFonts w:ascii="Times" w:hAnsi="Times" w:cs="Times New Roman"/>
        </w:rPr>
        <w:t xml:space="preserve">Could be due to C-S-H gradually losing weight, more C-S-H produced hydration </w:t>
      </w:r>
      <w:r w:rsidR="00971672">
        <w:rPr>
          <w:rFonts w:ascii="Times" w:hAnsi="Times" w:cs="Times New Roman"/>
        </w:rPr>
        <w:t>reactivated</w:t>
      </w:r>
      <w:r w:rsidR="00CB4B7A">
        <w:rPr>
          <w:rFonts w:ascii="Times" w:hAnsi="Times" w:cs="Times New Roman"/>
        </w:rPr>
        <w:t xml:space="preserve"> in sample, or t</w:t>
      </w:r>
      <w:r>
        <w:rPr>
          <w:rFonts w:ascii="Times" w:hAnsi="Times" w:cs="Times New Roman"/>
        </w:rPr>
        <w:t>his seems to be due to an event at around 380</w:t>
      </w:r>
      <w:r>
        <w:rPr>
          <w:rFonts w:ascii="Times" w:hAnsi="Times" w:cs="Times New Roman"/>
          <w:vertAlign w:val="superscript"/>
        </w:rPr>
        <w:t>o</w:t>
      </w:r>
      <w:r>
        <w:rPr>
          <w:rFonts w:ascii="Times" w:hAnsi="Times" w:cs="Times New Roman"/>
        </w:rPr>
        <w:t xml:space="preserve">C, </w:t>
      </w:r>
      <w:r w:rsidR="00482262">
        <w:rPr>
          <w:rFonts w:ascii="Times New Roman" w:hAnsi="Times New Roman" w:cs="Times New Roman"/>
        </w:rPr>
        <w:t>due to the dehydration of the hydrogarnet phase (HG)</w:t>
      </w:r>
      <w:r w:rsidR="0074638D">
        <w:rPr>
          <w:rFonts w:ascii="Times" w:hAnsi="Times" w:cs="Times New Roman"/>
        </w:rPr>
        <w:t>,</w:t>
      </w:r>
      <w:r>
        <w:rPr>
          <w:rFonts w:ascii="Times" w:hAnsi="Times" w:cs="Times New Roman"/>
        </w:rPr>
        <w:t xml:space="preserve"> </w:t>
      </w:r>
      <w:r w:rsidR="009535D4">
        <w:rPr>
          <w:rFonts w:ascii="Times" w:hAnsi="Times" w:cs="Times New Roman"/>
        </w:rPr>
        <w:t>which</w:t>
      </w:r>
      <w:r w:rsidR="0074638D">
        <w:rPr>
          <w:rFonts w:ascii="Times" w:hAnsi="Times" w:cs="Times New Roman"/>
        </w:rPr>
        <w:t xml:space="preserve"> </w:t>
      </w:r>
      <w:r w:rsidR="009535D4">
        <w:rPr>
          <w:rFonts w:ascii="Times" w:hAnsi="Times" w:cs="Times New Roman"/>
        </w:rPr>
        <w:t>seems to have</w:t>
      </w:r>
      <w:r>
        <w:rPr>
          <w:rFonts w:ascii="Times" w:hAnsi="Times" w:cs="Times New Roman"/>
        </w:rPr>
        <w:t xml:space="preserve"> slightly shifted. </w:t>
      </w:r>
      <w:r w:rsidR="00912F4B">
        <w:rPr>
          <w:rFonts w:ascii="Times" w:hAnsi="Times" w:cs="Times New Roman"/>
          <w:b/>
        </w:rPr>
        <w:t>6M</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912F4B">
        <w:rPr>
          <w:rFonts w:ascii="Times" w:hAnsi="Times" w:cs="Times New Roman"/>
          <w:b/>
        </w:rPr>
        <w:t>3</w:t>
      </w:r>
      <w:r w:rsidR="00912F4B">
        <w:rPr>
          <w:rFonts w:ascii="Times" w:hAnsi="Times" w:cs="Times New Roman"/>
        </w:rPr>
        <w:t xml:space="preserve">  shows</w:t>
      </w:r>
      <w:proofErr w:type="gramEnd"/>
      <w:r w:rsidR="00912F4B">
        <w:rPr>
          <w:rFonts w:ascii="Times" w:hAnsi="Times" w:cs="Times New Roman"/>
        </w:rPr>
        <w:t xml:space="preserve"> a small hump at around 700</w:t>
      </w:r>
      <w:r w:rsidR="00912F4B">
        <w:rPr>
          <w:rFonts w:ascii="Times" w:hAnsi="Times" w:cs="Times New Roman"/>
          <w:vertAlign w:val="superscript"/>
        </w:rPr>
        <w:t>o</w:t>
      </w:r>
      <w:r w:rsidR="00912F4B">
        <w:rPr>
          <w:rFonts w:ascii="Times" w:hAnsi="Times" w:cs="Times New Roman"/>
        </w:rPr>
        <w:t xml:space="preserve">C indicating signs of carbonation of the sample.  </w:t>
      </w:r>
    </w:p>
    <w:p w14:paraId="5865802D" w14:textId="77777777" w:rsidR="005708A0" w:rsidRDefault="005708A0" w:rsidP="005708A0">
      <w:pPr>
        <w:spacing w:before="240" w:after="120"/>
        <w:jc w:val="both"/>
        <w:rPr>
          <w:rFonts w:ascii="Times" w:hAnsi="Times" w:cs="Times New Roman"/>
          <w:b/>
        </w:rPr>
      </w:pPr>
    </w:p>
    <w:p w14:paraId="57ED1812" w14:textId="53D1C27D" w:rsidR="00C9080F" w:rsidRDefault="00B77E76" w:rsidP="00C9080F">
      <w:pPr>
        <w:jc w:val="center"/>
        <w:rPr>
          <w:rFonts w:ascii="Times" w:hAnsi="Times" w:cs="Times New Roman"/>
          <w:b/>
        </w:rPr>
      </w:pPr>
      <w:r w:rsidRPr="00B77E76">
        <w:rPr>
          <w:rFonts w:ascii="Times" w:hAnsi="Times" w:cs="Times New Roman"/>
          <w:b/>
          <w:noProof/>
        </w:rPr>
        <w:drawing>
          <wp:inline distT="0" distB="0" distL="0" distR="0" wp14:anchorId="2B3B07A6" wp14:editId="3C352D62">
            <wp:extent cx="5831869" cy="2897336"/>
            <wp:effectExtent l="0" t="0" r="10160" b="0"/>
            <wp:docPr id="2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33256" cy="2898025"/>
                    </a:xfrm>
                    <a:prstGeom prst="rect">
                      <a:avLst/>
                    </a:prstGeom>
                    <a:noFill/>
                    <a:ln>
                      <a:noFill/>
                    </a:ln>
                  </pic:spPr>
                </pic:pic>
              </a:graphicData>
            </a:graphic>
          </wp:inline>
        </w:drawing>
      </w:r>
    </w:p>
    <w:p w14:paraId="48F32D64" w14:textId="3DC159E2" w:rsidR="005708A0" w:rsidRDefault="005708A0" w:rsidP="00C9080F">
      <w:pPr>
        <w:spacing w:line="280" w:lineRule="exact"/>
        <w:jc w:val="center"/>
        <w:rPr>
          <w:rFonts w:ascii="Times" w:hAnsi="Times" w:cs="Times New Roman"/>
          <w:b/>
        </w:rPr>
      </w:pPr>
      <w:r>
        <w:rPr>
          <w:rFonts w:ascii="Times" w:hAnsi="Times" w:cs="Times New Roman"/>
          <w:b/>
        </w:rPr>
        <w:t>Fig</w:t>
      </w:r>
      <w:r w:rsidR="005278B6">
        <w:rPr>
          <w:rFonts w:ascii="Times" w:hAnsi="Times" w:cs="Times New Roman"/>
          <w:b/>
        </w:rPr>
        <w:t>ure</w:t>
      </w:r>
      <w:r w:rsidR="00482262">
        <w:rPr>
          <w:rFonts w:ascii="Times" w:hAnsi="Times" w:cs="Times New Roman"/>
          <w:b/>
        </w:rPr>
        <w:t xml:space="preserve"> 4.66</w:t>
      </w:r>
      <w:r>
        <w:rPr>
          <w:rFonts w:ascii="Times" w:hAnsi="Times" w:cs="Times New Roman"/>
          <w:b/>
        </w:rPr>
        <w:t>:</w:t>
      </w:r>
      <w:r>
        <w:rPr>
          <w:rFonts w:ascii="Times" w:hAnsi="Times" w:cs="Times New Roman"/>
          <w:sz w:val="23"/>
          <w:szCs w:val="23"/>
        </w:rPr>
        <w:t xml:space="preserve"> TG/DTG analysis of</w:t>
      </w:r>
      <w:r w:rsidR="00CE1CA5">
        <w:rPr>
          <w:rFonts w:ascii="Times" w:hAnsi="Times" w:cs="Times New Roman"/>
          <w:sz w:val="23"/>
          <w:szCs w:val="23"/>
        </w:rPr>
        <w:t xml:space="preserve"> </w:t>
      </w:r>
      <w:proofErr w:type="gramStart"/>
      <w:r w:rsidR="00CE1CA5">
        <w:rPr>
          <w:rFonts w:ascii="Times" w:hAnsi="Times" w:cs="Times New Roman"/>
          <w:b/>
          <w:sz w:val="23"/>
          <w:szCs w:val="23"/>
        </w:rPr>
        <w:t>6M</w:t>
      </w:r>
      <m:oMath>
        <m:acc>
          <m:accPr>
            <m:chr m:val="̅"/>
            <m:ctrlPr>
              <w:rPr>
                <w:rFonts w:ascii="Cambria Math" w:hAnsi="Cambria Math" w:cs="Arial"/>
                <w:i/>
                <w:sz w:val="36"/>
                <w:szCs w:val="36"/>
              </w:rPr>
            </m:ctrlPr>
          </m:accPr>
          <m:e>
            <m:r>
              <m:rPr>
                <m:sty m:val="p"/>
              </m:rPr>
              <w:rPr>
                <w:rFonts w:ascii="Cambria Math" w:hAnsi="Cambria Math" w:cs="Arial"/>
                <w:sz w:val="36"/>
                <w:szCs w:val="36"/>
              </w:rPr>
              <m:t>cs</m:t>
            </m:r>
            <w:proofErr w:type="gramEnd"/>
          </m:e>
        </m:acc>
      </m:oMath>
      <w:r w:rsidR="00CE1CA5">
        <w:rPr>
          <w:rFonts w:ascii="Times" w:hAnsi="Times" w:cs="Times New Roman"/>
          <w:b/>
        </w:rPr>
        <w:t xml:space="preserve"> </w:t>
      </w:r>
      <w:r>
        <w:rPr>
          <w:rFonts w:ascii="Times" w:hAnsi="Times" w:cs="Times New Roman"/>
          <w:sz w:val="23"/>
          <w:szCs w:val="23"/>
        </w:rPr>
        <w:t xml:space="preserve">series at various distances from exposure surface </w:t>
      </w:r>
      <w:r w:rsidR="000D4AEA">
        <w:rPr>
          <w:rFonts w:ascii="Times" w:hAnsi="Times" w:cs="Times New Roman"/>
          <w:sz w:val="23"/>
          <w:szCs w:val="23"/>
        </w:rPr>
        <w:t>compared with</w:t>
      </w:r>
      <w:r>
        <w:rPr>
          <w:rFonts w:ascii="Times" w:hAnsi="Times" w:cs="Times New Roman"/>
          <w:sz w:val="23"/>
          <w:szCs w:val="23"/>
        </w:rPr>
        <w:t xml:space="preserve"> </w:t>
      </w:r>
      <w:r w:rsidR="000F6BBD">
        <w:rPr>
          <w:rFonts w:ascii="Times" w:hAnsi="Times" w:cs="Times New Roman"/>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C9080F">
        <w:rPr>
          <w:rFonts w:ascii="Times" w:hAnsi="Times" w:cs="Times New Roman"/>
          <w:sz w:val="36"/>
          <w:szCs w:val="36"/>
        </w:rPr>
        <w:t xml:space="preserve"> </w:t>
      </w:r>
      <w:r w:rsidR="00C9080F">
        <w:rPr>
          <w:rFonts w:ascii="Times" w:hAnsi="Times" w:cs="Arial"/>
          <w:color w:val="000000"/>
        </w:rPr>
        <w:t>(left Y axis associated with TG curves, right Y axis associated with DTG curves)</w:t>
      </w:r>
    </w:p>
    <w:p w14:paraId="34213683" w14:textId="4696ED0B" w:rsidR="005708A0" w:rsidRPr="00CA1F67" w:rsidRDefault="00FE3416" w:rsidP="005708A0">
      <w:pPr>
        <w:spacing w:before="240" w:after="120" w:line="480" w:lineRule="atLeast"/>
        <w:jc w:val="both"/>
        <w:rPr>
          <w:rFonts w:ascii="Times" w:hAnsi="Times" w:cs="Arial"/>
          <w:color w:val="000000"/>
        </w:rPr>
      </w:pPr>
      <w:r>
        <w:rPr>
          <w:rFonts w:ascii="Times" w:hAnsi="Times" w:cs="Arial"/>
          <w:color w:val="000000"/>
        </w:rPr>
        <w:lastRenderedPageBreak/>
        <w:t>The</w:t>
      </w:r>
      <w:r w:rsidR="005708A0">
        <w:rPr>
          <w:rFonts w:ascii="Times" w:hAnsi="Times" w:cs="Arial"/>
          <w:color w:val="000000"/>
        </w:rPr>
        <w:t xml:space="preserve"> TGA heating profiles of</w:t>
      </w:r>
      <w:r w:rsidR="00482262">
        <w:rPr>
          <w:rFonts w:ascii="Times" w:hAnsi="Times" w:cs="Arial"/>
          <w:color w:val="000000"/>
        </w:rPr>
        <w:t xml:space="preserve"> the </w:t>
      </w:r>
      <w:proofErr w:type="gramStart"/>
      <w:r w:rsidR="00482262">
        <w:rPr>
          <w:rFonts w:ascii="Times" w:hAnsi="Times" w:cs="Arial"/>
          <w:color w:val="000000"/>
        </w:rPr>
        <w:t>2 year</w:t>
      </w:r>
      <w:proofErr w:type="gramEnd"/>
      <w:r w:rsidR="00482262">
        <w:rPr>
          <w:rFonts w:ascii="Times" w:hAnsi="Times" w:cs="Arial"/>
          <w:color w:val="000000"/>
        </w:rPr>
        <w:t xml:space="preserve"> samples (figure 4.67</w:t>
      </w:r>
      <w:r w:rsidR="005708A0">
        <w:rPr>
          <w:rFonts w:ascii="Times" w:hAnsi="Times" w:cs="Arial"/>
          <w:color w:val="000000"/>
        </w:rPr>
        <w:t>), show an increase in weight loss due to C-S-H and CAN and a significant decrease in weight loss due to CN.  The figure also shows some carbonation in the top layers, this assumed to be a reaction with the</w:t>
      </w:r>
      <w:r w:rsidR="0067188D">
        <w:rPr>
          <w:rFonts w:ascii="Times" w:hAnsi="Times" w:cs="Arial"/>
          <w:color w:val="000000"/>
        </w:rPr>
        <w:t xml:space="preserve"> dissolved CO</w:t>
      </w:r>
      <w:r w:rsidR="0067188D">
        <w:rPr>
          <w:rFonts w:ascii="Times" w:hAnsi="Times" w:cs="Arial"/>
          <w:color w:val="000000"/>
          <w:vertAlign w:val="subscript"/>
        </w:rPr>
        <w:t>2</w:t>
      </w:r>
      <w:r w:rsidR="005708A0">
        <w:rPr>
          <w:rFonts w:ascii="Times" w:hAnsi="Times" w:cs="Arial"/>
          <w:color w:val="000000"/>
        </w:rPr>
        <w:t xml:space="preserve"> in the water. </w:t>
      </w:r>
    </w:p>
    <w:p w14:paraId="7C620BF3" w14:textId="0CC66771" w:rsidR="00C9080F" w:rsidRDefault="00BB583F" w:rsidP="00C9080F">
      <w:pPr>
        <w:jc w:val="center"/>
        <w:rPr>
          <w:rFonts w:ascii="Times" w:hAnsi="Times" w:cs="Times New Roman"/>
          <w:b/>
        </w:rPr>
      </w:pPr>
      <w:r w:rsidRPr="00BB583F">
        <w:rPr>
          <w:rFonts w:ascii="Times" w:hAnsi="Times" w:cs="Times New Roman"/>
          <w:b/>
          <w:noProof/>
        </w:rPr>
        <w:drawing>
          <wp:inline distT="0" distB="0" distL="0" distR="0" wp14:anchorId="17EB9761" wp14:editId="6DCFB355">
            <wp:extent cx="5603269" cy="2992068"/>
            <wp:effectExtent l="0" t="0" r="10160" b="5715"/>
            <wp:docPr id="2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03377" cy="2992125"/>
                    </a:xfrm>
                    <a:prstGeom prst="rect">
                      <a:avLst/>
                    </a:prstGeom>
                    <a:noFill/>
                    <a:ln>
                      <a:noFill/>
                    </a:ln>
                  </pic:spPr>
                </pic:pic>
              </a:graphicData>
            </a:graphic>
          </wp:inline>
        </w:drawing>
      </w:r>
    </w:p>
    <w:p w14:paraId="6F547362" w14:textId="58715BB1" w:rsidR="005708A0" w:rsidRPr="00FD5868" w:rsidRDefault="005708A0" w:rsidP="00C9080F">
      <w:pPr>
        <w:spacing w:line="280" w:lineRule="exact"/>
        <w:jc w:val="center"/>
        <w:rPr>
          <w:rFonts w:ascii="Times" w:hAnsi="Times" w:cs="Arial"/>
          <w:color w:val="000000"/>
        </w:rPr>
      </w:pPr>
      <w:r w:rsidRPr="006D6DA3">
        <w:rPr>
          <w:rFonts w:ascii="Times" w:hAnsi="Times" w:cs="Times New Roman"/>
          <w:b/>
        </w:rPr>
        <w:t xml:space="preserve"> </w:t>
      </w:r>
      <w:r>
        <w:rPr>
          <w:rFonts w:ascii="Times" w:hAnsi="Times" w:cs="Times New Roman"/>
          <w:b/>
        </w:rPr>
        <w:t>Fig</w:t>
      </w:r>
      <w:r w:rsidR="005278B6">
        <w:rPr>
          <w:rFonts w:ascii="Times" w:hAnsi="Times" w:cs="Times New Roman"/>
          <w:b/>
        </w:rPr>
        <w:t>ure</w:t>
      </w:r>
      <w:r w:rsidR="00482262">
        <w:rPr>
          <w:rFonts w:ascii="Times" w:hAnsi="Times" w:cs="Times New Roman"/>
          <w:b/>
        </w:rPr>
        <w:t xml:space="preserve"> 4.67</w:t>
      </w:r>
      <w:r>
        <w:rPr>
          <w:rFonts w:ascii="Times" w:hAnsi="Times" w:cs="Times New Roman"/>
          <w:b/>
        </w:rPr>
        <w:t>:</w:t>
      </w:r>
      <w:r>
        <w:rPr>
          <w:rFonts w:ascii="Times" w:hAnsi="Times" w:cs="Times New Roman"/>
          <w:sz w:val="23"/>
          <w:szCs w:val="23"/>
        </w:rPr>
        <w:t xml:space="preserve"> TG/DTG analysis of </w:t>
      </w:r>
      <w:r w:rsidR="00CE1CA5">
        <w:rPr>
          <w:rFonts w:ascii="Times" w:hAnsi="Times" w:cs="Times New Roman"/>
          <w:b/>
        </w:rPr>
        <w:t>2Y</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sz w:val="23"/>
          <w:szCs w:val="23"/>
        </w:rPr>
        <w:t xml:space="preserve"> series at various distances from exposure surface </w:t>
      </w:r>
      <w:r w:rsidR="000D4AEA">
        <w:rPr>
          <w:rFonts w:ascii="Times" w:hAnsi="Times" w:cs="Times New Roman"/>
          <w:sz w:val="23"/>
          <w:szCs w:val="23"/>
        </w:rPr>
        <w:t>compared with</w:t>
      </w:r>
      <w:r>
        <w:rPr>
          <w:rFonts w:ascii="Times" w:hAnsi="Times" w:cs="Times New Roman"/>
          <w:sz w:val="23"/>
          <w:szCs w:val="23"/>
        </w:rPr>
        <w:t xml:space="preserve"> </w:t>
      </w:r>
      <w:r w:rsidR="00CE1CA5">
        <w:rPr>
          <w:rFonts w:ascii="Times" w:hAnsi="Times" w:cs="Times New Roman"/>
          <w:b/>
        </w:rPr>
        <w:t>0</w:t>
      </w:r>
      <w:r w:rsidR="00CE1CA5" w:rsidRPr="00CE1CA5">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C9080F">
        <w:rPr>
          <w:rFonts w:ascii="Times" w:hAnsi="Times" w:cs="Times New Roman"/>
          <w:sz w:val="36"/>
          <w:szCs w:val="36"/>
        </w:rPr>
        <w:t xml:space="preserve"> </w:t>
      </w:r>
      <w:r w:rsidR="00C9080F">
        <w:rPr>
          <w:rFonts w:ascii="Times" w:hAnsi="Times" w:cs="Arial"/>
          <w:color w:val="000000"/>
        </w:rPr>
        <w:t>(left Y axis associated with TG curves, right Y axis associated with DTG curves)</w:t>
      </w:r>
    </w:p>
    <w:p w14:paraId="15DB6FD7" w14:textId="77777777" w:rsidR="005708A0" w:rsidRDefault="005708A0" w:rsidP="005708A0">
      <w:pPr>
        <w:spacing w:before="240" w:after="120" w:line="480" w:lineRule="exact"/>
        <w:jc w:val="both"/>
        <w:rPr>
          <w:rFonts w:ascii="Times" w:hAnsi="Times" w:cs="Times New Roman"/>
          <w:b/>
          <w:bCs/>
          <w:i/>
          <w:iCs/>
        </w:rPr>
      </w:pPr>
      <w:r>
        <w:rPr>
          <w:rFonts w:ascii="Times" w:hAnsi="Times" w:cs="Times New Roman"/>
          <w:b/>
          <w:bCs/>
          <w:i/>
          <w:iCs/>
        </w:rPr>
        <w:t>iii.</w:t>
      </w:r>
      <w:r>
        <w:rPr>
          <w:rFonts w:ascii="Times" w:hAnsi="Times" w:cs="Times New Roman"/>
          <w:b/>
          <w:bCs/>
          <w:i/>
          <w:iCs/>
        </w:rPr>
        <w:tab/>
        <w:t>Mercury Intrusion Porosimetry (MIP)</w:t>
      </w:r>
    </w:p>
    <w:p w14:paraId="236DCAF4" w14:textId="201CA62F" w:rsidR="005708A0" w:rsidRPr="00FD5868" w:rsidRDefault="005708A0" w:rsidP="00FD5868">
      <w:pPr>
        <w:spacing w:before="240" w:after="120" w:line="480" w:lineRule="exact"/>
        <w:jc w:val="both"/>
        <w:rPr>
          <w:rFonts w:ascii="Times" w:hAnsi="Times" w:cs="Times New Roman"/>
          <w:bCs/>
          <w:iCs/>
        </w:rPr>
      </w:pPr>
      <w:r>
        <w:rPr>
          <w:rFonts w:ascii="Times" w:hAnsi="Times" w:cs="Times New Roman"/>
          <w:bCs/>
          <w:iCs/>
        </w:rPr>
        <w:t>The cement samples were analysed using MIP. The cumulative pore volume for layer 1 after each leaching period for the blank series is shown in fig</w:t>
      </w:r>
      <w:r w:rsidR="00663171">
        <w:rPr>
          <w:rFonts w:ascii="Times" w:hAnsi="Times" w:cs="Times New Roman"/>
          <w:bCs/>
          <w:iCs/>
        </w:rPr>
        <w:t>ure</w:t>
      </w:r>
      <w:r w:rsidR="00482262">
        <w:rPr>
          <w:rFonts w:ascii="Times" w:hAnsi="Times" w:cs="Times New Roman"/>
          <w:bCs/>
          <w:iCs/>
        </w:rPr>
        <w:t xml:space="preserve"> 4.68</w:t>
      </w:r>
      <w:r>
        <w:rPr>
          <w:rFonts w:ascii="Times" w:hAnsi="Times" w:cs="Times New Roman"/>
          <w:bCs/>
          <w:iCs/>
        </w:rPr>
        <w:t>. As can be seen the total pore volume of the cement increases as leaching progresses. Therefore it seems that leaching and eventual degradation of the cement causes an increase in porosity, as expected. The difference in porosity is smaller towards the later stages of leaching which strongly agrees with the ICP results</w:t>
      </w:r>
      <w:r w:rsidR="00F225B3">
        <w:rPr>
          <w:rFonts w:ascii="Times" w:hAnsi="Times" w:cs="Times New Roman"/>
          <w:bCs/>
          <w:iCs/>
        </w:rPr>
        <w:t xml:space="preserve"> in section </w:t>
      </w:r>
      <w:r w:rsidR="00482262">
        <w:rPr>
          <w:rFonts w:ascii="Times" w:hAnsi="Times" w:cs="Times New Roman"/>
          <w:bCs/>
          <w:iCs/>
        </w:rPr>
        <w:t>4.2.1</w:t>
      </w:r>
      <w:r>
        <w:rPr>
          <w:rFonts w:ascii="Times" w:hAnsi="Times" w:cs="Times New Roman"/>
          <w:bCs/>
          <w:iCs/>
        </w:rPr>
        <w:t xml:space="preserve">. </w:t>
      </w:r>
    </w:p>
    <w:p w14:paraId="460FC117" w14:textId="0669592C" w:rsidR="005708A0" w:rsidRPr="008055EC" w:rsidRDefault="005708A0" w:rsidP="005708A0">
      <w:pPr>
        <w:spacing w:before="240" w:after="120"/>
        <w:jc w:val="center"/>
        <w:rPr>
          <w:rFonts w:ascii="Times" w:hAnsi="Times" w:cs="Times New Roman"/>
          <w:iCs/>
        </w:rPr>
      </w:pPr>
      <w:r>
        <w:rPr>
          <w:rFonts w:ascii="Times" w:hAnsi="Times" w:cs="Times New Roman"/>
          <w:iCs/>
        </w:rPr>
        <w:lastRenderedPageBreak/>
        <w:t xml:space="preserve">                                                                           </w:t>
      </w:r>
      <w:r w:rsidR="00BC346A" w:rsidRPr="00751C5B">
        <w:rPr>
          <w:rFonts w:ascii="Times" w:hAnsi="Times" w:cs="Times New Roman"/>
          <w:iCs/>
          <w:noProof/>
        </w:rPr>
        <w:drawing>
          <wp:inline distT="0" distB="0" distL="0" distR="0" wp14:anchorId="3FEA4429" wp14:editId="1FCFB381">
            <wp:extent cx="2646253" cy="3090091"/>
            <wp:effectExtent l="0" t="0" r="0" b="88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9">
                      <a:extLst>
                        <a:ext uri="{28A0092B-C50C-407E-A947-70E740481C1C}">
                          <a14:useLocalDpi xmlns:a14="http://schemas.microsoft.com/office/drawing/2010/main" val="0"/>
                        </a:ext>
                      </a:extLst>
                    </a:blip>
                    <a:srcRect t="-13608"/>
                    <a:stretch/>
                  </pic:blipFill>
                  <pic:spPr bwMode="auto">
                    <a:xfrm>
                      <a:off x="0" y="0"/>
                      <a:ext cx="2649767" cy="30941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w:hAnsi="Times" w:cs="Times New Roman"/>
          <w:iCs/>
        </w:rPr>
        <w:t xml:space="preserve">    </w:t>
      </w:r>
      <w:r w:rsidR="00FD5868">
        <w:rPr>
          <w:rFonts w:ascii="Times" w:hAnsi="Times" w:cs="Times New Roman"/>
          <w:iCs/>
        </w:rPr>
        <w:br/>
      </w:r>
      <w:r>
        <w:rPr>
          <w:rFonts w:ascii="Times" w:hAnsi="Times" w:cs="Times New Roman"/>
          <w:iCs/>
        </w:rPr>
        <w:t xml:space="preserve">  </w:t>
      </w:r>
      <w:r>
        <w:rPr>
          <w:rFonts w:ascii="Times" w:hAnsi="Times" w:cs="Times New Roman"/>
          <w:b/>
        </w:rPr>
        <w:t>Fig</w:t>
      </w:r>
      <w:r w:rsidR="005278B6">
        <w:rPr>
          <w:rFonts w:ascii="Times" w:hAnsi="Times" w:cs="Times New Roman"/>
          <w:b/>
        </w:rPr>
        <w:t xml:space="preserve">ure </w:t>
      </w:r>
      <w:r w:rsidR="00482262">
        <w:rPr>
          <w:rFonts w:ascii="Times" w:hAnsi="Times" w:cs="Times New Roman"/>
          <w:b/>
        </w:rPr>
        <w:t>4.68</w:t>
      </w:r>
      <w:r>
        <w:rPr>
          <w:rFonts w:ascii="Times" w:hAnsi="Times" w:cs="Times New Roman"/>
          <w:b/>
        </w:rPr>
        <w:t>:</w:t>
      </w:r>
      <w:r>
        <w:rPr>
          <w:rFonts w:ascii="Times" w:hAnsi="Times" w:cs="Times New Roman"/>
          <w:sz w:val="23"/>
          <w:szCs w:val="23"/>
        </w:rPr>
        <w:t xml:space="preserve"> MIP analysis of </w:t>
      </w:r>
      <w:r w:rsidRPr="0066758B">
        <w:rPr>
          <w:rFonts w:ascii="Times" w:hAnsi="Times" w:cs="Times New Roman"/>
          <w:b/>
          <w:sz w:val="23"/>
          <w:szCs w:val="23"/>
        </w:rPr>
        <w:t>B</w:t>
      </w:r>
      <w:r>
        <w:rPr>
          <w:rFonts w:ascii="Times" w:hAnsi="Times" w:cs="Times New Roman"/>
          <w:sz w:val="23"/>
          <w:szCs w:val="23"/>
        </w:rPr>
        <w:t xml:space="preserve"> series exposure surface</w:t>
      </w:r>
      <w:r w:rsidR="00F225B3">
        <w:rPr>
          <w:rFonts w:ascii="Times" w:hAnsi="Times" w:cs="Times New Roman"/>
          <w:sz w:val="23"/>
          <w:szCs w:val="23"/>
        </w:rPr>
        <w:t xml:space="preserve"> (</w:t>
      </w:r>
      <w:r w:rsidR="00971672">
        <w:rPr>
          <w:rFonts w:ascii="Times" w:hAnsi="Times" w:cs="Times New Roman"/>
          <w:sz w:val="23"/>
          <w:szCs w:val="23"/>
        </w:rPr>
        <w:t>i.e.</w:t>
      </w:r>
      <w:r w:rsidR="00F225B3">
        <w:rPr>
          <w:rFonts w:ascii="Times" w:hAnsi="Times" w:cs="Times New Roman"/>
          <w:sz w:val="23"/>
          <w:szCs w:val="23"/>
        </w:rPr>
        <w:t xml:space="preserve"> B1)</w:t>
      </w:r>
      <w:r>
        <w:rPr>
          <w:rFonts w:ascii="Times" w:hAnsi="Times" w:cs="Times New Roman"/>
          <w:sz w:val="23"/>
          <w:szCs w:val="23"/>
        </w:rPr>
        <w:t xml:space="preserve"> at various leaching stages</w:t>
      </w:r>
      <w:r w:rsidR="00F225B3">
        <w:rPr>
          <w:rFonts w:ascii="Times" w:hAnsi="Times" w:cs="Times New Roman"/>
          <w:sz w:val="23"/>
          <w:szCs w:val="23"/>
        </w:rPr>
        <w:t xml:space="preserve"> </w:t>
      </w:r>
    </w:p>
    <w:p w14:paraId="2E27723D" w14:textId="1A4E63B4" w:rsidR="0066758B" w:rsidRDefault="005708A0" w:rsidP="0066758B">
      <w:pPr>
        <w:spacing w:before="240" w:after="120" w:line="480" w:lineRule="atLeast"/>
        <w:jc w:val="both"/>
        <w:rPr>
          <w:rFonts w:ascii="Times" w:hAnsi="Times" w:cs="Times New Roman"/>
          <w:iCs/>
        </w:rPr>
      </w:pPr>
      <w:r>
        <w:rPr>
          <w:rFonts w:ascii="Times" w:hAnsi="Times" w:cs="Times New Roman"/>
          <w:iCs/>
        </w:rPr>
        <w:t xml:space="preserve">The same data was gathered for the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66758B">
        <w:rPr>
          <w:rFonts w:ascii="Times" w:hAnsi="Times" w:cs="Times New Roman"/>
        </w:rPr>
        <w:t xml:space="preserve"> </w:t>
      </w:r>
      <w:r w:rsidRPr="0066758B">
        <w:rPr>
          <w:rFonts w:ascii="Times" w:hAnsi="Times" w:cs="Times New Roman"/>
          <w:iCs/>
        </w:rPr>
        <w:t>series</w:t>
      </w:r>
      <w:r>
        <w:rPr>
          <w:rFonts w:ascii="Times" w:hAnsi="Times" w:cs="Times New Roman"/>
          <w:iCs/>
        </w:rPr>
        <w:t xml:space="preserve"> as shown in fig</w:t>
      </w:r>
      <w:r w:rsidR="00663171">
        <w:rPr>
          <w:rFonts w:ascii="Times" w:hAnsi="Times" w:cs="Times New Roman"/>
          <w:iCs/>
        </w:rPr>
        <w:t>ure</w:t>
      </w:r>
      <w:r w:rsidR="00482262">
        <w:rPr>
          <w:rFonts w:ascii="Times" w:hAnsi="Times" w:cs="Times New Roman"/>
          <w:iCs/>
        </w:rPr>
        <w:t xml:space="preserve"> 4.69</w:t>
      </w:r>
      <w:r>
        <w:rPr>
          <w:rFonts w:ascii="Times" w:hAnsi="Times" w:cs="Times New Roman"/>
          <w:iCs/>
        </w:rPr>
        <w:t xml:space="preserve">. Once again there is a positive correlation between the leaching period and the sample porosity. In comparison with the </w:t>
      </w:r>
      <w:r w:rsidRPr="00940E56">
        <w:rPr>
          <w:rFonts w:ascii="Times" w:hAnsi="Times" w:cs="Times New Roman"/>
          <w:b/>
          <w:iCs/>
        </w:rPr>
        <w:t>B</w:t>
      </w:r>
      <w:r>
        <w:rPr>
          <w:rFonts w:ascii="Times" w:hAnsi="Times" w:cs="Times New Roman"/>
          <w:iCs/>
        </w:rPr>
        <w:t xml:space="preserve"> series, the total porosity increase is larger in these samples. This could be due to the increased leaching rates, as well as the rapid diffusion of CsNO</w:t>
      </w:r>
      <w:r>
        <w:rPr>
          <w:rFonts w:ascii="Times" w:hAnsi="Times" w:cs="Times New Roman"/>
          <w:iCs/>
          <w:vertAlign w:val="subscript"/>
        </w:rPr>
        <w:t>3</w:t>
      </w:r>
      <w:r>
        <w:rPr>
          <w:rFonts w:ascii="Times" w:hAnsi="Times" w:cs="Times New Roman"/>
          <w:iCs/>
        </w:rPr>
        <w:t xml:space="preserve"> leaving larger pores in the sample. </w:t>
      </w:r>
    </w:p>
    <w:p w14:paraId="7F290910" w14:textId="128EA8EE" w:rsidR="005708A0" w:rsidRPr="008055EC" w:rsidRDefault="00090EE9" w:rsidP="00940E56">
      <w:pPr>
        <w:spacing w:before="240" w:after="120"/>
        <w:jc w:val="center"/>
        <w:rPr>
          <w:rFonts w:ascii="Times" w:hAnsi="Times" w:cs="Times New Roman"/>
          <w:iCs/>
        </w:rPr>
      </w:pPr>
      <w:r w:rsidRPr="00090EE9">
        <w:rPr>
          <w:rFonts w:ascii="Times" w:hAnsi="Times" w:cs="Times New Roman"/>
          <w:iCs/>
          <w:noProof/>
        </w:rPr>
        <w:lastRenderedPageBreak/>
        <w:drawing>
          <wp:inline distT="0" distB="0" distL="0" distR="0" wp14:anchorId="2BBD6152" wp14:editId="63C663F9">
            <wp:extent cx="3013796" cy="3122896"/>
            <wp:effectExtent l="0" t="0" r="8890" b="1905"/>
            <wp:docPr id="26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14232" cy="3123348"/>
                    </a:xfrm>
                    <a:prstGeom prst="rect">
                      <a:avLst/>
                    </a:prstGeom>
                    <a:noFill/>
                    <a:ln>
                      <a:noFill/>
                    </a:ln>
                  </pic:spPr>
                </pic:pic>
              </a:graphicData>
            </a:graphic>
          </wp:inline>
        </w:drawing>
      </w:r>
      <w:r>
        <w:rPr>
          <w:rFonts w:ascii="Times" w:hAnsi="Times" w:cs="Times New Roman"/>
          <w:iCs/>
        </w:rPr>
        <w:br/>
      </w:r>
      <w:r w:rsidR="005708A0">
        <w:rPr>
          <w:rFonts w:ascii="Times" w:hAnsi="Times" w:cs="Times New Roman"/>
          <w:iCs/>
        </w:rPr>
        <w:t xml:space="preserve">         </w:t>
      </w:r>
      <w:r w:rsidR="005708A0">
        <w:rPr>
          <w:rFonts w:ascii="Times" w:hAnsi="Times" w:cs="Times New Roman"/>
          <w:b/>
        </w:rPr>
        <w:t>Fig</w:t>
      </w:r>
      <w:r w:rsidR="005278B6">
        <w:rPr>
          <w:rFonts w:ascii="Times" w:hAnsi="Times" w:cs="Times New Roman"/>
          <w:b/>
        </w:rPr>
        <w:t>ure</w:t>
      </w:r>
      <w:r w:rsidR="00482262">
        <w:rPr>
          <w:rFonts w:ascii="Times" w:hAnsi="Times" w:cs="Times New Roman"/>
          <w:b/>
        </w:rPr>
        <w:t xml:space="preserve"> 4.69</w:t>
      </w:r>
      <w:r w:rsidR="005708A0">
        <w:rPr>
          <w:rFonts w:ascii="Times" w:hAnsi="Times" w:cs="Times New Roman"/>
          <w:b/>
        </w:rPr>
        <w:t>:</w:t>
      </w:r>
      <w:r w:rsidR="005708A0">
        <w:rPr>
          <w:rFonts w:ascii="Times" w:hAnsi="Times" w:cs="Times New Roman"/>
          <w:sz w:val="23"/>
          <w:szCs w:val="23"/>
        </w:rPr>
        <w:t xml:space="preserve"> MIP analysis of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5708A0">
        <w:rPr>
          <w:rFonts w:ascii="Times" w:hAnsi="Times" w:cs="Times New Roman"/>
          <w:sz w:val="23"/>
          <w:szCs w:val="23"/>
        </w:rPr>
        <w:t xml:space="preserve"> series exposure surface</w:t>
      </w:r>
      <w:r w:rsidR="00F225B3">
        <w:rPr>
          <w:rFonts w:ascii="Times" w:hAnsi="Times" w:cs="Times New Roman"/>
          <w:sz w:val="23"/>
          <w:szCs w:val="23"/>
        </w:rPr>
        <w:t xml:space="preserve"> (</w:t>
      </w:r>
      <w:r w:rsidR="00971672">
        <w:rPr>
          <w:rFonts w:ascii="Times" w:hAnsi="Times" w:cs="Times New Roman"/>
          <w:sz w:val="23"/>
          <w:szCs w:val="23"/>
        </w:rPr>
        <w:t>i.e.</w:t>
      </w:r>
      <w:r w:rsidR="00F225B3">
        <w:rPr>
          <w:rFonts w:ascii="Times" w:hAnsi="Times" w:cs="Times New Roman"/>
          <w:sz w:val="23"/>
          <w:szCs w:val="23"/>
        </w:rPr>
        <w:t xml:space="preserve">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940E56">
        <w:rPr>
          <w:rFonts w:ascii="Times" w:hAnsi="Times" w:cs="Times New Roman"/>
          <w:b/>
        </w:rPr>
        <w:t>1</w:t>
      </w:r>
      <w:r w:rsidR="00F225B3">
        <w:rPr>
          <w:rFonts w:ascii="Times" w:hAnsi="Times" w:cs="Times New Roman"/>
          <w:sz w:val="23"/>
          <w:szCs w:val="23"/>
        </w:rPr>
        <w:t>)</w:t>
      </w:r>
      <w:r w:rsidR="005708A0">
        <w:rPr>
          <w:rFonts w:ascii="Times" w:hAnsi="Times" w:cs="Times New Roman"/>
          <w:sz w:val="23"/>
          <w:szCs w:val="23"/>
        </w:rPr>
        <w:t xml:space="preserve"> at various leaching stages</w:t>
      </w:r>
    </w:p>
    <w:p w14:paraId="4B2B17A0" w14:textId="6766652A" w:rsidR="007B61F5" w:rsidRDefault="005708A0" w:rsidP="005708A0">
      <w:pPr>
        <w:spacing w:before="240" w:after="120" w:line="480" w:lineRule="exact"/>
        <w:jc w:val="both"/>
        <w:rPr>
          <w:rFonts w:ascii="Times" w:hAnsi="Times" w:cs="Times New Roman"/>
          <w:iCs/>
        </w:rPr>
      </w:pPr>
      <w:r>
        <w:rPr>
          <w:rFonts w:ascii="Times" w:hAnsi="Times" w:cs="Times New Roman"/>
          <w:iCs/>
        </w:rPr>
        <w:t>Fig</w:t>
      </w:r>
      <w:r w:rsidR="002F6EA3">
        <w:rPr>
          <w:rFonts w:ascii="Times" w:hAnsi="Times" w:cs="Times New Roman"/>
          <w:iCs/>
        </w:rPr>
        <w:t>ure</w:t>
      </w:r>
      <w:r w:rsidR="00482262">
        <w:rPr>
          <w:rFonts w:ascii="Times" w:hAnsi="Times" w:cs="Times New Roman"/>
          <w:iCs/>
        </w:rPr>
        <w:t xml:space="preserve"> 4.70</w:t>
      </w:r>
      <w:r>
        <w:rPr>
          <w:rFonts w:ascii="Times" w:hAnsi="Times" w:cs="Times New Roman"/>
          <w:iCs/>
        </w:rPr>
        <w:t xml:space="preserve"> shows the comparison between the total porosity in </w:t>
      </w:r>
      <w:r w:rsidRPr="00940E56">
        <w:rPr>
          <w:rFonts w:ascii="Times" w:hAnsi="Times" w:cs="Times New Roman"/>
          <w:b/>
          <w:iCs/>
        </w:rPr>
        <w:t>28DB</w:t>
      </w:r>
      <w:r w:rsidR="00663171">
        <w:rPr>
          <w:rFonts w:ascii="Times" w:hAnsi="Times" w:cs="Times New Roman"/>
          <w:iCs/>
        </w:rPr>
        <w:t xml:space="preserve"> at different depths</w:t>
      </w:r>
      <w:r>
        <w:rPr>
          <w:rFonts w:ascii="Times" w:hAnsi="Times" w:cs="Times New Roman"/>
          <w:iCs/>
        </w:rPr>
        <w:t>, and fig</w:t>
      </w:r>
      <w:r w:rsidR="00663171">
        <w:rPr>
          <w:rFonts w:ascii="Times" w:hAnsi="Times" w:cs="Times New Roman"/>
          <w:iCs/>
        </w:rPr>
        <w:t>ure</w:t>
      </w:r>
      <w:r w:rsidR="006E6582">
        <w:rPr>
          <w:rFonts w:ascii="Times" w:hAnsi="Times" w:cs="Times New Roman"/>
          <w:iCs/>
        </w:rPr>
        <w:t xml:space="preserve"> 4.71</w:t>
      </w:r>
      <w:r>
        <w:rPr>
          <w:rFonts w:ascii="Times" w:hAnsi="Times" w:cs="Times New Roman"/>
          <w:iCs/>
        </w:rPr>
        <w:t xml:space="preserve"> shows the incremental pore volumes in order to </w:t>
      </w:r>
      <w:r w:rsidR="00663171">
        <w:rPr>
          <w:rFonts w:ascii="Times" w:hAnsi="Times" w:cs="Times New Roman"/>
          <w:iCs/>
        </w:rPr>
        <w:t>obtain some indication of</w:t>
      </w:r>
      <w:r>
        <w:rPr>
          <w:rFonts w:ascii="Times" w:hAnsi="Times" w:cs="Times New Roman"/>
          <w:iCs/>
        </w:rPr>
        <w:t xml:space="preserve"> the pore size </w:t>
      </w:r>
      <w:r w:rsidR="0001410F">
        <w:rPr>
          <w:rFonts w:ascii="Times" w:hAnsi="Times" w:cs="Times New Roman"/>
          <w:iCs/>
        </w:rPr>
        <w:t xml:space="preserve">distribution </w:t>
      </w:r>
      <w:r>
        <w:rPr>
          <w:rFonts w:ascii="Times" w:hAnsi="Times" w:cs="Times New Roman"/>
          <w:iCs/>
        </w:rPr>
        <w:t>and attempt to understand the phase attri</w:t>
      </w:r>
      <w:r w:rsidR="006635A1">
        <w:rPr>
          <w:rFonts w:ascii="Times" w:hAnsi="Times" w:cs="Times New Roman"/>
          <w:iCs/>
        </w:rPr>
        <w:t xml:space="preserve">buted to these pores. </w:t>
      </w:r>
    </w:p>
    <w:p w14:paraId="644DB32E" w14:textId="5E43F4D1" w:rsidR="005708A0" w:rsidRDefault="00204889" w:rsidP="007B61F5">
      <w:pPr>
        <w:spacing w:before="240" w:after="120"/>
        <w:jc w:val="center"/>
        <w:rPr>
          <w:rFonts w:ascii="Times" w:hAnsi="Times" w:cs="Times New Roman"/>
          <w:iCs/>
        </w:rPr>
      </w:pPr>
      <w:r>
        <w:rPr>
          <w:noProof/>
        </w:rPr>
        <w:drawing>
          <wp:inline distT="0" distB="0" distL="0" distR="0" wp14:anchorId="03F29A18" wp14:editId="0523BCCB">
            <wp:extent cx="2928257" cy="2400300"/>
            <wp:effectExtent l="0" t="0" r="0" b="0"/>
            <wp:docPr id="272" name="Chart 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13DFDC08" w14:textId="73F190A5" w:rsidR="005708A0" w:rsidRDefault="005708A0" w:rsidP="007B61F5">
      <w:pPr>
        <w:tabs>
          <w:tab w:val="left" w:pos="1276"/>
        </w:tabs>
        <w:spacing w:before="240" w:after="120"/>
        <w:jc w:val="center"/>
        <w:rPr>
          <w:rFonts w:ascii="Times" w:hAnsi="Times"/>
          <w:sz w:val="20"/>
          <w:szCs w:val="20"/>
        </w:rPr>
      </w:pPr>
      <w:r>
        <w:rPr>
          <w:rFonts w:ascii="Times" w:hAnsi="Times" w:cs="Times New Roman"/>
          <w:b/>
        </w:rPr>
        <w:t>Fig</w:t>
      </w:r>
      <w:r w:rsidR="00697666">
        <w:rPr>
          <w:rFonts w:ascii="Times" w:hAnsi="Times" w:cs="Times New Roman"/>
          <w:b/>
        </w:rPr>
        <w:t>ure</w:t>
      </w:r>
      <w:r w:rsidR="00482262">
        <w:rPr>
          <w:rFonts w:ascii="Times" w:hAnsi="Times" w:cs="Times New Roman"/>
          <w:b/>
        </w:rPr>
        <w:t xml:space="preserve"> 4.70</w:t>
      </w:r>
      <w:r>
        <w:rPr>
          <w:rFonts w:ascii="Times" w:hAnsi="Times" w:cs="Times New Roman"/>
          <w:b/>
        </w:rPr>
        <w:t>:</w:t>
      </w:r>
      <w:r>
        <w:rPr>
          <w:rFonts w:ascii="Times" w:hAnsi="Times" w:cs="Times New Roman"/>
          <w:sz w:val="23"/>
          <w:szCs w:val="23"/>
        </w:rPr>
        <w:t xml:space="preserve"> Cumula</w:t>
      </w:r>
      <w:r w:rsidR="000636CA">
        <w:rPr>
          <w:rFonts w:ascii="Times" w:hAnsi="Times" w:cs="Times New Roman"/>
          <w:sz w:val="23"/>
          <w:szCs w:val="23"/>
        </w:rPr>
        <w:t>tive pore distribution of 28DB1 and 28DB2</w:t>
      </w:r>
    </w:p>
    <w:p w14:paraId="0E08DD1A" w14:textId="2615F545" w:rsidR="005708A0" w:rsidRDefault="00204889" w:rsidP="005708A0">
      <w:pPr>
        <w:tabs>
          <w:tab w:val="left" w:pos="1276"/>
        </w:tabs>
        <w:spacing w:before="240" w:after="120" w:line="480" w:lineRule="exact"/>
        <w:jc w:val="both"/>
        <w:rPr>
          <w:rFonts w:ascii="Times" w:hAnsi="Times" w:cs="Times New Roman"/>
          <w:iCs/>
        </w:rPr>
      </w:pPr>
      <w:r>
        <w:rPr>
          <w:rFonts w:ascii="Times" w:hAnsi="Times" w:cs="Times New Roman"/>
          <w:iCs/>
        </w:rPr>
        <w:lastRenderedPageBreak/>
        <w:t>The top layer is more porous and a</w:t>
      </w:r>
      <w:r w:rsidR="005708A0">
        <w:rPr>
          <w:rFonts w:ascii="Times" w:hAnsi="Times" w:cs="Times New Roman"/>
          <w:iCs/>
        </w:rPr>
        <w:t>s can be seen in fig</w:t>
      </w:r>
      <w:r w:rsidR="000636CA">
        <w:rPr>
          <w:rFonts w:ascii="Times" w:hAnsi="Times" w:cs="Times New Roman"/>
          <w:iCs/>
        </w:rPr>
        <w:t>ure</w:t>
      </w:r>
      <w:r w:rsidR="006E6582">
        <w:rPr>
          <w:rFonts w:ascii="Times" w:hAnsi="Times" w:cs="Times New Roman"/>
          <w:iCs/>
        </w:rPr>
        <w:t xml:space="preserve"> 4.71</w:t>
      </w:r>
      <w:r>
        <w:rPr>
          <w:rFonts w:ascii="Times" w:hAnsi="Times" w:cs="Times New Roman"/>
          <w:iCs/>
        </w:rPr>
        <w:t xml:space="preserve"> this is because </w:t>
      </w:r>
      <w:proofErr w:type="gramStart"/>
      <w:r>
        <w:rPr>
          <w:rFonts w:ascii="Times" w:hAnsi="Times" w:cs="Times New Roman"/>
          <w:iCs/>
        </w:rPr>
        <w:t>of</w:t>
      </w:r>
      <w:r w:rsidR="005708A0">
        <w:rPr>
          <w:rFonts w:ascii="Times" w:hAnsi="Times" w:cs="Times New Roman"/>
          <w:iCs/>
        </w:rPr>
        <w:t xml:space="preserve">  higher</w:t>
      </w:r>
      <w:proofErr w:type="gramEnd"/>
      <w:r w:rsidR="005708A0">
        <w:rPr>
          <w:rFonts w:ascii="Times" w:hAnsi="Times" w:cs="Times New Roman"/>
          <w:iCs/>
        </w:rPr>
        <w:t xml:space="preserve"> number of pores with size 0.0</w:t>
      </w:r>
      <w:r w:rsidR="005E0A95">
        <w:rPr>
          <w:rFonts w:ascii="Times" w:hAnsi="Times" w:cs="Times New Roman"/>
          <w:iCs/>
        </w:rPr>
        <w:t xml:space="preserve">15-0.025 </w:t>
      </w:r>
      <w:r w:rsidR="005708A0">
        <w:rPr>
          <w:rFonts w:ascii="Times" w:hAnsi="Times" w:cs="Times New Roman"/>
          <w:iCs/>
        </w:rPr>
        <w:t>microns</w:t>
      </w:r>
      <w:r w:rsidR="005E0A95">
        <w:rPr>
          <w:rFonts w:ascii="Times" w:hAnsi="Times" w:cs="Times New Roman"/>
          <w:iCs/>
        </w:rPr>
        <w:t xml:space="preserve"> in </w:t>
      </w:r>
      <w:r w:rsidR="005E0A95" w:rsidRPr="00940E56">
        <w:rPr>
          <w:rFonts w:ascii="Times" w:hAnsi="Times" w:cs="Times New Roman"/>
          <w:b/>
          <w:iCs/>
        </w:rPr>
        <w:t>28DB1</w:t>
      </w:r>
      <w:r w:rsidR="005E0A95">
        <w:rPr>
          <w:rFonts w:ascii="Times" w:hAnsi="Times" w:cs="Times New Roman"/>
          <w:iCs/>
        </w:rPr>
        <w:t xml:space="preserve"> shown by the higher peak in this region</w:t>
      </w:r>
      <w:r w:rsidR="005708A0">
        <w:rPr>
          <w:rFonts w:ascii="Times" w:hAnsi="Times" w:cs="Times New Roman"/>
          <w:iCs/>
        </w:rPr>
        <w:t xml:space="preserve">. </w:t>
      </w:r>
    </w:p>
    <w:p w14:paraId="0516D8C9" w14:textId="4E9A7B79" w:rsidR="005708A0" w:rsidRPr="002B60DB" w:rsidRDefault="003F1B59" w:rsidP="005708A0">
      <w:pPr>
        <w:tabs>
          <w:tab w:val="left" w:pos="1276"/>
        </w:tabs>
        <w:spacing w:before="240" w:after="120"/>
        <w:jc w:val="center"/>
        <w:rPr>
          <w:rFonts w:ascii="Times" w:hAnsi="Times"/>
          <w:sz w:val="20"/>
          <w:szCs w:val="20"/>
        </w:rPr>
      </w:pPr>
      <w:r>
        <w:rPr>
          <w:noProof/>
        </w:rPr>
        <w:drawing>
          <wp:inline distT="0" distB="0" distL="0" distR="0" wp14:anchorId="6C4750AF" wp14:editId="06EF4B34">
            <wp:extent cx="3289300" cy="2844800"/>
            <wp:effectExtent l="0" t="0" r="0" b="0"/>
            <wp:docPr id="262" name="Chart 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r w:rsidR="005708A0">
        <w:rPr>
          <w:rFonts w:ascii="Times" w:hAnsi="Times" w:cs="Times New Roman"/>
          <w:b/>
        </w:rPr>
        <w:t xml:space="preserve">                                                                        </w:t>
      </w:r>
      <w:r w:rsidR="005708A0" w:rsidRPr="00147D93">
        <w:rPr>
          <w:rFonts w:ascii="Times" w:hAnsi="Times" w:cs="Times New Roman"/>
          <w:b/>
        </w:rPr>
        <w:t xml:space="preserve"> </w:t>
      </w:r>
      <w:r w:rsidR="005708A0">
        <w:rPr>
          <w:rFonts w:ascii="Times" w:hAnsi="Times" w:cs="Times New Roman"/>
          <w:b/>
        </w:rPr>
        <w:t>Fig</w:t>
      </w:r>
      <w:r w:rsidR="00697666">
        <w:rPr>
          <w:rFonts w:ascii="Times" w:hAnsi="Times" w:cs="Times New Roman"/>
          <w:b/>
        </w:rPr>
        <w:t>ure</w:t>
      </w:r>
      <w:r w:rsidR="006E6582">
        <w:rPr>
          <w:rFonts w:ascii="Times" w:hAnsi="Times" w:cs="Times New Roman"/>
          <w:b/>
        </w:rPr>
        <w:t xml:space="preserve"> 4.71</w:t>
      </w:r>
      <w:r w:rsidR="005708A0">
        <w:rPr>
          <w:rFonts w:ascii="Times" w:hAnsi="Times" w:cs="Times New Roman"/>
          <w:b/>
        </w:rPr>
        <w:t>:</w:t>
      </w:r>
      <w:r w:rsidR="005708A0">
        <w:rPr>
          <w:rFonts w:ascii="Times" w:hAnsi="Times" w:cs="Times New Roman"/>
          <w:sz w:val="23"/>
          <w:szCs w:val="23"/>
        </w:rPr>
        <w:t xml:space="preserve"> Incremental pore distribution of </w:t>
      </w:r>
      <w:r w:rsidR="005708A0" w:rsidRPr="00940E56">
        <w:rPr>
          <w:rFonts w:ascii="Times" w:hAnsi="Times" w:cs="Times New Roman"/>
          <w:b/>
          <w:sz w:val="23"/>
          <w:szCs w:val="23"/>
        </w:rPr>
        <w:t>28DB</w:t>
      </w:r>
      <w:r w:rsidR="00697666" w:rsidRPr="00940E56">
        <w:rPr>
          <w:rFonts w:ascii="Times" w:hAnsi="Times" w:cs="Times New Roman"/>
          <w:b/>
          <w:sz w:val="23"/>
          <w:szCs w:val="23"/>
        </w:rPr>
        <w:t>1</w:t>
      </w:r>
      <w:r w:rsidR="00697666">
        <w:rPr>
          <w:rFonts w:ascii="Times" w:hAnsi="Times" w:cs="Times New Roman"/>
          <w:sz w:val="23"/>
          <w:szCs w:val="23"/>
        </w:rPr>
        <w:t xml:space="preserve"> and </w:t>
      </w:r>
      <w:r w:rsidR="00697666" w:rsidRPr="00940E56">
        <w:rPr>
          <w:rFonts w:ascii="Times" w:hAnsi="Times" w:cs="Times New Roman"/>
          <w:b/>
          <w:sz w:val="23"/>
          <w:szCs w:val="23"/>
        </w:rPr>
        <w:t>28DB2</w:t>
      </w:r>
      <w:r w:rsidR="002B60DB">
        <w:rPr>
          <w:rFonts w:ascii="Times" w:hAnsi="Times" w:cs="Times New Roman"/>
          <w:b/>
          <w:sz w:val="23"/>
          <w:szCs w:val="23"/>
        </w:rPr>
        <w:t xml:space="preserve"> </w:t>
      </w:r>
      <w:r w:rsidR="002B60DB">
        <w:rPr>
          <w:rFonts w:ascii="Times" w:hAnsi="Times" w:cs="Times New Roman"/>
          <w:sz w:val="23"/>
          <w:szCs w:val="23"/>
        </w:rPr>
        <w:t>compared with 0DB</w:t>
      </w:r>
    </w:p>
    <w:p w14:paraId="52459F3C" w14:textId="4E42C406" w:rsidR="00E94569" w:rsidRDefault="002B60DB" w:rsidP="005708A0">
      <w:pPr>
        <w:tabs>
          <w:tab w:val="left" w:pos="1418"/>
        </w:tabs>
        <w:spacing w:before="240" w:after="120" w:line="480" w:lineRule="exact"/>
        <w:jc w:val="both"/>
        <w:rPr>
          <w:rFonts w:ascii="Times" w:hAnsi="Times" w:cs="Times New Roman"/>
          <w:iCs/>
        </w:rPr>
      </w:pPr>
      <w:r>
        <w:rPr>
          <w:rFonts w:ascii="Times" w:hAnsi="Times" w:cs="Times New Roman"/>
          <w:iCs/>
        </w:rPr>
        <w:t xml:space="preserve">The incremental pore distribution of 0DB was also compared on this figure, as expected the peak at 0.015-0.025 is of similar height to 28DB2. However there seems to be a higher volume of smaller pores around the 0.011-0.012 </w:t>
      </w:r>
      <w:proofErr w:type="gramStart"/>
      <w:r>
        <w:rPr>
          <w:rFonts w:ascii="Times" w:hAnsi="Times" w:cs="Times New Roman"/>
          <w:iCs/>
        </w:rPr>
        <w:t>region</w:t>
      </w:r>
      <w:proofErr w:type="gramEnd"/>
      <w:r>
        <w:rPr>
          <w:rFonts w:ascii="Times" w:hAnsi="Times" w:cs="Times New Roman"/>
          <w:iCs/>
        </w:rPr>
        <w:t>.</w:t>
      </w:r>
    </w:p>
    <w:p w14:paraId="58873C2F" w14:textId="39A5E395" w:rsidR="005708A0" w:rsidRDefault="005708A0" w:rsidP="005708A0">
      <w:pPr>
        <w:tabs>
          <w:tab w:val="left" w:pos="1418"/>
        </w:tabs>
        <w:spacing w:before="240" w:after="120" w:line="480" w:lineRule="exact"/>
        <w:jc w:val="both"/>
        <w:rPr>
          <w:rFonts w:ascii="Times" w:hAnsi="Times" w:cs="Times New Roman"/>
          <w:iCs/>
        </w:rPr>
      </w:pPr>
      <w:r>
        <w:rPr>
          <w:rFonts w:ascii="Times" w:hAnsi="Times" w:cs="Times New Roman"/>
          <w:iCs/>
        </w:rPr>
        <w:t xml:space="preserve">The same analysis was performed for the </w:t>
      </w:r>
      <w:r w:rsidRPr="00940E56">
        <w:rPr>
          <w:rFonts w:ascii="Times" w:hAnsi="Times" w:cs="Times New Roman"/>
          <w:b/>
          <w:iCs/>
        </w:rPr>
        <w:t>6MB1</w:t>
      </w:r>
      <w:r>
        <w:rPr>
          <w:rFonts w:ascii="Times" w:hAnsi="Times" w:cs="Times New Roman"/>
          <w:iCs/>
        </w:rPr>
        <w:t xml:space="preserve"> and </w:t>
      </w:r>
      <w:r w:rsidRPr="00940E56">
        <w:rPr>
          <w:rFonts w:ascii="Times" w:hAnsi="Times" w:cs="Times New Roman"/>
          <w:b/>
          <w:iCs/>
        </w:rPr>
        <w:t>6MB2</w:t>
      </w:r>
      <w:r w:rsidR="006E6582">
        <w:rPr>
          <w:rFonts w:ascii="Times" w:hAnsi="Times" w:cs="Times New Roman"/>
          <w:iCs/>
        </w:rPr>
        <w:t xml:space="preserve"> samples as shown in figure 4.72</w:t>
      </w:r>
      <w:r>
        <w:rPr>
          <w:rFonts w:ascii="Times" w:hAnsi="Times" w:cs="Times New Roman"/>
          <w:iCs/>
        </w:rPr>
        <w:t xml:space="preserve">. The cumulative porosity for both samples is similar and there is negligible difference. </w:t>
      </w:r>
      <w:r w:rsidR="00483549">
        <w:rPr>
          <w:rFonts w:ascii="Times" w:hAnsi="Times" w:cs="Times New Roman"/>
          <w:iCs/>
        </w:rPr>
        <w:t xml:space="preserve">This suggests the leaching has </w:t>
      </w:r>
      <w:r>
        <w:rPr>
          <w:rFonts w:ascii="Times" w:hAnsi="Times" w:cs="Times New Roman"/>
          <w:iCs/>
        </w:rPr>
        <w:t xml:space="preserve">reached the second layer and as such the sample has degraded and become as porous as the leaching surface. </w:t>
      </w:r>
    </w:p>
    <w:p w14:paraId="571CB482" w14:textId="48976E9A" w:rsidR="005708A0" w:rsidRDefault="005708A0" w:rsidP="005708A0">
      <w:pPr>
        <w:spacing w:before="240" w:after="120"/>
        <w:jc w:val="center"/>
        <w:rPr>
          <w:rFonts w:ascii="Times" w:hAnsi="Times" w:cs="Times New Roman"/>
          <w:sz w:val="23"/>
          <w:szCs w:val="23"/>
        </w:rPr>
      </w:pPr>
      <w:r>
        <w:rPr>
          <w:noProof/>
        </w:rPr>
        <w:lastRenderedPageBreak/>
        <w:drawing>
          <wp:inline distT="0" distB="0" distL="0" distR="0" wp14:anchorId="45C478D8" wp14:editId="671DDEAC">
            <wp:extent cx="2992995" cy="2703496"/>
            <wp:effectExtent l="0" t="0" r="4445" b="0"/>
            <wp:docPr id="277" name="Chart 9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r>
        <w:rPr>
          <w:rFonts w:ascii="Times" w:hAnsi="Times" w:cs="Times New Roman"/>
          <w:iCs/>
        </w:rPr>
        <w:t xml:space="preserve">                                                                    </w:t>
      </w:r>
      <w:r w:rsidR="006E6582">
        <w:rPr>
          <w:rFonts w:ascii="Times" w:hAnsi="Times" w:cs="Times New Roman"/>
          <w:b/>
        </w:rPr>
        <w:t>Fig 4.72</w:t>
      </w:r>
      <w:r>
        <w:rPr>
          <w:rFonts w:ascii="Times" w:hAnsi="Times" w:cs="Times New Roman"/>
          <w:b/>
        </w:rPr>
        <w:t>:</w:t>
      </w:r>
      <w:r>
        <w:rPr>
          <w:rFonts w:ascii="Times" w:hAnsi="Times" w:cs="Times New Roman"/>
          <w:sz w:val="23"/>
          <w:szCs w:val="23"/>
        </w:rPr>
        <w:t xml:space="preserve"> Cumulative pore distribution of 6MB</w:t>
      </w:r>
      <w:r w:rsidR="00E61AF7">
        <w:rPr>
          <w:rFonts w:ascii="Times" w:hAnsi="Times" w:cs="Times New Roman"/>
          <w:sz w:val="23"/>
          <w:szCs w:val="23"/>
        </w:rPr>
        <w:t>1 and 6MB2</w:t>
      </w:r>
    </w:p>
    <w:p w14:paraId="3E1C60BE" w14:textId="77777777" w:rsidR="00E61AF7" w:rsidRDefault="00E61AF7" w:rsidP="005708A0">
      <w:pPr>
        <w:spacing w:before="240" w:after="120"/>
        <w:jc w:val="center"/>
        <w:rPr>
          <w:rFonts w:ascii="Times" w:hAnsi="Times" w:cs="Times New Roman"/>
          <w:sz w:val="23"/>
          <w:szCs w:val="23"/>
        </w:rPr>
      </w:pPr>
    </w:p>
    <w:p w14:paraId="6F22E0E2" w14:textId="77777777" w:rsidR="00E61AF7" w:rsidRDefault="00E61AF7" w:rsidP="005708A0">
      <w:pPr>
        <w:spacing w:before="240" w:after="120"/>
        <w:jc w:val="center"/>
        <w:rPr>
          <w:rFonts w:ascii="Times" w:hAnsi="Times" w:cs="Times New Roman"/>
          <w:sz w:val="23"/>
          <w:szCs w:val="23"/>
        </w:rPr>
      </w:pPr>
    </w:p>
    <w:p w14:paraId="0345CC7A" w14:textId="29A10645" w:rsidR="005708A0" w:rsidRDefault="005708A0" w:rsidP="005708A0">
      <w:pPr>
        <w:spacing w:before="240" w:after="120" w:line="480" w:lineRule="exact"/>
        <w:jc w:val="both"/>
        <w:rPr>
          <w:rFonts w:ascii="Times" w:hAnsi="Times" w:cs="Times New Roman"/>
          <w:iCs/>
        </w:rPr>
      </w:pPr>
      <w:r>
        <w:rPr>
          <w:rFonts w:ascii="Times" w:hAnsi="Times" w:cs="Times New Roman"/>
          <w:iCs/>
        </w:rPr>
        <w:t>The incre</w:t>
      </w:r>
      <w:r w:rsidR="006E6582">
        <w:rPr>
          <w:rFonts w:ascii="Times" w:hAnsi="Times" w:cs="Times New Roman"/>
          <w:iCs/>
        </w:rPr>
        <w:t xml:space="preserve">mental porosity in figure </w:t>
      </w:r>
      <w:proofErr w:type="gramStart"/>
      <w:r w:rsidR="006E6582">
        <w:rPr>
          <w:rFonts w:ascii="Times" w:hAnsi="Times" w:cs="Times New Roman"/>
          <w:iCs/>
        </w:rPr>
        <w:t>4.73</w:t>
      </w:r>
      <w:r>
        <w:rPr>
          <w:rFonts w:ascii="Times" w:hAnsi="Times" w:cs="Times New Roman"/>
          <w:iCs/>
        </w:rPr>
        <w:t>,</w:t>
      </w:r>
      <w:proofErr w:type="gramEnd"/>
      <w:r>
        <w:rPr>
          <w:rFonts w:ascii="Times" w:hAnsi="Times" w:cs="Times New Roman"/>
          <w:iCs/>
        </w:rPr>
        <w:t xml:space="preserve"> shows the majority of the pores are within </w:t>
      </w:r>
      <w:r w:rsidR="00D479F5">
        <w:rPr>
          <w:rFonts w:ascii="Times" w:hAnsi="Times" w:cs="Times New Roman"/>
          <w:iCs/>
        </w:rPr>
        <w:t>the same region of 0.012 and 0.025</w:t>
      </w:r>
      <w:r>
        <w:rPr>
          <w:rFonts w:ascii="Times" w:hAnsi="Times" w:cs="Times New Roman"/>
          <w:iCs/>
        </w:rPr>
        <w:t xml:space="preserve"> microns.</w:t>
      </w:r>
      <w:r w:rsidR="00D50143">
        <w:rPr>
          <w:rFonts w:ascii="Times" w:hAnsi="Times" w:cs="Times New Roman"/>
          <w:iCs/>
        </w:rPr>
        <w:t xml:space="preserve"> </w:t>
      </w:r>
    </w:p>
    <w:p w14:paraId="27C2115B" w14:textId="6D7E08A0" w:rsidR="005708A0" w:rsidRPr="007D6829" w:rsidRDefault="005708A0" w:rsidP="005708A0">
      <w:pPr>
        <w:tabs>
          <w:tab w:val="left" w:pos="1276"/>
        </w:tabs>
        <w:spacing w:before="240" w:after="120"/>
        <w:jc w:val="center"/>
        <w:rPr>
          <w:rFonts w:ascii="Times" w:hAnsi="Times"/>
          <w:sz w:val="20"/>
          <w:szCs w:val="20"/>
        </w:rPr>
      </w:pPr>
      <w:r>
        <w:rPr>
          <w:noProof/>
        </w:rPr>
        <w:drawing>
          <wp:inline distT="0" distB="0" distL="0" distR="0" wp14:anchorId="0BCD2297" wp14:editId="7FF44B91">
            <wp:extent cx="3080385" cy="2578100"/>
            <wp:effectExtent l="0" t="0" r="0" b="0"/>
            <wp:docPr id="279" name="Chart 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r>
        <w:rPr>
          <w:rFonts w:ascii="Times" w:hAnsi="Times" w:cs="Times New Roman"/>
          <w:b/>
        </w:rPr>
        <w:t xml:space="preserve">                                               </w:t>
      </w:r>
      <w:r w:rsidR="006E6582">
        <w:rPr>
          <w:rFonts w:ascii="Times" w:hAnsi="Times" w:cs="Times New Roman"/>
          <w:b/>
        </w:rPr>
        <w:t xml:space="preserve">                        Fig 4.73</w:t>
      </w:r>
      <w:r>
        <w:rPr>
          <w:rFonts w:ascii="Times" w:hAnsi="Times" w:cs="Times New Roman"/>
          <w:b/>
        </w:rPr>
        <w:t>:</w:t>
      </w:r>
      <w:r>
        <w:rPr>
          <w:rFonts w:ascii="Times" w:hAnsi="Times" w:cs="Times New Roman"/>
          <w:sz w:val="23"/>
          <w:szCs w:val="23"/>
        </w:rPr>
        <w:t xml:space="preserve"> Incremental pore distribution of </w:t>
      </w:r>
      <w:r w:rsidRPr="00940E56">
        <w:rPr>
          <w:rFonts w:ascii="Times" w:hAnsi="Times" w:cs="Times New Roman"/>
          <w:b/>
          <w:sz w:val="23"/>
          <w:szCs w:val="23"/>
        </w:rPr>
        <w:t>6MB</w:t>
      </w:r>
      <w:r w:rsidR="00F042CC" w:rsidRPr="00940E56">
        <w:rPr>
          <w:rFonts w:ascii="Times" w:hAnsi="Times" w:cs="Times New Roman"/>
          <w:b/>
          <w:sz w:val="23"/>
          <w:szCs w:val="23"/>
        </w:rPr>
        <w:t>1</w:t>
      </w:r>
      <w:r w:rsidR="00F042CC">
        <w:rPr>
          <w:rFonts w:ascii="Times" w:hAnsi="Times" w:cs="Times New Roman"/>
          <w:sz w:val="23"/>
          <w:szCs w:val="23"/>
        </w:rPr>
        <w:t xml:space="preserve"> and </w:t>
      </w:r>
      <w:r w:rsidR="00F042CC" w:rsidRPr="00940E56">
        <w:rPr>
          <w:rFonts w:ascii="Times" w:hAnsi="Times" w:cs="Times New Roman"/>
          <w:b/>
          <w:sz w:val="23"/>
          <w:szCs w:val="23"/>
        </w:rPr>
        <w:t>6MB2</w:t>
      </w:r>
      <w:r>
        <w:rPr>
          <w:rFonts w:ascii="Times" w:hAnsi="Times"/>
          <w:sz w:val="20"/>
          <w:szCs w:val="20"/>
        </w:rPr>
        <w:t xml:space="preserve"> </w:t>
      </w:r>
    </w:p>
    <w:p w14:paraId="5B2089E7" w14:textId="5F07726D" w:rsidR="005708A0" w:rsidRDefault="00D63C82" w:rsidP="005708A0">
      <w:pPr>
        <w:spacing w:before="240" w:after="120" w:line="480" w:lineRule="exact"/>
        <w:jc w:val="both"/>
        <w:rPr>
          <w:rFonts w:ascii="Times" w:hAnsi="Times" w:cs="Times New Roman"/>
          <w:iCs/>
        </w:rPr>
      </w:pPr>
      <w:r>
        <w:rPr>
          <w:rFonts w:ascii="Times" w:hAnsi="Times" w:cs="Times New Roman"/>
          <w:iCs/>
        </w:rPr>
        <w:t>T</w:t>
      </w:r>
      <w:r w:rsidR="005708A0">
        <w:rPr>
          <w:rFonts w:ascii="Times" w:hAnsi="Times" w:cs="Times New Roman"/>
          <w:iCs/>
        </w:rPr>
        <w:t xml:space="preserve">he cumulative pore volume for the CS loaded samples shows </w:t>
      </w:r>
      <w:r w:rsidR="006E6582">
        <w:rPr>
          <w:rFonts w:ascii="Times" w:hAnsi="Times" w:cs="Times New Roman"/>
          <w:iCs/>
        </w:rPr>
        <w:t xml:space="preserve">that the </w:t>
      </w:r>
      <w:r w:rsidR="00940E56" w:rsidRPr="00CE1CA5">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940E56">
        <w:rPr>
          <w:rFonts w:ascii="Times" w:hAnsi="Times" w:cs="Times New Roman"/>
          <w:b/>
        </w:rPr>
        <w:t>1</w:t>
      </w:r>
      <w:r w:rsidR="005708A0">
        <w:rPr>
          <w:rFonts w:ascii="Times" w:hAnsi="Times" w:cs="Times New Roman"/>
          <w:iCs/>
        </w:rPr>
        <w:t xml:space="preserve"> </w:t>
      </w:r>
      <w:r w:rsidR="006E6582">
        <w:rPr>
          <w:rFonts w:ascii="Times" w:hAnsi="Times" w:cs="Times New Roman"/>
          <w:iCs/>
        </w:rPr>
        <w:t>is more porous than</w:t>
      </w:r>
      <w:r w:rsidR="005708A0">
        <w:rPr>
          <w:rFonts w:ascii="Times" w:hAnsi="Times" w:cs="Times New Roman"/>
          <w:iCs/>
        </w:rPr>
        <w:t xml:space="preserve"> </w:t>
      </w:r>
      <w:r w:rsidR="00940E56" w:rsidRPr="00CE1CA5">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940E56" w:rsidRPr="00CE1CA5">
        <w:rPr>
          <w:rFonts w:ascii="Times" w:hAnsi="Times" w:cs="Times New Roman"/>
          <w:b/>
        </w:rPr>
        <w:t>2</w:t>
      </w:r>
      <w:r w:rsidR="005708A0">
        <w:rPr>
          <w:rFonts w:ascii="Times" w:hAnsi="Times" w:cs="Times New Roman"/>
          <w:iCs/>
        </w:rPr>
        <w:t xml:space="preserve"> (fig 4.7</w:t>
      </w:r>
      <w:r w:rsidR="006E6582">
        <w:rPr>
          <w:rFonts w:ascii="Times" w:hAnsi="Times" w:cs="Times New Roman"/>
          <w:iCs/>
        </w:rPr>
        <w:t>4</w:t>
      </w:r>
      <w:r w:rsidR="005708A0">
        <w:rPr>
          <w:rFonts w:ascii="Times" w:hAnsi="Times" w:cs="Times New Roman"/>
          <w:iCs/>
        </w:rPr>
        <w:t>)</w:t>
      </w:r>
      <w:r w:rsidR="006E6582">
        <w:rPr>
          <w:rFonts w:ascii="Times" w:hAnsi="Times" w:cs="Times New Roman"/>
          <w:iCs/>
        </w:rPr>
        <w:t xml:space="preserve"> and</w:t>
      </w:r>
      <w:r w:rsidR="005708A0">
        <w:rPr>
          <w:rFonts w:ascii="Times" w:hAnsi="Times" w:cs="Times New Roman"/>
          <w:iCs/>
        </w:rPr>
        <w:t xml:space="preserve"> </w:t>
      </w:r>
      <w:r w:rsidR="006E6582" w:rsidRPr="00CE1CA5">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6E6582" w:rsidRPr="00CE1CA5">
        <w:rPr>
          <w:rFonts w:ascii="Times" w:hAnsi="Times" w:cs="Times New Roman"/>
          <w:b/>
        </w:rPr>
        <w:t>2</w:t>
      </w:r>
      <w:r w:rsidR="006E6582">
        <w:rPr>
          <w:rFonts w:ascii="Times" w:hAnsi="Times" w:cs="Times New Roman"/>
          <w:iCs/>
        </w:rPr>
        <w:t xml:space="preserve"> is more porous than </w:t>
      </w:r>
      <w:r w:rsidR="006E6582">
        <w:rPr>
          <w:rFonts w:ascii="Times" w:hAnsi="Times" w:cs="Times New Roman"/>
          <w:b/>
        </w:rPr>
        <w:t>0</w:t>
      </w:r>
      <w:r w:rsidR="006E6582" w:rsidRPr="00CE1CA5">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6E6582">
        <w:rPr>
          <w:rFonts w:ascii="Times" w:hAnsi="Times" w:cs="Times New Roman"/>
          <w:iCs/>
        </w:rPr>
        <w:t xml:space="preserve"> suggesting the leaching is degrading the sample deeper within however the surface is leaching at hig</w:t>
      </w:r>
      <w:r>
        <w:rPr>
          <w:rFonts w:ascii="Times" w:hAnsi="Times" w:cs="Times New Roman"/>
          <w:iCs/>
        </w:rPr>
        <w:t>h</w:t>
      </w:r>
      <w:r w:rsidR="006E6582">
        <w:rPr>
          <w:rFonts w:ascii="Times" w:hAnsi="Times" w:cs="Times New Roman"/>
          <w:iCs/>
        </w:rPr>
        <w:t>er rate</w:t>
      </w:r>
      <w:r w:rsidR="005708A0">
        <w:rPr>
          <w:rFonts w:ascii="Times" w:hAnsi="Times" w:cs="Times New Roman"/>
          <w:iCs/>
        </w:rPr>
        <w:t>. When comparing the incremental pore volumes in figure 4.7</w:t>
      </w:r>
      <w:r w:rsidR="006E6582">
        <w:rPr>
          <w:rFonts w:ascii="Times" w:hAnsi="Times" w:cs="Times New Roman"/>
          <w:iCs/>
        </w:rPr>
        <w:t>5</w:t>
      </w:r>
      <w:r w:rsidR="005708A0">
        <w:rPr>
          <w:rFonts w:ascii="Times" w:hAnsi="Times" w:cs="Times New Roman"/>
          <w:iCs/>
        </w:rPr>
        <w:t xml:space="preserve">, </w:t>
      </w:r>
      <w:r w:rsidR="005708A0">
        <w:rPr>
          <w:rFonts w:ascii="Times" w:hAnsi="Times" w:cs="Times New Roman"/>
          <w:iCs/>
        </w:rPr>
        <w:lastRenderedPageBreak/>
        <w:t>it seems that the majority of pores have a size of 0.0</w:t>
      </w:r>
      <w:r w:rsidR="006E03CD">
        <w:rPr>
          <w:rFonts w:ascii="Times" w:hAnsi="Times" w:cs="Times New Roman"/>
          <w:iCs/>
        </w:rPr>
        <w:t>08</w:t>
      </w:r>
      <w:r w:rsidR="005708A0">
        <w:rPr>
          <w:rFonts w:ascii="Times" w:hAnsi="Times" w:cs="Times New Roman"/>
          <w:iCs/>
        </w:rPr>
        <w:t>-0.0</w:t>
      </w:r>
      <w:r w:rsidR="006E03CD">
        <w:rPr>
          <w:rFonts w:ascii="Times" w:hAnsi="Times" w:cs="Times New Roman"/>
          <w:iCs/>
        </w:rPr>
        <w:t>18</w:t>
      </w:r>
      <w:r w:rsidR="005708A0">
        <w:rPr>
          <w:rFonts w:ascii="Times" w:hAnsi="Times" w:cs="Times New Roman"/>
          <w:iCs/>
        </w:rPr>
        <w:t xml:space="preserve"> microns in the </w:t>
      </w:r>
      <w:r w:rsidR="00940E56" w:rsidRPr="00CE1CA5">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940E56">
        <w:rPr>
          <w:rFonts w:ascii="Times" w:hAnsi="Times" w:cs="Times New Roman"/>
          <w:b/>
        </w:rPr>
        <w:t>1</w:t>
      </w:r>
      <w:r w:rsidR="005708A0">
        <w:rPr>
          <w:rFonts w:ascii="Times" w:hAnsi="Times" w:cs="Times New Roman"/>
          <w:iCs/>
        </w:rPr>
        <w:t xml:space="preserve"> sample</w:t>
      </w:r>
      <w:r w:rsidR="006E03CD">
        <w:rPr>
          <w:rFonts w:ascii="Times" w:hAnsi="Times" w:cs="Times New Roman"/>
          <w:iCs/>
        </w:rPr>
        <w:t xml:space="preserve"> and this seems to be the reason for the higher porosity of </w:t>
      </w:r>
      <w:r w:rsidR="006E03CD" w:rsidRPr="00CE1CA5">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6E03CD">
        <w:rPr>
          <w:rFonts w:ascii="Times" w:hAnsi="Times" w:cs="Times New Roman"/>
          <w:b/>
        </w:rPr>
        <w:t>1</w:t>
      </w:r>
      <w:r w:rsidR="006E03CD">
        <w:rPr>
          <w:rFonts w:ascii="Times" w:hAnsi="Times" w:cs="Times New Roman"/>
          <w:iCs/>
        </w:rPr>
        <w:t>,</w:t>
      </w:r>
      <w:r w:rsidR="005708A0">
        <w:rPr>
          <w:rFonts w:ascii="Times" w:hAnsi="Times" w:cs="Times New Roman"/>
          <w:iCs/>
        </w:rPr>
        <w:t xml:space="preserve"> whereas the pores in the </w:t>
      </w:r>
      <w:r w:rsidR="00940E56" w:rsidRPr="00CE1CA5">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940E56" w:rsidRPr="00CE1CA5">
        <w:rPr>
          <w:rFonts w:ascii="Times" w:hAnsi="Times" w:cs="Times New Roman"/>
          <w:b/>
        </w:rPr>
        <w:t>2</w:t>
      </w:r>
      <w:r w:rsidR="005708A0">
        <w:rPr>
          <w:rFonts w:ascii="Times" w:hAnsi="Times" w:cs="Times New Roman"/>
          <w:iCs/>
        </w:rPr>
        <w:t xml:space="preserve"> sample have a </w:t>
      </w:r>
      <w:r w:rsidR="006E03CD">
        <w:rPr>
          <w:rFonts w:ascii="Times" w:hAnsi="Times" w:cs="Times New Roman"/>
          <w:iCs/>
        </w:rPr>
        <w:t xml:space="preserve">relatively even </w:t>
      </w:r>
      <w:r w:rsidR="005D5E83">
        <w:rPr>
          <w:rFonts w:ascii="Times" w:hAnsi="Times" w:cs="Times New Roman"/>
          <w:iCs/>
        </w:rPr>
        <w:t>distribution</w:t>
      </w:r>
      <w:r w:rsidR="006E03CD">
        <w:rPr>
          <w:rFonts w:ascii="Times" w:hAnsi="Times" w:cs="Times New Roman"/>
          <w:iCs/>
        </w:rPr>
        <w:t xml:space="preserve"> of pores </w:t>
      </w:r>
      <w:r w:rsidR="00971672">
        <w:rPr>
          <w:rFonts w:ascii="Times" w:hAnsi="Times" w:cs="Times New Roman"/>
          <w:iCs/>
        </w:rPr>
        <w:t>between</w:t>
      </w:r>
      <w:r w:rsidR="006E03CD">
        <w:rPr>
          <w:rFonts w:ascii="Times" w:hAnsi="Times" w:cs="Times New Roman"/>
          <w:iCs/>
        </w:rPr>
        <w:t xml:space="preserve"> 0.008-0.04</w:t>
      </w:r>
    </w:p>
    <w:p w14:paraId="0A575C75" w14:textId="3BBD99F6" w:rsidR="005708A0" w:rsidRDefault="009D51A0" w:rsidP="005708A0">
      <w:pPr>
        <w:tabs>
          <w:tab w:val="left" w:pos="1276"/>
        </w:tabs>
        <w:jc w:val="center"/>
        <w:rPr>
          <w:rFonts w:ascii="Times" w:hAnsi="Times" w:cs="Times New Roman"/>
          <w:b/>
        </w:rPr>
      </w:pPr>
      <w:r>
        <w:rPr>
          <w:noProof/>
        </w:rPr>
        <w:drawing>
          <wp:inline distT="0" distB="0" distL="0" distR="0" wp14:anchorId="34054E52" wp14:editId="7EA9FBB2">
            <wp:extent cx="3385457" cy="2705100"/>
            <wp:effectExtent l="0" t="0" r="0" b="0"/>
            <wp:docPr id="273" name="Chart 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54829971" w14:textId="7D38F0E5" w:rsidR="005708A0" w:rsidRDefault="005708A0" w:rsidP="005708A0">
      <w:pPr>
        <w:tabs>
          <w:tab w:val="left" w:pos="1276"/>
        </w:tabs>
        <w:jc w:val="center"/>
        <w:rPr>
          <w:rFonts w:ascii="Times" w:hAnsi="Times"/>
          <w:sz w:val="20"/>
          <w:szCs w:val="20"/>
        </w:rPr>
      </w:pPr>
      <w:r>
        <w:rPr>
          <w:rFonts w:ascii="Times" w:hAnsi="Times" w:cs="Times New Roman"/>
          <w:b/>
        </w:rPr>
        <w:t>Fig 4.7</w:t>
      </w:r>
      <w:r w:rsidR="006E6582">
        <w:rPr>
          <w:rFonts w:ascii="Times" w:hAnsi="Times" w:cs="Times New Roman"/>
          <w:b/>
        </w:rPr>
        <w:t>4</w:t>
      </w:r>
      <w:r>
        <w:rPr>
          <w:rFonts w:ascii="Times" w:hAnsi="Times" w:cs="Times New Roman"/>
          <w:b/>
        </w:rPr>
        <w:t>:</w:t>
      </w:r>
      <w:r>
        <w:rPr>
          <w:rFonts w:ascii="Times" w:hAnsi="Times" w:cs="Times New Roman"/>
          <w:sz w:val="23"/>
          <w:szCs w:val="23"/>
        </w:rPr>
        <w:t xml:space="preserve"> Cumulative pore distribution of </w:t>
      </w:r>
      <w:r w:rsidR="00940E56" w:rsidRPr="00CE1CA5">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940E56">
        <w:rPr>
          <w:rFonts w:ascii="Times" w:hAnsi="Times" w:cs="Times New Roman"/>
          <w:b/>
        </w:rPr>
        <w:t>1</w:t>
      </w:r>
      <w:r w:rsidR="00481BE6">
        <w:rPr>
          <w:rFonts w:ascii="Times" w:hAnsi="Times" w:cs="Times New Roman"/>
          <w:sz w:val="23"/>
          <w:szCs w:val="23"/>
        </w:rPr>
        <w:t xml:space="preserve"> and </w:t>
      </w:r>
      <w:r w:rsidR="00940E56" w:rsidRPr="00CE1CA5">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940E56" w:rsidRPr="00CE1CA5">
        <w:rPr>
          <w:rFonts w:ascii="Times" w:hAnsi="Times" w:cs="Times New Roman"/>
          <w:b/>
        </w:rPr>
        <w:t>2</w:t>
      </w:r>
    </w:p>
    <w:p w14:paraId="314572F2" w14:textId="77777777" w:rsidR="005708A0" w:rsidRDefault="005708A0" w:rsidP="005708A0">
      <w:pPr>
        <w:spacing w:before="240" w:after="120"/>
        <w:jc w:val="center"/>
        <w:rPr>
          <w:rFonts w:ascii="Times" w:hAnsi="Times" w:cs="Times New Roman"/>
          <w:iCs/>
        </w:rPr>
      </w:pPr>
    </w:p>
    <w:p w14:paraId="50578129" w14:textId="73C84E74" w:rsidR="005708A0" w:rsidRDefault="009438A1" w:rsidP="005708A0">
      <w:pPr>
        <w:tabs>
          <w:tab w:val="left" w:pos="1276"/>
        </w:tabs>
        <w:jc w:val="center"/>
        <w:rPr>
          <w:rFonts w:ascii="Times" w:hAnsi="Times" w:cs="Times New Roman"/>
          <w:iCs/>
        </w:rPr>
      </w:pPr>
      <w:r>
        <w:rPr>
          <w:noProof/>
        </w:rPr>
        <w:drawing>
          <wp:inline distT="0" distB="0" distL="0" distR="0" wp14:anchorId="2BEFA9C5" wp14:editId="30C0A184">
            <wp:extent cx="3510280" cy="3022600"/>
            <wp:effectExtent l="0" t="0" r="0" b="0"/>
            <wp:docPr id="275" name="Chart 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4802D42A" w14:textId="312C509D" w:rsidR="005708A0" w:rsidRDefault="006E6582" w:rsidP="005708A0">
      <w:pPr>
        <w:tabs>
          <w:tab w:val="left" w:pos="1276"/>
        </w:tabs>
        <w:jc w:val="center"/>
        <w:rPr>
          <w:rFonts w:ascii="Times" w:hAnsi="Times"/>
          <w:sz w:val="20"/>
          <w:szCs w:val="20"/>
        </w:rPr>
      </w:pPr>
      <w:r>
        <w:rPr>
          <w:rFonts w:ascii="Times" w:hAnsi="Times" w:cs="Times New Roman"/>
          <w:b/>
        </w:rPr>
        <w:t>Fig 4.75</w:t>
      </w:r>
      <w:r w:rsidR="005708A0">
        <w:rPr>
          <w:rFonts w:ascii="Times" w:hAnsi="Times" w:cs="Times New Roman"/>
          <w:b/>
        </w:rPr>
        <w:t>:</w:t>
      </w:r>
      <w:r w:rsidR="005708A0">
        <w:rPr>
          <w:rFonts w:ascii="Times" w:hAnsi="Times" w:cs="Times New Roman"/>
          <w:sz w:val="23"/>
          <w:szCs w:val="23"/>
        </w:rPr>
        <w:t xml:space="preserve"> Increme</w:t>
      </w:r>
      <w:r w:rsidR="001D59E4">
        <w:rPr>
          <w:rFonts w:ascii="Times" w:hAnsi="Times" w:cs="Times New Roman"/>
          <w:sz w:val="23"/>
          <w:szCs w:val="23"/>
        </w:rPr>
        <w:t xml:space="preserve">ntal pore distribution of </w:t>
      </w:r>
      <w:r w:rsidR="00DC480E" w:rsidRPr="00CE1CA5">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DC480E">
        <w:rPr>
          <w:rFonts w:ascii="Times" w:hAnsi="Times" w:cs="Times New Roman"/>
          <w:b/>
        </w:rPr>
        <w:t>1</w:t>
      </w:r>
      <w:r w:rsidR="001D59E4">
        <w:rPr>
          <w:rFonts w:ascii="Times" w:hAnsi="Times" w:cs="Times New Roman"/>
          <w:sz w:val="23"/>
          <w:szCs w:val="23"/>
        </w:rPr>
        <w:t xml:space="preserve"> and </w:t>
      </w:r>
      <w:r w:rsidR="00DC480E" w:rsidRPr="00CE1CA5">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DC480E" w:rsidRPr="00CE1CA5">
        <w:rPr>
          <w:rFonts w:ascii="Times" w:hAnsi="Times" w:cs="Times New Roman"/>
          <w:b/>
        </w:rPr>
        <w:t>2</w:t>
      </w:r>
      <w:r w:rsidR="00BA6545">
        <w:rPr>
          <w:rFonts w:ascii="Times" w:hAnsi="Times" w:cs="Times New Roman"/>
          <w:sz w:val="23"/>
          <w:szCs w:val="23"/>
        </w:rPr>
        <w:t xml:space="preserve"> </w:t>
      </w:r>
    </w:p>
    <w:p w14:paraId="2F923A08" w14:textId="66769B0B" w:rsidR="005708A0" w:rsidRDefault="005708A0" w:rsidP="005708A0">
      <w:pPr>
        <w:spacing w:before="240" w:after="120" w:line="480" w:lineRule="exact"/>
        <w:jc w:val="both"/>
        <w:outlineLvl w:val="0"/>
        <w:rPr>
          <w:rFonts w:ascii="Times" w:hAnsi="Times" w:cs="Times New Roman"/>
          <w:iCs/>
        </w:rPr>
      </w:pPr>
      <w:r>
        <w:rPr>
          <w:rFonts w:ascii="Times" w:hAnsi="Times" w:cs="Times New Roman"/>
          <w:iCs/>
        </w:rPr>
        <w:t xml:space="preserve">The cumulative porosity of </w:t>
      </w:r>
      <w:r w:rsidR="00DC480E">
        <w:rPr>
          <w:rFonts w:ascii="Times" w:hAnsi="Times" w:cs="Times New Roman"/>
          <w:b/>
        </w:rPr>
        <w:t>6M</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DC480E">
        <w:rPr>
          <w:rFonts w:ascii="Times" w:hAnsi="Times" w:cs="Times New Roman"/>
          <w:b/>
        </w:rPr>
        <w:t>1</w:t>
      </w:r>
      <w:r>
        <w:rPr>
          <w:rFonts w:ascii="Times" w:hAnsi="Times" w:cs="Times New Roman"/>
          <w:iCs/>
        </w:rPr>
        <w:t xml:space="preserve"> and </w:t>
      </w:r>
      <w:r w:rsidR="00DC480E">
        <w:rPr>
          <w:rFonts w:ascii="Times" w:hAnsi="Times" w:cs="Times New Roman"/>
          <w:b/>
        </w:rPr>
        <w:t>6M</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DC480E" w:rsidRPr="00CE1CA5">
        <w:rPr>
          <w:rFonts w:ascii="Times" w:hAnsi="Times" w:cs="Times New Roman"/>
          <w:b/>
        </w:rPr>
        <w:t>2</w:t>
      </w:r>
      <w:r>
        <w:rPr>
          <w:rFonts w:ascii="Times" w:hAnsi="Times" w:cs="Times New Roman"/>
          <w:iCs/>
        </w:rPr>
        <w:t xml:space="preserve"> is similar and both are significantly higher than </w:t>
      </w:r>
      <w:r w:rsidR="00DC480E" w:rsidRPr="00CE1CA5">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DC480E">
        <w:rPr>
          <w:rFonts w:ascii="Times" w:hAnsi="Times" w:cs="Times New Roman"/>
          <w:b/>
        </w:rPr>
        <w:t>1</w:t>
      </w:r>
      <w:r>
        <w:rPr>
          <w:rFonts w:ascii="Times" w:hAnsi="Times" w:cs="Times New Roman"/>
          <w:iCs/>
        </w:rPr>
        <w:t xml:space="preserve"> and </w:t>
      </w:r>
      <w:r w:rsidR="00DC480E" w:rsidRPr="00CE1CA5">
        <w:rPr>
          <w:rFonts w:ascii="Times" w:hAnsi="Times" w:cs="Times New Roman"/>
          <w:b/>
        </w:rPr>
        <w:t>28D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DC480E" w:rsidRPr="00CE1CA5">
        <w:rPr>
          <w:rFonts w:ascii="Times" w:hAnsi="Times" w:cs="Times New Roman"/>
          <w:b/>
        </w:rPr>
        <w:t>2</w:t>
      </w:r>
      <w:r w:rsidR="00144CBD">
        <w:rPr>
          <w:rFonts w:ascii="Times" w:hAnsi="Times" w:cs="Times New Roman"/>
          <w:iCs/>
        </w:rPr>
        <w:t xml:space="preserve"> respectively (figure 4.76</w:t>
      </w:r>
      <w:r>
        <w:rPr>
          <w:rFonts w:ascii="Times" w:hAnsi="Times" w:cs="Times New Roman"/>
          <w:iCs/>
        </w:rPr>
        <w:t xml:space="preserve">). The incremental pore </w:t>
      </w:r>
      <w:r>
        <w:rPr>
          <w:rFonts w:ascii="Times" w:hAnsi="Times" w:cs="Times New Roman"/>
          <w:iCs/>
        </w:rPr>
        <w:lastRenderedPageBreak/>
        <w:t>data (f</w:t>
      </w:r>
      <w:r w:rsidR="00144CBD">
        <w:rPr>
          <w:rFonts w:ascii="Times" w:hAnsi="Times" w:cs="Times New Roman"/>
          <w:iCs/>
        </w:rPr>
        <w:t>igure 4.77</w:t>
      </w:r>
      <w:r w:rsidR="0033618A">
        <w:rPr>
          <w:rFonts w:ascii="Times" w:hAnsi="Times" w:cs="Times New Roman"/>
          <w:iCs/>
        </w:rPr>
        <w:t xml:space="preserve">) shows that the </w:t>
      </w:r>
      <w:r w:rsidR="00DC480E">
        <w:rPr>
          <w:rFonts w:ascii="Times" w:hAnsi="Times" w:cs="Times New Roman"/>
          <w:b/>
        </w:rPr>
        <w:t>6M</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DC480E" w:rsidRPr="00CE1CA5">
        <w:rPr>
          <w:rFonts w:ascii="Times" w:hAnsi="Times" w:cs="Times New Roman"/>
          <w:b/>
        </w:rPr>
        <w:t>2</w:t>
      </w:r>
      <w:r>
        <w:rPr>
          <w:rFonts w:ascii="Times" w:hAnsi="Times" w:cs="Times New Roman"/>
          <w:iCs/>
        </w:rPr>
        <w:t xml:space="preserve"> </w:t>
      </w:r>
      <w:r w:rsidR="0033618A">
        <w:rPr>
          <w:rFonts w:ascii="Times" w:hAnsi="Times" w:cs="Times New Roman"/>
          <w:iCs/>
        </w:rPr>
        <w:t>has a higher amount of finer pores at around 0.</w:t>
      </w:r>
      <w:r w:rsidR="00CA2581">
        <w:rPr>
          <w:rFonts w:ascii="Times" w:hAnsi="Times" w:cs="Times New Roman"/>
          <w:iCs/>
        </w:rPr>
        <w:t>0</w:t>
      </w:r>
      <w:r w:rsidR="0033618A">
        <w:rPr>
          <w:rFonts w:ascii="Times" w:hAnsi="Times" w:cs="Times New Roman"/>
          <w:iCs/>
        </w:rPr>
        <w:t>3-0.</w:t>
      </w:r>
      <w:r w:rsidR="00CA2581">
        <w:rPr>
          <w:rFonts w:ascii="Times" w:hAnsi="Times" w:cs="Times New Roman"/>
          <w:iCs/>
        </w:rPr>
        <w:t>0</w:t>
      </w:r>
      <w:r w:rsidR="0033618A">
        <w:rPr>
          <w:rFonts w:ascii="Times" w:hAnsi="Times" w:cs="Times New Roman"/>
          <w:iCs/>
        </w:rPr>
        <w:t>5</w:t>
      </w:r>
      <w:r w:rsidR="0033618A">
        <w:rPr>
          <w:rFonts w:ascii="Times" w:hAnsi="Times"/>
          <w:sz w:val="20"/>
          <w:szCs w:val="20"/>
          <w:lang w:val="en-GB"/>
        </w:rPr>
        <w:t xml:space="preserve"> </w:t>
      </w:r>
      <w:r w:rsidR="0033618A" w:rsidRPr="0033618A">
        <w:rPr>
          <w:rFonts w:ascii="Times" w:hAnsi="Times" w:cs="Times New Roman"/>
          <w:bCs/>
          <w:iCs/>
          <w:lang w:val="el-GR"/>
        </w:rPr>
        <w:t>μm</w:t>
      </w:r>
      <w:r w:rsidR="0033618A">
        <w:rPr>
          <w:rFonts w:ascii="Times" w:hAnsi="Times" w:cs="Times New Roman"/>
          <w:iCs/>
        </w:rPr>
        <w:t xml:space="preserve"> than 6MCS1</w:t>
      </w:r>
      <w:r>
        <w:rPr>
          <w:rFonts w:ascii="Times" w:hAnsi="Times" w:cs="Times New Roman"/>
          <w:iCs/>
        </w:rPr>
        <w:t>, with a sharp peak at 0.0</w:t>
      </w:r>
      <w:r w:rsidR="00CA2581">
        <w:rPr>
          <w:rFonts w:ascii="Times" w:hAnsi="Times" w:cs="Times New Roman"/>
          <w:iCs/>
        </w:rPr>
        <w:t>2</w:t>
      </w:r>
      <w:r w:rsidR="0033618A">
        <w:rPr>
          <w:rFonts w:ascii="Times" w:hAnsi="Times" w:cs="Times New Roman"/>
          <w:iCs/>
        </w:rPr>
        <w:t xml:space="preserve"> </w:t>
      </w:r>
      <w:r w:rsidR="0033618A" w:rsidRPr="0033618A">
        <w:rPr>
          <w:rFonts w:ascii="Times" w:hAnsi="Times" w:cs="Times New Roman"/>
          <w:bCs/>
          <w:iCs/>
          <w:lang w:val="el-GR"/>
        </w:rPr>
        <w:t>μm</w:t>
      </w:r>
      <w:r>
        <w:rPr>
          <w:rFonts w:ascii="Times" w:hAnsi="Times" w:cs="Times New Roman"/>
          <w:iCs/>
        </w:rPr>
        <w:t xml:space="preserve">. </w:t>
      </w:r>
    </w:p>
    <w:p w14:paraId="17C91887" w14:textId="77777777" w:rsidR="005708A0" w:rsidRDefault="005708A0" w:rsidP="00BB0636">
      <w:pPr>
        <w:tabs>
          <w:tab w:val="left" w:pos="1276"/>
        </w:tabs>
        <w:jc w:val="center"/>
        <w:rPr>
          <w:rFonts w:ascii="Times" w:hAnsi="Times" w:cs="Times New Roman"/>
          <w:b/>
        </w:rPr>
      </w:pPr>
      <w:r>
        <w:rPr>
          <w:noProof/>
        </w:rPr>
        <w:drawing>
          <wp:inline distT="0" distB="0" distL="0" distR="0" wp14:anchorId="0B8227D6" wp14:editId="6F736D7C">
            <wp:extent cx="3287395" cy="2484521"/>
            <wp:effectExtent l="0" t="0" r="0" b="5080"/>
            <wp:docPr id="33" name="Chart 9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r w:rsidRPr="00EF78C2">
        <w:rPr>
          <w:rFonts w:ascii="Times" w:hAnsi="Times" w:cs="Times New Roman"/>
          <w:b/>
        </w:rPr>
        <w:t xml:space="preserve"> </w:t>
      </w:r>
    </w:p>
    <w:p w14:paraId="18BEC1CC" w14:textId="5563CE7C" w:rsidR="005708A0" w:rsidRDefault="00144CBD" w:rsidP="00BB0636">
      <w:pPr>
        <w:tabs>
          <w:tab w:val="left" w:pos="1276"/>
        </w:tabs>
        <w:jc w:val="center"/>
        <w:rPr>
          <w:rFonts w:ascii="Times" w:hAnsi="Times"/>
          <w:sz w:val="20"/>
          <w:szCs w:val="20"/>
        </w:rPr>
      </w:pPr>
      <w:r>
        <w:rPr>
          <w:rFonts w:ascii="Times" w:hAnsi="Times" w:cs="Times New Roman"/>
          <w:b/>
        </w:rPr>
        <w:t>Fig 4.76</w:t>
      </w:r>
      <w:r w:rsidR="005708A0">
        <w:rPr>
          <w:rFonts w:ascii="Times" w:hAnsi="Times" w:cs="Times New Roman"/>
          <w:b/>
        </w:rPr>
        <w:t>:</w:t>
      </w:r>
      <w:r w:rsidR="005708A0">
        <w:rPr>
          <w:rFonts w:ascii="Times" w:hAnsi="Times" w:cs="Times New Roman"/>
          <w:sz w:val="23"/>
          <w:szCs w:val="23"/>
        </w:rPr>
        <w:t xml:space="preserve"> Cumulative pore distribution of 6M</w:t>
      </w:r>
      <w:r w:rsidR="005708A0">
        <w:rPr>
          <w:rFonts w:ascii="Times New Roman" w:hAnsi="Times New Roman" w:cs="Times New Roman"/>
          <w:sz w:val="23"/>
          <w:szCs w:val="23"/>
        </w:rPr>
        <w:t>CS</w:t>
      </w:r>
      <w:r w:rsidR="005708A0">
        <w:rPr>
          <w:rFonts w:ascii="Times" w:hAnsi="Times" w:cs="Times New Roman"/>
          <w:sz w:val="23"/>
          <w:szCs w:val="23"/>
        </w:rPr>
        <w:t xml:space="preserve"> samples at 5mm and 10mm depth from exposure surface</w:t>
      </w:r>
      <w:r w:rsidR="005708A0">
        <w:rPr>
          <w:rFonts w:ascii="Times" w:hAnsi="Times"/>
          <w:sz w:val="20"/>
          <w:szCs w:val="20"/>
        </w:rPr>
        <w:t xml:space="preserve"> </w:t>
      </w:r>
    </w:p>
    <w:p w14:paraId="691D5EE9" w14:textId="77777777" w:rsidR="005708A0" w:rsidRDefault="005708A0" w:rsidP="005708A0">
      <w:pPr>
        <w:spacing w:before="240" w:after="120"/>
        <w:jc w:val="center"/>
        <w:outlineLvl w:val="0"/>
        <w:rPr>
          <w:rFonts w:ascii="Times" w:hAnsi="Times" w:cs="Times New Roman"/>
          <w:iCs/>
        </w:rPr>
      </w:pPr>
    </w:p>
    <w:p w14:paraId="26CF0C81" w14:textId="68450BB7" w:rsidR="005708A0" w:rsidRDefault="00D968ED" w:rsidP="005708A0">
      <w:pPr>
        <w:jc w:val="center"/>
        <w:rPr>
          <w:rFonts w:ascii="Times" w:hAnsi="Times" w:cs="Times New Roman"/>
          <w:b/>
          <w:bCs/>
          <w:iCs/>
        </w:rPr>
      </w:pPr>
      <w:r>
        <w:rPr>
          <w:noProof/>
        </w:rPr>
        <w:drawing>
          <wp:inline distT="0" distB="0" distL="0" distR="0" wp14:anchorId="2386A653" wp14:editId="7FA7791E">
            <wp:extent cx="4152900" cy="3111500"/>
            <wp:effectExtent l="0" t="0" r="0" b="0"/>
            <wp:docPr id="281" name="Chart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701F6E01" w14:textId="6ABB8C5A" w:rsidR="005708A0" w:rsidRPr="00D47BFD" w:rsidRDefault="00144CBD" w:rsidP="005708A0">
      <w:pPr>
        <w:jc w:val="center"/>
        <w:rPr>
          <w:rFonts w:ascii="Times" w:hAnsi="Times" w:cs="Times New Roman"/>
          <w:b/>
          <w:bCs/>
          <w:iCs/>
        </w:rPr>
      </w:pPr>
      <w:r>
        <w:rPr>
          <w:rFonts w:ascii="Times" w:hAnsi="Times" w:cs="Times New Roman"/>
          <w:b/>
        </w:rPr>
        <w:t>Fig 4.77</w:t>
      </w:r>
      <w:r w:rsidR="005708A0">
        <w:rPr>
          <w:rFonts w:ascii="Times" w:hAnsi="Times" w:cs="Times New Roman"/>
          <w:b/>
        </w:rPr>
        <w:t>:</w:t>
      </w:r>
      <w:r w:rsidR="005708A0">
        <w:rPr>
          <w:rFonts w:ascii="Times" w:hAnsi="Times" w:cs="Times New Roman"/>
          <w:sz w:val="23"/>
          <w:szCs w:val="23"/>
        </w:rPr>
        <w:t xml:space="preserve"> Cumulative pore distribution of </w:t>
      </w:r>
      <w:r w:rsidR="00DC480E">
        <w:rPr>
          <w:rFonts w:ascii="Times" w:hAnsi="Times" w:cs="Times New Roman"/>
          <w:b/>
        </w:rPr>
        <w:t>6M</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DC480E">
        <w:rPr>
          <w:rFonts w:ascii="Times" w:hAnsi="Times" w:cs="Times New Roman"/>
          <w:b/>
        </w:rPr>
        <w:t>1</w:t>
      </w:r>
      <w:r w:rsidR="005708A0">
        <w:rPr>
          <w:rFonts w:ascii="Times" w:hAnsi="Times" w:cs="Times New Roman"/>
          <w:sz w:val="23"/>
          <w:szCs w:val="23"/>
        </w:rPr>
        <w:t xml:space="preserve"> samples at 5mm and 10mm depth from exposure surface</w:t>
      </w:r>
      <w:r w:rsidR="005708A0">
        <w:rPr>
          <w:rFonts w:ascii="Times" w:hAnsi="Times"/>
          <w:sz w:val="20"/>
          <w:szCs w:val="20"/>
        </w:rPr>
        <w:t xml:space="preserve"> </w:t>
      </w:r>
    </w:p>
    <w:p w14:paraId="00CBFE99" w14:textId="77777777" w:rsidR="005708A0" w:rsidRDefault="005708A0" w:rsidP="005708A0">
      <w:pPr>
        <w:spacing w:before="240" w:after="120" w:line="480" w:lineRule="exact"/>
        <w:rPr>
          <w:rFonts w:ascii="Times" w:hAnsi="Times" w:cs="Times New Roman"/>
          <w:b/>
          <w:bCs/>
          <w:iCs/>
        </w:rPr>
      </w:pPr>
    </w:p>
    <w:p w14:paraId="2CF2EC28" w14:textId="77777777" w:rsidR="005708A0" w:rsidRDefault="005708A0" w:rsidP="005708A0">
      <w:pPr>
        <w:spacing w:before="240" w:after="120" w:line="480" w:lineRule="exact"/>
        <w:rPr>
          <w:rFonts w:ascii="Times" w:hAnsi="Times" w:cs="Times New Roman"/>
          <w:b/>
          <w:bCs/>
          <w:i/>
          <w:iCs/>
        </w:rPr>
      </w:pPr>
      <w:r>
        <w:rPr>
          <w:rFonts w:ascii="Times" w:hAnsi="Times" w:cs="Times New Roman"/>
          <w:b/>
          <w:bCs/>
          <w:i/>
          <w:iCs/>
        </w:rPr>
        <w:t xml:space="preserve">iv. </w:t>
      </w:r>
      <w:r>
        <w:rPr>
          <w:rFonts w:ascii="Times" w:hAnsi="Times" w:cs="Times New Roman"/>
          <w:b/>
          <w:bCs/>
          <w:i/>
          <w:iCs/>
        </w:rPr>
        <w:tab/>
        <w:t>Scanning Electron Microscopy (SEM)</w:t>
      </w:r>
    </w:p>
    <w:p w14:paraId="7E5A7353" w14:textId="49FC749B" w:rsidR="005708A0" w:rsidRPr="008D7276" w:rsidRDefault="005708A0" w:rsidP="005708A0">
      <w:pPr>
        <w:spacing w:before="240" w:after="120" w:line="480" w:lineRule="exact"/>
        <w:jc w:val="both"/>
        <w:rPr>
          <w:rFonts w:ascii="Times" w:hAnsi="Times" w:cs="Times New Roman"/>
          <w:bCs/>
          <w:iCs/>
          <w:sz w:val="28"/>
          <w:szCs w:val="28"/>
          <w:u w:val="single"/>
        </w:rPr>
      </w:pPr>
      <w:r>
        <w:rPr>
          <w:rFonts w:ascii="Times" w:hAnsi="Times" w:cs="Arial"/>
          <w:bCs/>
          <w:color w:val="000000"/>
        </w:rPr>
        <w:lastRenderedPageBreak/>
        <w:t>The exposure surface of the CS samples was studied using SEM-</w:t>
      </w:r>
      <w:r w:rsidR="00144CBD">
        <w:rPr>
          <w:rFonts w:ascii="Times" w:hAnsi="Times" w:cs="Arial"/>
          <w:bCs/>
          <w:color w:val="000000"/>
        </w:rPr>
        <w:t>BSE</w:t>
      </w:r>
      <w:r>
        <w:rPr>
          <w:rFonts w:ascii="Times" w:hAnsi="Times" w:cs="Arial"/>
          <w:bCs/>
          <w:color w:val="000000"/>
        </w:rPr>
        <w:t xml:space="preserve"> before and after leaching to </w:t>
      </w:r>
      <w:r w:rsidR="00BA2F06">
        <w:rPr>
          <w:rFonts w:ascii="Times" w:hAnsi="Times" w:cs="Arial"/>
          <w:bCs/>
          <w:color w:val="000000"/>
        </w:rPr>
        <w:t xml:space="preserve">further understand the depth of leaching </w:t>
      </w:r>
      <w:r>
        <w:rPr>
          <w:rFonts w:ascii="Times" w:hAnsi="Times" w:cs="Arial"/>
          <w:bCs/>
          <w:color w:val="000000"/>
        </w:rPr>
        <w:t>and the degradation that occurs within the samples. The backscattered image shown in fig</w:t>
      </w:r>
      <w:r w:rsidR="00EB5590">
        <w:rPr>
          <w:rFonts w:ascii="Times" w:hAnsi="Times" w:cs="Arial"/>
          <w:bCs/>
          <w:color w:val="000000"/>
        </w:rPr>
        <w:t>ure</w:t>
      </w:r>
      <w:r>
        <w:rPr>
          <w:rFonts w:ascii="Times" w:hAnsi="Times" w:cs="Arial"/>
          <w:bCs/>
          <w:color w:val="000000"/>
        </w:rPr>
        <w:t xml:space="preserve"> </w:t>
      </w:r>
      <w:proofErr w:type="gramStart"/>
      <w:r>
        <w:rPr>
          <w:rFonts w:ascii="Times" w:hAnsi="Times" w:cs="Arial"/>
          <w:bCs/>
          <w:color w:val="000000"/>
        </w:rPr>
        <w:t>4.7</w:t>
      </w:r>
      <w:r w:rsidR="00144CBD">
        <w:rPr>
          <w:rFonts w:ascii="Times" w:hAnsi="Times" w:cs="Arial"/>
          <w:bCs/>
          <w:color w:val="000000"/>
        </w:rPr>
        <w:t>8</w:t>
      </w:r>
      <w:r>
        <w:rPr>
          <w:rFonts w:ascii="Times" w:hAnsi="Times" w:cs="Arial"/>
          <w:bCs/>
          <w:color w:val="000000"/>
        </w:rPr>
        <w:t>,</w:t>
      </w:r>
      <w:proofErr w:type="gramEnd"/>
      <w:r>
        <w:rPr>
          <w:rFonts w:ascii="Times" w:hAnsi="Times" w:cs="Arial"/>
          <w:bCs/>
          <w:color w:val="000000"/>
        </w:rPr>
        <w:t xml:space="preserve"> represents the exposure surface of </w:t>
      </w:r>
      <w:r w:rsidR="00DC480E">
        <w:rPr>
          <w:rFonts w:ascii="Times" w:hAnsi="Times" w:cs="Times New Roman"/>
          <w:b/>
        </w:rPr>
        <w:t>0</w:t>
      </w:r>
      <w:r w:rsidR="00DC480E" w:rsidRPr="00CE1CA5">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Arial"/>
          <w:bCs/>
          <w:color w:val="000000"/>
        </w:rPr>
        <w:t>. It can be seen that the cement hydrate phases are well</w:t>
      </w:r>
      <w:r w:rsidR="00E55F09">
        <w:rPr>
          <w:rFonts w:ascii="Times" w:hAnsi="Times" w:cs="Arial"/>
          <w:bCs/>
          <w:color w:val="000000"/>
        </w:rPr>
        <w:t xml:space="preserve"> intact and held firmly together</w:t>
      </w:r>
      <w:r>
        <w:rPr>
          <w:rFonts w:ascii="Times" w:hAnsi="Times" w:cs="Arial"/>
          <w:bCs/>
          <w:color w:val="000000"/>
        </w:rPr>
        <w:t xml:space="preserve">. </w:t>
      </w:r>
    </w:p>
    <w:p w14:paraId="6F0736B7" w14:textId="0762AEF5" w:rsidR="005708A0" w:rsidRPr="00F92FA3" w:rsidRDefault="00E55F09" w:rsidP="005708A0">
      <w:pPr>
        <w:spacing w:before="240" w:after="120"/>
        <w:jc w:val="center"/>
        <w:rPr>
          <w:rFonts w:ascii="Times" w:hAnsi="Times" w:cs="Times New Roman"/>
          <w:bCs/>
          <w:iCs/>
          <w:szCs w:val="28"/>
        </w:rPr>
      </w:pPr>
      <w:r w:rsidRPr="00E55F09">
        <w:rPr>
          <w:rFonts w:ascii="Times" w:hAnsi="Times" w:cs="Times New Roman"/>
          <w:bCs/>
          <w:iCs/>
          <w:noProof/>
          <w:szCs w:val="28"/>
        </w:rPr>
        <w:drawing>
          <wp:inline distT="0" distB="0" distL="0" distR="0" wp14:anchorId="18E37AC4" wp14:editId="09173DFE">
            <wp:extent cx="3088506" cy="2836740"/>
            <wp:effectExtent l="0" t="0" r="10795" b="8255"/>
            <wp:docPr id="2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88506" cy="2836740"/>
                    </a:xfrm>
                    <a:prstGeom prst="rect">
                      <a:avLst/>
                    </a:prstGeom>
                    <a:noFill/>
                    <a:ln>
                      <a:noFill/>
                    </a:ln>
                  </pic:spPr>
                </pic:pic>
              </a:graphicData>
            </a:graphic>
          </wp:inline>
        </w:drawing>
      </w:r>
    </w:p>
    <w:p w14:paraId="02CB00F2" w14:textId="6F26EC34" w:rsidR="005708A0" w:rsidRDefault="005708A0" w:rsidP="005708A0">
      <w:pPr>
        <w:tabs>
          <w:tab w:val="left" w:pos="1276"/>
        </w:tabs>
        <w:spacing w:before="240" w:after="120"/>
        <w:jc w:val="center"/>
        <w:rPr>
          <w:rFonts w:ascii="Times" w:hAnsi="Times"/>
          <w:sz w:val="20"/>
          <w:szCs w:val="20"/>
        </w:rPr>
      </w:pPr>
      <w:r>
        <w:rPr>
          <w:rFonts w:ascii="Times" w:hAnsi="Times" w:cs="Times New Roman"/>
          <w:b/>
        </w:rPr>
        <w:t>Fig</w:t>
      </w:r>
      <w:r w:rsidR="00AD7F81">
        <w:rPr>
          <w:rFonts w:ascii="Times" w:hAnsi="Times" w:cs="Times New Roman"/>
          <w:b/>
        </w:rPr>
        <w:t>ure</w:t>
      </w:r>
      <w:r w:rsidR="00144CBD">
        <w:rPr>
          <w:rFonts w:ascii="Times" w:hAnsi="Times" w:cs="Times New Roman"/>
          <w:b/>
        </w:rPr>
        <w:t xml:space="preserve"> 4.78</w:t>
      </w:r>
      <w:r>
        <w:rPr>
          <w:rFonts w:ascii="Times" w:hAnsi="Times" w:cs="Times New Roman"/>
          <w:b/>
        </w:rPr>
        <w:t>:</w:t>
      </w:r>
      <w:r>
        <w:rPr>
          <w:rFonts w:ascii="Times" w:hAnsi="Times" w:cs="Times New Roman"/>
          <w:sz w:val="23"/>
          <w:szCs w:val="23"/>
        </w:rPr>
        <w:t xml:space="preserve"> SEM-</w:t>
      </w:r>
      <w:r w:rsidR="00C90BE5">
        <w:rPr>
          <w:rFonts w:ascii="Times" w:hAnsi="Times" w:cs="Times New Roman"/>
          <w:sz w:val="23"/>
          <w:szCs w:val="23"/>
        </w:rPr>
        <w:t>BSE</w:t>
      </w:r>
      <w:r>
        <w:rPr>
          <w:rFonts w:ascii="Times" w:hAnsi="Times" w:cs="Times New Roman"/>
          <w:sz w:val="23"/>
          <w:szCs w:val="23"/>
        </w:rPr>
        <w:t xml:space="preserve"> of </w:t>
      </w:r>
      <w:r w:rsidR="00DC480E">
        <w:rPr>
          <w:rFonts w:ascii="Times" w:hAnsi="Times" w:cs="Times New Roman"/>
          <w:b/>
        </w:rPr>
        <w:t>0</w:t>
      </w:r>
      <w:r w:rsidR="00DC480E" w:rsidRPr="00CE1CA5">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DC480E">
        <w:rPr>
          <w:rFonts w:ascii="Times" w:hAnsi="Times" w:cs="Times New Roman"/>
          <w:b/>
        </w:rPr>
        <w:t xml:space="preserve"> </w:t>
      </w:r>
      <w:r>
        <w:rPr>
          <w:rFonts w:ascii="Times" w:hAnsi="Times"/>
          <w:sz w:val="20"/>
          <w:szCs w:val="20"/>
        </w:rPr>
        <w:t xml:space="preserve"> </w:t>
      </w:r>
    </w:p>
    <w:p w14:paraId="40EFFE22" w14:textId="434086B8" w:rsidR="005708A0" w:rsidRDefault="005708A0" w:rsidP="005708A0">
      <w:pPr>
        <w:spacing w:before="240" w:after="120" w:line="480" w:lineRule="exact"/>
        <w:jc w:val="both"/>
        <w:rPr>
          <w:rFonts w:ascii="Times" w:hAnsi="Times" w:cs="Times New Roman"/>
          <w:bCs/>
          <w:iCs/>
          <w:szCs w:val="28"/>
        </w:rPr>
      </w:pPr>
      <w:r>
        <w:rPr>
          <w:rFonts w:ascii="Times" w:hAnsi="Times" w:cs="Times New Roman"/>
          <w:bCs/>
          <w:iCs/>
          <w:szCs w:val="28"/>
        </w:rPr>
        <w:t>In comparison fig</w:t>
      </w:r>
      <w:r w:rsidR="000D4ACF">
        <w:rPr>
          <w:rFonts w:ascii="Times" w:hAnsi="Times" w:cs="Times New Roman"/>
          <w:bCs/>
          <w:iCs/>
          <w:szCs w:val="28"/>
        </w:rPr>
        <w:t>ure</w:t>
      </w:r>
      <w:r w:rsidR="00144CBD">
        <w:rPr>
          <w:rFonts w:ascii="Times" w:hAnsi="Times" w:cs="Times New Roman"/>
          <w:bCs/>
          <w:iCs/>
          <w:szCs w:val="28"/>
        </w:rPr>
        <w:t xml:space="preserve"> 4.79</w:t>
      </w:r>
      <w:r w:rsidRPr="00A71A32">
        <w:rPr>
          <w:rFonts w:ascii="Times" w:hAnsi="Times" w:cs="Times New Roman"/>
          <w:bCs/>
          <w:iCs/>
          <w:szCs w:val="28"/>
        </w:rPr>
        <w:t xml:space="preserve"> shows the exposure surface of the </w:t>
      </w:r>
      <w:proofErr w:type="gramStart"/>
      <w:r w:rsidR="00DC480E">
        <w:rPr>
          <w:rFonts w:ascii="Times" w:hAnsi="Times" w:cs="Times New Roman"/>
          <w:b/>
        </w:rPr>
        <w:t>6M</w:t>
      </w:r>
      <m:oMath>
        <m:acc>
          <m:accPr>
            <m:chr m:val="̅"/>
            <m:ctrlPr>
              <w:rPr>
                <w:rFonts w:ascii="Cambria Math" w:hAnsi="Cambria Math" w:cs="Arial"/>
                <w:i/>
                <w:sz w:val="36"/>
                <w:szCs w:val="36"/>
              </w:rPr>
            </m:ctrlPr>
          </m:accPr>
          <m:e>
            <m:r>
              <m:rPr>
                <m:sty m:val="p"/>
              </m:rPr>
              <w:rPr>
                <w:rFonts w:ascii="Cambria Math" w:hAnsi="Cambria Math" w:cs="Arial"/>
                <w:sz w:val="36"/>
                <w:szCs w:val="36"/>
              </w:rPr>
              <m:t>cs</m:t>
            </m:r>
            <w:proofErr w:type="gramEnd"/>
          </m:e>
        </m:acc>
      </m:oMath>
      <w:r w:rsidRPr="00A71A32">
        <w:rPr>
          <w:rFonts w:ascii="Times" w:hAnsi="Times" w:cs="Times New Roman"/>
          <w:bCs/>
          <w:iCs/>
          <w:szCs w:val="28"/>
        </w:rPr>
        <w:t xml:space="preserve"> sample</w:t>
      </w:r>
      <w:r>
        <w:rPr>
          <w:rFonts w:ascii="Times" w:hAnsi="Times" w:cs="Times New Roman"/>
          <w:bCs/>
          <w:iCs/>
          <w:szCs w:val="28"/>
        </w:rPr>
        <w:t>. There is a gradient of degradation from the exposure surface. The first observation is that the colour of the cement gets darker the cl</w:t>
      </w:r>
      <w:r w:rsidRPr="00E55F09">
        <w:rPr>
          <w:rFonts w:ascii="Times" w:hAnsi="Times" w:cs="Times New Roman"/>
          <w:bCs/>
          <w:iCs/>
          <w:szCs w:val="28"/>
        </w:rPr>
        <w:t xml:space="preserve">oser to the surface and this suggests an increase </w:t>
      </w:r>
      <w:r w:rsidR="009D47AF" w:rsidRPr="00E55F09">
        <w:rPr>
          <w:rFonts w:ascii="Times" w:hAnsi="Times" w:cs="Times New Roman"/>
          <w:bCs/>
          <w:iCs/>
          <w:szCs w:val="28"/>
        </w:rPr>
        <w:t xml:space="preserve">association with water and increase </w:t>
      </w:r>
      <w:r w:rsidRPr="00E55F09">
        <w:rPr>
          <w:rFonts w:ascii="Times" w:hAnsi="Times" w:cs="Times New Roman"/>
          <w:bCs/>
          <w:iCs/>
          <w:szCs w:val="28"/>
        </w:rPr>
        <w:t xml:space="preserve">in porosity. </w:t>
      </w:r>
      <w:r w:rsidR="0017299E">
        <w:rPr>
          <w:rFonts w:ascii="Times" w:hAnsi="Times" w:cs="Times New Roman"/>
          <w:bCs/>
          <w:iCs/>
          <w:szCs w:val="28"/>
        </w:rPr>
        <w:t xml:space="preserve">The </w:t>
      </w:r>
      <w:r w:rsidRPr="00E55F09">
        <w:rPr>
          <w:rFonts w:ascii="Times" w:hAnsi="Times" w:cs="Times New Roman"/>
          <w:bCs/>
          <w:iCs/>
          <w:szCs w:val="28"/>
        </w:rPr>
        <w:t>C-S-H gel can still be seen nearer the surface however is scarce and in patches so this also contributes to the increase in porosity</w:t>
      </w:r>
      <w:r w:rsidR="0017409D">
        <w:rPr>
          <w:rFonts w:ascii="Times" w:hAnsi="Times" w:cs="Times New Roman"/>
          <w:bCs/>
          <w:iCs/>
          <w:szCs w:val="28"/>
        </w:rPr>
        <w:t xml:space="preserve">. </w:t>
      </w:r>
      <w:r w:rsidRPr="00E55F09">
        <w:rPr>
          <w:rFonts w:ascii="Times" w:hAnsi="Times" w:cs="Times New Roman"/>
          <w:bCs/>
          <w:iCs/>
          <w:szCs w:val="28"/>
        </w:rPr>
        <w:t>The BFS particles are still present however show significant signs of pitting and degradation.</w:t>
      </w:r>
      <w:r w:rsidR="009D47AF" w:rsidRPr="00E55F09">
        <w:rPr>
          <w:rFonts w:ascii="Times" w:hAnsi="Times" w:cs="Times New Roman"/>
          <w:bCs/>
          <w:iCs/>
          <w:szCs w:val="28"/>
        </w:rPr>
        <w:t xml:space="preserve"> The ver</w:t>
      </w:r>
      <w:r w:rsidR="00F04D11" w:rsidRPr="00E55F09">
        <w:rPr>
          <w:rFonts w:ascii="Times" w:hAnsi="Times" w:cs="Times New Roman"/>
          <w:bCs/>
          <w:iCs/>
          <w:szCs w:val="28"/>
        </w:rPr>
        <w:t>y</w:t>
      </w:r>
      <w:r w:rsidR="009D47AF" w:rsidRPr="00E55F09">
        <w:rPr>
          <w:rFonts w:ascii="Times" w:hAnsi="Times" w:cs="Times New Roman"/>
          <w:bCs/>
          <w:iCs/>
          <w:szCs w:val="28"/>
        </w:rPr>
        <w:t xml:space="preserve"> bright regions in the image are attributed to the silver coating used for the sample as a pathway for electrons to travel. </w:t>
      </w:r>
    </w:p>
    <w:p w14:paraId="4656A311" w14:textId="77777777" w:rsidR="00E55F09" w:rsidRPr="00E55F09" w:rsidRDefault="00E55F09" w:rsidP="005708A0">
      <w:pPr>
        <w:spacing w:before="240" w:after="120" w:line="480" w:lineRule="exact"/>
        <w:jc w:val="both"/>
        <w:rPr>
          <w:rFonts w:ascii="Times" w:hAnsi="Times" w:cs="Times New Roman"/>
          <w:bCs/>
          <w:iCs/>
          <w:szCs w:val="28"/>
        </w:rPr>
      </w:pPr>
    </w:p>
    <w:p w14:paraId="51F53D5D" w14:textId="5A53A828" w:rsidR="005708A0" w:rsidRPr="00E55F09" w:rsidRDefault="00E55F09" w:rsidP="005708A0">
      <w:pPr>
        <w:spacing w:before="240" w:after="120"/>
        <w:jc w:val="center"/>
        <w:rPr>
          <w:rFonts w:ascii="Times" w:hAnsi="Times" w:cs="Times New Roman"/>
          <w:b/>
          <w:bCs/>
          <w:iCs/>
          <w:sz w:val="28"/>
          <w:szCs w:val="28"/>
        </w:rPr>
      </w:pPr>
      <w:r w:rsidRPr="00E55F09">
        <w:rPr>
          <w:rFonts w:ascii="Times" w:hAnsi="Times" w:cs="Times New Roman"/>
          <w:b/>
          <w:bCs/>
          <w:iCs/>
          <w:noProof/>
          <w:sz w:val="28"/>
          <w:szCs w:val="28"/>
        </w:rPr>
        <w:lastRenderedPageBreak/>
        <w:drawing>
          <wp:inline distT="0" distB="0" distL="0" distR="0" wp14:anchorId="3CA70FDF" wp14:editId="67B62EC1">
            <wp:extent cx="4904696" cy="2833370"/>
            <wp:effectExtent l="0" t="0" r="0" b="11430"/>
            <wp:docPr id="8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20">
                      <a:extLst>
                        <a:ext uri="{28A0092B-C50C-407E-A947-70E740481C1C}">
                          <a14:useLocalDpi xmlns:a14="http://schemas.microsoft.com/office/drawing/2010/main" val="0"/>
                        </a:ext>
                      </a:extLst>
                    </a:blip>
                    <a:srcRect l="-29640" r="3"/>
                    <a:stretch/>
                  </pic:blipFill>
                  <pic:spPr bwMode="auto">
                    <a:xfrm>
                      <a:off x="0" y="0"/>
                      <a:ext cx="4907213" cy="2834824"/>
                    </a:xfrm>
                    <a:prstGeom prst="rect">
                      <a:avLst/>
                    </a:prstGeom>
                    <a:noFill/>
                    <a:ln>
                      <a:noFill/>
                    </a:ln>
                    <a:extLst>
                      <a:ext uri="{53640926-AAD7-44d8-BBD7-CCE9431645EC}">
                        <a14:shadowObscured xmlns:a14="http://schemas.microsoft.com/office/drawing/2010/main"/>
                      </a:ext>
                    </a:extLst>
                  </pic:spPr>
                </pic:pic>
              </a:graphicData>
            </a:graphic>
          </wp:inline>
        </w:drawing>
      </w:r>
    </w:p>
    <w:p w14:paraId="483FEF8D" w14:textId="1D7D1631" w:rsidR="005708A0" w:rsidRDefault="005708A0" w:rsidP="005708A0">
      <w:pPr>
        <w:tabs>
          <w:tab w:val="left" w:pos="1276"/>
        </w:tabs>
        <w:spacing w:before="240" w:after="120"/>
        <w:jc w:val="center"/>
        <w:rPr>
          <w:rFonts w:ascii="Times" w:hAnsi="Times"/>
          <w:sz w:val="20"/>
          <w:szCs w:val="20"/>
        </w:rPr>
      </w:pPr>
      <w:r>
        <w:rPr>
          <w:rFonts w:ascii="Times" w:hAnsi="Times" w:cs="Times New Roman"/>
          <w:b/>
        </w:rPr>
        <w:t>Fig 4.7</w:t>
      </w:r>
      <w:r w:rsidR="006324F6">
        <w:rPr>
          <w:rFonts w:ascii="Times" w:hAnsi="Times" w:cs="Times New Roman"/>
          <w:b/>
        </w:rPr>
        <w:t>9</w:t>
      </w:r>
      <w:r>
        <w:rPr>
          <w:rFonts w:ascii="Times" w:hAnsi="Times" w:cs="Times New Roman"/>
          <w:b/>
        </w:rPr>
        <w:t>:</w:t>
      </w:r>
      <w:r>
        <w:rPr>
          <w:rFonts w:ascii="Times" w:hAnsi="Times" w:cs="Times New Roman"/>
          <w:sz w:val="23"/>
          <w:szCs w:val="23"/>
        </w:rPr>
        <w:t xml:space="preserve"> SEM-</w:t>
      </w:r>
      <w:r w:rsidR="00A43CCF">
        <w:rPr>
          <w:rFonts w:ascii="Times" w:hAnsi="Times" w:cs="Times New Roman"/>
          <w:sz w:val="23"/>
          <w:szCs w:val="23"/>
        </w:rPr>
        <w:t xml:space="preserve">BSE </w:t>
      </w:r>
      <w:r>
        <w:rPr>
          <w:rFonts w:ascii="Times" w:hAnsi="Times" w:cs="Times New Roman"/>
          <w:sz w:val="23"/>
          <w:szCs w:val="23"/>
        </w:rPr>
        <w:t xml:space="preserve">of </w:t>
      </w:r>
      <w:proofErr w:type="gramStart"/>
      <w:r w:rsidR="00DC480E">
        <w:rPr>
          <w:rFonts w:ascii="Times" w:hAnsi="Times" w:cs="Times New Roman"/>
          <w:b/>
        </w:rPr>
        <w:t>6M</w:t>
      </w:r>
      <m:oMath>
        <m:acc>
          <m:accPr>
            <m:chr m:val="̅"/>
            <m:ctrlPr>
              <w:rPr>
                <w:rFonts w:ascii="Cambria Math" w:hAnsi="Cambria Math" w:cs="Arial"/>
                <w:i/>
                <w:sz w:val="36"/>
                <w:szCs w:val="36"/>
              </w:rPr>
            </m:ctrlPr>
          </m:accPr>
          <m:e>
            <m:r>
              <m:rPr>
                <m:sty m:val="p"/>
              </m:rPr>
              <w:rPr>
                <w:rFonts w:ascii="Cambria Math" w:hAnsi="Cambria Math" w:cs="Arial"/>
                <w:sz w:val="36"/>
                <w:szCs w:val="36"/>
              </w:rPr>
              <m:t>cs</m:t>
            </m:r>
            <w:proofErr w:type="gramEnd"/>
          </m:e>
        </m:acc>
      </m:oMath>
      <w:r w:rsidR="00DC480E">
        <w:rPr>
          <w:rFonts w:ascii="Times" w:hAnsi="Times" w:cs="Times New Roman"/>
          <w:b/>
        </w:rPr>
        <w:t xml:space="preserve"> </w:t>
      </w:r>
      <w:r>
        <w:rPr>
          <w:rFonts w:ascii="Times" w:hAnsi="Times" w:cs="Times New Roman"/>
          <w:sz w:val="23"/>
          <w:szCs w:val="23"/>
        </w:rPr>
        <w:t>exposure surface</w:t>
      </w:r>
      <w:r>
        <w:rPr>
          <w:rFonts w:ascii="Times" w:hAnsi="Times"/>
          <w:sz w:val="20"/>
          <w:szCs w:val="20"/>
        </w:rPr>
        <w:t xml:space="preserve"> </w:t>
      </w:r>
    </w:p>
    <w:p w14:paraId="57D5DB19" w14:textId="77777777" w:rsidR="005708A0" w:rsidRDefault="005708A0" w:rsidP="005708A0">
      <w:pPr>
        <w:spacing w:before="240" w:after="120" w:line="480" w:lineRule="exact"/>
        <w:jc w:val="both"/>
        <w:rPr>
          <w:rFonts w:ascii="Times" w:hAnsi="Times" w:cs="Times New Roman"/>
          <w:b/>
          <w:bCs/>
          <w:iCs/>
          <w:sz w:val="28"/>
          <w:szCs w:val="28"/>
          <w:u w:val="single"/>
        </w:rPr>
      </w:pPr>
    </w:p>
    <w:p w14:paraId="424336FB" w14:textId="77777777" w:rsidR="005708A0" w:rsidRDefault="005708A0" w:rsidP="005708A0">
      <w:pPr>
        <w:spacing w:before="240" w:after="120" w:line="480" w:lineRule="exact"/>
        <w:jc w:val="both"/>
        <w:rPr>
          <w:rFonts w:ascii="Times" w:hAnsi="Times"/>
          <w:sz w:val="20"/>
          <w:szCs w:val="20"/>
        </w:rPr>
      </w:pPr>
      <w:r>
        <w:rPr>
          <w:rFonts w:ascii="Times New Roman" w:hAnsi="Times New Roman" w:cs="Times New Roman"/>
          <w:b/>
          <w:bCs/>
          <w:smallCaps/>
          <w:sz w:val="32"/>
          <w:szCs w:val="28"/>
        </w:rPr>
        <w:t>4.2.2.2</w:t>
      </w:r>
      <w:r>
        <w:rPr>
          <w:rFonts w:ascii="Times New Roman" w:hAnsi="Times New Roman" w:cs="Times New Roman"/>
          <w:b/>
          <w:bCs/>
          <w:smallCaps/>
          <w:sz w:val="32"/>
          <w:szCs w:val="28"/>
        </w:rPr>
        <w:tab/>
        <w:t>discussion</w:t>
      </w:r>
    </w:p>
    <w:p w14:paraId="27A1206A" w14:textId="10E1066F" w:rsidR="005708A0" w:rsidRDefault="005708A0" w:rsidP="005708A0">
      <w:pPr>
        <w:spacing w:before="240" w:after="120" w:line="480" w:lineRule="exact"/>
        <w:jc w:val="both"/>
        <w:rPr>
          <w:rFonts w:ascii="Times" w:hAnsi="Times" w:cs="Times New Roman"/>
        </w:rPr>
      </w:pPr>
      <w:r>
        <w:rPr>
          <w:rFonts w:ascii="Times" w:hAnsi="Times" w:cs="Times New Roman"/>
        </w:rPr>
        <w:t>The leaching behaviour</w:t>
      </w:r>
      <w:r w:rsidR="00104E92">
        <w:rPr>
          <w:rFonts w:ascii="Times" w:hAnsi="Times" w:cs="Times New Roman"/>
        </w:rPr>
        <w:t>s</w:t>
      </w:r>
      <w:r>
        <w:rPr>
          <w:rFonts w:ascii="Times" w:hAnsi="Times" w:cs="Times New Roman"/>
        </w:rPr>
        <w:t xml:space="preserve"> of cement samples during the semi-static tests were used to study the degradation of cement during the leaching process. The first observation is</w:t>
      </w:r>
      <w:r w:rsidR="00104E92">
        <w:rPr>
          <w:rFonts w:ascii="Times" w:hAnsi="Times" w:cs="Times New Roman"/>
        </w:rPr>
        <w:t xml:space="preserve">, </w:t>
      </w:r>
      <w:r w:rsidR="002B7615">
        <w:rPr>
          <w:rFonts w:ascii="Times" w:hAnsi="Times" w:cs="Times New Roman"/>
        </w:rPr>
        <w:t>as expected</w:t>
      </w:r>
      <w:r w:rsidR="00104E92">
        <w:rPr>
          <w:rFonts w:ascii="Times" w:hAnsi="Times" w:cs="Times New Roman"/>
        </w:rPr>
        <w:t>,</w:t>
      </w:r>
      <w:r>
        <w:rPr>
          <w:rFonts w:ascii="Times" w:hAnsi="Times" w:cs="Times New Roman"/>
        </w:rPr>
        <w:t xml:space="preserve"> that the ions </w:t>
      </w:r>
      <w:r w:rsidR="00104E92">
        <w:rPr>
          <w:rFonts w:ascii="Times" w:hAnsi="Times" w:cs="Times New Roman"/>
        </w:rPr>
        <w:t xml:space="preserve">leach </w:t>
      </w:r>
      <w:r>
        <w:rPr>
          <w:rFonts w:ascii="Times" w:hAnsi="Times" w:cs="Times New Roman"/>
        </w:rPr>
        <w:t xml:space="preserve">out of the cement sample at a gradient from the leaching surface. This means that </w:t>
      </w:r>
      <w:r w:rsidR="002B7615">
        <w:rPr>
          <w:rFonts w:ascii="Times" w:hAnsi="Times" w:cs="Times New Roman"/>
        </w:rPr>
        <w:t xml:space="preserve">the ion </w:t>
      </w:r>
      <w:r w:rsidR="00144CBD">
        <w:rPr>
          <w:rFonts w:ascii="Times" w:hAnsi="Times" w:cs="Times New Roman"/>
        </w:rPr>
        <w:t>leaching</w:t>
      </w:r>
      <w:r w:rsidR="002B7615">
        <w:rPr>
          <w:rFonts w:ascii="Times" w:hAnsi="Times" w:cs="Times New Roman"/>
        </w:rPr>
        <w:t xml:space="preserve"> </w:t>
      </w:r>
      <w:r w:rsidR="00A65A2B">
        <w:rPr>
          <w:rFonts w:ascii="Times" w:hAnsi="Times" w:cs="Times New Roman"/>
        </w:rPr>
        <w:t xml:space="preserve">initially </w:t>
      </w:r>
      <w:r w:rsidR="002B7615">
        <w:rPr>
          <w:rFonts w:ascii="Times" w:hAnsi="Times" w:cs="Times New Roman"/>
        </w:rPr>
        <w:t>occurs from</w:t>
      </w:r>
      <w:r>
        <w:rPr>
          <w:rFonts w:ascii="Times" w:hAnsi="Times" w:cs="Times New Roman"/>
        </w:rPr>
        <w:t xml:space="preserve"> the closest part of the sample to the leachate and as time progresses the ions diffuse from further within the sample. The XRD and TGA results show that in the early stages (less than 28 days) at depths </w:t>
      </w:r>
      <w:r w:rsidR="002B7615">
        <w:rPr>
          <w:rFonts w:ascii="Times" w:hAnsi="Times" w:cs="Times New Roman"/>
        </w:rPr>
        <w:t>greater than</w:t>
      </w:r>
      <w:r>
        <w:rPr>
          <w:rFonts w:ascii="Times" w:hAnsi="Times" w:cs="Times New Roman"/>
        </w:rPr>
        <w:t xml:space="preserve"> 5mm the phase assemblage of both the </w:t>
      </w:r>
      <w:r w:rsidRPr="00DC480E">
        <w:rPr>
          <w:rFonts w:ascii="Times" w:hAnsi="Times" w:cs="Times New Roman"/>
          <w:b/>
        </w:rPr>
        <w:t>B</w:t>
      </w:r>
      <w:r>
        <w:rPr>
          <w:rFonts w:ascii="Times" w:hAnsi="Times" w:cs="Times New Roman"/>
        </w:rPr>
        <w:t xml:space="preserve"> and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r>
          <w:rPr>
            <w:rFonts w:ascii="Cambria Math" w:hAnsi="Cambria Math" w:cs="Arial"/>
            <w:sz w:val="36"/>
            <w:szCs w:val="36"/>
          </w:rPr>
          <m:t xml:space="preserve"> </m:t>
        </m:r>
      </m:oMath>
      <w:r>
        <w:rPr>
          <w:rFonts w:ascii="Times" w:hAnsi="Times" w:cs="Times New Roman"/>
        </w:rPr>
        <w:t xml:space="preserve">samples is very similar to that of the </w:t>
      </w:r>
      <w:r w:rsidRPr="00144CBD">
        <w:rPr>
          <w:rFonts w:ascii="Times" w:hAnsi="Times" w:cs="Times New Roman"/>
          <w:b/>
        </w:rPr>
        <w:t>0D</w:t>
      </w:r>
      <w:r>
        <w:rPr>
          <w:rFonts w:ascii="Times" w:hAnsi="Times" w:cs="Times New Roman"/>
        </w:rPr>
        <w:t xml:space="preserve"> counterparts. After 6 </w:t>
      </w:r>
      <w:r w:rsidR="00AA3BFF">
        <w:rPr>
          <w:rFonts w:ascii="Times" w:hAnsi="Times" w:cs="Times New Roman"/>
        </w:rPr>
        <w:t>months the XRD traces show that degradatio</w:t>
      </w:r>
      <w:r w:rsidR="00872BB2">
        <w:rPr>
          <w:rFonts w:ascii="Times" w:hAnsi="Times" w:cs="Times New Roman"/>
        </w:rPr>
        <w:t xml:space="preserve">n has </w:t>
      </w:r>
      <w:r>
        <w:rPr>
          <w:rFonts w:ascii="Times" w:hAnsi="Times" w:cs="Times New Roman"/>
        </w:rPr>
        <w:t xml:space="preserve">reached </w:t>
      </w:r>
      <w:r w:rsidR="00872BB2">
        <w:rPr>
          <w:rFonts w:ascii="Times" w:hAnsi="Times" w:cs="Times New Roman"/>
        </w:rPr>
        <w:t>depths of</w:t>
      </w:r>
      <w:r>
        <w:rPr>
          <w:rFonts w:ascii="Times" w:hAnsi="Times" w:cs="Times New Roman"/>
        </w:rPr>
        <w:t xml:space="preserve"> 10mm for both formulations. Furthermore the MIP results i</w:t>
      </w:r>
      <w:r w:rsidR="00B406C7">
        <w:rPr>
          <w:rFonts w:ascii="Times" w:hAnsi="Times" w:cs="Times New Roman"/>
        </w:rPr>
        <w:t>ndicate</w:t>
      </w:r>
      <w:r>
        <w:rPr>
          <w:rFonts w:ascii="Times" w:hAnsi="Times" w:cs="Times New Roman"/>
        </w:rPr>
        <w:t xml:space="preserve"> a significant increase in porosity within the samples as leaching progresses, which could explain the gradual </w:t>
      </w:r>
      <w:r w:rsidR="0044374D">
        <w:rPr>
          <w:rFonts w:ascii="Times" w:hAnsi="Times" w:cs="Times New Roman"/>
        </w:rPr>
        <w:t>leaching</w:t>
      </w:r>
      <w:r>
        <w:rPr>
          <w:rFonts w:ascii="Times" w:hAnsi="Times" w:cs="Times New Roman"/>
        </w:rPr>
        <w:t xml:space="preserve"> from deeper within the sample. When the ions diffuse from the surface the hydrate phases leave behind a network of pores, this network allows the leachate solution to rea</w:t>
      </w:r>
      <w:r w:rsidR="0030528A">
        <w:rPr>
          <w:rFonts w:ascii="Times" w:hAnsi="Times" w:cs="Times New Roman"/>
        </w:rPr>
        <w:t>ch further within the sample [70</w:t>
      </w:r>
      <w:r>
        <w:rPr>
          <w:rFonts w:ascii="Times" w:hAnsi="Times" w:cs="Times New Roman"/>
        </w:rPr>
        <w:t xml:space="preserve">]. The increased porosity also </w:t>
      </w:r>
      <w:r w:rsidRPr="007377CF">
        <w:rPr>
          <w:rFonts w:ascii="Times" w:hAnsi="Times" w:cs="Times New Roman"/>
        </w:rPr>
        <w:t xml:space="preserve">increases the surface area of </w:t>
      </w:r>
      <w:r w:rsidRPr="007377CF">
        <w:rPr>
          <w:rFonts w:ascii="Times" w:hAnsi="Times" w:cs="Times New Roman"/>
        </w:rPr>
        <w:lastRenderedPageBreak/>
        <w:t xml:space="preserve">cement exposed to </w:t>
      </w:r>
      <w:proofErr w:type="gramStart"/>
      <w:r w:rsidRPr="007377CF">
        <w:rPr>
          <w:rFonts w:ascii="Times" w:hAnsi="Times" w:cs="Times New Roman"/>
        </w:rPr>
        <w:t>solution which</w:t>
      </w:r>
      <w:proofErr w:type="gramEnd"/>
      <w:r w:rsidRPr="007377CF">
        <w:rPr>
          <w:rFonts w:ascii="Times" w:hAnsi="Times" w:cs="Times New Roman"/>
        </w:rPr>
        <w:t xml:space="preserve"> will further increase leaching rates and depth. </w:t>
      </w:r>
      <w:r>
        <w:rPr>
          <w:rFonts w:ascii="Times" w:hAnsi="Times" w:cs="Times New Roman"/>
        </w:rPr>
        <w:t>Acc</w:t>
      </w:r>
      <w:r w:rsidR="00A64923">
        <w:rPr>
          <w:rFonts w:ascii="Times" w:hAnsi="Times" w:cs="Times New Roman"/>
        </w:rPr>
        <w:t>ording to Andac and</w:t>
      </w:r>
      <w:r w:rsidR="0052730B">
        <w:rPr>
          <w:rFonts w:ascii="Times" w:hAnsi="Times" w:cs="Times New Roman"/>
        </w:rPr>
        <w:t xml:space="preserve"> Glasser [57</w:t>
      </w:r>
      <w:r w:rsidRPr="007377CF">
        <w:rPr>
          <w:rFonts w:ascii="Times" w:hAnsi="Times" w:cs="Times New Roman"/>
        </w:rPr>
        <w:t xml:space="preserve">] </w:t>
      </w:r>
      <w:r>
        <w:rPr>
          <w:rFonts w:ascii="Times" w:hAnsi="Times" w:cs="Times"/>
        </w:rPr>
        <w:t xml:space="preserve">found that </w:t>
      </w:r>
      <w:r w:rsidRPr="007377CF">
        <w:rPr>
          <w:rFonts w:ascii="Times" w:hAnsi="Times" w:cs="Times"/>
        </w:rPr>
        <w:t>an increase in porosity in some of the cement outer zones, worsened by cracking, results in enhanced permeability</w:t>
      </w:r>
      <w:r>
        <w:rPr>
          <w:rFonts w:ascii="Times" w:hAnsi="Times" w:cs="Times New Roman"/>
        </w:rPr>
        <w:t xml:space="preserve">. This increase in porosity within the deeper layers can be seen </w:t>
      </w:r>
      <w:r w:rsidR="00144CBD">
        <w:rPr>
          <w:rFonts w:ascii="Times" w:hAnsi="Times" w:cs="Times New Roman"/>
        </w:rPr>
        <w:t xml:space="preserve">in the results </w:t>
      </w:r>
      <w:r>
        <w:rPr>
          <w:rFonts w:ascii="Times" w:hAnsi="Times" w:cs="Times New Roman"/>
        </w:rPr>
        <w:t>suggesting that more and more of the cement sample is permeable.</w:t>
      </w:r>
    </w:p>
    <w:p w14:paraId="375F5D96" w14:textId="7B806707" w:rsidR="005708A0" w:rsidRPr="005E5246" w:rsidRDefault="005708A0" w:rsidP="00751C5B">
      <w:pPr>
        <w:tabs>
          <w:tab w:val="left" w:pos="20"/>
          <w:tab w:val="left" w:pos="47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40" w:after="120" w:line="480" w:lineRule="exact"/>
        <w:jc w:val="both"/>
        <w:rPr>
          <w:rFonts w:ascii="Times" w:hAnsi="Times" w:cs="Times New Roman"/>
          <w:bCs/>
          <w:iCs/>
        </w:rPr>
      </w:pPr>
      <w:r>
        <w:rPr>
          <w:rFonts w:ascii="Times" w:hAnsi="Times" w:cs="Times New Roman"/>
        </w:rPr>
        <w:t xml:space="preserve">The TGA data of the blank sample continuously shows a depletion of portlandite </w:t>
      </w:r>
      <w:r w:rsidR="00FE477F">
        <w:rPr>
          <w:rFonts w:ascii="Times" w:hAnsi="Times" w:cs="Times New Roman"/>
        </w:rPr>
        <w:t>before the depletion of C-S-H</w:t>
      </w:r>
      <w:r>
        <w:rPr>
          <w:rFonts w:ascii="Times" w:hAnsi="Times" w:cs="Times New Roman"/>
        </w:rPr>
        <w:t xml:space="preserve">. </w:t>
      </w:r>
      <w:r>
        <w:rPr>
          <w:rFonts w:ascii="Times New Roman" w:hAnsi="Times New Roman" w:cs="Times New Roman"/>
          <w:szCs w:val="44"/>
        </w:rPr>
        <w:t>This is in agreement with Saito et al.</w:t>
      </w:r>
      <w:r w:rsidR="0052730B">
        <w:rPr>
          <w:rFonts w:ascii="Times New Roman" w:hAnsi="Times New Roman" w:cs="Times New Roman"/>
          <w:szCs w:val="44"/>
        </w:rPr>
        <w:t xml:space="preserve"> [4</w:t>
      </w:r>
      <w:r>
        <w:rPr>
          <w:rFonts w:ascii="Times New Roman" w:hAnsi="Times New Roman" w:cs="Times New Roman"/>
          <w:szCs w:val="44"/>
        </w:rPr>
        <w:t xml:space="preserve">7] who stated </w:t>
      </w:r>
      <w:r>
        <w:rPr>
          <w:rFonts w:ascii="Times New Roman" w:hAnsi="Times New Roman" w:cs="Times New Roman"/>
          <w:color w:val="000000"/>
        </w:rPr>
        <w:t xml:space="preserve">that </w:t>
      </w:r>
      <w:r>
        <w:rPr>
          <w:rFonts w:ascii="Times New Roman" w:hAnsi="Times New Roman" w:cs="Times New Roman"/>
          <w:szCs w:val="44"/>
        </w:rPr>
        <w:t xml:space="preserve">the </w:t>
      </w:r>
      <w:proofErr w:type="gramStart"/>
      <w:r>
        <w:rPr>
          <w:rFonts w:ascii="Times New Roman" w:hAnsi="Times New Roman" w:cs="Times New Roman"/>
          <w:szCs w:val="44"/>
        </w:rPr>
        <w:t>Ca(</w:t>
      </w:r>
      <w:proofErr w:type="gramEnd"/>
      <w:r>
        <w:rPr>
          <w:rFonts w:ascii="Times New Roman" w:hAnsi="Times New Roman" w:cs="Times New Roman"/>
          <w:szCs w:val="44"/>
        </w:rPr>
        <w:t>OH)</w:t>
      </w:r>
      <w:r>
        <w:rPr>
          <w:rFonts w:ascii="Times New Roman" w:hAnsi="Times New Roman" w:cs="Times New Roman"/>
          <w:szCs w:val="44"/>
          <w:vertAlign w:val="subscript"/>
        </w:rPr>
        <w:t>2</w:t>
      </w:r>
      <w:r>
        <w:rPr>
          <w:rFonts w:ascii="Times New Roman" w:hAnsi="Times New Roman" w:cs="Times New Roman"/>
          <w:szCs w:val="44"/>
        </w:rPr>
        <w:t xml:space="preserve"> leaches out into solution initially and only when it is completely leached out does the C-S-H leaching </w:t>
      </w:r>
      <w:r w:rsidR="00971672">
        <w:rPr>
          <w:rFonts w:ascii="Times New Roman" w:hAnsi="Times New Roman" w:cs="Times New Roman"/>
          <w:szCs w:val="44"/>
        </w:rPr>
        <w:t xml:space="preserve">begin. </w:t>
      </w:r>
      <w:proofErr w:type="gramStart"/>
      <w:r w:rsidR="00971672">
        <w:rPr>
          <w:rFonts w:ascii="Times New Roman" w:hAnsi="Times New Roman" w:cs="Times New Roman"/>
          <w:szCs w:val="44"/>
        </w:rPr>
        <w:t>This</w:t>
      </w:r>
      <w:r>
        <w:rPr>
          <w:rFonts w:ascii="Times New Roman" w:hAnsi="Times New Roman" w:cs="Times New Roman"/>
          <w:szCs w:val="44"/>
        </w:rPr>
        <w:t xml:space="preserve"> is also supported </w:t>
      </w:r>
      <w:r w:rsidR="00EA6284">
        <w:rPr>
          <w:rFonts w:ascii="Times New Roman" w:hAnsi="Times New Roman" w:cs="Times New Roman"/>
          <w:szCs w:val="44"/>
        </w:rPr>
        <w:t xml:space="preserve">by </w:t>
      </w:r>
      <w:r w:rsidR="0052730B">
        <w:rPr>
          <w:rFonts w:ascii="Times New Roman" w:hAnsi="Times New Roman" w:cs="Times New Roman"/>
          <w:szCs w:val="44"/>
        </w:rPr>
        <w:t>Carde et al [64</w:t>
      </w:r>
      <w:r>
        <w:rPr>
          <w:rFonts w:ascii="Times New Roman" w:hAnsi="Times New Roman" w:cs="Times New Roman"/>
          <w:szCs w:val="44"/>
        </w:rPr>
        <w:t>]</w:t>
      </w:r>
      <w:r w:rsidR="0052730B">
        <w:rPr>
          <w:rFonts w:ascii="Times New Roman" w:hAnsi="Times New Roman" w:cs="Times New Roman"/>
          <w:szCs w:val="44"/>
        </w:rPr>
        <w:t xml:space="preserve"> and Revertegate et al</w:t>
      </w:r>
      <w:proofErr w:type="gramEnd"/>
      <w:r w:rsidR="0052730B">
        <w:rPr>
          <w:rFonts w:ascii="Times New Roman" w:hAnsi="Times New Roman" w:cs="Times New Roman"/>
          <w:szCs w:val="44"/>
        </w:rPr>
        <w:t xml:space="preserve"> [68]</w:t>
      </w:r>
      <w:r>
        <w:rPr>
          <w:rFonts w:ascii="Times New Roman" w:hAnsi="Times New Roman" w:cs="Times New Roman"/>
          <w:szCs w:val="44"/>
        </w:rPr>
        <w:t xml:space="preserve">. Therefore a decrease in weight loss due to </w:t>
      </w:r>
      <w:r w:rsidR="00971672">
        <w:rPr>
          <w:rFonts w:ascii="Times New Roman" w:hAnsi="Times New Roman" w:cs="Times New Roman"/>
          <w:szCs w:val="44"/>
        </w:rPr>
        <w:t>Portlandite</w:t>
      </w:r>
      <w:r>
        <w:rPr>
          <w:rFonts w:ascii="Times New Roman" w:hAnsi="Times New Roman" w:cs="Times New Roman"/>
          <w:szCs w:val="44"/>
        </w:rPr>
        <w:t xml:space="preserve"> is identified</w:t>
      </w:r>
      <w:r w:rsidR="00323FF1">
        <w:rPr>
          <w:rFonts w:ascii="Times New Roman" w:hAnsi="Times New Roman" w:cs="Times New Roman"/>
          <w:szCs w:val="44"/>
        </w:rPr>
        <w:t xml:space="preserve"> in the first 7 days</w:t>
      </w:r>
      <w:r>
        <w:rPr>
          <w:rFonts w:ascii="Times New Roman" w:hAnsi="Times New Roman" w:cs="Times New Roman"/>
          <w:szCs w:val="44"/>
        </w:rPr>
        <w:t xml:space="preserve"> but no change in C-S-H weight loss suggesting that the</w:t>
      </w:r>
      <w:r w:rsidR="00D814DB">
        <w:rPr>
          <w:rFonts w:ascii="Times New Roman" w:hAnsi="Times New Roman" w:cs="Times New Roman"/>
          <w:szCs w:val="44"/>
        </w:rPr>
        <w:t xml:space="preserve"> </w:t>
      </w:r>
      <w:r w:rsidR="00703E77">
        <w:rPr>
          <w:rFonts w:ascii="Times New Roman" w:hAnsi="Times New Roman" w:cs="Times New Roman"/>
          <w:szCs w:val="44"/>
        </w:rPr>
        <w:t>components</w:t>
      </w:r>
      <w:r w:rsidR="00D814DB">
        <w:rPr>
          <w:rFonts w:ascii="Times New Roman" w:hAnsi="Times New Roman" w:cs="Times New Roman"/>
          <w:szCs w:val="44"/>
        </w:rPr>
        <w:t xml:space="preserve"> in the</w:t>
      </w:r>
      <w:r>
        <w:rPr>
          <w:rFonts w:ascii="Times New Roman" w:hAnsi="Times New Roman" w:cs="Times New Roman"/>
          <w:szCs w:val="44"/>
        </w:rPr>
        <w:t xml:space="preserve"> portlandite phase has not completely leached out. The TG curves of </w:t>
      </w:r>
      <w:r w:rsidRPr="00DC480E">
        <w:rPr>
          <w:rFonts w:ascii="Times New Roman" w:hAnsi="Times New Roman" w:cs="Times New Roman"/>
          <w:b/>
          <w:szCs w:val="44"/>
        </w:rPr>
        <w:t>7DB2</w:t>
      </w:r>
      <w:r>
        <w:rPr>
          <w:rFonts w:ascii="Times New Roman" w:hAnsi="Times New Roman" w:cs="Times New Roman"/>
          <w:szCs w:val="44"/>
        </w:rPr>
        <w:t xml:space="preserve"> and </w:t>
      </w:r>
      <w:r w:rsidRPr="00DC480E">
        <w:rPr>
          <w:rFonts w:ascii="Times New Roman" w:hAnsi="Times New Roman" w:cs="Times New Roman"/>
          <w:b/>
          <w:szCs w:val="44"/>
        </w:rPr>
        <w:t>7DB3</w:t>
      </w:r>
      <w:r>
        <w:rPr>
          <w:rFonts w:ascii="Times New Roman" w:hAnsi="Times New Roman" w:cs="Times New Roman"/>
          <w:szCs w:val="44"/>
        </w:rPr>
        <w:t xml:space="preserve"> suggest that the leaching has not impacted these 2 discs as the weight loss is similar to that of the original sample, therefore it can be assumed that after 7 days of leaching, only ions from the top 5mm of the sample </w:t>
      </w:r>
      <w:r w:rsidR="00EA6284">
        <w:rPr>
          <w:rFonts w:ascii="Times New Roman" w:hAnsi="Times New Roman" w:cs="Times New Roman"/>
          <w:szCs w:val="44"/>
        </w:rPr>
        <w:t>leach</w:t>
      </w:r>
      <w:r>
        <w:rPr>
          <w:rFonts w:ascii="Times New Roman" w:hAnsi="Times New Roman" w:cs="Times New Roman"/>
          <w:szCs w:val="44"/>
        </w:rPr>
        <w:t xml:space="preserve"> into the water. In contrast there is a change in weight loss in </w:t>
      </w:r>
      <w:r w:rsidRPr="00A857D2">
        <w:rPr>
          <w:rFonts w:ascii="Times New Roman" w:hAnsi="Times New Roman" w:cs="Times New Roman"/>
          <w:b/>
          <w:szCs w:val="44"/>
        </w:rPr>
        <w:t>28DB2</w:t>
      </w:r>
      <w:r>
        <w:rPr>
          <w:rFonts w:ascii="Times New Roman" w:hAnsi="Times New Roman" w:cs="Times New Roman"/>
          <w:szCs w:val="44"/>
        </w:rPr>
        <w:t xml:space="preserve"> and </w:t>
      </w:r>
      <w:r w:rsidRPr="00A857D2">
        <w:rPr>
          <w:rFonts w:ascii="Times New Roman" w:hAnsi="Times New Roman" w:cs="Times New Roman"/>
          <w:b/>
          <w:szCs w:val="44"/>
        </w:rPr>
        <w:t>28DB3</w:t>
      </w:r>
      <w:r>
        <w:rPr>
          <w:rFonts w:ascii="Times New Roman" w:hAnsi="Times New Roman" w:cs="Times New Roman"/>
          <w:szCs w:val="44"/>
        </w:rPr>
        <w:t xml:space="preserve"> suggesting that </w:t>
      </w:r>
      <w:r w:rsidR="00EA6284">
        <w:rPr>
          <w:rFonts w:ascii="Times New Roman" w:hAnsi="Times New Roman" w:cs="Times New Roman"/>
          <w:szCs w:val="44"/>
        </w:rPr>
        <w:t xml:space="preserve">leaching has </w:t>
      </w:r>
      <w:r w:rsidR="00B901C8">
        <w:rPr>
          <w:rFonts w:ascii="Times New Roman" w:hAnsi="Times New Roman" w:cs="Times New Roman"/>
          <w:szCs w:val="44"/>
        </w:rPr>
        <w:t>altered</w:t>
      </w:r>
      <w:r w:rsidR="00EA6284">
        <w:rPr>
          <w:rFonts w:ascii="Times New Roman" w:hAnsi="Times New Roman" w:cs="Times New Roman"/>
          <w:szCs w:val="44"/>
        </w:rPr>
        <w:t xml:space="preserve"> </w:t>
      </w:r>
      <w:r>
        <w:rPr>
          <w:rFonts w:ascii="Times New Roman" w:hAnsi="Times New Roman" w:cs="Times New Roman"/>
          <w:szCs w:val="44"/>
        </w:rPr>
        <w:t>these samples</w:t>
      </w:r>
      <w:r w:rsidR="00A857D2">
        <w:rPr>
          <w:rFonts w:ascii="Times New Roman" w:hAnsi="Times New Roman" w:cs="Times New Roman"/>
          <w:szCs w:val="44"/>
        </w:rPr>
        <w:t>. This means that in storage conditions</w:t>
      </w:r>
      <w:r w:rsidR="00C30E0B">
        <w:rPr>
          <w:rFonts w:ascii="Times New Roman" w:hAnsi="Times New Roman" w:cs="Times New Roman"/>
          <w:szCs w:val="44"/>
        </w:rPr>
        <w:t>, if a steel canister were to break and the cement</w:t>
      </w:r>
      <w:r w:rsidR="00A857D2">
        <w:rPr>
          <w:rFonts w:ascii="Times New Roman" w:hAnsi="Times New Roman" w:cs="Times New Roman"/>
          <w:szCs w:val="44"/>
        </w:rPr>
        <w:t xml:space="preserve"> </w:t>
      </w:r>
      <w:r w:rsidR="00C30E0B">
        <w:rPr>
          <w:rFonts w:ascii="Times New Roman" w:hAnsi="Times New Roman" w:cs="Times New Roman"/>
          <w:szCs w:val="44"/>
        </w:rPr>
        <w:t xml:space="preserve">would come into </w:t>
      </w:r>
      <w:r w:rsidR="00A857D2">
        <w:rPr>
          <w:rFonts w:ascii="Times New Roman" w:hAnsi="Times New Roman" w:cs="Times New Roman"/>
          <w:szCs w:val="44"/>
        </w:rPr>
        <w:t>contact with groundwater</w:t>
      </w:r>
      <w:r w:rsidR="00C30E0B">
        <w:rPr>
          <w:rFonts w:ascii="Times New Roman" w:hAnsi="Times New Roman" w:cs="Times New Roman"/>
          <w:szCs w:val="44"/>
        </w:rPr>
        <w:t xml:space="preserve">, species </w:t>
      </w:r>
      <w:r w:rsidR="00A857D2">
        <w:rPr>
          <w:rFonts w:ascii="Times New Roman" w:hAnsi="Times New Roman" w:cs="Times New Roman"/>
          <w:szCs w:val="44"/>
        </w:rPr>
        <w:t xml:space="preserve">would </w:t>
      </w:r>
      <w:r w:rsidR="00C30E0B">
        <w:rPr>
          <w:rFonts w:ascii="Times New Roman" w:hAnsi="Times New Roman" w:cs="Times New Roman"/>
          <w:szCs w:val="44"/>
        </w:rPr>
        <w:t>leach out of a</w:t>
      </w:r>
      <w:r w:rsidR="00A857D2">
        <w:rPr>
          <w:rFonts w:ascii="Times New Roman" w:hAnsi="Times New Roman" w:cs="Times New Roman"/>
          <w:szCs w:val="44"/>
        </w:rPr>
        <w:t xml:space="preserve"> 10mm depth of the sample within 28 days</w:t>
      </w:r>
      <w:r w:rsidR="009D1E48">
        <w:rPr>
          <w:rFonts w:ascii="Times New Roman" w:hAnsi="Times New Roman" w:cs="Times New Roman"/>
          <w:szCs w:val="44"/>
        </w:rPr>
        <w:t xml:space="preserve"> and past 15mm depths after 2 years</w:t>
      </w:r>
      <w:r w:rsidR="00A857D2">
        <w:rPr>
          <w:rFonts w:ascii="Times New Roman" w:hAnsi="Times New Roman" w:cs="Times New Roman"/>
          <w:szCs w:val="44"/>
        </w:rPr>
        <w:t>.</w:t>
      </w:r>
    </w:p>
    <w:p w14:paraId="60962473" w14:textId="4C9A5A7B" w:rsidR="005708A0" w:rsidRPr="00AB6930" w:rsidRDefault="007D05FB" w:rsidP="005708A0">
      <w:pPr>
        <w:widowControl w:val="0"/>
        <w:autoSpaceDE w:val="0"/>
        <w:autoSpaceDN w:val="0"/>
        <w:adjustRightInd w:val="0"/>
        <w:spacing w:after="240" w:line="480" w:lineRule="exact"/>
        <w:jc w:val="both"/>
        <w:rPr>
          <w:rFonts w:ascii="Times" w:hAnsi="Times" w:cs="Times"/>
        </w:rPr>
      </w:pPr>
      <w:r>
        <w:rPr>
          <w:rFonts w:ascii="Times" w:hAnsi="Times" w:cs="Times"/>
        </w:rPr>
        <w:t>These findings correspond</w:t>
      </w:r>
      <w:r w:rsidR="005E5246">
        <w:rPr>
          <w:rFonts w:ascii="Times" w:hAnsi="Times" w:cs="Times"/>
        </w:rPr>
        <w:t xml:space="preserve"> to research by Adenot and</w:t>
      </w:r>
      <w:r w:rsidR="00172057">
        <w:rPr>
          <w:rFonts w:ascii="Times" w:hAnsi="Times" w:cs="Times"/>
        </w:rPr>
        <w:t xml:space="preserve"> Buil [70</w:t>
      </w:r>
      <w:r w:rsidR="005708A0">
        <w:rPr>
          <w:rFonts w:ascii="Times" w:hAnsi="Times" w:cs="Times"/>
        </w:rPr>
        <w:t>]</w:t>
      </w:r>
      <w:r w:rsidR="006F5DFA">
        <w:rPr>
          <w:rFonts w:ascii="Times" w:hAnsi="Times" w:cs="Times"/>
        </w:rPr>
        <w:t xml:space="preserve"> who</w:t>
      </w:r>
      <w:r w:rsidR="005708A0" w:rsidRPr="006B3508">
        <w:rPr>
          <w:rFonts w:ascii="Times" w:hAnsi="Times" w:cs="Times"/>
        </w:rPr>
        <w:t xml:space="preserve"> found that exposure of cement paste to deionized water for prolonged periods </w:t>
      </w:r>
      <w:r w:rsidR="00B901C8">
        <w:rPr>
          <w:rFonts w:ascii="Times" w:hAnsi="Times" w:cs="Times"/>
        </w:rPr>
        <w:t>degrades</w:t>
      </w:r>
      <w:r w:rsidR="005708A0" w:rsidRPr="006B3508">
        <w:rPr>
          <w:rFonts w:ascii="Times" w:hAnsi="Times" w:cs="Times"/>
        </w:rPr>
        <w:t xml:space="preserve"> the surface of the</w:t>
      </w:r>
      <w:r w:rsidR="00B901C8">
        <w:rPr>
          <w:rFonts w:ascii="Times" w:hAnsi="Times" w:cs="Times"/>
        </w:rPr>
        <w:t xml:space="preserve"> cement</w:t>
      </w:r>
      <w:r w:rsidR="005708A0" w:rsidRPr="006B3508">
        <w:rPr>
          <w:rFonts w:ascii="Times" w:hAnsi="Times" w:cs="Times"/>
        </w:rPr>
        <w:t xml:space="preserve"> sample</w:t>
      </w:r>
      <w:r w:rsidR="00B901C8">
        <w:rPr>
          <w:rFonts w:ascii="Times" w:hAnsi="Times" w:cs="Times"/>
        </w:rPr>
        <w:t>,</w:t>
      </w:r>
      <w:r w:rsidR="005708A0" w:rsidRPr="006B3508">
        <w:rPr>
          <w:rFonts w:ascii="Times" w:hAnsi="Times" w:cs="Times"/>
        </w:rPr>
        <w:t xml:space="preserve"> however their XRD results showed that the core of the sample has exactly the same phase composition as an unleached counterpart</w:t>
      </w:r>
      <w:r w:rsidR="00B33039">
        <w:rPr>
          <w:rFonts w:ascii="Times" w:hAnsi="Times" w:cs="Times"/>
        </w:rPr>
        <w:t>. They did not specify how far the specimen core was from the exposure surface</w:t>
      </w:r>
      <w:r w:rsidR="005708A0" w:rsidRPr="006B3508">
        <w:rPr>
          <w:rFonts w:ascii="Times" w:hAnsi="Times" w:cs="Times"/>
        </w:rPr>
        <w:t xml:space="preserve">. The XRD and SEM showed that the immediate exposure zone was completely depleted of portlandite). The next two zones (deeper within the sample) are delimited by dissolution fronts of the monosulfoaluminate and ettringite. They also </w:t>
      </w:r>
      <w:r w:rsidR="00B901C8">
        <w:rPr>
          <w:rFonts w:ascii="Times" w:hAnsi="Times" w:cs="Times"/>
        </w:rPr>
        <w:t xml:space="preserve">resulted in </w:t>
      </w:r>
      <w:r w:rsidR="009D1E48">
        <w:rPr>
          <w:rFonts w:ascii="Times" w:hAnsi="Times" w:cs="Times"/>
        </w:rPr>
        <w:t xml:space="preserve">a </w:t>
      </w:r>
      <w:r w:rsidR="009D1E48">
        <w:rPr>
          <w:rFonts w:ascii="Times" w:hAnsi="Times" w:cs="Times"/>
        </w:rPr>
        <w:lastRenderedPageBreak/>
        <w:t>gradient</w:t>
      </w:r>
      <w:r w:rsidR="008D4D0B">
        <w:rPr>
          <w:rFonts w:ascii="Times" w:hAnsi="Times" w:cs="Times"/>
        </w:rPr>
        <w:t xml:space="preserve"> </w:t>
      </w:r>
      <w:r w:rsidR="009D1E48">
        <w:rPr>
          <w:rFonts w:ascii="Times" w:hAnsi="Times" w:cs="Times"/>
        </w:rPr>
        <w:t xml:space="preserve">of </w:t>
      </w:r>
      <w:r w:rsidR="008D4D0B">
        <w:rPr>
          <w:rFonts w:ascii="Times" w:hAnsi="Times" w:cs="Times"/>
        </w:rPr>
        <w:t>calcium/s</w:t>
      </w:r>
      <w:r w:rsidR="005708A0" w:rsidRPr="006B3508">
        <w:rPr>
          <w:rFonts w:ascii="Times" w:hAnsi="Times" w:cs="Times"/>
        </w:rPr>
        <w:t>ilicon (C/S) ratio in the solid phase, from the uncorroded core to the specimen surface. This can also be seen in the</w:t>
      </w:r>
      <w:r w:rsidR="005708A0">
        <w:rPr>
          <w:rFonts w:ascii="Times" w:hAnsi="Times" w:cs="Times"/>
        </w:rPr>
        <w:t xml:space="preserve"> SEM results </w:t>
      </w:r>
      <w:r w:rsidR="00F13CE8">
        <w:rPr>
          <w:rFonts w:ascii="Times" w:hAnsi="Times" w:cs="Times"/>
        </w:rPr>
        <w:t xml:space="preserve">of this project </w:t>
      </w:r>
      <w:r w:rsidR="005708A0" w:rsidRPr="006B3508">
        <w:rPr>
          <w:rFonts w:ascii="Times" w:hAnsi="Times" w:cs="Times"/>
        </w:rPr>
        <w:t xml:space="preserve">where the </w:t>
      </w:r>
      <w:r w:rsidR="005708A0">
        <w:rPr>
          <w:rFonts w:ascii="Times" w:hAnsi="Times" w:cs="Times"/>
        </w:rPr>
        <w:t>particles</w:t>
      </w:r>
      <w:r w:rsidR="005708A0" w:rsidRPr="006B3508">
        <w:rPr>
          <w:rFonts w:ascii="Times" w:hAnsi="Times" w:cs="Times"/>
        </w:rPr>
        <w:t xml:space="preserve"> produced by portlandite decreases as the leaching surface is approached</w:t>
      </w:r>
      <w:r w:rsidR="00A857D2">
        <w:rPr>
          <w:rFonts w:ascii="Times" w:hAnsi="Times" w:cs="Times"/>
        </w:rPr>
        <w:t>.</w:t>
      </w:r>
    </w:p>
    <w:p w14:paraId="151C80F3" w14:textId="6BF38E63" w:rsidR="00E127D4" w:rsidRPr="00876DD7" w:rsidRDefault="005708A0" w:rsidP="005708A0">
      <w:pPr>
        <w:spacing w:before="240" w:after="120" w:line="480" w:lineRule="exact"/>
        <w:jc w:val="both"/>
        <w:rPr>
          <w:rFonts w:ascii="Times" w:hAnsi="Times" w:cs="Times New Roman"/>
          <w:color w:val="000000" w:themeColor="text1"/>
        </w:rPr>
      </w:pPr>
      <w:r>
        <w:rPr>
          <w:rFonts w:ascii="Times" w:hAnsi="Times" w:cs="Times New Roman"/>
        </w:rPr>
        <w:t xml:space="preserve">The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rPr>
        <w:t xml:space="preserve"> TGA data shows a decrease due to the weight loss associated with CAN and CsNO</w:t>
      </w:r>
      <w:r>
        <w:rPr>
          <w:rFonts w:ascii="Times" w:hAnsi="Times" w:cs="Times New Roman"/>
          <w:vertAlign w:val="subscript"/>
        </w:rPr>
        <w:t>3</w:t>
      </w:r>
      <w:r>
        <w:rPr>
          <w:rFonts w:ascii="Times" w:hAnsi="Times" w:cs="Times New Roman"/>
        </w:rPr>
        <w:t xml:space="preserve"> in the </w:t>
      </w:r>
      <w:r w:rsidR="009D1E48">
        <w:rPr>
          <w:rFonts w:ascii="Times" w:hAnsi="Times" w:cs="Times New Roman"/>
        </w:rPr>
        <w:t>as time progresses deeper within the samples</w:t>
      </w:r>
      <w:r w:rsidR="00B3227C">
        <w:rPr>
          <w:rFonts w:ascii="Times" w:hAnsi="Times" w:cs="Times New Roman"/>
        </w:rPr>
        <w:t>.</w:t>
      </w:r>
      <w:r w:rsidR="00B3227C" w:rsidRPr="00B3227C">
        <w:rPr>
          <w:rFonts w:ascii="Times" w:hAnsi="Times" w:cs="Times New Roman"/>
        </w:rPr>
        <w:t xml:space="preserve"> </w:t>
      </w:r>
      <w:r w:rsidR="00B3227C">
        <w:rPr>
          <w:rFonts w:ascii="Times" w:hAnsi="Times" w:cs="Times New Roman"/>
        </w:rPr>
        <w:t xml:space="preserve">A comparison of TGA of nirated AFm and other substituted AFm phase would have been useful in confirming the peaks in the DTG data associated with this phase. However </w:t>
      </w:r>
      <w:r w:rsidR="00B3227C">
        <w:rPr>
          <w:rFonts w:ascii="Times New Roman" w:hAnsi="Times New Roman" w:cs="Times New Roman"/>
          <w:color w:val="000000" w:themeColor="text1"/>
        </w:rPr>
        <w:t>d</w:t>
      </w:r>
      <w:r w:rsidR="00B3227C" w:rsidRPr="00876DD7">
        <w:rPr>
          <w:rFonts w:ascii="Times New Roman" w:hAnsi="Times New Roman" w:cs="Times New Roman"/>
          <w:color w:val="000000" w:themeColor="text1"/>
        </w:rPr>
        <w:t>ue to time limitations of the project and prioritising of what experiments to do and not do</w:t>
      </w:r>
      <w:r w:rsidR="00B3227C">
        <w:rPr>
          <w:rFonts w:ascii="Times New Roman" w:hAnsi="Times New Roman" w:cs="Times New Roman"/>
          <w:color w:val="000000" w:themeColor="text1"/>
        </w:rPr>
        <w:t>,</w:t>
      </w:r>
      <w:r w:rsidR="00B3227C" w:rsidRPr="00876DD7">
        <w:rPr>
          <w:rFonts w:ascii="Times New Roman" w:hAnsi="Times New Roman" w:cs="Times New Roman"/>
          <w:color w:val="000000" w:themeColor="text1"/>
        </w:rPr>
        <w:t xml:space="preserve"> this was not pursued.</w:t>
      </w:r>
      <w:r>
        <w:rPr>
          <w:rFonts w:ascii="Times" w:hAnsi="Times" w:cs="Times New Roman"/>
        </w:rPr>
        <w:t xml:space="preserve"> </w:t>
      </w:r>
      <w:r w:rsidR="00B3227C">
        <w:rPr>
          <w:rFonts w:ascii="Times" w:hAnsi="Times" w:cs="Times New Roman"/>
        </w:rPr>
        <w:t>There</w:t>
      </w:r>
      <w:r>
        <w:rPr>
          <w:rFonts w:ascii="Times" w:hAnsi="Times" w:cs="Times New Roman"/>
        </w:rPr>
        <w:t xml:space="preserve"> seems to be an increase in weight loss due to C-S-H</w:t>
      </w:r>
      <w:r w:rsidR="00C73B1B">
        <w:rPr>
          <w:rFonts w:ascii="Times" w:hAnsi="Times" w:cs="Times New Roman"/>
        </w:rPr>
        <w:t xml:space="preserve"> on the top layer</w:t>
      </w:r>
      <w:r>
        <w:rPr>
          <w:rFonts w:ascii="Times" w:hAnsi="Times" w:cs="Times New Roman"/>
        </w:rPr>
        <w:t xml:space="preserve">. This increase in weight loss due to C-S-H can also be seen in the </w:t>
      </w:r>
      <w:r w:rsidRPr="00DC480E">
        <w:rPr>
          <w:rFonts w:ascii="Times" w:hAnsi="Times" w:cs="Times New Roman"/>
          <w:b/>
        </w:rPr>
        <w:t>6MB1</w:t>
      </w:r>
      <w:r>
        <w:rPr>
          <w:rFonts w:ascii="Times" w:hAnsi="Times" w:cs="Times New Roman"/>
        </w:rPr>
        <w:t>; this is the opposite of what was observed in earlier leached s</w:t>
      </w:r>
      <w:r w:rsidR="00172057">
        <w:rPr>
          <w:rFonts w:ascii="Times" w:hAnsi="Times" w:cs="Times New Roman"/>
        </w:rPr>
        <w:t>amples. According to Ekstrom [71</w:t>
      </w:r>
      <w:r>
        <w:rPr>
          <w:rFonts w:ascii="Times" w:hAnsi="Times" w:cs="Times New Roman"/>
        </w:rPr>
        <w:t xml:space="preserve">], during the leaching process some of the diffused ions reform </w:t>
      </w:r>
      <w:r w:rsidR="00AF0375">
        <w:rPr>
          <w:rFonts w:ascii="Times" w:hAnsi="Times" w:cs="Times New Roman"/>
        </w:rPr>
        <w:t xml:space="preserve">their </w:t>
      </w:r>
      <w:r w:rsidR="009E1C58">
        <w:rPr>
          <w:rFonts w:ascii="Times" w:hAnsi="Times" w:cs="Times New Roman"/>
        </w:rPr>
        <w:t xml:space="preserve">original </w:t>
      </w:r>
      <w:r w:rsidR="00AF0375">
        <w:rPr>
          <w:rFonts w:ascii="Times" w:hAnsi="Times" w:cs="Times New Roman"/>
        </w:rPr>
        <w:t xml:space="preserve">phases </w:t>
      </w:r>
      <w:r>
        <w:rPr>
          <w:rFonts w:ascii="Times" w:hAnsi="Times" w:cs="Times New Roman"/>
        </w:rPr>
        <w:t>and crystallise on the leaching surface of the sample</w:t>
      </w:r>
      <w:r w:rsidR="00CD2882">
        <w:rPr>
          <w:rFonts w:ascii="Times" w:hAnsi="Times" w:cs="Times New Roman"/>
        </w:rPr>
        <w:t>. Most commonly crystalline</w:t>
      </w:r>
      <w:r>
        <w:rPr>
          <w:rFonts w:ascii="Times" w:hAnsi="Times" w:cs="Times New Roman"/>
        </w:rPr>
        <w:t xml:space="preserve"> C-S-H forms, which also causes a barrier for further diffusion and decreases leaching rates. T</w:t>
      </w:r>
      <w:r w:rsidR="006847EC">
        <w:rPr>
          <w:rFonts w:ascii="Times" w:hAnsi="Times" w:cs="Times New Roman"/>
        </w:rPr>
        <w:t xml:space="preserve">he samples did show an increasing amount of solid precipitate crystals on the surface after being removed from solution, as can </w:t>
      </w:r>
      <w:r w:rsidR="00A857D2">
        <w:rPr>
          <w:rFonts w:ascii="Times" w:hAnsi="Times" w:cs="Times New Roman"/>
        </w:rPr>
        <w:t>be seen in figure 4.78</w:t>
      </w:r>
      <w:r>
        <w:rPr>
          <w:rFonts w:ascii="Times" w:hAnsi="Times" w:cs="Times New Roman"/>
        </w:rPr>
        <w:t xml:space="preserve">, which compares sample </w:t>
      </w:r>
      <w:r w:rsidRPr="00DC480E">
        <w:rPr>
          <w:rFonts w:ascii="Times" w:hAnsi="Times" w:cs="Times New Roman"/>
          <w:b/>
        </w:rPr>
        <w:t>28DB</w:t>
      </w:r>
      <w:r w:rsidR="00A857D2">
        <w:rPr>
          <w:rFonts w:ascii="Times" w:hAnsi="Times" w:cs="Times New Roman"/>
        </w:rPr>
        <w:t xml:space="preserve"> (fig 4.78</w:t>
      </w:r>
      <w:r>
        <w:rPr>
          <w:rFonts w:ascii="Times" w:hAnsi="Times" w:cs="Times New Roman"/>
        </w:rPr>
        <w:t xml:space="preserve"> left) sample </w:t>
      </w:r>
      <w:r w:rsidRPr="00DC480E">
        <w:rPr>
          <w:rFonts w:ascii="Times" w:hAnsi="Times" w:cs="Times New Roman"/>
          <w:b/>
        </w:rPr>
        <w:t>6MB</w:t>
      </w:r>
      <w:r w:rsidR="00A857D2">
        <w:rPr>
          <w:rFonts w:ascii="Times" w:hAnsi="Times" w:cs="Times New Roman"/>
        </w:rPr>
        <w:t xml:space="preserve"> (fig 4.78</w:t>
      </w:r>
      <w:r>
        <w:rPr>
          <w:rFonts w:ascii="Times" w:hAnsi="Times" w:cs="Times New Roman"/>
        </w:rPr>
        <w:t xml:space="preserve"> right) immediately after removing them from their leaching containers</w:t>
      </w:r>
      <w:r w:rsidR="006847EC">
        <w:rPr>
          <w:rFonts w:ascii="Times" w:hAnsi="Times" w:cs="Times New Roman"/>
        </w:rPr>
        <w:t>. These crystals could be due to the C-S-H barrier formed during leaching</w:t>
      </w:r>
      <w:r>
        <w:rPr>
          <w:rFonts w:ascii="Times" w:hAnsi="Times" w:cs="Times New Roman"/>
        </w:rPr>
        <w:t xml:space="preserve">. </w:t>
      </w:r>
    </w:p>
    <w:p w14:paraId="76E5A139" w14:textId="77777777" w:rsidR="005708A0" w:rsidRDefault="005708A0" w:rsidP="005708A0">
      <w:pPr>
        <w:spacing w:before="240" w:after="120"/>
        <w:jc w:val="both"/>
        <w:rPr>
          <w:rFonts w:ascii="Times" w:hAnsi="Times" w:cs="Times New Roman"/>
        </w:rPr>
      </w:pPr>
    </w:p>
    <w:p w14:paraId="733824C7" w14:textId="77777777" w:rsidR="00CB5237" w:rsidRDefault="00CB5237" w:rsidP="005708A0">
      <w:pPr>
        <w:spacing w:before="240" w:after="120"/>
        <w:jc w:val="both"/>
        <w:rPr>
          <w:rFonts w:ascii="Times" w:hAnsi="Times" w:cs="Times New Roman"/>
        </w:rPr>
      </w:pPr>
    </w:p>
    <w:p w14:paraId="4BE7DD34" w14:textId="77777777" w:rsidR="00CB5237" w:rsidRDefault="00CB5237" w:rsidP="005708A0">
      <w:pPr>
        <w:spacing w:before="240" w:after="120"/>
        <w:jc w:val="both"/>
        <w:rPr>
          <w:rFonts w:ascii="Times" w:hAnsi="Times" w:cs="Times New Roman"/>
        </w:rPr>
      </w:pPr>
    </w:p>
    <w:p w14:paraId="2B2893D5" w14:textId="77777777" w:rsidR="00CB5237" w:rsidRDefault="00CB5237" w:rsidP="005708A0">
      <w:pPr>
        <w:spacing w:before="240" w:after="120"/>
        <w:jc w:val="both"/>
        <w:rPr>
          <w:rFonts w:ascii="Times" w:hAnsi="Times" w:cs="Times New Roman"/>
        </w:rPr>
      </w:pPr>
    </w:p>
    <w:p w14:paraId="4EBC0B8C" w14:textId="77777777" w:rsidR="00CB5237" w:rsidRDefault="00CB5237" w:rsidP="005708A0">
      <w:pPr>
        <w:spacing w:before="240" w:after="120"/>
        <w:jc w:val="both"/>
        <w:rPr>
          <w:rFonts w:ascii="Times" w:hAnsi="Times" w:cs="Times New Roman"/>
        </w:rPr>
      </w:pPr>
    </w:p>
    <w:p w14:paraId="6266F985" w14:textId="77777777" w:rsidR="005708A0" w:rsidRDefault="005708A0" w:rsidP="005708A0">
      <w:pPr>
        <w:spacing w:before="240" w:after="120"/>
        <w:jc w:val="center"/>
        <w:rPr>
          <w:rFonts w:ascii="Times" w:hAnsi="Times" w:cs="Arial"/>
          <w:color w:val="000000"/>
          <w:sz w:val="16"/>
          <w:szCs w:val="16"/>
        </w:rPr>
      </w:pPr>
      <w:r>
        <w:rPr>
          <w:rFonts w:ascii="Times" w:hAnsi="Times" w:cs="Arial"/>
          <w:noProof/>
          <w:color w:val="000000"/>
          <w:sz w:val="16"/>
          <w:szCs w:val="16"/>
        </w:rPr>
        <w:lastRenderedPageBreak/>
        <w:drawing>
          <wp:inline distT="0" distB="0" distL="0" distR="0" wp14:anchorId="4E3145B3" wp14:editId="534BBDA4">
            <wp:extent cx="2645410" cy="2296795"/>
            <wp:effectExtent l="25400" t="25400" r="21590" b="14605"/>
            <wp:docPr id="2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1">
                      <a:extLst>
                        <a:ext uri="{28A0092B-C50C-407E-A947-70E740481C1C}">
                          <a14:useLocalDpi xmlns:a14="http://schemas.microsoft.com/office/drawing/2010/main" val="0"/>
                        </a:ext>
                      </a:extLst>
                    </a:blip>
                    <a:srcRect l="3435" t="6210" r="3770" b="11511"/>
                    <a:stretch>
                      <a:fillRect/>
                    </a:stretch>
                  </pic:blipFill>
                  <pic:spPr bwMode="auto">
                    <a:xfrm>
                      <a:off x="0" y="0"/>
                      <a:ext cx="2645410" cy="2296795"/>
                    </a:xfrm>
                    <a:prstGeom prst="rect">
                      <a:avLst/>
                    </a:prstGeom>
                    <a:noFill/>
                    <a:ln w="9525" cmpd="sng">
                      <a:solidFill>
                        <a:srgbClr val="000000"/>
                      </a:solidFill>
                      <a:miter lim="800000"/>
                      <a:headEnd/>
                      <a:tailEnd/>
                    </a:ln>
                    <a:effectLst/>
                  </pic:spPr>
                </pic:pic>
              </a:graphicData>
            </a:graphic>
          </wp:inline>
        </w:drawing>
      </w:r>
      <w:r>
        <w:rPr>
          <w:rFonts w:ascii="Times" w:hAnsi="Times" w:cs="Arial"/>
          <w:noProof/>
          <w:color w:val="000000"/>
          <w:sz w:val="16"/>
          <w:szCs w:val="16"/>
        </w:rPr>
        <w:drawing>
          <wp:inline distT="0" distB="0" distL="0" distR="0" wp14:anchorId="1BB71FB6" wp14:editId="5B484881">
            <wp:extent cx="2482215" cy="2296795"/>
            <wp:effectExtent l="25400" t="25400" r="32385" b="14605"/>
            <wp:docPr id="286"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82215" cy="2296795"/>
                    </a:xfrm>
                    <a:prstGeom prst="rect">
                      <a:avLst/>
                    </a:prstGeom>
                    <a:noFill/>
                    <a:ln w="9525" cmpd="sng">
                      <a:solidFill>
                        <a:schemeClr val="tx1"/>
                      </a:solidFill>
                      <a:miter lim="800000"/>
                      <a:headEnd/>
                      <a:tailEnd/>
                    </a:ln>
                    <a:effectLst/>
                  </pic:spPr>
                </pic:pic>
              </a:graphicData>
            </a:graphic>
          </wp:inline>
        </w:drawing>
      </w:r>
    </w:p>
    <w:p w14:paraId="237F6039" w14:textId="515790B0" w:rsidR="005708A0" w:rsidRDefault="009D1E48" w:rsidP="005708A0">
      <w:pPr>
        <w:tabs>
          <w:tab w:val="left" w:pos="1276"/>
        </w:tabs>
        <w:spacing w:before="240" w:after="120"/>
        <w:jc w:val="center"/>
        <w:rPr>
          <w:rFonts w:ascii="Times" w:hAnsi="Times"/>
          <w:sz w:val="20"/>
          <w:szCs w:val="20"/>
        </w:rPr>
      </w:pPr>
      <w:r>
        <w:rPr>
          <w:rFonts w:ascii="Times" w:hAnsi="Times" w:cs="Times New Roman"/>
          <w:b/>
        </w:rPr>
        <w:t>Fig 4.78</w:t>
      </w:r>
      <w:r w:rsidR="005708A0">
        <w:rPr>
          <w:rFonts w:ascii="Times" w:hAnsi="Times" w:cs="Times New Roman"/>
          <w:b/>
        </w:rPr>
        <w:t>:</w:t>
      </w:r>
      <w:r w:rsidR="005708A0">
        <w:rPr>
          <w:rFonts w:ascii="Times" w:hAnsi="Times" w:cs="Times New Roman"/>
          <w:sz w:val="23"/>
          <w:szCs w:val="23"/>
        </w:rPr>
        <w:t xml:space="preserve"> Surface of leached samples </w:t>
      </w:r>
      <w:r w:rsidR="005708A0" w:rsidRPr="00DC480E">
        <w:rPr>
          <w:rFonts w:ascii="Times" w:hAnsi="Times" w:cs="Times New Roman"/>
          <w:b/>
          <w:sz w:val="23"/>
          <w:szCs w:val="23"/>
        </w:rPr>
        <w:t>28DB</w:t>
      </w:r>
      <w:r w:rsidR="005708A0">
        <w:rPr>
          <w:rFonts w:ascii="Times" w:hAnsi="Times" w:cs="Times New Roman"/>
          <w:sz w:val="23"/>
          <w:szCs w:val="23"/>
        </w:rPr>
        <w:t xml:space="preserve"> (left) and </w:t>
      </w:r>
      <w:r w:rsidR="005708A0" w:rsidRPr="009D1E48">
        <w:rPr>
          <w:rFonts w:ascii="Times" w:hAnsi="Times" w:cs="Times New Roman"/>
          <w:b/>
          <w:sz w:val="23"/>
          <w:szCs w:val="23"/>
        </w:rPr>
        <w:t>6MB</w:t>
      </w:r>
      <w:r w:rsidR="005708A0">
        <w:rPr>
          <w:rFonts w:ascii="Times" w:hAnsi="Times" w:cs="Times New Roman"/>
          <w:sz w:val="23"/>
          <w:szCs w:val="23"/>
        </w:rPr>
        <w:t xml:space="preserve"> (right)</w:t>
      </w:r>
      <w:r w:rsidR="005708A0">
        <w:rPr>
          <w:rFonts w:ascii="Times" w:hAnsi="Times"/>
          <w:sz w:val="20"/>
          <w:szCs w:val="20"/>
        </w:rPr>
        <w:t xml:space="preserve"> </w:t>
      </w:r>
    </w:p>
    <w:p w14:paraId="689B3CAD" w14:textId="3912C494" w:rsidR="005708A0" w:rsidRDefault="005708A0" w:rsidP="005708A0">
      <w:pPr>
        <w:spacing w:before="240" w:after="120" w:line="480" w:lineRule="exact"/>
        <w:jc w:val="both"/>
        <w:rPr>
          <w:rFonts w:ascii="Times" w:hAnsi="Times" w:cs="Arial"/>
          <w:color w:val="000000"/>
          <w:szCs w:val="16"/>
        </w:rPr>
      </w:pPr>
      <w:r>
        <w:rPr>
          <w:rFonts w:ascii="Times" w:hAnsi="Times" w:cs="Arial"/>
          <w:color w:val="000000"/>
          <w:szCs w:val="16"/>
        </w:rPr>
        <w:t>Given that the solution was replaced regularly with fresh water,</w:t>
      </w:r>
      <w:r w:rsidR="00544624">
        <w:rPr>
          <w:rFonts w:ascii="Times" w:hAnsi="Times" w:cs="Arial"/>
          <w:color w:val="000000"/>
          <w:szCs w:val="16"/>
        </w:rPr>
        <w:t xml:space="preserve"> it was assumed that this </w:t>
      </w:r>
      <w:r>
        <w:rPr>
          <w:rFonts w:ascii="Times" w:hAnsi="Times" w:cs="Arial"/>
          <w:color w:val="000000"/>
          <w:szCs w:val="16"/>
        </w:rPr>
        <w:t xml:space="preserve">re-crystallisation of C-S-H would be more prominent in the static samples as there is a higher concentration of ions. Therefore the TGA of exposure surface layers of the </w:t>
      </w:r>
      <w:r w:rsidRPr="00DC480E">
        <w:rPr>
          <w:rFonts w:ascii="Times" w:hAnsi="Times" w:cs="Arial"/>
          <w:b/>
          <w:color w:val="000000"/>
          <w:szCs w:val="16"/>
        </w:rPr>
        <w:t>W-B</w:t>
      </w:r>
      <w:r>
        <w:rPr>
          <w:rFonts w:ascii="Times" w:hAnsi="Times" w:cs="Arial"/>
          <w:color w:val="000000"/>
          <w:szCs w:val="16"/>
        </w:rPr>
        <w:t xml:space="preserve"> series were examined and it was found that C-S-H amounts decreased up until 28 days after which the amounts of C-S-H seem to increase as shown in figure 4.7</w:t>
      </w:r>
      <w:r w:rsidR="00C73B1B">
        <w:rPr>
          <w:rFonts w:ascii="Times" w:hAnsi="Times" w:cs="Arial"/>
          <w:color w:val="000000"/>
          <w:szCs w:val="16"/>
        </w:rPr>
        <w:t>9</w:t>
      </w:r>
      <w:r>
        <w:rPr>
          <w:rFonts w:ascii="Times" w:hAnsi="Times" w:cs="Arial"/>
          <w:color w:val="000000"/>
          <w:szCs w:val="16"/>
        </w:rPr>
        <w:t xml:space="preserve"> which compares the weight loss curve for both </w:t>
      </w:r>
      <w:r w:rsidRPr="00DC480E">
        <w:rPr>
          <w:rFonts w:ascii="Times" w:hAnsi="Times" w:cs="Arial"/>
          <w:b/>
          <w:color w:val="000000"/>
          <w:szCs w:val="16"/>
        </w:rPr>
        <w:t xml:space="preserve">W-28DB1 </w:t>
      </w:r>
      <w:r>
        <w:rPr>
          <w:rFonts w:ascii="Times" w:hAnsi="Times" w:cs="Arial"/>
          <w:color w:val="000000"/>
          <w:szCs w:val="16"/>
        </w:rPr>
        <w:t xml:space="preserve">and </w:t>
      </w:r>
      <w:r w:rsidRPr="00DC480E">
        <w:rPr>
          <w:rFonts w:ascii="Times" w:hAnsi="Times" w:cs="Arial"/>
          <w:b/>
          <w:color w:val="000000"/>
          <w:szCs w:val="16"/>
        </w:rPr>
        <w:t>W-3MB1</w:t>
      </w:r>
      <w:r w:rsidR="00274C13">
        <w:rPr>
          <w:rFonts w:ascii="Times" w:hAnsi="Times" w:cs="Arial"/>
          <w:b/>
          <w:color w:val="000000"/>
          <w:szCs w:val="16"/>
        </w:rPr>
        <w:t>.</w:t>
      </w:r>
      <w:r w:rsidR="00274C13">
        <w:rPr>
          <w:rFonts w:ascii="Times" w:hAnsi="Times" w:cs="Arial"/>
          <w:color w:val="000000"/>
          <w:szCs w:val="16"/>
        </w:rPr>
        <w:t xml:space="preserve"> </w:t>
      </w:r>
      <w:r>
        <w:rPr>
          <w:rFonts w:ascii="Times" w:hAnsi="Times" w:cs="Arial"/>
          <w:color w:val="000000"/>
          <w:szCs w:val="16"/>
        </w:rPr>
        <w:t xml:space="preserve">This is </w:t>
      </w:r>
      <w:r w:rsidR="00705EC3">
        <w:rPr>
          <w:rFonts w:ascii="Times" w:hAnsi="Times" w:cs="Arial"/>
          <w:color w:val="000000"/>
          <w:szCs w:val="16"/>
        </w:rPr>
        <w:t>much earlier than</w:t>
      </w:r>
      <w:r w:rsidR="00736A68">
        <w:rPr>
          <w:rFonts w:ascii="Times" w:hAnsi="Times" w:cs="Arial"/>
          <w:color w:val="000000"/>
          <w:szCs w:val="16"/>
        </w:rPr>
        <w:t xml:space="preserve"> was noticed</w:t>
      </w:r>
      <w:r w:rsidR="00705EC3">
        <w:rPr>
          <w:rFonts w:ascii="Times" w:hAnsi="Times" w:cs="Arial"/>
          <w:color w:val="000000"/>
          <w:szCs w:val="16"/>
        </w:rPr>
        <w:t xml:space="preserve"> in</w:t>
      </w:r>
      <w:r>
        <w:rPr>
          <w:rFonts w:ascii="Times" w:hAnsi="Times" w:cs="Arial"/>
          <w:color w:val="000000"/>
          <w:szCs w:val="16"/>
        </w:rPr>
        <w:t xml:space="preserve"> the semi-static tests and therefore suggests that removal of solution slows down the C-S-H reformation. </w:t>
      </w:r>
      <w:r w:rsidR="00274C13">
        <w:rPr>
          <w:rFonts w:ascii="Times" w:hAnsi="Times" w:cs="Arial"/>
          <w:color w:val="000000"/>
          <w:szCs w:val="16"/>
        </w:rPr>
        <w:t>This is only an indication as the weight loss could be due to the higher amounts</w:t>
      </w:r>
      <w:r w:rsidR="00B3227C">
        <w:rPr>
          <w:rFonts w:ascii="Times" w:hAnsi="Times" w:cs="Arial"/>
          <w:color w:val="000000"/>
          <w:szCs w:val="16"/>
        </w:rPr>
        <w:t xml:space="preserve"> of entrapped water in porosity</w:t>
      </w:r>
      <w:r w:rsidR="00274C13">
        <w:rPr>
          <w:rFonts w:ascii="Times" w:hAnsi="Times" w:cs="Arial"/>
          <w:color w:val="000000"/>
          <w:szCs w:val="16"/>
        </w:rPr>
        <w:t>.</w:t>
      </w:r>
    </w:p>
    <w:p w14:paraId="2673AE1D" w14:textId="77777777" w:rsidR="005708A0" w:rsidRDefault="005708A0" w:rsidP="005708A0">
      <w:pPr>
        <w:tabs>
          <w:tab w:val="left" w:pos="1276"/>
        </w:tabs>
        <w:jc w:val="center"/>
        <w:rPr>
          <w:rFonts w:ascii="Times" w:hAnsi="Times" w:cs="Times New Roman"/>
          <w:b/>
        </w:rPr>
      </w:pPr>
      <w:r>
        <w:rPr>
          <w:noProof/>
        </w:rPr>
        <w:drawing>
          <wp:inline distT="0" distB="0" distL="0" distR="0" wp14:anchorId="7F127053" wp14:editId="6FEE0170">
            <wp:extent cx="3534310" cy="3046288"/>
            <wp:effectExtent l="0" t="0" r="0" b="1905"/>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r w:rsidRPr="003C3D4B">
        <w:rPr>
          <w:rFonts w:ascii="Times" w:hAnsi="Times" w:cs="Times New Roman"/>
          <w:b/>
        </w:rPr>
        <w:t xml:space="preserve"> </w:t>
      </w:r>
    </w:p>
    <w:p w14:paraId="3EEB4C47" w14:textId="5096637A" w:rsidR="005708A0" w:rsidRDefault="005708A0" w:rsidP="005708A0">
      <w:pPr>
        <w:tabs>
          <w:tab w:val="left" w:pos="1276"/>
        </w:tabs>
        <w:jc w:val="center"/>
        <w:rPr>
          <w:rFonts w:ascii="Times" w:hAnsi="Times"/>
          <w:sz w:val="20"/>
          <w:szCs w:val="20"/>
        </w:rPr>
      </w:pPr>
      <w:r>
        <w:rPr>
          <w:rFonts w:ascii="Times" w:hAnsi="Times" w:cs="Times New Roman"/>
          <w:b/>
        </w:rPr>
        <w:t>Fig 4.7</w:t>
      </w:r>
      <w:r w:rsidR="00C73B1B">
        <w:rPr>
          <w:rFonts w:ascii="Times" w:hAnsi="Times" w:cs="Times New Roman"/>
          <w:b/>
        </w:rPr>
        <w:t>9</w:t>
      </w:r>
      <w:r>
        <w:rPr>
          <w:rFonts w:ascii="Times" w:hAnsi="Times" w:cs="Times New Roman"/>
          <w:b/>
        </w:rPr>
        <w:t>:</w:t>
      </w:r>
      <w:r>
        <w:rPr>
          <w:rFonts w:ascii="Times" w:hAnsi="Times" w:cs="Times New Roman"/>
          <w:sz w:val="23"/>
          <w:szCs w:val="23"/>
        </w:rPr>
        <w:t xml:space="preserve"> TG curves of </w:t>
      </w:r>
      <w:r w:rsidRPr="00DC480E">
        <w:rPr>
          <w:rFonts w:ascii="Times" w:hAnsi="Times" w:cs="Times New Roman"/>
          <w:b/>
          <w:sz w:val="23"/>
          <w:szCs w:val="23"/>
        </w:rPr>
        <w:t>W-28DB1</w:t>
      </w:r>
      <w:r>
        <w:rPr>
          <w:rFonts w:ascii="Times" w:hAnsi="Times" w:cs="Times New Roman"/>
          <w:sz w:val="23"/>
          <w:szCs w:val="23"/>
        </w:rPr>
        <w:t xml:space="preserve"> </w:t>
      </w:r>
      <w:r w:rsidR="000D4AEA">
        <w:rPr>
          <w:rFonts w:ascii="Times" w:hAnsi="Times" w:cs="Times New Roman"/>
          <w:sz w:val="23"/>
          <w:szCs w:val="23"/>
        </w:rPr>
        <w:t>compared with</w:t>
      </w:r>
      <w:r>
        <w:rPr>
          <w:rFonts w:ascii="Times" w:hAnsi="Times" w:cs="Times New Roman"/>
          <w:sz w:val="23"/>
          <w:szCs w:val="23"/>
        </w:rPr>
        <w:t xml:space="preserve"> </w:t>
      </w:r>
      <w:r w:rsidRPr="00DC480E">
        <w:rPr>
          <w:rFonts w:ascii="Times" w:hAnsi="Times" w:cs="Times New Roman"/>
          <w:b/>
          <w:sz w:val="23"/>
          <w:szCs w:val="23"/>
        </w:rPr>
        <w:t>W-3MB1</w:t>
      </w:r>
      <w:r>
        <w:rPr>
          <w:rFonts w:ascii="Times" w:hAnsi="Times"/>
          <w:sz w:val="20"/>
          <w:szCs w:val="20"/>
        </w:rPr>
        <w:t xml:space="preserve"> </w:t>
      </w:r>
    </w:p>
    <w:p w14:paraId="63DA0D0B" w14:textId="07B4F906" w:rsidR="005708A0" w:rsidRDefault="005708A0" w:rsidP="005708A0">
      <w:pPr>
        <w:spacing w:before="240" w:after="120" w:line="480" w:lineRule="exact"/>
        <w:jc w:val="both"/>
        <w:rPr>
          <w:rFonts w:ascii="Times" w:hAnsi="Times" w:cs="Arial"/>
          <w:color w:val="000000"/>
          <w:szCs w:val="16"/>
        </w:rPr>
      </w:pPr>
      <w:r>
        <w:rPr>
          <w:rFonts w:ascii="Times" w:hAnsi="Times" w:cs="Arial"/>
          <w:color w:val="000000"/>
          <w:szCs w:val="16"/>
        </w:rPr>
        <w:lastRenderedPageBreak/>
        <w:t>The increased weight loss as a result of higher C-S-H amounts could also be due to the increase in hydration</w:t>
      </w:r>
      <w:r w:rsidR="00F876D8">
        <w:rPr>
          <w:rFonts w:ascii="Times" w:hAnsi="Times" w:cs="Arial"/>
          <w:color w:val="000000"/>
          <w:szCs w:val="16"/>
        </w:rPr>
        <w:t xml:space="preserve"> or pore structure modification</w:t>
      </w:r>
      <w:r>
        <w:rPr>
          <w:rFonts w:ascii="Times" w:hAnsi="Times" w:cs="Arial"/>
          <w:color w:val="000000"/>
          <w:szCs w:val="16"/>
        </w:rPr>
        <w:t xml:space="preserve"> within the sample. To further investigate this the TGA profiles were compared for </w:t>
      </w:r>
      <w:r w:rsidRPr="00C73B1B">
        <w:rPr>
          <w:rFonts w:ascii="Times" w:hAnsi="Times" w:cs="Arial"/>
          <w:b/>
          <w:color w:val="000000"/>
          <w:szCs w:val="16"/>
        </w:rPr>
        <w:t>0D</w:t>
      </w:r>
      <w:r>
        <w:rPr>
          <w:rFonts w:ascii="Times" w:hAnsi="Times" w:cs="Arial"/>
          <w:color w:val="000000"/>
          <w:szCs w:val="16"/>
        </w:rPr>
        <w:t xml:space="preserve"> samples with va</w:t>
      </w:r>
      <w:r w:rsidR="00C73B1B">
        <w:rPr>
          <w:rFonts w:ascii="Times" w:hAnsi="Times" w:cs="Arial"/>
          <w:color w:val="000000"/>
          <w:szCs w:val="16"/>
        </w:rPr>
        <w:t>rying curing periods. Figure 4.80</w:t>
      </w:r>
      <w:r>
        <w:rPr>
          <w:rFonts w:ascii="Times" w:hAnsi="Times" w:cs="Arial"/>
          <w:color w:val="000000"/>
          <w:szCs w:val="16"/>
        </w:rPr>
        <w:t xml:space="preserve"> shows TG curves for the original </w:t>
      </w:r>
      <w:r w:rsidRPr="000F6BBD">
        <w:rPr>
          <w:rFonts w:ascii="Times" w:hAnsi="Times" w:cs="Arial"/>
          <w:b/>
          <w:color w:val="000000"/>
          <w:szCs w:val="16"/>
        </w:rPr>
        <w:t>0DB</w:t>
      </w:r>
      <w:r>
        <w:rPr>
          <w:rFonts w:ascii="Times" w:hAnsi="Times" w:cs="Arial"/>
          <w:color w:val="000000"/>
          <w:szCs w:val="16"/>
        </w:rPr>
        <w:t xml:space="preserve"> sample (cured for 42 days) alongside samples with the same composition but cured for 6 months, 1 and 2 years. </w:t>
      </w:r>
    </w:p>
    <w:p w14:paraId="3F334340" w14:textId="77777777" w:rsidR="005708A0" w:rsidRDefault="005708A0" w:rsidP="005708A0">
      <w:pPr>
        <w:spacing w:before="240" w:after="120"/>
        <w:jc w:val="center"/>
        <w:rPr>
          <w:rFonts w:ascii="Times" w:hAnsi="Times" w:cs="Arial"/>
          <w:color w:val="000000"/>
          <w:sz w:val="16"/>
          <w:szCs w:val="16"/>
        </w:rPr>
      </w:pPr>
      <w:r>
        <w:rPr>
          <w:noProof/>
        </w:rPr>
        <w:drawing>
          <wp:inline distT="0" distB="0" distL="0" distR="0" wp14:anchorId="2B9AFACF" wp14:editId="7394B276">
            <wp:extent cx="4963795" cy="2971800"/>
            <wp:effectExtent l="0" t="0" r="0" b="0"/>
            <wp:docPr id="3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2CA7C970" w14:textId="7AD7BD23" w:rsidR="005708A0" w:rsidRDefault="005708A0" w:rsidP="005708A0">
      <w:pPr>
        <w:tabs>
          <w:tab w:val="left" w:pos="1276"/>
        </w:tabs>
        <w:jc w:val="center"/>
        <w:rPr>
          <w:rFonts w:ascii="Times" w:hAnsi="Times"/>
          <w:sz w:val="20"/>
          <w:szCs w:val="20"/>
        </w:rPr>
      </w:pPr>
      <w:r>
        <w:rPr>
          <w:rFonts w:ascii="Times" w:hAnsi="Times" w:cs="Times New Roman"/>
          <w:b/>
        </w:rPr>
        <w:t>Fig 4.</w:t>
      </w:r>
      <w:r w:rsidR="00C73B1B">
        <w:rPr>
          <w:rFonts w:ascii="Times" w:hAnsi="Times" w:cs="Times New Roman"/>
          <w:b/>
        </w:rPr>
        <w:t>80</w:t>
      </w:r>
      <w:r>
        <w:rPr>
          <w:rFonts w:ascii="Times" w:hAnsi="Times" w:cs="Times New Roman"/>
          <w:b/>
        </w:rPr>
        <w:t>:</w:t>
      </w:r>
      <w:r>
        <w:rPr>
          <w:rFonts w:ascii="Times" w:hAnsi="Times" w:cs="Times New Roman"/>
          <w:sz w:val="23"/>
          <w:szCs w:val="23"/>
        </w:rPr>
        <w:t xml:space="preserve"> TG curves of </w:t>
      </w:r>
      <w:r w:rsidRPr="000F6BBD">
        <w:rPr>
          <w:rFonts w:ascii="Times" w:hAnsi="Times" w:cs="Times New Roman"/>
          <w:b/>
          <w:sz w:val="23"/>
          <w:szCs w:val="23"/>
        </w:rPr>
        <w:t>0DB</w:t>
      </w:r>
      <w:r>
        <w:rPr>
          <w:rFonts w:ascii="Times" w:hAnsi="Times" w:cs="Times New Roman"/>
          <w:sz w:val="23"/>
          <w:szCs w:val="23"/>
        </w:rPr>
        <w:t xml:space="preserve"> samples at different curing periods</w:t>
      </w:r>
    </w:p>
    <w:p w14:paraId="3BE7A9B3" w14:textId="003E08A2" w:rsidR="005708A0" w:rsidRDefault="005708A0" w:rsidP="005708A0">
      <w:pPr>
        <w:spacing w:before="240" w:after="120" w:line="480" w:lineRule="exact"/>
        <w:jc w:val="both"/>
        <w:rPr>
          <w:rFonts w:ascii="Times" w:hAnsi="Times" w:cs="Arial"/>
          <w:color w:val="000000"/>
        </w:rPr>
      </w:pPr>
      <w:r>
        <w:rPr>
          <w:rFonts w:ascii="Times" w:hAnsi="Times" w:cs="Arial"/>
          <w:color w:val="000000"/>
        </w:rPr>
        <w:t>As the curing period increases, the total weight loss also increases. The difference in weight loss is primarily due to that lost at around 100-150</w:t>
      </w:r>
      <w:r>
        <w:rPr>
          <w:rFonts w:ascii="Times" w:hAnsi="Times" w:cs="Arial"/>
          <w:color w:val="000000"/>
          <w:vertAlign w:val="superscript"/>
        </w:rPr>
        <w:t>o</w:t>
      </w:r>
      <w:r>
        <w:rPr>
          <w:rFonts w:ascii="Times" w:hAnsi="Times" w:cs="Arial"/>
          <w:color w:val="000000"/>
        </w:rPr>
        <w:t xml:space="preserve">C, which is attributed to the C-S-H phase. This phase increases within the sample as hydration progresses. This means that the C-S-H increase in the cement samples is a product of the continuation of hydration as well as </w:t>
      </w:r>
      <w:r w:rsidR="003F08C3">
        <w:rPr>
          <w:rFonts w:ascii="Times" w:hAnsi="Times" w:cs="Arial"/>
          <w:color w:val="000000"/>
        </w:rPr>
        <w:t xml:space="preserve">potentially </w:t>
      </w:r>
      <w:r>
        <w:rPr>
          <w:rFonts w:ascii="Times" w:hAnsi="Times" w:cs="Arial"/>
          <w:color w:val="000000"/>
        </w:rPr>
        <w:t>the refor</w:t>
      </w:r>
      <w:r w:rsidR="00C73B1B">
        <w:rPr>
          <w:rFonts w:ascii="Times" w:hAnsi="Times" w:cs="Arial"/>
          <w:color w:val="000000"/>
        </w:rPr>
        <w:t xml:space="preserve">mation on the sample surface.  </w:t>
      </w:r>
    </w:p>
    <w:p w14:paraId="416613F7" w14:textId="269C289C" w:rsidR="005708A0" w:rsidRPr="00E67560" w:rsidRDefault="005708A0" w:rsidP="005708A0">
      <w:pPr>
        <w:spacing w:before="240" w:after="120" w:line="480" w:lineRule="exact"/>
        <w:jc w:val="both"/>
        <w:rPr>
          <w:rFonts w:ascii="Times" w:hAnsi="Times" w:cs="Arial"/>
          <w:color w:val="000000"/>
        </w:rPr>
      </w:pPr>
      <w:r>
        <w:rPr>
          <w:rFonts w:ascii="Times" w:hAnsi="Times" w:cs="Arial"/>
          <w:color w:val="000000"/>
        </w:rPr>
        <w:t>The CsNO</w:t>
      </w:r>
      <w:r>
        <w:rPr>
          <w:rFonts w:ascii="Times" w:hAnsi="Times" w:cs="Arial"/>
          <w:color w:val="000000"/>
          <w:vertAlign w:val="subscript"/>
        </w:rPr>
        <w:t xml:space="preserve">3 </w:t>
      </w:r>
      <w:r>
        <w:rPr>
          <w:rFonts w:ascii="Times" w:hAnsi="Times" w:cs="Arial"/>
          <w:color w:val="000000"/>
        </w:rPr>
        <w:t xml:space="preserve">is not visible in the XRD after short durations of leaching due to </w:t>
      </w:r>
      <w:r w:rsidR="00971672">
        <w:rPr>
          <w:rFonts w:ascii="Times" w:hAnsi="Times" w:cs="Arial"/>
          <w:color w:val="000000"/>
        </w:rPr>
        <w:t>its</w:t>
      </w:r>
      <w:r>
        <w:rPr>
          <w:rFonts w:ascii="Times" w:hAnsi="Times" w:cs="Arial"/>
          <w:color w:val="000000"/>
        </w:rPr>
        <w:t xml:space="preserve"> high leaching rate and given that it is not</w:t>
      </w:r>
      <w:r w:rsidR="00315A5C">
        <w:rPr>
          <w:rFonts w:ascii="Times" w:hAnsi="Times" w:cs="Arial"/>
          <w:color w:val="000000"/>
        </w:rPr>
        <w:t xml:space="preserve"> chemically</w:t>
      </w:r>
      <w:r>
        <w:rPr>
          <w:rFonts w:ascii="Times" w:hAnsi="Times" w:cs="Arial"/>
          <w:color w:val="000000"/>
        </w:rPr>
        <w:t xml:space="preserve"> bound to any cement </w:t>
      </w:r>
      <w:r w:rsidR="00315A5C">
        <w:rPr>
          <w:rFonts w:ascii="Times" w:hAnsi="Times" w:cs="Arial"/>
          <w:color w:val="000000"/>
        </w:rPr>
        <w:t>phases.</w:t>
      </w:r>
      <w:r>
        <w:rPr>
          <w:rFonts w:ascii="Times" w:hAnsi="Times" w:cs="Arial"/>
          <w:color w:val="000000"/>
        </w:rPr>
        <w:t xml:space="preserve"> The CAN and </w:t>
      </w:r>
      <w:r>
        <w:rPr>
          <w:rFonts w:ascii="Times" w:hAnsi="Times" w:cs="Times New Roman"/>
        </w:rPr>
        <w:t>CsNO</w:t>
      </w:r>
      <w:r>
        <w:rPr>
          <w:rFonts w:ascii="Times" w:hAnsi="Times" w:cs="Times New Roman"/>
          <w:vertAlign w:val="subscript"/>
        </w:rPr>
        <w:t>3</w:t>
      </w:r>
      <w:r>
        <w:rPr>
          <w:rFonts w:ascii="Times" w:hAnsi="Times" w:cs="Times New Roman"/>
        </w:rPr>
        <w:t xml:space="preserve"> </w:t>
      </w:r>
      <w:r>
        <w:rPr>
          <w:rFonts w:ascii="Times" w:hAnsi="Times" w:cs="Arial"/>
          <w:color w:val="000000"/>
        </w:rPr>
        <w:t>troughs overlap in the TGA results, therefore it is hard to establish whether the TGA data shows absence of CsNO</w:t>
      </w:r>
      <w:r>
        <w:rPr>
          <w:rFonts w:ascii="Times" w:hAnsi="Times" w:cs="Arial"/>
          <w:color w:val="000000"/>
          <w:vertAlign w:val="subscript"/>
        </w:rPr>
        <w:t>3</w:t>
      </w:r>
      <w:r>
        <w:rPr>
          <w:rFonts w:ascii="Times" w:hAnsi="Times" w:cs="Arial"/>
          <w:color w:val="000000"/>
        </w:rPr>
        <w:t xml:space="preserve"> although it is strongly suggested by the XRD results that it is absent. </w:t>
      </w:r>
      <w:r w:rsidRPr="00B52B5A">
        <w:rPr>
          <w:rFonts w:ascii="Times New Roman" w:hAnsi="Times New Roman" w:cs="Times New Roman"/>
        </w:rPr>
        <w:t>This</w:t>
      </w:r>
      <w:r>
        <w:rPr>
          <w:rFonts w:ascii="Times New Roman" w:hAnsi="Times New Roman" w:cs="Times New Roman"/>
        </w:rPr>
        <w:t xml:space="preserve"> corresponds </w:t>
      </w:r>
      <w:r w:rsidRPr="00B52B5A">
        <w:rPr>
          <w:rFonts w:ascii="Times New Roman" w:hAnsi="Times New Roman" w:cs="Times New Roman"/>
        </w:rPr>
        <w:t>to</w:t>
      </w:r>
      <w:r>
        <w:rPr>
          <w:rFonts w:ascii="Times New Roman" w:hAnsi="Times New Roman" w:cs="Times New Roman"/>
        </w:rPr>
        <w:t xml:space="preserve"> the</w:t>
      </w:r>
      <w:r w:rsidRPr="00B52B5A">
        <w:rPr>
          <w:rFonts w:ascii="Times New Roman" w:hAnsi="Times New Roman" w:cs="Times New Roman"/>
        </w:rPr>
        <w:t xml:space="preserve"> findings</w:t>
      </w:r>
      <w:r>
        <w:rPr>
          <w:rFonts w:ascii="Times New Roman" w:hAnsi="Times New Roman" w:cs="Times New Roman"/>
        </w:rPr>
        <w:t xml:space="preserve"> of Ojovan et al</w:t>
      </w:r>
      <w:r w:rsidRPr="00B52B5A">
        <w:rPr>
          <w:rFonts w:ascii="Times New Roman" w:hAnsi="Times New Roman" w:cs="Times New Roman"/>
        </w:rPr>
        <w:t xml:space="preserve"> </w:t>
      </w:r>
      <w:r w:rsidR="00446F05">
        <w:rPr>
          <w:rFonts w:ascii="Times New Roman" w:hAnsi="Times New Roman" w:cs="Times New Roman"/>
        </w:rPr>
        <w:t xml:space="preserve"> [69</w:t>
      </w:r>
      <w:r w:rsidR="0021741C">
        <w:rPr>
          <w:rFonts w:ascii="Times New Roman" w:hAnsi="Times New Roman" w:cs="Times New Roman"/>
        </w:rPr>
        <w:t xml:space="preserve">] </w:t>
      </w:r>
      <w:r>
        <w:rPr>
          <w:rFonts w:ascii="Times New Roman" w:hAnsi="Times New Roman" w:cs="Times New Roman"/>
        </w:rPr>
        <w:t>who found that t</w:t>
      </w:r>
      <w:r>
        <w:rPr>
          <w:rFonts w:ascii="Times" w:hAnsi="Times" w:cs="Times"/>
        </w:rPr>
        <w:t xml:space="preserve">he leaching rates of Cs are much larger than that of the Ca hence the </w:t>
      </w:r>
      <w:r>
        <w:rPr>
          <w:rFonts w:ascii="Times" w:hAnsi="Times" w:cs="Times"/>
        </w:rPr>
        <w:lastRenderedPageBreak/>
        <w:t xml:space="preserve">higher porosity of the cement sample after 28 days and the absence of Cs in the XRD and TGA data. However according to Poon [47] there is a second stage of leaching wherein the leachability of Ca is larger than Cs, and as such this will lead to the degradation of the cement before further Cs is leached out. This behavior can be seen in the XRD results. Usually on the top layers the </w:t>
      </w:r>
      <w:r>
        <w:rPr>
          <w:rFonts w:ascii="Times" w:hAnsi="Times" w:cs="Times New Roman"/>
        </w:rPr>
        <w:t>Cs</w:t>
      </w:r>
      <w:r>
        <w:rPr>
          <w:rFonts w:ascii="Times" w:hAnsi="Times" w:cs="Times"/>
        </w:rPr>
        <w:t xml:space="preserve"> depletes before any peak decrease is noticed for CAN however, deeper within the cement sample at 3 months, when this second stage of leaching is reached it can be seen that the </w:t>
      </w:r>
      <w:r>
        <w:rPr>
          <w:rFonts w:ascii="Times" w:hAnsi="Times" w:cs="Times New Roman"/>
        </w:rPr>
        <w:t>CsNO</w:t>
      </w:r>
      <w:r>
        <w:rPr>
          <w:rFonts w:ascii="Times" w:hAnsi="Times" w:cs="Times New Roman"/>
          <w:vertAlign w:val="subscript"/>
        </w:rPr>
        <w:t>3</w:t>
      </w:r>
      <w:r>
        <w:rPr>
          <w:rFonts w:ascii="Times" w:hAnsi="Times" w:cs="Times"/>
        </w:rPr>
        <w:t xml:space="preserve"> and CAN peak are both reduced similarly, suggesting that that the rate of leaching of Cs has slowed down and the CAN has increased. </w:t>
      </w:r>
    </w:p>
    <w:p w14:paraId="0418BFB4" w14:textId="77777777" w:rsidR="005708A0" w:rsidRPr="00E67560" w:rsidRDefault="005708A0" w:rsidP="005708A0">
      <w:pPr>
        <w:spacing w:before="240" w:after="120" w:line="480" w:lineRule="exact"/>
        <w:jc w:val="both"/>
        <w:rPr>
          <w:rFonts w:ascii="Times" w:hAnsi="Times" w:cs="Times New Roman"/>
        </w:rPr>
      </w:pPr>
      <w:r>
        <w:rPr>
          <w:rFonts w:ascii="Arial Unicode MS" w:eastAsia="Arial Unicode MS" w:hAnsi="Arial Unicode MS" w:cs="Arial Unicode MS"/>
          <w:color w:val="2E2E2E"/>
          <w:sz w:val="20"/>
          <w:szCs w:val="20"/>
          <w:shd w:val="clear" w:color="auto" w:fill="FFFFFF"/>
        </w:rPr>
        <w:t>.</w:t>
      </w:r>
    </w:p>
    <w:p w14:paraId="1A4AAC92" w14:textId="77777777" w:rsidR="009B50C2" w:rsidRDefault="009B50C2" w:rsidP="001F7280">
      <w:pPr>
        <w:spacing w:before="240" w:after="120"/>
        <w:jc w:val="both"/>
        <w:rPr>
          <w:rFonts w:ascii="Times New Roman" w:hAnsi="Times New Roman" w:cs="Times New Roman"/>
          <w:sz w:val="22"/>
          <w:szCs w:val="22"/>
        </w:rPr>
      </w:pPr>
    </w:p>
    <w:p w14:paraId="3DCB1FCD" w14:textId="77777777" w:rsidR="009B50C2" w:rsidRDefault="009B50C2" w:rsidP="001F7280">
      <w:pPr>
        <w:spacing w:before="240" w:after="120"/>
        <w:jc w:val="both"/>
        <w:rPr>
          <w:rFonts w:ascii="Times New Roman" w:hAnsi="Times New Roman" w:cs="Times New Roman"/>
          <w:sz w:val="22"/>
          <w:szCs w:val="22"/>
        </w:rPr>
      </w:pPr>
    </w:p>
    <w:p w14:paraId="348FCF3E" w14:textId="77777777" w:rsidR="009B50C2" w:rsidRDefault="009B50C2" w:rsidP="001F7280">
      <w:pPr>
        <w:spacing w:before="240" w:after="120"/>
        <w:jc w:val="both"/>
        <w:rPr>
          <w:rFonts w:ascii="Times New Roman" w:hAnsi="Times New Roman" w:cs="Times New Roman"/>
          <w:sz w:val="22"/>
          <w:szCs w:val="22"/>
        </w:rPr>
      </w:pPr>
    </w:p>
    <w:p w14:paraId="0C0E5A37" w14:textId="77777777" w:rsidR="009B50C2" w:rsidRDefault="009B50C2" w:rsidP="001F7280">
      <w:pPr>
        <w:spacing w:before="240" w:after="120"/>
        <w:jc w:val="both"/>
        <w:rPr>
          <w:rFonts w:ascii="Times New Roman" w:hAnsi="Times New Roman" w:cs="Times New Roman"/>
          <w:sz w:val="22"/>
          <w:szCs w:val="22"/>
        </w:rPr>
      </w:pPr>
    </w:p>
    <w:p w14:paraId="1DA7978C" w14:textId="77777777" w:rsidR="009B50C2" w:rsidRDefault="009B50C2" w:rsidP="001F7280">
      <w:pPr>
        <w:spacing w:before="240" w:after="120"/>
        <w:jc w:val="both"/>
        <w:rPr>
          <w:rFonts w:ascii="Times New Roman" w:hAnsi="Times New Roman" w:cs="Times New Roman"/>
          <w:sz w:val="22"/>
          <w:szCs w:val="22"/>
        </w:rPr>
      </w:pPr>
    </w:p>
    <w:p w14:paraId="416D85BD" w14:textId="77777777" w:rsidR="009B50C2" w:rsidRDefault="009B50C2" w:rsidP="001F7280">
      <w:pPr>
        <w:spacing w:before="240" w:after="120"/>
        <w:jc w:val="both"/>
        <w:rPr>
          <w:rFonts w:ascii="Times New Roman" w:hAnsi="Times New Roman" w:cs="Times New Roman"/>
          <w:sz w:val="22"/>
          <w:szCs w:val="22"/>
        </w:rPr>
      </w:pPr>
    </w:p>
    <w:p w14:paraId="21B08020" w14:textId="77777777" w:rsidR="009B50C2" w:rsidRDefault="009B50C2" w:rsidP="001F7280">
      <w:pPr>
        <w:spacing w:before="240" w:after="120"/>
        <w:jc w:val="both"/>
        <w:rPr>
          <w:rFonts w:ascii="Times New Roman" w:hAnsi="Times New Roman" w:cs="Times New Roman"/>
          <w:sz w:val="22"/>
          <w:szCs w:val="22"/>
        </w:rPr>
      </w:pPr>
    </w:p>
    <w:p w14:paraId="1CC1B0D7" w14:textId="77777777" w:rsidR="00A2570F" w:rsidRDefault="00A2570F" w:rsidP="001F7280">
      <w:pPr>
        <w:spacing w:before="240" w:after="120"/>
        <w:jc w:val="both"/>
        <w:rPr>
          <w:rFonts w:ascii="Times New Roman" w:hAnsi="Times New Roman" w:cs="Times New Roman"/>
          <w:sz w:val="22"/>
          <w:szCs w:val="22"/>
        </w:rPr>
      </w:pPr>
    </w:p>
    <w:p w14:paraId="4DA9F954" w14:textId="77777777" w:rsidR="00A2570F" w:rsidRDefault="00A2570F" w:rsidP="001F7280">
      <w:pPr>
        <w:spacing w:before="240" w:after="120"/>
        <w:jc w:val="both"/>
        <w:rPr>
          <w:rFonts w:ascii="Times New Roman" w:hAnsi="Times New Roman" w:cs="Times New Roman"/>
          <w:sz w:val="22"/>
          <w:szCs w:val="22"/>
        </w:rPr>
      </w:pPr>
    </w:p>
    <w:p w14:paraId="0CCEE176" w14:textId="77777777" w:rsidR="00A2570F" w:rsidRDefault="00A2570F" w:rsidP="001F7280">
      <w:pPr>
        <w:spacing w:before="240" w:after="120"/>
        <w:jc w:val="both"/>
        <w:rPr>
          <w:rFonts w:ascii="Times New Roman" w:hAnsi="Times New Roman" w:cs="Times New Roman"/>
          <w:sz w:val="22"/>
          <w:szCs w:val="22"/>
        </w:rPr>
      </w:pPr>
    </w:p>
    <w:p w14:paraId="77AC2C74" w14:textId="77777777" w:rsidR="00A2570F" w:rsidRDefault="00A2570F" w:rsidP="001F7280">
      <w:pPr>
        <w:spacing w:before="240" w:after="120"/>
        <w:jc w:val="both"/>
        <w:rPr>
          <w:rFonts w:ascii="Times New Roman" w:hAnsi="Times New Roman" w:cs="Times New Roman"/>
          <w:sz w:val="22"/>
          <w:szCs w:val="22"/>
        </w:rPr>
      </w:pPr>
    </w:p>
    <w:p w14:paraId="23324E03" w14:textId="77777777" w:rsidR="00A2570F" w:rsidRDefault="00A2570F" w:rsidP="001F7280">
      <w:pPr>
        <w:spacing w:before="240" w:after="120"/>
        <w:jc w:val="both"/>
        <w:rPr>
          <w:rFonts w:ascii="Times New Roman" w:hAnsi="Times New Roman" w:cs="Times New Roman"/>
          <w:sz w:val="22"/>
          <w:szCs w:val="22"/>
        </w:rPr>
      </w:pPr>
    </w:p>
    <w:p w14:paraId="5BE783E8" w14:textId="77777777" w:rsidR="00A2570F" w:rsidRDefault="00A2570F" w:rsidP="001F7280">
      <w:pPr>
        <w:spacing w:before="240" w:after="120"/>
        <w:jc w:val="both"/>
        <w:rPr>
          <w:rFonts w:ascii="Times New Roman" w:hAnsi="Times New Roman" w:cs="Times New Roman"/>
          <w:sz w:val="22"/>
          <w:szCs w:val="22"/>
        </w:rPr>
      </w:pPr>
    </w:p>
    <w:p w14:paraId="5BBC4BAC" w14:textId="77777777" w:rsidR="00A2570F" w:rsidRDefault="00A2570F" w:rsidP="001F7280">
      <w:pPr>
        <w:spacing w:before="240" w:after="120"/>
        <w:jc w:val="both"/>
        <w:rPr>
          <w:rFonts w:ascii="Times New Roman" w:hAnsi="Times New Roman" w:cs="Times New Roman"/>
          <w:sz w:val="22"/>
          <w:szCs w:val="22"/>
        </w:rPr>
      </w:pPr>
    </w:p>
    <w:p w14:paraId="61AFF101" w14:textId="77777777" w:rsidR="00A2570F" w:rsidRDefault="00A2570F" w:rsidP="001F7280">
      <w:pPr>
        <w:spacing w:before="240" w:after="120"/>
        <w:jc w:val="both"/>
        <w:rPr>
          <w:rFonts w:ascii="Times New Roman" w:hAnsi="Times New Roman" w:cs="Times New Roman"/>
          <w:sz w:val="22"/>
          <w:szCs w:val="22"/>
        </w:rPr>
      </w:pPr>
    </w:p>
    <w:p w14:paraId="35BDA64E" w14:textId="77777777" w:rsidR="00A2570F" w:rsidRDefault="00A2570F" w:rsidP="001F7280">
      <w:pPr>
        <w:spacing w:before="240" w:after="120"/>
        <w:jc w:val="both"/>
        <w:rPr>
          <w:rFonts w:ascii="Times New Roman" w:hAnsi="Times New Roman" w:cs="Times New Roman"/>
          <w:sz w:val="22"/>
          <w:szCs w:val="22"/>
        </w:rPr>
      </w:pPr>
    </w:p>
    <w:p w14:paraId="618E17BC" w14:textId="486AFFE2" w:rsidR="0044704C" w:rsidRPr="00D37319" w:rsidRDefault="00971672" w:rsidP="0044704C">
      <w:pPr>
        <w:pBdr>
          <w:bottom w:val="single" w:sz="4" w:space="1" w:color="auto"/>
        </w:pBdr>
        <w:spacing w:before="240" w:after="120"/>
        <w:outlineLvl w:val="0"/>
        <w:rPr>
          <w:rFonts w:ascii="Times New Roman" w:hAnsi="Times New Roman" w:cs="Times New Roman"/>
          <w:bCs/>
          <w:smallCaps/>
          <w:color w:val="000000" w:themeColor="text1"/>
          <w:sz w:val="32"/>
          <w:szCs w:val="32"/>
          <w:u w:val="single"/>
        </w:rPr>
      </w:pPr>
      <w:r w:rsidRPr="00D37319">
        <w:rPr>
          <w:rFonts w:ascii="Times" w:hAnsi="Times" w:cs="Times New Roman"/>
          <w:smallCaps/>
          <w:color w:val="000000" w:themeColor="text1"/>
          <w:spacing w:val="-20"/>
          <w:sz w:val="48"/>
          <w:szCs w:val="40"/>
        </w:rPr>
        <w:lastRenderedPageBreak/>
        <w:t>Section 4.3:</w:t>
      </w:r>
      <w:r w:rsidRPr="00D37319">
        <w:rPr>
          <w:rFonts w:ascii="Times New Roman" w:hAnsi="Times New Roman" w:cs="Times New Roman"/>
          <w:bCs/>
          <w:smallCaps/>
          <w:color w:val="000000" w:themeColor="text1"/>
          <w:sz w:val="48"/>
          <w:szCs w:val="40"/>
        </w:rPr>
        <w:t xml:space="preserve"> </w:t>
      </w:r>
      <w:r w:rsidRPr="00A2570F">
        <w:rPr>
          <w:rFonts w:ascii="Times" w:hAnsi="Times" w:cs="Times New Roman"/>
          <w:bCs/>
          <w:smallCaps/>
          <w:color w:val="000000" w:themeColor="text1"/>
          <w:sz w:val="36"/>
          <w:szCs w:val="32"/>
        </w:rPr>
        <w:t>Incorporation of Cs &amp; Sr in</w:t>
      </w:r>
      <w:r w:rsidRPr="00A2570F">
        <w:rPr>
          <w:rFonts w:ascii="Times" w:hAnsi="Times" w:cs="Times New Roman"/>
          <w:smallCaps/>
          <w:color w:val="000000" w:themeColor="text1"/>
          <w:sz w:val="36"/>
          <w:szCs w:val="32"/>
        </w:rPr>
        <w:t xml:space="preserve"> BFS</w:t>
      </w:r>
      <w:proofErr w:type="gramStart"/>
      <w:r w:rsidRPr="00A2570F">
        <w:rPr>
          <w:rFonts w:ascii="Times" w:hAnsi="Times" w:cs="Times New Roman"/>
          <w:smallCaps/>
          <w:color w:val="000000" w:themeColor="text1"/>
          <w:sz w:val="36"/>
          <w:szCs w:val="32"/>
        </w:rPr>
        <w:t>:PC</w:t>
      </w:r>
      <w:proofErr w:type="gramEnd"/>
      <w:r w:rsidRPr="00A2570F">
        <w:rPr>
          <w:rFonts w:ascii="Times" w:hAnsi="Times" w:cs="Times New Roman"/>
          <w:smallCaps/>
          <w:color w:val="000000" w:themeColor="text1"/>
          <w:sz w:val="36"/>
          <w:szCs w:val="32"/>
        </w:rPr>
        <w:t xml:space="preserve"> cement</w:t>
      </w:r>
    </w:p>
    <w:p w14:paraId="233175D1" w14:textId="083942F7" w:rsidR="0044704C" w:rsidRDefault="0044704C" w:rsidP="0044704C">
      <w:pPr>
        <w:spacing w:before="240" w:after="120" w:line="360" w:lineRule="auto"/>
        <w:jc w:val="both"/>
        <w:outlineLvl w:val="0"/>
        <w:rPr>
          <w:rFonts w:ascii="Times" w:hAnsi="Times"/>
        </w:rPr>
      </w:pPr>
      <w:r>
        <w:rPr>
          <w:rFonts w:ascii="Times" w:hAnsi="Times"/>
        </w:rPr>
        <w:t>The location of both the Cs and Sr within the cement matrix is investigated in detail within this section. First the cement samples were studied using various analysis methods in order to locate both the Cs and Sr. This strongly indicates that the C</w:t>
      </w:r>
      <w:r>
        <w:rPr>
          <w:rFonts w:ascii="Times" w:hAnsi="Times"/>
          <w:vertAlign w:val="subscript"/>
        </w:rPr>
        <w:t>3</w:t>
      </w:r>
      <w:r>
        <w:rPr>
          <w:rFonts w:ascii="Times" w:hAnsi="Times"/>
        </w:rPr>
        <w:t xml:space="preserve">A </w:t>
      </w:r>
      <w:r w:rsidR="008E1D57">
        <w:rPr>
          <w:rFonts w:ascii="Times" w:hAnsi="Times"/>
        </w:rPr>
        <w:t xml:space="preserve">hydration products </w:t>
      </w:r>
      <w:r>
        <w:rPr>
          <w:rFonts w:ascii="Times" w:hAnsi="Times"/>
        </w:rPr>
        <w:t>ha</w:t>
      </w:r>
      <w:r w:rsidR="008E1D57">
        <w:rPr>
          <w:rFonts w:ascii="Times" w:hAnsi="Times"/>
        </w:rPr>
        <w:t xml:space="preserve">ve </w:t>
      </w:r>
      <w:r>
        <w:rPr>
          <w:rFonts w:ascii="Times" w:hAnsi="Times"/>
        </w:rPr>
        <w:t xml:space="preserve">quite a significant role to play, therefore in the second stage </w:t>
      </w:r>
      <w:r w:rsidR="00EA6DBE">
        <w:rPr>
          <w:rFonts w:ascii="Times" w:hAnsi="Times"/>
        </w:rPr>
        <w:t>C</w:t>
      </w:r>
      <w:r w:rsidR="00EA6DBE">
        <w:rPr>
          <w:rFonts w:ascii="Times" w:hAnsi="Times"/>
          <w:vertAlign w:val="subscript"/>
        </w:rPr>
        <w:t>3</w:t>
      </w:r>
      <w:r w:rsidR="00EA6DBE">
        <w:rPr>
          <w:rFonts w:ascii="Times" w:hAnsi="Times"/>
        </w:rPr>
        <w:t xml:space="preserve">A </w:t>
      </w:r>
      <w:r>
        <w:rPr>
          <w:rFonts w:ascii="Times" w:hAnsi="Times"/>
        </w:rPr>
        <w:t>was synthesised in order to further study the relationship between Cs, Sr and the C</w:t>
      </w:r>
      <w:r>
        <w:rPr>
          <w:rFonts w:ascii="Times" w:hAnsi="Times"/>
          <w:vertAlign w:val="subscript"/>
        </w:rPr>
        <w:t>3</w:t>
      </w:r>
      <w:r>
        <w:rPr>
          <w:rFonts w:ascii="Times" w:hAnsi="Times"/>
        </w:rPr>
        <w:t>A phase.</w:t>
      </w:r>
      <w:r w:rsidR="00EA6DBE">
        <w:rPr>
          <w:rFonts w:ascii="Times" w:hAnsi="Times"/>
        </w:rPr>
        <w:t xml:space="preserve"> The relationship between the retention of these radionuclides and their impact on leaching was also studied, the amounts and behavior </w:t>
      </w:r>
      <w:proofErr w:type="gramStart"/>
      <w:r w:rsidR="00EA6DBE">
        <w:rPr>
          <w:rFonts w:ascii="Times" w:hAnsi="Times"/>
        </w:rPr>
        <w:t>of  the</w:t>
      </w:r>
      <w:proofErr w:type="gramEnd"/>
      <w:r w:rsidR="00EA6DBE">
        <w:rPr>
          <w:rFonts w:ascii="Times" w:hAnsi="Times"/>
        </w:rPr>
        <w:t xml:space="preserve"> leached Ca, Cs and Sr were compared to further understand this</w:t>
      </w:r>
      <w:r>
        <w:rPr>
          <w:rFonts w:ascii="Times" w:hAnsi="Times"/>
        </w:rPr>
        <w:t xml:space="preserve">. </w:t>
      </w:r>
    </w:p>
    <w:p w14:paraId="7C9BE69E" w14:textId="77777777" w:rsidR="00EA6DBE" w:rsidRDefault="00EA6DBE" w:rsidP="0044704C">
      <w:pPr>
        <w:spacing w:before="240" w:after="120" w:line="360" w:lineRule="auto"/>
        <w:outlineLvl w:val="0"/>
        <w:rPr>
          <w:rFonts w:ascii="Times New Roman" w:hAnsi="Times New Roman" w:cs="Times New Roman"/>
          <w:b/>
          <w:bCs/>
          <w:smallCaps/>
          <w:sz w:val="36"/>
          <w:szCs w:val="28"/>
          <w:u w:val="single"/>
        </w:rPr>
      </w:pPr>
    </w:p>
    <w:p w14:paraId="3B81A9B1" w14:textId="77777777" w:rsidR="0044704C" w:rsidRDefault="0044704C" w:rsidP="0044704C">
      <w:pPr>
        <w:spacing w:before="240" w:after="120" w:line="360" w:lineRule="auto"/>
        <w:outlineLvl w:val="0"/>
        <w:rPr>
          <w:rFonts w:ascii="Times New Roman" w:hAnsi="Times New Roman" w:cs="Times New Roman"/>
          <w:b/>
          <w:bCs/>
          <w:smallCaps/>
          <w:sz w:val="36"/>
          <w:szCs w:val="28"/>
          <w:u w:val="single"/>
        </w:rPr>
      </w:pPr>
      <w:r>
        <w:rPr>
          <w:rFonts w:ascii="Times New Roman" w:hAnsi="Times New Roman" w:cs="Times New Roman"/>
          <w:b/>
          <w:bCs/>
          <w:smallCaps/>
          <w:sz w:val="36"/>
          <w:szCs w:val="28"/>
          <w:u w:val="single"/>
        </w:rPr>
        <w:t>4.3</w:t>
      </w:r>
      <w:r w:rsidRPr="004D476A">
        <w:rPr>
          <w:rFonts w:ascii="Times New Roman" w:hAnsi="Times New Roman" w:cs="Times New Roman"/>
          <w:b/>
          <w:bCs/>
          <w:smallCaps/>
          <w:sz w:val="36"/>
          <w:szCs w:val="28"/>
          <w:u w:val="single"/>
        </w:rPr>
        <w:t>.1</w:t>
      </w:r>
      <w:r w:rsidRPr="004D476A">
        <w:rPr>
          <w:rFonts w:ascii="Times New Roman" w:hAnsi="Times New Roman" w:cs="Times New Roman"/>
          <w:b/>
          <w:bCs/>
          <w:smallCaps/>
          <w:sz w:val="36"/>
          <w:szCs w:val="28"/>
          <w:u w:val="single"/>
        </w:rPr>
        <w:tab/>
      </w:r>
      <w:r>
        <w:rPr>
          <w:rFonts w:ascii="Times New Roman" w:hAnsi="Times New Roman" w:cs="Times New Roman"/>
          <w:b/>
          <w:bCs/>
          <w:smallCaps/>
          <w:sz w:val="36"/>
          <w:szCs w:val="28"/>
          <w:u w:val="single"/>
        </w:rPr>
        <w:t>Results</w:t>
      </w:r>
    </w:p>
    <w:p w14:paraId="7857D22D" w14:textId="77777777" w:rsidR="0044704C" w:rsidRPr="00C55503" w:rsidRDefault="0044704C" w:rsidP="0044704C">
      <w:pPr>
        <w:spacing w:before="240" w:after="120" w:line="360" w:lineRule="auto"/>
        <w:outlineLvl w:val="0"/>
        <w:rPr>
          <w:rFonts w:ascii="Times New Roman" w:hAnsi="Times New Roman" w:cs="Times New Roman"/>
          <w:b/>
          <w:bCs/>
          <w:smallCaps/>
          <w:sz w:val="32"/>
          <w:szCs w:val="28"/>
        </w:rPr>
      </w:pPr>
      <w:r>
        <w:rPr>
          <w:rFonts w:ascii="Times New Roman" w:hAnsi="Times New Roman" w:cs="Times New Roman"/>
          <w:b/>
          <w:bCs/>
          <w:smallCaps/>
          <w:sz w:val="32"/>
          <w:szCs w:val="28"/>
        </w:rPr>
        <w:t xml:space="preserve">4.3.1.1 </w:t>
      </w:r>
      <w:r>
        <w:rPr>
          <w:rFonts w:ascii="Times New Roman" w:hAnsi="Times New Roman" w:cs="Times New Roman"/>
          <w:b/>
          <w:bCs/>
          <w:smallCaps/>
          <w:sz w:val="32"/>
          <w:szCs w:val="28"/>
        </w:rPr>
        <w:tab/>
        <w:t>Cement Analysis</w:t>
      </w:r>
    </w:p>
    <w:p w14:paraId="5C26F13F" w14:textId="2B7160CC" w:rsidR="0044704C" w:rsidRDefault="00EA6DBE" w:rsidP="0044704C">
      <w:pPr>
        <w:widowControl w:val="0"/>
        <w:autoSpaceDE w:val="0"/>
        <w:autoSpaceDN w:val="0"/>
        <w:adjustRightInd w:val="0"/>
        <w:spacing w:before="240" w:after="120" w:line="360" w:lineRule="auto"/>
        <w:jc w:val="both"/>
        <w:rPr>
          <w:rFonts w:ascii="Times New Roman" w:hAnsi="Times New Roman" w:cs="Times New Roman"/>
        </w:rPr>
      </w:pPr>
      <w:r>
        <w:rPr>
          <w:rFonts w:ascii="Times New Roman" w:hAnsi="Times New Roman" w:cs="Times New Roman"/>
        </w:rPr>
        <w:t>As discussed in section 4.1</w:t>
      </w:r>
      <w:r w:rsidR="0044704C">
        <w:rPr>
          <w:rFonts w:ascii="Times New Roman" w:hAnsi="Times New Roman" w:cs="Times New Roman"/>
        </w:rPr>
        <w:t xml:space="preserve"> the preliminary XRD results of the </w:t>
      </w:r>
      <w:r w:rsidR="0044704C" w:rsidRPr="00315A5C">
        <w:rPr>
          <w:rFonts w:ascii="Times New Roman" w:hAnsi="Times New Roman" w:cs="Times New Roman"/>
          <w:b/>
        </w:rPr>
        <w:t xml:space="preserve">0D </w:t>
      </w:r>
      <w:r w:rsidR="0044704C">
        <w:rPr>
          <w:rFonts w:ascii="Times New Roman" w:hAnsi="Times New Roman" w:cs="Times New Roman"/>
        </w:rPr>
        <w:t xml:space="preserve">samples, show that with the introduction of strontium nitrate and caesium nitrate </w:t>
      </w:r>
      <w:r w:rsidR="00315A5C">
        <w:rPr>
          <w:rFonts w:ascii="Times New Roman" w:hAnsi="Times New Roman" w:cs="Times New Roman"/>
        </w:rPr>
        <w:t xml:space="preserve">the cement </w:t>
      </w:r>
      <w:r w:rsidR="00C162C1">
        <w:rPr>
          <w:rFonts w:ascii="Times New Roman" w:hAnsi="Times New Roman" w:cs="Times New Roman"/>
        </w:rPr>
        <w:t>phase composition and distribution</w:t>
      </w:r>
      <w:r w:rsidR="009E1818">
        <w:rPr>
          <w:rFonts w:ascii="Times New Roman" w:hAnsi="Times New Roman" w:cs="Times New Roman"/>
        </w:rPr>
        <w:t xml:space="preserve"> is altered. </w:t>
      </w:r>
      <w:r w:rsidR="00971672">
        <w:rPr>
          <w:rFonts w:ascii="Times New Roman" w:hAnsi="Times New Roman" w:cs="Times New Roman"/>
        </w:rPr>
        <w:t xml:space="preserve">The peaks associated with AFm slightly shift suggesting either an alteration of the AFm structure or the formation of a different crystal phase. </w:t>
      </w:r>
      <w:r w:rsidR="000A47BA">
        <w:rPr>
          <w:rFonts w:ascii="Times New Roman" w:hAnsi="Times New Roman" w:cs="Times New Roman"/>
        </w:rPr>
        <w:t>This can be seen in fig. 4.81</w:t>
      </w:r>
      <w:r w:rsidR="0044704C">
        <w:rPr>
          <w:rFonts w:ascii="Times New Roman" w:hAnsi="Times New Roman" w:cs="Times New Roman"/>
        </w:rPr>
        <w:t>, which focuses on this particular region of the trac</w:t>
      </w:r>
      <w:r w:rsidR="000A47BA">
        <w:rPr>
          <w:rFonts w:ascii="Times New Roman" w:hAnsi="Times New Roman" w:cs="Times New Roman"/>
        </w:rPr>
        <w:t>e (with the new peak labeled X)</w:t>
      </w:r>
      <w:r w:rsidR="0044704C">
        <w:rPr>
          <w:rFonts w:ascii="Times New Roman" w:hAnsi="Times New Roman" w:cs="Times New Roman"/>
        </w:rPr>
        <w:t>. In section 4.</w:t>
      </w:r>
      <w:r w:rsidR="00005001">
        <w:rPr>
          <w:rFonts w:ascii="Times New Roman" w:hAnsi="Times New Roman" w:cs="Times New Roman"/>
        </w:rPr>
        <w:t>1</w:t>
      </w:r>
      <w:r w:rsidR="0044704C">
        <w:rPr>
          <w:rFonts w:ascii="Times New Roman" w:hAnsi="Times New Roman" w:cs="Times New Roman"/>
        </w:rPr>
        <w:t xml:space="preserve"> this phase was identified as CAN the nitrated AFm phase with the proposal that the </w:t>
      </w:r>
      <w:r w:rsidR="0044704C" w:rsidRPr="00E908AE">
        <w:rPr>
          <w:rFonts w:ascii="Times New Roman" w:hAnsi="Times New Roman"/>
        </w:rPr>
        <w:t>SO</w:t>
      </w:r>
      <w:r w:rsidR="0044704C" w:rsidRPr="00E908AE">
        <w:rPr>
          <w:rFonts w:ascii="Times New Roman" w:hAnsi="Times New Roman"/>
          <w:vertAlign w:val="subscript"/>
        </w:rPr>
        <w:t>4</w:t>
      </w:r>
      <w:r w:rsidR="0044704C" w:rsidRPr="00E908AE">
        <w:rPr>
          <w:rFonts w:ascii="Times New Roman" w:hAnsi="Times New Roman"/>
          <w:vertAlign w:val="superscript"/>
        </w:rPr>
        <w:t>2</w:t>
      </w:r>
      <w:r w:rsidR="0044704C">
        <w:rPr>
          <w:rFonts w:ascii="Times New Roman" w:hAnsi="Times New Roman"/>
          <w:vertAlign w:val="superscript"/>
        </w:rPr>
        <w:t xml:space="preserve">- </w:t>
      </w:r>
      <w:r w:rsidR="0044704C">
        <w:rPr>
          <w:rFonts w:ascii="Times New Roman" w:hAnsi="Times New Roman" w:cs="Times New Roman"/>
        </w:rPr>
        <w:t>ions were substituted with NO</w:t>
      </w:r>
      <w:r w:rsidR="0044704C">
        <w:rPr>
          <w:rFonts w:ascii="Times New Roman" w:hAnsi="Times New Roman" w:cs="Times New Roman"/>
          <w:vertAlign w:val="subscript"/>
        </w:rPr>
        <w:t>3</w:t>
      </w:r>
      <w:r w:rsidR="0044704C">
        <w:rPr>
          <w:rFonts w:ascii="Times New Roman" w:hAnsi="Times New Roman" w:cs="Times New Roman"/>
          <w:vertAlign w:val="superscript"/>
        </w:rPr>
        <w:t>-</w:t>
      </w:r>
      <w:r w:rsidR="0044704C">
        <w:rPr>
          <w:rFonts w:ascii="Times New Roman" w:hAnsi="Times New Roman" w:cs="Times New Roman"/>
        </w:rPr>
        <w:t xml:space="preserve">. </w:t>
      </w:r>
    </w:p>
    <w:p w14:paraId="5D01E31D" w14:textId="77777777" w:rsidR="0044704C" w:rsidRDefault="0044704C" w:rsidP="0044704C">
      <w:pPr>
        <w:widowControl w:val="0"/>
        <w:autoSpaceDE w:val="0"/>
        <w:autoSpaceDN w:val="0"/>
        <w:adjustRightInd w:val="0"/>
        <w:spacing w:before="240" w:after="120" w:line="360" w:lineRule="auto"/>
        <w:jc w:val="both"/>
        <w:rPr>
          <w:rFonts w:ascii="Times New Roman" w:hAnsi="Times New Roman" w:cs="Times New Roman"/>
        </w:rPr>
      </w:pPr>
      <w:r>
        <w:rPr>
          <w:rFonts w:ascii="Times New Roman" w:hAnsi="Times New Roman" w:cs="Times New Roman"/>
        </w:rPr>
        <w:t xml:space="preserve">Although both strontium and caesium were added in nitrate form this behaviour only occurred in the presence of strontium nitrate. Therefore further investigation was carried out in this section to better understand the unique behaviours of both caesium and strontium in this cement system. </w:t>
      </w:r>
    </w:p>
    <w:p w14:paraId="2C72B896" w14:textId="77777777" w:rsidR="0044704C" w:rsidRDefault="0044704C" w:rsidP="0044704C">
      <w:pPr>
        <w:widowControl w:val="0"/>
        <w:autoSpaceDE w:val="0"/>
        <w:autoSpaceDN w:val="0"/>
        <w:adjustRightInd w:val="0"/>
        <w:spacing w:before="240" w:after="120" w:line="360" w:lineRule="auto"/>
        <w:jc w:val="both"/>
        <w:rPr>
          <w:rFonts w:ascii="Times New Roman" w:hAnsi="Times New Roman" w:cs="Times New Roman"/>
        </w:rPr>
      </w:pPr>
    </w:p>
    <w:p w14:paraId="48201F4B" w14:textId="20F790A7" w:rsidR="0044704C" w:rsidRDefault="0044704C" w:rsidP="0044704C">
      <w:pPr>
        <w:widowControl w:val="0"/>
        <w:autoSpaceDE w:val="0"/>
        <w:autoSpaceDN w:val="0"/>
        <w:adjustRightInd w:val="0"/>
        <w:spacing w:before="240" w:after="120"/>
        <w:ind w:left="-567"/>
        <w:jc w:val="center"/>
        <w:rPr>
          <w:rFonts w:ascii="Times New Roman" w:hAnsi="Times New Roman" w:cs="Times New Roman"/>
        </w:rPr>
      </w:pPr>
      <w:r w:rsidRPr="00A26A92">
        <w:rPr>
          <w:rFonts w:ascii="Times New Roman" w:hAnsi="Times New Roman" w:cs="Times New Roman"/>
          <w:noProof/>
        </w:rPr>
        <w:lastRenderedPageBreak/>
        <w:drawing>
          <wp:inline distT="0" distB="0" distL="0" distR="0" wp14:anchorId="5ABBF63C" wp14:editId="67085873">
            <wp:extent cx="2321008" cy="3145790"/>
            <wp:effectExtent l="0" t="0" r="0" b="381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5">
                      <a:extLst>
                        <a:ext uri="{BEBA8EAE-BF5A-486C-A8C5-ECC9F3942E4B}">
                          <a14:imgProps xmlns:a14="http://schemas.microsoft.com/office/drawing/2010/main">
                            <a14:imgLayer r:embed="rId126">
                              <a14:imgEffect>
                                <a14:sharpenSoften amount="25000"/>
                              </a14:imgEffect>
                            </a14:imgLayer>
                          </a14:imgProps>
                        </a:ext>
                        <a:ext uri="{28A0092B-C50C-407E-A947-70E740481C1C}">
                          <a14:useLocalDpi xmlns:a14="http://schemas.microsoft.com/office/drawing/2010/main" val="0"/>
                        </a:ext>
                      </a:extLst>
                    </a:blip>
                    <a:srcRect l="11065"/>
                    <a:stretch/>
                  </pic:blipFill>
                  <pic:spPr bwMode="auto">
                    <a:xfrm>
                      <a:off x="0" y="0"/>
                      <a:ext cx="2322255" cy="31474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rPr>
        <w:br/>
      </w:r>
      <w:r w:rsidR="000A47BA">
        <w:rPr>
          <w:rFonts w:ascii="Times New Roman" w:hAnsi="Times New Roman" w:cs="Times New Roman"/>
          <w:b/>
        </w:rPr>
        <w:t>Figure 4.81</w:t>
      </w:r>
      <w:r>
        <w:rPr>
          <w:rFonts w:ascii="Times New Roman" w:hAnsi="Times New Roman" w:cs="Times New Roman"/>
          <w:b/>
        </w:rPr>
        <w:t xml:space="preserve">: </w:t>
      </w:r>
      <w:r>
        <w:rPr>
          <w:rFonts w:ascii="Times New Roman" w:hAnsi="Times New Roman" w:cs="Times New Roman"/>
        </w:rPr>
        <w:t>XRD trace of cement samples before leaching tests</w:t>
      </w:r>
    </w:p>
    <w:p w14:paraId="006123A4" w14:textId="379B4A3A" w:rsidR="0044704C" w:rsidRPr="009E589B" w:rsidRDefault="0044704C" w:rsidP="0044704C">
      <w:pPr>
        <w:spacing w:before="240" w:after="120" w:line="360" w:lineRule="auto"/>
        <w:jc w:val="both"/>
        <w:rPr>
          <w:rFonts w:ascii="Times New Roman" w:hAnsi="Times New Roman" w:cs="Times New Roman"/>
        </w:rPr>
      </w:pPr>
      <w:r>
        <w:rPr>
          <w:rFonts w:ascii="Times" w:hAnsi="Times" w:cs="Times New Roman"/>
          <w:bCs/>
          <w:iCs/>
        </w:rPr>
        <w:t>The nitrate ions are smaller than the sulphate ions</w:t>
      </w:r>
      <w:r w:rsidR="00D51D72">
        <w:rPr>
          <w:rFonts w:ascii="Times" w:hAnsi="Times" w:cs="Times New Roman"/>
          <w:bCs/>
          <w:iCs/>
        </w:rPr>
        <w:t xml:space="preserve"> [10</w:t>
      </w:r>
      <w:r w:rsidR="00005001">
        <w:rPr>
          <w:rFonts w:ascii="Times" w:hAnsi="Times" w:cs="Times New Roman"/>
          <w:bCs/>
          <w:iCs/>
        </w:rPr>
        <w:t>]</w:t>
      </w:r>
      <w:r>
        <w:rPr>
          <w:rFonts w:ascii="Times" w:hAnsi="Times" w:cs="Times New Roman"/>
          <w:bCs/>
          <w:iCs/>
        </w:rPr>
        <w:t>, therefore when the substitution occurs it would cause a decrease in the inter-planar (d) spacing. Ap</w:t>
      </w:r>
      <w:r w:rsidR="009E589B">
        <w:rPr>
          <w:rFonts w:ascii="Times" w:hAnsi="Times" w:cs="Times New Roman"/>
          <w:bCs/>
          <w:iCs/>
        </w:rPr>
        <w:t>plying Bragg’s Law (equation 4.4</w:t>
      </w:r>
      <w:r>
        <w:rPr>
          <w:rFonts w:ascii="Times" w:hAnsi="Times" w:cs="Times New Roman"/>
          <w:bCs/>
          <w:iCs/>
        </w:rPr>
        <w:t xml:space="preserve">) it can be seen that </w:t>
      </w:r>
      <w:r>
        <w:rPr>
          <w:rFonts w:ascii="Times New Roman" w:hAnsi="Times New Roman" w:cs="Times New Roman"/>
        </w:rPr>
        <w:t xml:space="preserve">a decrease in </w:t>
      </w:r>
      <w:proofErr w:type="gramStart"/>
      <w:r>
        <w:rPr>
          <w:rFonts w:ascii="Times New Roman" w:hAnsi="Times New Roman" w:cs="Times New Roman"/>
        </w:rPr>
        <w:t>d-spacing</w:t>
      </w:r>
      <w:proofErr w:type="gramEnd"/>
      <w:r>
        <w:rPr>
          <w:rFonts w:ascii="Times New Roman" w:hAnsi="Times New Roman" w:cs="Times New Roman"/>
        </w:rPr>
        <w:t xml:space="preserve"> causes an increase in </w:t>
      </w:r>
      <w:r w:rsidR="00A353C4">
        <w:rPr>
          <w:rFonts w:ascii="Times New Roman" w:hAnsi="Times New Roman" w:cs="Times New Roman"/>
        </w:rPr>
        <w:t>2</w:t>
      </w:r>
      <w:r>
        <w:rPr>
          <w:rFonts w:ascii="Times New Roman" w:hAnsi="Times New Roman" w:cs="Times New Roman"/>
          <w:bCs/>
          <w:color w:val="252525"/>
          <w:shd w:val="clear" w:color="auto" w:fill="FFFFFF"/>
        </w:rPr>
        <w:t>θ</w:t>
      </w:r>
      <w:r w:rsidR="00A353C4">
        <w:rPr>
          <w:rFonts w:ascii="Times New Roman" w:hAnsi="Times New Roman" w:cs="Times New Roman"/>
        </w:rPr>
        <w:t>. Therefore the</w:t>
      </w:r>
      <w:r>
        <w:rPr>
          <w:rFonts w:ascii="Times New Roman" w:hAnsi="Times New Roman" w:cs="Times New Roman"/>
        </w:rPr>
        <w:t xml:space="preserve"> shift of the AFm peak to the right and forming peak X in </w:t>
      </w:r>
      <w:r w:rsidR="000A47BA">
        <w:rPr>
          <w:rFonts w:ascii="Times New Roman" w:hAnsi="Times New Roman" w:cs="Times New Roman"/>
        </w:rPr>
        <w:t xml:space="preserve">figure </w:t>
      </w:r>
      <w:proofErr w:type="gramStart"/>
      <w:r w:rsidR="000A47BA">
        <w:rPr>
          <w:rFonts w:ascii="Times New Roman" w:hAnsi="Times New Roman" w:cs="Times New Roman"/>
        </w:rPr>
        <w:t>4.81</w:t>
      </w:r>
      <w:r>
        <w:rPr>
          <w:rFonts w:ascii="Times New Roman" w:hAnsi="Times New Roman" w:cs="Times New Roman"/>
        </w:rPr>
        <w:t>,</w:t>
      </w:r>
      <w:proofErr w:type="gramEnd"/>
      <w:r>
        <w:rPr>
          <w:rFonts w:ascii="Times New Roman" w:hAnsi="Times New Roman" w:cs="Times New Roman"/>
        </w:rPr>
        <w:t xml:space="preserve"> </w:t>
      </w:r>
      <w:r w:rsidR="009E6C15">
        <w:rPr>
          <w:rFonts w:ascii="Times New Roman" w:hAnsi="Times New Roman" w:cs="Times New Roman"/>
        </w:rPr>
        <w:t>is probably due to</w:t>
      </w:r>
      <w:r w:rsidR="00A353C4">
        <w:rPr>
          <w:rFonts w:ascii="Times New Roman" w:hAnsi="Times New Roman" w:cs="Times New Roman"/>
        </w:rPr>
        <w:t xml:space="preserve"> this substitution</w:t>
      </w:r>
      <w:r>
        <w:rPr>
          <w:rFonts w:ascii="Times New Roman" w:hAnsi="Times New Roman" w:cs="Times New Roman"/>
        </w:rPr>
        <w:t xml:space="preserve">.  </w:t>
      </w:r>
    </w:p>
    <w:p w14:paraId="29A0FDFB" w14:textId="64ABEE66" w:rsidR="0044704C" w:rsidRPr="009E589B" w:rsidRDefault="0044704C" w:rsidP="009E589B">
      <w:pPr>
        <w:spacing w:before="240" w:after="120"/>
        <w:jc w:val="center"/>
        <w:rPr>
          <w:rFonts w:ascii="Times New Roman" w:hAnsi="Times New Roman"/>
          <w:color w:val="000000" w:themeColor="text1"/>
          <w:kern w:val="24"/>
          <w:lang w:val="pt-BR"/>
        </w:rPr>
      </w:pPr>
      <w:r w:rsidRPr="004745F4">
        <w:rPr>
          <w:rFonts w:ascii="Times New Roman" w:hAnsi="Times New Roman"/>
          <w:color w:val="000000" w:themeColor="text1"/>
          <w:kern w:val="24"/>
          <w:sz w:val="28"/>
          <w:szCs w:val="40"/>
          <w:lang w:val="pt-BR"/>
        </w:rPr>
        <w:t xml:space="preserve">            </w:t>
      </w:r>
      <w:r w:rsidR="009E589B">
        <w:rPr>
          <w:rFonts w:ascii="Times New Roman" w:hAnsi="Times New Roman"/>
          <w:color w:val="000000" w:themeColor="text1"/>
          <w:kern w:val="24"/>
          <w:sz w:val="28"/>
          <w:szCs w:val="40"/>
          <w:lang w:val="pt-BR"/>
        </w:rPr>
        <w:t xml:space="preserve">                         </w:t>
      </w:r>
      <w:r w:rsidRPr="004745F4">
        <w:rPr>
          <w:rFonts w:ascii="Times New Roman" w:hAnsi="Times New Roman"/>
          <w:color w:val="000000" w:themeColor="text1"/>
          <w:kern w:val="24"/>
          <w:sz w:val="28"/>
          <w:szCs w:val="40"/>
          <w:lang w:val="pt-BR"/>
        </w:rPr>
        <w:t xml:space="preserve"> </w:t>
      </w:r>
      <w:r w:rsidRPr="009E589B">
        <w:rPr>
          <w:rFonts w:ascii="Times New Roman" w:hAnsi="Times New Roman"/>
          <w:color w:val="000000" w:themeColor="text1"/>
          <w:kern w:val="24"/>
          <w:lang w:val="pt-BR"/>
        </w:rPr>
        <w:t xml:space="preserve">nλ/d = 2d sinθ      </w:t>
      </w:r>
      <w:r w:rsidR="009E589B" w:rsidRPr="009E589B">
        <w:rPr>
          <w:rFonts w:ascii="Times New Roman" w:hAnsi="Times New Roman"/>
          <w:color w:val="000000" w:themeColor="text1"/>
          <w:kern w:val="24"/>
          <w:lang w:val="pt-BR"/>
        </w:rPr>
        <w:t xml:space="preserve">                              </w:t>
      </w:r>
      <w:r w:rsidR="004332DD">
        <w:rPr>
          <w:rFonts w:ascii="Times New Roman" w:hAnsi="Times New Roman"/>
          <w:color w:val="000000" w:themeColor="text1"/>
          <w:kern w:val="24"/>
          <w:lang w:val="pt-BR"/>
        </w:rPr>
        <w:t xml:space="preserve">  (</w:t>
      </w:r>
      <w:r w:rsidR="009E589B" w:rsidRPr="009E589B">
        <w:rPr>
          <w:rFonts w:ascii="Times New Roman" w:hAnsi="Times New Roman"/>
          <w:color w:val="000000" w:themeColor="text1"/>
          <w:kern w:val="24"/>
          <w:lang w:val="pt-BR"/>
        </w:rPr>
        <w:t>4.4</w:t>
      </w:r>
      <w:r w:rsidR="004332DD">
        <w:rPr>
          <w:rFonts w:ascii="Times New Roman" w:hAnsi="Times New Roman"/>
          <w:color w:val="000000" w:themeColor="text1"/>
          <w:kern w:val="24"/>
          <w:lang w:val="pt-BR"/>
        </w:rPr>
        <w:t>)</w:t>
      </w:r>
    </w:p>
    <w:p w14:paraId="44F8005D" w14:textId="4BD29253" w:rsidR="0044704C" w:rsidRDefault="0044704C" w:rsidP="009E589B">
      <w:pPr>
        <w:spacing w:before="240" w:after="120"/>
        <w:jc w:val="center"/>
      </w:pPr>
      <w:r w:rsidRPr="009E589B">
        <w:rPr>
          <w:rFonts w:ascii="Times New Roman" w:hAnsi="Times New Roman"/>
          <w:color w:val="000000" w:themeColor="text1"/>
          <w:kern w:val="24"/>
          <w:lang w:val="pt-BR"/>
        </w:rPr>
        <w:t>Sin</w:t>
      </w:r>
      <w:r w:rsidRPr="009E589B">
        <w:rPr>
          <w:rFonts w:ascii="Times New Roman" w:hAnsi="Times New Roman"/>
          <w:color w:val="000000" w:themeColor="text1"/>
          <w:kern w:val="24"/>
          <w:vertAlign w:val="superscript"/>
          <w:lang w:val="pt-BR"/>
        </w:rPr>
        <w:t>-1</w:t>
      </w:r>
      <w:r w:rsidRPr="009E589B">
        <w:rPr>
          <w:rFonts w:ascii="Times New Roman" w:hAnsi="Times New Roman"/>
          <w:color w:val="000000" w:themeColor="text1"/>
          <w:kern w:val="24"/>
          <w:lang w:val="pt-BR"/>
        </w:rPr>
        <w:t xml:space="preserve"> (n λ/2d) = θ</w:t>
      </w:r>
    </w:p>
    <w:p w14:paraId="0E535425" w14:textId="26CF122F" w:rsidR="0044704C" w:rsidRPr="00641FD6" w:rsidRDefault="0044704C" w:rsidP="0044704C">
      <w:pPr>
        <w:spacing w:before="240" w:after="120" w:line="360" w:lineRule="auto"/>
        <w:jc w:val="both"/>
        <w:rPr>
          <w:rFonts w:ascii="Times New Roman" w:hAnsi="Times New Roman" w:cs="Times New Roman"/>
        </w:rPr>
      </w:pPr>
      <w:r>
        <w:rPr>
          <w:rFonts w:ascii="Times" w:hAnsi="Times" w:cs="Times New Roman"/>
          <w:bCs/>
          <w:iCs/>
        </w:rPr>
        <w:t xml:space="preserve">The XRD traces in fig 4.1 </w:t>
      </w:r>
      <w:r w:rsidR="009E6C15">
        <w:rPr>
          <w:rFonts w:ascii="Times" w:hAnsi="Times" w:cs="Times New Roman"/>
          <w:bCs/>
          <w:iCs/>
        </w:rPr>
        <w:t>indicate that at least some of the</w:t>
      </w:r>
      <w:r>
        <w:rPr>
          <w:rFonts w:ascii="Times" w:hAnsi="Times" w:cs="Times New Roman"/>
          <w:bCs/>
          <w:iCs/>
        </w:rPr>
        <w:t xml:space="preserve"> caesium in the </w:t>
      </w:r>
      <w:r w:rsidR="00DC480E">
        <w:rPr>
          <w:rFonts w:ascii="Times" w:hAnsi="Times" w:cs="Times New Roman"/>
          <w:b/>
        </w:rPr>
        <w:t>0</w:t>
      </w:r>
      <w:r w:rsidR="00DC480E" w:rsidRPr="00CE1CA5">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bCs/>
          <w:iCs/>
        </w:rPr>
        <w:t xml:space="preserve"> and </w:t>
      </w:r>
      <w:r w:rsidR="00DC480E">
        <w:rPr>
          <w:rFonts w:ascii="Times" w:hAnsi="Times" w:cs="Times New Roman"/>
          <w:b/>
        </w:rPr>
        <w:t>0</w:t>
      </w:r>
      <w:r w:rsidR="00DC480E" w:rsidRPr="00CE1CA5">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m:t>
            </m:r>
          </m:e>
        </m:acc>
      </m:oMath>
      <w:r>
        <w:rPr>
          <w:rFonts w:ascii="Times" w:hAnsi="Times" w:cs="Times New Roman"/>
          <w:bCs/>
          <w:iCs/>
        </w:rPr>
        <w:t xml:space="preserve"> samples reforms as CsNO</w:t>
      </w:r>
      <w:r>
        <w:rPr>
          <w:rFonts w:ascii="Times" w:hAnsi="Times" w:cs="Times New Roman"/>
          <w:bCs/>
          <w:iCs/>
          <w:vertAlign w:val="subscript"/>
        </w:rPr>
        <w:t>3</w:t>
      </w:r>
      <w:r>
        <w:rPr>
          <w:rFonts w:ascii="Times" w:hAnsi="Times" w:cs="Times New Roman"/>
          <w:bCs/>
          <w:iCs/>
        </w:rPr>
        <w:t xml:space="preserve">, however there is no indication of where the strontium is in the </w:t>
      </w:r>
      <w:r w:rsidR="00DC480E">
        <w:rPr>
          <w:rFonts w:ascii="Times" w:hAnsi="Times" w:cs="Times New Roman"/>
          <w:b/>
        </w:rPr>
        <w:t>0</w:t>
      </w:r>
      <w:r w:rsidR="00DC480E" w:rsidRPr="00CE1CA5">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s</m:t>
            </m:r>
          </m:e>
        </m:acc>
      </m:oMath>
      <w:r>
        <w:rPr>
          <w:rFonts w:ascii="Times" w:hAnsi="Times" w:cs="Times New Roman"/>
          <w:bCs/>
          <w:iCs/>
        </w:rPr>
        <w:t xml:space="preserve"> and </w:t>
      </w:r>
      <w:r w:rsidR="00DC480E">
        <w:rPr>
          <w:rFonts w:ascii="Times" w:hAnsi="Times" w:cs="Times New Roman"/>
          <w:b/>
        </w:rPr>
        <w:t>0</w:t>
      </w:r>
      <w:r w:rsidR="00DC480E" w:rsidRPr="00CE1CA5">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DC480E">
        <w:rPr>
          <w:rFonts w:ascii="Times" w:hAnsi="Times" w:cs="Times New Roman"/>
          <w:sz w:val="36"/>
          <w:szCs w:val="36"/>
        </w:rPr>
        <w:t xml:space="preserve"> </w:t>
      </w:r>
      <w:r>
        <w:rPr>
          <w:rFonts w:ascii="Times New Roman" w:hAnsi="Times New Roman" w:cs="Times New Roman"/>
        </w:rPr>
        <w:t>samples.</w:t>
      </w:r>
    </w:p>
    <w:p w14:paraId="2DCFBE0C" w14:textId="67E9F2B3" w:rsidR="0044704C" w:rsidRPr="00732DB0" w:rsidRDefault="0044704C" w:rsidP="000A47BA">
      <w:pPr>
        <w:spacing w:before="240" w:after="120" w:line="480" w:lineRule="exact"/>
        <w:jc w:val="both"/>
        <w:rPr>
          <w:rFonts w:ascii="Times" w:hAnsi="Times" w:cs="Times New Roman"/>
          <w:bCs/>
          <w:iCs/>
        </w:rPr>
      </w:pPr>
      <w:r w:rsidRPr="00732DB0">
        <w:rPr>
          <w:rFonts w:ascii="Times" w:hAnsi="Times" w:cs="Times New Roman"/>
          <w:bCs/>
          <w:iCs/>
        </w:rPr>
        <w:t xml:space="preserve">The TGA data in </w:t>
      </w:r>
      <w:r>
        <w:rPr>
          <w:rFonts w:ascii="Times" w:hAnsi="Times" w:cs="Times New Roman"/>
          <w:bCs/>
          <w:iCs/>
        </w:rPr>
        <w:t>figure in chapter 4 section 1</w:t>
      </w:r>
      <w:r w:rsidRPr="00732DB0">
        <w:rPr>
          <w:rFonts w:ascii="Times" w:hAnsi="Times" w:cs="Times New Roman"/>
          <w:bCs/>
          <w:iCs/>
        </w:rPr>
        <w:t>, show</w:t>
      </w:r>
      <w:r>
        <w:rPr>
          <w:rFonts w:ascii="Times" w:hAnsi="Times" w:cs="Times New Roman"/>
          <w:bCs/>
          <w:iCs/>
        </w:rPr>
        <w:t xml:space="preserve">s that the heating profile produced by </w:t>
      </w:r>
      <w:r w:rsidRPr="00732DB0">
        <w:rPr>
          <w:rFonts w:ascii="Times" w:hAnsi="Times" w:cs="Times New Roman"/>
          <w:bCs/>
          <w:iCs/>
        </w:rPr>
        <w:t xml:space="preserve">the strontium nitrate loaded sample is similar to that in the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0A47BA">
        <w:rPr>
          <w:rFonts w:ascii="Times" w:hAnsi="Times" w:cs="Times New Roman"/>
          <w:sz w:val="36"/>
          <w:szCs w:val="36"/>
        </w:rPr>
        <w:t xml:space="preserve"> </w:t>
      </w:r>
      <w:r w:rsidRPr="00732DB0">
        <w:rPr>
          <w:rFonts w:ascii="Times" w:hAnsi="Times" w:cs="Times New Roman"/>
          <w:bCs/>
          <w:iCs/>
        </w:rPr>
        <w:t xml:space="preserve"> sample</w:t>
      </w:r>
      <w:proofErr w:type="gramEnd"/>
      <w:r w:rsidRPr="00732DB0">
        <w:rPr>
          <w:rFonts w:ascii="Times" w:hAnsi="Times" w:cs="Times New Roman"/>
          <w:bCs/>
          <w:iCs/>
        </w:rPr>
        <w:t>, where</w:t>
      </w:r>
      <w:r>
        <w:rPr>
          <w:rFonts w:ascii="Times" w:hAnsi="Times" w:cs="Times New Roman"/>
          <w:bCs/>
          <w:iCs/>
        </w:rPr>
        <w:t>as</w:t>
      </w:r>
      <w:r w:rsidRPr="00732DB0">
        <w:rPr>
          <w:rFonts w:ascii="Times" w:hAnsi="Times" w:cs="Times New Roman"/>
          <w:bCs/>
          <w:iCs/>
        </w:rPr>
        <w:t xml:space="preserve"> the sample only containing caesium nitrate h</w:t>
      </w:r>
      <w:r w:rsidR="00641FD6">
        <w:rPr>
          <w:rFonts w:ascii="Times" w:hAnsi="Times" w:cs="Times New Roman"/>
          <w:bCs/>
          <w:iCs/>
        </w:rPr>
        <w:t>as the same profile as the blank, with an additional peak for CN</w:t>
      </w:r>
      <w:r w:rsidRPr="00732DB0">
        <w:rPr>
          <w:rFonts w:ascii="Times" w:hAnsi="Times" w:cs="Times New Roman"/>
          <w:bCs/>
          <w:iCs/>
        </w:rPr>
        <w:t xml:space="preserve">. </w:t>
      </w:r>
    </w:p>
    <w:p w14:paraId="15BAAB74" w14:textId="37AC4A6D" w:rsidR="0044704C" w:rsidRPr="00CD723D" w:rsidRDefault="0044704C" w:rsidP="0044704C">
      <w:pPr>
        <w:spacing w:before="240" w:after="120" w:line="360" w:lineRule="auto"/>
        <w:jc w:val="both"/>
        <w:rPr>
          <w:rFonts w:ascii="Times" w:hAnsi="Times" w:cs="Arial"/>
          <w:bCs/>
          <w:color w:val="000000"/>
        </w:rPr>
      </w:pPr>
      <w:r>
        <w:rPr>
          <w:rFonts w:ascii="Times" w:hAnsi="Times" w:cs="Arial"/>
          <w:bCs/>
          <w:color w:val="000000"/>
        </w:rPr>
        <w:t>The MAS-NMR results in chapter 4 section 1 also showed that introducing the strontium into the matrix altered the C-S-H phase, wherein Al entered</w:t>
      </w:r>
      <w:r>
        <w:rPr>
          <w:rFonts w:ascii="Times" w:hAnsi="Times" w:cs="Times"/>
          <w:szCs w:val="26"/>
        </w:rPr>
        <w:t xml:space="preserve"> the tetrahedral </w:t>
      </w:r>
      <w:r>
        <w:rPr>
          <w:rFonts w:ascii="Times" w:hAnsi="Times" w:cs="Times"/>
          <w:szCs w:val="26"/>
        </w:rPr>
        <w:lastRenderedPageBreak/>
        <w:t>chain sites and the Al-Si chains became progressively more polymerized.</w:t>
      </w:r>
      <w:r>
        <w:rPr>
          <w:rFonts w:ascii="Times" w:hAnsi="Times" w:cs="Arial"/>
          <w:bCs/>
          <w:color w:val="000000"/>
        </w:rPr>
        <w:t xml:space="preserve"> As a result the Q</w:t>
      </w:r>
      <w:r>
        <w:rPr>
          <w:rFonts w:ascii="Times" w:hAnsi="Times" w:cs="Arial"/>
          <w:bCs/>
          <w:color w:val="000000"/>
          <w:vertAlign w:val="superscript"/>
        </w:rPr>
        <w:t xml:space="preserve">2 </w:t>
      </w:r>
      <w:r>
        <w:rPr>
          <w:rFonts w:ascii="Times" w:hAnsi="Times" w:cs="Arial"/>
          <w:bCs/>
          <w:color w:val="000000"/>
        </w:rPr>
        <w:t xml:space="preserve">peak attributed to the end groups of the C-S-H chain, had shifted from -84 to -81 indicating the formation of </w:t>
      </w:r>
      <w:proofErr w:type="gramStart"/>
      <w:r>
        <w:rPr>
          <w:rFonts w:ascii="Times" w:hAnsi="Times" w:cs="Arial"/>
          <w:bCs/>
          <w:color w:val="000000"/>
        </w:rPr>
        <w:t>Q</w:t>
      </w:r>
      <w:r>
        <w:rPr>
          <w:rFonts w:ascii="Times" w:hAnsi="Times" w:cs="Arial"/>
          <w:bCs/>
          <w:color w:val="000000"/>
          <w:vertAlign w:val="superscript"/>
        </w:rPr>
        <w:t>2</w:t>
      </w:r>
      <w:r w:rsidR="00446F05">
        <w:rPr>
          <w:rFonts w:ascii="Times" w:hAnsi="Times" w:cs="Arial"/>
          <w:bCs/>
          <w:color w:val="000000"/>
        </w:rPr>
        <w:t>(</w:t>
      </w:r>
      <w:proofErr w:type="gramEnd"/>
      <w:r w:rsidR="00446F05">
        <w:rPr>
          <w:rFonts w:ascii="Times" w:hAnsi="Times" w:cs="Arial"/>
          <w:bCs/>
          <w:color w:val="000000"/>
        </w:rPr>
        <w:t>Al) [72</w:t>
      </w:r>
      <w:r>
        <w:rPr>
          <w:rFonts w:ascii="Times" w:hAnsi="Times" w:cs="Arial"/>
          <w:bCs/>
          <w:color w:val="000000"/>
        </w:rPr>
        <w:t>].</w:t>
      </w:r>
      <w:r w:rsidR="001242DF">
        <w:rPr>
          <w:rFonts w:ascii="Times" w:hAnsi="Times" w:cs="Arial"/>
          <w:bCs/>
          <w:color w:val="000000"/>
        </w:rPr>
        <w:t xml:space="preserve"> </w:t>
      </w:r>
    </w:p>
    <w:p w14:paraId="3550337E" w14:textId="453FD261" w:rsidR="0044704C" w:rsidRDefault="0044704C" w:rsidP="0044704C">
      <w:pPr>
        <w:spacing w:before="240" w:after="120" w:line="360" w:lineRule="auto"/>
        <w:jc w:val="both"/>
        <w:rPr>
          <w:rFonts w:ascii="Times" w:hAnsi="Times" w:cs="Arial"/>
          <w:bCs/>
          <w:color w:val="000000"/>
        </w:rPr>
      </w:pPr>
      <w:r>
        <w:rPr>
          <w:rFonts w:ascii="Times" w:hAnsi="Times" w:cs="Arial"/>
          <w:bCs/>
          <w:color w:val="000000"/>
        </w:rPr>
        <w:t>To further study the behaviour of the Sr within the ceme</w:t>
      </w:r>
      <w:r w:rsidR="00B16FC3">
        <w:rPr>
          <w:rFonts w:ascii="Times" w:hAnsi="Times" w:cs="Arial"/>
          <w:bCs/>
          <w:color w:val="000000"/>
        </w:rPr>
        <w:t>nt matrix, samples loaded with solely</w:t>
      </w:r>
      <w:r>
        <w:rPr>
          <w:rFonts w:ascii="Times" w:hAnsi="Times" w:cs="Arial"/>
          <w:bCs/>
          <w:color w:val="000000"/>
        </w:rPr>
        <w:t xml:space="preserve"> 3wt% strontium in the nitrate form were analysed and compared with the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Arial"/>
          <w:bCs/>
          <w:color w:val="000000"/>
        </w:rPr>
        <w:t xml:space="preserve"> and </w:t>
      </w:r>
      <w:r w:rsidRPr="00DC480E">
        <w:rPr>
          <w:rFonts w:ascii="Times" w:hAnsi="Times" w:cs="Arial"/>
          <w:b/>
          <w:bCs/>
          <w:color w:val="000000"/>
        </w:rPr>
        <w:t>B</w:t>
      </w:r>
      <w:r>
        <w:rPr>
          <w:rFonts w:ascii="Times" w:hAnsi="Times" w:cs="Arial"/>
          <w:bCs/>
          <w:color w:val="000000"/>
        </w:rPr>
        <w:t xml:space="preserve"> samples using MAS-NMR. The samples were analysed after a curing time of </w:t>
      </w:r>
      <w:r w:rsidR="000A47BA">
        <w:rPr>
          <w:rFonts w:ascii="Times" w:hAnsi="Times" w:cs="Arial"/>
          <w:bCs/>
          <w:color w:val="000000"/>
        </w:rPr>
        <w:t>28 days and 90 days. Figure 4.82</w:t>
      </w:r>
      <w:r>
        <w:rPr>
          <w:rFonts w:ascii="Times" w:hAnsi="Times" w:cs="Arial"/>
          <w:bCs/>
          <w:color w:val="000000"/>
        </w:rPr>
        <w:t xml:space="preserve"> shows the </w:t>
      </w:r>
      <w:r w:rsidRPr="00113F0C">
        <w:rPr>
          <w:rFonts w:ascii="Times" w:hAnsi="Times" w:cs="Arial"/>
          <w:bCs/>
          <w:color w:val="000000"/>
          <w:vertAlign w:val="superscript"/>
        </w:rPr>
        <w:t>29</w:t>
      </w:r>
      <w:r>
        <w:rPr>
          <w:rFonts w:ascii="Times" w:hAnsi="Times" w:cs="Arial"/>
          <w:bCs/>
          <w:color w:val="000000"/>
        </w:rPr>
        <w:t xml:space="preserve">Si MAS-NMR spectra for each formulation </w:t>
      </w:r>
      <w:r w:rsidR="007D2ADC">
        <w:rPr>
          <w:rFonts w:ascii="Times" w:hAnsi="Times" w:cs="Arial"/>
          <w:bCs/>
          <w:color w:val="000000"/>
        </w:rPr>
        <w:t>for different</w:t>
      </w:r>
      <w:r>
        <w:rPr>
          <w:rFonts w:ascii="Times" w:hAnsi="Times" w:cs="Arial"/>
          <w:bCs/>
          <w:color w:val="000000"/>
        </w:rPr>
        <w:t xml:space="preserve"> curing periods compared with a 9:1 mixture of unreacted BFS</w:t>
      </w:r>
      <w:proofErr w:type="gramStart"/>
      <w:r>
        <w:rPr>
          <w:rFonts w:ascii="Times" w:hAnsi="Times" w:cs="Arial"/>
          <w:bCs/>
          <w:color w:val="000000"/>
        </w:rPr>
        <w:t>:</w:t>
      </w:r>
      <w:r w:rsidR="00E85025">
        <w:rPr>
          <w:rFonts w:ascii="Times" w:hAnsi="Times" w:cs="Arial"/>
          <w:bCs/>
          <w:color w:val="000000"/>
        </w:rPr>
        <w:t>PC</w:t>
      </w:r>
      <w:proofErr w:type="gramEnd"/>
      <w:r>
        <w:rPr>
          <w:rFonts w:ascii="Times" w:hAnsi="Times" w:cs="Arial"/>
          <w:bCs/>
          <w:color w:val="000000"/>
        </w:rPr>
        <w:t xml:space="preserve">. </w:t>
      </w:r>
    </w:p>
    <w:p w14:paraId="7ABB88C3" w14:textId="1BF7942E" w:rsidR="00ED5819" w:rsidRPr="00AA617B" w:rsidRDefault="00ED5819" w:rsidP="0044704C">
      <w:pPr>
        <w:spacing w:before="240" w:after="120" w:line="360" w:lineRule="auto"/>
        <w:jc w:val="both"/>
        <w:rPr>
          <w:rFonts w:ascii="Times" w:hAnsi="Times" w:cs="Arial"/>
          <w:bCs/>
          <w:color w:val="000000"/>
        </w:rPr>
      </w:pPr>
      <w:r w:rsidRPr="00751C5B">
        <w:rPr>
          <w:rFonts w:ascii="Times" w:hAnsi="Times" w:cs="Arial"/>
          <w:bCs/>
          <w:noProof/>
          <w:color w:val="000000"/>
        </w:rPr>
        <w:drawing>
          <wp:inline distT="0" distB="0" distL="0" distR="0" wp14:anchorId="58F768B7" wp14:editId="02EA8B08">
            <wp:extent cx="5270500" cy="2842033"/>
            <wp:effectExtent l="0" t="0" r="0" b="3175"/>
            <wp:docPr id="2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70500" cy="2842033"/>
                    </a:xfrm>
                    <a:prstGeom prst="rect">
                      <a:avLst/>
                    </a:prstGeom>
                    <a:noFill/>
                    <a:ln>
                      <a:noFill/>
                    </a:ln>
                  </pic:spPr>
                </pic:pic>
              </a:graphicData>
            </a:graphic>
          </wp:inline>
        </w:drawing>
      </w:r>
    </w:p>
    <w:p w14:paraId="4A684E91" w14:textId="70F95AAE" w:rsidR="0044704C" w:rsidRDefault="0044704C" w:rsidP="000A47BA">
      <w:pPr>
        <w:widowControl w:val="0"/>
        <w:autoSpaceDE w:val="0"/>
        <w:autoSpaceDN w:val="0"/>
        <w:adjustRightInd w:val="0"/>
        <w:spacing w:before="240" w:after="120"/>
        <w:ind w:hanging="851"/>
        <w:jc w:val="center"/>
        <w:rPr>
          <w:rFonts w:ascii="Times" w:hAnsi="Times" w:cs="Arial"/>
          <w:bCs/>
          <w:color w:val="000000"/>
        </w:rPr>
      </w:pPr>
      <w:r w:rsidRPr="00A46187">
        <w:rPr>
          <w:rFonts w:ascii="Times New Roman" w:hAnsi="Times New Roman" w:cs="Times New Roman"/>
          <w:b/>
        </w:rPr>
        <w:t xml:space="preserve"> </w:t>
      </w:r>
      <w:r>
        <w:rPr>
          <w:rFonts w:ascii="Times New Roman" w:hAnsi="Times New Roman" w:cs="Times New Roman"/>
          <w:b/>
        </w:rPr>
        <w:t>Figure 4.8</w:t>
      </w:r>
      <w:r w:rsidR="000A47BA">
        <w:rPr>
          <w:rFonts w:ascii="Times New Roman" w:hAnsi="Times New Roman" w:cs="Times New Roman"/>
          <w:b/>
        </w:rPr>
        <w:t>2</w:t>
      </w:r>
      <w:r>
        <w:rPr>
          <w:rFonts w:ascii="Times New Roman" w:hAnsi="Times New Roman" w:cs="Times New Roman"/>
          <w:b/>
        </w:rPr>
        <w:t xml:space="preserve">: </w:t>
      </w:r>
      <w:r>
        <w:rPr>
          <w:rFonts w:ascii="Times" w:hAnsi="Times" w:cs="Arial"/>
          <w:bCs/>
          <w:color w:val="000000"/>
          <w:vertAlign w:val="superscript"/>
        </w:rPr>
        <w:t>29</w:t>
      </w:r>
      <w:r>
        <w:rPr>
          <w:rFonts w:ascii="Times" w:hAnsi="Times" w:cs="Arial"/>
          <w:bCs/>
          <w:color w:val="000000"/>
        </w:rPr>
        <w:t>Si MAS-NMR spectra for BFS</w:t>
      </w:r>
      <w:proofErr w:type="gramStart"/>
      <w:r>
        <w:rPr>
          <w:rFonts w:ascii="Times" w:hAnsi="Times" w:cs="Arial"/>
          <w:bCs/>
          <w:color w:val="000000"/>
        </w:rPr>
        <w:t>:</w:t>
      </w:r>
      <w:r w:rsidR="00E85025">
        <w:rPr>
          <w:rFonts w:ascii="Times" w:hAnsi="Times" w:cs="Arial"/>
          <w:bCs/>
          <w:color w:val="000000"/>
        </w:rPr>
        <w:t>PC</w:t>
      </w:r>
      <w:proofErr w:type="gramEnd"/>
      <w:r>
        <w:rPr>
          <w:rFonts w:ascii="Times" w:hAnsi="Times" w:cs="Arial"/>
          <w:bCs/>
          <w:color w:val="000000"/>
        </w:rPr>
        <w:t xml:space="preserve"> cement samples: blank; 3wt% Sr; 3wt% Sr + 3wt% Cs</w:t>
      </w:r>
    </w:p>
    <w:p w14:paraId="1E9AFFA6" w14:textId="2918BB99" w:rsidR="0044704C" w:rsidRPr="00F24C5A" w:rsidRDefault="0044704C" w:rsidP="005D67E1">
      <w:pPr>
        <w:widowControl w:val="0"/>
        <w:autoSpaceDE w:val="0"/>
        <w:autoSpaceDN w:val="0"/>
        <w:adjustRightInd w:val="0"/>
        <w:spacing w:before="240" w:after="120" w:line="480" w:lineRule="exact"/>
        <w:jc w:val="both"/>
        <w:rPr>
          <w:rFonts w:ascii="Times" w:hAnsi="Times" w:cs="Arial"/>
          <w:bCs/>
          <w:color w:val="000000"/>
        </w:rPr>
      </w:pPr>
      <w:r>
        <w:rPr>
          <w:rFonts w:ascii="Times" w:hAnsi="Times" w:cs="Arial"/>
          <w:bCs/>
          <w:color w:val="000000"/>
        </w:rPr>
        <w:t xml:space="preserve">The spectra produced in the </w:t>
      </w:r>
      <w:r w:rsidR="005D67E1">
        <w:rPr>
          <w:rFonts w:ascii="Times" w:hAnsi="Times" w:cs="Times New Roman"/>
          <w:b/>
        </w:rPr>
        <w:t>0</w:t>
      </w:r>
      <w:r w:rsidR="005D67E1" w:rsidRPr="00CE1CA5">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s</m:t>
            </m:r>
          </m:e>
        </m:acc>
      </m:oMath>
      <w:r>
        <w:rPr>
          <w:rFonts w:ascii="Times" w:hAnsi="Times" w:cs="Arial"/>
          <w:bCs/>
          <w:color w:val="000000"/>
        </w:rPr>
        <w:t xml:space="preserve"> sample are very similar to that of the </w:t>
      </w:r>
      <w:r w:rsidR="005D67E1">
        <w:rPr>
          <w:rFonts w:ascii="Times" w:hAnsi="Times" w:cs="Times New Roman"/>
          <w:b/>
        </w:rPr>
        <w:t>0</w:t>
      </w:r>
      <w:r w:rsidR="005D67E1" w:rsidRPr="00CE1CA5">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Arial"/>
          <w:bCs/>
          <w:color w:val="000000"/>
        </w:rPr>
        <w:t xml:space="preserve"> </w:t>
      </w:r>
      <w:r w:rsidR="003C1803">
        <w:rPr>
          <w:rFonts w:ascii="Times" w:hAnsi="Times" w:cs="Arial"/>
          <w:bCs/>
          <w:color w:val="000000"/>
        </w:rPr>
        <w:t>sample, once again producing a more intense</w:t>
      </w:r>
      <w:r>
        <w:rPr>
          <w:rFonts w:ascii="Times" w:hAnsi="Times" w:cs="Arial"/>
          <w:bCs/>
          <w:color w:val="000000"/>
        </w:rPr>
        <w:t xml:space="preserve"> Q</w:t>
      </w:r>
      <w:r>
        <w:rPr>
          <w:rFonts w:ascii="Times" w:hAnsi="Times" w:cs="Arial"/>
          <w:bCs/>
          <w:color w:val="000000"/>
          <w:vertAlign w:val="superscript"/>
        </w:rPr>
        <w:t>2</w:t>
      </w:r>
      <w:r w:rsidR="00E63B6A">
        <w:rPr>
          <w:rFonts w:ascii="Times" w:hAnsi="Times" w:cs="Arial"/>
          <w:bCs/>
          <w:color w:val="000000"/>
          <w:vertAlign w:val="superscript"/>
        </w:rPr>
        <w:t xml:space="preserve"> </w:t>
      </w:r>
      <w:r>
        <w:rPr>
          <w:rFonts w:ascii="Times" w:hAnsi="Times" w:cs="Arial"/>
          <w:bCs/>
          <w:color w:val="000000"/>
        </w:rPr>
        <w:t>peak at -8</w:t>
      </w:r>
      <w:r w:rsidR="00E63B6A">
        <w:rPr>
          <w:rFonts w:ascii="Times" w:hAnsi="Times" w:cs="Arial"/>
          <w:bCs/>
          <w:color w:val="000000"/>
        </w:rPr>
        <w:t>4</w:t>
      </w:r>
      <w:r>
        <w:rPr>
          <w:rFonts w:ascii="Times" w:hAnsi="Times" w:cs="Arial"/>
          <w:bCs/>
          <w:color w:val="000000"/>
        </w:rPr>
        <w:t>ppm</w:t>
      </w:r>
      <w:r w:rsidR="002A533E">
        <w:rPr>
          <w:rFonts w:ascii="Times" w:hAnsi="Times" w:cs="Arial"/>
          <w:bCs/>
          <w:color w:val="000000"/>
        </w:rPr>
        <w:t xml:space="preserve"> than that in the 0DB</w:t>
      </w:r>
      <w:r>
        <w:rPr>
          <w:rFonts w:ascii="Times" w:hAnsi="Times" w:cs="Arial"/>
          <w:bCs/>
          <w:color w:val="000000"/>
        </w:rPr>
        <w:t>, which suggests it is the introduction of the strontium</w:t>
      </w:r>
      <w:r w:rsidR="00E63B6A">
        <w:rPr>
          <w:rFonts w:ascii="Times" w:hAnsi="Times" w:cs="Arial"/>
          <w:bCs/>
          <w:color w:val="000000"/>
        </w:rPr>
        <w:t xml:space="preserve"> nitrate</w:t>
      </w:r>
      <w:r>
        <w:rPr>
          <w:rFonts w:ascii="Times" w:hAnsi="Times" w:cs="Arial"/>
          <w:bCs/>
          <w:color w:val="000000"/>
        </w:rPr>
        <w:t xml:space="preserve"> that causes this behaviour. Similar spectra between the </w:t>
      </w:r>
      <w:r w:rsidR="000A47BA">
        <w:rPr>
          <w:rFonts w:ascii="Times" w:hAnsi="Times" w:cs="Times New Roman"/>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s</m:t>
            </m:r>
          </m:e>
        </m:acc>
      </m:oMath>
      <w:r w:rsidR="000A47BA">
        <w:rPr>
          <w:rFonts w:ascii="Times" w:hAnsi="Times" w:cs="Arial"/>
          <w:bCs/>
          <w:color w:val="000000"/>
        </w:rPr>
        <w:t xml:space="preserve"> and</w:t>
      </w:r>
      <w:r>
        <w:rPr>
          <w:rFonts w:ascii="Times" w:hAnsi="Times" w:cs="Arial"/>
          <w:bCs/>
          <w:color w:val="000000"/>
        </w:rPr>
        <w:t xml:space="preserve"> </w:t>
      </w:r>
      <w:r w:rsidR="000F6BBD">
        <w:rPr>
          <w:rFonts w:ascii="Times" w:hAnsi="Times" w:cs="Times New Roman"/>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Arial"/>
          <w:bCs/>
          <w:color w:val="000000"/>
        </w:rPr>
        <w:t xml:space="preserve"> sample are also produced when comparing the </w:t>
      </w:r>
      <w:r>
        <w:rPr>
          <w:rFonts w:ascii="Times" w:hAnsi="Times" w:cs="Times"/>
          <w:position w:val="5"/>
          <w:sz w:val="20"/>
        </w:rPr>
        <w:t>27</w:t>
      </w:r>
      <w:r w:rsidRPr="00182283">
        <w:rPr>
          <w:rFonts w:ascii="Times" w:hAnsi="Times" w:cs="Times"/>
        </w:rPr>
        <w:t>Al MAS</w:t>
      </w:r>
      <w:r>
        <w:rPr>
          <w:rFonts w:ascii="Times" w:hAnsi="Times" w:cs="Times"/>
        </w:rPr>
        <w:t>-NMR spectra</w:t>
      </w:r>
      <w:r w:rsidR="000A47BA">
        <w:rPr>
          <w:rFonts w:ascii="Times" w:hAnsi="Times" w:cs="Times"/>
        </w:rPr>
        <w:t xml:space="preserve"> of these samples in figure 4.83</w:t>
      </w:r>
      <w:r>
        <w:rPr>
          <w:rFonts w:ascii="Times" w:hAnsi="Times" w:cs="Times"/>
        </w:rPr>
        <w:t xml:space="preserve">. The sharper peaks attributed for the AFm phase are </w:t>
      </w:r>
      <w:r w:rsidR="00E63B6A" w:rsidRPr="00E63B6A">
        <w:rPr>
          <w:rFonts w:ascii="Times" w:hAnsi="Times" w:cs="Times"/>
        </w:rPr>
        <w:t xml:space="preserve">more intense in both </w:t>
      </w:r>
      <w:r w:rsidR="005D67E1">
        <w:rPr>
          <w:rFonts w:ascii="Times" w:hAnsi="Times" w:cs="Times New Roman"/>
          <w:b/>
        </w:rPr>
        <w:t>0</w:t>
      </w:r>
      <w:r w:rsidR="005D67E1" w:rsidRPr="00CE1CA5">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s</m:t>
            </m:r>
          </m:e>
        </m:acc>
      </m:oMath>
      <w:r w:rsidR="00E63B6A" w:rsidRPr="00E63B6A">
        <w:rPr>
          <w:rFonts w:ascii="Times" w:hAnsi="Times" w:cs="Times"/>
        </w:rPr>
        <w:t xml:space="preserve"> and </w:t>
      </w:r>
      <w:r w:rsidR="005D67E1">
        <w:rPr>
          <w:rFonts w:ascii="Times" w:hAnsi="Times" w:cs="Times New Roman"/>
          <w:b/>
        </w:rPr>
        <w:t>0</w:t>
      </w:r>
      <w:r w:rsidR="005D67E1" w:rsidRPr="00CE1CA5">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63B6A">
        <w:rPr>
          <w:rFonts w:ascii="Times" w:hAnsi="Times" w:cs="Times"/>
        </w:rPr>
        <w:t xml:space="preserve"> compared with the </w:t>
      </w:r>
      <w:r w:rsidR="00E63B6A" w:rsidRPr="000F6BBD">
        <w:rPr>
          <w:rFonts w:ascii="Times" w:hAnsi="Times" w:cs="Times"/>
          <w:b/>
        </w:rPr>
        <w:t>0DB</w:t>
      </w:r>
      <w:r w:rsidR="00E63B6A">
        <w:rPr>
          <w:rFonts w:ascii="Times" w:hAnsi="Times" w:cs="Times"/>
        </w:rPr>
        <w:t xml:space="preserve"> sample</w:t>
      </w:r>
      <w:r>
        <w:rPr>
          <w:rFonts w:ascii="Times" w:hAnsi="Times" w:cs="Times"/>
        </w:rPr>
        <w:t xml:space="preserve">, suggesting higher Al absorption in the AFm phase, whilst giving weaker </w:t>
      </w:r>
      <w:r w:rsidR="000A47BA">
        <w:rPr>
          <w:rFonts w:ascii="Times" w:hAnsi="Times" w:cs="Times"/>
        </w:rPr>
        <w:t xml:space="preserve">     </w:t>
      </w:r>
      <w:r>
        <w:rPr>
          <w:rFonts w:ascii="Times" w:hAnsi="Times" w:cs="Times"/>
        </w:rPr>
        <w:t xml:space="preserve">C-S-H humps. </w:t>
      </w:r>
    </w:p>
    <w:p w14:paraId="3B4E3728" w14:textId="68C134B9" w:rsidR="0044704C" w:rsidRDefault="0044704C" w:rsidP="0044704C">
      <w:pPr>
        <w:widowControl w:val="0"/>
        <w:autoSpaceDE w:val="0"/>
        <w:autoSpaceDN w:val="0"/>
        <w:adjustRightInd w:val="0"/>
        <w:spacing w:before="240" w:after="120"/>
        <w:jc w:val="center"/>
        <w:rPr>
          <w:rFonts w:ascii="Times" w:hAnsi="Times" w:cs="Arial"/>
          <w:bCs/>
          <w:color w:val="000000"/>
        </w:rPr>
      </w:pPr>
      <w:r>
        <w:rPr>
          <w:rFonts w:ascii="Times" w:hAnsi="Times" w:cs="Times New Roman"/>
          <w:b/>
          <w:noProof/>
          <w:sz w:val="32"/>
          <w:szCs w:val="32"/>
        </w:rPr>
        <w:lastRenderedPageBreak/>
        <w:drawing>
          <wp:inline distT="0" distB="0" distL="0" distR="0" wp14:anchorId="5F2D6942" wp14:editId="6C2BE343">
            <wp:extent cx="5181600" cy="3630105"/>
            <wp:effectExtent l="0" t="0" r="0" b="889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81255" cy="3629864"/>
                    </a:xfrm>
                    <a:prstGeom prst="rect">
                      <a:avLst/>
                    </a:prstGeom>
                    <a:noFill/>
                    <a:ln>
                      <a:noFill/>
                    </a:ln>
                  </pic:spPr>
                </pic:pic>
              </a:graphicData>
            </a:graphic>
          </wp:inline>
        </w:drawing>
      </w:r>
      <w:r>
        <w:rPr>
          <w:rFonts w:ascii="Times" w:hAnsi="Times" w:cs="Arial"/>
          <w:b/>
          <w:bCs/>
          <w:color w:val="000000"/>
        </w:rPr>
        <w:t>Figure 4.8</w:t>
      </w:r>
      <w:r w:rsidR="000A47BA">
        <w:rPr>
          <w:rFonts w:ascii="Times" w:hAnsi="Times" w:cs="Arial"/>
          <w:b/>
          <w:bCs/>
          <w:color w:val="000000"/>
        </w:rPr>
        <w:t>3</w:t>
      </w:r>
      <w:r>
        <w:rPr>
          <w:rFonts w:ascii="Times" w:hAnsi="Times" w:cs="Arial"/>
          <w:b/>
          <w:bCs/>
          <w:color w:val="000000"/>
        </w:rPr>
        <w:t xml:space="preserve">: </w:t>
      </w:r>
      <w:r>
        <w:rPr>
          <w:rFonts w:ascii="Times" w:hAnsi="Times" w:cs="Arial"/>
          <w:bCs/>
          <w:color w:val="000000"/>
          <w:vertAlign w:val="superscript"/>
        </w:rPr>
        <w:t>27</w:t>
      </w:r>
      <w:r>
        <w:rPr>
          <w:rFonts w:ascii="Times" w:hAnsi="Times" w:cs="Arial"/>
          <w:bCs/>
          <w:color w:val="000000"/>
        </w:rPr>
        <w:t>Al MAS-NMR spectra for BFS</w:t>
      </w:r>
      <w:proofErr w:type="gramStart"/>
      <w:r>
        <w:rPr>
          <w:rFonts w:ascii="Times" w:hAnsi="Times" w:cs="Arial"/>
          <w:bCs/>
          <w:color w:val="000000"/>
        </w:rPr>
        <w:t>:</w:t>
      </w:r>
      <w:r w:rsidR="00E85025">
        <w:rPr>
          <w:rFonts w:ascii="Times" w:hAnsi="Times" w:cs="Arial"/>
          <w:bCs/>
          <w:color w:val="000000"/>
        </w:rPr>
        <w:t>PC</w:t>
      </w:r>
      <w:proofErr w:type="gramEnd"/>
      <w:r>
        <w:rPr>
          <w:rFonts w:ascii="Times" w:hAnsi="Times" w:cs="Arial"/>
          <w:bCs/>
          <w:color w:val="000000"/>
        </w:rPr>
        <w:t xml:space="preserve"> cement samples blank, containing 3wt% Sr and 3wt% Sr + 3wt% Cs</w:t>
      </w:r>
    </w:p>
    <w:p w14:paraId="42A6C7AE" w14:textId="34E1B61F" w:rsidR="0044704C" w:rsidRPr="00E72BCE" w:rsidRDefault="00DE6B2F" w:rsidP="0044704C">
      <w:pPr>
        <w:spacing w:before="240" w:after="120" w:line="360" w:lineRule="auto"/>
        <w:jc w:val="both"/>
        <w:rPr>
          <w:rFonts w:ascii="Times" w:hAnsi="Times" w:cs="Times New Roman"/>
        </w:rPr>
      </w:pPr>
      <w:r>
        <w:rPr>
          <w:rFonts w:ascii="Times" w:hAnsi="Times" w:cs="Times New Roman"/>
        </w:rPr>
        <w:t xml:space="preserve">Both </w:t>
      </w:r>
      <w:r w:rsidR="00971672">
        <w:rPr>
          <w:rFonts w:ascii="Times" w:hAnsi="Times" w:cs="Times New Roman"/>
        </w:rPr>
        <w:t>figure</w:t>
      </w:r>
      <w:r>
        <w:rPr>
          <w:rFonts w:ascii="Times" w:hAnsi="Times" w:cs="Times New Roman"/>
        </w:rPr>
        <w:t xml:space="preserve"> 4.82 and 4.83 show that there is no difference between the spectra of Sr samples with and without CsNO</w:t>
      </w:r>
      <w:r>
        <w:rPr>
          <w:rFonts w:ascii="Times" w:hAnsi="Times" w:cs="Times New Roman"/>
          <w:vertAlign w:val="subscript"/>
        </w:rPr>
        <w:t>3</w:t>
      </w:r>
      <w:r>
        <w:rPr>
          <w:rFonts w:ascii="Times" w:hAnsi="Times" w:cs="Times New Roman"/>
        </w:rPr>
        <w:t>. Suggesting that the CsNO</w:t>
      </w:r>
      <w:r>
        <w:rPr>
          <w:rFonts w:ascii="Times" w:hAnsi="Times" w:cs="Times New Roman"/>
          <w:vertAlign w:val="subscript"/>
        </w:rPr>
        <w:t xml:space="preserve">3 </w:t>
      </w:r>
      <w:r>
        <w:rPr>
          <w:rFonts w:ascii="Times" w:hAnsi="Times" w:cs="Times New Roman"/>
        </w:rPr>
        <w:t xml:space="preserve">has no impact on any Al or C-S-H </w:t>
      </w:r>
      <w:r w:rsidR="00DC12BA">
        <w:rPr>
          <w:rFonts w:ascii="Times" w:hAnsi="Times" w:cs="Times New Roman"/>
        </w:rPr>
        <w:t>containing</w:t>
      </w:r>
      <w:r>
        <w:rPr>
          <w:rFonts w:ascii="Times" w:hAnsi="Times" w:cs="Times New Roman"/>
        </w:rPr>
        <w:t xml:space="preserve"> phases</w:t>
      </w:r>
      <w:r w:rsidR="00DC12BA">
        <w:rPr>
          <w:rFonts w:ascii="Times" w:hAnsi="Times" w:cs="Times New Roman"/>
        </w:rPr>
        <w:t>. However the introduction of Sr seems to increase the intensity of the</w:t>
      </w:r>
      <w:r w:rsidR="00DC12BA" w:rsidRPr="00DC12BA">
        <w:rPr>
          <w:rFonts w:ascii="Times" w:hAnsi="Times" w:cs="Arial"/>
          <w:bCs/>
          <w:color w:val="000000"/>
        </w:rPr>
        <w:t xml:space="preserve"> </w:t>
      </w:r>
      <w:r w:rsidR="00DC12BA">
        <w:rPr>
          <w:rFonts w:ascii="Times" w:hAnsi="Times" w:cs="Arial"/>
          <w:bCs/>
          <w:color w:val="000000"/>
        </w:rPr>
        <w:t>Q</w:t>
      </w:r>
      <w:r w:rsidR="00DC12BA">
        <w:rPr>
          <w:rFonts w:ascii="Times" w:hAnsi="Times" w:cs="Arial"/>
          <w:bCs/>
          <w:color w:val="000000"/>
          <w:vertAlign w:val="superscript"/>
        </w:rPr>
        <w:t xml:space="preserve">2 </w:t>
      </w:r>
      <w:r w:rsidR="00DC12BA">
        <w:rPr>
          <w:rFonts w:ascii="Times" w:hAnsi="Times" w:cs="Arial"/>
          <w:bCs/>
          <w:color w:val="000000"/>
        </w:rPr>
        <w:t>peak</w:t>
      </w:r>
      <w:r w:rsidR="00DC12BA">
        <w:rPr>
          <w:rFonts w:ascii="Times" w:hAnsi="Times" w:cs="Times New Roman"/>
        </w:rPr>
        <w:t>, suggesting that Sr promotes an increase in the formation of AFm type phases.</w:t>
      </w:r>
      <w:r>
        <w:rPr>
          <w:rFonts w:ascii="Times" w:hAnsi="Times" w:cs="Times New Roman"/>
        </w:rPr>
        <w:t xml:space="preserve"> </w:t>
      </w:r>
      <w:r w:rsidR="0044704C">
        <w:rPr>
          <w:rFonts w:ascii="Times" w:hAnsi="Times" w:cs="Times New Roman"/>
        </w:rPr>
        <w:t>The elemental map in chapter 4 section 1 showed that the Cs was concentrated in a small area whereas the Sr is slightly more dispersed, which suggested a better incorporation of the Sr within the cement</w:t>
      </w:r>
      <w:r w:rsidR="00752D8B">
        <w:rPr>
          <w:rFonts w:ascii="Times" w:hAnsi="Times" w:cs="Times New Roman"/>
        </w:rPr>
        <w:t xml:space="preserve"> phases</w:t>
      </w:r>
      <w:r w:rsidR="0044704C">
        <w:rPr>
          <w:rFonts w:ascii="Times" w:hAnsi="Times" w:cs="Times New Roman"/>
        </w:rPr>
        <w:t>. The edge of the bright Sr region was magnified furthe</w:t>
      </w:r>
      <w:r w:rsidR="000A47BA">
        <w:rPr>
          <w:rFonts w:ascii="Times" w:hAnsi="Times" w:cs="Times New Roman"/>
        </w:rPr>
        <w:t>r by 10x as shown in figure 4.84</w:t>
      </w:r>
      <w:r w:rsidR="0044704C">
        <w:rPr>
          <w:rFonts w:ascii="Times" w:hAnsi="Times" w:cs="Times New Roman"/>
        </w:rPr>
        <w:t>. Upon closer inspection this brighter region where the strontium resides, shows the needle like structure attributable to the ettringite phase, as opposed to the hexagonal plate stru</w:t>
      </w:r>
      <w:r w:rsidR="00752D8B">
        <w:rPr>
          <w:rFonts w:ascii="Times" w:hAnsi="Times" w:cs="Times New Roman"/>
        </w:rPr>
        <w:t>cture expected from the monosulph</w:t>
      </w:r>
      <w:r w:rsidR="0044704C">
        <w:rPr>
          <w:rFonts w:ascii="Times" w:hAnsi="Times" w:cs="Times New Roman"/>
        </w:rPr>
        <w:t>ate phase [</w:t>
      </w:r>
      <w:r w:rsidR="00AA163F">
        <w:rPr>
          <w:rFonts w:ascii="Times" w:hAnsi="Times" w:cs="Times New Roman"/>
        </w:rPr>
        <w:t>73</w:t>
      </w:r>
      <w:r w:rsidR="0044704C">
        <w:rPr>
          <w:rFonts w:ascii="Times" w:hAnsi="Times" w:cs="Times New Roman"/>
        </w:rPr>
        <w:t xml:space="preserve">].  </w:t>
      </w:r>
    </w:p>
    <w:p w14:paraId="1347495D" w14:textId="77777777" w:rsidR="0044704C" w:rsidRPr="00E908AE" w:rsidRDefault="0044704C" w:rsidP="0044704C">
      <w:pPr>
        <w:spacing w:before="240" w:after="120" w:line="360" w:lineRule="auto"/>
        <w:jc w:val="both"/>
        <w:rPr>
          <w:rFonts w:ascii="Times" w:hAnsi="Times" w:cs="Times New Roman"/>
          <w:b/>
        </w:rPr>
      </w:pPr>
    </w:p>
    <w:p w14:paraId="215DB4D4" w14:textId="7C34DC1B" w:rsidR="0044704C" w:rsidRDefault="00D67EA2" w:rsidP="00D67EA2">
      <w:pPr>
        <w:spacing w:before="240" w:after="120"/>
        <w:jc w:val="center"/>
        <w:outlineLvl w:val="0"/>
        <w:rPr>
          <w:rFonts w:ascii="Times" w:hAnsi="Times" w:cs="Arial"/>
          <w:bCs/>
          <w:color w:val="000000"/>
        </w:rPr>
      </w:pPr>
      <w:r w:rsidRPr="00751C5B">
        <w:rPr>
          <w:rFonts w:ascii="Times New Roman" w:hAnsi="Times New Roman" w:cs="Times New Roman"/>
          <w:b/>
          <w:bCs/>
          <w:smallCaps/>
          <w:noProof/>
          <w:sz w:val="32"/>
          <w:szCs w:val="32"/>
        </w:rPr>
        <w:lastRenderedPageBreak/>
        <w:drawing>
          <wp:inline distT="0" distB="0" distL="0" distR="0" wp14:anchorId="6147B41D" wp14:editId="3F6A8ED4">
            <wp:extent cx="5270500" cy="3062362"/>
            <wp:effectExtent l="0" t="0" r="0" b="1143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0500" cy="3062362"/>
                    </a:xfrm>
                    <a:prstGeom prst="rect">
                      <a:avLst/>
                    </a:prstGeom>
                    <a:noFill/>
                    <a:ln>
                      <a:noFill/>
                    </a:ln>
                  </pic:spPr>
                </pic:pic>
              </a:graphicData>
            </a:graphic>
          </wp:inline>
        </w:drawing>
      </w:r>
      <w:r w:rsidR="000A47BA">
        <w:rPr>
          <w:rFonts w:ascii="Times" w:hAnsi="Times" w:cs="Arial"/>
          <w:b/>
          <w:bCs/>
          <w:color w:val="000000"/>
        </w:rPr>
        <w:t>Figure 4.84</w:t>
      </w:r>
      <w:r w:rsidR="0044704C">
        <w:rPr>
          <w:rFonts w:ascii="Times" w:hAnsi="Times" w:cs="Arial"/>
          <w:b/>
          <w:bCs/>
          <w:color w:val="000000"/>
        </w:rPr>
        <w:t xml:space="preserve">: </w:t>
      </w:r>
      <w:r w:rsidR="0044704C">
        <w:rPr>
          <w:rFonts w:ascii="Times" w:hAnsi="Times" w:cs="Arial"/>
          <w:bCs/>
          <w:color w:val="000000"/>
        </w:rPr>
        <w:t xml:space="preserve">Backscattered electron image of </w:t>
      </w:r>
      <w:r w:rsidR="005D67E1">
        <w:rPr>
          <w:rFonts w:ascii="Times" w:hAnsi="Times" w:cs="Times New Roman"/>
          <w:b/>
        </w:rPr>
        <w:t>0</w:t>
      </w:r>
      <w:r w:rsidR="005D67E1" w:rsidRPr="00CE1CA5">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44704C">
        <w:rPr>
          <w:rFonts w:ascii="Times" w:hAnsi="Times" w:cs="Arial"/>
          <w:bCs/>
          <w:color w:val="000000"/>
        </w:rPr>
        <w:t xml:space="preserve"> </w:t>
      </w:r>
      <w:r w:rsidR="000211CE">
        <w:rPr>
          <w:rFonts w:ascii="Times" w:hAnsi="Times" w:cs="Arial"/>
          <w:bCs/>
          <w:color w:val="000000"/>
        </w:rPr>
        <w:t xml:space="preserve"> </w:t>
      </w:r>
    </w:p>
    <w:p w14:paraId="22EEDAB2" w14:textId="12ECEAE7" w:rsidR="0044704C" w:rsidRDefault="0044704C" w:rsidP="000A47BA">
      <w:pPr>
        <w:spacing w:before="240" w:after="120" w:line="360" w:lineRule="auto"/>
        <w:jc w:val="both"/>
        <w:outlineLvl w:val="0"/>
        <w:rPr>
          <w:rFonts w:ascii="Times New Roman" w:hAnsi="Times New Roman" w:cs="Times New Roman"/>
        </w:rPr>
      </w:pPr>
      <w:r>
        <w:rPr>
          <w:rFonts w:ascii="Times New Roman" w:hAnsi="Times New Roman" w:cs="Times New Roman"/>
        </w:rPr>
        <w:t xml:space="preserve">According to the backscattered electron image and the accompanied elemental traces, the caesium, however, </w:t>
      </w:r>
      <w:r w:rsidR="000211CE">
        <w:rPr>
          <w:rFonts w:ascii="Times New Roman" w:hAnsi="Times New Roman" w:cs="Times New Roman"/>
        </w:rPr>
        <w:t>does not</w:t>
      </w:r>
      <w:r>
        <w:rPr>
          <w:rFonts w:ascii="Times New Roman" w:hAnsi="Times New Roman" w:cs="Times New Roman"/>
        </w:rPr>
        <w:t xml:space="preserve"> seem to be associated to any phase and as can</w:t>
      </w:r>
      <w:r w:rsidR="000A47BA">
        <w:rPr>
          <w:rFonts w:ascii="Times New Roman" w:hAnsi="Times New Roman" w:cs="Times New Roman"/>
        </w:rPr>
        <w:t xml:space="preserve"> be seen in figure 4.85</w:t>
      </w:r>
      <w:r>
        <w:rPr>
          <w:rFonts w:ascii="Times New Roman" w:hAnsi="Times New Roman" w:cs="Times New Roman"/>
        </w:rPr>
        <w:t xml:space="preserve">, is encapsulated in the voids within the cement. The elemental graph </w:t>
      </w:r>
      <w:r w:rsidR="00BD0E33">
        <w:rPr>
          <w:rFonts w:ascii="Times New Roman" w:hAnsi="Times New Roman" w:cs="Times New Roman"/>
        </w:rPr>
        <w:t xml:space="preserve">shows strong peaks for Cs, but no peaks for Ca, strongly suggesting the Cs is not </w:t>
      </w:r>
      <w:r w:rsidR="000A47BA">
        <w:rPr>
          <w:rFonts w:ascii="Times New Roman" w:hAnsi="Times New Roman" w:cs="Times New Roman"/>
        </w:rPr>
        <w:t>chemically bound</w:t>
      </w:r>
      <w:r w:rsidR="00BD0E33">
        <w:rPr>
          <w:rFonts w:ascii="Times New Roman" w:hAnsi="Times New Roman" w:cs="Times New Roman"/>
        </w:rPr>
        <w:t xml:space="preserve"> with </w:t>
      </w:r>
      <w:proofErr w:type="gramStart"/>
      <w:r w:rsidR="00BD0E33">
        <w:rPr>
          <w:rFonts w:ascii="Times New Roman" w:hAnsi="Times New Roman" w:cs="Times New Roman"/>
        </w:rPr>
        <w:t>a cement</w:t>
      </w:r>
      <w:proofErr w:type="gramEnd"/>
      <w:r w:rsidR="00BD0E33">
        <w:rPr>
          <w:rFonts w:ascii="Times New Roman" w:hAnsi="Times New Roman" w:cs="Times New Roman"/>
        </w:rPr>
        <w:t xml:space="preserve"> </w:t>
      </w:r>
      <w:r w:rsidR="00971672">
        <w:rPr>
          <w:rFonts w:ascii="Times New Roman" w:hAnsi="Times New Roman" w:cs="Times New Roman"/>
        </w:rPr>
        <w:t>hydrate</w:t>
      </w:r>
      <w:r w:rsidR="00BD0E33">
        <w:rPr>
          <w:rFonts w:ascii="Times New Roman" w:hAnsi="Times New Roman" w:cs="Times New Roman"/>
        </w:rPr>
        <w:t xml:space="preserve"> </w:t>
      </w:r>
      <w:r w:rsidR="000A47BA">
        <w:rPr>
          <w:rFonts w:ascii="Times New Roman" w:hAnsi="Times New Roman" w:cs="Times New Roman"/>
        </w:rPr>
        <w:t>phase.</w:t>
      </w:r>
    </w:p>
    <w:p w14:paraId="4048A28D" w14:textId="77777777" w:rsidR="0044704C" w:rsidRPr="005C7B96" w:rsidRDefault="0044704C" w:rsidP="0044704C">
      <w:pPr>
        <w:spacing w:before="240" w:after="120" w:line="360" w:lineRule="auto"/>
        <w:outlineLvl w:val="0"/>
        <w:rPr>
          <w:rFonts w:ascii="Times New Roman" w:hAnsi="Times New Roman" w:cs="Times New Roman"/>
        </w:rPr>
      </w:pPr>
    </w:p>
    <w:p w14:paraId="3D90C46E" w14:textId="5C181B5D" w:rsidR="0044704C" w:rsidRPr="00CA4CE3" w:rsidRDefault="002A55CE" w:rsidP="00752D8B">
      <w:pPr>
        <w:spacing w:before="240" w:after="120"/>
        <w:ind w:left="142"/>
        <w:jc w:val="center"/>
        <w:outlineLvl w:val="0"/>
        <w:rPr>
          <w:rFonts w:ascii="Times New Roman" w:hAnsi="Times New Roman" w:cs="Times New Roman"/>
          <w:b/>
          <w:bCs/>
          <w:smallCaps/>
          <w:sz w:val="32"/>
          <w:szCs w:val="32"/>
        </w:rPr>
      </w:pPr>
      <w:r w:rsidRPr="00751C5B">
        <w:rPr>
          <w:rFonts w:ascii="Times New Roman" w:hAnsi="Times New Roman" w:cs="Times New Roman"/>
          <w:b/>
          <w:noProof/>
        </w:rPr>
        <w:drawing>
          <wp:inline distT="0" distB="0" distL="0" distR="0" wp14:anchorId="1DE8ED95" wp14:editId="7D579C2F">
            <wp:extent cx="5270500" cy="2067460"/>
            <wp:effectExtent l="0" t="0" r="0" b="0"/>
            <wp:docPr id="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70500" cy="2067460"/>
                    </a:xfrm>
                    <a:prstGeom prst="rect">
                      <a:avLst/>
                    </a:prstGeom>
                    <a:noFill/>
                    <a:ln>
                      <a:noFill/>
                    </a:ln>
                  </pic:spPr>
                </pic:pic>
              </a:graphicData>
            </a:graphic>
          </wp:inline>
        </w:drawing>
      </w:r>
      <w:r w:rsidR="0044704C" w:rsidRPr="005C7B96">
        <w:rPr>
          <w:rFonts w:ascii="Times New Roman" w:hAnsi="Times New Roman" w:cs="Times New Roman"/>
          <w:b/>
        </w:rPr>
        <w:t>Figure 4.8</w:t>
      </w:r>
      <w:r w:rsidR="000A47BA">
        <w:rPr>
          <w:rFonts w:ascii="Times New Roman" w:hAnsi="Times New Roman" w:cs="Times New Roman"/>
          <w:b/>
        </w:rPr>
        <w:t>5</w:t>
      </w:r>
      <w:r w:rsidR="0044704C" w:rsidRPr="005C7B96">
        <w:rPr>
          <w:rFonts w:ascii="Times New Roman" w:hAnsi="Times New Roman" w:cs="Times New Roman"/>
          <w:b/>
        </w:rPr>
        <w:t>:</w:t>
      </w:r>
      <w:r w:rsidR="0044704C">
        <w:rPr>
          <w:rFonts w:ascii="Times New Roman" w:hAnsi="Times New Roman" w:cs="Times New Roman"/>
        </w:rPr>
        <w:t xml:space="preserve"> Backscattered electron image of </w:t>
      </w:r>
      <w:r w:rsidR="005D67E1">
        <w:rPr>
          <w:rFonts w:ascii="Times" w:hAnsi="Times" w:cs="Times New Roman"/>
          <w:b/>
        </w:rPr>
        <w:t>0</w:t>
      </w:r>
      <w:r w:rsidR="005D67E1" w:rsidRPr="00CE1CA5">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44704C" w:rsidRPr="005C7B96">
        <w:rPr>
          <w:rFonts w:ascii="Times New Roman" w:hAnsi="Times New Roman" w:cs="Times New Roman"/>
        </w:rPr>
        <w:t xml:space="preserve"> </w:t>
      </w:r>
      <w:r w:rsidR="0044704C">
        <w:rPr>
          <w:rFonts w:ascii="Times New Roman" w:hAnsi="Times New Roman" w:cs="Times New Roman"/>
        </w:rPr>
        <w:t xml:space="preserve">alongside </w:t>
      </w:r>
      <w:r w:rsidR="00BD0E33">
        <w:rPr>
          <w:rFonts w:ascii="Times New Roman" w:hAnsi="Times New Roman" w:cs="Times New Roman"/>
        </w:rPr>
        <w:t xml:space="preserve">an </w:t>
      </w:r>
      <w:r w:rsidR="0044704C">
        <w:rPr>
          <w:rFonts w:ascii="Times New Roman" w:hAnsi="Times New Roman" w:cs="Times New Roman"/>
        </w:rPr>
        <w:t xml:space="preserve">EDS trace </w:t>
      </w:r>
      <w:r w:rsidR="00BD0E33">
        <w:rPr>
          <w:rFonts w:ascii="Times New Roman" w:hAnsi="Times New Roman" w:cs="Times New Roman"/>
        </w:rPr>
        <w:t xml:space="preserve">of the </w:t>
      </w:r>
      <w:r w:rsidR="00A1736D">
        <w:rPr>
          <w:rFonts w:ascii="Times New Roman" w:hAnsi="Times New Roman" w:cs="Times New Roman"/>
        </w:rPr>
        <w:t>highlighted</w:t>
      </w:r>
      <w:r w:rsidR="00BD0E33">
        <w:rPr>
          <w:rFonts w:ascii="Times New Roman" w:hAnsi="Times New Roman" w:cs="Times New Roman"/>
        </w:rPr>
        <w:t xml:space="preserve"> region</w:t>
      </w:r>
    </w:p>
    <w:p w14:paraId="75CC7531" w14:textId="77777777" w:rsidR="0044704C" w:rsidRDefault="0044704C" w:rsidP="0044704C">
      <w:pPr>
        <w:spacing w:before="240" w:after="120" w:line="360" w:lineRule="auto"/>
        <w:jc w:val="center"/>
        <w:rPr>
          <w:rFonts w:ascii="Times New Roman" w:hAnsi="Times New Roman" w:cs="Times New Roman"/>
        </w:rPr>
      </w:pPr>
    </w:p>
    <w:p w14:paraId="307857FA" w14:textId="23DE982D" w:rsidR="0044704C" w:rsidRPr="00BD0E33" w:rsidRDefault="00BD0E33" w:rsidP="00BD0E33">
      <w:pPr>
        <w:spacing w:before="240" w:after="120" w:line="360" w:lineRule="auto"/>
        <w:jc w:val="both"/>
        <w:rPr>
          <w:rFonts w:ascii="Times New Roman" w:hAnsi="Times New Roman" w:cs="Times New Roman"/>
        </w:rPr>
      </w:pPr>
      <w:r>
        <w:rPr>
          <w:rFonts w:ascii="Times New Roman" w:hAnsi="Times New Roman" w:cs="Times New Roman"/>
        </w:rPr>
        <w:lastRenderedPageBreak/>
        <w:t xml:space="preserve">The results suggest </w:t>
      </w:r>
      <w:r w:rsidR="0044704C">
        <w:rPr>
          <w:rFonts w:ascii="Times New Roman" w:hAnsi="Times New Roman" w:cs="Times New Roman"/>
        </w:rPr>
        <w:t xml:space="preserve">that the Sr </w:t>
      </w:r>
      <w:r w:rsidR="002129EB">
        <w:rPr>
          <w:rFonts w:ascii="Times New Roman" w:hAnsi="Times New Roman" w:cs="Times New Roman"/>
        </w:rPr>
        <w:t>could be</w:t>
      </w:r>
      <w:r w:rsidR="0044704C">
        <w:rPr>
          <w:rFonts w:ascii="Times New Roman" w:hAnsi="Times New Roman" w:cs="Times New Roman"/>
        </w:rPr>
        <w:t xml:space="preserve"> associated with</w:t>
      </w:r>
      <w:r w:rsidR="002129EB">
        <w:rPr>
          <w:rFonts w:ascii="Times New Roman" w:hAnsi="Times New Roman" w:cs="Times New Roman"/>
        </w:rPr>
        <w:t xml:space="preserve"> wither an</w:t>
      </w:r>
      <w:r w:rsidR="0044704C">
        <w:rPr>
          <w:rFonts w:ascii="Times New Roman" w:hAnsi="Times New Roman" w:cs="Times New Roman"/>
        </w:rPr>
        <w:t xml:space="preserve"> AFm</w:t>
      </w:r>
      <w:r w:rsidR="002129EB">
        <w:rPr>
          <w:rFonts w:ascii="Times New Roman" w:hAnsi="Times New Roman" w:cs="Times New Roman"/>
        </w:rPr>
        <w:t xml:space="preserve"> or </w:t>
      </w:r>
      <w:proofErr w:type="gramStart"/>
      <w:r w:rsidR="002129EB">
        <w:rPr>
          <w:rFonts w:ascii="Times New Roman" w:hAnsi="Times New Roman" w:cs="Times New Roman"/>
        </w:rPr>
        <w:t>AFt</w:t>
      </w:r>
      <w:proofErr w:type="gramEnd"/>
      <w:r w:rsidR="0044704C">
        <w:rPr>
          <w:rFonts w:ascii="Times New Roman" w:hAnsi="Times New Roman" w:cs="Times New Roman"/>
        </w:rPr>
        <w:t xml:space="preserve"> phase therefore further investigation was done looking at the interaction between Sr and a synthesised AFm phase. </w:t>
      </w:r>
    </w:p>
    <w:p w14:paraId="13D3CCB8" w14:textId="77777777" w:rsidR="0044704C" w:rsidRDefault="0044704C" w:rsidP="0044704C">
      <w:pPr>
        <w:spacing w:before="240" w:after="120" w:line="360" w:lineRule="auto"/>
        <w:outlineLvl w:val="0"/>
        <w:rPr>
          <w:rFonts w:ascii="Times New Roman" w:hAnsi="Times New Roman" w:cs="Times New Roman"/>
          <w:b/>
          <w:bCs/>
          <w:smallCaps/>
          <w:sz w:val="32"/>
          <w:szCs w:val="28"/>
        </w:rPr>
      </w:pPr>
      <w:r>
        <w:rPr>
          <w:rFonts w:ascii="Times New Roman" w:hAnsi="Times New Roman" w:cs="Times New Roman"/>
          <w:b/>
          <w:bCs/>
          <w:smallCaps/>
          <w:sz w:val="32"/>
          <w:szCs w:val="28"/>
        </w:rPr>
        <w:t>4.3.1.2</w:t>
      </w:r>
      <w:r w:rsidRPr="00181B32">
        <w:rPr>
          <w:rFonts w:ascii="Times New Roman" w:hAnsi="Times New Roman" w:cs="Times New Roman"/>
          <w:b/>
          <w:bCs/>
          <w:smallCaps/>
          <w:sz w:val="32"/>
          <w:szCs w:val="28"/>
        </w:rPr>
        <w:tab/>
      </w:r>
      <w:r>
        <w:rPr>
          <w:rFonts w:ascii="Times New Roman" w:hAnsi="Times New Roman" w:cs="Times New Roman"/>
          <w:b/>
          <w:bCs/>
          <w:smallCaps/>
          <w:sz w:val="32"/>
          <w:szCs w:val="28"/>
        </w:rPr>
        <w:t>AFm Synthesis</w:t>
      </w:r>
    </w:p>
    <w:p w14:paraId="3F61597A" w14:textId="77777777" w:rsidR="0044704C" w:rsidRPr="00732DB0" w:rsidRDefault="0044704C" w:rsidP="0044704C">
      <w:pPr>
        <w:spacing w:before="240" w:after="120" w:line="360" w:lineRule="auto"/>
        <w:outlineLvl w:val="0"/>
        <w:rPr>
          <w:rFonts w:ascii="Times New Roman" w:hAnsi="Times New Roman" w:cs="Times New Roman"/>
          <w:bCs/>
          <w:i/>
          <w:szCs w:val="32"/>
        </w:rPr>
      </w:pPr>
      <w:r w:rsidRPr="00732DB0">
        <w:rPr>
          <w:rFonts w:ascii="Times New Roman" w:hAnsi="Times New Roman" w:cs="Times New Roman"/>
          <w:bCs/>
          <w:i/>
          <w:szCs w:val="32"/>
        </w:rPr>
        <w:t>i. C</w:t>
      </w:r>
      <w:r w:rsidRPr="00732DB0">
        <w:rPr>
          <w:rFonts w:ascii="Times New Roman" w:hAnsi="Times New Roman" w:cs="Times New Roman"/>
          <w:bCs/>
          <w:i/>
          <w:szCs w:val="32"/>
          <w:vertAlign w:val="subscript"/>
        </w:rPr>
        <w:t>3</w:t>
      </w:r>
      <w:r w:rsidRPr="00732DB0">
        <w:rPr>
          <w:rFonts w:ascii="Times New Roman" w:hAnsi="Times New Roman" w:cs="Times New Roman"/>
          <w:bCs/>
          <w:i/>
          <w:szCs w:val="32"/>
        </w:rPr>
        <w:t>A Synthesis</w:t>
      </w:r>
    </w:p>
    <w:p w14:paraId="14B284B9" w14:textId="34B23D1C" w:rsidR="0044704C" w:rsidRPr="00E908AE" w:rsidRDefault="0044704C" w:rsidP="0044704C">
      <w:pPr>
        <w:spacing w:before="240" w:after="120" w:line="360" w:lineRule="auto"/>
        <w:jc w:val="both"/>
        <w:rPr>
          <w:rFonts w:ascii="Times New Roman" w:hAnsi="Times New Roman" w:cs="Times New Roman"/>
        </w:rPr>
      </w:pPr>
      <w:r w:rsidRPr="00E908AE">
        <w:rPr>
          <w:rFonts w:ascii="Times New Roman" w:hAnsi="Times New Roman" w:cs="Times New Roman"/>
        </w:rPr>
        <w:t>C</w:t>
      </w:r>
      <w:r w:rsidRPr="00E908AE">
        <w:rPr>
          <w:rFonts w:ascii="Times New Roman" w:hAnsi="Times New Roman" w:cs="Times New Roman"/>
          <w:vertAlign w:val="subscript"/>
        </w:rPr>
        <w:t>3</w:t>
      </w:r>
      <w:r w:rsidRPr="00E908AE">
        <w:rPr>
          <w:rFonts w:ascii="Times New Roman" w:hAnsi="Times New Roman" w:cs="Times New Roman"/>
        </w:rPr>
        <w:t xml:space="preserve">A </w:t>
      </w:r>
      <w:r w:rsidR="002129EB">
        <w:rPr>
          <w:rFonts w:ascii="Times New Roman" w:hAnsi="Times New Roman" w:cs="Times New Roman"/>
        </w:rPr>
        <w:t xml:space="preserve">was synthesised using </w:t>
      </w:r>
      <w:r w:rsidRPr="00E908AE">
        <w:rPr>
          <w:rFonts w:ascii="Times New Roman" w:hAnsi="Times New Roman" w:cs="Times New Roman"/>
        </w:rPr>
        <w:t>two procedures. The resultant powders were then analysed using XRD. The XRD traces for different phases formed during the preparation process of C</w:t>
      </w:r>
      <w:r w:rsidRPr="00E908AE">
        <w:rPr>
          <w:rFonts w:ascii="Times New Roman" w:hAnsi="Times New Roman" w:cs="Times New Roman"/>
          <w:vertAlign w:val="subscript"/>
        </w:rPr>
        <w:t>3</w:t>
      </w:r>
      <w:r w:rsidRPr="00E908AE">
        <w:rPr>
          <w:rFonts w:ascii="Times New Roman" w:hAnsi="Times New Roman" w:cs="Times New Roman"/>
        </w:rPr>
        <w:t>A synthesis using the solid solu</w:t>
      </w:r>
      <w:r>
        <w:rPr>
          <w:rFonts w:ascii="Times New Roman" w:hAnsi="Times New Roman" w:cs="Times New Roman"/>
        </w:rPr>
        <w:t>tion method are show</w:t>
      </w:r>
      <w:r w:rsidR="00BA3194">
        <w:rPr>
          <w:rFonts w:ascii="Times New Roman" w:hAnsi="Times New Roman" w:cs="Times New Roman"/>
        </w:rPr>
        <w:t>n in figure 4.86</w:t>
      </w:r>
      <w:r w:rsidRPr="00E908AE">
        <w:rPr>
          <w:rFonts w:ascii="Times New Roman" w:hAnsi="Times New Roman" w:cs="Times New Roman"/>
        </w:rPr>
        <w:t>. It can be seen from the XRD trace C</w:t>
      </w:r>
      <w:r w:rsidRPr="00E908AE">
        <w:rPr>
          <w:rFonts w:ascii="Times New Roman" w:hAnsi="Times New Roman" w:cs="Times New Roman"/>
          <w:vertAlign w:val="subscript"/>
        </w:rPr>
        <w:t>3</w:t>
      </w:r>
      <w:r w:rsidRPr="00E908AE">
        <w:rPr>
          <w:rFonts w:ascii="Times New Roman" w:hAnsi="Times New Roman" w:cs="Times New Roman"/>
        </w:rPr>
        <w:t>A-i that initially the C</w:t>
      </w:r>
      <w:r w:rsidRPr="00E908AE">
        <w:rPr>
          <w:rFonts w:ascii="Times New Roman" w:hAnsi="Times New Roman" w:cs="Times New Roman"/>
          <w:vertAlign w:val="subscript"/>
        </w:rPr>
        <w:t>3</w:t>
      </w:r>
      <w:r w:rsidRPr="00E908AE">
        <w:rPr>
          <w:rFonts w:ascii="Times New Roman" w:hAnsi="Times New Roman" w:cs="Times New Roman"/>
        </w:rPr>
        <w:t>A phase is formed alongside CaO and Ca</w:t>
      </w:r>
      <w:r w:rsidRPr="00E908AE">
        <w:rPr>
          <w:rFonts w:ascii="Times New Roman" w:hAnsi="Times New Roman" w:cs="Times New Roman"/>
          <w:vertAlign w:val="subscript"/>
        </w:rPr>
        <w:t>12</w:t>
      </w:r>
      <w:r w:rsidRPr="00E908AE">
        <w:rPr>
          <w:rFonts w:ascii="Times New Roman" w:hAnsi="Times New Roman" w:cs="Times New Roman"/>
        </w:rPr>
        <w:t>Al</w:t>
      </w:r>
      <w:r w:rsidRPr="00E908AE">
        <w:rPr>
          <w:rFonts w:ascii="Times New Roman" w:hAnsi="Times New Roman" w:cs="Times New Roman"/>
          <w:vertAlign w:val="subscript"/>
        </w:rPr>
        <w:t>14</w:t>
      </w:r>
      <w:r w:rsidRPr="00E908AE">
        <w:rPr>
          <w:rFonts w:ascii="Times New Roman" w:hAnsi="Times New Roman" w:cs="Times New Roman"/>
        </w:rPr>
        <w:t>O</w:t>
      </w:r>
      <w:r w:rsidRPr="00E908AE">
        <w:rPr>
          <w:rFonts w:ascii="Times New Roman" w:hAnsi="Times New Roman" w:cs="Times New Roman"/>
          <w:vertAlign w:val="subscript"/>
        </w:rPr>
        <w:t>33</w:t>
      </w:r>
      <w:r w:rsidRPr="00E908AE">
        <w:rPr>
          <w:rFonts w:ascii="Times New Roman" w:hAnsi="Times New Roman" w:cs="Times New Roman"/>
        </w:rPr>
        <w:t>. The XRD trace C</w:t>
      </w:r>
      <w:r w:rsidRPr="00E908AE">
        <w:rPr>
          <w:rFonts w:ascii="Times New Roman" w:hAnsi="Times New Roman" w:cs="Times New Roman"/>
          <w:vertAlign w:val="subscript"/>
        </w:rPr>
        <w:t>3</w:t>
      </w:r>
      <w:r w:rsidRPr="00E908AE">
        <w:rPr>
          <w:rFonts w:ascii="Times New Roman" w:hAnsi="Times New Roman" w:cs="Times New Roman"/>
        </w:rPr>
        <w:t xml:space="preserve">A-ii is for the powder produced after repeating steps 5-8 in section </w:t>
      </w:r>
      <w:r>
        <w:rPr>
          <w:rFonts w:ascii="Times New Roman" w:hAnsi="Times New Roman" w:cs="Times New Roman"/>
        </w:rPr>
        <w:t>chapter 3</w:t>
      </w:r>
      <w:r w:rsidRPr="00E908AE">
        <w:rPr>
          <w:rFonts w:ascii="Times New Roman" w:hAnsi="Times New Roman" w:cs="Times New Roman"/>
        </w:rPr>
        <w:t xml:space="preserve"> two consecutive times. This trace shows that the </w:t>
      </w:r>
      <w:r w:rsidR="00752D8B">
        <w:rPr>
          <w:rFonts w:ascii="Times New Roman" w:hAnsi="Times New Roman" w:cs="Times New Roman"/>
        </w:rPr>
        <w:t xml:space="preserve">produced </w:t>
      </w:r>
      <w:r w:rsidRPr="00E908AE">
        <w:rPr>
          <w:rFonts w:ascii="Times New Roman" w:hAnsi="Times New Roman" w:cs="Times New Roman"/>
        </w:rPr>
        <w:t>C</w:t>
      </w:r>
      <w:r w:rsidRPr="00E908AE">
        <w:rPr>
          <w:rFonts w:ascii="Times New Roman" w:hAnsi="Times New Roman" w:cs="Times New Roman"/>
          <w:vertAlign w:val="subscript"/>
        </w:rPr>
        <w:t>3</w:t>
      </w:r>
      <w:r w:rsidRPr="00E908AE">
        <w:rPr>
          <w:rFonts w:ascii="Times New Roman" w:hAnsi="Times New Roman" w:cs="Times New Roman"/>
        </w:rPr>
        <w:t xml:space="preserve">A </w:t>
      </w:r>
      <w:proofErr w:type="gramStart"/>
      <w:r w:rsidRPr="00E908AE">
        <w:rPr>
          <w:rFonts w:ascii="Times New Roman" w:hAnsi="Times New Roman" w:cs="Times New Roman"/>
        </w:rPr>
        <w:t xml:space="preserve">and </w:t>
      </w:r>
      <w:r w:rsidR="00752D8B">
        <w:rPr>
          <w:rFonts w:ascii="Times New Roman" w:hAnsi="Times New Roman" w:cs="Times New Roman"/>
        </w:rPr>
        <w:t xml:space="preserve"> had</w:t>
      </w:r>
      <w:proofErr w:type="gramEnd"/>
      <w:r w:rsidR="00752D8B">
        <w:rPr>
          <w:rFonts w:ascii="Times New Roman" w:hAnsi="Times New Roman" w:cs="Times New Roman"/>
        </w:rPr>
        <w:t xml:space="preserve"> not reacted with the CaO and </w:t>
      </w:r>
      <w:r>
        <w:rPr>
          <w:rFonts w:ascii="Times New Roman" w:hAnsi="Times New Roman" w:cs="Times New Roman"/>
        </w:rPr>
        <w:t>remain within the sample,</w:t>
      </w:r>
      <w:r w:rsidRPr="00E908AE">
        <w:rPr>
          <w:rFonts w:ascii="Times New Roman" w:hAnsi="Times New Roman" w:cs="Times New Roman"/>
        </w:rPr>
        <w:t xml:space="preserve"> and there are no peaks for the Ca</w:t>
      </w:r>
      <w:r w:rsidRPr="00E908AE">
        <w:rPr>
          <w:rFonts w:ascii="Times New Roman" w:hAnsi="Times New Roman" w:cs="Times New Roman"/>
          <w:vertAlign w:val="subscript"/>
        </w:rPr>
        <w:t>12</w:t>
      </w:r>
      <w:r w:rsidRPr="00E908AE">
        <w:rPr>
          <w:rFonts w:ascii="Times New Roman" w:hAnsi="Times New Roman" w:cs="Times New Roman"/>
        </w:rPr>
        <w:t>Al</w:t>
      </w:r>
      <w:r w:rsidRPr="00E908AE">
        <w:rPr>
          <w:rFonts w:ascii="Times New Roman" w:hAnsi="Times New Roman" w:cs="Times New Roman"/>
          <w:vertAlign w:val="subscript"/>
        </w:rPr>
        <w:t>14</w:t>
      </w:r>
      <w:r w:rsidRPr="00E908AE">
        <w:rPr>
          <w:rFonts w:ascii="Times New Roman" w:hAnsi="Times New Roman" w:cs="Times New Roman"/>
        </w:rPr>
        <w:t>O</w:t>
      </w:r>
      <w:r w:rsidRPr="00E908AE">
        <w:rPr>
          <w:rFonts w:ascii="Times New Roman" w:hAnsi="Times New Roman" w:cs="Times New Roman"/>
          <w:vertAlign w:val="subscript"/>
        </w:rPr>
        <w:t>33</w:t>
      </w:r>
      <w:r w:rsidRPr="00E908AE">
        <w:rPr>
          <w:rFonts w:ascii="Times New Roman" w:hAnsi="Times New Roman" w:cs="Times New Roman"/>
        </w:rPr>
        <w:t xml:space="preserve"> phase. Repeating steps 5-8 three more times and analysing the powder gave the trace of C</w:t>
      </w:r>
      <w:r w:rsidRPr="00E908AE">
        <w:rPr>
          <w:rFonts w:ascii="Times New Roman" w:hAnsi="Times New Roman" w:cs="Times New Roman"/>
          <w:vertAlign w:val="subscript"/>
        </w:rPr>
        <w:t>3</w:t>
      </w:r>
      <w:r w:rsidRPr="00E908AE">
        <w:rPr>
          <w:rFonts w:ascii="Times New Roman" w:hAnsi="Times New Roman" w:cs="Times New Roman"/>
        </w:rPr>
        <w:t>A-iii. The only visible peaks are the C</w:t>
      </w:r>
      <w:r w:rsidRPr="00E908AE">
        <w:rPr>
          <w:rFonts w:ascii="Times New Roman" w:hAnsi="Times New Roman" w:cs="Times New Roman"/>
          <w:vertAlign w:val="subscript"/>
        </w:rPr>
        <w:t>3</w:t>
      </w:r>
      <w:r w:rsidRPr="00E908AE">
        <w:rPr>
          <w:rFonts w:ascii="Times New Roman" w:hAnsi="Times New Roman" w:cs="Times New Roman"/>
        </w:rPr>
        <w:t>A peaks therefore it is</w:t>
      </w:r>
      <w:r w:rsidR="00775FC0">
        <w:rPr>
          <w:rFonts w:ascii="Times New Roman" w:hAnsi="Times New Roman" w:cs="Times New Roman"/>
        </w:rPr>
        <w:t xml:space="preserve"> demonstrated</w:t>
      </w:r>
      <w:r w:rsidRPr="00E908AE">
        <w:rPr>
          <w:rFonts w:ascii="Times New Roman" w:hAnsi="Times New Roman" w:cs="Times New Roman"/>
        </w:rPr>
        <w:t xml:space="preserve"> that this was pure C</w:t>
      </w:r>
      <w:r w:rsidRPr="00E908AE">
        <w:rPr>
          <w:rFonts w:ascii="Times New Roman" w:hAnsi="Times New Roman" w:cs="Times New Roman"/>
          <w:vertAlign w:val="subscript"/>
        </w:rPr>
        <w:t>3</w:t>
      </w:r>
      <w:r w:rsidRPr="00E908AE">
        <w:rPr>
          <w:rFonts w:ascii="Times New Roman" w:hAnsi="Times New Roman" w:cs="Times New Roman"/>
        </w:rPr>
        <w:t>A.</w:t>
      </w:r>
    </w:p>
    <w:p w14:paraId="1F9A7A29" w14:textId="77777777" w:rsidR="0044704C" w:rsidRPr="00E908AE" w:rsidRDefault="0044704C" w:rsidP="0044704C">
      <w:pPr>
        <w:widowControl w:val="0"/>
        <w:tabs>
          <w:tab w:val="left" w:pos="993"/>
        </w:tabs>
        <w:autoSpaceDE w:val="0"/>
        <w:autoSpaceDN w:val="0"/>
        <w:adjustRightInd w:val="0"/>
        <w:spacing w:before="240" w:after="120"/>
        <w:ind w:right="521"/>
        <w:jc w:val="right"/>
        <w:rPr>
          <w:rFonts w:ascii="Times New Roman" w:hAnsi="Times New Roman" w:cs="Times New Roman"/>
        </w:rPr>
      </w:pPr>
      <w:r w:rsidRPr="00E908AE">
        <w:rPr>
          <w:rFonts w:ascii="Times New Roman" w:hAnsi="Times New Roman" w:cs="Times New Roman"/>
        </w:rPr>
        <w:t xml:space="preserve"> </w:t>
      </w:r>
      <w:r w:rsidRPr="008A4F84">
        <w:rPr>
          <w:rFonts w:ascii="Times New Roman" w:hAnsi="Times New Roman" w:cs="Times New Roman"/>
          <w:noProof/>
        </w:rPr>
        <w:drawing>
          <wp:inline distT="0" distB="0" distL="0" distR="0" wp14:anchorId="2A01FDEF" wp14:editId="29777F96">
            <wp:extent cx="915670" cy="695960"/>
            <wp:effectExtent l="0" t="0" r="0" b="0"/>
            <wp:docPr id="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915670" cy="695960"/>
                    </a:xfrm>
                    <a:prstGeom prst="rect">
                      <a:avLst/>
                    </a:prstGeom>
                    <a:noFill/>
                    <a:ln>
                      <a:noFill/>
                    </a:ln>
                  </pic:spPr>
                </pic:pic>
              </a:graphicData>
            </a:graphic>
          </wp:inline>
        </w:drawing>
      </w:r>
      <w:r w:rsidRPr="00E908AE">
        <w:rPr>
          <w:rFonts w:ascii="Times New Roman" w:hAnsi="Times New Roman" w:cs="Times New Roman"/>
          <w:noProof/>
        </w:rPr>
        <w:drawing>
          <wp:inline distT="0" distB="0" distL="0" distR="0" wp14:anchorId="68665516" wp14:editId="38DB24A7">
            <wp:extent cx="4761230" cy="2937440"/>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32">
                      <a:extLst>
                        <a:ext uri="{BEBA8EAE-BF5A-486C-A8C5-ECC9F3942E4B}">
                          <a14:imgProps xmlns:a14="http://schemas.microsoft.com/office/drawing/2010/main">
                            <a14:imgLayer r:embed="rId133">
                              <a14:imgEffect>
                                <a14:sharpenSoften amount="50000"/>
                              </a14:imgEffect>
                              <a14:imgEffect>
                                <a14:colorTemperature colorTemp="4700"/>
                              </a14:imgEffect>
                              <a14:imgEffect>
                                <a14:saturation sat="0"/>
                              </a14:imgEffect>
                            </a14:imgLayer>
                          </a14:imgProps>
                        </a:ext>
                        <a:ext uri="{28A0092B-C50C-407E-A947-70E740481C1C}">
                          <a14:useLocalDpi xmlns:a14="http://schemas.microsoft.com/office/drawing/2010/main" val="0"/>
                        </a:ext>
                      </a:extLst>
                    </a:blip>
                    <a:srcRect l="11845" r="-2476"/>
                    <a:stretch/>
                  </pic:blipFill>
                  <pic:spPr bwMode="auto">
                    <a:xfrm>
                      <a:off x="0" y="0"/>
                      <a:ext cx="4765618" cy="2940147"/>
                    </a:xfrm>
                    <a:prstGeom prst="rect">
                      <a:avLst/>
                    </a:prstGeom>
                    <a:noFill/>
                    <a:ln>
                      <a:noFill/>
                    </a:ln>
                    <a:extLst>
                      <a:ext uri="{53640926-AAD7-44d8-BBD7-CCE9431645EC}">
                        <a14:shadowObscured xmlns:a14="http://schemas.microsoft.com/office/drawing/2010/main"/>
                      </a:ext>
                    </a:extLst>
                  </pic:spPr>
                </pic:pic>
              </a:graphicData>
            </a:graphic>
          </wp:inline>
        </w:drawing>
      </w:r>
    </w:p>
    <w:p w14:paraId="044D3F47" w14:textId="6E508F4F" w:rsidR="0044704C" w:rsidRPr="00BA70E1" w:rsidRDefault="0044704C" w:rsidP="0044704C">
      <w:pPr>
        <w:spacing w:before="240" w:after="120"/>
        <w:ind w:left="993" w:hanging="720"/>
        <w:jc w:val="center"/>
        <w:rPr>
          <w:rFonts w:ascii="Times New Roman" w:hAnsi="Times New Roman" w:cs="Times New Roman"/>
        </w:rPr>
      </w:pPr>
      <w:r>
        <w:rPr>
          <w:rFonts w:ascii="Times New Roman" w:hAnsi="Times New Roman" w:cs="Times New Roman"/>
          <w:b/>
        </w:rPr>
        <w:t>Figure 4.8</w:t>
      </w:r>
      <w:r w:rsidR="00BA3194">
        <w:rPr>
          <w:rFonts w:ascii="Times New Roman" w:hAnsi="Times New Roman" w:cs="Times New Roman"/>
          <w:b/>
        </w:rPr>
        <w:t>6</w:t>
      </w:r>
      <w:r w:rsidRPr="00E908AE">
        <w:rPr>
          <w:rFonts w:ascii="Times New Roman" w:hAnsi="Times New Roman" w:cs="Times New Roman"/>
          <w:b/>
        </w:rPr>
        <w:t xml:space="preserve">: </w:t>
      </w:r>
      <w:r w:rsidRPr="00E908AE">
        <w:rPr>
          <w:rFonts w:ascii="Times New Roman" w:hAnsi="Times New Roman" w:cs="Times New Roman"/>
        </w:rPr>
        <w:t>XRD traces from powders created during C</w:t>
      </w:r>
      <w:r w:rsidRPr="00E908AE">
        <w:rPr>
          <w:rFonts w:ascii="Times New Roman" w:hAnsi="Times New Roman" w:cs="Times New Roman"/>
          <w:vertAlign w:val="subscript"/>
        </w:rPr>
        <w:t>3</w:t>
      </w:r>
      <w:r w:rsidRPr="00E908AE">
        <w:rPr>
          <w:rFonts w:ascii="Times New Roman" w:hAnsi="Times New Roman" w:cs="Times New Roman"/>
        </w:rPr>
        <w:t>A solid solution synthesis</w:t>
      </w:r>
    </w:p>
    <w:p w14:paraId="22814C1B" w14:textId="2B425E6A" w:rsidR="0044704C" w:rsidRPr="00E908AE" w:rsidRDefault="0044704C" w:rsidP="0044704C">
      <w:pPr>
        <w:spacing w:before="240" w:after="120" w:line="360" w:lineRule="auto"/>
        <w:jc w:val="both"/>
        <w:rPr>
          <w:rFonts w:ascii="Times New Roman" w:hAnsi="Times New Roman" w:cs="Times New Roman"/>
        </w:rPr>
      </w:pPr>
      <w:r w:rsidRPr="00E908AE">
        <w:rPr>
          <w:rFonts w:ascii="Times New Roman" w:hAnsi="Times New Roman" w:cs="Times New Roman"/>
        </w:rPr>
        <w:lastRenderedPageBreak/>
        <w:t xml:space="preserve">The XRD </w:t>
      </w:r>
      <w:r w:rsidR="00971672" w:rsidRPr="00E908AE">
        <w:rPr>
          <w:rFonts w:ascii="Times New Roman" w:hAnsi="Times New Roman" w:cs="Times New Roman"/>
        </w:rPr>
        <w:t xml:space="preserve">traces in </w:t>
      </w:r>
      <w:r w:rsidR="00971672">
        <w:rPr>
          <w:rFonts w:ascii="Times New Roman" w:hAnsi="Times New Roman" w:cs="Times New Roman"/>
        </w:rPr>
        <w:t>figure 4.87</w:t>
      </w:r>
      <w:r w:rsidR="00971672" w:rsidRPr="00E908AE">
        <w:rPr>
          <w:rFonts w:ascii="Times New Roman" w:hAnsi="Times New Roman" w:cs="Times New Roman"/>
        </w:rPr>
        <w:t xml:space="preserve"> are</w:t>
      </w:r>
      <w:r w:rsidRPr="00E908AE">
        <w:rPr>
          <w:rFonts w:ascii="Times New Roman" w:hAnsi="Times New Roman" w:cs="Times New Roman"/>
        </w:rPr>
        <w:t xml:space="preserve"> for the resultant powders of the</w:t>
      </w:r>
      <w:r>
        <w:rPr>
          <w:rFonts w:ascii="Times New Roman" w:hAnsi="Times New Roman" w:cs="Times New Roman"/>
        </w:rPr>
        <w:t xml:space="preserve"> Pechini synthesis method</w:t>
      </w:r>
      <w:r w:rsidR="00AA163F">
        <w:rPr>
          <w:rFonts w:ascii="Times New Roman" w:hAnsi="Times New Roman" w:cs="Times New Roman"/>
        </w:rPr>
        <w:t xml:space="preserve"> described in section 3. </w:t>
      </w:r>
      <w:r w:rsidRPr="00E908AE">
        <w:rPr>
          <w:rFonts w:ascii="Times New Roman" w:hAnsi="Times New Roman" w:cs="Times New Roman"/>
        </w:rPr>
        <w:t>P-C3A-i is the trace for the first attempt, which shows that C</w:t>
      </w:r>
      <w:r w:rsidRPr="00E908AE">
        <w:rPr>
          <w:rFonts w:ascii="Times New Roman" w:hAnsi="Times New Roman" w:cs="Times New Roman"/>
          <w:vertAlign w:val="subscript"/>
        </w:rPr>
        <w:t>3</w:t>
      </w:r>
      <w:r w:rsidRPr="00E908AE">
        <w:rPr>
          <w:rFonts w:ascii="Times New Roman" w:hAnsi="Times New Roman" w:cs="Times New Roman"/>
        </w:rPr>
        <w:t xml:space="preserve">A was formed, however contained some CaO contamination. In the second attempt the samples were heated </w:t>
      </w:r>
      <w:r w:rsidR="006F3778">
        <w:rPr>
          <w:rFonts w:ascii="Times New Roman" w:hAnsi="Times New Roman" w:cs="Times New Roman"/>
        </w:rPr>
        <w:t>to convert the remaining CaO to C</w:t>
      </w:r>
      <w:r w:rsidR="006F3778">
        <w:rPr>
          <w:rFonts w:ascii="Times New Roman" w:hAnsi="Times New Roman" w:cs="Times New Roman"/>
          <w:vertAlign w:val="subscript"/>
        </w:rPr>
        <w:t>3</w:t>
      </w:r>
      <w:r w:rsidR="006F3778">
        <w:rPr>
          <w:rFonts w:ascii="Times New Roman" w:hAnsi="Times New Roman" w:cs="Times New Roman"/>
        </w:rPr>
        <w:t xml:space="preserve">A </w:t>
      </w:r>
      <w:r w:rsidRPr="00E908AE">
        <w:rPr>
          <w:rFonts w:ascii="Times New Roman" w:hAnsi="Times New Roman" w:cs="Times New Roman"/>
        </w:rPr>
        <w:t>and the product of this synthesis produced the trace P-C3A-ii</w:t>
      </w:r>
      <w:r w:rsidR="00221567">
        <w:rPr>
          <w:rFonts w:ascii="Times New Roman" w:hAnsi="Times New Roman" w:cs="Times New Roman"/>
        </w:rPr>
        <w:t xml:space="preserve"> </w:t>
      </w:r>
      <w:proofErr w:type="gramStart"/>
      <w:r w:rsidR="00221567">
        <w:rPr>
          <w:rFonts w:ascii="Times New Roman" w:hAnsi="Times New Roman" w:cs="Times New Roman"/>
        </w:rPr>
        <w:t>which</w:t>
      </w:r>
      <w:proofErr w:type="gramEnd"/>
      <w:r w:rsidR="00221567">
        <w:rPr>
          <w:rFonts w:ascii="Times New Roman" w:hAnsi="Times New Roman" w:cs="Times New Roman"/>
        </w:rPr>
        <w:t xml:space="preserve"> indicates pure C</w:t>
      </w:r>
      <w:r w:rsidR="00221567">
        <w:rPr>
          <w:rFonts w:ascii="Times New Roman" w:hAnsi="Times New Roman" w:cs="Times New Roman"/>
          <w:vertAlign w:val="subscript"/>
        </w:rPr>
        <w:t>3</w:t>
      </w:r>
      <w:r w:rsidR="00221567">
        <w:rPr>
          <w:rFonts w:ascii="Times New Roman" w:hAnsi="Times New Roman" w:cs="Times New Roman"/>
        </w:rPr>
        <w:t>A</w:t>
      </w:r>
      <w:r w:rsidRPr="00E908AE">
        <w:rPr>
          <w:rFonts w:ascii="Times New Roman" w:hAnsi="Times New Roman" w:cs="Times New Roman"/>
        </w:rPr>
        <w:t xml:space="preserve">. </w:t>
      </w:r>
      <w:r w:rsidR="00752D8B">
        <w:rPr>
          <w:rFonts w:ascii="Times New Roman" w:hAnsi="Times New Roman" w:cs="Times New Roman"/>
        </w:rPr>
        <w:t xml:space="preserve">Due </w:t>
      </w:r>
      <w:r w:rsidRPr="00E908AE">
        <w:rPr>
          <w:rFonts w:ascii="Times New Roman" w:hAnsi="Times New Roman" w:cs="Times New Roman"/>
        </w:rPr>
        <w:t>to the time efficiency and relative simplicity of this method in comparison to the solid solution method, the Pechini method took precedence</w:t>
      </w:r>
      <w:r>
        <w:rPr>
          <w:rFonts w:ascii="Times New Roman" w:hAnsi="Times New Roman" w:cs="Times New Roman"/>
        </w:rPr>
        <w:t>, and</w:t>
      </w:r>
      <w:r w:rsidRPr="00E908AE">
        <w:rPr>
          <w:rFonts w:ascii="Times New Roman" w:hAnsi="Times New Roman" w:cs="Times New Roman"/>
        </w:rPr>
        <w:t xml:space="preserve"> was used fo</w:t>
      </w:r>
      <w:r>
        <w:rPr>
          <w:rFonts w:ascii="Times New Roman" w:hAnsi="Times New Roman" w:cs="Times New Roman"/>
        </w:rPr>
        <w:t>r the rest of the experiments with</w:t>
      </w:r>
      <w:r w:rsidRPr="00E908AE">
        <w:rPr>
          <w:rFonts w:ascii="Times New Roman" w:hAnsi="Times New Roman" w:cs="Times New Roman"/>
        </w:rPr>
        <w:t xml:space="preserve"> any required C</w:t>
      </w:r>
      <w:r w:rsidRPr="00E908AE">
        <w:rPr>
          <w:rFonts w:ascii="Times New Roman" w:hAnsi="Times New Roman" w:cs="Times New Roman"/>
          <w:vertAlign w:val="subscript"/>
        </w:rPr>
        <w:t>3</w:t>
      </w:r>
      <w:r w:rsidRPr="00E908AE">
        <w:rPr>
          <w:rFonts w:ascii="Times New Roman" w:hAnsi="Times New Roman" w:cs="Times New Roman"/>
        </w:rPr>
        <w:t xml:space="preserve">A synthesis. </w:t>
      </w:r>
    </w:p>
    <w:p w14:paraId="55515BF5" w14:textId="77777777" w:rsidR="0044704C" w:rsidRPr="00E908AE" w:rsidRDefault="0044704C" w:rsidP="0044704C">
      <w:pPr>
        <w:spacing w:before="240" w:after="120"/>
        <w:ind w:left="142" w:firstLine="7371"/>
        <w:rPr>
          <w:rFonts w:ascii="Times New Roman" w:hAnsi="Times New Roman" w:cs="Times New Roman"/>
          <w:i/>
        </w:rPr>
      </w:pPr>
      <w:r w:rsidRPr="00E908AE">
        <w:rPr>
          <w:rFonts w:ascii="Times New Roman" w:hAnsi="Times New Roman" w:cs="Times New Roman"/>
          <w:noProof/>
        </w:rPr>
        <w:drawing>
          <wp:inline distT="0" distB="0" distL="0" distR="0" wp14:anchorId="4A19F794" wp14:editId="613BCB98">
            <wp:extent cx="885825" cy="441325"/>
            <wp:effectExtent l="0" t="0" r="3175" b="0"/>
            <wp:docPr id="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1">
                      <a:extLst>
                        <a:ext uri="{28A0092B-C50C-407E-A947-70E740481C1C}">
                          <a14:useLocalDpi xmlns:a14="http://schemas.microsoft.com/office/drawing/2010/main" val="0"/>
                        </a:ext>
                      </a:extLst>
                    </a:blip>
                    <a:srcRect b="34427"/>
                    <a:stretch/>
                  </pic:blipFill>
                  <pic:spPr bwMode="auto">
                    <a:xfrm>
                      <a:off x="0" y="0"/>
                      <a:ext cx="885825" cy="441325"/>
                    </a:xfrm>
                    <a:prstGeom prst="rect">
                      <a:avLst/>
                    </a:prstGeom>
                    <a:noFill/>
                    <a:ln>
                      <a:noFill/>
                    </a:ln>
                    <a:extLst>
                      <a:ext uri="{53640926-AAD7-44d8-BBD7-CCE9431645EC}">
                        <a14:shadowObscured xmlns:a14="http://schemas.microsoft.com/office/drawing/2010/main"/>
                      </a:ext>
                    </a:extLst>
                  </pic:spPr>
                </pic:pic>
              </a:graphicData>
            </a:graphic>
          </wp:inline>
        </w:drawing>
      </w:r>
      <w:r w:rsidRPr="00E908AE">
        <w:rPr>
          <w:rFonts w:ascii="Times New Roman" w:hAnsi="Times New Roman" w:cs="Times New Roman"/>
          <w:i/>
          <w:noProof/>
        </w:rPr>
        <w:drawing>
          <wp:inline distT="0" distB="0" distL="0" distR="0" wp14:anchorId="4DFE7676" wp14:editId="36136A74">
            <wp:extent cx="5296502" cy="2499995"/>
            <wp:effectExtent l="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4">
                      <a:grayscl/>
                      <a:extLst>
                        <a:ext uri="{28A0092B-C50C-407E-A947-70E740481C1C}">
                          <a14:useLocalDpi xmlns:a14="http://schemas.microsoft.com/office/drawing/2010/main" val="0"/>
                        </a:ext>
                      </a:extLst>
                    </a:blip>
                    <a:srcRect l="9793"/>
                    <a:stretch/>
                  </pic:blipFill>
                  <pic:spPr bwMode="auto">
                    <a:xfrm>
                      <a:off x="0" y="0"/>
                      <a:ext cx="5303008" cy="2503066"/>
                    </a:xfrm>
                    <a:prstGeom prst="rect">
                      <a:avLst/>
                    </a:prstGeom>
                    <a:noFill/>
                    <a:ln>
                      <a:noFill/>
                    </a:ln>
                    <a:extLst>
                      <a:ext uri="{53640926-AAD7-44d8-BBD7-CCE9431645EC}">
                        <a14:shadowObscured xmlns:a14="http://schemas.microsoft.com/office/drawing/2010/main"/>
                      </a:ext>
                    </a:extLst>
                  </pic:spPr>
                </pic:pic>
              </a:graphicData>
            </a:graphic>
          </wp:inline>
        </w:drawing>
      </w:r>
    </w:p>
    <w:p w14:paraId="2D41B007" w14:textId="1C1EB2C6" w:rsidR="0044704C" w:rsidRPr="003955B5" w:rsidRDefault="0044704C" w:rsidP="0044704C">
      <w:pPr>
        <w:spacing w:before="240" w:after="120"/>
        <w:ind w:left="1560" w:hanging="720"/>
        <w:jc w:val="center"/>
        <w:outlineLvl w:val="0"/>
        <w:rPr>
          <w:rFonts w:ascii="Times New Roman" w:hAnsi="Times New Roman" w:cs="Times New Roman"/>
        </w:rPr>
      </w:pPr>
      <w:r w:rsidRPr="00E908AE">
        <w:rPr>
          <w:rFonts w:ascii="Times New Roman" w:hAnsi="Times New Roman" w:cs="Times New Roman"/>
          <w:b/>
        </w:rPr>
        <w:t xml:space="preserve">Figure </w:t>
      </w:r>
      <w:r>
        <w:rPr>
          <w:rFonts w:ascii="Times New Roman" w:hAnsi="Times New Roman" w:cs="Times New Roman"/>
          <w:b/>
        </w:rPr>
        <w:t>4.8</w:t>
      </w:r>
      <w:r w:rsidR="00BA3194">
        <w:rPr>
          <w:rFonts w:ascii="Times New Roman" w:hAnsi="Times New Roman" w:cs="Times New Roman"/>
          <w:b/>
        </w:rPr>
        <w:t>7</w:t>
      </w:r>
      <w:r w:rsidRPr="00E908AE">
        <w:rPr>
          <w:rFonts w:ascii="Times New Roman" w:hAnsi="Times New Roman" w:cs="Times New Roman"/>
        </w:rPr>
        <w:t>:</w:t>
      </w:r>
      <w:r w:rsidRPr="00E908AE">
        <w:rPr>
          <w:rFonts w:ascii="Times New Roman" w:hAnsi="Times New Roman" w:cs="Times New Roman"/>
          <w:i/>
        </w:rPr>
        <w:t xml:space="preserve"> </w:t>
      </w:r>
      <w:r w:rsidRPr="00E908AE">
        <w:rPr>
          <w:rFonts w:ascii="Times New Roman" w:hAnsi="Times New Roman" w:cs="Times New Roman"/>
        </w:rPr>
        <w:t>XRD traces from powders created during C</w:t>
      </w:r>
      <w:r w:rsidRPr="00E908AE">
        <w:rPr>
          <w:rFonts w:ascii="Times New Roman" w:hAnsi="Times New Roman" w:cs="Times New Roman"/>
          <w:vertAlign w:val="subscript"/>
        </w:rPr>
        <w:t>3</w:t>
      </w:r>
      <w:r w:rsidRPr="00E908AE">
        <w:rPr>
          <w:rFonts w:ascii="Times New Roman" w:hAnsi="Times New Roman" w:cs="Times New Roman"/>
        </w:rPr>
        <w:t>A Pechini synthesis</w:t>
      </w:r>
    </w:p>
    <w:p w14:paraId="4C0AD735" w14:textId="77777777" w:rsidR="0044704C" w:rsidRDefault="0044704C" w:rsidP="0044704C">
      <w:pPr>
        <w:spacing w:before="240" w:after="120" w:line="360" w:lineRule="auto"/>
        <w:jc w:val="both"/>
        <w:outlineLvl w:val="0"/>
        <w:rPr>
          <w:rFonts w:ascii="Times" w:hAnsi="Times" w:cs="Times New Roman"/>
          <w:i/>
        </w:rPr>
      </w:pPr>
    </w:p>
    <w:p w14:paraId="56EEDDDA" w14:textId="4E288235" w:rsidR="0044704C" w:rsidRPr="00CA4CE3" w:rsidRDefault="0044704C" w:rsidP="0044704C">
      <w:pPr>
        <w:spacing w:before="240" w:after="120" w:line="360" w:lineRule="auto"/>
        <w:outlineLvl w:val="0"/>
        <w:rPr>
          <w:rFonts w:ascii="Times New Roman" w:hAnsi="Times New Roman" w:cs="Times New Roman"/>
          <w:bCs/>
          <w:i/>
          <w:szCs w:val="32"/>
        </w:rPr>
      </w:pPr>
      <w:r w:rsidRPr="00CA4CE3">
        <w:rPr>
          <w:rFonts w:ascii="Times New Roman" w:hAnsi="Times New Roman" w:cs="Times New Roman"/>
          <w:bCs/>
          <w:i/>
          <w:szCs w:val="32"/>
        </w:rPr>
        <w:t xml:space="preserve">ii. </w:t>
      </w:r>
      <w:r w:rsidR="00595C87">
        <w:rPr>
          <w:rFonts w:ascii="Times New Roman" w:hAnsi="Times New Roman" w:cs="Times New Roman"/>
          <w:bCs/>
          <w:i/>
          <w:szCs w:val="32"/>
        </w:rPr>
        <w:t xml:space="preserve">Monosulphate </w:t>
      </w:r>
      <w:r w:rsidR="0045002D">
        <w:rPr>
          <w:rFonts w:ascii="Times New Roman" w:hAnsi="Times New Roman" w:cs="Times New Roman"/>
          <w:bCs/>
          <w:i/>
          <w:szCs w:val="32"/>
        </w:rPr>
        <w:t>&amp; CAN</w:t>
      </w:r>
      <w:r w:rsidRPr="00CA4CE3">
        <w:rPr>
          <w:rFonts w:ascii="Times New Roman" w:hAnsi="Times New Roman" w:cs="Times New Roman"/>
          <w:bCs/>
          <w:i/>
          <w:szCs w:val="32"/>
        </w:rPr>
        <w:t xml:space="preserve"> Synthesis</w:t>
      </w:r>
    </w:p>
    <w:p w14:paraId="24C1C69E" w14:textId="52F2E05A" w:rsidR="0044704C" w:rsidRPr="00E908AE" w:rsidRDefault="0044704C" w:rsidP="0044704C">
      <w:pPr>
        <w:spacing w:before="240" w:after="120" w:line="360" w:lineRule="auto"/>
        <w:jc w:val="both"/>
        <w:rPr>
          <w:rFonts w:ascii="Times" w:hAnsi="Times" w:cs="Times New Roman"/>
        </w:rPr>
      </w:pPr>
      <w:r>
        <w:rPr>
          <w:rFonts w:ascii="Times" w:hAnsi="Times" w:cs="Times New Roman"/>
        </w:rPr>
        <w:t>The AFm and CAN syntheses were confirmed using XRD, the traces p</w:t>
      </w:r>
      <w:r w:rsidR="00BA3194">
        <w:rPr>
          <w:rFonts w:ascii="Times" w:hAnsi="Times" w:cs="Times New Roman"/>
        </w:rPr>
        <w:t>roduced are shown in figure 4.88</w:t>
      </w:r>
      <w:r>
        <w:rPr>
          <w:rFonts w:ascii="Times" w:hAnsi="Times" w:cs="Times New Roman"/>
        </w:rPr>
        <w:t xml:space="preserve">. The peak pattern for CAN is very well matched to those found in the cement analysis samples, giving support that this phase is formed. </w:t>
      </w:r>
    </w:p>
    <w:p w14:paraId="38ED6DBF" w14:textId="77777777" w:rsidR="0044704C" w:rsidRPr="00E908AE" w:rsidRDefault="0044704C" w:rsidP="0044704C">
      <w:pPr>
        <w:spacing w:before="240" w:after="120" w:line="360" w:lineRule="auto"/>
        <w:jc w:val="both"/>
        <w:rPr>
          <w:rFonts w:ascii="Times" w:hAnsi="Times" w:cs="Times New Roman"/>
        </w:rPr>
      </w:pPr>
    </w:p>
    <w:p w14:paraId="079803C5" w14:textId="1C40B04B" w:rsidR="0044704C" w:rsidRPr="00265CD0" w:rsidRDefault="0044704C" w:rsidP="00BA3194">
      <w:pPr>
        <w:ind w:hanging="284"/>
        <w:jc w:val="center"/>
        <w:rPr>
          <w:rFonts w:ascii="Times" w:hAnsi="Times" w:cs="Times New Roman"/>
        </w:rPr>
      </w:pPr>
      <w:r w:rsidRPr="00353BEE">
        <w:rPr>
          <w:rFonts w:ascii="Times" w:hAnsi="Times" w:cs="Times New Roman"/>
          <w:noProof/>
        </w:rPr>
        <w:lastRenderedPageBreak/>
        <w:drawing>
          <wp:inline distT="0" distB="0" distL="0" distR="0" wp14:anchorId="21E7B8F6" wp14:editId="51AF8085">
            <wp:extent cx="5107305" cy="1850328"/>
            <wp:effectExtent l="0" t="0" r="0" b="4445"/>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5">
                      <a:extLst>
                        <a:ext uri="{28A0092B-C50C-407E-A947-70E740481C1C}">
                          <a14:useLocalDpi xmlns:a14="http://schemas.microsoft.com/office/drawing/2010/main" val="0"/>
                        </a:ext>
                      </a:extLst>
                    </a:blip>
                    <a:srcRect l="8899" b="3148"/>
                    <a:stretch/>
                  </pic:blipFill>
                  <pic:spPr bwMode="auto">
                    <a:xfrm>
                      <a:off x="0" y="0"/>
                      <a:ext cx="5109264" cy="1851038"/>
                    </a:xfrm>
                    <a:prstGeom prst="rect">
                      <a:avLst/>
                    </a:prstGeom>
                    <a:noFill/>
                    <a:ln>
                      <a:noFill/>
                    </a:ln>
                    <a:extLst>
                      <a:ext uri="{53640926-AAD7-44d8-BBD7-CCE9431645EC}">
                        <a14:shadowObscured xmlns:a14="http://schemas.microsoft.com/office/drawing/2010/main"/>
                      </a:ext>
                    </a:extLst>
                  </pic:spPr>
                </pic:pic>
              </a:graphicData>
            </a:graphic>
          </wp:inline>
        </w:drawing>
      </w:r>
      <w:r w:rsidRPr="00E908AE">
        <w:rPr>
          <w:rFonts w:ascii="Times New Roman" w:hAnsi="Times New Roman" w:cs="Times New Roman"/>
          <w:b/>
        </w:rPr>
        <w:t xml:space="preserve">Figure </w:t>
      </w:r>
      <w:r>
        <w:rPr>
          <w:rFonts w:ascii="Times New Roman" w:hAnsi="Times New Roman" w:cs="Times New Roman"/>
          <w:b/>
        </w:rPr>
        <w:t>4.8</w:t>
      </w:r>
      <w:r w:rsidR="00BA3194">
        <w:rPr>
          <w:rFonts w:ascii="Times New Roman" w:hAnsi="Times New Roman" w:cs="Times New Roman"/>
          <w:b/>
        </w:rPr>
        <w:t>8</w:t>
      </w:r>
      <w:r w:rsidRPr="00E908AE">
        <w:rPr>
          <w:rFonts w:ascii="Times New Roman" w:hAnsi="Times New Roman" w:cs="Times New Roman"/>
        </w:rPr>
        <w:t>:</w:t>
      </w:r>
      <w:r w:rsidRPr="00E908AE">
        <w:rPr>
          <w:rFonts w:ascii="Times New Roman" w:hAnsi="Times New Roman" w:cs="Times New Roman"/>
          <w:i/>
        </w:rPr>
        <w:t xml:space="preserve"> </w:t>
      </w:r>
      <w:r w:rsidRPr="00E908AE">
        <w:rPr>
          <w:rFonts w:ascii="Times New Roman" w:hAnsi="Times New Roman" w:cs="Times New Roman"/>
        </w:rPr>
        <w:t xml:space="preserve">XRD traces </w:t>
      </w:r>
      <w:r>
        <w:rPr>
          <w:rFonts w:ascii="Times New Roman" w:hAnsi="Times New Roman" w:cs="Times New Roman"/>
        </w:rPr>
        <w:t>for synthesised AFm and CAN phases (</w:t>
      </w:r>
      <w:proofErr w:type="gramStart"/>
      <w:r>
        <w:rPr>
          <w:rFonts w:ascii="Times New Roman" w:hAnsi="Times New Roman" w:cs="Times New Roman"/>
        </w:rPr>
        <w:t>Sr(</w:t>
      </w:r>
      <w:proofErr w:type="gramEnd"/>
      <w:r>
        <w:rPr>
          <w:rFonts w:ascii="Times New Roman" w:hAnsi="Times New Roman" w:cs="Times New Roman"/>
        </w:rPr>
        <w:t>NO</w:t>
      </w:r>
      <w:r>
        <w:rPr>
          <w:rFonts w:ascii="Times New Roman" w:hAnsi="Times New Roman" w:cs="Times New Roman"/>
          <w:vertAlign w:val="subscript"/>
        </w:rPr>
        <w:t>3</w:t>
      </w:r>
      <w:r>
        <w:rPr>
          <w:rFonts w:ascii="Times New Roman" w:hAnsi="Times New Roman" w:cs="Times New Roman"/>
        </w:rPr>
        <w:t>)</w:t>
      </w:r>
      <w:r>
        <w:rPr>
          <w:rFonts w:ascii="Times New Roman" w:hAnsi="Times New Roman" w:cs="Times New Roman"/>
          <w:vertAlign w:val="subscript"/>
        </w:rPr>
        <w:t>2</w:t>
      </w:r>
      <w:r>
        <w:rPr>
          <w:rFonts w:ascii="Times New Roman" w:hAnsi="Times New Roman" w:cs="Times New Roman"/>
        </w:rPr>
        <w:t xml:space="preserve"> added to form CAN)</w:t>
      </w:r>
      <w:r w:rsidR="00065DFB">
        <w:rPr>
          <w:rFonts w:ascii="Times New Roman" w:hAnsi="Times New Roman" w:cs="Times New Roman"/>
        </w:rPr>
        <w:t xml:space="preserve"> </w:t>
      </w:r>
    </w:p>
    <w:p w14:paraId="6DD545B3" w14:textId="1D396D7C" w:rsidR="0044704C" w:rsidRPr="00600BBB" w:rsidRDefault="0044704C" w:rsidP="00BA3194">
      <w:pPr>
        <w:spacing w:line="480" w:lineRule="exact"/>
        <w:jc w:val="both"/>
        <w:rPr>
          <w:rFonts w:ascii="Times New Roman" w:hAnsi="Times New Roman" w:cs="Times New Roman"/>
        </w:rPr>
      </w:pPr>
      <w:r>
        <w:rPr>
          <w:rFonts w:ascii="Times" w:hAnsi="Times" w:cs="Times New Roman"/>
        </w:rPr>
        <w:br/>
        <w:t>The CAN XRD trace shows characteristic peaks of the CAN phase only</w:t>
      </w:r>
      <w:r w:rsidR="00595C87">
        <w:rPr>
          <w:rFonts w:ascii="Times" w:hAnsi="Times" w:cs="Times New Roman"/>
        </w:rPr>
        <w:t xml:space="preserve"> </w:t>
      </w:r>
      <w:r w:rsidR="00127D6C">
        <w:rPr>
          <w:rFonts w:ascii="Times" w:hAnsi="Times" w:cs="Times New Roman"/>
        </w:rPr>
        <w:t xml:space="preserve">when compared with the ICCD file [54-849] </w:t>
      </w:r>
      <w:r>
        <w:rPr>
          <w:rFonts w:ascii="Times" w:hAnsi="Times" w:cs="Times New Roman"/>
        </w:rPr>
        <w:t>and no trace of any other strontium or nitrate containing phases. This suggests that both the Sr</w:t>
      </w:r>
      <w:r w:rsidR="00065DFB">
        <w:rPr>
          <w:rFonts w:ascii="Times" w:hAnsi="Times" w:cs="Times New Roman"/>
          <w:vertAlign w:val="superscript"/>
        </w:rPr>
        <w:t>2+</w:t>
      </w:r>
      <w:r>
        <w:rPr>
          <w:rFonts w:ascii="Times" w:hAnsi="Times" w:cs="Times New Roman"/>
        </w:rPr>
        <w:t xml:space="preserve"> and NO</w:t>
      </w:r>
      <w:r>
        <w:rPr>
          <w:rFonts w:ascii="Times" w:hAnsi="Times" w:cs="Times New Roman"/>
          <w:vertAlign w:val="subscript"/>
        </w:rPr>
        <w:t>3</w:t>
      </w:r>
      <w:r>
        <w:rPr>
          <w:rFonts w:ascii="Times" w:hAnsi="Times" w:cs="Times New Roman"/>
          <w:vertAlign w:val="superscript"/>
        </w:rPr>
        <w:t>-</w:t>
      </w:r>
      <w:r>
        <w:rPr>
          <w:rFonts w:ascii="Times" w:hAnsi="Times" w:cs="Times New Roman"/>
        </w:rPr>
        <w:t xml:space="preserve"> </w:t>
      </w:r>
      <w:r w:rsidR="00595C87">
        <w:rPr>
          <w:rFonts w:ascii="Times" w:hAnsi="Times" w:cs="Times New Roman"/>
        </w:rPr>
        <w:t xml:space="preserve">are </w:t>
      </w:r>
      <w:r w:rsidR="005A0F0B">
        <w:rPr>
          <w:rFonts w:ascii="Times" w:hAnsi="Times" w:cs="Times New Roman"/>
        </w:rPr>
        <w:t xml:space="preserve">associated with the CAN phase, </w:t>
      </w:r>
      <w:r w:rsidR="00065DFB">
        <w:rPr>
          <w:rFonts w:ascii="Times" w:hAnsi="Times" w:cs="Times New Roman"/>
        </w:rPr>
        <w:t>possibly</w:t>
      </w:r>
      <w:r w:rsidR="005A0F0B">
        <w:rPr>
          <w:rFonts w:ascii="Times" w:hAnsi="Times" w:cs="Times New Roman"/>
        </w:rPr>
        <w:t xml:space="preserve"> substituting</w:t>
      </w:r>
      <w:r>
        <w:rPr>
          <w:rFonts w:ascii="Times" w:hAnsi="Times" w:cs="Times New Roman"/>
        </w:rPr>
        <w:t xml:space="preserve"> for Ca</w:t>
      </w:r>
      <w:r w:rsidR="00065DFB">
        <w:rPr>
          <w:rFonts w:ascii="Times" w:hAnsi="Times" w:cs="Times New Roman"/>
          <w:vertAlign w:val="superscript"/>
        </w:rPr>
        <w:t>2+</w:t>
      </w:r>
      <w:r>
        <w:rPr>
          <w:rFonts w:ascii="Times" w:hAnsi="Times" w:cs="Times New Roman"/>
        </w:rPr>
        <w:t xml:space="preserve"> and SO</w:t>
      </w:r>
      <w:r>
        <w:rPr>
          <w:rFonts w:ascii="Times" w:hAnsi="Times" w:cs="Times New Roman"/>
          <w:vertAlign w:val="subscript"/>
        </w:rPr>
        <w:t>4</w:t>
      </w:r>
      <w:r w:rsidR="00595C87">
        <w:rPr>
          <w:rFonts w:ascii="Times" w:hAnsi="Times" w:cs="Times New Roman"/>
          <w:vertAlign w:val="superscript"/>
        </w:rPr>
        <w:t>2-</w:t>
      </w:r>
      <w:r>
        <w:rPr>
          <w:rFonts w:ascii="Times" w:hAnsi="Times" w:cs="Times New Roman"/>
        </w:rPr>
        <w:t xml:space="preserve"> respectively within the AFm.  As stated earlier the nitrate substituting </w:t>
      </w:r>
      <w:r w:rsidR="007E0B55">
        <w:rPr>
          <w:rFonts w:ascii="Times" w:hAnsi="Times" w:cs="Times New Roman"/>
        </w:rPr>
        <w:t>for</w:t>
      </w:r>
      <w:r>
        <w:rPr>
          <w:rFonts w:ascii="Times" w:hAnsi="Times" w:cs="Times New Roman"/>
        </w:rPr>
        <w:t xml:space="preserve"> sulphate </w:t>
      </w:r>
      <w:r w:rsidR="005A0F0B">
        <w:rPr>
          <w:rFonts w:ascii="Times" w:hAnsi="Times" w:cs="Times New Roman"/>
        </w:rPr>
        <w:t>could</w:t>
      </w:r>
      <w:r>
        <w:rPr>
          <w:rFonts w:ascii="Times" w:hAnsi="Times" w:cs="Times New Roman"/>
        </w:rPr>
        <w:t xml:space="preserve"> mean a decrease in </w:t>
      </w:r>
      <w:proofErr w:type="gramStart"/>
      <w:r>
        <w:rPr>
          <w:rFonts w:ascii="Times" w:hAnsi="Times" w:cs="Times New Roman"/>
        </w:rPr>
        <w:t>d-spacing</w:t>
      </w:r>
      <w:proofErr w:type="gramEnd"/>
      <w:r>
        <w:rPr>
          <w:rFonts w:ascii="Times" w:hAnsi="Times" w:cs="Times New Roman"/>
        </w:rPr>
        <w:t xml:space="preserve"> and thus a shift to the right. On the other hand the strontium substituting for calcium would cause an increase and thus a shift to the left. These opposing shifts make it difficult to confirm whether or not strontium substitution is occurring. </w:t>
      </w:r>
      <w:r>
        <w:rPr>
          <w:rFonts w:ascii="Times New Roman" w:hAnsi="Times New Roman" w:cs="Times New Roman"/>
        </w:rPr>
        <w:t>As a result new samples were produced in which the strontium was added in the hydroxide form</w:t>
      </w:r>
      <w:r w:rsidR="009D0BD3">
        <w:rPr>
          <w:rFonts w:ascii="Times New Roman" w:hAnsi="Times New Roman" w:cs="Times New Roman"/>
        </w:rPr>
        <w:t xml:space="preserve"> in the AFm synthesis</w:t>
      </w:r>
      <w:r>
        <w:rPr>
          <w:rFonts w:ascii="Times New Roman" w:hAnsi="Times New Roman" w:cs="Times New Roman"/>
        </w:rPr>
        <w:t xml:space="preserve"> to attempt to monitor the AFm peak shift without the disturbance of the nitrate substitution and to also investigate whether the nitrate presence has an impact on the Sr and Cs immobilisation. The samples were produced using the same procedure as the CS, C, and S samples, and cured for 42 days.</w:t>
      </w:r>
      <w:r w:rsidR="00BA3194">
        <w:rPr>
          <w:rFonts w:ascii="Times" w:hAnsi="Times" w:cs="Times New Roman"/>
        </w:rPr>
        <w:t xml:space="preserve"> The XRD traces in figure 4.89</w:t>
      </w:r>
      <w:r>
        <w:rPr>
          <w:rFonts w:ascii="Times" w:hAnsi="Times" w:cs="Times New Roman"/>
        </w:rPr>
        <w:t xml:space="preserve"> compare the results for </w:t>
      </w:r>
      <w:r w:rsidRPr="005D67E1">
        <w:rPr>
          <w:rFonts w:ascii="Times" w:hAnsi="Times" w:cs="Times New Roman"/>
          <w:b/>
        </w:rPr>
        <w:t>0DB</w:t>
      </w:r>
      <w:r>
        <w:rPr>
          <w:rFonts w:ascii="Times" w:hAnsi="Times" w:cs="Times New Roman"/>
        </w:rPr>
        <w:t xml:space="preserve">, </w:t>
      </w:r>
      <w:r w:rsidR="005D67E1">
        <w:rPr>
          <w:rFonts w:ascii="Times" w:hAnsi="Times" w:cs="Times New Roman"/>
          <w:b/>
        </w:rPr>
        <w:t>0</w:t>
      </w:r>
      <w:r w:rsidR="005D67E1" w:rsidRPr="00CE1CA5">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rPr>
        <w:t xml:space="preserve">, </w:t>
      </w:r>
      <w:r w:rsidR="005D67E1">
        <w:rPr>
          <w:rFonts w:ascii="Times" w:hAnsi="Times" w:cs="Times New Roman"/>
          <w:b/>
        </w:rPr>
        <w:t>0</w:t>
      </w:r>
      <w:r w:rsidR="005D67E1" w:rsidRPr="00CE1CA5">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rPr>
        <w:t>-</w:t>
      </w:r>
      <w:r w:rsidRPr="005D67E1">
        <w:rPr>
          <w:rFonts w:ascii="Times" w:hAnsi="Times" w:cs="Times New Roman"/>
          <w:b/>
        </w:rPr>
        <w:t>OH</w:t>
      </w:r>
      <w:r>
        <w:rPr>
          <w:rFonts w:ascii="Times" w:hAnsi="Times" w:cs="Times New Roman"/>
        </w:rPr>
        <w:t xml:space="preserve">, </w:t>
      </w:r>
      <w:r w:rsidR="005D67E1" w:rsidRPr="005D67E1">
        <w:rPr>
          <w:rFonts w:ascii="Times" w:hAnsi="Times" w:cs="Times New Roman"/>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s</m:t>
            </m:r>
          </m:e>
        </m:acc>
      </m:oMath>
      <w:r w:rsidRPr="005D67E1">
        <w:rPr>
          <w:rFonts w:ascii="Times" w:hAnsi="Times" w:cs="Times New Roman"/>
          <w:b/>
        </w:rPr>
        <w:t>-OH</w:t>
      </w:r>
      <w:r>
        <w:rPr>
          <w:rFonts w:ascii="Times" w:hAnsi="Times" w:cs="Times New Roman"/>
        </w:rPr>
        <w:t xml:space="preserve"> and </w:t>
      </w:r>
      <w:r w:rsidR="005D67E1">
        <w:rPr>
          <w:rFonts w:ascii="Times" w:hAnsi="Times" w:cs="Times New Roman"/>
          <w:b/>
        </w:rPr>
        <w:t>0</w:t>
      </w:r>
      <w:r w:rsidR="005D67E1" w:rsidRPr="00CE1CA5">
        <w:rPr>
          <w:rFonts w:ascii="Times" w:hAnsi="Times" w:cs="Times New Roman"/>
          <w:b/>
        </w:rPr>
        <w:t>D</w:t>
      </w:r>
      <m:oMath>
        <m:acc>
          <m:accPr>
            <m:chr m:val="̅"/>
            <m:ctrlPr>
              <w:rPr>
                <w:rFonts w:ascii="Cambria Math" w:hAnsi="Cambria Math" w:cs="Arial"/>
                <w:i/>
                <w:sz w:val="36"/>
                <w:szCs w:val="36"/>
              </w:rPr>
            </m:ctrlPr>
          </m:accPr>
          <m:e>
            <m:r>
              <m:rPr>
                <m:sty m:val="p"/>
              </m:rPr>
              <w:rPr>
                <w:rFonts w:ascii="Cambria Math" w:hAnsi="Cambria Math" w:cs="Arial"/>
                <w:sz w:val="36"/>
                <w:szCs w:val="36"/>
              </w:rPr>
              <m:t>c</m:t>
            </m:r>
          </m:e>
        </m:acc>
      </m:oMath>
      <w:r>
        <w:rPr>
          <w:rFonts w:ascii="Times" w:hAnsi="Times" w:cs="Times New Roman"/>
        </w:rPr>
        <w:t>-</w:t>
      </w:r>
      <w:r w:rsidRPr="005D67E1">
        <w:rPr>
          <w:rFonts w:ascii="Times" w:hAnsi="Times" w:cs="Times New Roman"/>
          <w:b/>
        </w:rPr>
        <w:t>OH</w:t>
      </w:r>
      <w:r w:rsidR="009D0BD3">
        <w:rPr>
          <w:rFonts w:ascii="Times" w:hAnsi="Times" w:cs="Times New Roman"/>
          <w:b/>
        </w:rPr>
        <w:t xml:space="preserve">. </w:t>
      </w:r>
      <w:r w:rsidR="009D0BD3">
        <w:rPr>
          <w:rFonts w:ascii="Times New Roman" w:hAnsi="Times New Roman" w:cs="Times New Roman"/>
          <w:bCs/>
          <w:szCs w:val="32"/>
        </w:rPr>
        <w:t>Where OH indicates samples in which the caesium and/or the strontium were added in hydroxide form</w:t>
      </w:r>
      <w:r>
        <w:rPr>
          <w:rFonts w:ascii="Times" w:hAnsi="Times" w:cs="Times New Roman"/>
        </w:rPr>
        <w:t xml:space="preserve">. </w:t>
      </w:r>
      <w:r>
        <w:rPr>
          <w:rFonts w:ascii="Times New Roman" w:hAnsi="Times New Roman" w:cs="Times New Roman"/>
        </w:rPr>
        <w:t>The results show that the strontium</w:t>
      </w:r>
      <w:r w:rsidR="00CD45C8">
        <w:rPr>
          <w:rFonts w:ascii="Times New Roman" w:hAnsi="Times New Roman" w:cs="Times New Roman"/>
        </w:rPr>
        <w:t xml:space="preserve"> hydroxide (SOH)</w:t>
      </w:r>
      <w:r>
        <w:rPr>
          <w:rFonts w:ascii="Times New Roman" w:hAnsi="Times New Roman" w:cs="Times New Roman"/>
        </w:rPr>
        <w:t xml:space="preserve"> and caesium </w:t>
      </w:r>
      <w:r w:rsidR="00C96C1D">
        <w:rPr>
          <w:rFonts w:ascii="Times New Roman" w:hAnsi="Times New Roman" w:cs="Times New Roman"/>
        </w:rPr>
        <w:t xml:space="preserve">hydroxides </w:t>
      </w:r>
      <w:r w:rsidR="00CD45C8">
        <w:rPr>
          <w:rFonts w:ascii="Times New Roman" w:hAnsi="Times New Roman" w:cs="Times New Roman"/>
        </w:rPr>
        <w:t xml:space="preserve">(COH) </w:t>
      </w:r>
      <w:r w:rsidR="00C96C1D">
        <w:rPr>
          <w:rFonts w:ascii="Times New Roman" w:hAnsi="Times New Roman" w:cs="Times New Roman"/>
        </w:rPr>
        <w:t>were still present in the sample</w:t>
      </w:r>
      <w:r>
        <w:rPr>
          <w:rFonts w:ascii="Times New Roman" w:hAnsi="Times New Roman" w:cs="Times New Roman"/>
        </w:rPr>
        <w:t xml:space="preserve">, with no peaks associated with the AFm phase. There is however a much stronger peak for the hydrotalcite phase in all 3 samples. </w:t>
      </w:r>
      <w:r w:rsidR="00071635">
        <w:rPr>
          <w:rFonts w:ascii="Times New Roman" w:hAnsi="Times New Roman" w:cs="Times New Roman"/>
        </w:rPr>
        <w:t xml:space="preserve">One reason for this could be due to the increase in OH- in solution using up the Al to form HC, therefore leaving inefficient amounts to form AFm. </w:t>
      </w:r>
      <w:r w:rsidR="00E32F2C">
        <w:rPr>
          <w:rFonts w:ascii="Times New Roman" w:hAnsi="Times New Roman" w:cs="Times New Roman"/>
        </w:rPr>
        <w:t xml:space="preserve"> </w:t>
      </w:r>
      <w:r w:rsidR="00071635">
        <w:rPr>
          <w:rFonts w:ascii="Times New Roman" w:hAnsi="Times New Roman" w:cs="Times New Roman"/>
        </w:rPr>
        <w:t xml:space="preserve">Furthermore </w:t>
      </w:r>
      <w:r w:rsidR="00071635">
        <w:rPr>
          <w:rFonts w:ascii="Times New Roman" w:hAnsi="Times New Roman" w:cs="Times New Roman"/>
        </w:rPr>
        <w:lastRenderedPageBreak/>
        <w:t xml:space="preserve">Sr has been known to substitute for </w:t>
      </w:r>
      <w:r w:rsidR="004141C5">
        <w:rPr>
          <w:rFonts w:ascii="Times New Roman" w:hAnsi="Times New Roman" w:cs="Times New Roman"/>
        </w:rPr>
        <w:t xml:space="preserve">Ca </w:t>
      </w:r>
      <w:r w:rsidR="00071635">
        <w:rPr>
          <w:rFonts w:ascii="Times New Roman" w:hAnsi="Times New Roman" w:cs="Times New Roman"/>
        </w:rPr>
        <w:t xml:space="preserve">in calcite therefore there is a possibility that the Sr was partially retained in HC favouring the formation of this phase. </w:t>
      </w:r>
      <w:r w:rsidR="002A533E">
        <w:rPr>
          <w:rFonts w:ascii="Times New Roman" w:hAnsi="Times New Roman" w:cs="Times New Roman"/>
        </w:rPr>
        <w:t xml:space="preserve">Finally there is always the </w:t>
      </w:r>
      <w:r w:rsidR="00971672">
        <w:rPr>
          <w:rFonts w:ascii="Times New Roman" w:hAnsi="Times New Roman" w:cs="Times New Roman"/>
        </w:rPr>
        <w:t>possibility</w:t>
      </w:r>
      <w:r w:rsidR="002A533E">
        <w:rPr>
          <w:rFonts w:ascii="Times New Roman" w:hAnsi="Times New Roman" w:cs="Times New Roman"/>
        </w:rPr>
        <w:t xml:space="preserve"> that the strontium hydroxide was not soluble enough to actually to take part in any phase forming reactions within the cement. </w:t>
      </w:r>
    </w:p>
    <w:p w14:paraId="29DFD984" w14:textId="77777777" w:rsidR="0044704C" w:rsidRDefault="0044704C" w:rsidP="0044704C">
      <w:pPr>
        <w:spacing w:before="240" w:after="120" w:line="360" w:lineRule="auto"/>
        <w:jc w:val="both"/>
        <w:rPr>
          <w:rFonts w:ascii="Times" w:hAnsi="Times" w:cs="Times New Roman"/>
        </w:rPr>
      </w:pPr>
    </w:p>
    <w:p w14:paraId="57CE27D5" w14:textId="46325903" w:rsidR="0044704C" w:rsidRPr="00BA3194" w:rsidRDefault="0044704C" w:rsidP="00BA3194">
      <w:pPr>
        <w:spacing w:before="240" w:after="120"/>
        <w:ind w:hanging="284"/>
        <w:jc w:val="center"/>
        <w:rPr>
          <w:rFonts w:ascii="Times New Roman" w:hAnsi="Times New Roman" w:cs="Times New Roman"/>
        </w:rPr>
      </w:pPr>
      <w:r w:rsidRPr="00CF4755">
        <w:rPr>
          <w:noProof/>
        </w:rPr>
        <w:drawing>
          <wp:inline distT="0" distB="0" distL="0" distR="0" wp14:anchorId="54E24F46" wp14:editId="09080BEC">
            <wp:extent cx="5831462" cy="3929139"/>
            <wp:effectExtent l="0" t="0" r="0" b="8255"/>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832288" cy="3929695"/>
                    </a:xfrm>
                    <a:prstGeom prst="rect">
                      <a:avLst/>
                    </a:prstGeom>
                    <a:noFill/>
                    <a:ln>
                      <a:noFill/>
                    </a:ln>
                  </pic:spPr>
                </pic:pic>
              </a:graphicData>
            </a:graphic>
          </wp:inline>
        </w:drawing>
      </w:r>
      <w:r w:rsidRPr="00600BBB">
        <w:rPr>
          <w:rFonts w:ascii="Times New Roman" w:hAnsi="Times New Roman" w:cs="Times New Roman"/>
          <w:b/>
        </w:rPr>
        <w:t xml:space="preserve"> </w:t>
      </w:r>
      <w:r w:rsidRPr="00E908AE">
        <w:rPr>
          <w:rFonts w:ascii="Times New Roman" w:hAnsi="Times New Roman" w:cs="Times New Roman"/>
          <w:b/>
        </w:rPr>
        <w:t xml:space="preserve">Figure </w:t>
      </w:r>
      <w:r>
        <w:rPr>
          <w:rFonts w:ascii="Times New Roman" w:hAnsi="Times New Roman" w:cs="Times New Roman"/>
          <w:b/>
        </w:rPr>
        <w:t>4.8</w:t>
      </w:r>
      <w:r w:rsidR="00BA3194">
        <w:rPr>
          <w:rFonts w:ascii="Times New Roman" w:hAnsi="Times New Roman" w:cs="Times New Roman"/>
          <w:b/>
        </w:rPr>
        <w:t>9</w:t>
      </w:r>
      <w:r w:rsidRPr="00E908AE">
        <w:rPr>
          <w:rFonts w:ascii="Times New Roman" w:hAnsi="Times New Roman" w:cs="Times New Roman"/>
        </w:rPr>
        <w:t>:</w:t>
      </w:r>
      <w:r w:rsidRPr="00E908AE">
        <w:rPr>
          <w:rFonts w:ascii="Times New Roman" w:hAnsi="Times New Roman" w:cs="Times New Roman"/>
          <w:i/>
        </w:rPr>
        <w:t xml:space="preserve"> </w:t>
      </w:r>
      <w:r w:rsidRPr="00E908AE">
        <w:rPr>
          <w:rFonts w:ascii="Times New Roman" w:hAnsi="Times New Roman" w:cs="Times New Roman"/>
        </w:rPr>
        <w:t xml:space="preserve">XRD traces </w:t>
      </w:r>
      <w:r>
        <w:rPr>
          <w:rFonts w:ascii="Times New Roman" w:hAnsi="Times New Roman" w:cs="Times New Roman"/>
        </w:rPr>
        <w:t xml:space="preserve">for various formulations </w:t>
      </w:r>
      <w:r w:rsidR="002774C5">
        <w:rPr>
          <w:rFonts w:ascii="Times New Roman" w:hAnsi="Times New Roman" w:cs="Times New Roman"/>
        </w:rPr>
        <w:t>of cements</w:t>
      </w:r>
    </w:p>
    <w:p w14:paraId="7DCD2F26" w14:textId="77777777" w:rsidR="00BA3194" w:rsidRDefault="00BA3194" w:rsidP="0044704C">
      <w:pPr>
        <w:spacing w:before="240" w:after="120" w:line="360" w:lineRule="auto"/>
        <w:outlineLvl w:val="0"/>
        <w:rPr>
          <w:rFonts w:ascii="Times New Roman" w:hAnsi="Times New Roman" w:cs="Times New Roman"/>
          <w:b/>
          <w:bCs/>
          <w:smallCaps/>
          <w:sz w:val="32"/>
          <w:szCs w:val="28"/>
        </w:rPr>
      </w:pPr>
    </w:p>
    <w:p w14:paraId="1ADAFBC2" w14:textId="77777777" w:rsidR="0044704C" w:rsidRDefault="0044704C" w:rsidP="0044704C">
      <w:pPr>
        <w:spacing w:before="240" w:after="120" w:line="360" w:lineRule="auto"/>
        <w:outlineLvl w:val="0"/>
        <w:rPr>
          <w:rFonts w:ascii="Times New Roman" w:hAnsi="Times New Roman" w:cs="Times New Roman"/>
          <w:b/>
          <w:bCs/>
          <w:smallCaps/>
          <w:sz w:val="32"/>
          <w:szCs w:val="28"/>
        </w:rPr>
      </w:pPr>
      <w:r>
        <w:rPr>
          <w:rFonts w:ascii="Times New Roman" w:hAnsi="Times New Roman" w:cs="Times New Roman"/>
          <w:b/>
          <w:bCs/>
          <w:smallCaps/>
          <w:sz w:val="32"/>
          <w:szCs w:val="28"/>
        </w:rPr>
        <w:t xml:space="preserve">4.3.1.3 </w:t>
      </w:r>
      <w:r>
        <w:rPr>
          <w:rFonts w:ascii="Times New Roman" w:hAnsi="Times New Roman" w:cs="Times New Roman"/>
          <w:b/>
          <w:bCs/>
          <w:smallCaps/>
          <w:sz w:val="32"/>
          <w:szCs w:val="28"/>
        </w:rPr>
        <w:tab/>
        <w:t>Solution Analysis</w:t>
      </w:r>
    </w:p>
    <w:p w14:paraId="5DF91219" w14:textId="421C5E5B" w:rsidR="0044704C" w:rsidRPr="0050038C" w:rsidRDefault="0044704C" w:rsidP="0044704C">
      <w:pPr>
        <w:spacing w:before="240" w:after="120" w:line="360" w:lineRule="auto"/>
        <w:jc w:val="both"/>
        <w:rPr>
          <w:rFonts w:ascii="Times" w:hAnsi="Times" w:cs="Times New Roman"/>
          <w:color w:val="000000" w:themeColor="text1"/>
        </w:rPr>
      </w:pPr>
      <w:r w:rsidRPr="0050038C">
        <w:rPr>
          <w:rFonts w:ascii="Times" w:hAnsi="Times" w:cs="Times New Roman"/>
          <w:color w:val="000000" w:themeColor="text1"/>
        </w:rPr>
        <w:t xml:space="preserve">This section investigates the differences in leaching behaviour of caesium </w:t>
      </w:r>
      <w:r w:rsidR="00CB554D">
        <w:rPr>
          <w:rFonts w:ascii="Times" w:hAnsi="Times" w:cs="Times New Roman"/>
          <w:color w:val="000000" w:themeColor="text1"/>
        </w:rPr>
        <w:t xml:space="preserve">and strontium, </w:t>
      </w:r>
      <w:r w:rsidRPr="0050038C">
        <w:rPr>
          <w:rFonts w:ascii="Times" w:hAnsi="Times" w:cs="Times New Roman"/>
          <w:color w:val="000000" w:themeColor="text1"/>
        </w:rPr>
        <w:t xml:space="preserve">when they are added together and separately, with a view to discuss the retention mechanisms of the waste simulants and the cement matrix. </w:t>
      </w:r>
    </w:p>
    <w:p w14:paraId="7E671B34" w14:textId="77777777" w:rsidR="00BA3194" w:rsidRDefault="0044704C" w:rsidP="00BA3194">
      <w:pPr>
        <w:spacing w:before="240" w:after="120" w:line="360" w:lineRule="auto"/>
        <w:outlineLvl w:val="0"/>
        <w:rPr>
          <w:rFonts w:ascii="Times New Roman" w:hAnsi="Times New Roman" w:cs="Times New Roman"/>
          <w:bCs/>
          <w:i/>
          <w:szCs w:val="32"/>
        </w:rPr>
      </w:pPr>
      <w:r w:rsidRPr="00CA4CE3">
        <w:rPr>
          <w:rFonts w:ascii="Times New Roman" w:hAnsi="Times New Roman" w:cs="Times New Roman"/>
          <w:bCs/>
          <w:i/>
          <w:szCs w:val="32"/>
        </w:rPr>
        <w:t>i. ICP-MS</w:t>
      </w:r>
    </w:p>
    <w:p w14:paraId="022FEBED" w14:textId="548B996B" w:rsidR="0044704C" w:rsidRPr="00BA3194" w:rsidRDefault="0044704C" w:rsidP="00BA3194">
      <w:pPr>
        <w:spacing w:before="240" w:after="120" w:line="360" w:lineRule="auto"/>
        <w:jc w:val="both"/>
        <w:outlineLvl w:val="0"/>
        <w:rPr>
          <w:rFonts w:ascii="Times" w:hAnsi="Times" w:cs="Arial"/>
        </w:rPr>
      </w:pPr>
      <w:r w:rsidRPr="00BA3194">
        <w:rPr>
          <w:rFonts w:ascii="Times" w:hAnsi="Times" w:cs="Arial"/>
        </w:rPr>
        <w:lastRenderedPageBreak/>
        <w:t xml:space="preserve">The amounts of Ca, Cs and Sr leached into water for samples B and CS over a </w:t>
      </w:r>
      <w:proofErr w:type="gramStart"/>
      <w:r w:rsidRPr="00BA3194">
        <w:rPr>
          <w:rFonts w:ascii="Times" w:hAnsi="Times" w:cs="Arial"/>
        </w:rPr>
        <w:t>720 day</w:t>
      </w:r>
      <w:proofErr w:type="gramEnd"/>
      <w:r w:rsidRPr="00BA3194">
        <w:rPr>
          <w:rFonts w:ascii="Times" w:hAnsi="Times" w:cs="Arial"/>
        </w:rPr>
        <w:t xml:space="preserve"> period were analysed. The normalised leaching rates, NR</w:t>
      </w:r>
      <w:r w:rsidRPr="00BA3194">
        <w:rPr>
          <w:rFonts w:ascii="Times" w:hAnsi="Times" w:cs="Arial"/>
          <w:i/>
          <w:vertAlign w:val="subscript"/>
        </w:rPr>
        <w:t>i</w:t>
      </w:r>
      <w:r w:rsidRPr="00BA3194">
        <w:rPr>
          <w:rFonts w:ascii="Times" w:hAnsi="Times" w:cs="Arial"/>
        </w:rPr>
        <w:t>, were calculated using</w:t>
      </w:r>
      <w:r w:rsidR="00005804" w:rsidRPr="00BA3194">
        <w:rPr>
          <w:rFonts w:ascii="Times" w:hAnsi="Times" w:cs="Arial"/>
        </w:rPr>
        <w:t xml:space="preserve"> equation 4.3</w:t>
      </w:r>
      <w:r w:rsidRPr="00BA3194">
        <w:rPr>
          <w:rFonts w:ascii="Times" w:hAnsi="Times" w:cs="Arial"/>
        </w:rPr>
        <w:t>.</w:t>
      </w:r>
    </w:p>
    <w:p w14:paraId="037A833F" w14:textId="4619161D" w:rsidR="0044704C" w:rsidRPr="00E908AE" w:rsidRDefault="0044704C" w:rsidP="002D0824">
      <w:pPr>
        <w:shd w:val="clear" w:color="auto" w:fill="FFFFFF"/>
        <w:spacing w:before="240" w:after="120" w:line="480" w:lineRule="exact"/>
        <w:jc w:val="both"/>
        <w:rPr>
          <w:rFonts w:ascii="Times" w:hAnsi="Times" w:cs="Arial"/>
          <w:noProof/>
          <w:lang w:eastAsia="en-GB"/>
        </w:rPr>
      </w:pPr>
      <w:r>
        <w:rPr>
          <w:rFonts w:ascii="Times" w:hAnsi="Times" w:cs="Arial"/>
        </w:rPr>
        <w:t>The calcium leaching be</w:t>
      </w:r>
      <w:r w:rsidR="00BA3194">
        <w:rPr>
          <w:rFonts w:ascii="Times" w:hAnsi="Times" w:cs="Arial"/>
        </w:rPr>
        <w:t xml:space="preserve">haviour is shown in </w:t>
      </w:r>
      <w:r w:rsidR="00971672">
        <w:rPr>
          <w:rFonts w:ascii="Times" w:hAnsi="Times" w:cs="Arial"/>
        </w:rPr>
        <w:t>figure</w:t>
      </w:r>
      <w:r w:rsidR="00EC2704">
        <w:rPr>
          <w:rFonts w:ascii="Times" w:hAnsi="Times" w:cs="Arial"/>
        </w:rPr>
        <w:t xml:space="preserve"> 4.90</w:t>
      </w:r>
      <w:r>
        <w:rPr>
          <w:rFonts w:ascii="Times" w:hAnsi="Times" w:cs="Arial"/>
        </w:rPr>
        <w:t xml:space="preserve"> which shows that Ca leached</w:t>
      </w:r>
      <w:r w:rsidRPr="00E908AE">
        <w:rPr>
          <w:rFonts w:ascii="Times" w:hAnsi="Times" w:cs="Arial"/>
        </w:rPr>
        <w:t xml:space="preserve"> from sample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sidR="00EC2704">
        <w:rPr>
          <w:rFonts w:ascii="Times" w:hAnsi="Times" w:cs="Arial"/>
          <w:bCs/>
          <w:color w:val="000000"/>
        </w:rPr>
        <w:t xml:space="preserve"> </w:t>
      </w:r>
      <w:r w:rsidR="00EC2704">
        <w:rPr>
          <w:rFonts w:ascii="Times" w:hAnsi="Times"/>
          <w:sz w:val="20"/>
          <w:szCs w:val="20"/>
          <w:lang w:val="en-GB"/>
        </w:rPr>
        <w:t xml:space="preserve"> </w:t>
      </w:r>
      <w:r w:rsidRPr="00E908AE">
        <w:rPr>
          <w:rFonts w:ascii="Times" w:hAnsi="Times" w:cs="Arial"/>
        </w:rPr>
        <w:t>at</w:t>
      </w:r>
      <w:proofErr w:type="gramEnd"/>
      <w:r w:rsidRPr="00E908AE">
        <w:rPr>
          <w:rFonts w:ascii="Times" w:hAnsi="Times" w:cs="Arial"/>
        </w:rPr>
        <w:t xml:space="preserve"> a significantly higher rate than from sample B. Both rates decreased with time and became nearly constant at around 3 months. </w:t>
      </w:r>
      <w:r w:rsidR="00EC2704">
        <w:rPr>
          <w:rFonts w:ascii="Times" w:hAnsi="Times" w:cs="Arial"/>
          <w:noProof/>
          <w:lang w:eastAsia="en-GB"/>
        </w:rPr>
        <w:t>Figure 4.91</w:t>
      </w:r>
      <w:r w:rsidR="00BA3194">
        <w:rPr>
          <w:rFonts w:ascii="Times" w:hAnsi="Times" w:cs="Arial"/>
          <w:noProof/>
          <w:lang w:eastAsia="en-GB"/>
        </w:rPr>
        <w:t xml:space="preserve"> </w:t>
      </w:r>
      <w:r w:rsidRPr="00E908AE">
        <w:rPr>
          <w:rFonts w:ascii="Times" w:hAnsi="Times" w:cs="Arial"/>
          <w:noProof/>
          <w:lang w:eastAsia="en-GB"/>
        </w:rPr>
        <w:t>shows that the leaching rate of Cs was almost three times that of Sr</w:t>
      </w:r>
      <w:r w:rsidR="00337D5E">
        <w:rPr>
          <w:rFonts w:ascii="Times" w:hAnsi="Times" w:cs="Arial"/>
          <w:noProof/>
          <w:lang w:eastAsia="en-GB"/>
        </w:rPr>
        <w:t>.</w:t>
      </w:r>
      <w:r w:rsidR="0079540C">
        <w:rPr>
          <w:rFonts w:ascii="Times" w:hAnsi="Times" w:cs="Arial"/>
          <w:noProof/>
          <w:lang w:eastAsia="en-GB"/>
        </w:rPr>
        <w:t xml:space="preserve"> An indicator of the levels of retention of both Cs and Sr is their relative leaching behaviour.</w:t>
      </w:r>
      <w:r w:rsidR="00337D5E">
        <w:rPr>
          <w:rFonts w:ascii="Times" w:hAnsi="Times" w:cs="Arial"/>
          <w:noProof/>
          <w:lang w:eastAsia="en-GB"/>
        </w:rPr>
        <w:t xml:space="preserve"> If Cs and Sr were leaching congruently the leaching rate</w:t>
      </w:r>
      <w:r w:rsidR="001672AC">
        <w:rPr>
          <w:rFonts w:ascii="Times" w:hAnsi="Times" w:cs="Arial"/>
          <w:noProof/>
          <w:lang w:eastAsia="en-GB"/>
        </w:rPr>
        <w:t xml:space="preserve"> of</w:t>
      </w:r>
      <w:r w:rsidR="00337D5E">
        <w:rPr>
          <w:rFonts w:ascii="Times" w:hAnsi="Times" w:cs="Arial"/>
          <w:noProof/>
          <w:lang w:eastAsia="en-GB"/>
        </w:rPr>
        <w:t xml:space="preserve"> Cs is expected</w:t>
      </w:r>
      <w:r w:rsidR="0079540C">
        <w:rPr>
          <w:rFonts w:ascii="Times" w:hAnsi="Times" w:cs="Arial"/>
          <w:noProof/>
          <w:lang w:eastAsia="en-GB"/>
        </w:rPr>
        <w:t xml:space="preserve"> to be the same as that of Sr, as they were added at a weight proportion of 1:1</w:t>
      </w:r>
      <w:r w:rsidR="00337D5E">
        <w:rPr>
          <w:rFonts w:ascii="Times" w:hAnsi="Times" w:cs="Arial"/>
          <w:noProof/>
          <w:lang w:eastAsia="en-GB"/>
        </w:rPr>
        <w:t xml:space="preserve">. However it is much higher than this, suggesting the two are </w:t>
      </w:r>
      <w:r w:rsidR="0079540C">
        <w:rPr>
          <w:rFonts w:ascii="Times" w:hAnsi="Times" w:cs="Arial"/>
          <w:noProof/>
          <w:lang w:eastAsia="en-GB"/>
        </w:rPr>
        <w:t>retained differently within the cement</w:t>
      </w:r>
      <w:r w:rsidRPr="00337D5E">
        <w:rPr>
          <w:rFonts w:ascii="Times" w:hAnsi="Times" w:cs="Arial"/>
          <w:noProof/>
          <w:lang w:eastAsia="en-GB"/>
        </w:rPr>
        <w:t>.</w:t>
      </w:r>
      <w:r w:rsidRPr="00E908AE">
        <w:rPr>
          <w:rFonts w:ascii="Times" w:hAnsi="Times" w:cs="Arial"/>
          <w:noProof/>
          <w:lang w:eastAsia="en-GB"/>
        </w:rPr>
        <w:t xml:space="preserve"> It is also clear that these elements leach out at a significantly higher rate than Ca from the same sample.</w:t>
      </w:r>
    </w:p>
    <w:p w14:paraId="0E09B872" w14:textId="77777777" w:rsidR="0044704C" w:rsidRPr="00E908AE" w:rsidRDefault="0044704C" w:rsidP="002D0824">
      <w:pPr>
        <w:shd w:val="clear" w:color="auto" w:fill="FFFFFF"/>
        <w:spacing w:before="240" w:after="120" w:line="480" w:lineRule="exact"/>
        <w:rPr>
          <w:rFonts w:ascii="Times" w:hAnsi="Times" w:cs="Arial"/>
          <w:b/>
        </w:rPr>
      </w:pPr>
    </w:p>
    <w:p w14:paraId="25F5AC7F" w14:textId="77777777" w:rsidR="0044704C" w:rsidRPr="00E908AE" w:rsidRDefault="0044704C" w:rsidP="002D0824">
      <w:pPr>
        <w:shd w:val="clear" w:color="auto" w:fill="FFFFFF"/>
        <w:spacing w:before="240" w:after="120" w:line="480" w:lineRule="exact"/>
        <w:rPr>
          <w:rFonts w:ascii="Times" w:hAnsi="Times" w:cs="Arial"/>
          <w:b/>
        </w:rPr>
      </w:pPr>
    </w:p>
    <w:p w14:paraId="5CE74C7B" w14:textId="4EDA893B" w:rsidR="0044704C" w:rsidRPr="00E55151" w:rsidRDefault="0044704C" w:rsidP="0044704C">
      <w:pPr>
        <w:shd w:val="clear" w:color="auto" w:fill="FFFFFF"/>
        <w:spacing w:before="240" w:after="120" w:line="360" w:lineRule="auto"/>
        <w:ind w:left="284" w:hanging="426"/>
        <w:jc w:val="center"/>
        <w:rPr>
          <w:rFonts w:ascii="Times" w:hAnsi="Times"/>
          <w:noProof/>
          <w:lang w:eastAsia="en-GB"/>
        </w:rPr>
      </w:pPr>
      <w:r>
        <w:rPr>
          <w:noProof/>
        </w:rPr>
        <w:drawing>
          <wp:inline distT="0" distB="0" distL="0" distR="0" wp14:anchorId="14BE07E5" wp14:editId="3D78FB53">
            <wp:extent cx="5486400" cy="2618740"/>
            <wp:effectExtent l="0" t="0" r="0" b="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r w:rsidRPr="00556E73">
        <w:rPr>
          <w:rFonts w:ascii="Times" w:hAnsi="Times" w:cs="Arial"/>
          <w:b/>
          <w:color w:val="000000"/>
        </w:rPr>
        <w:t>Figure 4.</w:t>
      </w:r>
      <w:r w:rsidR="002D0824">
        <w:rPr>
          <w:rFonts w:ascii="Times" w:hAnsi="Times" w:cs="Arial"/>
          <w:b/>
          <w:color w:val="000000"/>
        </w:rPr>
        <w:t>90</w:t>
      </w:r>
      <w:r>
        <w:rPr>
          <w:rFonts w:ascii="Times" w:hAnsi="Times" w:cs="Arial"/>
          <w:color w:val="000000"/>
        </w:rPr>
        <w:t xml:space="preserve">: </w:t>
      </w:r>
      <w:r w:rsidRPr="00E908AE">
        <w:rPr>
          <w:rFonts w:ascii="Times" w:hAnsi="Times" w:cs="Arial"/>
          <w:color w:val="000000"/>
        </w:rPr>
        <w:t xml:space="preserve">Normalised leaching rates over 2 years </w:t>
      </w:r>
      <w:r>
        <w:rPr>
          <w:rFonts w:ascii="Times" w:hAnsi="Times" w:cs="Arial"/>
          <w:color w:val="000000"/>
        </w:rPr>
        <w:t xml:space="preserve">of </w:t>
      </w:r>
      <w:r w:rsidRPr="00E908AE">
        <w:rPr>
          <w:rFonts w:ascii="Times" w:hAnsi="Times" w:cs="Arial"/>
          <w:color w:val="000000"/>
        </w:rPr>
        <w:t xml:space="preserve">Ca </w:t>
      </w:r>
    </w:p>
    <w:p w14:paraId="306DDFB1" w14:textId="7C945447" w:rsidR="0044704C" w:rsidRPr="004B29CC" w:rsidRDefault="0044704C" w:rsidP="0044704C">
      <w:pPr>
        <w:shd w:val="clear" w:color="auto" w:fill="FFFFFF"/>
        <w:spacing w:before="240" w:after="120" w:line="360" w:lineRule="auto"/>
        <w:ind w:hanging="142"/>
        <w:jc w:val="center"/>
        <w:rPr>
          <w:rFonts w:ascii="Arial" w:hAnsi="Arial" w:cs="Arial"/>
          <w:noProof/>
          <w:lang w:eastAsia="en-GB"/>
        </w:rPr>
      </w:pPr>
      <w:r w:rsidRPr="00A7722C">
        <w:rPr>
          <w:noProof/>
        </w:rPr>
        <w:lastRenderedPageBreak/>
        <w:drawing>
          <wp:inline distT="0" distB="0" distL="0" distR="0" wp14:anchorId="46C93B69" wp14:editId="413EF4A3">
            <wp:extent cx="5486400" cy="2798424"/>
            <wp:effectExtent l="0" t="0" r="0" b="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r>
        <w:rPr>
          <w:rFonts w:ascii="Times" w:hAnsi="Times" w:cs="Arial"/>
          <w:b/>
          <w:color w:val="000000"/>
        </w:rPr>
        <w:t>Figure 4.</w:t>
      </w:r>
      <w:r w:rsidR="002D0824">
        <w:rPr>
          <w:rFonts w:ascii="Times" w:hAnsi="Times" w:cs="Arial"/>
          <w:b/>
          <w:color w:val="000000"/>
        </w:rPr>
        <w:t>91</w:t>
      </w:r>
      <w:r>
        <w:rPr>
          <w:rFonts w:ascii="Times" w:hAnsi="Times" w:cs="Arial"/>
          <w:color w:val="000000"/>
        </w:rPr>
        <w:t xml:space="preserve">: Normalised leaching rates over 2 years for </w:t>
      </w:r>
      <w:r w:rsidRPr="00E908AE">
        <w:rPr>
          <w:rFonts w:ascii="Times" w:hAnsi="Times" w:cs="Arial"/>
          <w:color w:val="000000"/>
        </w:rPr>
        <w:t xml:space="preserve">Cs and Sr </w:t>
      </w:r>
      <w:r w:rsidR="005D67E1">
        <w:rPr>
          <w:rFonts w:ascii="Times" w:hAnsi="Times" w:cs="Arial"/>
          <w:color w:val="000000"/>
        </w:rPr>
        <w:t xml:space="preserve">from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
    <w:p w14:paraId="022B52BC" w14:textId="2646DFEA" w:rsidR="0044704C" w:rsidRPr="00056BC2" w:rsidRDefault="0044704C" w:rsidP="0044704C">
      <w:pPr>
        <w:shd w:val="clear" w:color="auto" w:fill="FFFFFF"/>
        <w:spacing w:before="240" w:after="120" w:line="360" w:lineRule="auto"/>
        <w:jc w:val="both"/>
        <w:rPr>
          <w:rFonts w:ascii="Times New Roman" w:hAnsi="Times New Roman" w:cs="Times New Roman"/>
        </w:rPr>
      </w:pPr>
      <w:r w:rsidRPr="00056BC2">
        <w:rPr>
          <w:rFonts w:ascii="Times New Roman" w:hAnsi="Times New Roman" w:cs="Times New Roman"/>
          <w:color w:val="000000"/>
        </w:rPr>
        <w:t>The leaching rates of Cs and Sr are c</w:t>
      </w:r>
      <w:r>
        <w:rPr>
          <w:rFonts w:ascii="Times New Roman" w:hAnsi="Times New Roman" w:cs="Times New Roman"/>
          <w:color w:val="000000"/>
        </w:rPr>
        <w:t>ompa</w:t>
      </w:r>
      <w:r w:rsidR="001B365C">
        <w:rPr>
          <w:rFonts w:ascii="Times New Roman" w:hAnsi="Times New Roman" w:cs="Times New Roman"/>
          <w:color w:val="000000"/>
        </w:rPr>
        <w:t>red with those of Ca in Figure 4.92</w:t>
      </w:r>
      <w:r w:rsidRPr="00056BC2">
        <w:rPr>
          <w:rFonts w:ascii="Times New Roman" w:hAnsi="Times New Roman" w:cs="Times New Roman"/>
          <w:color w:val="000000"/>
        </w:rPr>
        <w:t xml:space="preserve">. </w:t>
      </w:r>
      <w:r w:rsidRPr="00056BC2">
        <w:rPr>
          <w:rFonts w:ascii="Times New Roman" w:hAnsi="Times New Roman" w:cs="Times New Roman"/>
        </w:rPr>
        <w:t xml:space="preserve">For congruent leaching, </w:t>
      </w:r>
      <w:r w:rsidR="0063741A">
        <w:rPr>
          <w:rFonts w:ascii="Times New Roman" w:hAnsi="Times New Roman" w:cs="Times New Roman"/>
        </w:rPr>
        <w:t xml:space="preserve">based </w:t>
      </w:r>
      <w:r w:rsidR="00CC117D">
        <w:rPr>
          <w:rFonts w:ascii="Times New Roman" w:hAnsi="Times New Roman" w:cs="Times New Roman"/>
        </w:rPr>
        <w:t>on weight</w:t>
      </w:r>
      <w:r w:rsidR="005558F6">
        <w:rPr>
          <w:rFonts w:ascii="Times New Roman" w:hAnsi="Times New Roman" w:cs="Times New Roman"/>
        </w:rPr>
        <w:t xml:space="preserve"> proportions present in the sample</w:t>
      </w:r>
      <w:r w:rsidR="0063741A">
        <w:rPr>
          <w:rFonts w:ascii="Times New Roman" w:hAnsi="Times New Roman" w:cs="Times New Roman"/>
        </w:rPr>
        <w:t xml:space="preserve"> a </w:t>
      </w:r>
      <w:r w:rsidR="006F2738">
        <w:rPr>
          <w:rFonts w:ascii="Times New Roman" w:hAnsi="Times New Roman" w:cs="Times New Roman"/>
        </w:rPr>
        <w:t xml:space="preserve">very high </w:t>
      </w:r>
      <w:r w:rsidR="0063741A">
        <w:rPr>
          <w:rFonts w:ascii="Times New Roman" w:hAnsi="Times New Roman" w:cs="Times New Roman"/>
        </w:rPr>
        <w:t>leaching rate</w:t>
      </w:r>
      <w:r w:rsidR="006F2738">
        <w:rPr>
          <w:rFonts w:ascii="Times New Roman" w:hAnsi="Times New Roman" w:cs="Times New Roman"/>
        </w:rPr>
        <w:t xml:space="preserve"> of calcium is expected in comparison to Cs and Sr, if congruent leaching was </w:t>
      </w:r>
      <w:r w:rsidR="004141C5">
        <w:rPr>
          <w:rFonts w:ascii="Times New Roman" w:hAnsi="Times New Roman" w:cs="Times New Roman"/>
        </w:rPr>
        <w:t>occurring</w:t>
      </w:r>
      <w:r w:rsidR="001B365C">
        <w:rPr>
          <w:rFonts w:ascii="Times New Roman" w:hAnsi="Times New Roman" w:cs="Times New Roman"/>
        </w:rPr>
        <w:t xml:space="preserve">. </w:t>
      </w:r>
      <w:r w:rsidR="006F2738">
        <w:rPr>
          <w:rFonts w:ascii="Times New Roman" w:hAnsi="Times New Roman" w:cs="Times New Roman"/>
        </w:rPr>
        <w:t>However f</w:t>
      </w:r>
      <w:r w:rsidR="001B365C">
        <w:rPr>
          <w:rFonts w:ascii="Times New Roman" w:hAnsi="Times New Roman" w:cs="Times New Roman"/>
        </w:rPr>
        <w:t>igure 4.92</w:t>
      </w:r>
      <w:r w:rsidRPr="00056BC2">
        <w:rPr>
          <w:rFonts w:ascii="Times New Roman" w:hAnsi="Times New Roman" w:cs="Times New Roman"/>
        </w:rPr>
        <w:t xml:space="preserve"> does not show this behaviour and therefore incongruent leaching is occurring, with Cs</w:t>
      </w:r>
      <w:r w:rsidR="002962C8">
        <w:rPr>
          <w:rFonts w:ascii="Times New Roman" w:hAnsi="Times New Roman" w:cs="Times New Roman"/>
        </w:rPr>
        <w:t xml:space="preserve"> leaching more readily than Sr, and Sr leaching more than Ca. </w:t>
      </w:r>
      <w:r w:rsidR="00394A94">
        <w:rPr>
          <w:rFonts w:ascii="Times New Roman" w:hAnsi="Times New Roman" w:cs="Times New Roman"/>
        </w:rPr>
        <w:t xml:space="preserve">The approximate ratio of leaching rates is </w:t>
      </w:r>
      <w:r w:rsidR="00166B21">
        <w:rPr>
          <w:rFonts w:ascii="Times New Roman" w:hAnsi="Times New Roman" w:cs="Times New Roman"/>
        </w:rPr>
        <w:t>19.6:8.2:1</w:t>
      </w:r>
      <w:r w:rsidR="00394A94">
        <w:rPr>
          <w:rFonts w:ascii="Times New Roman" w:hAnsi="Times New Roman" w:cs="Times New Roman"/>
        </w:rPr>
        <w:t>.</w:t>
      </w:r>
      <w:r w:rsidR="00E568D4">
        <w:rPr>
          <w:rFonts w:ascii="Times New Roman" w:hAnsi="Times New Roman" w:cs="Times New Roman"/>
        </w:rPr>
        <w:t xml:space="preserve"> </w:t>
      </w:r>
    </w:p>
    <w:p w14:paraId="5311AA12" w14:textId="77777777" w:rsidR="0044704C" w:rsidRPr="00A81F25" w:rsidRDefault="0044704C" w:rsidP="0044704C">
      <w:pPr>
        <w:shd w:val="clear" w:color="auto" w:fill="FFFFFF"/>
        <w:spacing w:before="240" w:after="120" w:line="360" w:lineRule="auto"/>
        <w:rPr>
          <w:rFonts w:ascii="Arial" w:hAnsi="Arial" w:cs="Arial"/>
          <w:color w:val="000000"/>
        </w:rPr>
      </w:pPr>
    </w:p>
    <w:p w14:paraId="67B66216" w14:textId="685733A8" w:rsidR="0044704C" w:rsidRPr="00D77DF5" w:rsidRDefault="0044704C" w:rsidP="0044704C">
      <w:pPr>
        <w:widowControl w:val="0"/>
        <w:autoSpaceDE w:val="0"/>
        <w:autoSpaceDN w:val="0"/>
        <w:adjustRightInd w:val="0"/>
        <w:spacing w:after="240"/>
        <w:jc w:val="center"/>
        <w:rPr>
          <w:rFonts w:ascii="Times" w:hAnsi="Times" w:cs="Times"/>
        </w:rPr>
      </w:pPr>
      <w:r>
        <w:rPr>
          <w:noProof/>
        </w:rPr>
        <w:drawing>
          <wp:inline distT="0" distB="0" distL="0" distR="0" wp14:anchorId="5A07E2D3" wp14:editId="2BF459B3">
            <wp:extent cx="5486400" cy="3200400"/>
            <wp:effectExtent l="0" t="0" r="0" b="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r w:rsidR="001B365C">
        <w:rPr>
          <w:rFonts w:ascii="Times" w:hAnsi="Times" w:cs="Times New Roman"/>
          <w:b/>
          <w:color w:val="000000" w:themeColor="text1"/>
        </w:rPr>
        <w:lastRenderedPageBreak/>
        <w:t>Figure 4.92</w:t>
      </w:r>
      <w:r w:rsidRPr="00A347FC">
        <w:rPr>
          <w:rFonts w:ascii="Times" w:hAnsi="Times" w:cs="Times New Roman"/>
          <w:b/>
          <w:color w:val="000000" w:themeColor="text1"/>
        </w:rPr>
        <w:t>:</w:t>
      </w:r>
      <w:r>
        <w:rPr>
          <w:rFonts w:ascii="Times" w:hAnsi="Times" w:cs="Times New Roman"/>
          <w:color w:val="0000FF"/>
        </w:rPr>
        <w:t xml:space="preserve"> </w:t>
      </w:r>
      <w:r w:rsidRPr="00A347FC">
        <w:rPr>
          <w:rFonts w:ascii="Times" w:hAnsi="Times" w:cs="Times"/>
        </w:rPr>
        <w:t xml:space="preserve">Leaching rates of Cs and Sr with respect to Ca leaching rates within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Pr="00A347FC">
        <w:rPr>
          <w:rFonts w:ascii="Times" w:hAnsi="Times" w:cs="Times"/>
        </w:rPr>
        <w:t xml:space="preserve"> sample</w:t>
      </w:r>
      <w:r>
        <w:rPr>
          <w:rFonts w:ascii="Times" w:hAnsi="Times" w:cs="Times"/>
        </w:rPr>
        <w:t xml:space="preserve">  </w:t>
      </w:r>
    </w:p>
    <w:p w14:paraId="5ADDC5E6" w14:textId="269B2DC7" w:rsidR="0044704C" w:rsidRDefault="0044704C" w:rsidP="0044704C">
      <w:pPr>
        <w:spacing w:before="240" w:after="120" w:line="360" w:lineRule="auto"/>
        <w:jc w:val="both"/>
        <w:rPr>
          <w:rFonts w:ascii="Times" w:hAnsi="Times" w:cs="Times New Roman"/>
        </w:rPr>
      </w:pPr>
      <w:r>
        <w:rPr>
          <w:rFonts w:ascii="Times" w:hAnsi="Times" w:cs="Times New Roman"/>
          <w:color w:val="000000" w:themeColor="text1"/>
        </w:rPr>
        <w:t>The normalised leaching rates of Sr and Cs were compared when added to the combined CS sample and separately to the C and S samples for periods of up to 28 days. Thes</w:t>
      </w:r>
      <w:r w:rsidR="001B365C">
        <w:rPr>
          <w:rFonts w:ascii="Times" w:hAnsi="Times" w:cs="Times New Roman"/>
          <w:color w:val="000000" w:themeColor="text1"/>
        </w:rPr>
        <w:t>e rates are shown in figure 4.93</w:t>
      </w:r>
      <w:r>
        <w:rPr>
          <w:rFonts w:ascii="Times" w:hAnsi="Times" w:cs="Times New Roman"/>
          <w:color w:val="000000" w:themeColor="text1"/>
        </w:rPr>
        <w:t xml:space="preserve">. </w:t>
      </w:r>
      <w:r>
        <w:rPr>
          <w:rFonts w:ascii="Times" w:hAnsi="Times" w:cs="Times New Roman"/>
        </w:rPr>
        <w:t xml:space="preserve">The leaching rates of strontium seem unchanged irrespective of whether </w:t>
      </w:r>
      <w:proofErr w:type="gramStart"/>
      <w:r>
        <w:rPr>
          <w:rFonts w:ascii="Times" w:hAnsi="Times" w:cs="Times New Roman"/>
        </w:rPr>
        <w:t>Sr(</w:t>
      </w:r>
      <w:proofErr w:type="gramEnd"/>
      <w:r>
        <w:rPr>
          <w:rFonts w:ascii="Times" w:hAnsi="Times" w:cs="Times New Roman"/>
        </w:rPr>
        <w:t>NO</w:t>
      </w:r>
      <w:r>
        <w:rPr>
          <w:rFonts w:ascii="Times" w:hAnsi="Times" w:cs="Times New Roman"/>
          <w:vertAlign w:val="subscript"/>
        </w:rPr>
        <w:t>3</w:t>
      </w:r>
      <w:r>
        <w:rPr>
          <w:rFonts w:ascii="Times" w:hAnsi="Times" w:cs="Times New Roman"/>
        </w:rPr>
        <w:t>)</w:t>
      </w:r>
      <w:r>
        <w:rPr>
          <w:rFonts w:ascii="Times" w:hAnsi="Times" w:cs="Times New Roman"/>
          <w:vertAlign w:val="subscript"/>
        </w:rPr>
        <w:t xml:space="preserve">2 </w:t>
      </w:r>
      <w:r>
        <w:rPr>
          <w:rFonts w:ascii="Times" w:hAnsi="Times" w:cs="Times New Roman"/>
        </w:rPr>
        <w:t xml:space="preserve"> was added individually or along with CsNO</w:t>
      </w:r>
      <w:r>
        <w:rPr>
          <w:rFonts w:ascii="Times" w:hAnsi="Times" w:cs="Times New Roman"/>
          <w:vertAlign w:val="subscript"/>
        </w:rPr>
        <w:t>3</w:t>
      </w:r>
      <w:r>
        <w:rPr>
          <w:rFonts w:ascii="Times" w:hAnsi="Times" w:cs="Times New Roman"/>
          <w:vertAlign w:val="subscript"/>
        </w:rPr>
        <w:softHyphen/>
      </w:r>
      <w:r>
        <w:rPr>
          <w:rFonts w:ascii="Times" w:hAnsi="Times" w:cs="Times New Roman"/>
        </w:rPr>
        <w:t>. However when CsNO</w:t>
      </w:r>
      <w:r>
        <w:rPr>
          <w:rFonts w:ascii="Times" w:hAnsi="Times" w:cs="Times New Roman"/>
          <w:vertAlign w:val="subscript"/>
        </w:rPr>
        <w:t>3</w:t>
      </w:r>
      <w:r>
        <w:rPr>
          <w:rFonts w:ascii="Times" w:hAnsi="Times" w:cs="Times New Roman"/>
        </w:rPr>
        <w:t xml:space="preserve"> is added individually it seems that the leaching rate increases by around 20%. </w:t>
      </w:r>
    </w:p>
    <w:p w14:paraId="11C2ED42" w14:textId="3F891949" w:rsidR="0044704C" w:rsidRDefault="0044704C" w:rsidP="00B50580">
      <w:pPr>
        <w:spacing w:before="240" w:after="120" w:line="360" w:lineRule="auto"/>
        <w:jc w:val="center"/>
        <w:rPr>
          <w:rFonts w:ascii="Times" w:hAnsi="Times" w:cs="Times New Roman"/>
        </w:rPr>
      </w:pPr>
      <w:r>
        <w:rPr>
          <w:noProof/>
        </w:rPr>
        <w:drawing>
          <wp:inline distT="0" distB="0" distL="0" distR="0" wp14:anchorId="359D2C60" wp14:editId="69BC3185">
            <wp:extent cx="5486400" cy="2419350"/>
            <wp:effectExtent l="0" t="0" r="0" b="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r w:rsidRPr="00A347FC">
        <w:rPr>
          <w:rFonts w:ascii="Times" w:hAnsi="Times" w:cs="Times New Roman"/>
          <w:b/>
          <w:color w:val="000000" w:themeColor="text1"/>
        </w:rPr>
        <w:t>Figure 4.9</w:t>
      </w:r>
      <w:r w:rsidR="001B365C">
        <w:rPr>
          <w:rFonts w:ascii="Times" w:hAnsi="Times" w:cs="Times New Roman"/>
          <w:b/>
          <w:color w:val="000000" w:themeColor="text1"/>
        </w:rPr>
        <w:t>3</w:t>
      </w:r>
      <w:r w:rsidRPr="00A347FC">
        <w:rPr>
          <w:rFonts w:ascii="Times" w:hAnsi="Times" w:cs="Times New Roman"/>
          <w:b/>
          <w:color w:val="000000" w:themeColor="text1"/>
        </w:rPr>
        <w:t>:</w:t>
      </w:r>
      <w:r>
        <w:rPr>
          <w:rFonts w:ascii="Times" w:hAnsi="Times" w:cs="Times New Roman"/>
          <w:color w:val="0000FF"/>
        </w:rPr>
        <w:t xml:space="preserve"> </w:t>
      </w:r>
      <w:r w:rsidRPr="00A347FC">
        <w:rPr>
          <w:rFonts w:ascii="Times" w:hAnsi="Times" w:cs="Times"/>
        </w:rPr>
        <w:t xml:space="preserve">Leaching rates of Cs and Sr </w:t>
      </w:r>
      <w:r>
        <w:rPr>
          <w:rFonts w:ascii="Times" w:hAnsi="Times" w:cs="Times"/>
        </w:rPr>
        <w:t>within different cement formulations</w:t>
      </w:r>
    </w:p>
    <w:p w14:paraId="564A42C2" w14:textId="77777777" w:rsidR="00670D9D" w:rsidRDefault="00670D9D" w:rsidP="00670D9D">
      <w:pPr>
        <w:spacing w:before="240" w:after="120" w:line="480" w:lineRule="exact"/>
        <w:jc w:val="both"/>
        <w:rPr>
          <w:rFonts w:ascii="Times" w:hAnsi="Times" w:cs="Times New Roman"/>
        </w:rPr>
      </w:pPr>
      <w:r>
        <w:rPr>
          <w:rFonts w:ascii="Times" w:hAnsi="Times" w:cs="Times New Roman"/>
        </w:rPr>
        <w:t xml:space="preserve">The Al leached amounts were compared in both </w:t>
      </w:r>
      <w:r>
        <w:rPr>
          <w:rFonts w:ascii="Times" w:hAnsi="Times" w:cs="Times New Roman"/>
          <w:b/>
        </w:rPr>
        <w:t>B</w:t>
      </w:r>
      <w:r>
        <w:rPr>
          <w:rFonts w:ascii="Times" w:hAnsi="Times" w:cs="Times New Roman"/>
        </w:rPr>
        <w:t xml:space="preserve"> and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sz w:val="36"/>
          <w:szCs w:val="36"/>
        </w:rPr>
        <w:t xml:space="preserve"> </w:t>
      </w:r>
      <w:r>
        <w:rPr>
          <w:rFonts w:ascii="Times" w:hAnsi="Times" w:cs="Times New Roman"/>
        </w:rPr>
        <w:t xml:space="preserve">to monitor how the formation of the CAN phase as opposed to AFm would impact the leaching rate of Al. Figure 4.94 compares these results over a 2 year period, the line of best fit has a gradient of 1, indicating that the leaching rates of Al are very similar in both formulations over the duration with the Al leaching rates being slightly higher in the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rPr>
        <w:t xml:space="preserve"> samples.</w:t>
      </w:r>
    </w:p>
    <w:p w14:paraId="7CAD9BFB" w14:textId="77777777" w:rsidR="009C3FDB" w:rsidRPr="009C3FDB" w:rsidRDefault="009C3FDB" w:rsidP="00751C5B">
      <w:pPr>
        <w:spacing w:before="240" w:after="120" w:line="276" w:lineRule="auto"/>
        <w:jc w:val="both"/>
        <w:rPr>
          <w:rFonts w:ascii="Times" w:hAnsi="Times" w:cs="Times New Roman"/>
        </w:rPr>
      </w:pPr>
    </w:p>
    <w:p w14:paraId="256249BE" w14:textId="1389462D" w:rsidR="0044704C" w:rsidRDefault="0044704C" w:rsidP="00751C5B">
      <w:pPr>
        <w:spacing w:before="240" w:after="120"/>
        <w:jc w:val="both"/>
        <w:rPr>
          <w:rFonts w:ascii="Times" w:hAnsi="Times" w:cs="Times New Roman"/>
          <w:b/>
          <w:color w:val="000000" w:themeColor="text1"/>
        </w:rPr>
      </w:pPr>
      <w:r>
        <w:rPr>
          <w:noProof/>
        </w:rPr>
        <w:lastRenderedPageBreak/>
        <w:drawing>
          <wp:inline distT="0" distB="0" distL="0" distR="0" wp14:anchorId="73C4A291" wp14:editId="55A18170">
            <wp:extent cx="4608061" cy="3653790"/>
            <wp:effectExtent l="0" t="0" r="0" b="381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r w:rsidR="00AC087D">
        <w:rPr>
          <w:rFonts w:ascii="Times" w:hAnsi="Times" w:cs="Times New Roman"/>
          <w:b/>
          <w:color w:val="000000" w:themeColor="text1"/>
        </w:rPr>
        <w:br/>
      </w:r>
      <w:r w:rsidR="009B3C8C">
        <w:rPr>
          <w:rFonts w:ascii="Times" w:hAnsi="Times" w:cs="Times New Roman"/>
          <w:b/>
          <w:color w:val="000000" w:themeColor="text1"/>
        </w:rPr>
        <w:t>Figure 4.94</w:t>
      </w:r>
      <w:r w:rsidRPr="00A347FC">
        <w:rPr>
          <w:rFonts w:ascii="Times" w:hAnsi="Times" w:cs="Times New Roman"/>
          <w:b/>
          <w:color w:val="000000" w:themeColor="text1"/>
        </w:rPr>
        <w:t>:</w:t>
      </w:r>
      <w:r>
        <w:rPr>
          <w:rFonts w:ascii="Times" w:hAnsi="Times" w:cs="Times New Roman"/>
          <w:color w:val="0000FF"/>
        </w:rPr>
        <w:t xml:space="preserve"> </w:t>
      </w:r>
      <w:r>
        <w:rPr>
          <w:rFonts w:ascii="Times" w:hAnsi="Times" w:cs="Times"/>
        </w:rPr>
        <w:t>Leaching rates of Al in B with respect to Al</w:t>
      </w:r>
      <w:r w:rsidRPr="00A347FC">
        <w:rPr>
          <w:rFonts w:ascii="Times" w:hAnsi="Times" w:cs="Times"/>
        </w:rPr>
        <w:t xml:space="preserve"> leaching rates within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00E244F4">
        <w:rPr>
          <w:rFonts w:ascii="Times" w:hAnsi="Times" w:cs="Times New Roman"/>
          <w:sz w:val="36"/>
          <w:szCs w:val="36"/>
        </w:rPr>
        <w:t xml:space="preserve"> </w:t>
      </w:r>
      <w:r w:rsidRPr="00A347FC">
        <w:rPr>
          <w:rFonts w:ascii="Times" w:hAnsi="Times" w:cs="Times"/>
        </w:rPr>
        <w:t>sample</w:t>
      </w:r>
      <w:r>
        <w:rPr>
          <w:rFonts w:ascii="Times" w:hAnsi="Times" w:cs="Times"/>
        </w:rPr>
        <w:t xml:space="preserve"> </w:t>
      </w:r>
    </w:p>
    <w:p w14:paraId="1455F435" w14:textId="77777777" w:rsidR="009B3C8C" w:rsidRPr="009B3C8C" w:rsidRDefault="009B3C8C" w:rsidP="009B3C8C">
      <w:pPr>
        <w:widowControl w:val="0"/>
        <w:autoSpaceDE w:val="0"/>
        <w:autoSpaceDN w:val="0"/>
        <w:adjustRightInd w:val="0"/>
        <w:jc w:val="center"/>
        <w:rPr>
          <w:rFonts w:ascii="Times" w:hAnsi="Times" w:cs="Times New Roman"/>
          <w:b/>
          <w:color w:val="000000" w:themeColor="text1"/>
        </w:rPr>
      </w:pPr>
    </w:p>
    <w:p w14:paraId="46B3CC53" w14:textId="77777777" w:rsidR="0044704C" w:rsidRPr="00CA4CE3" w:rsidRDefault="0044704C" w:rsidP="0044704C">
      <w:pPr>
        <w:spacing w:before="240" w:after="120" w:line="360" w:lineRule="auto"/>
        <w:outlineLvl w:val="0"/>
        <w:rPr>
          <w:rFonts w:ascii="Times New Roman" w:hAnsi="Times New Roman" w:cs="Times New Roman"/>
          <w:bCs/>
          <w:i/>
          <w:szCs w:val="32"/>
        </w:rPr>
      </w:pPr>
      <w:r w:rsidRPr="00CA4CE3">
        <w:rPr>
          <w:rFonts w:ascii="Times New Roman" w:hAnsi="Times New Roman" w:cs="Times New Roman"/>
          <w:bCs/>
          <w:i/>
          <w:szCs w:val="32"/>
        </w:rPr>
        <w:t xml:space="preserve">ii. </w:t>
      </w:r>
      <w:proofErr w:type="gramStart"/>
      <w:r w:rsidRPr="00CA4CE3">
        <w:rPr>
          <w:rFonts w:ascii="Times New Roman" w:hAnsi="Times New Roman" w:cs="Times New Roman"/>
          <w:bCs/>
          <w:i/>
          <w:szCs w:val="32"/>
        </w:rPr>
        <w:t>pH</w:t>
      </w:r>
      <w:proofErr w:type="gramEnd"/>
      <w:r w:rsidRPr="00CA4CE3">
        <w:rPr>
          <w:rFonts w:ascii="Times New Roman" w:hAnsi="Times New Roman" w:cs="Times New Roman"/>
          <w:bCs/>
          <w:i/>
          <w:szCs w:val="32"/>
        </w:rPr>
        <w:t xml:space="preserve"> Measurements</w:t>
      </w:r>
    </w:p>
    <w:p w14:paraId="7AB25EDF" w14:textId="7BBD92CD" w:rsidR="0044704C" w:rsidRPr="00C14772" w:rsidRDefault="0044704C" w:rsidP="002C38BA">
      <w:pPr>
        <w:spacing w:before="240" w:after="120" w:line="360" w:lineRule="auto"/>
        <w:jc w:val="both"/>
        <w:outlineLvl w:val="0"/>
        <w:rPr>
          <w:rFonts w:ascii="Times New Roman" w:hAnsi="Times New Roman" w:cs="Times New Roman"/>
          <w:bCs/>
          <w:i/>
          <w:sz w:val="28"/>
          <w:szCs w:val="32"/>
        </w:rPr>
      </w:pPr>
      <w:r>
        <w:rPr>
          <w:rFonts w:ascii="TimesNewRomanPSMT" w:hAnsi="TimesNewRomanPSMT" w:cs="TimesNewRomanPSMT"/>
          <w:color w:val="000000"/>
        </w:rPr>
        <w:t xml:space="preserve">The pH of the leachates of the </w:t>
      </w:r>
      <w:r w:rsidR="002C38BA">
        <w:rPr>
          <w:rFonts w:ascii="TimesNewRomanPSMT" w:hAnsi="TimesNewRomanPSMT" w:cs="TimesNewRomanPSMT"/>
          <w:color w:val="000000"/>
        </w:rPr>
        <w:t>samples containing only one of the waste simulants</w:t>
      </w:r>
      <w:r>
        <w:rPr>
          <w:rFonts w:ascii="TimesNewRomanPSMT" w:hAnsi="TimesNewRomanPSMT" w:cs="TimesNewRomanPSMT"/>
          <w:color w:val="000000"/>
        </w:rPr>
        <w:t xml:space="preserve"> was compared to that of the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r>
          <w:rPr>
            <w:rFonts w:ascii="Cambria Math" w:hAnsi="Cambria Math" w:cs="Arial"/>
            <w:sz w:val="36"/>
            <w:szCs w:val="36"/>
          </w:rPr>
          <m:t xml:space="preserve"> </m:t>
        </m:r>
      </m:oMath>
      <w:r>
        <w:rPr>
          <w:rFonts w:ascii="TimesNewRomanPSMT" w:hAnsi="TimesNewRomanPSMT" w:cs="TimesNewRomanPSMT"/>
          <w:color w:val="000000"/>
        </w:rPr>
        <w:t xml:space="preserve">and </w:t>
      </w:r>
      <w:r w:rsidRPr="001224C1">
        <w:rPr>
          <w:rFonts w:ascii="TimesNewRomanPSMT" w:hAnsi="TimesNewRomanPSMT" w:cs="TimesNewRomanPSMT"/>
          <w:b/>
          <w:color w:val="000000"/>
        </w:rPr>
        <w:t>B</w:t>
      </w:r>
      <w:r w:rsidR="009B3C8C">
        <w:rPr>
          <w:rFonts w:ascii="TimesNewRomanPSMT" w:hAnsi="TimesNewRomanPSMT" w:cs="TimesNewRomanPSMT"/>
          <w:color w:val="000000"/>
        </w:rPr>
        <w:t xml:space="preserve"> samples in figure 4.95</w:t>
      </w:r>
      <w:r>
        <w:rPr>
          <w:rFonts w:ascii="TimesNewRomanPSMT" w:hAnsi="TimesNewRomanPSMT" w:cs="TimesNewRomanPSMT"/>
          <w:color w:val="000000"/>
        </w:rPr>
        <w:t xml:space="preserve">. These samples were leached statically. </w:t>
      </w:r>
    </w:p>
    <w:p w14:paraId="27EE7F3C" w14:textId="77777777" w:rsidR="0044704C" w:rsidRDefault="0044704C" w:rsidP="0044704C">
      <w:pPr>
        <w:spacing w:before="240" w:after="120"/>
        <w:ind w:hanging="426"/>
        <w:jc w:val="both"/>
        <w:rPr>
          <w:rFonts w:ascii="TimesNewRomanPSMT" w:hAnsi="TimesNewRomanPSMT" w:cs="TimesNewRomanPSMT"/>
          <w:color w:val="000000"/>
        </w:rPr>
      </w:pPr>
      <w:r>
        <w:rPr>
          <w:noProof/>
        </w:rPr>
        <w:lastRenderedPageBreak/>
        <w:drawing>
          <wp:inline distT="0" distB="0" distL="0" distR="0" wp14:anchorId="09603BCA" wp14:editId="47833301">
            <wp:extent cx="5981700" cy="3086100"/>
            <wp:effectExtent l="0" t="0" r="0" b="0"/>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0393DBC5" w14:textId="34ECEFA4" w:rsidR="0044704C" w:rsidRPr="00D82146" w:rsidRDefault="009B3C8C" w:rsidP="0044704C">
      <w:pPr>
        <w:spacing w:before="240" w:after="120"/>
        <w:jc w:val="center"/>
        <w:rPr>
          <w:rFonts w:ascii="Times New Roman" w:hAnsi="Times New Roman" w:cs="Times New Roman"/>
          <w:szCs w:val="28"/>
        </w:rPr>
      </w:pPr>
      <w:r>
        <w:rPr>
          <w:rFonts w:ascii="Times New Roman" w:hAnsi="Times New Roman" w:cs="Times New Roman"/>
          <w:b/>
          <w:szCs w:val="28"/>
        </w:rPr>
        <w:t>Figure 4.95</w:t>
      </w:r>
      <w:r w:rsidR="0044704C">
        <w:rPr>
          <w:rFonts w:ascii="Times New Roman" w:hAnsi="Times New Roman" w:cs="Times New Roman"/>
          <w:b/>
          <w:szCs w:val="28"/>
        </w:rPr>
        <w:t>:</w:t>
      </w:r>
      <w:r w:rsidR="0044704C">
        <w:rPr>
          <w:rFonts w:ascii="Times New Roman" w:hAnsi="Times New Roman" w:cs="Times New Roman"/>
          <w:b/>
          <w:szCs w:val="28"/>
        </w:rPr>
        <w:tab/>
      </w:r>
      <w:r w:rsidR="0044704C">
        <w:rPr>
          <w:rFonts w:ascii="Times New Roman" w:hAnsi="Times New Roman" w:cs="Times New Roman"/>
          <w:szCs w:val="28"/>
        </w:rPr>
        <w:t xml:space="preserve">pH results of static leaching of all cement formulations over a </w:t>
      </w:r>
      <w:proofErr w:type="gramStart"/>
      <w:r w:rsidR="0044704C">
        <w:rPr>
          <w:rFonts w:ascii="Times New Roman" w:hAnsi="Times New Roman" w:cs="Times New Roman"/>
          <w:szCs w:val="28"/>
        </w:rPr>
        <w:t>28 day</w:t>
      </w:r>
      <w:proofErr w:type="gramEnd"/>
      <w:r w:rsidR="0044704C">
        <w:rPr>
          <w:rFonts w:ascii="Times New Roman" w:hAnsi="Times New Roman" w:cs="Times New Roman"/>
          <w:szCs w:val="28"/>
        </w:rPr>
        <w:t xml:space="preserve"> period</w:t>
      </w:r>
      <w:r w:rsidR="003229AB">
        <w:rPr>
          <w:rFonts w:ascii="Times New Roman" w:hAnsi="Times New Roman" w:cs="Times New Roman"/>
          <w:szCs w:val="28"/>
        </w:rPr>
        <w:t xml:space="preserve"> </w:t>
      </w:r>
    </w:p>
    <w:p w14:paraId="5A62C62B" w14:textId="413AFAF7" w:rsidR="0044704C" w:rsidRPr="00670D9D" w:rsidRDefault="0044704C" w:rsidP="00B974AD">
      <w:pPr>
        <w:spacing w:before="240" w:after="120" w:line="480" w:lineRule="exact"/>
        <w:jc w:val="both"/>
        <w:rPr>
          <w:rFonts w:ascii="Times New Roman" w:hAnsi="Times New Roman" w:cs="Times New Roman"/>
          <w:szCs w:val="28"/>
        </w:rPr>
      </w:pPr>
      <w:r>
        <w:rPr>
          <w:rFonts w:ascii="Times New Roman" w:hAnsi="Times New Roman" w:cs="Times New Roman"/>
          <w:szCs w:val="28"/>
        </w:rPr>
        <w:t xml:space="preserve">The pH of the blank sample is lower than the waste loaded samples. </w:t>
      </w:r>
      <w:r w:rsidR="002C38BA">
        <w:rPr>
          <w:rFonts w:ascii="Times New Roman" w:hAnsi="Times New Roman" w:cs="Times New Roman"/>
          <w:szCs w:val="28"/>
        </w:rPr>
        <w:t>The</w:t>
      </w:r>
      <w:r>
        <w:rPr>
          <w:rFonts w:ascii="Times New Roman" w:hAnsi="Times New Roman" w:cs="Times New Roman"/>
          <w:szCs w:val="28"/>
        </w:rPr>
        <w:t xml:space="preserve"> pH of the </w:t>
      </w:r>
      <m:oMath>
        <m:acc>
          <m:accPr>
            <m:chr m:val="̅"/>
            <m:ctrlPr>
              <w:rPr>
                <w:rFonts w:ascii="Cambria Math" w:hAnsi="Cambria Math" w:cs="Arial"/>
                <w:i/>
                <w:sz w:val="36"/>
                <w:szCs w:val="36"/>
              </w:rPr>
            </m:ctrlPr>
          </m:accPr>
          <m:e>
            <m:r>
              <m:rPr>
                <m:sty m:val="p"/>
              </m:rPr>
              <w:rPr>
                <w:rFonts w:ascii="Cambria Math" w:hAnsi="Cambria Math" w:cs="Arial"/>
                <w:sz w:val="36"/>
                <w:szCs w:val="36"/>
              </w:rPr>
              <m:t>c</m:t>
            </m:r>
          </m:e>
        </m:acc>
      </m:oMath>
      <w:r>
        <w:rPr>
          <w:rFonts w:ascii="Times New Roman" w:hAnsi="Times New Roman" w:cs="Times New Roman"/>
          <w:szCs w:val="28"/>
        </w:rPr>
        <w:t xml:space="preserve">, </w:t>
      </w:r>
      <m:oMath>
        <m:acc>
          <m:accPr>
            <m:chr m:val="̅"/>
            <m:ctrlPr>
              <w:rPr>
                <w:rFonts w:ascii="Cambria Math" w:hAnsi="Cambria Math" w:cs="Arial"/>
                <w:i/>
                <w:sz w:val="36"/>
                <w:szCs w:val="36"/>
              </w:rPr>
            </m:ctrlPr>
          </m:accPr>
          <m:e>
            <m:r>
              <m:rPr>
                <m:sty m:val="p"/>
              </m:rPr>
              <w:rPr>
                <w:rFonts w:ascii="Cambria Math" w:hAnsi="Cambria Math" w:cs="Arial"/>
                <w:sz w:val="36"/>
                <w:szCs w:val="36"/>
              </w:rPr>
              <m:t>s</m:t>
            </m:r>
          </m:e>
        </m:acc>
      </m:oMath>
      <w:r>
        <w:rPr>
          <w:rFonts w:ascii="Times New Roman" w:hAnsi="Times New Roman" w:cs="Times New Roman"/>
          <w:szCs w:val="28"/>
        </w:rPr>
        <w:t xml:space="preserve"> and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New Roman" w:hAnsi="Times New Roman" w:cs="Times New Roman"/>
          <w:szCs w:val="28"/>
        </w:rPr>
        <w:t xml:space="preserve"> leachates are very similar and follow a similar pattern for the </w:t>
      </w:r>
      <w:proofErr w:type="gramStart"/>
      <w:r>
        <w:rPr>
          <w:rFonts w:ascii="Times New Roman" w:hAnsi="Times New Roman" w:cs="Times New Roman"/>
          <w:szCs w:val="28"/>
        </w:rPr>
        <w:t>28 day</w:t>
      </w:r>
      <w:proofErr w:type="gramEnd"/>
      <w:r>
        <w:rPr>
          <w:rFonts w:ascii="Times New Roman" w:hAnsi="Times New Roman" w:cs="Times New Roman"/>
          <w:szCs w:val="28"/>
        </w:rPr>
        <w:t xml:space="preserve"> period reaching a plateau and constant pH at 14 days. </w:t>
      </w:r>
      <w:r w:rsidR="00670D9D">
        <w:rPr>
          <w:rFonts w:ascii="Times New Roman" w:hAnsi="Times New Roman" w:cs="Times New Roman"/>
          <w:szCs w:val="28"/>
        </w:rPr>
        <w:t xml:space="preserve">The higher pH in the leachates containing the waste loaded </w:t>
      </w:r>
      <w:proofErr w:type="gramStart"/>
      <w:r w:rsidR="00670D9D">
        <w:rPr>
          <w:rFonts w:ascii="Times New Roman" w:hAnsi="Times New Roman" w:cs="Times New Roman"/>
          <w:szCs w:val="28"/>
        </w:rPr>
        <w:t>samples,</w:t>
      </w:r>
      <w:proofErr w:type="gramEnd"/>
      <w:r w:rsidR="00670D9D">
        <w:rPr>
          <w:rFonts w:ascii="Times New Roman" w:hAnsi="Times New Roman" w:cs="Times New Roman"/>
          <w:szCs w:val="28"/>
        </w:rPr>
        <w:t xml:space="preserve"> is in accordance with the proposal that elements are released from these samples at a higher rate. This would mean a higher concentration of OH</w:t>
      </w:r>
      <w:r w:rsidR="00670D9D">
        <w:rPr>
          <w:rFonts w:ascii="Times New Roman" w:hAnsi="Times New Roman" w:cs="Times New Roman"/>
          <w:szCs w:val="28"/>
          <w:vertAlign w:val="superscript"/>
        </w:rPr>
        <w:t>-</w:t>
      </w:r>
      <w:r w:rsidR="00670D9D">
        <w:rPr>
          <w:rFonts w:ascii="Times New Roman" w:hAnsi="Times New Roman" w:cs="Times New Roman"/>
          <w:szCs w:val="28"/>
        </w:rPr>
        <w:t xml:space="preserve"> in solution making it more alkali. </w:t>
      </w:r>
    </w:p>
    <w:p w14:paraId="1A5942E7" w14:textId="77777777" w:rsidR="0044704C" w:rsidRDefault="0044704C" w:rsidP="0044704C">
      <w:pPr>
        <w:spacing w:before="240" w:after="120" w:line="360" w:lineRule="auto"/>
        <w:rPr>
          <w:rFonts w:ascii="Times" w:hAnsi="Times" w:cs="Arial"/>
          <w:i/>
          <w:color w:val="000000"/>
        </w:rPr>
      </w:pPr>
    </w:p>
    <w:p w14:paraId="6D68653E" w14:textId="77777777" w:rsidR="0044704C" w:rsidRDefault="0044704C" w:rsidP="0044704C">
      <w:pPr>
        <w:spacing w:before="240" w:after="120" w:line="360" w:lineRule="auto"/>
        <w:rPr>
          <w:rFonts w:ascii="Times" w:hAnsi="Times" w:cs="Arial"/>
          <w:i/>
          <w:color w:val="000000"/>
        </w:rPr>
      </w:pPr>
    </w:p>
    <w:p w14:paraId="5900E6BF" w14:textId="77777777" w:rsidR="0044704C" w:rsidRDefault="0044704C" w:rsidP="0044704C">
      <w:pPr>
        <w:spacing w:before="240" w:after="120" w:line="360" w:lineRule="auto"/>
        <w:rPr>
          <w:rFonts w:ascii="Times" w:hAnsi="Times" w:cs="Arial"/>
          <w:i/>
          <w:color w:val="000000"/>
        </w:rPr>
      </w:pPr>
    </w:p>
    <w:p w14:paraId="12A10488" w14:textId="77777777" w:rsidR="0044704C" w:rsidRDefault="0044704C" w:rsidP="0044704C">
      <w:pPr>
        <w:widowControl w:val="0"/>
        <w:autoSpaceDE w:val="0"/>
        <w:autoSpaceDN w:val="0"/>
        <w:adjustRightInd w:val="0"/>
        <w:spacing w:after="240" w:line="360" w:lineRule="auto"/>
        <w:rPr>
          <w:rFonts w:ascii="Times" w:hAnsi="Times" w:cs="Times"/>
        </w:rPr>
      </w:pPr>
    </w:p>
    <w:p w14:paraId="46379266" w14:textId="77777777" w:rsidR="0044704C" w:rsidRDefault="0044704C" w:rsidP="0044704C">
      <w:pPr>
        <w:widowControl w:val="0"/>
        <w:autoSpaceDE w:val="0"/>
        <w:autoSpaceDN w:val="0"/>
        <w:adjustRightInd w:val="0"/>
        <w:spacing w:after="240" w:line="360" w:lineRule="auto"/>
        <w:rPr>
          <w:rFonts w:ascii="Times" w:hAnsi="Times" w:cs="Times"/>
        </w:rPr>
      </w:pPr>
    </w:p>
    <w:p w14:paraId="5CF82759" w14:textId="77777777" w:rsidR="0044704C" w:rsidRDefault="0044704C" w:rsidP="0044704C">
      <w:pPr>
        <w:spacing w:before="240" w:after="120" w:line="360" w:lineRule="auto"/>
        <w:outlineLvl w:val="0"/>
        <w:rPr>
          <w:rFonts w:ascii="Times New Roman" w:hAnsi="Times New Roman" w:cs="Times New Roman"/>
          <w:b/>
          <w:bCs/>
          <w:smallCaps/>
          <w:sz w:val="36"/>
          <w:szCs w:val="28"/>
          <w:u w:val="single"/>
        </w:rPr>
      </w:pPr>
    </w:p>
    <w:p w14:paraId="1F13EA67" w14:textId="77777777" w:rsidR="00CB5237" w:rsidRDefault="00CB5237" w:rsidP="0044704C">
      <w:pPr>
        <w:spacing w:before="240" w:after="120" w:line="360" w:lineRule="auto"/>
        <w:outlineLvl w:val="0"/>
        <w:rPr>
          <w:rFonts w:ascii="Times New Roman" w:hAnsi="Times New Roman" w:cs="Times New Roman"/>
          <w:b/>
          <w:bCs/>
          <w:smallCaps/>
          <w:sz w:val="36"/>
          <w:szCs w:val="28"/>
          <w:u w:val="single"/>
        </w:rPr>
      </w:pPr>
    </w:p>
    <w:p w14:paraId="370A686F" w14:textId="77777777" w:rsidR="0044704C" w:rsidRDefault="0044704C" w:rsidP="0044704C">
      <w:pPr>
        <w:spacing w:before="240" w:after="120" w:line="360" w:lineRule="auto"/>
        <w:outlineLvl w:val="0"/>
        <w:rPr>
          <w:rFonts w:ascii="Times New Roman" w:hAnsi="Times New Roman" w:cs="Times New Roman"/>
          <w:b/>
          <w:bCs/>
          <w:smallCaps/>
          <w:sz w:val="36"/>
          <w:szCs w:val="28"/>
          <w:u w:val="single"/>
        </w:rPr>
      </w:pPr>
      <w:r>
        <w:rPr>
          <w:rFonts w:ascii="Times New Roman" w:hAnsi="Times New Roman" w:cs="Times New Roman"/>
          <w:b/>
          <w:bCs/>
          <w:smallCaps/>
          <w:sz w:val="36"/>
          <w:szCs w:val="28"/>
          <w:u w:val="single"/>
        </w:rPr>
        <w:lastRenderedPageBreak/>
        <w:t>4.3.2</w:t>
      </w:r>
      <w:r>
        <w:rPr>
          <w:rFonts w:ascii="Times New Roman" w:hAnsi="Times New Roman" w:cs="Times New Roman"/>
          <w:b/>
          <w:bCs/>
          <w:smallCaps/>
          <w:sz w:val="36"/>
          <w:szCs w:val="28"/>
          <w:u w:val="single"/>
        </w:rPr>
        <w:tab/>
        <w:t>Discussion</w:t>
      </w:r>
    </w:p>
    <w:p w14:paraId="52C8D511" w14:textId="07366402" w:rsidR="0044704C" w:rsidRDefault="0044704C" w:rsidP="009B3C8C">
      <w:pPr>
        <w:widowControl w:val="0"/>
        <w:autoSpaceDE w:val="0"/>
        <w:autoSpaceDN w:val="0"/>
        <w:adjustRightInd w:val="0"/>
        <w:spacing w:after="240" w:line="480" w:lineRule="exact"/>
        <w:jc w:val="both"/>
        <w:rPr>
          <w:rFonts w:ascii="Times New Roman" w:hAnsi="Times New Roman" w:cs="Times New Roman"/>
          <w:szCs w:val="26"/>
        </w:rPr>
      </w:pPr>
      <w:r w:rsidRPr="006C4A3C">
        <w:rPr>
          <w:rFonts w:ascii="Times New Roman" w:hAnsi="Times New Roman" w:cs="Times New Roman"/>
          <w:szCs w:val="26"/>
        </w:rPr>
        <w:t>The results sho</w:t>
      </w:r>
      <w:r>
        <w:rPr>
          <w:rFonts w:ascii="Times New Roman" w:hAnsi="Times New Roman" w:cs="Times New Roman"/>
          <w:szCs w:val="26"/>
        </w:rPr>
        <w:t>w that the introduction of CsNO</w:t>
      </w:r>
      <w:r>
        <w:rPr>
          <w:rFonts w:ascii="Times New Roman" w:hAnsi="Times New Roman" w:cs="Times New Roman"/>
          <w:szCs w:val="26"/>
          <w:vertAlign w:val="subscript"/>
        </w:rPr>
        <w:t>3</w:t>
      </w:r>
      <w:r w:rsidRPr="006C4A3C">
        <w:rPr>
          <w:rFonts w:ascii="Times New Roman" w:hAnsi="Times New Roman" w:cs="Times New Roman"/>
          <w:szCs w:val="26"/>
        </w:rPr>
        <w:t xml:space="preserve"> and/or</w:t>
      </w:r>
      <w:r>
        <w:rPr>
          <w:rFonts w:ascii="Times New Roman" w:hAnsi="Times New Roman" w:cs="Times New Roman"/>
          <w:szCs w:val="26"/>
        </w:rPr>
        <w:t xml:space="preserve"> </w:t>
      </w:r>
      <w:proofErr w:type="gramStart"/>
      <w:r>
        <w:rPr>
          <w:rFonts w:ascii="Times New Roman" w:hAnsi="Times New Roman" w:cs="Times New Roman"/>
          <w:szCs w:val="26"/>
        </w:rPr>
        <w:t>Sr(</w:t>
      </w:r>
      <w:proofErr w:type="gramEnd"/>
      <w:r>
        <w:rPr>
          <w:rFonts w:ascii="Times New Roman" w:hAnsi="Times New Roman" w:cs="Times New Roman"/>
          <w:szCs w:val="26"/>
        </w:rPr>
        <w:t>NO</w:t>
      </w:r>
      <w:r>
        <w:rPr>
          <w:rFonts w:ascii="Times New Roman" w:hAnsi="Times New Roman" w:cs="Times New Roman"/>
          <w:szCs w:val="26"/>
          <w:vertAlign w:val="subscript"/>
        </w:rPr>
        <w:t>3</w:t>
      </w:r>
      <w:r>
        <w:rPr>
          <w:rFonts w:ascii="Times New Roman" w:hAnsi="Times New Roman" w:cs="Times New Roman"/>
          <w:szCs w:val="26"/>
        </w:rPr>
        <w:t>)</w:t>
      </w:r>
      <w:r>
        <w:rPr>
          <w:rFonts w:ascii="Times New Roman" w:hAnsi="Times New Roman" w:cs="Times New Roman"/>
          <w:szCs w:val="26"/>
          <w:vertAlign w:val="subscript"/>
        </w:rPr>
        <w:t>2</w:t>
      </w:r>
      <w:r w:rsidRPr="006C4A3C">
        <w:rPr>
          <w:rFonts w:ascii="Times New Roman" w:hAnsi="Times New Roman" w:cs="Times New Roman"/>
          <w:szCs w:val="26"/>
        </w:rPr>
        <w:t xml:space="preserve"> have different impacts on the cement phases</w:t>
      </w:r>
      <w:r>
        <w:rPr>
          <w:rFonts w:ascii="Times New Roman" w:hAnsi="Times New Roman" w:cs="Times New Roman"/>
          <w:szCs w:val="26"/>
        </w:rPr>
        <w:t xml:space="preserve"> formed and seem to be retained differently within the structure</w:t>
      </w:r>
      <w:r w:rsidRPr="006C4A3C">
        <w:rPr>
          <w:rFonts w:ascii="Times New Roman" w:hAnsi="Times New Roman" w:cs="Times New Roman"/>
          <w:szCs w:val="26"/>
        </w:rPr>
        <w:t xml:space="preserve">. </w:t>
      </w:r>
      <w:r>
        <w:rPr>
          <w:rFonts w:ascii="Times New Roman" w:hAnsi="Times New Roman" w:cs="Times New Roman"/>
          <w:szCs w:val="26"/>
        </w:rPr>
        <w:t>The XRD results show strong peaks for CsNO</w:t>
      </w:r>
      <w:r>
        <w:rPr>
          <w:rFonts w:ascii="Times New Roman" w:hAnsi="Times New Roman" w:cs="Times New Roman"/>
          <w:szCs w:val="26"/>
          <w:vertAlign w:val="subscript"/>
        </w:rPr>
        <w:t>3</w:t>
      </w:r>
      <w:r>
        <w:rPr>
          <w:rFonts w:ascii="Times New Roman" w:hAnsi="Times New Roman" w:cs="Times New Roman"/>
          <w:szCs w:val="26"/>
        </w:rPr>
        <w:t>, and these were the only peaks that could be</w:t>
      </w:r>
      <w:r w:rsidR="00495BC6">
        <w:rPr>
          <w:rFonts w:ascii="Times New Roman" w:hAnsi="Times New Roman" w:cs="Times New Roman"/>
          <w:szCs w:val="26"/>
        </w:rPr>
        <w:t xml:space="preserve"> directly associated with </w:t>
      </w:r>
      <w:r>
        <w:rPr>
          <w:rFonts w:ascii="Times New Roman" w:hAnsi="Times New Roman" w:cs="Times New Roman"/>
          <w:szCs w:val="26"/>
        </w:rPr>
        <w:t xml:space="preserve">a Cs containing phase. All other peaks were characteristic of </w:t>
      </w:r>
      <w:proofErr w:type="gramStart"/>
      <w:r>
        <w:rPr>
          <w:rFonts w:ascii="Times New Roman" w:hAnsi="Times New Roman" w:cs="Times New Roman"/>
          <w:szCs w:val="26"/>
        </w:rPr>
        <w:t>phases which</w:t>
      </w:r>
      <w:proofErr w:type="gramEnd"/>
      <w:r>
        <w:rPr>
          <w:rFonts w:ascii="Times New Roman" w:hAnsi="Times New Roman" w:cs="Times New Roman"/>
          <w:szCs w:val="26"/>
        </w:rPr>
        <w:t xml:space="preserve"> did not contain Cs</w:t>
      </w:r>
      <w:r w:rsidR="0099688F">
        <w:rPr>
          <w:rFonts w:ascii="Times New Roman" w:hAnsi="Times New Roman" w:cs="Times New Roman"/>
          <w:szCs w:val="26"/>
        </w:rPr>
        <w:t xml:space="preserve"> or contained very little</w:t>
      </w:r>
      <w:r>
        <w:rPr>
          <w:rFonts w:ascii="Times New Roman" w:hAnsi="Times New Roman" w:cs="Times New Roman"/>
          <w:szCs w:val="26"/>
        </w:rPr>
        <w:t>. The SEM results further support this showing the CsNO</w:t>
      </w:r>
      <w:r>
        <w:rPr>
          <w:rFonts w:ascii="Times New Roman" w:hAnsi="Times New Roman" w:cs="Times New Roman"/>
          <w:szCs w:val="26"/>
          <w:vertAlign w:val="subscript"/>
        </w:rPr>
        <w:t>3</w:t>
      </w:r>
      <w:r>
        <w:rPr>
          <w:rFonts w:ascii="Times New Roman" w:hAnsi="Times New Roman" w:cs="Times New Roman"/>
          <w:szCs w:val="26"/>
          <w:vertAlign w:val="superscript"/>
        </w:rPr>
        <w:t xml:space="preserve"> </w:t>
      </w:r>
      <w:r>
        <w:rPr>
          <w:rFonts w:ascii="Times New Roman" w:hAnsi="Times New Roman" w:cs="Times New Roman"/>
          <w:szCs w:val="26"/>
        </w:rPr>
        <w:t>is located in the cements as clusters</w:t>
      </w:r>
      <w:r w:rsidR="003B7A80">
        <w:rPr>
          <w:rFonts w:ascii="Times New Roman" w:hAnsi="Times New Roman" w:cs="Times New Roman"/>
          <w:szCs w:val="26"/>
        </w:rPr>
        <w:t xml:space="preserve">. </w:t>
      </w:r>
      <w:r>
        <w:rPr>
          <w:rFonts w:ascii="Times New Roman" w:hAnsi="Times New Roman" w:cs="Times New Roman"/>
          <w:szCs w:val="26"/>
        </w:rPr>
        <w:t>This is in agreement with the literature [67] stating that sorption of Cs is very low in BFS/</w:t>
      </w:r>
      <w:r w:rsidR="00E85025">
        <w:rPr>
          <w:rFonts w:ascii="Times New Roman" w:hAnsi="Times New Roman" w:cs="Times New Roman"/>
          <w:szCs w:val="26"/>
        </w:rPr>
        <w:t>PC</w:t>
      </w:r>
      <w:r>
        <w:rPr>
          <w:rFonts w:ascii="Times New Roman" w:hAnsi="Times New Roman" w:cs="Times New Roman"/>
          <w:szCs w:val="26"/>
        </w:rPr>
        <w:t>. The Cs similarly was not sorbed when added in the hydroxide form. Discounting the CsOH and CsNO</w:t>
      </w:r>
      <w:r>
        <w:rPr>
          <w:rFonts w:ascii="Times New Roman" w:hAnsi="Times New Roman" w:cs="Times New Roman"/>
          <w:szCs w:val="26"/>
          <w:vertAlign w:val="subscript"/>
        </w:rPr>
        <w:t>3</w:t>
      </w:r>
      <w:r>
        <w:rPr>
          <w:rFonts w:ascii="Times New Roman" w:hAnsi="Times New Roman" w:cs="Times New Roman"/>
          <w:szCs w:val="26"/>
        </w:rPr>
        <w:t xml:space="preserve"> peaks the XRD trace for </w:t>
      </w:r>
      <w:r w:rsidR="000F6BBD">
        <w:rPr>
          <w:rFonts w:ascii="Times" w:hAnsi="Times" w:cs="Times New Roman"/>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New Roman" w:hAnsi="Times New Roman" w:cs="Times New Roman"/>
          <w:szCs w:val="26"/>
        </w:rPr>
        <w:t xml:space="preserve"> is very similar to that of 0DC. Other research suggests that the C-S-H phase sorbs the Cs [</w:t>
      </w:r>
      <w:r w:rsidR="00233924">
        <w:rPr>
          <w:rFonts w:ascii="Times New Roman" w:hAnsi="Times New Roman" w:cs="Times New Roman"/>
          <w:szCs w:val="26"/>
        </w:rPr>
        <w:t>74,75</w:t>
      </w:r>
      <w:r w:rsidR="00865003">
        <w:rPr>
          <w:rFonts w:ascii="Times New Roman" w:hAnsi="Times New Roman" w:cs="Times New Roman"/>
          <w:szCs w:val="26"/>
        </w:rPr>
        <w:t>] which according to Iwaida [76</w:t>
      </w:r>
      <w:r>
        <w:rPr>
          <w:rFonts w:ascii="Times New Roman" w:hAnsi="Times New Roman" w:cs="Times New Roman"/>
          <w:szCs w:val="26"/>
        </w:rPr>
        <w:t>] would cause a breakage and shortening in the silicate chains, however the Si NMR spec</w:t>
      </w:r>
      <w:r w:rsidR="00EF0604">
        <w:rPr>
          <w:rFonts w:ascii="Times New Roman" w:hAnsi="Times New Roman" w:cs="Times New Roman"/>
          <w:szCs w:val="26"/>
        </w:rPr>
        <w:t>tra</w:t>
      </w:r>
      <w:r>
        <w:rPr>
          <w:rFonts w:ascii="Times New Roman" w:hAnsi="Times New Roman" w:cs="Times New Roman"/>
          <w:szCs w:val="26"/>
        </w:rPr>
        <w:t xml:space="preserve"> results do not correspond with this</w:t>
      </w:r>
      <w:r w:rsidR="0099688F">
        <w:rPr>
          <w:rFonts w:ascii="Times New Roman" w:hAnsi="Times New Roman" w:cs="Times New Roman"/>
          <w:szCs w:val="26"/>
        </w:rPr>
        <w:t xml:space="preserve"> as they show an increase in Q</w:t>
      </w:r>
      <w:r w:rsidR="007259FF">
        <w:rPr>
          <w:rFonts w:ascii="Times New Roman" w:hAnsi="Times New Roman" w:cs="Times New Roman"/>
          <w:szCs w:val="26"/>
          <w:vertAlign w:val="superscript"/>
        </w:rPr>
        <w:t>2</w:t>
      </w:r>
      <w:r w:rsidR="007259FF">
        <w:rPr>
          <w:rFonts w:ascii="Times New Roman" w:hAnsi="Times New Roman" w:cs="Times New Roman"/>
          <w:szCs w:val="26"/>
        </w:rPr>
        <w:t xml:space="preserve"> peak intensity suggesting chain polymerisation as opposed to shortening</w:t>
      </w:r>
      <w:r>
        <w:rPr>
          <w:rFonts w:ascii="Times New Roman" w:hAnsi="Times New Roman" w:cs="Times New Roman"/>
          <w:szCs w:val="26"/>
        </w:rPr>
        <w:t xml:space="preserve">. </w:t>
      </w:r>
      <w:r w:rsidR="00EF0604">
        <w:rPr>
          <w:rFonts w:ascii="Times New Roman" w:hAnsi="Times New Roman" w:cs="Times New Roman"/>
          <w:szCs w:val="26"/>
        </w:rPr>
        <w:t xml:space="preserve"> </w:t>
      </w:r>
      <w:r w:rsidR="00971672">
        <w:rPr>
          <w:rFonts w:ascii="Times New Roman" w:hAnsi="Times New Roman" w:cs="Times New Roman"/>
          <w:szCs w:val="26"/>
        </w:rPr>
        <w:t xml:space="preserve">Given the negative charge on the surface of silicate-rich gels, there have been instances wherein Cs has weakly </w:t>
      </w:r>
      <w:proofErr w:type="gramStart"/>
      <w:r w:rsidR="00971672">
        <w:rPr>
          <w:rFonts w:ascii="Times New Roman" w:hAnsi="Times New Roman" w:cs="Times New Roman"/>
          <w:szCs w:val="26"/>
        </w:rPr>
        <w:t>adsorbed  on</w:t>
      </w:r>
      <w:proofErr w:type="gramEnd"/>
      <w:r w:rsidR="00971672">
        <w:rPr>
          <w:rFonts w:ascii="Times New Roman" w:hAnsi="Times New Roman" w:cs="Times New Roman"/>
          <w:szCs w:val="26"/>
        </w:rPr>
        <w:t xml:space="preserve"> low Ca/Si C-S-H as opposed to disrupting the C-S-H chain.</w:t>
      </w:r>
    </w:p>
    <w:p w14:paraId="0F767624" w14:textId="487EB5C6" w:rsidR="007259FF" w:rsidRDefault="0044704C" w:rsidP="009B3C8C">
      <w:pPr>
        <w:widowControl w:val="0"/>
        <w:autoSpaceDE w:val="0"/>
        <w:autoSpaceDN w:val="0"/>
        <w:adjustRightInd w:val="0"/>
        <w:spacing w:after="240" w:line="480" w:lineRule="exact"/>
        <w:jc w:val="both"/>
        <w:rPr>
          <w:rFonts w:ascii="Times New Roman" w:hAnsi="Times New Roman" w:cs="Times New Roman"/>
          <w:szCs w:val="26"/>
        </w:rPr>
      </w:pPr>
      <w:r>
        <w:rPr>
          <w:rFonts w:ascii="Times New Roman" w:hAnsi="Times New Roman" w:cs="Times New Roman"/>
          <w:szCs w:val="26"/>
        </w:rPr>
        <w:t>The ICP-MS results show that the Cs leaches out at much higher rates than any other element, suggesting</w:t>
      </w:r>
      <w:r>
        <w:rPr>
          <w:rFonts w:ascii="Times" w:hAnsi="Times" w:cs="Times New Roman"/>
        </w:rPr>
        <w:t xml:space="preserve"> that the Cs is poorly retained within the matrix, and is rather encapsulated, therefore easily diffuses out of the cement upon contact with water. </w:t>
      </w:r>
      <w:r w:rsidRPr="00822DCB">
        <w:rPr>
          <w:rFonts w:ascii="Times" w:hAnsi="Times" w:cs="Times"/>
          <w:sz w:val="26"/>
          <w:szCs w:val="26"/>
        </w:rPr>
        <w:t xml:space="preserve"> </w:t>
      </w:r>
      <w:r>
        <w:rPr>
          <w:rFonts w:ascii="Times New Roman" w:hAnsi="Times New Roman" w:cs="Times New Roman"/>
          <w:szCs w:val="26"/>
        </w:rPr>
        <w:t>However the leaching rate decreases when it is introduced into the system combined with Sr</w:t>
      </w:r>
      <w:r w:rsidR="000F6A51">
        <w:rPr>
          <w:rFonts w:ascii="Times New Roman" w:hAnsi="Times New Roman" w:cs="Times New Roman"/>
          <w:szCs w:val="26"/>
        </w:rPr>
        <w:t xml:space="preserve">, due to the increase in nitrates and lowering the acidic nature of the cement </w:t>
      </w:r>
      <w:proofErr w:type="gramStart"/>
      <w:r w:rsidR="000F6A51">
        <w:rPr>
          <w:rFonts w:ascii="Times New Roman" w:hAnsi="Times New Roman" w:cs="Times New Roman"/>
          <w:szCs w:val="26"/>
        </w:rPr>
        <w:t xml:space="preserve">solution </w:t>
      </w:r>
      <w:r>
        <w:rPr>
          <w:rFonts w:ascii="Times New Roman" w:hAnsi="Times New Roman" w:cs="Times New Roman"/>
          <w:szCs w:val="26"/>
        </w:rPr>
        <w:t>.</w:t>
      </w:r>
      <w:proofErr w:type="gramEnd"/>
      <w:r>
        <w:rPr>
          <w:rFonts w:ascii="Times New Roman" w:hAnsi="Times New Roman" w:cs="Times New Roman"/>
          <w:szCs w:val="26"/>
        </w:rPr>
        <w:t xml:space="preserve"> </w:t>
      </w:r>
      <w:r w:rsidR="00310A4F">
        <w:rPr>
          <w:rFonts w:ascii="Times New Roman" w:hAnsi="Times New Roman" w:cs="Times New Roman"/>
          <w:szCs w:val="26"/>
        </w:rPr>
        <w:t>Furthermore a</w:t>
      </w:r>
      <w:r>
        <w:rPr>
          <w:rFonts w:ascii="Times New Roman" w:hAnsi="Times New Roman" w:cs="Times New Roman"/>
          <w:szCs w:val="26"/>
        </w:rPr>
        <w:t xml:space="preserve">s shown in chapter 4 section 1 the introduction of the </w:t>
      </w:r>
      <w:proofErr w:type="gramStart"/>
      <w:r>
        <w:rPr>
          <w:rFonts w:ascii="Times New Roman" w:hAnsi="Times New Roman" w:cs="Times New Roman"/>
          <w:szCs w:val="26"/>
        </w:rPr>
        <w:t>Sr(</w:t>
      </w:r>
      <w:proofErr w:type="gramEnd"/>
      <w:r>
        <w:rPr>
          <w:rFonts w:ascii="Times New Roman" w:hAnsi="Times New Roman" w:cs="Times New Roman"/>
          <w:szCs w:val="26"/>
        </w:rPr>
        <w:t>NO</w:t>
      </w:r>
      <w:r>
        <w:rPr>
          <w:rFonts w:ascii="Times New Roman" w:hAnsi="Times New Roman" w:cs="Times New Roman"/>
          <w:szCs w:val="26"/>
          <w:vertAlign w:val="subscript"/>
        </w:rPr>
        <w:t>3</w:t>
      </w:r>
      <w:r>
        <w:rPr>
          <w:rFonts w:ascii="Times New Roman" w:hAnsi="Times New Roman" w:cs="Times New Roman"/>
          <w:szCs w:val="26"/>
        </w:rPr>
        <w:t>)</w:t>
      </w:r>
      <w:r>
        <w:rPr>
          <w:rFonts w:ascii="Times New Roman" w:hAnsi="Times New Roman" w:cs="Times New Roman"/>
          <w:szCs w:val="26"/>
          <w:vertAlign w:val="subscript"/>
        </w:rPr>
        <w:t>2</w:t>
      </w:r>
      <w:r>
        <w:rPr>
          <w:rFonts w:ascii="Times New Roman" w:hAnsi="Times New Roman" w:cs="Times New Roman"/>
          <w:szCs w:val="26"/>
        </w:rPr>
        <w:t xml:space="preserve"> into the system lowers porosity. </w:t>
      </w:r>
      <w:r w:rsidR="00865003">
        <w:rPr>
          <w:rFonts w:ascii="Times New Roman" w:hAnsi="Times New Roman" w:cs="Times New Roman"/>
          <w:szCs w:val="26"/>
        </w:rPr>
        <w:t>According to McCulloch et al [77</w:t>
      </w:r>
      <w:r>
        <w:rPr>
          <w:rFonts w:ascii="Times New Roman" w:hAnsi="Times New Roman" w:cs="Times New Roman"/>
          <w:szCs w:val="26"/>
        </w:rPr>
        <w:t xml:space="preserve">] the Cs leach rates are highly dependent on the porosity of the cement. When the </w:t>
      </w:r>
      <w:proofErr w:type="gramStart"/>
      <w:r>
        <w:rPr>
          <w:rFonts w:ascii="Times New Roman" w:hAnsi="Times New Roman" w:cs="Times New Roman"/>
          <w:szCs w:val="26"/>
        </w:rPr>
        <w:t>Sr(</w:t>
      </w:r>
      <w:proofErr w:type="gramEnd"/>
      <w:r>
        <w:rPr>
          <w:rFonts w:ascii="Times New Roman" w:hAnsi="Times New Roman" w:cs="Times New Roman"/>
          <w:szCs w:val="26"/>
        </w:rPr>
        <w:t>NO</w:t>
      </w:r>
      <w:r>
        <w:rPr>
          <w:rFonts w:ascii="Times New Roman" w:hAnsi="Times New Roman" w:cs="Times New Roman"/>
          <w:szCs w:val="26"/>
        </w:rPr>
        <w:softHyphen/>
      </w:r>
      <w:r>
        <w:rPr>
          <w:rFonts w:ascii="Times New Roman" w:hAnsi="Times New Roman" w:cs="Times New Roman"/>
          <w:szCs w:val="26"/>
        </w:rPr>
        <w:softHyphen/>
      </w:r>
      <w:r>
        <w:rPr>
          <w:rFonts w:ascii="Times New Roman" w:hAnsi="Times New Roman" w:cs="Times New Roman"/>
          <w:szCs w:val="26"/>
          <w:vertAlign w:val="subscript"/>
        </w:rPr>
        <w:t>3</w:t>
      </w:r>
      <w:r>
        <w:rPr>
          <w:rFonts w:ascii="Times New Roman" w:hAnsi="Times New Roman" w:cs="Times New Roman"/>
          <w:szCs w:val="26"/>
        </w:rPr>
        <w:t>)</w:t>
      </w:r>
      <w:r>
        <w:rPr>
          <w:rFonts w:ascii="Times New Roman" w:hAnsi="Times New Roman" w:cs="Times New Roman"/>
          <w:szCs w:val="26"/>
          <w:vertAlign w:val="subscript"/>
        </w:rPr>
        <w:t>2</w:t>
      </w:r>
      <w:r>
        <w:rPr>
          <w:rFonts w:ascii="Times New Roman" w:hAnsi="Times New Roman" w:cs="Times New Roman"/>
          <w:szCs w:val="26"/>
        </w:rPr>
        <w:t xml:space="preserve"> is added it caused a decrease in porosity and thus a decrease in the leaching rates of Cs, in comparison to the DC series. This contradicts the suggestion by Shrivastava et al [7</w:t>
      </w:r>
      <w:r w:rsidR="00865003">
        <w:rPr>
          <w:rFonts w:ascii="Times New Roman" w:hAnsi="Times New Roman" w:cs="Times New Roman"/>
          <w:szCs w:val="26"/>
        </w:rPr>
        <w:t>8</w:t>
      </w:r>
      <w:r>
        <w:rPr>
          <w:rFonts w:ascii="Times New Roman" w:hAnsi="Times New Roman" w:cs="Times New Roman"/>
          <w:szCs w:val="26"/>
        </w:rPr>
        <w:t xml:space="preserve">] who tested the absorption of Sr and Cs into the C-S-H type phase, tobermorite, </w:t>
      </w:r>
      <w:r>
        <w:rPr>
          <w:rFonts w:ascii="Times New Roman" w:hAnsi="Times New Roman" w:cs="Times New Roman"/>
          <w:szCs w:val="26"/>
        </w:rPr>
        <w:lastRenderedPageBreak/>
        <w:t xml:space="preserve">and found that in the presence of larger cations the Cs absorption into this C-S-H phase decreases and thus an increase in leach rate would be expected. </w:t>
      </w:r>
      <w:r w:rsidR="007259FF">
        <w:rPr>
          <w:rFonts w:ascii="Times New Roman" w:hAnsi="Times New Roman" w:cs="Times New Roman"/>
          <w:szCs w:val="26"/>
        </w:rPr>
        <w:t>Therefore the results suggest that majority of the Cs was not sorbed onto the C-S-H supporting findings by McCulloch et al [7</w:t>
      </w:r>
      <w:r w:rsidR="00865003">
        <w:rPr>
          <w:rFonts w:ascii="Times New Roman" w:hAnsi="Times New Roman" w:cs="Times New Roman"/>
          <w:szCs w:val="26"/>
        </w:rPr>
        <w:t>7</w:t>
      </w:r>
      <w:r w:rsidR="007259FF">
        <w:rPr>
          <w:rFonts w:ascii="Times New Roman" w:hAnsi="Times New Roman" w:cs="Times New Roman"/>
          <w:szCs w:val="26"/>
        </w:rPr>
        <w:t xml:space="preserve">], who state that although the C-S-H gel has very a high specific surface area, it </w:t>
      </w:r>
      <w:r w:rsidR="00EF0604">
        <w:rPr>
          <w:rFonts w:ascii="Times New Roman" w:hAnsi="Times New Roman" w:cs="Times New Roman"/>
          <w:szCs w:val="26"/>
        </w:rPr>
        <w:t>does not</w:t>
      </w:r>
      <w:r w:rsidR="007259FF">
        <w:rPr>
          <w:rFonts w:ascii="Times New Roman" w:hAnsi="Times New Roman" w:cs="Times New Roman"/>
          <w:szCs w:val="26"/>
        </w:rPr>
        <w:t xml:space="preserve"> offer any sorption potential for any monovalent ions. </w:t>
      </w:r>
      <w:r w:rsidR="00BE2177">
        <w:rPr>
          <w:rFonts w:ascii="Times New Roman" w:hAnsi="Times New Roman" w:cs="Times New Roman"/>
          <w:szCs w:val="26"/>
        </w:rPr>
        <w:t xml:space="preserve">However, this is Ca/Si </w:t>
      </w:r>
      <w:r w:rsidR="009B7347">
        <w:rPr>
          <w:rFonts w:ascii="Times New Roman" w:hAnsi="Times New Roman" w:cs="Times New Roman"/>
          <w:szCs w:val="26"/>
        </w:rPr>
        <w:t>ratio</w:t>
      </w:r>
      <w:r w:rsidR="00BE2177">
        <w:rPr>
          <w:rFonts w:ascii="Times New Roman" w:hAnsi="Times New Roman" w:cs="Times New Roman"/>
          <w:szCs w:val="26"/>
        </w:rPr>
        <w:t xml:space="preserve"> </w:t>
      </w:r>
      <w:r w:rsidR="00971672">
        <w:rPr>
          <w:rFonts w:ascii="Times New Roman" w:hAnsi="Times New Roman" w:cs="Times New Roman"/>
          <w:szCs w:val="26"/>
        </w:rPr>
        <w:t>dependent</w:t>
      </w:r>
      <w:r w:rsidR="00BE2177">
        <w:rPr>
          <w:rFonts w:ascii="Times New Roman" w:hAnsi="Times New Roman" w:cs="Times New Roman"/>
          <w:szCs w:val="26"/>
        </w:rPr>
        <w:t>, as shown by Myers et al</w:t>
      </w:r>
      <w:r w:rsidR="009B7347">
        <w:rPr>
          <w:rFonts w:ascii="Times New Roman" w:hAnsi="Times New Roman" w:cs="Times New Roman"/>
          <w:szCs w:val="26"/>
        </w:rPr>
        <w:t xml:space="preserve"> [78-2</w:t>
      </w:r>
      <w:r w:rsidR="008B1CF2">
        <w:rPr>
          <w:rFonts w:ascii="Times New Roman" w:hAnsi="Times New Roman" w:cs="Times New Roman"/>
          <w:szCs w:val="26"/>
        </w:rPr>
        <w:t>]</w:t>
      </w:r>
      <w:r w:rsidR="00BE2177">
        <w:rPr>
          <w:rFonts w:ascii="Times New Roman" w:hAnsi="Times New Roman" w:cs="Times New Roman"/>
          <w:szCs w:val="26"/>
        </w:rPr>
        <w:t xml:space="preserve"> who found that at low Ca/Si ratios, the C-S-H type phases have larger interlayer </w:t>
      </w:r>
      <w:proofErr w:type="gramStart"/>
      <w:r w:rsidR="00BE2177">
        <w:rPr>
          <w:rFonts w:ascii="Times New Roman" w:hAnsi="Times New Roman" w:cs="Times New Roman"/>
          <w:szCs w:val="26"/>
        </w:rPr>
        <w:t>spaces which</w:t>
      </w:r>
      <w:proofErr w:type="gramEnd"/>
      <w:r w:rsidR="00BE2177">
        <w:rPr>
          <w:rFonts w:ascii="Times New Roman" w:hAnsi="Times New Roman" w:cs="Times New Roman"/>
          <w:szCs w:val="26"/>
        </w:rPr>
        <w:t xml:space="preserve"> weakly incorporate monovalent cations. </w:t>
      </w:r>
    </w:p>
    <w:p w14:paraId="1F82EF2E" w14:textId="64C789E9" w:rsidR="0044704C" w:rsidRDefault="0044704C" w:rsidP="009B3C8C">
      <w:pPr>
        <w:widowControl w:val="0"/>
        <w:autoSpaceDE w:val="0"/>
        <w:autoSpaceDN w:val="0"/>
        <w:adjustRightInd w:val="0"/>
        <w:spacing w:after="240" w:line="480" w:lineRule="exact"/>
        <w:jc w:val="both"/>
        <w:rPr>
          <w:rFonts w:ascii="Times New Roman" w:hAnsi="Times New Roman" w:cs="Times New Roman"/>
          <w:szCs w:val="26"/>
        </w:rPr>
      </w:pPr>
      <w:r>
        <w:rPr>
          <w:rFonts w:ascii="Times New Roman" w:hAnsi="Times New Roman" w:cs="Times New Roman"/>
          <w:szCs w:val="26"/>
        </w:rPr>
        <w:t xml:space="preserve">The introduction of </w:t>
      </w:r>
      <w:proofErr w:type="gramStart"/>
      <w:r>
        <w:rPr>
          <w:rFonts w:ascii="Times New Roman" w:hAnsi="Times New Roman" w:cs="Times New Roman"/>
          <w:szCs w:val="26"/>
        </w:rPr>
        <w:t>Sr(</w:t>
      </w:r>
      <w:proofErr w:type="gramEnd"/>
      <w:r>
        <w:rPr>
          <w:rFonts w:ascii="Times New Roman" w:hAnsi="Times New Roman" w:cs="Times New Roman"/>
          <w:szCs w:val="26"/>
        </w:rPr>
        <w:t>NO</w:t>
      </w:r>
      <w:r>
        <w:rPr>
          <w:rFonts w:ascii="Times New Roman" w:hAnsi="Times New Roman" w:cs="Times New Roman"/>
          <w:szCs w:val="26"/>
          <w:vertAlign w:val="subscript"/>
        </w:rPr>
        <w:t>3</w:t>
      </w:r>
      <w:r w:rsidRPr="006C4A3C">
        <w:rPr>
          <w:rFonts w:ascii="Times New Roman" w:hAnsi="Times New Roman" w:cs="Times New Roman"/>
          <w:szCs w:val="26"/>
        </w:rPr>
        <w:t>)</w:t>
      </w:r>
      <w:r>
        <w:rPr>
          <w:rFonts w:ascii="Times New Roman" w:hAnsi="Times New Roman" w:cs="Times New Roman"/>
          <w:szCs w:val="26"/>
          <w:vertAlign w:val="subscript"/>
        </w:rPr>
        <w:t>2</w:t>
      </w:r>
      <w:r w:rsidRPr="006C4A3C">
        <w:rPr>
          <w:rFonts w:ascii="Times New Roman" w:hAnsi="Times New Roman" w:cs="Times New Roman"/>
          <w:szCs w:val="26"/>
        </w:rPr>
        <w:t xml:space="preserve"> </w:t>
      </w:r>
      <w:r>
        <w:rPr>
          <w:rFonts w:ascii="Times New Roman" w:hAnsi="Times New Roman" w:cs="Times New Roman"/>
          <w:szCs w:val="26"/>
        </w:rPr>
        <w:t>resulted in</w:t>
      </w:r>
      <w:r w:rsidRPr="006C4A3C">
        <w:rPr>
          <w:rFonts w:ascii="Times New Roman" w:hAnsi="Times New Roman" w:cs="Times New Roman"/>
          <w:szCs w:val="26"/>
        </w:rPr>
        <w:t xml:space="preserve"> the</w:t>
      </w:r>
      <w:r>
        <w:rPr>
          <w:rFonts w:ascii="Times New Roman" w:hAnsi="Times New Roman" w:cs="Times New Roman"/>
          <w:szCs w:val="26"/>
        </w:rPr>
        <w:t xml:space="preserve"> </w:t>
      </w:r>
      <w:r w:rsidRPr="006C4A3C">
        <w:rPr>
          <w:rFonts w:ascii="Times New Roman" w:hAnsi="Times New Roman" w:cs="Times New Roman"/>
          <w:szCs w:val="26"/>
        </w:rPr>
        <w:t xml:space="preserve">absence of the portlandite phase </w:t>
      </w:r>
      <w:r>
        <w:rPr>
          <w:rFonts w:ascii="Times New Roman" w:hAnsi="Times New Roman" w:cs="Times New Roman"/>
          <w:szCs w:val="26"/>
        </w:rPr>
        <w:t>Ca(OH)</w:t>
      </w:r>
      <w:r>
        <w:rPr>
          <w:rFonts w:ascii="Times New Roman" w:hAnsi="Times New Roman" w:cs="Times New Roman"/>
          <w:szCs w:val="26"/>
          <w:vertAlign w:val="subscript"/>
        </w:rPr>
        <w:t>2</w:t>
      </w:r>
      <w:r>
        <w:rPr>
          <w:rFonts w:ascii="Times New Roman" w:hAnsi="Times New Roman" w:cs="Times New Roman"/>
          <w:szCs w:val="26"/>
        </w:rPr>
        <w:t xml:space="preserve"> </w:t>
      </w:r>
      <w:r w:rsidRPr="006C4A3C">
        <w:rPr>
          <w:rFonts w:ascii="Times New Roman" w:hAnsi="Times New Roman" w:cs="Times New Roman"/>
          <w:szCs w:val="26"/>
        </w:rPr>
        <w:t>and the</w:t>
      </w:r>
      <w:r>
        <w:rPr>
          <w:rFonts w:ascii="Times New Roman" w:hAnsi="Times New Roman" w:cs="Times New Roman"/>
          <w:szCs w:val="26"/>
        </w:rPr>
        <w:t xml:space="preserve"> </w:t>
      </w:r>
      <w:r w:rsidRPr="006C4A3C">
        <w:rPr>
          <w:rFonts w:ascii="Times New Roman" w:hAnsi="Times New Roman" w:cs="Times New Roman"/>
          <w:szCs w:val="26"/>
        </w:rPr>
        <w:t xml:space="preserve">formation of </w:t>
      </w:r>
      <w:r>
        <w:rPr>
          <w:rFonts w:ascii="Times New Roman" w:hAnsi="Times New Roman" w:cs="Times New Roman"/>
          <w:szCs w:val="26"/>
        </w:rPr>
        <w:t>CAN</w:t>
      </w:r>
      <w:r w:rsidRPr="006C4A3C">
        <w:rPr>
          <w:rFonts w:ascii="Times New Roman" w:hAnsi="Times New Roman" w:cs="Times New Roman"/>
          <w:szCs w:val="26"/>
        </w:rPr>
        <w:t xml:space="preserve"> instead of AFm. It is </w:t>
      </w:r>
      <w:r>
        <w:rPr>
          <w:rFonts w:ascii="Times New Roman" w:hAnsi="Times New Roman" w:cs="Times New Roman"/>
          <w:szCs w:val="26"/>
        </w:rPr>
        <w:t xml:space="preserve">strongly suggested in the results that </w:t>
      </w:r>
      <w:proofErr w:type="gramStart"/>
      <w:r>
        <w:rPr>
          <w:rFonts w:ascii="Times New Roman" w:hAnsi="Times New Roman" w:cs="Times New Roman"/>
          <w:szCs w:val="26"/>
        </w:rPr>
        <w:t>Sr(</w:t>
      </w:r>
      <w:proofErr w:type="gramEnd"/>
      <w:r>
        <w:rPr>
          <w:rFonts w:ascii="Times New Roman" w:hAnsi="Times New Roman" w:cs="Times New Roman"/>
          <w:szCs w:val="26"/>
        </w:rPr>
        <w:t>NO</w:t>
      </w:r>
      <w:r>
        <w:rPr>
          <w:rFonts w:ascii="Times New Roman" w:hAnsi="Times New Roman" w:cs="Times New Roman"/>
          <w:szCs w:val="26"/>
          <w:vertAlign w:val="subscript"/>
        </w:rPr>
        <w:t>3</w:t>
      </w:r>
      <w:r>
        <w:rPr>
          <w:rFonts w:ascii="Times New Roman" w:hAnsi="Times New Roman" w:cs="Times New Roman"/>
          <w:szCs w:val="26"/>
        </w:rPr>
        <w:t>)</w:t>
      </w:r>
      <w:r>
        <w:rPr>
          <w:rFonts w:ascii="Times New Roman" w:hAnsi="Times New Roman" w:cs="Times New Roman"/>
          <w:szCs w:val="26"/>
        </w:rPr>
        <w:softHyphen/>
      </w:r>
      <w:r>
        <w:rPr>
          <w:rFonts w:ascii="Times New Roman" w:hAnsi="Times New Roman" w:cs="Times New Roman"/>
          <w:szCs w:val="26"/>
          <w:vertAlign w:val="subscript"/>
        </w:rPr>
        <w:t>2</w:t>
      </w:r>
      <w:r w:rsidRPr="006C4A3C">
        <w:rPr>
          <w:rFonts w:ascii="Times New Roman" w:hAnsi="Times New Roman" w:cs="Times New Roman"/>
          <w:szCs w:val="26"/>
        </w:rPr>
        <w:t xml:space="preserve"> was incorporated in AFm phase to form </w:t>
      </w:r>
      <w:r>
        <w:rPr>
          <w:rFonts w:ascii="Times New Roman" w:hAnsi="Times New Roman" w:cs="Times New Roman"/>
          <w:szCs w:val="26"/>
        </w:rPr>
        <w:t>CAN. According to Park et al</w:t>
      </w:r>
      <w:proofErr w:type="gramStart"/>
      <w:r>
        <w:rPr>
          <w:rFonts w:ascii="Times New Roman" w:hAnsi="Times New Roman" w:cs="Times New Roman"/>
          <w:szCs w:val="26"/>
        </w:rPr>
        <w:t>.[</w:t>
      </w:r>
      <w:proofErr w:type="gramEnd"/>
      <w:r>
        <w:rPr>
          <w:rFonts w:ascii="Times New Roman" w:hAnsi="Times New Roman" w:cs="Times New Roman"/>
          <w:szCs w:val="26"/>
        </w:rPr>
        <w:t>6]</w:t>
      </w:r>
      <w:r w:rsidRPr="006C4A3C">
        <w:rPr>
          <w:rFonts w:ascii="Times New Roman" w:hAnsi="Times New Roman" w:cs="Times New Roman"/>
          <w:szCs w:val="26"/>
        </w:rPr>
        <w:t xml:space="preserve"> the nitrate anions can substitute for the sulphate anions in AFm to form </w:t>
      </w:r>
      <w:r>
        <w:rPr>
          <w:rFonts w:ascii="Times New Roman" w:hAnsi="Times New Roman" w:cs="Times New Roman"/>
          <w:szCs w:val="26"/>
        </w:rPr>
        <w:t>CAN.</w:t>
      </w:r>
      <w:r w:rsidR="00B5557C">
        <w:rPr>
          <w:rFonts w:ascii="Times New Roman" w:hAnsi="Times New Roman" w:cs="Times New Roman"/>
          <w:szCs w:val="26"/>
        </w:rPr>
        <w:t xml:space="preserve"> </w:t>
      </w:r>
      <w:r w:rsidR="000E01AB">
        <w:rPr>
          <w:rFonts w:ascii="Times New Roman" w:hAnsi="Times New Roman" w:cs="Times New Roman"/>
          <w:szCs w:val="26"/>
        </w:rPr>
        <w:t xml:space="preserve">The increase in CAN is due to the increase in </w:t>
      </w:r>
      <w:proofErr w:type="gramStart"/>
      <w:r w:rsidR="000E01AB">
        <w:rPr>
          <w:rFonts w:ascii="Times New Roman" w:hAnsi="Times New Roman" w:cs="Times New Roman"/>
          <w:szCs w:val="26"/>
        </w:rPr>
        <w:t>Sr(</w:t>
      </w:r>
      <w:proofErr w:type="gramEnd"/>
      <w:r w:rsidR="000E01AB">
        <w:rPr>
          <w:rFonts w:ascii="Times New Roman" w:hAnsi="Times New Roman" w:cs="Times New Roman"/>
          <w:szCs w:val="26"/>
        </w:rPr>
        <w:t>NO</w:t>
      </w:r>
      <w:r w:rsidR="000E01AB">
        <w:rPr>
          <w:rFonts w:ascii="Times New Roman" w:hAnsi="Times New Roman" w:cs="Times New Roman"/>
          <w:szCs w:val="26"/>
          <w:vertAlign w:val="subscript"/>
        </w:rPr>
        <w:t>3</w:t>
      </w:r>
      <w:r w:rsidR="000E01AB">
        <w:rPr>
          <w:rFonts w:ascii="Times New Roman" w:hAnsi="Times New Roman" w:cs="Times New Roman"/>
          <w:szCs w:val="26"/>
        </w:rPr>
        <w:t>)</w:t>
      </w:r>
      <w:r w:rsidR="000E01AB">
        <w:rPr>
          <w:rFonts w:ascii="Times New Roman" w:hAnsi="Times New Roman" w:cs="Times New Roman"/>
          <w:szCs w:val="26"/>
          <w:vertAlign w:val="subscript"/>
        </w:rPr>
        <w:t>2</w:t>
      </w:r>
      <w:r w:rsidR="000E01AB">
        <w:rPr>
          <w:rFonts w:ascii="Times New Roman" w:hAnsi="Times New Roman" w:cs="Times New Roman"/>
          <w:szCs w:val="26"/>
        </w:rPr>
        <w:t>, as there is an increase in elements that form this phase.</w:t>
      </w:r>
      <w:r>
        <w:rPr>
          <w:rFonts w:ascii="Times New Roman" w:hAnsi="Times New Roman" w:cs="Times New Roman"/>
          <w:szCs w:val="26"/>
        </w:rPr>
        <w:t xml:space="preserve"> </w:t>
      </w:r>
      <w:r w:rsidRPr="006C4A3C">
        <w:rPr>
          <w:rFonts w:ascii="Times New Roman" w:hAnsi="Times New Roman" w:cs="Times New Roman"/>
          <w:szCs w:val="26"/>
        </w:rPr>
        <w:t xml:space="preserve"> </w:t>
      </w:r>
      <w:r>
        <w:rPr>
          <w:rFonts w:ascii="Times New Roman" w:hAnsi="Times New Roman" w:cs="Times New Roman"/>
          <w:szCs w:val="26"/>
        </w:rPr>
        <w:t>Balonis et al [9]</w:t>
      </w:r>
      <w:r w:rsidRPr="006C4A3C">
        <w:rPr>
          <w:rFonts w:ascii="Times New Roman" w:hAnsi="Times New Roman" w:cs="Times New Roman"/>
          <w:szCs w:val="26"/>
        </w:rPr>
        <w:t xml:space="preserve"> also suggest that the calcium aluminohydrate phases can incorporate various anions into an anion site and can be described by the following general formulae:</w:t>
      </w:r>
      <w:r>
        <w:rPr>
          <w:rFonts w:ascii="Times New Roman" w:hAnsi="Times New Roman" w:cs="Times New Roman"/>
          <w:szCs w:val="26"/>
        </w:rPr>
        <w:t xml:space="preserve"> 3CaO.Al</w:t>
      </w:r>
      <w:r>
        <w:rPr>
          <w:rFonts w:ascii="Times New Roman" w:hAnsi="Times New Roman" w:cs="Times New Roman"/>
          <w:szCs w:val="26"/>
          <w:vertAlign w:val="subscript"/>
        </w:rPr>
        <w:t>2</w:t>
      </w:r>
      <w:r w:rsidRPr="006C4A3C">
        <w:rPr>
          <w:rFonts w:ascii="Times New Roman" w:hAnsi="Times New Roman" w:cs="Times New Roman"/>
          <w:szCs w:val="26"/>
        </w:rPr>
        <w:t>O</w:t>
      </w:r>
      <w:r>
        <w:rPr>
          <w:rFonts w:ascii="Times New Roman" w:hAnsi="Times New Roman" w:cs="Times New Roman"/>
          <w:szCs w:val="26"/>
          <w:vertAlign w:val="subscript"/>
        </w:rPr>
        <w:t>3</w:t>
      </w:r>
      <w:r w:rsidRPr="006C4A3C">
        <w:rPr>
          <w:rFonts w:ascii="Times New Roman" w:hAnsi="Times New Roman" w:cs="Times New Roman"/>
          <w:szCs w:val="26"/>
        </w:rPr>
        <w:t>.CaX.nH</w:t>
      </w:r>
      <w:r>
        <w:rPr>
          <w:rFonts w:ascii="Times New Roman" w:hAnsi="Times New Roman" w:cs="Times New Roman"/>
          <w:szCs w:val="26"/>
          <w:vertAlign w:val="subscript"/>
        </w:rPr>
        <w:t>2</w:t>
      </w:r>
      <w:r w:rsidRPr="006C4A3C">
        <w:rPr>
          <w:rFonts w:ascii="Times New Roman" w:hAnsi="Times New Roman" w:cs="Times New Roman"/>
          <w:szCs w:val="26"/>
        </w:rPr>
        <w:t>O a</w:t>
      </w:r>
      <w:r>
        <w:rPr>
          <w:rFonts w:ascii="Times New Roman" w:hAnsi="Times New Roman" w:cs="Times New Roman"/>
          <w:szCs w:val="26"/>
        </w:rPr>
        <w:t>nd 3CaO.Al</w:t>
      </w:r>
      <w:r>
        <w:rPr>
          <w:rFonts w:ascii="Times New Roman" w:hAnsi="Times New Roman" w:cs="Times New Roman"/>
          <w:szCs w:val="26"/>
          <w:vertAlign w:val="subscript"/>
        </w:rPr>
        <w:t>2</w:t>
      </w:r>
      <w:r>
        <w:rPr>
          <w:rFonts w:ascii="Times New Roman" w:hAnsi="Times New Roman" w:cs="Times New Roman"/>
          <w:szCs w:val="26"/>
        </w:rPr>
        <w:t>O</w:t>
      </w:r>
      <w:r>
        <w:rPr>
          <w:rFonts w:ascii="Times New Roman" w:hAnsi="Times New Roman" w:cs="Times New Roman"/>
          <w:szCs w:val="26"/>
          <w:vertAlign w:val="subscript"/>
        </w:rPr>
        <w:t>3</w:t>
      </w:r>
      <w:r>
        <w:rPr>
          <w:rFonts w:ascii="Times New Roman" w:hAnsi="Times New Roman" w:cs="Times New Roman"/>
          <w:szCs w:val="26"/>
        </w:rPr>
        <w:t>.CaZ</w:t>
      </w:r>
      <w:r>
        <w:rPr>
          <w:rFonts w:ascii="Times New Roman" w:hAnsi="Times New Roman" w:cs="Times New Roman"/>
          <w:szCs w:val="26"/>
          <w:vertAlign w:val="subscript"/>
        </w:rPr>
        <w:t>2</w:t>
      </w:r>
      <w:r>
        <w:rPr>
          <w:rFonts w:ascii="Times New Roman" w:hAnsi="Times New Roman" w:cs="Times New Roman"/>
          <w:szCs w:val="26"/>
        </w:rPr>
        <w:t>.nH</w:t>
      </w:r>
      <w:r>
        <w:rPr>
          <w:rFonts w:ascii="Times New Roman" w:hAnsi="Times New Roman" w:cs="Times New Roman"/>
          <w:szCs w:val="26"/>
          <w:vertAlign w:val="subscript"/>
        </w:rPr>
        <w:t>2</w:t>
      </w:r>
      <w:r>
        <w:rPr>
          <w:rFonts w:ascii="Times New Roman" w:hAnsi="Times New Roman" w:cs="Times New Roman"/>
          <w:szCs w:val="26"/>
        </w:rPr>
        <w:t xml:space="preserve">O where </w:t>
      </w:r>
      <w:r w:rsidRPr="00861E8E">
        <w:rPr>
          <w:rFonts w:ascii="Times New Roman" w:hAnsi="Times New Roman" w:cs="Times New Roman"/>
          <w:szCs w:val="26"/>
        </w:rPr>
        <w:t>X</w:t>
      </w:r>
      <w:r>
        <w:rPr>
          <w:rFonts w:ascii="Times New Roman" w:hAnsi="Times New Roman" w:cs="Times New Roman"/>
          <w:szCs w:val="26"/>
        </w:rPr>
        <w:t>=</w:t>
      </w:r>
      <w:r w:rsidRPr="00861E8E">
        <w:rPr>
          <w:rFonts w:ascii="Times New Roman" w:hAnsi="Times New Roman" w:cs="Times New Roman"/>
          <w:szCs w:val="26"/>
        </w:rPr>
        <w:t>SO</w:t>
      </w:r>
      <w:r>
        <w:rPr>
          <w:rFonts w:ascii="Times New Roman" w:hAnsi="Times New Roman" w:cs="Times New Roman"/>
          <w:szCs w:val="26"/>
          <w:vertAlign w:val="subscript"/>
        </w:rPr>
        <w:t>4</w:t>
      </w:r>
      <w:r>
        <w:rPr>
          <w:rFonts w:ascii="Times New Roman" w:hAnsi="Times New Roman" w:cs="Times New Roman"/>
          <w:szCs w:val="26"/>
          <w:vertAlign w:val="superscript"/>
        </w:rPr>
        <w:t>2-</w:t>
      </w:r>
      <w:r>
        <w:rPr>
          <w:rFonts w:ascii="Times New Roman" w:hAnsi="Times New Roman" w:cs="Times New Roman"/>
          <w:szCs w:val="26"/>
        </w:rPr>
        <w:t xml:space="preserve"> and Z=NO</w:t>
      </w:r>
      <w:r>
        <w:rPr>
          <w:rFonts w:ascii="Times New Roman" w:hAnsi="Times New Roman" w:cs="Times New Roman"/>
          <w:szCs w:val="26"/>
          <w:vertAlign w:val="subscript"/>
        </w:rPr>
        <w:t>3</w:t>
      </w:r>
      <w:r>
        <w:rPr>
          <w:rFonts w:ascii="Times New Roman" w:hAnsi="Times New Roman" w:cs="Times New Roman"/>
          <w:szCs w:val="26"/>
          <w:vertAlign w:val="superscript"/>
        </w:rPr>
        <w:t>-</w:t>
      </w:r>
      <w:r w:rsidRPr="006C4A3C">
        <w:rPr>
          <w:rFonts w:ascii="Times New Roman" w:hAnsi="Times New Roman" w:cs="Times New Roman"/>
          <w:szCs w:val="26"/>
        </w:rPr>
        <w:t>. It seems likely that Sr c</w:t>
      </w:r>
      <w:r>
        <w:rPr>
          <w:rFonts w:ascii="Times New Roman" w:hAnsi="Times New Roman" w:cs="Times New Roman"/>
          <w:szCs w:val="26"/>
        </w:rPr>
        <w:t>an substitute for the Ca in CaZ</w:t>
      </w:r>
      <w:r>
        <w:rPr>
          <w:rFonts w:ascii="Times New Roman" w:hAnsi="Times New Roman" w:cs="Times New Roman"/>
          <w:szCs w:val="26"/>
          <w:vertAlign w:val="subscript"/>
        </w:rPr>
        <w:t>2</w:t>
      </w:r>
      <w:r w:rsidRPr="006C4A3C">
        <w:rPr>
          <w:rFonts w:ascii="Times New Roman" w:hAnsi="Times New Roman" w:cs="Times New Roman"/>
          <w:szCs w:val="26"/>
        </w:rPr>
        <w:t xml:space="preserve"> within such a </w:t>
      </w:r>
      <w:r>
        <w:rPr>
          <w:rFonts w:ascii="Times New Roman" w:hAnsi="Times New Roman" w:cs="Times New Roman"/>
          <w:szCs w:val="26"/>
        </w:rPr>
        <w:t>phase.</w:t>
      </w:r>
      <w:r w:rsidR="00CF0F76">
        <w:rPr>
          <w:rFonts w:ascii="Times New Roman" w:hAnsi="Times New Roman" w:cs="Times New Roman"/>
          <w:szCs w:val="26"/>
        </w:rPr>
        <w:t xml:space="preserve"> This also shows that two nitrate ions would s</w:t>
      </w:r>
      <w:r w:rsidR="00667249">
        <w:rPr>
          <w:rFonts w:ascii="Times New Roman" w:hAnsi="Times New Roman" w:cs="Times New Roman"/>
          <w:szCs w:val="26"/>
        </w:rPr>
        <w:t>ubstitute for one sulphate ion, this would still mean a decrease in lattice size as the sulphate ion is more than twice the size of nitrate ion.</w:t>
      </w:r>
    </w:p>
    <w:p w14:paraId="3F9AE3F4" w14:textId="3C65045F" w:rsidR="00667249" w:rsidRDefault="0044704C" w:rsidP="009B3C8C">
      <w:pPr>
        <w:spacing w:before="240" w:after="120" w:line="480" w:lineRule="exact"/>
        <w:jc w:val="both"/>
        <w:rPr>
          <w:rFonts w:ascii="Times New Roman" w:hAnsi="Times New Roman" w:cs="Times New Roman"/>
          <w:noProof/>
          <w:lang w:eastAsia="en-GB"/>
        </w:rPr>
      </w:pPr>
      <w:r>
        <w:rPr>
          <w:rFonts w:ascii="Times New Roman" w:hAnsi="Times New Roman" w:cs="Times New Roman"/>
          <w:szCs w:val="26"/>
        </w:rPr>
        <w:t>T</w:t>
      </w:r>
      <w:r w:rsidRPr="006C4A3C">
        <w:rPr>
          <w:rFonts w:ascii="Times New Roman" w:hAnsi="Times New Roman" w:cs="Times New Roman"/>
          <w:szCs w:val="26"/>
        </w:rPr>
        <w:t xml:space="preserve">he weight loss due to the </w:t>
      </w:r>
      <w:r>
        <w:rPr>
          <w:rFonts w:ascii="Times New Roman" w:hAnsi="Times New Roman" w:cs="Times New Roman"/>
          <w:szCs w:val="26"/>
        </w:rPr>
        <w:t xml:space="preserve">CAN phase in CS </w:t>
      </w:r>
      <w:r w:rsidR="00B5557C">
        <w:rPr>
          <w:rFonts w:ascii="Times New Roman" w:hAnsi="Times New Roman" w:cs="Times New Roman"/>
          <w:szCs w:val="26"/>
        </w:rPr>
        <w:t xml:space="preserve">is </w:t>
      </w:r>
      <w:r w:rsidRPr="006C4A3C">
        <w:rPr>
          <w:rFonts w:ascii="Times New Roman" w:hAnsi="Times New Roman" w:cs="Times New Roman"/>
          <w:szCs w:val="26"/>
        </w:rPr>
        <w:t xml:space="preserve">larger than the weight loss due to the AFm phase in B. This could be explained by the formation of a </w:t>
      </w:r>
      <w:r>
        <w:rPr>
          <w:rFonts w:ascii="Times New Roman" w:hAnsi="Times New Roman" w:cs="Times New Roman"/>
          <w:szCs w:val="26"/>
        </w:rPr>
        <w:t xml:space="preserve">larger amount </w:t>
      </w:r>
      <w:r w:rsidRPr="006C4A3C">
        <w:rPr>
          <w:rFonts w:ascii="Times New Roman" w:hAnsi="Times New Roman" w:cs="Times New Roman"/>
          <w:szCs w:val="26"/>
        </w:rPr>
        <w:t xml:space="preserve">of </w:t>
      </w:r>
      <w:r>
        <w:rPr>
          <w:rFonts w:ascii="Times New Roman" w:hAnsi="Times New Roman" w:cs="Times New Roman"/>
          <w:szCs w:val="26"/>
        </w:rPr>
        <w:t>CAN</w:t>
      </w:r>
      <w:r w:rsidRPr="006C4A3C">
        <w:rPr>
          <w:rFonts w:ascii="Times New Roman" w:hAnsi="Times New Roman" w:cs="Times New Roman"/>
          <w:szCs w:val="26"/>
        </w:rPr>
        <w:t xml:space="preserve"> in sample CS than AFm in sample B. This could also explain the absence of portlandite in the CS samples; in order to produce more </w:t>
      </w:r>
      <w:r>
        <w:rPr>
          <w:rFonts w:ascii="Times New Roman" w:hAnsi="Times New Roman" w:cs="Times New Roman"/>
          <w:szCs w:val="26"/>
        </w:rPr>
        <w:t>CAN</w:t>
      </w:r>
      <w:r w:rsidRPr="006C4A3C">
        <w:rPr>
          <w:rFonts w:ascii="Times New Roman" w:hAnsi="Times New Roman" w:cs="Times New Roman"/>
          <w:szCs w:val="26"/>
        </w:rPr>
        <w:t>, more Ca would be required, and therefore, less is available to form the portlandite phase.</w:t>
      </w:r>
      <w:r w:rsidRPr="002E4CF9">
        <w:rPr>
          <w:rFonts w:ascii="Times New Roman" w:hAnsi="Times New Roman" w:cs="Times New Roman"/>
          <w:noProof/>
          <w:lang w:eastAsia="en-GB"/>
        </w:rPr>
        <w:t xml:space="preserve"> </w:t>
      </w:r>
    </w:p>
    <w:p w14:paraId="7D1E8AF4" w14:textId="54FF1C1C" w:rsidR="0044704C" w:rsidRDefault="0044704C" w:rsidP="009B3C8C">
      <w:pPr>
        <w:spacing w:before="240" w:after="120" w:line="480" w:lineRule="exact"/>
        <w:jc w:val="both"/>
        <w:rPr>
          <w:rFonts w:ascii="Times New Roman" w:hAnsi="Times New Roman" w:cs="Times New Roman"/>
          <w:color w:val="000000"/>
        </w:rPr>
      </w:pPr>
      <w:r>
        <w:rPr>
          <w:rFonts w:ascii="Times New Roman" w:hAnsi="Times New Roman" w:cs="Times New Roman"/>
          <w:noProof/>
          <w:lang w:eastAsia="en-GB"/>
        </w:rPr>
        <w:t>The literature is inc</w:t>
      </w:r>
      <w:r w:rsidR="00667249">
        <w:rPr>
          <w:rFonts w:ascii="Times New Roman" w:hAnsi="Times New Roman" w:cs="Times New Roman"/>
          <w:noProof/>
          <w:lang w:eastAsia="en-GB"/>
        </w:rPr>
        <w:t>on</w:t>
      </w:r>
      <w:r w:rsidR="00A97A69">
        <w:rPr>
          <w:rFonts w:ascii="Times New Roman" w:hAnsi="Times New Roman" w:cs="Times New Roman"/>
          <w:noProof/>
          <w:lang w:eastAsia="en-GB"/>
        </w:rPr>
        <w:t>s</w:t>
      </w:r>
      <w:r w:rsidR="00667249">
        <w:rPr>
          <w:rFonts w:ascii="Times New Roman" w:hAnsi="Times New Roman" w:cs="Times New Roman"/>
          <w:noProof/>
          <w:lang w:eastAsia="en-GB"/>
        </w:rPr>
        <w:t xml:space="preserve">istent as to which phase the Sr </w:t>
      </w:r>
      <w:r>
        <w:rPr>
          <w:rFonts w:ascii="Times New Roman" w:hAnsi="Times New Roman" w:cs="Times New Roman"/>
          <w:noProof/>
          <w:lang w:eastAsia="en-GB"/>
        </w:rPr>
        <w:t xml:space="preserve">substition occurs within. </w:t>
      </w:r>
      <w:r w:rsidR="00865003">
        <w:rPr>
          <w:rFonts w:ascii="Times New Roman" w:hAnsi="Times New Roman" w:cs="Times New Roman"/>
          <w:color w:val="000000"/>
        </w:rPr>
        <w:t>Tits et al. [79</w:t>
      </w:r>
      <w:r>
        <w:rPr>
          <w:rFonts w:ascii="Times New Roman" w:hAnsi="Times New Roman" w:cs="Times New Roman"/>
          <w:color w:val="000000"/>
        </w:rPr>
        <w:t xml:space="preserve">] have shown that the C-S-H phase is responsible for </w:t>
      </w:r>
      <w:proofErr w:type="gramStart"/>
      <w:r>
        <w:rPr>
          <w:rFonts w:ascii="Times New Roman" w:hAnsi="Times New Roman" w:cs="Times New Roman"/>
          <w:color w:val="000000"/>
        </w:rPr>
        <w:t>Sr(</w:t>
      </w:r>
      <w:proofErr w:type="gramEnd"/>
      <w:r>
        <w:rPr>
          <w:rFonts w:ascii="Times New Roman" w:hAnsi="Times New Roman" w:cs="Times New Roman"/>
          <w:color w:val="000000"/>
        </w:rPr>
        <w:t xml:space="preserve">II) retention. There are </w:t>
      </w:r>
      <w:r>
        <w:rPr>
          <w:rFonts w:ascii="Times New Roman" w:hAnsi="Times New Roman" w:cs="Times New Roman"/>
          <w:color w:val="000000"/>
        </w:rPr>
        <w:lastRenderedPageBreak/>
        <w:t>three possible sorption sites for this type of cation within C-S-H, the silandiol (</w:t>
      </w:r>
      <w:proofErr w:type="gramStart"/>
      <w:r>
        <w:rPr>
          <w:rFonts w:ascii="Times New Roman" w:hAnsi="Times New Roman" w:cs="Times New Roman"/>
          <w:color w:val="000000"/>
        </w:rPr>
        <w:t>Si(</w:t>
      </w:r>
      <w:proofErr w:type="gramEnd"/>
      <w:r>
        <w:rPr>
          <w:rFonts w:ascii="Times New Roman" w:hAnsi="Times New Roman" w:cs="Times New Roman"/>
          <w:color w:val="000000"/>
        </w:rPr>
        <w:t>OH)</w:t>
      </w:r>
      <w:r>
        <w:rPr>
          <w:rFonts w:ascii="Times New Roman" w:hAnsi="Times New Roman" w:cs="Times New Roman"/>
          <w:color w:val="000000"/>
          <w:vertAlign w:val="subscript"/>
        </w:rPr>
        <w:t>2</w:t>
      </w:r>
      <w:r>
        <w:rPr>
          <w:rFonts w:ascii="Times New Roman" w:hAnsi="Times New Roman" w:cs="Times New Roman"/>
          <w:color w:val="000000"/>
        </w:rPr>
        <w:t>)  groups in the interlayers, the silanol end-groups at the surface of C-S-H particles and the Ca(II) sites in the CaO</w:t>
      </w:r>
      <w:r>
        <w:rPr>
          <w:rFonts w:ascii="Times New Roman" w:hAnsi="Times New Roman" w:cs="Times New Roman"/>
          <w:color w:val="000000"/>
          <w:vertAlign w:val="superscript"/>
        </w:rPr>
        <w:softHyphen/>
      </w:r>
      <w:r>
        <w:rPr>
          <w:rFonts w:ascii="Times New Roman" w:hAnsi="Times New Roman" w:cs="Times New Roman"/>
          <w:color w:val="000000"/>
          <w:vertAlign w:val="subscript"/>
        </w:rPr>
        <w:t>2</w:t>
      </w:r>
      <w:r>
        <w:rPr>
          <w:rFonts w:ascii="Times New Roman" w:hAnsi="Times New Roman" w:cs="Times New Roman"/>
          <w:color w:val="000000"/>
        </w:rPr>
        <w:t xml:space="preserve"> octahedral sheets. Based on experiments and other literature Tits et al. </w:t>
      </w:r>
      <w:r w:rsidR="00865003">
        <w:rPr>
          <w:rFonts w:ascii="Times New Roman" w:hAnsi="Times New Roman" w:cs="Times New Roman"/>
          <w:color w:val="000000"/>
        </w:rPr>
        <w:t>[79</w:t>
      </w:r>
      <w:r>
        <w:rPr>
          <w:rFonts w:ascii="Times New Roman" w:hAnsi="Times New Roman" w:cs="Times New Roman"/>
          <w:color w:val="000000"/>
        </w:rPr>
        <w:t xml:space="preserve">] concluded that, due to its size, </w:t>
      </w:r>
      <w:proofErr w:type="gramStart"/>
      <w:r>
        <w:rPr>
          <w:rFonts w:ascii="Times New Roman" w:hAnsi="Times New Roman" w:cs="Times New Roman"/>
          <w:color w:val="000000"/>
        </w:rPr>
        <w:t>Sr(</w:t>
      </w:r>
      <w:proofErr w:type="gramEnd"/>
      <w:r>
        <w:rPr>
          <w:rFonts w:ascii="Times New Roman" w:hAnsi="Times New Roman" w:cs="Times New Roman"/>
          <w:color w:val="000000"/>
        </w:rPr>
        <w:t>II) is only sorped onto the silanol sites, these sites are made up of negatively charged silica end-groups that carry an unshared oxygen atom. This negatively charged site is charge compensated by the Ca</w:t>
      </w:r>
      <w:r>
        <w:rPr>
          <w:rFonts w:ascii="Times New Roman" w:hAnsi="Times New Roman" w:cs="Times New Roman"/>
          <w:color w:val="000000"/>
          <w:vertAlign w:val="superscript"/>
        </w:rPr>
        <w:t>2</w:t>
      </w:r>
      <w:proofErr w:type="gramStart"/>
      <w:r>
        <w:rPr>
          <w:rFonts w:ascii="Times New Roman" w:hAnsi="Times New Roman" w:cs="Times New Roman"/>
          <w:color w:val="000000"/>
          <w:vertAlign w:val="superscript"/>
        </w:rPr>
        <w:t>+</w:t>
      </w:r>
      <w:r>
        <w:rPr>
          <w:rFonts w:ascii="Times New Roman" w:hAnsi="Times New Roman" w:cs="Times New Roman"/>
          <w:color w:val="000000"/>
        </w:rPr>
        <w:t xml:space="preserve"> which</w:t>
      </w:r>
      <w:proofErr w:type="gramEnd"/>
      <w:r>
        <w:rPr>
          <w:rFonts w:ascii="Times New Roman" w:hAnsi="Times New Roman" w:cs="Times New Roman"/>
          <w:color w:val="000000"/>
        </w:rPr>
        <w:t xml:space="preserve"> can exchange with Sr</w:t>
      </w:r>
      <w:r>
        <w:rPr>
          <w:rFonts w:ascii="Times New Roman" w:hAnsi="Times New Roman" w:cs="Times New Roman"/>
          <w:color w:val="000000"/>
          <w:vertAlign w:val="superscript"/>
        </w:rPr>
        <w:t>2+</w:t>
      </w:r>
      <w:r>
        <w:rPr>
          <w:rFonts w:ascii="Times New Roman" w:hAnsi="Times New Roman" w:cs="Times New Roman"/>
          <w:color w:val="000000"/>
        </w:rPr>
        <w:t xml:space="preserve"> as follows:</w:t>
      </w:r>
    </w:p>
    <w:p w14:paraId="17C5AB47" w14:textId="77777777" w:rsidR="0044704C" w:rsidRPr="00724E18" w:rsidRDefault="0044704C" w:rsidP="009B3C8C">
      <w:pPr>
        <w:spacing w:before="240" w:after="120" w:line="480" w:lineRule="exact"/>
        <w:jc w:val="center"/>
        <w:rPr>
          <w:rFonts w:ascii="Times New Roman" w:hAnsi="Times New Roman" w:cs="Times New Roman"/>
          <w:color w:val="000000"/>
        </w:rPr>
      </w:pPr>
      <w:r>
        <w:rPr>
          <w:rFonts w:ascii="Times New Roman" w:hAnsi="Times New Roman" w:cs="Times New Roman"/>
          <w:color w:val="000000"/>
        </w:rPr>
        <w:t xml:space="preserve">Ca-CSH  </w:t>
      </w:r>
      <w:proofErr w:type="gramStart"/>
      <w:r>
        <w:rPr>
          <w:rFonts w:ascii="Times New Roman" w:hAnsi="Times New Roman" w:cs="Times New Roman"/>
          <w:color w:val="000000"/>
        </w:rPr>
        <w:t>+  Sr</w:t>
      </w:r>
      <w:r>
        <w:rPr>
          <w:rFonts w:ascii="Times New Roman" w:hAnsi="Times New Roman" w:cs="Times New Roman"/>
          <w:color w:val="000000"/>
          <w:vertAlign w:val="superscript"/>
        </w:rPr>
        <w:t>2</w:t>
      </w:r>
      <w:proofErr w:type="gramEnd"/>
      <w:r>
        <w:rPr>
          <w:rFonts w:ascii="Times New Roman" w:hAnsi="Times New Roman" w:cs="Times New Roman"/>
          <w:color w:val="000000"/>
          <w:vertAlign w:val="superscript"/>
        </w:rPr>
        <w:t>+</w:t>
      </w:r>
      <w:r>
        <w:rPr>
          <w:rFonts w:ascii="Times New Roman" w:hAnsi="Times New Roman" w:cs="Times New Roman"/>
          <w:color w:val="000000"/>
        </w:rPr>
        <w:t xml:space="preserve">    </w:t>
      </w:r>
      <m:oMath>
        <m:r>
          <w:rPr>
            <w:rFonts w:ascii="Cambria Math" w:hAnsi="Cambria Math" w:cs="Times New Roman"/>
            <w:color w:val="000000"/>
          </w:rPr>
          <m:t>↔</m:t>
        </m:r>
      </m:oMath>
      <w:r>
        <w:rPr>
          <w:rFonts w:ascii="Times New Roman" w:hAnsi="Times New Roman" w:cs="Times New Roman"/>
          <w:color w:val="000000"/>
        </w:rPr>
        <w:t xml:space="preserve">    Sr-CSH   +  Ca</w:t>
      </w:r>
      <w:r>
        <w:rPr>
          <w:rFonts w:ascii="Times New Roman" w:hAnsi="Times New Roman" w:cs="Times New Roman"/>
          <w:color w:val="000000"/>
          <w:vertAlign w:val="superscript"/>
        </w:rPr>
        <w:t>2+</w:t>
      </w:r>
    </w:p>
    <w:p w14:paraId="1548875B" w14:textId="563E5419" w:rsidR="0044704C" w:rsidRDefault="0044704C" w:rsidP="009B3C8C">
      <w:pPr>
        <w:spacing w:before="240" w:after="120" w:line="480" w:lineRule="exact"/>
        <w:jc w:val="both"/>
        <w:rPr>
          <w:rFonts w:ascii="Times New Roman" w:hAnsi="Times New Roman" w:cs="Times New Roman"/>
        </w:rPr>
      </w:pPr>
      <w:r>
        <w:rPr>
          <w:rFonts w:ascii="Times New Roman" w:hAnsi="Times New Roman" w:cs="Times New Roman"/>
          <w:color w:val="000000"/>
        </w:rPr>
        <w:t>These findings were also</w:t>
      </w:r>
      <w:r w:rsidR="00EF0604">
        <w:rPr>
          <w:rFonts w:ascii="Times New Roman" w:hAnsi="Times New Roman" w:cs="Times New Roman"/>
          <w:color w:val="000000"/>
        </w:rPr>
        <w:t xml:space="preserve"> supported by Wieland et </w:t>
      </w:r>
      <w:r w:rsidR="00971672">
        <w:rPr>
          <w:rFonts w:ascii="Times New Roman" w:hAnsi="Times New Roman" w:cs="Times New Roman"/>
          <w:color w:val="000000"/>
        </w:rPr>
        <w:t>al.'s</w:t>
      </w:r>
      <w:r w:rsidR="00EF0604">
        <w:rPr>
          <w:rFonts w:ascii="Times New Roman" w:hAnsi="Times New Roman" w:cs="Times New Roman"/>
          <w:color w:val="000000"/>
        </w:rPr>
        <w:t xml:space="preserve"> research on Sr retention within a hardened cement paste </w:t>
      </w:r>
      <w:r w:rsidR="00865003">
        <w:rPr>
          <w:rFonts w:ascii="Times New Roman" w:hAnsi="Times New Roman" w:cs="Times New Roman"/>
          <w:color w:val="000000"/>
        </w:rPr>
        <w:t>[80</w:t>
      </w:r>
      <w:r w:rsidR="00EF0604">
        <w:rPr>
          <w:rFonts w:ascii="Times New Roman" w:hAnsi="Times New Roman" w:cs="Times New Roman"/>
          <w:color w:val="000000"/>
        </w:rPr>
        <w:t xml:space="preserve">]. On the other hand, </w:t>
      </w:r>
      <w:r w:rsidR="00865003">
        <w:rPr>
          <w:rFonts w:ascii="Times New Roman" w:hAnsi="Times New Roman" w:cs="Times New Roman"/>
        </w:rPr>
        <w:t>Atkins and Glasser [40</w:t>
      </w:r>
      <w:r w:rsidR="00EF0604">
        <w:rPr>
          <w:rFonts w:ascii="Times New Roman" w:hAnsi="Times New Roman" w:cs="Times New Roman"/>
        </w:rPr>
        <w:t xml:space="preserve">] </w:t>
      </w:r>
      <w:r>
        <w:rPr>
          <w:rFonts w:ascii="Times New Roman" w:hAnsi="Times New Roman" w:cs="Times New Roman"/>
        </w:rPr>
        <w:t>stated that although a small amount is immobilised in C-S-H, the majority of the substitution occurs in the calcium aluminate (sulphate) hydrates (AF</w:t>
      </w:r>
      <w:r w:rsidRPr="00A97A69">
        <w:rPr>
          <w:rFonts w:ascii="Times New Roman" w:hAnsi="Times New Roman" w:cs="Times New Roman"/>
        </w:rPr>
        <w:t>t</w:t>
      </w:r>
      <w:r>
        <w:rPr>
          <w:rFonts w:ascii="Times New Roman" w:hAnsi="Times New Roman" w:cs="Times New Roman"/>
        </w:rPr>
        <w:t>). The study discovered that significant substitution of Sr</w:t>
      </w:r>
      <w:r w:rsidR="00667249">
        <w:rPr>
          <w:rFonts w:ascii="Times New Roman" w:hAnsi="Times New Roman" w:cs="Times New Roman"/>
          <w:vertAlign w:val="superscript"/>
        </w:rPr>
        <w:t>2+</w:t>
      </w:r>
      <w:r w:rsidR="00667249">
        <w:rPr>
          <w:rFonts w:ascii="Times New Roman" w:hAnsi="Times New Roman" w:cs="Times New Roman"/>
        </w:rPr>
        <w:t xml:space="preserve"> </w:t>
      </w:r>
      <w:r>
        <w:rPr>
          <w:rFonts w:ascii="Times New Roman" w:hAnsi="Times New Roman" w:cs="Times New Roman"/>
        </w:rPr>
        <w:t>for Ca</w:t>
      </w:r>
      <w:r w:rsidR="00667249">
        <w:rPr>
          <w:rFonts w:ascii="Times New Roman" w:hAnsi="Times New Roman" w:cs="Times New Roman"/>
          <w:vertAlign w:val="superscript"/>
        </w:rPr>
        <w:t>2+</w:t>
      </w:r>
      <w:r w:rsidR="00667249">
        <w:rPr>
          <w:rFonts w:ascii="Times New Roman" w:hAnsi="Times New Roman" w:cs="Times New Roman"/>
        </w:rPr>
        <w:t xml:space="preserve"> </w:t>
      </w:r>
      <w:proofErr w:type="gramStart"/>
      <w:r>
        <w:rPr>
          <w:rFonts w:ascii="Times New Roman" w:hAnsi="Times New Roman" w:cs="Times New Roman"/>
        </w:rPr>
        <w:t>can</w:t>
      </w:r>
      <w:proofErr w:type="gramEnd"/>
      <w:r>
        <w:rPr>
          <w:rFonts w:ascii="Times New Roman" w:hAnsi="Times New Roman" w:cs="Times New Roman"/>
        </w:rPr>
        <w:t xml:space="preserve"> occur in the ettringite phase. They also suggest that Sr</w:t>
      </w:r>
      <w:r>
        <w:rPr>
          <w:rFonts w:ascii="Times New Roman" w:hAnsi="Times New Roman" w:cs="Times New Roman"/>
          <w:vertAlign w:val="superscript"/>
        </w:rPr>
        <w:t>2+</w:t>
      </w:r>
      <w:r>
        <w:rPr>
          <w:rFonts w:ascii="Times New Roman" w:hAnsi="Times New Roman" w:cs="Times New Roman"/>
        </w:rPr>
        <w:t xml:space="preserve"> would similarly substitute into the AFm</w:t>
      </w:r>
      <w:r>
        <w:rPr>
          <w:rFonts w:ascii="Times New Roman" w:hAnsi="Times New Roman" w:cs="Times New Roman"/>
          <w:vertAlign w:val="subscript"/>
        </w:rPr>
        <w:t xml:space="preserve"> </w:t>
      </w:r>
      <w:r>
        <w:rPr>
          <w:rFonts w:ascii="Times New Roman" w:hAnsi="Times New Roman" w:cs="Times New Roman"/>
        </w:rPr>
        <w:t xml:space="preserve">phases, </w:t>
      </w:r>
      <w:r w:rsidR="00667249" w:rsidRPr="00667249">
        <w:rPr>
          <w:rFonts w:ascii="Times New Roman" w:hAnsi="Times New Roman" w:cs="Times New Roman"/>
        </w:rPr>
        <w:t xml:space="preserve">which appears </w:t>
      </w:r>
      <w:proofErr w:type="gramStart"/>
      <w:r w:rsidR="00667249" w:rsidRPr="00667249">
        <w:rPr>
          <w:rFonts w:ascii="Times New Roman" w:hAnsi="Times New Roman" w:cs="Times New Roman"/>
        </w:rPr>
        <w:t>to</w:t>
      </w:r>
      <w:proofErr w:type="gramEnd"/>
      <w:r w:rsidR="00667249" w:rsidRPr="00667249">
        <w:rPr>
          <w:rFonts w:ascii="Times New Roman" w:hAnsi="Times New Roman" w:cs="Times New Roman"/>
        </w:rPr>
        <w:t xml:space="preserve"> consistent with the results obtained in the present study. Although further study is required to confirm the substitution of Ca with Sr, it is </w:t>
      </w:r>
      <w:r w:rsidR="00B0111D">
        <w:rPr>
          <w:rFonts w:ascii="Times New Roman" w:hAnsi="Times New Roman" w:cs="Times New Roman"/>
        </w:rPr>
        <w:t xml:space="preserve">indicated </w:t>
      </w:r>
      <w:r w:rsidR="00667249" w:rsidRPr="00667249">
        <w:rPr>
          <w:rFonts w:ascii="Times New Roman" w:hAnsi="Times New Roman" w:cs="Times New Roman"/>
        </w:rPr>
        <w:t>that Sr was incorporated into AFm</w:t>
      </w:r>
      <w:r w:rsidR="000E01AB">
        <w:rPr>
          <w:rFonts w:ascii="Times New Roman" w:hAnsi="Times New Roman" w:cs="Times New Roman"/>
        </w:rPr>
        <w:t xml:space="preserve"> along with the nitrates</w:t>
      </w:r>
      <w:r w:rsidR="00667249" w:rsidRPr="00667249">
        <w:rPr>
          <w:rFonts w:ascii="Times New Roman" w:hAnsi="Times New Roman" w:cs="Times New Roman"/>
        </w:rPr>
        <w:t xml:space="preserve"> to form CAN</w:t>
      </w:r>
      <w:r>
        <w:rPr>
          <w:rFonts w:ascii="Times New Roman" w:hAnsi="Times New Roman" w:cs="Times New Roman"/>
        </w:rPr>
        <w:t>. Sr</w:t>
      </w:r>
      <w:r w:rsidR="00667249">
        <w:rPr>
          <w:rFonts w:ascii="Times New Roman" w:hAnsi="Times New Roman" w:cs="Times New Roman"/>
          <w:vertAlign w:val="superscript"/>
        </w:rPr>
        <w:t>2+</w:t>
      </w:r>
      <w:r w:rsidR="00667249">
        <w:rPr>
          <w:rFonts w:ascii="Times New Roman" w:hAnsi="Times New Roman" w:cs="Times New Roman"/>
        </w:rPr>
        <w:t xml:space="preserve"> </w:t>
      </w:r>
      <w:r w:rsidR="004A312D">
        <w:rPr>
          <w:rFonts w:ascii="Times New Roman" w:hAnsi="Times New Roman" w:cs="Times New Roman"/>
        </w:rPr>
        <w:t xml:space="preserve">is </w:t>
      </w:r>
      <w:r>
        <w:rPr>
          <w:rFonts w:ascii="Times New Roman" w:hAnsi="Times New Roman" w:cs="Times New Roman"/>
        </w:rPr>
        <w:t>larger than Ca</w:t>
      </w:r>
      <w:r w:rsidR="00667249">
        <w:rPr>
          <w:rFonts w:ascii="Times New Roman" w:hAnsi="Times New Roman" w:cs="Times New Roman"/>
          <w:vertAlign w:val="superscript"/>
        </w:rPr>
        <w:t>2</w:t>
      </w:r>
      <w:proofErr w:type="gramStart"/>
      <w:r w:rsidR="00667249">
        <w:rPr>
          <w:rFonts w:ascii="Times New Roman" w:hAnsi="Times New Roman" w:cs="Times New Roman"/>
          <w:vertAlign w:val="superscript"/>
        </w:rPr>
        <w:t>+</w:t>
      </w:r>
      <w:r w:rsidR="00667249">
        <w:rPr>
          <w:rFonts w:ascii="Times New Roman" w:hAnsi="Times New Roman" w:cs="Times New Roman"/>
        </w:rPr>
        <w:t xml:space="preserve"> </w:t>
      </w:r>
      <w:r>
        <w:rPr>
          <w:rFonts w:ascii="Times New Roman" w:hAnsi="Times New Roman" w:cs="Times New Roman"/>
        </w:rPr>
        <w:t>which</w:t>
      </w:r>
      <w:proofErr w:type="gramEnd"/>
      <w:r>
        <w:rPr>
          <w:rFonts w:ascii="Times New Roman" w:hAnsi="Times New Roman" w:cs="Times New Roman"/>
        </w:rPr>
        <w:t xml:space="preserve"> would significantly increase d-spacing resulting in a peak shift to the left. It has already been established that the substitution of SO</w:t>
      </w:r>
      <w:r>
        <w:rPr>
          <w:rFonts w:ascii="Times New Roman" w:hAnsi="Times New Roman" w:cs="Times New Roman"/>
          <w:vertAlign w:val="subscript"/>
        </w:rPr>
        <w:t>4</w:t>
      </w:r>
      <w:r w:rsidR="00693459">
        <w:rPr>
          <w:rFonts w:ascii="Times New Roman" w:hAnsi="Times New Roman" w:cs="Times New Roman"/>
          <w:vertAlign w:val="superscript"/>
        </w:rPr>
        <w:t>2-</w:t>
      </w:r>
      <w:r>
        <w:rPr>
          <w:rFonts w:ascii="Times New Roman" w:hAnsi="Times New Roman" w:cs="Times New Roman"/>
          <w:vertAlign w:val="superscript"/>
        </w:rPr>
        <w:t xml:space="preserve"> </w:t>
      </w:r>
      <w:r>
        <w:rPr>
          <w:rFonts w:ascii="Times New Roman" w:hAnsi="Times New Roman" w:cs="Times New Roman"/>
        </w:rPr>
        <w:t>by NO</w:t>
      </w:r>
      <w:r>
        <w:rPr>
          <w:rFonts w:ascii="Times New Roman" w:hAnsi="Times New Roman" w:cs="Times New Roman"/>
          <w:vertAlign w:val="subscript"/>
        </w:rPr>
        <w:t>3</w:t>
      </w:r>
      <w:r>
        <w:rPr>
          <w:rFonts w:ascii="Times New Roman" w:hAnsi="Times New Roman" w:cs="Times New Roman"/>
          <w:vertAlign w:val="superscript"/>
        </w:rPr>
        <w:t>-</w:t>
      </w:r>
      <w:r>
        <w:rPr>
          <w:rFonts w:ascii="Times New Roman" w:hAnsi="Times New Roman" w:cs="Times New Roman"/>
        </w:rPr>
        <w:t xml:space="preserve"> would cause a shift to the </w:t>
      </w:r>
      <w:proofErr w:type="gramStart"/>
      <w:r>
        <w:rPr>
          <w:rFonts w:ascii="Times New Roman" w:hAnsi="Times New Roman" w:cs="Times New Roman"/>
        </w:rPr>
        <w:t>right,</w:t>
      </w:r>
      <w:proofErr w:type="gramEnd"/>
      <w:r>
        <w:rPr>
          <w:rFonts w:ascii="Times New Roman" w:hAnsi="Times New Roman" w:cs="Times New Roman"/>
        </w:rPr>
        <w:t xml:space="preserve"> if both these behaviours were to occur simultaneously it would make it very difficult to use XRD analysis alone to monitor this behaviour. Ultimately the AFm peak shifts to </w:t>
      </w:r>
      <w:r w:rsidR="00667249">
        <w:rPr>
          <w:rFonts w:ascii="Times New Roman" w:hAnsi="Times New Roman" w:cs="Times New Roman"/>
        </w:rPr>
        <w:t xml:space="preserve">the right to form the CAN peak. </w:t>
      </w:r>
      <w:r w:rsidR="00971672">
        <w:rPr>
          <w:rFonts w:ascii="Times New Roman" w:hAnsi="Times New Roman" w:cs="Times New Roman"/>
        </w:rPr>
        <w:t xml:space="preserve">This could be because the difference in radii size between one sulphate and two nitrates is larger than between Ca and Sr assuming these substitutions occurred at the same rate as the nitrate substitution. Alternatively it could be because there are more nitrate substitutions than strontium. </w:t>
      </w:r>
    </w:p>
    <w:p w14:paraId="1A7D6941" w14:textId="302D2B29" w:rsidR="0044704C" w:rsidRDefault="0044704C" w:rsidP="009B3C8C">
      <w:pPr>
        <w:spacing w:before="240" w:after="120" w:line="480" w:lineRule="exact"/>
        <w:jc w:val="both"/>
        <w:rPr>
          <w:rFonts w:ascii="Times New Roman" w:hAnsi="Times New Roman" w:cs="Times New Roman"/>
        </w:rPr>
      </w:pPr>
      <w:r>
        <w:rPr>
          <w:rFonts w:ascii="Times New Roman" w:hAnsi="Times New Roman" w:cs="Times New Roman"/>
        </w:rPr>
        <w:t xml:space="preserve">The individual synthesis of both the CAN (using strontium nitrate) and AFm phases strongly </w:t>
      </w:r>
      <w:r w:rsidR="00667249">
        <w:rPr>
          <w:rFonts w:ascii="Times New Roman" w:hAnsi="Times New Roman" w:cs="Times New Roman"/>
        </w:rPr>
        <w:t>support</w:t>
      </w:r>
      <w:r>
        <w:rPr>
          <w:rFonts w:ascii="Times New Roman" w:hAnsi="Times New Roman" w:cs="Times New Roman"/>
        </w:rPr>
        <w:t xml:space="preserve"> that the Sr is retained within this CAN phase. The XRD trace in fig </w:t>
      </w:r>
      <w:r>
        <w:rPr>
          <w:rFonts w:ascii="Times New Roman" w:hAnsi="Times New Roman" w:cs="Times New Roman"/>
        </w:rPr>
        <w:lastRenderedPageBreak/>
        <w:t xml:space="preserve">4.79 shows peaks for the CAN phase only, no peaks for </w:t>
      </w:r>
      <w:proofErr w:type="gramStart"/>
      <w:r>
        <w:rPr>
          <w:rFonts w:ascii="Times New Roman" w:hAnsi="Times New Roman" w:cs="Times New Roman"/>
        </w:rPr>
        <w:t>Sr(</w:t>
      </w:r>
      <w:proofErr w:type="gramEnd"/>
      <w:r>
        <w:rPr>
          <w:rFonts w:ascii="Times New Roman" w:hAnsi="Times New Roman" w:cs="Times New Roman"/>
        </w:rPr>
        <w:t>NO</w:t>
      </w:r>
      <w:r>
        <w:rPr>
          <w:rFonts w:ascii="Times New Roman" w:hAnsi="Times New Roman" w:cs="Times New Roman"/>
          <w:vertAlign w:val="subscript"/>
        </w:rPr>
        <w:t>3</w:t>
      </w:r>
      <w:r>
        <w:rPr>
          <w:rFonts w:ascii="Times New Roman" w:hAnsi="Times New Roman" w:cs="Times New Roman"/>
        </w:rPr>
        <w:t>)</w:t>
      </w:r>
      <w:r>
        <w:rPr>
          <w:rFonts w:ascii="Times New Roman" w:hAnsi="Times New Roman" w:cs="Times New Roman"/>
          <w:vertAlign w:val="subscript"/>
        </w:rPr>
        <w:t>2</w:t>
      </w:r>
      <w:r>
        <w:rPr>
          <w:rFonts w:ascii="Times New Roman" w:hAnsi="Times New Roman" w:cs="Times New Roman"/>
        </w:rPr>
        <w:t xml:space="preserve"> were </w:t>
      </w:r>
      <w:r w:rsidR="00A97A69">
        <w:rPr>
          <w:rFonts w:ascii="Times New Roman" w:hAnsi="Times New Roman" w:cs="Times New Roman"/>
        </w:rPr>
        <w:t>identified</w:t>
      </w:r>
      <w:r>
        <w:rPr>
          <w:rFonts w:ascii="Times New Roman" w:hAnsi="Times New Roman" w:cs="Times New Roman"/>
        </w:rPr>
        <w:t xml:space="preserve">, nor any other phase.  </w:t>
      </w:r>
      <w:r w:rsidR="00673750">
        <w:rPr>
          <w:rFonts w:ascii="Times New Roman" w:hAnsi="Times New Roman" w:cs="Times New Roman"/>
        </w:rPr>
        <w:t xml:space="preserve">However there is a possibility that this could be due to the Sr staying in the </w:t>
      </w:r>
      <w:r w:rsidR="00971672">
        <w:rPr>
          <w:rFonts w:ascii="Times New Roman" w:hAnsi="Times New Roman" w:cs="Times New Roman"/>
        </w:rPr>
        <w:t>aqueous</w:t>
      </w:r>
      <w:r w:rsidR="00673750">
        <w:rPr>
          <w:rFonts w:ascii="Times New Roman" w:hAnsi="Times New Roman" w:cs="Times New Roman"/>
        </w:rPr>
        <w:t xml:space="preserve"> phase and not going into the sample. </w:t>
      </w:r>
    </w:p>
    <w:p w14:paraId="583BA91F" w14:textId="4FCD5BFF" w:rsidR="0044704C" w:rsidRDefault="0044704C" w:rsidP="009B3C8C">
      <w:pPr>
        <w:spacing w:before="240" w:after="120" w:line="480" w:lineRule="exact"/>
        <w:jc w:val="both"/>
        <w:rPr>
          <w:rFonts w:ascii="Times New Roman" w:hAnsi="Times New Roman" w:cs="Times New Roman"/>
        </w:rPr>
      </w:pPr>
      <w:r>
        <w:rPr>
          <w:rFonts w:ascii="Times New Roman" w:hAnsi="Times New Roman" w:cs="Times New Roman"/>
        </w:rPr>
        <w:t xml:space="preserve">The hydroxide samples show that the strontium </w:t>
      </w:r>
      <w:r w:rsidR="00667249">
        <w:rPr>
          <w:rFonts w:ascii="Times New Roman" w:hAnsi="Times New Roman" w:cs="Times New Roman"/>
        </w:rPr>
        <w:t>hydroxide</w:t>
      </w:r>
      <w:r>
        <w:rPr>
          <w:rFonts w:ascii="Times New Roman" w:hAnsi="Times New Roman" w:cs="Times New Roman"/>
        </w:rPr>
        <w:t xml:space="preserve"> re</w:t>
      </w:r>
      <w:r w:rsidR="00667249">
        <w:rPr>
          <w:rFonts w:ascii="Times New Roman" w:hAnsi="Times New Roman" w:cs="Times New Roman"/>
        </w:rPr>
        <w:t>mains. A drawback of</w:t>
      </w:r>
      <w:r w:rsidR="00D611C6">
        <w:rPr>
          <w:rFonts w:ascii="Times New Roman" w:hAnsi="Times New Roman" w:cs="Times New Roman"/>
        </w:rPr>
        <w:t xml:space="preserve"> a</w:t>
      </w:r>
      <w:r w:rsidR="00667249">
        <w:rPr>
          <w:rFonts w:ascii="Times New Roman" w:hAnsi="Times New Roman" w:cs="Times New Roman"/>
        </w:rPr>
        <w:t>dding the strontium as a hydroxide is the impact</w:t>
      </w:r>
      <w:r>
        <w:rPr>
          <w:rFonts w:ascii="Times New Roman" w:hAnsi="Times New Roman" w:cs="Times New Roman"/>
        </w:rPr>
        <w:t xml:space="preserve"> of the extra OH</w:t>
      </w:r>
      <w:r>
        <w:rPr>
          <w:rFonts w:ascii="Times New Roman" w:hAnsi="Times New Roman" w:cs="Times New Roman"/>
          <w:vertAlign w:val="superscript"/>
        </w:rPr>
        <w:t>-</w:t>
      </w:r>
      <w:r>
        <w:rPr>
          <w:rFonts w:ascii="Times New Roman" w:hAnsi="Times New Roman" w:cs="Times New Roman"/>
        </w:rPr>
        <w:t xml:space="preserve"> on the </w:t>
      </w:r>
      <w:r w:rsidR="00D611C6">
        <w:rPr>
          <w:rFonts w:ascii="Times New Roman" w:hAnsi="Times New Roman" w:cs="Times New Roman"/>
        </w:rPr>
        <w:t>system. According to Bensted [81</w:t>
      </w:r>
      <w:r>
        <w:rPr>
          <w:rFonts w:ascii="Times New Roman" w:hAnsi="Times New Roman" w:cs="Times New Roman"/>
        </w:rPr>
        <w:t>] an increase in OH</w:t>
      </w:r>
      <w:r>
        <w:rPr>
          <w:rFonts w:ascii="Times New Roman" w:hAnsi="Times New Roman" w:cs="Times New Roman"/>
          <w:vertAlign w:val="superscript"/>
        </w:rPr>
        <w:t>-</w:t>
      </w:r>
      <w:r>
        <w:rPr>
          <w:rFonts w:ascii="Times New Roman" w:hAnsi="Times New Roman" w:cs="Times New Roman"/>
        </w:rPr>
        <w:t xml:space="preserve"> develops an efficient diffusion barrier</w:t>
      </w:r>
      <w:r w:rsidR="00760B31">
        <w:rPr>
          <w:rFonts w:ascii="Times New Roman" w:hAnsi="Times New Roman" w:cs="Times New Roman"/>
        </w:rPr>
        <w:t xml:space="preserve"> </w:t>
      </w:r>
      <w:r w:rsidR="008C4F23">
        <w:rPr>
          <w:rFonts w:ascii="Times New Roman" w:hAnsi="Times New Roman" w:cs="Times New Roman"/>
        </w:rPr>
        <w:t xml:space="preserve">of calcium hydroxyl aluminates </w:t>
      </w:r>
      <w:r w:rsidR="00760B31">
        <w:rPr>
          <w:rFonts w:ascii="Times New Roman" w:hAnsi="Times New Roman" w:cs="Times New Roman"/>
        </w:rPr>
        <w:t>on the surface of</w:t>
      </w:r>
      <w:r>
        <w:rPr>
          <w:rFonts w:ascii="Times New Roman" w:hAnsi="Times New Roman" w:cs="Times New Roman"/>
        </w:rPr>
        <w:t xml:space="preserve"> </w:t>
      </w:r>
      <w:r w:rsidR="008C4F23">
        <w:rPr>
          <w:rFonts w:ascii="Times New Roman" w:hAnsi="Times New Roman" w:cs="Times New Roman"/>
        </w:rPr>
        <w:t>the C</w:t>
      </w:r>
      <w:r w:rsidR="008C4F23">
        <w:rPr>
          <w:rFonts w:ascii="Times New Roman" w:hAnsi="Times New Roman" w:cs="Times New Roman"/>
          <w:vertAlign w:val="subscript"/>
        </w:rPr>
        <w:t>3</w:t>
      </w:r>
      <w:r w:rsidR="008C4F23">
        <w:rPr>
          <w:rFonts w:ascii="Times New Roman" w:hAnsi="Times New Roman" w:cs="Times New Roman"/>
        </w:rPr>
        <w:t xml:space="preserve">A </w:t>
      </w:r>
      <w:r>
        <w:rPr>
          <w:rFonts w:ascii="Times New Roman" w:hAnsi="Times New Roman" w:cs="Times New Roman"/>
        </w:rPr>
        <w:t>which massively retards ettringite formation, furthermore the excess OH</w:t>
      </w:r>
      <w:r>
        <w:rPr>
          <w:rFonts w:ascii="Times New Roman" w:hAnsi="Times New Roman" w:cs="Times New Roman"/>
          <w:vertAlign w:val="superscript"/>
        </w:rPr>
        <w:t xml:space="preserve">- </w:t>
      </w:r>
      <w:r>
        <w:rPr>
          <w:rFonts w:ascii="Times New Roman" w:hAnsi="Times New Roman" w:cs="Times New Roman"/>
        </w:rPr>
        <w:t>takes up a significant amount of the Ca</w:t>
      </w:r>
      <w:r>
        <w:rPr>
          <w:rFonts w:ascii="Times New Roman" w:hAnsi="Times New Roman" w:cs="Times New Roman"/>
          <w:vertAlign w:val="superscript"/>
        </w:rPr>
        <w:t>2+</w:t>
      </w:r>
      <w:r>
        <w:rPr>
          <w:rFonts w:ascii="Times New Roman" w:hAnsi="Times New Roman" w:cs="Times New Roman"/>
        </w:rPr>
        <w:t xml:space="preserve"> to form portlandite and the hydrotalcite, further hindering the production of calcium aluminates. This would explain the absence of the CAN phase in these samples, with no CAN phase it stands to reason that the Sr is not sorbed and is therefore encapsulated in its original hydroxide form. </w:t>
      </w:r>
    </w:p>
    <w:p w14:paraId="03D3E12F" w14:textId="3AABB7A1" w:rsidR="0044704C" w:rsidRDefault="0044704C" w:rsidP="009B3C8C">
      <w:pPr>
        <w:spacing w:before="240" w:after="120" w:line="480" w:lineRule="exact"/>
        <w:jc w:val="both"/>
        <w:rPr>
          <w:rFonts w:ascii="Times New Roman" w:hAnsi="Times New Roman" w:cs="Times New Roman"/>
        </w:rPr>
      </w:pPr>
      <w:r>
        <w:rPr>
          <w:rFonts w:ascii="Times New Roman" w:hAnsi="Times New Roman" w:cs="Times New Roman"/>
        </w:rPr>
        <w:t xml:space="preserve">The Si NMR </w:t>
      </w:r>
      <w:r w:rsidR="00490E8D">
        <w:rPr>
          <w:rFonts w:ascii="Times New Roman" w:hAnsi="Times New Roman" w:cs="Times New Roman"/>
        </w:rPr>
        <w:t>spectroscopy</w:t>
      </w:r>
      <w:r>
        <w:rPr>
          <w:rFonts w:ascii="Times New Roman" w:hAnsi="Times New Roman" w:cs="Times New Roman"/>
        </w:rPr>
        <w:t xml:space="preserve"> results show that the introduction of the strontium nitrate alone causes the substitution of Al into the C-S-H chains forming tetrahedral Al sites, as this does not occur in the </w:t>
      </w:r>
      <w:r w:rsidRPr="000F6BBD">
        <w:rPr>
          <w:rFonts w:ascii="Times New Roman" w:hAnsi="Times New Roman" w:cs="Times New Roman"/>
          <w:b/>
        </w:rPr>
        <w:t>0DB</w:t>
      </w:r>
      <w:r>
        <w:rPr>
          <w:rFonts w:ascii="Times New Roman" w:hAnsi="Times New Roman" w:cs="Times New Roman"/>
        </w:rPr>
        <w:t xml:space="preserve">. </w:t>
      </w:r>
      <w:r w:rsidR="0030347E">
        <w:rPr>
          <w:rFonts w:ascii="Times New Roman" w:hAnsi="Times New Roman" w:cs="Times New Roman"/>
        </w:rPr>
        <w:t>Results from Andersen et al [29</w:t>
      </w:r>
      <w:r w:rsidR="00A97A69">
        <w:rPr>
          <w:rFonts w:ascii="Times New Roman" w:hAnsi="Times New Roman" w:cs="Times New Roman"/>
        </w:rPr>
        <w:t>] were</w:t>
      </w:r>
      <w:r>
        <w:rPr>
          <w:rFonts w:ascii="Times New Roman" w:hAnsi="Times New Roman" w:cs="Times New Roman"/>
        </w:rPr>
        <w:t xml:space="preserve"> used to characterise the spectra. Therefore this suggests that the </w:t>
      </w:r>
      <w:proofErr w:type="gramStart"/>
      <w:r>
        <w:rPr>
          <w:rFonts w:ascii="Times New Roman" w:hAnsi="Times New Roman" w:cs="Times New Roman"/>
        </w:rPr>
        <w:t>Sr(</w:t>
      </w:r>
      <w:proofErr w:type="gramEnd"/>
      <w:r>
        <w:rPr>
          <w:rFonts w:ascii="Times New Roman" w:hAnsi="Times New Roman" w:cs="Times New Roman"/>
        </w:rPr>
        <w:t>NO</w:t>
      </w:r>
      <w:r>
        <w:rPr>
          <w:rFonts w:ascii="Times New Roman" w:hAnsi="Times New Roman" w:cs="Times New Roman"/>
          <w:vertAlign w:val="subscript"/>
        </w:rPr>
        <w:t>3</w:t>
      </w:r>
      <w:r>
        <w:rPr>
          <w:rFonts w:ascii="Times New Roman" w:hAnsi="Times New Roman" w:cs="Times New Roman"/>
        </w:rPr>
        <w:t>)</w:t>
      </w:r>
      <w:r>
        <w:rPr>
          <w:rFonts w:ascii="Times New Roman" w:hAnsi="Times New Roman" w:cs="Times New Roman"/>
          <w:vertAlign w:val="subscript"/>
        </w:rPr>
        <w:t>2</w:t>
      </w:r>
      <w:r>
        <w:rPr>
          <w:rFonts w:ascii="Times New Roman" w:hAnsi="Times New Roman" w:cs="Times New Roman"/>
        </w:rPr>
        <w:t xml:space="preserve"> is responsible for this phe</w:t>
      </w:r>
      <w:r w:rsidR="000358FB">
        <w:rPr>
          <w:rFonts w:ascii="Times New Roman" w:hAnsi="Times New Roman" w:cs="Times New Roman"/>
        </w:rPr>
        <w:t>nomenon. Richardson &amp; Groves [82</w:t>
      </w:r>
      <w:r>
        <w:rPr>
          <w:rFonts w:ascii="Times New Roman" w:hAnsi="Times New Roman" w:cs="Times New Roman"/>
        </w:rPr>
        <w:t>], stated that at high Ca</w:t>
      </w:r>
      <w:proofErr w:type="gramStart"/>
      <w:r>
        <w:rPr>
          <w:rFonts w:ascii="Times New Roman" w:hAnsi="Times New Roman" w:cs="Times New Roman"/>
        </w:rPr>
        <w:t>:Si</w:t>
      </w:r>
      <w:proofErr w:type="gramEnd"/>
      <w:r>
        <w:rPr>
          <w:rFonts w:ascii="Times New Roman" w:hAnsi="Times New Roman" w:cs="Times New Roman"/>
        </w:rPr>
        <w:t xml:space="preserve"> ratio</w:t>
      </w:r>
      <w:r w:rsidR="00A97A69">
        <w:rPr>
          <w:rFonts w:ascii="Times New Roman" w:hAnsi="Times New Roman" w:cs="Times New Roman"/>
        </w:rPr>
        <w:t>s</w:t>
      </w:r>
      <w:r>
        <w:rPr>
          <w:rFonts w:ascii="Times New Roman" w:hAnsi="Times New Roman" w:cs="Times New Roman"/>
        </w:rPr>
        <w:t xml:space="preserve"> Al substitutes for Ca in octahedral sites, however at low Ca:Si ratio</w:t>
      </w:r>
      <w:r w:rsidR="00A97A69">
        <w:rPr>
          <w:rFonts w:ascii="Times New Roman" w:hAnsi="Times New Roman" w:cs="Times New Roman"/>
        </w:rPr>
        <w:t>s</w:t>
      </w:r>
      <w:r>
        <w:rPr>
          <w:rFonts w:ascii="Times New Roman" w:hAnsi="Times New Roman" w:cs="Times New Roman"/>
        </w:rPr>
        <w:t xml:space="preserve"> Al substitutes for Si in tetrahedral sites, </w:t>
      </w:r>
      <w:r w:rsidR="00820CD4">
        <w:rPr>
          <w:rFonts w:ascii="Times New Roman" w:hAnsi="Times New Roman" w:cs="Times New Roman"/>
        </w:rPr>
        <w:t xml:space="preserve">This </w:t>
      </w:r>
      <w:r>
        <w:rPr>
          <w:rFonts w:ascii="Times New Roman" w:hAnsi="Times New Roman" w:cs="Times New Roman"/>
        </w:rPr>
        <w:t>corresponds with the Si NMR spectro</w:t>
      </w:r>
      <w:r w:rsidR="00820CD4">
        <w:rPr>
          <w:rFonts w:ascii="Times New Roman" w:hAnsi="Times New Roman" w:cs="Times New Roman"/>
        </w:rPr>
        <w:t xml:space="preserve">scopy </w:t>
      </w:r>
      <w:r>
        <w:rPr>
          <w:rFonts w:ascii="Times New Roman" w:hAnsi="Times New Roman" w:cs="Times New Roman"/>
        </w:rPr>
        <w:t xml:space="preserve">results of </w:t>
      </w:r>
      <w:r w:rsidRPr="000F6BBD">
        <w:rPr>
          <w:rFonts w:ascii="Times New Roman" w:hAnsi="Times New Roman" w:cs="Times New Roman"/>
          <w:b/>
        </w:rPr>
        <w:t>0DB</w:t>
      </w:r>
      <w:r>
        <w:rPr>
          <w:rFonts w:ascii="Times New Roman" w:hAnsi="Times New Roman" w:cs="Times New Roman"/>
        </w:rPr>
        <w:t xml:space="preserve"> </w:t>
      </w:r>
      <w:r w:rsidR="00820CD4">
        <w:rPr>
          <w:rFonts w:ascii="Times New Roman" w:hAnsi="Times New Roman" w:cs="Times New Roman"/>
        </w:rPr>
        <w:t xml:space="preserve">which show the </w:t>
      </w:r>
      <w:r>
        <w:rPr>
          <w:rFonts w:ascii="Times New Roman" w:hAnsi="Times New Roman" w:cs="Times New Roman"/>
        </w:rPr>
        <w:t xml:space="preserve">Al substitution into C-S-H. This could be a result of the decrease in </w:t>
      </w:r>
      <w:proofErr w:type="gramStart"/>
      <w:r>
        <w:rPr>
          <w:rFonts w:ascii="Times New Roman" w:hAnsi="Times New Roman" w:cs="Times New Roman"/>
        </w:rPr>
        <w:t>d-spacing</w:t>
      </w:r>
      <w:proofErr w:type="gramEnd"/>
      <w:r>
        <w:rPr>
          <w:rFonts w:ascii="Times New Roman" w:hAnsi="Times New Roman" w:cs="Times New Roman"/>
        </w:rPr>
        <w:t xml:space="preserve"> due to the nitrate substitution, or it could also be because the Sr displaces the Ca rather than the Al.</w:t>
      </w:r>
    </w:p>
    <w:p w14:paraId="4635534E" w14:textId="6DE6AA43" w:rsidR="00BA45A5" w:rsidRPr="00BA45A5" w:rsidRDefault="0044704C" w:rsidP="009B3C8C">
      <w:pPr>
        <w:spacing w:before="240" w:after="120" w:line="480" w:lineRule="exact"/>
        <w:jc w:val="both"/>
        <w:rPr>
          <w:rFonts w:ascii="Times" w:eastAsia="MS Mincho" w:hAnsi="Times" w:cs="Times New Roman"/>
        </w:rPr>
      </w:pPr>
      <w:r w:rsidRPr="00E0620F">
        <w:rPr>
          <w:rFonts w:ascii="Times" w:hAnsi="Times" w:cs="Times New Roman"/>
        </w:rPr>
        <w:t xml:space="preserve">The leaching of Sr </w:t>
      </w:r>
      <w:r w:rsidR="00287B29">
        <w:rPr>
          <w:rFonts w:ascii="Times" w:hAnsi="Times" w:cs="Times New Roman"/>
        </w:rPr>
        <w:t>causes</w:t>
      </w:r>
      <w:r w:rsidR="005D21B2">
        <w:rPr>
          <w:rFonts w:ascii="Times" w:hAnsi="Times" w:cs="Times New Roman"/>
        </w:rPr>
        <w:t xml:space="preserve"> an increase</w:t>
      </w:r>
      <w:r>
        <w:rPr>
          <w:rFonts w:ascii="Times" w:hAnsi="Times" w:cs="Times New Roman"/>
        </w:rPr>
        <w:t xml:space="preserve"> in</w:t>
      </w:r>
      <w:r w:rsidRPr="00E0620F">
        <w:rPr>
          <w:rFonts w:ascii="Times" w:hAnsi="Times" w:cs="Times New Roman"/>
        </w:rPr>
        <w:t xml:space="preserve"> the leaching rate of Ca from samp</w:t>
      </w:r>
      <w:r>
        <w:rPr>
          <w:rFonts w:ascii="Times" w:hAnsi="Times" w:cs="Times New Roman"/>
        </w:rPr>
        <w:t xml:space="preserve">le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cs="Times New Roman"/>
        </w:rPr>
        <w:t xml:space="preserve"> compared to sample B;</w:t>
      </w:r>
      <w:r w:rsidR="005D21B2">
        <w:rPr>
          <w:rFonts w:ascii="Times" w:hAnsi="Times" w:cs="Times New Roman"/>
        </w:rPr>
        <w:t xml:space="preserve"> as the</w:t>
      </w:r>
      <w:r>
        <w:rPr>
          <w:rFonts w:ascii="Times" w:hAnsi="Times" w:cs="Times New Roman"/>
        </w:rPr>
        <w:t xml:space="preserve"> </w:t>
      </w:r>
      <w:r w:rsidRPr="00E0620F">
        <w:rPr>
          <w:rFonts w:ascii="Times" w:hAnsi="Times" w:cs="Times New Roman"/>
        </w:rPr>
        <w:t xml:space="preserve">leaching of Sr incorporated in </w:t>
      </w:r>
      <w:r>
        <w:rPr>
          <w:rFonts w:ascii="Times" w:hAnsi="Times" w:cs="Times New Roman"/>
        </w:rPr>
        <w:t>CAN</w:t>
      </w:r>
      <w:r w:rsidRPr="00E0620F">
        <w:rPr>
          <w:rFonts w:ascii="Times" w:hAnsi="Times" w:cs="Times New Roman"/>
        </w:rPr>
        <w:t xml:space="preserve"> could result in an increase in Ca di</w:t>
      </w:r>
      <w:r>
        <w:rPr>
          <w:rFonts w:ascii="Times" w:hAnsi="Times" w:cs="Times New Roman"/>
        </w:rPr>
        <w:t>ssolution from the same phase</w:t>
      </w:r>
      <w:r w:rsidR="003E70E8">
        <w:rPr>
          <w:rFonts w:ascii="Times" w:hAnsi="Times" w:cs="Times New Roman"/>
        </w:rPr>
        <w:t>, when the Sr leaves the CAN phase</w:t>
      </w:r>
      <w:r w:rsidR="008403F3">
        <w:rPr>
          <w:rFonts w:ascii="Times" w:hAnsi="Times" w:cs="Times New Roman"/>
        </w:rPr>
        <w:t>, it breaks</w:t>
      </w:r>
      <w:r w:rsidR="003E70E8">
        <w:rPr>
          <w:rFonts w:ascii="Times" w:hAnsi="Times" w:cs="Times New Roman"/>
        </w:rPr>
        <w:t xml:space="preserve"> </w:t>
      </w:r>
      <w:r w:rsidR="008403F3">
        <w:rPr>
          <w:rFonts w:ascii="Times" w:hAnsi="Times" w:cs="Times New Roman"/>
        </w:rPr>
        <w:t>down and thus the Ca becomes more mobile</w:t>
      </w:r>
      <w:r w:rsidR="003E70E8">
        <w:rPr>
          <w:rFonts w:ascii="Times" w:hAnsi="Times" w:cs="Times New Roman"/>
        </w:rPr>
        <w:t>. Furthermore given that the introduction of Sr suppresses the formation of portlandite,</w:t>
      </w:r>
      <w:r w:rsidR="000A7754">
        <w:rPr>
          <w:rFonts w:ascii="Times" w:hAnsi="Times" w:cs="Times New Roman"/>
        </w:rPr>
        <w:t xml:space="preserve"> forming a source of very </w:t>
      </w:r>
      <w:r w:rsidR="00B3227C">
        <w:rPr>
          <w:rFonts w:ascii="Times" w:hAnsi="Times" w:cs="Times New Roman"/>
        </w:rPr>
        <w:lastRenderedPageBreak/>
        <w:t xml:space="preserve">soluble </w:t>
      </w:r>
      <w:r w:rsidR="000A7754">
        <w:rPr>
          <w:rFonts w:ascii="Times" w:hAnsi="Times" w:cs="Times New Roman"/>
        </w:rPr>
        <w:t>Ca</w:t>
      </w:r>
      <w:r>
        <w:rPr>
          <w:rFonts w:ascii="Times" w:hAnsi="Times" w:cs="Times New Roman"/>
        </w:rPr>
        <w:t xml:space="preserve">. </w:t>
      </w:r>
      <w:r w:rsidRPr="00E0620F">
        <w:rPr>
          <w:rFonts w:ascii="Times" w:hAnsi="Times" w:cs="Times New Roman"/>
        </w:rPr>
        <w:t xml:space="preserve">It is important to note that </w:t>
      </w:r>
      <w:r>
        <w:rPr>
          <w:rFonts w:ascii="Times" w:hAnsi="Times" w:cs="Times New Roman"/>
        </w:rPr>
        <w:t>portl</w:t>
      </w:r>
      <w:r w:rsidR="00B65296">
        <w:rPr>
          <w:rFonts w:ascii="Times" w:hAnsi="Times" w:cs="Times New Roman"/>
        </w:rPr>
        <w:t>a</w:t>
      </w:r>
      <w:r>
        <w:rPr>
          <w:rFonts w:ascii="Times" w:hAnsi="Times" w:cs="Times New Roman"/>
        </w:rPr>
        <w:t>ndite</w:t>
      </w:r>
      <w:r w:rsidRPr="00E0620F">
        <w:rPr>
          <w:rFonts w:ascii="Times" w:hAnsi="Times" w:cs="Times New Roman"/>
        </w:rPr>
        <w:t xml:space="preserve"> was not formed in the waste loaded sample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Pr="00E0620F">
        <w:rPr>
          <w:rFonts w:ascii="Times" w:hAnsi="Times" w:cs="Times New Roman"/>
        </w:rPr>
        <w:t xml:space="preserve"> </w:t>
      </w:r>
      <w:r>
        <w:rPr>
          <w:rFonts w:ascii="Times" w:hAnsi="Times" w:cs="Times New Roman"/>
        </w:rPr>
        <w:t xml:space="preserve">due to the introduction of the </w:t>
      </w:r>
      <w:r w:rsidRPr="00E0620F">
        <w:rPr>
          <w:rFonts w:ascii="Times" w:hAnsi="Times" w:cs="Times New Roman"/>
        </w:rPr>
        <w:t>waste simulants, which could also influence the leaching behaviour of the mater</w:t>
      </w:r>
      <w:r>
        <w:rPr>
          <w:rFonts w:ascii="Times" w:hAnsi="Times" w:cs="Times New Roman"/>
        </w:rPr>
        <w:t>ial</w:t>
      </w:r>
      <w:r w:rsidR="008403F3">
        <w:rPr>
          <w:rFonts w:ascii="Times" w:hAnsi="Times" w:cs="Times New Roman"/>
        </w:rPr>
        <w:t>. An increase in Ca leaching would be expected as portlandite very water soluble, however this was not the case</w:t>
      </w:r>
      <w:r>
        <w:rPr>
          <w:rFonts w:ascii="Times" w:hAnsi="Times" w:cs="Times New Roman"/>
        </w:rPr>
        <w:t xml:space="preserve">. </w:t>
      </w:r>
      <w:r w:rsidR="008403F3">
        <w:rPr>
          <w:rFonts w:ascii="Times" w:hAnsi="Times" w:cs="Times New Roman"/>
        </w:rPr>
        <w:t>Furthermore</w:t>
      </w:r>
      <w:r>
        <w:rPr>
          <w:rFonts w:ascii="Times" w:hAnsi="Times" w:cs="Times New Roman"/>
        </w:rPr>
        <w:t xml:space="preserve"> when </w:t>
      </w:r>
      <w:r w:rsidR="005D21B2">
        <w:rPr>
          <w:rFonts w:ascii="Times" w:hAnsi="Times" w:cs="Times New Roman"/>
        </w:rPr>
        <w:t>the cement</w:t>
      </w:r>
      <w:r w:rsidRPr="00E0620F">
        <w:rPr>
          <w:rFonts w:ascii="Times" w:hAnsi="Times" w:cs="Times New Roman"/>
        </w:rPr>
        <w:t xml:space="preserve"> is leached in water, initially </w:t>
      </w:r>
      <w:r>
        <w:rPr>
          <w:rFonts w:ascii="Times" w:hAnsi="Times" w:cs="Times New Roman"/>
        </w:rPr>
        <w:t xml:space="preserve">the </w:t>
      </w:r>
      <w:r w:rsidR="000358FB">
        <w:rPr>
          <w:rFonts w:ascii="Times" w:hAnsi="Times" w:cs="Times New Roman"/>
        </w:rPr>
        <w:t>components</w:t>
      </w:r>
      <w:r w:rsidR="005D21B2">
        <w:rPr>
          <w:rFonts w:ascii="Times" w:hAnsi="Times" w:cs="Times New Roman"/>
        </w:rPr>
        <w:t xml:space="preserve"> of the portlandite</w:t>
      </w:r>
      <w:r w:rsidRPr="00E0620F">
        <w:rPr>
          <w:rFonts w:ascii="Times" w:hAnsi="Times" w:cs="Times New Roman"/>
        </w:rPr>
        <w:t xml:space="preserve"> </w:t>
      </w:r>
      <w:r w:rsidR="005D21B2">
        <w:rPr>
          <w:rFonts w:ascii="Times" w:hAnsi="Times" w:cs="Times New Roman"/>
        </w:rPr>
        <w:t>leach</w:t>
      </w:r>
      <w:r w:rsidRPr="00E0620F">
        <w:rPr>
          <w:rFonts w:ascii="Times" w:hAnsi="Times" w:cs="Times New Roman"/>
        </w:rPr>
        <w:t xml:space="preserve"> </w:t>
      </w:r>
      <w:r w:rsidR="005D21B2">
        <w:rPr>
          <w:rFonts w:ascii="Times" w:hAnsi="Times" w:cs="Times New Roman"/>
        </w:rPr>
        <w:t>out</w:t>
      </w:r>
      <w:r w:rsidRPr="00E0620F">
        <w:rPr>
          <w:rFonts w:ascii="Times" w:hAnsi="Times" w:cs="Times New Roman"/>
        </w:rPr>
        <w:t xml:space="preserve"> to replen</w:t>
      </w:r>
      <w:r>
        <w:rPr>
          <w:rFonts w:ascii="Times" w:hAnsi="Times" w:cs="Times New Roman"/>
        </w:rPr>
        <w:t>ish the Ca</w:t>
      </w:r>
      <w:r w:rsidRPr="005D21B2">
        <w:rPr>
          <w:rFonts w:ascii="Times" w:hAnsi="Times" w:cs="Times New Roman"/>
          <w:vertAlign w:val="superscript"/>
        </w:rPr>
        <w:t>2+</w:t>
      </w:r>
      <w:r>
        <w:rPr>
          <w:rFonts w:ascii="Times" w:hAnsi="Times" w:cs="Times New Roman"/>
        </w:rPr>
        <w:t xml:space="preserve"> ions removed from </w:t>
      </w:r>
      <w:r w:rsidRPr="00E0620F">
        <w:rPr>
          <w:rFonts w:ascii="Times" w:hAnsi="Times" w:cs="Times New Roman"/>
        </w:rPr>
        <w:t xml:space="preserve">the pore solution, and only when the </w:t>
      </w:r>
      <w:r w:rsidR="005D21B2">
        <w:rPr>
          <w:rFonts w:ascii="Times" w:hAnsi="Times" w:cs="Times New Roman"/>
        </w:rPr>
        <w:t>portlandite</w:t>
      </w:r>
      <w:r w:rsidRPr="00E0620F">
        <w:rPr>
          <w:rFonts w:ascii="Times" w:hAnsi="Times" w:cs="Times New Roman"/>
        </w:rPr>
        <w:t xml:space="preserve"> has been leached does leaching of th</w:t>
      </w:r>
      <w:r>
        <w:rPr>
          <w:rFonts w:ascii="Times" w:hAnsi="Times" w:cs="Times New Roman"/>
        </w:rPr>
        <w:t xml:space="preserve">e C-S-H begin </w:t>
      </w:r>
      <w:r w:rsidR="00534FE2">
        <w:rPr>
          <w:rFonts w:ascii="Times" w:hAnsi="Times" w:cs="Times New Roman"/>
        </w:rPr>
        <w:t>[47</w:t>
      </w:r>
      <w:r>
        <w:rPr>
          <w:rFonts w:ascii="Times" w:hAnsi="Times" w:cs="Times New Roman"/>
        </w:rPr>
        <w:t xml:space="preserve">]. </w:t>
      </w:r>
      <w:r w:rsidRPr="00E0620F">
        <w:rPr>
          <w:rFonts w:ascii="Times" w:hAnsi="Times" w:cs="Times New Roman"/>
        </w:rPr>
        <w:t xml:space="preserve">Because of the lack of </w:t>
      </w:r>
      <w:r w:rsidR="005D21B2">
        <w:rPr>
          <w:rFonts w:ascii="Times" w:hAnsi="Times" w:cs="Times New Roman"/>
        </w:rPr>
        <w:t>portlandite</w:t>
      </w:r>
      <w:r w:rsidRPr="00E0620F">
        <w:rPr>
          <w:rFonts w:ascii="Times" w:hAnsi="Times" w:cs="Times New Roman"/>
        </w:rPr>
        <w:t xml:space="preserve"> in sample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sidRPr="00E0620F">
        <w:rPr>
          <w:rFonts w:ascii="Times" w:hAnsi="Times" w:cs="Times New Roman"/>
        </w:rPr>
        <w:t>, leaching of C</w:t>
      </w:r>
      <w:r w:rsidR="008403F3">
        <w:rPr>
          <w:rFonts w:ascii="Times" w:hAnsi="Times" w:cs="Times New Roman"/>
        </w:rPr>
        <w:t>-</w:t>
      </w:r>
      <w:r w:rsidRPr="00E0620F">
        <w:rPr>
          <w:rFonts w:ascii="Times" w:hAnsi="Times" w:cs="Times New Roman"/>
        </w:rPr>
        <w:t>S</w:t>
      </w:r>
      <w:r w:rsidR="008403F3">
        <w:rPr>
          <w:rFonts w:ascii="Times" w:hAnsi="Times" w:cs="Times New Roman"/>
        </w:rPr>
        <w:t>-</w:t>
      </w:r>
      <w:r w:rsidRPr="00E0620F">
        <w:rPr>
          <w:rFonts w:ascii="Times" w:hAnsi="Times" w:cs="Times New Roman"/>
        </w:rPr>
        <w:t>H most likely occur</w:t>
      </w:r>
      <w:r>
        <w:rPr>
          <w:rFonts w:ascii="Times" w:hAnsi="Times" w:cs="Times New Roman"/>
        </w:rPr>
        <w:t xml:space="preserve">red from the start of leaching. </w:t>
      </w:r>
      <w:r w:rsidRPr="00E0620F">
        <w:rPr>
          <w:rFonts w:ascii="Times" w:hAnsi="Times" w:cs="Times New Roman"/>
        </w:rPr>
        <w:t>The leaching rate of Ca significantly decreases between 7 and 28 days. Usual</w:t>
      </w:r>
      <w:r>
        <w:rPr>
          <w:rFonts w:ascii="Times" w:hAnsi="Times" w:cs="Times New Roman"/>
        </w:rPr>
        <w:t>ly as leaching progresses, the</w:t>
      </w:r>
      <w:r w:rsidRPr="00E0620F">
        <w:rPr>
          <w:rFonts w:ascii="Times" w:hAnsi="Times" w:cs="Times New Roman"/>
        </w:rPr>
        <w:t xml:space="preserve"> solubility limit of Ca is approached slowing down the leaching rate. Ho</w:t>
      </w:r>
      <w:r>
        <w:rPr>
          <w:rFonts w:ascii="Times" w:hAnsi="Times" w:cs="Times New Roman"/>
        </w:rPr>
        <w:t xml:space="preserve">wever in these experiments the </w:t>
      </w:r>
      <w:r w:rsidRPr="00E0620F">
        <w:rPr>
          <w:rFonts w:ascii="Times" w:hAnsi="Times" w:cs="Times New Roman"/>
        </w:rPr>
        <w:t>water was regularly replaced and thus the concentration of Ca in solution varied up and down. Thus the decreasing Ca leach rate for sample B could be because</w:t>
      </w:r>
      <w:r w:rsidR="00E55BC7">
        <w:rPr>
          <w:rFonts w:ascii="Times" w:hAnsi="Times" w:cs="Times New Roman"/>
        </w:rPr>
        <w:t xml:space="preserve"> P </w:t>
      </w:r>
      <w:r w:rsidRPr="00E0620F">
        <w:rPr>
          <w:rFonts w:ascii="Times" w:hAnsi="Times" w:cs="Times New Roman"/>
        </w:rPr>
        <w:t xml:space="preserve">from the top </w:t>
      </w:r>
      <w:r>
        <w:rPr>
          <w:rFonts w:ascii="Times" w:hAnsi="Times" w:cs="Times New Roman"/>
        </w:rPr>
        <w:t>layer has fully leached out.</w:t>
      </w:r>
      <w:r w:rsidR="00E55BC7">
        <w:rPr>
          <w:rFonts w:ascii="Times" w:hAnsi="Times" w:cs="Times New Roman"/>
        </w:rPr>
        <w:t xml:space="preserve"> P </w:t>
      </w:r>
      <w:r w:rsidRPr="00E0620F">
        <w:rPr>
          <w:rFonts w:ascii="Times" w:hAnsi="Times" w:cs="Times New Roman"/>
        </w:rPr>
        <w:t>leaching from deeper within the cement bulk sample travels through longer</w:t>
      </w:r>
      <w:r>
        <w:rPr>
          <w:rFonts w:ascii="Times" w:hAnsi="Times" w:cs="Times New Roman"/>
        </w:rPr>
        <w:t xml:space="preserve"> pathways, thus decreasing the leaching rate. </w:t>
      </w:r>
      <w:r w:rsidRPr="00E0620F">
        <w:rPr>
          <w:rFonts w:ascii="Times" w:hAnsi="Times" w:cs="Times New Roman"/>
        </w:rPr>
        <w:t>A similar decrease in the leaching rate of Sr was also observed. This is in agree</w:t>
      </w:r>
      <w:r w:rsidR="00534FE2">
        <w:rPr>
          <w:rFonts w:ascii="Times" w:hAnsi="Times" w:cs="Times New Roman"/>
        </w:rPr>
        <w:t>ment with Crawford et al. [83</w:t>
      </w:r>
      <w:r>
        <w:rPr>
          <w:rFonts w:ascii="Times" w:hAnsi="Times" w:cs="Times New Roman"/>
        </w:rPr>
        <w:t>] who stated that when Sr</w:t>
      </w:r>
      <w:r>
        <w:rPr>
          <w:rFonts w:ascii="Times" w:hAnsi="Times" w:cs="Times New Roman"/>
          <w:vertAlign w:val="superscript"/>
        </w:rPr>
        <w:t>2+</w:t>
      </w:r>
      <w:r w:rsidRPr="00E0620F">
        <w:rPr>
          <w:rFonts w:ascii="Times" w:hAnsi="Times" w:cs="Times New Roman"/>
        </w:rPr>
        <w:t xml:space="preserve"> present in the cement surface is completely leach</w:t>
      </w:r>
      <w:r>
        <w:rPr>
          <w:rFonts w:ascii="Times" w:hAnsi="Times" w:cs="Times New Roman"/>
        </w:rPr>
        <w:t xml:space="preserve">ed out into solution, ions from </w:t>
      </w:r>
      <w:r w:rsidRPr="00E0620F">
        <w:rPr>
          <w:rFonts w:ascii="Times" w:hAnsi="Times" w:cs="Times New Roman"/>
        </w:rPr>
        <w:t>deeper within the cement sample diffuse into the solution in order to maintain t</w:t>
      </w:r>
      <w:r>
        <w:rPr>
          <w:rFonts w:ascii="Times" w:hAnsi="Times" w:cs="Times New Roman"/>
        </w:rPr>
        <w:t xml:space="preserve">he equilibrium. This means the </w:t>
      </w:r>
      <w:r w:rsidRPr="00E0620F">
        <w:rPr>
          <w:rFonts w:ascii="Times" w:hAnsi="Times" w:cs="Times New Roman"/>
        </w:rPr>
        <w:t>ions take longer to reach the solution and thus slowing the rate of leaching. Shr</w:t>
      </w:r>
      <w:r w:rsidR="004C77E7">
        <w:rPr>
          <w:rFonts w:ascii="Times" w:hAnsi="Times" w:cs="Times New Roman"/>
        </w:rPr>
        <w:t>ivastava et al. [78</w:t>
      </w:r>
      <w:r>
        <w:rPr>
          <w:rFonts w:ascii="Times" w:hAnsi="Times" w:cs="Times New Roman"/>
        </w:rPr>
        <w:t xml:space="preserve">] described </w:t>
      </w:r>
      <w:r w:rsidRPr="00E0620F">
        <w:rPr>
          <w:rFonts w:ascii="Times" w:hAnsi="Times" w:cs="Times New Roman"/>
        </w:rPr>
        <w:t>this a</w:t>
      </w:r>
      <w:r>
        <w:rPr>
          <w:rFonts w:ascii="Times" w:hAnsi="Times" w:cs="Times New Roman"/>
        </w:rPr>
        <w:t>s the surface wash-off process.</w:t>
      </w:r>
      <w:r w:rsidRPr="004D769A">
        <w:rPr>
          <w:rFonts w:ascii="Times" w:hAnsi="Times" w:cs="Times New Roman"/>
        </w:rPr>
        <w:t xml:space="preserve"> </w:t>
      </w:r>
      <w:r w:rsidR="00BA45A5" w:rsidRPr="00BA45A5">
        <w:rPr>
          <w:rFonts w:ascii="Times" w:eastAsia="MS Mincho" w:hAnsi="Times" w:cs="Times New Roman"/>
        </w:rPr>
        <w:t xml:space="preserve">A similar phenomenon is likely to be the reason for the decrease in Cs leach rate by around 70% after the first 7 days. </w:t>
      </w:r>
    </w:p>
    <w:p w14:paraId="423AA4AD" w14:textId="36BBDC1D" w:rsidR="00271DB2" w:rsidRDefault="0044704C" w:rsidP="00751C5B">
      <w:pPr>
        <w:spacing w:before="240" w:after="120" w:line="480" w:lineRule="exact"/>
        <w:jc w:val="both"/>
        <w:rPr>
          <w:rFonts w:ascii="Times New Roman" w:hAnsi="Times New Roman" w:cs="Times New Roman"/>
          <w:sz w:val="22"/>
          <w:szCs w:val="22"/>
        </w:rPr>
      </w:pPr>
      <w:r>
        <w:rPr>
          <w:rFonts w:ascii="Times New Roman" w:hAnsi="Times New Roman" w:cs="Times New Roman"/>
        </w:rPr>
        <w:t xml:space="preserve">The incongruent leaching of Cs and </w:t>
      </w:r>
      <w:proofErr w:type="gramStart"/>
      <w:r>
        <w:rPr>
          <w:rFonts w:ascii="Times New Roman" w:hAnsi="Times New Roman" w:cs="Times New Roman"/>
        </w:rPr>
        <w:t xml:space="preserve">Sr </w:t>
      </w:r>
      <w:r w:rsidRPr="00056BC2">
        <w:rPr>
          <w:rFonts w:ascii="Times New Roman" w:hAnsi="Times New Roman" w:cs="Times New Roman"/>
        </w:rPr>
        <w:t xml:space="preserve"> </w:t>
      </w:r>
      <w:r w:rsidR="00BA45A5">
        <w:rPr>
          <w:rFonts w:ascii="Times New Roman" w:hAnsi="Times New Roman" w:cs="Times New Roman"/>
        </w:rPr>
        <w:t>agrees</w:t>
      </w:r>
      <w:proofErr w:type="gramEnd"/>
      <w:r w:rsidR="00BA45A5">
        <w:rPr>
          <w:rFonts w:ascii="Times New Roman" w:hAnsi="Times New Roman" w:cs="Times New Roman"/>
        </w:rPr>
        <w:t xml:space="preserve"> with the suggestion that the Cs is not retained </w:t>
      </w:r>
      <w:r w:rsidRPr="00056BC2">
        <w:rPr>
          <w:rFonts w:ascii="Times New Roman" w:hAnsi="Times New Roman" w:cs="Times New Roman"/>
        </w:rPr>
        <w:t>into any of the cement phases</w:t>
      </w:r>
      <w:r>
        <w:rPr>
          <w:rFonts w:ascii="Times New Roman" w:hAnsi="Times New Roman" w:cs="Times New Roman"/>
        </w:rPr>
        <w:t>. The leaching rates of Al</w:t>
      </w:r>
      <w:r w:rsidR="00804B9F">
        <w:rPr>
          <w:rFonts w:ascii="Times New Roman" w:hAnsi="Times New Roman" w:cs="Times New Roman"/>
        </w:rPr>
        <w:t xml:space="preserve">, when comparing the B and CS samples, </w:t>
      </w:r>
      <w:r>
        <w:rPr>
          <w:rFonts w:ascii="Times New Roman" w:hAnsi="Times New Roman" w:cs="Times New Roman"/>
        </w:rPr>
        <w:t>were</w:t>
      </w:r>
      <w:r w:rsidR="00BA45A5">
        <w:rPr>
          <w:rFonts w:ascii="Times New Roman" w:hAnsi="Times New Roman" w:cs="Times New Roman"/>
        </w:rPr>
        <w:t xml:space="preserve"> </w:t>
      </w:r>
      <w:r w:rsidR="00804B9F">
        <w:rPr>
          <w:rFonts w:ascii="Times New Roman" w:hAnsi="Times New Roman" w:cs="Times New Roman"/>
        </w:rPr>
        <w:t>very similar be</w:t>
      </w:r>
      <w:r>
        <w:rPr>
          <w:rFonts w:ascii="Times New Roman" w:hAnsi="Times New Roman" w:cs="Times New Roman"/>
        </w:rPr>
        <w:t>ing higher in the waste loaded sample suggesting that the CAN phase is more readily leached out than AFm, however the Al could be leaching from other phases at different rates therefore it</w:t>
      </w:r>
      <w:r w:rsidR="002B6FD3">
        <w:rPr>
          <w:rFonts w:ascii="Times New Roman" w:hAnsi="Times New Roman" w:cs="Times New Roman"/>
        </w:rPr>
        <w:t xml:space="preserve"> i</w:t>
      </w:r>
      <w:r>
        <w:rPr>
          <w:rFonts w:ascii="Times New Roman" w:hAnsi="Times New Roman" w:cs="Times New Roman"/>
        </w:rPr>
        <w:t xml:space="preserve">s not conclusive. </w:t>
      </w:r>
    </w:p>
    <w:p w14:paraId="5090B264" w14:textId="77777777" w:rsidR="009B3C8C" w:rsidRDefault="009B3C8C" w:rsidP="001F7280">
      <w:pPr>
        <w:spacing w:before="240" w:after="120"/>
        <w:jc w:val="both"/>
        <w:rPr>
          <w:rFonts w:ascii="Times New Roman" w:hAnsi="Times New Roman" w:cs="Times New Roman"/>
          <w:sz w:val="22"/>
          <w:szCs w:val="22"/>
        </w:rPr>
      </w:pPr>
    </w:p>
    <w:p w14:paraId="321DF7FB" w14:textId="5FF81B27" w:rsidR="0044704C" w:rsidRPr="00AA7FE9" w:rsidRDefault="0044704C" w:rsidP="0044704C">
      <w:pPr>
        <w:pBdr>
          <w:bottom w:val="single" w:sz="4" w:space="1" w:color="auto"/>
        </w:pBdr>
        <w:spacing w:before="120" w:after="120" w:line="440" w:lineRule="exact"/>
        <w:ind w:left="720" w:hanging="720"/>
        <w:rPr>
          <w:rFonts w:ascii="Times" w:hAnsi="Times" w:cs="Times New Roman"/>
          <w:bCs/>
          <w:smallCaps/>
          <w:sz w:val="32"/>
          <w:szCs w:val="28"/>
        </w:rPr>
      </w:pPr>
      <w:r w:rsidRPr="00AA7FE9">
        <w:rPr>
          <w:rFonts w:ascii="Times" w:hAnsi="Times" w:cs="Times New Roman"/>
          <w:smallCaps/>
          <w:spacing w:val="-20"/>
          <w:sz w:val="44"/>
          <w:szCs w:val="40"/>
        </w:rPr>
        <w:lastRenderedPageBreak/>
        <w:t>Section 4.4</w:t>
      </w:r>
      <w:r w:rsidRPr="00AA7FE9">
        <w:rPr>
          <w:rFonts w:ascii="Times" w:hAnsi="Times" w:cs="Times New Roman"/>
          <w:smallCaps/>
          <w:spacing w:val="-20"/>
          <w:sz w:val="40"/>
          <w:szCs w:val="40"/>
        </w:rPr>
        <w:t>:</w:t>
      </w:r>
      <w:r w:rsidRPr="00AA7FE9">
        <w:rPr>
          <w:rFonts w:ascii="Times" w:hAnsi="Times" w:cs="Times New Roman"/>
          <w:bCs/>
          <w:smallCaps/>
          <w:sz w:val="40"/>
          <w:szCs w:val="40"/>
        </w:rPr>
        <w:t xml:space="preserve"> </w:t>
      </w:r>
      <w:r w:rsidRPr="00AA7FE9">
        <w:rPr>
          <w:rFonts w:ascii="Times" w:hAnsi="Times" w:cs="Times New Roman"/>
          <w:bCs/>
          <w:smallCaps/>
          <w:sz w:val="28"/>
          <w:szCs w:val="28"/>
        </w:rPr>
        <w:t>The Effect of Superplasticisers on Leaching Behaviour</w:t>
      </w:r>
      <w:r w:rsidR="002A437F">
        <w:rPr>
          <w:rFonts w:ascii="Times" w:hAnsi="Times" w:cs="Times New Roman"/>
          <w:bCs/>
          <w:smallCaps/>
          <w:sz w:val="28"/>
          <w:szCs w:val="28"/>
        </w:rPr>
        <w:t xml:space="preserve"> o</w:t>
      </w:r>
      <w:r w:rsidR="00D22585">
        <w:rPr>
          <w:rFonts w:ascii="Times" w:hAnsi="Times" w:cs="Times New Roman"/>
          <w:bCs/>
          <w:smallCaps/>
          <w:sz w:val="28"/>
          <w:szCs w:val="28"/>
        </w:rPr>
        <w:t>f</w:t>
      </w:r>
      <w:r w:rsidR="002A437F">
        <w:rPr>
          <w:rFonts w:ascii="Times" w:hAnsi="Times" w:cs="Times New Roman"/>
          <w:bCs/>
          <w:smallCaps/>
          <w:sz w:val="28"/>
          <w:szCs w:val="28"/>
        </w:rPr>
        <w:t xml:space="preserve"> Cementitious Waste Forms</w:t>
      </w:r>
      <w:r>
        <w:rPr>
          <w:rFonts w:ascii="Times" w:hAnsi="Times" w:cs="Times New Roman"/>
          <w:bCs/>
          <w:smallCaps/>
          <w:sz w:val="28"/>
          <w:szCs w:val="28"/>
        </w:rPr>
        <w:t xml:space="preserve"> </w:t>
      </w:r>
    </w:p>
    <w:p w14:paraId="42BF13D4" w14:textId="4C36801C" w:rsidR="0044704C" w:rsidRDefault="0044704C" w:rsidP="0044704C">
      <w:pPr>
        <w:spacing w:after="120" w:line="440" w:lineRule="atLeast"/>
        <w:jc w:val="both"/>
        <w:rPr>
          <w:rFonts w:ascii="Times" w:hAnsi="Times"/>
        </w:rPr>
      </w:pPr>
      <w:r>
        <w:rPr>
          <w:rFonts w:ascii="Times" w:hAnsi="Times"/>
        </w:rPr>
        <w:t xml:space="preserve">This chapter represents a secondary </w:t>
      </w:r>
      <w:proofErr w:type="gramStart"/>
      <w:r>
        <w:rPr>
          <w:rFonts w:ascii="Times" w:hAnsi="Times"/>
        </w:rPr>
        <w:t>short te</w:t>
      </w:r>
      <w:r w:rsidR="006B559F">
        <w:rPr>
          <w:rFonts w:ascii="Times" w:hAnsi="Times"/>
        </w:rPr>
        <w:t>rm</w:t>
      </w:r>
      <w:proofErr w:type="gramEnd"/>
      <w:r w:rsidR="006B559F">
        <w:rPr>
          <w:rFonts w:ascii="Times" w:hAnsi="Times"/>
        </w:rPr>
        <w:t xml:space="preserve"> project undertaken</w:t>
      </w:r>
      <w:r>
        <w:rPr>
          <w:rFonts w:ascii="Times" w:hAnsi="Times"/>
        </w:rPr>
        <w:t xml:space="preserve"> during the PhD research into accelerated leaching of cements. Working with the National Nuclear Laboratory, this chapter studies the impact of </w:t>
      </w:r>
      <w:r w:rsidR="001F5C29">
        <w:rPr>
          <w:rFonts w:ascii="Times" w:hAnsi="Times"/>
        </w:rPr>
        <w:t>superplasticiser</w:t>
      </w:r>
      <w:r>
        <w:rPr>
          <w:rFonts w:ascii="Times" w:hAnsi="Times"/>
        </w:rPr>
        <w:t xml:space="preserve"> additives on the cement leaching behaviour. </w:t>
      </w:r>
      <w:r w:rsidRPr="00AA7FE9">
        <w:rPr>
          <w:rFonts w:ascii="Times" w:hAnsi="Times"/>
        </w:rPr>
        <w:t xml:space="preserve">The addition of superplasticisers </w:t>
      </w:r>
      <w:r w:rsidR="006B559F">
        <w:rPr>
          <w:rFonts w:ascii="Times" w:hAnsi="Times"/>
        </w:rPr>
        <w:t xml:space="preserve">is </w:t>
      </w:r>
      <w:r w:rsidRPr="00AA7FE9">
        <w:rPr>
          <w:rFonts w:ascii="Times" w:hAnsi="Times"/>
        </w:rPr>
        <w:t>known to add beneficial characteristics to the cements</w:t>
      </w:r>
      <w:r>
        <w:rPr>
          <w:rFonts w:ascii="Times" w:hAnsi="Times"/>
        </w:rPr>
        <w:t xml:space="preserve"> such as allowing the use of standard construction industry powders for a range of applications </w:t>
      </w:r>
      <w:r w:rsidR="006B559F">
        <w:rPr>
          <w:rFonts w:ascii="Times" w:hAnsi="Times"/>
        </w:rPr>
        <w:t>including</w:t>
      </w:r>
      <w:r>
        <w:rPr>
          <w:rFonts w:ascii="Times" w:hAnsi="Times"/>
        </w:rPr>
        <w:t xml:space="preserve"> waste immobilisation</w:t>
      </w:r>
      <w:r w:rsidR="006B559F">
        <w:rPr>
          <w:rFonts w:ascii="Times" w:hAnsi="Times"/>
        </w:rPr>
        <w:t xml:space="preserve"> [</w:t>
      </w:r>
      <w:r w:rsidR="00732CCA">
        <w:rPr>
          <w:rFonts w:ascii="Times" w:hAnsi="Times"/>
        </w:rPr>
        <w:t>84</w:t>
      </w:r>
      <w:r w:rsidR="006B559F">
        <w:rPr>
          <w:rFonts w:ascii="Times" w:hAnsi="Times"/>
        </w:rPr>
        <w:t>]</w:t>
      </w:r>
      <w:r>
        <w:rPr>
          <w:rFonts w:ascii="Times" w:hAnsi="Times"/>
        </w:rPr>
        <w:t>. The benefits include wasteform longevity, reduced permeability, increased strength and reduced water content which results in reduced corrosion rates [</w:t>
      </w:r>
      <w:r w:rsidR="00AA0E88">
        <w:rPr>
          <w:rFonts w:ascii="Times" w:hAnsi="Times"/>
        </w:rPr>
        <w:t>84</w:t>
      </w:r>
      <w:r>
        <w:rPr>
          <w:rFonts w:ascii="Times" w:hAnsi="Times"/>
        </w:rPr>
        <w:t>]</w:t>
      </w:r>
      <w:r w:rsidRPr="00AA7FE9">
        <w:rPr>
          <w:rFonts w:ascii="Times" w:hAnsi="Times"/>
        </w:rPr>
        <w:t>. However there have been drawbacks to this</w:t>
      </w:r>
      <w:r>
        <w:rPr>
          <w:rFonts w:ascii="Times" w:hAnsi="Times"/>
        </w:rPr>
        <w:t xml:space="preserve"> such as complexing of ions and increased leaching rates of radionuclides</w:t>
      </w:r>
      <w:r w:rsidRPr="00AA7FE9">
        <w:rPr>
          <w:rFonts w:ascii="Times" w:hAnsi="Times"/>
        </w:rPr>
        <w:t xml:space="preserve">. </w:t>
      </w:r>
    </w:p>
    <w:p w14:paraId="376875F8" w14:textId="2DF6E842" w:rsidR="0044704C" w:rsidRPr="00AA7FE9" w:rsidRDefault="0044704C" w:rsidP="0044704C">
      <w:pPr>
        <w:spacing w:after="120" w:line="440" w:lineRule="atLeast"/>
        <w:jc w:val="both"/>
        <w:rPr>
          <w:rFonts w:ascii="Times" w:hAnsi="Times"/>
        </w:rPr>
      </w:pPr>
      <w:r>
        <w:rPr>
          <w:rFonts w:ascii="Times" w:hAnsi="Times"/>
        </w:rPr>
        <w:t xml:space="preserve">The </w:t>
      </w:r>
      <w:r w:rsidRPr="00AA7FE9">
        <w:rPr>
          <w:rFonts w:ascii="Times" w:hAnsi="Times"/>
        </w:rPr>
        <w:t xml:space="preserve">effects of ADVA Cast 551, a superplasticiser </w:t>
      </w:r>
      <w:proofErr w:type="gramStart"/>
      <w:r>
        <w:rPr>
          <w:rFonts w:ascii="Times" w:hAnsi="Times"/>
        </w:rPr>
        <w:t>which</w:t>
      </w:r>
      <w:proofErr w:type="gramEnd"/>
      <w:r>
        <w:rPr>
          <w:rFonts w:ascii="Times" w:hAnsi="Times"/>
        </w:rPr>
        <w:t xml:space="preserve"> could be potentially </w:t>
      </w:r>
      <w:r w:rsidRPr="00AA7FE9">
        <w:rPr>
          <w:rFonts w:ascii="Times" w:hAnsi="Times"/>
        </w:rPr>
        <w:t>used in cements retaining plutonium and uranium</w:t>
      </w:r>
      <w:r>
        <w:rPr>
          <w:rFonts w:ascii="Times" w:hAnsi="Times"/>
        </w:rPr>
        <w:t>, is studied</w:t>
      </w:r>
      <w:r w:rsidR="00FA39FE">
        <w:rPr>
          <w:rFonts w:ascii="Times" w:hAnsi="Times"/>
        </w:rPr>
        <w:t xml:space="preserve"> [84</w:t>
      </w:r>
      <w:r w:rsidR="00897510">
        <w:rPr>
          <w:rFonts w:ascii="Times" w:hAnsi="Times"/>
        </w:rPr>
        <w:t>]</w:t>
      </w:r>
      <w:r w:rsidR="00F1782E">
        <w:rPr>
          <w:rFonts w:ascii="Times" w:hAnsi="Times"/>
        </w:rPr>
        <w:t xml:space="preserve">. A </w:t>
      </w:r>
      <w:r w:rsidR="004C77E7">
        <w:rPr>
          <w:rFonts w:ascii="Times" w:hAnsi="Times"/>
        </w:rPr>
        <w:t>BFS</w:t>
      </w:r>
      <w:proofErr w:type="gramStart"/>
      <w:r w:rsidR="004C77E7">
        <w:rPr>
          <w:rFonts w:ascii="Times" w:hAnsi="Times"/>
        </w:rPr>
        <w:t>:PC</w:t>
      </w:r>
      <w:proofErr w:type="gramEnd"/>
      <w:r w:rsidR="00F1782E">
        <w:rPr>
          <w:rFonts w:ascii="Times" w:hAnsi="Times"/>
        </w:rPr>
        <w:t xml:space="preserve"> (9</w:t>
      </w:r>
      <w:r w:rsidRPr="00AA7FE9">
        <w:rPr>
          <w:rFonts w:ascii="Times" w:hAnsi="Times"/>
        </w:rPr>
        <w:t>:1) cement was used con</w:t>
      </w:r>
      <w:r w:rsidR="00897510">
        <w:rPr>
          <w:rFonts w:ascii="Times" w:hAnsi="Times"/>
        </w:rPr>
        <w:t>taining cerium nitrate</w:t>
      </w:r>
      <w:r w:rsidR="00E220C4">
        <w:rPr>
          <w:rFonts w:ascii="Times" w:hAnsi="Times"/>
        </w:rPr>
        <w:t xml:space="preserve"> (cerium is used a simulant for plutonium)</w:t>
      </w:r>
      <w:r w:rsidR="00897510">
        <w:rPr>
          <w:rFonts w:ascii="Times" w:hAnsi="Times"/>
        </w:rPr>
        <w:t>.</w:t>
      </w:r>
      <w:r w:rsidRPr="00AA7FE9">
        <w:rPr>
          <w:rFonts w:ascii="Times" w:hAnsi="Times"/>
        </w:rPr>
        <w:t xml:space="preserve"> The fluidity</w:t>
      </w:r>
      <w:r w:rsidR="00897510">
        <w:rPr>
          <w:rFonts w:ascii="Times" w:hAnsi="Times"/>
        </w:rPr>
        <w:t xml:space="preserve"> of the cement paste was measured, and </w:t>
      </w:r>
      <w:r>
        <w:rPr>
          <w:rFonts w:ascii="Times" w:hAnsi="Times"/>
        </w:rPr>
        <w:t>the le</w:t>
      </w:r>
      <w:r w:rsidRPr="00AA7FE9">
        <w:rPr>
          <w:rFonts w:ascii="Times" w:hAnsi="Times"/>
        </w:rPr>
        <w:t>aching rates</w:t>
      </w:r>
      <w:r>
        <w:rPr>
          <w:rFonts w:ascii="Times" w:hAnsi="Times"/>
        </w:rPr>
        <w:t xml:space="preserve"> of cerium, calcium, aluminium an</w:t>
      </w:r>
      <w:r w:rsidR="00897510">
        <w:rPr>
          <w:rFonts w:ascii="Times" w:hAnsi="Times"/>
        </w:rPr>
        <w:t>d</w:t>
      </w:r>
      <w:r>
        <w:rPr>
          <w:rFonts w:ascii="Times" w:hAnsi="Times"/>
        </w:rPr>
        <w:t xml:space="preserve"> sodium</w:t>
      </w:r>
      <w:r w:rsidR="00897510">
        <w:rPr>
          <w:rFonts w:ascii="Times" w:hAnsi="Times"/>
        </w:rPr>
        <w:t xml:space="preserve"> studied</w:t>
      </w:r>
      <w:r w:rsidRPr="00AA7FE9">
        <w:rPr>
          <w:rFonts w:ascii="Times" w:hAnsi="Times"/>
        </w:rPr>
        <w:t xml:space="preserve"> </w:t>
      </w:r>
      <w:r>
        <w:rPr>
          <w:rFonts w:ascii="Times" w:hAnsi="Times"/>
        </w:rPr>
        <w:t xml:space="preserve">to compare the impact of the superplasticiser on both the fluidity and leaching. </w:t>
      </w:r>
      <w:r w:rsidRPr="00AA7FE9">
        <w:rPr>
          <w:rFonts w:ascii="Times" w:hAnsi="Times"/>
        </w:rPr>
        <w:t xml:space="preserve">Finally the NRVB backfill behaviour </w:t>
      </w:r>
      <w:r>
        <w:rPr>
          <w:rFonts w:ascii="Times" w:hAnsi="Times"/>
        </w:rPr>
        <w:t xml:space="preserve">was studied </w:t>
      </w:r>
      <w:r w:rsidRPr="00AA7FE9">
        <w:rPr>
          <w:rFonts w:ascii="Times" w:hAnsi="Times"/>
        </w:rPr>
        <w:t>when in contact with this leached</w:t>
      </w:r>
      <w:r>
        <w:rPr>
          <w:rFonts w:ascii="Times" w:hAnsi="Times"/>
        </w:rPr>
        <w:t xml:space="preserve"> cerium</w:t>
      </w:r>
      <w:r w:rsidRPr="00AA7FE9">
        <w:rPr>
          <w:rFonts w:ascii="Times" w:hAnsi="Times"/>
        </w:rPr>
        <w:t xml:space="preserve"> solution via a permeability test. </w:t>
      </w:r>
      <w:r w:rsidRPr="00AA7FE9">
        <w:rPr>
          <w:rFonts w:ascii="Times" w:eastAsia="Batang" w:hAnsi="Times"/>
        </w:rPr>
        <w:t xml:space="preserve">The permeability test is designed to simulate the contact between the </w:t>
      </w:r>
      <w:r w:rsidR="001F5C29">
        <w:rPr>
          <w:rFonts w:ascii="Times" w:eastAsia="Batang" w:hAnsi="Times"/>
        </w:rPr>
        <w:t>superplasticiser</w:t>
      </w:r>
      <w:r w:rsidRPr="00AA7FE9">
        <w:rPr>
          <w:rFonts w:ascii="Times" w:eastAsia="Batang" w:hAnsi="Times"/>
        </w:rPr>
        <w:t xml:space="preserve"> solution and the NRVB cement</w:t>
      </w:r>
      <w:r>
        <w:rPr>
          <w:rFonts w:ascii="Times" w:eastAsia="Batang" w:hAnsi="Times"/>
        </w:rPr>
        <w:t xml:space="preserve"> under storage conditions</w:t>
      </w:r>
      <w:r>
        <w:rPr>
          <w:rFonts w:ascii="Times" w:hAnsi="Times"/>
        </w:rPr>
        <w:t>.  The chapter serves as an introduction to marrying the accelerated leaching procedures with superplasticised cements in order to study the i</w:t>
      </w:r>
      <w:r w:rsidR="00897510">
        <w:rPr>
          <w:rFonts w:ascii="Times" w:hAnsi="Times"/>
        </w:rPr>
        <w:t>mpact of these additives on the leaching behaviour over long periods of time</w:t>
      </w:r>
      <w:r>
        <w:rPr>
          <w:rFonts w:ascii="Times" w:hAnsi="Times"/>
        </w:rPr>
        <w:t xml:space="preserve">.  </w:t>
      </w:r>
    </w:p>
    <w:p w14:paraId="3D828FA6" w14:textId="77777777" w:rsidR="0044704C" w:rsidRPr="00AA7FE9" w:rsidRDefault="0044704C" w:rsidP="0044704C">
      <w:pPr>
        <w:spacing w:before="240" w:after="120"/>
        <w:outlineLvl w:val="0"/>
        <w:rPr>
          <w:rFonts w:ascii="Times" w:hAnsi="Times" w:cs="Times New Roman"/>
          <w:b/>
          <w:bCs/>
          <w:smallCaps/>
          <w:sz w:val="36"/>
          <w:szCs w:val="28"/>
          <w:u w:val="single"/>
        </w:rPr>
      </w:pPr>
    </w:p>
    <w:p w14:paraId="4D54A1BF" w14:textId="77777777" w:rsidR="00753DB1" w:rsidRDefault="00753DB1" w:rsidP="0044704C">
      <w:pPr>
        <w:spacing w:before="240" w:after="120"/>
        <w:ind w:left="1440" w:hanging="1440"/>
        <w:outlineLvl w:val="0"/>
        <w:rPr>
          <w:rFonts w:ascii="Times" w:hAnsi="Times" w:cs="Times New Roman"/>
          <w:b/>
          <w:bCs/>
          <w:smallCaps/>
          <w:sz w:val="36"/>
          <w:szCs w:val="28"/>
          <w:u w:val="single"/>
        </w:rPr>
      </w:pPr>
    </w:p>
    <w:p w14:paraId="42CE036A" w14:textId="77777777" w:rsidR="00753DB1" w:rsidRDefault="00753DB1" w:rsidP="0044704C">
      <w:pPr>
        <w:spacing w:before="240" w:after="120"/>
        <w:ind w:left="1440" w:hanging="1440"/>
        <w:outlineLvl w:val="0"/>
        <w:rPr>
          <w:rFonts w:ascii="Times" w:hAnsi="Times" w:cs="Times New Roman"/>
          <w:b/>
          <w:bCs/>
          <w:smallCaps/>
          <w:sz w:val="36"/>
          <w:szCs w:val="28"/>
          <w:u w:val="single"/>
        </w:rPr>
      </w:pPr>
    </w:p>
    <w:p w14:paraId="7465C9FA" w14:textId="77777777" w:rsidR="00753DB1" w:rsidRDefault="00753DB1" w:rsidP="0044704C">
      <w:pPr>
        <w:spacing w:before="240" w:after="120"/>
        <w:ind w:left="1440" w:hanging="1440"/>
        <w:outlineLvl w:val="0"/>
        <w:rPr>
          <w:rFonts w:ascii="Times" w:hAnsi="Times" w:cs="Times New Roman"/>
          <w:b/>
          <w:bCs/>
          <w:smallCaps/>
          <w:sz w:val="36"/>
          <w:szCs w:val="28"/>
          <w:u w:val="single"/>
        </w:rPr>
      </w:pPr>
    </w:p>
    <w:p w14:paraId="54CDA400" w14:textId="77777777" w:rsidR="0044704C" w:rsidRPr="00AA7FE9" w:rsidRDefault="0044704C" w:rsidP="0044704C">
      <w:pPr>
        <w:spacing w:before="240" w:after="120"/>
        <w:ind w:left="1440" w:hanging="1440"/>
        <w:outlineLvl w:val="0"/>
        <w:rPr>
          <w:rFonts w:ascii="Times" w:hAnsi="Times" w:cs="Times New Roman"/>
          <w:b/>
          <w:bCs/>
          <w:smallCaps/>
          <w:sz w:val="36"/>
          <w:szCs w:val="28"/>
          <w:u w:val="single"/>
        </w:rPr>
      </w:pPr>
      <w:r>
        <w:rPr>
          <w:rFonts w:ascii="Times" w:hAnsi="Times" w:cs="Times New Roman"/>
          <w:b/>
          <w:bCs/>
          <w:smallCaps/>
          <w:sz w:val="36"/>
          <w:szCs w:val="28"/>
          <w:u w:val="single"/>
        </w:rPr>
        <w:lastRenderedPageBreak/>
        <w:t>4.4.1</w:t>
      </w:r>
      <w:r>
        <w:rPr>
          <w:rFonts w:ascii="Times" w:hAnsi="Times" w:cs="Times New Roman"/>
          <w:b/>
          <w:bCs/>
          <w:smallCaps/>
          <w:sz w:val="36"/>
          <w:szCs w:val="28"/>
          <w:u w:val="single"/>
        </w:rPr>
        <w:tab/>
      </w:r>
      <w:r w:rsidRPr="002A437F">
        <w:rPr>
          <w:rFonts w:ascii="Times" w:hAnsi="Times" w:cs="Times New Roman"/>
          <w:b/>
          <w:bCs/>
          <w:smallCaps/>
          <w:sz w:val="32"/>
          <w:szCs w:val="28"/>
          <w:u w:val="single"/>
        </w:rPr>
        <w:t>Impact of ADVA-Cast 551 on Cementitious Waste forms</w:t>
      </w:r>
    </w:p>
    <w:p w14:paraId="0C974CAA" w14:textId="5BF293E9" w:rsidR="0044704C" w:rsidRPr="00974279" w:rsidRDefault="0044704C" w:rsidP="0044704C">
      <w:pPr>
        <w:spacing w:before="240" w:after="120" w:line="360" w:lineRule="auto"/>
        <w:jc w:val="both"/>
        <w:outlineLvl w:val="0"/>
        <w:rPr>
          <w:rFonts w:ascii="Times" w:hAnsi="Times" w:cs="Times New Roman"/>
          <w:b/>
          <w:bCs/>
          <w:smallCaps/>
          <w:sz w:val="32"/>
          <w:szCs w:val="28"/>
        </w:rPr>
      </w:pPr>
      <w:r>
        <w:rPr>
          <w:rFonts w:ascii="Times" w:hAnsi="Times" w:cs="Times New Roman"/>
        </w:rPr>
        <w:t xml:space="preserve"> The cement samples are labelled CE and CEA (the A denoting the sample containing ADVA-cast 551). The superplasticiser will be referred to as A551.</w:t>
      </w:r>
      <w:r>
        <w:rPr>
          <w:rFonts w:ascii="Times" w:hAnsi="Times" w:cs="Times New Roman"/>
          <w:b/>
          <w:bCs/>
          <w:smallCaps/>
          <w:sz w:val="32"/>
          <w:szCs w:val="28"/>
        </w:rPr>
        <w:t xml:space="preserve"> </w:t>
      </w:r>
    </w:p>
    <w:p w14:paraId="2364C9C3" w14:textId="77777777" w:rsidR="0044704C" w:rsidRPr="00985624" w:rsidRDefault="0044704C" w:rsidP="0044704C">
      <w:pPr>
        <w:spacing w:before="240" w:after="120" w:line="360" w:lineRule="auto"/>
        <w:jc w:val="both"/>
        <w:outlineLvl w:val="0"/>
        <w:rPr>
          <w:rFonts w:ascii="Times" w:hAnsi="Times" w:cs="Times New Roman"/>
          <w:i/>
          <w:sz w:val="18"/>
        </w:rPr>
      </w:pPr>
      <w:r w:rsidRPr="00985624">
        <w:rPr>
          <w:rFonts w:ascii="Times" w:hAnsi="Times" w:cs="Times New Roman"/>
          <w:b/>
          <w:bCs/>
          <w:smallCaps/>
          <w:sz w:val="30"/>
          <w:szCs w:val="28"/>
        </w:rPr>
        <w:t>4.4.1.1</w:t>
      </w:r>
      <w:r w:rsidRPr="00985624">
        <w:rPr>
          <w:rFonts w:ascii="Times" w:hAnsi="Times" w:cs="Times New Roman"/>
          <w:b/>
          <w:bCs/>
          <w:smallCaps/>
          <w:sz w:val="30"/>
          <w:szCs w:val="28"/>
        </w:rPr>
        <w:tab/>
        <w:t>Results</w:t>
      </w:r>
    </w:p>
    <w:p w14:paraId="6C9CF390" w14:textId="77777777" w:rsidR="0044704C" w:rsidRPr="00D84BD7" w:rsidRDefault="0044704C" w:rsidP="0044704C">
      <w:pPr>
        <w:spacing w:before="240" w:after="120" w:line="360" w:lineRule="auto"/>
        <w:jc w:val="both"/>
        <w:outlineLvl w:val="0"/>
        <w:rPr>
          <w:rFonts w:ascii="Times" w:hAnsi="Times" w:cs="Times New Roman"/>
          <w:b/>
          <w:i/>
        </w:rPr>
      </w:pPr>
      <w:r w:rsidRPr="00D84BD7">
        <w:rPr>
          <w:rFonts w:ascii="Times" w:hAnsi="Times" w:cs="Times New Roman"/>
          <w:b/>
          <w:i/>
        </w:rPr>
        <w:t>i. XRD Results</w:t>
      </w:r>
    </w:p>
    <w:p w14:paraId="5C38BE37" w14:textId="373A1DA9" w:rsidR="0044704C" w:rsidRPr="00AA7FE9" w:rsidRDefault="0044704C" w:rsidP="0044704C">
      <w:pPr>
        <w:spacing w:before="240" w:after="120" w:line="360" w:lineRule="auto"/>
        <w:jc w:val="both"/>
        <w:outlineLvl w:val="0"/>
        <w:rPr>
          <w:rFonts w:ascii="Times" w:hAnsi="Times" w:cs="Times New Roman"/>
        </w:rPr>
      </w:pPr>
      <w:r w:rsidRPr="00AA7FE9">
        <w:rPr>
          <w:rFonts w:ascii="Times" w:hAnsi="Times" w:cs="Times New Roman"/>
        </w:rPr>
        <w:t xml:space="preserve">The </w:t>
      </w:r>
      <w:proofErr w:type="gramStart"/>
      <w:r>
        <w:rPr>
          <w:rFonts w:ascii="Times" w:hAnsi="Times" w:cs="Times New Roman"/>
        </w:rPr>
        <w:t>Ce(</w:t>
      </w:r>
      <w:proofErr w:type="gramEnd"/>
      <w:r>
        <w:rPr>
          <w:rFonts w:ascii="Times" w:hAnsi="Times" w:cs="Times New Roman"/>
        </w:rPr>
        <w:t>NO</w:t>
      </w:r>
      <w:r>
        <w:rPr>
          <w:rFonts w:ascii="Times" w:hAnsi="Times" w:cs="Times New Roman"/>
          <w:vertAlign w:val="subscript"/>
        </w:rPr>
        <w:t>3</w:t>
      </w:r>
      <w:r>
        <w:rPr>
          <w:rFonts w:ascii="Times" w:hAnsi="Times" w:cs="Times New Roman"/>
        </w:rPr>
        <w:t>)</w:t>
      </w:r>
      <w:r>
        <w:rPr>
          <w:rFonts w:ascii="Times" w:hAnsi="Times" w:cs="Times New Roman"/>
          <w:vertAlign w:val="subscript"/>
        </w:rPr>
        <w:t>3</w:t>
      </w:r>
      <w:r w:rsidRPr="00AA7FE9">
        <w:rPr>
          <w:rFonts w:ascii="Times" w:hAnsi="Times" w:cs="Times New Roman"/>
        </w:rPr>
        <w:t xml:space="preserve"> was analysed using XRD to obtain a </w:t>
      </w:r>
      <w:r>
        <w:rPr>
          <w:rFonts w:ascii="Times" w:hAnsi="Times" w:cs="Times New Roman"/>
        </w:rPr>
        <w:t>trace</w:t>
      </w:r>
      <w:r w:rsidRPr="00AA7FE9">
        <w:rPr>
          <w:rFonts w:ascii="Times" w:hAnsi="Times" w:cs="Times New Roman"/>
        </w:rPr>
        <w:t xml:space="preserve"> that characterised the sample</w:t>
      </w:r>
      <w:r w:rsidR="006A152B">
        <w:rPr>
          <w:rFonts w:ascii="Times" w:hAnsi="Times" w:cs="Times New Roman"/>
        </w:rPr>
        <w:t xml:space="preserve"> and serve as a reference for this phase in cement XRD traces</w:t>
      </w:r>
      <w:r w:rsidRPr="00AA7FE9">
        <w:rPr>
          <w:rFonts w:ascii="Times" w:hAnsi="Times" w:cs="Times New Roman"/>
        </w:rPr>
        <w:t>. The resultant</w:t>
      </w:r>
      <w:r w:rsidR="00753DB1">
        <w:rPr>
          <w:rFonts w:ascii="Times" w:hAnsi="Times" w:cs="Times New Roman"/>
        </w:rPr>
        <w:t xml:space="preserve"> trace is shown in Figure 4.96</w:t>
      </w:r>
      <w:r w:rsidRPr="00AA7FE9">
        <w:rPr>
          <w:rFonts w:ascii="Times" w:hAnsi="Times" w:cs="Times New Roman"/>
        </w:rPr>
        <w:t xml:space="preserve">. </w:t>
      </w:r>
    </w:p>
    <w:p w14:paraId="07E63B32" w14:textId="77777777" w:rsidR="0044704C" w:rsidRDefault="0044704C" w:rsidP="0044704C">
      <w:pPr>
        <w:spacing w:before="240" w:after="120"/>
        <w:ind w:left="426"/>
        <w:jc w:val="both"/>
        <w:outlineLvl w:val="0"/>
        <w:rPr>
          <w:rFonts w:ascii="Times" w:hAnsi="Times" w:cs="Times New Roman"/>
        </w:rPr>
      </w:pPr>
      <w:r w:rsidRPr="00D356AB">
        <w:rPr>
          <w:rFonts w:ascii="Times" w:hAnsi="Times" w:cs="Times New Roman"/>
          <w:noProof/>
        </w:rPr>
        <w:drawing>
          <wp:inline distT="0" distB="0" distL="0" distR="0" wp14:anchorId="7CB2EA37" wp14:editId="76D0487F">
            <wp:extent cx="4873753" cy="2222500"/>
            <wp:effectExtent l="0" t="0" r="317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3">
                      <a:extLst>
                        <a:ext uri="{28A0092B-C50C-407E-A947-70E740481C1C}">
                          <a14:useLocalDpi xmlns:a14="http://schemas.microsoft.com/office/drawing/2010/main" val="0"/>
                        </a:ext>
                      </a:extLst>
                    </a:blip>
                    <a:srcRect b="2642"/>
                    <a:stretch/>
                  </pic:blipFill>
                  <pic:spPr bwMode="auto">
                    <a:xfrm>
                      <a:off x="0" y="0"/>
                      <a:ext cx="4875284" cy="2223198"/>
                    </a:xfrm>
                    <a:prstGeom prst="rect">
                      <a:avLst/>
                    </a:prstGeom>
                    <a:noFill/>
                    <a:ln>
                      <a:noFill/>
                    </a:ln>
                    <a:extLst>
                      <a:ext uri="{53640926-AAD7-44d8-BBD7-CCE9431645EC}">
                        <a14:shadowObscured xmlns:a14="http://schemas.microsoft.com/office/drawing/2010/main"/>
                      </a:ext>
                    </a:extLst>
                  </pic:spPr>
                </pic:pic>
              </a:graphicData>
            </a:graphic>
          </wp:inline>
        </w:drawing>
      </w:r>
    </w:p>
    <w:p w14:paraId="2679A044" w14:textId="0B64CF89" w:rsidR="0044704C" w:rsidRPr="003A16E8" w:rsidRDefault="00753DB1" w:rsidP="0044704C">
      <w:pPr>
        <w:spacing w:before="240" w:after="120"/>
        <w:ind w:left="426"/>
        <w:jc w:val="center"/>
        <w:outlineLvl w:val="0"/>
        <w:rPr>
          <w:rFonts w:ascii="Times" w:hAnsi="Times" w:cs="Times New Roman"/>
        </w:rPr>
      </w:pPr>
      <w:r>
        <w:rPr>
          <w:rFonts w:ascii="Times" w:hAnsi="Times" w:cs="Times New Roman"/>
          <w:b/>
        </w:rPr>
        <w:t>Figure 4.96</w:t>
      </w:r>
      <w:r w:rsidR="0044704C" w:rsidRPr="003C62B3">
        <w:rPr>
          <w:rFonts w:ascii="Times" w:hAnsi="Times" w:cs="Times New Roman"/>
          <w:b/>
        </w:rPr>
        <w:t>:</w:t>
      </w:r>
      <w:r w:rsidR="0044704C">
        <w:rPr>
          <w:rFonts w:ascii="Times" w:hAnsi="Times" w:cs="Times New Roman"/>
        </w:rPr>
        <w:t xml:space="preserve"> XRD trace of </w:t>
      </w:r>
      <w:proofErr w:type="gramStart"/>
      <w:r w:rsidR="0044704C">
        <w:rPr>
          <w:rFonts w:ascii="Times" w:hAnsi="Times" w:cs="Times New Roman"/>
        </w:rPr>
        <w:t>Ce(</w:t>
      </w:r>
      <w:proofErr w:type="gramEnd"/>
      <w:r w:rsidR="0044704C">
        <w:rPr>
          <w:rFonts w:ascii="Times" w:hAnsi="Times" w:cs="Times New Roman"/>
        </w:rPr>
        <w:t>NO</w:t>
      </w:r>
      <w:r w:rsidR="0044704C">
        <w:rPr>
          <w:rFonts w:ascii="Times" w:hAnsi="Times" w:cs="Times New Roman"/>
          <w:vertAlign w:val="subscript"/>
        </w:rPr>
        <w:t>3</w:t>
      </w:r>
      <w:r w:rsidR="0044704C">
        <w:rPr>
          <w:rFonts w:ascii="Times" w:hAnsi="Times" w:cs="Times New Roman"/>
        </w:rPr>
        <w:t>)</w:t>
      </w:r>
      <w:r>
        <w:rPr>
          <w:rFonts w:ascii="Times" w:hAnsi="Times" w:cs="Times New Roman"/>
          <w:vertAlign w:val="subscript"/>
        </w:rPr>
        <w:t>3</w:t>
      </w:r>
    </w:p>
    <w:p w14:paraId="230625E6" w14:textId="61DD7CF3" w:rsidR="0044704C" w:rsidRDefault="0044704C" w:rsidP="0044704C">
      <w:pPr>
        <w:spacing w:before="240" w:after="120" w:line="360" w:lineRule="auto"/>
        <w:jc w:val="both"/>
        <w:outlineLvl w:val="0"/>
        <w:rPr>
          <w:rFonts w:ascii="Times" w:hAnsi="Times" w:cs="Times New Roman"/>
        </w:rPr>
      </w:pPr>
      <w:r w:rsidRPr="00AA7FE9">
        <w:rPr>
          <w:rFonts w:ascii="Times" w:hAnsi="Times" w:cs="Times New Roman"/>
        </w:rPr>
        <w:t>Th</w:t>
      </w:r>
      <w:r>
        <w:rPr>
          <w:rFonts w:ascii="Times" w:hAnsi="Times" w:cs="Times New Roman"/>
        </w:rPr>
        <w:t>e XRD results of the CE and CEA</w:t>
      </w:r>
      <w:r w:rsidRPr="00AA7FE9">
        <w:rPr>
          <w:rFonts w:ascii="Times" w:hAnsi="Times" w:cs="Times New Roman"/>
        </w:rPr>
        <w:t xml:space="preserve"> sample</w:t>
      </w:r>
      <w:r>
        <w:rPr>
          <w:rFonts w:ascii="Times" w:hAnsi="Times" w:cs="Times New Roman"/>
        </w:rPr>
        <w:t>s</w:t>
      </w:r>
      <w:r w:rsidR="00D22585">
        <w:rPr>
          <w:rFonts w:ascii="Times" w:hAnsi="Times" w:cs="Times New Roman"/>
        </w:rPr>
        <w:t xml:space="preserve"> cured for 42 days and analysed</w:t>
      </w:r>
      <w:r>
        <w:rPr>
          <w:rFonts w:ascii="Times" w:hAnsi="Times" w:cs="Times New Roman"/>
        </w:rPr>
        <w:t xml:space="preserve"> before the leaching test are shown in F</w:t>
      </w:r>
      <w:r w:rsidRPr="00AA7FE9">
        <w:rPr>
          <w:rFonts w:ascii="Times" w:hAnsi="Times" w:cs="Times New Roman"/>
        </w:rPr>
        <w:t xml:space="preserve">igure </w:t>
      </w:r>
      <w:r w:rsidR="00753DB1">
        <w:rPr>
          <w:rFonts w:ascii="Times" w:hAnsi="Times" w:cs="Times New Roman"/>
        </w:rPr>
        <w:t>4.97</w:t>
      </w:r>
      <w:r w:rsidRPr="00AA7FE9">
        <w:rPr>
          <w:rFonts w:ascii="Times" w:hAnsi="Times" w:cs="Times New Roman"/>
        </w:rPr>
        <w:t xml:space="preserve">.  </w:t>
      </w:r>
      <w:r>
        <w:rPr>
          <w:rFonts w:ascii="Times" w:hAnsi="Times" w:cs="Times New Roman"/>
        </w:rPr>
        <w:t>The peak formation of the two samples is very similar suggesting that the introduction of A551 has little impact on the crystal formation</w:t>
      </w:r>
      <w:r w:rsidR="006A152B">
        <w:rPr>
          <w:rFonts w:ascii="Times" w:hAnsi="Times" w:cs="Times New Roman"/>
        </w:rPr>
        <w:t xml:space="preserve"> of the hydrate phases</w:t>
      </w:r>
      <w:r>
        <w:rPr>
          <w:rFonts w:ascii="Times" w:hAnsi="Times" w:cs="Times New Roman"/>
        </w:rPr>
        <w:t>. Furthermore comparing these traces with that in fig 4.9</w:t>
      </w:r>
      <w:r w:rsidR="00D22585">
        <w:rPr>
          <w:rFonts w:ascii="Times" w:hAnsi="Times" w:cs="Times New Roman"/>
        </w:rPr>
        <w:t>6</w:t>
      </w:r>
      <w:r>
        <w:rPr>
          <w:rFonts w:ascii="Times" w:hAnsi="Times" w:cs="Times New Roman"/>
        </w:rPr>
        <w:t xml:space="preserve">, the peaks associated with the </w:t>
      </w:r>
      <w:proofErr w:type="gramStart"/>
      <w:r>
        <w:rPr>
          <w:rFonts w:ascii="Times" w:hAnsi="Times" w:cs="Times New Roman"/>
        </w:rPr>
        <w:t>Ce(</w:t>
      </w:r>
      <w:proofErr w:type="gramEnd"/>
      <w:r>
        <w:rPr>
          <w:rFonts w:ascii="Times" w:hAnsi="Times" w:cs="Times New Roman"/>
        </w:rPr>
        <w:t>NO</w:t>
      </w:r>
      <w:r>
        <w:rPr>
          <w:rFonts w:ascii="Times" w:hAnsi="Times" w:cs="Times New Roman"/>
          <w:vertAlign w:val="subscript"/>
        </w:rPr>
        <w:t>3</w:t>
      </w:r>
      <w:r>
        <w:rPr>
          <w:rFonts w:ascii="Times" w:hAnsi="Times" w:cs="Times New Roman"/>
        </w:rPr>
        <w:t>)</w:t>
      </w:r>
      <w:r>
        <w:rPr>
          <w:rFonts w:ascii="Times" w:hAnsi="Times" w:cs="Times New Roman"/>
          <w:vertAlign w:val="subscript"/>
        </w:rPr>
        <w:t>3</w:t>
      </w:r>
      <w:r>
        <w:rPr>
          <w:rFonts w:ascii="Times" w:hAnsi="Times" w:cs="Times New Roman"/>
        </w:rPr>
        <w:t xml:space="preserve"> are not present, therefore the Ce is retained in the sample however it is not clear in which phase.  </w:t>
      </w:r>
      <w:r w:rsidR="006A152B">
        <w:rPr>
          <w:rFonts w:ascii="Times" w:hAnsi="Times" w:cs="Times New Roman"/>
        </w:rPr>
        <w:t xml:space="preserve">There is an </w:t>
      </w:r>
      <w:r w:rsidR="00753DB1">
        <w:rPr>
          <w:rFonts w:ascii="Times" w:hAnsi="Times" w:cs="Times New Roman"/>
        </w:rPr>
        <w:t>unidentified</w:t>
      </w:r>
      <w:r w:rsidR="006A152B">
        <w:rPr>
          <w:rFonts w:ascii="Times" w:hAnsi="Times" w:cs="Times New Roman"/>
        </w:rPr>
        <w:t xml:space="preserve"> peak at </w:t>
      </w:r>
      <w:proofErr w:type="gramStart"/>
      <w:r w:rsidR="006A152B">
        <w:rPr>
          <w:rFonts w:ascii="Times" w:hAnsi="Times" w:cs="Times New Roman"/>
        </w:rPr>
        <w:t>35</w:t>
      </w:r>
      <w:r w:rsidR="006A152B">
        <w:rPr>
          <w:rFonts w:ascii="Times" w:hAnsi="Times" w:cs="Times New Roman"/>
          <w:vertAlign w:val="superscript"/>
        </w:rPr>
        <w:t>o</w:t>
      </w:r>
      <w:r w:rsidR="006A152B">
        <w:rPr>
          <w:rFonts w:ascii="Times New Roman" w:hAnsi="Times New Roman"/>
        </w:rPr>
        <w:t>2θ  in</w:t>
      </w:r>
      <w:proofErr w:type="gramEnd"/>
      <w:r w:rsidR="006A152B">
        <w:rPr>
          <w:rFonts w:ascii="Times New Roman" w:hAnsi="Times New Roman"/>
        </w:rPr>
        <w:t xml:space="preserve"> CEA and an unidentified hump at 16</w:t>
      </w:r>
      <w:r w:rsidR="006A152B">
        <w:rPr>
          <w:rFonts w:ascii="Times New Roman" w:hAnsi="Times New Roman"/>
          <w:vertAlign w:val="superscript"/>
        </w:rPr>
        <w:t>o</w:t>
      </w:r>
      <w:r w:rsidR="006A152B">
        <w:rPr>
          <w:rFonts w:ascii="Times New Roman" w:hAnsi="Times New Roman"/>
        </w:rPr>
        <w:t xml:space="preserve">2θ in CE. </w:t>
      </w:r>
    </w:p>
    <w:p w14:paraId="3DE8B030" w14:textId="0992A5DF" w:rsidR="0044704C" w:rsidRDefault="0044704C" w:rsidP="00753DB1">
      <w:pPr>
        <w:spacing w:line="360" w:lineRule="auto"/>
        <w:jc w:val="center"/>
        <w:outlineLvl w:val="0"/>
        <w:rPr>
          <w:rFonts w:ascii="Times" w:hAnsi="Times" w:cs="Times New Roman"/>
        </w:rPr>
      </w:pPr>
      <w:r>
        <w:rPr>
          <w:rFonts w:ascii="Times" w:hAnsi="Times" w:cs="Times New Roman"/>
          <w:noProof/>
        </w:rPr>
        <w:lastRenderedPageBreak/>
        <w:drawing>
          <wp:inline distT="0" distB="0" distL="0" distR="0" wp14:anchorId="2F7A2E8B" wp14:editId="7D584E74">
            <wp:extent cx="4348743" cy="2412694"/>
            <wp:effectExtent l="0" t="0" r="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347219" cy="2411849"/>
                    </a:xfrm>
                    <a:prstGeom prst="rect">
                      <a:avLst/>
                    </a:prstGeom>
                    <a:noFill/>
                  </pic:spPr>
                </pic:pic>
              </a:graphicData>
            </a:graphic>
          </wp:inline>
        </w:drawing>
      </w:r>
      <w:r>
        <w:rPr>
          <w:rFonts w:ascii="Times" w:hAnsi="Times" w:cs="Times New Roman"/>
        </w:rPr>
        <w:br/>
      </w:r>
      <w:r w:rsidRPr="003C62B3">
        <w:rPr>
          <w:rFonts w:ascii="Times" w:hAnsi="Times" w:cs="Times New Roman"/>
          <w:b/>
        </w:rPr>
        <w:t>Figure 4.9</w:t>
      </w:r>
      <w:r w:rsidR="00753DB1">
        <w:rPr>
          <w:rFonts w:ascii="Times" w:hAnsi="Times" w:cs="Times New Roman"/>
          <w:b/>
        </w:rPr>
        <w:t>7</w:t>
      </w:r>
      <w:r w:rsidRPr="003C62B3">
        <w:rPr>
          <w:rFonts w:ascii="Times" w:hAnsi="Times" w:cs="Times New Roman"/>
          <w:b/>
        </w:rPr>
        <w:t>:</w:t>
      </w:r>
      <w:r>
        <w:rPr>
          <w:rFonts w:ascii="Times" w:hAnsi="Times" w:cs="Times New Roman"/>
        </w:rPr>
        <w:t xml:space="preserve"> XRD trace of CE and CEA before the leaching experiments</w:t>
      </w:r>
      <w:r>
        <w:rPr>
          <w:rFonts w:ascii="Times" w:hAnsi="Times" w:cs="Times New Roman"/>
        </w:rPr>
        <w:br/>
      </w:r>
    </w:p>
    <w:p w14:paraId="22BBEDCB" w14:textId="4C82D11C" w:rsidR="0044704C" w:rsidRPr="00AA7FE9" w:rsidRDefault="0044704C" w:rsidP="00753DB1">
      <w:pPr>
        <w:spacing w:line="360" w:lineRule="auto"/>
        <w:jc w:val="both"/>
        <w:outlineLvl w:val="0"/>
        <w:rPr>
          <w:rFonts w:ascii="Times" w:hAnsi="Times" w:cs="Times New Roman"/>
        </w:rPr>
      </w:pPr>
      <w:r w:rsidRPr="00AA7FE9">
        <w:rPr>
          <w:rFonts w:ascii="Times" w:hAnsi="Times" w:cs="Times New Roman"/>
        </w:rPr>
        <w:t xml:space="preserve">The </w:t>
      </w:r>
      <w:r>
        <w:rPr>
          <w:rFonts w:ascii="Times" w:hAnsi="Times" w:cs="Times New Roman"/>
        </w:rPr>
        <w:t xml:space="preserve">XRD </w:t>
      </w:r>
      <w:r w:rsidR="004E33AC">
        <w:rPr>
          <w:rFonts w:ascii="Times" w:hAnsi="Times" w:cs="Times New Roman"/>
        </w:rPr>
        <w:t xml:space="preserve">patterns </w:t>
      </w:r>
      <w:r>
        <w:rPr>
          <w:rFonts w:ascii="Times" w:hAnsi="Times" w:cs="Times New Roman"/>
        </w:rPr>
        <w:t>of the 28DCE and 28DCESP</w:t>
      </w:r>
      <w:r w:rsidR="004E33AC">
        <w:rPr>
          <w:rFonts w:ascii="Times" w:hAnsi="Times" w:cs="Times New Roman"/>
        </w:rPr>
        <w:t xml:space="preserve"> containing 10wt% </w:t>
      </w:r>
      <w:proofErr w:type="gramStart"/>
      <w:r w:rsidR="004E33AC">
        <w:rPr>
          <w:rFonts w:ascii="Times" w:hAnsi="Times" w:cs="Times New Roman"/>
        </w:rPr>
        <w:t>Ce(</w:t>
      </w:r>
      <w:proofErr w:type="gramEnd"/>
      <w:r w:rsidR="004E33AC">
        <w:rPr>
          <w:rFonts w:ascii="Times" w:hAnsi="Times" w:cs="Times New Roman"/>
        </w:rPr>
        <w:t>NO</w:t>
      </w:r>
      <w:r w:rsidR="004E33AC">
        <w:rPr>
          <w:rFonts w:ascii="Times" w:hAnsi="Times" w:cs="Times New Roman"/>
          <w:vertAlign w:val="subscript"/>
        </w:rPr>
        <w:t>3</w:t>
      </w:r>
      <w:r w:rsidR="004E33AC">
        <w:rPr>
          <w:rFonts w:ascii="Times" w:hAnsi="Times" w:cs="Times New Roman"/>
        </w:rPr>
        <w:t>)</w:t>
      </w:r>
      <w:r w:rsidR="004E33AC">
        <w:rPr>
          <w:rFonts w:ascii="Times" w:hAnsi="Times" w:cs="Times New Roman"/>
          <w:vertAlign w:val="subscript"/>
        </w:rPr>
        <w:t>3</w:t>
      </w:r>
      <w:r>
        <w:rPr>
          <w:rFonts w:ascii="Times" w:hAnsi="Times" w:cs="Times New Roman"/>
        </w:rPr>
        <w:t xml:space="preserve"> were also compared in F</w:t>
      </w:r>
      <w:r w:rsidRPr="00AA7FE9">
        <w:rPr>
          <w:rFonts w:ascii="Times" w:hAnsi="Times" w:cs="Times New Roman"/>
        </w:rPr>
        <w:t xml:space="preserve">igure </w:t>
      </w:r>
      <w:r>
        <w:rPr>
          <w:rFonts w:ascii="Times" w:hAnsi="Times" w:cs="Times New Roman"/>
        </w:rPr>
        <w:t>4.9</w:t>
      </w:r>
      <w:r w:rsidR="00753DB1">
        <w:rPr>
          <w:rFonts w:ascii="Times" w:hAnsi="Times" w:cs="Times New Roman"/>
        </w:rPr>
        <w:t>8</w:t>
      </w:r>
      <w:r w:rsidRPr="00AA7FE9">
        <w:rPr>
          <w:rFonts w:ascii="Times" w:hAnsi="Times" w:cs="Times New Roman"/>
        </w:rPr>
        <w:t xml:space="preserve">. </w:t>
      </w:r>
      <w:r>
        <w:rPr>
          <w:rFonts w:ascii="Times" w:hAnsi="Times" w:cs="Times New Roman"/>
        </w:rPr>
        <w:t xml:space="preserve">After the 28 days of leaching the </w:t>
      </w:r>
      <w:r w:rsidR="006A152B">
        <w:rPr>
          <w:rFonts w:ascii="Times" w:hAnsi="Times" w:cs="Times New Roman"/>
        </w:rPr>
        <w:t xml:space="preserve">phase </w:t>
      </w:r>
      <w:r w:rsidR="004E33AC">
        <w:rPr>
          <w:rFonts w:ascii="Times" w:hAnsi="Times" w:cs="Times New Roman"/>
        </w:rPr>
        <w:t xml:space="preserve">composition </w:t>
      </w:r>
      <w:r>
        <w:rPr>
          <w:rFonts w:ascii="Times" w:hAnsi="Times" w:cs="Times New Roman"/>
        </w:rPr>
        <w:t xml:space="preserve">for each sample has changed in comparison to the unleached sample. The peaks for ettringite, </w:t>
      </w:r>
      <w:proofErr w:type="gramStart"/>
      <w:r>
        <w:rPr>
          <w:rFonts w:ascii="Times" w:hAnsi="Times" w:cs="Times New Roman"/>
        </w:rPr>
        <w:t>AF</w:t>
      </w:r>
      <w:r w:rsidR="00A33E7B">
        <w:rPr>
          <w:rFonts w:ascii="Times" w:hAnsi="Times" w:cs="Times New Roman"/>
        </w:rPr>
        <w:t xml:space="preserve">m </w:t>
      </w:r>
      <w:r>
        <w:rPr>
          <w:rFonts w:ascii="Times" w:hAnsi="Times" w:cs="Times New Roman"/>
        </w:rPr>
        <w:t xml:space="preserve"> and</w:t>
      </w:r>
      <w:proofErr w:type="gramEnd"/>
      <w:r>
        <w:rPr>
          <w:rFonts w:ascii="Times" w:hAnsi="Times" w:cs="Times New Roman"/>
        </w:rPr>
        <w:t xml:space="preserve"> C-S-H decrease in intensity in the leached samples. Furthermore the peak formation differs between 28DCE and 28DCEA. The peak intensity for AF</w:t>
      </w:r>
      <w:r w:rsidR="00C92BF8">
        <w:rPr>
          <w:rFonts w:ascii="Times" w:hAnsi="Times" w:cs="Times New Roman"/>
        </w:rPr>
        <w:t xml:space="preserve">m </w:t>
      </w:r>
      <w:r w:rsidR="00A33E7B">
        <w:rPr>
          <w:rFonts w:ascii="Times" w:hAnsi="Times" w:cs="Times New Roman"/>
        </w:rPr>
        <w:t xml:space="preserve">at </w:t>
      </w:r>
      <w:proofErr w:type="gramStart"/>
      <w:r w:rsidR="00A33E7B" w:rsidRPr="00A33E7B">
        <w:rPr>
          <w:rFonts w:ascii="Times" w:hAnsi="Times" w:cs="Times New Roman"/>
        </w:rPr>
        <w:t>10</w:t>
      </w:r>
      <w:r w:rsidR="00A33E7B">
        <w:rPr>
          <w:rFonts w:ascii="Times" w:hAnsi="Times" w:cs="Times New Roman"/>
          <w:vertAlign w:val="superscript"/>
        </w:rPr>
        <w:t>o</w:t>
      </w:r>
      <w:r w:rsidR="00A33E7B">
        <w:rPr>
          <w:rFonts w:ascii="Times New Roman" w:hAnsi="Times New Roman"/>
        </w:rPr>
        <w:t>2θ</w:t>
      </w:r>
      <w:r w:rsidR="00A33E7B">
        <w:rPr>
          <w:rFonts w:ascii="Times" w:hAnsi="Times" w:cs="Times New Roman"/>
        </w:rPr>
        <w:t xml:space="preserve"> </w:t>
      </w:r>
      <w:r>
        <w:rPr>
          <w:rFonts w:ascii="Times" w:hAnsi="Times" w:cs="Times New Roman"/>
        </w:rPr>
        <w:t xml:space="preserve"> and</w:t>
      </w:r>
      <w:proofErr w:type="gramEnd"/>
      <w:r>
        <w:rPr>
          <w:rFonts w:ascii="Times" w:hAnsi="Times" w:cs="Times New Roman"/>
        </w:rPr>
        <w:t xml:space="preserve"> the shoulder for C-S-H is much </w:t>
      </w:r>
      <w:r w:rsidR="006A152B">
        <w:rPr>
          <w:rFonts w:ascii="Times" w:hAnsi="Times" w:cs="Times New Roman"/>
        </w:rPr>
        <w:t>smaller in 28DCEA suggesting that</w:t>
      </w:r>
      <w:r>
        <w:rPr>
          <w:rFonts w:ascii="Times" w:hAnsi="Times" w:cs="Times New Roman"/>
        </w:rPr>
        <w:t xml:space="preserve"> possibly there is less of this phase in the sample (this only serves as an indicator as this not a quantitative XRD measurement)</w:t>
      </w:r>
      <w:r w:rsidR="00C77A84">
        <w:rPr>
          <w:rFonts w:ascii="Times" w:hAnsi="Times" w:cs="Times New Roman"/>
        </w:rPr>
        <w:t>, however this is unlikely as the second main peak associated with AFm at 22</w:t>
      </w:r>
      <w:r w:rsidR="00C77A84">
        <w:rPr>
          <w:rFonts w:ascii="Times" w:hAnsi="Times" w:cs="Times New Roman"/>
          <w:vertAlign w:val="superscript"/>
        </w:rPr>
        <w:t>o</w:t>
      </w:r>
      <w:r w:rsidR="00C77A84">
        <w:rPr>
          <w:rFonts w:ascii="Times New Roman" w:hAnsi="Times New Roman"/>
        </w:rPr>
        <w:t>2θ</w:t>
      </w:r>
      <w:r w:rsidR="00C77A84">
        <w:rPr>
          <w:rFonts w:ascii="Times" w:hAnsi="Times" w:cs="Times New Roman"/>
        </w:rPr>
        <w:t xml:space="preserve"> is of the same intensity in both samples.</w:t>
      </w:r>
      <w:r>
        <w:rPr>
          <w:rFonts w:ascii="Times" w:hAnsi="Times" w:cs="Times New Roman"/>
        </w:rPr>
        <w:t xml:space="preserve"> </w:t>
      </w:r>
      <w:r w:rsidR="00C77A84">
        <w:rPr>
          <w:rFonts w:ascii="Times" w:hAnsi="Times" w:cs="Times New Roman"/>
        </w:rPr>
        <w:t>T</w:t>
      </w:r>
      <w:r>
        <w:rPr>
          <w:rFonts w:ascii="Times" w:hAnsi="Times" w:cs="Times New Roman"/>
        </w:rPr>
        <w:t xml:space="preserve">here are also peaks at 36, 43, 46 and </w:t>
      </w:r>
      <w:proofErr w:type="gramStart"/>
      <w:r>
        <w:rPr>
          <w:rFonts w:ascii="Times" w:hAnsi="Times" w:cs="Times New Roman"/>
        </w:rPr>
        <w:t>48</w:t>
      </w:r>
      <w:r w:rsidR="006A152B">
        <w:rPr>
          <w:rFonts w:ascii="Times" w:hAnsi="Times" w:cs="Times New Roman"/>
          <w:vertAlign w:val="superscript"/>
        </w:rPr>
        <w:t>o</w:t>
      </w:r>
      <w:r w:rsidR="006A152B">
        <w:rPr>
          <w:rFonts w:ascii="Times New Roman" w:hAnsi="Times New Roman"/>
        </w:rPr>
        <w:t>2θ</w:t>
      </w:r>
      <w:r>
        <w:rPr>
          <w:rFonts w:ascii="Times" w:hAnsi="Times" w:cs="Times New Roman"/>
        </w:rPr>
        <w:t xml:space="preserve"> which</w:t>
      </w:r>
      <w:proofErr w:type="gramEnd"/>
      <w:r>
        <w:rPr>
          <w:rFonts w:ascii="Times" w:hAnsi="Times" w:cs="Times New Roman"/>
        </w:rPr>
        <w:t xml:space="preserve"> were unidentifiable in the</w:t>
      </w:r>
      <w:r w:rsidR="0009786D">
        <w:rPr>
          <w:rFonts w:ascii="Times" w:hAnsi="Times" w:cs="Times New Roman"/>
        </w:rPr>
        <w:t xml:space="preserve"> 28DCE and</w:t>
      </w:r>
      <w:r>
        <w:rPr>
          <w:rFonts w:ascii="Times" w:hAnsi="Times" w:cs="Times New Roman"/>
        </w:rPr>
        <w:t xml:space="preserve"> 28DCEA</w:t>
      </w:r>
      <w:r w:rsidR="008E1C51">
        <w:rPr>
          <w:rFonts w:ascii="Times" w:hAnsi="Times" w:cs="Times New Roman"/>
        </w:rPr>
        <w:t>, these</w:t>
      </w:r>
      <w:r>
        <w:rPr>
          <w:rFonts w:ascii="Times" w:hAnsi="Times" w:cs="Times New Roman"/>
        </w:rPr>
        <w:t xml:space="preserve"> are not present </w:t>
      </w:r>
      <w:r w:rsidR="0009786D">
        <w:rPr>
          <w:rFonts w:ascii="Times" w:hAnsi="Times" w:cs="Times New Roman"/>
        </w:rPr>
        <w:t>interaction of the sample with the leachate</w:t>
      </w:r>
      <w:r>
        <w:rPr>
          <w:rFonts w:ascii="Times" w:hAnsi="Times" w:cs="Times New Roman"/>
        </w:rPr>
        <w:t xml:space="preserve">. </w:t>
      </w:r>
    </w:p>
    <w:p w14:paraId="1E9E3BBF" w14:textId="11E6B453" w:rsidR="0044704C" w:rsidRDefault="0044704C" w:rsidP="008E1C51">
      <w:pPr>
        <w:spacing w:before="240" w:after="120"/>
        <w:jc w:val="center"/>
        <w:outlineLvl w:val="0"/>
        <w:rPr>
          <w:rFonts w:ascii="Times" w:hAnsi="Times" w:cs="Times New Roman"/>
          <w:b/>
          <w:bCs/>
          <w:smallCaps/>
          <w:sz w:val="32"/>
          <w:szCs w:val="28"/>
        </w:rPr>
      </w:pPr>
      <w:r>
        <w:rPr>
          <w:rFonts w:ascii="Times" w:hAnsi="Times" w:cs="Times New Roman"/>
          <w:b/>
          <w:noProof/>
        </w:rPr>
        <w:lastRenderedPageBreak/>
        <w:drawing>
          <wp:inline distT="0" distB="0" distL="0" distR="0" wp14:anchorId="3FC6AEAD" wp14:editId="35BA8E48">
            <wp:extent cx="4247080" cy="2779249"/>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263666" cy="2790103"/>
                    </a:xfrm>
                    <a:prstGeom prst="rect">
                      <a:avLst/>
                    </a:prstGeom>
                    <a:noFill/>
                  </pic:spPr>
                </pic:pic>
              </a:graphicData>
            </a:graphic>
          </wp:inline>
        </w:drawing>
      </w:r>
      <w:r>
        <w:rPr>
          <w:rFonts w:ascii="Times" w:hAnsi="Times" w:cs="Times New Roman"/>
          <w:b/>
          <w:bCs/>
          <w:smallCaps/>
          <w:sz w:val="32"/>
          <w:szCs w:val="28"/>
        </w:rPr>
        <w:br/>
      </w:r>
      <w:r w:rsidRPr="003C62B3">
        <w:rPr>
          <w:rFonts w:ascii="Times" w:hAnsi="Times" w:cs="Times New Roman"/>
          <w:b/>
        </w:rPr>
        <w:t>Figure 4.9</w:t>
      </w:r>
      <w:r w:rsidR="00753DB1">
        <w:rPr>
          <w:rFonts w:ascii="Times" w:hAnsi="Times" w:cs="Times New Roman"/>
          <w:b/>
        </w:rPr>
        <w:t>8</w:t>
      </w:r>
      <w:r w:rsidRPr="003C62B3">
        <w:rPr>
          <w:rFonts w:ascii="Times" w:hAnsi="Times" w:cs="Times New Roman"/>
          <w:b/>
        </w:rPr>
        <w:t>:</w:t>
      </w:r>
      <w:r>
        <w:rPr>
          <w:rFonts w:ascii="Times" w:hAnsi="Times" w:cs="Times New Roman"/>
        </w:rPr>
        <w:t xml:space="preserve"> XRD trace of 28DCE and 28DCEA (after 28 days of leaching) </w:t>
      </w:r>
    </w:p>
    <w:p w14:paraId="7E05377C" w14:textId="77777777" w:rsidR="0044704C" w:rsidRDefault="0044704C" w:rsidP="0044704C">
      <w:pPr>
        <w:spacing w:before="240" w:after="120" w:line="360" w:lineRule="auto"/>
        <w:outlineLvl w:val="0"/>
        <w:rPr>
          <w:rFonts w:ascii="Times" w:hAnsi="Times" w:cs="Times New Roman"/>
        </w:rPr>
      </w:pPr>
      <w:r>
        <w:rPr>
          <w:rFonts w:ascii="Times" w:hAnsi="Times" w:cs="Times New Roman"/>
          <w:i/>
        </w:rPr>
        <w:t>i</w:t>
      </w:r>
      <w:r w:rsidRPr="00C5612B">
        <w:rPr>
          <w:rFonts w:ascii="Times" w:hAnsi="Times" w:cs="Times New Roman"/>
          <w:i/>
        </w:rPr>
        <w:t>i. Marsh Cone Test</w:t>
      </w:r>
    </w:p>
    <w:p w14:paraId="292E963F" w14:textId="2475FFFB" w:rsidR="0044704C" w:rsidRPr="00AA7FE9" w:rsidRDefault="0044704C" w:rsidP="0044704C">
      <w:pPr>
        <w:spacing w:before="240" w:after="120" w:line="360" w:lineRule="auto"/>
        <w:jc w:val="both"/>
        <w:outlineLvl w:val="0"/>
        <w:rPr>
          <w:rFonts w:ascii="Times" w:hAnsi="Times" w:cs="Times New Roman"/>
        </w:rPr>
      </w:pPr>
      <w:r>
        <w:rPr>
          <w:rFonts w:ascii="Times" w:hAnsi="Times" w:cs="Times New Roman"/>
        </w:rPr>
        <w:t>This test was used to measure the cement pate fluidity before curing. The test was repeated once for each sample and an average time was taken for the beaker to be filled with the cement paste. The fluidity was calculated by dividing the total volume of the beaker (250ml) by the average time taken to fill it. Th</w:t>
      </w:r>
      <w:r w:rsidR="0030379D">
        <w:rPr>
          <w:rFonts w:ascii="Times" w:hAnsi="Times" w:cs="Times New Roman"/>
        </w:rPr>
        <w:t>e results are shown in table 4.5</w:t>
      </w:r>
      <w:r>
        <w:rPr>
          <w:rFonts w:ascii="Times" w:hAnsi="Times" w:cs="Times New Roman"/>
        </w:rPr>
        <w:t>.</w:t>
      </w:r>
    </w:p>
    <w:p w14:paraId="7B46AEA6" w14:textId="519CECF2" w:rsidR="0044704C" w:rsidRPr="00AA7FE9" w:rsidRDefault="0030379D" w:rsidP="00753DB1">
      <w:pPr>
        <w:spacing w:line="360" w:lineRule="auto"/>
        <w:jc w:val="center"/>
        <w:outlineLvl w:val="0"/>
        <w:rPr>
          <w:rFonts w:ascii="Times" w:hAnsi="Times" w:cs="Times New Roman"/>
        </w:rPr>
      </w:pPr>
      <w:r>
        <w:rPr>
          <w:rFonts w:ascii="Times" w:hAnsi="Times" w:cs="Times New Roman"/>
          <w:b/>
        </w:rPr>
        <w:t>Table 4.</w:t>
      </w:r>
      <w:r w:rsidR="0044704C" w:rsidRPr="00D66A90">
        <w:rPr>
          <w:rFonts w:ascii="Times" w:hAnsi="Times" w:cs="Times New Roman"/>
          <w:b/>
        </w:rPr>
        <w:t>5:</w:t>
      </w:r>
      <w:r w:rsidR="0044704C">
        <w:rPr>
          <w:rFonts w:ascii="Times" w:hAnsi="Times" w:cs="Times New Roman"/>
        </w:rPr>
        <w:t xml:space="preserve"> Fluidity (ml/</w:t>
      </w:r>
      <w:r w:rsidR="00971672">
        <w:rPr>
          <w:rFonts w:ascii="Times" w:hAnsi="Times" w:cs="Times New Roman"/>
        </w:rPr>
        <w:t>sec</w:t>
      </w:r>
      <w:r w:rsidR="0044704C">
        <w:rPr>
          <w:rFonts w:ascii="Times" w:hAnsi="Times" w:cs="Times New Roman"/>
        </w:rPr>
        <w:t>) of cement pastes before curing</w:t>
      </w:r>
    </w:p>
    <w:tbl>
      <w:tblPr>
        <w:tblStyle w:val="TableGrid"/>
        <w:tblW w:w="0" w:type="auto"/>
        <w:jc w:val="center"/>
        <w:tblLook w:val="04A0" w:firstRow="1" w:lastRow="0" w:firstColumn="1" w:lastColumn="0" w:noHBand="0" w:noVBand="1"/>
      </w:tblPr>
      <w:tblGrid>
        <w:gridCol w:w="1384"/>
        <w:gridCol w:w="1559"/>
      </w:tblGrid>
      <w:tr w:rsidR="0044704C" w14:paraId="7E0913EB" w14:textId="77777777" w:rsidTr="00E85025">
        <w:trPr>
          <w:trHeight w:val="416"/>
          <w:jc w:val="center"/>
        </w:trPr>
        <w:tc>
          <w:tcPr>
            <w:tcW w:w="1384" w:type="dxa"/>
            <w:vAlign w:val="center"/>
          </w:tcPr>
          <w:p w14:paraId="61A7063F" w14:textId="77777777" w:rsidR="0044704C" w:rsidRDefault="0044704C" w:rsidP="00753DB1">
            <w:pPr>
              <w:jc w:val="center"/>
              <w:outlineLvl w:val="0"/>
              <w:rPr>
                <w:rFonts w:ascii="Times" w:hAnsi="Times" w:cs="Times New Roman"/>
                <w:sz w:val="24"/>
                <w:szCs w:val="24"/>
              </w:rPr>
            </w:pPr>
            <w:r>
              <w:rPr>
                <w:rFonts w:ascii="Times" w:hAnsi="Times" w:cs="Times New Roman"/>
                <w:sz w:val="24"/>
                <w:szCs w:val="24"/>
              </w:rPr>
              <w:t>Sample</w:t>
            </w:r>
          </w:p>
        </w:tc>
        <w:tc>
          <w:tcPr>
            <w:tcW w:w="1559" w:type="dxa"/>
            <w:vAlign w:val="center"/>
          </w:tcPr>
          <w:p w14:paraId="5FA7871C" w14:textId="77777777" w:rsidR="0044704C" w:rsidRDefault="0044704C" w:rsidP="00753DB1">
            <w:pPr>
              <w:jc w:val="center"/>
              <w:outlineLvl w:val="0"/>
              <w:rPr>
                <w:rFonts w:ascii="Times" w:hAnsi="Times" w:cs="Times New Roman"/>
                <w:sz w:val="24"/>
                <w:szCs w:val="24"/>
              </w:rPr>
            </w:pPr>
            <w:r>
              <w:rPr>
                <w:rFonts w:ascii="Times" w:hAnsi="Times" w:cs="Times New Roman"/>
                <w:sz w:val="24"/>
                <w:szCs w:val="24"/>
              </w:rPr>
              <w:t>Fluidity</w:t>
            </w:r>
          </w:p>
          <w:p w14:paraId="38F7306A" w14:textId="0C3AEE96" w:rsidR="0044704C" w:rsidRDefault="0044704C" w:rsidP="00753DB1">
            <w:pPr>
              <w:jc w:val="center"/>
              <w:outlineLvl w:val="0"/>
              <w:rPr>
                <w:rFonts w:ascii="Times" w:hAnsi="Times" w:cs="Times New Roman"/>
                <w:sz w:val="24"/>
                <w:szCs w:val="24"/>
              </w:rPr>
            </w:pPr>
            <w:r>
              <w:rPr>
                <w:rFonts w:ascii="Times" w:hAnsi="Times" w:cs="Times New Roman"/>
                <w:sz w:val="24"/>
                <w:szCs w:val="24"/>
              </w:rPr>
              <w:t>(</w:t>
            </w:r>
            <w:proofErr w:type="gramStart"/>
            <w:r>
              <w:rPr>
                <w:rFonts w:ascii="Times" w:hAnsi="Times" w:cs="Times New Roman"/>
                <w:sz w:val="24"/>
                <w:szCs w:val="24"/>
              </w:rPr>
              <w:t>ml</w:t>
            </w:r>
            <w:proofErr w:type="gramEnd"/>
            <w:r>
              <w:rPr>
                <w:rFonts w:ascii="Times" w:hAnsi="Times" w:cs="Times New Roman"/>
                <w:sz w:val="24"/>
                <w:szCs w:val="24"/>
              </w:rPr>
              <w:t>/</w:t>
            </w:r>
            <w:r w:rsidR="00971672">
              <w:rPr>
                <w:rFonts w:ascii="Times" w:hAnsi="Times" w:cs="Times New Roman"/>
                <w:sz w:val="24"/>
                <w:szCs w:val="24"/>
              </w:rPr>
              <w:t>sec</w:t>
            </w:r>
            <w:r>
              <w:rPr>
                <w:rFonts w:ascii="Times" w:hAnsi="Times" w:cs="Times New Roman"/>
                <w:sz w:val="24"/>
                <w:szCs w:val="24"/>
              </w:rPr>
              <w:t>)</w:t>
            </w:r>
          </w:p>
        </w:tc>
      </w:tr>
      <w:tr w:rsidR="0044704C" w14:paraId="7D2D7F3C" w14:textId="77777777" w:rsidTr="00E85025">
        <w:trPr>
          <w:trHeight w:val="427"/>
          <w:jc w:val="center"/>
        </w:trPr>
        <w:tc>
          <w:tcPr>
            <w:tcW w:w="1384" w:type="dxa"/>
          </w:tcPr>
          <w:p w14:paraId="3D4E0E2A" w14:textId="77777777" w:rsidR="0044704C" w:rsidRDefault="0044704C" w:rsidP="00753DB1">
            <w:pPr>
              <w:jc w:val="center"/>
              <w:outlineLvl w:val="0"/>
              <w:rPr>
                <w:rFonts w:ascii="Times" w:hAnsi="Times" w:cs="Times New Roman"/>
                <w:sz w:val="24"/>
                <w:szCs w:val="24"/>
              </w:rPr>
            </w:pPr>
            <w:r>
              <w:rPr>
                <w:rFonts w:ascii="Times" w:hAnsi="Times" w:cs="Times New Roman"/>
                <w:sz w:val="24"/>
                <w:szCs w:val="24"/>
              </w:rPr>
              <w:t>CE</w:t>
            </w:r>
          </w:p>
        </w:tc>
        <w:tc>
          <w:tcPr>
            <w:tcW w:w="1559" w:type="dxa"/>
          </w:tcPr>
          <w:p w14:paraId="76823B65" w14:textId="77777777" w:rsidR="0044704C" w:rsidRDefault="0044704C" w:rsidP="00753DB1">
            <w:pPr>
              <w:jc w:val="center"/>
              <w:outlineLvl w:val="0"/>
              <w:rPr>
                <w:rFonts w:ascii="Times" w:hAnsi="Times" w:cs="Times New Roman"/>
                <w:sz w:val="24"/>
                <w:szCs w:val="24"/>
              </w:rPr>
            </w:pPr>
            <w:r>
              <w:rPr>
                <w:rFonts w:ascii="Times" w:hAnsi="Times" w:cs="Times New Roman"/>
                <w:sz w:val="24"/>
                <w:szCs w:val="24"/>
              </w:rPr>
              <w:t xml:space="preserve">17.84     </w:t>
            </w:r>
          </w:p>
        </w:tc>
      </w:tr>
      <w:tr w:rsidR="0044704C" w14:paraId="0520AE3D" w14:textId="77777777" w:rsidTr="00E85025">
        <w:trPr>
          <w:jc w:val="center"/>
        </w:trPr>
        <w:tc>
          <w:tcPr>
            <w:tcW w:w="1384" w:type="dxa"/>
          </w:tcPr>
          <w:p w14:paraId="55771037" w14:textId="77777777" w:rsidR="0044704C" w:rsidRDefault="0044704C" w:rsidP="00753DB1">
            <w:pPr>
              <w:jc w:val="center"/>
              <w:outlineLvl w:val="0"/>
              <w:rPr>
                <w:rFonts w:ascii="Times" w:hAnsi="Times" w:cs="Times New Roman"/>
                <w:sz w:val="24"/>
                <w:szCs w:val="24"/>
              </w:rPr>
            </w:pPr>
            <w:r>
              <w:rPr>
                <w:rFonts w:ascii="Times" w:hAnsi="Times" w:cs="Times New Roman"/>
                <w:sz w:val="24"/>
                <w:szCs w:val="24"/>
              </w:rPr>
              <w:t>CEA</w:t>
            </w:r>
          </w:p>
        </w:tc>
        <w:tc>
          <w:tcPr>
            <w:tcW w:w="1559" w:type="dxa"/>
          </w:tcPr>
          <w:p w14:paraId="53B5EBB7" w14:textId="77777777" w:rsidR="0044704C" w:rsidRDefault="0044704C" w:rsidP="00753DB1">
            <w:pPr>
              <w:jc w:val="center"/>
              <w:outlineLvl w:val="0"/>
              <w:rPr>
                <w:rFonts w:ascii="Times" w:hAnsi="Times" w:cs="Times New Roman"/>
                <w:sz w:val="24"/>
                <w:szCs w:val="24"/>
              </w:rPr>
            </w:pPr>
            <w:r>
              <w:rPr>
                <w:rFonts w:ascii="Times" w:hAnsi="Times" w:cs="Times New Roman"/>
                <w:sz w:val="24"/>
                <w:szCs w:val="24"/>
              </w:rPr>
              <w:t>31.25</w:t>
            </w:r>
          </w:p>
        </w:tc>
      </w:tr>
    </w:tbl>
    <w:p w14:paraId="51C91D12" w14:textId="77777777" w:rsidR="0044704C" w:rsidRDefault="0044704C" w:rsidP="00753DB1">
      <w:pPr>
        <w:spacing w:line="440" w:lineRule="atLeast"/>
        <w:jc w:val="both"/>
        <w:outlineLvl w:val="0"/>
        <w:rPr>
          <w:rFonts w:ascii="Times" w:hAnsi="Times" w:cs="Times New Roman"/>
        </w:rPr>
      </w:pPr>
    </w:p>
    <w:p w14:paraId="2B6D1D3F" w14:textId="77777777" w:rsidR="0044704C" w:rsidRDefault="0044704C" w:rsidP="00753DB1">
      <w:pPr>
        <w:spacing w:line="440" w:lineRule="atLeast"/>
        <w:jc w:val="both"/>
        <w:outlineLvl w:val="0"/>
        <w:rPr>
          <w:rFonts w:ascii="Times" w:hAnsi="Times" w:cs="Times New Roman"/>
        </w:rPr>
      </w:pPr>
      <w:r>
        <w:rPr>
          <w:rFonts w:ascii="Times" w:hAnsi="Times" w:cs="Times New Roman"/>
        </w:rPr>
        <w:t xml:space="preserve">The table shows that the fluidity increases significantly; the CEA paste fills the beaker approximately 40% faster than the CE sample. </w:t>
      </w:r>
    </w:p>
    <w:p w14:paraId="1407CE55" w14:textId="77777777" w:rsidR="0044704C" w:rsidRPr="00AA7FE9" w:rsidRDefault="0044704C" w:rsidP="0044704C">
      <w:pPr>
        <w:spacing w:after="120" w:line="440" w:lineRule="atLeast"/>
        <w:jc w:val="both"/>
        <w:outlineLvl w:val="0"/>
        <w:rPr>
          <w:rFonts w:ascii="Times" w:hAnsi="Times" w:cs="Times New Roman"/>
        </w:rPr>
      </w:pPr>
    </w:p>
    <w:p w14:paraId="0A83618F" w14:textId="77777777" w:rsidR="0044704C" w:rsidRPr="005F06F1" w:rsidRDefault="0044704C" w:rsidP="0044704C">
      <w:pPr>
        <w:spacing w:after="120" w:line="440" w:lineRule="atLeast"/>
        <w:jc w:val="both"/>
        <w:outlineLvl w:val="0"/>
        <w:rPr>
          <w:rFonts w:ascii="Times" w:hAnsi="Times" w:cs="Times New Roman"/>
          <w:i/>
        </w:rPr>
      </w:pPr>
      <w:r w:rsidRPr="005F06F1">
        <w:rPr>
          <w:rFonts w:ascii="Times" w:hAnsi="Times" w:cs="Times New Roman"/>
          <w:i/>
        </w:rPr>
        <w:t xml:space="preserve">iii. ICP-MS </w:t>
      </w:r>
    </w:p>
    <w:p w14:paraId="6D4253C8" w14:textId="4AC8D7A5" w:rsidR="0044704C" w:rsidRDefault="0044704C" w:rsidP="0044704C">
      <w:pPr>
        <w:spacing w:after="120" w:line="440" w:lineRule="atLeast"/>
        <w:jc w:val="both"/>
        <w:outlineLvl w:val="0"/>
        <w:rPr>
          <w:rFonts w:ascii="Times" w:hAnsi="Times" w:cs="Times New Roman"/>
        </w:rPr>
      </w:pPr>
      <w:r>
        <w:rPr>
          <w:rFonts w:ascii="Times" w:hAnsi="Times"/>
        </w:rPr>
        <w:t xml:space="preserve">The leached amounts of the Ce in solution after 28 days were calculated for both CE and CEA from the gathered ICP-MS data and using Eq. 4.4 in chapter 4.2. </w:t>
      </w:r>
      <w:r w:rsidR="00753DB1">
        <w:rPr>
          <w:rFonts w:ascii="Times" w:hAnsi="Times"/>
        </w:rPr>
        <w:t>The data is shown in Figure 4.99</w:t>
      </w:r>
      <w:r>
        <w:rPr>
          <w:rFonts w:ascii="Times" w:hAnsi="Times"/>
        </w:rPr>
        <w:t xml:space="preserve"> comparing the normalised leache</w:t>
      </w:r>
      <w:r w:rsidR="00974279">
        <w:rPr>
          <w:rFonts w:ascii="Times" w:hAnsi="Times"/>
        </w:rPr>
        <w:t xml:space="preserve">d amounts of Ce alongside other </w:t>
      </w:r>
      <w:r>
        <w:rPr>
          <w:rFonts w:ascii="Times" w:hAnsi="Times"/>
        </w:rPr>
        <w:t>elements.</w:t>
      </w:r>
    </w:p>
    <w:p w14:paraId="6B03943C" w14:textId="4BDFAED5" w:rsidR="00753DB1" w:rsidRDefault="00753DB1" w:rsidP="00753DB1">
      <w:pPr>
        <w:spacing w:after="120" w:line="440" w:lineRule="atLeast"/>
        <w:jc w:val="both"/>
        <w:outlineLvl w:val="0"/>
        <w:rPr>
          <w:rFonts w:ascii="Times" w:hAnsi="Times" w:cs="Times New Roman"/>
        </w:rPr>
      </w:pPr>
      <w:r>
        <w:rPr>
          <w:rFonts w:ascii="Times" w:hAnsi="Times" w:cs="Times New Roman"/>
        </w:rPr>
        <w:lastRenderedPageBreak/>
        <w:t xml:space="preserve">The introduction of A551 seems to have impacted the leaching of Al and Ce the most. </w:t>
      </w:r>
      <w:proofErr w:type="gramStart"/>
      <w:r>
        <w:rPr>
          <w:rFonts w:ascii="Times" w:hAnsi="Times" w:cs="Times New Roman"/>
        </w:rPr>
        <w:t xml:space="preserve">(Although generally </w:t>
      </w:r>
      <w:r w:rsidR="00971672">
        <w:rPr>
          <w:rFonts w:ascii="Times" w:hAnsi="Times" w:cs="Times New Roman"/>
        </w:rPr>
        <w:t>a small amount of Al leaching occurs</w:t>
      </w:r>
      <w:r>
        <w:rPr>
          <w:rFonts w:ascii="Times" w:hAnsi="Times" w:cs="Times New Roman"/>
        </w:rPr>
        <w:t>).</w:t>
      </w:r>
      <w:proofErr w:type="gramEnd"/>
      <w:r>
        <w:rPr>
          <w:rFonts w:ascii="Times" w:hAnsi="Times" w:cs="Times New Roman"/>
        </w:rPr>
        <w:t xml:space="preserve"> There is slight increase in the leached amounts of Ca and Na when comparing the two solutions (the amounts increase by an around 4-10%). However the significant impact seems to be in the Ce leached amounts, wherein introducing the A551 has caused approximately a 45% in leached amounts of the Ce. </w:t>
      </w:r>
    </w:p>
    <w:p w14:paraId="46BD59FC" w14:textId="77777777" w:rsidR="00974279" w:rsidRPr="00AA7FE9" w:rsidRDefault="00974279" w:rsidP="0044704C">
      <w:pPr>
        <w:spacing w:after="120" w:line="440" w:lineRule="atLeast"/>
        <w:jc w:val="both"/>
        <w:outlineLvl w:val="0"/>
        <w:rPr>
          <w:rFonts w:ascii="Times" w:hAnsi="Times" w:cs="Times New Roman"/>
        </w:rPr>
      </w:pPr>
    </w:p>
    <w:p w14:paraId="24951FA3" w14:textId="77777777" w:rsidR="0044704C" w:rsidRDefault="0044704C" w:rsidP="0044704C">
      <w:pPr>
        <w:spacing w:after="120"/>
        <w:ind w:left="-142"/>
        <w:jc w:val="center"/>
        <w:rPr>
          <w:rFonts w:ascii="Times" w:hAnsi="Times" w:cs="Times New Roman"/>
        </w:rPr>
      </w:pPr>
      <w:r>
        <w:rPr>
          <w:rFonts w:ascii="Times" w:hAnsi="Times" w:cs="Times New Roman"/>
          <w:noProof/>
        </w:rPr>
        <w:drawing>
          <wp:inline distT="0" distB="0" distL="0" distR="0" wp14:anchorId="4F26A5D0" wp14:editId="18B3FEF2">
            <wp:extent cx="5944948" cy="3551469"/>
            <wp:effectExtent l="0" t="0" r="0" b="5080"/>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5121" cy="3551572"/>
                    </a:xfrm>
                    <a:prstGeom prst="rect">
                      <a:avLst/>
                    </a:prstGeom>
                    <a:noFill/>
                    <a:ln>
                      <a:noFill/>
                    </a:ln>
                  </pic:spPr>
                </pic:pic>
              </a:graphicData>
            </a:graphic>
          </wp:inline>
        </w:drawing>
      </w:r>
    </w:p>
    <w:p w14:paraId="07EB6CFC" w14:textId="735C9CD5" w:rsidR="0044704C" w:rsidRPr="00C503A1" w:rsidRDefault="0044704C" w:rsidP="0044704C">
      <w:pPr>
        <w:spacing w:before="240" w:after="120"/>
        <w:jc w:val="center"/>
        <w:outlineLvl w:val="0"/>
        <w:rPr>
          <w:rFonts w:ascii="Times" w:hAnsi="Times" w:cs="Times New Roman"/>
          <w:b/>
          <w:bCs/>
          <w:smallCaps/>
          <w:sz w:val="32"/>
          <w:szCs w:val="28"/>
        </w:rPr>
      </w:pPr>
      <w:r w:rsidRPr="003C62B3">
        <w:rPr>
          <w:rFonts w:ascii="Times" w:hAnsi="Times" w:cs="Times New Roman"/>
          <w:b/>
        </w:rPr>
        <w:t>Figure 4.9</w:t>
      </w:r>
      <w:r w:rsidR="00753DB1">
        <w:rPr>
          <w:rFonts w:ascii="Times" w:hAnsi="Times" w:cs="Times New Roman"/>
          <w:b/>
        </w:rPr>
        <w:t>9</w:t>
      </w:r>
      <w:r w:rsidRPr="003C62B3">
        <w:rPr>
          <w:rFonts w:ascii="Times" w:hAnsi="Times" w:cs="Times New Roman"/>
          <w:b/>
        </w:rPr>
        <w:t>:</w:t>
      </w:r>
      <w:r>
        <w:rPr>
          <w:rFonts w:ascii="Times" w:hAnsi="Times" w:cs="Times New Roman"/>
        </w:rPr>
        <w:t xml:space="preserve"> Normalised mass of elements in solution of 28DCE and 28DCEA sample </w:t>
      </w:r>
    </w:p>
    <w:p w14:paraId="1669CA4B" w14:textId="77777777" w:rsidR="0044704C" w:rsidRPr="00880B83" w:rsidRDefault="0044704C" w:rsidP="0044704C">
      <w:pPr>
        <w:spacing w:after="120" w:line="440" w:lineRule="atLeast"/>
        <w:jc w:val="both"/>
        <w:outlineLvl w:val="0"/>
        <w:rPr>
          <w:rFonts w:ascii="Times" w:hAnsi="Times" w:cs="Times New Roman"/>
        </w:rPr>
      </w:pPr>
    </w:p>
    <w:p w14:paraId="73824F46" w14:textId="77777777" w:rsidR="0044704C" w:rsidRPr="00985624" w:rsidRDefault="0044704C" w:rsidP="0044704C">
      <w:pPr>
        <w:spacing w:before="240" w:after="120" w:line="360" w:lineRule="auto"/>
        <w:outlineLvl w:val="0"/>
        <w:rPr>
          <w:rFonts w:ascii="Times" w:hAnsi="Times" w:cs="Times New Roman"/>
          <w:b/>
          <w:bCs/>
          <w:smallCaps/>
          <w:sz w:val="30"/>
          <w:szCs w:val="28"/>
        </w:rPr>
      </w:pPr>
      <w:r w:rsidRPr="00985624">
        <w:rPr>
          <w:rFonts w:ascii="Times" w:hAnsi="Times" w:cs="Times New Roman"/>
          <w:b/>
          <w:bCs/>
          <w:smallCaps/>
          <w:sz w:val="30"/>
          <w:szCs w:val="28"/>
        </w:rPr>
        <w:t>4.4.1.2</w:t>
      </w:r>
      <w:r w:rsidRPr="00985624">
        <w:rPr>
          <w:rFonts w:ascii="Times" w:hAnsi="Times" w:cs="Times New Roman"/>
          <w:b/>
          <w:bCs/>
          <w:smallCaps/>
          <w:sz w:val="30"/>
          <w:szCs w:val="28"/>
        </w:rPr>
        <w:tab/>
        <w:t>Discussion</w:t>
      </w:r>
    </w:p>
    <w:p w14:paraId="69281AD3" w14:textId="444CC708" w:rsidR="0044704C" w:rsidRDefault="00974279" w:rsidP="0044704C">
      <w:pPr>
        <w:spacing w:before="240" w:after="120" w:line="360" w:lineRule="auto"/>
        <w:jc w:val="both"/>
        <w:outlineLvl w:val="0"/>
        <w:rPr>
          <w:rFonts w:ascii="Times" w:hAnsi="Times"/>
        </w:rPr>
      </w:pPr>
      <w:r>
        <w:rPr>
          <w:rFonts w:ascii="Times" w:hAnsi="Times"/>
        </w:rPr>
        <w:t>The impact of adding A551 to</w:t>
      </w:r>
      <w:r w:rsidR="0044704C">
        <w:rPr>
          <w:rFonts w:ascii="Times" w:hAnsi="Times"/>
        </w:rPr>
        <w:t xml:space="preserve"> the cement</w:t>
      </w:r>
      <w:r w:rsidR="008E1C51">
        <w:rPr>
          <w:rFonts w:ascii="Times" w:hAnsi="Times"/>
        </w:rPr>
        <w:t xml:space="preserve"> phase</w:t>
      </w:r>
      <w:r w:rsidR="0044704C">
        <w:rPr>
          <w:rFonts w:ascii="Times" w:hAnsi="Times"/>
        </w:rPr>
        <w:t xml:space="preserve"> crystal assemblage was investigated using XRD and it was shown that the </w:t>
      </w:r>
      <w:r w:rsidR="008E1C51">
        <w:rPr>
          <w:rFonts w:ascii="Times" w:hAnsi="Times"/>
        </w:rPr>
        <w:t xml:space="preserve">phase </w:t>
      </w:r>
      <w:r w:rsidR="00971672">
        <w:rPr>
          <w:rFonts w:ascii="Times" w:hAnsi="Times"/>
        </w:rPr>
        <w:t>compositions of the cement are</w:t>
      </w:r>
      <w:r w:rsidR="0044704C">
        <w:rPr>
          <w:rFonts w:ascii="Times" w:hAnsi="Times"/>
        </w:rPr>
        <w:t xml:space="preserve"> unaffected. This is in correspondence with the f</w:t>
      </w:r>
      <w:r w:rsidR="000B1FAB">
        <w:rPr>
          <w:rFonts w:ascii="Times" w:hAnsi="Times"/>
        </w:rPr>
        <w:t>indings o</w:t>
      </w:r>
      <w:r>
        <w:rPr>
          <w:rFonts w:ascii="Times" w:hAnsi="Times"/>
        </w:rPr>
        <w:t>f Puertas et al [85] and Lothen</w:t>
      </w:r>
      <w:r w:rsidR="000B1FAB">
        <w:rPr>
          <w:rFonts w:ascii="Times" w:hAnsi="Times"/>
        </w:rPr>
        <w:t>bach et al [86</w:t>
      </w:r>
      <w:r w:rsidR="0044704C">
        <w:rPr>
          <w:rFonts w:ascii="Times" w:hAnsi="Times"/>
        </w:rPr>
        <w:t>], who found that the addition of a superplasticiser did not give rise to any significant mineralogical modification of hydrates</w:t>
      </w:r>
      <w:r w:rsidR="00A86427">
        <w:rPr>
          <w:rFonts w:ascii="Times" w:hAnsi="Times"/>
        </w:rPr>
        <w:t xml:space="preserve">, although the hydration of the silicates was slightly retarded in the superplasticised samples. They also found </w:t>
      </w:r>
      <w:r w:rsidR="00A86427">
        <w:rPr>
          <w:rFonts w:ascii="Times" w:hAnsi="Times"/>
        </w:rPr>
        <w:lastRenderedPageBreak/>
        <w:t xml:space="preserve">that the introduction of superplasticisers </w:t>
      </w:r>
      <w:r w:rsidR="009F6603">
        <w:rPr>
          <w:rFonts w:ascii="Times" w:hAnsi="Times"/>
        </w:rPr>
        <w:t>reduced</w:t>
      </w:r>
      <w:r w:rsidR="00A86427">
        <w:rPr>
          <w:rFonts w:ascii="Times" w:hAnsi="Times"/>
        </w:rPr>
        <w:t xml:space="preserve"> sample porosity</w:t>
      </w:r>
      <w:r w:rsidR="0044704C">
        <w:rPr>
          <w:rFonts w:ascii="Times" w:hAnsi="Times"/>
        </w:rPr>
        <w:t xml:space="preserve">. The sample characterisation was unable to indicate any cerium containing </w:t>
      </w:r>
      <w:r w:rsidR="00404354">
        <w:rPr>
          <w:rFonts w:ascii="Times" w:hAnsi="Times"/>
        </w:rPr>
        <w:t>compounds</w:t>
      </w:r>
      <w:r w:rsidR="0044704C">
        <w:rPr>
          <w:rFonts w:ascii="Times" w:hAnsi="Times"/>
        </w:rPr>
        <w:t xml:space="preserve">, and showed no peaks for </w:t>
      </w:r>
      <w:proofErr w:type="gramStart"/>
      <w:r w:rsidR="0044704C">
        <w:rPr>
          <w:rFonts w:ascii="Times" w:hAnsi="Times" w:cs="Times New Roman"/>
        </w:rPr>
        <w:t>Ce(</w:t>
      </w:r>
      <w:proofErr w:type="gramEnd"/>
      <w:r w:rsidR="0044704C">
        <w:rPr>
          <w:rFonts w:ascii="Times" w:hAnsi="Times" w:cs="Times New Roman"/>
        </w:rPr>
        <w:t>NO</w:t>
      </w:r>
      <w:r w:rsidR="0044704C">
        <w:rPr>
          <w:rFonts w:ascii="Times" w:hAnsi="Times" w:cs="Times New Roman"/>
          <w:vertAlign w:val="subscript"/>
        </w:rPr>
        <w:t>3</w:t>
      </w:r>
      <w:r w:rsidR="0044704C">
        <w:rPr>
          <w:rFonts w:ascii="Times" w:hAnsi="Times" w:cs="Times New Roman"/>
        </w:rPr>
        <w:t>)</w:t>
      </w:r>
      <w:r w:rsidR="0044704C">
        <w:rPr>
          <w:rFonts w:ascii="Times" w:hAnsi="Times" w:cs="Times New Roman"/>
          <w:vertAlign w:val="subscript"/>
        </w:rPr>
        <w:t>3</w:t>
      </w:r>
      <w:r w:rsidR="0044704C">
        <w:rPr>
          <w:rFonts w:ascii="Times" w:hAnsi="Times"/>
          <w:sz w:val="20"/>
          <w:szCs w:val="20"/>
        </w:rPr>
        <w:t xml:space="preserve"> </w:t>
      </w:r>
      <w:r w:rsidR="0044704C">
        <w:rPr>
          <w:rFonts w:ascii="Times" w:hAnsi="Times"/>
        </w:rPr>
        <w:t xml:space="preserve">therefore further research is required to establish where the Ce is within the sample, however this could be because it is </w:t>
      </w:r>
      <w:r w:rsidR="00D90942">
        <w:rPr>
          <w:rFonts w:ascii="Times" w:hAnsi="Times"/>
        </w:rPr>
        <w:t>absorbed weakly on</w:t>
      </w:r>
      <w:r w:rsidR="0044704C">
        <w:rPr>
          <w:rFonts w:ascii="Times" w:hAnsi="Times"/>
        </w:rPr>
        <w:t xml:space="preserve"> the </w:t>
      </w:r>
      <w:r w:rsidR="00D90942">
        <w:rPr>
          <w:rFonts w:ascii="Times" w:hAnsi="Times"/>
        </w:rPr>
        <w:t xml:space="preserve">negatively charged surface of the </w:t>
      </w:r>
      <w:r w:rsidR="0044704C">
        <w:rPr>
          <w:rFonts w:ascii="Times" w:hAnsi="Times"/>
        </w:rPr>
        <w:t>C-S-H</w:t>
      </w:r>
      <w:r w:rsidR="00D90942">
        <w:rPr>
          <w:rFonts w:ascii="Times" w:hAnsi="Times"/>
        </w:rPr>
        <w:t xml:space="preserve"> gel</w:t>
      </w:r>
      <w:r w:rsidR="0044704C">
        <w:rPr>
          <w:rFonts w:ascii="Times" w:hAnsi="Times"/>
        </w:rPr>
        <w:t xml:space="preserve"> as shown </w:t>
      </w:r>
      <w:r w:rsidR="000B1FAB">
        <w:rPr>
          <w:rFonts w:ascii="Times" w:hAnsi="Times"/>
        </w:rPr>
        <w:t>by Dickinson and Glasser [87</w:t>
      </w:r>
      <w:r w:rsidR="0044704C">
        <w:rPr>
          <w:rFonts w:ascii="Times" w:hAnsi="Times"/>
        </w:rPr>
        <w:t>]. After 28 days of leaching the blank sample shows a stronger peak for AFm than the CEA sample</w:t>
      </w:r>
      <w:r w:rsidR="00CC290E">
        <w:rPr>
          <w:rFonts w:ascii="Times" w:hAnsi="Times"/>
        </w:rPr>
        <w:t xml:space="preserve"> for the main AFm reflection</w:t>
      </w:r>
      <w:r w:rsidR="0044704C">
        <w:rPr>
          <w:rFonts w:ascii="Times" w:hAnsi="Times"/>
        </w:rPr>
        <w:t>, this could suggest that this phase is leached out more readily in the CEA sample due to the introduction of A551. The results in figure 4.9</w:t>
      </w:r>
      <w:r w:rsidR="00CC290E">
        <w:rPr>
          <w:rFonts w:ascii="Times" w:hAnsi="Times"/>
        </w:rPr>
        <w:t>9</w:t>
      </w:r>
      <w:r w:rsidR="0044704C">
        <w:rPr>
          <w:rFonts w:ascii="Times" w:hAnsi="Times"/>
        </w:rPr>
        <w:t xml:space="preserve"> show that the introduction of A551 increases the leaching of Al significantly and Ca and therefore this could explain the smal</w:t>
      </w:r>
      <w:r w:rsidR="000244B3">
        <w:rPr>
          <w:rFonts w:ascii="Times" w:hAnsi="Times"/>
        </w:rPr>
        <w:t>ler XRD peaks for this phase</w:t>
      </w:r>
      <w:r w:rsidR="00CC290E">
        <w:rPr>
          <w:rFonts w:ascii="Times" w:hAnsi="Times"/>
        </w:rPr>
        <w:t>. However this is unlikely as the other AFm peaks in the XRD are of similar intensities</w:t>
      </w:r>
      <w:r w:rsidR="000244B3">
        <w:rPr>
          <w:rFonts w:ascii="Times" w:hAnsi="Times"/>
        </w:rPr>
        <w:t xml:space="preserve">. </w:t>
      </w:r>
      <w:r w:rsidR="0044704C">
        <w:rPr>
          <w:rFonts w:ascii="Times" w:hAnsi="Times"/>
        </w:rPr>
        <w:t xml:space="preserve">The introduction of the A551 causes a significant increase in the Ce </w:t>
      </w:r>
      <w:proofErr w:type="gramStart"/>
      <w:r w:rsidR="0044704C">
        <w:rPr>
          <w:rFonts w:ascii="Times" w:hAnsi="Times"/>
        </w:rPr>
        <w:t>leaching,</w:t>
      </w:r>
      <w:proofErr w:type="gramEnd"/>
      <w:r w:rsidR="0044704C">
        <w:rPr>
          <w:rFonts w:ascii="Times" w:hAnsi="Times"/>
        </w:rPr>
        <w:t xml:space="preserve"> this corresponds with finding</w:t>
      </w:r>
      <w:r w:rsidR="003440B7">
        <w:rPr>
          <w:rFonts w:ascii="Times" w:hAnsi="Times"/>
        </w:rPr>
        <w:t>s by Clacher and Cowper [88]</w:t>
      </w:r>
      <w:r w:rsidR="0044704C">
        <w:rPr>
          <w:rFonts w:ascii="Times" w:hAnsi="Times"/>
        </w:rPr>
        <w:t xml:space="preserve">.  They found that the variety of organic functional groups originally found in the superplasticiser formed mixed complexes with the radionuclides in solution and enhanced their solubility. </w:t>
      </w:r>
    </w:p>
    <w:p w14:paraId="429A0E28" w14:textId="507C61DC" w:rsidR="0044704C" w:rsidRDefault="0044704C" w:rsidP="0044704C">
      <w:pPr>
        <w:spacing w:before="240" w:after="120" w:line="360" w:lineRule="auto"/>
        <w:jc w:val="both"/>
        <w:outlineLvl w:val="0"/>
        <w:rPr>
          <w:rFonts w:ascii="Times" w:hAnsi="Times"/>
        </w:rPr>
      </w:pPr>
      <w:r>
        <w:rPr>
          <w:rFonts w:ascii="Times" w:hAnsi="Times"/>
        </w:rPr>
        <w:t xml:space="preserve">The fluidity of the cement paste increases significantly with the introduction of the </w:t>
      </w:r>
      <w:proofErr w:type="gramStart"/>
      <w:r>
        <w:rPr>
          <w:rFonts w:ascii="Times" w:hAnsi="Times"/>
        </w:rPr>
        <w:t>A551,</w:t>
      </w:r>
      <w:proofErr w:type="gramEnd"/>
      <w:r>
        <w:rPr>
          <w:rFonts w:ascii="Times" w:hAnsi="Times"/>
        </w:rPr>
        <w:t xml:space="preserve"> this corresponds with findings in literature such as that by Agullo et al [</w:t>
      </w:r>
      <w:r w:rsidR="003440B7">
        <w:rPr>
          <w:rFonts w:ascii="Times" w:hAnsi="Times"/>
        </w:rPr>
        <w:t>89</w:t>
      </w:r>
      <w:r>
        <w:rPr>
          <w:rFonts w:ascii="Times" w:hAnsi="Times"/>
        </w:rPr>
        <w:t xml:space="preserve">]. They found that various superplasticisers enhanced the fluidity of the cement </w:t>
      </w:r>
      <w:proofErr w:type="gramStart"/>
      <w:r>
        <w:rPr>
          <w:rFonts w:ascii="Times" w:hAnsi="Times"/>
        </w:rPr>
        <w:t>paste,</w:t>
      </w:r>
      <w:proofErr w:type="gramEnd"/>
      <w:r>
        <w:rPr>
          <w:rFonts w:ascii="Times" w:hAnsi="Times"/>
        </w:rPr>
        <w:t xml:space="preserve"> they also fou</w:t>
      </w:r>
      <w:r w:rsidR="00404354">
        <w:rPr>
          <w:rFonts w:ascii="Times" w:hAnsi="Times"/>
        </w:rPr>
        <w:t>nd that up to a certain leve</w:t>
      </w:r>
      <w:r w:rsidR="00A253F4">
        <w:rPr>
          <w:rFonts w:ascii="Times" w:hAnsi="Times"/>
        </w:rPr>
        <w:t>l</w:t>
      </w:r>
      <w:r>
        <w:rPr>
          <w:rFonts w:ascii="Times" w:hAnsi="Times"/>
        </w:rPr>
        <w:t xml:space="preserve"> the fluidity and the amount of superplasticiser added were positively correlated. However after this point </w:t>
      </w:r>
      <w:r w:rsidR="00B7633D">
        <w:rPr>
          <w:rFonts w:ascii="Times" w:hAnsi="Times"/>
        </w:rPr>
        <w:t xml:space="preserve">they </w:t>
      </w:r>
      <w:r>
        <w:rPr>
          <w:rFonts w:ascii="Times" w:hAnsi="Times"/>
        </w:rPr>
        <w:t>was found that the superplasticiser began to decrease fluidity</w:t>
      </w:r>
      <w:r w:rsidR="00B7633D">
        <w:rPr>
          <w:rFonts w:ascii="Times" w:hAnsi="Times"/>
        </w:rPr>
        <w:t>, as can be seen in the results this point was not reached during the marsh cone test</w:t>
      </w:r>
      <w:r>
        <w:rPr>
          <w:rFonts w:ascii="Times" w:hAnsi="Times"/>
        </w:rPr>
        <w:t xml:space="preserve">. </w:t>
      </w:r>
    </w:p>
    <w:p w14:paraId="0BD6FB1F" w14:textId="2F6421AD" w:rsidR="0044704C" w:rsidRPr="0082619A" w:rsidRDefault="0044704C" w:rsidP="0082619A">
      <w:pPr>
        <w:spacing w:before="240" w:after="120" w:line="360" w:lineRule="auto"/>
        <w:jc w:val="both"/>
        <w:outlineLvl w:val="0"/>
        <w:rPr>
          <w:rFonts w:ascii="Times" w:hAnsi="Times"/>
        </w:rPr>
      </w:pPr>
      <w:r>
        <w:rPr>
          <w:rFonts w:ascii="Times" w:hAnsi="Times"/>
        </w:rPr>
        <w:t>In conclusion introduction of A551</w:t>
      </w:r>
      <w:r w:rsidR="000245EF">
        <w:rPr>
          <w:rFonts w:ascii="Times" w:hAnsi="Times"/>
        </w:rPr>
        <w:t>, at the level introduced in this investigation,</w:t>
      </w:r>
      <w:r>
        <w:rPr>
          <w:rFonts w:ascii="Times" w:hAnsi="Times"/>
        </w:rPr>
        <w:t xml:space="preserve"> enhances fluidity, however it caused an increase in leaching of Ce</w:t>
      </w:r>
      <w:r w:rsidR="00FC3E9D">
        <w:rPr>
          <w:rFonts w:ascii="Times" w:hAnsi="Times"/>
        </w:rPr>
        <w:t xml:space="preserve"> by complexing the Ce and thus increasing its </w:t>
      </w:r>
      <w:r w:rsidR="009B606B">
        <w:rPr>
          <w:rFonts w:ascii="Times" w:hAnsi="Times"/>
        </w:rPr>
        <w:t>mobility</w:t>
      </w:r>
      <w:r>
        <w:rPr>
          <w:rFonts w:ascii="Times" w:hAnsi="Times"/>
        </w:rPr>
        <w:t xml:space="preserve">.  In storage conditions this leached Ce would then interact with NRVB and therefore the behaviour of this A551 </w:t>
      </w:r>
      <w:proofErr w:type="gramStart"/>
      <w:r>
        <w:rPr>
          <w:rFonts w:ascii="Times" w:hAnsi="Times"/>
        </w:rPr>
        <w:t>solution containing</w:t>
      </w:r>
      <w:proofErr w:type="gramEnd"/>
      <w:r>
        <w:rPr>
          <w:rFonts w:ascii="Times" w:hAnsi="Times"/>
        </w:rPr>
        <w:t xml:space="preserve"> Ce is investigated in the next section when in contact with NRVB. </w:t>
      </w:r>
    </w:p>
    <w:p w14:paraId="516C9812" w14:textId="77777777" w:rsidR="0044704C" w:rsidRDefault="0044704C" w:rsidP="0044704C">
      <w:pPr>
        <w:spacing w:after="120" w:line="440" w:lineRule="atLeast"/>
        <w:outlineLvl w:val="0"/>
        <w:rPr>
          <w:rFonts w:ascii="Times" w:hAnsi="Times" w:cs="Times New Roman"/>
          <w:b/>
          <w:bCs/>
          <w:smallCaps/>
          <w:sz w:val="32"/>
          <w:szCs w:val="28"/>
          <w:u w:val="single"/>
        </w:rPr>
      </w:pPr>
    </w:p>
    <w:p w14:paraId="5A144483" w14:textId="77777777" w:rsidR="00CB5237" w:rsidRDefault="00CB5237" w:rsidP="0044704C">
      <w:pPr>
        <w:spacing w:after="120" w:line="440" w:lineRule="atLeast"/>
        <w:ind w:left="1440" w:hanging="1440"/>
        <w:outlineLvl w:val="0"/>
        <w:rPr>
          <w:rFonts w:ascii="Times" w:hAnsi="Times" w:cs="Times New Roman"/>
          <w:b/>
          <w:bCs/>
          <w:smallCaps/>
          <w:sz w:val="36"/>
          <w:szCs w:val="28"/>
        </w:rPr>
      </w:pPr>
    </w:p>
    <w:p w14:paraId="3E927B60" w14:textId="63DD4082" w:rsidR="0044704C" w:rsidRPr="0082619A" w:rsidRDefault="0044704C" w:rsidP="0044704C">
      <w:pPr>
        <w:spacing w:after="120" w:line="440" w:lineRule="atLeast"/>
        <w:ind w:left="1440" w:hanging="1440"/>
        <w:outlineLvl w:val="0"/>
        <w:rPr>
          <w:rFonts w:ascii="Times" w:hAnsi="Times" w:cs="Times New Roman"/>
          <w:b/>
          <w:bCs/>
          <w:smallCaps/>
          <w:sz w:val="36"/>
          <w:szCs w:val="28"/>
        </w:rPr>
      </w:pPr>
      <w:r w:rsidRPr="0082619A">
        <w:rPr>
          <w:rFonts w:ascii="Times" w:hAnsi="Times" w:cs="Times New Roman"/>
          <w:b/>
          <w:bCs/>
          <w:smallCaps/>
          <w:sz w:val="36"/>
          <w:szCs w:val="28"/>
        </w:rPr>
        <w:lastRenderedPageBreak/>
        <w:t>4.4.2</w:t>
      </w:r>
      <w:r w:rsidRPr="0082619A">
        <w:rPr>
          <w:rFonts w:ascii="Times" w:hAnsi="Times" w:cs="Times New Roman"/>
          <w:b/>
          <w:bCs/>
          <w:smallCaps/>
          <w:sz w:val="36"/>
          <w:szCs w:val="28"/>
        </w:rPr>
        <w:tab/>
        <w:t xml:space="preserve">NRVB </w:t>
      </w:r>
      <w:r w:rsidR="00DC6217">
        <w:rPr>
          <w:rFonts w:ascii="Times" w:hAnsi="Times" w:cs="Times New Roman"/>
          <w:b/>
          <w:bCs/>
          <w:smallCaps/>
          <w:sz w:val="36"/>
          <w:szCs w:val="28"/>
        </w:rPr>
        <w:t xml:space="preserve">Flowthrough </w:t>
      </w:r>
      <w:r w:rsidRPr="0082619A">
        <w:rPr>
          <w:rFonts w:ascii="Times" w:hAnsi="Times" w:cs="Times New Roman"/>
          <w:b/>
          <w:bCs/>
          <w:smallCaps/>
          <w:sz w:val="36"/>
          <w:szCs w:val="28"/>
        </w:rPr>
        <w:t>Test Using Ce solution</w:t>
      </w:r>
    </w:p>
    <w:p w14:paraId="1493E426" w14:textId="10D375B5" w:rsidR="0044704C" w:rsidRDefault="0044704C" w:rsidP="0044704C">
      <w:pPr>
        <w:spacing w:after="120" w:line="440" w:lineRule="atLeast"/>
        <w:jc w:val="both"/>
        <w:outlineLvl w:val="0"/>
        <w:rPr>
          <w:rFonts w:ascii="Times" w:hAnsi="Times"/>
        </w:rPr>
      </w:pPr>
      <w:r>
        <w:rPr>
          <w:rFonts w:ascii="Times" w:hAnsi="Times" w:cs="Times New Roman"/>
        </w:rPr>
        <w:t>The introduction of superplastici</w:t>
      </w:r>
      <w:r w:rsidR="00A253F4">
        <w:rPr>
          <w:rFonts w:ascii="Times" w:hAnsi="Times" w:cs="Times New Roman"/>
        </w:rPr>
        <w:t>s</w:t>
      </w:r>
      <w:r>
        <w:rPr>
          <w:rFonts w:ascii="Times" w:hAnsi="Times" w:cs="Times New Roman"/>
        </w:rPr>
        <w:t>ers into the cement matrix can cause a significant increase in leached amounts of radionuclide simulants such as Ce. Furthermore it has been suggested [</w:t>
      </w:r>
      <w:r w:rsidR="003440B7">
        <w:rPr>
          <w:rFonts w:ascii="Times" w:hAnsi="Times" w:cs="Times New Roman"/>
        </w:rPr>
        <w:t>88</w:t>
      </w:r>
      <w:r>
        <w:rPr>
          <w:rFonts w:ascii="Times" w:hAnsi="Times" w:cs="Times New Roman"/>
        </w:rPr>
        <w:t>] that when the leached solution containing superplastic</w:t>
      </w:r>
      <w:r w:rsidR="00A253F4">
        <w:rPr>
          <w:rFonts w:ascii="Times" w:hAnsi="Times" w:cs="Times New Roman"/>
        </w:rPr>
        <w:t>i</w:t>
      </w:r>
      <w:r>
        <w:rPr>
          <w:rFonts w:ascii="Times" w:hAnsi="Times" w:cs="Times New Roman"/>
        </w:rPr>
        <w:t xml:space="preserve">ser is in contact with the NRVB the complexed compounds are not retained as well, causing easier leaching through the NRVB. In a waste immobilisation </w:t>
      </w:r>
      <w:r w:rsidR="00A253F4">
        <w:rPr>
          <w:rFonts w:ascii="Times" w:hAnsi="Times" w:cs="Times New Roman"/>
        </w:rPr>
        <w:t>application</w:t>
      </w:r>
      <w:r>
        <w:rPr>
          <w:rFonts w:ascii="Times" w:hAnsi="Times" w:cs="Times New Roman"/>
        </w:rPr>
        <w:t xml:space="preserve"> this would be very problematic</w:t>
      </w:r>
      <w:r w:rsidR="00404354">
        <w:rPr>
          <w:rFonts w:ascii="Times" w:hAnsi="Times"/>
        </w:rPr>
        <w:t>. The following</w:t>
      </w:r>
      <w:r>
        <w:rPr>
          <w:rFonts w:ascii="Times" w:hAnsi="Times"/>
        </w:rPr>
        <w:t xml:space="preserve"> investigate</w:t>
      </w:r>
      <w:r w:rsidR="00404354">
        <w:rPr>
          <w:rFonts w:ascii="Times" w:hAnsi="Times"/>
        </w:rPr>
        <w:t>s</w:t>
      </w:r>
      <w:r>
        <w:rPr>
          <w:rFonts w:ascii="Times" w:hAnsi="Times"/>
        </w:rPr>
        <w:t xml:space="preserve"> the permeability of NRVB when in contact with a solution containing Ce (BLANK) against one containing Ce and A551 (SCEA). The solutions were gathered and analysed using pH measurements, ICP-MS and TOC to monitor the amounts of Ce that had diffused through the NRVB cement sample. These are the preliminary results.</w:t>
      </w:r>
    </w:p>
    <w:p w14:paraId="56954049" w14:textId="77777777" w:rsidR="00CB5237" w:rsidRDefault="00CB5237" w:rsidP="0044704C">
      <w:pPr>
        <w:spacing w:after="120" w:line="440" w:lineRule="atLeast"/>
        <w:jc w:val="both"/>
        <w:outlineLvl w:val="0"/>
        <w:rPr>
          <w:rFonts w:ascii="Times" w:hAnsi="Times" w:cs="Times New Roman"/>
        </w:rPr>
      </w:pPr>
    </w:p>
    <w:p w14:paraId="5BF129B2" w14:textId="77777777" w:rsidR="0044704C" w:rsidRPr="00D84BD7" w:rsidRDefault="0044704C" w:rsidP="0044704C">
      <w:pPr>
        <w:spacing w:before="240" w:after="120" w:line="360" w:lineRule="auto"/>
        <w:jc w:val="both"/>
        <w:outlineLvl w:val="0"/>
        <w:rPr>
          <w:rFonts w:ascii="Times" w:hAnsi="Times" w:cs="Times New Roman"/>
          <w:i/>
          <w:sz w:val="18"/>
        </w:rPr>
      </w:pPr>
      <w:r>
        <w:rPr>
          <w:rFonts w:ascii="Times" w:hAnsi="Times" w:cs="Times New Roman"/>
          <w:b/>
          <w:bCs/>
          <w:smallCaps/>
          <w:sz w:val="30"/>
          <w:szCs w:val="28"/>
        </w:rPr>
        <w:t>4.4.2</w:t>
      </w:r>
      <w:r w:rsidRPr="00985624">
        <w:rPr>
          <w:rFonts w:ascii="Times" w:hAnsi="Times" w:cs="Times New Roman"/>
          <w:b/>
          <w:bCs/>
          <w:smallCaps/>
          <w:sz w:val="30"/>
          <w:szCs w:val="28"/>
        </w:rPr>
        <w:t>.1</w:t>
      </w:r>
      <w:r w:rsidRPr="00985624">
        <w:rPr>
          <w:rFonts w:ascii="Times" w:hAnsi="Times" w:cs="Times New Roman"/>
          <w:b/>
          <w:bCs/>
          <w:smallCaps/>
          <w:sz w:val="30"/>
          <w:szCs w:val="28"/>
        </w:rPr>
        <w:tab/>
        <w:t>Results</w:t>
      </w:r>
    </w:p>
    <w:p w14:paraId="4DD967D5" w14:textId="77777777" w:rsidR="0044704C" w:rsidRPr="00AA7FE9" w:rsidRDefault="0044704C" w:rsidP="0044704C">
      <w:pPr>
        <w:spacing w:line="360" w:lineRule="auto"/>
        <w:jc w:val="both"/>
        <w:rPr>
          <w:rFonts w:ascii="Times" w:hAnsi="Times"/>
          <w:b/>
          <w:i/>
        </w:rPr>
      </w:pPr>
      <w:r w:rsidRPr="00AA7FE9">
        <w:rPr>
          <w:rFonts w:ascii="Times" w:hAnsi="Times" w:cs="Times New Roman"/>
          <w:i/>
          <w:sz w:val="28"/>
        </w:rPr>
        <w:t>i.</w:t>
      </w:r>
      <w:r w:rsidRPr="00AA7FE9">
        <w:rPr>
          <w:rFonts w:ascii="Times" w:hAnsi="Times"/>
          <w:b/>
          <w:i/>
        </w:rPr>
        <w:tab/>
      </w:r>
      <w:proofErr w:type="gramStart"/>
      <w:r w:rsidRPr="00AA7FE9">
        <w:rPr>
          <w:rFonts w:ascii="Times" w:hAnsi="Times"/>
          <w:b/>
          <w:i/>
        </w:rPr>
        <w:t>pH</w:t>
      </w:r>
      <w:proofErr w:type="gramEnd"/>
      <w:r w:rsidRPr="00AA7FE9">
        <w:rPr>
          <w:rFonts w:ascii="Times" w:hAnsi="Times"/>
          <w:b/>
          <w:i/>
        </w:rPr>
        <w:t xml:space="preserve"> Measurements </w:t>
      </w:r>
    </w:p>
    <w:p w14:paraId="28712BE0" w14:textId="2AE40015" w:rsidR="0044704C" w:rsidRDefault="0044704C" w:rsidP="0044704C">
      <w:pPr>
        <w:spacing w:line="360" w:lineRule="auto"/>
        <w:jc w:val="both"/>
        <w:rPr>
          <w:rFonts w:ascii="Times" w:hAnsi="Times"/>
        </w:rPr>
      </w:pPr>
      <w:r w:rsidRPr="00AA7FE9">
        <w:rPr>
          <w:rFonts w:ascii="Times" w:hAnsi="Times"/>
        </w:rPr>
        <w:t>The pH was measured for e</w:t>
      </w:r>
      <w:r>
        <w:rPr>
          <w:rFonts w:ascii="Times" w:hAnsi="Times"/>
        </w:rPr>
        <w:t xml:space="preserve">ach solution at </w:t>
      </w:r>
      <w:r w:rsidR="0082619A">
        <w:rPr>
          <w:rFonts w:ascii="Times" w:hAnsi="Times"/>
        </w:rPr>
        <w:t>different intervals. Figure 4.100</w:t>
      </w:r>
      <w:r w:rsidRPr="00AA7FE9">
        <w:rPr>
          <w:rFonts w:ascii="Times" w:hAnsi="Times"/>
        </w:rPr>
        <w:t xml:space="preserve"> shows the pH change for both formulations during the entire leaching period </w:t>
      </w:r>
      <w:r>
        <w:rPr>
          <w:rFonts w:ascii="Times" w:hAnsi="Times"/>
        </w:rPr>
        <w:t xml:space="preserve">of 21 days, </w:t>
      </w:r>
      <w:r w:rsidRPr="00AA7FE9">
        <w:rPr>
          <w:rFonts w:ascii="Times" w:hAnsi="Times"/>
        </w:rPr>
        <w:t xml:space="preserve">with respect to the cumulative flow through measured in specimen volumes (the solution cumulative volume/the NRVB sample volume). </w:t>
      </w:r>
      <w:r w:rsidR="002D47DF">
        <w:rPr>
          <w:rFonts w:ascii="Times" w:hAnsi="Times"/>
        </w:rPr>
        <w:t xml:space="preserve"> </w:t>
      </w:r>
    </w:p>
    <w:p w14:paraId="3A6A7513" w14:textId="77777777" w:rsidR="0082619A" w:rsidRPr="000B283B" w:rsidRDefault="0082619A" w:rsidP="0044704C">
      <w:pPr>
        <w:spacing w:line="360" w:lineRule="auto"/>
        <w:jc w:val="both"/>
        <w:rPr>
          <w:rFonts w:ascii="Times" w:hAnsi="Times"/>
        </w:rPr>
      </w:pPr>
    </w:p>
    <w:p w14:paraId="18ACED85" w14:textId="04067FCC" w:rsidR="0044704C" w:rsidRPr="00F52811" w:rsidRDefault="0044704C" w:rsidP="0082619A">
      <w:pPr>
        <w:spacing w:line="360" w:lineRule="auto"/>
        <w:jc w:val="center"/>
        <w:rPr>
          <w:rFonts w:ascii="Times" w:hAnsi="Times"/>
          <w:lang w:val="fr-FR"/>
        </w:rPr>
      </w:pPr>
      <w:r>
        <w:rPr>
          <w:noProof/>
        </w:rPr>
        <w:drawing>
          <wp:inline distT="0" distB="0" distL="0" distR="0" wp14:anchorId="4C485059" wp14:editId="614AE704">
            <wp:extent cx="4858385" cy="2119045"/>
            <wp:effectExtent l="0" t="0" r="0" b="0"/>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r w:rsidRPr="00AA7FE9">
        <w:rPr>
          <w:rFonts w:ascii="Times" w:hAnsi="Times"/>
          <w:lang w:val="fr-FR"/>
        </w:rPr>
        <w:br/>
      </w:r>
      <w:r w:rsidR="0082619A">
        <w:rPr>
          <w:rFonts w:ascii="Times" w:hAnsi="Times"/>
          <w:b/>
          <w:lang w:val="fr-FR"/>
        </w:rPr>
        <w:t>Figure 4.100</w:t>
      </w:r>
      <w:r w:rsidRPr="006A1CF5">
        <w:rPr>
          <w:rFonts w:ascii="Times" w:hAnsi="Times"/>
          <w:b/>
          <w:lang w:val="fr-FR"/>
        </w:rPr>
        <w:t xml:space="preserve">: </w:t>
      </w:r>
      <w:r w:rsidRPr="006A1CF5">
        <w:rPr>
          <w:rFonts w:ascii="Times" w:hAnsi="Times"/>
          <w:lang w:val="fr-FR"/>
        </w:rPr>
        <w:t xml:space="preserve">Leachate pH </w:t>
      </w:r>
      <w:r>
        <w:rPr>
          <w:rFonts w:ascii="Times" w:hAnsi="Times"/>
          <w:lang w:val="fr-FR"/>
        </w:rPr>
        <w:t xml:space="preserve">of Blank and SCEA </w:t>
      </w:r>
    </w:p>
    <w:p w14:paraId="3D20C32F" w14:textId="416F1EC0" w:rsidR="0044704C" w:rsidRDefault="0082619A" w:rsidP="0082619A">
      <w:pPr>
        <w:spacing w:line="360" w:lineRule="auto"/>
        <w:jc w:val="both"/>
        <w:rPr>
          <w:rFonts w:ascii="Helvetica" w:hAnsi="Helvetica" w:cs="Helvetica"/>
          <w:sz w:val="20"/>
          <w:szCs w:val="20"/>
        </w:rPr>
      </w:pPr>
      <w:r>
        <w:rPr>
          <w:rFonts w:ascii="Times" w:hAnsi="Times"/>
        </w:rPr>
        <w:lastRenderedPageBreak/>
        <w:br/>
      </w:r>
      <w:r w:rsidR="00D002BF">
        <w:rPr>
          <w:rFonts w:ascii="Times" w:hAnsi="Times"/>
        </w:rPr>
        <w:t xml:space="preserve">The </w:t>
      </w:r>
      <w:r w:rsidR="00D002BF" w:rsidRPr="00AB4DC0">
        <w:rPr>
          <w:rFonts w:ascii="Times" w:hAnsi="Times"/>
        </w:rPr>
        <w:t>pH of the SCEA solution initially is significantly higher than that of the blank sample, 13.5 at 1.3 specimen volumes</w:t>
      </w:r>
      <w:r w:rsidR="00D002BF" w:rsidRPr="00AB4DC0">
        <w:rPr>
          <w:rFonts w:ascii="Times" w:hAnsi="Times" w:cs="Helvetica"/>
        </w:rPr>
        <w:t xml:space="preserve">. </w:t>
      </w:r>
      <w:r w:rsidR="0044704C" w:rsidRPr="00AA7FE9">
        <w:rPr>
          <w:rFonts w:ascii="Times" w:hAnsi="Times"/>
        </w:rPr>
        <w:t>There i</w:t>
      </w:r>
      <w:r w:rsidR="0044704C">
        <w:rPr>
          <w:rFonts w:ascii="Times" w:hAnsi="Times"/>
        </w:rPr>
        <w:t>s a slight increase in pH around 1.3 specimen volumes for both samples</w:t>
      </w:r>
      <w:r w:rsidR="0044704C" w:rsidRPr="00AA7FE9">
        <w:rPr>
          <w:rFonts w:ascii="Times" w:hAnsi="Times"/>
        </w:rPr>
        <w:t xml:space="preserve">, and then there is a general decrease as leaching continues. </w:t>
      </w:r>
      <w:r w:rsidR="0044704C">
        <w:rPr>
          <w:rFonts w:ascii="Times" w:hAnsi="Times"/>
        </w:rPr>
        <w:t xml:space="preserve">The pH </w:t>
      </w:r>
      <w:r w:rsidR="0044704C" w:rsidRPr="00AA7FE9">
        <w:rPr>
          <w:rFonts w:ascii="Times" w:hAnsi="Times"/>
        </w:rPr>
        <w:t>drops to and remains between 12</w:t>
      </w:r>
      <w:r w:rsidR="0044704C">
        <w:rPr>
          <w:rFonts w:ascii="Times" w:hAnsi="Times"/>
        </w:rPr>
        <w:t>.1 and 12.4</w:t>
      </w:r>
      <w:r w:rsidR="0044704C" w:rsidRPr="00AA7FE9">
        <w:rPr>
          <w:rFonts w:ascii="Times" w:hAnsi="Times"/>
        </w:rPr>
        <w:t xml:space="preserve"> for both solutions, </w:t>
      </w:r>
      <w:r w:rsidR="0044704C">
        <w:rPr>
          <w:rFonts w:ascii="Times" w:hAnsi="Times"/>
        </w:rPr>
        <w:t>this level is maintained</w:t>
      </w:r>
      <w:r w:rsidR="00404354">
        <w:rPr>
          <w:rFonts w:ascii="Times" w:hAnsi="Times"/>
        </w:rPr>
        <w:t xml:space="preserve"> up to around 4 specimen volumes</w:t>
      </w:r>
      <w:r w:rsidR="0044704C">
        <w:rPr>
          <w:rFonts w:ascii="Times" w:hAnsi="Times"/>
        </w:rPr>
        <w:t xml:space="preserve"> due to</w:t>
      </w:r>
      <w:r w:rsidR="0044704C" w:rsidRPr="00AA7FE9">
        <w:rPr>
          <w:rFonts w:ascii="Times" w:hAnsi="Times"/>
        </w:rPr>
        <w:t xml:space="preserve"> the portlandite (</w:t>
      </w:r>
      <w:proofErr w:type="gramStart"/>
      <w:r w:rsidR="0044704C" w:rsidRPr="00AA7FE9">
        <w:rPr>
          <w:rFonts w:ascii="Times" w:hAnsi="Times"/>
        </w:rPr>
        <w:t>Ca(</w:t>
      </w:r>
      <w:proofErr w:type="gramEnd"/>
      <w:r w:rsidR="0044704C" w:rsidRPr="00AA7FE9">
        <w:rPr>
          <w:rFonts w:ascii="Times" w:hAnsi="Times"/>
        </w:rPr>
        <w:t>OH)</w:t>
      </w:r>
      <w:r w:rsidR="0044704C" w:rsidRPr="00AA7FE9">
        <w:rPr>
          <w:rFonts w:ascii="Times" w:hAnsi="Times"/>
          <w:vertAlign w:val="subscript"/>
        </w:rPr>
        <w:t>2</w:t>
      </w:r>
      <w:r w:rsidR="0044704C" w:rsidRPr="00AA7FE9">
        <w:rPr>
          <w:rFonts w:ascii="Times" w:hAnsi="Times"/>
        </w:rPr>
        <w:t>) leaching</w:t>
      </w:r>
      <w:r w:rsidR="0044704C">
        <w:rPr>
          <w:rFonts w:ascii="Times" w:hAnsi="Times"/>
        </w:rPr>
        <w:t xml:space="preserve"> out and</w:t>
      </w:r>
      <w:r w:rsidR="0044704C" w:rsidRPr="00AA7FE9">
        <w:rPr>
          <w:rFonts w:ascii="Times" w:hAnsi="Times"/>
        </w:rPr>
        <w:t xml:space="preserve"> releasing OH</w:t>
      </w:r>
      <w:r w:rsidR="0044704C" w:rsidRPr="00AA7FE9">
        <w:rPr>
          <w:rFonts w:ascii="Times" w:hAnsi="Times"/>
          <w:vertAlign w:val="superscript"/>
        </w:rPr>
        <w:t>-</w:t>
      </w:r>
      <w:r w:rsidR="0044704C">
        <w:rPr>
          <w:rFonts w:ascii="Times" w:hAnsi="Times"/>
          <w:vertAlign w:val="superscript"/>
        </w:rPr>
        <w:t xml:space="preserve"> </w:t>
      </w:r>
      <w:r w:rsidR="0044704C">
        <w:rPr>
          <w:rFonts w:ascii="Times" w:hAnsi="Times"/>
        </w:rPr>
        <w:t>into solution</w:t>
      </w:r>
      <w:r w:rsidR="0044704C" w:rsidRPr="00AA7FE9">
        <w:rPr>
          <w:rFonts w:ascii="Times" w:hAnsi="Times"/>
        </w:rPr>
        <w:t xml:space="preserve">. At around 5 specimen volumes the pH of the blank solution drops below </w:t>
      </w:r>
      <w:r w:rsidR="0044704C" w:rsidRPr="00AB4DC0">
        <w:rPr>
          <w:rFonts w:ascii="Times" w:hAnsi="Times"/>
        </w:rPr>
        <w:t>12, this is expected as the amounts of portlandite in the cement decrease</w:t>
      </w:r>
      <w:r w:rsidR="00906883">
        <w:rPr>
          <w:rFonts w:ascii="Times" w:hAnsi="Times"/>
        </w:rPr>
        <w:t>s</w:t>
      </w:r>
      <w:r w:rsidR="0044704C" w:rsidRPr="00AB4DC0">
        <w:rPr>
          <w:rFonts w:ascii="Times" w:hAnsi="Times"/>
        </w:rPr>
        <w:t xml:space="preserve"> therefore there is less to leach out. However in the SCEA the pH remains above 12 until the end of the experiment.  </w:t>
      </w:r>
    </w:p>
    <w:p w14:paraId="2CECC0EF" w14:textId="77777777" w:rsidR="0044704C" w:rsidRPr="00B85315" w:rsidRDefault="0044704C" w:rsidP="0044704C">
      <w:pPr>
        <w:spacing w:line="360" w:lineRule="auto"/>
        <w:jc w:val="both"/>
        <w:rPr>
          <w:rFonts w:ascii="Times" w:hAnsi="Times"/>
        </w:rPr>
      </w:pPr>
    </w:p>
    <w:p w14:paraId="11B26905" w14:textId="77777777" w:rsidR="0044704C" w:rsidRPr="00D84BD7" w:rsidRDefault="0044704C" w:rsidP="0044704C">
      <w:pPr>
        <w:spacing w:line="360" w:lineRule="auto"/>
        <w:jc w:val="both"/>
        <w:rPr>
          <w:rFonts w:ascii="Times" w:hAnsi="Times"/>
          <w:b/>
          <w:i/>
        </w:rPr>
      </w:pPr>
      <w:r w:rsidRPr="00D84BD7">
        <w:rPr>
          <w:rFonts w:ascii="Times" w:hAnsi="Times"/>
          <w:b/>
          <w:i/>
        </w:rPr>
        <w:t>ii.</w:t>
      </w:r>
      <w:r w:rsidRPr="00D84BD7">
        <w:rPr>
          <w:rFonts w:ascii="Times" w:hAnsi="Times"/>
          <w:b/>
          <w:i/>
        </w:rPr>
        <w:tab/>
        <w:t>Inductively Coupled Plasma Mass Spectrometry (ICP-MS)</w:t>
      </w:r>
    </w:p>
    <w:p w14:paraId="04739047" w14:textId="76BF1A69" w:rsidR="0044704C" w:rsidRPr="00751C5B" w:rsidRDefault="0044704C" w:rsidP="0044704C">
      <w:pPr>
        <w:spacing w:line="360" w:lineRule="auto"/>
        <w:jc w:val="both"/>
      </w:pPr>
      <w:r w:rsidRPr="007404EB">
        <w:rPr>
          <w:rFonts w:ascii="Times" w:hAnsi="Times"/>
        </w:rPr>
        <w:t>The ICP analysis data was us</w:t>
      </w:r>
      <w:r>
        <w:rPr>
          <w:rFonts w:ascii="Times" w:hAnsi="Times"/>
        </w:rPr>
        <w:t>ed to calculate the amounts of c</w:t>
      </w:r>
      <w:r w:rsidRPr="007404EB">
        <w:rPr>
          <w:rFonts w:ascii="Times" w:hAnsi="Times"/>
        </w:rPr>
        <w:t xml:space="preserve">erium </w:t>
      </w:r>
      <w:r>
        <w:rPr>
          <w:rFonts w:ascii="Times" w:hAnsi="Times"/>
        </w:rPr>
        <w:t>that had passed through the NRVB sample. This was</w:t>
      </w:r>
      <w:r w:rsidRPr="007404EB">
        <w:rPr>
          <w:rFonts w:ascii="Times" w:hAnsi="Times"/>
        </w:rPr>
        <w:t xml:space="preserve"> compared to that of the original amounts in the bladder vessel</w:t>
      </w:r>
      <w:r>
        <w:rPr>
          <w:rFonts w:ascii="Times" w:hAnsi="Times"/>
        </w:rPr>
        <w:t xml:space="preserve"> and is presented as a percentage of that amount. The Ce percentage concentration in the blank solution is shown in fig</w:t>
      </w:r>
      <w:r w:rsidR="00404354">
        <w:rPr>
          <w:rFonts w:ascii="Times" w:hAnsi="Times"/>
        </w:rPr>
        <w:t>ure</w:t>
      </w:r>
      <w:r w:rsidR="0082619A">
        <w:rPr>
          <w:rFonts w:ascii="Times" w:hAnsi="Times"/>
        </w:rPr>
        <w:t xml:space="preserve"> 4.101</w:t>
      </w:r>
      <w:r>
        <w:rPr>
          <w:rFonts w:ascii="Times" w:hAnsi="Times"/>
        </w:rPr>
        <w:t xml:space="preserve"> whilst that of the SCEA solution is shown in fig</w:t>
      </w:r>
      <w:r w:rsidR="00404354">
        <w:rPr>
          <w:rFonts w:ascii="Times" w:hAnsi="Times"/>
        </w:rPr>
        <w:t>ure</w:t>
      </w:r>
      <w:r>
        <w:rPr>
          <w:rFonts w:ascii="Times" w:hAnsi="Times"/>
        </w:rPr>
        <w:t xml:space="preserve"> 4.10</w:t>
      </w:r>
      <w:r w:rsidR="0082619A">
        <w:rPr>
          <w:rFonts w:ascii="Times" w:hAnsi="Times"/>
        </w:rPr>
        <w:t>2</w:t>
      </w:r>
      <w:r w:rsidRPr="007404EB">
        <w:rPr>
          <w:rFonts w:ascii="Times" w:hAnsi="Times"/>
        </w:rPr>
        <w:t xml:space="preserve">. </w:t>
      </w:r>
      <w:r>
        <w:rPr>
          <w:rFonts w:ascii="Times" w:hAnsi="Times"/>
        </w:rPr>
        <w:t xml:space="preserve">In the blank solution the concentration percentage of the Ce remains very low up until 2.8 specimen volumes at which point there is a significant increase, this increase continues steadily up until 3.4 specimen volumes, here the percentage concentration seems unchanged until 4 specimen volumes where it begins to steadily increase again albeit at a slower rate. The total Ce leached out in the </w:t>
      </w:r>
      <w:r w:rsidR="00906883">
        <w:rPr>
          <w:rFonts w:ascii="Times" w:hAnsi="Times"/>
        </w:rPr>
        <w:t xml:space="preserve">BLANK </w:t>
      </w:r>
      <w:r>
        <w:rPr>
          <w:rFonts w:ascii="Times" w:hAnsi="Times"/>
        </w:rPr>
        <w:t xml:space="preserve">solution is 3% of the original cerium amounts. </w:t>
      </w:r>
      <w:r w:rsidRPr="007404EB">
        <w:rPr>
          <w:rFonts w:ascii="Times" w:hAnsi="Times"/>
        </w:rPr>
        <w:t>The leaching percentage of</w:t>
      </w:r>
      <w:r>
        <w:rPr>
          <w:rFonts w:ascii="Times" w:hAnsi="Times"/>
        </w:rPr>
        <w:t xml:space="preserve"> cerium in SCEA solution is initially </w:t>
      </w:r>
      <w:r w:rsidR="00906883">
        <w:rPr>
          <w:rFonts w:ascii="Times" w:hAnsi="Times"/>
        </w:rPr>
        <w:t xml:space="preserve">slightly </w:t>
      </w:r>
      <w:r>
        <w:rPr>
          <w:rFonts w:ascii="Times" w:hAnsi="Times"/>
        </w:rPr>
        <w:t>lower than in the blank solution and rema</w:t>
      </w:r>
      <w:r w:rsidR="003440B7">
        <w:rPr>
          <w:rFonts w:ascii="Times" w:hAnsi="Times"/>
        </w:rPr>
        <w:t xml:space="preserve">ins at this level up until 2.9 </w:t>
      </w:r>
      <w:r>
        <w:rPr>
          <w:rFonts w:ascii="Times" w:hAnsi="Times"/>
        </w:rPr>
        <w:t>specimen volumes. The leached percentage increases significantly at this point and continues to increase up until 5.4 specimen volumes. The total leached out is approximately 4%, which</w:t>
      </w:r>
      <w:r w:rsidR="00D24B42">
        <w:rPr>
          <w:rFonts w:ascii="Times" w:hAnsi="Times"/>
        </w:rPr>
        <w:t xml:space="preserve"> is only</w:t>
      </w:r>
      <w:r>
        <w:rPr>
          <w:rFonts w:ascii="Times" w:hAnsi="Times"/>
        </w:rPr>
        <w:t xml:space="preserve"> slightly higher than in the blank solution.</w:t>
      </w:r>
      <w:r w:rsidR="00D24B42">
        <w:rPr>
          <w:rFonts w:ascii="Times" w:hAnsi="Times"/>
        </w:rPr>
        <w:t xml:space="preserve"> </w:t>
      </w:r>
    </w:p>
    <w:p w14:paraId="6072B4C1" w14:textId="77777777" w:rsidR="0044704C" w:rsidRPr="00AA7FE9" w:rsidRDefault="0044704C" w:rsidP="0044704C">
      <w:pPr>
        <w:spacing w:line="360" w:lineRule="auto"/>
        <w:rPr>
          <w:rFonts w:ascii="Times" w:hAnsi="Times"/>
        </w:rPr>
      </w:pPr>
    </w:p>
    <w:p w14:paraId="2B8D3C76" w14:textId="77777777" w:rsidR="0044704C" w:rsidRDefault="0044704C" w:rsidP="0044704C">
      <w:pPr>
        <w:jc w:val="center"/>
        <w:rPr>
          <w:rFonts w:ascii="Times" w:hAnsi="Times"/>
          <w:b/>
        </w:rPr>
      </w:pPr>
      <w:r>
        <w:rPr>
          <w:noProof/>
        </w:rPr>
        <w:lastRenderedPageBreak/>
        <w:drawing>
          <wp:inline distT="0" distB="0" distL="0" distR="0" wp14:anchorId="4D123ABA" wp14:editId="4F63D1DA">
            <wp:extent cx="5157646" cy="2035810"/>
            <wp:effectExtent l="0" t="0" r="0" b="0"/>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6455475E" w14:textId="24466613" w:rsidR="0044704C" w:rsidRDefault="0082619A" w:rsidP="0044704C">
      <w:pPr>
        <w:jc w:val="center"/>
        <w:rPr>
          <w:rFonts w:ascii="Times" w:hAnsi="Times"/>
          <w:b/>
        </w:rPr>
      </w:pPr>
      <w:r>
        <w:rPr>
          <w:rFonts w:ascii="Times" w:hAnsi="Times"/>
          <w:b/>
        </w:rPr>
        <w:t>Figure 4.101</w:t>
      </w:r>
      <w:r w:rsidR="0044704C" w:rsidRPr="00AA7FE9">
        <w:rPr>
          <w:rFonts w:ascii="Times" w:hAnsi="Times"/>
          <w:b/>
        </w:rPr>
        <w:t xml:space="preserve">: </w:t>
      </w:r>
      <w:r w:rsidR="0044704C" w:rsidRPr="00AA7FE9">
        <w:rPr>
          <w:rFonts w:ascii="Times" w:hAnsi="Times"/>
        </w:rPr>
        <w:t>Leached cerium as percentage of original amount in Blank solution</w:t>
      </w:r>
      <w:r w:rsidR="0044704C" w:rsidRPr="00AA7FE9">
        <w:rPr>
          <w:rFonts w:ascii="Times" w:hAnsi="Times"/>
          <w:b/>
        </w:rPr>
        <w:t xml:space="preserve"> </w:t>
      </w:r>
    </w:p>
    <w:p w14:paraId="369FCC72" w14:textId="77777777" w:rsidR="0044704C" w:rsidRPr="00AA7FE9" w:rsidRDefault="0044704C" w:rsidP="0044704C">
      <w:pPr>
        <w:spacing w:line="360" w:lineRule="auto"/>
        <w:jc w:val="center"/>
        <w:rPr>
          <w:rFonts w:ascii="Times" w:hAnsi="Times"/>
          <w:b/>
        </w:rPr>
      </w:pPr>
    </w:p>
    <w:p w14:paraId="2B730F73" w14:textId="77777777" w:rsidR="0044704C" w:rsidRPr="00063B6D" w:rsidRDefault="0044704C" w:rsidP="0044704C">
      <w:pPr>
        <w:jc w:val="center"/>
        <w:rPr>
          <w:rFonts w:ascii="Times" w:hAnsi="Times"/>
          <w:b/>
        </w:rPr>
      </w:pPr>
      <w:r>
        <w:rPr>
          <w:noProof/>
        </w:rPr>
        <w:drawing>
          <wp:inline distT="0" distB="0" distL="0" distR="0" wp14:anchorId="437681B2" wp14:editId="345A59EA">
            <wp:extent cx="4929046" cy="2240280"/>
            <wp:effectExtent l="0" t="0" r="0" b="0"/>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7824870A" w14:textId="17345BF6" w:rsidR="0044704C" w:rsidRDefault="0082619A" w:rsidP="0044704C">
      <w:pPr>
        <w:jc w:val="center"/>
        <w:rPr>
          <w:rFonts w:ascii="Times" w:hAnsi="Times"/>
        </w:rPr>
      </w:pPr>
      <w:r>
        <w:rPr>
          <w:rFonts w:ascii="Times" w:hAnsi="Times"/>
          <w:b/>
        </w:rPr>
        <w:t>Figure 4.102</w:t>
      </w:r>
      <w:r w:rsidR="0044704C" w:rsidRPr="00AA7FE9">
        <w:rPr>
          <w:rFonts w:ascii="Times" w:hAnsi="Times"/>
          <w:b/>
        </w:rPr>
        <w:t xml:space="preserve">: </w:t>
      </w:r>
      <w:r w:rsidR="0044704C" w:rsidRPr="00AA7FE9">
        <w:rPr>
          <w:rFonts w:ascii="Times" w:hAnsi="Times"/>
        </w:rPr>
        <w:t xml:space="preserve">Leached cerium as percentage of original amount in </w:t>
      </w:r>
      <w:r w:rsidR="0044704C">
        <w:rPr>
          <w:rFonts w:ascii="Times" w:hAnsi="Times"/>
        </w:rPr>
        <w:t>SCEA</w:t>
      </w:r>
      <w:r w:rsidR="0044704C" w:rsidRPr="00AA7FE9">
        <w:rPr>
          <w:rFonts w:ascii="Times" w:hAnsi="Times"/>
        </w:rPr>
        <w:t xml:space="preserve"> solution</w:t>
      </w:r>
      <w:r w:rsidR="00906883">
        <w:rPr>
          <w:rFonts w:ascii="Times" w:hAnsi="Times"/>
        </w:rPr>
        <w:t xml:space="preserve"> </w:t>
      </w:r>
    </w:p>
    <w:p w14:paraId="2C5D89CA" w14:textId="77777777" w:rsidR="0044704C" w:rsidRPr="00D84BD7" w:rsidRDefault="0044704C" w:rsidP="0044704C">
      <w:pPr>
        <w:spacing w:line="360" w:lineRule="auto"/>
        <w:jc w:val="both"/>
        <w:rPr>
          <w:rFonts w:ascii="Times" w:hAnsi="Times"/>
          <w:i/>
        </w:rPr>
      </w:pPr>
    </w:p>
    <w:p w14:paraId="3BC6B727" w14:textId="77777777" w:rsidR="0082619A" w:rsidRDefault="0082619A" w:rsidP="0044704C">
      <w:pPr>
        <w:spacing w:line="360" w:lineRule="auto"/>
        <w:jc w:val="both"/>
        <w:rPr>
          <w:rFonts w:ascii="Times" w:hAnsi="Times"/>
          <w:b/>
          <w:i/>
        </w:rPr>
      </w:pPr>
    </w:p>
    <w:p w14:paraId="516D1B40" w14:textId="77777777" w:rsidR="0082619A" w:rsidRDefault="0082619A" w:rsidP="0044704C">
      <w:pPr>
        <w:spacing w:line="360" w:lineRule="auto"/>
        <w:jc w:val="both"/>
        <w:rPr>
          <w:rFonts w:ascii="Times" w:hAnsi="Times"/>
          <w:b/>
          <w:i/>
        </w:rPr>
      </w:pPr>
    </w:p>
    <w:p w14:paraId="1B7BC74D" w14:textId="77777777" w:rsidR="0044704C" w:rsidRPr="00D84BD7" w:rsidRDefault="0044704C" w:rsidP="0044704C">
      <w:pPr>
        <w:spacing w:line="360" w:lineRule="auto"/>
        <w:jc w:val="both"/>
        <w:rPr>
          <w:rFonts w:ascii="Times" w:hAnsi="Times"/>
          <w:b/>
          <w:i/>
        </w:rPr>
      </w:pPr>
      <w:r w:rsidRPr="00D84BD7">
        <w:rPr>
          <w:rFonts w:ascii="Times" w:hAnsi="Times"/>
          <w:b/>
          <w:i/>
        </w:rPr>
        <w:t>iii.</w:t>
      </w:r>
      <w:r w:rsidRPr="00D84BD7">
        <w:rPr>
          <w:rFonts w:ascii="Times" w:hAnsi="Times"/>
          <w:b/>
          <w:i/>
        </w:rPr>
        <w:tab/>
        <w:t xml:space="preserve">Total Organic Carbon (TOC) </w:t>
      </w:r>
    </w:p>
    <w:p w14:paraId="7699A24C" w14:textId="24C20F8E" w:rsidR="0044704C" w:rsidRDefault="0044704C" w:rsidP="0044704C">
      <w:pPr>
        <w:spacing w:line="360" w:lineRule="auto"/>
        <w:jc w:val="both"/>
        <w:rPr>
          <w:rFonts w:ascii="Times" w:hAnsi="Times"/>
        </w:rPr>
      </w:pPr>
      <w:r>
        <w:rPr>
          <w:rFonts w:ascii="Times" w:hAnsi="Times"/>
        </w:rPr>
        <w:t xml:space="preserve">The total organic carbon </w:t>
      </w:r>
      <w:r w:rsidR="00906883">
        <w:rPr>
          <w:rFonts w:ascii="Times" w:hAnsi="Times"/>
        </w:rPr>
        <w:t xml:space="preserve">present in the </w:t>
      </w:r>
      <w:r>
        <w:rPr>
          <w:rFonts w:ascii="Times" w:hAnsi="Times"/>
        </w:rPr>
        <w:t>composition was measured initially for both solutions within the bladder vessel and was found to be 10ppm for SCEA and 2ppm for the blank solution</w:t>
      </w:r>
      <w:r w:rsidR="005F6269">
        <w:rPr>
          <w:rFonts w:ascii="Times" w:hAnsi="Times"/>
        </w:rPr>
        <w:t>, this higher concentration of organic carbon in the SCEA is due to the complexing nature of the superplasticiser</w:t>
      </w:r>
      <w:r>
        <w:rPr>
          <w:rFonts w:ascii="Times" w:hAnsi="Times"/>
        </w:rPr>
        <w:t>. The TOC concentration for the blank series remained at these levels throughout the test in the collected samples. T</w:t>
      </w:r>
      <w:r w:rsidRPr="007404EB">
        <w:rPr>
          <w:rFonts w:ascii="Times" w:hAnsi="Times"/>
        </w:rPr>
        <w:t>he</w:t>
      </w:r>
      <w:r>
        <w:rPr>
          <w:rFonts w:ascii="Times" w:hAnsi="Times"/>
        </w:rPr>
        <w:t xml:space="preserve"> TOC of the SCEA solution however increas</w:t>
      </w:r>
      <w:r w:rsidR="0082619A">
        <w:rPr>
          <w:rFonts w:ascii="Times" w:hAnsi="Times"/>
        </w:rPr>
        <w:t>es as shown in fig 4.103</w:t>
      </w:r>
      <w:r>
        <w:rPr>
          <w:rFonts w:ascii="Times" w:hAnsi="Times"/>
        </w:rPr>
        <w:t xml:space="preserve">. </w:t>
      </w:r>
      <w:r w:rsidR="00404354">
        <w:rPr>
          <w:rFonts w:ascii="Times" w:hAnsi="Times"/>
        </w:rPr>
        <w:t xml:space="preserve"> </w:t>
      </w:r>
      <w:r>
        <w:rPr>
          <w:rFonts w:ascii="Times" w:hAnsi="Times"/>
        </w:rPr>
        <w:t xml:space="preserve">The figure shows that there </w:t>
      </w:r>
      <w:r w:rsidR="007B0FB3">
        <w:rPr>
          <w:rFonts w:ascii="Times" w:hAnsi="Times"/>
        </w:rPr>
        <w:t>are</w:t>
      </w:r>
      <w:r>
        <w:rPr>
          <w:rFonts w:ascii="Times" w:hAnsi="Times"/>
        </w:rPr>
        <w:t xml:space="preserve"> </w:t>
      </w:r>
      <w:r w:rsidR="00404354">
        <w:rPr>
          <w:rFonts w:ascii="Times" w:hAnsi="Times"/>
        </w:rPr>
        <w:t>already</w:t>
      </w:r>
      <w:r>
        <w:rPr>
          <w:rFonts w:ascii="Times" w:hAnsi="Times"/>
        </w:rPr>
        <w:t xml:space="preserve"> amount</w:t>
      </w:r>
      <w:r w:rsidR="00404354">
        <w:rPr>
          <w:rFonts w:ascii="Times" w:hAnsi="Times"/>
        </w:rPr>
        <w:t>s</w:t>
      </w:r>
      <w:r>
        <w:rPr>
          <w:rFonts w:ascii="Times" w:hAnsi="Times"/>
        </w:rPr>
        <w:t xml:space="preserve"> of TOC </w:t>
      </w:r>
      <w:r w:rsidR="007B0FB3">
        <w:rPr>
          <w:rFonts w:ascii="Times" w:hAnsi="Times"/>
        </w:rPr>
        <w:t>in</w:t>
      </w:r>
      <w:r w:rsidR="00B7633D">
        <w:rPr>
          <w:rFonts w:ascii="Times" w:hAnsi="Times"/>
        </w:rPr>
        <w:t xml:space="preserve"> </w:t>
      </w:r>
      <w:r w:rsidR="00404354">
        <w:rPr>
          <w:rFonts w:ascii="Times" w:hAnsi="Times"/>
        </w:rPr>
        <w:t>the solution collected by</w:t>
      </w:r>
      <w:r>
        <w:rPr>
          <w:rFonts w:ascii="Times" w:hAnsi="Times"/>
        </w:rPr>
        <w:t xml:space="preserve"> 3.4 specimen volumes. There is then a significant increase in TOC amounts in the solution collected at approximately 4.5 specimen volumes, gradually increasing thereafter until 6.6 specimen volumes</w:t>
      </w:r>
      <w:r w:rsidRPr="007404EB">
        <w:rPr>
          <w:rFonts w:ascii="Times" w:hAnsi="Times"/>
        </w:rPr>
        <w:t xml:space="preserve">. </w:t>
      </w:r>
    </w:p>
    <w:p w14:paraId="7EF428D4" w14:textId="35EA78E1" w:rsidR="0044704C" w:rsidRPr="00AB5B55" w:rsidRDefault="0044704C" w:rsidP="0044704C">
      <w:pPr>
        <w:jc w:val="center"/>
        <w:rPr>
          <w:rFonts w:ascii="Times" w:hAnsi="Times"/>
        </w:rPr>
      </w:pPr>
      <w:r>
        <w:rPr>
          <w:noProof/>
        </w:rPr>
        <w:lastRenderedPageBreak/>
        <w:drawing>
          <wp:inline distT="0" distB="0" distL="0" distR="0" wp14:anchorId="09382E18" wp14:editId="4B4CF827">
            <wp:extent cx="4231363" cy="1963420"/>
            <wp:effectExtent l="0" t="0" r="10795" b="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r>
        <w:rPr>
          <w:rFonts w:ascii="Times" w:hAnsi="Times"/>
        </w:rPr>
        <w:br/>
      </w:r>
      <w:r w:rsidR="0082619A">
        <w:rPr>
          <w:rFonts w:ascii="Times" w:hAnsi="Times"/>
          <w:b/>
        </w:rPr>
        <w:t>Figure 4.103</w:t>
      </w:r>
      <w:r w:rsidRPr="00AA7FE9">
        <w:rPr>
          <w:rFonts w:ascii="Times" w:hAnsi="Times"/>
          <w:b/>
        </w:rPr>
        <w:t xml:space="preserve">: </w:t>
      </w:r>
      <w:r w:rsidRPr="00AA7FE9">
        <w:rPr>
          <w:rFonts w:ascii="Times" w:hAnsi="Times"/>
        </w:rPr>
        <w:t xml:space="preserve">Total organic carbon mass in </w:t>
      </w:r>
      <w:r>
        <w:rPr>
          <w:rFonts w:ascii="Times" w:hAnsi="Times"/>
        </w:rPr>
        <w:t>SCEA solution</w:t>
      </w:r>
    </w:p>
    <w:p w14:paraId="0E4565CC" w14:textId="77777777" w:rsidR="0082619A" w:rsidRDefault="0082619A" w:rsidP="0044704C">
      <w:pPr>
        <w:spacing w:before="240" w:after="120" w:line="360" w:lineRule="auto"/>
        <w:outlineLvl w:val="0"/>
        <w:rPr>
          <w:rFonts w:ascii="Times" w:hAnsi="Times" w:cs="Times New Roman"/>
          <w:bCs/>
          <w:smallCaps/>
          <w:sz w:val="36"/>
          <w:szCs w:val="28"/>
        </w:rPr>
      </w:pPr>
    </w:p>
    <w:p w14:paraId="666AB3BF" w14:textId="77777777" w:rsidR="0044704C" w:rsidRPr="00D84BD7" w:rsidRDefault="0044704C" w:rsidP="0044704C">
      <w:pPr>
        <w:spacing w:before="240" w:after="120" w:line="360" w:lineRule="auto"/>
        <w:outlineLvl w:val="0"/>
        <w:rPr>
          <w:rFonts w:ascii="Times" w:hAnsi="Times" w:cs="Times New Roman"/>
          <w:b/>
          <w:bCs/>
          <w:smallCaps/>
          <w:sz w:val="30"/>
          <w:szCs w:val="28"/>
        </w:rPr>
      </w:pPr>
      <w:r w:rsidRPr="00D84BD7">
        <w:rPr>
          <w:rFonts w:ascii="Times" w:hAnsi="Times" w:cs="Times New Roman"/>
          <w:b/>
          <w:bCs/>
          <w:smallCaps/>
          <w:sz w:val="30"/>
          <w:szCs w:val="28"/>
        </w:rPr>
        <w:t>4.4.2.2</w:t>
      </w:r>
      <w:r w:rsidRPr="00D84BD7">
        <w:rPr>
          <w:rFonts w:ascii="Times" w:hAnsi="Times" w:cs="Times New Roman"/>
          <w:b/>
          <w:bCs/>
          <w:smallCaps/>
          <w:sz w:val="30"/>
          <w:szCs w:val="28"/>
        </w:rPr>
        <w:tab/>
        <w:t>Discussion</w:t>
      </w:r>
    </w:p>
    <w:p w14:paraId="267E81BA" w14:textId="7BA45AD8" w:rsidR="0044704C" w:rsidRDefault="0044704C" w:rsidP="0044704C">
      <w:pPr>
        <w:spacing w:line="360" w:lineRule="auto"/>
        <w:jc w:val="both"/>
        <w:rPr>
          <w:rFonts w:ascii="Times" w:hAnsi="Times"/>
        </w:rPr>
      </w:pPr>
      <w:r w:rsidRPr="007404EB">
        <w:rPr>
          <w:rFonts w:ascii="Times" w:hAnsi="Times"/>
        </w:rPr>
        <w:t>The results</w:t>
      </w:r>
      <w:r>
        <w:rPr>
          <w:rFonts w:ascii="Times" w:hAnsi="Times"/>
        </w:rPr>
        <w:t xml:space="preserve"> compare</w:t>
      </w:r>
      <w:r w:rsidRPr="007404EB">
        <w:rPr>
          <w:rFonts w:ascii="Times" w:hAnsi="Times"/>
        </w:rPr>
        <w:t xml:space="preserve"> the difference</w:t>
      </w:r>
      <w:r>
        <w:rPr>
          <w:rFonts w:ascii="Times" w:hAnsi="Times"/>
        </w:rPr>
        <w:t>s</w:t>
      </w:r>
      <w:r w:rsidRPr="007404EB">
        <w:rPr>
          <w:rFonts w:ascii="Times" w:hAnsi="Times"/>
        </w:rPr>
        <w:t xml:space="preserve"> in fl</w:t>
      </w:r>
      <w:r>
        <w:rPr>
          <w:rFonts w:ascii="Times" w:hAnsi="Times"/>
        </w:rPr>
        <w:t xml:space="preserve">ow through leaching behaviour within the NRVB </w:t>
      </w:r>
      <w:proofErr w:type="gramStart"/>
      <w:r>
        <w:rPr>
          <w:rFonts w:ascii="Times" w:hAnsi="Times"/>
        </w:rPr>
        <w:t>sample using</w:t>
      </w:r>
      <w:proofErr w:type="gramEnd"/>
      <w:r>
        <w:rPr>
          <w:rFonts w:ascii="Times" w:hAnsi="Times"/>
        </w:rPr>
        <w:t xml:space="preserve"> BLANK and SCEA solutions</w:t>
      </w:r>
      <w:r w:rsidRPr="007404EB">
        <w:rPr>
          <w:rFonts w:ascii="Times" w:hAnsi="Times"/>
        </w:rPr>
        <w:t>. As expected, both</w:t>
      </w:r>
      <w:r>
        <w:rPr>
          <w:rFonts w:ascii="Times" w:hAnsi="Times"/>
        </w:rPr>
        <w:t xml:space="preserve"> the collected</w:t>
      </w:r>
      <w:r w:rsidRPr="007404EB">
        <w:rPr>
          <w:rFonts w:ascii="Times" w:hAnsi="Times"/>
        </w:rPr>
        <w:t xml:space="preserve"> solutions</w:t>
      </w:r>
      <w:r>
        <w:rPr>
          <w:rFonts w:ascii="Times" w:hAnsi="Times"/>
        </w:rPr>
        <w:t xml:space="preserve"> are highly alkaline, with the pH decreasing over time due to </w:t>
      </w:r>
      <w:r w:rsidRPr="007404EB">
        <w:rPr>
          <w:rFonts w:ascii="Times" w:hAnsi="Times"/>
        </w:rPr>
        <w:t>the</w:t>
      </w:r>
      <w:r>
        <w:rPr>
          <w:rFonts w:ascii="Times" w:hAnsi="Times"/>
        </w:rPr>
        <w:t xml:space="preserve"> decrease of alkaline components in the NRVB sample via leaching. The SCEA leachate solution seems to be much more alkaline initially. The first collection</w:t>
      </w:r>
      <w:r w:rsidRPr="00DC5BC3">
        <w:rPr>
          <w:rFonts w:ascii="Times" w:hAnsi="Times"/>
        </w:rPr>
        <w:t xml:space="preserve"> of deionized water (equiv</w:t>
      </w:r>
      <w:r>
        <w:rPr>
          <w:rFonts w:ascii="Times" w:hAnsi="Times"/>
        </w:rPr>
        <w:t xml:space="preserve">alent to 0.5 </w:t>
      </w:r>
      <w:r w:rsidRPr="00DC5BC3">
        <w:rPr>
          <w:rFonts w:ascii="Times" w:hAnsi="Times"/>
        </w:rPr>
        <w:t>specimen volumes</w:t>
      </w:r>
      <w:r>
        <w:rPr>
          <w:rFonts w:ascii="Times" w:hAnsi="Times"/>
        </w:rPr>
        <w:t xml:space="preserve"> in SCEA and 0.79 in the blank</w:t>
      </w:r>
      <w:r w:rsidRPr="00DC5BC3">
        <w:rPr>
          <w:rFonts w:ascii="Times" w:hAnsi="Times"/>
        </w:rPr>
        <w:t xml:space="preserve">) produced leachates that although highly alkaline, were not the highest pH samples recorded, with values of </w:t>
      </w:r>
      <w:r>
        <w:rPr>
          <w:rFonts w:ascii="Times" w:hAnsi="Times"/>
        </w:rPr>
        <w:t>13.2 and 12.3 respectively, increasing to 13.5 and 12.45 in the second samples</w:t>
      </w:r>
      <w:r w:rsidR="00CE06D1">
        <w:rPr>
          <w:rFonts w:ascii="Times" w:hAnsi="Times"/>
        </w:rPr>
        <w:t xml:space="preserve"> (factor in error bars)</w:t>
      </w:r>
      <w:r w:rsidRPr="00DC5BC3">
        <w:rPr>
          <w:rFonts w:ascii="Times" w:hAnsi="Times"/>
        </w:rPr>
        <w:t>.</w:t>
      </w:r>
      <w:r>
        <w:rPr>
          <w:rFonts w:ascii="Times" w:hAnsi="Times"/>
        </w:rPr>
        <w:t xml:space="preserve"> </w:t>
      </w:r>
      <w:r w:rsidRPr="00DC5BC3">
        <w:rPr>
          <w:rFonts w:ascii="Times" w:hAnsi="Times"/>
        </w:rPr>
        <w:t xml:space="preserve">The lower pH of the first leachate samples </w:t>
      </w:r>
      <w:r>
        <w:rPr>
          <w:rFonts w:ascii="Times" w:hAnsi="Times"/>
        </w:rPr>
        <w:t xml:space="preserve">collected </w:t>
      </w:r>
      <w:r w:rsidRPr="00DC5BC3">
        <w:rPr>
          <w:rFonts w:ascii="Times" w:hAnsi="Times"/>
        </w:rPr>
        <w:t>is attributed to</w:t>
      </w:r>
      <w:r>
        <w:rPr>
          <w:rFonts w:ascii="Times" w:hAnsi="Times"/>
        </w:rPr>
        <w:t xml:space="preserve"> the</w:t>
      </w:r>
      <w:r w:rsidRPr="00DC5BC3">
        <w:rPr>
          <w:rFonts w:ascii="Times" w:hAnsi="Times"/>
        </w:rPr>
        <w:t xml:space="preserve"> dilution of the highly alkaline pore solution by interstitial water present in the porous stones</w:t>
      </w:r>
      <w:r>
        <w:rPr>
          <w:rFonts w:ascii="Times" w:hAnsi="Times"/>
        </w:rPr>
        <w:t>. These porous stones were wet with deionised water to remove air</w:t>
      </w:r>
      <w:r w:rsidRPr="00DC5BC3">
        <w:rPr>
          <w:rFonts w:ascii="Times" w:hAnsi="Times"/>
        </w:rPr>
        <w:t xml:space="preserve">. </w:t>
      </w:r>
      <w:r>
        <w:rPr>
          <w:rFonts w:ascii="Times" w:hAnsi="Times"/>
        </w:rPr>
        <w:t>The second</w:t>
      </w:r>
      <w:r w:rsidRPr="00DC5BC3">
        <w:rPr>
          <w:rFonts w:ascii="Times" w:hAnsi="Times"/>
        </w:rPr>
        <w:t xml:space="preserve"> leachate, were the mo</w:t>
      </w:r>
      <w:r>
        <w:rPr>
          <w:rFonts w:ascii="Times" w:hAnsi="Times"/>
        </w:rPr>
        <w:t>st alkaline leachates collected</w:t>
      </w:r>
      <w:r w:rsidRPr="00DC5BC3">
        <w:rPr>
          <w:rFonts w:ascii="Times" w:hAnsi="Times"/>
        </w:rPr>
        <w:t xml:space="preserve">. </w:t>
      </w:r>
      <w:r>
        <w:rPr>
          <w:rFonts w:ascii="Times" w:hAnsi="Times"/>
        </w:rPr>
        <w:t>This high alkalinity</w:t>
      </w:r>
      <w:r w:rsidRPr="00DC5BC3">
        <w:rPr>
          <w:rFonts w:ascii="Times" w:hAnsi="Times"/>
        </w:rPr>
        <w:t xml:space="preserve"> </w:t>
      </w:r>
      <w:r>
        <w:rPr>
          <w:rFonts w:ascii="Times" w:hAnsi="Times"/>
        </w:rPr>
        <w:t>is expected to be due to</w:t>
      </w:r>
      <w:r w:rsidRPr="00DC5BC3">
        <w:rPr>
          <w:rFonts w:ascii="Times" w:hAnsi="Times"/>
        </w:rPr>
        <w:t xml:space="preserve"> a combination of sodium and potassium hydroxides, with some calcium hydroxide from the dissolution of portlandite. </w:t>
      </w:r>
      <w:r w:rsidR="00C4581E">
        <w:rPr>
          <w:rFonts w:ascii="Times" w:hAnsi="Times"/>
        </w:rPr>
        <w:t>ICP-MS data shows</w:t>
      </w:r>
      <w:r>
        <w:rPr>
          <w:rFonts w:ascii="Times" w:hAnsi="Times"/>
        </w:rPr>
        <w:t xml:space="preserve"> that the concentration of sodium and potassium corresponded </w:t>
      </w:r>
      <w:r w:rsidR="0082619A">
        <w:rPr>
          <w:rFonts w:ascii="Times" w:hAnsi="Times"/>
        </w:rPr>
        <w:t>with the pH levels. Figure 4.104</w:t>
      </w:r>
      <w:r>
        <w:rPr>
          <w:rFonts w:ascii="Times" w:hAnsi="Times"/>
        </w:rPr>
        <w:t xml:space="preserve"> shows the concentration of sodium in leachate </w:t>
      </w:r>
      <w:r w:rsidR="000D4AEA">
        <w:rPr>
          <w:rFonts w:ascii="Times" w:hAnsi="Times"/>
        </w:rPr>
        <w:t>compared with</w:t>
      </w:r>
      <w:r>
        <w:rPr>
          <w:rFonts w:ascii="Times" w:hAnsi="Times"/>
        </w:rPr>
        <w:t xml:space="preserve"> the pH levels of SCEA</w:t>
      </w:r>
      <w:r w:rsidR="00EA052C">
        <w:rPr>
          <w:rFonts w:ascii="Times" w:hAnsi="Times"/>
        </w:rPr>
        <w:t xml:space="preserve"> and figure 4.105 shows the </w:t>
      </w:r>
      <w:r w:rsidR="00574EEE">
        <w:rPr>
          <w:rFonts w:ascii="Times" w:hAnsi="Times"/>
        </w:rPr>
        <w:t>concentration</w:t>
      </w:r>
      <w:r w:rsidR="00EA052C">
        <w:rPr>
          <w:rFonts w:ascii="Times" w:hAnsi="Times"/>
        </w:rPr>
        <w:t xml:space="preserve"> of potassium leachate</w:t>
      </w:r>
      <w:r>
        <w:rPr>
          <w:rFonts w:ascii="Times" w:hAnsi="Times"/>
        </w:rPr>
        <w:t>. The pH is then maintained at around 12-13 due to the leaching of portlandite.</w:t>
      </w:r>
    </w:p>
    <w:p w14:paraId="6B3E0B93" w14:textId="77777777" w:rsidR="00574EEE" w:rsidRDefault="00574EEE" w:rsidP="0044704C">
      <w:pPr>
        <w:spacing w:line="360" w:lineRule="auto"/>
        <w:jc w:val="both"/>
        <w:rPr>
          <w:rFonts w:ascii="Times" w:hAnsi="Times"/>
        </w:rPr>
      </w:pPr>
    </w:p>
    <w:p w14:paraId="464EF106" w14:textId="77777777" w:rsidR="00574EEE" w:rsidRDefault="00574EEE" w:rsidP="0044704C">
      <w:pPr>
        <w:spacing w:line="360" w:lineRule="auto"/>
        <w:jc w:val="both"/>
        <w:rPr>
          <w:rFonts w:ascii="Times" w:hAnsi="Times"/>
        </w:rPr>
      </w:pPr>
    </w:p>
    <w:p w14:paraId="09BB162D" w14:textId="77777777" w:rsidR="00574EEE" w:rsidRDefault="00574EEE" w:rsidP="0044704C">
      <w:pPr>
        <w:jc w:val="center"/>
        <w:rPr>
          <w:rFonts w:ascii="Times" w:hAnsi="Times"/>
          <w:b/>
        </w:rPr>
      </w:pPr>
    </w:p>
    <w:p w14:paraId="5E438027" w14:textId="43DB79E7" w:rsidR="0044704C" w:rsidRDefault="00574EEE" w:rsidP="0044704C">
      <w:pPr>
        <w:jc w:val="center"/>
        <w:rPr>
          <w:rFonts w:ascii="Times" w:hAnsi="Times"/>
        </w:rPr>
      </w:pPr>
      <w:r>
        <w:rPr>
          <w:noProof/>
        </w:rPr>
        <w:drawing>
          <wp:inline distT="0" distB="0" distL="0" distR="0" wp14:anchorId="1B039340" wp14:editId="69A819FE">
            <wp:extent cx="5486400" cy="2606675"/>
            <wp:effectExtent l="0" t="0" r="25400" b="34925"/>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r w:rsidDel="008535D2">
        <w:rPr>
          <w:noProof/>
        </w:rPr>
        <w:t xml:space="preserve"> </w:t>
      </w:r>
      <w:r w:rsidR="0082619A">
        <w:rPr>
          <w:rFonts w:ascii="Times" w:hAnsi="Times"/>
          <w:b/>
        </w:rPr>
        <w:t>Figure 4.104</w:t>
      </w:r>
      <w:r w:rsidR="0044704C" w:rsidRPr="00AA7FE9">
        <w:rPr>
          <w:rFonts w:ascii="Times" w:hAnsi="Times"/>
          <w:b/>
        </w:rPr>
        <w:t xml:space="preserve">: </w:t>
      </w:r>
      <w:r w:rsidR="0044704C">
        <w:rPr>
          <w:rFonts w:ascii="Times" w:hAnsi="Times"/>
        </w:rPr>
        <w:t xml:space="preserve">concentration of sodium in leachate </w:t>
      </w:r>
      <w:r w:rsidR="000D4AEA">
        <w:rPr>
          <w:rFonts w:ascii="Times" w:hAnsi="Times"/>
        </w:rPr>
        <w:t>compared with</w:t>
      </w:r>
      <w:r w:rsidR="0044704C">
        <w:rPr>
          <w:rFonts w:ascii="Times" w:hAnsi="Times"/>
        </w:rPr>
        <w:t xml:space="preserve"> the pH levels</w:t>
      </w:r>
      <w:r w:rsidR="00CE06D1">
        <w:rPr>
          <w:rFonts w:ascii="Times" w:hAnsi="Times"/>
        </w:rPr>
        <w:t xml:space="preserve"> </w:t>
      </w:r>
    </w:p>
    <w:p w14:paraId="5D815F4D" w14:textId="77777777" w:rsidR="00574EEE" w:rsidRDefault="00574EEE" w:rsidP="0044704C">
      <w:pPr>
        <w:jc w:val="center"/>
        <w:rPr>
          <w:rFonts w:ascii="Times" w:hAnsi="Times"/>
        </w:rPr>
      </w:pPr>
    </w:p>
    <w:p w14:paraId="4731EAEF" w14:textId="77777777" w:rsidR="00574EEE" w:rsidRDefault="00574EEE" w:rsidP="0044704C">
      <w:pPr>
        <w:jc w:val="center"/>
        <w:rPr>
          <w:rFonts w:ascii="Times" w:hAnsi="Times"/>
        </w:rPr>
      </w:pPr>
    </w:p>
    <w:p w14:paraId="7DD3A811" w14:textId="61FC475A" w:rsidR="008535D2" w:rsidRDefault="008535D2" w:rsidP="008535D2">
      <w:pPr>
        <w:jc w:val="center"/>
        <w:rPr>
          <w:rFonts w:ascii="Times" w:hAnsi="Times"/>
        </w:rPr>
      </w:pPr>
      <w:r>
        <w:rPr>
          <w:noProof/>
        </w:rPr>
        <w:drawing>
          <wp:inline distT="0" distB="0" distL="0" distR="0" wp14:anchorId="3DD66316" wp14:editId="77D1BD49">
            <wp:extent cx="5270500" cy="2504098"/>
            <wp:effectExtent l="0" t="0" r="12700" b="36195"/>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r w:rsidRPr="008535D2">
        <w:rPr>
          <w:rFonts w:ascii="Times" w:hAnsi="Times"/>
          <w:b/>
        </w:rPr>
        <w:t xml:space="preserve"> </w:t>
      </w:r>
      <w:r>
        <w:rPr>
          <w:rFonts w:ascii="Times" w:hAnsi="Times"/>
          <w:b/>
        </w:rPr>
        <w:t xml:space="preserve">Figure 4.105: </w:t>
      </w:r>
      <w:r>
        <w:rPr>
          <w:rFonts w:ascii="Times" w:hAnsi="Times"/>
        </w:rPr>
        <w:t xml:space="preserve">concentration of potassium in leachate compared with the pH levels </w:t>
      </w:r>
    </w:p>
    <w:p w14:paraId="5E98523A" w14:textId="0D93DE92" w:rsidR="0044704C" w:rsidRDefault="006F2B89" w:rsidP="0044704C">
      <w:pPr>
        <w:spacing w:line="360" w:lineRule="auto"/>
        <w:jc w:val="both"/>
        <w:rPr>
          <w:rFonts w:ascii="Times" w:hAnsi="Times"/>
        </w:rPr>
      </w:pPr>
      <w:r>
        <w:rPr>
          <w:rFonts w:ascii="Times" w:hAnsi="Times"/>
        </w:rPr>
        <w:br/>
      </w:r>
      <w:r w:rsidR="00574EEE">
        <w:rPr>
          <w:rFonts w:ascii="Times" w:hAnsi="Times"/>
        </w:rPr>
        <w:t xml:space="preserve">The sodium and potassium could be leaching from the NRVB sample itself or passing through from the original SCEA solution. </w:t>
      </w:r>
      <w:r w:rsidR="004C7A66">
        <w:rPr>
          <w:rFonts w:ascii="Times" w:hAnsi="Times"/>
        </w:rPr>
        <w:t xml:space="preserve">However given that the pH drops in the SCEA sample to levels similar to that of the blank sample this indicates that the high amounts of Na and K initially were leached from the NRVB as opposed to coming from the original solution, this is because breakthrough of organic compounds (complexed by the superplasticisers) was noticed around 3 specimen volumes and therefore if the Na and K amounts were linked to the SCEA solution we would expect the pH to increase sharply are around 3-4 specimen values. </w:t>
      </w:r>
      <w:r w:rsidR="00574EEE">
        <w:rPr>
          <w:rFonts w:ascii="Times" w:hAnsi="Times"/>
        </w:rPr>
        <w:t>However</w:t>
      </w:r>
      <w:r w:rsidR="0044704C">
        <w:rPr>
          <w:rFonts w:ascii="Times" w:hAnsi="Times"/>
        </w:rPr>
        <w:t xml:space="preserve"> Fig </w:t>
      </w:r>
      <w:proofErr w:type="gramStart"/>
      <w:r w:rsidR="0044704C">
        <w:rPr>
          <w:rFonts w:ascii="Times" w:hAnsi="Times"/>
        </w:rPr>
        <w:t>4.10</w:t>
      </w:r>
      <w:r w:rsidR="007B0FB3">
        <w:rPr>
          <w:rFonts w:ascii="Times" w:hAnsi="Times"/>
        </w:rPr>
        <w:t>4</w:t>
      </w:r>
      <w:r w:rsidR="0044704C">
        <w:rPr>
          <w:rFonts w:ascii="Times" w:hAnsi="Times"/>
        </w:rPr>
        <w:t xml:space="preserve"> </w:t>
      </w:r>
      <w:r w:rsidR="00574EEE">
        <w:rPr>
          <w:rFonts w:ascii="Times" w:hAnsi="Times"/>
        </w:rPr>
        <w:t xml:space="preserve"> and</w:t>
      </w:r>
      <w:proofErr w:type="gramEnd"/>
      <w:r w:rsidR="00574EEE">
        <w:rPr>
          <w:rFonts w:ascii="Times" w:hAnsi="Times"/>
        </w:rPr>
        <w:t xml:space="preserve"> 4.105 show that this is not the case and the pH continues decreasing. </w:t>
      </w:r>
    </w:p>
    <w:p w14:paraId="2DE29525" w14:textId="61CF0DEB" w:rsidR="00C95F49" w:rsidRDefault="00CE06D1" w:rsidP="0044704C">
      <w:pPr>
        <w:spacing w:line="360" w:lineRule="auto"/>
        <w:jc w:val="both"/>
        <w:rPr>
          <w:rFonts w:ascii="Times" w:hAnsi="Times"/>
        </w:rPr>
      </w:pPr>
      <w:r>
        <w:rPr>
          <w:rFonts w:ascii="Times" w:hAnsi="Times"/>
        </w:rPr>
        <w:lastRenderedPageBreak/>
        <w:t>The</w:t>
      </w:r>
      <w:r w:rsidR="0044704C">
        <w:rPr>
          <w:rFonts w:ascii="Times" w:hAnsi="Times"/>
        </w:rPr>
        <w:t xml:space="preserve"> TOC and ICP-MS results indicate that breakthrough occurs at around 2-3 specimen volumes</w:t>
      </w:r>
      <w:r w:rsidR="00574EEE">
        <w:rPr>
          <w:rFonts w:ascii="Times" w:hAnsi="Times"/>
        </w:rPr>
        <w:t xml:space="preserve">, suggesting that for the first 2 specimen volumes the </w:t>
      </w:r>
      <w:r w:rsidR="004C7A66">
        <w:rPr>
          <w:rFonts w:ascii="Times" w:hAnsi="Times"/>
        </w:rPr>
        <w:t>organic</w:t>
      </w:r>
      <w:r w:rsidR="00574EEE">
        <w:rPr>
          <w:rFonts w:ascii="Times" w:hAnsi="Times"/>
        </w:rPr>
        <w:t xml:space="preserve"> </w:t>
      </w:r>
      <w:r w:rsidR="004C7A66">
        <w:rPr>
          <w:rFonts w:ascii="Times" w:hAnsi="Times"/>
        </w:rPr>
        <w:t>components</w:t>
      </w:r>
      <w:r w:rsidR="00574EEE">
        <w:rPr>
          <w:rFonts w:ascii="Times" w:hAnsi="Times"/>
        </w:rPr>
        <w:t xml:space="preserve"> were predominantly removed from solution and retained within the NRVB</w:t>
      </w:r>
      <w:r w:rsidR="0044704C">
        <w:rPr>
          <w:rFonts w:ascii="Times" w:hAnsi="Times"/>
        </w:rPr>
        <w:t xml:space="preserve">. </w:t>
      </w:r>
      <w:r w:rsidR="0044704C" w:rsidRPr="007404EB">
        <w:rPr>
          <w:rFonts w:ascii="Times" w:hAnsi="Times"/>
        </w:rPr>
        <w:t xml:space="preserve">The NRVB cement sample interacting with the </w:t>
      </w:r>
      <w:r w:rsidR="0044704C">
        <w:rPr>
          <w:rFonts w:ascii="Times" w:hAnsi="Times"/>
        </w:rPr>
        <w:t>SCEA allowed 1% more of</w:t>
      </w:r>
      <w:r w:rsidR="0044704C" w:rsidRPr="007404EB">
        <w:rPr>
          <w:rFonts w:ascii="Times" w:hAnsi="Times"/>
        </w:rPr>
        <w:t xml:space="preserve"> the original cerium </w:t>
      </w:r>
      <w:r w:rsidR="0044704C">
        <w:rPr>
          <w:rFonts w:ascii="Times" w:hAnsi="Times"/>
        </w:rPr>
        <w:t xml:space="preserve">to pass through in </w:t>
      </w:r>
      <w:r w:rsidR="0044704C" w:rsidRPr="007404EB">
        <w:rPr>
          <w:rFonts w:ascii="Times" w:hAnsi="Times"/>
        </w:rPr>
        <w:t xml:space="preserve">than in the blank. </w:t>
      </w:r>
      <w:r w:rsidR="0044704C">
        <w:rPr>
          <w:rFonts w:ascii="Times" w:hAnsi="Times"/>
        </w:rPr>
        <w:t xml:space="preserve">The breakthrough of the organic compounds occurred at </w:t>
      </w:r>
      <w:r w:rsidR="00B66558">
        <w:rPr>
          <w:rFonts w:ascii="Times" w:hAnsi="Times"/>
        </w:rPr>
        <w:t>the same stage in both samples and</w:t>
      </w:r>
      <w:r w:rsidR="0044704C">
        <w:rPr>
          <w:rFonts w:ascii="Times" w:hAnsi="Times"/>
        </w:rPr>
        <w:t xml:space="preserve"> the Ce seems to have diffused</w:t>
      </w:r>
      <w:r w:rsidR="00B66558">
        <w:rPr>
          <w:rFonts w:ascii="Times" w:hAnsi="Times"/>
        </w:rPr>
        <w:t xml:space="preserve"> only marginally more</w:t>
      </w:r>
      <w:r w:rsidR="0044704C">
        <w:rPr>
          <w:rFonts w:ascii="Times" w:hAnsi="Times"/>
        </w:rPr>
        <w:t xml:space="preserve"> readily</w:t>
      </w:r>
      <w:r w:rsidR="00B66558">
        <w:rPr>
          <w:rFonts w:ascii="Times" w:hAnsi="Times"/>
        </w:rPr>
        <w:t xml:space="preserve"> out of NRVB in the SCEA sample. This was not expected </w:t>
      </w:r>
      <w:proofErr w:type="gramStart"/>
      <w:r w:rsidR="00B66558">
        <w:rPr>
          <w:rFonts w:ascii="Times" w:hAnsi="Times"/>
        </w:rPr>
        <w:t xml:space="preserve">as significantly more Ce was predicted to </w:t>
      </w:r>
      <w:r w:rsidR="00C95F49">
        <w:rPr>
          <w:rFonts w:ascii="Times" w:hAnsi="Times"/>
        </w:rPr>
        <w:t xml:space="preserve">flow through </w:t>
      </w:r>
      <w:r w:rsidR="00B66558">
        <w:rPr>
          <w:rFonts w:ascii="Times" w:hAnsi="Times"/>
        </w:rPr>
        <w:t xml:space="preserve">based on past research by </w:t>
      </w:r>
      <w:r w:rsidR="003440B7">
        <w:rPr>
          <w:rFonts w:ascii="Times" w:hAnsi="Times"/>
        </w:rPr>
        <w:t>Clacher and Coopwer</w:t>
      </w:r>
      <w:proofErr w:type="gramEnd"/>
      <w:r w:rsidR="00B66558">
        <w:rPr>
          <w:rFonts w:ascii="Times" w:hAnsi="Times"/>
        </w:rPr>
        <w:t xml:space="preserve"> [</w:t>
      </w:r>
      <w:r w:rsidR="003440B7">
        <w:rPr>
          <w:rFonts w:ascii="Times" w:hAnsi="Times"/>
        </w:rPr>
        <w:t>88]</w:t>
      </w:r>
      <w:r w:rsidR="00B66558">
        <w:rPr>
          <w:rFonts w:ascii="Times" w:hAnsi="Times"/>
        </w:rPr>
        <w:t>. They</w:t>
      </w:r>
      <w:r w:rsidR="0044704C">
        <w:rPr>
          <w:rFonts w:ascii="Times" w:hAnsi="Times"/>
        </w:rPr>
        <w:t xml:space="preserve"> found that the exposure of the cement matrix to superplasticisers causes complexing of radionuclides such </w:t>
      </w:r>
      <w:r w:rsidR="00C95F49">
        <w:rPr>
          <w:rFonts w:ascii="Times" w:hAnsi="Times"/>
        </w:rPr>
        <w:t xml:space="preserve">as </w:t>
      </w:r>
      <w:r w:rsidR="0044704C">
        <w:rPr>
          <w:rFonts w:ascii="Times" w:hAnsi="Times"/>
        </w:rPr>
        <w:t xml:space="preserve">plutonium and uranium and an increase in organic compounds within the </w:t>
      </w:r>
      <w:proofErr w:type="gramStart"/>
      <w:r w:rsidR="0044704C">
        <w:rPr>
          <w:rFonts w:ascii="Times" w:hAnsi="Times"/>
        </w:rPr>
        <w:t>cement which</w:t>
      </w:r>
      <w:proofErr w:type="gramEnd"/>
      <w:r w:rsidR="0044704C">
        <w:rPr>
          <w:rFonts w:ascii="Times" w:hAnsi="Times"/>
        </w:rPr>
        <w:t xml:space="preserve"> caused both the radionuclides to </w:t>
      </w:r>
      <w:r w:rsidR="006F2B89">
        <w:rPr>
          <w:rFonts w:ascii="Times" w:hAnsi="Times"/>
        </w:rPr>
        <w:t>leach</w:t>
      </w:r>
      <w:r w:rsidR="0044704C">
        <w:rPr>
          <w:rFonts w:ascii="Times" w:hAnsi="Times"/>
        </w:rPr>
        <w:t xml:space="preserve"> more readily into solution</w:t>
      </w:r>
      <w:r w:rsidR="00C95F49">
        <w:rPr>
          <w:rFonts w:ascii="Times" w:hAnsi="Times"/>
        </w:rPr>
        <w:t xml:space="preserve">. </w:t>
      </w:r>
    </w:p>
    <w:p w14:paraId="4DAC1BF3" w14:textId="77777777" w:rsidR="001C113F" w:rsidRDefault="001C113F" w:rsidP="0044704C">
      <w:pPr>
        <w:spacing w:line="360" w:lineRule="auto"/>
        <w:jc w:val="both"/>
        <w:rPr>
          <w:rFonts w:ascii="Times" w:hAnsi="Times" w:cs="Times New Roman"/>
          <w:b/>
          <w:bCs/>
          <w:smallCaps/>
          <w:sz w:val="38"/>
          <w:szCs w:val="28"/>
          <w:u w:val="single"/>
        </w:rPr>
      </w:pPr>
    </w:p>
    <w:p w14:paraId="17883B73" w14:textId="77777777" w:rsidR="0044704C" w:rsidRPr="00AA7FE9" w:rsidRDefault="0044704C" w:rsidP="0044704C">
      <w:pPr>
        <w:pStyle w:val="Hidden"/>
        <w:rPr>
          <w:rFonts w:ascii="Times" w:hAnsi="Times"/>
        </w:rPr>
      </w:pPr>
      <w:r w:rsidRPr="00AA7FE9">
        <w:rPr>
          <w:rFonts w:ascii="Times" w:hAnsi="Times"/>
        </w:rPr>
        <w:t>Something must be concluded from the report – positive or negative. Even an interim report has a conclusion, e.g. The work is progressing to plan.</w:t>
      </w:r>
    </w:p>
    <w:p w14:paraId="605D7734" w14:textId="77777777" w:rsidR="0044704C" w:rsidRPr="00AA7FE9" w:rsidRDefault="0044704C" w:rsidP="0044704C">
      <w:pPr>
        <w:spacing w:after="120" w:line="440" w:lineRule="atLeast"/>
        <w:rPr>
          <w:rFonts w:ascii="Times" w:hAnsi="Times" w:cs="Times New Roman"/>
        </w:rPr>
      </w:pPr>
    </w:p>
    <w:p w14:paraId="1ADD9224" w14:textId="77777777" w:rsidR="0044704C" w:rsidRDefault="0044704C" w:rsidP="001F7280">
      <w:pPr>
        <w:spacing w:before="240" w:after="120"/>
        <w:jc w:val="both"/>
        <w:rPr>
          <w:rFonts w:ascii="Times New Roman" w:hAnsi="Times New Roman" w:cs="Times New Roman"/>
          <w:sz w:val="22"/>
          <w:szCs w:val="22"/>
        </w:rPr>
      </w:pPr>
    </w:p>
    <w:p w14:paraId="3FB77FA0" w14:textId="77777777" w:rsidR="001A4B7D" w:rsidRDefault="001A4B7D" w:rsidP="001F7280">
      <w:pPr>
        <w:spacing w:before="240" w:after="120"/>
        <w:jc w:val="both"/>
        <w:rPr>
          <w:rFonts w:ascii="Times New Roman" w:hAnsi="Times New Roman" w:cs="Times New Roman"/>
          <w:sz w:val="22"/>
          <w:szCs w:val="22"/>
        </w:rPr>
      </w:pPr>
    </w:p>
    <w:p w14:paraId="0202F462" w14:textId="77777777" w:rsidR="00271DB2" w:rsidRDefault="00271DB2" w:rsidP="001F7280">
      <w:pPr>
        <w:spacing w:before="240" w:after="120"/>
        <w:jc w:val="both"/>
        <w:rPr>
          <w:rFonts w:ascii="Times New Roman" w:hAnsi="Times New Roman" w:cs="Times New Roman"/>
          <w:sz w:val="22"/>
          <w:szCs w:val="22"/>
        </w:rPr>
      </w:pPr>
    </w:p>
    <w:p w14:paraId="46661730" w14:textId="77777777" w:rsidR="00271DB2" w:rsidRDefault="00271DB2" w:rsidP="001F7280">
      <w:pPr>
        <w:spacing w:before="240" w:after="120"/>
        <w:jc w:val="both"/>
        <w:rPr>
          <w:rFonts w:ascii="Times New Roman" w:hAnsi="Times New Roman" w:cs="Times New Roman"/>
          <w:sz w:val="22"/>
          <w:szCs w:val="22"/>
        </w:rPr>
      </w:pPr>
    </w:p>
    <w:p w14:paraId="55946022" w14:textId="77777777" w:rsidR="00271DB2" w:rsidRDefault="00271DB2" w:rsidP="001F7280">
      <w:pPr>
        <w:spacing w:before="240" w:after="120"/>
        <w:jc w:val="both"/>
        <w:rPr>
          <w:rFonts w:ascii="Times New Roman" w:hAnsi="Times New Roman" w:cs="Times New Roman"/>
          <w:sz w:val="22"/>
          <w:szCs w:val="22"/>
        </w:rPr>
      </w:pPr>
    </w:p>
    <w:p w14:paraId="3838E513" w14:textId="77777777" w:rsidR="00271DB2" w:rsidRDefault="00271DB2" w:rsidP="001F7280">
      <w:pPr>
        <w:spacing w:before="240" w:after="120"/>
        <w:jc w:val="both"/>
        <w:rPr>
          <w:rFonts w:ascii="Times New Roman" w:hAnsi="Times New Roman" w:cs="Times New Roman"/>
          <w:sz w:val="22"/>
          <w:szCs w:val="22"/>
        </w:rPr>
      </w:pPr>
    </w:p>
    <w:p w14:paraId="79B8D2E1" w14:textId="77777777" w:rsidR="00271DB2" w:rsidRDefault="00271DB2" w:rsidP="001F7280">
      <w:pPr>
        <w:spacing w:before="240" w:after="120"/>
        <w:jc w:val="both"/>
        <w:rPr>
          <w:rFonts w:ascii="Times New Roman" w:hAnsi="Times New Roman" w:cs="Times New Roman"/>
          <w:sz w:val="22"/>
          <w:szCs w:val="22"/>
        </w:rPr>
      </w:pPr>
    </w:p>
    <w:p w14:paraId="427EFECB" w14:textId="77777777" w:rsidR="00271DB2" w:rsidRDefault="00271DB2" w:rsidP="001F7280">
      <w:pPr>
        <w:spacing w:before="240" w:after="120"/>
        <w:jc w:val="both"/>
        <w:rPr>
          <w:rFonts w:ascii="Times New Roman" w:hAnsi="Times New Roman" w:cs="Times New Roman"/>
          <w:sz w:val="22"/>
          <w:szCs w:val="22"/>
        </w:rPr>
      </w:pPr>
    </w:p>
    <w:p w14:paraId="1D0191BB" w14:textId="77777777" w:rsidR="00271DB2" w:rsidRDefault="00271DB2" w:rsidP="001F7280">
      <w:pPr>
        <w:spacing w:before="240" w:after="120"/>
        <w:jc w:val="both"/>
        <w:rPr>
          <w:rFonts w:ascii="Times New Roman" w:hAnsi="Times New Roman" w:cs="Times New Roman"/>
          <w:sz w:val="22"/>
          <w:szCs w:val="22"/>
        </w:rPr>
      </w:pPr>
    </w:p>
    <w:p w14:paraId="6040808F" w14:textId="77777777" w:rsidR="00271DB2" w:rsidRDefault="00271DB2" w:rsidP="001F7280">
      <w:pPr>
        <w:spacing w:before="240" w:after="120"/>
        <w:jc w:val="both"/>
        <w:rPr>
          <w:rFonts w:ascii="Times New Roman" w:hAnsi="Times New Roman" w:cs="Times New Roman"/>
          <w:sz w:val="22"/>
          <w:szCs w:val="22"/>
        </w:rPr>
      </w:pPr>
    </w:p>
    <w:p w14:paraId="2590CEAF" w14:textId="77777777" w:rsidR="00271DB2" w:rsidRDefault="00271DB2" w:rsidP="001F7280">
      <w:pPr>
        <w:spacing w:before="240" w:after="120"/>
        <w:jc w:val="both"/>
        <w:rPr>
          <w:rFonts w:ascii="Times New Roman" w:hAnsi="Times New Roman" w:cs="Times New Roman"/>
          <w:sz w:val="22"/>
          <w:szCs w:val="22"/>
        </w:rPr>
      </w:pPr>
    </w:p>
    <w:p w14:paraId="3F55D628" w14:textId="77777777" w:rsidR="00271DB2" w:rsidRDefault="00271DB2" w:rsidP="001F7280">
      <w:pPr>
        <w:spacing w:before="240" w:after="120"/>
        <w:jc w:val="both"/>
        <w:rPr>
          <w:rFonts w:ascii="Times New Roman" w:hAnsi="Times New Roman" w:cs="Times New Roman"/>
          <w:sz w:val="22"/>
          <w:szCs w:val="22"/>
        </w:rPr>
      </w:pPr>
    </w:p>
    <w:p w14:paraId="5B059A6A" w14:textId="77777777" w:rsidR="00271DB2" w:rsidRDefault="00271DB2" w:rsidP="001F7280">
      <w:pPr>
        <w:spacing w:before="240" w:after="120"/>
        <w:jc w:val="both"/>
        <w:rPr>
          <w:rFonts w:ascii="Times New Roman" w:hAnsi="Times New Roman" w:cs="Times New Roman"/>
          <w:sz w:val="22"/>
          <w:szCs w:val="22"/>
        </w:rPr>
      </w:pPr>
    </w:p>
    <w:p w14:paraId="0101C534" w14:textId="77777777" w:rsidR="00271DB2" w:rsidRDefault="00271DB2" w:rsidP="001F7280">
      <w:pPr>
        <w:spacing w:before="240" w:after="120"/>
        <w:jc w:val="both"/>
        <w:rPr>
          <w:rFonts w:ascii="Times New Roman" w:hAnsi="Times New Roman" w:cs="Times New Roman"/>
          <w:sz w:val="22"/>
          <w:szCs w:val="22"/>
        </w:rPr>
      </w:pPr>
    </w:p>
    <w:p w14:paraId="0BEE9A23" w14:textId="77777777" w:rsidR="00271DB2" w:rsidRDefault="00271DB2" w:rsidP="001F7280">
      <w:pPr>
        <w:spacing w:before="240" w:after="120"/>
        <w:jc w:val="both"/>
        <w:rPr>
          <w:rFonts w:ascii="Times New Roman" w:hAnsi="Times New Roman" w:cs="Times New Roman"/>
          <w:sz w:val="22"/>
          <w:szCs w:val="22"/>
        </w:rPr>
      </w:pPr>
    </w:p>
    <w:p w14:paraId="03BA622A" w14:textId="77777777" w:rsidR="00850FF1" w:rsidRDefault="00850FF1" w:rsidP="00FB1F9F">
      <w:pPr>
        <w:pBdr>
          <w:top w:val="single" w:sz="4" w:space="13" w:color="auto"/>
          <w:bottom w:val="single" w:sz="4" w:space="15" w:color="auto"/>
        </w:pBdr>
        <w:spacing w:after="120"/>
        <w:contextualSpacing/>
        <w:jc w:val="center"/>
        <w:rPr>
          <w:rFonts w:ascii="Times New Roman" w:hAnsi="Times New Roman" w:cs="Times New Roman"/>
          <w:bCs/>
          <w:smallCaps/>
          <w:sz w:val="48"/>
          <w:szCs w:val="28"/>
        </w:rPr>
      </w:pPr>
      <w:r>
        <w:rPr>
          <w:rFonts w:ascii="Times New Roman" w:hAnsi="Times New Roman" w:cs="Times New Roman"/>
          <w:bCs/>
          <w:smallCaps/>
          <w:sz w:val="48"/>
          <w:szCs w:val="28"/>
        </w:rPr>
        <w:lastRenderedPageBreak/>
        <w:t>References</w:t>
      </w:r>
    </w:p>
    <w:p w14:paraId="20549404" w14:textId="77777777" w:rsidR="00850FF1" w:rsidRDefault="00850FF1" w:rsidP="00FB1F9F">
      <w:pPr>
        <w:pBdr>
          <w:top w:val="single" w:sz="4" w:space="13" w:color="auto"/>
          <w:bottom w:val="single" w:sz="4" w:space="15" w:color="auto"/>
        </w:pBdr>
        <w:spacing w:before="120" w:after="120"/>
        <w:jc w:val="center"/>
        <w:rPr>
          <w:rFonts w:ascii="Times New Roman" w:hAnsi="Times New Roman" w:cs="Times New Roman"/>
          <w:sz w:val="28"/>
          <w:szCs w:val="28"/>
        </w:rPr>
      </w:pPr>
      <w:r>
        <w:rPr>
          <w:rFonts w:ascii="Times New Roman" w:hAnsi="Times New Roman" w:cs="Times New Roman"/>
          <w:sz w:val="28"/>
          <w:szCs w:val="28"/>
        </w:rPr>
        <w:t>Chapter 4: Results and Discussion</w:t>
      </w:r>
    </w:p>
    <w:p w14:paraId="67BF1E1D" w14:textId="77777777" w:rsidR="00850FF1" w:rsidRPr="00FB1F9F" w:rsidRDefault="00850FF1" w:rsidP="00850FF1">
      <w:pPr>
        <w:spacing w:before="240" w:after="240"/>
        <w:ind w:left="720" w:hanging="720"/>
        <w:jc w:val="both"/>
        <w:rPr>
          <w:rFonts w:ascii="Times New Roman" w:hAnsi="Times New Roman" w:cs="Times New Roman"/>
          <w:color w:val="000000"/>
        </w:rPr>
      </w:pPr>
      <w:r w:rsidRPr="00FB1F9F">
        <w:rPr>
          <w:rFonts w:ascii="Times" w:hAnsi="Times"/>
        </w:rPr>
        <w:t>[1]</w:t>
      </w:r>
      <w:r w:rsidRPr="00FB1F9F">
        <w:rPr>
          <w:rFonts w:ascii="Times" w:hAnsi="Times"/>
        </w:rPr>
        <w:tab/>
      </w:r>
      <w:r w:rsidRPr="00FB1F9F">
        <w:rPr>
          <w:rFonts w:ascii="Times New Roman" w:hAnsi="Times New Roman" w:cs="Times New Roman"/>
          <w:color w:val="000000"/>
        </w:rPr>
        <w:t xml:space="preserve">Gastuche, M.C. Brown, G. Mortland, M.M. (1967) Mixed magnesium-aluminium hydroxides I. Preparation and characterisation of compounds formed in dialysed systems, </w:t>
      </w:r>
      <w:r w:rsidRPr="00FB1F9F">
        <w:rPr>
          <w:rFonts w:ascii="Times New Roman" w:hAnsi="Times New Roman" w:cs="Times New Roman"/>
          <w:i/>
          <w:color w:val="000000"/>
        </w:rPr>
        <w:t>Clay Minerals,</w:t>
      </w:r>
      <w:r w:rsidRPr="00FB1F9F">
        <w:rPr>
          <w:rFonts w:ascii="Times New Roman" w:hAnsi="Times New Roman" w:cs="Times New Roman"/>
          <w:color w:val="000000"/>
        </w:rPr>
        <w:t xml:space="preserve"> 7, 177-192.</w:t>
      </w:r>
    </w:p>
    <w:p w14:paraId="29F33560" w14:textId="77777777" w:rsidR="00850FF1" w:rsidRPr="00FB1F9F" w:rsidRDefault="00850FF1" w:rsidP="00850FF1">
      <w:pPr>
        <w:spacing w:before="240" w:after="240"/>
        <w:ind w:left="720" w:hanging="720"/>
        <w:jc w:val="both"/>
        <w:rPr>
          <w:rFonts w:ascii="Times New Roman" w:hAnsi="Times New Roman" w:cs="Times New Roman"/>
          <w:lang w:val="en-GB"/>
        </w:rPr>
      </w:pPr>
      <w:r w:rsidRPr="00FB1F9F">
        <w:rPr>
          <w:rFonts w:ascii="Times New Roman" w:hAnsi="Times New Roman" w:cs="Times New Roman"/>
          <w:color w:val="000000"/>
        </w:rPr>
        <w:t>[2]</w:t>
      </w:r>
      <w:r w:rsidRPr="00FB1F9F">
        <w:rPr>
          <w:rFonts w:ascii="Times New Roman" w:hAnsi="Times New Roman" w:cs="Times New Roman"/>
          <w:color w:val="000000"/>
        </w:rPr>
        <w:tab/>
      </w:r>
      <w:r w:rsidRPr="00FB1F9F">
        <w:rPr>
          <w:rFonts w:ascii="Times New Roman" w:hAnsi="Times New Roman" w:cs="Times New Roman"/>
          <w:lang w:val="en-GB"/>
        </w:rPr>
        <w:t xml:space="preserve">Taylor, H. (1997) Chapter 5: Hydration of the calcium silicate phases, </w:t>
      </w:r>
      <w:r w:rsidRPr="00FB1F9F">
        <w:rPr>
          <w:rFonts w:ascii="Times New Roman" w:hAnsi="Times New Roman" w:cs="Times New Roman"/>
          <w:i/>
          <w:lang w:val="en-GB"/>
        </w:rPr>
        <w:t>Cement Chemistry</w:t>
      </w:r>
      <w:r w:rsidRPr="00FB1F9F">
        <w:rPr>
          <w:rFonts w:ascii="Times New Roman" w:hAnsi="Times New Roman" w:cs="Times New Roman"/>
          <w:lang w:val="en-GB"/>
        </w:rPr>
        <w:t>, London, Academic Press. 123-165.</w:t>
      </w:r>
    </w:p>
    <w:p w14:paraId="72535A7F" w14:textId="7BD62D48" w:rsidR="00850FF1" w:rsidRPr="00FB1F9F" w:rsidRDefault="00850FF1" w:rsidP="00850FF1">
      <w:pPr>
        <w:spacing w:before="240" w:after="240"/>
        <w:ind w:left="720" w:hanging="720"/>
        <w:jc w:val="both"/>
        <w:rPr>
          <w:rFonts w:ascii="Times New Roman" w:hAnsi="Times New Roman" w:cs="Times New Roman"/>
          <w:lang w:val="en-GB"/>
        </w:rPr>
      </w:pPr>
      <w:r w:rsidRPr="00FB1F9F">
        <w:rPr>
          <w:rFonts w:ascii="Times New Roman" w:hAnsi="Times New Roman" w:cs="Times New Roman"/>
          <w:lang w:val="en-GB"/>
        </w:rPr>
        <w:t>[3]</w:t>
      </w:r>
      <w:r w:rsidRPr="00FB1F9F">
        <w:rPr>
          <w:rFonts w:ascii="Times New Roman" w:hAnsi="Times New Roman" w:cs="Times New Roman"/>
          <w:lang w:val="en-GB"/>
        </w:rPr>
        <w:tab/>
        <w:t xml:space="preserve">Wang, S.D. and Scrivener K.L. (1995) Hydration products of alkali </w:t>
      </w:r>
      <w:r w:rsidR="004C7A66" w:rsidRPr="00FB1F9F">
        <w:rPr>
          <w:rFonts w:ascii="Times New Roman" w:hAnsi="Times New Roman" w:cs="Times New Roman"/>
          <w:lang w:val="en-GB"/>
        </w:rPr>
        <w:t>activated</w:t>
      </w:r>
      <w:r w:rsidRPr="00FB1F9F">
        <w:rPr>
          <w:rFonts w:ascii="Times New Roman" w:hAnsi="Times New Roman" w:cs="Times New Roman"/>
          <w:lang w:val="en-GB"/>
        </w:rPr>
        <w:t xml:space="preserve"> slag cement</w:t>
      </w:r>
      <w:r w:rsidRPr="00FB1F9F">
        <w:rPr>
          <w:rFonts w:ascii="Times New Roman" w:hAnsi="Times New Roman" w:cs="Times New Roman"/>
          <w:i/>
          <w:lang w:val="en-GB"/>
        </w:rPr>
        <w:t xml:space="preserve">s. </w:t>
      </w:r>
      <w:proofErr w:type="gramStart"/>
      <w:r w:rsidRPr="00FB1F9F">
        <w:rPr>
          <w:rFonts w:ascii="Times New Roman" w:hAnsi="Times New Roman" w:cs="Times New Roman"/>
          <w:i/>
          <w:lang w:val="en-GB"/>
        </w:rPr>
        <w:t xml:space="preserve">Cement and Concrete Research, </w:t>
      </w:r>
      <w:r w:rsidRPr="00FB1F9F">
        <w:rPr>
          <w:rFonts w:ascii="Times New Roman" w:hAnsi="Times New Roman" w:cs="Times New Roman"/>
          <w:lang w:val="en-GB"/>
        </w:rPr>
        <w:t>25(3), 561-571.</w:t>
      </w:r>
      <w:proofErr w:type="gramEnd"/>
    </w:p>
    <w:p w14:paraId="02C3A3F1" w14:textId="77777777" w:rsidR="00850FF1" w:rsidRPr="00FB1F9F" w:rsidRDefault="00850FF1" w:rsidP="00850FF1">
      <w:pPr>
        <w:spacing w:before="240" w:after="240"/>
        <w:ind w:left="720" w:hanging="720"/>
        <w:jc w:val="both"/>
        <w:rPr>
          <w:rFonts w:ascii="Times New Roman" w:hAnsi="Times New Roman" w:cs="Times New Roman"/>
          <w:lang w:val="en-GB"/>
        </w:rPr>
      </w:pPr>
      <w:r w:rsidRPr="00FB1F9F">
        <w:rPr>
          <w:rFonts w:ascii="Times New Roman" w:hAnsi="Times New Roman" w:cs="Times New Roman"/>
          <w:lang w:val="en-GB"/>
        </w:rPr>
        <w:t>[4]</w:t>
      </w:r>
      <w:r w:rsidRPr="00FB1F9F">
        <w:rPr>
          <w:rFonts w:ascii="Times New Roman" w:hAnsi="Times New Roman" w:cs="Times New Roman"/>
          <w:lang w:val="en-GB"/>
        </w:rPr>
        <w:tab/>
        <w:t xml:space="preserve">He, Y. Zhao, X. Lu, L. Struble, L. Hu, S. (2011) Effect of C/S ratio on morphology and structure of hydrothermally synthesized calcium silicate hydrate, </w:t>
      </w:r>
      <w:r w:rsidRPr="00FB1F9F">
        <w:rPr>
          <w:rFonts w:ascii="Times New Roman" w:hAnsi="Times New Roman" w:cs="Times New Roman"/>
          <w:i/>
          <w:lang w:val="en-GB"/>
        </w:rPr>
        <w:t>Journal of Wuhan University of Technology-Materials Science</w:t>
      </w:r>
      <w:r w:rsidRPr="00FB1F9F">
        <w:rPr>
          <w:rFonts w:ascii="Times New Roman" w:hAnsi="Times New Roman" w:cs="Times New Roman"/>
          <w:lang w:val="en-GB"/>
        </w:rPr>
        <w:t>, 26(4), 770-773.</w:t>
      </w:r>
    </w:p>
    <w:p w14:paraId="2674F3F3" w14:textId="77777777" w:rsidR="00850FF1" w:rsidRPr="00FB1F9F" w:rsidRDefault="00850FF1" w:rsidP="00850FF1">
      <w:pPr>
        <w:widowControl w:val="0"/>
        <w:autoSpaceDE w:val="0"/>
        <w:autoSpaceDN w:val="0"/>
        <w:adjustRightInd w:val="0"/>
        <w:spacing w:before="240" w:after="240"/>
        <w:ind w:left="720" w:hanging="720"/>
        <w:jc w:val="both"/>
        <w:rPr>
          <w:rFonts w:ascii="Times" w:hAnsi="Times" w:cs="Times"/>
        </w:rPr>
      </w:pPr>
      <w:r w:rsidRPr="00FB1F9F">
        <w:rPr>
          <w:rFonts w:ascii="Times" w:hAnsi="Times"/>
        </w:rPr>
        <w:t>[5]</w:t>
      </w:r>
      <w:r w:rsidRPr="00FB1F9F">
        <w:rPr>
          <w:rFonts w:ascii="Times" w:hAnsi="Times"/>
        </w:rPr>
        <w:tab/>
      </w:r>
      <w:proofErr w:type="gramStart"/>
      <w:r w:rsidRPr="00FB1F9F">
        <w:rPr>
          <w:rFonts w:ascii="Times" w:hAnsi="Times"/>
        </w:rPr>
        <w:t>S</w:t>
      </w:r>
      <w:r w:rsidRPr="00FB1F9F">
        <w:rPr>
          <w:rFonts w:ascii="Times" w:hAnsi="Times" w:cs="Times"/>
        </w:rPr>
        <w:t xml:space="preserve">chwiete, H.E. Ludwig, U. and Niel, E. (1965) Studies on the beginning of hydration of clinker and cement, </w:t>
      </w:r>
      <w:r w:rsidRPr="00FB1F9F">
        <w:rPr>
          <w:rFonts w:ascii="Times" w:hAnsi="Times" w:cs="Times"/>
          <w:i/>
          <w:iCs/>
        </w:rPr>
        <w:t xml:space="preserve">Proc. 7th Conf. Silicate Ind., Budapest     </w:t>
      </w:r>
      <w:r w:rsidRPr="00FB1F9F">
        <w:rPr>
          <w:rFonts w:ascii="Times" w:hAnsi="Times" w:cs="Times"/>
        </w:rPr>
        <w:t>221– 33.</w:t>
      </w:r>
      <w:proofErr w:type="gramEnd"/>
    </w:p>
    <w:p w14:paraId="6FBF68E0" w14:textId="77777777" w:rsidR="00850FF1" w:rsidRPr="00FB1F9F" w:rsidRDefault="00850FF1" w:rsidP="00850FF1">
      <w:pPr>
        <w:spacing w:before="240" w:after="240"/>
        <w:ind w:left="720" w:hanging="720"/>
        <w:jc w:val="both"/>
        <w:rPr>
          <w:rFonts w:ascii="Times New Roman" w:hAnsi="Times New Roman" w:cs="Times New Roman"/>
          <w:color w:val="000000"/>
        </w:rPr>
      </w:pPr>
      <w:r w:rsidRPr="00FB1F9F">
        <w:rPr>
          <w:rFonts w:ascii="Times" w:hAnsi="Times"/>
        </w:rPr>
        <w:t>[6]</w:t>
      </w:r>
      <w:r w:rsidRPr="00FB1F9F">
        <w:rPr>
          <w:rFonts w:ascii="Times" w:hAnsi="Times"/>
        </w:rPr>
        <w:tab/>
      </w:r>
      <w:r w:rsidRPr="00FB1F9F">
        <w:rPr>
          <w:rFonts w:ascii="Times New Roman" w:hAnsi="Times New Roman" w:cs="Times New Roman"/>
          <w:color w:val="000000"/>
        </w:rPr>
        <w:t xml:space="preserve">Park, J-Y. Byun, H.J. Choi, W.H. Kang, W.H (2007) Cement paste column for simultaneous removal of fluoride, phosphate, and nitrate in acidic wastewater, </w:t>
      </w:r>
      <w:r w:rsidRPr="00FB1F9F">
        <w:rPr>
          <w:rFonts w:ascii="Times New Roman" w:hAnsi="Times New Roman" w:cs="Times New Roman"/>
          <w:i/>
          <w:color w:val="000000"/>
        </w:rPr>
        <w:t>Chemosphere</w:t>
      </w:r>
      <w:r w:rsidRPr="00FB1F9F">
        <w:rPr>
          <w:rFonts w:ascii="Times New Roman" w:hAnsi="Times New Roman" w:cs="Times New Roman"/>
          <w:color w:val="000000"/>
        </w:rPr>
        <w:t xml:space="preserve">, </w:t>
      </w:r>
      <w:r w:rsidRPr="00FB1F9F">
        <w:rPr>
          <w:rFonts w:ascii="Times New Roman" w:hAnsi="Times New Roman" w:cs="Times New Roman"/>
          <w:b/>
          <w:color w:val="000000"/>
        </w:rPr>
        <w:t>70,</w:t>
      </w:r>
      <w:r w:rsidRPr="00FB1F9F">
        <w:rPr>
          <w:rFonts w:ascii="Times New Roman" w:hAnsi="Times New Roman" w:cs="Times New Roman"/>
          <w:color w:val="000000"/>
        </w:rPr>
        <w:t xml:space="preserve"> 1429–1437.</w:t>
      </w:r>
    </w:p>
    <w:p w14:paraId="1D2741AD" w14:textId="77777777" w:rsidR="00850FF1" w:rsidRPr="00FB1F9F" w:rsidRDefault="00850FF1" w:rsidP="00850FF1">
      <w:pPr>
        <w:widowControl w:val="0"/>
        <w:autoSpaceDE w:val="0"/>
        <w:autoSpaceDN w:val="0"/>
        <w:adjustRightInd w:val="0"/>
        <w:spacing w:before="240" w:after="240"/>
        <w:ind w:left="720" w:hanging="720"/>
        <w:jc w:val="both"/>
        <w:rPr>
          <w:rFonts w:ascii="Times" w:hAnsi="Times" w:cs="Times"/>
        </w:rPr>
      </w:pPr>
      <w:r w:rsidRPr="00FB1F9F">
        <w:rPr>
          <w:rFonts w:ascii="Times New Roman" w:hAnsi="Times New Roman" w:cs="Times New Roman"/>
          <w:color w:val="000000"/>
        </w:rPr>
        <w:t>[7]</w:t>
      </w:r>
      <w:r w:rsidRPr="00FB1F9F">
        <w:rPr>
          <w:rFonts w:ascii="Times New Roman" w:hAnsi="Times New Roman" w:cs="Times New Roman"/>
          <w:color w:val="000000"/>
        </w:rPr>
        <w:tab/>
      </w:r>
      <w:r w:rsidRPr="00FB1F9F">
        <w:rPr>
          <w:rFonts w:ascii="Times" w:hAnsi="Times" w:cs="Times"/>
        </w:rPr>
        <w:t xml:space="preserve">McCarthy, G.J. Hassett, D.J. Bender, J.A. (1992) Synthesis, crystal chemistry and stability of ettringite, a material with potential applications in hazardous waste immobilization, </w:t>
      </w:r>
      <w:r w:rsidRPr="00FB1F9F">
        <w:rPr>
          <w:rFonts w:ascii="Times" w:hAnsi="Times" w:cs="Times"/>
          <w:i/>
        </w:rPr>
        <w:t xml:space="preserve">Mater. Res. Soc. Symp. Proc. </w:t>
      </w:r>
      <w:r w:rsidRPr="00FB1F9F">
        <w:rPr>
          <w:rFonts w:ascii="Times" w:hAnsi="Times" w:cs="Times"/>
          <w:b/>
        </w:rPr>
        <w:t>245,</w:t>
      </w:r>
      <w:r w:rsidRPr="00FB1F9F">
        <w:rPr>
          <w:rFonts w:ascii="Times" w:hAnsi="Times" w:cs="Times"/>
        </w:rPr>
        <w:t xml:space="preserve"> 129–140.</w:t>
      </w:r>
    </w:p>
    <w:p w14:paraId="060F5DB2" w14:textId="77777777" w:rsidR="00850FF1" w:rsidRPr="00FB1F9F" w:rsidRDefault="00850FF1" w:rsidP="00850FF1">
      <w:pPr>
        <w:widowControl w:val="0"/>
        <w:autoSpaceDE w:val="0"/>
        <w:autoSpaceDN w:val="0"/>
        <w:adjustRightInd w:val="0"/>
        <w:spacing w:before="240" w:after="240"/>
        <w:ind w:left="720" w:hanging="720"/>
        <w:jc w:val="both"/>
        <w:rPr>
          <w:rFonts w:ascii="Times" w:hAnsi="Times" w:cs="Times"/>
        </w:rPr>
      </w:pPr>
      <w:r w:rsidRPr="00FB1F9F">
        <w:rPr>
          <w:rFonts w:ascii="Times" w:hAnsi="Times" w:cs="Times"/>
        </w:rPr>
        <w:t>[8]</w:t>
      </w:r>
      <w:r w:rsidRPr="00FB1F9F">
        <w:rPr>
          <w:rFonts w:ascii="Times" w:hAnsi="Times" w:cs="Times"/>
        </w:rPr>
        <w:tab/>
        <w:t xml:space="preserve">Balonis, M. (2010) ‘The Influence of Inorganic Chemical Accelerators and Corrosion Inhibitors on the Mineralogy of Hydrated Portland, </w:t>
      </w:r>
      <w:r w:rsidRPr="00FB1F9F">
        <w:rPr>
          <w:rFonts w:ascii="Times" w:hAnsi="Times" w:cs="Times"/>
          <w:i/>
        </w:rPr>
        <w:t>Ph.D. Thesis</w:t>
      </w:r>
    </w:p>
    <w:p w14:paraId="168A32F5" w14:textId="77777777" w:rsidR="00850FF1" w:rsidRPr="00FB1F9F" w:rsidRDefault="00850FF1" w:rsidP="00850FF1">
      <w:pPr>
        <w:widowControl w:val="0"/>
        <w:autoSpaceDE w:val="0"/>
        <w:autoSpaceDN w:val="0"/>
        <w:adjustRightInd w:val="0"/>
        <w:spacing w:before="240" w:after="240"/>
        <w:ind w:left="720" w:hanging="720"/>
        <w:jc w:val="both"/>
        <w:rPr>
          <w:rFonts w:ascii="Times" w:hAnsi="Times" w:cs="Times"/>
        </w:rPr>
      </w:pPr>
      <w:r w:rsidRPr="00FB1F9F">
        <w:rPr>
          <w:rFonts w:ascii="Times" w:hAnsi="Times" w:cs="Times"/>
        </w:rPr>
        <w:t>[9]</w:t>
      </w:r>
      <w:r w:rsidRPr="00FB1F9F">
        <w:rPr>
          <w:rFonts w:ascii="Times" w:hAnsi="Times" w:cs="Times"/>
        </w:rPr>
        <w:tab/>
        <w:t xml:space="preserve">Balonis, M. Glasser, F.P. Medala, M. (2011) Influence of calcium nitrate and nitrite on the constitution of AFm and AFt cement hydrates, </w:t>
      </w:r>
      <w:r w:rsidRPr="00FB1F9F">
        <w:rPr>
          <w:rFonts w:ascii="Times" w:hAnsi="Times" w:cs="Times"/>
          <w:i/>
        </w:rPr>
        <w:t>Advances in cement research</w:t>
      </w:r>
      <w:r w:rsidRPr="00FB1F9F">
        <w:rPr>
          <w:rFonts w:ascii="Times" w:hAnsi="Times" w:cs="Times"/>
        </w:rPr>
        <w:t xml:space="preserve">, doi: 10.1680/adcr.10.00002. </w:t>
      </w:r>
    </w:p>
    <w:p w14:paraId="4ED1AACF" w14:textId="77777777" w:rsidR="00850FF1" w:rsidRPr="00FB1F9F" w:rsidRDefault="00850FF1" w:rsidP="00850FF1">
      <w:pPr>
        <w:widowControl w:val="0"/>
        <w:autoSpaceDE w:val="0"/>
        <w:autoSpaceDN w:val="0"/>
        <w:adjustRightInd w:val="0"/>
        <w:spacing w:before="240" w:after="240"/>
        <w:ind w:left="720" w:hanging="720"/>
        <w:jc w:val="both"/>
        <w:rPr>
          <w:rFonts w:ascii="Times" w:hAnsi="Times" w:cs="Times"/>
        </w:rPr>
      </w:pPr>
      <w:r w:rsidRPr="00FB1F9F">
        <w:rPr>
          <w:rFonts w:ascii="Times" w:hAnsi="Times" w:cs="Times"/>
        </w:rPr>
        <w:t>[10]</w:t>
      </w:r>
      <w:r w:rsidRPr="00FB1F9F">
        <w:rPr>
          <w:rFonts w:ascii="Times" w:hAnsi="Times" w:cs="Times"/>
        </w:rPr>
        <w:tab/>
        <w:t xml:space="preserve">Renaudin, G. Rapin, J-P. Humber, B. Francois, M. (2000) Thermal behaviour of the nitrated AFm phase </w:t>
      </w:r>
      <w:proofErr w:type="gramStart"/>
      <w:r w:rsidRPr="00FB1F9F">
        <w:rPr>
          <w:rFonts w:ascii="Times" w:hAnsi="Times" w:cs="Times"/>
        </w:rPr>
        <w:t>Ca</w:t>
      </w:r>
      <w:r w:rsidRPr="00FB1F9F">
        <w:rPr>
          <w:rFonts w:ascii="Times" w:hAnsi="Times" w:cs="Times"/>
          <w:vertAlign w:val="subscript"/>
        </w:rPr>
        <w:t>4</w:t>
      </w:r>
      <w:r w:rsidRPr="00FB1F9F">
        <w:rPr>
          <w:rFonts w:ascii="Times" w:hAnsi="Times" w:cs="Times"/>
        </w:rPr>
        <w:t>Al</w:t>
      </w:r>
      <w:r w:rsidRPr="00FB1F9F">
        <w:rPr>
          <w:rFonts w:ascii="Times" w:hAnsi="Times" w:cs="Times"/>
          <w:vertAlign w:val="subscript"/>
        </w:rPr>
        <w:t>2</w:t>
      </w:r>
      <w:r w:rsidRPr="00FB1F9F">
        <w:rPr>
          <w:rFonts w:ascii="Times" w:hAnsi="Times" w:cs="Times"/>
        </w:rPr>
        <w:t>(</w:t>
      </w:r>
      <w:proofErr w:type="gramEnd"/>
      <w:r w:rsidRPr="00FB1F9F">
        <w:rPr>
          <w:rFonts w:ascii="Times" w:hAnsi="Times" w:cs="Times"/>
        </w:rPr>
        <w:t>OH)</w:t>
      </w:r>
      <w:r w:rsidRPr="00FB1F9F">
        <w:rPr>
          <w:rFonts w:ascii="Times" w:hAnsi="Times" w:cs="Times"/>
          <w:vertAlign w:val="subscript"/>
        </w:rPr>
        <w:t>12</w:t>
      </w:r>
      <w:r w:rsidRPr="00FB1F9F">
        <w:rPr>
          <w:rFonts w:ascii="Times" w:hAnsi="Times" w:cs="Times"/>
        </w:rPr>
        <w:t>(NO</w:t>
      </w:r>
      <w:r w:rsidRPr="00FB1F9F">
        <w:rPr>
          <w:rFonts w:ascii="Times" w:hAnsi="Times" w:cs="Times"/>
          <w:vertAlign w:val="subscript"/>
        </w:rPr>
        <w:t>3</w:t>
      </w:r>
      <w:r w:rsidRPr="00FB1F9F">
        <w:rPr>
          <w:rFonts w:ascii="Times" w:hAnsi="Times" w:cs="Times"/>
        </w:rPr>
        <w:t>)</w:t>
      </w:r>
      <w:r w:rsidRPr="00FB1F9F">
        <w:rPr>
          <w:rFonts w:ascii="Times" w:hAnsi="Times" w:cs="Times"/>
          <w:vertAlign w:val="subscript"/>
        </w:rPr>
        <w:t>2</w:t>
      </w:r>
      <w:r w:rsidRPr="00FB1F9F">
        <w:rPr>
          <w:rFonts w:ascii="Times" w:hAnsi="Times" w:cs="Times"/>
        </w:rPr>
        <w:t>.4H</w:t>
      </w:r>
      <w:r w:rsidRPr="00FB1F9F">
        <w:rPr>
          <w:rFonts w:ascii="Times" w:hAnsi="Times" w:cs="Times"/>
          <w:vertAlign w:val="subscript"/>
        </w:rPr>
        <w:t>2</w:t>
      </w:r>
      <w:r w:rsidRPr="00FB1F9F">
        <w:rPr>
          <w:rFonts w:ascii="Times" w:hAnsi="Times" w:cs="Times"/>
        </w:rPr>
        <w:t>O and structure determination of the intermediate hydrate Ca</w:t>
      </w:r>
      <w:r w:rsidRPr="00FB1F9F">
        <w:rPr>
          <w:rFonts w:ascii="Times" w:hAnsi="Times" w:cs="Times"/>
          <w:vertAlign w:val="subscript"/>
        </w:rPr>
        <w:t>4</w:t>
      </w:r>
      <w:r w:rsidRPr="00FB1F9F">
        <w:rPr>
          <w:rFonts w:ascii="Times" w:hAnsi="Times" w:cs="Times"/>
        </w:rPr>
        <w:t>Al</w:t>
      </w:r>
      <w:r w:rsidRPr="00FB1F9F">
        <w:rPr>
          <w:rFonts w:ascii="Times" w:hAnsi="Times" w:cs="Times"/>
          <w:vertAlign w:val="subscript"/>
        </w:rPr>
        <w:t>2</w:t>
      </w:r>
      <w:r w:rsidRPr="00FB1F9F">
        <w:rPr>
          <w:rFonts w:ascii="Times" w:hAnsi="Times" w:cs="Times"/>
        </w:rPr>
        <w:t>(OH)</w:t>
      </w:r>
      <w:r w:rsidRPr="00FB1F9F">
        <w:rPr>
          <w:rFonts w:ascii="Times" w:hAnsi="Times" w:cs="Times"/>
          <w:vertAlign w:val="subscript"/>
        </w:rPr>
        <w:t>12</w:t>
      </w:r>
      <w:r w:rsidRPr="00FB1F9F">
        <w:rPr>
          <w:rFonts w:ascii="Times" w:hAnsi="Times" w:cs="Times"/>
        </w:rPr>
        <w:t>(NO</w:t>
      </w:r>
      <w:r w:rsidRPr="00FB1F9F">
        <w:rPr>
          <w:rFonts w:ascii="Times" w:hAnsi="Times" w:cs="Times"/>
          <w:vertAlign w:val="subscript"/>
        </w:rPr>
        <w:t>3</w:t>
      </w:r>
      <w:r w:rsidRPr="00FB1F9F">
        <w:rPr>
          <w:rFonts w:ascii="Times" w:hAnsi="Times" w:cs="Times"/>
        </w:rPr>
        <w:t>)</w:t>
      </w:r>
      <w:r w:rsidRPr="00FB1F9F">
        <w:rPr>
          <w:rFonts w:ascii="Times" w:hAnsi="Times" w:cs="Times"/>
          <w:vertAlign w:val="subscript"/>
        </w:rPr>
        <w:t>2</w:t>
      </w:r>
      <w:r w:rsidRPr="00FB1F9F">
        <w:rPr>
          <w:rFonts w:ascii="Times" w:hAnsi="Times" w:cs="Times"/>
        </w:rPr>
        <w:t>.2H</w:t>
      </w:r>
      <w:r w:rsidRPr="00FB1F9F">
        <w:rPr>
          <w:rFonts w:ascii="Times" w:hAnsi="Times" w:cs="Times"/>
          <w:vertAlign w:val="subscript"/>
        </w:rPr>
        <w:t>2</w:t>
      </w:r>
      <w:r w:rsidRPr="00FB1F9F">
        <w:rPr>
          <w:rFonts w:ascii="Times" w:hAnsi="Times" w:cs="Times"/>
        </w:rPr>
        <w:t xml:space="preserve">O, </w:t>
      </w:r>
      <w:r w:rsidRPr="00FB1F9F">
        <w:rPr>
          <w:rFonts w:ascii="Times" w:hAnsi="Times" w:cs="Times"/>
          <w:i/>
        </w:rPr>
        <w:t xml:space="preserve">Cement and Concrete Research, </w:t>
      </w:r>
      <w:r w:rsidRPr="00FB1F9F">
        <w:rPr>
          <w:rFonts w:ascii="Times" w:hAnsi="Times" w:cs="Times"/>
          <w:b/>
        </w:rPr>
        <w:t>30,</w:t>
      </w:r>
      <w:r w:rsidRPr="00FB1F9F">
        <w:rPr>
          <w:rFonts w:ascii="Times" w:hAnsi="Times" w:cs="Times"/>
        </w:rPr>
        <w:t xml:space="preserve"> 207-314. </w:t>
      </w:r>
    </w:p>
    <w:p w14:paraId="5C929DD1" w14:textId="77777777" w:rsidR="00850FF1" w:rsidRPr="00FB1F9F" w:rsidRDefault="00850FF1" w:rsidP="00850FF1">
      <w:pPr>
        <w:widowControl w:val="0"/>
        <w:tabs>
          <w:tab w:val="left" w:pos="220"/>
          <w:tab w:val="left" w:pos="720"/>
        </w:tabs>
        <w:autoSpaceDE w:val="0"/>
        <w:autoSpaceDN w:val="0"/>
        <w:adjustRightInd w:val="0"/>
        <w:spacing w:before="240" w:after="240"/>
        <w:ind w:left="720" w:hanging="720"/>
        <w:jc w:val="both"/>
        <w:rPr>
          <w:rFonts w:ascii="Times New Roman" w:hAnsi="Times New Roman" w:cs="Times New Roman"/>
          <w:color w:val="101010"/>
        </w:rPr>
      </w:pPr>
      <w:r w:rsidRPr="00FB1F9F">
        <w:rPr>
          <w:rFonts w:ascii="Times" w:hAnsi="Times" w:cs="Times"/>
        </w:rPr>
        <w:t>[11]</w:t>
      </w:r>
      <w:r w:rsidRPr="00FB1F9F">
        <w:rPr>
          <w:rFonts w:ascii="Times" w:hAnsi="Times" w:cs="Times"/>
        </w:rPr>
        <w:tab/>
      </w:r>
      <w:r w:rsidRPr="00FB1F9F">
        <w:rPr>
          <w:rFonts w:ascii="Times New Roman" w:hAnsi="Times New Roman" w:cs="Times New Roman"/>
          <w:color w:val="101010"/>
        </w:rPr>
        <w:t xml:space="preserve">Ramachandran, V.S., Paroli, V.S., Beaudoin, J.J., Delgado, A.H. (2002) Chapter 3: Formation and Hydration of Cement and Cement Compounds, </w:t>
      </w:r>
      <w:r w:rsidRPr="00FB1F9F">
        <w:rPr>
          <w:rFonts w:ascii="Times New Roman" w:hAnsi="Times New Roman" w:cs="Times New Roman"/>
          <w:i/>
          <w:color w:val="101010"/>
        </w:rPr>
        <w:t>Handbook of Thermal Analysis of Construction Materials</w:t>
      </w:r>
      <w:r w:rsidRPr="00FB1F9F">
        <w:rPr>
          <w:rFonts w:ascii="Times New Roman" w:hAnsi="Times New Roman" w:cs="Times New Roman"/>
          <w:color w:val="101010"/>
        </w:rPr>
        <w:t xml:space="preserve">, 71-136. </w:t>
      </w:r>
    </w:p>
    <w:p w14:paraId="7FBD33DD" w14:textId="77777777" w:rsidR="00850FF1" w:rsidRPr="00FB1F9F" w:rsidRDefault="00850FF1" w:rsidP="00850FF1">
      <w:pPr>
        <w:widowControl w:val="0"/>
        <w:tabs>
          <w:tab w:val="left" w:pos="220"/>
          <w:tab w:val="left" w:pos="720"/>
        </w:tabs>
        <w:autoSpaceDE w:val="0"/>
        <w:autoSpaceDN w:val="0"/>
        <w:adjustRightInd w:val="0"/>
        <w:spacing w:before="240" w:after="240"/>
        <w:ind w:left="720" w:hanging="720"/>
        <w:jc w:val="both"/>
        <w:rPr>
          <w:rFonts w:ascii="Times New Roman" w:hAnsi="Times New Roman" w:cs="Times New Roman"/>
          <w:color w:val="101010"/>
        </w:rPr>
      </w:pPr>
      <w:r w:rsidRPr="00FB1F9F">
        <w:rPr>
          <w:rFonts w:ascii="Times New Roman" w:hAnsi="Times New Roman" w:cs="Times New Roman"/>
          <w:color w:val="101010"/>
        </w:rPr>
        <w:t>[12]</w:t>
      </w:r>
      <w:r w:rsidRPr="00FB1F9F">
        <w:rPr>
          <w:rFonts w:ascii="Times New Roman" w:hAnsi="Times New Roman" w:cs="Times New Roman"/>
          <w:color w:val="101010"/>
        </w:rPr>
        <w:tab/>
        <w:t>Utton, C.A. (2007) The encapsulation of BaCO</w:t>
      </w:r>
      <w:r w:rsidRPr="00FB1F9F">
        <w:rPr>
          <w:rFonts w:ascii="Times New Roman" w:hAnsi="Times New Roman" w:cs="Times New Roman"/>
          <w:color w:val="101010"/>
          <w:vertAlign w:val="subscript"/>
        </w:rPr>
        <w:t>3</w:t>
      </w:r>
      <w:r w:rsidRPr="00FB1F9F">
        <w:rPr>
          <w:rFonts w:ascii="Times New Roman" w:hAnsi="Times New Roman" w:cs="Times New Roman"/>
          <w:color w:val="101010"/>
        </w:rPr>
        <w:t xml:space="preserve"> waste in composite cements, </w:t>
      </w:r>
      <w:r w:rsidRPr="00FB1F9F">
        <w:rPr>
          <w:rFonts w:ascii="Times New Roman" w:hAnsi="Times New Roman" w:cs="Times New Roman"/>
          <w:i/>
          <w:color w:val="101010"/>
        </w:rPr>
        <w:t>Ph.D Thesis</w:t>
      </w:r>
      <w:r w:rsidRPr="00FB1F9F">
        <w:rPr>
          <w:rFonts w:ascii="Times New Roman" w:hAnsi="Times New Roman" w:cs="Times New Roman"/>
          <w:color w:val="101010"/>
        </w:rPr>
        <w:t xml:space="preserve">, University of Sheffield. </w:t>
      </w:r>
    </w:p>
    <w:p w14:paraId="187B966E" w14:textId="77777777" w:rsidR="00850FF1" w:rsidRPr="00FB1F9F" w:rsidRDefault="00850FF1" w:rsidP="00850FF1">
      <w:pPr>
        <w:spacing w:before="240" w:after="240"/>
        <w:ind w:left="720" w:hanging="720"/>
        <w:jc w:val="both"/>
        <w:rPr>
          <w:rFonts w:ascii="Times New Roman" w:hAnsi="Times New Roman" w:cs="Times New Roman"/>
          <w:lang w:val="en-GB"/>
        </w:rPr>
      </w:pPr>
      <w:r w:rsidRPr="00FB1F9F">
        <w:rPr>
          <w:rFonts w:ascii="Times New Roman" w:hAnsi="Times New Roman" w:cs="Times New Roman"/>
          <w:lang w:val="en-GB"/>
        </w:rPr>
        <w:lastRenderedPageBreak/>
        <w:t>[13]</w:t>
      </w:r>
      <w:r w:rsidRPr="00FB1F9F">
        <w:rPr>
          <w:rFonts w:ascii="Times New Roman" w:hAnsi="Times New Roman" w:cs="Times New Roman"/>
          <w:lang w:val="en-GB"/>
        </w:rPr>
        <w:tab/>
        <w:t xml:space="preserve">Taylor, H. (1997) Chapter 6: Hydrated aluminate, ferrite, sulfate phases, </w:t>
      </w:r>
      <w:r w:rsidRPr="00FB1F9F">
        <w:rPr>
          <w:rFonts w:ascii="Times New Roman" w:hAnsi="Times New Roman" w:cs="Times New Roman"/>
          <w:i/>
          <w:lang w:val="en-GB"/>
        </w:rPr>
        <w:t>Cement Chemistry</w:t>
      </w:r>
      <w:r w:rsidRPr="00FB1F9F">
        <w:rPr>
          <w:rFonts w:ascii="Times New Roman" w:hAnsi="Times New Roman" w:cs="Times New Roman"/>
          <w:lang w:val="en-GB"/>
        </w:rPr>
        <w:t>, 2</w:t>
      </w:r>
      <w:r w:rsidRPr="00FB1F9F">
        <w:rPr>
          <w:rFonts w:ascii="Times New Roman" w:hAnsi="Times New Roman" w:cs="Times New Roman"/>
          <w:vertAlign w:val="superscript"/>
          <w:lang w:val="en-GB"/>
        </w:rPr>
        <w:t>nd</w:t>
      </w:r>
      <w:r w:rsidRPr="00FB1F9F">
        <w:rPr>
          <w:rFonts w:ascii="Times New Roman" w:hAnsi="Times New Roman" w:cs="Times New Roman"/>
          <w:lang w:val="en-GB"/>
        </w:rPr>
        <w:t xml:space="preserve"> Edition, London, </w:t>
      </w:r>
      <w:proofErr w:type="gramStart"/>
      <w:r w:rsidRPr="00FB1F9F">
        <w:rPr>
          <w:rFonts w:ascii="Times New Roman" w:hAnsi="Times New Roman" w:cs="Times New Roman"/>
          <w:lang w:val="en-GB"/>
        </w:rPr>
        <w:t>Academic</w:t>
      </w:r>
      <w:proofErr w:type="gramEnd"/>
      <w:r w:rsidRPr="00FB1F9F">
        <w:rPr>
          <w:rFonts w:ascii="Times New Roman" w:hAnsi="Times New Roman" w:cs="Times New Roman"/>
          <w:lang w:val="en-GB"/>
        </w:rPr>
        <w:t xml:space="preserve"> Press. 123-165.</w:t>
      </w:r>
    </w:p>
    <w:p w14:paraId="5846B83A" w14:textId="77777777" w:rsidR="00850FF1" w:rsidRPr="00FB1F9F" w:rsidRDefault="00850FF1" w:rsidP="00850FF1">
      <w:pPr>
        <w:spacing w:before="240" w:after="240"/>
        <w:ind w:left="720" w:hanging="720"/>
        <w:jc w:val="both"/>
        <w:rPr>
          <w:rFonts w:ascii="Times New Roman" w:hAnsi="Times New Roman" w:cs="Times New Roman"/>
          <w:lang w:val="en-GB"/>
        </w:rPr>
      </w:pPr>
      <w:r w:rsidRPr="00FB1F9F">
        <w:rPr>
          <w:rFonts w:ascii="Times New Roman" w:hAnsi="Times New Roman" w:cs="Times New Roman"/>
          <w:lang w:val="en-GB"/>
        </w:rPr>
        <w:t>[14]</w:t>
      </w:r>
      <w:r w:rsidRPr="00FB1F9F">
        <w:rPr>
          <w:rFonts w:ascii="Times New Roman" w:hAnsi="Times New Roman" w:cs="Times New Roman"/>
          <w:lang w:val="en-GB"/>
        </w:rPr>
        <w:tab/>
        <w:t>Nomura, N. Zhang, Y.H. Oi, T. (2008) Incorporation of cesium ion from CsNO</w:t>
      </w:r>
      <w:r w:rsidRPr="00FB1F9F">
        <w:rPr>
          <w:rFonts w:ascii="Times New Roman" w:hAnsi="Times New Roman" w:cs="Times New Roman"/>
          <w:vertAlign w:val="subscript"/>
          <w:lang w:val="en-GB"/>
        </w:rPr>
        <w:t xml:space="preserve">3 </w:t>
      </w:r>
      <w:r w:rsidRPr="00FB1F9F">
        <w:rPr>
          <w:rFonts w:ascii="Times New Roman" w:hAnsi="Times New Roman" w:cs="Times New Roman"/>
          <w:lang w:val="en-GB"/>
        </w:rPr>
        <w:t xml:space="preserve">into </w:t>
      </w:r>
      <w:proofErr w:type="gramStart"/>
      <w:r w:rsidRPr="00FB1F9F">
        <w:rPr>
          <w:rFonts w:ascii="Times New Roman" w:hAnsi="Times New Roman" w:cs="Times New Roman"/>
          <w:lang w:val="en-GB"/>
        </w:rPr>
        <w:t>NH</w:t>
      </w:r>
      <w:r w:rsidRPr="00FB1F9F">
        <w:rPr>
          <w:rFonts w:ascii="Times New Roman" w:hAnsi="Times New Roman" w:cs="Times New Roman"/>
          <w:vertAlign w:val="subscript"/>
          <w:lang w:val="en-GB"/>
        </w:rPr>
        <w:t>4</w:t>
      </w:r>
      <w:r w:rsidRPr="00FB1F9F">
        <w:rPr>
          <w:rFonts w:ascii="Times New Roman" w:hAnsi="Times New Roman" w:cs="Times New Roman"/>
          <w:lang w:val="en-GB"/>
        </w:rPr>
        <w:t>Zr</w:t>
      </w:r>
      <w:r w:rsidRPr="00FB1F9F">
        <w:rPr>
          <w:rFonts w:ascii="Times New Roman" w:hAnsi="Times New Roman" w:cs="Times New Roman"/>
          <w:vertAlign w:val="subscript"/>
          <w:lang w:val="en-GB"/>
        </w:rPr>
        <w:t>2</w:t>
      </w:r>
      <w:r w:rsidRPr="00FB1F9F">
        <w:rPr>
          <w:rFonts w:ascii="Times New Roman" w:hAnsi="Times New Roman" w:cs="Times New Roman"/>
          <w:lang w:val="en-GB"/>
        </w:rPr>
        <w:t>(</w:t>
      </w:r>
      <w:proofErr w:type="gramEnd"/>
      <w:r w:rsidRPr="00FB1F9F">
        <w:rPr>
          <w:rFonts w:ascii="Times New Roman" w:hAnsi="Times New Roman" w:cs="Times New Roman"/>
          <w:lang w:val="en-GB"/>
        </w:rPr>
        <w:t>PO</w:t>
      </w:r>
      <w:r w:rsidRPr="00FB1F9F">
        <w:rPr>
          <w:rFonts w:ascii="Times New Roman" w:hAnsi="Times New Roman" w:cs="Times New Roman"/>
          <w:vertAlign w:val="subscript"/>
          <w:lang w:val="en-GB"/>
        </w:rPr>
        <w:t>4</w:t>
      </w:r>
      <w:r w:rsidRPr="00FB1F9F">
        <w:rPr>
          <w:rFonts w:ascii="Times New Roman" w:hAnsi="Times New Roman" w:cs="Times New Roman"/>
          <w:lang w:val="en-GB"/>
        </w:rPr>
        <w:t>)</w:t>
      </w:r>
      <w:r w:rsidRPr="00FB1F9F">
        <w:rPr>
          <w:rFonts w:ascii="Times New Roman" w:hAnsi="Times New Roman" w:cs="Times New Roman"/>
          <w:vertAlign w:val="subscript"/>
          <w:lang w:val="en-GB"/>
        </w:rPr>
        <w:t>3</w:t>
      </w:r>
      <w:r w:rsidRPr="00FB1F9F">
        <w:rPr>
          <w:rFonts w:ascii="Times New Roman" w:hAnsi="Times New Roman" w:cs="Times New Roman"/>
          <w:lang w:val="en-GB"/>
        </w:rPr>
        <w:t xml:space="preserve"> studied by TG-IR Spectroscopy and powder XRD, </w:t>
      </w:r>
      <w:r w:rsidRPr="00FB1F9F">
        <w:rPr>
          <w:rFonts w:ascii="Times New Roman" w:hAnsi="Times New Roman" w:cs="Times New Roman"/>
          <w:i/>
          <w:lang w:val="en-GB"/>
        </w:rPr>
        <w:t xml:space="preserve">Journal of Thermal analysis and calorimetry, </w:t>
      </w:r>
      <w:r w:rsidRPr="00FB1F9F">
        <w:rPr>
          <w:rFonts w:ascii="Times New Roman" w:hAnsi="Times New Roman" w:cs="Times New Roman"/>
          <w:lang w:val="en-GB"/>
        </w:rPr>
        <w:t>98, 234-247</w:t>
      </w:r>
    </w:p>
    <w:p w14:paraId="2C1660BD" w14:textId="77777777" w:rsidR="00850FF1" w:rsidRPr="00FB1F9F" w:rsidRDefault="00850FF1" w:rsidP="00850FF1">
      <w:pPr>
        <w:spacing w:before="240" w:after="240"/>
        <w:ind w:left="720" w:hanging="720"/>
        <w:jc w:val="both"/>
        <w:rPr>
          <w:rFonts w:ascii="Times New Roman" w:hAnsi="Times New Roman" w:cs="Times New Roman"/>
          <w:lang w:val="en-GB"/>
        </w:rPr>
      </w:pPr>
      <w:r w:rsidRPr="00FB1F9F">
        <w:rPr>
          <w:rFonts w:ascii="Times New Roman" w:hAnsi="Times New Roman" w:cs="Times New Roman"/>
          <w:lang w:val="en-GB"/>
        </w:rPr>
        <w:t>[15]</w:t>
      </w:r>
      <w:r w:rsidRPr="00FB1F9F">
        <w:rPr>
          <w:rFonts w:ascii="Times New Roman" w:hAnsi="Times New Roman" w:cs="Times New Roman"/>
          <w:lang w:val="en-GB"/>
        </w:rPr>
        <w:tab/>
        <w:t xml:space="preserve">Ortner, M.H. Anderson, C.J. Campbell, P.F. (1961) </w:t>
      </w:r>
      <w:r w:rsidRPr="00FB1F9F">
        <w:rPr>
          <w:rFonts w:ascii="Times New Roman" w:hAnsi="Times New Roman" w:cs="Times New Roman"/>
          <w:i/>
          <w:lang w:val="en-GB"/>
        </w:rPr>
        <w:t>Research and Development Studies on Waste Storage Process,</w:t>
      </w:r>
      <w:r w:rsidRPr="00FB1F9F">
        <w:rPr>
          <w:rFonts w:ascii="Times New Roman" w:hAnsi="Times New Roman" w:cs="Times New Roman"/>
          <w:lang w:val="en-GB"/>
        </w:rPr>
        <w:t xml:space="preserve"> Idaho Operations Office, U.S. Atomic Energy Commission. </w:t>
      </w:r>
    </w:p>
    <w:p w14:paraId="7189FA10" w14:textId="77777777" w:rsidR="00850FF1" w:rsidRPr="00FB1F9F" w:rsidRDefault="00850FF1" w:rsidP="00850FF1">
      <w:pPr>
        <w:spacing w:before="240" w:after="240"/>
        <w:ind w:left="720" w:hanging="720"/>
        <w:jc w:val="both"/>
        <w:rPr>
          <w:rFonts w:ascii="Times New Roman" w:hAnsi="Times New Roman" w:cs="Times New Roman"/>
          <w:lang w:val="en-GB"/>
        </w:rPr>
      </w:pPr>
      <w:r w:rsidRPr="00FB1F9F">
        <w:rPr>
          <w:rFonts w:ascii="Times New Roman" w:hAnsi="Times New Roman" w:cs="Times New Roman"/>
          <w:lang w:val="en-GB"/>
        </w:rPr>
        <w:t>[16]</w:t>
      </w:r>
      <w:r w:rsidRPr="00FB1F9F">
        <w:rPr>
          <w:rFonts w:ascii="Times New Roman" w:hAnsi="Times New Roman" w:cs="Times New Roman"/>
          <w:lang w:val="en-GB"/>
        </w:rPr>
        <w:tab/>
        <w:t xml:space="preserve">Stern, K.H (1972) High Temperature Properties and Decompostion of Inorganic Salts Part 3. </w:t>
      </w:r>
      <w:proofErr w:type="gramStart"/>
      <w:r w:rsidRPr="00FB1F9F">
        <w:rPr>
          <w:rFonts w:ascii="Times New Roman" w:hAnsi="Times New Roman" w:cs="Times New Roman"/>
          <w:lang w:val="en-GB"/>
        </w:rPr>
        <w:t xml:space="preserve">Nitrates and Nitrites, </w:t>
      </w:r>
      <w:r w:rsidRPr="00FB1F9F">
        <w:rPr>
          <w:rFonts w:ascii="Times New Roman" w:hAnsi="Times New Roman" w:cs="Times New Roman"/>
          <w:i/>
          <w:lang w:val="en-GB"/>
        </w:rPr>
        <w:t xml:space="preserve">J. Phys. Chem. Ref. Data, </w:t>
      </w:r>
      <w:r w:rsidRPr="00FB1F9F">
        <w:rPr>
          <w:rFonts w:ascii="Times New Roman" w:hAnsi="Times New Roman" w:cs="Times New Roman"/>
          <w:lang w:val="en-GB"/>
        </w:rPr>
        <w:t>1(3), 747-772.</w:t>
      </w:r>
      <w:proofErr w:type="gramEnd"/>
      <w:r w:rsidRPr="00FB1F9F">
        <w:rPr>
          <w:rFonts w:ascii="Times New Roman" w:hAnsi="Times New Roman" w:cs="Times New Roman"/>
          <w:lang w:val="en-GB"/>
        </w:rPr>
        <w:t xml:space="preserve"> </w:t>
      </w:r>
    </w:p>
    <w:p w14:paraId="554B3BFC" w14:textId="673F6E47" w:rsidR="00850FF1" w:rsidRPr="00FB1F9F" w:rsidRDefault="00850FF1" w:rsidP="00850FF1">
      <w:pPr>
        <w:spacing w:before="240" w:after="240"/>
        <w:ind w:left="720" w:hanging="720"/>
        <w:jc w:val="both"/>
        <w:rPr>
          <w:rFonts w:ascii="Times New Roman" w:hAnsi="Times New Roman" w:cs="Times New Roman"/>
          <w:lang w:val="en-GB"/>
        </w:rPr>
      </w:pPr>
      <w:r w:rsidRPr="00FB1F9F">
        <w:rPr>
          <w:rFonts w:ascii="Times New Roman" w:hAnsi="Times New Roman" w:cs="Times New Roman"/>
          <w:lang w:val="en-GB"/>
        </w:rPr>
        <w:t>[17]</w:t>
      </w:r>
      <w:r w:rsidRPr="00FB1F9F">
        <w:rPr>
          <w:rFonts w:ascii="Times New Roman" w:hAnsi="Times New Roman" w:cs="Times New Roman"/>
          <w:lang w:val="en-GB"/>
        </w:rPr>
        <w:tab/>
      </w:r>
      <w:r w:rsidR="00A32FCA">
        <w:rPr>
          <w:rFonts w:ascii="Times New Roman" w:hAnsi="Times New Roman" w:cs="Times New Roman"/>
          <w:lang w:val="en-GB"/>
        </w:rPr>
        <w:t>Aligizaki, K.K,</w:t>
      </w:r>
      <w:r w:rsidRPr="00FB1F9F">
        <w:rPr>
          <w:rFonts w:ascii="Times New Roman" w:hAnsi="Times New Roman" w:cs="Times New Roman"/>
          <w:i/>
          <w:lang w:val="en-GB"/>
        </w:rPr>
        <w:t xml:space="preserve"> </w:t>
      </w:r>
      <w:r w:rsidRPr="00FB1F9F">
        <w:rPr>
          <w:rFonts w:ascii="Times New Roman" w:hAnsi="Times New Roman" w:cs="Times New Roman"/>
          <w:lang w:val="en-GB"/>
        </w:rPr>
        <w:t>(</w:t>
      </w:r>
      <w:r w:rsidR="00A32FCA">
        <w:rPr>
          <w:rFonts w:ascii="Times New Roman" w:hAnsi="Times New Roman" w:cs="Times New Roman"/>
          <w:lang w:val="en-GB"/>
        </w:rPr>
        <w:t>2005</w:t>
      </w:r>
      <w:r w:rsidRPr="00FB1F9F">
        <w:rPr>
          <w:rFonts w:ascii="Times New Roman" w:hAnsi="Times New Roman" w:cs="Times New Roman"/>
          <w:lang w:val="en-GB"/>
        </w:rPr>
        <w:t>)</w:t>
      </w:r>
      <w:r w:rsidRPr="00FB1F9F">
        <w:rPr>
          <w:rFonts w:ascii="Times New Roman" w:hAnsi="Times New Roman" w:cs="Times New Roman"/>
          <w:i/>
          <w:lang w:val="en-GB"/>
        </w:rPr>
        <w:t xml:space="preserve"> </w:t>
      </w:r>
      <w:r w:rsidR="00A32FCA">
        <w:rPr>
          <w:rFonts w:ascii="Times New Roman" w:hAnsi="Times New Roman" w:cs="Times New Roman"/>
          <w:lang w:val="en-GB"/>
        </w:rPr>
        <w:t xml:space="preserve">Chapter 3: Mercury Intrusion Porosimetry, </w:t>
      </w:r>
      <w:r w:rsidR="00A32FCA">
        <w:rPr>
          <w:rFonts w:ascii="Times New Roman" w:hAnsi="Times New Roman" w:cs="Times New Roman"/>
          <w:i/>
          <w:lang w:val="en-GB"/>
        </w:rPr>
        <w:t>Pore Structure of Cement Based Materials: Testing, Interpretation and Requirements</w:t>
      </w:r>
      <w:r w:rsidRPr="00FB1F9F">
        <w:rPr>
          <w:rFonts w:ascii="Times New Roman" w:hAnsi="Times New Roman" w:cs="Times New Roman"/>
          <w:i/>
          <w:lang w:val="en-GB"/>
        </w:rPr>
        <w:t>,</w:t>
      </w:r>
      <w:r w:rsidRPr="00FB1F9F">
        <w:rPr>
          <w:rFonts w:ascii="Times New Roman" w:hAnsi="Times New Roman" w:cs="Times New Roman"/>
          <w:lang w:val="en-GB"/>
        </w:rPr>
        <w:t xml:space="preserve"> </w:t>
      </w:r>
      <w:r w:rsidR="00A32FCA">
        <w:rPr>
          <w:rFonts w:ascii="Times New Roman" w:hAnsi="Times New Roman" w:cs="Times New Roman"/>
          <w:lang w:val="en-GB"/>
        </w:rPr>
        <w:t>Taylor and Francis</w:t>
      </w:r>
      <w:r w:rsidRPr="00FB1F9F">
        <w:rPr>
          <w:rFonts w:ascii="Times New Roman" w:hAnsi="Times New Roman" w:cs="Times New Roman"/>
          <w:lang w:val="en-GB"/>
        </w:rPr>
        <w:t xml:space="preserve">, </w:t>
      </w:r>
      <w:r w:rsidR="00A32FCA">
        <w:rPr>
          <w:rFonts w:ascii="Times New Roman" w:hAnsi="Times New Roman" w:cs="Times New Roman"/>
          <w:lang w:val="en-GB"/>
        </w:rPr>
        <w:t>66</w:t>
      </w:r>
      <w:r w:rsidRPr="00FB1F9F">
        <w:rPr>
          <w:rFonts w:ascii="Times New Roman" w:hAnsi="Times New Roman" w:cs="Times New Roman"/>
          <w:lang w:val="en-GB"/>
        </w:rPr>
        <w:t>.</w:t>
      </w:r>
    </w:p>
    <w:p w14:paraId="42491C45" w14:textId="602EF2F4" w:rsidR="00850FF1" w:rsidRPr="00FB1F9F" w:rsidRDefault="00850FF1" w:rsidP="00850FF1">
      <w:pPr>
        <w:spacing w:before="240" w:after="240"/>
        <w:ind w:left="720" w:hanging="720"/>
        <w:jc w:val="both"/>
        <w:rPr>
          <w:rFonts w:ascii="Times" w:hAnsi="Times" w:cs="Times"/>
        </w:rPr>
      </w:pPr>
      <w:r w:rsidRPr="00FB1F9F">
        <w:rPr>
          <w:rFonts w:ascii="Times" w:hAnsi="Times" w:cs="Times"/>
        </w:rPr>
        <w:t>[18]</w:t>
      </w:r>
      <w:r w:rsidRPr="00FB1F9F">
        <w:rPr>
          <w:rFonts w:ascii="Times" w:hAnsi="Times" w:cs="Times"/>
        </w:rPr>
        <w:tab/>
        <w:t xml:space="preserve">Glasser, F.P. (1992) Chapter 1: Chemistry of Cement-Solidifed Waste Forms, </w:t>
      </w:r>
      <w:r w:rsidRPr="00FB1F9F">
        <w:rPr>
          <w:rFonts w:ascii="Times" w:hAnsi="Times" w:cs="Times"/>
          <w:i/>
        </w:rPr>
        <w:t xml:space="preserve">Chemistry and Microstructure of Solidified Waste Forms, </w:t>
      </w:r>
      <w:r w:rsidRPr="00FB1F9F">
        <w:rPr>
          <w:rFonts w:ascii="Times" w:hAnsi="Times" w:cs="Times"/>
        </w:rPr>
        <w:t>edited by Roger D. Spence, Lewis Publishers, 1-40.</w:t>
      </w:r>
    </w:p>
    <w:p w14:paraId="09CE6839"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[19]</w:t>
      </w:r>
      <w:r w:rsidRPr="00FB1F9F">
        <w:rPr>
          <w:rFonts w:ascii="Times" w:hAnsi="Times" w:cs="Times"/>
        </w:rPr>
        <w:tab/>
        <w:t xml:space="preserve">Kunimitsu, M. Noriko, T. (2003) Adsorption hysteresis in </w:t>
      </w:r>
      <w:proofErr w:type="gramStart"/>
      <w:r w:rsidRPr="00FB1F9F">
        <w:rPr>
          <w:rFonts w:ascii="Times" w:hAnsi="Times" w:cs="Times"/>
        </w:rPr>
        <w:t>ink-bottle</w:t>
      </w:r>
      <w:proofErr w:type="gramEnd"/>
      <w:r w:rsidRPr="00FB1F9F">
        <w:rPr>
          <w:rFonts w:ascii="Times" w:hAnsi="Times" w:cs="Times"/>
        </w:rPr>
        <w:t xml:space="preserve"> pore, </w:t>
      </w:r>
      <w:r w:rsidRPr="00FB1F9F">
        <w:rPr>
          <w:rFonts w:ascii="Times" w:hAnsi="Times" w:cs="Times"/>
          <w:i/>
        </w:rPr>
        <w:t xml:space="preserve">Journal of Chemical Physics, </w:t>
      </w:r>
      <w:r w:rsidRPr="00FB1F9F">
        <w:rPr>
          <w:rFonts w:ascii="Times" w:hAnsi="Times" w:cs="Times"/>
        </w:rPr>
        <w:t xml:space="preserve">119 (4), 2301-2306. </w:t>
      </w:r>
    </w:p>
    <w:p w14:paraId="4E810E6D" w14:textId="698E83C9" w:rsidR="00850FF1" w:rsidRPr="00FB1F9F" w:rsidRDefault="00850FF1" w:rsidP="00850FF1">
      <w:pPr>
        <w:spacing w:before="240" w:after="240"/>
        <w:ind w:left="720" w:hanging="720"/>
        <w:jc w:val="both"/>
        <w:rPr>
          <w:rFonts w:ascii="Times" w:hAnsi="Times" w:cs="Times"/>
        </w:rPr>
      </w:pPr>
      <w:r w:rsidRPr="00FB1F9F">
        <w:rPr>
          <w:rFonts w:ascii="Times" w:hAnsi="Times" w:cs="Times"/>
        </w:rPr>
        <w:t>[20]</w:t>
      </w:r>
      <w:r w:rsidRPr="00FB1F9F">
        <w:rPr>
          <w:rFonts w:ascii="Times" w:hAnsi="Times" w:cs="Times"/>
        </w:rPr>
        <w:tab/>
        <w:t xml:space="preserve">Zhou, J. Ye, G., Van Breugel, K. Hydration Process and Pore Structure of Portland </w:t>
      </w:r>
      <w:proofErr w:type="gramStart"/>
      <w:r w:rsidRPr="00FB1F9F">
        <w:rPr>
          <w:rFonts w:ascii="Times" w:hAnsi="Times" w:cs="Times"/>
        </w:rPr>
        <w:t>Cement</w:t>
      </w:r>
      <w:proofErr w:type="gramEnd"/>
      <w:r w:rsidRPr="00FB1F9F">
        <w:rPr>
          <w:rFonts w:ascii="Times" w:hAnsi="Times" w:cs="Times"/>
        </w:rPr>
        <w:t xml:space="preserve"> Paste Blended with </w:t>
      </w:r>
      <w:r w:rsidR="004C7A66" w:rsidRPr="00FB1F9F">
        <w:rPr>
          <w:rFonts w:ascii="Times" w:hAnsi="Times" w:cs="Times"/>
        </w:rPr>
        <w:t>Blas</w:t>
      </w:r>
      <w:r w:rsidR="004C7A66">
        <w:rPr>
          <w:rFonts w:ascii="Times" w:hAnsi="Times" w:cs="Times"/>
        </w:rPr>
        <w:t>t</w:t>
      </w:r>
      <w:r w:rsidR="004C7A66" w:rsidRPr="00FB1F9F">
        <w:rPr>
          <w:rFonts w:ascii="Times" w:hAnsi="Times" w:cs="Times"/>
        </w:rPr>
        <w:t>furnace</w:t>
      </w:r>
      <w:r w:rsidRPr="00FB1F9F">
        <w:rPr>
          <w:rFonts w:ascii="Times" w:hAnsi="Times" w:cs="Times"/>
        </w:rPr>
        <w:t xml:space="preserve"> Slag, Delft University of Technology, Ghent University.</w:t>
      </w:r>
    </w:p>
    <w:p w14:paraId="48133C85"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[21]</w:t>
      </w:r>
      <w:r w:rsidRPr="00FB1F9F">
        <w:rPr>
          <w:rFonts w:ascii="Times" w:hAnsi="Times" w:cs="Times"/>
        </w:rPr>
        <w:tab/>
        <w:t xml:space="preserve">Aligizaki, K.K (2006) Chapter 3: Mercury intrusion porosimetry, </w:t>
      </w:r>
      <w:r w:rsidRPr="00FB1F9F">
        <w:rPr>
          <w:rFonts w:ascii="Times" w:hAnsi="Times" w:cs="Times"/>
          <w:i/>
        </w:rPr>
        <w:t xml:space="preserve">Pore Structure of Cement-Based Materials: Testing, Interpretation and Requirements, </w:t>
      </w:r>
      <w:r w:rsidRPr="00FB1F9F">
        <w:rPr>
          <w:rFonts w:ascii="Times" w:hAnsi="Times" w:cs="Times"/>
        </w:rPr>
        <w:t>Modern Concrete Technology 12, 60-107.</w:t>
      </w:r>
    </w:p>
    <w:p w14:paraId="25059AC0"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[22]</w:t>
      </w:r>
      <w:r w:rsidRPr="00FB1F9F">
        <w:rPr>
          <w:rFonts w:ascii="Times" w:hAnsi="Times" w:cs="Times"/>
        </w:rPr>
        <w:tab/>
        <w:t xml:space="preserve">Adolphs, J., Setzer, M.J., Heine, P. (2002) Changes in pore structure and mercury contact angle of hardened cement paste depending on relative humidity, </w:t>
      </w:r>
    </w:p>
    <w:p w14:paraId="630E88D2" w14:textId="07767FC6" w:rsidR="00850FF1" w:rsidRPr="00FB1F9F" w:rsidRDefault="00850FF1" w:rsidP="00850FF1">
      <w:pPr>
        <w:spacing w:before="240" w:after="240"/>
        <w:ind w:left="720" w:hanging="720"/>
        <w:jc w:val="both"/>
        <w:rPr>
          <w:rFonts w:ascii="Times" w:hAnsi="Times" w:cs="Times"/>
        </w:rPr>
      </w:pPr>
      <w:r w:rsidRPr="00FB1F9F">
        <w:rPr>
          <w:rFonts w:ascii="Times" w:hAnsi="Times" w:cs="Times"/>
        </w:rPr>
        <w:t>[23]</w:t>
      </w:r>
      <w:r w:rsidRPr="00FB1F9F">
        <w:rPr>
          <w:rFonts w:ascii="Times" w:hAnsi="Times" w:cs="Times"/>
        </w:rPr>
        <w:tab/>
        <w:t xml:space="preserve">Kaufmann, J., </w:t>
      </w:r>
      <w:r w:rsidRPr="00FB1F9F">
        <w:rPr>
          <w:rFonts w:ascii="Times" w:hAnsi="Times" w:cs="Times"/>
        </w:rPr>
        <w:tab/>
        <w:t xml:space="preserve">Loser, R., Leemann, A. Analysis of cement-bonded materials by multi-cycle mercury intrusion and nitrogen </w:t>
      </w:r>
      <w:r w:rsidR="004C7A66" w:rsidRPr="00FB1F9F">
        <w:rPr>
          <w:rFonts w:ascii="Times" w:hAnsi="Times" w:cs="Times"/>
        </w:rPr>
        <w:t>sorption</w:t>
      </w:r>
      <w:r w:rsidRPr="00FB1F9F">
        <w:rPr>
          <w:rFonts w:ascii="Times" w:hAnsi="Times" w:cs="Times"/>
        </w:rPr>
        <w:t xml:space="preserve">, </w:t>
      </w:r>
      <w:r w:rsidRPr="00FB1F9F">
        <w:rPr>
          <w:rFonts w:ascii="Times" w:hAnsi="Times" w:cs="Times"/>
          <w:i/>
        </w:rPr>
        <w:t xml:space="preserve">Journal of Colloid Interface Science, </w:t>
      </w:r>
      <w:r w:rsidRPr="00FB1F9F">
        <w:rPr>
          <w:rFonts w:ascii="Times" w:hAnsi="Times" w:cs="Times"/>
        </w:rPr>
        <w:t>336, 730-737</w:t>
      </w:r>
    </w:p>
    <w:p w14:paraId="0A3BF23A" w14:textId="05404FC7" w:rsidR="00850FF1" w:rsidRPr="00FB1F9F" w:rsidRDefault="00850FF1" w:rsidP="00850FF1">
      <w:pPr>
        <w:rPr>
          <w:rFonts w:ascii="Times" w:eastAsia="Times New Roman" w:hAnsi="Times" w:cs="Times New Roman"/>
          <w:lang w:val="en-GB"/>
        </w:rPr>
      </w:pPr>
      <w:r w:rsidRPr="00FB1F9F">
        <w:rPr>
          <w:rFonts w:ascii="Times" w:hAnsi="Times" w:cs="Times"/>
        </w:rPr>
        <w:t xml:space="preserve">[24] </w:t>
      </w:r>
      <w:r w:rsidRPr="00FB1F9F">
        <w:rPr>
          <w:rFonts w:ascii="Times" w:hAnsi="Times" w:cs="Times"/>
        </w:rPr>
        <w:tab/>
      </w:r>
      <w:r w:rsidRPr="00FB1F9F">
        <w:rPr>
          <w:rFonts w:ascii="Times" w:eastAsia="Times New Roman" w:hAnsi="Times" w:cs="Times New Roman"/>
          <w:lang w:val="en-GB"/>
        </w:rPr>
        <w:t xml:space="preserve">Shi D, Winslow DN. (1985) Contact angle and damage during mercury </w:t>
      </w:r>
      <w:r w:rsidR="00FB1F9F">
        <w:rPr>
          <w:rFonts w:ascii="Times" w:eastAsia="Times New Roman" w:hAnsi="Times" w:cs="Times New Roman"/>
          <w:lang w:val="en-GB"/>
        </w:rPr>
        <w:tab/>
        <w:t xml:space="preserve">intrusion into </w:t>
      </w:r>
      <w:r w:rsidR="00FB1F9F">
        <w:rPr>
          <w:rFonts w:ascii="Times" w:eastAsia="Times New Roman" w:hAnsi="Times" w:cs="Times New Roman"/>
          <w:lang w:val="en-GB"/>
        </w:rPr>
        <w:tab/>
        <w:t xml:space="preserve">cement </w:t>
      </w:r>
      <w:r w:rsidRPr="00FB1F9F">
        <w:rPr>
          <w:rFonts w:ascii="Times" w:eastAsia="Times New Roman" w:hAnsi="Times" w:cs="Times New Roman"/>
          <w:lang w:val="en-GB"/>
        </w:rPr>
        <w:t xml:space="preserve">paste. </w:t>
      </w:r>
      <w:r w:rsidRPr="00FB1F9F">
        <w:rPr>
          <w:rFonts w:ascii="Times" w:eastAsia="Times New Roman" w:hAnsi="Times" w:cs="Times New Roman"/>
          <w:lang w:val="en-GB"/>
        </w:rPr>
        <w:tab/>
      </w:r>
      <w:proofErr w:type="gramStart"/>
      <w:r w:rsidRPr="00FB1F9F">
        <w:rPr>
          <w:rFonts w:ascii="Times" w:eastAsia="Times New Roman" w:hAnsi="Times" w:cs="Times New Roman"/>
          <w:i/>
          <w:lang w:val="en-GB"/>
        </w:rPr>
        <w:t>Cem Concr Res</w:t>
      </w:r>
      <w:r w:rsidRPr="00FB1F9F">
        <w:rPr>
          <w:rFonts w:ascii="Times" w:eastAsia="Times New Roman" w:hAnsi="Times" w:cs="Times New Roman"/>
          <w:lang w:val="en-GB"/>
        </w:rPr>
        <w:t xml:space="preserve">, </w:t>
      </w:r>
      <w:r w:rsidRPr="00FB1F9F">
        <w:rPr>
          <w:rFonts w:ascii="Times" w:eastAsia="Times New Roman" w:hAnsi="Times" w:cs="Times New Roman"/>
          <w:b/>
          <w:lang w:val="en-GB"/>
        </w:rPr>
        <w:t xml:space="preserve">15, </w:t>
      </w:r>
      <w:r w:rsidR="00FB1F9F" w:rsidRPr="00FB1F9F">
        <w:rPr>
          <w:rFonts w:ascii="Times" w:eastAsia="Times New Roman" w:hAnsi="Times" w:cs="Times New Roman"/>
          <w:lang w:val="en-GB"/>
        </w:rPr>
        <w:t>645–54.</w:t>
      </w:r>
      <w:proofErr w:type="gramEnd"/>
    </w:p>
    <w:p w14:paraId="38C863D4" w14:textId="68108A92" w:rsidR="00850FF1" w:rsidRPr="00FB1F9F" w:rsidRDefault="00850FF1" w:rsidP="00850FF1">
      <w:pPr>
        <w:spacing w:before="240" w:after="240"/>
        <w:ind w:left="720" w:hanging="720"/>
        <w:jc w:val="both"/>
        <w:rPr>
          <w:rFonts w:ascii="Times" w:hAnsi="Times" w:cs="Times"/>
        </w:rPr>
      </w:pPr>
      <w:r w:rsidRPr="00FB1F9F">
        <w:rPr>
          <w:rFonts w:ascii="Times" w:hAnsi="Times" w:cs="Times"/>
        </w:rPr>
        <w:t>[25]</w:t>
      </w:r>
      <w:r w:rsidRPr="00FB1F9F">
        <w:rPr>
          <w:rFonts w:ascii="Times" w:hAnsi="Times" w:cs="Times"/>
        </w:rPr>
        <w:tab/>
        <w:t xml:space="preserve">Mendes, A., Gates, W.P., Sanjayan, J.G., Collins, F. (2011) NMR, XRD, IR and </w:t>
      </w:r>
      <w:r w:rsidR="004C7A66" w:rsidRPr="00FB1F9F">
        <w:rPr>
          <w:rFonts w:ascii="Times" w:hAnsi="Times" w:cs="Times"/>
        </w:rPr>
        <w:t>synchrotron</w:t>
      </w:r>
      <w:r w:rsidRPr="00FB1F9F">
        <w:rPr>
          <w:rFonts w:ascii="Times" w:hAnsi="Times" w:cs="Times"/>
        </w:rPr>
        <w:t xml:space="preserve"> NEXAFS spectroscopic studies of PC and PC/slags cement paste hydrates</w:t>
      </w:r>
      <w:proofErr w:type="gramStart"/>
      <w:r w:rsidRPr="00FB1F9F">
        <w:rPr>
          <w:rFonts w:ascii="Times" w:hAnsi="Times" w:cs="Times"/>
        </w:rPr>
        <w:t xml:space="preserve">, </w:t>
      </w:r>
      <w:r w:rsidRPr="00FB1F9F">
        <w:rPr>
          <w:rFonts w:ascii="Times" w:hAnsi="Times" w:cs="Times"/>
          <w:i/>
        </w:rPr>
        <w:t xml:space="preserve"> Materials</w:t>
      </w:r>
      <w:proofErr w:type="gramEnd"/>
      <w:r w:rsidRPr="00FB1F9F">
        <w:rPr>
          <w:rFonts w:ascii="Times" w:hAnsi="Times" w:cs="Times"/>
          <w:i/>
        </w:rPr>
        <w:t xml:space="preserve"> and Structures, </w:t>
      </w:r>
      <w:r w:rsidRPr="00FB1F9F">
        <w:rPr>
          <w:rFonts w:ascii="Times" w:hAnsi="Times" w:cs="Times"/>
        </w:rPr>
        <w:t>44, 1173-1791</w:t>
      </w:r>
    </w:p>
    <w:p w14:paraId="7AAA7DCD" w14:textId="02A4CE9E" w:rsidR="00850FF1" w:rsidRPr="00FB1F9F" w:rsidRDefault="00850FF1" w:rsidP="00850FF1">
      <w:pPr>
        <w:rPr>
          <w:rFonts w:ascii="Times" w:hAnsi="Times" w:cs="Times"/>
        </w:rPr>
      </w:pPr>
      <w:r w:rsidRPr="00FB1F9F">
        <w:rPr>
          <w:rFonts w:ascii="Times" w:hAnsi="Times" w:cs="Times"/>
        </w:rPr>
        <w:t xml:space="preserve">[26] </w:t>
      </w:r>
      <w:r w:rsidRPr="00FB1F9F">
        <w:rPr>
          <w:rFonts w:ascii="Times" w:hAnsi="Times" w:cs="Times"/>
        </w:rPr>
        <w:tab/>
        <w:t xml:space="preserve">Murgier, S., Zanni, H., Gouvenot, D., (2004) </w:t>
      </w:r>
      <w:r w:rsidRPr="00FB1F9F">
        <w:rPr>
          <w:rFonts w:ascii="Times" w:eastAsia="Times New Roman" w:hAnsi="Times" w:cs="Times New Roman"/>
          <w:lang w:val="en-GB"/>
        </w:rPr>
        <w:t xml:space="preserve">Blast furnace slag cement: a 29Si </w:t>
      </w:r>
      <w:r w:rsidR="00FB1F9F">
        <w:rPr>
          <w:rFonts w:ascii="Times" w:eastAsia="Times New Roman" w:hAnsi="Times" w:cs="Times New Roman"/>
          <w:lang w:val="en-GB"/>
        </w:rPr>
        <w:tab/>
        <w:t xml:space="preserve">and </w:t>
      </w:r>
      <w:r w:rsidRPr="00FB1F9F">
        <w:rPr>
          <w:rFonts w:ascii="Times" w:eastAsia="Times New Roman" w:hAnsi="Times" w:cs="Times New Roman"/>
          <w:lang w:val="en-GB"/>
        </w:rPr>
        <w:t>27Al NMR study</w:t>
      </w:r>
      <w:r w:rsidR="004C7A66" w:rsidRPr="00FB1F9F">
        <w:rPr>
          <w:rFonts w:ascii="Times" w:eastAsia="Times New Roman" w:hAnsi="Times" w:cs="Times New Roman"/>
          <w:lang w:val="en-GB"/>
        </w:rPr>
        <w:t xml:space="preserve">, </w:t>
      </w:r>
      <w:r w:rsidR="004C7A66" w:rsidRPr="00FB1F9F">
        <w:rPr>
          <w:rFonts w:ascii="Times" w:eastAsia="Times New Roman" w:hAnsi="Times" w:cs="Times New Roman"/>
          <w:i/>
          <w:lang w:val="en-GB"/>
        </w:rPr>
        <w:t>Comptes</w:t>
      </w:r>
      <w:r w:rsidRPr="00FB1F9F">
        <w:rPr>
          <w:rFonts w:ascii="Times" w:eastAsia="Times New Roman" w:hAnsi="Times" w:cs="Times New Roman"/>
          <w:i/>
          <w:lang w:val="en-GB"/>
        </w:rPr>
        <w:t xml:space="preserve"> rendus chimie, </w:t>
      </w:r>
      <w:r w:rsidRPr="00FB1F9F">
        <w:rPr>
          <w:rFonts w:ascii="Times" w:eastAsia="Times New Roman" w:hAnsi="Times" w:cs="Times New Roman"/>
          <w:b/>
          <w:lang w:val="en-GB"/>
        </w:rPr>
        <w:t xml:space="preserve">7, 3, </w:t>
      </w:r>
      <w:proofErr w:type="gramStart"/>
      <w:r w:rsidRPr="00FB1F9F">
        <w:rPr>
          <w:rFonts w:ascii="Times" w:eastAsia="Times New Roman" w:hAnsi="Times" w:cs="Times New Roman"/>
          <w:lang w:val="en-GB"/>
        </w:rPr>
        <w:t>389</w:t>
      </w:r>
      <w:proofErr w:type="gramEnd"/>
      <w:r w:rsidRPr="00FB1F9F">
        <w:rPr>
          <w:rFonts w:ascii="Times" w:eastAsia="Times New Roman" w:hAnsi="Times" w:cs="Times New Roman"/>
          <w:lang w:val="en-GB"/>
        </w:rPr>
        <w:t>-394</w:t>
      </w:r>
    </w:p>
    <w:p w14:paraId="79A90DBE" w14:textId="07972DBD" w:rsidR="00850FF1" w:rsidRPr="00FB1F9F" w:rsidRDefault="00850FF1" w:rsidP="00850FF1">
      <w:pPr>
        <w:spacing w:before="240" w:after="240"/>
        <w:ind w:left="720" w:hanging="720"/>
        <w:jc w:val="both"/>
        <w:rPr>
          <w:rFonts w:ascii="Times" w:hAnsi="Times" w:cs="Times"/>
        </w:rPr>
      </w:pPr>
      <w:r w:rsidRPr="00FB1F9F">
        <w:rPr>
          <w:rFonts w:ascii="Times" w:hAnsi="Times" w:cs="Times"/>
        </w:rPr>
        <w:lastRenderedPageBreak/>
        <w:t>[27]</w:t>
      </w:r>
      <w:r w:rsidRPr="00FB1F9F">
        <w:rPr>
          <w:rFonts w:ascii="Times" w:hAnsi="Times" w:cs="Times"/>
        </w:rPr>
        <w:tab/>
        <w:t xml:space="preserve">Anderesen, M.D., Jakobsen, H.J., Skibsted, J. (2003) </w:t>
      </w:r>
      <w:r w:rsidR="004C7A66" w:rsidRPr="00FB1F9F">
        <w:rPr>
          <w:rFonts w:ascii="Times" w:hAnsi="Times" w:cs="Times"/>
        </w:rPr>
        <w:t>Incorporation</w:t>
      </w:r>
      <w:r w:rsidRPr="00FB1F9F">
        <w:rPr>
          <w:rFonts w:ascii="Times" w:hAnsi="Times" w:cs="Times"/>
        </w:rPr>
        <w:t xml:space="preserve"> of Aluminium in the Calcium Silicate Hydrate (C-S-H) of Hydrated Portland Cements: A High-Field </w:t>
      </w:r>
      <w:r w:rsidRPr="00FB1F9F">
        <w:rPr>
          <w:rFonts w:ascii="Times" w:hAnsi="Times" w:cs="Times"/>
          <w:vertAlign w:val="superscript"/>
        </w:rPr>
        <w:t>27</w:t>
      </w:r>
      <w:r w:rsidRPr="00FB1F9F">
        <w:rPr>
          <w:rFonts w:ascii="Times" w:hAnsi="Times" w:cs="Times"/>
        </w:rPr>
        <w:t xml:space="preserve">Al and </w:t>
      </w:r>
      <w:r w:rsidRPr="00FB1F9F">
        <w:rPr>
          <w:rFonts w:ascii="Times" w:hAnsi="Times" w:cs="Times"/>
          <w:vertAlign w:val="superscript"/>
        </w:rPr>
        <w:t>29</w:t>
      </w:r>
      <w:r w:rsidRPr="00FB1F9F">
        <w:rPr>
          <w:rFonts w:ascii="Times" w:hAnsi="Times" w:cs="Times"/>
        </w:rPr>
        <w:t xml:space="preserve">Si MAS NMR Investigation, </w:t>
      </w:r>
      <w:r w:rsidRPr="00FB1F9F">
        <w:rPr>
          <w:rFonts w:ascii="Times" w:hAnsi="Times" w:cs="Times"/>
          <w:i/>
        </w:rPr>
        <w:t xml:space="preserve">Inorganic Chemistry, </w:t>
      </w:r>
      <w:r w:rsidRPr="00FB1F9F">
        <w:rPr>
          <w:rFonts w:ascii="Times" w:hAnsi="Times" w:cs="Times"/>
        </w:rPr>
        <w:t>42, 2280-2287.</w:t>
      </w:r>
    </w:p>
    <w:p w14:paraId="25688FBD" w14:textId="4DC250D4" w:rsidR="00850FF1" w:rsidRPr="00FB1F9F" w:rsidRDefault="00850FF1" w:rsidP="00850FF1">
      <w:pPr>
        <w:spacing w:before="240" w:after="240"/>
        <w:ind w:left="720" w:hanging="720"/>
        <w:jc w:val="both"/>
        <w:rPr>
          <w:rFonts w:ascii="Times" w:hAnsi="Times" w:cs="Times"/>
          <w:b/>
        </w:rPr>
      </w:pPr>
      <w:r w:rsidRPr="00FB1F9F">
        <w:rPr>
          <w:rFonts w:ascii="Times" w:hAnsi="Times" w:cs="Times"/>
        </w:rPr>
        <w:t>[28]</w:t>
      </w:r>
      <w:r w:rsidRPr="00FB1F9F">
        <w:rPr>
          <w:rFonts w:ascii="Times" w:hAnsi="Times" w:cs="Times"/>
        </w:rPr>
        <w:tab/>
        <w:t xml:space="preserve">MacLaren D.C., White M.A. (2003) Cement: its chemistry and properties. </w:t>
      </w:r>
      <w:r w:rsidRPr="00FB1F9F">
        <w:rPr>
          <w:rFonts w:ascii="Times" w:hAnsi="Times" w:cs="Times"/>
          <w:i/>
        </w:rPr>
        <w:t xml:space="preserve">J Chem Edu </w:t>
      </w:r>
      <w:r w:rsidRPr="00FB1F9F">
        <w:rPr>
          <w:rFonts w:ascii="Times" w:hAnsi="Times" w:cs="Times"/>
        </w:rPr>
        <w:t>80:623–635</w:t>
      </w:r>
    </w:p>
    <w:p w14:paraId="375EFFCE"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 xml:space="preserve"> [29]</w:t>
      </w:r>
      <w:r w:rsidRPr="00FB1F9F">
        <w:rPr>
          <w:rFonts w:ascii="Times" w:hAnsi="Times" w:cs="Times"/>
        </w:rPr>
        <w:tab/>
      </w:r>
      <w:r w:rsidRPr="00FB1F9F">
        <w:rPr>
          <w:rFonts w:ascii="Times New Roman" w:hAnsi="Times New Roman" w:cs="Times New Roman"/>
        </w:rPr>
        <w:t xml:space="preserve">Andersen, M.D., Jakobsen, H.J., Skibsted, J., (2004) Characterisation of white Portland cement hydration and the C-S-H structure in the presence of sodium aluminate by </w:t>
      </w:r>
      <w:r w:rsidRPr="00FB1F9F">
        <w:rPr>
          <w:rFonts w:ascii="Times New Roman" w:hAnsi="Times New Roman" w:cs="Times New Roman"/>
          <w:vertAlign w:val="superscript"/>
        </w:rPr>
        <w:t>27</w:t>
      </w:r>
      <w:r w:rsidRPr="00FB1F9F">
        <w:rPr>
          <w:rFonts w:ascii="Times New Roman" w:hAnsi="Times New Roman" w:cs="Times New Roman"/>
        </w:rPr>
        <w:t xml:space="preserve">Al and </w:t>
      </w:r>
      <w:r w:rsidRPr="00FB1F9F">
        <w:rPr>
          <w:rFonts w:ascii="Times New Roman" w:hAnsi="Times New Roman" w:cs="Times New Roman"/>
          <w:vertAlign w:val="superscript"/>
        </w:rPr>
        <w:t>29</w:t>
      </w:r>
      <w:r w:rsidRPr="00FB1F9F">
        <w:rPr>
          <w:rFonts w:ascii="Times New Roman" w:hAnsi="Times New Roman" w:cs="Times New Roman"/>
        </w:rPr>
        <w:t xml:space="preserve">Si MAS NMR Spectroscopy, </w:t>
      </w:r>
      <w:r w:rsidRPr="00FB1F9F">
        <w:rPr>
          <w:rFonts w:ascii="Times New Roman" w:hAnsi="Times New Roman" w:cs="Times New Roman"/>
          <w:i/>
        </w:rPr>
        <w:t xml:space="preserve">Cement and concrete research, </w:t>
      </w:r>
      <w:r w:rsidRPr="00FB1F9F">
        <w:rPr>
          <w:rFonts w:ascii="Times New Roman" w:hAnsi="Times New Roman" w:cs="Times New Roman"/>
          <w:b/>
        </w:rPr>
        <w:t>34</w:t>
      </w:r>
      <w:r w:rsidRPr="00FB1F9F">
        <w:rPr>
          <w:rFonts w:ascii="Times New Roman" w:hAnsi="Times New Roman" w:cs="Times New Roman"/>
        </w:rPr>
        <w:t>, 857-868</w:t>
      </w:r>
    </w:p>
    <w:p w14:paraId="528859E0" w14:textId="4AB43186" w:rsidR="00850FF1" w:rsidRPr="00FB1F9F" w:rsidRDefault="00850FF1" w:rsidP="00850FF1">
      <w:pPr>
        <w:spacing w:before="240" w:after="240"/>
        <w:ind w:left="720" w:hanging="720"/>
        <w:jc w:val="both"/>
        <w:rPr>
          <w:rFonts w:ascii="Times" w:hAnsi="Times" w:cs="Times"/>
        </w:rPr>
      </w:pPr>
      <w:r w:rsidRPr="00FB1F9F">
        <w:rPr>
          <w:rFonts w:ascii="Times" w:hAnsi="Times" w:cs="Times"/>
        </w:rPr>
        <w:t>[30]</w:t>
      </w:r>
      <w:r w:rsidRPr="00FB1F9F">
        <w:rPr>
          <w:rFonts w:ascii="Times" w:hAnsi="Times" w:cs="Times"/>
        </w:rPr>
        <w:tab/>
        <w:t>Sun, G.K., Young, J.F., Kirkpatrick</w:t>
      </w:r>
      <w:r w:rsidR="004C7A66" w:rsidRPr="00FB1F9F">
        <w:rPr>
          <w:rFonts w:ascii="Times" w:hAnsi="Times" w:cs="Times"/>
        </w:rPr>
        <w:t>, R.J</w:t>
      </w:r>
      <w:r w:rsidRPr="00FB1F9F">
        <w:rPr>
          <w:rFonts w:ascii="Times" w:hAnsi="Times" w:cs="Times"/>
        </w:rPr>
        <w:t xml:space="preserve">. (2006) </w:t>
      </w:r>
      <w:r w:rsidR="004C7A66" w:rsidRPr="00FB1F9F">
        <w:rPr>
          <w:rFonts w:ascii="Times" w:hAnsi="Times" w:cs="Times"/>
        </w:rPr>
        <w:t>the</w:t>
      </w:r>
      <w:r w:rsidRPr="00FB1F9F">
        <w:rPr>
          <w:rFonts w:ascii="Times" w:hAnsi="Times" w:cs="Times"/>
        </w:rPr>
        <w:t xml:space="preserve"> role of Al in C-S-H: NMR, XRD, and compositional results for precipitated samples, </w:t>
      </w:r>
      <w:r w:rsidRPr="00FB1F9F">
        <w:rPr>
          <w:rFonts w:ascii="Times" w:hAnsi="Times" w:cs="Times"/>
          <w:i/>
        </w:rPr>
        <w:t xml:space="preserve">Cement and concrete research, </w:t>
      </w:r>
      <w:r w:rsidRPr="00FB1F9F">
        <w:rPr>
          <w:rFonts w:ascii="Times" w:hAnsi="Times" w:cs="Times"/>
        </w:rPr>
        <w:t xml:space="preserve">36 (1), </w:t>
      </w:r>
      <w:proofErr w:type="gramStart"/>
      <w:r w:rsidRPr="00FB1F9F">
        <w:rPr>
          <w:rFonts w:ascii="Times" w:hAnsi="Times" w:cs="Times"/>
        </w:rPr>
        <w:t>18</w:t>
      </w:r>
      <w:proofErr w:type="gramEnd"/>
      <w:r w:rsidRPr="00FB1F9F">
        <w:rPr>
          <w:rFonts w:ascii="Times" w:hAnsi="Times" w:cs="Times"/>
        </w:rPr>
        <w:t>-29.</w:t>
      </w:r>
    </w:p>
    <w:p w14:paraId="53ECD09F" w14:textId="16EA9C50" w:rsidR="00850FF1" w:rsidRPr="00FB1F9F" w:rsidRDefault="00850FF1" w:rsidP="00850FF1">
      <w:pPr>
        <w:spacing w:before="240" w:after="240"/>
        <w:ind w:left="720" w:hanging="720"/>
        <w:jc w:val="both"/>
        <w:rPr>
          <w:rFonts w:ascii="Times" w:hAnsi="Times" w:cs="Times"/>
        </w:rPr>
      </w:pPr>
      <w:r w:rsidRPr="00FB1F9F">
        <w:rPr>
          <w:rFonts w:ascii="Times" w:hAnsi="Times" w:cs="Times"/>
        </w:rPr>
        <w:t>[31]</w:t>
      </w:r>
      <w:r w:rsidRPr="00FB1F9F">
        <w:rPr>
          <w:rFonts w:ascii="Times" w:hAnsi="Times" w:cs="Times"/>
        </w:rPr>
        <w:tab/>
        <w:t>Brough, A.R., Katz, A., Sun, G.K., Struble, L.J., Kirkpatrick, R.J. (2001) Adiabatically cured alkali-</w:t>
      </w:r>
      <w:r w:rsidR="004C7A66" w:rsidRPr="00FB1F9F">
        <w:rPr>
          <w:rFonts w:ascii="Times" w:hAnsi="Times" w:cs="Times"/>
        </w:rPr>
        <w:t>activated</w:t>
      </w:r>
      <w:r w:rsidRPr="00FB1F9F">
        <w:rPr>
          <w:rFonts w:ascii="Times" w:hAnsi="Times" w:cs="Times"/>
        </w:rPr>
        <w:t xml:space="preserve"> cement-based </w:t>
      </w:r>
      <w:r w:rsidR="004C7A66" w:rsidRPr="00FB1F9F">
        <w:rPr>
          <w:rFonts w:ascii="Times" w:hAnsi="Times" w:cs="Times"/>
        </w:rPr>
        <w:t>waste forms</w:t>
      </w:r>
      <w:r w:rsidRPr="00FB1F9F">
        <w:rPr>
          <w:rFonts w:ascii="Times" w:hAnsi="Times" w:cs="Times"/>
        </w:rPr>
        <w:t xml:space="preserve"> containing high levels of fly ash, formation of zeolites and Al-substituted C-S-H, </w:t>
      </w:r>
      <w:r w:rsidRPr="00FB1F9F">
        <w:rPr>
          <w:rFonts w:ascii="Times" w:hAnsi="Times" w:cs="Times"/>
          <w:i/>
        </w:rPr>
        <w:t xml:space="preserve">Cement and concrete research, </w:t>
      </w:r>
      <w:r w:rsidRPr="00751C5B">
        <w:rPr>
          <w:rFonts w:ascii="Times" w:hAnsi="Times" w:cs="Times"/>
          <w:b/>
        </w:rPr>
        <w:t>31</w:t>
      </w:r>
      <w:r w:rsidRPr="00FB1F9F">
        <w:rPr>
          <w:rFonts w:ascii="Times" w:hAnsi="Times" w:cs="Times"/>
        </w:rPr>
        <w:t>, 993-1000.</w:t>
      </w:r>
    </w:p>
    <w:p w14:paraId="7E7C4D89" w14:textId="35ED49D0" w:rsidR="008220BA" w:rsidRDefault="0008029B" w:rsidP="00850FF1">
      <w:pPr>
        <w:spacing w:before="240" w:after="240"/>
        <w:ind w:left="720" w:hanging="720"/>
        <w:jc w:val="both"/>
        <w:rPr>
          <w:rFonts w:ascii="Times" w:hAnsi="Times" w:cs="Times"/>
        </w:rPr>
      </w:pPr>
      <w:r w:rsidRPr="00FB1F9F" w:rsidDel="0008029B">
        <w:rPr>
          <w:rFonts w:ascii="Times" w:hAnsi="Times" w:cs="Times"/>
        </w:rPr>
        <w:t xml:space="preserve"> </w:t>
      </w:r>
      <w:r w:rsidR="00BF19F4">
        <w:rPr>
          <w:rFonts w:ascii="Times" w:hAnsi="Times" w:cs="Times"/>
        </w:rPr>
        <w:t>[32</w:t>
      </w:r>
      <w:r w:rsidR="00D05860">
        <w:rPr>
          <w:rFonts w:ascii="Times" w:hAnsi="Times" w:cs="Times"/>
        </w:rPr>
        <w:t>]</w:t>
      </w:r>
      <w:r w:rsidR="00D05860">
        <w:rPr>
          <w:rFonts w:ascii="Times" w:hAnsi="Times" w:cs="Times"/>
        </w:rPr>
        <w:tab/>
        <w:t>S</w:t>
      </w:r>
      <w:r w:rsidR="00D05860" w:rsidRPr="007C66F1">
        <w:rPr>
          <w:rFonts w:ascii="Times" w:hAnsi="Times" w:cs="Times"/>
        </w:rPr>
        <w:t>chneider</w:t>
      </w:r>
      <w:r w:rsidR="00D05860">
        <w:rPr>
          <w:rFonts w:ascii="Times" w:hAnsi="Times" w:cs="Times"/>
        </w:rPr>
        <w:t>,</w:t>
      </w:r>
      <w:r w:rsidR="00D05860" w:rsidRPr="007C66F1">
        <w:rPr>
          <w:rFonts w:ascii="Times" w:hAnsi="Times" w:cs="Times"/>
        </w:rPr>
        <w:t xml:space="preserve"> J</w:t>
      </w:r>
      <w:r w:rsidR="00D05860">
        <w:rPr>
          <w:rFonts w:ascii="Times" w:hAnsi="Times" w:cs="Times"/>
        </w:rPr>
        <w:t>.</w:t>
      </w:r>
      <w:r w:rsidR="00D05860" w:rsidRPr="007C66F1">
        <w:rPr>
          <w:rFonts w:ascii="Times" w:hAnsi="Times" w:cs="Times"/>
        </w:rPr>
        <w:t>, Cincotto M</w:t>
      </w:r>
      <w:r w:rsidR="00D05860">
        <w:rPr>
          <w:rFonts w:ascii="Times" w:hAnsi="Times" w:cs="Times"/>
        </w:rPr>
        <w:t>.</w:t>
      </w:r>
      <w:r w:rsidR="00D05860" w:rsidRPr="007C66F1">
        <w:rPr>
          <w:rFonts w:ascii="Times" w:hAnsi="Times" w:cs="Times"/>
        </w:rPr>
        <w:t>A</w:t>
      </w:r>
      <w:r w:rsidR="00D05860">
        <w:rPr>
          <w:rFonts w:ascii="Times" w:hAnsi="Times" w:cs="Times"/>
        </w:rPr>
        <w:t xml:space="preserve">., Panepucci, </w:t>
      </w:r>
      <w:r w:rsidR="00D05860" w:rsidRPr="007C66F1">
        <w:rPr>
          <w:rFonts w:ascii="Times" w:hAnsi="Times" w:cs="Times"/>
        </w:rPr>
        <w:t>H</w:t>
      </w:r>
      <w:r w:rsidR="00D05860">
        <w:rPr>
          <w:rFonts w:ascii="Times" w:hAnsi="Times" w:cs="Times"/>
        </w:rPr>
        <w:t>.</w:t>
      </w:r>
      <w:r w:rsidR="00D05860" w:rsidRPr="007C66F1">
        <w:rPr>
          <w:rFonts w:ascii="Times" w:hAnsi="Times" w:cs="Times"/>
        </w:rPr>
        <w:t xml:space="preserve"> (2001) </w:t>
      </w:r>
      <w:r w:rsidR="00D05860" w:rsidRPr="00751C5B">
        <w:rPr>
          <w:rFonts w:ascii="Times" w:hAnsi="Times" w:cs="Times"/>
          <w:vertAlign w:val="superscript"/>
        </w:rPr>
        <w:t>29</w:t>
      </w:r>
      <w:r w:rsidR="00D05860" w:rsidRPr="007C66F1">
        <w:rPr>
          <w:rFonts w:ascii="Times" w:hAnsi="Times" w:cs="Times"/>
        </w:rPr>
        <w:t xml:space="preserve">Si and </w:t>
      </w:r>
      <w:r w:rsidR="00D05860" w:rsidRPr="00751C5B">
        <w:rPr>
          <w:rFonts w:ascii="Times" w:hAnsi="Times" w:cs="Times"/>
          <w:vertAlign w:val="superscript"/>
        </w:rPr>
        <w:t>27</w:t>
      </w:r>
      <w:r w:rsidR="00D05860" w:rsidRPr="007C66F1">
        <w:rPr>
          <w:rFonts w:ascii="Times" w:hAnsi="Times" w:cs="Times"/>
        </w:rPr>
        <w:t>Al high-resolution NMR characterization of calcium silicate hydrate phases in acti</w:t>
      </w:r>
      <w:r w:rsidR="00D05860">
        <w:rPr>
          <w:rFonts w:ascii="Times" w:hAnsi="Times" w:cs="Times"/>
        </w:rPr>
        <w:t xml:space="preserve">vated blast-furnace slag pastes, </w:t>
      </w:r>
      <w:r w:rsidR="00D05860">
        <w:rPr>
          <w:rFonts w:ascii="Times" w:hAnsi="Times" w:cs="Times"/>
          <w:i/>
        </w:rPr>
        <w:t>Cement and Concrete Research,</w:t>
      </w:r>
      <w:r w:rsidR="00C06A28">
        <w:rPr>
          <w:rFonts w:ascii="Times" w:hAnsi="Times" w:cs="Times"/>
          <w:i/>
        </w:rPr>
        <w:t xml:space="preserve"> </w:t>
      </w:r>
      <w:r w:rsidR="00C06A28">
        <w:rPr>
          <w:rFonts w:ascii="Times" w:hAnsi="Times" w:cs="Times"/>
          <w:b/>
        </w:rPr>
        <w:t>31</w:t>
      </w:r>
      <w:r w:rsidR="00D05860">
        <w:rPr>
          <w:rFonts w:ascii="Times" w:hAnsi="Times" w:cs="Times"/>
        </w:rPr>
        <w:t>,</w:t>
      </w:r>
      <w:r w:rsidR="00F27BAC">
        <w:rPr>
          <w:rFonts w:ascii="Times" w:hAnsi="Times" w:cs="Times"/>
        </w:rPr>
        <w:t xml:space="preserve"> 993-1001</w:t>
      </w:r>
    </w:p>
    <w:p w14:paraId="01B7859F" w14:textId="6B358D8C" w:rsidR="008220BA" w:rsidRPr="008220BA" w:rsidRDefault="0008029B" w:rsidP="00850FF1">
      <w:pPr>
        <w:spacing w:before="240" w:after="240"/>
        <w:ind w:left="720" w:hanging="720"/>
        <w:jc w:val="both"/>
        <w:rPr>
          <w:rFonts w:ascii="Times" w:hAnsi="Times" w:cs="Times"/>
        </w:rPr>
      </w:pPr>
      <w:r>
        <w:rPr>
          <w:rFonts w:ascii="Times" w:hAnsi="Times" w:cs="Times"/>
        </w:rPr>
        <w:t>[33</w:t>
      </w:r>
      <w:r w:rsidR="008220BA">
        <w:rPr>
          <w:rFonts w:ascii="Times" w:hAnsi="Times" w:cs="Times"/>
        </w:rPr>
        <w:t>]</w:t>
      </w:r>
      <w:r w:rsidR="008220BA">
        <w:rPr>
          <w:rFonts w:ascii="Times" w:hAnsi="Times" w:cs="Times"/>
        </w:rPr>
        <w:tab/>
        <w:t xml:space="preserve">Park, T.J., Choi, S.S., Kim, Y., (2009) </w:t>
      </w:r>
      <w:r w:rsidR="008220BA">
        <w:rPr>
          <w:rFonts w:ascii="Times" w:hAnsi="Times" w:cs="Times"/>
          <w:vertAlign w:val="superscript"/>
        </w:rPr>
        <w:t>27</w:t>
      </w:r>
      <w:r w:rsidR="008220BA">
        <w:rPr>
          <w:rFonts w:ascii="Times" w:hAnsi="Times" w:cs="Times"/>
        </w:rPr>
        <w:t xml:space="preserve">Al Solid-state NMR Structural Studies of </w:t>
      </w:r>
      <w:r w:rsidR="004C7A66">
        <w:rPr>
          <w:rFonts w:ascii="Times" w:hAnsi="Times" w:cs="Times"/>
        </w:rPr>
        <w:t>Hydrotalcite</w:t>
      </w:r>
      <w:r w:rsidR="008220BA">
        <w:rPr>
          <w:rFonts w:ascii="Times" w:hAnsi="Times" w:cs="Times"/>
        </w:rPr>
        <w:t xml:space="preserve"> Compounds Calcined at Different temperatures, </w:t>
      </w:r>
      <w:r w:rsidR="008220BA">
        <w:rPr>
          <w:rFonts w:ascii="Times" w:hAnsi="Times" w:cs="Times"/>
          <w:i/>
        </w:rPr>
        <w:t xml:space="preserve">Bull. Korean Chem. Soc., </w:t>
      </w:r>
      <w:r w:rsidR="008220BA">
        <w:rPr>
          <w:rFonts w:ascii="Times" w:hAnsi="Times" w:cs="Times"/>
          <w:b/>
        </w:rPr>
        <w:t xml:space="preserve">30, </w:t>
      </w:r>
      <w:r w:rsidR="008220BA">
        <w:rPr>
          <w:rFonts w:ascii="Times" w:hAnsi="Times" w:cs="Times"/>
        </w:rPr>
        <w:t>149-151</w:t>
      </w:r>
    </w:p>
    <w:p w14:paraId="43959115" w14:textId="00841DAA" w:rsidR="00850FF1" w:rsidRPr="00FB1F9F" w:rsidRDefault="00850FF1" w:rsidP="00850FF1">
      <w:pPr>
        <w:spacing w:before="240" w:after="240"/>
        <w:ind w:left="720" w:hanging="720"/>
        <w:jc w:val="both"/>
        <w:rPr>
          <w:rFonts w:ascii="Times" w:hAnsi="Times" w:cs="Times"/>
        </w:rPr>
      </w:pPr>
      <w:r w:rsidRPr="00FB1F9F">
        <w:rPr>
          <w:rFonts w:ascii="Times" w:hAnsi="Times" w:cs="Times"/>
        </w:rPr>
        <w:t>[34]</w:t>
      </w:r>
      <w:r w:rsidRPr="00FB1F9F">
        <w:rPr>
          <w:rFonts w:ascii="Times" w:hAnsi="Times" w:cs="Times"/>
        </w:rPr>
        <w:tab/>
        <w:t xml:space="preserve">Scrivener K.L, (2002) </w:t>
      </w:r>
      <w:proofErr w:type="gramStart"/>
      <w:r w:rsidRPr="00FB1F9F">
        <w:rPr>
          <w:rFonts w:ascii="Times" w:hAnsi="Times" w:cs="Times"/>
        </w:rPr>
        <w:t>Backscattered</w:t>
      </w:r>
      <w:proofErr w:type="gramEnd"/>
      <w:r w:rsidRPr="00FB1F9F">
        <w:rPr>
          <w:rFonts w:ascii="Times" w:hAnsi="Times" w:cs="Times"/>
        </w:rPr>
        <w:t xml:space="preserve"> electron imaging of cement </w:t>
      </w:r>
      <w:r w:rsidR="004C7A66" w:rsidRPr="00FB1F9F">
        <w:rPr>
          <w:rFonts w:ascii="Times" w:hAnsi="Times" w:cs="Times"/>
        </w:rPr>
        <w:t>microstructures</w:t>
      </w:r>
      <w:r w:rsidRPr="00FB1F9F">
        <w:rPr>
          <w:rFonts w:ascii="Times" w:hAnsi="Times" w:cs="Times"/>
        </w:rPr>
        <w:t xml:space="preserve">: understanding and quantification, </w:t>
      </w:r>
      <w:r w:rsidRPr="00FB1F9F">
        <w:rPr>
          <w:rFonts w:ascii="Times" w:hAnsi="Times" w:cs="Times"/>
          <w:i/>
        </w:rPr>
        <w:t xml:space="preserve">Cem. Concr. </w:t>
      </w:r>
      <w:proofErr w:type="gramStart"/>
      <w:r w:rsidRPr="00FB1F9F">
        <w:rPr>
          <w:rFonts w:ascii="Times" w:hAnsi="Times" w:cs="Times"/>
          <w:i/>
        </w:rPr>
        <w:t xml:space="preserve">Res., </w:t>
      </w:r>
      <w:r w:rsidRPr="00FB1F9F">
        <w:rPr>
          <w:rFonts w:ascii="Times" w:hAnsi="Times" w:cs="Times"/>
        </w:rPr>
        <w:t>30(1), 1-6.</w:t>
      </w:r>
      <w:proofErr w:type="gramEnd"/>
    </w:p>
    <w:p w14:paraId="5BEB9A69" w14:textId="6772A227" w:rsidR="00850FF1" w:rsidRPr="00FB1F9F" w:rsidRDefault="00850FF1" w:rsidP="00850FF1">
      <w:pPr>
        <w:widowControl w:val="0"/>
        <w:autoSpaceDE w:val="0"/>
        <w:autoSpaceDN w:val="0"/>
        <w:adjustRightInd w:val="0"/>
        <w:spacing w:after="240"/>
        <w:ind w:left="720" w:hanging="720"/>
        <w:rPr>
          <w:rFonts w:ascii="Times New Roman" w:hAnsi="Times New Roman" w:cs="Times New Roman"/>
        </w:rPr>
      </w:pPr>
      <w:r w:rsidRPr="00FB1F9F">
        <w:rPr>
          <w:rFonts w:ascii="Times" w:hAnsi="Times" w:cs="Times"/>
        </w:rPr>
        <w:t>[35]</w:t>
      </w:r>
      <w:r w:rsidRPr="00FB1F9F">
        <w:rPr>
          <w:rFonts w:ascii="Times" w:hAnsi="Times" w:cs="Times"/>
        </w:rPr>
        <w:tab/>
      </w:r>
      <w:r w:rsidRPr="00FB1F9F">
        <w:rPr>
          <w:rFonts w:ascii="Times New Roman" w:hAnsi="Times New Roman" w:cs="Times New Roman"/>
        </w:rPr>
        <w:t xml:space="preserve">Evans, N.D.M., (2008). Binding mechanisms of radionuclides </w:t>
      </w:r>
      <w:r w:rsidR="004C7A66" w:rsidRPr="00FB1F9F">
        <w:rPr>
          <w:rFonts w:ascii="Times New Roman" w:hAnsi="Times New Roman" w:cs="Times New Roman"/>
        </w:rPr>
        <w:t>to cement</w:t>
      </w:r>
      <w:r w:rsidRPr="00FB1F9F">
        <w:rPr>
          <w:rFonts w:ascii="Times New Roman" w:hAnsi="Times New Roman" w:cs="Times New Roman"/>
          <w:i/>
        </w:rPr>
        <w:t>. Cement and Concrete Research</w:t>
      </w:r>
      <w:r w:rsidRPr="00FB1F9F">
        <w:rPr>
          <w:rFonts w:ascii="Times New Roman" w:hAnsi="Times New Roman" w:cs="Times New Roman"/>
        </w:rPr>
        <w:t xml:space="preserve">, </w:t>
      </w:r>
      <w:r w:rsidRPr="00FB1F9F">
        <w:rPr>
          <w:rFonts w:ascii="Times New Roman" w:hAnsi="Times New Roman" w:cs="Times New Roman"/>
          <w:b/>
        </w:rPr>
        <w:t>38 (4),</w:t>
      </w:r>
      <w:r w:rsidRPr="00FB1F9F">
        <w:rPr>
          <w:rFonts w:ascii="Times New Roman" w:hAnsi="Times New Roman" w:cs="Times New Roman"/>
        </w:rPr>
        <w:t xml:space="preserve"> 543-55</w:t>
      </w:r>
    </w:p>
    <w:p w14:paraId="788F886E"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[36]</w:t>
      </w:r>
      <w:r w:rsidRPr="00FB1F9F">
        <w:rPr>
          <w:rFonts w:ascii="Times" w:hAnsi="Times" w:cs="Times"/>
        </w:rPr>
        <w:tab/>
        <w:t xml:space="preserve">Cheng, A. Chao, Sao-Jeng, C. Wei-Ting, L. (2013) Effects of leaching behaviour of calcium ions on compression and durability of cement-based materials with mineral admixtures, </w:t>
      </w:r>
      <w:r w:rsidRPr="00FB1F9F">
        <w:rPr>
          <w:rFonts w:ascii="Times" w:hAnsi="Times" w:cs="Times"/>
          <w:i/>
        </w:rPr>
        <w:t>Materials,</w:t>
      </w:r>
      <w:r w:rsidRPr="00FB1F9F">
        <w:rPr>
          <w:rFonts w:ascii="Times" w:hAnsi="Times" w:cs="Times"/>
        </w:rPr>
        <w:t xml:space="preserve"> 6, 1851-1872</w:t>
      </w:r>
    </w:p>
    <w:p w14:paraId="3571DF72"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[37]</w:t>
      </w:r>
      <w:r w:rsidRPr="00FB1F9F">
        <w:rPr>
          <w:rFonts w:ascii="Times" w:hAnsi="Times" w:cs="Times"/>
        </w:rPr>
        <w:tab/>
        <w:t xml:space="preserve">Abdel Rahman, R.O, Zin El Abidin, D.H.A, Abou-Shady, H., (2013) Assessment of strontium immobilisation in cement-bentonite matrices, </w:t>
      </w:r>
      <w:r w:rsidRPr="00FB1F9F">
        <w:rPr>
          <w:rFonts w:ascii="Times" w:hAnsi="Times" w:cs="Times"/>
          <w:i/>
        </w:rPr>
        <w:t xml:space="preserve">chemical engineering journal, </w:t>
      </w:r>
      <w:r w:rsidRPr="00FB1F9F">
        <w:rPr>
          <w:rFonts w:ascii="Times" w:hAnsi="Times" w:cs="Times"/>
          <w:b/>
        </w:rPr>
        <w:t>228,</w:t>
      </w:r>
      <w:r w:rsidRPr="00FB1F9F">
        <w:rPr>
          <w:rFonts w:ascii="Times" w:hAnsi="Times" w:cs="Times"/>
        </w:rPr>
        <w:t xml:space="preserve"> 772-780</w:t>
      </w:r>
    </w:p>
    <w:p w14:paraId="6C95D913" w14:textId="77777777" w:rsidR="00850FF1" w:rsidRPr="00FB1F9F" w:rsidRDefault="00850FF1" w:rsidP="00850FF1">
      <w:pPr>
        <w:spacing w:before="240" w:after="120"/>
        <w:ind w:left="720" w:hanging="720"/>
        <w:jc w:val="both"/>
        <w:rPr>
          <w:rFonts w:ascii="Times New Roman" w:hAnsi="Times New Roman" w:cs="Times New Roman"/>
        </w:rPr>
      </w:pPr>
      <w:proofErr w:type="gramStart"/>
      <w:r w:rsidRPr="00FB1F9F">
        <w:rPr>
          <w:rFonts w:ascii="Times" w:hAnsi="Times" w:cs="Times"/>
        </w:rPr>
        <w:t>[38]</w:t>
      </w:r>
      <w:r w:rsidRPr="00FB1F9F">
        <w:rPr>
          <w:rFonts w:ascii="Times" w:hAnsi="Times" w:cs="Times"/>
        </w:rPr>
        <w:tab/>
      </w:r>
      <w:r w:rsidRPr="00FB1F9F">
        <w:rPr>
          <w:rFonts w:ascii="Times New Roman" w:hAnsi="Times New Roman" w:cs="Times New Roman"/>
        </w:rPr>
        <w:t xml:space="preserve">Wieland, Kunz, D., Dahn, R., (2008) Strontium uptake by cementitious materials, </w:t>
      </w:r>
      <w:r w:rsidRPr="00FB1F9F">
        <w:rPr>
          <w:rFonts w:ascii="Times New Roman" w:hAnsi="Times New Roman" w:cs="Times New Roman"/>
          <w:i/>
        </w:rPr>
        <w:t>Environ.</w:t>
      </w:r>
      <w:proofErr w:type="gramEnd"/>
      <w:r w:rsidRPr="00FB1F9F">
        <w:rPr>
          <w:rFonts w:ascii="Times New Roman" w:hAnsi="Times New Roman" w:cs="Times New Roman"/>
          <w:i/>
        </w:rPr>
        <w:t xml:space="preserve"> Sci. Technology, </w:t>
      </w:r>
      <w:r w:rsidRPr="00FB1F9F">
        <w:rPr>
          <w:rFonts w:ascii="Times New Roman" w:hAnsi="Times New Roman" w:cs="Times New Roman"/>
          <w:b/>
        </w:rPr>
        <w:t>42</w:t>
      </w:r>
      <w:r w:rsidRPr="00FB1F9F">
        <w:rPr>
          <w:rFonts w:ascii="Times New Roman" w:hAnsi="Times New Roman" w:cs="Times New Roman"/>
        </w:rPr>
        <w:t xml:space="preserve">, 403-409. </w:t>
      </w:r>
    </w:p>
    <w:p w14:paraId="4BB5A4BD" w14:textId="33C39021" w:rsidR="00850FF1" w:rsidRPr="00FB1F9F" w:rsidRDefault="00850FF1" w:rsidP="00850FF1">
      <w:pPr>
        <w:spacing w:before="240" w:after="120"/>
        <w:ind w:left="720" w:hanging="720"/>
        <w:jc w:val="both"/>
        <w:rPr>
          <w:rFonts w:ascii="Times New Roman" w:hAnsi="Times New Roman" w:cs="Times New Roman"/>
        </w:rPr>
      </w:pPr>
      <w:r w:rsidRPr="00FB1F9F">
        <w:rPr>
          <w:rFonts w:ascii="Times New Roman" w:hAnsi="Times New Roman" w:cs="Times New Roman"/>
        </w:rPr>
        <w:lastRenderedPageBreak/>
        <w:t>[39]</w:t>
      </w:r>
      <w:r w:rsidRPr="00FB1F9F">
        <w:rPr>
          <w:rFonts w:ascii="Times New Roman" w:hAnsi="Times New Roman" w:cs="Times New Roman"/>
        </w:rPr>
        <w:tab/>
      </w:r>
      <w:r w:rsidRPr="00FB1F9F">
        <w:rPr>
          <w:rFonts w:ascii="Times" w:hAnsi="Times" w:cs="Times"/>
        </w:rPr>
        <w:t xml:space="preserve">Chang, H. Um, W. Rod, K. Thompson, A. (2013) Strontium and Cesium release </w:t>
      </w:r>
      <w:r w:rsidR="004C7A66" w:rsidRPr="00FB1F9F">
        <w:rPr>
          <w:rFonts w:ascii="Times" w:hAnsi="Times" w:cs="Times"/>
        </w:rPr>
        <w:t>mechanisms</w:t>
      </w:r>
      <w:r w:rsidRPr="00FB1F9F">
        <w:rPr>
          <w:rFonts w:ascii="Times" w:hAnsi="Times" w:cs="Times"/>
        </w:rPr>
        <w:t xml:space="preserve"> during unsaturated flow through waste-weathered Hanford sediments, </w:t>
      </w:r>
      <w:r w:rsidRPr="00FB1F9F">
        <w:rPr>
          <w:rFonts w:ascii="Times" w:hAnsi="Times" w:cs="Times"/>
          <w:i/>
        </w:rPr>
        <w:t xml:space="preserve">Environmental Science &amp; Technology, </w:t>
      </w:r>
      <w:r w:rsidRPr="00FB1F9F">
        <w:rPr>
          <w:rFonts w:ascii="Times" w:hAnsi="Times" w:cs="Times"/>
        </w:rPr>
        <w:t>45(19), 8313-8230</w:t>
      </w:r>
    </w:p>
    <w:p w14:paraId="127DC3CD" w14:textId="77777777" w:rsidR="00850FF1" w:rsidRPr="00FB1F9F" w:rsidRDefault="00850FF1" w:rsidP="00850FF1">
      <w:pPr>
        <w:widowControl w:val="0"/>
        <w:tabs>
          <w:tab w:val="left" w:pos="220"/>
          <w:tab w:val="left" w:pos="720"/>
        </w:tabs>
        <w:autoSpaceDE w:val="0"/>
        <w:autoSpaceDN w:val="0"/>
        <w:adjustRightInd w:val="0"/>
        <w:spacing w:before="240" w:after="240"/>
        <w:ind w:left="720" w:hanging="720"/>
        <w:jc w:val="both"/>
        <w:rPr>
          <w:rFonts w:ascii="Times New Roman" w:hAnsi="Times New Roman" w:cs="Times New Roman"/>
          <w:color w:val="101010"/>
        </w:rPr>
      </w:pPr>
      <w:r w:rsidRPr="00FB1F9F">
        <w:rPr>
          <w:rFonts w:ascii="Times New Roman" w:hAnsi="Times New Roman" w:cs="Times New Roman"/>
          <w:color w:val="101010"/>
        </w:rPr>
        <w:t>[40]</w:t>
      </w:r>
      <w:r w:rsidRPr="00FB1F9F">
        <w:rPr>
          <w:rFonts w:ascii="Times New Roman" w:hAnsi="Times New Roman" w:cs="Times New Roman"/>
          <w:color w:val="101010"/>
        </w:rPr>
        <w:tab/>
        <w:t xml:space="preserve">Atkins, M. &amp; Glasser, F.P. (1992) Application of cement-based materials to radioactive waste immobilization, </w:t>
      </w:r>
      <w:r w:rsidRPr="00FB1F9F">
        <w:rPr>
          <w:rFonts w:ascii="Times New Roman" w:hAnsi="Times New Roman" w:cs="Times New Roman"/>
          <w:i/>
          <w:color w:val="101010"/>
        </w:rPr>
        <w:t xml:space="preserve">Waste Management, </w:t>
      </w:r>
      <w:r w:rsidRPr="00FB1F9F">
        <w:rPr>
          <w:rFonts w:ascii="Times New Roman" w:hAnsi="Times New Roman" w:cs="Times New Roman"/>
          <w:color w:val="101010"/>
        </w:rPr>
        <w:t xml:space="preserve">12, 105-131. </w:t>
      </w:r>
    </w:p>
    <w:p w14:paraId="7DCD3A7A"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[41]</w:t>
      </w:r>
      <w:r w:rsidRPr="00FB1F9F">
        <w:rPr>
          <w:rFonts w:ascii="Times" w:hAnsi="Times" w:cs="Times"/>
        </w:rPr>
        <w:tab/>
      </w:r>
      <w:proofErr w:type="gramStart"/>
      <w:r w:rsidRPr="00FB1F9F">
        <w:rPr>
          <w:rFonts w:ascii="Times New Roman" w:hAnsi="Times New Roman" w:cs="Times New Roman"/>
          <w:lang w:val="en-GB"/>
        </w:rPr>
        <w:t xml:space="preserve">Carlson, E.T. (1995) A study of some strontium aluminate and calcium-strontium aluminate solid solutions, </w:t>
      </w:r>
      <w:r w:rsidRPr="00FB1F9F">
        <w:rPr>
          <w:rFonts w:ascii="Times New Roman" w:hAnsi="Times New Roman" w:cs="Times New Roman"/>
          <w:i/>
          <w:lang w:val="en-GB"/>
        </w:rPr>
        <w:t xml:space="preserve">Journal of research of the national bureau of standards, </w:t>
      </w:r>
      <w:r w:rsidRPr="00FB1F9F">
        <w:rPr>
          <w:rFonts w:ascii="Times New Roman" w:hAnsi="Times New Roman" w:cs="Times New Roman"/>
          <w:lang w:val="en-GB"/>
        </w:rPr>
        <w:t>54 (6), 329-334.</w:t>
      </w:r>
      <w:proofErr w:type="gramEnd"/>
    </w:p>
    <w:p w14:paraId="45496490" w14:textId="77777777" w:rsidR="00850FF1" w:rsidRPr="00FB1F9F" w:rsidRDefault="00850FF1" w:rsidP="00850FF1">
      <w:pPr>
        <w:spacing w:before="240" w:after="240"/>
        <w:ind w:left="720" w:hanging="720"/>
        <w:jc w:val="both"/>
        <w:rPr>
          <w:rFonts w:ascii="Times" w:hAnsi="Times" w:cs="Times"/>
        </w:rPr>
      </w:pPr>
      <w:r w:rsidRPr="00FB1F9F">
        <w:rPr>
          <w:rFonts w:ascii="Times New Roman" w:hAnsi="Times New Roman" w:cs="Times New Roman"/>
          <w:lang w:val="en-GB"/>
        </w:rPr>
        <w:t>[42]</w:t>
      </w:r>
      <w:r w:rsidRPr="00FB1F9F">
        <w:rPr>
          <w:rFonts w:ascii="Times New Roman" w:hAnsi="Times New Roman" w:cs="Times New Roman"/>
          <w:lang w:val="en-GB"/>
        </w:rPr>
        <w:tab/>
      </w:r>
      <w:proofErr w:type="gramStart"/>
      <w:r w:rsidRPr="00FB1F9F">
        <w:rPr>
          <w:rFonts w:ascii="Times New Roman" w:hAnsi="Times New Roman" w:cs="Times New Roman"/>
          <w:lang w:val="en-GB"/>
        </w:rPr>
        <w:t>Kalousek, G. L. Davis, C. W. Jr.</w:t>
      </w:r>
      <w:proofErr w:type="gramEnd"/>
      <w:r w:rsidRPr="00FB1F9F">
        <w:rPr>
          <w:rFonts w:ascii="Times New Roman" w:hAnsi="Times New Roman" w:cs="Times New Roman"/>
          <w:lang w:val="en-GB"/>
        </w:rPr>
        <w:t xml:space="preserve">  Schmertz, W. E. (1949) An Investigation of Hydrating Cements and Related Hydrous Solids by Differential Thermal Analysis </w:t>
      </w:r>
      <w:r w:rsidRPr="00FB1F9F">
        <w:rPr>
          <w:rFonts w:ascii="Times New Roman" w:hAnsi="Times New Roman" w:cs="Times New Roman"/>
          <w:i/>
          <w:lang w:val="en-GB"/>
        </w:rPr>
        <w:t>Proc. Amer. Conc. Inst</w:t>
      </w:r>
      <w:r w:rsidRPr="00FB1F9F">
        <w:rPr>
          <w:rFonts w:ascii="Times New Roman" w:hAnsi="Times New Roman" w:cs="Times New Roman"/>
          <w:lang w:val="en-GB"/>
        </w:rPr>
        <w:t>., 45:693.</w:t>
      </w:r>
    </w:p>
    <w:p w14:paraId="2BA3C719" w14:textId="77777777" w:rsidR="00850FF1" w:rsidRPr="00FB1F9F" w:rsidRDefault="00850FF1" w:rsidP="00850FF1">
      <w:pPr>
        <w:widowControl w:val="0"/>
        <w:tabs>
          <w:tab w:val="left" w:pos="971"/>
        </w:tabs>
        <w:autoSpaceDE w:val="0"/>
        <w:autoSpaceDN w:val="0"/>
        <w:adjustRightInd w:val="0"/>
        <w:spacing w:before="240" w:after="240"/>
        <w:ind w:left="720" w:hanging="720"/>
        <w:jc w:val="both"/>
        <w:rPr>
          <w:rFonts w:ascii="Times" w:hAnsi="Times" w:cs="Times"/>
        </w:rPr>
      </w:pPr>
      <w:r w:rsidRPr="00FB1F9F">
        <w:rPr>
          <w:rFonts w:ascii="Times" w:hAnsi="Times" w:cs="Times"/>
        </w:rPr>
        <w:t>[43]</w:t>
      </w:r>
      <w:r w:rsidRPr="00FB1F9F">
        <w:rPr>
          <w:rFonts w:ascii="Times" w:hAnsi="Times" w:cs="Times"/>
        </w:rPr>
        <w:tab/>
        <w:t xml:space="preserve">Ojovan, M.I., Varlackova, G.A., Golubeva, Z.I., Burlaka, O.N (2011) Long-term field and laboratory leaching tests of cemented radioactive wastes, </w:t>
      </w:r>
      <w:r w:rsidRPr="00FB1F9F">
        <w:rPr>
          <w:rFonts w:ascii="Times" w:hAnsi="Times" w:cs="Times"/>
          <w:i/>
        </w:rPr>
        <w:t xml:space="preserve">Journal of Hazardous Materials </w:t>
      </w:r>
      <w:r w:rsidRPr="00FB1F9F">
        <w:rPr>
          <w:rFonts w:ascii="Times" w:hAnsi="Times" w:cs="Times"/>
        </w:rPr>
        <w:t>187, 296-302.</w:t>
      </w:r>
    </w:p>
    <w:p w14:paraId="4519DB4E"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[44]</w:t>
      </w:r>
      <w:r w:rsidRPr="00FB1F9F">
        <w:rPr>
          <w:rFonts w:ascii="Times" w:hAnsi="Times" w:cs="Times"/>
        </w:rPr>
        <w:tab/>
        <w:t>Sharp, J.H., Milestone, N.B.</w:t>
      </w:r>
      <w:proofErr w:type="gramStart"/>
      <w:r w:rsidRPr="00FB1F9F">
        <w:rPr>
          <w:rFonts w:ascii="Times" w:hAnsi="Times" w:cs="Times"/>
        </w:rPr>
        <w:t>,  Hill</w:t>
      </w:r>
      <w:proofErr w:type="gramEnd"/>
      <w:r w:rsidRPr="00FB1F9F">
        <w:rPr>
          <w:rFonts w:ascii="Times" w:hAnsi="Times" w:cs="Times"/>
        </w:rPr>
        <w:t xml:space="preserve">, J., Miller, E.W., (2003) Cementitious systems for encapsulation of intermediate level waste, </w:t>
      </w:r>
      <w:r w:rsidRPr="00FB1F9F">
        <w:rPr>
          <w:rFonts w:ascii="Times" w:hAnsi="Times" w:cs="Times"/>
          <w:i/>
        </w:rPr>
        <w:t>9</w:t>
      </w:r>
      <w:r w:rsidRPr="00FB1F9F">
        <w:rPr>
          <w:rFonts w:ascii="Times" w:hAnsi="Times" w:cs="Times"/>
          <w:i/>
          <w:vertAlign w:val="superscript"/>
        </w:rPr>
        <w:t>th</w:t>
      </w:r>
      <w:r w:rsidRPr="00FB1F9F">
        <w:rPr>
          <w:rFonts w:ascii="Times" w:hAnsi="Times" w:cs="Times"/>
          <w:i/>
        </w:rPr>
        <w:t xml:space="preserve"> International Conference on Radioactive Waste Management and Environmental Remediation, </w:t>
      </w:r>
    </w:p>
    <w:p w14:paraId="0BFF1548"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[45]</w:t>
      </w:r>
      <w:r w:rsidRPr="00FB1F9F">
        <w:rPr>
          <w:rFonts w:ascii="Times" w:hAnsi="Times" w:cs="Times"/>
        </w:rPr>
        <w:tab/>
        <w:t xml:space="preserve">Ben Haha, M., Lothenbach, B., Le Saout, G., Winnefeld (2011) Influence of slag chemistry on the hydration of alkali-activated blast furnace slag, </w:t>
      </w:r>
      <w:r w:rsidRPr="00FB1F9F">
        <w:rPr>
          <w:rFonts w:ascii="Times" w:hAnsi="Times" w:cs="Times"/>
          <w:i/>
        </w:rPr>
        <w:t xml:space="preserve">Cement and concrete research, </w:t>
      </w:r>
      <w:r w:rsidRPr="00FB1F9F">
        <w:rPr>
          <w:rFonts w:ascii="Times" w:hAnsi="Times" w:cs="Times"/>
          <w:b/>
        </w:rPr>
        <w:t>41, 9</w:t>
      </w:r>
      <w:proofErr w:type="gramStart"/>
      <w:r w:rsidRPr="00FB1F9F">
        <w:rPr>
          <w:rFonts w:ascii="Times" w:hAnsi="Times" w:cs="Times"/>
          <w:b/>
        </w:rPr>
        <w:t xml:space="preserve">, </w:t>
      </w:r>
      <w:r w:rsidRPr="00FB1F9F">
        <w:rPr>
          <w:rFonts w:ascii="Times" w:hAnsi="Times" w:cs="Times"/>
        </w:rPr>
        <w:t xml:space="preserve"> 955</w:t>
      </w:r>
      <w:proofErr w:type="gramEnd"/>
      <w:r w:rsidRPr="00FB1F9F">
        <w:rPr>
          <w:rFonts w:ascii="Times" w:hAnsi="Times" w:cs="Times"/>
        </w:rPr>
        <w:t>-963.</w:t>
      </w:r>
    </w:p>
    <w:p w14:paraId="53E02BBE" w14:textId="77777777" w:rsidR="00850FF1" w:rsidRPr="00FB1F9F" w:rsidRDefault="00850FF1" w:rsidP="00850FF1">
      <w:pPr>
        <w:spacing w:before="240" w:after="240"/>
        <w:ind w:left="720" w:hanging="720"/>
        <w:jc w:val="both"/>
        <w:rPr>
          <w:rFonts w:ascii="Times New Roman" w:hAnsi="Times New Roman" w:cs="Times New Roman"/>
          <w:color w:val="101010"/>
        </w:rPr>
      </w:pPr>
      <w:proofErr w:type="gramStart"/>
      <w:r w:rsidRPr="00FB1F9F">
        <w:rPr>
          <w:rFonts w:ascii="Times" w:hAnsi="Times" w:cs="Times"/>
        </w:rPr>
        <w:t>[46]</w:t>
      </w:r>
      <w:r w:rsidRPr="00FB1F9F">
        <w:rPr>
          <w:rFonts w:ascii="Times" w:hAnsi="Times" w:cs="Times"/>
        </w:rPr>
        <w:tab/>
      </w:r>
      <w:r w:rsidRPr="00FB1F9F">
        <w:rPr>
          <w:rFonts w:ascii="Times New Roman" w:hAnsi="Times New Roman" w:cs="Times New Roman"/>
          <w:color w:val="101010"/>
        </w:rPr>
        <w:t xml:space="preserve">Bensted, J. &amp; Varma, S.P. (1971) Ettringite and its derivatives, </w:t>
      </w:r>
      <w:r w:rsidRPr="00FB1F9F">
        <w:rPr>
          <w:rFonts w:ascii="Times New Roman" w:hAnsi="Times New Roman" w:cs="Times New Roman"/>
          <w:i/>
          <w:color w:val="101010"/>
        </w:rPr>
        <w:t xml:space="preserve">Cement Technology, </w:t>
      </w:r>
      <w:r w:rsidRPr="00FB1F9F">
        <w:rPr>
          <w:rFonts w:ascii="Times New Roman" w:hAnsi="Times New Roman" w:cs="Times New Roman"/>
          <w:color w:val="101010"/>
        </w:rPr>
        <w:t>2, 73-76.</w:t>
      </w:r>
      <w:proofErr w:type="gramEnd"/>
    </w:p>
    <w:p w14:paraId="59FB07E4" w14:textId="77777777" w:rsidR="00850FF1" w:rsidRPr="00FB1F9F" w:rsidRDefault="00850FF1" w:rsidP="00850FF1">
      <w:pPr>
        <w:spacing w:before="240" w:after="240"/>
        <w:ind w:left="720" w:hanging="720"/>
        <w:jc w:val="both"/>
        <w:rPr>
          <w:rFonts w:ascii="Times New Roman" w:hAnsi="Times New Roman" w:cs="Times New Roman"/>
        </w:rPr>
      </w:pPr>
      <w:r w:rsidRPr="00FB1F9F">
        <w:rPr>
          <w:rFonts w:ascii="Times New Roman" w:hAnsi="Times New Roman" w:cs="Times New Roman"/>
          <w:color w:val="101010"/>
        </w:rPr>
        <w:t>[47]</w:t>
      </w:r>
      <w:r w:rsidRPr="00FB1F9F">
        <w:rPr>
          <w:rFonts w:ascii="Times New Roman" w:hAnsi="Times New Roman" w:cs="Times New Roman"/>
          <w:color w:val="101010"/>
        </w:rPr>
        <w:tab/>
      </w:r>
      <w:r w:rsidRPr="00FB1F9F">
        <w:rPr>
          <w:rFonts w:ascii="Times New Roman" w:hAnsi="Times New Roman" w:cs="Times New Roman"/>
        </w:rPr>
        <w:t xml:space="preserve">Saito, H. and Sunao N. (1999) Comparison between diffusion test and electrochemical acceleration test for leaching of cement hydration products, </w:t>
      </w:r>
      <w:r w:rsidRPr="00FB1F9F">
        <w:rPr>
          <w:rFonts w:ascii="Times New Roman" w:hAnsi="Times New Roman" w:cs="Times New Roman"/>
          <w:i/>
        </w:rPr>
        <w:t xml:space="preserve">ACI Materials Journal. </w:t>
      </w:r>
      <w:proofErr w:type="gramStart"/>
      <w:r w:rsidRPr="00FB1F9F">
        <w:rPr>
          <w:rFonts w:ascii="Times New Roman" w:hAnsi="Times New Roman" w:cs="Times New Roman"/>
          <w:b/>
        </w:rPr>
        <w:t xml:space="preserve">96, </w:t>
      </w:r>
      <w:r w:rsidRPr="00FB1F9F">
        <w:rPr>
          <w:rFonts w:ascii="Times New Roman" w:hAnsi="Times New Roman" w:cs="Times New Roman"/>
        </w:rPr>
        <w:t>208-212.</w:t>
      </w:r>
      <w:proofErr w:type="gramEnd"/>
    </w:p>
    <w:p w14:paraId="0E6A96F0" w14:textId="77777777" w:rsidR="00850FF1" w:rsidRPr="00FB1F9F" w:rsidRDefault="00850FF1" w:rsidP="00850FF1">
      <w:pPr>
        <w:spacing w:before="240" w:after="240"/>
        <w:ind w:left="720" w:hanging="720"/>
        <w:jc w:val="both"/>
        <w:rPr>
          <w:rFonts w:ascii="Times New Roman" w:hAnsi="Times New Roman" w:cs="Times New Roman"/>
          <w:color w:val="101010"/>
        </w:rPr>
      </w:pPr>
      <w:r w:rsidRPr="00FB1F9F">
        <w:rPr>
          <w:rFonts w:ascii="Times New Roman" w:hAnsi="Times New Roman" w:cs="Times New Roman"/>
        </w:rPr>
        <w:t>[48]</w:t>
      </w:r>
      <w:r w:rsidRPr="00FB1F9F">
        <w:rPr>
          <w:rFonts w:ascii="Times New Roman" w:hAnsi="Times New Roman" w:cs="Times New Roman"/>
        </w:rPr>
        <w:tab/>
      </w:r>
      <w:r w:rsidRPr="00FB1F9F">
        <w:rPr>
          <w:rFonts w:ascii="Times New Roman" w:hAnsi="Times New Roman" w:cs="Times New Roman"/>
          <w:color w:val="101010"/>
        </w:rPr>
        <w:t>Utton, C.A. (2007) The encapsulation of BaCO</w:t>
      </w:r>
      <w:r w:rsidRPr="00FB1F9F">
        <w:rPr>
          <w:rFonts w:ascii="Times New Roman" w:hAnsi="Times New Roman" w:cs="Times New Roman"/>
          <w:color w:val="101010"/>
          <w:vertAlign w:val="subscript"/>
        </w:rPr>
        <w:t>3</w:t>
      </w:r>
      <w:r w:rsidRPr="00FB1F9F">
        <w:rPr>
          <w:rFonts w:ascii="Times New Roman" w:hAnsi="Times New Roman" w:cs="Times New Roman"/>
          <w:color w:val="101010"/>
        </w:rPr>
        <w:t xml:space="preserve"> waste in composite cements, </w:t>
      </w:r>
      <w:r w:rsidRPr="00FB1F9F">
        <w:rPr>
          <w:rFonts w:ascii="Times New Roman" w:hAnsi="Times New Roman" w:cs="Times New Roman"/>
          <w:i/>
          <w:color w:val="101010"/>
        </w:rPr>
        <w:t>Ph.D Thesis</w:t>
      </w:r>
      <w:r w:rsidRPr="00FB1F9F">
        <w:rPr>
          <w:rFonts w:ascii="Times New Roman" w:hAnsi="Times New Roman" w:cs="Times New Roman"/>
          <w:color w:val="101010"/>
        </w:rPr>
        <w:t>, University of Sheffield.</w:t>
      </w:r>
    </w:p>
    <w:p w14:paraId="2A2D3840" w14:textId="77777777" w:rsidR="00850FF1" w:rsidRPr="00FB1F9F" w:rsidRDefault="00850FF1" w:rsidP="00850FF1">
      <w:pPr>
        <w:widowControl w:val="0"/>
        <w:tabs>
          <w:tab w:val="left" w:pos="971"/>
        </w:tabs>
        <w:autoSpaceDE w:val="0"/>
        <w:autoSpaceDN w:val="0"/>
        <w:adjustRightInd w:val="0"/>
        <w:spacing w:before="240" w:after="240"/>
        <w:ind w:left="720" w:hanging="720"/>
        <w:jc w:val="both"/>
        <w:rPr>
          <w:rFonts w:ascii="Times" w:hAnsi="Times" w:cs="Times"/>
        </w:rPr>
      </w:pPr>
      <w:r w:rsidRPr="00FB1F9F">
        <w:rPr>
          <w:rFonts w:ascii="Times New Roman" w:hAnsi="Times New Roman" w:cs="Times New Roman"/>
          <w:color w:val="101010"/>
        </w:rPr>
        <w:t>[49]</w:t>
      </w:r>
      <w:r w:rsidRPr="00FB1F9F">
        <w:rPr>
          <w:rFonts w:ascii="Times New Roman" w:hAnsi="Times New Roman" w:cs="Times New Roman"/>
          <w:color w:val="101010"/>
        </w:rPr>
        <w:tab/>
      </w:r>
      <w:r w:rsidRPr="00FB1F9F">
        <w:rPr>
          <w:rFonts w:ascii="Times" w:hAnsi="Times" w:cs="Times"/>
        </w:rPr>
        <w:t xml:space="preserve">Stumm, W. &amp; Morgan, J.J. (1981) </w:t>
      </w:r>
      <w:r w:rsidRPr="00FB1F9F">
        <w:rPr>
          <w:rFonts w:ascii="Times" w:hAnsi="Times" w:cs="Times"/>
          <w:i/>
        </w:rPr>
        <w:t xml:space="preserve">Aquatic Chemistry, </w:t>
      </w:r>
      <w:r w:rsidRPr="00FB1F9F">
        <w:rPr>
          <w:rFonts w:ascii="Times" w:hAnsi="Times" w:cs="Times"/>
        </w:rPr>
        <w:t xml:space="preserve">John Wiley and Sons, NY. </w:t>
      </w:r>
    </w:p>
    <w:p w14:paraId="23D3B888"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[50]</w:t>
      </w:r>
      <w:r w:rsidRPr="00FB1F9F">
        <w:rPr>
          <w:rFonts w:ascii="Times" w:hAnsi="Times" w:cs="Times"/>
        </w:rPr>
        <w:tab/>
        <w:t xml:space="preserve">Poon, C.S., Chen, Z.Q. and Wai, O.W.H. (2001), The Effect of Flow-through Leaching on the Diffusivity of Heavy Metals in Stabilized/Solidified Wastes.             </w:t>
      </w:r>
      <w:r w:rsidRPr="00FB1F9F">
        <w:rPr>
          <w:rFonts w:ascii="Times" w:hAnsi="Times" w:cs="Times"/>
          <w:i/>
        </w:rPr>
        <w:t>J. Hazardous Materials</w:t>
      </w:r>
      <w:r w:rsidRPr="00FB1F9F">
        <w:rPr>
          <w:rFonts w:ascii="Times" w:hAnsi="Times" w:cs="Times"/>
        </w:rPr>
        <w:t xml:space="preserve">, </w:t>
      </w:r>
      <w:r w:rsidRPr="00FB1F9F">
        <w:rPr>
          <w:rFonts w:ascii="Times" w:hAnsi="Times" w:cs="Times"/>
          <w:b/>
        </w:rPr>
        <w:t>B81</w:t>
      </w:r>
      <w:r w:rsidRPr="00FB1F9F">
        <w:rPr>
          <w:rFonts w:ascii="Times" w:hAnsi="Times" w:cs="Times"/>
        </w:rPr>
        <w:t>, 179-192.</w:t>
      </w:r>
    </w:p>
    <w:p w14:paraId="0C5B059D"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[51]</w:t>
      </w:r>
      <w:r w:rsidRPr="00FB1F9F">
        <w:rPr>
          <w:rFonts w:ascii="Times" w:hAnsi="Times" w:cs="Times"/>
        </w:rPr>
        <w:tab/>
      </w:r>
      <w:proofErr w:type="gramStart"/>
      <w:r w:rsidRPr="00FB1F9F">
        <w:rPr>
          <w:rFonts w:ascii="Times" w:hAnsi="Times" w:cs="Times"/>
        </w:rPr>
        <w:t xml:space="preserve">Batchelor, B. &amp; McDevitt, M. (1984) </w:t>
      </w:r>
      <w:r w:rsidRPr="00FB1F9F">
        <w:rPr>
          <w:rFonts w:ascii="Times" w:hAnsi="Times" w:cs="Times"/>
          <w:i/>
        </w:rPr>
        <w:t xml:space="preserve">Journal of Water Pollution Control Federation, </w:t>
      </w:r>
      <w:r w:rsidRPr="00FB1F9F">
        <w:rPr>
          <w:rFonts w:ascii="Times" w:hAnsi="Times" w:cs="Times"/>
        </w:rPr>
        <w:t>56, 1110-1117.</w:t>
      </w:r>
      <w:proofErr w:type="gramEnd"/>
    </w:p>
    <w:p w14:paraId="1AF30119"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[52]</w:t>
      </w:r>
      <w:r w:rsidRPr="00FB1F9F">
        <w:rPr>
          <w:rFonts w:ascii="Times" w:hAnsi="Times" w:cs="Times"/>
        </w:rPr>
        <w:tab/>
        <w:t xml:space="preserve">Wan.K, Li.Y, Sun, W., (2013) Experimental and modeling research of the accelerated calcium leaching of cement paste in ammonium nitrate solution, </w:t>
      </w:r>
      <w:r w:rsidRPr="00FB1F9F">
        <w:rPr>
          <w:rFonts w:ascii="Times" w:hAnsi="Times" w:cs="Times"/>
          <w:i/>
        </w:rPr>
        <w:t>Journal of Construction and Building Materials</w:t>
      </w:r>
      <w:proofErr w:type="gramStart"/>
      <w:r w:rsidRPr="00FB1F9F">
        <w:rPr>
          <w:rFonts w:ascii="Times" w:hAnsi="Times" w:cs="Times"/>
        </w:rPr>
        <w:t xml:space="preserve">,  </w:t>
      </w:r>
      <w:r w:rsidRPr="00FB1F9F">
        <w:rPr>
          <w:rFonts w:ascii="Times" w:hAnsi="Times" w:cs="Times"/>
          <w:b/>
        </w:rPr>
        <w:t>40</w:t>
      </w:r>
      <w:proofErr w:type="gramEnd"/>
      <w:r w:rsidRPr="00FB1F9F">
        <w:rPr>
          <w:rFonts w:ascii="Times" w:hAnsi="Times" w:cs="Times"/>
          <w:b/>
        </w:rPr>
        <w:t>,</w:t>
      </w:r>
      <w:r w:rsidRPr="00FB1F9F">
        <w:rPr>
          <w:rFonts w:ascii="Times" w:hAnsi="Times" w:cs="Times"/>
        </w:rPr>
        <w:t xml:space="preserve">  832-846.</w:t>
      </w:r>
      <w:r w:rsidRPr="00FB1F9F">
        <w:rPr>
          <w:rFonts w:ascii="Times" w:hAnsi="Times" w:cs="Times"/>
        </w:rPr>
        <w:tab/>
      </w:r>
    </w:p>
    <w:p w14:paraId="777DE43C"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lastRenderedPageBreak/>
        <w:t>[53]</w:t>
      </w:r>
      <w:r w:rsidRPr="00FB1F9F">
        <w:rPr>
          <w:rFonts w:ascii="Times" w:hAnsi="Times" w:cs="Times"/>
        </w:rPr>
        <w:tab/>
      </w:r>
      <w:proofErr w:type="gramStart"/>
      <w:r w:rsidRPr="00FB1F9F">
        <w:rPr>
          <w:rFonts w:ascii="Times" w:hAnsi="Times" w:cs="Times"/>
        </w:rPr>
        <w:t xml:space="preserve">Moranville, M., Kamali, S., Gullion, E., (2004) Physiochemical equilibria of cement-based materials in aggressive environments-experiment and modeling, </w:t>
      </w:r>
      <w:r w:rsidRPr="00FB1F9F">
        <w:rPr>
          <w:rFonts w:ascii="Times" w:hAnsi="Times" w:cs="Times"/>
          <w:i/>
        </w:rPr>
        <w:t xml:space="preserve">Cement Concrete Research, </w:t>
      </w:r>
      <w:r w:rsidRPr="00FB1F9F">
        <w:rPr>
          <w:rFonts w:ascii="Times" w:hAnsi="Times" w:cs="Times"/>
          <w:b/>
        </w:rPr>
        <w:t>34</w:t>
      </w:r>
      <w:r w:rsidRPr="00FB1F9F">
        <w:rPr>
          <w:rFonts w:ascii="Times" w:hAnsi="Times" w:cs="Times"/>
        </w:rPr>
        <w:t>, 1569-1578.</w:t>
      </w:r>
      <w:proofErr w:type="gramEnd"/>
    </w:p>
    <w:p w14:paraId="33A9CEEE" w14:textId="77777777" w:rsidR="00850FF1" w:rsidRPr="00FB1F9F" w:rsidRDefault="00850FF1" w:rsidP="00850FF1">
      <w:pPr>
        <w:widowControl w:val="0"/>
        <w:tabs>
          <w:tab w:val="left" w:pos="971"/>
        </w:tabs>
        <w:autoSpaceDE w:val="0"/>
        <w:autoSpaceDN w:val="0"/>
        <w:adjustRightInd w:val="0"/>
        <w:spacing w:before="240" w:after="240"/>
        <w:ind w:left="720" w:hanging="720"/>
        <w:jc w:val="both"/>
        <w:rPr>
          <w:rFonts w:ascii="Times" w:hAnsi="Times" w:cs="Times"/>
        </w:rPr>
      </w:pPr>
      <w:r w:rsidRPr="00FB1F9F">
        <w:rPr>
          <w:rFonts w:ascii="Times" w:hAnsi="Times" w:cs="Times"/>
        </w:rPr>
        <w:t>[54]</w:t>
      </w:r>
      <w:r w:rsidRPr="00FB1F9F">
        <w:rPr>
          <w:rFonts w:ascii="Times" w:hAnsi="Times" w:cs="Times"/>
        </w:rPr>
        <w:tab/>
        <w:t xml:space="preserve">Rodger, S.A., &amp; Groves, G.W., (1988) </w:t>
      </w:r>
      <w:r w:rsidRPr="00FB1F9F">
        <w:rPr>
          <w:rFonts w:ascii="Times" w:hAnsi="Times" w:cs="Times"/>
          <w:i/>
        </w:rPr>
        <w:t xml:space="preserve">Advanced Cement Research, </w:t>
      </w:r>
      <w:r w:rsidRPr="00FB1F9F">
        <w:rPr>
          <w:rFonts w:ascii="Times" w:hAnsi="Times" w:cs="Times"/>
          <w:b/>
        </w:rPr>
        <w:t>1</w:t>
      </w:r>
      <w:r w:rsidRPr="00FB1F9F">
        <w:rPr>
          <w:rFonts w:ascii="Times" w:hAnsi="Times" w:cs="Times"/>
        </w:rPr>
        <w:t xml:space="preserve">, 84. </w:t>
      </w:r>
    </w:p>
    <w:p w14:paraId="14744121"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[55]</w:t>
      </w:r>
      <w:r w:rsidRPr="00FB1F9F">
        <w:rPr>
          <w:rFonts w:ascii="Times" w:hAnsi="Times" w:cs="Times"/>
        </w:rPr>
        <w:tab/>
        <w:t xml:space="preserve">Loukili, A. (2011) Chapter 4: Durability of Self-Compacting Concrete, </w:t>
      </w:r>
      <w:r w:rsidRPr="00FB1F9F">
        <w:rPr>
          <w:rFonts w:ascii="Times" w:hAnsi="Times" w:cs="Times"/>
          <w:i/>
        </w:rPr>
        <w:t xml:space="preserve">Chemistry and Microstructure of Solidified Waste Forms, </w:t>
      </w:r>
      <w:r w:rsidRPr="00FB1F9F">
        <w:rPr>
          <w:rFonts w:ascii="Times" w:hAnsi="Times" w:cs="Times"/>
        </w:rPr>
        <w:t>edited by Roziere, E. and Khelidj, A. Wiley Publishers, 177-178.</w:t>
      </w:r>
    </w:p>
    <w:p w14:paraId="4AF33919"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[56]</w:t>
      </w:r>
      <w:r w:rsidRPr="00FB1F9F">
        <w:rPr>
          <w:rFonts w:ascii="Times" w:hAnsi="Times" w:cs="Times"/>
        </w:rPr>
        <w:tab/>
      </w:r>
      <w:proofErr w:type="gramStart"/>
      <w:r w:rsidRPr="00FB1F9F">
        <w:rPr>
          <w:rFonts w:ascii="Times" w:hAnsi="Times" w:cs="Times"/>
        </w:rPr>
        <w:t xml:space="preserve">Liu, J., Xing, F., Dong, B., Ma, D., Pan, D. (2014) Study on surface of permeability of concrete under immersion, </w:t>
      </w:r>
      <w:r w:rsidRPr="00FB1F9F">
        <w:rPr>
          <w:rFonts w:ascii="Times" w:hAnsi="Times" w:cs="Times"/>
          <w:i/>
        </w:rPr>
        <w:t>Materials Journal ISSN 1996-1944</w:t>
      </w:r>
      <w:r w:rsidRPr="00FB1F9F">
        <w:rPr>
          <w:rFonts w:ascii="Times" w:hAnsi="Times" w:cs="Times"/>
        </w:rPr>
        <w:t xml:space="preserve">, </w:t>
      </w:r>
      <w:r w:rsidRPr="00FB1F9F">
        <w:rPr>
          <w:rFonts w:ascii="Times" w:hAnsi="Times" w:cs="Times"/>
          <w:b/>
        </w:rPr>
        <w:t>7</w:t>
      </w:r>
      <w:r w:rsidRPr="00FB1F9F">
        <w:rPr>
          <w:rFonts w:ascii="Times" w:hAnsi="Times" w:cs="Times"/>
        </w:rPr>
        <w:t>, 876-886.</w:t>
      </w:r>
      <w:proofErr w:type="gramEnd"/>
    </w:p>
    <w:p w14:paraId="6FE25111" w14:textId="707D1EBF" w:rsidR="00850FF1" w:rsidRPr="00FB1F9F" w:rsidRDefault="00850FF1" w:rsidP="00850FF1">
      <w:pPr>
        <w:spacing w:before="240" w:after="240"/>
        <w:ind w:left="720" w:hanging="720"/>
        <w:jc w:val="both"/>
        <w:rPr>
          <w:rFonts w:ascii="Times" w:hAnsi="Times" w:cs="Times"/>
        </w:rPr>
      </w:pPr>
      <w:r w:rsidRPr="00FB1F9F">
        <w:rPr>
          <w:rFonts w:ascii="Times" w:hAnsi="Times" w:cs="Times"/>
        </w:rPr>
        <w:t>[57]</w:t>
      </w:r>
      <w:r w:rsidRPr="00FB1F9F">
        <w:rPr>
          <w:rFonts w:ascii="Times" w:hAnsi="Times" w:cs="Times"/>
        </w:rPr>
        <w:tab/>
        <w:t xml:space="preserve">Andac, M. &amp; Glasser, F.P., (1999) Long-term leaching </w:t>
      </w:r>
      <w:r w:rsidR="004C7A66" w:rsidRPr="00FB1F9F">
        <w:rPr>
          <w:rFonts w:ascii="Times" w:hAnsi="Times" w:cs="Times"/>
        </w:rPr>
        <w:t>mechanisms</w:t>
      </w:r>
      <w:r w:rsidRPr="00FB1F9F">
        <w:rPr>
          <w:rFonts w:ascii="Times" w:hAnsi="Times" w:cs="Times"/>
        </w:rPr>
        <w:t xml:space="preserve"> of Portland cement-stabilised municipal solid waste fly ash in carbonated water,</w:t>
      </w:r>
      <w:r w:rsidRPr="00FB1F9F">
        <w:rPr>
          <w:rFonts w:ascii="Times" w:hAnsi="Times" w:cs="Times"/>
          <w:i/>
        </w:rPr>
        <w:t xml:space="preserve"> Cement and concrete research, </w:t>
      </w:r>
      <w:r w:rsidRPr="00FB1F9F">
        <w:rPr>
          <w:rFonts w:ascii="Times" w:hAnsi="Times" w:cs="Times"/>
          <w:b/>
        </w:rPr>
        <w:t>29</w:t>
      </w:r>
      <w:r w:rsidRPr="00FB1F9F">
        <w:rPr>
          <w:rFonts w:ascii="Times" w:hAnsi="Times" w:cs="Times"/>
        </w:rPr>
        <w:t>, 179-186.</w:t>
      </w:r>
    </w:p>
    <w:p w14:paraId="584CE2F9"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[58]</w:t>
      </w:r>
      <w:r w:rsidRPr="00FB1F9F">
        <w:rPr>
          <w:rFonts w:ascii="Times" w:hAnsi="Times" w:cs="Times"/>
        </w:rPr>
        <w:tab/>
        <w:t xml:space="preserve">Gordon, S.J., Brady, P.V., (2002) In situ determination of long-term basaltic glass dissolution in the unsaturated zone, </w:t>
      </w:r>
      <w:r w:rsidRPr="00FB1F9F">
        <w:rPr>
          <w:rFonts w:ascii="Times" w:hAnsi="Times" w:cs="Times"/>
          <w:i/>
        </w:rPr>
        <w:t xml:space="preserve">Chemical geology, </w:t>
      </w:r>
      <w:r w:rsidRPr="00FB1F9F">
        <w:rPr>
          <w:rFonts w:ascii="Times" w:hAnsi="Times" w:cs="Times"/>
          <w:b/>
        </w:rPr>
        <w:t>190</w:t>
      </w:r>
      <w:r w:rsidRPr="00FB1F9F">
        <w:rPr>
          <w:rFonts w:ascii="Times" w:hAnsi="Times" w:cs="Times"/>
        </w:rPr>
        <w:t>, 113-122.</w:t>
      </w:r>
    </w:p>
    <w:p w14:paraId="268249BA" w14:textId="571E3A9E" w:rsidR="00850FF1" w:rsidRPr="00FB1F9F" w:rsidRDefault="00850FF1" w:rsidP="00850FF1">
      <w:pPr>
        <w:spacing w:before="240" w:after="240"/>
        <w:ind w:left="720" w:hanging="720"/>
        <w:jc w:val="both"/>
        <w:rPr>
          <w:rFonts w:ascii="Times" w:hAnsi="Times" w:cs="Times"/>
        </w:rPr>
      </w:pPr>
      <w:r w:rsidRPr="00FB1F9F">
        <w:rPr>
          <w:rFonts w:ascii="Times" w:hAnsi="Times" w:cs="Times"/>
        </w:rPr>
        <w:t>[59]</w:t>
      </w:r>
      <w:r w:rsidRPr="00FB1F9F">
        <w:rPr>
          <w:rFonts w:ascii="Times" w:hAnsi="Times" w:cs="Times"/>
        </w:rPr>
        <w:tab/>
        <w:t>Saito, H., Deguchi, A. (2000</w:t>
      </w:r>
      <w:proofErr w:type="gramStart"/>
      <w:r w:rsidRPr="00FB1F9F">
        <w:rPr>
          <w:rFonts w:ascii="Times" w:hAnsi="Times" w:cs="Times"/>
        </w:rPr>
        <w:t>)  Leaching</w:t>
      </w:r>
      <w:proofErr w:type="gramEnd"/>
      <w:r w:rsidRPr="00FB1F9F">
        <w:rPr>
          <w:rFonts w:ascii="Times" w:hAnsi="Times" w:cs="Times"/>
        </w:rPr>
        <w:t xml:space="preserve"> tests on different mortars using accelerated electrochemical method, </w:t>
      </w:r>
      <w:r w:rsidRPr="00FB1F9F">
        <w:rPr>
          <w:rFonts w:ascii="Times" w:hAnsi="Times" w:cs="Times"/>
          <w:i/>
        </w:rPr>
        <w:t>Cement and concrete research</w:t>
      </w:r>
      <w:r w:rsidRPr="00FB1F9F">
        <w:rPr>
          <w:rFonts w:ascii="Times" w:hAnsi="Times" w:cs="Times"/>
        </w:rPr>
        <w:t xml:space="preserve">, </w:t>
      </w:r>
      <w:r w:rsidRPr="00FB1F9F">
        <w:rPr>
          <w:rFonts w:ascii="Times" w:hAnsi="Times" w:cs="Times"/>
          <w:b/>
        </w:rPr>
        <w:t>30</w:t>
      </w:r>
      <w:r w:rsidRPr="00FB1F9F">
        <w:rPr>
          <w:rFonts w:ascii="Times" w:hAnsi="Times" w:cs="Times"/>
        </w:rPr>
        <w:t>, 1815-1825.</w:t>
      </w:r>
    </w:p>
    <w:p w14:paraId="6F5335DD"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[60]</w:t>
      </w:r>
      <w:r w:rsidRPr="00FB1F9F">
        <w:rPr>
          <w:rFonts w:ascii="Times" w:hAnsi="Times" w:cs="Times"/>
        </w:rPr>
        <w:tab/>
      </w:r>
      <w:proofErr w:type="gramStart"/>
      <w:r w:rsidRPr="00FB1F9F">
        <w:rPr>
          <w:rFonts w:ascii="Times" w:hAnsi="Times" w:cs="Times"/>
        </w:rPr>
        <w:t>Castellote ,M</w:t>
      </w:r>
      <w:proofErr w:type="gramEnd"/>
      <w:r w:rsidRPr="00FB1F9F">
        <w:rPr>
          <w:rFonts w:ascii="Times" w:hAnsi="Times" w:cs="Times"/>
        </w:rPr>
        <w:t xml:space="preserve">., Andrade, C., Alonso,C., Turrillas, X. (2002) Synchrotron Radiation Diffraction Study of the Microstructure Changes in Cement Paste due to Accelerated Leaching by Application of Electrical Fields, </w:t>
      </w:r>
      <w:r w:rsidRPr="00FB1F9F">
        <w:rPr>
          <w:rFonts w:ascii="Times" w:hAnsi="Times" w:cs="Times"/>
          <w:i/>
        </w:rPr>
        <w:t xml:space="preserve">Journal of American ceramic society, </w:t>
      </w:r>
      <w:r w:rsidRPr="00FB1F9F">
        <w:rPr>
          <w:rFonts w:ascii="Times" w:hAnsi="Times" w:cs="Times"/>
          <w:b/>
        </w:rPr>
        <w:t>85</w:t>
      </w:r>
      <w:r w:rsidRPr="00FB1F9F">
        <w:rPr>
          <w:rFonts w:ascii="Times" w:hAnsi="Times" w:cs="Times"/>
        </w:rPr>
        <w:t>, 631-635.</w:t>
      </w:r>
    </w:p>
    <w:p w14:paraId="6646628F"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[61]</w:t>
      </w:r>
      <w:r w:rsidRPr="00FB1F9F">
        <w:rPr>
          <w:rFonts w:ascii="Times" w:hAnsi="Times" w:cs="Times"/>
        </w:rPr>
        <w:tab/>
      </w:r>
      <w:proofErr w:type="gramStart"/>
      <w:r w:rsidRPr="00FB1F9F">
        <w:rPr>
          <w:rFonts w:ascii="Times" w:hAnsi="Times" w:cs="Times"/>
        </w:rPr>
        <w:t>Otsuki, N. et al. (2001) Fundamental Study on Prediction on Concrete Deterioration Caused by Calcium Leaching Over 100 Years.</w:t>
      </w:r>
      <w:proofErr w:type="gramEnd"/>
      <w:r w:rsidRPr="00FB1F9F">
        <w:rPr>
          <w:rFonts w:ascii="Times" w:hAnsi="Times" w:cs="Times"/>
        </w:rPr>
        <w:t xml:space="preserve"> </w:t>
      </w:r>
      <w:r w:rsidRPr="00FB1F9F">
        <w:rPr>
          <w:rFonts w:ascii="Times" w:hAnsi="Times" w:cs="Times"/>
          <w:i/>
        </w:rPr>
        <w:t xml:space="preserve">JSCE. </w:t>
      </w:r>
      <w:r w:rsidRPr="00FB1F9F">
        <w:rPr>
          <w:rFonts w:ascii="Times" w:hAnsi="Times" w:cs="Times"/>
          <w:b/>
        </w:rPr>
        <w:t>51</w:t>
      </w:r>
      <w:r w:rsidRPr="00FB1F9F">
        <w:rPr>
          <w:rFonts w:ascii="Times" w:hAnsi="Times" w:cs="Times"/>
        </w:rPr>
        <w:t>.</w:t>
      </w:r>
    </w:p>
    <w:p w14:paraId="353FEAC8"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[62]</w:t>
      </w:r>
      <w:r w:rsidRPr="00FB1F9F">
        <w:rPr>
          <w:rFonts w:ascii="Times" w:hAnsi="Times" w:cs="Times"/>
        </w:rPr>
        <w:tab/>
        <w:t xml:space="preserve">Wong, S.F., Chui, P.C., Cahyadi, J.H., Goh, C.P., (2003) An accelerated leaching test for cement mortar, </w:t>
      </w:r>
      <w:r w:rsidRPr="00FB1F9F">
        <w:rPr>
          <w:rFonts w:ascii="Times" w:hAnsi="Times" w:cs="Times"/>
          <w:i/>
        </w:rPr>
        <w:t xml:space="preserve">Our World in Concrete &amp; Structures, </w:t>
      </w:r>
      <w:r w:rsidRPr="00FB1F9F">
        <w:rPr>
          <w:rFonts w:ascii="Times" w:hAnsi="Times" w:cs="Times"/>
        </w:rPr>
        <w:t>article ID</w:t>
      </w:r>
      <w:proofErr w:type="gramStart"/>
      <w:r w:rsidRPr="00FB1F9F">
        <w:rPr>
          <w:rFonts w:ascii="Times" w:hAnsi="Times" w:cs="Times"/>
        </w:rPr>
        <w:t>:10028066</w:t>
      </w:r>
      <w:proofErr w:type="gramEnd"/>
    </w:p>
    <w:p w14:paraId="701EC488"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[63]</w:t>
      </w:r>
      <w:r w:rsidRPr="00FB1F9F">
        <w:rPr>
          <w:rFonts w:ascii="Times" w:hAnsi="Times" w:cs="Times"/>
        </w:rPr>
        <w:tab/>
        <w:t xml:space="preserve">Carde, C. et al. (1996) Leaching of Both Calcium Hydroxide and C-S-H from Cement Paste: Modelling the Mechanical Behvaiour, </w:t>
      </w:r>
      <w:r w:rsidRPr="00FB1F9F">
        <w:rPr>
          <w:rFonts w:ascii="Times" w:hAnsi="Times" w:cs="Times"/>
          <w:i/>
        </w:rPr>
        <w:t>Cement and Concrete Research</w:t>
      </w:r>
      <w:r w:rsidRPr="00FB1F9F">
        <w:rPr>
          <w:rFonts w:ascii="Times" w:hAnsi="Times" w:cs="Times"/>
        </w:rPr>
        <w:t xml:space="preserve">. </w:t>
      </w:r>
      <w:proofErr w:type="gramStart"/>
      <w:r w:rsidRPr="00FB1F9F">
        <w:rPr>
          <w:rFonts w:ascii="Times" w:hAnsi="Times" w:cs="Times"/>
          <w:b/>
        </w:rPr>
        <w:t>26,</w:t>
      </w:r>
      <w:r w:rsidRPr="00FB1F9F">
        <w:rPr>
          <w:rFonts w:ascii="Times" w:hAnsi="Times" w:cs="Times"/>
        </w:rPr>
        <w:t xml:space="preserve"> 1257-1268.</w:t>
      </w:r>
      <w:proofErr w:type="gramEnd"/>
    </w:p>
    <w:p w14:paraId="6766995A"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[64]</w:t>
      </w:r>
      <w:r w:rsidRPr="00FB1F9F">
        <w:rPr>
          <w:rFonts w:ascii="Times" w:hAnsi="Times" w:cs="Times"/>
        </w:rPr>
        <w:tab/>
        <w:t xml:space="preserve">Carde, C. et al. (1997) Use of ammonium nitrate solution to simulate and accelerate the leaching of cement pastes to deionized waters. </w:t>
      </w:r>
      <w:proofErr w:type="gramStart"/>
      <w:r w:rsidRPr="00FB1F9F">
        <w:rPr>
          <w:rFonts w:ascii="Times" w:hAnsi="Times" w:cs="Times"/>
          <w:i/>
        </w:rPr>
        <w:t>Magazine of Concrete Research</w:t>
      </w:r>
      <w:r w:rsidRPr="00FB1F9F">
        <w:rPr>
          <w:rFonts w:ascii="Times" w:hAnsi="Times" w:cs="Times"/>
        </w:rPr>
        <w:t xml:space="preserve">, </w:t>
      </w:r>
      <w:r w:rsidRPr="00FB1F9F">
        <w:rPr>
          <w:rFonts w:ascii="Times" w:hAnsi="Times" w:cs="Times"/>
          <w:b/>
        </w:rPr>
        <w:t>49</w:t>
      </w:r>
      <w:r w:rsidRPr="00FB1F9F">
        <w:rPr>
          <w:rFonts w:ascii="Times" w:hAnsi="Times" w:cs="Times"/>
        </w:rPr>
        <w:t>, 295 – 301.</w:t>
      </w:r>
      <w:proofErr w:type="gramEnd"/>
    </w:p>
    <w:p w14:paraId="66160CF3" w14:textId="77777777" w:rsidR="00850FF1" w:rsidRPr="00FB1F9F" w:rsidRDefault="00850FF1" w:rsidP="00850FF1">
      <w:pPr>
        <w:spacing w:before="240" w:after="240"/>
        <w:ind w:left="720" w:hanging="720"/>
        <w:jc w:val="both"/>
        <w:rPr>
          <w:rFonts w:ascii="Times" w:hAnsi="Times" w:cs="Times"/>
        </w:rPr>
      </w:pPr>
      <w:r w:rsidRPr="00FB1F9F">
        <w:rPr>
          <w:rFonts w:ascii="Times" w:hAnsi="Times" w:cs="Times"/>
        </w:rPr>
        <w:t>[65]</w:t>
      </w:r>
      <w:r w:rsidRPr="00FB1F9F">
        <w:rPr>
          <w:rFonts w:ascii="Times" w:hAnsi="Times" w:cs="Times"/>
        </w:rPr>
        <w:tab/>
        <w:t xml:space="preserve">Dell’Orso, M., Mangialardi, T., Paolini, A.E., Piga, L. (2012) Evaluation of the leachability of heavy metals from cement-based materials, </w:t>
      </w:r>
      <w:r w:rsidRPr="00FB1F9F">
        <w:rPr>
          <w:rFonts w:ascii="Times" w:hAnsi="Times" w:cs="Times"/>
          <w:i/>
        </w:rPr>
        <w:t xml:space="preserve">Journal of Hazardous Materials, </w:t>
      </w:r>
      <w:r w:rsidRPr="00FB1F9F">
        <w:rPr>
          <w:rFonts w:ascii="Times" w:hAnsi="Times" w:cs="Times"/>
          <w:b/>
        </w:rPr>
        <w:t>27</w:t>
      </w:r>
      <w:r w:rsidRPr="00FB1F9F">
        <w:rPr>
          <w:rFonts w:ascii="Times" w:hAnsi="Times" w:cs="Times"/>
        </w:rPr>
        <w:t>, 1-8.</w:t>
      </w:r>
    </w:p>
    <w:p w14:paraId="76FBBEC2" w14:textId="0B1180A6" w:rsidR="00850FF1" w:rsidRPr="00FB1F9F" w:rsidRDefault="00850FF1" w:rsidP="00850FF1">
      <w:pPr>
        <w:spacing w:before="240" w:after="240"/>
        <w:ind w:left="720" w:hanging="720"/>
        <w:jc w:val="both"/>
        <w:rPr>
          <w:rFonts w:ascii="Times New Roman" w:hAnsi="Times New Roman" w:cs="Times New Roman"/>
        </w:rPr>
      </w:pPr>
      <w:r w:rsidRPr="00FB1F9F">
        <w:rPr>
          <w:rFonts w:ascii="Times" w:hAnsi="Times" w:cs="Times"/>
        </w:rPr>
        <w:t>[66]</w:t>
      </w:r>
      <w:r w:rsidRPr="00FB1F9F">
        <w:rPr>
          <w:rFonts w:ascii="Times" w:hAnsi="Times" w:cs="Times"/>
        </w:rPr>
        <w:tab/>
      </w:r>
      <w:r w:rsidRPr="00FB1F9F">
        <w:rPr>
          <w:rFonts w:ascii="Times New Roman" w:hAnsi="Times New Roman" w:cs="Times New Roman"/>
        </w:rPr>
        <w:t xml:space="preserve">Hindirchs, W. and Odler, I. (1989) Investigation of the hydration of Portland </w:t>
      </w:r>
      <w:r w:rsidR="004C7A66" w:rsidRPr="00FB1F9F">
        <w:rPr>
          <w:rFonts w:ascii="Times New Roman" w:hAnsi="Times New Roman" w:cs="Times New Roman"/>
        </w:rPr>
        <w:t>blast furnace</w:t>
      </w:r>
      <w:r w:rsidRPr="00FB1F9F">
        <w:rPr>
          <w:rFonts w:ascii="Times New Roman" w:hAnsi="Times New Roman" w:cs="Times New Roman"/>
        </w:rPr>
        <w:t xml:space="preserve"> slag cement: hydration kinetics. Advance</w:t>
      </w:r>
      <w:r w:rsidR="00BB67BD">
        <w:rPr>
          <w:rFonts w:ascii="Times New Roman" w:hAnsi="Times New Roman" w:cs="Times New Roman"/>
        </w:rPr>
        <w:t xml:space="preserve">s in Cement research, vol 2., </w:t>
      </w:r>
      <w:r w:rsidRPr="00FB1F9F">
        <w:rPr>
          <w:rFonts w:ascii="Times New Roman" w:hAnsi="Times New Roman" w:cs="Times New Roman"/>
          <w:b/>
        </w:rPr>
        <w:t>5</w:t>
      </w:r>
      <w:r w:rsidRPr="00FB1F9F">
        <w:rPr>
          <w:rFonts w:ascii="Times New Roman" w:hAnsi="Times New Roman" w:cs="Times New Roman"/>
        </w:rPr>
        <w:t>, 9-13.s</w:t>
      </w:r>
    </w:p>
    <w:p w14:paraId="32D21BAD" w14:textId="77777777" w:rsidR="00850FF1" w:rsidRPr="00FB1F9F" w:rsidRDefault="00850FF1" w:rsidP="00850FF1">
      <w:pPr>
        <w:spacing w:before="240" w:after="240"/>
        <w:ind w:left="720" w:hanging="720"/>
        <w:jc w:val="both"/>
        <w:rPr>
          <w:rFonts w:ascii="Times" w:hAnsi="Times" w:cs="Times"/>
        </w:rPr>
      </w:pPr>
      <w:r w:rsidRPr="00FB1F9F">
        <w:rPr>
          <w:rFonts w:ascii="Times New Roman" w:hAnsi="Times New Roman" w:cs="Times New Roman"/>
        </w:rPr>
        <w:lastRenderedPageBreak/>
        <w:t>[67]</w:t>
      </w:r>
      <w:r w:rsidRPr="00FB1F9F">
        <w:rPr>
          <w:rFonts w:ascii="Times New Roman" w:hAnsi="Times New Roman" w:cs="Times New Roman"/>
        </w:rPr>
        <w:tab/>
        <w:t>Ojovan, M.I. (2011), Chapter 4: Application of inorganic cements to the conditioning and immobilization of radioactive wastes by Glasser F.P, Handbook of Advanced Radioactive Waste Conditioning Technologies, Woodhead, Oxford, 67-135.</w:t>
      </w:r>
    </w:p>
    <w:p w14:paraId="417C97C9" w14:textId="77777777" w:rsidR="00850FF1" w:rsidRPr="00FB1F9F" w:rsidRDefault="00850FF1" w:rsidP="00850FF1">
      <w:pPr>
        <w:spacing w:before="240" w:after="240"/>
        <w:ind w:left="720" w:hanging="720"/>
        <w:jc w:val="both"/>
        <w:rPr>
          <w:rFonts w:ascii="Times New Roman" w:hAnsi="Times New Roman" w:cs="Times New Roman"/>
        </w:rPr>
      </w:pPr>
      <w:r w:rsidRPr="00FB1F9F">
        <w:rPr>
          <w:rFonts w:ascii="Times" w:hAnsi="Times" w:cs="Times"/>
        </w:rPr>
        <w:t>[68]</w:t>
      </w:r>
      <w:r w:rsidRPr="00FB1F9F">
        <w:rPr>
          <w:rFonts w:ascii="Times" w:hAnsi="Times" w:cs="Times"/>
        </w:rPr>
        <w:tab/>
      </w:r>
      <w:r w:rsidRPr="00FB1F9F">
        <w:rPr>
          <w:rFonts w:ascii="Times New Roman" w:hAnsi="Times New Roman" w:cs="Times New Roman"/>
        </w:rPr>
        <w:t xml:space="preserve">Revertegate, E., Richet, C. and Gegout, P., (1992) </w:t>
      </w:r>
      <w:r w:rsidRPr="00FB1F9F">
        <w:rPr>
          <w:rFonts w:ascii="Times New Roman" w:hAnsi="Times New Roman" w:cs="Times New Roman"/>
          <w:i/>
        </w:rPr>
        <w:t xml:space="preserve">Cement and Concrete Research, </w:t>
      </w:r>
      <w:r w:rsidRPr="00FB1F9F">
        <w:rPr>
          <w:rFonts w:ascii="Times New Roman" w:hAnsi="Times New Roman" w:cs="Times New Roman"/>
          <w:b/>
        </w:rPr>
        <w:t>22</w:t>
      </w:r>
      <w:r w:rsidRPr="00FB1F9F">
        <w:rPr>
          <w:rFonts w:ascii="Times New Roman" w:hAnsi="Times New Roman" w:cs="Times New Roman"/>
        </w:rPr>
        <w:t>, 259-272.</w:t>
      </w:r>
    </w:p>
    <w:p w14:paraId="63D7CEFD" w14:textId="77777777" w:rsidR="00850FF1" w:rsidRPr="00FB1F9F" w:rsidRDefault="00850FF1" w:rsidP="00850FF1">
      <w:pPr>
        <w:spacing w:before="240" w:after="240"/>
        <w:ind w:left="720" w:hanging="720"/>
        <w:jc w:val="both"/>
        <w:rPr>
          <w:rFonts w:ascii="Times" w:hAnsi="Times" w:cs="Times"/>
        </w:rPr>
      </w:pPr>
      <w:r w:rsidRPr="00FB1F9F">
        <w:rPr>
          <w:rFonts w:ascii="Times New Roman" w:hAnsi="Times New Roman" w:cs="Times New Roman"/>
        </w:rPr>
        <w:t>[69]</w:t>
      </w:r>
      <w:r w:rsidRPr="00FB1F9F">
        <w:rPr>
          <w:rFonts w:ascii="Times New Roman" w:hAnsi="Times New Roman" w:cs="Times New Roman"/>
        </w:rPr>
        <w:tab/>
      </w:r>
      <w:r w:rsidRPr="00FB1F9F">
        <w:rPr>
          <w:rFonts w:ascii="Times" w:hAnsi="Times" w:cs="Times"/>
        </w:rPr>
        <w:t xml:space="preserve">Ojovan, M.I., Varlackova, G.A., Golubeva, Z.I., Burlaka, O.N (2011) Long-term field and laboratory leaching tests of cemented radioactive wastes, </w:t>
      </w:r>
      <w:r w:rsidRPr="00FB1F9F">
        <w:rPr>
          <w:rFonts w:ascii="Times" w:hAnsi="Times" w:cs="Times"/>
          <w:i/>
        </w:rPr>
        <w:t xml:space="preserve">Journal of Hazardous Materials </w:t>
      </w:r>
      <w:r w:rsidRPr="00FB1F9F">
        <w:rPr>
          <w:rFonts w:ascii="Times" w:hAnsi="Times" w:cs="Times"/>
        </w:rPr>
        <w:t>187, 296-302.</w:t>
      </w:r>
    </w:p>
    <w:p w14:paraId="692C98FF" w14:textId="77777777" w:rsidR="00850FF1" w:rsidRPr="00FB1F9F" w:rsidRDefault="00850FF1" w:rsidP="00850FF1">
      <w:pPr>
        <w:spacing w:before="240" w:after="120"/>
        <w:ind w:left="720" w:hanging="720"/>
        <w:jc w:val="both"/>
        <w:rPr>
          <w:rFonts w:ascii="Times New Roman" w:hAnsi="Times New Roman" w:cs="Times New Roman"/>
          <w:lang w:val="en-GB"/>
        </w:rPr>
      </w:pPr>
      <w:r w:rsidRPr="00FB1F9F">
        <w:rPr>
          <w:rFonts w:ascii="Times" w:hAnsi="Times" w:cs="Times"/>
        </w:rPr>
        <w:t>[70]</w:t>
      </w:r>
      <w:r w:rsidRPr="00FB1F9F">
        <w:rPr>
          <w:rFonts w:ascii="Times" w:hAnsi="Times" w:cs="Times"/>
        </w:rPr>
        <w:tab/>
      </w:r>
      <w:r w:rsidRPr="00FB1F9F">
        <w:rPr>
          <w:rFonts w:ascii="Times New Roman" w:hAnsi="Times New Roman" w:cs="Times New Roman"/>
          <w:lang w:val="en-GB"/>
        </w:rPr>
        <w:t xml:space="preserve">Adenot, F., Buil, M., (1992) Modelling of the corrosion of cement paste by deionised water, </w:t>
      </w:r>
      <w:r w:rsidRPr="00FB1F9F">
        <w:rPr>
          <w:rFonts w:ascii="Times New Roman" w:hAnsi="Times New Roman" w:cs="Times New Roman"/>
          <w:i/>
          <w:lang w:val="en-GB"/>
        </w:rPr>
        <w:t xml:space="preserve">Cement and Concrete Research, </w:t>
      </w:r>
      <w:r w:rsidRPr="00FB1F9F">
        <w:rPr>
          <w:rFonts w:ascii="Times New Roman" w:hAnsi="Times New Roman" w:cs="Times New Roman"/>
          <w:b/>
          <w:lang w:val="en-GB"/>
        </w:rPr>
        <w:t>22</w:t>
      </w:r>
      <w:r w:rsidRPr="00FB1F9F">
        <w:rPr>
          <w:rFonts w:ascii="Times New Roman" w:hAnsi="Times New Roman" w:cs="Times New Roman"/>
          <w:lang w:val="en-GB"/>
        </w:rPr>
        <w:t>, 489-495.</w:t>
      </w:r>
    </w:p>
    <w:p w14:paraId="6EF66DB6" w14:textId="77777777" w:rsidR="00850FF1" w:rsidRPr="00FB1F9F" w:rsidRDefault="00850FF1" w:rsidP="00850FF1">
      <w:pPr>
        <w:spacing w:before="240" w:after="120"/>
        <w:ind w:left="720" w:hanging="720"/>
        <w:jc w:val="both"/>
        <w:rPr>
          <w:rFonts w:ascii="Times New Roman" w:hAnsi="Times New Roman" w:cs="Times New Roman"/>
          <w:lang w:val="en-GB"/>
        </w:rPr>
      </w:pPr>
      <w:r w:rsidRPr="00FB1F9F">
        <w:rPr>
          <w:rFonts w:ascii="Times New Roman" w:hAnsi="Times New Roman" w:cs="Times New Roman"/>
          <w:lang w:val="en-GB"/>
        </w:rPr>
        <w:t>[71]</w:t>
      </w:r>
      <w:r w:rsidRPr="00FB1F9F">
        <w:rPr>
          <w:rFonts w:ascii="Times New Roman" w:hAnsi="Times New Roman" w:cs="Times New Roman"/>
          <w:lang w:val="en-GB"/>
        </w:rPr>
        <w:tab/>
        <w:t>Ekstrom, T, (2000) Leaching of Concrete, Experiments and Modelling, Lund Institute of Technology, Division of Building Materials, Lund.</w:t>
      </w:r>
    </w:p>
    <w:p w14:paraId="7EDBE1B7" w14:textId="6300753E" w:rsidR="00850FF1" w:rsidRPr="00FB1F9F" w:rsidRDefault="00850FF1" w:rsidP="00850FF1">
      <w:pPr>
        <w:widowControl w:val="0"/>
        <w:tabs>
          <w:tab w:val="left" w:pos="220"/>
          <w:tab w:val="left" w:pos="720"/>
        </w:tabs>
        <w:autoSpaceDE w:val="0"/>
        <w:autoSpaceDN w:val="0"/>
        <w:adjustRightInd w:val="0"/>
        <w:spacing w:after="213"/>
        <w:rPr>
          <w:rFonts w:ascii="Times" w:hAnsi="Times" w:cs="Times"/>
        </w:rPr>
      </w:pPr>
      <w:r w:rsidRPr="00FB1F9F">
        <w:rPr>
          <w:rFonts w:ascii="Times New Roman" w:hAnsi="Times New Roman" w:cs="Times New Roman"/>
          <w:lang w:val="en-GB"/>
        </w:rPr>
        <w:t>[72]</w:t>
      </w:r>
      <w:r w:rsidRPr="00FB1F9F">
        <w:rPr>
          <w:rFonts w:ascii="Times New Roman" w:hAnsi="Times New Roman" w:cs="Times New Roman"/>
          <w:lang w:val="en-GB"/>
        </w:rPr>
        <w:tab/>
      </w:r>
      <w:r w:rsidRPr="0082619A">
        <w:rPr>
          <w:rFonts w:ascii="Times" w:hAnsi="Times" w:cs="Times"/>
        </w:rPr>
        <w:t xml:space="preserve">Schneider J, Cincotto MA, Panepucci H (2001) </w:t>
      </w:r>
      <w:r w:rsidRPr="0082619A">
        <w:rPr>
          <w:rFonts w:ascii="Times" w:hAnsi="Times" w:cs="Times"/>
          <w:position w:val="10"/>
          <w:sz w:val="18"/>
        </w:rPr>
        <w:t>29</w:t>
      </w:r>
      <w:r w:rsidRPr="0082619A">
        <w:rPr>
          <w:rFonts w:ascii="Times" w:hAnsi="Times" w:cs="Times"/>
        </w:rPr>
        <w:t xml:space="preserve">Si and </w:t>
      </w:r>
      <w:r w:rsidRPr="0082619A">
        <w:rPr>
          <w:rFonts w:ascii="Times" w:hAnsi="Times" w:cs="Times"/>
          <w:position w:val="10"/>
          <w:sz w:val="16"/>
        </w:rPr>
        <w:t>27</w:t>
      </w:r>
      <w:r w:rsidRPr="0082619A">
        <w:rPr>
          <w:rFonts w:ascii="Times" w:hAnsi="Times" w:cs="Times"/>
        </w:rPr>
        <w:t xml:space="preserve">Al high-resolution </w:t>
      </w:r>
      <w:r w:rsidR="00BB67BD" w:rsidRPr="0082619A">
        <w:rPr>
          <w:rFonts w:ascii="Times" w:hAnsi="Times" w:cs="Times"/>
        </w:rPr>
        <w:tab/>
      </w:r>
      <w:r w:rsidR="00BB67BD" w:rsidRPr="0082619A">
        <w:rPr>
          <w:rFonts w:ascii="Times" w:hAnsi="Times" w:cs="Times"/>
        </w:rPr>
        <w:tab/>
        <w:t xml:space="preserve">NMR </w:t>
      </w:r>
      <w:r w:rsidRPr="0082619A">
        <w:rPr>
          <w:rFonts w:ascii="Times" w:hAnsi="Times" w:cs="Times"/>
        </w:rPr>
        <w:t xml:space="preserve">characterization of calcium silicate hydrate phases in activated </w:t>
      </w:r>
      <w:r w:rsidR="00BB67BD" w:rsidRPr="0082619A">
        <w:rPr>
          <w:rFonts w:ascii="Times" w:hAnsi="Times" w:cs="Times"/>
        </w:rPr>
        <w:tab/>
      </w:r>
      <w:r w:rsidR="00BB67BD" w:rsidRPr="0082619A">
        <w:rPr>
          <w:rFonts w:ascii="Times" w:hAnsi="Times" w:cs="Times"/>
        </w:rPr>
        <w:tab/>
      </w:r>
      <w:r w:rsidR="00BB67BD" w:rsidRPr="0082619A">
        <w:rPr>
          <w:rFonts w:ascii="Times" w:hAnsi="Times" w:cs="Times"/>
        </w:rPr>
        <w:tab/>
        <w:t xml:space="preserve">blast-furnace slag </w:t>
      </w:r>
      <w:r w:rsidRPr="0082619A">
        <w:rPr>
          <w:rFonts w:ascii="Times" w:hAnsi="Times" w:cs="Times"/>
        </w:rPr>
        <w:t>pastes. Cem Concr Res 31:993–1001  </w:t>
      </w:r>
    </w:p>
    <w:p w14:paraId="546F1A66" w14:textId="26BB7E85" w:rsidR="00850FF1" w:rsidRPr="00FB1F9F" w:rsidRDefault="00850FF1" w:rsidP="00850FF1">
      <w:pPr>
        <w:spacing w:before="240" w:after="240"/>
        <w:ind w:left="720" w:hanging="720"/>
        <w:jc w:val="both"/>
        <w:rPr>
          <w:rFonts w:ascii="Times New Roman" w:hAnsi="Times New Roman" w:cs="Times New Roman"/>
          <w:lang w:val="en-GB"/>
        </w:rPr>
      </w:pPr>
      <w:r w:rsidRPr="00FB1F9F">
        <w:rPr>
          <w:rFonts w:ascii="Times New Roman" w:hAnsi="Times New Roman" w:cs="Times New Roman"/>
          <w:lang w:val="en-GB"/>
        </w:rPr>
        <w:t>[73]</w:t>
      </w:r>
      <w:r w:rsidRPr="00FB1F9F">
        <w:rPr>
          <w:rFonts w:ascii="Times New Roman" w:hAnsi="Times New Roman" w:cs="Times New Roman"/>
          <w:lang w:val="en-GB"/>
        </w:rPr>
        <w:tab/>
        <w:t xml:space="preserve">Tzevelekou, Th.V., Stvanakis, V., Papamantellos, D.C., Hofer, F., Haniotakis, E., Fragoulis, D., (2004) Properties of slags and </w:t>
      </w:r>
      <w:r w:rsidR="004C7A66" w:rsidRPr="00FB1F9F">
        <w:rPr>
          <w:rFonts w:ascii="Times New Roman" w:hAnsi="Times New Roman" w:cs="Times New Roman"/>
          <w:lang w:val="en-GB"/>
        </w:rPr>
        <w:t>Portland</w:t>
      </w:r>
      <w:r w:rsidRPr="00FB1F9F">
        <w:rPr>
          <w:rFonts w:ascii="Times New Roman" w:hAnsi="Times New Roman" w:cs="Times New Roman"/>
          <w:lang w:val="en-GB"/>
        </w:rPr>
        <w:t xml:space="preserve">-slag-cements produced by smelting of metallurgical dusts and ore fines in steelmaking DC-HEP furnace, </w:t>
      </w:r>
      <w:r w:rsidRPr="00FB1F9F">
        <w:rPr>
          <w:rFonts w:ascii="Times New Roman" w:hAnsi="Times New Roman" w:cs="Times New Roman"/>
          <w:i/>
          <w:lang w:val="en-GB"/>
        </w:rPr>
        <w:t xml:space="preserve">Advances in mineral </w:t>
      </w:r>
      <w:r w:rsidR="004C7A66" w:rsidRPr="00FB1F9F">
        <w:rPr>
          <w:rFonts w:ascii="Times New Roman" w:hAnsi="Times New Roman" w:cs="Times New Roman"/>
          <w:i/>
          <w:lang w:val="en-GB"/>
        </w:rPr>
        <w:t>resources</w:t>
      </w:r>
      <w:r w:rsidRPr="00FB1F9F">
        <w:rPr>
          <w:rFonts w:ascii="Times New Roman" w:hAnsi="Times New Roman" w:cs="Times New Roman"/>
          <w:i/>
          <w:lang w:val="en-GB"/>
        </w:rPr>
        <w:t xml:space="preserve"> management and environmental geotechnology, </w:t>
      </w:r>
      <w:r w:rsidRPr="00FB1F9F">
        <w:rPr>
          <w:rFonts w:ascii="Times New Roman" w:hAnsi="Times New Roman" w:cs="Times New Roman"/>
          <w:lang w:val="en-GB"/>
        </w:rPr>
        <w:t>edited by Agioutanis, Z.,</w:t>
      </w:r>
      <w:r w:rsidRPr="00FB1F9F">
        <w:rPr>
          <w:rFonts w:ascii="Times New Roman" w:hAnsi="Times New Roman" w:cs="Times New Roman"/>
          <w:i/>
          <w:lang w:val="en-GB"/>
        </w:rPr>
        <w:t xml:space="preserve"> </w:t>
      </w:r>
      <w:r w:rsidRPr="00FB1F9F">
        <w:rPr>
          <w:rFonts w:ascii="Times New Roman" w:hAnsi="Times New Roman" w:cs="Times New Roman"/>
          <w:b/>
          <w:lang w:val="en-GB"/>
        </w:rPr>
        <w:t xml:space="preserve">1, </w:t>
      </w:r>
      <w:r w:rsidRPr="00FB1F9F">
        <w:rPr>
          <w:rFonts w:ascii="Times New Roman" w:hAnsi="Times New Roman" w:cs="Times New Roman"/>
          <w:lang w:val="en-GB"/>
        </w:rPr>
        <w:t xml:space="preserve">396-393. </w:t>
      </w:r>
    </w:p>
    <w:p w14:paraId="45548AB4" w14:textId="77777777" w:rsidR="00850FF1" w:rsidRPr="00FB1F9F" w:rsidRDefault="00850FF1" w:rsidP="00850FF1">
      <w:pPr>
        <w:spacing w:before="240" w:after="120"/>
        <w:ind w:left="720" w:hanging="720"/>
        <w:jc w:val="both"/>
        <w:rPr>
          <w:rFonts w:ascii="Times New Roman" w:hAnsi="Times New Roman" w:cs="Times New Roman"/>
          <w:b/>
          <w:lang w:val="en-GB"/>
        </w:rPr>
      </w:pPr>
      <w:r w:rsidRPr="00FB1F9F">
        <w:rPr>
          <w:rFonts w:ascii="Times New Roman" w:hAnsi="Times New Roman" w:cs="Times New Roman"/>
          <w:lang w:val="en-GB"/>
        </w:rPr>
        <w:t>[74]</w:t>
      </w:r>
      <w:r w:rsidRPr="00FB1F9F">
        <w:rPr>
          <w:rFonts w:ascii="Times New Roman" w:hAnsi="Times New Roman" w:cs="Times New Roman"/>
          <w:lang w:val="en-GB"/>
        </w:rPr>
        <w:tab/>
        <w:t xml:space="preserve">Pointeau, I., Marmier, N., Fromage, F., Fedoroff, M., Giffaut, E., (2000) Cesium and lead uptake by CSH Phases of hydrated cement, </w:t>
      </w:r>
      <w:r w:rsidRPr="00FB1F9F">
        <w:rPr>
          <w:rFonts w:ascii="Times New Roman" w:hAnsi="Times New Roman" w:cs="Times New Roman"/>
          <w:i/>
          <w:lang w:val="en-GB"/>
        </w:rPr>
        <w:t xml:space="preserve">Scientific Basis of Nuclear Waste Management XXIV, </w:t>
      </w:r>
      <w:r w:rsidRPr="00FB1F9F">
        <w:rPr>
          <w:rFonts w:ascii="Times New Roman" w:hAnsi="Times New Roman" w:cs="Times New Roman"/>
          <w:b/>
          <w:lang w:val="en-GB"/>
        </w:rPr>
        <w:t>663</w:t>
      </w:r>
    </w:p>
    <w:p w14:paraId="5759F873" w14:textId="77777777" w:rsidR="00850FF1" w:rsidRPr="00FB1F9F" w:rsidRDefault="00850FF1" w:rsidP="00850FF1">
      <w:pPr>
        <w:spacing w:before="240" w:after="240"/>
        <w:ind w:left="720" w:hanging="720"/>
        <w:jc w:val="both"/>
        <w:rPr>
          <w:rFonts w:ascii="Times" w:hAnsi="Times" w:cs="Times"/>
        </w:rPr>
      </w:pPr>
      <w:proofErr w:type="gramStart"/>
      <w:r w:rsidRPr="00FB1F9F">
        <w:rPr>
          <w:rFonts w:ascii="Times" w:hAnsi="Times" w:cs="Times"/>
        </w:rPr>
        <w:t>[75]</w:t>
      </w:r>
      <w:r w:rsidRPr="00FB1F9F">
        <w:rPr>
          <w:rFonts w:ascii="Times" w:hAnsi="Times" w:cs="Times"/>
        </w:rPr>
        <w:tab/>
        <w:t>Hanna, J.V. et al. (2001) Cs speciation in cements.</w:t>
      </w:r>
      <w:proofErr w:type="gramEnd"/>
      <w:r w:rsidRPr="00FB1F9F">
        <w:rPr>
          <w:rFonts w:ascii="Times" w:hAnsi="Times" w:cs="Times"/>
        </w:rPr>
        <w:t xml:space="preserve"> </w:t>
      </w:r>
      <w:r w:rsidRPr="00FB1F9F">
        <w:rPr>
          <w:rFonts w:ascii="Times" w:hAnsi="Times" w:cs="Times"/>
          <w:i/>
        </w:rPr>
        <w:t>Mat. Res. Soc. Symp. Proc</w:t>
      </w:r>
      <w:r w:rsidRPr="00FB1F9F">
        <w:rPr>
          <w:rFonts w:ascii="Times" w:hAnsi="Times" w:cs="Times"/>
        </w:rPr>
        <w:t xml:space="preserve">. </w:t>
      </w:r>
      <w:r w:rsidRPr="00FB1F9F">
        <w:rPr>
          <w:rFonts w:ascii="Times" w:hAnsi="Times" w:cs="Times"/>
          <w:b/>
        </w:rPr>
        <w:t>663,</w:t>
      </w:r>
      <w:r w:rsidRPr="00FB1F9F">
        <w:rPr>
          <w:rFonts w:ascii="Times" w:hAnsi="Times" w:cs="Times"/>
        </w:rPr>
        <w:t xml:space="preserve"> 89–101.</w:t>
      </w:r>
    </w:p>
    <w:p w14:paraId="319D448C" w14:textId="77777777" w:rsidR="00850FF1" w:rsidRPr="00FB1F9F" w:rsidRDefault="00850FF1" w:rsidP="00850FF1">
      <w:pPr>
        <w:spacing w:before="240" w:after="240"/>
        <w:ind w:left="720" w:hanging="720"/>
        <w:jc w:val="both"/>
        <w:rPr>
          <w:rFonts w:ascii="Times New Roman" w:hAnsi="Times New Roman" w:cs="Times New Roman"/>
          <w:color w:val="000000"/>
          <w:lang w:val="en-GB"/>
        </w:rPr>
      </w:pPr>
      <w:r w:rsidRPr="00FB1F9F">
        <w:rPr>
          <w:rFonts w:ascii="Times" w:hAnsi="Times" w:cs="Times"/>
        </w:rPr>
        <w:t>[76]</w:t>
      </w:r>
      <w:r w:rsidRPr="00FB1F9F">
        <w:rPr>
          <w:rFonts w:ascii="Times" w:hAnsi="Times" w:cs="Times"/>
        </w:rPr>
        <w:tab/>
      </w:r>
      <w:proofErr w:type="gramStart"/>
      <w:r w:rsidRPr="00FB1F9F">
        <w:rPr>
          <w:rFonts w:ascii="Times New Roman" w:hAnsi="Times New Roman" w:cs="Times New Roman"/>
          <w:color w:val="000000"/>
          <w:lang w:val="en-GB"/>
        </w:rPr>
        <w:t>Iwaida, T. (2001) Sorption of alkali metal ions onto C-S-H (calcium silicate hydrated phases).</w:t>
      </w:r>
      <w:proofErr w:type="gramEnd"/>
      <w:r w:rsidRPr="00FB1F9F">
        <w:rPr>
          <w:rFonts w:ascii="Times New Roman" w:hAnsi="Times New Roman" w:cs="Times New Roman"/>
          <w:color w:val="000000"/>
          <w:lang w:val="en-GB"/>
        </w:rPr>
        <w:t xml:space="preserve"> </w:t>
      </w:r>
      <w:r w:rsidRPr="00FB1F9F">
        <w:rPr>
          <w:rFonts w:ascii="Times New Roman" w:hAnsi="Times New Roman" w:cs="Times New Roman"/>
          <w:i/>
          <w:color w:val="000000"/>
          <w:lang w:val="en-GB"/>
        </w:rPr>
        <w:t xml:space="preserve">Cem Sci Concr Tech. </w:t>
      </w:r>
      <w:r w:rsidRPr="00FB1F9F">
        <w:rPr>
          <w:rFonts w:ascii="Times New Roman" w:hAnsi="Times New Roman" w:cs="Times New Roman"/>
          <w:b/>
          <w:color w:val="000000"/>
          <w:lang w:val="en-GB"/>
        </w:rPr>
        <w:t>55,</w:t>
      </w:r>
      <w:r w:rsidRPr="00FB1F9F">
        <w:rPr>
          <w:rFonts w:ascii="Times New Roman" w:hAnsi="Times New Roman" w:cs="Times New Roman"/>
          <w:color w:val="000000"/>
          <w:lang w:val="en-GB"/>
        </w:rPr>
        <w:t xml:space="preserve"> 21- 26.</w:t>
      </w:r>
    </w:p>
    <w:p w14:paraId="795B707E" w14:textId="01F18C10" w:rsidR="00850FF1" w:rsidRPr="00FB1F9F" w:rsidRDefault="00850FF1" w:rsidP="00850FF1">
      <w:pPr>
        <w:spacing w:before="240" w:after="240"/>
        <w:ind w:left="720" w:hanging="720"/>
        <w:jc w:val="both"/>
        <w:rPr>
          <w:rFonts w:ascii="Times New Roman" w:hAnsi="Times New Roman" w:cs="Times New Roman"/>
          <w:color w:val="000000"/>
          <w:lang w:val="en-GB"/>
        </w:rPr>
      </w:pPr>
      <w:r w:rsidRPr="00FB1F9F">
        <w:rPr>
          <w:rFonts w:ascii="Times" w:hAnsi="Times" w:cs="Times"/>
        </w:rPr>
        <w:t>[77]</w:t>
      </w:r>
      <w:r w:rsidRPr="00FB1F9F">
        <w:rPr>
          <w:rFonts w:ascii="Times" w:hAnsi="Times" w:cs="Times"/>
        </w:rPr>
        <w:tab/>
      </w:r>
      <w:r w:rsidRPr="00FB1F9F">
        <w:rPr>
          <w:rFonts w:ascii="Times New Roman" w:hAnsi="Times New Roman" w:cs="Times New Roman"/>
          <w:color w:val="000000"/>
          <w:lang w:val="en-GB"/>
        </w:rPr>
        <w:t xml:space="preserve">McCulloch, C.E., Angus, M.J., Crawford, R.W., Rahman, A.A., </w:t>
      </w:r>
      <w:r w:rsidR="004C7A66" w:rsidRPr="00FB1F9F">
        <w:rPr>
          <w:rFonts w:ascii="Times New Roman" w:hAnsi="Times New Roman" w:cs="Times New Roman"/>
          <w:color w:val="000000"/>
          <w:lang w:val="en-GB"/>
        </w:rPr>
        <w:t>Glasser</w:t>
      </w:r>
      <w:r w:rsidRPr="00FB1F9F">
        <w:rPr>
          <w:rFonts w:ascii="Times New Roman" w:hAnsi="Times New Roman" w:cs="Times New Roman"/>
          <w:color w:val="000000"/>
          <w:lang w:val="en-GB"/>
        </w:rPr>
        <w:t xml:space="preserve">, F.P., (1985) Cements in radioactive waste disposal: some mineralogical considerations, </w:t>
      </w:r>
      <w:r w:rsidRPr="00FB1F9F">
        <w:rPr>
          <w:rFonts w:ascii="Times New Roman" w:hAnsi="Times New Roman" w:cs="Times New Roman"/>
          <w:i/>
          <w:color w:val="000000"/>
          <w:lang w:val="en-GB"/>
        </w:rPr>
        <w:t xml:space="preserve">Mineralogical Magazine, </w:t>
      </w:r>
      <w:r w:rsidRPr="00FB1F9F">
        <w:rPr>
          <w:rFonts w:ascii="Times New Roman" w:hAnsi="Times New Roman" w:cs="Times New Roman"/>
          <w:b/>
          <w:color w:val="000000"/>
          <w:lang w:val="en-GB"/>
        </w:rPr>
        <w:t>49,</w:t>
      </w:r>
      <w:r w:rsidRPr="00FB1F9F">
        <w:rPr>
          <w:rFonts w:ascii="Times New Roman" w:hAnsi="Times New Roman" w:cs="Times New Roman"/>
          <w:color w:val="000000"/>
          <w:lang w:val="en-GB"/>
        </w:rPr>
        <w:t xml:space="preserve"> 211-221.</w:t>
      </w:r>
    </w:p>
    <w:p w14:paraId="43F79679" w14:textId="77777777" w:rsidR="00850FF1" w:rsidRDefault="00850FF1" w:rsidP="00850FF1">
      <w:pPr>
        <w:spacing w:before="240" w:after="120"/>
        <w:ind w:left="720" w:hanging="720"/>
        <w:jc w:val="both"/>
        <w:rPr>
          <w:rFonts w:ascii="Times New Roman" w:hAnsi="Times New Roman" w:cs="Times New Roman"/>
          <w:color w:val="000000"/>
          <w:lang w:val="en-GB"/>
        </w:rPr>
      </w:pPr>
      <w:r w:rsidRPr="00FB1F9F">
        <w:rPr>
          <w:rFonts w:ascii="Times New Roman" w:hAnsi="Times New Roman" w:cs="Times New Roman"/>
          <w:color w:val="000000"/>
          <w:lang w:val="en-GB"/>
        </w:rPr>
        <w:t>[78]</w:t>
      </w:r>
      <w:r w:rsidRPr="00FB1F9F">
        <w:rPr>
          <w:rFonts w:ascii="Times New Roman" w:hAnsi="Times New Roman" w:cs="Times New Roman"/>
          <w:color w:val="000000"/>
          <w:lang w:val="en-GB"/>
        </w:rPr>
        <w:tab/>
        <w:t>Shrivastava, O.P.</w:t>
      </w:r>
      <w:proofErr w:type="gramStart"/>
      <w:r w:rsidRPr="00FB1F9F">
        <w:rPr>
          <w:rFonts w:ascii="Times New Roman" w:hAnsi="Times New Roman" w:cs="Times New Roman"/>
          <w:color w:val="000000"/>
          <w:lang w:val="en-GB"/>
        </w:rPr>
        <w:t>,  Shrivastava</w:t>
      </w:r>
      <w:proofErr w:type="gramEnd"/>
      <w:r w:rsidRPr="00FB1F9F">
        <w:rPr>
          <w:rFonts w:ascii="Times New Roman" w:hAnsi="Times New Roman" w:cs="Times New Roman"/>
          <w:color w:val="000000"/>
          <w:lang w:val="en-GB"/>
        </w:rPr>
        <w:t>, R.,</w:t>
      </w:r>
      <w:r w:rsidRPr="00FB1F9F">
        <w:rPr>
          <w:rFonts w:ascii="Times New Roman" w:hAnsi="Times New Roman" w:cs="Times New Roman"/>
        </w:rPr>
        <w:t xml:space="preserve"> (2000)  Cations exchange applications of synthetic tobermorite for the immobilization and solidification of cesium and strontium in cement matrix</w:t>
      </w:r>
      <w:r w:rsidRPr="00FB1F9F">
        <w:rPr>
          <w:rFonts w:ascii="Times New Roman" w:hAnsi="Times New Roman" w:cs="Times New Roman"/>
          <w:color w:val="000000"/>
          <w:lang w:val="en-GB"/>
        </w:rPr>
        <w:t xml:space="preserve">, </w:t>
      </w:r>
      <w:r w:rsidRPr="00FB1F9F">
        <w:rPr>
          <w:rFonts w:ascii="Times New Roman" w:hAnsi="Times New Roman" w:cs="Times New Roman"/>
          <w:i/>
          <w:color w:val="000000"/>
          <w:lang w:val="en-GB"/>
        </w:rPr>
        <w:t xml:space="preserve">Bull. </w:t>
      </w:r>
      <w:proofErr w:type="gramStart"/>
      <w:r w:rsidRPr="00FB1F9F">
        <w:rPr>
          <w:rFonts w:ascii="Times New Roman" w:hAnsi="Times New Roman" w:cs="Times New Roman"/>
          <w:i/>
          <w:color w:val="000000"/>
          <w:lang w:val="en-GB"/>
        </w:rPr>
        <w:t xml:space="preserve">Material Science, </w:t>
      </w:r>
      <w:r w:rsidRPr="00FB1F9F">
        <w:rPr>
          <w:rFonts w:ascii="Times New Roman" w:hAnsi="Times New Roman" w:cs="Times New Roman"/>
          <w:b/>
          <w:color w:val="000000"/>
          <w:lang w:val="en-GB"/>
        </w:rPr>
        <w:t>23</w:t>
      </w:r>
      <w:r w:rsidRPr="00FB1F9F">
        <w:rPr>
          <w:rFonts w:ascii="Times New Roman" w:hAnsi="Times New Roman" w:cs="Times New Roman"/>
          <w:color w:val="000000"/>
          <w:lang w:val="en-GB"/>
        </w:rPr>
        <w:t>, 515-520.</w:t>
      </w:r>
      <w:proofErr w:type="gramEnd"/>
      <w:r w:rsidRPr="00FB1F9F">
        <w:rPr>
          <w:rFonts w:ascii="Times New Roman" w:hAnsi="Times New Roman" w:cs="Times New Roman"/>
          <w:color w:val="000000"/>
          <w:lang w:val="en-GB"/>
        </w:rPr>
        <w:t xml:space="preserve"> </w:t>
      </w:r>
    </w:p>
    <w:p w14:paraId="2E00DA8C" w14:textId="0C845075" w:rsidR="008B1CF2" w:rsidRPr="00751C5B" w:rsidRDefault="008B1CF2" w:rsidP="00850FF1">
      <w:pPr>
        <w:spacing w:before="240" w:after="120"/>
        <w:ind w:left="720" w:hanging="720"/>
        <w:jc w:val="both"/>
        <w:rPr>
          <w:rFonts w:ascii="Times New Roman" w:hAnsi="Times New Roman" w:cs="Times New Roman"/>
          <w:color w:val="000000"/>
          <w:lang w:val="en-GB"/>
        </w:rPr>
      </w:pPr>
      <w:r>
        <w:rPr>
          <w:rFonts w:ascii="Times New Roman" w:hAnsi="Times New Roman" w:cs="Times New Roman"/>
          <w:color w:val="000000"/>
          <w:lang w:val="en-GB"/>
        </w:rPr>
        <w:t>[78</w:t>
      </w:r>
      <w:r w:rsidR="00732CCA">
        <w:rPr>
          <w:rFonts w:ascii="Times New Roman" w:hAnsi="Times New Roman" w:cs="Times New Roman"/>
          <w:color w:val="000000"/>
          <w:lang w:val="en-GB"/>
        </w:rPr>
        <w:t>-2</w:t>
      </w:r>
      <w:r>
        <w:rPr>
          <w:rFonts w:ascii="Times New Roman" w:hAnsi="Times New Roman" w:cs="Times New Roman"/>
          <w:color w:val="000000"/>
          <w:lang w:val="en-GB"/>
        </w:rPr>
        <w:t>]</w:t>
      </w:r>
      <w:r>
        <w:rPr>
          <w:rFonts w:ascii="Times New Roman" w:hAnsi="Times New Roman" w:cs="Times New Roman"/>
          <w:color w:val="000000"/>
          <w:lang w:val="en-GB"/>
        </w:rPr>
        <w:tab/>
      </w:r>
      <w:r w:rsidR="00EF52D8">
        <w:rPr>
          <w:rFonts w:ascii="Times New Roman" w:hAnsi="Times New Roman" w:cs="Times New Roman"/>
          <w:color w:val="000000"/>
          <w:lang w:val="en-GB"/>
        </w:rPr>
        <w:t>Myers, R.P., L'Hopital, E., Provis, J.L. and Lothenbach B. (2015) Composition-solubility-structure relationships in calcium (alkali) aluminosilicate hydrate (C</w:t>
      </w:r>
      <w:proofErr w:type="gramStart"/>
      <w:r w:rsidR="00EF52D8">
        <w:rPr>
          <w:rFonts w:ascii="Times New Roman" w:hAnsi="Times New Roman" w:cs="Times New Roman"/>
          <w:color w:val="000000"/>
          <w:lang w:val="en-GB"/>
        </w:rPr>
        <w:t>-(</w:t>
      </w:r>
      <w:proofErr w:type="gramEnd"/>
      <w:r w:rsidR="00EF52D8">
        <w:rPr>
          <w:rFonts w:ascii="Times New Roman" w:hAnsi="Times New Roman" w:cs="Times New Roman"/>
          <w:color w:val="000000"/>
          <w:lang w:val="en-GB"/>
        </w:rPr>
        <w:t xml:space="preserve">N,K-)A-S-H), </w:t>
      </w:r>
      <w:r w:rsidR="00EF52D8">
        <w:rPr>
          <w:rFonts w:ascii="Times New Roman" w:hAnsi="Times New Roman" w:cs="Times New Roman"/>
          <w:i/>
          <w:color w:val="000000"/>
          <w:lang w:val="en-GB"/>
        </w:rPr>
        <w:t xml:space="preserve">International journal for inorganic, organometallic and bioinorganic chemistry, </w:t>
      </w:r>
      <w:r w:rsidR="00EF52D8">
        <w:rPr>
          <w:rFonts w:ascii="Times New Roman" w:hAnsi="Times New Roman" w:cs="Times New Roman"/>
          <w:color w:val="000000"/>
          <w:lang w:val="en-GB"/>
        </w:rPr>
        <w:t xml:space="preserve">Dalton Transactions, </w:t>
      </w:r>
      <w:r w:rsidR="00EF52D8">
        <w:rPr>
          <w:rFonts w:ascii="Times New Roman" w:hAnsi="Times New Roman" w:cs="Times New Roman"/>
          <w:b/>
          <w:color w:val="000000"/>
          <w:lang w:val="en-GB"/>
        </w:rPr>
        <w:t xml:space="preserve">44, </w:t>
      </w:r>
      <w:r w:rsidR="00EF52D8">
        <w:rPr>
          <w:rFonts w:ascii="Times New Roman" w:hAnsi="Times New Roman" w:cs="Times New Roman"/>
          <w:color w:val="000000"/>
          <w:lang w:val="en-GB"/>
        </w:rPr>
        <w:t>13530-13544</w:t>
      </w:r>
    </w:p>
    <w:p w14:paraId="0C546DD0" w14:textId="77777777" w:rsidR="00850FF1" w:rsidRPr="00751C5B" w:rsidRDefault="00850FF1" w:rsidP="00850FF1">
      <w:pPr>
        <w:spacing w:before="240" w:after="240"/>
        <w:ind w:left="720" w:hanging="720"/>
        <w:jc w:val="both"/>
        <w:rPr>
          <w:rFonts w:ascii="Times" w:hAnsi="Times" w:cs="Times New Roman"/>
          <w:i/>
        </w:rPr>
      </w:pPr>
      <w:r w:rsidRPr="00732CCA">
        <w:rPr>
          <w:rFonts w:ascii="Times" w:hAnsi="Times" w:cs="Times"/>
        </w:rPr>
        <w:lastRenderedPageBreak/>
        <w:t>[79]</w:t>
      </w:r>
      <w:r w:rsidRPr="00732CCA">
        <w:rPr>
          <w:rFonts w:ascii="Times" w:hAnsi="Times" w:cs="Times"/>
        </w:rPr>
        <w:tab/>
      </w:r>
      <w:r w:rsidRPr="00751C5B">
        <w:rPr>
          <w:rFonts w:ascii="Times" w:hAnsi="Times" w:cs="Times New Roman"/>
        </w:rPr>
        <w:t xml:space="preserve">Tits, J. et al. (2006) Strontium binding by calcium silicate hydrates. </w:t>
      </w:r>
      <w:r w:rsidRPr="00751C5B">
        <w:rPr>
          <w:rFonts w:ascii="Times" w:hAnsi="Times" w:cs="Times New Roman"/>
          <w:i/>
        </w:rPr>
        <w:t>J Colloid</w:t>
      </w:r>
    </w:p>
    <w:p w14:paraId="1E056D7A" w14:textId="77777777" w:rsidR="00850FF1" w:rsidRPr="00FB1F9F" w:rsidRDefault="00850FF1" w:rsidP="00850FF1">
      <w:pPr>
        <w:spacing w:before="240" w:after="240"/>
        <w:ind w:left="720" w:hanging="720"/>
        <w:jc w:val="both"/>
        <w:rPr>
          <w:rFonts w:ascii="Times" w:hAnsi="Times" w:cs="Times"/>
        </w:rPr>
      </w:pPr>
      <w:proofErr w:type="gramStart"/>
      <w:r w:rsidRPr="00FB1F9F">
        <w:rPr>
          <w:rFonts w:ascii="Times New Roman" w:hAnsi="Times New Roman" w:cs="Times New Roman"/>
        </w:rPr>
        <w:t>[80]</w:t>
      </w:r>
      <w:r w:rsidRPr="00FB1F9F">
        <w:rPr>
          <w:rFonts w:ascii="Times New Roman" w:hAnsi="Times New Roman" w:cs="Times New Roman"/>
        </w:rPr>
        <w:tab/>
        <w:t xml:space="preserve">Wieland, Kunz, D., Dahn, R., (2008) Strontium uptake by cementitious materials, </w:t>
      </w:r>
      <w:r w:rsidRPr="00FB1F9F">
        <w:rPr>
          <w:rFonts w:ascii="Times New Roman" w:hAnsi="Times New Roman" w:cs="Times New Roman"/>
          <w:i/>
        </w:rPr>
        <w:t>Environ.</w:t>
      </w:r>
      <w:proofErr w:type="gramEnd"/>
      <w:r w:rsidRPr="00FB1F9F">
        <w:rPr>
          <w:rFonts w:ascii="Times New Roman" w:hAnsi="Times New Roman" w:cs="Times New Roman"/>
          <w:i/>
        </w:rPr>
        <w:t xml:space="preserve"> Sci. Technology, </w:t>
      </w:r>
      <w:r w:rsidRPr="00FB1F9F">
        <w:rPr>
          <w:rFonts w:ascii="Times New Roman" w:hAnsi="Times New Roman" w:cs="Times New Roman"/>
          <w:b/>
        </w:rPr>
        <w:t>42</w:t>
      </w:r>
      <w:r w:rsidRPr="00FB1F9F">
        <w:rPr>
          <w:rFonts w:ascii="Times New Roman" w:hAnsi="Times New Roman" w:cs="Times New Roman"/>
        </w:rPr>
        <w:t>, 403-409.</w:t>
      </w:r>
    </w:p>
    <w:p w14:paraId="51459B8A" w14:textId="2A96E9D3" w:rsidR="00850FF1" w:rsidRPr="00FB1F9F" w:rsidRDefault="00850FF1" w:rsidP="00850FF1">
      <w:pPr>
        <w:spacing w:before="240" w:after="120"/>
        <w:jc w:val="both"/>
        <w:rPr>
          <w:rFonts w:ascii="Times New Roman" w:hAnsi="Times New Roman" w:cs="Times New Roman"/>
          <w:lang w:val="en-GB"/>
        </w:rPr>
      </w:pPr>
      <w:r w:rsidRPr="00FB1F9F">
        <w:rPr>
          <w:rFonts w:ascii="Times" w:hAnsi="Times" w:cs="Times"/>
        </w:rPr>
        <w:t>[81]</w:t>
      </w:r>
      <w:r w:rsidRPr="00FB1F9F">
        <w:rPr>
          <w:rFonts w:ascii="Times" w:hAnsi="Times" w:cs="Times"/>
        </w:rPr>
        <w:tab/>
      </w:r>
      <w:r w:rsidRPr="00FB1F9F">
        <w:rPr>
          <w:rFonts w:ascii="Times New Roman" w:hAnsi="Times New Roman" w:cs="Times New Roman"/>
          <w:lang w:val="en-GB"/>
        </w:rPr>
        <w:t xml:space="preserve">Bensted, J, Barnes P. (2008) Hydration of </w:t>
      </w:r>
      <w:r w:rsidR="004C7A66" w:rsidRPr="00FB1F9F">
        <w:rPr>
          <w:rFonts w:ascii="Times New Roman" w:hAnsi="Times New Roman" w:cs="Times New Roman"/>
          <w:lang w:val="en-GB"/>
        </w:rPr>
        <w:t>Portland</w:t>
      </w:r>
      <w:r w:rsidRPr="00FB1F9F">
        <w:rPr>
          <w:rFonts w:ascii="Times New Roman" w:hAnsi="Times New Roman" w:cs="Times New Roman"/>
          <w:lang w:val="en-GB"/>
        </w:rPr>
        <w:t xml:space="preserve"> cement </w:t>
      </w:r>
      <w:r w:rsidRPr="00FB1F9F">
        <w:rPr>
          <w:rFonts w:ascii="Times New Roman" w:hAnsi="Times New Roman" w:cs="Times New Roman"/>
          <w:i/>
          <w:lang w:val="en-GB"/>
        </w:rPr>
        <w:t xml:space="preserve">Structure and </w:t>
      </w:r>
      <w:r w:rsidRPr="00FB1F9F">
        <w:rPr>
          <w:rFonts w:ascii="Times New Roman" w:hAnsi="Times New Roman" w:cs="Times New Roman"/>
          <w:i/>
          <w:lang w:val="en-GB"/>
        </w:rPr>
        <w:tab/>
        <w:t>Performance of Cements, Second edition</w:t>
      </w:r>
      <w:r w:rsidRPr="00FB1F9F">
        <w:rPr>
          <w:rFonts w:ascii="Times New Roman" w:hAnsi="Times New Roman" w:cs="Times New Roman"/>
          <w:lang w:val="en-GB"/>
        </w:rPr>
        <w:t>. 57-110.</w:t>
      </w:r>
    </w:p>
    <w:p w14:paraId="766CDC24" w14:textId="7A951D57" w:rsidR="00850FF1" w:rsidRPr="00FB1F9F" w:rsidRDefault="00850FF1" w:rsidP="00850FF1">
      <w:pPr>
        <w:spacing w:before="240" w:after="120"/>
        <w:jc w:val="both"/>
        <w:rPr>
          <w:rFonts w:ascii="Times New Roman" w:hAnsi="Times New Roman" w:cs="Times New Roman"/>
        </w:rPr>
      </w:pPr>
      <w:r w:rsidRPr="00FB1F9F">
        <w:rPr>
          <w:rFonts w:ascii="Times New Roman" w:hAnsi="Times New Roman" w:cs="Times New Roman"/>
          <w:lang w:val="en-GB"/>
        </w:rPr>
        <w:t>[82]</w:t>
      </w:r>
      <w:r w:rsidRPr="00FB1F9F">
        <w:rPr>
          <w:rFonts w:ascii="Times New Roman" w:hAnsi="Times New Roman" w:cs="Times New Roman"/>
          <w:lang w:val="en-GB"/>
        </w:rPr>
        <w:tab/>
      </w:r>
      <w:r w:rsidRPr="00FB1F9F">
        <w:rPr>
          <w:rFonts w:ascii="Times New Roman" w:hAnsi="Times New Roman" w:cs="Times New Roman"/>
        </w:rPr>
        <w:t xml:space="preserve">Richardson, I.G., Groves, G.W., (1993) The incorporation of minor and trace </w:t>
      </w:r>
      <w:r w:rsidRPr="00FB1F9F">
        <w:rPr>
          <w:rFonts w:ascii="Times New Roman" w:hAnsi="Times New Roman" w:cs="Times New Roman"/>
        </w:rPr>
        <w:tab/>
      </w:r>
      <w:r w:rsidR="004C7A66" w:rsidRPr="00FB1F9F">
        <w:rPr>
          <w:rFonts w:ascii="Times New Roman" w:hAnsi="Times New Roman" w:cs="Times New Roman"/>
        </w:rPr>
        <w:t>elements</w:t>
      </w:r>
      <w:r w:rsidRPr="00FB1F9F">
        <w:rPr>
          <w:rFonts w:ascii="Times New Roman" w:hAnsi="Times New Roman" w:cs="Times New Roman"/>
        </w:rPr>
        <w:t xml:space="preserve"> into calcium silicate hydrate (C-S-H) gel in hardened cement pastes, </w:t>
      </w:r>
      <w:r w:rsidRPr="00FB1F9F">
        <w:rPr>
          <w:rFonts w:ascii="Times New Roman" w:hAnsi="Times New Roman" w:cs="Times New Roman"/>
        </w:rPr>
        <w:tab/>
      </w:r>
      <w:r w:rsidRPr="00FB1F9F">
        <w:rPr>
          <w:rFonts w:ascii="Times New Roman" w:hAnsi="Times New Roman" w:cs="Times New Roman"/>
          <w:i/>
        </w:rPr>
        <w:t xml:space="preserve">Cement and concrete research, </w:t>
      </w:r>
      <w:r w:rsidRPr="00FB1F9F">
        <w:rPr>
          <w:rFonts w:ascii="Times New Roman" w:hAnsi="Times New Roman" w:cs="Times New Roman"/>
          <w:b/>
        </w:rPr>
        <w:t>23</w:t>
      </w:r>
      <w:r w:rsidRPr="00FB1F9F">
        <w:rPr>
          <w:rFonts w:ascii="Times New Roman" w:hAnsi="Times New Roman" w:cs="Times New Roman"/>
        </w:rPr>
        <w:t>, 131-138.</w:t>
      </w:r>
    </w:p>
    <w:p w14:paraId="49463735" w14:textId="0E87382F" w:rsidR="00850FF1" w:rsidRPr="00FB1F9F" w:rsidRDefault="00850FF1" w:rsidP="00850FF1">
      <w:pPr>
        <w:spacing w:before="240" w:after="120"/>
        <w:jc w:val="both"/>
        <w:rPr>
          <w:rFonts w:ascii="Times New Roman" w:hAnsi="Times New Roman" w:cs="Times New Roman"/>
        </w:rPr>
      </w:pPr>
      <w:proofErr w:type="gramStart"/>
      <w:r w:rsidRPr="00FB1F9F">
        <w:rPr>
          <w:rFonts w:ascii="Times New Roman" w:hAnsi="Times New Roman" w:cs="Times New Roman"/>
        </w:rPr>
        <w:t>[83]</w:t>
      </w:r>
      <w:r w:rsidRPr="00FB1F9F">
        <w:rPr>
          <w:rFonts w:ascii="Times New Roman" w:hAnsi="Times New Roman" w:cs="Times New Roman"/>
        </w:rPr>
        <w:tab/>
      </w:r>
      <w:r w:rsidRPr="00FB1F9F">
        <w:rPr>
          <w:rFonts w:ascii="Times New Roman" w:hAnsi="Times New Roman" w:cs="Times New Roman"/>
          <w:lang w:val="en-GB"/>
        </w:rPr>
        <w:t>Crawford, R.W.; Glasser, F.P.; Rahman, A.A.; Angus, M.J.; McCulloch, C.E.</w:t>
      </w:r>
      <w:proofErr w:type="gramEnd"/>
      <w:r w:rsidRPr="00FB1F9F">
        <w:rPr>
          <w:rFonts w:ascii="Times New Roman" w:hAnsi="Times New Roman" w:cs="Times New Roman"/>
          <w:lang w:val="en-GB"/>
        </w:rPr>
        <w:t xml:space="preserve"> </w:t>
      </w:r>
      <w:r w:rsidR="00FB1F9F">
        <w:rPr>
          <w:rFonts w:ascii="Times New Roman" w:hAnsi="Times New Roman" w:cs="Times New Roman"/>
          <w:lang w:val="en-GB"/>
        </w:rPr>
        <w:tab/>
      </w:r>
      <w:r w:rsidRPr="00FB1F9F">
        <w:rPr>
          <w:rFonts w:ascii="Times New Roman" w:hAnsi="Times New Roman" w:cs="Times New Roman"/>
          <w:lang w:val="en-GB"/>
        </w:rPr>
        <w:t xml:space="preserve">(1985) </w:t>
      </w:r>
      <w:r w:rsidRPr="00FB1F9F">
        <w:rPr>
          <w:rFonts w:ascii="Times New Roman" w:hAnsi="Times New Roman" w:cs="Times New Roman"/>
          <w:lang w:val="en-GB"/>
        </w:rPr>
        <w:tab/>
        <w:t xml:space="preserve">Diffusion mechanisms and factors affecting leaching of caesium-134 </w:t>
      </w:r>
      <w:r w:rsidR="00FB1F9F">
        <w:rPr>
          <w:rFonts w:ascii="Times New Roman" w:hAnsi="Times New Roman" w:cs="Times New Roman"/>
          <w:lang w:val="en-GB"/>
        </w:rPr>
        <w:tab/>
      </w:r>
      <w:r w:rsidRPr="00FB1F9F">
        <w:rPr>
          <w:rFonts w:ascii="Times New Roman" w:hAnsi="Times New Roman" w:cs="Times New Roman"/>
          <w:lang w:val="en-GB"/>
        </w:rPr>
        <w:t>from cement-</w:t>
      </w:r>
      <w:r w:rsidRPr="00FB1F9F">
        <w:rPr>
          <w:rFonts w:ascii="Times New Roman" w:hAnsi="Times New Roman" w:cs="Times New Roman"/>
          <w:lang w:val="en-GB"/>
        </w:rPr>
        <w:tab/>
        <w:t xml:space="preserve">based waste matrices, </w:t>
      </w:r>
      <w:r w:rsidRPr="00FB1F9F">
        <w:rPr>
          <w:rFonts w:ascii="Times New Roman" w:hAnsi="Times New Roman" w:cs="Times New Roman"/>
          <w:i/>
          <w:lang w:val="en-GB"/>
        </w:rPr>
        <w:t xml:space="preserve">Radioact. Waste Manage. Nucl. </w:t>
      </w:r>
      <w:proofErr w:type="gramStart"/>
      <w:r w:rsidRPr="00FB1F9F">
        <w:rPr>
          <w:rFonts w:ascii="Times New Roman" w:hAnsi="Times New Roman" w:cs="Times New Roman"/>
          <w:i/>
          <w:lang w:val="en-GB"/>
        </w:rPr>
        <w:t xml:space="preserve">Fuel </w:t>
      </w:r>
      <w:r w:rsidR="00FB1F9F">
        <w:rPr>
          <w:rFonts w:ascii="Times New Roman" w:hAnsi="Times New Roman" w:cs="Times New Roman"/>
          <w:i/>
          <w:lang w:val="en-GB"/>
        </w:rPr>
        <w:tab/>
      </w:r>
      <w:r w:rsidRPr="00FB1F9F">
        <w:rPr>
          <w:rFonts w:ascii="Times New Roman" w:hAnsi="Times New Roman" w:cs="Times New Roman"/>
          <w:i/>
          <w:lang w:val="en-GB"/>
        </w:rPr>
        <w:t xml:space="preserve">Cycle; </w:t>
      </w:r>
      <w:r w:rsidRPr="00FB1F9F">
        <w:rPr>
          <w:rFonts w:ascii="Times New Roman" w:hAnsi="Times New Roman" w:cs="Times New Roman"/>
          <w:b/>
          <w:lang w:val="en-GB"/>
        </w:rPr>
        <w:t xml:space="preserve">6, 2, </w:t>
      </w:r>
      <w:r w:rsidRPr="00FB1F9F">
        <w:rPr>
          <w:rFonts w:ascii="Times New Roman" w:hAnsi="Times New Roman" w:cs="Times New Roman"/>
          <w:lang w:val="en-GB"/>
        </w:rPr>
        <w:t>177-196.</w:t>
      </w:r>
      <w:proofErr w:type="gramEnd"/>
    </w:p>
    <w:p w14:paraId="25C0B5E9" w14:textId="6612F93A" w:rsidR="00850FF1" w:rsidRPr="00FB1F9F" w:rsidRDefault="00850FF1" w:rsidP="00850FF1">
      <w:pPr>
        <w:spacing w:before="240" w:after="120"/>
        <w:jc w:val="both"/>
        <w:rPr>
          <w:rFonts w:ascii="Times New Roman" w:hAnsi="Times New Roman" w:cs="Times New Roman"/>
        </w:rPr>
      </w:pPr>
      <w:r w:rsidRPr="00FB1F9F">
        <w:rPr>
          <w:rFonts w:ascii="Times New Roman" w:hAnsi="Times New Roman" w:cs="Times New Roman"/>
        </w:rPr>
        <w:t>[84]</w:t>
      </w:r>
      <w:r w:rsidRPr="00FB1F9F">
        <w:rPr>
          <w:rFonts w:ascii="Times New Roman" w:hAnsi="Times New Roman" w:cs="Times New Roman"/>
        </w:rPr>
        <w:tab/>
      </w:r>
      <w:r w:rsidRPr="00FB1F9F">
        <w:rPr>
          <w:rFonts w:ascii="Times" w:hAnsi="Times" w:cs="Times"/>
        </w:rPr>
        <w:t xml:space="preserve">Hayes, M., Angus, M., Garland, R., (2012) Current status paper on the </w:t>
      </w:r>
      <w:r w:rsidR="00FB1F9F">
        <w:rPr>
          <w:rFonts w:ascii="Times" w:hAnsi="Times" w:cs="Times"/>
        </w:rPr>
        <w:tab/>
      </w:r>
      <w:r w:rsidRPr="00FB1F9F">
        <w:rPr>
          <w:rFonts w:ascii="Times" w:hAnsi="Times" w:cs="Times"/>
        </w:rPr>
        <w:t xml:space="preserve">potential use </w:t>
      </w:r>
      <w:r w:rsidRPr="00FB1F9F">
        <w:rPr>
          <w:rFonts w:ascii="Times" w:hAnsi="Times" w:cs="Times"/>
        </w:rPr>
        <w:tab/>
        <w:t xml:space="preserve">of Superplasticisers in a Geological Disposal Facility, </w:t>
      </w:r>
      <w:r w:rsidRPr="00FB1F9F">
        <w:rPr>
          <w:rFonts w:ascii="Times" w:hAnsi="Times" w:cs="Times"/>
          <w:i/>
        </w:rPr>
        <w:t>NNL</w:t>
      </w:r>
      <w:r w:rsidRPr="00FB1F9F">
        <w:rPr>
          <w:rFonts w:ascii="Times" w:hAnsi="Times" w:cs="Times"/>
        </w:rPr>
        <w:t xml:space="preserve">, </w:t>
      </w:r>
      <w:r w:rsidRPr="00FB1F9F">
        <w:rPr>
          <w:rFonts w:ascii="Times" w:hAnsi="Times" w:cs="Times"/>
          <w:b/>
        </w:rPr>
        <w:t>12</w:t>
      </w:r>
      <w:r w:rsidRPr="00FB1F9F">
        <w:rPr>
          <w:rFonts w:ascii="Times" w:hAnsi="Times" w:cs="Times"/>
        </w:rPr>
        <w:t xml:space="preserve">, </w:t>
      </w:r>
      <w:r w:rsidR="00FB1F9F">
        <w:rPr>
          <w:rFonts w:ascii="Times" w:hAnsi="Times" w:cs="Times"/>
        </w:rPr>
        <w:tab/>
      </w:r>
      <w:r w:rsidRPr="00FB1F9F">
        <w:rPr>
          <w:rFonts w:ascii="Times" w:hAnsi="Times" w:cs="Times"/>
        </w:rPr>
        <w:t>11905 Issue 4.</w:t>
      </w:r>
    </w:p>
    <w:p w14:paraId="6D0F7453" w14:textId="106A3C55" w:rsidR="00850FF1" w:rsidRPr="00FB1F9F" w:rsidRDefault="00850FF1" w:rsidP="00850FF1">
      <w:pPr>
        <w:spacing w:before="240" w:after="120"/>
        <w:jc w:val="both"/>
        <w:rPr>
          <w:rFonts w:ascii="Times New Roman" w:hAnsi="Times New Roman" w:cs="Times New Roman"/>
        </w:rPr>
      </w:pPr>
      <w:r w:rsidRPr="00FB1F9F">
        <w:rPr>
          <w:rFonts w:ascii="Times New Roman" w:hAnsi="Times New Roman" w:cs="Times New Roman"/>
        </w:rPr>
        <w:t>[85]</w:t>
      </w:r>
      <w:r w:rsidRPr="00FB1F9F">
        <w:rPr>
          <w:rFonts w:ascii="Times New Roman" w:hAnsi="Times New Roman" w:cs="Times New Roman"/>
        </w:rPr>
        <w:tab/>
      </w:r>
      <w:proofErr w:type="gramStart"/>
      <w:r w:rsidRPr="00FB1F9F">
        <w:rPr>
          <w:rFonts w:ascii="Times New Roman" w:hAnsi="Times New Roman" w:cs="Times New Roman"/>
        </w:rPr>
        <w:t>Puertas, F., Santos, H., Palacios, M., &amp; Martínez-Ramír</w:t>
      </w:r>
      <w:r w:rsidR="00FB1F9F">
        <w:rPr>
          <w:rFonts w:ascii="Times New Roman" w:hAnsi="Times New Roman" w:cs="Times New Roman"/>
        </w:rPr>
        <w:t>ez, S. (2005).</w:t>
      </w:r>
      <w:proofErr w:type="gramEnd"/>
      <w:r w:rsidR="00FB1F9F">
        <w:rPr>
          <w:rFonts w:ascii="Times New Roman" w:hAnsi="Times New Roman" w:cs="Times New Roman"/>
        </w:rPr>
        <w:t xml:space="preserve"> </w:t>
      </w:r>
      <w:r w:rsidR="00FB1F9F">
        <w:rPr>
          <w:rFonts w:ascii="Times New Roman" w:hAnsi="Times New Roman" w:cs="Times New Roman"/>
        </w:rPr>
        <w:tab/>
        <w:t xml:space="preserve">Polycarboxylate </w:t>
      </w:r>
      <w:r w:rsidRPr="00FB1F9F">
        <w:rPr>
          <w:rFonts w:ascii="Times New Roman" w:hAnsi="Times New Roman" w:cs="Times New Roman"/>
        </w:rPr>
        <w:t xml:space="preserve">superplasticiser admixtures: effect on hydration, </w:t>
      </w:r>
      <w:r w:rsidR="00FB1F9F">
        <w:rPr>
          <w:rFonts w:ascii="Times New Roman" w:hAnsi="Times New Roman" w:cs="Times New Roman"/>
        </w:rPr>
        <w:tab/>
        <w:t xml:space="preserve">microstructure and rheological </w:t>
      </w:r>
      <w:r w:rsidRPr="00FB1F9F">
        <w:rPr>
          <w:rFonts w:ascii="Times New Roman" w:hAnsi="Times New Roman" w:cs="Times New Roman"/>
        </w:rPr>
        <w:t xml:space="preserve">behaviour in cement pastes. </w:t>
      </w:r>
      <w:proofErr w:type="gramStart"/>
      <w:r w:rsidRPr="00FB1F9F">
        <w:rPr>
          <w:rFonts w:ascii="Times New Roman" w:hAnsi="Times New Roman" w:cs="Times New Roman"/>
          <w:i/>
        </w:rPr>
        <w:t xml:space="preserve">Advances in </w:t>
      </w:r>
      <w:r w:rsidR="00FB1F9F">
        <w:rPr>
          <w:rFonts w:ascii="Times New Roman" w:hAnsi="Times New Roman" w:cs="Times New Roman"/>
          <w:i/>
        </w:rPr>
        <w:tab/>
      </w:r>
      <w:r w:rsidRPr="00FB1F9F">
        <w:rPr>
          <w:rFonts w:ascii="Times New Roman" w:hAnsi="Times New Roman" w:cs="Times New Roman"/>
          <w:i/>
        </w:rPr>
        <w:t>Cement Research</w:t>
      </w:r>
      <w:r w:rsidRPr="00FB1F9F">
        <w:rPr>
          <w:rFonts w:ascii="Times New Roman" w:hAnsi="Times New Roman" w:cs="Times New Roman"/>
        </w:rPr>
        <w:t xml:space="preserve">, </w:t>
      </w:r>
      <w:r w:rsidRPr="00FB1F9F">
        <w:rPr>
          <w:rFonts w:ascii="Times New Roman" w:hAnsi="Times New Roman" w:cs="Times New Roman"/>
          <w:b/>
        </w:rPr>
        <w:t>17(2),</w:t>
      </w:r>
      <w:r w:rsidRPr="00FB1F9F">
        <w:rPr>
          <w:rFonts w:ascii="Times New Roman" w:hAnsi="Times New Roman" w:cs="Times New Roman"/>
        </w:rPr>
        <w:t xml:space="preserve"> 77-89.</w:t>
      </w:r>
      <w:proofErr w:type="gramEnd"/>
    </w:p>
    <w:p w14:paraId="04EE7557" w14:textId="36DDF252" w:rsidR="00850FF1" w:rsidRPr="00FB1F9F" w:rsidRDefault="00850FF1" w:rsidP="00850FF1">
      <w:pPr>
        <w:spacing w:before="240" w:after="120"/>
        <w:jc w:val="both"/>
        <w:rPr>
          <w:rFonts w:ascii="Times New Roman" w:hAnsi="Times New Roman" w:cs="Times New Roman"/>
        </w:rPr>
      </w:pPr>
      <w:r w:rsidRPr="00FB1F9F">
        <w:rPr>
          <w:rFonts w:ascii="Times New Roman" w:hAnsi="Times New Roman" w:cs="Times New Roman"/>
        </w:rPr>
        <w:t>[86]</w:t>
      </w:r>
      <w:r w:rsidRPr="00FB1F9F">
        <w:rPr>
          <w:rFonts w:ascii="Times New Roman" w:hAnsi="Times New Roman" w:cs="Times New Roman"/>
        </w:rPr>
        <w:tab/>
        <w:t xml:space="preserve">Lothenbach, B., Winnefeld, F., Figi, R., (2007) </w:t>
      </w:r>
      <w:proofErr w:type="gramStart"/>
      <w:r w:rsidRPr="00FB1F9F">
        <w:rPr>
          <w:rFonts w:ascii="Times New Roman" w:hAnsi="Times New Roman" w:cs="Times New Roman"/>
        </w:rPr>
        <w:t>The</w:t>
      </w:r>
      <w:proofErr w:type="gramEnd"/>
      <w:r w:rsidRPr="00FB1F9F">
        <w:rPr>
          <w:rFonts w:ascii="Times New Roman" w:hAnsi="Times New Roman" w:cs="Times New Roman"/>
        </w:rPr>
        <w:t xml:space="preserve"> influence of </w:t>
      </w:r>
      <w:r w:rsidR="00FB1F9F">
        <w:rPr>
          <w:rFonts w:ascii="Times New Roman" w:hAnsi="Times New Roman" w:cs="Times New Roman"/>
        </w:rPr>
        <w:tab/>
        <w:t xml:space="preserve">superplasticizers on </w:t>
      </w:r>
      <w:r w:rsidRPr="00FB1F9F">
        <w:rPr>
          <w:rFonts w:ascii="Times New Roman" w:hAnsi="Times New Roman" w:cs="Times New Roman"/>
        </w:rPr>
        <w:t xml:space="preserve">the hydration of Portland cement." </w:t>
      </w:r>
      <w:proofErr w:type="gramStart"/>
      <w:r w:rsidRPr="00FB1F9F">
        <w:rPr>
          <w:rFonts w:ascii="Times New Roman" w:hAnsi="Times New Roman" w:cs="Times New Roman"/>
          <w:i/>
        </w:rPr>
        <w:t xml:space="preserve">Proceedings of the </w:t>
      </w:r>
      <w:r w:rsidR="00FB1F9F">
        <w:rPr>
          <w:rFonts w:ascii="Times New Roman" w:hAnsi="Times New Roman" w:cs="Times New Roman"/>
          <w:i/>
        </w:rPr>
        <w:tab/>
      </w:r>
      <w:r w:rsidRPr="00FB1F9F">
        <w:rPr>
          <w:rFonts w:ascii="Times New Roman" w:hAnsi="Times New Roman" w:cs="Times New Roman"/>
          <w:i/>
        </w:rPr>
        <w:t>12th ICCC,</w:t>
      </w:r>
      <w:r w:rsidR="00FB1F9F">
        <w:rPr>
          <w:rFonts w:ascii="Times New Roman" w:hAnsi="Times New Roman" w:cs="Times New Roman"/>
        </w:rPr>
        <w:t xml:space="preserve"> Montreal, Canada, </w:t>
      </w:r>
      <w:r w:rsidRPr="00FB1F9F">
        <w:rPr>
          <w:rFonts w:ascii="Times New Roman" w:hAnsi="Times New Roman" w:cs="Times New Roman"/>
        </w:rPr>
        <w:t>9-12.</w:t>
      </w:r>
      <w:proofErr w:type="gramEnd"/>
    </w:p>
    <w:p w14:paraId="4B182E59" w14:textId="0030ABA8" w:rsidR="00850FF1" w:rsidRPr="00FB1F9F" w:rsidRDefault="00850FF1" w:rsidP="00850FF1">
      <w:pPr>
        <w:spacing w:before="240" w:after="120"/>
        <w:jc w:val="both"/>
        <w:rPr>
          <w:rFonts w:ascii="Times New Roman" w:hAnsi="Times New Roman" w:cs="Times New Roman"/>
        </w:rPr>
      </w:pPr>
      <w:r w:rsidRPr="00FB1F9F">
        <w:rPr>
          <w:rFonts w:ascii="Times New Roman" w:hAnsi="Times New Roman" w:cs="Times New Roman"/>
        </w:rPr>
        <w:t>[87]</w:t>
      </w:r>
      <w:r w:rsidRPr="00FB1F9F">
        <w:rPr>
          <w:rFonts w:ascii="Times New Roman" w:hAnsi="Times New Roman" w:cs="Times New Roman"/>
        </w:rPr>
        <w:tab/>
        <w:t xml:space="preserve">Dickson, C. L., &amp; Glasser, F. P. (2000). Cerium (III, IV) in cement: </w:t>
      </w:r>
      <w:r w:rsidR="00FB1F9F">
        <w:rPr>
          <w:rFonts w:ascii="Times New Roman" w:hAnsi="Times New Roman" w:cs="Times New Roman"/>
        </w:rPr>
        <w:tab/>
        <w:t xml:space="preserve">Implications for </w:t>
      </w:r>
      <w:r w:rsidRPr="00FB1F9F">
        <w:rPr>
          <w:rFonts w:ascii="Times New Roman" w:hAnsi="Times New Roman" w:cs="Times New Roman"/>
        </w:rPr>
        <w:t xml:space="preserve">actinide (III, IV) immobilisation. </w:t>
      </w:r>
      <w:r w:rsidRPr="00FB1F9F">
        <w:rPr>
          <w:rFonts w:ascii="Times New Roman" w:hAnsi="Times New Roman" w:cs="Times New Roman"/>
          <w:i/>
        </w:rPr>
        <w:t xml:space="preserve">Cement and concrete </w:t>
      </w:r>
      <w:r w:rsidR="00FB1F9F">
        <w:rPr>
          <w:rFonts w:ascii="Times New Roman" w:hAnsi="Times New Roman" w:cs="Times New Roman"/>
          <w:i/>
        </w:rPr>
        <w:tab/>
      </w:r>
      <w:r w:rsidRPr="00FB1F9F">
        <w:rPr>
          <w:rFonts w:ascii="Times New Roman" w:hAnsi="Times New Roman" w:cs="Times New Roman"/>
          <w:i/>
        </w:rPr>
        <w:t>research</w:t>
      </w:r>
      <w:r w:rsidRPr="00FB1F9F">
        <w:rPr>
          <w:rFonts w:ascii="Times New Roman" w:hAnsi="Times New Roman" w:cs="Times New Roman"/>
        </w:rPr>
        <w:t xml:space="preserve">, </w:t>
      </w:r>
      <w:r w:rsidRPr="00FB1F9F">
        <w:rPr>
          <w:rFonts w:ascii="Times New Roman" w:hAnsi="Times New Roman" w:cs="Times New Roman"/>
          <w:b/>
        </w:rPr>
        <w:t>30(10),</w:t>
      </w:r>
      <w:r w:rsidRPr="00FB1F9F">
        <w:rPr>
          <w:rFonts w:ascii="Times New Roman" w:hAnsi="Times New Roman" w:cs="Times New Roman"/>
        </w:rPr>
        <w:t xml:space="preserve"> 1619-1623.</w:t>
      </w:r>
    </w:p>
    <w:p w14:paraId="79B6D875" w14:textId="49965F65" w:rsidR="00850FF1" w:rsidRPr="00FB1F9F" w:rsidRDefault="00850FF1" w:rsidP="00850FF1">
      <w:pPr>
        <w:rPr>
          <w:rFonts w:ascii="Times" w:eastAsia="Times New Roman" w:hAnsi="Times" w:cs="Times New Roman"/>
          <w:lang w:val="en-GB"/>
        </w:rPr>
      </w:pPr>
      <w:r w:rsidRPr="00FB1F9F">
        <w:rPr>
          <w:rFonts w:ascii="Times New Roman" w:hAnsi="Times New Roman" w:cs="Times New Roman"/>
        </w:rPr>
        <w:t>[88]</w:t>
      </w:r>
      <w:r w:rsidRPr="00FB1F9F">
        <w:rPr>
          <w:rFonts w:ascii="Times New Roman" w:hAnsi="Times New Roman" w:cs="Times New Roman"/>
        </w:rPr>
        <w:tab/>
      </w:r>
      <w:r w:rsidRPr="00FB1F9F">
        <w:rPr>
          <w:rFonts w:ascii="Times" w:eastAsia="Times New Roman" w:hAnsi="Times" w:cs="Times New Roman"/>
          <w:lang w:val="en-GB"/>
        </w:rPr>
        <w:t xml:space="preserve">Clacher, A.P. and Cowper, M.M. (2011) Effect of ADVA Cast 551 on the </w:t>
      </w:r>
      <w:r w:rsidR="00FB1F9F">
        <w:rPr>
          <w:rFonts w:ascii="Times" w:eastAsia="Times New Roman" w:hAnsi="Times" w:cs="Times New Roman"/>
          <w:lang w:val="en-GB"/>
        </w:rPr>
        <w:tab/>
      </w:r>
      <w:r w:rsidRPr="00FB1F9F">
        <w:rPr>
          <w:rFonts w:ascii="Times" w:eastAsia="Times New Roman" w:hAnsi="Times" w:cs="Times New Roman"/>
          <w:lang w:val="en-GB"/>
        </w:rPr>
        <w:t>S</w:t>
      </w:r>
      <w:r w:rsidR="00FB1F9F">
        <w:rPr>
          <w:rFonts w:ascii="Times" w:eastAsia="Times New Roman" w:hAnsi="Times" w:cs="Times New Roman"/>
          <w:lang w:val="en-GB"/>
        </w:rPr>
        <w:t xml:space="preserve">olubility of </w:t>
      </w:r>
      <w:r w:rsidR="004C7A66" w:rsidRPr="00FB1F9F">
        <w:rPr>
          <w:rFonts w:ascii="Times" w:eastAsia="Times New Roman" w:hAnsi="Times" w:cs="Times New Roman"/>
          <w:lang w:val="en-GB"/>
        </w:rPr>
        <w:t>Plutonium (</w:t>
      </w:r>
      <w:r w:rsidRPr="00FB1F9F">
        <w:rPr>
          <w:rFonts w:ascii="Times" w:eastAsia="Times New Roman" w:hAnsi="Times" w:cs="Times New Roman"/>
          <w:lang w:val="en-GB"/>
        </w:rPr>
        <w:t xml:space="preserve">IV) and </w:t>
      </w:r>
      <w:r w:rsidR="004C7A66" w:rsidRPr="00FB1F9F">
        <w:rPr>
          <w:rFonts w:ascii="Times" w:eastAsia="Times New Roman" w:hAnsi="Times" w:cs="Times New Roman"/>
          <w:lang w:val="en-GB"/>
        </w:rPr>
        <w:t>Uranium (</w:t>
      </w:r>
      <w:r w:rsidRPr="00FB1F9F">
        <w:rPr>
          <w:rFonts w:ascii="Times" w:eastAsia="Times New Roman" w:hAnsi="Times" w:cs="Times New Roman"/>
          <w:lang w:val="en-GB"/>
        </w:rPr>
        <w:t xml:space="preserve">VI). </w:t>
      </w:r>
      <w:r w:rsidRPr="00FB1F9F">
        <w:rPr>
          <w:rFonts w:ascii="Times" w:eastAsia="Times New Roman" w:hAnsi="Times" w:cs="Times New Roman"/>
          <w:i/>
          <w:lang w:val="en-GB"/>
        </w:rPr>
        <w:t xml:space="preserve">Serco Report </w:t>
      </w:r>
      <w:r w:rsidR="00FB1F9F">
        <w:rPr>
          <w:rFonts w:ascii="Times" w:eastAsia="Times New Roman" w:hAnsi="Times" w:cs="Times New Roman"/>
          <w:i/>
          <w:lang w:val="en-GB"/>
        </w:rPr>
        <w:tab/>
      </w:r>
      <w:r w:rsidRPr="00FB1F9F">
        <w:rPr>
          <w:rFonts w:ascii="Times" w:eastAsia="Times New Roman" w:hAnsi="Times" w:cs="Times New Roman"/>
          <w:i/>
          <w:lang w:val="en-GB"/>
        </w:rPr>
        <w:t>SERCO/TAS/003145/ 00</w:t>
      </w:r>
      <w:r w:rsidRPr="00FB1F9F">
        <w:rPr>
          <w:rFonts w:ascii="Times" w:eastAsia="Times New Roman" w:hAnsi="Times" w:cs="Times New Roman"/>
          <w:lang w:val="en-GB"/>
        </w:rPr>
        <w:t xml:space="preserve">1 Issue </w:t>
      </w:r>
      <w:r w:rsidRPr="00FB1F9F">
        <w:rPr>
          <w:rFonts w:ascii="Times" w:eastAsia="Times New Roman" w:hAnsi="Times" w:cs="Times New Roman"/>
          <w:b/>
          <w:lang w:val="en-GB"/>
        </w:rPr>
        <w:t>02</w:t>
      </w:r>
    </w:p>
    <w:p w14:paraId="769AEF52" w14:textId="4E2BF9A2" w:rsidR="00850FF1" w:rsidRPr="00FB1F9F" w:rsidRDefault="00850FF1" w:rsidP="00850FF1">
      <w:pPr>
        <w:spacing w:before="240" w:after="120"/>
        <w:jc w:val="both"/>
        <w:rPr>
          <w:rFonts w:ascii="Times New Roman" w:hAnsi="Times New Roman" w:cs="Times New Roman"/>
        </w:rPr>
      </w:pPr>
      <w:r w:rsidRPr="00FB1F9F">
        <w:rPr>
          <w:rFonts w:ascii="Times New Roman" w:hAnsi="Times New Roman" w:cs="Times New Roman"/>
        </w:rPr>
        <w:t>[89]</w:t>
      </w:r>
      <w:r w:rsidRPr="00FB1F9F">
        <w:rPr>
          <w:rFonts w:ascii="Times New Roman" w:hAnsi="Times New Roman" w:cs="Times New Roman"/>
        </w:rPr>
        <w:tab/>
        <w:t xml:space="preserve">Agullo, L., Toralles-Carbonari, B., Gettu, R., &amp; Aguado, A. (1999). </w:t>
      </w:r>
      <w:proofErr w:type="gramStart"/>
      <w:r w:rsidRPr="00FB1F9F">
        <w:rPr>
          <w:rFonts w:ascii="Times New Roman" w:hAnsi="Times New Roman" w:cs="Times New Roman"/>
        </w:rPr>
        <w:t xml:space="preserve">Fluidity </w:t>
      </w:r>
      <w:r w:rsidR="00FB1F9F">
        <w:rPr>
          <w:rFonts w:ascii="Times New Roman" w:hAnsi="Times New Roman" w:cs="Times New Roman"/>
        </w:rPr>
        <w:tab/>
        <w:t xml:space="preserve">of </w:t>
      </w:r>
      <w:r w:rsidRPr="00FB1F9F">
        <w:rPr>
          <w:rFonts w:ascii="Times New Roman" w:hAnsi="Times New Roman" w:cs="Times New Roman"/>
        </w:rPr>
        <w:t xml:space="preserve">cement pastes with mineral admixtures and superplasticizer—a study based </w:t>
      </w:r>
      <w:r w:rsidR="00FB1F9F">
        <w:rPr>
          <w:rFonts w:ascii="Times New Roman" w:hAnsi="Times New Roman" w:cs="Times New Roman"/>
        </w:rPr>
        <w:tab/>
        <w:t xml:space="preserve">on the </w:t>
      </w:r>
      <w:r w:rsidRPr="00FB1F9F">
        <w:rPr>
          <w:rFonts w:ascii="Times New Roman" w:hAnsi="Times New Roman" w:cs="Times New Roman"/>
        </w:rPr>
        <w:t>Marsh cone test.</w:t>
      </w:r>
      <w:proofErr w:type="gramEnd"/>
      <w:r w:rsidRPr="00FB1F9F">
        <w:rPr>
          <w:rFonts w:ascii="Times New Roman" w:hAnsi="Times New Roman" w:cs="Times New Roman"/>
        </w:rPr>
        <w:t xml:space="preserve"> </w:t>
      </w:r>
      <w:proofErr w:type="gramStart"/>
      <w:r w:rsidRPr="00FB1F9F">
        <w:rPr>
          <w:rFonts w:ascii="Times New Roman" w:hAnsi="Times New Roman" w:cs="Times New Roman"/>
          <w:i/>
        </w:rPr>
        <w:t>Materials and Structures</w:t>
      </w:r>
      <w:r w:rsidRPr="00FB1F9F">
        <w:rPr>
          <w:rFonts w:ascii="Times New Roman" w:hAnsi="Times New Roman" w:cs="Times New Roman"/>
        </w:rPr>
        <w:t xml:space="preserve">, </w:t>
      </w:r>
      <w:r w:rsidRPr="00FB1F9F">
        <w:rPr>
          <w:rFonts w:ascii="Times New Roman" w:hAnsi="Times New Roman" w:cs="Times New Roman"/>
          <w:b/>
        </w:rPr>
        <w:t>32(7),</w:t>
      </w:r>
      <w:r w:rsidRPr="00FB1F9F">
        <w:rPr>
          <w:rFonts w:ascii="Times New Roman" w:hAnsi="Times New Roman" w:cs="Times New Roman"/>
        </w:rPr>
        <w:t xml:space="preserve"> 479-485.</w:t>
      </w:r>
      <w:proofErr w:type="gramEnd"/>
    </w:p>
    <w:p w14:paraId="30DC0F81" w14:textId="798FFAA7" w:rsidR="00850FF1" w:rsidRPr="00FB1F9F" w:rsidRDefault="00850FF1" w:rsidP="00850FF1">
      <w:pPr>
        <w:spacing w:before="240" w:after="120"/>
        <w:jc w:val="both"/>
        <w:rPr>
          <w:rFonts w:ascii="Times New Roman" w:hAnsi="Times New Roman" w:cs="Times New Roman"/>
          <w:i/>
        </w:rPr>
      </w:pPr>
      <w:r w:rsidRPr="00FB1F9F">
        <w:rPr>
          <w:rFonts w:ascii="Times New Roman" w:hAnsi="Times New Roman" w:cs="Times New Roman"/>
        </w:rPr>
        <w:t>[90]</w:t>
      </w:r>
      <w:r w:rsidRPr="00FB1F9F">
        <w:rPr>
          <w:rFonts w:ascii="Times New Roman" w:hAnsi="Times New Roman" w:cs="Times New Roman"/>
        </w:rPr>
        <w:tab/>
        <w:t>Butcher, E.J., Borwick, J., Collier, N., Williams, S</w:t>
      </w:r>
      <w:r w:rsidR="00FB1F9F">
        <w:rPr>
          <w:rFonts w:ascii="Times New Roman" w:hAnsi="Times New Roman" w:cs="Times New Roman"/>
        </w:rPr>
        <w:t xml:space="preserve">.J., (2012) Long term </w:t>
      </w:r>
      <w:r w:rsidR="00FB1F9F">
        <w:rPr>
          <w:rFonts w:ascii="Times New Roman" w:hAnsi="Times New Roman" w:cs="Times New Roman"/>
        </w:rPr>
        <w:tab/>
        <w:t xml:space="preserve">leachate </w:t>
      </w:r>
      <w:r w:rsidRPr="00FB1F9F">
        <w:rPr>
          <w:rFonts w:ascii="Times New Roman" w:hAnsi="Times New Roman" w:cs="Times New Roman"/>
        </w:rPr>
        <w:t xml:space="preserve">volution during flow-through leaching of a vault backfill, </w:t>
      </w:r>
      <w:r w:rsidR="00FB1F9F">
        <w:rPr>
          <w:rFonts w:ascii="Times New Roman" w:hAnsi="Times New Roman" w:cs="Times New Roman"/>
        </w:rPr>
        <w:tab/>
      </w:r>
      <w:r w:rsidRPr="00FB1F9F">
        <w:rPr>
          <w:rFonts w:ascii="Times New Roman" w:hAnsi="Times New Roman" w:cs="Times New Roman"/>
          <w:i/>
        </w:rPr>
        <w:t>Mineralogical society</w:t>
      </w:r>
    </w:p>
    <w:p w14:paraId="33A7DC87" w14:textId="77777777" w:rsidR="001A4B7D" w:rsidRDefault="001A4B7D" w:rsidP="0044704C">
      <w:pPr>
        <w:pBdr>
          <w:bottom w:val="single" w:sz="4" w:space="1" w:color="auto"/>
        </w:pBdr>
        <w:spacing w:before="240" w:after="120" w:line="360" w:lineRule="auto"/>
        <w:ind w:left="720" w:hanging="720"/>
        <w:jc w:val="center"/>
        <w:outlineLvl w:val="0"/>
        <w:rPr>
          <w:rFonts w:ascii="Times New Roman" w:hAnsi="Times New Roman" w:cs="Times New Roman"/>
          <w:sz w:val="36"/>
          <w:szCs w:val="36"/>
        </w:rPr>
      </w:pPr>
    </w:p>
    <w:p w14:paraId="62F778EC" w14:textId="77777777" w:rsidR="008E5036" w:rsidRDefault="008E5036" w:rsidP="0044704C">
      <w:pPr>
        <w:pBdr>
          <w:bottom w:val="single" w:sz="4" w:space="1" w:color="auto"/>
        </w:pBdr>
        <w:spacing w:before="240" w:after="120" w:line="360" w:lineRule="auto"/>
        <w:ind w:left="720" w:hanging="720"/>
        <w:jc w:val="center"/>
        <w:outlineLvl w:val="0"/>
        <w:rPr>
          <w:rFonts w:ascii="Times New Roman" w:hAnsi="Times New Roman" w:cs="Times New Roman"/>
          <w:sz w:val="36"/>
          <w:szCs w:val="36"/>
        </w:rPr>
      </w:pPr>
    </w:p>
    <w:p w14:paraId="34E57947" w14:textId="28D67AF6" w:rsidR="0044704C" w:rsidRDefault="0044704C" w:rsidP="00751C5B">
      <w:pPr>
        <w:pBdr>
          <w:bottom w:val="single" w:sz="4" w:space="1" w:color="auto"/>
        </w:pBdr>
        <w:spacing w:before="240" w:after="120" w:line="360" w:lineRule="auto"/>
        <w:ind w:left="720" w:hanging="720"/>
        <w:jc w:val="center"/>
        <w:outlineLvl w:val="0"/>
        <w:rPr>
          <w:rFonts w:ascii="Times New Roman" w:hAnsi="Times New Roman" w:cs="Times New Roman"/>
          <w:sz w:val="22"/>
          <w:szCs w:val="22"/>
        </w:rPr>
      </w:pPr>
      <w:r w:rsidRPr="009D4D4A">
        <w:rPr>
          <w:rFonts w:ascii="Times New Roman" w:hAnsi="Times New Roman" w:cs="Times New Roman"/>
          <w:sz w:val="36"/>
          <w:szCs w:val="36"/>
        </w:rPr>
        <w:lastRenderedPageBreak/>
        <w:t xml:space="preserve">Chapter </w:t>
      </w:r>
      <w:r>
        <w:rPr>
          <w:rFonts w:ascii="Times New Roman" w:hAnsi="Times New Roman" w:cs="Times New Roman"/>
          <w:sz w:val="36"/>
          <w:szCs w:val="36"/>
        </w:rPr>
        <w:t>5:</w:t>
      </w:r>
      <w:r>
        <w:rPr>
          <w:rFonts w:ascii="Times New Roman" w:hAnsi="Times New Roman" w:cs="Times New Roman"/>
          <w:smallCaps/>
          <w:sz w:val="32"/>
          <w:szCs w:val="56"/>
        </w:rPr>
        <w:t xml:space="preserve"> </w:t>
      </w:r>
      <w:r>
        <w:rPr>
          <w:rFonts w:ascii="Times New Roman" w:hAnsi="Times New Roman" w:cs="Times New Roman"/>
          <w:smallCaps/>
          <w:spacing w:val="-20"/>
          <w:sz w:val="48"/>
          <w:szCs w:val="48"/>
        </w:rPr>
        <w:t>Project Conclusions</w:t>
      </w:r>
    </w:p>
    <w:p w14:paraId="1A54EB60" w14:textId="77777777" w:rsidR="00A2570F" w:rsidRPr="002D06B3" w:rsidRDefault="00A2570F" w:rsidP="00A2570F">
      <w:pPr>
        <w:spacing w:before="240" w:after="120" w:line="480" w:lineRule="exact"/>
        <w:jc w:val="both"/>
        <w:outlineLvl w:val="0"/>
        <w:rPr>
          <w:rFonts w:ascii="Times" w:hAnsi="Times" w:cs="Arial"/>
          <w:b/>
          <w:color w:val="000000"/>
          <w:sz w:val="28"/>
          <w:u w:val="single"/>
        </w:rPr>
      </w:pPr>
      <w:r w:rsidRPr="002D06B3">
        <w:rPr>
          <w:rFonts w:ascii="Times" w:hAnsi="Times" w:cs="Times New Roman"/>
          <w:b/>
          <w:bCs/>
          <w:smallCaps/>
          <w:sz w:val="32"/>
          <w:szCs w:val="32"/>
          <w:u w:val="single"/>
        </w:rPr>
        <w:t xml:space="preserve">5.1 </w:t>
      </w:r>
      <w:r w:rsidRPr="002D06B3">
        <w:rPr>
          <w:rFonts w:ascii="Times" w:hAnsi="Times" w:cs="Times New Roman"/>
          <w:b/>
          <w:bCs/>
          <w:smallCaps/>
          <w:sz w:val="36"/>
          <w:szCs w:val="32"/>
          <w:u w:val="single"/>
        </w:rPr>
        <w:tab/>
      </w:r>
      <w:r w:rsidRPr="002D06B3">
        <w:rPr>
          <w:rFonts w:ascii="Times New Roman" w:hAnsi="Times New Roman" w:cs="Times New Roman"/>
          <w:b/>
          <w:bCs/>
          <w:smallCaps/>
          <w:sz w:val="34"/>
          <w:szCs w:val="34"/>
          <w:u w:val="single"/>
        </w:rPr>
        <w:t>Characterisation of cement samples</w:t>
      </w:r>
    </w:p>
    <w:p w14:paraId="46D68A8E" w14:textId="512F7C3E" w:rsidR="00A2570F" w:rsidRDefault="00A2570F" w:rsidP="00A2570F">
      <w:pPr>
        <w:spacing w:line="480" w:lineRule="exact"/>
        <w:jc w:val="both"/>
        <w:rPr>
          <w:rFonts w:ascii="Times" w:hAnsi="Times"/>
        </w:rPr>
      </w:pPr>
      <w:r>
        <w:rPr>
          <w:rFonts w:ascii="Times" w:hAnsi="Times"/>
        </w:rPr>
        <w:t xml:space="preserve">The introduction of the caesium nitrate and strontium nitrate changed the crystal assemblage within the cement sample. The nitrated AFm phase (CAN) was formed in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rPr>
        <w:t xml:space="preserve">, which gave stronger XRD peak and larger TGA weight loss peaks in comparison to the AFm peaks in </w:t>
      </w:r>
      <w:r>
        <w:rPr>
          <w:rFonts w:ascii="Times" w:hAnsi="Times"/>
          <w:b/>
        </w:rPr>
        <w:t>0DB</w:t>
      </w:r>
      <w:r>
        <w:rPr>
          <w:rFonts w:ascii="Times" w:hAnsi="Times"/>
        </w:rPr>
        <w:t xml:space="preserve">, suggesting more CAN was formed.  This CAN phase was also formed in </w:t>
      </w:r>
      <w:r>
        <w:rPr>
          <w:rFonts w:ascii="Times" w:hAnsi="Times" w:cs="Arial"/>
          <w:b/>
          <w:bCs/>
          <w:color w:val="000000"/>
        </w:rPr>
        <w:t>0D</w:t>
      </w:r>
      <m:oMath>
        <m:acc>
          <m:accPr>
            <m:chr m:val="̅"/>
            <m:ctrlPr>
              <w:rPr>
                <w:rFonts w:ascii="Cambria Math" w:hAnsi="Cambria Math" w:cs="Arial"/>
                <w:b/>
                <w:i/>
                <w:sz w:val="36"/>
                <w:szCs w:val="36"/>
              </w:rPr>
            </m:ctrlPr>
          </m:accPr>
          <m:e>
            <m:r>
              <m:rPr>
                <m:sty m:val="p"/>
              </m:rPr>
              <w:rPr>
                <w:rFonts w:ascii="Cambria Math" w:hAnsi="Cambria Math" w:cs="Arial"/>
                <w:sz w:val="36"/>
                <w:szCs w:val="36"/>
              </w:rPr>
              <m:t>s</m:t>
            </m:r>
          </m:e>
        </m:acc>
      </m:oMath>
      <w:r w:rsidR="006D108B">
        <w:rPr>
          <w:rFonts w:ascii="Times" w:hAnsi="Times" w:cs="Times"/>
          <w:szCs w:val="26"/>
        </w:rPr>
        <w:t xml:space="preserve"> </w:t>
      </w:r>
      <w:r w:rsidR="006D108B">
        <w:rPr>
          <w:rFonts w:ascii="Times" w:hAnsi="Times"/>
          <w:sz w:val="20"/>
          <w:szCs w:val="20"/>
          <w:lang w:val="en-GB"/>
        </w:rPr>
        <w:t>but</w:t>
      </w:r>
      <w:r>
        <w:rPr>
          <w:rFonts w:ascii="Times" w:hAnsi="Times"/>
        </w:rPr>
        <w:t xml:space="preserve"> not in </w:t>
      </w:r>
      <w:r>
        <w:rPr>
          <w:rFonts w:ascii="Times" w:hAnsi="Times" w:cs="Arial"/>
          <w:b/>
          <w:bCs/>
          <w:color w:val="000000"/>
        </w:rPr>
        <w:t>0D</w:t>
      </w:r>
      <m:oMath>
        <m:acc>
          <m:accPr>
            <m:chr m:val="̅"/>
            <m:ctrlPr>
              <w:rPr>
                <w:rFonts w:ascii="Cambria Math" w:hAnsi="Cambria Math" w:cs="Arial"/>
                <w:b/>
                <w:i/>
                <w:sz w:val="36"/>
                <w:szCs w:val="36"/>
              </w:rPr>
            </m:ctrlPr>
          </m:accPr>
          <m:e>
            <m:r>
              <m:rPr>
                <m:sty m:val="p"/>
              </m:rPr>
              <w:rPr>
                <w:rFonts w:ascii="Cambria Math" w:hAnsi="Cambria Math" w:cs="Arial"/>
                <w:sz w:val="36"/>
                <w:szCs w:val="36"/>
              </w:rPr>
              <m:t>c</m:t>
            </m:r>
          </m:e>
        </m:acc>
      </m:oMath>
      <w:r>
        <w:rPr>
          <w:rFonts w:ascii="Times" w:hAnsi="Times"/>
        </w:rPr>
        <w:t xml:space="preserve">.  In the </w:t>
      </w:r>
      <w:r>
        <w:rPr>
          <w:rFonts w:ascii="Times" w:hAnsi="Times" w:cs="Arial"/>
          <w:b/>
          <w:bCs/>
          <w:color w:val="000000"/>
        </w:rPr>
        <w:t>0D</w:t>
      </w:r>
      <m:oMath>
        <m:acc>
          <m:accPr>
            <m:chr m:val="̅"/>
            <m:ctrlPr>
              <w:rPr>
                <w:rFonts w:ascii="Cambria Math" w:hAnsi="Cambria Math" w:cs="Arial"/>
                <w:b/>
                <w:i/>
                <w:sz w:val="36"/>
                <w:szCs w:val="36"/>
              </w:rPr>
            </m:ctrlPr>
          </m:accPr>
          <m:e>
            <m:r>
              <m:rPr>
                <m:sty m:val="p"/>
              </m:rPr>
              <w:rPr>
                <w:rFonts w:ascii="Cambria Math" w:hAnsi="Cambria Math" w:cs="Arial"/>
                <w:sz w:val="36"/>
                <w:szCs w:val="36"/>
              </w:rPr>
              <m:t>c</m:t>
            </m:r>
          </m:e>
        </m:acc>
      </m:oMath>
      <w:r w:rsidR="006D108B">
        <w:rPr>
          <w:rFonts w:ascii="Times" w:hAnsi="Times" w:cs="Times"/>
          <w:szCs w:val="26"/>
        </w:rPr>
        <w:t xml:space="preserve"> </w:t>
      </w:r>
      <w:r w:rsidR="006D108B">
        <w:rPr>
          <w:rFonts w:ascii="Times" w:hAnsi="Times"/>
          <w:sz w:val="20"/>
          <w:szCs w:val="20"/>
          <w:lang w:val="en-GB"/>
        </w:rPr>
        <w:t>sample</w:t>
      </w:r>
      <w:r>
        <w:rPr>
          <w:rFonts w:ascii="Times" w:hAnsi="Times"/>
        </w:rPr>
        <w:t xml:space="preserve"> the nitrate substitution in the AFm phase did not occur and therefore AFm peaks were identified as opposed to CAN.  The waste loaded samples also altered the C-S-H phase, more Al </w:t>
      </w:r>
      <w:r w:rsidR="006D108B">
        <w:rPr>
          <w:rFonts w:ascii="Times" w:hAnsi="Times"/>
        </w:rPr>
        <w:t>substitutions</w:t>
      </w:r>
      <w:r>
        <w:rPr>
          <w:rFonts w:ascii="Times" w:hAnsi="Times"/>
        </w:rPr>
        <w:t xml:space="preserve"> </w:t>
      </w:r>
      <w:r w:rsidR="006D108B">
        <w:rPr>
          <w:rFonts w:ascii="Times" w:hAnsi="Times"/>
        </w:rPr>
        <w:t>occurred</w:t>
      </w:r>
      <w:r>
        <w:rPr>
          <w:rFonts w:ascii="Times" w:hAnsi="Times"/>
        </w:rPr>
        <w:t xml:space="preserve"> created a more polymerised C-S-H than in the </w:t>
      </w:r>
      <w:r w:rsidRPr="006E2A0B">
        <w:rPr>
          <w:rFonts w:ascii="Times" w:hAnsi="Times"/>
          <w:b/>
        </w:rPr>
        <w:t>0DB</w:t>
      </w:r>
      <w:r>
        <w:rPr>
          <w:rFonts w:ascii="Times" w:hAnsi="Times"/>
        </w:rPr>
        <w:t>. The Portlandite phase was absent in the samples containing SrNO</w:t>
      </w:r>
      <w:r>
        <w:rPr>
          <w:rFonts w:ascii="Times" w:hAnsi="Times"/>
          <w:vertAlign w:val="subscript"/>
        </w:rPr>
        <w:t xml:space="preserve">3 </w:t>
      </w:r>
      <w:r>
        <w:rPr>
          <w:rFonts w:ascii="Times" w:hAnsi="Times"/>
        </w:rPr>
        <w:t xml:space="preserve">suggesting the introduction of </w:t>
      </w:r>
      <w:proofErr w:type="gramStart"/>
      <w:r>
        <w:rPr>
          <w:rFonts w:ascii="Times" w:hAnsi="Times"/>
        </w:rPr>
        <w:t>Sr(</w:t>
      </w:r>
      <w:proofErr w:type="gramEnd"/>
      <w:r w:rsidRPr="006E2A0B">
        <w:rPr>
          <w:rFonts w:ascii="Times" w:hAnsi="Times"/>
        </w:rPr>
        <w:t>NO</w:t>
      </w:r>
      <w:r>
        <w:rPr>
          <w:rFonts w:ascii="Times" w:hAnsi="Times"/>
          <w:vertAlign w:val="subscript"/>
        </w:rPr>
        <w:t>3</w:t>
      </w:r>
      <w:r>
        <w:rPr>
          <w:rFonts w:ascii="Times" w:hAnsi="Times"/>
        </w:rPr>
        <w:t>)</w:t>
      </w:r>
      <w:r>
        <w:rPr>
          <w:rFonts w:ascii="Times" w:hAnsi="Times"/>
          <w:vertAlign w:val="subscript"/>
        </w:rPr>
        <w:t>2</w:t>
      </w:r>
      <w:r>
        <w:rPr>
          <w:rFonts w:ascii="Times" w:hAnsi="Times"/>
        </w:rPr>
        <w:t xml:space="preserve"> </w:t>
      </w:r>
      <w:r w:rsidR="006D108B">
        <w:rPr>
          <w:rFonts w:ascii="Times" w:hAnsi="Times"/>
        </w:rPr>
        <w:t>suppresses</w:t>
      </w:r>
      <w:r>
        <w:rPr>
          <w:rFonts w:ascii="Times" w:hAnsi="Times"/>
        </w:rPr>
        <w:t xml:space="preserve"> the production of P. The </w:t>
      </w:r>
      <w:r w:rsidR="006D108B">
        <w:rPr>
          <w:rFonts w:ascii="Times" w:hAnsi="Times"/>
        </w:rPr>
        <w:t>introduction</w:t>
      </w:r>
      <w:r>
        <w:rPr>
          <w:rFonts w:ascii="Times" w:hAnsi="Times"/>
        </w:rPr>
        <w:t xml:space="preserve"> of </w:t>
      </w:r>
      <w:proofErr w:type="gramStart"/>
      <w:r>
        <w:rPr>
          <w:rFonts w:ascii="Times" w:hAnsi="Times"/>
        </w:rPr>
        <w:t>Sr(</w:t>
      </w:r>
      <w:proofErr w:type="gramEnd"/>
      <w:r>
        <w:rPr>
          <w:rFonts w:ascii="Times" w:hAnsi="Times"/>
        </w:rPr>
        <w:t>NO</w:t>
      </w:r>
      <w:r>
        <w:rPr>
          <w:rFonts w:ascii="Times" w:hAnsi="Times"/>
          <w:vertAlign w:val="subscript"/>
        </w:rPr>
        <w:t>3</w:t>
      </w:r>
      <w:r>
        <w:rPr>
          <w:rFonts w:ascii="Times" w:hAnsi="Times"/>
        </w:rPr>
        <w:t>)</w:t>
      </w:r>
      <w:r>
        <w:rPr>
          <w:rFonts w:ascii="Times" w:hAnsi="Times"/>
          <w:vertAlign w:val="subscript"/>
        </w:rPr>
        <w:t>2</w:t>
      </w:r>
      <w:r>
        <w:rPr>
          <w:rFonts w:ascii="Times" w:hAnsi="Times"/>
        </w:rPr>
        <w:t xml:space="preserve"> also resulted in the production of the hydrogarnet phase. Atkins &amp; Glasser [37] and Carlson [38] that Sr could be retained within this phase. This is feasible as the results showed no indication of </w:t>
      </w:r>
      <w:proofErr w:type="gramStart"/>
      <w:r>
        <w:rPr>
          <w:rFonts w:ascii="Times" w:hAnsi="Times"/>
        </w:rPr>
        <w:t>Sr(</w:t>
      </w:r>
      <w:proofErr w:type="gramEnd"/>
      <w:r>
        <w:rPr>
          <w:rFonts w:ascii="Times" w:hAnsi="Times"/>
        </w:rPr>
        <w:t>NO</w:t>
      </w:r>
      <w:r>
        <w:rPr>
          <w:rFonts w:ascii="Times" w:hAnsi="Times"/>
          <w:vertAlign w:val="subscript"/>
        </w:rPr>
        <w:t>3</w:t>
      </w:r>
      <w:r>
        <w:rPr>
          <w:rFonts w:ascii="Times" w:hAnsi="Times"/>
        </w:rPr>
        <w:t>)</w:t>
      </w:r>
      <w:r>
        <w:rPr>
          <w:rFonts w:ascii="Times" w:hAnsi="Times"/>
          <w:vertAlign w:val="subscript"/>
        </w:rPr>
        <w:t>2</w:t>
      </w:r>
      <w:r>
        <w:rPr>
          <w:rFonts w:ascii="Times" w:hAnsi="Times"/>
        </w:rPr>
        <w:t xml:space="preserve"> and the strontium was dispersed in what was identified as an aluminium rich environment with no sulphur strongly contradicting the original notion that strontium is immobilised within the AFm phase, but instead indicating retention in the hydrogarnet hydration phases.  The Cs on the other hand was found in CsNO</w:t>
      </w:r>
      <w:r>
        <w:rPr>
          <w:rFonts w:ascii="Times" w:hAnsi="Times"/>
          <w:vertAlign w:val="subscript"/>
        </w:rPr>
        <w:t>3</w:t>
      </w:r>
      <w:r>
        <w:rPr>
          <w:rFonts w:ascii="Times" w:hAnsi="Times"/>
        </w:rPr>
        <w:t xml:space="preserve"> form, in amounts close to that originally added, suggesting that none of the Cs is chemically bound in any of the phases. The porosity of </w:t>
      </w:r>
      <w:r w:rsidRPr="00B64A52">
        <w:rPr>
          <w:rFonts w:ascii="Times" w:hAnsi="Times"/>
          <w:b/>
        </w:rPr>
        <w:t>0DB</w:t>
      </w:r>
      <w:r>
        <w:rPr>
          <w:rFonts w:ascii="Times" w:hAnsi="Times"/>
        </w:rPr>
        <w:t xml:space="preserve"> was, as expected, lower than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rPr>
        <w:t xml:space="preserve">, and the volume of pores known to impact diffusion were higher in the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rPr>
        <w:t xml:space="preserve"> sample [14]. Both samples inhibited inkbottle pores with 44% of the total porosity of </w:t>
      </w:r>
      <w:r w:rsidRPr="00B64A52">
        <w:rPr>
          <w:rFonts w:ascii="Times" w:hAnsi="Times"/>
          <w:b/>
        </w:rPr>
        <w:t>0DB</w:t>
      </w:r>
      <w:r>
        <w:rPr>
          <w:rFonts w:ascii="Times" w:hAnsi="Times"/>
        </w:rPr>
        <w:t xml:space="preserve"> being attributed to inkbottle pores and 75% in </w:t>
      </w:r>
      <w:r>
        <w:rPr>
          <w:rFonts w:cs="Arial"/>
          <w:b/>
        </w:rPr>
        <w:t>0D</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r>
        <w:rPr>
          <w:rFonts w:ascii="Times" w:hAnsi="Times"/>
        </w:rPr>
        <w:t xml:space="preserve">. </w:t>
      </w:r>
    </w:p>
    <w:p w14:paraId="2F8E4AC5" w14:textId="77777777" w:rsidR="00A2570F" w:rsidRDefault="00A2570F" w:rsidP="00A2570F">
      <w:pPr>
        <w:spacing w:line="480" w:lineRule="exact"/>
        <w:jc w:val="both"/>
        <w:rPr>
          <w:rFonts w:ascii="Times" w:hAnsi="Times"/>
        </w:rPr>
      </w:pPr>
    </w:p>
    <w:p w14:paraId="00D7319A" w14:textId="77777777" w:rsidR="00A2570F" w:rsidRDefault="00A2570F" w:rsidP="00A2570F">
      <w:pPr>
        <w:spacing w:line="480" w:lineRule="exact"/>
        <w:jc w:val="both"/>
        <w:rPr>
          <w:rFonts w:ascii="Times" w:hAnsi="Times"/>
        </w:rPr>
      </w:pPr>
    </w:p>
    <w:p w14:paraId="5A967FBD" w14:textId="77777777" w:rsidR="00A2570F" w:rsidRDefault="00A2570F" w:rsidP="00A2570F">
      <w:pPr>
        <w:spacing w:line="480" w:lineRule="exact"/>
        <w:jc w:val="both"/>
        <w:rPr>
          <w:rFonts w:ascii="Times" w:hAnsi="Times"/>
        </w:rPr>
      </w:pPr>
    </w:p>
    <w:p w14:paraId="164CB351" w14:textId="77777777" w:rsidR="00A2570F" w:rsidRPr="002D06B3" w:rsidRDefault="00A2570F" w:rsidP="00A2570F">
      <w:pPr>
        <w:spacing w:before="240" w:after="120" w:line="480" w:lineRule="exact"/>
        <w:outlineLvl w:val="0"/>
        <w:rPr>
          <w:rFonts w:ascii="Times" w:hAnsi="Times"/>
          <w:b/>
          <w:sz w:val="32"/>
          <w:szCs w:val="32"/>
          <w:lang w:val="en-GB"/>
        </w:rPr>
      </w:pPr>
      <w:r w:rsidRPr="002D06B3">
        <w:rPr>
          <w:rFonts w:ascii="Times" w:hAnsi="Times" w:cs="Times New Roman"/>
          <w:b/>
          <w:bCs/>
          <w:smallCaps/>
          <w:sz w:val="32"/>
          <w:szCs w:val="32"/>
        </w:rPr>
        <w:lastRenderedPageBreak/>
        <w:t xml:space="preserve">5.2 </w:t>
      </w:r>
      <w:r w:rsidRPr="002D06B3">
        <w:rPr>
          <w:rFonts w:ascii="Times" w:hAnsi="Times" w:cs="Times New Roman"/>
          <w:b/>
          <w:bCs/>
          <w:smallCaps/>
          <w:sz w:val="32"/>
          <w:szCs w:val="32"/>
        </w:rPr>
        <w:tab/>
      </w:r>
      <w:r w:rsidRPr="002D06B3">
        <w:rPr>
          <w:rFonts w:ascii="Times New Roman" w:hAnsi="Times New Roman" w:cs="Times New Roman"/>
          <w:b/>
          <w:bCs/>
          <w:smallCaps/>
          <w:color w:val="0D0D0D" w:themeColor="text1" w:themeTint="F2"/>
          <w:sz w:val="32"/>
          <w:szCs w:val="32"/>
          <w:u w:val="single"/>
        </w:rPr>
        <w:t>Leaching of Cementitious Waste forms containing Caesium Nitrate and Strontium Nitrate</w:t>
      </w:r>
    </w:p>
    <w:p w14:paraId="1787D5F6" w14:textId="0DB6A16D" w:rsidR="00A2570F" w:rsidRDefault="00A2570F" w:rsidP="00A2570F">
      <w:pPr>
        <w:spacing w:before="240" w:after="120" w:line="480" w:lineRule="exact"/>
        <w:jc w:val="both"/>
        <w:outlineLvl w:val="0"/>
        <w:rPr>
          <w:rFonts w:ascii="Times New Roman" w:hAnsi="Times New Roman" w:cs="Times New Roman"/>
        </w:rPr>
      </w:pPr>
      <w:r>
        <w:rPr>
          <w:rFonts w:ascii="Times New Roman" w:hAnsi="Times New Roman" w:cs="Times New Roman"/>
        </w:rPr>
        <w:t xml:space="preserve">There is a clear indication that replacement of the solution will serve to accelerate the ion leaching, this small increase is insufficient for practical applications in projecting or predicting future cement degradation behaviour. This increase is due to two factors. The first is the increase in pH of the static solution to levels higher than the semi-static results in the absorption of portlandite onto calcium silicates and </w:t>
      </w:r>
      <w:r w:rsidR="00D56937">
        <w:rPr>
          <w:rFonts w:ascii="Times New Roman" w:hAnsi="Times New Roman" w:cs="Times New Roman"/>
        </w:rPr>
        <w:t>creating</w:t>
      </w:r>
      <w:r>
        <w:rPr>
          <w:rFonts w:ascii="Times New Roman" w:hAnsi="Times New Roman" w:cs="Times New Roman"/>
        </w:rPr>
        <w:t xml:space="preserve"> a barrier on the surface obstructing ion leaching. The second is the resetting of the concentration gradient of ions in solution. </w:t>
      </w:r>
    </w:p>
    <w:p w14:paraId="5128064C" w14:textId="3D12445A" w:rsidR="00A2570F" w:rsidRDefault="00A2570F" w:rsidP="00A2570F">
      <w:pPr>
        <w:spacing w:before="240" w:after="120" w:line="480" w:lineRule="exact"/>
        <w:jc w:val="both"/>
        <w:rPr>
          <w:rFonts w:ascii="Times New Roman" w:hAnsi="Times New Roman" w:cs="Times New Roman"/>
        </w:rPr>
      </w:pPr>
      <w:r>
        <w:rPr>
          <w:rFonts w:ascii="Times New Roman" w:hAnsi="Times New Roman" w:cs="Times New Roman"/>
        </w:rPr>
        <w:t xml:space="preserve">The acidic leaching method significantly increases leaching rates. Al leaching is very low, and as such large amounts of HG are formed within the </w:t>
      </w:r>
      <w:r w:rsidR="006D108B">
        <w:rPr>
          <w:rFonts w:ascii="Times New Roman" w:hAnsi="Times New Roman" w:cs="Times New Roman"/>
        </w:rPr>
        <w:t>sample, which</w:t>
      </w:r>
      <w:r>
        <w:rPr>
          <w:rFonts w:ascii="Times New Roman" w:hAnsi="Times New Roman" w:cs="Times New Roman"/>
        </w:rPr>
        <w:t xml:space="preserve"> would not form under normal leaching conditions. The acid attack creates a more porous sample exposing more of the sample to solution, which is one of the factors that </w:t>
      </w:r>
      <w:r w:rsidR="006D108B">
        <w:rPr>
          <w:rFonts w:ascii="Times New Roman" w:hAnsi="Times New Roman" w:cs="Times New Roman"/>
        </w:rPr>
        <w:t>cause</w:t>
      </w:r>
      <w:r>
        <w:rPr>
          <w:rFonts w:ascii="Times New Roman" w:hAnsi="Times New Roman" w:cs="Times New Roman"/>
        </w:rPr>
        <w:t xml:space="preserve"> an increase in leaching. Sulphates in acidic leachates can sometimes </w:t>
      </w:r>
      <w:r w:rsidR="00D56937">
        <w:rPr>
          <w:rFonts w:ascii="Times New Roman" w:hAnsi="Times New Roman" w:cs="Times New Roman"/>
        </w:rPr>
        <w:t>substitute</w:t>
      </w:r>
      <w:r>
        <w:rPr>
          <w:rFonts w:ascii="Times New Roman" w:hAnsi="Times New Roman" w:cs="Times New Roman"/>
        </w:rPr>
        <w:t xml:space="preserve"> back into the </w:t>
      </w:r>
      <w:proofErr w:type="gramStart"/>
      <w:r>
        <w:rPr>
          <w:rFonts w:ascii="Times New Roman" w:hAnsi="Times New Roman" w:cs="Times New Roman"/>
        </w:rPr>
        <w:t>cement</w:t>
      </w:r>
      <w:proofErr w:type="gramEnd"/>
      <w:r>
        <w:rPr>
          <w:rFonts w:ascii="Times New Roman" w:hAnsi="Times New Roman" w:cs="Times New Roman"/>
        </w:rPr>
        <w:t xml:space="preserve"> </w:t>
      </w:r>
      <w:r w:rsidR="00D56937">
        <w:rPr>
          <w:rFonts w:ascii="Times New Roman" w:hAnsi="Times New Roman" w:cs="Times New Roman"/>
        </w:rPr>
        <w:t xml:space="preserve">as there is a strong preference for them in </w:t>
      </w:r>
      <w:r w:rsidR="006D108B">
        <w:rPr>
          <w:rFonts w:ascii="Times New Roman" w:hAnsi="Times New Roman" w:cs="Times New Roman"/>
        </w:rPr>
        <w:t>comparison</w:t>
      </w:r>
      <w:r w:rsidR="00D56937">
        <w:rPr>
          <w:rFonts w:ascii="Times New Roman" w:hAnsi="Times New Roman" w:cs="Times New Roman"/>
        </w:rPr>
        <w:t xml:space="preserve"> to the </w:t>
      </w:r>
      <w:r>
        <w:rPr>
          <w:rFonts w:ascii="Times New Roman" w:hAnsi="Times New Roman" w:cs="Times New Roman"/>
        </w:rPr>
        <w:t>nitrates</w:t>
      </w:r>
      <w:r w:rsidR="00D56937">
        <w:rPr>
          <w:rFonts w:ascii="Times New Roman" w:hAnsi="Times New Roman" w:cs="Times New Roman"/>
        </w:rPr>
        <w:t xml:space="preserve">, </w:t>
      </w:r>
      <w:r>
        <w:rPr>
          <w:rFonts w:ascii="Times New Roman" w:hAnsi="Times New Roman" w:cs="Times New Roman"/>
        </w:rPr>
        <w:t>therefore it means the nitrate from the CAN was leached out and the sulphate was sorbed back into the sample creating AFm instead. This method causes significant alterations to the cement chemical structure due to the and therefore does not present a very accurate model of realistic conditions</w:t>
      </w:r>
    </w:p>
    <w:p w14:paraId="4CFCD39E" w14:textId="4F487275" w:rsidR="00A2570F" w:rsidRPr="00A2570F" w:rsidRDefault="00A2570F" w:rsidP="00A2570F">
      <w:pPr>
        <w:spacing w:before="240" w:after="120" w:line="480" w:lineRule="exact"/>
        <w:jc w:val="both"/>
        <w:rPr>
          <w:rFonts w:ascii="Times New Roman" w:hAnsi="Times New Roman" w:cs="Times New Roman"/>
        </w:rPr>
      </w:pPr>
      <w:r>
        <w:rPr>
          <w:rFonts w:ascii="Times New Roman" w:hAnsi="Times New Roman" w:cs="Times New Roman"/>
        </w:rPr>
        <w:t xml:space="preserve"> The electrical leaching method has on average increased the leaching rates of the cement pastes by a significant magnitude. On average leached amounts of elements after 2 years could be obtained by electrically leaching a sample for 1-3 days. However this method also alters the cement structure, phases such as HC and C-S-H for example increase. Given the various differences between this method and the semi/static methods used to model real storage conditions, the applications of electrical leaching should be used as a guide to degradation as opposed to being a direct accelerated aging process. </w:t>
      </w:r>
    </w:p>
    <w:p w14:paraId="1A4F3C2D" w14:textId="77777777" w:rsidR="00A2570F" w:rsidRDefault="00A2570F" w:rsidP="00A2570F">
      <w:pPr>
        <w:spacing w:before="240" w:after="120" w:line="480" w:lineRule="exact"/>
        <w:jc w:val="both"/>
        <w:outlineLvl w:val="0"/>
        <w:rPr>
          <w:rFonts w:ascii="Times New Roman" w:hAnsi="Times New Roman" w:cs="Times New Roman"/>
          <w:b/>
          <w:bCs/>
          <w:smallCaps/>
          <w:sz w:val="36"/>
          <w:szCs w:val="28"/>
          <w:u w:val="single"/>
        </w:rPr>
      </w:pPr>
      <w:r>
        <w:rPr>
          <w:rFonts w:ascii="Times New Roman" w:hAnsi="Times New Roman" w:cs="Times New Roman"/>
          <w:b/>
          <w:bCs/>
          <w:smallCaps/>
          <w:sz w:val="36"/>
          <w:szCs w:val="28"/>
          <w:u w:val="single"/>
        </w:rPr>
        <w:lastRenderedPageBreak/>
        <w:t>5.3</w:t>
      </w:r>
      <w:r>
        <w:rPr>
          <w:rFonts w:ascii="Times New Roman" w:hAnsi="Times New Roman" w:cs="Times New Roman"/>
          <w:b/>
          <w:bCs/>
          <w:smallCaps/>
          <w:sz w:val="36"/>
          <w:szCs w:val="28"/>
          <w:u w:val="single"/>
        </w:rPr>
        <w:tab/>
        <w:t>Cement Degradation During Leaching</w:t>
      </w:r>
    </w:p>
    <w:p w14:paraId="72D2EDD8" w14:textId="00D50465" w:rsidR="00D56937" w:rsidRDefault="00A2570F" w:rsidP="00A2570F">
      <w:pPr>
        <w:widowControl w:val="0"/>
        <w:autoSpaceDE w:val="0"/>
        <w:autoSpaceDN w:val="0"/>
        <w:adjustRightInd w:val="0"/>
        <w:spacing w:after="240" w:line="480" w:lineRule="exact"/>
        <w:jc w:val="both"/>
        <w:rPr>
          <w:rFonts w:ascii="Times" w:hAnsi="Times" w:cs="Times"/>
        </w:rPr>
      </w:pPr>
      <w:r>
        <w:rPr>
          <w:rFonts w:ascii="Times" w:hAnsi="Times" w:cs="Times"/>
        </w:rPr>
        <w:t xml:space="preserve">The degradation of the cement samples during leaching occurs as a result of ion leaching, most importantly Ca. This causes the main hydrate phases to break down and the cement structure to be compromised. This dissolution and breakdown of phases causes an increase in porosity giving more surface exposure to the solution causing even more increase in leaching. Due to this, the degradation occurs most at the surface, however only starts to occur deeper within the sample once the solution has reached that depth due to cracking/increased porosity or when the leaching ions are completely removed from the layer. At this stage ions leach from deeper </w:t>
      </w:r>
      <w:r w:rsidR="00924837">
        <w:rPr>
          <w:rFonts w:ascii="Times" w:hAnsi="Times" w:cs="Times"/>
        </w:rPr>
        <w:t>within</w:t>
      </w:r>
      <w:r>
        <w:rPr>
          <w:rFonts w:ascii="Times" w:hAnsi="Times" w:cs="Times"/>
        </w:rPr>
        <w:t xml:space="preserve"> the sample to maintain the chemical equilibrium between the sample and the solution. Up until 28 days only the top 5mm of the cement is reached by the leachate for both samples. This remains the case for the </w:t>
      </w:r>
      <w:r>
        <w:rPr>
          <w:rFonts w:ascii="Times" w:hAnsi="Times" w:cs="Times"/>
          <w:b/>
        </w:rPr>
        <w:t xml:space="preserve">B </w:t>
      </w:r>
      <w:r>
        <w:rPr>
          <w:rFonts w:ascii="Times" w:hAnsi="Times" w:cs="Times"/>
        </w:rPr>
        <w:t xml:space="preserve">samples after 3 months however the CAN phase from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Pr>
          <w:rFonts w:ascii="Times" w:hAnsi="Times" w:cs="Times New Roman"/>
        </w:rPr>
        <w:t xml:space="preserve"> </w:t>
      </w:r>
      <w:r>
        <w:rPr>
          <w:rFonts w:ascii="Times" w:hAnsi="Times"/>
          <w:sz w:val="20"/>
          <w:szCs w:val="20"/>
          <w:lang w:val="en-GB"/>
        </w:rPr>
        <w:t xml:space="preserve"> </w:t>
      </w:r>
      <w:r>
        <w:rPr>
          <w:rFonts w:ascii="Times" w:hAnsi="Times" w:cs="Times"/>
        </w:rPr>
        <w:t>samples</w:t>
      </w:r>
      <w:proofErr w:type="gramEnd"/>
      <w:r>
        <w:rPr>
          <w:rFonts w:ascii="Times" w:hAnsi="Times" w:cs="Times"/>
        </w:rPr>
        <w:t xml:space="preserve"> begins breaking down at this stage and elements from this phase begin diffusing into the leachate.</w:t>
      </w:r>
    </w:p>
    <w:p w14:paraId="6CC453C6" w14:textId="55534779" w:rsidR="00A2570F" w:rsidRDefault="00A2570F" w:rsidP="00A2570F">
      <w:pPr>
        <w:widowControl w:val="0"/>
        <w:autoSpaceDE w:val="0"/>
        <w:autoSpaceDN w:val="0"/>
        <w:adjustRightInd w:val="0"/>
        <w:spacing w:after="240" w:line="480" w:lineRule="exact"/>
        <w:jc w:val="both"/>
        <w:rPr>
          <w:rFonts w:ascii="Times" w:hAnsi="Times" w:cs="Times"/>
        </w:rPr>
      </w:pPr>
      <w:r>
        <w:rPr>
          <w:rFonts w:ascii="Times" w:hAnsi="Times" w:cs="Times"/>
        </w:rPr>
        <w:t xml:space="preserve"> The leaching of strontium has shown some similar patterns that correspond with the decrease of CAN</w:t>
      </w:r>
      <w:r w:rsidR="00924837">
        <w:rPr>
          <w:rFonts w:ascii="Times" w:hAnsi="Times" w:cs="Times"/>
        </w:rPr>
        <w:t xml:space="preserve">. </w:t>
      </w:r>
      <w:r>
        <w:rPr>
          <w:rFonts w:ascii="Times" w:hAnsi="Times" w:cs="Times"/>
        </w:rPr>
        <w:t xml:space="preserve">These samples also showed, over the duration of the leaching process that the Cs has a much higher leaching rate than the Ca. Therefore, degradation and in turn aging of the </w:t>
      </w:r>
      <m:oMath>
        <m:acc>
          <m:accPr>
            <m:chr m:val="̅"/>
            <m:ctrlPr>
              <w:rPr>
                <w:rFonts w:ascii="Cambria Math" w:hAnsi="Cambria Math" w:cs="Arial"/>
                <w:i/>
                <w:sz w:val="36"/>
                <w:szCs w:val="36"/>
              </w:rPr>
            </m:ctrlPr>
          </m:accPr>
          <m:e>
            <m:r>
              <m:rPr>
                <m:sty m:val="p"/>
              </m:rPr>
              <w:rPr>
                <w:rFonts w:ascii="Cambria Math" w:hAnsi="Cambria Math" w:cs="Arial"/>
                <w:sz w:val="36"/>
                <w:szCs w:val="36"/>
              </w:rPr>
              <m:t>cs</m:t>
            </m:r>
          </m:e>
        </m:acc>
      </m:oMath>
      <w:proofErr w:type="gramStart"/>
      <w:r>
        <w:rPr>
          <w:rFonts w:ascii="Times" w:hAnsi="Times" w:cs="Times New Roman"/>
        </w:rPr>
        <w:t xml:space="preserve"> </w:t>
      </w:r>
      <w:r>
        <w:rPr>
          <w:rFonts w:ascii="Times" w:hAnsi="Times"/>
          <w:sz w:val="20"/>
          <w:szCs w:val="20"/>
          <w:lang w:val="en-GB"/>
        </w:rPr>
        <w:t xml:space="preserve"> </w:t>
      </w:r>
      <w:r>
        <w:rPr>
          <w:rFonts w:ascii="Times" w:hAnsi="Times" w:cs="Times"/>
        </w:rPr>
        <w:t>samples</w:t>
      </w:r>
      <w:proofErr w:type="gramEnd"/>
      <w:r>
        <w:rPr>
          <w:rFonts w:ascii="Times" w:hAnsi="Times" w:cs="Times"/>
        </w:rPr>
        <w:t xml:space="preserve"> occurred much more rapidly. </w:t>
      </w:r>
      <w:r w:rsidR="00924837">
        <w:rPr>
          <w:rFonts w:ascii="Times" w:hAnsi="Times" w:cs="Times"/>
        </w:rPr>
        <w:t xml:space="preserve">The high amounts of Cs in leachate in comparison to Ca indicate </w:t>
      </w:r>
      <w:r>
        <w:rPr>
          <w:rFonts w:ascii="Times" w:hAnsi="Times" w:cs="Times"/>
        </w:rPr>
        <w:t>that Ca from further within the sample does not leach out until the Cs is completely depleted</w:t>
      </w:r>
      <w:r w:rsidR="0070286C">
        <w:rPr>
          <w:rFonts w:ascii="Times" w:hAnsi="Times" w:cs="Times"/>
        </w:rPr>
        <w:t xml:space="preserve">. </w:t>
      </w:r>
      <w:r>
        <w:rPr>
          <w:rFonts w:ascii="Times" w:hAnsi="Times" w:cs="Times"/>
        </w:rPr>
        <w:t xml:space="preserve">After 6 months up to 15mm of the both samples is breached by the leachate. As the ions diffused into the leachate a network of pores was created allowing increased permeability at further depths. </w:t>
      </w:r>
      <w:proofErr w:type="gramStart"/>
      <w:r>
        <w:rPr>
          <w:rFonts w:ascii="Times" w:hAnsi="Times" w:cs="Times"/>
        </w:rPr>
        <w:t>This lead to more degradation of the cement.</w:t>
      </w:r>
      <w:proofErr w:type="gramEnd"/>
      <w:r>
        <w:rPr>
          <w:rFonts w:ascii="Times" w:hAnsi="Times" w:cs="Times"/>
        </w:rPr>
        <w:t xml:space="preserve"> It was also found that the Portlandite phase began to breakdown before the C-S-H in correspondence with past research. Once the C-S-H did breakdown, the gel deposits were found on the surface of the samples. The deposits acted like a barrier between the leachate and the sample, reducing ion diffusion and contact area between solution and cement. The increased amounts of   C-S-H detected could also by explained by a </w:t>
      </w:r>
      <w:r>
        <w:rPr>
          <w:rFonts w:ascii="Times" w:hAnsi="Times" w:cs="Times"/>
        </w:rPr>
        <w:lastRenderedPageBreak/>
        <w:t>re-</w:t>
      </w:r>
      <w:r w:rsidR="006D108B">
        <w:rPr>
          <w:rFonts w:ascii="Times" w:hAnsi="Times" w:cs="Times"/>
        </w:rPr>
        <w:t>activation</w:t>
      </w:r>
      <w:r>
        <w:rPr>
          <w:rFonts w:ascii="Times" w:hAnsi="Times" w:cs="Times"/>
        </w:rPr>
        <w:t xml:space="preserve"> of hydration and thus more C-S-H was being produced as time progressed. </w:t>
      </w:r>
    </w:p>
    <w:p w14:paraId="25E69962" w14:textId="031D1F08" w:rsidR="006E1747" w:rsidRDefault="00A2570F" w:rsidP="00A2570F">
      <w:pPr>
        <w:widowControl w:val="0"/>
        <w:autoSpaceDE w:val="0"/>
        <w:autoSpaceDN w:val="0"/>
        <w:adjustRightInd w:val="0"/>
        <w:spacing w:after="240" w:line="480" w:lineRule="exact"/>
        <w:jc w:val="both"/>
        <w:rPr>
          <w:rFonts w:ascii="Times" w:hAnsi="Times" w:cs="Times"/>
        </w:rPr>
      </w:pPr>
      <w:r>
        <w:rPr>
          <w:rFonts w:ascii="Times" w:hAnsi="Times" w:cs="Times"/>
        </w:rPr>
        <w:t>In the early stages of the leaching CsNO</w:t>
      </w:r>
      <w:r>
        <w:rPr>
          <w:rFonts w:ascii="Times" w:hAnsi="Times" w:cs="Times"/>
          <w:vertAlign w:val="subscript"/>
        </w:rPr>
        <w:t>3</w:t>
      </w:r>
      <w:r>
        <w:rPr>
          <w:rFonts w:ascii="Times" w:hAnsi="Times" w:cs="Times"/>
        </w:rPr>
        <w:t xml:space="preserve"> was not detected by several analysis methods, suggesting that this had leached out of the sample very rapidly. </w:t>
      </w:r>
      <w:r w:rsidR="006E1747">
        <w:rPr>
          <w:rFonts w:ascii="Times" w:hAnsi="Times" w:cs="Times"/>
        </w:rPr>
        <w:t xml:space="preserve"> This rapid initial leaching increased the porosity and in turn the surface area of cement exposed to leachate. As a result more elements diffused into solution therefore compromising the structural integrity of the cement.  Therefore the poorly retained Cs within the cement not only poses a concern in terms of its highly mobile nature, but it also leaves behind very structurally weak and vulnerable sample which will break down more easily than a sample not containing Cs. </w:t>
      </w:r>
    </w:p>
    <w:p w14:paraId="5A9FD0E4" w14:textId="77777777" w:rsidR="00ED736B" w:rsidRPr="00A2570F" w:rsidRDefault="00ED736B" w:rsidP="00A2570F">
      <w:pPr>
        <w:widowControl w:val="0"/>
        <w:autoSpaceDE w:val="0"/>
        <w:autoSpaceDN w:val="0"/>
        <w:adjustRightInd w:val="0"/>
        <w:spacing w:after="240" w:line="480" w:lineRule="exact"/>
        <w:jc w:val="both"/>
        <w:rPr>
          <w:rFonts w:ascii="Times" w:hAnsi="Times" w:cs="Times"/>
        </w:rPr>
      </w:pPr>
    </w:p>
    <w:p w14:paraId="6592F400" w14:textId="77777777" w:rsidR="00A2570F" w:rsidRPr="002D06B3" w:rsidRDefault="00A2570F" w:rsidP="00A2570F">
      <w:pPr>
        <w:spacing w:before="240" w:after="120" w:line="360" w:lineRule="auto"/>
        <w:rPr>
          <w:rFonts w:ascii="Times New Roman" w:hAnsi="Times New Roman" w:cs="Times New Roman"/>
          <w:b/>
          <w:bCs/>
          <w:smallCaps/>
          <w:sz w:val="32"/>
          <w:szCs w:val="32"/>
          <w:u w:val="single"/>
        </w:rPr>
      </w:pPr>
      <w:r w:rsidRPr="002D06B3">
        <w:rPr>
          <w:rFonts w:ascii="Times New Roman" w:hAnsi="Times New Roman" w:cs="Times New Roman"/>
          <w:b/>
          <w:bCs/>
          <w:smallCaps/>
          <w:sz w:val="32"/>
          <w:szCs w:val="32"/>
          <w:u w:val="single"/>
        </w:rPr>
        <w:t xml:space="preserve">5.4 </w:t>
      </w:r>
      <w:r>
        <w:rPr>
          <w:rFonts w:ascii="Times New Roman" w:hAnsi="Times New Roman" w:cs="Times New Roman"/>
          <w:b/>
          <w:bCs/>
          <w:smallCaps/>
          <w:sz w:val="32"/>
          <w:szCs w:val="32"/>
          <w:u w:val="single"/>
        </w:rPr>
        <w:tab/>
      </w:r>
      <w:r w:rsidRPr="002D06B3">
        <w:rPr>
          <w:rFonts w:ascii="Times New Roman" w:hAnsi="Times New Roman" w:cs="Times New Roman"/>
          <w:b/>
          <w:bCs/>
          <w:smallCaps/>
          <w:sz w:val="32"/>
          <w:szCs w:val="32"/>
          <w:u w:val="single"/>
        </w:rPr>
        <w:t>Incorporation Of Cs &amp; Sr In Bfs</w:t>
      </w:r>
      <w:proofErr w:type="gramStart"/>
      <w:r w:rsidRPr="002D06B3">
        <w:rPr>
          <w:rFonts w:ascii="Times New Roman" w:hAnsi="Times New Roman" w:cs="Times New Roman"/>
          <w:b/>
          <w:bCs/>
          <w:smallCaps/>
          <w:sz w:val="32"/>
          <w:szCs w:val="32"/>
          <w:u w:val="single"/>
        </w:rPr>
        <w:t>:Pc</w:t>
      </w:r>
      <w:proofErr w:type="gramEnd"/>
      <w:r w:rsidRPr="002D06B3">
        <w:rPr>
          <w:rFonts w:ascii="Times New Roman" w:hAnsi="Times New Roman" w:cs="Times New Roman"/>
          <w:b/>
          <w:bCs/>
          <w:smallCaps/>
          <w:sz w:val="32"/>
          <w:szCs w:val="32"/>
          <w:u w:val="single"/>
        </w:rPr>
        <w:t xml:space="preserve"> Cement</w:t>
      </w:r>
    </w:p>
    <w:p w14:paraId="51A795F7" w14:textId="0F3C3945" w:rsidR="00A2570F" w:rsidRDefault="00A2570F" w:rsidP="00A2570F">
      <w:pPr>
        <w:spacing w:before="240" w:after="120" w:line="360" w:lineRule="auto"/>
        <w:jc w:val="both"/>
        <w:rPr>
          <w:rFonts w:ascii="Times" w:hAnsi="Times" w:cs="Times New Roman"/>
          <w:bCs/>
          <w:iCs/>
        </w:rPr>
      </w:pPr>
      <w:r>
        <w:rPr>
          <w:rFonts w:ascii="Times" w:hAnsi="Times" w:cs="Times"/>
          <w:sz w:val="26"/>
          <w:szCs w:val="26"/>
        </w:rPr>
        <w:t xml:space="preserve">The behavior </w:t>
      </w:r>
      <w:r w:rsidR="00ED736B">
        <w:rPr>
          <w:rFonts w:ascii="Times" w:hAnsi="Times" w:cs="Times"/>
          <w:sz w:val="26"/>
          <w:szCs w:val="26"/>
        </w:rPr>
        <w:t>between</w:t>
      </w:r>
      <w:r>
        <w:rPr>
          <w:rFonts w:ascii="Times" w:hAnsi="Times" w:cs="Times"/>
          <w:sz w:val="26"/>
          <w:szCs w:val="26"/>
        </w:rPr>
        <w:t xml:space="preserve"> CsNO</w:t>
      </w:r>
      <w:r>
        <w:rPr>
          <w:rFonts w:ascii="Times" w:hAnsi="Times" w:cs="Times"/>
          <w:sz w:val="26"/>
          <w:szCs w:val="26"/>
          <w:vertAlign w:val="subscript"/>
        </w:rPr>
        <w:t xml:space="preserve">3 </w:t>
      </w:r>
      <w:r>
        <w:rPr>
          <w:rFonts w:ascii="Times" w:hAnsi="Times" w:cs="Times New Roman"/>
          <w:bCs/>
          <w:iCs/>
        </w:rPr>
        <w:t xml:space="preserve">and </w:t>
      </w:r>
      <w:proofErr w:type="gramStart"/>
      <w:r>
        <w:rPr>
          <w:rFonts w:ascii="Times" w:hAnsi="Times" w:cs="Times New Roman"/>
          <w:bCs/>
          <w:iCs/>
        </w:rPr>
        <w:t>Sr(</w:t>
      </w:r>
      <w:proofErr w:type="gramEnd"/>
      <w:r>
        <w:rPr>
          <w:rFonts w:ascii="Times" w:hAnsi="Times" w:cs="Times New Roman"/>
          <w:bCs/>
          <w:iCs/>
        </w:rPr>
        <w:t>NO</w:t>
      </w:r>
      <w:r>
        <w:rPr>
          <w:rFonts w:ascii="Times" w:hAnsi="Times" w:cs="Times New Roman"/>
          <w:bCs/>
          <w:iCs/>
          <w:vertAlign w:val="subscript"/>
        </w:rPr>
        <w:t>3</w:t>
      </w:r>
      <w:r>
        <w:rPr>
          <w:rFonts w:ascii="Times" w:hAnsi="Times" w:cs="Times New Roman"/>
          <w:bCs/>
          <w:iCs/>
        </w:rPr>
        <w:t>)</w:t>
      </w:r>
      <w:r>
        <w:rPr>
          <w:rFonts w:ascii="Times" w:hAnsi="Times" w:cs="Times New Roman"/>
          <w:bCs/>
          <w:iCs/>
          <w:vertAlign w:val="subscript"/>
        </w:rPr>
        <w:t>2</w:t>
      </w:r>
      <w:r>
        <w:rPr>
          <w:rFonts w:ascii="Times" w:hAnsi="Times" w:cs="Times New Roman"/>
          <w:bCs/>
          <w:iCs/>
        </w:rPr>
        <w:t xml:space="preserve"> when introduced into a BFS:PC matrix differs significantly.  The Cs does not seem to be chemically incorporated, as CsNO</w:t>
      </w:r>
      <w:r>
        <w:rPr>
          <w:rFonts w:ascii="Times" w:hAnsi="Times" w:cs="Times New Roman"/>
          <w:bCs/>
          <w:iCs/>
          <w:vertAlign w:val="subscript"/>
        </w:rPr>
        <w:t>3</w:t>
      </w:r>
      <w:r>
        <w:rPr>
          <w:rFonts w:ascii="Times" w:hAnsi="Times" w:cs="Times New Roman"/>
          <w:bCs/>
          <w:iCs/>
        </w:rPr>
        <w:t xml:space="preserve"> is present during the hydration after which it is encapsulated within the hardened cement. As a result of this the cement crystal structure and phase assemblage is not altered. Due to encapsulation as opposed to immobilisation of this element the leaching rates of Cs are significantly higher than any of the other elements in the cement. The combination of Sr with Cs in the cement matrix caused a decrease in the Cs leaching rates due to a decrease in porosity caused by the Sr.</w:t>
      </w:r>
    </w:p>
    <w:p w14:paraId="25310923" w14:textId="146DCADD" w:rsidR="00A2570F" w:rsidRDefault="00A2570F" w:rsidP="00A2570F">
      <w:pPr>
        <w:spacing w:before="240" w:after="120" w:line="360" w:lineRule="auto"/>
        <w:jc w:val="both"/>
        <w:rPr>
          <w:rFonts w:ascii="Times" w:hAnsi="Times" w:cs="Times New Roman"/>
          <w:bCs/>
          <w:iCs/>
        </w:rPr>
      </w:pPr>
      <w:r>
        <w:rPr>
          <w:rFonts w:ascii="Times" w:hAnsi="Times" w:cs="Times New Roman"/>
          <w:bCs/>
          <w:iCs/>
        </w:rPr>
        <w:t xml:space="preserve"> On the other hand the </w:t>
      </w:r>
      <w:proofErr w:type="gramStart"/>
      <w:r>
        <w:rPr>
          <w:rFonts w:ascii="Times" w:hAnsi="Times" w:cs="Times New Roman"/>
          <w:bCs/>
          <w:iCs/>
        </w:rPr>
        <w:t>Sr(</w:t>
      </w:r>
      <w:proofErr w:type="gramEnd"/>
      <w:r>
        <w:rPr>
          <w:rFonts w:ascii="Times" w:hAnsi="Times" w:cs="Times New Roman"/>
          <w:bCs/>
          <w:iCs/>
        </w:rPr>
        <w:t>NO</w:t>
      </w:r>
      <w:r>
        <w:rPr>
          <w:rFonts w:ascii="Times" w:hAnsi="Times" w:cs="Times New Roman"/>
          <w:bCs/>
          <w:iCs/>
          <w:vertAlign w:val="subscript"/>
        </w:rPr>
        <w:t>3</w:t>
      </w:r>
      <w:r>
        <w:rPr>
          <w:rFonts w:ascii="Times" w:hAnsi="Times" w:cs="Times New Roman"/>
          <w:bCs/>
          <w:iCs/>
        </w:rPr>
        <w:t>)</w:t>
      </w:r>
      <w:r>
        <w:rPr>
          <w:rFonts w:ascii="Times" w:hAnsi="Times" w:cs="Times New Roman"/>
          <w:bCs/>
          <w:iCs/>
          <w:vertAlign w:val="subscript"/>
        </w:rPr>
        <w:t>2</w:t>
      </w:r>
      <w:r>
        <w:rPr>
          <w:rFonts w:ascii="Times" w:hAnsi="Times" w:cs="Times New Roman"/>
          <w:bCs/>
          <w:iCs/>
        </w:rPr>
        <w:t xml:space="preserve"> is not present, as no evidence of its presence was found from all analysis methods done, and the cement phase assemblage is altered. The portlandite phase is not formed but a </w:t>
      </w:r>
      <w:proofErr w:type="gramStart"/>
      <w:r>
        <w:rPr>
          <w:rFonts w:ascii="Times" w:hAnsi="Times" w:cs="Times New Roman"/>
          <w:bCs/>
          <w:iCs/>
        </w:rPr>
        <w:t>new nitrated</w:t>
      </w:r>
      <w:proofErr w:type="gramEnd"/>
      <w:r>
        <w:rPr>
          <w:rFonts w:ascii="Times" w:hAnsi="Times" w:cs="Times New Roman"/>
          <w:bCs/>
          <w:iCs/>
        </w:rPr>
        <w:t xml:space="preserve"> AF</w:t>
      </w:r>
      <w:r>
        <w:rPr>
          <w:rFonts w:ascii="Times" w:hAnsi="Times" w:cs="Times New Roman"/>
          <w:bCs/>
          <w:iCs/>
          <w:vertAlign w:val="subscript"/>
        </w:rPr>
        <w:t xml:space="preserve">m </w:t>
      </w:r>
      <w:r>
        <w:rPr>
          <w:rFonts w:ascii="Times" w:hAnsi="Times" w:cs="Times New Roman"/>
          <w:bCs/>
          <w:iCs/>
        </w:rPr>
        <w:t>phase is formed (referred to as CAN). This is due to the NO</w:t>
      </w:r>
      <w:r>
        <w:rPr>
          <w:rFonts w:ascii="Times" w:hAnsi="Times" w:cs="Times New Roman"/>
          <w:bCs/>
          <w:iCs/>
          <w:vertAlign w:val="subscript"/>
        </w:rPr>
        <w:t>3</w:t>
      </w:r>
      <w:r>
        <w:rPr>
          <w:rFonts w:ascii="Times" w:hAnsi="Times" w:cs="Times New Roman"/>
          <w:bCs/>
          <w:iCs/>
          <w:vertAlign w:val="superscript"/>
        </w:rPr>
        <w:t xml:space="preserve">- </w:t>
      </w:r>
      <w:r>
        <w:rPr>
          <w:rFonts w:ascii="Times" w:hAnsi="Times" w:cs="Times New Roman"/>
          <w:bCs/>
          <w:iCs/>
        </w:rPr>
        <w:t>substituting for the SO</w:t>
      </w:r>
      <w:r>
        <w:rPr>
          <w:rFonts w:ascii="Times" w:hAnsi="Times" w:cs="Times New Roman"/>
          <w:bCs/>
          <w:iCs/>
          <w:vertAlign w:val="subscript"/>
        </w:rPr>
        <w:t>4</w:t>
      </w:r>
      <w:r w:rsidR="00660314">
        <w:rPr>
          <w:rFonts w:ascii="Times" w:hAnsi="Times" w:cs="Times New Roman"/>
          <w:bCs/>
          <w:iCs/>
          <w:vertAlign w:val="superscript"/>
        </w:rPr>
        <w:t>2</w:t>
      </w:r>
      <w:proofErr w:type="gramStart"/>
      <w:r w:rsidR="00660314">
        <w:rPr>
          <w:rFonts w:ascii="Times" w:hAnsi="Times" w:cs="Times New Roman"/>
          <w:bCs/>
          <w:iCs/>
          <w:vertAlign w:val="superscript"/>
        </w:rPr>
        <w:t>-</w:t>
      </w:r>
      <w:r>
        <w:rPr>
          <w:rFonts w:ascii="Times" w:hAnsi="Times" w:cs="Times New Roman"/>
          <w:bCs/>
          <w:iCs/>
          <w:vertAlign w:val="superscript"/>
        </w:rPr>
        <w:t xml:space="preserve"> </w:t>
      </w:r>
      <w:r>
        <w:rPr>
          <w:rFonts w:ascii="Times" w:hAnsi="Times" w:cs="Times New Roman"/>
          <w:bCs/>
          <w:iCs/>
        </w:rPr>
        <w:t xml:space="preserve"> and</w:t>
      </w:r>
      <w:proofErr w:type="gramEnd"/>
      <w:r>
        <w:rPr>
          <w:rFonts w:ascii="Times" w:hAnsi="Times" w:cs="Times New Roman"/>
          <w:bCs/>
          <w:iCs/>
        </w:rPr>
        <w:t xml:space="preserve"> the Sr</w:t>
      </w:r>
      <w:r>
        <w:rPr>
          <w:rFonts w:ascii="Times" w:hAnsi="Times" w:cs="Times New Roman"/>
          <w:bCs/>
          <w:iCs/>
          <w:vertAlign w:val="superscript"/>
        </w:rPr>
        <w:t xml:space="preserve">2+ </w:t>
      </w:r>
      <w:r>
        <w:rPr>
          <w:rFonts w:ascii="Times" w:hAnsi="Times" w:cs="Times New Roman"/>
          <w:bCs/>
          <w:iCs/>
        </w:rPr>
        <w:t>substituting for the Ca</w:t>
      </w:r>
      <w:r>
        <w:rPr>
          <w:rFonts w:ascii="Times" w:hAnsi="Times" w:cs="Times New Roman"/>
          <w:bCs/>
          <w:iCs/>
          <w:vertAlign w:val="superscript"/>
        </w:rPr>
        <w:t>2+</w:t>
      </w:r>
      <w:r>
        <w:rPr>
          <w:rFonts w:ascii="Times" w:hAnsi="Times" w:cs="Times New Roman"/>
          <w:bCs/>
          <w:iCs/>
        </w:rPr>
        <w:t xml:space="preserve">. A synthesis of the AFm phase mixed with </w:t>
      </w:r>
      <w:proofErr w:type="gramStart"/>
      <w:r>
        <w:rPr>
          <w:rFonts w:ascii="Times" w:hAnsi="Times" w:cs="Times New Roman"/>
          <w:bCs/>
          <w:iCs/>
        </w:rPr>
        <w:t>Sr(</w:t>
      </w:r>
      <w:proofErr w:type="gramEnd"/>
      <w:r>
        <w:rPr>
          <w:rFonts w:ascii="Times" w:hAnsi="Times" w:cs="Times New Roman"/>
          <w:bCs/>
          <w:iCs/>
        </w:rPr>
        <w:t>NO</w:t>
      </w:r>
      <w:r>
        <w:rPr>
          <w:rFonts w:ascii="Times" w:hAnsi="Times" w:cs="Times New Roman"/>
          <w:bCs/>
          <w:iCs/>
          <w:vertAlign w:val="subscript"/>
        </w:rPr>
        <w:t>3</w:t>
      </w:r>
      <w:r>
        <w:rPr>
          <w:rFonts w:ascii="Times" w:hAnsi="Times" w:cs="Times New Roman"/>
          <w:bCs/>
          <w:iCs/>
        </w:rPr>
        <w:t>)</w:t>
      </w:r>
      <w:r>
        <w:rPr>
          <w:rFonts w:ascii="Times" w:hAnsi="Times" w:cs="Times New Roman"/>
          <w:bCs/>
          <w:iCs/>
          <w:vertAlign w:val="subscript"/>
        </w:rPr>
        <w:t>2</w:t>
      </w:r>
      <w:r>
        <w:rPr>
          <w:rFonts w:ascii="Times" w:hAnsi="Times" w:cs="Times New Roman"/>
          <w:bCs/>
          <w:iCs/>
        </w:rPr>
        <w:t xml:space="preserve"> confirmed this. This CAN phase is produced in larger amounts than the AFm phase in the blank series and this could explain the absence of the portlandite phase, as more Ca is required for the CAN phase production. This better immobilisation of Sr resulted in a decreased </w:t>
      </w:r>
      <w:r>
        <w:rPr>
          <w:rFonts w:ascii="Times" w:hAnsi="Times" w:cs="Times New Roman"/>
          <w:bCs/>
          <w:iCs/>
        </w:rPr>
        <w:lastRenderedPageBreak/>
        <w:t xml:space="preserve">leaching rate when compared to Cs. The C-S-H phases were also altered when Sr was introduced, wherein Si was substituted for Al in </w:t>
      </w:r>
      <w:proofErr w:type="gramStart"/>
      <w:r>
        <w:rPr>
          <w:rFonts w:ascii="Times" w:hAnsi="Times" w:cs="Times New Roman"/>
          <w:bCs/>
          <w:iCs/>
        </w:rPr>
        <w:t>forming  Al</w:t>
      </w:r>
      <w:proofErr w:type="gramEnd"/>
      <w:r>
        <w:rPr>
          <w:rFonts w:ascii="Times" w:hAnsi="Times" w:cs="Times New Roman"/>
          <w:bCs/>
          <w:iCs/>
        </w:rPr>
        <w:t xml:space="preserve"> tetrahedral sites in the   C-S-H chain. The Sr retention seems to only occur when added in the nitrate form adding it in the hydroxide form resulted in </w:t>
      </w:r>
      <w:proofErr w:type="gramStart"/>
      <w:r w:rsidRPr="00452AFB">
        <w:rPr>
          <w:rFonts w:ascii="Times" w:hAnsi="Times" w:cs="Times New Roman"/>
          <w:bCs/>
          <w:iCs/>
        </w:rPr>
        <w:t>Sr</w:t>
      </w:r>
      <w:r>
        <w:rPr>
          <w:rFonts w:ascii="Times" w:hAnsi="Times" w:cs="Times New Roman"/>
          <w:bCs/>
          <w:iCs/>
        </w:rPr>
        <w:t>(</w:t>
      </w:r>
      <w:proofErr w:type="gramEnd"/>
      <w:r w:rsidRPr="00452AFB">
        <w:rPr>
          <w:rFonts w:ascii="Times" w:hAnsi="Times" w:cs="Times New Roman"/>
          <w:bCs/>
          <w:iCs/>
        </w:rPr>
        <w:t>OH</w:t>
      </w:r>
      <w:r>
        <w:rPr>
          <w:rFonts w:ascii="Times" w:hAnsi="Times" w:cs="Times New Roman"/>
          <w:bCs/>
          <w:iCs/>
        </w:rPr>
        <w:t>)</w:t>
      </w:r>
      <w:r>
        <w:rPr>
          <w:rFonts w:ascii="Times" w:hAnsi="Times" w:cs="Times New Roman"/>
          <w:bCs/>
          <w:iCs/>
          <w:vertAlign w:val="subscript"/>
        </w:rPr>
        <w:t>2</w:t>
      </w:r>
      <w:r>
        <w:rPr>
          <w:rFonts w:ascii="Times" w:hAnsi="Times" w:cs="Times New Roman"/>
          <w:bCs/>
          <w:iCs/>
        </w:rPr>
        <w:t xml:space="preserve"> being formed during hydration due to the OH</w:t>
      </w:r>
      <w:r>
        <w:rPr>
          <w:rFonts w:ascii="Times" w:hAnsi="Times" w:cs="Times New Roman"/>
          <w:bCs/>
          <w:iCs/>
          <w:vertAlign w:val="superscript"/>
        </w:rPr>
        <w:t>-</w:t>
      </w:r>
      <w:r>
        <w:rPr>
          <w:rFonts w:ascii="Times" w:hAnsi="Times" w:cs="Times New Roman"/>
          <w:bCs/>
          <w:iCs/>
        </w:rPr>
        <w:t xml:space="preserve"> retarding the formation of any AF</w:t>
      </w:r>
      <w:r>
        <w:rPr>
          <w:rFonts w:ascii="Times" w:hAnsi="Times" w:cs="Times New Roman"/>
          <w:bCs/>
          <w:iCs/>
          <w:vertAlign w:val="subscript"/>
        </w:rPr>
        <w:softHyphen/>
      </w:r>
      <w:r>
        <w:rPr>
          <w:rFonts w:ascii="Times" w:hAnsi="Times" w:cs="Times New Roman"/>
          <w:bCs/>
          <w:iCs/>
        </w:rPr>
        <w:t>t/AF</w:t>
      </w:r>
      <w:r w:rsidRPr="00A23E02">
        <w:rPr>
          <w:rFonts w:ascii="Times" w:hAnsi="Times" w:cs="Times New Roman"/>
          <w:bCs/>
          <w:iCs/>
        </w:rPr>
        <w:t>m</w:t>
      </w:r>
      <w:r>
        <w:rPr>
          <w:rFonts w:ascii="Times" w:hAnsi="Times" w:cs="Times New Roman"/>
          <w:bCs/>
          <w:iCs/>
        </w:rPr>
        <w:t xml:space="preserve"> phases</w:t>
      </w:r>
      <w:r w:rsidR="000D6B2A">
        <w:rPr>
          <w:rFonts w:ascii="Times" w:hAnsi="Times" w:cs="Times New Roman"/>
          <w:bCs/>
          <w:iCs/>
        </w:rPr>
        <w:t xml:space="preserve"> and/or promoting the formation of other phases</w:t>
      </w:r>
      <w:r>
        <w:rPr>
          <w:rFonts w:ascii="Times" w:hAnsi="Times" w:cs="Times New Roman"/>
          <w:bCs/>
          <w:iCs/>
        </w:rPr>
        <w:t xml:space="preserve">, which are responsible for retaining the Sr. </w:t>
      </w:r>
    </w:p>
    <w:p w14:paraId="3AF48A17" w14:textId="1241D326" w:rsidR="00A2570F" w:rsidRDefault="00A2570F" w:rsidP="00A2570F">
      <w:pPr>
        <w:spacing w:before="240" w:after="120" w:line="360" w:lineRule="auto"/>
        <w:jc w:val="both"/>
        <w:rPr>
          <w:rFonts w:ascii="Times" w:hAnsi="Times" w:cs="Times New Roman"/>
          <w:bCs/>
          <w:iCs/>
        </w:rPr>
      </w:pPr>
      <w:r>
        <w:rPr>
          <w:rFonts w:ascii="Times" w:hAnsi="Times" w:cs="Times New Roman"/>
          <w:bCs/>
          <w:iCs/>
        </w:rPr>
        <w:t xml:space="preserve">The leaching rates of Ca were much higher in the waste loaded samples when compared to the blank series, The Al leaching rates of the waste loaded samples were </w:t>
      </w:r>
      <w:r w:rsidR="004A7EDC">
        <w:rPr>
          <w:rFonts w:ascii="Times" w:hAnsi="Times" w:cs="Times New Roman"/>
          <w:bCs/>
          <w:iCs/>
        </w:rPr>
        <w:t xml:space="preserve">only </w:t>
      </w:r>
      <w:r w:rsidR="004141C5">
        <w:rPr>
          <w:rFonts w:ascii="Times" w:hAnsi="Times" w:cs="Times New Roman"/>
          <w:bCs/>
          <w:iCs/>
        </w:rPr>
        <w:t>slightly</w:t>
      </w:r>
      <w:r w:rsidR="004A7EDC">
        <w:rPr>
          <w:rFonts w:ascii="Times" w:hAnsi="Times" w:cs="Times New Roman"/>
          <w:bCs/>
          <w:iCs/>
        </w:rPr>
        <w:t xml:space="preserve"> </w:t>
      </w:r>
      <w:r>
        <w:rPr>
          <w:rFonts w:ascii="Times" w:hAnsi="Times" w:cs="Times New Roman"/>
          <w:bCs/>
          <w:iCs/>
        </w:rPr>
        <w:t xml:space="preserve">higher than in the blank series, </w:t>
      </w:r>
      <w:r w:rsidR="004A7EDC">
        <w:rPr>
          <w:rFonts w:ascii="Times" w:hAnsi="Times" w:cs="Times New Roman"/>
          <w:bCs/>
          <w:iCs/>
        </w:rPr>
        <w:t xml:space="preserve">and </w:t>
      </w:r>
      <w:r>
        <w:rPr>
          <w:rFonts w:ascii="Times" w:hAnsi="Times" w:cs="Times New Roman"/>
          <w:bCs/>
          <w:iCs/>
        </w:rPr>
        <w:t xml:space="preserve">the leaching rate followed a similar </w:t>
      </w:r>
      <w:r w:rsidR="004141C5">
        <w:rPr>
          <w:rFonts w:ascii="Times" w:hAnsi="Times" w:cs="Times New Roman"/>
          <w:bCs/>
          <w:iCs/>
        </w:rPr>
        <w:t>pattern</w:t>
      </w:r>
      <w:r>
        <w:rPr>
          <w:rFonts w:ascii="Times" w:hAnsi="Times" w:cs="Times New Roman"/>
          <w:bCs/>
          <w:iCs/>
        </w:rPr>
        <w:t xml:space="preserve"> of behaviour as of leaching Al in the blank.  </w:t>
      </w:r>
      <w:r w:rsidR="00121427">
        <w:rPr>
          <w:rFonts w:ascii="Times" w:hAnsi="Times" w:cs="Times New Roman"/>
          <w:bCs/>
          <w:iCs/>
        </w:rPr>
        <w:t xml:space="preserve">However leaching rate of the Sr was much higher than that of Ca in the blank sample, if the Sr </w:t>
      </w:r>
      <w:proofErr w:type="gramStart"/>
      <w:r w:rsidR="00121427">
        <w:rPr>
          <w:rFonts w:ascii="Times" w:hAnsi="Times" w:cs="Times New Roman"/>
          <w:bCs/>
          <w:iCs/>
        </w:rPr>
        <w:t>was</w:t>
      </w:r>
      <w:proofErr w:type="gramEnd"/>
      <w:r w:rsidR="00121427">
        <w:rPr>
          <w:rFonts w:ascii="Times" w:hAnsi="Times" w:cs="Times New Roman"/>
          <w:bCs/>
          <w:iCs/>
        </w:rPr>
        <w:t xml:space="preserve"> exclusively retained within AFm type phases, a higher leaching rate of Al would be expected. </w:t>
      </w:r>
    </w:p>
    <w:p w14:paraId="209BFDD0" w14:textId="1B64C618" w:rsidR="004A7EDC" w:rsidRDefault="004A7EDC" w:rsidP="00A2570F">
      <w:pPr>
        <w:spacing w:before="240" w:after="120" w:line="360" w:lineRule="auto"/>
        <w:jc w:val="both"/>
        <w:rPr>
          <w:rFonts w:ascii="Times" w:hAnsi="Times" w:cs="Times New Roman"/>
          <w:bCs/>
          <w:iCs/>
        </w:rPr>
      </w:pPr>
      <w:r>
        <w:rPr>
          <w:rFonts w:ascii="Times" w:hAnsi="Times" w:cs="Times New Roman"/>
          <w:bCs/>
          <w:iCs/>
        </w:rPr>
        <w:t xml:space="preserve">In conclusion the Cs and Sr are retained differently within the cement. Cs was very poorly retained, predominantly being encapsulated in the form in which it was added. Strontium showed indications of being associated with AFm types phases as well as hydrogarnet and C-S-H suggesting that it could be retained in more than one phase. </w:t>
      </w:r>
    </w:p>
    <w:p w14:paraId="5353E01B" w14:textId="77777777" w:rsidR="00121427" w:rsidRDefault="00121427" w:rsidP="00A2570F">
      <w:pPr>
        <w:spacing w:before="240" w:after="120"/>
        <w:outlineLvl w:val="0"/>
        <w:rPr>
          <w:rFonts w:ascii="Times" w:hAnsi="Times" w:cs="Times New Roman"/>
          <w:b/>
          <w:bCs/>
          <w:smallCaps/>
          <w:sz w:val="36"/>
          <w:szCs w:val="28"/>
          <w:u w:val="single"/>
        </w:rPr>
      </w:pPr>
    </w:p>
    <w:p w14:paraId="5262710A" w14:textId="77777777" w:rsidR="00A2570F" w:rsidRDefault="00A2570F" w:rsidP="00A2570F">
      <w:pPr>
        <w:spacing w:before="240" w:after="120"/>
        <w:outlineLvl w:val="0"/>
        <w:rPr>
          <w:rFonts w:ascii="Times" w:hAnsi="Times" w:cs="Times New Roman"/>
          <w:b/>
          <w:bCs/>
          <w:smallCaps/>
          <w:sz w:val="36"/>
          <w:szCs w:val="28"/>
          <w:u w:val="single"/>
        </w:rPr>
      </w:pPr>
      <w:r>
        <w:rPr>
          <w:rFonts w:ascii="Times" w:hAnsi="Times" w:cs="Times New Roman"/>
          <w:b/>
          <w:bCs/>
          <w:smallCaps/>
          <w:sz w:val="36"/>
          <w:szCs w:val="28"/>
          <w:u w:val="single"/>
        </w:rPr>
        <w:t>5.5</w:t>
      </w:r>
      <w:r>
        <w:rPr>
          <w:rFonts w:ascii="Times" w:hAnsi="Times" w:cs="Times New Roman"/>
          <w:b/>
          <w:bCs/>
          <w:smallCaps/>
          <w:sz w:val="36"/>
          <w:szCs w:val="28"/>
          <w:u w:val="single"/>
        </w:rPr>
        <w:tab/>
        <w:t>Impact of ADVA-Cast 551 on Cementitious Waste forms</w:t>
      </w:r>
    </w:p>
    <w:p w14:paraId="259780EC" w14:textId="2F9884B4" w:rsidR="00A2570F" w:rsidRDefault="00A2570F" w:rsidP="00A2570F">
      <w:pPr>
        <w:spacing w:line="360" w:lineRule="auto"/>
        <w:jc w:val="both"/>
        <w:rPr>
          <w:rFonts w:ascii="Times" w:hAnsi="Times"/>
        </w:rPr>
      </w:pPr>
      <w:r>
        <w:rPr>
          <w:rFonts w:ascii="Times" w:hAnsi="Times"/>
        </w:rPr>
        <w:t xml:space="preserve">The effect of ADVA cast 551 (A551) on the diffusion of Ce and the interaction between the resultant solution and the NRVB backfill it would ultimately be exposed </w:t>
      </w:r>
      <w:proofErr w:type="gramStart"/>
      <w:r>
        <w:rPr>
          <w:rFonts w:ascii="Times" w:hAnsi="Times"/>
        </w:rPr>
        <w:t>to,</w:t>
      </w:r>
      <w:proofErr w:type="gramEnd"/>
      <w:r>
        <w:rPr>
          <w:rFonts w:ascii="Times" w:hAnsi="Times"/>
        </w:rPr>
        <w:t xml:space="preserve"> was investigated. The introduction of A551 enhanced cement paste fluidity</w:t>
      </w:r>
      <w:r w:rsidR="00121427">
        <w:rPr>
          <w:rFonts w:ascii="Times" w:hAnsi="Times"/>
        </w:rPr>
        <w:t xml:space="preserve"> when the same amounts of water were used in this experiment</w:t>
      </w:r>
      <w:r>
        <w:rPr>
          <w:rFonts w:ascii="Times" w:hAnsi="Times"/>
        </w:rPr>
        <w:t xml:space="preserve">, </w:t>
      </w:r>
      <w:r w:rsidR="00121427">
        <w:rPr>
          <w:rFonts w:ascii="Times" w:hAnsi="Times"/>
        </w:rPr>
        <w:t xml:space="preserve">therefore in </w:t>
      </w:r>
      <w:proofErr w:type="gramStart"/>
      <w:r w:rsidR="00121427">
        <w:rPr>
          <w:rFonts w:ascii="Times" w:hAnsi="Times"/>
        </w:rPr>
        <w:t xml:space="preserve">industry </w:t>
      </w:r>
      <w:r>
        <w:rPr>
          <w:rFonts w:ascii="Times" w:hAnsi="Times"/>
        </w:rPr>
        <w:t xml:space="preserve"> less</w:t>
      </w:r>
      <w:proofErr w:type="gramEnd"/>
      <w:r>
        <w:rPr>
          <w:rFonts w:ascii="Times" w:hAnsi="Times"/>
        </w:rPr>
        <w:t xml:space="preserve"> water could be used for a more workable cement paste </w:t>
      </w:r>
      <w:r w:rsidRPr="00052674">
        <w:rPr>
          <w:rFonts w:ascii="Times" w:hAnsi="Times"/>
        </w:rPr>
        <w:t>red</w:t>
      </w:r>
      <w:r>
        <w:rPr>
          <w:rFonts w:ascii="Times" w:hAnsi="Times"/>
        </w:rPr>
        <w:t>ucing the water/cement ratio. Furthermore this could improve</w:t>
      </w:r>
      <w:r w:rsidRPr="00052674">
        <w:rPr>
          <w:rFonts w:ascii="Times" w:hAnsi="Times"/>
        </w:rPr>
        <w:t xml:space="preserve"> working time </w:t>
      </w:r>
      <w:r>
        <w:rPr>
          <w:rFonts w:ascii="Times" w:hAnsi="Times"/>
        </w:rPr>
        <w:t xml:space="preserve">by decreasing the viscosity of the cement fluid. The cement phases crystal structure was not altered, however the leaching of Ce increased significantly over a 28 day period in the cement sample containing A551. This is believed to be due to the compounds within the superplasticiser complexing with the Ce and enhancing </w:t>
      </w:r>
      <w:proofErr w:type="gramStart"/>
      <w:r w:rsidR="004C7A66">
        <w:rPr>
          <w:rFonts w:ascii="Times" w:hAnsi="Times"/>
        </w:rPr>
        <w:t>its</w:t>
      </w:r>
      <w:proofErr w:type="gramEnd"/>
      <w:r>
        <w:rPr>
          <w:rFonts w:ascii="Times" w:hAnsi="Times"/>
        </w:rPr>
        <w:t xml:space="preserve"> leaching. </w:t>
      </w:r>
    </w:p>
    <w:p w14:paraId="4039B3FA" w14:textId="77777777" w:rsidR="00A2570F" w:rsidRDefault="00A2570F" w:rsidP="00A2570F">
      <w:pPr>
        <w:spacing w:line="360" w:lineRule="auto"/>
        <w:jc w:val="both"/>
        <w:rPr>
          <w:rFonts w:ascii="Times" w:hAnsi="Times"/>
        </w:rPr>
      </w:pPr>
      <w:r>
        <w:rPr>
          <w:rFonts w:ascii="Times" w:hAnsi="Times"/>
        </w:rPr>
        <w:lastRenderedPageBreak/>
        <w:t xml:space="preserve">The NRVB test showed that the Ce solutions both broke through the sample at similar stages, however the amounts of Ce in both end solutions was similar suggesting that the Ce is passes through the NRVB at a similar rate whether it is complexed or not.  </w:t>
      </w:r>
    </w:p>
    <w:p w14:paraId="00BA5A49" w14:textId="0927AF8E" w:rsidR="00A2570F" w:rsidRDefault="00121427" w:rsidP="00A2570F">
      <w:pPr>
        <w:spacing w:line="360" w:lineRule="auto"/>
        <w:jc w:val="both"/>
        <w:rPr>
          <w:rFonts w:ascii="Times" w:hAnsi="Times"/>
        </w:rPr>
      </w:pPr>
      <w:r>
        <w:rPr>
          <w:rFonts w:ascii="Times" w:hAnsi="Times"/>
        </w:rPr>
        <w:t>In</w:t>
      </w:r>
      <w:r w:rsidR="00A2570F">
        <w:rPr>
          <w:rFonts w:ascii="Times" w:hAnsi="Times"/>
        </w:rPr>
        <w:t xml:space="preserve"> the preliminary tests issues with leakage of solutions and contamination were common therefore for further stages of investigation better and more reliable equipment should be used. </w:t>
      </w:r>
    </w:p>
    <w:p w14:paraId="08265B8B" w14:textId="77777777" w:rsidR="00A2570F" w:rsidRPr="002D06B3" w:rsidRDefault="00A2570F" w:rsidP="00A2570F">
      <w:pPr>
        <w:spacing w:line="360" w:lineRule="auto"/>
        <w:jc w:val="both"/>
        <w:rPr>
          <w:rFonts w:ascii="Times" w:hAnsi="Times"/>
        </w:rPr>
      </w:pPr>
      <w:r>
        <w:rPr>
          <w:rFonts w:ascii="Times" w:hAnsi="Times"/>
        </w:rPr>
        <w:t>Future work within this project includes running further XRD analysis and other characteristic analysis such as DTG and NMR to find the unidentified peaks in the XRD. Further investigation into why there is the large amounts of Na initially in the SCEA solution, locating the phase(s) that are housing the Ce within the cement and finally performing the NRVB flow through experiment using the leachate from the original leaching tests as opposed to a synthesised precursor.</w:t>
      </w:r>
    </w:p>
    <w:p w14:paraId="626A60B9" w14:textId="77777777" w:rsidR="0044704C" w:rsidRDefault="0044704C" w:rsidP="001F7280">
      <w:pPr>
        <w:spacing w:before="240" w:after="120"/>
        <w:jc w:val="both"/>
        <w:rPr>
          <w:rFonts w:ascii="Times New Roman" w:hAnsi="Times New Roman" w:cs="Times New Roman"/>
          <w:sz w:val="22"/>
          <w:szCs w:val="22"/>
        </w:rPr>
      </w:pPr>
    </w:p>
    <w:p w14:paraId="5014F489" w14:textId="77777777" w:rsidR="00095737" w:rsidRDefault="00095737" w:rsidP="001F7280">
      <w:pPr>
        <w:spacing w:before="240" w:after="120"/>
        <w:jc w:val="both"/>
        <w:rPr>
          <w:rFonts w:ascii="Times New Roman" w:hAnsi="Times New Roman" w:cs="Times New Roman"/>
          <w:sz w:val="22"/>
          <w:szCs w:val="22"/>
        </w:rPr>
      </w:pPr>
    </w:p>
    <w:p w14:paraId="4EF60801" w14:textId="77777777" w:rsidR="00095737" w:rsidRDefault="00095737" w:rsidP="001F7280">
      <w:pPr>
        <w:spacing w:before="240" w:after="120"/>
        <w:jc w:val="both"/>
        <w:rPr>
          <w:rFonts w:ascii="Times New Roman" w:hAnsi="Times New Roman" w:cs="Times New Roman"/>
          <w:sz w:val="22"/>
          <w:szCs w:val="22"/>
        </w:rPr>
      </w:pPr>
    </w:p>
    <w:p w14:paraId="4F9DFF34" w14:textId="77777777" w:rsidR="00095737" w:rsidRDefault="00095737" w:rsidP="001F7280">
      <w:pPr>
        <w:spacing w:before="240" w:after="120"/>
        <w:jc w:val="both"/>
        <w:rPr>
          <w:rFonts w:ascii="Times New Roman" w:hAnsi="Times New Roman" w:cs="Times New Roman"/>
          <w:sz w:val="22"/>
          <w:szCs w:val="22"/>
        </w:rPr>
      </w:pPr>
    </w:p>
    <w:p w14:paraId="7B545CDB" w14:textId="77777777" w:rsidR="00095737" w:rsidRDefault="00095737" w:rsidP="001F7280">
      <w:pPr>
        <w:spacing w:before="240" w:after="120"/>
        <w:jc w:val="both"/>
        <w:rPr>
          <w:rFonts w:ascii="Times New Roman" w:hAnsi="Times New Roman" w:cs="Times New Roman"/>
          <w:sz w:val="22"/>
          <w:szCs w:val="22"/>
        </w:rPr>
      </w:pPr>
    </w:p>
    <w:p w14:paraId="65782F86" w14:textId="77777777" w:rsidR="00095737" w:rsidRPr="001F7280" w:rsidRDefault="00095737" w:rsidP="00F11EE2">
      <w:pPr>
        <w:spacing w:before="240" w:after="120"/>
        <w:jc w:val="both"/>
        <w:rPr>
          <w:rFonts w:ascii="Times New Roman" w:hAnsi="Times New Roman" w:cs="Times New Roman"/>
          <w:sz w:val="22"/>
          <w:szCs w:val="22"/>
        </w:rPr>
      </w:pPr>
    </w:p>
    <w:sectPr w:rsidR="00095737" w:rsidRPr="001F7280" w:rsidSect="00363801">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529D3F" w14:textId="77777777" w:rsidR="00906C0E" w:rsidRDefault="00906C0E">
      <w:r>
        <w:separator/>
      </w:r>
    </w:p>
  </w:endnote>
  <w:endnote w:type="continuationSeparator" w:id="0">
    <w:p w14:paraId="1B651151" w14:textId="77777777" w:rsidR="00906C0E" w:rsidRDefault="00906C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20005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Verdana">
    <w:panose1 w:val="020B0604030504040204"/>
    <w:charset w:val="00"/>
    <w:family w:val="auto"/>
    <w:pitch w:val="variable"/>
    <w:sig w:usb0="A10006FF" w:usb1="4000205B" w:usb2="00000010"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Batang">
    <w:altName w:val="바탕"/>
    <w:charset w:val="81"/>
    <w:family w:val="roman"/>
    <w:pitch w:val="variable"/>
    <w:sig w:usb0="B00002AF" w:usb1="69D77CFB" w:usb2="00000030" w:usb3="00000000" w:csb0="0008009F" w:csb1="00000000"/>
  </w:font>
  <w:font w:name="Cambria Math">
    <w:panose1 w:val="02040503050406030204"/>
    <w:charset w:val="00"/>
    <w:family w:val="auto"/>
    <w:pitch w:val="variable"/>
    <w:sig w:usb0="E00002FF" w:usb1="420024FF" w:usb2="0000000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Roman">
    <w:altName w:val="Times"/>
    <w:panose1 w:val="00000000000000000000"/>
    <w:charset w:val="00"/>
    <w:family w:val="roman"/>
    <w:notTrueType/>
    <w:pitch w:val="default"/>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OpenSansRegular">
    <w:altName w:val="Times New Roman"/>
    <w:panose1 w:val="00000000000000000000"/>
    <w:charset w:val="00"/>
    <w:family w:val="roman"/>
    <w:notTrueType/>
    <w:pitch w:val="default"/>
  </w:font>
  <w:font w:name="MS ??">
    <w:altName w:val="MS Mincho"/>
    <w:panose1 w:val="00000000000000000000"/>
    <w:charset w:val="80"/>
    <w:family w:val="auto"/>
    <w:notTrueType/>
    <w:pitch w:val="variable"/>
    <w:sig w:usb0="00000001" w:usb1="08070000" w:usb2="00000010" w:usb3="00000000" w:csb0="00020000" w:csb1="00000000"/>
  </w:font>
  <w:font w:name="Abadi MT Condensed Extra Bold">
    <w:panose1 w:val="020B0A06030101010103"/>
    <w:charset w:val="00"/>
    <w:family w:val="auto"/>
    <w:pitch w:val="variable"/>
    <w:sig w:usb0="00000003" w:usb1="00000000" w:usb2="00000000" w:usb3="00000000" w:csb0="00000001" w:csb1="00000000"/>
  </w:font>
  <w:font w:name="STIXGeneral-Bold">
    <w:panose1 w:val="00000800000000000000"/>
    <w:charset w:val="00"/>
    <w:family w:val="auto"/>
    <w:pitch w:val="variable"/>
    <w:sig w:usb0="A00002FF" w:usb1="42006DFF" w:usb2="02000000" w:usb3="00000000" w:csb0="800001F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00"/>
    <w:family w:val="auto"/>
    <w:pitch w:val="variable"/>
    <w:sig w:usb0="F7FFAFFF" w:usb1="E9DFFFFF" w:usb2="0000003F" w:usb3="00000000" w:csb0="003F01FF" w:csb1="00000000"/>
  </w:font>
  <w:font w:name="MS Mincho">
    <w:altName w:val="ＭＳ 明朝"/>
    <w:charset w:val="80"/>
    <w:family w:val="modern"/>
    <w:pitch w:val="fixed"/>
    <w:sig w:usb0="E00002FF" w:usb1="6AC7FDFB" w:usb2="00000012" w:usb3="00000000" w:csb0="0002009F"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EACB96" w14:textId="77777777" w:rsidR="00906C0E" w:rsidRDefault="00906C0E" w:rsidP="003C5C4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E9138B8" w14:textId="77777777" w:rsidR="00906C0E" w:rsidRDefault="00906C0E">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B3A2DE" w14:textId="77777777" w:rsidR="00906C0E" w:rsidRPr="00DE5328" w:rsidRDefault="00906C0E" w:rsidP="003C5C4D">
    <w:pPr>
      <w:pStyle w:val="Footer"/>
      <w:framePr w:wrap="around" w:vAnchor="text" w:hAnchor="margin" w:xAlign="center" w:y="1"/>
      <w:rPr>
        <w:rStyle w:val="PageNumber"/>
        <w:rFonts w:ascii="Times" w:hAnsi="Times"/>
        <w:i/>
      </w:rPr>
    </w:pPr>
    <w:r w:rsidRPr="00DE5328">
      <w:rPr>
        <w:rStyle w:val="PageNumber"/>
        <w:rFonts w:ascii="Times" w:hAnsi="Times"/>
        <w:i/>
      </w:rPr>
      <w:fldChar w:fldCharType="begin"/>
    </w:r>
    <w:r w:rsidRPr="00DE5328">
      <w:rPr>
        <w:rStyle w:val="PageNumber"/>
        <w:rFonts w:ascii="Times" w:hAnsi="Times"/>
        <w:i/>
      </w:rPr>
      <w:instrText xml:space="preserve">PAGE  </w:instrText>
    </w:r>
    <w:r w:rsidRPr="00DE5328">
      <w:rPr>
        <w:rStyle w:val="PageNumber"/>
        <w:rFonts w:ascii="Times" w:hAnsi="Times"/>
        <w:i/>
      </w:rPr>
      <w:fldChar w:fldCharType="separate"/>
    </w:r>
    <w:r w:rsidR="0050690C">
      <w:rPr>
        <w:rStyle w:val="PageNumber"/>
        <w:rFonts w:ascii="Times" w:hAnsi="Times"/>
        <w:i/>
        <w:noProof/>
      </w:rPr>
      <w:t>199</w:t>
    </w:r>
    <w:r w:rsidRPr="00DE5328">
      <w:rPr>
        <w:rStyle w:val="PageNumber"/>
        <w:rFonts w:ascii="Times" w:hAnsi="Times"/>
        <w:i/>
      </w:rPr>
      <w:fldChar w:fldCharType="end"/>
    </w:r>
  </w:p>
  <w:p w14:paraId="0B7C0D19" w14:textId="77777777" w:rsidR="00906C0E" w:rsidRDefault="00906C0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217ADE" w14:textId="77777777" w:rsidR="00906C0E" w:rsidRDefault="00906C0E">
      <w:r>
        <w:separator/>
      </w:r>
    </w:p>
  </w:footnote>
  <w:footnote w:type="continuationSeparator" w:id="0">
    <w:p w14:paraId="25A74B83" w14:textId="77777777" w:rsidR="00906C0E" w:rsidRDefault="00906C0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2E4679F6"/>
    <w:lvl w:ilvl="0">
      <w:start w:val="1"/>
      <w:numFmt w:val="decimal"/>
      <w:pStyle w:val="Heading1"/>
      <w:lvlText w:val="%1."/>
      <w:legacy w:legacy="1" w:legacySpace="0" w:legacyIndent="708"/>
      <w:lvlJc w:val="left"/>
      <w:pPr>
        <w:ind w:left="708" w:hanging="708"/>
      </w:pPr>
    </w:lvl>
    <w:lvl w:ilvl="1">
      <w:start w:val="1"/>
      <w:numFmt w:val="decimal"/>
      <w:pStyle w:val="Heading2"/>
      <w:lvlText w:val="%1.%2."/>
      <w:legacy w:legacy="1" w:legacySpace="0" w:legacyIndent="708"/>
      <w:lvlJc w:val="left"/>
      <w:pPr>
        <w:ind w:left="709" w:hanging="708"/>
      </w:pPr>
    </w:lvl>
    <w:lvl w:ilvl="2">
      <w:start w:val="1"/>
      <w:numFmt w:val="decimal"/>
      <w:pStyle w:val="Heading3"/>
      <w:lvlText w:val="%1.%2.%3."/>
      <w:legacy w:legacy="1" w:legacySpace="0" w:legacyIndent="708"/>
      <w:lvlJc w:val="left"/>
      <w:pPr>
        <w:ind w:left="2124" w:hanging="708"/>
      </w:pPr>
    </w:lvl>
    <w:lvl w:ilvl="3">
      <w:start w:val="1"/>
      <w:numFmt w:val="decimal"/>
      <w:pStyle w:val="Heading4"/>
      <w:lvlText w:val="%1.%2.%3.%4."/>
      <w:legacy w:legacy="1" w:legacySpace="0" w:legacyIndent="708"/>
      <w:lvlJc w:val="left"/>
      <w:pPr>
        <w:ind w:left="2832" w:hanging="708"/>
      </w:pPr>
    </w:lvl>
    <w:lvl w:ilvl="4">
      <w:start w:val="1"/>
      <w:numFmt w:val="decimal"/>
      <w:pStyle w:val="Heading5"/>
      <w:lvlText w:val="%1.%2.%3.%4.%5."/>
      <w:legacy w:legacy="1" w:legacySpace="0" w:legacyIndent="708"/>
      <w:lvlJc w:val="left"/>
      <w:pPr>
        <w:ind w:left="3540" w:hanging="708"/>
      </w:pPr>
    </w:lvl>
    <w:lvl w:ilvl="5">
      <w:start w:val="1"/>
      <w:numFmt w:val="decimal"/>
      <w:pStyle w:val="Heading6"/>
      <w:lvlText w:val="%1.%2.%3.%4.%5.%6."/>
      <w:legacy w:legacy="1" w:legacySpace="0" w:legacyIndent="708"/>
      <w:lvlJc w:val="left"/>
      <w:pPr>
        <w:ind w:left="4248" w:hanging="708"/>
      </w:pPr>
    </w:lvl>
    <w:lvl w:ilvl="6">
      <w:start w:val="1"/>
      <w:numFmt w:val="decimal"/>
      <w:pStyle w:val="Heading7"/>
      <w:lvlText w:val="%1.%2.%3.%4.%5.%6.%7."/>
      <w:legacy w:legacy="1" w:legacySpace="0" w:legacyIndent="708"/>
      <w:lvlJc w:val="left"/>
      <w:pPr>
        <w:ind w:left="4956" w:hanging="708"/>
      </w:pPr>
    </w:lvl>
    <w:lvl w:ilvl="7">
      <w:start w:val="1"/>
      <w:numFmt w:val="decimal"/>
      <w:pStyle w:val="Heading8"/>
      <w:lvlText w:val="%1.%2.%3.%4.%5.%6.%7.%8."/>
      <w:legacy w:legacy="1" w:legacySpace="0" w:legacyIndent="708"/>
      <w:lvlJc w:val="left"/>
      <w:pPr>
        <w:ind w:left="5664" w:hanging="708"/>
      </w:pPr>
    </w:lvl>
    <w:lvl w:ilvl="8">
      <w:start w:val="1"/>
      <w:numFmt w:val="decimal"/>
      <w:pStyle w:val="Heading9"/>
      <w:lvlText w:val="%1.%2.%3.%4.%5.%6.%7.%8.%9."/>
      <w:legacy w:legacy="1" w:legacySpace="0" w:legacyIndent="708"/>
      <w:lvlJc w:val="left"/>
      <w:pPr>
        <w:ind w:left="6372" w:hanging="708"/>
      </w:pPr>
    </w:lvl>
  </w:abstractNum>
  <w:abstractNum w:abstractNumId="1">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2"/>
    <w:multiLevelType w:val="hybridMultilevel"/>
    <w:tmpl w:val="00000002"/>
    <w:lvl w:ilvl="0" w:tplc="00000065">
      <w:start w:val="1"/>
      <w:numFmt w:val="bullet"/>
      <w:lvlText w:val="•"/>
      <w:lvlJc w:val="left"/>
      <w:pPr>
        <w:ind w:left="720" w:hanging="360"/>
      </w:pPr>
    </w:lvl>
    <w:lvl w:ilvl="1" w:tplc="00000066">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64E13D4"/>
    <w:multiLevelType w:val="hybridMultilevel"/>
    <w:tmpl w:val="DAE65C3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nsid w:val="074D4D08"/>
    <w:multiLevelType w:val="hybridMultilevel"/>
    <w:tmpl w:val="3DBCA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B64FED"/>
    <w:multiLevelType w:val="hybridMultilevel"/>
    <w:tmpl w:val="1A64BF6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nsid w:val="0E3D798A"/>
    <w:multiLevelType w:val="hybridMultilevel"/>
    <w:tmpl w:val="DF5C4F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52F5667"/>
    <w:multiLevelType w:val="hybridMultilevel"/>
    <w:tmpl w:val="E27A17F2"/>
    <w:lvl w:ilvl="0" w:tplc="E758D382">
      <w:start w:val="1"/>
      <w:numFmt w:val="lowerRoman"/>
      <w:lvlText w:val="%1."/>
      <w:lvlJc w:val="left"/>
      <w:pPr>
        <w:ind w:left="1440" w:hanging="720"/>
      </w:pPr>
      <w:rPr>
        <w:rFonts w:hint="default"/>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BB947BA"/>
    <w:multiLevelType w:val="hybridMultilevel"/>
    <w:tmpl w:val="D44E3D0E"/>
    <w:lvl w:ilvl="0" w:tplc="0C684E60">
      <w:start w:val="1"/>
      <w:numFmt w:val="lowerRoman"/>
      <w:lvlText w:val="%1."/>
      <w:lvlJc w:val="left"/>
      <w:pPr>
        <w:ind w:left="720" w:hanging="360"/>
      </w:pPr>
      <w:rPr>
        <w:rFonts w:hint="default"/>
        <w:i/>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2B35FF8"/>
    <w:multiLevelType w:val="hybridMultilevel"/>
    <w:tmpl w:val="FE9C3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51300D8"/>
    <w:multiLevelType w:val="hybridMultilevel"/>
    <w:tmpl w:val="E126F1C4"/>
    <w:lvl w:ilvl="0" w:tplc="C9EAC07C">
      <w:start w:val="1"/>
      <w:numFmt w:val="decimal"/>
      <w:lvlText w:val="3.2.%1"/>
      <w:lvlJc w:val="left"/>
      <w:pPr>
        <w:ind w:left="720" w:hanging="360"/>
      </w:pPr>
      <w:rPr>
        <w:rFonts w:hint="default"/>
        <w:b w:val="0"/>
        <w:bCs w:val="0"/>
        <w:i w:val="0"/>
        <w:iCs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C9E703D"/>
    <w:multiLevelType w:val="hybridMultilevel"/>
    <w:tmpl w:val="6BE47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E187F7B"/>
    <w:multiLevelType w:val="hybridMultilevel"/>
    <w:tmpl w:val="CF8E36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34502A00"/>
    <w:multiLevelType w:val="hybridMultilevel"/>
    <w:tmpl w:val="F7CA9CC0"/>
    <w:lvl w:ilvl="0" w:tplc="30D265CE">
      <w:start w:val="1"/>
      <w:numFmt w:val="bullet"/>
      <w:lvlText w:val="&gt;"/>
      <w:lvlJc w:val="left"/>
      <w:pPr>
        <w:ind w:left="1800" w:hanging="360"/>
      </w:pPr>
      <w:rPr>
        <w:rFonts w:ascii="Courier New" w:hAnsi="Courier New" w:hint="default"/>
      </w:rPr>
    </w:lvl>
    <w:lvl w:ilvl="1" w:tplc="04090003" w:tentative="1">
      <w:start w:val="1"/>
      <w:numFmt w:val="bullet"/>
      <w:lvlText w:val="o"/>
      <w:lvlJc w:val="left"/>
      <w:pPr>
        <w:ind w:left="883" w:hanging="360"/>
      </w:pPr>
      <w:rPr>
        <w:rFonts w:ascii="Courier New" w:hAnsi="Courier New" w:hint="default"/>
      </w:rPr>
    </w:lvl>
    <w:lvl w:ilvl="2" w:tplc="04090005" w:tentative="1">
      <w:start w:val="1"/>
      <w:numFmt w:val="bullet"/>
      <w:lvlText w:val=""/>
      <w:lvlJc w:val="left"/>
      <w:pPr>
        <w:ind w:left="1603" w:hanging="360"/>
      </w:pPr>
      <w:rPr>
        <w:rFonts w:ascii="Wingdings" w:hAnsi="Wingdings" w:hint="default"/>
      </w:rPr>
    </w:lvl>
    <w:lvl w:ilvl="3" w:tplc="04090001" w:tentative="1">
      <w:start w:val="1"/>
      <w:numFmt w:val="bullet"/>
      <w:lvlText w:val=""/>
      <w:lvlJc w:val="left"/>
      <w:pPr>
        <w:ind w:left="2323" w:hanging="360"/>
      </w:pPr>
      <w:rPr>
        <w:rFonts w:ascii="Symbol" w:hAnsi="Symbol" w:hint="default"/>
      </w:rPr>
    </w:lvl>
    <w:lvl w:ilvl="4" w:tplc="04090003" w:tentative="1">
      <w:start w:val="1"/>
      <w:numFmt w:val="bullet"/>
      <w:lvlText w:val="o"/>
      <w:lvlJc w:val="left"/>
      <w:pPr>
        <w:ind w:left="3043" w:hanging="360"/>
      </w:pPr>
      <w:rPr>
        <w:rFonts w:ascii="Courier New" w:hAnsi="Courier New" w:hint="default"/>
      </w:rPr>
    </w:lvl>
    <w:lvl w:ilvl="5" w:tplc="04090005" w:tentative="1">
      <w:start w:val="1"/>
      <w:numFmt w:val="bullet"/>
      <w:lvlText w:val=""/>
      <w:lvlJc w:val="left"/>
      <w:pPr>
        <w:ind w:left="3763" w:hanging="360"/>
      </w:pPr>
      <w:rPr>
        <w:rFonts w:ascii="Wingdings" w:hAnsi="Wingdings" w:hint="default"/>
      </w:rPr>
    </w:lvl>
    <w:lvl w:ilvl="6" w:tplc="04090001" w:tentative="1">
      <w:start w:val="1"/>
      <w:numFmt w:val="bullet"/>
      <w:lvlText w:val=""/>
      <w:lvlJc w:val="left"/>
      <w:pPr>
        <w:ind w:left="4483" w:hanging="360"/>
      </w:pPr>
      <w:rPr>
        <w:rFonts w:ascii="Symbol" w:hAnsi="Symbol" w:hint="default"/>
      </w:rPr>
    </w:lvl>
    <w:lvl w:ilvl="7" w:tplc="04090003" w:tentative="1">
      <w:start w:val="1"/>
      <w:numFmt w:val="bullet"/>
      <w:lvlText w:val="o"/>
      <w:lvlJc w:val="left"/>
      <w:pPr>
        <w:ind w:left="5203" w:hanging="360"/>
      </w:pPr>
      <w:rPr>
        <w:rFonts w:ascii="Courier New" w:hAnsi="Courier New" w:hint="default"/>
      </w:rPr>
    </w:lvl>
    <w:lvl w:ilvl="8" w:tplc="04090005" w:tentative="1">
      <w:start w:val="1"/>
      <w:numFmt w:val="bullet"/>
      <w:lvlText w:val=""/>
      <w:lvlJc w:val="left"/>
      <w:pPr>
        <w:ind w:left="5923" w:hanging="360"/>
      </w:pPr>
      <w:rPr>
        <w:rFonts w:ascii="Wingdings" w:hAnsi="Wingdings" w:hint="default"/>
      </w:rPr>
    </w:lvl>
  </w:abstractNum>
  <w:abstractNum w:abstractNumId="14">
    <w:nsid w:val="3D034C60"/>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5">
    <w:nsid w:val="3E9048AB"/>
    <w:multiLevelType w:val="hybridMultilevel"/>
    <w:tmpl w:val="08AC0B16"/>
    <w:lvl w:ilvl="0" w:tplc="04090001">
      <w:start w:val="1"/>
      <w:numFmt w:val="bullet"/>
      <w:lvlText w:val=""/>
      <w:lvlJc w:val="left"/>
      <w:pPr>
        <w:ind w:left="1448" w:hanging="360"/>
      </w:pPr>
      <w:rPr>
        <w:rFonts w:ascii="Symbol" w:hAnsi="Symbol" w:hint="default"/>
      </w:rPr>
    </w:lvl>
    <w:lvl w:ilvl="1" w:tplc="04090003" w:tentative="1">
      <w:start w:val="1"/>
      <w:numFmt w:val="bullet"/>
      <w:lvlText w:val="o"/>
      <w:lvlJc w:val="left"/>
      <w:pPr>
        <w:ind w:left="2168" w:hanging="360"/>
      </w:pPr>
      <w:rPr>
        <w:rFonts w:ascii="Courier New" w:hAnsi="Courier New" w:hint="default"/>
      </w:rPr>
    </w:lvl>
    <w:lvl w:ilvl="2" w:tplc="04090005" w:tentative="1">
      <w:start w:val="1"/>
      <w:numFmt w:val="bullet"/>
      <w:lvlText w:val=""/>
      <w:lvlJc w:val="left"/>
      <w:pPr>
        <w:ind w:left="2888" w:hanging="360"/>
      </w:pPr>
      <w:rPr>
        <w:rFonts w:ascii="Wingdings" w:hAnsi="Wingdings" w:hint="default"/>
      </w:rPr>
    </w:lvl>
    <w:lvl w:ilvl="3" w:tplc="04090001" w:tentative="1">
      <w:start w:val="1"/>
      <w:numFmt w:val="bullet"/>
      <w:lvlText w:val=""/>
      <w:lvlJc w:val="left"/>
      <w:pPr>
        <w:ind w:left="3608" w:hanging="360"/>
      </w:pPr>
      <w:rPr>
        <w:rFonts w:ascii="Symbol" w:hAnsi="Symbol" w:hint="default"/>
      </w:rPr>
    </w:lvl>
    <w:lvl w:ilvl="4" w:tplc="04090003" w:tentative="1">
      <w:start w:val="1"/>
      <w:numFmt w:val="bullet"/>
      <w:lvlText w:val="o"/>
      <w:lvlJc w:val="left"/>
      <w:pPr>
        <w:ind w:left="4328" w:hanging="360"/>
      </w:pPr>
      <w:rPr>
        <w:rFonts w:ascii="Courier New" w:hAnsi="Courier New" w:hint="default"/>
      </w:rPr>
    </w:lvl>
    <w:lvl w:ilvl="5" w:tplc="04090005" w:tentative="1">
      <w:start w:val="1"/>
      <w:numFmt w:val="bullet"/>
      <w:lvlText w:val=""/>
      <w:lvlJc w:val="left"/>
      <w:pPr>
        <w:ind w:left="5048" w:hanging="360"/>
      </w:pPr>
      <w:rPr>
        <w:rFonts w:ascii="Wingdings" w:hAnsi="Wingdings" w:hint="default"/>
      </w:rPr>
    </w:lvl>
    <w:lvl w:ilvl="6" w:tplc="04090001" w:tentative="1">
      <w:start w:val="1"/>
      <w:numFmt w:val="bullet"/>
      <w:lvlText w:val=""/>
      <w:lvlJc w:val="left"/>
      <w:pPr>
        <w:ind w:left="5768" w:hanging="360"/>
      </w:pPr>
      <w:rPr>
        <w:rFonts w:ascii="Symbol" w:hAnsi="Symbol" w:hint="default"/>
      </w:rPr>
    </w:lvl>
    <w:lvl w:ilvl="7" w:tplc="04090003" w:tentative="1">
      <w:start w:val="1"/>
      <w:numFmt w:val="bullet"/>
      <w:lvlText w:val="o"/>
      <w:lvlJc w:val="left"/>
      <w:pPr>
        <w:ind w:left="6488" w:hanging="360"/>
      </w:pPr>
      <w:rPr>
        <w:rFonts w:ascii="Courier New" w:hAnsi="Courier New" w:hint="default"/>
      </w:rPr>
    </w:lvl>
    <w:lvl w:ilvl="8" w:tplc="04090005" w:tentative="1">
      <w:start w:val="1"/>
      <w:numFmt w:val="bullet"/>
      <w:lvlText w:val=""/>
      <w:lvlJc w:val="left"/>
      <w:pPr>
        <w:ind w:left="7208" w:hanging="360"/>
      </w:pPr>
      <w:rPr>
        <w:rFonts w:ascii="Wingdings" w:hAnsi="Wingdings" w:hint="default"/>
      </w:rPr>
    </w:lvl>
  </w:abstractNum>
  <w:abstractNum w:abstractNumId="16">
    <w:nsid w:val="3EDD70AB"/>
    <w:multiLevelType w:val="hybridMultilevel"/>
    <w:tmpl w:val="3C82C196"/>
    <w:lvl w:ilvl="0" w:tplc="0C684E60">
      <w:start w:val="1"/>
      <w:numFmt w:val="lowerRoman"/>
      <w:lvlText w:val="%1."/>
      <w:lvlJc w:val="left"/>
      <w:pPr>
        <w:ind w:left="1440" w:hanging="720"/>
      </w:pPr>
      <w:rPr>
        <w:rFonts w:hint="default"/>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42057EEE"/>
    <w:multiLevelType w:val="hybridMultilevel"/>
    <w:tmpl w:val="6DE8CE20"/>
    <w:lvl w:ilvl="0" w:tplc="0C684E60">
      <w:start w:val="1"/>
      <w:numFmt w:val="lowerRoman"/>
      <w:lvlText w:val="%1."/>
      <w:lvlJc w:val="left"/>
      <w:pPr>
        <w:ind w:left="720" w:hanging="360"/>
      </w:pPr>
      <w:rPr>
        <w:rFonts w:hint="default"/>
        <w:i/>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A30588E"/>
    <w:multiLevelType w:val="hybridMultilevel"/>
    <w:tmpl w:val="12B63160"/>
    <w:lvl w:ilvl="0" w:tplc="04090001">
      <w:start w:val="1"/>
      <w:numFmt w:val="bullet"/>
      <w:lvlText w:val=""/>
      <w:lvlJc w:val="left"/>
      <w:pPr>
        <w:ind w:left="1637" w:hanging="360"/>
      </w:pPr>
      <w:rPr>
        <w:rFonts w:ascii="Symbol" w:hAnsi="Symbol" w:hint="default"/>
      </w:rPr>
    </w:lvl>
    <w:lvl w:ilvl="1" w:tplc="30D265CE">
      <w:start w:val="1"/>
      <w:numFmt w:val="bullet"/>
      <w:lvlText w:val="&gt;"/>
      <w:lvlJc w:val="left"/>
      <w:pPr>
        <w:ind w:left="2357" w:hanging="360"/>
      </w:pPr>
      <w:rPr>
        <w:rFonts w:ascii="Courier New" w:hAnsi="Courier New" w:hint="default"/>
      </w:rPr>
    </w:lvl>
    <w:lvl w:ilvl="2" w:tplc="04090005" w:tentative="1">
      <w:start w:val="1"/>
      <w:numFmt w:val="bullet"/>
      <w:lvlText w:val=""/>
      <w:lvlJc w:val="left"/>
      <w:pPr>
        <w:ind w:left="3077" w:hanging="360"/>
      </w:pPr>
      <w:rPr>
        <w:rFonts w:ascii="Wingdings" w:hAnsi="Wingdings" w:hint="default"/>
      </w:rPr>
    </w:lvl>
    <w:lvl w:ilvl="3" w:tplc="04090001" w:tentative="1">
      <w:start w:val="1"/>
      <w:numFmt w:val="bullet"/>
      <w:lvlText w:val=""/>
      <w:lvlJc w:val="left"/>
      <w:pPr>
        <w:ind w:left="3797" w:hanging="360"/>
      </w:pPr>
      <w:rPr>
        <w:rFonts w:ascii="Symbol" w:hAnsi="Symbol" w:hint="default"/>
      </w:rPr>
    </w:lvl>
    <w:lvl w:ilvl="4" w:tplc="04090003" w:tentative="1">
      <w:start w:val="1"/>
      <w:numFmt w:val="bullet"/>
      <w:lvlText w:val="o"/>
      <w:lvlJc w:val="left"/>
      <w:pPr>
        <w:ind w:left="4517" w:hanging="360"/>
      </w:pPr>
      <w:rPr>
        <w:rFonts w:ascii="Courier New" w:hAnsi="Courier New" w:hint="default"/>
      </w:rPr>
    </w:lvl>
    <w:lvl w:ilvl="5" w:tplc="04090005" w:tentative="1">
      <w:start w:val="1"/>
      <w:numFmt w:val="bullet"/>
      <w:lvlText w:val=""/>
      <w:lvlJc w:val="left"/>
      <w:pPr>
        <w:ind w:left="5237" w:hanging="360"/>
      </w:pPr>
      <w:rPr>
        <w:rFonts w:ascii="Wingdings" w:hAnsi="Wingdings" w:hint="default"/>
      </w:rPr>
    </w:lvl>
    <w:lvl w:ilvl="6" w:tplc="04090001" w:tentative="1">
      <w:start w:val="1"/>
      <w:numFmt w:val="bullet"/>
      <w:lvlText w:val=""/>
      <w:lvlJc w:val="left"/>
      <w:pPr>
        <w:ind w:left="5957" w:hanging="360"/>
      </w:pPr>
      <w:rPr>
        <w:rFonts w:ascii="Symbol" w:hAnsi="Symbol" w:hint="default"/>
      </w:rPr>
    </w:lvl>
    <w:lvl w:ilvl="7" w:tplc="04090003" w:tentative="1">
      <w:start w:val="1"/>
      <w:numFmt w:val="bullet"/>
      <w:lvlText w:val="o"/>
      <w:lvlJc w:val="left"/>
      <w:pPr>
        <w:ind w:left="6677" w:hanging="360"/>
      </w:pPr>
      <w:rPr>
        <w:rFonts w:ascii="Courier New" w:hAnsi="Courier New" w:hint="default"/>
      </w:rPr>
    </w:lvl>
    <w:lvl w:ilvl="8" w:tplc="04090005" w:tentative="1">
      <w:start w:val="1"/>
      <w:numFmt w:val="bullet"/>
      <w:lvlText w:val=""/>
      <w:lvlJc w:val="left"/>
      <w:pPr>
        <w:ind w:left="7397" w:hanging="360"/>
      </w:pPr>
      <w:rPr>
        <w:rFonts w:ascii="Wingdings" w:hAnsi="Wingdings" w:hint="default"/>
      </w:rPr>
    </w:lvl>
  </w:abstractNum>
  <w:abstractNum w:abstractNumId="19">
    <w:nsid w:val="4EE2691E"/>
    <w:multiLevelType w:val="hybridMultilevel"/>
    <w:tmpl w:val="CDA27C74"/>
    <w:lvl w:ilvl="0" w:tplc="82E8A5DC">
      <w:start w:val="1"/>
      <w:numFmt w:val="decimal"/>
      <w:lvlText w:val="3.3.%1."/>
      <w:lvlJc w:val="left"/>
      <w:pPr>
        <w:ind w:left="720" w:hanging="360"/>
      </w:pPr>
      <w:rPr>
        <w:rFonts w:hint="default"/>
        <w:b w:val="0"/>
        <w:bCs w:val="0"/>
        <w:i w:val="0"/>
        <w:iCs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14C1A07"/>
    <w:multiLevelType w:val="hybridMultilevel"/>
    <w:tmpl w:val="545224BC"/>
    <w:lvl w:ilvl="0" w:tplc="04090013">
      <w:start w:val="1"/>
      <w:numFmt w:val="upp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2F07A79"/>
    <w:multiLevelType w:val="hybridMultilevel"/>
    <w:tmpl w:val="7AB030DE"/>
    <w:lvl w:ilvl="0" w:tplc="00000065">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844610A"/>
    <w:multiLevelType w:val="hybridMultilevel"/>
    <w:tmpl w:val="C040139A"/>
    <w:lvl w:ilvl="0" w:tplc="0A30240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594D1DD6"/>
    <w:multiLevelType w:val="hybridMultilevel"/>
    <w:tmpl w:val="E126F1C4"/>
    <w:lvl w:ilvl="0" w:tplc="C9EAC07C">
      <w:start w:val="1"/>
      <w:numFmt w:val="decimal"/>
      <w:lvlText w:val="3.2.%1"/>
      <w:lvlJc w:val="left"/>
      <w:pPr>
        <w:ind w:left="720" w:hanging="360"/>
      </w:pPr>
      <w:rPr>
        <w:rFonts w:hint="default"/>
        <w:b w:val="0"/>
        <w:bCs w:val="0"/>
        <w:i w:val="0"/>
        <w:iCs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D3C033A"/>
    <w:multiLevelType w:val="hybridMultilevel"/>
    <w:tmpl w:val="F260EB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60003661"/>
    <w:multiLevelType w:val="hybridMultilevel"/>
    <w:tmpl w:val="DE96D6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65E96F7E"/>
    <w:multiLevelType w:val="hybridMultilevel"/>
    <w:tmpl w:val="03DC7F72"/>
    <w:lvl w:ilvl="0" w:tplc="30D265CE">
      <w:start w:val="1"/>
      <w:numFmt w:val="bullet"/>
      <w:lvlText w:val="&gt;"/>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A08076F"/>
    <w:multiLevelType w:val="hybridMultilevel"/>
    <w:tmpl w:val="D7C2E4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6E1C650B"/>
    <w:multiLevelType w:val="hybridMultilevel"/>
    <w:tmpl w:val="789EBA90"/>
    <w:lvl w:ilvl="0" w:tplc="863E6DF4">
      <w:numFmt w:val="bullet"/>
      <w:lvlText w:val="-"/>
      <w:lvlJc w:val="left"/>
      <w:pPr>
        <w:ind w:left="1080" w:hanging="360"/>
      </w:pPr>
      <w:rPr>
        <w:rFonts w:ascii="Cambria" w:eastAsiaTheme="minorHAnsi" w:hAnsi="Cambria"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nsid w:val="6FD917D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2"/>
  </w:num>
  <w:num w:numId="2">
    <w:abstractNumId w:val="27"/>
  </w:num>
  <w:num w:numId="3">
    <w:abstractNumId w:val="24"/>
  </w:num>
  <w:num w:numId="4">
    <w:abstractNumId w:val="2"/>
  </w:num>
  <w:num w:numId="5">
    <w:abstractNumId w:val="14"/>
  </w:num>
  <w:num w:numId="6">
    <w:abstractNumId w:val="1"/>
  </w:num>
  <w:num w:numId="7">
    <w:abstractNumId w:val="4"/>
  </w:num>
  <w:num w:numId="8">
    <w:abstractNumId w:val="11"/>
  </w:num>
  <w:num w:numId="9">
    <w:abstractNumId w:val="29"/>
  </w:num>
  <w:num w:numId="10">
    <w:abstractNumId w:val="0"/>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num>
  <w:num w:numId="13">
    <w:abstractNumId w:val="15"/>
  </w:num>
  <w:num w:numId="14">
    <w:abstractNumId w:val="18"/>
  </w:num>
  <w:num w:numId="15">
    <w:abstractNumId w:val="13"/>
  </w:num>
  <w:num w:numId="16">
    <w:abstractNumId w:val="5"/>
  </w:num>
  <w:num w:numId="17">
    <w:abstractNumId w:val="9"/>
  </w:num>
  <w:num w:numId="18">
    <w:abstractNumId w:val="7"/>
  </w:num>
  <w:num w:numId="19">
    <w:abstractNumId w:val="26"/>
  </w:num>
  <w:num w:numId="20">
    <w:abstractNumId w:val="16"/>
  </w:num>
  <w:num w:numId="21">
    <w:abstractNumId w:val="20"/>
  </w:num>
  <w:num w:numId="22">
    <w:abstractNumId w:val="17"/>
  </w:num>
  <w:num w:numId="23">
    <w:abstractNumId w:val="8"/>
  </w:num>
  <w:num w:numId="24">
    <w:abstractNumId w:val="23"/>
  </w:num>
  <w:num w:numId="25">
    <w:abstractNumId w:val="19"/>
  </w:num>
  <w:num w:numId="26">
    <w:abstractNumId w:val="10"/>
  </w:num>
  <w:num w:numId="27">
    <w:abstractNumId w:val="1"/>
    <w:lvlOverride w:ilvl="0">
      <w:startOverride w:val="1"/>
    </w:lvlOverride>
    <w:lvlOverride w:ilvl="1"/>
    <w:lvlOverride w:ilvl="2"/>
    <w:lvlOverride w:ilvl="3"/>
    <w:lvlOverride w:ilvl="4"/>
    <w:lvlOverride w:ilvl="5"/>
    <w:lvlOverride w:ilvl="6"/>
    <w:lvlOverride w:ilvl="7"/>
    <w:lvlOverride w:ilvl="8"/>
  </w:num>
  <w:num w:numId="28">
    <w:abstractNumId w:val="6"/>
  </w:num>
  <w:num w:numId="29">
    <w:abstractNumId w:val="21"/>
  </w:num>
  <w:num w:numId="30">
    <w:abstractNumId w:val="22"/>
  </w:num>
  <w:num w:numId="31">
    <w:abstractNumId w:val="25"/>
  </w:num>
  <w:num w:numId="3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hideSpellingErrors/>
  <w:proofState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48F0"/>
    <w:rsid w:val="00001F49"/>
    <w:rsid w:val="00002E6A"/>
    <w:rsid w:val="00003E1E"/>
    <w:rsid w:val="0000425C"/>
    <w:rsid w:val="000044B1"/>
    <w:rsid w:val="00005001"/>
    <w:rsid w:val="00005804"/>
    <w:rsid w:val="0001229C"/>
    <w:rsid w:val="00013314"/>
    <w:rsid w:val="00013D5F"/>
    <w:rsid w:val="0001410F"/>
    <w:rsid w:val="0001581E"/>
    <w:rsid w:val="00017657"/>
    <w:rsid w:val="00020920"/>
    <w:rsid w:val="000211CE"/>
    <w:rsid w:val="00023B69"/>
    <w:rsid w:val="000244B3"/>
    <w:rsid w:val="000245EF"/>
    <w:rsid w:val="00024B89"/>
    <w:rsid w:val="000254CB"/>
    <w:rsid w:val="00025FBC"/>
    <w:rsid w:val="00026D92"/>
    <w:rsid w:val="00030BF4"/>
    <w:rsid w:val="00031DCA"/>
    <w:rsid w:val="000358FB"/>
    <w:rsid w:val="00036638"/>
    <w:rsid w:val="000405FA"/>
    <w:rsid w:val="00040734"/>
    <w:rsid w:val="00042D18"/>
    <w:rsid w:val="0004541B"/>
    <w:rsid w:val="00052CA8"/>
    <w:rsid w:val="00054B37"/>
    <w:rsid w:val="00062544"/>
    <w:rsid w:val="00062DA2"/>
    <w:rsid w:val="000636CA"/>
    <w:rsid w:val="00065DFB"/>
    <w:rsid w:val="0006681A"/>
    <w:rsid w:val="00071635"/>
    <w:rsid w:val="00071A82"/>
    <w:rsid w:val="00072331"/>
    <w:rsid w:val="00077B60"/>
    <w:rsid w:val="0008029B"/>
    <w:rsid w:val="00081151"/>
    <w:rsid w:val="0008287E"/>
    <w:rsid w:val="00086C8C"/>
    <w:rsid w:val="00090EE9"/>
    <w:rsid w:val="00092035"/>
    <w:rsid w:val="000938A7"/>
    <w:rsid w:val="00093C9C"/>
    <w:rsid w:val="0009411B"/>
    <w:rsid w:val="00094928"/>
    <w:rsid w:val="00095737"/>
    <w:rsid w:val="00095F2D"/>
    <w:rsid w:val="00096DCE"/>
    <w:rsid w:val="0009786D"/>
    <w:rsid w:val="000A10B9"/>
    <w:rsid w:val="000A2A74"/>
    <w:rsid w:val="000A3FE1"/>
    <w:rsid w:val="000A47BA"/>
    <w:rsid w:val="000A591F"/>
    <w:rsid w:val="000A7754"/>
    <w:rsid w:val="000B0C73"/>
    <w:rsid w:val="000B1FAB"/>
    <w:rsid w:val="000B226E"/>
    <w:rsid w:val="000B344D"/>
    <w:rsid w:val="000B397F"/>
    <w:rsid w:val="000B5F00"/>
    <w:rsid w:val="000B692F"/>
    <w:rsid w:val="000C16C3"/>
    <w:rsid w:val="000C2362"/>
    <w:rsid w:val="000C35F4"/>
    <w:rsid w:val="000C484C"/>
    <w:rsid w:val="000C511D"/>
    <w:rsid w:val="000C5480"/>
    <w:rsid w:val="000C5961"/>
    <w:rsid w:val="000C6247"/>
    <w:rsid w:val="000C65F6"/>
    <w:rsid w:val="000C6943"/>
    <w:rsid w:val="000C6D2B"/>
    <w:rsid w:val="000C7418"/>
    <w:rsid w:val="000D0629"/>
    <w:rsid w:val="000D137B"/>
    <w:rsid w:val="000D28FA"/>
    <w:rsid w:val="000D4ACF"/>
    <w:rsid w:val="000D4AEA"/>
    <w:rsid w:val="000D6467"/>
    <w:rsid w:val="000D6B2A"/>
    <w:rsid w:val="000E01AB"/>
    <w:rsid w:val="000E05AC"/>
    <w:rsid w:val="000E06B1"/>
    <w:rsid w:val="000E108F"/>
    <w:rsid w:val="000E18FE"/>
    <w:rsid w:val="000E57DF"/>
    <w:rsid w:val="000E7B88"/>
    <w:rsid w:val="000F209C"/>
    <w:rsid w:val="000F2EC6"/>
    <w:rsid w:val="000F4295"/>
    <w:rsid w:val="000F46F4"/>
    <w:rsid w:val="000F6A51"/>
    <w:rsid w:val="000F6BBD"/>
    <w:rsid w:val="0010230B"/>
    <w:rsid w:val="00104E92"/>
    <w:rsid w:val="00107BBB"/>
    <w:rsid w:val="001107BC"/>
    <w:rsid w:val="00110964"/>
    <w:rsid w:val="00111A56"/>
    <w:rsid w:val="00113001"/>
    <w:rsid w:val="0011414C"/>
    <w:rsid w:val="00121427"/>
    <w:rsid w:val="001216CE"/>
    <w:rsid w:val="00121F95"/>
    <w:rsid w:val="001224C1"/>
    <w:rsid w:val="00123D6A"/>
    <w:rsid w:val="001242DF"/>
    <w:rsid w:val="001244DE"/>
    <w:rsid w:val="00124542"/>
    <w:rsid w:val="00124C4D"/>
    <w:rsid w:val="00127B80"/>
    <w:rsid w:val="00127D6C"/>
    <w:rsid w:val="0013030C"/>
    <w:rsid w:val="00132C21"/>
    <w:rsid w:val="0013333F"/>
    <w:rsid w:val="0013452E"/>
    <w:rsid w:val="00135182"/>
    <w:rsid w:val="0013539E"/>
    <w:rsid w:val="001374CE"/>
    <w:rsid w:val="00140ECE"/>
    <w:rsid w:val="00141767"/>
    <w:rsid w:val="001425CA"/>
    <w:rsid w:val="001433C3"/>
    <w:rsid w:val="00144CBD"/>
    <w:rsid w:val="00144FC1"/>
    <w:rsid w:val="0014653F"/>
    <w:rsid w:val="00147975"/>
    <w:rsid w:val="00151416"/>
    <w:rsid w:val="00151525"/>
    <w:rsid w:val="001538C5"/>
    <w:rsid w:val="00153AC8"/>
    <w:rsid w:val="00153BBE"/>
    <w:rsid w:val="00154389"/>
    <w:rsid w:val="00156C70"/>
    <w:rsid w:val="0016397A"/>
    <w:rsid w:val="00165021"/>
    <w:rsid w:val="0016623E"/>
    <w:rsid w:val="00166B21"/>
    <w:rsid w:val="001672AC"/>
    <w:rsid w:val="00167DDB"/>
    <w:rsid w:val="00170394"/>
    <w:rsid w:val="00172057"/>
    <w:rsid w:val="0017299E"/>
    <w:rsid w:val="00173279"/>
    <w:rsid w:val="0017409D"/>
    <w:rsid w:val="001740DC"/>
    <w:rsid w:val="001758C4"/>
    <w:rsid w:val="00176113"/>
    <w:rsid w:val="001803BC"/>
    <w:rsid w:val="00180CC9"/>
    <w:rsid w:val="00181C4B"/>
    <w:rsid w:val="00182D9D"/>
    <w:rsid w:val="00184F4A"/>
    <w:rsid w:val="0018608F"/>
    <w:rsid w:val="00186B9F"/>
    <w:rsid w:val="00186F1A"/>
    <w:rsid w:val="00190824"/>
    <w:rsid w:val="00190FC0"/>
    <w:rsid w:val="001A1690"/>
    <w:rsid w:val="001A16D5"/>
    <w:rsid w:val="001A40E6"/>
    <w:rsid w:val="001A4B7D"/>
    <w:rsid w:val="001A6341"/>
    <w:rsid w:val="001A7F43"/>
    <w:rsid w:val="001B128D"/>
    <w:rsid w:val="001B195B"/>
    <w:rsid w:val="001B1999"/>
    <w:rsid w:val="001B1B25"/>
    <w:rsid w:val="001B2073"/>
    <w:rsid w:val="001B2973"/>
    <w:rsid w:val="001B3242"/>
    <w:rsid w:val="001B3382"/>
    <w:rsid w:val="001B365C"/>
    <w:rsid w:val="001B37BF"/>
    <w:rsid w:val="001B3FB0"/>
    <w:rsid w:val="001B698B"/>
    <w:rsid w:val="001B7EBC"/>
    <w:rsid w:val="001C0A47"/>
    <w:rsid w:val="001C113F"/>
    <w:rsid w:val="001C1D62"/>
    <w:rsid w:val="001C3EB6"/>
    <w:rsid w:val="001C60CD"/>
    <w:rsid w:val="001D17FD"/>
    <w:rsid w:val="001D1E9E"/>
    <w:rsid w:val="001D2CE3"/>
    <w:rsid w:val="001D4FA3"/>
    <w:rsid w:val="001D59E4"/>
    <w:rsid w:val="001D5CA2"/>
    <w:rsid w:val="001D649E"/>
    <w:rsid w:val="001D758B"/>
    <w:rsid w:val="001E0809"/>
    <w:rsid w:val="001E0EB7"/>
    <w:rsid w:val="001E18D0"/>
    <w:rsid w:val="001E31A7"/>
    <w:rsid w:val="001E34CA"/>
    <w:rsid w:val="001E4560"/>
    <w:rsid w:val="001E68BA"/>
    <w:rsid w:val="001E6BCC"/>
    <w:rsid w:val="001E6F4E"/>
    <w:rsid w:val="001F03C1"/>
    <w:rsid w:val="001F1407"/>
    <w:rsid w:val="001F5A9A"/>
    <w:rsid w:val="001F5C29"/>
    <w:rsid w:val="001F7280"/>
    <w:rsid w:val="0020301C"/>
    <w:rsid w:val="00203430"/>
    <w:rsid w:val="00204889"/>
    <w:rsid w:val="00205D10"/>
    <w:rsid w:val="00205E0C"/>
    <w:rsid w:val="002066CA"/>
    <w:rsid w:val="002129EB"/>
    <w:rsid w:val="00213B5B"/>
    <w:rsid w:val="0021741C"/>
    <w:rsid w:val="00220662"/>
    <w:rsid w:val="00221567"/>
    <w:rsid w:val="00223CFB"/>
    <w:rsid w:val="00224146"/>
    <w:rsid w:val="00225C92"/>
    <w:rsid w:val="00226CCF"/>
    <w:rsid w:val="00233924"/>
    <w:rsid w:val="00234150"/>
    <w:rsid w:val="002342CF"/>
    <w:rsid w:val="00234414"/>
    <w:rsid w:val="00234795"/>
    <w:rsid w:val="00240649"/>
    <w:rsid w:val="0024175E"/>
    <w:rsid w:val="00241B57"/>
    <w:rsid w:val="00242730"/>
    <w:rsid w:val="00243D99"/>
    <w:rsid w:val="0024464E"/>
    <w:rsid w:val="002451EC"/>
    <w:rsid w:val="00245C2E"/>
    <w:rsid w:val="00251BE7"/>
    <w:rsid w:val="00254BBB"/>
    <w:rsid w:val="00257A9F"/>
    <w:rsid w:val="00257F9D"/>
    <w:rsid w:val="00260F43"/>
    <w:rsid w:val="00261742"/>
    <w:rsid w:val="0026566E"/>
    <w:rsid w:val="0027144B"/>
    <w:rsid w:val="00271DB2"/>
    <w:rsid w:val="0027468F"/>
    <w:rsid w:val="00274C13"/>
    <w:rsid w:val="002774C5"/>
    <w:rsid w:val="002808C3"/>
    <w:rsid w:val="00280C23"/>
    <w:rsid w:val="00280E6E"/>
    <w:rsid w:val="00284131"/>
    <w:rsid w:val="002850B7"/>
    <w:rsid w:val="00286536"/>
    <w:rsid w:val="00286F34"/>
    <w:rsid w:val="0028740C"/>
    <w:rsid w:val="00287B29"/>
    <w:rsid w:val="00287B8B"/>
    <w:rsid w:val="00291362"/>
    <w:rsid w:val="002946BA"/>
    <w:rsid w:val="00294A6A"/>
    <w:rsid w:val="002959E5"/>
    <w:rsid w:val="002962C8"/>
    <w:rsid w:val="00297732"/>
    <w:rsid w:val="002A3A49"/>
    <w:rsid w:val="002A3F3A"/>
    <w:rsid w:val="002A437F"/>
    <w:rsid w:val="002A533E"/>
    <w:rsid w:val="002A55CE"/>
    <w:rsid w:val="002B02B0"/>
    <w:rsid w:val="002B4159"/>
    <w:rsid w:val="002B54CE"/>
    <w:rsid w:val="002B60DB"/>
    <w:rsid w:val="002B6FD3"/>
    <w:rsid w:val="002B7615"/>
    <w:rsid w:val="002C2C03"/>
    <w:rsid w:val="002C38BA"/>
    <w:rsid w:val="002C449D"/>
    <w:rsid w:val="002C463C"/>
    <w:rsid w:val="002C4D30"/>
    <w:rsid w:val="002C616F"/>
    <w:rsid w:val="002D0824"/>
    <w:rsid w:val="002D1CE2"/>
    <w:rsid w:val="002D1FBE"/>
    <w:rsid w:val="002D24BC"/>
    <w:rsid w:val="002D47DF"/>
    <w:rsid w:val="002D48A6"/>
    <w:rsid w:val="002D5200"/>
    <w:rsid w:val="002D7040"/>
    <w:rsid w:val="002D7793"/>
    <w:rsid w:val="002E030C"/>
    <w:rsid w:val="002E34D6"/>
    <w:rsid w:val="002E49D1"/>
    <w:rsid w:val="002E5DAA"/>
    <w:rsid w:val="002E6395"/>
    <w:rsid w:val="002E68D5"/>
    <w:rsid w:val="002F1B82"/>
    <w:rsid w:val="002F1B95"/>
    <w:rsid w:val="002F1FBE"/>
    <w:rsid w:val="002F5542"/>
    <w:rsid w:val="002F6EA3"/>
    <w:rsid w:val="002F7FD6"/>
    <w:rsid w:val="0030347E"/>
    <w:rsid w:val="0030379D"/>
    <w:rsid w:val="0030412E"/>
    <w:rsid w:val="003050EE"/>
    <w:rsid w:val="0030528A"/>
    <w:rsid w:val="00310A4F"/>
    <w:rsid w:val="00310DD6"/>
    <w:rsid w:val="0031372F"/>
    <w:rsid w:val="00314D86"/>
    <w:rsid w:val="003154EE"/>
    <w:rsid w:val="00315A5C"/>
    <w:rsid w:val="00315E85"/>
    <w:rsid w:val="003161A7"/>
    <w:rsid w:val="003167A5"/>
    <w:rsid w:val="003171C0"/>
    <w:rsid w:val="00320F39"/>
    <w:rsid w:val="003229AB"/>
    <w:rsid w:val="00323FF1"/>
    <w:rsid w:val="0032609C"/>
    <w:rsid w:val="003277B6"/>
    <w:rsid w:val="00330A57"/>
    <w:rsid w:val="00333B47"/>
    <w:rsid w:val="00334D7B"/>
    <w:rsid w:val="0033618A"/>
    <w:rsid w:val="003377E4"/>
    <w:rsid w:val="00337D5E"/>
    <w:rsid w:val="0034138F"/>
    <w:rsid w:val="003422EA"/>
    <w:rsid w:val="003440B7"/>
    <w:rsid w:val="00344429"/>
    <w:rsid w:val="00346021"/>
    <w:rsid w:val="003508D0"/>
    <w:rsid w:val="00350F55"/>
    <w:rsid w:val="00353E27"/>
    <w:rsid w:val="00355339"/>
    <w:rsid w:val="00356F1D"/>
    <w:rsid w:val="00363801"/>
    <w:rsid w:val="00366833"/>
    <w:rsid w:val="00371858"/>
    <w:rsid w:val="00371B8C"/>
    <w:rsid w:val="0037220B"/>
    <w:rsid w:val="00376661"/>
    <w:rsid w:val="0038099B"/>
    <w:rsid w:val="003810FE"/>
    <w:rsid w:val="00381C0E"/>
    <w:rsid w:val="00381DA0"/>
    <w:rsid w:val="003834FD"/>
    <w:rsid w:val="003900D3"/>
    <w:rsid w:val="0039016A"/>
    <w:rsid w:val="00390CA9"/>
    <w:rsid w:val="003925CA"/>
    <w:rsid w:val="003933F2"/>
    <w:rsid w:val="0039497C"/>
    <w:rsid w:val="00394A94"/>
    <w:rsid w:val="003A16E8"/>
    <w:rsid w:val="003A2C0F"/>
    <w:rsid w:val="003A325C"/>
    <w:rsid w:val="003A7ED4"/>
    <w:rsid w:val="003B0C32"/>
    <w:rsid w:val="003B1576"/>
    <w:rsid w:val="003B257B"/>
    <w:rsid w:val="003B31B5"/>
    <w:rsid w:val="003B361B"/>
    <w:rsid w:val="003B3683"/>
    <w:rsid w:val="003B7A80"/>
    <w:rsid w:val="003C0487"/>
    <w:rsid w:val="003C0AF7"/>
    <w:rsid w:val="003C0DF1"/>
    <w:rsid w:val="003C1803"/>
    <w:rsid w:val="003C1835"/>
    <w:rsid w:val="003C2381"/>
    <w:rsid w:val="003C557A"/>
    <w:rsid w:val="003C5C4D"/>
    <w:rsid w:val="003C6C88"/>
    <w:rsid w:val="003C7872"/>
    <w:rsid w:val="003D0730"/>
    <w:rsid w:val="003D3615"/>
    <w:rsid w:val="003D4BF6"/>
    <w:rsid w:val="003D5839"/>
    <w:rsid w:val="003D6F15"/>
    <w:rsid w:val="003D7495"/>
    <w:rsid w:val="003E0D85"/>
    <w:rsid w:val="003E5EE9"/>
    <w:rsid w:val="003E70E8"/>
    <w:rsid w:val="003F08C3"/>
    <w:rsid w:val="003F0A17"/>
    <w:rsid w:val="003F1B59"/>
    <w:rsid w:val="003F5FE2"/>
    <w:rsid w:val="003F6E95"/>
    <w:rsid w:val="00400546"/>
    <w:rsid w:val="00400A55"/>
    <w:rsid w:val="00401A28"/>
    <w:rsid w:val="00404354"/>
    <w:rsid w:val="00404624"/>
    <w:rsid w:val="00404B1E"/>
    <w:rsid w:val="00410CD6"/>
    <w:rsid w:val="00410D34"/>
    <w:rsid w:val="0041284C"/>
    <w:rsid w:val="00413CDB"/>
    <w:rsid w:val="004141C5"/>
    <w:rsid w:val="00415E32"/>
    <w:rsid w:val="00416068"/>
    <w:rsid w:val="00417F95"/>
    <w:rsid w:val="00421803"/>
    <w:rsid w:val="004232C8"/>
    <w:rsid w:val="00424911"/>
    <w:rsid w:val="0043119F"/>
    <w:rsid w:val="004332DD"/>
    <w:rsid w:val="004357F1"/>
    <w:rsid w:val="00435A74"/>
    <w:rsid w:val="00440A12"/>
    <w:rsid w:val="00440B81"/>
    <w:rsid w:val="00441A75"/>
    <w:rsid w:val="00442769"/>
    <w:rsid w:val="0044374D"/>
    <w:rsid w:val="00446F05"/>
    <w:rsid w:val="0044704C"/>
    <w:rsid w:val="00447E41"/>
    <w:rsid w:val="0045002D"/>
    <w:rsid w:val="00451CFD"/>
    <w:rsid w:val="004521CB"/>
    <w:rsid w:val="0045284E"/>
    <w:rsid w:val="00455541"/>
    <w:rsid w:val="00456264"/>
    <w:rsid w:val="00461717"/>
    <w:rsid w:val="00462960"/>
    <w:rsid w:val="0046749D"/>
    <w:rsid w:val="004718D6"/>
    <w:rsid w:val="00471A8B"/>
    <w:rsid w:val="00472477"/>
    <w:rsid w:val="004724B9"/>
    <w:rsid w:val="004745FF"/>
    <w:rsid w:val="0047772D"/>
    <w:rsid w:val="00481679"/>
    <w:rsid w:val="00481BE6"/>
    <w:rsid w:val="00482262"/>
    <w:rsid w:val="00482314"/>
    <w:rsid w:val="00483364"/>
    <w:rsid w:val="00483549"/>
    <w:rsid w:val="004853C0"/>
    <w:rsid w:val="004854AA"/>
    <w:rsid w:val="00485A1E"/>
    <w:rsid w:val="004870C5"/>
    <w:rsid w:val="00490313"/>
    <w:rsid w:val="00490E8D"/>
    <w:rsid w:val="004920BC"/>
    <w:rsid w:val="00495B7E"/>
    <w:rsid w:val="00495BC6"/>
    <w:rsid w:val="00497FC0"/>
    <w:rsid w:val="004A0DA9"/>
    <w:rsid w:val="004A228B"/>
    <w:rsid w:val="004A2551"/>
    <w:rsid w:val="004A312D"/>
    <w:rsid w:val="004A3CC8"/>
    <w:rsid w:val="004A5DC1"/>
    <w:rsid w:val="004A6643"/>
    <w:rsid w:val="004A7EDC"/>
    <w:rsid w:val="004B1A3C"/>
    <w:rsid w:val="004B3D7D"/>
    <w:rsid w:val="004B52E1"/>
    <w:rsid w:val="004B6E01"/>
    <w:rsid w:val="004B73B6"/>
    <w:rsid w:val="004B7DA6"/>
    <w:rsid w:val="004C1912"/>
    <w:rsid w:val="004C1DD8"/>
    <w:rsid w:val="004C204E"/>
    <w:rsid w:val="004C23F9"/>
    <w:rsid w:val="004C268D"/>
    <w:rsid w:val="004C66A0"/>
    <w:rsid w:val="004C77E7"/>
    <w:rsid w:val="004C7A66"/>
    <w:rsid w:val="004D0168"/>
    <w:rsid w:val="004D0AF0"/>
    <w:rsid w:val="004D6B40"/>
    <w:rsid w:val="004E0366"/>
    <w:rsid w:val="004E2DD8"/>
    <w:rsid w:val="004E33AC"/>
    <w:rsid w:val="004E349F"/>
    <w:rsid w:val="004E4485"/>
    <w:rsid w:val="004E5745"/>
    <w:rsid w:val="004E699E"/>
    <w:rsid w:val="004F1469"/>
    <w:rsid w:val="004F5A65"/>
    <w:rsid w:val="00503F87"/>
    <w:rsid w:val="00504001"/>
    <w:rsid w:val="00504CBE"/>
    <w:rsid w:val="005067C9"/>
    <w:rsid w:val="0050690C"/>
    <w:rsid w:val="00507593"/>
    <w:rsid w:val="00510A4E"/>
    <w:rsid w:val="0051159B"/>
    <w:rsid w:val="00512622"/>
    <w:rsid w:val="0051270E"/>
    <w:rsid w:val="005148DB"/>
    <w:rsid w:val="00516C51"/>
    <w:rsid w:val="00520A90"/>
    <w:rsid w:val="00524B14"/>
    <w:rsid w:val="005272A4"/>
    <w:rsid w:val="0052730B"/>
    <w:rsid w:val="005278B6"/>
    <w:rsid w:val="005315B4"/>
    <w:rsid w:val="00532536"/>
    <w:rsid w:val="00534A5D"/>
    <w:rsid w:val="00534FE2"/>
    <w:rsid w:val="00535201"/>
    <w:rsid w:val="005408E5"/>
    <w:rsid w:val="0054140C"/>
    <w:rsid w:val="00541861"/>
    <w:rsid w:val="0054276E"/>
    <w:rsid w:val="00544624"/>
    <w:rsid w:val="00545C61"/>
    <w:rsid w:val="005470A3"/>
    <w:rsid w:val="00550F35"/>
    <w:rsid w:val="00551409"/>
    <w:rsid w:val="005558F6"/>
    <w:rsid w:val="00560150"/>
    <w:rsid w:val="0056068B"/>
    <w:rsid w:val="00561F5D"/>
    <w:rsid w:val="005624D5"/>
    <w:rsid w:val="005652FA"/>
    <w:rsid w:val="00565C6E"/>
    <w:rsid w:val="00565DAA"/>
    <w:rsid w:val="00566F98"/>
    <w:rsid w:val="00570312"/>
    <w:rsid w:val="005708A0"/>
    <w:rsid w:val="005720F6"/>
    <w:rsid w:val="00574EEE"/>
    <w:rsid w:val="00576881"/>
    <w:rsid w:val="00580BA1"/>
    <w:rsid w:val="005837CE"/>
    <w:rsid w:val="005855EC"/>
    <w:rsid w:val="00591AB8"/>
    <w:rsid w:val="00593FC7"/>
    <w:rsid w:val="00595C87"/>
    <w:rsid w:val="005A0753"/>
    <w:rsid w:val="005A0F0B"/>
    <w:rsid w:val="005A12E7"/>
    <w:rsid w:val="005A3749"/>
    <w:rsid w:val="005A4BF5"/>
    <w:rsid w:val="005A55D9"/>
    <w:rsid w:val="005A5FB2"/>
    <w:rsid w:val="005A6D2A"/>
    <w:rsid w:val="005A6E09"/>
    <w:rsid w:val="005A7409"/>
    <w:rsid w:val="005B1026"/>
    <w:rsid w:val="005B135B"/>
    <w:rsid w:val="005B13FE"/>
    <w:rsid w:val="005C0315"/>
    <w:rsid w:val="005C1889"/>
    <w:rsid w:val="005C3106"/>
    <w:rsid w:val="005C4715"/>
    <w:rsid w:val="005C4AB2"/>
    <w:rsid w:val="005C6CB7"/>
    <w:rsid w:val="005D0957"/>
    <w:rsid w:val="005D21B2"/>
    <w:rsid w:val="005D2726"/>
    <w:rsid w:val="005D3725"/>
    <w:rsid w:val="005D5245"/>
    <w:rsid w:val="005D5E83"/>
    <w:rsid w:val="005D67E1"/>
    <w:rsid w:val="005D6BCD"/>
    <w:rsid w:val="005E054B"/>
    <w:rsid w:val="005E06E0"/>
    <w:rsid w:val="005E0A95"/>
    <w:rsid w:val="005E0AF7"/>
    <w:rsid w:val="005E0BA6"/>
    <w:rsid w:val="005E1754"/>
    <w:rsid w:val="005E1F86"/>
    <w:rsid w:val="005E279B"/>
    <w:rsid w:val="005E30E3"/>
    <w:rsid w:val="005E3178"/>
    <w:rsid w:val="005E5246"/>
    <w:rsid w:val="005E58FF"/>
    <w:rsid w:val="005E60F5"/>
    <w:rsid w:val="005E718A"/>
    <w:rsid w:val="005E7698"/>
    <w:rsid w:val="005E7C0B"/>
    <w:rsid w:val="005E7FBA"/>
    <w:rsid w:val="005F1EC5"/>
    <w:rsid w:val="005F2C56"/>
    <w:rsid w:val="005F34C4"/>
    <w:rsid w:val="005F4811"/>
    <w:rsid w:val="005F6269"/>
    <w:rsid w:val="00600367"/>
    <w:rsid w:val="00600546"/>
    <w:rsid w:val="00601FF9"/>
    <w:rsid w:val="00604A8D"/>
    <w:rsid w:val="006059A1"/>
    <w:rsid w:val="006065C3"/>
    <w:rsid w:val="006079F1"/>
    <w:rsid w:val="00607D83"/>
    <w:rsid w:val="00610316"/>
    <w:rsid w:val="0061312D"/>
    <w:rsid w:val="00621186"/>
    <w:rsid w:val="00624660"/>
    <w:rsid w:val="00624856"/>
    <w:rsid w:val="00626552"/>
    <w:rsid w:val="00626B5D"/>
    <w:rsid w:val="006270AA"/>
    <w:rsid w:val="006273B3"/>
    <w:rsid w:val="00630F6C"/>
    <w:rsid w:val="006319B5"/>
    <w:rsid w:val="006324F6"/>
    <w:rsid w:val="00634A47"/>
    <w:rsid w:val="0063741A"/>
    <w:rsid w:val="00637A9C"/>
    <w:rsid w:val="00641FD6"/>
    <w:rsid w:val="00642002"/>
    <w:rsid w:val="0064227B"/>
    <w:rsid w:val="00643318"/>
    <w:rsid w:val="006445B0"/>
    <w:rsid w:val="00645502"/>
    <w:rsid w:val="00645B2D"/>
    <w:rsid w:val="00646350"/>
    <w:rsid w:val="0065047D"/>
    <w:rsid w:val="0065259B"/>
    <w:rsid w:val="006531CE"/>
    <w:rsid w:val="00660314"/>
    <w:rsid w:val="0066113D"/>
    <w:rsid w:val="00663171"/>
    <w:rsid w:val="006635A1"/>
    <w:rsid w:val="0066501D"/>
    <w:rsid w:val="00666CE3"/>
    <w:rsid w:val="00667249"/>
    <w:rsid w:val="0066758B"/>
    <w:rsid w:val="00667BCE"/>
    <w:rsid w:val="006702E9"/>
    <w:rsid w:val="00670D9D"/>
    <w:rsid w:val="006716F9"/>
    <w:rsid w:val="0067188D"/>
    <w:rsid w:val="006736BB"/>
    <w:rsid w:val="00673750"/>
    <w:rsid w:val="006737D8"/>
    <w:rsid w:val="0067418E"/>
    <w:rsid w:val="00674699"/>
    <w:rsid w:val="00675BC7"/>
    <w:rsid w:val="00682250"/>
    <w:rsid w:val="006847EC"/>
    <w:rsid w:val="00684FA2"/>
    <w:rsid w:val="006851EC"/>
    <w:rsid w:val="006854BF"/>
    <w:rsid w:val="006872A8"/>
    <w:rsid w:val="006902DC"/>
    <w:rsid w:val="00691BAC"/>
    <w:rsid w:val="00692EF7"/>
    <w:rsid w:val="00693459"/>
    <w:rsid w:val="00694E23"/>
    <w:rsid w:val="00697666"/>
    <w:rsid w:val="006A09A9"/>
    <w:rsid w:val="006A152B"/>
    <w:rsid w:val="006A1C29"/>
    <w:rsid w:val="006A237C"/>
    <w:rsid w:val="006A6276"/>
    <w:rsid w:val="006A7CE0"/>
    <w:rsid w:val="006B3BBE"/>
    <w:rsid w:val="006B4AE0"/>
    <w:rsid w:val="006B559F"/>
    <w:rsid w:val="006B5645"/>
    <w:rsid w:val="006B6CF8"/>
    <w:rsid w:val="006C07C6"/>
    <w:rsid w:val="006C1F11"/>
    <w:rsid w:val="006C4483"/>
    <w:rsid w:val="006C4EDE"/>
    <w:rsid w:val="006C5A5C"/>
    <w:rsid w:val="006C6686"/>
    <w:rsid w:val="006C74E5"/>
    <w:rsid w:val="006D108B"/>
    <w:rsid w:val="006D2D14"/>
    <w:rsid w:val="006D30C7"/>
    <w:rsid w:val="006D3EE2"/>
    <w:rsid w:val="006D40B5"/>
    <w:rsid w:val="006D6A0A"/>
    <w:rsid w:val="006D6C04"/>
    <w:rsid w:val="006E03CD"/>
    <w:rsid w:val="006E160B"/>
    <w:rsid w:val="006E1747"/>
    <w:rsid w:val="006E2A0B"/>
    <w:rsid w:val="006E2B9B"/>
    <w:rsid w:val="006E2FE8"/>
    <w:rsid w:val="006E4005"/>
    <w:rsid w:val="006E4C73"/>
    <w:rsid w:val="006E4F96"/>
    <w:rsid w:val="006E6582"/>
    <w:rsid w:val="006F11D2"/>
    <w:rsid w:val="006F2738"/>
    <w:rsid w:val="006F2B89"/>
    <w:rsid w:val="006F36F0"/>
    <w:rsid w:val="006F3778"/>
    <w:rsid w:val="006F5DFA"/>
    <w:rsid w:val="006F6BFE"/>
    <w:rsid w:val="006F6EF5"/>
    <w:rsid w:val="007026D8"/>
    <w:rsid w:val="0070286C"/>
    <w:rsid w:val="00703E77"/>
    <w:rsid w:val="00704D64"/>
    <w:rsid w:val="00705EC3"/>
    <w:rsid w:val="0071755E"/>
    <w:rsid w:val="007205CA"/>
    <w:rsid w:val="007218C6"/>
    <w:rsid w:val="00722E8E"/>
    <w:rsid w:val="0072372E"/>
    <w:rsid w:val="00724975"/>
    <w:rsid w:val="00725449"/>
    <w:rsid w:val="0072586D"/>
    <w:rsid w:val="007259FF"/>
    <w:rsid w:val="00725C61"/>
    <w:rsid w:val="007263ED"/>
    <w:rsid w:val="00732CCA"/>
    <w:rsid w:val="007338BB"/>
    <w:rsid w:val="00735235"/>
    <w:rsid w:val="007356C5"/>
    <w:rsid w:val="0073578F"/>
    <w:rsid w:val="00735BD2"/>
    <w:rsid w:val="00736A68"/>
    <w:rsid w:val="00743D2E"/>
    <w:rsid w:val="00744D33"/>
    <w:rsid w:val="0074638D"/>
    <w:rsid w:val="00746634"/>
    <w:rsid w:val="00746FB2"/>
    <w:rsid w:val="007500A1"/>
    <w:rsid w:val="007505FF"/>
    <w:rsid w:val="007517B7"/>
    <w:rsid w:val="00751C5B"/>
    <w:rsid w:val="00752D8B"/>
    <w:rsid w:val="00753DB1"/>
    <w:rsid w:val="00754181"/>
    <w:rsid w:val="00756E37"/>
    <w:rsid w:val="007575DF"/>
    <w:rsid w:val="00757CB3"/>
    <w:rsid w:val="0076062E"/>
    <w:rsid w:val="00760B31"/>
    <w:rsid w:val="00760DDE"/>
    <w:rsid w:val="00764270"/>
    <w:rsid w:val="00764E54"/>
    <w:rsid w:val="00767657"/>
    <w:rsid w:val="0076782F"/>
    <w:rsid w:val="007720FF"/>
    <w:rsid w:val="007732C9"/>
    <w:rsid w:val="00773F15"/>
    <w:rsid w:val="007741C5"/>
    <w:rsid w:val="00774EDA"/>
    <w:rsid w:val="00775FC0"/>
    <w:rsid w:val="007769E6"/>
    <w:rsid w:val="00777A0A"/>
    <w:rsid w:val="00790BCC"/>
    <w:rsid w:val="00790E37"/>
    <w:rsid w:val="00791078"/>
    <w:rsid w:val="00792CB9"/>
    <w:rsid w:val="00794391"/>
    <w:rsid w:val="0079473D"/>
    <w:rsid w:val="0079540C"/>
    <w:rsid w:val="007A246A"/>
    <w:rsid w:val="007A475B"/>
    <w:rsid w:val="007A5617"/>
    <w:rsid w:val="007A5764"/>
    <w:rsid w:val="007A6835"/>
    <w:rsid w:val="007A6C1B"/>
    <w:rsid w:val="007A72F8"/>
    <w:rsid w:val="007A7FB4"/>
    <w:rsid w:val="007B0FB3"/>
    <w:rsid w:val="007B61F5"/>
    <w:rsid w:val="007B6CEF"/>
    <w:rsid w:val="007B70CB"/>
    <w:rsid w:val="007B7504"/>
    <w:rsid w:val="007C2D1C"/>
    <w:rsid w:val="007C66F1"/>
    <w:rsid w:val="007D05FB"/>
    <w:rsid w:val="007D2ADC"/>
    <w:rsid w:val="007D4B3D"/>
    <w:rsid w:val="007E0B55"/>
    <w:rsid w:val="007E0D08"/>
    <w:rsid w:val="007E2570"/>
    <w:rsid w:val="007E340C"/>
    <w:rsid w:val="007E34BB"/>
    <w:rsid w:val="007E4272"/>
    <w:rsid w:val="007E5925"/>
    <w:rsid w:val="007E6FAE"/>
    <w:rsid w:val="007F1B6A"/>
    <w:rsid w:val="007F26D9"/>
    <w:rsid w:val="007F33BA"/>
    <w:rsid w:val="007F3871"/>
    <w:rsid w:val="007F3BA9"/>
    <w:rsid w:val="007F4C90"/>
    <w:rsid w:val="007F58B9"/>
    <w:rsid w:val="007F6791"/>
    <w:rsid w:val="007F7004"/>
    <w:rsid w:val="007F75D5"/>
    <w:rsid w:val="00800039"/>
    <w:rsid w:val="0080055A"/>
    <w:rsid w:val="00802498"/>
    <w:rsid w:val="0080359A"/>
    <w:rsid w:val="00804B9F"/>
    <w:rsid w:val="008055C1"/>
    <w:rsid w:val="008101DA"/>
    <w:rsid w:val="00812F86"/>
    <w:rsid w:val="008168D8"/>
    <w:rsid w:val="00816997"/>
    <w:rsid w:val="0081731D"/>
    <w:rsid w:val="008200C7"/>
    <w:rsid w:val="008204DC"/>
    <w:rsid w:val="00820CD4"/>
    <w:rsid w:val="008220BA"/>
    <w:rsid w:val="0082323B"/>
    <w:rsid w:val="00824FF9"/>
    <w:rsid w:val="00825625"/>
    <w:rsid w:val="0082619A"/>
    <w:rsid w:val="00831C8B"/>
    <w:rsid w:val="0083442A"/>
    <w:rsid w:val="00836383"/>
    <w:rsid w:val="008403F3"/>
    <w:rsid w:val="00846079"/>
    <w:rsid w:val="008461A8"/>
    <w:rsid w:val="008463CA"/>
    <w:rsid w:val="00846816"/>
    <w:rsid w:val="00850E5F"/>
    <w:rsid w:val="00850FF1"/>
    <w:rsid w:val="008535D2"/>
    <w:rsid w:val="00853F1B"/>
    <w:rsid w:val="00855E8C"/>
    <w:rsid w:val="00862A6C"/>
    <w:rsid w:val="00863D2F"/>
    <w:rsid w:val="008645DC"/>
    <w:rsid w:val="00865003"/>
    <w:rsid w:val="008711E8"/>
    <w:rsid w:val="00872BB2"/>
    <w:rsid w:val="00873686"/>
    <w:rsid w:val="00874189"/>
    <w:rsid w:val="00874249"/>
    <w:rsid w:val="00874BB4"/>
    <w:rsid w:val="00876DD7"/>
    <w:rsid w:val="0087723A"/>
    <w:rsid w:val="00881620"/>
    <w:rsid w:val="0088198C"/>
    <w:rsid w:val="008819B5"/>
    <w:rsid w:val="00882FB7"/>
    <w:rsid w:val="00883550"/>
    <w:rsid w:val="00883FA7"/>
    <w:rsid w:val="00885036"/>
    <w:rsid w:val="00887066"/>
    <w:rsid w:val="00887F8F"/>
    <w:rsid w:val="00890BD2"/>
    <w:rsid w:val="00892BCB"/>
    <w:rsid w:val="00893D7E"/>
    <w:rsid w:val="008947C6"/>
    <w:rsid w:val="0089577C"/>
    <w:rsid w:val="00896021"/>
    <w:rsid w:val="0089706B"/>
    <w:rsid w:val="00897510"/>
    <w:rsid w:val="008A1459"/>
    <w:rsid w:val="008A387F"/>
    <w:rsid w:val="008A406F"/>
    <w:rsid w:val="008A5711"/>
    <w:rsid w:val="008A5FE3"/>
    <w:rsid w:val="008A6265"/>
    <w:rsid w:val="008A6FB7"/>
    <w:rsid w:val="008A7293"/>
    <w:rsid w:val="008B1A22"/>
    <w:rsid w:val="008B1CF2"/>
    <w:rsid w:val="008B2353"/>
    <w:rsid w:val="008B2545"/>
    <w:rsid w:val="008B2CA7"/>
    <w:rsid w:val="008B4934"/>
    <w:rsid w:val="008B4B7A"/>
    <w:rsid w:val="008B5486"/>
    <w:rsid w:val="008B6187"/>
    <w:rsid w:val="008B6238"/>
    <w:rsid w:val="008B76AC"/>
    <w:rsid w:val="008C0DC8"/>
    <w:rsid w:val="008C4EF6"/>
    <w:rsid w:val="008C4F23"/>
    <w:rsid w:val="008C5FF1"/>
    <w:rsid w:val="008D3E0C"/>
    <w:rsid w:val="008D4D0B"/>
    <w:rsid w:val="008D4EB8"/>
    <w:rsid w:val="008E0491"/>
    <w:rsid w:val="008E16D7"/>
    <w:rsid w:val="008E1C51"/>
    <w:rsid w:val="008E1D57"/>
    <w:rsid w:val="008E233D"/>
    <w:rsid w:val="008E3422"/>
    <w:rsid w:val="008E3940"/>
    <w:rsid w:val="008E49EF"/>
    <w:rsid w:val="008E4D98"/>
    <w:rsid w:val="008E5036"/>
    <w:rsid w:val="008E661D"/>
    <w:rsid w:val="008E79CA"/>
    <w:rsid w:val="008E7CE5"/>
    <w:rsid w:val="008F0ED3"/>
    <w:rsid w:val="008F1F0E"/>
    <w:rsid w:val="008F3769"/>
    <w:rsid w:val="008F3D40"/>
    <w:rsid w:val="008F66D7"/>
    <w:rsid w:val="008F7C52"/>
    <w:rsid w:val="008F7F6F"/>
    <w:rsid w:val="00901C27"/>
    <w:rsid w:val="0090616A"/>
    <w:rsid w:val="009065FB"/>
    <w:rsid w:val="00906883"/>
    <w:rsid w:val="009069FF"/>
    <w:rsid w:val="00906C0E"/>
    <w:rsid w:val="00906E8A"/>
    <w:rsid w:val="00912F4B"/>
    <w:rsid w:val="00913104"/>
    <w:rsid w:val="00914163"/>
    <w:rsid w:val="009146A5"/>
    <w:rsid w:val="00914CF9"/>
    <w:rsid w:val="00917088"/>
    <w:rsid w:val="009173A4"/>
    <w:rsid w:val="00917CA9"/>
    <w:rsid w:val="00920ECE"/>
    <w:rsid w:val="00921103"/>
    <w:rsid w:val="00921659"/>
    <w:rsid w:val="00921EA0"/>
    <w:rsid w:val="00922123"/>
    <w:rsid w:val="009222E3"/>
    <w:rsid w:val="00922A40"/>
    <w:rsid w:val="00923A5D"/>
    <w:rsid w:val="00924837"/>
    <w:rsid w:val="00930903"/>
    <w:rsid w:val="00933B66"/>
    <w:rsid w:val="00933DD5"/>
    <w:rsid w:val="00936C32"/>
    <w:rsid w:val="00940E56"/>
    <w:rsid w:val="00942C97"/>
    <w:rsid w:val="009438A1"/>
    <w:rsid w:val="00943E44"/>
    <w:rsid w:val="009444AE"/>
    <w:rsid w:val="00946878"/>
    <w:rsid w:val="00947316"/>
    <w:rsid w:val="009476DC"/>
    <w:rsid w:val="00947B7A"/>
    <w:rsid w:val="00947BBC"/>
    <w:rsid w:val="0095254C"/>
    <w:rsid w:val="009531DC"/>
    <w:rsid w:val="009534FA"/>
    <w:rsid w:val="009535D4"/>
    <w:rsid w:val="0095377D"/>
    <w:rsid w:val="0095410D"/>
    <w:rsid w:val="00956AA7"/>
    <w:rsid w:val="009579AC"/>
    <w:rsid w:val="00957A93"/>
    <w:rsid w:val="00960599"/>
    <w:rsid w:val="00961F73"/>
    <w:rsid w:val="0096266E"/>
    <w:rsid w:val="00962F3A"/>
    <w:rsid w:val="00963F4D"/>
    <w:rsid w:val="00967E43"/>
    <w:rsid w:val="00971672"/>
    <w:rsid w:val="00971D8B"/>
    <w:rsid w:val="00971FA3"/>
    <w:rsid w:val="00972568"/>
    <w:rsid w:val="00974279"/>
    <w:rsid w:val="00974497"/>
    <w:rsid w:val="00974DC4"/>
    <w:rsid w:val="00975BCF"/>
    <w:rsid w:val="00976DC4"/>
    <w:rsid w:val="0098142A"/>
    <w:rsid w:val="009816B7"/>
    <w:rsid w:val="009839F2"/>
    <w:rsid w:val="009902FA"/>
    <w:rsid w:val="009928CA"/>
    <w:rsid w:val="00992EFA"/>
    <w:rsid w:val="0099415F"/>
    <w:rsid w:val="0099688F"/>
    <w:rsid w:val="00997763"/>
    <w:rsid w:val="009A0C2F"/>
    <w:rsid w:val="009A4B9A"/>
    <w:rsid w:val="009A51AE"/>
    <w:rsid w:val="009A5331"/>
    <w:rsid w:val="009B1978"/>
    <w:rsid w:val="009B3B8C"/>
    <w:rsid w:val="009B3C8C"/>
    <w:rsid w:val="009B45A9"/>
    <w:rsid w:val="009B490A"/>
    <w:rsid w:val="009B4950"/>
    <w:rsid w:val="009B49F3"/>
    <w:rsid w:val="009B50C2"/>
    <w:rsid w:val="009B606B"/>
    <w:rsid w:val="009B66A8"/>
    <w:rsid w:val="009B7347"/>
    <w:rsid w:val="009C1319"/>
    <w:rsid w:val="009C3301"/>
    <w:rsid w:val="009C3FDB"/>
    <w:rsid w:val="009C4AFD"/>
    <w:rsid w:val="009D0BD3"/>
    <w:rsid w:val="009D1E48"/>
    <w:rsid w:val="009D47AF"/>
    <w:rsid w:val="009D51A0"/>
    <w:rsid w:val="009D5D9D"/>
    <w:rsid w:val="009D71B4"/>
    <w:rsid w:val="009D7446"/>
    <w:rsid w:val="009E0BDC"/>
    <w:rsid w:val="009E1818"/>
    <w:rsid w:val="009E1C58"/>
    <w:rsid w:val="009E3314"/>
    <w:rsid w:val="009E35B5"/>
    <w:rsid w:val="009E4090"/>
    <w:rsid w:val="009E5030"/>
    <w:rsid w:val="009E589B"/>
    <w:rsid w:val="009E66DC"/>
    <w:rsid w:val="009E6C15"/>
    <w:rsid w:val="009E76A4"/>
    <w:rsid w:val="009E7A53"/>
    <w:rsid w:val="009F0050"/>
    <w:rsid w:val="009F0848"/>
    <w:rsid w:val="009F186C"/>
    <w:rsid w:val="009F6603"/>
    <w:rsid w:val="00A01761"/>
    <w:rsid w:val="00A038EB"/>
    <w:rsid w:val="00A0540E"/>
    <w:rsid w:val="00A0610E"/>
    <w:rsid w:val="00A06362"/>
    <w:rsid w:val="00A101E9"/>
    <w:rsid w:val="00A128A8"/>
    <w:rsid w:val="00A131B7"/>
    <w:rsid w:val="00A13A74"/>
    <w:rsid w:val="00A15845"/>
    <w:rsid w:val="00A16C02"/>
    <w:rsid w:val="00A1736D"/>
    <w:rsid w:val="00A23E02"/>
    <w:rsid w:val="00A240EB"/>
    <w:rsid w:val="00A253F4"/>
    <w:rsid w:val="00A2570F"/>
    <w:rsid w:val="00A26A68"/>
    <w:rsid w:val="00A2714F"/>
    <w:rsid w:val="00A27175"/>
    <w:rsid w:val="00A27317"/>
    <w:rsid w:val="00A3177D"/>
    <w:rsid w:val="00A31DCA"/>
    <w:rsid w:val="00A32FCA"/>
    <w:rsid w:val="00A33E7B"/>
    <w:rsid w:val="00A353C4"/>
    <w:rsid w:val="00A40C66"/>
    <w:rsid w:val="00A41231"/>
    <w:rsid w:val="00A43CCF"/>
    <w:rsid w:val="00A443A5"/>
    <w:rsid w:val="00A46BEC"/>
    <w:rsid w:val="00A47AD1"/>
    <w:rsid w:val="00A50A94"/>
    <w:rsid w:val="00A50BB2"/>
    <w:rsid w:val="00A514CB"/>
    <w:rsid w:val="00A53A63"/>
    <w:rsid w:val="00A5587C"/>
    <w:rsid w:val="00A57738"/>
    <w:rsid w:val="00A6291D"/>
    <w:rsid w:val="00A62EE2"/>
    <w:rsid w:val="00A63665"/>
    <w:rsid w:val="00A639BE"/>
    <w:rsid w:val="00A64923"/>
    <w:rsid w:val="00A64DCF"/>
    <w:rsid w:val="00A65A2B"/>
    <w:rsid w:val="00A65B86"/>
    <w:rsid w:val="00A66E53"/>
    <w:rsid w:val="00A67677"/>
    <w:rsid w:val="00A67DF3"/>
    <w:rsid w:val="00A7181C"/>
    <w:rsid w:val="00A71B4B"/>
    <w:rsid w:val="00A72245"/>
    <w:rsid w:val="00A8119E"/>
    <w:rsid w:val="00A8134A"/>
    <w:rsid w:val="00A819A2"/>
    <w:rsid w:val="00A82394"/>
    <w:rsid w:val="00A84256"/>
    <w:rsid w:val="00A84365"/>
    <w:rsid w:val="00A849EB"/>
    <w:rsid w:val="00A857D2"/>
    <w:rsid w:val="00A86427"/>
    <w:rsid w:val="00A941A8"/>
    <w:rsid w:val="00A968DB"/>
    <w:rsid w:val="00A96B84"/>
    <w:rsid w:val="00A96FA0"/>
    <w:rsid w:val="00A97A69"/>
    <w:rsid w:val="00AA0E88"/>
    <w:rsid w:val="00AA1039"/>
    <w:rsid w:val="00AA163F"/>
    <w:rsid w:val="00AA3254"/>
    <w:rsid w:val="00AA3BFF"/>
    <w:rsid w:val="00AA4204"/>
    <w:rsid w:val="00AB1946"/>
    <w:rsid w:val="00AB2C76"/>
    <w:rsid w:val="00AB4F2D"/>
    <w:rsid w:val="00AB56A8"/>
    <w:rsid w:val="00AB5CCA"/>
    <w:rsid w:val="00AB6D3E"/>
    <w:rsid w:val="00AB70FB"/>
    <w:rsid w:val="00AB7366"/>
    <w:rsid w:val="00AC087D"/>
    <w:rsid w:val="00AC41FB"/>
    <w:rsid w:val="00AC450E"/>
    <w:rsid w:val="00AC5659"/>
    <w:rsid w:val="00AC61A4"/>
    <w:rsid w:val="00AC6C17"/>
    <w:rsid w:val="00AD06EC"/>
    <w:rsid w:val="00AD0D07"/>
    <w:rsid w:val="00AD3687"/>
    <w:rsid w:val="00AD457E"/>
    <w:rsid w:val="00AD4848"/>
    <w:rsid w:val="00AD4FCD"/>
    <w:rsid w:val="00AD7F81"/>
    <w:rsid w:val="00AE4EDA"/>
    <w:rsid w:val="00AE5442"/>
    <w:rsid w:val="00AE76B0"/>
    <w:rsid w:val="00AF0375"/>
    <w:rsid w:val="00AF10A5"/>
    <w:rsid w:val="00AF1A87"/>
    <w:rsid w:val="00AF6E40"/>
    <w:rsid w:val="00AF77F9"/>
    <w:rsid w:val="00AF7BA7"/>
    <w:rsid w:val="00B0111D"/>
    <w:rsid w:val="00B01D34"/>
    <w:rsid w:val="00B04C5D"/>
    <w:rsid w:val="00B050E5"/>
    <w:rsid w:val="00B05482"/>
    <w:rsid w:val="00B05846"/>
    <w:rsid w:val="00B10C45"/>
    <w:rsid w:val="00B114C1"/>
    <w:rsid w:val="00B1232D"/>
    <w:rsid w:val="00B15417"/>
    <w:rsid w:val="00B154BB"/>
    <w:rsid w:val="00B16FC3"/>
    <w:rsid w:val="00B17EDD"/>
    <w:rsid w:val="00B2494C"/>
    <w:rsid w:val="00B25E4F"/>
    <w:rsid w:val="00B279EC"/>
    <w:rsid w:val="00B30C4E"/>
    <w:rsid w:val="00B3227C"/>
    <w:rsid w:val="00B33039"/>
    <w:rsid w:val="00B34AE9"/>
    <w:rsid w:val="00B35B82"/>
    <w:rsid w:val="00B35E78"/>
    <w:rsid w:val="00B36911"/>
    <w:rsid w:val="00B3713F"/>
    <w:rsid w:val="00B40554"/>
    <w:rsid w:val="00B406C7"/>
    <w:rsid w:val="00B40A26"/>
    <w:rsid w:val="00B42717"/>
    <w:rsid w:val="00B45892"/>
    <w:rsid w:val="00B45DC5"/>
    <w:rsid w:val="00B4694B"/>
    <w:rsid w:val="00B46EFD"/>
    <w:rsid w:val="00B502CC"/>
    <w:rsid w:val="00B50580"/>
    <w:rsid w:val="00B50797"/>
    <w:rsid w:val="00B50FAE"/>
    <w:rsid w:val="00B52832"/>
    <w:rsid w:val="00B533FB"/>
    <w:rsid w:val="00B542B5"/>
    <w:rsid w:val="00B5521A"/>
    <w:rsid w:val="00B5557C"/>
    <w:rsid w:val="00B560D9"/>
    <w:rsid w:val="00B56CCA"/>
    <w:rsid w:val="00B608EB"/>
    <w:rsid w:val="00B61495"/>
    <w:rsid w:val="00B626A8"/>
    <w:rsid w:val="00B6346D"/>
    <w:rsid w:val="00B636BE"/>
    <w:rsid w:val="00B64212"/>
    <w:rsid w:val="00B65296"/>
    <w:rsid w:val="00B65C5B"/>
    <w:rsid w:val="00B66558"/>
    <w:rsid w:val="00B700B5"/>
    <w:rsid w:val="00B70275"/>
    <w:rsid w:val="00B710DE"/>
    <w:rsid w:val="00B72098"/>
    <w:rsid w:val="00B72990"/>
    <w:rsid w:val="00B72CA0"/>
    <w:rsid w:val="00B74F85"/>
    <w:rsid w:val="00B7594E"/>
    <w:rsid w:val="00B7633D"/>
    <w:rsid w:val="00B77A1C"/>
    <w:rsid w:val="00B77E76"/>
    <w:rsid w:val="00B81B02"/>
    <w:rsid w:val="00B81BE6"/>
    <w:rsid w:val="00B81D25"/>
    <w:rsid w:val="00B82499"/>
    <w:rsid w:val="00B85918"/>
    <w:rsid w:val="00B87B12"/>
    <w:rsid w:val="00B901C8"/>
    <w:rsid w:val="00B910D1"/>
    <w:rsid w:val="00B91D1C"/>
    <w:rsid w:val="00B93A9F"/>
    <w:rsid w:val="00B942D1"/>
    <w:rsid w:val="00B948E0"/>
    <w:rsid w:val="00B9522B"/>
    <w:rsid w:val="00B974AD"/>
    <w:rsid w:val="00BA013D"/>
    <w:rsid w:val="00BA13D5"/>
    <w:rsid w:val="00BA2F06"/>
    <w:rsid w:val="00BA3194"/>
    <w:rsid w:val="00BA36BB"/>
    <w:rsid w:val="00BA45A5"/>
    <w:rsid w:val="00BA6545"/>
    <w:rsid w:val="00BB0636"/>
    <w:rsid w:val="00BB14A9"/>
    <w:rsid w:val="00BB1A64"/>
    <w:rsid w:val="00BB279B"/>
    <w:rsid w:val="00BB583F"/>
    <w:rsid w:val="00BB67BD"/>
    <w:rsid w:val="00BB6AF7"/>
    <w:rsid w:val="00BB6AFA"/>
    <w:rsid w:val="00BB6C6B"/>
    <w:rsid w:val="00BC133E"/>
    <w:rsid w:val="00BC1F67"/>
    <w:rsid w:val="00BC2A7B"/>
    <w:rsid w:val="00BC346A"/>
    <w:rsid w:val="00BC3BD4"/>
    <w:rsid w:val="00BC4D46"/>
    <w:rsid w:val="00BD0211"/>
    <w:rsid w:val="00BD0E33"/>
    <w:rsid w:val="00BD0FF3"/>
    <w:rsid w:val="00BD12A9"/>
    <w:rsid w:val="00BD18E9"/>
    <w:rsid w:val="00BD20C4"/>
    <w:rsid w:val="00BD2E83"/>
    <w:rsid w:val="00BD3FF2"/>
    <w:rsid w:val="00BD5A22"/>
    <w:rsid w:val="00BD709C"/>
    <w:rsid w:val="00BE0F3C"/>
    <w:rsid w:val="00BE1171"/>
    <w:rsid w:val="00BE2177"/>
    <w:rsid w:val="00BE25E8"/>
    <w:rsid w:val="00BE2DF5"/>
    <w:rsid w:val="00BE5B3C"/>
    <w:rsid w:val="00BE6858"/>
    <w:rsid w:val="00BE7701"/>
    <w:rsid w:val="00BF01AA"/>
    <w:rsid w:val="00BF19F4"/>
    <w:rsid w:val="00BF1DFA"/>
    <w:rsid w:val="00BF3A0A"/>
    <w:rsid w:val="00BF48F0"/>
    <w:rsid w:val="00BF7C90"/>
    <w:rsid w:val="00C009C0"/>
    <w:rsid w:val="00C02745"/>
    <w:rsid w:val="00C02B88"/>
    <w:rsid w:val="00C02C98"/>
    <w:rsid w:val="00C0320C"/>
    <w:rsid w:val="00C05182"/>
    <w:rsid w:val="00C05F7B"/>
    <w:rsid w:val="00C06A28"/>
    <w:rsid w:val="00C06D3B"/>
    <w:rsid w:val="00C07DA0"/>
    <w:rsid w:val="00C11C07"/>
    <w:rsid w:val="00C12AE9"/>
    <w:rsid w:val="00C12C9C"/>
    <w:rsid w:val="00C14638"/>
    <w:rsid w:val="00C162C1"/>
    <w:rsid w:val="00C20AEE"/>
    <w:rsid w:val="00C20FC7"/>
    <w:rsid w:val="00C214E4"/>
    <w:rsid w:val="00C21885"/>
    <w:rsid w:val="00C23F8E"/>
    <w:rsid w:val="00C24976"/>
    <w:rsid w:val="00C24D39"/>
    <w:rsid w:val="00C30E0B"/>
    <w:rsid w:val="00C31B46"/>
    <w:rsid w:val="00C33D50"/>
    <w:rsid w:val="00C35598"/>
    <w:rsid w:val="00C35BFF"/>
    <w:rsid w:val="00C363B5"/>
    <w:rsid w:val="00C37606"/>
    <w:rsid w:val="00C408BB"/>
    <w:rsid w:val="00C40FF7"/>
    <w:rsid w:val="00C427A4"/>
    <w:rsid w:val="00C4384C"/>
    <w:rsid w:val="00C43E14"/>
    <w:rsid w:val="00C449C1"/>
    <w:rsid w:val="00C44E5E"/>
    <w:rsid w:val="00C455C9"/>
    <w:rsid w:val="00C4581E"/>
    <w:rsid w:val="00C461A1"/>
    <w:rsid w:val="00C4707A"/>
    <w:rsid w:val="00C53999"/>
    <w:rsid w:val="00C53A0E"/>
    <w:rsid w:val="00C5573F"/>
    <w:rsid w:val="00C56748"/>
    <w:rsid w:val="00C63EE1"/>
    <w:rsid w:val="00C65DD6"/>
    <w:rsid w:val="00C65F6C"/>
    <w:rsid w:val="00C666A1"/>
    <w:rsid w:val="00C66E38"/>
    <w:rsid w:val="00C6764D"/>
    <w:rsid w:val="00C717BE"/>
    <w:rsid w:val="00C71E04"/>
    <w:rsid w:val="00C73B1B"/>
    <w:rsid w:val="00C74EE1"/>
    <w:rsid w:val="00C74FF4"/>
    <w:rsid w:val="00C77A84"/>
    <w:rsid w:val="00C80A85"/>
    <w:rsid w:val="00C81140"/>
    <w:rsid w:val="00C813A4"/>
    <w:rsid w:val="00C831E8"/>
    <w:rsid w:val="00C835FA"/>
    <w:rsid w:val="00C83C3E"/>
    <w:rsid w:val="00C84C31"/>
    <w:rsid w:val="00C8541A"/>
    <w:rsid w:val="00C9080F"/>
    <w:rsid w:val="00C90BE5"/>
    <w:rsid w:val="00C90DD7"/>
    <w:rsid w:val="00C91AB2"/>
    <w:rsid w:val="00C92BF8"/>
    <w:rsid w:val="00C93570"/>
    <w:rsid w:val="00C93873"/>
    <w:rsid w:val="00C94BDC"/>
    <w:rsid w:val="00C95D1E"/>
    <w:rsid w:val="00C95F49"/>
    <w:rsid w:val="00C96340"/>
    <w:rsid w:val="00C96C1D"/>
    <w:rsid w:val="00C97719"/>
    <w:rsid w:val="00CA0EE6"/>
    <w:rsid w:val="00CA18FE"/>
    <w:rsid w:val="00CA2581"/>
    <w:rsid w:val="00CA281E"/>
    <w:rsid w:val="00CA2FDD"/>
    <w:rsid w:val="00CA3F10"/>
    <w:rsid w:val="00CA6112"/>
    <w:rsid w:val="00CA7A99"/>
    <w:rsid w:val="00CB17B5"/>
    <w:rsid w:val="00CB1DBE"/>
    <w:rsid w:val="00CB2ED0"/>
    <w:rsid w:val="00CB4B7A"/>
    <w:rsid w:val="00CB5237"/>
    <w:rsid w:val="00CB554D"/>
    <w:rsid w:val="00CB657D"/>
    <w:rsid w:val="00CB704B"/>
    <w:rsid w:val="00CC117D"/>
    <w:rsid w:val="00CC290E"/>
    <w:rsid w:val="00CC400F"/>
    <w:rsid w:val="00CC539C"/>
    <w:rsid w:val="00CD00C6"/>
    <w:rsid w:val="00CD0EBA"/>
    <w:rsid w:val="00CD1D6F"/>
    <w:rsid w:val="00CD27DA"/>
    <w:rsid w:val="00CD2882"/>
    <w:rsid w:val="00CD2A13"/>
    <w:rsid w:val="00CD3BB6"/>
    <w:rsid w:val="00CD45C8"/>
    <w:rsid w:val="00CD5336"/>
    <w:rsid w:val="00CD6402"/>
    <w:rsid w:val="00CD65E2"/>
    <w:rsid w:val="00CE06D1"/>
    <w:rsid w:val="00CE1CA5"/>
    <w:rsid w:val="00CE40BB"/>
    <w:rsid w:val="00CE47FF"/>
    <w:rsid w:val="00CE629B"/>
    <w:rsid w:val="00CF0F76"/>
    <w:rsid w:val="00CF320A"/>
    <w:rsid w:val="00CF517B"/>
    <w:rsid w:val="00CF590C"/>
    <w:rsid w:val="00CF7595"/>
    <w:rsid w:val="00D002BF"/>
    <w:rsid w:val="00D0162D"/>
    <w:rsid w:val="00D0163B"/>
    <w:rsid w:val="00D022AF"/>
    <w:rsid w:val="00D05129"/>
    <w:rsid w:val="00D053DE"/>
    <w:rsid w:val="00D05860"/>
    <w:rsid w:val="00D06A52"/>
    <w:rsid w:val="00D06CBE"/>
    <w:rsid w:val="00D07138"/>
    <w:rsid w:val="00D102B2"/>
    <w:rsid w:val="00D1133A"/>
    <w:rsid w:val="00D131C9"/>
    <w:rsid w:val="00D13D2C"/>
    <w:rsid w:val="00D14ECA"/>
    <w:rsid w:val="00D15EB0"/>
    <w:rsid w:val="00D163D5"/>
    <w:rsid w:val="00D17424"/>
    <w:rsid w:val="00D208FA"/>
    <w:rsid w:val="00D209B7"/>
    <w:rsid w:val="00D22299"/>
    <w:rsid w:val="00D22585"/>
    <w:rsid w:val="00D23C58"/>
    <w:rsid w:val="00D23E2A"/>
    <w:rsid w:val="00D24B42"/>
    <w:rsid w:val="00D24BA0"/>
    <w:rsid w:val="00D32A6B"/>
    <w:rsid w:val="00D32EE2"/>
    <w:rsid w:val="00D330CA"/>
    <w:rsid w:val="00D34D15"/>
    <w:rsid w:val="00D37319"/>
    <w:rsid w:val="00D37D4F"/>
    <w:rsid w:val="00D400D2"/>
    <w:rsid w:val="00D405E4"/>
    <w:rsid w:val="00D40AAD"/>
    <w:rsid w:val="00D41328"/>
    <w:rsid w:val="00D438C2"/>
    <w:rsid w:val="00D43FA8"/>
    <w:rsid w:val="00D45C46"/>
    <w:rsid w:val="00D479F5"/>
    <w:rsid w:val="00D50143"/>
    <w:rsid w:val="00D50DF4"/>
    <w:rsid w:val="00D51D72"/>
    <w:rsid w:val="00D51D90"/>
    <w:rsid w:val="00D5256E"/>
    <w:rsid w:val="00D54899"/>
    <w:rsid w:val="00D56129"/>
    <w:rsid w:val="00D56827"/>
    <w:rsid w:val="00D56937"/>
    <w:rsid w:val="00D601C6"/>
    <w:rsid w:val="00D60B19"/>
    <w:rsid w:val="00D60DB4"/>
    <w:rsid w:val="00D611C6"/>
    <w:rsid w:val="00D61E03"/>
    <w:rsid w:val="00D63C82"/>
    <w:rsid w:val="00D65FB1"/>
    <w:rsid w:val="00D67A10"/>
    <w:rsid w:val="00D67EA2"/>
    <w:rsid w:val="00D70F04"/>
    <w:rsid w:val="00D7226C"/>
    <w:rsid w:val="00D72FCD"/>
    <w:rsid w:val="00D739B0"/>
    <w:rsid w:val="00D73B60"/>
    <w:rsid w:val="00D75303"/>
    <w:rsid w:val="00D76523"/>
    <w:rsid w:val="00D76C99"/>
    <w:rsid w:val="00D777CD"/>
    <w:rsid w:val="00D77B5E"/>
    <w:rsid w:val="00D77C9F"/>
    <w:rsid w:val="00D81052"/>
    <w:rsid w:val="00D812ED"/>
    <w:rsid w:val="00D814DB"/>
    <w:rsid w:val="00D8523C"/>
    <w:rsid w:val="00D8538D"/>
    <w:rsid w:val="00D862D2"/>
    <w:rsid w:val="00D871D9"/>
    <w:rsid w:val="00D90942"/>
    <w:rsid w:val="00D9263F"/>
    <w:rsid w:val="00D94FDF"/>
    <w:rsid w:val="00D968ED"/>
    <w:rsid w:val="00D978B5"/>
    <w:rsid w:val="00DA0290"/>
    <w:rsid w:val="00DA06C4"/>
    <w:rsid w:val="00DA173A"/>
    <w:rsid w:val="00DA1D52"/>
    <w:rsid w:val="00DA2591"/>
    <w:rsid w:val="00DA400E"/>
    <w:rsid w:val="00DB20A6"/>
    <w:rsid w:val="00DB40EF"/>
    <w:rsid w:val="00DC12BA"/>
    <w:rsid w:val="00DC28C3"/>
    <w:rsid w:val="00DC4087"/>
    <w:rsid w:val="00DC480E"/>
    <w:rsid w:val="00DC5269"/>
    <w:rsid w:val="00DC6217"/>
    <w:rsid w:val="00DC75BA"/>
    <w:rsid w:val="00DD59C6"/>
    <w:rsid w:val="00DD5FF1"/>
    <w:rsid w:val="00DE17C5"/>
    <w:rsid w:val="00DE27F0"/>
    <w:rsid w:val="00DE4B1F"/>
    <w:rsid w:val="00DE6B2F"/>
    <w:rsid w:val="00DE7DA3"/>
    <w:rsid w:val="00DF39C6"/>
    <w:rsid w:val="00DF7C04"/>
    <w:rsid w:val="00E00C9C"/>
    <w:rsid w:val="00E127D4"/>
    <w:rsid w:val="00E12819"/>
    <w:rsid w:val="00E12930"/>
    <w:rsid w:val="00E12E35"/>
    <w:rsid w:val="00E14FA4"/>
    <w:rsid w:val="00E20C6A"/>
    <w:rsid w:val="00E20F12"/>
    <w:rsid w:val="00E220C4"/>
    <w:rsid w:val="00E23974"/>
    <w:rsid w:val="00E244F4"/>
    <w:rsid w:val="00E2479A"/>
    <w:rsid w:val="00E2481B"/>
    <w:rsid w:val="00E272DB"/>
    <w:rsid w:val="00E31382"/>
    <w:rsid w:val="00E325B4"/>
    <w:rsid w:val="00E32F2C"/>
    <w:rsid w:val="00E354B8"/>
    <w:rsid w:val="00E35790"/>
    <w:rsid w:val="00E36445"/>
    <w:rsid w:val="00E36AC5"/>
    <w:rsid w:val="00E377C1"/>
    <w:rsid w:val="00E42A7C"/>
    <w:rsid w:val="00E4359B"/>
    <w:rsid w:val="00E45980"/>
    <w:rsid w:val="00E47E13"/>
    <w:rsid w:val="00E50015"/>
    <w:rsid w:val="00E501C6"/>
    <w:rsid w:val="00E506FE"/>
    <w:rsid w:val="00E52B0B"/>
    <w:rsid w:val="00E52EDE"/>
    <w:rsid w:val="00E55BC7"/>
    <w:rsid w:val="00E55F09"/>
    <w:rsid w:val="00E562AB"/>
    <w:rsid w:val="00E568D4"/>
    <w:rsid w:val="00E5710F"/>
    <w:rsid w:val="00E603D0"/>
    <w:rsid w:val="00E60B8D"/>
    <w:rsid w:val="00E61AF7"/>
    <w:rsid w:val="00E61EC7"/>
    <w:rsid w:val="00E6318B"/>
    <w:rsid w:val="00E63B6A"/>
    <w:rsid w:val="00E65CF4"/>
    <w:rsid w:val="00E7059F"/>
    <w:rsid w:val="00E72E7E"/>
    <w:rsid w:val="00E7304D"/>
    <w:rsid w:val="00E744B9"/>
    <w:rsid w:val="00E74E83"/>
    <w:rsid w:val="00E76A71"/>
    <w:rsid w:val="00E80C5D"/>
    <w:rsid w:val="00E816E9"/>
    <w:rsid w:val="00E836B7"/>
    <w:rsid w:val="00E85025"/>
    <w:rsid w:val="00E852E9"/>
    <w:rsid w:val="00E86401"/>
    <w:rsid w:val="00E907FA"/>
    <w:rsid w:val="00E93F98"/>
    <w:rsid w:val="00E94569"/>
    <w:rsid w:val="00E9737F"/>
    <w:rsid w:val="00EA052C"/>
    <w:rsid w:val="00EA1E73"/>
    <w:rsid w:val="00EA36DB"/>
    <w:rsid w:val="00EA4306"/>
    <w:rsid w:val="00EA4573"/>
    <w:rsid w:val="00EA5280"/>
    <w:rsid w:val="00EA6284"/>
    <w:rsid w:val="00EA6DBE"/>
    <w:rsid w:val="00EB19DB"/>
    <w:rsid w:val="00EB42A6"/>
    <w:rsid w:val="00EB44D4"/>
    <w:rsid w:val="00EB4C67"/>
    <w:rsid w:val="00EB5590"/>
    <w:rsid w:val="00EB7529"/>
    <w:rsid w:val="00EC1603"/>
    <w:rsid w:val="00EC2704"/>
    <w:rsid w:val="00EC3D32"/>
    <w:rsid w:val="00EC72EF"/>
    <w:rsid w:val="00ED1DD3"/>
    <w:rsid w:val="00ED2135"/>
    <w:rsid w:val="00ED3833"/>
    <w:rsid w:val="00ED5819"/>
    <w:rsid w:val="00ED5935"/>
    <w:rsid w:val="00ED7276"/>
    <w:rsid w:val="00ED736B"/>
    <w:rsid w:val="00EE015E"/>
    <w:rsid w:val="00EE0709"/>
    <w:rsid w:val="00EF0604"/>
    <w:rsid w:val="00EF120D"/>
    <w:rsid w:val="00EF1429"/>
    <w:rsid w:val="00EF2915"/>
    <w:rsid w:val="00EF2B26"/>
    <w:rsid w:val="00EF37A0"/>
    <w:rsid w:val="00EF4083"/>
    <w:rsid w:val="00EF4BCA"/>
    <w:rsid w:val="00EF52D8"/>
    <w:rsid w:val="00EF650B"/>
    <w:rsid w:val="00EF7C91"/>
    <w:rsid w:val="00F02063"/>
    <w:rsid w:val="00F042CC"/>
    <w:rsid w:val="00F04D11"/>
    <w:rsid w:val="00F07CED"/>
    <w:rsid w:val="00F1026D"/>
    <w:rsid w:val="00F11EE2"/>
    <w:rsid w:val="00F12A19"/>
    <w:rsid w:val="00F12A4D"/>
    <w:rsid w:val="00F13CE8"/>
    <w:rsid w:val="00F1635D"/>
    <w:rsid w:val="00F1782E"/>
    <w:rsid w:val="00F17A05"/>
    <w:rsid w:val="00F212AF"/>
    <w:rsid w:val="00F225B3"/>
    <w:rsid w:val="00F235AC"/>
    <w:rsid w:val="00F23655"/>
    <w:rsid w:val="00F247DC"/>
    <w:rsid w:val="00F262D6"/>
    <w:rsid w:val="00F26EB4"/>
    <w:rsid w:val="00F27039"/>
    <w:rsid w:val="00F27BAC"/>
    <w:rsid w:val="00F32E11"/>
    <w:rsid w:val="00F360B7"/>
    <w:rsid w:val="00F3689E"/>
    <w:rsid w:val="00F407A1"/>
    <w:rsid w:val="00F43374"/>
    <w:rsid w:val="00F43A7A"/>
    <w:rsid w:val="00F4525F"/>
    <w:rsid w:val="00F50641"/>
    <w:rsid w:val="00F5141E"/>
    <w:rsid w:val="00F518CD"/>
    <w:rsid w:val="00F530C5"/>
    <w:rsid w:val="00F566BD"/>
    <w:rsid w:val="00F57B4D"/>
    <w:rsid w:val="00F57FCA"/>
    <w:rsid w:val="00F60C85"/>
    <w:rsid w:val="00F63C0D"/>
    <w:rsid w:val="00F64121"/>
    <w:rsid w:val="00F65577"/>
    <w:rsid w:val="00F656AE"/>
    <w:rsid w:val="00F658AE"/>
    <w:rsid w:val="00F6777B"/>
    <w:rsid w:val="00F7125C"/>
    <w:rsid w:val="00F763EF"/>
    <w:rsid w:val="00F82BD5"/>
    <w:rsid w:val="00F82F2A"/>
    <w:rsid w:val="00F845DE"/>
    <w:rsid w:val="00F876D8"/>
    <w:rsid w:val="00F9032A"/>
    <w:rsid w:val="00F91E9C"/>
    <w:rsid w:val="00F94CFD"/>
    <w:rsid w:val="00F9532C"/>
    <w:rsid w:val="00F95823"/>
    <w:rsid w:val="00F95A35"/>
    <w:rsid w:val="00F96044"/>
    <w:rsid w:val="00FA09F8"/>
    <w:rsid w:val="00FA1677"/>
    <w:rsid w:val="00FA1DF3"/>
    <w:rsid w:val="00FA2871"/>
    <w:rsid w:val="00FA39FE"/>
    <w:rsid w:val="00FA4311"/>
    <w:rsid w:val="00FA52B3"/>
    <w:rsid w:val="00FB1118"/>
    <w:rsid w:val="00FB1F9F"/>
    <w:rsid w:val="00FB6B6E"/>
    <w:rsid w:val="00FB780D"/>
    <w:rsid w:val="00FC070C"/>
    <w:rsid w:val="00FC3E9D"/>
    <w:rsid w:val="00FC41D6"/>
    <w:rsid w:val="00FC5430"/>
    <w:rsid w:val="00FC5756"/>
    <w:rsid w:val="00FD2813"/>
    <w:rsid w:val="00FD2C9A"/>
    <w:rsid w:val="00FD345A"/>
    <w:rsid w:val="00FD3D37"/>
    <w:rsid w:val="00FD4793"/>
    <w:rsid w:val="00FD5463"/>
    <w:rsid w:val="00FD5561"/>
    <w:rsid w:val="00FD5868"/>
    <w:rsid w:val="00FD6ED9"/>
    <w:rsid w:val="00FE0B99"/>
    <w:rsid w:val="00FE138C"/>
    <w:rsid w:val="00FE1861"/>
    <w:rsid w:val="00FE19B1"/>
    <w:rsid w:val="00FE2083"/>
    <w:rsid w:val="00FE2703"/>
    <w:rsid w:val="00FE2799"/>
    <w:rsid w:val="00FE3416"/>
    <w:rsid w:val="00FE3762"/>
    <w:rsid w:val="00FE477F"/>
    <w:rsid w:val="00FE5A5E"/>
    <w:rsid w:val="00FE5A88"/>
    <w:rsid w:val="00FE691F"/>
    <w:rsid w:val="00FF1ED1"/>
    <w:rsid w:val="00FF24D3"/>
    <w:rsid w:val="00FF4E5B"/>
    <w:rsid w:val="00FF784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514E9E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938A7"/>
  </w:style>
  <w:style w:type="paragraph" w:styleId="Heading1">
    <w:name w:val="heading 1"/>
    <w:basedOn w:val="Normal"/>
    <w:next w:val="Normal"/>
    <w:link w:val="Heading1Char"/>
    <w:uiPriority w:val="9"/>
    <w:qFormat/>
    <w:rsid w:val="007218C6"/>
    <w:pPr>
      <w:keepNext/>
      <w:pageBreakBefore/>
      <w:numPr>
        <w:numId w:val="10"/>
      </w:numPr>
      <w:spacing w:before="60" w:after="400" w:line="240" w:lineRule="atLeast"/>
      <w:ind w:hanging="709"/>
      <w:outlineLvl w:val="0"/>
    </w:pPr>
    <w:rPr>
      <w:rFonts w:ascii="Verdana" w:eastAsia="Times New Roman" w:hAnsi="Verdana" w:cs="Times New Roman"/>
      <w:b/>
      <w:kern w:val="28"/>
      <w:sz w:val="20"/>
      <w:szCs w:val="20"/>
      <w:lang w:val="en-GB"/>
    </w:rPr>
  </w:style>
  <w:style w:type="paragraph" w:styleId="Heading2">
    <w:name w:val="heading 2"/>
    <w:basedOn w:val="Normal"/>
    <w:next w:val="Normal"/>
    <w:link w:val="Heading2Char"/>
    <w:qFormat/>
    <w:rsid w:val="007218C6"/>
    <w:pPr>
      <w:keepNext/>
      <w:numPr>
        <w:ilvl w:val="1"/>
        <w:numId w:val="10"/>
      </w:numPr>
      <w:spacing w:before="600" w:after="400" w:line="240" w:lineRule="atLeast"/>
      <w:ind w:hanging="709"/>
      <w:outlineLvl w:val="1"/>
    </w:pPr>
    <w:rPr>
      <w:rFonts w:ascii="Verdana" w:eastAsia="Times New Roman" w:hAnsi="Verdana" w:cs="Times New Roman"/>
      <w:b/>
      <w:i/>
      <w:sz w:val="20"/>
      <w:szCs w:val="20"/>
      <w:lang w:val="en-GB"/>
    </w:rPr>
  </w:style>
  <w:style w:type="paragraph" w:styleId="Heading3">
    <w:name w:val="heading 3"/>
    <w:basedOn w:val="Heading2"/>
    <w:next w:val="Normal"/>
    <w:link w:val="Heading3Char"/>
    <w:qFormat/>
    <w:rsid w:val="007218C6"/>
    <w:pPr>
      <w:numPr>
        <w:ilvl w:val="2"/>
      </w:numPr>
      <w:ind w:left="851" w:hanging="851"/>
      <w:outlineLvl w:val="2"/>
    </w:pPr>
  </w:style>
  <w:style w:type="paragraph" w:styleId="Heading4">
    <w:name w:val="heading 4"/>
    <w:basedOn w:val="Heading3"/>
    <w:next w:val="Normal"/>
    <w:link w:val="Heading4Char"/>
    <w:qFormat/>
    <w:rsid w:val="007218C6"/>
    <w:pPr>
      <w:numPr>
        <w:ilvl w:val="3"/>
      </w:numPr>
      <w:ind w:left="992" w:hanging="992"/>
      <w:outlineLvl w:val="3"/>
    </w:pPr>
  </w:style>
  <w:style w:type="paragraph" w:styleId="Heading5">
    <w:name w:val="heading 5"/>
    <w:basedOn w:val="Heading4"/>
    <w:next w:val="Normal"/>
    <w:link w:val="Heading5Char"/>
    <w:qFormat/>
    <w:rsid w:val="007218C6"/>
    <w:pPr>
      <w:numPr>
        <w:ilvl w:val="4"/>
      </w:numPr>
      <w:spacing w:after="240"/>
      <w:ind w:left="709" w:hanging="709"/>
      <w:outlineLvl w:val="4"/>
    </w:pPr>
    <w:rPr>
      <w:b w:val="0"/>
    </w:rPr>
  </w:style>
  <w:style w:type="paragraph" w:styleId="Heading6">
    <w:name w:val="heading 6"/>
    <w:basedOn w:val="Normal"/>
    <w:next w:val="Normal"/>
    <w:link w:val="Heading6Char"/>
    <w:qFormat/>
    <w:rsid w:val="007218C6"/>
    <w:pPr>
      <w:keepNext/>
      <w:numPr>
        <w:ilvl w:val="5"/>
        <w:numId w:val="10"/>
      </w:numPr>
      <w:spacing w:before="60" w:after="60" w:line="240" w:lineRule="atLeast"/>
      <w:outlineLvl w:val="5"/>
    </w:pPr>
    <w:rPr>
      <w:rFonts w:ascii="Verdana" w:eastAsia="Times New Roman" w:hAnsi="Verdana" w:cs="Times New Roman"/>
      <w:i/>
      <w:sz w:val="20"/>
      <w:szCs w:val="20"/>
      <w:lang w:val="en-GB"/>
    </w:rPr>
  </w:style>
  <w:style w:type="paragraph" w:styleId="Heading7">
    <w:name w:val="heading 7"/>
    <w:basedOn w:val="Normal"/>
    <w:next w:val="Normal"/>
    <w:link w:val="Heading7Char"/>
    <w:qFormat/>
    <w:rsid w:val="007218C6"/>
    <w:pPr>
      <w:keepNext/>
      <w:numPr>
        <w:ilvl w:val="6"/>
        <w:numId w:val="10"/>
      </w:numPr>
      <w:spacing w:before="60" w:after="60" w:line="240" w:lineRule="atLeast"/>
      <w:outlineLvl w:val="6"/>
    </w:pPr>
    <w:rPr>
      <w:rFonts w:ascii="Verdana" w:eastAsia="Times New Roman" w:hAnsi="Verdana" w:cs="Times New Roman"/>
      <w:i/>
      <w:sz w:val="20"/>
      <w:szCs w:val="20"/>
      <w:lang w:val="en-GB"/>
    </w:rPr>
  </w:style>
  <w:style w:type="paragraph" w:styleId="Heading8">
    <w:name w:val="heading 8"/>
    <w:basedOn w:val="Normal"/>
    <w:next w:val="Normal"/>
    <w:link w:val="Heading8Char"/>
    <w:qFormat/>
    <w:rsid w:val="007218C6"/>
    <w:pPr>
      <w:keepNext/>
      <w:numPr>
        <w:ilvl w:val="7"/>
        <w:numId w:val="10"/>
      </w:numPr>
      <w:spacing w:before="60" w:after="60" w:line="240" w:lineRule="atLeast"/>
      <w:outlineLvl w:val="7"/>
    </w:pPr>
    <w:rPr>
      <w:rFonts w:ascii="Verdana" w:eastAsia="Times New Roman" w:hAnsi="Verdana" w:cs="Times New Roman"/>
      <w:i/>
      <w:sz w:val="20"/>
      <w:szCs w:val="20"/>
      <w:lang w:val="en-GB"/>
    </w:rPr>
  </w:style>
  <w:style w:type="paragraph" w:styleId="Heading9">
    <w:name w:val="heading 9"/>
    <w:basedOn w:val="Normal"/>
    <w:next w:val="Normal"/>
    <w:link w:val="Heading9Char"/>
    <w:qFormat/>
    <w:rsid w:val="007218C6"/>
    <w:pPr>
      <w:keepNext/>
      <w:numPr>
        <w:ilvl w:val="8"/>
        <w:numId w:val="10"/>
      </w:numPr>
      <w:spacing w:before="60" w:after="60" w:line="240" w:lineRule="atLeast"/>
      <w:outlineLvl w:val="8"/>
    </w:pPr>
    <w:rPr>
      <w:rFonts w:ascii="Verdana" w:eastAsia="Times New Roman" w:hAnsi="Verdana" w:cs="Times New Roman"/>
      <w:i/>
      <w:sz w:val="2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F48F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F48F0"/>
    <w:rPr>
      <w:rFonts w:ascii="Lucida Grande" w:hAnsi="Lucida Grande" w:cs="Lucida Grande"/>
      <w:sz w:val="18"/>
      <w:szCs w:val="18"/>
    </w:rPr>
  </w:style>
  <w:style w:type="paragraph" w:styleId="ListParagraph">
    <w:name w:val="List Paragraph"/>
    <w:basedOn w:val="Normal"/>
    <w:uiPriority w:val="34"/>
    <w:qFormat/>
    <w:rsid w:val="00802498"/>
    <w:pPr>
      <w:spacing w:after="200" w:line="276" w:lineRule="auto"/>
      <w:ind w:left="720"/>
      <w:contextualSpacing/>
    </w:pPr>
    <w:rPr>
      <w:rFonts w:eastAsiaTheme="minorHAnsi"/>
      <w:sz w:val="22"/>
      <w:szCs w:val="22"/>
      <w:lang w:val="en-GB"/>
    </w:rPr>
  </w:style>
  <w:style w:type="paragraph" w:styleId="Header">
    <w:name w:val="header"/>
    <w:basedOn w:val="Normal"/>
    <w:link w:val="HeaderChar"/>
    <w:uiPriority w:val="99"/>
    <w:unhideWhenUsed/>
    <w:rsid w:val="003D5839"/>
    <w:pPr>
      <w:tabs>
        <w:tab w:val="center" w:pos="4513"/>
        <w:tab w:val="right" w:pos="9026"/>
      </w:tabs>
    </w:pPr>
    <w:rPr>
      <w:rFonts w:eastAsiaTheme="minorHAnsi"/>
      <w:sz w:val="22"/>
      <w:szCs w:val="22"/>
      <w:lang w:val="en-GB"/>
    </w:rPr>
  </w:style>
  <w:style w:type="character" w:customStyle="1" w:styleId="HeaderChar">
    <w:name w:val="Header Char"/>
    <w:basedOn w:val="DefaultParagraphFont"/>
    <w:link w:val="Header"/>
    <w:uiPriority w:val="99"/>
    <w:rsid w:val="003D5839"/>
    <w:rPr>
      <w:rFonts w:eastAsiaTheme="minorHAnsi"/>
      <w:sz w:val="22"/>
      <w:szCs w:val="22"/>
      <w:lang w:val="en-GB"/>
    </w:rPr>
  </w:style>
  <w:style w:type="paragraph" w:styleId="Footer">
    <w:name w:val="footer"/>
    <w:basedOn w:val="Normal"/>
    <w:link w:val="FooterChar"/>
    <w:uiPriority w:val="99"/>
    <w:unhideWhenUsed/>
    <w:rsid w:val="003D5839"/>
    <w:pPr>
      <w:tabs>
        <w:tab w:val="center" w:pos="4513"/>
        <w:tab w:val="right" w:pos="9026"/>
      </w:tabs>
    </w:pPr>
    <w:rPr>
      <w:rFonts w:eastAsiaTheme="minorHAnsi"/>
      <w:sz w:val="22"/>
      <w:szCs w:val="22"/>
      <w:lang w:val="en-GB"/>
    </w:rPr>
  </w:style>
  <w:style w:type="character" w:customStyle="1" w:styleId="FooterChar">
    <w:name w:val="Footer Char"/>
    <w:basedOn w:val="DefaultParagraphFont"/>
    <w:link w:val="Footer"/>
    <w:uiPriority w:val="99"/>
    <w:rsid w:val="003D5839"/>
    <w:rPr>
      <w:rFonts w:eastAsiaTheme="minorHAnsi"/>
      <w:sz w:val="22"/>
      <w:szCs w:val="22"/>
      <w:lang w:val="en-GB"/>
    </w:rPr>
  </w:style>
  <w:style w:type="character" w:customStyle="1" w:styleId="ata11y">
    <w:name w:val="at_a11y"/>
    <w:basedOn w:val="DefaultParagraphFont"/>
    <w:rsid w:val="003D5839"/>
  </w:style>
  <w:style w:type="table" w:styleId="TableGrid">
    <w:name w:val="Table Grid"/>
    <w:basedOn w:val="TableNormal"/>
    <w:uiPriority w:val="59"/>
    <w:rsid w:val="003D5839"/>
    <w:rPr>
      <w:rFonts w:eastAsiaTheme="minorHAnsi"/>
      <w:sz w:val="22"/>
      <w:szCs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3D5839"/>
    <w:pPr>
      <w:spacing w:before="100" w:beforeAutospacing="1" w:after="100" w:afterAutospacing="1"/>
    </w:pPr>
    <w:rPr>
      <w:rFonts w:ascii="Times" w:hAnsi="Times" w:cs="Times New Roman"/>
      <w:sz w:val="20"/>
      <w:szCs w:val="20"/>
      <w:lang w:val="en-GB"/>
    </w:rPr>
  </w:style>
  <w:style w:type="character" w:styleId="Hyperlink">
    <w:name w:val="Hyperlink"/>
    <w:basedOn w:val="DefaultParagraphFont"/>
    <w:uiPriority w:val="99"/>
    <w:unhideWhenUsed/>
    <w:rsid w:val="003D5839"/>
    <w:rPr>
      <w:color w:val="0000FF" w:themeColor="hyperlink"/>
      <w:u w:val="single"/>
    </w:rPr>
  </w:style>
  <w:style w:type="character" w:customStyle="1" w:styleId="Heading1Char">
    <w:name w:val="Heading 1 Char"/>
    <w:basedOn w:val="DefaultParagraphFont"/>
    <w:link w:val="Heading1"/>
    <w:uiPriority w:val="9"/>
    <w:rsid w:val="007218C6"/>
    <w:rPr>
      <w:rFonts w:ascii="Verdana" w:eastAsia="Times New Roman" w:hAnsi="Verdana" w:cs="Times New Roman"/>
      <w:b/>
      <w:kern w:val="28"/>
      <w:sz w:val="20"/>
      <w:szCs w:val="20"/>
      <w:lang w:val="en-GB"/>
    </w:rPr>
  </w:style>
  <w:style w:type="character" w:customStyle="1" w:styleId="Heading2Char">
    <w:name w:val="Heading 2 Char"/>
    <w:basedOn w:val="DefaultParagraphFont"/>
    <w:link w:val="Heading2"/>
    <w:rsid w:val="007218C6"/>
    <w:rPr>
      <w:rFonts w:ascii="Verdana" w:eastAsia="Times New Roman" w:hAnsi="Verdana" w:cs="Times New Roman"/>
      <w:b/>
      <w:i/>
      <w:sz w:val="20"/>
      <w:szCs w:val="20"/>
      <w:lang w:val="en-GB"/>
    </w:rPr>
  </w:style>
  <w:style w:type="character" w:customStyle="1" w:styleId="Heading3Char">
    <w:name w:val="Heading 3 Char"/>
    <w:basedOn w:val="DefaultParagraphFont"/>
    <w:link w:val="Heading3"/>
    <w:rsid w:val="007218C6"/>
    <w:rPr>
      <w:rFonts w:ascii="Verdana" w:eastAsia="Times New Roman" w:hAnsi="Verdana" w:cs="Times New Roman"/>
      <w:b/>
      <w:i/>
      <w:sz w:val="20"/>
      <w:szCs w:val="20"/>
      <w:lang w:val="en-GB"/>
    </w:rPr>
  </w:style>
  <w:style w:type="character" w:customStyle="1" w:styleId="Heading4Char">
    <w:name w:val="Heading 4 Char"/>
    <w:basedOn w:val="DefaultParagraphFont"/>
    <w:link w:val="Heading4"/>
    <w:rsid w:val="007218C6"/>
    <w:rPr>
      <w:rFonts w:ascii="Verdana" w:eastAsia="Times New Roman" w:hAnsi="Verdana" w:cs="Times New Roman"/>
      <w:b/>
      <w:i/>
      <w:sz w:val="20"/>
      <w:szCs w:val="20"/>
      <w:lang w:val="en-GB"/>
    </w:rPr>
  </w:style>
  <w:style w:type="character" w:customStyle="1" w:styleId="Heading5Char">
    <w:name w:val="Heading 5 Char"/>
    <w:basedOn w:val="DefaultParagraphFont"/>
    <w:link w:val="Heading5"/>
    <w:rsid w:val="007218C6"/>
    <w:rPr>
      <w:rFonts w:ascii="Verdana" w:eastAsia="Times New Roman" w:hAnsi="Verdana" w:cs="Times New Roman"/>
      <w:i/>
      <w:sz w:val="20"/>
      <w:szCs w:val="20"/>
      <w:lang w:val="en-GB"/>
    </w:rPr>
  </w:style>
  <w:style w:type="character" w:customStyle="1" w:styleId="Heading6Char">
    <w:name w:val="Heading 6 Char"/>
    <w:basedOn w:val="DefaultParagraphFont"/>
    <w:link w:val="Heading6"/>
    <w:rsid w:val="007218C6"/>
    <w:rPr>
      <w:rFonts w:ascii="Verdana" w:eastAsia="Times New Roman" w:hAnsi="Verdana" w:cs="Times New Roman"/>
      <w:i/>
      <w:sz w:val="20"/>
      <w:szCs w:val="20"/>
      <w:lang w:val="en-GB"/>
    </w:rPr>
  </w:style>
  <w:style w:type="character" w:customStyle="1" w:styleId="Heading7Char">
    <w:name w:val="Heading 7 Char"/>
    <w:basedOn w:val="DefaultParagraphFont"/>
    <w:link w:val="Heading7"/>
    <w:rsid w:val="007218C6"/>
    <w:rPr>
      <w:rFonts w:ascii="Verdana" w:eastAsia="Times New Roman" w:hAnsi="Verdana" w:cs="Times New Roman"/>
      <w:i/>
      <w:sz w:val="20"/>
      <w:szCs w:val="20"/>
      <w:lang w:val="en-GB"/>
    </w:rPr>
  </w:style>
  <w:style w:type="character" w:customStyle="1" w:styleId="Heading8Char">
    <w:name w:val="Heading 8 Char"/>
    <w:basedOn w:val="DefaultParagraphFont"/>
    <w:link w:val="Heading8"/>
    <w:rsid w:val="007218C6"/>
    <w:rPr>
      <w:rFonts w:ascii="Verdana" w:eastAsia="Times New Roman" w:hAnsi="Verdana" w:cs="Times New Roman"/>
      <w:i/>
      <w:sz w:val="20"/>
      <w:szCs w:val="20"/>
      <w:lang w:val="en-GB"/>
    </w:rPr>
  </w:style>
  <w:style w:type="character" w:customStyle="1" w:styleId="Heading9Char">
    <w:name w:val="Heading 9 Char"/>
    <w:basedOn w:val="DefaultParagraphFont"/>
    <w:link w:val="Heading9"/>
    <w:rsid w:val="007218C6"/>
    <w:rPr>
      <w:rFonts w:ascii="Verdana" w:eastAsia="Times New Roman" w:hAnsi="Verdana" w:cs="Times New Roman"/>
      <w:i/>
      <w:sz w:val="20"/>
      <w:szCs w:val="20"/>
      <w:lang w:val="en-GB"/>
    </w:rPr>
  </w:style>
  <w:style w:type="paragraph" w:customStyle="1" w:styleId="NormalPicture">
    <w:name w:val="NormalPicture"/>
    <w:basedOn w:val="Normal"/>
    <w:link w:val="NormalPictureChar"/>
    <w:rsid w:val="007218C6"/>
    <w:pPr>
      <w:spacing w:after="120"/>
      <w:jc w:val="center"/>
    </w:pPr>
    <w:rPr>
      <w:rFonts w:ascii="Verdana" w:eastAsia="Times New Roman" w:hAnsi="Verdana" w:cs="Times New Roman"/>
      <w:sz w:val="20"/>
      <w:szCs w:val="20"/>
      <w:lang w:val="en-GB"/>
    </w:rPr>
  </w:style>
  <w:style w:type="character" w:customStyle="1" w:styleId="NormalPictureChar">
    <w:name w:val="NormalPicture Char"/>
    <w:link w:val="NormalPicture"/>
    <w:rsid w:val="007218C6"/>
    <w:rPr>
      <w:rFonts w:ascii="Verdana" w:eastAsia="Times New Roman" w:hAnsi="Verdana" w:cs="Times New Roman"/>
      <w:sz w:val="20"/>
      <w:szCs w:val="20"/>
      <w:lang w:val="en-GB"/>
    </w:rPr>
  </w:style>
  <w:style w:type="character" w:styleId="PageNumber">
    <w:name w:val="page number"/>
    <w:basedOn w:val="DefaultParagraphFont"/>
    <w:uiPriority w:val="99"/>
    <w:semiHidden/>
    <w:unhideWhenUsed/>
    <w:rsid w:val="007218C6"/>
  </w:style>
  <w:style w:type="character" w:styleId="CommentReference">
    <w:name w:val="annotation reference"/>
    <w:basedOn w:val="DefaultParagraphFont"/>
    <w:semiHidden/>
    <w:rsid w:val="007218C6"/>
    <w:rPr>
      <w:rFonts w:cs="Times New Roman"/>
      <w:sz w:val="16"/>
      <w:szCs w:val="16"/>
    </w:rPr>
  </w:style>
  <w:style w:type="paragraph" w:styleId="CommentText">
    <w:name w:val="annotation text"/>
    <w:basedOn w:val="Normal"/>
    <w:link w:val="CommentTextChar"/>
    <w:rsid w:val="007218C6"/>
    <w:pPr>
      <w:spacing w:after="200" w:line="276" w:lineRule="auto"/>
    </w:pPr>
    <w:rPr>
      <w:rFonts w:ascii="Calibri" w:eastAsia="Calibri" w:hAnsi="Calibri" w:cs="Times New Roman"/>
      <w:sz w:val="20"/>
      <w:szCs w:val="20"/>
      <w:lang w:val="en-GB"/>
    </w:rPr>
  </w:style>
  <w:style w:type="character" w:customStyle="1" w:styleId="CommentTextChar">
    <w:name w:val="Comment Text Char"/>
    <w:basedOn w:val="DefaultParagraphFont"/>
    <w:link w:val="CommentText"/>
    <w:rsid w:val="007218C6"/>
    <w:rPr>
      <w:rFonts w:ascii="Calibri" w:eastAsia="Calibri" w:hAnsi="Calibri" w:cs="Times New Roman"/>
      <w:sz w:val="20"/>
      <w:szCs w:val="20"/>
      <w:lang w:val="en-GB"/>
    </w:rPr>
  </w:style>
  <w:style w:type="character" w:styleId="PlaceholderText">
    <w:name w:val="Placeholder Text"/>
    <w:basedOn w:val="DefaultParagraphFont"/>
    <w:uiPriority w:val="99"/>
    <w:semiHidden/>
    <w:rsid w:val="00777A0A"/>
    <w:rPr>
      <w:color w:val="808080"/>
    </w:rPr>
  </w:style>
  <w:style w:type="paragraph" w:styleId="Revision">
    <w:name w:val="Revision"/>
    <w:hidden/>
    <w:uiPriority w:val="99"/>
    <w:semiHidden/>
    <w:rsid w:val="00777A0A"/>
    <w:rPr>
      <w:rFonts w:eastAsiaTheme="minorHAnsi"/>
      <w:sz w:val="22"/>
      <w:szCs w:val="22"/>
      <w:lang w:val="en-GB"/>
    </w:rPr>
  </w:style>
  <w:style w:type="character" w:customStyle="1" w:styleId="apple-converted-space">
    <w:name w:val="apple-converted-space"/>
    <w:basedOn w:val="DefaultParagraphFont"/>
    <w:rsid w:val="005708A0"/>
  </w:style>
  <w:style w:type="character" w:styleId="Strong">
    <w:name w:val="Strong"/>
    <w:basedOn w:val="DefaultParagraphFont"/>
    <w:uiPriority w:val="22"/>
    <w:qFormat/>
    <w:rsid w:val="005708A0"/>
    <w:rPr>
      <w:b/>
      <w:bCs/>
    </w:rPr>
  </w:style>
  <w:style w:type="paragraph" w:customStyle="1" w:styleId="Hidden">
    <w:name w:val="Hidden"/>
    <w:basedOn w:val="Normal"/>
    <w:rsid w:val="0044704C"/>
    <w:pPr>
      <w:spacing w:after="120" w:line="240" w:lineRule="atLeast"/>
    </w:pPr>
    <w:rPr>
      <w:rFonts w:ascii="Verdana" w:eastAsia="Times New Roman" w:hAnsi="Verdana" w:cs="Times New Roman"/>
      <w:vanish/>
      <w:color w:val="0000FF"/>
      <w:sz w:val="20"/>
      <w:szCs w:val="20"/>
      <w:lang w:val="en-GB"/>
    </w:rPr>
  </w:style>
  <w:style w:type="paragraph" w:styleId="TOC1">
    <w:name w:val="toc 1"/>
    <w:basedOn w:val="Normal"/>
    <w:next w:val="Normal"/>
    <w:autoRedefine/>
    <w:uiPriority w:val="39"/>
    <w:unhideWhenUsed/>
    <w:rsid w:val="00165021"/>
    <w:pPr>
      <w:spacing w:before="120"/>
    </w:pPr>
    <w:rPr>
      <w:b/>
    </w:rPr>
  </w:style>
  <w:style w:type="paragraph" w:styleId="TOC2">
    <w:name w:val="toc 2"/>
    <w:basedOn w:val="Normal"/>
    <w:next w:val="Normal"/>
    <w:autoRedefine/>
    <w:uiPriority w:val="39"/>
    <w:unhideWhenUsed/>
    <w:rsid w:val="00165021"/>
    <w:pPr>
      <w:ind w:left="240"/>
    </w:pPr>
    <w:rPr>
      <w:b/>
      <w:sz w:val="22"/>
      <w:szCs w:val="22"/>
    </w:rPr>
  </w:style>
  <w:style w:type="paragraph" w:styleId="TOC3">
    <w:name w:val="toc 3"/>
    <w:basedOn w:val="Normal"/>
    <w:next w:val="Normal"/>
    <w:autoRedefine/>
    <w:uiPriority w:val="39"/>
    <w:unhideWhenUsed/>
    <w:rsid w:val="00165021"/>
    <w:pPr>
      <w:ind w:left="480"/>
    </w:pPr>
    <w:rPr>
      <w:sz w:val="22"/>
      <w:szCs w:val="22"/>
    </w:rPr>
  </w:style>
  <w:style w:type="paragraph" w:styleId="TOC4">
    <w:name w:val="toc 4"/>
    <w:basedOn w:val="Normal"/>
    <w:next w:val="Normal"/>
    <w:autoRedefine/>
    <w:uiPriority w:val="39"/>
    <w:unhideWhenUsed/>
    <w:rsid w:val="00165021"/>
    <w:pPr>
      <w:ind w:left="720"/>
    </w:pPr>
    <w:rPr>
      <w:sz w:val="20"/>
      <w:szCs w:val="20"/>
    </w:rPr>
  </w:style>
  <w:style w:type="paragraph" w:styleId="TOC5">
    <w:name w:val="toc 5"/>
    <w:basedOn w:val="Normal"/>
    <w:next w:val="Normal"/>
    <w:autoRedefine/>
    <w:uiPriority w:val="39"/>
    <w:unhideWhenUsed/>
    <w:rsid w:val="00165021"/>
    <w:pPr>
      <w:ind w:left="960"/>
    </w:pPr>
    <w:rPr>
      <w:sz w:val="20"/>
      <w:szCs w:val="20"/>
    </w:rPr>
  </w:style>
  <w:style w:type="paragraph" w:styleId="TOC6">
    <w:name w:val="toc 6"/>
    <w:basedOn w:val="Normal"/>
    <w:next w:val="Normal"/>
    <w:autoRedefine/>
    <w:uiPriority w:val="39"/>
    <w:unhideWhenUsed/>
    <w:rsid w:val="00165021"/>
    <w:pPr>
      <w:ind w:left="1200"/>
    </w:pPr>
    <w:rPr>
      <w:sz w:val="20"/>
      <w:szCs w:val="20"/>
    </w:rPr>
  </w:style>
  <w:style w:type="paragraph" w:styleId="TOC7">
    <w:name w:val="toc 7"/>
    <w:basedOn w:val="Normal"/>
    <w:next w:val="Normal"/>
    <w:autoRedefine/>
    <w:uiPriority w:val="39"/>
    <w:unhideWhenUsed/>
    <w:rsid w:val="00165021"/>
    <w:pPr>
      <w:ind w:left="1440"/>
    </w:pPr>
    <w:rPr>
      <w:sz w:val="20"/>
      <w:szCs w:val="20"/>
    </w:rPr>
  </w:style>
  <w:style w:type="paragraph" w:styleId="TOC8">
    <w:name w:val="toc 8"/>
    <w:basedOn w:val="Normal"/>
    <w:next w:val="Normal"/>
    <w:autoRedefine/>
    <w:uiPriority w:val="39"/>
    <w:unhideWhenUsed/>
    <w:rsid w:val="00165021"/>
    <w:pPr>
      <w:ind w:left="1680"/>
    </w:pPr>
    <w:rPr>
      <w:sz w:val="20"/>
      <w:szCs w:val="20"/>
    </w:rPr>
  </w:style>
  <w:style w:type="paragraph" w:styleId="TOC9">
    <w:name w:val="toc 9"/>
    <w:basedOn w:val="Normal"/>
    <w:next w:val="Normal"/>
    <w:autoRedefine/>
    <w:uiPriority w:val="39"/>
    <w:unhideWhenUsed/>
    <w:rsid w:val="00165021"/>
    <w:pPr>
      <w:ind w:left="1920"/>
    </w:pPr>
    <w:rPr>
      <w:sz w:val="20"/>
      <w:szCs w:val="20"/>
    </w:rPr>
  </w:style>
  <w:style w:type="paragraph" w:styleId="CommentSubject">
    <w:name w:val="annotation subject"/>
    <w:basedOn w:val="CommentText"/>
    <w:next w:val="CommentText"/>
    <w:link w:val="CommentSubjectChar"/>
    <w:uiPriority w:val="99"/>
    <w:semiHidden/>
    <w:unhideWhenUsed/>
    <w:rsid w:val="003A325C"/>
    <w:pPr>
      <w:spacing w:after="0" w:line="240" w:lineRule="auto"/>
    </w:pPr>
    <w:rPr>
      <w:rFonts w:asciiTheme="minorHAnsi" w:eastAsiaTheme="minorEastAsia" w:hAnsiTheme="minorHAnsi" w:cstheme="minorBidi"/>
      <w:b/>
      <w:bCs/>
      <w:lang w:val="en-US"/>
    </w:rPr>
  </w:style>
  <w:style w:type="character" w:customStyle="1" w:styleId="CommentSubjectChar">
    <w:name w:val="Comment Subject Char"/>
    <w:basedOn w:val="CommentTextChar"/>
    <w:link w:val="CommentSubject"/>
    <w:uiPriority w:val="99"/>
    <w:semiHidden/>
    <w:rsid w:val="003A325C"/>
    <w:rPr>
      <w:rFonts w:ascii="Calibri" w:eastAsia="Calibri" w:hAnsi="Calibri" w:cs="Times New Roman"/>
      <w:b/>
      <w:bCs/>
      <w:sz w:val="20"/>
      <w:szCs w:val="20"/>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938A7"/>
  </w:style>
  <w:style w:type="paragraph" w:styleId="Heading1">
    <w:name w:val="heading 1"/>
    <w:basedOn w:val="Normal"/>
    <w:next w:val="Normal"/>
    <w:link w:val="Heading1Char"/>
    <w:uiPriority w:val="9"/>
    <w:qFormat/>
    <w:rsid w:val="007218C6"/>
    <w:pPr>
      <w:keepNext/>
      <w:pageBreakBefore/>
      <w:numPr>
        <w:numId w:val="10"/>
      </w:numPr>
      <w:spacing w:before="60" w:after="400" w:line="240" w:lineRule="atLeast"/>
      <w:ind w:hanging="709"/>
      <w:outlineLvl w:val="0"/>
    </w:pPr>
    <w:rPr>
      <w:rFonts w:ascii="Verdana" w:eastAsia="Times New Roman" w:hAnsi="Verdana" w:cs="Times New Roman"/>
      <w:b/>
      <w:kern w:val="28"/>
      <w:sz w:val="20"/>
      <w:szCs w:val="20"/>
      <w:lang w:val="en-GB"/>
    </w:rPr>
  </w:style>
  <w:style w:type="paragraph" w:styleId="Heading2">
    <w:name w:val="heading 2"/>
    <w:basedOn w:val="Normal"/>
    <w:next w:val="Normal"/>
    <w:link w:val="Heading2Char"/>
    <w:qFormat/>
    <w:rsid w:val="007218C6"/>
    <w:pPr>
      <w:keepNext/>
      <w:numPr>
        <w:ilvl w:val="1"/>
        <w:numId w:val="10"/>
      </w:numPr>
      <w:spacing w:before="600" w:after="400" w:line="240" w:lineRule="atLeast"/>
      <w:ind w:hanging="709"/>
      <w:outlineLvl w:val="1"/>
    </w:pPr>
    <w:rPr>
      <w:rFonts w:ascii="Verdana" w:eastAsia="Times New Roman" w:hAnsi="Verdana" w:cs="Times New Roman"/>
      <w:b/>
      <w:i/>
      <w:sz w:val="20"/>
      <w:szCs w:val="20"/>
      <w:lang w:val="en-GB"/>
    </w:rPr>
  </w:style>
  <w:style w:type="paragraph" w:styleId="Heading3">
    <w:name w:val="heading 3"/>
    <w:basedOn w:val="Heading2"/>
    <w:next w:val="Normal"/>
    <w:link w:val="Heading3Char"/>
    <w:qFormat/>
    <w:rsid w:val="007218C6"/>
    <w:pPr>
      <w:numPr>
        <w:ilvl w:val="2"/>
      </w:numPr>
      <w:ind w:left="851" w:hanging="851"/>
      <w:outlineLvl w:val="2"/>
    </w:pPr>
  </w:style>
  <w:style w:type="paragraph" w:styleId="Heading4">
    <w:name w:val="heading 4"/>
    <w:basedOn w:val="Heading3"/>
    <w:next w:val="Normal"/>
    <w:link w:val="Heading4Char"/>
    <w:qFormat/>
    <w:rsid w:val="007218C6"/>
    <w:pPr>
      <w:numPr>
        <w:ilvl w:val="3"/>
      </w:numPr>
      <w:ind w:left="992" w:hanging="992"/>
      <w:outlineLvl w:val="3"/>
    </w:pPr>
  </w:style>
  <w:style w:type="paragraph" w:styleId="Heading5">
    <w:name w:val="heading 5"/>
    <w:basedOn w:val="Heading4"/>
    <w:next w:val="Normal"/>
    <w:link w:val="Heading5Char"/>
    <w:qFormat/>
    <w:rsid w:val="007218C6"/>
    <w:pPr>
      <w:numPr>
        <w:ilvl w:val="4"/>
      </w:numPr>
      <w:spacing w:after="240"/>
      <w:ind w:left="709" w:hanging="709"/>
      <w:outlineLvl w:val="4"/>
    </w:pPr>
    <w:rPr>
      <w:b w:val="0"/>
    </w:rPr>
  </w:style>
  <w:style w:type="paragraph" w:styleId="Heading6">
    <w:name w:val="heading 6"/>
    <w:basedOn w:val="Normal"/>
    <w:next w:val="Normal"/>
    <w:link w:val="Heading6Char"/>
    <w:qFormat/>
    <w:rsid w:val="007218C6"/>
    <w:pPr>
      <w:keepNext/>
      <w:numPr>
        <w:ilvl w:val="5"/>
        <w:numId w:val="10"/>
      </w:numPr>
      <w:spacing w:before="60" w:after="60" w:line="240" w:lineRule="atLeast"/>
      <w:outlineLvl w:val="5"/>
    </w:pPr>
    <w:rPr>
      <w:rFonts w:ascii="Verdana" w:eastAsia="Times New Roman" w:hAnsi="Verdana" w:cs="Times New Roman"/>
      <w:i/>
      <w:sz w:val="20"/>
      <w:szCs w:val="20"/>
      <w:lang w:val="en-GB"/>
    </w:rPr>
  </w:style>
  <w:style w:type="paragraph" w:styleId="Heading7">
    <w:name w:val="heading 7"/>
    <w:basedOn w:val="Normal"/>
    <w:next w:val="Normal"/>
    <w:link w:val="Heading7Char"/>
    <w:qFormat/>
    <w:rsid w:val="007218C6"/>
    <w:pPr>
      <w:keepNext/>
      <w:numPr>
        <w:ilvl w:val="6"/>
        <w:numId w:val="10"/>
      </w:numPr>
      <w:spacing w:before="60" w:after="60" w:line="240" w:lineRule="atLeast"/>
      <w:outlineLvl w:val="6"/>
    </w:pPr>
    <w:rPr>
      <w:rFonts w:ascii="Verdana" w:eastAsia="Times New Roman" w:hAnsi="Verdana" w:cs="Times New Roman"/>
      <w:i/>
      <w:sz w:val="20"/>
      <w:szCs w:val="20"/>
      <w:lang w:val="en-GB"/>
    </w:rPr>
  </w:style>
  <w:style w:type="paragraph" w:styleId="Heading8">
    <w:name w:val="heading 8"/>
    <w:basedOn w:val="Normal"/>
    <w:next w:val="Normal"/>
    <w:link w:val="Heading8Char"/>
    <w:qFormat/>
    <w:rsid w:val="007218C6"/>
    <w:pPr>
      <w:keepNext/>
      <w:numPr>
        <w:ilvl w:val="7"/>
        <w:numId w:val="10"/>
      </w:numPr>
      <w:spacing w:before="60" w:after="60" w:line="240" w:lineRule="atLeast"/>
      <w:outlineLvl w:val="7"/>
    </w:pPr>
    <w:rPr>
      <w:rFonts w:ascii="Verdana" w:eastAsia="Times New Roman" w:hAnsi="Verdana" w:cs="Times New Roman"/>
      <w:i/>
      <w:sz w:val="20"/>
      <w:szCs w:val="20"/>
      <w:lang w:val="en-GB"/>
    </w:rPr>
  </w:style>
  <w:style w:type="paragraph" w:styleId="Heading9">
    <w:name w:val="heading 9"/>
    <w:basedOn w:val="Normal"/>
    <w:next w:val="Normal"/>
    <w:link w:val="Heading9Char"/>
    <w:qFormat/>
    <w:rsid w:val="007218C6"/>
    <w:pPr>
      <w:keepNext/>
      <w:numPr>
        <w:ilvl w:val="8"/>
        <w:numId w:val="10"/>
      </w:numPr>
      <w:spacing w:before="60" w:after="60" w:line="240" w:lineRule="atLeast"/>
      <w:outlineLvl w:val="8"/>
    </w:pPr>
    <w:rPr>
      <w:rFonts w:ascii="Verdana" w:eastAsia="Times New Roman" w:hAnsi="Verdana" w:cs="Times New Roman"/>
      <w:i/>
      <w:sz w:val="2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F48F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F48F0"/>
    <w:rPr>
      <w:rFonts w:ascii="Lucida Grande" w:hAnsi="Lucida Grande" w:cs="Lucida Grande"/>
      <w:sz w:val="18"/>
      <w:szCs w:val="18"/>
    </w:rPr>
  </w:style>
  <w:style w:type="paragraph" w:styleId="ListParagraph">
    <w:name w:val="List Paragraph"/>
    <w:basedOn w:val="Normal"/>
    <w:uiPriority w:val="34"/>
    <w:qFormat/>
    <w:rsid w:val="00802498"/>
    <w:pPr>
      <w:spacing w:after="200" w:line="276" w:lineRule="auto"/>
      <w:ind w:left="720"/>
      <w:contextualSpacing/>
    </w:pPr>
    <w:rPr>
      <w:rFonts w:eastAsiaTheme="minorHAnsi"/>
      <w:sz w:val="22"/>
      <w:szCs w:val="22"/>
      <w:lang w:val="en-GB"/>
    </w:rPr>
  </w:style>
  <w:style w:type="paragraph" w:styleId="Header">
    <w:name w:val="header"/>
    <w:basedOn w:val="Normal"/>
    <w:link w:val="HeaderChar"/>
    <w:uiPriority w:val="99"/>
    <w:unhideWhenUsed/>
    <w:rsid w:val="003D5839"/>
    <w:pPr>
      <w:tabs>
        <w:tab w:val="center" w:pos="4513"/>
        <w:tab w:val="right" w:pos="9026"/>
      </w:tabs>
    </w:pPr>
    <w:rPr>
      <w:rFonts w:eastAsiaTheme="minorHAnsi"/>
      <w:sz w:val="22"/>
      <w:szCs w:val="22"/>
      <w:lang w:val="en-GB"/>
    </w:rPr>
  </w:style>
  <w:style w:type="character" w:customStyle="1" w:styleId="HeaderChar">
    <w:name w:val="Header Char"/>
    <w:basedOn w:val="DefaultParagraphFont"/>
    <w:link w:val="Header"/>
    <w:uiPriority w:val="99"/>
    <w:rsid w:val="003D5839"/>
    <w:rPr>
      <w:rFonts w:eastAsiaTheme="minorHAnsi"/>
      <w:sz w:val="22"/>
      <w:szCs w:val="22"/>
      <w:lang w:val="en-GB"/>
    </w:rPr>
  </w:style>
  <w:style w:type="paragraph" w:styleId="Footer">
    <w:name w:val="footer"/>
    <w:basedOn w:val="Normal"/>
    <w:link w:val="FooterChar"/>
    <w:uiPriority w:val="99"/>
    <w:unhideWhenUsed/>
    <w:rsid w:val="003D5839"/>
    <w:pPr>
      <w:tabs>
        <w:tab w:val="center" w:pos="4513"/>
        <w:tab w:val="right" w:pos="9026"/>
      </w:tabs>
    </w:pPr>
    <w:rPr>
      <w:rFonts w:eastAsiaTheme="minorHAnsi"/>
      <w:sz w:val="22"/>
      <w:szCs w:val="22"/>
      <w:lang w:val="en-GB"/>
    </w:rPr>
  </w:style>
  <w:style w:type="character" w:customStyle="1" w:styleId="FooterChar">
    <w:name w:val="Footer Char"/>
    <w:basedOn w:val="DefaultParagraphFont"/>
    <w:link w:val="Footer"/>
    <w:uiPriority w:val="99"/>
    <w:rsid w:val="003D5839"/>
    <w:rPr>
      <w:rFonts w:eastAsiaTheme="minorHAnsi"/>
      <w:sz w:val="22"/>
      <w:szCs w:val="22"/>
      <w:lang w:val="en-GB"/>
    </w:rPr>
  </w:style>
  <w:style w:type="character" w:customStyle="1" w:styleId="ata11y">
    <w:name w:val="at_a11y"/>
    <w:basedOn w:val="DefaultParagraphFont"/>
    <w:rsid w:val="003D5839"/>
  </w:style>
  <w:style w:type="table" w:styleId="TableGrid">
    <w:name w:val="Table Grid"/>
    <w:basedOn w:val="TableNormal"/>
    <w:uiPriority w:val="59"/>
    <w:rsid w:val="003D5839"/>
    <w:rPr>
      <w:rFonts w:eastAsiaTheme="minorHAnsi"/>
      <w:sz w:val="22"/>
      <w:szCs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3D5839"/>
    <w:pPr>
      <w:spacing w:before="100" w:beforeAutospacing="1" w:after="100" w:afterAutospacing="1"/>
    </w:pPr>
    <w:rPr>
      <w:rFonts w:ascii="Times" w:hAnsi="Times" w:cs="Times New Roman"/>
      <w:sz w:val="20"/>
      <w:szCs w:val="20"/>
      <w:lang w:val="en-GB"/>
    </w:rPr>
  </w:style>
  <w:style w:type="character" w:styleId="Hyperlink">
    <w:name w:val="Hyperlink"/>
    <w:basedOn w:val="DefaultParagraphFont"/>
    <w:uiPriority w:val="99"/>
    <w:unhideWhenUsed/>
    <w:rsid w:val="003D5839"/>
    <w:rPr>
      <w:color w:val="0000FF" w:themeColor="hyperlink"/>
      <w:u w:val="single"/>
    </w:rPr>
  </w:style>
  <w:style w:type="character" w:customStyle="1" w:styleId="Heading1Char">
    <w:name w:val="Heading 1 Char"/>
    <w:basedOn w:val="DefaultParagraphFont"/>
    <w:link w:val="Heading1"/>
    <w:uiPriority w:val="9"/>
    <w:rsid w:val="007218C6"/>
    <w:rPr>
      <w:rFonts w:ascii="Verdana" w:eastAsia="Times New Roman" w:hAnsi="Verdana" w:cs="Times New Roman"/>
      <w:b/>
      <w:kern w:val="28"/>
      <w:sz w:val="20"/>
      <w:szCs w:val="20"/>
      <w:lang w:val="en-GB"/>
    </w:rPr>
  </w:style>
  <w:style w:type="character" w:customStyle="1" w:styleId="Heading2Char">
    <w:name w:val="Heading 2 Char"/>
    <w:basedOn w:val="DefaultParagraphFont"/>
    <w:link w:val="Heading2"/>
    <w:rsid w:val="007218C6"/>
    <w:rPr>
      <w:rFonts w:ascii="Verdana" w:eastAsia="Times New Roman" w:hAnsi="Verdana" w:cs="Times New Roman"/>
      <w:b/>
      <w:i/>
      <w:sz w:val="20"/>
      <w:szCs w:val="20"/>
      <w:lang w:val="en-GB"/>
    </w:rPr>
  </w:style>
  <w:style w:type="character" w:customStyle="1" w:styleId="Heading3Char">
    <w:name w:val="Heading 3 Char"/>
    <w:basedOn w:val="DefaultParagraphFont"/>
    <w:link w:val="Heading3"/>
    <w:rsid w:val="007218C6"/>
    <w:rPr>
      <w:rFonts w:ascii="Verdana" w:eastAsia="Times New Roman" w:hAnsi="Verdana" w:cs="Times New Roman"/>
      <w:b/>
      <w:i/>
      <w:sz w:val="20"/>
      <w:szCs w:val="20"/>
      <w:lang w:val="en-GB"/>
    </w:rPr>
  </w:style>
  <w:style w:type="character" w:customStyle="1" w:styleId="Heading4Char">
    <w:name w:val="Heading 4 Char"/>
    <w:basedOn w:val="DefaultParagraphFont"/>
    <w:link w:val="Heading4"/>
    <w:rsid w:val="007218C6"/>
    <w:rPr>
      <w:rFonts w:ascii="Verdana" w:eastAsia="Times New Roman" w:hAnsi="Verdana" w:cs="Times New Roman"/>
      <w:b/>
      <w:i/>
      <w:sz w:val="20"/>
      <w:szCs w:val="20"/>
      <w:lang w:val="en-GB"/>
    </w:rPr>
  </w:style>
  <w:style w:type="character" w:customStyle="1" w:styleId="Heading5Char">
    <w:name w:val="Heading 5 Char"/>
    <w:basedOn w:val="DefaultParagraphFont"/>
    <w:link w:val="Heading5"/>
    <w:rsid w:val="007218C6"/>
    <w:rPr>
      <w:rFonts w:ascii="Verdana" w:eastAsia="Times New Roman" w:hAnsi="Verdana" w:cs="Times New Roman"/>
      <w:i/>
      <w:sz w:val="20"/>
      <w:szCs w:val="20"/>
      <w:lang w:val="en-GB"/>
    </w:rPr>
  </w:style>
  <w:style w:type="character" w:customStyle="1" w:styleId="Heading6Char">
    <w:name w:val="Heading 6 Char"/>
    <w:basedOn w:val="DefaultParagraphFont"/>
    <w:link w:val="Heading6"/>
    <w:rsid w:val="007218C6"/>
    <w:rPr>
      <w:rFonts w:ascii="Verdana" w:eastAsia="Times New Roman" w:hAnsi="Verdana" w:cs="Times New Roman"/>
      <w:i/>
      <w:sz w:val="20"/>
      <w:szCs w:val="20"/>
      <w:lang w:val="en-GB"/>
    </w:rPr>
  </w:style>
  <w:style w:type="character" w:customStyle="1" w:styleId="Heading7Char">
    <w:name w:val="Heading 7 Char"/>
    <w:basedOn w:val="DefaultParagraphFont"/>
    <w:link w:val="Heading7"/>
    <w:rsid w:val="007218C6"/>
    <w:rPr>
      <w:rFonts w:ascii="Verdana" w:eastAsia="Times New Roman" w:hAnsi="Verdana" w:cs="Times New Roman"/>
      <w:i/>
      <w:sz w:val="20"/>
      <w:szCs w:val="20"/>
      <w:lang w:val="en-GB"/>
    </w:rPr>
  </w:style>
  <w:style w:type="character" w:customStyle="1" w:styleId="Heading8Char">
    <w:name w:val="Heading 8 Char"/>
    <w:basedOn w:val="DefaultParagraphFont"/>
    <w:link w:val="Heading8"/>
    <w:rsid w:val="007218C6"/>
    <w:rPr>
      <w:rFonts w:ascii="Verdana" w:eastAsia="Times New Roman" w:hAnsi="Verdana" w:cs="Times New Roman"/>
      <w:i/>
      <w:sz w:val="20"/>
      <w:szCs w:val="20"/>
      <w:lang w:val="en-GB"/>
    </w:rPr>
  </w:style>
  <w:style w:type="character" w:customStyle="1" w:styleId="Heading9Char">
    <w:name w:val="Heading 9 Char"/>
    <w:basedOn w:val="DefaultParagraphFont"/>
    <w:link w:val="Heading9"/>
    <w:rsid w:val="007218C6"/>
    <w:rPr>
      <w:rFonts w:ascii="Verdana" w:eastAsia="Times New Roman" w:hAnsi="Verdana" w:cs="Times New Roman"/>
      <w:i/>
      <w:sz w:val="20"/>
      <w:szCs w:val="20"/>
      <w:lang w:val="en-GB"/>
    </w:rPr>
  </w:style>
  <w:style w:type="paragraph" w:customStyle="1" w:styleId="NormalPicture">
    <w:name w:val="NormalPicture"/>
    <w:basedOn w:val="Normal"/>
    <w:link w:val="NormalPictureChar"/>
    <w:rsid w:val="007218C6"/>
    <w:pPr>
      <w:spacing w:after="120"/>
      <w:jc w:val="center"/>
    </w:pPr>
    <w:rPr>
      <w:rFonts w:ascii="Verdana" w:eastAsia="Times New Roman" w:hAnsi="Verdana" w:cs="Times New Roman"/>
      <w:sz w:val="20"/>
      <w:szCs w:val="20"/>
      <w:lang w:val="en-GB"/>
    </w:rPr>
  </w:style>
  <w:style w:type="character" w:customStyle="1" w:styleId="NormalPictureChar">
    <w:name w:val="NormalPicture Char"/>
    <w:link w:val="NormalPicture"/>
    <w:rsid w:val="007218C6"/>
    <w:rPr>
      <w:rFonts w:ascii="Verdana" w:eastAsia="Times New Roman" w:hAnsi="Verdana" w:cs="Times New Roman"/>
      <w:sz w:val="20"/>
      <w:szCs w:val="20"/>
      <w:lang w:val="en-GB"/>
    </w:rPr>
  </w:style>
  <w:style w:type="character" w:styleId="PageNumber">
    <w:name w:val="page number"/>
    <w:basedOn w:val="DefaultParagraphFont"/>
    <w:uiPriority w:val="99"/>
    <w:semiHidden/>
    <w:unhideWhenUsed/>
    <w:rsid w:val="007218C6"/>
  </w:style>
  <w:style w:type="character" w:styleId="CommentReference">
    <w:name w:val="annotation reference"/>
    <w:basedOn w:val="DefaultParagraphFont"/>
    <w:semiHidden/>
    <w:rsid w:val="007218C6"/>
    <w:rPr>
      <w:rFonts w:cs="Times New Roman"/>
      <w:sz w:val="16"/>
      <w:szCs w:val="16"/>
    </w:rPr>
  </w:style>
  <w:style w:type="paragraph" w:styleId="CommentText">
    <w:name w:val="annotation text"/>
    <w:basedOn w:val="Normal"/>
    <w:link w:val="CommentTextChar"/>
    <w:rsid w:val="007218C6"/>
    <w:pPr>
      <w:spacing w:after="200" w:line="276" w:lineRule="auto"/>
    </w:pPr>
    <w:rPr>
      <w:rFonts w:ascii="Calibri" w:eastAsia="Calibri" w:hAnsi="Calibri" w:cs="Times New Roman"/>
      <w:sz w:val="20"/>
      <w:szCs w:val="20"/>
      <w:lang w:val="en-GB"/>
    </w:rPr>
  </w:style>
  <w:style w:type="character" w:customStyle="1" w:styleId="CommentTextChar">
    <w:name w:val="Comment Text Char"/>
    <w:basedOn w:val="DefaultParagraphFont"/>
    <w:link w:val="CommentText"/>
    <w:rsid w:val="007218C6"/>
    <w:rPr>
      <w:rFonts w:ascii="Calibri" w:eastAsia="Calibri" w:hAnsi="Calibri" w:cs="Times New Roman"/>
      <w:sz w:val="20"/>
      <w:szCs w:val="20"/>
      <w:lang w:val="en-GB"/>
    </w:rPr>
  </w:style>
  <w:style w:type="character" w:styleId="PlaceholderText">
    <w:name w:val="Placeholder Text"/>
    <w:basedOn w:val="DefaultParagraphFont"/>
    <w:uiPriority w:val="99"/>
    <w:semiHidden/>
    <w:rsid w:val="00777A0A"/>
    <w:rPr>
      <w:color w:val="808080"/>
    </w:rPr>
  </w:style>
  <w:style w:type="paragraph" w:styleId="Revision">
    <w:name w:val="Revision"/>
    <w:hidden/>
    <w:uiPriority w:val="99"/>
    <w:semiHidden/>
    <w:rsid w:val="00777A0A"/>
    <w:rPr>
      <w:rFonts w:eastAsiaTheme="minorHAnsi"/>
      <w:sz w:val="22"/>
      <w:szCs w:val="22"/>
      <w:lang w:val="en-GB"/>
    </w:rPr>
  </w:style>
  <w:style w:type="character" w:customStyle="1" w:styleId="apple-converted-space">
    <w:name w:val="apple-converted-space"/>
    <w:basedOn w:val="DefaultParagraphFont"/>
    <w:rsid w:val="005708A0"/>
  </w:style>
  <w:style w:type="character" w:styleId="Strong">
    <w:name w:val="Strong"/>
    <w:basedOn w:val="DefaultParagraphFont"/>
    <w:uiPriority w:val="22"/>
    <w:qFormat/>
    <w:rsid w:val="005708A0"/>
    <w:rPr>
      <w:b/>
      <w:bCs/>
    </w:rPr>
  </w:style>
  <w:style w:type="paragraph" w:customStyle="1" w:styleId="Hidden">
    <w:name w:val="Hidden"/>
    <w:basedOn w:val="Normal"/>
    <w:rsid w:val="0044704C"/>
    <w:pPr>
      <w:spacing w:after="120" w:line="240" w:lineRule="atLeast"/>
    </w:pPr>
    <w:rPr>
      <w:rFonts w:ascii="Verdana" w:eastAsia="Times New Roman" w:hAnsi="Verdana" w:cs="Times New Roman"/>
      <w:vanish/>
      <w:color w:val="0000FF"/>
      <w:sz w:val="20"/>
      <w:szCs w:val="20"/>
      <w:lang w:val="en-GB"/>
    </w:rPr>
  </w:style>
  <w:style w:type="paragraph" w:styleId="TOC1">
    <w:name w:val="toc 1"/>
    <w:basedOn w:val="Normal"/>
    <w:next w:val="Normal"/>
    <w:autoRedefine/>
    <w:uiPriority w:val="39"/>
    <w:unhideWhenUsed/>
    <w:rsid w:val="00165021"/>
    <w:pPr>
      <w:spacing w:before="120"/>
    </w:pPr>
    <w:rPr>
      <w:b/>
    </w:rPr>
  </w:style>
  <w:style w:type="paragraph" w:styleId="TOC2">
    <w:name w:val="toc 2"/>
    <w:basedOn w:val="Normal"/>
    <w:next w:val="Normal"/>
    <w:autoRedefine/>
    <w:uiPriority w:val="39"/>
    <w:unhideWhenUsed/>
    <w:rsid w:val="00165021"/>
    <w:pPr>
      <w:ind w:left="240"/>
    </w:pPr>
    <w:rPr>
      <w:b/>
      <w:sz w:val="22"/>
      <w:szCs w:val="22"/>
    </w:rPr>
  </w:style>
  <w:style w:type="paragraph" w:styleId="TOC3">
    <w:name w:val="toc 3"/>
    <w:basedOn w:val="Normal"/>
    <w:next w:val="Normal"/>
    <w:autoRedefine/>
    <w:uiPriority w:val="39"/>
    <w:unhideWhenUsed/>
    <w:rsid w:val="00165021"/>
    <w:pPr>
      <w:ind w:left="480"/>
    </w:pPr>
    <w:rPr>
      <w:sz w:val="22"/>
      <w:szCs w:val="22"/>
    </w:rPr>
  </w:style>
  <w:style w:type="paragraph" w:styleId="TOC4">
    <w:name w:val="toc 4"/>
    <w:basedOn w:val="Normal"/>
    <w:next w:val="Normal"/>
    <w:autoRedefine/>
    <w:uiPriority w:val="39"/>
    <w:unhideWhenUsed/>
    <w:rsid w:val="00165021"/>
    <w:pPr>
      <w:ind w:left="720"/>
    </w:pPr>
    <w:rPr>
      <w:sz w:val="20"/>
      <w:szCs w:val="20"/>
    </w:rPr>
  </w:style>
  <w:style w:type="paragraph" w:styleId="TOC5">
    <w:name w:val="toc 5"/>
    <w:basedOn w:val="Normal"/>
    <w:next w:val="Normal"/>
    <w:autoRedefine/>
    <w:uiPriority w:val="39"/>
    <w:unhideWhenUsed/>
    <w:rsid w:val="00165021"/>
    <w:pPr>
      <w:ind w:left="960"/>
    </w:pPr>
    <w:rPr>
      <w:sz w:val="20"/>
      <w:szCs w:val="20"/>
    </w:rPr>
  </w:style>
  <w:style w:type="paragraph" w:styleId="TOC6">
    <w:name w:val="toc 6"/>
    <w:basedOn w:val="Normal"/>
    <w:next w:val="Normal"/>
    <w:autoRedefine/>
    <w:uiPriority w:val="39"/>
    <w:unhideWhenUsed/>
    <w:rsid w:val="00165021"/>
    <w:pPr>
      <w:ind w:left="1200"/>
    </w:pPr>
    <w:rPr>
      <w:sz w:val="20"/>
      <w:szCs w:val="20"/>
    </w:rPr>
  </w:style>
  <w:style w:type="paragraph" w:styleId="TOC7">
    <w:name w:val="toc 7"/>
    <w:basedOn w:val="Normal"/>
    <w:next w:val="Normal"/>
    <w:autoRedefine/>
    <w:uiPriority w:val="39"/>
    <w:unhideWhenUsed/>
    <w:rsid w:val="00165021"/>
    <w:pPr>
      <w:ind w:left="1440"/>
    </w:pPr>
    <w:rPr>
      <w:sz w:val="20"/>
      <w:szCs w:val="20"/>
    </w:rPr>
  </w:style>
  <w:style w:type="paragraph" w:styleId="TOC8">
    <w:name w:val="toc 8"/>
    <w:basedOn w:val="Normal"/>
    <w:next w:val="Normal"/>
    <w:autoRedefine/>
    <w:uiPriority w:val="39"/>
    <w:unhideWhenUsed/>
    <w:rsid w:val="00165021"/>
    <w:pPr>
      <w:ind w:left="1680"/>
    </w:pPr>
    <w:rPr>
      <w:sz w:val="20"/>
      <w:szCs w:val="20"/>
    </w:rPr>
  </w:style>
  <w:style w:type="paragraph" w:styleId="TOC9">
    <w:name w:val="toc 9"/>
    <w:basedOn w:val="Normal"/>
    <w:next w:val="Normal"/>
    <w:autoRedefine/>
    <w:uiPriority w:val="39"/>
    <w:unhideWhenUsed/>
    <w:rsid w:val="00165021"/>
    <w:pPr>
      <w:ind w:left="1920"/>
    </w:pPr>
    <w:rPr>
      <w:sz w:val="20"/>
      <w:szCs w:val="20"/>
    </w:rPr>
  </w:style>
  <w:style w:type="paragraph" w:styleId="CommentSubject">
    <w:name w:val="annotation subject"/>
    <w:basedOn w:val="CommentText"/>
    <w:next w:val="CommentText"/>
    <w:link w:val="CommentSubjectChar"/>
    <w:uiPriority w:val="99"/>
    <w:semiHidden/>
    <w:unhideWhenUsed/>
    <w:rsid w:val="003A325C"/>
    <w:pPr>
      <w:spacing w:after="0" w:line="240" w:lineRule="auto"/>
    </w:pPr>
    <w:rPr>
      <w:rFonts w:asciiTheme="minorHAnsi" w:eastAsiaTheme="minorEastAsia" w:hAnsiTheme="minorHAnsi" w:cstheme="minorBidi"/>
      <w:b/>
      <w:bCs/>
      <w:lang w:val="en-US"/>
    </w:rPr>
  </w:style>
  <w:style w:type="character" w:customStyle="1" w:styleId="CommentSubjectChar">
    <w:name w:val="Comment Subject Char"/>
    <w:basedOn w:val="CommentTextChar"/>
    <w:link w:val="CommentSubject"/>
    <w:uiPriority w:val="99"/>
    <w:semiHidden/>
    <w:rsid w:val="003A325C"/>
    <w:rPr>
      <w:rFonts w:ascii="Calibri" w:eastAsia="Calibri" w:hAnsi="Calibri" w:cs="Times New Roman"/>
      <w:b/>
      <w:bCs/>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45058">
      <w:bodyDiv w:val="1"/>
      <w:marLeft w:val="0"/>
      <w:marRight w:val="0"/>
      <w:marTop w:val="0"/>
      <w:marBottom w:val="0"/>
      <w:divBdr>
        <w:top w:val="none" w:sz="0" w:space="0" w:color="auto"/>
        <w:left w:val="none" w:sz="0" w:space="0" w:color="auto"/>
        <w:bottom w:val="none" w:sz="0" w:space="0" w:color="auto"/>
        <w:right w:val="none" w:sz="0" w:space="0" w:color="auto"/>
      </w:divBdr>
    </w:div>
    <w:div w:id="98333578">
      <w:bodyDiv w:val="1"/>
      <w:marLeft w:val="0"/>
      <w:marRight w:val="0"/>
      <w:marTop w:val="0"/>
      <w:marBottom w:val="0"/>
      <w:divBdr>
        <w:top w:val="none" w:sz="0" w:space="0" w:color="auto"/>
        <w:left w:val="none" w:sz="0" w:space="0" w:color="auto"/>
        <w:bottom w:val="none" w:sz="0" w:space="0" w:color="auto"/>
        <w:right w:val="none" w:sz="0" w:space="0" w:color="auto"/>
      </w:divBdr>
    </w:div>
    <w:div w:id="213470985">
      <w:bodyDiv w:val="1"/>
      <w:marLeft w:val="0"/>
      <w:marRight w:val="0"/>
      <w:marTop w:val="0"/>
      <w:marBottom w:val="0"/>
      <w:divBdr>
        <w:top w:val="none" w:sz="0" w:space="0" w:color="auto"/>
        <w:left w:val="none" w:sz="0" w:space="0" w:color="auto"/>
        <w:bottom w:val="none" w:sz="0" w:space="0" w:color="auto"/>
        <w:right w:val="none" w:sz="0" w:space="0" w:color="auto"/>
      </w:divBdr>
    </w:div>
    <w:div w:id="326518663">
      <w:bodyDiv w:val="1"/>
      <w:marLeft w:val="0"/>
      <w:marRight w:val="0"/>
      <w:marTop w:val="0"/>
      <w:marBottom w:val="0"/>
      <w:divBdr>
        <w:top w:val="none" w:sz="0" w:space="0" w:color="auto"/>
        <w:left w:val="none" w:sz="0" w:space="0" w:color="auto"/>
        <w:bottom w:val="none" w:sz="0" w:space="0" w:color="auto"/>
        <w:right w:val="none" w:sz="0" w:space="0" w:color="auto"/>
      </w:divBdr>
      <w:divsChild>
        <w:div w:id="1021273699">
          <w:marLeft w:val="0"/>
          <w:marRight w:val="0"/>
          <w:marTop w:val="0"/>
          <w:marBottom w:val="0"/>
          <w:divBdr>
            <w:top w:val="none" w:sz="0" w:space="0" w:color="auto"/>
            <w:left w:val="none" w:sz="0" w:space="0" w:color="auto"/>
            <w:bottom w:val="single" w:sz="4" w:space="1" w:color="auto"/>
            <w:right w:val="none" w:sz="0" w:space="0" w:color="auto"/>
          </w:divBdr>
        </w:div>
      </w:divsChild>
    </w:div>
    <w:div w:id="330911485">
      <w:bodyDiv w:val="1"/>
      <w:marLeft w:val="0"/>
      <w:marRight w:val="0"/>
      <w:marTop w:val="0"/>
      <w:marBottom w:val="0"/>
      <w:divBdr>
        <w:top w:val="none" w:sz="0" w:space="0" w:color="auto"/>
        <w:left w:val="none" w:sz="0" w:space="0" w:color="auto"/>
        <w:bottom w:val="none" w:sz="0" w:space="0" w:color="auto"/>
        <w:right w:val="none" w:sz="0" w:space="0" w:color="auto"/>
      </w:divBdr>
    </w:div>
    <w:div w:id="355429034">
      <w:bodyDiv w:val="1"/>
      <w:marLeft w:val="0"/>
      <w:marRight w:val="0"/>
      <w:marTop w:val="0"/>
      <w:marBottom w:val="0"/>
      <w:divBdr>
        <w:top w:val="none" w:sz="0" w:space="0" w:color="auto"/>
        <w:left w:val="none" w:sz="0" w:space="0" w:color="auto"/>
        <w:bottom w:val="none" w:sz="0" w:space="0" w:color="auto"/>
        <w:right w:val="none" w:sz="0" w:space="0" w:color="auto"/>
      </w:divBdr>
    </w:div>
    <w:div w:id="539629547">
      <w:bodyDiv w:val="1"/>
      <w:marLeft w:val="0"/>
      <w:marRight w:val="0"/>
      <w:marTop w:val="0"/>
      <w:marBottom w:val="0"/>
      <w:divBdr>
        <w:top w:val="none" w:sz="0" w:space="0" w:color="auto"/>
        <w:left w:val="none" w:sz="0" w:space="0" w:color="auto"/>
        <w:bottom w:val="none" w:sz="0" w:space="0" w:color="auto"/>
        <w:right w:val="none" w:sz="0" w:space="0" w:color="auto"/>
      </w:divBdr>
    </w:div>
    <w:div w:id="609893972">
      <w:bodyDiv w:val="1"/>
      <w:marLeft w:val="0"/>
      <w:marRight w:val="0"/>
      <w:marTop w:val="0"/>
      <w:marBottom w:val="0"/>
      <w:divBdr>
        <w:top w:val="none" w:sz="0" w:space="0" w:color="auto"/>
        <w:left w:val="none" w:sz="0" w:space="0" w:color="auto"/>
        <w:bottom w:val="none" w:sz="0" w:space="0" w:color="auto"/>
        <w:right w:val="none" w:sz="0" w:space="0" w:color="auto"/>
      </w:divBdr>
      <w:divsChild>
        <w:div w:id="164900271">
          <w:marLeft w:val="0"/>
          <w:marRight w:val="0"/>
          <w:marTop w:val="0"/>
          <w:marBottom w:val="0"/>
          <w:divBdr>
            <w:top w:val="single" w:sz="4" w:space="13" w:color="auto"/>
            <w:left w:val="none" w:sz="0" w:space="0" w:color="auto"/>
            <w:bottom w:val="single" w:sz="4" w:space="15" w:color="auto"/>
            <w:right w:val="none" w:sz="0" w:space="0" w:color="auto"/>
          </w:divBdr>
        </w:div>
      </w:divsChild>
    </w:div>
    <w:div w:id="674964580">
      <w:bodyDiv w:val="1"/>
      <w:marLeft w:val="0"/>
      <w:marRight w:val="0"/>
      <w:marTop w:val="0"/>
      <w:marBottom w:val="0"/>
      <w:divBdr>
        <w:top w:val="none" w:sz="0" w:space="0" w:color="auto"/>
        <w:left w:val="none" w:sz="0" w:space="0" w:color="auto"/>
        <w:bottom w:val="none" w:sz="0" w:space="0" w:color="auto"/>
        <w:right w:val="none" w:sz="0" w:space="0" w:color="auto"/>
      </w:divBdr>
    </w:div>
    <w:div w:id="832187324">
      <w:bodyDiv w:val="1"/>
      <w:marLeft w:val="0"/>
      <w:marRight w:val="0"/>
      <w:marTop w:val="0"/>
      <w:marBottom w:val="0"/>
      <w:divBdr>
        <w:top w:val="none" w:sz="0" w:space="0" w:color="auto"/>
        <w:left w:val="none" w:sz="0" w:space="0" w:color="auto"/>
        <w:bottom w:val="none" w:sz="0" w:space="0" w:color="auto"/>
        <w:right w:val="none" w:sz="0" w:space="0" w:color="auto"/>
      </w:divBdr>
    </w:div>
    <w:div w:id="857432689">
      <w:bodyDiv w:val="1"/>
      <w:marLeft w:val="0"/>
      <w:marRight w:val="0"/>
      <w:marTop w:val="0"/>
      <w:marBottom w:val="0"/>
      <w:divBdr>
        <w:top w:val="none" w:sz="0" w:space="0" w:color="auto"/>
        <w:left w:val="none" w:sz="0" w:space="0" w:color="auto"/>
        <w:bottom w:val="none" w:sz="0" w:space="0" w:color="auto"/>
        <w:right w:val="none" w:sz="0" w:space="0" w:color="auto"/>
      </w:divBdr>
      <w:divsChild>
        <w:div w:id="810025625">
          <w:marLeft w:val="0"/>
          <w:marRight w:val="0"/>
          <w:marTop w:val="0"/>
          <w:marBottom w:val="0"/>
          <w:divBdr>
            <w:top w:val="single" w:sz="4" w:space="13" w:color="auto"/>
            <w:left w:val="none" w:sz="0" w:space="0" w:color="auto"/>
            <w:bottom w:val="single" w:sz="4" w:space="15" w:color="auto"/>
            <w:right w:val="none" w:sz="0" w:space="0" w:color="auto"/>
          </w:divBdr>
        </w:div>
      </w:divsChild>
    </w:div>
    <w:div w:id="885023567">
      <w:bodyDiv w:val="1"/>
      <w:marLeft w:val="0"/>
      <w:marRight w:val="0"/>
      <w:marTop w:val="0"/>
      <w:marBottom w:val="0"/>
      <w:divBdr>
        <w:top w:val="none" w:sz="0" w:space="0" w:color="auto"/>
        <w:left w:val="none" w:sz="0" w:space="0" w:color="auto"/>
        <w:bottom w:val="none" w:sz="0" w:space="0" w:color="auto"/>
        <w:right w:val="none" w:sz="0" w:space="0" w:color="auto"/>
      </w:divBdr>
    </w:div>
    <w:div w:id="916017883">
      <w:bodyDiv w:val="1"/>
      <w:marLeft w:val="0"/>
      <w:marRight w:val="0"/>
      <w:marTop w:val="0"/>
      <w:marBottom w:val="0"/>
      <w:divBdr>
        <w:top w:val="none" w:sz="0" w:space="0" w:color="auto"/>
        <w:left w:val="none" w:sz="0" w:space="0" w:color="auto"/>
        <w:bottom w:val="none" w:sz="0" w:space="0" w:color="auto"/>
        <w:right w:val="none" w:sz="0" w:space="0" w:color="auto"/>
      </w:divBdr>
    </w:div>
    <w:div w:id="919603391">
      <w:bodyDiv w:val="1"/>
      <w:marLeft w:val="0"/>
      <w:marRight w:val="0"/>
      <w:marTop w:val="0"/>
      <w:marBottom w:val="0"/>
      <w:divBdr>
        <w:top w:val="none" w:sz="0" w:space="0" w:color="auto"/>
        <w:left w:val="none" w:sz="0" w:space="0" w:color="auto"/>
        <w:bottom w:val="none" w:sz="0" w:space="0" w:color="auto"/>
        <w:right w:val="none" w:sz="0" w:space="0" w:color="auto"/>
      </w:divBdr>
    </w:div>
    <w:div w:id="927153971">
      <w:bodyDiv w:val="1"/>
      <w:marLeft w:val="0"/>
      <w:marRight w:val="0"/>
      <w:marTop w:val="0"/>
      <w:marBottom w:val="0"/>
      <w:divBdr>
        <w:top w:val="none" w:sz="0" w:space="0" w:color="auto"/>
        <w:left w:val="none" w:sz="0" w:space="0" w:color="auto"/>
        <w:bottom w:val="none" w:sz="0" w:space="0" w:color="auto"/>
        <w:right w:val="none" w:sz="0" w:space="0" w:color="auto"/>
      </w:divBdr>
    </w:div>
    <w:div w:id="935015951">
      <w:bodyDiv w:val="1"/>
      <w:marLeft w:val="0"/>
      <w:marRight w:val="0"/>
      <w:marTop w:val="0"/>
      <w:marBottom w:val="0"/>
      <w:divBdr>
        <w:top w:val="none" w:sz="0" w:space="0" w:color="auto"/>
        <w:left w:val="none" w:sz="0" w:space="0" w:color="auto"/>
        <w:bottom w:val="none" w:sz="0" w:space="0" w:color="auto"/>
        <w:right w:val="none" w:sz="0" w:space="0" w:color="auto"/>
      </w:divBdr>
    </w:div>
    <w:div w:id="951329445">
      <w:bodyDiv w:val="1"/>
      <w:marLeft w:val="0"/>
      <w:marRight w:val="0"/>
      <w:marTop w:val="0"/>
      <w:marBottom w:val="0"/>
      <w:divBdr>
        <w:top w:val="none" w:sz="0" w:space="0" w:color="auto"/>
        <w:left w:val="none" w:sz="0" w:space="0" w:color="auto"/>
        <w:bottom w:val="none" w:sz="0" w:space="0" w:color="auto"/>
        <w:right w:val="none" w:sz="0" w:space="0" w:color="auto"/>
      </w:divBdr>
    </w:div>
    <w:div w:id="1017317161">
      <w:bodyDiv w:val="1"/>
      <w:marLeft w:val="0"/>
      <w:marRight w:val="0"/>
      <w:marTop w:val="0"/>
      <w:marBottom w:val="0"/>
      <w:divBdr>
        <w:top w:val="none" w:sz="0" w:space="0" w:color="auto"/>
        <w:left w:val="none" w:sz="0" w:space="0" w:color="auto"/>
        <w:bottom w:val="none" w:sz="0" w:space="0" w:color="auto"/>
        <w:right w:val="none" w:sz="0" w:space="0" w:color="auto"/>
      </w:divBdr>
    </w:div>
    <w:div w:id="1035274632">
      <w:bodyDiv w:val="1"/>
      <w:marLeft w:val="0"/>
      <w:marRight w:val="0"/>
      <w:marTop w:val="0"/>
      <w:marBottom w:val="0"/>
      <w:divBdr>
        <w:top w:val="none" w:sz="0" w:space="0" w:color="auto"/>
        <w:left w:val="none" w:sz="0" w:space="0" w:color="auto"/>
        <w:bottom w:val="none" w:sz="0" w:space="0" w:color="auto"/>
        <w:right w:val="none" w:sz="0" w:space="0" w:color="auto"/>
      </w:divBdr>
    </w:div>
    <w:div w:id="1080979593">
      <w:bodyDiv w:val="1"/>
      <w:marLeft w:val="0"/>
      <w:marRight w:val="0"/>
      <w:marTop w:val="0"/>
      <w:marBottom w:val="0"/>
      <w:divBdr>
        <w:top w:val="none" w:sz="0" w:space="0" w:color="auto"/>
        <w:left w:val="none" w:sz="0" w:space="0" w:color="auto"/>
        <w:bottom w:val="none" w:sz="0" w:space="0" w:color="auto"/>
        <w:right w:val="none" w:sz="0" w:space="0" w:color="auto"/>
      </w:divBdr>
    </w:div>
    <w:div w:id="1209032229">
      <w:bodyDiv w:val="1"/>
      <w:marLeft w:val="0"/>
      <w:marRight w:val="0"/>
      <w:marTop w:val="0"/>
      <w:marBottom w:val="0"/>
      <w:divBdr>
        <w:top w:val="none" w:sz="0" w:space="0" w:color="auto"/>
        <w:left w:val="none" w:sz="0" w:space="0" w:color="auto"/>
        <w:bottom w:val="none" w:sz="0" w:space="0" w:color="auto"/>
        <w:right w:val="none" w:sz="0" w:space="0" w:color="auto"/>
      </w:divBdr>
    </w:div>
    <w:div w:id="1210726385">
      <w:bodyDiv w:val="1"/>
      <w:marLeft w:val="0"/>
      <w:marRight w:val="0"/>
      <w:marTop w:val="0"/>
      <w:marBottom w:val="0"/>
      <w:divBdr>
        <w:top w:val="none" w:sz="0" w:space="0" w:color="auto"/>
        <w:left w:val="none" w:sz="0" w:space="0" w:color="auto"/>
        <w:bottom w:val="none" w:sz="0" w:space="0" w:color="auto"/>
        <w:right w:val="none" w:sz="0" w:space="0" w:color="auto"/>
      </w:divBdr>
    </w:div>
    <w:div w:id="1323510654">
      <w:bodyDiv w:val="1"/>
      <w:marLeft w:val="0"/>
      <w:marRight w:val="0"/>
      <w:marTop w:val="0"/>
      <w:marBottom w:val="0"/>
      <w:divBdr>
        <w:top w:val="none" w:sz="0" w:space="0" w:color="auto"/>
        <w:left w:val="none" w:sz="0" w:space="0" w:color="auto"/>
        <w:bottom w:val="none" w:sz="0" w:space="0" w:color="auto"/>
        <w:right w:val="none" w:sz="0" w:space="0" w:color="auto"/>
      </w:divBdr>
    </w:div>
    <w:div w:id="1496342830">
      <w:bodyDiv w:val="1"/>
      <w:marLeft w:val="0"/>
      <w:marRight w:val="0"/>
      <w:marTop w:val="0"/>
      <w:marBottom w:val="0"/>
      <w:divBdr>
        <w:top w:val="none" w:sz="0" w:space="0" w:color="auto"/>
        <w:left w:val="none" w:sz="0" w:space="0" w:color="auto"/>
        <w:bottom w:val="none" w:sz="0" w:space="0" w:color="auto"/>
        <w:right w:val="none" w:sz="0" w:space="0" w:color="auto"/>
      </w:divBdr>
    </w:div>
    <w:div w:id="1588348382">
      <w:bodyDiv w:val="1"/>
      <w:marLeft w:val="0"/>
      <w:marRight w:val="0"/>
      <w:marTop w:val="0"/>
      <w:marBottom w:val="0"/>
      <w:divBdr>
        <w:top w:val="none" w:sz="0" w:space="0" w:color="auto"/>
        <w:left w:val="none" w:sz="0" w:space="0" w:color="auto"/>
        <w:bottom w:val="none" w:sz="0" w:space="0" w:color="auto"/>
        <w:right w:val="none" w:sz="0" w:space="0" w:color="auto"/>
      </w:divBdr>
    </w:div>
    <w:div w:id="1598319765">
      <w:bodyDiv w:val="1"/>
      <w:marLeft w:val="0"/>
      <w:marRight w:val="0"/>
      <w:marTop w:val="0"/>
      <w:marBottom w:val="0"/>
      <w:divBdr>
        <w:top w:val="none" w:sz="0" w:space="0" w:color="auto"/>
        <w:left w:val="none" w:sz="0" w:space="0" w:color="auto"/>
        <w:bottom w:val="none" w:sz="0" w:space="0" w:color="auto"/>
        <w:right w:val="none" w:sz="0" w:space="0" w:color="auto"/>
      </w:divBdr>
    </w:div>
    <w:div w:id="1635134822">
      <w:bodyDiv w:val="1"/>
      <w:marLeft w:val="0"/>
      <w:marRight w:val="0"/>
      <w:marTop w:val="0"/>
      <w:marBottom w:val="0"/>
      <w:divBdr>
        <w:top w:val="none" w:sz="0" w:space="0" w:color="auto"/>
        <w:left w:val="none" w:sz="0" w:space="0" w:color="auto"/>
        <w:bottom w:val="none" w:sz="0" w:space="0" w:color="auto"/>
        <w:right w:val="none" w:sz="0" w:space="0" w:color="auto"/>
      </w:divBdr>
    </w:div>
    <w:div w:id="1637023820">
      <w:bodyDiv w:val="1"/>
      <w:marLeft w:val="0"/>
      <w:marRight w:val="0"/>
      <w:marTop w:val="0"/>
      <w:marBottom w:val="0"/>
      <w:divBdr>
        <w:top w:val="none" w:sz="0" w:space="0" w:color="auto"/>
        <w:left w:val="none" w:sz="0" w:space="0" w:color="auto"/>
        <w:bottom w:val="none" w:sz="0" w:space="0" w:color="auto"/>
        <w:right w:val="none" w:sz="0" w:space="0" w:color="auto"/>
      </w:divBdr>
    </w:div>
    <w:div w:id="1659265871">
      <w:bodyDiv w:val="1"/>
      <w:marLeft w:val="0"/>
      <w:marRight w:val="0"/>
      <w:marTop w:val="0"/>
      <w:marBottom w:val="0"/>
      <w:divBdr>
        <w:top w:val="none" w:sz="0" w:space="0" w:color="auto"/>
        <w:left w:val="none" w:sz="0" w:space="0" w:color="auto"/>
        <w:bottom w:val="none" w:sz="0" w:space="0" w:color="auto"/>
        <w:right w:val="none" w:sz="0" w:space="0" w:color="auto"/>
      </w:divBdr>
    </w:div>
    <w:div w:id="1714500376">
      <w:bodyDiv w:val="1"/>
      <w:marLeft w:val="0"/>
      <w:marRight w:val="0"/>
      <w:marTop w:val="0"/>
      <w:marBottom w:val="0"/>
      <w:divBdr>
        <w:top w:val="none" w:sz="0" w:space="0" w:color="auto"/>
        <w:left w:val="none" w:sz="0" w:space="0" w:color="auto"/>
        <w:bottom w:val="none" w:sz="0" w:space="0" w:color="auto"/>
        <w:right w:val="none" w:sz="0" w:space="0" w:color="auto"/>
      </w:divBdr>
    </w:div>
    <w:div w:id="1771465393">
      <w:bodyDiv w:val="1"/>
      <w:marLeft w:val="0"/>
      <w:marRight w:val="0"/>
      <w:marTop w:val="0"/>
      <w:marBottom w:val="0"/>
      <w:divBdr>
        <w:top w:val="none" w:sz="0" w:space="0" w:color="auto"/>
        <w:left w:val="none" w:sz="0" w:space="0" w:color="auto"/>
        <w:bottom w:val="none" w:sz="0" w:space="0" w:color="auto"/>
        <w:right w:val="none" w:sz="0" w:space="0" w:color="auto"/>
      </w:divBdr>
    </w:div>
    <w:div w:id="1826974480">
      <w:bodyDiv w:val="1"/>
      <w:marLeft w:val="0"/>
      <w:marRight w:val="0"/>
      <w:marTop w:val="0"/>
      <w:marBottom w:val="0"/>
      <w:divBdr>
        <w:top w:val="none" w:sz="0" w:space="0" w:color="auto"/>
        <w:left w:val="none" w:sz="0" w:space="0" w:color="auto"/>
        <w:bottom w:val="none" w:sz="0" w:space="0" w:color="auto"/>
        <w:right w:val="none" w:sz="0" w:space="0" w:color="auto"/>
      </w:divBdr>
    </w:div>
    <w:div w:id="1937784188">
      <w:bodyDiv w:val="1"/>
      <w:marLeft w:val="0"/>
      <w:marRight w:val="0"/>
      <w:marTop w:val="0"/>
      <w:marBottom w:val="0"/>
      <w:divBdr>
        <w:top w:val="none" w:sz="0" w:space="0" w:color="auto"/>
        <w:left w:val="none" w:sz="0" w:space="0" w:color="auto"/>
        <w:bottom w:val="none" w:sz="0" w:space="0" w:color="auto"/>
        <w:right w:val="none" w:sz="0" w:space="0" w:color="auto"/>
      </w:divBdr>
    </w:div>
    <w:div w:id="1940524793">
      <w:bodyDiv w:val="1"/>
      <w:marLeft w:val="0"/>
      <w:marRight w:val="0"/>
      <w:marTop w:val="0"/>
      <w:marBottom w:val="0"/>
      <w:divBdr>
        <w:top w:val="none" w:sz="0" w:space="0" w:color="auto"/>
        <w:left w:val="none" w:sz="0" w:space="0" w:color="auto"/>
        <w:bottom w:val="none" w:sz="0" w:space="0" w:color="auto"/>
        <w:right w:val="none" w:sz="0" w:space="0" w:color="auto"/>
      </w:divBdr>
    </w:div>
    <w:div w:id="1953591853">
      <w:bodyDiv w:val="1"/>
      <w:marLeft w:val="0"/>
      <w:marRight w:val="0"/>
      <w:marTop w:val="0"/>
      <w:marBottom w:val="0"/>
      <w:divBdr>
        <w:top w:val="none" w:sz="0" w:space="0" w:color="auto"/>
        <w:left w:val="none" w:sz="0" w:space="0" w:color="auto"/>
        <w:bottom w:val="none" w:sz="0" w:space="0" w:color="auto"/>
        <w:right w:val="none" w:sz="0" w:space="0" w:color="auto"/>
      </w:divBdr>
    </w:div>
    <w:div w:id="1982617612">
      <w:bodyDiv w:val="1"/>
      <w:marLeft w:val="0"/>
      <w:marRight w:val="0"/>
      <w:marTop w:val="0"/>
      <w:marBottom w:val="0"/>
      <w:divBdr>
        <w:top w:val="none" w:sz="0" w:space="0" w:color="auto"/>
        <w:left w:val="none" w:sz="0" w:space="0" w:color="auto"/>
        <w:bottom w:val="none" w:sz="0" w:space="0" w:color="auto"/>
        <w:right w:val="none" w:sz="0" w:space="0" w:color="auto"/>
      </w:divBdr>
      <w:divsChild>
        <w:div w:id="1672365584">
          <w:marLeft w:val="0"/>
          <w:marRight w:val="0"/>
          <w:marTop w:val="0"/>
          <w:marBottom w:val="0"/>
          <w:divBdr>
            <w:top w:val="single" w:sz="4" w:space="13" w:color="auto"/>
            <w:left w:val="none" w:sz="0" w:space="0" w:color="auto"/>
            <w:bottom w:val="single" w:sz="4" w:space="15" w:color="auto"/>
            <w:right w:val="none" w:sz="0" w:space="0" w:color="auto"/>
          </w:divBdr>
        </w:div>
      </w:divsChild>
    </w:div>
    <w:div w:id="2020349690">
      <w:bodyDiv w:val="1"/>
      <w:marLeft w:val="0"/>
      <w:marRight w:val="0"/>
      <w:marTop w:val="0"/>
      <w:marBottom w:val="0"/>
      <w:divBdr>
        <w:top w:val="none" w:sz="0" w:space="0" w:color="auto"/>
        <w:left w:val="none" w:sz="0" w:space="0" w:color="auto"/>
        <w:bottom w:val="none" w:sz="0" w:space="0" w:color="auto"/>
        <w:right w:val="none" w:sz="0" w:space="0" w:color="auto"/>
      </w:divBdr>
    </w:div>
    <w:div w:id="2024356825">
      <w:bodyDiv w:val="1"/>
      <w:marLeft w:val="0"/>
      <w:marRight w:val="0"/>
      <w:marTop w:val="0"/>
      <w:marBottom w:val="0"/>
      <w:divBdr>
        <w:top w:val="none" w:sz="0" w:space="0" w:color="auto"/>
        <w:left w:val="none" w:sz="0" w:space="0" w:color="auto"/>
        <w:bottom w:val="none" w:sz="0" w:space="0" w:color="auto"/>
        <w:right w:val="none" w:sz="0" w:space="0" w:color="auto"/>
      </w:divBdr>
    </w:div>
    <w:div w:id="2049377070">
      <w:bodyDiv w:val="1"/>
      <w:marLeft w:val="0"/>
      <w:marRight w:val="0"/>
      <w:marTop w:val="0"/>
      <w:marBottom w:val="0"/>
      <w:divBdr>
        <w:top w:val="none" w:sz="0" w:space="0" w:color="auto"/>
        <w:left w:val="none" w:sz="0" w:space="0" w:color="auto"/>
        <w:bottom w:val="none" w:sz="0" w:space="0" w:color="auto"/>
        <w:right w:val="none" w:sz="0" w:space="0" w:color="auto"/>
      </w:divBdr>
    </w:div>
    <w:div w:id="2069255894">
      <w:bodyDiv w:val="1"/>
      <w:marLeft w:val="0"/>
      <w:marRight w:val="0"/>
      <w:marTop w:val="0"/>
      <w:marBottom w:val="0"/>
      <w:divBdr>
        <w:top w:val="none" w:sz="0" w:space="0" w:color="auto"/>
        <w:left w:val="none" w:sz="0" w:space="0" w:color="auto"/>
        <w:bottom w:val="none" w:sz="0" w:space="0" w:color="auto"/>
        <w:right w:val="none" w:sz="0" w:space="0" w:color="auto"/>
      </w:divBdr>
    </w:div>
    <w:div w:id="209859848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image" Target="media/image2.jpe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60" Type="http://schemas.openxmlformats.org/officeDocument/2006/relationships/image" Target="media/image42.emf"/><Relationship Id="rId61" Type="http://schemas.openxmlformats.org/officeDocument/2006/relationships/image" Target="media/image43.emf"/><Relationship Id="rId62" Type="http://schemas.openxmlformats.org/officeDocument/2006/relationships/image" Target="media/image44.emf"/><Relationship Id="rId63" Type="http://schemas.openxmlformats.org/officeDocument/2006/relationships/image" Target="media/image45.emf"/><Relationship Id="rId64" Type="http://schemas.openxmlformats.org/officeDocument/2006/relationships/image" Target="media/image46.emf"/><Relationship Id="rId65" Type="http://schemas.openxmlformats.org/officeDocument/2006/relationships/image" Target="media/image47.png"/><Relationship Id="rId66" Type="http://schemas.openxmlformats.org/officeDocument/2006/relationships/chart" Target="charts/chart6.xml"/><Relationship Id="rId67" Type="http://schemas.openxmlformats.org/officeDocument/2006/relationships/chart" Target="charts/chart7.xml"/><Relationship Id="rId68" Type="http://schemas.openxmlformats.org/officeDocument/2006/relationships/chart" Target="charts/chart8.xml"/><Relationship Id="rId69" Type="http://schemas.openxmlformats.org/officeDocument/2006/relationships/image" Target="media/image49.emf"/><Relationship Id="rId120" Type="http://schemas.openxmlformats.org/officeDocument/2006/relationships/image" Target="media/image87.emf"/><Relationship Id="rId121" Type="http://schemas.openxmlformats.org/officeDocument/2006/relationships/image" Target="media/image88.png"/><Relationship Id="rId122" Type="http://schemas.openxmlformats.org/officeDocument/2006/relationships/image" Target="media/image89.png"/><Relationship Id="rId123" Type="http://schemas.openxmlformats.org/officeDocument/2006/relationships/chart" Target="charts/chart23.xml"/><Relationship Id="rId124" Type="http://schemas.openxmlformats.org/officeDocument/2006/relationships/chart" Target="charts/chart24.xml"/><Relationship Id="rId125" Type="http://schemas.openxmlformats.org/officeDocument/2006/relationships/image" Target="media/image90.jpeg"/><Relationship Id="rId126" Type="http://schemas.microsoft.com/office/2007/relationships/hdphoto" Target="media/hdphoto4.wdp"/><Relationship Id="rId127" Type="http://schemas.openxmlformats.org/officeDocument/2006/relationships/image" Target="media/image91.emf"/><Relationship Id="rId128" Type="http://schemas.openxmlformats.org/officeDocument/2006/relationships/image" Target="media/image92.png"/><Relationship Id="rId129" Type="http://schemas.openxmlformats.org/officeDocument/2006/relationships/image" Target="media/image93.emf"/><Relationship Id="rId40" Type="http://schemas.microsoft.com/office/2007/relationships/hdphoto" Target="media/hdphoto3.wdp"/><Relationship Id="rId41" Type="http://schemas.openxmlformats.org/officeDocument/2006/relationships/image" Target="media/image28.emf"/><Relationship Id="rId42" Type="http://schemas.openxmlformats.org/officeDocument/2006/relationships/image" Target="media/image29.wmf"/><Relationship Id="rId90" Type="http://schemas.openxmlformats.org/officeDocument/2006/relationships/image" Target="media/image65.png"/><Relationship Id="rId91" Type="http://schemas.openxmlformats.org/officeDocument/2006/relationships/image" Target="media/image66.jpeg"/><Relationship Id="rId92" Type="http://schemas.openxmlformats.org/officeDocument/2006/relationships/image" Target="media/image67.jpeg"/><Relationship Id="rId93" Type="http://schemas.openxmlformats.org/officeDocument/2006/relationships/image" Target="media/image68.png"/><Relationship Id="rId94" Type="http://schemas.openxmlformats.org/officeDocument/2006/relationships/image" Target="media/image69.png"/><Relationship Id="rId95" Type="http://schemas.openxmlformats.org/officeDocument/2006/relationships/image" Target="media/image70.png"/><Relationship Id="rId96" Type="http://schemas.openxmlformats.org/officeDocument/2006/relationships/image" Target="media/image71.emf"/><Relationship Id="rId101" Type="http://schemas.openxmlformats.org/officeDocument/2006/relationships/image" Target="media/image76.png"/><Relationship Id="rId102" Type="http://schemas.openxmlformats.org/officeDocument/2006/relationships/image" Target="media/image77.png"/><Relationship Id="rId103" Type="http://schemas.openxmlformats.org/officeDocument/2006/relationships/image" Target="media/image78.emf"/><Relationship Id="rId104" Type="http://schemas.openxmlformats.org/officeDocument/2006/relationships/image" Target="media/image79.emf"/><Relationship Id="rId105" Type="http://schemas.openxmlformats.org/officeDocument/2006/relationships/image" Target="media/image80.png"/><Relationship Id="rId106" Type="http://schemas.openxmlformats.org/officeDocument/2006/relationships/image" Target="media/image81.emf"/><Relationship Id="rId107" Type="http://schemas.openxmlformats.org/officeDocument/2006/relationships/image" Target="media/image82.emf"/><Relationship Id="rId108" Type="http://schemas.openxmlformats.org/officeDocument/2006/relationships/image" Target="media/image83.emf"/><Relationship Id="rId109" Type="http://schemas.openxmlformats.org/officeDocument/2006/relationships/image" Target="media/image84.png"/><Relationship Id="rId97" Type="http://schemas.openxmlformats.org/officeDocument/2006/relationships/image" Target="media/image72.emf"/><Relationship Id="rId98" Type="http://schemas.openxmlformats.org/officeDocument/2006/relationships/image" Target="media/image73.emf"/><Relationship Id="rId99" Type="http://schemas.openxmlformats.org/officeDocument/2006/relationships/image" Target="media/image74.emf"/><Relationship Id="rId43" Type="http://schemas.openxmlformats.org/officeDocument/2006/relationships/image" Target="media/image30.png"/><Relationship Id="rId44" Type="http://schemas.openxmlformats.org/officeDocument/2006/relationships/image" Target="media/image31.png"/><Relationship Id="rId45" Type="http://schemas.openxmlformats.org/officeDocument/2006/relationships/image" Target="media/image32.png"/><Relationship Id="rId46" Type="http://schemas.openxmlformats.org/officeDocument/2006/relationships/image" Target="media/image33.emf"/><Relationship Id="rId47" Type="http://schemas.openxmlformats.org/officeDocument/2006/relationships/image" Target="media/image34.png"/><Relationship Id="rId48" Type="http://schemas.openxmlformats.org/officeDocument/2006/relationships/chart" Target="charts/chart1.xml"/><Relationship Id="rId49" Type="http://schemas.openxmlformats.org/officeDocument/2006/relationships/chart" Target="charts/chart2.xml"/><Relationship Id="rId100" Type="http://schemas.openxmlformats.org/officeDocument/2006/relationships/image" Target="media/image75.emf"/><Relationship Id="rId150" Type="http://schemas.openxmlformats.org/officeDocument/2006/relationships/chart" Target="charts/chart34.xml"/><Relationship Id="rId151" Type="http://schemas.openxmlformats.org/officeDocument/2006/relationships/chart" Target="charts/chart35.xml"/><Relationship Id="rId152" Type="http://schemas.openxmlformats.org/officeDocument/2006/relationships/chart" Target="charts/chart36.xml"/><Relationship Id="rId153" Type="http://schemas.openxmlformats.org/officeDocument/2006/relationships/fontTable" Target="fontTable.xml"/><Relationship Id="rId154" Type="http://schemas.openxmlformats.org/officeDocument/2006/relationships/theme" Target="theme/theme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gif"/><Relationship Id="rId70" Type="http://schemas.openxmlformats.org/officeDocument/2006/relationships/chart" Target="charts/chart9.xml"/><Relationship Id="rId71" Type="http://schemas.openxmlformats.org/officeDocument/2006/relationships/chart" Target="charts/chart10.xml"/><Relationship Id="rId72" Type="http://schemas.openxmlformats.org/officeDocument/2006/relationships/image" Target="media/image51.emf"/><Relationship Id="rId73" Type="http://schemas.openxmlformats.org/officeDocument/2006/relationships/image" Target="media/image52.png"/><Relationship Id="rId74" Type="http://schemas.openxmlformats.org/officeDocument/2006/relationships/image" Target="media/image53.emf"/><Relationship Id="rId75" Type="http://schemas.openxmlformats.org/officeDocument/2006/relationships/image" Target="media/image54.emf"/><Relationship Id="rId76" Type="http://schemas.openxmlformats.org/officeDocument/2006/relationships/chart" Target="charts/chart11.xml"/><Relationship Id="rId77" Type="http://schemas.openxmlformats.org/officeDocument/2006/relationships/image" Target="media/image55.png"/><Relationship Id="rId78" Type="http://schemas.openxmlformats.org/officeDocument/2006/relationships/image" Target="media/image56.png"/><Relationship Id="rId79" Type="http://schemas.openxmlformats.org/officeDocument/2006/relationships/image" Target="media/image57.emf"/><Relationship Id="rId23" Type="http://schemas.openxmlformats.org/officeDocument/2006/relationships/image" Target="media/image13.emf"/><Relationship Id="rId24" Type="http://schemas.openxmlformats.org/officeDocument/2006/relationships/image" Target="media/image14.png"/><Relationship Id="rId25" Type="http://schemas.openxmlformats.org/officeDocument/2006/relationships/image" Target="media/image15.png"/><Relationship Id="rId26" Type="http://schemas.microsoft.com/office/2007/relationships/hdphoto" Target="media/hdphoto1.wdp"/><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jpeg"/><Relationship Id="rId130" Type="http://schemas.openxmlformats.org/officeDocument/2006/relationships/image" Target="media/image94.emf"/><Relationship Id="rId131" Type="http://schemas.openxmlformats.org/officeDocument/2006/relationships/image" Target="media/image95.png"/><Relationship Id="rId132" Type="http://schemas.openxmlformats.org/officeDocument/2006/relationships/image" Target="media/image96.jpeg"/><Relationship Id="rId133" Type="http://schemas.microsoft.com/office/2007/relationships/hdphoto" Target="media/hdphoto5.wdp"/><Relationship Id="rId134" Type="http://schemas.openxmlformats.org/officeDocument/2006/relationships/image" Target="media/image97.emf"/><Relationship Id="rId135" Type="http://schemas.openxmlformats.org/officeDocument/2006/relationships/image" Target="media/image98.emf"/><Relationship Id="rId136" Type="http://schemas.openxmlformats.org/officeDocument/2006/relationships/image" Target="media/image99.emf"/><Relationship Id="rId137" Type="http://schemas.openxmlformats.org/officeDocument/2006/relationships/chart" Target="charts/chart25.xml"/><Relationship Id="rId138" Type="http://schemas.openxmlformats.org/officeDocument/2006/relationships/chart" Target="charts/chart26.xml"/><Relationship Id="rId139" Type="http://schemas.openxmlformats.org/officeDocument/2006/relationships/chart" Target="charts/chart27.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50" Type="http://schemas.openxmlformats.org/officeDocument/2006/relationships/image" Target="media/image35.png"/><Relationship Id="rId51" Type="http://schemas.openxmlformats.org/officeDocument/2006/relationships/chart" Target="charts/chart3.xml"/><Relationship Id="rId52" Type="http://schemas.openxmlformats.org/officeDocument/2006/relationships/chart" Target="charts/chart4.xml"/><Relationship Id="rId53" Type="http://schemas.openxmlformats.org/officeDocument/2006/relationships/chart" Target="charts/chart5.xml"/><Relationship Id="rId54" Type="http://schemas.openxmlformats.org/officeDocument/2006/relationships/image" Target="media/image36.emf"/><Relationship Id="rId55" Type="http://schemas.openxmlformats.org/officeDocument/2006/relationships/image" Target="media/image37.png"/><Relationship Id="rId56" Type="http://schemas.openxmlformats.org/officeDocument/2006/relationships/image" Target="media/image38.png"/><Relationship Id="rId57" Type="http://schemas.openxmlformats.org/officeDocument/2006/relationships/image" Target="media/image39.png"/><Relationship Id="rId58" Type="http://schemas.openxmlformats.org/officeDocument/2006/relationships/image" Target="media/image40.png"/><Relationship Id="rId59" Type="http://schemas.openxmlformats.org/officeDocument/2006/relationships/image" Target="media/image41.emf"/><Relationship Id="rId110" Type="http://schemas.openxmlformats.org/officeDocument/2006/relationships/image" Target="media/image85.emf"/><Relationship Id="rId111" Type="http://schemas.openxmlformats.org/officeDocument/2006/relationships/chart" Target="charts/chart15.xml"/><Relationship Id="rId112" Type="http://schemas.openxmlformats.org/officeDocument/2006/relationships/chart" Target="charts/chart16.xml"/><Relationship Id="rId113" Type="http://schemas.openxmlformats.org/officeDocument/2006/relationships/chart" Target="charts/chart17.xml"/><Relationship Id="rId114" Type="http://schemas.openxmlformats.org/officeDocument/2006/relationships/chart" Target="charts/chart18.xml"/><Relationship Id="rId115" Type="http://schemas.openxmlformats.org/officeDocument/2006/relationships/chart" Target="charts/chart19.xml"/><Relationship Id="rId116" Type="http://schemas.openxmlformats.org/officeDocument/2006/relationships/chart" Target="charts/chart20.xml"/><Relationship Id="rId117" Type="http://schemas.openxmlformats.org/officeDocument/2006/relationships/chart" Target="charts/chart21.xml"/><Relationship Id="rId118" Type="http://schemas.openxmlformats.org/officeDocument/2006/relationships/chart" Target="charts/chart22.xml"/><Relationship Id="rId119" Type="http://schemas.openxmlformats.org/officeDocument/2006/relationships/image" Target="media/image86.emf"/><Relationship Id="rId30" Type="http://schemas.openxmlformats.org/officeDocument/2006/relationships/image" Target="media/image19.png"/><Relationship Id="rId31" Type="http://schemas.openxmlformats.org/officeDocument/2006/relationships/image" Target="media/image20.jpeg"/><Relationship Id="rId32" Type="http://schemas.openxmlformats.org/officeDocument/2006/relationships/image" Target="media/image21.jpeg"/><Relationship Id="rId33" Type="http://schemas.openxmlformats.org/officeDocument/2006/relationships/image" Target="media/image22.png"/><Relationship Id="rId34" Type="http://schemas.openxmlformats.org/officeDocument/2006/relationships/image" Target="media/image23.jpeg"/><Relationship Id="rId35" Type="http://schemas.microsoft.com/office/2007/relationships/hdphoto" Target="media/hdphoto2.wdp"/><Relationship Id="rId36" Type="http://schemas.openxmlformats.org/officeDocument/2006/relationships/image" Target="media/image24.png"/><Relationship Id="rId37" Type="http://schemas.openxmlformats.org/officeDocument/2006/relationships/image" Target="media/image25.emf"/><Relationship Id="rId38" Type="http://schemas.openxmlformats.org/officeDocument/2006/relationships/image" Target="media/image26.png"/><Relationship Id="rId39" Type="http://schemas.openxmlformats.org/officeDocument/2006/relationships/image" Target="media/image27.png"/><Relationship Id="rId80" Type="http://schemas.openxmlformats.org/officeDocument/2006/relationships/image" Target="media/image58.emf"/><Relationship Id="rId81" Type="http://schemas.openxmlformats.org/officeDocument/2006/relationships/chart" Target="charts/chart12.xml"/><Relationship Id="rId82" Type="http://schemas.openxmlformats.org/officeDocument/2006/relationships/image" Target="media/image59.emf"/><Relationship Id="rId83" Type="http://schemas.openxmlformats.org/officeDocument/2006/relationships/image" Target="media/image60.emf"/><Relationship Id="rId84" Type="http://schemas.openxmlformats.org/officeDocument/2006/relationships/image" Target="media/image61.emf"/><Relationship Id="rId85" Type="http://schemas.openxmlformats.org/officeDocument/2006/relationships/image" Target="media/image62.emf"/><Relationship Id="rId86" Type="http://schemas.openxmlformats.org/officeDocument/2006/relationships/image" Target="media/image63.emf"/><Relationship Id="rId87" Type="http://schemas.openxmlformats.org/officeDocument/2006/relationships/chart" Target="charts/chart13.xml"/><Relationship Id="rId88" Type="http://schemas.openxmlformats.org/officeDocument/2006/relationships/chart" Target="charts/chart14.xml"/><Relationship Id="rId89" Type="http://schemas.openxmlformats.org/officeDocument/2006/relationships/image" Target="media/image64.jpeg"/><Relationship Id="rId140" Type="http://schemas.openxmlformats.org/officeDocument/2006/relationships/chart" Target="charts/chart28.xml"/><Relationship Id="rId141" Type="http://schemas.openxmlformats.org/officeDocument/2006/relationships/chart" Target="charts/chart29.xml"/><Relationship Id="rId142" Type="http://schemas.openxmlformats.org/officeDocument/2006/relationships/chart" Target="charts/chart30.xml"/><Relationship Id="rId143" Type="http://schemas.openxmlformats.org/officeDocument/2006/relationships/image" Target="media/image100.png"/><Relationship Id="rId144" Type="http://schemas.openxmlformats.org/officeDocument/2006/relationships/image" Target="media/image101.png"/><Relationship Id="rId145" Type="http://schemas.openxmlformats.org/officeDocument/2006/relationships/image" Target="media/image102.png"/><Relationship Id="rId146" Type="http://schemas.openxmlformats.org/officeDocument/2006/relationships/image" Target="media/image103.emf"/><Relationship Id="rId147" Type="http://schemas.openxmlformats.org/officeDocument/2006/relationships/chart" Target="charts/chart31.xml"/><Relationship Id="rId148" Type="http://schemas.openxmlformats.org/officeDocument/2006/relationships/chart" Target="charts/chart32.xml"/><Relationship Id="rId149" Type="http://schemas.openxmlformats.org/officeDocument/2006/relationships/chart" Target="charts/chart33.xml"/></Relationships>
</file>

<file path=word/charts/_rels/chart1.xml.rels><?xml version="1.0" encoding="UTF-8" standalone="yes"?>
<Relationships xmlns="http://schemas.openxmlformats.org/package/2006/relationships"><Relationship Id="rId1" Type="http://schemas.openxmlformats.org/officeDocument/2006/relationships/oleObject" Target="HDD:Dropbox:THESIS-JAN%20BACK:ANALYSIS:THESIS%20MIP:0DCS%20(version%201).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HDD:Dropbox:THESIS:ANALYSIS:THESIS%20ICP:ICP2.xlsx" TargetMode="External"/><Relationship Id="rId2" Type="http://schemas.openxmlformats.org/officeDocument/2006/relationships/chartUserShapes" Target="../drawings/drawing3.xml"/></Relationships>
</file>

<file path=word/charts/_rels/chart11.xml.rels><?xml version="1.0" encoding="UTF-8" standalone="yes"?>
<Relationships xmlns="http://schemas.openxmlformats.org/package/2006/relationships"><Relationship Id="rId1" Type="http://schemas.openxmlformats.org/officeDocument/2006/relationships/oleObject" Target="HDD:Dropbox:THESIS-JAN%20BACK:ANALYSIS:THESIS%20MIP:ACID14DCS.xls" TargetMode="External"/><Relationship Id="rId2" Type="http://schemas.openxmlformats.org/officeDocument/2006/relationships/chartUserShapes" Target="../drawings/drawing4.xml"/></Relationships>
</file>

<file path=word/charts/_rels/chart12.xml.rels><?xml version="1.0" encoding="UTF-8" standalone="yes"?>
<Relationships xmlns="http://schemas.openxmlformats.org/package/2006/relationships"><Relationship Id="rId1" Type="http://schemas.openxmlformats.org/officeDocument/2006/relationships/oleObject" Target="HDD:Dropbox:THESIS-JAN%20BACK:ANALYSIS:THESIS%20ICP:ICP2.xlsx" TargetMode="External"/><Relationship Id="rId2" Type="http://schemas.openxmlformats.org/officeDocument/2006/relationships/chartUserShapes" Target="../drawings/drawing5.xml"/></Relationships>
</file>

<file path=word/charts/_rels/chart13.xml.rels><?xml version="1.0" encoding="UTF-8" standalone="yes"?>
<Relationships xmlns="http://schemas.openxmlformats.org/package/2006/relationships"><Relationship Id="rId1" Type="http://schemas.openxmlformats.org/officeDocument/2006/relationships/oleObject" Target="HDD:Dropbox:THESIS-JAN%20BACK:ANALYSIS:THESIS%20pH:Acceleration(IC).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HDD:Dropbox:THESIS-JAN%20BACK:ANALYSIS:THESIS%20pH:Acceleration(IC).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HDD:Dropbox:THESIS-JAN%20BACK:ANALYSIS:THESIS%20MIP:28DB1%20.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HDD:THESIS-JAN%20BACK:ANALYSIS:THESIS%20MIP:JAPAN%20MIP:3MB2.xl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HDD:Dropbox:THESIS:ANALYSIS:THESIS%20MIP:JAPAN%20MIP:6MB1.xls"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HDD:Dropbox:THESIS-JAN%20BACK:ANALYSIS:THESIS%20MIP:JAPAN%20MIP:6MB2.xls"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HDD:Dropbox:THESIS-JAN%20BACK:ANALYSIS:THESIS%20MIP:28DB1%20.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DD:Dropbox:THESIS-JAN%20BACK:ANALYSIS:THESIS%20MIP:0DB%20(version%201).xls"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HDD:Dropbox:THESIS-JAN%20BACK:ANALYSIS:THESIS%20MIP:28DB1%20.xls"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HDD:Dropbox:THESIS:ANALYSIS:THESIS%20MIP:JAPAN%20MIP:14DCS1.xls"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HDD:Dropbox:THESIS-JAN%20BACK:ANALYSIS:THESIS%20MIP:JAPAN%20MIP:28DB2.xls"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HDD:Dropbox:THESIS-JAN%20BACK:ANALYSIS:THESIS%20TGA:ACID%20&amp;%20STATIC:E%20+A28&amp;3%20+%20W28&amp;3.xlsx" TargetMode="External"/><Relationship Id="rId2" Type="http://schemas.openxmlformats.org/officeDocument/2006/relationships/chartUserShapes" Target="../drawings/drawing6.xml"/></Relationships>
</file>

<file path=word/charts/_rels/chart24.xml.rels><?xml version="1.0" encoding="UTF-8" standalone="yes"?>
<Relationships xmlns="http://schemas.openxmlformats.org/package/2006/relationships"><Relationship Id="rId1" Type="http://schemas.openxmlformats.org/officeDocument/2006/relationships/oleObject" Target="WG:CURING.xlsx" TargetMode="External"/><Relationship Id="rId2" Type="http://schemas.openxmlformats.org/officeDocument/2006/relationships/chartUserShapes" Target="../drawings/drawing7.xml"/></Relationships>
</file>

<file path=word/charts/_rels/chart25.xml.rels><?xml version="1.0" encoding="UTF-8" standalone="yes"?>
<Relationships xmlns="http://schemas.openxmlformats.org/package/2006/relationships"><Relationship Id="rId1" Type="http://schemas.openxmlformats.org/officeDocument/2006/relationships/oleObject" Target="HDD:Dropbox:THESIS:ANALYSIS:THESIS%20ICP:ICP2.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HDD:Dropbox:THESIS:ANALYSIS:THESIS%20ICP:ICP2.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HDD:Dropbox:THESIS:ANALYSIS:THESIS%20ICP:ICP2.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HDD:Dropbox:THESIS:ANALYSIS:THESIS%20ICP:ICP2.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HDD:Dropbox:THESIS:ANALYSIS:THESIS%20ICP:ICP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DD:Dropbox:THESIS-JAN%20BACK:ANALYSIS:THESIS%20MIP:0DB%20(version%201).xls"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psf\Home\Dropbox\ANALYSIS\pH\pH%20C+S+B+CS.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32.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oleObject" Target="HDD:Dropbox:THESIS-JAN%20BACK:CHAPTERS:TRAD:ICP%20MS%20NNL.xlsx" TargetMode="External"/></Relationships>
</file>

<file path=word/charts/_rels/chart33.xml.rels><?xml version="1.0" encoding="UTF-8" standalone="yes"?>
<Relationships xmlns="http://schemas.openxmlformats.org/package/2006/relationships"><Relationship Id="rId1" Type="http://schemas.openxmlformats.org/officeDocument/2006/relationships/themeOverride" Target="../theme/themeOverride2.xml"/><Relationship Id="rId2" Type="http://schemas.openxmlformats.org/officeDocument/2006/relationships/oleObject" Target="HDD:Dropbox:THESIS-JAN%20BACK:CHAPTERS:TRAD:ICP%20MS%20NNL.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HDD:Dropbox:THESIS-JAN%20BACK:CHAPTERS:TRAD:ICP%20MS%20NNL.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HDD:Dropbox:THESIS-JAN%20BACK:CHAPTERS:TRAD:ICP%20MS%20NNL.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HDD:Dropbox:THESIS-JAN%20BACK:CHAPTERS:TRAD:ICP%20MS%20NNL.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DD:Dropbox:THESIS:ANALYSIS:THESIS%20MIP:0DCS%20(version%201).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DD:Dropbox:THESIS-JAN%20BACK:ANALYSIS:THESIS%20MIP:0DCS%20(version%201).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HDD:Dropbox:THESIS-JAN%20BACK:ANALYSIS:THESIS%20ICP:ICP2.xlsx" TargetMode="External"/><Relationship Id="rId2" Type="http://schemas.openxmlformats.org/officeDocument/2006/relationships/chartUserShapes" Target="../drawings/drawing1.xml"/></Relationships>
</file>

<file path=word/charts/_rels/chart7.xml.rels><?xml version="1.0" encoding="UTF-8" standalone="yes"?>
<Relationships xmlns="http://schemas.openxmlformats.org/package/2006/relationships"><Relationship Id="rId1" Type="http://schemas.openxmlformats.org/officeDocument/2006/relationships/oleObject" Target="HDD:Dropbox:THESIS:ANALYSIS:THESIS%20ICP:ICP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HDD:Dropbox:ANALYSIS:pH:pH%20C+S+B+C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HDD:Dropbox:THESIS:ANALYSIS:THESIS%20ICP:ICP2.xlsx" TargetMode="External"/><Relationship Id="rId2" Type="http://schemas.openxmlformats.org/officeDocument/2006/relationships/chartUserShapes" Target="../drawings/drawing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243868539919873"/>
          <c:y val="0.0346551602924634"/>
          <c:w val="0.683112377100424"/>
          <c:h val="0.735996703794506"/>
        </c:manualLayout>
      </c:layout>
      <c:scatterChart>
        <c:scatterStyle val="lineMarker"/>
        <c:varyColors val="0"/>
        <c:ser>
          <c:idx val="2"/>
          <c:order val="1"/>
          <c:tx>
            <c:v>0DB</c:v>
          </c:tx>
          <c:spPr>
            <a:ln w="19050" cmpd="sng">
              <a:solidFill>
                <a:schemeClr val="tx1"/>
              </a:solidFill>
            </a:ln>
          </c:spPr>
          <c:marker>
            <c:symbol val="none"/>
          </c:marker>
          <c:xVal>
            <c:numRef>
              <c:f>'[1]0DB1- in1'!$C$5:$C$289</c:f>
              <c:numCache>
                <c:formatCode>0.00E+00</c:formatCode>
                <c:ptCount val="285"/>
                <c:pt idx="0">
                  <c:v>10.67</c:v>
                </c:pt>
                <c:pt idx="1">
                  <c:v>8.599</c:v>
                </c:pt>
                <c:pt idx="2">
                  <c:v>3.611</c:v>
                </c:pt>
                <c:pt idx="3">
                  <c:v>2.062</c:v>
                </c:pt>
                <c:pt idx="4">
                  <c:v>1.397</c:v>
                </c:pt>
                <c:pt idx="5">
                  <c:v>1.042</c:v>
                </c:pt>
                <c:pt idx="6">
                  <c:v>0.8516</c:v>
                </c:pt>
                <c:pt idx="7">
                  <c:v>0.7056</c:v>
                </c:pt>
                <c:pt idx="8">
                  <c:v>0.5959</c:v>
                </c:pt>
                <c:pt idx="9">
                  <c:v>0.5143</c:v>
                </c:pt>
                <c:pt idx="10">
                  <c:v>0.4516</c:v>
                </c:pt>
                <c:pt idx="11">
                  <c:v>0.402</c:v>
                </c:pt>
                <c:pt idx="12">
                  <c:v>0.3613</c:v>
                </c:pt>
                <c:pt idx="13">
                  <c:v>0.3279</c:v>
                </c:pt>
                <c:pt idx="14">
                  <c:v>0.2997</c:v>
                </c:pt>
                <c:pt idx="15">
                  <c:v>0.2757</c:v>
                </c:pt>
                <c:pt idx="16">
                  <c:v>0.2552</c:v>
                </c:pt>
                <c:pt idx="17">
                  <c:v>0.2374</c:v>
                </c:pt>
                <c:pt idx="18">
                  <c:v>0.2219</c:v>
                </c:pt>
                <c:pt idx="19">
                  <c:v>0.208</c:v>
                </c:pt>
                <c:pt idx="20">
                  <c:v>0.1957</c:v>
                </c:pt>
                <c:pt idx="21">
                  <c:v>0.1847</c:v>
                </c:pt>
                <c:pt idx="22">
                  <c:v>0.1747</c:v>
                </c:pt>
                <c:pt idx="23">
                  <c:v>0.1658</c:v>
                </c:pt>
                <c:pt idx="24">
                  <c:v>0.1576</c:v>
                </c:pt>
                <c:pt idx="25">
                  <c:v>0.1502</c:v>
                </c:pt>
                <c:pt idx="26">
                  <c:v>0.1434</c:v>
                </c:pt>
                <c:pt idx="27">
                  <c:v>0.1371</c:v>
                </c:pt>
                <c:pt idx="28">
                  <c:v>0.1313</c:v>
                </c:pt>
                <c:pt idx="29">
                  <c:v>0.126</c:v>
                </c:pt>
                <c:pt idx="30">
                  <c:v>0.121</c:v>
                </c:pt>
                <c:pt idx="31">
                  <c:v>0.1164</c:v>
                </c:pt>
                <c:pt idx="32">
                  <c:v>0.1121</c:v>
                </c:pt>
                <c:pt idx="33">
                  <c:v>0.1082</c:v>
                </c:pt>
                <c:pt idx="34">
                  <c:v>0.1044</c:v>
                </c:pt>
                <c:pt idx="35">
                  <c:v>0.1009</c:v>
                </c:pt>
                <c:pt idx="36">
                  <c:v>0.09746</c:v>
                </c:pt>
                <c:pt idx="37">
                  <c:v>0.09426</c:v>
                </c:pt>
                <c:pt idx="38">
                  <c:v>0.09124</c:v>
                </c:pt>
                <c:pt idx="39">
                  <c:v>0.0884</c:v>
                </c:pt>
                <c:pt idx="40">
                  <c:v>0.08573</c:v>
                </c:pt>
                <c:pt idx="41">
                  <c:v>0.08319</c:v>
                </c:pt>
                <c:pt idx="42">
                  <c:v>0.08074</c:v>
                </c:pt>
                <c:pt idx="43">
                  <c:v>0.07838</c:v>
                </c:pt>
                <c:pt idx="44">
                  <c:v>0.07609</c:v>
                </c:pt>
                <c:pt idx="45">
                  <c:v>0.07393</c:v>
                </c:pt>
                <c:pt idx="46">
                  <c:v>0.07191</c:v>
                </c:pt>
                <c:pt idx="47">
                  <c:v>0.06999</c:v>
                </c:pt>
                <c:pt idx="48">
                  <c:v>0.06817</c:v>
                </c:pt>
                <c:pt idx="49">
                  <c:v>0.06639</c:v>
                </c:pt>
                <c:pt idx="50">
                  <c:v>0.06467</c:v>
                </c:pt>
                <c:pt idx="51">
                  <c:v>0.063</c:v>
                </c:pt>
                <c:pt idx="52">
                  <c:v>0.0614</c:v>
                </c:pt>
                <c:pt idx="53">
                  <c:v>0.05991</c:v>
                </c:pt>
                <c:pt idx="54">
                  <c:v>0.0585</c:v>
                </c:pt>
                <c:pt idx="55">
                  <c:v>0.05717</c:v>
                </c:pt>
                <c:pt idx="56">
                  <c:v>0.05588</c:v>
                </c:pt>
                <c:pt idx="57">
                  <c:v>0.05462</c:v>
                </c:pt>
                <c:pt idx="58">
                  <c:v>0.05344</c:v>
                </c:pt>
                <c:pt idx="59">
                  <c:v>0.0523</c:v>
                </c:pt>
                <c:pt idx="60">
                  <c:v>0.05122</c:v>
                </c:pt>
                <c:pt idx="61">
                  <c:v>0.05019</c:v>
                </c:pt>
                <c:pt idx="62">
                  <c:v>0.04919</c:v>
                </c:pt>
                <c:pt idx="63">
                  <c:v>0.04824</c:v>
                </c:pt>
                <c:pt idx="64">
                  <c:v>0.04731</c:v>
                </c:pt>
                <c:pt idx="65">
                  <c:v>0.04642</c:v>
                </c:pt>
                <c:pt idx="66">
                  <c:v>0.04555</c:v>
                </c:pt>
                <c:pt idx="67">
                  <c:v>0.0447</c:v>
                </c:pt>
                <c:pt idx="68">
                  <c:v>0.04389</c:v>
                </c:pt>
                <c:pt idx="69">
                  <c:v>0.04311</c:v>
                </c:pt>
                <c:pt idx="70">
                  <c:v>0.04235</c:v>
                </c:pt>
                <c:pt idx="71">
                  <c:v>0.04162</c:v>
                </c:pt>
                <c:pt idx="72">
                  <c:v>0.04092</c:v>
                </c:pt>
                <c:pt idx="73">
                  <c:v>0.04026</c:v>
                </c:pt>
                <c:pt idx="74">
                  <c:v>0.03962</c:v>
                </c:pt>
                <c:pt idx="75">
                  <c:v>0.039</c:v>
                </c:pt>
                <c:pt idx="76">
                  <c:v>0.03839</c:v>
                </c:pt>
                <c:pt idx="77">
                  <c:v>0.03781</c:v>
                </c:pt>
                <c:pt idx="78">
                  <c:v>0.03726</c:v>
                </c:pt>
                <c:pt idx="79">
                  <c:v>0.03673</c:v>
                </c:pt>
                <c:pt idx="80">
                  <c:v>0.0362</c:v>
                </c:pt>
                <c:pt idx="81">
                  <c:v>0.03569</c:v>
                </c:pt>
                <c:pt idx="82">
                  <c:v>0.0352</c:v>
                </c:pt>
                <c:pt idx="83">
                  <c:v>0.03471</c:v>
                </c:pt>
                <c:pt idx="84">
                  <c:v>0.03424</c:v>
                </c:pt>
                <c:pt idx="85">
                  <c:v>0.03378</c:v>
                </c:pt>
                <c:pt idx="86">
                  <c:v>0.03333</c:v>
                </c:pt>
                <c:pt idx="87">
                  <c:v>0.03289</c:v>
                </c:pt>
                <c:pt idx="88">
                  <c:v>0.03246</c:v>
                </c:pt>
                <c:pt idx="89">
                  <c:v>0.03204</c:v>
                </c:pt>
                <c:pt idx="90">
                  <c:v>0.03163</c:v>
                </c:pt>
                <c:pt idx="91">
                  <c:v>0.03122</c:v>
                </c:pt>
                <c:pt idx="92">
                  <c:v>0.03082</c:v>
                </c:pt>
                <c:pt idx="93">
                  <c:v>0.03043</c:v>
                </c:pt>
                <c:pt idx="94">
                  <c:v>0.03005</c:v>
                </c:pt>
                <c:pt idx="95">
                  <c:v>0.02967</c:v>
                </c:pt>
                <c:pt idx="96">
                  <c:v>0.02931</c:v>
                </c:pt>
                <c:pt idx="97">
                  <c:v>0.02895</c:v>
                </c:pt>
                <c:pt idx="98">
                  <c:v>0.0286</c:v>
                </c:pt>
                <c:pt idx="99">
                  <c:v>0.02826</c:v>
                </c:pt>
                <c:pt idx="100">
                  <c:v>0.02792</c:v>
                </c:pt>
                <c:pt idx="101">
                  <c:v>0.0276</c:v>
                </c:pt>
                <c:pt idx="102">
                  <c:v>0.02727</c:v>
                </c:pt>
                <c:pt idx="103">
                  <c:v>0.02695</c:v>
                </c:pt>
                <c:pt idx="104">
                  <c:v>0.02662</c:v>
                </c:pt>
                <c:pt idx="105">
                  <c:v>0.02629</c:v>
                </c:pt>
                <c:pt idx="106">
                  <c:v>0.02597</c:v>
                </c:pt>
                <c:pt idx="107">
                  <c:v>0.02564</c:v>
                </c:pt>
                <c:pt idx="108">
                  <c:v>0.02531</c:v>
                </c:pt>
                <c:pt idx="109">
                  <c:v>0.02498</c:v>
                </c:pt>
                <c:pt idx="110">
                  <c:v>0.02466</c:v>
                </c:pt>
                <c:pt idx="111">
                  <c:v>0.02433</c:v>
                </c:pt>
                <c:pt idx="112">
                  <c:v>0.02399</c:v>
                </c:pt>
                <c:pt idx="113">
                  <c:v>0.02366</c:v>
                </c:pt>
                <c:pt idx="114">
                  <c:v>0.02333</c:v>
                </c:pt>
                <c:pt idx="115">
                  <c:v>0.02301</c:v>
                </c:pt>
                <c:pt idx="116">
                  <c:v>0.0227</c:v>
                </c:pt>
                <c:pt idx="117">
                  <c:v>0.02238</c:v>
                </c:pt>
                <c:pt idx="118">
                  <c:v>0.02207</c:v>
                </c:pt>
                <c:pt idx="119">
                  <c:v>0.02177</c:v>
                </c:pt>
                <c:pt idx="120">
                  <c:v>0.02146</c:v>
                </c:pt>
                <c:pt idx="121">
                  <c:v>0.02116</c:v>
                </c:pt>
                <c:pt idx="122">
                  <c:v>0.02087</c:v>
                </c:pt>
                <c:pt idx="123">
                  <c:v>0.02059</c:v>
                </c:pt>
                <c:pt idx="124">
                  <c:v>0.02031</c:v>
                </c:pt>
                <c:pt idx="125">
                  <c:v>0.02004</c:v>
                </c:pt>
                <c:pt idx="126">
                  <c:v>0.01978</c:v>
                </c:pt>
                <c:pt idx="127">
                  <c:v>0.01952</c:v>
                </c:pt>
                <c:pt idx="128">
                  <c:v>0.01927</c:v>
                </c:pt>
                <c:pt idx="129">
                  <c:v>0.01902</c:v>
                </c:pt>
                <c:pt idx="130">
                  <c:v>0.01878</c:v>
                </c:pt>
                <c:pt idx="131">
                  <c:v>0.01854</c:v>
                </c:pt>
                <c:pt idx="132">
                  <c:v>0.01831</c:v>
                </c:pt>
                <c:pt idx="133">
                  <c:v>0.01808</c:v>
                </c:pt>
                <c:pt idx="134">
                  <c:v>0.01786</c:v>
                </c:pt>
                <c:pt idx="135">
                  <c:v>0.01764</c:v>
                </c:pt>
                <c:pt idx="136">
                  <c:v>0.01743</c:v>
                </c:pt>
                <c:pt idx="137">
                  <c:v>0.01722</c:v>
                </c:pt>
                <c:pt idx="138">
                  <c:v>0.01702</c:v>
                </c:pt>
                <c:pt idx="139">
                  <c:v>0.01682</c:v>
                </c:pt>
                <c:pt idx="140">
                  <c:v>0.01662</c:v>
                </c:pt>
                <c:pt idx="141">
                  <c:v>0.01643</c:v>
                </c:pt>
                <c:pt idx="142">
                  <c:v>0.01624</c:v>
                </c:pt>
                <c:pt idx="143">
                  <c:v>0.01605</c:v>
                </c:pt>
                <c:pt idx="144">
                  <c:v>0.01587</c:v>
                </c:pt>
                <c:pt idx="145">
                  <c:v>0.01569</c:v>
                </c:pt>
                <c:pt idx="146">
                  <c:v>0.01551</c:v>
                </c:pt>
                <c:pt idx="147">
                  <c:v>0.01534</c:v>
                </c:pt>
                <c:pt idx="148">
                  <c:v>0.01517</c:v>
                </c:pt>
                <c:pt idx="149">
                  <c:v>0.015</c:v>
                </c:pt>
                <c:pt idx="150">
                  <c:v>0.01483</c:v>
                </c:pt>
                <c:pt idx="151">
                  <c:v>0.01467</c:v>
                </c:pt>
                <c:pt idx="152">
                  <c:v>0.0145</c:v>
                </c:pt>
                <c:pt idx="153">
                  <c:v>0.01434</c:v>
                </c:pt>
                <c:pt idx="154">
                  <c:v>0.01419</c:v>
                </c:pt>
                <c:pt idx="155">
                  <c:v>0.01405</c:v>
                </c:pt>
                <c:pt idx="156">
                  <c:v>0.01391</c:v>
                </c:pt>
                <c:pt idx="157">
                  <c:v>0.01378</c:v>
                </c:pt>
                <c:pt idx="158">
                  <c:v>0.01365</c:v>
                </c:pt>
                <c:pt idx="159">
                  <c:v>0.01353</c:v>
                </c:pt>
                <c:pt idx="160">
                  <c:v>0.0134</c:v>
                </c:pt>
                <c:pt idx="161">
                  <c:v>0.01328</c:v>
                </c:pt>
                <c:pt idx="162">
                  <c:v>0.01316</c:v>
                </c:pt>
                <c:pt idx="163">
                  <c:v>0.01305</c:v>
                </c:pt>
                <c:pt idx="164">
                  <c:v>0.01294</c:v>
                </c:pt>
                <c:pt idx="165">
                  <c:v>0.01284</c:v>
                </c:pt>
                <c:pt idx="166">
                  <c:v>0.01273</c:v>
                </c:pt>
                <c:pt idx="167">
                  <c:v>0.01263</c:v>
                </c:pt>
                <c:pt idx="168">
                  <c:v>0.01254</c:v>
                </c:pt>
                <c:pt idx="169">
                  <c:v>0.01244</c:v>
                </c:pt>
                <c:pt idx="170">
                  <c:v>0.01235</c:v>
                </c:pt>
                <c:pt idx="171">
                  <c:v>0.01227</c:v>
                </c:pt>
                <c:pt idx="172">
                  <c:v>0.01218</c:v>
                </c:pt>
                <c:pt idx="173">
                  <c:v>0.01211</c:v>
                </c:pt>
                <c:pt idx="174">
                  <c:v>0.01203</c:v>
                </c:pt>
                <c:pt idx="175">
                  <c:v>0.01196</c:v>
                </c:pt>
                <c:pt idx="176">
                  <c:v>0.01188</c:v>
                </c:pt>
                <c:pt idx="177">
                  <c:v>0.01181</c:v>
                </c:pt>
                <c:pt idx="178">
                  <c:v>0.01174</c:v>
                </c:pt>
                <c:pt idx="179">
                  <c:v>0.01166</c:v>
                </c:pt>
                <c:pt idx="180">
                  <c:v>0.01159</c:v>
                </c:pt>
                <c:pt idx="181">
                  <c:v>0.01152</c:v>
                </c:pt>
                <c:pt idx="182">
                  <c:v>0.01145</c:v>
                </c:pt>
                <c:pt idx="183">
                  <c:v>0.01138</c:v>
                </c:pt>
                <c:pt idx="184">
                  <c:v>0.01131</c:v>
                </c:pt>
                <c:pt idx="185">
                  <c:v>0.01125</c:v>
                </c:pt>
                <c:pt idx="186">
                  <c:v>0.01118</c:v>
                </c:pt>
                <c:pt idx="187">
                  <c:v>0.01111</c:v>
                </c:pt>
                <c:pt idx="188">
                  <c:v>0.01105</c:v>
                </c:pt>
                <c:pt idx="189">
                  <c:v>0.01098</c:v>
                </c:pt>
                <c:pt idx="190">
                  <c:v>0.01092</c:v>
                </c:pt>
                <c:pt idx="191">
                  <c:v>0.01086</c:v>
                </c:pt>
                <c:pt idx="192">
                  <c:v>0.01079</c:v>
                </c:pt>
                <c:pt idx="193">
                  <c:v>0.01073</c:v>
                </c:pt>
                <c:pt idx="194">
                  <c:v>0.01067</c:v>
                </c:pt>
                <c:pt idx="195">
                  <c:v>0.01061</c:v>
                </c:pt>
                <c:pt idx="196">
                  <c:v>0.01055</c:v>
                </c:pt>
                <c:pt idx="197">
                  <c:v>0.01049</c:v>
                </c:pt>
                <c:pt idx="198">
                  <c:v>0.01043</c:v>
                </c:pt>
                <c:pt idx="199">
                  <c:v>0.01037</c:v>
                </c:pt>
                <c:pt idx="200">
                  <c:v>0.01031</c:v>
                </c:pt>
                <c:pt idx="201">
                  <c:v>0.01025</c:v>
                </c:pt>
                <c:pt idx="202">
                  <c:v>0.01019</c:v>
                </c:pt>
                <c:pt idx="203">
                  <c:v>0.01014</c:v>
                </c:pt>
                <c:pt idx="204">
                  <c:v>0.01008</c:v>
                </c:pt>
                <c:pt idx="205">
                  <c:v>0.01002</c:v>
                </c:pt>
                <c:pt idx="206">
                  <c:v>0.00997</c:v>
                </c:pt>
                <c:pt idx="207">
                  <c:v>0.009915</c:v>
                </c:pt>
                <c:pt idx="208">
                  <c:v>0.00986</c:v>
                </c:pt>
                <c:pt idx="209">
                  <c:v>0.009807</c:v>
                </c:pt>
                <c:pt idx="210">
                  <c:v>0.009754</c:v>
                </c:pt>
                <c:pt idx="211">
                  <c:v>0.009701</c:v>
                </c:pt>
                <c:pt idx="212">
                  <c:v>0.009649</c:v>
                </c:pt>
                <c:pt idx="213">
                  <c:v>0.009597</c:v>
                </c:pt>
                <c:pt idx="214">
                  <c:v>0.009546</c:v>
                </c:pt>
                <c:pt idx="215">
                  <c:v>0.009495</c:v>
                </c:pt>
                <c:pt idx="216">
                  <c:v>0.009445</c:v>
                </c:pt>
                <c:pt idx="217">
                  <c:v>0.009395</c:v>
                </c:pt>
                <c:pt idx="218">
                  <c:v>0.009345</c:v>
                </c:pt>
                <c:pt idx="219">
                  <c:v>0.009296</c:v>
                </c:pt>
                <c:pt idx="220">
                  <c:v>0.009247</c:v>
                </c:pt>
                <c:pt idx="221">
                  <c:v>0.009199</c:v>
                </c:pt>
                <c:pt idx="222">
                  <c:v>0.009151</c:v>
                </c:pt>
                <c:pt idx="223">
                  <c:v>0.009103</c:v>
                </c:pt>
                <c:pt idx="224">
                  <c:v>0.009055</c:v>
                </c:pt>
                <c:pt idx="225">
                  <c:v>0.009008</c:v>
                </c:pt>
                <c:pt idx="226">
                  <c:v>0.008961</c:v>
                </c:pt>
                <c:pt idx="227">
                  <c:v>0.008914</c:v>
                </c:pt>
                <c:pt idx="228">
                  <c:v>0.008867</c:v>
                </c:pt>
                <c:pt idx="229">
                  <c:v>0.00882</c:v>
                </c:pt>
                <c:pt idx="230">
                  <c:v>0.008772</c:v>
                </c:pt>
                <c:pt idx="231">
                  <c:v>0.008723</c:v>
                </c:pt>
                <c:pt idx="232">
                  <c:v>0.008675</c:v>
                </c:pt>
                <c:pt idx="233">
                  <c:v>0.008626</c:v>
                </c:pt>
                <c:pt idx="234">
                  <c:v>0.008577</c:v>
                </c:pt>
                <c:pt idx="235">
                  <c:v>0.008528</c:v>
                </c:pt>
                <c:pt idx="236">
                  <c:v>0.008479</c:v>
                </c:pt>
                <c:pt idx="237">
                  <c:v>0.008429</c:v>
                </c:pt>
                <c:pt idx="238">
                  <c:v>0.008379</c:v>
                </c:pt>
                <c:pt idx="239">
                  <c:v>0.008329</c:v>
                </c:pt>
                <c:pt idx="240">
                  <c:v>0.008279</c:v>
                </c:pt>
                <c:pt idx="241">
                  <c:v>0.00823</c:v>
                </c:pt>
                <c:pt idx="242">
                  <c:v>0.008182</c:v>
                </c:pt>
                <c:pt idx="243">
                  <c:v>0.008133</c:v>
                </c:pt>
                <c:pt idx="244">
                  <c:v>0.008084</c:v>
                </c:pt>
                <c:pt idx="245">
                  <c:v>0.008036</c:v>
                </c:pt>
                <c:pt idx="246">
                  <c:v>0.007989</c:v>
                </c:pt>
                <c:pt idx="247">
                  <c:v>0.007941</c:v>
                </c:pt>
                <c:pt idx="248">
                  <c:v>0.007895</c:v>
                </c:pt>
                <c:pt idx="249">
                  <c:v>0.007849</c:v>
                </c:pt>
                <c:pt idx="250">
                  <c:v>0.007803</c:v>
                </c:pt>
                <c:pt idx="251">
                  <c:v>0.007758</c:v>
                </c:pt>
                <c:pt idx="252">
                  <c:v>0.007714</c:v>
                </c:pt>
                <c:pt idx="253">
                  <c:v>0.007669</c:v>
                </c:pt>
                <c:pt idx="254">
                  <c:v>0.007625</c:v>
                </c:pt>
                <c:pt idx="255">
                  <c:v>0.007582</c:v>
                </c:pt>
                <c:pt idx="256">
                  <c:v>0.007539</c:v>
                </c:pt>
                <c:pt idx="257">
                  <c:v>0.007497</c:v>
                </c:pt>
                <c:pt idx="258">
                  <c:v>0.007455</c:v>
                </c:pt>
                <c:pt idx="259">
                  <c:v>0.007413</c:v>
                </c:pt>
                <c:pt idx="260">
                  <c:v>0.007372</c:v>
                </c:pt>
                <c:pt idx="261">
                  <c:v>0.007331</c:v>
                </c:pt>
                <c:pt idx="262">
                  <c:v>0.00729</c:v>
                </c:pt>
                <c:pt idx="263">
                  <c:v>0.00725</c:v>
                </c:pt>
                <c:pt idx="264">
                  <c:v>0.00721</c:v>
                </c:pt>
                <c:pt idx="265">
                  <c:v>0.00717</c:v>
                </c:pt>
                <c:pt idx="266">
                  <c:v>0.007131</c:v>
                </c:pt>
                <c:pt idx="267">
                  <c:v>0.007091</c:v>
                </c:pt>
                <c:pt idx="268">
                  <c:v>0.007053</c:v>
                </c:pt>
                <c:pt idx="269">
                  <c:v>0.007014</c:v>
                </c:pt>
                <c:pt idx="270">
                  <c:v>0.006976</c:v>
                </c:pt>
                <c:pt idx="271">
                  <c:v>0.006938</c:v>
                </c:pt>
                <c:pt idx="272">
                  <c:v>0.006901</c:v>
                </c:pt>
                <c:pt idx="273">
                  <c:v>0.006864</c:v>
                </c:pt>
                <c:pt idx="274">
                  <c:v>0.006827</c:v>
                </c:pt>
                <c:pt idx="275">
                  <c:v>0.006791</c:v>
                </c:pt>
                <c:pt idx="276">
                  <c:v>0.006755</c:v>
                </c:pt>
                <c:pt idx="277">
                  <c:v>0.006719</c:v>
                </c:pt>
                <c:pt idx="278">
                  <c:v>0.006683</c:v>
                </c:pt>
                <c:pt idx="279">
                  <c:v>0.006648</c:v>
                </c:pt>
                <c:pt idx="280">
                  <c:v>0.006614</c:v>
                </c:pt>
                <c:pt idx="281">
                  <c:v>0.006579</c:v>
                </c:pt>
                <c:pt idx="282">
                  <c:v>0.006545</c:v>
                </c:pt>
                <c:pt idx="283">
                  <c:v>0.006511</c:v>
                </c:pt>
                <c:pt idx="284">
                  <c:v>0.006478</c:v>
                </c:pt>
              </c:numCache>
            </c:numRef>
          </c:xVal>
          <c:yVal>
            <c:numRef>
              <c:f>'[1]0DB1- in1'!$H$5:$H$289</c:f>
              <c:numCache>
                <c:formatCode>0.00E+00</c:formatCode>
                <c:ptCount val="285"/>
                <c:pt idx="0">
                  <c:v>0.006516</c:v>
                </c:pt>
                <c:pt idx="1">
                  <c:v>0.006949</c:v>
                </c:pt>
                <c:pt idx="2">
                  <c:v>0.007228</c:v>
                </c:pt>
                <c:pt idx="3">
                  <c:v>0.007026</c:v>
                </c:pt>
                <c:pt idx="4">
                  <c:v>0.006944</c:v>
                </c:pt>
                <c:pt idx="5">
                  <c:v>0.007022</c:v>
                </c:pt>
                <c:pt idx="6">
                  <c:v>0.007736</c:v>
                </c:pt>
                <c:pt idx="7">
                  <c:v>0.006314</c:v>
                </c:pt>
                <c:pt idx="8">
                  <c:v>0.006732</c:v>
                </c:pt>
                <c:pt idx="9">
                  <c:v>0.007276</c:v>
                </c:pt>
                <c:pt idx="10">
                  <c:v>0.007961</c:v>
                </c:pt>
                <c:pt idx="11">
                  <c:v>0.008375</c:v>
                </c:pt>
                <c:pt idx="12">
                  <c:v>0.008528</c:v>
                </c:pt>
                <c:pt idx="13">
                  <c:v>0.008922</c:v>
                </c:pt>
                <c:pt idx="14">
                  <c:v>0.009862</c:v>
                </c:pt>
                <c:pt idx="15">
                  <c:v>0.01127</c:v>
                </c:pt>
                <c:pt idx="16">
                  <c:v>0.01247</c:v>
                </c:pt>
                <c:pt idx="17">
                  <c:v>0.01408</c:v>
                </c:pt>
                <c:pt idx="18">
                  <c:v>0.01611</c:v>
                </c:pt>
                <c:pt idx="19">
                  <c:v>0.01846</c:v>
                </c:pt>
                <c:pt idx="20">
                  <c:v>0.0207</c:v>
                </c:pt>
                <c:pt idx="21">
                  <c:v>0.0227</c:v>
                </c:pt>
                <c:pt idx="22">
                  <c:v>0.02558</c:v>
                </c:pt>
                <c:pt idx="23">
                  <c:v>0.02799</c:v>
                </c:pt>
                <c:pt idx="24">
                  <c:v>0.02985</c:v>
                </c:pt>
                <c:pt idx="25">
                  <c:v>0.03211</c:v>
                </c:pt>
                <c:pt idx="26">
                  <c:v>0.033</c:v>
                </c:pt>
                <c:pt idx="27">
                  <c:v>0.03405</c:v>
                </c:pt>
                <c:pt idx="28">
                  <c:v>0.03427</c:v>
                </c:pt>
                <c:pt idx="29">
                  <c:v>0.0341</c:v>
                </c:pt>
                <c:pt idx="30">
                  <c:v>0.03365</c:v>
                </c:pt>
                <c:pt idx="31">
                  <c:v>0.03354</c:v>
                </c:pt>
                <c:pt idx="32">
                  <c:v>0.03413</c:v>
                </c:pt>
                <c:pt idx="33">
                  <c:v>0.03354</c:v>
                </c:pt>
                <c:pt idx="34">
                  <c:v>0.03391</c:v>
                </c:pt>
                <c:pt idx="35">
                  <c:v>0.03473</c:v>
                </c:pt>
                <c:pt idx="36">
                  <c:v>0.03411</c:v>
                </c:pt>
                <c:pt idx="37">
                  <c:v>0.03496</c:v>
                </c:pt>
                <c:pt idx="38">
                  <c:v>0.03635</c:v>
                </c:pt>
                <c:pt idx="39">
                  <c:v>0.03942</c:v>
                </c:pt>
                <c:pt idx="40">
                  <c:v>0.04223</c:v>
                </c:pt>
                <c:pt idx="41">
                  <c:v>0.04524</c:v>
                </c:pt>
                <c:pt idx="42">
                  <c:v>0.04878</c:v>
                </c:pt>
                <c:pt idx="43">
                  <c:v>0.05078</c:v>
                </c:pt>
                <c:pt idx="44">
                  <c:v>0.0536</c:v>
                </c:pt>
                <c:pt idx="45">
                  <c:v>0.0554</c:v>
                </c:pt>
                <c:pt idx="46">
                  <c:v>0.05855</c:v>
                </c:pt>
                <c:pt idx="47">
                  <c:v>0.0627</c:v>
                </c:pt>
                <c:pt idx="48">
                  <c:v>0.06608</c:v>
                </c:pt>
                <c:pt idx="49">
                  <c:v>0.06836</c:v>
                </c:pt>
                <c:pt idx="50">
                  <c:v>0.06912</c:v>
                </c:pt>
                <c:pt idx="51">
                  <c:v>0.06977</c:v>
                </c:pt>
                <c:pt idx="52">
                  <c:v>0.06978</c:v>
                </c:pt>
                <c:pt idx="53">
                  <c:v>0.06792</c:v>
                </c:pt>
                <c:pt idx="54">
                  <c:v>0.06706</c:v>
                </c:pt>
                <c:pt idx="55">
                  <c:v>0.06597</c:v>
                </c:pt>
                <c:pt idx="56">
                  <c:v>0.06536</c:v>
                </c:pt>
                <c:pt idx="57">
                  <c:v>0.06153</c:v>
                </c:pt>
                <c:pt idx="58">
                  <c:v>0.05808</c:v>
                </c:pt>
                <c:pt idx="59">
                  <c:v>0.0543</c:v>
                </c:pt>
                <c:pt idx="60">
                  <c:v>0.05157</c:v>
                </c:pt>
                <c:pt idx="61">
                  <c:v>0.04861</c:v>
                </c:pt>
                <c:pt idx="62">
                  <c:v>0.04592</c:v>
                </c:pt>
                <c:pt idx="63">
                  <c:v>0.04431</c:v>
                </c:pt>
                <c:pt idx="64">
                  <c:v>0.04481</c:v>
                </c:pt>
                <c:pt idx="65">
                  <c:v>0.04525</c:v>
                </c:pt>
                <c:pt idx="66">
                  <c:v>0.04523</c:v>
                </c:pt>
                <c:pt idx="67">
                  <c:v>0.04569</c:v>
                </c:pt>
                <c:pt idx="68">
                  <c:v>0.04869</c:v>
                </c:pt>
                <c:pt idx="69">
                  <c:v>0.05124</c:v>
                </c:pt>
                <c:pt idx="70">
                  <c:v>0.05488</c:v>
                </c:pt>
                <c:pt idx="71">
                  <c:v>0.05744</c:v>
                </c:pt>
                <c:pt idx="72">
                  <c:v>0.06012</c:v>
                </c:pt>
                <c:pt idx="73">
                  <c:v>0.06301</c:v>
                </c:pt>
                <c:pt idx="74">
                  <c:v>0.06533</c:v>
                </c:pt>
                <c:pt idx="75">
                  <c:v>0.066</c:v>
                </c:pt>
                <c:pt idx="76">
                  <c:v>0.06734</c:v>
                </c:pt>
                <c:pt idx="77">
                  <c:v>0.06913</c:v>
                </c:pt>
                <c:pt idx="78">
                  <c:v>0.06964</c:v>
                </c:pt>
                <c:pt idx="79">
                  <c:v>0.06879</c:v>
                </c:pt>
                <c:pt idx="80">
                  <c:v>0.06791</c:v>
                </c:pt>
                <c:pt idx="81">
                  <c:v>0.06715</c:v>
                </c:pt>
                <c:pt idx="82">
                  <c:v>0.06698</c:v>
                </c:pt>
                <c:pt idx="83">
                  <c:v>0.06648</c:v>
                </c:pt>
                <c:pt idx="84">
                  <c:v>0.06585</c:v>
                </c:pt>
                <c:pt idx="85">
                  <c:v>0.06591</c:v>
                </c:pt>
                <c:pt idx="86">
                  <c:v>0.06649</c:v>
                </c:pt>
                <c:pt idx="87">
                  <c:v>0.0664</c:v>
                </c:pt>
                <c:pt idx="88">
                  <c:v>0.06559</c:v>
                </c:pt>
                <c:pt idx="89">
                  <c:v>0.06473</c:v>
                </c:pt>
                <c:pt idx="90">
                  <c:v>0.06453</c:v>
                </c:pt>
                <c:pt idx="91">
                  <c:v>0.06356</c:v>
                </c:pt>
                <c:pt idx="92">
                  <c:v>0.06037</c:v>
                </c:pt>
                <c:pt idx="93">
                  <c:v>0.05788</c:v>
                </c:pt>
                <c:pt idx="94">
                  <c:v>0.05613</c:v>
                </c:pt>
                <c:pt idx="95">
                  <c:v>0.0551</c:v>
                </c:pt>
                <c:pt idx="96">
                  <c:v>0.0518</c:v>
                </c:pt>
                <c:pt idx="97">
                  <c:v>0.04776</c:v>
                </c:pt>
                <c:pt idx="98">
                  <c:v>0.0429</c:v>
                </c:pt>
                <c:pt idx="99">
                  <c:v>0.0386</c:v>
                </c:pt>
                <c:pt idx="100">
                  <c:v>0.03497</c:v>
                </c:pt>
                <c:pt idx="101">
                  <c:v>0.03129</c:v>
                </c:pt>
                <c:pt idx="102">
                  <c:v>0.02829</c:v>
                </c:pt>
                <c:pt idx="103">
                  <c:v>0.02671</c:v>
                </c:pt>
                <c:pt idx="104">
                  <c:v>0.02362</c:v>
                </c:pt>
                <c:pt idx="105">
                  <c:v>0.02117</c:v>
                </c:pt>
                <c:pt idx="106">
                  <c:v>0.0172</c:v>
                </c:pt>
                <c:pt idx="107">
                  <c:v>0.01474</c:v>
                </c:pt>
                <c:pt idx="108">
                  <c:v>0.01304</c:v>
                </c:pt>
                <c:pt idx="109">
                  <c:v>0.01214</c:v>
                </c:pt>
                <c:pt idx="110">
                  <c:v>0.01197</c:v>
                </c:pt>
                <c:pt idx="111">
                  <c:v>0.01181</c:v>
                </c:pt>
                <c:pt idx="112">
                  <c:v>0.01164</c:v>
                </c:pt>
                <c:pt idx="113">
                  <c:v>0.01149</c:v>
                </c:pt>
                <c:pt idx="114">
                  <c:v>0.01139</c:v>
                </c:pt>
                <c:pt idx="115">
                  <c:v>0.012</c:v>
                </c:pt>
                <c:pt idx="116">
                  <c:v>0.01126</c:v>
                </c:pt>
                <c:pt idx="117">
                  <c:v>0.01259</c:v>
                </c:pt>
                <c:pt idx="118">
                  <c:v>0.01462</c:v>
                </c:pt>
                <c:pt idx="119">
                  <c:v>0.01737</c:v>
                </c:pt>
                <c:pt idx="120">
                  <c:v>0.02015</c:v>
                </c:pt>
                <c:pt idx="121">
                  <c:v>0.02159</c:v>
                </c:pt>
                <c:pt idx="122">
                  <c:v>0.02307</c:v>
                </c:pt>
                <c:pt idx="123">
                  <c:v>0.02458</c:v>
                </c:pt>
                <c:pt idx="124">
                  <c:v>0.02612</c:v>
                </c:pt>
                <c:pt idx="125">
                  <c:v>0.02841</c:v>
                </c:pt>
                <c:pt idx="126">
                  <c:v>0.03147</c:v>
                </c:pt>
                <c:pt idx="127">
                  <c:v>0.03523</c:v>
                </c:pt>
                <c:pt idx="128">
                  <c:v>0.03619</c:v>
                </c:pt>
                <c:pt idx="129">
                  <c:v>0.03575</c:v>
                </c:pt>
                <c:pt idx="130">
                  <c:v>0.03459</c:v>
                </c:pt>
                <c:pt idx="131">
                  <c:v>0.03343</c:v>
                </c:pt>
                <c:pt idx="132">
                  <c:v>0.03295</c:v>
                </c:pt>
                <c:pt idx="133">
                  <c:v>0.03323</c:v>
                </c:pt>
                <c:pt idx="134">
                  <c:v>0.03431</c:v>
                </c:pt>
                <c:pt idx="135">
                  <c:v>0.03539</c:v>
                </c:pt>
                <c:pt idx="136">
                  <c:v>0.03494</c:v>
                </c:pt>
                <c:pt idx="137">
                  <c:v>0.03376</c:v>
                </c:pt>
                <c:pt idx="138">
                  <c:v>0.03337</c:v>
                </c:pt>
                <c:pt idx="139">
                  <c:v>0.0344</c:v>
                </c:pt>
                <c:pt idx="140">
                  <c:v>0.03618</c:v>
                </c:pt>
                <c:pt idx="141">
                  <c:v>0.03717</c:v>
                </c:pt>
                <c:pt idx="142">
                  <c:v>0.03818</c:v>
                </c:pt>
                <c:pt idx="143">
                  <c:v>0.03918</c:v>
                </c:pt>
                <c:pt idx="144">
                  <c:v>0.03938</c:v>
                </c:pt>
                <c:pt idx="145">
                  <c:v>0.03795</c:v>
                </c:pt>
                <c:pt idx="146">
                  <c:v>0.03648</c:v>
                </c:pt>
                <c:pt idx="147">
                  <c:v>0.03577</c:v>
                </c:pt>
                <c:pt idx="148">
                  <c:v>0.03425</c:v>
                </c:pt>
                <c:pt idx="149">
                  <c:v>0.03111</c:v>
                </c:pt>
                <c:pt idx="150">
                  <c:v>0.02897</c:v>
                </c:pt>
                <c:pt idx="151">
                  <c:v>0.02679</c:v>
                </c:pt>
                <c:pt idx="152">
                  <c:v>0.02545</c:v>
                </c:pt>
                <c:pt idx="153">
                  <c:v>0.02616</c:v>
                </c:pt>
                <c:pt idx="154">
                  <c:v>0.02681</c:v>
                </c:pt>
                <c:pt idx="155">
                  <c:v>0.02649</c:v>
                </c:pt>
                <c:pt idx="156">
                  <c:v>0.02711</c:v>
                </c:pt>
                <c:pt idx="157">
                  <c:v>0.02774</c:v>
                </c:pt>
                <c:pt idx="158">
                  <c:v>0.02968</c:v>
                </c:pt>
                <c:pt idx="159">
                  <c:v>0.03243</c:v>
                </c:pt>
                <c:pt idx="160">
                  <c:v>0.03598</c:v>
                </c:pt>
                <c:pt idx="161">
                  <c:v>0.03747</c:v>
                </c:pt>
                <c:pt idx="162">
                  <c:v>0.03919</c:v>
                </c:pt>
                <c:pt idx="163">
                  <c:v>0.04087</c:v>
                </c:pt>
                <c:pt idx="164">
                  <c:v>0.03808</c:v>
                </c:pt>
                <c:pt idx="165">
                  <c:v>0.03541</c:v>
                </c:pt>
                <c:pt idx="166">
                  <c:v>0.0338</c:v>
                </c:pt>
                <c:pt idx="167">
                  <c:v>0.03206</c:v>
                </c:pt>
                <c:pt idx="168">
                  <c:v>0.03043</c:v>
                </c:pt>
                <c:pt idx="169">
                  <c:v>0.02604</c:v>
                </c:pt>
                <c:pt idx="170">
                  <c:v>0.02161</c:v>
                </c:pt>
                <c:pt idx="171">
                  <c:v>0.01717</c:v>
                </c:pt>
                <c:pt idx="172">
                  <c:v>0.01383</c:v>
                </c:pt>
                <c:pt idx="173">
                  <c:v>0.01326</c:v>
                </c:pt>
                <c:pt idx="174">
                  <c:v>0.01267</c:v>
                </c:pt>
                <c:pt idx="175">
                  <c:v>0.01449</c:v>
                </c:pt>
                <c:pt idx="176">
                  <c:v>0.01626</c:v>
                </c:pt>
                <c:pt idx="177">
                  <c:v>0.01796</c:v>
                </c:pt>
                <c:pt idx="178">
                  <c:v>0.01966</c:v>
                </c:pt>
                <c:pt idx="179">
                  <c:v>0.02126</c:v>
                </c:pt>
                <c:pt idx="180">
                  <c:v>0.02434</c:v>
                </c:pt>
                <c:pt idx="181">
                  <c:v>0.02744</c:v>
                </c:pt>
                <c:pt idx="182">
                  <c:v>0.03056</c:v>
                </c:pt>
                <c:pt idx="183">
                  <c:v>0.03368</c:v>
                </c:pt>
                <c:pt idx="184">
                  <c:v>0.03068</c:v>
                </c:pt>
                <c:pt idx="185">
                  <c:v>0.02768</c:v>
                </c:pt>
                <c:pt idx="186">
                  <c:v>0.02466</c:v>
                </c:pt>
                <c:pt idx="187">
                  <c:v>0.02162</c:v>
                </c:pt>
                <c:pt idx="188">
                  <c:v>0.01856</c:v>
                </c:pt>
                <c:pt idx="189">
                  <c:v>0.0155</c:v>
                </c:pt>
                <c:pt idx="190">
                  <c:v>0.01242</c:v>
                </c:pt>
                <c:pt idx="191">
                  <c:v>0.009346</c:v>
                </c:pt>
                <c:pt idx="192">
                  <c:v>0.006244</c:v>
                </c:pt>
                <c:pt idx="193">
                  <c:v>0.003124</c:v>
                </c:pt>
                <c:pt idx="194">
                  <c:v>0.0</c:v>
                </c:pt>
                <c:pt idx="195">
                  <c:v>0.0</c:v>
                </c:pt>
                <c:pt idx="196">
                  <c:v>0.0</c:v>
                </c:pt>
                <c:pt idx="197">
                  <c:v>0.001638</c:v>
                </c:pt>
                <c:pt idx="198">
                  <c:v>0.00328</c:v>
                </c:pt>
                <c:pt idx="199">
                  <c:v>0.006577</c:v>
                </c:pt>
                <c:pt idx="200">
                  <c:v>0.00989</c:v>
                </c:pt>
                <c:pt idx="201">
                  <c:v>0.01322</c:v>
                </c:pt>
                <c:pt idx="202">
                  <c:v>0.01656</c:v>
                </c:pt>
                <c:pt idx="203">
                  <c:v>0.01991</c:v>
                </c:pt>
                <c:pt idx="204">
                  <c:v>0.0233</c:v>
                </c:pt>
                <c:pt idx="205">
                  <c:v>0.02669</c:v>
                </c:pt>
                <c:pt idx="206">
                  <c:v>0.03009</c:v>
                </c:pt>
                <c:pt idx="207">
                  <c:v>0.03351</c:v>
                </c:pt>
                <c:pt idx="208">
                  <c:v>0.03359</c:v>
                </c:pt>
                <c:pt idx="209">
                  <c:v>0.03368</c:v>
                </c:pt>
                <c:pt idx="210">
                  <c:v>0.03039</c:v>
                </c:pt>
                <c:pt idx="211">
                  <c:v>0.02881</c:v>
                </c:pt>
                <c:pt idx="212">
                  <c:v>0.02723</c:v>
                </c:pt>
                <c:pt idx="213">
                  <c:v>0.02564</c:v>
                </c:pt>
                <c:pt idx="214">
                  <c:v>0.02404</c:v>
                </c:pt>
                <c:pt idx="215">
                  <c:v>0.0224</c:v>
                </c:pt>
                <c:pt idx="216">
                  <c:v>0.02077</c:v>
                </c:pt>
                <c:pt idx="217">
                  <c:v>0.01913</c:v>
                </c:pt>
                <c:pt idx="218">
                  <c:v>0.01748</c:v>
                </c:pt>
                <c:pt idx="219">
                  <c:v>0.01754</c:v>
                </c:pt>
                <c:pt idx="220">
                  <c:v>0.01758</c:v>
                </c:pt>
                <c:pt idx="221">
                  <c:v>0.01933</c:v>
                </c:pt>
                <c:pt idx="222">
                  <c:v>0.01759</c:v>
                </c:pt>
                <c:pt idx="223">
                  <c:v>0.01584</c:v>
                </c:pt>
                <c:pt idx="224">
                  <c:v>0.01409</c:v>
                </c:pt>
                <c:pt idx="225">
                  <c:v>0.01234</c:v>
                </c:pt>
                <c:pt idx="226">
                  <c:v>0.01058</c:v>
                </c:pt>
                <c:pt idx="227">
                  <c:v>0.008829</c:v>
                </c:pt>
                <c:pt idx="228">
                  <c:v>0.007064</c:v>
                </c:pt>
                <c:pt idx="229">
                  <c:v>0.005297</c:v>
                </c:pt>
                <c:pt idx="230">
                  <c:v>0.003523</c:v>
                </c:pt>
                <c:pt idx="231">
                  <c:v>0.001749</c:v>
                </c:pt>
                <c:pt idx="232">
                  <c:v>0.0</c:v>
                </c:pt>
                <c:pt idx="233">
                  <c:v>0.0</c:v>
                </c:pt>
                <c:pt idx="234">
                  <c:v>0.0</c:v>
                </c:pt>
                <c:pt idx="235">
                  <c:v>0.0</c:v>
                </c:pt>
                <c:pt idx="236">
                  <c:v>0.0</c:v>
                </c:pt>
                <c:pt idx="237">
                  <c:v>0.0</c:v>
                </c:pt>
                <c:pt idx="238">
                  <c:v>0.0</c:v>
                </c:pt>
                <c:pt idx="239">
                  <c:v>0.0</c:v>
                </c:pt>
                <c:pt idx="240">
                  <c:v>0.0</c:v>
                </c:pt>
                <c:pt idx="241">
                  <c:v>0.0</c:v>
                </c:pt>
                <c:pt idx="242">
                  <c:v>0.0</c:v>
                </c:pt>
                <c:pt idx="243">
                  <c:v>0.0</c:v>
                </c:pt>
                <c:pt idx="244">
                  <c:v>0.0</c:v>
                </c:pt>
                <c:pt idx="245">
                  <c:v>0.0</c:v>
                </c:pt>
                <c:pt idx="246">
                  <c:v>0.0</c:v>
                </c:pt>
                <c:pt idx="247">
                  <c:v>0.0</c:v>
                </c:pt>
                <c:pt idx="248">
                  <c:v>0.0</c:v>
                </c:pt>
                <c:pt idx="249">
                  <c:v>0.0</c:v>
                </c:pt>
                <c:pt idx="250">
                  <c:v>0.0</c:v>
                </c:pt>
                <c:pt idx="251">
                  <c:v>0.0</c:v>
                </c:pt>
                <c:pt idx="252">
                  <c:v>0.0</c:v>
                </c:pt>
                <c:pt idx="253">
                  <c:v>0.0</c:v>
                </c:pt>
                <c:pt idx="254">
                  <c:v>0.0</c:v>
                </c:pt>
                <c:pt idx="255">
                  <c:v>0.0</c:v>
                </c:pt>
                <c:pt idx="256">
                  <c:v>0.0</c:v>
                </c:pt>
                <c:pt idx="257">
                  <c:v>0.0</c:v>
                </c:pt>
                <c:pt idx="258">
                  <c:v>0.001673</c:v>
                </c:pt>
                <c:pt idx="259">
                  <c:v>0.003344</c:v>
                </c:pt>
                <c:pt idx="260">
                  <c:v>0.00502</c:v>
                </c:pt>
                <c:pt idx="261">
                  <c:v>0.01001</c:v>
                </c:pt>
                <c:pt idx="262">
                  <c:v>0.01503</c:v>
                </c:pt>
                <c:pt idx="263">
                  <c:v>0.02007</c:v>
                </c:pt>
                <c:pt idx="264">
                  <c:v>0.02513</c:v>
                </c:pt>
                <c:pt idx="265">
                  <c:v>0.03022</c:v>
                </c:pt>
                <c:pt idx="266">
                  <c:v>0.03533</c:v>
                </c:pt>
                <c:pt idx="267">
                  <c:v>0.04046</c:v>
                </c:pt>
                <c:pt idx="268">
                  <c:v>0.0456</c:v>
                </c:pt>
                <c:pt idx="269">
                  <c:v>0.04735</c:v>
                </c:pt>
                <c:pt idx="270">
                  <c:v>0.04914</c:v>
                </c:pt>
                <c:pt idx="271">
                  <c:v>0.05438</c:v>
                </c:pt>
                <c:pt idx="272">
                  <c:v>0.05288</c:v>
                </c:pt>
                <c:pt idx="273">
                  <c:v>0.05136</c:v>
                </c:pt>
                <c:pt idx="274">
                  <c:v>0.04983</c:v>
                </c:pt>
                <c:pt idx="275">
                  <c:v>0.04791</c:v>
                </c:pt>
                <c:pt idx="276">
                  <c:v>0.04778</c:v>
                </c:pt>
                <c:pt idx="277">
                  <c:v>0.05159</c:v>
                </c:pt>
                <c:pt idx="278">
                  <c:v>0.0543</c:v>
                </c:pt>
                <c:pt idx="279">
                  <c:v>0.04915</c:v>
                </c:pt>
                <c:pt idx="280">
                  <c:v>0.0503</c:v>
                </c:pt>
                <c:pt idx="281">
                  <c:v>0.05166</c:v>
                </c:pt>
                <c:pt idx="282">
                  <c:v>0.04861</c:v>
                </c:pt>
                <c:pt idx="283">
                  <c:v>0.05007</c:v>
                </c:pt>
                <c:pt idx="284">
                  <c:v>0.05199</c:v>
                </c:pt>
              </c:numCache>
            </c:numRef>
          </c:yVal>
          <c:smooth val="0"/>
        </c:ser>
        <c:ser>
          <c:idx val="0"/>
          <c:order val="0"/>
          <c:tx>
            <c:v>0DCS</c:v>
          </c:tx>
          <c:spPr>
            <a:ln w="19050" cmpd="sng">
              <a:solidFill>
                <a:srgbClr val="FF0000"/>
              </a:solidFill>
            </a:ln>
          </c:spPr>
          <c:marker>
            <c:symbol val="none"/>
          </c:marker>
          <c:xVal>
            <c:numRef>
              <c:f>'0DCS-in1'!$C$5:$C$374</c:f>
              <c:numCache>
                <c:formatCode>0.00E+00</c:formatCode>
                <c:ptCount val="370"/>
                <c:pt idx="0">
                  <c:v>10.65</c:v>
                </c:pt>
                <c:pt idx="1">
                  <c:v>10.51</c:v>
                </c:pt>
                <c:pt idx="2">
                  <c:v>10.37</c:v>
                </c:pt>
                <c:pt idx="3">
                  <c:v>10.24</c:v>
                </c:pt>
                <c:pt idx="4">
                  <c:v>10.1</c:v>
                </c:pt>
                <c:pt idx="5">
                  <c:v>9.965000000000006</c:v>
                </c:pt>
                <c:pt idx="6">
                  <c:v>9.833</c:v>
                </c:pt>
                <c:pt idx="7">
                  <c:v>9.704000000000001</c:v>
                </c:pt>
                <c:pt idx="8">
                  <c:v>9.575</c:v>
                </c:pt>
                <c:pt idx="9">
                  <c:v>9.449</c:v>
                </c:pt>
                <c:pt idx="10">
                  <c:v>9.324000000000001</c:v>
                </c:pt>
                <c:pt idx="11">
                  <c:v>9.201000000000001</c:v>
                </c:pt>
                <c:pt idx="12">
                  <c:v>9.079</c:v>
                </c:pt>
                <c:pt idx="13">
                  <c:v>8.952</c:v>
                </c:pt>
                <c:pt idx="14">
                  <c:v>8.818000000000001</c:v>
                </c:pt>
                <c:pt idx="15">
                  <c:v>8.687000000000001</c:v>
                </c:pt>
                <c:pt idx="16">
                  <c:v>8.549</c:v>
                </c:pt>
                <c:pt idx="17">
                  <c:v>8.413</c:v>
                </c:pt>
                <c:pt idx="18">
                  <c:v>8.269</c:v>
                </c:pt>
                <c:pt idx="19">
                  <c:v>8.120000000000001</c:v>
                </c:pt>
                <c:pt idx="20">
                  <c:v>7.963999999999999</c:v>
                </c:pt>
                <c:pt idx="21">
                  <c:v>7.801</c:v>
                </c:pt>
                <c:pt idx="22">
                  <c:v>7.632</c:v>
                </c:pt>
                <c:pt idx="23">
                  <c:v>7.459</c:v>
                </c:pt>
                <c:pt idx="24">
                  <c:v>7.293</c:v>
                </c:pt>
                <c:pt idx="25">
                  <c:v>7.128999999999976</c:v>
                </c:pt>
                <c:pt idx="26">
                  <c:v>6.963999999999999</c:v>
                </c:pt>
                <c:pt idx="27">
                  <c:v>6.802999999999995</c:v>
                </c:pt>
                <c:pt idx="28">
                  <c:v>6.644999999999975</c:v>
                </c:pt>
                <c:pt idx="29">
                  <c:v>6.492</c:v>
                </c:pt>
                <c:pt idx="30">
                  <c:v>6.343999999999998</c:v>
                </c:pt>
                <c:pt idx="31">
                  <c:v>6.2</c:v>
                </c:pt>
                <c:pt idx="32">
                  <c:v>6.061999999999998</c:v>
                </c:pt>
                <c:pt idx="33">
                  <c:v>5.927</c:v>
                </c:pt>
                <c:pt idx="34">
                  <c:v>5.796</c:v>
                </c:pt>
                <c:pt idx="35">
                  <c:v>5.66499999999994</c:v>
                </c:pt>
                <c:pt idx="36">
                  <c:v>5.536</c:v>
                </c:pt>
                <c:pt idx="37">
                  <c:v>5.406</c:v>
                </c:pt>
                <c:pt idx="38">
                  <c:v>5.277</c:v>
                </c:pt>
                <c:pt idx="39">
                  <c:v>5.141999999999999</c:v>
                </c:pt>
                <c:pt idx="40">
                  <c:v>5.007</c:v>
                </c:pt>
                <c:pt idx="41">
                  <c:v>4.866999999999995</c:v>
                </c:pt>
                <c:pt idx="42">
                  <c:v>4.726999999999998</c:v>
                </c:pt>
                <c:pt idx="43">
                  <c:v>4.586</c:v>
                </c:pt>
                <c:pt idx="44">
                  <c:v>4.446</c:v>
                </c:pt>
                <c:pt idx="45">
                  <c:v>4.302999999999995</c:v>
                </c:pt>
                <c:pt idx="46">
                  <c:v>4.160999999999976</c:v>
                </c:pt>
                <c:pt idx="47">
                  <c:v>4.017999999999986</c:v>
                </c:pt>
                <c:pt idx="48">
                  <c:v>3.875999999999999</c:v>
                </c:pt>
                <c:pt idx="49">
                  <c:v>3.733</c:v>
                </c:pt>
                <c:pt idx="50">
                  <c:v>3.591</c:v>
                </c:pt>
                <c:pt idx="51">
                  <c:v>3.449</c:v>
                </c:pt>
                <c:pt idx="52">
                  <c:v>3.309</c:v>
                </c:pt>
                <c:pt idx="53">
                  <c:v>3.168</c:v>
                </c:pt>
                <c:pt idx="54">
                  <c:v>3.027</c:v>
                </c:pt>
                <c:pt idx="55">
                  <c:v>2.885</c:v>
                </c:pt>
                <c:pt idx="56">
                  <c:v>2.745</c:v>
                </c:pt>
                <c:pt idx="57">
                  <c:v>2.604</c:v>
                </c:pt>
                <c:pt idx="58">
                  <c:v>2.464</c:v>
                </c:pt>
                <c:pt idx="59">
                  <c:v>2.325</c:v>
                </c:pt>
                <c:pt idx="60">
                  <c:v>2.188</c:v>
                </c:pt>
                <c:pt idx="61">
                  <c:v>2.052999999999999</c:v>
                </c:pt>
                <c:pt idx="62">
                  <c:v>1.92</c:v>
                </c:pt>
                <c:pt idx="63">
                  <c:v>1.791</c:v>
                </c:pt>
                <c:pt idx="64">
                  <c:v>1.664</c:v>
                </c:pt>
                <c:pt idx="65">
                  <c:v>1.542</c:v>
                </c:pt>
                <c:pt idx="66">
                  <c:v>1.425</c:v>
                </c:pt>
                <c:pt idx="67">
                  <c:v>1.313</c:v>
                </c:pt>
                <c:pt idx="68">
                  <c:v>1.206</c:v>
                </c:pt>
                <c:pt idx="69">
                  <c:v>1.106</c:v>
                </c:pt>
                <c:pt idx="70">
                  <c:v>1.013</c:v>
                </c:pt>
                <c:pt idx="71">
                  <c:v>0.9265</c:v>
                </c:pt>
                <c:pt idx="72">
                  <c:v>0.8468</c:v>
                </c:pt>
                <c:pt idx="73">
                  <c:v>0.774</c:v>
                </c:pt>
                <c:pt idx="74">
                  <c:v>0.7078</c:v>
                </c:pt>
                <c:pt idx="75">
                  <c:v>0.6481</c:v>
                </c:pt>
                <c:pt idx="76">
                  <c:v>0.5944</c:v>
                </c:pt>
                <c:pt idx="77">
                  <c:v>0.5461</c:v>
                </c:pt>
                <c:pt idx="78">
                  <c:v>0.5029</c:v>
                </c:pt>
                <c:pt idx="79">
                  <c:v>0.4641</c:v>
                </c:pt>
                <c:pt idx="80">
                  <c:v>0.4294</c:v>
                </c:pt>
                <c:pt idx="81">
                  <c:v>0.3983</c:v>
                </c:pt>
                <c:pt idx="82">
                  <c:v>0.3705</c:v>
                </c:pt>
                <c:pt idx="83">
                  <c:v>0.3455</c:v>
                </c:pt>
                <c:pt idx="84">
                  <c:v>0.3231</c:v>
                </c:pt>
                <c:pt idx="85">
                  <c:v>0.3029</c:v>
                </c:pt>
                <c:pt idx="86">
                  <c:v>0.2846</c:v>
                </c:pt>
                <c:pt idx="87">
                  <c:v>0.2681</c:v>
                </c:pt>
                <c:pt idx="88">
                  <c:v>0.2531</c:v>
                </c:pt>
                <c:pt idx="89">
                  <c:v>0.2394</c:v>
                </c:pt>
                <c:pt idx="90">
                  <c:v>0.2268</c:v>
                </c:pt>
                <c:pt idx="91">
                  <c:v>0.2153</c:v>
                </c:pt>
                <c:pt idx="92">
                  <c:v>0.2048</c:v>
                </c:pt>
                <c:pt idx="93">
                  <c:v>0.1951</c:v>
                </c:pt>
                <c:pt idx="94">
                  <c:v>0.186</c:v>
                </c:pt>
                <c:pt idx="95">
                  <c:v>0.1777</c:v>
                </c:pt>
                <c:pt idx="96">
                  <c:v>0.1699</c:v>
                </c:pt>
                <c:pt idx="97">
                  <c:v>0.1626</c:v>
                </c:pt>
                <c:pt idx="98">
                  <c:v>0.1559</c:v>
                </c:pt>
                <c:pt idx="99">
                  <c:v>0.1495</c:v>
                </c:pt>
                <c:pt idx="100">
                  <c:v>0.1435</c:v>
                </c:pt>
                <c:pt idx="101">
                  <c:v>0.1379</c:v>
                </c:pt>
                <c:pt idx="102">
                  <c:v>0.1326</c:v>
                </c:pt>
                <c:pt idx="103">
                  <c:v>0.1276</c:v>
                </c:pt>
                <c:pt idx="104">
                  <c:v>0.1229</c:v>
                </c:pt>
                <c:pt idx="105">
                  <c:v>0.1183</c:v>
                </c:pt>
                <c:pt idx="106">
                  <c:v>0.1141</c:v>
                </c:pt>
                <c:pt idx="107">
                  <c:v>0.1101</c:v>
                </c:pt>
                <c:pt idx="108">
                  <c:v>0.1063</c:v>
                </c:pt>
                <c:pt idx="109">
                  <c:v>0.1027</c:v>
                </c:pt>
                <c:pt idx="110">
                  <c:v>0.09935</c:v>
                </c:pt>
                <c:pt idx="111">
                  <c:v>0.09619</c:v>
                </c:pt>
                <c:pt idx="112">
                  <c:v>0.09322</c:v>
                </c:pt>
                <c:pt idx="113">
                  <c:v>0.09042</c:v>
                </c:pt>
                <c:pt idx="114">
                  <c:v>0.08776</c:v>
                </c:pt>
                <c:pt idx="115">
                  <c:v>0.08525</c:v>
                </c:pt>
                <c:pt idx="116">
                  <c:v>0.08291</c:v>
                </c:pt>
                <c:pt idx="117">
                  <c:v>0.08069</c:v>
                </c:pt>
                <c:pt idx="118">
                  <c:v>0.07859</c:v>
                </c:pt>
                <c:pt idx="119">
                  <c:v>0.07658</c:v>
                </c:pt>
                <c:pt idx="120">
                  <c:v>0.07463</c:v>
                </c:pt>
                <c:pt idx="121">
                  <c:v>0.07277</c:v>
                </c:pt>
                <c:pt idx="122">
                  <c:v>0.071</c:v>
                </c:pt>
                <c:pt idx="123">
                  <c:v>0.06931</c:v>
                </c:pt>
                <c:pt idx="124">
                  <c:v>0.06769</c:v>
                </c:pt>
                <c:pt idx="125">
                  <c:v>0.06614</c:v>
                </c:pt>
                <c:pt idx="126">
                  <c:v>0.06466</c:v>
                </c:pt>
                <c:pt idx="127">
                  <c:v>0.06321</c:v>
                </c:pt>
                <c:pt idx="128">
                  <c:v>0.06183</c:v>
                </c:pt>
                <c:pt idx="129">
                  <c:v>0.06046</c:v>
                </c:pt>
                <c:pt idx="130">
                  <c:v>0.05915</c:v>
                </c:pt>
                <c:pt idx="131">
                  <c:v>0.05793</c:v>
                </c:pt>
                <c:pt idx="132">
                  <c:v>0.05675</c:v>
                </c:pt>
                <c:pt idx="133">
                  <c:v>0.05561</c:v>
                </c:pt>
                <c:pt idx="134">
                  <c:v>0.0545</c:v>
                </c:pt>
                <c:pt idx="135">
                  <c:v>0.05343</c:v>
                </c:pt>
                <c:pt idx="136">
                  <c:v>0.05239</c:v>
                </c:pt>
                <c:pt idx="137">
                  <c:v>0.0514</c:v>
                </c:pt>
                <c:pt idx="138">
                  <c:v>0.05043</c:v>
                </c:pt>
                <c:pt idx="139">
                  <c:v>0.0495</c:v>
                </c:pt>
                <c:pt idx="140">
                  <c:v>0.04862</c:v>
                </c:pt>
                <c:pt idx="141">
                  <c:v>0.04777</c:v>
                </c:pt>
                <c:pt idx="142">
                  <c:v>0.04695</c:v>
                </c:pt>
                <c:pt idx="143">
                  <c:v>0.04615</c:v>
                </c:pt>
                <c:pt idx="144">
                  <c:v>0.04537</c:v>
                </c:pt>
                <c:pt idx="145">
                  <c:v>0.04464</c:v>
                </c:pt>
                <c:pt idx="146">
                  <c:v>0.04392</c:v>
                </c:pt>
                <c:pt idx="147">
                  <c:v>0.04323</c:v>
                </c:pt>
                <c:pt idx="148">
                  <c:v>0.04255</c:v>
                </c:pt>
                <c:pt idx="149">
                  <c:v>0.04191</c:v>
                </c:pt>
                <c:pt idx="150">
                  <c:v>0.04129</c:v>
                </c:pt>
                <c:pt idx="151">
                  <c:v>0.04068</c:v>
                </c:pt>
                <c:pt idx="152">
                  <c:v>0.04009</c:v>
                </c:pt>
                <c:pt idx="153">
                  <c:v>0.03951</c:v>
                </c:pt>
                <c:pt idx="154">
                  <c:v>0.03895</c:v>
                </c:pt>
                <c:pt idx="155">
                  <c:v>0.03841</c:v>
                </c:pt>
                <c:pt idx="156">
                  <c:v>0.03788</c:v>
                </c:pt>
                <c:pt idx="157">
                  <c:v>0.03735</c:v>
                </c:pt>
                <c:pt idx="158">
                  <c:v>0.03685</c:v>
                </c:pt>
                <c:pt idx="159">
                  <c:v>0.03635</c:v>
                </c:pt>
                <c:pt idx="160">
                  <c:v>0.03587</c:v>
                </c:pt>
                <c:pt idx="161">
                  <c:v>0.0354</c:v>
                </c:pt>
                <c:pt idx="162">
                  <c:v>0.03494</c:v>
                </c:pt>
                <c:pt idx="163">
                  <c:v>0.03449</c:v>
                </c:pt>
                <c:pt idx="164">
                  <c:v>0.03405</c:v>
                </c:pt>
                <c:pt idx="165">
                  <c:v>0.03362</c:v>
                </c:pt>
                <c:pt idx="166">
                  <c:v>0.03319</c:v>
                </c:pt>
                <c:pt idx="167">
                  <c:v>0.03278</c:v>
                </c:pt>
                <c:pt idx="168">
                  <c:v>0.03237</c:v>
                </c:pt>
                <c:pt idx="169">
                  <c:v>0.03197</c:v>
                </c:pt>
                <c:pt idx="170">
                  <c:v>0.03157</c:v>
                </c:pt>
                <c:pt idx="171">
                  <c:v>0.03118</c:v>
                </c:pt>
                <c:pt idx="172">
                  <c:v>0.03079</c:v>
                </c:pt>
                <c:pt idx="173">
                  <c:v>0.0304</c:v>
                </c:pt>
                <c:pt idx="174">
                  <c:v>0.03002</c:v>
                </c:pt>
                <c:pt idx="175">
                  <c:v>0.02964</c:v>
                </c:pt>
                <c:pt idx="176">
                  <c:v>0.02926</c:v>
                </c:pt>
                <c:pt idx="177">
                  <c:v>0.02888</c:v>
                </c:pt>
                <c:pt idx="178">
                  <c:v>0.0285</c:v>
                </c:pt>
                <c:pt idx="179">
                  <c:v>0.02814</c:v>
                </c:pt>
                <c:pt idx="180">
                  <c:v>0.02777</c:v>
                </c:pt>
                <c:pt idx="181">
                  <c:v>0.02742</c:v>
                </c:pt>
                <c:pt idx="182">
                  <c:v>0.02706</c:v>
                </c:pt>
                <c:pt idx="183">
                  <c:v>0.02671</c:v>
                </c:pt>
                <c:pt idx="184">
                  <c:v>0.02637</c:v>
                </c:pt>
                <c:pt idx="185">
                  <c:v>0.02603</c:v>
                </c:pt>
                <c:pt idx="186">
                  <c:v>0.0257</c:v>
                </c:pt>
                <c:pt idx="187">
                  <c:v>0.02537</c:v>
                </c:pt>
                <c:pt idx="188">
                  <c:v>0.02505</c:v>
                </c:pt>
                <c:pt idx="189">
                  <c:v>0.02473</c:v>
                </c:pt>
                <c:pt idx="190">
                  <c:v>0.0244</c:v>
                </c:pt>
                <c:pt idx="191">
                  <c:v>0.02408</c:v>
                </c:pt>
                <c:pt idx="192">
                  <c:v>0.02376</c:v>
                </c:pt>
                <c:pt idx="193">
                  <c:v>0.02345</c:v>
                </c:pt>
                <c:pt idx="194">
                  <c:v>0.02314</c:v>
                </c:pt>
                <c:pt idx="195">
                  <c:v>0.02283</c:v>
                </c:pt>
                <c:pt idx="196">
                  <c:v>0.02252</c:v>
                </c:pt>
                <c:pt idx="197">
                  <c:v>0.02222</c:v>
                </c:pt>
                <c:pt idx="198">
                  <c:v>0.02192</c:v>
                </c:pt>
                <c:pt idx="199">
                  <c:v>0.02162</c:v>
                </c:pt>
                <c:pt idx="200">
                  <c:v>0.02134</c:v>
                </c:pt>
                <c:pt idx="201">
                  <c:v>0.02106</c:v>
                </c:pt>
                <c:pt idx="202">
                  <c:v>0.02078</c:v>
                </c:pt>
                <c:pt idx="203">
                  <c:v>0.02051</c:v>
                </c:pt>
                <c:pt idx="204">
                  <c:v>0.02025</c:v>
                </c:pt>
                <c:pt idx="205">
                  <c:v>0.02</c:v>
                </c:pt>
                <c:pt idx="206">
                  <c:v>0.01974</c:v>
                </c:pt>
                <c:pt idx="207">
                  <c:v>0.0195</c:v>
                </c:pt>
                <c:pt idx="208">
                  <c:v>0.01925</c:v>
                </c:pt>
                <c:pt idx="209">
                  <c:v>0.01902</c:v>
                </c:pt>
                <c:pt idx="210">
                  <c:v>0.01879</c:v>
                </c:pt>
                <c:pt idx="211">
                  <c:v>0.01856</c:v>
                </c:pt>
                <c:pt idx="212">
                  <c:v>0.01834</c:v>
                </c:pt>
                <c:pt idx="213">
                  <c:v>0.01812</c:v>
                </c:pt>
                <c:pt idx="214">
                  <c:v>0.01791</c:v>
                </c:pt>
                <c:pt idx="215">
                  <c:v>0.0177</c:v>
                </c:pt>
                <c:pt idx="216">
                  <c:v>0.01749</c:v>
                </c:pt>
                <c:pt idx="217">
                  <c:v>0.01729</c:v>
                </c:pt>
                <c:pt idx="218">
                  <c:v>0.01709</c:v>
                </c:pt>
                <c:pt idx="219">
                  <c:v>0.0169</c:v>
                </c:pt>
                <c:pt idx="220">
                  <c:v>0.01671</c:v>
                </c:pt>
                <c:pt idx="221">
                  <c:v>0.01652</c:v>
                </c:pt>
                <c:pt idx="222">
                  <c:v>0.01634</c:v>
                </c:pt>
                <c:pt idx="223">
                  <c:v>0.01615</c:v>
                </c:pt>
                <c:pt idx="224">
                  <c:v>0.01597</c:v>
                </c:pt>
                <c:pt idx="225">
                  <c:v>0.0158</c:v>
                </c:pt>
                <c:pt idx="226">
                  <c:v>0.01563</c:v>
                </c:pt>
                <c:pt idx="227">
                  <c:v>0.01546</c:v>
                </c:pt>
                <c:pt idx="228">
                  <c:v>0.01529</c:v>
                </c:pt>
                <c:pt idx="229">
                  <c:v>0.01513</c:v>
                </c:pt>
                <c:pt idx="230">
                  <c:v>0.01498</c:v>
                </c:pt>
                <c:pt idx="231">
                  <c:v>0.01483</c:v>
                </c:pt>
                <c:pt idx="232">
                  <c:v>0.01468</c:v>
                </c:pt>
                <c:pt idx="233">
                  <c:v>0.01454</c:v>
                </c:pt>
                <c:pt idx="234">
                  <c:v>0.0144</c:v>
                </c:pt>
                <c:pt idx="235">
                  <c:v>0.01427</c:v>
                </c:pt>
                <c:pt idx="236">
                  <c:v>0.01414</c:v>
                </c:pt>
                <c:pt idx="237">
                  <c:v>0.01402</c:v>
                </c:pt>
                <c:pt idx="238">
                  <c:v>0.0139</c:v>
                </c:pt>
                <c:pt idx="239">
                  <c:v>0.01379</c:v>
                </c:pt>
                <c:pt idx="240">
                  <c:v>0.01368</c:v>
                </c:pt>
                <c:pt idx="241">
                  <c:v>0.01357</c:v>
                </c:pt>
                <c:pt idx="242">
                  <c:v>0.01347</c:v>
                </c:pt>
                <c:pt idx="243">
                  <c:v>0.01338</c:v>
                </c:pt>
                <c:pt idx="244">
                  <c:v>0.01328</c:v>
                </c:pt>
                <c:pt idx="245">
                  <c:v>0.0132</c:v>
                </c:pt>
                <c:pt idx="246">
                  <c:v>0.01311</c:v>
                </c:pt>
                <c:pt idx="247">
                  <c:v>0.01303</c:v>
                </c:pt>
                <c:pt idx="248">
                  <c:v>0.01294</c:v>
                </c:pt>
                <c:pt idx="249">
                  <c:v>0.01286</c:v>
                </c:pt>
                <c:pt idx="250">
                  <c:v>0.01278</c:v>
                </c:pt>
                <c:pt idx="251">
                  <c:v>0.0127</c:v>
                </c:pt>
                <c:pt idx="252">
                  <c:v>0.01262</c:v>
                </c:pt>
                <c:pt idx="253">
                  <c:v>0.01254</c:v>
                </c:pt>
                <c:pt idx="254">
                  <c:v>0.01246</c:v>
                </c:pt>
                <c:pt idx="255">
                  <c:v>0.01239</c:v>
                </c:pt>
                <c:pt idx="256">
                  <c:v>0.01231</c:v>
                </c:pt>
                <c:pt idx="257">
                  <c:v>0.01223</c:v>
                </c:pt>
                <c:pt idx="258">
                  <c:v>0.01216</c:v>
                </c:pt>
                <c:pt idx="259">
                  <c:v>0.01208</c:v>
                </c:pt>
                <c:pt idx="260">
                  <c:v>0.01201</c:v>
                </c:pt>
                <c:pt idx="261">
                  <c:v>0.01194</c:v>
                </c:pt>
                <c:pt idx="262">
                  <c:v>0.01187</c:v>
                </c:pt>
                <c:pt idx="263">
                  <c:v>0.0118</c:v>
                </c:pt>
                <c:pt idx="264">
                  <c:v>0.01173</c:v>
                </c:pt>
                <c:pt idx="265">
                  <c:v>0.01166</c:v>
                </c:pt>
                <c:pt idx="266">
                  <c:v>0.01159</c:v>
                </c:pt>
                <c:pt idx="267">
                  <c:v>0.01152</c:v>
                </c:pt>
                <c:pt idx="268">
                  <c:v>0.01145</c:v>
                </c:pt>
                <c:pt idx="269">
                  <c:v>0.01139</c:v>
                </c:pt>
                <c:pt idx="270">
                  <c:v>0.01132</c:v>
                </c:pt>
                <c:pt idx="271">
                  <c:v>0.01125</c:v>
                </c:pt>
                <c:pt idx="272">
                  <c:v>0.01119</c:v>
                </c:pt>
                <c:pt idx="273">
                  <c:v>0.01113</c:v>
                </c:pt>
                <c:pt idx="274">
                  <c:v>0.01106</c:v>
                </c:pt>
                <c:pt idx="275">
                  <c:v>0.011</c:v>
                </c:pt>
                <c:pt idx="276">
                  <c:v>0.01094</c:v>
                </c:pt>
                <c:pt idx="277">
                  <c:v>0.01088</c:v>
                </c:pt>
                <c:pt idx="278">
                  <c:v>0.01081</c:v>
                </c:pt>
                <c:pt idx="279">
                  <c:v>0.01075</c:v>
                </c:pt>
                <c:pt idx="280">
                  <c:v>0.01069</c:v>
                </c:pt>
                <c:pt idx="281">
                  <c:v>0.01063</c:v>
                </c:pt>
                <c:pt idx="282">
                  <c:v>0.01058</c:v>
                </c:pt>
                <c:pt idx="283">
                  <c:v>0.01052</c:v>
                </c:pt>
                <c:pt idx="284">
                  <c:v>0.01046</c:v>
                </c:pt>
                <c:pt idx="285">
                  <c:v>0.0104</c:v>
                </c:pt>
                <c:pt idx="286">
                  <c:v>0.01034</c:v>
                </c:pt>
                <c:pt idx="287">
                  <c:v>0.01029</c:v>
                </c:pt>
                <c:pt idx="288">
                  <c:v>0.01023</c:v>
                </c:pt>
                <c:pt idx="289">
                  <c:v>0.01018</c:v>
                </c:pt>
                <c:pt idx="290">
                  <c:v>0.01012</c:v>
                </c:pt>
                <c:pt idx="291">
                  <c:v>0.01007</c:v>
                </c:pt>
                <c:pt idx="292">
                  <c:v>0.01001</c:v>
                </c:pt>
                <c:pt idx="293">
                  <c:v>0.00996</c:v>
                </c:pt>
                <c:pt idx="294">
                  <c:v>0.009908</c:v>
                </c:pt>
                <c:pt idx="295">
                  <c:v>0.009855</c:v>
                </c:pt>
                <c:pt idx="296">
                  <c:v>0.009803</c:v>
                </c:pt>
                <c:pt idx="297">
                  <c:v>0.009751</c:v>
                </c:pt>
                <c:pt idx="298">
                  <c:v>0.009699</c:v>
                </c:pt>
                <c:pt idx="299">
                  <c:v>0.009647</c:v>
                </c:pt>
                <c:pt idx="300">
                  <c:v>0.009595</c:v>
                </c:pt>
                <c:pt idx="301">
                  <c:v>0.009544</c:v>
                </c:pt>
                <c:pt idx="302">
                  <c:v>0.009494</c:v>
                </c:pt>
                <c:pt idx="303">
                  <c:v>0.009443</c:v>
                </c:pt>
                <c:pt idx="304">
                  <c:v>0.009392</c:v>
                </c:pt>
                <c:pt idx="305">
                  <c:v>0.009342</c:v>
                </c:pt>
                <c:pt idx="306">
                  <c:v>0.00929</c:v>
                </c:pt>
                <c:pt idx="307">
                  <c:v>0.009238</c:v>
                </c:pt>
                <c:pt idx="308">
                  <c:v>0.009186</c:v>
                </c:pt>
                <c:pt idx="309">
                  <c:v>0.009134</c:v>
                </c:pt>
                <c:pt idx="310">
                  <c:v>0.009081</c:v>
                </c:pt>
                <c:pt idx="311">
                  <c:v>0.009028</c:v>
                </c:pt>
                <c:pt idx="312">
                  <c:v>0.008975</c:v>
                </c:pt>
                <c:pt idx="313">
                  <c:v>0.008921</c:v>
                </c:pt>
                <c:pt idx="314">
                  <c:v>0.008866</c:v>
                </c:pt>
                <c:pt idx="315">
                  <c:v>0.008812</c:v>
                </c:pt>
                <c:pt idx="316">
                  <c:v>0.008758</c:v>
                </c:pt>
                <c:pt idx="317">
                  <c:v>0.008704</c:v>
                </c:pt>
                <c:pt idx="318">
                  <c:v>0.00865</c:v>
                </c:pt>
                <c:pt idx="319">
                  <c:v>0.008598</c:v>
                </c:pt>
                <c:pt idx="320">
                  <c:v>0.008545</c:v>
                </c:pt>
                <c:pt idx="321">
                  <c:v>0.008493</c:v>
                </c:pt>
                <c:pt idx="322">
                  <c:v>0.008442</c:v>
                </c:pt>
                <c:pt idx="323">
                  <c:v>0.008391</c:v>
                </c:pt>
                <c:pt idx="324">
                  <c:v>0.008341</c:v>
                </c:pt>
                <c:pt idx="325">
                  <c:v>0.008291</c:v>
                </c:pt>
                <c:pt idx="326">
                  <c:v>0.008242</c:v>
                </c:pt>
                <c:pt idx="327">
                  <c:v>0.008193</c:v>
                </c:pt>
                <c:pt idx="328">
                  <c:v>0.008145</c:v>
                </c:pt>
                <c:pt idx="329">
                  <c:v>0.008097</c:v>
                </c:pt>
                <c:pt idx="330">
                  <c:v>0.00805</c:v>
                </c:pt>
                <c:pt idx="331">
                  <c:v>0.008003</c:v>
                </c:pt>
                <c:pt idx="332">
                  <c:v>0.007956</c:v>
                </c:pt>
                <c:pt idx="333">
                  <c:v>0.00791</c:v>
                </c:pt>
                <c:pt idx="334">
                  <c:v>0.007864</c:v>
                </c:pt>
                <c:pt idx="335">
                  <c:v>0.007818</c:v>
                </c:pt>
                <c:pt idx="336">
                  <c:v>0.007773</c:v>
                </c:pt>
                <c:pt idx="337">
                  <c:v>0.007729</c:v>
                </c:pt>
                <c:pt idx="338">
                  <c:v>0.007685</c:v>
                </c:pt>
                <c:pt idx="339">
                  <c:v>0.007641</c:v>
                </c:pt>
                <c:pt idx="340">
                  <c:v>0.007597</c:v>
                </c:pt>
                <c:pt idx="341">
                  <c:v>0.007554</c:v>
                </c:pt>
                <c:pt idx="342">
                  <c:v>0.007512</c:v>
                </c:pt>
                <c:pt idx="343">
                  <c:v>0.007469</c:v>
                </c:pt>
                <c:pt idx="344">
                  <c:v>0.007427</c:v>
                </c:pt>
                <c:pt idx="345">
                  <c:v>0.007386</c:v>
                </c:pt>
                <c:pt idx="346">
                  <c:v>0.007345</c:v>
                </c:pt>
                <c:pt idx="347">
                  <c:v>0.007305</c:v>
                </c:pt>
                <c:pt idx="348">
                  <c:v>0.007265</c:v>
                </c:pt>
                <c:pt idx="349">
                  <c:v>0.007225</c:v>
                </c:pt>
                <c:pt idx="350">
                  <c:v>0.007186</c:v>
                </c:pt>
                <c:pt idx="351">
                  <c:v>0.007147</c:v>
                </c:pt>
                <c:pt idx="352">
                  <c:v>0.007108</c:v>
                </c:pt>
                <c:pt idx="353">
                  <c:v>0.00707</c:v>
                </c:pt>
                <c:pt idx="354">
                  <c:v>0.007032</c:v>
                </c:pt>
                <c:pt idx="355">
                  <c:v>0.006994</c:v>
                </c:pt>
                <c:pt idx="356">
                  <c:v>0.006956</c:v>
                </c:pt>
                <c:pt idx="357">
                  <c:v>0.006919</c:v>
                </c:pt>
                <c:pt idx="358">
                  <c:v>0.006882</c:v>
                </c:pt>
                <c:pt idx="359">
                  <c:v>0.006845</c:v>
                </c:pt>
                <c:pt idx="360">
                  <c:v>0.006809</c:v>
                </c:pt>
                <c:pt idx="361">
                  <c:v>0.006772</c:v>
                </c:pt>
                <c:pt idx="362">
                  <c:v>0.006736</c:v>
                </c:pt>
                <c:pt idx="363">
                  <c:v>0.006699</c:v>
                </c:pt>
                <c:pt idx="364">
                  <c:v>0.006663</c:v>
                </c:pt>
                <c:pt idx="365">
                  <c:v>0.006628</c:v>
                </c:pt>
                <c:pt idx="366">
                  <c:v>0.006593</c:v>
                </c:pt>
                <c:pt idx="367">
                  <c:v>0.006557</c:v>
                </c:pt>
                <c:pt idx="368">
                  <c:v>0.006522</c:v>
                </c:pt>
                <c:pt idx="369">
                  <c:v>0.006488</c:v>
                </c:pt>
              </c:numCache>
            </c:numRef>
          </c:xVal>
          <c:yVal>
            <c:numRef>
              <c:f>'0DCS-in1'!$H$5:$H$374</c:f>
              <c:numCache>
                <c:formatCode>0.00E+00</c:formatCode>
                <c:ptCount val="370"/>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0.0</c:v>
                </c:pt>
                <c:pt idx="45">
                  <c:v>0.0</c:v>
                </c:pt>
                <c:pt idx="46">
                  <c:v>0.0</c:v>
                </c:pt>
                <c:pt idx="47">
                  <c:v>0.0</c:v>
                </c:pt>
                <c:pt idx="48">
                  <c:v>0.0</c:v>
                </c:pt>
                <c:pt idx="49">
                  <c:v>0.0</c:v>
                </c:pt>
                <c:pt idx="50">
                  <c:v>0.0</c:v>
                </c:pt>
                <c:pt idx="51">
                  <c:v>0.0</c:v>
                </c:pt>
                <c:pt idx="52">
                  <c:v>0.0</c:v>
                </c:pt>
                <c:pt idx="53">
                  <c:v>0.0</c:v>
                </c:pt>
                <c:pt idx="54">
                  <c:v>0.0</c:v>
                </c:pt>
                <c:pt idx="55">
                  <c:v>0.0</c:v>
                </c:pt>
                <c:pt idx="56">
                  <c:v>0.0</c:v>
                </c:pt>
                <c:pt idx="57">
                  <c:v>0.0</c:v>
                </c:pt>
                <c:pt idx="58">
                  <c:v>0.0</c:v>
                </c:pt>
                <c:pt idx="59">
                  <c:v>0.0</c:v>
                </c:pt>
                <c:pt idx="60">
                  <c:v>0.0</c:v>
                </c:pt>
                <c:pt idx="61">
                  <c:v>0.0</c:v>
                </c:pt>
                <c:pt idx="62">
                  <c:v>0.0</c:v>
                </c:pt>
                <c:pt idx="63">
                  <c:v>5.275E-5</c:v>
                </c:pt>
                <c:pt idx="64">
                  <c:v>0.0002068</c:v>
                </c:pt>
                <c:pt idx="65">
                  <c:v>0.0003579</c:v>
                </c:pt>
                <c:pt idx="66">
                  <c:v>0.0005068</c:v>
                </c:pt>
                <c:pt idx="67">
                  <c:v>0.0006548</c:v>
                </c:pt>
                <c:pt idx="68">
                  <c:v>0.0008029</c:v>
                </c:pt>
                <c:pt idx="69">
                  <c:v>0.0009519</c:v>
                </c:pt>
                <c:pt idx="70">
                  <c:v>0.001204</c:v>
                </c:pt>
                <c:pt idx="71">
                  <c:v>0.001461</c:v>
                </c:pt>
                <c:pt idx="72">
                  <c:v>0.001776</c:v>
                </c:pt>
                <c:pt idx="73">
                  <c:v>0.002152</c:v>
                </c:pt>
                <c:pt idx="74">
                  <c:v>0.002487</c:v>
                </c:pt>
                <c:pt idx="75">
                  <c:v>0.002619</c:v>
                </c:pt>
                <c:pt idx="76">
                  <c:v>0.002763</c:v>
                </c:pt>
                <c:pt idx="77">
                  <c:v>0.002921</c:v>
                </c:pt>
                <c:pt idx="78">
                  <c:v>0.003091</c:v>
                </c:pt>
                <c:pt idx="79">
                  <c:v>0.003274</c:v>
                </c:pt>
                <c:pt idx="80">
                  <c:v>0.003469</c:v>
                </c:pt>
                <c:pt idx="81">
                  <c:v>0.003431</c:v>
                </c:pt>
                <c:pt idx="82">
                  <c:v>0.003396</c:v>
                </c:pt>
                <c:pt idx="83">
                  <c:v>0.003235</c:v>
                </c:pt>
                <c:pt idx="84">
                  <c:v>0.002939</c:v>
                </c:pt>
                <c:pt idx="85">
                  <c:v>0.002551</c:v>
                </c:pt>
                <c:pt idx="86">
                  <c:v>0.002266</c:v>
                </c:pt>
                <c:pt idx="87">
                  <c:v>0.00197</c:v>
                </c:pt>
                <c:pt idx="88">
                  <c:v>0.001664</c:v>
                </c:pt>
                <c:pt idx="89">
                  <c:v>0.001345</c:v>
                </c:pt>
                <c:pt idx="90">
                  <c:v>0.001014</c:v>
                </c:pt>
                <c:pt idx="91">
                  <c:v>0.0006705</c:v>
                </c:pt>
                <c:pt idx="92">
                  <c:v>0.0004565</c:v>
                </c:pt>
                <c:pt idx="93">
                  <c:v>0.000234</c:v>
                </c:pt>
                <c:pt idx="94">
                  <c:v>8.018E-5</c:v>
                </c:pt>
                <c:pt idx="95">
                  <c:v>0.0</c:v>
                </c:pt>
                <c:pt idx="96">
                  <c:v>0.0001109</c:v>
                </c:pt>
                <c:pt idx="97">
                  <c:v>0.000451</c:v>
                </c:pt>
                <c:pt idx="98">
                  <c:v>0.0007968</c:v>
                </c:pt>
                <c:pt idx="99">
                  <c:v>0.00127</c:v>
                </c:pt>
                <c:pt idx="100">
                  <c:v>0.001863</c:v>
                </c:pt>
                <c:pt idx="101">
                  <c:v>0.002711</c:v>
                </c:pt>
                <c:pt idx="102">
                  <c:v>0.003579</c:v>
                </c:pt>
                <c:pt idx="103">
                  <c:v>0.004721</c:v>
                </c:pt>
                <c:pt idx="104">
                  <c:v>0.006018</c:v>
                </c:pt>
                <c:pt idx="105">
                  <c:v>0.007622</c:v>
                </c:pt>
                <c:pt idx="106">
                  <c:v>0.009545</c:v>
                </c:pt>
                <c:pt idx="107">
                  <c:v>0.0117</c:v>
                </c:pt>
                <c:pt idx="108">
                  <c:v>0.01369</c:v>
                </c:pt>
                <c:pt idx="109">
                  <c:v>0.01603</c:v>
                </c:pt>
                <c:pt idx="110">
                  <c:v>0.01861</c:v>
                </c:pt>
                <c:pt idx="111">
                  <c:v>0.02137</c:v>
                </c:pt>
                <c:pt idx="112">
                  <c:v>0.02363</c:v>
                </c:pt>
                <c:pt idx="113">
                  <c:v>0.0263</c:v>
                </c:pt>
                <c:pt idx="114">
                  <c:v>0.02893</c:v>
                </c:pt>
                <c:pt idx="115">
                  <c:v>0.03194</c:v>
                </c:pt>
                <c:pt idx="116">
                  <c:v>0.03473</c:v>
                </c:pt>
                <c:pt idx="117">
                  <c:v>0.03713</c:v>
                </c:pt>
                <c:pt idx="118">
                  <c:v>0.03909</c:v>
                </c:pt>
                <c:pt idx="119">
                  <c:v>0.04128</c:v>
                </c:pt>
                <c:pt idx="120">
                  <c:v>0.0432</c:v>
                </c:pt>
                <c:pt idx="121">
                  <c:v>0.04603</c:v>
                </c:pt>
                <c:pt idx="122">
                  <c:v>0.04814</c:v>
                </c:pt>
                <c:pt idx="123">
                  <c:v>0.05106</c:v>
                </c:pt>
                <c:pt idx="124">
                  <c:v>0.0535</c:v>
                </c:pt>
                <c:pt idx="125">
                  <c:v>0.05622</c:v>
                </c:pt>
                <c:pt idx="126">
                  <c:v>0.0587</c:v>
                </c:pt>
                <c:pt idx="127">
                  <c:v>0.0612</c:v>
                </c:pt>
                <c:pt idx="128">
                  <c:v>0.06416</c:v>
                </c:pt>
                <c:pt idx="129">
                  <c:v>0.06738</c:v>
                </c:pt>
                <c:pt idx="130">
                  <c:v>0.07024</c:v>
                </c:pt>
                <c:pt idx="131">
                  <c:v>0.07496</c:v>
                </c:pt>
                <c:pt idx="132">
                  <c:v>0.07649</c:v>
                </c:pt>
                <c:pt idx="133">
                  <c:v>0.07923</c:v>
                </c:pt>
                <c:pt idx="134">
                  <c:v>0.08267</c:v>
                </c:pt>
                <c:pt idx="135">
                  <c:v>0.08612</c:v>
                </c:pt>
                <c:pt idx="136">
                  <c:v>0.08873</c:v>
                </c:pt>
                <c:pt idx="137">
                  <c:v>0.0901</c:v>
                </c:pt>
                <c:pt idx="138">
                  <c:v>0.09152</c:v>
                </c:pt>
                <c:pt idx="139">
                  <c:v>0.0926</c:v>
                </c:pt>
                <c:pt idx="140">
                  <c:v>0.09358</c:v>
                </c:pt>
                <c:pt idx="141">
                  <c:v>0.09445</c:v>
                </c:pt>
                <c:pt idx="142">
                  <c:v>0.09128</c:v>
                </c:pt>
                <c:pt idx="143">
                  <c:v>0.0906</c:v>
                </c:pt>
                <c:pt idx="144">
                  <c:v>0.08999</c:v>
                </c:pt>
                <c:pt idx="145">
                  <c:v>0.08706</c:v>
                </c:pt>
                <c:pt idx="146">
                  <c:v>0.08479</c:v>
                </c:pt>
                <c:pt idx="147">
                  <c:v>0.08357</c:v>
                </c:pt>
                <c:pt idx="148">
                  <c:v>0.0846600000000001</c:v>
                </c:pt>
                <c:pt idx="149">
                  <c:v>0.08627</c:v>
                </c:pt>
                <c:pt idx="150">
                  <c:v>0.08801</c:v>
                </c:pt>
                <c:pt idx="151">
                  <c:v>0.08912</c:v>
                </c:pt>
                <c:pt idx="152">
                  <c:v>0.09047</c:v>
                </c:pt>
                <c:pt idx="153">
                  <c:v>0.09502</c:v>
                </c:pt>
                <c:pt idx="154">
                  <c:v>0.09983</c:v>
                </c:pt>
                <c:pt idx="155">
                  <c:v>0.1033</c:v>
                </c:pt>
                <c:pt idx="156">
                  <c:v>0.1075</c:v>
                </c:pt>
                <c:pt idx="157">
                  <c:v>0.1109</c:v>
                </c:pt>
                <c:pt idx="158">
                  <c:v>0.1129</c:v>
                </c:pt>
                <c:pt idx="159">
                  <c:v>0.1129</c:v>
                </c:pt>
                <c:pt idx="160">
                  <c:v>0.112</c:v>
                </c:pt>
                <c:pt idx="161">
                  <c:v>0.1111</c:v>
                </c:pt>
                <c:pt idx="162">
                  <c:v>0.1111</c:v>
                </c:pt>
                <c:pt idx="163">
                  <c:v>0.1114</c:v>
                </c:pt>
                <c:pt idx="164">
                  <c:v>0.1088</c:v>
                </c:pt>
                <c:pt idx="165">
                  <c:v>0.1044</c:v>
                </c:pt>
                <c:pt idx="166">
                  <c:v>0.1001</c:v>
                </c:pt>
                <c:pt idx="167">
                  <c:v>0.09573</c:v>
                </c:pt>
                <c:pt idx="168">
                  <c:v>0.09215</c:v>
                </c:pt>
                <c:pt idx="169">
                  <c:v>0.09028</c:v>
                </c:pt>
                <c:pt idx="170">
                  <c:v>0.08845</c:v>
                </c:pt>
                <c:pt idx="171">
                  <c:v>0.0873</c:v>
                </c:pt>
                <c:pt idx="172">
                  <c:v>0.08532</c:v>
                </c:pt>
                <c:pt idx="173">
                  <c:v>0.08281</c:v>
                </c:pt>
                <c:pt idx="174">
                  <c:v>0.08024</c:v>
                </c:pt>
                <c:pt idx="175">
                  <c:v>0.0802</c:v>
                </c:pt>
                <c:pt idx="176">
                  <c:v>0.08087</c:v>
                </c:pt>
                <c:pt idx="177">
                  <c:v>0.08263</c:v>
                </c:pt>
                <c:pt idx="178">
                  <c:v>0.08555</c:v>
                </c:pt>
                <c:pt idx="179">
                  <c:v>0.08724</c:v>
                </c:pt>
                <c:pt idx="180">
                  <c:v>0.0864</c:v>
                </c:pt>
                <c:pt idx="181">
                  <c:v>0.08648</c:v>
                </c:pt>
                <c:pt idx="182">
                  <c:v>0.08523</c:v>
                </c:pt>
                <c:pt idx="183">
                  <c:v>0.0857</c:v>
                </c:pt>
                <c:pt idx="184">
                  <c:v>0.08654</c:v>
                </c:pt>
                <c:pt idx="185">
                  <c:v>0.08699</c:v>
                </c:pt>
                <c:pt idx="186">
                  <c:v>0.08736</c:v>
                </c:pt>
                <c:pt idx="187">
                  <c:v>0.08847</c:v>
                </c:pt>
                <c:pt idx="188">
                  <c:v>0.08903</c:v>
                </c:pt>
                <c:pt idx="189">
                  <c:v>0.08859</c:v>
                </c:pt>
                <c:pt idx="190">
                  <c:v>0.08888</c:v>
                </c:pt>
                <c:pt idx="191">
                  <c:v>0.09056</c:v>
                </c:pt>
                <c:pt idx="192">
                  <c:v>0.09188</c:v>
                </c:pt>
                <c:pt idx="193">
                  <c:v>0.09404</c:v>
                </c:pt>
                <c:pt idx="194">
                  <c:v>0.09467</c:v>
                </c:pt>
                <c:pt idx="195">
                  <c:v>0.09474</c:v>
                </c:pt>
                <c:pt idx="196">
                  <c:v>0.09508</c:v>
                </c:pt>
                <c:pt idx="197">
                  <c:v>0.0937</c:v>
                </c:pt>
                <c:pt idx="198">
                  <c:v>0.09125</c:v>
                </c:pt>
                <c:pt idx="199">
                  <c:v>0.08809</c:v>
                </c:pt>
                <c:pt idx="200">
                  <c:v>0.08446</c:v>
                </c:pt>
                <c:pt idx="201">
                  <c:v>0.08113</c:v>
                </c:pt>
                <c:pt idx="202">
                  <c:v>0.07824</c:v>
                </c:pt>
                <c:pt idx="203">
                  <c:v>0.07617</c:v>
                </c:pt>
                <c:pt idx="204">
                  <c:v>0.07417</c:v>
                </c:pt>
                <c:pt idx="205">
                  <c:v>0.07354</c:v>
                </c:pt>
                <c:pt idx="206">
                  <c:v>0.07356</c:v>
                </c:pt>
                <c:pt idx="207">
                  <c:v>0.07396</c:v>
                </c:pt>
                <c:pt idx="208">
                  <c:v>0.07579</c:v>
                </c:pt>
                <c:pt idx="209">
                  <c:v>0.07941</c:v>
                </c:pt>
                <c:pt idx="210">
                  <c:v>0.08336</c:v>
                </c:pt>
                <c:pt idx="211">
                  <c:v>0.08883</c:v>
                </c:pt>
                <c:pt idx="212">
                  <c:v>0.09437</c:v>
                </c:pt>
                <c:pt idx="213">
                  <c:v>0.1</c:v>
                </c:pt>
                <c:pt idx="214">
                  <c:v>0.1042</c:v>
                </c:pt>
                <c:pt idx="215">
                  <c:v>0.1092</c:v>
                </c:pt>
                <c:pt idx="216">
                  <c:v>0.1138</c:v>
                </c:pt>
                <c:pt idx="217">
                  <c:v>0.1176</c:v>
                </c:pt>
                <c:pt idx="218">
                  <c:v>0.1209</c:v>
                </c:pt>
                <c:pt idx="219">
                  <c:v>0.1226</c:v>
                </c:pt>
                <c:pt idx="220">
                  <c:v>0.122</c:v>
                </c:pt>
                <c:pt idx="221">
                  <c:v>0.1216</c:v>
                </c:pt>
                <c:pt idx="222">
                  <c:v>0.1192</c:v>
                </c:pt>
                <c:pt idx="223">
                  <c:v>0.1155</c:v>
                </c:pt>
                <c:pt idx="224">
                  <c:v>0.1111</c:v>
                </c:pt>
                <c:pt idx="225">
                  <c:v>0.1073</c:v>
                </c:pt>
                <c:pt idx="226">
                  <c:v>0.1016</c:v>
                </c:pt>
                <c:pt idx="227">
                  <c:v>0.09455</c:v>
                </c:pt>
                <c:pt idx="228">
                  <c:v>0.08822</c:v>
                </c:pt>
                <c:pt idx="229">
                  <c:v>0.08205</c:v>
                </c:pt>
                <c:pt idx="230">
                  <c:v>0.07765</c:v>
                </c:pt>
                <c:pt idx="231">
                  <c:v>0.07461</c:v>
                </c:pt>
                <c:pt idx="232">
                  <c:v>0.07317</c:v>
                </c:pt>
                <c:pt idx="233">
                  <c:v>0.07429</c:v>
                </c:pt>
                <c:pt idx="234">
                  <c:v>0.07797</c:v>
                </c:pt>
                <c:pt idx="235">
                  <c:v>0.08243</c:v>
                </c:pt>
                <c:pt idx="236">
                  <c:v>0.08762</c:v>
                </c:pt>
                <c:pt idx="237">
                  <c:v>0.09334</c:v>
                </c:pt>
                <c:pt idx="238">
                  <c:v>0.09953</c:v>
                </c:pt>
                <c:pt idx="239">
                  <c:v>0.1055</c:v>
                </c:pt>
                <c:pt idx="240">
                  <c:v>0.113</c:v>
                </c:pt>
                <c:pt idx="241">
                  <c:v>0.1198</c:v>
                </c:pt>
                <c:pt idx="242">
                  <c:v>0.1271</c:v>
                </c:pt>
                <c:pt idx="243">
                  <c:v>0.1308</c:v>
                </c:pt>
                <c:pt idx="244">
                  <c:v>0.1325</c:v>
                </c:pt>
                <c:pt idx="245">
                  <c:v>0.1312</c:v>
                </c:pt>
                <c:pt idx="246">
                  <c:v>0.1279</c:v>
                </c:pt>
                <c:pt idx="247">
                  <c:v>0.1255</c:v>
                </c:pt>
                <c:pt idx="248">
                  <c:v>0.1236</c:v>
                </c:pt>
                <c:pt idx="249">
                  <c:v>0.1235</c:v>
                </c:pt>
                <c:pt idx="250">
                  <c:v>0.1228</c:v>
                </c:pt>
                <c:pt idx="251">
                  <c:v>0.1177</c:v>
                </c:pt>
                <c:pt idx="252">
                  <c:v>0.1118</c:v>
                </c:pt>
                <c:pt idx="253">
                  <c:v>0.1046</c:v>
                </c:pt>
                <c:pt idx="254">
                  <c:v>0.09933</c:v>
                </c:pt>
                <c:pt idx="255">
                  <c:v>0.09481</c:v>
                </c:pt>
                <c:pt idx="256">
                  <c:v>0.09164</c:v>
                </c:pt>
                <c:pt idx="257">
                  <c:v>0.0884</c:v>
                </c:pt>
                <c:pt idx="258">
                  <c:v>0.083</c:v>
                </c:pt>
                <c:pt idx="259">
                  <c:v>0.07825</c:v>
                </c:pt>
                <c:pt idx="260">
                  <c:v>0.07137</c:v>
                </c:pt>
                <c:pt idx="261">
                  <c:v>0.06513</c:v>
                </c:pt>
                <c:pt idx="262">
                  <c:v>0.06323</c:v>
                </c:pt>
                <c:pt idx="263">
                  <c:v>0.06364</c:v>
                </c:pt>
                <c:pt idx="264">
                  <c:v>0.06552</c:v>
                </c:pt>
                <c:pt idx="265">
                  <c:v>0.0697</c:v>
                </c:pt>
                <c:pt idx="266">
                  <c:v>0.07459</c:v>
                </c:pt>
                <c:pt idx="267">
                  <c:v>0.07876</c:v>
                </c:pt>
                <c:pt idx="268">
                  <c:v>0.08446</c:v>
                </c:pt>
                <c:pt idx="269">
                  <c:v>0.0901</c:v>
                </c:pt>
                <c:pt idx="270">
                  <c:v>0.09581</c:v>
                </c:pt>
                <c:pt idx="271">
                  <c:v>0.1022</c:v>
                </c:pt>
                <c:pt idx="272">
                  <c:v>0.1088</c:v>
                </c:pt>
                <c:pt idx="273">
                  <c:v>0.113</c:v>
                </c:pt>
                <c:pt idx="274">
                  <c:v>0.1158</c:v>
                </c:pt>
                <c:pt idx="275">
                  <c:v>0.1185</c:v>
                </c:pt>
                <c:pt idx="276">
                  <c:v>0.1173</c:v>
                </c:pt>
                <c:pt idx="277">
                  <c:v>0.1138</c:v>
                </c:pt>
                <c:pt idx="278">
                  <c:v>0.1119</c:v>
                </c:pt>
                <c:pt idx="279">
                  <c:v>0.1115</c:v>
                </c:pt>
                <c:pt idx="280">
                  <c:v>0.111</c:v>
                </c:pt>
                <c:pt idx="281">
                  <c:v>0.1082</c:v>
                </c:pt>
                <c:pt idx="282">
                  <c:v>0.1079</c:v>
                </c:pt>
                <c:pt idx="283">
                  <c:v>0.1075</c:v>
                </c:pt>
                <c:pt idx="284">
                  <c:v>0.107</c:v>
                </c:pt>
                <c:pt idx="285">
                  <c:v>0.1049</c:v>
                </c:pt>
                <c:pt idx="286">
                  <c:v>0.1004</c:v>
                </c:pt>
                <c:pt idx="287">
                  <c:v>0.0966</c:v>
                </c:pt>
                <c:pt idx="288">
                  <c:v>0.09522</c:v>
                </c:pt>
                <c:pt idx="289">
                  <c:v>0.09227</c:v>
                </c:pt>
                <c:pt idx="290">
                  <c:v>0.08598</c:v>
                </c:pt>
                <c:pt idx="291">
                  <c:v>0.08049</c:v>
                </c:pt>
                <c:pt idx="292">
                  <c:v>0.07663</c:v>
                </c:pt>
                <c:pt idx="293">
                  <c:v>0.06768</c:v>
                </c:pt>
                <c:pt idx="294">
                  <c:v>0.05873</c:v>
                </c:pt>
                <c:pt idx="295">
                  <c:v>0.05056</c:v>
                </c:pt>
                <c:pt idx="296">
                  <c:v>0.04485</c:v>
                </c:pt>
                <c:pt idx="297">
                  <c:v>0.04163</c:v>
                </c:pt>
                <c:pt idx="298">
                  <c:v>0.03919</c:v>
                </c:pt>
                <c:pt idx="299">
                  <c:v>0.03503</c:v>
                </c:pt>
                <c:pt idx="300">
                  <c:v>0.03328</c:v>
                </c:pt>
                <c:pt idx="301">
                  <c:v>0.03313</c:v>
                </c:pt>
                <c:pt idx="302">
                  <c:v>0.0329</c:v>
                </c:pt>
                <c:pt idx="303">
                  <c:v>0.03418</c:v>
                </c:pt>
                <c:pt idx="304">
                  <c:v>0.03801</c:v>
                </c:pt>
                <c:pt idx="305">
                  <c:v>0.04558</c:v>
                </c:pt>
                <c:pt idx="306">
                  <c:v>0.05301</c:v>
                </c:pt>
                <c:pt idx="307">
                  <c:v>0.06022</c:v>
                </c:pt>
                <c:pt idx="308">
                  <c:v>0.06642</c:v>
                </c:pt>
                <c:pt idx="309">
                  <c:v>0.07251</c:v>
                </c:pt>
                <c:pt idx="310">
                  <c:v>0.07948</c:v>
                </c:pt>
                <c:pt idx="311">
                  <c:v>0.08325</c:v>
                </c:pt>
                <c:pt idx="312">
                  <c:v>0.08715</c:v>
                </c:pt>
                <c:pt idx="313">
                  <c:v>0.09111</c:v>
                </c:pt>
                <c:pt idx="314">
                  <c:v>0.09288</c:v>
                </c:pt>
                <c:pt idx="315">
                  <c:v>0.09758</c:v>
                </c:pt>
                <c:pt idx="316">
                  <c:v>0.09493</c:v>
                </c:pt>
                <c:pt idx="317">
                  <c:v>0.09243</c:v>
                </c:pt>
                <c:pt idx="318">
                  <c:v>0.08788</c:v>
                </c:pt>
                <c:pt idx="319">
                  <c:v>0.08276</c:v>
                </c:pt>
                <c:pt idx="320">
                  <c:v>0.07777</c:v>
                </c:pt>
                <c:pt idx="321">
                  <c:v>0.07281</c:v>
                </c:pt>
                <c:pt idx="322">
                  <c:v>0.06941</c:v>
                </c:pt>
                <c:pt idx="323">
                  <c:v>0.06599</c:v>
                </c:pt>
                <c:pt idx="324">
                  <c:v>0.06259</c:v>
                </c:pt>
                <c:pt idx="325">
                  <c:v>0.05912</c:v>
                </c:pt>
                <c:pt idx="326">
                  <c:v>0.0497</c:v>
                </c:pt>
                <c:pt idx="327">
                  <c:v>0.04465</c:v>
                </c:pt>
                <c:pt idx="328">
                  <c:v>0.0411</c:v>
                </c:pt>
                <c:pt idx="329">
                  <c:v>0.03902</c:v>
                </c:pt>
                <c:pt idx="330">
                  <c:v>0.03842</c:v>
                </c:pt>
                <c:pt idx="331">
                  <c:v>0.03781</c:v>
                </c:pt>
                <c:pt idx="332">
                  <c:v>0.03798</c:v>
                </c:pt>
                <c:pt idx="333">
                  <c:v>0.04046</c:v>
                </c:pt>
                <c:pt idx="334">
                  <c:v>0.04296</c:v>
                </c:pt>
                <c:pt idx="335">
                  <c:v>0.04624</c:v>
                </c:pt>
                <c:pt idx="336">
                  <c:v>0.05027</c:v>
                </c:pt>
                <c:pt idx="337">
                  <c:v>0.05814</c:v>
                </c:pt>
                <c:pt idx="338">
                  <c:v>0.06447</c:v>
                </c:pt>
                <c:pt idx="339">
                  <c:v>0.06774</c:v>
                </c:pt>
                <c:pt idx="340">
                  <c:v>0.07105</c:v>
                </c:pt>
                <c:pt idx="341">
                  <c:v>0.07283</c:v>
                </c:pt>
                <c:pt idx="342">
                  <c:v>0.07464</c:v>
                </c:pt>
                <c:pt idx="343">
                  <c:v>0.07485</c:v>
                </c:pt>
                <c:pt idx="344">
                  <c:v>0.07192</c:v>
                </c:pt>
                <c:pt idx="345">
                  <c:v>0.06979</c:v>
                </c:pt>
                <c:pt idx="346">
                  <c:v>0.06606</c:v>
                </c:pt>
                <c:pt idx="347">
                  <c:v>0.06234</c:v>
                </c:pt>
                <c:pt idx="348">
                  <c:v>0.05618</c:v>
                </c:pt>
                <c:pt idx="349">
                  <c:v>0.05079</c:v>
                </c:pt>
                <c:pt idx="350">
                  <c:v>0.04693</c:v>
                </c:pt>
                <c:pt idx="351">
                  <c:v>0.04305</c:v>
                </c:pt>
                <c:pt idx="352">
                  <c:v>0.03991</c:v>
                </c:pt>
                <c:pt idx="353">
                  <c:v>0.03675</c:v>
                </c:pt>
                <c:pt idx="354">
                  <c:v>0.03522</c:v>
                </c:pt>
                <c:pt idx="355">
                  <c:v>0.03532</c:v>
                </c:pt>
                <c:pt idx="356">
                  <c:v>0.03375</c:v>
                </c:pt>
                <c:pt idx="357">
                  <c:v>0.03296</c:v>
                </c:pt>
                <c:pt idx="358">
                  <c:v>0.03216</c:v>
                </c:pt>
                <c:pt idx="359">
                  <c:v>0.03301</c:v>
                </c:pt>
                <c:pt idx="360">
                  <c:v>0.03445</c:v>
                </c:pt>
                <c:pt idx="361">
                  <c:v>0.03805</c:v>
                </c:pt>
                <c:pt idx="362">
                  <c:v>0.04454</c:v>
                </c:pt>
                <c:pt idx="363">
                  <c:v>0.04206</c:v>
                </c:pt>
                <c:pt idx="364">
                  <c:v>0.03959</c:v>
                </c:pt>
                <c:pt idx="365">
                  <c:v>0.0399</c:v>
                </c:pt>
                <c:pt idx="366">
                  <c:v>0.03926</c:v>
                </c:pt>
                <c:pt idx="367">
                  <c:v>0.03965</c:v>
                </c:pt>
                <c:pt idx="368">
                  <c:v>0.04015</c:v>
                </c:pt>
                <c:pt idx="369">
                  <c:v>0.04079</c:v>
                </c:pt>
              </c:numCache>
            </c:numRef>
          </c:yVal>
          <c:smooth val="0"/>
        </c:ser>
        <c:dLbls>
          <c:showLegendKey val="0"/>
          <c:showVal val="0"/>
          <c:showCatName val="0"/>
          <c:showSerName val="0"/>
          <c:showPercent val="0"/>
          <c:showBubbleSize val="0"/>
        </c:dLbls>
        <c:axId val="2130090696"/>
        <c:axId val="2130096248"/>
      </c:scatterChart>
      <c:valAx>
        <c:axId val="2130090696"/>
        <c:scaling>
          <c:logBase val="10.0"/>
          <c:orientation val="maxMin"/>
          <c:max val="10.0"/>
        </c:scaling>
        <c:delete val="0"/>
        <c:axPos val="b"/>
        <c:majorGridlines/>
        <c:title>
          <c:tx>
            <c:rich>
              <a:bodyPr/>
              <a:lstStyle/>
              <a:p>
                <a:pPr>
                  <a:defRPr sz="1050" b="1"/>
                </a:pPr>
                <a:r>
                  <a:rPr lang="el-GR" sz="1050" b="1"/>
                  <a:t>Pore Diameter (μm) </a:t>
                </a:r>
              </a:p>
            </c:rich>
          </c:tx>
          <c:layout>
            <c:manualLayout>
              <c:xMode val="edge"/>
              <c:yMode val="edge"/>
              <c:x val="0.324954175809991"/>
              <c:y val="0.879198767334361"/>
            </c:manualLayout>
          </c:layout>
          <c:overlay val="0"/>
        </c:title>
        <c:numFmt formatCode="General" sourceLinked="0"/>
        <c:majorTickMark val="out"/>
        <c:minorTickMark val="none"/>
        <c:tickLblPos val="nextTo"/>
        <c:txPr>
          <a:bodyPr rot="0" vert="horz"/>
          <a:lstStyle/>
          <a:p>
            <a:pPr>
              <a:defRPr sz="1050"/>
            </a:pPr>
            <a:endParaRPr lang="en-US"/>
          </a:p>
        </c:txPr>
        <c:crossAx val="2130096248"/>
        <c:crosses val="autoZero"/>
        <c:crossBetween val="midCat"/>
      </c:valAx>
      <c:valAx>
        <c:axId val="2130096248"/>
        <c:scaling>
          <c:orientation val="minMax"/>
        </c:scaling>
        <c:delete val="0"/>
        <c:axPos val="l"/>
        <c:majorGridlines/>
        <c:title>
          <c:tx>
            <c:rich>
              <a:bodyPr rot="-5400000" vert="horz"/>
              <a:lstStyle/>
              <a:p>
                <a:pPr>
                  <a:defRPr sz="900" b="1"/>
                </a:pPr>
                <a:r>
                  <a:rPr lang="en-US" sz="900" b="1"/>
                  <a:t>Incremental Volume (dV/dlogD)</a:t>
                </a:r>
              </a:p>
            </c:rich>
          </c:tx>
          <c:layout>
            <c:manualLayout>
              <c:xMode val="edge"/>
              <c:yMode val="edge"/>
              <c:x val="0.0"/>
              <c:y val="0.0376540528735911"/>
            </c:manualLayout>
          </c:layout>
          <c:overlay val="0"/>
        </c:title>
        <c:numFmt formatCode="General" sourceLinked="0"/>
        <c:majorTickMark val="out"/>
        <c:minorTickMark val="none"/>
        <c:tickLblPos val="nextTo"/>
        <c:txPr>
          <a:bodyPr rot="0" vert="horz"/>
          <a:lstStyle/>
          <a:p>
            <a:pPr>
              <a:defRPr sz="1050"/>
            </a:pPr>
            <a:endParaRPr lang="en-US"/>
          </a:p>
        </c:txPr>
        <c:crossAx val="2130090696"/>
        <c:crosses val="max"/>
        <c:crossBetween val="midCat"/>
      </c:valAx>
    </c:plotArea>
    <c:legend>
      <c:legendPos val="r"/>
      <c:layout>
        <c:manualLayout>
          <c:xMode val="edge"/>
          <c:yMode val="edge"/>
          <c:x val="0.240525550849417"/>
          <c:y val="0.055261977768824"/>
          <c:w val="0.297560968941382"/>
          <c:h val="0.18372996344207"/>
        </c:manualLayout>
      </c:layout>
      <c:overlay val="0"/>
    </c:legend>
    <c:plotVisOnly val="1"/>
    <c:dispBlanksAs val="gap"/>
    <c:showDLblsOverMax val="0"/>
  </c:chart>
  <c:spPr>
    <a:ln>
      <a:noFill/>
    </a:ln>
  </c:spPr>
  <c:txPr>
    <a:bodyPr/>
    <a:lstStyle/>
    <a:p>
      <a:pPr>
        <a:defRPr sz="1000" b="0" i="0" u="none" strike="noStrike" baseline="0">
          <a:solidFill>
            <a:srgbClr val="000000"/>
          </a:solidFill>
          <a:latin typeface="+mj-lt"/>
          <a:ea typeface="ＭＳ Ｐゴシック"/>
          <a:cs typeface="ＭＳ Ｐゴシック"/>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13949873781274"/>
          <c:y val="0.0584233220847394"/>
          <c:w val="0.869687731298269"/>
          <c:h val="0.858304592923965"/>
        </c:manualLayout>
      </c:layout>
      <c:barChart>
        <c:barDir val="col"/>
        <c:grouping val="clustered"/>
        <c:varyColors val="0"/>
        <c:ser>
          <c:idx val="0"/>
          <c:order val="0"/>
          <c:tx>
            <c:strRef>
              <c:f>W!$I$36</c:f>
              <c:strCache>
                <c:ptCount val="1"/>
                <c:pt idx="0">
                  <c:v>7D</c:v>
                </c:pt>
              </c:strCache>
            </c:strRef>
          </c:tx>
          <c:spPr>
            <a:solidFill>
              <a:schemeClr val="accent2">
                <a:lumMod val="50000"/>
              </a:schemeClr>
            </a:solidFill>
            <a:ln w="3175" cap="flat" cmpd="sng" algn="ctr">
              <a:solidFill>
                <a:srgbClr val="A6A6A6"/>
              </a:solidFill>
              <a:prstDash val="solid"/>
            </a:ln>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Ref>
              <c:f>W!$I$38</c:f>
              <c:numCache>
                <c:formatCode>0</c:formatCode>
                <c:ptCount val="1"/>
                <c:pt idx="0">
                  <c:v>38.0</c:v>
                </c:pt>
              </c:numCache>
            </c:numRef>
          </c:val>
        </c:ser>
        <c:ser>
          <c:idx val="1"/>
          <c:order val="1"/>
          <c:tx>
            <c:strRef>
              <c:f>W!$J$36</c:f>
              <c:strCache>
                <c:ptCount val="1"/>
                <c:pt idx="0">
                  <c:v>14D</c:v>
                </c:pt>
              </c:strCache>
            </c:strRef>
          </c:tx>
          <c:spPr>
            <a:solidFill>
              <a:srgbClr val="632523"/>
            </a:solidFill>
            <a:ln w="9525" cap="flat" cmpd="sng" algn="ctr">
              <a:solidFill>
                <a:srgbClr val="A6A6A6"/>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Ref>
              <c:f>W!$J$38</c:f>
              <c:numCache>
                <c:formatCode>0</c:formatCode>
                <c:ptCount val="1"/>
                <c:pt idx="0">
                  <c:v>53.43</c:v>
                </c:pt>
              </c:numCache>
            </c:numRef>
          </c:val>
        </c:ser>
        <c:ser>
          <c:idx val="2"/>
          <c:order val="2"/>
          <c:tx>
            <c:strRef>
              <c:f>W!$K$36</c:f>
              <c:strCache>
                <c:ptCount val="1"/>
                <c:pt idx="0">
                  <c:v>28D</c:v>
                </c:pt>
              </c:strCache>
            </c:strRef>
          </c:tx>
          <c:spPr>
            <a:solidFill>
              <a:srgbClr val="632523"/>
            </a:solidFill>
            <a:ln w="9525" cap="flat" cmpd="sng" algn="ctr">
              <a:solidFill>
                <a:srgbClr val="A6A6A6"/>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Ref>
              <c:f>W!$K$38</c:f>
              <c:numCache>
                <c:formatCode>0</c:formatCode>
                <c:ptCount val="1"/>
                <c:pt idx="0">
                  <c:v>74.22</c:v>
                </c:pt>
              </c:numCache>
            </c:numRef>
          </c:val>
        </c:ser>
        <c:ser>
          <c:idx val="3"/>
          <c:order val="3"/>
          <c:tx>
            <c:strRef>
              <c:f>W!$L$36</c:f>
              <c:strCache>
                <c:ptCount val="1"/>
                <c:pt idx="0">
                  <c:v>3M</c:v>
                </c:pt>
              </c:strCache>
            </c:strRef>
          </c:tx>
          <c:spPr>
            <a:solidFill>
              <a:srgbClr val="632523"/>
            </a:solidFill>
            <a:ln w="9525" cap="flat" cmpd="sng" algn="ctr">
              <a:solidFill>
                <a:srgbClr val="A6A6A6"/>
              </a:solidFill>
              <a:prstDash val="solid"/>
            </a:ln>
            <a:effectLst>
              <a:outerShdw blurRad="40000" dist="23000" dir="5400000" rotWithShape="0">
                <a:srgbClr val="000000">
                  <a:alpha val="35000"/>
                </a:srgbClr>
              </a:outerShdw>
            </a:effectLst>
          </c:spPr>
          <c:invertIfNegative val="0"/>
          <c:dLbls>
            <c:dLbl>
              <c:idx val="0"/>
              <c:showLegendKey val="0"/>
              <c:showVal val="1"/>
              <c:showCatName val="0"/>
              <c:showSerName val="1"/>
              <c:showPercent val="0"/>
              <c:showBubbleSize val="0"/>
              <c:separator>
</c:separator>
            </c:dLbl>
            <c:numFmt formatCode="0" sourceLinked="0"/>
            <c:showLegendKey val="0"/>
            <c:showVal val="0"/>
            <c:showCatName val="0"/>
            <c:showSerName val="1"/>
            <c:showPercent val="0"/>
            <c:showBubbleSize val="0"/>
            <c:showLeaderLines val="0"/>
          </c:dLbls>
          <c:cat>
            <c:strLit>
              <c:ptCount val="1"/>
              <c:pt idx="0">
                <c:v>_x0010_Leaching Periods</c:v>
              </c:pt>
            </c:strLit>
          </c:cat>
          <c:val>
            <c:numRef>
              <c:f>W!$L$38</c:f>
              <c:numCache>
                <c:formatCode>0</c:formatCode>
                <c:ptCount val="1"/>
                <c:pt idx="0">
                  <c:v>148.04</c:v>
                </c:pt>
              </c:numCache>
            </c:numRef>
          </c:val>
        </c:ser>
        <c:ser>
          <c:idx val="4"/>
          <c:order val="4"/>
          <c:tx>
            <c:strRef>
              <c:f>W!$M$36</c:f>
              <c:strCache>
                <c:ptCount val="1"/>
                <c:pt idx="0">
                  <c:v>6M</c:v>
                </c:pt>
              </c:strCache>
            </c:strRef>
          </c:tx>
          <c:spPr>
            <a:solidFill>
              <a:srgbClr val="632523"/>
            </a:solidFill>
            <a:ln w="3175" cap="flat" cmpd="sng" algn="ctr">
              <a:solidFill>
                <a:srgbClr val="A6A6A6"/>
              </a:solidFill>
              <a:prstDash val="solid"/>
            </a:ln>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Ref>
              <c:f>W!$M$38</c:f>
              <c:numCache>
                <c:formatCode>0</c:formatCode>
                <c:ptCount val="1"/>
                <c:pt idx="0">
                  <c:v>322.45</c:v>
                </c:pt>
              </c:numCache>
            </c:numRef>
          </c:val>
        </c:ser>
        <c:ser>
          <c:idx val="5"/>
          <c:order val="5"/>
          <c:tx>
            <c:strRef>
              <c:f>W!$N$36</c:f>
              <c:strCache>
                <c:ptCount val="1"/>
                <c:pt idx="0">
                  <c:v>1Y6M</c:v>
                </c:pt>
              </c:strCache>
            </c:strRef>
          </c:tx>
          <c:spPr>
            <a:solidFill>
              <a:srgbClr val="632523"/>
            </a:solidFill>
            <a:ln w="3175" cap="flat" cmpd="sng" algn="ctr">
              <a:solidFill>
                <a:srgbClr val="A6A6A6"/>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373.0</c:v>
              </c:pt>
            </c:numLit>
          </c:val>
        </c:ser>
        <c:ser>
          <c:idx val="6"/>
          <c:order val="6"/>
          <c:tx>
            <c:strRef>
              <c:f>W!$O$36</c:f>
              <c:strCache>
                <c:ptCount val="1"/>
                <c:pt idx="0">
                  <c:v>2Y</c:v>
                </c:pt>
              </c:strCache>
            </c:strRef>
          </c:tx>
          <c:spPr>
            <a:solidFill>
              <a:srgbClr val="632523"/>
            </a:solidFill>
            <a:ln w="3175" cap="flat" cmpd="sng" algn="ctr">
              <a:solidFill>
                <a:schemeClr val="bg1">
                  <a:lumMod val="8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389.0</c:v>
              </c:pt>
            </c:numLit>
          </c:val>
        </c:ser>
        <c:ser>
          <c:idx val="7"/>
          <c:order val="7"/>
          <c:tx>
            <c:strRef>
              <c:f>'Cs Compare'!$C$5</c:f>
              <c:strCache>
                <c:ptCount val="1"/>
                <c:pt idx="0">
                  <c:v>7D</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43.56</c:v>
              </c:pt>
            </c:numLit>
          </c:val>
        </c:ser>
        <c:ser>
          <c:idx val="8"/>
          <c:order val="8"/>
          <c:tx>
            <c:strRef>
              <c:f>'Cs Compare'!$D$5</c:f>
              <c:strCache>
                <c:ptCount val="1"/>
                <c:pt idx="0">
                  <c:v>14D</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dLblPos val="outEnd"/>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63.17</c:v>
              </c:pt>
            </c:numLit>
          </c:val>
        </c:ser>
        <c:ser>
          <c:idx val="9"/>
          <c:order val="9"/>
          <c:tx>
            <c:strRef>
              <c:f>'Cs Compare'!$E$5</c:f>
              <c:strCache>
                <c:ptCount val="1"/>
                <c:pt idx="0">
                  <c:v>28D</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dLblPos val="outEnd"/>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91.48</c:v>
              </c:pt>
            </c:numLit>
          </c:val>
        </c:ser>
        <c:ser>
          <c:idx val="10"/>
          <c:order val="10"/>
          <c:tx>
            <c:strRef>
              <c:f>'Cs Compare'!$F$5</c:f>
              <c:strCache>
                <c:ptCount val="1"/>
                <c:pt idx="0">
                  <c:v>3M</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169.79</c:v>
              </c:pt>
            </c:numLit>
          </c:val>
        </c:ser>
        <c:ser>
          <c:idx val="11"/>
          <c:order val="11"/>
          <c:tx>
            <c:strRef>
              <c:f>'Cs Compare'!$G$5</c:f>
              <c:strCache>
                <c:ptCount val="1"/>
                <c:pt idx="0">
                  <c:v>6M</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428.52</c:v>
              </c:pt>
            </c:numLit>
          </c:val>
        </c:ser>
        <c:ser>
          <c:idx val="12"/>
          <c:order val="12"/>
          <c:tx>
            <c:v>1Y6M</c:v>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512.9499999999994</c:v>
              </c:pt>
            </c:numLit>
          </c:val>
        </c:ser>
        <c:ser>
          <c:idx val="13"/>
          <c:order val="13"/>
          <c:tx>
            <c:v>2Y</c:v>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556.8</c:v>
              </c:pt>
            </c:numLit>
          </c:val>
        </c:ser>
        <c:ser>
          <c:idx val="14"/>
          <c:order val="14"/>
          <c:tx>
            <c:strRef>
              <c:f>'Cs Compare'!$B$22</c:f>
              <c:strCache>
                <c:ptCount val="1"/>
                <c:pt idx="0">
                  <c:v>8H</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showLegendKey val="0"/>
            <c:showVal val="1"/>
            <c:showCatName val="0"/>
            <c:showSerName val="1"/>
            <c:showPercent val="0"/>
            <c:showBubbleSize val="0"/>
            <c:separator>
</c:separator>
            <c:showLeaderLines val="0"/>
          </c:dLbls>
          <c:cat>
            <c:strLit>
              <c:ptCount val="1"/>
              <c:pt idx="0">
                <c:v>_x0010_Leaching Periods</c:v>
              </c:pt>
            </c:strLit>
          </c:cat>
          <c:val>
            <c:numRef>
              <c:f>'Sr Compare'!$B$10</c:f>
              <c:numCache>
                <c:formatCode>General</c:formatCode>
                <c:ptCount val="1"/>
                <c:pt idx="0">
                  <c:v>86.77424636968455</c:v>
                </c:pt>
              </c:numCache>
            </c:numRef>
          </c:val>
        </c:ser>
        <c:ser>
          <c:idx val="20"/>
          <c:order val="15"/>
          <c:tx>
            <c:strRef>
              <c:f>'Cs Compare'!$B$23</c:f>
              <c:strCache>
                <c:ptCount val="1"/>
                <c:pt idx="0">
                  <c:v>1D</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val>
            <c:numRef>
              <c:f>'Sr Compare'!$B$11</c:f>
              <c:numCache>
                <c:formatCode>General</c:formatCode>
                <c:ptCount val="1"/>
                <c:pt idx="0">
                  <c:v>250.0</c:v>
                </c:pt>
              </c:numCache>
            </c:numRef>
          </c:val>
        </c:ser>
        <c:ser>
          <c:idx val="21"/>
          <c:order val="16"/>
          <c:tx>
            <c:strRef>
              <c:f>'Cs Compare'!$B$24</c:f>
              <c:strCache>
                <c:ptCount val="1"/>
                <c:pt idx="0">
                  <c:v>3D</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val>
            <c:numLit>
              <c:formatCode>General</c:formatCode>
              <c:ptCount val="1"/>
              <c:pt idx="0">
                <c:v>722.0</c:v>
              </c:pt>
            </c:numLit>
          </c:val>
        </c:ser>
        <c:ser>
          <c:idx val="25"/>
          <c:order val="17"/>
          <c:tx>
            <c:strRef>
              <c:f>'Cs Compare'!$B$25</c:f>
              <c:strCache>
                <c:ptCount val="1"/>
                <c:pt idx="0">
                  <c:v>7D</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val>
            <c:numLit>
              <c:formatCode>General</c:formatCode>
              <c:ptCount val="1"/>
              <c:pt idx="0">
                <c:v>1809.0</c:v>
              </c:pt>
            </c:numLit>
          </c:val>
        </c:ser>
        <c:ser>
          <c:idx val="15"/>
          <c:order val="18"/>
          <c:tx>
            <c:strRef>
              <c:f>'Cs Compare'!$B$30</c:f>
              <c:strCache>
                <c:ptCount val="1"/>
                <c:pt idx="0">
                  <c:v>8H</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117.6</c:v>
              </c:pt>
            </c:numLit>
          </c:val>
        </c:ser>
        <c:ser>
          <c:idx val="22"/>
          <c:order val="19"/>
          <c:tx>
            <c:strRef>
              <c:f>'Cs Compare'!$B$31</c:f>
              <c:strCache>
                <c:ptCount val="1"/>
                <c:pt idx="0">
                  <c:v>1D</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val>
            <c:numLit>
              <c:formatCode>General</c:formatCode>
              <c:ptCount val="1"/>
              <c:pt idx="0">
                <c:v>322.0</c:v>
              </c:pt>
            </c:numLit>
          </c:val>
        </c:ser>
        <c:ser>
          <c:idx val="23"/>
          <c:order val="20"/>
          <c:tx>
            <c:strRef>
              <c:f>'Cs Compare'!$B$32</c:f>
              <c:strCache>
                <c:ptCount val="1"/>
                <c:pt idx="0">
                  <c:v>3D</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val>
            <c:numLit>
              <c:formatCode>General</c:formatCode>
              <c:ptCount val="1"/>
              <c:pt idx="0">
                <c:v>903.0</c:v>
              </c:pt>
            </c:numLit>
          </c:val>
        </c:ser>
        <c:ser>
          <c:idx val="24"/>
          <c:order val="21"/>
          <c:tx>
            <c:strRef>
              <c:f>'Cs Compare'!$B$33</c:f>
              <c:strCache>
                <c:ptCount val="1"/>
                <c:pt idx="0">
                  <c:v>7D</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val>
            <c:numLit>
              <c:formatCode>General</c:formatCode>
              <c:ptCount val="1"/>
              <c:pt idx="0">
                <c:v>2263.0</c:v>
              </c:pt>
            </c:numLit>
          </c:val>
        </c:ser>
        <c:ser>
          <c:idx val="16"/>
          <c:order val="22"/>
          <c:tx>
            <c:strRef>
              <c:f>'Cs Compare'!$C$16</c:f>
              <c:strCache>
                <c:ptCount val="1"/>
                <c:pt idx="0">
                  <c:v>7D</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showLegendKey val="0"/>
            <c:showVal val="1"/>
            <c:showCatName val="0"/>
            <c:showSerName val="1"/>
            <c:showPercent val="0"/>
            <c:showBubbleSize val="0"/>
            <c:separator>
</c:separator>
            <c:showLeaderLines val="0"/>
          </c:dLbls>
          <c:cat>
            <c:strLit>
              <c:ptCount val="1"/>
              <c:pt idx="0">
                <c:v>_x0010_Leaching Periods</c:v>
              </c:pt>
            </c:strLit>
          </c:cat>
          <c:val>
            <c:numRef>
              <c:f>'Sr Compare'!$B$3</c:f>
              <c:numCache>
                <c:formatCode>0.00</c:formatCode>
                <c:ptCount val="1"/>
                <c:pt idx="0">
                  <c:v>700.4263615645734</c:v>
                </c:pt>
              </c:numCache>
            </c:numRef>
          </c:val>
        </c:ser>
        <c:ser>
          <c:idx val="17"/>
          <c:order val="23"/>
          <c:tx>
            <c:strRef>
              <c:f>'Cs Compare'!$D$16</c:f>
              <c:strCache>
                <c:ptCount val="1"/>
                <c:pt idx="0">
                  <c:v>14D</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invertIfNegative val="0"/>
          <c:dLbls>
            <c:dLbl>
              <c:idx val="0"/>
              <c:numFmt formatCode="0" sourceLinked="0"/>
              <c:spPr/>
              <c:txPr>
                <a:bodyPr/>
                <a:lstStyle/>
                <a:p>
                  <a:pPr>
                    <a:defRPr/>
                  </a:pPr>
                  <a:endParaRPr lang="en-US"/>
                </a:p>
              </c:txPr>
              <c:showLegendKey val="0"/>
              <c:showVal val="1"/>
              <c:showCatName val="0"/>
              <c:showSerName val="1"/>
              <c:showPercent val="0"/>
              <c:showBubbleSize val="0"/>
            </c:dLbl>
            <c:showLegendKey val="0"/>
            <c:showVal val="1"/>
            <c:showCatName val="0"/>
            <c:showSerName val="1"/>
            <c:showPercent val="0"/>
            <c:showBubbleSize val="0"/>
            <c:separator>
</c:separator>
            <c:showLeaderLines val="0"/>
          </c:dLbls>
          <c:cat>
            <c:strLit>
              <c:ptCount val="1"/>
              <c:pt idx="0">
                <c:v>_x0010_Leaching Periods</c:v>
              </c:pt>
            </c:strLit>
          </c:cat>
          <c:val>
            <c:numRef>
              <c:f>'Sr Compare'!$B$4</c:f>
              <c:numCache>
                <c:formatCode>0.00</c:formatCode>
                <c:ptCount val="1"/>
                <c:pt idx="0">
                  <c:v>2213.236270624122</c:v>
                </c:pt>
              </c:numCache>
            </c:numRef>
          </c:val>
        </c:ser>
        <c:ser>
          <c:idx val="18"/>
          <c:order val="24"/>
          <c:tx>
            <c:strRef>
              <c:f>'Cs Compare'!$E$16</c:f>
              <c:strCache>
                <c:ptCount val="1"/>
                <c:pt idx="0">
                  <c:v>28D</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showLegendKey val="0"/>
            <c:showVal val="1"/>
            <c:showCatName val="0"/>
            <c:showSerName val="1"/>
            <c:showPercent val="0"/>
            <c:showBubbleSize val="0"/>
            <c:separator>
</c:separator>
            <c:showLeaderLines val="0"/>
          </c:dLbls>
          <c:cat>
            <c:strLit>
              <c:ptCount val="1"/>
              <c:pt idx="0">
                <c:v>_x0010_Leaching Periods</c:v>
              </c:pt>
            </c:strLit>
          </c:cat>
          <c:val>
            <c:numRef>
              <c:f>'Sr Compare'!$B$5</c:f>
              <c:numCache>
                <c:formatCode>0.00</c:formatCode>
                <c:ptCount val="1"/>
                <c:pt idx="0">
                  <c:v>3301.349085947686</c:v>
                </c:pt>
              </c:numCache>
            </c:numRef>
          </c:val>
        </c:ser>
        <c:ser>
          <c:idx val="19"/>
          <c:order val="25"/>
          <c:tx>
            <c:strRef>
              <c:f>'Cs Compare'!$F$16</c:f>
              <c:strCache>
                <c:ptCount val="1"/>
                <c:pt idx="0">
                  <c:v>3M</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showLegendKey val="0"/>
            <c:showVal val="1"/>
            <c:showCatName val="0"/>
            <c:showSerName val="1"/>
            <c:showPercent val="0"/>
            <c:showBubbleSize val="0"/>
            <c:separator>
</c:separator>
            <c:showLeaderLines val="0"/>
          </c:dLbls>
          <c:cat>
            <c:strLit>
              <c:ptCount val="1"/>
              <c:pt idx="0">
                <c:v>_x0010_Leaching Periods</c:v>
              </c:pt>
            </c:strLit>
          </c:cat>
          <c:val>
            <c:numRef>
              <c:f>'Sr Compare'!$B$6</c:f>
              <c:numCache>
                <c:formatCode>0.00</c:formatCode>
                <c:ptCount val="1"/>
                <c:pt idx="0">
                  <c:v>3554.501863390311</c:v>
                </c:pt>
              </c:numCache>
            </c:numRef>
          </c:val>
        </c:ser>
        <c:dLbls>
          <c:showLegendKey val="0"/>
          <c:showVal val="0"/>
          <c:showCatName val="0"/>
          <c:showSerName val="1"/>
          <c:showPercent val="0"/>
          <c:showBubbleSize val="0"/>
        </c:dLbls>
        <c:gapWidth val="150"/>
        <c:axId val="2132144728"/>
        <c:axId val="2132147672"/>
      </c:barChart>
      <c:catAx>
        <c:axId val="2132144728"/>
        <c:scaling>
          <c:orientation val="minMax"/>
        </c:scaling>
        <c:delete val="0"/>
        <c:axPos val="b"/>
        <c:majorTickMark val="out"/>
        <c:minorTickMark val="none"/>
        <c:tickLblPos val="nextTo"/>
        <c:txPr>
          <a:bodyPr/>
          <a:lstStyle/>
          <a:p>
            <a:pPr>
              <a:defRPr sz="1800"/>
            </a:pPr>
            <a:endParaRPr lang="en-US"/>
          </a:p>
        </c:txPr>
        <c:crossAx val="2132147672"/>
        <c:crosses val="autoZero"/>
        <c:auto val="1"/>
        <c:lblAlgn val="ctr"/>
        <c:lblOffset val="100"/>
        <c:noMultiLvlLbl val="0"/>
      </c:catAx>
      <c:valAx>
        <c:axId val="2132147672"/>
        <c:scaling>
          <c:orientation val="minMax"/>
          <c:min val="0.0"/>
        </c:scaling>
        <c:delete val="0"/>
        <c:axPos val="l"/>
        <c:majorGridlines>
          <c:spPr>
            <a:ln w="3175" cap="flat" cmpd="sng">
              <a:noFill/>
              <a:prstDash val="sysDot"/>
              <a:round/>
              <a:headEnd type="none"/>
              <a:tailEnd type="none"/>
            </a:ln>
          </c:spPr>
        </c:majorGridlines>
        <c:title>
          <c:tx>
            <c:rich>
              <a:bodyPr rot="-5400000" vert="horz"/>
              <a:lstStyle/>
              <a:p>
                <a:pPr>
                  <a:defRPr sz="1400"/>
                </a:pPr>
                <a:r>
                  <a:rPr lang="en-US" sz="1400"/>
                  <a:t>Normalised Accumlated Mass of Sr  in solution</a:t>
                </a:r>
              </a:p>
              <a:p>
                <a:pPr>
                  <a:defRPr sz="1400"/>
                </a:pPr>
                <a:r>
                  <a:rPr lang="en-US" sz="1400"/>
                  <a:t> (mg/cm²)</a:t>
                </a:r>
              </a:p>
            </c:rich>
          </c:tx>
          <c:layout>
            <c:manualLayout>
              <c:xMode val="edge"/>
              <c:yMode val="edge"/>
              <c:x val="0.00723127386570448"/>
              <c:y val="0.0853536489756962"/>
            </c:manualLayout>
          </c:layout>
          <c:overlay val="0"/>
        </c:title>
        <c:numFmt formatCode="0" sourceLinked="1"/>
        <c:majorTickMark val="out"/>
        <c:minorTickMark val="none"/>
        <c:tickLblPos val="nextTo"/>
        <c:txPr>
          <a:bodyPr/>
          <a:lstStyle/>
          <a:p>
            <a:pPr>
              <a:defRPr sz="1200" b="1"/>
            </a:pPr>
            <a:endParaRPr lang="en-US"/>
          </a:p>
        </c:txPr>
        <c:crossAx val="2132144728"/>
        <c:crosses val="autoZero"/>
        <c:crossBetween val="between"/>
        <c:majorUnit val="200.0"/>
      </c:valAx>
      <c:spPr>
        <a:ln>
          <a:noFill/>
        </a:ln>
      </c:spPr>
    </c:plotArea>
    <c:plotVisOnly val="1"/>
    <c:dispBlanksAs val="gap"/>
    <c:showDLblsOverMax val="0"/>
  </c:chart>
  <c:spPr>
    <a:ln>
      <a:noFill/>
    </a:ln>
  </c:spPr>
  <c:txPr>
    <a:bodyPr/>
    <a:lstStyle/>
    <a:p>
      <a:pPr>
        <a:defRPr sz="1000" b="1">
          <a:latin typeface="Arial"/>
          <a:cs typeface="Arial"/>
        </a:defRPr>
      </a:pPr>
      <a:endParaRPr lang="en-US"/>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7532183477065"/>
          <c:y val="0.0282523434570679"/>
          <c:w val="0.738832854226555"/>
          <c:h val="0.785588282946113"/>
        </c:manualLayout>
      </c:layout>
      <c:scatterChart>
        <c:scatterStyle val="lineMarker"/>
        <c:varyColors val="0"/>
        <c:ser>
          <c:idx val="2"/>
          <c:order val="0"/>
          <c:spPr>
            <a:ln w="25400">
              <a:solidFill>
                <a:srgbClr val="FF0000"/>
              </a:solidFill>
              <a:prstDash val="solid"/>
            </a:ln>
          </c:spPr>
          <c:marker>
            <c:symbol val="none"/>
          </c:marker>
          <c:xVal>
            <c:numRef>
              <c:f>'[1]3MCS1- in1'!$C$5:$C$914</c:f>
              <c:numCache>
                <c:formatCode>General</c:formatCode>
                <c:ptCount val="910"/>
                <c:pt idx="0">
                  <c:v>10.67</c:v>
                </c:pt>
                <c:pt idx="1">
                  <c:v>4.964999999999987</c:v>
                </c:pt>
                <c:pt idx="2">
                  <c:v>2.369</c:v>
                </c:pt>
                <c:pt idx="3">
                  <c:v>1.501</c:v>
                </c:pt>
                <c:pt idx="4">
                  <c:v>1.086</c:v>
                </c:pt>
                <c:pt idx="5">
                  <c:v>0.8477</c:v>
                </c:pt>
                <c:pt idx="6">
                  <c:v>0.7032</c:v>
                </c:pt>
                <c:pt idx="7">
                  <c:v>0.5922</c:v>
                </c:pt>
                <c:pt idx="8">
                  <c:v>0.5105</c:v>
                </c:pt>
                <c:pt idx="9">
                  <c:v>0.4482</c:v>
                </c:pt>
                <c:pt idx="10">
                  <c:v>0.3983</c:v>
                </c:pt>
                <c:pt idx="11">
                  <c:v>0.3582</c:v>
                </c:pt>
                <c:pt idx="12">
                  <c:v>0.3253</c:v>
                </c:pt>
                <c:pt idx="13">
                  <c:v>0.2975</c:v>
                </c:pt>
                <c:pt idx="14">
                  <c:v>0.2739</c:v>
                </c:pt>
                <c:pt idx="15">
                  <c:v>0.2535</c:v>
                </c:pt>
                <c:pt idx="16">
                  <c:v>0.2359</c:v>
                </c:pt>
                <c:pt idx="17">
                  <c:v>0.2203</c:v>
                </c:pt>
                <c:pt idx="18">
                  <c:v>0.2066</c:v>
                </c:pt>
                <c:pt idx="19">
                  <c:v>0.1945</c:v>
                </c:pt>
                <c:pt idx="20">
                  <c:v>0.1835</c:v>
                </c:pt>
                <c:pt idx="21">
                  <c:v>0.1738</c:v>
                </c:pt>
                <c:pt idx="22">
                  <c:v>0.1649</c:v>
                </c:pt>
                <c:pt idx="23">
                  <c:v>0.1568</c:v>
                </c:pt>
                <c:pt idx="24">
                  <c:v>0.1495</c:v>
                </c:pt>
                <c:pt idx="25">
                  <c:v>0.1428</c:v>
                </c:pt>
                <c:pt idx="26">
                  <c:v>0.1365</c:v>
                </c:pt>
                <c:pt idx="27">
                  <c:v>0.1309</c:v>
                </c:pt>
                <c:pt idx="28">
                  <c:v>0.1256</c:v>
                </c:pt>
                <c:pt idx="29">
                  <c:v>0.1207</c:v>
                </c:pt>
                <c:pt idx="30">
                  <c:v>0.1162</c:v>
                </c:pt>
                <c:pt idx="31">
                  <c:v>0.112</c:v>
                </c:pt>
                <c:pt idx="32">
                  <c:v>0.1081</c:v>
                </c:pt>
                <c:pt idx="33">
                  <c:v>0.1044</c:v>
                </c:pt>
                <c:pt idx="34">
                  <c:v>0.1009</c:v>
                </c:pt>
                <c:pt idx="35">
                  <c:v>0.09765</c:v>
                </c:pt>
                <c:pt idx="36">
                  <c:v>0.09459</c:v>
                </c:pt>
                <c:pt idx="37">
                  <c:v>0.09172</c:v>
                </c:pt>
                <c:pt idx="38">
                  <c:v>0.08899</c:v>
                </c:pt>
                <c:pt idx="39">
                  <c:v>0.08642</c:v>
                </c:pt>
                <c:pt idx="40">
                  <c:v>0.084</c:v>
                </c:pt>
                <c:pt idx="41">
                  <c:v>0.08163</c:v>
                </c:pt>
                <c:pt idx="42">
                  <c:v>0.07939</c:v>
                </c:pt>
                <c:pt idx="43">
                  <c:v>0.07726</c:v>
                </c:pt>
                <c:pt idx="44">
                  <c:v>0.07525</c:v>
                </c:pt>
                <c:pt idx="45">
                  <c:v>0.07329</c:v>
                </c:pt>
                <c:pt idx="46">
                  <c:v>0.07142</c:v>
                </c:pt>
                <c:pt idx="47">
                  <c:v>0.06963</c:v>
                </c:pt>
                <c:pt idx="48">
                  <c:v>0.0679</c:v>
                </c:pt>
                <c:pt idx="49">
                  <c:v>0.0662</c:v>
                </c:pt>
                <c:pt idx="50">
                  <c:v>0.06457</c:v>
                </c:pt>
                <c:pt idx="51">
                  <c:v>0.06299</c:v>
                </c:pt>
                <c:pt idx="52">
                  <c:v>0.06151</c:v>
                </c:pt>
                <c:pt idx="53">
                  <c:v>0.0601</c:v>
                </c:pt>
                <c:pt idx="54">
                  <c:v>0.05874</c:v>
                </c:pt>
                <c:pt idx="55">
                  <c:v>0.05744</c:v>
                </c:pt>
                <c:pt idx="56">
                  <c:v>0.05619</c:v>
                </c:pt>
                <c:pt idx="57">
                  <c:v>0.05499</c:v>
                </c:pt>
                <c:pt idx="58">
                  <c:v>0.05385</c:v>
                </c:pt>
                <c:pt idx="59">
                  <c:v>0.05277</c:v>
                </c:pt>
                <c:pt idx="60">
                  <c:v>0.05173</c:v>
                </c:pt>
                <c:pt idx="61">
                  <c:v>0.05073</c:v>
                </c:pt>
                <c:pt idx="62">
                  <c:v>0.04976</c:v>
                </c:pt>
                <c:pt idx="63">
                  <c:v>0.04882</c:v>
                </c:pt>
                <c:pt idx="64">
                  <c:v>0.04791</c:v>
                </c:pt>
                <c:pt idx="65">
                  <c:v>0.04704</c:v>
                </c:pt>
                <c:pt idx="66">
                  <c:v>0.04619</c:v>
                </c:pt>
                <c:pt idx="67">
                  <c:v>0.0454</c:v>
                </c:pt>
                <c:pt idx="68">
                  <c:v>0.04462</c:v>
                </c:pt>
                <c:pt idx="69">
                  <c:v>0.04385</c:v>
                </c:pt>
                <c:pt idx="70">
                  <c:v>0.04311</c:v>
                </c:pt>
                <c:pt idx="71">
                  <c:v>0.04241</c:v>
                </c:pt>
                <c:pt idx="72">
                  <c:v>0.04174</c:v>
                </c:pt>
                <c:pt idx="73">
                  <c:v>0.04109</c:v>
                </c:pt>
                <c:pt idx="74">
                  <c:v>0.04045</c:v>
                </c:pt>
                <c:pt idx="75">
                  <c:v>0.03983</c:v>
                </c:pt>
                <c:pt idx="76">
                  <c:v>0.03922</c:v>
                </c:pt>
                <c:pt idx="77">
                  <c:v>0.03864</c:v>
                </c:pt>
                <c:pt idx="78">
                  <c:v>0.03806</c:v>
                </c:pt>
                <c:pt idx="79">
                  <c:v>0.03752</c:v>
                </c:pt>
                <c:pt idx="80">
                  <c:v>0.03698</c:v>
                </c:pt>
                <c:pt idx="81">
                  <c:v>0.03646</c:v>
                </c:pt>
                <c:pt idx="82">
                  <c:v>0.03594</c:v>
                </c:pt>
                <c:pt idx="83">
                  <c:v>0.03544</c:v>
                </c:pt>
                <c:pt idx="84">
                  <c:v>0.03495</c:v>
                </c:pt>
                <c:pt idx="85">
                  <c:v>0.03449</c:v>
                </c:pt>
                <c:pt idx="86">
                  <c:v>0.03403</c:v>
                </c:pt>
                <c:pt idx="87">
                  <c:v>0.03359</c:v>
                </c:pt>
                <c:pt idx="88">
                  <c:v>0.03316</c:v>
                </c:pt>
                <c:pt idx="89">
                  <c:v>0.03274</c:v>
                </c:pt>
                <c:pt idx="90">
                  <c:v>0.03232</c:v>
                </c:pt>
                <c:pt idx="91">
                  <c:v>0.03192</c:v>
                </c:pt>
                <c:pt idx="92">
                  <c:v>0.03152</c:v>
                </c:pt>
                <c:pt idx="93">
                  <c:v>0.03112</c:v>
                </c:pt>
                <c:pt idx="94">
                  <c:v>0.03073</c:v>
                </c:pt>
                <c:pt idx="95">
                  <c:v>0.03035</c:v>
                </c:pt>
                <c:pt idx="96">
                  <c:v>0.02997</c:v>
                </c:pt>
                <c:pt idx="97">
                  <c:v>0.0296</c:v>
                </c:pt>
                <c:pt idx="98">
                  <c:v>0.02924</c:v>
                </c:pt>
                <c:pt idx="99">
                  <c:v>0.02888</c:v>
                </c:pt>
                <c:pt idx="100">
                  <c:v>0.02853</c:v>
                </c:pt>
                <c:pt idx="101">
                  <c:v>0.02818</c:v>
                </c:pt>
                <c:pt idx="102">
                  <c:v>0.02782</c:v>
                </c:pt>
                <c:pt idx="103">
                  <c:v>0.02747</c:v>
                </c:pt>
                <c:pt idx="104">
                  <c:v>0.02713</c:v>
                </c:pt>
                <c:pt idx="105">
                  <c:v>0.02679</c:v>
                </c:pt>
                <c:pt idx="106">
                  <c:v>0.02646</c:v>
                </c:pt>
                <c:pt idx="107">
                  <c:v>0.02612</c:v>
                </c:pt>
                <c:pt idx="108">
                  <c:v>0.02579</c:v>
                </c:pt>
                <c:pt idx="109">
                  <c:v>0.02545</c:v>
                </c:pt>
                <c:pt idx="110">
                  <c:v>0.02511</c:v>
                </c:pt>
                <c:pt idx="111">
                  <c:v>0.02477</c:v>
                </c:pt>
                <c:pt idx="112">
                  <c:v>0.02444</c:v>
                </c:pt>
                <c:pt idx="113">
                  <c:v>0.02412</c:v>
                </c:pt>
                <c:pt idx="114">
                  <c:v>0.0238</c:v>
                </c:pt>
                <c:pt idx="115">
                  <c:v>0.02348</c:v>
                </c:pt>
                <c:pt idx="116">
                  <c:v>0.02316</c:v>
                </c:pt>
                <c:pt idx="117">
                  <c:v>0.02284</c:v>
                </c:pt>
                <c:pt idx="118">
                  <c:v>0.02253</c:v>
                </c:pt>
                <c:pt idx="119">
                  <c:v>0.02223</c:v>
                </c:pt>
                <c:pt idx="120">
                  <c:v>0.02192</c:v>
                </c:pt>
                <c:pt idx="121">
                  <c:v>0.02163</c:v>
                </c:pt>
                <c:pt idx="122">
                  <c:v>0.02134</c:v>
                </c:pt>
                <c:pt idx="123">
                  <c:v>0.02105</c:v>
                </c:pt>
                <c:pt idx="124">
                  <c:v>0.02077</c:v>
                </c:pt>
                <c:pt idx="125">
                  <c:v>0.02049</c:v>
                </c:pt>
                <c:pt idx="126">
                  <c:v>0.02022</c:v>
                </c:pt>
                <c:pt idx="127">
                  <c:v>0.01995</c:v>
                </c:pt>
                <c:pt idx="128">
                  <c:v>0.01969</c:v>
                </c:pt>
                <c:pt idx="129">
                  <c:v>0.01944</c:v>
                </c:pt>
                <c:pt idx="130">
                  <c:v>0.0192</c:v>
                </c:pt>
                <c:pt idx="131">
                  <c:v>0.01895</c:v>
                </c:pt>
                <c:pt idx="132">
                  <c:v>0.01872</c:v>
                </c:pt>
                <c:pt idx="133">
                  <c:v>0.01849</c:v>
                </c:pt>
                <c:pt idx="134">
                  <c:v>0.01826</c:v>
                </c:pt>
                <c:pt idx="135">
                  <c:v>0.01804</c:v>
                </c:pt>
                <c:pt idx="136">
                  <c:v>0.01782</c:v>
                </c:pt>
                <c:pt idx="137">
                  <c:v>0.01761</c:v>
                </c:pt>
                <c:pt idx="138">
                  <c:v>0.0174</c:v>
                </c:pt>
                <c:pt idx="139">
                  <c:v>0.0172</c:v>
                </c:pt>
                <c:pt idx="140">
                  <c:v>0.017</c:v>
                </c:pt>
                <c:pt idx="141">
                  <c:v>0.01681</c:v>
                </c:pt>
                <c:pt idx="142">
                  <c:v>0.01661</c:v>
                </c:pt>
                <c:pt idx="143">
                  <c:v>0.01643</c:v>
                </c:pt>
                <c:pt idx="144">
                  <c:v>0.01624</c:v>
                </c:pt>
                <c:pt idx="145">
                  <c:v>0.01606</c:v>
                </c:pt>
                <c:pt idx="146">
                  <c:v>0.01588</c:v>
                </c:pt>
                <c:pt idx="147">
                  <c:v>0.01571</c:v>
                </c:pt>
                <c:pt idx="148">
                  <c:v>0.01554</c:v>
                </c:pt>
                <c:pt idx="149">
                  <c:v>0.01537</c:v>
                </c:pt>
                <c:pt idx="150">
                  <c:v>0.0152</c:v>
                </c:pt>
                <c:pt idx="151">
                  <c:v>0.01503</c:v>
                </c:pt>
                <c:pt idx="152">
                  <c:v>0.01486</c:v>
                </c:pt>
                <c:pt idx="153">
                  <c:v>0.0147</c:v>
                </c:pt>
                <c:pt idx="154">
                  <c:v>0.01454</c:v>
                </c:pt>
                <c:pt idx="155">
                  <c:v>0.01439</c:v>
                </c:pt>
                <c:pt idx="156">
                  <c:v>0.01424</c:v>
                </c:pt>
                <c:pt idx="157">
                  <c:v>0.01409</c:v>
                </c:pt>
                <c:pt idx="158">
                  <c:v>0.01395</c:v>
                </c:pt>
                <c:pt idx="159">
                  <c:v>0.01382</c:v>
                </c:pt>
                <c:pt idx="160">
                  <c:v>0.0137</c:v>
                </c:pt>
                <c:pt idx="161">
                  <c:v>0.01358</c:v>
                </c:pt>
                <c:pt idx="162">
                  <c:v>0.01348</c:v>
                </c:pt>
                <c:pt idx="163">
                  <c:v>0.01336</c:v>
                </c:pt>
                <c:pt idx="164">
                  <c:v>0.01326</c:v>
                </c:pt>
                <c:pt idx="165">
                  <c:v>0.01316</c:v>
                </c:pt>
                <c:pt idx="166">
                  <c:v>0.01306</c:v>
                </c:pt>
                <c:pt idx="167">
                  <c:v>0.01297</c:v>
                </c:pt>
                <c:pt idx="168">
                  <c:v>0.01288</c:v>
                </c:pt>
                <c:pt idx="169">
                  <c:v>0.01279</c:v>
                </c:pt>
                <c:pt idx="170">
                  <c:v>0.01271</c:v>
                </c:pt>
                <c:pt idx="171">
                  <c:v>0.01262</c:v>
                </c:pt>
                <c:pt idx="172">
                  <c:v>0.01253</c:v>
                </c:pt>
                <c:pt idx="173">
                  <c:v>0.01245</c:v>
                </c:pt>
                <c:pt idx="174">
                  <c:v>0.01237</c:v>
                </c:pt>
                <c:pt idx="175">
                  <c:v>0.01229</c:v>
                </c:pt>
                <c:pt idx="176">
                  <c:v>0.01222</c:v>
                </c:pt>
                <c:pt idx="177">
                  <c:v>0.01214</c:v>
                </c:pt>
                <c:pt idx="178">
                  <c:v>0.01207</c:v>
                </c:pt>
                <c:pt idx="179">
                  <c:v>0.01199</c:v>
                </c:pt>
                <c:pt idx="180">
                  <c:v>0.01192</c:v>
                </c:pt>
                <c:pt idx="181">
                  <c:v>0.01184</c:v>
                </c:pt>
                <c:pt idx="182">
                  <c:v>0.01177</c:v>
                </c:pt>
                <c:pt idx="183">
                  <c:v>0.0117</c:v>
                </c:pt>
                <c:pt idx="184">
                  <c:v>0.01163</c:v>
                </c:pt>
                <c:pt idx="185">
                  <c:v>0.01156</c:v>
                </c:pt>
                <c:pt idx="186">
                  <c:v>0.01149</c:v>
                </c:pt>
                <c:pt idx="187">
                  <c:v>0.01142</c:v>
                </c:pt>
                <c:pt idx="188">
                  <c:v>0.01135</c:v>
                </c:pt>
                <c:pt idx="189">
                  <c:v>0.01129</c:v>
                </c:pt>
                <c:pt idx="190">
                  <c:v>0.01122</c:v>
                </c:pt>
                <c:pt idx="191">
                  <c:v>0.01115</c:v>
                </c:pt>
                <c:pt idx="192">
                  <c:v>0.01109</c:v>
                </c:pt>
                <c:pt idx="193">
                  <c:v>0.01102</c:v>
                </c:pt>
                <c:pt idx="194">
                  <c:v>0.01096</c:v>
                </c:pt>
                <c:pt idx="195">
                  <c:v>0.0109</c:v>
                </c:pt>
                <c:pt idx="196">
                  <c:v>0.01083</c:v>
                </c:pt>
                <c:pt idx="197">
                  <c:v>0.01077</c:v>
                </c:pt>
                <c:pt idx="198">
                  <c:v>0.01071</c:v>
                </c:pt>
                <c:pt idx="199">
                  <c:v>0.01065</c:v>
                </c:pt>
                <c:pt idx="200">
                  <c:v>0.01059</c:v>
                </c:pt>
                <c:pt idx="201">
                  <c:v>0.01053</c:v>
                </c:pt>
                <c:pt idx="202">
                  <c:v>0.01047</c:v>
                </c:pt>
                <c:pt idx="203">
                  <c:v>0.01041</c:v>
                </c:pt>
                <c:pt idx="204">
                  <c:v>0.01035</c:v>
                </c:pt>
                <c:pt idx="205">
                  <c:v>0.0103</c:v>
                </c:pt>
                <c:pt idx="206">
                  <c:v>0.01024</c:v>
                </c:pt>
                <c:pt idx="207">
                  <c:v>0.01018</c:v>
                </c:pt>
                <c:pt idx="208">
                  <c:v>0.01013</c:v>
                </c:pt>
                <c:pt idx="209">
                  <c:v>0.01007</c:v>
                </c:pt>
                <c:pt idx="210">
                  <c:v>0.01002</c:v>
                </c:pt>
                <c:pt idx="211">
                  <c:v>0.009962</c:v>
                </c:pt>
                <c:pt idx="212">
                  <c:v>0.009908</c:v>
                </c:pt>
                <c:pt idx="213">
                  <c:v>0.009855</c:v>
                </c:pt>
                <c:pt idx="214">
                  <c:v>0.009802</c:v>
                </c:pt>
                <c:pt idx="215">
                  <c:v>0.009749</c:v>
                </c:pt>
                <c:pt idx="216">
                  <c:v>0.009697</c:v>
                </c:pt>
                <c:pt idx="217">
                  <c:v>0.009646</c:v>
                </c:pt>
                <c:pt idx="218">
                  <c:v>0.009595</c:v>
                </c:pt>
                <c:pt idx="219">
                  <c:v>0.009544</c:v>
                </c:pt>
                <c:pt idx="220">
                  <c:v>0.009494</c:v>
                </c:pt>
                <c:pt idx="221">
                  <c:v>0.009444</c:v>
                </c:pt>
                <c:pt idx="222">
                  <c:v>0.009393</c:v>
                </c:pt>
                <c:pt idx="223">
                  <c:v>0.009344</c:v>
                </c:pt>
                <c:pt idx="224">
                  <c:v>0.009295</c:v>
                </c:pt>
                <c:pt idx="225">
                  <c:v>0.009246</c:v>
                </c:pt>
                <c:pt idx="226">
                  <c:v>0.009197</c:v>
                </c:pt>
                <c:pt idx="227">
                  <c:v>0.009148</c:v>
                </c:pt>
                <c:pt idx="228">
                  <c:v>0.009098</c:v>
                </c:pt>
                <c:pt idx="229">
                  <c:v>0.009049</c:v>
                </c:pt>
                <c:pt idx="230">
                  <c:v>0.008999</c:v>
                </c:pt>
                <c:pt idx="231">
                  <c:v>0.008949</c:v>
                </c:pt>
                <c:pt idx="232">
                  <c:v>0.008899</c:v>
                </c:pt>
                <c:pt idx="233">
                  <c:v>0.008849</c:v>
                </c:pt>
                <c:pt idx="234">
                  <c:v>0.008799</c:v>
                </c:pt>
                <c:pt idx="235">
                  <c:v>0.008748</c:v>
                </c:pt>
                <c:pt idx="236">
                  <c:v>0.008696</c:v>
                </c:pt>
                <c:pt idx="237">
                  <c:v>0.008645</c:v>
                </c:pt>
                <c:pt idx="238">
                  <c:v>0.008594</c:v>
                </c:pt>
                <c:pt idx="239">
                  <c:v>0.008543</c:v>
                </c:pt>
                <c:pt idx="240">
                  <c:v>0.008492</c:v>
                </c:pt>
                <c:pt idx="241">
                  <c:v>0.008441</c:v>
                </c:pt>
                <c:pt idx="242">
                  <c:v>0.00839</c:v>
                </c:pt>
                <c:pt idx="243">
                  <c:v>0.00834</c:v>
                </c:pt>
                <c:pt idx="244">
                  <c:v>0.00829</c:v>
                </c:pt>
                <c:pt idx="245">
                  <c:v>0.00824</c:v>
                </c:pt>
                <c:pt idx="246">
                  <c:v>0.00819</c:v>
                </c:pt>
                <c:pt idx="247">
                  <c:v>0.008142</c:v>
                </c:pt>
                <c:pt idx="248">
                  <c:v>0.008093</c:v>
                </c:pt>
                <c:pt idx="249">
                  <c:v>0.008045</c:v>
                </c:pt>
                <c:pt idx="250">
                  <c:v>0.007997</c:v>
                </c:pt>
                <c:pt idx="251">
                  <c:v>0.00795</c:v>
                </c:pt>
                <c:pt idx="252">
                  <c:v>0.007903</c:v>
                </c:pt>
                <c:pt idx="253">
                  <c:v>0.007857</c:v>
                </c:pt>
                <c:pt idx="254">
                  <c:v>0.007812</c:v>
                </c:pt>
                <c:pt idx="255">
                  <c:v>0.007766</c:v>
                </c:pt>
                <c:pt idx="256">
                  <c:v>0.007721</c:v>
                </c:pt>
                <c:pt idx="257">
                  <c:v>0.007677</c:v>
                </c:pt>
                <c:pt idx="258">
                  <c:v>0.007633</c:v>
                </c:pt>
                <c:pt idx="259">
                  <c:v>0.007589</c:v>
                </c:pt>
                <c:pt idx="260">
                  <c:v>0.007546</c:v>
                </c:pt>
                <c:pt idx="261">
                  <c:v>0.007503</c:v>
                </c:pt>
                <c:pt idx="262">
                  <c:v>0.00746</c:v>
                </c:pt>
                <c:pt idx="263">
                  <c:v>0.007418</c:v>
                </c:pt>
                <c:pt idx="264">
                  <c:v>0.007376</c:v>
                </c:pt>
                <c:pt idx="265">
                  <c:v>0.007335</c:v>
                </c:pt>
                <c:pt idx="266">
                  <c:v>0.007294</c:v>
                </c:pt>
                <c:pt idx="267">
                  <c:v>0.007254</c:v>
                </c:pt>
                <c:pt idx="268">
                  <c:v>0.007214</c:v>
                </c:pt>
                <c:pt idx="269">
                  <c:v>0.007174</c:v>
                </c:pt>
                <c:pt idx="270">
                  <c:v>0.007134</c:v>
                </c:pt>
                <c:pt idx="271">
                  <c:v>0.007095</c:v>
                </c:pt>
                <c:pt idx="272">
                  <c:v>0.007056</c:v>
                </c:pt>
                <c:pt idx="273">
                  <c:v>0.007018</c:v>
                </c:pt>
                <c:pt idx="274">
                  <c:v>0.00698</c:v>
                </c:pt>
                <c:pt idx="275">
                  <c:v>0.006942</c:v>
                </c:pt>
                <c:pt idx="276">
                  <c:v>0.006905</c:v>
                </c:pt>
                <c:pt idx="277">
                  <c:v>0.006868</c:v>
                </c:pt>
                <c:pt idx="278">
                  <c:v>0.006831</c:v>
                </c:pt>
                <c:pt idx="279">
                  <c:v>0.006795</c:v>
                </c:pt>
                <c:pt idx="280">
                  <c:v>0.006759</c:v>
                </c:pt>
                <c:pt idx="281">
                  <c:v>0.006723</c:v>
                </c:pt>
                <c:pt idx="282">
                  <c:v>0.006687</c:v>
                </c:pt>
                <c:pt idx="283">
                  <c:v>0.006652</c:v>
                </c:pt>
                <c:pt idx="284">
                  <c:v>0.006617</c:v>
                </c:pt>
                <c:pt idx="285">
                  <c:v>0.006583</c:v>
                </c:pt>
                <c:pt idx="286">
                  <c:v>0.006549</c:v>
                </c:pt>
                <c:pt idx="287">
                  <c:v>0.006515</c:v>
                </c:pt>
                <c:pt idx="288">
                  <c:v>0.006481</c:v>
                </c:pt>
              </c:numCache>
            </c:numRef>
          </c:xVal>
          <c:yVal>
            <c:numRef>
              <c:f>'[1]3MCS1- in1'!$I$5:$I$914</c:f>
              <c:numCache>
                <c:formatCode>General</c:formatCode>
                <c:ptCount val="910"/>
                <c:pt idx="0">
                  <c:v>0.0</c:v>
                </c:pt>
                <c:pt idx="1">
                  <c:v>0.0018</c:v>
                </c:pt>
                <c:pt idx="2">
                  <c:v>0.00216</c:v>
                </c:pt>
                <c:pt idx="3">
                  <c:v>0.00252</c:v>
                </c:pt>
                <c:pt idx="4">
                  <c:v>0.00288</c:v>
                </c:pt>
                <c:pt idx="5">
                  <c:v>0.00324</c:v>
                </c:pt>
                <c:pt idx="6">
                  <c:v>0.0036</c:v>
                </c:pt>
                <c:pt idx="7">
                  <c:v>0.00396</c:v>
                </c:pt>
                <c:pt idx="8">
                  <c:v>0.00414</c:v>
                </c:pt>
                <c:pt idx="9">
                  <c:v>0.00432</c:v>
                </c:pt>
                <c:pt idx="10">
                  <c:v>0.00468</c:v>
                </c:pt>
                <c:pt idx="11">
                  <c:v>0.00504</c:v>
                </c:pt>
                <c:pt idx="12">
                  <c:v>0.0054</c:v>
                </c:pt>
                <c:pt idx="13">
                  <c:v>0.00558</c:v>
                </c:pt>
                <c:pt idx="14">
                  <c:v>0.00594</c:v>
                </c:pt>
                <c:pt idx="15">
                  <c:v>0.0063</c:v>
                </c:pt>
                <c:pt idx="16">
                  <c:v>0.00666</c:v>
                </c:pt>
                <c:pt idx="17">
                  <c:v>0.0072</c:v>
                </c:pt>
                <c:pt idx="18">
                  <c:v>0.00756</c:v>
                </c:pt>
                <c:pt idx="19">
                  <c:v>0.0081</c:v>
                </c:pt>
                <c:pt idx="20">
                  <c:v>0.00864</c:v>
                </c:pt>
                <c:pt idx="21">
                  <c:v>0.009</c:v>
                </c:pt>
                <c:pt idx="22">
                  <c:v>0.00972</c:v>
                </c:pt>
                <c:pt idx="23">
                  <c:v>0.01044</c:v>
                </c:pt>
                <c:pt idx="24">
                  <c:v>0.01116</c:v>
                </c:pt>
                <c:pt idx="25">
                  <c:v>0.0117</c:v>
                </c:pt>
                <c:pt idx="26">
                  <c:v>0.01242</c:v>
                </c:pt>
                <c:pt idx="27">
                  <c:v>0.01314</c:v>
                </c:pt>
                <c:pt idx="28">
                  <c:v>0.01368</c:v>
                </c:pt>
                <c:pt idx="29">
                  <c:v>0.0144</c:v>
                </c:pt>
                <c:pt idx="30">
                  <c:v>0.01512</c:v>
                </c:pt>
                <c:pt idx="31">
                  <c:v>0.01584</c:v>
                </c:pt>
                <c:pt idx="32">
                  <c:v>0.01638</c:v>
                </c:pt>
                <c:pt idx="33">
                  <c:v>0.0171</c:v>
                </c:pt>
                <c:pt idx="34">
                  <c:v>0.01764</c:v>
                </c:pt>
                <c:pt idx="35">
                  <c:v>0.01836</c:v>
                </c:pt>
                <c:pt idx="36">
                  <c:v>0.0189</c:v>
                </c:pt>
                <c:pt idx="37">
                  <c:v>0.01962</c:v>
                </c:pt>
                <c:pt idx="38">
                  <c:v>0.02016</c:v>
                </c:pt>
                <c:pt idx="39">
                  <c:v>0.0207</c:v>
                </c:pt>
                <c:pt idx="40">
                  <c:v>0.02142</c:v>
                </c:pt>
                <c:pt idx="41">
                  <c:v>0.02196</c:v>
                </c:pt>
                <c:pt idx="42">
                  <c:v>0.02232</c:v>
                </c:pt>
                <c:pt idx="43">
                  <c:v>0.02286</c:v>
                </c:pt>
                <c:pt idx="44">
                  <c:v>0.02322</c:v>
                </c:pt>
                <c:pt idx="45">
                  <c:v>0.02358</c:v>
                </c:pt>
                <c:pt idx="46">
                  <c:v>0.02394</c:v>
                </c:pt>
                <c:pt idx="47">
                  <c:v>0.0243</c:v>
                </c:pt>
                <c:pt idx="48">
                  <c:v>0.02466</c:v>
                </c:pt>
                <c:pt idx="49">
                  <c:v>0.02502</c:v>
                </c:pt>
                <c:pt idx="50">
                  <c:v>0.02556</c:v>
                </c:pt>
                <c:pt idx="51">
                  <c:v>0.0261</c:v>
                </c:pt>
                <c:pt idx="52">
                  <c:v>0.02664</c:v>
                </c:pt>
                <c:pt idx="53">
                  <c:v>0.02736</c:v>
                </c:pt>
                <c:pt idx="54">
                  <c:v>0.02808</c:v>
                </c:pt>
                <c:pt idx="55">
                  <c:v>0.0288</c:v>
                </c:pt>
                <c:pt idx="56">
                  <c:v>0.02952</c:v>
                </c:pt>
                <c:pt idx="57">
                  <c:v>0.03042</c:v>
                </c:pt>
                <c:pt idx="58">
                  <c:v>0.03114</c:v>
                </c:pt>
                <c:pt idx="59">
                  <c:v>0.03204</c:v>
                </c:pt>
                <c:pt idx="60">
                  <c:v>0.03312</c:v>
                </c:pt>
                <c:pt idx="61">
                  <c:v>0.0342</c:v>
                </c:pt>
                <c:pt idx="62">
                  <c:v>0.0351</c:v>
                </c:pt>
                <c:pt idx="63">
                  <c:v>0.03618</c:v>
                </c:pt>
                <c:pt idx="64">
                  <c:v>0.03726</c:v>
                </c:pt>
                <c:pt idx="65">
                  <c:v>0.03816</c:v>
                </c:pt>
                <c:pt idx="66">
                  <c:v>0.03924</c:v>
                </c:pt>
                <c:pt idx="67">
                  <c:v>0.04014</c:v>
                </c:pt>
                <c:pt idx="68">
                  <c:v>0.0414</c:v>
                </c:pt>
                <c:pt idx="69">
                  <c:v>0.04248</c:v>
                </c:pt>
                <c:pt idx="70">
                  <c:v>0.04356</c:v>
                </c:pt>
                <c:pt idx="71">
                  <c:v>0.04482</c:v>
                </c:pt>
                <c:pt idx="72">
                  <c:v>0.0459</c:v>
                </c:pt>
                <c:pt idx="73">
                  <c:v>0.04716</c:v>
                </c:pt>
                <c:pt idx="74">
                  <c:v>0.04842</c:v>
                </c:pt>
                <c:pt idx="75">
                  <c:v>0.04968</c:v>
                </c:pt>
                <c:pt idx="76">
                  <c:v>0.05094</c:v>
                </c:pt>
                <c:pt idx="77">
                  <c:v>0.05238</c:v>
                </c:pt>
                <c:pt idx="78">
                  <c:v>0.05364</c:v>
                </c:pt>
                <c:pt idx="79">
                  <c:v>0.0549</c:v>
                </c:pt>
                <c:pt idx="80">
                  <c:v>0.05616</c:v>
                </c:pt>
                <c:pt idx="81">
                  <c:v>0.0576</c:v>
                </c:pt>
                <c:pt idx="82">
                  <c:v>0.05868</c:v>
                </c:pt>
                <c:pt idx="83">
                  <c:v>0.05976</c:v>
                </c:pt>
                <c:pt idx="84">
                  <c:v>0.06066</c:v>
                </c:pt>
                <c:pt idx="85">
                  <c:v>0.06174</c:v>
                </c:pt>
                <c:pt idx="86">
                  <c:v>0.06264</c:v>
                </c:pt>
                <c:pt idx="87">
                  <c:v>0.06354</c:v>
                </c:pt>
                <c:pt idx="88">
                  <c:v>0.0648</c:v>
                </c:pt>
                <c:pt idx="89">
                  <c:v>0.06588</c:v>
                </c:pt>
                <c:pt idx="90">
                  <c:v>0.06714</c:v>
                </c:pt>
                <c:pt idx="91">
                  <c:v>0.0684</c:v>
                </c:pt>
                <c:pt idx="92">
                  <c:v>0.06966</c:v>
                </c:pt>
                <c:pt idx="93">
                  <c:v>0.0711</c:v>
                </c:pt>
                <c:pt idx="94">
                  <c:v>0.07254</c:v>
                </c:pt>
                <c:pt idx="95">
                  <c:v>0.07416</c:v>
                </c:pt>
                <c:pt idx="96">
                  <c:v>0.07578</c:v>
                </c:pt>
                <c:pt idx="97">
                  <c:v>0.07722</c:v>
                </c:pt>
                <c:pt idx="98">
                  <c:v>0.07884</c:v>
                </c:pt>
                <c:pt idx="99">
                  <c:v>0.08046</c:v>
                </c:pt>
                <c:pt idx="100">
                  <c:v>0.0819</c:v>
                </c:pt>
                <c:pt idx="101">
                  <c:v>0.0837</c:v>
                </c:pt>
                <c:pt idx="102">
                  <c:v>0.08532</c:v>
                </c:pt>
                <c:pt idx="103">
                  <c:v>0.08694</c:v>
                </c:pt>
                <c:pt idx="104">
                  <c:v>0.08838</c:v>
                </c:pt>
                <c:pt idx="105">
                  <c:v>0.08982</c:v>
                </c:pt>
                <c:pt idx="106">
                  <c:v>0.09144</c:v>
                </c:pt>
                <c:pt idx="107">
                  <c:v>0.0927</c:v>
                </c:pt>
                <c:pt idx="108">
                  <c:v>0.09414</c:v>
                </c:pt>
                <c:pt idx="109">
                  <c:v>0.0954</c:v>
                </c:pt>
                <c:pt idx="110">
                  <c:v>0.09648</c:v>
                </c:pt>
                <c:pt idx="111">
                  <c:v>0.09756</c:v>
                </c:pt>
                <c:pt idx="112">
                  <c:v>0.09864</c:v>
                </c:pt>
                <c:pt idx="113">
                  <c:v>0.09954</c:v>
                </c:pt>
                <c:pt idx="114">
                  <c:v>0.10044</c:v>
                </c:pt>
                <c:pt idx="115">
                  <c:v>0.10134</c:v>
                </c:pt>
                <c:pt idx="116">
                  <c:v>0.10224</c:v>
                </c:pt>
                <c:pt idx="117">
                  <c:v>0.10314</c:v>
                </c:pt>
                <c:pt idx="118">
                  <c:v>0.10404</c:v>
                </c:pt>
                <c:pt idx="119">
                  <c:v>0.10494</c:v>
                </c:pt>
                <c:pt idx="120">
                  <c:v>0.10584</c:v>
                </c:pt>
                <c:pt idx="121">
                  <c:v>0.10674</c:v>
                </c:pt>
                <c:pt idx="122">
                  <c:v>0.10764</c:v>
                </c:pt>
                <c:pt idx="123">
                  <c:v>0.10872</c:v>
                </c:pt>
                <c:pt idx="124">
                  <c:v>0.10962</c:v>
                </c:pt>
                <c:pt idx="125">
                  <c:v>0.11052</c:v>
                </c:pt>
                <c:pt idx="126">
                  <c:v>0.11124</c:v>
                </c:pt>
                <c:pt idx="127">
                  <c:v>0.11214</c:v>
                </c:pt>
                <c:pt idx="128">
                  <c:v>0.11286</c:v>
                </c:pt>
                <c:pt idx="129">
                  <c:v>0.11358</c:v>
                </c:pt>
                <c:pt idx="130">
                  <c:v>0.11448</c:v>
                </c:pt>
                <c:pt idx="131">
                  <c:v>0.1152</c:v>
                </c:pt>
                <c:pt idx="132">
                  <c:v>0.11574</c:v>
                </c:pt>
                <c:pt idx="133">
                  <c:v>0.11646</c:v>
                </c:pt>
                <c:pt idx="134">
                  <c:v>0.117</c:v>
                </c:pt>
                <c:pt idx="135">
                  <c:v>0.11754</c:v>
                </c:pt>
                <c:pt idx="136">
                  <c:v>0.11808</c:v>
                </c:pt>
                <c:pt idx="137">
                  <c:v>0.1188</c:v>
                </c:pt>
                <c:pt idx="138">
                  <c:v>0.11934</c:v>
                </c:pt>
                <c:pt idx="139">
                  <c:v>0.12006</c:v>
                </c:pt>
                <c:pt idx="140">
                  <c:v>0.12078</c:v>
                </c:pt>
                <c:pt idx="141">
                  <c:v>0.1215</c:v>
                </c:pt>
                <c:pt idx="142">
                  <c:v>0.12222</c:v>
                </c:pt>
                <c:pt idx="143">
                  <c:v>0.12312</c:v>
                </c:pt>
                <c:pt idx="144">
                  <c:v>0.12402</c:v>
                </c:pt>
                <c:pt idx="145">
                  <c:v>0.12492</c:v>
                </c:pt>
                <c:pt idx="146">
                  <c:v>0.12582</c:v>
                </c:pt>
                <c:pt idx="147">
                  <c:v>0.12672</c:v>
                </c:pt>
                <c:pt idx="148">
                  <c:v>0.12744</c:v>
                </c:pt>
                <c:pt idx="149">
                  <c:v>0.12834</c:v>
                </c:pt>
                <c:pt idx="150">
                  <c:v>0.12924</c:v>
                </c:pt>
                <c:pt idx="151">
                  <c:v>0.12996</c:v>
                </c:pt>
                <c:pt idx="152">
                  <c:v>0.13068</c:v>
                </c:pt>
                <c:pt idx="153">
                  <c:v>0.1314</c:v>
                </c:pt>
                <c:pt idx="154">
                  <c:v>0.13194</c:v>
                </c:pt>
                <c:pt idx="155">
                  <c:v>0.13266</c:v>
                </c:pt>
                <c:pt idx="156">
                  <c:v>0.1332</c:v>
                </c:pt>
                <c:pt idx="157">
                  <c:v>0.13374</c:v>
                </c:pt>
                <c:pt idx="158">
                  <c:v>0.13428</c:v>
                </c:pt>
                <c:pt idx="159">
                  <c:v>0.13482</c:v>
                </c:pt>
                <c:pt idx="160">
                  <c:v>0.13518</c:v>
                </c:pt>
                <c:pt idx="161">
                  <c:v>0.13554</c:v>
                </c:pt>
                <c:pt idx="162">
                  <c:v>0.1359</c:v>
                </c:pt>
                <c:pt idx="163">
                  <c:v>0.13626</c:v>
                </c:pt>
                <c:pt idx="164">
                  <c:v>0.13662</c:v>
                </c:pt>
                <c:pt idx="165">
                  <c:v>0.13698</c:v>
                </c:pt>
                <c:pt idx="166">
                  <c:v>0.13752</c:v>
                </c:pt>
                <c:pt idx="167">
                  <c:v>0.1377</c:v>
                </c:pt>
                <c:pt idx="168">
                  <c:v>0.13806</c:v>
                </c:pt>
                <c:pt idx="169">
                  <c:v>0.13842</c:v>
                </c:pt>
                <c:pt idx="170">
                  <c:v>0.13878</c:v>
                </c:pt>
                <c:pt idx="171">
                  <c:v>0.13914</c:v>
                </c:pt>
                <c:pt idx="172">
                  <c:v>0.1395</c:v>
                </c:pt>
                <c:pt idx="173">
                  <c:v>0.13986</c:v>
                </c:pt>
                <c:pt idx="174">
                  <c:v>0.1404</c:v>
                </c:pt>
                <c:pt idx="175">
                  <c:v>0.14076</c:v>
                </c:pt>
                <c:pt idx="176">
                  <c:v>0.1413</c:v>
                </c:pt>
                <c:pt idx="177">
                  <c:v>0.14184</c:v>
                </c:pt>
                <c:pt idx="178">
                  <c:v>0.14238</c:v>
                </c:pt>
                <c:pt idx="179">
                  <c:v>0.14292</c:v>
                </c:pt>
                <c:pt idx="180">
                  <c:v>0.14328</c:v>
                </c:pt>
                <c:pt idx="181">
                  <c:v>0.14382</c:v>
                </c:pt>
                <c:pt idx="182">
                  <c:v>0.14418</c:v>
                </c:pt>
                <c:pt idx="183">
                  <c:v>0.14472</c:v>
                </c:pt>
                <c:pt idx="184">
                  <c:v>0.14508</c:v>
                </c:pt>
                <c:pt idx="185">
                  <c:v>0.14544</c:v>
                </c:pt>
                <c:pt idx="186">
                  <c:v>0.1458</c:v>
                </c:pt>
                <c:pt idx="187">
                  <c:v>0.14616</c:v>
                </c:pt>
                <c:pt idx="188">
                  <c:v>0.14652</c:v>
                </c:pt>
                <c:pt idx="189">
                  <c:v>0.14688</c:v>
                </c:pt>
                <c:pt idx="190">
                  <c:v>0.14724</c:v>
                </c:pt>
                <c:pt idx="191">
                  <c:v>0.1476</c:v>
                </c:pt>
                <c:pt idx="192">
                  <c:v>0.14814</c:v>
                </c:pt>
                <c:pt idx="193">
                  <c:v>0.14868</c:v>
                </c:pt>
                <c:pt idx="194">
                  <c:v>0.14922</c:v>
                </c:pt>
                <c:pt idx="195">
                  <c:v>0.14976</c:v>
                </c:pt>
                <c:pt idx="196">
                  <c:v>0.1503</c:v>
                </c:pt>
                <c:pt idx="197">
                  <c:v>0.15084</c:v>
                </c:pt>
                <c:pt idx="198">
                  <c:v>0.15138</c:v>
                </c:pt>
                <c:pt idx="199">
                  <c:v>0.15192</c:v>
                </c:pt>
                <c:pt idx="200">
                  <c:v>0.15228</c:v>
                </c:pt>
                <c:pt idx="201">
                  <c:v>0.15282</c:v>
                </c:pt>
                <c:pt idx="202">
                  <c:v>0.15336</c:v>
                </c:pt>
                <c:pt idx="203">
                  <c:v>0.15372</c:v>
                </c:pt>
                <c:pt idx="204">
                  <c:v>0.15426</c:v>
                </c:pt>
                <c:pt idx="205">
                  <c:v>0.15462</c:v>
                </c:pt>
                <c:pt idx="206">
                  <c:v>0.15498</c:v>
                </c:pt>
                <c:pt idx="207">
                  <c:v>0.15534</c:v>
                </c:pt>
                <c:pt idx="208">
                  <c:v>0.1557</c:v>
                </c:pt>
                <c:pt idx="209">
                  <c:v>0.15606</c:v>
                </c:pt>
                <c:pt idx="210">
                  <c:v>0.15642</c:v>
                </c:pt>
                <c:pt idx="211">
                  <c:v>0.15696</c:v>
                </c:pt>
                <c:pt idx="212">
                  <c:v>0.15714</c:v>
                </c:pt>
                <c:pt idx="213">
                  <c:v>0.1575</c:v>
                </c:pt>
                <c:pt idx="214">
                  <c:v>0.15804</c:v>
                </c:pt>
                <c:pt idx="215">
                  <c:v>0.1584</c:v>
                </c:pt>
                <c:pt idx="216">
                  <c:v>0.15894</c:v>
                </c:pt>
                <c:pt idx="217">
                  <c:v>0.15948</c:v>
                </c:pt>
                <c:pt idx="218">
                  <c:v>0.16002</c:v>
                </c:pt>
                <c:pt idx="219">
                  <c:v>0.16056</c:v>
                </c:pt>
                <c:pt idx="220">
                  <c:v>0.16092</c:v>
                </c:pt>
                <c:pt idx="221">
                  <c:v>0.16146</c:v>
                </c:pt>
                <c:pt idx="222">
                  <c:v>0.16182</c:v>
                </c:pt>
                <c:pt idx="223">
                  <c:v>0.16236</c:v>
                </c:pt>
                <c:pt idx="224">
                  <c:v>0.1629</c:v>
                </c:pt>
                <c:pt idx="225">
                  <c:v>0.16326</c:v>
                </c:pt>
                <c:pt idx="226">
                  <c:v>0.16362</c:v>
                </c:pt>
                <c:pt idx="227">
                  <c:v>0.16416</c:v>
                </c:pt>
                <c:pt idx="228">
                  <c:v>0.16434</c:v>
                </c:pt>
                <c:pt idx="229">
                  <c:v>0.16488</c:v>
                </c:pt>
                <c:pt idx="230">
                  <c:v>0.16524</c:v>
                </c:pt>
                <c:pt idx="231">
                  <c:v>0.1656</c:v>
                </c:pt>
                <c:pt idx="232">
                  <c:v>0.16596</c:v>
                </c:pt>
                <c:pt idx="233">
                  <c:v>0.1665</c:v>
                </c:pt>
                <c:pt idx="234">
                  <c:v>0.16686</c:v>
                </c:pt>
                <c:pt idx="235">
                  <c:v>0.16722</c:v>
                </c:pt>
                <c:pt idx="236">
                  <c:v>0.16776</c:v>
                </c:pt>
                <c:pt idx="237">
                  <c:v>0.1683</c:v>
                </c:pt>
                <c:pt idx="238">
                  <c:v>0.16866</c:v>
                </c:pt>
                <c:pt idx="239">
                  <c:v>0.1692</c:v>
                </c:pt>
                <c:pt idx="240">
                  <c:v>0.16956</c:v>
                </c:pt>
                <c:pt idx="241">
                  <c:v>0.16974</c:v>
                </c:pt>
                <c:pt idx="242">
                  <c:v>0.1701</c:v>
                </c:pt>
                <c:pt idx="243">
                  <c:v>0.17046</c:v>
                </c:pt>
                <c:pt idx="244">
                  <c:v>0.17082</c:v>
                </c:pt>
                <c:pt idx="245">
                  <c:v>0.17118</c:v>
                </c:pt>
                <c:pt idx="246">
                  <c:v>0.17154</c:v>
                </c:pt>
                <c:pt idx="247">
                  <c:v>0.17172</c:v>
                </c:pt>
                <c:pt idx="248">
                  <c:v>0.17208</c:v>
                </c:pt>
                <c:pt idx="249">
                  <c:v>0.17244</c:v>
                </c:pt>
                <c:pt idx="250">
                  <c:v>0.17262</c:v>
                </c:pt>
                <c:pt idx="251">
                  <c:v>0.17298</c:v>
                </c:pt>
                <c:pt idx="252">
                  <c:v>0.17334</c:v>
                </c:pt>
                <c:pt idx="253">
                  <c:v>0.17352</c:v>
                </c:pt>
                <c:pt idx="254">
                  <c:v>0.17388</c:v>
                </c:pt>
                <c:pt idx="255">
                  <c:v>0.17406</c:v>
                </c:pt>
                <c:pt idx="256">
                  <c:v>0.17442</c:v>
                </c:pt>
                <c:pt idx="257">
                  <c:v>0.1746</c:v>
                </c:pt>
                <c:pt idx="258">
                  <c:v>0.17496</c:v>
                </c:pt>
                <c:pt idx="259">
                  <c:v>0.17532</c:v>
                </c:pt>
                <c:pt idx="260">
                  <c:v>0.17568</c:v>
                </c:pt>
                <c:pt idx="261">
                  <c:v>0.17604</c:v>
                </c:pt>
                <c:pt idx="262">
                  <c:v>0.1764</c:v>
                </c:pt>
                <c:pt idx="263">
                  <c:v>0.17676</c:v>
                </c:pt>
                <c:pt idx="264">
                  <c:v>0.1773</c:v>
                </c:pt>
                <c:pt idx="265">
                  <c:v>0.17784</c:v>
                </c:pt>
                <c:pt idx="266">
                  <c:v>0.17838</c:v>
                </c:pt>
                <c:pt idx="267">
                  <c:v>0.17892</c:v>
                </c:pt>
                <c:pt idx="268">
                  <c:v>0.17946</c:v>
                </c:pt>
                <c:pt idx="269">
                  <c:v>0.18</c:v>
                </c:pt>
                <c:pt idx="270">
                  <c:v>0.18054</c:v>
                </c:pt>
                <c:pt idx="271">
                  <c:v>0.1809</c:v>
                </c:pt>
                <c:pt idx="272">
                  <c:v>0.18144</c:v>
                </c:pt>
                <c:pt idx="273">
                  <c:v>0.18198</c:v>
                </c:pt>
                <c:pt idx="274">
                  <c:v>0.18252</c:v>
                </c:pt>
                <c:pt idx="275">
                  <c:v>0.18306</c:v>
                </c:pt>
                <c:pt idx="276">
                  <c:v>0.18342</c:v>
                </c:pt>
                <c:pt idx="277">
                  <c:v>0.18396</c:v>
                </c:pt>
                <c:pt idx="278">
                  <c:v>0.18432</c:v>
                </c:pt>
                <c:pt idx="279">
                  <c:v>0.18486</c:v>
                </c:pt>
                <c:pt idx="280">
                  <c:v>0.18522</c:v>
                </c:pt>
                <c:pt idx="281">
                  <c:v>0.18576</c:v>
                </c:pt>
                <c:pt idx="282">
                  <c:v>0.1863</c:v>
                </c:pt>
                <c:pt idx="283">
                  <c:v>0.18666</c:v>
                </c:pt>
                <c:pt idx="284">
                  <c:v>0.1872</c:v>
                </c:pt>
                <c:pt idx="285">
                  <c:v>0.18774</c:v>
                </c:pt>
                <c:pt idx="286">
                  <c:v>0.18828</c:v>
                </c:pt>
                <c:pt idx="287">
                  <c:v>0.18864</c:v>
                </c:pt>
                <c:pt idx="288">
                  <c:v>0.189</c:v>
                </c:pt>
              </c:numCache>
            </c:numRef>
          </c:yVal>
          <c:smooth val="0"/>
        </c:ser>
        <c:ser>
          <c:idx val="10"/>
          <c:order val="1"/>
          <c:spPr>
            <a:ln w="25400">
              <a:solidFill>
                <a:schemeClr val="accent3">
                  <a:lumMod val="75000"/>
                </a:schemeClr>
              </a:solidFill>
              <a:prstDash val="solid"/>
            </a:ln>
          </c:spPr>
          <c:marker>
            <c:symbol val="none"/>
          </c:marker>
          <c:xVal>
            <c:numRef>
              <c:f>Sheet2!$A$1:$A$337</c:f>
              <c:numCache>
                <c:formatCode>0.00E+00</c:formatCode>
                <c:ptCount val="337"/>
                <c:pt idx="0">
                  <c:v>10.63</c:v>
                </c:pt>
                <c:pt idx="1">
                  <c:v>10.42</c:v>
                </c:pt>
                <c:pt idx="2">
                  <c:v>10.16</c:v>
                </c:pt>
                <c:pt idx="3">
                  <c:v>9.884</c:v>
                </c:pt>
                <c:pt idx="4">
                  <c:v>9.598000000000001</c:v>
                </c:pt>
                <c:pt idx="5">
                  <c:v>9.323</c:v>
                </c:pt>
                <c:pt idx="6">
                  <c:v>9.076</c:v>
                </c:pt>
                <c:pt idx="7">
                  <c:v>8.823</c:v>
                </c:pt>
                <c:pt idx="8">
                  <c:v>8.576</c:v>
                </c:pt>
                <c:pt idx="9">
                  <c:v>8.335000000000002</c:v>
                </c:pt>
                <c:pt idx="10">
                  <c:v>8.085000000000002</c:v>
                </c:pt>
                <c:pt idx="11">
                  <c:v>7.833</c:v>
                </c:pt>
                <c:pt idx="12">
                  <c:v>7.58</c:v>
                </c:pt>
                <c:pt idx="13">
                  <c:v>7.321999999999996</c:v>
                </c:pt>
                <c:pt idx="14">
                  <c:v>7.065999999999987</c:v>
                </c:pt>
                <c:pt idx="15">
                  <c:v>6.806999999999999</c:v>
                </c:pt>
                <c:pt idx="16">
                  <c:v>6.551</c:v>
                </c:pt>
                <c:pt idx="17">
                  <c:v>6.293</c:v>
                </c:pt>
                <c:pt idx="18">
                  <c:v>6.035</c:v>
                </c:pt>
                <c:pt idx="19">
                  <c:v>5.775</c:v>
                </c:pt>
                <c:pt idx="20">
                  <c:v>5.513999999999998</c:v>
                </c:pt>
                <c:pt idx="21">
                  <c:v>5.256</c:v>
                </c:pt>
                <c:pt idx="22">
                  <c:v>5.0</c:v>
                </c:pt>
                <c:pt idx="23">
                  <c:v>4.744</c:v>
                </c:pt>
                <c:pt idx="24">
                  <c:v>4.489</c:v>
                </c:pt>
                <c:pt idx="25">
                  <c:v>4.233</c:v>
                </c:pt>
                <c:pt idx="26">
                  <c:v>3.976999999999999</c:v>
                </c:pt>
                <c:pt idx="27">
                  <c:v>3.721</c:v>
                </c:pt>
                <c:pt idx="28">
                  <c:v>3.466</c:v>
                </c:pt>
                <c:pt idx="29">
                  <c:v>3.212</c:v>
                </c:pt>
                <c:pt idx="30">
                  <c:v>2.962</c:v>
                </c:pt>
                <c:pt idx="31">
                  <c:v>2.717</c:v>
                </c:pt>
                <c:pt idx="32">
                  <c:v>2.478</c:v>
                </c:pt>
                <c:pt idx="33">
                  <c:v>2.248</c:v>
                </c:pt>
                <c:pt idx="34">
                  <c:v>2.027</c:v>
                </c:pt>
                <c:pt idx="35">
                  <c:v>1.819</c:v>
                </c:pt>
                <c:pt idx="36">
                  <c:v>1.626</c:v>
                </c:pt>
                <c:pt idx="37">
                  <c:v>1.448</c:v>
                </c:pt>
                <c:pt idx="38">
                  <c:v>1.288</c:v>
                </c:pt>
                <c:pt idx="39">
                  <c:v>1.144</c:v>
                </c:pt>
                <c:pt idx="40">
                  <c:v>1.016</c:v>
                </c:pt>
                <c:pt idx="41">
                  <c:v>0.9045</c:v>
                </c:pt>
                <c:pt idx="42">
                  <c:v>0.8071</c:v>
                </c:pt>
                <c:pt idx="43">
                  <c:v>0.7227</c:v>
                </c:pt>
                <c:pt idx="44">
                  <c:v>0.6496</c:v>
                </c:pt>
                <c:pt idx="45">
                  <c:v>0.5864</c:v>
                </c:pt>
                <c:pt idx="46">
                  <c:v>0.5317</c:v>
                </c:pt>
                <c:pt idx="47">
                  <c:v>0.4842</c:v>
                </c:pt>
                <c:pt idx="48">
                  <c:v>0.443</c:v>
                </c:pt>
                <c:pt idx="49">
                  <c:v>0.407</c:v>
                </c:pt>
                <c:pt idx="50">
                  <c:v>0.3756</c:v>
                </c:pt>
                <c:pt idx="51">
                  <c:v>0.3481</c:v>
                </c:pt>
                <c:pt idx="52">
                  <c:v>0.3237</c:v>
                </c:pt>
                <c:pt idx="53">
                  <c:v>0.3021</c:v>
                </c:pt>
                <c:pt idx="54">
                  <c:v>0.2828</c:v>
                </c:pt>
                <c:pt idx="55">
                  <c:v>0.2656</c:v>
                </c:pt>
                <c:pt idx="56">
                  <c:v>0.2501</c:v>
                </c:pt>
                <c:pt idx="57">
                  <c:v>0.236</c:v>
                </c:pt>
                <c:pt idx="58">
                  <c:v>0.2231</c:v>
                </c:pt>
                <c:pt idx="59">
                  <c:v>0.2114</c:v>
                </c:pt>
                <c:pt idx="60">
                  <c:v>0.2007</c:v>
                </c:pt>
                <c:pt idx="61">
                  <c:v>0.1909</c:v>
                </c:pt>
                <c:pt idx="62">
                  <c:v>0.1819</c:v>
                </c:pt>
                <c:pt idx="63">
                  <c:v>0.1735</c:v>
                </c:pt>
                <c:pt idx="64">
                  <c:v>0.1658</c:v>
                </c:pt>
                <c:pt idx="65">
                  <c:v>0.1586</c:v>
                </c:pt>
                <c:pt idx="66">
                  <c:v>0.1519</c:v>
                </c:pt>
                <c:pt idx="67">
                  <c:v>0.1456</c:v>
                </c:pt>
                <c:pt idx="68">
                  <c:v>0.1397</c:v>
                </c:pt>
                <c:pt idx="69">
                  <c:v>0.1342</c:v>
                </c:pt>
                <c:pt idx="70">
                  <c:v>0.1291</c:v>
                </c:pt>
                <c:pt idx="71">
                  <c:v>0.1242</c:v>
                </c:pt>
                <c:pt idx="72">
                  <c:v>0.1196</c:v>
                </c:pt>
                <c:pt idx="73">
                  <c:v>0.1153</c:v>
                </c:pt>
                <c:pt idx="74">
                  <c:v>0.1113</c:v>
                </c:pt>
                <c:pt idx="75">
                  <c:v>0.1075</c:v>
                </c:pt>
                <c:pt idx="76">
                  <c:v>0.1039</c:v>
                </c:pt>
                <c:pt idx="77">
                  <c:v>0.1005</c:v>
                </c:pt>
                <c:pt idx="78">
                  <c:v>0.09734</c:v>
                </c:pt>
                <c:pt idx="79">
                  <c:v>0.09432</c:v>
                </c:pt>
                <c:pt idx="80">
                  <c:v>0.09144</c:v>
                </c:pt>
                <c:pt idx="81">
                  <c:v>0.08871</c:v>
                </c:pt>
                <c:pt idx="82">
                  <c:v>0.08612</c:v>
                </c:pt>
                <c:pt idx="83">
                  <c:v>0.08368</c:v>
                </c:pt>
                <c:pt idx="84">
                  <c:v>0.08136</c:v>
                </c:pt>
                <c:pt idx="85">
                  <c:v>0.07916</c:v>
                </c:pt>
                <c:pt idx="86">
                  <c:v>0.07704</c:v>
                </c:pt>
                <c:pt idx="87">
                  <c:v>0.07498</c:v>
                </c:pt>
                <c:pt idx="88">
                  <c:v>0.07302</c:v>
                </c:pt>
                <c:pt idx="89">
                  <c:v>0.07115</c:v>
                </c:pt>
                <c:pt idx="90">
                  <c:v>0.06938</c:v>
                </c:pt>
                <c:pt idx="91">
                  <c:v>0.06768</c:v>
                </c:pt>
                <c:pt idx="92">
                  <c:v>0.06605</c:v>
                </c:pt>
                <c:pt idx="93">
                  <c:v>0.0645</c:v>
                </c:pt>
                <c:pt idx="94">
                  <c:v>0.063</c:v>
                </c:pt>
                <c:pt idx="95">
                  <c:v>0.06152</c:v>
                </c:pt>
                <c:pt idx="96">
                  <c:v>0.06009</c:v>
                </c:pt>
                <c:pt idx="97">
                  <c:v>0.05873</c:v>
                </c:pt>
                <c:pt idx="98">
                  <c:v>0.05746</c:v>
                </c:pt>
                <c:pt idx="99">
                  <c:v>0.05624</c:v>
                </c:pt>
                <c:pt idx="100">
                  <c:v>0.05507</c:v>
                </c:pt>
                <c:pt idx="101">
                  <c:v>0.05394</c:v>
                </c:pt>
                <c:pt idx="102">
                  <c:v>0.05289</c:v>
                </c:pt>
                <c:pt idx="103">
                  <c:v>0.05185</c:v>
                </c:pt>
                <c:pt idx="104">
                  <c:v>0.05083</c:v>
                </c:pt>
                <c:pt idx="105">
                  <c:v>0.04988</c:v>
                </c:pt>
                <c:pt idx="106">
                  <c:v>0.04897</c:v>
                </c:pt>
                <c:pt idx="107">
                  <c:v>0.0481</c:v>
                </c:pt>
                <c:pt idx="108">
                  <c:v>0.04726</c:v>
                </c:pt>
                <c:pt idx="109">
                  <c:v>0.04646</c:v>
                </c:pt>
                <c:pt idx="110">
                  <c:v>0.04565</c:v>
                </c:pt>
                <c:pt idx="111">
                  <c:v>0.04487</c:v>
                </c:pt>
                <c:pt idx="112">
                  <c:v>0.04412</c:v>
                </c:pt>
                <c:pt idx="113">
                  <c:v>0.04339</c:v>
                </c:pt>
                <c:pt idx="114">
                  <c:v>0.0427</c:v>
                </c:pt>
                <c:pt idx="115">
                  <c:v>0.04203</c:v>
                </c:pt>
                <c:pt idx="116">
                  <c:v>0.04137</c:v>
                </c:pt>
                <c:pt idx="117">
                  <c:v>0.04075</c:v>
                </c:pt>
                <c:pt idx="118">
                  <c:v>0.04014</c:v>
                </c:pt>
                <c:pt idx="119">
                  <c:v>0.03955</c:v>
                </c:pt>
                <c:pt idx="120">
                  <c:v>0.03897</c:v>
                </c:pt>
                <c:pt idx="121">
                  <c:v>0.03842</c:v>
                </c:pt>
                <c:pt idx="122">
                  <c:v>0.03789</c:v>
                </c:pt>
                <c:pt idx="123">
                  <c:v>0.03737</c:v>
                </c:pt>
                <c:pt idx="124">
                  <c:v>0.03686</c:v>
                </c:pt>
                <c:pt idx="125">
                  <c:v>0.03636</c:v>
                </c:pt>
                <c:pt idx="126">
                  <c:v>0.03588</c:v>
                </c:pt>
                <c:pt idx="127">
                  <c:v>0.0354</c:v>
                </c:pt>
                <c:pt idx="128">
                  <c:v>0.03494</c:v>
                </c:pt>
                <c:pt idx="129">
                  <c:v>0.03449</c:v>
                </c:pt>
                <c:pt idx="130">
                  <c:v>0.03405</c:v>
                </c:pt>
                <c:pt idx="131">
                  <c:v>0.03361</c:v>
                </c:pt>
                <c:pt idx="132">
                  <c:v>0.03318</c:v>
                </c:pt>
                <c:pt idx="133">
                  <c:v>0.03276</c:v>
                </c:pt>
                <c:pt idx="134">
                  <c:v>0.03235</c:v>
                </c:pt>
                <c:pt idx="135">
                  <c:v>0.03194</c:v>
                </c:pt>
                <c:pt idx="136">
                  <c:v>0.03153</c:v>
                </c:pt>
                <c:pt idx="137">
                  <c:v>0.03112</c:v>
                </c:pt>
                <c:pt idx="138">
                  <c:v>0.03072</c:v>
                </c:pt>
                <c:pt idx="139">
                  <c:v>0.03033</c:v>
                </c:pt>
                <c:pt idx="140">
                  <c:v>0.02994</c:v>
                </c:pt>
                <c:pt idx="141">
                  <c:v>0.02955</c:v>
                </c:pt>
                <c:pt idx="142">
                  <c:v>0.02919</c:v>
                </c:pt>
                <c:pt idx="143">
                  <c:v>0.02882</c:v>
                </c:pt>
                <c:pt idx="144">
                  <c:v>0.02845</c:v>
                </c:pt>
                <c:pt idx="145">
                  <c:v>0.02809</c:v>
                </c:pt>
                <c:pt idx="146">
                  <c:v>0.02774</c:v>
                </c:pt>
                <c:pt idx="147">
                  <c:v>0.02739</c:v>
                </c:pt>
                <c:pt idx="148">
                  <c:v>0.02705</c:v>
                </c:pt>
                <c:pt idx="149">
                  <c:v>0.02671</c:v>
                </c:pt>
                <c:pt idx="150">
                  <c:v>0.02638</c:v>
                </c:pt>
                <c:pt idx="151">
                  <c:v>0.02605</c:v>
                </c:pt>
                <c:pt idx="152">
                  <c:v>0.02572</c:v>
                </c:pt>
                <c:pt idx="153">
                  <c:v>0.02539</c:v>
                </c:pt>
                <c:pt idx="154">
                  <c:v>0.02507</c:v>
                </c:pt>
                <c:pt idx="155">
                  <c:v>0.02475</c:v>
                </c:pt>
                <c:pt idx="156">
                  <c:v>0.02443</c:v>
                </c:pt>
                <c:pt idx="157">
                  <c:v>0.02411</c:v>
                </c:pt>
                <c:pt idx="158">
                  <c:v>0.02379</c:v>
                </c:pt>
                <c:pt idx="159">
                  <c:v>0.02348</c:v>
                </c:pt>
                <c:pt idx="160">
                  <c:v>0.02316</c:v>
                </c:pt>
                <c:pt idx="161">
                  <c:v>0.02285</c:v>
                </c:pt>
                <c:pt idx="162">
                  <c:v>0.02254</c:v>
                </c:pt>
                <c:pt idx="163">
                  <c:v>0.02224</c:v>
                </c:pt>
                <c:pt idx="164">
                  <c:v>0.02194</c:v>
                </c:pt>
                <c:pt idx="165">
                  <c:v>0.02164</c:v>
                </c:pt>
                <c:pt idx="166">
                  <c:v>0.02135</c:v>
                </c:pt>
                <c:pt idx="167">
                  <c:v>0.02107</c:v>
                </c:pt>
                <c:pt idx="168">
                  <c:v>0.02079</c:v>
                </c:pt>
                <c:pt idx="169">
                  <c:v>0.02052</c:v>
                </c:pt>
                <c:pt idx="170">
                  <c:v>0.02025</c:v>
                </c:pt>
                <c:pt idx="171">
                  <c:v>0.01999</c:v>
                </c:pt>
                <c:pt idx="172">
                  <c:v>0.01974</c:v>
                </c:pt>
                <c:pt idx="173">
                  <c:v>0.01949</c:v>
                </c:pt>
                <c:pt idx="174">
                  <c:v>0.01925</c:v>
                </c:pt>
                <c:pt idx="175">
                  <c:v>0.01901</c:v>
                </c:pt>
                <c:pt idx="176">
                  <c:v>0.01878</c:v>
                </c:pt>
                <c:pt idx="177">
                  <c:v>0.01855</c:v>
                </c:pt>
                <c:pt idx="178">
                  <c:v>0.01832</c:v>
                </c:pt>
                <c:pt idx="179">
                  <c:v>0.01811</c:v>
                </c:pt>
                <c:pt idx="180">
                  <c:v>0.01789</c:v>
                </c:pt>
                <c:pt idx="181">
                  <c:v>0.01768</c:v>
                </c:pt>
                <c:pt idx="182">
                  <c:v>0.01748</c:v>
                </c:pt>
                <c:pt idx="183">
                  <c:v>0.01727</c:v>
                </c:pt>
                <c:pt idx="184">
                  <c:v>0.01708</c:v>
                </c:pt>
                <c:pt idx="185">
                  <c:v>0.0169</c:v>
                </c:pt>
                <c:pt idx="186">
                  <c:v>0.01671</c:v>
                </c:pt>
                <c:pt idx="187">
                  <c:v>0.01653</c:v>
                </c:pt>
                <c:pt idx="188">
                  <c:v>0.01635</c:v>
                </c:pt>
                <c:pt idx="189">
                  <c:v>0.01618</c:v>
                </c:pt>
                <c:pt idx="190">
                  <c:v>0.016</c:v>
                </c:pt>
                <c:pt idx="191">
                  <c:v>0.01584</c:v>
                </c:pt>
                <c:pt idx="192">
                  <c:v>0.01568</c:v>
                </c:pt>
                <c:pt idx="193">
                  <c:v>0.01553</c:v>
                </c:pt>
                <c:pt idx="194">
                  <c:v>0.01538</c:v>
                </c:pt>
                <c:pt idx="195">
                  <c:v>0.01523</c:v>
                </c:pt>
                <c:pt idx="196">
                  <c:v>0.01508</c:v>
                </c:pt>
                <c:pt idx="197">
                  <c:v>0.01494</c:v>
                </c:pt>
                <c:pt idx="198">
                  <c:v>0.01479</c:v>
                </c:pt>
                <c:pt idx="199">
                  <c:v>0.01465</c:v>
                </c:pt>
                <c:pt idx="200">
                  <c:v>0.01451</c:v>
                </c:pt>
                <c:pt idx="201">
                  <c:v>0.01438</c:v>
                </c:pt>
                <c:pt idx="202">
                  <c:v>0.01424</c:v>
                </c:pt>
                <c:pt idx="203">
                  <c:v>0.01411</c:v>
                </c:pt>
                <c:pt idx="204">
                  <c:v>0.01399</c:v>
                </c:pt>
                <c:pt idx="205">
                  <c:v>0.01386</c:v>
                </c:pt>
                <c:pt idx="206">
                  <c:v>0.01375</c:v>
                </c:pt>
                <c:pt idx="207">
                  <c:v>0.01364</c:v>
                </c:pt>
                <c:pt idx="208">
                  <c:v>0.01353</c:v>
                </c:pt>
                <c:pt idx="209">
                  <c:v>0.01342</c:v>
                </c:pt>
                <c:pt idx="210">
                  <c:v>0.01332</c:v>
                </c:pt>
                <c:pt idx="211">
                  <c:v>0.01323</c:v>
                </c:pt>
                <c:pt idx="212">
                  <c:v>0.01313</c:v>
                </c:pt>
                <c:pt idx="213">
                  <c:v>0.01304</c:v>
                </c:pt>
                <c:pt idx="214">
                  <c:v>0.01295</c:v>
                </c:pt>
                <c:pt idx="215">
                  <c:v>0.01287</c:v>
                </c:pt>
                <c:pt idx="216">
                  <c:v>0.01278</c:v>
                </c:pt>
                <c:pt idx="217">
                  <c:v>0.01269</c:v>
                </c:pt>
                <c:pt idx="218">
                  <c:v>0.01261</c:v>
                </c:pt>
                <c:pt idx="219">
                  <c:v>0.01252</c:v>
                </c:pt>
                <c:pt idx="220">
                  <c:v>0.01245</c:v>
                </c:pt>
                <c:pt idx="221">
                  <c:v>0.01237</c:v>
                </c:pt>
                <c:pt idx="222">
                  <c:v>0.01229</c:v>
                </c:pt>
                <c:pt idx="223">
                  <c:v>0.01222</c:v>
                </c:pt>
                <c:pt idx="224">
                  <c:v>0.01214</c:v>
                </c:pt>
                <c:pt idx="225">
                  <c:v>0.01207</c:v>
                </c:pt>
                <c:pt idx="226">
                  <c:v>0.01199</c:v>
                </c:pt>
                <c:pt idx="227">
                  <c:v>0.01192</c:v>
                </c:pt>
                <c:pt idx="228">
                  <c:v>0.01185</c:v>
                </c:pt>
                <c:pt idx="229">
                  <c:v>0.01178</c:v>
                </c:pt>
                <c:pt idx="230">
                  <c:v>0.01171</c:v>
                </c:pt>
                <c:pt idx="231">
                  <c:v>0.01164</c:v>
                </c:pt>
                <c:pt idx="232">
                  <c:v>0.01157</c:v>
                </c:pt>
                <c:pt idx="233">
                  <c:v>0.0115</c:v>
                </c:pt>
                <c:pt idx="234">
                  <c:v>0.01143</c:v>
                </c:pt>
                <c:pt idx="235">
                  <c:v>0.01136</c:v>
                </c:pt>
                <c:pt idx="236">
                  <c:v>0.0113</c:v>
                </c:pt>
                <c:pt idx="237">
                  <c:v>0.01123</c:v>
                </c:pt>
                <c:pt idx="238">
                  <c:v>0.01116</c:v>
                </c:pt>
                <c:pt idx="239">
                  <c:v>0.0111</c:v>
                </c:pt>
                <c:pt idx="240">
                  <c:v>0.01104</c:v>
                </c:pt>
                <c:pt idx="241">
                  <c:v>0.01097</c:v>
                </c:pt>
                <c:pt idx="242">
                  <c:v>0.01091</c:v>
                </c:pt>
                <c:pt idx="243">
                  <c:v>0.01085</c:v>
                </c:pt>
                <c:pt idx="244">
                  <c:v>0.01079</c:v>
                </c:pt>
                <c:pt idx="245">
                  <c:v>0.01073</c:v>
                </c:pt>
                <c:pt idx="246">
                  <c:v>0.01067</c:v>
                </c:pt>
                <c:pt idx="247">
                  <c:v>0.01061</c:v>
                </c:pt>
                <c:pt idx="248">
                  <c:v>0.01055</c:v>
                </c:pt>
                <c:pt idx="249">
                  <c:v>0.01049</c:v>
                </c:pt>
                <c:pt idx="250">
                  <c:v>0.01043</c:v>
                </c:pt>
                <c:pt idx="251">
                  <c:v>0.01037</c:v>
                </c:pt>
                <c:pt idx="252">
                  <c:v>0.01032</c:v>
                </c:pt>
                <c:pt idx="253">
                  <c:v>0.01026</c:v>
                </c:pt>
                <c:pt idx="254">
                  <c:v>0.0102</c:v>
                </c:pt>
                <c:pt idx="255">
                  <c:v>0.01015</c:v>
                </c:pt>
                <c:pt idx="256">
                  <c:v>0.01009</c:v>
                </c:pt>
                <c:pt idx="257">
                  <c:v>0.01004</c:v>
                </c:pt>
                <c:pt idx="258">
                  <c:v>0.009983</c:v>
                </c:pt>
                <c:pt idx="259">
                  <c:v>0.00993</c:v>
                </c:pt>
                <c:pt idx="260">
                  <c:v>0.009876</c:v>
                </c:pt>
                <c:pt idx="261">
                  <c:v>0.009824</c:v>
                </c:pt>
                <c:pt idx="262">
                  <c:v>0.009772</c:v>
                </c:pt>
                <c:pt idx="263">
                  <c:v>0.00972</c:v>
                </c:pt>
                <c:pt idx="264">
                  <c:v>0.009669</c:v>
                </c:pt>
                <c:pt idx="265">
                  <c:v>0.009618</c:v>
                </c:pt>
                <c:pt idx="266">
                  <c:v>0.009567</c:v>
                </c:pt>
                <c:pt idx="267">
                  <c:v>0.009517</c:v>
                </c:pt>
                <c:pt idx="268">
                  <c:v>0.009466</c:v>
                </c:pt>
                <c:pt idx="269">
                  <c:v>0.009416</c:v>
                </c:pt>
                <c:pt idx="270">
                  <c:v>0.009366</c:v>
                </c:pt>
                <c:pt idx="271">
                  <c:v>0.009317</c:v>
                </c:pt>
                <c:pt idx="272">
                  <c:v>0.009268</c:v>
                </c:pt>
                <c:pt idx="273">
                  <c:v>0.009218</c:v>
                </c:pt>
                <c:pt idx="274">
                  <c:v>0.009168</c:v>
                </c:pt>
                <c:pt idx="275">
                  <c:v>0.009117</c:v>
                </c:pt>
                <c:pt idx="276">
                  <c:v>0.009067</c:v>
                </c:pt>
                <c:pt idx="277">
                  <c:v>0.009016</c:v>
                </c:pt>
                <c:pt idx="278">
                  <c:v>0.008964</c:v>
                </c:pt>
                <c:pt idx="279">
                  <c:v>0.008913</c:v>
                </c:pt>
                <c:pt idx="280">
                  <c:v>0.008862</c:v>
                </c:pt>
                <c:pt idx="281">
                  <c:v>0.00881</c:v>
                </c:pt>
                <c:pt idx="282">
                  <c:v>0.008757</c:v>
                </c:pt>
                <c:pt idx="283">
                  <c:v>0.008704</c:v>
                </c:pt>
                <c:pt idx="284">
                  <c:v>0.008652</c:v>
                </c:pt>
                <c:pt idx="285">
                  <c:v>0.0086</c:v>
                </c:pt>
                <c:pt idx="286">
                  <c:v>0.008548</c:v>
                </c:pt>
                <c:pt idx="287">
                  <c:v>0.008497</c:v>
                </c:pt>
                <c:pt idx="288">
                  <c:v>0.008446</c:v>
                </c:pt>
                <c:pt idx="289">
                  <c:v>0.008395</c:v>
                </c:pt>
                <c:pt idx="290">
                  <c:v>0.008345</c:v>
                </c:pt>
                <c:pt idx="291">
                  <c:v>0.008296</c:v>
                </c:pt>
                <c:pt idx="292">
                  <c:v>0.008247</c:v>
                </c:pt>
                <c:pt idx="293">
                  <c:v>0.008198</c:v>
                </c:pt>
                <c:pt idx="294">
                  <c:v>0.00815</c:v>
                </c:pt>
                <c:pt idx="295">
                  <c:v>0.008102</c:v>
                </c:pt>
                <c:pt idx="296">
                  <c:v>0.008055</c:v>
                </c:pt>
                <c:pt idx="297">
                  <c:v>0.008008</c:v>
                </c:pt>
                <c:pt idx="298">
                  <c:v>0.007962</c:v>
                </c:pt>
                <c:pt idx="299">
                  <c:v>0.007916</c:v>
                </c:pt>
                <c:pt idx="300">
                  <c:v>0.00787</c:v>
                </c:pt>
                <c:pt idx="301">
                  <c:v>0.007825</c:v>
                </c:pt>
                <c:pt idx="302">
                  <c:v>0.00778</c:v>
                </c:pt>
                <c:pt idx="303">
                  <c:v>0.007735</c:v>
                </c:pt>
                <c:pt idx="304">
                  <c:v>0.007691</c:v>
                </c:pt>
                <c:pt idx="305">
                  <c:v>0.007647</c:v>
                </c:pt>
                <c:pt idx="306">
                  <c:v>0.007604</c:v>
                </c:pt>
                <c:pt idx="307">
                  <c:v>0.007561</c:v>
                </c:pt>
                <c:pt idx="308">
                  <c:v>0.007519</c:v>
                </c:pt>
                <c:pt idx="309">
                  <c:v>0.007477</c:v>
                </c:pt>
                <c:pt idx="310">
                  <c:v>0.007435</c:v>
                </c:pt>
                <c:pt idx="311">
                  <c:v>0.007394</c:v>
                </c:pt>
                <c:pt idx="312">
                  <c:v>0.007353</c:v>
                </c:pt>
                <c:pt idx="313">
                  <c:v>0.007312</c:v>
                </c:pt>
                <c:pt idx="314">
                  <c:v>0.007272</c:v>
                </c:pt>
                <c:pt idx="315">
                  <c:v>0.007232</c:v>
                </c:pt>
                <c:pt idx="316">
                  <c:v>0.007193</c:v>
                </c:pt>
                <c:pt idx="317">
                  <c:v>0.007153</c:v>
                </c:pt>
                <c:pt idx="318">
                  <c:v>0.007115</c:v>
                </c:pt>
                <c:pt idx="319">
                  <c:v>0.007076</c:v>
                </c:pt>
                <c:pt idx="320">
                  <c:v>0.007038</c:v>
                </c:pt>
                <c:pt idx="321">
                  <c:v>0.007</c:v>
                </c:pt>
                <c:pt idx="322">
                  <c:v>0.006962</c:v>
                </c:pt>
                <c:pt idx="323">
                  <c:v>0.006925</c:v>
                </c:pt>
                <c:pt idx="324">
                  <c:v>0.006888</c:v>
                </c:pt>
                <c:pt idx="325">
                  <c:v>0.006852</c:v>
                </c:pt>
                <c:pt idx="326">
                  <c:v>0.006815</c:v>
                </c:pt>
                <c:pt idx="327">
                  <c:v>0.006779</c:v>
                </c:pt>
                <c:pt idx="328">
                  <c:v>0.006742</c:v>
                </c:pt>
                <c:pt idx="329">
                  <c:v>0.006707</c:v>
                </c:pt>
                <c:pt idx="330">
                  <c:v>0.006671</c:v>
                </c:pt>
                <c:pt idx="331">
                  <c:v>0.006636</c:v>
                </c:pt>
                <c:pt idx="332">
                  <c:v>0.006601</c:v>
                </c:pt>
                <c:pt idx="333">
                  <c:v>0.006566</c:v>
                </c:pt>
                <c:pt idx="334">
                  <c:v>0.00653</c:v>
                </c:pt>
                <c:pt idx="335">
                  <c:v>0.006497</c:v>
                </c:pt>
                <c:pt idx="336">
                  <c:v>0.006463</c:v>
                </c:pt>
              </c:numCache>
            </c:numRef>
          </c:xVal>
          <c:yVal>
            <c:numRef>
              <c:f>Sheet2!$C$1:$C$337</c:f>
              <c:numCache>
                <c:formatCode>General</c:formatCode>
                <c:ptCount val="337"/>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0.0002</c:v>
                </c:pt>
                <c:pt idx="31">
                  <c:v>0.0002</c:v>
                </c:pt>
                <c:pt idx="32">
                  <c:v>0.0002</c:v>
                </c:pt>
                <c:pt idx="33">
                  <c:v>0.0004</c:v>
                </c:pt>
                <c:pt idx="34">
                  <c:v>0.0004</c:v>
                </c:pt>
                <c:pt idx="35">
                  <c:v>0.0006</c:v>
                </c:pt>
                <c:pt idx="36">
                  <c:v>0.0006</c:v>
                </c:pt>
                <c:pt idx="37">
                  <c:v>0.0008</c:v>
                </c:pt>
                <c:pt idx="38">
                  <c:v>0.001</c:v>
                </c:pt>
                <c:pt idx="39">
                  <c:v>0.001</c:v>
                </c:pt>
                <c:pt idx="40">
                  <c:v>0.0012</c:v>
                </c:pt>
                <c:pt idx="41">
                  <c:v>0.0014</c:v>
                </c:pt>
                <c:pt idx="42">
                  <c:v>0.0014</c:v>
                </c:pt>
                <c:pt idx="43">
                  <c:v>0.0016</c:v>
                </c:pt>
                <c:pt idx="44">
                  <c:v>0.0016</c:v>
                </c:pt>
                <c:pt idx="45">
                  <c:v>0.0018</c:v>
                </c:pt>
                <c:pt idx="46">
                  <c:v>0.0018</c:v>
                </c:pt>
                <c:pt idx="47">
                  <c:v>0.002</c:v>
                </c:pt>
                <c:pt idx="48">
                  <c:v>0.002</c:v>
                </c:pt>
                <c:pt idx="49">
                  <c:v>0.002</c:v>
                </c:pt>
                <c:pt idx="50">
                  <c:v>0.002</c:v>
                </c:pt>
                <c:pt idx="51">
                  <c:v>0.002</c:v>
                </c:pt>
                <c:pt idx="52">
                  <c:v>0.002</c:v>
                </c:pt>
                <c:pt idx="53">
                  <c:v>0.0022</c:v>
                </c:pt>
                <c:pt idx="54">
                  <c:v>0.0022</c:v>
                </c:pt>
                <c:pt idx="55">
                  <c:v>0.0022</c:v>
                </c:pt>
                <c:pt idx="56">
                  <c:v>0.0024</c:v>
                </c:pt>
                <c:pt idx="57">
                  <c:v>0.0024</c:v>
                </c:pt>
                <c:pt idx="58">
                  <c:v>0.0026</c:v>
                </c:pt>
                <c:pt idx="59">
                  <c:v>0.0028</c:v>
                </c:pt>
                <c:pt idx="60">
                  <c:v>0.003</c:v>
                </c:pt>
                <c:pt idx="61">
                  <c:v>0.0034</c:v>
                </c:pt>
                <c:pt idx="62">
                  <c:v>0.0036</c:v>
                </c:pt>
                <c:pt idx="63">
                  <c:v>0.004</c:v>
                </c:pt>
                <c:pt idx="64">
                  <c:v>0.0044</c:v>
                </c:pt>
                <c:pt idx="65">
                  <c:v>0.0048</c:v>
                </c:pt>
                <c:pt idx="66">
                  <c:v>0.0052</c:v>
                </c:pt>
                <c:pt idx="67">
                  <c:v>0.0058</c:v>
                </c:pt>
                <c:pt idx="68">
                  <c:v>0.0064</c:v>
                </c:pt>
                <c:pt idx="69">
                  <c:v>0.007</c:v>
                </c:pt>
                <c:pt idx="70">
                  <c:v>0.0076</c:v>
                </c:pt>
                <c:pt idx="71">
                  <c:v>0.0082</c:v>
                </c:pt>
                <c:pt idx="72">
                  <c:v>0.009</c:v>
                </c:pt>
                <c:pt idx="73">
                  <c:v>0.01</c:v>
                </c:pt>
                <c:pt idx="74">
                  <c:v>0.0108</c:v>
                </c:pt>
                <c:pt idx="75">
                  <c:v>0.0116</c:v>
                </c:pt>
                <c:pt idx="76">
                  <c:v>0.0124</c:v>
                </c:pt>
                <c:pt idx="77">
                  <c:v>0.0132</c:v>
                </c:pt>
                <c:pt idx="78">
                  <c:v>0.0142</c:v>
                </c:pt>
                <c:pt idx="79">
                  <c:v>0.0152</c:v>
                </c:pt>
                <c:pt idx="80">
                  <c:v>0.0162</c:v>
                </c:pt>
                <c:pt idx="81">
                  <c:v>0.0172</c:v>
                </c:pt>
                <c:pt idx="82">
                  <c:v>0.0182</c:v>
                </c:pt>
                <c:pt idx="83">
                  <c:v>0.0192</c:v>
                </c:pt>
                <c:pt idx="84">
                  <c:v>0.02</c:v>
                </c:pt>
                <c:pt idx="85">
                  <c:v>0.0208</c:v>
                </c:pt>
                <c:pt idx="86">
                  <c:v>0.0218</c:v>
                </c:pt>
                <c:pt idx="87">
                  <c:v>0.0228</c:v>
                </c:pt>
                <c:pt idx="88">
                  <c:v>0.0236</c:v>
                </c:pt>
                <c:pt idx="89">
                  <c:v>0.0244</c:v>
                </c:pt>
                <c:pt idx="90">
                  <c:v>0.0254</c:v>
                </c:pt>
                <c:pt idx="91">
                  <c:v>0.0262</c:v>
                </c:pt>
                <c:pt idx="92">
                  <c:v>0.0272</c:v>
                </c:pt>
                <c:pt idx="93">
                  <c:v>0.0282</c:v>
                </c:pt>
                <c:pt idx="94">
                  <c:v>0.0292</c:v>
                </c:pt>
                <c:pt idx="95">
                  <c:v>0.0304</c:v>
                </c:pt>
                <c:pt idx="96">
                  <c:v>0.0316</c:v>
                </c:pt>
                <c:pt idx="97">
                  <c:v>0.033</c:v>
                </c:pt>
                <c:pt idx="98">
                  <c:v>0.0344</c:v>
                </c:pt>
                <c:pt idx="99">
                  <c:v>0.0358</c:v>
                </c:pt>
                <c:pt idx="100">
                  <c:v>0.0374</c:v>
                </c:pt>
                <c:pt idx="101">
                  <c:v>0.0388</c:v>
                </c:pt>
                <c:pt idx="102">
                  <c:v>0.0402</c:v>
                </c:pt>
                <c:pt idx="103">
                  <c:v>0.0418</c:v>
                </c:pt>
                <c:pt idx="104">
                  <c:v>0.0432</c:v>
                </c:pt>
                <c:pt idx="105">
                  <c:v>0.0448</c:v>
                </c:pt>
                <c:pt idx="106">
                  <c:v>0.0464</c:v>
                </c:pt>
                <c:pt idx="107">
                  <c:v>0.048</c:v>
                </c:pt>
                <c:pt idx="108">
                  <c:v>0.0496</c:v>
                </c:pt>
                <c:pt idx="109">
                  <c:v>0.0512</c:v>
                </c:pt>
                <c:pt idx="110">
                  <c:v>0.053</c:v>
                </c:pt>
                <c:pt idx="111">
                  <c:v>0.0548</c:v>
                </c:pt>
                <c:pt idx="112">
                  <c:v>0.0566</c:v>
                </c:pt>
                <c:pt idx="113">
                  <c:v>0.0584</c:v>
                </c:pt>
                <c:pt idx="114">
                  <c:v>0.0604</c:v>
                </c:pt>
                <c:pt idx="115">
                  <c:v>0.0622</c:v>
                </c:pt>
                <c:pt idx="116">
                  <c:v>0.064</c:v>
                </c:pt>
                <c:pt idx="117">
                  <c:v>0.0658</c:v>
                </c:pt>
                <c:pt idx="118">
                  <c:v>0.0678</c:v>
                </c:pt>
                <c:pt idx="119">
                  <c:v>0.0696</c:v>
                </c:pt>
                <c:pt idx="120">
                  <c:v>0.0714</c:v>
                </c:pt>
                <c:pt idx="121">
                  <c:v>0.0732</c:v>
                </c:pt>
                <c:pt idx="122">
                  <c:v>0.0748</c:v>
                </c:pt>
                <c:pt idx="123">
                  <c:v>0.0766</c:v>
                </c:pt>
                <c:pt idx="124">
                  <c:v>0.0784</c:v>
                </c:pt>
                <c:pt idx="125">
                  <c:v>0.0802</c:v>
                </c:pt>
                <c:pt idx="126">
                  <c:v>0.082</c:v>
                </c:pt>
                <c:pt idx="127">
                  <c:v>0.0836</c:v>
                </c:pt>
                <c:pt idx="128">
                  <c:v>0.0854</c:v>
                </c:pt>
                <c:pt idx="129">
                  <c:v>0.0868</c:v>
                </c:pt>
                <c:pt idx="130">
                  <c:v>0.0884</c:v>
                </c:pt>
                <c:pt idx="131">
                  <c:v>0.0902</c:v>
                </c:pt>
                <c:pt idx="132">
                  <c:v>0.0918</c:v>
                </c:pt>
                <c:pt idx="133">
                  <c:v>0.0934</c:v>
                </c:pt>
                <c:pt idx="134">
                  <c:v>0.095</c:v>
                </c:pt>
                <c:pt idx="135">
                  <c:v>0.0966</c:v>
                </c:pt>
                <c:pt idx="136">
                  <c:v>0.0984</c:v>
                </c:pt>
                <c:pt idx="137">
                  <c:v>0.1002</c:v>
                </c:pt>
                <c:pt idx="138">
                  <c:v>0.102</c:v>
                </c:pt>
                <c:pt idx="139">
                  <c:v>0.104</c:v>
                </c:pt>
                <c:pt idx="140">
                  <c:v>0.1058</c:v>
                </c:pt>
                <c:pt idx="141">
                  <c:v>0.1076</c:v>
                </c:pt>
                <c:pt idx="142">
                  <c:v>0.1094</c:v>
                </c:pt>
                <c:pt idx="143">
                  <c:v>0.1112</c:v>
                </c:pt>
                <c:pt idx="144">
                  <c:v>0.1132</c:v>
                </c:pt>
                <c:pt idx="145">
                  <c:v>0.115</c:v>
                </c:pt>
                <c:pt idx="146">
                  <c:v>0.1166</c:v>
                </c:pt>
                <c:pt idx="147">
                  <c:v>0.1184</c:v>
                </c:pt>
                <c:pt idx="148">
                  <c:v>0.12</c:v>
                </c:pt>
                <c:pt idx="149">
                  <c:v>0.1216</c:v>
                </c:pt>
                <c:pt idx="150">
                  <c:v>0.1234</c:v>
                </c:pt>
                <c:pt idx="151">
                  <c:v>0.1252</c:v>
                </c:pt>
                <c:pt idx="152">
                  <c:v>0.1268</c:v>
                </c:pt>
                <c:pt idx="153">
                  <c:v>0.1282</c:v>
                </c:pt>
                <c:pt idx="154">
                  <c:v>0.1298</c:v>
                </c:pt>
                <c:pt idx="155">
                  <c:v>0.1312</c:v>
                </c:pt>
                <c:pt idx="156">
                  <c:v>0.1326</c:v>
                </c:pt>
                <c:pt idx="157">
                  <c:v>0.134</c:v>
                </c:pt>
                <c:pt idx="158">
                  <c:v>0.1354</c:v>
                </c:pt>
                <c:pt idx="159">
                  <c:v>0.1368</c:v>
                </c:pt>
                <c:pt idx="160">
                  <c:v>0.138</c:v>
                </c:pt>
                <c:pt idx="161">
                  <c:v>0.1392</c:v>
                </c:pt>
                <c:pt idx="162">
                  <c:v>0.1404</c:v>
                </c:pt>
                <c:pt idx="163">
                  <c:v>0.1418</c:v>
                </c:pt>
                <c:pt idx="164">
                  <c:v>0.143</c:v>
                </c:pt>
                <c:pt idx="165">
                  <c:v>0.1444</c:v>
                </c:pt>
                <c:pt idx="166">
                  <c:v>0.1458</c:v>
                </c:pt>
                <c:pt idx="167">
                  <c:v>0.1472</c:v>
                </c:pt>
                <c:pt idx="168">
                  <c:v>0.1486</c:v>
                </c:pt>
                <c:pt idx="169">
                  <c:v>0.1498</c:v>
                </c:pt>
                <c:pt idx="170">
                  <c:v>0.151</c:v>
                </c:pt>
                <c:pt idx="171">
                  <c:v>0.1522</c:v>
                </c:pt>
                <c:pt idx="172">
                  <c:v>0.1534</c:v>
                </c:pt>
                <c:pt idx="173">
                  <c:v>0.1546</c:v>
                </c:pt>
                <c:pt idx="174">
                  <c:v>0.1558</c:v>
                </c:pt>
                <c:pt idx="175">
                  <c:v>0.157</c:v>
                </c:pt>
                <c:pt idx="176">
                  <c:v>0.158</c:v>
                </c:pt>
                <c:pt idx="177">
                  <c:v>0.1592</c:v>
                </c:pt>
                <c:pt idx="178">
                  <c:v>0.1604</c:v>
                </c:pt>
                <c:pt idx="179">
                  <c:v>0.1616</c:v>
                </c:pt>
                <c:pt idx="180">
                  <c:v>0.1626</c:v>
                </c:pt>
                <c:pt idx="181">
                  <c:v>0.1638</c:v>
                </c:pt>
                <c:pt idx="182">
                  <c:v>0.1652</c:v>
                </c:pt>
                <c:pt idx="183">
                  <c:v>0.1664</c:v>
                </c:pt>
                <c:pt idx="184">
                  <c:v>0.1678</c:v>
                </c:pt>
                <c:pt idx="185">
                  <c:v>0.169</c:v>
                </c:pt>
                <c:pt idx="186">
                  <c:v>0.1702</c:v>
                </c:pt>
                <c:pt idx="187">
                  <c:v>0.1714</c:v>
                </c:pt>
                <c:pt idx="188">
                  <c:v>0.1726</c:v>
                </c:pt>
                <c:pt idx="189">
                  <c:v>0.1736</c:v>
                </c:pt>
                <c:pt idx="190">
                  <c:v>0.1746</c:v>
                </c:pt>
                <c:pt idx="191">
                  <c:v>0.1758</c:v>
                </c:pt>
                <c:pt idx="192">
                  <c:v>0.1768</c:v>
                </c:pt>
                <c:pt idx="193">
                  <c:v>0.1776</c:v>
                </c:pt>
                <c:pt idx="194">
                  <c:v>0.1786</c:v>
                </c:pt>
                <c:pt idx="195">
                  <c:v>0.1794</c:v>
                </c:pt>
                <c:pt idx="196">
                  <c:v>0.1804</c:v>
                </c:pt>
                <c:pt idx="197">
                  <c:v>0.1812</c:v>
                </c:pt>
                <c:pt idx="198">
                  <c:v>0.1822</c:v>
                </c:pt>
                <c:pt idx="199">
                  <c:v>0.1832</c:v>
                </c:pt>
                <c:pt idx="200">
                  <c:v>0.1842</c:v>
                </c:pt>
                <c:pt idx="201">
                  <c:v>0.1852</c:v>
                </c:pt>
                <c:pt idx="202">
                  <c:v>0.1864</c:v>
                </c:pt>
                <c:pt idx="203">
                  <c:v>0.1876</c:v>
                </c:pt>
                <c:pt idx="204">
                  <c:v>0.1886</c:v>
                </c:pt>
                <c:pt idx="205">
                  <c:v>0.1896</c:v>
                </c:pt>
                <c:pt idx="206">
                  <c:v>0.1908</c:v>
                </c:pt>
                <c:pt idx="207">
                  <c:v>0.1918</c:v>
                </c:pt>
                <c:pt idx="208">
                  <c:v>0.1928</c:v>
                </c:pt>
                <c:pt idx="209">
                  <c:v>0.1938</c:v>
                </c:pt>
                <c:pt idx="210">
                  <c:v>0.1948</c:v>
                </c:pt>
                <c:pt idx="211">
                  <c:v>0.1956</c:v>
                </c:pt>
                <c:pt idx="212">
                  <c:v>0.1964</c:v>
                </c:pt>
                <c:pt idx="213">
                  <c:v>0.1972</c:v>
                </c:pt>
                <c:pt idx="214">
                  <c:v>0.198</c:v>
                </c:pt>
                <c:pt idx="215">
                  <c:v>0.1986</c:v>
                </c:pt>
                <c:pt idx="216">
                  <c:v>0.1992</c:v>
                </c:pt>
                <c:pt idx="217">
                  <c:v>0.1998</c:v>
                </c:pt>
                <c:pt idx="218">
                  <c:v>0.2006</c:v>
                </c:pt>
                <c:pt idx="219">
                  <c:v>0.2012</c:v>
                </c:pt>
                <c:pt idx="220">
                  <c:v>0.2018</c:v>
                </c:pt>
                <c:pt idx="221">
                  <c:v>0.2024</c:v>
                </c:pt>
                <c:pt idx="222">
                  <c:v>0.203</c:v>
                </c:pt>
                <c:pt idx="223">
                  <c:v>0.2036</c:v>
                </c:pt>
                <c:pt idx="224">
                  <c:v>0.2044</c:v>
                </c:pt>
                <c:pt idx="225">
                  <c:v>0.205</c:v>
                </c:pt>
                <c:pt idx="226">
                  <c:v>0.2058</c:v>
                </c:pt>
                <c:pt idx="227">
                  <c:v>0.2066</c:v>
                </c:pt>
                <c:pt idx="228">
                  <c:v>0.2072</c:v>
                </c:pt>
                <c:pt idx="229">
                  <c:v>0.208</c:v>
                </c:pt>
                <c:pt idx="230">
                  <c:v>0.2086</c:v>
                </c:pt>
                <c:pt idx="231">
                  <c:v>0.2092</c:v>
                </c:pt>
                <c:pt idx="232">
                  <c:v>0.2098</c:v>
                </c:pt>
                <c:pt idx="233">
                  <c:v>0.2104</c:v>
                </c:pt>
                <c:pt idx="234">
                  <c:v>0.211</c:v>
                </c:pt>
                <c:pt idx="235">
                  <c:v>0.2116</c:v>
                </c:pt>
                <c:pt idx="236">
                  <c:v>0.2124</c:v>
                </c:pt>
                <c:pt idx="237">
                  <c:v>0.213</c:v>
                </c:pt>
                <c:pt idx="238">
                  <c:v>0.2136</c:v>
                </c:pt>
                <c:pt idx="239">
                  <c:v>0.2142</c:v>
                </c:pt>
                <c:pt idx="240">
                  <c:v>0.215</c:v>
                </c:pt>
                <c:pt idx="241">
                  <c:v>0.2158</c:v>
                </c:pt>
                <c:pt idx="242">
                  <c:v>0.2164</c:v>
                </c:pt>
                <c:pt idx="243">
                  <c:v>0.2172</c:v>
                </c:pt>
                <c:pt idx="244">
                  <c:v>0.2178</c:v>
                </c:pt>
                <c:pt idx="245">
                  <c:v>0.2184</c:v>
                </c:pt>
                <c:pt idx="246">
                  <c:v>0.219</c:v>
                </c:pt>
                <c:pt idx="247">
                  <c:v>0.2196</c:v>
                </c:pt>
                <c:pt idx="248">
                  <c:v>0.2202</c:v>
                </c:pt>
                <c:pt idx="249">
                  <c:v>0.2206</c:v>
                </c:pt>
                <c:pt idx="250">
                  <c:v>0.221</c:v>
                </c:pt>
                <c:pt idx="251">
                  <c:v>0.2214</c:v>
                </c:pt>
                <c:pt idx="252">
                  <c:v>0.2218</c:v>
                </c:pt>
                <c:pt idx="253">
                  <c:v>0.222</c:v>
                </c:pt>
                <c:pt idx="254">
                  <c:v>0.2226</c:v>
                </c:pt>
                <c:pt idx="255">
                  <c:v>0.223</c:v>
                </c:pt>
                <c:pt idx="256">
                  <c:v>0.2234</c:v>
                </c:pt>
                <c:pt idx="257">
                  <c:v>0.224</c:v>
                </c:pt>
                <c:pt idx="258">
                  <c:v>0.2244</c:v>
                </c:pt>
                <c:pt idx="259">
                  <c:v>0.2248</c:v>
                </c:pt>
                <c:pt idx="260">
                  <c:v>0.2254</c:v>
                </c:pt>
                <c:pt idx="261">
                  <c:v>0.2258</c:v>
                </c:pt>
                <c:pt idx="262">
                  <c:v>0.2264</c:v>
                </c:pt>
                <c:pt idx="263">
                  <c:v>0.227</c:v>
                </c:pt>
                <c:pt idx="264">
                  <c:v>0.2274</c:v>
                </c:pt>
                <c:pt idx="265">
                  <c:v>0.228</c:v>
                </c:pt>
                <c:pt idx="266">
                  <c:v>0.2286</c:v>
                </c:pt>
                <c:pt idx="267">
                  <c:v>0.229</c:v>
                </c:pt>
                <c:pt idx="268">
                  <c:v>0.2296</c:v>
                </c:pt>
                <c:pt idx="269">
                  <c:v>0.2302</c:v>
                </c:pt>
                <c:pt idx="270">
                  <c:v>0.2306</c:v>
                </c:pt>
                <c:pt idx="271">
                  <c:v>0.2312</c:v>
                </c:pt>
                <c:pt idx="272">
                  <c:v>0.2316</c:v>
                </c:pt>
                <c:pt idx="273">
                  <c:v>0.2322</c:v>
                </c:pt>
                <c:pt idx="274">
                  <c:v>0.2328</c:v>
                </c:pt>
                <c:pt idx="275">
                  <c:v>0.2334</c:v>
                </c:pt>
                <c:pt idx="276">
                  <c:v>0.234</c:v>
                </c:pt>
                <c:pt idx="277">
                  <c:v>0.2346</c:v>
                </c:pt>
                <c:pt idx="278">
                  <c:v>0.2352</c:v>
                </c:pt>
                <c:pt idx="279">
                  <c:v>0.2358</c:v>
                </c:pt>
                <c:pt idx="280">
                  <c:v>0.2364</c:v>
                </c:pt>
                <c:pt idx="281">
                  <c:v>0.237</c:v>
                </c:pt>
                <c:pt idx="282">
                  <c:v>0.2378</c:v>
                </c:pt>
                <c:pt idx="283">
                  <c:v>0.2386</c:v>
                </c:pt>
                <c:pt idx="284">
                  <c:v>0.2392</c:v>
                </c:pt>
                <c:pt idx="285">
                  <c:v>0.2398</c:v>
                </c:pt>
                <c:pt idx="286">
                  <c:v>0.2404</c:v>
                </c:pt>
                <c:pt idx="287">
                  <c:v>0.241</c:v>
                </c:pt>
                <c:pt idx="288">
                  <c:v>0.2416</c:v>
                </c:pt>
                <c:pt idx="289">
                  <c:v>0.242</c:v>
                </c:pt>
                <c:pt idx="290">
                  <c:v>0.2426</c:v>
                </c:pt>
                <c:pt idx="291">
                  <c:v>0.243</c:v>
                </c:pt>
                <c:pt idx="292">
                  <c:v>0.2436</c:v>
                </c:pt>
                <c:pt idx="293">
                  <c:v>0.244</c:v>
                </c:pt>
                <c:pt idx="294">
                  <c:v>0.2444</c:v>
                </c:pt>
                <c:pt idx="295">
                  <c:v>0.2448</c:v>
                </c:pt>
                <c:pt idx="296">
                  <c:v>0.2452</c:v>
                </c:pt>
                <c:pt idx="297">
                  <c:v>0.2456</c:v>
                </c:pt>
                <c:pt idx="298">
                  <c:v>0.246</c:v>
                </c:pt>
                <c:pt idx="299">
                  <c:v>0.2464</c:v>
                </c:pt>
                <c:pt idx="300">
                  <c:v>0.247</c:v>
                </c:pt>
                <c:pt idx="301">
                  <c:v>0.2474</c:v>
                </c:pt>
                <c:pt idx="302">
                  <c:v>0.2478</c:v>
                </c:pt>
                <c:pt idx="303">
                  <c:v>0.2484</c:v>
                </c:pt>
                <c:pt idx="304">
                  <c:v>0.2488</c:v>
                </c:pt>
                <c:pt idx="305">
                  <c:v>0.2492</c:v>
                </c:pt>
                <c:pt idx="306">
                  <c:v>0.2498</c:v>
                </c:pt>
                <c:pt idx="307">
                  <c:v>0.2502</c:v>
                </c:pt>
                <c:pt idx="308">
                  <c:v>0.2506</c:v>
                </c:pt>
                <c:pt idx="309">
                  <c:v>0.251</c:v>
                </c:pt>
                <c:pt idx="310">
                  <c:v>0.2514</c:v>
                </c:pt>
                <c:pt idx="311">
                  <c:v>0.2518</c:v>
                </c:pt>
                <c:pt idx="312">
                  <c:v>0.2522</c:v>
                </c:pt>
                <c:pt idx="313">
                  <c:v>0.2526</c:v>
                </c:pt>
                <c:pt idx="314">
                  <c:v>0.253</c:v>
                </c:pt>
                <c:pt idx="315">
                  <c:v>0.2534</c:v>
                </c:pt>
                <c:pt idx="316">
                  <c:v>0.2538</c:v>
                </c:pt>
                <c:pt idx="317">
                  <c:v>0.2542</c:v>
                </c:pt>
                <c:pt idx="318">
                  <c:v>0.2544</c:v>
                </c:pt>
                <c:pt idx="319">
                  <c:v>0.2548</c:v>
                </c:pt>
                <c:pt idx="320">
                  <c:v>0.255</c:v>
                </c:pt>
                <c:pt idx="321">
                  <c:v>0.2552</c:v>
                </c:pt>
                <c:pt idx="322">
                  <c:v>0.2556</c:v>
                </c:pt>
                <c:pt idx="323">
                  <c:v>0.2558</c:v>
                </c:pt>
                <c:pt idx="324">
                  <c:v>0.2562</c:v>
                </c:pt>
                <c:pt idx="325">
                  <c:v>0.2564</c:v>
                </c:pt>
                <c:pt idx="326">
                  <c:v>0.2566</c:v>
                </c:pt>
                <c:pt idx="327">
                  <c:v>0.257</c:v>
                </c:pt>
                <c:pt idx="328">
                  <c:v>0.2572</c:v>
                </c:pt>
                <c:pt idx="329">
                  <c:v>0.2576</c:v>
                </c:pt>
                <c:pt idx="330">
                  <c:v>0.258</c:v>
                </c:pt>
                <c:pt idx="331">
                  <c:v>0.2584</c:v>
                </c:pt>
                <c:pt idx="332">
                  <c:v>0.2588</c:v>
                </c:pt>
                <c:pt idx="333">
                  <c:v>0.2592</c:v>
                </c:pt>
                <c:pt idx="334">
                  <c:v>0.2596</c:v>
                </c:pt>
                <c:pt idx="335">
                  <c:v>0.26</c:v>
                </c:pt>
                <c:pt idx="336">
                  <c:v>0.2602</c:v>
                </c:pt>
              </c:numCache>
            </c:numRef>
          </c:yVal>
          <c:smooth val="0"/>
        </c:ser>
        <c:dLbls>
          <c:showLegendKey val="0"/>
          <c:showVal val="0"/>
          <c:showCatName val="0"/>
          <c:showSerName val="0"/>
          <c:showPercent val="0"/>
          <c:showBubbleSize val="0"/>
        </c:dLbls>
        <c:axId val="2130218568"/>
        <c:axId val="2130196312"/>
      </c:scatterChart>
      <c:valAx>
        <c:axId val="2130218568"/>
        <c:scaling>
          <c:logBase val="10.0"/>
          <c:orientation val="maxMin"/>
          <c:max val="1.0"/>
        </c:scaling>
        <c:delete val="0"/>
        <c:axPos val="b"/>
        <c:title>
          <c:tx>
            <c:rich>
              <a:bodyPr/>
              <a:lstStyle/>
              <a:p>
                <a:pPr>
                  <a:defRPr b="1"/>
                </a:pPr>
                <a:r>
                  <a:rPr lang="en-US" b="1"/>
                  <a:t>Pore Diameter (µm)</a:t>
                </a:r>
              </a:p>
            </c:rich>
          </c:tx>
          <c:layout>
            <c:manualLayout>
              <c:xMode val="edge"/>
              <c:yMode val="edge"/>
              <c:x val="0.410004999375078"/>
              <c:y val="0.924279835390946"/>
            </c:manualLayout>
          </c:layout>
          <c:overlay val="0"/>
        </c:title>
        <c:numFmt formatCode="General" sourceLinked="0"/>
        <c:majorTickMark val="out"/>
        <c:minorTickMark val="none"/>
        <c:tickLblPos val="nextTo"/>
        <c:spPr>
          <a:ln w="3175">
            <a:solidFill>
              <a:srgbClr val="000000"/>
            </a:solidFill>
            <a:prstDash val="solid"/>
          </a:ln>
        </c:spPr>
        <c:txPr>
          <a:bodyPr rot="0" vert="horz"/>
          <a:lstStyle/>
          <a:p>
            <a:pPr>
              <a:defRPr b="0"/>
            </a:pPr>
            <a:endParaRPr lang="en-US"/>
          </a:p>
        </c:txPr>
        <c:crossAx val="2130196312"/>
        <c:crosses val="autoZero"/>
        <c:crossBetween val="midCat"/>
      </c:valAx>
      <c:valAx>
        <c:axId val="2130196312"/>
        <c:scaling>
          <c:orientation val="minMax"/>
        </c:scaling>
        <c:delete val="0"/>
        <c:axPos val="l"/>
        <c:title>
          <c:tx>
            <c:rich>
              <a:bodyPr rot="-5400000" vert="horz"/>
              <a:lstStyle/>
              <a:p>
                <a:pPr>
                  <a:defRPr b="1"/>
                </a:pPr>
                <a:r>
                  <a:rPr lang="en-US" b="1"/>
                  <a:t>Cumulative Volume (ml/g)</a:t>
                </a:r>
              </a:p>
            </c:rich>
          </c:tx>
          <c:layout>
            <c:manualLayout>
              <c:xMode val="edge"/>
              <c:yMode val="edge"/>
              <c:x val="0.0313451212687084"/>
              <c:y val="0.0675590551181102"/>
            </c:manualLayout>
          </c:layout>
          <c:overlay val="0"/>
        </c:title>
        <c:numFmt formatCode="General" sourceLinked="1"/>
        <c:majorTickMark val="out"/>
        <c:minorTickMark val="none"/>
        <c:tickLblPos val="nextTo"/>
        <c:spPr>
          <a:ln w="3175">
            <a:solidFill>
              <a:srgbClr val="000000"/>
            </a:solidFill>
            <a:prstDash val="solid"/>
          </a:ln>
        </c:spPr>
        <c:txPr>
          <a:bodyPr/>
          <a:lstStyle/>
          <a:p>
            <a:pPr>
              <a:defRPr b="0"/>
            </a:pPr>
            <a:endParaRPr lang="en-US"/>
          </a:p>
        </c:txPr>
        <c:crossAx val="2130218568"/>
        <c:crosses val="max"/>
        <c:crossBetween val="midCat"/>
      </c:valAx>
      <c:spPr>
        <a:noFill/>
        <a:ln w="25400">
          <a:noFill/>
        </a:ln>
      </c:spPr>
    </c:plotArea>
    <c:plotVisOnly val="1"/>
    <c:dispBlanksAs val="gap"/>
    <c:showDLblsOverMax val="0"/>
  </c:chart>
  <c:spPr>
    <a:solidFill>
      <a:srgbClr val="FFFFFF"/>
    </a:solidFill>
    <a:ln w="9525">
      <a:noFill/>
    </a:ln>
  </c:spPr>
  <c:txPr>
    <a:bodyPr/>
    <a:lstStyle/>
    <a:p>
      <a:pPr algn="ctr">
        <a:defRPr sz="1100" b="1">
          <a:latin typeface="Arial"/>
          <a:cs typeface="Arial"/>
        </a:defRPr>
      </a:pPr>
      <a:endParaRPr lang="en-US"/>
    </a:p>
  </c:tx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33210913934266"/>
          <c:y val="0.0476007677543186"/>
          <c:w val="0.854351275120461"/>
          <c:h val="0.858304592923965"/>
        </c:manualLayout>
      </c:layout>
      <c:barChart>
        <c:barDir val="col"/>
        <c:grouping val="clustered"/>
        <c:varyColors val="0"/>
        <c:ser>
          <c:idx val="2"/>
          <c:order val="0"/>
          <c:tx>
            <c:strRef>
              <c:f>W!$K$36</c:f>
              <c:strCache>
                <c:ptCount val="1"/>
                <c:pt idx="0">
                  <c:v>28D</c:v>
                </c:pt>
              </c:strCache>
            </c:strRef>
          </c:tx>
          <c:spPr>
            <a:solidFill>
              <a:srgbClr val="632523"/>
            </a:solidFill>
            <a:ln w="9525" cap="flat" cmpd="sng" algn="ctr">
              <a:solidFill>
                <a:srgbClr val="A6A6A6"/>
              </a:solidFill>
              <a:prstDash val="solid"/>
            </a:ln>
            <a:effectLst>
              <a:outerShdw blurRad="40000" dist="23000" dir="5400000" rotWithShape="0">
                <a:srgbClr val="000000">
                  <a:alpha val="35000"/>
                </a:srgbClr>
              </a:outerShdw>
            </a:effectLst>
          </c:spPr>
          <c:invertIfNegative val="0"/>
          <c:dLbls>
            <c:numFmt formatCode="#,##0.0" sourceLinked="0"/>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0.4</c:v>
              </c:pt>
            </c:numLit>
          </c:val>
        </c:ser>
        <c:ser>
          <c:idx val="4"/>
          <c:order val="1"/>
          <c:tx>
            <c:strRef>
              <c:f>W!$M$36</c:f>
              <c:strCache>
                <c:ptCount val="1"/>
                <c:pt idx="0">
                  <c:v>6M</c:v>
                </c:pt>
              </c:strCache>
            </c:strRef>
          </c:tx>
          <c:spPr>
            <a:solidFill>
              <a:srgbClr val="632523"/>
            </a:solidFill>
            <a:ln w="3175" cap="flat" cmpd="sng" algn="ctr">
              <a:solidFill>
                <a:srgbClr val="A6A6A6"/>
              </a:solidFill>
              <a:prstDash val="solid"/>
            </a:ln>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3.2</c:v>
              </c:pt>
            </c:numLit>
          </c:val>
        </c:ser>
        <c:ser>
          <c:idx val="5"/>
          <c:order val="2"/>
          <c:tx>
            <c:strRef>
              <c:f>W!$N$36</c:f>
              <c:strCache>
                <c:ptCount val="1"/>
                <c:pt idx="0">
                  <c:v>1Y6M</c:v>
                </c:pt>
              </c:strCache>
            </c:strRef>
          </c:tx>
          <c:spPr>
            <a:solidFill>
              <a:srgbClr val="632523"/>
            </a:solidFill>
            <a:ln w="3175" cap="flat" cmpd="sng" algn="ctr">
              <a:solidFill>
                <a:srgbClr val="A6A6A6"/>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7.3</c:v>
              </c:pt>
            </c:numLit>
          </c:val>
        </c:ser>
        <c:ser>
          <c:idx val="6"/>
          <c:order val="3"/>
          <c:tx>
            <c:strRef>
              <c:f>W!$O$36</c:f>
              <c:strCache>
                <c:ptCount val="1"/>
                <c:pt idx="0">
                  <c:v>2Y</c:v>
                </c:pt>
              </c:strCache>
            </c:strRef>
          </c:tx>
          <c:spPr>
            <a:solidFill>
              <a:srgbClr val="632523"/>
            </a:solidFill>
            <a:ln w="3175" cap="flat" cmpd="sng" algn="ctr">
              <a:solidFill>
                <a:schemeClr val="bg1">
                  <a:lumMod val="8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12.2</c:v>
              </c:pt>
            </c:numLit>
          </c:val>
        </c:ser>
        <c:ser>
          <c:idx val="9"/>
          <c:order val="4"/>
          <c:tx>
            <c:strRef>
              <c:f>'Cs Compare'!$E$5</c:f>
              <c:strCache>
                <c:ptCount val="1"/>
                <c:pt idx="0">
                  <c:v>28D</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dLblPos val="outEnd"/>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1.1</c:v>
              </c:pt>
            </c:numLit>
          </c:val>
        </c:ser>
        <c:ser>
          <c:idx val="11"/>
          <c:order val="5"/>
          <c:tx>
            <c:strRef>
              <c:f>'Cs Compare'!$G$5</c:f>
              <c:strCache>
                <c:ptCount val="1"/>
                <c:pt idx="0">
                  <c:v>6M</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numFmt formatCode="#,##0.0" sourceLinked="0"/>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7.6</c:v>
              </c:pt>
            </c:numLit>
          </c:val>
        </c:ser>
        <c:ser>
          <c:idx val="12"/>
          <c:order val="6"/>
          <c:tx>
            <c:v>1Y6M</c:v>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numFmt formatCode="#,##0.0" sourceLinked="0"/>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14.23</c:v>
              </c:pt>
            </c:numLit>
          </c:val>
        </c:ser>
        <c:ser>
          <c:idx val="13"/>
          <c:order val="7"/>
          <c:tx>
            <c:v>2Y</c:v>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numFmt formatCode="#,##0.0" sourceLinked="0"/>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19.9</c:v>
              </c:pt>
            </c:numLit>
          </c:val>
        </c:ser>
        <c:ser>
          <c:idx val="14"/>
          <c:order val="8"/>
          <c:tx>
            <c:strRef>
              <c:f>'Cs Compare'!$B$22</c:f>
              <c:strCache>
                <c:ptCount val="1"/>
                <c:pt idx="0">
                  <c:v>8H</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numFmt formatCode="0.0" sourceLinked="0"/>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3.5</c:v>
              </c:pt>
            </c:numLit>
          </c:val>
        </c:ser>
        <c:ser>
          <c:idx val="20"/>
          <c:order val="9"/>
          <c:tx>
            <c:strRef>
              <c:f>'Cs Compare'!$B$23</c:f>
              <c:strCache>
                <c:ptCount val="1"/>
                <c:pt idx="0">
                  <c:v>1D</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numFmt formatCode="#,##0.0" sourceLinked="0"/>
            <c:showLegendKey val="0"/>
            <c:showVal val="1"/>
            <c:showCatName val="0"/>
            <c:showSerName val="1"/>
            <c:showPercent val="0"/>
            <c:showBubbleSize val="0"/>
            <c:separator>
</c:separator>
            <c:showLeaderLines val="0"/>
          </c:dLbls>
          <c:val>
            <c:numLit>
              <c:formatCode>General</c:formatCode>
              <c:ptCount val="1"/>
              <c:pt idx="0">
                <c:v>12.8</c:v>
              </c:pt>
            </c:numLit>
          </c:val>
        </c:ser>
        <c:ser>
          <c:idx val="21"/>
          <c:order val="10"/>
          <c:tx>
            <c:strRef>
              <c:f>'Cs Compare'!$B$24</c:f>
              <c:strCache>
                <c:ptCount val="1"/>
                <c:pt idx="0">
                  <c:v>3D</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val>
            <c:numLit>
              <c:formatCode>General</c:formatCode>
              <c:ptCount val="1"/>
              <c:pt idx="0">
                <c:v>27.8</c:v>
              </c:pt>
            </c:numLit>
          </c:val>
        </c:ser>
        <c:ser>
          <c:idx val="15"/>
          <c:order val="11"/>
          <c:tx>
            <c:strRef>
              <c:f>'Cs Compare'!$B$30</c:f>
              <c:strCache>
                <c:ptCount val="1"/>
                <c:pt idx="0">
                  <c:v>8H</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dLbls>
            <c:numFmt formatCode="#,##0.0" sourceLinked="0"/>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8.1</c:v>
              </c:pt>
            </c:numLit>
          </c:val>
        </c:ser>
        <c:ser>
          <c:idx val="22"/>
          <c:order val="12"/>
          <c:tx>
            <c:strRef>
              <c:f>'Cs Compare'!$B$31</c:f>
              <c:strCache>
                <c:ptCount val="1"/>
                <c:pt idx="0">
                  <c:v>1D</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dLbls>
            <c:numFmt formatCode="#,##0.0" sourceLinked="0"/>
            <c:showLegendKey val="0"/>
            <c:showVal val="1"/>
            <c:showCatName val="0"/>
            <c:showSerName val="1"/>
            <c:showPercent val="0"/>
            <c:showBubbleSize val="0"/>
            <c:separator>
</c:separator>
            <c:showLeaderLines val="0"/>
          </c:dLbls>
          <c:val>
            <c:numLit>
              <c:formatCode>General</c:formatCode>
              <c:ptCount val="1"/>
              <c:pt idx="0">
                <c:v>23.2</c:v>
              </c:pt>
            </c:numLit>
          </c:val>
        </c:ser>
        <c:ser>
          <c:idx val="23"/>
          <c:order val="13"/>
          <c:tx>
            <c:strRef>
              <c:f>'Cs Compare'!$B$32</c:f>
              <c:strCache>
                <c:ptCount val="1"/>
                <c:pt idx="0">
                  <c:v>3D</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dLbls>
            <c:numFmt formatCode="0.0" sourceLinked="0"/>
            <c:showLegendKey val="0"/>
            <c:showVal val="1"/>
            <c:showCatName val="0"/>
            <c:showSerName val="1"/>
            <c:showPercent val="0"/>
            <c:showBubbleSize val="0"/>
            <c:separator>
</c:separator>
            <c:showLeaderLines val="0"/>
          </c:dLbls>
          <c:val>
            <c:numLit>
              <c:formatCode>General</c:formatCode>
              <c:ptCount val="1"/>
              <c:pt idx="0">
                <c:v>42.7</c:v>
              </c:pt>
            </c:numLit>
          </c:val>
        </c:ser>
        <c:ser>
          <c:idx val="0"/>
          <c:order val="14"/>
          <c:tx>
            <c:v>7D</c:v>
          </c:tx>
          <c:spPr>
            <a:solidFill>
              <a:schemeClr val="accent3"/>
            </a:solidFill>
            <a:ln>
              <a:solidFill>
                <a:srgbClr val="7F7F7F"/>
              </a:solidFill>
            </a:ln>
          </c:spPr>
          <c:invertIfNegative val="0"/>
          <c:dLbls>
            <c:showLegendKey val="0"/>
            <c:showVal val="1"/>
            <c:showCatName val="0"/>
            <c:showSerName val="1"/>
            <c:showPercent val="0"/>
            <c:showBubbleSize val="0"/>
            <c:separator>
</c:separator>
            <c:showLeaderLines val="0"/>
          </c:dLbls>
          <c:val>
            <c:numLit>
              <c:formatCode>General</c:formatCode>
              <c:ptCount val="1"/>
              <c:pt idx="0">
                <c:v>0.2</c:v>
              </c:pt>
            </c:numLit>
          </c:val>
        </c:ser>
        <c:ser>
          <c:idx val="1"/>
          <c:order val="15"/>
          <c:tx>
            <c:v>14D</c:v>
          </c:tx>
          <c:spPr>
            <a:solidFill>
              <a:srgbClr val="9BBB59"/>
            </a:solidFill>
            <a:ln>
              <a:solidFill>
                <a:srgbClr val="7F7F7F"/>
              </a:solidFill>
            </a:ln>
          </c:spPr>
          <c:invertIfNegative val="0"/>
          <c:dLbls>
            <c:showLegendKey val="0"/>
            <c:showVal val="1"/>
            <c:showCatName val="0"/>
            <c:showSerName val="1"/>
            <c:showPercent val="0"/>
            <c:showBubbleSize val="0"/>
            <c:separator>
</c:separator>
            <c:showLeaderLines val="0"/>
          </c:dLbls>
          <c:val>
            <c:numLit>
              <c:formatCode>General</c:formatCode>
              <c:ptCount val="1"/>
              <c:pt idx="0">
                <c:v>0.4</c:v>
              </c:pt>
            </c:numLit>
          </c:val>
        </c:ser>
        <c:ser>
          <c:idx val="3"/>
          <c:order val="16"/>
          <c:tx>
            <c:v>28D</c:v>
          </c:tx>
          <c:spPr>
            <a:solidFill>
              <a:srgbClr val="9BBB59"/>
            </a:solidFill>
            <a:ln>
              <a:solidFill>
                <a:schemeClr val="bg1">
                  <a:lumMod val="50000"/>
                </a:schemeClr>
              </a:solidFill>
            </a:ln>
          </c:spPr>
          <c:invertIfNegative val="0"/>
          <c:dLbls>
            <c:showLegendKey val="0"/>
            <c:showVal val="1"/>
            <c:showCatName val="0"/>
            <c:showSerName val="1"/>
            <c:showPercent val="0"/>
            <c:showBubbleSize val="0"/>
            <c:separator>
</c:separator>
            <c:showLeaderLines val="0"/>
          </c:dLbls>
          <c:val>
            <c:numLit>
              <c:formatCode>General</c:formatCode>
              <c:ptCount val="1"/>
              <c:pt idx="0">
                <c:v>0.8</c:v>
              </c:pt>
            </c:numLit>
          </c:val>
        </c:ser>
        <c:ser>
          <c:idx val="7"/>
          <c:order val="17"/>
          <c:tx>
            <c:v>3M</c:v>
          </c:tx>
          <c:spPr>
            <a:solidFill>
              <a:srgbClr val="9BBB59"/>
            </a:solidFill>
          </c:spPr>
          <c:invertIfNegative val="0"/>
          <c:dLbls>
            <c:showLegendKey val="0"/>
            <c:showVal val="1"/>
            <c:showCatName val="0"/>
            <c:showSerName val="1"/>
            <c:showPercent val="0"/>
            <c:showBubbleSize val="0"/>
            <c:separator>
</c:separator>
            <c:showLeaderLines val="0"/>
          </c:dLbls>
          <c:val>
            <c:numLit>
              <c:formatCode>General</c:formatCode>
              <c:ptCount val="1"/>
              <c:pt idx="0">
                <c:v>1.1</c:v>
              </c:pt>
            </c:numLit>
          </c:val>
        </c:ser>
        <c:dLbls>
          <c:showLegendKey val="0"/>
          <c:showVal val="0"/>
          <c:showCatName val="0"/>
          <c:showSerName val="1"/>
          <c:showPercent val="0"/>
          <c:showBubbleSize val="0"/>
        </c:dLbls>
        <c:gapWidth val="150"/>
        <c:axId val="2130459992"/>
        <c:axId val="2130463000"/>
      </c:barChart>
      <c:catAx>
        <c:axId val="2130459992"/>
        <c:scaling>
          <c:orientation val="minMax"/>
        </c:scaling>
        <c:delete val="0"/>
        <c:axPos val="b"/>
        <c:majorTickMark val="out"/>
        <c:minorTickMark val="none"/>
        <c:tickLblPos val="nextTo"/>
        <c:txPr>
          <a:bodyPr/>
          <a:lstStyle/>
          <a:p>
            <a:pPr>
              <a:defRPr sz="1100"/>
            </a:pPr>
            <a:endParaRPr lang="en-US"/>
          </a:p>
        </c:txPr>
        <c:crossAx val="2130463000"/>
        <c:crosses val="autoZero"/>
        <c:auto val="1"/>
        <c:lblAlgn val="ctr"/>
        <c:lblOffset val="100"/>
        <c:noMultiLvlLbl val="0"/>
      </c:catAx>
      <c:valAx>
        <c:axId val="2130463000"/>
        <c:scaling>
          <c:orientation val="minMax"/>
          <c:min val="0.0"/>
        </c:scaling>
        <c:delete val="0"/>
        <c:axPos val="l"/>
        <c:majorGridlines>
          <c:spPr>
            <a:ln w="3175" cap="flat" cmpd="sng">
              <a:noFill/>
              <a:prstDash val="sysDot"/>
              <a:round/>
              <a:headEnd type="none"/>
              <a:tailEnd type="none"/>
            </a:ln>
          </c:spPr>
        </c:majorGridlines>
        <c:title>
          <c:tx>
            <c:rich>
              <a:bodyPr rot="-5400000" vert="horz"/>
              <a:lstStyle/>
              <a:p>
                <a:pPr>
                  <a:defRPr sz="1000"/>
                </a:pPr>
                <a:r>
                  <a:rPr lang="en-US" sz="1000"/>
                  <a:t>Normalised Accumlated Mass of  Al in solution  (mg/cm²)</a:t>
                </a:r>
              </a:p>
            </c:rich>
          </c:tx>
          <c:layout>
            <c:manualLayout>
              <c:xMode val="edge"/>
              <c:yMode val="edge"/>
              <c:x val="0.0162037037037037"/>
              <c:y val="0.0786001125973335"/>
            </c:manualLayout>
          </c:layout>
          <c:overlay val="0"/>
        </c:title>
        <c:numFmt formatCode="#,##0" sourceLinked="0"/>
        <c:majorTickMark val="out"/>
        <c:minorTickMark val="none"/>
        <c:tickLblPos val="nextTo"/>
        <c:crossAx val="2130459992"/>
        <c:crosses val="autoZero"/>
        <c:crossBetween val="between"/>
        <c:majorUnit val="2.0"/>
        <c:minorUnit val="2.0"/>
      </c:valAx>
      <c:spPr>
        <a:ln>
          <a:noFill/>
        </a:ln>
      </c:spPr>
    </c:plotArea>
    <c:plotVisOnly val="1"/>
    <c:dispBlanksAs val="zero"/>
    <c:showDLblsOverMax val="0"/>
  </c:chart>
  <c:spPr>
    <a:ln>
      <a:noFill/>
    </a:ln>
  </c:spPr>
  <c:txPr>
    <a:bodyPr/>
    <a:lstStyle/>
    <a:p>
      <a:pPr>
        <a:defRPr sz="900" b="1">
          <a:latin typeface="Calibri"/>
          <a:cs typeface="Calibri"/>
        </a:defRPr>
      </a:pPr>
      <a:endParaRPr lang="en-US"/>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2636723143982"/>
          <c:y val="0.145161290322581"/>
          <c:w val="0.787163245219347"/>
          <c:h val="0.698881889763779"/>
        </c:manualLayout>
      </c:layout>
      <c:scatterChart>
        <c:scatterStyle val="smoothMarker"/>
        <c:varyColors val="0"/>
        <c:ser>
          <c:idx val="2"/>
          <c:order val="2"/>
          <c:tx>
            <c:v>25E-B Anode</c:v>
          </c:tx>
          <c:spPr>
            <a:ln w="28575" cmpd="sng">
              <a:solidFill>
                <a:srgbClr val="8064A2"/>
              </a:solidFill>
              <a:prstDash val="solid"/>
            </a:ln>
          </c:spPr>
          <c:marker>
            <c:symbol val="triangle"/>
            <c:size val="6"/>
            <c:spPr>
              <a:solidFill>
                <a:srgbClr val="8064A2"/>
              </a:solidFill>
              <a:ln>
                <a:noFill/>
                <a:prstDash val="sysDash"/>
              </a:ln>
            </c:spPr>
          </c:marker>
          <c:xVal>
            <c:numRef>
              <c:f>Sheet1!$I$9:$I$12</c:f>
              <c:numCache>
                <c:formatCode>General</c:formatCode>
                <c:ptCount val="4"/>
                <c:pt idx="0">
                  <c:v>0.33</c:v>
                </c:pt>
                <c:pt idx="1">
                  <c:v>1.0</c:v>
                </c:pt>
                <c:pt idx="2">
                  <c:v>3.0</c:v>
                </c:pt>
                <c:pt idx="3">
                  <c:v>7.0</c:v>
                </c:pt>
              </c:numCache>
            </c:numRef>
          </c:xVal>
          <c:yVal>
            <c:numRef>
              <c:f>Sheet1!$J$9:$J$12</c:f>
              <c:numCache>
                <c:formatCode>General</c:formatCode>
                <c:ptCount val="4"/>
                <c:pt idx="0">
                  <c:v>5.7</c:v>
                </c:pt>
                <c:pt idx="1">
                  <c:v>4.68</c:v>
                </c:pt>
                <c:pt idx="2">
                  <c:v>3.39</c:v>
                </c:pt>
                <c:pt idx="3">
                  <c:v>3.42</c:v>
                </c:pt>
              </c:numCache>
            </c:numRef>
          </c:yVal>
          <c:smooth val="0"/>
        </c:ser>
        <c:ser>
          <c:idx val="3"/>
          <c:order val="3"/>
          <c:tx>
            <c:v>25E-B Cathode</c:v>
          </c:tx>
          <c:spPr>
            <a:ln w="28575" cmpd="sng">
              <a:solidFill>
                <a:schemeClr val="accent4"/>
              </a:solidFill>
              <a:prstDash val="sysDash"/>
            </a:ln>
          </c:spPr>
          <c:marker>
            <c:symbol val="triangle"/>
            <c:size val="6"/>
            <c:spPr>
              <a:solidFill>
                <a:schemeClr val="accent4"/>
              </a:solidFill>
              <a:ln>
                <a:solidFill>
                  <a:schemeClr val="accent4"/>
                </a:solidFill>
              </a:ln>
            </c:spPr>
          </c:marker>
          <c:xVal>
            <c:numRef>
              <c:f>Sheet1!$I$9:$I$12</c:f>
              <c:numCache>
                <c:formatCode>General</c:formatCode>
                <c:ptCount val="4"/>
                <c:pt idx="0">
                  <c:v>0.33</c:v>
                </c:pt>
                <c:pt idx="1">
                  <c:v>1.0</c:v>
                </c:pt>
                <c:pt idx="2">
                  <c:v>3.0</c:v>
                </c:pt>
                <c:pt idx="3">
                  <c:v>7.0</c:v>
                </c:pt>
              </c:numCache>
            </c:numRef>
          </c:xVal>
          <c:yVal>
            <c:numRef>
              <c:f>Sheet1!$K$9:$K$12</c:f>
              <c:numCache>
                <c:formatCode>General</c:formatCode>
                <c:ptCount val="4"/>
                <c:pt idx="0">
                  <c:v>10.96</c:v>
                </c:pt>
                <c:pt idx="1">
                  <c:v>11.72</c:v>
                </c:pt>
                <c:pt idx="2">
                  <c:v>11.81</c:v>
                </c:pt>
                <c:pt idx="3">
                  <c:v>11.85</c:v>
                </c:pt>
              </c:numCache>
            </c:numRef>
          </c:yVal>
          <c:smooth val="0"/>
        </c:ser>
        <c:ser>
          <c:idx val="0"/>
          <c:order val="0"/>
          <c:tx>
            <c:v>5E-B Anode</c:v>
          </c:tx>
          <c:spPr>
            <a:ln w="28575" cmpd="sng">
              <a:prstDash val="solid"/>
            </a:ln>
          </c:spPr>
          <c:marker>
            <c:symbol val="square"/>
            <c:size val="6"/>
            <c:spPr>
              <a:solidFill>
                <a:schemeClr val="tx2">
                  <a:lumMod val="60000"/>
                  <a:lumOff val="40000"/>
                </a:schemeClr>
              </a:solidFill>
              <a:ln w="28575" cmpd="sng">
                <a:noFill/>
                <a:prstDash val="solid"/>
              </a:ln>
            </c:spPr>
          </c:marker>
          <c:xVal>
            <c:numRef>
              <c:f>Sheet1!$I$9:$I$12</c:f>
              <c:numCache>
                <c:formatCode>General</c:formatCode>
                <c:ptCount val="4"/>
                <c:pt idx="0">
                  <c:v>0.33</c:v>
                </c:pt>
                <c:pt idx="1">
                  <c:v>1.0</c:v>
                </c:pt>
                <c:pt idx="2">
                  <c:v>3.0</c:v>
                </c:pt>
                <c:pt idx="3">
                  <c:v>7.0</c:v>
                </c:pt>
              </c:numCache>
            </c:numRef>
          </c:xVal>
          <c:yVal>
            <c:numRef>
              <c:f>Sheet1!$J$14:$J$17</c:f>
              <c:numCache>
                <c:formatCode>General</c:formatCode>
                <c:ptCount val="4"/>
                <c:pt idx="0">
                  <c:v>6.67</c:v>
                </c:pt>
                <c:pt idx="1">
                  <c:v>5.27</c:v>
                </c:pt>
                <c:pt idx="2">
                  <c:v>4.59</c:v>
                </c:pt>
                <c:pt idx="3">
                  <c:v>4.37</c:v>
                </c:pt>
              </c:numCache>
            </c:numRef>
          </c:yVal>
          <c:smooth val="0"/>
        </c:ser>
        <c:ser>
          <c:idx val="1"/>
          <c:order val="1"/>
          <c:tx>
            <c:v>5E-B Cathode</c:v>
          </c:tx>
          <c:spPr>
            <a:ln w="28575" cmpd="sng">
              <a:solidFill>
                <a:srgbClr val="558ED5"/>
              </a:solidFill>
              <a:prstDash val="sysDash"/>
            </a:ln>
          </c:spPr>
          <c:marker>
            <c:symbol val="square"/>
            <c:size val="6"/>
            <c:spPr>
              <a:solidFill>
                <a:srgbClr val="558ED5"/>
              </a:solidFill>
              <a:ln>
                <a:solidFill>
                  <a:srgbClr val="558ED5"/>
                </a:solidFill>
                <a:prstDash val="solid"/>
              </a:ln>
            </c:spPr>
          </c:marker>
          <c:xVal>
            <c:numRef>
              <c:f>Sheet1!$I$9:$I$12</c:f>
              <c:numCache>
                <c:formatCode>General</c:formatCode>
                <c:ptCount val="4"/>
                <c:pt idx="0">
                  <c:v>0.33</c:v>
                </c:pt>
                <c:pt idx="1">
                  <c:v>1.0</c:v>
                </c:pt>
                <c:pt idx="2">
                  <c:v>3.0</c:v>
                </c:pt>
                <c:pt idx="3">
                  <c:v>7.0</c:v>
                </c:pt>
              </c:numCache>
            </c:numRef>
          </c:xVal>
          <c:yVal>
            <c:numRef>
              <c:f>Sheet1!$K$14:$K$17</c:f>
              <c:numCache>
                <c:formatCode>General</c:formatCode>
                <c:ptCount val="4"/>
                <c:pt idx="0">
                  <c:v>8.94</c:v>
                </c:pt>
                <c:pt idx="1">
                  <c:v>11.03</c:v>
                </c:pt>
                <c:pt idx="2">
                  <c:v>11.28</c:v>
                </c:pt>
                <c:pt idx="3">
                  <c:v>11.48</c:v>
                </c:pt>
              </c:numCache>
            </c:numRef>
          </c:yVal>
          <c:smooth val="0"/>
        </c:ser>
        <c:dLbls>
          <c:showLegendKey val="0"/>
          <c:showVal val="0"/>
          <c:showCatName val="0"/>
          <c:showSerName val="0"/>
          <c:showPercent val="0"/>
          <c:showBubbleSize val="0"/>
        </c:dLbls>
        <c:axId val="2128678104"/>
        <c:axId val="2129634776"/>
      </c:scatterChart>
      <c:valAx>
        <c:axId val="2128678104"/>
        <c:scaling>
          <c:orientation val="minMax"/>
          <c:max val="7.0"/>
        </c:scaling>
        <c:delete val="0"/>
        <c:axPos val="b"/>
        <c:title>
          <c:tx>
            <c:rich>
              <a:bodyPr/>
              <a:lstStyle/>
              <a:p>
                <a:pPr>
                  <a:defRPr sz="1100"/>
                </a:pPr>
                <a:r>
                  <a:rPr lang="en-US" sz="1100"/>
                  <a:t>Leaching Period (Days)</a:t>
                </a:r>
              </a:p>
            </c:rich>
          </c:tx>
          <c:layout>
            <c:manualLayout>
              <c:xMode val="edge"/>
              <c:yMode val="edge"/>
              <c:x val="0.384029418197725"/>
              <c:y val="0.927427961579509"/>
            </c:manualLayout>
          </c:layout>
          <c:overlay val="0"/>
        </c:title>
        <c:numFmt formatCode="General" sourceLinked="1"/>
        <c:majorTickMark val="out"/>
        <c:minorTickMark val="none"/>
        <c:tickLblPos val="nextTo"/>
        <c:crossAx val="2129634776"/>
        <c:crosses val="autoZero"/>
        <c:crossBetween val="midCat"/>
      </c:valAx>
      <c:valAx>
        <c:axId val="2129634776"/>
        <c:scaling>
          <c:orientation val="minMax"/>
          <c:max val="14.0"/>
          <c:min val="1.0"/>
        </c:scaling>
        <c:delete val="0"/>
        <c:axPos val="l"/>
        <c:majorGridlines/>
        <c:title>
          <c:tx>
            <c:rich>
              <a:bodyPr rot="-5400000" vert="horz"/>
              <a:lstStyle/>
              <a:p>
                <a:pPr>
                  <a:defRPr/>
                </a:pPr>
                <a:r>
                  <a:rPr lang="en-US"/>
                  <a:t>pH</a:t>
                </a:r>
              </a:p>
            </c:rich>
          </c:tx>
          <c:overlay val="0"/>
        </c:title>
        <c:numFmt formatCode="General" sourceLinked="1"/>
        <c:majorTickMark val="out"/>
        <c:minorTickMark val="none"/>
        <c:tickLblPos val="nextTo"/>
        <c:crossAx val="2128678104"/>
        <c:crosses val="autoZero"/>
        <c:crossBetween val="midCat"/>
        <c:majorUnit val="1.0"/>
        <c:minorUnit val="1.0"/>
      </c:valAx>
    </c:plotArea>
    <c:legend>
      <c:legendPos val="r"/>
      <c:layout>
        <c:manualLayout>
          <c:xMode val="edge"/>
          <c:yMode val="edge"/>
          <c:x val="0.067151139293429"/>
          <c:y val="0.0126357632715265"/>
          <c:w val="0.885286487626547"/>
          <c:h val="0.129567183134366"/>
        </c:manualLayout>
      </c:layout>
      <c:overlay val="0"/>
      <c:txPr>
        <a:bodyPr/>
        <a:lstStyle/>
        <a:p>
          <a:pPr>
            <a:defRPr sz="1200"/>
          </a:pPr>
          <a:endParaRPr lang="en-US"/>
        </a:p>
      </c:txPr>
    </c:legend>
    <c:plotVisOnly val="1"/>
    <c:dispBlanksAs val="gap"/>
    <c:showDLblsOverMax val="0"/>
  </c:chart>
  <c:spPr>
    <a:ln>
      <a:noFill/>
    </a:ln>
  </c:spPr>
  <c:txPr>
    <a:bodyPr/>
    <a:lstStyle/>
    <a:p>
      <a:pPr>
        <a:defRPr sz="1400">
          <a:latin typeface="+mj-lt"/>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2636723143982"/>
          <c:y val="0.145161290322581"/>
          <c:w val="0.787163245219347"/>
          <c:h val="0.698881889763779"/>
        </c:manualLayout>
      </c:layout>
      <c:scatterChart>
        <c:scatterStyle val="smoothMarker"/>
        <c:varyColors val="0"/>
        <c:ser>
          <c:idx val="2"/>
          <c:order val="2"/>
          <c:tx>
            <c:v>25E-CS Anode</c:v>
          </c:tx>
          <c:spPr>
            <a:ln w="28575" cmpd="sng">
              <a:solidFill>
                <a:srgbClr val="8064A2"/>
              </a:solidFill>
            </a:ln>
          </c:spPr>
          <c:marker>
            <c:symbol val="triangle"/>
            <c:size val="6"/>
            <c:spPr>
              <a:solidFill>
                <a:srgbClr val="8064A2"/>
              </a:solidFill>
              <a:ln w="28575" cmpd="sng">
                <a:solidFill>
                  <a:srgbClr val="8064A2"/>
                </a:solidFill>
              </a:ln>
            </c:spPr>
          </c:marker>
          <c:xVal>
            <c:numRef>
              <c:f>Sheet1!$I$9:$I$12</c:f>
              <c:numCache>
                <c:formatCode>General</c:formatCode>
                <c:ptCount val="4"/>
                <c:pt idx="0">
                  <c:v>0.33</c:v>
                </c:pt>
                <c:pt idx="1">
                  <c:v>1.0</c:v>
                </c:pt>
                <c:pt idx="2">
                  <c:v>3.0</c:v>
                </c:pt>
                <c:pt idx="3">
                  <c:v>7.0</c:v>
                </c:pt>
              </c:numCache>
            </c:numRef>
          </c:xVal>
          <c:yVal>
            <c:numRef>
              <c:f>Sheet1!$K$24:$K$27</c:f>
              <c:numCache>
                <c:formatCode>General</c:formatCode>
                <c:ptCount val="4"/>
                <c:pt idx="0">
                  <c:v>2.89</c:v>
                </c:pt>
                <c:pt idx="1">
                  <c:v>2.75</c:v>
                </c:pt>
                <c:pt idx="2">
                  <c:v>2.69</c:v>
                </c:pt>
                <c:pt idx="3">
                  <c:v>2.64</c:v>
                </c:pt>
              </c:numCache>
            </c:numRef>
          </c:yVal>
          <c:smooth val="0"/>
        </c:ser>
        <c:ser>
          <c:idx val="3"/>
          <c:order val="3"/>
          <c:tx>
            <c:v>25E-CS Cathode</c:v>
          </c:tx>
          <c:spPr>
            <a:ln w="28575" cmpd="sng">
              <a:solidFill>
                <a:schemeClr val="accent4"/>
              </a:solidFill>
              <a:prstDash val="sysDash"/>
            </a:ln>
          </c:spPr>
          <c:marker>
            <c:symbol val="triangle"/>
            <c:size val="6"/>
            <c:spPr>
              <a:solidFill>
                <a:schemeClr val="accent4"/>
              </a:solidFill>
              <a:ln w="19050" cmpd="sng">
                <a:solidFill>
                  <a:schemeClr val="accent4"/>
                </a:solidFill>
                <a:prstDash val="solid"/>
              </a:ln>
            </c:spPr>
          </c:marker>
          <c:xVal>
            <c:numRef>
              <c:f>Sheet1!$I$9:$I$12</c:f>
              <c:numCache>
                <c:formatCode>General</c:formatCode>
                <c:ptCount val="4"/>
                <c:pt idx="0">
                  <c:v>0.33</c:v>
                </c:pt>
                <c:pt idx="1">
                  <c:v>1.0</c:v>
                </c:pt>
                <c:pt idx="2">
                  <c:v>3.0</c:v>
                </c:pt>
                <c:pt idx="3">
                  <c:v>7.0</c:v>
                </c:pt>
              </c:numCache>
            </c:numRef>
          </c:xVal>
          <c:yVal>
            <c:numRef>
              <c:f>Sheet1!$J$24:$J$27</c:f>
              <c:numCache>
                <c:formatCode>General</c:formatCode>
                <c:ptCount val="4"/>
                <c:pt idx="0">
                  <c:v>11.05</c:v>
                </c:pt>
                <c:pt idx="1">
                  <c:v>11.23</c:v>
                </c:pt>
                <c:pt idx="2">
                  <c:v>11.57</c:v>
                </c:pt>
                <c:pt idx="3">
                  <c:v>11.62</c:v>
                </c:pt>
              </c:numCache>
            </c:numRef>
          </c:yVal>
          <c:smooth val="0"/>
        </c:ser>
        <c:ser>
          <c:idx val="0"/>
          <c:order val="0"/>
          <c:tx>
            <c:v>5E-CS Anode</c:v>
          </c:tx>
          <c:spPr>
            <a:ln w="28575" cmpd="sng">
              <a:prstDash val="solid"/>
            </a:ln>
            <a:effectLst/>
          </c:spPr>
          <c:marker>
            <c:symbol val="square"/>
            <c:size val="6"/>
            <c:spPr>
              <a:solidFill>
                <a:srgbClr val="558ED5"/>
              </a:solidFill>
              <a:ln w="28575" cmpd="sng">
                <a:noFill/>
                <a:prstDash val="solid"/>
              </a:ln>
              <a:effectLst/>
            </c:spPr>
          </c:marker>
          <c:xVal>
            <c:numRef>
              <c:f>Sheet1!$I$9:$I$12</c:f>
              <c:numCache>
                <c:formatCode>General</c:formatCode>
                <c:ptCount val="4"/>
                <c:pt idx="0">
                  <c:v>0.33</c:v>
                </c:pt>
                <c:pt idx="1">
                  <c:v>1.0</c:v>
                </c:pt>
                <c:pt idx="2">
                  <c:v>3.0</c:v>
                </c:pt>
                <c:pt idx="3">
                  <c:v>7.0</c:v>
                </c:pt>
              </c:numCache>
            </c:numRef>
          </c:xVal>
          <c:yVal>
            <c:numRef>
              <c:f>Sheet1!$K$19:$K$22</c:f>
              <c:numCache>
                <c:formatCode>General</c:formatCode>
                <c:ptCount val="4"/>
                <c:pt idx="0">
                  <c:v>3.41</c:v>
                </c:pt>
                <c:pt idx="1">
                  <c:v>3.04</c:v>
                </c:pt>
                <c:pt idx="2">
                  <c:v>2.82</c:v>
                </c:pt>
                <c:pt idx="3">
                  <c:v>2.75</c:v>
                </c:pt>
              </c:numCache>
            </c:numRef>
          </c:yVal>
          <c:smooth val="0"/>
        </c:ser>
        <c:ser>
          <c:idx val="1"/>
          <c:order val="1"/>
          <c:tx>
            <c:v>5E-CS Cathode</c:v>
          </c:tx>
          <c:spPr>
            <a:ln w="28575" cmpd="sng">
              <a:solidFill>
                <a:srgbClr val="558ED5"/>
              </a:solidFill>
              <a:prstDash val="sysDash"/>
            </a:ln>
          </c:spPr>
          <c:marker>
            <c:symbol val="square"/>
            <c:size val="6"/>
            <c:spPr>
              <a:solidFill>
                <a:srgbClr val="558ED5"/>
              </a:solidFill>
              <a:ln>
                <a:solidFill>
                  <a:srgbClr val="558ED5"/>
                </a:solidFill>
                <a:prstDash val="solid"/>
              </a:ln>
            </c:spPr>
          </c:marker>
          <c:xVal>
            <c:numRef>
              <c:f>Sheet1!$I$9:$I$12</c:f>
              <c:numCache>
                <c:formatCode>General</c:formatCode>
                <c:ptCount val="4"/>
                <c:pt idx="0">
                  <c:v>0.33</c:v>
                </c:pt>
                <c:pt idx="1">
                  <c:v>1.0</c:v>
                </c:pt>
                <c:pt idx="2">
                  <c:v>3.0</c:v>
                </c:pt>
                <c:pt idx="3">
                  <c:v>7.0</c:v>
                </c:pt>
              </c:numCache>
            </c:numRef>
          </c:xVal>
          <c:yVal>
            <c:numRef>
              <c:f>Sheet1!$J$19:$J$22</c:f>
              <c:numCache>
                <c:formatCode>General</c:formatCode>
                <c:ptCount val="4"/>
                <c:pt idx="0">
                  <c:v>8.710000000000001</c:v>
                </c:pt>
                <c:pt idx="1">
                  <c:v>10.69</c:v>
                </c:pt>
                <c:pt idx="2">
                  <c:v>11.23</c:v>
                </c:pt>
                <c:pt idx="3">
                  <c:v>11.43</c:v>
                </c:pt>
              </c:numCache>
            </c:numRef>
          </c:yVal>
          <c:smooth val="0"/>
        </c:ser>
        <c:dLbls>
          <c:showLegendKey val="0"/>
          <c:showVal val="0"/>
          <c:showCatName val="0"/>
          <c:showSerName val="0"/>
          <c:showPercent val="0"/>
          <c:showBubbleSize val="0"/>
        </c:dLbls>
        <c:axId val="2130487096"/>
        <c:axId val="2130494504"/>
      </c:scatterChart>
      <c:valAx>
        <c:axId val="2130487096"/>
        <c:scaling>
          <c:orientation val="minMax"/>
          <c:max val="7.0"/>
        </c:scaling>
        <c:delete val="0"/>
        <c:axPos val="b"/>
        <c:title>
          <c:tx>
            <c:rich>
              <a:bodyPr/>
              <a:lstStyle/>
              <a:p>
                <a:pPr>
                  <a:defRPr sz="1100"/>
                </a:pPr>
                <a:r>
                  <a:rPr lang="en-US" sz="1100"/>
                  <a:t>Leaching Period (Days)</a:t>
                </a:r>
              </a:p>
            </c:rich>
          </c:tx>
          <c:overlay val="0"/>
        </c:title>
        <c:numFmt formatCode="General" sourceLinked="1"/>
        <c:majorTickMark val="out"/>
        <c:minorTickMark val="none"/>
        <c:tickLblPos val="nextTo"/>
        <c:crossAx val="2130494504"/>
        <c:crosses val="autoZero"/>
        <c:crossBetween val="midCat"/>
      </c:valAx>
      <c:valAx>
        <c:axId val="2130494504"/>
        <c:scaling>
          <c:orientation val="minMax"/>
          <c:max val="14.0"/>
          <c:min val="1.0"/>
        </c:scaling>
        <c:delete val="0"/>
        <c:axPos val="l"/>
        <c:majorGridlines/>
        <c:title>
          <c:tx>
            <c:rich>
              <a:bodyPr rot="-5400000" vert="horz"/>
              <a:lstStyle/>
              <a:p>
                <a:pPr>
                  <a:defRPr/>
                </a:pPr>
                <a:r>
                  <a:rPr lang="en-US"/>
                  <a:t>pH</a:t>
                </a:r>
              </a:p>
            </c:rich>
          </c:tx>
          <c:overlay val="0"/>
        </c:title>
        <c:numFmt formatCode="General" sourceLinked="1"/>
        <c:majorTickMark val="out"/>
        <c:minorTickMark val="none"/>
        <c:tickLblPos val="nextTo"/>
        <c:crossAx val="2130487096"/>
        <c:crosses val="autoZero"/>
        <c:crossBetween val="midCat"/>
        <c:majorUnit val="1.0"/>
        <c:minorUnit val="1.0"/>
      </c:valAx>
    </c:plotArea>
    <c:legend>
      <c:legendPos val="r"/>
      <c:layout>
        <c:manualLayout>
          <c:xMode val="edge"/>
          <c:yMode val="edge"/>
          <c:x val="0.067151139293429"/>
          <c:y val="0.0126357632715265"/>
          <c:w val="0.885286487626547"/>
          <c:h val="0.129567183134366"/>
        </c:manualLayout>
      </c:layout>
      <c:overlay val="0"/>
      <c:txPr>
        <a:bodyPr/>
        <a:lstStyle/>
        <a:p>
          <a:pPr>
            <a:defRPr sz="1200"/>
          </a:pPr>
          <a:endParaRPr lang="en-US"/>
        </a:p>
      </c:txPr>
    </c:legend>
    <c:plotVisOnly val="1"/>
    <c:dispBlanksAs val="gap"/>
    <c:showDLblsOverMax val="0"/>
  </c:chart>
  <c:spPr>
    <a:ln>
      <a:noFill/>
    </a:ln>
  </c:spPr>
  <c:txPr>
    <a:bodyPr/>
    <a:lstStyle/>
    <a:p>
      <a:pPr>
        <a:defRPr sz="1200">
          <a:latin typeface="+mj-lt"/>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97629396325459"/>
          <c:y val="0.0316978160748774"/>
          <c:w val="0.722887401574803"/>
          <c:h val="0.808428168177091"/>
        </c:manualLayout>
      </c:layout>
      <c:scatterChart>
        <c:scatterStyle val="lineMarker"/>
        <c:varyColors val="0"/>
        <c:ser>
          <c:idx val="0"/>
          <c:order val="1"/>
          <c:tx>
            <c:v>28DB1</c:v>
          </c:tx>
          <c:spPr>
            <a:ln w="28575" cmpd="sng">
              <a:solidFill>
                <a:schemeClr val="tx1"/>
              </a:solidFill>
            </a:ln>
          </c:spPr>
          <c:marker>
            <c:symbol val="none"/>
          </c:marker>
          <c:xVal>
            <c:numRef>
              <c:f>'28DB1- in1'!$C$5:$C$331</c:f>
              <c:numCache>
                <c:formatCode>0.00E+00</c:formatCode>
                <c:ptCount val="327"/>
                <c:pt idx="0">
                  <c:v>10.64</c:v>
                </c:pt>
                <c:pt idx="1">
                  <c:v>10.32</c:v>
                </c:pt>
                <c:pt idx="2">
                  <c:v>10.01</c:v>
                </c:pt>
                <c:pt idx="3">
                  <c:v>9.723999999999998</c:v>
                </c:pt>
                <c:pt idx="4">
                  <c:v>9.442</c:v>
                </c:pt>
                <c:pt idx="5">
                  <c:v>9.169</c:v>
                </c:pt>
                <c:pt idx="6">
                  <c:v>8.898000000000001</c:v>
                </c:pt>
                <c:pt idx="7">
                  <c:v>8.632</c:v>
                </c:pt>
                <c:pt idx="8">
                  <c:v>8.36</c:v>
                </c:pt>
                <c:pt idx="9">
                  <c:v>8.089</c:v>
                </c:pt>
                <c:pt idx="10">
                  <c:v>7.819999999999998</c:v>
                </c:pt>
                <c:pt idx="11">
                  <c:v>7.547</c:v>
                </c:pt>
                <c:pt idx="12">
                  <c:v>7.274</c:v>
                </c:pt>
                <c:pt idx="13">
                  <c:v>6.997</c:v>
                </c:pt>
                <c:pt idx="14">
                  <c:v>6.719</c:v>
                </c:pt>
                <c:pt idx="15">
                  <c:v>6.436</c:v>
                </c:pt>
                <c:pt idx="16">
                  <c:v>6.149</c:v>
                </c:pt>
                <c:pt idx="17">
                  <c:v>5.863999999999986</c:v>
                </c:pt>
                <c:pt idx="18">
                  <c:v>5.575</c:v>
                </c:pt>
                <c:pt idx="19">
                  <c:v>5.289</c:v>
                </c:pt>
                <c:pt idx="20">
                  <c:v>4.999</c:v>
                </c:pt>
                <c:pt idx="21">
                  <c:v>4.708</c:v>
                </c:pt>
                <c:pt idx="22">
                  <c:v>4.413</c:v>
                </c:pt>
                <c:pt idx="23">
                  <c:v>4.117999999999978</c:v>
                </c:pt>
                <c:pt idx="24">
                  <c:v>3.824</c:v>
                </c:pt>
                <c:pt idx="25">
                  <c:v>3.531</c:v>
                </c:pt>
                <c:pt idx="26">
                  <c:v>3.241</c:v>
                </c:pt>
                <c:pt idx="27">
                  <c:v>2.956999999999998</c:v>
                </c:pt>
                <c:pt idx="28">
                  <c:v>2.682</c:v>
                </c:pt>
                <c:pt idx="29">
                  <c:v>2.415999999999999</c:v>
                </c:pt>
                <c:pt idx="30">
                  <c:v>2.164</c:v>
                </c:pt>
                <c:pt idx="31">
                  <c:v>1.925999999999999</c:v>
                </c:pt>
                <c:pt idx="32">
                  <c:v>1.707</c:v>
                </c:pt>
                <c:pt idx="33">
                  <c:v>1.507</c:v>
                </c:pt>
                <c:pt idx="34">
                  <c:v>1.327</c:v>
                </c:pt>
                <c:pt idx="35">
                  <c:v>1.168</c:v>
                </c:pt>
                <c:pt idx="36">
                  <c:v>1.028</c:v>
                </c:pt>
                <c:pt idx="37">
                  <c:v>0.9076</c:v>
                </c:pt>
                <c:pt idx="38">
                  <c:v>0.804</c:v>
                </c:pt>
                <c:pt idx="39">
                  <c:v>0.7152</c:v>
                </c:pt>
                <c:pt idx="40">
                  <c:v>0.6394</c:v>
                </c:pt>
                <c:pt idx="41">
                  <c:v>0.5745</c:v>
                </c:pt>
                <c:pt idx="42">
                  <c:v>0.519</c:v>
                </c:pt>
                <c:pt idx="43">
                  <c:v>0.4714</c:v>
                </c:pt>
                <c:pt idx="44">
                  <c:v>0.4303</c:v>
                </c:pt>
                <c:pt idx="45">
                  <c:v>0.3949</c:v>
                </c:pt>
                <c:pt idx="46">
                  <c:v>0.3642</c:v>
                </c:pt>
                <c:pt idx="47">
                  <c:v>0.3374</c:v>
                </c:pt>
                <c:pt idx="48">
                  <c:v>0.3139</c:v>
                </c:pt>
                <c:pt idx="49">
                  <c:v>0.2931</c:v>
                </c:pt>
                <c:pt idx="50">
                  <c:v>0.2746</c:v>
                </c:pt>
                <c:pt idx="51">
                  <c:v>0.258</c:v>
                </c:pt>
                <c:pt idx="52">
                  <c:v>0.243</c:v>
                </c:pt>
                <c:pt idx="53">
                  <c:v>0.2295</c:v>
                </c:pt>
                <c:pt idx="54">
                  <c:v>0.2172</c:v>
                </c:pt>
                <c:pt idx="55">
                  <c:v>0.2059</c:v>
                </c:pt>
                <c:pt idx="56">
                  <c:v>0.1956</c:v>
                </c:pt>
                <c:pt idx="57">
                  <c:v>0.1861</c:v>
                </c:pt>
                <c:pt idx="58">
                  <c:v>0.1774</c:v>
                </c:pt>
                <c:pt idx="59">
                  <c:v>0.1694</c:v>
                </c:pt>
                <c:pt idx="60">
                  <c:v>0.1619</c:v>
                </c:pt>
                <c:pt idx="61">
                  <c:v>0.1549</c:v>
                </c:pt>
                <c:pt idx="62">
                  <c:v>0.1484</c:v>
                </c:pt>
                <c:pt idx="63">
                  <c:v>0.1421</c:v>
                </c:pt>
                <c:pt idx="64">
                  <c:v>0.1362</c:v>
                </c:pt>
                <c:pt idx="65">
                  <c:v>0.1308</c:v>
                </c:pt>
                <c:pt idx="66">
                  <c:v>0.1256</c:v>
                </c:pt>
                <c:pt idx="67">
                  <c:v>0.1209</c:v>
                </c:pt>
                <c:pt idx="68">
                  <c:v>0.1164</c:v>
                </c:pt>
                <c:pt idx="69">
                  <c:v>0.1121</c:v>
                </c:pt>
                <c:pt idx="70">
                  <c:v>0.1081</c:v>
                </c:pt>
                <c:pt idx="71">
                  <c:v>0.1044</c:v>
                </c:pt>
                <c:pt idx="72">
                  <c:v>0.1008</c:v>
                </c:pt>
                <c:pt idx="73">
                  <c:v>0.09751</c:v>
                </c:pt>
                <c:pt idx="74">
                  <c:v>0.09445</c:v>
                </c:pt>
                <c:pt idx="75">
                  <c:v>0.09157</c:v>
                </c:pt>
                <c:pt idx="76">
                  <c:v>0.08884</c:v>
                </c:pt>
                <c:pt idx="77">
                  <c:v>0.08626</c:v>
                </c:pt>
                <c:pt idx="78">
                  <c:v>0.08381</c:v>
                </c:pt>
                <c:pt idx="79">
                  <c:v>0.0815</c:v>
                </c:pt>
                <c:pt idx="80">
                  <c:v>0.0793</c:v>
                </c:pt>
                <c:pt idx="81">
                  <c:v>0.07717</c:v>
                </c:pt>
                <c:pt idx="82">
                  <c:v>0.07509</c:v>
                </c:pt>
                <c:pt idx="83">
                  <c:v>0.07313</c:v>
                </c:pt>
                <c:pt idx="84">
                  <c:v>0.07126</c:v>
                </c:pt>
                <c:pt idx="85">
                  <c:v>0.06948</c:v>
                </c:pt>
                <c:pt idx="86">
                  <c:v>0.06778</c:v>
                </c:pt>
                <c:pt idx="87">
                  <c:v>0.06612</c:v>
                </c:pt>
                <c:pt idx="88">
                  <c:v>0.06451</c:v>
                </c:pt>
                <c:pt idx="89">
                  <c:v>0.06293</c:v>
                </c:pt>
                <c:pt idx="90">
                  <c:v>0.0614</c:v>
                </c:pt>
                <c:pt idx="91">
                  <c:v>0.05993</c:v>
                </c:pt>
                <c:pt idx="92">
                  <c:v>0.05856</c:v>
                </c:pt>
                <c:pt idx="93">
                  <c:v>0.05725</c:v>
                </c:pt>
                <c:pt idx="94">
                  <c:v>0.05596</c:v>
                </c:pt>
                <c:pt idx="95">
                  <c:v>0.05471</c:v>
                </c:pt>
                <c:pt idx="96">
                  <c:v>0.0535</c:v>
                </c:pt>
                <c:pt idx="97">
                  <c:v>0.05233</c:v>
                </c:pt>
                <c:pt idx="98">
                  <c:v>0.05122</c:v>
                </c:pt>
                <c:pt idx="99">
                  <c:v>0.05017</c:v>
                </c:pt>
                <c:pt idx="100">
                  <c:v>0.04918</c:v>
                </c:pt>
                <c:pt idx="101">
                  <c:v>0.04825</c:v>
                </c:pt>
                <c:pt idx="102">
                  <c:v>0.04735</c:v>
                </c:pt>
                <c:pt idx="103">
                  <c:v>0.04648</c:v>
                </c:pt>
                <c:pt idx="104">
                  <c:v>0.04564</c:v>
                </c:pt>
                <c:pt idx="105">
                  <c:v>0.04484</c:v>
                </c:pt>
                <c:pt idx="106">
                  <c:v>0.04408</c:v>
                </c:pt>
                <c:pt idx="107">
                  <c:v>0.04335</c:v>
                </c:pt>
                <c:pt idx="108">
                  <c:v>0.04265</c:v>
                </c:pt>
                <c:pt idx="109">
                  <c:v>0.04198</c:v>
                </c:pt>
                <c:pt idx="110">
                  <c:v>0.04133</c:v>
                </c:pt>
                <c:pt idx="111">
                  <c:v>0.04069</c:v>
                </c:pt>
                <c:pt idx="112">
                  <c:v>0.04007</c:v>
                </c:pt>
                <c:pt idx="113">
                  <c:v>0.03947</c:v>
                </c:pt>
                <c:pt idx="114">
                  <c:v>0.03888</c:v>
                </c:pt>
                <c:pt idx="115">
                  <c:v>0.03832</c:v>
                </c:pt>
                <c:pt idx="116">
                  <c:v>0.03778</c:v>
                </c:pt>
                <c:pt idx="117">
                  <c:v>0.03725</c:v>
                </c:pt>
                <c:pt idx="118">
                  <c:v>0.03673</c:v>
                </c:pt>
                <c:pt idx="119">
                  <c:v>0.03623</c:v>
                </c:pt>
                <c:pt idx="120">
                  <c:v>0.03573</c:v>
                </c:pt>
                <c:pt idx="121">
                  <c:v>0.03525</c:v>
                </c:pt>
                <c:pt idx="122">
                  <c:v>0.03479</c:v>
                </c:pt>
                <c:pt idx="123">
                  <c:v>0.03433</c:v>
                </c:pt>
                <c:pt idx="124">
                  <c:v>0.03388</c:v>
                </c:pt>
                <c:pt idx="125">
                  <c:v>0.03344</c:v>
                </c:pt>
                <c:pt idx="126">
                  <c:v>0.03302</c:v>
                </c:pt>
                <c:pt idx="127">
                  <c:v>0.03259</c:v>
                </c:pt>
                <c:pt idx="128">
                  <c:v>0.03217</c:v>
                </c:pt>
                <c:pt idx="129">
                  <c:v>0.03177</c:v>
                </c:pt>
                <c:pt idx="130">
                  <c:v>0.03137</c:v>
                </c:pt>
                <c:pt idx="131">
                  <c:v>0.03097</c:v>
                </c:pt>
                <c:pt idx="132">
                  <c:v>0.03058</c:v>
                </c:pt>
                <c:pt idx="133">
                  <c:v>0.0302</c:v>
                </c:pt>
                <c:pt idx="134">
                  <c:v>0.02982</c:v>
                </c:pt>
                <c:pt idx="135">
                  <c:v>0.02945</c:v>
                </c:pt>
                <c:pt idx="136">
                  <c:v>0.02907</c:v>
                </c:pt>
                <c:pt idx="137">
                  <c:v>0.02869</c:v>
                </c:pt>
                <c:pt idx="138">
                  <c:v>0.02833</c:v>
                </c:pt>
                <c:pt idx="139">
                  <c:v>0.02795</c:v>
                </c:pt>
                <c:pt idx="140">
                  <c:v>0.02759</c:v>
                </c:pt>
                <c:pt idx="141">
                  <c:v>0.02722</c:v>
                </c:pt>
                <c:pt idx="142">
                  <c:v>0.02685</c:v>
                </c:pt>
                <c:pt idx="143">
                  <c:v>0.02648</c:v>
                </c:pt>
                <c:pt idx="144">
                  <c:v>0.02612</c:v>
                </c:pt>
                <c:pt idx="145">
                  <c:v>0.02577</c:v>
                </c:pt>
                <c:pt idx="146">
                  <c:v>0.02543</c:v>
                </c:pt>
                <c:pt idx="147">
                  <c:v>0.02509</c:v>
                </c:pt>
                <c:pt idx="148">
                  <c:v>0.02475</c:v>
                </c:pt>
                <c:pt idx="149">
                  <c:v>0.02442</c:v>
                </c:pt>
                <c:pt idx="150">
                  <c:v>0.0241</c:v>
                </c:pt>
                <c:pt idx="151">
                  <c:v>0.02378</c:v>
                </c:pt>
                <c:pt idx="152">
                  <c:v>0.02347</c:v>
                </c:pt>
                <c:pt idx="153">
                  <c:v>0.02317</c:v>
                </c:pt>
                <c:pt idx="154">
                  <c:v>0.02287</c:v>
                </c:pt>
                <c:pt idx="155">
                  <c:v>0.02257</c:v>
                </c:pt>
                <c:pt idx="156">
                  <c:v>0.02227</c:v>
                </c:pt>
                <c:pt idx="157">
                  <c:v>0.02198</c:v>
                </c:pt>
                <c:pt idx="158">
                  <c:v>0.02169</c:v>
                </c:pt>
                <c:pt idx="159">
                  <c:v>0.02141</c:v>
                </c:pt>
                <c:pt idx="160">
                  <c:v>0.02113</c:v>
                </c:pt>
                <c:pt idx="161">
                  <c:v>0.02085</c:v>
                </c:pt>
                <c:pt idx="162">
                  <c:v>0.02058</c:v>
                </c:pt>
                <c:pt idx="163">
                  <c:v>0.02032</c:v>
                </c:pt>
                <c:pt idx="164">
                  <c:v>0.02006</c:v>
                </c:pt>
                <c:pt idx="165">
                  <c:v>0.0198</c:v>
                </c:pt>
                <c:pt idx="166">
                  <c:v>0.01955</c:v>
                </c:pt>
                <c:pt idx="167">
                  <c:v>0.01931</c:v>
                </c:pt>
                <c:pt idx="168">
                  <c:v>0.01907</c:v>
                </c:pt>
                <c:pt idx="169">
                  <c:v>0.01884</c:v>
                </c:pt>
                <c:pt idx="170">
                  <c:v>0.01861</c:v>
                </c:pt>
                <c:pt idx="171">
                  <c:v>0.01838</c:v>
                </c:pt>
                <c:pt idx="172">
                  <c:v>0.01816</c:v>
                </c:pt>
                <c:pt idx="173">
                  <c:v>0.01795</c:v>
                </c:pt>
                <c:pt idx="174">
                  <c:v>0.01774</c:v>
                </c:pt>
                <c:pt idx="175">
                  <c:v>0.01753</c:v>
                </c:pt>
                <c:pt idx="176">
                  <c:v>0.01733</c:v>
                </c:pt>
                <c:pt idx="177">
                  <c:v>0.01713</c:v>
                </c:pt>
                <c:pt idx="178">
                  <c:v>0.01693</c:v>
                </c:pt>
                <c:pt idx="179">
                  <c:v>0.01674</c:v>
                </c:pt>
                <c:pt idx="180">
                  <c:v>0.01655</c:v>
                </c:pt>
                <c:pt idx="181">
                  <c:v>0.01637</c:v>
                </c:pt>
                <c:pt idx="182">
                  <c:v>0.01619</c:v>
                </c:pt>
                <c:pt idx="183">
                  <c:v>0.01601</c:v>
                </c:pt>
                <c:pt idx="184">
                  <c:v>0.01583</c:v>
                </c:pt>
                <c:pt idx="185">
                  <c:v>0.01566</c:v>
                </c:pt>
                <c:pt idx="186">
                  <c:v>0.01548</c:v>
                </c:pt>
                <c:pt idx="187">
                  <c:v>0.01532</c:v>
                </c:pt>
                <c:pt idx="188">
                  <c:v>0.01516</c:v>
                </c:pt>
                <c:pt idx="189">
                  <c:v>0.015</c:v>
                </c:pt>
                <c:pt idx="190">
                  <c:v>0.01485</c:v>
                </c:pt>
                <c:pt idx="191">
                  <c:v>0.01469</c:v>
                </c:pt>
                <c:pt idx="192">
                  <c:v>0.01454</c:v>
                </c:pt>
                <c:pt idx="193">
                  <c:v>0.01439</c:v>
                </c:pt>
                <c:pt idx="194">
                  <c:v>0.01425</c:v>
                </c:pt>
                <c:pt idx="195">
                  <c:v>0.01411</c:v>
                </c:pt>
                <c:pt idx="196">
                  <c:v>0.01398</c:v>
                </c:pt>
                <c:pt idx="197">
                  <c:v>0.01385</c:v>
                </c:pt>
                <c:pt idx="198">
                  <c:v>0.01373</c:v>
                </c:pt>
                <c:pt idx="199">
                  <c:v>0.0136</c:v>
                </c:pt>
                <c:pt idx="200">
                  <c:v>0.01348</c:v>
                </c:pt>
                <c:pt idx="201">
                  <c:v>0.01337</c:v>
                </c:pt>
                <c:pt idx="202">
                  <c:v>0.01327</c:v>
                </c:pt>
                <c:pt idx="203">
                  <c:v>0.01317</c:v>
                </c:pt>
                <c:pt idx="204">
                  <c:v>0.01307</c:v>
                </c:pt>
                <c:pt idx="205">
                  <c:v>0.01298</c:v>
                </c:pt>
                <c:pt idx="206">
                  <c:v>0.01289</c:v>
                </c:pt>
                <c:pt idx="207">
                  <c:v>0.01281</c:v>
                </c:pt>
                <c:pt idx="208">
                  <c:v>0.01272</c:v>
                </c:pt>
                <c:pt idx="209">
                  <c:v>0.01264</c:v>
                </c:pt>
                <c:pt idx="210">
                  <c:v>0.01256</c:v>
                </c:pt>
                <c:pt idx="211">
                  <c:v>0.01248</c:v>
                </c:pt>
                <c:pt idx="212">
                  <c:v>0.0124</c:v>
                </c:pt>
                <c:pt idx="213">
                  <c:v>0.01233</c:v>
                </c:pt>
                <c:pt idx="214">
                  <c:v>0.01225</c:v>
                </c:pt>
                <c:pt idx="215">
                  <c:v>0.01217</c:v>
                </c:pt>
                <c:pt idx="216">
                  <c:v>0.0121</c:v>
                </c:pt>
                <c:pt idx="217">
                  <c:v>0.01202</c:v>
                </c:pt>
                <c:pt idx="218">
                  <c:v>0.01195</c:v>
                </c:pt>
                <c:pt idx="219">
                  <c:v>0.01188</c:v>
                </c:pt>
                <c:pt idx="220">
                  <c:v>0.01181</c:v>
                </c:pt>
                <c:pt idx="221">
                  <c:v>0.01173</c:v>
                </c:pt>
                <c:pt idx="222">
                  <c:v>0.01166</c:v>
                </c:pt>
                <c:pt idx="223">
                  <c:v>0.01159</c:v>
                </c:pt>
                <c:pt idx="224">
                  <c:v>0.01152</c:v>
                </c:pt>
                <c:pt idx="225">
                  <c:v>0.01146</c:v>
                </c:pt>
                <c:pt idx="226">
                  <c:v>0.01139</c:v>
                </c:pt>
                <c:pt idx="227">
                  <c:v>0.01132</c:v>
                </c:pt>
                <c:pt idx="228">
                  <c:v>0.01125</c:v>
                </c:pt>
                <c:pt idx="229">
                  <c:v>0.01119</c:v>
                </c:pt>
                <c:pt idx="230">
                  <c:v>0.01112</c:v>
                </c:pt>
                <c:pt idx="231">
                  <c:v>0.01106</c:v>
                </c:pt>
                <c:pt idx="232">
                  <c:v>0.01099</c:v>
                </c:pt>
                <c:pt idx="233">
                  <c:v>0.01093</c:v>
                </c:pt>
                <c:pt idx="234">
                  <c:v>0.01087</c:v>
                </c:pt>
                <c:pt idx="235">
                  <c:v>0.0108</c:v>
                </c:pt>
                <c:pt idx="236">
                  <c:v>0.01074</c:v>
                </c:pt>
                <c:pt idx="237">
                  <c:v>0.01068</c:v>
                </c:pt>
                <c:pt idx="238">
                  <c:v>0.01062</c:v>
                </c:pt>
                <c:pt idx="239">
                  <c:v>0.01056</c:v>
                </c:pt>
                <c:pt idx="240">
                  <c:v>0.0105</c:v>
                </c:pt>
                <c:pt idx="241">
                  <c:v>0.01044</c:v>
                </c:pt>
                <c:pt idx="242">
                  <c:v>0.01039</c:v>
                </c:pt>
                <c:pt idx="243">
                  <c:v>0.01033</c:v>
                </c:pt>
                <c:pt idx="244">
                  <c:v>0.01027</c:v>
                </c:pt>
                <c:pt idx="245">
                  <c:v>0.01021</c:v>
                </c:pt>
                <c:pt idx="246">
                  <c:v>0.01016</c:v>
                </c:pt>
                <c:pt idx="247">
                  <c:v>0.0101</c:v>
                </c:pt>
                <c:pt idx="248">
                  <c:v>0.01005</c:v>
                </c:pt>
                <c:pt idx="249">
                  <c:v>0.009993</c:v>
                </c:pt>
                <c:pt idx="250">
                  <c:v>0.009939</c:v>
                </c:pt>
                <c:pt idx="251">
                  <c:v>0.009885</c:v>
                </c:pt>
                <c:pt idx="252">
                  <c:v>0.009832</c:v>
                </c:pt>
                <c:pt idx="253">
                  <c:v>0.009779</c:v>
                </c:pt>
                <c:pt idx="254">
                  <c:v>0.009727</c:v>
                </c:pt>
                <c:pt idx="255">
                  <c:v>0.009675</c:v>
                </c:pt>
                <c:pt idx="256">
                  <c:v>0.009622</c:v>
                </c:pt>
                <c:pt idx="257">
                  <c:v>0.00957</c:v>
                </c:pt>
                <c:pt idx="258">
                  <c:v>0.009518</c:v>
                </c:pt>
                <c:pt idx="259">
                  <c:v>0.009467</c:v>
                </c:pt>
                <c:pt idx="260">
                  <c:v>0.009416</c:v>
                </c:pt>
                <c:pt idx="261">
                  <c:v>0.009363</c:v>
                </c:pt>
                <c:pt idx="262">
                  <c:v>0.009311</c:v>
                </c:pt>
                <c:pt idx="263">
                  <c:v>0.009259</c:v>
                </c:pt>
                <c:pt idx="264">
                  <c:v>0.009206</c:v>
                </c:pt>
                <c:pt idx="265">
                  <c:v>0.009155</c:v>
                </c:pt>
                <c:pt idx="266">
                  <c:v>0.009104</c:v>
                </c:pt>
                <c:pt idx="267">
                  <c:v>0.009054</c:v>
                </c:pt>
                <c:pt idx="268">
                  <c:v>0.009004</c:v>
                </c:pt>
                <c:pt idx="269">
                  <c:v>0.008953</c:v>
                </c:pt>
                <c:pt idx="270">
                  <c:v>0.008902</c:v>
                </c:pt>
                <c:pt idx="271">
                  <c:v>0.008851</c:v>
                </c:pt>
                <c:pt idx="272">
                  <c:v>0.008801</c:v>
                </c:pt>
                <c:pt idx="273">
                  <c:v>0.00875</c:v>
                </c:pt>
                <c:pt idx="274">
                  <c:v>0.0087</c:v>
                </c:pt>
                <c:pt idx="275">
                  <c:v>0.008649</c:v>
                </c:pt>
                <c:pt idx="276">
                  <c:v>0.008597</c:v>
                </c:pt>
                <c:pt idx="277">
                  <c:v>0.008546</c:v>
                </c:pt>
                <c:pt idx="278">
                  <c:v>0.008494</c:v>
                </c:pt>
                <c:pt idx="279">
                  <c:v>0.008442</c:v>
                </c:pt>
                <c:pt idx="280">
                  <c:v>0.008391</c:v>
                </c:pt>
                <c:pt idx="281">
                  <c:v>0.008341</c:v>
                </c:pt>
                <c:pt idx="282">
                  <c:v>0.00829</c:v>
                </c:pt>
                <c:pt idx="283">
                  <c:v>0.008241</c:v>
                </c:pt>
                <c:pt idx="284">
                  <c:v>0.008192</c:v>
                </c:pt>
                <c:pt idx="285">
                  <c:v>0.008143</c:v>
                </c:pt>
                <c:pt idx="286">
                  <c:v>0.008094</c:v>
                </c:pt>
                <c:pt idx="287">
                  <c:v>0.008046</c:v>
                </c:pt>
                <c:pt idx="288">
                  <c:v>0.007999</c:v>
                </c:pt>
                <c:pt idx="289">
                  <c:v>0.007952</c:v>
                </c:pt>
                <c:pt idx="290">
                  <c:v>0.007905</c:v>
                </c:pt>
                <c:pt idx="291">
                  <c:v>0.007859</c:v>
                </c:pt>
                <c:pt idx="292">
                  <c:v>0.007813</c:v>
                </c:pt>
                <c:pt idx="293">
                  <c:v>0.007767</c:v>
                </c:pt>
                <c:pt idx="294">
                  <c:v>0.007722</c:v>
                </c:pt>
                <c:pt idx="295">
                  <c:v>0.007678</c:v>
                </c:pt>
                <c:pt idx="296">
                  <c:v>0.007633</c:v>
                </c:pt>
                <c:pt idx="297">
                  <c:v>0.00759</c:v>
                </c:pt>
                <c:pt idx="298">
                  <c:v>0.007546</c:v>
                </c:pt>
                <c:pt idx="299">
                  <c:v>0.007503</c:v>
                </c:pt>
                <c:pt idx="300">
                  <c:v>0.007461</c:v>
                </c:pt>
                <c:pt idx="301">
                  <c:v>0.007418</c:v>
                </c:pt>
                <c:pt idx="302">
                  <c:v>0.007377</c:v>
                </c:pt>
                <c:pt idx="303">
                  <c:v>0.007335</c:v>
                </c:pt>
                <c:pt idx="304">
                  <c:v>0.007294</c:v>
                </c:pt>
                <c:pt idx="305">
                  <c:v>0.007254</c:v>
                </c:pt>
                <c:pt idx="306">
                  <c:v>0.007213</c:v>
                </c:pt>
                <c:pt idx="307">
                  <c:v>0.007173</c:v>
                </c:pt>
                <c:pt idx="308">
                  <c:v>0.007134</c:v>
                </c:pt>
                <c:pt idx="309">
                  <c:v>0.007094</c:v>
                </c:pt>
                <c:pt idx="310">
                  <c:v>0.007056</c:v>
                </c:pt>
                <c:pt idx="311">
                  <c:v>0.007017</c:v>
                </c:pt>
                <c:pt idx="312">
                  <c:v>0.006979</c:v>
                </c:pt>
                <c:pt idx="313">
                  <c:v>0.006941</c:v>
                </c:pt>
                <c:pt idx="314">
                  <c:v>0.006904</c:v>
                </c:pt>
                <c:pt idx="315">
                  <c:v>0.006867</c:v>
                </c:pt>
                <c:pt idx="316">
                  <c:v>0.00683</c:v>
                </c:pt>
                <c:pt idx="317">
                  <c:v>0.006793</c:v>
                </c:pt>
                <c:pt idx="318">
                  <c:v>0.006756</c:v>
                </c:pt>
                <c:pt idx="319">
                  <c:v>0.00672</c:v>
                </c:pt>
                <c:pt idx="320">
                  <c:v>0.006684</c:v>
                </c:pt>
                <c:pt idx="321">
                  <c:v>0.006648</c:v>
                </c:pt>
                <c:pt idx="322">
                  <c:v>0.006613</c:v>
                </c:pt>
                <c:pt idx="323">
                  <c:v>0.006577</c:v>
                </c:pt>
                <c:pt idx="324">
                  <c:v>0.006541</c:v>
                </c:pt>
                <c:pt idx="325">
                  <c:v>0.006506</c:v>
                </c:pt>
                <c:pt idx="326">
                  <c:v>0.00647</c:v>
                </c:pt>
              </c:numCache>
            </c:numRef>
          </c:xVal>
          <c:yVal>
            <c:numRef>
              <c:f>'28DB1- in1'!$J$5:$J$331</c:f>
              <c:numCache>
                <c:formatCode>0.00E+00</c:formatCode>
                <c:ptCount val="327"/>
                <c:pt idx="0">
                  <c:v>0.0</c:v>
                </c:pt>
                <c:pt idx="1">
                  <c:v>0.000385</c:v>
                </c:pt>
                <c:pt idx="2">
                  <c:v>0.00044</c:v>
                </c:pt>
                <c:pt idx="3">
                  <c:v>0.000495</c:v>
                </c:pt>
                <c:pt idx="4">
                  <c:v>0.000495</c:v>
                </c:pt>
                <c:pt idx="5">
                  <c:v>0.000495</c:v>
                </c:pt>
                <c:pt idx="6">
                  <c:v>0.00055</c:v>
                </c:pt>
                <c:pt idx="7">
                  <c:v>0.00055</c:v>
                </c:pt>
                <c:pt idx="8">
                  <c:v>0.00055</c:v>
                </c:pt>
                <c:pt idx="9">
                  <c:v>0.00055</c:v>
                </c:pt>
                <c:pt idx="10">
                  <c:v>0.00055</c:v>
                </c:pt>
                <c:pt idx="11">
                  <c:v>0.00055</c:v>
                </c:pt>
                <c:pt idx="12">
                  <c:v>0.00055</c:v>
                </c:pt>
                <c:pt idx="13">
                  <c:v>0.00055</c:v>
                </c:pt>
                <c:pt idx="14">
                  <c:v>0.00055</c:v>
                </c:pt>
                <c:pt idx="15">
                  <c:v>0.00055</c:v>
                </c:pt>
                <c:pt idx="16">
                  <c:v>0.00055</c:v>
                </c:pt>
                <c:pt idx="17">
                  <c:v>0.00055</c:v>
                </c:pt>
                <c:pt idx="18">
                  <c:v>0.00055</c:v>
                </c:pt>
                <c:pt idx="19">
                  <c:v>0.00055</c:v>
                </c:pt>
                <c:pt idx="20">
                  <c:v>0.00055</c:v>
                </c:pt>
                <c:pt idx="21">
                  <c:v>0.00055</c:v>
                </c:pt>
                <c:pt idx="22">
                  <c:v>0.00055</c:v>
                </c:pt>
                <c:pt idx="23">
                  <c:v>0.00055</c:v>
                </c:pt>
                <c:pt idx="24">
                  <c:v>0.00055</c:v>
                </c:pt>
                <c:pt idx="25">
                  <c:v>0.00055</c:v>
                </c:pt>
                <c:pt idx="26">
                  <c:v>0.00055</c:v>
                </c:pt>
                <c:pt idx="27">
                  <c:v>0.00055</c:v>
                </c:pt>
                <c:pt idx="28">
                  <c:v>0.00055</c:v>
                </c:pt>
                <c:pt idx="29">
                  <c:v>0.00055</c:v>
                </c:pt>
                <c:pt idx="30">
                  <c:v>0.00055</c:v>
                </c:pt>
                <c:pt idx="31">
                  <c:v>0.00055</c:v>
                </c:pt>
                <c:pt idx="32">
                  <c:v>0.00055</c:v>
                </c:pt>
                <c:pt idx="33">
                  <c:v>0.00055</c:v>
                </c:pt>
                <c:pt idx="34">
                  <c:v>0.00055</c:v>
                </c:pt>
                <c:pt idx="35">
                  <c:v>0.00055</c:v>
                </c:pt>
                <c:pt idx="36">
                  <c:v>0.00055</c:v>
                </c:pt>
                <c:pt idx="37">
                  <c:v>0.00055</c:v>
                </c:pt>
                <c:pt idx="38">
                  <c:v>0.00055</c:v>
                </c:pt>
                <c:pt idx="39">
                  <c:v>0.00055</c:v>
                </c:pt>
                <c:pt idx="40">
                  <c:v>0.00055</c:v>
                </c:pt>
                <c:pt idx="41">
                  <c:v>0.00055</c:v>
                </c:pt>
                <c:pt idx="42">
                  <c:v>0.00055</c:v>
                </c:pt>
                <c:pt idx="43">
                  <c:v>0.00055</c:v>
                </c:pt>
                <c:pt idx="44">
                  <c:v>0.00055</c:v>
                </c:pt>
                <c:pt idx="45">
                  <c:v>0.00055</c:v>
                </c:pt>
                <c:pt idx="46">
                  <c:v>0.00055</c:v>
                </c:pt>
                <c:pt idx="47">
                  <c:v>0.00055</c:v>
                </c:pt>
                <c:pt idx="48">
                  <c:v>0.00055</c:v>
                </c:pt>
                <c:pt idx="49">
                  <c:v>0.00055</c:v>
                </c:pt>
                <c:pt idx="50">
                  <c:v>0.00055</c:v>
                </c:pt>
                <c:pt idx="51">
                  <c:v>0.00055</c:v>
                </c:pt>
                <c:pt idx="52">
                  <c:v>0.00055</c:v>
                </c:pt>
                <c:pt idx="53">
                  <c:v>0.00055</c:v>
                </c:pt>
                <c:pt idx="54">
                  <c:v>0.00055</c:v>
                </c:pt>
                <c:pt idx="55">
                  <c:v>0.00055</c:v>
                </c:pt>
                <c:pt idx="56">
                  <c:v>0.00055</c:v>
                </c:pt>
                <c:pt idx="57">
                  <c:v>0.00055</c:v>
                </c:pt>
                <c:pt idx="58">
                  <c:v>0.00055</c:v>
                </c:pt>
                <c:pt idx="59">
                  <c:v>0.00055</c:v>
                </c:pt>
                <c:pt idx="60">
                  <c:v>0.00055</c:v>
                </c:pt>
                <c:pt idx="61">
                  <c:v>0.00055</c:v>
                </c:pt>
                <c:pt idx="62">
                  <c:v>0.00055</c:v>
                </c:pt>
                <c:pt idx="63">
                  <c:v>0.00055</c:v>
                </c:pt>
                <c:pt idx="64">
                  <c:v>0.00055</c:v>
                </c:pt>
                <c:pt idx="65">
                  <c:v>0.00055</c:v>
                </c:pt>
                <c:pt idx="66">
                  <c:v>0.00055</c:v>
                </c:pt>
                <c:pt idx="67">
                  <c:v>0.00055</c:v>
                </c:pt>
                <c:pt idx="68">
                  <c:v>0.00055</c:v>
                </c:pt>
                <c:pt idx="69">
                  <c:v>0.00055</c:v>
                </c:pt>
                <c:pt idx="70">
                  <c:v>0.00055</c:v>
                </c:pt>
                <c:pt idx="71">
                  <c:v>0.00055</c:v>
                </c:pt>
                <c:pt idx="72">
                  <c:v>0.00055</c:v>
                </c:pt>
                <c:pt idx="73">
                  <c:v>0.00055</c:v>
                </c:pt>
                <c:pt idx="74">
                  <c:v>0.00055</c:v>
                </c:pt>
                <c:pt idx="75">
                  <c:v>0.00055</c:v>
                </c:pt>
                <c:pt idx="76">
                  <c:v>0.00055</c:v>
                </c:pt>
                <c:pt idx="77">
                  <c:v>0.00055</c:v>
                </c:pt>
                <c:pt idx="78">
                  <c:v>0.00055</c:v>
                </c:pt>
                <c:pt idx="79">
                  <c:v>0.00055</c:v>
                </c:pt>
                <c:pt idx="80">
                  <c:v>0.00055</c:v>
                </c:pt>
                <c:pt idx="81">
                  <c:v>0.00055</c:v>
                </c:pt>
                <c:pt idx="82">
                  <c:v>0.00055</c:v>
                </c:pt>
                <c:pt idx="83">
                  <c:v>0.00055</c:v>
                </c:pt>
                <c:pt idx="84">
                  <c:v>0.00055</c:v>
                </c:pt>
                <c:pt idx="85">
                  <c:v>0.00055</c:v>
                </c:pt>
                <c:pt idx="86">
                  <c:v>0.00055</c:v>
                </c:pt>
                <c:pt idx="87">
                  <c:v>0.00055</c:v>
                </c:pt>
                <c:pt idx="88">
                  <c:v>0.00055</c:v>
                </c:pt>
                <c:pt idx="89">
                  <c:v>0.00055</c:v>
                </c:pt>
                <c:pt idx="90">
                  <c:v>0.00055</c:v>
                </c:pt>
                <c:pt idx="91">
                  <c:v>0.00055</c:v>
                </c:pt>
                <c:pt idx="92">
                  <c:v>0.00055</c:v>
                </c:pt>
                <c:pt idx="93">
                  <c:v>0.00055</c:v>
                </c:pt>
                <c:pt idx="94">
                  <c:v>0.000605</c:v>
                </c:pt>
                <c:pt idx="95">
                  <c:v>0.00066</c:v>
                </c:pt>
                <c:pt idx="96">
                  <c:v>0.00077</c:v>
                </c:pt>
                <c:pt idx="97">
                  <c:v>0.000935</c:v>
                </c:pt>
                <c:pt idx="98">
                  <c:v>0.001045</c:v>
                </c:pt>
                <c:pt idx="99">
                  <c:v>0.00121</c:v>
                </c:pt>
                <c:pt idx="100">
                  <c:v>0.001375</c:v>
                </c:pt>
                <c:pt idx="101">
                  <c:v>0.00154</c:v>
                </c:pt>
                <c:pt idx="102">
                  <c:v>0.00176</c:v>
                </c:pt>
                <c:pt idx="103">
                  <c:v>0.00198</c:v>
                </c:pt>
                <c:pt idx="104">
                  <c:v>0.002145</c:v>
                </c:pt>
                <c:pt idx="105">
                  <c:v>0.002365</c:v>
                </c:pt>
                <c:pt idx="106">
                  <c:v>0.00253</c:v>
                </c:pt>
                <c:pt idx="107">
                  <c:v>0.002805</c:v>
                </c:pt>
                <c:pt idx="108">
                  <c:v>0.002915</c:v>
                </c:pt>
                <c:pt idx="109">
                  <c:v>0.00308</c:v>
                </c:pt>
                <c:pt idx="110">
                  <c:v>0.0033</c:v>
                </c:pt>
                <c:pt idx="111">
                  <c:v>0.003465</c:v>
                </c:pt>
                <c:pt idx="112">
                  <c:v>0.003685</c:v>
                </c:pt>
                <c:pt idx="113">
                  <c:v>0.00385</c:v>
                </c:pt>
                <c:pt idx="114">
                  <c:v>0.004125</c:v>
                </c:pt>
                <c:pt idx="115">
                  <c:v>0.004345</c:v>
                </c:pt>
                <c:pt idx="116">
                  <c:v>0.00462</c:v>
                </c:pt>
                <c:pt idx="117">
                  <c:v>0.00495</c:v>
                </c:pt>
                <c:pt idx="118">
                  <c:v>0.00517</c:v>
                </c:pt>
                <c:pt idx="119">
                  <c:v>0.005445</c:v>
                </c:pt>
                <c:pt idx="120">
                  <c:v>0.00572</c:v>
                </c:pt>
                <c:pt idx="121">
                  <c:v>0.00594</c:v>
                </c:pt>
                <c:pt idx="122">
                  <c:v>0.006215</c:v>
                </c:pt>
                <c:pt idx="123">
                  <c:v>0.006545</c:v>
                </c:pt>
                <c:pt idx="124">
                  <c:v>0.006875</c:v>
                </c:pt>
                <c:pt idx="125">
                  <c:v>0.007095</c:v>
                </c:pt>
                <c:pt idx="126">
                  <c:v>0.007425</c:v>
                </c:pt>
                <c:pt idx="127">
                  <c:v>0.007755</c:v>
                </c:pt>
                <c:pt idx="128">
                  <c:v>0.008085</c:v>
                </c:pt>
                <c:pt idx="129">
                  <c:v>0.00847</c:v>
                </c:pt>
                <c:pt idx="130">
                  <c:v>0.008855</c:v>
                </c:pt>
                <c:pt idx="131">
                  <c:v>0.009295</c:v>
                </c:pt>
                <c:pt idx="132">
                  <c:v>0.00968</c:v>
                </c:pt>
                <c:pt idx="133">
                  <c:v>0.01012</c:v>
                </c:pt>
                <c:pt idx="134">
                  <c:v>0.01056</c:v>
                </c:pt>
                <c:pt idx="135">
                  <c:v>0.011055</c:v>
                </c:pt>
                <c:pt idx="136">
                  <c:v>0.011605</c:v>
                </c:pt>
                <c:pt idx="137">
                  <c:v>0.012045</c:v>
                </c:pt>
                <c:pt idx="138">
                  <c:v>0.01254</c:v>
                </c:pt>
                <c:pt idx="139">
                  <c:v>0.01298</c:v>
                </c:pt>
                <c:pt idx="140">
                  <c:v>0.013475</c:v>
                </c:pt>
                <c:pt idx="141">
                  <c:v>0.013915</c:v>
                </c:pt>
                <c:pt idx="142">
                  <c:v>0.014355</c:v>
                </c:pt>
                <c:pt idx="143">
                  <c:v>0.01485</c:v>
                </c:pt>
                <c:pt idx="144">
                  <c:v>0.0154</c:v>
                </c:pt>
                <c:pt idx="145">
                  <c:v>0.01584</c:v>
                </c:pt>
                <c:pt idx="146">
                  <c:v>0.01639</c:v>
                </c:pt>
                <c:pt idx="147">
                  <c:v>0.016885</c:v>
                </c:pt>
                <c:pt idx="148">
                  <c:v>0.01749</c:v>
                </c:pt>
                <c:pt idx="149">
                  <c:v>0.01815</c:v>
                </c:pt>
                <c:pt idx="150">
                  <c:v>0.018865</c:v>
                </c:pt>
                <c:pt idx="151">
                  <c:v>0.01969</c:v>
                </c:pt>
                <c:pt idx="152">
                  <c:v>0.02057</c:v>
                </c:pt>
                <c:pt idx="153">
                  <c:v>0.021505</c:v>
                </c:pt>
                <c:pt idx="154">
                  <c:v>0.022605</c:v>
                </c:pt>
                <c:pt idx="155">
                  <c:v>0.02376</c:v>
                </c:pt>
                <c:pt idx="156">
                  <c:v>0.02508</c:v>
                </c:pt>
                <c:pt idx="157">
                  <c:v>0.0264</c:v>
                </c:pt>
                <c:pt idx="158">
                  <c:v>0.027775</c:v>
                </c:pt>
                <c:pt idx="159">
                  <c:v>0.029205</c:v>
                </c:pt>
                <c:pt idx="160">
                  <c:v>0.030745</c:v>
                </c:pt>
                <c:pt idx="161">
                  <c:v>0.03234</c:v>
                </c:pt>
                <c:pt idx="162">
                  <c:v>0.034045</c:v>
                </c:pt>
                <c:pt idx="163">
                  <c:v>0.035805</c:v>
                </c:pt>
                <c:pt idx="164">
                  <c:v>0.037565</c:v>
                </c:pt>
                <c:pt idx="165">
                  <c:v>0.039325</c:v>
                </c:pt>
                <c:pt idx="166">
                  <c:v>0.041085</c:v>
                </c:pt>
                <c:pt idx="167">
                  <c:v>0.04268</c:v>
                </c:pt>
                <c:pt idx="168">
                  <c:v>0.044275</c:v>
                </c:pt>
                <c:pt idx="169">
                  <c:v>0.045815</c:v>
                </c:pt>
                <c:pt idx="170">
                  <c:v>0.047245</c:v>
                </c:pt>
                <c:pt idx="171">
                  <c:v>0.04862</c:v>
                </c:pt>
                <c:pt idx="172">
                  <c:v>0.04983</c:v>
                </c:pt>
                <c:pt idx="173">
                  <c:v>0.05093</c:v>
                </c:pt>
                <c:pt idx="174">
                  <c:v>0.05203</c:v>
                </c:pt>
                <c:pt idx="175">
                  <c:v>0.05291</c:v>
                </c:pt>
                <c:pt idx="176">
                  <c:v>0.05379</c:v>
                </c:pt>
                <c:pt idx="177">
                  <c:v>0.05456</c:v>
                </c:pt>
                <c:pt idx="178">
                  <c:v>0.05533</c:v>
                </c:pt>
                <c:pt idx="179">
                  <c:v>0.0561</c:v>
                </c:pt>
                <c:pt idx="180">
                  <c:v>0.056815</c:v>
                </c:pt>
                <c:pt idx="181">
                  <c:v>0.057475</c:v>
                </c:pt>
                <c:pt idx="182">
                  <c:v>0.058135</c:v>
                </c:pt>
                <c:pt idx="183">
                  <c:v>0.05874</c:v>
                </c:pt>
                <c:pt idx="184">
                  <c:v>0.05929</c:v>
                </c:pt>
                <c:pt idx="185">
                  <c:v>0.059785</c:v>
                </c:pt>
                <c:pt idx="186">
                  <c:v>0.060335</c:v>
                </c:pt>
                <c:pt idx="187">
                  <c:v>0.06094</c:v>
                </c:pt>
                <c:pt idx="188">
                  <c:v>0.061435</c:v>
                </c:pt>
                <c:pt idx="189">
                  <c:v>0.06193</c:v>
                </c:pt>
                <c:pt idx="190">
                  <c:v>0.062425</c:v>
                </c:pt>
                <c:pt idx="191">
                  <c:v>0.062975</c:v>
                </c:pt>
                <c:pt idx="192">
                  <c:v>0.063525</c:v>
                </c:pt>
                <c:pt idx="193">
                  <c:v>0.064075</c:v>
                </c:pt>
                <c:pt idx="194">
                  <c:v>0.06468</c:v>
                </c:pt>
                <c:pt idx="195">
                  <c:v>0.065175</c:v>
                </c:pt>
                <c:pt idx="196">
                  <c:v>0.06567</c:v>
                </c:pt>
                <c:pt idx="197">
                  <c:v>0.06611</c:v>
                </c:pt>
                <c:pt idx="198">
                  <c:v>0.06655</c:v>
                </c:pt>
                <c:pt idx="199">
                  <c:v>0.066825</c:v>
                </c:pt>
                <c:pt idx="200">
                  <c:v>0.067155</c:v>
                </c:pt>
                <c:pt idx="201">
                  <c:v>0.067485</c:v>
                </c:pt>
                <c:pt idx="202">
                  <c:v>0.06776</c:v>
                </c:pt>
                <c:pt idx="203">
                  <c:v>0.067925</c:v>
                </c:pt>
                <c:pt idx="204">
                  <c:v>0.068145</c:v>
                </c:pt>
                <c:pt idx="205">
                  <c:v>0.068365</c:v>
                </c:pt>
                <c:pt idx="206">
                  <c:v>0.06864</c:v>
                </c:pt>
                <c:pt idx="207">
                  <c:v>0.068805</c:v>
                </c:pt>
                <c:pt idx="208">
                  <c:v>0.069025</c:v>
                </c:pt>
                <c:pt idx="209">
                  <c:v>0.06919</c:v>
                </c:pt>
                <c:pt idx="210">
                  <c:v>0.069355</c:v>
                </c:pt>
                <c:pt idx="211">
                  <c:v>0.069575</c:v>
                </c:pt>
                <c:pt idx="212">
                  <c:v>0.06974</c:v>
                </c:pt>
                <c:pt idx="213">
                  <c:v>0.06996</c:v>
                </c:pt>
                <c:pt idx="214">
                  <c:v>0.07018</c:v>
                </c:pt>
                <c:pt idx="215">
                  <c:v>0.07029</c:v>
                </c:pt>
                <c:pt idx="216">
                  <c:v>0.0704</c:v>
                </c:pt>
                <c:pt idx="217">
                  <c:v>0.070565</c:v>
                </c:pt>
                <c:pt idx="218">
                  <c:v>0.070675</c:v>
                </c:pt>
                <c:pt idx="219">
                  <c:v>0.07084</c:v>
                </c:pt>
                <c:pt idx="220">
                  <c:v>0.07106</c:v>
                </c:pt>
                <c:pt idx="221">
                  <c:v>0.07128</c:v>
                </c:pt>
                <c:pt idx="222">
                  <c:v>0.0715</c:v>
                </c:pt>
                <c:pt idx="223">
                  <c:v>0.07172</c:v>
                </c:pt>
                <c:pt idx="224">
                  <c:v>0.07194</c:v>
                </c:pt>
                <c:pt idx="225">
                  <c:v>0.07216</c:v>
                </c:pt>
                <c:pt idx="226">
                  <c:v>0.072435</c:v>
                </c:pt>
                <c:pt idx="227">
                  <c:v>0.07271</c:v>
                </c:pt>
                <c:pt idx="228">
                  <c:v>0.07293</c:v>
                </c:pt>
                <c:pt idx="229">
                  <c:v>0.073205</c:v>
                </c:pt>
                <c:pt idx="230">
                  <c:v>0.07337</c:v>
                </c:pt>
                <c:pt idx="231">
                  <c:v>0.073645</c:v>
                </c:pt>
                <c:pt idx="232">
                  <c:v>0.07381</c:v>
                </c:pt>
                <c:pt idx="233">
                  <c:v>0.07403</c:v>
                </c:pt>
                <c:pt idx="234">
                  <c:v>0.07425</c:v>
                </c:pt>
                <c:pt idx="235">
                  <c:v>0.074415</c:v>
                </c:pt>
                <c:pt idx="236">
                  <c:v>0.07458</c:v>
                </c:pt>
                <c:pt idx="237">
                  <c:v>0.0748</c:v>
                </c:pt>
                <c:pt idx="238">
                  <c:v>0.07502</c:v>
                </c:pt>
                <c:pt idx="239">
                  <c:v>0.075185</c:v>
                </c:pt>
                <c:pt idx="240">
                  <c:v>0.075405</c:v>
                </c:pt>
                <c:pt idx="241">
                  <c:v>0.07557</c:v>
                </c:pt>
                <c:pt idx="242">
                  <c:v>0.07579</c:v>
                </c:pt>
                <c:pt idx="243">
                  <c:v>0.075955</c:v>
                </c:pt>
                <c:pt idx="244">
                  <c:v>0.076175</c:v>
                </c:pt>
                <c:pt idx="245">
                  <c:v>0.07645</c:v>
                </c:pt>
                <c:pt idx="246">
                  <c:v>0.076615</c:v>
                </c:pt>
                <c:pt idx="247">
                  <c:v>0.076835</c:v>
                </c:pt>
                <c:pt idx="248">
                  <c:v>0.07711</c:v>
                </c:pt>
                <c:pt idx="249">
                  <c:v>0.07733</c:v>
                </c:pt>
                <c:pt idx="250">
                  <c:v>0.07755</c:v>
                </c:pt>
                <c:pt idx="251">
                  <c:v>0.07777</c:v>
                </c:pt>
                <c:pt idx="252">
                  <c:v>0.07799</c:v>
                </c:pt>
                <c:pt idx="253">
                  <c:v>0.078155</c:v>
                </c:pt>
                <c:pt idx="254">
                  <c:v>0.07832</c:v>
                </c:pt>
                <c:pt idx="255">
                  <c:v>0.078485</c:v>
                </c:pt>
                <c:pt idx="256">
                  <c:v>0.078595</c:v>
                </c:pt>
                <c:pt idx="257">
                  <c:v>0.07876</c:v>
                </c:pt>
                <c:pt idx="258">
                  <c:v>0.07887</c:v>
                </c:pt>
                <c:pt idx="259">
                  <c:v>0.078925</c:v>
                </c:pt>
                <c:pt idx="260">
                  <c:v>0.079035</c:v>
                </c:pt>
                <c:pt idx="261">
                  <c:v>0.079145</c:v>
                </c:pt>
                <c:pt idx="262">
                  <c:v>0.079255</c:v>
                </c:pt>
                <c:pt idx="263">
                  <c:v>0.079365</c:v>
                </c:pt>
                <c:pt idx="264">
                  <c:v>0.079475</c:v>
                </c:pt>
                <c:pt idx="265">
                  <c:v>0.07964</c:v>
                </c:pt>
                <c:pt idx="266">
                  <c:v>0.079805</c:v>
                </c:pt>
                <c:pt idx="267">
                  <c:v>0.0800250000000001</c:v>
                </c:pt>
                <c:pt idx="268">
                  <c:v>0.080245</c:v>
                </c:pt>
                <c:pt idx="269">
                  <c:v>0.08052</c:v>
                </c:pt>
                <c:pt idx="270">
                  <c:v>0.080795</c:v>
                </c:pt>
                <c:pt idx="271">
                  <c:v>0.08096</c:v>
                </c:pt>
                <c:pt idx="272">
                  <c:v>0.08118</c:v>
                </c:pt>
                <c:pt idx="273">
                  <c:v>0.0814</c:v>
                </c:pt>
                <c:pt idx="274">
                  <c:v>0.08151</c:v>
                </c:pt>
                <c:pt idx="275">
                  <c:v>0.081675</c:v>
                </c:pt>
                <c:pt idx="276">
                  <c:v>0.081785</c:v>
                </c:pt>
                <c:pt idx="277">
                  <c:v>0.08195</c:v>
                </c:pt>
                <c:pt idx="278">
                  <c:v>0.08195</c:v>
                </c:pt>
                <c:pt idx="279">
                  <c:v>0.08195</c:v>
                </c:pt>
                <c:pt idx="280">
                  <c:v>0.08195</c:v>
                </c:pt>
                <c:pt idx="281">
                  <c:v>0.082005</c:v>
                </c:pt>
                <c:pt idx="282">
                  <c:v>0.08206</c:v>
                </c:pt>
                <c:pt idx="283">
                  <c:v>0.082115</c:v>
                </c:pt>
                <c:pt idx="284">
                  <c:v>0.08217</c:v>
                </c:pt>
                <c:pt idx="285">
                  <c:v>0.08228</c:v>
                </c:pt>
                <c:pt idx="286">
                  <c:v>0.082335</c:v>
                </c:pt>
                <c:pt idx="287">
                  <c:v>0.082445</c:v>
                </c:pt>
                <c:pt idx="288">
                  <c:v>0.082555</c:v>
                </c:pt>
                <c:pt idx="289">
                  <c:v>0.082665</c:v>
                </c:pt>
                <c:pt idx="290">
                  <c:v>0.082775</c:v>
                </c:pt>
                <c:pt idx="291">
                  <c:v>0.082885</c:v>
                </c:pt>
                <c:pt idx="292">
                  <c:v>0.08294</c:v>
                </c:pt>
                <c:pt idx="293">
                  <c:v>0.08294</c:v>
                </c:pt>
                <c:pt idx="294">
                  <c:v>0.08305</c:v>
                </c:pt>
                <c:pt idx="295">
                  <c:v>0.083105</c:v>
                </c:pt>
                <c:pt idx="296">
                  <c:v>0.08316</c:v>
                </c:pt>
                <c:pt idx="297">
                  <c:v>0.08316</c:v>
                </c:pt>
                <c:pt idx="298">
                  <c:v>0.083215</c:v>
                </c:pt>
                <c:pt idx="299">
                  <c:v>0.08327</c:v>
                </c:pt>
                <c:pt idx="300">
                  <c:v>0.083325</c:v>
                </c:pt>
                <c:pt idx="301">
                  <c:v>0.083435</c:v>
                </c:pt>
                <c:pt idx="302">
                  <c:v>0.08349</c:v>
                </c:pt>
                <c:pt idx="303">
                  <c:v>0.083545</c:v>
                </c:pt>
                <c:pt idx="304">
                  <c:v>0.083655</c:v>
                </c:pt>
                <c:pt idx="305">
                  <c:v>0.083765</c:v>
                </c:pt>
                <c:pt idx="306">
                  <c:v>0.083875</c:v>
                </c:pt>
                <c:pt idx="307">
                  <c:v>0.083985</c:v>
                </c:pt>
                <c:pt idx="308">
                  <c:v>0.08415</c:v>
                </c:pt>
                <c:pt idx="309">
                  <c:v>0.08426</c:v>
                </c:pt>
                <c:pt idx="310">
                  <c:v>0.084315</c:v>
                </c:pt>
                <c:pt idx="311">
                  <c:v>0.084425</c:v>
                </c:pt>
                <c:pt idx="312">
                  <c:v>0.0845350000000001</c:v>
                </c:pt>
                <c:pt idx="313">
                  <c:v>0.084645</c:v>
                </c:pt>
                <c:pt idx="314">
                  <c:v>0.08481</c:v>
                </c:pt>
                <c:pt idx="315">
                  <c:v>0.08492</c:v>
                </c:pt>
                <c:pt idx="316">
                  <c:v>0.084975</c:v>
                </c:pt>
                <c:pt idx="317">
                  <c:v>0.08503</c:v>
                </c:pt>
                <c:pt idx="318">
                  <c:v>0.08514</c:v>
                </c:pt>
                <c:pt idx="319">
                  <c:v>0.08525</c:v>
                </c:pt>
                <c:pt idx="320">
                  <c:v>0.08536</c:v>
                </c:pt>
                <c:pt idx="321">
                  <c:v>0.085415</c:v>
                </c:pt>
                <c:pt idx="322">
                  <c:v>0.085525</c:v>
                </c:pt>
                <c:pt idx="323">
                  <c:v>0.085635</c:v>
                </c:pt>
                <c:pt idx="324">
                  <c:v>0.085745</c:v>
                </c:pt>
                <c:pt idx="325">
                  <c:v>0.085855</c:v>
                </c:pt>
                <c:pt idx="326">
                  <c:v>0.085855</c:v>
                </c:pt>
              </c:numCache>
            </c:numRef>
          </c:yVal>
          <c:smooth val="0"/>
        </c:ser>
        <c:ser>
          <c:idx val="1"/>
          <c:order val="0"/>
          <c:tx>
            <c:v>28DB2</c:v>
          </c:tx>
          <c:spPr>
            <a:ln w="28575" cmpd="sng">
              <a:solidFill>
                <a:srgbClr val="0000FF"/>
              </a:solidFill>
            </a:ln>
          </c:spPr>
          <c:marker>
            <c:symbol val="none"/>
          </c:marker>
          <c:xVal>
            <c:numRef>
              <c:f>'28DB1- in1'!$C$5:$C$331</c:f>
              <c:numCache>
                <c:formatCode>0.00E+00</c:formatCode>
                <c:ptCount val="327"/>
                <c:pt idx="0">
                  <c:v>10.64</c:v>
                </c:pt>
                <c:pt idx="1">
                  <c:v>10.32</c:v>
                </c:pt>
                <c:pt idx="2">
                  <c:v>10.01</c:v>
                </c:pt>
                <c:pt idx="3">
                  <c:v>9.723999999999998</c:v>
                </c:pt>
                <c:pt idx="4">
                  <c:v>9.442</c:v>
                </c:pt>
                <c:pt idx="5">
                  <c:v>9.169</c:v>
                </c:pt>
                <c:pt idx="6">
                  <c:v>8.898000000000001</c:v>
                </c:pt>
                <c:pt idx="7">
                  <c:v>8.632</c:v>
                </c:pt>
                <c:pt idx="8">
                  <c:v>8.36</c:v>
                </c:pt>
                <c:pt idx="9">
                  <c:v>8.089</c:v>
                </c:pt>
                <c:pt idx="10">
                  <c:v>7.819999999999998</c:v>
                </c:pt>
                <c:pt idx="11">
                  <c:v>7.547</c:v>
                </c:pt>
                <c:pt idx="12">
                  <c:v>7.274</c:v>
                </c:pt>
                <c:pt idx="13">
                  <c:v>6.997</c:v>
                </c:pt>
                <c:pt idx="14">
                  <c:v>6.719</c:v>
                </c:pt>
                <c:pt idx="15">
                  <c:v>6.436</c:v>
                </c:pt>
                <c:pt idx="16">
                  <c:v>6.149</c:v>
                </c:pt>
                <c:pt idx="17">
                  <c:v>5.863999999999986</c:v>
                </c:pt>
                <c:pt idx="18">
                  <c:v>5.575</c:v>
                </c:pt>
                <c:pt idx="19">
                  <c:v>5.289</c:v>
                </c:pt>
                <c:pt idx="20">
                  <c:v>4.999</c:v>
                </c:pt>
                <c:pt idx="21">
                  <c:v>4.708</c:v>
                </c:pt>
                <c:pt idx="22">
                  <c:v>4.413</c:v>
                </c:pt>
                <c:pt idx="23">
                  <c:v>4.117999999999978</c:v>
                </c:pt>
                <c:pt idx="24">
                  <c:v>3.824</c:v>
                </c:pt>
                <c:pt idx="25">
                  <c:v>3.531</c:v>
                </c:pt>
                <c:pt idx="26">
                  <c:v>3.241</c:v>
                </c:pt>
                <c:pt idx="27">
                  <c:v>2.956999999999998</c:v>
                </c:pt>
                <c:pt idx="28">
                  <c:v>2.682</c:v>
                </c:pt>
                <c:pt idx="29">
                  <c:v>2.415999999999999</c:v>
                </c:pt>
                <c:pt idx="30">
                  <c:v>2.164</c:v>
                </c:pt>
                <c:pt idx="31">
                  <c:v>1.925999999999999</c:v>
                </c:pt>
                <c:pt idx="32">
                  <c:v>1.707</c:v>
                </c:pt>
                <c:pt idx="33">
                  <c:v>1.507</c:v>
                </c:pt>
                <c:pt idx="34">
                  <c:v>1.327</c:v>
                </c:pt>
                <c:pt idx="35">
                  <c:v>1.168</c:v>
                </c:pt>
                <c:pt idx="36">
                  <c:v>1.028</c:v>
                </c:pt>
                <c:pt idx="37">
                  <c:v>0.9076</c:v>
                </c:pt>
                <c:pt idx="38">
                  <c:v>0.804</c:v>
                </c:pt>
                <c:pt idx="39">
                  <c:v>0.7152</c:v>
                </c:pt>
                <c:pt idx="40">
                  <c:v>0.6394</c:v>
                </c:pt>
                <c:pt idx="41">
                  <c:v>0.5745</c:v>
                </c:pt>
                <c:pt idx="42">
                  <c:v>0.519</c:v>
                </c:pt>
                <c:pt idx="43">
                  <c:v>0.4714</c:v>
                </c:pt>
                <c:pt idx="44">
                  <c:v>0.4303</c:v>
                </c:pt>
                <c:pt idx="45">
                  <c:v>0.3949</c:v>
                </c:pt>
                <c:pt idx="46">
                  <c:v>0.3642</c:v>
                </c:pt>
                <c:pt idx="47">
                  <c:v>0.3374</c:v>
                </c:pt>
                <c:pt idx="48">
                  <c:v>0.3139</c:v>
                </c:pt>
                <c:pt idx="49">
                  <c:v>0.2931</c:v>
                </c:pt>
                <c:pt idx="50">
                  <c:v>0.2746</c:v>
                </c:pt>
                <c:pt idx="51">
                  <c:v>0.258</c:v>
                </c:pt>
                <c:pt idx="52">
                  <c:v>0.243</c:v>
                </c:pt>
                <c:pt idx="53">
                  <c:v>0.2295</c:v>
                </c:pt>
                <c:pt idx="54">
                  <c:v>0.2172</c:v>
                </c:pt>
                <c:pt idx="55">
                  <c:v>0.2059</c:v>
                </c:pt>
                <c:pt idx="56">
                  <c:v>0.1956</c:v>
                </c:pt>
                <c:pt idx="57">
                  <c:v>0.1861</c:v>
                </c:pt>
                <c:pt idx="58">
                  <c:v>0.1774</c:v>
                </c:pt>
                <c:pt idx="59">
                  <c:v>0.1694</c:v>
                </c:pt>
                <c:pt idx="60">
                  <c:v>0.1619</c:v>
                </c:pt>
                <c:pt idx="61">
                  <c:v>0.1549</c:v>
                </c:pt>
                <c:pt idx="62">
                  <c:v>0.1484</c:v>
                </c:pt>
                <c:pt idx="63">
                  <c:v>0.1421</c:v>
                </c:pt>
                <c:pt idx="64">
                  <c:v>0.1362</c:v>
                </c:pt>
                <c:pt idx="65">
                  <c:v>0.1308</c:v>
                </c:pt>
                <c:pt idx="66">
                  <c:v>0.1256</c:v>
                </c:pt>
                <c:pt idx="67">
                  <c:v>0.1209</c:v>
                </c:pt>
                <c:pt idx="68">
                  <c:v>0.1164</c:v>
                </c:pt>
                <c:pt idx="69">
                  <c:v>0.1121</c:v>
                </c:pt>
                <c:pt idx="70">
                  <c:v>0.1081</c:v>
                </c:pt>
                <c:pt idx="71">
                  <c:v>0.1044</c:v>
                </c:pt>
                <c:pt idx="72">
                  <c:v>0.1008</c:v>
                </c:pt>
                <c:pt idx="73">
                  <c:v>0.09751</c:v>
                </c:pt>
                <c:pt idx="74">
                  <c:v>0.09445</c:v>
                </c:pt>
                <c:pt idx="75">
                  <c:v>0.09157</c:v>
                </c:pt>
                <c:pt idx="76">
                  <c:v>0.08884</c:v>
                </c:pt>
                <c:pt idx="77">
                  <c:v>0.08626</c:v>
                </c:pt>
                <c:pt idx="78">
                  <c:v>0.08381</c:v>
                </c:pt>
                <c:pt idx="79">
                  <c:v>0.0815</c:v>
                </c:pt>
                <c:pt idx="80">
                  <c:v>0.0793</c:v>
                </c:pt>
                <c:pt idx="81">
                  <c:v>0.07717</c:v>
                </c:pt>
                <c:pt idx="82">
                  <c:v>0.07509</c:v>
                </c:pt>
                <c:pt idx="83">
                  <c:v>0.07313</c:v>
                </c:pt>
                <c:pt idx="84">
                  <c:v>0.07126</c:v>
                </c:pt>
                <c:pt idx="85">
                  <c:v>0.06948</c:v>
                </c:pt>
                <c:pt idx="86">
                  <c:v>0.06778</c:v>
                </c:pt>
                <c:pt idx="87">
                  <c:v>0.06612</c:v>
                </c:pt>
                <c:pt idx="88">
                  <c:v>0.06451</c:v>
                </c:pt>
                <c:pt idx="89">
                  <c:v>0.06293</c:v>
                </c:pt>
                <c:pt idx="90">
                  <c:v>0.0614</c:v>
                </c:pt>
                <c:pt idx="91">
                  <c:v>0.05993</c:v>
                </c:pt>
                <c:pt idx="92">
                  <c:v>0.05856</c:v>
                </c:pt>
                <c:pt idx="93">
                  <c:v>0.05725</c:v>
                </c:pt>
                <c:pt idx="94">
                  <c:v>0.05596</c:v>
                </c:pt>
                <c:pt idx="95">
                  <c:v>0.05471</c:v>
                </c:pt>
                <c:pt idx="96">
                  <c:v>0.0535</c:v>
                </c:pt>
                <c:pt idx="97">
                  <c:v>0.05233</c:v>
                </c:pt>
                <c:pt idx="98">
                  <c:v>0.05122</c:v>
                </c:pt>
                <c:pt idx="99">
                  <c:v>0.05017</c:v>
                </c:pt>
                <c:pt idx="100">
                  <c:v>0.04918</c:v>
                </c:pt>
                <c:pt idx="101">
                  <c:v>0.04825</c:v>
                </c:pt>
                <c:pt idx="102">
                  <c:v>0.04735</c:v>
                </c:pt>
                <c:pt idx="103">
                  <c:v>0.04648</c:v>
                </c:pt>
                <c:pt idx="104">
                  <c:v>0.04564</c:v>
                </c:pt>
                <c:pt idx="105">
                  <c:v>0.04484</c:v>
                </c:pt>
                <c:pt idx="106">
                  <c:v>0.04408</c:v>
                </c:pt>
                <c:pt idx="107">
                  <c:v>0.04335</c:v>
                </c:pt>
                <c:pt idx="108">
                  <c:v>0.04265</c:v>
                </c:pt>
                <c:pt idx="109">
                  <c:v>0.04198</c:v>
                </c:pt>
                <c:pt idx="110">
                  <c:v>0.04133</c:v>
                </c:pt>
                <c:pt idx="111">
                  <c:v>0.04069</c:v>
                </c:pt>
                <c:pt idx="112">
                  <c:v>0.04007</c:v>
                </c:pt>
                <c:pt idx="113">
                  <c:v>0.03947</c:v>
                </c:pt>
                <c:pt idx="114">
                  <c:v>0.03888</c:v>
                </c:pt>
                <c:pt idx="115">
                  <c:v>0.03832</c:v>
                </c:pt>
                <c:pt idx="116">
                  <c:v>0.03778</c:v>
                </c:pt>
                <c:pt idx="117">
                  <c:v>0.03725</c:v>
                </c:pt>
                <c:pt idx="118">
                  <c:v>0.03673</c:v>
                </c:pt>
                <c:pt idx="119">
                  <c:v>0.03623</c:v>
                </c:pt>
                <c:pt idx="120">
                  <c:v>0.03573</c:v>
                </c:pt>
                <c:pt idx="121">
                  <c:v>0.03525</c:v>
                </c:pt>
                <c:pt idx="122">
                  <c:v>0.03479</c:v>
                </c:pt>
                <c:pt idx="123">
                  <c:v>0.03433</c:v>
                </c:pt>
                <c:pt idx="124">
                  <c:v>0.03388</c:v>
                </c:pt>
                <c:pt idx="125">
                  <c:v>0.03344</c:v>
                </c:pt>
                <c:pt idx="126">
                  <c:v>0.03302</c:v>
                </c:pt>
                <c:pt idx="127">
                  <c:v>0.03259</c:v>
                </c:pt>
                <c:pt idx="128">
                  <c:v>0.03217</c:v>
                </c:pt>
                <c:pt idx="129">
                  <c:v>0.03177</c:v>
                </c:pt>
                <c:pt idx="130">
                  <c:v>0.03137</c:v>
                </c:pt>
                <c:pt idx="131">
                  <c:v>0.03097</c:v>
                </c:pt>
                <c:pt idx="132">
                  <c:v>0.03058</c:v>
                </c:pt>
                <c:pt idx="133">
                  <c:v>0.0302</c:v>
                </c:pt>
                <c:pt idx="134">
                  <c:v>0.02982</c:v>
                </c:pt>
                <c:pt idx="135">
                  <c:v>0.02945</c:v>
                </c:pt>
                <c:pt idx="136">
                  <c:v>0.02907</c:v>
                </c:pt>
                <c:pt idx="137">
                  <c:v>0.02869</c:v>
                </c:pt>
                <c:pt idx="138">
                  <c:v>0.02833</c:v>
                </c:pt>
                <c:pt idx="139">
                  <c:v>0.02795</c:v>
                </c:pt>
                <c:pt idx="140">
                  <c:v>0.02759</c:v>
                </c:pt>
                <c:pt idx="141">
                  <c:v>0.02722</c:v>
                </c:pt>
                <c:pt idx="142">
                  <c:v>0.02685</c:v>
                </c:pt>
                <c:pt idx="143">
                  <c:v>0.02648</c:v>
                </c:pt>
                <c:pt idx="144">
                  <c:v>0.02612</c:v>
                </c:pt>
                <c:pt idx="145">
                  <c:v>0.02577</c:v>
                </c:pt>
                <c:pt idx="146">
                  <c:v>0.02543</c:v>
                </c:pt>
                <c:pt idx="147">
                  <c:v>0.02509</c:v>
                </c:pt>
                <c:pt idx="148">
                  <c:v>0.02475</c:v>
                </c:pt>
                <c:pt idx="149">
                  <c:v>0.02442</c:v>
                </c:pt>
                <c:pt idx="150">
                  <c:v>0.0241</c:v>
                </c:pt>
                <c:pt idx="151">
                  <c:v>0.02378</c:v>
                </c:pt>
                <c:pt idx="152">
                  <c:v>0.02347</c:v>
                </c:pt>
                <c:pt idx="153">
                  <c:v>0.02317</c:v>
                </c:pt>
                <c:pt idx="154">
                  <c:v>0.02287</c:v>
                </c:pt>
                <c:pt idx="155">
                  <c:v>0.02257</c:v>
                </c:pt>
                <c:pt idx="156">
                  <c:v>0.02227</c:v>
                </c:pt>
                <c:pt idx="157">
                  <c:v>0.02198</c:v>
                </c:pt>
                <c:pt idx="158">
                  <c:v>0.02169</c:v>
                </c:pt>
                <c:pt idx="159">
                  <c:v>0.02141</c:v>
                </c:pt>
                <c:pt idx="160">
                  <c:v>0.02113</c:v>
                </c:pt>
                <c:pt idx="161">
                  <c:v>0.02085</c:v>
                </c:pt>
                <c:pt idx="162">
                  <c:v>0.02058</c:v>
                </c:pt>
                <c:pt idx="163">
                  <c:v>0.02032</c:v>
                </c:pt>
                <c:pt idx="164">
                  <c:v>0.02006</c:v>
                </c:pt>
                <c:pt idx="165">
                  <c:v>0.0198</c:v>
                </c:pt>
                <c:pt idx="166">
                  <c:v>0.01955</c:v>
                </c:pt>
                <c:pt idx="167">
                  <c:v>0.01931</c:v>
                </c:pt>
                <c:pt idx="168">
                  <c:v>0.01907</c:v>
                </c:pt>
                <c:pt idx="169">
                  <c:v>0.01884</c:v>
                </c:pt>
                <c:pt idx="170">
                  <c:v>0.01861</c:v>
                </c:pt>
                <c:pt idx="171">
                  <c:v>0.01838</c:v>
                </c:pt>
                <c:pt idx="172">
                  <c:v>0.01816</c:v>
                </c:pt>
                <c:pt idx="173">
                  <c:v>0.01795</c:v>
                </c:pt>
                <c:pt idx="174">
                  <c:v>0.01774</c:v>
                </c:pt>
                <c:pt idx="175">
                  <c:v>0.01753</c:v>
                </c:pt>
                <c:pt idx="176">
                  <c:v>0.01733</c:v>
                </c:pt>
                <c:pt idx="177">
                  <c:v>0.01713</c:v>
                </c:pt>
                <c:pt idx="178">
                  <c:v>0.01693</c:v>
                </c:pt>
                <c:pt idx="179">
                  <c:v>0.01674</c:v>
                </c:pt>
                <c:pt idx="180">
                  <c:v>0.01655</c:v>
                </c:pt>
                <c:pt idx="181">
                  <c:v>0.01637</c:v>
                </c:pt>
                <c:pt idx="182">
                  <c:v>0.01619</c:v>
                </c:pt>
                <c:pt idx="183">
                  <c:v>0.01601</c:v>
                </c:pt>
                <c:pt idx="184">
                  <c:v>0.01583</c:v>
                </c:pt>
                <c:pt idx="185">
                  <c:v>0.01566</c:v>
                </c:pt>
                <c:pt idx="186">
                  <c:v>0.01548</c:v>
                </c:pt>
                <c:pt idx="187">
                  <c:v>0.01532</c:v>
                </c:pt>
                <c:pt idx="188">
                  <c:v>0.01516</c:v>
                </c:pt>
                <c:pt idx="189">
                  <c:v>0.015</c:v>
                </c:pt>
                <c:pt idx="190">
                  <c:v>0.01485</c:v>
                </c:pt>
                <c:pt idx="191">
                  <c:v>0.01469</c:v>
                </c:pt>
                <c:pt idx="192">
                  <c:v>0.01454</c:v>
                </c:pt>
                <c:pt idx="193">
                  <c:v>0.01439</c:v>
                </c:pt>
                <c:pt idx="194">
                  <c:v>0.01425</c:v>
                </c:pt>
                <c:pt idx="195">
                  <c:v>0.01411</c:v>
                </c:pt>
                <c:pt idx="196">
                  <c:v>0.01398</c:v>
                </c:pt>
                <c:pt idx="197">
                  <c:v>0.01385</c:v>
                </c:pt>
                <c:pt idx="198">
                  <c:v>0.01373</c:v>
                </c:pt>
                <c:pt idx="199">
                  <c:v>0.0136</c:v>
                </c:pt>
                <c:pt idx="200">
                  <c:v>0.01348</c:v>
                </c:pt>
                <c:pt idx="201">
                  <c:v>0.01337</c:v>
                </c:pt>
                <c:pt idx="202">
                  <c:v>0.01327</c:v>
                </c:pt>
                <c:pt idx="203">
                  <c:v>0.01317</c:v>
                </c:pt>
                <c:pt idx="204">
                  <c:v>0.01307</c:v>
                </c:pt>
                <c:pt idx="205">
                  <c:v>0.01298</c:v>
                </c:pt>
                <c:pt idx="206">
                  <c:v>0.01289</c:v>
                </c:pt>
                <c:pt idx="207">
                  <c:v>0.01281</c:v>
                </c:pt>
                <c:pt idx="208">
                  <c:v>0.01272</c:v>
                </c:pt>
                <c:pt idx="209">
                  <c:v>0.01264</c:v>
                </c:pt>
                <c:pt idx="210">
                  <c:v>0.01256</c:v>
                </c:pt>
                <c:pt idx="211">
                  <c:v>0.01248</c:v>
                </c:pt>
                <c:pt idx="212">
                  <c:v>0.0124</c:v>
                </c:pt>
                <c:pt idx="213">
                  <c:v>0.01233</c:v>
                </c:pt>
                <c:pt idx="214">
                  <c:v>0.01225</c:v>
                </c:pt>
                <c:pt idx="215">
                  <c:v>0.01217</c:v>
                </c:pt>
                <c:pt idx="216">
                  <c:v>0.0121</c:v>
                </c:pt>
                <c:pt idx="217">
                  <c:v>0.01202</c:v>
                </c:pt>
                <c:pt idx="218">
                  <c:v>0.01195</c:v>
                </c:pt>
                <c:pt idx="219">
                  <c:v>0.01188</c:v>
                </c:pt>
                <c:pt idx="220">
                  <c:v>0.01181</c:v>
                </c:pt>
                <c:pt idx="221">
                  <c:v>0.01173</c:v>
                </c:pt>
                <c:pt idx="222">
                  <c:v>0.01166</c:v>
                </c:pt>
                <c:pt idx="223">
                  <c:v>0.01159</c:v>
                </c:pt>
                <c:pt idx="224">
                  <c:v>0.01152</c:v>
                </c:pt>
                <c:pt idx="225">
                  <c:v>0.01146</c:v>
                </c:pt>
                <c:pt idx="226">
                  <c:v>0.01139</c:v>
                </c:pt>
                <c:pt idx="227">
                  <c:v>0.01132</c:v>
                </c:pt>
                <c:pt idx="228">
                  <c:v>0.01125</c:v>
                </c:pt>
                <c:pt idx="229">
                  <c:v>0.01119</c:v>
                </c:pt>
                <c:pt idx="230">
                  <c:v>0.01112</c:v>
                </c:pt>
                <c:pt idx="231">
                  <c:v>0.01106</c:v>
                </c:pt>
                <c:pt idx="232">
                  <c:v>0.01099</c:v>
                </c:pt>
                <c:pt idx="233">
                  <c:v>0.01093</c:v>
                </c:pt>
                <c:pt idx="234">
                  <c:v>0.01087</c:v>
                </c:pt>
                <c:pt idx="235">
                  <c:v>0.0108</c:v>
                </c:pt>
                <c:pt idx="236">
                  <c:v>0.01074</c:v>
                </c:pt>
                <c:pt idx="237">
                  <c:v>0.01068</c:v>
                </c:pt>
                <c:pt idx="238">
                  <c:v>0.01062</c:v>
                </c:pt>
                <c:pt idx="239">
                  <c:v>0.01056</c:v>
                </c:pt>
                <c:pt idx="240">
                  <c:v>0.0105</c:v>
                </c:pt>
                <c:pt idx="241">
                  <c:v>0.01044</c:v>
                </c:pt>
                <c:pt idx="242">
                  <c:v>0.01039</c:v>
                </c:pt>
                <c:pt idx="243">
                  <c:v>0.01033</c:v>
                </c:pt>
                <c:pt idx="244">
                  <c:v>0.01027</c:v>
                </c:pt>
                <c:pt idx="245">
                  <c:v>0.01021</c:v>
                </c:pt>
                <c:pt idx="246">
                  <c:v>0.01016</c:v>
                </c:pt>
                <c:pt idx="247">
                  <c:v>0.0101</c:v>
                </c:pt>
                <c:pt idx="248">
                  <c:v>0.01005</c:v>
                </c:pt>
                <c:pt idx="249">
                  <c:v>0.009993</c:v>
                </c:pt>
                <c:pt idx="250">
                  <c:v>0.009939</c:v>
                </c:pt>
                <c:pt idx="251">
                  <c:v>0.009885</c:v>
                </c:pt>
                <c:pt idx="252">
                  <c:v>0.009832</c:v>
                </c:pt>
                <c:pt idx="253">
                  <c:v>0.009779</c:v>
                </c:pt>
                <c:pt idx="254">
                  <c:v>0.009727</c:v>
                </c:pt>
                <c:pt idx="255">
                  <c:v>0.009675</c:v>
                </c:pt>
                <c:pt idx="256">
                  <c:v>0.009622</c:v>
                </c:pt>
                <c:pt idx="257">
                  <c:v>0.00957</c:v>
                </c:pt>
                <c:pt idx="258">
                  <c:v>0.009518</c:v>
                </c:pt>
                <c:pt idx="259">
                  <c:v>0.009467</c:v>
                </c:pt>
                <c:pt idx="260">
                  <c:v>0.009416</c:v>
                </c:pt>
                <c:pt idx="261">
                  <c:v>0.009363</c:v>
                </c:pt>
                <c:pt idx="262">
                  <c:v>0.009311</c:v>
                </c:pt>
                <c:pt idx="263">
                  <c:v>0.009259</c:v>
                </c:pt>
                <c:pt idx="264">
                  <c:v>0.009206</c:v>
                </c:pt>
                <c:pt idx="265">
                  <c:v>0.009155</c:v>
                </c:pt>
                <c:pt idx="266">
                  <c:v>0.009104</c:v>
                </c:pt>
                <c:pt idx="267">
                  <c:v>0.009054</c:v>
                </c:pt>
                <c:pt idx="268">
                  <c:v>0.009004</c:v>
                </c:pt>
                <c:pt idx="269">
                  <c:v>0.008953</c:v>
                </c:pt>
                <c:pt idx="270">
                  <c:v>0.008902</c:v>
                </c:pt>
                <c:pt idx="271">
                  <c:v>0.008851</c:v>
                </c:pt>
                <c:pt idx="272">
                  <c:v>0.008801</c:v>
                </c:pt>
                <c:pt idx="273">
                  <c:v>0.00875</c:v>
                </c:pt>
                <c:pt idx="274">
                  <c:v>0.0087</c:v>
                </c:pt>
                <c:pt idx="275">
                  <c:v>0.008649</c:v>
                </c:pt>
                <c:pt idx="276">
                  <c:v>0.008597</c:v>
                </c:pt>
                <c:pt idx="277">
                  <c:v>0.008546</c:v>
                </c:pt>
                <c:pt idx="278">
                  <c:v>0.008494</c:v>
                </c:pt>
                <c:pt idx="279">
                  <c:v>0.008442</c:v>
                </c:pt>
                <c:pt idx="280">
                  <c:v>0.008391</c:v>
                </c:pt>
                <c:pt idx="281">
                  <c:v>0.008341</c:v>
                </c:pt>
                <c:pt idx="282">
                  <c:v>0.00829</c:v>
                </c:pt>
                <c:pt idx="283">
                  <c:v>0.008241</c:v>
                </c:pt>
                <c:pt idx="284">
                  <c:v>0.008192</c:v>
                </c:pt>
                <c:pt idx="285">
                  <c:v>0.008143</c:v>
                </c:pt>
                <c:pt idx="286">
                  <c:v>0.008094</c:v>
                </c:pt>
                <c:pt idx="287">
                  <c:v>0.008046</c:v>
                </c:pt>
                <c:pt idx="288">
                  <c:v>0.007999</c:v>
                </c:pt>
                <c:pt idx="289">
                  <c:v>0.007952</c:v>
                </c:pt>
                <c:pt idx="290">
                  <c:v>0.007905</c:v>
                </c:pt>
                <c:pt idx="291">
                  <c:v>0.007859</c:v>
                </c:pt>
                <c:pt idx="292">
                  <c:v>0.007813</c:v>
                </c:pt>
                <c:pt idx="293">
                  <c:v>0.007767</c:v>
                </c:pt>
                <c:pt idx="294">
                  <c:v>0.007722</c:v>
                </c:pt>
                <c:pt idx="295">
                  <c:v>0.007678</c:v>
                </c:pt>
                <c:pt idx="296">
                  <c:v>0.007633</c:v>
                </c:pt>
                <c:pt idx="297">
                  <c:v>0.00759</c:v>
                </c:pt>
                <c:pt idx="298">
                  <c:v>0.007546</c:v>
                </c:pt>
                <c:pt idx="299">
                  <c:v>0.007503</c:v>
                </c:pt>
                <c:pt idx="300">
                  <c:v>0.007461</c:v>
                </c:pt>
                <c:pt idx="301">
                  <c:v>0.007418</c:v>
                </c:pt>
                <c:pt idx="302">
                  <c:v>0.007377</c:v>
                </c:pt>
                <c:pt idx="303">
                  <c:v>0.007335</c:v>
                </c:pt>
                <c:pt idx="304">
                  <c:v>0.007294</c:v>
                </c:pt>
                <c:pt idx="305">
                  <c:v>0.007254</c:v>
                </c:pt>
                <c:pt idx="306">
                  <c:v>0.007213</c:v>
                </c:pt>
                <c:pt idx="307">
                  <c:v>0.007173</c:v>
                </c:pt>
                <c:pt idx="308">
                  <c:v>0.007134</c:v>
                </c:pt>
                <c:pt idx="309">
                  <c:v>0.007094</c:v>
                </c:pt>
                <c:pt idx="310">
                  <c:v>0.007056</c:v>
                </c:pt>
                <c:pt idx="311">
                  <c:v>0.007017</c:v>
                </c:pt>
                <c:pt idx="312">
                  <c:v>0.006979</c:v>
                </c:pt>
                <c:pt idx="313">
                  <c:v>0.006941</c:v>
                </c:pt>
                <c:pt idx="314">
                  <c:v>0.006904</c:v>
                </c:pt>
                <c:pt idx="315">
                  <c:v>0.006867</c:v>
                </c:pt>
                <c:pt idx="316">
                  <c:v>0.00683</c:v>
                </c:pt>
                <c:pt idx="317">
                  <c:v>0.006793</c:v>
                </c:pt>
                <c:pt idx="318">
                  <c:v>0.006756</c:v>
                </c:pt>
                <c:pt idx="319">
                  <c:v>0.00672</c:v>
                </c:pt>
                <c:pt idx="320">
                  <c:v>0.006684</c:v>
                </c:pt>
                <c:pt idx="321">
                  <c:v>0.006648</c:v>
                </c:pt>
                <c:pt idx="322">
                  <c:v>0.006613</c:v>
                </c:pt>
                <c:pt idx="323">
                  <c:v>0.006577</c:v>
                </c:pt>
                <c:pt idx="324">
                  <c:v>0.006541</c:v>
                </c:pt>
                <c:pt idx="325">
                  <c:v>0.006506</c:v>
                </c:pt>
                <c:pt idx="326">
                  <c:v>0.00647</c:v>
                </c:pt>
              </c:numCache>
            </c:numRef>
          </c:xVal>
          <c:yVal>
            <c:numRef>
              <c:f>'28DB1- in1'!$K$5:$K$331</c:f>
              <c:numCache>
                <c:formatCode>General</c:formatCode>
                <c:ptCount val="327"/>
                <c:pt idx="0">
                  <c:v>0.0</c:v>
                </c:pt>
                <c:pt idx="1">
                  <c:v>0.0003234</c:v>
                </c:pt>
                <c:pt idx="2">
                  <c:v>0.0003696</c:v>
                </c:pt>
                <c:pt idx="3">
                  <c:v>0.0004158</c:v>
                </c:pt>
                <c:pt idx="4">
                  <c:v>0.0004158</c:v>
                </c:pt>
                <c:pt idx="5">
                  <c:v>0.0004158</c:v>
                </c:pt>
                <c:pt idx="6">
                  <c:v>0.000462</c:v>
                </c:pt>
                <c:pt idx="7">
                  <c:v>0.000462</c:v>
                </c:pt>
                <c:pt idx="8">
                  <c:v>0.000462</c:v>
                </c:pt>
                <c:pt idx="9">
                  <c:v>0.000462</c:v>
                </c:pt>
                <c:pt idx="10">
                  <c:v>0.000462</c:v>
                </c:pt>
                <c:pt idx="11">
                  <c:v>0.000462</c:v>
                </c:pt>
                <c:pt idx="12">
                  <c:v>0.000462</c:v>
                </c:pt>
                <c:pt idx="13">
                  <c:v>0.000462</c:v>
                </c:pt>
                <c:pt idx="14">
                  <c:v>0.000462</c:v>
                </c:pt>
                <c:pt idx="15">
                  <c:v>0.000462</c:v>
                </c:pt>
                <c:pt idx="16">
                  <c:v>0.000462</c:v>
                </c:pt>
                <c:pt idx="17">
                  <c:v>0.000462</c:v>
                </c:pt>
                <c:pt idx="18">
                  <c:v>0.000462</c:v>
                </c:pt>
                <c:pt idx="19">
                  <c:v>0.000462</c:v>
                </c:pt>
                <c:pt idx="20">
                  <c:v>0.000462</c:v>
                </c:pt>
                <c:pt idx="21">
                  <c:v>0.000462</c:v>
                </c:pt>
                <c:pt idx="22">
                  <c:v>0.000462</c:v>
                </c:pt>
                <c:pt idx="23">
                  <c:v>0.000462</c:v>
                </c:pt>
                <c:pt idx="24">
                  <c:v>0.000462</c:v>
                </c:pt>
                <c:pt idx="25">
                  <c:v>0.000462</c:v>
                </c:pt>
                <c:pt idx="26">
                  <c:v>0.000462</c:v>
                </c:pt>
                <c:pt idx="27">
                  <c:v>0.000462</c:v>
                </c:pt>
                <c:pt idx="28">
                  <c:v>0.000462</c:v>
                </c:pt>
                <c:pt idx="29">
                  <c:v>0.000462</c:v>
                </c:pt>
                <c:pt idx="30">
                  <c:v>0.000462</c:v>
                </c:pt>
                <c:pt idx="31">
                  <c:v>0.000462</c:v>
                </c:pt>
                <c:pt idx="32">
                  <c:v>0.000462</c:v>
                </c:pt>
                <c:pt idx="33">
                  <c:v>0.000462</c:v>
                </c:pt>
                <c:pt idx="34">
                  <c:v>0.000462</c:v>
                </c:pt>
                <c:pt idx="35">
                  <c:v>0.000462</c:v>
                </c:pt>
                <c:pt idx="36">
                  <c:v>0.000462</c:v>
                </c:pt>
                <c:pt idx="37">
                  <c:v>0.000462</c:v>
                </c:pt>
                <c:pt idx="38">
                  <c:v>0.000462</c:v>
                </c:pt>
                <c:pt idx="39">
                  <c:v>0.000462</c:v>
                </c:pt>
                <c:pt idx="40">
                  <c:v>0.000462</c:v>
                </c:pt>
                <c:pt idx="41">
                  <c:v>0.000462</c:v>
                </c:pt>
                <c:pt idx="42">
                  <c:v>0.000462</c:v>
                </c:pt>
                <c:pt idx="43">
                  <c:v>0.000462</c:v>
                </c:pt>
                <c:pt idx="44">
                  <c:v>0.000462</c:v>
                </c:pt>
                <c:pt idx="45">
                  <c:v>0.000462</c:v>
                </c:pt>
                <c:pt idx="46">
                  <c:v>0.000462</c:v>
                </c:pt>
                <c:pt idx="47">
                  <c:v>0.000462</c:v>
                </c:pt>
                <c:pt idx="48">
                  <c:v>0.000462</c:v>
                </c:pt>
                <c:pt idx="49">
                  <c:v>0.000462</c:v>
                </c:pt>
                <c:pt idx="50">
                  <c:v>0.000462</c:v>
                </c:pt>
                <c:pt idx="51">
                  <c:v>0.000462</c:v>
                </c:pt>
                <c:pt idx="52">
                  <c:v>0.000462</c:v>
                </c:pt>
                <c:pt idx="53">
                  <c:v>0.000462</c:v>
                </c:pt>
                <c:pt idx="54">
                  <c:v>0.000462</c:v>
                </c:pt>
                <c:pt idx="55">
                  <c:v>0.000462</c:v>
                </c:pt>
                <c:pt idx="56">
                  <c:v>0.000462</c:v>
                </c:pt>
                <c:pt idx="57">
                  <c:v>0.000462</c:v>
                </c:pt>
                <c:pt idx="58">
                  <c:v>0.000462</c:v>
                </c:pt>
                <c:pt idx="59">
                  <c:v>0.000462</c:v>
                </c:pt>
                <c:pt idx="60">
                  <c:v>0.000462</c:v>
                </c:pt>
                <c:pt idx="61">
                  <c:v>0.000462</c:v>
                </c:pt>
                <c:pt idx="62">
                  <c:v>0.000462</c:v>
                </c:pt>
                <c:pt idx="63">
                  <c:v>0.000462</c:v>
                </c:pt>
                <c:pt idx="64">
                  <c:v>0.000462</c:v>
                </c:pt>
                <c:pt idx="65">
                  <c:v>0.000462</c:v>
                </c:pt>
                <c:pt idx="66">
                  <c:v>0.000462</c:v>
                </c:pt>
                <c:pt idx="67">
                  <c:v>0.000462</c:v>
                </c:pt>
                <c:pt idx="68">
                  <c:v>0.000462</c:v>
                </c:pt>
                <c:pt idx="69">
                  <c:v>0.000462</c:v>
                </c:pt>
                <c:pt idx="70">
                  <c:v>0.000462</c:v>
                </c:pt>
                <c:pt idx="71">
                  <c:v>0.000462</c:v>
                </c:pt>
                <c:pt idx="72">
                  <c:v>0.000462</c:v>
                </c:pt>
                <c:pt idx="73">
                  <c:v>0.000462</c:v>
                </c:pt>
                <c:pt idx="74">
                  <c:v>0.000462</c:v>
                </c:pt>
                <c:pt idx="75">
                  <c:v>0.000462</c:v>
                </c:pt>
                <c:pt idx="76">
                  <c:v>0.000462</c:v>
                </c:pt>
                <c:pt idx="77">
                  <c:v>0.000462</c:v>
                </c:pt>
                <c:pt idx="78">
                  <c:v>0.000462</c:v>
                </c:pt>
                <c:pt idx="79">
                  <c:v>0.000462</c:v>
                </c:pt>
                <c:pt idx="80">
                  <c:v>0.000462</c:v>
                </c:pt>
                <c:pt idx="81">
                  <c:v>0.000462</c:v>
                </c:pt>
                <c:pt idx="82">
                  <c:v>0.000462</c:v>
                </c:pt>
                <c:pt idx="83">
                  <c:v>0.000462</c:v>
                </c:pt>
                <c:pt idx="84">
                  <c:v>0.000462</c:v>
                </c:pt>
                <c:pt idx="85">
                  <c:v>0.000462</c:v>
                </c:pt>
                <c:pt idx="86">
                  <c:v>0.000462</c:v>
                </c:pt>
                <c:pt idx="87">
                  <c:v>0.000462</c:v>
                </c:pt>
                <c:pt idx="88">
                  <c:v>0.000462</c:v>
                </c:pt>
                <c:pt idx="89">
                  <c:v>0.000462</c:v>
                </c:pt>
                <c:pt idx="90">
                  <c:v>0.000462</c:v>
                </c:pt>
                <c:pt idx="91">
                  <c:v>0.000462</c:v>
                </c:pt>
                <c:pt idx="92">
                  <c:v>0.000462</c:v>
                </c:pt>
                <c:pt idx="93">
                  <c:v>0.000462</c:v>
                </c:pt>
                <c:pt idx="94">
                  <c:v>0.0005082</c:v>
                </c:pt>
                <c:pt idx="95">
                  <c:v>0.0005544</c:v>
                </c:pt>
                <c:pt idx="96">
                  <c:v>0.0006468</c:v>
                </c:pt>
                <c:pt idx="97">
                  <c:v>0.0007854</c:v>
                </c:pt>
                <c:pt idx="98">
                  <c:v>0.0008778</c:v>
                </c:pt>
                <c:pt idx="99">
                  <c:v>0.0010164</c:v>
                </c:pt>
                <c:pt idx="100">
                  <c:v>0.001155</c:v>
                </c:pt>
                <c:pt idx="101">
                  <c:v>0.0012936</c:v>
                </c:pt>
                <c:pt idx="102">
                  <c:v>0.0014784</c:v>
                </c:pt>
                <c:pt idx="103">
                  <c:v>0.0016632</c:v>
                </c:pt>
                <c:pt idx="104">
                  <c:v>0.0018018</c:v>
                </c:pt>
                <c:pt idx="105">
                  <c:v>0.0019866</c:v>
                </c:pt>
                <c:pt idx="106">
                  <c:v>0.0021252</c:v>
                </c:pt>
                <c:pt idx="107">
                  <c:v>0.0023562</c:v>
                </c:pt>
                <c:pt idx="108">
                  <c:v>0.0024486</c:v>
                </c:pt>
                <c:pt idx="109">
                  <c:v>0.0025872</c:v>
                </c:pt>
                <c:pt idx="110">
                  <c:v>0.002772</c:v>
                </c:pt>
                <c:pt idx="111">
                  <c:v>0.0029106</c:v>
                </c:pt>
                <c:pt idx="112">
                  <c:v>0.0030954</c:v>
                </c:pt>
                <c:pt idx="113">
                  <c:v>0.003234</c:v>
                </c:pt>
                <c:pt idx="114">
                  <c:v>0.003465</c:v>
                </c:pt>
                <c:pt idx="115">
                  <c:v>0.0036498</c:v>
                </c:pt>
                <c:pt idx="116">
                  <c:v>0.0038808</c:v>
                </c:pt>
                <c:pt idx="117">
                  <c:v>0.004158</c:v>
                </c:pt>
                <c:pt idx="118">
                  <c:v>0.0043428</c:v>
                </c:pt>
                <c:pt idx="119">
                  <c:v>0.0045738</c:v>
                </c:pt>
                <c:pt idx="120">
                  <c:v>0.0048048</c:v>
                </c:pt>
                <c:pt idx="121">
                  <c:v>0.0049896</c:v>
                </c:pt>
                <c:pt idx="122">
                  <c:v>0.0052206</c:v>
                </c:pt>
                <c:pt idx="123">
                  <c:v>0.0054978</c:v>
                </c:pt>
                <c:pt idx="124">
                  <c:v>0.005775</c:v>
                </c:pt>
                <c:pt idx="125">
                  <c:v>0.0059598</c:v>
                </c:pt>
                <c:pt idx="126">
                  <c:v>0.006237</c:v>
                </c:pt>
                <c:pt idx="127">
                  <c:v>0.0065142</c:v>
                </c:pt>
                <c:pt idx="128">
                  <c:v>0.0067914</c:v>
                </c:pt>
                <c:pt idx="129">
                  <c:v>0.0071148</c:v>
                </c:pt>
                <c:pt idx="130">
                  <c:v>0.0074382</c:v>
                </c:pt>
                <c:pt idx="131">
                  <c:v>0.0078078</c:v>
                </c:pt>
                <c:pt idx="132">
                  <c:v>0.0081312</c:v>
                </c:pt>
                <c:pt idx="133">
                  <c:v>0.0085008</c:v>
                </c:pt>
                <c:pt idx="134">
                  <c:v>0.0088704</c:v>
                </c:pt>
                <c:pt idx="135">
                  <c:v>0.0092862</c:v>
                </c:pt>
                <c:pt idx="136">
                  <c:v>0.0097482</c:v>
                </c:pt>
                <c:pt idx="137">
                  <c:v>0.0101178</c:v>
                </c:pt>
                <c:pt idx="138">
                  <c:v>0.0105336</c:v>
                </c:pt>
                <c:pt idx="139">
                  <c:v>0.0109032</c:v>
                </c:pt>
                <c:pt idx="140">
                  <c:v>0.011319</c:v>
                </c:pt>
                <c:pt idx="141">
                  <c:v>0.0116886</c:v>
                </c:pt>
                <c:pt idx="142">
                  <c:v>0.0120582</c:v>
                </c:pt>
                <c:pt idx="143">
                  <c:v>0.012474</c:v>
                </c:pt>
                <c:pt idx="144">
                  <c:v>0.012936</c:v>
                </c:pt>
                <c:pt idx="145">
                  <c:v>0.0133056</c:v>
                </c:pt>
                <c:pt idx="146">
                  <c:v>0.0137676</c:v>
                </c:pt>
                <c:pt idx="147">
                  <c:v>0.0141834</c:v>
                </c:pt>
                <c:pt idx="148">
                  <c:v>0.0146916</c:v>
                </c:pt>
                <c:pt idx="149">
                  <c:v>0.015246</c:v>
                </c:pt>
                <c:pt idx="150">
                  <c:v>0.0158466</c:v>
                </c:pt>
                <c:pt idx="151">
                  <c:v>0.0165396</c:v>
                </c:pt>
                <c:pt idx="152">
                  <c:v>0.0172788</c:v>
                </c:pt>
                <c:pt idx="153">
                  <c:v>0.0180642</c:v>
                </c:pt>
                <c:pt idx="154">
                  <c:v>0.0189882</c:v>
                </c:pt>
                <c:pt idx="155">
                  <c:v>0.0199584</c:v>
                </c:pt>
                <c:pt idx="156">
                  <c:v>0.0210672</c:v>
                </c:pt>
                <c:pt idx="157">
                  <c:v>0.022176</c:v>
                </c:pt>
                <c:pt idx="158">
                  <c:v>0.023331</c:v>
                </c:pt>
                <c:pt idx="159">
                  <c:v>0.0245322</c:v>
                </c:pt>
                <c:pt idx="160">
                  <c:v>0.0258258</c:v>
                </c:pt>
                <c:pt idx="161">
                  <c:v>0.0271656</c:v>
                </c:pt>
                <c:pt idx="162">
                  <c:v>0.0285978</c:v>
                </c:pt>
                <c:pt idx="163">
                  <c:v>0.0300762</c:v>
                </c:pt>
                <c:pt idx="164">
                  <c:v>0.0315546</c:v>
                </c:pt>
                <c:pt idx="165">
                  <c:v>0.033033</c:v>
                </c:pt>
                <c:pt idx="166">
                  <c:v>0.0345114</c:v>
                </c:pt>
                <c:pt idx="167">
                  <c:v>0.0358512</c:v>
                </c:pt>
                <c:pt idx="168">
                  <c:v>0.037191</c:v>
                </c:pt>
                <c:pt idx="169">
                  <c:v>0.0384846</c:v>
                </c:pt>
                <c:pt idx="170">
                  <c:v>0.0396858</c:v>
                </c:pt>
                <c:pt idx="171">
                  <c:v>0.0408408</c:v>
                </c:pt>
                <c:pt idx="172">
                  <c:v>0.0418572</c:v>
                </c:pt>
                <c:pt idx="173">
                  <c:v>0.0427812</c:v>
                </c:pt>
                <c:pt idx="174">
                  <c:v>0.0437052</c:v>
                </c:pt>
                <c:pt idx="175">
                  <c:v>0.0444444</c:v>
                </c:pt>
                <c:pt idx="176">
                  <c:v>0.0451836</c:v>
                </c:pt>
                <c:pt idx="177">
                  <c:v>0.0458304</c:v>
                </c:pt>
                <c:pt idx="178">
                  <c:v>0.0464772</c:v>
                </c:pt>
                <c:pt idx="179">
                  <c:v>0.047124</c:v>
                </c:pt>
                <c:pt idx="180">
                  <c:v>0.0477246</c:v>
                </c:pt>
                <c:pt idx="181">
                  <c:v>0.048279</c:v>
                </c:pt>
                <c:pt idx="182">
                  <c:v>0.0488334</c:v>
                </c:pt>
                <c:pt idx="183">
                  <c:v>0.0493416</c:v>
                </c:pt>
                <c:pt idx="184">
                  <c:v>0.0498036</c:v>
                </c:pt>
                <c:pt idx="185">
                  <c:v>0.0502194</c:v>
                </c:pt>
                <c:pt idx="186">
                  <c:v>0.0506814</c:v>
                </c:pt>
                <c:pt idx="187">
                  <c:v>0.0511896</c:v>
                </c:pt>
                <c:pt idx="188">
                  <c:v>0.0516054</c:v>
                </c:pt>
                <c:pt idx="189">
                  <c:v>0.0520212</c:v>
                </c:pt>
                <c:pt idx="190">
                  <c:v>0.052437</c:v>
                </c:pt>
                <c:pt idx="191">
                  <c:v>0.052899</c:v>
                </c:pt>
                <c:pt idx="192">
                  <c:v>0.053361</c:v>
                </c:pt>
                <c:pt idx="193">
                  <c:v>0.053823</c:v>
                </c:pt>
                <c:pt idx="194">
                  <c:v>0.0543312</c:v>
                </c:pt>
                <c:pt idx="195">
                  <c:v>0.054747</c:v>
                </c:pt>
                <c:pt idx="196">
                  <c:v>0.0551628</c:v>
                </c:pt>
                <c:pt idx="197">
                  <c:v>0.0555324</c:v>
                </c:pt>
                <c:pt idx="198">
                  <c:v>0.055902</c:v>
                </c:pt>
                <c:pt idx="199">
                  <c:v>0.056133</c:v>
                </c:pt>
                <c:pt idx="200">
                  <c:v>0.0564102</c:v>
                </c:pt>
                <c:pt idx="201">
                  <c:v>0.0566874</c:v>
                </c:pt>
                <c:pt idx="202">
                  <c:v>0.0569184</c:v>
                </c:pt>
                <c:pt idx="203">
                  <c:v>0.057057</c:v>
                </c:pt>
                <c:pt idx="204">
                  <c:v>0.0572418</c:v>
                </c:pt>
                <c:pt idx="205">
                  <c:v>0.0574266</c:v>
                </c:pt>
                <c:pt idx="206">
                  <c:v>0.0576576</c:v>
                </c:pt>
                <c:pt idx="207">
                  <c:v>0.0577962</c:v>
                </c:pt>
                <c:pt idx="208">
                  <c:v>0.057981</c:v>
                </c:pt>
                <c:pt idx="209">
                  <c:v>0.0581196</c:v>
                </c:pt>
                <c:pt idx="210">
                  <c:v>0.0582582</c:v>
                </c:pt>
                <c:pt idx="211">
                  <c:v>0.058443</c:v>
                </c:pt>
                <c:pt idx="212">
                  <c:v>0.0585816</c:v>
                </c:pt>
                <c:pt idx="213">
                  <c:v>0.0587664</c:v>
                </c:pt>
                <c:pt idx="214">
                  <c:v>0.0589512</c:v>
                </c:pt>
                <c:pt idx="215">
                  <c:v>0.0590436</c:v>
                </c:pt>
                <c:pt idx="216">
                  <c:v>0.059136</c:v>
                </c:pt>
                <c:pt idx="217">
                  <c:v>0.0592746</c:v>
                </c:pt>
                <c:pt idx="218">
                  <c:v>0.059367</c:v>
                </c:pt>
                <c:pt idx="219">
                  <c:v>0.0595056</c:v>
                </c:pt>
                <c:pt idx="220">
                  <c:v>0.0596904</c:v>
                </c:pt>
                <c:pt idx="221">
                  <c:v>0.0598752</c:v>
                </c:pt>
                <c:pt idx="222">
                  <c:v>0.06006</c:v>
                </c:pt>
                <c:pt idx="223">
                  <c:v>0.0602448</c:v>
                </c:pt>
                <c:pt idx="224">
                  <c:v>0.0604296</c:v>
                </c:pt>
                <c:pt idx="225">
                  <c:v>0.0606144</c:v>
                </c:pt>
                <c:pt idx="226">
                  <c:v>0.0608454</c:v>
                </c:pt>
                <c:pt idx="227">
                  <c:v>0.0610764</c:v>
                </c:pt>
                <c:pt idx="228">
                  <c:v>0.0612612</c:v>
                </c:pt>
                <c:pt idx="229">
                  <c:v>0.0614922</c:v>
                </c:pt>
                <c:pt idx="230">
                  <c:v>0.0616308</c:v>
                </c:pt>
                <c:pt idx="231">
                  <c:v>0.0618618</c:v>
                </c:pt>
                <c:pt idx="232">
                  <c:v>0.0620004</c:v>
                </c:pt>
                <c:pt idx="233">
                  <c:v>0.0621852</c:v>
                </c:pt>
                <c:pt idx="234">
                  <c:v>0.06237</c:v>
                </c:pt>
                <c:pt idx="235">
                  <c:v>0.0625086</c:v>
                </c:pt>
                <c:pt idx="236">
                  <c:v>0.0626472</c:v>
                </c:pt>
                <c:pt idx="237">
                  <c:v>0.062832</c:v>
                </c:pt>
                <c:pt idx="238">
                  <c:v>0.0630168</c:v>
                </c:pt>
                <c:pt idx="239">
                  <c:v>0.0631554</c:v>
                </c:pt>
                <c:pt idx="240">
                  <c:v>0.0633402</c:v>
                </c:pt>
                <c:pt idx="241">
                  <c:v>0.0634788</c:v>
                </c:pt>
                <c:pt idx="242">
                  <c:v>0.0636636</c:v>
                </c:pt>
                <c:pt idx="243">
                  <c:v>0.0638022</c:v>
                </c:pt>
                <c:pt idx="244">
                  <c:v>0.063987</c:v>
                </c:pt>
                <c:pt idx="245">
                  <c:v>0.064218</c:v>
                </c:pt>
                <c:pt idx="246">
                  <c:v>0.0643566</c:v>
                </c:pt>
                <c:pt idx="247">
                  <c:v>0.0645414</c:v>
                </c:pt>
                <c:pt idx="248">
                  <c:v>0.0647724</c:v>
                </c:pt>
                <c:pt idx="249">
                  <c:v>0.0649572</c:v>
                </c:pt>
                <c:pt idx="250">
                  <c:v>0.065142</c:v>
                </c:pt>
                <c:pt idx="251">
                  <c:v>0.0653268</c:v>
                </c:pt>
                <c:pt idx="252">
                  <c:v>0.0655116</c:v>
                </c:pt>
                <c:pt idx="253">
                  <c:v>0.0656502</c:v>
                </c:pt>
                <c:pt idx="254">
                  <c:v>0.0657888</c:v>
                </c:pt>
                <c:pt idx="255">
                  <c:v>0.0659274</c:v>
                </c:pt>
                <c:pt idx="256">
                  <c:v>0.0660198</c:v>
                </c:pt>
                <c:pt idx="257">
                  <c:v>0.0661584</c:v>
                </c:pt>
                <c:pt idx="258">
                  <c:v>0.0662508</c:v>
                </c:pt>
                <c:pt idx="259">
                  <c:v>0.066297</c:v>
                </c:pt>
                <c:pt idx="260">
                  <c:v>0.0663894</c:v>
                </c:pt>
                <c:pt idx="261">
                  <c:v>0.0664818</c:v>
                </c:pt>
                <c:pt idx="262">
                  <c:v>0.0665742</c:v>
                </c:pt>
                <c:pt idx="263">
                  <c:v>0.0666666</c:v>
                </c:pt>
                <c:pt idx="264">
                  <c:v>0.066759</c:v>
                </c:pt>
                <c:pt idx="265">
                  <c:v>0.0668976</c:v>
                </c:pt>
                <c:pt idx="266">
                  <c:v>0.0670362</c:v>
                </c:pt>
                <c:pt idx="267">
                  <c:v>0.067221</c:v>
                </c:pt>
                <c:pt idx="268">
                  <c:v>0.0674058</c:v>
                </c:pt>
                <c:pt idx="269">
                  <c:v>0.0676368</c:v>
                </c:pt>
                <c:pt idx="270">
                  <c:v>0.0678678</c:v>
                </c:pt>
                <c:pt idx="271">
                  <c:v>0.0680064</c:v>
                </c:pt>
                <c:pt idx="272">
                  <c:v>0.0681912</c:v>
                </c:pt>
                <c:pt idx="273">
                  <c:v>0.068376</c:v>
                </c:pt>
                <c:pt idx="274">
                  <c:v>0.0684684</c:v>
                </c:pt>
                <c:pt idx="275">
                  <c:v>0.068607</c:v>
                </c:pt>
                <c:pt idx="276">
                  <c:v>0.0686994</c:v>
                </c:pt>
                <c:pt idx="277">
                  <c:v>0.068838</c:v>
                </c:pt>
                <c:pt idx="278">
                  <c:v>0.068838</c:v>
                </c:pt>
                <c:pt idx="279">
                  <c:v>0.068838</c:v>
                </c:pt>
                <c:pt idx="280">
                  <c:v>0.068838</c:v>
                </c:pt>
                <c:pt idx="281">
                  <c:v>0.0688842</c:v>
                </c:pt>
                <c:pt idx="282">
                  <c:v>0.0689304</c:v>
                </c:pt>
                <c:pt idx="283">
                  <c:v>0.0689766</c:v>
                </c:pt>
                <c:pt idx="284">
                  <c:v>0.0690228</c:v>
                </c:pt>
                <c:pt idx="285">
                  <c:v>0.0691152</c:v>
                </c:pt>
                <c:pt idx="286">
                  <c:v>0.0691614</c:v>
                </c:pt>
                <c:pt idx="287">
                  <c:v>0.0692538</c:v>
                </c:pt>
                <c:pt idx="288">
                  <c:v>0.0693462</c:v>
                </c:pt>
                <c:pt idx="289">
                  <c:v>0.0694386</c:v>
                </c:pt>
                <c:pt idx="290">
                  <c:v>0.069531</c:v>
                </c:pt>
                <c:pt idx="291">
                  <c:v>0.0696234</c:v>
                </c:pt>
                <c:pt idx="292">
                  <c:v>0.0696696</c:v>
                </c:pt>
                <c:pt idx="293">
                  <c:v>0.0696696</c:v>
                </c:pt>
                <c:pt idx="294">
                  <c:v>0.069762</c:v>
                </c:pt>
                <c:pt idx="295">
                  <c:v>0.0698082</c:v>
                </c:pt>
                <c:pt idx="296">
                  <c:v>0.0698544</c:v>
                </c:pt>
                <c:pt idx="297">
                  <c:v>0.0698544</c:v>
                </c:pt>
                <c:pt idx="298">
                  <c:v>0.0699006</c:v>
                </c:pt>
                <c:pt idx="299">
                  <c:v>0.0699468</c:v>
                </c:pt>
                <c:pt idx="300">
                  <c:v>0.069993</c:v>
                </c:pt>
                <c:pt idx="301">
                  <c:v>0.0700854</c:v>
                </c:pt>
                <c:pt idx="302">
                  <c:v>0.0701316</c:v>
                </c:pt>
                <c:pt idx="303">
                  <c:v>0.0701778</c:v>
                </c:pt>
                <c:pt idx="304">
                  <c:v>0.0702702</c:v>
                </c:pt>
                <c:pt idx="305">
                  <c:v>0.0703626</c:v>
                </c:pt>
                <c:pt idx="306">
                  <c:v>0.070455</c:v>
                </c:pt>
                <c:pt idx="307">
                  <c:v>0.0705474</c:v>
                </c:pt>
                <c:pt idx="308">
                  <c:v>0.070686</c:v>
                </c:pt>
                <c:pt idx="309">
                  <c:v>0.0707784</c:v>
                </c:pt>
                <c:pt idx="310">
                  <c:v>0.0708246</c:v>
                </c:pt>
                <c:pt idx="311">
                  <c:v>0.070917</c:v>
                </c:pt>
                <c:pt idx="312">
                  <c:v>0.0710094</c:v>
                </c:pt>
                <c:pt idx="313">
                  <c:v>0.0711018</c:v>
                </c:pt>
                <c:pt idx="314">
                  <c:v>0.0712404</c:v>
                </c:pt>
                <c:pt idx="315">
                  <c:v>0.0713328</c:v>
                </c:pt>
                <c:pt idx="316">
                  <c:v>0.071379</c:v>
                </c:pt>
                <c:pt idx="317">
                  <c:v>0.0714252</c:v>
                </c:pt>
                <c:pt idx="318">
                  <c:v>0.0715176</c:v>
                </c:pt>
                <c:pt idx="319">
                  <c:v>0.07161</c:v>
                </c:pt>
                <c:pt idx="320">
                  <c:v>0.0717024</c:v>
                </c:pt>
                <c:pt idx="321">
                  <c:v>0.0717486</c:v>
                </c:pt>
                <c:pt idx="322">
                  <c:v>0.071841</c:v>
                </c:pt>
                <c:pt idx="323">
                  <c:v>0.0719334</c:v>
                </c:pt>
                <c:pt idx="324">
                  <c:v>0.0720258</c:v>
                </c:pt>
                <c:pt idx="325">
                  <c:v>0.0721182</c:v>
                </c:pt>
                <c:pt idx="326">
                  <c:v>0.0721182</c:v>
                </c:pt>
              </c:numCache>
            </c:numRef>
          </c:yVal>
          <c:smooth val="0"/>
        </c:ser>
        <c:dLbls>
          <c:showLegendKey val="0"/>
          <c:showVal val="0"/>
          <c:showCatName val="0"/>
          <c:showSerName val="0"/>
          <c:showPercent val="0"/>
          <c:showBubbleSize val="0"/>
        </c:dLbls>
        <c:axId val="2130556888"/>
        <c:axId val="2130562584"/>
      </c:scatterChart>
      <c:valAx>
        <c:axId val="2130556888"/>
        <c:scaling>
          <c:logBase val="10.0"/>
          <c:orientation val="maxMin"/>
          <c:max val="0.1"/>
        </c:scaling>
        <c:delete val="0"/>
        <c:axPos val="b"/>
        <c:title>
          <c:tx>
            <c:rich>
              <a:bodyPr/>
              <a:lstStyle/>
              <a:p>
                <a:pPr>
                  <a:defRPr/>
                </a:pPr>
                <a:r>
                  <a:rPr lang="en-US"/>
                  <a:t>Pore Diameter (μm) </a:t>
                </a:r>
              </a:p>
            </c:rich>
          </c:tx>
          <c:overlay val="0"/>
        </c:title>
        <c:numFmt formatCode="General" sourceLinked="0"/>
        <c:majorTickMark val="out"/>
        <c:minorTickMark val="none"/>
        <c:tickLblPos val="nextTo"/>
        <c:spPr>
          <a:ln>
            <a:solidFill>
              <a:schemeClr val="tx1"/>
            </a:solidFill>
          </a:ln>
        </c:spPr>
        <c:txPr>
          <a:bodyPr rot="0" vert="horz"/>
          <a:lstStyle/>
          <a:p>
            <a:pPr>
              <a:defRPr sz="1100" b="0" i="0" u="none" strike="noStrike" baseline="0">
                <a:solidFill>
                  <a:srgbClr val="000000"/>
                </a:solidFill>
                <a:latin typeface="ＭＳ Ｐゴシック"/>
                <a:ea typeface="ＭＳ Ｐゴシック"/>
                <a:cs typeface="ＭＳ Ｐゴシック"/>
              </a:defRPr>
            </a:pPr>
            <a:endParaRPr lang="en-US"/>
          </a:p>
        </c:txPr>
        <c:crossAx val="2130562584"/>
        <c:crosses val="autoZero"/>
        <c:crossBetween val="midCat"/>
      </c:valAx>
      <c:valAx>
        <c:axId val="2130562584"/>
        <c:scaling>
          <c:orientation val="minMax"/>
        </c:scaling>
        <c:delete val="0"/>
        <c:axPos val="l"/>
        <c:title>
          <c:tx>
            <c:rich>
              <a:bodyPr rot="-5400000" vert="horz"/>
              <a:lstStyle/>
              <a:p>
                <a:pPr>
                  <a:defRPr sz="900"/>
                </a:pPr>
                <a:r>
                  <a:rPr lang="tr-TR" sz="900" b="1" i="0" baseline="0">
                    <a:effectLst/>
                  </a:rPr>
                  <a:t>Cumulative Pore Volume (ml/g)</a:t>
                </a:r>
                <a:endParaRPr lang="tr-TR" sz="900">
                  <a:effectLst/>
                </a:endParaRPr>
              </a:p>
            </c:rich>
          </c:tx>
          <c:layout>
            <c:manualLayout>
              <c:xMode val="edge"/>
              <c:yMode val="edge"/>
              <c:x val="0.002"/>
              <c:y val="0.0915979794978458"/>
            </c:manualLayout>
          </c:layout>
          <c:overlay val="0"/>
        </c:title>
        <c:numFmt formatCode="#,##0.00" sourceLinked="0"/>
        <c:majorTickMark val="out"/>
        <c:minorTickMark val="none"/>
        <c:tickLblPos val="nextTo"/>
        <c:spPr>
          <a:ln>
            <a:solidFill>
              <a:schemeClr val="tx1"/>
            </a:solidFill>
          </a:ln>
        </c:spPr>
        <c:txPr>
          <a:bodyPr/>
          <a:lstStyle/>
          <a:p>
            <a:pPr>
              <a:defRPr lang="ja-JP" sz="1100"/>
            </a:pPr>
            <a:endParaRPr lang="en-US"/>
          </a:p>
        </c:txPr>
        <c:crossAx val="2130556888"/>
        <c:crosses val="max"/>
        <c:crossBetween val="midCat"/>
      </c:valAx>
    </c:plotArea>
    <c:legend>
      <c:legendPos val="t"/>
      <c:layout>
        <c:manualLayout>
          <c:xMode val="edge"/>
          <c:yMode val="edge"/>
          <c:x val="0.298345790705895"/>
          <c:y val="0.0476190476190476"/>
          <c:w val="0.568131325809388"/>
          <c:h val="0.100811148606424"/>
        </c:manualLayout>
      </c:layout>
      <c:overlay val="0"/>
      <c:txPr>
        <a:bodyPr/>
        <a:lstStyle/>
        <a:p>
          <a:pPr>
            <a:defRPr sz="1000"/>
          </a:pPr>
          <a:endParaRPr lang="en-US"/>
        </a:p>
      </c:txPr>
    </c:legend>
    <c:plotVisOnly val="1"/>
    <c:dispBlanksAs val="gap"/>
    <c:showDLblsOverMax val="0"/>
  </c:chart>
  <c:spPr>
    <a:ln>
      <a:noFill/>
    </a:ln>
  </c:spPr>
  <c:txPr>
    <a:bodyPr/>
    <a:lstStyle/>
    <a:p>
      <a:pPr>
        <a:defRPr sz="1100">
          <a:latin typeface="Arial"/>
          <a:cs typeface="Arial"/>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80511050983492"/>
          <c:y val="0.0407982986501687"/>
          <c:w val="0.746535433070866"/>
          <c:h val="0.785267857142857"/>
        </c:manualLayout>
      </c:layout>
      <c:scatterChart>
        <c:scatterStyle val="lineMarker"/>
        <c:varyColors val="0"/>
        <c:ser>
          <c:idx val="1"/>
          <c:order val="0"/>
          <c:tx>
            <c:v>28DB1</c:v>
          </c:tx>
          <c:spPr>
            <a:ln w="28575" cmpd="sng">
              <a:solidFill>
                <a:schemeClr val="tx1"/>
              </a:solidFill>
            </a:ln>
          </c:spPr>
          <c:marker>
            <c:symbol val="none"/>
          </c:marker>
          <c:xVal>
            <c:numRef>
              <c:f>'[1]28DB1- in1'!$C$5:$C$331</c:f>
              <c:numCache>
                <c:formatCode>0.00E+00</c:formatCode>
                <c:ptCount val="327"/>
                <c:pt idx="0">
                  <c:v>10.64</c:v>
                </c:pt>
                <c:pt idx="1">
                  <c:v>10.32</c:v>
                </c:pt>
                <c:pt idx="2">
                  <c:v>10.01</c:v>
                </c:pt>
                <c:pt idx="3">
                  <c:v>9.723999999999998</c:v>
                </c:pt>
                <c:pt idx="4">
                  <c:v>9.442</c:v>
                </c:pt>
                <c:pt idx="5">
                  <c:v>9.169</c:v>
                </c:pt>
                <c:pt idx="6">
                  <c:v>8.898</c:v>
                </c:pt>
                <c:pt idx="7">
                  <c:v>8.632</c:v>
                </c:pt>
                <c:pt idx="8">
                  <c:v>8.36</c:v>
                </c:pt>
                <c:pt idx="9">
                  <c:v>8.089</c:v>
                </c:pt>
                <c:pt idx="10">
                  <c:v>7.819999999999999</c:v>
                </c:pt>
                <c:pt idx="11">
                  <c:v>7.547</c:v>
                </c:pt>
                <c:pt idx="12">
                  <c:v>7.274</c:v>
                </c:pt>
                <c:pt idx="13">
                  <c:v>6.997</c:v>
                </c:pt>
                <c:pt idx="14">
                  <c:v>6.719</c:v>
                </c:pt>
                <c:pt idx="15">
                  <c:v>6.436</c:v>
                </c:pt>
                <c:pt idx="16">
                  <c:v>6.149</c:v>
                </c:pt>
                <c:pt idx="17">
                  <c:v>5.863999999999999</c:v>
                </c:pt>
                <c:pt idx="18">
                  <c:v>5.575</c:v>
                </c:pt>
                <c:pt idx="19">
                  <c:v>5.289</c:v>
                </c:pt>
                <c:pt idx="20">
                  <c:v>4.999</c:v>
                </c:pt>
                <c:pt idx="21">
                  <c:v>4.708</c:v>
                </c:pt>
                <c:pt idx="22">
                  <c:v>4.413</c:v>
                </c:pt>
                <c:pt idx="23">
                  <c:v>4.117999999999999</c:v>
                </c:pt>
                <c:pt idx="24">
                  <c:v>3.824</c:v>
                </c:pt>
                <c:pt idx="25">
                  <c:v>3.531</c:v>
                </c:pt>
                <c:pt idx="26">
                  <c:v>3.241</c:v>
                </c:pt>
                <c:pt idx="27">
                  <c:v>2.957</c:v>
                </c:pt>
                <c:pt idx="28">
                  <c:v>2.682</c:v>
                </c:pt>
                <c:pt idx="29">
                  <c:v>2.415999999999999</c:v>
                </c:pt>
                <c:pt idx="30">
                  <c:v>2.164</c:v>
                </c:pt>
                <c:pt idx="31">
                  <c:v>1.926</c:v>
                </c:pt>
                <c:pt idx="32">
                  <c:v>1.707</c:v>
                </c:pt>
                <c:pt idx="33">
                  <c:v>1.507</c:v>
                </c:pt>
                <c:pt idx="34">
                  <c:v>1.327</c:v>
                </c:pt>
                <c:pt idx="35">
                  <c:v>1.168</c:v>
                </c:pt>
                <c:pt idx="36">
                  <c:v>1.028</c:v>
                </c:pt>
                <c:pt idx="37">
                  <c:v>0.9076</c:v>
                </c:pt>
                <c:pt idx="38">
                  <c:v>0.804</c:v>
                </c:pt>
                <c:pt idx="39">
                  <c:v>0.7152</c:v>
                </c:pt>
                <c:pt idx="40">
                  <c:v>0.6394</c:v>
                </c:pt>
                <c:pt idx="41">
                  <c:v>0.5745</c:v>
                </c:pt>
                <c:pt idx="42">
                  <c:v>0.519</c:v>
                </c:pt>
                <c:pt idx="43">
                  <c:v>0.4714</c:v>
                </c:pt>
                <c:pt idx="44">
                  <c:v>0.4303</c:v>
                </c:pt>
                <c:pt idx="45">
                  <c:v>0.3949</c:v>
                </c:pt>
                <c:pt idx="46">
                  <c:v>0.3642</c:v>
                </c:pt>
                <c:pt idx="47">
                  <c:v>0.3374</c:v>
                </c:pt>
                <c:pt idx="48">
                  <c:v>0.3139</c:v>
                </c:pt>
                <c:pt idx="49">
                  <c:v>0.2931</c:v>
                </c:pt>
                <c:pt idx="50">
                  <c:v>0.2746</c:v>
                </c:pt>
                <c:pt idx="51">
                  <c:v>0.258</c:v>
                </c:pt>
                <c:pt idx="52">
                  <c:v>0.243</c:v>
                </c:pt>
                <c:pt idx="53">
                  <c:v>0.2295</c:v>
                </c:pt>
                <c:pt idx="54">
                  <c:v>0.2172</c:v>
                </c:pt>
                <c:pt idx="55">
                  <c:v>0.2059</c:v>
                </c:pt>
                <c:pt idx="56">
                  <c:v>0.1956</c:v>
                </c:pt>
                <c:pt idx="57">
                  <c:v>0.1861</c:v>
                </c:pt>
                <c:pt idx="58">
                  <c:v>0.1774</c:v>
                </c:pt>
                <c:pt idx="59">
                  <c:v>0.1694</c:v>
                </c:pt>
                <c:pt idx="60">
                  <c:v>0.1619</c:v>
                </c:pt>
                <c:pt idx="61">
                  <c:v>0.1549</c:v>
                </c:pt>
                <c:pt idx="62">
                  <c:v>0.1484</c:v>
                </c:pt>
                <c:pt idx="63">
                  <c:v>0.1421</c:v>
                </c:pt>
                <c:pt idx="64">
                  <c:v>0.1362</c:v>
                </c:pt>
                <c:pt idx="65">
                  <c:v>0.1308</c:v>
                </c:pt>
                <c:pt idx="66">
                  <c:v>0.1256</c:v>
                </c:pt>
                <c:pt idx="67">
                  <c:v>0.1209</c:v>
                </c:pt>
                <c:pt idx="68">
                  <c:v>0.1164</c:v>
                </c:pt>
                <c:pt idx="69">
                  <c:v>0.1121</c:v>
                </c:pt>
                <c:pt idx="70">
                  <c:v>0.1081</c:v>
                </c:pt>
                <c:pt idx="71">
                  <c:v>0.1044</c:v>
                </c:pt>
                <c:pt idx="72">
                  <c:v>0.1008</c:v>
                </c:pt>
                <c:pt idx="73">
                  <c:v>0.09751</c:v>
                </c:pt>
                <c:pt idx="74">
                  <c:v>0.09445</c:v>
                </c:pt>
                <c:pt idx="75">
                  <c:v>0.09157</c:v>
                </c:pt>
                <c:pt idx="76">
                  <c:v>0.08884</c:v>
                </c:pt>
                <c:pt idx="77">
                  <c:v>0.08626</c:v>
                </c:pt>
                <c:pt idx="78">
                  <c:v>0.08381</c:v>
                </c:pt>
                <c:pt idx="79">
                  <c:v>0.0815</c:v>
                </c:pt>
                <c:pt idx="80">
                  <c:v>0.0793</c:v>
                </c:pt>
                <c:pt idx="81">
                  <c:v>0.07717</c:v>
                </c:pt>
                <c:pt idx="82">
                  <c:v>0.07509</c:v>
                </c:pt>
                <c:pt idx="83">
                  <c:v>0.07313</c:v>
                </c:pt>
                <c:pt idx="84">
                  <c:v>0.07126</c:v>
                </c:pt>
                <c:pt idx="85">
                  <c:v>0.06948</c:v>
                </c:pt>
                <c:pt idx="86">
                  <c:v>0.06778</c:v>
                </c:pt>
                <c:pt idx="87">
                  <c:v>0.06612</c:v>
                </c:pt>
                <c:pt idx="88">
                  <c:v>0.06451</c:v>
                </c:pt>
                <c:pt idx="89">
                  <c:v>0.06293</c:v>
                </c:pt>
                <c:pt idx="90">
                  <c:v>0.0614</c:v>
                </c:pt>
                <c:pt idx="91">
                  <c:v>0.05993</c:v>
                </c:pt>
                <c:pt idx="92">
                  <c:v>0.05856</c:v>
                </c:pt>
                <c:pt idx="93">
                  <c:v>0.05725</c:v>
                </c:pt>
                <c:pt idx="94">
                  <c:v>0.05596</c:v>
                </c:pt>
                <c:pt idx="95">
                  <c:v>0.05471</c:v>
                </c:pt>
                <c:pt idx="96">
                  <c:v>0.0535</c:v>
                </c:pt>
                <c:pt idx="97">
                  <c:v>0.05233</c:v>
                </c:pt>
                <c:pt idx="98">
                  <c:v>0.05122</c:v>
                </c:pt>
                <c:pt idx="99">
                  <c:v>0.05017</c:v>
                </c:pt>
                <c:pt idx="100">
                  <c:v>0.04918</c:v>
                </c:pt>
                <c:pt idx="101">
                  <c:v>0.04825</c:v>
                </c:pt>
                <c:pt idx="102">
                  <c:v>0.04735</c:v>
                </c:pt>
                <c:pt idx="103">
                  <c:v>0.04648</c:v>
                </c:pt>
                <c:pt idx="104">
                  <c:v>0.04564</c:v>
                </c:pt>
                <c:pt idx="105">
                  <c:v>0.04484</c:v>
                </c:pt>
                <c:pt idx="106">
                  <c:v>0.04408</c:v>
                </c:pt>
                <c:pt idx="107">
                  <c:v>0.04335</c:v>
                </c:pt>
                <c:pt idx="108">
                  <c:v>0.04265</c:v>
                </c:pt>
                <c:pt idx="109">
                  <c:v>0.04198</c:v>
                </c:pt>
                <c:pt idx="110">
                  <c:v>0.04133</c:v>
                </c:pt>
                <c:pt idx="111">
                  <c:v>0.04069</c:v>
                </c:pt>
                <c:pt idx="112">
                  <c:v>0.04007</c:v>
                </c:pt>
                <c:pt idx="113">
                  <c:v>0.03947</c:v>
                </c:pt>
                <c:pt idx="114">
                  <c:v>0.03888</c:v>
                </c:pt>
                <c:pt idx="115">
                  <c:v>0.03832</c:v>
                </c:pt>
                <c:pt idx="116">
                  <c:v>0.03778</c:v>
                </c:pt>
                <c:pt idx="117">
                  <c:v>0.03725</c:v>
                </c:pt>
                <c:pt idx="118">
                  <c:v>0.03673</c:v>
                </c:pt>
                <c:pt idx="119">
                  <c:v>0.03623</c:v>
                </c:pt>
                <c:pt idx="120">
                  <c:v>0.03573</c:v>
                </c:pt>
                <c:pt idx="121">
                  <c:v>0.03525</c:v>
                </c:pt>
                <c:pt idx="122">
                  <c:v>0.03479</c:v>
                </c:pt>
                <c:pt idx="123">
                  <c:v>0.03433</c:v>
                </c:pt>
                <c:pt idx="124">
                  <c:v>0.03388</c:v>
                </c:pt>
                <c:pt idx="125">
                  <c:v>0.03344</c:v>
                </c:pt>
                <c:pt idx="126">
                  <c:v>0.03302</c:v>
                </c:pt>
                <c:pt idx="127">
                  <c:v>0.03259</c:v>
                </c:pt>
                <c:pt idx="128">
                  <c:v>0.03217</c:v>
                </c:pt>
                <c:pt idx="129">
                  <c:v>0.03177</c:v>
                </c:pt>
                <c:pt idx="130">
                  <c:v>0.03137</c:v>
                </c:pt>
                <c:pt idx="131">
                  <c:v>0.03097</c:v>
                </c:pt>
                <c:pt idx="132">
                  <c:v>0.03058</c:v>
                </c:pt>
                <c:pt idx="133">
                  <c:v>0.0302</c:v>
                </c:pt>
                <c:pt idx="134">
                  <c:v>0.02982</c:v>
                </c:pt>
                <c:pt idx="135">
                  <c:v>0.02945</c:v>
                </c:pt>
                <c:pt idx="136">
                  <c:v>0.02907</c:v>
                </c:pt>
                <c:pt idx="137">
                  <c:v>0.02869</c:v>
                </c:pt>
                <c:pt idx="138">
                  <c:v>0.02833</c:v>
                </c:pt>
                <c:pt idx="139">
                  <c:v>0.02795</c:v>
                </c:pt>
                <c:pt idx="140">
                  <c:v>0.02759</c:v>
                </c:pt>
                <c:pt idx="141">
                  <c:v>0.02722</c:v>
                </c:pt>
                <c:pt idx="142">
                  <c:v>0.02685</c:v>
                </c:pt>
                <c:pt idx="143">
                  <c:v>0.02648</c:v>
                </c:pt>
                <c:pt idx="144">
                  <c:v>0.02612</c:v>
                </c:pt>
                <c:pt idx="145">
                  <c:v>0.02577</c:v>
                </c:pt>
                <c:pt idx="146">
                  <c:v>0.02543</c:v>
                </c:pt>
                <c:pt idx="147">
                  <c:v>0.02509</c:v>
                </c:pt>
                <c:pt idx="148">
                  <c:v>0.02475</c:v>
                </c:pt>
                <c:pt idx="149">
                  <c:v>0.02442</c:v>
                </c:pt>
                <c:pt idx="150">
                  <c:v>0.0241</c:v>
                </c:pt>
                <c:pt idx="151">
                  <c:v>0.02378</c:v>
                </c:pt>
                <c:pt idx="152">
                  <c:v>0.02347</c:v>
                </c:pt>
                <c:pt idx="153">
                  <c:v>0.02317</c:v>
                </c:pt>
                <c:pt idx="154">
                  <c:v>0.02287</c:v>
                </c:pt>
                <c:pt idx="155">
                  <c:v>0.02257</c:v>
                </c:pt>
                <c:pt idx="156">
                  <c:v>0.02227</c:v>
                </c:pt>
                <c:pt idx="157">
                  <c:v>0.02198</c:v>
                </c:pt>
                <c:pt idx="158">
                  <c:v>0.02169</c:v>
                </c:pt>
                <c:pt idx="159">
                  <c:v>0.02141</c:v>
                </c:pt>
                <c:pt idx="160">
                  <c:v>0.02113</c:v>
                </c:pt>
                <c:pt idx="161">
                  <c:v>0.02085</c:v>
                </c:pt>
                <c:pt idx="162">
                  <c:v>0.02058</c:v>
                </c:pt>
                <c:pt idx="163">
                  <c:v>0.02032</c:v>
                </c:pt>
                <c:pt idx="164">
                  <c:v>0.02006</c:v>
                </c:pt>
                <c:pt idx="165">
                  <c:v>0.0198</c:v>
                </c:pt>
                <c:pt idx="166">
                  <c:v>0.01955</c:v>
                </c:pt>
                <c:pt idx="167">
                  <c:v>0.01931</c:v>
                </c:pt>
                <c:pt idx="168">
                  <c:v>0.01907</c:v>
                </c:pt>
                <c:pt idx="169">
                  <c:v>0.01884</c:v>
                </c:pt>
                <c:pt idx="170">
                  <c:v>0.01861</c:v>
                </c:pt>
                <c:pt idx="171">
                  <c:v>0.01838</c:v>
                </c:pt>
                <c:pt idx="172">
                  <c:v>0.01816</c:v>
                </c:pt>
                <c:pt idx="173">
                  <c:v>0.01795</c:v>
                </c:pt>
                <c:pt idx="174">
                  <c:v>0.01774</c:v>
                </c:pt>
                <c:pt idx="175">
                  <c:v>0.01753</c:v>
                </c:pt>
                <c:pt idx="176">
                  <c:v>0.01733</c:v>
                </c:pt>
                <c:pt idx="177">
                  <c:v>0.01713</c:v>
                </c:pt>
                <c:pt idx="178">
                  <c:v>0.01693</c:v>
                </c:pt>
                <c:pt idx="179">
                  <c:v>0.01674</c:v>
                </c:pt>
                <c:pt idx="180">
                  <c:v>0.01655</c:v>
                </c:pt>
                <c:pt idx="181">
                  <c:v>0.01637</c:v>
                </c:pt>
                <c:pt idx="182">
                  <c:v>0.01619</c:v>
                </c:pt>
                <c:pt idx="183">
                  <c:v>0.01601</c:v>
                </c:pt>
                <c:pt idx="184">
                  <c:v>0.01583</c:v>
                </c:pt>
                <c:pt idx="185">
                  <c:v>0.01566</c:v>
                </c:pt>
                <c:pt idx="186">
                  <c:v>0.01548</c:v>
                </c:pt>
                <c:pt idx="187">
                  <c:v>0.01532</c:v>
                </c:pt>
                <c:pt idx="188">
                  <c:v>0.01516</c:v>
                </c:pt>
                <c:pt idx="189">
                  <c:v>0.015</c:v>
                </c:pt>
                <c:pt idx="190">
                  <c:v>0.01485</c:v>
                </c:pt>
                <c:pt idx="191">
                  <c:v>0.01469</c:v>
                </c:pt>
                <c:pt idx="192">
                  <c:v>0.01454</c:v>
                </c:pt>
                <c:pt idx="193">
                  <c:v>0.01439</c:v>
                </c:pt>
                <c:pt idx="194">
                  <c:v>0.01425</c:v>
                </c:pt>
                <c:pt idx="195">
                  <c:v>0.01411</c:v>
                </c:pt>
                <c:pt idx="196">
                  <c:v>0.01398</c:v>
                </c:pt>
                <c:pt idx="197">
                  <c:v>0.01385</c:v>
                </c:pt>
                <c:pt idx="198">
                  <c:v>0.01373</c:v>
                </c:pt>
                <c:pt idx="199">
                  <c:v>0.0136</c:v>
                </c:pt>
                <c:pt idx="200">
                  <c:v>0.01348</c:v>
                </c:pt>
                <c:pt idx="201">
                  <c:v>0.01337</c:v>
                </c:pt>
                <c:pt idx="202">
                  <c:v>0.01327</c:v>
                </c:pt>
                <c:pt idx="203">
                  <c:v>0.01317</c:v>
                </c:pt>
                <c:pt idx="204">
                  <c:v>0.01307</c:v>
                </c:pt>
                <c:pt idx="205">
                  <c:v>0.01298</c:v>
                </c:pt>
                <c:pt idx="206">
                  <c:v>0.01289</c:v>
                </c:pt>
                <c:pt idx="207">
                  <c:v>0.01281</c:v>
                </c:pt>
                <c:pt idx="208">
                  <c:v>0.01272</c:v>
                </c:pt>
                <c:pt idx="209">
                  <c:v>0.01264</c:v>
                </c:pt>
                <c:pt idx="210">
                  <c:v>0.01256</c:v>
                </c:pt>
                <c:pt idx="211">
                  <c:v>0.01248</c:v>
                </c:pt>
                <c:pt idx="212">
                  <c:v>0.0124</c:v>
                </c:pt>
                <c:pt idx="213">
                  <c:v>0.01233</c:v>
                </c:pt>
                <c:pt idx="214">
                  <c:v>0.01225</c:v>
                </c:pt>
                <c:pt idx="215">
                  <c:v>0.01217</c:v>
                </c:pt>
                <c:pt idx="216">
                  <c:v>0.0121</c:v>
                </c:pt>
                <c:pt idx="217">
                  <c:v>0.01202</c:v>
                </c:pt>
                <c:pt idx="218">
                  <c:v>0.01195</c:v>
                </c:pt>
                <c:pt idx="219">
                  <c:v>0.01188</c:v>
                </c:pt>
                <c:pt idx="220">
                  <c:v>0.01181</c:v>
                </c:pt>
                <c:pt idx="221">
                  <c:v>0.01173</c:v>
                </c:pt>
                <c:pt idx="222">
                  <c:v>0.01166</c:v>
                </c:pt>
                <c:pt idx="223">
                  <c:v>0.01159</c:v>
                </c:pt>
                <c:pt idx="224">
                  <c:v>0.01152</c:v>
                </c:pt>
                <c:pt idx="225">
                  <c:v>0.01146</c:v>
                </c:pt>
                <c:pt idx="226">
                  <c:v>0.01139</c:v>
                </c:pt>
                <c:pt idx="227">
                  <c:v>0.01132</c:v>
                </c:pt>
                <c:pt idx="228">
                  <c:v>0.01125</c:v>
                </c:pt>
                <c:pt idx="229">
                  <c:v>0.01119</c:v>
                </c:pt>
                <c:pt idx="230">
                  <c:v>0.01112</c:v>
                </c:pt>
                <c:pt idx="231">
                  <c:v>0.01106</c:v>
                </c:pt>
                <c:pt idx="232">
                  <c:v>0.01099</c:v>
                </c:pt>
                <c:pt idx="233">
                  <c:v>0.01093</c:v>
                </c:pt>
                <c:pt idx="234">
                  <c:v>0.01087</c:v>
                </c:pt>
                <c:pt idx="235">
                  <c:v>0.0108</c:v>
                </c:pt>
                <c:pt idx="236">
                  <c:v>0.01074</c:v>
                </c:pt>
                <c:pt idx="237">
                  <c:v>0.01068</c:v>
                </c:pt>
                <c:pt idx="238">
                  <c:v>0.01062</c:v>
                </c:pt>
                <c:pt idx="239">
                  <c:v>0.01056</c:v>
                </c:pt>
                <c:pt idx="240">
                  <c:v>0.0105</c:v>
                </c:pt>
                <c:pt idx="241">
                  <c:v>0.01044</c:v>
                </c:pt>
                <c:pt idx="242">
                  <c:v>0.01039</c:v>
                </c:pt>
                <c:pt idx="243">
                  <c:v>0.01033</c:v>
                </c:pt>
                <c:pt idx="244">
                  <c:v>0.01027</c:v>
                </c:pt>
                <c:pt idx="245">
                  <c:v>0.01021</c:v>
                </c:pt>
                <c:pt idx="246">
                  <c:v>0.01016</c:v>
                </c:pt>
                <c:pt idx="247">
                  <c:v>0.0101</c:v>
                </c:pt>
                <c:pt idx="248">
                  <c:v>0.01005</c:v>
                </c:pt>
                <c:pt idx="249">
                  <c:v>0.009993</c:v>
                </c:pt>
                <c:pt idx="250">
                  <c:v>0.009939</c:v>
                </c:pt>
                <c:pt idx="251">
                  <c:v>0.009885</c:v>
                </c:pt>
                <c:pt idx="252">
                  <c:v>0.009832</c:v>
                </c:pt>
                <c:pt idx="253">
                  <c:v>0.009779</c:v>
                </c:pt>
                <c:pt idx="254">
                  <c:v>0.009727</c:v>
                </c:pt>
                <c:pt idx="255">
                  <c:v>0.009675</c:v>
                </c:pt>
                <c:pt idx="256">
                  <c:v>0.009622</c:v>
                </c:pt>
                <c:pt idx="257">
                  <c:v>0.00957</c:v>
                </c:pt>
                <c:pt idx="258">
                  <c:v>0.009518</c:v>
                </c:pt>
                <c:pt idx="259">
                  <c:v>0.009467</c:v>
                </c:pt>
                <c:pt idx="260">
                  <c:v>0.009416</c:v>
                </c:pt>
                <c:pt idx="261">
                  <c:v>0.009363</c:v>
                </c:pt>
                <c:pt idx="262">
                  <c:v>0.009311</c:v>
                </c:pt>
                <c:pt idx="263">
                  <c:v>0.009259</c:v>
                </c:pt>
                <c:pt idx="264">
                  <c:v>0.009206</c:v>
                </c:pt>
                <c:pt idx="265">
                  <c:v>0.009155</c:v>
                </c:pt>
                <c:pt idx="266">
                  <c:v>0.009104</c:v>
                </c:pt>
                <c:pt idx="267">
                  <c:v>0.009054</c:v>
                </c:pt>
                <c:pt idx="268">
                  <c:v>0.009004</c:v>
                </c:pt>
                <c:pt idx="269">
                  <c:v>0.008953</c:v>
                </c:pt>
                <c:pt idx="270">
                  <c:v>0.008902</c:v>
                </c:pt>
                <c:pt idx="271">
                  <c:v>0.008851</c:v>
                </c:pt>
                <c:pt idx="272">
                  <c:v>0.008801</c:v>
                </c:pt>
                <c:pt idx="273">
                  <c:v>0.00875</c:v>
                </c:pt>
                <c:pt idx="274">
                  <c:v>0.0087</c:v>
                </c:pt>
                <c:pt idx="275">
                  <c:v>0.008649</c:v>
                </c:pt>
                <c:pt idx="276">
                  <c:v>0.008597</c:v>
                </c:pt>
                <c:pt idx="277">
                  <c:v>0.008546</c:v>
                </c:pt>
                <c:pt idx="278">
                  <c:v>0.008494</c:v>
                </c:pt>
                <c:pt idx="279">
                  <c:v>0.008442</c:v>
                </c:pt>
                <c:pt idx="280">
                  <c:v>0.008391</c:v>
                </c:pt>
                <c:pt idx="281">
                  <c:v>0.008341</c:v>
                </c:pt>
                <c:pt idx="282">
                  <c:v>0.00829</c:v>
                </c:pt>
                <c:pt idx="283">
                  <c:v>0.008241</c:v>
                </c:pt>
                <c:pt idx="284">
                  <c:v>0.008192</c:v>
                </c:pt>
                <c:pt idx="285">
                  <c:v>0.008143</c:v>
                </c:pt>
                <c:pt idx="286">
                  <c:v>0.008094</c:v>
                </c:pt>
                <c:pt idx="287">
                  <c:v>0.008046</c:v>
                </c:pt>
                <c:pt idx="288">
                  <c:v>0.007999</c:v>
                </c:pt>
                <c:pt idx="289">
                  <c:v>0.007952</c:v>
                </c:pt>
                <c:pt idx="290">
                  <c:v>0.007905</c:v>
                </c:pt>
                <c:pt idx="291">
                  <c:v>0.007859</c:v>
                </c:pt>
                <c:pt idx="292">
                  <c:v>0.007813</c:v>
                </c:pt>
                <c:pt idx="293">
                  <c:v>0.007767</c:v>
                </c:pt>
                <c:pt idx="294">
                  <c:v>0.007722</c:v>
                </c:pt>
                <c:pt idx="295">
                  <c:v>0.007678</c:v>
                </c:pt>
                <c:pt idx="296">
                  <c:v>0.007633</c:v>
                </c:pt>
                <c:pt idx="297">
                  <c:v>0.00759</c:v>
                </c:pt>
                <c:pt idx="298">
                  <c:v>0.007546</c:v>
                </c:pt>
                <c:pt idx="299">
                  <c:v>0.007503</c:v>
                </c:pt>
                <c:pt idx="300">
                  <c:v>0.007461</c:v>
                </c:pt>
                <c:pt idx="301">
                  <c:v>0.007418</c:v>
                </c:pt>
                <c:pt idx="302">
                  <c:v>0.007377</c:v>
                </c:pt>
                <c:pt idx="303">
                  <c:v>0.007335</c:v>
                </c:pt>
                <c:pt idx="304">
                  <c:v>0.007294</c:v>
                </c:pt>
                <c:pt idx="305">
                  <c:v>0.007254</c:v>
                </c:pt>
                <c:pt idx="306">
                  <c:v>0.007213</c:v>
                </c:pt>
                <c:pt idx="307">
                  <c:v>0.007173</c:v>
                </c:pt>
                <c:pt idx="308">
                  <c:v>0.007134</c:v>
                </c:pt>
                <c:pt idx="309">
                  <c:v>0.007094</c:v>
                </c:pt>
                <c:pt idx="310">
                  <c:v>0.007056</c:v>
                </c:pt>
                <c:pt idx="311">
                  <c:v>0.007017</c:v>
                </c:pt>
                <c:pt idx="312">
                  <c:v>0.006979</c:v>
                </c:pt>
                <c:pt idx="313">
                  <c:v>0.006941</c:v>
                </c:pt>
                <c:pt idx="314">
                  <c:v>0.006904</c:v>
                </c:pt>
                <c:pt idx="315">
                  <c:v>0.006867</c:v>
                </c:pt>
                <c:pt idx="316">
                  <c:v>0.00683</c:v>
                </c:pt>
                <c:pt idx="317">
                  <c:v>0.006793</c:v>
                </c:pt>
                <c:pt idx="318">
                  <c:v>0.006756</c:v>
                </c:pt>
                <c:pt idx="319">
                  <c:v>0.00672</c:v>
                </c:pt>
                <c:pt idx="320">
                  <c:v>0.006684</c:v>
                </c:pt>
                <c:pt idx="321">
                  <c:v>0.006648</c:v>
                </c:pt>
                <c:pt idx="322">
                  <c:v>0.006613</c:v>
                </c:pt>
                <c:pt idx="323">
                  <c:v>0.006577</c:v>
                </c:pt>
                <c:pt idx="324">
                  <c:v>0.006541</c:v>
                </c:pt>
                <c:pt idx="325">
                  <c:v>0.006506</c:v>
                </c:pt>
                <c:pt idx="326">
                  <c:v>0.00647</c:v>
                </c:pt>
              </c:numCache>
            </c:numRef>
          </c:xVal>
          <c:yVal>
            <c:numRef>
              <c:f>'[1]28DB1- in1'!$H$5:$H$331</c:f>
              <c:numCache>
                <c:formatCode>0.00E+00</c:formatCode>
                <c:ptCount val="327"/>
                <c:pt idx="0">
                  <c:v>0.01156</c:v>
                </c:pt>
                <c:pt idx="1">
                  <c:v>0.01091</c:v>
                </c:pt>
                <c:pt idx="2">
                  <c:v>0.009548</c:v>
                </c:pt>
                <c:pt idx="3">
                  <c:v>0.008487</c:v>
                </c:pt>
                <c:pt idx="4">
                  <c:v>0.007639</c:v>
                </c:pt>
                <c:pt idx="5">
                  <c:v>0.006944</c:v>
                </c:pt>
                <c:pt idx="6">
                  <c:v>0.006944</c:v>
                </c:pt>
                <c:pt idx="7">
                  <c:v>0.002351</c:v>
                </c:pt>
                <c:pt idx="8">
                  <c:v>0.001433</c:v>
                </c:pt>
                <c:pt idx="9">
                  <c:v>0.001014</c:v>
                </c:pt>
                <c:pt idx="10">
                  <c:v>0.0007854</c:v>
                </c:pt>
                <c:pt idx="11">
                  <c:v>0.0006404</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0.0</c:v>
                </c:pt>
                <c:pt idx="45">
                  <c:v>0.0</c:v>
                </c:pt>
                <c:pt idx="46">
                  <c:v>0.0</c:v>
                </c:pt>
                <c:pt idx="47">
                  <c:v>0.0</c:v>
                </c:pt>
                <c:pt idx="48">
                  <c:v>0.0</c:v>
                </c:pt>
                <c:pt idx="49">
                  <c:v>0.0</c:v>
                </c:pt>
                <c:pt idx="50">
                  <c:v>0.0</c:v>
                </c:pt>
                <c:pt idx="51">
                  <c:v>0.0</c:v>
                </c:pt>
                <c:pt idx="52">
                  <c:v>0.0</c:v>
                </c:pt>
                <c:pt idx="53">
                  <c:v>0.0</c:v>
                </c:pt>
                <c:pt idx="54">
                  <c:v>0.0</c:v>
                </c:pt>
                <c:pt idx="55">
                  <c:v>0.0</c:v>
                </c:pt>
                <c:pt idx="56">
                  <c:v>0.0</c:v>
                </c:pt>
                <c:pt idx="57">
                  <c:v>0.0</c:v>
                </c:pt>
                <c:pt idx="58">
                  <c:v>0.0</c:v>
                </c:pt>
                <c:pt idx="59">
                  <c:v>0.0</c:v>
                </c:pt>
                <c:pt idx="60">
                  <c:v>0.0</c:v>
                </c:pt>
                <c:pt idx="61">
                  <c:v>0.0</c:v>
                </c:pt>
                <c:pt idx="62">
                  <c:v>0.0</c:v>
                </c:pt>
                <c:pt idx="63">
                  <c:v>0.0</c:v>
                </c:pt>
                <c:pt idx="64">
                  <c:v>0.0</c:v>
                </c:pt>
                <c:pt idx="65">
                  <c:v>0.0</c:v>
                </c:pt>
                <c:pt idx="66">
                  <c:v>0.0</c:v>
                </c:pt>
                <c:pt idx="67">
                  <c:v>0.0</c:v>
                </c:pt>
                <c:pt idx="68">
                  <c:v>0.0</c:v>
                </c:pt>
                <c:pt idx="69">
                  <c:v>0.0</c:v>
                </c:pt>
                <c:pt idx="70">
                  <c:v>0.0</c:v>
                </c:pt>
                <c:pt idx="71">
                  <c:v>0.0</c:v>
                </c:pt>
                <c:pt idx="72">
                  <c:v>0.0</c:v>
                </c:pt>
                <c:pt idx="73">
                  <c:v>0.0</c:v>
                </c:pt>
                <c:pt idx="74">
                  <c:v>0.0</c:v>
                </c:pt>
                <c:pt idx="75">
                  <c:v>0.0</c:v>
                </c:pt>
                <c:pt idx="76">
                  <c:v>0.0</c:v>
                </c:pt>
                <c:pt idx="77">
                  <c:v>0.0</c:v>
                </c:pt>
                <c:pt idx="78">
                  <c:v>0.0</c:v>
                </c:pt>
                <c:pt idx="79">
                  <c:v>0.0</c:v>
                </c:pt>
                <c:pt idx="80">
                  <c:v>0.0</c:v>
                </c:pt>
                <c:pt idx="81">
                  <c:v>0.0</c:v>
                </c:pt>
                <c:pt idx="82">
                  <c:v>0.0</c:v>
                </c:pt>
                <c:pt idx="83">
                  <c:v>0.0</c:v>
                </c:pt>
                <c:pt idx="84">
                  <c:v>0.0</c:v>
                </c:pt>
                <c:pt idx="85">
                  <c:v>0.0</c:v>
                </c:pt>
                <c:pt idx="86">
                  <c:v>0.0</c:v>
                </c:pt>
                <c:pt idx="87">
                  <c:v>0.0</c:v>
                </c:pt>
                <c:pt idx="88">
                  <c:v>0.0</c:v>
                </c:pt>
                <c:pt idx="89">
                  <c:v>0.0008455</c:v>
                </c:pt>
                <c:pt idx="90">
                  <c:v>0.00212</c:v>
                </c:pt>
                <c:pt idx="91">
                  <c:v>0.003418</c:v>
                </c:pt>
                <c:pt idx="92">
                  <c:v>0.006016</c:v>
                </c:pt>
                <c:pt idx="93">
                  <c:v>0.008709</c:v>
                </c:pt>
                <c:pt idx="94">
                  <c:v>0.0115</c:v>
                </c:pt>
                <c:pt idx="95">
                  <c:v>0.01489</c:v>
                </c:pt>
                <c:pt idx="96">
                  <c:v>0.01841</c:v>
                </c:pt>
                <c:pt idx="97">
                  <c:v>0.0225</c:v>
                </c:pt>
                <c:pt idx="98">
                  <c:v>0.02664</c:v>
                </c:pt>
                <c:pt idx="99">
                  <c:v>0.03083</c:v>
                </c:pt>
                <c:pt idx="100">
                  <c:v>0.03435</c:v>
                </c:pt>
                <c:pt idx="101">
                  <c:v>0.03704</c:v>
                </c:pt>
                <c:pt idx="102">
                  <c:v>0.0409</c:v>
                </c:pt>
                <c:pt idx="103">
                  <c:v>0.04186</c:v>
                </c:pt>
                <c:pt idx="104">
                  <c:v>0.0434</c:v>
                </c:pt>
                <c:pt idx="105">
                  <c:v>0.04488</c:v>
                </c:pt>
                <c:pt idx="106">
                  <c:v>0.04647</c:v>
                </c:pt>
                <c:pt idx="107">
                  <c:v>0.04794</c:v>
                </c:pt>
                <c:pt idx="108">
                  <c:v>0.0483</c:v>
                </c:pt>
                <c:pt idx="109">
                  <c:v>0.05059</c:v>
                </c:pt>
                <c:pt idx="110">
                  <c:v>0.05306</c:v>
                </c:pt>
                <c:pt idx="111">
                  <c:v>0.0561</c:v>
                </c:pt>
                <c:pt idx="112">
                  <c:v>0.0596</c:v>
                </c:pt>
                <c:pt idx="113">
                  <c:v>0.06127</c:v>
                </c:pt>
                <c:pt idx="114">
                  <c:v>0.06537</c:v>
                </c:pt>
                <c:pt idx="115">
                  <c:v>0.06818</c:v>
                </c:pt>
                <c:pt idx="116">
                  <c:v>0.07102</c:v>
                </c:pt>
                <c:pt idx="117">
                  <c:v>0.07395</c:v>
                </c:pt>
                <c:pt idx="118">
                  <c:v>0.07769</c:v>
                </c:pt>
                <c:pt idx="119">
                  <c:v>0.08273</c:v>
                </c:pt>
                <c:pt idx="120">
                  <c:v>0.08369</c:v>
                </c:pt>
                <c:pt idx="121">
                  <c:v>0.08677</c:v>
                </c:pt>
                <c:pt idx="122">
                  <c:v>0.08895</c:v>
                </c:pt>
                <c:pt idx="123">
                  <c:v>0.09118</c:v>
                </c:pt>
                <c:pt idx="124">
                  <c:v>0.09496</c:v>
                </c:pt>
                <c:pt idx="125">
                  <c:v>0.09879</c:v>
                </c:pt>
                <c:pt idx="126">
                  <c:v>0.1046</c:v>
                </c:pt>
                <c:pt idx="127">
                  <c:v>0.1104</c:v>
                </c:pt>
                <c:pt idx="128">
                  <c:v>0.1148</c:v>
                </c:pt>
                <c:pt idx="129">
                  <c:v>0.1197</c:v>
                </c:pt>
                <c:pt idx="130">
                  <c:v>0.1245</c:v>
                </c:pt>
                <c:pt idx="131">
                  <c:v>0.1335</c:v>
                </c:pt>
                <c:pt idx="132">
                  <c:v>0.1379</c:v>
                </c:pt>
                <c:pt idx="133">
                  <c:v>0.1417</c:v>
                </c:pt>
                <c:pt idx="134">
                  <c:v>0.1458</c:v>
                </c:pt>
                <c:pt idx="135">
                  <c:v>0.1491</c:v>
                </c:pt>
                <c:pt idx="136">
                  <c:v>0.1497</c:v>
                </c:pt>
                <c:pt idx="137">
                  <c:v>0.1495</c:v>
                </c:pt>
                <c:pt idx="138">
                  <c:v>0.1507</c:v>
                </c:pt>
                <c:pt idx="139">
                  <c:v>0.1524</c:v>
                </c:pt>
                <c:pt idx="140">
                  <c:v>0.1516</c:v>
                </c:pt>
                <c:pt idx="141">
                  <c:v>0.1522</c:v>
                </c:pt>
                <c:pt idx="142">
                  <c:v>0.1502</c:v>
                </c:pt>
                <c:pt idx="143">
                  <c:v>0.1532</c:v>
                </c:pt>
                <c:pt idx="144">
                  <c:v>0.1583</c:v>
                </c:pt>
                <c:pt idx="145">
                  <c:v>0.1663</c:v>
                </c:pt>
                <c:pt idx="146">
                  <c:v>0.1749</c:v>
                </c:pt>
                <c:pt idx="147">
                  <c:v>0.1885</c:v>
                </c:pt>
                <c:pt idx="148">
                  <c:v>0.2032</c:v>
                </c:pt>
                <c:pt idx="149">
                  <c:v>0.2206</c:v>
                </c:pt>
                <c:pt idx="150">
                  <c:v>0.241</c:v>
                </c:pt>
                <c:pt idx="151">
                  <c:v>0.2662</c:v>
                </c:pt>
                <c:pt idx="152">
                  <c:v>0.289</c:v>
                </c:pt>
                <c:pt idx="153">
                  <c:v>0.3138</c:v>
                </c:pt>
                <c:pt idx="154">
                  <c:v>0.3384</c:v>
                </c:pt>
                <c:pt idx="155">
                  <c:v>0.3641</c:v>
                </c:pt>
                <c:pt idx="156">
                  <c:v>0.3892</c:v>
                </c:pt>
                <c:pt idx="157">
                  <c:v>0.4159</c:v>
                </c:pt>
                <c:pt idx="158">
                  <c:v>0.4414</c:v>
                </c:pt>
                <c:pt idx="159">
                  <c:v>0.4671</c:v>
                </c:pt>
                <c:pt idx="160">
                  <c:v>0.4876</c:v>
                </c:pt>
                <c:pt idx="161">
                  <c:v>0.5057</c:v>
                </c:pt>
                <c:pt idx="162">
                  <c:v>0.5167</c:v>
                </c:pt>
                <c:pt idx="163">
                  <c:v>0.5277</c:v>
                </c:pt>
                <c:pt idx="164">
                  <c:v>0.536</c:v>
                </c:pt>
                <c:pt idx="165">
                  <c:v>0.539</c:v>
                </c:pt>
                <c:pt idx="166">
                  <c:v>0.5368</c:v>
                </c:pt>
                <c:pt idx="167">
                  <c:v>0.5283</c:v>
                </c:pt>
                <c:pt idx="168">
                  <c:v>0.5154</c:v>
                </c:pt>
                <c:pt idx="169">
                  <c:v>0.4983</c:v>
                </c:pt>
                <c:pt idx="170">
                  <c:v>0.4757</c:v>
                </c:pt>
                <c:pt idx="171">
                  <c:v>0.4509</c:v>
                </c:pt>
                <c:pt idx="172">
                  <c:v>0.4241</c:v>
                </c:pt>
                <c:pt idx="173">
                  <c:v>0.401</c:v>
                </c:pt>
                <c:pt idx="174">
                  <c:v>0.3776</c:v>
                </c:pt>
                <c:pt idx="175">
                  <c:v>0.3539</c:v>
                </c:pt>
                <c:pt idx="176">
                  <c:v>0.3323</c:v>
                </c:pt>
                <c:pt idx="177">
                  <c:v>0.3127</c:v>
                </c:pt>
                <c:pt idx="178">
                  <c:v>0.2943</c:v>
                </c:pt>
                <c:pt idx="179">
                  <c:v>0.277</c:v>
                </c:pt>
                <c:pt idx="180">
                  <c:v>0.2612</c:v>
                </c:pt>
                <c:pt idx="181">
                  <c:v>0.2498</c:v>
                </c:pt>
                <c:pt idx="182">
                  <c:v>0.2422</c:v>
                </c:pt>
                <c:pt idx="183">
                  <c:v>0.2353</c:v>
                </c:pt>
                <c:pt idx="184">
                  <c:v>0.2272</c:v>
                </c:pt>
                <c:pt idx="185">
                  <c:v>0.2204</c:v>
                </c:pt>
                <c:pt idx="186">
                  <c:v>0.2169</c:v>
                </c:pt>
                <c:pt idx="187">
                  <c:v>0.2139</c:v>
                </c:pt>
                <c:pt idx="188">
                  <c:v>0.2124</c:v>
                </c:pt>
                <c:pt idx="189">
                  <c:v>0.2131</c:v>
                </c:pt>
                <c:pt idx="190">
                  <c:v>0.2138</c:v>
                </c:pt>
                <c:pt idx="191">
                  <c:v>0.216</c:v>
                </c:pt>
                <c:pt idx="192">
                  <c:v>0.2167</c:v>
                </c:pt>
                <c:pt idx="193">
                  <c:v>0.2136</c:v>
                </c:pt>
                <c:pt idx="194">
                  <c:v>0.2088</c:v>
                </c:pt>
                <c:pt idx="195">
                  <c:v>0.2051</c:v>
                </c:pt>
                <c:pt idx="196">
                  <c:v>0.2004</c:v>
                </c:pt>
                <c:pt idx="197">
                  <c:v>0.1924</c:v>
                </c:pt>
                <c:pt idx="198">
                  <c:v>0.1827</c:v>
                </c:pt>
                <c:pt idx="199">
                  <c:v>0.1736</c:v>
                </c:pt>
                <c:pt idx="200">
                  <c:v>0.1641</c:v>
                </c:pt>
                <c:pt idx="201">
                  <c:v>0.1583</c:v>
                </c:pt>
                <c:pt idx="202">
                  <c:v>0.1491</c:v>
                </c:pt>
                <c:pt idx="203">
                  <c:v>0.1394</c:v>
                </c:pt>
                <c:pt idx="204">
                  <c:v>0.1334</c:v>
                </c:pt>
                <c:pt idx="205">
                  <c:v>0.1299</c:v>
                </c:pt>
                <c:pt idx="206">
                  <c:v>0.1295</c:v>
                </c:pt>
                <c:pt idx="207">
                  <c:v>0.1264</c:v>
                </c:pt>
                <c:pt idx="208">
                  <c:v>0.1265</c:v>
                </c:pt>
                <c:pt idx="209">
                  <c:v>0.1284</c:v>
                </c:pt>
                <c:pt idx="210">
                  <c:v>0.1244</c:v>
                </c:pt>
                <c:pt idx="211">
                  <c:v>0.121</c:v>
                </c:pt>
                <c:pt idx="212">
                  <c:v>0.1148</c:v>
                </c:pt>
                <c:pt idx="213">
                  <c:v>0.1113</c:v>
                </c:pt>
                <c:pt idx="214">
                  <c:v>0.1125</c:v>
                </c:pt>
                <c:pt idx="215">
                  <c:v>0.1145</c:v>
                </c:pt>
                <c:pt idx="216">
                  <c:v>0.1197</c:v>
                </c:pt>
                <c:pt idx="217">
                  <c:v>0.1187</c:v>
                </c:pt>
                <c:pt idx="218">
                  <c:v>0.1207</c:v>
                </c:pt>
                <c:pt idx="219">
                  <c:v>0.1229</c:v>
                </c:pt>
                <c:pt idx="220">
                  <c:v>0.1267</c:v>
                </c:pt>
                <c:pt idx="221">
                  <c:v>0.1351</c:v>
                </c:pt>
                <c:pt idx="222">
                  <c:v>0.1435</c:v>
                </c:pt>
                <c:pt idx="223">
                  <c:v>0.152</c:v>
                </c:pt>
                <c:pt idx="224">
                  <c:v>0.1605</c:v>
                </c:pt>
                <c:pt idx="225">
                  <c:v>0.1626</c:v>
                </c:pt>
                <c:pt idx="226">
                  <c:v>0.1648</c:v>
                </c:pt>
                <c:pt idx="227">
                  <c:v>0.1622</c:v>
                </c:pt>
                <c:pt idx="228">
                  <c:v>0.1628</c:v>
                </c:pt>
                <c:pt idx="229">
                  <c:v>0.1634</c:v>
                </c:pt>
                <c:pt idx="230">
                  <c:v>0.1623</c:v>
                </c:pt>
                <c:pt idx="231">
                  <c:v>0.1579</c:v>
                </c:pt>
                <c:pt idx="232">
                  <c:v>0.1536</c:v>
                </c:pt>
                <c:pt idx="233">
                  <c:v>0.1527</c:v>
                </c:pt>
                <c:pt idx="234">
                  <c:v>0.1483</c:v>
                </c:pt>
                <c:pt idx="235">
                  <c:v>0.1456</c:v>
                </c:pt>
                <c:pt idx="236">
                  <c:v>0.1463</c:v>
                </c:pt>
                <c:pt idx="237">
                  <c:v>0.1453</c:v>
                </c:pt>
                <c:pt idx="238">
                  <c:v>0.1441</c:v>
                </c:pt>
                <c:pt idx="239">
                  <c:v>0.1465</c:v>
                </c:pt>
                <c:pt idx="240">
                  <c:v>0.1488</c:v>
                </c:pt>
                <c:pt idx="241">
                  <c:v>0.1493</c:v>
                </c:pt>
                <c:pt idx="242">
                  <c:v>0.1516</c:v>
                </c:pt>
                <c:pt idx="243">
                  <c:v>0.1591</c:v>
                </c:pt>
                <c:pt idx="244">
                  <c:v>0.1596</c:v>
                </c:pt>
                <c:pt idx="245">
                  <c:v>0.1636</c:v>
                </c:pt>
                <c:pt idx="246">
                  <c:v>0.1641</c:v>
                </c:pt>
                <c:pt idx="247">
                  <c:v>0.1664</c:v>
                </c:pt>
                <c:pt idx="248">
                  <c:v>0.1651</c:v>
                </c:pt>
                <c:pt idx="249">
                  <c:v>0.1656</c:v>
                </c:pt>
                <c:pt idx="250">
                  <c:v>0.1589</c:v>
                </c:pt>
                <c:pt idx="251">
                  <c:v>0.1538</c:v>
                </c:pt>
                <c:pt idx="252">
                  <c:v>0.1487</c:v>
                </c:pt>
                <c:pt idx="253">
                  <c:v>0.1435</c:v>
                </c:pt>
                <c:pt idx="254">
                  <c:v>0.1278</c:v>
                </c:pt>
                <c:pt idx="255">
                  <c:v>0.119</c:v>
                </c:pt>
                <c:pt idx="256">
                  <c:v>0.11</c:v>
                </c:pt>
                <c:pt idx="257">
                  <c:v>0.1027</c:v>
                </c:pt>
                <c:pt idx="258">
                  <c:v>0.09518</c:v>
                </c:pt>
                <c:pt idx="259">
                  <c:v>0.09115</c:v>
                </c:pt>
                <c:pt idx="260">
                  <c:v>0.0889</c:v>
                </c:pt>
                <c:pt idx="261">
                  <c:v>0.09027</c:v>
                </c:pt>
                <c:pt idx="262">
                  <c:v>0.09551</c:v>
                </c:pt>
                <c:pt idx="263">
                  <c:v>0.104</c:v>
                </c:pt>
                <c:pt idx="264">
                  <c:v>0.1121</c:v>
                </c:pt>
                <c:pt idx="265">
                  <c:v>0.1253</c:v>
                </c:pt>
                <c:pt idx="266">
                  <c:v>0.1317</c:v>
                </c:pt>
                <c:pt idx="267">
                  <c:v>0.1383</c:v>
                </c:pt>
                <c:pt idx="268">
                  <c:v>0.1446</c:v>
                </c:pt>
                <c:pt idx="269">
                  <c:v>0.1461</c:v>
                </c:pt>
                <c:pt idx="270">
                  <c:v>0.1475</c:v>
                </c:pt>
                <c:pt idx="271">
                  <c:v>0.1453</c:v>
                </c:pt>
                <c:pt idx="272">
                  <c:v>0.143</c:v>
                </c:pt>
                <c:pt idx="273">
                  <c:v>0.1287</c:v>
                </c:pt>
                <c:pt idx="274">
                  <c:v>0.1114</c:v>
                </c:pt>
                <c:pt idx="275">
                  <c:v>0.09443</c:v>
                </c:pt>
                <c:pt idx="276">
                  <c:v>0.08083</c:v>
                </c:pt>
                <c:pt idx="277">
                  <c:v>0.07058</c:v>
                </c:pt>
                <c:pt idx="278">
                  <c:v>0.06029</c:v>
                </c:pt>
                <c:pt idx="279">
                  <c:v>0.05025</c:v>
                </c:pt>
                <c:pt idx="280">
                  <c:v>0.04669</c:v>
                </c:pt>
                <c:pt idx="281">
                  <c:v>0.04327</c:v>
                </c:pt>
                <c:pt idx="282">
                  <c:v>0.04164</c:v>
                </c:pt>
                <c:pt idx="283">
                  <c:v>0.04014</c:v>
                </c:pt>
                <c:pt idx="284">
                  <c:v>0.04507</c:v>
                </c:pt>
                <c:pt idx="285">
                  <c:v>0.05161</c:v>
                </c:pt>
                <c:pt idx="286">
                  <c:v>0.05816</c:v>
                </c:pt>
                <c:pt idx="287">
                  <c:v>0.05827</c:v>
                </c:pt>
                <c:pt idx="288">
                  <c:v>0.05839</c:v>
                </c:pt>
                <c:pt idx="289">
                  <c:v>0.06015</c:v>
                </c:pt>
                <c:pt idx="290">
                  <c:v>0.06192</c:v>
                </c:pt>
                <c:pt idx="291">
                  <c:v>0.05716</c:v>
                </c:pt>
                <c:pt idx="292">
                  <c:v>0.05238</c:v>
                </c:pt>
                <c:pt idx="293">
                  <c:v>0.04759</c:v>
                </c:pt>
                <c:pt idx="294">
                  <c:v>0.04613</c:v>
                </c:pt>
                <c:pt idx="295">
                  <c:v>0.04468</c:v>
                </c:pt>
                <c:pt idx="296">
                  <c:v>0.04323</c:v>
                </c:pt>
                <c:pt idx="297">
                  <c:v>0.04177</c:v>
                </c:pt>
                <c:pt idx="298">
                  <c:v>0.04362</c:v>
                </c:pt>
                <c:pt idx="299">
                  <c:v>0.04546</c:v>
                </c:pt>
                <c:pt idx="300">
                  <c:v>0.04738</c:v>
                </c:pt>
                <c:pt idx="301">
                  <c:v>0.05102</c:v>
                </c:pt>
                <c:pt idx="302">
                  <c:v>0.05803</c:v>
                </c:pt>
                <c:pt idx="303">
                  <c:v>0.06507</c:v>
                </c:pt>
                <c:pt idx="304">
                  <c:v>0.07212</c:v>
                </c:pt>
                <c:pt idx="305">
                  <c:v>0.07233</c:v>
                </c:pt>
                <c:pt idx="306">
                  <c:v>0.07255</c:v>
                </c:pt>
                <c:pt idx="307">
                  <c:v>0.07628</c:v>
                </c:pt>
                <c:pt idx="308">
                  <c:v>0.08006</c:v>
                </c:pt>
                <c:pt idx="309">
                  <c:v>0.08383</c:v>
                </c:pt>
                <c:pt idx="310">
                  <c:v>0.0876</c:v>
                </c:pt>
                <c:pt idx="311">
                  <c:v>0.08612</c:v>
                </c:pt>
                <c:pt idx="312">
                  <c:v>0.08104</c:v>
                </c:pt>
                <c:pt idx="313">
                  <c:v>0.07947</c:v>
                </c:pt>
                <c:pt idx="314">
                  <c:v>0.07789</c:v>
                </c:pt>
                <c:pt idx="315">
                  <c:v>0.07635</c:v>
                </c:pt>
                <c:pt idx="316">
                  <c:v>0.07823</c:v>
                </c:pt>
                <c:pt idx="317">
                  <c:v>0.07975</c:v>
                </c:pt>
                <c:pt idx="318">
                  <c:v>0.07589</c:v>
                </c:pt>
                <c:pt idx="319">
                  <c:v>0.07579</c:v>
                </c:pt>
                <c:pt idx="320">
                  <c:v>0.07488</c:v>
                </c:pt>
                <c:pt idx="321">
                  <c:v>0.06597</c:v>
                </c:pt>
                <c:pt idx="322">
                  <c:v>0.06664</c:v>
                </c:pt>
                <c:pt idx="323">
                  <c:v>0.06971</c:v>
                </c:pt>
                <c:pt idx="324">
                  <c:v>0.06865</c:v>
                </c:pt>
                <c:pt idx="325">
                  <c:v>0.06728</c:v>
                </c:pt>
                <c:pt idx="326">
                  <c:v>0.06535</c:v>
                </c:pt>
              </c:numCache>
            </c:numRef>
          </c:yVal>
          <c:smooth val="0"/>
        </c:ser>
        <c:ser>
          <c:idx val="2"/>
          <c:order val="1"/>
          <c:tx>
            <c:v>28DB2</c:v>
          </c:tx>
          <c:spPr>
            <a:ln w="28575" cmpd="sng">
              <a:solidFill>
                <a:srgbClr val="0000FF"/>
              </a:solidFill>
            </a:ln>
          </c:spPr>
          <c:marker>
            <c:symbol val="none"/>
          </c:marker>
          <c:xVal>
            <c:numRef>
              <c:f>'[1]28DB2- in1'!$C$5:$C$332</c:f>
              <c:numCache>
                <c:formatCode>General</c:formatCode>
                <c:ptCount val="328"/>
                <c:pt idx="0">
                  <c:v>10.63</c:v>
                </c:pt>
                <c:pt idx="1">
                  <c:v>10.29</c:v>
                </c:pt>
                <c:pt idx="2">
                  <c:v>9.963</c:v>
                </c:pt>
                <c:pt idx="3">
                  <c:v>9.681</c:v>
                </c:pt>
                <c:pt idx="4">
                  <c:v>9.397</c:v>
                </c:pt>
                <c:pt idx="5">
                  <c:v>9.119</c:v>
                </c:pt>
                <c:pt idx="6">
                  <c:v>8.85</c:v>
                </c:pt>
                <c:pt idx="7">
                  <c:v>8.586</c:v>
                </c:pt>
                <c:pt idx="8">
                  <c:v>8.315</c:v>
                </c:pt>
                <c:pt idx="9">
                  <c:v>8.046</c:v>
                </c:pt>
                <c:pt idx="10">
                  <c:v>7.777</c:v>
                </c:pt>
                <c:pt idx="11">
                  <c:v>7.503</c:v>
                </c:pt>
                <c:pt idx="12">
                  <c:v>7.225</c:v>
                </c:pt>
                <c:pt idx="13">
                  <c:v>6.944</c:v>
                </c:pt>
                <c:pt idx="14">
                  <c:v>6.660999999999998</c:v>
                </c:pt>
                <c:pt idx="15">
                  <c:v>6.373</c:v>
                </c:pt>
                <c:pt idx="16">
                  <c:v>6.082</c:v>
                </c:pt>
                <c:pt idx="17">
                  <c:v>5.788</c:v>
                </c:pt>
                <c:pt idx="18">
                  <c:v>5.49</c:v>
                </c:pt>
                <c:pt idx="19">
                  <c:v>5.193999999999999</c:v>
                </c:pt>
                <c:pt idx="20">
                  <c:v>4.893999999999999</c:v>
                </c:pt>
                <c:pt idx="21">
                  <c:v>4.593</c:v>
                </c:pt>
                <c:pt idx="22">
                  <c:v>4.29</c:v>
                </c:pt>
                <c:pt idx="23">
                  <c:v>3.986</c:v>
                </c:pt>
                <c:pt idx="24">
                  <c:v>3.684</c:v>
                </c:pt>
                <c:pt idx="25">
                  <c:v>3.385</c:v>
                </c:pt>
                <c:pt idx="26">
                  <c:v>3.09</c:v>
                </c:pt>
                <c:pt idx="27">
                  <c:v>2.804</c:v>
                </c:pt>
                <c:pt idx="28">
                  <c:v>2.529</c:v>
                </c:pt>
                <c:pt idx="29">
                  <c:v>2.266</c:v>
                </c:pt>
                <c:pt idx="30">
                  <c:v>2.018</c:v>
                </c:pt>
                <c:pt idx="31">
                  <c:v>1.788</c:v>
                </c:pt>
                <c:pt idx="32">
                  <c:v>1.578</c:v>
                </c:pt>
                <c:pt idx="33">
                  <c:v>1.389</c:v>
                </c:pt>
                <c:pt idx="34">
                  <c:v>1.221</c:v>
                </c:pt>
                <c:pt idx="35">
                  <c:v>1.073</c:v>
                </c:pt>
                <c:pt idx="36">
                  <c:v>0.9457</c:v>
                </c:pt>
                <c:pt idx="37">
                  <c:v>0.8358</c:v>
                </c:pt>
                <c:pt idx="38">
                  <c:v>0.7418</c:v>
                </c:pt>
                <c:pt idx="39">
                  <c:v>0.6616</c:v>
                </c:pt>
                <c:pt idx="40">
                  <c:v>0.5931</c:v>
                </c:pt>
                <c:pt idx="41">
                  <c:v>0.5346</c:v>
                </c:pt>
                <c:pt idx="42">
                  <c:v>0.4845</c:v>
                </c:pt>
                <c:pt idx="43">
                  <c:v>0.4415</c:v>
                </c:pt>
                <c:pt idx="44">
                  <c:v>0.4045</c:v>
                </c:pt>
                <c:pt idx="45">
                  <c:v>0.3724</c:v>
                </c:pt>
                <c:pt idx="46">
                  <c:v>0.3446</c:v>
                </c:pt>
                <c:pt idx="47">
                  <c:v>0.3202</c:v>
                </c:pt>
                <c:pt idx="48">
                  <c:v>0.2987</c:v>
                </c:pt>
                <c:pt idx="49">
                  <c:v>0.2796</c:v>
                </c:pt>
                <c:pt idx="50">
                  <c:v>0.2626</c:v>
                </c:pt>
                <c:pt idx="51">
                  <c:v>0.2473</c:v>
                </c:pt>
                <c:pt idx="52">
                  <c:v>0.2335</c:v>
                </c:pt>
                <c:pt idx="53">
                  <c:v>0.2208</c:v>
                </c:pt>
                <c:pt idx="54">
                  <c:v>0.2093</c:v>
                </c:pt>
                <c:pt idx="55">
                  <c:v>0.1988</c:v>
                </c:pt>
                <c:pt idx="56">
                  <c:v>0.1891</c:v>
                </c:pt>
                <c:pt idx="57">
                  <c:v>0.1802</c:v>
                </c:pt>
                <c:pt idx="58">
                  <c:v>0.1718</c:v>
                </c:pt>
                <c:pt idx="59">
                  <c:v>0.164</c:v>
                </c:pt>
                <c:pt idx="60">
                  <c:v>0.1568</c:v>
                </c:pt>
                <c:pt idx="61">
                  <c:v>0.1501</c:v>
                </c:pt>
                <c:pt idx="62">
                  <c:v>0.1437</c:v>
                </c:pt>
                <c:pt idx="63">
                  <c:v>0.1378</c:v>
                </c:pt>
                <c:pt idx="64">
                  <c:v>0.1323</c:v>
                </c:pt>
                <c:pt idx="65">
                  <c:v>0.1271</c:v>
                </c:pt>
                <c:pt idx="66">
                  <c:v>0.1221</c:v>
                </c:pt>
                <c:pt idx="67">
                  <c:v>0.1175</c:v>
                </c:pt>
                <c:pt idx="68">
                  <c:v>0.1131</c:v>
                </c:pt>
                <c:pt idx="69">
                  <c:v>0.109</c:v>
                </c:pt>
                <c:pt idx="70">
                  <c:v>0.1052</c:v>
                </c:pt>
                <c:pt idx="71">
                  <c:v>0.1016</c:v>
                </c:pt>
                <c:pt idx="72">
                  <c:v>0.0982</c:v>
                </c:pt>
                <c:pt idx="73">
                  <c:v>0.09503</c:v>
                </c:pt>
                <c:pt idx="74">
                  <c:v>0.09203</c:v>
                </c:pt>
                <c:pt idx="75">
                  <c:v>0.08922</c:v>
                </c:pt>
                <c:pt idx="76">
                  <c:v>0.08656</c:v>
                </c:pt>
                <c:pt idx="77">
                  <c:v>0.08404</c:v>
                </c:pt>
                <c:pt idx="78">
                  <c:v>0.08162</c:v>
                </c:pt>
                <c:pt idx="79">
                  <c:v>0.07927</c:v>
                </c:pt>
                <c:pt idx="80">
                  <c:v>0.07705</c:v>
                </c:pt>
                <c:pt idx="81">
                  <c:v>0.07495</c:v>
                </c:pt>
                <c:pt idx="82">
                  <c:v>0.07295</c:v>
                </c:pt>
                <c:pt idx="83">
                  <c:v>0.07101</c:v>
                </c:pt>
                <c:pt idx="84">
                  <c:v>0.06914</c:v>
                </c:pt>
                <c:pt idx="85">
                  <c:v>0.06731</c:v>
                </c:pt>
                <c:pt idx="86">
                  <c:v>0.06554</c:v>
                </c:pt>
                <c:pt idx="87">
                  <c:v>0.06383</c:v>
                </c:pt>
                <c:pt idx="88">
                  <c:v>0.0622</c:v>
                </c:pt>
                <c:pt idx="89">
                  <c:v>0.06064</c:v>
                </c:pt>
                <c:pt idx="90">
                  <c:v>0.05918</c:v>
                </c:pt>
                <c:pt idx="91">
                  <c:v>0.05779</c:v>
                </c:pt>
                <c:pt idx="92">
                  <c:v>0.05646</c:v>
                </c:pt>
                <c:pt idx="93">
                  <c:v>0.05518</c:v>
                </c:pt>
                <c:pt idx="94">
                  <c:v>0.05399</c:v>
                </c:pt>
                <c:pt idx="95">
                  <c:v>0.05283</c:v>
                </c:pt>
                <c:pt idx="96">
                  <c:v>0.05174</c:v>
                </c:pt>
                <c:pt idx="97">
                  <c:v>0.05072</c:v>
                </c:pt>
                <c:pt idx="98">
                  <c:v>0.04975</c:v>
                </c:pt>
                <c:pt idx="99">
                  <c:v>0.04884</c:v>
                </c:pt>
                <c:pt idx="100">
                  <c:v>0.04797</c:v>
                </c:pt>
                <c:pt idx="101">
                  <c:v>0.04714</c:v>
                </c:pt>
                <c:pt idx="102">
                  <c:v>0.04632</c:v>
                </c:pt>
                <c:pt idx="103">
                  <c:v>0.04554</c:v>
                </c:pt>
                <c:pt idx="104">
                  <c:v>0.04477</c:v>
                </c:pt>
                <c:pt idx="105">
                  <c:v>0.04403</c:v>
                </c:pt>
                <c:pt idx="106">
                  <c:v>0.04333</c:v>
                </c:pt>
                <c:pt idx="107">
                  <c:v>0.04265</c:v>
                </c:pt>
                <c:pt idx="108">
                  <c:v>0.04199</c:v>
                </c:pt>
                <c:pt idx="109">
                  <c:v>0.04135</c:v>
                </c:pt>
                <c:pt idx="110">
                  <c:v>0.04073</c:v>
                </c:pt>
                <c:pt idx="111">
                  <c:v>0.04012</c:v>
                </c:pt>
                <c:pt idx="112">
                  <c:v>0.03952</c:v>
                </c:pt>
                <c:pt idx="113">
                  <c:v>0.03895</c:v>
                </c:pt>
                <c:pt idx="114">
                  <c:v>0.03839</c:v>
                </c:pt>
                <c:pt idx="115">
                  <c:v>0.03784</c:v>
                </c:pt>
                <c:pt idx="116">
                  <c:v>0.03731</c:v>
                </c:pt>
                <c:pt idx="117">
                  <c:v>0.03679</c:v>
                </c:pt>
                <c:pt idx="118">
                  <c:v>0.03629</c:v>
                </c:pt>
                <c:pt idx="119">
                  <c:v>0.03579</c:v>
                </c:pt>
                <c:pt idx="120">
                  <c:v>0.03531</c:v>
                </c:pt>
                <c:pt idx="121">
                  <c:v>0.03484</c:v>
                </c:pt>
                <c:pt idx="122">
                  <c:v>0.03438</c:v>
                </c:pt>
                <c:pt idx="123">
                  <c:v>0.03393</c:v>
                </c:pt>
                <c:pt idx="124">
                  <c:v>0.0335</c:v>
                </c:pt>
                <c:pt idx="125">
                  <c:v>0.03307</c:v>
                </c:pt>
                <c:pt idx="126">
                  <c:v>0.03265</c:v>
                </c:pt>
                <c:pt idx="127">
                  <c:v>0.03224</c:v>
                </c:pt>
                <c:pt idx="128">
                  <c:v>0.03184</c:v>
                </c:pt>
                <c:pt idx="129">
                  <c:v>0.03144</c:v>
                </c:pt>
                <c:pt idx="130">
                  <c:v>0.03106</c:v>
                </c:pt>
                <c:pt idx="131">
                  <c:v>0.03068</c:v>
                </c:pt>
                <c:pt idx="132">
                  <c:v>0.03031</c:v>
                </c:pt>
                <c:pt idx="133">
                  <c:v>0.02994</c:v>
                </c:pt>
                <c:pt idx="134">
                  <c:v>0.02957</c:v>
                </c:pt>
                <c:pt idx="135">
                  <c:v>0.02921</c:v>
                </c:pt>
                <c:pt idx="136">
                  <c:v>0.02887</c:v>
                </c:pt>
                <c:pt idx="137">
                  <c:v>0.02852</c:v>
                </c:pt>
                <c:pt idx="138">
                  <c:v>0.02818</c:v>
                </c:pt>
                <c:pt idx="139">
                  <c:v>0.02784</c:v>
                </c:pt>
                <c:pt idx="140">
                  <c:v>0.0275</c:v>
                </c:pt>
                <c:pt idx="141">
                  <c:v>0.02715</c:v>
                </c:pt>
                <c:pt idx="142">
                  <c:v>0.02681</c:v>
                </c:pt>
                <c:pt idx="143">
                  <c:v>0.02646</c:v>
                </c:pt>
                <c:pt idx="144">
                  <c:v>0.02611</c:v>
                </c:pt>
                <c:pt idx="145">
                  <c:v>0.02577</c:v>
                </c:pt>
                <c:pt idx="146">
                  <c:v>0.02543</c:v>
                </c:pt>
                <c:pt idx="147">
                  <c:v>0.02508</c:v>
                </c:pt>
                <c:pt idx="148">
                  <c:v>0.02474</c:v>
                </c:pt>
                <c:pt idx="149">
                  <c:v>0.02441</c:v>
                </c:pt>
                <c:pt idx="150">
                  <c:v>0.02407</c:v>
                </c:pt>
                <c:pt idx="151">
                  <c:v>0.02374</c:v>
                </c:pt>
                <c:pt idx="152">
                  <c:v>0.02342</c:v>
                </c:pt>
                <c:pt idx="153">
                  <c:v>0.02311</c:v>
                </c:pt>
                <c:pt idx="154">
                  <c:v>0.0228</c:v>
                </c:pt>
                <c:pt idx="155">
                  <c:v>0.0225</c:v>
                </c:pt>
                <c:pt idx="156">
                  <c:v>0.02221</c:v>
                </c:pt>
                <c:pt idx="157">
                  <c:v>0.02192</c:v>
                </c:pt>
                <c:pt idx="158">
                  <c:v>0.02163</c:v>
                </c:pt>
                <c:pt idx="159">
                  <c:v>0.02135</c:v>
                </c:pt>
                <c:pt idx="160">
                  <c:v>0.02107</c:v>
                </c:pt>
                <c:pt idx="161">
                  <c:v>0.0208</c:v>
                </c:pt>
                <c:pt idx="162">
                  <c:v>0.02053</c:v>
                </c:pt>
                <c:pt idx="163">
                  <c:v>0.02027</c:v>
                </c:pt>
                <c:pt idx="164">
                  <c:v>0.02001</c:v>
                </c:pt>
                <c:pt idx="165">
                  <c:v>0.01976</c:v>
                </c:pt>
                <c:pt idx="166">
                  <c:v>0.01951</c:v>
                </c:pt>
                <c:pt idx="167">
                  <c:v>0.01927</c:v>
                </c:pt>
                <c:pt idx="168">
                  <c:v>0.01904</c:v>
                </c:pt>
                <c:pt idx="169">
                  <c:v>0.0188</c:v>
                </c:pt>
                <c:pt idx="170">
                  <c:v>0.01858</c:v>
                </c:pt>
                <c:pt idx="171">
                  <c:v>0.01836</c:v>
                </c:pt>
                <c:pt idx="172">
                  <c:v>0.01814</c:v>
                </c:pt>
                <c:pt idx="173">
                  <c:v>0.01792</c:v>
                </c:pt>
                <c:pt idx="174">
                  <c:v>0.01771</c:v>
                </c:pt>
                <c:pt idx="175">
                  <c:v>0.01751</c:v>
                </c:pt>
                <c:pt idx="176">
                  <c:v>0.01731</c:v>
                </c:pt>
                <c:pt idx="177">
                  <c:v>0.01711</c:v>
                </c:pt>
                <c:pt idx="178">
                  <c:v>0.01691</c:v>
                </c:pt>
                <c:pt idx="179">
                  <c:v>0.01672</c:v>
                </c:pt>
                <c:pt idx="180">
                  <c:v>0.01654</c:v>
                </c:pt>
                <c:pt idx="181">
                  <c:v>0.01635</c:v>
                </c:pt>
                <c:pt idx="182">
                  <c:v>0.01617</c:v>
                </c:pt>
                <c:pt idx="183">
                  <c:v>0.01599</c:v>
                </c:pt>
                <c:pt idx="184">
                  <c:v>0.01582</c:v>
                </c:pt>
                <c:pt idx="185">
                  <c:v>0.01564</c:v>
                </c:pt>
                <c:pt idx="186">
                  <c:v>0.01547</c:v>
                </c:pt>
                <c:pt idx="187">
                  <c:v>0.01529</c:v>
                </c:pt>
                <c:pt idx="188">
                  <c:v>0.01512</c:v>
                </c:pt>
                <c:pt idx="189">
                  <c:v>0.01496</c:v>
                </c:pt>
                <c:pt idx="190">
                  <c:v>0.0148</c:v>
                </c:pt>
                <c:pt idx="191">
                  <c:v>0.01465</c:v>
                </c:pt>
                <c:pt idx="192">
                  <c:v>0.0145</c:v>
                </c:pt>
                <c:pt idx="193">
                  <c:v>0.01436</c:v>
                </c:pt>
                <c:pt idx="194">
                  <c:v>0.01422</c:v>
                </c:pt>
                <c:pt idx="195">
                  <c:v>0.01409</c:v>
                </c:pt>
                <c:pt idx="196">
                  <c:v>0.01396</c:v>
                </c:pt>
                <c:pt idx="197">
                  <c:v>0.01383</c:v>
                </c:pt>
                <c:pt idx="198">
                  <c:v>0.01372</c:v>
                </c:pt>
                <c:pt idx="199">
                  <c:v>0.01361</c:v>
                </c:pt>
                <c:pt idx="200">
                  <c:v>0.0135</c:v>
                </c:pt>
                <c:pt idx="201">
                  <c:v>0.01339</c:v>
                </c:pt>
                <c:pt idx="202">
                  <c:v>0.0133</c:v>
                </c:pt>
                <c:pt idx="203">
                  <c:v>0.0132</c:v>
                </c:pt>
                <c:pt idx="204">
                  <c:v>0.0131</c:v>
                </c:pt>
                <c:pt idx="205">
                  <c:v>0.01301</c:v>
                </c:pt>
                <c:pt idx="206">
                  <c:v>0.01292</c:v>
                </c:pt>
                <c:pt idx="207">
                  <c:v>0.01284</c:v>
                </c:pt>
                <c:pt idx="208">
                  <c:v>0.01276</c:v>
                </c:pt>
                <c:pt idx="209">
                  <c:v>0.01268</c:v>
                </c:pt>
                <c:pt idx="210">
                  <c:v>0.0126</c:v>
                </c:pt>
                <c:pt idx="211">
                  <c:v>0.01252</c:v>
                </c:pt>
                <c:pt idx="212">
                  <c:v>0.01244</c:v>
                </c:pt>
                <c:pt idx="213">
                  <c:v>0.01236</c:v>
                </c:pt>
                <c:pt idx="214">
                  <c:v>0.01228</c:v>
                </c:pt>
                <c:pt idx="215">
                  <c:v>0.01221</c:v>
                </c:pt>
                <c:pt idx="216">
                  <c:v>0.01213</c:v>
                </c:pt>
                <c:pt idx="217">
                  <c:v>0.01206</c:v>
                </c:pt>
                <c:pt idx="218">
                  <c:v>0.01198</c:v>
                </c:pt>
                <c:pt idx="219">
                  <c:v>0.01191</c:v>
                </c:pt>
                <c:pt idx="220">
                  <c:v>0.01184</c:v>
                </c:pt>
                <c:pt idx="221">
                  <c:v>0.01177</c:v>
                </c:pt>
                <c:pt idx="222">
                  <c:v>0.0117</c:v>
                </c:pt>
                <c:pt idx="223">
                  <c:v>0.01163</c:v>
                </c:pt>
                <c:pt idx="224">
                  <c:v>0.01156</c:v>
                </c:pt>
                <c:pt idx="225">
                  <c:v>0.01149</c:v>
                </c:pt>
                <c:pt idx="226">
                  <c:v>0.01142</c:v>
                </c:pt>
                <c:pt idx="227">
                  <c:v>0.01135</c:v>
                </c:pt>
                <c:pt idx="228">
                  <c:v>0.01129</c:v>
                </c:pt>
                <c:pt idx="229">
                  <c:v>0.01122</c:v>
                </c:pt>
                <c:pt idx="230">
                  <c:v>0.01115</c:v>
                </c:pt>
                <c:pt idx="231">
                  <c:v>0.01109</c:v>
                </c:pt>
                <c:pt idx="232">
                  <c:v>0.01102</c:v>
                </c:pt>
                <c:pt idx="233">
                  <c:v>0.01096</c:v>
                </c:pt>
                <c:pt idx="234">
                  <c:v>0.0109</c:v>
                </c:pt>
                <c:pt idx="235">
                  <c:v>0.01084</c:v>
                </c:pt>
                <c:pt idx="236">
                  <c:v>0.01077</c:v>
                </c:pt>
                <c:pt idx="237">
                  <c:v>0.01071</c:v>
                </c:pt>
                <c:pt idx="238">
                  <c:v>0.01065</c:v>
                </c:pt>
                <c:pt idx="239">
                  <c:v>0.01059</c:v>
                </c:pt>
                <c:pt idx="240">
                  <c:v>0.01053</c:v>
                </c:pt>
                <c:pt idx="241">
                  <c:v>0.01047</c:v>
                </c:pt>
                <c:pt idx="242">
                  <c:v>0.01042</c:v>
                </c:pt>
                <c:pt idx="243">
                  <c:v>0.01036</c:v>
                </c:pt>
                <c:pt idx="244">
                  <c:v>0.0103</c:v>
                </c:pt>
                <c:pt idx="245">
                  <c:v>0.01024</c:v>
                </c:pt>
                <c:pt idx="246">
                  <c:v>0.01019</c:v>
                </c:pt>
                <c:pt idx="247">
                  <c:v>0.01013</c:v>
                </c:pt>
                <c:pt idx="248">
                  <c:v>0.01008</c:v>
                </c:pt>
                <c:pt idx="249">
                  <c:v>0.01002</c:v>
                </c:pt>
                <c:pt idx="250">
                  <c:v>0.009967</c:v>
                </c:pt>
                <c:pt idx="251">
                  <c:v>0.009913</c:v>
                </c:pt>
                <c:pt idx="252">
                  <c:v>0.00986</c:v>
                </c:pt>
                <c:pt idx="253">
                  <c:v>0.009807</c:v>
                </c:pt>
                <c:pt idx="254">
                  <c:v>0.009755</c:v>
                </c:pt>
                <c:pt idx="255">
                  <c:v>0.009703</c:v>
                </c:pt>
                <c:pt idx="256">
                  <c:v>0.009652</c:v>
                </c:pt>
                <c:pt idx="257">
                  <c:v>0.009601</c:v>
                </c:pt>
                <c:pt idx="258">
                  <c:v>0.00955</c:v>
                </c:pt>
                <c:pt idx="259">
                  <c:v>0.009499</c:v>
                </c:pt>
                <c:pt idx="260">
                  <c:v>0.009448</c:v>
                </c:pt>
                <c:pt idx="261">
                  <c:v>0.009397</c:v>
                </c:pt>
                <c:pt idx="262">
                  <c:v>0.009346</c:v>
                </c:pt>
                <c:pt idx="263">
                  <c:v>0.009295</c:v>
                </c:pt>
                <c:pt idx="264">
                  <c:v>0.009244</c:v>
                </c:pt>
                <c:pt idx="265">
                  <c:v>0.009192</c:v>
                </c:pt>
                <c:pt idx="266">
                  <c:v>0.009141</c:v>
                </c:pt>
                <c:pt idx="267">
                  <c:v>0.00909</c:v>
                </c:pt>
                <c:pt idx="268">
                  <c:v>0.009038</c:v>
                </c:pt>
                <c:pt idx="269">
                  <c:v>0.008986</c:v>
                </c:pt>
                <c:pt idx="270">
                  <c:v>0.008935</c:v>
                </c:pt>
                <c:pt idx="271">
                  <c:v>0.008883</c:v>
                </c:pt>
                <c:pt idx="272">
                  <c:v>0.00883</c:v>
                </c:pt>
                <c:pt idx="273">
                  <c:v>0.008779</c:v>
                </c:pt>
                <c:pt idx="274">
                  <c:v>0.008728</c:v>
                </c:pt>
                <c:pt idx="275">
                  <c:v>0.008677</c:v>
                </c:pt>
                <c:pt idx="276">
                  <c:v>0.008626</c:v>
                </c:pt>
                <c:pt idx="277">
                  <c:v>0.008575</c:v>
                </c:pt>
                <c:pt idx="278">
                  <c:v>0.008524</c:v>
                </c:pt>
                <c:pt idx="279">
                  <c:v>0.008473</c:v>
                </c:pt>
                <c:pt idx="280">
                  <c:v>0.008423</c:v>
                </c:pt>
                <c:pt idx="281">
                  <c:v>0.008373</c:v>
                </c:pt>
                <c:pt idx="282">
                  <c:v>0.008324</c:v>
                </c:pt>
                <c:pt idx="283">
                  <c:v>0.008275</c:v>
                </c:pt>
                <c:pt idx="284">
                  <c:v>0.008225</c:v>
                </c:pt>
                <c:pt idx="285">
                  <c:v>0.008176</c:v>
                </c:pt>
                <c:pt idx="286">
                  <c:v>0.008128</c:v>
                </c:pt>
                <c:pt idx="287">
                  <c:v>0.00808</c:v>
                </c:pt>
                <c:pt idx="288">
                  <c:v>0.008032</c:v>
                </c:pt>
                <c:pt idx="289">
                  <c:v>0.007985</c:v>
                </c:pt>
                <c:pt idx="290">
                  <c:v>0.007938</c:v>
                </c:pt>
                <c:pt idx="291">
                  <c:v>0.007891</c:v>
                </c:pt>
                <c:pt idx="292">
                  <c:v>0.007845</c:v>
                </c:pt>
                <c:pt idx="293">
                  <c:v>0.007799</c:v>
                </c:pt>
                <c:pt idx="294">
                  <c:v>0.007754</c:v>
                </c:pt>
                <c:pt idx="295">
                  <c:v>0.00771</c:v>
                </c:pt>
                <c:pt idx="296">
                  <c:v>0.007665</c:v>
                </c:pt>
                <c:pt idx="297">
                  <c:v>0.007621</c:v>
                </c:pt>
                <c:pt idx="298">
                  <c:v>0.007578</c:v>
                </c:pt>
                <c:pt idx="299">
                  <c:v>0.007534</c:v>
                </c:pt>
                <c:pt idx="300">
                  <c:v>0.007492</c:v>
                </c:pt>
                <c:pt idx="301">
                  <c:v>0.00745</c:v>
                </c:pt>
                <c:pt idx="302">
                  <c:v>0.007408</c:v>
                </c:pt>
                <c:pt idx="303">
                  <c:v>0.007366</c:v>
                </c:pt>
                <c:pt idx="304">
                  <c:v>0.007325</c:v>
                </c:pt>
                <c:pt idx="305">
                  <c:v>0.007284</c:v>
                </c:pt>
                <c:pt idx="306">
                  <c:v>0.007244</c:v>
                </c:pt>
                <c:pt idx="307">
                  <c:v>0.007204</c:v>
                </c:pt>
                <c:pt idx="308">
                  <c:v>0.007164</c:v>
                </c:pt>
                <c:pt idx="309">
                  <c:v>0.007125</c:v>
                </c:pt>
                <c:pt idx="310">
                  <c:v>0.007086</c:v>
                </c:pt>
                <c:pt idx="311">
                  <c:v>0.007047</c:v>
                </c:pt>
                <c:pt idx="312">
                  <c:v>0.007009</c:v>
                </c:pt>
                <c:pt idx="313">
                  <c:v>0.006971</c:v>
                </c:pt>
                <c:pt idx="314">
                  <c:v>0.006933</c:v>
                </c:pt>
                <c:pt idx="315">
                  <c:v>0.006896</c:v>
                </c:pt>
                <c:pt idx="316">
                  <c:v>0.006859</c:v>
                </c:pt>
                <c:pt idx="317">
                  <c:v>0.006822</c:v>
                </c:pt>
                <c:pt idx="318">
                  <c:v>0.006786</c:v>
                </c:pt>
                <c:pt idx="319">
                  <c:v>0.006749</c:v>
                </c:pt>
                <c:pt idx="320">
                  <c:v>0.006713</c:v>
                </c:pt>
                <c:pt idx="321">
                  <c:v>0.006678</c:v>
                </c:pt>
                <c:pt idx="322">
                  <c:v>0.006642</c:v>
                </c:pt>
                <c:pt idx="323">
                  <c:v>0.006607</c:v>
                </c:pt>
                <c:pt idx="324">
                  <c:v>0.006572</c:v>
                </c:pt>
                <c:pt idx="325">
                  <c:v>0.006537</c:v>
                </c:pt>
                <c:pt idx="326">
                  <c:v>0.006504</c:v>
                </c:pt>
                <c:pt idx="327">
                  <c:v>0.006471</c:v>
                </c:pt>
              </c:numCache>
            </c:numRef>
          </c:xVal>
          <c:yVal>
            <c:numRef>
              <c:f>'[1]28DB2- in1'!$H$5:$H$332</c:f>
              <c:numCache>
                <c:formatCode>General</c:formatCode>
                <c:ptCount val="328"/>
                <c:pt idx="0">
                  <c:v>0.005156</c:v>
                </c:pt>
                <c:pt idx="1">
                  <c:v>0.005198</c:v>
                </c:pt>
                <c:pt idx="2">
                  <c:v>0.004886</c:v>
                </c:pt>
                <c:pt idx="3">
                  <c:v>0.004627</c:v>
                </c:pt>
                <c:pt idx="4">
                  <c:v>0.004413</c:v>
                </c:pt>
                <c:pt idx="5">
                  <c:v>0.00423</c:v>
                </c:pt>
                <c:pt idx="6">
                  <c:v>0.004437</c:v>
                </c:pt>
                <c:pt idx="7">
                  <c:v>0.002962</c:v>
                </c:pt>
                <c:pt idx="8">
                  <c:v>0.002808</c:v>
                </c:pt>
                <c:pt idx="9">
                  <c:v>0.002824</c:v>
                </c:pt>
                <c:pt idx="10">
                  <c:v>0.002736</c:v>
                </c:pt>
                <c:pt idx="11">
                  <c:v>0.002187</c:v>
                </c:pt>
                <c:pt idx="12">
                  <c:v>0.001692</c:v>
                </c:pt>
                <c:pt idx="13">
                  <c:v>0.001447</c:v>
                </c:pt>
                <c:pt idx="14">
                  <c:v>0.001214</c:v>
                </c:pt>
                <c:pt idx="15">
                  <c:v>0.0009881</c:v>
                </c:pt>
                <c:pt idx="16">
                  <c:v>0.00077</c:v>
                </c:pt>
                <c:pt idx="17">
                  <c:v>0.000563</c:v>
                </c:pt>
                <c:pt idx="18">
                  <c:v>0.000366</c:v>
                </c:pt>
                <c:pt idx="19">
                  <c:v>0.0001784</c:v>
                </c:pt>
                <c:pt idx="20">
                  <c:v>0.0</c:v>
                </c:pt>
                <c:pt idx="21">
                  <c:v>0.0</c:v>
                </c:pt>
                <c:pt idx="22">
                  <c:v>0.0</c:v>
                </c:pt>
                <c:pt idx="23">
                  <c:v>0.0</c:v>
                </c:pt>
                <c:pt idx="24">
                  <c:v>0.0</c:v>
                </c:pt>
                <c:pt idx="25">
                  <c:v>0.0</c:v>
                </c:pt>
                <c:pt idx="26">
                  <c:v>0.0001837</c:v>
                </c:pt>
                <c:pt idx="27">
                  <c:v>0.0003618</c:v>
                </c:pt>
                <c:pt idx="28">
                  <c:v>0.000536</c:v>
                </c:pt>
                <c:pt idx="29">
                  <c:v>0.0007083</c:v>
                </c:pt>
                <c:pt idx="30">
                  <c:v>0.000881</c:v>
                </c:pt>
                <c:pt idx="31">
                  <c:v>0.001056</c:v>
                </c:pt>
                <c:pt idx="32">
                  <c:v>0.001237</c:v>
                </c:pt>
                <c:pt idx="33">
                  <c:v>0.001423</c:v>
                </c:pt>
                <c:pt idx="34">
                  <c:v>0.001617</c:v>
                </c:pt>
                <c:pt idx="35">
                  <c:v>0.001821</c:v>
                </c:pt>
                <c:pt idx="36">
                  <c:v>0.002035</c:v>
                </c:pt>
                <c:pt idx="37">
                  <c:v>0.001851</c:v>
                </c:pt>
                <c:pt idx="38">
                  <c:v>0.001673</c:v>
                </c:pt>
                <c:pt idx="39">
                  <c:v>0.001499</c:v>
                </c:pt>
                <c:pt idx="40">
                  <c:v>0.001326</c:v>
                </c:pt>
                <c:pt idx="41">
                  <c:v>0.001154</c:v>
                </c:pt>
                <c:pt idx="42">
                  <c:v>0.0009783</c:v>
                </c:pt>
                <c:pt idx="43">
                  <c:v>0.0007982</c:v>
                </c:pt>
                <c:pt idx="44">
                  <c:v>0.0006118</c:v>
                </c:pt>
                <c:pt idx="45">
                  <c:v>0.0004176</c:v>
                </c:pt>
                <c:pt idx="46">
                  <c:v>0.0002141</c:v>
                </c:pt>
                <c:pt idx="47">
                  <c:v>0.0</c:v>
                </c:pt>
                <c:pt idx="48">
                  <c:v>0.0</c:v>
                </c:pt>
                <c:pt idx="49">
                  <c:v>0.0</c:v>
                </c:pt>
                <c:pt idx="50">
                  <c:v>0.0</c:v>
                </c:pt>
                <c:pt idx="51">
                  <c:v>0.0</c:v>
                </c:pt>
                <c:pt idx="52">
                  <c:v>0.0</c:v>
                </c:pt>
                <c:pt idx="53">
                  <c:v>0.0</c:v>
                </c:pt>
                <c:pt idx="54">
                  <c:v>0.0</c:v>
                </c:pt>
                <c:pt idx="55">
                  <c:v>0.0</c:v>
                </c:pt>
                <c:pt idx="56">
                  <c:v>0.0</c:v>
                </c:pt>
                <c:pt idx="57">
                  <c:v>0.0</c:v>
                </c:pt>
                <c:pt idx="58">
                  <c:v>0.0</c:v>
                </c:pt>
                <c:pt idx="59">
                  <c:v>0.0</c:v>
                </c:pt>
                <c:pt idx="60">
                  <c:v>0.0</c:v>
                </c:pt>
                <c:pt idx="61">
                  <c:v>0.0</c:v>
                </c:pt>
                <c:pt idx="62">
                  <c:v>0.0</c:v>
                </c:pt>
                <c:pt idx="63">
                  <c:v>0.0</c:v>
                </c:pt>
                <c:pt idx="64">
                  <c:v>0.0</c:v>
                </c:pt>
                <c:pt idx="65">
                  <c:v>0.0</c:v>
                </c:pt>
                <c:pt idx="66">
                  <c:v>0.0</c:v>
                </c:pt>
                <c:pt idx="67">
                  <c:v>0.0</c:v>
                </c:pt>
                <c:pt idx="68">
                  <c:v>0.0</c:v>
                </c:pt>
                <c:pt idx="69">
                  <c:v>0.0</c:v>
                </c:pt>
                <c:pt idx="70">
                  <c:v>0.0</c:v>
                </c:pt>
                <c:pt idx="71">
                  <c:v>0.0</c:v>
                </c:pt>
                <c:pt idx="72">
                  <c:v>0.0</c:v>
                </c:pt>
                <c:pt idx="73">
                  <c:v>0.0</c:v>
                </c:pt>
                <c:pt idx="74">
                  <c:v>0.0</c:v>
                </c:pt>
                <c:pt idx="75">
                  <c:v>0.0</c:v>
                </c:pt>
                <c:pt idx="76">
                  <c:v>0.0</c:v>
                </c:pt>
                <c:pt idx="77">
                  <c:v>0.0</c:v>
                </c:pt>
                <c:pt idx="78">
                  <c:v>0.0</c:v>
                </c:pt>
                <c:pt idx="79">
                  <c:v>0.0</c:v>
                </c:pt>
                <c:pt idx="80">
                  <c:v>0.0</c:v>
                </c:pt>
                <c:pt idx="81">
                  <c:v>0.0008329</c:v>
                </c:pt>
                <c:pt idx="82">
                  <c:v>0.001674</c:v>
                </c:pt>
                <c:pt idx="83">
                  <c:v>0.002534</c:v>
                </c:pt>
                <c:pt idx="84">
                  <c:v>0.003407</c:v>
                </c:pt>
                <c:pt idx="85">
                  <c:v>0.004321</c:v>
                </c:pt>
                <c:pt idx="86">
                  <c:v>0.005255</c:v>
                </c:pt>
                <c:pt idx="87">
                  <c:v>0.006207</c:v>
                </c:pt>
                <c:pt idx="88">
                  <c:v>0.007182</c:v>
                </c:pt>
                <c:pt idx="89">
                  <c:v>0.008195</c:v>
                </c:pt>
                <c:pt idx="90">
                  <c:v>0.009219</c:v>
                </c:pt>
                <c:pt idx="91">
                  <c:v>0.01173</c:v>
                </c:pt>
                <c:pt idx="92">
                  <c:v>0.01238</c:v>
                </c:pt>
                <c:pt idx="93">
                  <c:v>0.01308</c:v>
                </c:pt>
                <c:pt idx="94">
                  <c:v>0.01502</c:v>
                </c:pt>
                <c:pt idx="95">
                  <c:v>0.01704</c:v>
                </c:pt>
                <c:pt idx="96">
                  <c:v>0.02077</c:v>
                </c:pt>
                <c:pt idx="97">
                  <c:v>0.02452</c:v>
                </c:pt>
                <c:pt idx="98">
                  <c:v>0.02832</c:v>
                </c:pt>
                <c:pt idx="99">
                  <c:v>0.03217</c:v>
                </c:pt>
                <c:pt idx="100">
                  <c:v>0.03606</c:v>
                </c:pt>
                <c:pt idx="101">
                  <c:v>0.04013</c:v>
                </c:pt>
                <c:pt idx="102">
                  <c:v>0.04091</c:v>
                </c:pt>
                <c:pt idx="103">
                  <c:v>0.04275</c:v>
                </c:pt>
                <c:pt idx="104">
                  <c:v>0.04602</c:v>
                </c:pt>
                <c:pt idx="105">
                  <c:v>0.04662</c:v>
                </c:pt>
                <c:pt idx="106">
                  <c:v>0.04717</c:v>
                </c:pt>
                <c:pt idx="107">
                  <c:v>0.04501</c:v>
                </c:pt>
                <c:pt idx="108">
                  <c:v>0.04284</c:v>
                </c:pt>
                <c:pt idx="109">
                  <c:v>0.0422</c:v>
                </c:pt>
                <c:pt idx="110">
                  <c:v>0.04153</c:v>
                </c:pt>
                <c:pt idx="111">
                  <c:v>0.04189</c:v>
                </c:pt>
                <c:pt idx="112">
                  <c:v>0.0442</c:v>
                </c:pt>
                <c:pt idx="113">
                  <c:v>0.04839</c:v>
                </c:pt>
                <c:pt idx="114">
                  <c:v>0.05266</c:v>
                </c:pt>
                <c:pt idx="115">
                  <c:v>0.05602</c:v>
                </c:pt>
                <c:pt idx="116">
                  <c:v>0.06092</c:v>
                </c:pt>
                <c:pt idx="117">
                  <c:v>0.06818</c:v>
                </c:pt>
                <c:pt idx="118">
                  <c:v>0.07528</c:v>
                </c:pt>
                <c:pt idx="119">
                  <c:v>0.08422</c:v>
                </c:pt>
                <c:pt idx="120">
                  <c:v>0.0899</c:v>
                </c:pt>
                <c:pt idx="121">
                  <c:v>0.09735</c:v>
                </c:pt>
                <c:pt idx="122">
                  <c:v>0.1026</c:v>
                </c:pt>
                <c:pt idx="123">
                  <c:v>0.1035</c:v>
                </c:pt>
                <c:pt idx="124">
                  <c:v>0.1056</c:v>
                </c:pt>
                <c:pt idx="125">
                  <c:v>0.1077</c:v>
                </c:pt>
                <c:pt idx="126">
                  <c:v>0.1067</c:v>
                </c:pt>
                <c:pt idx="127">
                  <c:v>0.1081</c:v>
                </c:pt>
                <c:pt idx="128">
                  <c:v>0.1047</c:v>
                </c:pt>
                <c:pt idx="129">
                  <c:v>0.1023</c:v>
                </c:pt>
                <c:pt idx="130">
                  <c:v>0.09635</c:v>
                </c:pt>
                <c:pt idx="131">
                  <c:v>0.09398</c:v>
                </c:pt>
                <c:pt idx="132">
                  <c:v>0.0897</c:v>
                </c:pt>
                <c:pt idx="133">
                  <c:v>0.08656</c:v>
                </c:pt>
                <c:pt idx="134">
                  <c:v>0.08571</c:v>
                </c:pt>
                <c:pt idx="135">
                  <c:v>0.08631</c:v>
                </c:pt>
                <c:pt idx="136">
                  <c:v>0.08655</c:v>
                </c:pt>
                <c:pt idx="137">
                  <c:v>0.09148</c:v>
                </c:pt>
                <c:pt idx="138">
                  <c:v>0.09326</c:v>
                </c:pt>
                <c:pt idx="139">
                  <c:v>0.09998</c:v>
                </c:pt>
                <c:pt idx="140">
                  <c:v>0.1096</c:v>
                </c:pt>
                <c:pt idx="141">
                  <c:v>0.1206</c:v>
                </c:pt>
                <c:pt idx="142">
                  <c:v>0.1279</c:v>
                </c:pt>
                <c:pt idx="143">
                  <c:v>0.1369</c:v>
                </c:pt>
                <c:pt idx="144">
                  <c:v>0.1479</c:v>
                </c:pt>
                <c:pt idx="145">
                  <c:v>0.1585</c:v>
                </c:pt>
                <c:pt idx="146">
                  <c:v>0.1672</c:v>
                </c:pt>
                <c:pt idx="147">
                  <c:v>0.18</c:v>
                </c:pt>
                <c:pt idx="148">
                  <c:v>0.1912</c:v>
                </c:pt>
                <c:pt idx="149">
                  <c:v>0.2041</c:v>
                </c:pt>
                <c:pt idx="150">
                  <c:v>0.2141</c:v>
                </c:pt>
                <c:pt idx="151">
                  <c:v>0.2229</c:v>
                </c:pt>
                <c:pt idx="152">
                  <c:v>0.2375</c:v>
                </c:pt>
                <c:pt idx="153">
                  <c:v>0.2582</c:v>
                </c:pt>
                <c:pt idx="154">
                  <c:v>0.2771</c:v>
                </c:pt>
                <c:pt idx="155">
                  <c:v>0.2953</c:v>
                </c:pt>
                <c:pt idx="156">
                  <c:v>0.3194</c:v>
                </c:pt>
                <c:pt idx="157">
                  <c:v>0.3439</c:v>
                </c:pt>
                <c:pt idx="158">
                  <c:v>0.3637</c:v>
                </c:pt>
                <c:pt idx="159">
                  <c:v>0.3826</c:v>
                </c:pt>
                <c:pt idx="160">
                  <c:v>0.4004</c:v>
                </c:pt>
                <c:pt idx="161">
                  <c:v>0.4208</c:v>
                </c:pt>
                <c:pt idx="162">
                  <c:v>0.4387</c:v>
                </c:pt>
                <c:pt idx="163">
                  <c:v>0.4496</c:v>
                </c:pt>
                <c:pt idx="164">
                  <c:v>0.4549</c:v>
                </c:pt>
                <c:pt idx="165">
                  <c:v>0.4599</c:v>
                </c:pt>
                <c:pt idx="166">
                  <c:v>0.4635</c:v>
                </c:pt>
                <c:pt idx="167">
                  <c:v>0.4599</c:v>
                </c:pt>
                <c:pt idx="168">
                  <c:v>0.4522</c:v>
                </c:pt>
                <c:pt idx="169">
                  <c:v>0.4444</c:v>
                </c:pt>
                <c:pt idx="170">
                  <c:v>0.4378</c:v>
                </c:pt>
                <c:pt idx="171">
                  <c:v>0.4308</c:v>
                </c:pt>
                <c:pt idx="172">
                  <c:v>0.4173</c:v>
                </c:pt>
                <c:pt idx="173">
                  <c:v>0.4035</c:v>
                </c:pt>
                <c:pt idx="174">
                  <c:v>0.3876</c:v>
                </c:pt>
                <c:pt idx="175">
                  <c:v>0.3739</c:v>
                </c:pt>
                <c:pt idx="176">
                  <c:v>0.3609</c:v>
                </c:pt>
                <c:pt idx="177">
                  <c:v>0.346</c:v>
                </c:pt>
                <c:pt idx="178">
                  <c:v>0.3289</c:v>
                </c:pt>
                <c:pt idx="179">
                  <c:v>0.3153</c:v>
                </c:pt>
                <c:pt idx="180">
                  <c:v>0.3025</c:v>
                </c:pt>
                <c:pt idx="181">
                  <c:v>0.2887</c:v>
                </c:pt>
                <c:pt idx="182">
                  <c:v>0.2734</c:v>
                </c:pt>
                <c:pt idx="183">
                  <c:v>0.2649</c:v>
                </c:pt>
                <c:pt idx="184">
                  <c:v>0.2556</c:v>
                </c:pt>
                <c:pt idx="185">
                  <c:v>0.2529</c:v>
                </c:pt>
                <c:pt idx="186">
                  <c:v>0.2449</c:v>
                </c:pt>
                <c:pt idx="187">
                  <c:v>0.2374</c:v>
                </c:pt>
                <c:pt idx="188">
                  <c:v>0.2303</c:v>
                </c:pt>
                <c:pt idx="189">
                  <c:v>0.2313</c:v>
                </c:pt>
                <c:pt idx="190">
                  <c:v>0.2291</c:v>
                </c:pt>
                <c:pt idx="191">
                  <c:v>0.2279</c:v>
                </c:pt>
                <c:pt idx="192">
                  <c:v>0.2238</c:v>
                </c:pt>
                <c:pt idx="193">
                  <c:v>0.2258</c:v>
                </c:pt>
                <c:pt idx="194">
                  <c:v>0.2229</c:v>
                </c:pt>
                <c:pt idx="195">
                  <c:v>0.2249</c:v>
                </c:pt>
                <c:pt idx="196">
                  <c:v>0.2212</c:v>
                </c:pt>
                <c:pt idx="197">
                  <c:v>0.2252</c:v>
                </c:pt>
                <c:pt idx="198">
                  <c:v>0.2245</c:v>
                </c:pt>
                <c:pt idx="199">
                  <c:v>0.2255</c:v>
                </c:pt>
                <c:pt idx="200">
                  <c:v>0.2169</c:v>
                </c:pt>
                <c:pt idx="201">
                  <c:v>0.2111</c:v>
                </c:pt>
                <c:pt idx="202">
                  <c:v>0.2008</c:v>
                </c:pt>
                <c:pt idx="203">
                  <c:v>0.1982</c:v>
                </c:pt>
                <c:pt idx="204">
                  <c:v>0.1868</c:v>
                </c:pt>
                <c:pt idx="205">
                  <c:v>0.1778</c:v>
                </c:pt>
                <c:pt idx="206">
                  <c:v>0.166</c:v>
                </c:pt>
                <c:pt idx="207">
                  <c:v>0.1569</c:v>
                </c:pt>
                <c:pt idx="208">
                  <c:v>0.1421</c:v>
                </c:pt>
                <c:pt idx="209">
                  <c:v>0.1314</c:v>
                </c:pt>
                <c:pt idx="210">
                  <c:v>0.1206</c:v>
                </c:pt>
                <c:pt idx="211">
                  <c:v>0.1151</c:v>
                </c:pt>
                <c:pt idx="212">
                  <c:v>0.1144</c:v>
                </c:pt>
                <c:pt idx="213">
                  <c:v>0.1208</c:v>
                </c:pt>
                <c:pt idx="214">
                  <c:v>0.1179</c:v>
                </c:pt>
                <c:pt idx="215">
                  <c:v>0.1233</c:v>
                </c:pt>
                <c:pt idx="216">
                  <c:v>0.1286</c:v>
                </c:pt>
                <c:pt idx="217">
                  <c:v>0.134</c:v>
                </c:pt>
                <c:pt idx="218">
                  <c:v>0.1394</c:v>
                </c:pt>
                <c:pt idx="219">
                  <c:v>0.1472</c:v>
                </c:pt>
                <c:pt idx="220">
                  <c:v>0.155</c:v>
                </c:pt>
                <c:pt idx="221">
                  <c:v>0.1628</c:v>
                </c:pt>
                <c:pt idx="222">
                  <c:v>0.1745</c:v>
                </c:pt>
                <c:pt idx="223">
                  <c:v>0.1763</c:v>
                </c:pt>
                <c:pt idx="224">
                  <c:v>0.1745</c:v>
                </c:pt>
                <c:pt idx="225">
                  <c:v>0.1775</c:v>
                </c:pt>
                <c:pt idx="226">
                  <c:v>0.1731</c:v>
                </c:pt>
                <c:pt idx="227">
                  <c:v>0.1739</c:v>
                </c:pt>
                <c:pt idx="228">
                  <c:v>0.1707</c:v>
                </c:pt>
                <c:pt idx="229">
                  <c:v>0.1675</c:v>
                </c:pt>
                <c:pt idx="230">
                  <c:v>0.1696</c:v>
                </c:pt>
                <c:pt idx="231">
                  <c:v>0.1717</c:v>
                </c:pt>
                <c:pt idx="232">
                  <c:v>0.1738</c:v>
                </c:pt>
                <c:pt idx="233">
                  <c:v>0.1681</c:v>
                </c:pt>
                <c:pt idx="234">
                  <c:v>0.1714</c:v>
                </c:pt>
                <c:pt idx="235">
                  <c:v>0.1708</c:v>
                </c:pt>
                <c:pt idx="236">
                  <c:v>0.1701</c:v>
                </c:pt>
                <c:pt idx="237">
                  <c:v>0.1733</c:v>
                </c:pt>
                <c:pt idx="238">
                  <c:v>0.17</c:v>
                </c:pt>
                <c:pt idx="239">
                  <c:v>0.1706</c:v>
                </c:pt>
                <c:pt idx="240">
                  <c:v>0.1778</c:v>
                </c:pt>
                <c:pt idx="241">
                  <c:v>0.1798</c:v>
                </c:pt>
                <c:pt idx="242">
                  <c:v>0.1818</c:v>
                </c:pt>
                <c:pt idx="243">
                  <c:v>0.1839</c:v>
                </c:pt>
                <c:pt idx="244">
                  <c:v>0.1899</c:v>
                </c:pt>
                <c:pt idx="245">
                  <c:v>0.1879</c:v>
                </c:pt>
                <c:pt idx="246">
                  <c:v>0.1898</c:v>
                </c:pt>
                <c:pt idx="247">
                  <c:v>0.1918</c:v>
                </c:pt>
                <c:pt idx="248">
                  <c:v>0.1937</c:v>
                </c:pt>
                <c:pt idx="249">
                  <c:v>0.1928</c:v>
                </c:pt>
                <c:pt idx="250">
                  <c:v>0.192</c:v>
                </c:pt>
                <c:pt idx="251">
                  <c:v>0.1817</c:v>
                </c:pt>
                <c:pt idx="252">
                  <c:v>0.1657</c:v>
                </c:pt>
                <c:pt idx="253">
                  <c:v>0.1497</c:v>
                </c:pt>
                <c:pt idx="254">
                  <c:v>0.1335</c:v>
                </c:pt>
                <c:pt idx="255">
                  <c:v>0.1172</c:v>
                </c:pt>
                <c:pt idx="256">
                  <c:v>0.105</c:v>
                </c:pt>
                <c:pt idx="257">
                  <c:v>0.09678</c:v>
                </c:pt>
                <c:pt idx="258">
                  <c:v>0.08841</c:v>
                </c:pt>
                <c:pt idx="259">
                  <c:v>0.07988</c:v>
                </c:pt>
                <c:pt idx="260">
                  <c:v>0.07533</c:v>
                </c:pt>
                <c:pt idx="261">
                  <c:v>0.07073</c:v>
                </c:pt>
                <c:pt idx="262">
                  <c:v>0.06494</c:v>
                </c:pt>
                <c:pt idx="263">
                  <c:v>0.06987</c:v>
                </c:pt>
                <c:pt idx="264">
                  <c:v>0.07468</c:v>
                </c:pt>
                <c:pt idx="265">
                  <c:v>0.07957</c:v>
                </c:pt>
                <c:pt idx="266">
                  <c:v>0.08812</c:v>
                </c:pt>
                <c:pt idx="267">
                  <c:v>0.09652</c:v>
                </c:pt>
                <c:pt idx="268">
                  <c:v>0.09731</c:v>
                </c:pt>
                <c:pt idx="269">
                  <c:v>0.09797</c:v>
                </c:pt>
                <c:pt idx="270">
                  <c:v>0.1026</c:v>
                </c:pt>
                <c:pt idx="271">
                  <c:v>0.1075</c:v>
                </c:pt>
                <c:pt idx="272">
                  <c:v>0.1121</c:v>
                </c:pt>
                <c:pt idx="273">
                  <c:v>0.1205</c:v>
                </c:pt>
                <c:pt idx="274">
                  <c:v>0.1188</c:v>
                </c:pt>
                <c:pt idx="275">
                  <c:v>0.1173</c:v>
                </c:pt>
                <c:pt idx="276">
                  <c:v>0.1195</c:v>
                </c:pt>
                <c:pt idx="277">
                  <c:v>0.1143</c:v>
                </c:pt>
                <c:pt idx="278">
                  <c:v>0.1093</c:v>
                </c:pt>
                <c:pt idx="279">
                  <c:v>0.1103</c:v>
                </c:pt>
                <c:pt idx="280">
                  <c:v>0.1114</c:v>
                </c:pt>
                <c:pt idx="281">
                  <c:v>0.105</c:v>
                </c:pt>
                <c:pt idx="282">
                  <c:v>0.09849</c:v>
                </c:pt>
                <c:pt idx="283">
                  <c:v>0.0922</c:v>
                </c:pt>
                <c:pt idx="284">
                  <c:v>0.08606</c:v>
                </c:pt>
                <c:pt idx="285">
                  <c:v>0.08488</c:v>
                </c:pt>
                <c:pt idx="286">
                  <c:v>0.08374</c:v>
                </c:pt>
                <c:pt idx="287">
                  <c:v>0.07884</c:v>
                </c:pt>
                <c:pt idx="288">
                  <c:v>0.07771</c:v>
                </c:pt>
                <c:pt idx="289">
                  <c:v>0.07658</c:v>
                </c:pt>
                <c:pt idx="290">
                  <c:v>0.07049</c:v>
                </c:pt>
                <c:pt idx="291">
                  <c:v>0.0644</c:v>
                </c:pt>
                <c:pt idx="292">
                  <c:v>0.06203</c:v>
                </c:pt>
                <c:pt idx="293">
                  <c:v>0.05965</c:v>
                </c:pt>
                <c:pt idx="294">
                  <c:v>0.05728</c:v>
                </c:pt>
                <c:pt idx="295">
                  <c:v>0.05493</c:v>
                </c:pt>
                <c:pt idx="296">
                  <c:v>0.05521</c:v>
                </c:pt>
                <c:pt idx="297">
                  <c:v>0.05548</c:v>
                </c:pt>
                <c:pt idx="298">
                  <c:v>0.05177</c:v>
                </c:pt>
                <c:pt idx="299">
                  <c:v>0.04803</c:v>
                </c:pt>
                <c:pt idx="300">
                  <c:v>0.04429</c:v>
                </c:pt>
                <c:pt idx="301">
                  <c:v>0.04311</c:v>
                </c:pt>
                <c:pt idx="302">
                  <c:v>0.04192</c:v>
                </c:pt>
                <c:pt idx="303">
                  <c:v>0.04075</c:v>
                </c:pt>
                <c:pt idx="304">
                  <c:v>0.03955</c:v>
                </c:pt>
                <c:pt idx="305">
                  <c:v>0.03836</c:v>
                </c:pt>
                <c:pt idx="306">
                  <c:v>0.03715</c:v>
                </c:pt>
                <c:pt idx="307">
                  <c:v>0.03059</c:v>
                </c:pt>
                <c:pt idx="308">
                  <c:v>0.02401</c:v>
                </c:pt>
                <c:pt idx="309">
                  <c:v>0.02138</c:v>
                </c:pt>
                <c:pt idx="310">
                  <c:v>0.01875</c:v>
                </c:pt>
                <c:pt idx="311">
                  <c:v>0.01609</c:v>
                </c:pt>
                <c:pt idx="312">
                  <c:v>0.01343</c:v>
                </c:pt>
                <c:pt idx="313">
                  <c:v>0.01076</c:v>
                </c:pt>
                <c:pt idx="314">
                  <c:v>0.008081</c:v>
                </c:pt>
                <c:pt idx="315">
                  <c:v>0.005399</c:v>
                </c:pt>
                <c:pt idx="316">
                  <c:v>0.002703</c:v>
                </c:pt>
                <c:pt idx="317">
                  <c:v>0.0</c:v>
                </c:pt>
                <c:pt idx="318">
                  <c:v>0.0</c:v>
                </c:pt>
                <c:pt idx="319">
                  <c:v>0.0</c:v>
                </c:pt>
                <c:pt idx="320">
                  <c:v>0.0</c:v>
                </c:pt>
                <c:pt idx="321">
                  <c:v>0.0</c:v>
                </c:pt>
                <c:pt idx="322">
                  <c:v>0.0</c:v>
                </c:pt>
                <c:pt idx="323">
                  <c:v>0.0</c:v>
                </c:pt>
                <c:pt idx="324">
                  <c:v>0.0</c:v>
                </c:pt>
                <c:pt idx="325">
                  <c:v>0.0</c:v>
                </c:pt>
                <c:pt idx="326">
                  <c:v>0.0</c:v>
                </c:pt>
                <c:pt idx="327">
                  <c:v>0.0</c:v>
                </c:pt>
              </c:numCache>
            </c:numRef>
          </c:yVal>
          <c:smooth val="0"/>
        </c:ser>
        <c:ser>
          <c:idx val="0"/>
          <c:order val="2"/>
          <c:tx>
            <c:v>0DB</c:v>
          </c:tx>
          <c:spPr>
            <a:ln w="25400">
              <a:solidFill>
                <a:schemeClr val="accent6">
                  <a:lumMod val="75000"/>
                </a:schemeClr>
              </a:solidFill>
              <a:prstDash val="solid"/>
            </a:ln>
          </c:spPr>
          <c:marker>
            <c:symbol val="none"/>
          </c:marker>
          <c:xVal>
            <c:numRef>
              <c:f>'3MB1- in1'!$C$5:$C$908</c:f>
              <c:numCache>
                <c:formatCode>0.00E+00</c:formatCode>
                <c:ptCount val="904"/>
                <c:pt idx="0">
                  <c:v>10.67</c:v>
                </c:pt>
                <c:pt idx="1">
                  <c:v>10.45</c:v>
                </c:pt>
                <c:pt idx="2">
                  <c:v>10.17</c:v>
                </c:pt>
                <c:pt idx="3">
                  <c:v>9.896</c:v>
                </c:pt>
                <c:pt idx="4">
                  <c:v>9.606</c:v>
                </c:pt>
                <c:pt idx="5">
                  <c:v>9.338</c:v>
                </c:pt>
                <c:pt idx="6">
                  <c:v>9.097</c:v>
                </c:pt>
                <c:pt idx="7">
                  <c:v>8.852</c:v>
                </c:pt>
                <c:pt idx="8">
                  <c:v>8.617000000000001</c:v>
                </c:pt>
                <c:pt idx="9">
                  <c:v>8.389</c:v>
                </c:pt>
                <c:pt idx="10">
                  <c:v>8.156</c:v>
                </c:pt>
                <c:pt idx="11">
                  <c:v>7.922</c:v>
                </c:pt>
                <c:pt idx="12">
                  <c:v>7.696</c:v>
                </c:pt>
                <c:pt idx="13">
                  <c:v>7.474</c:v>
                </c:pt>
                <c:pt idx="14">
                  <c:v>7.251</c:v>
                </c:pt>
                <c:pt idx="15">
                  <c:v>7.028</c:v>
                </c:pt>
                <c:pt idx="16">
                  <c:v>6.8</c:v>
                </c:pt>
                <c:pt idx="17">
                  <c:v>6.571</c:v>
                </c:pt>
                <c:pt idx="18">
                  <c:v>6.341</c:v>
                </c:pt>
                <c:pt idx="19">
                  <c:v>6.106999999999999</c:v>
                </c:pt>
                <c:pt idx="20">
                  <c:v>5.869</c:v>
                </c:pt>
                <c:pt idx="21">
                  <c:v>5.633999999999999</c:v>
                </c:pt>
                <c:pt idx="22">
                  <c:v>5.396999999999999</c:v>
                </c:pt>
                <c:pt idx="23">
                  <c:v>5.156999999999999</c:v>
                </c:pt>
                <c:pt idx="24">
                  <c:v>4.915</c:v>
                </c:pt>
                <c:pt idx="25">
                  <c:v>4.671</c:v>
                </c:pt>
                <c:pt idx="26">
                  <c:v>4.423999999999999</c:v>
                </c:pt>
                <c:pt idx="27">
                  <c:v>4.177</c:v>
                </c:pt>
                <c:pt idx="28">
                  <c:v>3.928</c:v>
                </c:pt>
                <c:pt idx="29">
                  <c:v>3.679</c:v>
                </c:pt>
                <c:pt idx="30">
                  <c:v>3.431</c:v>
                </c:pt>
                <c:pt idx="31">
                  <c:v>3.185</c:v>
                </c:pt>
                <c:pt idx="32">
                  <c:v>2.942</c:v>
                </c:pt>
                <c:pt idx="33">
                  <c:v>2.703</c:v>
                </c:pt>
                <c:pt idx="34">
                  <c:v>2.47</c:v>
                </c:pt>
                <c:pt idx="35">
                  <c:v>2.245</c:v>
                </c:pt>
                <c:pt idx="36">
                  <c:v>2.028</c:v>
                </c:pt>
                <c:pt idx="37">
                  <c:v>1.823</c:v>
                </c:pt>
                <c:pt idx="38">
                  <c:v>1.632</c:v>
                </c:pt>
                <c:pt idx="39">
                  <c:v>1.456</c:v>
                </c:pt>
                <c:pt idx="40">
                  <c:v>1.295</c:v>
                </c:pt>
                <c:pt idx="41">
                  <c:v>1.151</c:v>
                </c:pt>
                <c:pt idx="42">
                  <c:v>1.023</c:v>
                </c:pt>
                <c:pt idx="43">
                  <c:v>0.9106</c:v>
                </c:pt>
                <c:pt idx="44">
                  <c:v>0.8123</c:v>
                </c:pt>
                <c:pt idx="45">
                  <c:v>0.727</c:v>
                </c:pt>
                <c:pt idx="46">
                  <c:v>0.6531</c:v>
                </c:pt>
                <c:pt idx="47">
                  <c:v>0.5891</c:v>
                </c:pt>
                <c:pt idx="48">
                  <c:v>0.5337</c:v>
                </c:pt>
                <c:pt idx="49">
                  <c:v>0.4857</c:v>
                </c:pt>
                <c:pt idx="50">
                  <c:v>0.444</c:v>
                </c:pt>
                <c:pt idx="51">
                  <c:v>0.4076</c:v>
                </c:pt>
                <c:pt idx="52">
                  <c:v>0.3759</c:v>
                </c:pt>
                <c:pt idx="53">
                  <c:v>0.3481</c:v>
                </c:pt>
                <c:pt idx="54">
                  <c:v>0.3236</c:v>
                </c:pt>
                <c:pt idx="55">
                  <c:v>0.3018</c:v>
                </c:pt>
                <c:pt idx="56">
                  <c:v>0.2825</c:v>
                </c:pt>
                <c:pt idx="57">
                  <c:v>0.2652</c:v>
                </c:pt>
                <c:pt idx="58">
                  <c:v>0.2496</c:v>
                </c:pt>
                <c:pt idx="59">
                  <c:v>0.2353</c:v>
                </c:pt>
                <c:pt idx="60">
                  <c:v>0.2223</c:v>
                </c:pt>
                <c:pt idx="61">
                  <c:v>0.2105</c:v>
                </c:pt>
                <c:pt idx="62">
                  <c:v>0.1998</c:v>
                </c:pt>
                <c:pt idx="63">
                  <c:v>0.19</c:v>
                </c:pt>
                <c:pt idx="64">
                  <c:v>0.181</c:v>
                </c:pt>
                <c:pt idx="65">
                  <c:v>0.1727</c:v>
                </c:pt>
                <c:pt idx="66">
                  <c:v>0.1649</c:v>
                </c:pt>
                <c:pt idx="67">
                  <c:v>0.1577</c:v>
                </c:pt>
                <c:pt idx="68">
                  <c:v>0.1509</c:v>
                </c:pt>
                <c:pt idx="69">
                  <c:v>0.1445</c:v>
                </c:pt>
                <c:pt idx="70">
                  <c:v>0.1387</c:v>
                </c:pt>
                <c:pt idx="71">
                  <c:v>0.1331</c:v>
                </c:pt>
                <c:pt idx="72">
                  <c:v>0.128</c:v>
                </c:pt>
                <c:pt idx="73">
                  <c:v>0.1231</c:v>
                </c:pt>
                <c:pt idx="74">
                  <c:v>0.1185</c:v>
                </c:pt>
                <c:pt idx="75">
                  <c:v>0.1142</c:v>
                </c:pt>
                <c:pt idx="76">
                  <c:v>0.1101</c:v>
                </c:pt>
                <c:pt idx="77">
                  <c:v>0.1063</c:v>
                </c:pt>
                <c:pt idx="78">
                  <c:v>0.1027</c:v>
                </c:pt>
                <c:pt idx="79">
                  <c:v>0.09934</c:v>
                </c:pt>
                <c:pt idx="80">
                  <c:v>0.09617</c:v>
                </c:pt>
                <c:pt idx="81">
                  <c:v>0.09318</c:v>
                </c:pt>
                <c:pt idx="82">
                  <c:v>0.09039</c:v>
                </c:pt>
                <c:pt idx="83">
                  <c:v>0.08774</c:v>
                </c:pt>
                <c:pt idx="84">
                  <c:v>0.08521</c:v>
                </c:pt>
                <c:pt idx="85">
                  <c:v>0.08283</c:v>
                </c:pt>
                <c:pt idx="86">
                  <c:v>0.08052</c:v>
                </c:pt>
                <c:pt idx="87">
                  <c:v>0.07834</c:v>
                </c:pt>
                <c:pt idx="88">
                  <c:v>0.07627</c:v>
                </c:pt>
                <c:pt idx="89">
                  <c:v>0.07429</c:v>
                </c:pt>
                <c:pt idx="90">
                  <c:v>0.0724</c:v>
                </c:pt>
                <c:pt idx="91">
                  <c:v>0.07057</c:v>
                </c:pt>
                <c:pt idx="92">
                  <c:v>0.06879</c:v>
                </c:pt>
                <c:pt idx="93">
                  <c:v>0.06706</c:v>
                </c:pt>
                <c:pt idx="94">
                  <c:v>0.0654</c:v>
                </c:pt>
                <c:pt idx="95">
                  <c:v>0.06379</c:v>
                </c:pt>
                <c:pt idx="96">
                  <c:v>0.06225</c:v>
                </c:pt>
                <c:pt idx="97">
                  <c:v>0.06078</c:v>
                </c:pt>
                <c:pt idx="98">
                  <c:v>0.05938</c:v>
                </c:pt>
                <c:pt idx="99">
                  <c:v>0.05803</c:v>
                </c:pt>
                <c:pt idx="100">
                  <c:v>0.05674</c:v>
                </c:pt>
                <c:pt idx="101">
                  <c:v>0.0555</c:v>
                </c:pt>
                <c:pt idx="102">
                  <c:v>0.05433</c:v>
                </c:pt>
                <c:pt idx="103">
                  <c:v>0.05323</c:v>
                </c:pt>
                <c:pt idx="104">
                  <c:v>0.0522</c:v>
                </c:pt>
                <c:pt idx="105">
                  <c:v>0.05119</c:v>
                </c:pt>
                <c:pt idx="106">
                  <c:v>0.05025</c:v>
                </c:pt>
                <c:pt idx="107">
                  <c:v>0.04934</c:v>
                </c:pt>
                <c:pt idx="108">
                  <c:v>0.04848</c:v>
                </c:pt>
                <c:pt idx="109">
                  <c:v>0.04762</c:v>
                </c:pt>
                <c:pt idx="110">
                  <c:v>0.04679</c:v>
                </c:pt>
                <c:pt idx="111">
                  <c:v>0.04599</c:v>
                </c:pt>
                <c:pt idx="112">
                  <c:v>0.04522</c:v>
                </c:pt>
                <c:pt idx="113">
                  <c:v>0.04447</c:v>
                </c:pt>
                <c:pt idx="114">
                  <c:v>0.04374</c:v>
                </c:pt>
                <c:pt idx="115">
                  <c:v>0.04303</c:v>
                </c:pt>
                <c:pt idx="116">
                  <c:v>0.04235</c:v>
                </c:pt>
                <c:pt idx="117">
                  <c:v>0.04168</c:v>
                </c:pt>
                <c:pt idx="118">
                  <c:v>0.04103</c:v>
                </c:pt>
                <c:pt idx="119">
                  <c:v>0.0404</c:v>
                </c:pt>
                <c:pt idx="120">
                  <c:v>0.0398</c:v>
                </c:pt>
                <c:pt idx="121">
                  <c:v>0.03922</c:v>
                </c:pt>
                <c:pt idx="122">
                  <c:v>0.03865</c:v>
                </c:pt>
                <c:pt idx="123">
                  <c:v>0.03809</c:v>
                </c:pt>
                <c:pt idx="124">
                  <c:v>0.03756</c:v>
                </c:pt>
                <c:pt idx="125">
                  <c:v>0.03703</c:v>
                </c:pt>
                <c:pt idx="126">
                  <c:v>0.03652</c:v>
                </c:pt>
                <c:pt idx="127">
                  <c:v>0.03602</c:v>
                </c:pt>
                <c:pt idx="128">
                  <c:v>0.03553</c:v>
                </c:pt>
                <c:pt idx="129">
                  <c:v>0.03505</c:v>
                </c:pt>
                <c:pt idx="130">
                  <c:v>0.03459</c:v>
                </c:pt>
                <c:pt idx="131">
                  <c:v>0.03413</c:v>
                </c:pt>
                <c:pt idx="132">
                  <c:v>0.03369</c:v>
                </c:pt>
                <c:pt idx="133">
                  <c:v>0.03326</c:v>
                </c:pt>
                <c:pt idx="134">
                  <c:v>0.03284</c:v>
                </c:pt>
                <c:pt idx="135">
                  <c:v>0.03242</c:v>
                </c:pt>
                <c:pt idx="136">
                  <c:v>0.03202</c:v>
                </c:pt>
                <c:pt idx="137">
                  <c:v>0.03161</c:v>
                </c:pt>
                <c:pt idx="138">
                  <c:v>0.03122</c:v>
                </c:pt>
                <c:pt idx="139">
                  <c:v>0.03083</c:v>
                </c:pt>
                <c:pt idx="140">
                  <c:v>0.03045</c:v>
                </c:pt>
                <c:pt idx="141">
                  <c:v>0.03007</c:v>
                </c:pt>
                <c:pt idx="142">
                  <c:v>0.0297</c:v>
                </c:pt>
                <c:pt idx="143">
                  <c:v>0.02934</c:v>
                </c:pt>
                <c:pt idx="144">
                  <c:v>0.02898</c:v>
                </c:pt>
                <c:pt idx="145">
                  <c:v>0.02864</c:v>
                </c:pt>
                <c:pt idx="146">
                  <c:v>0.0283</c:v>
                </c:pt>
                <c:pt idx="147">
                  <c:v>0.02795</c:v>
                </c:pt>
                <c:pt idx="148">
                  <c:v>0.0276</c:v>
                </c:pt>
                <c:pt idx="149">
                  <c:v>0.02726</c:v>
                </c:pt>
                <c:pt idx="150">
                  <c:v>0.02692</c:v>
                </c:pt>
                <c:pt idx="151">
                  <c:v>0.02657</c:v>
                </c:pt>
                <c:pt idx="152">
                  <c:v>0.02622</c:v>
                </c:pt>
                <c:pt idx="153">
                  <c:v>0.02587</c:v>
                </c:pt>
                <c:pt idx="154">
                  <c:v>0.02552</c:v>
                </c:pt>
                <c:pt idx="155">
                  <c:v>0.02516</c:v>
                </c:pt>
                <c:pt idx="156">
                  <c:v>0.02482</c:v>
                </c:pt>
                <c:pt idx="157">
                  <c:v>0.02447</c:v>
                </c:pt>
                <c:pt idx="158">
                  <c:v>0.02412</c:v>
                </c:pt>
                <c:pt idx="159">
                  <c:v>0.02379</c:v>
                </c:pt>
                <c:pt idx="160">
                  <c:v>0.02345</c:v>
                </c:pt>
                <c:pt idx="161">
                  <c:v>0.02313</c:v>
                </c:pt>
                <c:pt idx="162">
                  <c:v>0.02281</c:v>
                </c:pt>
                <c:pt idx="163">
                  <c:v>0.0225</c:v>
                </c:pt>
                <c:pt idx="164">
                  <c:v>0.0222</c:v>
                </c:pt>
                <c:pt idx="165">
                  <c:v>0.0219</c:v>
                </c:pt>
                <c:pt idx="166">
                  <c:v>0.02161</c:v>
                </c:pt>
                <c:pt idx="167">
                  <c:v>0.02132</c:v>
                </c:pt>
                <c:pt idx="168">
                  <c:v>0.02104</c:v>
                </c:pt>
                <c:pt idx="169">
                  <c:v>0.02076</c:v>
                </c:pt>
                <c:pt idx="170">
                  <c:v>0.0205</c:v>
                </c:pt>
                <c:pt idx="171">
                  <c:v>0.02023</c:v>
                </c:pt>
                <c:pt idx="172">
                  <c:v>0.01998</c:v>
                </c:pt>
                <c:pt idx="173">
                  <c:v>0.01973</c:v>
                </c:pt>
                <c:pt idx="174">
                  <c:v>0.01948</c:v>
                </c:pt>
                <c:pt idx="175">
                  <c:v>0.01925</c:v>
                </c:pt>
                <c:pt idx="176">
                  <c:v>0.01901</c:v>
                </c:pt>
                <c:pt idx="177">
                  <c:v>0.01879</c:v>
                </c:pt>
                <c:pt idx="178">
                  <c:v>0.01856</c:v>
                </c:pt>
                <c:pt idx="179">
                  <c:v>0.01834</c:v>
                </c:pt>
                <c:pt idx="180">
                  <c:v>0.01813</c:v>
                </c:pt>
                <c:pt idx="181">
                  <c:v>0.01792</c:v>
                </c:pt>
                <c:pt idx="182">
                  <c:v>0.01771</c:v>
                </c:pt>
                <c:pt idx="183">
                  <c:v>0.01751</c:v>
                </c:pt>
                <c:pt idx="184">
                  <c:v>0.01732</c:v>
                </c:pt>
                <c:pt idx="185">
                  <c:v>0.01712</c:v>
                </c:pt>
                <c:pt idx="186">
                  <c:v>0.01693</c:v>
                </c:pt>
                <c:pt idx="187">
                  <c:v>0.01674</c:v>
                </c:pt>
                <c:pt idx="188">
                  <c:v>0.01656</c:v>
                </c:pt>
                <c:pt idx="189">
                  <c:v>0.01638</c:v>
                </c:pt>
                <c:pt idx="190">
                  <c:v>0.0162</c:v>
                </c:pt>
                <c:pt idx="191">
                  <c:v>0.01602</c:v>
                </c:pt>
                <c:pt idx="192">
                  <c:v>0.01585</c:v>
                </c:pt>
                <c:pt idx="193">
                  <c:v>0.01569</c:v>
                </c:pt>
                <c:pt idx="194">
                  <c:v>0.01553</c:v>
                </c:pt>
                <c:pt idx="195">
                  <c:v>0.01537</c:v>
                </c:pt>
                <c:pt idx="196">
                  <c:v>0.01521</c:v>
                </c:pt>
                <c:pt idx="197">
                  <c:v>0.01505</c:v>
                </c:pt>
                <c:pt idx="198">
                  <c:v>0.01489</c:v>
                </c:pt>
                <c:pt idx="199">
                  <c:v>0.01473</c:v>
                </c:pt>
                <c:pt idx="200">
                  <c:v>0.01457</c:v>
                </c:pt>
                <c:pt idx="201">
                  <c:v>0.01443</c:v>
                </c:pt>
                <c:pt idx="202">
                  <c:v>0.01428</c:v>
                </c:pt>
                <c:pt idx="203">
                  <c:v>0.01413</c:v>
                </c:pt>
                <c:pt idx="204">
                  <c:v>0.01399</c:v>
                </c:pt>
                <c:pt idx="205">
                  <c:v>0.01386</c:v>
                </c:pt>
                <c:pt idx="206">
                  <c:v>0.01372</c:v>
                </c:pt>
                <c:pt idx="207">
                  <c:v>0.0136</c:v>
                </c:pt>
                <c:pt idx="208">
                  <c:v>0.01348</c:v>
                </c:pt>
                <c:pt idx="209">
                  <c:v>0.01337</c:v>
                </c:pt>
                <c:pt idx="210">
                  <c:v>0.01327</c:v>
                </c:pt>
                <c:pt idx="211">
                  <c:v>0.01316</c:v>
                </c:pt>
                <c:pt idx="212">
                  <c:v>0.01306</c:v>
                </c:pt>
                <c:pt idx="213">
                  <c:v>0.01297</c:v>
                </c:pt>
                <c:pt idx="214">
                  <c:v>0.01288</c:v>
                </c:pt>
                <c:pt idx="215">
                  <c:v>0.01279</c:v>
                </c:pt>
                <c:pt idx="216">
                  <c:v>0.01271</c:v>
                </c:pt>
                <c:pt idx="217">
                  <c:v>0.01263</c:v>
                </c:pt>
                <c:pt idx="218">
                  <c:v>0.01255</c:v>
                </c:pt>
                <c:pt idx="219">
                  <c:v>0.01247</c:v>
                </c:pt>
                <c:pt idx="220">
                  <c:v>0.01239</c:v>
                </c:pt>
                <c:pt idx="221">
                  <c:v>0.01232</c:v>
                </c:pt>
                <c:pt idx="222">
                  <c:v>0.01224</c:v>
                </c:pt>
                <c:pt idx="223">
                  <c:v>0.01217</c:v>
                </c:pt>
                <c:pt idx="224">
                  <c:v>0.01209</c:v>
                </c:pt>
                <c:pt idx="225">
                  <c:v>0.01202</c:v>
                </c:pt>
                <c:pt idx="226">
                  <c:v>0.01195</c:v>
                </c:pt>
                <c:pt idx="227">
                  <c:v>0.01187</c:v>
                </c:pt>
                <c:pt idx="228">
                  <c:v>0.0118</c:v>
                </c:pt>
                <c:pt idx="229">
                  <c:v>0.01173</c:v>
                </c:pt>
                <c:pt idx="230">
                  <c:v>0.01166</c:v>
                </c:pt>
                <c:pt idx="231">
                  <c:v>0.01159</c:v>
                </c:pt>
                <c:pt idx="232">
                  <c:v>0.01152</c:v>
                </c:pt>
                <c:pt idx="233">
                  <c:v>0.01146</c:v>
                </c:pt>
                <c:pt idx="234">
                  <c:v>0.01139</c:v>
                </c:pt>
                <c:pt idx="235">
                  <c:v>0.01132</c:v>
                </c:pt>
                <c:pt idx="236">
                  <c:v>0.01126</c:v>
                </c:pt>
                <c:pt idx="237">
                  <c:v>0.01119</c:v>
                </c:pt>
                <c:pt idx="238">
                  <c:v>0.01113</c:v>
                </c:pt>
                <c:pt idx="239">
                  <c:v>0.01106</c:v>
                </c:pt>
                <c:pt idx="240">
                  <c:v>0.011</c:v>
                </c:pt>
                <c:pt idx="241">
                  <c:v>0.01093</c:v>
                </c:pt>
                <c:pt idx="242">
                  <c:v>0.01087</c:v>
                </c:pt>
                <c:pt idx="243">
                  <c:v>0.01081</c:v>
                </c:pt>
                <c:pt idx="244">
                  <c:v>0.01075</c:v>
                </c:pt>
                <c:pt idx="245">
                  <c:v>0.01069</c:v>
                </c:pt>
                <c:pt idx="246">
                  <c:v>0.01063</c:v>
                </c:pt>
                <c:pt idx="247">
                  <c:v>0.01057</c:v>
                </c:pt>
                <c:pt idx="248">
                  <c:v>0.01051</c:v>
                </c:pt>
                <c:pt idx="249">
                  <c:v>0.01045</c:v>
                </c:pt>
                <c:pt idx="250">
                  <c:v>0.01039</c:v>
                </c:pt>
                <c:pt idx="251">
                  <c:v>0.01033</c:v>
                </c:pt>
                <c:pt idx="252">
                  <c:v>0.01028</c:v>
                </c:pt>
                <c:pt idx="253">
                  <c:v>0.01022</c:v>
                </c:pt>
                <c:pt idx="254">
                  <c:v>0.01016</c:v>
                </c:pt>
                <c:pt idx="255">
                  <c:v>0.01011</c:v>
                </c:pt>
                <c:pt idx="256">
                  <c:v>0.01005</c:v>
                </c:pt>
                <c:pt idx="257">
                  <c:v>0.009999</c:v>
                </c:pt>
                <c:pt idx="258">
                  <c:v>0.009945</c:v>
                </c:pt>
                <c:pt idx="259">
                  <c:v>0.009891</c:v>
                </c:pt>
                <c:pt idx="260">
                  <c:v>0.009838</c:v>
                </c:pt>
                <c:pt idx="261">
                  <c:v>0.009785</c:v>
                </c:pt>
                <c:pt idx="262">
                  <c:v>0.009733</c:v>
                </c:pt>
                <c:pt idx="263">
                  <c:v>0.009681</c:v>
                </c:pt>
                <c:pt idx="264">
                  <c:v>0.00963</c:v>
                </c:pt>
                <c:pt idx="265">
                  <c:v>0.009579</c:v>
                </c:pt>
                <c:pt idx="266">
                  <c:v>0.009528</c:v>
                </c:pt>
                <c:pt idx="267">
                  <c:v>0.009476</c:v>
                </c:pt>
                <c:pt idx="268">
                  <c:v>0.009425</c:v>
                </c:pt>
                <c:pt idx="269">
                  <c:v>0.009374</c:v>
                </c:pt>
                <c:pt idx="270">
                  <c:v>0.009323</c:v>
                </c:pt>
                <c:pt idx="271">
                  <c:v>0.009272</c:v>
                </c:pt>
                <c:pt idx="272">
                  <c:v>0.009221</c:v>
                </c:pt>
                <c:pt idx="273">
                  <c:v>0.009169</c:v>
                </c:pt>
                <c:pt idx="274">
                  <c:v>0.009118</c:v>
                </c:pt>
                <c:pt idx="275">
                  <c:v>0.009065</c:v>
                </c:pt>
                <c:pt idx="276">
                  <c:v>0.009013</c:v>
                </c:pt>
                <c:pt idx="277">
                  <c:v>0.008962</c:v>
                </c:pt>
                <c:pt idx="278">
                  <c:v>0.00891</c:v>
                </c:pt>
                <c:pt idx="279">
                  <c:v>0.008859</c:v>
                </c:pt>
                <c:pt idx="280">
                  <c:v>0.008807</c:v>
                </c:pt>
                <c:pt idx="281">
                  <c:v>0.008754</c:v>
                </c:pt>
                <c:pt idx="282">
                  <c:v>0.008701</c:v>
                </c:pt>
                <c:pt idx="283">
                  <c:v>0.008649</c:v>
                </c:pt>
                <c:pt idx="284">
                  <c:v>0.008596</c:v>
                </c:pt>
                <c:pt idx="285">
                  <c:v>0.008545</c:v>
                </c:pt>
                <c:pt idx="286">
                  <c:v>0.008493</c:v>
                </c:pt>
                <c:pt idx="287">
                  <c:v>0.008442</c:v>
                </c:pt>
                <c:pt idx="288">
                  <c:v>0.00839</c:v>
                </c:pt>
                <c:pt idx="289">
                  <c:v>0.008339</c:v>
                </c:pt>
                <c:pt idx="290">
                  <c:v>0.008289</c:v>
                </c:pt>
                <c:pt idx="291">
                  <c:v>0.008239</c:v>
                </c:pt>
                <c:pt idx="292">
                  <c:v>0.00819</c:v>
                </c:pt>
                <c:pt idx="293">
                  <c:v>0.008141</c:v>
                </c:pt>
                <c:pt idx="294">
                  <c:v>0.008092</c:v>
                </c:pt>
                <c:pt idx="295">
                  <c:v>0.008044</c:v>
                </c:pt>
                <c:pt idx="296">
                  <c:v>0.007997</c:v>
                </c:pt>
                <c:pt idx="297">
                  <c:v>0.00795</c:v>
                </c:pt>
                <c:pt idx="298">
                  <c:v>0.007903</c:v>
                </c:pt>
                <c:pt idx="299">
                  <c:v>0.007857</c:v>
                </c:pt>
                <c:pt idx="300">
                  <c:v>0.007811</c:v>
                </c:pt>
                <c:pt idx="301">
                  <c:v>0.007766</c:v>
                </c:pt>
                <c:pt idx="302">
                  <c:v>0.007721</c:v>
                </c:pt>
                <c:pt idx="303">
                  <c:v>0.007677</c:v>
                </c:pt>
                <c:pt idx="304">
                  <c:v>0.007633</c:v>
                </c:pt>
                <c:pt idx="305">
                  <c:v>0.007589</c:v>
                </c:pt>
                <c:pt idx="306">
                  <c:v>0.007546</c:v>
                </c:pt>
                <c:pt idx="307">
                  <c:v>0.007503</c:v>
                </c:pt>
                <c:pt idx="308">
                  <c:v>0.00746</c:v>
                </c:pt>
                <c:pt idx="309">
                  <c:v>0.007418</c:v>
                </c:pt>
                <c:pt idx="310">
                  <c:v>0.007376</c:v>
                </c:pt>
                <c:pt idx="311">
                  <c:v>0.007335</c:v>
                </c:pt>
                <c:pt idx="312">
                  <c:v>0.007294</c:v>
                </c:pt>
                <c:pt idx="313">
                  <c:v>0.007253</c:v>
                </c:pt>
                <c:pt idx="314">
                  <c:v>0.007213</c:v>
                </c:pt>
                <c:pt idx="315">
                  <c:v>0.007173</c:v>
                </c:pt>
                <c:pt idx="316">
                  <c:v>0.007134</c:v>
                </c:pt>
                <c:pt idx="317">
                  <c:v>0.007095</c:v>
                </c:pt>
                <c:pt idx="318">
                  <c:v>0.007056</c:v>
                </c:pt>
                <c:pt idx="319">
                  <c:v>0.007018</c:v>
                </c:pt>
                <c:pt idx="320">
                  <c:v>0.00698</c:v>
                </c:pt>
                <c:pt idx="321">
                  <c:v>0.006942</c:v>
                </c:pt>
                <c:pt idx="322">
                  <c:v>0.006905</c:v>
                </c:pt>
                <c:pt idx="323">
                  <c:v>0.006868</c:v>
                </c:pt>
                <c:pt idx="324">
                  <c:v>0.006831</c:v>
                </c:pt>
                <c:pt idx="325">
                  <c:v>0.006794</c:v>
                </c:pt>
                <c:pt idx="326">
                  <c:v>0.006758</c:v>
                </c:pt>
                <c:pt idx="327">
                  <c:v>0.006722</c:v>
                </c:pt>
                <c:pt idx="328">
                  <c:v>0.006687</c:v>
                </c:pt>
                <c:pt idx="329">
                  <c:v>0.006652</c:v>
                </c:pt>
                <c:pt idx="330">
                  <c:v>0.006617</c:v>
                </c:pt>
                <c:pt idx="331">
                  <c:v>0.006582</c:v>
                </c:pt>
                <c:pt idx="332">
                  <c:v>0.006548</c:v>
                </c:pt>
                <c:pt idx="333">
                  <c:v>0.006514</c:v>
                </c:pt>
                <c:pt idx="334">
                  <c:v>0.006481</c:v>
                </c:pt>
              </c:numCache>
            </c:numRef>
          </c:xVal>
          <c:yVal>
            <c:numRef>
              <c:f>'3MB1- in1'!$H$5:$H$908</c:f>
              <c:numCache>
                <c:formatCode>0.00E+00</c:formatCode>
                <c:ptCount val="904"/>
                <c:pt idx="0">
                  <c:v>0.001772</c:v>
                </c:pt>
                <c:pt idx="1">
                  <c:v>0.00179</c:v>
                </c:pt>
                <c:pt idx="2">
                  <c:v>0.001795</c:v>
                </c:pt>
                <c:pt idx="3">
                  <c:v>0.001801</c:v>
                </c:pt>
                <c:pt idx="4">
                  <c:v>0.001807</c:v>
                </c:pt>
                <c:pt idx="5">
                  <c:v>0.001803</c:v>
                </c:pt>
                <c:pt idx="6">
                  <c:v>0.001803</c:v>
                </c:pt>
                <c:pt idx="7">
                  <c:v>0.001803</c:v>
                </c:pt>
                <c:pt idx="8">
                  <c:v>0.001803</c:v>
                </c:pt>
                <c:pt idx="9">
                  <c:v>0.001281</c:v>
                </c:pt>
                <c:pt idx="10">
                  <c:v>0.001014</c:v>
                </c:pt>
                <c:pt idx="11">
                  <c:v>0.0008367</c:v>
                </c:pt>
                <c:pt idx="12">
                  <c:v>0.0006636</c:v>
                </c:pt>
                <c:pt idx="13">
                  <c:v>0.0004977</c:v>
                </c:pt>
                <c:pt idx="14">
                  <c:v>0.0003296</c:v>
                </c:pt>
                <c:pt idx="15">
                  <c:v>0.0001604</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0.0</c:v>
                </c:pt>
                <c:pt idx="45">
                  <c:v>0.0</c:v>
                </c:pt>
                <c:pt idx="46">
                  <c:v>0.0</c:v>
                </c:pt>
                <c:pt idx="47">
                  <c:v>0.0</c:v>
                </c:pt>
                <c:pt idx="48">
                  <c:v>0.0</c:v>
                </c:pt>
                <c:pt idx="49">
                  <c:v>0.0</c:v>
                </c:pt>
                <c:pt idx="50">
                  <c:v>0.0</c:v>
                </c:pt>
                <c:pt idx="51">
                  <c:v>0.0</c:v>
                </c:pt>
                <c:pt idx="52">
                  <c:v>0.0</c:v>
                </c:pt>
                <c:pt idx="53">
                  <c:v>0.0</c:v>
                </c:pt>
                <c:pt idx="54">
                  <c:v>0.0</c:v>
                </c:pt>
                <c:pt idx="55">
                  <c:v>0.0</c:v>
                </c:pt>
                <c:pt idx="56">
                  <c:v>0.0</c:v>
                </c:pt>
                <c:pt idx="57">
                  <c:v>0.0</c:v>
                </c:pt>
                <c:pt idx="58">
                  <c:v>0.0</c:v>
                </c:pt>
                <c:pt idx="59">
                  <c:v>0.0</c:v>
                </c:pt>
                <c:pt idx="60">
                  <c:v>0.0</c:v>
                </c:pt>
                <c:pt idx="61">
                  <c:v>0.0</c:v>
                </c:pt>
                <c:pt idx="62">
                  <c:v>0.0</c:v>
                </c:pt>
                <c:pt idx="63">
                  <c:v>0.0</c:v>
                </c:pt>
                <c:pt idx="64">
                  <c:v>0.0</c:v>
                </c:pt>
                <c:pt idx="65">
                  <c:v>0.0</c:v>
                </c:pt>
                <c:pt idx="66">
                  <c:v>0.0</c:v>
                </c:pt>
                <c:pt idx="67">
                  <c:v>0.0</c:v>
                </c:pt>
                <c:pt idx="68">
                  <c:v>0.0</c:v>
                </c:pt>
                <c:pt idx="69">
                  <c:v>0.0</c:v>
                </c:pt>
                <c:pt idx="70">
                  <c:v>0.0</c:v>
                </c:pt>
                <c:pt idx="71">
                  <c:v>0.0</c:v>
                </c:pt>
                <c:pt idx="72">
                  <c:v>0.0</c:v>
                </c:pt>
                <c:pt idx="73">
                  <c:v>0.0</c:v>
                </c:pt>
                <c:pt idx="74">
                  <c:v>0.0</c:v>
                </c:pt>
                <c:pt idx="75">
                  <c:v>0.0</c:v>
                </c:pt>
                <c:pt idx="76">
                  <c:v>0.0</c:v>
                </c:pt>
                <c:pt idx="77">
                  <c:v>0.0</c:v>
                </c:pt>
                <c:pt idx="78">
                  <c:v>0.0</c:v>
                </c:pt>
                <c:pt idx="79">
                  <c:v>0.0</c:v>
                </c:pt>
                <c:pt idx="80">
                  <c:v>0.0</c:v>
                </c:pt>
                <c:pt idx="81">
                  <c:v>0.0</c:v>
                </c:pt>
                <c:pt idx="82">
                  <c:v>0.0</c:v>
                </c:pt>
                <c:pt idx="83">
                  <c:v>0.0</c:v>
                </c:pt>
                <c:pt idx="84">
                  <c:v>0.0</c:v>
                </c:pt>
                <c:pt idx="85">
                  <c:v>0.0</c:v>
                </c:pt>
                <c:pt idx="86">
                  <c:v>0.0</c:v>
                </c:pt>
                <c:pt idx="87">
                  <c:v>0.0</c:v>
                </c:pt>
                <c:pt idx="88">
                  <c:v>0.0</c:v>
                </c:pt>
                <c:pt idx="89">
                  <c:v>0.0</c:v>
                </c:pt>
                <c:pt idx="90">
                  <c:v>0.0001816</c:v>
                </c:pt>
                <c:pt idx="91">
                  <c:v>0.0003668</c:v>
                </c:pt>
                <c:pt idx="92">
                  <c:v>0.000556</c:v>
                </c:pt>
                <c:pt idx="93">
                  <c:v>0.0007497</c:v>
                </c:pt>
                <c:pt idx="94">
                  <c:v>0.0009473</c:v>
                </c:pt>
                <c:pt idx="95">
                  <c:v>0.001347</c:v>
                </c:pt>
                <c:pt idx="96">
                  <c:v>0.001755</c:v>
                </c:pt>
                <c:pt idx="97">
                  <c:v>0.002393</c:v>
                </c:pt>
                <c:pt idx="98">
                  <c:v>0.003279</c:v>
                </c:pt>
                <c:pt idx="99">
                  <c:v>0.004196</c:v>
                </c:pt>
                <c:pt idx="100">
                  <c:v>0.005128</c:v>
                </c:pt>
                <c:pt idx="101">
                  <c:v>0.005915</c:v>
                </c:pt>
                <c:pt idx="102">
                  <c:v>0.006716</c:v>
                </c:pt>
                <c:pt idx="103">
                  <c:v>0.007813</c:v>
                </c:pt>
                <c:pt idx="104">
                  <c:v>0.008882</c:v>
                </c:pt>
                <c:pt idx="105">
                  <c:v>0.009968</c:v>
                </c:pt>
                <c:pt idx="106">
                  <c:v>0.01088</c:v>
                </c:pt>
                <c:pt idx="107">
                  <c:v>0.01181</c:v>
                </c:pt>
                <c:pt idx="108">
                  <c:v>0.01252</c:v>
                </c:pt>
                <c:pt idx="109">
                  <c:v>0.01273</c:v>
                </c:pt>
                <c:pt idx="110">
                  <c:v>0.0132</c:v>
                </c:pt>
                <c:pt idx="111">
                  <c:v>0.01367</c:v>
                </c:pt>
                <c:pt idx="112">
                  <c:v>0.01412</c:v>
                </c:pt>
                <c:pt idx="113">
                  <c:v>0.01457</c:v>
                </c:pt>
                <c:pt idx="114">
                  <c:v>0.01474</c:v>
                </c:pt>
                <c:pt idx="115">
                  <c:v>0.0156</c:v>
                </c:pt>
                <c:pt idx="116">
                  <c:v>0.01678</c:v>
                </c:pt>
                <c:pt idx="117">
                  <c:v>0.01825</c:v>
                </c:pt>
                <c:pt idx="118">
                  <c:v>0.02004</c:v>
                </c:pt>
                <c:pt idx="119">
                  <c:v>0.02185</c:v>
                </c:pt>
                <c:pt idx="120">
                  <c:v>0.02397</c:v>
                </c:pt>
                <c:pt idx="121">
                  <c:v>0.02581</c:v>
                </c:pt>
                <c:pt idx="122">
                  <c:v>0.02803</c:v>
                </c:pt>
                <c:pt idx="123">
                  <c:v>0.03026</c:v>
                </c:pt>
                <c:pt idx="124">
                  <c:v>0.03283</c:v>
                </c:pt>
                <c:pt idx="125">
                  <c:v>0.03576</c:v>
                </c:pt>
                <c:pt idx="126">
                  <c:v>0.03774</c:v>
                </c:pt>
                <c:pt idx="127">
                  <c:v>0.03944</c:v>
                </c:pt>
                <c:pt idx="128">
                  <c:v>0.04085</c:v>
                </c:pt>
                <c:pt idx="129">
                  <c:v>0.04232</c:v>
                </c:pt>
                <c:pt idx="130">
                  <c:v>0.04378</c:v>
                </c:pt>
                <c:pt idx="131">
                  <c:v>0.04526</c:v>
                </c:pt>
                <c:pt idx="132">
                  <c:v>0.04702</c:v>
                </c:pt>
                <c:pt idx="133">
                  <c:v>0.04842</c:v>
                </c:pt>
                <c:pt idx="134">
                  <c:v>0.04984</c:v>
                </c:pt>
                <c:pt idx="135">
                  <c:v>0.05051</c:v>
                </c:pt>
                <c:pt idx="136">
                  <c:v>0.05082</c:v>
                </c:pt>
                <c:pt idx="137">
                  <c:v>0.05148</c:v>
                </c:pt>
                <c:pt idx="138">
                  <c:v>0.0521</c:v>
                </c:pt>
                <c:pt idx="139">
                  <c:v>0.05273</c:v>
                </c:pt>
                <c:pt idx="140">
                  <c:v>0.05226</c:v>
                </c:pt>
                <c:pt idx="141">
                  <c:v>0.05255</c:v>
                </c:pt>
                <c:pt idx="142">
                  <c:v>0.05371</c:v>
                </c:pt>
                <c:pt idx="143">
                  <c:v>0.05453</c:v>
                </c:pt>
                <c:pt idx="144">
                  <c:v>0.05573</c:v>
                </c:pt>
                <c:pt idx="145">
                  <c:v>0.05701</c:v>
                </c:pt>
                <c:pt idx="146">
                  <c:v>0.0597</c:v>
                </c:pt>
                <c:pt idx="147">
                  <c:v>0.06253</c:v>
                </c:pt>
                <c:pt idx="148">
                  <c:v>0.06579</c:v>
                </c:pt>
                <c:pt idx="149">
                  <c:v>0.06887</c:v>
                </c:pt>
                <c:pt idx="150">
                  <c:v>0.07217</c:v>
                </c:pt>
                <c:pt idx="151">
                  <c:v>0.07646</c:v>
                </c:pt>
                <c:pt idx="152">
                  <c:v>0.07948</c:v>
                </c:pt>
                <c:pt idx="153">
                  <c:v>0.082</c:v>
                </c:pt>
                <c:pt idx="154">
                  <c:v>0.08523</c:v>
                </c:pt>
                <c:pt idx="155">
                  <c:v>0.08889</c:v>
                </c:pt>
                <c:pt idx="156">
                  <c:v>0.09318</c:v>
                </c:pt>
                <c:pt idx="157">
                  <c:v>0.09791</c:v>
                </c:pt>
                <c:pt idx="158">
                  <c:v>0.1036</c:v>
                </c:pt>
                <c:pt idx="159">
                  <c:v>0.1092</c:v>
                </c:pt>
                <c:pt idx="160">
                  <c:v>0.1186</c:v>
                </c:pt>
                <c:pt idx="161">
                  <c:v>0.1296</c:v>
                </c:pt>
                <c:pt idx="162">
                  <c:v>0.142</c:v>
                </c:pt>
                <c:pt idx="163">
                  <c:v>0.1564</c:v>
                </c:pt>
                <c:pt idx="164">
                  <c:v>0.1724</c:v>
                </c:pt>
                <c:pt idx="165">
                  <c:v>0.1903</c:v>
                </c:pt>
                <c:pt idx="166">
                  <c:v>0.2099</c:v>
                </c:pt>
                <c:pt idx="167">
                  <c:v>0.2319</c:v>
                </c:pt>
                <c:pt idx="168">
                  <c:v>0.2546</c:v>
                </c:pt>
                <c:pt idx="169">
                  <c:v>0.2773</c:v>
                </c:pt>
                <c:pt idx="170">
                  <c:v>0.303</c:v>
                </c:pt>
                <c:pt idx="171">
                  <c:v>0.3263</c:v>
                </c:pt>
                <c:pt idx="172">
                  <c:v>0.3475</c:v>
                </c:pt>
                <c:pt idx="173">
                  <c:v>0.3704</c:v>
                </c:pt>
                <c:pt idx="174">
                  <c:v>0.3934</c:v>
                </c:pt>
                <c:pt idx="175">
                  <c:v>0.4141</c:v>
                </c:pt>
                <c:pt idx="176">
                  <c:v>0.4314</c:v>
                </c:pt>
                <c:pt idx="177">
                  <c:v>0.4452</c:v>
                </c:pt>
                <c:pt idx="178">
                  <c:v>0.456</c:v>
                </c:pt>
                <c:pt idx="179">
                  <c:v>0.4635</c:v>
                </c:pt>
                <c:pt idx="180">
                  <c:v>0.4715</c:v>
                </c:pt>
                <c:pt idx="181">
                  <c:v>0.476</c:v>
                </c:pt>
                <c:pt idx="182">
                  <c:v>0.4761</c:v>
                </c:pt>
                <c:pt idx="183">
                  <c:v>0.4747</c:v>
                </c:pt>
                <c:pt idx="184">
                  <c:v>0.4692</c:v>
                </c:pt>
                <c:pt idx="185">
                  <c:v>0.4606</c:v>
                </c:pt>
                <c:pt idx="186">
                  <c:v>0.4524</c:v>
                </c:pt>
                <c:pt idx="187">
                  <c:v>0.4458</c:v>
                </c:pt>
                <c:pt idx="188">
                  <c:v>0.4385</c:v>
                </c:pt>
                <c:pt idx="189">
                  <c:v>0.4299</c:v>
                </c:pt>
                <c:pt idx="190">
                  <c:v>0.4219</c:v>
                </c:pt>
                <c:pt idx="191">
                  <c:v>0.4102</c:v>
                </c:pt>
                <c:pt idx="192">
                  <c:v>0.3953</c:v>
                </c:pt>
                <c:pt idx="193">
                  <c:v>0.3836</c:v>
                </c:pt>
                <c:pt idx="194">
                  <c:v>0.3738</c:v>
                </c:pt>
                <c:pt idx="195">
                  <c:v>0.364</c:v>
                </c:pt>
                <c:pt idx="196">
                  <c:v>0.3547</c:v>
                </c:pt>
                <c:pt idx="197">
                  <c:v>0.3442</c:v>
                </c:pt>
                <c:pt idx="198">
                  <c:v>0.3333</c:v>
                </c:pt>
                <c:pt idx="199">
                  <c:v>0.3236</c:v>
                </c:pt>
                <c:pt idx="200">
                  <c:v>0.3132</c:v>
                </c:pt>
                <c:pt idx="201">
                  <c:v>0.3027</c:v>
                </c:pt>
                <c:pt idx="202">
                  <c:v>0.2935</c:v>
                </c:pt>
                <c:pt idx="203">
                  <c:v>0.2889</c:v>
                </c:pt>
                <c:pt idx="204">
                  <c:v>0.2854</c:v>
                </c:pt>
                <c:pt idx="205">
                  <c:v>0.2824</c:v>
                </c:pt>
                <c:pt idx="206">
                  <c:v>0.2792</c:v>
                </c:pt>
                <c:pt idx="207">
                  <c:v>0.2768</c:v>
                </c:pt>
                <c:pt idx="208">
                  <c:v>0.2754</c:v>
                </c:pt>
                <c:pt idx="209">
                  <c:v>0.2714</c:v>
                </c:pt>
                <c:pt idx="210">
                  <c:v>0.2678</c:v>
                </c:pt>
                <c:pt idx="211">
                  <c:v>0.2655</c:v>
                </c:pt>
                <c:pt idx="212">
                  <c:v>0.2618</c:v>
                </c:pt>
                <c:pt idx="213">
                  <c:v>0.2567</c:v>
                </c:pt>
                <c:pt idx="214">
                  <c:v>0.2512</c:v>
                </c:pt>
                <c:pt idx="215">
                  <c:v>0.2449</c:v>
                </c:pt>
                <c:pt idx="216">
                  <c:v>0.2346</c:v>
                </c:pt>
                <c:pt idx="217">
                  <c:v>0.2249</c:v>
                </c:pt>
                <c:pt idx="218">
                  <c:v>0.2144</c:v>
                </c:pt>
                <c:pt idx="219">
                  <c:v>0.2035</c:v>
                </c:pt>
                <c:pt idx="220">
                  <c:v>0.195</c:v>
                </c:pt>
                <c:pt idx="221">
                  <c:v>0.187</c:v>
                </c:pt>
                <c:pt idx="222">
                  <c:v>0.1806</c:v>
                </c:pt>
                <c:pt idx="223">
                  <c:v>0.1777</c:v>
                </c:pt>
                <c:pt idx="224">
                  <c:v>0.1777</c:v>
                </c:pt>
                <c:pt idx="225">
                  <c:v>0.174</c:v>
                </c:pt>
                <c:pt idx="226">
                  <c:v>0.1695</c:v>
                </c:pt>
                <c:pt idx="227">
                  <c:v>0.1686</c:v>
                </c:pt>
                <c:pt idx="228">
                  <c:v>0.1678</c:v>
                </c:pt>
                <c:pt idx="229">
                  <c:v>0.1669</c:v>
                </c:pt>
                <c:pt idx="230">
                  <c:v>0.1666</c:v>
                </c:pt>
                <c:pt idx="231">
                  <c:v>0.1664</c:v>
                </c:pt>
                <c:pt idx="232">
                  <c:v>0.164</c:v>
                </c:pt>
                <c:pt idx="233">
                  <c:v>0.16</c:v>
                </c:pt>
                <c:pt idx="234">
                  <c:v>0.1552</c:v>
                </c:pt>
                <c:pt idx="235">
                  <c:v>0.1505</c:v>
                </c:pt>
                <c:pt idx="236">
                  <c:v>0.1495</c:v>
                </c:pt>
                <c:pt idx="237">
                  <c:v>0.1493</c:v>
                </c:pt>
                <c:pt idx="238">
                  <c:v>0.1477</c:v>
                </c:pt>
                <c:pt idx="239">
                  <c:v>0.1474</c:v>
                </c:pt>
                <c:pt idx="240">
                  <c:v>0.1487</c:v>
                </c:pt>
                <c:pt idx="241">
                  <c:v>0.1517</c:v>
                </c:pt>
                <c:pt idx="242">
                  <c:v>0.1539</c:v>
                </c:pt>
                <c:pt idx="243">
                  <c:v>0.1575</c:v>
                </c:pt>
                <c:pt idx="244">
                  <c:v>0.1619</c:v>
                </c:pt>
                <c:pt idx="245">
                  <c:v>0.1633</c:v>
                </c:pt>
                <c:pt idx="246">
                  <c:v>0.1622</c:v>
                </c:pt>
                <c:pt idx="247">
                  <c:v>0.1587</c:v>
                </c:pt>
                <c:pt idx="248">
                  <c:v>0.1535</c:v>
                </c:pt>
                <c:pt idx="249">
                  <c:v>0.149</c:v>
                </c:pt>
                <c:pt idx="250">
                  <c:v>0.1422</c:v>
                </c:pt>
                <c:pt idx="251">
                  <c:v>0.1353</c:v>
                </c:pt>
                <c:pt idx="252">
                  <c:v>0.1244</c:v>
                </c:pt>
                <c:pt idx="253">
                  <c:v>0.1149</c:v>
                </c:pt>
                <c:pt idx="254">
                  <c:v>0.1064</c:v>
                </c:pt>
                <c:pt idx="255">
                  <c:v>0.09701</c:v>
                </c:pt>
                <c:pt idx="256">
                  <c:v>0.09073</c:v>
                </c:pt>
                <c:pt idx="257">
                  <c:v>0.08529</c:v>
                </c:pt>
                <c:pt idx="258">
                  <c:v>0.08148</c:v>
                </c:pt>
                <c:pt idx="259">
                  <c:v>0.07928</c:v>
                </c:pt>
                <c:pt idx="260">
                  <c:v>0.07708</c:v>
                </c:pt>
                <c:pt idx="261">
                  <c:v>0.07721</c:v>
                </c:pt>
                <c:pt idx="262">
                  <c:v>0.07649</c:v>
                </c:pt>
                <c:pt idx="263">
                  <c:v>0.07895</c:v>
                </c:pt>
                <c:pt idx="264">
                  <c:v>0.07976</c:v>
                </c:pt>
                <c:pt idx="265">
                  <c:v>0.08054</c:v>
                </c:pt>
                <c:pt idx="266">
                  <c:v>0.08378</c:v>
                </c:pt>
                <c:pt idx="267">
                  <c:v>0.08522</c:v>
                </c:pt>
                <c:pt idx="268">
                  <c:v>0.0881</c:v>
                </c:pt>
                <c:pt idx="269">
                  <c:v>0.09168</c:v>
                </c:pt>
                <c:pt idx="270">
                  <c:v>0.09586</c:v>
                </c:pt>
                <c:pt idx="271">
                  <c:v>0.1001</c:v>
                </c:pt>
                <c:pt idx="272">
                  <c:v>0.1036</c:v>
                </c:pt>
                <c:pt idx="273">
                  <c:v>0.107</c:v>
                </c:pt>
                <c:pt idx="274">
                  <c:v>0.1104</c:v>
                </c:pt>
                <c:pt idx="275">
                  <c:v>0.1144</c:v>
                </c:pt>
                <c:pt idx="276">
                  <c:v>0.1167</c:v>
                </c:pt>
                <c:pt idx="277">
                  <c:v>0.1157</c:v>
                </c:pt>
                <c:pt idx="278">
                  <c:v>0.1186</c:v>
                </c:pt>
                <c:pt idx="279">
                  <c:v>0.1202</c:v>
                </c:pt>
                <c:pt idx="280">
                  <c:v>0.1203</c:v>
                </c:pt>
                <c:pt idx="281">
                  <c:v>0.1198</c:v>
                </c:pt>
                <c:pt idx="282">
                  <c:v>0.1191</c:v>
                </c:pt>
                <c:pt idx="283">
                  <c:v>0.1177</c:v>
                </c:pt>
                <c:pt idx="284">
                  <c:v>0.115</c:v>
                </c:pt>
                <c:pt idx="285">
                  <c:v>0.11</c:v>
                </c:pt>
                <c:pt idx="286">
                  <c:v>0.1052</c:v>
                </c:pt>
                <c:pt idx="287">
                  <c:v>0.09992</c:v>
                </c:pt>
                <c:pt idx="288">
                  <c:v>0.09701</c:v>
                </c:pt>
                <c:pt idx="289">
                  <c:v>0.08887</c:v>
                </c:pt>
                <c:pt idx="290">
                  <c:v>0.08145</c:v>
                </c:pt>
                <c:pt idx="291">
                  <c:v>0.0748</c:v>
                </c:pt>
                <c:pt idx="292">
                  <c:v>0.06814</c:v>
                </c:pt>
                <c:pt idx="293">
                  <c:v>0.06242</c:v>
                </c:pt>
                <c:pt idx="294">
                  <c:v>0.05817</c:v>
                </c:pt>
                <c:pt idx="295">
                  <c:v>0.05692</c:v>
                </c:pt>
                <c:pt idx="296">
                  <c:v>0.05877</c:v>
                </c:pt>
                <c:pt idx="297">
                  <c:v>0.06137</c:v>
                </c:pt>
                <c:pt idx="298">
                  <c:v>0.06628</c:v>
                </c:pt>
                <c:pt idx="299">
                  <c:v>0.07046</c:v>
                </c:pt>
                <c:pt idx="300">
                  <c:v>0.0769</c:v>
                </c:pt>
                <c:pt idx="301">
                  <c:v>0.08412</c:v>
                </c:pt>
                <c:pt idx="302">
                  <c:v>0.09216</c:v>
                </c:pt>
                <c:pt idx="303">
                  <c:v>0.09946</c:v>
                </c:pt>
                <c:pt idx="304">
                  <c:v>0.1044</c:v>
                </c:pt>
                <c:pt idx="305">
                  <c:v>0.1086</c:v>
                </c:pt>
                <c:pt idx="306">
                  <c:v>0.1114</c:v>
                </c:pt>
                <c:pt idx="307">
                  <c:v>0.1109</c:v>
                </c:pt>
                <c:pt idx="308">
                  <c:v>0.1105</c:v>
                </c:pt>
                <c:pt idx="309">
                  <c:v>0.1092</c:v>
                </c:pt>
                <c:pt idx="310">
                  <c:v>0.1072</c:v>
                </c:pt>
                <c:pt idx="311">
                  <c:v>0.1051</c:v>
                </c:pt>
                <c:pt idx="312">
                  <c:v>0.1016</c:v>
                </c:pt>
                <c:pt idx="313">
                  <c:v>0.09711</c:v>
                </c:pt>
                <c:pt idx="314">
                  <c:v>0.09427</c:v>
                </c:pt>
                <c:pt idx="315">
                  <c:v>0.093</c:v>
                </c:pt>
                <c:pt idx="316">
                  <c:v>0.0909</c:v>
                </c:pt>
                <c:pt idx="317">
                  <c:v>0.08794</c:v>
                </c:pt>
                <c:pt idx="318">
                  <c:v>0.08741</c:v>
                </c:pt>
                <c:pt idx="319">
                  <c:v>0.08355</c:v>
                </c:pt>
                <c:pt idx="320">
                  <c:v>0.07884</c:v>
                </c:pt>
                <c:pt idx="321">
                  <c:v>0.07492</c:v>
                </c:pt>
                <c:pt idx="322">
                  <c:v>0.0701</c:v>
                </c:pt>
                <c:pt idx="323">
                  <c:v>0.06608</c:v>
                </c:pt>
                <c:pt idx="324">
                  <c:v>0.06123</c:v>
                </c:pt>
                <c:pt idx="325">
                  <c:v>0.05581</c:v>
                </c:pt>
                <c:pt idx="326">
                  <c:v>0.05066</c:v>
                </c:pt>
                <c:pt idx="327">
                  <c:v>0.04316</c:v>
                </c:pt>
                <c:pt idx="328">
                  <c:v>0.03646</c:v>
                </c:pt>
                <c:pt idx="329">
                  <c:v>0.02892</c:v>
                </c:pt>
                <c:pt idx="330">
                  <c:v>0.02627</c:v>
                </c:pt>
                <c:pt idx="331">
                  <c:v>0.02401</c:v>
                </c:pt>
                <c:pt idx="332">
                  <c:v>0.02118</c:v>
                </c:pt>
                <c:pt idx="333">
                  <c:v>0.01887</c:v>
                </c:pt>
                <c:pt idx="334">
                  <c:v>0.01577</c:v>
                </c:pt>
              </c:numCache>
            </c:numRef>
          </c:yVal>
          <c:smooth val="0"/>
        </c:ser>
        <c:dLbls>
          <c:showLegendKey val="0"/>
          <c:showVal val="0"/>
          <c:showCatName val="0"/>
          <c:showSerName val="0"/>
          <c:showPercent val="0"/>
          <c:showBubbleSize val="0"/>
        </c:dLbls>
        <c:axId val="2130590392"/>
        <c:axId val="2130596360"/>
      </c:scatterChart>
      <c:valAx>
        <c:axId val="2130590392"/>
        <c:scaling>
          <c:logBase val="10.0"/>
          <c:orientation val="maxMin"/>
          <c:max val="0.1"/>
        </c:scaling>
        <c:delete val="0"/>
        <c:axPos val="b"/>
        <c:majorGridlines/>
        <c:title>
          <c:tx>
            <c:rich>
              <a:bodyPr/>
              <a:lstStyle/>
              <a:p>
                <a:pPr>
                  <a:defRPr sz="800"/>
                </a:pPr>
                <a:r>
                  <a:rPr lang="it-IT" sz="1100" b="1" i="0" baseline="0">
                    <a:effectLst/>
                  </a:rPr>
                  <a:t>Pore Diameter (μm) </a:t>
                </a:r>
                <a:endParaRPr lang="it-IT" sz="800">
                  <a:effectLst/>
                </a:endParaRPr>
              </a:p>
            </c:rich>
          </c:tx>
          <c:layout>
            <c:manualLayout>
              <c:xMode val="edge"/>
              <c:yMode val="edge"/>
              <c:x val="0.357657556318974"/>
              <c:y val="0.908655441507312"/>
            </c:manualLayout>
          </c:layout>
          <c:overlay val="0"/>
        </c:title>
        <c:numFmt formatCode="General" sourceLinked="0"/>
        <c:majorTickMark val="out"/>
        <c:minorTickMark val="none"/>
        <c:tickLblPos val="nextTo"/>
        <c:spPr>
          <a:ln>
            <a:solidFill>
              <a:schemeClr val="tx1"/>
            </a:solidFill>
          </a:ln>
        </c:spPr>
        <c:txPr>
          <a:bodyPr rot="0" vert="horz"/>
          <a:lstStyle/>
          <a:p>
            <a:pPr>
              <a:defRPr sz="1100" b="0" i="0" u="none" strike="noStrike" baseline="0">
                <a:solidFill>
                  <a:srgbClr val="000000"/>
                </a:solidFill>
                <a:latin typeface="ＭＳ Ｐゴシック"/>
                <a:ea typeface="ＭＳ Ｐゴシック"/>
                <a:cs typeface="ＭＳ Ｐゴシック"/>
              </a:defRPr>
            </a:pPr>
            <a:endParaRPr lang="en-US"/>
          </a:p>
        </c:txPr>
        <c:crossAx val="2130596360"/>
        <c:crosses val="autoZero"/>
        <c:crossBetween val="midCat"/>
      </c:valAx>
      <c:valAx>
        <c:axId val="2130596360"/>
        <c:scaling>
          <c:orientation val="minMax"/>
        </c:scaling>
        <c:delete val="0"/>
        <c:axPos val="l"/>
        <c:majorGridlines/>
        <c:title>
          <c:tx>
            <c:rich>
              <a:bodyPr rot="-5400000" vert="horz"/>
              <a:lstStyle/>
              <a:p>
                <a:pPr algn="ctr">
                  <a:defRPr/>
                </a:pPr>
                <a:r>
                  <a:rPr lang="it-IT" sz="1100" b="1" i="0" baseline="0">
                    <a:effectLst/>
                  </a:rPr>
                  <a:t>Incremental Volume (dV/dlogD)</a:t>
                </a:r>
                <a:endParaRPr lang="it-IT" sz="1100">
                  <a:effectLst/>
                </a:endParaRPr>
              </a:p>
            </c:rich>
          </c:tx>
          <c:layout>
            <c:manualLayout>
              <c:xMode val="edge"/>
              <c:yMode val="edge"/>
              <c:x val="0.0185328185328185"/>
              <c:y val="0.0620746625421822"/>
            </c:manualLayout>
          </c:layout>
          <c:overlay val="0"/>
        </c:title>
        <c:numFmt formatCode="General" sourceLinked="0"/>
        <c:majorTickMark val="out"/>
        <c:minorTickMark val="none"/>
        <c:tickLblPos val="nextTo"/>
        <c:spPr>
          <a:ln>
            <a:solidFill>
              <a:schemeClr val="tx1"/>
            </a:solidFill>
          </a:ln>
        </c:spPr>
        <c:txPr>
          <a:bodyPr/>
          <a:lstStyle/>
          <a:p>
            <a:pPr>
              <a:defRPr lang="ja-JP"/>
            </a:pPr>
            <a:endParaRPr lang="en-US"/>
          </a:p>
        </c:txPr>
        <c:crossAx val="2130590392"/>
        <c:crosses val="max"/>
        <c:crossBetween val="midCat"/>
      </c:valAx>
    </c:plotArea>
    <c:legend>
      <c:legendPos val="r"/>
      <c:layout>
        <c:manualLayout>
          <c:xMode val="edge"/>
          <c:yMode val="edge"/>
          <c:x val="0.661645638889733"/>
          <c:y val="0.0971284448818897"/>
          <c:w val="0.253412276168182"/>
          <c:h val="0.270028473003375"/>
        </c:manualLayout>
      </c:layout>
      <c:overlay val="0"/>
      <c:txPr>
        <a:bodyPr/>
        <a:lstStyle/>
        <a:p>
          <a:pPr>
            <a:defRPr lang="ja-JP"/>
          </a:pPr>
          <a:endParaRPr lang="en-US"/>
        </a:p>
      </c:txPr>
    </c:legend>
    <c:plotVisOnly val="1"/>
    <c:dispBlanksAs val="gap"/>
    <c:showDLblsOverMax val="0"/>
  </c:chart>
  <c:spPr>
    <a:ln>
      <a:noFill/>
    </a:ln>
  </c:spPr>
  <c:txPr>
    <a:bodyPr/>
    <a:lstStyle/>
    <a:p>
      <a:pPr>
        <a:defRPr sz="1100">
          <a:latin typeface="Arial"/>
          <a:cs typeface="Arial"/>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05679811697398"/>
          <c:y val="0.145853255015016"/>
          <c:w val="0.717279541596051"/>
          <c:h val="0.70251437602052"/>
        </c:manualLayout>
      </c:layout>
      <c:scatterChart>
        <c:scatterStyle val="lineMarker"/>
        <c:varyColors val="0"/>
        <c:ser>
          <c:idx val="1"/>
          <c:order val="1"/>
          <c:tx>
            <c:v>6MB1</c:v>
          </c:tx>
          <c:spPr>
            <a:ln w="25400">
              <a:solidFill>
                <a:schemeClr val="tx1"/>
              </a:solidFill>
              <a:prstDash val="solid"/>
            </a:ln>
          </c:spPr>
          <c:marker>
            <c:symbol val="none"/>
          </c:marker>
          <c:xVal>
            <c:numRef>
              <c:f>'6MB1- in1'!$C$5:$C$896</c:f>
              <c:numCache>
                <c:formatCode>0.00E+00</c:formatCode>
                <c:ptCount val="892"/>
                <c:pt idx="0">
                  <c:v>10.65</c:v>
                </c:pt>
                <c:pt idx="1">
                  <c:v>10.33</c:v>
                </c:pt>
                <c:pt idx="2">
                  <c:v>10.02</c:v>
                </c:pt>
                <c:pt idx="3">
                  <c:v>9.710999999999998</c:v>
                </c:pt>
                <c:pt idx="4">
                  <c:v>9.399</c:v>
                </c:pt>
                <c:pt idx="5">
                  <c:v>9.099</c:v>
                </c:pt>
                <c:pt idx="6">
                  <c:v>8.82</c:v>
                </c:pt>
                <c:pt idx="7">
                  <c:v>8.543999999999998</c:v>
                </c:pt>
                <c:pt idx="8">
                  <c:v>8.271</c:v>
                </c:pt>
                <c:pt idx="9">
                  <c:v>7.995</c:v>
                </c:pt>
                <c:pt idx="10">
                  <c:v>7.717</c:v>
                </c:pt>
                <c:pt idx="11">
                  <c:v>7.438</c:v>
                </c:pt>
                <c:pt idx="12">
                  <c:v>7.155999999999985</c:v>
                </c:pt>
                <c:pt idx="13">
                  <c:v>6.876</c:v>
                </c:pt>
                <c:pt idx="14">
                  <c:v>6.592</c:v>
                </c:pt>
                <c:pt idx="15">
                  <c:v>6.302</c:v>
                </c:pt>
                <c:pt idx="16">
                  <c:v>6.011</c:v>
                </c:pt>
                <c:pt idx="17">
                  <c:v>5.716</c:v>
                </c:pt>
                <c:pt idx="18">
                  <c:v>5.419</c:v>
                </c:pt>
                <c:pt idx="19">
                  <c:v>5.118999999999994</c:v>
                </c:pt>
                <c:pt idx="20">
                  <c:v>4.816999999999997</c:v>
                </c:pt>
                <c:pt idx="21">
                  <c:v>4.516</c:v>
                </c:pt>
                <c:pt idx="22">
                  <c:v>4.214</c:v>
                </c:pt>
                <c:pt idx="23">
                  <c:v>3.911</c:v>
                </c:pt>
                <c:pt idx="24">
                  <c:v>3.609</c:v>
                </c:pt>
                <c:pt idx="25">
                  <c:v>3.310999999999999</c:v>
                </c:pt>
                <c:pt idx="26">
                  <c:v>3.019</c:v>
                </c:pt>
                <c:pt idx="27">
                  <c:v>2.735</c:v>
                </c:pt>
                <c:pt idx="28">
                  <c:v>2.461</c:v>
                </c:pt>
                <c:pt idx="29">
                  <c:v>2.2</c:v>
                </c:pt>
                <c:pt idx="30">
                  <c:v>1.956</c:v>
                </c:pt>
                <c:pt idx="31">
                  <c:v>1.73</c:v>
                </c:pt>
                <c:pt idx="32">
                  <c:v>1.525</c:v>
                </c:pt>
                <c:pt idx="33">
                  <c:v>1.341</c:v>
                </c:pt>
                <c:pt idx="34">
                  <c:v>1.179</c:v>
                </c:pt>
                <c:pt idx="35">
                  <c:v>1.037</c:v>
                </c:pt>
                <c:pt idx="36">
                  <c:v>0.915</c:v>
                </c:pt>
                <c:pt idx="37">
                  <c:v>0.8101</c:v>
                </c:pt>
                <c:pt idx="38">
                  <c:v>0.7203</c:v>
                </c:pt>
                <c:pt idx="39">
                  <c:v>0.6436</c:v>
                </c:pt>
                <c:pt idx="40">
                  <c:v>0.5782</c:v>
                </c:pt>
                <c:pt idx="41">
                  <c:v>0.5221</c:v>
                </c:pt>
                <c:pt idx="42">
                  <c:v>0.4741</c:v>
                </c:pt>
                <c:pt idx="43">
                  <c:v>0.4327</c:v>
                </c:pt>
                <c:pt idx="44">
                  <c:v>0.397</c:v>
                </c:pt>
                <c:pt idx="45">
                  <c:v>0.366</c:v>
                </c:pt>
                <c:pt idx="46">
                  <c:v>0.339</c:v>
                </c:pt>
                <c:pt idx="47">
                  <c:v>0.3152</c:v>
                </c:pt>
                <c:pt idx="48">
                  <c:v>0.2943</c:v>
                </c:pt>
                <c:pt idx="49">
                  <c:v>0.2756</c:v>
                </c:pt>
                <c:pt idx="50">
                  <c:v>0.2589</c:v>
                </c:pt>
                <c:pt idx="51">
                  <c:v>0.2439</c:v>
                </c:pt>
                <c:pt idx="52">
                  <c:v>0.2303</c:v>
                </c:pt>
                <c:pt idx="53">
                  <c:v>0.218</c:v>
                </c:pt>
                <c:pt idx="54">
                  <c:v>0.2067</c:v>
                </c:pt>
                <c:pt idx="55">
                  <c:v>0.1964</c:v>
                </c:pt>
                <c:pt idx="56">
                  <c:v>0.1869</c:v>
                </c:pt>
                <c:pt idx="57">
                  <c:v>0.1782</c:v>
                </c:pt>
                <c:pt idx="58">
                  <c:v>0.1702</c:v>
                </c:pt>
                <c:pt idx="59">
                  <c:v>0.1627</c:v>
                </c:pt>
                <c:pt idx="60">
                  <c:v>0.1557</c:v>
                </c:pt>
                <c:pt idx="61">
                  <c:v>0.1491</c:v>
                </c:pt>
                <c:pt idx="62">
                  <c:v>0.1429</c:v>
                </c:pt>
                <c:pt idx="63">
                  <c:v>0.1372</c:v>
                </c:pt>
                <c:pt idx="64">
                  <c:v>0.1318</c:v>
                </c:pt>
                <c:pt idx="65">
                  <c:v>0.1267</c:v>
                </c:pt>
                <c:pt idx="66">
                  <c:v>0.1219</c:v>
                </c:pt>
                <c:pt idx="67">
                  <c:v>0.1174</c:v>
                </c:pt>
                <c:pt idx="68">
                  <c:v>0.1131</c:v>
                </c:pt>
                <c:pt idx="69">
                  <c:v>0.1089</c:v>
                </c:pt>
                <c:pt idx="70">
                  <c:v>0.105</c:v>
                </c:pt>
                <c:pt idx="71">
                  <c:v>0.1014</c:v>
                </c:pt>
                <c:pt idx="72">
                  <c:v>0.09793</c:v>
                </c:pt>
                <c:pt idx="73">
                  <c:v>0.09471</c:v>
                </c:pt>
                <c:pt idx="74">
                  <c:v>0.09168</c:v>
                </c:pt>
                <c:pt idx="75">
                  <c:v>0.08883</c:v>
                </c:pt>
                <c:pt idx="76">
                  <c:v>0.08615</c:v>
                </c:pt>
                <c:pt idx="77">
                  <c:v>0.08356</c:v>
                </c:pt>
                <c:pt idx="78">
                  <c:v>0.08112</c:v>
                </c:pt>
                <c:pt idx="79">
                  <c:v>0.07879</c:v>
                </c:pt>
                <c:pt idx="80">
                  <c:v>0.07664</c:v>
                </c:pt>
                <c:pt idx="81">
                  <c:v>0.0746</c:v>
                </c:pt>
                <c:pt idx="82">
                  <c:v>0.07261</c:v>
                </c:pt>
                <c:pt idx="83">
                  <c:v>0.07072</c:v>
                </c:pt>
                <c:pt idx="84">
                  <c:v>0.06892</c:v>
                </c:pt>
                <c:pt idx="85">
                  <c:v>0.06718</c:v>
                </c:pt>
                <c:pt idx="86">
                  <c:v>0.06551</c:v>
                </c:pt>
                <c:pt idx="87">
                  <c:v>0.06392</c:v>
                </c:pt>
                <c:pt idx="88">
                  <c:v>0.0624</c:v>
                </c:pt>
                <c:pt idx="89">
                  <c:v>0.06092</c:v>
                </c:pt>
                <c:pt idx="90">
                  <c:v>0.05951</c:v>
                </c:pt>
                <c:pt idx="91">
                  <c:v>0.05815</c:v>
                </c:pt>
                <c:pt idx="92">
                  <c:v>0.05685</c:v>
                </c:pt>
                <c:pt idx="93">
                  <c:v>0.05563</c:v>
                </c:pt>
                <c:pt idx="94">
                  <c:v>0.05446</c:v>
                </c:pt>
                <c:pt idx="95">
                  <c:v>0.05333</c:v>
                </c:pt>
                <c:pt idx="96">
                  <c:v>0.05224</c:v>
                </c:pt>
                <c:pt idx="97">
                  <c:v>0.05121</c:v>
                </c:pt>
                <c:pt idx="98">
                  <c:v>0.05017</c:v>
                </c:pt>
                <c:pt idx="99">
                  <c:v>0.0492</c:v>
                </c:pt>
                <c:pt idx="100">
                  <c:v>0.04828</c:v>
                </c:pt>
                <c:pt idx="101">
                  <c:v>0.04742</c:v>
                </c:pt>
                <c:pt idx="102">
                  <c:v>0.04658</c:v>
                </c:pt>
                <c:pt idx="103">
                  <c:v>0.04577</c:v>
                </c:pt>
                <c:pt idx="104">
                  <c:v>0.04498</c:v>
                </c:pt>
                <c:pt idx="105">
                  <c:v>0.04422</c:v>
                </c:pt>
                <c:pt idx="106">
                  <c:v>0.04348</c:v>
                </c:pt>
                <c:pt idx="107">
                  <c:v>0.04278</c:v>
                </c:pt>
                <c:pt idx="108">
                  <c:v>0.0421</c:v>
                </c:pt>
                <c:pt idx="109">
                  <c:v>0.04145</c:v>
                </c:pt>
                <c:pt idx="110">
                  <c:v>0.04083</c:v>
                </c:pt>
                <c:pt idx="111">
                  <c:v>0.04022</c:v>
                </c:pt>
                <c:pt idx="112">
                  <c:v>0.03962</c:v>
                </c:pt>
                <c:pt idx="113">
                  <c:v>0.03904</c:v>
                </c:pt>
                <c:pt idx="114">
                  <c:v>0.03847</c:v>
                </c:pt>
                <c:pt idx="115">
                  <c:v>0.03793</c:v>
                </c:pt>
                <c:pt idx="116">
                  <c:v>0.03739</c:v>
                </c:pt>
                <c:pt idx="117">
                  <c:v>0.03687</c:v>
                </c:pt>
                <c:pt idx="118">
                  <c:v>0.03636</c:v>
                </c:pt>
                <c:pt idx="119">
                  <c:v>0.03586</c:v>
                </c:pt>
                <c:pt idx="120">
                  <c:v>0.03537</c:v>
                </c:pt>
                <c:pt idx="121">
                  <c:v>0.0349</c:v>
                </c:pt>
                <c:pt idx="122">
                  <c:v>0.03444</c:v>
                </c:pt>
                <c:pt idx="123">
                  <c:v>0.03399</c:v>
                </c:pt>
                <c:pt idx="124">
                  <c:v>0.03355</c:v>
                </c:pt>
                <c:pt idx="125">
                  <c:v>0.03312</c:v>
                </c:pt>
                <c:pt idx="126">
                  <c:v>0.03269</c:v>
                </c:pt>
                <c:pt idx="127">
                  <c:v>0.03228</c:v>
                </c:pt>
                <c:pt idx="128">
                  <c:v>0.03186</c:v>
                </c:pt>
                <c:pt idx="129">
                  <c:v>0.03147</c:v>
                </c:pt>
                <c:pt idx="130">
                  <c:v>0.03108</c:v>
                </c:pt>
                <c:pt idx="131">
                  <c:v>0.03068</c:v>
                </c:pt>
                <c:pt idx="132">
                  <c:v>0.0303</c:v>
                </c:pt>
                <c:pt idx="133">
                  <c:v>0.02992</c:v>
                </c:pt>
                <c:pt idx="134">
                  <c:v>0.02955</c:v>
                </c:pt>
                <c:pt idx="135">
                  <c:v>0.02918</c:v>
                </c:pt>
                <c:pt idx="136">
                  <c:v>0.02882</c:v>
                </c:pt>
                <c:pt idx="137">
                  <c:v>0.02847</c:v>
                </c:pt>
                <c:pt idx="138">
                  <c:v>0.02812</c:v>
                </c:pt>
                <c:pt idx="139">
                  <c:v>0.02777</c:v>
                </c:pt>
                <c:pt idx="140">
                  <c:v>0.02741</c:v>
                </c:pt>
                <c:pt idx="141">
                  <c:v>0.02707</c:v>
                </c:pt>
                <c:pt idx="142">
                  <c:v>0.02672</c:v>
                </c:pt>
                <c:pt idx="143">
                  <c:v>0.02637</c:v>
                </c:pt>
                <c:pt idx="144">
                  <c:v>0.02603</c:v>
                </c:pt>
                <c:pt idx="145">
                  <c:v>0.02567</c:v>
                </c:pt>
                <c:pt idx="146">
                  <c:v>0.02532</c:v>
                </c:pt>
                <c:pt idx="147">
                  <c:v>0.02496</c:v>
                </c:pt>
                <c:pt idx="148">
                  <c:v>0.02461</c:v>
                </c:pt>
                <c:pt idx="149">
                  <c:v>0.02427</c:v>
                </c:pt>
                <c:pt idx="150">
                  <c:v>0.02393</c:v>
                </c:pt>
                <c:pt idx="151">
                  <c:v>0.0236</c:v>
                </c:pt>
                <c:pt idx="152">
                  <c:v>0.02327</c:v>
                </c:pt>
                <c:pt idx="153">
                  <c:v>0.02295</c:v>
                </c:pt>
                <c:pt idx="154">
                  <c:v>0.02263</c:v>
                </c:pt>
                <c:pt idx="155">
                  <c:v>0.02233</c:v>
                </c:pt>
                <c:pt idx="156">
                  <c:v>0.02203</c:v>
                </c:pt>
                <c:pt idx="157">
                  <c:v>0.02174</c:v>
                </c:pt>
                <c:pt idx="158">
                  <c:v>0.02145</c:v>
                </c:pt>
                <c:pt idx="159">
                  <c:v>0.02117</c:v>
                </c:pt>
                <c:pt idx="160">
                  <c:v>0.0209</c:v>
                </c:pt>
                <c:pt idx="161">
                  <c:v>0.02063</c:v>
                </c:pt>
                <c:pt idx="162">
                  <c:v>0.02037</c:v>
                </c:pt>
                <c:pt idx="163">
                  <c:v>0.02011</c:v>
                </c:pt>
                <c:pt idx="164">
                  <c:v>0.01986</c:v>
                </c:pt>
                <c:pt idx="165">
                  <c:v>0.01962</c:v>
                </c:pt>
                <c:pt idx="166">
                  <c:v>0.01938</c:v>
                </c:pt>
                <c:pt idx="167">
                  <c:v>0.01914</c:v>
                </c:pt>
                <c:pt idx="168">
                  <c:v>0.01891</c:v>
                </c:pt>
                <c:pt idx="169">
                  <c:v>0.01869</c:v>
                </c:pt>
                <c:pt idx="170">
                  <c:v>0.01847</c:v>
                </c:pt>
                <c:pt idx="171">
                  <c:v>0.01825</c:v>
                </c:pt>
                <c:pt idx="172">
                  <c:v>0.01804</c:v>
                </c:pt>
                <c:pt idx="173">
                  <c:v>0.01783</c:v>
                </c:pt>
                <c:pt idx="174">
                  <c:v>0.01762</c:v>
                </c:pt>
                <c:pt idx="175">
                  <c:v>0.01742</c:v>
                </c:pt>
                <c:pt idx="176">
                  <c:v>0.01722</c:v>
                </c:pt>
                <c:pt idx="177">
                  <c:v>0.01703</c:v>
                </c:pt>
                <c:pt idx="178">
                  <c:v>0.01684</c:v>
                </c:pt>
                <c:pt idx="179">
                  <c:v>0.01665</c:v>
                </c:pt>
                <c:pt idx="180">
                  <c:v>0.01647</c:v>
                </c:pt>
                <c:pt idx="181">
                  <c:v>0.01628</c:v>
                </c:pt>
                <c:pt idx="182">
                  <c:v>0.01611</c:v>
                </c:pt>
                <c:pt idx="183">
                  <c:v>0.01594</c:v>
                </c:pt>
                <c:pt idx="184">
                  <c:v>0.01577</c:v>
                </c:pt>
                <c:pt idx="185">
                  <c:v>0.01561</c:v>
                </c:pt>
                <c:pt idx="186">
                  <c:v>0.01545</c:v>
                </c:pt>
                <c:pt idx="187">
                  <c:v>0.0153</c:v>
                </c:pt>
                <c:pt idx="188">
                  <c:v>0.01514</c:v>
                </c:pt>
                <c:pt idx="189">
                  <c:v>0.01499</c:v>
                </c:pt>
                <c:pt idx="190">
                  <c:v>0.01484</c:v>
                </c:pt>
                <c:pt idx="191">
                  <c:v>0.0147</c:v>
                </c:pt>
                <c:pt idx="192">
                  <c:v>0.01456</c:v>
                </c:pt>
                <c:pt idx="193">
                  <c:v>0.01442</c:v>
                </c:pt>
                <c:pt idx="194">
                  <c:v>0.01428</c:v>
                </c:pt>
                <c:pt idx="195">
                  <c:v>0.01414</c:v>
                </c:pt>
                <c:pt idx="196">
                  <c:v>0.01401</c:v>
                </c:pt>
                <c:pt idx="197">
                  <c:v>0.01388</c:v>
                </c:pt>
                <c:pt idx="198">
                  <c:v>0.01376</c:v>
                </c:pt>
                <c:pt idx="199">
                  <c:v>0.01364</c:v>
                </c:pt>
                <c:pt idx="200">
                  <c:v>0.01352</c:v>
                </c:pt>
                <c:pt idx="201">
                  <c:v>0.0134</c:v>
                </c:pt>
                <c:pt idx="202">
                  <c:v>0.01329</c:v>
                </c:pt>
                <c:pt idx="203">
                  <c:v>0.01319</c:v>
                </c:pt>
                <c:pt idx="204">
                  <c:v>0.01309</c:v>
                </c:pt>
                <c:pt idx="205">
                  <c:v>0.01299</c:v>
                </c:pt>
                <c:pt idx="206">
                  <c:v>0.0129</c:v>
                </c:pt>
                <c:pt idx="207">
                  <c:v>0.01282</c:v>
                </c:pt>
                <c:pt idx="208">
                  <c:v>0.01273</c:v>
                </c:pt>
                <c:pt idx="209">
                  <c:v>0.01264</c:v>
                </c:pt>
                <c:pt idx="210">
                  <c:v>0.01256</c:v>
                </c:pt>
                <c:pt idx="211">
                  <c:v>0.01249</c:v>
                </c:pt>
                <c:pt idx="212">
                  <c:v>0.01241</c:v>
                </c:pt>
                <c:pt idx="213">
                  <c:v>0.01233</c:v>
                </c:pt>
                <c:pt idx="214">
                  <c:v>0.01226</c:v>
                </c:pt>
                <c:pt idx="215">
                  <c:v>0.01218</c:v>
                </c:pt>
                <c:pt idx="216">
                  <c:v>0.01211</c:v>
                </c:pt>
                <c:pt idx="217">
                  <c:v>0.01203</c:v>
                </c:pt>
                <c:pt idx="218">
                  <c:v>0.01196</c:v>
                </c:pt>
                <c:pt idx="219">
                  <c:v>0.01189</c:v>
                </c:pt>
                <c:pt idx="220">
                  <c:v>0.01181</c:v>
                </c:pt>
                <c:pt idx="221">
                  <c:v>0.01174</c:v>
                </c:pt>
                <c:pt idx="222">
                  <c:v>0.01167</c:v>
                </c:pt>
                <c:pt idx="223">
                  <c:v>0.0116</c:v>
                </c:pt>
                <c:pt idx="224">
                  <c:v>0.01153</c:v>
                </c:pt>
                <c:pt idx="225">
                  <c:v>0.01146</c:v>
                </c:pt>
                <c:pt idx="226">
                  <c:v>0.0114</c:v>
                </c:pt>
                <c:pt idx="227">
                  <c:v>0.01133</c:v>
                </c:pt>
                <c:pt idx="228">
                  <c:v>0.01126</c:v>
                </c:pt>
                <c:pt idx="229">
                  <c:v>0.0112</c:v>
                </c:pt>
                <c:pt idx="230">
                  <c:v>0.01113</c:v>
                </c:pt>
                <c:pt idx="231">
                  <c:v>0.01107</c:v>
                </c:pt>
                <c:pt idx="232">
                  <c:v>0.011</c:v>
                </c:pt>
                <c:pt idx="233">
                  <c:v>0.01094</c:v>
                </c:pt>
                <c:pt idx="234">
                  <c:v>0.01088</c:v>
                </c:pt>
                <c:pt idx="235">
                  <c:v>0.01082</c:v>
                </c:pt>
                <c:pt idx="236">
                  <c:v>0.01075</c:v>
                </c:pt>
                <c:pt idx="237">
                  <c:v>0.01069</c:v>
                </c:pt>
                <c:pt idx="238">
                  <c:v>0.01063</c:v>
                </c:pt>
                <c:pt idx="239">
                  <c:v>0.01057</c:v>
                </c:pt>
                <c:pt idx="240">
                  <c:v>0.01051</c:v>
                </c:pt>
                <c:pt idx="241">
                  <c:v>0.01046</c:v>
                </c:pt>
                <c:pt idx="242">
                  <c:v>0.0104</c:v>
                </c:pt>
                <c:pt idx="243">
                  <c:v>0.01034</c:v>
                </c:pt>
                <c:pt idx="244">
                  <c:v>0.01028</c:v>
                </c:pt>
                <c:pt idx="245">
                  <c:v>0.01023</c:v>
                </c:pt>
                <c:pt idx="246">
                  <c:v>0.01017</c:v>
                </c:pt>
                <c:pt idx="247">
                  <c:v>0.01011</c:v>
                </c:pt>
                <c:pt idx="248">
                  <c:v>0.01006</c:v>
                </c:pt>
                <c:pt idx="249">
                  <c:v>0.01</c:v>
                </c:pt>
                <c:pt idx="250">
                  <c:v>0.00995</c:v>
                </c:pt>
                <c:pt idx="251">
                  <c:v>0.009896</c:v>
                </c:pt>
                <c:pt idx="252">
                  <c:v>0.009843</c:v>
                </c:pt>
                <c:pt idx="253">
                  <c:v>0.00979</c:v>
                </c:pt>
                <c:pt idx="254">
                  <c:v>0.009738</c:v>
                </c:pt>
                <c:pt idx="255">
                  <c:v>0.009686</c:v>
                </c:pt>
                <c:pt idx="256">
                  <c:v>0.009633</c:v>
                </c:pt>
                <c:pt idx="257">
                  <c:v>0.00958</c:v>
                </c:pt>
                <c:pt idx="258">
                  <c:v>0.009526</c:v>
                </c:pt>
                <c:pt idx="259">
                  <c:v>0.009472</c:v>
                </c:pt>
                <c:pt idx="260">
                  <c:v>0.009418</c:v>
                </c:pt>
                <c:pt idx="261">
                  <c:v>0.009364</c:v>
                </c:pt>
                <c:pt idx="262">
                  <c:v>0.009308</c:v>
                </c:pt>
                <c:pt idx="263">
                  <c:v>0.009253</c:v>
                </c:pt>
                <c:pt idx="264">
                  <c:v>0.009197</c:v>
                </c:pt>
                <c:pt idx="265">
                  <c:v>0.009141</c:v>
                </c:pt>
                <c:pt idx="266">
                  <c:v>0.009086</c:v>
                </c:pt>
                <c:pt idx="267">
                  <c:v>0.009032</c:v>
                </c:pt>
                <c:pt idx="268">
                  <c:v>0.008978</c:v>
                </c:pt>
                <c:pt idx="269">
                  <c:v>0.008924</c:v>
                </c:pt>
                <c:pt idx="270">
                  <c:v>0.008871</c:v>
                </c:pt>
                <c:pt idx="271">
                  <c:v>0.008818</c:v>
                </c:pt>
                <c:pt idx="272">
                  <c:v>0.008765</c:v>
                </c:pt>
                <c:pt idx="273">
                  <c:v>0.008713</c:v>
                </c:pt>
                <c:pt idx="274">
                  <c:v>0.008661</c:v>
                </c:pt>
                <c:pt idx="275">
                  <c:v>0.00861</c:v>
                </c:pt>
                <c:pt idx="276">
                  <c:v>0.008558</c:v>
                </c:pt>
                <c:pt idx="277">
                  <c:v>0.008506</c:v>
                </c:pt>
                <c:pt idx="278">
                  <c:v>0.008454</c:v>
                </c:pt>
                <c:pt idx="279">
                  <c:v>0.008403</c:v>
                </c:pt>
                <c:pt idx="280">
                  <c:v>0.008353</c:v>
                </c:pt>
                <c:pt idx="281">
                  <c:v>0.008303</c:v>
                </c:pt>
                <c:pt idx="282">
                  <c:v>0.008253</c:v>
                </c:pt>
                <c:pt idx="283">
                  <c:v>0.008204</c:v>
                </c:pt>
                <c:pt idx="284">
                  <c:v>0.008155</c:v>
                </c:pt>
                <c:pt idx="285">
                  <c:v>0.008107</c:v>
                </c:pt>
                <c:pt idx="286">
                  <c:v>0.008059</c:v>
                </c:pt>
                <c:pt idx="287">
                  <c:v>0.008011</c:v>
                </c:pt>
                <c:pt idx="288">
                  <c:v>0.007964</c:v>
                </c:pt>
                <c:pt idx="289">
                  <c:v>0.007918</c:v>
                </c:pt>
                <c:pt idx="290">
                  <c:v>0.007871</c:v>
                </c:pt>
                <c:pt idx="291">
                  <c:v>0.007825</c:v>
                </c:pt>
                <c:pt idx="292">
                  <c:v>0.00778</c:v>
                </c:pt>
                <c:pt idx="293">
                  <c:v>0.007735</c:v>
                </c:pt>
                <c:pt idx="294">
                  <c:v>0.00769</c:v>
                </c:pt>
                <c:pt idx="295">
                  <c:v>0.007645</c:v>
                </c:pt>
                <c:pt idx="296">
                  <c:v>0.007601</c:v>
                </c:pt>
                <c:pt idx="297">
                  <c:v>0.007558</c:v>
                </c:pt>
                <c:pt idx="298">
                  <c:v>0.007515</c:v>
                </c:pt>
                <c:pt idx="299">
                  <c:v>0.007472</c:v>
                </c:pt>
                <c:pt idx="300">
                  <c:v>0.00743</c:v>
                </c:pt>
                <c:pt idx="301">
                  <c:v>0.007388</c:v>
                </c:pt>
                <c:pt idx="302">
                  <c:v>0.007346</c:v>
                </c:pt>
                <c:pt idx="303">
                  <c:v>0.007305</c:v>
                </c:pt>
                <c:pt idx="304">
                  <c:v>0.007264</c:v>
                </c:pt>
                <c:pt idx="305">
                  <c:v>0.007224</c:v>
                </c:pt>
                <c:pt idx="306">
                  <c:v>0.007184</c:v>
                </c:pt>
                <c:pt idx="307">
                  <c:v>0.007144</c:v>
                </c:pt>
                <c:pt idx="308">
                  <c:v>0.007105</c:v>
                </c:pt>
                <c:pt idx="309">
                  <c:v>0.007066</c:v>
                </c:pt>
                <c:pt idx="310">
                  <c:v>0.007028</c:v>
                </c:pt>
                <c:pt idx="311">
                  <c:v>0.006989</c:v>
                </c:pt>
                <c:pt idx="312">
                  <c:v>0.006951</c:v>
                </c:pt>
                <c:pt idx="313">
                  <c:v>0.006914</c:v>
                </c:pt>
                <c:pt idx="314">
                  <c:v>0.006876</c:v>
                </c:pt>
                <c:pt idx="315">
                  <c:v>0.006838</c:v>
                </c:pt>
                <c:pt idx="316">
                  <c:v>0.006801</c:v>
                </c:pt>
                <c:pt idx="317">
                  <c:v>0.006765</c:v>
                </c:pt>
                <c:pt idx="318">
                  <c:v>0.006728</c:v>
                </c:pt>
                <c:pt idx="319">
                  <c:v>0.006692</c:v>
                </c:pt>
                <c:pt idx="320">
                  <c:v>0.006656</c:v>
                </c:pt>
                <c:pt idx="321">
                  <c:v>0.006621</c:v>
                </c:pt>
                <c:pt idx="322">
                  <c:v>0.006585</c:v>
                </c:pt>
                <c:pt idx="323">
                  <c:v>0.006551</c:v>
                </c:pt>
                <c:pt idx="324">
                  <c:v>0.006517</c:v>
                </c:pt>
                <c:pt idx="325">
                  <c:v>0.006483</c:v>
                </c:pt>
              </c:numCache>
            </c:numRef>
          </c:xVal>
          <c:yVal>
            <c:numRef>
              <c:f>'6MB1- in1'!$I$5:$I$896</c:f>
              <c:numCache>
                <c:formatCode>General</c:formatCode>
                <c:ptCount val="892"/>
                <c:pt idx="0">
                  <c:v>0.0</c:v>
                </c:pt>
                <c:pt idx="1">
                  <c:v>0.00012</c:v>
                </c:pt>
                <c:pt idx="2">
                  <c:v>0.00024</c:v>
                </c:pt>
                <c:pt idx="3">
                  <c:v>0.00024</c:v>
                </c:pt>
                <c:pt idx="4">
                  <c:v>0.00024</c:v>
                </c:pt>
                <c:pt idx="5">
                  <c:v>0.00036</c:v>
                </c:pt>
                <c:pt idx="6">
                  <c:v>0.00036</c:v>
                </c:pt>
                <c:pt idx="7">
                  <c:v>0.00036</c:v>
                </c:pt>
                <c:pt idx="8">
                  <c:v>0.00036</c:v>
                </c:pt>
                <c:pt idx="9">
                  <c:v>0.00048</c:v>
                </c:pt>
                <c:pt idx="10">
                  <c:v>0.00048</c:v>
                </c:pt>
                <c:pt idx="11">
                  <c:v>0.00048</c:v>
                </c:pt>
                <c:pt idx="12">
                  <c:v>0.00048</c:v>
                </c:pt>
                <c:pt idx="13">
                  <c:v>0.00048</c:v>
                </c:pt>
                <c:pt idx="14">
                  <c:v>0.00048</c:v>
                </c:pt>
                <c:pt idx="15">
                  <c:v>0.00048</c:v>
                </c:pt>
                <c:pt idx="16">
                  <c:v>0.00048</c:v>
                </c:pt>
                <c:pt idx="17">
                  <c:v>0.00048</c:v>
                </c:pt>
                <c:pt idx="18">
                  <c:v>0.00048</c:v>
                </c:pt>
                <c:pt idx="19">
                  <c:v>0.00048</c:v>
                </c:pt>
                <c:pt idx="20">
                  <c:v>0.00048</c:v>
                </c:pt>
                <c:pt idx="21">
                  <c:v>0.00048</c:v>
                </c:pt>
                <c:pt idx="22">
                  <c:v>0.00048</c:v>
                </c:pt>
                <c:pt idx="23">
                  <c:v>0.00048</c:v>
                </c:pt>
                <c:pt idx="24">
                  <c:v>0.00048</c:v>
                </c:pt>
                <c:pt idx="25">
                  <c:v>0.00048</c:v>
                </c:pt>
                <c:pt idx="26">
                  <c:v>0.00048</c:v>
                </c:pt>
                <c:pt idx="27">
                  <c:v>0.00048</c:v>
                </c:pt>
                <c:pt idx="28">
                  <c:v>0.00048</c:v>
                </c:pt>
                <c:pt idx="29">
                  <c:v>0.00048</c:v>
                </c:pt>
                <c:pt idx="30">
                  <c:v>0.00048</c:v>
                </c:pt>
                <c:pt idx="31">
                  <c:v>0.00048</c:v>
                </c:pt>
                <c:pt idx="32">
                  <c:v>0.00048</c:v>
                </c:pt>
                <c:pt idx="33">
                  <c:v>0.00048</c:v>
                </c:pt>
                <c:pt idx="34">
                  <c:v>0.00048</c:v>
                </c:pt>
                <c:pt idx="35">
                  <c:v>0.00048</c:v>
                </c:pt>
                <c:pt idx="36">
                  <c:v>0.00048</c:v>
                </c:pt>
                <c:pt idx="37">
                  <c:v>0.00048</c:v>
                </c:pt>
                <c:pt idx="38">
                  <c:v>0.00048</c:v>
                </c:pt>
                <c:pt idx="39">
                  <c:v>0.00048</c:v>
                </c:pt>
                <c:pt idx="40">
                  <c:v>0.00048</c:v>
                </c:pt>
                <c:pt idx="41">
                  <c:v>0.00048</c:v>
                </c:pt>
                <c:pt idx="42">
                  <c:v>0.00048</c:v>
                </c:pt>
                <c:pt idx="43">
                  <c:v>0.00048</c:v>
                </c:pt>
                <c:pt idx="44">
                  <c:v>0.00048</c:v>
                </c:pt>
                <c:pt idx="45">
                  <c:v>0.0006</c:v>
                </c:pt>
                <c:pt idx="46">
                  <c:v>0.00072</c:v>
                </c:pt>
                <c:pt idx="47">
                  <c:v>0.00072</c:v>
                </c:pt>
                <c:pt idx="48">
                  <c:v>0.00084</c:v>
                </c:pt>
                <c:pt idx="49">
                  <c:v>0.00084</c:v>
                </c:pt>
                <c:pt idx="50">
                  <c:v>0.00096</c:v>
                </c:pt>
                <c:pt idx="51">
                  <c:v>0.00096</c:v>
                </c:pt>
                <c:pt idx="52">
                  <c:v>0.00108</c:v>
                </c:pt>
                <c:pt idx="53">
                  <c:v>0.0012</c:v>
                </c:pt>
                <c:pt idx="54">
                  <c:v>0.0012</c:v>
                </c:pt>
                <c:pt idx="55">
                  <c:v>0.00132</c:v>
                </c:pt>
                <c:pt idx="56">
                  <c:v>0.00132</c:v>
                </c:pt>
                <c:pt idx="57">
                  <c:v>0.00132</c:v>
                </c:pt>
                <c:pt idx="58">
                  <c:v>0.00144</c:v>
                </c:pt>
                <c:pt idx="59">
                  <c:v>0.00156</c:v>
                </c:pt>
                <c:pt idx="60">
                  <c:v>0.00168</c:v>
                </c:pt>
                <c:pt idx="61">
                  <c:v>0.00192</c:v>
                </c:pt>
                <c:pt idx="62">
                  <c:v>0.00216</c:v>
                </c:pt>
                <c:pt idx="63">
                  <c:v>0.00252</c:v>
                </c:pt>
                <c:pt idx="64">
                  <c:v>0.00276</c:v>
                </c:pt>
                <c:pt idx="65">
                  <c:v>0.00312</c:v>
                </c:pt>
                <c:pt idx="66">
                  <c:v>0.00348</c:v>
                </c:pt>
                <c:pt idx="67">
                  <c:v>0.00372</c:v>
                </c:pt>
                <c:pt idx="68">
                  <c:v>0.00396</c:v>
                </c:pt>
                <c:pt idx="69">
                  <c:v>0.0042</c:v>
                </c:pt>
                <c:pt idx="70">
                  <c:v>0.00432</c:v>
                </c:pt>
                <c:pt idx="71">
                  <c:v>0.00456</c:v>
                </c:pt>
                <c:pt idx="72">
                  <c:v>0.00456</c:v>
                </c:pt>
                <c:pt idx="73">
                  <c:v>0.00468</c:v>
                </c:pt>
                <c:pt idx="74">
                  <c:v>0.00468</c:v>
                </c:pt>
                <c:pt idx="75">
                  <c:v>0.00468</c:v>
                </c:pt>
                <c:pt idx="76">
                  <c:v>0.00468</c:v>
                </c:pt>
                <c:pt idx="77">
                  <c:v>0.00468</c:v>
                </c:pt>
                <c:pt idx="78">
                  <c:v>0.00468</c:v>
                </c:pt>
                <c:pt idx="79">
                  <c:v>0.00468</c:v>
                </c:pt>
                <c:pt idx="80">
                  <c:v>0.00468</c:v>
                </c:pt>
                <c:pt idx="81">
                  <c:v>0.00468</c:v>
                </c:pt>
                <c:pt idx="82">
                  <c:v>0.00468</c:v>
                </c:pt>
                <c:pt idx="83">
                  <c:v>0.00468</c:v>
                </c:pt>
                <c:pt idx="84">
                  <c:v>0.00468</c:v>
                </c:pt>
                <c:pt idx="85">
                  <c:v>0.00468</c:v>
                </c:pt>
                <c:pt idx="86">
                  <c:v>0.00468</c:v>
                </c:pt>
                <c:pt idx="87">
                  <c:v>0.00468</c:v>
                </c:pt>
                <c:pt idx="88">
                  <c:v>0.00468</c:v>
                </c:pt>
                <c:pt idx="89">
                  <c:v>0.00468</c:v>
                </c:pt>
                <c:pt idx="90">
                  <c:v>0.0048</c:v>
                </c:pt>
                <c:pt idx="91">
                  <c:v>0.00492</c:v>
                </c:pt>
                <c:pt idx="92">
                  <c:v>0.00492</c:v>
                </c:pt>
                <c:pt idx="93">
                  <c:v>0.00504</c:v>
                </c:pt>
                <c:pt idx="94">
                  <c:v>0.00516</c:v>
                </c:pt>
                <c:pt idx="95">
                  <c:v>0.00528</c:v>
                </c:pt>
                <c:pt idx="96">
                  <c:v>0.00552</c:v>
                </c:pt>
                <c:pt idx="97">
                  <c:v>0.00576</c:v>
                </c:pt>
                <c:pt idx="98">
                  <c:v>0.00588</c:v>
                </c:pt>
                <c:pt idx="99">
                  <c:v>0.00624</c:v>
                </c:pt>
                <c:pt idx="100">
                  <c:v>0.00648</c:v>
                </c:pt>
                <c:pt idx="101">
                  <c:v>0.00672</c:v>
                </c:pt>
                <c:pt idx="102">
                  <c:v>0.00684</c:v>
                </c:pt>
                <c:pt idx="103">
                  <c:v>0.00708</c:v>
                </c:pt>
                <c:pt idx="104">
                  <c:v>0.00732</c:v>
                </c:pt>
                <c:pt idx="105">
                  <c:v>0.00756</c:v>
                </c:pt>
                <c:pt idx="106">
                  <c:v>0.00792</c:v>
                </c:pt>
                <c:pt idx="107">
                  <c:v>0.00816</c:v>
                </c:pt>
                <c:pt idx="108">
                  <c:v>0.0084</c:v>
                </c:pt>
                <c:pt idx="109">
                  <c:v>0.00876</c:v>
                </c:pt>
                <c:pt idx="110">
                  <c:v>0.00888</c:v>
                </c:pt>
                <c:pt idx="111">
                  <c:v>0.00912</c:v>
                </c:pt>
                <c:pt idx="112">
                  <c:v>0.00924</c:v>
                </c:pt>
                <c:pt idx="113">
                  <c:v>0.00948</c:v>
                </c:pt>
                <c:pt idx="114">
                  <c:v>0.0096</c:v>
                </c:pt>
                <c:pt idx="115">
                  <c:v>0.00972</c:v>
                </c:pt>
                <c:pt idx="116">
                  <c:v>0.00996</c:v>
                </c:pt>
                <c:pt idx="117">
                  <c:v>0.01008</c:v>
                </c:pt>
                <c:pt idx="118">
                  <c:v>0.0102</c:v>
                </c:pt>
                <c:pt idx="119">
                  <c:v>0.01032</c:v>
                </c:pt>
                <c:pt idx="120">
                  <c:v>0.01044</c:v>
                </c:pt>
                <c:pt idx="121">
                  <c:v>0.01056</c:v>
                </c:pt>
                <c:pt idx="122">
                  <c:v>0.0108</c:v>
                </c:pt>
                <c:pt idx="123">
                  <c:v>0.01092</c:v>
                </c:pt>
                <c:pt idx="124">
                  <c:v>0.01104</c:v>
                </c:pt>
                <c:pt idx="125">
                  <c:v>0.01128</c:v>
                </c:pt>
                <c:pt idx="126">
                  <c:v>0.01152</c:v>
                </c:pt>
                <c:pt idx="127">
                  <c:v>0.01164</c:v>
                </c:pt>
                <c:pt idx="128">
                  <c:v>0.01188</c:v>
                </c:pt>
                <c:pt idx="129">
                  <c:v>0.01212</c:v>
                </c:pt>
                <c:pt idx="130">
                  <c:v>0.01236</c:v>
                </c:pt>
                <c:pt idx="131">
                  <c:v>0.0126</c:v>
                </c:pt>
                <c:pt idx="132">
                  <c:v>0.01284</c:v>
                </c:pt>
                <c:pt idx="133">
                  <c:v>0.0132</c:v>
                </c:pt>
                <c:pt idx="134">
                  <c:v>0.01356</c:v>
                </c:pt>
                <c:pt idx="135">
                  <c:v>0.01392</c:v>
                </c:pt>
                <c:pt idx="136">
                  <c:v>0.01428</c:v>
                </c:pt>
                <c:pt idx="137">
                  <c:v>0.01476</c:v>
                </c:pt>
                <c:pt idx="138">
                  <c:v>0.01524</c:v>
                </c:pt>
                <c:pt idx="139">
                  <c:v>0.01572</c:v>
                </c:pt>
                <c:pt idx="140">
                  <c:v>0.01632</c:v>
                </c:pt>
                <c:pt idx="141">
                  <c:v>0.01692</c:v>
                </c:pt>
                <c:pt idx="142">
                  <c:v>0.01764</c:v>
                </c:pt>
                <c:pt idx="143">
                  <c:v>0.01848</c:v>
                </c:pt>
                <c:pt idx="144">
                  <c:v>0.01944</c:v>
                </c:pt>
                <c:pt idx="145">
                  <c:v>0.02052</c:v>
                </c:pt>
                <c:pt idx="146">
                  <c:v>0.02172</c:v>
                </c:pt>
                <c:pt idx="147">
                  <c:v>0.02292</c:v>
                </c:pt>
                <c:pt idx="148">
                  <c:v>0.02436</c:v>
                </c:pt>
                <c:pt idx="149">
                  <c:v>0.0258</c:v>
                </c:pt>
                <c:pt idx="150">
                  <c:v>0.02748</c:v>
                </c:pt>
                <c:pt idx="151">
                  <c:v>0.02928</c:v>
                </c:pt>
                <c:pt idx="152">
                  <c:v>0.03144</c:v>
                </c:pt>
                <c:pt idx="153">
                  <c:v>0.03348</c:v>
                </c:pt>
                <c:pt idx="154">
                  <c:v>0.03576</c:v>
                </c:pt>
                <c:pt idx="155">
                  <c:v>0.03804</c:v>
                </c:pt>
                <c:pt idx="156">
                  <c:v>0.04068</c:v>
                </c:pt>
                <c:pt idx="157">
                  <c:v>0.04344</c:v>
                </c:pt>
                <c:pt idx="158">
                  <c:v>0.0462</c:v>
                </c:pt>
                <c:pt idx="159">
                  <c:v>0.0492</c:v>
                </c:pt>
                <c:pt idx="160">
                  <c:v>0.0522</c:v>
                </c:pt>
                <c:pt idx="161">
                  <c:v>0.05532</c:v>
                </c:pt>
                <c:pt idx="162">
                  <c:v>0.05856</c:v>
                </c:pt>
                <c:pt idx="163">
                  <c:v>0.06168</c:v>
                </c:pt>
                <c:pt idx="164">
                  <c:v>0.06492</c:v>
                </c:pt>
                <c:pt idx="165">
                  <c:v>0.06816</c:v>
                </c:pt>
                <c:pt idx="166">
                  <c:v>0.0714</c:v>
                </c:pt>
                <c:pt idx="167">
                  <c:v>0.07464</c:v>
                </c:pt>
                <c:pt idx="168">
                  <c:v>0.07776</c:v>
                </c:pt>
                <c:pt idx="169">
                  <c:v>0.08088</c:v>
                </c:pt>
                <c:pt idx="170">
                  <c:v>0.08388</c:v>
                </c:pt>
                <c:pt idx="171">
                  <c:v>0.08676</c:v>
                </c:pt>
                <c:pt idx="172">
                  <c:v>0.08964</c:v>
                </c:pt>
                <c:pt idx="173">
                  <c:v>0.09228</c:v>
                </c:pt>
                <c:pt idx="174">
                  <c:v>0.09504</c:v>
                </c:pt>
                <c:pt idx="175">
                  <c:v>0.0978</c:v>
                </c:pt>
                <c:pt idx="176">
                  <c:v>0.1002</c:v>
                </c:pt>
                <c:pt idx="177">
                  <c:v>0.10236</c:v>
                </c:pt>
                <c:pt idx="178">
                  <c:v>0.10452</c:v>
                </c:pt>
                <c:pt idx="179">
                  <c:v>0.10668</c:v>
                </c:pt>
                <c:pt idx="180">
                  <c:v>0.10872</c:v>
                </c:pt>
                <c:pt idx="181">
                  <c:v>0.11064</c:v>
                </c:pt>
                <c:pt idx="182">
                  <c:v>0.11244</c:v>
                </c:pt>
                <c:pt idx="183">
                  <c:v>0.11412</c:v>
                </c:pt>
                <c:pt idx="184">
                  <c:v>0.1158</c:v>
                </c:pt>
                <c:pt idx="185">
                  <c:v>0.11736</c:v>
                </c:pt>
                <c:pt idx="186">
                  <c:v>0.11892</c:v>
                </c:pt>
                <c:pt idx="187">
                  <c:v>0.12036</c:v>
                </c:pt>
                <c:pt idx="188">
                  <c:v>0.12192</c:v>
                </c:pt>
                <c:pt idx="189">
                  <c:v>0.12312</c:v>
                </c:pt>
                <c:pt idx="190">
                  <c:v>0.12456</c:v>
                </c:pt>
                <c:pt idx="191">
                  <c:v>0.12576</c:v>
                </c:pt>
                <c:pt idx="192">
                  <c:v>0.12696</c:v>
                </c:pt>
                <c:pt idx="193">
                  <c:v>0.12828</c:v>
                </c:pt>
                <c:pt idx="194">
                  <c:v>0.12948</c:v>
                </c:pt>
                <c:pt idx="195">
                  <c:v>0.13068</c:v>
                </c:pt>
                <c:pt idx="196">
                  <c:v>0.13176</c:v>
                </c:pt>
                <c:pt idx="197">
                  <c:v>0.13272</c:v>
                </c:pt>
                <c:pt idx="198">
                  <c:v>0.13368</c:v>
                </c:pt>
                <c:pt idx="199">
                  <c:v>0.13476</c:v>
                </c:pt>
                <c:pt idx="200">
                  <c:v>0.13596</c:v>
                </c:pt>
                <c:pt idx="201">
                  <c:v>0.13692</c:v>
                </c:pt>
                <c:pt idx="202">
                  <c:v>0.13788</c:v>
                </c:pt>
                <c:pt idx="203">
                  <c:v>0.13872</c:v>
                </c:pt>
                <c:pt idx="204">
                  <c:v>0.13956</c:v>
                </c:pt>
                <c:pt idx="205">
                  <c:v>0.14028</c:v>
                </c:pt>
                <c:pt idx="206">
                  <c:v>0.141</c:v>
                </c:pt>
                <c:pt idx="207">
                  <c:v>0.1416</c:v>
                </c:pt>
                <c:pt idx="208">
                  <c:v>0.1422</c:v>
                </c:pt>
                <c:pt idx="209">
                  <c:v>0.14292</c:v>
                </c:pt>
                <c:pt idx="210">
                  <c:v>0.1434</c:v>
                </c:pt>
                <c:pt idx="211">
                  <c:v>0.14376</c:v>
                </c:pt>
                <c:pt idx="212">
                  <c:v>0.14412</c:v>
                </c:pt>
                <c:pt idx="213">
                  <c:v>0.14448</c:v>
                </c:pt>
                <c:pt idx="214">
                  <c:v>0.14484</c:v>
                </c:pt>
                <c:pt idx="215">
                  <c:v>0.14532</c:v>
                </c:pt>
                <c:pt idx="216">
                  <c:v>0.1458</c:v>
                </c:pt>
                <c:pt idx="217">
                  <c:v>0.14628</c:v>
                </c:pt>
                <c:pt idx="218">
                  <c:v>0.14688</c:v>
                </c:pt>
                <c:pt idx="219">
                  <c:v>0.14748</c:v>
                </c:pt>
                <c:pt idx="220">
                  <c:v>0.14808</c:v>
                </c:pt>
                <c:pt idx="221">
                  <c:v>0.14868</c:v>
                </c:pt>
                <c:pt idx="222">
                  <c:v>0.14928</c:v>
                </c:pt>
                <c:pt idx="223">
                  <c:v>0.15</c:v>
                </c:pt>
                <c:pt idx="224">
                  <c:v>0.15048</c:v>
                </c:pt>
                <c:pt idx="225">
                  <c:v>0.15108</c:v>
                </c:pt>
                <c:pt idx="226">
                  <c:v>0.15156</c:v>
                </c:pt>
                <c:pt idx="227">
                  <c:v>0.15228</c:v>
                </c:pt>
                <c:pt idx="228">
                  <c:v>0.15288</c:v>
                </c:pt>
                <c:pt idx="229">
                  <c:v>0.15348</c:v>
                </c:pt>
                <c:pt idx="230">
                  <c:v>0.15408</c:v>
                </c:pt>
                <c:pt idx="231">
                  <c:v>0.15468</c:v>
                </c:pt>
                <c:pt idx="232">
                  <c:v>0.15516</c:v>
                </c:pt>
                <c:pt idx="233">
                  <c:v>0.15588</c:v>
                </c:pt>
                <c:pt idx="234">
                  <c:v>0.15648</c:v>
                </c:pt>
                <c:pt idx="235">
                  <c:v>0.15708</c:v>
                </c:pt>
                <c:pt idx="236">
                  <c:v>0.15768</c:v>
                </c:pt>
                <c:pt idx="237">
                  <c:v>0.15828</c:v>
                </c:pt>
                <c:pt idx="238">
                  <c:v>0.15864</c:v>
                </c:pt>
                <c:pt idx="239">
                  <c:v>0.159</c:v>
                </c:pt>
                <c:pt idx="240">
                  <c:v>0.15936</c:v>
                </c:pt>
                <c:pt idx="241">
                  <c:v>0.15972</c:v>
                </c:pt>
                <c:pt idx="242">
                  <c:v>0.15996</c:v>
                </c:pt>
                <c:pt idx="243">
                  <c:v>0.16032</c:v>
                </c:pt>
                <c:pt idx="244">
                  <c:v>0.16056</c:v>
                </c:pt>
                <c:pt idx="245">
                  <c:v>0.1608</c:v>
                </c:pt>
                <c:pt idx="246">
                  <c:v>0.16092</c:v>
                </c:pt>
                <c:pt idx="247">
                  <c:v>0.16116</c:v>
                </c:pt>
                <c:pt idx="248">
                  <c:v>0.16152</c:v>
                </c:pt>
                <c:pt idx="249">
                  <c:v>0.16176</c:v>
                </c:pt>
                <c:pt idx="250">
                  <c:v>0.16224</c:v>
                </c:pt>
                <c:pt idx="251">
                  <c:v>0.1626</c:v>
                </c:pt>
                <c:pt idx="252">
                  <c:v>0.16296</c:v>
                </c:pt>
                <c:pt idx="253">
                  <c:v>0.16344</c:v>
                </c:pt>
                <c:pt idx="254">
                  <c:v>0.1638</c:v>
                </c:pt>
                <c:pt idx="255">
                  <c:v>0.16416</c:v>
                </c:pt>
                <c:pt idx="256">
                  <c:v>0.16476</c:v>
                </c:pt>
                <c:pt idx="257">
                  <c:v>0.16512</c:v>
                </c:pt>
                <c:pt idx="258">
                  <c:v>0.16572</c:v>
                </c:pt>
                <c:pt idx="259">
                  <c:v>0.16632</c:v>
                </c:pt>
                <c:pt idx="260">
                  <c:v>0.1668</c:v>
                </c:pt>
                <c:pt idx="261">
                  <c:v>0.16716</c:v>
                </c:pt>
                <c:pt idx="262">
                  <c:v>0.16764</c:v>
                </c:pt>
                <c:pt idx="263">
                  <c:v>0.16812</c:v>
                </c:pt>
                <c:pt idx="264">
                  <c:v>0.16848</c:v>
                </c:pt>
                <c:pt idx="265">
                  <c:v>0.16896</c:v>
                </c:pt>
                <c:pt idx="266">
                  <c:v>0.16932</c:v>
                </c:pt>
                <c:pt idx="267">
                  <c:v>0.16968</c:v>
                </c:pt>
                <c:pt idx="268">
                  <c:v>0.17016</c:v>
                </c:pt>
                <c:pt idx="269">
                  <c:v>0.17052</c:v>
                </c:pt>
                <c:pt idx="270">
                  <c:v>0.17088</c:v>
                </c:pt>
                <c:pt idx="271">
                  <c:v>0.17136</c:v>
                </c:pt>
                <c:pt idx="272">
                  <c:v>0.17172</c:v>
                </c:pt>
                <c:pt idx="273">
                  <c:v>0.17208</c:v>
                </c:pt>
                <c:pt idx="274">
                  <c:v>0.17244</c:v>
                </c:pt>
                <c:pt idx="275">
                  <c:v>0.1728</c:v>
                </c:pt>
                <c:pt idx="276">
                  <c:v>0.17316</c:v>
                </c:pt>
                <c:pt idx="277">
                  <c:v>0.1734</c:v>
                </c:pt>
                <c:pt idx="278">
                  <c:v>0.17364</c:v>
                </c:pt>
                <c:pt idx="279">
                  <c:v>0.17376</c:v>
                </c:pt>
                <c:pt idx="280">
                  <c:v>0.17388</c:v>
                </c:pt>
                <c:pt idx="281">
                  <c:v>0.17388</c:v>
                </c:pt>
                <c:pt idx="282">
                  <c:v>0.17388</c:v>
                </c:pt>
                <c:pt idx="283">
                  <c:v>0.17388</c:v>
                </c:pt>
                <c:pt idx="284">
                  <c:v>0.17388</c:v>
                </c:pt>
                <c:pt idx="285">
                  <c:v>0.17388</c:v>
                </c:pt>
                <c:pt idx="286">
                  <c:v>0.174</c:v>
                </c:pt>
                <c:pt idx="287">
                  <c:v>0.174</c:v>
                </c:pt>
                <c:pt idx="288">
                  <c:v>0.17412</c:v>
                </c:pt>
                <c:pt idx="289">
                  <c:v>0.17424</c:v>
                </c:pt>
                <c:pt idx="290">
                  <c:v>0.17424</c:v>
                </c:pt>
                <c:pt idx="291">
                  <c:v>0.17436</c:v>
                </c:pt>
                <c:pt idx="292">
                  <c:v>0.1746</c:v>
                </c:pt>
                <c:pt idx="293">
                  <c:v>0.17472</c:v>
                </c:pt>
                <c:pt idx="294">
                  <c:v>0.17484</c:v>
                </c:pt>
                <c:pt idx="295">
                  <c:v>0.17496</c:v>
                </c:pt>
                <c:pt idx="296">
                  <c:v>0.17508</c:v>
                </c:pt>
                <c:pt idx="297">
                  <c:v>0.1752</c:v>
                </c:pt>
                <c:pt idx="298">
                  <c:v>0.17532</c:v>
                </c:pt>
                <c:pt idx="299">
                  <c:v>0.17556</c:v>
                </c:pt>
                <c:pt idx="300">
                  <c:v>0.17568</c:v>
                </c:pt>
                <c:pt idx="301">
                  <c:v>0.17592</c:v>
                </c:pt>
                <c:pt idx="302">
                  <c:v>0.17604</c:v>
                </c:pt>
                <c:pt idx="303">
                  <c:v>0.17616</c:v>
                </c:pt>
                <c:pt idx="304">
                  <c:v>0.17628</c:v>
                </c:pt>
                <c:pt idx="305">
                  <c:v>0.1764</c:v>
                </c:pt>
                <c:pt idx="306">
                  <c:v>0.17652</c:v>
                </c:pt>
                <c:pt idx="307">
                  <c:v>0.17664</c:v>
                </c:pt>
                <c:pt idx="308">
                  <c:v>0.17664</c:v>
                </c:pt>
                <c:pt idx="309">
                  <c:v>0.17676</c:v>
                </c:pt>
                <c:pt idx="310">
                  <c:v>0.17676</c:v>
                </c:pt>
                <c:pt idx="311">
                  <c:v>0.17676</c:v>
                </c:pt>
                <c:pt idx="312">
                  <c:v>0.17676</c:v>
                </c:pt>
                <c:pt idx="313">
                  <c:v>0.17676</c:v>
                </c:pt>
                <c:pt idx="314">
                  <c:v>0.17676</c:v>
                </c:pt>
                <c:pt idx="315">
                  <c:v>0.17676</c:v>
                </c:pt>
                <c:pt idx="316">
                  <c:v>0.17676</c:v>
                </c:pt>
                <c:pt idx="317">
                  <c:v>0.17676</c:v>
                </c:pt>
                <c:pt idx="318">
                  <c:v>0.17688</c:v>
                </c:pt>
                <c:pt idx="319">
                  <c:v>0.17688</c:v>
                </c:pt>
                <c:pt idx="320">
                  <c:v>0.177</c:v>
                </c:pt>
                <c:pt idx="321">
                  <c:v>0.177</c:v>
                </c:pt>
                <c:pt idx="322">
                  <c:v>0.17712</c:v>
                </c:pt>
                <c:pt idx="323">
                  <c:v>0.17736</c:v>
                </c:pt>
                <c:pt idx="324">
                  <c:v>0.17748</c:v>
                </c:pt>
                <c:pt idx="325">
                  <c:v>0.17748</c:v>
                </c:pt>
              </c:numCache>
            </c:numRef>
          </c:yVal>
          <c:smooth val="0"/>
        </c:ser>
        <c:ser>
          <c:idx val="0"/>
          <c:order val="0"/>
          <c:tx>
            <c:v>6MB2</c:v>
          </c:tx>
          <c:spPr>
            <a:ln w="25400">
              <a:solidFill>
                <a:srgbClr val="0000FF"/>
              </a:solidFill>
              <a:prstDash val="solid"/>
            </a:ln>
          </c:spPr>
          <c:marker>
            <c:symbol val="none"/>
          </c:marker>
          <c:xVal>
            <c:numRef>
              <c:f>'HDD:Dropbox:THESIS:ANALYSIS:THESIS MIP:JAPAN MIP:[6MB2.xls]6MB2- in1'!$C$5:$C$1029</c:f>
              <c:numCache>
                <c:formatCode>General</c:formatCode>
                <c:ptCount val="1025"/>
                <c:pt idx="0">
                  <c:v>10.63</c:v>
                </c:pt>
                <c:pt idx="1">
                  <c:v>10.31</c:v>
                </c:pt>
                <c:pt idx="2">
                  <c:v>10.02</c:v>
                </c:pt>
                <c:pt idx="3">
                  <c:v>9.710999999999998</c:v>
                </c:pt>
                <c:pt idx="4">
                  <c:v>9.409</c:v>
                </c:pt>
                <c:pt idx="5">
                  <c:v>9.11</c:v>
                </c:pt>
                <c:pt idx="6">
                  <c:v>8.823</c:v>
                </c:pt>
                <c:pt idx="7">
                  <c:v>8.540000000000001</c:v>
                </c:pt>
                <c:pt idx="8">
                  <c:v>8.252</c:v>
                </c:pt>
                <c:pt idx="9">
                  <c:v>7.964999999999987</c:v>
                </c:pt>
                <c:pt idx="10">
                  <c:v>7.665999999999975</c:v>
                </c:pt>
                <c:pt idx="11">
                  <c:v>7.367999999999975</c:v>
                </c:pt>
                <c:pt idx="12">
                  <c:v>7.069</c:v>
                </c:pt>
                <c:pt idx="13">
                  <c:v>6.766999999999998</c:v>
                </c:pt>
                <c:pt idx="14">
                  <c:v>6.46</c:v>
                </c:pt>
                <c:pt idx="15">
                  <c:v>6.149</c:v>
                </c:pt>
                <c:pt idx="16">
                  <c:v>5.835</c:v>
                </c:pt>
                <c:pt idx="17">
                  <c:v>5.522999999999985</c:v>
                </c:pt>
                <c:pt idx="18">
                  <c:v>5.208</c:v>
                </c:pt>
                <c:pt idx="19">
                  <c:v>4.891999999999999</c:v>
                </c:pt>
                <c:pt idx="20">
                  <c:v>4.573</c:v>
                </c:pt>
                <c:pt idx="21">
                  <c:v>4.256</c:v>
                </c:pt>
                <c:pt idx="22">
                  <c:v>3.94</c:v>
                </c:pt>
                <c:pt idx="23">
                  <c:v>3.625</c:v>
                </c:pt>
                <c:pt idx="24">
                  <c:v>3.314</c:v>
                </c:pt>
                <c:pt idx="25">
                  <c:v>3.009</c:v>
                </c:pt>
                <c:pt idx="26">
                  <c:v>2.715</c:v>
                </c:pt>
                <c:pt idx="27">
                  <c:v>2.431999999999999</c:v>
                </c:pt>
                <c:pt idx="28">
                  <c:v>2.164</c:v>
                </c:pt>
                <c:pt idx="29">
                  <c:v>1.913999999999999</c:v>
                </c:pt>
                <c:pt idx="30">
                  <c:v>1.686</c:v>
                </c:pt>
                <c:pt idx="31">
                  <c:v>1.481</c:v>
                </c:pt>
                <c:pt idx="32">
                  <c:v>1.299</c:v>
                </c:pt>
                <c:pt idx="33">
                  <c:v>1.14</c:v>
                </c:pt>
                <c:pt idx="34">
                  <c:v>1.002</c:v>
                </c:pt>
                <c:pt idx="35">
                  <c:v>0.8835</c:v>
                </c:pt>
                <c:pt idx="36">
                  <c:v>0.7823</c:v>
                </c:pt>
                <c:pt idx="37">
                  <c:v>0.6959</c:v>
                </c:pt>
                <c:pt idx="38">
                  <c:v>0.6224</c:v>
                </c:pt>
                <c:pt idx="39">
                  <c:v>0.5597</c:v>
                </c:pt>
                <c:pt idx="40">
                  <c:v>0.5061</c:v>
                </c:pt>
                <c:pt idx="41">
                  <c:v>0.4602</c:v>
                </c:pt>
                <c:pt idx="42">
                  <c:v>0.4206</c:v>
                </c:pt>
                <c:pt idx="43">
                  <c:v>0.3864</c:v>
                </c:pt>
                <c:pt idx="44">
                  <c:v>0.3568</c:v>
                </c:pt>
                <c:pt idx="45">
                  <c:v>0.3308</c:v>
                </c:pt>
                <c:pt idx="46">
                  <c:v>0.308</c:v>
                </c:pt>
                <c:pt idx="47">
                  <c:v>0.2878</c:v>
                </c:pt>
                <c:pt idx="48">
                  <c:v>0.2699</c:v>
                </c:pt>
                <c:pt idx="49">
                  <c:v>0.2538</c:v>
                </c:pt>
                <c:pt idx="50">
                  <c:v>0.2392</c:v>
                </c:pt>
                <c:pt idx="51">
                  <c:v>0.2259</c:v>
                </c:pt>
                <c:pt idx="52">
                  <c:v>0.2139</c:v>
                </c:pt>
                <c:pt idx="53">
                  <c:v>0.2029</c:v>
                </c:pt>
                <c:pt idx="54">
                  <c:v>0.1929</c:v>
                </c:pt>
                <c:pt idx="55">
                  <c:v>0.1836</c:v>
                </c:pt>
                <c:pt idx="56">
                  <c:v>0.1751</c:v>
                </c:pt>
                <c:pt idx="57">
                  <c:v>0.1672</c:v>
                </c:pt>
                <c:pt idx="58">
                  <c:v>0.1599</c:v>
                </c:pt>
                <c:pt idx="59">
                  <c:v>0.153</c:v>
                </c:pt>
                <c:pt idx="60">
                  <c:v>0.1465</c:v>
                </c:pt>
                <c:pt idx="61">
                  <c:v>0.1406</c:v>
                </c:pt>
                <c:pt idx="62">
                  <c:v>0.135</c:v>
                </c:pt>
                <c:pt idx="63">
                  <c:v>0.1297</c:v>
                </c:pt>
                <c:pt idx="64">
                  <c:v>0.1247</c:v>
                </c:pt>
                <c:pt idx="65">
                  <c:v>0.1201</c:v>
                </c:pt>
                <c:pt idx="66">
                  <c:v>0.1157</c:v>
                </c:pt>
                <c:pt idx="67">
                  <c:v>0.1115</c:v>
                </c:pt>
                <c:pt idx="68">
                  <c:v>0.1076</c:v>
                </c:pt>
                <c:pt idx="69">
                  <c:v>0.104</c:v>
                </c:pt>
                <c:pt idx="70">
                  <c:v>0.1005</c:v>
                </c:pt>
                <c:pt idx="71">
                  <c:v>0.09731</c:v>
                </c:pt>
                <c:pt idx="72">
                  <c:v>0.09423</c:v>
                </c:pt>
                <c:pt idx="73">
                  <c:v>0.09128</c:v>
                </c:pt>
                <c:pt idx="74">
                  <c:v>0.08851</c:v>
                </c:pt>
                <c:pt idx="75">
                  <c:v>0.08589</c:v>
                </c:pt>
                <c:pt idx="76">
                  <c:v>0.08337</c:v>
                </c:pt>
                <c:pt idx="77">
                  <c:v>0.08098</c:v>
                </c:pt>
                <c:pt idx="78">
                  <c:v>0.07871</c:v>
                </c:pt>
                <c:pt idx="79">
                  <c:v>0.07656</c:v>
                </c:pt>
                <c:pt idx="80">
                  <c:v>0.07451</c:v>
                </c:pt>
                <c:pt idx="81">
                  <c:v>0.07256</c:v>
                </c:pt>
                <c:pt idx="82">
                  <c:v>0.07071</c:v>
                </c:pt>
                <c:pt idx="83">
                  <c:v>0.06895</c:v>
                </c:pt>
                <c:pt idx="84">
                  <c:v>0.06727</c:v>
                </c:pt>
                <c:pt idx="85">
                  <c:v>0.06563</c:v>
                </c:pt>
                <c:pt idx="86">
                  <c:v>0.06407</c:v>
                </c:pt>
                <c:pt idx="87">
                  <c:v>0.06256</c:v>
                </c:pt>
                <c:pt idx="88">
                  <c:v>0.0611</c:v>
                </c:pt>
                <c:pt idx="89">
                  <c:v>0.05966</c:v>
                </c:pt>
                <c:pt idx="90">
                  <c:v>0.05829</c:v>
                </c:pt>
                <c:pt idx="91">
                  <c:v>0.05698</c:v>
                </c:pt>
                <c:pt idx="92">
                  <c:v>0.05573</c:v>
                </c:pt>
                <c:pt idx="93">
                  <c:v>0.0545</c:v>
                </c:pt>
                <c:pt idx="94">
                  <c:v>0.05333</c:v>
                </c:pt>
                <c:pt idx="95">
                  <c:v>0.05222</c:v>
                </c:pt>
                <c:pt idx="96">
                  <c:v>0.05118</c:v>
                </c:pt>
                <c:pt idx="97">
                  <c:v>0.05015</c:v>
                </c:pt>
                <c:pt idx="98">
                  <c:v>0.04918</c:v>
                </c:pt>
                <c:pt idx="99">
                  <c:v>0.04824</c:v>
                </c:pt>
                <c:pt idx="100">
                  <c:v>0.04735</c:v>
                </c:pt>
                <c:pt idx="101">
                  <c:v>0.04647</c:v>
                </c:pt>
                <c:pt idx="102">
                  <c:v>0.04563</c:v>
                </c:pt>
                <c:pt idx="103">
                  <c:v>0.04481</c:v>
                </c:pt>
                <c:pt idx="104">
                  <c:v>0.04404</c:v>
                </c:pt>
                <c:pt idx="105">
                  <c:v>0.04329</c:v>
                </c:pt>
                <c:pt idx="106">
                  <c:v>0.04257</c:v>
                </c:pt>
                <c:pt idx="107">
                  <c:v>0.04185</c:v>
                </c:pt>
                <c:pt idx="108">
                  <c:v>0.04117</c:v>
                </c:pt>
                <c:pt idx="109">
                  <c:v>0.0405</c:v>
                </c:pt>
                <c:pt idx="110">
                  <c:v>0.03988</c:v>
                </c:pt>
                <c:pt idx="111">
                  <c:v>0.03926</c:v>
                </c:pt>
                <c:pt idx="112">
                  <c:v>0.03868</c:v>
                </c:pt>
                <c:pt idx="113">
                  <c:v>0.03811</c:v>
                </c:pt>
                <c:pt idx="114">
                  <c:v>0.03756</c:v>
                </c:pt>
                <c:pt idx="115">
                  <c:v>0.03702</c:v>
                </c:pt>
                <c:pt idx="116">
                  <c:v>0.03649</c:v>
                </c:pt>
                <c:pt idx="117">
                  <c:v>0.03598</c:v>
                </c:pt>
                <c:pt idx="118">
                  <c:v>0.03549</c:v>
                </c:pt>
                <c:pt idx="119">
                  <c:v>0.03501</c:v>
                </c:pt>
                <c:pt idx="120">
                  <c:v>0.03454</c:v>
                </c:pt>
                <c:pt idx="121">
                  <c:v>0.03409</c:v>
                </c:pt>
                <c:pt idx="122">
                  <c:v>0.03364</c:v>
                </c:pt>
                <c:pt idx="123">
                  <c:v>0.03319</c:v>
                </c:pt>
                <c:pt idx="124">
                  <c:v>0.03276</c:v>
                </c:pt>
                <c:pt idx="125">
                  <c:v>0.03234</c:v>
                </c:pt>
                <c:pt idx="126">
                  <c:v>0.03193</c:v>
                </c:pt>
                <c:pt idx="127">
                  <c:v>0.03153</c:v>
                </c:pt>
                <c:pt idx="128">
                  <c:v>0.03113</c:v>
                </c:pt>
                <c:pt idx="129">
                  <c:v>0.03075</c:v>
                </c:pt>
                <c:pt idx="130">
                  <c:v>0.03037</c:v>
                </c:pt>
                <c:pt idx="131">
                  <c:v>0.02998</c:v>
                </c:pt>
                <c:pt idx="132">
                  <c:v>0.02961</c:v>
                </c:pt>
                <c:pt idx="133">
                  <c:v>0.02924</c:v>
                </c:pt>
                <c:pt idx="134">
                  <c:v>0.02888</c:v>
                </c:pt>
                <c:pt idx="135">
                  <c:v>0.02853</c:v>
                </c:pt>
                <c:pt idx="136">
                  <c:v>0.02818</c:v>
                </c:pt>
                <c:pt idx="137">
                  <c:v>0.02783</c:v>
                </c:pt>
                <c:pt idx="138">
                  <c:v>0.02749</c:v>
                </c:pt>
                <c:pt idx="139">
                  <c:v>0.02715</c:v>
                </c:pt>
                <c:pt idx="140">
                  <c:v>0.02681</c:v>
                </c:pt>
                <c:pt idx="141">
                  <c:v>0.02647</c:v>
                </c:pt>
                <c:pt idx="142">
                  <c:v>0.02614</c:v>
                </c:pt>
                <c:pt idx="143">
                  <c:v>0.0258</c:v>
                </c:pt>
                <c:pt idx="144">
                  <c:v>0.02547</c:v>
                </c:pt>
                <c:pt idx="145">
                  <c:v>0.02513</c:v>
                </c:pt>
                <c:pt idx="146">
                  <c:v>0.0248</c:v>
                </c:pt>
                <c:pt idx="147">
                  <c:v>0.02447</c:v>
                </c:pt>
                <c:pt idx="148">
                  <c:v>0.02415</c:v>
                </c:pt>
                <c:pt idx="149">
                  <c:v>0.02382</c:v>
                </c:pt>
                <c:pt idx="150">
                  <c:v>0.0235</c:v>
                </c:pt>
                <c:pt idx="151">
                  <c:v>0.02318</c:v>
                </c:pt>
                <c:pt idx="152">
                  <c:v>0.02286</c:v>
                </c:pt>
                <c:pt idx="153">
                  <c:v>0.02256</c:v>
                </c:pt>
                <c:pt idx="154">
                  <c:v>0.02225</c:v>
                </c:pt>
                <c:pt idx="155">
                  <c:v>0.02196</c:v>
                </c:pt>
                <c:pt idx="156">
                  <c:v>0.02167</c:v>
                </c:pt>
                <c:pt idx="157">
                  <c:v>0.02139</c:v>
                </c:pt>
                <c:pt idx="158">
                  <c:v>0.02111</c:v>
                </c:pt>
                <c:pt idx="159">
                  <c:v>0.02083</c:v>
                </c:pt>
                <c:pt idx="160">
                  <c:v>0.02056</c:v>
                </c:pt>
                <c:pt idx="161">
                  <c:v>0.0203</c:v>
                </c:pt>
                <c:pt idx="162">
                  <c:v>0.02004</c:v>
                </c:pt>
                <c:pt idx="163">
                  <c:v>0.01979</c:v>
                </c:pt>
                <c:pt idx="164">
                  <c:v>0.01954</c:v>
                </c:pt>
                <c:pt idx="165">
                  <c:v>0.0193</c:v>
                </c:pt>
                <c:pt idx="166">
                  <c:v>0.01906</c:v>
                </c:pt>
                <c:pt idx="167">
                  <c:v>0.01883</c:v>
                </c:pt>
                <c:pt idx="168">
                  <c:v>0.0186</c:v>
                </c:pt>
                <c:pt idx="169">
                  <c:v>0.01838</c:v>
                </c:pt>
                <c:pt idx="170">
                  <c:v>0.01816</c:v>
                </c:pt>
                <c:pt idx="171">
                  <c:v>0.01795</c:v>
                </c:pt>
                <c:pt idx="172">
                  <c:v>0.01774</c:v>
                </c:pt>
                <c:pt idx="173">
                  <c:v>0.01754</c:v>
                </c:pt>
                <c:pt idx="174">
                  <c:v>0.01733</c:v>
                </c:pt>
                <c:pt idx="175">
                  <c:v>0.01714</c:v>
                </c:pt>
                <c:pt idx="176">
                  <c:v>0.01694</c:v>
                </c:pt>
                <c:pt idx="177">
                  <c:v>0.01675</c:v>
                </c:pt>
                <c:pt idx="178">
                  <c:v>0.01657</c:v>
                </c:pt>
                <c:pt idx="179">
                  <c:v>0.01638</c:v>
                </c:pt>
                <c:pt idx="180">
                  <c:v>0.0162</c:v>
                </c:pt>
                <c:pt idx="181">
                  <c:v>0.01602</c:v>
                </c:pt>
                <c:pt idx="182">
                  <c:v>0.01585</c:v>
                </c:pt>
                <c:pt idx="183">
                  <c:v>0.01568</c:v>
                </c:pt>
                <c:pt idx="184">
                  <c:v>0.01551</c:v>
                </c:pt>
                <c:pt idx="185">
                  <c:v>0.01535</c:v>
                </c:pt>
                <c:pt idx="186">
                  <c:v>0.01518</c:v>
                </c:pt>
                <c:pt idx="187">
                  <c:v>0.01501</c:v>
                </c:pt>
                <c:pt idx="188">
                  <c:v>0.01485</c:v>
                </c:pt>
                <c:pt idx="189">
                  <c:v>0.01469</c:v>
                </c:pt>
                <c:pt idx="190">
                  <c:v>0.01452</c:v>
                </c:pt>
                <c:pt idx="191">
                  <c:v>0.01437</c:v>
                </c:pt>
                <c:pt idx="192">
                  <c:v>0.01422</c:v>
                </c:pt>
                <c:pt idx="193">
                  <c:v>0.01408</c:v>
                </c:pt>
                <c:pt idx="194">
                  <c:v>0.01395</c:v>
                </c:pt>
                <c:pt idx="195">
                  <c:v>0.01382</c:v>
                </c:pt>
                <c:pt idx="196">
                  <c:v>0.01369</c:v>
                </c:pt>
                <c:pt idx="197">
                  <c:v>0.01357</c:v>
                </c:pt>
                <c:pt idx="198">
                  <c:v>0.01346</c:v>
                </c:pt>
                <c:pt idx="199">
                  <c:v>0.01336</c:v>
                </c:pt>
                <c:pt idx="200">
                  <c:v>0.01326</c:v>
                </c:pt>
                <c:pt idx="201">
                  <c:v>0.01317</c:v>
                </c:pt>
                <c:pt idx="202">
                  <c:v>0.01308</c:v>
                </c:pt>
                <c:pt idx="203">
                  <c:v>0.01299</c:v>
                </c:pt>
                <c:pt idx="204">
                  <c:v>0.0129</c:v>
                </c:pt>
                <c:pt idx="205">
                  <c:v>0.01281</c:v>
                </c:pt>
                <c:pt idx="206">
                  <c:v>0.01272</c:v>
                </c:pt>
                <c:pt idx="207">
                  <c:v>0.01264</c:v>
                </c:pt>
                <c:pt idx="208">
                  <c:v>0.01256</c:v>
                </c:pt>
                <c:pt idx="209">
                  <c:v>0.01248</c:v>
                </c:pt>
                <c:pt idx="210">
                  <c:v>0.0124</c:v>
                </c:pt>
                <c:pt idx="211">
                  <c:v>0.01233</c:v>
                </c:pt>
                <c:pt idx="212">
                  <c:v>0.01225</c:v>
                </c:pt>
                <c:pt idx="213">
                  <c:v>0.01217</c:v>
                </c:pt>
                <c:pt idx="214">
                  <c:v>0.0121</c:v>
                </c:pt>
                <c:pt idx="215">
                  <c:v>0.01202</c:v>
                </c:pt>
                <c:pt idx="216">
                  <c:v>0.01195</c:v>
                </c:pt>
                <c:pt idx="217">
                  <c:v>0.01188</c:v>
                </c:pt>
                <c:pt idx="218">
                  <c:v>0.01181</c:v>
                </c:pt>
                <c:pt idx="219">
                  <c:v>0.01174</c:v>
                </c:pt>
                <c:pt idx="220">
                  <c:v>0.01166</c:v>
                </c:pt>
                <c:pt idx="221">
                  <c:v>0.0116</c:v>
                </c:pt>
                <c:pt idx="222">
                  <c:v>0.01153</c:v>
                </c:pt>
                <c:pt idx="223">
                  <c:v>0.01146</c:v>
                </c:pt>
                <c:pt idx="224">
                  <c:v>0.01139</c:v>
                </c:pt>
                <c:pt idx="225">
                  <c:v>0.01132</c:v>
                </c:pt>
                <c:pt idx="226">
                  <c:v>0.01126</c:v>
                </c:pt>
                <c:pt idx="227">
                  <c:v>0.01119</c:v>
                </c:pt>
                <c:pt idx="228">
                  <c:v>0.01113</c:v>
                </c:pt>
                <c:pt idx="229">
                  <c:v>0.01106</c:v>
                </c:pt>
                <c:pt idx="230">
                  <c:v>0.011</c:v>
                </c:pt>
                <c:pt idx="231">
                  <c:v>0.01093</c:v>
                </c:pt>
                <c:pt idx="232">
                  <c:v>0.01087</c:v>
                </c:pt>
                <c:pt idx="233">
                  <c:v>0.01081</c:v>
                </c:pt>
                <c:pt idx="234">
                  <c:v>0.01075</c:v>
                </c:pt>
                <c:pt idx="235">
                  <c:v>0.01069</c:v>
                </c:pt>
                <c:pt idx="236">
                  <c:v>0.01063</c:v>
                </c:pt>
                <c:pt idx="237">
                  <c:v>0.01057</c:v>
                </c:pt>
                <c:pt idx="238">
                  <c:v>0.01051</c:v>
                </c:pt>
                <c:pt idx="239">
                  <c:v>0.01045</c:v>
                </c:pt>
                <c:pt idx="240">
                  <c:v>0.01039</c:v>
                </c:pt>
                <c:pt idx="241">
                  <c:v>0.01033</c:v>
                </c:pt>
                <c:pt idx="242">
                  <c:v>0.01027</c:v>
                </c:pt>
                <c:pt idx="243">
                  <c:v>0.01022</c:v>
                </c:pt>
                <c:pt idx="244">
                  <c:v>0.01016</c:v>
                </c:pt>
                <c:pt idx="245">
                  <c:v>0.01011</c:v>
                </c:pt>
                <c:pt idx="246">
                  <c:v>0.01005</c:v>
                </c:pt>
                <c:pt idx="247">
                  <c:v>0.009997</c:v>
                </c:pt>
                <c:pt idx="248">
                  <c:v>0.009943</c:v>
                </c:pt>
                <c:pt idx="249">
                  <c:v>0.009889</c:v>
                </c:pt>
                <c:pt idx="250">
                  <c:v>0.009836</c:v>
                </c:pt>
                <c:pt idx="251">
                  <c:v>0.009783</c:v>
                </c:pt>
                <c:pt idx="252">
                  <c:v>0.009731</c:v>
                </c:pt>
                <c:pt idx="253">
                  <c:v>0.009679</c:v>
                </c:pt>
                <c:pt idx="254">
                  <c:v>0.009628</c:v>
                </c:pt>
                <c:pt idx="255">
                  <c:v>0.009577</c:v>
                </c:pt>
                <c:pt idx="256">
                  <c:v>0.009525</c:v>
                </c:pt>
                <c:pt idx="257">
                  <c:v>0.009475</c:v>
                </c:pt>
                <c:pt idx="258">
                  <c:v>0.009423</c:v>
                </c:pt>
                <c:pt idx="259">
                  <c:v>0.00937</c:v>
                </c:pt>
                <c:pt idx="260">
                  <c:v>0.009318</c:v>
                </c:pt>
                <c:pt idx="261">
                  <c:v>0.009264</c:v>
                </c:pt>
                <c:pt idx="262">
                  <c:v>0.00921</c:v>
                </c:pt>
                <c:pt idx="263">
                  <c:v>0.009155</c:v>
                </c:pt>
                <c:pt idx="264">
                  <c:v>0.0091</c:v>
                </c:pt>
                <c:pt idx="265">
                  <c:v>0.009045</c:v>
                </c:pt>
                <c:pt idx="266">
                  <c:v>0.008989</c:v>
                </c:pt>
                <c:pt idx="267">
                  <c:v>0.008933</c:v>
                </c:pt>
                <c:pt idx="268">
                  <c:v>0.008877</c:v>
                </c:pt>
                <c:pt idx="269">
                  <c:v>0.008822</c:v>
                </c:pt>
                <c:pt idx="270">
                  <c:v>0.008768</c:v>
                </c:pt>
                <c:pt idx="271">
                  <c:v>0.008713</c:v>
                </c:pt>
                <c:pt idx="272">
                  <c:v>0.008659</c:v>
                </c:pt>
                <c:pt idx="273">
                  <c:v>0.008606</c:v>
                </c:pt>
                <c:pt idx="274">
                  <c:v>0.008554</c:v>
                </c:pt>
                <c:pt idx="275">
                  <c:v>0.008502</c:v>
                </c:pt>
                <c:pt idx="276">
                  <c:v>0.00845</c:v>
                </c:pt>
                <c:pt idx="277">
                  <c:v>0.008399</c:v>
                </c:pt>
                <c:pt idx="278">
                  <c:v>0.008349</c:v>
                </c:pt>
                <c:pt idx="279">
                  <c:v>0.008299</c:v>
                </c:pt>
                <c:pt idx="280">
                  <c:v>0.008249</c:v>
                </c:pt>
                <c:pt idx="281">
                  <c:v>0.0082</c:v>
                </c:pt>
                <c:pt idx="282">
                  <c:v>0.008151</c:v>
                </c:pt>
                <c:pt idx="283">
                  <c:v>0.008103</c:v>
                </c:pt>
                <c:pt idx="284">
                  <c:v>0.008055</c:v>
                </c:pt>
                <c:pt idx="285">
                  <c:v>0.008008</c:v>
                </c:pt>
                <c:pt idx="286">
                  <c:v>0.007961</c:v>
                </c:pt>
                <c:pt idx="287">
                  <c:v>0.007914</c:v>
                </c:pt>
                <c:pt idx="288">
                  <c:v>0.007868</c:v>
                </c:pt>
                <c:pt idx="289">
                  <c:v>0.007822</c:v>
                </c:pt>
                <c:pt idx="290">
                  <c:v>0.007776</c:v>
                </c:pt>
                <c:pt idx="291">
                  <c:v>0.007731</c:v>
                </c:pt>
                <c:pt idx="292">
                  <c:v>0.007687</c:v>
                </c:pt>
                <c:pt idx="293">
                  <c:v>0.007642</c:v>
                </c:pt>
                <c:pt idx="294">
                  <c:v>0.007599</c:v>
                </c:pt>
                <c:pt idx="295">
                  <c:v>0.007555</c:v>
                </c:pt>
                <c:pt idx="296">
                  <c:v>0.007513</c:v>
                </c:pt>
                <c:pt idx="297">
                  <c:v>0.00747</c:v>
                </c:pt>
                <c:pt idx="298">
                  <c:v>0.007428</c:v>
                </c:pt>
                <c:pt idx="299">
                  <c:v>0.007386</c:v>
                </c:pt>
                <c:pt idx="300">
                  <c:v>0.007344</c:v>
                </c:pt>
                <c:pt idx="301">
                  <c:v>0.007303</c:v>
                </c:pt>
                <c:pt idx="302">
                  <c:v>0.007263</c:v>
                </c:pt>
                <c:pt idx="303">
                  <c:v>0.007222</c:v>
                </c:pt>
                <c:pt idx="304">
                  <c:v>0.007182</c:v>
                </c:pt>
                <c:pt idx="305">
                  <c:v>0.007143</c:v>
                </c:pt>
                <c:pt idx="306">
                  <c:v>0.007104</c:v>
                </c:pt>
                <c:pt idx="307">
                  <c:v>0.007065</c:v>
                </c:pt>
                <c:pt idx="308">
                  <c:v>0.007026</c:v>
                </c:pt>
                <c:pt idx="309">
                  <c:v>0.006988</c:v>
                </c:pt>
                <c:pt idx="310">
                  <c:v>0.006951</c:v>
                </c:pt>
                <c:pt idx="311">
                  <c:v>0.006913</c:v>
                </c:pt>
                <c:pt idx="312">
                  <c:v>0.006876</c:v>
                </c:pt>
                <c:pt idx="313">
                  <c:v>0.00684</c:v>
                </c:pt>
                <c:pt idx="314">
                  <c:v>0.006803</c:v>
                </c:pt>
                <c:pt idx="315">
                  <c:v>0.006765</c:v>
                </c:pt>
                <c:pt idx="316">
                  <c:v>0.006729</c:v>
                </c:pt>
                <c:pt idx="317">
                  <c:v>0.006692</c:v>
                </c:pt>
                <c:pt idx="318">
                  <c:v>0.006656</c:v>
                </c:pt>
                <c:pt idx="319">
                  <c:v>0.00662</c:v>
                </c:pt>
                <c:pt idx="320">
                  <c:v>0.006584</c:v>
                </c:pt>
                <c:pt idx="321">
                  <c:v>0.006547</c:v>
                </c:pt>
                <c:pt idx="322">
                  <c:v>0.006512</c:v>
                </c:pt>
                <c:pt idx="323">
                  <c:v>0.006478</c:v>
                </c:pt>
              </c:numCache>
            </c:numRef>
          </c:xVal>
          <c:yVal>
            <c:numRef>
              <c:f>'HDD:Dropbox:THESIS:ANALYSIS:THESIS MIP:JAPAN MIP:[6MB2.xls]6MB2- in1'!$I$5:$I$1029</c:f>
              <c:numCache>
                <c:formatCode>General</c:formatCode>
                <c:ptCount val="1025"/>
                <c:pt idx="0">
                  <c:v>0.0</c:v>
                </c:pt>
                <c:pt idx="1">
                  <c:v>0.00012</c:v>
                </c:pt>
                <c:pt idx="2">
                  <c:v>0.00024</c:v>
                </c:pt>
                <c:pt idx="3">
                  <c:v>0.00024</c:v>
                </c:pt>
                <c:pt idx="4">
                  <c:v>0.00024</c:v>
                </c:pt>
                <c:pt idx="5">
                  <c:v>0.00024</c:v>
                </c:pt>
                <c:pt idx="6">
                  <c:v>0.00036</c:v>
                </c:pt>
                <c:pt idx="7">
                  <c:v>0.00036</c:v>
                </c:pt>
                <c:pt idx="8">
                  <c:v>0.00036</c:v>
                </c:pt>
                <c:pt idx="9">
                  <c:v>0.00036</c:v>
                </c:pt>
                <c:pt idx="10">
                  <c:v>0.00036</c:v>
                </c:pt>
                <c:pt idx="11">
                  <c:v>0.00036</c:v>
                </c:pt>
                <c:pt idx="12">
                  <c:v>0.00036</c:v>
                </c:pt>
                <c:pt idx="13">
                  <c:v>0.00036</c:v>
                </c:pt>
                <c:pt idx="14">
                  <c:v>0.00036</c:v>
                </c:pt>
                <c:pt idx="15">
                  <c:v>0.00036</c:v>
                </c:pt>
                <c:pt idx="16">
                  <c:v>0.00036</c:v>
                </c:pt>
                <c:pt idx="17">
                  <c:v>0.00036</c:v>
                </c:pt>
                <c:pt idx="18">
                  <c:v>0.00036</c:v>
                </c:pt>
                <c:pt idx="19">
                  <c:v>0.00036</c:v>
                </c:pt>
                <c:pt idx="20">
                  <c:v>0.00036</c:v>
                </c:pt>
                <c:pt idx="21">
                  <c:v>0.00036</c:v>
                </c:pt>
                <c:pt idx="22">
                  <c:v>0.00036</c:v>
                </c:pt>
                <c:pt idx="23">
                  <c:v>0.00036</c:v>
                </c:pt>
                <c:pt idx="24">
                  <c:v>0.00036</c:v>
                </c:pt>
                <c:pt idx="25">
                  <c:v>0.00036</c:v>
                </c:pt>
                <c:pt idx="26">
                  <c:v>0.00036</c:v>
                </c:pt>
                <c:pt idx="27">
                  <c:v>0.00036</c:v>
                </c:pt>
                <c:pt idx="28">
                  <c:v>0.00036</c:v>
                </c:pt>
                <c:pt idx="29">
                  <c:v>0.00036</c:v>
                </c:pt>
                <c:pt idx="30">
                  <c:v>0.00036</c:v>
                </c:pt>
                <c:pt idx="31">
                  <c:v>0.00036</c:v>
                </c:pt>
                <c:pt idx="32">
                  <c:v>0.00036</c:v>
                </c:pt>
                <c:pt idx="33">
                  <c:v>0.00036</c:v>
                </c:pt>
                <c:pt idx="34">
                  <c:v>0.00036</c:v>
                </c:pt>
                <c:pt idx="35">
                  <c:v>0.00036</c:v>
                </c:pt>
                <c:pt idx="36">
                  <c:v>0.00036</c:v>
                </c:pt>
                <c:pt idx="37">
                  <c:v>0.00036</c:v>
                </c:pt>
                <c:pt idx="38">
                  <c:v>0.00036</c:v>
                </c:pt>
                <c:pt idx="39">
                  <c:v>0.00036</c:v>
                </c:pt>
                <c:pt idx="40">
                  <c:v>0.00036</c:v>
                </c:pt>
                <c:pt idx="41">
                  <c:v>0.00036</c:v>
                </c:pt>
                <c:pt idx="42">
                  <c:v>0.00036</c:v>
                </c:pt>
                <c:pt idx="43">
                  <c:v>0.00036</c:v>
                </c:pt>
                <c:pt idx="44">
                  <c:v>0.00036</c:v>
                </c:pt>
                <c:pt idx="45">
                  <c:v>0.00036</c:v>
                </c:pt>
                <c:pt idx="46">
                  <c:v>0.00036</c:v>
                </c:pt>
                <c:pt idx="47">
                  <c:v>0.00036</c:v>
                </c:pt>
                <c:pt idx="48">
                  <c:v>0.00036</c:v>
                </c:pt>
                <c:pt idx="49">
                  <c:v>0.00036</c:v>
                </c:pt>
                <c:pt idx="50">
                  <c:v>0.00036</c:v>
                </c:pt>
                <c:pt idx="51">
                  <c:v>0.00036</c:v>
                </c:pt>
                <c:pt idx="52">
                  <c:v>0.00036</c:v>
                </c:pt>
                <c:pt idx="53">
                  <c:v>0.00036</c:v>
                </c:pt>
                <c:pt idx="54">
                  <c:v>0.00036</c:v>
                </c:pt>
                <c:pt idx="55">
                  <c:v>0.00036</c:v>
                </c:pt>
                <c:pt idx="56">
                  <c:v>0.00036</c:v>
                </c:pt>
                <c:pt idx="57">
                  <c:v>0.00036</c:v>
                </c:pt>
                <c:pt idx="58">
                  <c:v>0.00036</c:v>
                </c:pt>
                <c:pt idx="59">
                  <c:v>0.00036</c:v>
                </c:pt>
                <c:pt idx="60">
                  <c:v>0.00036</c:v>
                </c:pt>
                <c:pt idx="61">
                  <c:v>0.00036</c:v>
                </c:pt>
                <c:pt idx="62">
                  <c:v>0.00036</c:v>
                </c:pt>
                <c:pt idx="63">
                  <c:v>0.00036</c:v>
                </c:pt>
                <c:pt idx="64">
                  <c:v>0.00036</c:v>
                </c:pt>
                <c:pt idx="65">
                  <c:v>0.00036</c:v>
                </c:pt>
                <c:pt idx="66">
                  <c:v>0.00036</c:v>
                </c:pt>
                <c:pt idx="67">
                  <c:v>0.00036</c:v>
                </c:pt>
                <c:pt idx="68">
                  <c:v>0.00036</c:v>
                </c:pt>
                <c:pt idx="69">
                  <c:v>0.00036</c:v>
                </c:pt>
                <c:pt idx="70">
                  <c:v>0.00036</c:v>
                </c:pt>
                <c:pt idx="71">
                  <c:v>0.00036</c:v>
                </c:pt>
                <c:pt idx="72">
                  <c:v>0.00036</c:v>
                </c:pt>
                <c:pt idx="73">
                  <c:v>0.00036</c:v>
                </c:pt>
                <c:pt idx="74">
                  <c:v>0.00036</c:v>
                </c:pt>
                <c:pt idx="75">
                  <c:v>0.00036</c:v>
                </c:pt>
                <c:pt idx="76">
                  <c:v>0.00036</c:v>
                </c:pt>
                <c:pt idx="77">
                  <c:v>0.00036</c:v>
                </c:pt>
                <c:pt idx="78">
                  <c:v>0.00036</c:v>
                </c:pt>
                <c:pt idx="79">
                  <c:v>0.00036</c:v>
                </c:pt>
                <c:pt idx="80">
                  <c:v>0.00036</c:v>
                </c:pt>
                <c:pt idx="81">
                  <c:v>0.00036</c:v>
                </c:pt>
                <c:pt idx="82">
                  <c:v>0.00036</c:v>
                </c:pt>
                <c:pt idx="83">
                  <c:v>0.00036</c:v>
                </c:pt>
                <c:pt idx="84">
                  <c:v>0.00036</c:v>
                </c:pt>
                <c:pt idx="85">
                  <c:v>0.00036</c:v>
                </c:pt>
                <c:pt idx="86">
                  <c:v>0.00036</c:v>
                </c:pt>
                <c:pt idx="87">
                  <c:v>0.00036</c:v>
                </c:pt>
                <c:pt idx="88">
                  <c:v>0.00036</c:v>
                </c:pt>
                <c:pt idx="89">
                  <c:v>0.00036</c:v>
                </c:pt>
                <c:pt idx="90">
                  <c:v>0.00036</c:v>
                </c:pt>
                <c:pt idx="91">
                  <c:v>0.00036</c:v>
                </c:pt>
                <c:pt idx="92">
                  <c:v>0.00036</c:v>
                </c:pt>
                <c:pt idx="93">
                  <c:v>0.00036</c:v>
                </c:pt>
                <c:pt idx="94">
                  <c:v>0.00036</c:v>
                </c:pt>
                <c:pt idx="95">
                  <c:v>0.00036</c:v>
                </c:pt>
                <c:pt idx="96">
                  <c:v>0.00036</c:v>
                </c:pt>
                <c:pt idx="97">
                  <c:v>0.00036</c:v>
                </c:pt>
                <c:pt idx="98">
                  <c:v>0.00036</c:v>
                </c:pt>
                <c:pt idx="99">
                  <c:v>0.00036</c:v>
                </c:pt>
                <c:pt idx="100">
                  <c:v>0.00036</c:v>
                </c:pt>
                <c:pt idx="101">
                  <c:v>0.00036</c:v>
                </c:pt>
                <c:pt idx="102">
                  <c:v>0.00036</c:v>
                </c:pt>
                <c:pt idx="103">
                  <c:v>0.00036</c:v>
                </c:pt>
                <c:pt idx="104">
                  <c:v>0.00036</c:v>
                </c:pt>
                <c:pt idx="105">
                  <c:v>0.00036</c:v>
                </c:pt>
                <c:pt idx="106">
                  <c:v>0.00036</c:v>
                </c:pt>
                <c:pt idx="107">
                  <c:v>0.00036</c:v>
                </c:pt>
                <c:pt idx="108">
                  <c:v>0.00036</c:v>
                </c:pt>
                <c:pt idx="109">
                  <c:v>0.00036</c:v>
                </c:pt>
                <c:pt idx="110">
                  <c:v>0.00048</c:v>
                </c:pt>
                <c:pt idx="111">
                  <c:v>0.00048</c:v>
                </c:pt>
                <c:pt idx="112">
                  <c:v>0.00048</c:v>
                </c:pt>
                <c:pt idx="113">
                  <c:v>0.0006</c:v>
                </c:pt>
                <c:pt idx="114">
                  <c:v>0.00072</c:v>
                </c:pt>
                <c:pt idx="115">
                  <c:v>0.00072</c:v>
                </c:pt>
                <c:pt idx="116">
                  <c:v>0.00084</c:v>
                </c:pt>
                <c:pt idx="117">
                  <c:v>0.00096</c:v>
                </c:pt>
                <c:pt idx="118">
                  <c:v>0.0012</c:v>
                </c:pt>
                <c:pt idx="119">
                  <c:v>0.00132</c:v>
                </c:pt>
                <c:pt idx="120">
                  <c:v>0.00144</c:v>
                </c:pt>
                <c:pt idx="121">
                  <c:v>0.00168</c:v>
                </c:pt>
                <c:pt idx="122">
                  <c:v>0.0018</c:v>
                </c:pt>
                <c:pt idx="123">
                  <c:v>0.00204</c:v>
                </c:pt>
                <c:pt idx="124">
                  <c:v>0.00228</c:v>
                </c:pt>
                <c:pt idx="125">
                  <c:v>0.0024</c:v>
                </c:pt>
                <c:pt idx="126">
                  <c:v>0.00264</c:v>
                </c:pt>
                <c:pt idx="127">
                  <c:v>0.00276</c:v>
                </c:pt>
                <c:pt idx="128">
                  <c:v>0.003</c:v>
                </c:pt>
                <c:pt idx="129">
                  <c:v>0.00312</c:v>
                </c:pt>
                <c:pt idx="130">
                  <c:v>0.00336</c:v>
                </c:pt>
                <c:pt idx="131">
                  <c:v>0.00348</c:v>
                </c:pt>
                <c:pt idx="132">
                  <c:v>0.00372</c:v>
                </c:pt>
                <c:pt idx="133">
                  <c:v>0.00396</c:v>
                </c:pt>
                <c:pt idx="134">
                  <c:v>0.0042</c:v>
                </c:pt>
                <c:pt idx="135">
                  <c:v>0.00444</c:v>
                </c:pt>
                <c:pt idx="136">
                  <c:v>0.00492</c:v>
                </c:pt>
                <c:pt idx="137">
                  <c:v>0.0054</c:v>
                </c:pt>
                <c:pt idx="138">
                  <c:v>0.00588</c:v>
                </c:pt>
                <c:pt idx="139">
                  <c:v>0.0066</c:v>
                </c:pt>
                <c:pt idx="140">
                  <c:v>0.0072</c:v>
                </c:pt>
                <c:pt idx="141">
                  <c:v>0.0078</c:v>
                </c:pt>
                <c:pt idx="142">
                  <c:v>0.00864</c:v>
                </c:pt>
                <c:pt idx="143">
                  <c:v>0.00948</c:v>
                </c:pt>
                <c:pt idx="144">
                  <c:v>0.01044</c:v>
                </c:pt>
                <c:pt idx="145">
                  <c:v>0.01164</c:v>
                </c:pt>
                <c:pt idx="146">
                  <c:v>0.01296</c:v>
                </c:pt>
                <c:pt idx="147">
                  <c:v>0.01428</c:v>
                </c:pt>
                <c:pt idx="148">
                  <c:v>0.0156</c:v>
                </c:pt>
                <c:pt idx="149">
                  <c:v>0.01716</c:v>
                </c:pt>
                <c:pt idx="150">
                  <c:v>0.01896</c:v>
                </c:pt>
                <c:pt idx="151">
                  <c:v>0.021</c:v>
                </c:pt>
                <c:pt idx="152">
                  <c:v>0.02316</c:v>
                </c:pt>
                <c:pt idx="153">
                  <c:v>0.02568</c:v>
                </c:pt>
                <c:pt idx="154">
                  <c:v>0.0282</c:v>
                </c:pt>
                <c:pt idx="155">
                  <c:v>0.03084</c:v>
                </c:pt>
                <c:pt idx="156">
                  <c:v>0.0336</c:v>
                </c:pt>
                <c:pt idx="157">
                  <c:v>0.03636</c:v>
                </c:pt>
                <c:pt idx="158">
                  <c:v>0.03924</c:v>
                </c:pt>
                <c:pt idx="159">
                  <c:v>0.04236</c:v>
                </c:pt>
                <c:pt idx="160">
                  <c:v>0.04536</c:v>
                </c:pt>
                <c:pt idx="161">
                  <c:v>0.04836</c:v>
                </c:pt>
                <c:pt idx="162">
                  <c:v>0.05136</c:v>
                </c:pt>
                <c:pt idx="163">
                  <c:v>0.05412</c:v>
                </c:pt>
                <c:pt idx="164">
                  <c:v>0.05688</c:v>
                </c:pt>
                <c:pt idx="165">
                  <c:v>0.05964</c:v>
                </c:pt>
                <c:pt idx="166">
                  <c:v>0.06228</c:v>
                </c:pt>
                <c:pt idx="167">
                  <c:v>0.06492</c:v>
                </c:pt>
                <c:pt idx="168">
                  <c:v>0.06768</c:v>
                </c:pt>
                <c:pt idx="169">
                  <c:v>0.07032</c:v>
                </c:pt>
                <c:pt idx="170">
                  <c:v>0.07284</c:v>
                </c:pt>
                <c:pt idx="171">
                  <c:v>0.07524</c:v>
                </c:pt>
                <c:pt idx="172">
                  <c:v>0.0774</c:v>
                </c:pt>
                <c:pt idx="173">
                  <c:v>0.07968</c:v>
                </c:pt>
                <c:pt idx="174">
                  <c:v>0.08184</c:v>
                </c:pt>
                <c:pt idx="175">
                  <c:v>0.08412</c:v>
                </c:pt>
                <c:pt idx="176">
                  <c:v>0.08616</c:v>
                </c:pt>
                <c:pt idx="177">
                  <c:v>0.08832</c:v>
                </c:pt>
                <c:pt idx="178">
                  <c:v>0.09048</c:v>
                </c:pt>
                <c:pt idx="179">
                  <c:v>0.09252</c:v>
                </c:pt>
                <c:pt idx="180">
                  <c:v>0.09456</c:v>
                </c:pt>
                <c:pt idx="181">
                  <c:v>0.09672</c:v>
                </c:pt>
                <c:pt idx="182">
                  <c:v>0.09876</c:v>
                </c:pt>
                <c:pt idx="183">
                  <c:v>0.10068</c:v>
                </c:pt>
                <c:pt idx="184">
                  <c:v>0.10284</c:v>
                </c:pt>
                <c:pt idx="185">
                  <c:v>0.10488</c:v>
                </c:pt>
                <c:pt idx="186">
                  <c:v>0.10692</c:v>
                </c:pt>
                <c:pt idx="187">
                  <c:v>0.10884</c:v>
                </c:pt>
                <c:pt idx="188">
                  <c:v>0.11064</c:v>
                </c:pt>
                <c:pt idx="189">
                  <c:v>0.11244</c:v>
                </c:pt>
                <c:pt idx="190">
                  <c:v>0.11412</c:v>
                </c:pt>
                <c:pt idx="191">
                  <c:v>0.1158</c:v>
                </c:pt>
                <c:pt idx="192">
                  <c:v>0.11736</c:v>
                </c:pt>
                <c:pt idx="193">
                  <c:v>0.1188</c:v>
                </c:pt>
                <c:pt idx="194">
                  <c:v>0.12036</c:v>
                </c:pt>
                <c:pt idx="195">
                  <c:v>0.12168</c:v>
                </c:pt>
                <c:pt idx="196">
                  <c:v>0.12288</c:v>
                </c:pt>
                <c:pt idx="197">
                  <c:v>0.1242</c:v>
                </c:pt>
                <c:pt idx="198">
                  <c:v>0.12528</c:v>
                </c:pt>
                <c:pt idx="199">
                  <c:v>0.12636</c:v>
                </c:pt>
                <c:pt idx="200">
                  <c:v>0.12732</c:v>
                </c:pt>
                <c:pt idx="201">
                  <c:v>0.12828</c:v>
                </c:pt>
                <c:pt idx="202">
                  <c:v>0.12924</c:v>
                </c:pt>
                <c:pt idx="203">
                  <c:v>0.13008</c:v>
                </c:pt>
                <c:pt idx="204">
                  <c:v>0.13092</c:v>
                </c:pt>
                <c:pt idx="205">
                  <c:v>0.13188</c:v>
                </c:pt>
                <c:pt idx="206">
                  <c:v>0.1326</c:v>
                </c:pt>
                <c:pt idx="207">
                  <c:v>0.13344</c:v>
                </c:pt>
                <c:pt idx="208">
                  <c:v>0.13416</c:v>
                </c:pt>
                <c:pt idx="209">
                  <c:v>0.13476</c:v>
                </c:pt>
                <c:pt idx="210">
                  <c:v>0.1356</c:v>
                </c:pt>
                <c:pt idx="211">
                  <c:v>0.13632</c:v>
                </c:pt>
                <c:pt idx="212">
                  <c:v>0.13704</c:v>
                </c:pt>
                <c:pt idx="213">
                  <c:v>0.13764</c:v>
                </c:pt>
                <c:pt idx="214">
                  <c:v>0.13824</c:v>
                </c:pt>
                <c:pt idx="215">
                  <c:v>0.13884</c:v>
                </c:pt>
                <c:pt idx="216">
                  <c:v>0.13944</c:v>
                </c:pt>
                <c:pt idx="217">
                  <c:v>0.14004</c:v>
                </c:pt>
                <c:pt idx="218">
                  <c:v>0.14064</c:v>
                </c:pt>
                <c:pt idx="219">
                  <c:v>0.14124</c:v>
                </c:pt>
                <c:pt idx="220">
                  <c:v>0.14184</c:v>
                </c:pt>
                <c:pt idx="221">
                  <c:v>0.14232</c:v>
                </c:pt>
                <c:pt idx="222">
                  <c:v>0.14268</c:v>
                </c:pt>
                <c:pt idx="223">
                  <c:v>0.14316</c:v>
                </c:pt>
                <c:pt idx="224">
                  <c:v>0.14364</c:v>
                </c:pt>
                <c:pt idx="225">
                  <c:v>0.14412</c:v>
                </c:pt>
                <c:pt idx="226">
                  <c:v>0.14472</c:v>
                </c:pt>
                <c:pt idx="227">
                  <c:v>0.14508</c:v>
                </c:pt>
                <c:pt idx="228">
                  <c:v>0.14556</c:v>
                </c:pt>
                <c:pt idx="229">
                  <c:v>0.14604</c:v>
                </c:pt>
                <c:pt idx="230">
                  <c:v>0.1464</c:v>
                </c:pt>
                <c:pt idx="231">
                  <c:v>0.147</c:v>
                </c:pt>
                <c:pt idx="232">
                  <c:v>0.1476</c:v>
                </c:pt>
                <c:pt idx="233">
                  <c:v>0.14808</c:v>
                </c:pt>
                <c:pt idx="234">
                  <c:v>0.14868</c:v>
                </c:pt>
                <c:pt idx="235">
                  <c:v>0.14928</c:v>
                </c:pt>
                <c:pt idx="236">
                  <c:v>0.14976</c:v>
                </c:pt>
                <c:pt idx="237">
                  <c:v>0.15024</c:v>
                </c:pt>
                <c:pt idx="238">
                  <c:v>0.15072</c:v>
                </c:pt>
                <c:pt idx="239">
                  <c:v>0.1512</c:v>
                </c:pt>
                <c:pt idx="240">
                  <c:v>0.15168</c:v>
                </c:pt>
                <c:pt idx="241">
                  <c:v>0.15228</c:v>
                </c:pt>
                <c:pt idx="242">
                  <c:v>0.15276</c:v>
                </c:pt>
                <c:pt idx="243">
                  <c:v>0.15324</c:v>
                </c:pt>
                <c:pt idx="244">
                  <c:v>0.15384</c:v>
                </c:pt>
                <c:pt idx="245">
                  <c:v>0.15444</c:v>
                </c:pt>
                <c:pt idx="246">
                  <c:v>0.15492</c:v>
                </c:pt>
                <c:pt idx="247">
                  <c:v>0.15552</c:v>
                </c:pt>
                <c:pt idx="248">
                  <c:v>0.15612</c:v>
                </c:pt>
                <c:pt idx="249">
                  <c:v>0.15684</c:v>
                </c:pt>
                <c:pt idx="250">
                  <c:v>0.15732</c:v>
                </c:pt>
                <c:pt idx="251">
                  <c:v>0.1578</c:v>
                </c:pt>
                <c:pt idx="252">
                  <c:v>0.15828</c:v>
                </c:pt>
                <c:pt idx="253">
                  <c:v>0.15876</c:v>
                </c:pt>
                <c:pt idx="254">
                  <c:v>0.15924</c:v>
                </c:pt>
                <c:pt idx="255">
                  <c:v>0.1596</c:v>
                </c:pt>
                <c:pt idx="256">
                  <c:v>0.16008</c:v>
                </c:pt>
                <c:pt idx="257">
                  <c:v>0.16032</c:v>
                </c:pt>
                <c:pt idx="258">
                  <c:v>0.16068</c:v>
                </c:pt>
                <c:pt idx="259">
                  <c:v>0.16104</c:v>
                </c:pt>
                <c:pt idx="260">
                  <c:v>0.1614</c:v>
                </c:pt>
                <c:pt idx="261">
                  <c:v>0.16164</c:v>
                </c:pt>
                <c:pt idx="262">
                  <c:v>0.162</c:v>
                </c:pt>
                <c:pt idx="263">
                  <c:v>0.16236</c:v>
                </c:pt>
                <c:pt idx="264">
                  <c:v>0.16272</c:v>
                </c:pt>
                <c:pt idx="265">
                  <c:v>0.16296</c:v>
                </c:pt>
                <c:pt idx="266">
                  <c:v>0.16332</c:v>
                </c:pt>
                <c:pt idx="267">
                  <c:v>0.16356</c:v>
                </c:pt>
                <c:pt idx="268">
                  <c:v>0.1638</c:v>
                </c:pt>
                <c:pt idx="269">
                  <c:v>0.16404</c:v>
                </c:pt>
                <c:pt idx="270">
                  <c:v>0.16416</c:v>
                </c:pt>
                <c:pt idx="271">
                  <c:v>0.1644</c:v>
                </c:pt>
                <c:pt idx="272">
                  <c:v>0.16464</c:v>
                </c:pt>
                <c:pt idx="273">
                  <c:v>0.165</c:v>
                </c:pt>
                <c:pt idx="274">
                  <c:v>0.16524</c:v>
                </c:pt>
                <c:pt idx="275">
                  <c:v>0.1656</c:v>
                </c:pt>
                <c:pt idx="276">
                  <c:v>0.16584</c:v>
                </c:pt>
                <c:pt idx="277">
                  <c:v>0.1662</c:v>
                </c:pt>
                <c:pt idx="278">
                  <c:v>0.16656</c:v>
                </c:pt>
                <c:pt idx="279">
                  <c:v>0.16692</c:v>
                </c:pt>
                <c:pt idx="280">
                  <c:v>0.16716</c:v>
                </c:pt>
                <c:pt idx="281">
                  <c:v>0.16752</c:v>
                </c:pt>
                <c:pt idx="282">
                  <c:v>0.16788</c:v>
                </c:pt>
                <c:pt idx="283">
                  <c:v>0.16836</c:v>
                </c:pt>
                <c:pt idx="284">
                  <c:v>0.1686</c:v>
                </c:pt>
                <c:pt idx="285">
                  <c:v>0.16884</c:v>
                </c:pt>
                <c:pt idx="286">
                  <c:v>0.16896</c:v>
                </c:pt>
                <c:pt idx="287">
                  <c:v>0.1692</c:v>
                </c:pt>
                <c:pt idx="288">
                  <c:v>0.16932</c:v>
                </c:pt>
                <c:pt idx="289">
                  <c:v>0.16944</c:v>
                </c:pt>
                <c:pt idx="290">
                  <c:v>0.16968</c:v>
                </c:pt>
                <c:pt idx="291">
                  <c:v>0.1698</c:v>
                </c:pt>
                <c:pt idx="292">
                  <c:v>0.17004</c:v>
                </c:pt>
                <c:pt idx="293">
                  <c:v>0.17016</c:v>
                </c:pt>
                <c:pt idx="294">
                  <c:v>0.17028</c:v>
                </c:pt>
                <c:pt idx="295">
                  <c:v>0.1704</c:v>
                </c:pt>
                <c:pt idx="296">
                  <c:v>0.17052</c:v>
                </c:pt>
                <c:pt idx="297">
                  <c:v>0.17064</c:v>
                </c:pt>
                <c:pt idx="298">
                  <c:v>0.17088</c:v>
                </c:pt>
                <c:pt idx="299">
                  <c:v>0.171</c:v>
                </c:pt>
                <c:pt idx="300">
                  <c:v>0.17112</c:v>
                </c:pt>
                <c:pt idx="301">
                  <c:v>0.17124</c:v>
                </c:pt>
                <c:pt idx="302">
                  <c:v>0.17124</c:v>
                </c:pt>
                <c:pt idx="303">
                  <c:v>0.17136</c:v>
                </c:pt>
                <c:pt idx="304">
                  <c:v>0.17136</c:v>
                </c:pt>
                <c:pt idx="305">
                  <c:v>0.17136</c:v>
                </c:pt>
                <c:pt idx="306">
                  <c:v>0.17148</c:v>
                </c:pt>
                <c:pt idx="307">
                  <c:v>0.17148</c:v>
                </c:pt>
                <c:pt idx="308">
                  <c:v>0.17148</c:v>
                </c:pt>
                <c:pt idx="309">
                  <c:v>0.17148</c:v>
                </c:pt>
                <c:pt idx="310">
                  <c:v>0.17148</c:v>
                </c:pt>
                <c:pt idx="311">
                  <c:v>0.17148</c:v>
                </c:pt>
                <c:pt idx="312">
                  <c:v>0.17148</c:v>
                </c:pt>
                <c:pt idx="313">
                  <c:v>0.17148</c:v>
                </c:pt>
                <c:pt idx="314">
                  <c:v>0.17148</c:v>
                </c:pt>
                <c:pt idx="315">
                  <c:v>0.17148</c:v>
                </c:pt>
                <c:pt idx="316">
                  <c:v>0.17148</c:v>
                </c:pt>
                <c:pt idx="317">
                  <c:v>0.17148</c:v>
                </c:pt>
                <c:pt idx="318">
                  <c:v>0.17148</c:v>
                </c:pt>
                <c:pt idx="319">
                  <c:v>0.17148</c:v>
                </c:pt>
                <c:pt idx="320">
                  <c:v>0.17148</c:v>
                </c:pt>
                <c:pt idx="321">
                  <c:v>0.17148</c:v>
                </c:pt>
                <c:pt idx="322">
                  <c:v>0.17148</c:v>
                </c:pt>
                <c:pt idx="323">
                  <c:v>0.17148</c:v>
                </c:pt>
              </c:numCache>
            </c:numRef>
          </c:yVal>
          <c:smooth val="0"/>
        </c:ser>
        <c:dLbls>
          <c:showLegendKey val="0"/>
          <c:showVal val="0"/>
          <c:showCatName val="0"/>
          <c:showSerName val="0"/>
          <c:showPercent val="0"/>
          <c:showBubbleSize val="0"/>
        </c:dLbls>
        <c:axId val="2130633608"/>
        <c:axId val="2130639368"/>
      </c:scatterChart>
      <c:valAx>
        <c:axId val="2130633608"/>
        <c:scaling>
          <c:logBase val="10.0"/>
          <c:orientation val="maxMin"/>
          <c:max val="1.0"/>
        </c:scaling>
        <c:delete val="0"/>
        <c:axPos val="b"/>
        <c:majorGridlines/>
        <c:title>
          <c:tx>
            <c:rich>
              <a:bodyPr/>
              <a:lstStyle/>
              <a:p>
                <a:pPr>
                  <a:defRPr/>
                </a:pPr>
                <a:r>
                  <a:rPr lang="el-GR"/>
                  <a:t>Pore Diameter (μm) </a:t>
                </a:r>
              </a:p>
            </c:rich>
          </c:tx>
          <c:overlay val="0"/>
        </c:title>
        <c:numFmt formatCode="General" sourceLinked="0"/>
        <c:majorTickMark val="out"/>
        <c:minorTickMark val="none"/>
        <c:tickLblPos val="nextTo"/>
        <c:spPr>
          <a:ln w="3175">
            <a:solidFill>
              <a:srgbClr val="000000"/>
            </a:solidFill>
            <a:prstDash val="solid"/>
          </a:ln>
        </c:spPr>
        <c:txPr>
          <a:bodyPr rot="0" vert="horz"/>
          <a:lstStyle/>
          <a:p>
            <a:pPr>
              <a:defRPr/>
            </a:pPr>
            <a:endParaRPr lang="en-US"/>
          </a:p>
        </c:txPr>
        <c:crossAx val="2130639368"/>
        <c:crosses val="autoZero"/>
        <c:crossBetween val="midCat"/>
      </c:valAx>
      <c:valAx>
        <c:axId val="2130639368"/>
        <c:scaling>
          <c:orientation val="minMax"/>
        </c:scaling>
        <c:delete val="0"/>
        <c:axPos val="l"/>
        <c:majorGridlines/>
        <c:title>
          <c:tx>
            <c:rich>
              <a:bodyPr rot="-5400000" vert="horz"/>
              <a:lstStyle/>
              <a:p>
                <a:pPr algn="ctr" rtl="0">
                  <a:defRPr/>
                </a:pPr>
                <a:r>
                  <a:rPr lang="tr-TR"/>
                  <a:t>Cumulative Pore Volume (ml/g)</a:t>
                </a:r>
              </a:p>
              <a:p>
                <a:pPr algn="ctr" rtl="0">
                  <a:defRPr/>
                </a:pPr>
                <a:endParaRPr lang="en-US"/>
              </a:p>
            </c:rich>
          </c:tx>
          <c:overlay val="0"/>
        </c:title>
        <c:numFmt formatCode="General" sourceLinked="1"/>
        <c:majorTickMark val="out"/>
        <c:minorTickMark val="none"/>
        <c:tickLblPos val="nextTo"/>
        <c:spPr>
          <a:ln w="3175">
            <a:solidFill>
              <a:srgbClr val="000000"/>
            </a:solidFill>
            <a:prstDash val="solid"/>
          </a:ln>
        </c:spPr>
        <c:crossAx val="2130633608"/>
        <c:crosses val="max"/>
        <c:crossBetween val="midCat"/>
      </c:valAx>
      <c:spPr>
        <a:noFill/>
        <a:ln w="25400">
          <a:noFill/>
        </a:ln>
      </c:spPr>
    </c:plotArea>
    <c:legend>
      <c:legendPos val="r"/>
      <c:layout>
        <c:manualLayout>
          <c:xMode val="edge"/>
          <c:yMode val="edge"/>
          <c:x val="0.26325409196543"/>
          <c:y val="0.0246600781667619"/>
          <c:w val="0.576807323018423"/>
          <c:h val="0.157218567984764"/>
        </c:manualLayout>
      </c:layout>
      <c:overlay val="0"/>
    </c:legend>
    <c:plotVisOnly val="1"/>
    <c:dispBlanksAs val="gap"/>
    <c:showDLblsOverMax val="0"/>
  </c:chart>
  <c:spPr>
    <a:solidFill>
      <a:srgbClr val="FFFFFF"/>
    </a:solidFill>
    <a:ln w="9525">
      <a:noFill/>
    </a:ln>
  </c:spPr>
  <c:txPr>
    <a:bodyPr/>
    <a:lstStyle/>
    <a:p>
      <a:pPr algn="ctr">
        <a:defRPr sz="1000">
          <a:latin typeface="Arial"/>
          <a:cs typeface="Arial"/>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93693258669076"/>
          <c:y val="0.025531914893617"/>
          <c:w val="0.730820553958945"/>
          <c:h val="0.790169892556534"/>
        </c:manualLayout>
      </c:layout>
      <c:scatterChart>
        <c:scatterStyle val="lineMarker"/>
        <c:varyColors val="0"/>
        <c:ser>
          <c:idx val="2"/>
          <c:order val="1"/>
          <c:tx>
            <c:v>6MB1</c:v>
          </c:tx>
          <c:spPr>
            <a:ln w="19050" cmpd="sng">
              <a:solidFill>
                <a:schemeClr val="tx1"/>
              </a:solidFill>
            </a:ln>
          </c:spPr>
          <c:marker>
            <c:symbol val="none"/>
          </c:marker>
          <c:xVal>
            <c:numRef>
              <c:f>'HDD:Dropbox:THESIS-JAN BACK:ANALYSIS:THESIS MIP:JAPAN MIP:[6MB1.xls]6MB1- in1'!$C$5:$C$330</c:f>
              <c:numCache>
                <c:formatCode>General</c:formatCode>
                <c:ptCount val="326"/>
                <c:pt idx="0">
                  <c:v>10.65</c:v>
                </c:pt>
                <c:pt idx="1">
                  <c:v>10.33</c:v>
                </c:pt>
                <c:pt idx="2">
                  <c:v>10.02</c:v>
                </c:pt>
                <c:pt idx="3">
                  <c:v>9.711</c:v>
                </c:pt>
                <c:pt idx="4">
                  <c:v>9.399</c:v>
                </c:pt>
                <c:pt idx="5">
                  <c:v>9.099</c:v>
                </c:pt>
                <c:pt idx="6">
                  <c:v>8.82</c:v>
                </c:pt>
                <c:pt idx="7">
                  <c:v>8.544</c:v>
                </c:pt>
                <c:pt idx="8">
                  <c:v>8.271</c:v>
                </c:pt>
                <c:pt idx="9">
                  <c:v>7.995</c:v>
                </c:pt>
                <c:pt idx="10">
                  <c:v>7.717</c:v>
                </c:pt>
                <c:pt idx="11">
                  <c:v>7.438</c:v>
                </c:pt>
                <c:pt idx="12">
                  <c:v>7.155999999999985</c:v>
                </c:pt>
                <c:pt idx="13">
                  <c:v>6.876</c:v>
                </c:pt>
                <c:pt idx="14">
                  <c:v>6.592</c:v>
                </c:pt>
                <c:pt idx="15">
                  <c:v>6.302</c:v>
                </c:pt>
                <c:pt idx="16">
                  <c:v>6.011</c:v>
                </c:pt>
                <c:pt idx="17">
                  <c:v>5.716</c:v>
                </c:pt>
                <c:pt idx="18">
                  <c:v>5.419</c:v>
                </c:pt>
                <c:pt idx="19">
                  <c:v>5.118999999999994</c:v>
                </c:pt>
                <c:pt idx="20">
                  <c:v>4.816999999999997</c:v>
                </c:pt>
                <c:pt idx="21">
                  <c:v>4.516</c:v>
                </c:pt>
                <c:pt idx="22">
                  <c:v>4.214</c:v>
                </c:pt>
                <c:pt idx="23">
                  <c:v>3.911</c:v>
                </c:pt>
                <c:pt idx="24">
                  <c:v>3.609</c:v>
                </c:pt>
                <c:pt idx="25">
                  <c:v>3.310999999999999</c:v>
                </c:pt>
                <c:pt idx="26">
                  <c:v>3.019</c:v>
                </c:pt>
                <c:pt idx="27">
                  <c:v>2.735</c:v>
                </c:pt>
                <c:pt idx="28">
                  <c:v>2.461</c:v>
                </c:pt>
                <c:pt idx="29">
                  <c:v>2.2</c:v>
                </c:pt>
                <c:pt idx="30">
                  <c:v>1.956</c:v>
                </c:pt>
                <c:pt idx="31">
                  <c:v>1.73</c:v>
                </c:pt>
                <c:pt idx="32">
                  <c:v>1.525</c:v>
                </c:pt>
                <c:pt idx="33">
                  <c:v>1.341</c:v>
                </c:pt>
                <c:pt idx="34">
                  <c:v>1.179</c:v>
                </c:pt>
                <c:pt idx="35">
                  <c:v>1.037</c:v>
                </c:pt>
                <c:pt idx="36">
                  <c:v>0.915</c:v>
                </c:pt>
                <c:pt idx="37">
                  <c:v>0.8101</c:v>
                </c:pt>
                <c:pt idx="38">
                  <c:v>0.7203</c:v>
                </c:pt>
                <c:pt idx="39">
                  <c:v>0.6436</c:v>
                </c:pt>
                <c:pt idx="40">
                  <c:v>0.5782</c:v>
                </c:pt>
                <c:pt idx="41">
                  <c:v>0.5221</c:v>
                </c:pt>
                <c:pt idx="42">
                  <c:v>0.4741</c:v>
                </c:pt>
                <c:pt idx="43">
                  <c:v>0.4327</c:v>
                </c:pt>
                <c:pt idx="44">
                  <c:v>0.397</c:v>
                </c:pt>
                <c:pt idx="45">
                  <c:v>0.366</c:v>
                </c:pt>
                <c:pt idx="46">
                  <c:v>0.339</c:v>
                </c:pt>
                <c:pt idx="47">
                  <c:v>0.3152</c:v>
                </c:pt>
                <c:pt idx="48">
                  <c:v>0.2943</c:v>
                </c:pt>
                <c:pt idx="49">
                  <c:v>0.2756</c:v>
                </c:pt>
                <c:pt idx="50">
                  <c:v>0.2589</c:v>
                </c:pt>
                <c:pt idx="51">
                  <c:v>0.2439</c:v>
                </c:pt>
                <c:pt idx="52">
                  <c:v>0.2303</c:v>
                </c:pt>
                <c:pt idx="53">
                  <c:v>0.218</c:v>
                </c:pt>
                <c:pt idx="54">
                  <c:v>0.2067</c:v>
                </c:pt>
                <c:pt idx="55">
                  <c:v>0.1964</c:v>
                </c:pt>
                <c:pt idx="56">
                  <c:v>0.1869</c:v>
                </c:pt>
                <c:pt idx="57">
                  <c:v>0.1782</c:v>
                </c:pt>
                <c:pt idx="58">
                  <c:v>0.1702</c:v>
                </c:pt>
                <c:pt idx="59">
                  <c:v>0.1627</c:v>
                </c:pt>
                <c:pt idx="60">
                  <c:v>0.1557</c:v>
                </c:pt>
                <c:pt idx="61">
                  <c:v>0.1491</c:v>
                </c:pt>
                <c:pt idx="62">
                  <c:v>0.1429</c:v>
                </c:pt>
                <c:pt idx="63">
                  <c:v>0.1372</c:v>
                </c:pt>
                <c:pt idx="64">
                  <c:v>0.1318</c:v>
                </c:pt>
                <c:pt idx="65">
                  <c:v>0.1267</c:v>
                </c:pt>
                <c:pt idx="66">
                  <c:v>0.1219</c:v>
                </c:pt>
                <c:pt idx="67">
                  <c:v>0.1174</c:v>
                </c:pt>
                <c:pt idx="68">
                  <c:v>0.1131</c:v>
                </c:pt>
                <c:pt idx="69">
                  <c:v>0.1089</c:v>
                </c:pt>
                <c:pt idx="70">
                  <c:v>0.105</c:v>
                </c:pt>
                <c:pt idx="71">
                  <c:v>0.1014</c:v>
                </c:pt>
                <c:pt idx="72">
                  <c:v>0.09793</c:v>
                </c:pt>
                <c:pt idx="73">
                  <c:v>0.09471</c:v>
                </c:pt>
                <c:pt idx="74">
                  <c:v>0.09168</c:v>
                </c:pt>
                <c:pt idx="75">
                  <c:v>0.08883</c:v>
                </c:pt>
                <c:pt idx="76">
                  <c:v>0.08615</c:v>
                </c:pt>
                <c:pt idx="77">
                  <c:v>0.08356</c:v>
                </c:pt>
                <c:pt idx="78">
                  <c:v>0.08112</c:v>
                </c:pt>
                <c:pt idx="79">
                  <c:v>0.07879</c:v>
                </c:pt>
                <c:pt idx="80">
                  <c:v>0.07664</c:v>
                </c:pt>
                <c:pt idx="81">
                  <c:v>0.0746</c:v>
                </c:pt>
                <c:pt idx="82">
                  <c:v>0.07261</c:v>
                </c:pt>
                <c:pt idx="83">
                  <c:v>0.07072</c:v>
                </c:pt>
                <c:pt idx="84">
                  <c:v>0.06892</c:v>
                </c:pt>
                <c:pt idx="85">
                  <c:v>0.06718</c:v>
                </c:pt>
                <c:pt idx="86">
                  <c:v>0.06551</c:v>
                </c:pt>
                <c:pt idx="87">
                  <c:v>0.06392</c:v>
                </c:pt>
                <c:pt idx="88">
                  <c:v>0.0624</c:v>
                </c:pt>
                <c:pt idx="89">
                  <c:v>0.06092</c:v>
                </c:pt>
                <c:pt idx="90">
                  <c:v>0.05951</c:v>
                </c:pt>
                <c:pt idx="91">
                  <c:v>0.05815</c:v>
                </c:pt>
                <c:pt idx="92">
                  <c:v>0.05685</c:v>
                </c:pt>
                <c:pt idx="93">
                  <c:v>0.05563</c:v>
                </c:pt>
                <c:pt idx="94">
                  <c:v>0.05446</c:v>
                </c:pt>
                <c:pt idx="95">
                  <c:v>0.05333</c:v>
                </c:pt>
                <c:pt idx="96">
                  <c:v>0.05224</c:v>
                </c:pt>
                <c:pt idx="97">
                  <c:v>0.05121</c:v>
                </c:pt>
                <c:pt idx="98">
                  <c:v>0.05017</c:v>
                </c:pt>
                <c:pt idx="99">
                  <c:v>0.0492</c:v>
                </c:pt>
                <c:pt idx="100">
                  <c:v>0.04828</c:v>
                </c:pt>
                <c:pt idx="101">
                  <c:v>0.04742</c:v>
                </c:pt>
                <c:pt idx="102">
                  <c:v>0.04658</c:v>
                </c:pt>
                <c:pt idx="103">
                  <c:v>0.04577</c:v>
                </c:pt>
                <c:pt idx="104">
                  <c:v>0.04498</c:v>
                </c:pt>
                <c:pt idx="105">
                  <c:v>0.04422</c:v>
                </c:pt>
                <c:pt idx="106">
                  <c:v>0.04348</c:v>
                </c:pt>
                <c:pt idx="107">
                  <c:v>0.04278</c:v>
                </c:pt>
                <c:pt idx="108">
                  <c:v>0.0421</c:v>
                </c:pt>
                <c:pt idx="109">
                  <c:v>0.04145</c:v>
                </c:pt>
                <c:pt idx="110">
                  <c:v>0.04083</c:v>
                </c:pt>
                <c:pt idx="111">
                  <c:v>0.04022</c:v>
                </c:pt>
                <c:pt idx="112">
                  <c:v>0.03962</c:v>
                </c:pt>
                <c:pt idx="113">
                  <c:v>0.03904</c:v>
                </c:pt>
                <c:pt idx="114">
                  <c:v>0.03847</c:v>
                </c:pt>
                <c:pt idx="115">
                  <c:v>0.03793</c:v>
                </c:pt>
                <c:pt idx="116">
                  <c:v>0.03739</c:v>
                </c:pt>
                <c:pt idx="117">
                  <c:v>0.03687</c:v>
                </c:pt>
                <c:pt idx="118">
                  <c:v>0.03636</c:v>
                </c:pt>
                <c:pt idx="119">
                  <c:v>0.03586</c:v>
                </c:pt>
                <c:pt idx="120">
                  <c:v>0.03537</c:v>
                </c:pt>
                <c:pt idx="121">
                  <c:v>0.0349</c:v>
                </c:pt>
                <c:pt idx="122">
                  <c:v>0.03444</c:v>
                </c:pt>
                <c:pt idx="123">
                  <c:v>0.03399</c:v>
                </c:pt>
                <c:pt idx="124">
                  <c:v>0.03355</c:v>
                </c:pt>
                <c:pt idx="125">
                  <c:v>0.03312</c:v>
                </c:pt>
                <c:pt idx="126">
                  <c:v>0.03269</c:v>
                </c:pt>
                <c:pt idx="127">
                  <c:v>0.03228</c:v>
                </c:pt>
                <c:pt idx="128">
                  <c:v>0.03186</c:v>
                </c:pt>
                <c:pt idx="129">
                  <c:v>0.03147</c:v>
                </c:pt>
                <c:pt idx="130">
                  <c:v>0.03108</c:v>
                </c:pt>
                <c:pt idx="131">
                  <c:v>0.03068</c:v>
                </c:pt>
                <c:pt idx="132">
                  <c:v>0.0303</c:v>
                </c:pt>
                <c:pt idx="133">
                  <c:v>0.02992</c:v>
                </c:pt>
                <c:pt idx="134">
                  <c:v>0.02955</c:v>
                </c:pt>
                <c:pt idx="135">
                  <c:v>0.02918</c:v>
                </c:pt>
                <c:pt idx="136">
                  <c:v>0.02882</c:v>
                </c:pt>
                <c:pt idx="137">
                  <c:v>0.02847</c:v>
                </c:pt>
                <c:pt idx="138">
                  <c:v>0.02812</c:v>
                </c:pt>
                <c:pt idx="139">
                  <c:v>0.02777</c:v>
                </c:pt>
                <c:pt idx="140">
                  <c:v>0.02741</c:v>
                </c:pt>
                <c:pt idx="141">
                  <c:v>0.02707</c:v>
                </c:pt>
                <c:pt idx="142">
                  <c:v>0.02672</c:v>
                </c:pt>
                <c:pt idx="143">
                  <c:v>0.02637</c:v>
                </c:pt>
                <c:pt idx="144">
                  <c:v>0.02603</c:v>
                </c:pt>
                <c:pt idx="145">
                  <c:v>0.02567</c:v>
                </c:pt>
                <c:pt idx="146">
                  <c:v>0.02532</c:v>
                </c:pt>
                <c:pt idx="147">
                  <c:v>0.02496</c:v>
                </c:pt>
                <c:pt idx="148">
                  <c:v>0.02461</c:v>
                </c:pt>
                <c:pt idx="149">
                  <c:v>0.02427</c:v>
                </c:pt>
                <c:pt idx="150">
                  <c:v>0.02393</c:v>
                </c:pt>
                <c:pt idx="151">
                  <c:v>0.0236</c:v>
                </c:pt>
                <c:pt idx="152">
                  <c:v>0.02327</c:v>
                </c:pt>
                <c:pt idx="153">
                  <c:v>0.02295</c:v>
                </c:pt>
                <c:pt idx="154">
                  <c:v>0.02263</c:v>
                </c:pt>
                <c:pt idx="155">
                  <c:v>0.02233</c:v>
                </c:pt>
                <c:pt idx="156">
                  <c:v>0.02203</c:v>
                </c:pt>
                <c:pt idx="157">
                  <c:v>0.02174</c:v>
                </c:pt>
                <c:pt idx="158">
                  <c:v>0.02145</c:v>
                </c:pt>
                <c:pt idx="159">
                  <c:v>0.02117</c:v>
                </c:pt>
                <c:pt idx="160">
                  <c:v>0.0209</c:v>
                </c:pt>
                <c:pt idx="161">
                  <c:v>0.02063</c:v>
                </c:pt>
                <c:pt idx="162">
                  <c:v>0.02037</c:v>
                </c:pt>
                <c:pt idx="163">
                  <c:v>0.02011</c:v>
                </c:pt>
                <c:pt idx="164">
                  <c:v>0.01986</c:v>
                </c:pt>
                <c:pt idx="165">
                  <c:v>0.01962</c:v>
                </c:pt>
                <c:pt idx="166">
                  <c:v>0.01938</c:v>
                </c:pt>
                <c:pt idx="167">
                  <c:v>0.01914</c:v>
                </c:pt>
                <c:pt idx="168">
                  <c:v>0.01891</c:v>
                </c:pt>
                <c:pt idx="169">
                  <c:v>0.01869</c:v>
                </c:pt>
                <c:pt idx="170">
                  <c:v>0.01847</c:v>
                </c:pt>
                <c:pt idx="171">
                  <c:v>0.01825</c:v>
                </c:pt>
                <c:pt idx="172">
                  <c:v>0.01804</c:v>
                </c:pt>
                <c:pt idx="173">
                  <c:v>0.01783</c:v>
                </c:pt>
                <c:pt idx="174">
                  <c:v>0.01762</c:v>
                </c:pt>
                <c:pt idx="175">
                  <c:v>0.01742</c:v>
                </c:pt>
                <c:pt idx="176">
                  <c:v>0.01722</c:v>
                </c:pt>
                <c:pt idx="177">
                  <c:v>0.01703</c:v>
                </c:pt>
                <c:pt idx="178">
                  <c:v>0.01684</c:v>
                </c:pt>
                <c:pt idx="179">
                  <c:v>0.01665</c:v>
                </c:pt>
                <c:pt idx="180">
                  <c:v>0.01647</c:v>
                </c:pt>
                <c:pt idx="181">
                  <c:v>0.01628</c:v>
                </c:pt>
                <c:pt idx="182">
                  <c:v>0.01611</c:v>
                </c:pt>
                <c:pt idx="183">
                  <c:v>0.01594</c:v>
                </c:pt>
                <c:pt idx="184">
                  <c:v>0.01577</c:v>
                </c:pt>
                <c:pt idx="185">
                  <c:v>0.01561</c:v>
                </c:pt>
                <c:pt idx="186">
                  <c:v>0.01545</c:v>
                </c:pt>
                <c:pt idx="187">
                  <c:v>0.0153</c:v>
                </c:pt>
                <c:pt idx="188">
                  <c:v>0.01514</c:v>
                </c:pt>
                <c:pt idx="189">
                  <c:v>0.01499</c:v>
                </c:pt>
                <c:pt idx="190">
                  <c:v>0.01484</c:v>
                </c:pt>
                <c:pt idx="191">
                  <c:v>0.0147</c:v>
                </c:pt>
                <c:pt idx="192">
                  <c:v>0.01456</c:v>
                </c:pt>
                <c:pt idx="193">
                  <c:v>0.01442</c:v>
                </c:pt>
                <c:pt idx="194">
                  <c:v>0.01428</c:v>
                </c:pt>
                <c:pt idx="195">
                  <c:v>0.01414</c:v>
                </c:pt>
                <c:pt idx="196">
                  <c:v>0.01401</c:v>
                </c:pt>
                <c:pt idx="197">
                  <c:v>0.01388</c:v>
                </c:pt>
                <c:pt idx="198">
                  <c:v>0.01376</c:v>
                </c:pt>
                <c:pt idx="199">
                  <c:v>0.01364</c:v>
                </c:pt>
                <c:pt idx="200">
                  <c:v>0.01352</c:v>
                </c:pt>
                <c:pt idx="201">
                  <c:v>0.0134</c:v>
                </c:pt>
                <c:pt idx="202">
                  <c:v>0.01329</c:v>
                </c:pt>
                <c:pt idx="203">
                  <c:v>0.01319</c:v>
                </c:pt>
                <c:pt idx="204">
                  <c:v>0.01309</c:v>
                </c:pt>
                <c:pt idx="205">
                  <c:v>0.01299</c:v>
                </c:pt>
                <c:pt idx="206">
                  <c:v>0.0129</c:v>
                </c:pt>
                <c:pt idx="207">
                  <c:v>0.01282</c:v>
                </c:pt>
                <c:pt idx="208">
                  <c:v>0.01273</c:v>
                </c:pt>
                <c:pt idx="209">
                  <c:v>0.01264</c:v>
                </c:pt>
                <c:pt idx="210">
                  <c:v>0.01256</c:v>
                </c:pt>
                <c:pt idx="211">
                  <c:v>0.01249</c:v>
                </c:pt>
                <c:pt idx="212">
                  <c:v>0.01241</c:v>
                </c:pt>
                <c:pt idx="213">
                  <c:v>0.01233</c:v>
                </c:pt>
                <c:pt idx="214">
                  <c:v>0.01226</c:v>
                </c:pt>
                <c:pt idx="215">
                  <c:v>0.01218</c:v>
                </c:pt>
                <c:pt idx="216">
                  <c:v>0.01211</c:v>
                </c:pt>
                <c:pt idx="217">
                  <c:v>0.01203</c:v>
                </c:pt>
                <c:pt idx="218">
                  <c:v>0.01196</c:v>
                </c:pt>
                <c:pt idx="219">
                  <c:v>0.01189</c:v>
                </c:pt>
                <c:pt idx="220">
                  <c:v>0.01181</c:v>
                </c:pt>
                <c:pt idx="221">
                  <c:v>0.01174</c:v>
                </c:pt>
                <c:pt idx="222">
                  <c:v>0.01167</c:v>
                </c:pt>
                <c:pt idx="223">
                  <c:v>0.0116</c:v>
                </c:pt>
                <c:pt idx="224">
                  <c:v>0.01153</c:v>
                </c:pt>
                <c:pt idx="225">
                  <c:v>0.01146</c:v>
                </c:pt>
                <c:pt idx="226">
                  <c:v>0.0114</c:v>
                </c:pt>
                <c:pt idx="227">
                  <c:v>0.01133</c:v>
                </c:pt>
                <c:pt idx="228">
                  <c:v>0.01126</c:v>
                </c:pt>
                <c:pt idx="229">
                  <c:v>0.0112</c:v>
                </c:pt>
                <c:pt idx="230">
                  <c:v>0.01113</c:v>
                </c:pt>
                <c:pt idx="231">
                  <c:v>0.01107</c:v>
                </c:pt>
                <c:pt idx="232">
                  <c:v>0.011</c:v>
                </c:pt>
                <c:pt idx="233">
                  <c:v>0.01094</c:v>
                </c:pt>
                <c:pt idx="234">
                  <c:v>0.01088</c:v>
                </c:pt>
                <c:pt idx="235">
                  <c:v>0.01082</c:v>
                </c:pt>
                <c:pt idx="236">
                  <c:v>0.01075</c:v>
                </c:pt>
                <c:pt idx="237">
                  <c:v>0.01069</c:v>
                </c:pt>
                <c:pt idx="238">
                  <c:v>0.01063</c:v>
                </c:pt>
                <c:pt idx="239">
                  <c:v>0.01057</c:v>
                </c:pt>
                <c:pt idx="240">
                  <c:v>0.01051</c:v>
                </c:pt>
                <c:pt idx="241">
                  <c:v>0.01046</c:v>
                </c:pt>
                <c:pt idx="242">
                  <c:v>0.0104</c:v>
                </c:pt>
                <c:pt idx="243">
                  <c:v>0.01034</c:v>
                </c:pt>
                <c:pt idx="244">
                  <c:v>0.01028</c:v>
                </c:pt>
                <c:pt idx="245">
                  <c:v>0.01023</c:v>
                </c:pt>
                <c:pt idx="246">
                  <c:v>0.01017</c:v>
                </c:pt>
                <c:pt idx="247">
                  <c:v>0.01011</c:v>
                </c:pt>
                <c:pt idx="248">
                  <c:v>0.01006</c:v>
                </c:pt>
                <c:pt idx="249">
                  <c:v>0.01</c:v>
                </c:pt>
                <c:pt idx="250">
                  <c:v>0.00995</c:v>
                </c:pt>
                <c:pt idx="251">
                  <c:v>0.009896</c:v>
                </c:pt>
                <c:pt idx="252">
                  <c:v>0.009843</c:v>
                </c:pt>
                <c:pt idx="253">
                  <c:v>0.00979</c:v>
                </c:pt>
                <c:pt idx="254">
                  <c:v>0.009738</c:v>
                </c:pt>
                <c:pt idx="255">
                  <c:v>0.009686</c:v>
                </c:pt>
                <c:pt idx="256">
                  <c:v>0.009633</c:v>
                </c:pt>
                <c:pt idx="257">
                  <c:v>0.00958</c:v>
                </c:pt>
                <c:pt idx="258">
                  <c:v>0.009526</c:v>
                </c:pt>
                <c:pt idx="259">
                  <c:v>0.009472</c:v>
                </c:pt>
                <c:pt idx="260">
                  <c:v>0.009418</c:v>
                </c:pt>
                <c:pt idx="261">
                  <c:v>0.009364</c:v>
                </c:pt>
                <c:pt idx="262">
                  <c:v>0.009308</c:v>
                </c:pt>
                <c:pt idx="263">
                  <c:v>0.009253</c:v>
                </c:pt>
                <c:pt idx="264">
                  <c:v>0.009197</c:v>
                </c:pt>
                <c:pt idx="265">
                  <c:v>0.009141</c:v>
                </c:pt>
                <c:pt idx="266">
                  <c:v>0.009086</c:v>
                </c:pt>
                <c:pt idx="267">
                  <c:v>0.009032</c:v>
                </c:pt>
                <c:pt idx="268">
                  <c:v>0.008978</c:v>
                </c:pt>
                <c:pt idx="269">
                  <c:v>0.008924</c:v>
                </c:pt>
                <c:pt idx="270">
                  <c:v>0.008871</c:v>
                </c:pt>
                <c:pt idx="271">
                  <c:v>0.008818</c:v>
                </c:pt>
                <c:pt idx="272">
                  <c:v>0.008765</c:v>
                </c:pt>
                <c:pt idx="273">
                  <c:v>0.008713</c:v>
                </c:pt>
                <c:pt idx="274">
                  <c:v>0.008661</c:v>
                </c:pt>
                <c:pt idx="275">
                  <c:v>0.00861</c:v>
                </c:pt>
                <c:pt idx="276">
                  <c:v>0.008558</c:v>
                </c:pt>
                <c:pt idx="277">
                  <c:v>0.008506</c:v>
                </c:pt>
                <c:pt idx="278">
                  <c:v>0.008454</c:v>
                </c:pt>
                <c:pt idx="279">
                  <c:v>0.008403</c:v>
                </c:pt>
                <c:pt idx="280">
                  <c:v>0.008353</c:v>
                </c:pt>
                <c:pt idx="281">
                  <c:v>0.008303</c:v>
                </c:pt>
                <c:pt idx="282">
                  <c:v>0.008253</c:v>
                </c:pt>
                <c:pt idx="283">
                  <c:v>0.008204</c:v>
                </c:pt>
                <c:pt idx="284">
                  <c:v>0.008155</c:v>
                </c:pt>
                <c:pt idx="285">
                  <c:v>0.008107</c:v>
                </c:pt>
                <c:pt idx="286">
                  <c:v>0.008059</c:v>
                </c:pt>
                <c:pt idx="287">
                  <c:v>0.008011</c:v>
                </c:pt>
                <c:pt idx="288">
                  <c:v>0.007964</c:v>
                </c:pt>
                <c:pt idx="289">
                  <c:v>0.007918</c:v>
                </c:pt>
                <c:pt idx="290">
                  <c:v>0.007871</c:v>
                </c:pt>
                <c:pt idx="291">
                  <c:v>0.007825</c:v>
                </c:pt>
                <c:pt idx="292">
                  <c:v>0.00778</c:v>
                </c:pt>
                <c:pt idx="293">
                  <c:v>0.007735</c:v>
                </c:pt>
                <c:pt idx="294">
                  <c:v>0.00769</c:v>
                </c:pt>
                <c:pt idx="295">
                  <c:v>0.007645</c:v>
                </c:pt>
                <c:pt idx="296">
                  <c:v>0.007601</c:v>
                </c:pt>
                <c:pt idx="297">
                  <c:v>0.007558</c:v>
                </c:pt>
                <c:pt idx="298">
                  <c:v>0.007515</c:v>
                </c:pt>
                <c:pt idx="299">
                  <c:v>0.007472</c:v>
                </c:pt>
                <c:pt idx="300">
                  <c:v>0.00743</c:v>
                </c:pt>
                <c:pt idx="301">
                  <c:v>0.007388</c:v>
                </c:pt>
                <c:pt idx="302">
                  <c:v>0.007346</c:v>
                </c:pt>
                <c:pt idx="303">
                  <c:v>0.007305</c:v>
                </c:pt>
                <c:pt idx="304">
                  <c:v>0.007264</c:v>
                </c:pt>
                <c:pt idx="305">
                  <c:v>0.007224</c:v>
                </c:pt>
                <c:pt idx="306">
                  <c:v>0.007184</c:v>
                </c:pt>
                <c:pt idx="307">
                  <c:v>0.007144</c:v>
                </c:pt>
                <c:pt idx="308">
                  <c:v>0.007105</c:v>
                </c:pt>
                <c:pt idx="309">
                  <c:v>0.007066</c:v>
                </c:pt>
                <c:pt idx="310">
                  <c:v>0.007028</c:v>
                </c:pt>
                <c:pt idx="311">
                  <c:v>0.006989</c:v>
                </c:pt>
                <c:pt idx="312">
                  <c:v>0.006951</c:v>
                </c:pt>
                <c:pt idx="313">
                  <c:v>0.006914</c:v>
                </c:pt>
                <c:pt idx="314">
                  <c:v>0.006876</c:v>
                </c:pt>
                <c:pt idx="315">
                  <c:v>0.006838</c:v>
                </c:pt>
                <c:pt idx="316">
                  <c:v>0.006801</c:v>
                </c:pt>
                <c:pt idx="317">
                  <c:v>0.006765</c:v>
                </c:pt>
                <c:pt idx="318">
                  <c:v>0.006728</c:v>
                </c:pt>
                <c:pt idx="319">
                  <c:v>0.006692</c:v>
                </c:pt>
                <c:pt idx="320">
                  <c:v>0.006656</c:v>
                </c:pt>
                <c:pt idx="321">
                  <c:v>0.006621</c:v>
                </c:pt>
                <c:pt idx="322">
                  <c:v>0.006585</c:v>
                </c:pt>
                <c:pt idx="323">
                  <c:v>0.006551</c:v>
                </c:pt>
                <c:pt idx="324">
                  <c:v>0.006517</c:v>
                </c:pt>
                <c:pt idx="325">
                  <c:v>0.006483</c:v>
                </c:pt>
              </c:numCache>
            </c:numRef>
          </c:xVal>
          <c:yVal>
            <c:numRef>
              <c:f>'HDD:Dropbox:THESIS-JAN BACK:ANALYSIS:THESIS MIP:JAPAN MIP:[6MB1.xls]6MB1- in1'!$H$5:$H$330</c:f>
              <c:numCache>
                <c:formatCode>General</c:formatCode>
                <c:ptCount val="326"/>
                <c:pt idx="0">
                  <c:v>0.003141</c:v>
                </c:pt>
                <c:pt idx="1">
                  <c:v>0.00311</c:v>
                </c:pt>
                <c:pt idx="2">
                  <c:v>0.0029</c:v>
                </c:pt>
                <c:pt idx="3">
                  <c:v>0.002733</c:v>
                </c:pt>
                <c:pt idx="4">
                  <c:v>0.002594</c:v>
                </c:pt>
                <c:pt idx="5">
                  <c:v>0.002475</c:v>
                </c:pt>
                <c:pt idx="6">
                  <c:v>0.002588</c:v>
                </c:pt>
                <c:pt idx="7">
                  <c:v>0.001719</c:v>
                </c:pt>
                <c:pt idx="8">
                  <c:v>0.001622</c:v>
                </c:pt>
                <c:pt idx="9">
                  <c:v>0.001539</c:v>
                </c:pt>
                <c:pt idx="10">
                  <c:v>0.00134</c:v>
                </c:pt>
                <c:pt idx="11">
                  <c:v>0.001085</c:v>
                </c:pt>
                <c:pt idx="12">
                  <c:v>0.0008193</c:v>
                </c:pt>
                <c:pt idx="13">
                  <c:v>0.000689</c:v>
                </c:pt>
                <c:pt idx="14">
                  <c:v>0.0005619</c:v>
                </c:pt>
                <c:pt idx="15">
                  <c:v>0.0004399</c:v>
                </c:pt>
                <c:pt idx="16">
                  <c:v>0.0003231</c:v>
                </c:pt>
                <c:pt idx="17">
                  <c:v>0.0002107</c:v>
                </c:pt>
                <c:pt idx="18">
                  <c:v>0.0001036</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0.0001523</c:v>
                </c:pt>
                <c:pt idx="41">
                  <c:v>0.0003135</c:v>
                </c:pt>
                <c:pt idx="42">
                  <c:v>0.0004839</c:v>
                </c:pt>
                <c:pt idx="43">
                  <c:v>0.0006635</c:v>
                </c:pt>
                <c:pt idx="44">
                  <c:v>0.0008525</c:v>
                </c:pt>
                <c:pt idx="45">
                  <c:v>0.001051</c:v>
                </c:pt>
                <c:pt idx="46">
                  <c:v>0.001258</c:v>
                </c:pt>
                <c:pt idx="47">
                  <c:v>0.001474</c:v>
                </c:pt>
                <c:pt idx="48">
                  <c:v>0.001699</c:v>
                </c:pt>
                <c:pt idx="49">
                  <c:v>0.001931</c:v>
                </c:pt>
                <c:pt idx="50">
                  <c:v>0.002173</c:v>
                </c:pt>
                <c:pt idx="51">
                  <c:v>0.00202</c:v>
                </c:pt>
                <c:pt idx="52">
                  <c:v>0.002118</c:v>
                </c:pt>
                <c:pt idx="53">
                  <c:v>0.002215</c:v>
                </c:pt>
                <c:pt idx="54">
                  <c:v>0.002585</c:v>
                </c:pt>
                <c:pt idx="55">
                  <c:v>0.00296</c:v>
                </c:pt>
                <c:pt idx="56">
                  <c:v>0.003718</c:v>
                </c:pt>
                <c:pt idx="57">
                  <c:v>0.004489</c:v>
                </c:pt>
                <c:pt idx="58">
                  <c:v>0.005579</c:v>
                </c:pt>
                <c:pt idx="59">
                  <c:v>0.006684</c:v>
                </c:pt>
                <c:pt idx="60">
                  <c:v>0.007816</c:v>
                </c:pt>
                <c:pt idx="61">
                  <c:v>0.008975</c:v>
                </c:pt>
                <c:pt idx="62">
                  <c:v>0.0104</c:v>
                </c:pt>
                <c:pt idx="63">
                  <c:v>0.01124</c:v>
                </c:pt>
                <c:pt idx="64">
                  <c:v>0.01207</c:v>
                </c:pt>
                <c:pt idx="65">
                  <c:v>0.01231</c:v>
                </c:pt>
                <c:pt idx="66">
                  <c:v>0.01256</c:v>
                </c:pt>
                <c:pt idx="67">
                  <c:v>0.01196</c:v>
                </c:pt>
                <c:pt idx="68">
                  <c:v>0.01135</c:v>
                </c:pt>
                <c:pt idx="69">
                  <c:v>0.01005</c:v>
                </c:pt>
                <c:pt idx="70">
                  <c:v>0.008717</c:v>
                </c:pt>
                <c:pt idx="71">
                  <c:v>0.007353</c:v>
                </c:pt>
                <c:pt idx="72">
                  <c:v>0.005953</c:v>
                </c:pt>
                <c:pt idx="73">
                  <c:v>0.00453</c:v>
                </c:pt>
                <c:pt idx="74">
                  <c:v>0.003432</c:v>
                </c:pt>
                <c:pt idx="75">
                  <c:v>0.00233</c:v>
                </c:pt>
                <c:pt idx="76">
                  <c:v>0.001539</c:v>
                </c:pt>
                <c:pt idx="77">
                  <c:v>0.0007299</c:v>
                </c:pt>
                <c:pt idx="78">
                  <c:v>0.0003696</c:v>
                </c:pt>
                <c:pt idx="79">
                  <c:v>0.0</c:v>
                </c:pt>
                <c:pt idx="80">
                  <c:v>0.0</c:v>
                </c:pt>
                <c:pt idx="81">
                  <c:v>0.0</c:v>
                </c:pt>
                <c:pt idx="82">
                  <c:v>0.0</c:v>
                </c:pt>
                <c:pt idx="83">
                  <c:v>0.0</c:v>
                </c:pt>
                <c:pt idx="84">
                  <c:v>0.0</c:v>
                </c:pt>
                <c:pt idx="85">
                  <c:v>0.0007036</c:v>
                </c:pt>
                <c:pt idx="86">
                  <c:v>0.001419</c:v>
                </c:pt>
                <c:pt idx="87">
                  <c:v>0.002147</c:v>
                </c:pt>
                <c:pt idx="88">
                  <c:v>0.002908</c:v>
                </c:pt>
                <c:pt idx="89">
                  <c:v>0.003684</c:v>
                </c:pt>
                <c:pt idx="90">
                  <c:v>0.004871</c:v>
                </c:pt>
                <c:pt idx="91">
                  <c:v>0.006674</c:v>
                </c:pt>
                <c:pt idx="92">
                  <c:v>0.008523</c:v>
                </c:pt>
                <c:pt idx="93">
                  <c:v>0.01035</c:v>
                </c:pt>
                <c:pt idx="94">
                  <c:v>0.01288</c:v>
                </c:pt>
                <c:pt idx="95">
                  <c:v>0.01551</c:v>
                </c:pt>
                <c:pt idx="96">
                  <c:v>0.01663</c:v>
                </c:pt>
                <c:pt idx="97">
                  <c:v>0.01776</c:v>
                </c:pt>
                <c:pt idx="98">
                  <c:v>0.01892</c:v>
                </c:pt>
                <c:pt idx="99">
                  <c:v>0.02078</c:v>
                </c:pt>
                <c:pt idx="100">
                  <c:v>0.02266</c:v>
                </c:pt>
                <c:pt idx="101">
                  <c:v>0.0249</c:v>
                </c:pt>
                <c:pt idx="102">
                  <c:v>0.0259</c:v>
                </c:pt>
                <c:pt idx="103">
                  <c:v>0.02687</c:v>
                </c:pt>
                <c:pt idx="104">
                  <c:v>0.02798</c:v>
                </c:pt>
                <c:pt idx="105">
                  <c:v>0.02761</c:v>
                </c:pt>
                <c:pt idx="106">
                  <c:v>0.02719</c:v>
                </c:pt>
                <c:pt idx="107">
                  <c:v>0.02757</c:v>
                </c:pt>
                <c:pt idx="108">
                  <c:v>0.02796</c:v>
                </c:pt>
                <c:pt idx="109">
                  <c:v>0.02834</c:v>
                </c:pt>
                <c:pt idx="110">
                  <c:v>0.02715</c:v>
                </c:pt>
                <c:pt idx="111">
                  <c:v>0.02711</c:v>
                </c:pt>
                <c:pt idx="112">
                  <c:v>0.02485</c:v>
                </c:pt>
                <c:pt idx="113">
                  <c:v>0.02324</c:v>
                </c:pt>
                <c:pt idx="114">
                  <c:v>0.02222</c:v>
                </c:pt>
                <c:pt idx="115">
                  <c:v>0.02109</c:v>
                </c:pt>
                <c:pt idx="116">
                  <c:v>0.02076</c:v>
                </c:pt>
                <c:pt idx="117">
                  <c:v>0.02041</c:v>
                </c:pt>
                <c:pt idx="118">
                  <c:v>0.02009</c:v>
                </c:pt>
                <c:pt idx="119">
                  <c:v>0.0207</c:v>
                </c:pt>
                <c:pt idx="120">
                  <c:v>0.02131</c:v>
                </c:pt>
                <c:pt idx="121">
                  <c:v>0.02278</c:v>
                </c:pt>
                <c:pt idx="122">
                  <c:v>0.02241</c:v>
                </c:pt>
                <c:pt idx="123">
                  <c:v>0.02349</c:v>
                </c:pt>
                <c:pt idx="124">
                  <c:v>0.02558</c:v>
                </c:pt>
                <c:pt idx="125">
                  <c:v>0.02709</c:v>
                </c:pt>
                <c:pt idx="126">
                  <c:v>0.02853</c:v>
                </c:pt>
                <c:pt idx="127">
                  <c:v>0.03094</c:v>
                </c:pt>
                <c:pt idx="128">
                  <c:v>0.03333</c:v>
                </c:pt>
                <c:pt idx="129">
                  <c:v>0.03671</c:v>
                </c:pt>
                <c:pt idx="130">
                  <c:v>0.03818</c:v>
                </c:pt>
                <c:pt idx="131">
                  <c:v>0.04069</c:v>
                </c:pt>
                <c:pt idx="132">
                  <c:v>0.04439</c:v>
                </c:pt>
                <c:pt idx="133">
                  <c:v>0.04914</c:v>
                </c:pt>
                <c:pt idx="134">
                  <c:v>0.05485</c:v>
                </c:pt>
                <c:pt idx="135">
                  <c:v>0.05962</c:v>
                </c:pt>
                <c:pt idx="136">
                  <c:v>0.06438</c:v>
                </c:pt>
                <c:pt idx="137">
                  <c:v>0.07111</c:v>
                </c:pt>
                <c:pt idx="138">
                  <c:v>0.07753</c:v>
                </c:pt>
                <c:pt idx="139">
                  <c:v>0.08606</c:v>
                </c:pt>
                <c:pt idx="140">
                  <c:v>0.09415</c:v>
                </c:pt>
                <c:pt idx="141">
                  <c:v>0.1044</c:v>
                </c:pt>
                <c:pt idx="142">
                  <c:v>0.1147</c:v>
                </c:pt>
                <c:pt idx="143">
                  <c:v>0.1251</c:v>
                </c:pt>
                <c:pt idx="144">
                  <c:v>0.1372</c:v>
                </c:pt>
                <c:pt idx="145">
                  <c:v>0.1494</c:v>
                </c:pt>
                <c:pt idx="146">
                  <c:v>0.1645</c:v>
                </c:pt>
                <c:pt idx="147">
                  <c:v>0.1819</c:v>
                </c:pt>
                <c:pt idx="148">
                  <c:v>0.1982</c:v>
                </c:pt>
                <c:pt idx="149">
                  <c:v>0.2159</c:v>
                </c:pt>
                <c:pt idx="150">
                  <c:v>0.2331</c:v>
                </c:pt>
                <c:pt idx="151">
                  <c:v>0.2526</c:v>
                </c:pt>
                <c:pt idx="152">
                  <c:v>0.2743</c:v>
                </c:pt>
                <c:pt idx="153">
                  <c:v>0.2962</c:v>
                </c:pt>
                <c:pt idx="154">
                  <c:v>0.3189</c:v>
                </c:pt>
                <c:pt idx="155">
                  <c:v>0.3403</c:v>
                </c:pt>
                <c:pt idx="156">
                  <c:v>0.3623</c:v>
                </c:pt>
                <c:pt idx="157">
                  <c:v>0.3831</c:v>
                </c:pt>
                <c:pt idx="158">
                  <c:v>0.4011</c:v>
                </c:pt>
                <c:pt idx="159">
                  <c:v>0.4193</c:v>
                </c:pt>
                <c:pt idx="160">
                  <c:v>0.4366</c:v>
                </c:pt>
                <c:pt idx="161">
                  <c:v>0.4529</c:v>
                </c:pt>
                <c:pt idx="162">
                  <c:v>0.4667</c:v>
                </c:pt>
                <c:pt idx="163">
                  <c:v>0.4759</c:v>
                </c:pt>
                <c:pt idx="164">
                  <c:v>0.4825</c:v>
                </c:pt>
                <c:pt idx="165">
                  <c:v>0.4865</c:v>
                </c:pt>
                <c:pt idx="166">
                  <c:v>0.4893</c:v>
                </c:pt>
                <c:pt idx="167">
                  <c:v>0.4896</c:v>
                </c:pt>
                <c:pt idx="168">
                  <c:v>0.4858</c:v>
                </c:pt>
                <c:pt idx="169">
                  <c:v>0.4832</c:v>
                </c:pt>
                <c:pt idx="170">
                  <c:v>0.48</c:v>
                </c:pt>
                <c:pt idx="171">
                  <c:v>0.4707</c:v>
                </c:pt>
                <c:pt idx="172">
                  <c:v>0.4593</c:v>
                </c:pt>
                <c:pt idx="173">
                  <c:v>0.446</c:v>
                </c:pt>
                <c:pt idx="174">
                  <c:v>0.4327</c:v>
                </c:pt>
                <c:pt idx="175">
                  <c:v>0.421</c:v>
                </c:pt>
                <c:pt idx="176">
                  <c:v>0.408</c:v>
                </c:pt>
                <c:pt idx="177">
                  <c:v>0.3942</c:v>
                </c:pt>
                <c:pt idx="178">
                  <c:v>0.3798</c:v>
                </c:pt>
                <c:pt idx="179">
                  <c:v>0.3671</c:v>
                </c:pt>
                <c:pt idx="180">
                  <c:v>0.3531</c:v>
                </c:pt>
                <c:pt idx="181">
                  <c:v>0.3369</c:v>
                </c:pt>
                <c:pt idx="182">
                  <c:v>0.3268</c:v>
                </c:pt>
                <c:pt idx="183">
                  <c:v>0.3169</c:v>
                </c:pt>
                <c:pt idx="184">
                  <c:v>0.3058</c:v>
                </c:pt>
                <c:pt idx="185">
                  <c:v>0.2977</c:v>
                </c:pt>
                <c:pt idx="186">
                  <c:v>0.2879</c:v>
                </c:pt>
                <c:pt idx="187">
                  <c:v>0.2799</c:v>
                </c:pt>
                <c:pt idx="188">
                  <c:v>0.2728</c:v>
                </c:pt>
                <c:pt idx="189">
                  <c:v>0.2672</c:v>
                </c:pt>
                <c:pt idx="190">
                  <c:v>0.2607</c:v>
                </c:pt>
                <c:pt idx="191">
                  <c:v>0.254</c:v>
                </c:pt>
                <c:pt idx="192">
                  <c:v>0.2476</c:v>
                </c:pt>
                <c:pt idx="193">
                  <c:v>0.2394</c:v>
                </c:pt>
                <c:pt idx="194">
                  <c:v>0.2358</c:v>
                </c:pt>
                <c:pt idx="195">
                  <c:v>0.237</c:v>
                </c:pt>
                <c:pt idx="196">
                  <c:v>0.2324</c:v>
                </c:pt>
                <c:pt idx="197">
                  <c:v>0.2305</c:v>
                </c:pt>
                <c:pt idx="198">
                  <c:v>0.2279</c:v>
                </c:pt>
                <c:pt idx="199">
                  <c:v>0.2236</c:v>
                </c:pt>
                <c:pt idx="200">
                  <c:v>0.2192</c:v>
                </c:pt>
                <c:pt idx="201">
                  <c:v>0.2152</c:v>
                </c:pt>
                <c:pt idx="202">
                  <c:v>0.2108</c:v>
                </c:pt>
                <c:pt idx="203">
                  <c:v>0.2079</c:v>
                </c:pt>
                <c:pt idx="204">
                  <c:v>0.2075</c:v>
                </c:pt>
                <c:pt idx="205">
                  <c:v>0.1977</c:v>
                </c:pt>
                <c:pt idx="206">
                  <c:v>0.1849</c:v>
                </c:pt>
                <c:pt idx="207">
                  <c:v>0.1762</c:v>
                </c:pt>
                <c:pt idx="208">
                  <c:v>0.1652</c:v>
                </c:pt>
                <c:pt idx="209">
                  <c:v>0.1571</c:v>
                </c:pt>
                <c:pt idx="210">
                  <c:v>0.1531</c:v>
                </c:pt>
                <c:pt idx="211">
                  <c:v>0.1471</c:v>
                </c:pt>
                <c:pt idx="212">
                  <c:v>0.145</c:v>
                </c:pt>
                <c:pt idx="213">
                  <c:v>0.1447</c:v>
                </c:pt>
                <c:pt idx="214">
                  <c:v>0.1459</c:v>
                </c:pt>
                <c:pt idx="215">
                  <c:v>0.1452</c:v>
                </c:pt>
                <c:pt idx="216">
                  <c:v>0.152</c:v>
                </c:pt>
                <c:pt idx="217">
                  <c:v>0.1585</c:v>
                </c:pt>
                <c:pt idx="218">
                  <c:v>0.1672</c:v>
                </c:pt>
                <c:pt idx="219">
                  <c:v>0.1745</c:v>
                </c:pt>
                <c:pt idx="220">
                  <c:v>0.1778</c:v>
                </c:pt>
                <c:pt idx="221">
                  <c:v>0.1797</c:v>
                </c:pt>
                <c:pt idx="222">
                  <c:v>0.1865</c:v>
                </c:pt>
                <c:pt idx="223">
                  <c:v>0.1899</c:v>
                </c:pt>
                <c:pt idx="224">
                  <c:v>0.1928</c:v>
                </c:pt>
                <c:pt idx="225">
                  <c:v>0.1927</c:v>
                </c:pt>
                <c:pt idx="226">
                  <c:v>0.1935</c:v>
                </c:pt>
                <c:pt idx="227">
                  <c:v>0.1928</c:v>
                </c:pt>
                <c:pt idx="228">
                  <c:v>0.1958</c:v>
                </c:pt>
                <c:pt idx="229">
                  <c:v>0.1945</c:v>
                </c:pt>
                <c:pt idx="230">
                  <c:v>0.196</c:v>
                </c:pt>
                <c:pt idx="231">
                  <c:v>0.1996</c:v>
                </c:pt>
                <c:pt idx="232">
                  <c:v>0.1996</c:v>
                </c:pt>
                <c:pt idx="233">
                  <c:v>0.1939</c:v>
                </c:pt>
                <c:pt idx="234">
                  <c:v>0.1867</c:v>
                </c:pt>
                <c:pt idx="235">
                  <c:v>0.1793</c:v>
                </c:pt>
                <c:pt idx="236">
                  <c:v>0.1735</c:v>
                </c:pt>
                <c:pt idx="237">
                  <c:v>0.1638</c:v>
                </c:pt>
                <c:pt idx="238">
                  <c:v>0.1556</c:v>
                </c:pt>
                <c:pt idx="239">
                  <c:v>0.143</c:v>
                </c:pt>
                <c:pt idx="240">
                  <c:v>0.1325</c:v>
                </c:pt>
                <c:pt idx="241">
                  <c:v>0.1205</c:v>
                </c:pt>
                <c:pt idx="242">
                  <c:v>0.1084</c:v>
                </c:pt>
                <c:pt idx="243">
                  <c:v>0.1022</c:v>
                </c:pt>
                <c:pt idx="244">
                  <c:v>0.09884</c:v>
                </c:pt>
                <c:pt idx="245">
                  <c:v>0.1015</c:v>
                </c:pt>
                <c:pt idx="246">
                  <c:v>0.1019</c:v>
                </c:pt>
                <c:pt idx="247">
                  <c:v>0.1046</c:v>
                </c:pt>
                <c:pt idx="248">
                  <c:v>0.1104</c:v>
                </c:pt>
                <c:pt idx="249">
                  <c:v>0.1115</c:v>
                </c:pt>
                <c:pt idx="250">
                  <c:v>0.118</c:v>
                </c:pt>
                <c:pt idx="251">
                  <c:v>0.1272</c:v>
                </c:pt>
                <c:pt idx="252">
                  <c:v>0.1354</c:v>
                </c:pt>
                <c:pt idx="253">
                  <c:v>0.147</c:v>
                </c:pt>
                <c:pt idx="254">
                  <c:v>0.1523</c:v>
                </c:pt>
                <c:pt idx="255">
                  <c:v>0.1577</c:v>
                </c:pt>
                <c:pt idx="256">
                  <c:v>0.1575</c:v>
                </c:pt>
                <c:pt idx="257">
                  <c:v>0.1593</c:v>
                </c:pt>
                <c:pt idx="258">
                  <c:v>0.158</c:v>
                </c:pt>
                <c:pt idx="259">
                  <c:v>0.1563</c:v>
                </c:pt>
                <c:pt idx="260">
                  <c:v>0.1577</c:v>
                </c:pt>
                <c:pt idx="261">
                  <c:v>0.1555</c:v>
                </c:pt>
                <c:pt idx="262">
                  <c:v>0.1491</c:v>
                </c:pt>
                <c:pt idx="263">
                  <c:v>0.1473</c:v>
                </c:pt>
                <c:pt idx="264">
                  <c:v>0.1386</c:v>
                </c:pt>
                <c:pt idx="265">
                  <c:v>0.1367</c:v>
                </c:pt>
                <c:pt idx="266">
                  <c:v>0.1345</c:v>
                </c:pt>
                <c:pt idx="267">
                  <c:v>0.132</c:v>
                </c:pt>
                <c:pt idx="268">
                  <c:v>0.1298</c:v>
                </c:pt>
                <c:pt idx="269">
                  <c:v>0.127</c:v>
                </c:pt>
                <c:pt idx="270">
                  <c:v>0.1246</c:v>
                </c:pt>
                <c:pt idx="271">
                  <c:v>0.1219</c:v>
                </c:pt>
                <c:pt idx="272">
                  <c:v>0.1177</c:v>
                </c:pt>
                <c:pt idx="273">
                  <c:v>0.1135</c:v>
                </c:pt>
                <c:pt idx="274">
                  <c:v>0.1038</c:v>
                </c:pt>
                <c:pt idx="275">
                  <c:v>0.09759</c:v>
                </c:pt>
                <c:pt idx="276">
                  <c:v>0.0844</c:v>
                </c:pt>
                <c:pt idx="277">
                  <c:v>0.0714</c:v>
                </c:pt>
                <c:pt idx="278">
                  <c:v>0.0604</c:v>
                </c:pt>
                <c:pt idx="279">
                  <c:v>0.04936</c:v>
                </c:pt>
                <c:pt idx="280">
                  <c:v>0.04178</c:v>
                </c:pt>
                <c:pt idx="281">
                  <c:v>0.03415</c:v>
                </c:pt>
                <c:pt idx="282">
                  <c:v>0.02666</c:v>
                </c:pt>
                <c:pt idx="283">
                  <c:v>0.02132</c:v>
                </c:pt>
                <c:pt idx="284">
                  <c:v>0.0173</c:v>
                </c:pt>
                <c:pt idx="285">
                  <c:v>0.016</c:v>
                </c:pt>
                <c:pt idx="286">
                  <c:v>0.0168</c:v>
                </c:pt>
                <c:pt idx="287">
                  <c:v>0.02106</c:v>
                </c:pt>
                <c:pt idx="288">
                  <c:v>0.0253</c:v>
                </c:pt>
                <c:pt idx="289">
                  <c:v>0.02955</c:v>
                </c:pt>
                <c:pt idx="290">
                  <c:v>0.03381</c:v>
                </c:pt>
                <c:pt idx="291">
                  <c:v>0.03387</c:v>
                </c:pt>
                <c:pt idx="292">
                  <c:v>0.0361</c:v>
                </c:pt>
                <c:pt idx="293">
                  <c:v>0.03834</c:v>
                </c:pt>
                <c:pt idx="294">
                  <c:v>0.04203</c:v>
                </c:pt>
                <c:pt idx="295">
                  <c:v>0.04574</c:v>
                </c:pt>
                <c:pt idx="296">
                  <c:v>0.04946</c:v>
                </c:pt>
                <c:pt idx="297">
                  <c:v>0.04889</c:v>
                </c:pt>
                <c:pt idx="298">
                  <c:v>0.04831</c:v>
                </c:pt>
                <c:pt idx="299">
                  <c:v>0.04777</c:v>
                </c:pt>
                <c:pt idx="300">
                  <c:v>0.04722</c:v>
                </c:pt>
                <c:pt idx="301">
                  <c:v>0.04669</c:v>
                </c:pt>
                <c:pt idx="302">
                  <c:v>0.04827</c:v>
                </c:pt>
                <c:pt idx="303">
                  <c:v>0.04545</c:v>
                </c:pt>
                <c:pt idx="304">
                  <c:v>0.04262</c:v>
                </c:pt>
                <c:pt idx="305">
                  <c:v>0.03683</c:v>
                </c:pt>
                <c:pt idx="306">
                  <c:v>0.03102</c:v>
                </c:pt>
                <c:pt idx="307">
                  <c:v>0.02519</c:v>
                </c:pt>
                <c:pt idx="308">
                  <c:v>0.02154</c:v>
                </c:pt>
                <c:pt idx="309">
                  <c:v>0.01787</c:v>
                </c:pt>
                <c:pt idx="310">
                  <c:v>0.01416</c:v>
                </c:pt>
                <c:pt idx="311">
                  <c:v>0.01046</c:v>
                </c:pt>
                <c:pt idx="312">
                  <c:v>0.009018</c:v>
                </c:pt>
                <c:pt idx="313">
                  <c:v>0.007583</c:v>
                </c:pt>
                <c:pt idx="314">
                  <c:v>0.008382</c:v>
                </c:pt>
                <c:pt idx="315">
                  <c:v>0.009187</c:v>
                </c:pt>
                <c:pt idx="316">
                  <c:v>0.01124</c:v>
                </c:pt>
                <c:pt idx="317">
                  <c:v>0.01447</c:v>
                </c:pt>
                <c:pt idx="318">
                  <c:v>0.02043</c:v>
                </c:pt>
                <c:pt idx="319">
                  <c:v>0.02561</c:v>
                </c:pt>
                <c:pt idx="320">
                  <c:v>0.02561</c:v>
                </c:pt>
                <c:pt idx="321">
                  <c:v>0.02817</c:v>
                </c:pt>
                <c:pt idx="322">
                  <c:v>0.0313</c:v>
                </c:pt>
                <c:pt idx="323">
                  <c:v>0.03207</c:v>
                </c:pt>
                <c:pt idx="324">
                  <c:v>0.03305</c:v>
                </c:pt>
                <c:pt idx="325">
                  <c:v>0.03434</c:v>
                </c:pt>
              </c:numCache>
            </c:numRef>
          </c:yVal>
          <c:smooth val="0"/>
        </c:ser>
        <c:ser>
          <c:idx val="1"/>
          <c:order val="0"/>
          <c:tx>
            <c:v>6MB2</c:v>
          </c:tx>
          <c:spPr>
            <a:ln w="19050" cmpd="sng">
              <a:solidFill>
                <a:srgbClr val="0000FF"/>
              </a:solidFill>
            </a:ln>
          </c:spPr>
          <c:marker>
            <c:symbol val="none"/>
          </c:marker>
          <c:xVal>
            <c:numRef>
              <c:f>'[28DB1.xls]28DB1- in1'!$C$5:$C$331</c:f>
              <c:numCache>
                <c:formatCode>0.00E+00</c:formatCode>
                <c:ptCount val="327"/>
                <c:pt idx="0">
                  <c:v>10.64</c:v>
                </c:pt>
                <c:pt idx="1">
                  <c:v>10.32</c:v>
                </c:pt>
                <c:pt idx="2">
                  <c:v>10.01</c:v>
                </c:pt>
                <c:pt idx="3">
                  <c:v>9.724</c:v>
                </c:pt>
                <c:pt idx="4">
                  <c:v>9.442</c:v>
                </c:pt>
                <c:pt idx="5">
                  <c:v>9.169</c:v>
                </c:pt>
                <c:pt idx="6">
                  <c:v>8.898000000000001</c:v>
                </c:pt>
                <c:pt idx="7">
                  <c:v>8.632</c:v>
                </c:pt>
                <c:pt idx="8">
                  <c:v>8.36</c:v>
                </c:pt>
                <c:pt idx="9">
                  <c:v>8.089</c:v>
                </c:pt>
                <c:pt idx="10">
                  <c:v>7.819999999999998</c:v>
                </c:pt>
                <c:pt idx="11">
                  <c:v>7.547</c:v>
                </c:pt>
                <c:pt idx="12">
                  <c:v>7.274</c:v>
                </c:pt>
                <c:pt idx="13">
                  <c:v>6.997</c:v>
                </c:pt>
                <c:pt idx="14">
                  <c:v>6.719</c:v>
                </c:pt>
                <c:pt idx="15">
                  <c:v>6.436</c:v>
                </c:pt>
                <c:pt idx="16">
                  <c:v>6.149</c:v>
                </c:pt>
                <c:pt idx="17">
                  <c:v>5.863999999999986</c:v>
                </c:pt>
                <c:pt idx="18">
                  <c:v>5.575</c:v>
                </c:pt>
                <c:pt idx="19">
                  <c:v>5.289</c:v>
                </c:pt>
                <c:pt idx="20">
                  <c:v>4.999</c:v>
                </c:pt>
                <c:pt idx="21">
                  <c:v>4.708</c:v>
                </c:pt>
                <c:pt idx="22">
                  <c:v>4.413</c:v>
                </c:pt>
                <c:pt idx="23">
                  <c:v>4.117999999999975</c:v>
                </c:pt>
                <c:pt idx="24">
                  <c:v>3.824</c:v>
                </c:pt>
                <c:pt idx="25">
                  <c:v>3.531</c:v>
                </c:pt>
                <c:pt idx="26">
                  <c:v>3.241</c:v>
                </c:pt>
                <c:pt idx="27">
                  <c:v>2.956999999999998</c:v>
                </c:pt>
                <c:pt idx="28">
                  <c:v>2.682</c:v>
                </c:pt>
                <c:pt idx="29">
                  <c:v>2.415999999999999</c:v>
                </c:pt>
                <c:pt idx="30">
                  <c:v>2.164</c:v>
                </c:pt>
                <c:pt idx="31">
                  <c:v>1.925999999999999</c:v>
                </c:pt>
                <c:pt idx="32">
                  <c:v>1.707</c:v>
                </c:pt>
                <c:pt idx="33">
                  <c:v>1.507</c:v>
                </c:pt>
                <c:pt idx="34">
                  <c:v>1.327</c:v>
                </c:pt>
                <c:pt idx="35">
                  <c:v>1.168</c:v>
                </c:pt>
                <c:pt idx="36">
                  <c:v>1.028</c:v>
                </c:pt>
                <c:pt idx="37">
                  <c:v>0.9076</c:v>
                </c:pt>
                <c:pt idx="38">
                  <c:v>0.804</c:v>
                </c:pt>
                <c:pt idx="39">
                  <c:v>0.7152</c:v>
                </c:pt>
                <c:pt idx="40">
                  <c:v>0.6394</c:v>
                </c:pt>
                <c:pt idx="41">
                  <c:v>0.5745</c:v>
                </c:pt>
                <c:pt idx="42">
                  <c:v>0.519</c:v>
                </c:pt>
                <c:pt idx="43">
                  <c:v>0.4714</c:v>
                </c:pt>
                <c:pt idx="44">
                  <c:v>0.4303</c:v>
                </c:pt>
                <c:pt idx="45">
                  <c:v>0.3949</c:v>
                </c:pt>
                <c:pt idx="46">
                  <c:v>0.3642</c:v>
                </c:pt>
                <c:pt idx="47">
                  <c:v>0.3374</c:v>
                </c:pt>
                <c:pt idx="48">
                  <c:v>0.3139</c:v>
                </c:pt>
                <c:pt idx="49">
                  <c:v>0.2931</c:v>
                </c:pt>
                <c:pt idx="50">
                  <c:v>0.2746</c:v>
                </c:pt>
                <c:pt idx="51">
                  <c:v>0.258</c:v>
                </c:pt>
                <c:pt idx="52">
                  <c:v>0.243</c:v>
                </c:pt>
                <c:pt idx="53">
                  <c:v>0.2295</c:v>
                </c:pt>
                <c:pt idx="54">
                  <c:v>0.2172</c:v>
                </c:pt>
                <c:pt idx="55">
                  <c:v>0.2059</c:v>
                </c:pt>
                <c:pt idx="56">
                  <c:v>0.1956</c:v>
                </c:pt>
                <c:pt idx="57">
                  <c:v>0.1861</c:v>
                </c:pt>
                <c:pt idx="58">
                  <c:v>0.1774</c:v>
                </c:pt>
                <c:pt idx="59">
                  <c:v>0.1694</c:v>
                </c:pt>
                <c:pt idx="60">
                  <c:v>0.1619</c:v>
                </c:pt>
                <c:pt idx="61">
                  <c:v>0.1549</c:v>
                </c:pt>
                <c:pt idx="62">
                  <c:v>0.1484</c:v>
                </c:pt>
                <c:pt idx="63">
                  <c:v>0.1421</c:v>
                </c:pt>
                <c:pt idx="64">
                  <c:v>0.1362</c:v>
                </c:pt>
                <c:pt idx="65">
                  <c:v>0.1308</c:v>
                </c:pt>
                <c:pt idx="66">
                  <c:v>0.1256</c:v>
                </c:pt>
                <c:pt idx="67">
                  <c:v>0.1209</c:v>
                </c:pt>
                <c:pt idx="68">
                  <c:v>0.1164</c:v>
                </c:pt>
                <c:pt idx="69">
                  <c:v>0.1121</c:v>
                </c:pt>
                <c:pt idx="70">
                  <c:v>0.1081</c:v>
                </c:pt>
                <c:pt idx="71">
                  <c:v>0.1044</c:v>
                </c:pt>
                <c:pt idx="72">
                  <c:v>0.1008</c:v>
                </c:pt>
                <c:pt idx="73">
                  <c:v>0.09751</c:v>
                </c:pt>
                <c:pt idx="74">
                  <c:v>0.09445</c:v>
                </c:pt>
                <c:pt idx="75">
                  <c:v>0.09157</c:v>
                </c:pt>
                <c:pt idx="76">
                  <c:v>0.08884</c:v>
                </c:pt>
                <c:pt idx="77">
                  <c:v>0.08626</c:v>
                </c:pt>
                <c:pt idx="78">
                  <c:v>0.08381</c:v>
                </c:pt>
                <c:pt idx="79">
                  <c:v>0.0815</c:v>
                </c:pt>
                <c:pt idx="80">
                  <c:v>0.0793</c:v>
                </c:pt>
                <c:pt idx="81">
                  <c:v>0.07717</c:v>
                </c:pt>
                <c:pt idx="82">
                  <c:v>0.07509</c:v>
                </c:pt>
                <c:pt idx="83">
                  <c:v>0.07313</c:v>
                </c:pt>
                <c:pt idx="84">
                  <c:v>0.07126</c:v>
                </c:pt>
                <c:pt idx="85">
                  <c:v>0.06948</c:v>
                </c:pt>
                <c:pt idx="86">
                  <c:v>0.06778</c:v>
                </c:pt>
                <c:pt idx="87">
                  <c:v>0.06612</c:v>
                </c:pt>
                <c:pt idx="88">
                  <c:v>0.06451</c:v>
                </c:pt>
                <c:pt idx="89">
                  <c:v>0.06293</c:v>
                </c:pt>
                <c:pt idx="90">
                  <c:v>0.0614</c:v>
                </c:pt>
                <c:pt idx="91">
                  <c:v>0.05993</c:v>
                </c:pt>
                <c:pt idx="92">
                  <c:v>0.05856</c:v>
                </c:pt>
                <c:pt idx="93">
                  <c:v>0.05725</c:v>
                </c:pt>
                <c:pt idx="94">
                  <c:v>0.05596</c:v>
                </c:pt>
                <c:pt idx="95">
                  <c:v>0.05471</c:v>
                </c:pt>
                <c:pt idx="96">
                  <c:v>0.0535</c:v>
                </c:pt>
                <c:pt idx="97">
                  <c:v>0.05233</c:v>
                </c:pt>
                <c:pt idx="98">
                  <c:v>0.05122</c:v>
                </c:pt>
                <c:pt idx="99">
                  <c:v>0.05017</c:v>
                </c:pt>
                <c:pt idx="100">
                  <c:v>0.04918</c:v>
                </c:pt>
                <c:pt idx="101">
                  <c:v>0.04825</c:v>
                </c:pt>
                <c:pt idx="102">
                  <c:v>0.04735</c:v>
                </c:pt>
                <c:pt idx="103">
                  <c:v>0.04648</c:v>
                </c:pt>
                <c:pt idx="104">
                  <c:v>0.04564</c:v>
                </c:pt>
                <c:pt idx="105">
                  <c:v>0.04484</c:v>
                </c:pt>
                <c:pt idx="106">
                  <c:v>0.04408</c:v>
                </c:pt>
                <c:pt idx="107">
                  <c:v>0.04335</c:v>
                </c:pt>
                <c:pt idx="108">
                  <c:v>0.04265</c:v>
                </c:pt>
                <c:pt idx="109">
                  <c:v>0.04198</c:v>
                </c:pt>
                <c:pt idx="110">
                  <c:v>0.04133</c:v>
                </c:pt>
                <c:pt idx="111">
                  <c:v>0.04069</c:v>
                </c:pt>
                <c:pt idx="112">
                  <c:v>0.04007</c:v>
                </c:pt>
                <c:pt idx="113">
                  <c:v>0.03947</c:v>
                </c:pt>
                <c:pt idx="114">
                  <c:v>0.03888</c:v>
                </c:pt>
                <c:pt idx="115">
                  <c:v>0.03832</c:v>
                </c:pt>
                <c:pt idx="116">
                  <c:v>0.03778</c:v>
                </c:pt>
                <c:pt idx="117">
                  <c:v>0.03725</c:v>
                </c:pt>
                <c:pt idx="118">
                  <c:v>0.03673</c:v>
                </c:pt>
                <c:pt idx="119">
                  <c:v>0.03623</c:v>
                </c:pt>
                <c:pt idx="120">
                  <c:v>0.03573</c:v>
                </c:pt>
                <c:pt idx="121">
                  <c:v>0.03525</c:v>
                </c:pt>
                <c:pt idx="122">
                  <c:v>0.03479</c:v>
                </c:pt>
                <c:pt idx="123">
                  <c:v>0.03433</c:v>
                </c:pt>
                <c:pt idx="124">
                  <c:v>0.03388</c:v>
                </c:pt>
                <c:pt idx="125">
                  <c:v>0.03344</c:v>
                </c:pt>
                <c:pt idx="126">
                  <c:v>0.03302</c:v>
                </c:pt>
                <c:pt idx="127">
                  <c:v>0.03259</c:v>
                </c:pt>
                <c:pt idx="128">
                  <c:v>0.03217</c:v>
                </c:pt>
                <c:pt idx="129">
                  <c:v>0.03177</c:v>
                </c:pt>
                <c:pt idx="130">
                  <c:v>0.03137</c:v>
                </c:pt>
                <c:pt idx="131">
                  <c:v>0.03097</c:v>
                </c:pt>
                <c:pt idx="132">
                  <c:v>0.03058</c:v>
                </c:pt>
                <c:pt idx="133">
                  <c:v>0.0302</c:v>
                </c:pt>
                <c:pt idx="134">
                  <c:v>0.02982</c:v>
                </c:pt>
                <c:pt idx="135">
                  <c:v>0.02945</c:v>
                </c:pt>
                <c:pt idx="136">
                  <c:v>0.02907</c:v>
                </c:pt>
                <c:pt idx="137">
                  <c:v>0.02869</c:v>
                </c:pt>
                <c:pt idx="138">
                  <c:v>0.02833</c:v>
                </c:pt>
                <c:pt idx="139">
                  <c:v>0.02795</c:v>
                </c:pt>
                <c:pt idx="140">
                  <c:v>0.02759</c:v>
                </c:pt>
                <c:pt idx="141">
                  <c:v>0.02722</c:v>
                </c:pt>
                <c:pt idx="142">
                  <c:v>0.02685</c:v>
                </c:pt>
                <c:pt idx="143">
                  <c:v>0.02648</c:v>
                </c:pt>
                <c:pt idx="144">
                  <c:v>0.02612</c:v>
                </c:pt>
                <c:pt idx="145">
                  <c:v>0.02577</c:v>
                </c:pt>
                <c:pt idx="146">
                  <c:v>0.02543</c:v>
                </c:pt>
                <c:pt idx="147">
                  <c:v>0.02509</c:v>
                </c:pt>
                <c:pt idx="148">
                  <c:v>0.02475</c:v>
                </c:pt>
                <c:pt idx="149">
                  <c:v>0.02442</c:v>
                </c:pt>
                <c:pt idx="150">
                  <c:v>0.0241</c:v>
                </c:pt>
                <c:pt idx="151">
                  <c:v>0.02378</c:v>
                </c:pt>
                <c:pt idx="152">
                  <c:v>0.02347</c:v>
                </c:pt>
                <c:pt idx="153">
                  <c:v>0.02317</c:v>
                </c:pt>
                <c:pt idx="154">
                  <c:v>0.02287</c:v>
                </c:pt>
                <c:pt idx="155">
                  <c:v>0.02257</c:v>
                </c:pt>
                <c:pt idx="156">
                  <c:v>0.02227</c:v>
                </c:pt>
                <c:pt idx="157">
                  <c:v>0.02198</c:v>
                </c:pt>
                <c:pt idx="158">
                  <c:v>0.02169</c:v>
                </c:pt>
                <c:pt idx="159">
                  <c:v>0.02141</c:v>
                </c:pt>
                <c:pt idx="160">
                  <c:v>0.02113</c:v>
                </c:pt>
                <c:pt idx="161">
                  <c:v>0.02085</c:v>
                </c:pt>
                <c:pt idx="162">
                  <c:v>0.02058</c:v>
                </c:pt>
                <c:pt idx="163">
                  <c:v>0.02032</c:v>
                </c:pt>
                <c:pt idx="164">
                  <c:v>0.02006</c:v>
                </c:pt>
                <c:pt idx="165">
                  <c:v>0.0198</c:v>
                </c:pt>
                <c:pt idx="166">
                  <c:v>0.01955</c:v>
                </c:pt>
                <c:pt idx="167">
                  <c:v>0.01931</c:v>
                </c:pt>
                <c:pt idx="168">
                  <c:v>0.01907</c:v>
                </c:pt>
                <c:pt idx="169">
                  <c:v>0.01884</c:v>
                </c:pt>
                <c:pt idx="170">
                  <c:v>0.01861</c:v>
                </c:pt>
                <c:pt idx="171">
                  <c:v>0.01838</c:v>
                </c:pt>
                <c:pt idx="172">
                  <c:v>0.01816</c:v>
                </c:pt>
                <c:pt idx="173">
                  <c:v>0.01795</c:v>
                </c:pt>
                <c:pt idx="174">
                  <c:v>0.01774</c:v>
                </c:pt>
                <c:pt idx="175">
                  <c:v>0.01753</c:v>
                </c:pt>
                <c:pt idx="176">
                  <c:v>0.01733</c:v>
                </c:pt>
                <c:pt idx="177">
                  <c:v>0.01713</c:v>
                </c:pt>
                <c:pt idx="178">
                  <c:v>0.01693</c:v>
                </c:pt>
                <c:pt idx="179">
                  <c:v>0.01674</c:v>
                </c:pt>
                <c:pt idx="180">
                  <c:v>0.01655</c:v>
                </c:pt>
                <c:pt idx="181">
                  <c:v>0.01637</c:v>
                </c:pt>
                <c:pt idx="182">
                  <c:v>0.01619</c:v>
                </c:pt>
                <c:pt idx="183">
                  <c:v>0.01601</c:v>
                </c:pt>
                <c:pt idx="184">
                  <c:v>0.01583</c:v>
                </c:pt>
                <c:pt idx="185">
                  <c:v>0.01566</c:v>
                </c:pt>
                <c:pt idx="186">
                  <c:v>0.01548</c:v>
                </c:pt>
                <c:pt idx="187">
                  <c:v>0.01532</c:v>
                </c:pt>
                <c:pt idx="188">
                  <c:v>0.01516</c:v>
                </c:pt>
                <c:pt idx="189">
                  <c:v>0.015</c:v>
                </c:pt>
                <c:pt idx="190">
                  <c:v>0.01485</c:v>
                </c:pt>
                <c:pt idx="191">
                  <c:v>0.01469</c:v>
                </c:pt>
                <c:pt idx="192">
                  <c:v>0.01454</c:v>
                </c:pt>
                <c:pt idx="193">
                  <c:v>0.01439</c:v>
                </c:pt>
                <c:pt idx="194">
                  <c:v>0.01425</c:v>
                </c:pt>
                <c:pt idx="195">
                  <c:v>0.01411</c:v>
                </c:pt>
                <c:pt idx="196">
                  <c:v>0.01398</c:v>
                </c:pt>
                <c:pt idx="197">
                  <c:v>0.01385</c:v>
                </c:pt>
                <c:pt idx="198">
                  <c:v>0.01373</c:v>
                </c:pt>
                <c:pt idx="199">
                  <c:v>0.0136</c:v>
                </c:pt>
                <c:pt idx="200">
                  <c:v>0.01348</c:v>
                </c:pt>
                <c:pt idx="201">
                  <c:v>0.01337</c:v>
                </c:pt>
                <c:pt idx="202">
                  <c:v>0.01327</c:v>
                </c:pt>
                <c:pt idx="203">
                  <c:v>0.01317</c:v>
                </c:pt>
                <c:pt idx="204">
                  <c:v>0.01307</c:v>
                </c:pt>
                <c:pt idx="205">
                  <c:v>0.01298</c:v>
                </c:pt>
                <c:pt idx="206">
                  <c:v>0.01289</c:v>
                </c:pt>
                <c:pt idx="207">
                  <c:v>0.01281</c:v>
                </c:pt>
                <c:pt idx="208">
                  <c:v>0.01272</c:v>
                </c:pt>
                <c:pt idx="209">
                  <c:v>0.01264</c:v>
                </c:pt>
                <c:pt idx="210">
                  <c:v>0.01256</c:v>
                </c:pt>
                <c:pt idx="211">
                  <c:v>0.01248</c:v>
                </c:pt>
                <c:pt idx="212">
                  <c:v>0.0124</c:v>
                </c:pt>
                <c:pt idx="213">
                  <c:v>0.01233</c:v>
                </c:pt>
                <c:pt idx="214">
                  <c:v>0.01225</c:v>
                </c:pt>
                <c:pt idx="215">
                  <c:v>0.01217</c:v>
                </c:pt>
                <c:pt idx="216">
                  <c:v>0.0121</c:v>
                </c:pt>
                <c:pt idx="217">
                  <c:v>0.01202</c:v>
                </c:pt>
                <c:pt idx="218">
                  <c:v>0.01195</c:v>
                </c:pt>
                <c:pt idx="219">
                  <c:v>0.01188</c:v>
                </c:pt>
                <c:pt idx="220">
                  <c:v>0.01181</c:v>
                </c:pt>
                <c:pt idx="221">
                  <c:v>0.01173</c:v>
                </c:pt>
                <c:pt idx="222">
                  <c:v>0.01166</c:v>
                </c:pt>
                <c:pt idx="223">
                  <c:v>0.01159</c:v>
                </c:pt>
                <c:pt idx="224">
                  <c:v>0.01152</c:v>
                </c:pt>
                <c:pt idx="225">
                  <c:v>0.01146</c:v>
                </c:pt>
                <c:pt idx="226">
                  <c:v>0.01139</c:v>
                </c:pt>
                <c:pt idx="227">
                  <c:v>0.01132</c:v>
                </c:pt>
                <c:pt idx="228">
                  <c:v>0.01125</c:v>
                </c:pt>
                <c:pt idx="229">
                  <c:v>0.01119</c:v>
                </c:pt>
                <c:pt idx="230">
                  <c:v>0.01112</c:v>
                </c:pt>
                <c:pt idx="231">
                  <c:v>0.01106</c:v>
                </c:pt>
                <c:pt idx="232">
                  <c:v>0.01099</c:v>
                </c:pt>
                <c:pt idx="233">
                  <c:v>0.01093</c:v>
                </c:pt>
                <c:pt idx="234">
                  <c:v>0.01087</c:v>
                </c:pt>
                <c:pt idx="235">
                  <c:v>0.0108</c:v>
                </c:pt>
                <c:pt idx="236">
                  <c:v>0.01074</c:v>
                </c:pt>
                <c:pt idx="237">
                  <c:v>0.01068</c:v>
                </c:pt>
                <c:pt idx="238">
                  <c:v>0.01062</c:v>
                </c:pt>
                <c:pt idx="239">
                  <c:v>0.01056</c:v>
                </c:pt>
                <c:pt idx="240">
                  <c:v>0.0105</c:v>
                </c:pt>
                <c:pt idx="241">
                  <c:v>0.01044</c:v>
                </c:pt>
                <c:pt idx="242">
                  <c:v>0.01039</c:v>
                </c:pt>
                <c:pt idx="243">
                  <c:v>0.01033</c:v>
                </c:pt>
                <c:pt idx="244">
                  <c:v>0.01027</c:v>
                </c:pt>
                <c:pt idx="245">
                  <c:v>0.01021</c:v>
                </c:pt>
                <c:pt idx="246">
                  <c:v>0.01016</c:v>
                </c:pt>
                <c:pt idx="247">
                  <c:v>0.0101</c:v>
                </c:pt>
                <c:pt idx="248">
                  <c:v>0.01005</c:v>
                </c:pt>
                <c:pt idx="249">
                  <c:v>0.009993</c:v>
                </c:pt>
                <c:pt idx="250">
                  <c:v>0.009939</c:v>
                </c:pt>
                <c:pt idx="251">
                  <c:v>0.009885</c:v>
                </c:pt>
                <c:pt idx="252">
                  <c:v>0.009832</c:v>
                </c:pt>
                <c:pt idx="253">
                  <c:v>0.009779</c:v>
                </c:pt>
                <c:pt idx="254">
                  <c:v>0.009727</c:v>
                </c:pt>
                <c:pt idx="255">
                  <c:v>0.009675</c:v>
                </c:pt>
                <c:pt idx="256">
                  <c:v>0.009622</c:v>
                </c:pt>
                <c:pt idx="257">
                  <c:v>0.00957</c:v>
                </c:pt>
                <c:pt idx="258">
                  <c:v>0.009518</c:v>
                </c:pt>
                <c:pt idx="259">
                  <c:v>0.009467</c:v>
                </c:pt>
                <c:pt idx="260">
                  <c:v>0.009416</c:v>
                </c:pt>
                <c:pt idx="261">
                  <c:v>0.009363</c:v>
                </c:pt>
                <c:pt idx="262">
                  <c:v>0.009311</c:v>
                </c:pt>
                <c:pt idx="263">
                  <c:v>0.009259</c:v>
                </c:pt>
                <c:pt idx="264">
                  <c:v>0.009206</c:v>
                </c:pt>
                <c:pt idx="265">
                  <c:v>0.009155</c:v>
                </c:pt>
                <c:pt idx="266">
                  <c:v>0.009104</c:v>
                </c:pt>
                <c:pt idx="267">
                  <c:v>0.009054</c:v>
                </c:pt>
                <c:pt idx="268">
                  <c:v>0.009004</c:v>
                </c:pt>
                <c:pt idx="269">
                  <c:v>0.008953</c:v>
                </c:pt>
                <c:pt idx="270">
                  <c:v>0.008902</c:v>
                </c:pt>
                <c:pt idx="271">
                  <c:v>0.008851</c:v>
                </c:pt>
                <c:pt idx="272">
                  <c:v>0.008801</c:v>
                </c:pt>
                <c:pt idx="273">
                  <c:v>0.00875</c:v>
                </c:pt>
                <c:pt idx="274">
                  <c:v>0.0087</c:v>
                </c:pt>
                <c:pt idx="275">
                  <c:v>0.008649</c:v>
                </c:pt>
                <c:pt idx="276">
                  <c:v>0.008597</c:v>
                </c:pt>
                <c:pt idx="277">
                  <c:v>0.008546</c:v>
                </c:pt>
                <c:pt idx="278">
                  <c:v>0.008494</c:v>
                </c:pt>
                <c:pt idx="279">
                  <c:v>0.008442</c:v>
                </c:pt>
                <c:pt idx="280">
                  <c:v>0.008391</c:v>
                </c:pt>
                <c:pt idx="281">
                  <c:v>0.008341</c:v>
                </c:pt>
                <c:pt idx="282">
                  <c:v>0.00829</c:v>
                </c:pt>
                <c:pt idx="283">
                  <c:v>0.008241</c:v>
                </c:pt>
                <c:pt idx="284">
                  <c:v>0.008192</c:v>
                </c:pt>
                <c:pt idx="285">
                  <c:v>0.008143</c:v>
                </c:pt>
                <c:pt idx="286">
                  <c:v>0.008094</c:v>
                </c:pt>
                <c:pt idx="287">
                  <c:v>0.008046</c:v>
                </c:pt>
                <c:pt idx="288">
                  <c:v>0.007999</c:v>
                </c:pt>
                <c:pt idx="289">
                  <c:v>0.007952</c:v>
                </c:pt>
                <c:pt idx="290">
                  <c:v>0.007905</c:v>
                </c:pt>
                <c:pt idx="291">
                  <c:v>0.007859</c:v>
                </c:pt>
                <c:pt idx="292">
                  <c:v>0.007813</c:v>
                </c:pt>
                <c:pt idx="293">
                  <c:v>0.007767</c:v>
                </c:pt>
                <c:pt idx="294">
                  <c:v>0.007722</c:v>
                </c:pt>
                <c:pt idx="295">
                  <c:v>0.007678</c:v>
                </c:pt>
                <c:pt idx="296">
                  <c:v>0.007633</c:v>
                </c:pt>
                <c:pt idx="297">
                  <c:v>0.00759</c:v>
                </c:pt>
                <c:pt idx="298">
                  <c:v>0.007546</c:v>
                </c:pt>
                <c:pt idx="299">
                  <c:v>0.007503</c:v>
                </c:pt>
                <c:pt idx="300">
                  <c:v>0.007461</c:v>
                </c:pt>
                <c:pt idx="301">
                  <c:v>0.007418</c:v>
                </c:pt>
                <c:pt idx="302">
                  <c:v>0.007377</c:v>
                </c:pt>
                <c:pt idx="303">
                  <c:v>0.007335</c:v>
                </c:pt>
                <c:pt idx="304">
                  <c:v>0.007294</c:v>
                </c:pt>
                <c:pt idx="305">
                  <c:v>0.007254</c:v>
                </c:pt>
                <c:pt idx="306">
                  <c:v>0.007213</c:v>
                </c:pt>
                <c:pt idx="307">
                  <c:v>0.007173</c:v>
                </c:pt>
                <c:pt idx="308">
                  <c:v>0.007134</c:v>
                </c:pt>
                <c:pt idx="309">
                  <c:v>0.007094</c:v>
                </c:pt>
                <c:pt idx="310">
                  <c:v>0.007056</c:v>
                </c:pt>
                <c:pt idx="311">
                  <c:v>0.007017</c:v>
                </c:pt>
                <c:pt idx="312">
                  <c:v>0.006979</c:v>
                </c:pt>
                <c:pt idx="313">
                  <c:v>0.006941</c:v>
                </c:pt>
                <c:pt idx="314">
                  <c:v>0.006904</c:v>
                </c:pt>
                <c:pt idx="315">
                  <c:v>0.006867</c:v>
                </c:pt>
                <c:pt idx="316">
                  <c:v>0.00683</c:v>
                </c:pt>
                <c:pt idx="317">
                  <c:v>0.006793</c:v>
                </c:pt>
                <c:pt idx="318">
                  <c:v>0.006756</c:v>
                </c:pt>
                <c:pt idx="319">
                  <c:v>0.00672</c:v>
                </c:pt>
                <c:pt idx="320">
                  <c:v>0.006684</c:v>
                </c:pt>
                <c:pt idx="321">
                  <c:v>0.006648</c:v>
                </c:pt>
                <c:pt idx="322">
                  <c:v>0.006613</c:v>
                </c:pt>
                <c:pt idx="323">
                  <c:v>0.006577</c:v>
                </c:pt>
                <c:pt idx="324">
                  <c:v>0.006541</c:v>
                </c:pt>
                <c:pt idx="325">
                  <c:v>0.006506</c:v>
                </c:pt>
                <c:pt idx="326">
                  <c:v>0.00647</c:v>
                </c:pt>
              </c:numCache>
            </c:numRef>
          </c:xVal>
          <c:yVal>
            <c:numRef>
              <c:f>'6MB2- in1'!$H$5:$H$328</c:f>
              <c:numCache>
                <c:formatCode>0.00E+00</c:formatCode>
                <c:ptCount val="324"/>
                <c:pt idx="0">
                  <c:v>0.002967</c:v>
                </c:pt>
                <c:pt idx="1">
                  <c:v>0.002808</c:v>
                </c:pt>
                <c:pt idx="2">
                  <c:v>0.002685</c:v>
                </c:pt>
                <c:pt idx="3">
                  <c:v>0.002386</c:v>
                </c:pt>
                <c:pt idx="4">
                  <c:v>0.002148</c:v>
                </c:pt>
                <c:pt idx="5">
                  <c:v>0.001952</c:v>
                </c:pt>
                <c:pt idx="6">
                  <c:v>0.001952</c:v>
                </c:pt>
                <c:pt idx="7">
                  <c:v>0.001296</c:v>
                </c:pt>
                <c:pt idx="8">
                  <c:v>0.0007476</c:v>
                </c:pt>
                <c:pt idx="9">
                  <c:v>0.0005283</c:v>
                </c:pt>
                <c:pt idx="10">
                  <c:v>0.0004087</c:v>
                </c:pt>
                <c:pt idx="11">
                  <c:v>0.0003343</c:v>
                </c:pt>
                <c:pt idx="12">
                  <c:v>0.0001655</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0.0</c:v>
                </c:pt>
                <c:pt idx="45">
                  <c:v>0.0</c:v>
                </c:pt>
                <c:pt idx="46">
                  <c:v>0.0</c:v>
                </c:pt>
                <c:pt idx="47">
                  <c:v>0.0</c:v>
                </c:pt>
                <c:pt idx="48">
                  <c:v>0.0</c:v>
                </c:pt>
                <c:pt idx="49">
                  <c:v>0.0</c:v>
                </c:pt>
                <c:pt idx="50">
                  <c:v>0.0</c:v>
                </c:pt>
                <c:pt idx="51">
                  <c:v>0.0</c:v>
                </c:pt>
                <c:pt idx="52">
                  <c:v>0.0</c:v>
                </c:pt>
                <c:pt idx="53">
                  <c:v>0.0</c:v>
                </c:pt>
                <c:pt idx="54">
                  <c:v>0.0</c:v>
                </c:pt>
                <c:pt idx="55">
                  <c:v>0.0</c:v>
                </c:pt>
                <c:pt idx="56">
                  <c:v>0.0</c:v>
                </c:pt>
                <c:pt idx="57">
                  <c:v>0.0</c:v>
                </c:pt>
                <c:pt idx="58">
                  <c:v>0.0</c:v>
                </c:pt>
                <c:pt idx="59">
                  <c:v>0.0</c:v>
                </c:pt>
                <c:pt idx="60">
                  <c:v>0.0</c:v>
                </c:pt>
                <c:pt idx="61">
                  <c:v>0.0</c:v>
                </c:pt>
                <c:pt idx="62">
                  <c:v>0.0</c:v>
                </c:pt>
                <c:pt idx="63">
                  <c:v>0.0</c:v>
                </c:pt>
                <c:pt idx="64">
                  <c:v>0.0</c:v>
                </c:pt>
                <c:pt idx="65">
                  <c:v>0.0</c:v>
                </c:pt>
                <c:pt idx="66">
                  <c:v>0.0</c:v>
                </c:pt>
                <c:pt idx="67">
                  <c:v>0.0</c:v>
                </c:pt>
                <c:pt idx="68">
                  <c:v>0.0</c:v>
                </c:pt>
                <c:pt idx="69">
                  <c:v>0.0</c:v>
                </c:pt>
                <c:pt idx="70">
                  <c:v>0.0</c:v>
                </c:pt>
                <c:pt idx="71">
                  <c:v>0.0</c:v>
                </c:pt>
                <c:pt idx="72">
                  <c:v>0.0</c:v>
                </c:pt>
                <c:pt idx="73">
                  <c:v>0.0</c:v>
                </c:pt>
                <c:pt idx="74">
                  <c:v>0.0</c:v>
                </c:pt>
                <c:pt idx="75">
                  <c:v>0.0</c:v>
                </c:pt>
                <c:pt idx="76">
                  <c:v>0.0</c:v>
                </c:pt>
                <c:pt idx="77">
                  <c:v>0.0</c:v>
                </c:pt>
                <c:pt idx="78">
                  <c:v>0.0</c:v>
                </c:pt>
                <c:pt idx="79">
                  <c:v>0.0</c:v>
                </c:pt>
                <c:pt idx="80">
                  <c:v>0.0</c:v>
                </c:pt>
                <c:pt idx="81">
                  <c:v>0.0</c:v>
                </c:pt>
                <c:pt idx="82">
                  <c:v>0.0</c:v>
                </c:pt>
                <c:pt idx="83">
                  <c:v>0.0</c:v>
                </c:pt>
                <c:pt idx="84">
                  <c:v>0.0</c:v>
                </c:pt>
                <c:pt idx="85">
                  <c:v>0.0</c:v>
                </c:pt>
                <c:pt idx="86">
                  <c:v>0.0</c:v>
                </c:pt>
                <c:pt idx="87">
                  <c:v>0.0</c:v>
                </c:pt>
                <c:pt idx="88">
                  <c:v>0.0</c:v>
                </c:pt>
                <c:pt idx="89">
                  <c:v>0.0</c:v>
                </c:pt>
                <c:pt idx="90">
                  <c:v>0.0</c:v>
                </c:pt>
                <c:pt idx="91">
                  <c:v>0.0</c:v>
                </c:pt>
                <c:pt idx="92">
                  <c:v>0.0</c:v>
                </c:pt>
                <c:pt idx="93">
                  <c:v>0.0</c:v>
                </c:pt>
                <c:pt idx="94">
                  <c:v>0.0</c:v>
                </c:pt>
                <c:pt idx="95">
                  <c:v>0.0</c:v>
                </c:pt>
                <c:pt idx="96">
                  <c:v>0.0</c:v>
                </c:pt>
                <c:pt idx="97">
                  <c:v>0.0</c:v>
                </c:pt>
                <c:pt idx="98">
                  <c:v>0.0</c:v>
                </c:pt>
                <c:pt idx="99">
                  <c:v>0.0</c:v>
                </c:pt>
                <c:pt idx="100">
                  <c:v>0.0</c:v>
                </c:pt>
                <c:pt idx="101">
                  <c:v>0.0</c:v>
                </c:pt>
                <c:pt idx="102">
                  <c:v>0.0</c:v>
                </c:pt>
                <c:pt idx="103">
                  <c:v>0.0003262</c:v>
                </c:pt>
                <c:pt idx="104">
                  <c:v>0.0006574</c:v>
                </c:pt>
                <c:pt idx="105">
                  <c:v>0.001</c:v>
                </c:pt>
                <c:pt idx="106">
                  <c:v>0.001346</c:v>
                </c:pt>
                <c:pt idx="107">
                  <c:v>0.002069</c:v>
                </c:pt>
                <c:pt idx="108">
                  <c:v>0.002796</c:v>
                </c:pt>
                <c:pt idx="109">
                  <c:v>0.0039</c:v>
                </c:pt>
                <c:pt idx="110">
                  <c:v>0.005015</c:v>
                </c:pt>
                <c:pt idx="111">
                  <c:v>0.006144</c:v>
                </c:pt>
                <c:pt idx="112">
                  <c:v>0.007662</c:v>
                </c:pt>
                <c:pt idx="113">
                  <c:v>0.009625</c:v>
                </c:pt>
                <c:pt idx="114">
                  <c:v>0.0113</c:v>
                </c:pt>
                <c:pt idx="115">
                  <c:v>0.01298</c:v>
                </c:pt>
                <c:pt idx="116">
                  <c:v>0.01508</c:v>
                </c:pt>
                <c:pt idx="117">
                  <c:v>0.01716</c:v>
                </c:pt>
                <c:pt idx="118">
                  <c:v>0.01927</c:v>
                </c:pt>
                <c:pt idx="119">
                  <c:v>0.02144</c:v>
                </c:pt>
                <c:pt idx="120">
                  <c:v>0.02284</c:v>
                </c:pt>
                <c:pt idx="121">
                  <c:v>0.02426</c:v>
                </c:pt>
                <c:pt idx="122">
                  <c:v>0.02567</c:v>
                </c:pt>
                <c:pt idx="123">
                  <c:v>0.0263</c:v>
                </c:pt>
                <c:pt idx="124">
                  <c:v>0.02695</c:v>
                </c:pt>
                <c:pt idx="125">
                  <c:v>0.0271</c:v>
                </c:pt>
                <c:pt idx="126">
                  <c:v>0.02764</c:v>
                </c:pt>
                <c:pt idx="127">
                  <c:v>0.02861</c:v>
                </c:pt>
                <c:pt idx="128">
                  <c:v>0.02966</c:v>
                </c:pt>
                <c:pt idx="129">
                  <c:v>0.0299</c:v>
                </c:pt>
                <c:pt idx="130">
                  <c:v>0.03098</c:v>
                </c:pt>
                <c:pt idx="131">
                  <c:v>0.03414</c:v>
                </c:pt>
                <c:pt idx="132">
                  <c:v>0.03849</c:v>
                </c:pt>
                <c:pt idx="133">
                  <c:v>0.0438</c:v>
                </c:pt>
                <c:pt idx="134">
                  <c:v>0.05076</c:v>
                </c:pt>
                <c:pt idx="135">
                  <c:v>0.05625</c:v>
                </c:pt>
                <c:pt idx="136">
                  <c:v>0.06347</c:v>
                </c:pt>
                <c:pt idx="137">
                  <c:v>0.07115</c:v>
                </c:pt>
                <c:pt idx="138">
                  <c:v>0.07902</c:v>
                </c:pt>
                <c:pt idx="139">
                  <c:v>0.08962</c:v>
                </c:pt>
                <c:pt idx="140">
                  <c:v>0.1023</c:v>
                </c:pt>
                <c:pt idx="141">
                  <c:v>0.1149</c:v>
                </c:pt>
                <c:pt idx="142">
                  <c:v>0.1259</c:v>
                </c:pt>
                <c:pt idx="143">
                  <c:v>0.1369</c:v>
                </c:pt>
                <c:pt idx="144">
                  <c:v>0.1492</c:v>
                </c:pt>
                <c:pt idx="145">
                  <c:v>0.1629</c:v>
                </c:pt>
                <c:pt idx="146">
                  <c:v>0.1804</c:v>
                </c:pt>
                <c:pt idx="147">
                  <c:v>0.1993</c:v>
                </c:pt>
                <c:pt idx="148">
                  <c:v>0.2212</c:v>
                </c:pt>
                <c:pt idx="149">
                  <c:v>0.2431</c:v>
                </c:pt>
                <c:pt idx="150">
                  <c:v>0.2636</c:v>
                </c:pt>
                <c:pt idx="151">
                  <c:v>0.2838</c:v>
                </c:pt>
                <c:pt idx="152">
                  <c:v>0.304</c:v>
                </c:pt>
                <c:pt idx="153">
                  <c:v>0.3255</c:v>
                </c:pt>
                <c:pt idx="154">
                  <c:v>0.3478</c:v>
                </c:pt>
                <c:pt idx="155">
                  <c:v>0.3687</c:v>
                </c:pt>
                <c:pt idx="156">
                  <c:v>0.3866</c:v>
                </c:pt>
                <c:pt idx="157">
                  <c:v>0.4012</c:v>
                </c:pt>
                <c:pt idx="158">
                  <c:v>0.4125</c:v>
                </c:pt>
                <c:pt idx="159">
                  <c:v>0.4182</c:v>
                </c:pt>
                <c:pt idx="160">
                  <c:v>0.4237</c:v>
                </c:pt>
                <c:pt idx="161">
                  <c:v>0.4266</c:v>
                </c:pt>
                <c:pt idx="162">
                  <c:v>0.4278</c:v>
                </c:pt>
                <c:pt idx="163">
                  <c:v>0.4302</c:v>
                </c:pt>
                <c:pt idx="164">
                  <c:v>0.4315</c:v>
                </c:pt>
                <c:pt idx="165">
                  <c:v>0.4279</c:v>
                </c:pt>
                <c:pt idx="166">
                  <c:v>0.4215</c:v>
                </c:pt>
                <c:pt idx="167">
                  <c:v>0.4138</c:v>
                </c:pt>
                <c:pt idx="168">
                  <c:v>0.4069</c:v>
                </c:pt>
                <c:pt idx="169">
                  <c:v>0.401</c:v>
                </c:pt>
                <c:pt idx="170">
                  <c:v>0.3968</c:v>
                </c:pt>
                <c:pt idx="171">
                  <c:v>0.3902</c:v>
                </c:pt>
                <c:pt idx="172">
                  <c:v>0.3857</c:v>
                </c:pt>
                <c:pt idx="173">
                  <c:v>0.3817</c:v>
                </c:pt>
                <c:pt idx="174">
                  <c:v>0.3746</c:v>
                </c:pt>
                <c:pt idx="175">
                  <c:v>0.3678</c:v>
                </c:pt>
                <c:pt idx="176">
                  <c:v>0.3639</c:v>
                </c:pt>
                <c:pt idx="177">
                  <c:v>0.3615</c:v>
                </c:pt>
                <c:pt idx="178">
                  <c:v>0.3615</c:v>
                </c:pt>
                <c:pt idx="179">
                  <c:v>0.3636</c:v>
                </c:pt>
                <c:pt idx="180">
                  <c:v>0.3625</c:v>
                </c:pt>
                <c:pt idx="181">
                  <c:v>0.3607</c:v>
                </c:pt>
                <c:pt idx="182">
                  <c:v>0.3595</c:v>
                </c:pt>
                <c:pt idx="183">
                  <c:v>0.356</c:v>
                </c:pt>
                <c:pt idx="184">
                  <c:v>0.3506</c:v>
                </c:pt>
                <c:pt idx="185">
                  <c:v>0.3456</c:v>
                </c:pt>
                <c:pt idx="186">
                  <c:v>0.3388</c:v>
                </c:pt>
                <c:pt idx="187">
                  <c:v>0.3329</c:v>
                </c:pt>
                <c:pt idx="188">
                  <c:v>0.3273</c:v>
                </c:pt>
                <c:pt idx="189">
                  <c:v>0.3206</c:v>
                </c:pt>
                <c:pt idx="190">
                  <c:v>0.3095</c:v>
                </c:pt>
                <c:pt idx="191">
                  <c:v>0.302</c:v>
                </c:pt>
                <c:pt idx="192">
                  <c:v>0.296</c:v>
                </c:pt>
                <c:pt idx="193">
                  <c:v>0.2888</c:v>
                </c:pt>
                <c:pt idx="194">
                  <c:v>0.2827</c:v>
                </c:pt>
                <c:pt idx="195">
                  <c:v>0.2776</c:v>
                </c:pt>
                <c:pt idx="196">
                  <c:v>0.2755</c:v>
                </c:pt>
                <c:pt idx="197">
                  <c:v>0.2715</c:v>
                </c:pt>
                <c:pt idx="198">
                  <c:v>0.2668</c:v>
                </c:pt>
                <c:pt idx="199">
                  <c:v>0.2622</c:v>
                </c:pt>
                <c:pt idx="200">
                  <c:v>0.2589</c:v>
                </c:pt>
                <c:pt idx="201">
                  <c:v>0.2553</c:v>
                </c:pt>
                <c:pt idx="202">
                  <c:v>0.2518</c:v>
                </c:pt>
                <c:pt idx="203">
                  <c:v>0.244</c:v>
                </c:pt>
                <c:pt idx="204">
                  <c:v>0.2391</c:v>
                </c:pt>
                <c:pt idx="205">
                  <c:v>0.2373</c:v>
                </c:pt>
                <c:pt idx="206">
                  <c:v>0.2371</c:v>
                </c:pt>
                <c:pt idx="207">
                  <c:v>0.2296</c:v>
                </c:pt>
                <c:pt idx="208">
                  <c:v>0.2251</c:v>
                </c:pt>
                <c:pt idx="209">
                  <c:v>0.2205</c:v>
                </c:pt>
                <c:pt idx="210">
                  <c:v>0.2152</c:v>
                </c:pt>
                <c:pt idx="211">
                  <c:v>0.2088</c:v>
                </c:pt>
                <c:pt idx="212">
                  <c:v>0.205</c:v>
                </c:pt>
                <c:pt idx="213">
                  <c:v>0.2022</c:v>
                </c:pt>
                <c:pt idx="214">
                  <c:v>0.2021</c:v>
                </c:pt>
                <c:pt idx="215">
                  <c:v>0.2001</c:v>
                </c:pt>
                <c:pt idx="216">
                  <c:v>0.1921</c:v>
                </c:pt>
                <c:pt idx="217">
                  <c:v>0.1814</c:v>
                </c:pt>
                <c:pt idx="218">
                  <c:v>0.1767</c:v>
                </c:pt>
                <c:pt idx="219">
                  <c:v>0.1738</c:v>
                </c:pt>
                <c:pt idx="220">
                  <c:v>0.1709</c:v>
                </c:pt>
                <c:pt idx="221">
                  <c:v>0.1698</c:v>
                </c:pt>
                <c:pt idx="222">
                  <c:v>0.166</c:v>
                </c:pt>
                <c:pt idx="223">
                  <c:v>0.164</c:v>
                </c:pt>
                <c:pt idx="224">
                  <c:v>0.1572</c:v>
                </c:pt>
                <c:pt idx="225">
                  <c:v>0.1533</c:v>
                </c:pt>
                <c:pt idx="226">
                  <c:v>0.1532</c:v>
                </c:pt>
                <c:pt idx="227">
                  <c:v>0.1565</c:v>
                </c:pt>
                <c:pt idx="228">
                  <c:v>0.1616</c:v>
                </c:pt>
                <c:pt idx="229">
                  <c:v>0.1668</c:v>
                </c:pt>
                <c:pt idx="230">
                  <c:v>0.1693</c:v>
                </c:pt>
                <c:pt idx="231">
                  <c:v>0.17</c:v>
                </c:pt>
                <c:pt idx="232">
                  <c:v>0.1687</c:v>
                </c:pt>
                <c:pt idx="233">
                  <c:v>0.1702</c:v>
                </c:pt>
                <c:pt idx="234">
                  <c:v>0.1708</c:v>
                </c:pt>
                <c:pt idx="235">
                  <c:v>0.1753</c:v>
                </c:pt>
                <c:pt idx="236">
                  <c:v>0.1778</c:v>
                </c:pt>
                <c:pt idx="237">
                  <c:v>0.1765</c:v>
                </c:pt>
                <c:pt idx="238">
                  <c:v>0.1763</c:v>
                </c:pt>
                <c:pt idx="239">
                  <c:v>0.178</c:v>
                </c:pt>
                <c:pt idx="240">
                  <c:v>0.1779</c:v>
                </c:pt>
                <c:pt idx="241">
                  <c:v>0.1786</c:v>
                </c:pt>
                <c:pt idx="242">
                  <c:v>0.1822</c:v>
                </c:pt>
                <c:pt idx="243">
                  <c:v>0.1877</c:v>
                </c:pt>
                <c:pt idx="244">
                  <c:v>0.1933</c:v>
                </c:pt>
                <c:pt idx="245">
                  <c:v>0.196</c:v>
                </c:pt>
                <c:pt idx="246">
                  <c:v>0.1956</c:v>
                </c:pt>
                <c:pt idx="247">
                  <c:v>0.1943</c:v>
                </c:pt>
                <c:pt idx="248">
                  <c:v>0.1938</c:v>
                </c:pt>
                <c:pt idx="249">
                  <c:v>0.1924</c:v>
                </c:pt>
                <c:pt idx="250">
                  <c:v>0.187</c:v>
                </c:pt>
                <c:pt idx="251">
                  <c:v>0.1822</c:v>
                </c:pt>
                <c:pt idx="252">
                  <c:v>0.1755</c:v>
                </c:pt>
                <c:pt idx="253">
                  <c:v>0.1675</c:v>
                </c:pt>
                <c:pt idx="254">
                  <c:v>0.1584</c:v>
                </c:pt>
                <c:pt idx="255">
                  <c:v>0.1488</c:v>
                </c:pt>
                <c:pt idx="256">
                  <c:v>0.1392</c:v>
                </c:pt>
                <c:pt idx="257">
                  <c:v>0.1324</c:v>
                </c:pt>
                <c:pt idx="258">
                  <c:v>0.1272</c:v>
                </c:pt>
                <c:pt idx="259">
                  <c:v>0.1219</c:v>
                </c:pt>
                <c:pt idx="260">
                  <c:v>0.1155</c:v>
                </c:pt>
                <c:pt idx="261">
                  <c:v>0.111</c:v>
                </c:pt>
                <c:pt idx="262">
                  <c:v>0.105</c:v>
                </c:pt>
                <c:pt idx="263">
                  <c:v>0.1008</c:v>
                </c:pt>
                <c:pt idx="264">
                  <c:v>0.09599</c:v>
                </c:pt>
                <c:pt idx="265">
                  <c:v>0.09139</c:v>
                </c:pt>
                <c:pt idx="266">
                  <c:v>0.087</c:v>
                </c:pt>
                <c:pt idx="267">
                  <c:v>0.08467</c:v>
                </c:pt>
                <c:pt idx="268">
                  <c:v>0.08423</c:v>
                </c:pt>
                <c:pt idx="269">
                  <c:v>0.08393</c:v>
                </c:pt>
                <c:pt idx="270">
                  <c:v>0.08203</c:v>
                </c:pt>
                <c:pt idx="271">
                  <c:v>0.08124</c:v>
                </c:pt>
                <c:pt idx="272">
                  <c:v>0.08234</c:v>
                </c:pt>
                <c:pt idx="273">
                  <c:v>0.08518</c:v>
                </c:pt>
                <c:pt idx="274">
                  <c:v>0.08822</c:v>
                </c:pt>
                <c:pt idx="275">
                  <c:v>0.09206</c:v>
                </c:pt>
                <c:pt idx="276">
                  <c:v>0.09505</c:v>
                </c:pt>
                <c:pt idx="277">
                  <c:v>0.1007</c:v>
                </c:pt>
                <c:pt idx="278">
                  <c:v>0.1064</c:v>
                </c:pt>
                <c:pt idx="279">
                  <c:v>0.1059</c:v>
                </c:pt>
                <c:pt idx="280">
                  <c:v>0.1017</c:v>
                </c:pt>
                <c:pt idx="281">
                  <c:v>0.09924</c:v>
                </c:pt>
                <c:pt idx="282">
                  <c:v>0.09674</c:v>
                </c:pt>
                <c:pt idx="283">
                  <c:v>0.09062</c:v>
                </c:pt>
                <c:pt idx="284">
                  <c:v>0.08449</c:v>
                </c:pt>
                <c:pt idx="285">
                  <c:v>0.08105</c:v>
                </c:pt>
                <c:pt idx="286">
                  <c:v>0.07763</c:v>
                </c:pt>
                <c:pt idx="287">
                  <c:v>0.07417</c:v>
                </c:pt>
                <c:pt idx="288">
                  <c:v>0.0652</c:v>
                </c:pt>
                <c:pt idx="289">
                  <c:v>0.05716</c:v>
                </c:pt>
                <c:pt idx="290">
                  <c:v>0.05276</c:v>
                </c:pt>
                <c:pt idx="291">
                  <c:v>0.052</c:v>
                </c:pt>
                <c:pt idx="292">
                  <c:v>0.05123</c:v>
                </c:pt>
                <c:pt idx="293">
                  <c:v>0.05046</c:v>
                </c:pt>
                <c:pt idx="294">
                  <c:v>0.05154</c:v>
                </c:pt>
                <c:pt idx="295">
                  <c:v>0.05263</c:v>
                </c:pt>
                <c:pt idx="296">
                  <c:v>0.0481</c:v>
                </c:pt>
                <c:pt idx="297">
                  <c:v>0.04354</c:v>
                </c:pt>
                <c:pt idx="298">
                  <c:v>0.03989</c:v>
                </c:pt>
                <c:pt idx="299">
                  <c:v>0.03903</c:v>
                </c:pt>
                <c:pt idx="300">
                  <c:v>0.03623</c:v>
                </c:pt>
                <c:pt idx="301">
                  <c:v>0.03343</c:v>
                </c:pt>
                <c:pt idx="302">
                  <c:v>0.0287</c:v>
                </c:pt>
                <c:pt idx="303">
                  <c:v>0.02396</c:v>
                </c:pt>
                <c:pt idx="304">
                  <c:v>0.01922</c:v>
                </c:pt>
                <c:pt idx="305">
                  <c:v>0.01446</c:v>
                </c:pt>
                <c:pt idx="306">
                  <c:v>0.00968</c:v>
                </c:pt>
                <c:pt idx="307">
                  <c:v>0.007755</c:v>
                </c:pt>
                <c:pt idx="308">
                  <c:v>0.005824</c:v>
                </c:pt>
                <c:pt idx="309">
                  <c:v>0.003889</c:v>
                </c:pt>
                <c:pt idx="310">
                  <c:v>0.001945</c:v>
                </c:pt>
                <c:pt idx="311">
                  <c:v>0.000974</c:v>
                </c:pt>
                <c:pt idx="312">
                  <c:v>0.0</c:v>
                </c:pt>
                <c:pt idx="313">
                  <c:v>0.0</c:v>
                </c:pt>
                <c:pt idx="314">
                  <c:v>0.0</c:v>
                </c:pt>
                <c:pt idx="315">
                  <c:v>0.0</c:v>
                </c:pt>
                <c:pt idx="316">
                  <c:v>0.0</c:v>
                </c:pt>
                <c:pt idx="317">
                  <c:v>0.0</c:v>
                </c:pt>
                <c:pt idx="318">
                  <c:v>0.0</c:v>
                </c:pt>
                <c:pt idx="319">
                  <c:v>0.0</c:v>
                </c:pt>
                <c:pt idx="320">
                  <c:v>0.0</c:v>
                </c:pt>
                <c:pt idx="321">
                  <c:v>0.0</c:v>
                </c:pt>
                <c:pt idx="322">
                  <c:v>0.0</c:v>
                </c:pt>
                <c:pt idx="323">
                  <c:v>0.0</c:v>
                </c:pt>
              </c:numCache>
            </c:numRef>
          </c:yVal>
          <c:smooth val="0"/>
        </c:ser>
        <c:dLbls>
          <c:showLegendKey val="0"/>
          <c:showVal val="0"/>
          <c:showCatName val="0"/>
          <c:showSerName val="0"/>
          <c:showPercent val="0"/>
          <c:showBubbleSize val="0"/>
        </c:dLbls>
        <c:axId val="2130669288"/>
        <c:axId val="2130675016"/>
      </c:scatterChart>
      <c:valAx>
        <c:axId val="2130669288"/>
        <c:scaling>
          <c:logBase val="10.0"/>
          <c:orientation val="maxMin"/>
          <c:max val="0.1"/>
        </c:scaling>
        <c:delete val="0"/>
        <c:axPos val="b"/>
        <c:majorGridlines/>
        <c:title>
          <c:tx>
            <c:rich>
              <a:bodyPr/>
              <a:lstStyle/>
              <a:p>
                <a:pPr>
                  <a:defRPr/>
                </a:pPr>
                <a:r>
                  <a:rPr lang="el-GR"/>
                  <a:t>Pore Diameter (μm) </a:t>
                </a:r>
              </a:p>
            </c:rich>
          </c:tx>
          <c:overlay val="0"/>
        </c:title>
        <c:numFmt formatCode="General" sourceLinked="0"/>
        <c:majorTickMark val="out"/>
        <c:minorTickMark val="none"/>
        <c:tickLblPos val="nextTo"/>
        <c:spPr>
          <a:ln>
            <a:solidFill>
              <a:schemeClr val="tx1"/>
            </a:solidFill>
          </a:ln>
        </c:spPr>
        <c:txPr>
          <a:bodyPr rot="0" vert="horz"/>
          <a:lstStyle/>
          <a:p>
            <a:pPr>
              <a:defRPr/>
            </a:pPr>
            <a:endParaRPr lang="en-US"/>
          </a:p>
        </c:txPr>
        <c:crossAx val="2130675016"/>
        <c:crosses val="autoZero"/>
        <c:crossBetween val="midCat"/>
      </c:valAx>
      <c:valAx>
        <c:axId val="2130675016"/>
        <c:scaling>
          <c:orientation val="minMax"/>
        </c:scaling>
        <c:delete val="0"/>
        <c:axPos val="l"/>
        <c:majorGridlines/>
        <c:title>
          <c:tx>
            <c:rich>
              <a:bodyPr rot="-5400000" vert="horz"/>
              <a:lstStyle/>
              <a:p>
                <a:pPr>
                  <a:defRPr/>
                </a:pPr>
                <a:r>
                  <a:rPr lang="en-US"/>
                  <a:t>Incremental Volume (dV/dlogD)</a:t>
                </a:r>
              </a:p>
            </c:rich>
          </c:tx>
          <c:layout>
            <c:manualLayout>
              <c:xMode val="edge"/>
              <c:yMode val="edge"/>
              <c:x val="0.00251332219836157"/>
              <c:y val="0.0283386990419301"/>
            </c:manualLayout>
          </c:layout>
          <c:overlay val="0"/>
        </c:title>
        <c:numFmt formatCode="General" sourceLinked="0"/>
        <c:majorTickMark val="out"/>
        <c:minorTickMark val="none"/>
        <c:tickLblPos val="nextTo"/>
        <c:spPr>
          <a:ln>
            <a:solidFill>
              <a:schemeClr val="tx1"/>
            </a:solidFill>
          </a:ln>
        </c:spPr>
        <c:crossAx val="2130669288"/>
        <c:crosses val="max"/>
        <c:crossBetween val="midCat"/>
      </c:valAx>
    </c:plotArea>
    <c:legend>
      <c:legendPos val="r"/>
      <c:layout>
        <c:manualLayout>
          <c:xMode val="edge"/>
          <c:yMode val="edge"/>
          <c:x val="0.524228302631002"/>
          <c:y val="0.0310344827586207"/>
          <c:w val="0.404865950197784"/>
          <c:h val="0.219510492222955"/>
        </c:manualLayout>
      </c:layout>
      <c:overlay val="0"/>
    </c:legend>
    <c:plotVisOnly val="1"/>
    <c:dispBlanksAs val="gap"/>
    <c:showDLblsOverMax val="0"/>
  </c:chart>
  <c:spPr>
    <a:ln>
      <a:noFill/>
    </a:ln>
  </c:spPr>
  <c:txPr>
    <a:bodyPr/>
    <a:lstStyle/>
    <a:p>
      <a:pPr algn="ctr">
        <a:defRPr sz="1000">
          <a:latin typeface="Arial"/>
          <a:cs typeface="Arial"/>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204321477260475"/>
          <c:y val="0.0722860522716351"/>
          <c:w val="0.706220734908136"/>
          <c:h val="0.756607888802632"/>
        </c:manualLayout>
      </c:layout>
      <c:scatterChart>
        <c:scatterStyle val="lineMarker"/>
        <c:varyColors val="0"/>
        <c:ser>
          <c:idx val="0"/>
          <c:order val="1"/>
          <c:tx>
            <c:v>28DCS1</c:v>
          </c:tx>
          <c:spPr>
            <a:ln w="28575" cmpd="sng">
              <a:solidFill>
                <a:srgbClr val="FF0000"/>
              </a:solidFill>
            </a:ln>
          </c:spPr>
          <c:marker>
            <c:symbol val="none"/>
          </c:marker>
          <c:xVal>
            <c:numRef>
              <c:f>'28DB1- in1'!$C$5:$C$331</c:f>
              <c:numCache>
                <c:formatCode>0.00E+00</c:formatCode>
                <c:ptCount val="327"/>
                <c:pt idx="0">
                  <c:v>10.64</c:v>
                </c:pt>
                <c:pt idx="1">
                  <c:v>10.32</c:v>
                </c:pt>
                <c:pt idx="2">
                  <c:v>10.01</c:v>
                </c:pt>
                <c:pt idx="3">
                  <c:v>9.723999999999998</c:v>
                </c:pt>
                <c:pt idx="4">
                  <c:v>9.442</c:v>
                </c:pt>
                <c:pt idx="5">
                  <c:v>9.169</c:v>
                </c:pt>
                <c:pt idx="6">
                  <c:v>8.898000000000001</c:v>
                </c:pt>
                <c:pt idx="7">
                  <c:v>8.632</c:v>
                </c:pt>
                <c:pt idx="8">
                  <c:v>8.36</c:v>
                </c:pt>
                <c:pt idx="9">
                  <c:v>8.089</c:v>
                </c:pt>
                <c:pt idx="10">
                  <c:v>7.819999999999998</c:v>
                </c:pt>
                <c:pt idx="11">
                  <c:v>7.547</c:v>
                </c:pt>
                <c:pt idx="12">
                  <c:v>7.274</c:v>
                </c:pt>
                <c:pt idx="13">
                  <c:v>6.997</c:v>
                </c:pt>
                <c:pt idx="14">
                  <c:v>6.719</c:v>
                </c:pt>
                <c:pt idx="15">
                  <c:v>6.436</c:v>
                </c:pt>
                <c:pt idx="16">
                  <c:v>6.149</c:v>
                </c:pt>
                <c:pt idx="17">
                  <c:v>5.863999999999986</c:v>
                </c:pt>
                <c:pt idx="18">
                  <c:v>5.575</c:v>
                </c:pt>
                <c:pt idx="19">
                  <c:v>5.289</c:v>
                </c:pt>
                <c:pt idx="20">
                  <c:v>4.999</c:v>
                </c:pt>
                <c:pt idx="21">
                  <c:v>4.708</c:v>
                </c:pt>
                <c:pt idx="22">
                  <c:v>4.413</c:v>
                </c:pt>
                <c:pt idx="23">
                  <c:v>4.117999999999978</c:v>
                </c:pt>
                <c:pt idx="24">
                  <c:v>3.824</c:v>
                </c:pt>
                <c:pt idx="25">
                  <c:v>3.531</c:v>
                </c:pt>
                <c:pt idx="26">
                  <c:v>3.241</c:v>
                </c:pt>
                <c:pt idx="27">
                  <c:v>2.956999999999998</c:v>
                </c:pt>
                <c:pt idx="28">
                  <c:v>2.682</c:v>
                </c:pt>
                <c:pt idx="29">
                  <c:v>2.415999999999999</c:v>
                </c:pt>
                <c:pt idx="30">
                  <c:v>2.164</c:v>
                </c:pt>
                <c:pt idx="31">
                  <c:v>1.925999999999999</c:v>
                </c:pt>
                <c:pt idx="32">
                  <c:v>1.707</c:v>
                </c:pt>
                <c:pt idx="33">
                  <c:v>1.507</c:v>
                </c:pt>
                <c:pt idx="34">
                  <c:v>1.327</c:v>
                </c:pt>
                <c:pt idx="35">
                  <c:v>1.168</c:v>
                </c:pt>
                <c:pt idx="36">
                  <c:v>1.028</c:v>
                </c:pt>
                <c:pt idx="37">
                  <c:v>0.9076</c:v>
                </c:pt>
                <c:pt idx="38">
                  <c:v>0.804</c:v>
                </c:pt>
                <c:pt idx="39">
                  <c:v>0.7152</c:v>
                </c:pt>
                <c:pt idx="40">
                  <c:v>0.6394</c:v>
                </c:pt>
                <c:pt idx="41">
                  <c:v>0.5745</c:v>
                </c:pt>
                <c:pt idx="42">
                  <c:v>0.519</c:v>
                </c:pt>
                <c:pt idx="43">
                  <c:v>0.4714</c:v>
                </c:pt>
                <c:pt idx="44">
                  <c:v>0.4303</c:v>
                </c:pt>
                <c:pt idx="45">
                  <c:v>0.3949</c:v>
                </c:pt>
                <c:pt idx="46">
                  <c:v>0.3642</c:v>
                </c:pt>
                <c:pt idx="47">
                  <c:v>0.3374</c:v>
                </c:pt>
                <c:pt idx="48">
                  <c:v>0.3139</c:v>
                </c:pt>
                <c:pt idx="49">
                  <c:v>0.2931</c:v>
                </c:pt>
                <c:pt idx="50">
                  <c:v>0.2746</c:v>
                </c:pt>
                <c:pt idx="51">
                  <c:v>0.258</c:v>
                </c:pt>
                <c:pt idx="52">
                  <c:v>0.243</c:v>
                </c:pt>
                <c:pt idx="53">
                  <c:v>0.2295</c:v>
                </c:pt>
                <c:pt idx="54">
                  <c:v>0.2172</c:v>
                </c:pt>
                <c:pt idx="55">
                  <c:v>0.2059</c:v>
                </c:pt>
                <c:pt idx="56">
                  <c:v>0.1956</c:v>
                </c:pt>
                <c:pt idx="57">
                  <c:v>0.1861</c:v>
                </c:pt>
                <c:pt idx="58">
                  <c:v>0.1774</c:v>
                </c:pt>
                <c:pt idx="59">
                  <c:v>0.1694</c:v>
                </c:pt>
                <c:pt idx="60">
                  <c:v>0.1619</c:v>
                </c:pt>
                <c:pt idx="61">
                  <c:v>0.1549</c:v>
                </c:pt>
                <c:pt idx="62">
                  <c:v>0.1484</c:v>
                </c:pt>
                <c:pt idx="63">
                  <c:v>0.1421</c:v>
                </c:pt>
                <c:pt idx="64">
                  <c:v>0.1362</c:v>
                </c:pt>
                <c:pt idx="65">
                  <c:v>0.1308</c:v>
                </c:pt>
                <c:pt idx="66">
                  <c:v>0.1256</c:v>
                </c:pt>
                <c:pt idx="67">
                  <c:v>0.1209</c:v>
                </c:pt>
                <c:pt idx="68">
                  <c:v>0.1164</c:v>
                </c:pt>
                <c:pt idx="69">
                  <c:v>0.1121</c:v>
                </c:pt>
                <c:pt idx="70">
                  <c:v>0.1081</c:v>
                </c:pt>
                <c:pt idx="71">
                  <c:v>0.1044</c:v>
                </c:pt>
                <c:pt idx="72">
                  <c:v>0.1008</c:v>
                </c:pt>
                <c:pt idx="73">
                  <c:v>0.09751</c:v>
                </c:pt>
                <c:pt idx="74">
                  <c:v>0.09445</c:v>
                </c:pt>
                <c:pt idx="75">
                  <c:v>0.09157</c:v>
                </c:pt>
                <c:pt idx="76">
                  <c:v>0.08884</c:v>
                </c:pt>
                <c:pt idx="77">
                  <c:v>0.08626</c:v>
                </c:pt>
                <c:pt idx="78">
                  <c:v>0.08381</c:v>
                </c:pt>
                <c:pt idx="79">
                  <c:v>0.0815</c:v>
                </c:pt>
                <c:pt idx="80">
                  <c:v>0.0793</c:v>
                </c:pt>
                <c:pt idx="81">
                  <c:v>0.07717</c:v>
                </c:pt>
                <c:pt idx="82">
                  <c:v>0.07509</c:v>
                </c:pt>
                <c:pt idx="83">
                  <c:v>0.07313</c:v>
                </c:pt>
                <c:pt idx="84">
                  <c:v>0.07126</c:v>
                </c:pt>
                <c:pt idx="85">
                  <c:v>0.06948</c:v>
                </c:pt>
                <c:pt idx="86">
                  <c:v>0.06778</c:v>
                </c:pt>
                <c:pt idx="87">
                  <c:v>0.06612</c:v>
                </c:pt>
                <c:pt idx="88">
                  <c:v>0.06451</c:v>
                </c:pt>
                <c:pt idx="89">
                  <c:v>0.06293</c:v>
                </c:pt>
                <c:pt idx="90">
                  <c:v>0.0614</c:v>
                </c:pt>
                <c:pt idx="91">
                  <c:v>0.05993</c:v>
                </c:pt>
                <c:pt idx="92">
                  <c:v>0.05856</c:v>
                </c:pt>
                <c:pt idx="93">
                  <c:v>0.05725</c:v>
                </c:pt>
                <c:pt idx="94">
                  <c:v>0.05596</c:v>
                </c:pt>
                <c:pt idx="95">
                  <c:v>0.05471</c:v>
                </c:pt>
                <c:pt idx="96">
                  <c:v>0.0535</c:v>
                </c:pt>
                <c:pt idx="97">
                  <c:v>0.05233</c:v>
                </c:pt>
                <c:pt idx="98">
                  <c:v>0.05122</c:v>
                </c:pt>
                <c:pt idx="99">
                  <c:v>0.05017</c:v>
                </c:pt>
                <c:pt idx="100">
                  <c:v>0.04918</c:v>
                </c:pt>
                <c:pt idx="101">
                  <c:v>0.04825</c:v>
                </c:pt>
                <c:pt idx="102">
                  <c:v>0.04735</c:v>
                </c:pt>
                <c:pt idx="103">
                  <c:v>0.04648</c:v>
                </c:pt>
                <c:pt idx="104">
                  <c:v>0.04564</c:v>
                </c:pt>
                <c:pt idx="105">
                  <c:v>0.04484</c:v>
                </c:pt>
                <c:pt idx="106">
                  <c:v>0.04408</c:v>
                </c:pt>
                <c:pt idx="107">
                  <c:v>0.04335</c:v>
                </c:pt>
                <c:pt idx="108">
                  <c:v>0.04265</c:v>
                </c:pt>
                <c:pt idx="109">
                  <c:v>0.04198</c:v>
                </c:pt>
                <c:pt idx="110">
                  <c:v>0.04133</c:v>
                </c:pt>
                <c:pt idx="111">
                  <c:v>0.04069</c:v>
                </c:pt>
                <c:pt idx="112">
                  <c:v>0.04007</c:v>
                </c:pt>
                <c:pt idx="113">
                  <c:v>0.03947</c:v>
                </c:pt>
                <c:pt idx="114">
                  <c:v>0.03888</c:v>
                </c:pt>
                <c:pt idx="115">
                  <c:v>0.03832</c:v>
                </c:pt>
                <c:pt idx="116">
                  <c:v>0.03778</c:v>
                </c:pt>
                <c:pt idx="117">
                  <c:v>0.03725</c:v>
                </c:pt>
                <c:pt idx="118">
                  <c:v>0.03673</c:v>
                </c:pt>
                <c:pt idx="119">
                  <c:v>0.03623</c:v>
                </c:pt>
                <c:pt idx="120">
                  <c:v>0.03573</c:v>
                </c:pt>
                <c:pt idx="121">
                  <c:v>0.03525</c:v>
                </c:pt>
                <c:pt idx="122">
                  <c:v>0.03479</c:v>
                </c:pt>
                <c:pt idx="123">
                  <c:v>0.03433</c:v>
                </c:pt>
                <c:pt idx="124">
                  <c:v>0.03388</c:v>
                </c:pt>
                <c:pt idx="125">
                  <c:v>0.03344</c:v>
                </c:pt>
                <c:pt idx="126">
                  <c:v>0.03302</c:v>
                </c:pt>
                <c:pt idx="127">
                  <c:v>0.03259</c:v>
                </c:pt>
                <c:pt idx="128">
                  <c:v>0.03217</c:v>
                </c:pt>
                <c:pt idx="129">
                  <c:v>0.03177</c:v>
                </c:pt>
                <c:pt idx="130">
                  <c:v>0.03137</c:v>
                </c:pt>
                <c:pt idx="131">
                  <c:v>0.03097</c:v>
                </c:pt>
                <c:pt idx="132">
                  <c:v>0.03058</c:v>
                </c:pt>
                <c:pt idx="133">
                  <c:v>0.0302</c:v>
                </c:pt>
                <c:pt idx="134">
                  <c:v>0.02982</c:v>
                </c:pt>
                <c:pt idx="135">
                  <c:v>0.02945</c:v>
                </c:pt>
                <c:pt idx="136">
                  <c:v>0.02907</c:v>
                </c:pt>
                <c:pt idx="137">
                  <c:v>0.02869</c:v>
                </c:pt>
                <c:pt idx="138">
                  <c:v>0.02833</c:v>
                </c:pt>
                <c:pt idx="139">
                  <c:v>0.02795</c:v>
                </c:pt>
                <c:pt idx="140">
                  <c:v>0.02759</c:v>
                </c:pt>
                <c:pt idx="141">
                  <c:v>0.02722</c:v>
                </c:pt>
                <c:pt idx="142">
                  <c:v>0.02685</c:v>
                </c:pt>
                <c:pt idx="143">
                  <c:v>0.02648</c:v>
                </c:pt>
                <c:pt idx="144">
                  <c:v>0.02612</c:v>
                </c:pt>
                <c:pt idx="145">
                  <c:v>0.02577</c:v>
                </c:pt>
                <c:pt idx="146">
                  <c:v>0.02543</c:v>
                </c:pt>
                <c:pt idx="147">
                  <c:v>0.02509</c:v>
                </c:pt>
                <c:pt idx="148">
                  <c:v>0.02475</c:v>
                </c:pt>
                <c:pt idx="149">
                  <c:v>0.02442</c:v>
                </c:pt>
                <c:pt idx="150">
                  <c:v>0.0241</c:v>
                </c:pt>
                <c:pt idx="151">
                  <c:v>0.02378</c:v>
                </c:pt>
                <c:pt idx="152">
                  <c:v>0.02347</c:v>
                </c:pt>
                <c:pt idx="153">
                  <c:v>0.02317</c:v>
                </c:pt>
                <c:pt idx="154">
                  <c:v>0.02287</c:v>
                </c:pt>
                <c:pt idx="155">
                  <c:v>0.02257</c:v>
                </c:pt>
                <c:pt idx="156">
                  <c:v>0.02227</c:v>
                </c:pt>
                <c:pt idx="157">
                  <c:v>0.02198</c:v>
                </c:pt>
                <c:pt idx="158">
                  <c:v>0.02169</c:v>
                </c:pt>
                <c:pt idx="159">
                  <c:v>0.02141</c:v>
                </c:pt>
                <c:pt idx="160">
                  <c:v>0.02113</c:v>
                </c:pt>
                <c:pt idx="161">
                  <c:v>0.02085</c:v>
                </c:pt>
                <c:pt idx="162">
                  <c:v>0.02058</c:v>
                </c:pt>
                <c:pt idx="163">
                  <c:v>0.02032</c:v>
                </c:pt>
                <c:pt idx="164">
                  <c:v>0.02006</c:v>
                </c:pt>
                <c:pt idx="165">
                  <c:v>0.0198</c:v>
                </c:pt>
                <c:pt idx="166">
                  <c:v>0.01955</c:v>
                </c:pt>
                <c:pt idx="167">
                  <c:v>0.01931</c:v>
                </c:pt>
                <c:pt idx="168">
                  <c:v>0.01907</c:v>
                </c:pt>
                <c:pt idx="169">
                  <c:v>0.01884</c:v>
                </c:pt>
                <c:pt idx="170">
                  <c:v>0.01861</c:v>
                </c:pt>
                <c:pt idx="171">
                  <c:v>0.01838</c:v>
                </c:pt>
                <c:pt idx="172">
                  <c:v>0.01816</c:v>
                </c:pt>
                <c:pt idx="173">
                  <c:v>0.01795</c:v>
                </c:pt>
                <c:pt idx="174">
                  <c:v>0.01774</c:v>
                </c:pt>
                <c:pt idx="175">
                  <c:v>0.01753</c:v>
                </c:pt>
                <c:pt idx="176">
                  <c:v>0.01733</c:v>
                </c:pt>
                <c:pt idx="177">
                  <c:v>0.01713</c:v>
                </c:pt>
                <c:pt idx="178">
                  <c:v>0.01693</c:v>
                </c:pt>
                <c:pt idx="179">
                  <c:v>0.01674</c:v>
                </c:pt>
                <c:pt idx="180">
                  <c:v>0.01655</c:v>
                </c:pt>
                <c:pt idx="181">
                  <c:v>0.01637</c:v>
                </c:pt>
                <c:pt idx="182">
                  <c:v>0.01619</c:v>
                </c:pt>
                <c:pt idx="183">
                  <c:v>0.01601</c:v>
                </c:pt>
                <c:pt idx="184">
                  <c:v>0.01583</c:v>
                </c:pt>
                <c:pt idx="185">
                  <c:v>0.01566</c:v>
                </c:pt>
                <c:pt idx="186">
                  <c:v>0.01548</c:v>
                </c:pt>
                <c:pt idx="187">
                  <c:v>0.01532</c:v>
                </c:pt>
                <c:pt idx="188">
                  <c:v>0.01516</c:v>
                </c:pt>
                <c:pt idx="189">
                  <c:v>0.015</c:v>
                </c:pt>
                <c:pt idx="190">
                  <c:v>0.01485</c:v>
                </c:pt>
                <c:pt idx="191">
                  <c:v>0.01469</c:v>
                </c:pt>
                <c:pt idx="192">
                  <c:v>0.01454</c:v>
                </c:pt>
                <c:pt idx="193">
                  <c:v>0.01439</c:v>
                </c:pt>
                <c:pt idx="194">
                  <c:v>0.01425</c:v>
                </c:pt>
                <c:pt idx="195">
                  <c:v>0.01411</c:v>
                </c:pt>
                <c:pt idx="196">
                  <c:v>0.01398</c:v>
                </c:pt>
                <c:pt idx="197">
                  <c:v>0.01385</c:v>
                </c:pt>
                <c:pt idx="198">
                  <c:v>0.01373</c:v>
                </c:pt>
                <c:pt idx="199">
                  <c:v>0.0136</c:v>
                </c:pt>
                <c:pt idx="200">
                  <c:v>0.01348</c:v>
                </c:pt>
                <c:pt idx="201">
                  <c:v>0.01337</c:v>
                </c:pt>
                <c:pt idx="202">
                  <c:v>0.01327</c:v>
                </c:pt>
                <c:pt idx="203">
                  <c:v>0.01317</c:v>
                </c:pt>
                <c:pt idx="204">
                  <c:v>0.01307</c:v>
                </c:pt>
                <c:pt idx="205">
                  <c:v>0.01298</c:v>
                </c:pt>
                <c:pt idx="206">
                  <c:v>0.01289</c:v>
                </c:pt>
                <c:pt idx="207">
                  <c:v>0.01281</c:v>
                </c:pt>
                <c:pt idx="208">
                  <c:v>0.01272</c:v>
                </c:pt>
                <c:pt idx="209">
                  <c:v>0.01264</c:v>
                </c:pt>
                <c:pt idx="210">
                  <c:v>0.01256</c:v>
                </c:pt>
                <c:pt idx="211">
                  <c:v>0.01248</c:v>
                </c:pt>
                <c:pt idx="212">
                  <c:v>0.0124</c:v>
                </c:pt>
                <c:pt idx="213">
                  <c:v>0.01233</c:v>
                </c:pt>
                <c:pt idx="214">
                  <c:v>0.01225</c:v>
                </c:pt>
                <c:pt idx="215">
                  <c:v>0.01217</c:v>
                </c:pt>
                <c:pt idx="216">
                  <c:v>0.0121</c:v>
                </c:pt>
                <c:pt idx="217">
                  <c:v>0.01202</c:v>
                </c:pt>
                <c:pt idx="218">
                  <c:v>0.01195</c:v>
                </c:pt>
                <c:pt idx="219">
                  <c:v>0.01188</c:v>
                </c:pt>
                <c:pt idx="220">
                  <c:v>0.01181</c:v>
                </c:pt>
                <c:pt idx="221">
                  <c:v>0.01173</c:v>
                </c:pt>
                <c:pt idx="222">
                  <c:v>0.01166</c:v>
                </c:pt>
                <c:pt idx="223">
                  <c:v>0.01159</c:v>
                </c:pt>
                <c:pt idx="224">
                  <c:v>0.01152</c:v>
                </c:pt>
                <c:pt idx="225">
                  <c:v>0.01146</c:v>
                </c:pt>
                <c:pt idx="226">
                  <c:v>0.01139</c:v>
                </c:pt>
                <c:pt idx="227">
                  <c:v>0.01132</c:v>
                </c:pt>
                <c:pt idx="228">
                  <c:v>0.01125</c:v>
                </c:pt>
                <c:pt idx="229">
                  <c:v>0.01119</c:v>
                </c:pt>
                <c:pt idx="230">
                  <c:v>0.01112</c:v>
                </c:pt>
                <c:pt idx="231">
                  <c:v>0.01106</c:v>
                </c:pt>
                <c:pt idx="232">
                  <c:v>0.01099</c:v>
                </c:pt>
                <c:pt idx="233">
                  <c:v>0.01093</c:v>
                </c:pt>
                <c:pt idx="234">
                  <c:v>0.01087</c:v>
                </c:pt>
                <c:pt idx="235">
                  <c:v>0.0108</c:v>
                </c:pt>
                <c:pt idx="236">
                  <c:v>0.01074</c:v>
                </c:pt>
                <c:pt idx="237">
                  <c:v>0.01068</c:v>
                </c:pt>
                <c:pt idx="238">
                  <c:v>0.01062</c:v>
                </c:pt>
                <c:pt idx="239">
                  <c:v>0.01056</c:v>
                </c:pt>
                <c:pt idx="240">
                  <c:v>0.0105</c:v>
                </c:pt>
                <c:pt idx="241">
                  <c:v>0.01044</c:v>
                </c:pt>
                <c:pt idx="242">
                  <c:v>0.01039</c:v>
                </c:pt>
                <c:pt idx="243">
                  <c:v>0.01033</c:v>
                </c:pt>
                <c:pt idx="244">
                  <c:v>0.01027</c:v>
                </c:pt>
                <c:pt idx="245">
                  <c:v>0.01021</c:v>
                </c:pt>
                <c:pt idx="246">
                  <c:v>0.01016</c:v>
                </c:pt>
                <c:pt idx="247">
                  <c:v>0.0101</c:v>
                </c:pt>
                <c:pt idx="248">
                  <c:v>0.01005</c:v>
                </c:pt>
                <c:pt idx="249">
                  <c:v>0.009993</c:v>
                </c:pt>
                <c:pt idx="250">
                  <c:v>0.009939</c:v>
                </c:pt>
                <c:pt idx="251">
                  <c:v>0.009885</c:v>
                </c:pt>
                <c:pt idx="252">
                  <c:v>0.009832</c:v>
                </c:pt>
                <c:pt idx="253">
                  <c:v>0.009779</c:v>
                </c:pt>
                <c:pt idx="254">
                  <c:v>0.009727</c:v>
                </c:pt>
                <c:pt idx="255">
                  <c:v>0.009675</c:v>
                </c:pt>
                <c:pt idx="256">
                  <c:v>0.009622</c:v>
                </c:pt>
                <c:pt idx="257">
                  <c:v>0.00957</c:v>
                </c:pt>
                <c:pt idx="258">
                  <c:v>0.009518</c:v>
                </c:pt>
                <c:pt idx="259">
                  <c:v>0.009467</c:v>
                </c:pt>
                <c:pt idx="260">
                  <c:v>0.009416</c:v>
                </c:pt>
                <c:pt idx="261">
                  <c:v>0.009363</c:v>
                </c:pt>
                <c:pt idx="262">
                  <c:v>0.009311</c:v>
                </c:pt>
                <c:pt idx="263">
                  <c:v>0.009259</c:v>
                </c:pt>
                <c:pt idx="264">
                  <c:v>0.009206</c:v>
                </c:pt>
                <c:pt idx="265">
                  <c:v>0.009155</c:v>
                </c:pt>
                <c:pt idx="266">
                  <c:v>0.009104</c:v>
                </c:pt>
                <c:pt idx="267">
                  <c:v>0.009054</c:v>
                </c:pt>
                <c:pt idx="268">
                  <c:v>0.009004</c:v>
                </c:pt>
                <c:pt idx="269">
                  <c:v>0.008953</c:v>
                </c:pt>
                <c:pt idx="270">
                  <c:v>0.008902</c:v>
                </c:pt>
                <c:pt idx="271">
                  <c:v>0.008851</c:v>
                </c:pt>
                <c:pt idx="272">
                  <c:v>0.008801</c:v>
                </c:pt>
                <c:pt idx="273">
                  <c:v>0.00875</c:v>
                </c:pt>
                <c:pt idx="274">
                  <c:v>0.0087</c:v>
                </c:pt>
                <c:pt idx="275">
                  <c:v>0.008649</c:v>
                </c:pt>
                <c:pt idx="276">
                  <c:v>0.008597</c:v>
                </c:pt>
                <c:pt idx="277">
                  <c:v>0.008546</c:v>
                </c:pt>
                <c:pt idx="278">
                  <c:v>0.008494</c:v>
                </c:pt>
                <c:pt idx="279">
                  <c:v>0.008442</c:v>
                </c:pt>
                <c:pt idx="280">
                  <c:v>0.008391</c:v>
                </c:pt>
                <c:pt idx="281">
                  <c:v>0.008341</c:v>
                </c:pt>
                <c:pt idx="282">
                  <c:v>0.00829</c:v>
                </c:pt>
                <c:pt idx="283">
                  <c:v>0.008241</c:v>
                </c:pt>
                <c:pt idx="284">
                  <c:v>0.008192</c:v>
                </c:pt>
                <c:pt idx="285">
                  <c:v>0.008143</c:v>
                </c:pt>
                <c:pt idx="286">
                  <c:v>0.008094</c:v>
                </c:pt>
                <c:pt idx="287">
                  <c:v>0.008046</c:v>
                </c:pt>
                <c:pt idx="288">
                  <c:v>0.007999</c:v>
                </c:pt>
                <c:pt idx="289">
                  <c:v>0.007952</c:v>
                </c:pt>
                <c:pt idx="290">
                  <c:v>0.007905</c:v>
                </c:pt>
                <c:pt idx="291">
                  <c:v>0.007859</c:v>
                </c:pt>
                <c:pt idx="292">
                  <c:v>0.007813</c:v>
                </c:pt>
                <c:pt idx="293">
                  <c:v>0.007767</c:v>
                </c:pt>
                <c:pt idx="294">
                  <c:v>0.007722</c:v>
                </c:pt>
                <c:pt idx="295">
                  <c:v>0.007678</c:v>
                </c:pt>
                <c:pt idx="296">
                  <c:v>0.007633</c:v>
                </c:pt>
                <c:pt idx="297">
                  <c:v>0.00759</c:v>
                </c:pt>
                <c:pt idx="298">
                  <c:v>0.007546</c:v>
                </c:pt>
                <c:pt idx="299">
                  <c:v>0.007503</c:v>
                </c:pt>
                <c:pt idx="300">
                  <c:v>0.007461</c:v>
                </c:pt>
                <c:pt idx="301">
                  <c:v>0.007418</c:v>
                </c:pt>
                <c:pt idx="302">
                  <c:v>0.007377</c:v>
                </c:pt>
                <c:pt idx="303">
                  <c:v>0.007335</c:v>
                </c:pt>
                <c:pt idx="304">
                  <c:v>0.007294</c:v>
                </c:pt>
                <c:pt idx="305">
                  <c:v>0.007254</c:v>
                </c:pt>
                <c:pt idx="306">
                  <c:v>0.007213</c:v>
                </c:pt>
                <c:pt idx="307">
                  <c:v>0.007173</c:v>
                </c:pt>
                <c:pt idx="308">
                  <c:v>0.007134</c:v>
                </c:pt>
                <c:pt idx="309">
                  <c:v>0.007094</c:v>
                </c:pt>
                <c:pt idx="310">
                  <c:v>0.007056</c:v>
                </c:pt>
                <c:pt idx="311">
                  <c:v>0.007017</c:v>
                </c:pt>
                <c:pt idx="312">
                  <c:v>0.006979</c:v>
                </c:pt>
                <c:pt idx="313">
                  <c:v>0.006941</c:v>
                </c:pt>
                <c:pt idx="314">
                  <c:v>0.006904</c:v>
                </c:pt>
                <c:pt idx="315">
                  <c:v>0.006867</c:v>
                </c:pt>
                <c:pt idx="316">
                  <c:v>0.00683</c:v>
                </c:pt>
                <c:pt idx="317">
                  <c:v>0.006793</c:v>
                </c:pt>
                <c:pt idx="318">
                  <c:v>0.006756</c:v>
                </c:pt>
                <c:pt idx="319">
                  <c:v>0.00672</c:v>
                </c:pt>
                <c:pt idx="320">
                  <c:v>0.006684</c:v>
                </c:pt>
                <c:pt idx="321">
                  <c:v>0.006648</c:v>
                </c:pt>
                <c:pt idx="322">
                  <c:v>0.006613</c:v>
                </c:pt>
                <c:pt idx="323">
                  <c:v>0.006577</c:v>
                </c:pt>
                <c:pt idx="324">
                  <c:v>0.006541</c:v>
                </c:pt>
                <c:pt idx="325">
                  <c:v>0.006506</c:v>
                </c:pt>
                <c:pt idx="326">
                  <c:v>0.00647</c:v>
                </c:pt>
              </c:numCache>
            </c:numRef>
          </c:xVal>
          <c:yVal>
            <c:numRef>
              <c:f>'28DB1- in1'!$X$5:$X$331</c:f>
              <c:numCache>
                <c:formatCode>General</c:formatCode>
                <c:ptCount val="327"/>
                <c:pt idx="0">
                  <c:v>0.0</c:v>
                </c:pt>
                <c:pt idx="1">
                  <c:v>0.0</c:v>
                </c:pt>
                <c:pt idx="2">
                  <c:v>0.000125</c:v>
                </c:pt>
                <c:pt idx="3">
                  <c:v>0.00025</c:v>
                </c:pt>
                <c:pt idx="4">
                  <c:v>0.000375</c:v>
                </c:pt>
                <c:pt idx="5">
                  <c:v>0.000375</c:v>
                </c:pt>
                <c:pt idx="6">
                  <c:v>0.000375</c:v>
                </c:pt>
                <c:pt idx="7">
                  <c:v>0.0005</c:v>
                </c:pt>
                <c:pt idx="8">
                  <c:v>0.0005</c:v>
                </c:pt>
                <c:pt idx="9">
                  <c:v>0.000625</c:v>
                </c:pt>
                <c:pt idx="10">
                  <c:v>0.000625</c:v>
                </c:pt>
                <c:pt idx="11">
                  <c:v>0.000625</c:v>
                </c:pt>
                <c:pt idx="12">
                  <c:v>0.000625</c:v>
                </c:pt>
                <c:pt idx="13">
                  <c:v>0.000625</c:v>
                </c:pt>
                <c:pt idx="14">
                  <c:v>0.000625</c:v>
                </c:pt>
                <c:pt idx="15">
                  <c:v>0.000625</c:v>
                </c:pt>
                <c:pt idx="16">
                  <c:v>0.000625</c:v>
                </c:pt>
                <c:pt idx="17">
                  <c:v>0.000625</c:v>
                </c:pt>
                <c:pt idx="18">
                  <c:v>0.000625</c:v>
                </c:pt>
                <c:pt idx="19">
                  <c:v>0.000625</c:v>
                </c:pt>
                <c:pt idx="20">
                  <c:v>0.000625</c:v>
                </c:pt>
                <c:pt idx="21">
                  <c:v>0.000625</c:v>
                </c:pt>
                <c:pt idx="22">
                  <c:v>0.000625</c:v>
                </c:pt>
                <c:pt idx="23">
                  <c:v>0.000625</c:v>
                </c:pt>
                <c:pt idx="24">
                  <c:v>0.000625</c:v>
                </c:pt>
                <c:pt idx="25">
                  <c:v>0.000625</c:v>
                </c:pt>
                <c:pt idx="26">
                  <c:v>0.000625</c:v>
                </c:pt>
                <c:pt idx="27">
                  <c:v>0.000625</c:v>
                </c:pt>
                <c:pt idx="28">
                  <c:v>0.000625</c:v>
                </c:pt>
                <c:pt idx="29">
                  <c:v>0.000625</c:v>
                </c:pt>
                <c:pt idx="30">
                  <c:v>0.000625</c:v>
                </c:pt>
                <c:pt idx="31">
                  <c:v>0.000625</c:v>
                </c:pt>
                <c:pt idx="32">
                  <c:v>0.000625</c:v>
                </c:pt>
                <c:pt idx="33">
                  <c:v>0.000625</c:v>
                </c:pt>
                <c:pt idx="34">
                  <c:v>0.000625</c:v>
                </c:pt>
                <c:pt idx="35">
                  <c:v>0.000625</c:v>
                </c:pt>
                <c:pt idx="36">
                  <c:v>0.000625</c:v>
                </c:pt>
                <c:pt idx="37">
                  <c:v>0.000625</c:v>
                </c:pt>
                <c:pt idx="38">
                  <c:v>0.000625</c:v>
                </c:pt>
                <c:pt idx="39">
                  <c:v>0.000625</c:v>
                </c:pt>
                <c:pt idx="40">
                  <c:v>0.000625</c:v>
                </c:pt>
                <c:pt idx="41">
                  <c:v>0.000625</c:v>
                </c:pt>
                <c:pt idx="42">
                  <c:v>0.000625</c:v>
                </c:pt>
                <c:pt idx="43">
                  <c:v>0.000625</c:v>
                </c:pt>
                <c:pt idx="44">
                  <c:v>0.000625</c:v>
                </c:pt>
                <c:pt idx="45">
                  <c:v>0.000625</c:v>
                </c:pt>
                <c:pt idx="46">
                  <c:v>0.000625</c:v>
                </c:pt>
                <c:pt idx="47">
                  <c:v>0.000625</c:v>
                </c:pt>
                <c:pt idx="48">
                  <c:v>0.000625</c:v>
                </c:pt>
                <c:pt idx="49">
                  <c:v>0.000625</c:v>
                </c:pt>
                <c:pt idx="50">
                  <c:v>0.000625</c:v>
                </c:pt>
                <c:pt idx="51">
                  <c:v>0.000625</c:v>
                </c:pt>
                <c:pt idx="52">
                  <c:v>0.000625</c:v>
                </c:pt>
                <c:pt idx="53">
                  <c:v>0.000625</c:v>
                </c:pt>
                <c:pt idx="54">
                  <c:v>0.000625</c:v>
                </c:pt>
                <c:pt idx="55">
                  <c:v>0.000625</c:v>
                </c:pt>
                <c:pt idx="56">
                  <c:v>0.000625</c:v>
                </c:pt>
                <c:pt idx="57">
                  <c:v>0.000625</c:v>
                </c:pt>
                <c:pt idx="58">
                  <c:v>0.000625</c:v>
                </c:pt>
                <c:pt idx="59">
                  <c:v>0.000625</c:v>
                </c:pt>
                <c:pt idx="60">
                  <c:v>0.000625</c:v>
                </c:pt>
                <c:pt idx="61">
                  <c:v>0.000625</c:v>
                </c:pt>
                <c:pt idx="62">
                  <c:v>0.000625</c:v>
                </c:pt>
                <c:pt idx="63">
                  <c:v>0.000625</c:v>
                </c:pt>
                <c:pt idx="64">
                  <c:v>0.00075</c:v>
                </c:pt>
                <c:pt idx="65">
                  <c:v>0.000875</c:v>
                </c:pt>
                <c:pt idx="66">
                  <c:v>0.001</c:v>
                </c:pt>
                <c:pt idx="67">
                  <c:v>0.00125</c:v>
                </c:pt>
                <c:pt idx="68">
                  <c:v>0.0015</c:v>
                </c:pt>
                <c:pt idx="69">
                  <c:v>0.00175</c:v>
                </c:pt>
                <c:pt idx="70">
                  <c:v>0.002</c:v>
                </c:pt>
                <c:pt idx="71">
                  <c:v>0.002375</c:v>
                </c:pt>
                <c:pt idx="72">
                  <c:v>0.00275</c:v>
                </c:pt>
                <c:pt idx="73">
                  <c:v>0.00325</c:v>
                </c:pt>
                <c:pt idx="74">
                  <c:v>0.003625</c:v>
                </c:pt>
                <c:pt idx="75">
                  <c:v>0.004</c:v>
                </c:pt>
                <c:pt idx="76">
                  <c:v>0.00425</c:v>
                </c:pt>
                <c:pt idx="77">
                  <c:v>0.0045</c:v>
                </c:pt>
                <c:pt idx="78">
                  <c:v>0.004875</c:v>
                </c:pt>
                <c:pt idx="79">
                  <c:v>0.00525</c:v>
                </c:pt>
                <c:pt idx="80">
                  <c:v>0.005625</c:v>
                </c:pt>
                <c:pt idx="81">
                  <c:v>0.006125</c:v>
                </c:pt>
                <c:pt idx="82">
                  <c:v>0.0065</c:v>
                </c:pt>
                <c:pt idx="83">
                  <c:v>0.00675</c:v>
                </c:pt>
                <c:pt idx="84">
                  <c:v>0.00725</c:v>
                </c:pt>
                <c:pt idx="85">
                  <c:v>0.007625</c:v>
                </c:pt>
                <c:pt idx="86">
                  <c:v>0.008125</c:v>
                </c:pt>
                <c:pt idx="87">
                  <c:v>0.008625</c:v>
                </c:pt>
                <c:pt idx="88">
                  <c:v>0.009125</c:v>
                </c:pt>
                <c:pt idx="89">
                  <c:v>0.009625</c:v>
                </c:pt>
                <c:pt idx="90">
                  <c:v>0.01</c:v>
                </c:pt>
                <c:pt idx="91">
                  <c:v>0.0105</c:v>
                </c:pt>
                <c:pt idx="92">
                  <c:v>0.011</c:v>
                </c:pt>
                <c:pt idx="93">
                  <c:v>0.011625</c:v>
                </c:pt>
                <c:pt idx="94">
                  <c:v>0.012125</c:v>
                </c:pt>
                <c:pt idx="95">
                  <c:v>0.012625</c:v>
                </c:pt>
                <c:pt idx="96">
                  <c:v>0.01325</c:v>
                </c:pt>
                <c:pt idx="97">
                  <c:v>0.013625</c:v>
                </c:pt>
                <c:pt idx="98">
                  <c:v>0.01425</c:v>
                </c:pt>
                <c:pt idx="99">
                  <c:v>0.014875</c:v>
                </c:pt>
                <c:pt idx="100">
                  <c:v>0.015375</c:v>
                </c:pt>
                <c:pt idx="101">
                  <c:v>0.015875</c:v>
                </c:pt>
                <c:pt idx="102">
                  <c:v>0.016375</c:v>
                </c:pt>
                <c:pt idx="103">
                  <c:v>0.01675</c:v>
                </c:pt>
                <c:pt idx="104">
                  <c:v>0.01725</c:v>
                </c:pt>
                <c:pt idx="105">
                  <c:v>0.01775</c:v>
                </c:pt>
                <c:pt idx="106">
                  <c:v>0.018375</c:v>
                </c:pt>
                <c:pt idx="107">
                  <c:v>0.019</c:v>
                </c:pt>
                <c:pt idx="108">
                  <c:v>0.019625</c:v>
                </c:pt>
                <c:pt idx="109">
                  <c:v>0.02025</c:v>
                </c:pt>
                <c:pt idx="110">
                  <c:v>0.020875</c:v>
                </c:pt>
                <c:pt idx="111">
                  <c:v>0.021625</c:v>
                </c:pt>
                <c:pt idx="112">
                  <c:v>0.022375</c:v>
                </c:pt>
                <c:pt idx="113">
                  <c:v>0.023125</c:v>
                </c:pt>
                <c:pt idx="114">
                  <c:v>0.024</c:v>
                </c:pt>
                <c:pt idx="115">
                  <c:v>0.02475</c:v>
                </c:pt>
                <c:pt idx="116">
                  <c:v>0.0255</c:v>
                </c:pt>
                <c:pt idx="117">
                  <c:v>0.02625</c:v>
                </c:pt>
                <c:pt idx="118">
                  <c:v>0.027</c:v>
                </c:pt>
                <c:pt idx="119">
                  <c:v>0.027625</c:v>
                </c:pt>
                <c:pt idx="120">
                  <c:v>0.028375</c:v>
                </c:pt>
                <c:pt idx="121">
                  <c:v>0.02925</c:v>
                </c:pt>
                <c:pt idx="122">
                  <c:v>0.03</c:v>
                </c:pt>
                <c:pt idx="123">
                  <c:v>0.030625</c:v>
                </c:pt>
                <c:pt idx="124">
                  <c:v>0.03125</c:v>
                </c:pt>
                <c:pt idx="125">
                  <c:v>0.03175</c:v>
                </c:pt>
                <c:pt idx="126">
                  <c:v>0.03225</c:v>
                </c:pt>
                <c:pt idx="127">
                  <c:v>0.032875</c:v>
                </c:pt>
                <c:pt idx="128">
                  <c:v>0.03325</c:v>
                </c:pt>
                <c:pt idx="129">
                  <c:v>0.033875</c:v>
                </c:pt>
                <c:pt idx="130">
                  <c:v>0.0345</c:v>
                </c:pt>
                <c:pt idx="131">
                  <c:v>0.034875</c:v>
                </c:pt>
                <c:pt idx="132">
                  <c:v>0.035375</c:v>
                </c:pt>
                <c:pt idx="133">
                  <c:v>0.035875</c:v>
                </c:pt>
                <c:pt idx="134">
                  <c:v>0.036375</c:v>
                </c:pt>
                <c:pt idx="135">
                  <c:v>0.036875</c:v>
                </c:pt>
                <c:pt idx="136">
                  <c:v>0.037375</c:v>
                </c:pt>
                <c:pt idx="137">
                  <c:v>0.037875</c:v>
                </c:pt>
                <c:pt idx="138">
                  <c:v>0.0385</c:v>
                </c:pt>
                <c:pt idx="139">
                  <c:v>0.03925</c:v>
                </c:pt>
                <c:pt idx="140">
                  <c:v>0.039875</c:v>
                </c:pt>
                <c:pt idx="141">
                  <c:v>0.040625</c:v>
                </c:pt>
                <c:pt idx="142">
                  <c:v>0.0415</c:v>
                </c:pt>
                <c:pt idx="143">
                  <c:v>0.04225</c:v>
                </c:pt>
                <c:pt idx="144">
                  <c:v>0.043125</c:v>
                </c:pt>
                <c:pt idx="145">
                  <c:v>0.044</c:v>
                </c:pt>
                <c:pt idx="146">
                  <c:v>0.044875</c:v>
                </c:pt>
                <c:pt idx="147">
                  <c:v>0.045875</c:v>
                </c:pt>
                <c:pt idx="148">
                  <c:v>0.046875</c:v>
                </c:pt>
                <c:pt idx="149">
                  <c:v>0.04775</c:v>
                </c:pt>
                <c:pt idx="150">
                  <c:v>0.048875</c:v>
                </c:pt>
                <c:pt idx="151">
                  <c:v>0.04975</c:v>
                </c:pt>
                <c:pt idx="152">
                  <c:v>0.050875</c:v>
                </c:pt>
                <c:pt idx="153">
                  <c:v>0.05175</c:v>
                </c:pt>
                <c:pt idx="154">
                  <c:v>0.05275</c:v>
                </c:pt>
                <c:pt idx="155">
                  <c:v>0.053625</c:v>
                </c:pt>
                <c:pt idx="156">
                  <c:v>0.05475</c:v>
                </c:pt>
                <c:pt idx="157">
                  <c:v>0.05575</c:v>
                </c:pt>
                <c:pt idx="158">
                  <c:v>0.05675</c:v>
                </c:pt>
                <c:pt idx="159">
                  <c:v>0.057875</c:v>
                </c:pt>
                <c:pt idx="160">
                  <c:v>0.059</c:v>
                </c:pt>
                <c:pt idx="161">
                  <c:v>0.060125</c:v>
                </c:pt>
                <c:pt idx="162">
                  <c:v>0.061125</c:v>
                </c:pt>
                <c:pt idx="163">
                  <c:v>0.062125</c:v>
                </c:pt>
                <c:pt idx="164">
                  <c:v>0.06325</c:v>
                </c:pt>
                <c:pt idx="165">
                  <c:v>0.06425</c:v>
                </c:pt>
                <c:pt idx="166">
                  <c:v>0.06525</c:v>
                </c:pt>
                <c:pt idx="167">
                  <c:v>0.066125</c:v>
                </c:pt>
                <c:pt idx="168">
                  <c:v>0.067</c:v>
                </c:pt>
                <c:pt idx="169">
                  <c:v>0.067875</c:v>
                </c:pt>
                <c:pt idx="170">
                  <c:v>0.068625</c:v>
                </c:pt>
                <c:pt idx="171">
                  <c:v>0.06925</c:v>
                </c:pt>
                <c:pt idx="172">
                  <c:v>0.069875</c:v>
                </c:pt>
                <c:pt idx="173">
                  <c:v>0.070375</c:v>
                </c:pt>
                <c:pt idx="174">
                  <c:v>0.070875</c:v>
                </c:pt>
                <c:pt idx="175">
                  <c:v>0.071375</c:v>
                </c:pt>
                <c:pt idx="176">
                  <c:v>0.071875</c:v>
                </c:pt>
                <c:pt idx="177">
                  <c:v>0.0725</c:v>
                </c:pt>
                <c:pt idx="178">
                  <c:v>0.072875</c:v>
                </c:pt>
                <c:pt idx="179">
                  <c:v>0.073375</c:v>
                </c:pt>
                <c:pt idx="180">
                  <c:v>0.07375</c:v>
                </c:pt>
                <c:pt idx="181">
                  <c:v>0.074125</c:v>
                </c:pt>
                <c:pt idx="182">
                  <c:v>0.074375</c:v>
                </c:pt>
                <c:pt idx="183">
                  <c:v>0.07475</c:v>
                </c:pt>
                <c:pt idx="184">
                  <c:v>0.075</c:v>
                </c:pt>
                <c:pt idx="185">
                  <c:v>0.07525</c:v>
                </c:pt>
                <c:pt idx="186">
                  <c:v>0.0755</c:v>
                </c:pt>
                <c:pt idx="187">
                  <c:v>0.07575</c:v>
                </c:pt>
                <c:pt idx="188">
                  <c:v>0.07575</c:v>
                </c:pt>
                <c:pt idx="189">
                  <c:v>0.076</c:v>
                </c:pt>
                <c:pt idx="190">
                  <c:v>0.076125</c:v>
                </c:pt>
                <c:pt idx="191">
                  <c:v>0.0765</c:v>
                </c:pt>
                <c:pt idx="192">
                  <c:v>0.077</c:v>
                </c:pt>
                <c:pt idx="193">
                  <c:v>0.0775</c:v>
                </c:pt>
                <c:pt idx="194">
                  <c:v>0.078125</c:v>
                </c:pt>
                <c:pt idx="195">
                  <c:v>0.078875</c:v>
                </c:pt>
                <c:pt idx="196">
                  <c:v>0.079625</c:v>
                </c:pt>
                <c:pt idx="197">
                  <c:v>0.0805</c:v>
                </c:pt>
                <c:pt idx="198">
                  <c:v>0.08125</c:v>
                </c:pt>
                <c:pt idx="199">
                  <c:v>0.08225</c:v>
                </c:pt>
                <c:pt idx="200">
                  <c:v>0.083125</c:v>
                </c:pt>
                <c:pt idx="201">
                  <c:v>0.084</c:v>
                </c:pt>
                <c:pt idx="202">
                  <c:v>0.084875</c:v>
                </c:pt>
                <c:pt idx="203">
                  <c:v>0.08575</c:v>
                </c:pt>
                <c:pt idx="204">
                  <c:v>0.086625</c:v>
                </c:pt>
                <c:pt idx="205">
                  <c:v>0.0875</c:v>
                </c:pt>
                <c:pt idx="206">
                  <c:v>0.08825</c:v>
                </c:pt>
                <c:pt idx="207">
                  <c:v>0.089</c:v>
                </c:pt>
                <c:pt idx="208">
                  <c:v>0.08975</c:v>
                </c:pt>
                <c:pt idx="209">
                  <c:v>0.090375</c:v>
                </c:pt>
                <c:pt idx="210">
                  <c:v>0.091125</c:v>
                </c:pt>
                <c:pt idx="211">
                  <c:v>0.09175</c:v>
                </c:pt>
                <c:pt idx="212">
                  <c:v>0.0925</c:v>
                </c:pt>
                <c:pt idx="213">
                  <c:v>0.092875</c:v>
                </c:pt>
                <c:pt idx="214">
                  <c:v>0.09325</c:v>
                </c:pt>
                <c:pt idx="215">
                  <c:v>0.093625</c:v>
                </c:pt>
                <c:pt idx="216">
                  <c:v>0.094</c:v>
                </c:pt>
                <c:pt idx="217">
                  <c:v>0.09425</c:v>
                </c:pt>
                <c:pt idx="218">
                  <c:v>0.094625</c:v>
                </c:pt>
                <c:pt idx="219">
                  <c:v>0.095</c:v>
                </c:pt>
                <c:pt idx="220">
                  <c:v>0.095375</c:v>
                </c:pt>
                <c:pt idx="221">
                  <c:v>0.09575</c:v>
                </c:pt>
                <c:pt idx="222">
                  <c:v>0.096125</c:v>
                </c:pt>
                <c:pt idx="223">
                  <c:v>0.096375</c:v>
                </c:pt>
                <c:pt idx="224">
                  <c:v>0.096875</c:v>
                </c:pt>
                <c:pt idx="225">
                  <c:v>0.097375</c:v>
                </c:pt>
                <c:pt idx="226">
                  <c:v>0.098</c:v>
                </c:pt>
                <c:pt idx="227">
                  <c:v>0.09875</c:v>
                </c:pt>
                <c:pt idx="228">
                  <c:v>0.099375</c:v>
                </c:pt>
                <c:pt idx="229">
                  <c:v>0.100125</c:v>
                </c:pt>
                <c:pt idx="230">
                  <c:v>0.100625</c:v>
                </c:pt>
                <c:pt idx="231">
                  <c:v>0.10125</c:v>
                </c:pt>
                <c:pt idx="232">
                  <c:v>0.10175</c:v>
                </c:pt>
                <c:pt idx="233">
                  <c:v>0.10225</c:v>
                </c:pt>
                <c:pt idx="234">
                  <c:v>0.10275</c:v>
                </c:pt>
                <c:pt idx="235">
                  <c:v>0.103125</c:v>
                </c:pt>
                <c:pt idx="236">
                  <c:v>0.1035</c:v>
                </c:pt>
                <c:pt idx="237">
                  <c:v>0.10375</c:v>
                </c:pt>
                <c:pt idx="238">
                  <c:v>0.103875</c:v>
                </c:pt>
                <c:pt idx="239">
                  <c:v>0.104</c:v>
                </c:pt>
                <c:pt idx="240">
                  <c:v>0.104125</c:v>
                </c:pt>
                <c:pt idx="241">
                  <c:v>0.10475</c:v>
                </c:pt>
                <c:pt idx="242">
                  <c:v>0.105375</c:v>
                </c:pt>
                <c:pt idx="243">
                  <c:v>0.105875</c:v>
                </c:pt>
                <c:pt idx="244">
                  <c:v>0.1065</c:v>
                </c:pt>
                <c:pt idx="245">
                  <c:v>0.10725</c:v>
                </c:pt>
                <c:pt idx="246">
                  <c:v>0.107875</c:v>
                </c:pt>
                <c:pt idx="247">
                  <c:v>0.1085</c:v>
                </c:pt>
                <c:pt idx="248">
                  <c:v>0.10925</c:v>
                </c:pt>
                <c:pt idx="249">
                  <c:v>0.11</c:v>
                </c:pt>
                <c:pt idx="250">
                  <c:v>0.11075</c:v>
                </c:pt>
                <c:pt idx="251">
                  <c:v>0.1115</c:v>
                </c:pt>
                <c:pt idx="252">
                  <c:v>0.11175</c:v>
                </c:pt>
                <c:pt idx="253">
                  <c:v>0.112125</c:v>
                </c:pt>
                <c:pt idx="254">
                  <c:v>0.112375</c:v>
                </c:pt>
                <c:pt idx="255">
                  <c:v>0.11275</c:v>
                </c:pt>
                <c:pt idx="256">
                  <c:v>0.113125</c:v>
                </c:pt>
                <c:pt idx="257">
                  <c:v>0.113375</c:v>
                </c:pt>
                <c:pt idx="258">
                  <c:v>0.113625</c:v>
                </c:pt>
                <c:pt idx="259">
                  <c:v>0.11375</c:v>
                </c:pt>
                <c:pt idx="260">
                  <c:v>0.114</c:v>
                </c:pt>
                <c:pt idx="261">
                  <c:v>0.114125</c:v>
                </c:pt>
                <c:pt idx="262">
                  <c:v>0.11425</c:v>
                </c:pt>
                <c:pt idx="263">
                  <c:v>0.1145</c:v>
                </c:pt>
                <c:pt idx="264">
                  <c:v>0.114625</c:v>
                </c:pt>
                <c:pt idx="265">
                  <c:v>0.11475</c:v>
                </c:pt>
                <c:pt idx="266">
                  <c:v>0.11475</c:v>
                </c:pt>
                <c:pt idx="267">
                  <c:v>0.115</c:v>
                </c:pt>
                <c:pt idx="268">
                  <c:v>0.11525</c:v>
                </c:pt>
                <c:pt idx="269">
                  <c:v>0.1155</c:v>
                </c:pt>
                <c:pt idx="270">
                  <c:v>0.115875</c:v>
                </c:pt>
                <c:pt idx="271">
                  <c:v>0.11625</c:v>
                </c:pt>
                <c:pt idx="272">
                  <c:v>0.11675</c:v>
                </c:pt>
                <c:pt idx="273">
                  <c:v>0.117375</c:v>
                </c:pt>
                <c:pt idx="274">
                  <c:v>0.118</c:v>
                </c:pt>
                <c:pt idx="275">
                  <c:v>0.118625</c:v>
                </c:pt>
                <c:pt idx="276">
                  <c:v>0.119375</c:v>
                </c:pt>
                <c:pt idx="277">
                  <c:v>0.120125</c:v>
                </c:pt>
                <c:pt idx="278">
                  <c:v>0.12075</c:v>
                </c:pt>
                <c:pt idx="279">
                  <c:v>0.12125</c:v>
                </c:pt>
                <c:pt idx="280">
                  <c:v>0.12175</c:v>
                </c:pt>
                <c:pt idx="281">
                  <c:v>0.122125</c:v>
                </c:pt>
                <c:pt idx="282">
                  <c:v>0.122625</c:v>
                </c:pt>
                <c:pt idx="283">
                  <c:v>0.123125</c:v>
                </c:pt>
                <c:pt idx="284">
                  <c:v>0.1235</c:v>
                </c:pt>
                <c:pt idx="285">
                  <c:v>0.123875</c:v>
                </c:pt>
                <c:pt idx="286">
                  <c:v>0.12425</c:v>
                </c:pt>
                <c:pt idx="287">
                  <c:v>0.124625</c:v>
                </c:pt>
                <c:pt idx="288">
                  <c:v>0.125</c:v>
                </c:pt>
                <c:pt idx="289">
                  <c:v>0.1255</c:v>
                </c:pt>
                <c:pt idx="290">
                  <c:v>0.126</c:v>
                </c:pt>
                <c:pt idx="291">
                  <c:v>0.1265</c:v>
                </c:pt>
                <c:pt idx="292">
                  <c:v>0.12725</c:v>
                </c:pt>
                <c:pt idx="293">
                  <c:v>0.12775</c:v>
                </c:pt>
                <c:pt idx="294">
                  <c:v>0.12825</c:v>
                </c:pt>
                <c:pt idx="295">
                  <c:v>0.12875</c:v>
                </c:pt>
                <c:pt idx="296">
                  <c:v>0.12925</c:v>
                </c:pt>
                <c:pt idx="297">
                  <c:v>0.129625</c:v>
                </c:pt>
                <c:pt idx="298">
                  <c:v>0.13</c:v>
                </c:pt>
                <c:pt idx="299">
                  <c:v>0.130375</c:v>
                </c:pt>
                <c:pt idx="300">
                  <c:v>0.130875</c:v>
                </c:pt>
                <c:pt idx="301">
                  <c:v>0.131125</c:v>
                </c:pt>
                <c:pt idx="302">
                  <c:v>0.1315</c:v>
                </c:pt>
                <c:pt idx="303">
                  <c:v>0.13175</c:v>
                </c:pt>
                <c:pt idx="304">
                  <c:v>0.132</c:v>
                </c:pt>
                <c:pt idx="305">
                  <c:v>0.13225</c:v>
                </c:pt>
                <c:pt idx="306">
                  <c:v>0.1325</c:v>
                </c:pt>
                <c:pt idx="307">
                  <c:v>0.132625</c:v>
                </c:pt>
                <c:pt idx="308">
                  <c:v>0.132875</c:v>
                </c:pt>
                <c:pt idx="309">
                  <c:v>0.133125</c:v>
                </c:pt>
                <c:pt idx="310">
                  <c:v>0.133375</c:v>
                </c:pt>
                <c:pt idx="311">
                  <c:v>0.133375</c:v>
                </c:pt>
                <c:pt idx="312">
                  <c:v>0.1335</c:v>
                </c:pt>
                <c:pt idx="313">
                  <c:v>0.133625</c:v>
                </c:pt>
                <c:pt idx="314">
                  <c:v>0.13375</c:v>
                </c:pt>
                <c:pt idx="315">
                  <c:v>0.13375</c:v>
                </c:pt>
                <c:pt idx="316">
                  <c:v>0.13375</c:v>
                </c:pt>
                <c:pt idx="317">
                  <c:v>0.13375</c:v>
                </c:pt>
                <c:pt idx="318">
                  <c:v>0.13375</c:v>
                </c:pt>
                <c:pt idx="319">
                  <c:v>0.13375</c:v>
                </c:pt>
                <c:pt idx="320">
                  <c:v>0.13375</c:v>
                </c:pt>
                <c:pt idx="321">
                  <c:v>0.13375</c:v>
                </c:pt>
                <c:pt idx="322">
                  <c:v>0.13375</c:v>
                </c:pt>
                <c:pt idx="323">
                  <c:v>0.133875</c:v>
                </c:pt>
                <c:pt idx="324">
                  <c:v>0.134</c:v>
                </c:pt>
                <c:pt idx="325">
                  <c:v>0.134125</c:v>
                </c:pt>
                <c:pt idx="326">
                  <c:v>0.13425</c:v>
                </c:pt>
              </c:numCache>
            </c:numRef>
          </c:yVal>
          <c:smooth val="0"/>
        </c:ser>
        <c:ser>
          <c:idx val="1"/>
          <c:order val="0"/>
          <c:tx>
            <c:v>28DCS2</c:v>
          </c:tx>
          <c:spPr>
            <a:ln w="28575" cmpd="sng">
              <a:solidFill>
                <a:srgbClr val="008000"/>
              </a:solidFill>
            </a:ln>
          </c:spPr>
          <c:marker>
            <c:symbol val="none"/>
          </c:marker>
          <c:xVal>
            <c:numRef>
              <c:f>'28DB1- in1'!$C$5:$C$331</c:f>
              <c:numCache>
                <c:formatCode>0.00E+00</c:formatCode>
                <c:ptCount val="327"/>
                <c:pt idx="0">
                  <c:v>10.64</c:v>
                </c:pt>
                <c:pt idx="1">
                  <c:v>10.32</c:v>
                </c:pt>
                <c:pt idx="2">
                  <c:v>10.01</c:v>
                </c:pt>
                <c:pt idx="3">
                  <c:v>9.723999999999998</c:v>
                </c:pt>
                <c:pt idx="4">
                  <c:v>9.442</c:v>
                </c:pt>
                <c:pt idx="5">
                  <c:v>9.169</c:v>
                </c:pt>
                <c:pt idx="6">
                  <c:v>8.898000000000001</c:v>
                </c:pt>
                <c:pt idx="7">
                  <c:v>8.632</c:v>
                </c:pt>
                <c:pt idx="8">
                  <c:v>8.36</c:v>
                </c:pt>
                <c:pt idx="9">
                  <c:v>8.089</c:v>
                </c:pt>
                <c:pt idx="10">
                  <c:v>7.819999999999998</c:v>
                </c:pt>
                <c:pt idx="11">
                  <c:v>7.547</c:v>
                </c:pt>
                <c:pt idx="12">
                  <c:v>7.274</c:v>
                </c:pt>
                <c:pt idx="13">
                  <c:v>6.997</c:v>
                </c:pt>
                <c:pt idx="14">
                  <c:v>6.719</c:v>
                </c:pt>
                <c:pt idx="15">
                  <c:v>6.436</c:v>
                </c:pt>
                <c:pt idx="16">
                  <c:v>6.149</c:v>
                </c:pt>
                <c:pt idx="17">
                  <c:v>5.863999999999986</c:v>
                </c:pt>
                <c:pt idx="18">
                  <c:v>5.575</c:v>
                </c:pt>
                <c:pt idx="19">
                  <c:v>5.289</c:v>
                </c:pt>
                <c:pt idx="20">
                  <c:v>4.999</c:v>
                </c:pt>
                <c:pt idx="21">
                  <c:v>4.708</c:v>
                </c:pt>
                <c:pt idx="22">
                  <c:v>4.413</c:v>
                </c:pt>
                <c:pt idx="23">
                  <c:v>4.117999999999978</c:v>
                </c:pt>
                <c:pt idx="24">
                  <c:v>3.824</c:v>
                </c:pt>
                <c:pt idx="25">
                  <c:v>3.531</c:v>
                </c:pt>
                <c:pt idx="26">
                  <c:v>3.241</c:v>
                </c:pt>
                <c:pt idx="27">
                  <c:v>2.956999999999998</c:v>
                </c:pt>
                <c:pt idx="28">
                  <c:v>2.682</c:v>
                </c:pt>
                <c:pt idx="29">
                  <c:v>2.415999999999999</c:v>
                </c:pt>
                <c:pt idx="30">
                  <c:v>2.164</c:v>
                </c:pt>
                <c:pt idx="31">
                  <c:v>1.925999999999999</c:v>
                </c:pt>
                <c:pt idx="32">
                  <c:v>1.707</c:v>
                </c:pt>
                <c:pt idx="33">
                  <c:v>1.507</c:v>
                </c:pt>
                <c:pt idx="34">
                  <c:v>1.327</c:v>
                </c:pt>
                <c:pt idx="35">
                  <c:v>1.168</c:v>
                </c:pt>
                <c:pt idx="36">
                  <c:v>1.028</c:v>
                </c:pt>
                <c:pt idx="37">
                  <c:v>0.9076</c:v>
                </c:pt>
                <c:pt idx="38">
                  <c:v>0.804</c:v>
                </c:pt>
                <c:pt idx="39">
                  <c:v>0.7152</c:v>
                </c:pt>
                <c:pt idx="40">
                  <c:v>0.6394</c:v>
                </c:pt>
                <c:pt idx="41">
                  <c:v>0.5745</c:v>
                </c:pt>
                <c:pt idx="42">
                  <c:v>0.519</c:v>
                </c:pt>
                <c:pt idx="43">
                  <c:v>0.4714</c:v>
                </c:pt>
                <c:pt idx="44">
                  <c:v>0.4303</c:v>
                </c:pt>
                <c:pt idx="45">
                  <c:v>0.3949</c:v>
                </c:pt>
                <c:pt idx="46">
                  <c:v>0.3642</c:v>
                </c:pt>
                <c:pt idx="47">
                  <c:v>0.3374</c:v>
                </c:pt>
                <c:pt idx="48">
                  <c:v>0.3139</c:v>
                </c:pt>
                <c:pt idx="49">
                  <c:v>0.2931</c:v>
                </c:pt>
                <c:pt idx="50">
                  <c:v>0.2746</c:v>
                </c:pt>
                <c:pt idx="51">
                  <c:v>0.258</c:v>
                </c:pt>
                <c:pt idx="52">
                  <c:v>0.243</c:v>
                </c:pt>
                <c:pt idx="53">
                  <c:v>0.2295</c:v>
                </c:pt>
                <c:pt idx="54">
                  <c:v>0.2172</c:v>
                </c:pt>
                <c:pt idx="55">
                  <c:v>0.2059</c:v>
                </c:pt>
                <c:pt idx="56">
                  <c:v>0.1956</c:v>
                </c:pt>
                <c:pt idx="57">
                  <c:v>0.1861</c:v>
                </c:pt>
                <c:pt idx="58">
                  <c:v>0.1774</c:v>
                </c:pt>
                <c:pt idx="59">
                  <c:v>0.1694</c:v>
                </c:pt>
                <c:pt idx="60">
                  <c:v>0.1619</c:v>
                </c:pt>
                <c:pt idx="61">
                  <c:v>0.1549</c:v>
                </c:pt>
                <c:pt idx="62">
                  <c:v>0.1484</c:v>
                </c:pt>
                <c:pt idx="63">
                  <c:v>0.1421</c:v>
                </c:pt>
                <c:pt idx="64">
                  <c:v>0.1362</c:v>
                </c:pt>
                <c:pt idx="65">
                  <c:v>0.1308</c:v>
                </c:pt>
                <c:pt idx="66">
                  <c:v>0.1256</c:v>
                </c:pt>
                <c:pt idx="67">
                  <c:v>0.1209</c:v>
                </c:pt>
                <c:pt idx="68">
                  <c:v>0.1164</c:v>
                </c:pt>
                <c:pt idx="69">
                  <c:v>0.1121</c:v>
                </c:pt>
                <c:pt idx="70">
                  <c:v>0.1081</c:v>
                </c:pt>
                <c:pt idx="71">
                  <c:v>0.1044</c:v>
                </c:pt>
                <c:pt idx="72">
                  <c:v>0.1008</c:v>
                </c:pt>
                <c:pt idx="73">
                  <c:v>0.09751</c:v>
                </c:pt>
                <c:pt idx="74">
                  <c:v>0.09445</c:v>
                </c:pt>
                <c:pt idx="75">
                  <c:v>0.09157</c:v>
                </c:pt>
                <c:pt idx="76">
                  <c:v>0.08884</c:v>
                </c:pt>
                <c:pt idx="77">
                  <c:v>0.08626</c:v>
                </c:pt>
                <c:pt idx="78">
                  <c:v>0.08381</c:v>
                </c:pt>
                <c:pt idx="79">
                  <c:v>0.0815</c:v>
                </c:pt>
                <c:pt idx="80">
                  <c:v>0.0793</c:v>
                </c:pt>
                <c:pt idx="81">
                  <c:v>0.07717</c:v>
                </c:pt>
                <c:pt idx="82">
                  <c:v>0.07509</c:v>
                </c:pt>
                <c:pt idx="83">
                  <c:v>0.07313</c:v>
                </c:pt>
                <c:pt idx="84">
                  <c:v>0.07126</c:v>
                </c:pt>
                <c:pt idx="85">
                  <c:v>0.06948</c:v>
                </c:pt>
                <c:pt idx="86">
                  <c:v>0.06778</c:v>
                </c:pt>
                <c:pt idx="87">
                  <c:v>0.06612</c:v>
                </c:pt>
                <c:pt idx="88">
                  <c:v>0.06451</c:v>
                </c:pt>
                <c:pt idx="89">
                  <c:v>0.06293</c:v>
                </c:pt>
                <c:pt idx="90">
                  <c:v>0.0614</c:v>
                </c:pt>
                <c:pt idx="91">
                  <c:v>0.05993</c:v>
                </c:pt>
                <c:pt idx="92">
                  <c:v>0.05856</c:v>
                </c:pt>
                <c:pt idx="93">
                  <c:v>0.05725</c:v>
                </c:pt>
                <c:pt idx="94">
                  <c:v>0.05596</c:v>
                </c:pt>
                <c:pt idx="95">
                  <c:v>0.05471</c:v>
                </c:pt>
                <c:pt idx="96">
                  <c:v>0.0535</c:v>
                </c:pt>
                <c:pt idx="97">
                  <c:v>0.05233</c:v>
                </c:pt>
                <c:pt idx="98">
                  <c:v>0.05122</c:v>
                </c:pt>
                <c:pt idx="99">
                  <c:v>0.05017</c:v>
                </c:pt>
                <c:pt idx="100">
                  <c:v>0.04918</c:v>
                </c:pt>
                <c:pt idx="101">
                  <c:v>0.04825</c:v>
                </c:pt>
                <c:pt idx="102">
                  <c:v>0.04735</c:v>
                </c:pt>
                <c:pt idx="103">
                  <c:v>0.04648</c:v>
                </c:pt>
                <c:pt idx="104">
                  <c:v>0.04564</c:v>
                </c:pt>
                <c:pt idx="105">
                  <c:v>0.04484</c:v>
                </c:pt>
                <c:pt idx="106">
                  <c:v>0.04408</c:v>
                </c:pt>
                <c:pt idx="107">
                  <c:v>0.04335</c:v>
                </c:pt>
                <c:pt idx="108">
                  <c:v>0.04265</c:v>
                </c:pt>
                <c:pt idx="109">
                  <c:v>0.04198</c:v>
                </c:pt>
                <c:pt idx="110">
                  <c:v>0.04133</c:v>
                </c:pt>
                <c:pt idx="111">
                  <c:v>0.04069</c:v>
                </c:pt>
                <c:pt idx="112">
                  <c:v>0.04007</c:v>
                </c:pt>
                <c:pt idx="113">
                  <c:v>0.03947</c:v>
                </c:pt>
                <c:pt idx="114">
                  <c:v>0.03888</c:v>
                </c:pt>
                <c:pt idx="115">
                  <c:v>0.03832</c:v>
                </c:pt>
                <c:pt idx="116">
                  <c:v>0.03778</c:v>
                </c:pt>
                <c:pt idx="117">
                  <c:v>0.03725</c:v>
                </c:pt>
                <c:pt idx="118">
                  <c:v>0.03673</c:v>
                </c:pt>
                <c:pt idx="119">
                  <c:v>0.03623</c:v>
                </c:pt>
                <c:pt idx="120">
                  <c:v>0.03573</c:v>
                </c:pt>
                <c:pt idx="121">
                  <c:v>0.03525</c:v>
                </c:pt>
                <c:pt idx="122">
                  <c:v>0.03479</c:v>
                </c:pt>
                <c:pt idx="123">
                  <c:v>0.03433</c:v>
                </c:pt>
                <c:pt idx="124">
                  <c:v>0.03388</c:v>
                </c:pt>
                <c:pt idx="125">
                  <c:v>0.03344</c:v>
                </c:pt>
                <c:pt idx="126">
                  <c:v>0.03302</c:v>
                </c:pt>
                <c:pt idx="127">
                  <c:v>0.03259</c:v>
                </c:pt>
                <c:pt idx="128">
                  <c:v>0.03217</c:v>
                </c:pt>
                <c:pt idx="129">
                  <c:v>0.03177</c:v>
                </c:pt>
                <c:pt idx="130">
                  <c:v>0.03137</c:v>
                </c:pt>
                <c:pt idx="131">
                  <c:v>0.03097</c:v>
                </c:pt>
                <c:pt idx="132">
                  <c:v>0.03058</c:v>
                </c:pt>
                <c:pt idx="133">
                  <c:v>0.0302</c:v>
                </c:pt>
                <c:pt idx="134">
                  <c:v>0.02982</c:v>
                </c:pt>
                <c:pt idx="135">
                  <c:v>0.02945</c:v>
                </c:pt>
                <c:pt idx="136">
                  <c:v>0.02907</c:v>
                </c:pt>
                <c:pt idx="137">
                  <c:v>0.02869</c:v>
                </c:pt>
                <c:pt idx="138">
                  <c:v>0.02833</c:v>
                </c:pt>
                <c:pt idx="139">
                  <c:v>0.02795</c:v>
                </c:pt>
                <c:pt idx="140">
                  <c:v>0.02759</c:v>
                </c:pt>
                <c:pt idx="141">
                  <c:v>0.02722</c:v>
                </c:pt>
                <c:pt idx="142">
                  <c:v>0.02685</c:v>
                </c:pt>
                <c:pt idx="143">
                  <c:v>0.02648</c:v>
                </c:pt>
                <c:pt idx="144">
                  <c:v>0.02612</c:v>
                </c:pt>
                <c:pt idx="145">
                  <c:v>0.02577</c:v>
                </c:pt>
                <c:pt idx="146">
                  <c:v>0.02543</c:v>
                </c:pt>
                <c:pt idx="147">
                  <c:v>0.02509</c:v>
                </c:pt>
                <c:pt idx="148">
                  <c:v>0.02475</c:v>
                </c:pt>
                <c:pt idx="149">
                  <c:v>0.02442</c:v>
                </c:pt>
                <c:pt idx="150">
                  <c:v>0.0241</c:v>
                </c:pt>
                <c:pt idx="151">
                  <c:v>0.02378</c:v>
                </c:pt>
                <c:pt idx="152">
                  <c:v>0.02347</c:v>
                </c:pt>
                <c:pt idx="153">
                  <c:v>0.02317</c:v>
                </c:pt>
                <c:pt idx="154">
                  <c:v>0.02287</c:v>
                </c:pt>
                <c:pt idx="155">
                  <c:v>0.02257</c:v>
                </c:pt>
                <c:pt idx="156">
                  <c:v>0.02227</c:v>
                </c:pt>
                <c:pt idx="157">
                  <c:v>0.02198</c:v>
                </c:pt>
                <c:pt idx="158">
                  <c:v>0.02169</c:v>
                </c:pt>
                <c:pt idx="159">
                  <c:v>0.02141</c:v>
                </c:pt>
                <c:pt idx="160">
                  <c:v>0.02113</c:v>
                </c:pt>
                <c:pt idx="161">
                  <c:v>0.02085</c:v>
                </c:pt>
                <c:pt idx="162">
                  <c:v>0.02058</c:v>
                </c:pt>
                <c:pt idx="163">
                  <c:v>0.02032</c:v>
                </c:pt>
                <c:pt idx="164">
                  <c:v>0.02006</c:v>
                </c:pt>
                <c:pt idx="165">
                  <c:v>0.0198</c:v>
                </c:pt>
                <c:pt idx="166">
                  <c:v>0.01955</c:v>
                </c:pt>
                <c:pt idx="167">
                  <c:v>0.01931</c:v>
                </c:pt>
                <c:pt idx="168">
                  <c:v>0.01907</c:v>
                </c:pt>
                <c:pt idx="169">
                  <c:v>0.01884</c:v>
                </c:pt>
                <c:pt idx="170">
                  <c:v>0.01861</c:v>
                </c:pt>
                <c:pt idx="171">
                  <c:v>0.01838</c:v>
                </c:pt>
                <c:pt idx="172">
                  <c:v>0.01816</c:v>
                </c:pt>
                <c:pt idx="173">
                  <c:v>0.01795</c:v>
                </c:pt>
                <c:pt idx="174">
                  <c:v>0.01774</c:v>
                </c:pt>
                <c:pt idx="175">
                  <c:v>0.01753</c:v>
                </c:pt>
                <c:pt idx="176">
                  <c:v>0.01733</c:v>
                </c:pt>
                <c:pt idx="177">
                  <c:v>0.01713</c:v>
                </c:pt>
                <c:pt idx="178">
                  <c:v>0.01693</c:v>
                </c:pt>
                <c:pt idx="179">
                  <c:v>0.01674</c:v>
                </c:pt>
                <c:pt idx="180">
                  <c:v>0.01655</c:v>
                </c:pt>
                <c:pt idx="181">
                  <c:v>0.01637</c:v>
                </c:pt>
                <c:pt idx="182">
                  <c:v>0.01619</c:v>
                </c:pt>
                <c:pt idx="183">
                  <c:v>0.01601</c:v>
                </c:pt>
                <c:pt idx="184">
                  <c:v>0.01583</c:v>
                </c:pt>
                <c:pt idx="185">
                  <c:v>0.01566</c:v>
                </c:pt>
                <c:pt idx="186">
                  <c:v>0.01548</c:v>
                </c:pt>
                <c:pt idx="187">
                  <c:v>0.01532</c:v>
                </c:pt>
                <c:pt idx="188">
                  <c:v>0.01516</c:v>
                </c:pt>
                <c:pt idx="189">
                  <c:v>0.015</c:v>
                </c:pt>
                <c:pt idx="190">
                  <c:v>0.01485</c:v>
                </c:pt>
                <c:pt idx="191">
                  <c:v>0.01469</c:v>
                </c:pt>
                <c:pt idx="192">
                  <c:v>0.01454</c:v>
                </c:pt>
                <c:pt idx="193">
                  <c:v>0.01439</c:v>
                </c:pt>
                <c:pt idx="194">
                  <c:v>0.01425</c:v>
                </c:pt>
                <c:pt idx="195">
                  <c:v>0.01411</c:v>
                </c:pt>
                <c:pt idx="196">
                  <c:v>0.01398</c:v>
                </c:pt>
                <c:pt idx="197">
                  <c:v>0.01385</c:v>
                </c:pt>
                <c:pt idx="198">
                  <c:v>0.01373</c:v>
                </c:pt>
                <c:pt idx="199">
                  <c:v>0.0136</c:v>
                </c:pt>
                <c:pt idx="200">
                  <c:v>0.01348</c:v>
                </c:pt>
                <c:pt idx="201">
                  <c:v>0.01337</c:v>
                </c:pt>
                <c:pt idx="202">
                  <c:v>0.01327</c:v>
                </c:pt>
                <c:pt idx="203">
                  <c:v>0.01317</c:v>
                </c:pt>
                <c:pt idx="204">
                  <c:v>0.01307</c:v>
                </c:pt>
                <c:pt idx="205">
                  <c:v>0.01298</c:v>
                </c:pt>
                <c:pt idx="206">
                  <c:v>0.01289</c:v>
                </c:pt>
                <c:pt idx="207">
                  <c:v>0.01281</c:v>
                </c:pt>
                <c:pt idx="208">
                  <c:v>0.01272</c:v>
                </c:pt>
                <c:pt idx="209">
                  <c:v>0.01264</c:v>
                </c:pt>
                <c:pt idx="210">
                  <c:v>0.01256</c:v>
                </c:pt>
                <c:pt idx="211">
                  <c:v>0.01248</c:v>
                </c:pt>
                <c:pt idx="212">
                  <c:v>0.0124</c:v>
                </c:pt>
                <c:pt idx="213">
                  <c:v>0.01233</c:v>
                </c:pt>
                <c:pt idx="214">
                  <c:v>0.01225</c:v>
                </c:pt>
                <c:pt idx="215">
                  <c:v>0.01217</c:v>
                </c:pt>
                <c:pt idx="216">
                  <c:v>0.0121</c:v>
                </c:pt>
                <c:pt idx="217">
                  <c:v>0.01202</c:v>
                </c:pt>
                <c:pt idx="218">
                  <c:v>0.01195</c:v>
                </c:pt>
                <c:pt idx="219">
                  <c:v>0.01188</c:v>
                </c:pt>
                <c:pt idx="220">
                  <c:v>0.01181</c:v>
                </c:pt>
                <c:pt idx="221">
                  <c:v>0.01173</c:v>
                </c:pt>
                <c:pt idx="222">
                  <c:v>0.01166</c:v>
                </c:pt>
                <c:pt idx="223">
                  <c:v>0.01159</c:v>
                </c:pt>
                <c:pt idx="224">
                  <c:v>0.01152</c:v>
                </c:pt>
                <c:pt idx="225">
                  <c:v>0.01146</c:v>
                </c:pt>
                <c:pt idx="226">
                  <c:v>0.01139</c:v>
                </c:pt>
                <c:pt idx="227">
                  <c:v>0.01132</c:v>
                </c:pt>
                <c:pt idx="228">
                  <c:v>0.01125</c:v>
                </c:pt>
                <c:pt idx="229">
                  <c:v>0.01119</c:v>
                </c:pt>
                <c:pt idx="230">
                  <c:v>0.01112</c:v>
                </c:pt>
                <c:pt idx="231">
                  <c:v>0.01106</c:v>
                </c:pt>
                <c:pt idx="232">
                  <c:v>0.01099</c:v>
                </c:pt>
                <c:pt idx="233">
                  <c:v>0.01093</c:v>
                </c:pt>
                <c:pt idx="234">
                  <c:v>0.01087</c:v>
                </c:pt>
                <c:pt idx="235">
                  <c:v>0.0108</c:v>
                </c:pt>
                <c:pt idx="236">
                  <c:v>0.01074</c:v>
                </c:pt>
                <c:pt idx="237">
                  <c:v>0.01068</c:v>
                </c:pt>
                <c:pt idx="238">
                  <c:v>0.01062</c:v>
                </c:pt>
                <c:pt idx="239">
                  <c:v>0.01056</c:v>
                </c:pt>
                <c:pt idx="240">
                  <c:v>0.0105</c:v>
                </c:pt>
                <c:pt idx="241">
                  <c:v>0.01044</c:v>
                </c:pt>
                <c:pt idx="242">
                  <c:v>0.01039</c:v>
                </c:pt>
                <c:pt idx="243">
                  <c:v>0.01033</c:v>
                </c:pt>
                <c:pt idx="244">
                  <c:v>0.01027</c:v>
                </c:pt>
                <c:pt idx="245">
                  <c:v>0.01021</c:v>
                </c:pt>
                <c:pt idx="246">
                  <c:v>0.01016</c:v>
                </c:pt>
                <c:pt idx="247">
                  <c:v>0.0101</c:v>
                </c:pt>
                <c:pt idx="248">
                  <c:v>0.01005</c:v>
                </c:pt>
                <c:pt idx="249">
                  <c:v>0.009993</c:v>
                </c:pt>
                <c:pt idx="250">
                  <c:v>0.009939</c:v>
                </c:pt>
                <c:pt idx="251">
                  <c:v>0.009885</c:v>
                </c:pt>
                <c:pt idx="252">
                  <c:v>0.009832</c:v>
                </c:pt>
                <c:pt idx="253">
                  <c:v>0.009779</c:v>
                </c:pt>
                <c:pt idx="254">
                  <c:v>0.009727</c:v>
                </c:pt>
                <c:pt idx="255">
                  <c:v>0.009675</c:v>
                </c:pt>
                <c:pt idx="256">
                  <c:v>0.009622</c:v>
                </c:pt>
                <c:pt idx="257">
                  <c:v>0.00957</c:v>
                </c:pt>
                <c:pt idx="258">
                  <c:v>0.009518</c:v>
                </c:pt>
                <c:pt idx="259">
                  <c:v>0.009467</c:v>
                </c:pt>
                <c:pt idx="260">
                  <c:v>0.009416</c:v>
                </c:pt>
                <c:pt idx="261">
                  <c:v>0.009363</c:v>
                </c:pt>
                <c:pt idx="262">
                  <c:v>0.009311</c:v>
                </c:pt>
                <c:pt idx="263">
                  <c:v>0.009259</c:v>
                </c:pt>
                <c:pt idx="264">
                  <c:v>0.009206</c:v>
                </c:pt>
                <c:pt idx="265">
                  <c:v>0.009155</c:v>
                </c:pt>
                <c:pt idx="266">
                  <c:v>0.009104</c:v>
                </c:pt>
                <c:pt idx="267">
                  <c:v>0.009054</c:v>
                </c:pt>
                <c:pt idx="268">
                  <c:v>0.009004</c:v>
                </c:pt>
                <c:pt idx="269">
                  <c:v>0.008953</c:v>
                </c:pt>
                <c:pt idx="270">
                  <c:v>0.008902</c:v>
                </c:pt>
                <c:pt idx="271">
                  <c:v>0.008851</c:v>
                </c:pt>
                <c:pt idx="272">
                  <c:v>0.008801</c:v>
                </c:pt>
                <c:pt idx="273">
                  <c:v>0.00875</c:v>
                </c:pt>
                <c:pt idx="274">
                  <c:v>0.0087</c:v>
                </c:pt>
                <c:pt idx="275">
                  <c:v>0.008649</c:v>
                </c:pt>
                <c:pt idx="276">
                  <c:v>0.008597</c:v>
                </c:pt>
                <c:pt idx="277">
                  <c:v>0.008546</c:v>
                </c:pt>
                <c:pt idx="278">
                  <c:v>0.008494</c:v>
                </c:pt>
                <c:pt idx="279">
                  <c:v>0.008442</c:v>
                </c:pt>
                <c:pt idx="280">
                  <c:v>0.008391</c:v>
                </c:pt>
                <c:pt idx="281">
                  <c:v>0.008341</c:v>
                </c:pt>
                <c:pt idx="282">
                  <c:v>0.00829</c:v>
                </c:pt>
                <c:pt idx="283">
                  <c:v>0.008241</c:v>
                </c:pt>
                <c:pt idx="284">
                  <c:v>0.008192</c:v>
                </c:pt>
                <c:pt idx="285">
                  <c:v>0.008143</c:v>
                </c:pt>
                <c:pt idx="286">
                  <c:v>0.008094</c:v>
                </c:pt>
                <c:pt idx="287">
                  <c:v>0.008046</c:v>
                </c:pt>
                <c:pt idx="288">
                  <c:v>0.007999</c:v>
                </c:pt>
                <c:pt idx="289">
                  <c:v>0.007952</c:v>
                </c:pt>
                <c:pt idx="290">
                  <c:v>0.007905</c:v>
                </c:pt>
                <c:pt idx="291">
                  <c:v>0.007859</c:v>
                </c:pt>
                <c:pt idx="292">
                  <c:v>0.007813</c:v>
                </c:pt>
                <c:pt idx="293">
                  <c:v>0.007767</c:v>
                </c:pt>
                <c:pt idx="294">
                  <c:v>0.007722</c:v>
                </c:pt>
                <c:pt idx="295">
                  <c:v>0.007678</c:v>
                </c:pt>
                <c:pt idx="296">
                  <c:v>0.007633</c:v>
                </c:pt>
                <c:pt idx="297">
                  <c:v>0.00759</c:v>
                </c:pt>
                <c:pt idx="298">
                  <c:v>0.007546</c:v>
                </c:pt>
                <c:pt idx="299">
                  <c:v>0.007503</c:v>
                </c:pt>
                <c:pt idx="300">
                  <c:v>0.007461</c:v>
                </c:pt>
                <c:pt idx="301">
                  <c:v>0.007418</c:v>
                </c:pt>
                <c:pt idx="302">
                  <c:v>0.007377</c:v>
                </c:pt>
                <c:pt idx="303">
                  <c:v>0.007335</c:v>
                </c:pt>
                <c:pt idx="304">
                  <c:v>0.007294</c:v>
                </c:pt>
                <c:pt idx="305">
                  <c:v>0.007254</c:v>
                </c:pt>
                <c:pt idx="306">
                  <c:v>0.007213</c:v>
                </c:pt>
                <c:pt idx="307">
                  <c:v>0.007173</c:v>
                </c:pt>
                <c:pt idx="308">
                  <c:v>0.007134</c:v>
                </c:pt>
                <c:pt idx="309">
                  <c:v>0.007094</c:v>
                </c:pt>
                <c:pt idx="310">
                  <c:v>0.007056</c:v>
                </c:pt>
                <c:pt idx="311">
                  <c:v>0.007017</c:v>
                </c:pt>
                <c:pt idx="312">
                  <c:v>0.006979</c:v>
                </c:pt>
                <c:pt idx="313">
                  <c:v>0.006941</c:v>
                </c:pt>
                <c:pt idx="314">
                  <c:v>0.006904</c:v>
                </c:pt>
                <c:pt idx="315">
                  <c:v>0.006867</c:v>
                </c:pt>
                <c:pt idx="316">
                  <c:v>0.00683</c:v>
                </c:pt>
                <c:pt idx="317">
                  <c:v>0.006793</c:v>
                </c:pt>
                <c:pt idx="318">
                  <c:v>0.006756</c:v>
                </c:pt>
                <c:pt idx="319">
                  <c:v>0.00672</c:v>
                </c:pt>
                <c:pt idx="320">
                  <c:v>0.006684</c:v>
                </c:pt>
                <c:pt idx="321">
                  <c:v>0.006648</c:v>
                </c:pt>
                <c:pt idx="322">
                  <c:v>0.006613</c:v>
                </c:pt>
                <c:pt idx="323">
                  <c:v>0.006577</c:v>
                </c:pt>
                <c:pt idx="324">
                  <c:v>0.006541</c:v>
                </c:pt>
                <c:pt idx="325">
                  <c:v>0.006506</c:v>
                </c:pt>
                <c:pt idx="326">
                  <c:v>0.00647</c:v>
                </c:pt>
              </c:numCache>
            </c:numRef>
          </c:xVal>
          <c:yVal>
            <c:numRef>
              <c:f>'28DB1- in1'!$AD$5:$AD$331</c:f>
              <c:numCache>
                <c:formatCode>General</c:formatCode>
                <c:ptCount val="327"/>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0.0</c:v>
                </c:pt>
                <c:pt idx="45">
                  <c:v>0.0</c:v>
                </c:pt>
                <c:pt idx="46">
                  <c:v>0.0</c:v>
                </c:pt>
                <c:pt idx="47">
                  <c:v>0.0</c:v>
                </c:pt>
                <c:pt idx="48">
                  <c:v>0.0</c:v>
                </c:pt>
                <c:pt idx="49">
                  <c:v>0.0001</c:v>
                </c:pt>
                <c:pt idx="50">
                  <c:v>0.0003</c:v>
                </c:pt>
                <c:pt idx="51">
                  <c:v>0.0004</c:v>
                </c:pt>
                <c:pt idx="52">
                  <c:v>0.0006</c:v>
                </c:pt>
                <c:pt idx="53">
                  <c:v>0.0007</c:v>
                </c:pt>
                <c:pt idx="54">
                  <c:v>0.0009</c:v>
                </c:pt>
                <c:pt idx="55">
                  <c:v>0.0011</c:v>
                </c:pt>
                <c:pt idx="56">
                  <c:v>0.0012</c:v>
                </c:pt>
                <c:pt idx="57">
                  <c:v>0.0014</c:v>
                </c:pt>
                <c:pt idx="58">
                  <c:v>0.0016</c:v>
                </c:pt>
                <c:pt idx="59">
                  <c:v>0.0018</c:v>
                </c:pt>
                <c:pt idx="60">
                  <c:v>0.0018</c:v>
                </c:pt>
                <c:pt idx="61">
                  <c:v>0.0019</c:v>
                </c:pt>
                <c:pt idx="62">
                  <c:v>0.002</c:v>
                </c:pt>
                <c:pt idx="63">
                  <c:v>0.002</c:v>
                </c:pt>
                <c:pt idx="64">
                  <c:v>0.0021</c:v>
                </c:pt>
                <c:pt idx="65">
                  <c:v>0.0022</c:v>
                </c:pt>
                <c:pt idx="66">
                  <c:v>0.0023</c:v>
                </c:pt>
                <c:pt idx="67">
                  <c:v>0.0025</c:v>
                </c:pt>
                <c:pt idx="68">
                  <c:v>0.0026</c:v>
                </c:pt>
                <c:pt idx="69">
                  <c:v>0.0028</c:v>
                </c:pt>
                <c:pt idx="70">
                  <c:v>0.0029</c:v>
                </c:pt>
                <c:pt idx="71">
                  <c:v>0.0031</c:v>
                </c:pt>
                <c:pt idx="72">
                  <c:v>0.0034</c:v>
                </c:pt>
                <c:pt idx="73">
                  <c:v>0.0037</c:v>
                </c:pt>
                <c:pt idx="74">
                  <c:v>0.004</c:v>
                </c:pt>
                <c:pt idx="75">
                  <c:v>0.0044</c:v>
                </c:pt>
                <c:pt idx="76">
                  <c:v>0.0048</c:v>
                </c:pt>
                <c:pt idx="77">
                  <c:v>0.0052</c:v>
                </c:pt>
                <c:pt idx="78">
                  <c:v>0.0056</c:v>
                </c:pt>
                <c:pt idx="79">
                  <c:v>0.0062</c:v>
                </c:pt>
                <c:pt idx="80">
                  <c:v>0.0067</c:v>
                </c:pt>
                <c:pt idx="81">
                  <c:v>0.0072</c:v>
                </c:pt>
                <c:pt idx="82">
                  <c:v>0.0078</c:v>
                </c:pt>
                <c:pt idx="83">
                  <c:v>0.0085</c:v>
                </c:pt>
                <c:pt idx="84">
                  <c:v>0.009</c:v>
                </c:pt>
                <c:pt idx="85">
                  <c:v>0.0096</c:v>
                </c:pt>
                <c:pt idx="86">
                  <c:v>0.0102</c:v>
                </c:pt>
                <c:pt idx="87">
                  <c:v>0.0108</c:v>
                </c:pt>
                <c:pt idx="88">
                  <c:v>0.0113</c:v>
                </c:pt>
                <c:pt idx="89">
                  <c:v>0.0118</c:v>
                </c:pt>
                <c:pt idx="90">
                  <c:v>0.0123</c:v>
                </c:pt>
                <c:pt idx="91">
                  <c:v>0.0129</c:v>
                </c:pt>
                <c:pt idx="92">
                  <c:v>0.0135</c:v>
                </c:pt>
                <c:pt idx="93">
                  <c:v>0.0142</c:v>
                </c:pt>
                <c:pt idx="94">
                  <c:v>0.0148</c:v>
                </c:pt>
                <c:pt idx="95">
                  <c:v>0.0154</c:v>
                </c:pt>
                <c:pt idx="96">
                  <c:v>0.0159</c:v>
                </c:pt>
                <c:pt idx="97">
                  <c:v>0.0166</c:v>
                </c:pt>
                <c:pt idx="98">
                  <c:v>0.0171</c:v>
                </c:pt>
                <c:pt idx="99">
                  <c:v>0.0177</c:v>
                </c:pt>
                <c:pt idx="100">
                  <c:v>0.0183</c:v>
                </c:pt>
                <c:pt idx="101">
                  <c:v>0.0189</c:v>
                </c:pt>
                <c:pt idx="102">
                  <c:v>0.0196</c:v>
                </c:pt>
                <c:pt idx="103">
                  <c:v>0.0204</c:v>
                </c:pt>
                <c:pt idx="104">
                  <c:v>0.0211</c:v>
                </c:pt>
                <c:pt idx="105">
                  <c:v>0.0218</c:v>
                </c:pt>
                <c:pt idx="106">
                  <c:v>0.0224</c:v>
                </c:pt>
                <c:pt idx="107">
                  <c:v>0.023</c:v>
                </c:pt>
                <c:pt idx="108">
                  <c:v>0.0236</c:v>
                </c:pt>
                <c:pt idx="109">
                  <c:v>0.0244</c:v>
                </c:pt>
                <c:pt idx="110">
                  <c:v>0.0251</c:v>
                </c:pt>
                <c:pt idx="111">
                  <c:v>0.0258</c:v>
                </c:pt>
                <c:pt idx="112">
                  <c:v>0.0265</c:v>
                </c:pt>
                <c:pt idx="113">
                  <c:v>0.0271</c:v>
                </c:pt>
                <c:pt idx="114">
                  <c:v>0.0276</c:v>
                </c:pt>
                <c:pt idx="115">
                  <c:v>0.0282</c:v>
                </c:pt>
                <c:pt idx="116">
                  <c:v>0.0287</c:v>
                </c:pt>
                <c:pt idx="117">
                  <c:v>0.0293</c:v>
                </c:pt>
                <c:pt idx="118">
                  <c:v>0.0299</c:v>
                </c:pt>
                <c:pt idx="119">
                  <c:v>0.0304</c:v>
                </c:pt>
                <c:pt idx="120">
                  <c:v>0.0309</c:v>
                </c:pt>
                <c:pt idx="121">
                  <c:v>0.0315</c:v>
                </c:pt>
                <c:pt idx="122">
                  <c:v>0.0322</c:v>
                </c:pt>
                <c:pt idx="123">
                  <c:v>0.0328</c:v>
                </c:pt>
                <c:pt idx="124">
                  <c:v>0.0335</c:v>
                </c:pt>
                <c:pt idx="125">
                  <c:v>0.0341</c:v>
                </c:pt>
                <c:pt idx="126">
                  <c:v>0.0348</c:v>
                </c:pt>
                <c:pt idx="127">
                  <c:v>0.0356</c:v>
                </c:pt>
                <c:pt idx="128">
                  <c:v>0.0364</c:v>
                </c:pt>
                <c:pt idx="129">
                  <c:v>0.0372</c:v>
                </c:pt>
                <c:pt idx="130">
                  <c:v>0.0381</c:v>
                </c:pt>
                <c:pt idx="131">
                  <c:v>0.039</c:v>
                </c:pt>
                <c:pt idx="132">
                  <c:v>0.0397</c:v>
                </c:pt>
                <c:pt idx="133">
                  <c:v>0.0404</c:v>
                </c:pt>
                <c:pt idx="134">
                  <c:v>0.0411</c:v>
                </c:pt>
                <c:pt idx="135">
                  <c:v>0.0418</c:v>
                </c:pt>
                <c:pt idx="136">
                  <c:v>0.0425</c:v>
                </c:pt>
                <c:pt idx="137">
                  <c:v>0.0432</c:v>
                </c:pt>
                <c:pt idx="138">
                  <c:v>0.0439</c:v>
                </c:pt>
                <c:pt idx="139">
                  <c:v>0.0446</c:v>
                </c:pt>
                <c:pt idx="140">
                  <c:v>0.0452</c:v>
                </c:pt>
                <c:pt idx="141">
                  <c:v>0.046</c:v>
                </c:pt>
                <c:pt idx="142">
                  <c:v>0.0467</c:v>
                </c:pt>
                <c:pt idx="143">
                  <c:v>0.0474</c:v>
                </c:pt>
                <c:pt idx="144">
                  <c:v>0.0481</c:v>
                </c:pt>
                <c:pt idx="145">
                  <c:v>0.0488</c:v>
                </c:pt>
                <c:pt idx="146">
                  <c:v>0.0496</c:v>
                </c:pt>
                <c:pt idx="147">
                  <c:v>0.0502</c:v>
                </c:pt>
                <c:pt idx="148">
                  <c:v>0.0508</c:v>
                </c:pt>
                <c:pt idx="149">
                  <c:v>0.0514</c:v>
                </c:pt>
                <c:pt idx="150">
                  <c:v>0.0519</c:v>
                </c:pt>
                <c:pt idx="151">
                  <c:v>0.0524</c:v>
                </c:pt>
                <c:pt idx="152">
                  <c:v>0.0528</c:v>
                </c:pt>
                <c:pt idx="153">
                  <c:v>0.0532</c:v>
                </c:pt>
                <c:pt idx="154">
                  <c:v>0.0535</c:v>
                </c:pt>
                <c:pt idx="155">
                  <c:v>0.0537</c:v>
                </c:pt>
                <c:pt idx="156">
                  <c:v>0.054</c:v>
                </c:pt>
                <c:pt idx="157">
                  <c:v>0.0543</c:v>
                </c:pt>
                <c:pt idx="158">
                  <c:v>0.0545</c:v>
                </c:pt>
                <c:pt idx="159">
                  <c:v>0.0548</c:v>
                </c:pt>
                <c:pt idx="160">
                  <c:v>0.055</c:v>
                </c:pt>
                <c:pt idx="161">
                  <c:v>0.0553</c:v>
                </c:pt>
                <c:pt idx="162">
                  <c:v>0.0556</c:v>
                </c:pt>
                <c:pt idx="163">
                  <c:v>0.056</c:v>
                </c:pt>
                <c:pt idx="164">
                  <c:v>0.0563</c:v>
                </c:pt>
                <c:pt idx="165">
                  <c:v>0.0567</c:v>
                </c:pt>
                <c:pt idx="166">
                  <c:v>0.0571</c:v>
                </c:pt>
                <c:pt idx="167">
                  <c:v>0.0575</c:v>
                </c:pt>
                <c:pt idx="168">
                  <c:v>0.058</c:v>
                </c:pt>
                <c:pt idx="169">
                  <c:v>0.0584</c:v>
                </c:pt>
                <c:pt idx="170">
                  <c:v>0.0589</c:v>
                </c:pt>
                <c:pt idx="171">
                  <c:v>0.0593</c:v>
                </c:pt>
                <c:pt idx="172">
                  <c:v>0.0597</c:v>
                </c:pt>
                <c:pt idx="173">
                  <c:v>0.0601</c:v>
                </c:pt>
                <c:pt idx="174">
                  <c:v>0.0604</c:v>
                </c:pt>
                <c:pt idx="175">
                  <c:v>0.0608</c:v>
                </c:pt>
                <c:pt idx="176">
                  <c:v>0.0612</c:v>
                </c:pt>
                <c:pt idx="177">
                  <c:v>0.0616</c:v>
                </c:pt>
                <c:pt idx="178">
                  <c:v>0.0621</c:v>
                </c:pt>
                <c:pt idx="179">
                  <c:v>0.0625</c:v>
                </c:pt>
                <c:pt idx="180">
                  <c:v>0.0629</c:v>
                </c:pt>
                <c:pt idx="181">
                  <c:v>0.0634</c:v>
                </c:pt>
                <c:pt idx="182">
                  <c:v>0.0638</c:v>
                </c:pt>
                <c:pt idx="183">
                  <c:v>0.0643</c:v>
                </c:pt>
                <c:pt idx="184">
                  <c:v>0.0648</c:v>
                </c:pt>
                <c:pt idx="185">
                  <c:v>0.0653</c:v>
                </c:pt>
                <c:pt idx="186">
                  <c:v>0.0659</c:v>
                </c:pt>
                <c:pt idx="187">
                  <c:v>0.0664</c:v>
                </c:pt>
                <c:pt idx="188">
                  <c:v>0.0669</c:v>
                </c:pt>
                <c:pt idx="189">
                  <c:v>0.0674</c:v>
                </c:pt>
                <c:pt idx="190">
                  <c:v>0.0679</c:v>
                </c:pt>
                <c:pt idx="191">
                  <c:v>0.0685</c:v>
                </c:pt>
                <c:pt idx="192">
                  <c:v>0.0691</c:v>
                </c:pt>
                <c:pt idx="193">
                  <c:v>0.0697</c:v>
                </c:pt>
                <c:pt idx="194">
                  <c:v>0.0703</c:v>
                </c:pt>
                <c:pt idx="195">
                  <c:v>0.0708</c:v>
                </c:pt>
                <c:pt idx="196">
                  <c:v>0.0714</c:v>
                </c:pt>
                <c:pt idx="197">
                  <c:v>0.0719</c:v>
                </c:pt>
                <c:pt idx="198">
                  <c:v>0.0725</c:v>
                </c:pt>
                <c:pt idx="199">
                  <c:v>0.073</c:v>
                </c:pt>
                <c:pt idx="200">
                  <c:v>0.0736</c:v>
                </c:pt>
                <c:pt idx="201">
                  <c:v>0.074</c:v>
                </c:pt>
                <c:pt idx="202">
                  <c:v>0.0745</c:v>
                </c:pt>
                <c:pt idx="203">
                  <c:v>0.0749</c:v>
                </c:pt>
                <c:pt idx="204">
                  <c:v>0.0753</c:v>
                </c:pt>
                <c:pt idx="205">
                  <c:v>0.0757</c:v>
                </c:pt>
                <c:pt idx="206">
                  <c:v>0.076</c:v>
                </c:pt>
                <c:pt idx="207">
                  <c:v>0.0764</c:v>
                </c:pt>
                <c:pt idx="208">
                  <c:v>0.0767</c:v>
                </c:pt>
                <c:pt idx="209">
                  <c:v>0.0769</c:v>
                </c:pt>
                <c:pt idx="210">
                  <c:v>0.0772</c:v>
                </c:pt>
                <c:pt idx="211">
                  <c:v>0.0774</c:v>
                </c:pt>
                <c:pt idx="212">
                  <c:v>0.0776</c:v>
                </c:pt>
                <c:pt idx="213">
                  <c:v>0.0779</c:v>
                </c:pt>
                <c:pt idx="214">
                  <c:v>0.0781</c:v>
                </c:pt>
                <c:pt idx="215">
                  <c:v>0.0784</c:v>
                </c:pt>
                <c:pt idx="216">
                  <c:v>0.0786</c:v>
                </c:pt>
                <c:pt idx="217">
                  <c:v>0.0789</c:v>
                </c:pt>
                <c:pt idx="218">
                  <c:v>0.0793</c:v>
                </c:pt>
                <c:pt idx="219">
                  <c:v>0.0796</c:v>
                </c:pt>
                <c:pt idx="220">
                  <c:v>0.08</c:v>
                </c:pt>
                <c:pt idx="221">
                  <c:v>0.0804</c:v>
                </c:pt>
                <c:pt idx="222">
                  <c:v>0.0808</c:v>
                </c:pt>
                <c:pt idx="223">
                  <c:v>0.0811</c:v>
                </c:pt>
                <c:pt idx="224">
                  <c:v>0.0815</c:v>
                </c:pt>
                <c:pt idx="225">
                  <c:v>0.0818</c:v>
                </c:pt>
                <c:pt idx="226">
                  <c:v>0.0822</c:v>
                </c:pt>
                <c:pt idx="227">
                  <c:v>0.0825</c:v>
                </c:pt>
                <c:pt idx="228">
                  <c:v>0.0828</c:v>
                </c:pt>
                <c:pt idx="229">
                  <c:v>0.0831</c:v>
                </c:pt>
                <c:pt idx="230">
                  <c:v>0.0833</c:v>
                </c:pt>
                <c:pt idx="231">
                  <c:v>0.0836</c:v>
                </c:pt>
                <c:pt idx="232">
                  <c:v>0.0839</c:v>
                </c:pt>
                <c:pt idx="233">
                  <c:v>0.0842</c:v>
                </c:pt>
                <c:pt idx="234">
                  <c:v>0.0845</c:v>
                </c:pt>
                <c:pt idx="235">
                  <c:v>0.0848</c:v>
                </c:pt>
                <c:pt idx="236">
                  <c:v>0.0852</c:v>
                </c:pt>
                <c:pt idx="237">
                  <c:v>0.0855</c:v>
                </c:pt>
                <c:pt idx="238">
                  <c:v>0.0858</c:v>
                </c:pt>
                <c:pt idx="239">
                  <c:v>0.0862</c:v>
                </c:pt>
                <c:pt idx="240">
                  <c:v>0.0865</c:v>
                </c:pt>
                <c:pt idx="241">
                  <c:v>0.0869</c:v>
                </c:pt>
                <c:pt idx="242">
                  <c:v>0.0872</c:v>
                </c:pt>
                <c:pt idx="243">
                  <c:v>0.0875</c:v>
                </c:pt>
                <c:pt idx="244">
                  <c:v>0.0878</c:v>
                </c:pt>
                <c:pt idx="245">
                  <c:v>0.088</c:v>
                </c:pt>
                <c:pt idx="246">
                  <c:v>0.0882</c:v>
                </c:pt>
                <c:pt idx="247">
                  <c:v>0.0885</c:v>
                </c:pt>
                <c:pt idx="248">
                  <c:v>0.0887</c:v>
                </c:pt>
                <c:pt idx="249">
                  <c:v>0.0889</c:v>
                </c:pt>
                <c:pt idx="250">
                  <c:v>0.0891</c:v>
                </c:pt>
                <c:pt idx="251">
                  <c:v>0.0893</c:v>
                </c:pt>
                <c:pt idx="252">
                  <c:v>0.0895</c:v>
                </c:pt>
                <c:pt idx="253">
                  <c:v>0.0897</c:v>
                </c:pt>
                <c:pt idx="254">
                  <c:v>0.0899</c:v>
                </c:pt>
                <c:pt idx="255">
                  <c:v>0.0902</c:v>
                </c:pt>
                <c:pt idx="256">
                  <c:v>0.0905</c:v>
                </c:pt>
                <c:pt idx="257">
                  <c:v>0.0908</c:v>
                </c:pt>
                <c:pt idx="258">
                  <c:v>0.0911</c:v>
                </c:pt>
                <c:pt idx="259">
                  <c:v>0.0914</c:v>
                </c:pt>
                <c:pt idx="260">
                  <c:v>0.0918</c:v>
                </c:pt>
                <c:pt idx="261">
                  <c:v>0.0921</c:v>
                </c:pt>
                <c:pt idx="262">
                  <c:v>0.0925</c:v>
                </c:pt>
                <c:pt idx="263">
                  <c:v>0.0929</c:v>
                </c:pt>
                <c:pt idx="264">
                  <c:v>0.0932</c:v>
                </c:pt>
                <c:pt idx="265">
                  <c:v>0.0936</c:v>
                </c:pt>
                <c:pt idx="266">
                  <c:v>0.0939</c:v>
                </c:pt>
                <c:pt idx="267">
                  <c:v>0.0942</c:v>
                </c:pt>
                <c:pt idx="268">
                  <c:v>0.0945</c:v>
                </c:pt>
                <c:pt idx="269">
                  <c:v>0.0948</c:v>
                </c:pt>
                <c:pt idx="270">
                  <c:v>0.0951</c:v>
                </c:pt>
                <c:pt idx="271">
                  <c:v>0.0954</c:v>
                </c:pt>
                <c:pt idx="272">
                  <c:v>0.0958</c:v>
                </c:pt>
                <c:pt idx="273">
                  <c:v>0.0962</c:v>
                </c:pt>
                <c:pt idx="274">
                  <c:v>0.0965</c:v>
                </c:pt>
                <c:pt idx="275">
                  <c:v>0.0968</c:v>
                </c:pt>
                <c:pt idx="276">
                  <c:v>0.0972</c:v>
                </c:pt>
                <c:pt idx="277">
                  <c:v>0.0975</c:v>
                </c:pt>
                <c:pt idx="278">
                  <c:v>0.0978</c:v>
                </c:pt>
                <c:pt idx="279">
                  <c:v>0.0981</c:v>
                </c:pt>
                <c:pt idx="280">
                  <c:v>0.0983</c:v>
                </c:pt>
                <c:pt idx="281">
                  <c:v>0.0985</c:v>
                </c:pt>
                <c:pt idx="282">
                  <c:v>0.0988</c:v>
                </c:pt>
                <c:pt idx="283">
                  <c:v>0.099</c:v>
                </c:pt>
                <c:pt idx="284">
                  <c:v>0.0992</c:v>
                </c:pt>
                <c:pt idx="285">
                  <c:v>0.0993</c:v>
                </c:pt>
                <c:pt idx="286">
                  <c:v>0.0995</c:v>
                </c:pt>
                <c:pt idx="287">
                  <c:v>0.0997</c:v>
                </c:pt>
                <c:pt idx="288">
                  <c:v>0.0999</c:v>
                </c:pt>
                <c:pt idx="289">
                  <c:v>0.1001</c:v>
                </c:pt>
                <c:pt idx="290">
                  <c:v>0.1003</c:v>
                </c:pt>
                <c:pt idx="291">
                  <c:v>0.1005</c:v>
                </c:pt>
                <c:pt idx="292">
                  <c:v>0.1007</c:v>
                </c:pt>
                <c:pt idx="293">
                  <c:v>0.1009</c:v>
                </c:pt>
                <c:pt idx="294">
                  <c:v>0.1011</c:v>
                </c:pt>
                <c:pt idx="295">
                  <c:v>0.1012</c:v>
                </c:pt>
                <c:pt idx="296">
                  <c:v>0.1014</c:v>
                </c:pt>
                <c:pt idx="297">
                  <c:v>0.1015</c:v>
                </c:pt>
                <c:pt idx="298">
                  <c:v>0.1016</c:v>
                </c:pt>
                <c:pt idx="299">
                  <c:v>0.1018</c:v>
                </c:pt>
                <c:pt idx="300">
                  <c:v>0.1019</c:v>
                </c:pt>
                <c:pt idx="301">
                  <c:v>0.102</c:v>
                </c:pt>
                <c:pt idx="302">
                  <c:v>0.1022</c:v>
                </c:pt>
                <c:pt idx="303">
                  <c:v>0.1023</c:v>
                </c:pt>
                <c:pt idx="304">
                  <c:v>0.1025</c:v>
                </c:pt>
                <c:pt idx="305">
                  <c:v>0.1027</c:v>
                </c:pt>
                <c:pt idx="306">
                  <c:v>0.103</c:v>
                </c:pt>
                <c:pt idx="307">
                  <c:v>0.1032</c:v>
                </c:pt>
                <c:pt idx="308">
                  <c:v>0.1035</c:v>
                </c:pt>
                <c:pt idx="309">
                  <c:v>0.1038</c:v>
                </c:pt>
                <c:pt idx="310">
                  <c:v>0.1041</c:v>
                </c:pt>
                <c:pt idx="311">
                  <c:v>0.1044</c:v>
                </c:pt>
                <c:pt idx="312">
                  <c:v>0.1047</c:v>
                </c:pt>
                <c:pt idx="313">
                  <c:v>0.1049</c:v>
                </c:pt>
                <c:pt idx="314">
                  <c:v>0.1052</c:v>
                </c:pt>
                <c:pt idx="315">
                  <c:v>0.1055</c:v>
                </c:pt>
                <c:pt idx="316">
                  <c:v>0.1057</c:v>
                </c:pt>
                <c:pt idx="317">
                  <c:v>0.1059</c:v>
                </c:pt>
                <c:pt idx="318">
                  <c:v>0.1061</c:v>
                </c:pt>
                <c:pt idx="319">
                  <c:v>0.1063</c:v>
                </c:pt>
                <c:pt idx="320">
                  <c:v>0.1065</c:v>
                </c:pt>
                <c:pt idx="321">
                  <c:v>0.1066</c:v>
                </c:pt>
                <c:pt idx="322">
                  <c:v>0.1068</c:v>
                </c:pt>
                <c:pt idx="323">
                  <c:v>0.107</c:v>
                </c:pt>
                <c:pt idx="324">
                  <c:v>0.1072</c:v>
                </c:pt>
                <c:pt idx="325">
                  <c:v>0.1074</c:v>
                </c:pt>
                <c:pt idx="326">
                  <c:v>0.1077</c:v>
                </c:pt>
              </c:numCache>
            </c:numRef>
          </c:yVal>
          <c:smooth val="0"/>
        </c:ser>
        <c:dLbls>
          <c:showLegendKey val="0"/>
          <c:showVal val="0"/>
          <c:showCatName val="0"/>
          <c:showSerName val="0"/>
          <c:showPercent val="0"/>
          <c:showBubbleSize val="0"/>
        </c:dLbls>
        <c:axId val="2129945192"/>
        <c:axId val="2129939464"/>
      </c:scatterChart>
      <c:valAx>
        <c:axId val="2129945192"/>
        <c:scaling>
          <c:logBase val="10.0"/>
          <c:orientation val="maxMin"/>
          <c:max val="0.1"/>
        </c:scaling>
        <c:delete val="0"/>
        <c:axPos val="b"/>
        <c:title>
          <c:tx>
            <c:rich>
              <a:bodyPr/>
              <a:lstStyle/>
              <a:p>
                <a:pPr>
                  <a:defRPr/>
                </a:pPr>
                <a:r>
                  <a:rPr lang="en-US"/>
                  <a:t>Pore Diameter (μm) </a:t>
                </a:r>
              </a:p>
            </c:rich>
          </c:tx>
          <c:overlay val="0"/>
        </c:title>
        <c:numFmt formatCode="General" sourceLinked="0"/>
        <c:majorTickMark val="out"/>
        <c:minorTickMark val="none"/>
        <c:tickLblPos val="nextTo"/>
        <c:spPr>
          <a:ln>
            <a:solidFill>
              <a:schemeClr val="tx1"/>
            </a:solidFill>
          </a:ln>
        </c:spPr>
        <c:txPr>
          <a:bodyPr rot="0" vert="horz"/>
          <a:lstStyle/>
          <a:p>
            <a:pPr>
              <a:defRPr sz="1200" b="0" i="0" u="none" strike="noStrike" baseline="0">
                <a:solidFill>
                  <a:srgbClr val="000000"/>
                </a:solidFill>
                <a:latin typeface="ＭＳ Ｐゴシック"/>
                <a:ea typeface="ＭＳ Ｐゴシック"/>
                <a:cs typeface="ＭＳ Ｐゴシック"/>
              </a:defRPr>
            </a:pPr>
            <a:endParaRPr lang="en-US"/>
          </a:p>
        </c:txPr>
        <c:crossAx val="2129939464"/>
        <c:crosses val="autoZero"/>
        <c:crossBetween val="midCat"/>
      </c:valAx>
      <c:valAx>
        <c:axId val="2129939464"/>
        <c:scaling>
          <c:orientation val="minMax"/>
        </c:scaling>
        <c:delete val="0"/>
        <c:axPos val="l"/>
        <c:title>
          <c:tx>
            <c:rich>
              <a:bodyPr rot="-5400000" vert="horz"/>
              <a:lstStyle/>
              <a:p>
                <a:pPr>
                  <a:defRPr sz="800"/>
                </a:pPr>
                <a:r>
                  <a:rPr lang="tr-TR" sz="1100" b="1" i="0" baseline="0">
                    <a:effectLst/>
                  </a:rPr>
                  <a:t>Cumulative Pore Volume (ml/g)</a:t>
                </a:r>
                <a:endParaRPr lang="tr-TR" sz="800">
                  <a:effectLst/>
                </a:endParaRPr>
              </a:p>
            </c:rich>
          </c:tx>
          <c:layout>
            <c:manualLayout>
              <c:xMode val="edge"/>
              <c:yMode val="edge"/>
              <c:x val="0.002"/>
              <c:y val="0.0915979794978458"/>
            </c:manualLayout>
          </c:layout>
          <c:overlay val="0"/>
        </c:title>
        <c:numFmt formatCode="#,##0.00" sourceLinked="0"/>
        <c:majorTickMark val="out"/>
        <c:minorTickMark val="none"/>
        <c:tickLblPos val="nextTo"/>
        <c:spPr>
          <a:ln>
            <a:solidFill>
              <a:schemeClr val="tx1"/>
            </a:solidFill>
          </a:ln>
        </c:spPr>
        <c:txPr>
          <a:bodyPr/>
          <a:lstStyle/>
          <a:p>
            <a:pPr>
              <a:defRPr lang="ja-JP" sz="1200"/>
            </a:pPr>
            <a:endParaRPr lang="en-US"/>
          </a:p>
        </c:txPr>
        <c:crossAx val="2129945192"/>
        <c:crosses val="max"/>
        <c:crossBetween val="midCat"/>
      </c:valAx>
    </c:plotArea>
    <c:legend>
      <c:legendPos val="t"/>
      <c:layout>
        <c:manualLayout>
          <c:xMode val="edge"/>
          <c:yMode val="edge"/>
          <c:x val="0.238998950131234"/>
          <c:y val="0.0226415094339623"/>
          <c:w val="0.615335433070866"/>
          <c:h val="0.0885984251968505"/>
        </c:manualLayout>
      </c:layout>
      <c:overlay val="0"/>
      <c:txPr>
        <a:bodyPr/>
        <a:lstStyle/>
        <a:p>
          <a:pPr>
            <a:defRPr sz="1100"/>
          </a:pPr>
          <a:endParaRPr lang="en-US"/>
        </a:p>
      </c:txPr>
    </c:legend>
    <c:plotVisOnly val="1"/>
    <c:dispBlanksAs val="gap"/>
    <c:showDLblsOverMax val="0"/>
  </c:chart>
  <c:spPr>
    <a:ln>
      <a:noFill/>
    </a:ln>
  </c:spPr>
  <c:txPr>
    <a:bodyPr/>
    <a:lstStyle/>
    <a:p>
      <a:pPr>
        <a:defRPr sz="1100">
          <a:latin typeface="Arial"/>
          <a:cs typeface="Aria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4161313810018"/>
          <c:y val="0.0973337775198946"/>
          <c:w val="0.591865000418831"/>
          <c:h val="0.720911154518124"/>
        </c:manualLayout>
      </c:layout>
      <c:scatterChart>
        <c:scatterStyle val="lineMarker"/>
        <c:varyColors val="0"/>
        <c:ser>
          <c:idx val="1"/>
          <c:order val="0"/>
          <c:tx>
            <c:v>In1</c:v>
          </c:tx>
          <c:spPr>
            <a:ln w="38100" cmpd="sng">
              <a:solidFill>
                <a:srgbClr val="0D0D0D"/>
              </a:solidFill>
              <a:prstDash val="solid"/>
            </a:ln>
          </c:spPr>
          <c:marker>
            <c:symbol val="none"/>
          </c:marker>
          <c:xVal>
            <c:numRef>
              <c:f>'0DB1- in1'!$V$1:$V$370</c:f>
              <c:numCache>
                <c:formatCode>0.00E+00</c:formatCode>
                <c:ptCount val="370"/>
                <c:pt idx="0">
                  <c:v>10.65</c:v>
                </c:pt>
                <c:pt idx="1">
                  <c:v>10.51</c:v>
                </c:pt>
                <c:pt idx="2">
                  <c:v>10.37</c:v>
                </c:pt>
                <c:pt idx="3">
                  <c:v>10.24</c:v>
                </c:pt>
                <c:pt idx="4">
                  <c:v>10.1</c:v>
                </c:pt>
                <c:pt idx="5">
                  <c:v>9.965000000000006</c:v>
                </c:pt>
                <c:pt idx="6">
                  <c:v>9.833</c:v>
                </c:pt>
                <c:pt idx="7">
                  <c:v>9.704000000000001</c:v>
                </c:pt>
                <c:pt idx="8">
                  <c:v>9.575</c:v>
                </c:pt>
                <c:pt idx="9">
                  <c:v>9.449</c:v>
                </c:pt>
                <c:pt idx="10">
                  <c:v>9.324000000000001</c:v>
                </c:pt>
                <c:pt idx="11">
                  <c:v>9.201000000000001</c:v>
                </c:pt>
                <c:pt idx="12">
                  <c:v>9.079</c:v>
                </c:pt>
                <c:pt idx="13">
                  <c:v>8.952</c:v>
                </c:pt>
                <c:pt idx="14">
                  <c:v>8.818000000000001</c:v>
                </c:pt>
                <c:pt idx="15">
                  <c:v>8.687000000000001</c:v>
                </c:pt>
                <c:pt idx="16">
                  <c:v>8.549</c:v>
                </c:pt>
                <c:pt idx="17">
                  <c:v>8.413</c:v>
                </c:pt>
                <c:pt idx="18">
                  <c:v>8.269</c:v>
                </c:pt>
                <c:pt idx="19">
                  <c:v>8.120000000000001</c:v>
                </c:pt>
                <c:pt idx="20">
                  <c:v>7.963999999999999</c:v>
                </c:pt>
                <c:pt idx="21">
                  <c:v>7.801</c:v>
                </c:pt>
                <c:pt idx="22">
                  <c:v>7.632</c:v>
                </c:pt>
                <c:pt idx="23">
                  <c:v>7.459</c:v>
                </c:pt>
                <c:pt idx="24">
                  <c:v>7.293</c:v>
                </c:pt>
                <c:pt idx="25">
                  <c:v>7.128999999999976</c:v>
                </c:pt>
                <c:pt idx="26">
                  <c:v>6.963999999999999</c:v>
                </c:pt>
                <c:pt idx="27">
                  <c:v>6.802999999999995</c:v>
                </c:pt>
                <c:pt idx="28">
                  <c:v>6.644999999999975</c:v>
                </c:pt>
                <c:pt idx="29">
                  <c:v>6.492</c:v>
                </c:pt>
                <c:pt idx="30">
                  <c:v>6.343999999999998</c:v>
                </c:pt>
                <c:pt idx="31">
                  <c:v>6.2</c:v>
                </c:pt>
                <c:pt idx="32">
                  <c:v>6.061999999999998</c:v>
                </c:pt>
                <c:pt idx="33">
                  <c:v>5.927</c:v>
                </c:pt>
                <c:pt idx="34">
                  <c:v>5.796</c:v>
                </c:pt>
                <c:pt idx="35">
                  <c:v>5.664999999999954</c:v>
                </c:pt>
                <c:pt idx="36">
                  <c:v>5.536</c:v>
                </c:pt>
                <c:pt idx="37">
                  <c:v>5.406</c:v>
                </c:pt>
                <c:pt idx="38">
                  <c:v>5.277</c:v>
                </c:pt>
                <c:pt idx="39">
                  <c:v>5.141999999999999</c:v>
                </c:pt>
                <c:pt idx="40">
                  <c:v>5.007</c:v>
                </c:pt>
                <c:pt idx="41">
                  <c:v>4.866999999999995</c:v>
                </c:pt>
                <c:pt idx="42">
                  <c:v>4.726999999999998</c:v>
                </c:pt>
                <c:pt idx="43">
                  <c:v>4.586</c:v>
                </c:pt>
                <c:pt idx="44">
                  <c:v>4.446</c:v>
                </c:pt>
                <c:pt idx="45">
                  <c:v>4.302999999999995</c:v>
                </c:pt>
                <c:pt idx="46">
                  <c:v>4.160999999999976</c:v>
                </c:pt>
                <c:pt idx="47">
                  <c:v>4.017999999999986</c:v>
                </c:pt>
                <c:pt idx="48">
                  <c:v>3.875999999999999</c:v>
                </c:pt>
                <c:pt idx="49">
                  <c:v>3.733</c:v>
                </c:pt>
                <c:pt idx="50">
                  <c:v>3.591</c:v>
                </c:pt>
                <c:pt idx="51">
                  <c:v>3.449</c:v>
                </c:pt>
                <c:pt idx="52">
                  <c:v>3.309</c:v>
                </c:pt>
                <c:pt idx="53">
                  <c:v>3.168</c:v>
                </c:pt>
                <c:pt idx="54">
                  <c:v>3.027</c:v>
                </c:pt>
                <c:pt idx="55">
                  <c:v>2.885</c:v>
                </c:pt>
                <c:pt idx="56">
                  <c:v>2.745</c:v>
                </c:pt>
                <c:pt idx="57">
                  <c:v>2.604</c:v>
                </c:pt>
                <c:pt idx="58">
                  <c:v>2.464</c:v>
                </c:pt>
                <c:pt idx="59">
                  <c:v>2.325</c:v>
                </c:pt>
                <c:pt idx="60">
                  <c:v>2.188</c:v>
                </c:pt>
                <c:pt idx="61">
                  <c:v>2.052999999999999</c:v>
                </c:pt>
                <c:pt idx="62">
                  <c:v>1.92</c:v>
                </c:pt>
                <c:pt idx="63">
                  <c:v>1.791</c:v>
                </c:pt>
                <c:pt idx="64">
                  <c:v>1.664</c:v>
                </c:pt>
                <c:pt idx="65">
                  <c:v>1.542</c:v>
                </c:pt>
                <c:pt idx="66">
                  <c:v>1.425</c:v>
                </c:pt>
                <c:pt idx="67">
                  <c:v>1.313</c:v>
                </c:pt>
                <c:pt idx="68">
                  <c:v>1.206</c:v>
                </c:pt>
                <c:pt idx="69">
                  <c:v>1.106</c:v>
                </c:pt>
                <c:pt idx="70">
                  <c:v>1.013</c:v>
                </c:pt>
                <c:pt idx="71">
                  <c:v>0.9265</c:v>
                </c:pt>
                <c:pt idx="72">
                  <c:v>0.8468</c:v>
                </c:pt>
                <c:pt idx="73">
                  <c:v>0.774</c:v>
                </c:pt>
                <c:pt idx="74">
                  <c:v>0.7078</c:v>
                </c:pt>
                <c:pt idx="75">
                  <c:v>0.6481</c:v>
                </c:pt>
                <c:pt idx="76">
                  <c:v>0.5944</c:v>
                </c:pt>
                <c:pt idx="77">
                  <c:v>0.5461</c:v>
                </c:pt>
                <c:pt idx="78">
                  <c:v>0.5029</c:v>
                </c:pt>
                <c:pt idx="79">
                  <c:v>0.4641</c:v>
                </c:pt>
                <c:pt idx="80">
                  <c:v>0.4294</c:v>
                </c:pt>
                <c:pt idx="81">
                  <c:v>0.3983</c:v>
                </c:pt>
                <c:pt idx="82">
                  <c:v>0.3705</c:v>
                </c:pt>
                <c:pt idx="83">
                  <c:v>0.3455</c:v>
                </c:pt>
                <c:pt idx="84">
                  <c:v>0.3231</c:v>
                </c:pt>
                <c:pt idx="85">
                  <c:v>0.3029</c:v>
                </c:pt>
                <c:pt idx="86">
                  <c:v>0.2846</c:v>
                </c:pt>
                <c:pt idx="87">
                  <c:v>0.2681</c:v>
                </c:pt>
                <c:pt idx="88">
                  <c:v>0.2531</c:v>
                </c:pt>
                <c:pt idx="89">
                  <c:v>0.2394</c:v>
                </c:pt>
                <c:pt idx="90">
                  <c:v>0.2268</c:v>
                </c:pt>
                <c:pt idx="91">
                  <c:v>0.2153</c:v>
                </c:pt>
                <c:pt idx="92">
                  <c:v>0.2048</c:v>
                </c:pt>
                <c:pt idx="93">
                  <c:v>0.1951</c:v>
                </c:pt>
                <c:pt idx="94">
                  <c:v>0.186</c:v>
                </c:pt>
                <c:pt idx="95">
                  <c:v>0.1777</c:v>
                </c:pt>
                <c:pt idx="96">
                  <c:v>0.1699</c:v>
                </c:pt>
                <c:pt idx="97">
                  <c:v>0.1626</c:v>
                </c:pt>
                <c:pt idx="98">
                  <c:v>0.1559</c:v>
                </c:pt>
                <c:pt idx="99">
                  <c:v>0.1495</c:v>
                </c:pt>
                <c:pt idx="100">
                  <c:v>0.1435</c:v>
                </c:pt>
                <c:pt idx="101">
                  <c:v>0.1379</c:v>
                </c:pt>
                <c:pt idx="102">
                  <c:v>0.1326</c:v>
                </c:pt>
                <c:pt idx="103">
                  <c:v>0.1276</c:v>
                </c:pt>
                <c:pt idx="104">
                  <c:v>0.1229</c:v>
                </c:pt>
                <c:pt idx="105">
                  <c:v>0.1183</c:v>
                </c:pt>
                <c:pt idx="106">
                  <c:v>0.1141</c:v>
                </c:pt>
                <c:pt idx="107">
                  <c:v>0.1101</c:v>
                </c:pt>
                <c:pt idx="108">
                  <c:v>0.1063</c:v>
                </c:pt>
                <c:pt idx="109">
                  <c:v>0.1027</c:v>
                </c:pt>
                <c:pt idx="110">
                  <c:v>0.09935</c:v>
                </c:pt>
                <c:pt idx="111">
                  <c:v>0.09619</c:v>
                </c:pt>
                <c:pt idx="112">
                  <c:v>0.09322</c:v>
                </c:pt>
                <c:pt idx="113">
                  <c:v>0.09042</c:v>
                </c:pt>
                <c:pt idx="114">
                  <c:v>0.08776</c:v>
                </c:pt>
                <c:pt idx="115">
                  <c:v>0.08525</c:v>
                </c:pt>
                <c:pt idx="116">
                  <c:v>0.08291</c:v>
                </c:pt>
                <c:pt idx="117">
                  <c:v>0.08069</c:v>
                </c:pt>
                <c:pt idx="118">
                  <c:v>0.07859</c:v>
                </c:pt>
                <c:pt idx="119">
                  <c:v>0.07658</c:v>
                </c:pt>
                <c:pt idx="120">
                  <c:v>0.07463</c:v>
                </c:pt>
                <c:pt idx="121">
                  <c:v>0.07277</c:v>
                </c:pt>
                <c:pt idx="122">
                  <c:v>0.071</c:v>
                </c:pt>
                <c:pt idx="123">
                  <c:v>0.06931</c:v>
                </c:pt>
                <c:pt idx="124">
                  <c:v>0.06769</c:v>
                </c:pt>
                <c:pt idx="125">
                  <c:v>0.06614</c:v>
                </c:pt>
                <c:pt idx="126">
                  <c:v>0.06466</c:v>
                </c:pt>
                <c:pt idx="127">
                  <c:v>0.06321</c:v>
                </c:pt>
                <c:pt idx="128">
                  <c:v>0.06183</c:v>
                </c:pt>
                <c:pt idx="129">
                  <c:v>0.06046</c:v>
                </c:pt>
                <c:pt idx="130">
                  <c:v>0.05915</c:v>
                </c:pt>
                <c:pt idx="131">
                  <c:v>0.05793</c:v>
                </c:pt>
                <c:pt idx="132">
                  <c:v>0.05675</c:v>
                </c:pt>
                <c:pt idx="133">
                  <c:v>0.05561</c:v>
                </c:pt>
                <c:pt idx="134">
                  <c:v>0.0545</c:v>
                </c:pt>
                <c:pt idx="135">
                  <c:v>0.05343</c:v>
                </c:pt>
                <c:pt idx="136">
                  <c:v>0.05239</c:v>
                </c:pt>
                <c:pt idx="137">
                  <c:v>0.0514</c:v>
                </c:pt>
                <c:pt idx="138">
                  <c:v>0.05043</c:v>
                </c:pt>
                <c:pt idx="139">
                  <c:v>0.0495</c:v>
                </c:pt>
                <c:pt idx="140">
                  <c:v>0.04862</c:v>
                </c:pt>
                <c:pt idx="141">
                  <c:v>0.04777</c:v>
                </c:pt>
                <c:pt idx="142">
                  <c:v>0.04695</c:v>
                </c:pt>
                <c:pt idx="143">
                  <c:v>0.04615</c:v>
                </c:pt>
                <c:pt idx="144">
                  <c:v>0.04537</c:v>
                </c:pt>
                <c:pt idx="145">
                  <c:v>0.04464</c:v>
                </c:pt>
                <c:pt idx="146">
                  <c:v>0.04392</c:v>
                </c:pt>
                <c:pt idx="147">
                  <c:v>0.04323</c:v>
                </c:pt>
                <c:pt idx="148">
                  <c:v>0.04255</c:v>
                </c:pt>
                <c:pt idx="149">
                  <c:v>0.04191</c:v>
                </c:pt>
                <c:pt idx="150">
                  <c:v>0.04129</c:v>
                </c:pt>
                <c:pt idx="151">
                  <c:v>0.04068</c:v>
                </c:pt>
                <c:pt idx="152">
                  <c:v>0.04009</c:v>
                </c:pt>
                <c:pt idx="153">
                  <c:v>0.03951</c:v>
                </c:pt>
                <c:pt idx="154">
                  <c:v>0.03895</c:v>
                </c:pt>
                <c:pt idx="155">
                  <c:v>0.03841</c:v>
                </c:pt>
                <c:pt idx="156">
                  <c:v>0.03788</c:v>
                </c:pt>
                <c:pt idx="157">
                  <c:v>0.03735</c:v>
                </c:pt>
                <c:pt idx="158">
                  <c:v>0.03685</c:v>
                </c:pt>
                <c:pt idx="159">
                  <c:v>0.03635</c:v>
                </c:pt>
                <c:pt idx="160">
                  <c:v>0.03587</c:v>
                </c:pt>
                <c:pt idx="161">
                  <c:v>0.0354</c:v>
                </c:pt>
                <c:pt idx="162">
                  <c:v>0.03494</c:v>
                </c:pt>
                <c:pt idx="163">
                  <c:v>0.03449</c:v>
                </c:pt>
                <c:pt idx="164">
                  <c:v>0.03405</c:v>
                </c:pt>
                <c:pt idx="165">
                  <c:v>0.03362</c:v>
                </c:pt>
                <c:pt idx="166">
                  <c:v>0.03319</c:v>
                </c:pt>
                <c:pt idx="167">
                  <c:v>0.03278</c:v>
                </c:pt>
                <c:pt idx="168">
                  <c:v>0.03237</c:v>
                </c:pt>
                <c:pt idx="169">
                  <c:v>0.03197</c:v>
                </c:pt>
                <c:pt idx="170">
                  <c:v>0.03157</c:v>
                </c:pt>
                <c:pt idx="171">
                  <c:v>0.03118</c:v>
                </c:pt>
                <c:pt idx="172">
                  <c:v>0.03079</c:v>
                </c:pt>
                <c:pt idx="173">
                  <c:v>0.0304</c:v>
                </c:pt>
                <c:pt idx="174">
                  <c:v>0.03002</c:v>
                </c:pt>
                <c:pt idx="175">
                  <c:v>0.02964</c:v>
                </c:pt>
                <c:pt idx="176">
                  <c:v>0.02926</c:v>
                </c:pt>
                <c:pt idx="177">
                  <c:v>0.02888</c:v>
                </c:pt>
                <c:pt idx="178">
                  <c:v>0.0285</c:v>
                </c:pt>
                <c:pt idx="179">
                  <c:v>0.02814</c:v>
                </c:pt>
                <c:pt idx="180">
                  <c:v>0.02777</c:v>
                </c:pt>
                <c:pt idx="181">
                  <c:v>0.02742</c:v>
                </c:pt>
                <c:pt idx="182">
                  <c:v>0.02706</c:v>
                </c:pt>
                <c:pt idx="183">
                  <c:v>0.02671</c:v>
                </c:pt>
                <c:pt idx="184">
                  <c:v>0.02637</c:v>
                </c:pt>
                <c:pt idx="185">
                  <c:v>0.02603</c:v>
                </c:pt>
                <c:pt idx="186">
                  <c:v>0.0257</c:v>
                </c:pt>
                <c:pt idx="187">
                  <c:v>0.02537</c:v>
                </c:pt>
                <c:pt idx="188">
                  <c:v>0.02505</c:v>
                </c:pt>
                <c:pt idx="189">
                  <c:v>0.02473</c:v>
                </c:pt>
                <c:pt idx="190">
                  <c:v>0.0244</c:v>
                </c:pt>
                <c:pt idx="191">
                  <c:v>0.02408</c:v>
                </c:pt>
                <c:pt idx="192">
                  <c:v>0.02376</c:v>
                </c:pt>
                <c:pt idx="193">
                  <c:v>0.02345</c:v>
                </c:pt>
                <c:pt idx="194">
                  <c:v>0.02314</c:v>
                </c:pt>
                <c:pt idx="195">
                  <c:v>0.02283</c:v>
                </c:pt>
                <c:pt idx="196">
                  <c:v>0.02252</c:v>
                </c:pt>
                <c:pt idx="197">
                  <c:v>0.02222</c:v>
                </c:pt>
                <c:pt idx="198">
                  <c:v>0.02192</c:v>
                </c:pt>
                <c:pt idx="199">
                  <c:v>0.02162</c:v>
                </c:pt>
                <c:pt idx="200">
                  <c:v>0.02134</c:v>
                </c:pt>
                <c:pt idx="201">
                  <c:v>0.02106</c:v>
                </c:pt>
                <c:pt idx="202">
                  <c:v>0.02078</c:v>
                </c:pt>
                <c:pt idx="203">
                  <c:v>0.02051</c:v>
                </c:pt>
                <c:pt idx="204">
                  <c:v>0.02025</c:v>
                </c:pt>
                <c:pt idx="205">
                  <c:v>0.02</c:v>
                </c:pt>
                <c:pt idx="206">
                  <c:v>0.01974</c:v>
                </c:pt>
                <c:pt idx="207">
                  <c:v>0.0195</c:v>
                </c:pt>
                <c:pt idx="208">
                  <c:v>0.01925</c:v>
                </c:pt>
                <c:pt idx="209">
                  <c:v>0.01902</c:v>
                </c:pt>
                <c:pt idx="210">
                  <c:v>0.01879</c:v>
                </c:pt>
                <c:pt idx="211">
                  <c:v>0.01856</c:v>
                </c:pt>
                <c:pt idx="212">
                  <c:v>0.01834</c:v>
                </c:pt>
                <c:pt idx="213">
                  <c:v>0.01812</c:v>
                </c:pt>
                <c:pt idx="214">
                  <c:v>0.01791</c:v>
                </c:pt>
                <c:pt idx="215">
                  <c:v>0.0177</c:v>
                </c:pt>
                <c:pt idx="216">
                  <c:v>0.01749</c:v>
                </c:pt>
                <c:pt idx="217">
                  <c:v>0.01729</c:v>
                </c:pt>
                <c:pt idx="218">
                  <c:v>0.01709</c:v>
                </c:pt>
                <c:pt idx="219">
                  <c:v>0.0169</c:v>
                </c:pt>
                <c:pt idx="220">
                  <c:v>0.01671</c:v>
                </c:pt>
                <c:pt idx="221">
                  <c:v>0.01652</c:v>
                </c:pt>
                <c:pt idx="222">
                  <c:v>0.01634</c:v>
                </c:pt>
                <c:pt idx="223">
                  <c:v>0.01615</c:v>
                </c:pt>
                <c:pt idx="224">
                  <c:v>0.01597</c:v>
                </c:pt>
                <c:pt idx="225">
                  <c:v>0.0158</c:v>
                </c:pt>
                <c:pt idx="226">
                  <c:v>0.01563</c:v>
                </c:pt>
                <c:pt idx="227">
                  <c:v>0.01546</c:v>
                </c:pt>
                <c:pt idx="228">
                  <c:v>0.01529</c:v>
                </c:pt>
                <c:pt idx="229">
                  <c:v>0.01513</c:v>
                </c:pt>
                <c:pt idx="230">
                  <c:v>0.01498</c:v>
                </c:pt>
                <c:pt idx="231">
                  <c:v>0.01483</c:v>
                </c:pt>
                <c:pt idx="232">
                  <c:v>0.01468</c:v>
                </c:pt>
                <c:pt idx="233">
                  <c:v>0.01454</c:v>
                </c:pt>
                <c:pt idx="234">
                  <c:v>0.0144</c:v>
                </c:pt>
                <c:pt idx="235">
                  <c:v>0.01427</c:v>
                </c:pt>
                <c:pt idx="236">
                  <c:v>0.01414</c:v>
                </c:pt>
                <c:pt idx="237">
                  <c:v>0.01402</c:v>
                </c:pt>
                <c:pt idx="238">
                  <c:v>0.0139</c:v>
                </c:pt>
                <c:pt idx="239">
                  <c:v>0.01379</c:v>
                </c:pt>
                <c:pt idx="240">
                  <c:v>0.01368</c:v>
                </c:pt>
                <c:pt idx="241">
                  <c:v>0.01357</c:v>
                </c:pt>
                <c:pt idx="242">
                  <c:v>0.01347</c:v>
                </c:pt>
                <c:pt idx="243">
                  <c:v>0.01338</c:v>
                </c:pt>
                <c:pt idx="244">
                  <c:v>0.01328</c:v>
                </c:pt>
                <c:pt idx="245">
                  <c:v>0.0132</c:v>
                </c:pt>
                <c:pt idx="246">
                  <c:v>0.01311</c:v>
                </c:pt>
                <c:pt idx="247">
                  <c:v>0.01303</c:v>
                </c:pt>
                <c:pt idx="248">
                  <c:v>0.01294</c:v>
                </c:pt>
                <c:pt idx="249">
                  <c:v>0.01286</c:v>
                </c:pt>
                <c:pt idx="250">
                  <c:v>0.01278</c:v>
                </c:pt>
                <c:pt idx="251">
                  <c:v>0.0127</c:v>
                </c:pt>
                <c:pt idx="252">
                  <c:v>0.01262</c:v>
                </c:pt>
                <c:pt idx="253">
                  <c:v>0.01254</c:v>
                </c:pt>
                <c:pt idx="254">
                  <c:v>0.01246</c:v>
                </c:pt>
                <c:pt idx="255">
                  <c:v>0.01239</c:v>
                </c:pt>
                <c:pt idx="256">
                  <c:v>0.01231</c:v>
                </c:pt>
                <c:pt idx="257">
                  <c:v>0.01223</c:v>
                </c:pt>
                <c:pt idx="258">
                  <c:v>0.01216</c:v>
                </c:pt>
                <c:pt idx="259">
                  <c:v>0.01208</c:v>
                </c:pt>
                <c:pt idx="260">
                  <c:v>0.01201</c:v>
                </c:pt>
                <c:pt idx="261">
                  <c:v>0.01194</c:v>
                </c:pt>
                <c:pt idx="262">
                  <c:v>0.01187</c:v>
                </c:pt>
                <c:pt idx="263">
                  <c:v>0.0118</c:v>
                </c:pt>
                <c:pt idx="264">
                  <c:v>0.01173</c:v>
                </c:pt>
                <c:pt idx="265">
                  <c:v>0.01166</c:v>
                </c:pt>
                <c:pt idx="266">
                  <c:v>0.01159</c:v>
                </c:pt>
                <c:pt idx="267">
                  <c:v>0.01152</c:v>
                </c:pt>
                <c:pt idx="268">
                  <c:v>0.01145</c:v>
                </c:pt>
                <c:pt idx="269">
                  <c:v>0.01139</c:v>
                </c:pt>
                <c:pt idx="270">
                  <c:v>0.01132</c:v>
                </c:pt>
                <c:pt idx="271">
                  <c:v>0.01125</c:v>
                </c:pt>
                <c:pt idx="272">
                  <c:v>0.01119</c:v>
                </c:pt>
                <c:pt idx="273">
                  <c:v>0.01113</c:v>
                </c:pt>
                <c:pt idx="274">
                  <c:v>0.01106</c:v>
                </c:pt>
                <c:pt idx="275">
                  <c:v>0.011</c:v>
                </c:pt>
                <c:pt idx="276">
                  <c:v>0.01094</c:v>
                </c:pt>
                <c:pt idx="277">
                  <c:v>0.01088</c:v>
                </c:pt>
                <c:pt idx="278">
                  <c:v>0.01081</c:v>
                </c:pt>
                <c:pt idx="279">
                  <c:v>0.01075</c:v>
                </c:pt>
                <c:pt idx="280">
                  <c:v>0.01069</c:v>
                </c:pt>
                <c:pt idx="281">
                  <c:v>0.01063</c:v>
                </c:pt>
                <c:pt idx="282">
                  <c:v>0.01058</c:v>
                </c:pt>
                <c:pt idx="283">
                  <c:v>0.01052</c:v>
                </c:pt>
                <c:pt idx="284">
                  <c:v>0.01046</c:v>
                </c:pt>
                <c:pt idx="285">
                  <c:v>0.0104</c:v>
                </c:pt>
                <c:pt idx="286">
                  <c:v>0.01034</c:v>
                </c:pt>
                <c:pt idx="287">
                  <c:v>0.01029</c:v>
                </c:pt>
                <c:pt idx="288">
                  <c:v>0.01023</c:v>
                </c:pt>
                <c:pt idx="289">
                  <c:v>0.01018</c:v>
                </c:pt>
                <c:pt idx="290">
                  <c:v>0.01012</c:v>
                </c:pt>
                <c:pt idx="291">
                  <c:v>0.01007</c:v>
                </c:pt>
                <c:pt idx="292">
                  <c:v>0.01001</c:v>
                </c:pt>
                <c:pt idx="293">
                  <c:v>0.00996</c:v>
                </c:pt>
                <c:pt idx="294">
                  <c:v>0.009908</c:v>
                </c:pt>
                <c:pt idx="295">
                  <c:v>0.009855</c:v>
                </c:pt>
                <c:pt idx="296">
                  <c:v>0.009803</c:v>
                </c:pt>
                <c:pt idx="297">
                  <c:v>0.009751</c:v>
                </c:pt>
                <c:pt idx="298">
                  <c:v>0.009699</c:v>
                </c:pt>
                <c:pt idx="299">
                  <c:v>0.009647</c:v>
                </c:pt>
                <c:pt idx="300">
                  <c:v>0.009595</c:v>
                </c:pt>
                <c:pt idx="301">
                  <c:v>0.009544</c:v>
                </c:pt>
                <c:pt idx="302">
                  <c:v>0.009494</c:v>
                </c:pt>
                <c:pt idx="303">
                  <c:v>0.009443</c:v>
                </c:pt>
                <c:pt idx="304">
                  <c:v>0.009392</c:v>
                </c:pt>
                <c:pt idx="305">
                  <c:v>0.009342</c:v>
                </c:pt>
                <c:pt idx="306">
                  <c:v>0.00929</c:v>
                </c:pt>
                <c:pt idx="307">
                  <c:v>0.009238</c:v>
                </c:pt>
                <c:pt idx="308">
                  <c:v>0.009186</c:v>
                </c:pt>
                <c:pt idx="309">
                  <c:v>0.009134</c:v>
                </c:pt>
                <c:pt idx="310">
                  <c:v>0.009081</c:v>
                </c:pt>
                <c:pt idx="311">
                  <c:v>0.009028</c:v>
                </c:pt>
                <c:pt idx="312">
                  <c:v>0.008975</c:v>
                </c:pt>
                <c:pt idx="313">
                  <c:v>0.008921</c:v>
                </c:pt>
                <c:pt idx="314">
                  <c:v>0.008866</c:v>
                </c:pt>
                <c:pt idx="315">
                  <c:v>0.008812</c:v>
                </c:pt>
                <c:pt idx="316">
                  <c:v>0.008758</c:v>
                </c:pt>
                <c:pt idx="317">
                  <c:v>0.008704</c:v>
                </c:pt>
                <c:pt idx="318">
                  <c:v>0.00865</c:v>
                </c:pt>
                <c:pt idx="319">
                  <c:v>0.008598</c:v>
                </c:pt>
                <c:pt idx="320">
                  <c:v>0.008545</c:v>
                </c:pt>
                <c:pt idx="321">
                  <c:v>0.008493</c:v>
                </c:pt>
                <c:pt idx="322">
                  <c:v>0.008442</c:v>
                </c:pt>
                <c:pt idx="323">
                  <c:v>0.008391</c:v>
                </c:pt>
                <c:pt idx="324">
                  <c:v>0.008341</c:v>
                </c:pt>
                <c:pt idx="325">
                  <c:v>0.008291</c:v>
                </c:pt>
                <c:pt idx="326">
                  <c:v>0.008242</c:v>
                </c:pt>
                <c:pt idx="327">
                  <c:v>0.008193</c:v>
                </c:pt>
                <c:pt idx="328">
                  <c:v>0.008145</c:v>
                </c:pt>
                <c:pt idx="329">
                  <c:v>0.008097</c:v>
                </c:pt>
                <c:pt idx="330">
                  <c:v>0.00805</c:v>
                </c:pt>
                <c:pt idx="331">
                  <c:v>0.008003</c:v>
                </c:pt>
                <c:pt idx="332">
                  <c:v>0.007956</c:v>
                </c:pt>
                <c:pt idx="333">
                  <c:v>0.00791</c:v>
                </c:pt>
                <c:pt idx="334">
                  <c:v>0.007864</c:v>
                </c:pt>
                <c:pt idx="335">
                  <c:v>0.007818</c:v>
                </c:pt>
                <c:pt idx="336">
                  <c:v>0.007773</c:v>
                </c:pt>
                <c:pt idx="337">
                  <c:v>0.007729</c:v>
                </c:pt>
                <c:pt idx="338">
                  <c:v>0.007685</c:v>
                </c:pt>
                <c:pt idx="339">
                  <c:v>0.007641</c:v>
                </c:pt>
                <c:pt idx="340">
                  <c:v>0.007597</c:v>
                </c:pt>
                <c:pt idx="341">
                  <c:v>0.007554</c:v>
                </c:pt>
                <c:pt idx="342">
                  <c:v>0.007512</c:v>
                </c:pt>
                <c:pt idx="343">
                  <c:v>0.007469</c:v>
                </c:pt>
                <c:pt idx="344">
                  <c:v>0.007427</c:v>
                </c:pt>
                <c:pt idx="345">
                  <c:v>0.007386</c:v>
                </c:pt>
                <c:pt idx="346">
                  <c:v>0.007345</c:v>
                </c:pt>
                <c:pt idx="347">
                  <c:v>0.007305</c:v>
                </c:pt>
                <c:pt idx="348">
                  <c:v>0.007265</c:v>
                </c:pt>
                <c:pt idx="349">
                  <c:v>0.007225</c:v>
                </c:pt>
                <c:pt idx="350">
                  <c:v>0.007186</c:v>
                </c:pt>
                <c:pt idx="351">
                  <c:v>0.007147</c:v>
                </c:pt>
                <c:pt idx="352">
                  <c:v>0.007108</c:v>
                </c:pt>
                <c:pt idx="353">
                  <c:v>0.00707</c:v>
                </c:pt>
                <c:pt idx="354">
                  <c:v>0.007032</c:v>
                </c:pt>
                <c:pt idx="355">
                  <c:v>0.006994</c:v>
                </c:pt>
                <c:pt idx="356">
                  <c:v>0.006956</c:v>
                </c:pt>
                <c:pt idx="357">
                  <c:v>0.006919</c:v>
                </c:pt>
                <c:pt idx="358">
                  <c:v>0.006882</c:v>
                </c:pt>
                <c:pt idx="359">
                  <c:v>0.006845</c:v>
                </c:pt>
                <c:pt idx="360">
                  <c:v>0.006809</c:v>
                </c:pt>
                <c:pt idx="361">
                  <c:v>0.006772</c:v>
                </c:pt>
                <c:pt idx="362">
                  <c:v>0.006736</c:v>
                </c:pt>
                <c:pt idx="363">
                  <c:v>0.006699</c:v>
                </c:pt>
                <c:pt idx="364">
                  <c:v>0.006663</c:v>
                </c:pt>
                <c:pt idx="365">
                  <c:v>0.006628</c:v>
                </c:pt>
                <c:pt idx="366">
                  <c:v>0.006593</c:v>
                </c:pt>
                <c:pt idx="367">
                  <c:v>0.006557</c:v>
                </c:pt>
                <c:pt idx="368">
                  <c:v>0.006522</c:v>
                </c:pt>
                <c:pt idx="369">
                  <c:v>0.006488</c:v>
                </c:pt>
              </c:numCache>
            </c:numRef>
          </c:xVal>
          <c:yVal>
            <c:numRef>
              <c:f>'0DB1- in1'!$J$5:$J$374</c:f>
              <c:numCache>
                <c:formatCode>General</c:formatCode>
                <c:ptCount val="370"/>
                <c:pt idx="0">
                  <c:v>0.0</c:v>
                </c:pt>
                <c:pt idx="1">
                  <c:v>0.0</c:v>
                </c:pt>
                <c:pt idx="2">
                  <c:v>0.0001</c:v>
                </c:pt>
                <c:pt idx="3">
                  <c:v>0.00015</c:v>
                </c:pt>
                <c:pt idx="4">
                  <c:v>0.0002</c:v>
                </c:pt>
                <c:pt idx="5">
                  <c:v>0.0002</c:v>
                </c:pt>
                <c:pt idx="6">
                  <c:v>0.00025</c:v>
                </c:pt>
                <c:pt idx="7">
                  <c:v>0.00025</c:v>
                </c:pt>
                <c:pt idx="8">
                  <c:v>0.0003</c:v>
                </c:pt>
                <c:pt idx="9">
                  <c:v>0.0003</c:v>
                </c:pt>
                <c:pt idx="10">
                  <c:v>0.0003</c:v>
                </c:pt>
                <c:pt idx="11">
                  <c:v>0.0003</c:v>
                </c:pt>
                <c:pt idx="12">
                  <c:v>0.0003</c:v>
                </c:pt>
                <c:pt idx="13">
                  <c:v>0.0003</c:v>
                </c:pt>
                <c:pt idx="14">
                  <c:v>0.0003</c:v>
                </c:pt>
                <c:pt idx="15">
                  <c:v>0.0003</c:v>
                </c:pt>
                <c:pt idx="16">
                  <c:v>0.0003</c:v>
                </c:pt>
                <c:pt idx="17">
                  <c:v>0.0003</c:v>
                </c:pt>
                <c:pt idx="18">
                  <c:v>0.0003</c:v>
                </c:pt>
                <c:pt idx="19">
                  <c:v>0.0003</c:v>
                </c:pt>
                <c:pt idx="20">
                  <c:v>0.0003</c:v>
                </c:pt>
                <c:pt idx="21">
                  <c:v>0.0003</c:v>
                </c:pt>
                <c:pt idx="22">
                  <c:v>0.0003</c:v>
                </c:pt>
                <c:pt idx="23">
                  <c:v>0.0003</c:v>
                </c:pt>
                <c:pt idx="24">
                  <c:v>0.0003</c:v>
                </c:pt>
                <c:pt idx="25">
                  <c:v>0.0003</c:v>
                </c:pt>
                <c:pt idx="26">
                  <c:v>0.0003</c:v>
                </c:pt>
                <c:pt idx="27">
                  <c:v>0.0003</c:v>
                </c:pt>
                <c:pt idx="28">
                  <c:v>0.0003</c:v>
                </c:pt>
                <c:pt idx="29">
                  <c:v>0.0003</c:v>
                </c:pt>
                <c:pt idx="30">
                  <c:v>0.0003</c:v>
                </c:pt>
                <c:pt idx="31">
                  <c:v>0.0003</c:v>
                </c:pt>
                <c:pt idx="32">
                  <c:v>0.0003</c:v>
                </c:pt>
                <c:pt idx="33">
                  <c:v>0.0003</c:v>
                </c:pt>
                <c:pt idx="34">
                  <c:v>0.0003</c:v>
                </c:pt>
                <c:pt idx="35">
                  <c:v>0.0003</c:v>
                </c:pt>
                <c:pt idx="36">
                  <c:v>0.0003</c:v>
                </c:pt>
                <c:pt idx="37">
                  <c:v>0.0003</c:v>
                </c:pt>
                <c:pt idx="38">
                  <c:v>0.0003</c:v>
                </c:pt>
                <c:pt idx="39">
                  <c:v>0.0003</c:v>
                </c:pt>
                <c:pt idx="40">
                  <c:v>0.0003</c:v>
                </c:pt>
                <c:pt idx="41">
                  <c:v>0.0003</c:v>
                </c:pt>
                <c:pt idx="42">
                  <c:v>0.0003</c:v>
                </c:pt>
                <c:pt idx="43">
                  <c:v>0.0003</c:v>
                </c:pt>
                <c:pt idx="44">
                  <c:v>0.0003</c:v>
                </c:pt>
                <c:pt idx="45">
                  <c:v>0.0003</c:v>
                </c:pt>
                <c:pt idx="46">
                  <c:v>0.0003</c:v>
                </c:pt>
                <c:pt idx="47">
                  <c:v>0.0003</c:v>
                </c:pt>
                <c:pt idx="48">
                  <c:v>0.0003</c:v>
                </c:pt>
                <c:pt idx="49">
                  <c:v>0.0003</c:v>
                </c:pt>
                <c:pt idx="50">
                  <c:v>0.0003</c:v>
                </c:pt>
                <c:pt idx="51">
                  <c:v>0.0003</c:v>
                </c:pt>
                <c:pt idx="52">
                  <c:v>0.0003</c:v>
                </c:pt>
                <c:pt idx="53">
                  <c:v>0.0003</c:v>
                </c:pt>
                <c:pt idx="54">
                  <c:v>0.0003</c:v>
                </c:pt>
                <c:pt idx="55">
                  <c:v>0.0003</c:v>
                </c:pt>
                <c:pt idx="56">
                  <c:v>0.0003</c:v>
                </c:pt>
                <c:pt idx="57">
                  <c:v>0.0003</c:v>
                </c:pt>
                <c:pt idx="58">
                  <c:v>0.0003</c:v>
                </c:pt>
                <c:pt idx="59">
                  <c:v>0.0003</c:v>
                </c:pt>
                <c:pt idx="60">
                  <c:v>0.0003</c:v>
                </c:pt>
                <c:pt idx="61">
                  <c:v>0.0003</c:v>
                </c:pt>
                <c:pt idx="62">
                  <c:v>0.0003</c:v>
                </c:pt>
                <c:pt idx="63">
                  <c:v>0.0003</c:v>
                </c:pt>
                <c:pt idx="64">
                  <c:v>0.0003</c:v>
                </c:pt>
                <c:pt idx="65">
                  <c:v>0.0003</c:v>
                </c:pt>
                <c:pt idx="66">
                  <c:v>0.0003</c:v>
                </c:pt>
                <c:pt idx="67">
                  <c:v>0.0003</c:v>
                </c:pt>
                <c:pt idx="68">
                  <c:v>0.0003</c:v>
                </c:pt>
                <c:pt idx="69">
                  <c:v>0.0003</c:v>
                </c:pt>
                <c:pt idx="70">
                  <c:v>0.0003</c:v>
                </c:pt>
                <c:pt idx="71">
                  <c:v>0.0003</c:v>
                </c:pt>
                <c:pt idx="72">
                  <c:v>0.0003</c:v>
                </c:pt>
                <c:pt idx="73">
                  <c:v>0.0003</c:v>
                </c:pt>
                <c:pt idx="74">
                  <c:v>0.00035</c:v>
                </c:pt>
                <c:pt idx="75">
                  <c:v>0.00035</c:v>
                </c:pt>
                <c:pt idx="76">
                  <c:v>0.0004</c:v>
                </c:pt>
                <c:pt idx="77">
                  <c:v>0.0004</c:v>
                </c:pt>
                <c:pt idx="78">
                  <c:v>0.00045</c:v>
                </c:pt>
                <c:pt idx="79">
                  <c:v>0.0005</c:v>
                </c:pt>
                <c:pt idx="80">
                  <c:v>0.0006</c:v>
                </c:pt>
                <c:pt idx="81">
                  <c:v>0.00065</c:v>
                </c:pt>
                <c:pt idx="82">
                  <c:v>0.0007</c:v>
                </c:pt>
                <c:pt idx="83">
                  <c:v>0.00075</c:v>
                </c:pt>
                <c:pt idx="84">
                  <c:v>0.00075</c:v>
                </c:pt>
                <c:pt idx="85">
                  <c:v>0.0008</c:v>
                </c:pt>
                <c:pt idx="86">
                  <c:v>0.0008</c:v>
                </c:pt>
                <c:pt idx="87">
                  <c:v>0.00085</c:v>
                </c:pt>
                <c:pt idx="88">
                  <c:v>0.0009</c:v>
                </c:pt>
                <c:pt idx="89">
                  <c:v>0.00095</c:v>
                </c:pt>
                <c:pt idx="90">
                  <c:v>0.001</c:v>
                </c:pt>
                <c:pt idx="91">
                  <c:v>0.00105</c:v>
                </c:pt>
                <c:pt idx="92">
                  <c:v>0.00115</c:v>
                </c:pt>
                <c:pt idx="93">
                  <c:v>0.00125</c:v>
                </c:pt>
                <c:pt idx="94">
                  <c:v>0.00135</c:v>
                </c:pt>
                <c:pt idx="95">
                  <c:v>0.00145</c:v>
                </c:pt>
                <c:pt idx="96">
                  <c:v>0.0016</c:v>
                </c:pt>
                <c:pt idx="97">
                  <c:v>0.0018</c:v>
                </c:pt>
                <c:pt idx="98">
                  <c:v>0.00195</c:v>
                </c:pt>
                <c:pt idx="99">
                  <c:v>0.0021</c:v>
                </c:pt>
                <c:pt idx="100">
                  <c:v>0.0023</c:v>
                </c:pt>
                <c:pt idx="101">
                  <c:v>0.00245</c:v>
                </c:pt>
                <c:pt idx="102">
                  <c:v>0.0026</c:v>
                </c:pt>
                <c:pt idx="103">
                  <c:v>0.00275</c:v>
                </c:pt>
                <c:pt idx="104">
                  <c:v>0.00295</c:v>
                </c:pt>
                <c:pt idx="105">
                  <c:v>0.00315</c:v>
                </c:pt>
                <c:pt idx="106">
                  <c:v>0.0033</c:v>
                </c:pt>
                <c:pt idx="107">
                  <c:v>0.00345</c:v>
                </c:pt>
                <c:pt idx="108">
                  <c:v>0.0036</c:v>
                </c:pt>
                <c:pt idx="109">
                  <c:v>0.00375</c:v>
                </c:pt>
                <c:pt idx="110">
                  <c:v>0.0039</c:v>
                </c:pt>
                <c:pt idx="111">
                  <c:v>0.004</c:v>
                </c:pt>
                <c:pt idx="112">
                  <c:v>0.00415</c:v>
                </c:pt>
                <c:pt idx="113">
                  <c:v>0.0043</c:v>
                </c:pt>
                <c:pt idx="114">
                  <c:v>0.0045</c:v>
                </c:pt>
                <c:pt idx="115">
                  <c:v>0.0046</c:v>
                </c:pt>
                <c:pt idx="116">
                  <c:v>0.00475</c:v>
                </c:pt>
                <c:pt idx="117">
                  <c:v>0.0049</c:v>
                </c:pt>
                <c:pt idx="118">
                  <c:v>0.00505</c:v>
                </c:pt>
                <c:pt idx="119">
                  <c:v>0.0052</c:v>
                </c:pt>
                <c:pt idx="120">
                  <c:v>0.0054</c:v>
                </c:pt>
                <c:pt idx="121">
                  <c:v>0.0056</c:v>
                </c:pt>
                <c:pt idx="122">
                  <c:v>0.00585</c:v>
                </c:pt>
                <c:pt idx="123">
                  <c:v>0.00605</c:v>
                </c:pt>
                <c:pt idx="124">
                  <c:v>0.00625</c:v>
                </c:pt>
                <c:pt idx="125">
                  <c:v>0.00645</c:v>
                </c:pt>
                <c:pt idx="126">
                  <c:v>0.00665</c:v>
                </c:pt>
                <c:pt idx="127">
                  <c:v>0.00685</c:v>
                </c:pt>
                <c:pt idx="128">
                  <c:v>0.007</c:v>
                </c:pt>
                <c:pt idx="129">
                  <c:v>0.0072</c:v>
                </c:pt>
                <c:pt idx="130">
                  <c:v>0.0074</c:v>
                </c:pt>
                <c:pt idx="131">
                  <c:v>0.00755</c:v>
                </c:pt>
                <c:pt idx="132">
                  <c:v>0.0077</c:v>
                </c:pt>
                <c:pt idx="133">
                  <c:v>0.0078</c:v>
                </c:pt>
                <c:pt idx="134">
                  <c:v>0.00795</c:v>
                </c:pt>
                <c:pt idx="135">
                  <c:v>0.00815</c:v>
                </c:pt>
                <c:pt idx="136">
                  <c:v>0.00835</c:v>
                </c:pt>
                <c:pt idx="137">
                  <c:v>0.00855</c:v>
                </c:pt>
                <c:pt idx="138">
                  <c:v>0.0087</c:v>
                </c:pt>
                <c:pt idx="139">
                  <c:v>0.00895</c:v>
                </c:pt>
                <c:pt idx="140">
                  <c:v>0.00915</c:v>
                </c:pt>
                <c:pt idx="141">
                  <c:v>0.0094</c:v>
                </c:pt>
                <c:pt idx="142">
                  <c:v>0.00965</c:v>
                </c:pt>
                <c:pt idx="143">
                  <c:v>0.01005</c:v>
                </c:pt>
                <c:pt idx="144">
                  <c:v>0.01045</c:v>
                </c:pt>
                <c:pt idx="145">
                  <c:v>0.01085</c:v>
                </c:pt>
                <c:pt idx="146">
                  <c:v>0.01125</c:v>
                </c:pt>
                <c:pt idx="147">
                  <c:v>0.01175</c:v>
                </c:pt>
                <c:pt idx="148">
                  <c:v>0.01235</c:v>
                </c:pt>
                <c:pt idx="149">
                  <c:v>0.013</c:v>
                </c:pt>
                <c:pt idx="150">
                  <c:v>0.01375</c:v>
                </c:pt>
                <c:pt idx="151">
                  <c:v>0.01455</c:v>
                </c:pt>
                <c:pt idx="152">
                  <c:v>0.01535</c:v>
                </c:pt>
                <c:pt idx="153">
                  <c:v>0.01635</c:v>
                </c:pt>
                <c:pt idx="154">
                  <c:v>0.0174</c:v>
                </c:pt>
                <c:pt idx="155">
                  <c:v>0.0185</c:v>
                </c:pt>
                <c:pt idx="156">
                  <c:v>0.01965</c:v>
                </c:pt>
                <c:pt idx="157">
                  <c:v>0.02085</c:v>
                </c:pt>
                <c:pt idx="158">
                  <c:v>0.02205</c:v>
                </c:pt>
                <c:pt idx="159">
                  <c:v>0.02325</c:v>
                </c:pt>
                <c:pt idx="160">
                  <c:v>0.02445</c:v>
                </c:pt>
                <c:pt idx="161">
                  <c:v>0.02575</c:v>
                </c:pt>
                <c:pt idx="162">
                  <c:v>0.0271</c:v>
                </c:pt>
                <c:pt idx="163">
                  <c:v>0.0285</c:v>
                </c:pt>
                <c:pt idx="164">
                  <c:v>0.02985</c:v>
                </c:pt>
                <c:pt idx="165">
                  <c:v>0.03115</c:v>
                </c:pt>
                <c:pt idx="166">
                  <c:v>0.03255</c:v>
                </c:pt>
                <c:pt idx="167">
                  <c:v>0.0339</c:v>
                </c:pt>
                <c:pt idx="168">
                  <c:v>0.03535</c:v>
                </c:pt>
                <c:pt idx="169">
                  <c:v>0.03675</c:v>
                </c:pt>
                <c:pt idx="170">
                  <c:v>0.03815</c:v>
                </c:pt>
                <c:pt idx="171">
                  <c:v>0.03945</c:v>
                </c:pt>
                <c:pt idx="172">
                  <c:v>0.0407</c:v>
                </c:pt>
                <c:pt idx="173">
                  <c:v>0.04185</c:v>
                </c:pt>
                <c:pt idx="174">
                  <c:v>0.04285</c:v>
                </c:pt>
                <c:pt idx="175">
                  <c:v>0.0438</c:v>
                </c:pt>
                <c:pt idx="176">
                  <c:v>0.04475</c:v>
                </c:pt>
                <c:pt idx="177">
                  <c:v>0.04545</c:v>
                </c:pt>
                <c:pt idx="178">
                  <c:v>0.04605</c:v>
                </c:pt>
                <c:pt idx="179">
                  <c:v>0.04675</c:v>
                </c:pt>
                <c:pt idx="180">
                  <c:v>0.0473</c:v>
                </c:pt>
                <c:pt idx="181">
                  <c:v>0.0478</c:v>
                </c:pt>
                <c:pt idx="182">
                  <c:v>0.0483</c:v>
                </c:pt>
                <c:pt idx="183">
                  <c:v>0.0488</c:v>
                </c:pt>
                <c:pt idx="184">
                  <c:v>0.0493</c:v>
                </c:pt>
                <c:pt idx="185">
                  <c:v>0.0498</c:v>
                </c:pt>
                <c:pt idx="186">
                  <c:v>0.05025</c:v>
                </c:pt>
                <c:pt idx="187">
                  <c:v>0.0507</c:v>
                </c:pt>
                <c:pt idx="188">
                  <c:v>0.0511</c:v>
                </c:pt>
                <c:pt idx="189">
                  <c:v>0.0515</c:v>
                </c:pt>
                <c:pt idx="190">
                  <c:v>0.05185</c:v>
                </c:pt>
                <c:pt idx="191">
                  <c:v>0.05225</c:v>
                </c:pt>
                <c:pt idx="192">
                  <c:v>0.0526</c:v>
                </c:pt>
                <c:pt idx="193">
                  <c:v>0.05295</c:v>
                </c:pt>
                <c:pt idx="194">
                  <c:v>0.05325</c:v>
                </c:pt>
                <c:pt idx="195">
                  <c:v>0.0535</c:v>
                </c:pt>
                <c:pt idx="196">
                  <c:v>0.05375</c:v>
                </c:pt>
                <c:pt idx="197">
                  <c:v>0.054</c:v>
                </c:pt>
                <c:pt idx="198">
                  <c:v>0.0543</c:v>
                </c:pt>
                <c:pt idx="199">
                  <c:v>0.0546</c:v>
                </c:pt>
                <c:pt idx="200">
                  <c:v>0.0549</c:v>
                </c:pt>
                <c:pt idx="201">
                  <c:v>0.05515</c:v>
                </c:pt>
                <c:pt idx="202">
                  <c:v>0.0554</c:v>
                </c:pt>
                <c:pt idx="203">
                  <c:v>0.0557</c:v>
                </c:pt>
                <c:pt idx="204">
                  <c:v>0.056</c:v>
                </c:pt>
                <c:pt idx="205">
                  <c:v>0.05625</c:v>
                </c:pt>
                <c:pt idx="206">
                  <c:v>0.05655</c:v>
                </c:pt>
                <c:pt idx="207">
                  <c:v>0.05685</c:v>
                </c:pt>
                <c:pt idx="208">
                  <c:v>0.05715</c:v>
                </c:pt>
                <c:pt idx="209">
                  <c:v>0.05735</c:v>
                </c:pt>
                <c:pt idx="210">
                  <c:v>0.0576</c:v>
                </c:pt>
                <c:pt idx="211">
                  <c:v>0.05785</c:v>
                </c:pt>
                <c:pt idx="212">
                  <c:v>0.058</c:v>
                </c:pt>
                <c:pt idx="213">
                  <c:v>0.0582</c:v>
                </c:pt>
                <c:pt idx="214">
                  <c:v>0.0584</c:v>
                </c:pt>
                <c:pt idx="215">
                  <c:v>0.05855</c:v>
                </c:pt>
                <c:pt idx="216">
                  <c:v>0.05875</c:v>
                </c:pt>
                <c:pt idx="217">
                  <c:v>0.0589</c:v>
                </c:pt>
                <c:pt idx="218">
                  <c:v>0.05905</c:v>
                </c:pt>
                <c:pt idx="219">
                  <c:v>0.0593</c:v>
                </c:pt>
                <c:pt idx="220">
                  <c:v>0.05955</c:v>
                </c:pt>
                <c:pt idx="221">
                  <c:v>0.0598</c:v>
                </c:pt>
                <c:pt idx="222">
                  <c:v>0.0601</c:v>
                </c:pt>
                <c:pt idx="223">
                  <c:v>0.0604</c:v>
                </c:pt>
                <c:pt idx="224">
                  <c:v>0.0607</c:v>
                </c:pt>
                <c:pt idx="225">
                  <c:v>0.061</c:v>
                </c:pt>
                <c:pt idx="226">
                  <c:v>0.06125</c:v>
                </c:pt>
                <c:pt idx="227">
                  <c:v>0.06155</c:v>
                </c:pt>
                <c:pt idx="228">
                  <c:v>0.06175</c:v>
                </c:pt>
                <c:pt idx="229">
                  <c:v>0.062</c:v>
                </c:pt>
                <c:pt idx="230">
                  <c:v>0.06215</c:v>
                </c:pt>
                <c:pt idx="231">
                  <c:v>0.06225</c:v>
                </c:pt>
                <c:pt idx="232">
                  <c:v>0.06235</c:v>
                </c:pt>
                <c:pt idx="233">
                  <c:v>0.0624</c:v>
                </c:pt>
                <c:pt idx="234">
                  <c:v>0.0625</c:v>
                </c:pt>
                <c:pt idx="235">
                  <c:v>0.06255</c:v>
                </c:pt>
                <c:pt idx="236">
                  <c:v>0.06255</c:v>
                </c:pt>
                <c:pt idx="237">
                  <c:v>0.06255</c:v>
                </c:pt>
                <c:pt idx="238">
                  <c:v>0.06255</c:v>
                </c:pt>
                <c:pt idx="239">
                  <c:v>0.06255</c:v>
                </c:pt>
                <c:pt idx="240">
                  <c:v>0.0626</c:v>
                </c:pt>
                <c:pt idx="241">
                  <c:v>0.0627</c:v>
                </c:pt>
                <c:pt idx="242">
                  <c:v>0.06275</c:v>
                </c:pt>
                <c:pt idx="243">
                  <c:v>0.06285</c:v>
                </c:pt>
                <c:pt idx="244">
                  <c:v>0.063</c:v>
                </c:pt>
                <c:pt idx="245">
                  <c:v>0.06315</c:v>
                </c:pt>
                <c:pt idx="246">
                  <c:v>0.0633</c:v>
                </c:pt>
                <c:pt idx="247">
                  <c:v>0.06345</c:v>
                </c:pt>
                <c:pt idx="248">
                  <c:v>0.0636</c:v>
                </c:pt>
                <c:pt idx="249">
                  <c:v>0.0638</c:v>
                </c:pt>
                <c:pt idx="250">
                  <c:v>0.064</c:v>
                </c:pt>
                <c:pt idx="251">
                  <c:v>0.06415</c:v>
                </c:pt>
                <c:pt idx="252">
                  <c:v>0.0643</c:v>
                </c:pt>
                <c:pt idx="253">
                  <c:v>0.0644</c:v>
                </c:pt>
                <c:pt idx="254">
                  <c:v>0.0645</c:v>
                </c:pt>
                <c:pt idx="255">
                  <c:v>0.0646</c:v>
                </c:pt>
                <c:pt idx="256">
                  <c:v>0.06475</c:v>
                </c:pt>
                <c:pt idx="257">
                  <c:v>0.06485</c:v>
                </c:pt>
                <c:pt idx="258">
                  <c:v>0.06495</c:v>
                </c:pt>
                <c:pt idx="259">
                  <c:v>0.06505</c:v>
                </c:pt>
                <c:pt idx="260">
                  <c:v>0.0651</c:v>
                </c:pt>
                <c:pt idx="261">
                  <c:v>0.0652</c:v>
                </c:pt>
                <c:pt idx="262">
                  <c:v>0.0653</c:v>
                </c:pt>
                <c:pt idx="263">
                  <c:v>0.06535</c:v>
                </c:pt>
                <c:pt idx="264">
                  <c:v>0.06545</c:v>
                </c:pt>
                <c:pt idx="265">
                  <c:v>0.0655</c:v>
                </c:pt>
                <c:pt idx="266">
                  <c:v>0.06555</c:v>
                </c:pt>
                <c:pt idx="267">
                  <c:v>0.0656</c:v>
                </c:pt>
                <c:pt idx="268">
                  <c:v>0.0656</c:v>
                </c:pt>
                <c:pt idx="269">
                  <c:v>0.06565</c:v>
                </c:pt>
                <c:pt idx="270">
                  <c:v>0.0657</c:v>
                </c:pt>
                <c:pt idx="271">
                  <c:v>0.06575</c:v>
                </c:pt>
                <c:pt idx="272">
                  <c:v>0.0658</c:v>
                </c:pt>
                <c:pt idx="273">
                  <c:v>0.06585</c:v>
                </c:pt>
                <c:pt idx="274">
                  <c:v>0.06585</c:v>
                </c:pt>
                <c:pt idx="275">
                  <c:v>0.0659</c:v>
                </c:pt>
                <c:pt idx="276">
                  <c:v>0.06595</c:v>
                </c:pt>
                <c:pt idx="277">
                  <c:v>0.066</c:v>
                </c:pt>
                <c:pt idx="278">
                  <c:v>0.06605</c:v>
                </c:pt>
                <c:pt idx="279">
                  <c:v>0.0661</c:v>
                </c:pt>
                <c:pt idx="280">
                  <c:v>0.06615</c:v>
                </c:pt>
                <c:pt idx="281">
                  <c:v>0.06615</c:v>
                </c:pt>
                <c:pt idx="282">
                  <c:v>0.0662</c:v>
                </c:pt>
                <c:pt idx="283">
                  <c:v>0.0662</c:v>
                </c:pt>
                <c:pt idx="284">
                  <c:v>0.06625</c:v>
                </c:pt>
                <c:pt idx="285">
                  <c:v>0.06625</c:v>
                </c:pt>
                <c:pt idx="286">
                  <c:v>0.06625</c:v>
                </c:pt>
                <c:pt idx="287">
                  <c:v>0.06625</c:v>
                </c:pt>
                <c:pt idx="288">
                  <c:v>0.06625</c:v>
                </c:pt>
                <c:pt idx="289">
                  <c:v>0.06625</c:v>
                </c:pt>
                <c:pt idx="290">
                  <c:v>0.06625</c:v>
                </c:pt>
                <c:pt idx="291">
                  <c:v>0.06625</c:v>
                </c:pt>
                <c:pt idx="292">
                  <c:v>0.06625</c:v>
                </c:pt>
                <c:pt idx="293">
                  <c:v>0.06625</c:v>
                </c:pt>
                <c:pt idx="294">
                  <c:v>0.06625</c:v>
                </c:pt>
                <c:pt idx="295">
                  <c:v>0.06625</c:v>
                </c:pt>
                <c:pt idx="296">
                  <c:v>0.06625</c:v>
                </c:pt>
                <c:pt idx="297">
                  <c:v>0.06625</c:v>
                </c:pt>
                <c:pt idx="298">
                  <c:v>0.06625</c:v>
                </c:pt>
                <c:pt idx="299">
                  <c:v>0.06625</c:v>
                </c:pt>
                <c:pt idx="300">
                  <c:v>0.06625</c:v>
                </c:pt>
                <c:pt idx="301">
                  <c:v>0.06625</c:v>
                </c:pt>
                <c:pt idx="302">
                  <c:v>0.06625</c:v>
                </c:pt>
                <c:pt idx="303">
                  <c:v>0.06625</c:v>
                </c:pt>
                <c:pt idx="304">
                  <c:v>0.06625</c:v>
                </c:pt>
                <c:pt idx="305">
                  <c:v>0.06625</c:v>
                </c:pt>
                <c:pt idx="306">
                  <c:v>0.06625</c:v>
                </c:pt>
                <c:pt idx="307">
                  <c:v>0.06625</c:v>
                </c:pt>
                <c:pt idx="308">
                  <c:v>0.06625</c:v>
                </c:pt>
                <c:pt idx="309">
                  <c:v>0.06625</c:v>
                </c:pt>
                <c:pt idx="310">
                  <c:v>0.0663</c:v>
                </c:pt>
                <c:pt idx="311">
                  <c:v>0.0663</c:v>
                </c:pt>
                <c:pt idx="312">
                  <c:v>0.06635</c:v>
                </c:pt>
                <c:pt idx="313">
                  <c:v>0.06635</c:v>
                </c:pt>
                <c:pt idx="314">
                  <c:v>0.0664</c:v>
                </c:pt>
                <c:pt idx="315">
                  <c:v>0.06645</c:v>
                </c:pt>
                <c:pt idx="316">
                  <c:v>0.06645</c:v>
                </c:pt>
                <c:pt idx="317">
                  <c:v>0.0665</c:v>
                </c:pt>
                <c:pt idx="318">
                  <c:v>0.0665</c:v>
                </c:pt>
                <c:pt idx="319">
                  <c:v>0.06655</c:v>
                </c:pt>
                <c:pt idx="320">
                  <c:v>0.06655</c:v>
                </c:pt>
                <c:pt idx="321">
                  <c:v>0.06655</c:v>
                </c:pt>
                <c:pt idx="322">
                  <c:v>0.06655</c:v>
                </c:pt>
                <c:pt idx="323">
                  <c:v>0.06655</c:v>
                </c:pt>
              </c:numCache>
            </c:numRef>
          </c:yVal>
          <c:smooth val="0"/>
        </c:ser>
        <c:ser>
          <c:idx val="0"/>
          <c:order val="1"/>
          <c:tx>
            <c:v>Ex1</c:v>
          </c:tx>
          <c:spPr>
            <a:ln w="12700" cmpd="sng">
              <a:solidFill>
                <a:schemeClr val="tx1">
                  <a:lumMod val="95000"/>
                  <a:lumOff val="5000"/>
                </a:schemeClr>
              </a:solidFill>
              <a:prstDash val="solid"/>
            </a:ln>
          </c:spPr>
          <c:marker>
            <c:symbol val="none"/>
          </c:marker>
          <c:xVal>
            <c:numRef>
              <c:f>'7DB2- ex1'!$C$5:$C$568</c:f>
              <c:numCache>
                <c:formatCode>0.00E+00</c:formatCode>
                <c:ptCount val="564"/>
                <c:pt idx="0">
                  <c:v>0.006504</c:v>
                </c:pt>
                <c:pt idx="1">
                  <c:v>0.006541</c:v>
                </c:pt>
                <c:pt idx="2">
                  <c:v>0.006578</c:v>
                </c:pt>
                <c:pt idx="3">
                  <c:v>0.006615</c:v>
                </c:pt>
                <c:pt idx="4">
                  <c:v>0.006653</c:v>
                </c:pt>
                <c:pt idx="5">
                  <c:v>0.00669</c:v>
                </c:pt>
                <c:pt idx="6">
                  <c:v>0.006729</c:v>
                </c:pt>
                <c:pt idx="7">
                  <c:v>0.006767</c:v>
                </c:pt>
                <c:pt idx="8">
                  <c:v>0.006806</c:v>
                </c:pt>
                <c:pt idx="9">
                  <c:v>0.006845</c:v>
                </c:pt>
                <c:pt idx="10">
                  <c:v>0.006884</c:v>
                </c:pt>
                <c:pt idx="11">
                  <c:v>0.006924</c:v>
                </c:pt>
                <c:pt idx="12">
                  <c:v>0.006964</c:v>
                </c:pt>
                <c:pt idx="13">
                  <c:v>0.007005</c:v>
                </c:pt>
                <c:pt idx="14">
                  <c:v>0.007045</c:v>
                </c:pt>
                <c:pt idx="15">
                  <c:v>0.007086</c:v>
                </c:pt>
                <c:pt idx="16">
                  <c:v>0.007128</c:v>
                </c:pt>
                <c:pt idx="17">
                  <c:v>0.00717</c:v>
                </c:pt>
                <c:pt idx="18">
                  <c:v>0.007212</c:v>
                </c:pt>
                <c:pt idx="19">
                  <c:v>0.007255</c:v>
                </c:pt>
                <c:pt idx="20">
                  <c:v>0.007297</c:v>
                </c:pt>
                <c:pt idx="21">
                  <c:v>0.007341</c:v>
                </c:pt>
                <c:pt idx="22">
                  <c:v>0.007385</c:v>
                </c:pt>
                <c:pt idx="23">
                  <c:v>0.007429</c:v>
                </c:pt>
                <c:pt idx="24">
                  <c:v>0.007473</c:v>
                </c:pt>
                <c:pt idx="25">
                  <c:v>0.007518</c:v>
                </c:pt>
                <c:pt idx="26">
                  <c:v>0.007564</c:v>
                </c:pt>
                <c:pt idx="27">
                  <c:v>0.007609</c:v>
                </c:pt>
                <c:pt idx="28">
                  <c:v>0.007656</c:v>
                </c:pt>
                <c:pt idx="29">
                  <c:v>0.007702</c:v>
                </c:pt>
                <c:pt idx="30">
                  <c:v>0.007749</c:v>
                </c:pt>
                <c:pt idx="31">
                  <c:v>0.007795</c:v>
                </c:pt>
                <c:pt idx="32">
                  <c:v>0.007842</c:v>
                </c:pt>
                <c:pt idx="33">
                  <c:v>0.00789</c:v>
                </c:pt>
                <c:pt idx="34">
                  <c:v>0.007938</c:v>
                </c:pt>
                <c:pt idx="35">
                  <c:v>0.007986</c:v>
                </c:pt>
                <c:pt idx="36">
                  <c:v>0.008034</c:v>
                </c:pt>
                <c:pt idx="37">
                  <c:v>0.008081</c:v>
                </c:pt>
                <c:pt idx="38">
                  <c:v>0.008128</c:v>
                </c:pt>
                <c:pt idx="39">
                  <c:v>0.008176</c:v>
                </c:pt>
                <c:pt idx="40">
                  <c:v>0.008223</c:v>
                </c:pt>
                <c:pt idx="41">
                  <c:v>0.00827</c:v>
                </c:pt>
                <c:pt idx="42">
                  <c:v>0.008316</c:v>
                </c:pt>
                <c:pt idx="43">
                  <c:v>0.008363</c:v>
                </c:pt>
                <c:pt idx="44">
                  <c:v>0.008408</c:v>
                </c:pt>
                <c:pt idx="45">
                  <c:v>0.008453</c:v>
                </c:pt>
                <c:pt idx="46">
                  <c:v>0.008498</c:v>
                </c:pt>
                <c:pt idx="47">
                  <c:v>0.008543</c:v>
                </c:pt>
                <c:pt idx="48">
                  <c:v>0.008589</c:v>
                </c:pt>
                <c:pt idx="49">
                  <c:v>0.008635</c:v>
                </c:pt>
                <c:pt idx="50">
                  <c:v>0.008682</c:v>
                </c:pt>
                <c:pt idx="51">
                  <c:v>0.008729</c:v>
                </c:pt>
                <c:pt idx="52">
                  <c:v>0.008777</c:v>
                </c:pt>
                <c:pt idx="53">
                  <c:v>0.008825</c:v>
                </c:pt>
                <c:pt idx="54">
                  <c:v>0.008873</c:v>
                </c:pt>
                <c:pt idx="55">
                  <c:v>0.008922</c:v>
                </c:pt>
                <c:pt idx="56">
                  <c:v>0.008971</c:v>
                </c:pt>
                <c:pt idx="57">
                  <c:v>0.009021</c:v>
                </c:pt>
                <c:pt idx="58">
                  <c:v>0.00907</c:v>
                </c:pt>
                <c:pt idx="59">
                  <c:v>0.009119</c:v>
                </c:pt>
                <c:pt idx="60">
                  <c:v>0.009169</c:v>
                </c:pt>
                <c:pt idx="61">
                  <c:v>0.009218</c:v>
                </c:pt>
                <c:pt idx="62">
                  <c:v>0.009268</c:v>
                </c:pt>
                <c:pt idx="63">
                  <c:v>0.009318</c:v>
                </c:pt>
                <c:pt idx="64">
                  <c:v>0.009368</c:v>
                </c:pt>
                <c:pt idx="65">
                  <c:v>0.009419</c:v>
                </c:pt>
                <c:pt idx="66">
                  <c:v>0.00947</c:v>
                </c:pt>
                <c:pt idx="67">
                  <c:v>0.009521</c:v>
                </c:pt>
                <c:pt idx="68">
                  <c:v>0.009573</c:v>
                </c:pt>
                <c:pt idx="69">
                  <c:v>0.009626</c:v>
                </c:pt>
                <c:pt idx="70">
                  <c:v>0.009679</c:v>
                </c:pt>
                <c:pt idx="71">
                  <c:v>0.009732</c:v>
                </c:pt>
                <c:pt idx="72">
                  <c:v>0.009786</c:v>
                </c:pt>
                <c:pt idx="73">
                  <c:v>0.009841</c:v>
                </c:pt>
                <c:pt idx="74">
                  <c:v>0.009895</c:v>
                </c:pt>
                <c:pt idx="75">
                  <c:v>0.009951</c:v>
                </c:pt>
                <c:pt idx="76">
                  <c:v>0.01001</c:v>
                </c:pt>
                <c:pt idx="77">
                  <c:v>0.01006</c:v>
                </c:pt>
                <c:pt idx="78">
                  <c:v>0.01012</c:v>
                </c:pt>
                <c:pt idx="79">
                  <c:v>0.01018</c:v>
                </c:pt>
                <c:pt idx="80">
                  <c:v>0.01023</c:v>
                </c:pt>
                <c:pt idx="81">
                  <c:v>0.01029</c:v>
                </c:pt>
                <c:pt idx="82">
                  <c:v>0.01035</c:v>
                </c:pt>
                <c:pt idx="83">
                  <c:v>0.01041</c:v>
                </c:pt>
                <c:pt idx="84">
                  <c:v>0.01047</c:v>
                </c:pt>
                <c:pt idx="85">
                  <c:v>0.01053</c:v>
                </c:pt>
                <c:pt idx="86">
                  <c:v>0.01059</c:v>
                </c:pt>
                <c:pt idx="87">
                  <c:v>0.01065</c:v>
                </c:pt>
                <c:pt idx="88">
                  <c:v>0.01072</c:v>
                </c:pt>
                <c:pt idx="89">
                  <c:v>0.01078</c:v>
                </c:pt>
                <c:pt idx="90">
                  <c:v>0.01084</c:v>
                </c:pt>
                <c:pt idx="91">
                  <c:v>0.01091</c:v>
                </c:pt>
                <c:pt idx="92">
                  <c:v>0.01097</c:v>
                </c:pt>
                <c:pt idx="93">
                  <c:v>0.01104</c:v>
                </c:pt>
                <c:pt idx="94">
                  <c:v>0.0111</c:v>
                </c:pt>
                <c:pt idx="95">
                  <c:v>0.01117</c:v>
                </c:pt>
                <c:pt idx="96">
                  <c:v>0.01123</c:v>
                </c:pt>
                <c:pt idx="97">
                  <c:v>0.0113</c:v>
                </c:pt>
                <c:pt idx="98">
                  <c:v>0.01137</c:v>
                </c:pt>
                <c:pt idx="99">
                  <c:v>0.01144</c:v>
                </c:pt>
                <c:pt idx="100">
                  <c:v>0.01151</c:v>
                </c:pt>
                <c:pt idx="101">
                  <c:v>0.01158</c:v>
                </c:pt>
                <c:pt idx="102">
                  <c:v>0.01165</c:v>
                </c:pt>
                <c:pt idx="103">
                  <c:v>0.01172</c:v>
                </c:pt>
                <c:pt idx="104">
                  <c:v>0.01179</c:v>
                </c:pt>
                <c:pt idx="105">
                  <c:v>0.01187</c:v>
                </c:pt>
                <c:pt idx="106">
                  <c:v>0.01195</c:v>
                </c:pt>
                <c:pt idx="107">
                  <c:v>0.01203</c:v>
                </c:pt>
                <c:pt idx="108">
                  <c:v>0.01211</c:v>
                </c:pt>
                <c:pt idx="109">
                  <c:v>0.01219</c:v>
                </c:pt>
                <c:pt idx="110">
                  <c:v>0.01227</c:v>
                </c:pt>
                <c:pt idx="111">
                  <c:v>0.01235</c:v>
                </c:pt>
                <c:pt idx="112">
                  <c:v>0.01244</c:v>
                </c:pt>
                <c:pt idx="113">
                  <c:v>0.01253</c:v>
                </c:pt>
                <c:pt idx="114">
                  <c:v>0.01263</c:v>
                </c:pt>
                <c:pt idx="115">
                  <c:v>0.01272</c:v>
                </c:pt>
                <c:pt idx="116">
                  <c:v>0.01283</c:v>
                </c:pt>
                <c:pt idx="117">
                  <c:v>0.01293</c:v>
                </c:pt>
                <c:pt idx="118">
                  <c:v>0.01304</c:v>
                </c:pt>
                <c:pt idx="119">
                  <c:v>0.01315</c:v>
                </c:pt>
                <c:pt idx="120">
                  <c:v>0.01326</c:v>
                </c:pt>
                <c:pt idx="121">
                  <c:v>0.01337</c:v>
                </c:pt>
                <c:pt idx="122">
                  <c:v>0.01349</c:v>
                </c:pt>
                <c:pt idx="123">
                  <c:v>0.01362</c:v>
                </c:pt>
                <c:pt idx="124">
                  <c:v>0.01375</c:v>
                </c:pt>
                <c:pt idx="125">
                  <c:v>0.01387</c:v>
                </c:pt>
                <c:pt idx="126">
                  <c:v>0.014</c:v>
                </c:pt>
                <c:pt idx="127">
                  <c:v>0.01413</c:v>
                </c:pt>
                <c:pt idx="128">
                  <c:v>0.01427</c:v>
                </c:pt>
                <c:pt idx="129">
                  <c:v>0.01441</c:v>
                </c:pt>
                <c:pt idx="130">
                  <c:v>0.01455</c:v>
                </c:pt>
                <c:pt idx="131">
                  <c:v>0.0147</c:v>
                </c:pt>
                <c:pt idx="132">
                  <c:v>0.01485</c:v>
                </c:pt>
                <c:pt idx="133">
                  <c:v>0.01501</c:v>
                </c:pt>
                <c:pt idx="134">
                  <c:v>0.01516</c:v>
                </c:pt>
                <c:pt idx="135">
                  <c:v>0.01533</c:v>
                </c:pt>
                <c:pt idx="136">
                  <c:v>0.01549</c:v>
                </c:pt>
                <c:pt idx="137">
                  <c:v>0.01566</c:v>
                </c:pt>
                <c:pt idx="138">
                  <c:v>0.01583</c:v>
                </c:pt>
                <c:pt idx="139">
                  <c:v>0.016</c:v>
                </c:pt>
                <c:pt idx="140">
                  <c:v>0.01617</c:v>
                </c:pt>
                <c:pt idx="141">
                  <c:v>0.01635</c:v>
                </c:pt>
                <c:pt idx="142">
                  <c:v>0.01654</c:v>
                </c:pt>
                <c:pt idx="143">
                  <c:v>0.01673</c:v>
                </c:pt>
                <c:pt idx="144">
                  <c:v>0.01692</c:v>
                </c:pt>
                <c:pt idx="145">
                  <c:v>0.01711</c:v>
                </c:pt>
                <c:pt idx="146">
                  <c:v>0.01731</c:v>
                </c:pt>
                <c:pt idx="147">
                  <c:v>0.01752</c:v>
                </c:pt>
                <c:pt idx="148">
                  <c:v>0.01772</c:v>
                </c:pt>
                <c:pt idx="149">
                  <c:v>0.01794</c:v>
                </c:pt>
                <c:pt idx="150">
                  <c:v>0.01815</c:v>
                </c:pt>
                <c:pt idx="151">
                  <c:v>0.01837</c:v>
                </c:pt>
                <c:pt idx="152">
                  <c:v>0.0186</c:v>
                </c:pt>
                <c:pt idx="153">
                  <c:v>0.01883</c:v>
                </c:pt>
                <c:pt idx="154">
                  <c:v>0.01906</c:v>
                </c:pt>
                <c:pt idx="155">
                  <c:v>0.0193</c:v>
                </c:pt>
                <c:pt idx="156">
                  <c:v>0.01955</c:v>
                </c:pt>
                <c:pt idx="157">
                  <c:v>0.0198</c:v>
                </c:pt>
                <c:pt idx="158">
                  <c:v>0.02005</c:v>
                </c:pt>
                <c:pt idx="159">
                  <c:v>0.02031</c:v>
                </c:pt>
                <c:pt idx="160">
                  <c:v>0.02058</c:v>
                </c:pt>
                <c:pt idx="161">
                  <c:v>0.02085</c:v>
                </c:pt>
                <c:pt idx="162">
                  <c:v>0.02113</c:v>
                </c:pt>
                <c:pt idx="163">
                  <c:v>0.02142</c:v>
                </c:pt>
                <c:pt idx="164">
                  <c:v>0.02171</c:v>
                </c:pt>
                <c:pt idx="165">
                  <c:v>0.02201</c:v>
                </c:pt>
                <c:pt idx="166">
                  <c:v>0.02231</c:v>
                </c:pt>
                <c:pt idx="167">
                  <c:v>0.02262</c:v>
                </c:pt>
                <c:pt idx="168">
                  <c:v>0.02293</c:v>
                </c:pt>
                <c:pt idx="169">
                  <c:v>0.02325</c:v>
                </c:pt>
                <c:pt idx="170">
                  <c:v>0.02357</c:v>
                </c:pt>
                <c:pt idx="171">
                  <c:v>0.0239</c:v>
                </c:pt>
                <c:pt idx="172">
                  <c:v>0.02423</c:v>
                </c:pt>
                <c:pt idx="173">
                  <c:v>0.02456</c:v>
                </c:pt>
                <c:pt idx="174">
                  <c:v>0.02489</c:v>
                </c:pt>
                <c:pt idx="175">
                  <c:v>0.02521</c:v>
                </c:pt>
                <c:pt idx="176">
                  <c:v>0.02554</c:v>
                </c:pt>
                <c:pt idx="177">
                  <c:v>0.02587</c:v>
                </c:pt>
                <c:pt idx="178">
                  <c:v>0.0262</c:v>
                </c:pt>
                <c:pt idx="179">
                  <c:v>0.02654</c:v>
                </c:pt>
                <c:pt idx="180">
                  <c:v>0.02688</c:v>
                </c:pt>
                <c:pt idx="181">
                  <c:v>0.02721</c:v>
                </c:pt>
                <c:pt idx="182">
                  <c:v>0.02755</c:v>
                </c:pt>
                <c:pt idx="183">
                  <c:v>0.02789</c:v>
                </c:pt>
                <c:pt idx="184">
                  <c:v>0.02825</c:v>
                </c:pt>
                <c:pt idx="185">
                  <c:v>0.02862</c:v>
                </c:pt>
                <c:pt idx="186">
                  <c:v>0.02899</c:v>
                </c:pt>
                <c:pt idx="187">
                  <c:v>0.02938</c:v>
                </c:pt>
                <c:pt idx="188">
                  <c:v>0.02976</c:v>
                </c:pt>
                <c:pt idx="189">
                  <c:v>0.03014</c:v>
                </c:pt>
                <c:pt idx="190">
                  <c:v>0.03052</c:v>
                </c:pt>
                <c:pt idx="191">
                  <c:v>0.03091</c:v>
                </c:pt>
                <c:pt idx="192">
                  <c:v>0.03131</c:v>
                </c:pt>
                <c:pt idx="193">
                  <c:v>0.03172</c:v>
                </c:pt>
                <c:pt idx="194">
                  <c:v>0.03212</c:v>
                </c:pt>
                <c:pt idx="195">
                  <c:v>0.03253</c:v>
                </c:pt>
                <c:pt idx="196">
                  <c:v>0.03294</c:v>
                </c:pt>
                <c:pt idx="197">
                  <c:v>0.03335</c:v>
                </c:pt>
                <c:pt idx="198">
                  <c:v>0.03377</c:v>
                </c:pt>
                <c:pt idx="199">
                  <c:v>0.03421</c:v>
                </c:pt>
                <c:pt idx="200">
                  <c:v>0.03466</c:v>
                </c:pt>
                <c:pt idx="201">
                  <c:v>0.03511</c:v>
                </c:pt>
                <c:pt idx="202">
                  <c:v>0.03558</c:v>
                </c:pt>
                <c:pt idx="203">
                  <c:v>0.03605</c:v>
                </c:pt>
                <c:pt idx="204">
                  <c:v>0.03654</c:v>
                </c:pt>
                <c:pt idx="205">
                  <c:v>0.03703</c:v>
                </c:pt>
                <c:pt idx="206">
                  <c:v>0.03755</c:v>
                </c:pt>
                <c:pt idx="207">
                  <c:v>0.03807</c:v>
                </c:pt>
                <c:pt idx="208">
                  <c:v>0.03861</c:v>
                </c:pt>
                <c:pt idx="209">
                  <c:v>0.03917</c:v>
                </c:pt>
                <c:pt idx="210">
                  <c:v>0.03973</c:v>
                </c:pt>
                <c:pt idx="211">
                  <c:v>0.04031</c:v>
                </c:pt>
                <c:pt idx="212">
                  <c:v>0.0409</c:v>
                </c:pt>
                <c:pt idx="213">
                  <c:v>0.04151</c:v>
                </c:pt>
                <c:pt idx="214">
                  <c:v>0.04215</c:v>
                </c:pt>
                <c:pt idx="215">
                  <c:v>0.04279</c:v>
                </c:pt>
                <c:pt idx="216">
                  <c:v>0.04346</c:v>
                </c:pt>
                <c:pt idx="217">
                  <c:v>0.04416</c:v>
                </c:pt>
                <c:pt idx="218">
                  <c:v>0.04488</c:v>
                </c:pt>
                <c:pt idx="219">
                  <c:v>0.04562</c:v>
                </c:pt>
                <c:pt idx="220">
                  <c:v>0.04638</c:v>
                </c:pt>
                <c:pt idx="221">
                  <c:v>0.04717</c:v>
                </c:pt>
                <c:pt idx="222">
                  <c:v>0.04798</c:v>
                </c:pt>
                <c:pt idx="223">
                  <c:v>0.04881</c:v>
                </c:pt>
                <c:pt idx="224">
                  <c:v>0.04968</c:v>
                </c:pt>
                <c:pt idx="225">
                  <c:v>0.05059</c:v>
                </c:pt>
                <c:pt idx="226">
                  <c:v>0.05153</c:v>
                </c:pt>
                <c:pt idx="227">
                  <c:v>0.05253</c:v>
                </c:pt>
                <c:pt idx="228">
                  <c:v>0.05353</c:v>
                </c:pt>
                <c:pt idx="229">
                  <c:v>0.0546</c:v>
                </c:pt>
                <c:pt idx="230">
                  <c:v>0.05573</c:v>
                </c:pt>
                <c:pt idx="231">
                  <c:v>0.05692</c:v>
                </c:pt>
                <c:pt idx="232">
                  <c:v>0.05816</c:v>
                </c:pt>
                <c:pt idx="233">
                  <c:v>0.05945</c:v>
                </c:pt>
                <c:pt idx="234">
                  <c:v>0.0608</c:v>
                </c:pt>
                <c:pt idx="235">
                  <c:v>0.0622</c:v>
                </c:pt>
                <c:pt idx="236">
                  <c:v>0.06363</c:v>
                </c:pt>
                <c:pt idx="237">
                  <c:v>0.06514</c:v>
                </c:pt>
                <c:pt idx="238">
                  <c:v>0.06667</c:v>
                </c:pt>
                <c:pt idx="239">
                  <c:v>0.06831</c:v>
                </c:pt>
                <c:pt idx="240">
                  <c:v>0.07003</c:v>
                </c:pt>
                <c:pt idx="241">
                  <c:v>0.07178</c:v>
                </c:pt>
                <c:pt idx="242">
                  <c:v>0.07359</c:v>
                </c:pt>
                <c:pt idx="243">
                  <c:v>0.07547</c:v>
                </c:pt>
                <c:pt idx="244">
                  <c:v>0.07745</c:v>
                </c:pt>
                <c:pt idx="245">
                  <c:v>0.07953</c:v>
                </c:pt>
                <c:pt idx="246">
                  <c:v>0.08172</c:v>
                </c:pt>
                <c:pt idx="247">
                  <c:v>0.08403</c:v>
                </c:pt>
                <c:pt idx="248">
                  <c:v>0.08645</c:v>
                </c:pt>
                <c:pt idx="249">
                  <c:v>0.08899</c:v>
                </c:pt>
                <c:pt idx="250">
                  <c:v>0.09161</c:v>
                </c:pt>
                <c:pt idx="251">
                  <c:v>0.09432</c:v>
                </c:pt>
                <c:pt idx="252">
                  <c:v>0.09718</c:v>
                </c:pt>
                <c:pt idx="253">
                  <c:v>0.1002</c:v>
                </c:pt>
                <c:pt idx="254">
                  <c:v>0.1034</c:v>
                </c:pt>
                <c:pt idx="255">
                  <c:v>0.1069</c:v>
                </c:pt>
                <c:pt idx="256">
                  <c:v>0.1105</c:v>
                </c:pt>
                <c:pt idx="257">
                  <c:v>0.1144</c:v>
                </c:pt>
                <c:pt idx="258">
                  <c:v>0.1185</c:v>
                </c:pt>
                <c:pt idx="259">
                  <c:v>0.1229</c:v>
                </c:pt>
                <c:pt idx="260">
                  <c:v>0.1276</c:v>
                </c:pt>
                <c:pt idx="261">
                  <c:v>0.1325</c:v>
                </c:pt>
                <c:pt idx="262">
                  <c:v>0.1378</c:v>
                </c:pt>
                <c:pt idx="263">
                  <c:v>0.1434</c:v>
                </c:pt>
                <c:pt idx="264">
                  <c:v>0.1493</c:v>
                </c:pt>
                <c:pt idx="265">
                  <c:v>0.1556</c:v>
                </c:pt>
                <c:pt idx="266">
                  <c:v>0.1623</c:v>
                </c:pt>
                <c:pt idx="267">
                  <c:v>0.1694</c:v>
                </c:pt>
                <c:pt idx="268">
                  <c:v>0.1769</c:v>
                </c:pt>
                <c:pt idx="269">
                  <c:v>0.185</c:v>
                </c:pt>
                <c:pt idx="270">
                  <c:v>0.1938</c:v>
                </c:pt>
                <c:pt idx="271">
                  <c:v>0.2032</c:v>
                </c:pt>
                <c:pt idx="272">
                  <c:v>0.2131</c:v>
                </c:pt>
                <c:pt idx="273">
                  <c:v>0.223</c:v>
                </c:pt>
                <c:pt idx="274">
                  <c:v>0.2338</c:v>
                </c:pt>
                <c:pt idx="275">
                  <c:v>0.2455</c:v>
                </c:pt>
                <c:pt idx="276">
                  <c:v>0.2585</c:v>
                </c:pt>
                <c:pt idx="277">
                  <c:v>0.2726</c:v>
                </c:pt>
                <c:pt idx="278">
                  <c:v>0.2881</c:v>
                </c:pt>
                <c:pt idx="279">
                  <c:v>0.3052</c:v>
                </c:pt>
                <c:pt idx="280">
                  <c:v>0.3243</c:v>
                </c:pt>
                <c:pt idx="281">
                  <c:v>0.3458</c:v>
                </c:pt>
                <c:pt idx="282">
                  <c:v>0.37</c:v>
                </c:pt>
                <c:pt idx="283">
                  <c:v>0.3987</c:v>
                </c:pt>
                <c:pt idx="284">
                  <c:v>0.4345</c:v>
                </c:pt>
                <c:pt idx="285">
                  <c:v>0.4764</c:v>
                </c:pt>
                <c:pt idx="286">
                  <c:v>0.5259</c:v>
                </c:pt>
                <c:pt idx="287">
                  <c:v>0.5845</c:v>
                </c:pt>
                <c:pt idx="288">
                  <c:v>0.6545</c:v>
                </c:pt>
                <c:pt idx="289">
                  <c:v>0.7386</c:v>
                </c:pt>
                <c:pt idx="290">
                  <c:v>0.8397</c:v>
                </c:pt>
                <c:pt idx="291">
                  <c:v>0.9611</c:v>
                </c:pt>
                <c:pt idx="292">
                  <c:v>1.107</c:v>
                </c:pt>
                <c:pt idx="293">
                  <c:v>1.283</c:v>
                </c:pt>
                <c:pt idx="294">
                  <c:v>1.493</c:v>
                </c:pt>
                <c:pt idx="295">
                  <c:v>1.742</c:v>
                </c:pt>
                <c:pt idx="296">
                  <c:v>2.032999999999999</c:v>
                </c:pt>
                <c:pt idx="297">
                  <c:v>2.366</c:v>
                </c:pt>
                <c:pt idx="298">
                  <c:v>2.739</c:v>
                </c:pt>
                <c:pt idx="299">
                  <c:v>3.145</c:v>
                </c:pt>
                <c:pt idx="300">
                  <c:v>3.578</c:v>
                </c:pt>
                <c:pt idx="301">
                  <c:v>4.026999999999997</c:v>
                </c:pt>
                <c:pt idx="302">
                  <c:v>4.484</c:v>
                </c:pt>
                <c:pt idx="303">
                  <c:v>4.945</c:v>
                </c:pt>
                <c:pt idx="304">
                  <c:v>5.405</c:v>
                </c:pt>
                <c:pt idx="305">
                  <c:v>5.860999999999985</c:v>
                </c:pt>
                <c:pt idx="306">
                  <c:v>6.310999999999995</c:v>
                </c:pt>
                <c:pt idx="307">
                  <c:v>6.76</c:v>
                </c:pt>
                <c:pt idx="308">
                  <c:v>7.203</c:v>
                </c:pt>
                <c:pt idx="309">
                  <c:v>7.64</c:v>
                </c:pt>
                <c:pt idx="310">
                  <c:v>8.067</c:v>
                </c:pt>
                <c:pt idx="311">
                  <c:v>8.566</c:v>
                </c:pt>
                <c:pt idx="312">
                  <c:v>9.043000000000001</c:v>
                </c:pt>
                <c:pt idx="313">
                  <c:v>9.515</c:v>
                </c:pt>
                <c:pt idx="314">
                  <c:v>9.931000000000001</c:v>
                </c:pt>
                <c:pt idx="315">
                  <c:v>10.31</c:v>
                </c:pt>
              </c:numCache>
            </c:numRef>
          </c:xVal>
          <c:yVal>
            <c:numRef>
              <c:f>'0DB1- in1'!$AI$2:$AI$317</c:f>
              <c:numCache>
                <c:formatCode>General</c:formatCode>
                <c:ptCount val="316"/>
                <c:pt idx="0">
                  <c:v>0.0662720832212357</c:v>
                </c:pt>
                <c:pt idx="1">
                  <c:v>0.0662720832212357</c:v>
                </c:pt>
                <c:pt idx="2">
                  <c:v>0.0662720832212357</c:v>
                </c:pt>
                <c:pt idx="3">
                  <c:v>0.0662720832212357</c:v>
                </c:pt>
                <c:pt idx="4">
                  <c:v>0.0662272441933459</c:v>
                </c:pt>
                <c:pt idx="5">
                  <c:v>0.066182405165456</c:v>
                </c:pt>
                <c:pt idx="6">
                  <c:v>0.066182405165456</c:v>
                </c:pt>
                <c:pt idx="7">
                  <c:v>0.066182405165456</c:v>
                </c:pt>
                <c:pt idx="8">
                  <c:v>0.0661375661375661</c:v>
                </c:pt>
                <c:pt idx="9">
                  <c:v>0.0661375661375661</c:v>
                </c:pt>
                <c:pt idx="10">
                  <c:v>0.0660927271096763</c:v>
                </c:pt>
                <c:pt idx="11">
                  <c:v>0.0660927271096763</c:v>
                </c:pt>
                <c:pt idx="12">
                  <c:v>0.0660478880817864</c:v>
                </c:pt>
                <c:pt idx="13">
                  <c:v>0.0660478880817864</c:v>
                </c:pt>
                <c:pt idx="14">
                  <c:v>0.0660478880817864</c:v>
                </c:pt>
                <c:pt idx="15">
                  <c:v>0.0660478880817864</c:v>
                </c:pt>
                <c:pt idx="16">
                  <c:v>0.0660030490538965</c:v>
                </c:pt>
                <c:pt idx="17">
                  <c:v>0.0660030490538965</c:v>
                </c:pt>
                <c:pt idx="18">
                  <c:v>0.0660030490538965</c:v>
                </c:pt>
                <c:pt idx="19">
                  <c:v>0.0660030490538965</c:v>
                </c:pt>
                <c:pt idx="20">
                  <c:v>0.0660030490538965</c:v>
                </c:pt>
                <c:pt idx="21">
                  <c:v>0.0660030490538965</c:v>
                </c:pt>
                <c:pt idx="22">
                  <c:v>0.0660030490538965</c:v>
                </c:pt>
                <c:pt idx="23">
                  <c:v>0.0660030490538965</c:v>
                </c:pt>
                <c:pt idx="24">
                  <c:v>0.0660030490538965</c:v>
                </c:pt>
                <c:pt idx="25">
                  <c:v>0.0660030490538965</c:v>
                </c:pt>
                <c:pt idx="26">
                  <c:v>0.0660030490538965</c:v>
                </c:pt>
                <c:pt idx="27">
                  <c:v>0.0660030490538965</c:v>
                </c:pt>
                <c:pt idx="28">
                  <c:v>0.0660030490538965</c:v>
                </c:pt>
                <c:pt idx="29">
                  <c:v>0.0660030490538965</c:v>
                </c:pt>
                <c:pt idx="30">
                  <c:v>0.0660030490538965</c:v>
                </c:pt>
                <c:pt idx="31">
                  <c:v>0.0660030490538965</c:v>
                </c:pt>
                <c:pt idx="32">
                  <c:v>0.0660030490538965</c:v>
                </c:pt>
                <c:pt idx="33">
                  <c:v>0.0660030490538965</c:v>
                </c:pt>
                <c:pt idx="34">
                  <c:v>0.0660030490538965</c:v>
                </c:pt>
                <c:pt idx="35">
                  <c:v>0.0660030490538965</c:v>
                </c:pt>
                <c:pt idx="36">
                  <c:v>0.0660030490538965</c:v>
                </c:pt>
                <c:pt idx="37">
                  <c:v>0.0660030490538965</c:v>
                </c:pt>
                <c:pt idx="38">
                  <c:v>0.0660030490538965</c:v>
                </c:pt>
                <c:pt idx="39">
                  <c:v>0.0660030490538965</c:v>
                </c:pt>
                <c:pt idx="40">
                  <c:v>0.0660030490538965</c:v>
                </c:pt>
                <c:pt idx="41">
                  <c:v>0.0660030490538965</c:v>
                </c:pt>
                <c:pt idx="42">
                  <c:v>0.0660030490538965</c:v>
                </c:pt>
                <c:pt idx="43">
                  <c:v>0.0660030490538965</c:v>
                </c:pt>
                <c:pt idx="44">
                  <c:v>0.0660030490538965</c:v>
                </c:pt>
                <c:pt idx="45">
                  <c:v>0.0660030490538965</c:v>
                </c:pt>
                <c:pt idx="46">
                  <c:v>0.0660030490538965</c:v>
                </c:pt>
                <c:pt idx="47">
                  <c:v>0.0660030490538965</c:v>
                </c:pt>
                <c:pt idx="48">
                  <c:v>0.0660030490538965</c:v>
                </c:pt>
                <c:pt idx="49">
                  <c:v>0.0660030490538965</c:v>
                </c:pt>
                <c:pt idx="50">
                  <c:v>0.0660030490538965</c:v>
                </c:pt>
                <c:pt idx="51">
                  <c:v>0.0660030490538965</c:v>
                </c:pt>
                <c:pt idx="52">
                  <c:v>0.0660030490538965</c:v>
                </c:pt>
                <c:pt idx="53">
                  <c:v>0.0660030490538965</c:v>
                </c:pt>
                <c:pt idx="54">
                  <c:v>0.0660030490538965</c:v>
                </c:pt>
                <c:pt idx="55">
                  <c:v>0.0660030490538965</c:v>
                </c:pt>
                <c:pt idx="56">
                  <c:v>0.0660030490538965</c:v>
                </c:pt>
                <c:pt idx="57">
                  <c:v>0.0660030490538965</c:v>
                </c:pt>
                <c:pt idx="58">
                  <c:v>0.0660030490538965</c:v>
                </c:pt>
                <c:pt idx="59">
                  <c:v>0.0660030490538965</c:v>
                </c:pt>
                <c:pt idx="60">
                  <c:v>0.0660030490538965</c:v>
                </c:pt>
                <c:pt idx="61">
                  <c:v>0.0660030490538965</c:v>
                </c:pt>
                <c:pt idx="62">
                  <c:v>0.0660030490538965</c:v>
                </c:pt>
                <c:pt idx="63">
                  <c:v>0.0660030490538965</c:v>
                </c:pt>
                <c:pt idx="64">
                  <c:v>0.0660030490538965</c:v>
                </c:pt>
                <c:pt idx="65">
                  <c:v>0.0660030490538965</c:v>
                </c:pt>
                <c:pt idx="66">
                  <c:v>0.0660030490538965</c:v>
                </c:pt>
                <c:pt idx="67">
                  <c:v>0.0660030490538965</c:v>
                </c:pt>
                <c:pt idx="68">
                  <c:v>0.0660030490538965</c:v>
                </c:pt>
                <c:pt idx="69">
                  <c:v>0.0660030490538965</c:v>
                </c:pt>
                <c:pt idx="70">
                  <c:v>0.0660030490538965</c:v>
                </c:pt>
                <c:pt idx="71">
                  <c:v>0.0660030490538965</c:v>
                </c:pt>
                <c:pt idx="72">
                  <c:v>0.0660030490538965</c:v>
                </c:pt>
                <c:pt idx="73">
                  <c:v>0.0660030490538965</c:v>
                </c:pt>
                <c:pt idx="74">
                  <c:v>0.0660030490538965</c:v>
                </c:pt>
                <c:pt idx="75">
                  <c:v>0.0660030490538965</c:v>
                </c:pt>
                <c:pt idx="76">
                  <c:v>0.0660030490538965</c:v>
                </c:pt>
                <c:pt idx="77">
                  <c:v>0.0660030490538965</c:v>
                </c:pt>
                <c:pt idx="78">
                  <c:v>0.0660030490538965</c:v>
                </c:pt>
                <c:pt idx="79">
                  <c:v>0.0660030490538965</c:v>
                </c:pt>
                <c:pt idx="80">
                  <c:v>0.0660030490538965</c:v>
                </c:pt>
                <c:pt idx="81">
                  <c:v>0.0660030490538965</c:v>
                </c:pt>
                <c:pt idx="82">
                  <c:v>0.0660030490538965</c:v>
                </c:pt>
                <c:pt idx="83">
                  <c:v>0.0660030490538965</c:v>
                </c:pt>
                <c:pt idx="84">
                  <c:v>0.0660030490538965</c:v>
                </c:pt>
                <c:pt idx="85">
                  <c:v>0.0660030490538965</c:v>
                </c:pt>
                <c:pt idx="86">
                  <c:v>0.0660030490538965</c:v>
                </c:pt>
                <c:pt idx="87">
                  <c:v>0.0660030490538965</c:v>
                </c:pt>
                <c:pt idx="88">
                  <c:v>0.0660030490538965</c:v>
                </c:pt>
                <c:pt idx="89">
                  <c:v>0.0660030490538965</c:v>
                </c:pt>
                <c:pt idx="90">
                  <c:v>0.0660030490538965</c:v>
                </c:pt>
                <c:pt idx="91">
                  <c:v>0.0660030490538965</c:v>
                </c:pt>
                <c:pt idx="92">
                  <c:v>0.0660030490538965</c:v>
                </c:pt>
                <c:pt idx="93">
                  <c:v>0.0660030490538965</c:v>
                </c:pt>
                <c:pt idx="94">
                  <c:v>0.0660030490538965</c:v>
                </c:pt>
                <c:pt idx="95">
                  <c:v>0.0660030490538965</c:v>
                </c:pt>
                <c:pt idx="96">
                  <c:v>0.0660030490538965</c:v>
                </c:pt>
                <c:pt idx="97">
                  <c:v>0.0660030490538965</c:v>
                </c:pt>
                <c:pt idx="98">
                  <c:v>0.0660030490538965</c:v>
                </c:pt>
                <c:pt idx="99">
                  <c:v>0.0660030490538965</c:v>
                </c:pt>
                <c:pt idx="100">
                  <c:v>0.0660030490538965</c:v>
                </c:pt>
                <c:pt idx="101">
                  <c:v>0.0660030490538965</c:v>
                </c:pt>
                <c:pt idx="102">
                  <c:v>0.0660030490538965</c:v>
                </c:pt>
                <c:pt idx="103">
                  <c:v>0.0660030490538965</c:v>
                </c:pt>
                <c:pt idx="104">
                  <c:v>0.0660030490538965</c:v>
                </c:pt>
                <c:pt idx="105">
                  <c:v>0.0660030490538965</c:v>
                </c:pt>
                <c:pt idx="106">
                  <c:v>0.0660030490538965</c:v>
                </c:pt>
                <c:pt idx="107">
                  <c:v>0.0660030490538965</c:v>
                </c:pt>
                <c:pt idx="108">
                  <c:v>0.0660030490538965</c:v>
                </c:pt>
                <c:pt idx="109">
                  <c:v>0.0660030490538965</c:v>
                </c:pt>
                <c:pt idx="110">
                  <c:v>0.0660030490538965</c:v>
                </c:pt>
                <c:pt idx="111">
                  <c:v>0.0660030490538965</c:v>
                </c:pt>
                <c:pt idx="112">
                  <c:v>0.0660030490538965</c:v>
                </c:pt>
                <c:pt idx="113">
                  <c:v>0.0660030490538965</c:v>
                </c:pt>
                <c:pt idx="114">
                  <c:v>0.0660030490538965</c:v>
                </c:pt>
                <c:pt idx="115">
                  <c:v>0.0660030490538965</c:v>
                </c:pt>
                <c:pt idx="116">
                  <c:v>0.0660030490538965</c:v>
                </c:pt>
                <c:pt idx="117">
                  <c:v>0.0660030490538965</c:v>
                </c:pt>
                <c:pt idx="118">
                  <c:v>0.0660030490538965</c:v>
                </c:pt>
                <c:pt idx="119">
                  <c:v>0.0660030490538965</c:v>
                </c:pt>
                <c:pt idx="120">
                  <c:v>0.0660030490538965</c:v>
                </c:pt>
                <c:pt idx="121">
                  <c:v>0.0660030490538965</c:v>
                </c:pt>
                <c:pt idx="122">
                  <c:v>0.0660030490538965</c:v>
                </c:pt>
                <c:pt idx="123">
                  <c:v>0.0660030490538965</c:v>
                </c:pt>
                <c:pt idx="124">
                  <c:v>0.0660030490538965</c:v>
                </c:pt>
                <c:pt idx="125">
                  <c:v>0.0660030490538965</c:v>
                </c:pt>
                <c:pt idx="126">
                  <c:v>0.0660030490538965</c:v>
                </c:pt>
                <c:pt idx="127">
                  <c:v>0.0660030490538965</c:v>
                </c:pt>
                <c:pt idx="128">
                  <c:v>0.0660030490538965</c:v>
                </c:pt>
                <c:pt idx="129">
                  <c:v>0.0660030490538965</c:v>
                </c:pt>
                <c:pt idx="130">
                  <c:v>0.0660030490538965</c:v>
                </c:pt>
                <c:pt idx="131">
                  <c:v>0.0660030490538965</c:v>
                </c:pt>
                <c:pt idx="132">
                  <c:v>0.0660030490538965</c:v>
                </c:pt>
                <c:pt idx="133">
                  <c:v>0.0660030490538965</c:v>
                </c:pt>
                <c:pt idx="134">
                  <c:v>0.0660030490538965</c:v>
                </c:pt>
                <c:pt idx="135">
                  <c:v>0.0660030490538965</c:v>
                </c:pt>
                <c:pt idx="136">
                  <c:v>0.0660030490538965</c:v>
                </c:pt>
                <c:pt idx="137">
                  <c:v>0.0660030490538965</c:v>
                </c:pt>
                <c:pt idx="138">
                  <c:v>0.0660030490538965</c:v>
                </c:pt>
                <c:pt idx="139">
                  <c:v>0.0660030490538965</c:v>
                </c:pt>
                <c:pt idx="140">
                  <c:v>0.0660030490538965</c:v>
                </c:pt>
                <c:pt idx="141">
                  <c:v>0.0660030490538965</c:v>
                </c:pt>
                <c:pt idx="142">
                  <c:v>0.0660030490538965</c:v>
                </c:pt>
                <c:pt idx="143">
                  <c:v>0.0660030490538965</c:v>
                </c:pt>
                <c:pt idx="144">
                  <c:v>0.0660030490538965</c:v>
                </c:pt>
                <c:pt idx="145">
                  <c:v>0.0660030490538965</c:v>
                </c:pt>
                <c:pt idx="146">
                  <c:v>0.0660030490538965</c:v>
                </c:pt>
                <c:pt idx="147">
                  <c:v>0.0660030490538965</c:v>
                </c:pt>
                <c:pt idx="148">
                  <c:v>0.0660030490538965</c:v>
                </c:pt>
                <c:pt idx="149">
                  <c:v>0.0660030490538965</c:v>
                </c:pt>
                <c:pt idx="150">
                  <c:v>0.0660030490538965</c:v>
                </c:pt>
                <c:pt idx="151">
                  <c:v>0.0660030490538965</c:v>
                </c:pt>
                <c:pt idx="152">
                  <c:v>0.0660030490538965</c:v>
                </c:pt>
                <c:pt idx="153">
                  <c:v>0.0660030490538965</c:v>
                </c:pt>
                <c:pt idx="154">
                  <c:v>0.0660030490538965</c:v>
                </c:pt>
                <c:pt idx="155">
                  <c:v>0.0660030490538965</c:v>
                </c:pt>
                <c:pt idx="156">
                  <c:v>0.0660030490538965</c:v>
                </c:pt>
                <c:pt idx="157">
                  <c:v>0.0660030490538965</c:v>
                </c:pt>
                <c:pt idx="158">
                  <c:v>0.0660030490538965</c:v>
                </c:pt>
                <c:pt idx="159">
                  <c:v>0.0660030490538965</c:v>
                </c:pt>
                <c:pt idx="160">
                  <c:v>0.0660030490538965</c:v>
                </c:pt>
                <c:pt idx="161">
                  <c:v>0.0660030490538965</c:v>
                </c:pt>
                <c:pt idx="162">
                  <c:v>0.0660030490538965</c:v>
                </c:pt>
                <c:pt idx="163">
                  <c:v>0.0660030490538965</c:v>
                </c:pt>
                <c:pt idx="164">
                  <c:v>0.0660030490538965</c:v>
                </c:pt>
                <c:pt idx="165">
                  <c:v>0.0660030490538965</c:v>
                </c:pt>
                <c:pt idx="166">
                  <c:v>0.0660030490538965</c:v>
                </c:pt>
                <c:pt idx="167">
                  <c:v>0.0660030490538965</c:v>
                </c:pt>
                <c:pt idx="168">
                  <c:v>0.0660030490538965</c:v>
                </c:pt>
                <c:pt idx="169">
                  <c:v>0.0660030490538965</c:v>
                </c:pt>
                <c:pt idx="170">
                  <c:v>0.0660030490538965</c:v>
                </c:pt>
                <c:pt idx="171">
                  <c:v>0.0660030490538965</c:v>
                </c:pt>
                <c:pt idx="172">
                  <c:v>0.0660030490538965</c:v>
                </c:pt>
                <c:pt idx="173">
                  <c:v>0.0660030490538965</c:v>
                </c:pt>
                <c:pt idx="174">
                  <c:v>0.0660030490538965</c:v>
                </c:pt>
                <c:pt idx="175">
                  <c:v>0.0660030490538965</c:v>
                </c:pt>
                <c:pt idx="176">
                  <c:v>0.0660030490538965</c:v>
                </c:pt>
                <c:pt idx="177">
                  <c:v>0.0660030490538965</c:v>
                </c:pt>
                <c:pt idx="178">
                  <c:v>0.0660030490538965</c:v>
                </c:pt>
                <c:pt idx="179">
                  <c:v>0.0660030490538965</c:v>
                </c:pt>
                <c:pt idx="180">
                  <c:v>0.0660030490538965</c:v>
                </c:pt>
                <c:pt idx="181">
                  <c:v>0.0660030490538965</c:v>
                </c:pt>
                <c:pt idx="182">
                  <c:v>0.0660030490538965</c:v>
                </c:pt>
                <c:pt idx="183">
                  <c:v>0.0660030490538965</c:v>
                </c:pt>
                <c:pt idx="184">
                  <c:v>0.0660030490538965</c:v>
                </c:pt>
                <c:pt idx="185">
                  <c:v>0.0660030490538965</c:v>
                </c:pt>
                <c:pt idx="186">
                  <c:v>0.0660030490538965</c:v>
                </c:pt>
                <c:pt idx="187">
                  <c:v>0.0660030490538965</c:v>
                </c:pt>
                <c:pt idx="188">
                  <c:v>0.0660030490538965</c:v>
                </c:pt>
                <c:pt idx="189">
                  <c:v>0.0660030490538965</c:v>
                </c:pt>
                <c:pt idx="190">
                  <c:v>0.0660030490538965</c:v>
                </c:pt>
                <c:pt idx="191">
                  <c:v>0.0660030490538965</c:v>
                </c:pt>
                <c:pt idx="192">
                  <c:v>0.0660030490538965</c:v>
                </c:pt>
                <c:pt idx="193">
                  <c:v>0.0660030490538965</c:v>
                </c:pt>
                <c:pt idx="194">
                  <c:v>0.0660030490538965</c:v>
                </c:pt>
                <c:pt idx="195">
                  <c:v>0.0660030490538965</c:v>
                </c:pt>
                <c:pt idx="196">
                  <c:v>0.0660030490538965</c:v>
                </c:pt>
                <c:pt idx="197">
                  <c:v>0.0660030490538965</c:v>
                </c:pt>
                <c:pt idx="198">
                  <c:v>0.0660030490538965</c:v>
                </c:pt>
                <c:pt idx="199">
                  <c:v>0.0660030490538965</c:v>
                </c:pt>
                <c:pt idx="200">
                  <c:v>0.0660030490538965</c:v>
                </c:pt>
                <c:pt idx="201">
                  <c:v>0.0660030490538965</c:v>
                </c:pt>
                <c:pt idx="202">
                  <c:v>0.0660030490538965</c:v>
                </c:pt>
                <c:pt idx="203">
                  <c:v>0.0660030490538965</c:v>
                </c:pt>
                <c:pt idx="204">
                  <c:v>0.0660030490538965</c:v>
                </c:pt>
                <c:pt idx="205">
                  <c:v>0.0660030490538965</c:v>
                </c:pt>
                <c:pt idx="206">
                  <c:v>0.0660030490538965</c:v>
                </c:pt>
                <c:pt idx="207">
                  <c:v>0.0660030490538965</c:v>
                </c:pt>
                <c:pt idx="208">
                  <c:v>0.0660030490538965</c:v>
                </c:pt>
                <c:pt idx="209">
                  <c:v>0.0660030490538965</c:v>
                </c:pt>
                <c:pt idx="210">
                  <c:v>0.0660030490538965</c:v>
                </c:pt>
                <c:pt idx="211">
                  <c:v>0.0660030490538965</c:v>
                </c:pt>
                <c:pt idx="212">
                  <c:v>0.0660030490538965</c:v>
                </c:pt>
                <c:pt idx="213">
                  <c:v>0.0660030490538965</c:v>
                </c:pt>
                <c:pt idx="214">
                  <c:v>0.0660030490538965</c:v>
                </c:pt>
                <c:pt idx="215">
                  <c:v>0.0660030490538965</c:v>
                </c:pt>
                <c:pt idx="216">
                  <c:v>0.0660030490538965</c:v>
                </c:pt>
                <c:pt idx="217">
                  <c:v>0.0660030490538965</c:v>
                </c:pt>
                <c:pt idx="218">
                  <c:v>0.0660030490538965</c:v>
                </c:pt>
                <c:pt idx="219">
                  <c:v>0.0660030490538965</c:v>
                </c:pt>
                <c:pt idx="220">
                  <c:v>0.0660030490538965</c:v>
                </c:pt>
                <c:pt idx="221">
                  <c:v>0.0660030490538965</c:v>
                </c:pt>
                <c:pt idx="222">
                  <c:v>0.0660030490538965</c:v>
                </c:pt>
                <c:pt idx="223">
                  <c:v>0.0660030490538965</c:v>
                </c:pt>
                <c:pt idx="224">
                  <c:v>0.0660030490538965</c:v>
                </c:pt>
                <c:pt idx="225">
                  <c:v>0.0660030490538965</c:v>
                </c:pt>
                <c:pt idx="226">
                  <c:v>0.0660030490538965</c:v>
                </c:pt>
                <c:pt idx="227">
                  <c:v>0.0660030490538965</c:v>
                </c:pt>
                <c:pt idx="228">
                  <c:v>0.0660030490538965</c:v>
                </c:pt>
                <c:pt idx="229">
                  <c:v>0.0660030490538965</c:v>
                </c:pt>
                <c:pt idx="230">
                  <c:v>0.0660030490538965</c:v>
                </c:pt>
                <c:pt idx="231">
                  <c:v>0.0660030490538965</c:v>
                </c:pt>
                <c:pt idx="232">
                  <c:v>0.0660030490538965</c:v>
                </c:pt>
                <c:pt idx="233">
                  <c:v>0.0660030490538965</c:v>
                </c:pt>
                <c:pt idx="234">
                  <c:v>0.0660030490538965</c:v>
                </c:pt>
                <c:pt idx="235">
                  <c:v>0.0660030490538965</c:v>
                </c:pt>
                <c:pt idx="236">
                  <c:v>0.0660030490538965</c:v>
                </c:pt>
                <c:pt idx="237">
                  <c:v>0.0660030490538965</c:v>
                </c:pt>
                <c:pt idx="238">
                  <c:v>0.0660030490538965</c:v>
                </c:pt>
                <c:pt idx="239">
                  <c:v>0.0660030490538965</c:v>
                </c:pt>
                <c:pt idx="240">
                  <c:v>0.0660030490538965</c:v>
                </c:pt>
                <c:pt idx="241">
                  <c:v>0.0659582100260066</c:v>
                </c:pt>
                <c:pt idx="242">
                  <c:v>0.0659582100260066</c:v>
                </c:pt>
                <c:pt idx="243">
                  <c:v>0.0659582100260066</c:v>
                </c:pt>
                <c:pt idx="244">
                  <c:v>0.0659133709981167</c:v>
                </c:pt>
                <c:pt idx="245">
                  <c:v>0.0658685319702269</c:v>
                </c:pt>
                <c:pt idx="246">
                  <c:v>0.065823692942337</c:v>
                </c:pt>
                <c:pt idx="247">
                  <c:v>0.0657340148865573</c:v>
                </c:pt>
                <c:pt idx="248">
                  <c:v>0.0656891758586674</c:v>
                </c:pt>
                <c:pt idx="249">
                  <c:v>0.0655546587749977</c:v>
                </c:pt>
                <c:pt idx="250">
                  <c:v>0.0654201416913281</c:v>
                </c:pt>
                <c:pt idx="251">
                  <c:v>0.0652407855797686</c:v>
                </c:pt>
                <c:pt idx="252">
                  <c:v>0.0650614294682091</c:v>
                </c:pt>
                <c:pt idx="253">
                  <c:v>0.0648372343287598</c:v>
                </c:pt>
                <c:pt idx="254">
                  <c:v>0.0645682001614205</c:v>
                </c:pt>
                <c:pt idx="255">
                  <c:v>0.0642991659940812</c:v>
                </c:pt>
                <c:pt idx="256">
                  <c:v>0.064030131826742</c:v>
                </c:pt>
                <c:pt idx="257">
                  <c:v>0.0637610976594027</c:v>
                </c:pt>
                <c:pt idx="258">
                  <c:v>0.0634472244641736</c:v>
                </c:pt>
                <c:pt idx="259">
                  <c:v>0.0630885122410546</c:v>
                </c:pt>
                <c:pt idx="260">
                  <c:v>0.0627746390458255</c:v>
                </c:pt>
                <c:pt idx="261">
                  <c:v>0.0624607658505964</c:v>
                </c:pt>
                <c:pt idx="262">
                  <c:v>0.0621020536274774</c:v>
                </c:pt>
                <c:pt idx="263">
                  <c:v>0.0617433414043583</c:v>
                </c:pt>
                <c:pt idx="264">
                  <c:v>0.0614294682091292</c:v>
                </c:pt>
                <c:pt idx="265">
                  <c:v>0.0611155950139001</c:v>
                </c:pt>
                <c:pt idx="266">
                  <c:v>0.060801721818671</c:v>
                </c:pt>
                <c:pt idx="267">
                  <c:v>0.060443009595552</c:v>
                </c:pt>
                <c:pt idx="268">
                  <c:v>0.060084297372433</c:v>
                </c:pt>
                <c:pt idx="269">
                  <c:v>0.059725585149314</c:v>
                </c:pt>
                <c:pt idx="270">
                  <c:v>0.0593220338983051</c:v>
                </c:pt>
                <c:pt idx="271">
                  <c:v>0.0589184826472962</c:v>
                </c:pt>
                <c:pt idx="272">
                  <c:v>0.0585597704241772</c:v>
                </c:pt>
                <c:pt idx="273">
                  <c:v>0.0581562191731683</c:v>
                </c:pt>
                <c:pt idx="274">
                  <c:v>0.0577078288942696</c:v>
                </c:pt>
                <c:pt idx="275">
                  <c:v>0.0573042776432607</c:v>
                </c:pt>
                <c:pt idx="276">
                  <c:v>0.0568558873643619</c:v>
                </c:pt>
                <c:pt idx="277">
                  <c:v>0.0563626580575733</c:v>
                </c:pt>
                <c:pt idx="278">
                  <c:v>0.0559142677786746</c:v>
                </c:pt>
                <c:pt idx="279">
                  <c:v>0.0554658774997758</c:v>
                </c:pt>
                <c:pt idx="280">
                  <c:v>0.0550623262487669</c:v>
                </c:pt>
                <c:pt idx="281">
                  <c:v>0.054658774997758</c:v>
                </c:pt>
                <c:pt idx="282">
                  <c:v>0.0542552237467492</c:v>
                </c:pt>
                <c:pt idx="283">
                  <c:v>0.0538068334678504</c:v>
                </c:pt>
                <c:pt idx="284">
                  <c:v>0.0533584431889517</c:v>
                </c:pt>
                <c:pt idx="285">
                  <c:v>0.0529548919379428</c:v>
                </c:pt>
                <c:pt idx="286">
                  <c:v>0.0525961797148238</c:v>
                </c:pt>
                <c:pt idx="287">
                  <c:v>0.0522823065195946</c:v>
                </c:pt>
                <c:pt idx="288">
                  <c:v>0.0519684333243655</c:v>
                </c:pt>
                <c:pt idx="289">
                  <c:v>0.0516545601291364</c:v>
                </c:pt>
                <c:pt idx="290">
                  <c:v>0.0513406869339073</c:v>
                </c:pt>
                <c:pt idx="291">
                  <c:v>0.051071652766568</c:v>
                </c:pt>
                <c:pt idx="292">
                  <c:v>0.0508026185992288</c:v>
                </c:pt>
                <c:pt idx="293">
                  <c:v>0.0505335844318895</c:v>
                </c:pt>
                <c:pt idx="294">
                  <c:v>0.0503990673482199</c:v>
                </c:pt>
                <c:pt idx="295">
                  <c:v>0.0502197112366604</c:v>
                </c:pt>
                <c:pt idx="296">
                  <c:v>0.0500851941529908</c:v>
                </c:pt>
                <c:pt idx="297">
                  <c:v>0.0499506770693211</c:v>
                </c:pt>
                <c:pt idx="298">
                  <c:v>0.0498161599856515</c:v>
                </c:pt>
                <c:pt idx="299">
                  <c:v>0.0496816429019819</c:v>
                </c:pt>
                <c:pt idx="300">
                  <c:v>0.0495022867904224</c:v>
                </c:pt>
                <c:pt idx="301">
                  <c:v>0.0494126087346426</c:v>
                </c:pt>
                <c:pt idx="302">
                  <c:v>0.049278091650973</c:v>
                </c:pt>
                <c:pt idx="303">
                  <c:v>0.0491884135951933</c:v>
                </c:pt>
                <c:pt idx="304">
                  <c:v>0.0490538965115236</c:v>
                </c:pt>
                <c:pt idx="305">
                  <c:v>0.0489642184557439</c:v>
                </c:pt>
                <c:pt idx="306">
                  <c:v>0.0488297013720742</c:v>
                </c:pt>
                <c:pt idx="307">
                  <c:v>0.0487400233162945</c:v>
                </c:pt>
                <c:pt idx="308">
                  <c:v>0.0486503452605148</c:v>
                </c:pt>
                <c:pt idx="309">
                  <c:v>0.0485158281768451</c:v>
                </c:pt>
                <c:pt idx="310">
                  <c:v>0.0484261501210654</c:v>
                </c:pt>
                <c:pt idx="311">
                  <c:v>0.0483364720652856</c:v>
                </c:pt>
                <c:pt idx="312">
                  <c:v>0.0482467940095059</c:v>
                </c:pt>
                <c:pt idx="313">
                  <c:v>0.0482467940095059</c:v>
                </c:pt>
                <c:pt idx="314">
                  <c:v>0.048201954981616</c:v>
                </c:pt>
                <c:pt idx="315">
                  <c:v>0.0481571159537261</c:v>
                </c:pt>
              </c:numCache>
            </c:numRef>
          </c:yVal>
          <c:smooth val="0"/>
        </c:ser>
        <c:ser>
          <c:idx val="2"/>
          <c:order val="2"/>
          <c:tx>
            <c:v>In2</c:v>
          </c:tx>
          <c:spPr>
            <a:ln w="38100" cmpd="sng">
              <a:solidFill>
                <a:srgbClr val="8000FF"/>
              </a:solidFill>
              <a:prstDash val="solid"/>
            </a:ln>
          </c:spPr>
          <c:marker>
            <c:symbol val="none"/>
          </c:marker>
          <c:xVal>
            <c:numRef>
              <c:f>'0DB1- in1'!$AE$2:$AE$310</c:f>
              <c:numCache>
                <c:formatCode>0.00E+00</c:formatCode>
                <c:ptCount val="309"/>
                <c:pt idx="0">
                  <c:v>10.61</c:v>
                </c:pt>
                <c:pt idx="1">
                  <c:v>10.35</c:v>
                </c:pt>
                <c:pt idx="2">
                  <c:v>9.9</c:v>
                </c:pt>
                <c:pt idx="3">
                  <c:v>9.395</c:v>
                </c:pt>
                <c:pt idx="4">
                  <c:v>8.859</c:v>
                </c:pt>
                <c:pt idx="5">
                  <c:v>8.274000000000001</c:v>
                </c:pt>
                <c:pt idx="6">
                  <c:v>7.783</c:v>
                </c:pt>
                <c:pt idx="7">
                  <c:v>7.264999999999985</c:v>
                </c:pt>
                <c:pt idx="8">
                  <c:v>6.733</c:v>
                </c:pt>
                <c:pt idx="9">
                  <c:v>6.190999999999986</c:v>
                </c:pt>
                <c:pt idx="10">
                  <c:v>5.643999999999996</c:v>
                </c:pt>
                <c:pt idx="11">
                  <c:v>5.091</c:v>
                </c:pt>
                <c:pt idx="12">
                  <c:v>4.538</c:v>
                </c:pt>
                <c:pt idx="13">
                  <c:v>3.998</c:v>
                </c:pt>
                <c:pt idx="14">
                  <c:v>3.483</c:v>
                </c:pt>
                <c:pt idx="15">
                  <c:v>3.005</c:v>
                </c:pt>
                <c:pt idx="16">
                  <c:v>2.573</c:v>
                </c:pt>
                <c:pt idx="17">
                  <c:v>2.194</c:v>
                </c:pt>
                <c:pt idx="18">
                  <c:v>1.866</c:v>
                </c:pt>
                <c:pt idx="19">
                  <c:v>1.588</c:v>
                </c:pt>
                <c:pt idx="20">
                  <c:v>1.353</c:v>
                </c:pt>
                <c:pt idx="21">
                  <c:v>1.158</c:v>
                </c:pt>
                <c:pt idx="22">
                  <c:v>0.9959</c:v>
                </c:pt>
                <c:pt idx="23">
                  <c:v>0.8625</c:v>
                </c:pt>
                <c:pt idx="24">
                  <c:v>0.7525</c:v>
                </c:pt>
                <c:pt idx="25">
                  <c:v>0.6615</c:v>
                </c:pt>
                <c:pt idx="26">
                  <c:v>0.586</c:v>
                </c:pt>
                <c:pt idx="27">
                  <c:v>0.523</c:v>
                </c:pt>
                <c:pt idx="28">
                  <c:v>0.4702</c:v>
                </c:pt>
                <c:pt idx="29">
                  <c:v>0.4256</c:v>
                </c:pt>
                <c:pt idx="30">
                  <c:v>0.3877</c:v>
                </c:pt>
                <c:pt idx="31">
                  <c:v>0.3554</c:v>
                </c:pt>
                <c:pt idx="32">
                  <c:v>0.3275</c:v>
                </c:pt>
                <c:pt idx="33">
                  <c:v>0.3034</c:v>
                </c:pt>
                <c:pt idx="34">
                  <c:v>0.2823</c:v>
                </c:pt>
                <c:pt idx="35">
                  <c:v>0.2638</c:v>
                </c:pt>
                <c:pt idx="36">
                  <c:v>0.2474</c:v>
                </c:pt>
                <c:pt idx="37">
                  <c:v>0.2326</c:v>
                </c:pt>
                <c:pt idx="38">
                  <c:v>0.2194</c:v>
                </c:pt>
                <c:pt idx="39">
                  <c:v>0.2074</c:v>
                </c:pt>
                <c:pt idx="40">
                  <c:v>0.1965</c:v>
                </c:pt>
                <c:pt idx="41">
                  <c:v>0.1866</c:v>
                </c:pt>
                <c:pt idx="42">
                  <c:v>0.1775</c:v>
                </c:pt>
                <c:pt idx="43">
                  <c:v>0.1691</c:v>
                </c:pt>
                <c:pt idx="44">
                  <c:v>0.1614</c:v>
                </c:pt>
                <c:pt idx="45">
                  <c:v>0.1543</c:v>
                </c:pt>
                <c:pt idx="46">
                  <c:v>0.1476</c:v>
                </c:pt>
                <c:pt idx="47">
                  <c:v>0.1413</c:v>
                </c:pt>
                <c:pt idx="48">
                  <c:v>0.1355</c:v>
                </c:pt>
                <c:pt idx="49">
                  <c:v>0.13</c:v>
                </c:pt>
                <c:pt idx="50">
                  <c:v>0.1249</c:v>
                </c:pt>
                <c:pt idx="51">
                  <c:v>0.1202</c:v>
                </c:pt>
                <c:pt idx="52">
                  <c:v>0.1157</c:v>
                </c:pt>
                <c:pt idx="53">
                  <c:v>0.1114</c:v>
                </c:pt>
                <c:pt idx="54">
                  <c:v>0.1074</c:v>
                </c:pt>
                <c:pt idx="55">
                  <c:v>0.1036</c:v>
                </c:pt>
                <c:pt idx="56">
                  <c:v>0.1</c:v>
                </c:pt>
                <c:pt idx="57">
                  <c:v>0.0967</c:v>
                </c:pt>
                <c:pt idx="58">
                  <c:v>0.09358</c:v>
                </c:pt>
                <c:pt idx="59">
                  <c:v>0.09065</c:v>
                </c:pt>
                <c:pt idx="60">
                  <c:v>0.08784</c:v>
                </c:pt>
                <c:pt idx="61">
                  <c:v>0.08517</c:v>
                </c:pt>
                <c:pt idx="62">
                  <c:v>0.08267</c:v>
                </c:pt>
                <c:pt idx="63">
                  <c:v>0.08031</c:v>
                </c:pt>
                <c:pt idx="64">
                  <c:v>0.07811</c:v>
                </c:pt>
                <c:pt idx="65">
                  <c:v>0.07602</c:v>
                </c:pt>
                <c:pt idx="66">
                  <c:v>0.07404</c:v>
                </c:pt>
                <c:pt idx="67">
                  <c:v>0.07212</c:v>
                </c:pt>
                <c:pt idx="68">
                  <c:v>0.07024</c:v>
                </c:pt>
                <c:pt idx="69">
                  <c:v>0.06846</c:v>
                </c:pt>
                <c:pt idx="70">
                  <c:v>0.06672</c:v>
                </c:pt>
                <c:pt idx="71">
                  <c:v>0.06507</c:v>
                </c:pt>
                <c:pt idx="72">
                  <c:v>0.06346</c:v>
                </c:pt>
                <c:pt idx="73">
                  <c:v>0.06189</c:v>
                </c:pt>
                <c:pt idx="74">
                  <c:v>0.06039</c:v>
                </c:pt>
                <c:pt idx="75">
                  <c:v>0.05896</c:v>
                </c:pt>
                <c:pt idx="76">
                  <c:v>0.0576</c:v>
                </c:pt>
                <c:pt idx="77">
                  <c:v>0.05629</c:v>
                </c:pt>
                <c:pt idx="78">
                  <c:v>0.05506</c:v>
                </c:pt>
                <c:pt idx="79">
                  <c:v>0.05391</c:v>
                </c:pt>
                <c:pt idx="80">
                  <c:v>0.05277</c:v>
                </c:pt>
                <c:pt idx="81">
                  <c:v>0.0517</c:v>
                </c:pt>
                <c:pt idx="82">
                  <c:v>0.05069</c:v>
                </c:pt>
                <c:pt idx="83">
                  <c:v>0.04973</c:v>
                </c:pt>
                <c:pt idx="84">
                  <c:v>0.04883</c:v>
                </c:pt>
                <c:pt idx="85">
                  <c:v>0.04796</c:v>
                </c:pt>
                <c:pt idx="86">
                  <c:v>0.0471</c:v>
                </c:pt>
                <c:pt idx="87">
                  <c:v>0.04626</c:v>
                </c:pt>
                <c:pt idx="88">
                  <c:v>0.04545</c:v>
                </c:pt>
                <c:pt idx="89">
                  <c:v>0.04467</c:v>
                </c:pt>
                <c:pt idx="90">
                  <c:v>0.04392</c:v>
                </c:pt>
                <c:pt idx="91">
                  <c:v>0.0432</c:v>
                </c:pt>
                <c:pt idx="92">
                  <c:v>0.04251</c:v>
                </c:pt>
                <c:pt idx="93">
                  <c:v>0.04183</c:v>
                </c:pt>
                <c:pt idx="94">
                  <c:v>0.04117</c:v>
                </c:pt>
                <c:pt idx="95">
                  <c:v>0.04053</c:v>
                </c:pt>
                <c:pt idx="96">
                  <c:v>0.03991</c:v>
                </c:pt>
                <c:pt idx="97">
                  <c:v>0.03933</c:v>
                </c:pt>
                <c:pt idx="98">
                  <c:v>0.03875</c:v>
                </c:pt>
                <c:pt idx="99">
                  <c:v>0.03819</c:v>
                </c:pt>
                <c:pt idx="100">
                  <c:v>0.03764</c:v>
                </c:pt>
                <c:pt idx="101">
                  <c:v>0.03711</c:v>
                </c:pt>
                <c:pt idx="102">
                  <c:v>0.03659</c:v>
                </c:pt>
                <c:pt idx="103">
                  <c:v>0.03608</c:v>
                </c:pt>
                <c:pt idx="104">
                  <c:v>0.03559</c:v>
                </c:pt>
                <c:pt idx="105">
                  <c:v>0.03511</c:v>
                </c:pt>
                <c:pt idx="106">
                  <c:v>0.03464</c:v>
                </c:pt>
                <c:pt idx="107">
                  <c:v>0.03418</c:v>
                </c:pt>
                <c:pt idx="108">
                  <c:v>0.03373</c:v>
                </c:pt>
                <c:pt idx="109">
                  <c:v>0.03329</c:v>
                </c:pt>
                <c:pt idx="110">
                  <c:v>0.03287</c:v>
                </c:pt>
                <c:pt idx="111">
                  <c:v>0.03245</c:v>
                </c:pt>
                <c:pt idx="112">
                  <c:v>0.03204</c:v>
                </c:pt>
                <c:pt idx="113">
                  <c:v>0.03164</c:v>
                </c:pt>
                <c:pt idx="114">
                  <c:v>0.03125</c:v>
                </c:pt>
                <c:pt idx="115">
                  <c:v>0.03086</c:v>
                </c:pt>
                <c:pt idx="116">
                  <c:v>0.03047</c:v>
                </c:pt>
                <c:pt idx="117">
                  <c:v>0.03009</c:v>
                </c:pt>
                <c:pt idx="118">
                  <c:v>0.02972</c:v>
                </c:pt>
                <c:pt idx="119">
                  <c:v>0.02935</c:v>
                </c:pt>
                <c:pt idx="120">
                  <c:v>0.02898</c:v>
                </c:pt>
                <c:pt idx="121">
                  <c:v>0.02862</c:v>
                </c:pt>
                <c:pt idx="122">
                  <c:v>0.02826</c:v>
                </c:pt>
                <c:pt idx="123">
                  <c:v>0.02789</c:v>
                </c:pt>
                <c:pt idx="124">
                  <c:v>0.02752</c:v>
                </c:pt>
                <c:pt idx="125">
                  <c:v>0.02716</c:v>
                </c:pt>
                <c:pt idx="126">
                  <c:v>0.0268</c:v>
                </c:pt>
                <c:pt idx="127">
                  <c:v>0.02644</c:v>
                </c:pt>
                <c:pt idx="128">
                  <c:v>0.02607</c:v>
                </c:pt>
                <c:pt idx="129">
                  <c:v>0.02571</c:v>
                </c:pt>
                <c:pt idx="130">
                  <c:v>0.02536</c:v>
                </c:pt>
                <c:pt idx="131">
                  <c:v>0.02501</c:v>
                </c:pt>
                <c:pt idx="132">
                  <c:v>0.02466</c:v>
                </c:pt>
                <c:pt idx="133">
                  <c:v>0.02433</c:v>
                </c:pt>
                <c:pt idx="134">
                  <c:v>0.024</c:v>
                </c:pt>
                <c:pt idx="135">
                  <c:v>0.02369</c:v>
                </c:pt>
                <c:pt idx="136">
                  <c:v>0.02337</c:v>
                </c:pt>
                <c:pt idx="137">
                  <c:v>0.02307</c:v>
                </c:pt>
                <c:pt idx="138">
                  <c:v>0.02276</c:v>
                </c:pt>
                <c:pt idx="139">
                  <c:v>0.02247</c:v>
                </c:pt>
                <c:pt idx="140">
                  <c:v>0.02218</c:v>
                </c:pt>
                <c:pt idx="141">
                  <c:v>0.02189</c:v>
                </c:pt>
                <c:pt idx="142">
                  <c:v>0.0216</c:v>
                </c:pt>
                <c:pt idx="143">
                  <c:v>0.02131</c:v>
                </c:pt>
                <c:pt idx="144">
                  <c:v>0.02103</c:v>
                </c:pt>
                <c:pt idx="145">
                  <c:v>0.02075</c:v>
                </c:pt>
                <c:pt idx="146">
                  <c:v>0.02047</c:v>
                </c:pt>
                <c:pt idx="147">
                  <c:v>0.0202</c:v>
                </c:pt>
                <c:pt idx="148">
                  <c:v>0.01994</c:v>
                </c:pt>
                <c:pt idx="149">
                  <c:v>0.01968</c:v>
                </c:pt>
                <c:pt idx="150">
                  <c:v>0.01943</c:v>
                </c:pt>
                <c:pt idx="151">
                  <c:v>0.01918</c:v>
                </c:pt>
                <c:pt idx="152">
                  <c:v>0.01894</c:v>
                </c:pt>
                <c:pt idx="153">
                  <c:v>0.01871</c:v>
                </c:pt>
                <c:pt idx="154">
                  <c:v>0.01848</c:v>
                </c:pt>
                <c:pt idx="155">
                  <c:v>0.01825</c:v>
                </c:pt>
                <c:pt idx="156">
                  <c:v>0.01803</c:v>
                </c:pt>
                <c:pt idx="157">
                  <c:v>0.01781</c:v>
                </c:pt>
                <c:pt idx="158">
                  <c:v>0.0176</c:v>
                </c:pt>
                <c:pt idx="159">
                  <c:v>0.01739</c:v>
                </c:pt>
                <c:pt idx="160">
                  <c:v>0.01718</c:v>
                </c:pt>
                <c:pt idx="161">
                  <c:v>0.01698</c:v>
                </c:pt>
                <c:pt idx="162">
                  <c:v>0.01678</c:v>
                </c:pt>
                <c:pt idx="163">
                  <c:v>0.01659</c:v>
                </c:pt>
                <c:pt idx="164">
                  <c:v>0.0164</c:v>
                </c:pt>
                <c:pt idx="165">
                  <c:v>0.01621</c:v>
                </c:pt>
                <c:pt idx="166">
                  <c:v>0.01603</c:v>
                </c:pt>
                <c:pt idx="167">
                  <c:v>0.01585</c:v>
                </c:pt>
                <c:pt idx="168">
                  <c:v>0.01567</c:v>
                </c:pt>
                <c:pt idx="169">
                  <c:v>0.01549</c:v>
                </c:pt>
                <c:pt idx="170">
                  <c:v>0.01532</c:v>
                </c:pt>
                <c:pt idx="171">
                  <c:v>0.01516</c:v>
                </c:pt>
                <c:pt idx="172">
                  <c:v>0.01499</c:v>
                </c:pt>
                <c:pt idx="173">
                  <c:v>0.01483</c:v>
                </c:pt>
                <c:pt idx="174">
                  <c:v>0.01468</c:v>
                </c:pt>
                <c:pt idx="175">
                  <c:v>0.01453</c:v>
                </c:pt>
                <c:pt idx="176">
                  <c:v>0.01438</c:v>
                </c:pt>
                <c:pt idx="177">
                  <c:v>0.01423</c:v>
                </c:pt>
                <c:pt idx="178">
                  <c:v>0.01409</c:v>
                </c:pt>
                <c:pt idx="179">
                  <c:v>0.01396</c:v>
                </c:pt>
                <c:pt idx="180">
                  <c:v>0.01384</c:v>
                </c:pt>
                <c:pt idx="181">
                  <c:v>0.01372</c:v>
                </c:pt>
                <c:pt idx="182">
                  <c:v>0.01361</c:v>
                </c:pt>
                <c:pt idx="183">
                  <c:v>0.0135</c:v>
                </c:pt>
                <c:pt idx="184">
                  <c:v>0.0134</c:v>
                </c:pt>
                <c:pt idx="185">
                  <c:v>0.0133</c:v>
                </c:pt>
                <c:pt idx="186">
                  <c:v>0.0132</c:v>
                </c:pt>
                <c:pt idx="187">
                  <c:v>0.01312</c:v>
                </c:pt>
                <c:pt idx="188">
                  <c:v>0.01303</c:v>
                </c:pt>
                <c:pt idx="189">
                  <c:v>0.01295</c:v>
                </c:pt>
                <c:pt idx="190">
                  <c:v>0.01286</c:v>
                </c:pt>
                <c:pt idx="191">
                  <c:v>0.01277</c:v>
                </c:pt>
                <c:pt idx="192">
                  <c:v>0.01268</c:v>
                </c:pt>
                <c:pt idx="193">
                  <c:v>0.0126</c:v>
                </c:pt>
                <c:pt idx="194">
                  <c:v>0.01251</c:v>
                </c:pt>
                <c:pt idx="195">
                  <c:v>0.01243</c:v>
                </c:pt>
                <c:pt idx="196">
                  <c:v>0.01234</c:v>
                </c:pt>
                <c:pt idx="197">
                  <c:v>0.01226</c:v>
                </c:pt>
                <c:pt idx="198">
                  <c:v>0.01218</c:v>
                </c:pt>
                <c:pt idx="199">
                  <c:v>0.0121</c:v>
                </c:pt>
                <c:pt idx="200">
                  <c:v>0.01202</c:v>
                </c:pt>
                <c:pt idx="201">
                  <c:v>0.01194</c:v>
                </c:pt>
                <c:pt idx="202">
                  <c:v>0.01187</c:v>
                </c:pt>
                <c:pt idx="203">
                  <c:v>0.0118</c:v>
                </c:pt>
                <c:pt idx="204">
                  <c:v>0.01173</c:v>
                </c:pt>
                <c:pt idx="205">
                  <c:v>0.01166</c:v>
                </c:pt>
                <c:pt idx="206">
                  <c:v>0.01159</c:v>
                </c:pt>
                <c:pt idx="207">
                  <c:v>0.01152</c:v>
                </c:pt>
                <c:pt idx="208">
                  <c:v>0.01145</c:v>
                </c:pt>
                <c:pt idx="209">
                  <c:v>0.01138</c:v>
                </c:pt>
                <c:pt idx="210">
                  <c:v>0.01131</c:v>
                </c:pt>
                <c:pt idx="211">
                  <c:v>0.01124</c:v>
                </c:pt>
                <c:pt idx="212">
                  <c:v>0.01118</c:v>
                </c:pt>
                <c:pt idx="213">
                  <c:v>0.01111</c:v>
                </c:pt>
                <c:pt idx="214">
                  <c:v>0.01105</c:v>
                </c:pt>
                <c:pt idx="215">
                  <c:v>0.01098</c:v>
                </c:pt>
                <c:pt idx="216">
                  <c:v>0.01092</c:v>
                </c:pt>
                <c:pt idx="217">
                  <c:v>0.01086</c:v>
                </c:pt>
                <c:pt idx="218">
                  <c:v>0.01079</c:v>
                </c:pt>
                <c:pt idx="219">
                  <c:v>0.01073</c:v>
                </c:pt>
                <c:pt idx="220">
                  <c:v>0.01067</c:v>
                </c:pt>
                <c:pt idx="221">
                  <c:v>0.01061</c:v>
                </c:pt>
                <c:pt idx="222">
                  <c:v>0.01055</c:v>
                </c:pt>
                <c:pt idx="223">
                  <c:v>0.01049</c:v>
                </c:pt>
                <c:pt idx="224">
                  <c:v>0.01043</c:v>
                </c:pt>
                <c:pt idx="225">
                  <c:v>0.01037</c:v>
                </c:pt>
                <c:pt idx="226">
                  <c:v>0.01031</c:v>
                </c:pt>
                <c:pt idx="227">
                  <c:v>0.01026</c:v>
                </c:pt>
                <c:pt idx="228">
                  <c:v>0.0102</c:v>
                </c:pt>
                <c:pt idx="229">
                  <c:v>0.01014</c:v>
                </c:pt>
                <c:pt idx="230">
                  <c:v>0.01009</c:v>
                </c:pt>
                <c:pt idx="231">
                  <c:v>0.01003</c:v>
                </c:pt>
                <c:pt idx="232">
                  <c:v>0.009976</c:v>
                </c:pt>
                <c:pt idx="233">
                  <c:v>0.009921</c:v>
                </c:pt>
                <c:pt idx="234">
                  <c:v>0.009866</c:v>
                </c:pt>
                <c:pt idx="235">
                  <c:v>0.009812</c:v>
                </c:pt>
                <c:pt idx="236">
                  <c:v>0.009758</c:v>
                </c:pt>
                <c:pt idx="237">
                  <c:v>0.009704</c:v>
                </c:pt>
                <c:pt idx="238">
                  <c:v>0.009651</c:v>
                </c:pt>
                <c:pt idx="239">
                  <c:v>0.009598</c:v>
                </c:pt>
                <c:pt idx="240">
                  <c:v>0.009546</c:v>
                </c:pt>
                <c:pt idx="241">
                  <c:v>0.009494</c:v>
                </c:pt>
                <c:pt idx="242">
                  <c:v>0.009443</c:v>
                </c:pt>
                <c:pt idx="243">
                  <c:v>0.009392</c:v>
                </c:pt>
                <c:pt idx="244">
                  <c:v>0.009341</c:v>
                </c:pt>
                <c:pt idx="245">
                  <c:v>0.00929</c:v>
                </c:pt>
                <c:pt idx="246">
                  <c:v>0.009239</c:v>
                </c:pt>
                <c:pt idx="247">
                  <c:v>0.009188</c:v>
                </c:pt>
                <c:pt idx="248">
                  <c:v>0.009136</c:v>
                </c:pt>
                <c:pt idx="249">
                  <c:v>0.009084</c:v>
                </c:pt>
                <c:pt idx="250">
                  <c:v>0.009032</c:v>
                </c:pt>
                <c:pt idx="251">
                  <c:v>0.00898</c:v>
                </c:pt>
                <c:pt idx="252">
                  <c:v>0.008927</c:v>
                </c:pt>
                <c:pt idx="253">
                  <c:v>0.008874</c:v>
                </c:pt>
                <c:pt idx="254">
                  <c:v>0.00882</c:v>
                </c:pt>
                <c:pt idx="255">
                  <c:v>0.008767</c:v>
                </c:pt>
                <c:pt idx="256">
                  <c:v>0.008715</c:v>
                </c:pt>
                <c:pt idx="257">
                  <c:v>0.008662</c:v>
                </c:pt>
                <c:pt idx="258">
                  <c:v>0.008609</c:v>
                </c:pt>
                <c:pt idx="259">
                  <c:v>0.008558</c:v>
                </c:pt>
                <c:pt idx="260">
                  <c:v>0.008506</c:v>
                </c:pt>
                <c:pt idx="261">
                  <c:v>0.008454</c:v>
                </c:pt>
                <c:pt idx="262">
                  <c:v>0.008403</c:v>
                </c:pt>
                <c:pt idx="263">
                  <c:v>0.008352</c:v>
                </c:pt>
                <c:pt idx="264">
                  <c:v>0.008301</c:v>
                </c:pt>
                <c:pt idx="265">
                  <c:v>0.008251</c:v>
                </c:pt>
                <c:pt idx="266">
                  <c:v>0.008201</c:v>
                </c:pt>
                <c:pt idx="267">
                  <c:v>0.008152</c:v>
                </c:pt>
                <c:pt idx="268">
                  <c:v>0.008104</c:v>
                </c:pt>
                <c:pt idx="269">
                  <c:v>0.008056</c:v>
                </c:pt>
                <c:pt idx="270">
                  <c:v>0.008008</c:v>
                </c:pt>
                <c:pt idx="271">
                  <c:v>0.007961</c:v>
                </c:pt>
                <c:pt idx="272">
                  <c:v>0.007914</c:v>
                </c:pt>
                <c:pt idx="273">
                  <c:v>0.007868</c:v>
                </c:pt>
                <c:pt idx="274">
                  <c:v>0.007823</c:v>
                </c:pt>
                <c:pt idx="275">
                  <c:v>0.007777</c:v>
                </c:pt>
                <c:pt idx="276">
                  <c:v>0.007732</c:v>
                </c:pt>
                <c:pt idx="277">
                  <c:v>0.007688</c:v>
                </c:pt>
                <c:pt idx="278">
                  <c:v>0.007644</c:v>
                </c:pt>
                <c:pt idx="279">
                  <c:v>0.0076</c:v>
                </c:pt>
                <c:pt idx="280">
                  <c:v>0.007557</c:v>
                </c:pt>
                <c:pt idx="281">
                  <c:v>0.007514</c:v>
                </c:pt>
                <c:pt idx="282">
                  <c:v>0.007472</c:v>
                </c:pt>
                <c:pt idx="283">
                  <c:v>0.00743</c:v>
                </c:pt>
                <c:pt idx="284">
                  <c:v>0.007388</c:v>
                </c:pt>
                <c:pt idx="285">
                  <c:v>0.007346</c:v>
                </c:pt>
                <c:pt idx="286">
                  <c:v>0.007305</c:v>
                </c:pt>
                <c:pt idx="287">
                  <c:v>0.007265</c:v>
                </c:pt>
                <c:pt idx="288">
                  <c:v>0.007225</c:v>
                </c:pt>
                <c:pt idx="289">
                  <c:v>0.007185</c:v>
                </c:pt>
                <c:pt idx="290">
                  <c:v>0.007145</c:v>
                </c:pt>
                <c:pt idx="291">
                  <c:v>0.007106</c:v>
                </c:pt>
                <c:pt idx="292">
                  <c:v>0.007067</c:v>
                </c:pt>
                <c:pt idx="293">
                  <c:v>0.007029</c:v>
                </c:pt>
                <c:pt idx="294">
                  <c:v>0.006991</c:v>
                </c:pt>
                <c:pt idx="295">
                  <c:v>0.006953</c:v>
                </c:pt>
                <c:pt idx="296">
                  <c:v>0.006916</c:v>
                </c:pt>
                <c:pt idx="297">
                  <c:v>0.006879</c:v>
                </c:pt>
                <c:pt idx="298">
                  <c:v>0.006842</c:v>
                </c:pt>
                <c:pt idx="299">
                  <c:v>0.006805</c:v>
                </c:pt>
                <c:pt idx="300">
                  <c:v>0.006769</c:v>
                </c:pt>
                <c:pt idx="301">
                  <c:v>0.006732</c:v>
                </c:pt>
                <c:pt idx="302">
                  <c:v>0.006696</c:v>
                </c:pt>
                <c:pt idx="303">
                  <c:v>0.006661</c:v>
                </c:pt>
                <c:pt idx="304">
                  <c:v>0.006625</c:v>
                </c:pt>
                <c:pt idx="305">
                  <c:v>0.00659</c:v>
                </c:pt>
                <c:pt idx="306">
                  <c:v>0.006554</c:v>
                </c:pt>
                <c:pt idx="307">
                  <c:v>0.006519</c:v>
                </c:pt>
                <c:pt idx="308">
                  <c:v>0.006486</c:v>
                </c:pt>
              </c:numCache>
            </c:numRef>
          </c:xVal>
          <c:yVal>
            <c:numRef>
              <c:f>'0DB1- in1'!$AG$2:$AG$310</c:f>
              <c:numCache>
                <c:formatCode>General</c:formatCode>
                <c:ptCount val="309"/>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6.66666666666667E-5</c:v>
                </c:pt>
                <c:pt idx="43">
                  <c:v>6.66666666666667E-5</c:v>
                </c:pt>
                <c:pt idx="44">
                  <c:v>0.0002</c:v>
                </c:pt>
                <c:pt idx="45">
                  <c:v>0.000333333333333333</c:v>
                </c:pt>
                <c:pt idx="46">
                  <c:v>0.000533333333333333</c:v>
                </c:pt>
                <c:pt idx="47">
                  <c:v>0.000733333333333333</c:v>
                </c:pt>
                <c:pt idx="48">
                  <c:v>0.001</c:v>
                </c:pt>
                <c:pt idx="49">
                  <c:v>0.00126666666666667</c:v>
                </c:pt>
                <c:pt idx="50">
                  <c:v>0.0016</c:v>
                </c:pt>
                <c:pt idx="51">
                  <c:v>0.002</c:v>
                </c:pt>
                <c:pt idx="52">
                  <c:v>0.00233333333333333</c:v>
                </c:pt>
                <c:pt idx="53">
                  <c:v>0.00273333333333333</c:v>
                </c:pt>
                <c:pt idx="54">
                  <c:v>0.0032</c:v>
                </c:pt>
                <c:pt idx="55">
                  <c:v>0.0036</c:v>
                </c:pt>
                <c:pt idx="56">
                  <c:v>0.004</c:v>
                </c:pt>
                <c:pt idx="57">
                  <c:v>0.00446666666666667</c:v>
                </c:pt>
                <c:pt idx="58">
                  <c:v>0.00493333333333333</c:v>
                </c:pt>
                <c:pt idx="59">
                  <c:v>0.00533333333333333</c:v>
                </c:pt>
                <c:pt idx="60">
                  <c:v>0.0058</c:v>
                </c:pt>
                <c:pt idx="61">
                  <c:v>0.0062</c:v>
                </c:pt>
                <c:pt idx="62">
                  <c:v>0.00653333333333333</c:v>
                </c:pt>
                <c:pt idx="63">
                  <c:v>0.00693333333333333</c:v>
                </c:pt>
                <c:pt idx="64">
                  <c:v>0.00733333333333333</c:v>
                </c:pt>
                <c:pt idx="65">
                  <c:v>0.00766666666666666</c:v>
                </c:pt>
                <c:pt idx="66">
                  <c:v>0.00793333333333333</c:v>
                </c:pt>
                <c:pt idx="67">
                  <c:v>0.0082</c:v>
                </c:pt>
                <c:pt idx="68">
                  <c:v>0.00846666666666666</c:v>
                </c:pt>
                <c:pt idx="69">
                  <c:v>0.0088</c:v>
                </c:pt>
                <c:pt idx="70">
                  <c:v>0.00906666666666666</c:v>
                </c:pt>
                <c:pt idx="71">
                  <c:v>0.0094</c:v>
                </c:pt>
                <c:pt idx="72">
                  <c:v>0.00973333333333333</c:v>
                </c:pt>
                <c:pt idx="73">
                  <c:v>0.0101333333333333</c:v>
                </c:pt>
                <c:pt idx="74">
                  <c:v>0.0104666666666667</c:v>
                </c:pt>
                <c:pt idx="75">
                  <c:v>0.0108666666666667</c:v>
                </c:pt>
                <c:pt idx="76">
                  <c:v>0.0112</c:v>
                </c:pt>
                <c:pt idx="77">
                  <c:v>0.0116</c:v>
                </c:pt>
                <c:pt idx="78">
                  <c:v>0.012</c:v>
                </c:pt>
                <c:pt idx="79">
                  <c:v>0.0123333333333333</c:v>
                </c:pt>
                <c:pt idx="80">
                  <c:v>0.0126666666666667</c:v>
                </c:pt>
                <c:pt idx="81">
                  <c:v>0.013</c:v>
                </c:pt>
                <c:pt idx="82">
                  <c:v>0.0133333333333333</c:v>
                </c:pt>
                <c:pt idx="83">
                  <c:v>0.0136666666666667</c:v>
                </c:pt>
                <c:pt idx="84">
                  <c:v>0.0139333333333333</c:v>
                </c:pt>
                <c:pt idx="85">
                  <c:v>0.0142666666666667</c:v>
                </c:pt>
                <c:pt idx="86">
                  <c:v>0.0146</c:v>
                </c:pt>
                <c:pt idx="87">
                  <c:v>0.0149333333333333</c:v>
                </c:pt>
                <c:pt idx="88">
                  <c:v>0.0153333333333333</c:v>
                </c:pt>
                <c:pt idx="89">
                  <c:v>0.0156666666666667</c:v>
                </c:pt>
                <c:pt idx="90">
                  <c:v>0.0159333333333333</c:v>
                </c:pt>
                <c:pt idx="91">
                  <c:v>0.0162</c:v>
                </c:pt>
                <c:pt idx="92">
                  <c:v>0.0164666666666667</c:v>
                </c:pt>
                <c:pt idx="93">
                  <c:v>0.0167333333333333</c:v>
                </c:pt>
                <c:pt idx="94">
                  <c:v>0.0169333333333333</c:v>
                </c:pt>
                <c:pt idx="95">
                  <c:v>0.0172</c:v>
                </c:pt>
                <c:pt idx="96">
                  <c:v>0.0174666666666667</c:v>
                </c:pt>
                <c:pt idx="97">
                  <c:v>0.0177333333333333</c:v>
                </c:pt>
                <c:pt idx="98">
                  <c:v>0.018</c:v>
                </c:pt>
                <c:pt idx="99">
                  <c:v>0.0182666666666667</c:v>
                </c:pt>
                <c:pt idx="100">
                  <c:v>0.0185333333333333</c:v>
                </c:pt>
                <c:pt idx="101">
                  <c:v>0.0187333333333333</c:v>
                </c:pt>
                <c:pt idx="102">
                  <c:v>0.019</c:v>
                </c:pt>
                <c:pt idx="103">
                  <c:v>0.0193333333333333</c:v>
                </c:pt>
                <c:pt idx="104">
                  <c:v>0.0196</c:v>
                </c:pt>
                <c:pt idx="105">
                  <c:v>0.0198666666666667</c:v>
                </c:pt>
                <c:pt idx="106">
                  <c:v>0.0201333333333333</c:v>
                </c:pt>
                <c:pt idx="107">
                  <c:v>0.0203333333333333</c:v>
                </c:pt>
                <c:pt idx="108">
                  <c:v>0.0205333333333333</c:v>
                </c:pt>
                <c:pt idx="109">
                  <c:v>0.0207333333333333</c:v>
                </c:pt>
                <c:pt idx="110">
                  <c:v>0.021</c:v>
                </c:pt>
                <c:pt idx="111">
                  <c:v>0.0211333333333333</c:v>
                </c:pt>
                <c:pt idx="112">
                  <c:v>0.0213333333333333</c:v>
                </c:pt>
                <c:pt idx="113">
                  <c:v>0.0214666666666667</c:v>
                </c:pt>
                <c:pt idx="114">
                  <c:v>0.0216666666666667</c:v>
                </c:pt>
                <c:pt idx="115">
                  <c:v>0.0218666666666667</c:v>
                </c:pt>
                <c:pt idx="116">
                  <c:v>0.0220666666666667</c:v>
                </c:pt>
                <c:pt idx="117">
                  <c:v>0.0222</c:v>
                </c:pt>
                <c:pt idx="118">
                  <c:v>0.0224</c:v>
                </c:pt>
                <c:pt idx="119">
                  <c:v>0.0226</c:v>
                </c:pt>
                <c:pt idx="120">
                  <c:v>0.0227333333333333</c:v>
                </c:pt>
                <c:pt idx="121">
                  <c:v>0.0229333333333333</c:v>
                </c:pt>
                <c:pt idx="122">
                  <c:v>0.0231333333333333</c:v>
                </c:pt>
                <c:pt idx="123">
                  <c:v>0.0233333333333333</c:v>
                </c:pt>
                <c:pt idx="124">
                  <c:v>0.0235333333333333</c:v>
                </c:pt>
                <c:pt idx="125">
                  <c:v>0.0237333333333333</c:v>
                </c:pt>
                <c:pt idx="126">
                  <c:v>0.0238666666666667</c:v>
                </c:pt>
                <c:pt idx="127">
                  <c:v>0.024</c:v>
                </c:pt>
                <c:pt idx="128">
                  <c:v>0.0240666666666667</c:v>
                </c:pt>
                <c:pt idx="129">
                  <c:v>0.0241333333333333</c:v>
                </c:pt>
                <c:pt idx="130">
                  <c:v>0.0242666666666667</c:v>
                </c:pt>
                <c:pt idx="131">
                  <c:v>0.0244</c:v>
                </c:pt>
                <c:pt idx="132">
                  <c:v>0.0244666666666667</c:v>
                </c:pt>
                <c:pt idx="133">
                  <c:v>0.0246</c:v>
                </c:pt>
                <c:pt idx="134">
                  <c:v>0.0246666666666667</c:v>
                </c:pt>
                <c:pt idx="135">
                  <c:v>0.0247333333333333</c:v>
                </c:pt>
                <c:pt idx="136">
                  <c:v>0.0248666666666667</c:v>
                </c:pt>
                <c:pt idx="137">
                  <c:v>0.025</c:v>
                </c:pt>
                <c:pt idx="138">
                  <c:v>0.0252</c:v>
                </c:pt>
                <c:pt idx="139">
                  <c:v>0.0254</c:v>
                </c:pt>
                <c:pt idx="140">
                  <c:v>0.0255333333333333</c:v>
                </c:pt>
                <c:pt idx="141">
                  <c:v>0.0256666666666667</c:v>
                </c:pt>
                <c:pt idx="142">
                  <c:v>0.0258</c:v>
                </c:pt>
                <c:pt idx="143">
                  <c:v>0.026</c:v>
                </c:pt>
                <c:pt idx="144">
                  <c:v>0.0261333333333333</c:v>
                </c:pt>
                <c:pt idx="145">
                  <c:v>0.0262666666666667</c:v>
                </c:pt>
                <c:pt idx="146">
                  <c:v>0.0263333333333333</c:v>
                </c:pt>
                <c:pt idx="147">
                  <c:v>0.0264</c:v>
                </c:pt>
                <c:pt idx="148">
                  <c:v>0.0264</c:v>
                </c:pt>
                <c:pt idx="149">
                  <c:v>0.0264666666666667</c:v>
                </c:pt>
                <c:pt idx="150">
                  <c:v>0.0264666666666667</c:v>
                </c:pt>
                <c:pt idx="151">
                  <c:v>0.0264666666666667</c:v>
                </c:pt>
                <c:pt idx="152">
                  <c:v>0.0264666666666667</c:v>
                </c:pt>
                <c:pt idx="153">
                  <c:v>0.0264666666666667</c:v>
                </c:pt>
                <c:pt idx="154">
                  <c:v>0.0264666666666667</c:v>
                </c:pt>
                <c:pt idx="155">
                  <c:v>0.0264666666666667</c:v>
                </c:pt>
                <c:pt idx="156">
                  <c:v>0.0264666666666667</c:v>
                </c:pt>
                <c:pt idx="157">
                  <c:v>0.0264666666666667</c:v>
                </c:pt>
                <c:pt idx="158">
                  <c:v>0.0264666666666667</c:v>
                </c:pt>
                <c:pt idx="159">
                  <c:v>0.0264666666666667</c:v>
                </c:pt>
                <c:pt idx="160">
                  <c:v>0.0264666666666667</c:v>
                </c:pt>
                <c:pt idx="161">
                  <c:v>0.0264666666666667</c:v>
                </c:pt>
                <c:pt idx="162">
                  <c:v>0.0264666666666667</c:v>
                </c:pt>
                <c:pt idx="163">
                  <c:v>0.0264666666666667</c:v>
                </c:pt>
                <c:pt idx="164">
                  <c:v>0.0264666666666667</c:v>
                </c:pt>
                <c:pt idx="165">
                  <c:v>0.0264666666666667</c:v>
                </c:pt>
                <c:pt idx="166">
                  <c:v>0.0264666666666667</c:v>
                </c:pt>
                <c:pt idx="167">
                  <c:v>0.0264666666666667</c:v>
                </c:pt>
                <c:pt idx="168">
                  <c:v>0.0264666666666667</c:v>
                </c:pt>
                <c:pt idx="169">
                  <c:v>0.0264666666666667</c:v>
                </c:pt>
                <c:pt idx="170">
                  <c:v>0.0264666666666667</c:v>
                </c:pt>
                <c:pt idx="171">
                  <c:v>0.0264666666666667</c:v>
                </c:pt>
                <c:pt idx="172">
                  <c:v>0.0264666666666667</c:v>
                </c:pt>
                <c:pt idx="173">
                  <c:v>0.0265333333333333</c:v>
                </c:pt>
                <c:pt idx="174">
                  <c:v>0.0265333333333333</c:v>
                </c:pt>
                <c:pt idx="175">
                  <c:v>0.0266</c:v>
                </c:pt>
                <c:pt idx="176">
                  <c:v>0.0266</c:v>
                </c:pt>
                <c:pt idx="177">
                  <c:v>0.0266666666666667</c:v>
                </c:pt>
                <c:pt idx="178">
                  <c:v>0.0267333333333333</c:v>
                </c:pt>
                <c:pt idx="179">
                  <c:v>0.0268</c:v>
                </c:pt>
                <c:pt idx="180">
                  <c:v>0.0269333333333333</c:v>
                </c:pt>
                <c:pt idx="181">
                  <c:v>0.027</c:v>
                </c:pt>
                <c:pt idx="182">
                  <c:v>0.0270666666666667</c:v>
                </c:pt>
                <c:pt idx="183">
                  <c:v>0.0272</c:v>
                </c:pt>
                <c:pt idx="184">
                  <c:v>0.0272666666666667</c:v>
                </c:pt>
                <c:pt idx="185">
                  <c:v>0.0273333333333333</c:v>
                </c:pt>
                <c:pt idx="186">
                  <c:v>0.0274666666666667</c:v>
                </c:pt>
                <c:pt idx="187">
                  <c:v>0.0275333333333333</c:v>
                </c:pt>
                <c:pt idx="188">
                  <c:v>0.0276</c:v>
                </c:pt>
                <c:pt idx="189">
                  <c:v>0.0276</c:v>
                </c:pt>
                <c:pt idx="190">
                  <c:v>0.0276666666666667</c:v>
                </c:pt>
                <c:pt idx="191">
                  <c:v>0.0276666666666667</c:v>
                </c:pt>
                <c:pt idx="192">
                  <c:v>0.0278</c:v>
                </c:pt>
                <c:pt idx="193">
                  <c:v>0.0278666666666667</c:v>
                </c:pt>
                <c:pt idx="194">
                  <c:v>0.0279333333333333</c:v>
                </c:pt>
                <c:pt idx="195">
                  <c:v>0.028</c:v>
                </c:pt>
                <c:pt idx="196">
                  <c:v>0.028</c:v>
                </c:pt>
                <c:pt idx="197">
                  <c:v>0.0280666666666667</c:v>
                </c:pt>
                <c:pt idx="198">
                  <c:v>0.0281333333333333</c:v>
                </c:pt>
                <c:pt idx="199">
                  <c:v>0.0282</c:v>
                </c:pt>
                <c:pt idx="200">
                  <c:v>0.0282</c:v>
                </c:pt>
                <c:pt idx="201">
                  <c:v>0.0282666666666667</c:v>
                </c:pt>
                <c:pt idx="202">
                  <c:v>0.0282666666666667</c:v>
                </c:pt>
                <c:pt idx="203">
                  <c:v>0.0282666666666667</c:v>
                </c:pt>
                <c:pt idx="204">
                  <c:v>0.0282666666666667</c:v>
                </c:pt>
                <c:pt idx="205">
                  <c:v>0.0282666666666667</c:v>
                </c:pt>
                <c:pt idx="206">
                  <c:v>0.0282666666666667</c:v>
                </c:pt>
                <c:pt idx="207">
                  <c:v>0.0282666666666667</c:v>
                </c:pt>
                <c:pt idx="208">
                  <c:v>0.0282666666666667</c:v>
                </c:pt>
                <c:pt idx="209">
                  <c:v>0.0282666666666667</c:v>
                </c:pt>
                <c:pt idx="210">
                  <c:v>0.0282666666666667</c:v>
                </c:pt>
                <c:pt idx="211">
                  <c:v>0.0282666666666667</c:v>
                </c:pt>
                <c:pt idx="212">
                  <c:v>0.0282666666666667</c:v>
                </c:pt>
                <c:pt idx="213">
                  <c:v>0.0282666666666667</c:v>
                </c:pt>
                <c:pt idx="214">
                  <c:v>0.0282666666666667</c:v>
                </c:pt>
                <c:pt idx="215">
                  <c:v>0.0282666666666667</c:v>
                </c:pt>
                <c:pt idx="216">
                  <c:v>0.0282666666666667</c:v>
                </c:pt>
                <c:pt idx="217">
                  <c:v>0.0282666666666667</c:v>
                </c:pt>
                <c:pt idx="218">
                  <c:v>0.0282666666666667</c:v>
                </c:pt>
                <c:pt idx="219">
                  <c:v>0.0282666666666667</c:v>
                </c:pt>
                <c:pt idx="220">
                  <c:v>0.0282666666666667</c:v>
                </c:pt>
                <c:pt idx="221">
                  <c:v>0.0282666666666667</c:v>
                </c:pt>
                <c:pt idx="222">
                  <c:v>0.0282666666666667</c:v>
                </c:pt>
                <c:pt idx="223">
                  <c:v>0.0283333333333333</c:v>
                </c:pt>
                <c:pt idx="224">
                  <c:v>0.0283333333333333</c:v>
                </c:pt>
                <c:pt idx="225">
                  <c:v>0.0283333333333333</c:v>
                </c:pt>
                <c:pt idx="226">
                  <c:v>0.0283333333333333</c:v>
                </c:pt>
                <c:pt idx="227">
                  <c:v>0.0283333333333333</c:v>
                </c:pt>
                <c:pt idx="228">
                  <c:v>0.0283333333333333</c:v>
                </c:pt>
                <c:pt idx="229">
                  <c:v>0.0284</c:v>
                </c:pt>
                <c:pt idx="230">
                  <c:v>0.0284</c:v>
                </c:pt>
                <c:pt idx="231">
                  <c:v>0.0284</c:v>
                </c:pt>
                <c:pt idx="232">
                  <c:v>0.0284</c:v>
                </c:pt>
                <c:pt idx="233">
                  <c:v>0.0284</c:v>
                </c:pt>
                <c:pt idx="234">
                  <c:v>0.0284</c:v>
                </c:pt>
                <c:pt idx="235">
                  <c:v>0.0284</c:v>
                </c:pt>
                <c:pt idx="236">
                  <c:v>0.0284</c:v>
                </c:pt>
                <c:pt idx="237">
                  <c:v>0.0284</c:v>
                </c:pt>
                <c:pt idx="238">
                  <c:v>0.0284</c:v>
                </c:pt>
                <c:pt idx="239">
                  <c:v>0.0284</c:v>
                </c:pt>
                <c:pt idx="240">
                  <c:v>0.0284</c:v>
                </c:pt>
                <c:pt idx="241">
                  <c:v>0.0284</c:v>
                </c:pt>
                <c:pt idx="242">
                  <c:v>0.0284</c:v>
                </c:pt>
                <c:pt idx="243">
                  <c:v>0.0284</c:v>
                </c:pt>
                <c:pt idx="244">
                  <c:v>0.0284</c:v>
                </c:pt>
                <c:pt idx="245">
                  <c:v>0.0284</c:v>
                </c:pt>
                <c:pt idx="246">
                  <c:v>0.0284</c:v>
                </c:pt>
                <c:pt idx="247">
                  <c:v>0.0284</c:v>
                </c:pt>
                <c:pt idx="248">
                  <c:v>0.0284</c:v>
                </c:pt>
                <c:pt idx="249">
                  <c:v>0.0284</c:v>
                </c:pt>
                <c:pt idx="250">
                  <c:v>0.0284</c:v>
                </c:pt>
                <c:pt idx="251">
                  <c:v>0.0284</c:v>
                </c:pt>
                <c:pt idx="252">
                  <c:v>0.0284</c:v>
                </c:pt>
                <c:pt idx="253">
                  <c:v>0.0284</c:v>
                </c:pt>
                <c:pt idx="254">
                  <c:v>0.0284</c:v>
                </c:pt>
                <c:pt idx="255">
                  <c:v>0.0284</c:v>
                </c:pt>
                <c:pt idx="256">
                  <c:v>0.0284</c:v>
                </c:pt>
                <c:pt idx="257">
                  <c:v>0.0284</c:v>
                </c:pt>
                <c:pt idx="258">
                  <c:v>0.0284</c:v>
                </c:pt>
                <c:pt idx="259">
                  <c:v>0.0284</c:v>
                </c:pt>
                <c:pt idx="260">
                  <c:v>0.0284</c:v>
                </c:pt>
                <c:pt idx="261">
                  <c:v>0.0284</c:v>
                </c:pt>
                <c:pt idx="262">
                  <c:v>0.0284</c:v>
                </c:pt>
                <c:pt idx="263">
                  <c:v>0.0284</c:v>
                </c:pt>
                <c:pt idx="264">
                  <c:v>0.0284</c:v>
                </c:pt>
                <c:pt idx="265">
                  <c:v>0.0284</c:v>
                </c:pt>
                <c:pt idx="266">
                  <c:v>0.0284</c:v>
                </c:pt>
                <c:pt idx="267">
                  <c:v>0.0284</c:v>
                </c:pt>
                <c:pt idx="268">
                  <c:v>0.0284</c:v>
                </c:pt>
                <c:pt idx="269">
                  <c:v>0.0284</c:v>
                </c:pt>
                <c:pt idx="270">
                  <c:v>0.0284</c:v>
                </c:pt>
                <c:pt idx="271">
                  <c:v>0.0284</c:v>
                </c:pt>
                <c:pt idx="272">
                  <c:v>0.0284</c:v>
                </c:pt>
                <c:pt idx="273">
                  <c:v>0.0284</c:v>
                </c:pt>
                <c:pt idx="274">
                  <c:v>0.0284</c:v>
                </c:pt>
                <c:pt idx="275">
                  <c:v>0.0284</c:v>
                </c:pt>
                <c:pt idx="276">
                  <c:v>0.0284</c:v>
                </c:pt>
                <c:pt idx="277">
                  <c:v>0.0284</c:v>
                </c:pt>
                <c:pt idx="278">
                  <c:v>0.0284</c:v>
                </c:pt>
                <c:pt idx="279">
                  <c:v>0.0284</c:v>
                </c:pt>
                <c:pt idx="280">
                  <c:v>0.0284</c:v>
                </c:pt>
                <c:pt idx="281">
                  <c:v>0.0284</c:v>
                </c:pt>
                <c:pt idx="282">
                  <c:v>0.0284</c:v>
                </c:pt>
                <c:pt idx="283">
                  <c:v>0.0284</c:v>
                </c:pt>
                <c:pt idx="284">
                  <c:v>0.0284</c:v>
                </c:pt>
                <c:pt idx="285">
                  <c:v>0.0284</c:v>
                </c:pt>
                <c:pt idx="286">
                  <c:v>0.0284</c:v>
                </c:pt>
                <c:pt idx="287">
                  <c:v>0.0284</c:v>
                </c:pt>
                <c:pt idx="288">
                  <c:v>0.0284</c:v>
                </c:pt>
                <c:pt idx="289">
                  <c:v>0.0284</c:v>
                </c:pt>
                <c:pt idx="290">
                  <c:v>0.0284</c:v>
                </c:pt>
                <c:pt idx="291">
                  <c:v>0.0284</c:v>
                </c:pt>
                <c:pt idx="292">
                  <c:v>0.0284</c:v>
                </c:pt>
                <c:pt idx="293">
                  <c:v>0.0284</c:v>
                </c:pt>
                <c:pt idx="294">
                  <c:v>0.0284</c:v>
                </c:pt>
                <c:pt idx="295">
                  <c:v>0.0284</c:v>
                </c:pt>
                <c:pt idx="296">
                  <c:v>0.0284</c:v>
                </c:pt>
                <c:pt idx="297">
                  <c:v>0.0284</c:v>
                </c:pt>
                <c:pt idx="298">
                  <c:v>0.0284</c:v>
                </c:pt>
                <c:pt idx="299">
                  <c:v>0.0284</c:v>
                </c:pt>
                <c:pt idx="300">
                  <c:v>0.0284</c:v>
                </c:pt>
                <c:pt idx="301">
                  <c:v>0.0284</c:v>
                </c:pt>
                <c:pt idx="302">
                  <c:v>0.0284666666666667</c:v>
                </c:pt>
                <c:pt idx="303">
                  <c:v>0.0284666666666667</c:v>
                </c:pt>
                <c:pt idx="304">
                  <c:v>0.0284666666666667</c:v>
                </c:pt>
                <c:pt idx="305">
                  <c:v>0.0284666666666667</c:v>
                </c:pt>
                <c:pt idx="306">
                  <c:v>0.0284666666666667</c:v>
                </c:pt>
                <c:pt idx="307">
                  <c:v>0.0285333333333333</c:v>
                </c:pt>
                <c:pt idx="308">
                  <c:v>0.0285333333333333</c:v>
                </c:pt>
              </c:numCache>
            </c:numRef>
          </c:yVal>
          <c:smooth val="0"/>
        </c:ser>
        <c:ser>
          <c:idx val="3"/>
          <c:order val="3"/>
          <c:tx>
            <c:v>Ex2</c:v>
          </c:tx>
          <c:spPr>
            <a:ln w="19050" cmpd="sng">
              <a:solidFill>
                <a:srgbClr val="8000FF"/>
              </a:solidFill>
              <a:prstDash val="solid"/>
            </a:ln>
          </c:spPr>
          <c:marker>
            <c:symbol val="none"/>
          </c:marker>
          <c:xVal>
            <c:numRef>
              <c:f>'7DB2- ex2'!$C$5:$C$568</c:f>
              <c:numCache>
                <c:formatCode>0.00E+00</c:formatCode>
                <c:ptCount val="564"/>
                <c:pt idx="0">
                  <c:v>0.006519</c:v>
                </c:pt>
                <c:pt idx="1">
                  <c:v>0.006556</c:v>
                </c:pt>
                <c:pt idx="2">
                  <c:v>0.006594</c:v>
                </c:pt>
                <c:pt idx="3">
                  <c:v>0.006631</c:v>
                </c:pt>
                <c:pt idx="4">
                  <c:v>0.006669</c:v>
                </c:pt>
                <c:pt idx="5">
                  <c:v>0.006707</c:v>
                </c:pt>
                <c:pt idx="6">
                  <c:v>0.006745</c:v>
                </c:pt>
                <c:pt idx="7">
                  <c:v>0.006784</c:v>
                </c:pt>
                <c:pt idx="8">
                  <c:v>0.006823</c:v>
                </c:pt>
                <c:pt idx="9">
                  <c:v>0.006862</c:v>
                </c:pt>
                <c:pt idx="10">
                  <c:v>0.006902</c:v>
                </c:pt>
                <c:pt idx="11">
                  <c:v>0.006942</c:v>
                </c:pt>
                <c:pt idx="12">
                  <c:v>0.006982</c:v>
                </c:pt>
                <c:pt idx="13">
                  <c:v>0.007023</c:v>
                </c:pt>
                <c:pt idx="14">
                  <c:v>0.007064</c:v>
                </c:pt>
                <c:pt idx="15">
                  <c:v>0.007106</c:v>
                </c:pt>
                <c:pt idx="16">
                  <c:v>0.007147</c:v>
                </c:pt>
                <c:pt idx="17">
                  <c:v>0.007189</c:v>
                </c:pt>
                <c:pt idx="18">
                  <c:v>0.007232</c:v>
                </c:pt>
                <c:pt idx="19">
                  <c:v>0.007275</c:v>
                </c:pt>
                <c:pt idx="20">
                  <c:v>0.007318</c:v>
                </c:pt>
                <c:pt idx="21">
                  <c:v>0.007362</c:v>
                </c:pt>
                <c:pt idx="22">
                  <c:v>0.007406</c:v>
                </c:pt>
                <c:pt idx="23">
                  <c:v>0.00745</c:v>
                </c:pt>
                <c:pt idx="24">
                  <c:v>0.007495</c:v>
                </c:pt>
                <c:pt idx="25">
                  <c:v>0.00754</c:v>
                </c:pt>
                <c:pt idx="26">
                  <c:v>0.007585</c:v>
                </c:pt>
                <c:pt idx="27">
                  <c:v>0.007631</c:v>
                </c:pt>
                <c:pt idx="28">
                  <c:v>0.007678</c:v>
                </c:pt>
                <c:pt idx="29">
                  <c:v>0.007725</c:v>
                </c:pt>
                <c:pt idx="30">
                  <c:v>0.007772</c:v>
                </c:pt>
                <c:pt idx="31">
                  <c:v>0.007819</c:v>
                </c:pt>
                <c:pt idx="32">
                  <c:v>0.007866</c:v>
                </c:pt>
                <c:pt idx="33">
                  <c:v>0.007913</c:v>
                </c:pt>
                <c:pt idx="34">
                  <c:v>0.007959</c:v>
                </c:pt>
                <c:pt idx="35">
                  <c:v>0.008006</c:v>
                </c:pt>
                <c:pt idx="36">
                  <c:v>0.008053</c:v>
                </c:pt>
                <c:pt idx="37">
                  <c:v>0.0081</c:v>
                </c:pt>
                <c:pt idx="38">
                  <c:v>0.008147</c:v>
                </c:pt>
                <c:pt idx="39">
                  <c:v>0.008195</c:v>
                </c:pt>
                <c:pt idx="40">
                  <c:v>0.008242</c:v>
                </c:pt>
                <c:pt idx="41">
                  <c:v>0.008289</c:v>
                </c:pt>
                <c:pt idx="42">
                  <c:v>0.008336</c:v>
                </c:pt>
                <c:pt idx="43">
                  <c:v>0.008383</c:v>
                </c:pt>
                <c:pt idx="44">
                  <c:v>0.008429</c:v>
                </c:pt>
                <c:pt idx="45">
                  <c:v>0.008477</c:v>
                </c:pt>
                <c:pt idx="46">
                  <c:v>0.008523</c:v>
                </c:pt>
                <c:pt idx="47">
                  <c:v>0.008569</c:v>
                </c:pt>
                <c:pt idx="48">
                  <c:v>0.008616</c:v>
                </c:pt>
                <c:pt idx="49">
                  <c:v>0.008661</c:v>
                </c:pt>
                <c:pt idx="50">
                  <c:v>0.008707</c:v>
                </c:pt>
                <c:pt idx="51">
                  <c:v>0.008752</c:v>
                </c:pt>
                <c:pt idx="52">
                  <c:v>0.008798</c:v>
                </c:pt>
                <c:pt idx="53">
                  <c:v>0.008844</c:v>
                </c:pt>
                <c:pt idx="54">
                  <c:v>0.008891</c:v>
                </c:pt>
                <c:pt idx="55">
                  <c:v>0.008938</c:v>
                </c:pt>
                <c:pt idx="56">
                  <c:v>0.008986</c:v>
                </c:pt>
                <c:pt idx="57">
                  <c:v>0.009033</c:v>
                </c:pt>
                <c:pt idx="58">
                  <c:v>0.009082</c:v>
                </c:pt>
                <c:pt idx="59">
                  <c:v>0.00913</c:v>
                </c:pt>
                <c:pt idx="60">
                  <c:v>0.009179</c:v>
                </c:pt>
                <c:pt idx="61">
                  <c:v>0.009228</c:v>
                </c:pt>
                <c:pt idx="62">
                  <c:v>0.009278</c:v>
                </c:pt>
                <c:pt idx="63">
                  <c:v>0.009328</c:v>
                </c:pt>
                <c:pt idx="64">
                  <c:v>0.009379</c:v>
                </c:pt>
                <c:pt idx="65">
                  <c:v>0.009429</c:v>
                </c:pt>
                <c:pt idx="66">
                  <c:v>0.009481</c:v>
                </c:pt>
                <c:pt idx="67">
                  <c:v>0.009533</c:v>
                </c:pt>
                <c:pt idx="68">
                  <c:v>0.009585</c:v>
                </c:pt>
                <c:pt idx="69">
                  <c:v>0.009637</c:v>
                </c:pt>
                <c:pt idx="70">
                  <c:v>0.009691</c:v>
                </c:pt>
                <c:pt idx="71">
                  <c:v>0.009744</c:v>
                </c:pt>
                <c:pt idx="72">
                  <c:v>0.009799</c:v>
                </c:pt>
                <c:pt idx="73">
                  <c:v>0.009853</c:v>
                </c:pt>
                <c:pt idx="74">
                  <c:v>0.009908</c:v>
                </c:pt>
                <c:pt idx="75">
                  <c:v>0.009964</c:v>
                </c:pt>
                <c:pt idx="76">
                  <c:v>0.01002</c:v>
                </c:pt>
                <c:pt idx="77">
                  <c:v>0.01008</c:v>
                </c:pt>
                <c:pt idx="78">
                  <c:v>0.01013</c:v>
                </c:pt>
                <c:pt idx="79">
                  <c:v>0.01019</c:v>
                </c:pt>
                <c:pt idx="80">
                  <c:v>0.01025</c:v>
                </c:pt>
                <c:pt idx="81">
                  <c:v>0.01031</c:v>
                </c:pt>
                <c:pt idx="82">
                  <c:v>0.01037</c:v>
                </c:pt>
                <c:pt idx="83">
                  <c:v>0.01043</c:v>
                </c:pt>
                <c:pt idx="84">
                  <c:v>0.01049</c:v>
                </c:pt>
                <c:pt idx="85">
                  <c:v>0.01055</c:v>
                </c:pt>
                <c:pt idx="86">
                  <c:v>0.01061</c:v>
                </c:pt>
                <c:pt idx="87">
                  <c:v>0.01067</c:v>
                </c:pt>
                <c:pt idx="88">
                  <c:v>0.01073</c:v>
                </c:pt>
                <c:pt idx="89">
                  <c:v>0.0108</c:v>
                </c:pt>
                <c:pt idx="90">
                  <c:v>0.01086</c:v>
                </c:pt>
                <c:pt idx="91">
                  <c:v>0.01092</c:v>
                </c:pt>
                <c:pt idx="92">
                  <c:v>0.01099</c:v>
                </c:pt>
                <c:pt idx="93">
                  <c:v>0.01106</c:v>
                </c:pt>
                <c:pt idx="94">
                  <c:v>0.01112</c:v>
                </c:pt>
                <c:pt idx="95">
                  <c:v>0.01119</c:v>
                </c:pt>
                <c:pt idx="96">
                  <c:v>0.01126</c:v>
                </c:pt>
                <c:pt idx="97">
                  <c:v>0.01132</c:v>
                </c:pt>
                <c:pt idx="98">
                  <c:v>0.01139</c:v>
                </c:pt>
                <c:pt idx="99">
                  <c:v>0.01146</c:v>
                </c:pt>
                <c:pt idx="100">
                  <c:v>0.01153</c:v>
                </c:pt>
                <c:pt idx="101">
                  <c:v>0.0116</c:v>
                </c:pt>
                <c:pt idx="102">
                  <c:v>0.01167</c:v>
                </c:pt>
                <c:pt idx="103">
                  <c:v>0.01175</c:v>
                </c:pt>
                <c:pt idx="104">
                  <c:v>0.01182</c:v>
                </c:pt>
                <c:pt idx="105">
                  <c:v>0.0119</c:v>
                </c:pt>
                <c:pt idx="106">
                  <c:v>0.01198</c:v>
                </c:pt>
                <c:pt idx="107">
                  <c:v>0.01206</c:v>
                </c:pt>
                <c:pt idx="108">
                  <c:v>0.01214</c:v>
                </c:pt>
                <c:pt idx="109">
                  <c:v>0.01223</c:v>
                </c:pt>
                <c:pt idx="110">
                  <c:v>0.01232</c:v>
                </c:pt>
                <c:pt idx="111">
                  <c:v>0.01241</c:v>
                </c:pt>
                <c:pt idx="112">
                  <c:v>0.01251</c:v>
                </c:pt>
                <c:pt idx="113">
                  <c:v>0.0126</c:v>
                </c:pt>
                <c:pt idx="114">
                  <c:v>0.0127</c:v>
                </c:pt>
                <c:pt idx="115">
                  <c:v>0.01281</c:v>
                </c:pt>
                <c:pt idx="116">
                  <c:v>0.01291</c:v>
                </c:pt>
                <c:pt idx="117">
                  <c:v>0.01303</c:v>
                </c:pt>
                <c:pt idx="118">
                  <c:v>0.01315</c:v>
                </c:pt>
                <c:pt idx="119">
                  <c:v>0.01327</c:v>
                </c:pt>
                <c:pt idx="120">
                  <c:v>0.01339</c:v>
                </c:pt>
                <c:pt idx="121">
                  <c:v>0.01352</c:v>
                </c:pt>
                <c:pt idx="122">
                  <c:v>0.01364</c:v>
                </c:pt>
                <c:pt idx="123">
                  <c:v>0.01377</c:v>
                </c:pt>
                <c:pt idx="124">
                  <c:v>0.01391</c:v>
                </c:pt>
                <c:pt idx="125">
                  <c:v>0.01406</c:v>
                </c:pt>
                <c:pt idx="126">
                  <c:v>0.01421</c:v>
                </c:pt>
                <c:pt idx="127">
                  <c:v>0.01436</c:v>
                </c:pt>
                <c:pt idx="128">
                  <c:v>0.01451</c:v>
                </c:pt>
                <c:pt idx="129">
                  <c:v>0.01466</c:v>
                </c:pt>
                <c:pt idx="130">
                  <c:v>0.01482</c:v>
                </c:pt>
                <c:pt idx="131">
                  <c:v>0.01498</c:v>
                </c:pt>
                <c:pt idx="132">
                  <c:v>0.01515</c:v>
                </c:pt>
                <c:pt idx="133">
                  <c:v>0.01532</c:v>
                </c:pt>
                <c:pt idx="134">
                  <c:v>0.01549</c:v>
                </c:pt>
                <c:pt idx="135">
                  <c:v>0.01567</c:v>
                </c:pt>
                <c:pt idx="136">
                  <c:v>0.01584</c:v>
                </c:pt>
                <c:pt idx="137">
                  <c:v>0.01602</c:v>
                </c:pt>
                <c:pt idx="138">
                  <c:v>0.0162</c:v>
                </c:pt>
                <c:pt idx="139">
                  <c:v>0.01638</c:v>
                </c:pt>
                <c:pt idx="140">
                  <c:v>0.01657</c:v>
                </c:pt>
                <c:pt idx="141">
                  <c:v>0.01676</c:v>
                </c:pt>
                <c:pt idx="142">
                  <c:v>0.01695</c:v>
                </c:pt>
                <c:pt idx="143">
                  <c:v>0.01715</c:v>
                </c:pt>
                <c:pt idx="144">
                  <c:v>0.01735</c:v>
                </c:pt>
                <c:pt idx="145">
                  <c:v>0.01756</c:v>
                </c:pt>
                <c:pt idx="146">
                  <c:v>0.01777</c:v>
                </c:pt>
                <c:pt idx="147">
                  <c:v>0.01798</c:v>
                </c:pt>
                <c:pt idx="148">
                  <c:v>0.0182</c:v>
                </c:pt>
                <c:pt idx="149">
                  <c:v>0.01842</c:v>
                </c:pt>
                <c:pt idx="150">
                  <c:v>0.01865</c:v>
                </c:pt>
                <c:pt idx="151">
                  <c:v>0.01888</c:v>
                </c:pt>
                <c:pt idx="152">
                  <c:v>0.01911</c:v>
                </c:pt>
                <c:pt idx="153">
                  <c:v>0.01936</c:v>
                </c:pt>
                <c:pt idx="154">
                  <c:v>0.0196</c:v>
                </c:pt>
                <c:pt idx="155">
                  <c:v>0.01986</c:v>
                </c:pt>
                <c:pt idx="156">
                  <c:v>0.02011</c:v>
                </c:pt>
                <c:pt idx="157">
                  <c:v>0.02038</c:v>
                </c:pt>
                <c:pt idx="158">
                  <c:v>0.02065</c:v>
                </c:pt>
                <c:pt idx="159">
                  <c:v>0.02092</c:v>
                </c:pt>
                <c:pt idx="160">
                  <c:v>0.0212</c:v>
                </c:pt>
                <c:pt idx="161">
                  <c:v>0.02149</c:v>
                </c:pt>
                <c:pt idx="162">
                  <c:v>0.02179</c:v>
                </c:pt>
                <c:pt idx="163">
                  <c:v>0.02209</c:v>
                </c:pt>
                <c:pt idx="164">
                  <c:v>0.02239</c:v>
                </c:pt>
                <c:pt idx="165">
                  <c:v>0.0227</c:v>
                </c:pt>
                <c:pt idx="166">
                  <c:v>0.02301</c:v>
                </c:pt>
                <c:pt idx="167">
                  <c:v>0.02333</c:v>
                </c:pt>
                <c:pt idx="168">
                  <c:v>0.02364</c:v>
                </c:pt>
                <c:pt idx="169">
                  <c:v>0.02396</c:v>
                </c:pt>
                <c:pt idx="170">
                  <c:v>0.02428</c:v>
                </c:pt>
                <c:pt idx="171">
                  <c:v>0.0246</c:v>
                </c:pt>
                <c:pt idx="172">
                  <c:v>0.02493</c:v>
                </c:pt>
                <c:pt idx="173">
                  <c:v>0.02526</c:v>
                </c:pt>
                <c:pt idx="174">
                  <c:v>0.02559</c:v>
                </c:pt>
                <c:pt idx="175">
                  <c:v>0.02593</c:v>
                </c:pt>
                <c:pt idx="176">
                  <c:v>0.02627</c:v>
                </c:pt>
                <c:pt idx="177">
                  <c:v>0.02661</c:v>
                </c:pt>
                <c:pt idx="178">
                  <c:v>0.02696</c:v>
                </c:pt>
                <c:pt idx="179">
                  <c:v>0.02731</c:v>
                </c:pt>
                <c:pt idx="180">
                  <c:v>0.02767</c:v>
                </c:pt>
                <c:pt idx="181">
                  <c:v>0.02802</c:v>
                </c:pt>
                <c:pt idx="182">
                  <c:v>0.02837</c:v>
                </c:pt>
                <c:pt idx="183">
                  <c:v>0.02874</c:v>
                </c:pt>
                <c:pt idx="184">
                  <c:v>0.02909</c:v>
                </c:pt>
                <c:pt idx="185">
                  <c:v>0.02946</c:v>
                </c:pt>
                <c:pt idx="186">
                  <c:v>0.02982</c:v>
                </c:pt>
                <c:pt idx="187">
                  <c:v>0.03018</c:v>
                </c:pt>
                <c:pt idx="188">
                  <c:v>0.03055</c:v>
                </c:pt>
                <c:pt idx="189">
                  <c:v>0.03094</c:v>
                </c:pt>
                <c:pt idx="190">
                  <c:v>0.03133</c:v>
                </c:pt>
                <c:pt idx="191">
                  <c:v>0.03172</c:v>
                </c:pt>
                <c:pt idx="192">
                  <c:v>0.03211</c:v>
                </c:pt>
                <c:pt idx="193">
                  <c:v>0.03252</c:v>
                </c:pt>
                <c:pt idx="194">
                  <c:v>0.03293</c:v>
                </c:pt>
                <c:pt idx="195">
                  <c:v>0.03334</c:v>
                </c:pt>
                <c:pt idx="196">
                  <c:v>0.03377</c:v>
                </c:pt>
                <c:pt idx="197">
                  <c:v>0.0342</c:v>
                </c:pt>
                <c:pt idx="198">
                  <c:v>0.03465</c:v>
                </c:pt>
                <c:pt idx="199">
                  <c:v>0.03511</c:v>
                </c:pt>
                <c:pt idx="200">
                  <c:v>0.03558</c:v>
                </c:pt>
                <c:pt idx="201">
                  <c:v>0.03605</c:v>
                </c:pt>
                <c:pt idx="202">
                  <c:v>0.03654</c:v>
                </c:pt>
                <c:pt idx="203">
                  <c:v>0.03704</c:v>
                </c:pt>
                <c:pt idx="204">
                  <c:v>0.03756</c:v>
                </c:pt>
                <c:pt idx="205">
                  <c:v>0.03808</c:v>
                </c:pt>
                <c:pt idx="206">
                  <c:v>0.03863</c:v>
                </c:pt>
                <c:pt idx="207">
                  <c:v>0.03918</c:v>
                </c:pt>
                <c:pt idx="208">
                  <c:v>0.03974</c:v>
                </c:pt>
                <c:pt idx="209">
                  <c:v>0.04032</c:v>
                </c:pt>
                <c:pt idx="210">
                  <c:v>0.04093</c:v>
                </c:pt>
                <c:pt idx="211">
                  <c:v>0.04156</c:v>
                </c:pt>
                <c:pt idx="212">
                  <c:v>0.04222</c:v>
                </c:pt>
                <c:pt idx="213">
                  <c:v>0.0429</c:v>
                </c:pt>
                <c:pt idx="214">
                  <c:v>0.0436</c:v>
                </c:pt>
                <c:pt idx="215">
                  <c:v>0.04433</c:v>
                </c:pt>
                <c:pt idx="216">
                  <c:v>0.04509</c:v>
                </c:pt>
                <c:pt idx="217">
                  <c:v>0.04587</c:v>
                </c:pt>
                <c:pt idx="218">
                  <c:v>0.04669</c:v>
                </c:pt>
                <c:pt idx="219">
                  <c:v>0.04754</c:v>
                </c:pt>
                <c:pt idx="220">
                  <c:v>0.04843</c:v>
                </c:pt>
                <c:pt idx="221">
                  <c:v>0.04934</c:v>
                </c:pt>
                <c:pt idx="222">
                  <c:v>0.05028</c:v>
                </c:pt>
                <c:pt idx="223">
                  <c:v>0.05123</c:v>
                </c:pt>
                <c:pt idx="224">
                  <c:v>0.05222</c:v>
                </c:pt>
                <c:pt idx="225">
                  <c:v>0.05326</c:v>
                </c:pt>
                <c:pt idx="226">
                  <c:v>0.05432</c:v>
                </c:pt>
                <c:pt idx="227">
                  <c:v>0.05542</c:v>
                </c:pt>
                <c:pt idx="228">
                  <c:v>0.05657</c:v>
                </c:pt>
                <c:pt idx="229">
                  <c:v>0.05773</c:v>
                </c:pt>
                <c:pt idx="230">
                  <c:v>0.05893</c:v>
                </c:pt>
                <c:pt idx="231">
                  <c:v>0.06018</c:v>
                </c:pt>
                <c:pt idx="232">
                  <c:v>0.06146</c:v>
                </c:pt>
                <c:pt idx="233">
                  <c:v>0.06278</c:v>
                </c:pt>
                <c:pt idx="234">
                  <c:v>0.06417</c:v>
                </c:pt>
                <c:pt idx="235">
                  <c:v>0.0656</c:v>
                </c:pt>
                <c:pt idx="236">
                  <c:v>0.06707</c:v>
                </c:pt>
                <c:pt idx="237">
                  <c:v>0.0686</c:v>
                </c:pt>
                <c:pt idx="238">
                  <c:v>0.0702</c:v>
                </c:pt>
                <c:pt idx="239">
                  <c:v>0.07185</c:v>
                </c:pt>
                <c:pt idx="240">
                  <c:v>0.07357</c:v>
                </c:pt>
                <c:pt idx="241">
                  <c:v>0.07538</c:v>
                </c:pt>
                <c:pt idx="242">
                  <c:v>0.07729</c:v>
                </c:pt>
                <c:pt idx="243">
                  <c:v>0.07927</c:v>
                </c:pt>
                <c:pt idx="244">
                  <c:v>0.08135</c:v>
                </c:pt>
                <c:pt idx="245">
                  <c:v>0.08358</c:v>
                </c:pt>
                <c:pt idx="246">
                  <c:v>0.08594</c:v>
                </c:pt>
                <c:pt idx="247">
                  <c:v>0.08842</c:v>
                </c:pt>
                <c:pt idx="248">
                  <c:v>0.09103</c:v>
                </c:pt>
                <c:pt idx="249">
                  <c:v>0.09379</c:v>
                </c:pt>
                <c:pt idx="250">
                  <c:v>0.09679</c:v>
                </c:pt>
                <c:pt idx="251">
                  <c:v>0.09996</c:v>
                </c:pt>
                <c:pt idx="252">
                  <c:v>0.1033</c:v>
                </c:pt>
                <c:pt idx="253">
                  <c:v>0.1069</c:v>
                </c:pt>
                <c:pt idx="254">
                  <c:v>0.1108</c:v>
                </c:pt>
                <c:pt idx="255">
                  <c:v>0.115</c:v>
                </c:pt>
                <c:pt idx="256">
                  <c:v>0.1194</c:v>
                </c:pt>
                <c:pt idx="257">
                  <c:v>0.1241</c:v>
                </c:pt>
                <c:pt idx="258">
                  <c:v>0.129</c:v>
                </c:pt>
                <c:pt idx="259">
                  <c:v>0.1344</c:v>
                </c:pt>
                <c:pt idx="260">
                  <c:v>0.14</c:v>
                </c:pt>
                <c:pt idx="261">
                  <c:v>0.1459</c:v>
                </c:pt>
                <c:pt idx="262">
                  <c:v>0.1522</c:v>
                </c:pt>
                <c:pt idx="263">
                  <c:v>0.1588</c:v>
                </c:pt>
                <c:pt idx="264">
                  <c:v>0.166</c:v>
                </c:pt>
                <c:pt idx="265">
                  <c:v>0.1734</c:v>
                </c:pt>
                <c:pt idx="266">
                  <c:v>0.1814</c:v>
                </c:pt>
                <c:pt idx="267">
                  <c:v>0.1899</c:v>
                </c:pt>
                <c:pt idx="268">
                  <c:v>0.199</c:v>
                </c:pt>
                <c:pt idx="269">
                  <c:v>0.2089</c:v>
                </c:pt>
                <c:pt idx="270">
                  <c:v>0.2188</c:v>
                </c:pt>
                <c:pt idx="271">
                  <c:v>0.2292</c:v>
                </c:pt>
                <c:pt idx="272">
                  <c:v>0.2404</c:v>
                </c:pt>
                <c:pt idx="273">
                  <c:v>0.2527</c:v>
                </c:pt>
                <c:pt idx="274">
                  <c:v>0.2661</c:v>
                </c:pt>
                <c:pt idx="275">
                  <c:v>0.2808</c:v>
                </c:pt>
                <c:pt idx="276">
                  <c:v>0.2969</c:v>
                </c:pt>
                <c:pt idx="277">
                  <c:v>0.3148</c:v>
                </c:pt>
                <c:pt idx="278">
                  <c:v>0.3349</c:v>
                </c:pt>
                <c:pt idx="279">
                  <c:v>0.3574</c:v>
                </c:pt>
                <c:pt idx="280">
                  <c:v>0.3833</c:v>
                </c:pt>
                <c:pt idx="281">
                  <c:v>0.4152</c:v>
                </c:pt>
                <c:pt idx="282">
                  <c:v>0.4544</c:v>
                </c:pt>
                <c:pt idx="283">
                  <c:v>0.5008</c:v>
                </c:pt>
                <c:pt idx="284">
                  <c:v>0.556</c:v>
                </c:pt>
                <c:pt idx="285">
                  <c:v>0.6223</c:v>
                </c:pt>
                <c:pt idx="286">
                  <c:v>0.7024</c:v>
                </c:pt>
                <c:pt idx="287">
                  <c:v>0.7998</c:v>
                </c:pt>
                <c:pt idx="288">
                  <c:v>0.9186</c:v>
                </c:pt>
                <c:pt idx="289">
                  <c:v>1.063</c:v>
                </c:pt>
                <c:pt idx="290">
                  <c:v>1.24</c:v>
                </c:pt>
                <c:pt idx="291">
                  <c:v>1.457</c:v>
                </c:pt>
                <c:pt idx="292">
                  <c:v>1.719</c:v>
                </c:pt>
                <c:pt idx="293">
                  <c:v>2.035</c:v>
                </c:pt>
                <c:pt idx="294">
                  <c:v>2.407</c:v>
                </c:pt>
                <c:pt idx="295">
                  <c:v>2.838999999999999</c:v>
                </c:pt>
                <c:pt idx="296">
                  <c:v>3.322</c:v>
                </c:pt>
                <c:pt idx="297">
                  <c:v>3.849</c:v>
                </c:pt>
                <c:pt idx="298">
                  <c:v>4.412</c:v>
                </c:pt>
                <c:pt idx="299">
                  <c:v>4.994</c:v>
                </c:pt>
                <c:pt idx="300">
                  <c:v>5.58</c:v>
                </c:pt>
                <c:pt idx="301">
                  <c:v>6.166999999999986</c:v>
                </c:pt>
                <c:pt idx="302">
                  <c:v>6.75</c:v>
                </c:pt>
                <c:pt idx="303">
                  <c:v>7.328999999999985</c:v>
                </c:pt>
                <c:pt idx="304">
                  <c:v>8.019</c:v>
                </c:pt>
                <c:pt idx="305">
                  <c:v>8.651000000000001</c:v>
                </c:pt>
                <c:pt idx="306">
                  <c:v>9.233000000000001</c:v>
                </c:pt>
                <c:pt idx="307">
                  <c:v>9.817</c:v>
                </c:pt>
                <c:pt idx="308">
                  <c:v>10.42</c:v>
                </c:pt>
              </c:numCache>
            </c:numRef>
          </c:xVal>
          <c:yVal>
            <c:numRef>
              <c:f>'0DB1- in1'!$AK$2:$AK$310</c:f>
              <c:numCache>
                <c:formatCode>General</c:formatCode>
                <c:ptCount val="309"/>
                <c:pt idx="0">
                  <c:v>0.0277333333333333</c:v>
                </c:pt>
                <c:pt idx="1">
                  <c:v>0.0277333333333333</c:v>
                </c:pt>
                <c:pt idx="2">
                  <c:v>0.0277333333333333</c:v>
                </c:pt>
                <c:pt idx="3">
                  <c:v>0.0277333333333333</c:v>
                </c:pt>
                <c:pt idx="4">
                  <c:v>0.0277333333333333</c:v>
                </c:pt>
                <c:pt idx="5">
                  <c:v>0.0277333333333333</c:v>
                </c:pt>
                <c:pt idx="6">
                  <c:v>0.0277333333333333</c:v>
                </c:pt>
                <c:pt idx="7">
                  <c:v>0.0277333333333333</c:v>
                </c:pt>
                <c:pt idx="8">
                  <c:v>0.0277333333333333</c:v>
                </c:pt>
                <c:pt idx="9">
                  <c:v>0.0277333333333333</c:v>
                </c:pt>
                <c:pt idx="10">
                  <c:v>0.0277333333333333</c:v>
                </c:pt>
                <c:pt idx="11">
                  <c:v>0.0277333333333333</c:v>
                </c:pt>
                <c:pt idx="12">
                  <c:v>0.0277333333333333</c:v>
                </c:pt>
                <c:pt idx="13">
                  <c:v>0.0277333333333333</c:v>
                </c:pt>
                <c:pt idx="14">
                  <c:v>0.0277333333333333</c:v>
                </c:pt>
                <c:pt idx="15">
                  <c:v>0.0277333333333333</c:v>
                </c:pt>
                <c:pt idx="16">
                  <c:v>0.0277333333333333</c:v>
                </c:pt>
                <c:pt idx="17">
                  <c:v>0.0277333333333333</c:v>
                </c:pt>
                <c:pt idx="18">
                  <c:v>0.0277333333333333</c:v>
                </c:pt>
                <c:pt idx="19">
                  <c:v>0.0277333333333333</c:v>
                </c:pt>
                <c:pt idx="20">
                  <c:v>0.0277333333333333</c:v>
                </c:pt>
                <c:pt idx="21">
                  <c:v>0.0277333333333333</c:v>
                </c:pt>
                <c:pt idx="22">
                  <c:v>0.0277333333333333</c:v>
                </c:pt>
                <c:pt idx="23">
                  <c:v>0.0277333333333333</c:v>
                </c:pt>
                <c:pt idx="24">
                  <c:v>0.0277333333333333</c:v>
                </c:pt>
                <c:pt idx="25">
                  <c:v>0.0277333333333333</c:v>
                </c:pt>
                <c:pt idx="26">
                  <c:v>0.0277333333333333</c:v>
                </c:pt>
                <c:pt idx="27">
                  <c:v>0.0277333333333333</c:v>
                </c:pt>
                <c:pt idx="28">
                  <c:v>0.0277333333333333</c:v>
                </c:pt>
                <c:pt idx="29">
                  <c:v>0.0277333333333333</c:v>
                </c:pt>
                <c:pt idx="30">
                  <c:v>0.0277333333333333</c:v>
                </c:pt>
                <c:pt idx="31">
                  <c:v>0.0277333333333333</c:v>
                </c:pt>
                <c:pt idx="32">
                  <c:v>0.0277333333333333</c:v>
                </c:pt>
                <c:pt idx="33">
                  <c:v>0.0277333333333333</c:v>
                </c:pt>
                <c:pt idx="34">
                  <c:v>0.0277333333333333</c:v>
                </c:pt>
                <c:pt idx="35">
                  <c:v>0.0277333333333333</c:v>
                </c:pt>
                <c:pt idx="36">
                  <c:v>0.0277333333333333</c:v>
                </c:pt>
                <c:pt idx="37">
                  <c:v>0.0277333333333333</c:v>
                </c:pt>
                <c:pt idx="38">
                  <c:v>0.0277333333333333</c:v>
                </c:pt>
                <c:pt idx="39">
                  <c:v>0.0277333333333333</c:v>
                </c:pt>
                <c:pt idx="40">
                  <c:v>0.0277333333333333</c:v>
                </c:pt>
                <c:pt idx="41">
                  <c:v>0.0277333333333333</c:v>
                </c:pt>
                <c:pt idx="42">
                  <c:v>0.0277333333333333</c:v>
                </c:pt>
                <c:pt idx="43">
                  <c:v>0.0277333333333333</c:v>
                </c:pt>
                <c:pt idx="44">
                  <c:v>0.0277333333333333</c:v>
                </c:pt>
                <c:pt idx="45">
                  <c:v>0.0277333333333333</c:v>
                </c:pt>
                <c:pt idx="46">
                  <c:v>0.0277333333333333</c:v>
                </c:pt>
                <c:pt idx="47">
                  <c:v>0.0277333333333333</c:v>
                </c:pt>
                <c:pt idx="48">
                  <c:v>0.0277333333333333</c:v>
                </c:pt>
                <c:pt idx="49">
                  <c:v>0.0277333333333333</c:v>
                </c:pt>
                <c:pt idx="50">
                  <c:v>0.0277333333333333</c:v>
                </c:pt>
                <c:pt idx="51">
                  <c:v>0.0277333333333333</c:v>
                </c:pt>
                <c:pt idx="52">
                  <c:v>0.0277333333333333</c:v>
                </c:pt>
                <c:pt idx="53">
                  <c:v>0.0277333333333333</c:v>
                </c:pt>
                <c:pt idx="54">
                  <c:v>0.0277333333333333</c:v>
                </c:pt>
                <c:pt idx="55">
                  <c:v>0.0277333333333333</c:v>
                </c:pt>
                <c:pt idx="56">
                  <c:v>0.0277333333333333</c:v>
                </c:pt>
                <c:pt idx="57">
                  <c:v>0.0277333333333333</c:v>
                </c:pt>
                <c:pt idx="58">
                  <c:v>0.0277333333333333</c:v>
                </c:pt>
                <c:pt idx="59">
                  <c:v>0.0277333333333333</c:v>
                </c:pt>
                <c:pt idx="60">
                  <c:v>0.0277333333333333</c:v>
                </c:pt>
                <c:pt idx="61">
                  <c:v>0.0277333333333333</c:v>
                </c:pt>
                <c:pt idx="62">
                  <c:v>0.0277333333333333</c:v>
                </c:pt>
                <c:pt idx="63">
                  <c:v>0.0277333333333333</c:v>
                </c:pt>
                <c:pt idx="64">
                  <c:v>0.0277333333333333</c:v>
                </c:pt>
                <c:pt idx="65">
                  <c:v>0.0277333333333333</c:v>
                </c:pt>
                <c:pt idx="66">
                  <c:v>0.0277333333333333</c:v>
                </c:pt>
                <c:pt idx="67">
                  <c:v>0.0277333333333333</c:v>
                </c:pt>
                <c:pt idx="68">
                  <c:v>0.0277333333333333</c:v>
                </c:pt>
                <c:pt idx="69">
                  <c:v>0.0277333333333333</c:v>
                </c:pt>
                <c:pt idx="70">
                  <c:v>0.0277333333333333</c:v>
                </c:pt>
                <c:pt idx="71">
                  <c:v>0.0277333333333333</c:v>
                </c:pt>
                <c:pt idx="72">
                  <c:v>0.0277333333333333</c:v>
                </c:pt>
                <c:pt idx="73">
                  <c:v>0.0277333333333333</c:v>
                </c:pt>
                <c:pt idx="74">
                  <c:v>0.0277333333333333</c:v>
                </c:pt>
                <c:pt idx="75">
                  <c:v>0.0277333333333333</c:v>
                </c:pt>
                <c:pt idx="76">
                  <c:v>0.0277333333333333</c:v>
                </c:pt>
                <c:pt idx="77">
                  <c:v>0.0277333333333333</c:v>
                </c:pt>
                <c:pt idx="78">
                  <c:v>0.0277333333333333</c:v>
                </c:pt>
                <c:pt idx="79">
                  <c:v>0.0277333333333333</c:v>
                </c:pt>
                <c:pt idx="80">
                  <c:v>0.0277333333333333</c:v>
                </c:pt>
                <c:pt idx="81">
                  <c:v>0.0277333333333333</c:v>
                </c:pt>
                <c:pt idx="82">
                  <c:v>0.0277333333333333</c:v>
                </c:pt>
                <c:pt idx="83">
                  <c:v>0.0277333333333333</c:v>
                </c:pt>
                <c:pt idx="84">
                  <c:v>0.0277333333333333</c:v>
                </c:pt>
                <c:pt idx="85">
                  <c:v>0.0277333333333333</c:v>
                </c:pt>
                <c:pt idx="86">
                  <c:v>0.0277333333333333</c:v>
                </c:pt>
                <c:pt idx="87">
                  <c:v>0.0277333333333333</c:v>
                </c:pt>
                <c:pt idx="88">
                  <c:v>0.0277333333333333</c:v>
                </c:pt>
                <c:pt idx="89">
                  <c:v>0.0277333333333333</c:v>
                </c:pt>
                <c:pt idx="90">
                  <c:v>0.0277333333333333</c:v>
                </c:pt>
                <c:pt idx="91">
                  <c:v>0.0277333333333333</c:v>
                </c:pt>
                <c:pt idx="92">
                  <c:v>0.0277333333333333</c:v>
                </c:pt>
                <c:pt idx="93">
                  <c:v>0.0277333333333333</c:v>
                </c:pt>
                <c:pt idx="94">
                  <c:v>0.0277333333333333</c:v>
                </c:pt>
                <c:pt idx="95">
                  <c:v>0.0277333333333333</c:v>
                </c:pt>
                <c:pt idx="96">
                  <c:v>0.0277333333333333</c:v>
                </c:pt>
                <c:pt idx="97">
                  <c:v>0.0277333333333333</c:v>
                </c:pt>
                <c:pt idx="98">
                  <c:v>0.0277333333333333</c:v>
                </c:pt>
                <c:pt idx="99">
                  <c:v>0.0277333333333333</c:v>
                </c:pt>
                <c:pt idx="100">
                  <c:v>0.0277333333333333</c:v>
                </c:pt>
                <c:pt idx="101">
                  <c:v>0.0277333333333333</c:v>
                </c:pt>
                <c:pt idx="102">
                  <c:v>0.0277333333333333</c:v>
                </c:pt>
                <c:pt idx="103">
                  <c:v>0.0277333333333333</c:v>
                </c:pt>
                <c:pt idx="104">
                  <c:v>0.0277333333333333</c:v>
                </c:pt>
                <c:pt idx="105">
                  <c:v>0.0277333333333333</c:v>
                </c:pt>
                <c:pt idx="106">
                  <c:v>0.0277333333333333</c:v>
                </c:pt>
                <c:pt idx="107">
                  <c:v>0.0277333333333333</c:v>
                </c:pt>
                <c:pt idx="108">
                  <c:v>0.0277333333333333</c:v>
                </c:pt>
                <c:pt idx="109">
                  <c:v>0.0277333333333333</c:v>
                </c:pt>
                <c:pt idx="110">
                  <c:v>0.0277333333333333</c:v>
                </c:pt>
                <c:pt idx="111">
                  <c:v>0.0277333333333333</c:v>
                </c:pt>
                <c:pt idx="112">
                  <c:v>0.0277333333333333</c:v>
                </c:pt>
                <c:pt idx="113">
                  <c:v>0.0277333333333333</c:v>
                </c:pt>
                <c:pt idx="114">
                  <c:v>0.0277333333333333</c:v>
                </c:pt>
                <c:pt idx="115">
                  <c:v>0.0277333333333333</c:v>
                </c:pt>
                <c:pt idx="116">
                  <c:v>0.0277333333333333</c:v>
                </c:pt>
                <c:pt idx="117">
                  <c:v>0.0277333333333333</c:v>
                </c:pt>
                <c:pt idx="118">
                  <c:v>0.0277333333333333</c:v>
                </c:pt>
                <c:pt idx="119">
                  <c:v>0.0277333333333333</c:v>
                </c:pt>
                <c:pt idx="120">
                  <c:v>0.0277333333333333</c:v>
                </c:pt>
                <c:pt idx="121">
                  <c:v>0.0277333333333333</c:v>
                </c:pt>
                <c:pt idx="122">
                  <c:v>0.0277333333333333</c:v>
                </c:pt>
                <c:pt idx="123">
                  <c:v>0.0277333333333333</c:v>
                </c:pt>
                <c:pt idx="124">
                  <c:v>0.0277333333333333</c:v>
                </c:pt>
                <c:pt idx="125">
                  <c:v>0.0277333333333333</c:v>
                </c:pt>
                <c:pt idx="126">
                  <c:v>0.0277333333333333</c:v>
                </c:pt>
                <c:pt idx="127">
                  <c:v>0.0277333333333333</c:v>
                </c:pt>
                <c:pt idx="128">
                  <c:v>0.0277333333333333</c:v>
                </c:pt>
                <c:pt idx="129">
                  <c:v>0.0277333333333333</c:v>
                </c:pt>
                <c:pt idx="130">
                  <c:v>0.0277333333333333</c:v>
                </c:pt>
                <c:pt idx="131">
                  <c:v>0.0277333333333333</c:v>
                </c:pt>
                <c:pt idx="132">
                  <c:v>0.0277333333333333</c:v>
                </c:pt>
                <c:pt idx="133">
                  <c:v>0.0277333333333333</c:v>
                </c:pt>
                <c:pt idx="134">
                  <c:v>0.0277333333333333</c:v>
                </c:pt>
                <c:pt idx="135">
                  <c:v>0.0277333333333333</c:v>
                </c:pt>
                <c:pt idx="136">
                  <c:v>0.0277333333333333</c:v>
                </c:pt>
                <c:pt idx="137">
                  <c:v>0.0277333333333333</c:v>
                </c:pt>
                <c:pt idx="138">
                  <c:v>0.0277333333333333</c:v>
                </c:pt>
                <c:pt idx="139">
                  <c:v>0.0277333333333333</c:v>
                </c:pt>
                <c:pt idx="140">
                  <c:v>0.0277333333333333</c:v>
                </c:pt>
                <c:pt idx="141">
                  <c:v>0.0277333333333333</c:v>
                </c:pt>
                <c:pt idx="142">
                  <c:v>0.0277333333333333</c:v>
                </c:pt>
                <c:pt idx="143">
                  <c:v>0.0277333333333333</c:v>
                </c:pt>
                <c:pt idx="144">
                  <c:v>0.0277333333333333</c:v>
                </c:pt>
                <c:pt idx="145">
                  <c:v>0.0277333333333333</c:v>
                </c:pt>
                <c:pt idx="146">
                  <c:v>0.0277333333333333</c:v>
                </c:pt>
                <c:pt idx="147">
                  <c:v>0.0277333333333333</c:v>
                </c:pt>
                <c:pt idx="148">
                  <c:v>0.0277333333333333</c:v>
                </c:pt>
                <c:pt idx="149">
                  <c:v>0.0277333333333333</c:v>
                </c:pt>
                <c:pt idx="150">
                  <c:v>0.0277333333333333</c:v>
                </c:pt>
                <c:pt idx="151">
                  <c:v>0.0277333333333333</c:v>
                </c:pt>
                <c:pt idx="152">
                  <c:v>0.0277333333333333</c:v>
                </c:pt>
                <c:pt idx="153">
                  <c:v>0.0277333333333333</c:v>
                </c:pt>
                <c:pt idx="154">
                  <c:v>0.0277333333333333</c:v>
                </c:pt>
                <c:pt idx="155">
                  <c:v>0.0277333333333333</c:v>
                </c:pt>
                <c:pt idx="156">
                  <c:v>0.0277333333333333</c:v>
                </c:pt>
                <c:pt idx="157">
                  <c:v>0.0277333333333333</c:v>
                </c:pt>
                <c:pt idx="158">
                  <c:v>0.0277333333333333</c:v>
                </c:pt>
                <c:pt idx="159">
                  <c:v>0.0277333333333333</c:v>
                </c:pt>
                <c:pt idx="160">
                  <c:v>0.0277333333333333</c:v>
                </c:pt>
                <c:pt idx="161">
                  <c:v>0.0277333333333333</c:v>
                </c:pt>
                <c:pt idx="162">
                  <c:v>0.0277333333333333</c:v>
                </c:pt>
                <c:pt idx="163">
                  <c:v>0.0277333333333333</c:v>
                </c:pt>
                <c:pt idx="164">
                  <c:v>0.0277333333333333</c:v>
                </c:pt>
                <c:pt idx="165">
                  <c:v>0.0277333333333333</c:v>
                </c:pt>
                <c:pt idx="166">
                  <c:v>0.0277333333333333</c:v>
                </c:pt>
                <c:pt idx="167">
                  <c:v>0.0277333333333333</c:v>
                </c:pt>
                <c:pt idx="168">
                  <c:v>0.0277333333333333</c:v>
                </c:pt>
                <c:pt idx="169">
                  <c:v>0.0277333333333333</c:v>
                </c:pt>
                <c:pt idx="170">
                  <c:v>0.0277333333333333</c:v>
                </c:pt>
                <c:pt idx="171">
                  <c:v>0.0277333333333333</c:v>
                </c:pt>
                <c:pt idx="172">
                  <c:v>0.0277333333333333</c:v>
                </c:pt>
                <c:pt idx="173">
                  <c:v>0.0277333333333333</c:v>
                </c:pt>
                <c:pt idx="174">
                  <c:v>0.0277333333333333</c:v>
                </c:pt>
                <c:pt idx="175">
                  <c:v>0.0277333333333333</c:v>
                </c:pt>
                <c:pt idx="176">
                  <c:v>0.0277333333333333</c:v>
                </c:pt>
                <c:pt idx="177">
                  <c:v>0.0277333333333333</c:v>
                </c:pt>
                <c:pt idx="178">
                  <c:v>0.0277333333333333</c:v>
                </c:pt>
                <c:pt idx="179">
                  <c:v>0.0277333333333333</c:v>
                </c:pt>
                <c:pt idx="180">
                  <c:v>0.0277333333333333</c:v>
                </c:pt>
                <c:pt idx="181">
                  <c:v>0.0277333333333333</c:v>
                </c:pt>
                <c:pt idx="182">
                  <c:v>0.0277333333333333</c:v>
                </c:pt>
                <c:pt idx="183">
                  <c:v>0.0277333333333333</c:v>
                </c:pt>
                <c:pt idx="184">
                  <c:v>0.0277333333333333</c:v>
                </c:pt>
                <c:pt idx="185">
                  <c:v>0.0277333333333333</c:v>
                </c:pt>
                <c:pt idx="186">
                  <c:v>0.0277333333333333</c:v>
                </c:pt>
                <c:pt idx="187">
                  <c:v>0.0277333333333333</c:v>
                </c:pt>
                <c:pt idx="188">
                  <c:v>0.0277333333333333</c:v>
                </c:pt>
                <c:pt idx="189">
                  <c:v>0.0277333333333333</c:v>
                </c:pt>
                <c:pt idx="190">
                  <c:v>0.0277333333333333</c:v>
                </c:pt>
                <c:pt idx="191">
                  <c:v>0.0277333333333333</c:v>
                </c:pt>
                <c:pt idx="192">
                  <c:v>0.0277333333333333</c:v>
                </c:pt>
                <c:pt idx="193">
                  <c:v>0.0277333333333333</c:v>
                </c:pt>
                <c:pt idx="194">
                  <c:v>0.0277333333333333</c:v>
                </c:pt>
                <c:pt idx="195">
                  <c:v>0.0277333333333333</c:v>
                </c:pt>
                <c:pt idx="196">
                  <c:v>0.0277333333333333</c:v>
                </c:pt>
                <c:pt idx="197">
                  <c:v>0.0277333333333333</c:v>
                </c:pt>
                <c:pt idx="198">
                  <c:v>0.0277333333333333</c:v>
                </c:pt>
                <c:pt idx="199">
                  <c:v>0.0277333333333333</c:v>
                </c:pt>
                <c:pt idx="200">
                  <c:v>0.0277333333333333</c:v>
                </c:pt>
                <c:pt idx="201">
                  <c:v>0.0277333333333333</c:v>
                </c:pt>
                <c:pt idx="202">
                  <c:v>0.0277333333333333</c:v>
                </c:pt>
                <c:pt idx="203">
                  <c:v>0.0277333333333333</c:v>
                </c:pt>
                <c:pt idx="204">
                  <c:v>0.0277333333333333</c:v>
                </c:pt>
                <c:pt idx="205">
                  <c:v>0.0277333333333333</c:v>
                </c:pt>
                <c:pt idx="206">
                  <c:v>0.0277333333333333</c:v>
                </c:pt>
                <c:pt idx="207">
                  <c:v>0.0277333333333333</c:v>
                </c:pt>
                <c:pt idx="208">
                  <c:v>0.0277333333333333</c:v>
                </c:pt>
                <c:pt idx="209">
                  <c:v>0.0277333333333333</c:v>
                </c:pt>
                <c:pt idx="210">
                  <c:v>0.0277333333333333</c:v>
                </c:pt>
                <c:pt idx="211">
                  <c:v>0.0277333333333333</c:v>
                </c:pt>
                <c:pt idx="212">
                  <c:v>0.0277333333333333</c:v>
                </c:pt>
                <c:pt idx="213">
                  <c:v>0.0277333333333333</c:v>
                </c:pt>
                <c:pt idx="214">
                  <c:v>0.0277333333333333</c:v>
                </c:pt>
                <c:pt idx="215">
                  <c:v>0.0277333333333333</c:v>
                </c:pt>
                <c:pt idx="216">
                  <c:v>0.0277333333333333</c:v>
                </c:pt>
                <c:pt idx="217">
                  <c:v>0.0277333333333333</c:v>
                </c:pt>
                <c:pt idx="218">
                  <c:v>0.0277333333333333</c:v>
                </c:pt>
                <c:pt idx="219">
                  <c:v>0.0277333333333333</c:v>
                </c:pt>
                <c:pt idx="220">
                  <c:v>0.0277333333333333</c:v>
                </c:pt>
                <c:pt idx="221">
                  <c:v>0.0277333333333333</c:v>
                </c:pt>
                <c:pt idx="222">
                  <c:v>0.0277333333333333</c:v>
                </c:pt>
                <c:pt idx="223">
                  <c:v>0.0277333333333333</c:v>
                </c:pt>
                <c:pt idx="224">
                  <c:v>0.0277333333333333</c:v>
                </c:pt>
                <c:pt idx="225">
                  <c:v>0.0277333333333333</c:v>
                </c:pt>
                <c:pt idx="226">
                  <c:v>0.0277333333333333</c:v>
                </c:pt>
                <c:pt idx="227">
                  <c:v>0.0277333333333333</c:v>
                </c:pt>
                <c:pt idx="228">
                  <c:v>0.0277333333333333</c:v>
                </c:pt>
                <c:pt idx="229">
                  <c:v>0.0277333333333333</c:v>
                </c:pt>
                <c:pt idx="230">
                  <c:v>0.0277333333333333</c:v>
                </c:pt>
                <c:pt idx="231">
                  <c:v>0.0277333333333333</c:v>
                </c:pt>
                <c:pt idx="232">
                  <c:v>0.0277333333333333</c:v>
                </c:pt>
                <c:pt idx="233">
                  <c:v>0.0277333333333333</c:v>
                </c:pt>
                <c:pt idx="234">
                  <c:v>0.0277333333333333</c:v>
                </c:pt>
                <c:pt idx="235">
                  <c:v>0.0277333333333333</c:v>
                </c:pt>
                <c:pt idx="236">
                  <c:v>0.0277333333333333</c:v>
                </c:pt>
                <c:pt idx="237">
                  <c:v>0.0277333333333333</c:v>
                </c:pt>
                <c:pt idx="238">
                  <c:v>0.0277333333333333</c:v>
                </c:pt>
                <c:pt idx="239">
                  <c:v>0.0277333333333333</c:v>
                </c:pt>
                <c:pt idx="240">
                  <c:v>0.0277333333333333</c:v>
                </c:pt>
                <c:pt idx="241">
                  <c:v>0.0277333333333333</c:v>
                </c:pt>
                <c:pt idx="242">
                  <c:v>0.0277333333333333</c:v>
                </c:pt>
                <c:pt idx="243">
                  <c:v>0.0276</c:v>
                </c:pt>
                <c:pt idx="244">
                  <c:v>0.0274666666666667</c:v>
                </c:pt>
                <c:pt idx="245">
                  <c:v>0.0272666666666667</c:v>
                </c:pt>
                <c:pt idx="246">
                  <c:v>0.0270666666666667</c:v>
                </c:pt>
                <c:pt idx="247">
                  <c:v>0.0268</c:v>
                </c:pt>
                <c:pt idx="248">
                  <c:v>0.0266</c:v>
                </c:pt>
                <c:pt idx="249">
                  <c:v>0.0263333333333333</c:v>
                </c:pt>
                <c:pt idx="250">
                  <c:v>0.0260666666666667</c:v>
                </c:pt>
                <c:pt idx="251">
                  <c:v>0.0257333333333333</c:v>
                </c:pt>
                <c:pt idx="252">
                  <c:v>0.0253333333333333</c:v>
                </c:pt>
                <c:pt idx="253">
                  <c:v>0.0249333333333333</c:v>
                </c:pt>
                <c:pt idx="254">
                  <c:v>0.0246</c:v>
                </c:pt>
                <c:pt idx="255">
                  <c:v>0.0241333333333333</c:v>
                </c:pt>
                <c:pt idx="256">
                  <c:v>0.0236666666666667</c:v>
                </c:pt>
                <c:pt idx="257">
                  <c:v>0.0232</c:v>
                </c:pt>
                <c:pt idx="258">
                  <c:v>0.0226666666666667</c:v>
                </c:pt>
                <c:pt idx="259">
                  <c:v>0.0220666666666667</c:v>
                </c:pt>
                <c:pt idx="260">
                  <c:v>0.0215333333333333</c:v>
                </c:pt>
                <c:pt idx="261">
                  <c:v>0.0209333333333333</c:v>
                </c:pt>
                <c:pt idx="262">
                  <c:v>0.0203333333333333</c:v>
                </c:pt>
                <c:pt idx="263">
                  <c:v>0.0197333333333333</c:v>
                </c:pt>
                <c:pt idx="264">
                  <c:v>0.0192</c:v>
                </c:pt>
                <c:pt idx="265">
                  <c:v>0.0186666666666667</c:v>
                </c:pt>
                <c:pt idx="266">
                  <c:v>0.0182</c:v>
                </c:pt>
                <c:pt idx="267">
                  <c:v>0.0177333333333333</c:v>
                </c:pt>
                <c:pt idx="268">
                  <c:v>0.0171333333333333</c:v>
                </c:pt>
                <c:pt idx="269">
                  <c:v>0.0165333333333333</c:v>
                </c:pt>
                <c:pt idx="270">
                  <c:v>0.016</c:v>
                </c:pt>
                <c:pt idx="271">
                  <c:v>0.0154</c:v>
                </c:pt>
                <c:pt idx="272">
                  <c:v>0.0147333333333333</c:v>
                </c:pt>
                <c:pt idx="273">
                  <c:v>0.0141333333333333</c:v>
                </c:pt>
                <c:pt idx="274">
                  <c:v>0.0134666666666667</c:v>
                </c:pt>
                <c:pt idx="275">
                  <c:v>0.0127333333333333</c:v>
                </c:pt>
                <c:pt idx="276">
                  <c:v>0.012</c:v>
                </c:pt>
                <c:pt idx="277">
                  <c:v>0.0113333333333333</c:v>
                </c:pt>
                <c:pt idx="278">
                  <c:v>0.0106666666666667</c:v>
                </c:pt>
                <c:pt idx="279">
                  <c:v>0.0100666666666667</c:v>
                </c:pt>
                <c:pt idx="280">
                  <c:v>0.00953333333333333</c:v>
                </c:pt>
                <c:pt idx="281">
                  <c:v>0.00893333333333333</c:v>
                </c:pt>
                <c:pt idx="282">
                  <c:v>0.00833333333333333</c:v>
                </c:pt>
                <c:pt idx="283">
                  <c:v>0.0078</c:v>
                </c:pt>
                <c:pt idx="284">
                  <c:v>0.00733333333333333</c:v>
                </c:pt>
                <c:pt idx="285">
                  <c:v>0.0068</c:v>
                </c:pt>
                <c:pt idx="286">
                  <c:v>0.0064</c:v>
                </c:pt>
                <c:pt idx="287">
                  <c:v>0.006</c:v>
                </c:pt>
                <c:pt idx="288">
                  <c:v>0.0056</c:v>
                </c:pt>
                <c:pt idx="289">
                  <c:v>0.00526666666666667</c:v>
                </c:pt>
                <c:pt idx="290">
                  <c:v>0.005</c:v>
                </c:pt>
                <c:pt idx="291">
                  <c:v>0.00473333333333333</c:v>
                </c:pt>
                <c:pt idx="292">
                  <c:v>0.00446666666666667</c:v>
                </c:pt>
                <c:pt idx="293">
                  <c:v>0.00426666666666667</c:v>
                </c:pt>
                <c:pt idx="294">
                  <c:v>0.00406666666666667</c:v>
                </c:pt>
                <c:pt idx="295">
                  <c:v>0.00393333333333333</c:v>
                </c:pt>
                <c:pt idx="296">
                  <c:v>0.00373333333333333</c:v>
                </c:pt>
                <c:pt idx="297">
                  <c:v>0.0036</c:v>
                </c:pt>
                <c:pt idx="298">
                  <c:v>0.0034</c:v>
                </c:pt>
                <c:pt idx="299">
                  <c:v>0.00326666666666667</c:v>
                </c:pt>
                <c:pt idx="300">
                  <c:v>0.00313333333333333</c:v>
                </c:pt>
                <c:pt idx="301">
                  <c:v>0.00293333333333333</c:v>
                </c:pt>
                <c:pt idx="302">
                  <c:v>0.0028</c:v>
                </c:pt>
                <c:pt idx="303">
                  <c:v>0.0026</c:v>
                </c:pt>
                <c:pt idx="304">
                  <c:v>0.0024</c:v>
                </c:pt>
                <c:pt idx="305">
                  <c:v>0.00226666666666667</c:v>
                </c:pt>
                <c:pt idx="306">
                  <c:v>0.00213333333333333</c:v>
                </c:pt>
                <c:pt idx="307">
                  <c:v>0.002</c:v>
                </c:pt>
                <c:pt idx="308">
                  <c:v>0.00193333333333333</c:v>
                </c:pt>
              </c:numCache>
            </c:numRef>
          </c:yVal>
          <c:smooth val="0"/>
        </c:ser>
        <c:dLbls>
          <c:showLegendKey val="0"/>
          <c:showVal val="0"/>
          <c:showCatName val="0"/>
          <c:showSerName val="0"/>
          <c:showPercent val="0"/>
          <c:showBubbleSize val="0"/>
        </c:dLbls>
        <c:axId val="2130123656"/>
        <c:axId val="2130129912"/>
      </c:scatterChart>
      <c:valAx>
        <c:axId val="2130123656"/>
        <c:scaling>
          <c:logBase val="10.0"/>
          <c:orientation val="maxMin"/>
          <c:max val="10.0"/>
        </c:scaling>
        <c:delete val="0"/>
        <c:axPos val="b"/>
        <c:title>
          <c:tx>
            <c:rich>
              <a:bodyPr/>
              <a:lstStyle/>
              <a:p>
                <a:pPr>
                  <a:defRPr/>
                </a:pPr>
                <a:r>
                  <a:rPr lang="en-US"/>
                  <a:t>Pore Diameter </a:t>
                </a:r>
                <a:r>
                  <a:rPr lang="el-GR"/>
                  <a:t>(μm</a:t>
                </a:r>
                <a:r>
                  <a:rPr lang="en-GB"/>
                  <a:t>)</a:t>
                </a:r>
                <a:r>
                  <a:rPr lang="el-GR"/>
                  <a:t> </a:t>
                </a:r>
                <a:endParaRPr lang="en-US"/>
              </a:p>
            </c:rich>
          </c:tx>
          <c:layout>
            <c:manualLayout>
              <c:xMode val="edge"/>
              <c:yMode val="edge"/>
              <c:x val="0.320802414454051"/>
              <c:y val="0.904735219949566"/>
            </c:manualLayout>
          </c:layout>
          <c:overlay val="0"/>
        </c:title>
        <c:numFmt formatCode="General" sourceLinked="0"/>
        <c:majorTickMark val="out"/>
        <c:minorTickMark val="none"/>
        <c:tickLblPos val="nextTo"/>
        <c:spPr>
          <a:ln>
            <a:solidFill>
              <a:schemeClr val="tx1"/>
            </a:solidFill>
          </a:ln>
        </c:spPr>
        <c:txPr>
          <a:bodyPr rot="0" vert="horz"/>
          <a:lstStyle/>
          <a:p>
            <a:pPr>
              <a:defRPr/>
            </a:pPr>
            <a:endParaRPr lang="en-US"/>
          </a:p>
        </c:txPr>
        <c:crossAx val="2130129912"/>
        <c:crosses val="autoZero"/>
        <c:crossBetween val="midCat"/>
      </c:valAx>
      <c:valAx>
        <c:axId val="2130129912"/>
        <c:scaling>
          <c:orientation val="minMax"/>
          <c:min val="0.0"/>
        </c:scaling>
        <c:delete val="0"/>
        <c:axPos val="l"/>
        <c:title>
          <c:tx>
            <c:rich>
              <a:bodyPr rot="-5400000" vert="horz"/>
              <a:lstStyle/>
              <a:p>
                <a:pPr>
                  <a:defRPr sz="1000"/>
                </a:pPr>
                <a:r>
                  <a:rPr lang="tr-TR" sz="1000" b="1" i="0" baseline="0">
                    <a:effectLst/>
                  </a:rPr>
                  <a:t>Cumulative Volume (ml/g)</a:t>
                </a:r>
                <a:endParaRPr lang="tr-TR" sz="1000">
                  <a:effectLst/>
                </a:endParaRPr>
              </a:p>
            </c:rich>
          </c:tx>
          <c:layout>
            <c:manualLayout>
              <c:xMode val="edge"/>
              <c:yMode val="edge"/>
              <c:x val="0.0209895250357469"/>
              <c:y val="0.146619806730378"/>
            </c:manualLayout>
          </c:layout>
          <c:overlay val="0"/>
        </c:title>
        <c:numFmt formatCode="General" sourceLinked="1"/>
        <c:majorTickMark val="out"/>
        <c:minorTickMark val="none"/>
        <c:tickLblPos val="nextTo"/>
        <c:spPr>
          <a:ln>
            <a:solidFill>
              <a:schemeClr val="tx1"/>
            </a:solidFill>
          </a:ln>
        </c:spPr>
        <c:crossAx val="2130123656"/>
        <c:crosses val="max"/>
        <c:crossBetween val="midCat"/>
        <c:majorUnit val="0.02"/>
      </c:valAx>
      <c:spPr>
        <a:noFill/>
        <a:ln w="12700" cmpd="sng">
          <a:solidFill>
            <a:schemeClr val="tx1"/>
          </a:solidFill>
        </a:ln>
      </c:spPr>
    </c:plotArea>
    <c:legend>
      <c:legendPos val="r"/>
      <c:layout>
        <c:manualLayout>
          <c:xMode val="edge"/>
          <c:yMode val="edge"/>
          <c:x val="0.787586403286078"/>
          <c:y val="0.118714456928563"/>
          <c:w val="0.206160053944127"/>
          <c:h val="0.375388591974285"/>
        </c:manualLayout>
      </c:layout>
      <c:overlay val="0"/>
    </c:legend>
    <c:plotVisOnly val="1"/>
    <c:dispBlanksAs val="gap"/>
    <c:showDLblsOverMax val="0"/>
  </c:chart>
  <c:spPr>
    <a:ln>
      <a:noFill/>
    </a:ln>
  </c:spPr>
  <c:txPr>
    <a:bodyPr/>
    <a:lstStyle/>
    <a:p>
      <a:pPr>
        <a:defRPr sz="1000">
          <a:latin typeface="Arial"/>
          <a:cs typeface="Arial"/>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207629396325459"/>
          <c:y val="0.114716683999406"/>
          <c:w val="0.672887401574803"/>
          <c:h val="0.725409300252563"/>
        </c:manualLayout>
      </c:layout>
      <c:scatterChart>
        <c:scatterStyle val="lineMarker"/>
        <c:varyColors val="0"/>
        <c:ser>
          <c:idx val="0"/>
          <c:order val="1"/>
          <c:tx>
            <c:v>28DCS1</c:v>
          </c:tx>
          <c:spPr>
            <a:ln w="28575" cmpd="sng">
              <a:solidFill>
                <a:srgbClr val="FF0000"/>
              </a:solidFill>
            </a:ln>
          </c:spPr>
          <c:marker>
            <c:symbol val="none"/>
          </c:marker>
          <c:xVal>
            <c:numRef>
              <c:f>'28DB1- in1'!$C$5:$C$331</c:f>
              <c:numCache>
                <c:formatCode>0.00E+00</c:formatCode>
                <c:ptCount val="327"/>
                <c:pt idx="0">
                  <c:v>10.64</c:v>
                </c:pt>
                <c:pt idx="1">
                  <c:v>10.32</c:v>
                </c:pt>
                <c:pt idx="2">
                  <c:v>10.01</c:v>
                </c:pt>
                <c:pt idx="3">
                  <c:v>9.723999999999998</c:v>
                </c:pt>
                <c:pt idx="4">
                  <c:v>9.442</c:v>
                </c:pt>
                <c:pt idx="5">
                  <c:v>9.169</c:v>
                </c:pt>
                <c:pt idx="6">
                  <c:v>8.898000000000001</c:v>
                </c:pt>
                <c:pt idx="7">
                  <c:v>8.632</c:v>
                </c:pt>
                <c:pt idx="8">
                  <c:v>8.36</c:v>
                </c:pt>
                <c:pt idx="9">
                  <c:v>8.089</c:v>
                </c:pt>
                <c:pt idx="10">
                  <c:v>7.819999999999998</c:v>
                </c:pt>
                <c:pt idx="11">
                  <c:v>7.547</c:v>
                </c:pt>
                <c:pt idx="12">
                  <c:v>7.274</c:v>
                </c:pt>
                <c:pt idx="13">
                  <c:v>6.997</c:v>
                </c:pt>
                <c:pt idx="14">
                  <c:v>6.719</c:v>
                </c:pt>
                <c:pt idx="15">
                  <c:v>6.436</c:v>
                </c:pt>
                <c:pt idx="16">
                  <c:v>6.149</c:v>
                </c:pt>
                <c:pt idx="17">
                  <c:v>5.863999999999986</c:v>
                </c:pt>
                <c:pt idx="18">
                  <c:v>5.575</c:v>
                </c:pt>
                <c:pt idx="19">
                  <c:v>5.289</c:v>
                </c:pt>
                <c:pt idx="20">
                  <c:v>4.999</c:v>
                </c:pt>
                <c:pt idx="21">
                  <c:v>4.708</c:v>
                </c:pt>
                <c:pt idx="22">
                  <c:v>4.413</c:v>
                </c:pt>
                <c:pt idx="23">
                  <c:v>4.117999999999978</c:v>
                </c:pt>
                <c:pt idx="24">
                  <c:v>3.824</c:v>
                </c:pt>
                <c:pt idx="25">
                  <c:v>3.531</c:v>
                </c:pt>
                <c:pt idx="26">
                  <c:v>3.241</c:v>
                </c:pt>
                <c:pt idx="27">
                  <c:v>2.956999999999998</c:v>
                </c:pt>
                <c:pt idx="28">
                  <c:v>2.682</c:v>
                </c:pt>
                <c:pt idx="29">
                  <c:v>2.415999999999999</c:v>
                </c:pt>
                <c:pt idx="30">
                  <c:v>2.164</c:v>
                </c:pt>
                <c:pt idx="31">
                  <c:v>1.925999999999999</c:v>
                </c:pt>
                <c:pt idx="32">
                  <c:v>1.707</c:v>
                </c:pt>
                <c:pt idx="33">
                  <c:v>1.507</c:v>
                </c:pt>
                <c:pt idx="34">
                  <c:v>1.327</c:v>
                </c:pt>
                <c:pt idx="35">
                  <c:v>1.168</c:v>
                </c:pt>
                <c:pt idx="36">
                  <c:v>1.028</c:v>
                </c:pt>
                <c:pt idx="37">
                  <c:v>0.9076</c:v>
                </c:pt>
                <c:pt idx="38">
                  <c:v>0.804</c:v>
                </c:pt>
                <c:pt idx="39">
                  <c:v>0.7152</c:v>
                </c:pt>
                <c:pt idx="40">
                  <c:v>0.6394</c:v>
                </c:pt>
                <c:pt idx="41">
                  <c:v>0.5745</c:v>
                </c:pt>
                <c:pt idx="42">
                  <c:v>0.519</c:v>
                </c:pt>
                <c:pt idx="43">
                  <c:v>0.4714</c:v>
                </c:pt>
                <c:pt idx="44">
                  <c:v>0.4303</c:v>
                </c:pt>
                <c:pt idx="45">
                  <c:v>0.3949</c:v>
                </c:pt>
                <c:pt idx="46">
                  <c:v>0.3642</c:v>
                </c:pt>
                <c:pt idx="47">
                  <c:v>0.3374</c:v>
                </c:pt>
                <c:pt idx="48">
                  <c:v>0.3139</c:v>
                </c:pt>
                <c:pt idx="49">
                  <c:v>0.2931</c:v>
                </c:pt>
                <c:pt idx="50">
                  <c:v>0.2746</c:v>
                </c:pt>
                <c:pt idx="51">
                  <c:v>0.258</c:v>
                </c:pt>
                <c:pt idx="52">
                  <c:v>0.243</c:v>
                </c:pt>
                <c:pt idx="53">
                  <c:v>0.2295</c:v>
                </c:pt>
                <c:pt idx="54">
                  <c:v>0.2172</c:v>
                </c:pt>
                <c:pt idx="55">
                  <c:v>0.2059</c:v>
                </c:pt>
                <c:pt idx="56">
                  <c:v>0.1956</c:v>
                </c:pt>
                <c:pt idx="57">
                  <c:v>0.1861</c:v>
                </c:pt>
                <c:pt idx="58">
                  <c:v>0.1774</c:v>
                </c:pt>
                <c:pt idx="59">
                  <c:v>0.1694</c:v>
                </c:pt>
                <c:pt idx="60">
                  <c:v>0.1619</c:v>
                </c:pt>
                <c:pt idx="61">
                  <c:v>0.1549</c:v>
                </c:pt>
                <c:pt idx="62">
                  <c:v>0.1484</c:v>
                </c:pt>
                <c:pt idx="63">
                  <c:v>0.1421</c:v>
                </c:pt>
                <c:pt idx="64">
                  <c:v>0.1362</c:v>
                </c:pt>
                <c:pt idx="65">
                  <c:v>0.1308</c:v>
                </c:pt>
                <c:pt idx="66">
                  <c:v>0.1256</c:v>
                </c:pt>
                <c:pt idx="67">
                  <c:v>0.1209</c:v>
                </c:pt>
                <c:pt idx="68">
                  <c:v>0.1164</c:v>
                </c:pt>
                <c:pt idx="69">
                  <c:v>0.1121</c:v>
                </c:pt>
                <c:pt idx="70">
                  <c:v>0.1081</c:v>
                </c:pt>
                <c:pt idx="71">
                  <c:v>0.1044</c:v>
                </c:pt>
                <c:pt idx="72">
                  <c:v>0.1008</c:v>
                </c:pt>
                <c:pt idx="73">
                  <c:v>0.09751</c:v>
                </c:pt>
                <c:pt idx="74">
                  <c:v>0.09445</c:v>
                </c:pt>
                <c:pt idx="75">
                  <c:v>0.09157</c:v>
                </c:pt>
                <c:pt idx="76">
                  <c:v>0.08884</c:v>
                </c:pt>
                <c:pt idx="77">
                  <c:v>0.08626</c:v>
                </c:pt>
                <c:pt idx="78">
                  <c:v>0.08381</c:v>
                </c:pt>
                <c:pt idx="79">
                  <c:v>0.0815</c:v>
                </c:pt>
                <c:pt idx="80">
                  <c:v>0.0793</c:v>
                </c:pt>
                <c:pt idx="81">
                  <c:v>0.07717</c:v>
                </c:pt>
                <c:pt idx="82">
                  <c:v>0.07509</c:v>
                </c:pt>
                <c:pt idx="83">
                  <c:v>0.07313</c:v>
                </c:pt>
                <c:pt idx="84">
                  <c:v>0.07126</c:v>
                </c:pt>
                <c:pt idx="85">
                  <c:v>0.06948</c:v>
                </c:pt>
                <c:pt idx="86">
                  <c:v>0.06778</c:v>
                </c:pt>
                <c:pt idx="87">
                  <c:v>0.06612</c:v>
                </c:pt>
                <c:pt idx="88">
                  <c:v>0.06451</c:v>
                </c:pt>
                <c:pt idx="89">
                  <c:v>0.06293</c:v>
                </c:pt>
                <c:pt idx="90">
                  <c:v>0.0614</c:v>
                </c:pt>
                <c:pt idx="91">
                  <c:v>0.05993</c:v>
                </c:pt>
                <c:pt idx="92">
                  <c:v>0.05856</c:v>
                </c:pt>
                <c:pt idx="93">
                  <c:v>0.05725</c:v>
                </c:pt>
                <c:pt idx="94">
                  <c:v>0.05596</c:v>
                </c:pt>
                <c:pt idx="95">
                  <c:v>0.05471</c:v>
                </c:pt>
                <c:pt idx="96">
                  <c:v>0.0535</c:v>
                </c:pt>
                <c:pt idx="97">
                  <c:v>0.05233</c:v>
                </c:pt>
                <c:pt idx="98">
                  <c:v>0.05122</c:v>
                </c:pt>
                <c:pt idx="99">
                  <c:v>0.05017</c:v>
                </c:pt>
                <c:pt idx="100">
                  <c:v>0.04918</c:v>
                </c:pt>
                <c:pt idx="101">
                  <c:v>0.04825</c:v>
                </c:pt>
                <c:pt idx="102">
                  <c:v>0.04735</c:v>
                </c:pt>
                <c:pt idx="103">
                  <c:v>0.04648</c:v>
                </c:pt>
                <c:pt idx="104">
                  <c:v>0.04564</c:v>
                </c:pt>
                <c:pt idx="105">
                  <c:v>0.04484</c:v>
                </c:pt>
                <c:pt idx="106">
                  <c:v>0.04408</c:v>
                </c:pt>
                <c:pt idx="107">
                  <c:v>0.04335</c:v>
                </c:pt>
                <c:pt idx="108">
                  <c:v>0.04265</c:v>
                </c:pt>
                <c:pt idx="109">
                  <c:v>0.04198</c:v>
                </c:pt>
                <c:pt idx="110">
                  <c:v>0.04133</c:v>
                </c:pt>
                <c:pt idx="111">
                  <c:v>0.04069</c:v>
                </c:pt>
                <c:pt idx="112">
                  <c:v>0.04007</c:v>
                </c:pt>
                <c:pt idx="113">
                  <c:v>0.03947</c:v>
                </c:pt>
                <c:pt idx="114">
                  <c:v>0.03888</c:v>
                </c:pt>
                <c:pt idx="115">
                  <c:v>0.03832</c:v>
                </c:pt>
                <c:pt idx="116">
                  <c:v>0.03778</c:v>
                </c:pt>
                <c:pt idx="117">
                  <c:v>0.03725</c:v>
                </c:pt>
                <c:pt idx="118">
                  <c:v>0.03673</c:v>
                </c:pt>
                <c:pt idx="119">
                  <c:v>0.03623</c:v>
                </c:pt>
                <c:pt idx="120">
                  <c:v>0.03573</c:v>
                </c:pt>
                <c:pt idx="121">
                  <c:v>0.03525</c:v>
                </c:pt>
                <c:pt idx="122">
                  <c:v>0.03479</c:v>
                </c:pt>
                <c:pt idx="123">
                  <c:v>0.03433</c:v>
                </c:pt>
                <c:pt idx="124">
                  <c:v>0.03388</c:v>
                </c:pt>
                <c:pt idx="125">
                  <c:v>0.03344</c:v>
                </c:pt>
                <c:pt idx="126">
                  <c:v>0.03302</c:v>
                </c:pt>
                <c:pt idx="127">
                  <c:v>0.03259</c:v>
                </c:pt>
                <c:pt idx="128">
                  <c:v>0.03217</c:v>
                </c:pt>
                <c:pt idx="129">
                  <c:v>0.03177</c:v>
                </c:pt>
                <c:pt idx="130">
                  <c:v>0.03137</c:v>
                </c:pt>
                <c:pt idx="131">
                  <c:v>0.03097</c:v>
                </c:pt>
                <c:pt idx="132">
                  <c:v>0.03058</c:v>
                </c:pt>
                <c:pt idx="133">
                  <c:v>0.0302</c:v>
                </c:pt>
                <c:pt idx="134">
                  <c:v>0.02982</c:v>
                </c:pt>
                <c:pt idx="135">
                  <c:v>0.02945</c:v>
                </c:pt>
                <c:pt idx="136">
                  <c:v>0.02907</c:v>
                </c:pt>
                <c:pt idx="137">
                  <c:v>0.02869</c:v>
                </c:pt>
                <c:pt idx="138">
                  <c:v>0.02833</c:v>
                </c:pt>
                <c:pt idx="139">
                  <c:v>0.02795</c:v>
                </c:pt>
                <c:pt idx="140">
                  <c:v>0.02759</c:v>
                </c:pt>
                <c:pt idx="141">
                  <c:v>0.02722</c:v>
                </c:pt>
                <c:pt idx="142">
                  <c:v>0.02685</c:v>
                </c:pt>
                <c:pt idx="143">
                  <c:v>0.02648</c:v>
                </c:pt>
                <c:pt idx="144">
                  <c:v>0.02612</c:v>
                </c:pt>
                <c:pt idx="145">
                  <c:v>0.02577</c:v>
                </c:pt>
                <c:pt idx="146">
                  <c:v>0.02543</c:v>
                </c:pt>
                <c:pt idx="147">
                  <c:v>0.02509</c:v>
                </c:pt>
                <c:pt idx="148">
                  <c:v>0.02475</c:v>
                </c:pt>
                <c:pt idx="149">
                  <c:v>0.02442</c:v>
                </c:pt>
                <c:pt idx="150">
                  <c:v>0.0241</c:v>
                </c:pt>
                <c:pt idx="151">
                  <c:v>0.02378</c:v>
                </c:pt>
                <c:pt idx="152">
                  <c:v>0.02347</c:v>
                </c:pt>
                <c:pt idx="153">
                  <c:v>0.02317</c:v>
                </c:pt>
                <c:pt idx="154">
                  <c:v>0.02287</c:v>
                </c:pt>
                <c:pt idx="155">
                  <c:v>0.02257</c:v>
                </c:pt>
                <c:pt idx="156">
                  <c:v>0.02227</c:v>
                </c:pt>
                <c:pt idx="157">
                  <c:v>0.02198</c:v>
                </c:pt>
                <c:pt idx="158">
                  <c:v>0.02169</c:v>
                </c:pt>
                <c:pt idx="159">
                  <c:v>0.02141</c:v>
                </c:pt>
                <c:pt idx="160">
                  <c:v>0.02113</c:v>
                </c:pt>
                <c:pt idx="161">
                  <c:v>0.02085</c:v>
                </c:pt>
                <c:pt idx="162">
                  <c:v>0.02058</c:v>
                </c:pt>
                <c:pt idx="163">
                  <c:v>0.02032</c:v>
                </c:pt>
                <c:pt idx="164">
                  <c:v>0.02006</c:v>
                </c:pt>
                <c:pt idx="165">
                  <c:v>0.0198</c:v>
                </c:pt>
                <c:pt idx="166">
                  <c:v>0.01955</c:v>
                </c:pt>
                <c:pt idx="167">
                  <c:v>0.01931</c:v>
                </c:pt>
                <c:pt idx="168">
                  <c:v>0.01907</c:v>
                </c:pt>
                <c:pt idx="169">
                  <c:v>0.01884</c:v>
                </c:pt>
                <c:pt idx="170">
                  <c:v>0.01861</c:v>
                </c:pt>
                <c:pt idx="171">
                  <c:v>0.01838</c:v>
                </c:pt>
                <c:pt idx="172">
                  <c:v>0.01816</c:v>
                </c:pt>
                <c:pt idx="173">
                  <c:v>0.01795</c:v>
                </c:pt>
                <c:pt idx="174">
                  <c:v>0.01774</c:v>
                </c:pt>
                <c:pt idx="175">
                  <c:v>0.01753</c:v>
                </c:pt>
                <c:pt idx="176">
                  <c:v>0.01733</c:v>
                </c:pt>
                <c:pt idx="177">
                  <c:v>0.01713</c:v>
                </c:pt>
                <c:pt idx="178">
                  <c:v>0.01693</c:v>
                </c:pt>
                <c:pt idx="179">
                  <c:v>0.01674</c:v>
                </c:pt>
                <c:pt idx="180">
                  <c:v>0.01655</c:v>
                </c:pt>
                <c:pt idx="181">
                  <c:v>0.01637</c:v>
                </c:pt>
                <c:pt idx="182">
                  <c:v>0.01619</c:v>
                </c:pt>
                <c:pt idx="183">
                  <c:v>0.01601</c:v>
                </c:pt>
                <c:pt idx="184">
                  <c:v>0.01583</c:v>
                </c:pt>
                <c:pt idx="185">
                  <c:v>0.01566</c:v>
                </c:pt>
                <c:pt idx="186">
                  <c:v>0.01548</c:v>
                </c:pt>
                <c:pt idx="187">
                  <c:v>0.01532</c:v>
                </c:pt>
                <c:pt idx="188">
                  <c:v>0.01516</c:v>
                </c:pt>
                <c:pt idx="189">
                  <c:v>0.015</c:v>
                </c:pt>
                <c:pt idx="190">
                  <c:v>0.01485</c:v>
                </c:pt>
                <c:pt idx="191">
                  <c:v>0.01469</c:v>
                </c:pt>
                <c:pt idx="192">
                  <c:v>0.01454</c:v>
                </c:pt>
                <c:pt idx="193">
                  <c:v>0.01439</c:v>
                </c:pt>
                <c:pt idx="194">
                  <c:v>0.01425</c:v>
                </c:pt>
                <c:pt idx="195">
                  <c:v>0.01411</c:v>
                </c:pt>
                <c:pt idx="196">
                  <c:v>0.01398</c:v>
                </c:pt>
                <c:pt idx="197">
                  <c:v>0.01385</c:v>
                </c:pt>
                <c:pt idx="198">
                  <c:v>0.01373</c:v>
                </c:pt>
                <c:pt idx="199">
                  <c:v>0.0136</c:v>
                </c:pt>
                <c:pt idx="200">
                  <c:v>0.01348</c:v>
                </c:pt>
                <c:pt idx="201">
                  <c:v>0.01337</c:v>
                </c:pt>
                <c:pt idx="202">
                  <c:v>0.01327</c:v>
                </c:pt>
                <c:pt idx="203">
                  <c:v>0.01317</c:v>
                </c:pt>
                <c:pt idx="204">
                  <c:v>0.01307</c:v>
                </c:pt>
                <c:pt idx="205">
                  <c:v>0.01298</c:v>
                </c:pt>
                <c:pt idx="206">
                  <c:v>0.01289</c:v>
                </c:pt>
                <c:pt idx="207">
                  <c:v>0.01281</c:v>
                </c:pt>
                <c:pt idx="208">
                  <c:v>0.01272</c:v>
                </c:pt>
                <c:pt idx="209">
                  <c:v>0.01264</c:v>
                </c:pt>
                <c:pt idx="210">
                  <c:v>0.01256</c:v>
                </c:pt>
                <c:pt idx="211">
                  <c:v>0.01248</c:v>
                </c:pt>
                <c:pt idx="212">
                  <c:v>0.0124</c:v>
                </c:pt>
                <c:pt idx="213">
                  <c:v>0.01233</c:v>
                </c:pt>
                <c:pt idx="214">
                  <c:v>0.01225</c:v>
                </c:pt>
                <c:pt idx="215">
                  <c:v>0.01217</c:v>
                </c:pt>
                <c:pt idx="216">
                  <c:v>0.0121</c:v>
                </c:pt>
                <c:pt idx="217">
                  <c:v>0.01202</c:v>
                </c:pt>
                <c:pt idx="218">
                  <c:v>0.01195</c:v>
                </c:pt>
                <c:pt idx="219">
                  <c:v>0.01188</c:v>
                </c:pt>
                <c:pt idx="220">
                  <c:v>0.01181</c:v>
                </c:pt>
                <c:pt idx="221">
                  <c:v>0.01173</c:v>
                </c:pt>
                <c:pt idx="222">
                  <c:v>0.01166</c:v>
                </c:pt>
                <c:pt idx="223">
                  <c:v>0.01159</c:v>
                </c:pt>
                <c:pt idx="224">
                  <c:v>0.01152</c:v>
                </c:pt>
                <c:pt idx="225">
                  <c:v>0.01146</c:v>
                </c:pt>
                <c:pt idx="226">
                  <c:v>0.01139</c:v>
                </c:pt>
                <c:pt idx="227">
                  <c:v>0.01132</c:v>
                </c:pt>
                <c:pt idx="228">
                  <c:v>0.01125</c:v>
                </c:pt>
                <c:pt idx="229">
                  <c:v>0.01119</c:v>
                </c:pt>
                <c:pt idx="230">
                  <c:v>0.01112</c:v>
                </c:pt>
                <c:pt idx="231">
                  <c:v>0.01106</c:v>
                </c:pt>
                <c:pt idx="232">
                  <c:v>0.01099</c:v>
                </c:pt>
                <c:pt idx="233">
                  <c:v>0.01093</c:v>
                </c:pt>
                <c:pt idx="234">
                  <c:v>0.01087</c:v>
                </c:pt>
                <c:pt idx="235">
                  <c:v>0.0108</c:v>
                </c:pt>
                <c:pt idx="236">
                  <c:v>0.01074</c:v>
                </c:pt>
                <c:pt idx="237">
                  <c:v>0.01068</c:v>
                </c:pt>
                <c:pt idx="238">
                  <c:v>0.01062</c:v>
                </c:pt>
                <c:pt idx="239">
                  <c:v>0.01056</c:v>
                </c:pt>
                <c:pt idx="240">
                  <c:v>0.0105</c:v>
                </c:pt>
                <c:pt idx="241">
                  <c:v>0.01044</c:v>
                </c:pt>
                <c:pt idx="242">
                  <c:v>0.01039</c:v>
                </c:pt>
                <c:pt idx="243">
                  <c:v>0.01033</c:v>
                </c:pt>
                <c:pt idx="244">
                  <c:v>0.01027</c:v>
                </c:pt>
                <c:pt idx="245">
                  <c:v>0.01021</c:v>
                </c:pt>
                <c:pt idx="246">
                  <c:v>0.01016</c:v>
                </c:pt>
                <c:pt idx="247">
                  <c:v>0.0101</c:v>
                </c:pt>
                <c:pt idx="248">
                  <c:v>0.01005</c:v>
                </c:pt>
                <c:pt idx="249">
                  <c:v>0.009993</c:v>
                </c:pt>
                <c:pt idx="250">
                  <c:v>0.009939</c:v>
                </c:pt>
                <c:pt idx="251">
                  <c:v>0.009885</c:v>
                </c:pt>
                <c:pt idx="252">
                  <c:v>0.009832</c:v>
                </c:pt>
                <c:pt idx="253">
                  <c:v>0.009779</c:v>
                </c:pt>
                <c:pt idx="254">
                  <c:v>0.009727</c:v>
                </c:pt>
                <c:pt idx="255">
                  <c:v>0.009675</c:v>
                </c:pt>
                <c:pt idx="256">
                  <c:v>0.009622</c:v>
                </c:pt>
                <c:pt idx="257">
                  <c:v>0.00957</c:v>
                </c:pt>
                <c:pt idx="258">
                  <c:v>0.009518</c:v>
                </c:pt>
                <c:pt idx="259">
                  <c:v>0.009467</c:v>
                </c:pt>
                <c:pt idx="260">
                  <c:v>0.009416</c:v>
                </c:pt>
                <c:pt idx="261">
                  <c:v>0.009363</c:v>
                </c:pt>
                <c:pt idx="262">
                  <c:v>0.009311</c:v>
                </c:pt>
                <c:pt idx="263">
                  <c:v>0.009259</c:v>
                </c:pt>
                <c:pt idx="264">
                  <c:v>0.009206</c:v>
                </c:pt>
                <c:pt idx="265">
                  <c:v>0.009155</c:v>
                </c:pt>
                <c:pt idx="266">
                  <c:v>0.009104</c:v>
                </c:pt>
                <c:pt idx="267">
                  <c:v>0.009054</c:v>
                </c:pt>
                <c:pt idx="268">
                  <c:v>0.009004</c:v>
                </c:pt>
                <c:pt idx="269">
                  <c:v>0.008953</c:v>
                </c:pt>
                <c:pt idx="270">
                  <c:v>0.008902</c:v>
                </c:pt>
                <c:pt idx="271">
                  <c:v>0.008851</c:v>
                </c:pt>
                <c:pt idx="272">
                  <c:v>0.008801</c:v>
                </c:pt>
                <c:pt idx="273">
                  <c:v>0.00875</c:v>
                </c:pt>
                <c:pt idx="274">
                  <c:v>0.0087</c:v>
                </c:pt>
                <c:pt idx="275">
                  <c:v>0.008649</c:v>
                </c:pt>
                <c:pt idx="276">
                  <c:v>0.008597</c:v>
                </c:pt>
                <c:pt idx="277">
                  <c:v>0.008546</c:v>
                </c:pt>
                <c:pt idx="278">
                  <c:v>0.008494</c:v>
                </c:pt>
                <c:pt idx="279">
                  <c:v>0.008442</c:v>
                </c:pt>
                <c:pt idx="280">
                  <c:v>0.008391</c:v>
                </c:pt>
                <c:pt idx="281">
                  <c:v>0.008341</c:v>
                </c:pt>
                <c:pt idx="282">
                  <c:v>0.00829</c:v>
                </c:pt>
                <c:pt idx="283">
                  <c:v>0.008241</c:v>
                </c:pt>
                <c:pt idx="284">
                  <c:v>0.008192</c:v>
                </c:pt>
                <c:pt idx="285">
                  <c:v>0.008143</c:v>
                </c:pt>
                <c:pt idx="286">
                  <c:v>0.008094</c:v>
                </c:pt>
                <c:pt idx="287">
                  <c:v>0.008046</c:v>
                </c:pt>
                <c:pt idx="288">
                  <c:v>0.007999</c:v>
                </c:pt>
                <c:pt idx="289">
                  <c:v>0.007952</c:v>
                </c:pt>
                <c:pt idx="290">
                  <c:v>0.007905</c:v>
                </c:pt>
                <c:pt idx="291">
                  <c:v>0.007859</c:v>
                </c:pt>
                <c:pt idx="292">
                  <c:v>0.007813</c:v>
                </c:pt>
                <c:pt idx="293">
                  <c:v>0.007767</c:v>
                </c:pt>
                <c:pt idx="294">
                  <c:v>0.007722</c:v>
                </c:pt>
                <c:pt idx="295">
                  <c:v>0.007678</c:v>
                </c:pt>
                <c:pt idx="296">
                  <c:v>0.007633</c:v>
                </c:pt>
                <c:pt idx="297">
                  <c:v>0.00759</c:v>
                </c:pt>
                <c:pt idx="298">
                  <c:v>0.007546</c:v>
                </c:pt>
                <c:pt idx="299">
                  <c:v>0.007503</c:v>
                </c:pt>
                <c:pt idx="300">
                  <c:v>0.007461</c:v>
                </c:pt>
                <c:pt idx="301">
                  <c:v>0.007418</c:v>
                </c:pt>
                <c:pt idx="302">
                  <c:v>0.007377</c:v>
                </c:pt>
                <c:pt idx="303">
                  <c:v>0.007335</c:v>
                </c:pt>
                <c:pt idx="304">
                  <c:v>0.007294</c:v>
                </c:pt>
                <c:pt idx="305">
                  <c:v>0.007254</c:v>
                </c:pt>
                <c:pt idx="306">
                  <c:v>0.007213</c:v>
                </c:pt>
                <c:pt idx="307">
                  <c:v>0.007173</c:v>
                </c:pt>
                <c:pt idx="308">
                  <c:v>0.007134</c:v>
                </c:pt>
                <c:pt idx="309">
                  <c:v>0.007094</c:v>
                </c:pt>
                <c:pt idx="310">
                  <c:v>0.007056</c:v>
                </c:pt>
                <c:pt idx="311">
                  <c:v>0.007017</c:v>
                </c:pt>
                <c:pt idx="312">
                  <c:v>0.006979</c:v>
                </c:pt>
                <c:pt idx="313">
                  <c:v>0.006941</c:v>
                </c:pt>
                <c:pt idx="314">
                  <c:v>0.006904</c:v>
                </c:pt>
                <c:pt idx="315">
                  <c:v>0.006867</c:v>
                </c:pt>
                <c:pt idx="316">
                  <c:v>0.00683</c:v>
                </c:pt>
                <c:pt idx="317">
                  <c:v>0.006793</c:v>
                </c:pt>
                <c:pt idx="318">
                  <c:v>0.006756</c:v>
                </c:pt>
                <c:pt idx="319">
                  <c:v>0.00672</c:v>
                </c:pt>
                <c:pt idx="320">
                  <c:v>0.006684</c:v>
                </c:pt>
                <c:pt idx="321">
                  <c:v>0.006648</c:v>
                </c:pt>
                <c:pt idx="322">
                  <c:v>0.006613</c:v>
                </c:pt>
                <c:pt idx="323">
                  <c:v>0.006577</c:v>
                </c:pt>
                <c:pt idx="324">
                  <c:v>0.006541</c:v>
                </c:pt>
                <c:pt idx="325">
                  <c:v>0.006506</c:v>
                </c:pt>
                <c:pt idx="326">
                  <c:v>0.00647</c:v>
                </c:pt>
              </c:numCache>
            </c:numRef>
          </c:xVal>
          <c:yVal>
            <c:numRef>
              <c:f>'28DB1- in1'!$AJ$5:$AJ$331</c:f>
              <c:numCache>
                <c:formatCode>0.00E+00</c:formatCode>
                <c:ptCount val="327"/>
                <c:pt idx="0">
                  <c:v>0.0004351</c:v>
                </c:pt>
                <c:pt idx="1">
                  <c:v>0.0004303</c:v>
                </c:pt>
                <c:pt idx="2">
                  <c:v>0.0004253</c:v>
                </c:pt>
                <c:pt idx="3">
                  <c:v>0.0004214</c:v>
                </c:pt>
                <c:pt idx="4">
                  <c:v>0.0004183</c:v>
                </c:pt>
                <c:pt idx="5">
                  <c:v>0.0003803</c:v>
                </c:pt>
                <c:pt idx="6">
                  <c:v>0.0003803</c:v>
                </c:pt>
                <c:pt idx="7">
                  <c:v>0.0003803</c:v>
                </c:pt>
                <c:pt idx="8">
                  <c:v>0.000302</c:v>
                </c:pt>
                <c:pt idx="9">
                  <c:v>0.0002172</c:v>
                </c:pt>
                <c:pt idx="10">
                  <c:v>0.0001725</c:v>
                </c:pt>
                <c:pt idx="11">
                  <c:v>0.000143</c:v>
                </c:pt>
                <c:pt idx="12">
                  <c:v>0.0001064</c:v>
                </c:pt>
                <c:pt idx="13">
                  <c:v>7.096E-5</c:v>
                </c:pt>
                <c:pt idx="14">
                  <c:v>3.549E-5</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0.0</c:v>
                </c:pt>
                <c:pt idx="45">
                  <c:v>0.0</c:v>
                </c:pt>
                <c:pt idx="46">
                  <c:v>0.0</c:v>
                </c:pt>
                <c:pt idx="47">
                  <c:v>0.0</c:v>
                </c:pt>
                <c:pt idx="48">
                  <c:v>0.0</c:v>
                </c:pt>
                <c:pt idx="49">
                  <c:v>0.0</c:v>
                </c:pt>
                <c:pt idx="50">
                  <c:v>0.0</c:v>
                </c:pt>
                <c:pt idx="51">
                  <c:v>0.0</c:v>
                </c:pt>
                <c:pt idx="52">
                  <c:v>0.0</c:v>
                </c:pt>
                <c:pt idx="53">
                  <c:v>0.0</c:v>
                </c:pt>
                <c:pt idx="54">
                  <c:v>0.0</c:v>
                </c:pt>
                <c:pt idx="55">
                  <c:v>0.0</c:v>
                </c:pt>
                <c:pt idx="56">
                  <c:v>0.0</c:v>
                </c:pt>
                <c:pt idx="57">
                  <c:v>0.0</c:v>
                </c:pt>
                <c:pt idx="58">
                  <c:v>0.0</c:v>
                </c:pt>
                <c:pt idx="59">
                  <c:v>3.449E-5</c:v>
                </c:pt>
                <c:pt idx="60">
                  <c:v>8.61400000000001E-5</c:v>
                </c:pt>
                <c:pt idx="61">
                  <c:v>0.0001398</c:v>
                </c:pt>
                <c:pt idx="62">
                  <c:v>0.0002135</c:v>
                </c:pt>
                <c:pt idx="63">
                  <c:v>0.0002898</c:v>
                </c:pt>
                <c:pt idx="64">
                  <c:v>0.000388</c:v>
                </c:pt>
                <c:pt idx="65">
                  <c:v>0.000489</c:v>
                </c:pt>
                <c:pt idx="66">
                  <c:v>0.0006129</c:v>
                </c:pt>
                <c:pt idx="67">
                  <c:v>0.0007817</c:v>
                </c:pt>
                <c:pt idx="68">
                  <c:v>0.0009556</c:v>
                </c:pt>
                <c:pt idx="69">
                  <c:v>0.001134</c:v>
                </c:pt>
                <c:pt idx="70">
                  <c:v>0.001236</c:v>
                </c:pt>
                <c:pt idx="71">
                  <c:v>0.0013</c:v>
                </c:pt>
                <c:pt idx="72">
                  <c:v>0.001389</c:v>
                </c:pt>
                <c:pt idx="73">
                  <c:v>0.001462</c:v>
                </c:pt>
                <c:pt idx="74">
                  <c:v>0.001585</c:v>
                </c:pt>
                <c:pt idx="75">
                  <c:v>0.001665</c:v>
                </c:pt>
                <c:pt idx="76">
                  <c:v>0.001773</c:v>
                </c:pt>
                <c:pt idx="77">
                  <c:v>0.001837</c:v>
                </c:pt>
                <c:pt idx="78">
                  <c:v>0.001834</c:v>
                </c:pt>
                <c:pt idx="79">
                  <c:v>0.001853</c:v>
                </c:pt>
                <c:pt idx="80">
                  <c:v>0.001904</c:v>
                </c:pt>
                <c:pt idx="81">
                  <c:v>0.002031</c:v>
                </c:pt>
                <c:pt idx="82">
                  <c:v>0.002187</c:v>
                </c:pt>
                <c:pt idx="83">
                  <c:v>0.002319</c:v>
                </c:pt>
                <c:pt idx="84">
                  <c:v>0.002453</c:v>
                </c:pt>
                <c:pt idx="85">
                  <c:v>0.002505</c:v>
                </c:pt>
                <c:pt idx="86">
                  <c:v>0.002615</c:v>
                </c:pt>
                <c:pt idx="87">
                  <c:v>0.002737</c:v>
                </c:pt>
                <c:pt idx="88">
                  <c:v>0.002887</c:v>
                </c:pt>
                <c:pt idx="89">
                  <c:v>0.003069</c:v>
                </c:pt>
                <c:pt idx="90">
                  <c:v>0.00323</c:v>
                </c:pt>
                <c:pt idx="91">
                  <c:v>0.003364</c:v>
                </c:pt>
                <c:pt idx="92">
                  <c:v>0.003434</c:v>
                </c:pt>
                <c:pt idx="93">
                  <c:v>0.003541</c:v>
                </c:pt>
                <c:pt idx="94">
                  <c:v>0.003691</c:v>
                </c:pt>
                <c:pt idx="95">
                  <c:v>0.003804</c:v>
                </c:pt>
                <c:pt idx="96">
                  <c:v>0.003915</c:v>
                </c:pt>
                <c:pt idx="97">
                  <c:v>0.00399</c:v>
                </c:pt>
                <c:pt idx="98">
                  <c:v>0.003983</c:v>
                </c:pt>
                <c:pt idx="99">
                  <c:v>0.004007</c:v>
                </c:pt>
                <c:pt idx="100">
                  <c:v>0.004062</c:v>
                </c:pt>
                <c:pt idx="101">
                  <c:v>0.004173</c:v>
                </c:pt>
                <c:pt idx="102">
                  <c:v>0.004282</c:v>
                </c:pt>
                <c:pt idx="103">
                  <c:v>0.004474</c:v>
                </c:pt>
                <c:pt idx="104">
                  <c:v>0.004629</c:v>
                </c:pt>
                <c:pt idx="105">
                  <c:v>0.004759</c:v>
                </c:pt>
                <c:pt idx="106">
                  <c:v>0.004918</c:v>
                </c:pt>
                <c:pt idx="107">
                  <c:v>0.005225</c:v>
                </c:pt>
                <c:pt idx="108">
                  <c:v>0.005602</c:v>
                </c:pt>
                <c:pt idx="109">
                  <c:v>0.006048</c:v>
                </c:pt>
                <c:pt idx="110">
                  <c:v>0.006485</c:v>
                </c:pt>
                <c:pt idx="111">
                  <c:v>0.006853</c:v>
                </c:pt>
                <c:pt idx="112">
                  <c:v>0.007146</c:v>
                </c:pt>
                <c:pt idx="113">
                  <c:v>0.007394</c:v>
                </c:pt>
                <c:pt idx="114">
                  <c:v>0.007594</c:v>
                </c:pt>
                <c:pt idx="115">
                  <c:v>0.007851</c:v>
                </c:pt>
                <c:pt idx="116">
                  <c:v>0.0081</c:v>
                </c:pt>
                <c:pt idx="117">
                  <c:v>0.008383</c:v>
                </c:pt>
                <c:pt idx="118">
                  <c:v>0.008439</c:v>
                </c:pt>
                <c:pt idx="119">
                  <c:v>0.008369</c:v>
                </c:pt>
                <c:pt idx="120">
                  <c:v>0.008216</c:v>
                </c:pt>
                <c:pt idx="121">
                  <c:v>0.008041</c:v>
                </c:pt>
                <c:pt idx="122">
                  <c:v>0.007902</c:v>
                </c:pt>
                <c:pt idx="123">
                  <c:v>0.007735</c:v>
                </c:pt>
                <c:pt idx="124">
                  <c:v>0.007742</c:v>
                </c:pt>
                <c:pt idx="125">
                  <c:v>0.00767</c:v>
                </c:pt>
                <c:pt idx="126">
                  <c:v>0.007475</c:v>
                </c:pt>
                <c:pt idx="127">
                  <c:v>0.007207</c:v>
                </c:pt>
                <c:pt idx="128">
                  <c:v>0.006967</c:v>
                </c:pt>
                <c:pt idx="129">
                  <c:v>0.006845</c:v>
                </c:pt>
                <c:pt idx="130">
                  <c:v>0.006783</c:v>
                </c:pt>
                <c:pt idx="131">
                  <c:v>0.006853</c:v>
                </c:pt>
                <c:pt idx="132">
                  <c:v>0.006919</c:v>
                </c:pt>
                <c:pt idx="133">
                  <c:v>0.00711</c:v>
                </c:pt>
                <c:pt idx="134">
                  <c:v>0.007347</c:v>
                </c:pt>
                <c:pt idx="135">
                  <c:v>0.007525</c:v>
                </c:pt>
                <c:pt idx="136">
                  <c:v>0.007885</c:v>
                </c:pt>
                <c:pt idx="137">
                  <c:v>0.00835</c:v>
                </c:pt>
                <c:pt idx="138">
                  <c:v>0.008869</c:v>
                </c:pt>
                <c:pt idx="139">
                  <c:v>0.009337</c:v>
                </c:pt>
                <c:pt idx="140">
                  <c:v>0.009874</c:v>
                </c:pt>
                <c:pt idx="141">
                  <c:v>0.01048</c:v>
                </c:pt>
                <c:pt idx="142">
                  <c:v>0.01106</c:v>
                </c:pt>
                <c:pt idx="143">
                  <c:v>0.01163</c:v>
                </c:pt>
                <c:pt idx="144">
                  <c:v>0.01207</c:v>
                </c:pt>
                <c:pt idx="145">
                  <c:v>0.01253</c:v>
                </c:pt>
                <c:pt idx="146">
                  <c:v>0.01284</c:v>
                </c:pt>
                <c:pt idx="147">
                  <c:v>0.0131</c:v>
                </c:pt>
                <c:pt idx="148">
                  <c:v>0.01318</c:v>
                </c:pt>
                <c:pt idx="149">
                  <c:v>0.01334</c:v>
                </c:pt>
                <c:pt idx="150">
                  <c:v>0.01347</c:v>
                </c:pt>
                <c:pt idx="151">
                  <c:v>0.01358</c:v>
                </c:pt>
                <c:pt idx="152">
                  <c:v>0.01361</c:v>
                </c:pt>
                <c:pt idx="153">
                  <c:v>0.0136</c:v>
                </c:pt>
                <c:pt idx="154">
                  <c:v>0.01368</c:v>
                </c:pt>
                <c:pt idx="155">
                  <c:v>0.01373</c:v>
                </c:pt>
                <c:pt idx="156">
                  <c:v>0.01376</c:v>
                </c:pt>
                <c:pt idx="157">
                  <c:v>0.01385</c:v>
                </c:pt>
                <c:pt idx="158">
                  <c:v>0.01381</c:v>
                </c:pt>
                <c:pt idx="159">
                  <c:v>0.01391</c:v>
                </c:pt>
                <c:pt idx="160">
                  <c:v>0.01394</c:v>
                </c:pt>
                <c:pt idx="161">
                  <c:v>0.01393</c:v>
                </c:pt>
                <c:pt idx="162">
                  <c:v>0.01382</c:v>
                </c:pt>
                <c:pt idx="163">
                  <c:v>0.01364</c:v>
                </c:pt>
                <c:pt idx="164">
                  <c:v>0.01346</c:v>
                </c:pt>
                <c:pt idx="165">
                  <c:v>0.01305</c:v>
                </c:pt>
                <c:pt idx="166">
                  <c:v>0.01264</c:v>
                </c:pt>
                <c:pt idx="167">
                  <c:v>0.01208</c:v>
                </c:pt>
                <c:pt idx="168">
                  <c:v>0.01139</c:v>
                </c:pt>
                <c:pt idx="169">
                  <c:v>0.01079</c:v>
                </c:pt>
                <c:pt idx="170">
                  <c:v>0.01026</c:v>
                </c:pt>
                <c:pt idx="171">
                  <c:v>0.00966</c:v>
                </c:pt>
                <c:pt idx="172">
                  <c:v>0.009194</c:v>
                </c:pt>
                <c:pt idx="173">
                  <c:v>0.008717</c:v>
                </c:pt>
                <c:pt idx="174">
                  <c:v>0.008243</c:v>
                </c:pt>
                <c:pt idx="175">
                  <c:v>0.007691</c:v>
                </c:pt>
                <c:pt idx="176">
                  <c:v>0.007194</c:v>
                </c:pt>
                <c:pt idx="177">
                  <c:v>0.006759</c:v>
                </c:pt>
                <c:pt idx="178">
                  <c:v>0.006459</c:v>
                </c:pt>
                <c:pt idx="179">
                  <c:v>0.006291</c:v>
                </c:pt>
                <c:pt idx="180">
                  <c:v>0.006045</c:v>
                </c:pt>
                <c:pt idx="181">
                  <c:v>0.005648</c:v>
                </c:pt>
                <c:pt idx="182">
                  <c:v>0.005239</c:v>
                </c:pt>
                <c:pt idx="183">
                  <c:v>0.004675</c:v>
                </c:pt>
                <c:pt idx="184">
                  <c:v>0.004258</c:v>
                </c:pt>
                <c:pt idx="185">
                  <c:v>0.003993</c:v>
                </c:pt>
                <c:pt idx="186">
                  <c:v>0.003961</c:v>
                </c:pt>
                <c:pt idx="187">
                  <c:v>0.004237</c:v>
                </c:pt>
                <c:pt idx="188">
                  <c:v>0.004597</c:v>
                </c:pt>
                <c:pt idx="189">
                  <c:v>0.005028</c:v>
                </c:pt>
                <c:pt idx="190">
                  <c:v>0.005626</c:v>
                </c:pt>
                <c:pt idx="191">
                  <c:v>0.00637</c:v>
                </c:pt>
                <c:pt idx="192">
                  <c:v>0.007396</c:v>
                </c:pt>
                <c:pt idx="193">
                  <c:v>0.008554</c:v>
                </c:pt>
                <c:pt idx="194">
                  <c:v>0.009856</c:v>
                </c:pt>
                <c:pt idx="195">
                  <c:v>0.01105</c:v>
                </c:pt>
                <c:pt idx="196">
                  <c:v>0.01224</c:v>
                </c:pt>
                <c:pt idx="197">
                  <c:v>0.01325</c:v>
                </c:pt>
                <c:pt idx="198">
                  <c:v>0.01401</c:v>
                </c:pt>
                <c:pt idx="199">
                  <c:v>0.01474</c:v>
                </c:pt>
                <c:pt idx="200">
                  <c:v>0.01548</c:v>
                </c:pt>
                <c:pt idx="201">
                  <c:v>0.01583</c:v>
                </c:pt>
                <c:pt idx="202">
                  <c:v>0.0162</c:v>
                </c:pt>
                <c:pt idx="203">
                  <c:v>0.01608</c:v>
                </c:pt>
                <c:pt idx="204">
                  <c:v>0.01602</c:v>
                </c:pt>
                <c:pt idx="205">
                  <c:v>0.0159</c:v>
                </c:pt>
                <c:pt idx="206">
                  <c:v>0.01581</c:v>
                </c:pt>
                <c:pt idx="207">
                  <c:v>0.01561</c:v>
                </c:pt>
                <c:pt idx="208">
                  <c:v>0.01516</c:v>
                </c:pt>
                <c:pt idx="209">
                  <c:v>0.0145</c:v>
                </c:pt>
                <c:pt idx="210">
                  <c:v>0.01366</c:v>
                </c:pt>
                <c:pt idx="211">
                  <c:v>0.01274</c:v>
                </c:pt>
                <c:pt idx="212">
                  <c:v>0.01208</c:v>
                </c:pt>
                <c:pt idx="213">
                  <c:v>0.01134</c:v>
                </c:pt>
                <c:pt idx="214">
                  <c:v>0.01106</c:v>
                </c:pt>
                <c:pt idx="215">
                  <c:v>0.01054</c:v>
                </c:pt>
                <c:pt idx="216">
                  <c:v>0.01021</c:v>
                </c:pt>
                <c:pt idx="217">
                  <c:v>0.009888</c:v>
                </c:pt>
                <c:pt idx="218">
                  <c:v>0.009451</c:v>
                </c:pt>
                <c:pt idx="219">
                  <c:v>0.009724</c:v>
                </c:pt>
                <c:pt idx="220">
                  <c:v>0.01038</c:v>
                </c:pt>
                <c:pt idx="221">
                  <c:v>0.0113</c:v>
                </c:pt>
                <c:pt idx="222">
                  <c:v>0.01253</c:v>
                </c:pt>
                <c:pt idx="223">
                  <c:v>0.01372</c:v>
                </c:pt>
                <c:pt idx="224">
                  <c:v>0.01476</c:v>
                </c:pt>
                <c:pt idx="225">
                  <c:v>0.01547</c:v>
                </c:pt>
                <c:pt idx="226">
                  <c:v>0.01632</c:v>
                </c:pt>
                <c:pt idx="227">
                  <c:v>0.01667</c:v>
                </c:pt>
                <c:pt idx="228">
                  <c:v>0.01702</c:v>
                </c:pt>
                <c:pt idx="229">
                  <c:v>0.01751</c:v>
                </c:pt>
                <c:pt idx="230">
                  <c:v>0.01742</c:v>
                </c:pt>
                <c:pt idx="231">
                  <c:v>0.01703</c:v>
                </c:pt>
                <c:pt idx="232">
                  <c:v>0.01618</c:v>
                </c:pt>
                <c:pt idx="233">
                  <c:v>0.01455</c:v>
                </c:pt>
                <c:pt idx="234">
                  <c:v>0.01292</c:v>
                </c:pt>
                <c:pt idx="235">
                  <c:v>0.01144</c:v>
                </c:pt>
                <c:pt idx="236">
                  <c:v>0.01151</c:v>
                </c:pt>
                <c:pt idx="237">
                  <c:v>0.01158</c:v>
                </c:pt>
                <c:pt idx="238">
                  <c:v>0.01195</c:v>
                </c:pt>
                <c:pt idx="239">
                  <c:v>0.0125</c:v>
                </c:pt>
                <c:pt idx="240">
                  <c:v>0.01303</c:v>
                </c:pt>
                <c:pt idx="241">
                  <c:v>0.01373</c:v>
                </c:pt>
                <c:pt idx="242">
                  <c:v>0.01473</c:v>
                </c:pt>
                <c:pt idx="243">
                  <c:v>0.01606</c:v>
                </c:pt>
                <c:pt idx="244">
                  <c:v>0.01802</c:v>
                </c:pt>
                <c:pt idx="245">
                  <c:v>0.01999</c:v>
                </c:pt>
                <c:pt idx="246">
                  <c:v>0.02196</c:v>
                </c:pt>
                <c:pt idx="247">
                  <c:v>0.02105</c:v>
                </c:pt>
                <c:pt idx="248">
                  <c:v>0.02015</c:v>
                </c:pt>
                <c:pt idx="249">
                  <c:v>0.0194</c:v>
                </c:pt>
                <c:pt idx="250">
                  <c:v>0.01848</c:v>
                </c:pt>
                <c:pt idx="251">
                  <c:v>0.01773</c:v>
                </c:pt>
                <c:pt idx="252">
                  <c:v>0.01664</c:v>
                </c:pt>
                <c:pt idx="253">
                  <c:v>0.01523</c:v>
                </c:pt>
                <c:pt idx="254">
                  <c:v>0.0138</c:v>
                </c:pt>
                <c:pt idx="255">
                  <c:v>0.01203</c:v>
                </c:pt>
                <c:pt idx="256">
                  <c:v>0.01026</c:v>
                </c:pt>
                <c:pt idx="257">
                  <c:v>0.008478</c:v>
                </c:pt>
                <c:pt idx="258">
                  <c:v>0.008168</c:v>
                </c:pt>
                <c:pt idx="259">
                  <c:v>0.007857</c:v>
                </c:pt>
                <c:pt idx="260">
                  <c:v>0.007211</c:v>
                </c:pt>
                <c:pt idx="261">
                  <c:v>0.006391</c:v>
                </c:pt>
                <c:pt idx="262">
                  <c:v>0.005733</c:v>
                </c:pt>
                <c:pt idx="263">
                  <c:v>0.005724</c:v>
                </c:pt>
                <c:pt idx="264">
                  <c:v>0.006048</c:v>
                </c:pt>
                <c:pt idx="265">
                  <c:v>0.006357</c:v>
                </c:pt>
                <c:pt idx="266">
                  <c:v>0.006976</c:v>
                </c:pt>
                <c:pt idx="267">
                  <c:v>0.007884</c:v>
                </c:pt>
                <c:pt idx="268">
                  <c:v>0.009081</c:v>
                </c:pt>
                <c:pt idx="269">
                  <c:v>0.0104</c:v>
                </c:pt>
                <c:pt idx="270">
                  <c:v>0.01184</c:v>
                </c:pt>
                <c:pt idx="271">
                  <c:v>0.01357</c:v>
                </c:pt>
                <c:pt idx="272">
                  <c:v>0.01545</c:v>
                </c:pt>
                <c:pt idx="273">
                  <c:v>0.01657</c:v>
                </c:pt>
                <c:pt idx="274">
                  <c:v>0.01706</c:v>
                </c:pt>
                <c:pt idx="275">
                  <c:v>0.01723</c:v>
                </c:pt>
                <c:pt idx="276">
                  <c:v>0.01742</c:v>
                </c:pt>
                <c:pt idx="277">
                  <c:v>0.01776</c:v>
                </c:pt>
                <c:pt idx="278">
                  <c:v>0.01752</c:v>
                </c:pt>
                <c:pt idx="279">
                  <c:v>0.01685</c:v>
                </c:pt>
                <c:pt idx="280">
                  <c:v>0.01621</c:v>
                </c:pt>
                <c:pt idx="281">
                  <c:v>0.0153</c:v>
                </c:pt>
                <c:pt idx="282">
                  <c:v>0.01428</c:v>
                </c:pt>
                <c:pt idx="283">
                  <c:v>0.01328</c:v>
                </c:pt>
                <c:pt idx="284">
                  <c:v>0.01286</c:v>
                </c:pt>
                <c:pt idx="285">
                  <c:v>0.01305</c:v>
                </c:pt>
                <c:pt idx="286">
                  <c:v>0.01341</c:v>
                </c:pt>
                <c:pt idx="287">
                  <c:v>0.01408</c:v>
                </c:pt>
                <c:pt idx="288">
                  <c:v>0.014</c:v>
                </c:pt>
                <c:pt idx="289">
                  <c:v>0.01435</c:v>
                </c:pt>
                <c:pt idx="290">
                  <c:v>0.01486</c:v>
                </c:pt>
                <c:pt idx="291">
                  <c:v>0.01491</c:v>
                </c:pt>
                <c:pt idx="292">
                  <c:v>0.01509</c:v>
                </c:pt>
                <c:pt idx="293">
                  <c:v>0.01512</c:v>
                </c:pt>
                <c:pt idx="294">
                  <c:v>0.01516</c:v>
                </c:pt>
                <c:pt idx="295">
                  <c:v>0.01521</c:v>
                </c:pt>
                <c:pt idx="296">
                  <c:v>0.01463</c:v>
                </c:pt>
                <c:pt idx="297">
                  <c:v>0.01405</c:v>
                </c:pt>
                <c:pt idx="298">
                  <c:v>0.01285</c:v>
                </c:pt>
                <c:pt idx="299">
                  <c:v>0.01225</c:v>
                </c:pt>
                <c:pt idx="300">
                  <c:v>0.01152</c:v>
                </c:pt>
                <c:pt idx="301">
                  <c:v>0.01062</c:v>
                </c:pt>
                <c:pt idx="302">
                  <c:v>0.01003</c:v>
                </c:pt>
                <c:pt idx="303">
                  <c:v>0.009443</c:v>
                </c:pt>
                <c:pt idx="304">
                  <c:v>0.009003</c:v>
                </c:pt>
                <c:pt idx="305">
                  <c:v>0.008562</c:v>
                </c:pt>
                <c:pt idx="306">
                  <c:v>0.007637</c:v>
                </c:pt>
                <c:pt idx="307">
                  <c:v>0.007024</c:v>
                </c:pt>
                <c:pt idx="308">
                  <c:v>0.006409</c:v>
                </c:pt>
                <c:pt idx="309">
                  <c:v>0.006107</c:v>
                </c:pt>
                <c:pt idx="310">
                  <c:v>0.00548</c:v>
                </c:pt>
                <c:pt idx="311">
                  <c:v>0.004683</c:v>
                </c:pt>
                <c:pt idx="312">
                  <c:v>0.004042</c:v>
                </c:pt>
                <c:pt idx="313">
                  <c:v>0.003401</c:v>
                </c:pt>
                <c:pt idx="314">
                  <c:v>0.002758</c:v>
                </c:pt>
                <c:pt idx="315">
                  <c:v>0.002114</c:v>
                </c:pt>
                <c:pt idx="316">
                  <c:v>0.001467</c:v>
                </c:pt>
                <c:pt idx="317">
                  <c:v>0.001143</c:v>
                </c:pt>
                <c:pt idx="318">
                  <c:v>0.001154</c:v>
                </c:pt>
                <c:pt idx="319">
                  <c:v>0.001164</c:v>
                </c:pt>
                <c:pt idx="320">
                  <c:v>0.001175</c:v>
                </c:pt>
                <c:pt idx="321">
                  <c:v>0.001521</c:v>
                </c:pt>
                <c:pt idx="322">
                  <c:v>0.002034</c:v>
                </c:pt>
                <c:pt idx="323">
                  <c:v>0.002719</c:v>
                </c:pt>
                <c:pt idx="324">
                  <c:v>0.003405</c:v>
                </c:pt>
                <c:pt idx="325">
                  <c:v>0.004093</c:v>
                </c:pt>
                <c:pt idx="326">
                  <c:v>0.004782</c:v>
                </c:pt>
              </c:numCache>
            </c:numRef>
          </c:yVal>
          <c:smooth val="0"/>
        </c:ser>
        <c:ser>
          <c:idx val="1"/>
          <c:order val="0"/>
          <c:tx>
            <c:v>28DCS2</c:v>
          </c:tx>
          <c:spPr>
            <a:ln w="28575" cmpd="sng">
              <a:solidFill>
                <a:srgbClr val="008000"/>
              </a:solidFill>
            </a:ln>
          </c:spPr>
          <c:marker>
            <c:symbol val="none"/>
          </c:marker>
          <c:xVal>
            <c:numRef>
              <c:f>'28DB1- in1'!$C$5:$C$331</c:f>
              <c:numCache>
                <c:formatCode>0.00E+00</c:formatCode>
                <c:ptCount val="327"/>
                <c:pt idx="0">
                  <c:v>10.64</c:v>
                </c:pt>
                <c:pt idx="1">
                  <c:v>10.32</c:v>
                </c:pt>
                <c:pt idx="2">
                  <c:v>10.01</c:v>
                </c:pt>
                <c:pt idx="3">
                  <c:v>9.723999999999998</c:v>
                </c:pt>
                <c:pt idx="4">
                  <c:v>9.442</c:v>
                </c:pt>
                <c:pt idx="5">
                  <c:v>9.169</c:v>
                </c:pt>
                <c:pt idx="6">
                  <c:v>8.898000000000001</c:v>
                </c:pt>
                <c:pt idx="7">
                  <c:v>8.632</c:v>
                </c:pt>
                <c:pt idx="8">
                  <c:v>8.36</c:v>
                </c:pt>
                <c:pt idx="9">
                  <c:v>8.089</c:v>
                </c:pt>
                <c:pt idx="10">
                  <c:v>7.819999999999998</c:v>
                </c:pt>
                <c:pt idx="11">
                  <c:v>7.547</c:v>
                </c:pt>
                <c:pt idx="12">
                  <c:v>7.274</c:v>
                </c:pt>
                <c:pt idx="13">
                  <c:v>6.997</c:v>
                </c:pt>
                <c:pt idx="14">
                  <c:v>6.719</c:v>
                </c:pt>
                <c:pt idx="15">
                  <c:v>6.436</c:v>
                </c:pt>
                <c:pt idx="16">
                  <c:v>6.149</c:v>
                </c:pt>
                <c:pt idx="17">
                  <c:v>5.863999999999986</c:v>
                </c:pt>
                <c:pt idx="18">
                  <c:v>5.575</c:v>
                </c:pt>
                <c:pt idx="19">
                  <c:v>5.289</c:v>
                </c:pt>
                <c:pt idx="20">
                  <c:v>4.999</c:v>
                </c:pt>
                <c:pt idx="21">
                  <c:v>4.708</c:v>
                </c:pt>
                <c:pt idx="22">
                  <c:v>4.413</c:v>
                </c:pt>
                <c:pt idx="23">
                  <c:v>4.117999999999978</c:v>
                </c:pt>
                <c:pt idx="24">
                  <c:v>3.824</c:v>
                </c:pt>
                <c:pt idx="25">
                  <c:v>3.531</c:v>
                </c:pt>
                <c:pt idx="26">
                  <c:v>3.241</c:v>
                </c:pt>
                <c:pt idx="27">
                  <c:v>2.956999999999998</c:v>
                </c:pt>
                <c:pt idx="28">
                  <c:v>2.682</c:v>
                </c:pt>
                <c:pt idx="29">
                  <c:v>2.415999999999999</c:v>
                </c:pt>
                <c:pt idx="30">
                  <c:v>2.164</c:v>
                </c:pt>
                <c:pt idx="31">
                  <c:v>1.925999999999999</c:v>
                </c:pt>
                <c:pt idx="32">
                  <c:v>1.707</c:v>
                </c:pt>
                <c:pt idx="33">
                  <c:v>1.507</c:v>
                </c:pt>
                <c:pt idx="34">
                  <c:v>1.327</c:v>
                </c:pt>
                <c:pt idx="35">
                  <c:v>1.168</c:v>
                </c:pt>
                <c:pt idx="36">
                  <c:v>1.028</c:v>
                </c:pt>
                <c:pt idx="37">
                  <c:v>0.9076</c:v>
                </c:pt>
                <c:pt idx="38">
                  <c:v>0.804</c:v>
                </c:pt>
                <c:pt idx="39">
                  <c:v>0.7152</c:v>
                </c:pt>
                <c:pt idx="40">
                  <c:v>0.6394</c:v>
                </c:pt>
                <c:pt idx="41">
                  <c:v>0.5745</c:v>
                </c:pt>
                <c:pt idx="42">
                  <c:v>0.519</c:v>
                </c:pt>
                <c:pt idx="43">
                  <c:v>0.4714</c:v>
                </c:pt>
                <c:pt idx="44">
                  <c:v>0.4303</c:v>
                </c:pt>
                <c:pt idx="45">
                  <c:v>0.3949</c:v>
                </c:pt>
                <c:pt idx="46">
                  <c:v>0.3642</c:v>
                </c:pt>
                <c:pt idx="47">
                  <c:v>0.3374</c:v>
                </c:pt>
                <c:pt idx="48">
                  <c:v>0.3139</c:v>
                </c:pt>
                <c:pt idx="49">
                  <c:v>0.2931</c:v>
                </c:pt>
                <c:pt idx="50">
                  <c:v>0.2746</c:v>
                </c:pt>
                <c:pt idx="51">
                  <c:v>0.258</c:v>
                </c:pt>
                <c:pt idx="52">
                  <c:v>0.243</c:v>
                </c:pt>
                <c:pt idx="53">
                  <c:v>0.2295</c:v>
                </c:pt>
                <c:pt idx="54">
                  <c:v>0.2172</c:v>
                </c:pt>
                <c:pt idx="55">
                  <c:v>0.2059</c:v>
                </c:pt>
                <c:pt idx="56">
                  <c:v>0.1956</c:v>
                </c:pt>
                <c:pt idx="57">
                  <c:v>0.1861</c:v>
                </c:pt>
                <c:pt idx="58">
                  <c:v>0.1774</c:v>
                </c:pt>
                <c:pt idx="59">
                  <c:v>0.1694</c:v>
                </c:pt>
                <c:pt idx="60">
                  <c:v>0.1619</c:v>
                </c:pt>
                <c:pt idx="61">
                  <c:v>0.1549</c:v>
                </c:pt>
                <c:pt idx="62">
                  <c:v>0.1484</c:v>
                </c:pt>
                <c:pt idx="63">
                  <c:v>0.1421</c:v>
                </c:pt>
                <c:pt idx="64">
                  <c:v>0.1362</c:v>
                </c:pt>
                <c:pt idx="65">
                  <c:v>0.1308</c:v>
                </c:pt>
                <c:pt idx="66">
                  <c:v>0.1256</c:v>
                </c:pt>
                <c:pt idx="67">
                  <c:v>0.1209</c:v>
                </c:pt>
                <c:pt idx="68">
                  <c:v>0.1164</c:v>
                </c:pt>
                <c:pt idx="69">
                  <c:v>0.1121</c:v>
                </c:pt>
                <c:pt idx="70">
                  <c:v>0.1081</c:v>
                </c:pt>
                <c:pt idx="71">
                  <c:v>0.1044</c:v>
                </c:pt>
                <c:pt idx="72">
                  <c:v>0.1008</c:v>
                </c:pt>
                <c:pt idx="73">
                  <c:v>0.09751</c:v>
                </c:pt>
                <c:pt idx="74">
                  <c:v>0.09445</c:v>
                </c:pt>
                <c:pt idx="75">
                  <c:v>0.09157</c:v>
                </c:pt>
                <c:pt idx="76">
                  <c:v>0.08884</c:v>
                </c:pt>
                <c:pt idx="77">
                  <c:v>0.08626</c:v>
                </c:pt>
                <c:pt idx="78">
                  <c:v>0.08381</c:v>
                </c:pt>
                <c:pt idx="79">
                  <c:v>0.0815</c:v>
                </c:pt>
                <c:pt idx="80">
                  <c:v>0.0793</c:v>
                </c:pt>
                <c:pt idx="81">
                  <c:v>0.07717</c:v>
                </c:pt>
                <c:pt idx="82">
                  <c:v>0.07509</c:v>
                </c:pt>
                <c:pt idx="83">
                  <c:v>0.07313</c:v>
                </c:pt>
                <c:pt idx="84">
                  <c:v>0.07126</c:v>
                </c:pt>
                <c:pt idx="85">
                  <c:v>0.06948</c:v>
                </c:pt>
                <c:pt idx="86">
                  <c:v>0.06778</c:v>
                </c:pt>
                <c:pt idx="87">
                  <c:v>0.06612</c:v>
                </c:pt>
                <c:pt idx="88">
                  <c:v>0.06451</c:v>
                </c:pt>
                <c:pt idx="89">
                  <c:v>0.06293</c:v>
                </c:pt>
                <c:pt idx="90">
                  <c:v>0.0614</c:v>
                </c:pt>
                <c:pt idx="91">
                  <c:v>0.05993</c:v>
                </c:pt>
                <c:pt idx="92">
                  <c:v>0.05856</c:v>
                </c:pt>
                <c:pt idx="93">
                  <c:v>0.05725</c:v>
                </c:pt>
                <c:pt idx="94">
                  <c:v>0.05596</c:v>
                </c:pt>
                <c:pt idx="95">
                  <c:v>0.05471</c:v>
                </c:pt>
                <c:pt idx="96">
                  <c:v>0.0535</c:v>
                </c:pt>
                <c:pt idx="97">
                  <c:v>0.05233</c:v>
                </c:pt>
                <c:pt idx="98">
                  <c:v>0.05122</c:v>
                </c:pt>
                <c:pt idx="99">
                  <c:v>0.05017</c:v>
                </c:pt>
                <c:pt idx="100">
                  <c:v>0.04918</c:v>
                </c:pt>
                <c:pt idx="101">
                  <c:v>0.04825</c:v>
                </c:pt>
                <c:pt idx="102">
                  <c:v>0.04735</c:v>
                </c:pt>
                <c:pt idx="103">
                  <c:v>0.04648</c:v>
                </c:pt>
                <c:pt idx="104">
                  <c:v>0.04564</c:v>
                </c:pt>
                <c:pt idx="105">
                  <c:v>0.04484</c:v>
                </c:pt>
                <c:pt idx="106">
                  <c:v>0.04408</c:v>
                </c:pt>
                <c:pt idx="107">
                  <c:v>0.04335</c:v>
                </c:pt>
                <c:pt idx="108">
                  <c:v>0.04265</c:v>
                </c:pt>
                <c:pt idx="109">
                  <c:v>0.04198</c:v>
                </c:pt>
                <c:pt idx="110">
                  <c:v>0.04133</c:v>
                </c:pt>
                <c:pt idx="111">
                  <c:v>0.04069</c:v>
                </c:pt>
                <c:pt idx="112">
                  <c:v>0.04007</c:v>
                </c:pt>
                <c:pt idx="113">
                  <c:v>0.03947</c:v>
                </c:pt>
                <c:pt idx="114">
                  <c:v>0.03888</c:v>
                </c:pt>
                <c:pt idx="115">
                  <c:v>0.03832</c:v>
                </c:pt>
                <c:pt idx="116">
                  <c:v>0.03778</c:v>
                </c:pt>
                <c:pt idx="117">
                  <c:v>0.03725</c:v>
                </c:pt>
                <c:pt idx="118">
                  <c:v>0.03673</c:v>
                </c:pt>
                <c:pt idx="119">
                  <c:v>0.03623</c:v>
                </c:pt>
                <c:pt idx="120">
                  <c:v>0.03573</c:v>
                </c:pt>
                <c:pt idx="121">
                  <c:v>0.03525</c:v>
                </c:pt>
                <c:pt idx="122">
                  <c:v>0.03479</c:v>
                </c:pt>
                <c:pt idx="123">
                  <c:v>0.03433</c:v>
                </c:pt>
                <c:pt idx="124">
                  <c:v>0.03388</c:v>
                </c:pt>
                <c:pt idx="125">
                  <c:v>0.03344</c:v>
                </c:pt>
                <c:pt idx="126">
                  <c:v>0.03302</c:v>
                </c:pt>
                <c:pt idx="127">
                  <c:v>0.03259</c:v>
                </c:pt>
                <c:pt idx="128">
                  <c:v>0.03217</c:v>
                </c:pt>
                <c:pt idx="129">
                  <c:v>0.03177</c:v>
                </c:pt>
                <c:pt idx="130">
                  <c:v>0.03137</c:v>
                </c:pt>
                <c:pt idx="131">
                  <c:v>0.03097</c:v>
                </c:pt>
                <c:pt idx="132">
                  <c:v>0.03058</c:v>
                </c:pt>
                <c:pt idx="133">
                  <c:v>0.0302</c:v>
                </c:pt>
                <c:pt idx="134">
                  <c:v>0.02982</c:v>
                </c:pt>
                <c:pt idx="135">
                  <c:v>0.02945</c:v>
                </c:pt>
                <c:pt idx="136">
                  <c:v>0.02907</c:v>
                </c:pt>
                <c:pt idx="137">
                  <c:v>0.02869</c:v>
                </c:pt>
                <c:pt idx="138">
                  <c:v>0.02833</c:v>
                </c:pt>
                <c:pt idx="139">
                  <c:v>0.02795</c:v>
                </c:pt>
                <c:pt idx="140">
                  <c:v>0.02759</c:v>
                </c:pt>
                <c:pt idx="141">
                  <c:v>0.02722</c:v>
                </c:pt>
                <c:pt idx="142">
                  <c:v>0.02685</c:v>
                </c:pt>
                <c:pt idx="143">
                  <c:v>0.02648</c:v>
                </c:pt>
                <c:pt idx="144">
                  <c:v>0.02612</c:v>
                </c:pt>
                <c:pt idx="145">
                  <c:v>0.02577</c:v>
                </c:pt>
                <c:pt idx="146">
                  <c:v>0.02543</c:v>
                </c:pt>
                <c:pt idx="147">
                  <c:v>0.02509</c:v>
                </c:pt>
                <c:pt idx="148">
                  <c:v>0.02475</c:v>
                </c:pt>
                <c:pt idx="149">
                  <c:v>0.02442</c:v>
                </c:pt>
                <c:pt idx="150">
                  <c:v>0.0241</c:v>
                </c:pt>
                <c:pt idx="151">
                  <c:v>0.02378</c:v>
                </c:pt>
                <c:pt idx="152">
                  <c:v>0.02347</c:v>
                </c:pt>
                <c:pt idx="153">
                  <c:v>0.02317</c:v>
                </c:pt>
                <c:pt idx="154">
                  <c:v>0.02287</c:v>
                </c:pt>
                <c:pt idx="155">
                  <c:v>0.02257</c:v>
                </c:pt>
                <c:pt idx="156">
                  <c:v>0.02227</c:v>
                </c:pt>
                <c:pt idx="157">
                  <c:v>0.02198</c:v>
                </c:pt>
                <c:pt idx="158">
                  <c:v>0.02169</c:v>
                </c:pt>
                <c:pt idx="159">
                  <c:v>0.02141</c:v>
                </c:pt>
                <c:pt idx="160">
                  <c:v>0.02113</c:v>
                </c:pt>
                <c:pt idx="161">
                  <c:v>0.02085</c:v>
                </c:pt>
                <c:pt idx="162">
                  <c:v>0.02058</c:v>
                </c:pt>
                <c:pt idx="163">
                  <c:v>0.02032</c:v>
                </c:pt>
                <c:pt idx="164">
                  <c:v>0.02006</c:v>
                </c:pt>
                <c:pt idx="165">
                  <c:v>0.0198</c:v>
                </c:pt>
                <c:pt idx="166">
                  <c:v>0.01955</c:v>
                </c:pt>
                <c:pt idx="167">
                  <c:v>0.01931</c:v>
                </c:pt>
                <c:pt idx="168">
                  <c:v>0.01907</c:v>
                </c:pt>
                <c:pt idx="169">
                  <c:v>0.01884</c:v>
                </c:pt>
                <c:pt idx="170">
                  <c:v>0.01861</c:v>
                </c:pt>
                <c:pt idx="171">
                  <c:v>0.01838</c:v>
                </c:pt>
                <c:pt idx="172">
                  <c:v>0.01816</c:v>
                </c:pt>
                <c:pt idx="173">
                  <c:v>0.01795</c:v>
                </c:pt>
                <c:pt idx="174">
                  <c:v>0.01774</c:v>
                </c:pt>
                <c:pt idx="175">
                  <c:v>0.01753</c:v>
                </c:pt>
                <c:pt idx="176">
                  <c:v>0.01733</c:v>
                </c:pt>
                <c:pt idx="177">
                  <c:v>0.01713</c:v>
                </c:pt>
                <c:pt idx="178">
                  <c:v>0.01693</c:v>
                </c:pt>
                <c:pt idx="179">
                  <c:v>0.01674</c:v>
                </c:pt>
                <c:pt idx="180">
                  <c:v>0.01655</c:v>
                </c:pt>
                <c:pt idx="181">
                  <c:v>0.01637</c:v>
                </c:pt>
                <c:pt idx="182">
                  <c:v>0.01619</c:v>
                </c:pt>
                <c:pt idx="183">
                  <c:v>0.01601</c:v>
                </c:pt>
                <c:pt idx="184">
                  <c:v>0.01583</c:v>
                </c:pt>
                <c:pt idx="185">
                  <c:v>0.01566</c:v>
                </c:pt>
                <c:pt idx="186">
                  <c:v>0.01548</c:v>
                </c:pt>
                <c:pt idx="187">
                  <c:v>0.01532</c:v>
                </c:pt>
                <c:pt idx="188">
                  <c:v>0.01516</c:v>
                </c:pt>
                <c:pt idx="189">
                  <c:v>0.015</c:v>
                </c:pt>
                <c:pt idx="190">
                  <c:v>0.01485</c:v>
                </c:pt>
                <c:pt idx="191">
                  <c:v>0.01469</c:v>
                </c:pt>
                <c:pt idx="192">
                  <c:v>0.01454</c:v>
                </c:pt>
                <c:pt idx="193">
                  <c:v>0.01439</c:v>
                </c:pt>
                <c:pt idx="194">
                  <c:v>0.01425</c:v>
                </c:pt>
                <c:pt idx="195">
                  <c:v>0.01411</c:v>
                </c:pt>
                <c:pt idx="196">
                  <c:v>0.01398</c:v>
                </c:pt>
                <c:pt idx="197">
                  <c:v>0.01385</c:v>
                </c:pt>
                <c:pt idx="198">
                  <c:v>0.01373</c:v>
                </c:pt>
                <c:pt idx="199">
                  <c:v>0.0136</c:v>
                </c:pt>
                <c:pt idx="200">
                  <c:v>0.01348</c:v>
                </c:pt>
                <c:pt idx="201">
                  <c:v>0.01337</c:v>
                </c:pt>
                <c:pt idx="202">
                  <c:v>0.01327</c:v>
                </c:pt>
                <c:pt idx="203">
                  <c:v>0.01317</c:v>
                </c:pt>
                <c:pt idx="204">
                  <c:v>0.01307</c:v>
                </c:pt>
                <c:pt idx="205">
                  <c:v>0.01298</c:v>
                </c:pt>
                <c:pt idx="206">
                  <c:v>0.01289</c:v>
                </c:pt>
                <c:pt idx="207">
                  <c:v>0.01281</c:v>
                </c:pt>
                <c:pt idx="208">
                  <c:v>0.01272</c:v>
                </c:pt>
                <c:pt idx="209">
                  <c:v>0.01264</c:v>
                </c:pt>
                <c:pt idx="210">
                  <c:v>0.01256</c:v>
                </c:pt>
                <c:pt idx="211">
                  <c:v>0.01248</c:v>
                </c:pt>
                <c:pt idx="212">
                  <c:v>0.0124</c:v>
                </c:pt>
                <c:pt idx="213">
                  <c:v>0.01233</c:v>
                </c:pt>
                <c:pt idx="214">
                  <c:v>0.01225</c:v>
                </c:pt>
                <c:pt idx="215">
                  <c:v>0.01217</c:v>
                </c:pt>
                <c:pt idx="216">
                  <c:v>0.0121</c:v>
                </c:pt>
                <c:pt idx="217">
                  <c:v>0.01202</c:v>
                </c:pt>
                <c:pt idx="218">
                  <c:v>0.01195</c:v>
                </c:pt>
                <c:pt idx="219">
                  <c:v>0.01188</c:v>
                </c:pt>
                <c:pt idx="220">
                  <c:v>0.01181</c:v>
                </c:pt>
                <c:pt idx="221">
                  <c:v>0.01173</c:v>
                </c:pt>
                <c:pt idx="222">
                  <c:v>0.01166</c:v>
                </c:pt>
                <c:pt idx="223">
                  <c:v>0.01159</c:v>
                </c:pt>
                <c:pt idx="224">
                  <c:v>0.01152</c:v>
                </c:pt>
                <c:pt idx="225">
                  <c:v>0.01146</c:v>
                </c:pt>
                <c:pt idx="226">
                  <c:v>0.01139</c:v>
                </c:pt>
                <c:pt idx="227">
                  <c:v>0.01132</c:v>
                </c:pt>
                <c:pt idx="228">
                  <c:v>0.01125</c:v>
                </c:pt>
                <c:pt idx="229">
                  <c:v>0.01119</c:v>
                </c:pt>
                <c:pt idx="230">
                  <c:v>0.01112</c:v>
                </c:pt>
                <c:pt idx="231">
                  <c:v>0.01106</c:v>
                </c:pt>
                <c:pt idx="232">
                  <c:v>0.01099</c:v>
                </c:pt>
                <c:pt idx="233">
                  <c:v>0.01093</c:v>
                </c:pt>
                <c:pt idx="234">
                  <c:v>0.01087</c:v>
                </c:pt>
                <c:pt idx="235">
                  <c:v>0.0108</c:v>
                </c:pt>
                <c:pt idx="236">
                  <c:v>0.01074</c:v>
                </c:pt>
                <c:pt idx="237">
                  <c:v>0.01068</c:v>
                </c:pt>
                <c:pt idx="238">
                  <c:v>0.01062</c:v>
                </c:pt>
                <c:pt idx="239">
                  <c:v>0.01056</c:v>
                </c:pt>
                <c:pt idx="240">
                  <c:v>0.0105</c:v>
                </c:pt>
                <c:pt idx="241">
                  <c:v>0.01044</c:v>
                </c:pt>
                <c:pt idx="242">
                  <c:v>0.01039</c:v>
                </c:pt>
                <c:pt idx="243">
                  <c:v>0.01033</c:v>
                </c:pt>
                <c:pt idx="244">
                  <c:v>0.01027</c:v>
                </c:pt>
                <c:pt idx="245">
                  <c:v>0.01021</c:v>
                </c:pt>
                <c:pt idx="246">
                  <c:v>0.01016</c:v>
                </c:pt>
                <c:pt idx="247">
                  <c:v>0.0101</c:v>
                </c:pt>
                <c:pt idx="248">
                  <c:v>0.01005</c:v>
                </c:pt>
                <c:pt idx="249">
                  <c:v>0.009993</c:v>
                </c:pt>
                <c:pt idx="250">
                  <c:v>0.009939</c:v>
                </c:pt>
                <c:pt idx="251">
                  <c:v>0.009885</c:v>
                </c:pt>
                <c:pt idx="252">
                  <c:v>0.009832</c:v>
                </c:pt>
                <c:pt idx="253">
                  <c:v>0.009779</c:v>
                </c:pt>
                <c:pt idx="254">
                  <c:v>0.009727</c:v>
                </c:pt>
                <c:pt idx="255">
                  <c:v>0.009675</c:v>
                </c:pt>
                <c:pt idx="256">
                  <c:v>0.009622</c:v>
                </c:pt>
                <c:pt idx="257">
                  <c:v>0.00957</c:v>
                </c:pt>
                <c:pt idx="258">
                  <c:v>0.009518</c:v>
                </c:pt>
                <c:pt idx="259">
                  <c:v>0.009467</c:v>
                </c:pt>
                <c:pt idx="260">
                  <c:v>0.009416</c:v>
                </c:pt>
                <c:pt idx="261">
                  <c:v>0.009363</c:v>
                </c:pt>
                <c:pt idx="262">
                  <c:v>0.009311</c:v>
                </c:pt>
                <c:pt idx="263">
                  <c:v>0.009259</c:v>
                </c:pt>
                <c:pt idx="264">
                  <c:v>0.009206</c:v>
                </c:pt>
                <c:pt idx="265">
                  <c:v>0.009155</c:v>
                </c:pt>
                <c:pt idx="266">
                  <c:v>0.009104</c:v>
                </c:pt>
                <c:pt idx="267">
                  <c:v>0.009054</c:v>
                </c:pt>
                <c:pt idx="268">
                  <c:v>0.009004</c:v>
                </c:pt>
                <c:pt idx="269">
                  <c:v>0.008953</c:v>
                </c:pt>
                <c:pt idx="270">
                  <c:v>0.008902</c:v>
                </c:pt>
                <c:pt idx="271">
                  <c:v>0.008851</c:v>
                </c:pt>
                <c:pt idx="272">
                  <c:v>0.008801</c:v>
                </c:pt>
                <c:pt idx="273">
                  <c:v>0.00875</c:v>
                </c:pt>
                <c:pt idx="274">
                  <c:v>0.0087</c:v>
                </c:pt>
                <c:pt idx="275">
                  <c:v>0.008649</c:v>
                </c:pt>
                <c:pt idx="276">
                  <c:v>0.008597</c:v>
                </c:pt>
                <c:pt idx="277">
                  <c:v>0.008546</c:v>
                </c:pt>
                <c:pt idx="278">
                  <c:v>0.008494</c:v>
                </c:pt>
                <c:pt idx="279">
                  <c:v>0.008442</c:v>
                </c:pt>
                <c:pt idx="280">
                  <c:v>0.008391</c:v>
                </c:pt>
                <c:pt idx="281">
                  <c:v>0.008341</c:v>
                </c:pt>
                <c:pt idx="282">
                  <c:v>0.00829</c:v>
                </c:pt>
                <c:pt idx="283">
                  <c:v>0.008241</c:v>
                </c:pt>
                <c:pt idx="284">
                  <c:v>0.008192</c:v>
                </c:pt>
                <c:pt idx="285">
                  <c:v>0.008143</c:v>
                </c:pt>
                <c:pt idx="286">
                  <c:v>0.008094</c:v>
                </c:pt>
                <c:pt idx="287">
                  <c:v>0.008046</c:v>
                </c:pt>
                <c:pt idx="288">
                  <c:v>0.007999</c:v>
                </c:pt>
                <c:pt idx="289">
                  <c:v>0.007952</c:v>
                </c:pt>
                <c:pt idx="290">
                  <c:v>0.007905</c:v>
                </c:pt>
                <c:pt idx="291">
                  <c:v>0.007859</c:v>
                </c:pt>
                <c:pt idx="292">
                  <c:v>0.007813</c:v>
                </c:pt>
                <c:pt idx="293">
                  <c:v>0.007767</c:v>
                </c:pt>
                <c:pt idx="294">
                  <c:v>0.007722</c:v>
                </c:pt>
                <c:pt idx="295">
                  <c:v>0.007678</c:v>
                </c:pt>
                <c:pt idx="296">
                  <c:v>0.007633</c:v>
                </c:pt>
                <c:pt idx="297">
                  <c:v>0.00759</c:v>
                </c:pt>
                <c:pt idx="298">
                  <c:v>0.007546</c:v>
                </c:pt>
                <c:pt idx="299">
                  <c:v>0.007503</c:v>
                </c:pt>
                <c:pt idx="300">
                  <c:v>0.007461</c:v>
                </c:pt>
                <c:pt idx="301">
                  <c:v>0.007418</c:v>
                </c:pt>
                <c:pt idx="302">
                  <c:v>0.007377</c:v>
                </c:pt>
                <c:pt idx="303">
                  <c:v>0.007335</c:v>
                </c:pt>
                <c:pt idx="304">
                  <c:v>0.007294</c:v>
                </c:pt>
                <c:pt idx="305">
                  <c:v>0.007254</c:v>
                </c:pt>
                <c:pt idx="306">
                  <c:v>0.007213</c:v>
                </c:pt>
                <c:pt idx="307">
                  <c:v>0.007173</c:v>
                </c:pt>
                <c:pt idx="308">
                  <c:v>0.007134</c:v>
                </c:pt>
                <c:pt idx="309">
                  <c:v>0.007094</c:v>
                </c:pt>
                <c:pt idx="310">
                  <c:v>0.007056</c:v>
                </c:pt>
                <c:pt idx="311">
                  <c:v>0.007017</c:v>
                </c:pt>
                <c:pt idx="312">
                  <c:v>0.006979</c:v>
                </c:pt>
                <c:pt idx="313">
                  <c:v>0.006941</c:v>
                </c:pt>
                <c:pt idx="314">
                  <c:v>0.006904</c:v>
                </c:pt>
                <c:pt idx="315">
                  <c:v>0.006867</c:v>
                </c:pt>
                <c:pt idx="316">
                  <c:v>0.00683</c:v>
                </c:pt>
                <c:pt idx="317">
                  <c:v>0.006793</c:v>
                </c:pt>
                <c:pt idx="318">
                  <c:v>0.006756</c:v>
                </c:pt>
                <c:pt idx="319">
                  <c:v>0.00672</c:v>
                </c:pt>
                <c:pt idx="320">
                  <c:v>0.006684</c:v>
                </c:pt>
                <c:pt idx="321">
                  <c:v>0.006648</c:v>
                </c:pt>
                <c:pt idx="322">
                  <c:v>0.006613</c:v>
                </c:pt>
                <c:pt idx="323">
                  <c:v>0.006577</c:v>
                </c:pt>
                <c:pt idx="324">
                  <c:v>0.006541</c:v>
                </c:pt>
                <c:pt idx="325">
                  <c:v>0.006506</c:v>
                </c:pt>
                <c:pt idx="326">
                  <c:v>0.00647</c:v>
                </c:pt>
              </c:numCache>
            </c:numRef>
          </c:xVal>
          <c:yVal>
            <c:numRef>
              <c:f>'28DB1- in1'!$AK$5:$AK$331</c:f>
              <c:numCache>
                <c:formatCode>0.00E+00</c:formatCode>
                <c:ptCount val="327"/>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3.644E-5</c:v>
                </c:pt>
                <c:pt idx="45">
                  <c:v>7.484E-5</c:v>
                </c:pt>
                <c:pt idx="46">
                  <c:v>0.0001153</c:v>
                </c:pt>
                <c:pt idx="47">
                  <c:v>0.0001684</c:v>
                </c:pt>
                <c:pt idx="48">
                  <c:v>0.0002241</c:v>
                </c:pt>
                <c:pt idx="49">
                  <c:v>0.0002819</c:v>
                </c:pt>
                <c:pt idx="50">
                  <c:v>0.0003423</c:v>
                </c:pt>
                <c:pt idx="51">
                  <c:v>0.0004035</c:v>
                </c:pt>
                <c:pt idx="52">
                  <c:v>0.0004673</c:v>
                </c:pt>
                <c:pt idx="53">
                  <c:v>0.000546</c:v>
                </c:pt>
                <c:pt idx="54">
                  <c:v>0.0006279</c:v>
                </c:pt>
                <c:pt idx="55">
                  <c:v>0.0006197</c:v>
                </c:pt>
                <c:pt idx="56">
                  <c:v>0.0006105</c:v>
                </c:pt>
                <c:pt idx="57">
                  <c:v>0.0006001</c:v>
                </c:pt>
                <c:pt idx="58">
                  <c:v>0.0005624</c:v>
                </c:pt>
                <c:pt idx="59">
                  <c:v>0.0005382</c:v>
                </c:pt>
                <c:pt idx="60">
                  <c:v>0.0005456</c:v>
                </c:pt>
                <c:pt idx="61">
                  <c:v>0.0005519</c:v>
                </c:pt>
                <c:pt idx="62">
                  <c:v>0.0005604</c:v>
                </c:pt>
                <c:pt idx="63">
                  <c:v>0.0005675</c:v>
                </c:pt>
                <c:pt idx="64">
                  <c:v>0.0005804</c:v>
                </c:pt>
                <c:pt idx="65">
                  <c:v>0.0005921</c:v>
                </c:pt>
                <c:pt idx="66">
                  <c:v>0.0006597</c:v>
                </c:pt>
                <c:pt idx="67">
                  <c:v>0.0007873</c:v>
                </c:pt>
                <c:pt idx="68">
                  <c:v>0.0009336</c:v>
                </c:pt>
                <c:pt idx="69">
                  <c:v>0.001139</c:v>
                </c:pt>
                <c:pt idx="70">
                  <c:v>0.001334</c:v>
                </c:pt>
                <c:pt idx="71">
                  <c:v>0.001503</c:v>
                </c:pt>
                <c:pt idx="72">
                  <c:v>0.001721</c:v>
                </c:pt>
                <c:pt idx="73">
                  <c:v>0.001967</c:v>
                </c:pt>
                <c:pt idx="74">
                  <c:v>0.00229</c:v>
                </c:pt>
                <c:pt idx="75">
                  <c:v>0.002556</c:v>
                </c:pt>
                <c:pt idx="76">
                  <c:v>0.002852</c:v>
                </c:pt>
                <c:pt idx="77">
                  <c:v>0.003206</c:v>
                </c:pt>
                <c:pt idx="78">
                  <c:v>0.003536</c:v>
                </c:pt>
                <c:pt idx="79">
                  <c:v>0.003828</c:v>
                </c:pt>
                <c:pt idx="80">
                  <c:v>0.004089</c:v>
                </c:pt>
                <c:pt idx="81">
                  <c:v>0.004327</c:v>
                </c:pt>
                <c:pt idx="82">
                  <c:v>0.00457</c:v>
                </c:pt>
                <c:pt idx="83">
                  <c:v>0.004742</c:v>
                </c:pt>
                <c:pt idx="84">
                  <c:v>0.004894</c:v>
                </c:pt>
                <c:pt idx="85">
                  <c:v>0.004966</c:v>
                </c:pt>
                <c:pt idx="86">
                  <c:v>0.005103</c:v>
                </c:pt>
                <c:pt idx="87">
                  <c:v>0.005237</c:v>
                </c:pt>
                <c:pt idx="88">
                  <c:v>0.005369</c:v>
                </c:pt>
                <c:pt idx="89">
                  <c:v>0.005418</c:v>
                </c:pt>
                <c:pt idx="90">
                  <c:v>0.005499</c:v>
                </c:pt>
                <c:pt idx="91">
                  <c:v>0.005575</c:v>
                </c:pt>
                <c:pt idx="92">
                  <c:v>0.005712</c:v>
                </c:pt>
                <c:pt idx="93">
                  <c:v>0.005772</c:v>
                </c:pt>
                <c:pt idx="94">
                  <c:v>0.005864</c:v>
                </c:pt>
                <c:pt idx="95">
                  <c:v>0.006006</c:v>
                </c:pt>
                <c:pt idx="96">
                  <c:v>0.00614</c:v>
                </c:pt>
                <c:pt idx="97">
                  <c:v>0.006411</c:v>
                </c:pt>
                <c:pt idx="98">
                  <c:v>0.006748</c:v>
                </c:pt>
                <c:pt idx="99">
                  <c:v>0.006951</c:v>
                </c:pt>
                <c:pt idx="100">
                  <c:v>0.007131</c:v>
                </c:pt>
                <c:pt idx="101">
                  <c:v>0.007328</c:v>
                </c:pt>
                <c:pt idx="102">
                  <c:v>0.007489</c:v>
                </c:pt>
                <c:pt idx="103">
                  <c:v>0.007694</c:v>
                </c:pt>
                <c:pt idx="104">
                  <c:v>0.008073</c:v>
                </c:pt>
                <c:pt idx="105">
                  <c:v>0.008494</c:v>
                </c:pt>
                <c:pt idx="106">
                  <c:v>0.008809</c:v>
                </c:pt>
                <c:pt idx="107">
                  <c:v>0.009144</c:v>
                </c:pt>
                <c:pt idx="108">
                  <c:v>0.009191</c:v>
                </c:pt>
                <c:pt idx="109">
                  <c:v>0.009063</c:v>
                </c:pt>
                <c:pt idx="110">
                  <c:v>0.009017</c:v>
                </c:pt>
                <c:pt idx="111">
                  <c:v>0.009102</c:v>
                </c:pt>
                <c:pt idx="112">
                  <c:v>0.009208</c:v>
                </c:pt>
                <c:pt idx="113">
                  <c:v>0.009299</c:v>
                </c:pt>
                <c:pt idx="114">
                  <c:v>0.009269</c:v>
                </c:pt>
                <c:pt idx="115">
                  <c:v>0.009142</c:v>
                </c:pt>
                <c:pt idx="116">
                  <c:v>0.009068</c:v>
                </c:pt>
                <c:pt idx="117">
                  <c:v>0.00915</c:v>
                </c:pt>
                <c:pt idx="118">
                  <c:v>0.009232</c:v>
                </c:pt>
                <c:pt idx="119">
                  <c:v>0.009392</c:v>
                </c:pt>
                <c:pt idx="120">
                  <c:v>0.009693</c:v>
                </c:pt>
                <c:pt idx="121">
                  <c:v>0.01005</c:v>
                </c:pt>
                <c:pt idx="122">
                  <c:v>0.01042</c:v>
                </c:pt>
                <c:pt idx="123">
                  <c:v>0.01088</c:v>
                </c:pt>
                <c:pt idx="124">
                  <c:v>0.01144</c:v>
                </c:pt>
                <c:pt idx="125">
                  <c:v>0.01206</c:v>
                </c:pt>
                <c:pt idx="126">
                  <c:v>0.01264</c:v>
                </c:pt>
                <c:pt idx="127">
                  <c:v>0.01297</c:v>
                </c:pt>
                <c:pt idx="128">
                  <c:v>0.01315</c:v>
                </c:pt>
                <c:pt idx="129">
                  <c:v>0.01327</c:v>
                </c:pt>
                <c:pt idx="130">
                  <c:v>0.01346</c:v>
                </c:pt>
                <c:pt idx="131">
                  <c:v>0.0136</c:v>
                </c:pt>
                <c:pt idx="132">
                  <c:v>0.01367</c:v>
                </c:pt>
                <c:pt idx="133">
                  <c:v>0.01364</c:v>
                </c:pt>
                <c:pt idx="134">
                  <c:v>0.01345</c:v>
                </c:pt>
                <c:pt idx="135">
                  <c:v>0.01321</c:v>
                </c:pt>
                <c:pt idx="136">
                  <c:v>0.01302</c:v>
                </c:pt>
                <c:pt idx="137">
                  <c:v>0.01285</c:v>
                </c:pt>
                <c:pt idx="138">
                  <c:v>0.01283</c:v>
                </c:pt>
                <c:pt idx="139">
                  <c:v>0.01281</c:v>
                </c:pt>
                <c:pt idx="140">
                  <c:v>0.01275</c:v>
                </c:pt>
                <c:pt idx="141">
                  <c:v>0.01272</c:v>
                </c:pt>
                <c:pt idx="142">
                  <c:v>0.01249</c:v>
                </c:pt>
                <c:pt idx="143">
                  <c:v>0.01221</c:v>
                </c:pt>
                <c:pt idx="144">
                  <c:v>0.01198</c:v>
                </c:pt>
                <c:pt idx="145">
                  <c:v>0.01164</c:v>
                </c:pt>
                <c:pt idx="146">
                  <c:v>0.01123</c:v>
                </c:pt>
                <c:pt idx="147">
                  <c:v>0.01062</c:v>
                </c:pt>
                <c:pt idx="148">
                  <c:v>0.009944</c:v>
                </c:pt>
                <c:pt idx="149">
                  <c:v>0.009227</c:v>
                </c:pt>
                <c:pt idx="150">
                  <c:v>0.008457</c:v>
                </c:pt>
                <c:pt idx="151">
                  <c:v>0.007821</c:v>
                </c:pt>
                <c:pt idx="152">
                  <c:v>0.007043</c:v>
                </c:pt>
                <c:pt idx="153">
                  <c:v>0.006495</c:v>
                </c:pt>
                <c:pt idx="154">
                  <c:v>0.006</c:v>
                </c:pt>
                <c:pt idx="155">
                  <c:v>0.005452</c:v>
                </c:pt>
                <c:pt idx="156">
                  <c:v>0.005071</c:v>
                </c:pt>
                <c:pt idx="157">
                  <c:v>0.004863</c:v>
                </c:pt>
                <c:pt idx="158">
                  <c:v>0.004797</c:v>
                </c:pt>
                <c:pt idx="159">
                  <c:v>0.004773</c:v>
                </c:pt>
                <c:pt idx="160">
                  <c:v>0.004912</c:v>
                </c:pt>
                <c:pt idx="161">
                  <c:v>0.005202</c:v>
                </c:pt>
                <c:pt idx="162">
                  <c:v>0.005446</c:v>
                </c:pt>
                <c:pt idx="163">
                  <c:v>0.005796</c:v>
                </c:pt>
                <c:pt idx="164">
                  <c:v>0.006155</c:v>
                </c:pt>
                <c:pt idx="165">
                  <c:v>0.006466</c:v>
                </c:pt>
                <c:pt idx="166">
                  <c:v>0.006828</c:v>
                </c:pt>
                <c:pt idx="167">
                  <c:v>0.007092</c:v>
                </c:pt>
                <c:pt idx="168">
                  <c:v>0.007197</c:v>
                </c:pt>
                <c:pt idx="169">
                  <c:v>0.007362</c:v>
                </c:pt>
                <c:pt idx="170">
                  <c:v>0.007533</c:v>
                </c:pt>
                <c:pt idx="171">
                  <c:v>0.007601</c:v>
                </c:pt>
                <c:pt idx="172">
                  <c:v>0.007615</c:v>
                </c:pt>
                <c:pt idx="173">
                  <c:v>0.007687</c:v>
                </c:pt>
                <c:pt idx="174">
                  <c:v>0.007757</c:v>
                </c:pt>
                <c:pt idx="175">
                  <c:v>0.007775</c:v>
                </c:pt>
                <c:pt idx="176">
                  <c:v>0.007907</c:v>
                </c:pt>
                <c:pt idx="177">
                  <c:v>0.008043</c:v>
                </c:pt>
                <c:pt idx="178">
                  <c:v>0.008226</c:v>
                </c:pt>
                <c:pt idx="179">
                  <c:v>0.008595</c:v>
                </c:pt>
                <c:pt idx="180">
                  <c:v>0.008843</c:v>
                </c:pt>
                <c:pt idx="181">
                  <c:v>0.009157</c:v>
                </c:pt>
                <c:pt idx="182">
                  <c:v>0.009468</c:v>
                </c:pt>
                <c:pt idx="183">
                  <c:v>0.009754</c:v>
                </c:pt>
                <c:pt idx="184">
                  <c:v>0.009963</c:v>
                </c:pt>
                <c:pt idx="185">
                  <c:v>0.01031</c:v>
                </c:pt>
                <c:pt idx="186">
                  <c:v>0.01065</c:v>
                </c:pt>
                <c:pt idx="187">
                  <c:v>0.01097</c:v>
                </c:pt>
                <c:pt idx="188">
                  <c:v>0.01135</c:v>
                </c:pt>
                <c:pt idx="189">
                  <c:v>0.01177</c:v>
                </c:pt>
                <c:pt idx="190">
                  <c:v>0.01198</c:v>
                </c:pt>
                <c:pt idx="191">
                  <c:v>0.01222</c:v>
                </c:pt>
                <c:pt idx="192">
                  <c:v>0.01237</c:v>
                </c:pt>
                <c:pt idx="193">
                  <c:v>0.01256</c:v>
                </c:pt>
                <c:pt idx="194">
                  <c:v>0.01279</c:v>
                </c:pt>
                <c:pt idx="195">
                  <c:v>0.01303</c:v>
                </c:pt>
                <c:pt idx="196">
                  <c:v>0.01304</c:v>
                </c:pt>
                <c:pt idx="197">
                  <c:v>0.01294</c:v>
                </c:pt>
                <c:pt idx="198">
                  <c:v>0.01278</c:v>
                </c:pt>
                <c:pt idx="199">
                  <c:v>0.01255</c:v>
                </c:pt>
                <c:pt idx="200">
                  <c:v>0.01224</c:v>
                </c:pt>
                <c:pt idx="201">
                  <c:v>0.01203</c:v>
                </c:pt>
                <c:pt idx="202">
                  <c:v>0.01179</c:v>
                </c:pt>
                <c:pt idx="203">
                  <c:v>0.01149</c:v>
                </c:pt>
                <c:pt idx="204">
                  <c:v>0.01105</c:v>
                </c:pt>
                <c:pt idx="205">
                  <c:v>0.01064</c:v>
                </c:pt>
                <c:pt idx="206">
                  <c:v>0.01013</c:v>
                </c:pt>
                <c:pt idx="207">
                  <c:v>0.009665</c:v>
                </c:pt>
                <c:pt idx="208">
                  <c:v>0.009523</c:v>
                </c:pt>
                <c:pt idx="209">
                  <c:v>0.009279</c:v>
                </c:pt>
                <c:pt idx="210">
                  <c:v>0.009168</c:v>
                </c:pt>
                <c:pt idx="211">
                  <c:v>0.009086</c:v>
                </c:pt>
                <c:pt idx="212">
                  <c:v>0.009112</c:v>
                </c:pt>
                <c:pt idx="213">
                  <c:v>0.009293</c:v>
                </c:pt>
                <c:pt idx="214">
                  <c:v>0.009682</c:v>
                </c:pt>
                <c:pt idx="215">
                  <c:v>0.01016</c:v>
                </c:pt>
                <c:pt idx="216">
                  <c:v>0.0106</c:v>
                </c:pt>
                <c:pt idx="217">
                  <c:v>0.01125</c:v>
                </c:pt>
                <c:pt idx="218">
                  <c:v>0.01196</c:v>
                </c:pt>
                <c:pt idx="219">
                  <c:v>0.01224</c:v>
                </c:pt>
                <c:pt idx="220">
                  <c:v>0.01272</c:v>
                </c:pt>
                <c:pt idx="221">
                  <c:v>0.01299</c:v>
                </c:pt>
                <c:pt idx="222">
                  <c:v>0.01326</c:v>
                </c:pt>
                <c:pt idx="223">
                  <c:v>0.0133</c:v>
                </c:pt>
                <c:pt idx="224">
                  <c:v>0.01311</c:v>
                </c:pt>
                <c:pt idx="225">
                  <c:v>0.01281</c:v>
                </c:pt>
                <c:pt idx="226">
                  <c:v>0.01263</c:v>
                </c:pt>
                <c:pt idx="227">
                  <c:v>0.01233</c:v>
                </c:pt>
                <c:pt idx="228">
                  <c:v>0.01192</c:v>
                </c:pt>
                <c:pt idx="229">
                  <c:v>0.01174</c:v>
                </c:pt>
                <c:pt idx="230">
                  <c:v>0.01191</c:v>
                </c:pt>
                <c:pt idx="231">
                  <c:v>0.01186</c:v>
                </c:pt>
                <c:pt idx="232">
                  <c:v>0.01193</c:v>
                </c:pt>
                <c:pt idx="233">
                  <c:v>0.01198</c:v>
                </c:pt>
                <c:pt idx="234">
                  <c:v>0.01215</c:v>
                </c:pt>
                <c:pt idx="235">
                  <c:v>0.01256</c:v>
                </c:pt>
                <c:pt idx="236">
                  <c:v>0.01285</c:v>
                </c:pt>
                <c:pt idx="237">
                  <c:v>0.01291</c:v>
                </c:pt>
                <c:pt idx="238">
                  <c:v>0.01319</c:v>
                </c:pt>
                <c:pt idx="239">
                  <c:v>0.01336</c:v>
                </c:pt>
                <c:pt idx="240">
                  <c:v>0.01304</c:v>
                </c:pt>
                <c:pt idx="241">
                  <c:v>0.0126</c:v>
                </c:pt>
                <c:pt idx="242">
                  <c:v>0.01227</c:v>
                </c:pt>
                <c:pt idx="243">
                  <c:v>0.01194</c:v>
                </c:pt>
                <c:pt idx="244">
                  <c:v>0.01148</c:v>
                </c:pt>
                <c:pt idx="245">
                  <c:v>0.01102</c:v>
                </c:pt>
                <c:pt idx="246">
                  <c:v>0.01044</c:v>
                </c:pt>
                <c:pt idx="247">
                  <c:v>0.009983</c:v>
                </c:pt>
                <c:pt idx="248">
                  <c:v>0.009762</c:v>
                </c:pt>
                <c:pt idx="249">
                  <c:v>0.009301</c:v>
                </c:pt>
                <c:pt idx="250">
                  <c:v>0.009083</c:v>
                </c:pt>
                <c:pt idx="251">
                  <c:v>0.009376</c:v>
                </c:pt>
                <c:pt idx="252">
                  <c:v>0.009801</c:v>
                </c:pt>
                <c:pt idx="253">
                  <c:v>0.01023</c:v>
                </c:pt>
                <c:pt idx="254">
                  <c:v>0.01065</c:v>
                </c:pt>
                <c:pt idx="255">
                  <c:v>0.01133</c:v>
                </c:pt>
                <c:pt idx="256">
                  <c:v>0.01188</c:v>
                </c:pt>
                <c:pt idx="257">
                  <c:v>0.01244</c:v>
                </c:pt>
                <c:pt idx="258">
                  <c:v>0.01326</c:v>
                </c:pt>
                <c:pt idx="259">
                  <c:v>0.01367</c:v>
                </c:pt>
                <c:pt idx="260">
                  <c:v>0.01433</c:v>
                </c:pt>
                <c:pt idx="261">
                  <c:v>0.01471</c:v>
                </c:pt>
                <c:pt idx="262">
                  <c:v>0.01482</c:v>
                </c:pt>
                <c:pt idx="263">
                  <c:v>0.01454</c:v>
                </c:pt>
                <c:pt idx="264">
                  <c:v>0.01447</c:v>
                </c:pt>
                <c:pt idx="265">
                  <c:v>0.01442</c:v>
                </c:pt>
                <c:pt idx="266">
                  <c:v>0.01408</c:v>
                </c:pt>
                <c:pt idx="267">
                  <c:v>0.01409</c:v>
                </c:pt>
                <c:pt idx="268">
                  <c:v>0.01407</c:v>
                </c:pt>
                <c:pt idx="269">
                  <c:v>0.01366</c:v>
                </c:pt>
                <c:pt idx="270">
                  <c:v>0.01353</c:v>
                </c:pt>
                <c:pt idx="271">
                  <c:v>0.01325</c:v>
                </c:pt>
                <c:pt idx="272">
                  <c:v>0.01312</c:v>
                </c:pt>
                <c:pt idx="273">
                  <c:v>0.01287</c:v>
                </c:pt>
                <c:pt idx="274">
                  <c:v>0.0129</c:v>
                </c:pt>
                <c:pt idx="275">
                  <c:v>0.01246</c:v>
                </c:pt>
                <c:pt idx="276">
                  <c:v>0.01201</c:v>
                </c:pt>
                <c:pt idx="277">
                  <c:v>0.01171</c:v>
                </c:pt>
                <c:pt idx="278">
                  <c:v>0.01107</c:v>
                </c:pt>
                <c:pt idx="279">
                  <c:v>0.01046</c:v>
                </c:pt>
                <c:pt idx="280">
                  <c:v>0.009865</c:v>
                </c:pt>
                <c:pt idx="281">
                  <c:v>0.00939</c:v>
                </c:pt>
                <c:pt idx="282">
                  <c:v>0.008936</c:v>
                </c:pt>
                <c:pt idx="283">
                  <c:v>0.008481</c:v>
                </c:pt>
                <c:pt idx="284">
                  <c:v>0.008153</c:v>
                </c:pt>
                <c:pt idx="285">
                  <c:v>0.007828</c:v>
                </c:pt>
                <c:pt idx="286">
                  <c:v>0.00773</c:v>
                </c:pt>
                <c:pt idx="287">
                  <c:v>0.007647</c:v>
                </c:pt>
                <c:pt idx="288">
                  <c:v>0.007562</c:v>
                </c:pt>
                <c:pt idx="289">
                  <c:v>0.007473</c:v>
                </c:pt>
                <c:pt idx="290">
                  <c:v>0.007262</c:v>
                </c:pt>
                <c:pt idx="291">
                  <c:v>0.007283</c:v>
                </c:pt>
                <c:pt idx="292">
                  <c:v>0.007065</c:v>
                </c:pt>
                <c:pt idx="293">
                  <c:v>0.006847</c:v>
                </c:pt>
                <c:pt idx="294">
                  <c:v>0.006628</c:v>
                </c:pt>
                <c:pt idx="295">
                  <c:v>0.006293</c:v>
                </c:pt>
                <c:pt idx="296">
                  <c:v>0.006075</c:v>
                </c:pt>
                <c:pt idx="297">
                  <c:v>0.005978</c:v>
                </c:pt>
                <c:pt idx="298">
                  <c:v>0.005758</c:v>
                </c:pt>
                <c:pt idx="299">
                  <c:v>0.005657</c:v>
                </c:pt>
                <c:pt idx="300">
                  <c:v>0.005924</c:v>
                </c:pt>
                <c:pt idx="301">
                  <c:v>0.006434</c:v>
                </c:pt>
                <c:pt idx="302">
                  <c:v>0.006833</c:v>
                </c:pt>
                <c:pt idx="303">
                  <c:v>0.00735</c:v>
                </c:pt>
                <c:pt idx="304">
                  <c:v>0.007866</c:v>
                </c:pt>
                <c:pt idx="305">
                  <c:v>0.00851</c:v>
                </c:pt>
                <c:pt idx="306">
                  <c:v>0.009278</c:v>
                </c:pt>
                <c:pt idx="307">
                  <c:v>0.009925</c:v>
                </c:pt>
                <c:pt idx="308">
                  <c:v>0.01033</c:v>
                </c:pt>
                <c:pt idx="309">
                  <c:v>0.011</c:v>
                </c:pt>
                <c:pt idx="310">
                  <c:v>0.01141</c:v>
                </c:pt>
                <c:pt idx="311">
                  <c:v>0.01132</c:v>
                </c:pt>
                <c:pt idx="312">
                  <c:v>0.01111</c:v>
                </c:pt>
                <c:pt idx="313">
                  <c:v>0.01089</c:v>
                </c:pt>
                <c:pt idx="314">
                  <c:v>0.01068</c:v>
                </c:pt>
                <c:pt idx="315">
                  <c:v>0.01047</c:v>
                </c:pt>
                <c:pt idx="316">
                  <c:v>0.009994</c:v>
                </c:pt>
                <c:pt idx="317">
                  <c:v>0.009652</c:v>
                </c:pt>
                <c:pt idx="318">
                  <c:v>0.009313</c:v>
                </c:pt>
                <c:pt idx="319">
                  <c:v>0.009091</c:v>
                </c:pt>
                <c:pt idx="320">
                  <c:v>0.008731</c:v>
                </c:pt>
                <c:pt idx="321">
                  <c:v>0.008624</c:v>
                </c:pt>
                <c:pt idx="322">
                  <c:v>0.008669</c:v>
                </c:pt>
                <c:pt idx="323">
                  <c:v>0.008781</c:v>
                </c:pt>
                <c:pt idx="324">
                  <c:v>0.009093</c:v>
                </c:pt>
                <c:pt idx="325">
                  <c:v>0.00928</c:v>
                </c:pt>
                <c:pt idx="326">
                  <c:v>0.009348</c:v>
                </c:pt>
              </c:numCache>
            </c:numRef>
          </c:yVal>
          <c:smooth val="0"/>
        </c:ser>
        <c:dLbls>
          <c:showLegendKey val="0"/>
          <c:showVal val="0"/>
          <c:showCatName val="0"/>
          <c:showSerName val="0"/>
          <c:showPercent val="0"/>
          <c:showBubbleSize val="0"/>
        </c:dLbls>
        <c:axId val="2129911320"/>
        <c:axId val="2129905576"/>
      </c:scatterChart>
      <c:valAx>
        <c:axId val="2129911320"/>
        <c:scaling>
          <c:logBase val="10.0"/>
          <c:orientation val="maxMin"/>
          <c:max val="1.0"/>
        </c:scaling>
        <c:delete val="0"/>
        <c:axPos val="b"/>
        <c:title>
          <c:tx>
            <c:rich>
              <a:bodyPr/>
              <a:lstStyle/>
              <a:p>
                <a:pPr>
                  <a:defRPr/>
                </a:pPr>
                <a:r>
                  <a:rPr lang="en-US"/>
                  <a:t>Pore Diameter (μm) </a:t>
                </a:r>
              </a:p>
            </c:rich>
          </c:tx>
          <c:layout>
            <c:manualLayout>
              <c:xMode val="edge"/>
              <c:yMode val="edge"/>
              <c:x val="0.351603937007874"/>
              <c:y val="0.920402317634824"/>
            </c:manualLayout>
          </c:layout>
          <c:overlay val="0"/>
        </c:title>
        <c:numFmt formatCode="General" sourceLinked="0"/>
        <c:majorTickMark val="out"/>
        <c:minorTickMark val="none"/>
        <c:tickLblPos val="nextTo"/>
        <c:spPr>
          <a:ln>
            <a:solidFill>
              <a:schemeClr val="tx1"/>
            </a:solidFill>
          </a:ln>
        </c:spPr>
        <c:txPr>
          <a:bodyPr rot="0" vert="horz"/>
          <a:lstStyle/>
          <a:p>
            <a:pPr>
              <a:defRPr sz="1200" b="0" i="0" u="none" strike="noStrike" baseline="0">
                <a:solidFill>
                  <a:srgbClr val="000000"/>
                </a:solidFill>
                <a:latin typeface="ＭＳ Ｐゴシック"/>
                <a:ea typeface="ＭＳ Ｐゴシック"/>
                <a:cs typeface="ＭＳ Ｐゴシック"/>
              </a:defRPr>
            </a:pPr>
            <a:endParaRPr lang="en-US"/>
          </a:p>
        </c:txPr>
        <c:crossAx val="2129905576"/>
        <c:crosses val="autoZero"/>
        <c:crossBetween val="midCat"/>
      </c:valAx>
      <c:valAx>
        <c:axId val="2129905576"/>
        <c:scaling>
          <c:orientation val="minMax"/>
        </c:scaling>
        <c:delete val="0"/>
        <c:axPos val="l"/>
        <c:title>
          <c:tx>
            <c:rich>
              <a:bodyPr rot="-5400000" vert="horz"/>
              <a:lstStyle/>
              <a:p>
                <a:pPr>
                  <a:defRPr sz="800"/>
                </a:pPr>
                <a:r>
                  <a:rPr lang="tr-TR" sz="1100" b="1" i="0" baseline="0">
                    <a:effectLst/>
                  </a:rPr>
                  <a:t>Cumulative Pore Volume (ml/g)</a:t>
                </a:r>
                <a:endParaRPr lang="tr-TR" sz="800">
                  <a:effectLst/>
                </a:endParaRPr>
              </a:p>
            </c:rich>
          </c:tx>
          <c:layout>
            <c:manualLayout>
              <c:xMode val="edge"/>
              <c:yMode val="edge"/>
              <c:x val="0.002"/>
              <c:y val="0.0915979794978458"/>
            </c:manualLayout>
          </c:layout>
          <c:overlay val="0"/>
        </c:title>
        <c:numFmt formatCode="#,##0.00" sourceLinked="0"/>
        <c:majorTickMark val="out"/>
        <c:minorTickMark val="none"/>
        <c:tickLblPos val="nextTo"/>
        <c:spPr>
          <a:ln>
            <a:solidFill>
              <a:schemeClr val="tx1"/>
            </a:solidFill>
          </a:ln>
        </c:spPr>
        <c:txPr>
          <a:bodyPr/>
          <a:lstStyle/>
          <a:p>
            <a:pPr>
              <a:defRPr lang="ja-JP" sz="1200"/>
            </a:pPr>
            <a:endParaRPr lang="en-US"/>
          </a:p>
        </c:txPr>
        <c:crossAx val="2129911320"/>
        <c:crosses val="max"/>
        <c:crossBetween val="midCat"/>
      </c:valAx>
    </c:plotArea>
    <c:legend>
      <c:legendPos val="t"/>
      <c:layout>
        <c:manualLayout>
          <c:xMode val="edge"/>
          <c:yMode val="edge"/>
          <c:x val="0.238998950131234"/>
          <c:y val="0.0226415094339623"/>
          <c:w val="0.615335433070866"/>
          <c:h val="0.0885984251968505"/>
        </c:manualLayout>
      </c:layout>
      <c:overlay val="0"/>
      <c:txPr>
        <a:bodyPr/>
        <a:lstStyle/>
        <a:p>
          <a:pPr>
            <a:defRPr sz="1200"/>
          </a:pPr>
          <a:endParaRPr lang="en-US"/>
        </a:p>
      </c:txPr>
    </c:legend>
    <c:plotVisOnly val="1"/>
    <c:dispBlanksAs val="gap"/>
    <c:showDLblsOverMax val="0"/>
  </c:chart>
  <c:spPr>
    <a:ln>
      <a:noFill/>
    </a:ln>
  </c:spPr>
  <c:txPr>
    <a:bodyPr/>
    <a:lstStyle/>
    <a:p>
      <a:pPr>
        <a:defRPr sz="1100">
          <a:latin typeface="Arial"/>
          <a:cs typeface="Arial"/>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46745219238941"/>
          <c:y val="0.0904611923509561"/>
          <c:w val="0.673952171856439"/>
          <c:h val="0.723983946025152"/>
        </c:manualLayout>
      </c:layout>
      <c:scatterChart>
        <c:scatterStyle val="lineMarker"/>
        <c:varyColors val="0"/>
        <c:ser>
          <c:idx val="1"/>
          <c:order val="1"/>
          <c:tx>
            <c:v>6MCS1</c:v>
          </c:tx>
          <c:spPr>
            <a:ln w="25400">
              <a:solidFill>
                <a:srgbClr val="FF0000"/>
              </a:solidFill>
              <a:prstDash val="solid"/>
            </a:ln>
          </c:spPr>
          <c:marker>
            <c:symbol val="none"/>
          </c:marker>
          <c:xVal>
            <c:numRef>
              <c:f>'14DCS1- in1'!$C$5:$C$341</c:f>
              <c:numCache>
                <c:formatCode>0.00E+00</c:formatCode>
                <c:ptCount val="337"/>
                <c:pt idx="0">
                  <c:v>10.63</c:v>
                </c:pt>
                <c:pt idx="1">
                  <c:v>10.42</c:v>
                </c:pt>
                <c:pt idx="2">
                  <c:v>10.16</c:v>
                </c:pt>
                <c:pt idx="3">
                  <c:v>9.884</c:v>
                </c:pt>
                <c:pt idx="4">
                  <c:v>9.598000000000001</c:v>
                </c:pt>
                <c:pt idx="5">
                  <c:v>9.323</c:v>
                </c:pt>
                <c:pt idx="6">
                  <c:v>9.076</c:v>
                </c:pt>
                <c:pt idx="7">
                  <c:v>8.823</c:v>
                </c:pt>
                <c:pt idx="8">
                  <c:v>8.576</c:v>
                </c:pt>
                <c:pt idx="9">
                  <c:v>8.335000000000002</c:v>
                </c:pt>
                <c:pt idx="10">
                  <c:v>8.085000000000002</c:v>
                </c:pt>
                <c:pt idx="11">
                  <c:v>7.833</c:v>
                </c:pt>
                <c:pt idx="12">
                  <c:v>7.58</c:v>
                </c:pt>
                <c:pt idx="13">
                  <c:v>7.321999999999996</c:v>
                </c:pt>
                <c:pt idx="14">
                  <c:v>7.065999999999987</c:v>
                </c:pt>
                <c:pt idx="15">
                  <c:v>6.806999999999999</c:v>
                </c:pt>
                <c:pt idx="16">
                  <c:v>6.551</c:v>
                </c:pt>
                <c:pt idx="17">
                  <c:v>6.293</c:v>
                </c:pt>
                <c:pt idx="18">
                  <c:v>6.035</c:v>
                </c:pt>
                <c:pt idx="19">
                  <c:v>5.775</c:v>
                </c:pt>
                <c:pt idx="20">
                  <c:v>5.513999999999998</c:v>
                </c:pt>
                <c:pt idx="21">
                  <c:v>5.256</c:v>
                </c:pt>
                <c:pt idx="22">
                  <c:v>5.0</c:v>
                </c:pt>
                <c:pt idx="23">
                  <c:v>4.744</c:v>
                </c:pt>
                <c:pt idx="24">
                  <c:v>4.489</c:v>
                </c:pt>
                <c:pt idx="25">
                  <c:v>4.233</c:v>
                </c:pt>
                <c:pt idx="26">
                  <c:v>3.976999999999999</c:v>
                </c:pt>
                <c:pt idx="27">
                  <c:v>3.721</c:v>
                </c:pt>
                <c:pt idx="28">
                  <c:v>3.466</c:v>
                </c:pt>
                <c:pt idx="29">
                  <c:v>3.212</c:v>
                </c:pt>
                <c:pt idx="30">
                  <c:v>2.962</c:v>
                </c:pt>
                <c:pt idx="31">
                  <c:v>2.717</c:v>
                </c:pt>
                <c:pt idx="32">
                  <c:v>2.478</c:v>
                </c:pt>
                <c:pt idx="33">
                  <c:v>2.248</c:v>
                </c:pt>
                <c:pt idx="34">
                  <c:v>2.027</c:v>
                </c:pt>
                <c:pt idx="35">
                  <c:v>1.819</c:v>
                </c:pt>
                <c:pt idx="36">
                  <c:v>1.626</c:v>
                </c:pt>
                <c:pt idx="37">
                  <c:v>1.448</c:v>
                </c:pt>
                <c:pt idx="38">
                  <c:v>1.288</c:v>
                </c:pt>
                <c:pt idx="39">
                  <c:v>1.144</c:v>
                </c:pt>
                <c:pt idx="40">
                  <c:v>1.016</c:v>
                </c:pt>
                <c:pt idx="41">
                  <c:v>0.9045</c:v>
                </c:pt>
                <c:pt idx="42">
                  <c:v>0.8071</c:v>
                </c:pt>
                <c:pt idx="43">
                  <c:v>0.7227</c:v>
                </c:pt>
                <c:pt idx="44">
                  <c:v>0.6496</c:v>
                </c:pt>
                <c:pt idx="45">
                  <c:v>0.5864</c:v>
                </c:pt>
                <c:pt idx="46">
                  <c:v>0.5317</c:v>
                </c:pt>
                <c:pt idx="47">
                  <c:v>0.4842</c:v>
                </c:pt>
                <c:pt idx="48">
                  <c:v>0.443</c:v>
                </c:pt>
                <c:pt idx="49">
                  <c:v>0.407</c:v>
                </c:pt>
                <c:pt idx="50">
                  <c:v>0.3756</c:v>
                </c:pt>
                <c:pt idx="51">
                  <c:v>0.3481</c:v>
                </c:pt>
                <c:pt idx="52">
                  <c:v>0.3237</c:v>
                </c:pt>
                <c:pt idx="53">
                  <c:v>0.3021</c:v>
                </c:pt>
                <c:pt idx="54">
                  <c:v>0.2828</c:v>
                </c:pt>
                <c:pt idx="55">
                  <c:v>0.2656</c:v>
                </c:pt>
                <c:pt idx="56">
                  <c:v>0.2501</c:v>
                </c:pt>
                <c:pt idx="57">
                  <c:v>0.236</c:v>
                </c:pt>
                <c:pt idx="58">
                  <c:v>0.2231</c:v>
                </c:pt>
                <c:pt idx="59">
                  <c:v>0.2114</c:v>
                </c:pt>
                <c:pt idx="60">
                  <c:v>0.2007</c:v>
                </c:pt>
                <c:pt idx="61">
                  <c:v>0.1909</c:v>
                </c:pt>
                <c:pt idx="62">
                  <c:v>0.1819</c:v>
                </c:pt>
                <c:pt idx="63">
                  <c:v>0.1735</c:v>
                </c:pt>
                <c:pt idx="64">
                  <c:v>0.1658</c:v>
                </c:pt>
                <c:pt idx="65">
                  <c:v>0.1586</c:v>
                </c:pt>
                <c:pt idx="66">
                  <c:v>0.1519</c:v>
                </c:pt>
                <c:pt idx="67">
                  <c:v>0.1456</c:v>
                </c:pt>
                <c:pt idx="68">
                  <c:v>0.1397</c:v>
                </c:pt>
                <c:pt idx="69">
                  <c:v>0.1342</c:v>
                </c:pt>
                <c:pt idx="70">
                  <c:v>0.1291</c:v>
                </c:pt>
                <c:pt idx="71">
                  <c:v>0.1242</c:v>
                </c:pt>
                <c:pt idx="72">
                  <c:v>0.1196</c:v>
                </c:pt>
                <c:pt idx="73">
                  <c:v>0.1153</c:v>
                </c:pt>
                <c:pt idx="74">
                  <c:v>0.1113</c:v>
                </c:pt>
                <c:pt idx="75">
                  <c:v>0.1075</c:v>
                </c:pt>
                <c:pt idx="76">
                  <c:v>0.1039</c:v>
                </c:pt>
                <c:pt idx="77">
                  <c:v>0.1005</c:v>
                </c:pt>
                <c:pt idx="78">
                  <c:v>0.09734</c:v>
                </c:pt>
                <c:pt idx="79">
                  <c:v>0.09432</c:v>
                </c:pt>
                <c:pt idx="80">
                  <c:v>0.09144</c:v>
                </c:pt>
                <c:pt idx="81">
                  <c:v>0.08871</c:v>
                </c:pt>
                <c:pt idx="82">
                  <c:v>0.08612</c:v>
                </c:pt>
                <c:pt idx="83">
                  <c:v>0.08368</c:v>
                </c:pt>
                <c:pt idx="84">
                  <c:v>0.08136</c:v>
                </c:pt>
                <c:pt idx="85">
                  <c:v>0.07916</c:v>
                </c:pt>
                <c:pt idx="86">
                  <c:v>0.07704</c:v>
                </c:pt>
                <c:pt idx="87">
                  <c:v>0.07498</c:v>
                </c:pt>
                <c:pt idx="88">
                  <c:v>0.07302</c:v>
                </c:pt>
                <c:pt idx="89">
                  <c:v>0.07115</c:v>
                </c:pt>
                <c:pt idx="90">
                  <c:v>0.06938</c:v>
                </c:pt>
                <c:pt idx="91">
                  <c:v>0.06768</c:v>
                </c:pt>
                <c:pt idx="92">
                  <c:v>0.06605</c:v>
                </c:pt>
                <c:pt idx="93">
                  <c:v>0.0645</c:v>
                </c:pt>
                <c:pt idx="94">
                  <c:v>0.063</c:v>
                </c:pt>
                <c:pt idx="95">
                  <c:v>0.06152</c:v>
                </c:pt>
                <c:pt idx="96">
                  <c:v>0.06009</c:v>
                </c:pt>
                <c:pt idx="97">
                  <c:v>0.05873</c:v>
                </c:pt>
                <c:pt idx="98">
                  <c:v>0.05746</c:v>
                </c:pt>
                <c:pt idx="99">
                  <c:v>0.05624</c:v>
                </c:pt>
                <c:pt idx="100">
                  <c:v>0.05507</c:v>
                </c:pt>
                <c:pt idx="101">
                  <c:v>0.05394</c:v>
                </c:pt>
                <c:pt idx="102">
                  <c:v>0.05289</c:v>
                </c:pt>
                <c:pt idx="103">
                  <c:v>0.05185</c:v>
                </c:pt>
                <c:pt idx="104">
                  <c:v>0.05083</c:v>
                </c:pt>
                <c:pt idx="105">
                  <c:v>0.04988</c:v>
                </c:pt>
                <c:pt idx="106">
                  <c:v>0.04897</c:v>
                </c:pt>
                <c:pt idx="107">
                  <c:v>0.0481</c:v>
                </c:pt>
                <c:pt idx="108">
                  <c:v>0.04726</c:v>
                </c:pt>
                <c:pt idx="109">
                  <c:v>0.04646</c:v>
                </c:pt>
                <c:pt idx="110">
                  <c:v>0.04565</c:v>
                </c:pt>
                <c:pt idx="111">
                  <c:v>0.04487</c:v>
                </c:pt>
                <c:pt idx="112">
                  <c:v>0.04412</c:v>
                </c:pt>
                <c:pt idx="113">
                  <c:v>0.04339</c:v>
                </c:pt>
                <c:pt idx="114">
                  <c:v>0.0427</c:v>
                </c:pt>
                <c:pt idx="115">
                  <c:v>0.04203</c:v>
                </c:pt>
                <c:pt idx="116">
                  <c:v>0.04137</c:v>
                </c:pt>
                <c:pt idx="117">
                  <c:v>0.04075</c:v>
                </c:pt>
                <c:pt idx="118">
                  <c:v>0.04014</c:v>
                </c:pt>
                <c:pt idx="119">
                  <c:v>0.03955</c:v>
                </c:pt>
                <c:pt idx="120">
                  <c:v>0.03897</c:v>
                </c:pt>
                <c:pt idx="121">
                  <c:v>0.03842</c:v>
                </c:pt>
                <c:pt idx="122">
                  <c:v>0.03789</c:v>
                </c:pt>
                <c:pt idx="123">
                  <c:v>0.03737</c:v>
                </c:pt>
                <c:pt idx="124">
                  <c:v>0.03686</c:v>
                </c:pt>
                <c:pt idx="125">
                  <c:v>0.03636</c:v>
                </c:pt>
                <c:pt idx="126">
                  <c:v>0.03588</c:v>
                </c:pt>
                <c:pt idx="127">
                  <c:v>0.0354</c:v>
                </c:pt>
                <c:pt idx="128">
                  <c:v>0.03494</c:v>
                </c:pt>
                <c:pt idx="129">
                  <c:v>0.03449</c:v>
                </c:pt>
                <c:pt idx="130">
                  <c:v>0.03405</c:v>
                </c:pt>
                <c:pt idx="131">
                  <c:v>0.03361</c:v>
                </c:pt>
                <c:pt idx="132">
                  <c:v>0.03318</c:v>
                </c:pt>
                <c:pt idx="133">
                  <c:v>0.03276</c:v>
                </c:pt>
                <c:pt idx="134">
                  <c:v>0.03235</c:v>
                </c:pt>
                <c:pt idx="135">
                  <c:v>0.03194</c:v>
                </c:pt>
                <c:pt idx="136">
                  <c:v>0.03153</c:v>
                </c:pt>
                <c:pt idx="137">
                  <c:v>0.03112</c:v>
                </c:pt>
                <c:pt idx="138">
                  <c:v>0.03072</c:v>
                </c:pt>
                <c:pt idx="139">
                  <c:v>0.03033</c:v>
                </c:pt>
                <c:pt idx="140">
                  <c:v>0.02994</c:v>
                </c:pt>
                <c:pt idx="141">
                  <c:v>0.02955</c:v>
                </c:pt>
                <c:pt idx="142">
                  <c:v>0.02919</c:v>
                </c:pt>
                <c:pt idx="143">
                  <c:v>0.02882</c:v>
                </c:pt>
                <c:pt idx="144">
                  <c:v>0.02845</c:v>
                </c:pt>
                <c:pt idx="145">
                  <c:v>0.02809</c:v>
                </c:pt>
                <c:pt idx="146">
                  <c:v>0.02774</c:v>
                </c:pt>
                <c:pt idx="147">
                  <c:v>0.02739</c:v>
                </c:pt>
                <c:pt idx="148">
                  <c:v>0.02705</c:v>
                </c:pt>
                <c:pt idx="149">
                  <c:v>0.02671</c:v>
                </c:pt>
                <c:pt idx="150">
                  <c:v>0.02638</c:v>
                </c:pt>
                <c:pt idx="151">
                  <c:v>0.02605</c:v>
                </c:pt>
                <c:pt idx="152">
                  <c:v>0.02572</c:v>
                </c:pt>
                <c:pt idx="153">
                  <c:v>0.02539</c:v>
                </c:pt>
                <c:pt idx="154">
                  <c:v>0.02507</c:v>
                </c:pt>
                <c:pt idx="155">
                  <c:v>0.02475</c:v>
                </c:pt>
                <c:pt idx="156">
                  <c:v>0.02443</c:v>
                </c:pt>
                <c:pt idx="157">
                  <c:v>0.02411</c:v>
                </c:pt>
                <c:pt idx="158">
                  <c:v>0.02379</c:v>
                </c:pt>
                <c:pt idx="159">
                  <c:v>0.02348</c:v>
                </c:pt>
                <c:pt idx="160">
                  <c:v>0.02316</c:v>
                </c:pt>
                <c:pt idx="161">
                  <c:v>0.02285</c:v>
                </c:pt>
                <c:pt idx="162">
                  <c:v>0.02254</c:v>
                </c:pt>
                <c:pt idx="163">
                  <c:v>0.02224</c:v>
                </c:pt>
                <c:pt idx="164">
                  <c:v>0.02194</c:v>
                </c:pt>
                <c:pt idx="165">
                  <c:v>0.02164</c:v>
                </c:pt>
                <c:pt idx="166">
                  <c:v>0.02135</c:v>
                </c:pt>
                <c:pt idx="167">
                  <c:v>0.02107</c:v>
                </c:pt>
                <c:pt idx="168">
                  <c:v>0.02079</c:v>
                </c:pt>
                <c:pt idx="169">
                  <c:v>0.02052</c:v>
                </c:pt>
                <c:pt idx="170">
                  <c:v>0.02025</c:v>
                </c:pt>
                <c:pt idx="171">
                  <c:v>0.01999</c:v>
                </c:pt>
                <c:pt idx="172">
                  <c:v>0.01974</c:v>
                </c:pt>
                <c:pt idx="173">
                  <c:v>0.01949</c:v>
                </c:pt>
                <c:pt idx="174">
                  <c:v>0.01925</c:v>
                </c:pt>
                <c:pt idx="175">
                  <c:v>0.01901</c:v>
                </c:pt>
                <c:pt idx="176">
                  <c:v>0.01878</c:v>
                </c:pt>
                <c:pt idx="177">
                  <c:v>0.01855</c:v>
                </c:pt>
                <c:pt idx="178">
                  <c:v>0.01832</c:v>
                </c:pt>
                <c:pt idx="179">
                  <c:v>0.01811</c:v>
                </c:pt>
                <c:pt idx="180">
                  <c:v>0.01789</c:v>
                </c:pt>
                <c:pt idx="181">
                  <c:v>0.01768</c:v>
                </c:pt>
                <c:pt idx="182">
                  <c:v>0.01748</c:v>
                </c:pt>
                <c:pt idx="183">
                  <c:v>0.01727</c:v>
                </c:pt>
                <c:pt idx="184">
                  <c:v>0.01708</c:v>
                </c:pt>
                <c:pt idx="185">
                  <c:v>0.0169</c:v>
                </c:pt>
                <c:pt idx="186">
                  <c:v>0.01671</c:v>
                </c:pt>
                <c:pt idx="187">
                  <c:v>0.01653</c:v>
                </c:pt>
                <c:pt idx="188">
                  <c:v>0.01635</c:v>
                </c:pt>
                <c:pt idx="189">
                  <c:v>0.01618</c:v>
                </c:pt>
                <c:pt idx="190">
                  <c:v>0.016</c:v>
                </c:pt>
                <c:pt idx="191">
                  <c:v>0.01584</c:v>
                </c:pt>
                <c:pt idx="192">
                  <c:v>0.01568</c:v>
                </c:pt>
                <c:pt idx="193">
                  <c:v>0.01553</c:v>
                </c:pt>
                <c:pt idx="194">
                  <c:v>0.01538</c:v>
                </c:pt>
                <c:pt idx="195">
                  <c:v>0.01523</c:v>
                </c:pt>
                <c:pt idx="196">
                  <c:v>0.01508</c:v>
                </c:pt>
                <c:pt idx="197">
                  <c:v>0.01494</c:v>
                </c:pt>
                <c:pt idx="198">
                  <c:v>0.01479</c:v>
                </c:pt>
                <c:pt idx="199">
                  <c:v>0.01465</c:v>
                </c:pt>
                <c:pt idx="200">
                  <c:v>0.01451</c:v>
                </c:pt>
                <c:pt idx="201">
                  <c:v>0.01438</c:v>
                </c:pt>
                <c:pt idx="202">
                  <c:v>0.01424</c:v>
                </c:pt>
                <c:pt idx="203">
                  <c:v>0.01411</c:v>
                </c:pt>
                <c:pt idx="204">
                  <c:v>0.01399</c:v>
                </c:pt>
                <c:pt idx="205">
                  <c:v>0.01386</c:v>
                </c:pt>
                <c:pt idx="206">
                  <c:v>0.01375</c:v>
                </c:pt>
                <c:pt idx="207">
                  <c:v>0.01364</c:v>
                </c:pt>
                <c:pt idx="208">
                  <c:v>0.01353</c:v>
                </c:pt>
                <c:pt idx="209">
                  <c:v>0.01342</c:v>
                </c:pt>
                <c:pt idx="210">
                  <c:v>0.01332</c:v>
                </c:pt>
                <c:pt idx="211">
                  <c:v>0.01323</c:v>
                </c:pt>
                <c:pt idx="212">
                  <c:v>0.01313</c:v>
                </c:pt>
                <c:pt idx="213">
                  <c:v>0.01304</c:v>
                </c:pt>
                <c:pt idx="214">
                  <c:v>0.01295</c:v>
                </c:pt>
                <c:pt idx="215">
                  <c:v>0.01287</c:v>
                </c:pt>
                <c:pt idx="216">
                  <c:v>0.01278</c:v>
                </c:pt>
                <c:pt idx="217">
                  <c:v>0.01269</c:v>
                </c:pt>
                <c:pt idx="218">
                  <c:v>0.01261</c:v>
                </c:pt>
                <c:pt idx="219">
                  <c:v>0.01252</c:v>
                </c:pt>
                <c:pt idx="220">
                  <c:v>0.01245</c:v>
                </c:pt>
                <c:pt idx="221">
                  <c:v>0.01237</c:v>
                </c:pt>
                <c:pt idx="222">
                  <c:v>0.01229</c:v>
                </c:pt>
                <c:pt idx="223">
                  <c:v>0.01222</c:v>
                </c:pt>
                <c:pt idx="224">
                  <c:v>0.01214</c:v>
                </c:pt>
                <c:pt idx="225">
                  <c:v>0.01207</c:v>
                </c:pt>
                <c:pt idx="226">
                  <c:v>0.01199</c:v>
                </c:pt>
                <c:pt idx="227">
                  <c:v>0.01192</c:v>
                </c:pt>
                <c:pt idx="228">
                  <c:v>0.01185</c:v>
                </c:pt>
                <c:pt idx="229">
                  <c:v>0.01178</c:v>
                </c:pt>
                <c:pt idx="230">
                  <c:v>0.01171</c:v>
                </c:pt>
                <c:pt idx="231">
                  <c:v>0.01164</c:v>
                </c:pt>
                <c:pt idx="232">
                  <c:v>0.01157</c:v>
                </c:pt>
                <c:pt idx="233">
                  <c:v>0.0115</c:v>
                </c:pt>
                <c:pt idx="234">
                  <c:v>0.01143</c:v>
                </c:pt>
                <c:pt idx="235">
                  <c:v>0.01136</c:v>
                </c:pt>
                <c:pt idx="236">
                  <c:v>0.0113</c:v>
                </c:pt>
                <c:pt idx="237">
                  <c:v>0.01123</c:v>
                </c:pt>
                <c:pt idx="238">
                  <c:v>0.01116</c:v>
                </c:pt>
                <c:pt idx="239">
                  <c:v>0.0111</c:v>
                </c:pt>
                <c:pt idx="240">
                  <c:v>0.01104</c:v>
                </c:pt>
                <c:pt idx="241">
                  <c:v>0.01097</c:v>
                </c:pt>
                <c:pt idx="242">
                  <c:v>0.01091</c:v>
                </c:pt>
                <c:pt idx="243">
                  <c:v>0.01085</c:v>
                </c:pt>
                <c:pt idx="244">
                  <c:v>0.01079</c:v>
                </c:pt>
                <c:pt idx="245">
                  <c:v>0.01073</c:v>
                </c:pt>
                <c:pt idx="246">
                  <c:v>0.01067</c:v>
                </c:pt>
                <c:pt idx="247">
                  <c:v>0.01061</c:v>
                </c:pt>
                <c:pt idx="248">
                  <c:v>0.01055</c:v>
                </c:pt>
                <c:pt idx="249">
                  <c:v>0.01049</c:v>
                </c:pt>
                <c:pt idx="250">
                  <c:v>0.01043</c:v>
                </c:pt>
                <c:pt idx="251">
                  <c:v>0.01037</c:v>
                </c:pt>
                <c:pt idx="252">
                  <c:v>0.01032</c:v>
                </c:pt>
                <c:pt idx="253">
                  <c:v>0.01026</c:v>
                </c:pt>
                <c:pt idx="254">
                  <c:v>0.0102</c:v>
                </c:pt>
                <c:pt idx="255">
                  <c:v>0.01015</c:v>
                </c:pt>
                <c:pt idx="256">
                  <c:v>0.01009</c:v>
                </c:pt>
                <c:pt idx="257">
                  <c:v>0.01004</c:v>
                </c:pt>
                <c:pt idx="258">
                  <c:v>0.009983</c:v>
                </c:pt>
                <c:pt idx="259">
                  <c:v>0.00993</c:v>
                </c:pt>
                <c:pt idx="260">
                  <c:v>0.009876</c:v>
                </c:pt>
                <c:pt idx="261">
                  <c:v>0.009824</c:v>
                </c:pt>
                <c:pt idx="262">
                  <c:v>0.009772</c:v>
                </c:pt>
                <c:pt idx="263">
                  <c:v>0.00972</c:v>
                </c:pt>
                <c:pt idx="264">
                  <c:v>0.009669</c:v>
                </c:pt>
                <c:pt idx="265">
                  <c:v>0.009618</c:v>
                </c:pt>
                <c:pt idx="266">
                  <c:v>0.009567</c:v>
                </c:pt>
                <c:pt idx="267">
                  <c:v>0.009517</c:v>
                </c:pt>
                <c:pt idx="268">
                  <c:v>0.009466</c:v>
                </c:pt>
                <c:pt idx="269">
                  <c:v>0.009416</c:v>
                </c:pt>
                <c:pt idx="270">
                  <c:v>0.009366</c:v>
                </c:pt>
                <c:pt idx="271">
                  <c:v>0.009317</c:v>
                </c:pt>
                <c:pt idx="272">
                  <c:v>0.009268</c:v>
                </c:pt>
                <c:pt idx="273">
                  <c:v>0.009218</c:v>
                </c:pt>
                <c:pt idx="274">
                  <c:v>0.009168</c:v>
                </c:pt>
                <c:pt idx="275">
                  <c:v>0.009117</c:v>
                </c:pt>
                <c:pt idx="276">
                  <c:v>0.009067</c:v>
                </c:pt>
                <c:pt idx="277">
                  <c:v>0.009016</c:v>
                </c:pt>
                <c:pt idx="278">
                  <c:v>0.008964</c:v>
                </c:pt>
                <c:pt idx="279">
                  <c:v>0.008913</c:v>
                </c:pt>
                <c:pt idx="280">
                  <c:v>0.008862</c:v>
                </c:pt>
                <c:pt idx="281">
                  <c:v>0.00881</c:v>
                </c:pt>
                <c:pt idx="282">
                  <c:v>0.008757</c:v>
                </c:pt>
                <c:pt idx="283">
                  <c:v>0.008704</c:v>
                </c:pt>
                <c:pt idx="284">
                  <c:v>0.008652</c:v>
                </c:pt>
                <c:pt idx="285">
                  <c:v>0.0086</c:v>
                </c:pt>
                <c:pt idx="286">
                  <c:v>0.008548</c:v>
                </c:pt>
                <c:pt idx="287">
                  <c:v>0.008497</c:v>
                </c:pt>
                <c:pt idx="288">
                  <c:v>0.008446</c:v>
                </c:pt>
                <c:pt idx="289">
                  <c:v>0.008395</c:v>
                </c:pt>
                <c:pt idx="290">
                  <c:v>0.008345</c:v>
                </c:pt>
                <c:pt idx="291">
                  <c:v>0.008296</c:v>
                </c:pt>
                <c:pt idx="292">
                  <c:v>0.008247</c:v>
                </c:pt>
                <c:pt idx="293">
                  <c:v>0.008198</c:v>
                </c:pt>
                <c:pt idx="294">
                  <c:v>0.00815</c:v>
                </c:pt>
                <c:pt idx="295">
                  <c:v>0.008102</c:v>
                </c:pt>
                <c:pt idx="296">
                  <c:v>0.008055</c:v>
                </c:pt>
                <c:pt idx="297">
                  <c:v>0.008008</c:v>
                </c:pt>
                <c:pt idx="298">
                  <c:v>0.007962</c:v>
                </c:pt>
                <c:pt idx="299">
                  <c:v>0.007916</c:v>
                </c:pt>
                <c:pt idx="300">
                  <c:v>0.00787</c:v>
                </c:pt>
                <c:pt idx="301">
                  <c:v>0.007825</c:v>
                </c:pt>
                <c:pt idx="302">
                  <c:v>0.00778</c:v>
                </c:pt>
                <c:pt idx="303">
                  <c:v>0.007735</c:v>
                </c:pt>
                <c:pt idx="304">
                  <c:v>0.007691</c:v>
                </c:pt>
                <c:pt idx="305">
                  <c:v>0.007647</c:v>
                </c:pt>
                <c:pt idx="306">
                  <c:v>0.007604</c:v>
                </c:pt>
                <c:pt idx="307">
                  <c:v>0.007561</c:v>
                </c:pt>
                <c:pt idx="308">
                  <c:v>0.007519</c:v>
                </c:pt>
                <c:pt idx="309">
                  <c:v>0.007477</c:v>
                </c:pt>
                <c:pt idx="310">
                  <c:v>0.007435</c:v>
                </c:pt>
                <c:pt idx="311">
                  <c:v>0.007394</c:v>
                </c:pt>
                <c:pt idx="312">
                  <c:v>0.007353</c:v>
                </c:pt>
                <c:pt idx="313">
                  <c:v>0.007312</c:v>
                </c:pt>
                <c:pt idx="314">
                  <c:v>0.007272</c:v>
                </c:pt>
                <c:pt idx="315">
                  <c:v>0.007232</c:v>
                </c:pt>
                <c:pt idx="316">
                  <c:v>0.007193</c:v>
                </c:pt>
                <c:pt idx="317">
                  <c:v>0.007153</c:v>
                </c:pt>
                <c:pt idx="318">
                  <c:v>0.007115</c:v>
                </c:pt>
                <c:pt idx="319">
                  <c:v>0.007076</c:v>
                </c:pt>
                <c:pt idx="320">
                  <c:v>0.007038</c:v>
                </c:pt>
                <c:pt idx="321">
                  <c:v>0.007</c:v>
                </c:pt>
                <c:pt idx="322">
                  <c:v>0.006962</c:v>
                </c:pt>
                <c:pt idx="323">
                  <c:v>0.006925</c:v>
                </c:pt>
                <c:pt idx="324">
                  <c:v>0.006888</c:v>
                </c:pt>
                <c:pt idx="325">
                  <c:v>0.006852</c:v>
                </c:pt>
                <c:pt idx="326">
                  <c:v>0.006815</c:v>
                </c:pt>
                <c:pt idx="327">
                  <c:v>0.006779</c:v>
                </c:pt>
                <c:pt idx="328">
                  <c:v>0.006742</c:v>
                </c:pt>
                <c:pt idx="329">
                  <c:v>0.006707</c:v>
                </c:pt>
                <c:pt idx="330">
                  <c:v>0.006671</c:v>
                </c:pt>
                <c:pt idx="331">
                  <c:v>0.006636</c:v>
                </c:pt>
                <c:pt idx="332">
                  <c:v>0.006601</c:v>
                </c:pt>
                <c:pt idx="333">
                  <c:v>0.006566</c:v>
                </c:pt>
                <c:pt idx="334">
                  <c:v>0.00653</c:v>
                </c:pt>
                <c:pt idx="335">
                  <c:v>0.006497</c:v>
                </c:pt>
                <c:pt idx="336">
                  <c:v>0.006463</c:v>
                </c:pt>
              </c:numCache>
            </c:numRef>
          </c:xVal>
          <c:yVal>
            <c:numRef>
              <c:f>'14DCS1- in1'!$J$5:$J$341</c:f>
              <c:numCache>
                <c:formatCode>General</c:formatCode>
                <c:ptCount val="337"/>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0.00013</c:v>
                </c:pt>
                <c:pt idx="31">
                  <c:v>0.00013</c:v>
                </c:pt>
                <c:pt idx="32">
                  <c:v>0.00013</c:v>
                </c:pt>
                <c:pt idx="33">
                  <c:v>0.00026</c:v>
                </c:pt>
                <c:pt idx="34">
                  <c:v>0.00026</c:v>
                </c:pt>
                <c:pt idx="35">
                  <c:v>0.00039</c:v>
                </c:pt>
                <c:pt idx="36">
                  <c:v>0.00039</c:v>
                </c:pt>
                <c:pt idx="37">
                  <c:v>0.00052</c:v>
                </c:pt>
                <c:pt idx="38">
                  <c:v>0.00065</c:v>
                </c:pt>
                <c:pt idx="39">
                  <c:v>0.00065</c:v>
                </c:pt>
                <c:pt idx="40">
                  <c:v>0.00078</c:v>
                </c:pt>
                <c:pt idx="41">
                  <c:v>0.00091</c:v>
                </c:pt>
                <c:pt idx="42">
                  <c:v>0.00091</c:v>
                </c:pt>
                <c:pt idx="43">
                  <c:v>0.00104</c:v>
                </c:pt>
                <c:pt idx="44">
                  <c:v>0.00104</c:v>
                </c:pt>
                <c:pt idx="45">
                  <c:v>0.00117</c:v>
                </c:pt>
                <c:pt idx="46">
                  <c:v>0.00117</c:v>
                </c:pt>
                <c:pt idx="47">
                  <c:v>0.0013</c:v>
                </c:pt>
                <c:pt idx="48">
                  <c:v>0.0013</c:v>
                </c:pt>
                <c:pt idx="49">
                  <c:v>0.0013</c:v>
                </c:pt>
                <c:pt idx="50">
                  <c:v>0.0013</c:v>
                </c:pt>
                <c:pt idx="51">
                  <c:v>0.0013</c:v>
                </c:pt>
                <c:pt idx="52">
                  <c:v>0.0013</c:v>
                </c:pt>
                <c:pt idx="53">
                  <c:v>0.00143</c:v>
                </c:pt>
                <c:pt idx="54">
                  <c:v>0.00143</c:v>
                </c:pt>
                <c:pt idx="55">
                  <c:v>0.00143</c:v>
                </c:pt>
                <c:pt idx="56">
                  <c:v>0.00156</c:v>
                </c:pt>
                <c:pt idx="57">
                  <c:v>0.00156</c:v>
                </c:pt>
                <c:pt idx="58">
                  <c:v>0.00169</c:v>
                </c:pt>
                <c:pt idx="59">
                  <c:v>0.00182</c:v>
                </c:pt>
                <c:pt idx="60">
                  <c:v>0.00195</c:v>
                </c:pt>
                <c:pt idx="61">
                  <c:v>0.00221</c:v>
                </c:pt>
                <c:pt idx="62">
                  <c:v>0.00234</c:v>
                </c:pt>
                <c:pt idx="63">
                  <c:v>0.0026</c:v>
                </c:pt>
                <c:pt idx="64">
                  <c:v>0.00286</c:v>
                </c:pt>
                <c:pt idx="65">
                  <c:v>0.00312</c:v>
                </c:pt>
                <c:pt idx="66">
                  <c:v>0.00338</c:v>
                </c:pt>
                <c:pt idx="67">
                  <c:v>0.00377</c:v>
                </c:pt>
                <c:pt idx="68">
                  <c:v>0.00416</c:v>
                </c:pt>
                <c:pt idx="69">
                  <c:v>0.00455</c:v>
                </c:pt>
                <c:pt idx="70">
                  <c:v>0.00494</c:v>
                </c:pt>
                <c:pt idx="71">
                  <c:v>0.00533</c:v>
                </c:pt>
                <c:pt idx="72">
                  <c:v>0.00585</c:v>
                </c:pt>
                <c:pt idx="73">
                  <c:v>0.0065</c:v>
                </c:pt>
                <c:pt idx="74">
                  <c:v>0.00702</c:v>
                </c:pt>
                <c:pt idx="75">
                  <c:v>0.00754</c:v>
                </c:pt>
                <c:pt idx="76">
                  <c:v>0.00806</c:v>
                </c:pt>
                <c:pt idx="77">
                  <c:v>0.00858</c:v>
                </c:pt>
                <c:pt idx="78">
                  <c:v>0.00923</c:v>
                </c:pt>
                <c:pt idx="79">
                  <c:v>0.00988</c:v>
                </c:pt>
                <c:pt idx="80">
                  <c:v>0.01053</c:v>
                </c:pt>
                <c:pt idx="81">
                  <c:v>0.01118</c:v>
                </c:pt>
                <c:pt idx="82">
                  <c:v>0.01183</c:v>
                </c:pt>
                <c:pt idx="83">
                  <c:v>0.01248</c:v>
                </c:pt>
                <c:pt idx="84">
                  <c:v>0.013</c:v>
                </c:pt>
                <c:pt idx="85">
                  <c:v>0.01352</c:v>
                </c:pt>
                <c:pt idx="86">
                  <c:v>0.01417</c:v>
                </c:pt>
                <c:pt idx="87">
                  <c:v>0.01482</c:v>
                </c:pt>
                <c:pt idx="88">
                  <c:v>0.01534</c:v>
                </c:pt>
                <c:pt idx="89">
                  <c:v>0.01586</c:v>
                </c:pt>
                <c:pt idx="90">
                  <c:v>0.01651</c:v>
                </c:pt>
                <c:pt idx="91">
                  <c:v>0.01703</c:v>
                </c:pt>
                <c:pt idx="92">
                  <c:v>0.01768</c:v>
                </c:pt>
                <c:pt idx="93">
                  <c:v>0.01833</c:v>
                </c:pt>
                <c:pt idx="94">
                  <c:v>0.01898</c:v>
                </c:pt>
                <c:pt idx="95">
                  <c:v>0.01976</c:v>
                </c:pt>
                <c:pt idx="96">
                  <c:v>0.02054</c:v>
                </c:pt>
                <c:pt idx="97">
                  <c:v>0.02145</c:v>
                </c:pt>
                <c:pt idx="98">
                  <c:v>0.02236</c:v>
                </c:pt>
                <c:pt idx="99">
                  <c:v>0.02327</c:v>
                </c:pt>
                <c:pt idx="100">
                  <c:v>0.02431</c:v>
                </c:pt>
                <c:pt idx="101">
                  <c:v>0.02522</c:v>
                </c:pt>
                <c:pt idx="102">
                  <c:v>0.02613</c:v>
                </c:pt>
                <c:pt idx="103">
                  <c:v>0.02717</c:v>
                </c:pt>
                <c:pt idx="104">
                  <c:v>0.02808</c:v>
                </c:pt>
                <c:pt idx="105">
                  <c:v>0.02912</c:v>
                </c:pt>
                <c:pt idx="106">
                  <c:v>0.03016</c:v>
                </c:pt>
                <c:pt idx="107">
                  <c:v>0.0312</c:v>
                </c:pt>
                <c:pt idx="108">
                  <c:v>0.03224</c:v>
                </c:pt>
                <c:pt idx="109">
                  <c:v>0.03328</c:v>
                </c:pt>
                <c:pt idx="110">
                  <c:v>0.03445</c:v>
                </c:pt>
                <c:pt idx="111">
                  <c:v>0.03562</c:v>
                </c:pt>
                <c:pt idx="112">
                  <c:v>0.03679</c:v>
                </c:pt>
                <c:pt idx="113">
                  <c:v>0.03796</c:v>
                </c:pt>
                <c:pt idx="114">
                  <c:v>0.03926</c:v>
                </c:pt>
                <c:pt idx="115">
                  <c:v>0.04043</c:v>
                </c:pt>
                <c:pt idx="116">
                  <c:v>0.0416</c:v>
                </c:pt>
                <c:pt idx="117">
                  <c:v>0.04277</c:v>
                </c:pt>
                <c:pt idx="118">
                  <c:v>0.04407</c:v>
                </c:pt>
                <c:pt idx="119">
                  <c:v>0.04524</c:v>
                </c:pt>
                <c:pt idx="120">
                  <c:v>0.04641</c:v>
                </c:pt>
                <c:pt idx="121">
                  <c:v>0.04758</c:v>
                </c:pt>
                <c:pt idx="122">
                  <c:v>0.04862</c:v>
                </c:pt>
                <c:pt idx="123">
                  <c:v>0.04979</c:v>
                </c:pt>
                <c:pt idx="124">
                  <c:v>0.05096</c:v>
                </c:pt>
                <c:pt idx="125">
                  <c:v>0.05213</c:v>
                </c:pt>
                <c:pt idx="126">
                  <c:v>0.0533</c:v>
                </c:pt>
                <c:pt idx="127">
                  <c:v>0.05434</c:v>
                </c:pt>
                <c:pt idx="128">
                  <c:v>0.05551</c:v>
                </c:pt>
                <c:pt idx="129">
                  <c:v>0.05642</c:v>
                </c:pt>
                <c:pt idx="130">
                  <c:v>0.05746</c:v>
                </c:pt>
                <c:pt idx="131">
                  <c:v>0.05863</c:v>
                </c:pt>
                <c:pt idx="132">
                  <c:v>0.05967</c:v>
                </c:pt>
                <c:pt idx="133">
                  <c:v>0.06071</c:v>
                </c:pt>
                <c:pt idx="134">
                  <c:v>0.06175</c:v>
                </c:pt>
                <c:pt idx="135">
                  <c:v>0.06279</c:v>
                </c:pt>
                <c:pt idx="136">
                  <c:v>0.06396</c:v>
                </c:pt>
                <c:pt idx="137">
                  <c:v>0.06513</c:v>
                </c:pt>
                <c:pt idx="138">
                  <c:v>0.0663</c:v>
                </c:pt>
                <c:pt idx="139">
                  <c:v>0.0676</c:v>
                </c:pt>
                <c:pt idx="140">
                  <c:v>0.06877</c:v>
                </c:pt>
                <c:pt idx="141">
                  <c:v>0.06994</c:v>
                </c:pt>
                <c:pt idx="142">
                  <c:v>0.07111</c:v>
                </c:pt>
                <c:pt idx="143">
                  <c:v>0.07228</c:v>
                </c:pt>
                <c:pt idx="144">
                  <c:v>0.07358</c:v>
                </c:pt>
                <c:pt idx="145">
                  <c:v>0.07475</c:v>
                </c:pt>
                <c:pt idx="146">
                  <c:v>0.07579</c:v>
                </c:pt>
                <c:pt idx="147">
                  <c:v>0.07696</c:v>
                </c:pt>
                <c:pt idx="148">
                  <c:v>0.078</c:v>
                </c:pt>
                <c:pt idx="149">
                  <c:v>0.07904</c:v>
                </c:pt>
                <c:pt idx="150">
                  <c:v>0.08021</c:v>
                </c:pt>
                <c:pt idx="151">
                  <c:v>0.08138</c:v>
                </c:pt>
                <c:pt idx="152">
                  <c:v>0.08242</c:v>
                </c:pt>
                <c:pt idx="153">
                  <c:v>0.08333</c:v>
                </c:pt>
                <c:pt idx="154">
                  <c:v>0.08437</c:v>
                </c:pt>
                <c:pt idx="155">
                  <c:v>0.08528</c:v>
                </c:pt>
                <c:pt idx="156">
                  <c:v>0.08619</c:v>
                </c:pt>
                <c:pt idx="157">
                  <c:v>0.0871</c:v>
                </c:pt>
                <c:pt idx="158">
                  <c:v>0.08801</c:v>
                </c:pt>
                <c:pt idx="159">
                  <c:v>0.08892</c:v>
                </c:pt>
                <c:pt idx="160">
                  <c:v>0.0897</c:v>
                </c:pt>
                <c:pt idx="161">
                  <c:v>0.09048</c:v>
                </c:pt>
                <c:pt idx="162">
                  <c:v>0.09126</c:v>
                </c:pt>
                <c:pt idx="163">
                  <c:v>0.09217</c:v>
                </c:pt>
                <c:pt idx="164">
                  <c:v>0.09295</c:v>
                </c:pt>
                <c:pt idx="165">
                  <c:v>0.09386</c:v>
                </c:pt>
                <c:pt idx="166">
                  <c:v>0.09477</c:v>
                </c:pt>
                <c:pt idx="167">
                  <c:v>0.09568</c:v>
                </c:pt>
                <c:pt idx="168">
                  <c:v>0.09659</c:v>
                </c:pt>
                <c:pt idx="169">
                  <c:v>0.09737</c:v>
                </c:pt>
                <c:pt idx="170">
                  <c:v>0.09815</c:v>
                </c:pt>
                <c:pt idx="171">
                  <c:v>0.09893</c:v>
                </c:pt>
                <c:pt idx="172">
                  <c:v>0.09971</c:v>
                </c:pt>
                <c:pt idx="173">
                  <c:v>0.10049</c:v>
                </c:pt>
                <c:pt idx="174">
                  <c:v>0.10127</c:v>
                </c:pt>
                <c:pt idx="175">
                  <c:v>0.10205</c:v>
                </c:pt>
                <c:pt idx="176">
                  <c:v>0.1027</c:v>
                </c:pt>
                <c:pt idx="177">
                  <c:v>0.10348</c:v>
                </c:pt>
                <c:pt idx="178">
                  <c:v>0.10426</c:v>
                </c:pt>
                <c:pt idx="179">
                  <c:v>0.10504</c:v>
                </c:pt>
                <c:pt idx="180">
                  <c:v>0.10569</c:v>
                </c:pt>
                <c:pt idx="181">
                  <c:v>0.10647</c:v>
                </c:pt>
                <c:pt idx="182">
                  <c:v>0.10738</c:v>
                </c:pt>
                <c:pt idx="183">
                  <c:v>0.10816</c:v>
                </c:pt>
                <c:pt idx="184">
                  <c:v>0.10907</c:v>
                </c:pt>
                <c:pt idx="185">
                  <c:v>0.10985</c:v>
                </c:pt>
                <c:pt idx="186">
                  <c:v>0.11063</c:v>
                </c:pt>
                <c:pt idx="187">
                  <c:v>0.11141</c:v>
                </c:pt>
                <c:pt idx="188">
                  <c:v>0.11219</c:v>
                </c:pt>
                <c:pt idx="189">
                  <c:v>0.11284</c:v>
                </c:pt>
                <c:pt idx="190">
                  <c:v>0.11349</c:v>
                </c:pt>
                <c:pt idx="191">
                  <c:v>0.11427</c:v>
                </c:pt>
                <c:pt idx="192">
                  <c:v>0.11492</c:v>
                </c:pt>
                <c:pt idx="193">
                  <c:v>0.11544</c:v>
                </c:pt>
                <c:pt idx="194">
                  <c:v>0.11609</c:v>
                </c:pt>
                <c:pt idx="195">
                  <c:v>0.11661</c:v>
                </c:pt>
                <c:pt idx="196">
                  <c:v>0.11726</c:v>
                </c:pt>
                <c:pt idx="197">
                  <c:v>0.11778</c:v>
                </c:pt>
                <c:pt idx="198">
                  <c:v>0.11843</c:v>
                </c:pt>
                <c:pt idx="199">
                  <c:v>0.11908</c:v>
                </c:pt>
                <c:pt idx="200">
                  <c:v>0.11973</c:v>
                </c:pt>
                <c:pt idx="201">
                  <c:v>0.12038</c:v>
                </c:pt>
                <c:pt idx="202">
                  <c:v>0.12116</c:v>
                </c:pt>
                <c:pt idx="203">
                  <c:v>0.12194</c:v>
                </c:pt>
                <c:pt idx="204">
                  <c:v>0.12259</c:v>
                </c:pt>
                <c:pt idx="205">
                  <c:v>0.12324</c:v>
                </c:pt>
                <c:pt idx="206">
                  <c:v>0.12402</c:v>
                </c:pt>
                <c:pt idx="207">
                  <c:v>0.12467</c:v>
                </c:pt>
                <c:pt idx="208">
                  <c:v>0.12532</c:v>
                </c:pt>
                <c:pt idx="209">
                  <c:v>0.12597</c:v>
                </c:pt>
                <c:pt idx="210">
                  <c:v>0.12662</c:v>
                </c:pt>
                <c:pt idx="211">
                  <c:v>0.12714</c:v>
                </c:pt>
                <c:pt idx="212">
                  <c:v>0.12766</c:v>
                </c:pt>
                <c:pt idx="213">
                  <c:v>0.12818</c:v>
                </c:pt>
                <c:pt idx="214">
                  <c:v>0.1287</c:v>
                </c:pt>
                <c:pt idx="215">
                  <c:v>0.12909</c:v>
                </c:pt>
                <c:pt idx="216">
                  <c:v>0.12948</c:v>
                </c:pt>
                <c:pt idx="217">
                  <c:v>0.12987</c:v>
                </c:pt>
                <c:pt idx="218">
                  <c:v>0.13039</c:v>
                </c:pt>
                <c:pt idx="219">
                  <c:v>0.13078</c:v>
                </c:pt>
                <c:pt idx="220">
                  <c:v>0.13117</c:v>
                </c:pt>
                <c:pt idx="221">
                  <c:v>0.13156</c:v>
                </c:pt>
                <c:pt idx="222">
                  <c:v>0.13195</c:v>
                </c:pt>
                <c:pt idx="223">
                  <c:v>0.13234</c:v>
                </c:pt>
                <c:pt idx="224">
                  <c:v>0.13286</c:v>
                </c:pt>
                <c:pt idx="225">
                  <c:v>0.13325</c:v>
                </c:pt>
                <c:pt idx="226">
                  <c:v>0.13377</c:v>
                </c:pt>
                <c:pt idx="227">
                  <c:v>0.13429</c:v>
                </c:pt>
                <c:pt idx="228">
                  <c:v>0.13468</c:v>
                </c:pt>
                <c:pt idx="229">
                  <c:v>0.1352</c:v>
                </c:pt>
                <c:pt idx="230">
                  <c:v>0.13559</c:v>
                </c:pt>
                <c:pt idx="231">
                  <c:v>0.13598</c:v>
                </c:pt>
                <c:pt idx="232">
                  <c:v>0.13637</c:v>
                </c:pt>
                <c:pt idx="233">
                  <c:v>0.13676</c:v>
                </c:pt>
                <c:pt idx="234">
                  <c:v>0.13715</c:v>
                </c:pt>
                <c:pt idx="235">
                  <c:v>0.13754</c:v>
                </c:pt>
                <c:pt idx="236">
                  <c:v>0.13806</c:v>
                </c:pt>
                <c:pt idx="237">
                  <c:v>0.13845</c:v>
                </c:pt>
                <c:pt idx="238">
                  <c:v>0.13884</c:v>
                </c:pt>
                <c:pt idx="239">
                  <c:v>0.13923</c:v>
                </c:pt>
                <c:pt idx="240">
                  <c:v>0.13975</c:v>
                </c:pt>
                <c:pt idx="241">
                  <c:v>0.14027</c:v>
                </c:pt>
                <c:pt idx="242">
                  <c:v>0.14066</c:v>
                </c:pt>
                <c:pt idx="243">
                  <c:v>0.14118</c:v>
                </c:pt>
                <c:pt idx="244">
                  <c:v>0.14157</c:v>
                </c:pt>
                <c:pt idx="245">
                  <c:v>0.14196</c:v>
                </c:pt>
                <c:pt idx="246">
                  <c:v>0.14235</c:v>
                </c:pt>
                <c:pt idx="247">
                  <c:v>0.14274</c:v>
                </c:pt>
                <c:pt idx="248">
                  <c:v>0.14313</c:v>
                </c:pt>
                <c:pt idx="249">
                  <c:v>0.14339</c:v>
                </c:pt>
                <c:pt idx="250">
                  <c:v>0.14365</c:v>
                </c:pt>
                <c:pt idx="251">
                  <c:v>0.14391</c:v>
                </c:pt>
                <c:pt idx="252">
                  <c:v>0.14417</c:v>
                </c:pt>
                <c:pt idx="253">
                  <c:v>0.1443</c:v>
                </c:pt>
                <c:pt idx="254">
                  <c:v>0.14469</c:v>
                </c:pt>
                <c:pt idx="255">
                  <c:v>0.14495</c:v>
                </c:pt>
                <c:pt idx="256">
                  <c:v>0.14521</c:v>
                </c:pt>
                <c:pt idx="257">
                  <c:v>0.1456</c:v>
                </c:pt>
                <c:pt idx="258">
                  <c:v>0.14586</c:v>
                </c:pt>
                <c:pt idx="259">
                  <c:v>0.14612</c:v>
                </c:pt>
                <c:pt idx="260">
                  <c:v>0.14651</c:v>
                </c:pt>
                <c:pt idx="261">
                  <c:v>0.14677</c:v>
                </c:pt>
                <c:pt idx="262">
                  <c:v>0.14716</c:v>
                </c:pt>
                <c:pt idx="263">
                  <c:v>0.14755</c:v>
                </c:pt>
                <c:pt idx="264">
                  <c:v>0.14781</c:v>
                </c:pt>
                <c:pt idx="265">
                  <c:v>0.1482</c:v>
                </c:pt>
                <c:pt idx="266">
                  <c:v>0.14859</c:v>
                </c:pt>
                <c:pt idx="267">
                  <c:v>0.14885</c:v>
                </c:pt>
                <c:pt idx="268">
                  <c:v>0.14924</c:v>
                </c:pt>
                <c:pt idx="269">
                  <c:v>0.14963</c:v>
                </c:pt>
                <c:pt idx="270">
                  <c:v>0.14989</c:v>
                </c:pt>
                <c:pt idx="271">
                  <c:v>0.15028</c:v>
                </c:pt>
                <c:pt idx="272">
                  <c:v>0.15054</c:v>
                </c:pt>
                <c:pt idx="273">
                  <c:v>0.15093</c:v>
                </c:pt>
                <c:pt idx="274">
                  <c:v>0.15132</c:v>
                </c:pt>
                <c:pt idx="275">
                  <c:v>0.15171</c:v>
                </c:pt>
                <c:pt idx="276">
                  <c:v>0.1521</c:v>
                </c:pt>
                <c:pt idx="277">
                  <c:v>0.15249</c:v>
                </c:pt>
                <c:pt idx="278">
                  <c:v>0.15288</c:v>
                </c:pt>
                <c:pt idx="279">
                  <c:v>0.15327</c:v>
                </c:pt>
                <c:pt idx="280">
                  <c:v>0.15366</c:v>
                </c:pt>
                <c:pt idx="281">
                  <c:v>0.15405</c:v>
                </c:pt>
                <c:pt idx="282">
                  <c:v>0.15457</c:v>
                </c:pt>
                <c:pt idx="283">
                  <c:v>0.15509</c:v>
                </c:pt>
                <c:pt idx="284">
                  <c:v>0.15548</c:v>
                </c:pt>
                <c:pt idx="285">
                  <c:v>0.15587</c:v>
                </c:pt>
                <c:pt idx="286">
                  <c:v>0.15626</c:v>
                </c:pt>
                <c:pt idx="287">
                  <c:v>0.15665</c:v>
                </c:pt>
                <c:pt idx="288">
                  <c:v>0.15704</c:v>
                </c:pt>
                <c:pt idx="289">
                  <c:v>0.1573</c:v>
                </c:pt>
                <c:pt idx="290">
                  <c:v>0.15769</c:v>
                </c:pt>
                <c:pt idx="291">
                  <c:v>0.15795</c:v>
                </c:pt>
                <c:pt idx="292">
                  <c:v>0.15834</c:v>
                </c:pt>
                <c:pt idx="293">
                  <c:v>0.1586</c:v>
                </c:pt>
                <c:pt idx="294">
                  <c:v>0.15886</c:v>
                </c:pt>
                <c:pt idx="295">
                  <c:v>0.15912</c:v>
                </c:pt>
                <c:pt idx="296">
                  <c:v>0.15938</c:v>
                </c:pt>
                <c:pt idx="297">
                  <c:v>0.15964</c:v>
                </c:pt>
                <c:pt idx="298">
                  <c:v>0.1599</c:v>
                </c:pt>
                <c:pt idx="299">
                  <c:v>0.16016</c:v>
                </c:pt>
                <c:pt idx="300">
                  <c:v>0.16055</c:v>
                </c:pt>
                <c:pt idx="301">
                  <c:v>0.16081</c:v>
                </c:pt>
                <c:pt idx="302">
                  <c:v>0.16107</c:v>
                </c:pt>
                <c:pt idx="303">
                  <c:v>0.16146</c:v>
                </c:pt>
                <c:pt idx="304">
                  <c:v>0.16172</c:v>
                </c:pt>
                <c:pt idx="305">
                  <c:v>0.16198</c:v>
                </c:pt>
                <c:pt idx="306">
                  <c:v>0.16237</c:v>
                </c:pt>
                <c:pt idx="307">
                  <c:v>0.16263</c:v>
                </c:pt>
                <c:pt idx="308">
                  <c:v>0.16289</c:v>
                </c:pt>
                <c:pt idx="309">
                  <c:v>0.16315</c:v>
                </c:pt>
                <c:pt idx="310">
                  <c:v>0.16341</c:v>
                </c:pt>
                <c:pt idx="311">
                  <c:v>0.16367</c:v>
                </c:pt>
                <c:pt idx="312">
                  <c:v>0.16393</c:v>
                </c:pt>
                <c:pt idx="313">
                  <c:v>0.16419</c:v>
                </c:pt>
                <c:pt idx="314">
                  <c:v>0.16445</c:v>
                </c:pt>
                <c:pt idx="315">
                  <c:v>0.16471</c:v>
                </c:pt>
                <c:pt idx="316">
                  <c:v>0.16497</c:v>
                </c:pt>
                <c:pt idx="317">
                  <c:v>0.16523</c:v>
                </c:pt>
                <c:pt idx="318">
                  <c:v>0.16536</c:v>
                </c:pt>
                <c:pt idx="319">
                  <c:v>0.16562</c:v>
                </c:pt>
                <c:pt idx="320">
                  <c:v>0.16575</c:v>
                </c:pt>
                <c:pt idx="321">
                  <c:v>0.16588</c:v>
                </c:pt>
                <c:pt idx="322">
                  <c:v>0.16614</c:v>
                </c:pt>
                <c:pt idx="323">
                  <c:v>0.16627</c:v>
                </c:pt>
                <c:pt idx="324">
                  <c:v>0.16653</c:v>
                </c:pt>
                <c:pt idx="325">
                  <c:v>0.16666</c:v>
                </c:pt>
                <c:pt idx="326">
                  <c:v>0.16679</c:v>
                </c:pt>
                <c:pt idx="327">
                  <c:v>0.16705</c:v>
                </c:pt>
                <c:pt idx="328">
                  <c:v>0.16718</c:v>
                </c:pt>
                <c:pt idx="329">
                  <c:v>0.16744</c:v>
                </c:pt>
                <c:pt idx="330">
                  <c:v>0.1677</c:v>
                </c:pt>
                <c:pt idx="331">
                  <c:v>0.16796</c:v>
                </c:pt>
                <c:pt idx="332">
                  <c:v>0.16822</c:v>
                </c:pt>
                <c:pt idx="333">
                  <c:v>0.16848</c:v>
                </c:pt>
                <c:pt idx="334">
                  <c:v>0.16874</c:v>
                </c:pt>
                <c:pt idx="335">
                  <c:v>0.169</c:v>
                </c:pt>
                <c:pt idx="336">
                  <c:v>0.16913</c:v>
                </c:pt>
              </c:numCache>
            </c:numRef>
          </c:yVal>
          <c:smooth val="0"/>
        </c:ser>
        <c:ser>
          <c:idx val="0"/>
          <c:order val="0"/>
          <c:tx>
            <c:v>6MCS2</c:v>
          </c:tx>
          <c:spPr>
            <a:ln w="25400">
              <a:solidFill>
                <a:schemeClr val="accent3">
                  <a:lumMod val="75000"/>
                </a:schemeClr>
              </a:solidFill>
              <a:prstDash val="solid"/>
            </a:ln>
          </c:spPr>
          <c:marker>
            <c:symbol val="none"/>
          </c:marker>
          <c:xVal>
            <c:numRef>
              <c:f>'[1]6MCS2- in1'!$C$5:$C$605</c:f>
              <c:numCache>
                <c:formatCode>0.00E+00</c:formatCode>
                <c:ptCount val="601"/>
                <c:pt idx="0">
                  <c:v>10.67</c:v>
                </c:pt>
                <c:pt idx="1">
                  <c:v>10.47</c:v>
                </c:pt>
                <c:pt idx="2">
                  <c:v>10.21</c:v>
                </c:pt>
                <c:pt idx="3">
                  <c:v>9.937000000000001</c:v>
                </c:pt>
                <c:pt idx="4">
                  <c:v>9.662</c:v>
                </c:pt>
                <c:pt idx="5">
                  <c:v>9.389</c:v>
                </c:pt>
                <c:pt idx="6">
                  <c:v>9.145</c:v>
                </c:pt>
                <c:pt idx="7">
                  <c:v>8.902</c:v>
                </c:pt>
                <c:pt idx="8">
                  <c:v>8.665</c:v>
                </c:pt>
                <c:pt idx="9">
                  <c:v>8.433000000000001</c:v>
                </c:pt>
                <c:pt idx="10">
                  <c:v>8.207999999999998</c:v>
                </c:pt>
                <c:pt idx="11">
                  <c:v>7.988</c:v>
                </c:pt>
                <c:pt idx="12">
                  <c:v>7.772</c:v>
                </c:pt>
                <c:pt idx="13">
                  <c:v>7.559</c:v>
                </c:pt>
                <c:pt idx="14">
                  <c:v>7.349</c:v>
                </c:pt>
                <c:pt idx="15">
                  <c:v>7.141999999999999</c:v>
                </c:pt>
                <c:pt idx="16">
                  <c:v>6.935</c:v>
                </c:pt>
                <c:pt idx="17">
                  <c:v>6.726999999999998</c:v>
                </c:pt>
                <c:pt idx="18">
                  <c:v>6.516999999999999</c:v>
                </c:pt>
                <c:pt idx="19">
                  <c:v>6.306</c:v>
                </c:pt>
                <c:pt idx="20">
                  <c:v>6.092</c:v>
                </c:pt>
                <c:pt idx="21">
                  <c:v>5.876</c:v>
                </c:pt>
                <c:pt idx="22">
                  <c:v>5.655999999999977</c:v>
                </c:pt>
                <c:pt idx="23">
                  <c:v>5.436</c:v>
                </c:pt>
                <c:pt idx="24">
                  <c:v>5.213</c:v>
                </c:pt>
                <c:pt idx="25">
                  <c:v>4.989</c:v>
                </c:pt>
                <c:pt idx="26">
                  <c:v>4.761</c:v>
                </c:pt>
                <c:pt idx="27">
                  <c:v>4.531</c:v>
                </c:pt>
                <c:pt idx="28">
                  <c:v>4.3</c:v>
                </c:pt>
                <c:pt idx="29">
                  <c:v>4.066999999999997</c:v>
                </c:pt>
                <c:pt idx="30">
                  <c:v>3.833</c:v>
                </c:pt>
                <c:pt idx="31">
                  <c:v>3.6</c:v>
                </c:pt>
                <c:pt idx="32">
                  <c:v>3.365</c:v>
                </c:pt>
                <c:pt idx="33">
                  <c:v>3.132</c:v>
                </c:pt>
                <c:pt idx="34">
                  <c:v>2.902</c:v>
                </c:pt>
                <c:pt idx="35">
                  <c:v>2.676</c:v>
                </c:pt>
                <c:pt idx="36">
                  <c:v>2.454</c:v>
                </c:pt>
                <c:pt idx="37">
                  <c:v>2.238</c:v>
                </c:pt>
                <c:pt idx="38">
                  <c:v>2.031</c:v>
                </c:pt>
                <c:pt idx="39">
                  <c:v>1.834</c:v>
                </c:pt>
                <c:pt idx="40">
                  <c:v>1.648</c:v>
                </c:pt>
                <c:pt idx="41">
                  <c:v>1.477</c:v>
                </c:pt>
                <c:pt idx="42">
                  <c:v>1.32</c:v>
                </c:pt>
                <c:pt idx="43">
                  <c:v>1.177</c:v>
                </c:pt>
                <c:pt idx="44">
                  <c:v>1.049</c:v>
                </c:pt>
                <c:pt idx="45">
                  <c:v>0.9357</c:v>
                </c:pt>
                <c:pt idx="46">
                  <c:v>0.836</c:v>
                </c:pt>
                <c:pt idx="47">
                  <c:v>0.7489</c:v>
                </c:pt>
                <c:pt idx="48">
                  <c:v>0.6731</c:v>
                </c:pt>
                <c:pt idx="49">
                  <c:v>0.6072</c:v>
                </c:pt>
                <c:pt idx="50">
                  <c:v>0.55</c:v>
                </c:pt>
                <c:pt idx="51">
                  <c:v>0.5002</c:v>
                </c:pt>
                <c:pt idx="52">
                  <c:v>0.4569</c:v>
                </c:pt>
                <c:pt idx="53">
                  <c:v>0.419</c:v>
                </c:pt>
                <c:pt idx="54">
                  <c:v>0.386</c:v>
                </c:pt>
                <c:pt idx="55">
                  <c:v>0.357</c:v>
                </c:pt>
                <c:pt idx="56">
                  <c:v>0.3315</c:v>
                </c:pt>
                <c:pt idx="57">
                  <c:v>0.3089</c:v>
                </c:pt>
                <c:pt idx="58">
                  <c:v>0.2888</c:v>
                </c:pt>
                <c:pt idx="59">
                  <c:v>0.2708</c:v>
                </c:pt>
                <c:pt idx="60">
                  <c:v>0.2547</c:v>
                </c:pt>
                <c:pt idx="61">
                  <c:v>0.24</c:v>
                </c:pt>
                <c:pt idx="62">
                  <c:v>0.2267</c:v>
                </c:pt>
                <c:pt idx="63">
                  <c:v>0.2146</c:v>
                </c:pt>
                <c:pt idx="64">
                  <c:v>0.2036</c:v>
                </c:pt>
                <c:pt idx="65">
                  <c:v>0.1935</c:v>
                </c:pt>
                <c:pt idx="66">
                  <c:v>0.1842</c:v>
                </c:pt>
                <c:pt idx="67">
                  <c:v>0.1756</c:v>
                </c:pt>
                <c:pt idx="68">
                  <c:v>0.1677</c:v>
                </c:pt>
                <c:pt idx="69">
                  <c:v>0.1603</c:v>
                </c:pt>
                <c:pt idx="70">
                  <c:v>0.1534</c:v>
                </c:pt>
                <c:pt idx="71">
                  <c:v>0.1469</c:v>
                </c:pt>
                <c:pt idx="72">
                  <c:v>0.1408</c:v>
                </c:pt>
                <c:pt idx="73">
                  <c:v>0.1352</c:v>
                </c:pt>
                <c:pt idx="74">
                  <c:v>0.1299</c:v>
                </c:pt>
                <c:pt idx="75">
                  <c:v>0.1249</c:v>
                </c:pt>
                <c:pt idx="76">
                  <c:v>0.1202</c:v>
                </c:pt>
                <c:pt idx="77">
                  <c:v>0.1158</c:v>
                </c:pt>
                <c:pt idx="78">
                  <c:v>0.1116</c:v>
                </c:pt>
                <c:pt idx="79">
                  <c:v>0.1077</c:v>
                </c:pt>
                <c:pt idx="80">
                  <c:v>0.104</c:v>
                </c:pt>
                <c:pt idx="81">
                  <c:v>0.1006</c:v>
                </c:pt>
                <c:pt idx="82">
                  <c:v>0.09734</c:v>
                </c:pt>
                <c:pt idx="83">
                  <c:v>0.09429</c:v>
                </c:pt>
                <c:pt idx="84">
                  <c:v>0.0914</c:v>
                </c:pt>
                <c:pt idx="85">
                  <c:v>0.08868</c:v>
                </c:pt>
                <c:pt idx="86">
                  <c:v>0.08612</c:v>
                </c:pt>
                <c:pt idx="87">
                  <c:v>0.08368</c:v>
                </c:pt>
                <c:pt idx="88">
                  <c:v>0.08136</c:v>
                </c:pt>
                <c:pt idx="89">
                  <c:v>0.07917</c:v>
                </c:pt>
                <c:pt idx="90">
                  <c:v>0.07709</c:v>
                </c:pt>
                <c:pt idx="91">
                  <c:v>0.0751</c:v>
                </c:pt>
                <c:pt idx="92">
                  <c:v>0.07318</c:v>
                </c:pt>
                <c:pt idx="93">
                  <c:v>0.07134</c:v>
                </c:pt>
                <c:pt idx="94">
                  <c:v>0.06958</c:v>
                </c:pt>
                <c:pt idx="95">
                  <c:v>0.06788</c:v>
                </c:pt>
                <c:pt idx="96">
                  <c:v>0.06621</c:v>
                </c:pt>
                <c:pt idx="97">
                  <c:v>0.06463</c:v>
                </c:pt>
                <c:pt idx="98">
                  <c:v>0.06308</c:v>
                </c:pt>
                <c:pt idx="99">
                  <c:v>0.0616</c:v>
                </c:pt>
                <c:pt idx="100">
                  <c:v>0.06016</c:v>
                </c:pt>
                <c:pt idx="101">
                  <c:v>0.05877</c:v>
                </c:pt>
                <c:pt idx="102">
                  <c:v>0.05742</c:v>
                </c:pt>
                <c:pt idx="103">
                  <c:v>0.05615</c:v>
                </c:pt>
                <c:pt idx="104">
                  <c:v>0.05493</c:v>
                </c:pt>
                <c:pt idx="105">
                  <c:v>0.05376</c:v>
                </c:pt>
                <c:pt idx="106">
                  <c:v>0.05265</c:v>
                </c:pt>
                <c:pt idx="107">
                  <c:v>0.05161</c:v>
                </c:pt>
                <c:pt idx="108">
                  <c:v>0.0506</c:v>
                </c:pt>
                <c:pt idx="109">
                  <c:v>0.04966</c:v>
                </c:pt>
                <c:pt idx="110">
                  <c:v>0.04874</c:v>
                </c:pt>
                <c:pt idx="111">
                  <c:v>0.04786</c:v>
                </c:pt>
                <c:pt idx="112">
                  <c:v>0.047</c:v>
                </c:pt>
                <c:pt idx="113">
                  <c:v>0.04619</c:v>
                </c:pt>
                <c:pt idx="114">
                  <c:v>0.0454</c:v>
                </c:pt>
                <c:pt idx="115">
                  <c:v>0.04464</c:v>
                </c:pt>
                <c:pt idx="116">
                  <c:v>0.0439</c:v>
                </c:pt>
                <c:pt idx="117">
                  <c:v>0.04317</c:v>
                </c:pt>
                <c:pt idx="118">
                  <c:v>0.04246</c:v>
                </c:pt>
                <c:pt idx="119">
                  <c:v>0.04177</c:v>
                </c:pt>
                <c:pt idx="120">
                  <c:v>0.0411</c:v>
                </c:pt>
                <c:pt idx="121">
                  <c:v>0.04045</c:v>
                </c:pt>
                <c:pt idx="122">
                  <c:v>0.03983</c:v>
                </c:pt>
                <c:pt idx="123">
                  <c:v>0.03923</c:v>
                </c:pt>
                <c:pt idx="124">
                  <c:v>0.03865</c:v>
                </c:pt>
                <c:pt idx="125">
                  <c:v>0.03808</c:v>
                </c:pt>
                <c:pt idx="126">
                  <c:v>0.03753</c:v>
                </c:pt>
                <c:pt idx="127">
                  <c:v>0.03699</c:v>
                </c:pt>
                <c:pt idx="128">
                  <c:v>0.03648</c:v>
                </c:pt>
                <c:pt idx="129">
                  <c:v>0.03598</c:v>
                </c:pt>
                <c:pt idx="130">
                  <c:v>0.03549</c:v>
                </c:pt>
                <c:pt idx="131">
                  <c:v>0.03501</c:v>
                </c:pt>
                <c:pt idx="132">
                  <c:v>0.03455</c:v>
                </c:pt>
                <c:pt idx="133">
                  <c:v>0.03409</c:v>
                </c:pt>
                <c:pt idx="134">
                  <c:v>0.03365</c:v>
                </c:pt>
                <c:pt idx="135">
                  <c:v>0.03322</c:v>
                </c:pt>
                <c:pt idx="136">
                  <c:v>0.03279</c:v>
                </c:pt>
                <c:pt idx="137">
                  <c:v>0.03238</c:v>
                </c:pt>
                <c:pt idx="138">
                  <c:v>0.03198</c:v>
                </c:pt>
                <c:pt idx="139">
                  <c:v>0.03157</c:v>
                </c:pt>
                <c:pt idx="140">
                  <c:v>0.03117</c:v>
                </c:pt>
                <c:pt idx="141">
                  <c:v>0.03079</c:v>
                </c:pt>
                <c:pt idx="142">
                  <c:v>0.03041</c:v>
                </c:pt>
                <c:pt idx="143">
                  <c:v>0.03004</c:v>
                </c:pt>
                <c:pt idx="144">
                  <c:v>0.02968</c:v>
                </c:pt>
                <c:pt idx="145">
                  <c:v>0.02932</c:v>
                </c:pt>
                <c:pt idx="146">
                  <c:v>0.02898</c:v>
                </c:pt>
                <c:pt idx="147">
                  <c:v>0.02863</c:v>
                </c:pt>
                <c:pt idx="148">
                  <c:v>0.02829</c:v>
                </c:pt>
                <c:pt idx="149">
                  <c:v>0.02795</c:v>
                </c:pt>
                <c:pt idx="150">
                  <c:v>0.02762</c:v>
                </c:pt>
                <c:pt idx="151">
                  <c:v>0.02729</c:v>
                </c:pt>
                <c:pt idx="152">
                  <c:v>0.02696</c:v>
                </c:pt>
                <c:pt idx="153">
                  <c:v>0.02663</c:v>
                </c:pt>
                <c:pt idx="154">
                  <c:v>0.02629</c:v>
                </c:pt>
                <c:pt idx="155">
                  <c:v>0.02596</c:v>
                </c:pt>
                <c:pt idx="156">
                  <c:v>0.02562</c:v>
                </c:pt>
                <c:pt idx="157">
                  <c:v>0.02528</c:v>
                </c:pt>
                <c:pt idx="158">
                  <c:v>0.02495</c:v>
                </c:pt>
                <c:pt idx="159">
                  <c:v>0.02462</c:v>
                </c:pt>
                <c:pt idx="160">
                  <c:v>0.02429</c:v>
                </c:pt>
                <c:pt idx="161">
                  <c:v>0.02396</c:v>
                </c:pt>
                <c:pt idx="162">
                  <c:v>0.02363</c:v>
                </c:pt>
                <c:pt idx="163">
                  <c:v>0.0233</c:v>
                </c:pt>
                <c:pt idx="164">
                  <c:v>0.02298</c:v>
                </c:pt>
                <c:pt idx="165">
                  <c:v>0.02267</c:v>
                </c:pt>
                <c:pt idx="166">
                  <c:v>0.02236</c:v>
                </c:pt>
                <c:pt idx="167">
                  <c:v>0.02206</c:v>
                </c:pt>
                <c:pt idx="168">
                  <c:v>0.02177</c:v>
                </c:pt>
                <c:pt idx="169">
                  <c:v>0.02147</c:v>
                </c:pt>
                <c:pt idx="170">
                  <c:v>0.02119</c:v>
                </c:pt>
                <c:pt idx="171">
                  <c:v>0.02091</c:v>
                </c:pt>
                <c:pt idx="172">
                  <c:v>0.02063</c:v>
                </c:pt>
                <c:pt idx="173">
                  <c:v>0.02037</c:v>
                </c:pt>
                <c:pt idx="174">
                  <c:v>0.0201</c:v>
                </c:pt>
                <c:pt idx="175">
                  <c:v>0.01985</c:v>
                </c:pt>
                <c:pt idx="176">
                  <c:v>0.0196</c:v>
                </c:pt>
                <c:pt idx="177">
                  <c:v>0.01935</c:v>
                </c:pt>
                <c:pt idx="178">
                  <c:v>0.01911</c:v>
                </c:pt>
                <c:pt idx="179">
                  <c:v>0.01887</c:v>
                </c:pt>
                <c:pt idx="180">
                  <c:v>0.01864</c:v>
                </c:pt>
                <c:pt idx="181">
                  <c:v>0.01841</c:v>
                </c:pt>
                <c:pt idx="182">
                  <c:v>0.01819</c:v>
                </c:pt>
                <c:pt idx="183">
                  <c:v>0.01797</c:v>
                </c:pt>
                <c:pt idx="184">
                  <c:v>0.01775</c:v>
                </c:pt>
                <c:pt idx="185">
                  <c:v>0.01754</c:v>
                </c:pt>
                <c:pt idx="186">
                  <c:v>0.01734</c:v>
                </c:pt>
                <c:pt idx="187">
                  <c:v>0.01713</c:v>
                </c:pt>
                <c:pt idx="188">
                  <c:v>0.01694</c:v>
                </c:pt>
                <c:pt idx="189">
                  <c:v>0.01674</c:v>
                </c:pt>
                <c:pt idx="190">
                  <c:v>0.01655</c:v>
                </c:pt>
                <c:pt idx="191">
                  <c:v>0.01637</c:v>
                </c:pt>
                <c:pt idx="192">
                  <c:v>0.01618</c:v>
                </c:pt>
                <c:pt idx="193">
                  <c:v>0.016</c:v>
                </c:pt>
                <c:pt idx="194">
                  <c:v>0.01582</c:v>
                </c:pt>
                <c:pt idx="195">
                  <c:v>0.01565</c:v>
                </c:pt>
                <c:pt idx="196">
                  <c:v>0.01548</c:v>
                </c:pt>
                <c:pt idx="197">
                  <c:v>0.01531</c:v>
                </c:pt>
                <c:pt idx="198">
                  <c:v>0.01515</c:v>
                </c:pt>
                <c:pt idx="199">
                  <c:v>0.01499</c:v>
                </c:pt>
                <c:pt idx="200">
                  <c:v>0.01484</c:v>
                </c:pt>
                <c:pt idx="201">
                  <c:v>0.01469</c:v>
                </c:pt>
                <c:pt idx="202">
                  <c:v>0.01454</c:v>
                </c:pt>
                <c:pt idx="203">
                  <c:v>0.01439</c:v>
                </c:pt>
                <c:pt idx="204">
                  <c:v>0.01425</c:v>
                </c:pt>
                <c:pt idx="205">
                  <c:v>0.01412</c:v>
                </c:pt>
                <c:pt idx="206">
                  <c:v>0.01399</c:v>
                </c:pt>
                <c:pt idx="207">
                  <c:v>0.01387</c:v>
                </c:pt>
                <c:pt idx="208">
                  <c:v>0.01374</c:v>
                </c:pt>
                <c:pt idx="209">
                  <c:v>0.01362</c:v>
                </c:pt>
                <c:pt idx="210">
                  <c:v>0.0135</c:v>
                </c:pt>
                <c:pt idx="211">
                  <c:v>0.01339</c:v>
                </c:pt>
                <c:pt idx="212">
                  <c:v>0.01328</c:v>
                </c:pt>
                <c:pt idx="213">
                  <c:v>0.01319</c:v>
                </c:pt>
                <c:pt idx="214">
                  <c:v>0.01309</c:v>
                </c:pt>
                <c:pt idx="215">
                  <c:v>0.013</c:v>
                </c:pt>
                <c:pt idx="216">
                  <c:v>0.01291</c:v>
                </c:pt>
                <c:pt idx="217">
                  <c:v>0.01282</c:v>
                </c:pt>
                <c:pt idx="218">
                  <c:v>0.01273</c:v>
                </c:pt>
                <c:pt idx="219">
                  <c:v>0.01265</c:v>
                </c:pt>
                <c:pt idx="220">
                  <c:v>0.01257</c:v>
                </c:pt>
                <c:pt idx="221">
                  <c:v>0.01249</c:v>
                </c:pt>
                <c:pt idx="222">
                  <c:v>0.01241</c:v>
                </c:pt>
                <c:pt idx="223">
                  <c:v>0.01233</c:v>
                </c:pt>
                <c:pt idx="224">
                  <c:v>0.01226</c:v>
                </c:pt>
                <c:pt idx="225">
                  <c:v>0.01218</c:v>
                </c:pt>
                <c:pt idx="226">
                  <c:v>0.0121</c:v>
                </c:pt>
                <c:pt idx="227">
                  <c:v>0.01203</c:v>
                </c:pt>
                <c:pt idx="228">
                  <c:v>0.01196</c:v>
                </c:pt>
                <c:pt idx="229">
                  <c:v>0.01188</c:v>
                </c:pt>
                <c:pt idx="230">
                  <c:v>0.01181</c:v>
                </c:pt>
                <c:pt idx="231">
                  <c:v>0.01174</c:v>
                </c:pt>
                <c:pt idx="232">
                  <c:v>0.01167</c:v>
                </c:pt>
                <c:pt idx="233">
                  <c:v>0.0116</c:v>
                </c:pt>
                <c:pt idx="234">
                  <c:v>0.01153</c:v>
                </c:pt>
                <c:pt idx="235">
                  <c:v>0.01146</c:v>
                </c:pt>
                <c:pt idx="236">
                  <c:v>0.01139</c:v>
                </c:pt>
                <c:pt idx="237">
                  <c:v>0.01132</c:v>
                </c:pt>
                <c:pt idx="238">
                  <c:v>0.01125</c:v>
                </c:pt>
                <c:pt idx="239">
                  <c:v>0.01119</c:v>
                </c:pt>
                <c:pt idx="240">
                  <c:v>0.01112</c:v>
                </c:pt>
                <c:pt idx="241">
                  <c:v>0.01106</c:v>
                </c:pt>
                <c:pt idx="242">
                  <c:v>0.01099</c:v>
                </c:pt>
                <c:pt idx="243">
                  <c:v>0.01093</c:v>
                </c:pt>
                <c:pt idx="244">
                  <c:v>0.01087</c:v>
                </c:pt>
                <c:pt idx="245">
                  <c:v>0.01081</c:v>
                </c:pt>
                <c:pt idx="246">
                  <c:v>0.01074</c:v>
                </c:pt>
                <c:pt idx="247">
                  <c:v>0.01068</c:v>
                </c:pt>
                <c:pt idx="248">
                  <c:v>0.01062</c:v>
                </c:pt>
                <c:pt idx="249">
                  <c:v>0.01056</c:v>
                </c:pt>
                <c:pt idx="250">
                  <c:v>0.0105</c:v>
                </c:pt>
                <c:pt idx="251">
                  <c:v>0.01044</c:v>
                </c:pt>
                <c:pt idx="252">
                  <c:v>0.01038</c:v>
                </c:pt>
                <c:pt idx="253">
                  <c:v>0.01033</c:v>
                </c:pt>
                <c:pt idx="254">
                  <c:v>0.01027</c:v>
                </c:pt>
                <c:pt idx="255">
                  <c:v>0.01021</c:v>
                </c:pt>
                <c:pt idx="256">
                  <c:v>0.01016</c:v>
                </c:pt>
                <c:pt idx="257">
                  <c:v>0.0101</c:v>
                </c:pt>
                <c:pt idx="258">
                  <c:v>0.01004</c:v>
                </c:pt>
                <c:pt idx="259">
                  <c:v>0.009989</c:v>
                </c:pt>
                <c:pt idx="260">
                  <c:v>0.009935</c:v>
                </c:pt>
                <c:pt idx="261">
                  <c:v>0.009881</c:v>
                </c:pt>
                <c:pt idx="262">
                  <c:v>0.009828</c:v>
                </c:pt>
                <c:pt idx="263">
                  <c:v>0.009775</c:v>
                </c:pt>
                <c:pt idx="264">
                  <c:v>0.009723</c:v>
                </c:pt>
                <c:pt idx="265">
                  <c:v>0.009671</c:v>
                </c:pt>
                <c:pt idx="266">
                  <c:v>0.00962</c:v>
                </c:pt>
                <c:pt idx="267">
                  <c:v>0.009569</c:v>
                </c:pt>
                <c:pt idx="268">
                  <c:v>0.009518</c:v>
                </c:pt>
                <c:pt idx="269">
                  <c:v>0.009468</c:v>
                </c:pt>
                <c:pt idx="270">
                  <c:v>0.009418</c:v>
                </c:pt>
                <c:pt idx="271">
                  <c:v>0.009369</c:v>
                </c:pt>
                <c:pt idx="272">
                  <c:v>0.00932</c:v>
                </c:pt>
                <c:pt idx="273">
                  <c:v>0.00927</c:v>
                </c:pt>
                <c:pt idx="274">
                  <c:v>0.00922</c:v>
                </c:pt>
                <c:pt idx="275">
                  <c:v>0.009171</c:v>
                </c:pt>
                <c:pt idx="276">
                  <c:v>0.00912</c:v>
                </c:pt>
                <c:pt idx="277">
                  <c:v>0.009069</c:v>
                </c:pt>
                <c:pt idx="278">
                  <c:v>0.009018</c:v>
                </c:pt>
                <c:pt idx="279">
                  <c:v>0.008967</c:v>
                </c:pt>
                <c:pt idx="280">
                  <c:v>0.008916</c:v>
                </c:pt>
                <c:pt idx="281">
                  <c:v>0.008864</c:v>
                </c:pt>
                <c:pt idx="282">
                  <c:v>0.008814</c:v>
                </c:pt>
                <c:pt idx="283">
                  <c:v>0.008762</c:v>
                </c:pt>
                <c:pt idx="284">
                  <c:v>0.008712</c:v>
                </c:pt>
                <c:pt idx="285">
                  <c:v>0.008661</c:v>
                </c:pt>
                <c:pt idx="286">
                  <c:v>0.00861</c:v>
                </c:pt>
                <c:pt idx="287">
                  <c:v>0.00856</c:v>
                </c:pt>
                <c:pt idx="288">
                  <c:v>0.00851</c:v>
                </c:pt>
                <c:pt idx="289">
                  <c:v>0.00846</c:v>
                </c:pt>
                <c:pt idx="290">
                  <c:v>0.008411</c:v>
                </c:pt>
                <c:pt idx="291">
                  <c:v>0.008361</c:v>
                </c:pt>
                <c:pt idx="292">
                  <c:v>0.008312</c:v>
                </c:pt>
                <c:pt idx="293">
                  <c:v>0.008262</c:v>
                </c:pt>
                <c:pt idx="294">
                  <c:v>0.008212</c:v>
                </c:pt>
                <c:pt idx="295">
                  <c:v>0.008163</c:v>
                </c:pt>
                <c:pt idx="296">
                  <c:v>0.008115</c:v>
                </c:pt>
                <c:pt idx="297">
                  <c:v>0.008066</c:v>
                </c:pt>
                <c:pt idx="298">
                  <c:v>0.008019</c:v>
                </c:pt>
                <c:pt idx="299">
                  <c:v>0.007971</c:v>
                </c:pt>
                <c:pt idx="300">
                  <c:v>0.007924</c:v>
                </c:pt>
                <c:pt idx="301">
                  <c:v>0.007877</c:v>
                </c:pt>
                <c:pt idx="302">
                  <c:v>0.007831</c:v>
                </c:pt>
                <c:pt idx="303">
                  <c:v>0.007786</c:v>
                </c:pt>
                <c:pt idx="304">
                  <c:v>0.00774</c:v>
                </c:pt>
                <c:pt idx="305">
                  <c:v>0.007695</c:v>
                </c:pt>
                <c:pt idx="306">
                  <c:v>0.007651</c:v>
                </c:pt>
                <c:pt idx="307">
                  <c:v>0.007607</c:v>
                </c:pt>
                <c:pt idx="308">
                  <c:v>0.007563</c:v>
                </c:pt>
                <c:pt idx="309">
                  <c:v>0.00752</c:v>
                </c:pt>
                <c:pt idx="310">
                  <c:v>0.007478</c:v>
                </c:pt>
                <c:pt idx="311">
                  <c:v>0.007436</c:v>
                </c:pt>
                <c:pt idx="312">
                  <c:v>0.007394</c:v>
                </c:pt>
                <c:pt idx="313">
                  <c:v>0.007352</c:v>
                </c:pt>
                <c:pt idx="314">
                  <c:v>0.007312</c:v>
                </c:pt>
                <c:pt idx="315">
                  <c:v>0.007271</c:v>
                </c:pt>
                <c:pt idx="316">
                  <c:v>0.007231</c:v>
                </c:pt>
                <c:pt idx="317">
                  <c:v>0.007191</c:v>
                </c:pt>
                <c:pt idx="318">
                  <c:v>0.007152</c:v>
                </c:pt>
                <c:pt idx="319">
                  <c:v>0.007113</c:v>
                </c:pt>
                <c:pt idx="320">
                  <c:v>0.007074</c:v>
                </c:pt>
                <c:pt idx="321">
                  <c:v>0.007035</c:v>
                </c:pt>
                <c:pt idx="322">
                  <c:v>0.006997</c:v>
                </c:pt>
                <c:pt idx="323">
                  <c:v>0.006959</c:v>
                </c:pt>
                <c:pt idx="324">
                  <c:v>0.006922</c:v>
                </c:pt>
                <c:pt idx="325">
                  <c:v>0.006884</c:v>
                </c:pt>
                <c:pt idx="326">
                  <c:v>0.006847</c:v>
                </c:pt>
                <c:pt idx="327">
                  <c:v>0.006811</c:v>
                </c:pt>
                <c:pt idx="328">
                  <c:v>0.006774</c:v>
                </c:pt>
                <c:pt idx="329">
                  <c:v>0.006739</c:v>
                </c:pt>
                <c:pt idx="330">
                  <c:v>0.006703</c:v>
                </c:pt>
                <c:pt idx="331">
                  <c:v>0.006668</c:v>
                </c:pt>
                <c:pt idx="332">
                  <c:v>0.006633</c:v>
                </c:pt>
                <c:pt idx="333">
                  <c:v>0.006598</c:v>
                </c:pt>
                <c:pt idx="334">
                  <c:v>0.006564</c:v>
                </c:pt>
                <c:pt idx="335">
                  <c:v>0.00653</c:v>
                </c:pt>
                <c:pt idx="336">
                  <c:v>0.006496</c:v>
                </c:pt>
                <c:pt idx="337">
                  <c:v>0.006462</c:v>
                </c:pt>
              </c:numCache>
            </c:numRef>
          </c:xVal>
          <c:yVal>
            <c:numRef>
              <c:f>'[1]6MCS2- in1'!$I$5:$I$605</c:f>
              <c:numCache>
                <c:formatCode>General</c:formatCode>
                <c:ptCount val="601"/>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0.0002</c:v>
                </c:pt>
                <c:pt idx="44">
                  <c:v>0.0002</c:v>
                </c:pt>
                <c:pt idx="45">
                  <c:v>0.0004</c:v>
                </c:pt>
                <c:pt idx="46">
                  <c:v>0.0006</c:v>
                </c:pt>
                <c:pt idx="47">
                  <c:v>0.0006</c:v>
                </c:pt>
                <c:pt idx="48">
                  <c:v>0.0008</c:v>
                </c:pt>
                <c:pt idx="49">
                  <c:v>0.0008</c:v>
                </c:pt>
                <c:pt idx="50">
                  <c:v>0.001</c:v>
                </c:pt>
                <c:pt idx="51">
                  <c:v>0.0012</c:v>
                </c:pt>
                <c:pt idx="52">
                  <c:v>0.0012</c:v>
                </c:pt>
                <c:pt idx="53">
                  <c:v>0.0014</c:v>
                </c:pt>
                <c:pt idx="54">
                  <c:v>0.0014</c:v>
                </c:pt>
                <c:pt idx="55">
                  <c:v>0.0014</c:v>
                </c:pt>
                <c:pt idx="56">
                  <c:v>0.0014</c:v>
                </c:pt>
                <c:pt idx="57">
                  <c:v>0.0014</c:v>
                </c:pt>
                <c:pt idx="58">
                  <c:v>0.0014</c:v>
                </c:pt>
                <c:pt idx="59">
                  <c:v>0.0014</c:v>
                </c:pt>
                <c:pt idx="60">
                  <c:v>0.0014</c:v>
                </c:pt>
                <c:pt idx="61">
                  <c:v>0.0014</c:v>
                </c:pt>
                <c:pt idx="62">
                  <c:v>0.0014</c:v>
                </c:pt>
                <c:pt idx="63">
                  <c:v>0.0014</c:v>
                </c:pt>
                <c:pt idx="64">
                  <c:v>0.0014</c:v>
                </c:pt>
                <c:pt idx="65">
                  <c:v>0.0014</c:v>
                </c:pt>
                <c:pt idx="66">
                  <c:v>0.0014</c:v>
                </c:pt>
                <c:pt idx="67">
                  <c:v>0.0014</c:v>
                </c:pt>
                <c:pt idx="68">
                  <c:v>0.0014</c:v>
                </c:pt>
                <c:pt idx="69">
                  <c:v>0.0014</c:v>
                </c:pt>
                <c:pt idx="70">
                  <c:v>0.0014</c:v>
                </c:pt>
                <c:pt idx="71">
                  <c:v>0.0014</c:v>
                </c:pt>
                <c:pt idx="72">
                  <c:v>0.0014</c:v>
                </c:pt>
                <c:pt idx="73">
                  <c:v>0.0014</c:v>
                </c:pt>
                <c:pt idx="74">
                  <c:v>0.0014</c:v>
                </c:pt>
                <c:pt idx="75">
                  <c:v>0.0014</c:v>
                </c:pt>
                <c:pt idx="76">
                  <c:v>0.0014</c:v>
                </c:pt>
                <c:pt idx="77">
                  <c:v>0.0016</c:v>
                </c:pt>
                <c:pt idx="78">
                  <c:v>0.0016</c:v>
                </c:pt>
                <c:pt idx="79">
                  <c:v>0.0018</c:v>
                </c:pt>
                <c:pt idx="80">
                  <c:v>0.002</c:v>
                </c:pt>
                <c:pt idx="81">
                  <c:v>0.0024</c:v>
                </c:pt>
                <c:pt idx="82">
                  <c:v>0.0028</c:v>
                </c:pt>
                <c:pt idx="83">
                  <c:v>0.0032</c:v>
                </c:pt>
                <c:pt idx="84">
                  <c:v>0.0036</c:v>
                </c:pt>
                <c:pt idx="85">
                  <c:v>0.0042</c:v>
                </c:pt>
                <c:pt idx="86">
                  <c:v>0.0048</c:v>
                </c:pt>
                <c:pt idx="87">
                  <c:v>0.0054</c:v>
                </c:pt>
                <c:pt idx="88">
                  <c:v>0.0058</c:v>
                </c:pt>
                <c:pt idx="89">
                  <c:v>0.0064</c:v>
                </c:pt>
                <c:pt idx="90">
                  <c:v>0.007</c:v>
                </c:pt>
                <c:pt idx="91">
                  <c:v>0.0074</c:v>
                </c:pt>
                <c:pt idx="92">
                  <c:v>0.0078</c:v>
                </c:pt>
                <c:pt idx="93">
                  <c:v>0.0082</c:v>
                </c:pt>
                <c:pt idx="94">
                  <c:v>0.0086</c:v>
                </c:pt>
                <c:pt idx="95">
                  <c:v>0.009</c:v>
                </c:pt>
                <c:pt idx="96">
                  <c:v>0.0092</c:v>
                </c:pt>
                <c:pt idx="97">
                  <c:v>0.0094</c:v>
                </c:pt>
                <c:pt idx="98">
                  <c:v>0.0096</c:v>
                </c:pt>
                <c:pt idx="99">
                  <c:v>0.0098</c:v>
                </c:pt>
                <c:pt idx="100">
                  <c:v>0.01</c:v>
                </c:pt>
                <c:pt idx="101">
                  <c:v>0.0102</c:v>
                </c:pt>
                <c:pt idx="102">
                  <c:v>0.0104</c:v>
                </c:pt>
                <c:pt idx="103">
                  <c:v>0.0108</c:v>
                </c:pt>
                <c:pt idx="104">
                  <c:v>0.0112</c:v>
                </c:pt>
                <c:pt idx="105">
                  <c:v>0.0114</c:v>
                </c:pt>
                <c:pt idx="106">
                  <c:v>0.0116</c:v>
                </c:pt>
                <c:pt idx="107">
                  <c:v>0.012</c:v>
                </c:pt>
                <c:pt idx="108">
                  <c:v>0.0122</c:v>
                </c:pt>
                <c:pt idx="109">
                  <c:v>0.0126</c:v>
                </c:pt>
                <c:pt idx="110">
                  <c:v>0.013</c:v>
                </c:pt>
                <c:pt idx="111">
                  <c:v>0.0134</c:v>
                </c:pt>
                <c:pt idx="112">
                  <c:v>0.0138</c:v>
                </c:pt>
                <c:pt idx="113">
                  <c:v>0.0142</c:v>
                </c:pt>
                <c:pt idx="114">
                  <c:v>0.0146</c:v>
                </c:pt>
                <c:pt idx="115">
                  <c:v>0.0148</c:v>
                </c:pt>
                <c:pt idx="116">
                  <c:v>0.0154</c:v>
                </c:pt>
                <c:pt idx="117">
                  <c:v>0.016</c:v>
                </c:pt>
                <c:pt idx="118">
                  <c:v>0.0168</c:v>
                </c:pt>
                <c:pt idx="119">
                  <c:v>0.0174</c:v>
                </c:pt>
                <c:pt idx="120">
                  <c:v>0.0182</c:v>
                </c:pt>
                <c:pt idx="121">
                  <c:v>0.0192</c:v>
                </c:pt>
                <c:pt idx="122">
                  <c:v>0.02</c:v>
                </c:pt>
                <c:pt idx="123">
                  <c:v>0.0208</c:v>
                </c:pt>
                <c:pt idx="124">
                  <c:v>0.022</c:v>
                </c:pt>
                <c:pt idx="125">
                  <c:v>0.023</c:v>
                </c:pt>
                <c:pt idx="126">
                  <c:v>0.0242</c:v>
                </c:pt>
                <c:pt idx="127">
                  <c:v>0.0254</c:v>
                </c:pt>
                <c:pt idx="128">
                  <c:v>0.0264</c:v>
                </c:pt>
                <c:pt idx="129">
                  <c:v>0.0276</c:v>
                </c:pt>
                <c:pt idx="130">
                  <c:v>0.0288</c:v>
                </c:pt>
                <c:pt idx="131">
                  <c:v>0.0298</c:v>
                </c:pt>
                <c:pt idx="132">
                  <c:v>0.031</c:v>
                </c:pt>
                <c:pt idx="133">
                  <c:v>0.0322</c:v>
                </c:pt>
                <c:pt idx="134">
                  <c:v>0.0334</c:v>
                </c:pt>
                <c:pt idx="135">
                  <c:v>0.0346</c:v>
                </c:pt>
                <c:pt idx="136">
                  <c:v>0.0358</c:v>
                </c:pt>
                <c:pt idx="137">
                  <c:v>0.0368</c:v>
                </c:pt>
                <c:pt idx="138">
                  <c:v>0.038</c:v>
                </c:pt>
                <c:pt idx="139">
                  <c:v>0.0392</c:v>
                </c:pt>
                <c:pt idx="140">
                  <c:v>0.0406</c:v>
                </c:pt>
                <c:pt idx="141">
                  <c:v>0.0418</c:v>
                </c:pt>
                <c:pt idx="142">
                  <c:v>0.0434</c:v>
                </c:pt>
                <c:pt idx="143">
                  <c:v>0.0446</c:v>
                </c:pt>
                <c:pt idx="144">
                  <c:v>0.046</c:v>
                </c:pt>
                <c:pt idx="145">
                  <c:v>0.0472</c:v>
                </c:pt>
                <c:pt idx="146">
                  <c:v>0.0486</c:v>
                </c:pt>
                <c:pt idx="147">
                  <c:v>0.0496</c:v>
                </c:pt>
                <c:pt idx="148">
                  <c:v>0.0508</c:v>
                </c:pt>
                <c:pt idx="149">
                  <c:v>0.0518</c:v>
                </c:pt>
                <c:pt idx="150">
                  <c:v>0.0528</c:v>
                </c:pt>
                <c:pt idx="151">
                  <c:v>0.0538</c:v>
                </c:pt>
                <c:pt idx="152">
                  <c:v>0.0548</c:v>
                </c:pt>
                <c:pt idx="153">
                  <c:v>0.0558</c:v>
                </c:pt>
                <c:pt idx="154">
                  <c:v>0.0568</c:v>
                </c:pt>
                <c:pt idx="155">
                  <c:v>0.058</c:v>
                </c:pt>
                <c:pt idx="156">
                  <c:v>0.0592</c:v>
                </c:pt>
                <c:pt idx="157">
                  <c:v>0.0604</c:v>
                </c:pt>
                <c:pt idx="158">
                  <c:v>0.0618</c:v>
                </c:pt>
                <c:pt idx="159">
                  <c:v>0.0634</c:v>
                </c:pt>
                <c:pt idx="160">
                  <c:v>0.0652</c:v>
                </c:pt>
                <c:pt idx="161">
                  <c:v>0.0668</c:v>
                </c:pt>
                <c:pt idx="162">
                  <c:v>0.0684</c:v>
                </c:pt>
                <c:pt idx="163">
                  <c:v>0.07</c:v>
                </c:pt>
                <c:pt idx="164">
                  <c:v>0.0716</c:v>
                </c:pt>
                <c:pt idx="165">
                  <c:v>0.0732</c:v>
                </c:pt>
                <c:pt idx="166">
                  <c:v>0.0748</c:v>
                </c:pt>
                <c:pt idx="167">
                  <c:v>0.0766</c:v>
                </c:pt>
                <c:pt idx="168">
                  <c:v>0.0782</c:v>
                </c:pt>
                <c:pt idx="169">
                  <c:v>0.0796</c:v>
                </c:pt>
                <c:pt idx="170">
                  <c:v>0.0812</c:v>
                </c:pt>
                <c:pt idx="171">
                  <c:v>0.0826</c:v>
                </c:pt>
                <c:pt idx="172">
                  <c:v>0.0842</c:v>
                </c:pt>
                <c:pt idx="173">
                  <c:v>0.0856</c:v>
                </c:pt>
                <c:pt idx="174">
                  <c:v>0.0872</c:v>
                </c:pt>
                <c:pt idx="175">
                  <c:v>0.0886</c:v>
                </c:pt>
                <c:pt idx="176">
                  <c:v>0.0898</c:v>
                </c:pt>
                <c:pt idx="177">
                  <c:v>0.091</c:v>
                </c:pt>
                <c:pt idx="178">
                  <c:v>0.0922</c:v>
                </c:pt>
                <c:pt idx="179">
                  <c:v>0.0932</c:v>
                </c:pt>
                <c:pt idx="180">
                  <c:v>0.0944</c:v>
                </c:pt>
                <c:pt idx="181">
                  <c:v>0.0952</c:v>
                </c:pt>
                <c:pt idx="182">
                  <c:v>0.0962</c:v>
                </c:pt>
                <c:pt idx="183">
                  <c:v>0.0968</c:v>
                </c:pt>
                <c:pt idx="184">
                  <c:v>0.0976</c:v>
                </c:pt>
                <c:pt idx="185">
                  <c:v>0.0984</c:v>
                </c:pt>
                <c:pt idx="186">
                  <c:v>0.0992</c:v>
                </c:pt>
                <c:pt idx="187">
                  <c:v>0.1002</c:v>
                </c:pt>
                <c:pt idx="188">
                  <c:v>0.1012</c:v>
                </c:pt>
                <c:pt idx="189">
                  <c:v>0.1022</c:v>
                </c:pt>
                <c:pt idx="190">
                  <c:v>0.1032</c:v>
                </c:pt>
                <c:pt idx="191">
                  <c:v>0.1042</c:v>
                </c:pt>
                <c:pt idx="192">
                  <c:v>0.1052</c:v>
                </c:pt>
                <c:pt idx="193">
                  <c:v>0.1062</c:v>
                </c:pt>
                <c:pt idx="194">
                  <c:v>0.1074</c:v>
                </c:pt>
                <c:pt idx="195">
                  <c:v>0.1086</c:v>
                </c:pt>
                <c:pt idx="196">
                  <c:v>0.1098</c:v>
                </c:pt>
                <c:pt idx="197">
                  <c:v>0.1108</c:v>
                </c:pt>
                <c:pt idx="198">
                  <c:v>0.1118</c:v>
                </c:pt>
                <c:pt idx="199">
                  <c:v>0.1128</c:v>
                </c:pt>
                <c:pt idx="200">
                  <c:v>0.1136</c:v>
                </c:pt>
                <c:pt idx="201">
                  <c:v>0.1146</c:v>
                </c:pt>
                <c:pt idx="202">
                  <c:v>0.1156</c:v>
                </c:pt>
                <c:pt idx="203">
                  <c:v>0.1162</c:v>
                </c:pt>
                <c:pt idx="204">
                  <c:v>0.117</c:v>
                </c:pt>
                <c:pt idx="205">
                  <c:v>0.1176</c:v>
                </c:pt>
                <c:pt idx="206">
                  <c:v>0.1184</c:v>
                </c:pt>
                <c:pt idx="207">
                  <c:v>0.119</c:v>
                </c:pt>
                <c:pt idx="208">
                  <c:v>0.1196</c:v>
                </c:pt>
                <c:pt idx="209">
                  <c:v>0.1202</c:v>
                </c:pt>
                <c:pt idx="210">
                  <c:v>0.1208</c:v>
                </c:pt>
                <c:pt idx="211">
                  <c:v>0.1214</c:v>
                </c:pt>
                <c:pt idx="212">
                  <c:v>0.1222</c:v>
                </c:pt>
                <c:pt idx="213">
                  <c:v>0.1226</c:v>
                </c:pt>
                <c:pt idx="214">
                  <c:v>0.1234</c:v>
                </c:pt>
                <c:pt idx="215">
                  <c:v>0.124</c:v>
                </c:pt>
                <c:pt idx="216">
                  <c:v>0.1246</c:v>
                </c:pt>
                <c:pt idx="217">
                  <c:v>0.1252</c:v>
                </c:pt>
                <c:pt idx="218">
                  <c:v>0.1258</c:v>
                </c:pt>
                <c:pt idx="219">
                  <c:v>0.1264</c:v>
                </c:pt>
                <c:pt idx="220">
                  <c:v>0.127</c:v>
                </c:pt>
                <c:pt idx="221">
                  <c:v>0.1276</c:v>
                </c:pt>
                <c:pt idx="222">
                  <c:v>0.1284</c:v>
                </c:pt>
                <c:pt idx="223">
                  <c:v>0.129</c:v>
                </c:pt>
                <c:pt idx="224">
                  <c:v>0.1294</c:v>
                </c:pt>
                <c:pt idx="225">
                  <c:v>0.13</c:v>
                </c:pt>
                <c:pt idx="226">
                  <c:v>0.1306</c:v>
                </c:pt>
                <c:pt idx="227">
                  <c:v>0.1312</c:v>
                </c:pt>
                <c:pt idx="228">
                  <c:v>0.1318</c:v>
                </c:pt>
                <c:pt idx="229">
                  <c:v>0.1324</c:v>
                </c:pt>
                <c:pt idx="230">
                  <c:v>0.1328</c:v>
                </c:pt>
                <c:pt idx="231">
                  <c:v>0.1332</c:v>
                </c:pt>
                <c:pt idx="232">
                  <c:v>0.1336</c:v>
                </c:pt>
                <c:pt idx="233">
                  <c:v>0.134</c:v>
                </c:pt>
                <c:pt idx="234">
                  <c:v>0.1344</c:v>
                </c:pt>
                <c:pt idx="235">
                  <c:v>0.1348</c:v>
                </c:pt>
                <c:pt idx="236">
                  <c:v>0.1352</c:v>
                </c:pt>
                <c:pt idx="237">
                  <c:v>0.1356</c:v>
                </c:pt>
                <c:pt idx="238">
                  <c:v>0.136</c:v>
                </c:pt>
                <c:pt idx="239">
                  <c:v>0.1362</c:v>
                </c:pt>
                <c:pt idx="240">
                  <c:v>0.1366</c:v>
                </c:pt>
                <c:pt idx="241">
                  <c:v>0.1368</c:v>
                </c:pt>
                <c:pt idx="242">
                  <c:v>0.1372</c:v>
                </c:pt>
                <c:pt idx="243">
                  <c:v>0.1376</c:v>
                </c:pt>
                <c:pt idx="244">
                  <c:v>0.1378</c:v>
                </c:pt>
                <c:pt idx="245">
                  <c:v>0.138</c:v>
                </c:pt>
                <c:pt idx="246">
                  <c:v>0.1384</c:v>
                </c:pt>
                <c:pt idx="247">
                  <c:v>0.1386</c:v>
                </c:pt>
                <c:pt idx="248">
                  <c:v>0.139</c:v>
                </c:pt>
                <c:pt idx="249">
                  <c:v>0.1392</c:v>
                </c:pt>
                <c:pt idx="250">
                  <c:v>0.1394</c:v>
                </c:pt>
                <c:pt idx="251">
                  <c:v>0.1398</c:v>
                </c:pt>
                <c:pt idx="252">
                  <c:v>0.14</c:v>
                </c:pt>
                <c:pt idx="253">
                  <c:v>0.1402</c:v>
                </c:pt>
                <c:pt idx="254">
                  <c:v>0.1404</c:v>
                </c:pt>
                <c:pt idx="255">
                  <c:v>0.1408</c:v>
                </c:pt>
                <c:pt idx="256">
                  <c:v>0.1412</c:v>
                </c:pt>
                <c:pt idx="257">
                  <c:v>0.1414</c:v>
                </c:pt>
                <c:pt idx="258">
                  <c:v>0.1416</c:v>
                </c:pt>
                <c:pt idx="259">
                  <c:v>0.142</c:v>
                </c:pt>
                <c:pt idx="260">
                  <c:v>0.1424</c:v>
                </c:pt>
                <c:pt idx="261">
                  <c:v>0.1428</c:v>
                </c:pt>
                <c:pt idx="262">
                  <c:v>0.143</c:v>
                </c:pt>
                <c:pt idx="263">
                  <c:v>0.1436</c:v>
                </c:pt>
                <c:pt idx="264">
                  <c:v>0.144</c:v>
                </c:pt>
                <c:pt idx="265">
                  <c:v>0.1444</c:v>
                </c:pt>
                <c:pt idx="266">
                  <c:v>0.1448</c:v>
                </c:pt>
                <c:pt idx="267">
                  <c:v>0.1452</c:v>
                </c:pt>
                <c:pt idx="268">
                  <c:v>0.1456</c:v>
                </c:pt>
                <c:pt idx="269">
                  <c:v>0.1462</c:v>
                </c:pt>
                <c:pt idx="270">
                  <c:v>0.1466</c:v>
                </c:pt>
                <c:pt idx="271">
                  <c:v>0.1468</c:v>
                </c:pt>
                <c:pt idx="272">
                  <c:v>0.1472</c:v>
                </c:pt>
                <c:pt idx="273">
                  <c:v>0.1474</c:v>
                </c:pt>
                <c:pt idx="274">
                  <c:v>0.1478</c:v>
                </c:pt>
                <c:pt idx="275">
                  <c:v>0.148</c:v>
                </c:pt>
                <c:pt idx="276">
                  <c:v>0.1482</c:v>
                </c:pt>
                <c:pt idx="277">
                  <c:v>0.1484</c:v>
                </c:pt>
                <c:pt idx="278">
                  <c:v>0.1486</c:v>
                </c:pt>
                <c:pt idx="279">
                  <c:v>0.1488</c:v>
                </c:pt>
                <c:pt idx="280">
                  <c:v>0.149</c:v>
                </c:pt>
                <c:pt idx="281">
                  <c:v>0.1492</c:v>
                </c:pt>
                <c:pt idx="282">
                  <c:v>0.1494</c:v>
                </c:pt>
                <c:pt idx="283">
                  <c:v>0.1496</c:v>
                </c:pt>
                <c:pt idx="284">
                  <c:v>0.1498</c:v>
                </c:pt>
                <c:pt idx="285">
                  <c:v>0.1498</c:v>
                </c:pt>
                <c:pt idx="286">
                  <c:v>0.15</c:v>
                </c:pt>
                <c:pt idx="287">
                  <c:v>0.1504</c:v>
                </c:pt>
                <c:pt idx="288">
                  <c:v>0.1506</c:v>
                </c:pt>
                <c:pt idx="289">
                  <c:v>0.1508</c:v>
                </c:pt>
                <c:pt idx="290">
                  <c:v>0.151</c:v>
                </c:pt>
                <c:pt idx="291">
                  <c:v>0.1514</c:v>
                </c:pt>
                <c:pt idx="292">
                  <c:v>0.1516</c:v>
                </c:pt>
                <c:pt idx="293">
                  <c:v>0.1518</c:v>
                </c:pt>
                <c:pt idx="294">
                  <c:v>0.1522</c:v>
                </c:pt>
                <c:pt idx="295">
                  <c:v>0.1524</c:v>
                </c:pt>
                <c:pt idx="296">
                  <c:v>0.1526</c:v>
                </c:pt>
                <c:pt idx="297">
                  <c:v>0.1528</c:v>
                </c:pt>
                <c:pt idx="298">
                  <c:v>0.1528</c:v>
                </c:pt>
                <c:pt idx="299">
                  <c:v>0.153</c:v>
                </c:pt>
                <c:pt idx="300">
                  <c:v>0.153</c:v>
                </c:pt>
                <c:pt idx="301">
                  <c:v>0.1534</c:v>
                </c:pt>
                <c:pt idx="302">
                  <c:v>0.1536</c:v>
                </c:pt>
                <c:pt idx="303">
                  <c:v>0.1538</c:v>
                </c:pt>
                <c:pt idx="304">
                  <c:v>0.154</c:v>
                </c:pt>
                <c:pt idx="305">
                  <c:v>0.1542</c:v>
                </c:pt>
                <c:pt idx="306">
                  <c:v>0.1544</c:v>
                </c:pt>
                <c:pt idx="307">
                  <c:v>0.1548</c:v>
                </c:pt>
                <c:pt idx="308">
                  <c:v>0.155</c:v>
                </c:pt>
                <c:pt idx="309">
                  <c:v>0.1552</c:v>
                </c:pt>
                <c:pt idx="310">
                  <c:v>0.1554</c:v>
                </c:pt>
                <c:pt idx="311">
                  <c:v>0.1558</c:v>
                </c:pt>
                <c:pt idx="312">
                  <c:v>0.156</c:v>
                </c:pt>
                <c:pt idx="313">
                  <c:v>0.1562</c:v>
                </c:pt>
                <c:pt idx="314">
                  <c:v>0.1562</c:v>
                </c:pt>
                <c:pt idx="315">
                  <c:v>0.1564</c:v>
                </c:pt>
                <c:pt idx="316">
                  <c:v>0.1566</c:v>
                </c:pt>
                <c:pt idx="317">
                  <c:v>0.1568</c:v>
                </c:pt>
                <c:pt idx="318">
                  <c:v>0.1572</c:v>
                </c:pt>
                <c:pt idx="319">
                  <c:v>0.1574</c:v>
                </c:pt>
                <c:pt idx="320">
                  <c:v>0.1576</c:v>
                </c:pt>
                <c:pt idx="321">
                  <c:v>0.1578</c:v>
                </c:pt>
                <c:pt idx="322">
                  <c:v>0.158</c:v>
                </c:pt>
                <c:pt idx="323">
                  <c:v>0.158</c:v>
                </c:pt>
                <c:pt idx="324">
                  <c:v>0.1582</c:v>
                </c:pt>
                <c:pt idx="325">
                  <c:v>0.1584</c:v>
                </c:pt>
                <c:pt idx="326">
                  <c:v>0.1584</c:v>
                </c:pt>
                <c:pt idx="327">
                  <c:v>0.1584</c:v>
                </c:pt>
                <c:pt idx="328">
                  <c:v>0.1584</c:v>
                </c:pt>
                <c:pt idx="329">
                  <c:v>0.1586</c:v>
                </c:pt>
                <c:pt idx="330">
                  <c:v>0.1586</c:v>
                </c:pt>
                <c:pt idx="331">
                  <c:v>0.1588</c:v>
                </c:pt>
                <c:pt idx="332">
                  <c:v>0.1588</c:v>
                </c:pt>
                <c:pt idx="333">
                  <c:v>0.159</c:v>
                </c:pt>
                <c:pt idx="334">
                  <c:v>0.1592</c:v>
                </c:pt>
                <c:pt idx="335">
                  <c:v>0.1594</c:v>
                </c:pt>
                <c:pt idx="336">
                  <c:v>0.1598</c:v>
                </c:pt>
                <c:pt idx="337">
                  <c:v>0.1598</c:v>
                </c:pt>
              </c:numCache>
            </c:numRef>
          </c:yVal>
          <c:smooth val="0"/>
        </c:ser>
        <c:dLbls>
          <c:showLegendKey val="0"/>
          <c:showVal val="0"/>
          <c:showCatName val="0"/>
          <c:showSerName val="0"/>
          <c:showPercent val="0"/>
          <c:showBubbleSize val="0"/>
        </c:dLbls>
        <c:axId val="2129871816"/>
        <c:axId val="2129865896"/>
      </c:scatterChart>
      <c:valAx>
        <c:axId val="2129871816"/>
        <c:scaling>
          <c:logBase val="10.0"/>
          <c:orientation val="maxMin"/>
          <c:max val="1.0"/>
        </c:scaling>
        <c:delete val="0"/>
        <c:axPos val="b"/>
        <c:title>
          <c:tx>
            <c:rich>
              <a:bodyPr/>
              <a:lstStyle/>
              <a:p>
                <a:pPr>
                  <a:defRPr sz="1000"/>
                </a:pPr>
                <a:r>
                  <a:rPr lang="el-GR" sz="1000" b="1" i="0" baseline="0">
                    <a:effectLst/>
                  </a:rPr>
                  <a:t>Pore Diameter (μm) </a:t>
                </a:r>
                <a:endParaRPr lang="el-GR" sz="1000">
                  <a:effectLst/>
                </a:endParaRPr>
              </a:p>
            </c:rich>
          </c:tx>
          <c:layout>
            <c:manualLayout>
              <c:xMode val="edge"/>
              <c:yMode val="edge"/>
              <c:x val="0.393769839036684"/>
              <c:y val="0.932945909700492"/>
            </c:manualLayout>
          </c:layout>
          <c:overlay val="0"/>
        </c:title>
        <c:numFmt formatCode="General" sourceLinked="0"/>
        <c:majorTickMark val="out"/>
        <c:minorTickMark val="none"/>
        <c:tickLblPos val="nextTo"/>
        <c:spPr>
          <a:ln w="3175">
            <a:solidFill>
              <a:srgbClr val="000000"/>
            </a:solidFill>
            <a:prstDash val="solid"/>
          </a:ln>
        </c:spPr>
        <c:txPr>
          <a:bodyPr rot="0" vert="horz"/>
          <a:lstStyle/>
          <a:p>
            <a:pPr>
              <a:defRPr/>
            </a:pPr>
            <a:endParaRPr lang="en-US"/>
          </a:p>
        </c:txPr>
        <c:crossAx val="2129865896"/>
        <c:crosses val="autoZero"/>
        <c:crossBetween val="midCat"/>
        <c:majorUnit val="10.0"/>
      </c:valAx>
      <c:valAx>
        <c:axId val="2129865896"/>
        <c:scaling>
          <c:orientation val="minMax"/>
        </c:scaling>
        <c:delete val="0"/>
        <c:axPos val="l"/>
        <c:title>
          <c:tx>
            <c:rich>
              <a:bodyPr rot="-5400000" vert="horz"/>
              <a:lstStyle/>
              <a:p>
                <a:pPr>
                  <a:defRPr sz="1000"/>
                </a:pPr>
                <a:r>
                  <a:rPr lang="tr-TR" sz="1000" b="1" i="0" baseline="0">
                    <a:effectLst/>
                  </a:rPr>
                  <a:t>Cumulative Pore Volume (ml/g)</a:t>
                </a:r>
                <a:endParaRPr lang="tr-TR" sz="1000">
                  <a:effectLst/>
                </a:endParaRPr>
              </a:p>
            </c:rich>
          </c:tx>
          <c:layout>
            <c:manualLayout>
              <c:xMode val="edge"/>
              <c:yMode val="edge"/>
              <c:x val="0.0309059300753332"/>
              <c:y val="0.0949313443553127"/>
            </c:manualLayout>
          </c:layout>
          <c:overlay val="0"/>
        </c:title>
        <c:numFmt formatCode="General" sourceLinked="1"/>
        <c:majorTickMark val="out"/>
        <c:minorTickMark val="none"/>
        <c:tickLblPos val="nextTo"/>
        <c:spPr>
          <a:ln w="3175">
            <a:solidFill>
              <a:srgbClr val="000000"/>
            </a:solidFill>
            <a:prstDash val="solid"/>
          </a:ln>
        </c:spPr>
        <c:crossAx val="2129871816"/>
        <c:crosses val="max"/>
        <c:crossBetween val="midCat"/>
      </c:valAx>
      <c:spPr>
        <a:noFill/>
        <a:ln w="25400">
          <a:noFill/>
        </a:ln>
      </c:spPr>
    </c:plotArea>
    <c:legend>
      <c:legendPos val="r"/>
      <c:layout>
        <c:manualLayout>
          <c:xMode val="edge"/>
          <c:yMode val="edge"/>
          <c:x val="0.207590204401966"/>
          <c:y val="0.0041668573279033"/>
          <c:w val="0.630252029307147"/>
          <c:h val="0.10761811023622"/>
        </c:manualLayout>
      </c:layout>
      <c:overlay val="0"/>
    </c:legend>
    <c:plotVisOnly val="1"/>
    <c:dispBlanksAs val="gap"/>
    <c:showDLblsOverMax val="0"/>
  </c:chart>
  <c:spPr>
    <a:solidFill>
      <a:srgbClr val="FFFFFF"/>
    </a:solidFill>
    <a:ln w="9525">
      <a:noFill/>
    </a:ln>
  </c:spPr>
  <c:txPr>
    <a:bodyPr/>
    <a:lstStyle/>
    <a:p>
      <a:pPr>
        <a:defRPr sz="1100">
          <a:latin typeface="Arial"/>
          <a:cs typeface="Arial"/>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208983842616003"/>
          <c:y val="0.0742857142857143"/>
          <c:w val="0.730820553958945"/>
          <c:h val="0.77736204403021"/>
        </c:manualLayout>
      </c:layout>
      <c:scatterChart>
        <c:scatterStyle val="lineMarker"/>
        <c:varyColors val="0"/>
        <c:ser>
          <c:idx val="0"/>
          <c:order val="1"/>
          <c:tx>
            <c:v>6MCS1</c:v>
          </c:tx>
          <c:spPr>
            <a:ln w="28575" cmpd="sng">
              <a:solidFill>
                <a:srgbClr val="FF0000"/>
              </a:solidFill>
            </a:ln>
          </c:spPr>
          <c:marker>
            <c:symbol val="none"/>
          </c:marker>
          <c:xVal>
            <c:numRef>
              <c:f>'28DB2- in1'!$C$5:$C$332</c:f>
              <c:numCache>
                <c:formatCode>0.00E+00</c:formatCode>
                <c:ptCount val="328"/>
                <c:pt idx="0">
                  <c:v>10.63</c:v>
                </c:pt>
                <c:pt idx="1">
                  <c:v>10.29</c:v>
                </c:pt>
                <c:pt idx="2">
                  <c:v>9.963000000000002</c:v>
                </c:pt>
                <c:pt idx="3">
                  <c:v>9.681000000000001</c:v>
                </c:pt>
                <c:pt idx="4">
                  <c:v>9.397</c:v>
                </c:pt>
                <c:pt idx="5">
                  <c:v>9.119</c:v>
                </c:pt>
                <c:pt idx="6">
                  <c:v>8.85</c:v>
                </c:pt>
                <c:pt idx="7">
                  <c:v>8.586</c:v>
                </c:pt>
                <c:pt idx="8">
                  <c:v>8.315</c:v>
                </c:pt>
                <c:pt idx="9">
                  <c:v>8.046000000000001</c:v>
                </c:pt>
                <c:pt idx="10">
                  <c:v>7.777</c:v>
                </c:pt>
                <c:pt idx="11">
                  <c:v>7.503</c:v>
                </c:pt>
                <c:pt idx="12">
                  <c:v>7.224999999999985</c:v>
                </c:pt>
                <c:pt idx="13">
                  <c:v>6.944</c:v>
                </c:pt>
                <c:pt idx="14">
                  <c:v>6.660999999999977</c:v>
                </c:pt>
                <c:pt idx="15">
                  <c:v>6.373</c:v>
                </c:pt>
                <c:pt idx="16">
                  <c:v>6.082</c:v>
                </c:pt>
                <c:pt idx="17">
                  <c:v>5.788</c:v>
                </c:pt>
                <c:pt idx="18">
                  <c:v>5.49</c:v>
                </c:pt>
                <c:pt idx="19">
                  <c:v>5.193999999999995</c:v>
                </c:pt>
                <c:pt idx="20">
                  <c:v>4.893999999999997</c:v>
                </c:pt>
                <c:pt idx="21">
                  <c:v>4.593</c:v>
                </c:pt>
                <c:pt idx="22">
                  <c:v>4.29</c:v>
                </c:pt>
                <c:pt idx="23">
                  <c:v>3.986</c:v>
                </c:pt>
                <c:pt idx="24">
                  <c:v>3.684</c:v>
                </c:pt>
                <c:pt idx="25">
                  <c:v>3.385</c:v>
                </c:pt>
                <c:pt idx="26">
                  <c:v>3.09</c:v>
                </c:pt>
                <c:pt idx="27">
                  <c:v>2.804</c:v>
                </c:pt>
                <c:pt idx="28">
                  <c:v>2.529</c:v>
                </c:pt>
                <c:pt idx="29">
                  <c:v>2.266</c:v>
                </c:pt>
                <c:pt idx="30">
                  <c:v>2.018</c:v>
                </c:pt>
                <c:pt idx="31">
                  <c:v>1.788</c:v>
                </c:pt>
                <c:pt idx="32">
                  <c:v>1.578</c:v>
                </c:pt>
                <c:pt idx="33">
                  <c:v>1.389</c:v>
                </c:pt>
                <c:pt idx="34">
                  <c:v>1.221</c:v>
                </c:pt>
                <c:pt idx="35">
                  <c:v>1.073</c:v>
                </c:pt>
                <c:pt idx="36">
                  <c:v>0.9457</c:v>
                </c:pt>
                <c:pt idx="37">
                  <c:v>0.8358</c:v>
                </c:pt>
                <c:pt idx="38">
                  <c:v>0.7418</c:v>
                </c:pt>
                <c:pt idx="39">
                  <c:v>0.6616</c:v>
                </c:pt>
                <c:pt idx="40">
                  <c:v>0.5931</c:v>
                </c:pt>
                <c:pt idx="41">
                  <c:v>0.5346</c:v>
                </c:pt>
                <c:pt idx="42">
                  <c:v>0.4845</c:v>
                </c:pt>
                <c:pt idx="43">
                  <c:v>0.4415</c:v>
                </c:pt>
                <c:pt idx="44">
                  <c:v>0.4045</c:v>
                </c:pt>
                <c:pt idx="45">
                  <c:v>0.3724</c:v>
                </c:pt>
                <c:pt idx="46">
                  <c:v>0.3446</c:v>
                </c:pt>
                <c:pt idx="47">
                  <c:v>0.3202</c:v>
                </c:pt>
                <c:pt idx="48">
                  <c:v>0.2987</c:v>
                </c:pt>
                <c:pt idx="49">
                  <c:v>0.2796</c:v>
                </c:pt>
                <c:pt idx="50">
                  <c:v>0.2626</c:v>
                </c:pt>
                <c:pt idx="51">
                  <c:v>0.2473</c:v>
                </c:pt>
                <c:pt idx="52">
                  <c:v>0.2335</c:v>
                </c:pt>
                <c:pt idx="53">
                  <c:v>0.2208</c:v>
                </c:pt>
                <c:pt idx="54">
                  <c:v>0.2093</c:v>
                </c:pt>
                <c:pt idx="55">
                  <c:v>0.1988</c:v>
                </c:pt>
                <c:pt idx="56">
                  <c:v>0.1891</c:v>
                </c:pt>
                <c:pt idx="57">
                  <c:v>0.1802</c:v>
                </c:pt>
                <c:pt idx="58">
                  <c:v>0.1718</c:v>
                </c:pt>
                <c:pt idx="59">
                  <c:v>0.164</c:v>
                </c:pt>
                <c:pt idx="60">
                  <c:v>0.1568</c:v>
                </c:pt>
                <c:pt idx="61">
                  <c:v>0.1501</c:v>
                </c:pt>
                <c:pt idx="62">
                  <c:v>0.1437</c:v>
                </c:pt>
                <c:pt idx="63">
                  <c:v>0.1378</c:v>
                </c:pt>
                <c:pt idx="64">
                  <c:v>0.1323</c:v>
                </c:pt>
                <c:pt idx="65">
                  <c:v>0.1271</c:v>
                </c:pt>
                <c:pt idx="66">
                  <c:v>0.1221</c:v>
                </c:pt>
                <c:pt idx="67">
                  <c:v>0.1175</c:v>
                </c:pt>
                <c:pt idx="68">
                  <c:v>0.1131</c:v>
                </c:pt>
                <c:pt idx="69">
                  <c:v>0.109</c:v>
                </c:pt>
                <c:pt idx="70">
                  <c:v>0.1052</c:v>
                </c:pt>
                <c:pt idx="71">
                  <c:v>0.1016</c:v>
                </c:pt>
                <c:pt idx="72">
                  <c:v>0.0982</c:v>
                </c:pt>
                <c:pt idx="73">
                  <c:v>0.09503</c:v>
                </c:pt>
                <c:pt idx="74">
                  <c:v>0.09203</c:v>
                </c:pt>
                <c:pt idx="75">
                  <c:v>0.08922</c:v>
                </c:pt>
                <c:pt idx="76">
                  <c:v>0.08656</c:v>
                </c:pt>
                <c:pt idx="77">
                  <c:v>0.08404</c:v>
                </c:pt>
                <c:pt idx="78">
                  <c:v>0.08162</c:v>
                </c:pt>
                <c:pt idx="79">
                  <c:v>0.07927</c:v>
                </c:pt>
                <c:pt idx="80">
                  <c:v>0.07705</c:v>
                </c:pt>
                <c:pt idx="81">
                  <c:v>0.07495</c:v>
                </c:pt>
                <c:pt idx="82">
                  <c:v>0.07295</c:v>
                </c:pt>
                <c:pt idx="83">
                  <c:v>0.07101</c:v>
                </c:pt>
                <c:pt idx="84">
                  <c:v>0.06914</c:v>
                </c:pt>
                <c:pt idx="85">
                  <c:v>0.06731</c:v>
                </c:pt>
                <c:pt idx="86">
                  <c:v>0.06554</c:v>
                </c:pt>
                <c:pt idx="87">
                  <c:v>0.06383</c:v>
                </c:pt>
                <c:pt idx="88">
                  <c:v>0.0622</c:v>
                </c:pt>
                <c:pt idx="89">
                  <c:v>0.06064</c:v>
                </c:pt>
                <c:pt idx="90">
                  <c:v>0.05918</c:v>
                </c:pt>
                <c:pt idx="91">
                  <c:v>0.05779</c:v>
                </c:pt>
                <c:pt idx="92">
                  <c:v>0.05646</c:v>
                </c:pt>
                <c:pt idx="93">
                  <c:v>0.05518</c:v>
                </c:pt>
                <c:pt idx="94">
                  <c:v>0.05399</c:v>
                </c:pt>
                <c:pt idx="95">
                  <c:v>0.05283</c:v>
                </c:pt>
                <c:pt idx="96">
                  <c:v>0.05174</c:v>
                </c:pt>
                <c:pt idx="97">
                  <c:v>0.05072</c:v>
                </c:pt>
                <c:pt idx="98">
                  <c:v>0.04975</c:v>
                </c:pt>
                <c:pt idx="99">
                  <c:v>0.04884</c:v>
                </c:pt>
                <c:pt idx="100">
                  <c:v>0.04797</c:v>
                </c:pt>
                <c:pt idx="101">
                  <c:v>0.04714</c:v>
                </c:pt>
                <c:pt idx="102">
                  <c:v>0.04632</c:v>
                </c:pt>
                <c:pt idx="103">
                  <c:v>0.04554</c:v>
                </c:pt>
                <c:pt idx="104">
                  <c:v>0.04477</c:v>
                </c:pt>
                <c:pt idx="105">
                  <c:v>0.04403</c:v>
                </c:pt>
                <c:pt idx="106">
                  <c:v>0.04333</c:v>
                </c:pt>
                <c:pt idx="107">
                  <c:v>0.04265</c:v>
                </c:pt>
                <c:pt idx="108">
                  <c:v>0.04199</c:v>
                </c:pt>
                <c:pt idx="109">
                  <c:v>0.04135</c:v>
                </c:pt>
                <c:pt idx="110">
                  <c:v>0.04073</c:v>
                </c:pt>
                <c:pt idx="111">
                  <c:v>0.04012</c:v>
                </c:pt>
                <c:pt idx="112">
                  <c:v>0.03952</c:v>
                </c:pt>
                <c:pt idx="113">
                  <c:v>0.03895</c:v>
                </c:pt>
                <c:pt idx="114">
                  <c:v>0.03839</c:v>
                </c:pt>
                <c:pt idx="115">
                  <c:v>0.03784</c:v>
                </c:pt>
                <c:pt idx="116">
                  <c:v>0.03731</c:v>
                </c:pt>
                <c:pt idx="117">
                  <c:v>0.03679</c:v>
                </c:pt>
                <c:pt idx="118">
                  <c:v>0.03629</c:v>
                </c:pt>
                <c:pt idx="119">
                  <c:v>0.03579</c:v>
                </c:pt>
                <c:pt idx="120">
                  <c:v>0.03531</c:v>
                </c:pt>
                <c:pt idx="121">
                  <c:v>0.03484</c:v>
                </c:pt>
                <c:pt idx="122">
                  <c:v>0.03438</c:v>
                </c:pt>
                <c:pt idx="123">
                  <c:v>0.03393</c:v>
                </c:pt>
                <c:pt idx="124">
                  <c:v>0.0335</c:v>
                </c:pt>
                <c:pt idx="125">
                  <c:v>0.03307</c:v>
                </c:pt>
                <c:pt idx="126">
                  <c:v>0.03265</c:v>
                </c:pt>
                <c:pt idx="127">
                  <c:v>0.03224</c:v>
                </c:pt>
                <c:pt idx="128">
                  <c:v>0.03184</c:v>
                </c:pt>
                <c:pt idx="129">
                  <c:v>0.03144</c:v>
                </c:pt>
                <c:pt idx="130">
                  <c:v>0.03106</c:v>
                </c:pt>
                <c:pt idx="131">
                  <c:v>0.03068</c:v>
                </c:pt>
                <c:pt idx="132">
                  <c:v>0.03031</c:v>
                </c:pt>
                <c:pt idx="133">
                  <c:v>0.02994</c:v>
                </c:pt>
                <c:pt idx="134">
                  <c:v>0.02957</c:v>
                </c:pt>
                <c:pt idx="135">
                  <c:v>0.02921</c:v>
                </c:pt>
                <c:pt idx="136">
                  <c:v>0.02887</c:v>
                </c:pt>
                <c:pt idx="137">
                  <c:v>0.02852</c:v>
                </c:pt>
                <c:pt idx="138">
                  <c:v>0.02818</c:v>
                </c:pt>
                <c:pt idx="139">
                  <c:v>0.02784</c:v>
                </c:pt>
                <c:pt idx="140">
                  <c:v>0.0275</c:v>
                </c:pt>
                <c:pt idx="141">
                  <c:v>0.02715</c:v>
                </c:pt>
                <c:pt idx="142">
                  <c:v>0.02681</c:v>
                </c:pt>
                <c:pt idx="143">
                  <c:v>0.02646</c:v>
                </c:pt>
                <c:pt idx="144">
                  <c:v>0.02611</c:v>
                </c:pt>
                <c:pt idx="145">
                  <c:v>0.02577</c:v>
                </c:pt>
                <c:pt idx="146">
                  <c:v>0.02543</c:v>
                </c:pt>
                <c:pt idx="147">
                  <c:v>0.02508</c:v>
                </c:pt>
                <c:pt idx="148">
                  <c:v>0.02474</c:v>
                </c:pt>
                <c:pt idx="149">
                  <c:v>0.02441</c:v>
                </c:pt>
                <c:pt idx="150">
                  <c:v>0.02407</c:v>
                </c:pt>
                <c:pt idx="151">
                  <c:v>0.02374</c:v>
                </c:pt>
                <c:pt idx="152">
                  <c:v>0.02342</c:v>
                </c:pt>
                <c:pt idx="153">
                  <c:v>0.02311</c:v>
                </c:pt>
                <c:pt idx="154">
                  <c:v>0.0228</c:v>
                </c:pt>
                <c:pt idx="155">
                  <c:v>0.0225</c:v>
                </c:pt>
                <c:pt idx="156">
                  <c:v>0.02221</c:v>
                </c:pt>
                <c:pt idx="157">
                  <c:v>0.02192</c:v>
                </c:pt>
                <c:pt idx="158">
                  <c:v>0.02163</c:v>
                </c:pt>
                <c:pt idx="159">
                  <c:v>0.02135</c:v>
                </c:pt>
                <c:pt idx="160">
                  <c:v>0.02107</c:v>
                </c:pt>
                <c:pt idx="161">
                  <c:v>0.0208</c:v>
                </c:pt>
                <c:pt idx="162">
                  <c:v>0.02053</c:v>
                </c:pt>
                <c:pt idx="163">
                  <c:v>0.02027</c:v>
                </c:pt>
                <c:pt idx="164">
                  <c:v>0.02001</c:v>
                </c:pt>
                <c:pt idx="165">
                  <c:v>0.01976</c:v>
                </c:pt>
                <c:pt idx="166">
                  <c:v>0.01951</c:v>
                </c:pt>
                <c:pt idx="167">
                  <c:v>0.01927</c:v>
                </c:pt>
                <c:pt idx="168">
                  <c:v>0.01904</c:v>
                </c:pt>
                <c:pt idx="169">
                  <c:v>0.0188</c:v>
                </c:pt>
                <c:pt idx="170">
                  <c:v>0.01858</c:v>
                </c:pt>
                <c:pt idx="171">
                  <c:v>0.01836</c:v>
                </c:pt>
                <c:pt idx="172">
                  <c:v>0.01814</c:v>
                </c:pt>
                <c:pt idx="173">
                  <c:v>0.01792</c:v>
                </c:pt>
                <c:pt idx="174">
                  <c:v>0.01771</c:v>
                </c:pt>
                <c:pt idx="175">
                  <c:v>0.01751</c:v>
                </c:pt>
                <c:pt idx="176">
                  <c:v>0.01731</c:v>
                </c:pt>
                <c:pt idx="177">
                  <c:v>0.01711</c:v>
                </c:pt>
                <c:pt idx="178">
                  <c:v>0.01691</c:v>
                </c:pt>
                <c:pt idx="179">
                  <c:v>0.01672</c:v>
                </c:pt>
                <c:pt idx="180">
                  <c:v>0.01654</c:v>
                </c:pt>
                <c:pt idx="181">
                  <c:v>0.01635</c:v>
                </c:pt>
                <c:pt idx="182">
                  <c:v>0.01617</c:v>
                </c:pt>
                <c:pt idx="183">
                  <c:v>0.01599</c:v>
                </c:pt>
                <c:pt idx="184">
                  <c:v>0.01582</c:v>
                </c:pt>
                <c:pt idx="185">
                  <c:v>0.01564</c:v>
                </c:pt>
                <c:pt idx="186">
                  <c:v>0.01547</c:v>
                </c:pt>
                <c:pt idx="187">
                  <c:v>0.01529</c:v>
                </c:pt>
                <c:pt idx="188">
                  <c:v>0.01512</c:v>
                </c:pt>
                <c:pt idx="189">
                  <c:v>0.01496</c:v>
                </c:pt>
                <c:pt idx="190">
                  <c:v>0.0148</c:v>
                </c:pt>
                <c:pt idx="191">
                  <c:v>0.01465</c:v>
                </c:pt>
                <c:pt idx="192">
                  <c:v>0.0145</c:v>
                </c:pt>
                <c:pt idx="193">
                  <c:v>0.01436</c:v>
                </c:pt>
                <c:pt idx="194">
                  <c:v>0.01422</c:v>
                </c:pt>
                <c:pt idx="195">
                  <c:v>0.01409</c:v>
                </c:pt>
                <c:pt idx="196">
                  <c:v>0.01396</c:v>
                </c:pt>
                <c:pt idx="197">
                  <c:v>0.01383</c:v>
                </c:pt>
                <c:pt idx="198">
                  <c:v>0.01372</c:v>
                </c:pt>
                <c:pt idx="199">
                  <c:v>0.01361</c:v>
                </c:pt>
                <c:pt idx="200">
                  <c:v>0.0135</c:v>
                </c:pt>
                <c:pt idx="201">
                  <c:v>0.01339</c:v>
                </c:pt>
                <c:pt idx="202">
                  <c:v>0.0133</c:v>
                </c:pt>
                <c:pt idx="203">
                  <c:v>0.0132</c:v>
                </c:pt>
                <c:pt idx="204">
                  <c:v>0.0131</c:v>
                </c:pt>
                <c:pt idx="205">
                  <c:v>0.01301</c:v>
                </c:pt>
                <c:pt idx="206">
                  <c:v>0.01292</c:v>
                </c:pt>
                <c:pt idx="207">
                  <c:v>0.01284</c:v>
                </c:pt>
                <c:pt idx="208">
                  <c:v>0.01276</c:v>
                </c:pt>
                <c:pt idx="209">
                  <c:v>0.01268</c:v>
                </c:pt>
                <c:pt idx="210">
                  <c:v>0.0126</c:v>
                </c:pt>
                <c:pt idx="211">
                  <c:v>0.01252</c:v>
                </c:pt>
                <c:pt idx="212">
                  <c:v>0.01244</c:v>
                </c:pt>
                <c:pt idx="213">
                  <c:v>0.01236</c:v>
                </c:pt>
                <c:pt idx="214">
                  <c:v>0.01228</c:v>
                </c:pt>
                <c:pt idx="215">
                  <c:v>0.01221</c:v>
                </c:pt>
                <c:pt idx="216">
                  <c:v>0.01213</c:v>
                </c:pt>
                <c:pt idx="217">
                  <c:v>0.01206</c:v>
                </c:pt>
                <c:pt idx="218">
                  <c:v>0.01198</c:v>
                </c:pt>
                <c:pt idx="219">
                  <c:v>0.01191</c:v>
                </c:pt>
                <c:pt idx="220">
                  <c:v>0.01184</c:v>
                </c:pt>
                <c:pt idx="221">
                  <c:v>0.01177</c:v>
                </c:pt>
                <c:pt idx="222">
                  <c:v>0.0117</c:v>
                </c:pt>
                <c:pt idx="223">
                  <c:v>0.01163</c:v>
                </c:pt>
                <c:pt idx="224">
                  <c:v>0.01156</c:v>
                </c:pt>
                <c:pt idx="225">
                  <c:v>0.01149</c:v>
                </c:pt>
                <c:pt idx="226">
                  <c:v>0.01142</c:v>
                </c:pt>
                <c:pt idx="227">
                  <c:v>0.01135</c:v>
                </c:pt>
                <c:pt idx="228">
                  <c:v>0.01129</c:v>
                </c:pt>
                <c:pt idx="229">
                  <c:v>0.01122</c:v>
                </c:pt>
                <c:pt idx="230">
                  <c:v>0.01115</c:v>
                </c:pt>
                <c:pt idx="231">
                  <c:v>0.01109</c:v>
                </c:pt>
                <c:pt idx="232">
                  <c:v>0.01102</c:v>
                </c:pt>
                <c:pt idx="233">
                  <c:v>0.01096</c:v>
                </c:pt>
                <c:pt idx="234">
                  <c:v>0.0109</c:v>
                </c:pt>
                <c:pt idx="235">
                  <c:v>0.01084</c:v>
                </c:pt>
                <c:pt idx="236">
                  <c:v>0.01077</c:v>
                </c:pt>
                <c:pt idx="237">
                  <c:v>0.01071</c:v>
                </c:pt>
                <c:pt idx="238">
                  <c:v>0.01065</c:v>
                </c:pt>
                <c:pt idx="239">
                  <c:v>0.01059</c:v>
                </c:pt>
                <c:pt idx="240">
                  <c:v>0.01053</c:v>
                </c:pt>
                <c:pt idx="241">
                  <c:v>0.01047</c:v>
                </c:pt>
                <c:pt idx="242">
                  <c:v>0.01042</c:v>
                </c:pt>
                <c:pt idx="243">
                  <c:v>0.01036</c:v>
                </c:pt>
                <c:pt idx="244">
                  <c:v>0.0103</c:v>
                </c:pt>
                <c:pt idx="245">
                  <c:v>0.01024</c:v>
                </c:pt>
                <c:pt idx="246">
                  <c:v>0.01019</c:v>
                </c:pt>
                <c:pt idx="247">
                  <c:v>0.01013</c:v>
                </c:pt>
                <c:pt idx="248">
                  <c:v>0.01008</c:v>
                </c:pt>
                <c:pt idx="249">
                  <c:v>0.01002</c:v>
                </c:pt>
                <c:pt idx="250">
                  <c:v>0.009967</c:v>
                </c:pt>
                <c:pt idx="251">
                  <c:v>0.009913</c:v>
                </c:pt>
                <c:pt idx="252">
                  <c:v>0.00986</c:v>
                </c:pt>
                <c:pt idx="253">
                  <c:v>0.009807</c:v>
                </c:pt>
                <c:pt idx="254">
                  <c:v>0.009755</c:v>
                </c:pt>
                <c:pt idx="255">
                  <c:v>0.009703</c:v>
                </c:pt>
                <c:pt idx="256">
                  <c:v>0.009652</c:v>
                </c:pt>
                <c:pt idx="257">
                  <c:v>0.009601</c:v>
                </c:pt>
                <c:pt idx="258">
                  <c:v>0.00955</c:v>
                </c:pt>
                <c:pt idx="259">
                  <c:v>0.009499</c:v>
                </c:pt>
                <c:pt idx="260">
                  <c:v>0.009448</c:v>
                </c:pt>
                <c:pt idx="261">
                  <c:v>0.009397</c:v>
                </c:pt>
                <c:pt idx="262">
                  <c:v>0.009346</c:v>
                </c:pt>
                <c:pt idx="263">
                  <c:v>0.009295</c:v>
                </c:pt>
                <c:pt idx="264">
                  <c:v>0.009244</c:v>
                </c:pt>
                <c:pt idx="265">
                  <c:v>0.009192</c:v>
                </c:pt>
                <c:pt idx="266">
                  <c:v>0.009141</c:v>
                </c:pt>
                <c:pt idx="267">
                  <c:v>0.00909</c:v>
                </c:pt>
                <c:pt idx="268">
                  <c:v>0.009038</c:v>
                </c:pt>
                <c:pt idx="269">
                  <c:v>0.008986</c:v>
                </c:pt>
                <c:pt idx="270">
                  <c:v>0.008935</c:v>
                </c:pt>
                <c:pt idx="271">
                  <c:v>0.008883</c:v>
                </c:pt>
                <c:pt idx="272">
                  <c:v>0.00883</c:v>
                </c:pt>
                <c:pt idx="273">
                  <c:v>0.008779</c:v>
                </c:pt>
                <c:pt idx="274">
                  <c:v>0.008728</c:v>
                </c:pt>
                <c:pt idx="275">
                  <c:v>0.008677</c:v>
                </c:pt>
                <c:pt idx="276">
                  <c:v>0.008626</c:v>
                </c:pt>
                <c:pt idx="277">
                  <c:v>0.008575</c:v>
                </c:pt>
                <c:pt idx="278">
                  <c:v>0.008524</c:v>
                </c:pt>
                <c:pt idx="279">
                  <c:v>0.008473</c:v>
                </c:pt>
                <c:pt idx="280">
                  <c:v>0.008423</c:v>
                </c:pt>
                <c:pt idx="281">
                  <c:v>0.008373</c:v>
                </c:pt>
                <c:pt idx="282">
                  <c:v>0.008324</c:v>
                </c:pt>
                <c:pt idx="283">
                  <c:v>0.008275</c:v>
                </c:pt>
                <c:pt idx="284">
                  <c:v>0.008225</c:v>
                </c:pt>
                <c:pt idx="285">
                  <c:v>0.008176</c:v>
                </c:pt>
                <c:pt idx="286">
                  <c:v>0.008128</c:v>
                </c:pt>
                <c:pt idx="287">
                  <c:v>0.00808</c:v>
                </c:pt>
                <c:pt idx="288">
                  <c:v>0.008032</c:v>
                </c:pt>
                <c:pt idx="289">
                  <c:v>0.007985</c:v>
                </c:pt>
                <c:pt idx="290">
                  <c:v>0.007938</c:v>
                </c:pt>
                <c:pt idx="291">
                  <c:v>0.007891</c:v>
                </c:pt>
                <c:pt idx="292">
                  <c:v>0.007845</c:v>
                </c:pt>
                <c:pt idx="293">
                  <c:v>0.007799</c:v>
                </c:pt>
                <c:pt idx="294">
                  <c:v>0.007754</c:v>
                </c:pt>
                <c:pt idx="295">
                  <c:v>0.00771</c:v>
                </c:pt>
                <c:pt idx="296">
                  <c:v>0.007665</c:v>
                </c:pt>
                <c:pt idx="297">
                  <c:v>0.007621</c:v>
                </c:pt>
                <c:pt idx="298">
                  <c:v>0.007578</c:v>
                </c:pt>
                <c:pt idx="299">
                  <c:v>0.007534</c:v>
                </c:pt>
                <c:pt idx="300">
                  <c:v>0.007492</c:v>
                </c:pt>
                <c:pt idx="301">
                  <c:v>0.00745</c:v>
                </c:pt>
                <c:pt idx="302">
                  <c:v>0.007408</c:v>
                </c:pt>
                <c:pt idx="303">
                  <c:v>0.007366</c:v>
                </c:pt>
                <c:pt idx="304">
                  <c:v>0.007325</c:v>
                </c:pt>
                <c:pt idx="305">
                  <c:v>0.007284</c:v>
                </c:pt>
                <c:pt idx="306">
                  <c:v>0.007244</c:v>
                </c:pt>
                <c:pt idx="307">
                  <c:v>0.007204</c:v>
                </c:pt>
                <c:pt idx="308">
                  <c:v>0.007164</c:v>
                </c:pt>
                <c:pt idx="309">
                  <c:v>0.007125</c:v>
                </c:pt>
                <c:pt idx="310">
                  <c:v>0.007086</c:v>
                </c:pt>
                <c:pt idx="311">
                  <c:v>0.007047</c:v>
                </c:pt>
                <c:pt idx="312">
                  <c:v>0.007009</c:v>
                </c:pt>
                <c:pt idx="313">
                  <c:v>0.006971</c:v>
                </c:pt>
                <c:pt idx="314">
                  <c:v>0.006933</c:v>
                </c:pt>
                <c:pt idx="315">
                  <c:v>0.006896</c:v>
                </c:pt>
                <c:pt idx="316">
                  <c:v>0.006859</c:v>
                </c:pt>
                <c:pt idx="317">
                  <c:v>0.006822</c:v>
                </c:pt>
                <c:pt idx="318">
                  <c:v>0.006786</c:v>
                </c:pt>
                <c:pt idx="319">
                  <c:v>0.006749</c:v>
                </c:pt>
                <c:pt idx="320">
                  <c:v>0.006713</c:v>
                </c:pt>
                <c:pt idx="321">
                  <c:v>0.006678</c:v>
                </c:pt>
                <c:pt idx="322">
                  <c:v>0.006642</c:v>
                </c:pt>
                <c:pt idx="323">
                  <c:v>0.006607</c:v>
                </c:pt>
                <c:pt idx="324">
                  <c:v>0.006572</c:v>
                </c:pt>
                <c:pt idx="325">
                  <c:v>0.006537</c:v>
                </c:pt>
                <c:pt idx="326">
                  <c:v>0.006504</c:v>
                </c:pt>
                <c:pt idx="327">
                  <c:v>0.006471</c:v>
                </c:pt>
              </c:numCache>
            </c:numRef>
          </c:xVal>
          <c:yVal>
            <c:numRef>
              <c:f>'28DB2- in1'!$AY$6:$AY$333</c:f>
              <c:numCache>
                <c:formatCode>0.00E+00</c:formatCode>
                <c:ptCount val="328"/>
                <c:pt idx="0">
                  <c:v>0.002439</c:v>
                </c:pt>
                <c:pt idx="1">
                  <c:v>0.002645</c:v>
                </c:pt>
                <c:pt idx="2">
                  <c:v>0.00281</c:v>
                </c:pt>
                <c:pt idx="3">
                  <c:v>0.002923</c:v>
                </c:pt>
                <c:pt idx="4">
                  <c:v>0.00301</c:v>
                </c:pt>
                <c:pt idx="5">
                  <c:v>0.003061</c:v>
                </c:pt>
                <c:pt idx="6">
                  <c:v>0.003372</c:v>
                </c:pt>
                <c:pt idx="7">
                  <c:v>0.003672</c:v>
                </c:pt>
                <c:pt idx="8">
                  <c:v>0.003672</c:v>
                </c:pt>
                <c:pt idx="9">
                  <c:v>0.003672</c:v>
                </c:pt>
                <c:pt idx="10">
                  <c:v>0.002842</c:v>
                </c:pt>
                <c:pt idx="11">
                  <c:v>0.002341</c:v>
                </c:pt>
                <c:pt idx="12">
                  <c:v>0.001988</c:v>
                </c:pt>
                <c:pt idx="13">
                  <c:v>0.001628</c:v>
                </c:pt>
                <c:pt idx="14">
                  <c:v>0.00128</c:v>
                </c:pt>
                <c:pt idx="15">
                  <c:v>0.0009355</c:v>
                </c:pt>
                <c:pt idx="16">
                  <c:v>0.0006109</c:v>
                </c:pt>
                <c:pt idx="17">
                  <c:v>0.0002996</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0.0</c:v>
                </c:pt>
                <c:pt idx="45">
                  <c:v>0.0</c:v>
                </c:pt>
                <c:pt idx="46">
                  <c:v>0.0</c:v>
                </c:pt>
                <c:pt idx="47">
                  <c:v>0.0</c:v>
                </c:pt>
                <c:pt idx="48">
                  <c:v>0.0</c:v>
                </c:pt>
                <c:pt idx="49">
                  <c:v>0.0</c:v>
                </c:pt>
                <c:pt idx="50">
                  <c:v>0.0</c:v>
                </c:pt>
                <c:pt idx="51">
                  <c:v>0.0</c:v>
                </c:pt>
                <c:pt idx="52">
                  <c:v>0.0</c:v>
                </c:pt>
                <c:pt idx="53">
                  <c:v>0.0</c:v>
                </c:pt>
                <c:pt idx="54">
                  <c:v>0.0</c:v>
                </c:pt>
                <c:pt idx="55">
                  <c:v>0.0</c:v>
                </c:pt>
                <c:pt idx="56">
                  <c:v>0.0</c:v>
                </c:pt>
                <c:pt idx="57">
                  <c:v>0.0</c:v>
                </c:pt>
                <c:pt idx="58">
                  <c:v>0.0</c:v>
                </c:pt>
                <c:pt idx="59">
                  <c:v>0.0</c:v>
                </c:pt>
                <c:pt idx="60">
                  <c:v>0.0</c:v>
                </c:pt>
                <c:pt idx="61">
                  <c:v>0.0</c:v>
                </c:pt>
                <c:pt idx="62">
                  <c:v>0.0</c:v>
                </c:pt>
                <c:pt idx="63">
                  <c:v>0.0</c:v>
                </c:pt>
                <c:pt idx="64">
                  <c:v>0.0</c:v>
                </c:pt>
                <c:pt idx="65">
                  <c:v>0.0</c:v>
                </c:pt>
                <c:pt idx="66">
                  <c:v>0.0</c:v>
                </c:pt>
                <c:pt idx="67">
                  <c:v>0.0</c:v>
                </c:pt>
                <c:pt idx="68">
                  <c:v>0.0</c:v>
                </c:pt>
                <c:pt idx="69">
                  <c:v>0.0004457</c:v>
                </c:pt>
                <c:pt idx="70">
                  <c:v>0.001135</c:v>
                </c:pt>
                <c:pt idx="71">
                  <c:v>0.001839</c:v>
                </c:pt>
                <c:pt idx="72">
                  <c:v>0.002804</c:v>
                </c:pt>
                <c:pt idx="73">
                  <c:v>0.003788</c:v>
                </c:pt>
                <c:pt idx="74">
                  <c:v>0.004797</c:v>
                </c:pt>
                <c:pt idx="75">
                  <c:v>0.005841</c:v>
                </c:pt>
                <c:pt idx="76">
                  <c:v>0.007185</c:v>
                </c:pt>
                <c:pt idx="77">
                  <c:v>0.008554</c:v>
                </c:pt>
                <c:pt idx="78">
                  <c:v>0.01025</c:v>
                </c:pt>
                <c:pt idx="79">
                  <c:v>0.01229</c:v>
                </c:pt>
                <c:pt idx="80">
                  <c:v>0.01335</c:v>
                </c:pt>
                <c:pt idx="81">
                  <c:v>0.0142</c:v>
                </c:pt>
                <c:pt idx="82">
                  <c:v>0.01507</c:v>
                </c:pt>
                <c:pt idx="83">
                  <c:v>0.01604</c:v>
                </c:pt>
                <c:pt idx="84">
                  <c:v>0.01737</c:v>
                </c:pt>
                <c:pt idx="85">
                  <c:v>0.01936</c:v>
                </c:pt>
                <c:pt idx="86">
                  <c:v>0.02165</c:v>
                </c:pt>
                <c:pt idx="87">
                  <c:v>0.0233</c:v>
                </c:pt>
                <c:pt idx="88">
                  <c:v>0.02564</c:v>
                </c:pt>
                <c:pt idx="89">
                  <c:v>0.02764</c:v>
                </c:pt>
                <c:pt idx="90">
                  <c:v>0.02902</c:v>
                </c:pt>
                <c:pt idx="91">
                  <c:v>0.03172</c:v>
                </c:pt>
                <c:pt idx="92">
                  <c:v>0.03412</c:v>
                </c:pt>
                <c:pt idx="93">
                  <c:v>0.03693</c:v>
                </c:pt>
                <c:pt idx="94">
                  <c:v>0.03912</c:v>
                </c:pt>
                <c:pt idx="95">
                  <c:v>0.04062</c:v>
                </c:pt>
                <c:pt idx="96">
                  <c:v>0.04161</c:v>
                </c:pt>
                <c:pt idx="97">
                  <c:v>0.04199</c:v>
                </c:pt>
                <c:pt idx="98">
                  <c:v>0.0433</c:v>
                </c:pt>
                <c:pt idx="99">
                  <c:v>0.04349</c:v>
                </c:pt>
                <c:pt idx="100">
                  <c:v>0.04431</c:v>
                </c:pt>
                <c:pt idx="101">
                  <c:v>0.04598</c:v>
                </c:pt>
                <c:pt idx="102">
                  <c:v>0.04692</c:v>
                </c:pt>
                <c:pt idx="103">
                  <c:v>0.04824</c:v>
                </c:pt>
                <c:pt idx="104">
                  <c:v>0.04967</c:v>
                </c:pt>
                <c:pt idx="105">
                  <c:v>0.05096</c:v>
                </c:pt>
                <c:pt idx="106">
                  <c:v>0.05313</c:v>
                </c:pt>
                <c:pt idx="107">
                  <c:v>0.05468</c:v>
                </c:pt>
                <c:pt idx="108">
                  <c:v>0.05659</c:v>
                </c:pt>
                <c:pt idx="109">
                  <c:v>0.058</c:v>
                </c:pt>
                <c:pt idx="110">
                  <c:v>0.06007</c:v>
                </c:pt>
                <c:pt idx="111">
                  <c:v>0.06106</c:v>
                </c:pt>
                <c:pt idx="112">
                  <c:v>0.06149</c:v>
                </c:pt>
                <c:pt idx="113">
                  <c:v>0.06141</c:v>
                </c:pt>
                <c:pt idx="114">
                  <c:v>0.06243</c:v>
                </c:pt>
                <c:pt idx="115">
                  <c:v>0.06235</c:v>
                </c:pt>
                <c:pt idx="116">
                  <c:v>0.06333</c:v>
                </c:pt>
                <c:pt idx="117">
                  <c:v>0.06384</c:v>
                </c:pt>
                <c:pt idx="118">
                  <c:v>0.06553</c:v>
                </c:pt>
                <c:pt idx="119">
                  <c:v>0.06783</c:v>
                </c:pt>
                <c:pt idx="120">
                  <c:v>0.07012</c:v>
                </c:pt>
                <c:pt idx="121">
                  <c:v>0.07281</c:v>
                </c:pt>
                <c:pt idx="122">
                  <c:v>0.07604</c:v>
                </c:pt>
                <c:pt idx="123">
                  <c:v>0.07939</c:v>
                </c:pt>
                <c:pt idx="124">
                  <c:v>0.08265</c:v>
                </c:pt>
                <c:pt idx="125">
                  <c:v>0.08482</c:v>
                </c:pt>
                <c:pt idx="126">
                  <c:v>0.0869</c:v>
                </c:pt>
                <c:pt idx="127">
                  <c:v>0.08912</c:v>
                </c:pt>
                <c:pt idx="128">
                  <c:v>0.09129</c:v>
                </c:pt>
                <c:pt idx="129">
                  <c:v>0.09284</c:v>
                </c:pt>
                <c:pt idx="130">
                  <c:v>0.09375</c:v>
                </c:pt>
                <c:pt idx="131">
                  <c:v>0.09466</c:v>
                </c:pt>
                <c:pt idx="132">
                  <c:v>0.09367</c:v>
                </c:pt>
                <c:pt idx="133">
                  <c:v>0.09265</c:v>
                </c:pt>
                <c:pt idx="134">
                  <c:v>0.09159</c:v>
                </c:pt>
                <c:pt idx="135">
                  <c:v>0.0924</c:v>
                </c:pt>
                <c:pt idx="136">
                  <c:v>0.09174</c:v>
                </c:pt>
                <c:pt idx="137">
                  <c:v>0.09306</c:v>
                </c:pt>
                <c:pt idx="138">
                  <c:v>0.09226</c:v>
                </c:pt>
                <c:pt idx="139">
                  <c:v>0.09073</c:v>
                </c:pt>
                <c:pt idx="140">
                  <c:v>0.08844</c:v>
                </c:pt>
                <c:pt idx="141">
                  <c:v>0.08604</c:v>
                </c:pt>
                <c:pt idx="142">
                  <c:v>0.08362</c:v>
                </c:pt>
                <c:pt idx="143">
                  <c:v>0.08241</c:v>
                </c:pt>
                <c:pt idx="144">
                  <c:v>0.0826</c:v>
                </c:pt>
                <c:pt idx="145">
                  <c:v>0.08385</c:v>
                </c:pt>
                <c:pt idx="146">
                  <c:v>0.08332</c:v>
                </c:pt>
                <c:pt idx="147">
                  <c:v>0.08479</c:v>
                </c:pt>
                <c:pt idx="148">
                  <c:v>0.08478</c:v>
                </c:pt>
                <c:pt idx="149">
                  <c:v>0.08655</c:v>
                </c:pt>
                <c:pt idx="150">
                  <c:v>0.08945</c:v>
                </c:pt>
                <c:pt idx="151">
                  <c:v>0.0936</c:v>
                </c:pt>
                <c:pt idx="152">
                  <c:v>0.0972</c:v>
                </c:pt>
                <c:pt idx="153">
                  <c:v>0.1019</c:v>
                </c:pt>
                <c:pt idx="154">
                  <c:v>0.1071</c:v>
                </c:pt>
                <c:pt idx="155">
                  <c:v>0.11</c:v>
                </c:pt>
                <c:pt idx="156">
                  <c:v>0.1112</c:v>
                </c:pt>
                <c:pt idx="157">
                  <c:v>0.1126</c:v>
                </c:pt>
                <c:pt idx="158">
                  <c:v>0.1135</c:v>
                </c:pt>
                <c:pt idx="159">
                  <c:v>0.1138</c:v>
                </c:pt>
                <c:pt idx="160">
                  <c:v>0.1138</c:v>
                </c:pt>
                <c:pt idx="161">
                  <c:v>0.1134</c:v>
                </c:pt>
                <c:pt idx="162">
                  <c:v>0.1118</c:v>
                </c:pt>
                <c:pt idx="163">
                  <c:v>0.1114</c:v>
                </c:pt>
                <c:pt idx="164">
                  <c:v>0.1086</c:v>
                </c:pt>
                <c:pt idx="165">
                  <c:v>0.1048</c:v>
                </c:pt>
                <c:pt idx="166">
                  <c:v>0.1006</c:v>
                </c:pt>
                <c:pt idx="167">
                  <c:v>0.09699</c:v>
                </c:pt>
                <c:pt idx="168">
                  <c:v>0.09296</c:v>
                </c:pt>
                <c:pt idx="169">
                  <c:v>0.089</c:v>
                </c:pt>
                <c:pt idx="170">
                  <c:v>0.08567</c:v>
                </c:pt>
                <c:pt idx="171">
                  <c:v>0.08161</c:v>
                </c:pt>
                <c:pt idx="172">
                  <c:v>0.07892</c:v>
                </c:pt>
                <c:pt idx="173">
                  <c:v>0.07629</c:v>
                </c:pt>
                <c:pt idx="174">
                  <c:v>0.07307</c:v>
                </c:pt>
                <c:pt idx="175">
                  <c:v>0.07257</c:v>
                </c:pt>
                <c:pt idx="176">
                  <c:v>0.07268</c:v>
                </c:pt>
                <c:pt idx="177">
                  <c:v>0.07412</c:v>
                </c:pt>
                <c:pt idx="178">
                  <c:v>0.0748</c:v>
                </c:pt>
                <c:pt idx="179">
                  <c:v>0.07691</c:v>
                </c:pt>
                <c:pt idx="180">
                  <c:v>0.07906</c:v>
                </c:pt>
                <c:pt idx="181">
                  <c:v>0.08121</c:v>
                </c:pt>
                <c:pt idx="182">
                  <c:v>0.08485</c:v>
                </c:pt>
                <c:pt idx="183">
                  <c:v>0.08471</c:v>
                </c:pt>
                <c:pt idx="184">
                  <c:v>0.08665</c:v>
                </c:pt>
                <c:pt idx="185">
                  <c:v>0.08783</c:v>
                </c:pt>
                <c:pt idx="186">
                  <c:v>0.08606</c:v>
                </c:pt>
                <c:pt idx="187">
                  <c:v>0.08502</c:v>
                </c:pt>
                <c:pt idx="188">
                  <c:v>0.08554</c:v>
                </c:pt>
                <c:pt idx="189">
                  <c:v>0.08678</c:v>
                </c:pt>
                <c:pt idx="190">
                  <c:v>0.08732</c:v>
                </c:pt>
                <c:pt idx="191">
                  <c:v>0.08692</c:v>
                </c:pt>
                <c:pt idx="192">
                  <c:v>0.0857</c:v>
                </c:pt>
                <c:pt idx="193">
                  <c:v>0.08387</c:v>
                </c:pt>
                <c:pt idx="194">
                  <c:v>0.0848</c:v>
                </c:pt>
                <c:pt idx="195">
                  <c:v>0.08258</c:v>
                </c:pt>
                <c:pt idx="196">
                  <c:v>0.08223</c:v>
                </c:pt>
                <c:pt idx="197">
                  <c:v>0.08238</c:v>
                </c:pt>
                <c:pt idx="198">
                  <c:v>0.08198</c:v>
                </c:pt>
                <c:pt idx="199">
                  <c:v>0.07894</c:v>
                </c:pt>
                <c:pt idx="200">
                  <c:v>0.07511</c:v>
                </c:pt>
                <c:pt idx="201">
                  <c:v>0.07141</c:v>
                </c:pt>
                <c:pt idx="202">
                  <c:v>0.06884</c:v>
                </c:pt>
                <c:pt idx="203">
                  <c:v>0.06726</c:v>
                </c:pt>
                <c:pt idx="204">
                  <c:v>0.06433</c:v>
                </c:pt>
                <c:pt idx="205">
                  <c:v>0.06102</c:v>
                </c:pt>
                <c:pt idx="206">
                  <c:v>0.06085</c:v>
                </c:pt>
                <c:pt idx="207">
                  <c:v>0.05836</c:v>
                </c:pt>
                <c:pt idx="208">
                  <c:v>0.05839</c:v>
                </c:pt>
                <c:pt idx="209">
                  <c:v>0.05693</c:v>
                </c:pt>
                <c:pt idx="210">
                  <c:v>0.0555</c:v>
                </c:pt>
                <c:pt idx="211">
                  <c:v>0.05481</c:v>
                </c:pt>
                <c:pt idx="212">
                  <c:v>0.05256</c:v>
                </c:pt>
                <c:pt idx="213">
                  <c:v>0.05141</c:v>
                </c:pt>
                <c:pt idx="214">
                  <c:v>0.05003</c:v>
                </c:pt>
                <c:pt idx="215">
                  <c:v>0.0512</c:v>
                </c:pt>
                <c:pt idx="216">
                  <c:v>0.05234</c:v>
                </c:pt>
                <c:pt idx="217">
                  <c:v>0.05067</c:v>
                </c:pt>
                <c:pt idx="218">
                  <c:v>0.05159</c:v>
                </c:pt>
                <c:pt idx="219">
                  <c:v>0.04955</c:v>
                </c:pt>
                <c:pt idx="220">
                  <c:v>0.04879</c:v>
                </c:pt>
                <c:pt idx="221">
                  <c:v>0.05041</c:v>
                </c:pt>
                <c:pt idx="222">
                  <c:v>0.05207</c:v>
                </c:pt>
                <c:pt idx="223">
                  <c:v>0.0551</c:v>
                </c:pt>
                <c:pt idx="224">
                  <c:v>0.05676</c:v>
                </c:pt>
                <c:pt idx="225">
                  <c:v>0.05993</c:v>
                </c:pt>
                <c:pt idx="226">
                  <c:v>0.06015</c:v>
                </c:pt>
                <c:pt idx="227">
                  <c:v>0.06185</c:v>
                </c:pt>
                <c:pt idx="228">
                  <c:v>0.06791</c:v>
                </c:pt>
                <c:pt idx="229">
                  <c:v>0.07108</c:v>
                </c:pt>
                <c:pt idx="230">
                  <c:v>0.0757</c:v>
                </c:pt>
                <c:pt idx="231">
                  <c:v>0.08028</c:v>
                </c:pt>
                <c:pt idx="232">
                  <c:v>0.08352</c:v>
                </c:pt>
                <c:pt idx="233">
                  <c:v>0.0868</c:v>
                </c:pt>
                <c:pt idx="234">
                  <c:v>0.09305</c:v>
                </c:pt>
                <c:pt idx="235">
                  <c:v>0.0979</c:v>
                </c:pt>
                <c:pt idx="236">
                  <c:v>0.09966</c:v>
                </c:pt>
                <c:pt idx="237">
                  <c:v>0.1045</c:v>
                </c:pt>
                <c:pt idx="238">
                  <c:v>0.1064</c:v>
                </c:pt>
                <c:pt idx="239">
                  <c:v>0.1023</c:v>
                </c:pt>
                <c:pt idx="240">
                  <c:v>0.1011</c:v>
                </c:pt>
                <c:pt idx="241">
                  <c:v>0.1015</c:v>
                </c:pt>
                <c:pt idx="242">
                  <c:v>0.1035</c:v>
                </c:pt>
                <c:pt idx="243">
                  <c:v>0.1039</c:v>
                </c:pt>
                <c:pt idx="244">
                  <c:v>0.1042</c:v>
                </c:pt>
                <c:pt idx="245">
                  <c:v>0.1001</c:v>
                </c:pt>
                <c:pt idx="246">
                  <c:v>0.09726</c:v>
                </c:pt>
                <c:pt idx="247">
                  <c:v>0.0961</c:v>
                </c:pt>
                <c:pt idx="248">
                  <c:v>0.09338</c:v>
                </c:pt>
                <c:pt idx="249">
                  <c:v>0.09374</c:v>
                </c:pt>
                <c:pt idx="250">
                  <c:v>0.09878</c:v>
                </c:pt>
                <c:pt idx="251">
                  <c:v>0.1007</c:v>
                </c:pt>
                <c:pt idx="252">
                  <c:v>0.1027</c:v>
                </c:pt>
                <c:pt idx="253">
                  <c:v>0.1015</c:v>
                </c:pt>
                <c:pt idx="254">
                  <c:v>0.1019</c:v>
                </c:pt>
                <c:pt idx="255">
                  <c:v>0.104</c:v>
                </c:pt>
                <c:pt idx="256">
                  <c:v>0.1076</c:v>
                </c:pt>
                <c:pt idx="257">
                  <c:v>0.1112</c:v>
                </c:pt>
                <c:pt idx="258">
                  <c:v>0.1164</c:v>
                </c:pt>
                <c:pt idx="259">
                  <c:v>0.1198</c:v>
                </c:pt>
                <c:pt idx="260">
                  <c:v>0.12</c:v>
                </c:pt>
                <c:pt idx="261">
                  <c:v>0.1185</c:v>
                </c:pt>
                <c:pt idx="262">
                  <c:v>0.1187</c:v>
                </c:pt>
                <c:pt idx="263">
                  <c:v>0.1154</c:v>
                </c:pt>
                <c:pt idx="264">
                  <c:v>0.1135</c:v>
                </c:pt>
                <c:pt idx="265">
                  <c:v>0.1132</c:v>
                </c:pt>
                <c:pt idx="266">
                  <c:v>0.1111</c:v>
                </c:pt>
                <c:pt idx="267">
                  <c:v>0.1074</c:v>
                </c:pt>
                <c:pt idx="268">
                  <c:v>0.1036</c:v>
                </c:pt>
                <c:pt idx="269">
                  <c:v>0.09817</c:v>
                </c:pt>
                <c:pt idx="270">
                  <c:v>0.09459</c:v>
                </c:pt>
                <c:pt idx="271">
                  <c:v>0.09244</c:v>
                </c:pt>
                <c:pt idx="272">
                  <c:v>0.09018</c:v>
                </c:pt>
                <c:pt idx="273">
                  <c:v>0.08782</c:v>
                </c:pt>
                <c:pt idx="274">
                  <c:v>0.0874</c:v>
                </c:pt>
                <c:pt idx="275">
                  <c:v>0.08713</c:v>
                </c:pt>
                <c:pt idx="276">
                  <c:v>0.08366</c:v>
                </c:pt>
                <c:pt idx="277">
                  <c:v>0.07885</c:v>
                </c:pt>
                <c:pt idx="278">
                  <c:v>0.07705</c:v>
                </c:pt>
                <c:pt idx="279">
                  <c:v>0.07685</c:v>
                </c:pt>
                <c:pt idx="280">
                  <c:v>0.07651</c:v>
                </c:pt>
                <c:pt idx="281">
                  <c:v>0.07616</c:v>
                </c:pt>
                <c:pt idx="282">
                  <c:v>0.07743</c:v>
                </c:pt>
                <c:pt idx="283">
                  <c:v>0.07735</c:v>
                </c:pt>
                <c:pt idx="284">
                  <c:v>0.08034</c:v>
                </c:pt>
                <c:pt idx="285">
                  <c:v>0.08157</c:v>
                </c:pt>
                <c:pt idx="286">
                  <c:v>0.08281</c:v>
                </c:pt>
                <c:pt idx="287">
                  <c:v>0.08851</c:v>
                </c:pt>
                <c:pt idx="288">
                  <c:v>0.09869</c:v>
                </c:pt>
                <c:pt idx="289">
                  <c:v>0.1089</c:v>
                </c:pt>
                <c:pt idx="290">
                  <c:v>0.1163</c:v>
                </c:pt>
                <c:pt idx="291">
                  <c:v>0.1238</c:v>
                </c:pt>
                <c:pt idx="292">
                  <c:v>0.1314</c:v>
                </c:pt>
                <c:pt idx="293">
                  <c:v>0.136</c:v>
                </c:pt>
                <c:pt idx="294">
                  <c:v>0.1422</c:v>
                </c:pt>
                <c:pt idx="295">
                  <c:v>0.1454</c:v>
                </c:pt>
                <c:pt idx="296">
                  <c:v>0.1503</c:v>
                </c:pt>
                <c:pt idx="297">
                  <c:v>0.1552</c:v>
                </c:pt>
                <c:pt idx="298">
                  <c:v>0.1557</c:v>
                </c:pt>
                <c:pt idx="299">
                  <c:v>0.1517</c:v>
                </c:pt>
                <c:pt idx="300">
                  <c:v>0.1432</c:v>
                </c:pt>
                <c:pt idx="301">
                  <c:v>0.1378</c:v>
                </c:pt>
                <c:pt idx="302">
                  <c:v>0.1322</c:v>
                </c:pt>
                <c:pt idx="303">
                  <c:v>0.1282</c:v>
                </c:pt>
                <c:pt idx="304">
                  <c:v>0.1256</c:v>
                </c:pt>
                <c:pt idx="305">
                  <c:v>0.1245</c:v>
                </c:pt>
                <c:pt idx="306">
                  <c:v>0.1203</c:v>
                </c:pt>
                <c:pt idx="307">
                  <c:v>0.1162</c:v>
                </c:pt>
                <c:pt idx="308">
                  <c:v>0.1136</c:v>
                </c:pt>
                <c:pt idx="309">
                  <c:v>0.1141</c:v>
                </c:pt>
                <c:pt idx="310">
                  <c:v>0.1162</c:v>
                </c:pt>
                <c:pt idx="311">
                  <c:v>0.1213</c:v>
                </c:pt>
                <c:pt idx="312">
                  <c:v>0.1248</c:v>
                </c:pt>
                <c:pt idx="313">
                  <c:v>0.1268</c:v>
                </c:pt>
                <c:pt idx="314">
                  <c:v>0.1257</c:v>
                </c:pt>
                <c:pt idx="315">
                  <c:v>0.1246</c:v>
                </c:pt>
                <c:pt idx="316">
                  <c:v>0.1203</c:v>
                </c:pt>
                <c:pt idx="317">
                  <c:v>0.1207</c:v>
                </c:pt>
                <c:pt idx="318">
                  <c:v>0.121</c:v>
                </c:pt>
                <c:pt idx="319">
                  <c:v>0.1181</c:v>
                </c:pt>
                <c:pt idx="320">
                  <c:v>0.1121</c:v>
                </c:pt>
                <c:pt idx="321">
                  <c:v>0.1043</c:v>
                </c:pt>
                <c:pt idx="322">
                  <c:v>0.09809</c:v>
                </c:pt>
                <c:pt idx="323">
                  <c:v>0.09024</c:v>
                </c:pt>
                <c:pt idx="324">
                  <c:v>0.08393</c:v>
                </c:pt>
                <c:pt idx="325">
                  <c:v>0.08018</c:v>
                </c:pt>
                <c:pt idx="326">
                  <c:v>0.07717</c:v>
                </c:pt>
                <c:pt idx="327">
                  <c:v>0.07755</c:v>
                </c:pt>
              </c:numCache>
            </c:numRef>
          </c:yVal>
          <c:smooth val="0"/>
        </c:ser>
        <c:ser>
          <c:idx val="2"/>
          <c:order val="0"/>
          <c:tx>
            <c:v>6MCS2</c:v>
          </c:tx>
          <c:spPr>
            <a:ln w="28575" cmpd="sng">
              <a:solidFill>
                <a:srgbClr val="008000"/>
              </a:solidFill>
            </a:ln>
          </c:spPr>
          <c:marker>
            <c:symbol val="none"/>
          </c:marker>
          <c:xVal>
            <c:numRef>
              <c:f>'28DB2- in1'!$C$5:$C$332</c:f>
              <c:numCache>
                <c:formatCode>0.00E+00</c:formatCode>
                <c:ptCount val="328"/>
                <c:pt idx="0">
                  <c:v>10.63</c:v>
                </c:pt>
                <c:pt idx="1">
                  <c:v>10.29</c:v>
                </c:pt>
                <c:pt idx="2">
                  <c:v>9.963000000000002</c:v>
                </c:pt>
                <c:pt idx="3">
                  <c:v>9.681000000000001</c:v>
                </c:pt>
                <c:pt idx="4">
                  <c:v>9.397</c:v>
                </c:pt>
                <c:pt idx="5">
                  <c:v>9.119</c:v>
                </c:pt>
                <c:pt idx="6">
                  <c:v>8.85</c:v>
                </c:pt>
                <c:pt idx="7">
                  <c:v>8.586</c:v>
                </c:pt>
                <c:pt idx="8">
                  <c:v>8.315</c:v>
                </c:pt>
                <c:pt idx="9">
                  <c:v>8.046000000000001</c:v>
                </c:pt>
                <c:pt idx="10">
                  <c:v>7.777</c:v>
                </c:pt>
                <c:pt idx="11">
                  <c:v>7.503</c:v>
                </c:pt>
                <c:pt idx="12">
                  <c:v>7.224999999999985</c:v>
                </c:pt>
                <c:pt idx="13">
                  <c:v>6.944</c:v>
                </c:pt>
                <c:pt idx="14">
                  <c:v>6.660999999999977</c:v>
                </c:pt>
                <c:pt idx="15">
                  <c:v>6.373</c:v>
                </c:pt>
                <c:pt idx="16">
                  <c:v>6.082</c:v>
                </c:pt>
                <c:pt idx="17">
                  <c:v>5.788</c:v>
                </c:pt>
                <c:pt idx="18">
                  <c:v>5.49</c:v>
                </c:pt>
                <c:pt idx="19">
                  <c:v>5.193999999999995</c:v>
                </c:pt>
                <c:pt idx="20">
                  <c:v>4.893999999999997</c:v>
                </c:pt>
                <c:pt idx="21">
                  <c:v>4.593</c:v>
                </c:pt>
                <c:pt idx="22">
                  <c:v>4.29</c:v>
                </c:pt>
                <c:pt idx="23">
                  <c:v>3.986</c:v>
                </c:pt>
                <c:pt idx="24">
                  <c:v>3.684</c:v>
                </c:pt>
                <c:pt idx="25">
                  <c:v>3.385</c:v>
                </c:pt>
                <c:pt idx="26">
                  <c:v>3.09</c:v>
                </c:pt>
                <c:pt idx="27">
                  <c:v>2.804</c:v>
                </c:pt>
                <c:pt idx="28">
                  <c:v>2.529</c:v>
                </c:pt>
                <c:pt idx="29">
                  <c:v>2.266</c:v>
                </c:pt>
                <c:pt idx="30">
                  <c:v>2.018</c:v>
                </c:pt>
                <c:pt idx="31">
                  <c:v>1.788</c:v>
                </c:pt>
                <c:pt idx="32">
                  <c:v>1.578</c:v>
                </c:pt>
                <c:pt idx="33">
                  <c:v>1.389</c:v>
                </c:pt>
                <c:pt idx="34">
                  <c:v>1.221</c:v>
                </c:pt>
                <c:pt idx="35">
                  <c:v>1.073</c:v>
                </c:pt>
                <c:pt idx="36">
                  <c:v>0.9457</c:v>
                </c:pt>
                <c:pt idx="37">
                  <c:v>0.8358</c:v>
                </c:pt>
                <c:pt idx="38">
                  <c:v>0.7418</c:v>
                </c:pt>
                <c:pt idx="39">
                  <c:v>0.6616</c:v>
                </c:pt>
                <c:pt idx="40">
                  <c:v>0.5931</c:v>
                </c:pt>
                <c:pt idx="41">
                  <c:v>0.5346</c:v>
                </c:pt>
                <c:pt idx="42">
                  <c:v>0.4845</c:v>
                </c:pt>
                <c:pt idx="43">
                  <c:v>0.4415</c:v>
                </c:pt>
                <c:pt idx="44">
                  <c:v>0.4045</c:v>
                </c:pt>
                <c:pt idx="45">
                  <c:v>0.3724</c:v>
                </c:pt>
                <c:pt idx="46">
                  <c:v>0.3446</c:v>
                </c:pt>
                <c:pt idx="47">
                  <c:v>0.3202</c:v>
                </c:pt>
                <c:pt idx="48">
                  <c:v>0.2987</c:v>
                </c:pt>
                <c:pt idx="49">
                  <c:v>0.2796</c:v>
                </c:pt>
                <c:pt idx="50">
                  <c:v>0.2626</c:v>
                </c:pt>
                <c:pt idx="51">
                  <c:v>0.2473</c:v>
                </c:pt>
                <c:pt idx="52">
                  <c:v>0.2335</c:v>
                </c:pt>
                <c:pt idx="53">
                  <c:v>0.2208</c:v>
                </c:pt>
                <c:pt idx="54">
                  <c:v>0.2093</c:v>
                </c:pt>
                <c:pt idx="55">
                  <c:v>0.1988</c:v>
                </c:pt>
                <c:pt idx="56">
                  <c:v>0.1891</c:v>
                </c:pt>
                <c:pt idx="57">
                  <c:v>0.1802</c:v>
                </c:pt>
                <c:pt idx="58">
                  <c:v>0.1718</c:v>
                </c:pt>
                <c:pt idx="59">
                  <c:v>0.164</c:v>
                </c:pt>
                <c:pt idx="60">
                  <c:v>0.1568</c:v>
                </c:pt>
                <c:pt idx="61">
                  <c:v>0.1501</c:v>
                </c:pt>
                <c:pt idx="62">
                  <c:v>0.1437</c:v>
                </c:pt>
                <c:pt idx="63">
                  <c:v>0.1378</c:v>
                </c:pt>
                <c:pt idx="64">
                  <c:v>0.1323</c:v>
                </c:pt>
                <c:pt idx="65">
                  <c:v>0.1271</c:v>
                </c:pt>
                <c:pt idx="66">
                  <c:v>0.1221</c:v>
                </c:pt>
                <c:pt idx="67">
                  <c:v>0.1175</c:v>
                </c:pt>
                <c:pt idx="68">
                  <c:v>0.1131</c:v>
                </c:pt>
                <c:pt idx="69">
                  <c:v>0.109</c:v>
                </c:pt>
                <c:pt idx="70">
                  <c:v>0.1052</c:v>
                </c:pt>
                <c:pt idx="71">
                  <c:v>0.1016</c:v>
                </c:pt>
                <c:pt idx="72">
                  <c:v>0.0982</c:v>
                </c:pt>
                <c:pt idx="73">
                  <c:v>0.09503</c:v>
                </c:pt>
                <c:pt idx="74">
                  <c:v>0.09203</c:v>
                </c:pt>
                <c:pt idx="75">
                  <c:v>0.08922</c:v>
                </c:pt>
                <c:pt idx="76">
                  <c:v>0.08656</c:v>
                </c:pt>
                <c:pt idx="77">
                  <c:v>0.08404</c:v>
                </c:pt>
                <c:pt idx="78">
                  <c:v>0.08162</c:v>
                </c:pt>
                <c:pt idx="79">
                  <c:v>0.07927</c:v>
                </c:pt>
                <c:pt idx="80">
                  <c:v>0.07705</c:v>
                </c:pt>
                <c:pt idx="81">
                  <c:v>0.07495</c:v>
                </c:pt>
                <c:pt idx="82">
                  <c:v>0.07295</c:v>
                </c:pt>
                <c:pt idx="83">
                  <c:v>0.07101</c:v>
                </c:pt>
                <c:pt idx="84">
                  <c:v>0.06914</c:v>
                </c:pt>
                <c:pt idx="85">
                  <c:v>0.06731</c:v>
                </c:pt>
                <c:pt idx="86">
                  <c:v>0.06554</c:v>
                </c:pt>
                <c:pt idx="87">
                  <c:v>0.06383</c:v>
                </c:pt>
                <c:pt idx="88">
                  <c:v>0.0622</c:v>
                </c:pt>
                <c:pt idx="89">
                  <c:v>0.06064</c:v>
                </c:pt>
                <c:pt idx="90">
                  <c:v>0.05918</c:v>
                </c:pt>
                <c:pt idx="91">
                  <c:v>0.05779</c:v>
                </c:pt>
                <c:pt idx="92">
                  <c:v>0.05646</c:v>
                </c:pt>
                <c:pt idx="93">
                  <c:v>0.05518</c:v>
                </c:pt>
                <c:pt idx="94">
                  <c:v>0.05399</c:v>
                </c:pt>
                <c:pt idx="95">
                  <c:v>0.05283</c:v>
                </c:pt>
                <c:pt idx="96">
                  <c:v>0.05174</c:v>
                </c:pt>
                <c:pt idx="97">
                  <c:v>0.05072</c:v>
                </c:pt>
                <c:pt idx="98">
                  <c:v>0.04975</c:v>
                </c:pt>
                <c:pt idx="99">
                  <c:v>0.04884</c:v>
                </c:pt>
                <c:pt idx="100">
                  <c:v>0.04797</c:v>
                </c:pt>
                <c:pt idx="101">
                  <c:v>0.04714</c:v>
                </c:pt>
                <c:pt idx="102">
                  <c:v>0.04632</c:v>
                </c:pt>
                <c:pt idx="103">
                  <c:v>0.04554</c:v>
                </c:pt>
                <c:pt idx="104">
                  <c:v>0.04477</c:v>
                </c:pt>
                <c:pt idx="105">
                  <c:v>0.04403</c:v>
                </c:pt>
                <c:pt idx="106">
                  <c:v>0.04333</c:v>
                </c:pt>
                <c:pt idx="107">
                  <c:v>0.04265</c:v>
                </c:pt>
                <c:pt idx="108">
                  <c:v>0.04199</c:v>
                </c:pt>
                <c:pt idx="109">
                  <c:v>0.04135</c:v>
                </c:pt>
                <c:pt idx="110">
                  <c:v>0.04073</c:v>
                </c:pt>
                <c:pt idx="111">
                  <c:v>0.04012</c:v>
                </c:pt>
                <c:pt idx="112">
                  <c:v>0.03952</c:v>
                </c:pt>
                <c:pt idx="113">
                  <c:v>0.03895</c:v>
                </c:pt>
                <c:pt idx="114">
                  <c:v>0.03839</c:v>
                </c:pt>
                <c:pt idx="115">
                  <c:v>0.03784</c:v>
                </c:pt>
                <c:pt idx="116">
                  <c:v>0.03731</c:v>
                </c:pt>
                <c:pt idx="117">
                  <c:v>0.03679</c:v>
                </c:pt>
                <c:pt idx="118">
                  <c:v>0.03629</c:v>
                </c:pt>
                <c:pt idx="119">
                  <c:v>0.03579</c:v>
                </c:pt>
                <c:pt idx="120">
                  <c:v>0.03531</c:v>
                </c:pt>
                <c:pt idx="121">
                  <c:v>0.03484</c:v>
                </c:pt>
                <c:pt idx="122">
                  <c:v>0.03438</c:v>
                </c:pt>
                <c:pt idx="123">
                  <c:v>0.03393</c:v>
                </c:pt>
                <c:pt idx="124">
                  <c:v>0.0335</c:v>
                </c:pt>
                <c:pt idx="125">
                  <c:v>0.03307</c:v>
                </c:pt>
                <c:pt idx="126">
                  <c:v>0.03265</c:v>
                </c:pt>
                <c:pt idx="127">
                  <c:v>0.03224</c:v>
                </c:pt>
                <c:pt idx="128">
                  <c:v>0.03184</c:v>
                </c:pt>
                <c:pt idx="129">
                  <c:v>0.03144</c:v>
                </c:pt>
                <c:pt idx="130">
                  <c:v>0.03106</c:v>
                </c:pt>
                <c:pt idx="131">
                  <c:v>0.03068</c:v>
                </c:pt>
                <c:pt idx="132">
                  <c:v>0.03031</c:v>
                </c:pt>
                <c:pt idx="133">
                  <c:v>0.02994</c:v>
                </c:pt>
                <c:pt idx="134">
                  <c:v>0.02957</c:v>
                </c:pt>
                <c:pt idx="135">
                  <c:v>0.02921</c:v>
                </c:pt>
                <c:pt idx="136">
                  <c:v>0.02887</c:v>
                </c:pt>
                <c:pt idx="137">
                  <c:v>0.02852</c:v>
                </c:pt>
                <c:pt idx="138">
                  <c:v>0.02818</c:v>
                </c:pt>
                <c:pt idx="139">
                  <c:v>0.02784</c:v>
                </c:pt>
                <c:pt idx="140">
                  <c:v>0.0275</c:v>
                </c:pt>
                <c:pt idx="141">
                  <c:v>0.02715</c:v>
                </c:pt>
                <c:pt idx="142">
                  <c:v>0.02681</c:v>
                </c:pt>
                <c:pt idx="143">
                  <c:v>0.02646</c:v>
                </c:pt>
                <c:pt idx="144">
                  <c:v>0.02611</c:v>
                </c:pt>
                <c:pt idx="145">
                  <c:v>0.02577</c:v>
                </c:pt>
                <c:pt idx="146">
                  <c:v>0.02543</c:v>
                </c:pt>
                <c:pt idx="147">
                  <c:v>0.02508</c:v>
                </c:pt>
                <c:pt idx="148">
                  <c:v>0.02474</c:v>
                </c:pt>
                <c:pt idx="149">
                  <c:v>0.02441</c:v>
                </c:pt>
                <c:pt idx="150">
                  <c:v>0.02407</c:v>
                </c:pt>
                <c:pt idx="151">
                  <c:v>0.02374</c:v>
                </c:pt>
                <c:pt idx="152">
                  <c:v>0.02342</c:v>
                </c:pt>
                <c:pt idx="153">
                  <c:v>0.02311</c:v>
                </c:pt>
                <c:pt idx="154">
                  <c:v>0.0228</c:v>
                </c:pt>
                <c:pt idx="155">
                  <c:v>0.0225</c:v>
                </c:pt>
                <c:pt idx="156">
                  <c:v>0.02221</c:v>
                </c:pt>
                <c:pt idx="157">
                  <c:v>0.02192</c:v>
                </c:pt>
                <c:pt idx="158">
                  <c:v>0.02163</c:v>
                </c:pt>
                <c:pt idx="159">
                  <c:v>0.02135</c:v>
                </c:pt>
                <c:pt idx="160">
                  <c:v>0.02107</c:v>
                </c:pt>
                <c:pt idx="161">
                  <c:v>0.0208</c:v>
                </c:pt>
                <c:pt idx="162">
                  <c:v>0.02053</c:v>
                </c:pt>
                <c:pt idx="163">
                  <c:v>0.02027</c:v>
                </c:pt>
                <c:pt idx="164">
                  <c:v>0.02001</c:v>
                </c:pt>
                <c:pt idx="165">
                  <c:v>0.01976</c:v>
                </c:pt>
                <c:pt idx="166">
                  <c:v>0.01951</c:v>
                </c:pt>
                <c:pt idx="167">
                  <c:v>0.01927</c:v>
                </c:pt>
                <c:pt idx="168">
                  <c:v>0.01904</c:v>
                </c:pt>
                <c:pt idx="169">
                  <c:v>0.0188</c:v>
                </c:pt>
                <c:pt idx="170">
                  <c:v>0.01858</c:v>
                </c:pt>
                <c:pt idx="171">
                  <c:v>0.01836</c:v>
                </c:pt>
                <c:pt idx="172">
                  <c:v>0.01814</c:v>
                </c:pt>
                <c:pt idx="173">
                  <c:v>0.01792</c:v>
                </c:pt>
                <c:pt idx="174">
                  <c:v>0.01771</c:v>
                </c:pt>
                <c:pt idx="175">
                  <c:v>0.01751</c:v>
                </c:pt>
                <c:pt idx="176">
                  <c:v>0.01731</c:v>
                </c:pt>
                <c:pt idx="177">
                  <c:v>0.01711</c:v>
                </c:pt>
                <c:pt idx="178">
                  <c:v>0.01691</c:v>
                </c:pt>
                <c:pt idx="179">
                  <c:v>0.01672</c:v>
                </c:pt>
                <c:pt idx="180">
                  <c:v>0.01654</c:v>
                </c:pt>
                <c:pt idx="181">
                  <c:v>0.01635</c:v>
                </c:pt>
                <c:pt idx="182">
                  <c:v>0.01617</c:v>
                </c:pt>
                <c:pt idx="183">
                  <c:v>0.01599</c:v>
                </c:pt>
                <c:pt idx="184">
                  <c:v>0.01582</c:v>
                </c:pt>
                <c:pt idx="185">
                  <c:v>0.01564</c:v>
                </c:pt>
                <c:pt idx="186">
                  <c:v>0.01547</c:v>
                </c:pt>
                <c:pt idx="187">
                  <c:v>0.01529</c:v>
                </c:pt>
                <c:pt idx="188">
                  <c:v>0.01512</c:v>
                </c:pt>
                <c:pt idx="189">
                  <c:v>0.01496</c:v>
                </c:pt>
                <c:pt idx="190">
                  <c:v>0.0148</c:v>
                </c:pt>
                <c:pt idx="191">
                  <c:v>0.01465</c:v>
                </c:pt>
                <c:pt idx="192">
                  <c:v>0.0145</c:v>
                </c:pt>
                <c:pt idx="193">
                  <c:v>0.01436</c:v>
                </c:pt>
                <c:pt idx="194">
                  <c:v>0.01422</c:v>
                </c:pt>
                <c:pt idx="195">
                  <c:v>0.01409</c:v>
                </c:pt>
                <c:pt idx="196">
                  <c:v>0.01396</c:v>
                </c:pt>
                <c:pt idx="197">
                  <c:v>0.01383</c:v>
                </c:pt>
                <c:pt idx="198">
                  <c:v>0.01372</c:v>
                </c:pt>
                <c:pt idx="199">
                  <c:v>0.01361</c:v>
                </c:pt>
                <c:pt idx="200">
                  <c:v>0.0135</c:v>
                </c:pt>
                <c:pt idx="201">
                  <c:v>0.01339</c:v>
                </c:pt>
                <c:pt idx="202">
                  <c:v>0.0133</c:v>
                </c:pt>
                <c:pt idx="203">
                  <c:v>0.0132</c:v>
                </c:pt>
                <c:pt idx="204">
                  <c:v>0.0131</c:v>
                </c:pt>
                <c:pt idx="205">
                  <c:v>0.01301</c:v>
                </c:pt>
                <c:pt idx="206">
                  <c:v>0.01292</c:v>
                </c:pt>
                <c:pt idx="207">
                  <c:v>0.01284</c:v>
                </c:pt>
                <c:pt idx="208">
                  <c:v>0.01276</c:v>
                </c:pt>
                <c:pt idx="209">
                  <c:v>0.01268</c:v>
                </c:pt>
                <c:pt idx="210">
                  <c:v>0.0126</c:v>
                </c:pt>
                <c:pt idx="211">
                  <c:v>0.01252</c:v>
                </c:pt>
                <c:pt idx="212">
                  <c:v>0.01244</c:v>
                </c:pt>
                <c:pt idx="213">
                  <c:v>0.01236</c:v>
                </c:pt>
                <c:pt idx="214">
                  <c:v>0.01228</c:v>
                </c:pt>
                <c:pt idx="215">
                  <c:v>0.01221</c:v>
                </c:pt>
                <c:pt idx="216">
                  <c:v>0.01213</c:v>
                </c:pt>
                <c:pt idx="217">
                  <c:v>0.01206</c:v>
                </c:pt>
                <c:pt idx="218">
                  <c:v>0.01198</c:v>
                </c:pt>
                <c:pt idx="219">
                  <c:v>0.01191</c:v>
                </c:pt>
                <c:pt idx="220">
                  <c:v>0.01184</c:v>
                </c:pt>
                <c:pt idx="221">
                  <c:v>0.01177</c:v>
                </c:pt>
                <c:pt idx="222">
                  <c:v>0.0117</c:v>
                </c:pt>
                <c:pt idx="223">
                  <c:v>0.01163</c:v>
                </c:pt>
                <c:pt idx="224">
                  <c:v>0.01156</c:v>
                </c:pt>
                <c:pt idx="225">
                  <c:v>0.01149</c:v>
                </c:pt>
                <c:pt idx="226">
                  <c:v>0.01142</c:v>
                </c:pt>
                <c:pt idx="227">
                  <c:v>0.01135</c:v>
                </c:pt>
                <c:pt idx="228">
                  <c:v>0.01129</c:v>
                </c:pt>
                <c:pt idx="229">
                  <c:v>0.01122</c:v>
                </c:pt>
                <c:pt idx="230">
                  <c:v>0.01115</c:v>
                </c:pt>
                <c:pt idx="231">
                  <c:v>0.01109</c:v>
                </c:pt>
                <c:pt idx="232">
                  <c:v>0.01102</c:v>
                </c:pt>
                <c:pt idx="233">
                  <c:v>0.01096</c:v>
                </c:pt>
                <c:pt idx="234">
                  <c:v>0.0109</c:v>
                </c:pt>
                <c:pt idx="235">
                  <c:v>0.01084</c:v>
                </c:pt>
                <c:pt idx="236">
                  <c:v>0.01077</c:v>
                </c:pt>
                <c:pt idx="237">
                  <c:v>0.01071</c:v>
                </c:pt>
                <c:pt idx="238">
                  <c:v>0.01065</c:v>
                </c:pt>
                <c:pt idx="239">
                  <c:v>0.01059</c:v>
                </c:pt>
                <c:pt idx="240">
                  <c:v>0.01053</c:v>
                </c:pt>
                <c:pt idx="241">
                  <c:v>0.01047</c:v>
                </c:pt>
                <c:pt idx="242">
                  <c:v>0.01042</c:v>
                </c:pt>
                <c:pt idx="243">
                  <c:v>0.01036</c:v>
                </c:pt>
                <c:pt idx="244">
                  <c:v>0.0103</c:v>
                </c:pt>
                <c:pt idx="245">
                  <c:v>0.01024</c:v>
                </c:pt>
                <c:pt idx="246">
                  <c:v>0.01019</c:v>
                </c:pt>
                <c:pt idx="247">
                  <c:v>0.01013</c:v>
                </c:pt>
                <c:pt idx="248">
                  <c:v>0.01008</c:v>
                </c:pt>
                <c:pt idx="249">
                  <c:v>0.01002</c:v>
                </c:pt>
                <c:pt idx="250">
                  <c:v>0.009967</c:v>
                </c:pt>
                <c:pt idx="251">
                  <c:v>0.009913</c:v>
                </c:pt>
                <c:pt idx="252">
                  <c:v>0.00986</c:v>
                </c:pt>
                <c:pt idx="253">
                  <c:v>0.009807</c:v>
                </c:pt>
                <c:pt idx="254">
                  <c:v>0.009755</c:v>
                </c:pt>
                <c:pt idx="255">
                  <c:v>0.009703</c:v>
                </c:pt>
                <c:pt idx="256">
                  <c:v>0.009652</c:v>
                </c:pt>
                <c:pt idx="257">
                  <c:v>0.009601</c:v>
                </c:pt>
                <c:pt idx="258">
                  <c:v>0.00955</c:v>
                </c:pt>
                <c:pt idx="259">
                  <c:v>0.009499</c:v>
                </c:pt>
                <c:pt idx="260">
                  <c:v>0.009448</c:v>
                </c:pt>
                <c:pt idx="261">
                  <c:v>0.009397</c:v>
                </c:pt>
                <c:pt idx="262">
                  <c:v>0.009346</c:v>
                </c:pt>
                <c:pt idx="263">
                  <c:v>0.009295</c:v>
                </c:pt>
                <c:pt idx="264">
                  <c:v>0.009244</c:v>
                </c:pt>
                <c:pt idx="265">
                  <c:v>0.009192</c:v>
                </c:pt>
                <c:pt idx="266">
                  <c:v>0.009141</c:v>
                </c:pt>
                <c:pt idx="267">
                  <c:v>0.00909</c:v>
                </c:pt>
                <c:pt idx="268">
                  <c:v>0.009038</c:v>
                </c:pt>
                <c:pt idx="269">
                  <c:v>0.008986</c:v>
                </c:pt>
                <c:pt idx="270">
                  <c:v>0.008935</c:v>
                </c:pt>
                <c:pt idx="271">
                  <c:v>0.008883</c:v>
                </c:pt>
                <c:pt idx="272">
                  <c:v>0.00883</c:v>
                </c:pt>
                <c:pt idx="273">
                  <c:v>0.008779</c:v>
                </c:pt>
                <c:pt idx="274">
                  <c:v>0.008728</c:v>
                </c:pt>
                <c:pt idx="275">
                  <c:v>0.008677</c:v>
                </c:pt>
                <c:pt idx="276">
                  <c:v>0.008626</c:v>
                </c:pt>
                <c:pt idx="277">
                  <c:v>0.008575</c:v>
                </c:pt>
                <c:pt idx="278">
                  <c:v>0.008524</c:v>
                </c:pt>
                <c:pt idx="279">
                  <c:v>0.008473</c:v>
                </c:pt>
                <c:pt idx="280">
                  <c:v>0.008423</c:v>
                </c:pt>
                <c:pt idx="281">
                  <c:v>0.008373</c:v>
                </c:pt>
                <c:pt idx="282">
                  <c:v>0.008324</c:v>
                </c:pt>
                <c:pt idx="283">
                  <c:v>0.008275</c:v>
                </c:pt>
                <c:pt idx="284">
                  <c:v>0.008225</c:v>
                </c:pt>
                <c:pt idx="285">
                  <c:v>0.008176</c:v>
                </c:pt>
                <c:pt idx="286">
                  <c:v>0.008128</c:v>
                </c:pt>
                <c:pt idx="287">
                  <c:v>0.00808</c:v>
                </c:pt>
                <c:pt idx="288">
                  <c:v>0.008032</c:v>
                </c:pt>
                <c:pt idx="289">
                  <c:v>0.007985</c:v>
                </c:pt>
                <c:pt idx="290">
                  <c:v>0.007938</c:v>
                </c:pt>
                <c:pt idx="291">
                  <c:v>0.007891</c:v>
                </c:pt>
                <c:pt idx="292">
                  <c:v>0.007845</c:v>
                </c:pt>
                <c:pt idx="293">
                  <c:v>0.007799</c:v>
                </c:pt>
                <c:pt idx="294">
                  <c:v>0.007754</c:v>
                </c:pt>
                <c:pt idx="295">
                  <c:v>0.00771</c:v>
                </c:pt>
                <c:pt idx="296">
                  <c:v>0.007665</c:v>
                </c:pt>
                <c:pt idx="297">
                  <c:v>0.007621</c:v>
                </c:pt>
                <c:pt idx="298">
                  <c:v>0.007578</c:v>
                </c:pt>
                <c:pt idx="299">
                  <c:v>0.007534</c:v>
                </c:pt>
                <c:pt idx="300">
                  <c:v>0.007492</c:v>
                </c:pt>
                <c:pt idx="301">
                  <c:v>0.00745</c:v>
                </c:pt>
                <c:pt idx="302">
                  <c:v>0.007408</c:v>
                </c:pt>
                <c:pt idx="303">
                  <c:v>0.007366</c:v>
                </c:pt>
                <c:pt idx="304">
                  <c:v>0.007325</c:v>
                </c:pt>
                <c:pt idx="305">
                  <c:v>0.007284</c:v>
                </c:pt>
                <c:pt idx="306">
                  <c:v>0.007244</c:v>
                </c:pt>
                <c:pt idx="307">
                  <c:v>0.007204</c:v>
                </c:pt>
                <c:pt idx="308">
                  <c:v>0.007164</c:v>
                </c:pt>
                <c:pt idx="309">
                  <c:v>0.007125</c:v>
                </c:pt>
                <c:pt idx="310">
                  <c:v>0.007086</c:v>
                </c:pt>
                <c:pt idx="311">
                  <c:v>0.007047</c:v>
                </c:pt>
                <c:pt idx="312">
                  <c:v>0.007009</c:v>
                </c:pt>
                <c:pt idx="313">
                  <c:v>0.006971</c:v>
                </c:pt>
                <c:pt idx="314">
                  <c:v>0.006933</c:v>
                </c:pt>
                <c:pt idx="315">
                  <c:v>0.006896</c:v>
                </c:pt>
                <c:pt idx="316">
                  <c:v>0.006859</c:v>
                </c:pt>
                <c:pt idx="317">
                  <c:v>0.006822</c:v>
                </c:pt>
                <c:pt idx="318">
                  <c:v>0.006786</c:v>
                </c:pt>
                <c:pt idx="319">
                  <c:v>0.006749</c:v>
                </c:pt>
                <c:pt idx="320">
                  <c:v>0.006713</c:v>
                </c:pt>
                <c:pt idx="321">
                  <c:v>0.006678</c:v>
                </c:pt>
                <c:pt idx="322">
                  <c:v>0.006642</c:v>
                </c:pt>
                <c:pt idx="323">
                  <c:v>0.006607</c:v>
                </c:pt>
                <c:pt idx="324">
                  <c:v>0.006572</c:v>
                </c:pt>
                <c:pt idx="325">
                  <c:v>0.006537</c:v>
                </c:pt>
                <c:pt idx="326">
                  <c:v>0.006504</c:v>
                </c:pt>
                <c:pt idx="327">
                  <c:v>0.006471</c:v>
                </c:pt>
              </c:numCache>
            </c:numRef>
          </c:xVal>
          <c:yVal>
            <c:numRef>
              <c:f>'28DB2- in1'!$AE$6:$AE$333</c:f>
              <c:numCache>
                <c:formatCode>0.00E+00</c:formatCode>
                <c:ptCount val="328"/>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5.546E-5</c:v>
                </c:pt>
                <c:pt idx="38">
                  <c:v>0.0001642</c:v>
                </c:pt>
                <c:pt idx="39">
                  <c:v>0.0002723</c:v>
                </c:pt>
                <c:pt idx="40">
                  <c:v>0.000381</c:v>
                </c:pt>
                <c:pt idx="41">
                  <c:v>0.0004914</c:v>
                </c:pt>
                <c:pt idx="42">
                  <c:v>0.0006044</c:v>
                </c:pt>
                <c:pt idx="43">
                  <c:v>0.0007208</c:v>
                </c:pt>
                <c:pt idx="44">
                  <c:v>0.0008415</c:v>
                </c:pt>
                <c:pt idx="45">
                  <c:v>0.0009671</c:v>
                </c:pt>
                <c:pt idx="46">
                  <c:v>0.001098</c:v>
                </c:pt>
                <c:pt idx="47">
                  <c:v>0.001235</c:v>
                </c:pt>
                <c:pt idx="48">
                  <c:v>0.001252</c:v>
                </c:pt>
                <c:pt idx="49">
                  <c:v>0.001143</c:v>
                </c:pt>
                <c:pt idx="50">
                  <c:v>0.001035</c:v>
                </c:pt>
                <c:pt idx="51">
                  <c:v>0.000926</c:v>
                </c:pt>
                <c:pt idx="52">
                  <c:v>0.0008156</c:v>
                </c:pt>
                <c:pt idx="53">
                  <c:v>0.0007026</c:v>
                </c:pt>
                <c:pt idx="54">
                  <c:v>0.0005861</c:v>
                </c:pt>
                <c:pt idx="55">
                  <c:v>0.0004654</c:v>
                </c:pt>
                <c:pt idx="56">
                  <c:v>0.0003399</c:v>
                </c:pt>
                <c:pt idx="57">
                  <c:v>0.0002088</c:v>
                </c:pt>
                <c:pt idx="58">
                  <c:v>7.162E-5</c:v>
                </c:pt>
                <c:pt idx="59">
                  <c:v>0.0</c:v>
                </c:pt>
                <c:pt idx="60">
                  <c:v>0.0</c:v>
                </c:pt>
                <c:pt idx="61">
                  <c:v>0.0</c:v>
                </c:pt>
                <c:pt idx="62">
                  <c:v>0.0</c:v>
                </c:pt>
                <c:pt idx="63">
                  <c:v>0.0</c:v>
                </c:pt>
                <c:pt idx="64">
                  <c:v>0.0</c:v>
                </c:pt>
                <c:pt idx="65">
                  <c:v>0.0</c:v>
                </c:pt>
                <c:pt idx="66">
                  <c:v>0.0</c:v>
                </c:pt>
                <c:pt idx="67">
                  <c:v>0.0</c:v>
                </c:pt>
                <c:pt idx="68">
                  <c:v>0.0</c:v>
                </c:pt>
                <c:pt idx="69">
                  <c:v>0.0</c:v>
                </c:pt>
                <c:pt idx="70">
                  <c:v>0.0</c:v>
                </c:pt>
                <c:pt idx="71">
                  <c:v>0.0003266</c:v>
                </c:pt>
                <c:pt idx="72">
                  <c:v>0.0006595</c:v>
                </c:pt>
                <c:pt idx="73">
                  <c:v>0.001002</c:v>
                </c:pt>
                <c:pt idx="74">
                  <c:v>0.001351</c:v>
                </c:pt>
                <c:pt idx="75">
                  <c:v>0.002069</c:v>
                </c:pt>
                <c:pt idx="76">
                  <c:v>0.003176</c:v>
                </c:pt>
                <c:pt idx="77">
                  <c:v>0.004322</c:v>
                </c:pt>
                <c:pt idx="78">
                  <c:v>0.005884</c:v>
                </c:pt>
                <c:pt idx="79">
                  <c:v>0.007484</c:v>
                </c:pt>
                <c:pt idx="80">
                  <c:v>0.009549</c:v>
                </c:pt>
                <c:pt idx="81">
                  <c:v>0.01168</c:v>
                </c:pt>
                <c:pt idx="82">
                  <c:v>0.01308</c:v>
                </c:pt>
                <c:pt idx="83">
                  <c:v>0.01453</c:v>
                </c:pt>
                <c:pt idx="84">
                  <c:v>0.01646</c:v>
                </c:pt>
                <c:pt idx="85">
                  <c:v>0.01845</c:v>
                </c:pt>
                <c:pt idx="86">
                  <c:v>0.01964</c:v>
                </c:pt>
                <c:pt idx="87">
                  <c:v>0.01997</c:v>
                </c:pt>
                <c:pt idx="88">
                  <c:v>0.02029</c:v>
                </c:pt>
                <c:pt idx="89">
                  <c:v>0.02023</c:v>
                </c:pt>
                <c:pt idx="90">
                  <c:v>0.02014</c:v>
                </c:pt>
                <c:pt idx="91">
                  <c:v>0.01908</c:v>
                </c:pt>
                <c:pt idx="92">
                  <c:v>0.01798</c:v>
                </c:pt>
                <c:pt idx="93">
                  <c:v>0.01727</c:v>
                </c:pt>
                <c:pt idx="94">
                  <c:v>0.01655</c:v>
                </c:pt>
                <c:pt idx="95">
                  <c:v>0.0148</c:v>
                </c:pt>
                <c:pt idx="96">
                  <c:v>0.01352</c:v>
                </c:pt>
                <c:pt idx="97">
                  <c:v>0.0127</c:v>
                </c:pt>
                <c:pt idx="98">
                  <c:v>0.01292</c:v>
                </c:pt>
                <c:pt idx="99">
                  <c:v>0.01316</c:v>
                </c:pt>
                <c:pt idx="100">
                  <c:v>0.01282</c:v>
                </c:pt>
                <c:pt idx="101">
                  <c:v>0.0125</c:v>
                </c:pt>
                <c:pt idx="102">
                  <c:v>0.01275</c:v>
                </c:pt>
                <c:pt idx="103">
                  <c:v>0.01361</c:v>
                </c:pt>
                <c:pt idx="104">
                  <c:v>0.01456</c:v>
                </c:pt>
                <c:pt idx="105">
                  <c:v>0.01553</c:v>
                </c:pt>
                <c:pt idx="106">
                  <c:v>0.01772</c:v>
                </c:pt>
                <c:pt idx="107">
                  <c:v>0.01872</c:v>
                </c:pt>
                <c:pt idx="108">
                  <c:v>0.01978</c:v>
                </c:pt>
                <c:pt idx="109">
                  <c:v>0.02029</c:v>
                </c:pt>
                <c:pt idx="110">
                  <c:v>0.02079</c:v>
                </c:pt>
                <c:pt idx="111">
                  <c:v>0.02338</c:v>
                </c:pt>
                <c:pt idx="112">
                  <c:v>0.02587</c:v>
                </c:pt>
                <c:pt idx="113">
                  <c:v>0.02949</c:v>
                </c:pt>
                <c:pt idx="114">
                  <c:v>0.03182</c:v>
                </c:pt>
                <c:pt idx="115">
                  <c:v>0.03486</c:v>
                </c:pt>
                <c:pt idx="116">
                  <c:v>0.03869</c:v>
                </c:pt>
                <c:pt idx="117">
                  <c:v>0.04126</c:v>
                </c:pt>
                <c:pt idx="118">
                  <c:v>0.04535</c:v>
                </c:pt>
                <c:pt idx="119">
                  <c:v>0.05066</c:v>
                </c:pt>
                <c:pt idx="120">
                  <c:v>0.05606</c:v>
                </c:pt>
                <c:pt idx="121">
                  <c:v>0.06278</c:v>
                </c:pt>
                <c:pt idx="122">
                  <c:v>0.06718</c:v>
                </c:pt>
                <c:pt idx="123">
                  <c:v>0.07204</c:v>
                </c:pt>
                <c:pt idx="124">
                  <c:v>0.07577</c:v>
                </c:pt>
                <c:pt idx="125">
                  <c:v>0.08018</c:v>
                </c:pt>
                <c:pt idx="126">
                  <c:v>0.08391</c:v>
                </c:pt>
                <c:pt idx="127">
                  <c:v>0.08692</c:v>
                </c:pt>
                <c:pt idx="128">
                  <c:v>0.09148</c:v>
                </c:pt>
                <c:pt idx="129">
                  <c:v>0.0944</c:v>
                </c:pt>
                <c:pt idx="130">
                  <c:v>0.09608</c:v>
                </c:pt>
                <c:pt idx="131">
                  <c:v>0.09825</c:v>
                </c:pt>
                <c:pt idx="132">
                  <c:v>0.09913</c:v>
                </c:pt>
                <c:pt idx="133">
                  <c:v>0.1009</c:v>
                </c:pt>
                <c:pt idx="134">
                  <c:v>0.1021</c:v>
                </c:pt>
                <c:pt idx="135">
                  <c:v>0.1039</c:v>
                </c:pt>
                <c:pt idx="136">
                  <c:v>0.1067</c:v>
                </c:pt>
                <c:pt idx="137">
                  <c:v>0.1101</c:v>
                </c:pt>
                <c:pt idx="138">
                  <c:v>0.1124</c:v>
                </c:pt>
                <c:pt idx="139">
                  <c:v>0.1139</c:v>
                </c:pt>
                <c:pt idx="140">
                  <c:v>0.1163</c:v>
                </c:pt>
                <c:pt idx="141">
                  <c:v>0.1187</c:v>
                </c:pt>
                <c:pt idx="142">
                  <c:v>0.1188</c:v>
                </c:pt>
                <c:pt idx="143">
                  <c:v>0.1184</c:v>
                </c:pt>
                <c:pt idx="144">
                  <c:v>0.1166</c:v>
                </c:pt>
                <c:pt idx="145">
                  <c:v>0.1168</c:v>
                </c:pt>
                <c:pt idx="146">
                  <c:v>0.1152</c:v>
                </c:pt>
                <c:pt idx="147">
                  <c:v>0.1115</c:v>
                </c:pt>
                <c:pt idx="148">
                  <c:v>0.1079</c:v>
                </c:pt>
                <c:pt idx="149">
                  <c:v>0.1061</c:v>
                </c:pt>
                <c:pt idx="150">
                  <c:v>0.1044</c:v>
                </c:pt>
                <c:pt idx="151">
                  <c:v>0.1024</c:v>
                </c:pt>
                <c:pt idx="152">
                  <c:v>0.1003</c:v>
                </c:pt>
                <c:pt idx="153">
                  <c:v>0.1018</c:v>
                </c:pt>
                <c:pt idx="154">
                  <c:v>0.1044</c:v>
                </c:pt>
                <c:pt idx="155">
                  <c:v>0.1091</c:v>
                </c:pt>
                <c:pt idx="156">
                  <c:v>0.1115</c:v>
                </c:pt>
                <c:pt idx="157">
                  <c:v>0.115</c:v>
                </c:pt>
                <c:pt idx="158">
                  <c:v>0.1202</c:v>
                </c:pt>
                <c:pt idx="159">
                  <c:v>0.1234</c:v>
                </c:pt>
                <c:pt idx="160">
                  <c:v>0.1263</c:v>
                </c:pt>
                <c:pt idx="161">
                  <c:v>0.1289</c:v>
                </c:pt>
                <c:pt idx="162">
                  <c:v>0.1329</c:v>
                </c:pt>
                <c:pt idx="163">
                  <c:v>0.1364</c:v>
                </c:pt>
                <c:pt idx="164">
                  <c:v>0.136</c:v>
                </c:pt>
                <c:pt idx="165">
                  <c:v>0.1356</c:v>
                </c:pt>
                <c:pt idx="166">
                  <c:v>0.1344</c:v>
                </c:pt>
                <c:pt idx="167">
                  <c:v>0.1344</c:v>
                </c:pt>
                <c:pt idx="168">
                  <c:v>0.1346</c:v>
                </c:pt>
                <c:pt idx="169">
                  <c:v>0.1332</c:v>
                </c:pt>
                <c:pt idx="170">
                  <c:v>0.1331</c:v>
                </c:pt>
                <c:pt idx="171">
                  <c:v>0.1313</c:v>
                </c:pt>
                <c:pt idx="172">
                  <c:v>0.1289</c:v>
                </c:pt>
                <c:pt idx="173">
                  <c:v>0.1253</c:v>
                </c:pt>
                <c:pt idx="174">
                  <c:v>0.1213</c:v>
                </c:pt>
                <c:pt idx="175">
                  <c:v>0.1193</c:v>
                </c:pt>
                <c:pt idx="176">
                  <c:v>0.1158</c:v>
                </c:pt>
                <c:pt idx="177">
                  <c:v>0.1112</c:v>
                </c:pt>
                <c:pt idx="178">
                  <c:v>0.1056</c:v>
                </c:pt>
                <c:pt idx="179">
                  <c:v>0.09883</c:v>
                </c:pt>
                <c:pt idx="180">
                  <c:v>0.09461</c:v>
                </c:pt>
                <c:pt idx="181">
                  <c:v>0.09032</c:v>
                </c:pt>
                <c:pt idx="182">
                  <c:v>0.08903</c:v>
                </c:pt>
                <c:pt idx="183">
                  <c:v>0.08822</c:v>
                </c:pt>
                <c:pt idx="184">
                  <c:v>0.08653</c:v>
                </c:pt>
                <c:pt idx="185">
                  <c:v>0.08686</c:v>
                </c:pt>
                <c:pt idx="186">
                  <c:v>0.0872</c:v>
                </c:pt>
                <c:pt idx="187">
                  <c:v>0.08908</c:v>
                </c:pt>
                <c:pt idx="188">
                  <c:v>0.09198</c:v>
                </c:pt>
                <c:pt idx="189">
                  <c:v>0.09579</c:v>
                </c:pt>
                <c:pt idx="190">
                  <c:v>0.1018</c:v>
                </c:pt>
                <c:pt idx="191">
                  <c:v>0.1046</c:v>
                </c:pt>
                <c:pt idx="192">
                  <c:v>0.1077</c:v>
                </c:pt>
                <c:pt idx="193">
                  <c:v>0.1087</c:v>
                </c:pt>
                <c:pt idx="194">
                  <c:v>0.1084</c:v>
                </c:pt>
                <c:pt idx="195">
                  <c:v>0.1095</c:v>
                </c:pt>
                <c:pt idx="196">
                  <c:v>0.1094</c:v>
                </c:pt>
                <c:pt idx="197">
                  <c:v>0.1103</c:v>
                </c:pt>
                <c:pt idx="198">
                  <c:v>0.1085</c:v>
                </c:pt>
                <c:pt idx="199">
                  <c:v>0.1066</c:v>
                </c:pt>
                <c:pt idx="200">
                  <c:v>0.1026</c:v>
                </c:pt>
                <c:pt idx="201">
                  <c:v>0.09841</c:v>
                </c:pt>
                <c:pt idx="202">
                  <c:v>0.09614</c:v>
                </c:pt>
                <c:pt idx="203">
                  <c:v>0.09374</c:v>
                </c:pt>
                <c:pt idx="204">
                  <c:v>0.09081</c:v>
                </c:pt>
                <c:pt idx="205">
                  <c:v>0.08928</c:v>
                </c:pt>
                <c:pt idx="206">
                  <c:v>0.08747</c:v>
                </c:pt>
                <c:pt idx="207">
                  <c:v>0.08696</c:v>
                </c:pt>
                <c:pt idx="208">
                  <c:v>0.08423</c:v>
                </c:pt>
                <c:pt idx="209">
                  <c:v>0.08528</c:v>
                </c:pt>
                <c:pt idx="210">
                  <c:v>0.08703</c:v>
                </c:pt>
                <c:pt idx="211">
                  <c:v>0.09037</c:v>
                </c:pt>
                <c:pt idx="212">
                  <c:v>0.09189</c:v>
                </c:pt>
                <c:pt idx="213">
                  <c:v>0.09313</c:v>
                </c:pt>
                <c:pt idx="214">
                  <c:v>0.09376</c:v>
                </c:pt>
                <c:pt idx="215">
                  <c:v>0.09745</c:v>
                </c:pt>
                <c:pt idx="216">
                  <c:v>0.1009</c:v>
                </c:pt>
                <c:pt idx="217">
                  <c:v>0.1043</c:v>
                </c:pt>
                <c:pt idx="218">
                  <c:v>0.1056</c:v>
                </c:pt>
                <c:pt idx="219">
                  <c:v>0.108</c:v>
                </c:pt>
                <c:pt idx="220">
                  <c:v>0.1068</c:v>
                </c:pt>
                <c:pt idx="221">
                  <c:v>0.1069</c:v>
                </c:pt>
                <c:pt idx="222">
                  <c:v>0.1071</c:v>
                </c:pt>
                <c:pt idx="223">
                  <c:v>0.1082</c:v>
                </c:pt>
                <c:pt idx="224">
                  <c:v>0.1092</c:v>
                </c:pt>
                <c:pt idx="225">
                  <c:v>0.1086</c:v>
                </c:pt>
                <c:pt idx="226">
                  <c:v>0.104</c:v>
                </c:pt>
                <c:pt idx="227">
                  <c:v>0.09925</c:v>
                </c:pt>
                <c:pt idx="228">
                  <c:v>0.0967</c:v>
                </c:pt>
                <c:pt idx="229">
                  <c:v>0.09302</c:v>
                </c:pt>
                <c:pt idx="230">
                  <c:v>0.08935</c:v>
                </c:pt>
                <c:pt idx="231">
                  <c:v>0.08965</c:v>
                </c:pt>
                <c:pt idx="232">
                  <c:v>0.08594</c:v>
                </c:pt>
                <c:pt idx="233">
                  <c:v>0.08217</c:v>
                </c:pt>
                <c:pt idx="234">
                  <c:v>0.07629</c:v>
                </c:pt>
                <c:pt idx="235">
                  <c:v>0.07255</c:v>
                </c:pt>
                <c:pt idx="236">
                  <c:v>0.0708</c:v>
                </c:pt>
                <c:pt idx="237">
                  <c:v>0.07112</c:v>
                </c:pt>
                <c:pt idx="238">
                  <c:v>0.07144</c:v>
                </c:pt>
                <c:pt idx="239">
                  <c:v>0.06748</c:v>
                </c:pt>
                <c:pt idx="240">
                  <c:v>0.06563</c:v>
                </c:pt>
                <c:pt idx="241">
                  <c:v>0.06588</c:v>
                </c:pt>
                <c:pt idx="242">
                  <c:v>0.06194</c:v>
                </c:pt>
                <c:pt idx="243">
                  <c:v>0.06001</c:v>
                </c:pt>
                <c:pt idx="244">
                  <c:v>0.05811</c:v>
                </c:pt>
                <c:pt idx="245">
                  <c:v>0.06051</c:v>
                </c:pt>
                <c:pt idx="246">
                  <c:v>0.05854</c:v>
                </c:pt>
                <c:pt idx="247">
                  <c:v>0.05662</c:v>
                </c:pt>
                <c:pt idx="248">
                  <c:v>0.05462</c:v>
                </c:pt>
                <c:pt idx="249">
                  <c:v>0.05265</c:v>
                </c:pt>
                <c:pt idx="250">
                  <c:v>0.05506</c:v>
                </c:pt>
                <c:pt idx="251">
                  <c:v>0.05746</c:v>
                </c:pt>
                <c:pt idx="252">
                  <c:v>0.05549</c:v>
                </c:pt>
                <c:pt idx="253">
                  <c:v>0.05567</c:v>
                </c:pt>
                <c:pt idx="254">
                  <c:v>0.05815</c:v>
                </c:pt>
                <c:pt idx="255">
                  <c:v>0.06061</c:v>
                </c:pt>
                <c:pt idx="256">
                  <c:v>0.0609</c:v>
                </c:pt>
                <c:pt idx="257">
                  <c:v>0.06339</c:v>
                </c:pt>
                <c:pt idx="258">
                  <c:v>0.0682</c:v>
                </c:pt>
                <c:pt idx="259">
                  <c:v>0.07304</c:v>
                </c:pt>
                <c:pt idx="260">
                  <c:v>0.07785</c:v>
                </c:pt>
                <c:pt idx="261">
                  <c:v>0.07815</c:v>
                </c:pt>
                <c:pt idx="262">
                  <c:v>0.07844</c:v>
                </c:pt>
                <c:pt idx="263">
                  <c:v>0.08329</c:v>
                </c:pt>
                <c:pt idx="264">
                  <c:v>0.08818</c:v>
                </c:pt>
                <c:pt idx="265">
                  <c:v>0.08844</c:v>
                </c:pt>
                <c:pt idx="266">
                  <c:v>0.08869</c:v>
                </c:pt>
                <c:pt idx="267">
                  <c:v>0.08653</c:v>
                </c:pt>
                <c:pt idx="268">
                  <c:v>0.08662</c:v>
                </c:pt>
                <c:pt idx="269">
                  <c:v>0.08202</c:v>
                </c:pt>
                <c:pt idx="270">
                  <c:v>0.07733</c:v>
                </c:pt>
                <c:pt idx="271">
                  <c:v>0.07256</c:v>
                </c:pt>
                <c:pt idx="272">
                  <c:v>0.06999</c:v>
                </c:pt>
                <c:pt idx="273">
                  <c:v>0.0674</c:v>
                </c:pt>
                <c:pt idx="274">
                  <c:v>0.06021</c:v>
                </c:pt>
                <c:pt idx="275">
                  <c:v>0.05295</c:v>
                </c:pt>
                <c:pt idx="276">
                  <c:v>0.05018</c:v>
                </c:pt>
                <c:pt idx="277">
                  <c:v>0.0474</c:v>
                </c:pt>
                <c:pt idx="278">
                  <c:v>0.04694</c:v>
                </c:pt>
                <c:pt idx="279">
                  <c:v>0.04209</c:v>
                </c:pt>
                <c:pt idx="280">
                  <c:v>0.03954</c:v>
                </c:pt>
                <c:pt idx="281">
                  <c:v>0.0392</c:v>
                </c:pt>
                <c:pt idx="282">
                  <c:v>0.03894</c:v>
                </c:pt>
                <c:pt idx="283">
                  <c:v>0.0388</c:v>
                </c:pt>
                <c:pt idx="284">
                  <c:v>0.03859</c:v>
                </c:pt>
                <c:pt idx="285">
                  <c:v>0.04064</c:v>
                </c:pt>
                <c:pt idx="286">
                  <c:v>0.04482</c:v>
                </c:pt>
                <c:pt idx="287">
                  <c:v>0.04468</c:v>
                </c:pt>
                <c:pt idx="288">
                  <c:v>0.04448</c:v>
                </c:pt>
                <c:pt idx="289">
                  <c:v>0.04435</c:v>
                </c:pt>
                <c:pt idx="290">
                  <c:v>0.04637</c:v>
                </c:pt>
                <c:pt idx="291">
                  <c:v>0.04843</c:v>
                </c:pt>
                <c:pt idx="292">
                  <c:v>0.04627</c:v>
                </c:pt>
                <c:pt idx="293">
                  <c:v>0.0441</c:v>
                </c:pt>
                <c:pt idx="294">
                  <c:v>0.04189</c:v>
                </c:pt>
                <c:pt idx="295">
                  <c:v>0.03976</c:v>
                </c:pt>
                <c:pt idx="296">
                  <c:v>0.03974</c:v>
                </c:pt>
                <c:pt idx="297">
                  <c:v>0.03764</c:v>
                </c:pt>
                <c:pt idx="298">
                  <c:v>0.03771</c:v>
                </c:pt>
                <c:pt idx="299">
                  <c:v>0.03786</c:v>
                </c:pt>
                <c:pt idx="300">
                  <c:v>0.03798</c:v>
                </c:pt>
                <c:pt idx="301">
                  <c:v>0.03812</c:v>
                </c:pt>
                <c:pt idx="302">
                  <c:v>0.03826</c:v>
                </c:pt>
                <c:pt idx="303">
                  <c:v>0.04052</c:v>
                </c:pt>
                <c:pt idx="304">
                  <c:v>0.04281</c:v>
                </c:pt>
                <c:pt idx="305">
                  <c:v>0.04511</c:v>
                </c:pt>
                <c:pt idx="306">
                  <c:v>0.04964</c:v>
                </c:pt>
                <c:pt idx="307">
                  <c:v>0.04983</c:v>
                </c:pt>
                <c:pt idx="308">
                  <c:v>0.0478</c:v>
                </c:pt>
                <c:pt idx="309">
                  <c:v>0.04578</c:v>
                </c:pt>
                <c:pt idx="310">
                  <c:v>0.04375</c:v>
                </c:pt>
                <c:pt idx="311">
                  <c:v>0.04399</c:v>
                </c:pt>
                <c:pt idx="312">
                  <c:v>0.04419</c:v>
                </c:pt>
                <c:pt idx="313">
                  <c:v>0.0444</c:v>
                </c:pt>
                <c:pt idx="314">
                  <c:v>0.0446</c:v>
                </c:pt>
                <c:pt idx="315">
                  <c:v>0.04476</c:v>
                </c:pt>
                <c:pt idx="316">
                  <c:v>0.04494</c:v>
                </c:pt>
                <c:pt idx="317">
                  <c:v>0.0406</c:v>
                </c:pt>
                <c:pt idx="318">
                  <c:v>0.03847</c:v>
                </c:pt>
                <c:pt idx="319">
                  <c:v>0.03855</c:v>
                </c:pt>
                <c:pt idx="320">
                  <c:v>0.03861</c:v>
                </c:pt>
                <c:pt idx="321">
                  <c:v>0.03867</c:v>
                </c:pt>
                <c:pt idx="322">
                  <c:v>0.03417</c:v>
                </c:pt>
                <c:pt idx="323">
                  <c:v>0.02966</c:v>
                </c:pt>
                <c:pt idx="324">
                  <c:v>0.02748</c:v>
                </c:pt>
                <c:pt idx="325">
                  <c:v>0.0253</c:v>
                </c:pt>
                <c:pt idx="326">
                  <c:v>0.02312</c:v>
                </c:pt>
                <c:pt idx="327">
                  <c:v>0.02092</c:v>
                </c:pt>
              </c:numCache>
            </c:numRef>
          </c:yVal>
          <c:smooth val="0"/>
        </c:ser>
        <c:dLbls>
          <c:showLegendKey val="0"/>
          <c:showVal val="0"/>
          <c:showCatName val="0"/>
          <c:showSerName val="0"/>
          <c:showPercent val="0"/>
          <c:showBubbleSize val="0"/>
        </c:dLbls>
        <c:axId val="2129834904"/>
        <c:axId val="2129828888"/>
      </c:scatterChart>
      <c:valAx>
        <c:axId val="2129834904"/>
        <c:scaling>
          <c:logBase val="10.0"/>
          <c:orientation val="maxMin"/>
          <c:max val="1.0"/>
        </c:scaling>
        <c:delete val="0"/>
        <c:axPos val="b"/>
        <c:title>
          <c:tx>
            <c:rich>
              <a:bodyPr/>
              <a:lstStyle/>
              <a:p>
                <a:pPr>
                  <a:defRPr sz="900"/>
                </a:pPr>
                <a:r>
                  <a:rPr lang="el-GR" sz="1200" b="1" i="0" baseline="0">
                    <a:effectLst/>
                  </a:rPr>
                  <a:t>Pore Diameter (μm) </a:t>
                </a:r>
                <a:endParaRPr lang="el-GR" sz="900">
                  <a:effectLst/>
                </a:endParaRPr>
              </a:p>
            </c:rich>
          </c:tx>
          <c:overlay val="0"/>
        </c:title>
        <c:numFmt formatCode="General" sourceLinked="0"/>
        <c:majorTickMark val="out"/>
        <c:minorTickMark val="none"/>
        <c:tickLblPos val="nextTo"/>
        <c:spPr>
          <a:ln>
            <a:solidFill>
              <a:schemeClr val="tx1"/>
            </a:solidFill>
          </a:ln>
        </c:spPr>
        <c:txPr>
          <a:bodyPr rot="0" vert="horz"/>
          <a:lstStyle/>
          <a:p>
            <a:pPr>
              <a:defRPr sz="1100" b="0" i="0" u="none" strike="noStrike" baseline="0">
                <a:solidFill>
                  <a:srgbClr val="000000"/>
                </a:solidFill>
                <a:latin typeface="ＭＳ Ｐゴシック"/>
                <a:ea typeface="ＭＳ Ｐゴシック"/>
                <a:cs typeface="ＭＳ Ｐゴシック"/>
              </a:defRPr>
            </a:pPr>
            <a:endParaRPr lang="en-US"/>
          </a:p>
        </c:txPr>
        <c:crossAx val="2129828888"/>
        <c:crosses val="autoZero"/>
        <c:crossBetween val="midCat"/>
      </c:valAx>
      <c:valAx>
        <c:axId val="2129828888"/>
        <c:scaling>
          <c:orientation val="minMax"/>
        </c:scaling>
        <c:delete val="0"/>
        <c:axPos val="l"/>
        <c:title>
          <c:tx>
            <c:rich>
              <a:bodyPr rot="-5400000" vert="horz"/>
              <a:lstStyle/>
              <a:p>
                <a:pPr>
                  <a:defRPr/>
                </a:pPr>
                <a:r>
                  <a:rPr lang="en-US" sz="1200" b="1" i="0" baseline="0">
                    <a:effectLst/>
                  </a:rPr>
                  <a:t>Incremental Volume (dV/dlogD)</a:t>
                </a:r>
                <a:endParaRPr lang="en-US" sz="1200">
                  <a:effectLst/>
                </a:endParaRPr>
              </a:p>
            </c:rich>
          </c:tx>
          <c:layout>
            <c:manualLayout>
              <c:xMode val="edge"/>
              <c:yMode val="edge"/>
              <c:x val="0.0519877675840978"/>
              <c:y val="0.121934758155231"/>
            </c:manualLayout>
          </c:layout>
          <c:overlay val="0"/>
        </c:title>
        <c:numFmt formatCode="General" sourceLinked="0"/>
        <c:majorTickMark val="out"/>
        <c:minorTickMark val="none"/>
        <c:tickLblPos val="nextTo"/>
        <c:spPr>
          <a:ln>
            <a:solidFill>
              <a:schemeClr val="tx1"/>
            </a:solidFill>
          </a:ln>
        </c:spPr>
        <c:txPr>
          <a:bodyPr/>
          <a:lstStyle/>
          <a:p>
            <a:pPr>
              <a:defRPr lang="ja-JP" sz="1200"/>
            </a:pPr>
            <a:endParaRPr lang="en-US"/>
          </a:p>
        </c:txPr>
        <c:crossAx val="2129834904"/>
        <c:crosses val="max"/>
        <c:crossBetween val="midCat"/>
      </c:valAx>
    </c:plotArea>
    <c:legend>
      <c:legendPos val="t"/>
      <c:overlay val="0"/>
      <c:txPr>
        <a:bodyPr/>
        <a:lstStyle/>
        <a:p>
          <a:pPr>
            <a:defRPr sz="1200"/>
          </a:pPr>
          <a:endParaRPr lang="en-US"/>
        </a:p>
      </c:txPr>
    </c:legend>
    <c:plotVisOnly val="1"/>
    <c:dispBlanksAs val="gap"/>
    <c:showDLblsOverMax val="0"/>
  </c:chart>
  <c:spPr>
    <a:ln>
      <a:noFill/>
    </a:ln>
  </c:spPr>
  <c:txPr>
    <a:bodyPr/>
    <a:lstStyle/>
    <a:p>
      <a:pPr algn="ctr">
        <a:defRPr sz="1100">
          <a:latin typeface="Arial"/>
          <a:cs typeface="Arial"/>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7988845144357"/>
          <c:y val="0.0362392200974878"/>
          <c:w val="0.761221171318082"/>
          <c:h val="0.815567131031698"/>
        </c:manualLayout>
      </c:layout>
      <c:scatterChart>
        <c:scatterStyle val="smoothMarker"/>
        <c:varyColors val="0"/>
        <c:ser>
          <c:idx val="0"/>
          <c:order val="0"/>
          <c:tx>
            <c:v>W-28DB1</c:v>
          </c:tx>
          <c:spPr>
            <a:ln w="28575" cmpd="sng">
              <a:solidFill>
                <a:schemeClr val="tx1">
                  <a:lumMod val="95000"/>
                  <a:lumOff val="5000"/>
                </a:schemeClr>
              </a:solidFill>
            </a:ln>
          </c:spPr>
          <c:marker>
            <c:symbol val="none"/>
          </c:marker>
          <c:xVal>
            <c:numRef>
              <c:f>W28DB!$B$6:$B$5165</c:f>
              <c:numCache>
                <c:formatCode>General</c:formatCode>
                <c:ptCount val="5160"/>
                <c:pt idx="0">
                  <c:v>31.19</c:v>
                </c:pt>
                <c:pt idx="1">
                  <c:v>31.822</c:v>
                </c:pt>
                <c:pt idx="2">
                  <c:v>32.477</c:v>
                </c:pt>
                <c:pt idx="3">
                  <c:v>33.14100000000001</c:v>
                </c:pt>
                <c:pt idx="4">
                  <c:v>33.789</c:v>
                </c:pt>
                <c:pt idx="5">
                  <c:v>34.42</c:v>
                </c:pt>
                <c:pt idx="6">
                  <c:v>35.012</c:v>
                </c:pt>
                <c:pt idx="7">
                  <c:v>35.58600000000001</c:v>
                </c:pt>
                <c:pt idx="8">
                  <c:v>36.137</c:v>
                </c:pt>
                <c:pt idx="9">
                  <c:v>36.672</c:v>
                </c:pt>
                <c:pt idx="10">
                  <c:v>37.186</c:v>
                </c:pt>
                <c:pt idx="11">
                  <c:v>37.677</c:v>
                </c:pt>
                <c:pt idx="12">
                  <c:v>38.143</c:v>
                </c:pt>
                <c:pt idx="13">
                  <c:v>38.585</c:v>
                </c:pt>
                <c:pt idx="14">
                  <c:v>39.002</c:v>
                </c:pt>
                <c:pt idx="15">
                  <c:v>39.39700000000001</c:v>
                </c:pt>
                <c:pt idx="16">
                  <c:v>39.778</c:v>
                </c:pt>
                <c:pt idx="17">
                  <c:v>40.148</c:v>
                </c:pt>
                <c:pt idx="18">
                  <c:v>40.5</c:v>
                </c:pt>
                <c:pt idx="19">
                  <c:v>40.83900000000001</c:v>
                </c:pt>
                <c:pt idx="20">
                  <c:v>41.16</c:v>
                </c:pt>
                <c:pt idx="21">
                  <c:v>41.462</c:v>
                </c:pt>
                <c:pt idx="22">
                  <c:v>41.749</c:v>
                </c:pt>
                <c:pt idx="23">
                  <c:v>42.022</c:v>
                </c:pt>
                <c:pt idx="24">
                  <c:v>42.295</c:v>
                </c:pt>
                <c:pt idx="25">
                  <c:v>42.569</c:v>
                </c:pt>
                <c:pt idx="26">
                  <c:v>42.841</c:v>
                </c:pt>
                <c:pt idx="27">
                  <c:v>43.103</c:v>
                </c:pt>
                <c:pt idx="28">
                  <c:v>43.361</c:v>
                </c:pt>
                <c:pt idx="29">
                  <c:v>43.60700000000001</c:v>
                </c:pt>
                <c:pt idx="30">
                  <c:v>43.854</c:v>
                </c:pt>
                <c:pt idx="31">
                  <c:v>44.097</c:v>
                </c:pt>
                <c:pt idx="32">
                  <c:v>44.338</c:v>
                </c:pt>
                <c:pt idx="33">
                  <c:v>44.57400000000001</c:v>
                </c:pt>
                <c:pt idx="34">
                  <c:v>44.795</c:v>
                </c:pt>
                <c:pt idx="35">
                  <c:v>45.011</c:v>
                </c:pt>
                <c:pt idx="36">
                  <c:v>45.219</c:v>
                </c:pt>
                <c:pt idx="37">
                  <c:v>45.42400000000001</c:v>
                </c:pt>
                <c:pt idx="38">
                  <c:v>45.63</c:v>
                </c:pt>
                <c:pt idx="39">
                  <c:v>45.835</c:v>
                </c:pt>
                <c:pt idx="40">
                  <c:v>46.041</c:v>
                </c:pt>
                <c:pt idx="41">
                  <c:v>46.245</c:v>
                </c:pt>
                <c:pt idx="42">
                  <c:v>46.448</c:v>
                </c:pt>
                <c:pt idx="43">
                  <c:v>46.652</c:v>
                </c:pt>
                <c:pt idx="44">
                  <c:v>46.846</c:v>
                </c:pt>
                <c:pt idx="45">
                  <c:v>47.035</c:v>
                </c:pt>
                <c:pt idx="46">
                  <c:v>47.21700000000001</c:v>
                </c:pt>
                <c:pt idx="47">
                  <c:v>47.39400000000001</c:v>
                </c:pt>
                <c:pt idx="48">
                  <c:v>47.57700000000001</c:v>
                </c:pt>
                <c:pt idx="49">
                  <c:v>47.768</c:v>
                </c:pt>
                <c:pt idx="50">
                  <c:v>47.958</c:v>
                </c:pt>
                <c:pt idx="51">
                  <c:v>48.14400000000001</c:v>
                </c:pt>
                <c:pt idx="52">
                  <c:v>48.325</c:v>
                </c:pt>
                <c:pt idx="53">
                  <c:v>48.506</c:v>
                </c:pt>
                <c:pt idx="54">
                  <c:v>48.69</c:v>
                </c:pt>
                <c:pt idx="55">
                  <c:v>48.872</c:v>
                </c:pt>
                <c:pt idx="56">
                  <c:v>49.05</c:v>
                </c:pt>
                <c:pt idx="57">
                  <c:v>49.22900000000001</c:v>
                </c:pt>
                <c:pt idx="58">
                  <c:v>49.408</c:v>
                </c:pt>
                <c:pt idx="59">
                  <c:v>49.591</c:v>
                </c:pt>
                <c:pt idx="60">
                  <c:v>49.771</c:v>
                </c:pt>
                <c:pt idx="61">
                  <c:v>49.95</c:v>
                </c:pt>
                <c:pt idx="62">
                  <c:v>50.122</c:v>
                </c:pt>
                <c:pt idx="63">
                  <c:v>50.292</c:v>
                </c:pt>
                <c:pt idx="64">
                  <c:v>50.465</c:v>
                </c:pt>
                <c:pt idx="65">
                  <c:v>50.632</c:v>
                </c:pt>
                <c:pt idx="66">
                  <c:v>50.79900000000001</c:v>
                </c:pt>
                <c:pt idx="67">
                  <c:v>50.96700000000001</c:v>
                </c:pt>
                <c:pt idx="68">
                  <c:v>51.136</c:v>
                </c:pt>
                <c:pt idx="69">
                  <c:v>51.309</c:v>
                </c:pt>
                <c:pt idx="70">
                  <c:v>51.481</c:v>
                </c:pt>
                <c:pt idx="71">
                  <c:v>51.65</c:v>
                </c:pt>
                <c:pt idx="72">
                  <c:v>51.814</c:v>
                </c:pt>
                <c:pt idx="73">
                  <c:v>51.98</c:v>
                </c:pt>
                <c:pt idx="74">
                  <c:v>52.148</c:v>
                </c:pt>
                <c:pt idx="75">
                  <c:v>52.31</c:v>
                </c:pt>
                <c:pt idx="76">
                  <c:v>52.474</c:v>
                </c:pt>
                <c:pt idx="77">
                  <c:v>52.638</c:v>
                </c:pt>
                <c:pt idx="78">
                  <c:v>52.805</c:v>
                </c:pt>
                <c:pt idx="79">
                  <c:v>52.971</c:v>
                </c:pt>
                <c:pt idx="80">
                  <c:v>53.136</c:v>
                </c:pt>
                <c:pt idx="81">
                  <c:v>53.301</c:v>
                </c:pt>
                <c:pt idx="82">
                  <c:v>53.459</c:v>
                </c:pt>
                <c:pt idx="83">
                  <c:v>53.615</c:v>
                </c:pt>
                <c:pt idx="84">
                  <c:v>53.764</c:v>
                </c:pt>
                <c:pt idx="85">
                  <c:v>53.907</c:v>
                </c:pt>
                <c:pt idx="86">
                  <c:v>54.052</c:v>
                </c:pt>
                <c:pt idx="87">
                  <c:v>54.205</c:v>
                </c:pt>
                <c:pt idx="88">
                  <c:v>54.364</c:v>
                </c:pt>
                <c:pt idx="89">
                  <c:v>54.517</c:v>
                </c:pt>
                <c:pt idx="90">
                  <c:v>54.67400000000001</c:v>
                </c:pt>
                <c:pt idx="91">
                  <c:v>54.835</c:v>
                </c:pt>
                <c:pt idx="92">
                  <c:v>54.995</c:v>
                </c:pt>
                <c:pt idx="93">
                  <c:v>55.155</c:v>
                </c:pt>
                <c:pt idx="94">
                  <c:v>55.32100000000001</c:v>
                </c:pt>
                <c:pt idx="95">
                  <c:v>55.472</c:v>
                </c:pt>
                <c:pt idx="96">
                  <c:v>55.618</c:v>
                </c:pt>
                <c:pt idx="97">
                  <c:v>55.76900000000001</c:v>
                </c:pt>
                <c:pt idx="98">
                  <c:v>55.917</c:v>
                </c:pt>
                <c:pt idx="99">
                  <c:v>56.067</c:v>
                </c:pt>
                <c:pt idx="100">
                  <c:v>56.22400000000001</c:v>
                </c:pt>
                <c:pt idx="101">
                  <c:v>56.376</c:v>
                </c:pt>
                <c:pt idx="102">
                  <c:v>56.528</c:v>
                </c:pt>
                <c:pt idx="103">
                  <c:v>56.678</c:v>
                </c:pt>
                <c:pt idx="104">
                  <c:v>56.834</c:v>
                </c:pt>
                <c:pt idx="105">
                  <c:v>56.991</c:v>
                </c:pt>
                <c:pt idx="106">
                  <c:v>57.146</c:v>
                </c:pt>
                <c:pt idx="107">
                  <c:v>57.303</c:v>
                </c:pt>
                <c:pt idx="108">
                  <c:v>57.46700000000001</c:v>
                </c:pt>
                <c:pt idx="109">
                  <c:v>57.63</c:v>
                </c:pt>
                <c:pt idx="110">
                  <c:v>57.79400000000001</c:v>
                </c:pt>
                <c:pt idx="111">
                  <c:v>57.959</c:v>
                </c:pt>
                <c:pt idx="112">
                  <c:v>58.124</c:v>
                </c:pt>
                <c:pt idx="113">
                  <c:v>58.289</c:v>
                </c:pt>
                <c:pt idx="114">
                  <c:v>58.455</c:v>
                </c:pt>
                <c:pt idx="115">
                  <c:v>58.619</c:v>
                </c:pt>
                <c:pt idx="116">
                  <c:v>58.774</c:v>
                </c:pt>
                <c:pt idx="117">
                  <c:v>58.923</c:v>
                </c:pt>
                <c:pt idx="118">
                  <c:v>59.07400000000001</c:v>
                </c:pt>
                <c:pt idx="119">
                  <c:v>59.23</c:v>
                </c:pt>
                <c:pt idx="120">
                  <c:v>59.392</c:v>
                </c:pt>
                <c:pt idx="121">
                  <c:v>59.559</c:v>
                </c:pt>
                <c:pt idx="122">
                  <c:v>59.725</c:v>
                </c:pt>
                <c:pt idx="123">
                  <c:v>59.885</c:v>
                </c:pt>
                <c:pt idx="124">
                  <c:v>60.044</c:v>
                </c:pt>
                <c:pt idx="125">
                  <c:v>60.204</c:v>
                </c:pt>
                <c:pt idx="126">
                  <c:v>60.363</c:v>
                </c:pt>
                <c:pt idx="127">
                  <c:v>60.517</c:v>
                </c:pt>
                <c:pt idx="128">
                  <c:v>60.66600000000001</c:v>
                </c:pt>
                <c:pt idx="129">
                  <c:v>60.816</c:v>
                </c:pt>
                <c:pt idx="130">
                  <c:v>60.972</c:v>
                </c:pt>
                <c:pt idx="131">
                  <c:v>61.125</c:v>
                </c:pt>
                <c:pt idx="132">
                  <c:v>61.28100000000001</c:v>
                </c:pt>
                <c:pt idx="133">
                  <c:v>61.438</c:v>
                </c:pt>
                <c:pt idx="134">
                  <c:v>61.59300000000001</c:v>
                </c:pt>
                <c:pt idx="135">
                  <c:v>61.745</c:v>
                </c:pt>
                <c:pt idx="136">
                  <c:v>61.899</c:v>
                </c:pt>
                <c:pt idx="137">
                  <c:v>62.052</c:v>
                </c:pt>
                <c:pt idx="138">
                  <c:v>62.209</c:v>
                </c:pt>
                <c:pt idx="139">
                  <c:v>62.366</c:v>
                </c:pt>
                <c:pt idx="140">
                  <c:v>62.526</c:v>
                </c:pt>
                <c:pt idx="141">
                  <c:v>62.684</c:v>
                </c:pt>
                <c:pt idx="142">
                  <c:v>62.83600000000001</c:v>
                </c:pt>
                <c:pt idx="143">
                  <c:v>62.982</c:v>
                </c:pt>
                <c:pt idx="144">
                  <c:v>63.10700000000001</c:v>
                </c:pt>
                <c:pt idx="145">
                  <c:v>63.24</c:v>
                </c:pt>
                <c:pt idx="146">
                  <c:v>63.367</c:v>
                </c:pt>
                <c:pt idx="147">
                  <c:v>63.486</c:v>
                </c:pt>
                <c:pt idx="148">
                  <c:v>63.611</c:v>
                </c:pt>
                <c:pt idx="149">
                  <c:v>63.749</c:v>
                </c:pt>
                <c:pt idx="150">
                  <c:v>63.896</c:v>
                </c:pt>
                <c:pt idx="151">
                  <c:v>64.05</c:v>
                </c:pt>
                <c:pt idx="152">
                  <c:v>64.21</c:v>
                </c:pt>
                <c:pt idx="153">
                  <c:v>64.37</c:v>
                </c:pt>
                <c:pt idx="154">
                  <c:v>64.52</c:v>
                </c:pt>
                <c:pt idx="155">
                  <c:v>64.67399999999998</c:v>
                </c:pt>
                <c:pt idx="156">
                  <c:v>64.833</c:v>
                </c:pt>
                <c:pt idx="157">
                  <c:v>64.991</c:v>
                </c:pt>
                <c:pt idx="158">
                  <c:v>65.15099999999998</c:v>
                </c:pt>
                <c:pt idx="159">
                  <c:v>65.31200000000001</c:v>
                </c:pt>
                <c:pt idx="160">
                  <c:v>65.476</c:v>
                </c:pt>
                <c:pt idx="161">
                  <c:v>65.637</c:v>
                </c:pt>
                <c:pt idx="162">
                  <c:v>65.794</c:v>
                </c:pt>
                <c:pt idx="163">
                  <c:v>65.948</c:v>
                </c:pt>
                <c:pt idx="164">
                  <c:v>66.10799999999997</c:v>
                </c:pt>
                <c:pt idx="165">
                  <c:v>66.27299999999998</c:v>
                </c:pt>
                <c:pt idx="166">
                  <c:v>66.44</c:v>
                </c:pt>
                <c:pt idx="167">
                  <c:v>66.60199999999997</c:v>
                </c:pt>
                <c:pt idx="168">
                  <c:v>66.765</c:v>
                </c:pt>
                <c:pt idx="169">
                  <c:v>66.923</c:v>
                </c:pt>
                <c:pt idx="170">
                  <c:v>67.074</c:v>
                </c:pt>
                <c:pt idx="171">
                  <c:v>67.227</c:v>
                </c:pt>
                <c:pt idx="172">
                  <c:v>67.37899999999995</c:v>
                </c:pt>
                <c:pt idx="173">
                  <c:v>67.532</c:v>
                </c:pt>
                <c:pt idx="174">
                  <c:v>67.68199999999997</c:v>
                </c:pt>
                <c:pt idx="175">
                  <c:v>67.836</c:v>
                </c:pt>
                <c:pt idx="176">
                  <c:v>67.995</c:v>
                </c:pt>
                <c:pt idx="177">
                  <c:v>68.15599999999995</c:v>
                </c:pt>
                <c:pt idx="178">
                  <c:v>68.316</c:v>
                </c:pt>
                <c:pt idx="179">
                  <c:v>68.471</c:v>
                </c:pt>
                <c:pt idx="180">
                  <c:v>68.614</c:v>
                </c:pt>
                <c:pt idx="181">
                  <c:v>68.763</c:v>
                </c:pt>
                <c:pt idx="182">
                  <c:v>68.919</c:v>
                </c:pt>
                <c:pt idx="183">
                  <c:v>69.07299999999998</c:v>
                </c:pt>
                <c:pt idx="184">
                  <c:v>69.226</c:v>
                </c:pt>
                <c:pt idx="185">
                  <c:v>69.37099999999998</c:v>
                </c:pt>
                <c:pt idx="186">
                  <c:v>69.513</c:v>
                </c:pt>
                <c:pt idx="187">
                  <c:v>69.66</c:v>
                </c:pt>
                <c:pt idx="188">
                  <c:v>69.807</c:v>
                </c:pt>
                <c:pt idx="189">
                  <c:v>69.959</c:v>
                </c:pt>
                <c:pt idx="190">
                  <c:v>70.114</c:v>
                </c:pt>
                <c:pt idx="191">
                  <c:v>70.269</c:v>
                </c:pt>
                <c:pt idx="192">
                  <c:v>70.428</c:v>
                </c:pt>
                <c:pt idx="193">
                  <c:v>70.586</c:v>
                </c:pt>
                <c:pt idx="194">
                  <c:v>70.748</c:v>
                </c:pt>
                <c:pt idx="195">
                  <c:v>70.911</c:v>
                </c:pt>
                <c:pt idx="196">
                  <c:v>71.07299999999998</c:v>
                </c:pt>
                <c:pt idx="197">
                  <c:v>71.234</c:v>
                </c:pt>
                <c:pt idx="198">
                  <c:v>71.392</c:v>
                </c:pt>
                <c:pt idx="199">
                  <c:v>71.545</c:v>
                </c:pt>
                <c:pt idx="200">
                  <c:v>71.68899999999998</c:v>
                </c:pt>
                <c:pt idx="201">
                  <c:v>71.835</c:v>
                </c:pt>
                <c:pt idx="202">
                  <c:v>71.989</c:v>
                </c:pt>
                <c:pt idx="203">
                  <c:v>72.144</c:v>
                </c:pt>
                <c:pt idx="204">
                  <c:v>72.294</c:v>
                </c:pt>
                <c:pt idx="205">
                  <c:v>72.448</c:v>
                </c:pt>
                <c:pt idx="206">
                  <c:v>72.60299999999998</c:v>
                </c:pt>
                <c:pt idx="207">
                  <c:v>72.76</c:v>
                </c:pt>
                <c:pt idx="208">
                  <c:v>72.92</c:v>
                </c:pt>
                <c:pt idx="209">
                  <c:v>73.08</c:v>
                </c:pt>
                <c:pt idx="210">
                  <c:v>73.239</c:v>
                </c:pt>
                <c:pt idx="211">
                  <c:v>73.38899999999998</c:v>
                </c:pt>
                <c:pt idx="212">
                  <c:v>73.541</c:v>
                </c:pt>
                <c:pt idx="213">
                  <c:v>73.7</c:v>
                </c:pt>
                <c:pt idx="214">
                  <c:v>73.85799999999997</c:v>
                </c:pt>
                <c:pt idx="215">
                  <c:v>74.014</c:v>
                </c:pt>
                <c:pt idx="216">
                  <c:v>74.16899999999998</c:v>
                </c:pt>
                <c:pt idx="217">
                  <c:v>74.32799999999997</c:v>
                </c:pt>
                <c:pt idx="218">
                  <c:v>74.483</c:v>
                </c:pt>
                <c:pt idx="219">
                  <c:v>74.632</c:v>
                </c:pt>
                <c:pt idx="220">
                  <c:v>74.785</c:v>
                </c:pt>
                <c:pt idx="221">
                  <c:v>74.94</c:v>
                </c:pt>
                <c:pt idx="222">
                  <c:v>75.094</c:v>
                </c:pt>
                <c:pt idx="223">
                  <c:v>75.247</c:v>
                </c:pt>
                <c:pt idx="224">
                  <c:v>75.402</c:v>
                </c:pt>
                <c:pt idx="225">
                  <c:v>75.55899999999998</c:v>
                </c:pt>
                <c:pt idx="226">
                  <c:v>75.714</c:v>
                </c:pt>
                <c:pt idx="227">
                  <c:v>75.868</c:v>
                </c:pt>
                <c:pt idx="228">
                  <c:v>76.02299999999998</c:v>
                </c:pt>
                <c:pt idx="229">
                  <c:v>76.17799999999998</c:v>
                </c:pt>
                <c:pt idx="230">
                  <c:v>76.33</c:v>
                </c:pt>
                <c:pt idx="231">
                  <c:v>76.48200000000001</c:v>
                </c:pt>
                <c:pt idx="232">
                  <c:v>76.641</c:v>
                </c:pt>
                <c:pt idx="233">
                  <c:v>76.802</c:v>
                </c:pt>
                <c:pt idx="234">
                  <c:v>76.95800000000001</c:v>
                </c:pt>
                <c:pt idx="235">
                  <c:v>77.112</c:v>
                </c:pt>
                <c:pt idx="236">
                  <c:v>77.265</c:v>
                </c:pt>
                <c:pt idx="237">
                  <c:v>77.404</c:v>
                </c:pt>
                <c:pt idx="238">
                  <c:v>77.545</c:v>
                </c:pt>
                <c:pt idx="239">
                  <c:v>77.68799999999997</c:v>
                </c:pt>
                <c:pt idx="240">
                  <c:v>77.832</c:v>
                </c:pt>
                <c:pt idx="241">
                  <c:v>77.98200000000001</c:v>
                </c:pt>
                <c:pt idx="242">
                  <c:v>78.132</c:v>
                </c:pt>
                <c:pt idx="243">
                  <c:v>78.266</c:v>
                </c:pt>
                <c:pt idx="244">
                  <c:v>78.397</c:v>
                </c:pt>
                <c:pt idx="245">
                  <c:v>78.54</c:v>
                </c:pt>
                <c:pt idx="246">
                  <c:v>78.696</c:v>
                </c:pt>
                <c:pt idx="247">
                  <c:v>78.854</c:v>
                </c:pt>
                <c:pt idx="248">
                  <c:v>79.013</c:v>
                </c:pt>
                <c:pt idx="249">
                  <c:v>79.164</c:v>
                </c:pt>
                <c:pt idx="250">
                  <c:v>79.313</c:v>
                </c:pt>
                <c:pt idx="251">
                  <c:v>79.459</c:v>
                </c:pt>
                <c:pt idx="252">
                  <c:v>79.604</c:v>
                </c:pt>
                <c:pt idx="253">
                  <c:v>79.752</c:v>
                </c:pt>
                <c:pt idx="254">
                  <c:v>79.906</c:v>
                </c:pt>
                <c:pt idx="255">
                  <c:v>80.06</c:v>
                </c:pt>
                <c:pt idx="256">
                  <c:v>80.217</c:v>
                </c:pt>
                <c:pt idx="257">
                  <c:v>80.37499999999998</c:v>
                </c:pt>
                <c:pt idx="258">
                  <c:v>80.533</c:v>
                </c:pt>
                <c:pt idx="259">
                  <c:v>80.67999999999998</c:v>
                </c:pt>
                <c:pt idx="260">
                  <c:v>80.832</c:v>
                </c:pt>
                <c:pt idx="261">
                  <c:v>80.989</c:v>
                </c:pt>
                <c:pt idx="262">
                  <c:v>81.148</c:v>
                </c:pt>
                <c:pt idx="263">
                  <c:v>81.305</c:v>
                </c:pt>
                <c:pt idx="264">
                  <c:v>81.465</c:v>
                </c:pt>
                <c:pt idx="265">
                  <c:v>81.62399999999998</c:v>
                </c:pt>
                <c:pt idx="266">
                  <c:v>81.782</c:v>
                </c:pt>
                <c:pt idx="267">
                  <c:v>81.936</c:v>
                </c:pt>
                <c:pt idx="268">
                  <c:v>82.084</c:v>
                </c:pt>
                <c:pt idx="269">
                  <c:v>82.234</c:v>
                </c:pt>
                <c:pt idx="270">
                  <c:v>82.387</c:v>
                </c:pt>
                <c:pt idx="271">
                  <c:v>82.544</c:v>
                </c:pt>
                <c:pt idx="272">
                  <c:v>82.701</c:v>
                </c:pt>
                <c:pt idx="273">
                  <c:v>82.857</c:v>
                </c:pt>
                <c:pt idx="274">
                  <c:v>83.013</c:v>
                </c:pt>
                <c:pt idx="275">
                  <c:v>83.165</c:v>
                </c:pt>
                <c:pt idx="276">
                  <c:v>83.319</c:v>
                </c:pt>
                <c:pt idx="277">
                  <c:v>83.475</c:v>
                </c:pt>
                <c:pt idx="278">
                  <c:v>83.63</c:v>
                </c:pt>
                <c:pt idx="279">
                  <c:v>83.785</c:v>
                </c:pt>
                <c:pt idx="280">
                  <c:v>83.942</c:v>
                </c:pt>
                <c:pt idx="281">
                  <c:v>84.09800000000001</c:v>
                </c:pt>
                <c:pt idx="282">
                  <c:v>84.25</c:v>
                </c:pt>
                <c:pt idx="283">
                  <c:v>84.38899999999998</c:v>
                </c:pt>
                <c:pt idx="284">
                  <c:v>84.52599999999998</c:v>
                </c:pt>
                <c:pt idx="285">
                  <c:v>84.66299999999998</c:v>
                </c:pt>
                <c:pt idx="286">
                  <c:v>84.805</c:v>
                </c:pt>
                <c:pt idx="287">
                  <c:v>84.949</c:v>
                </c:pt>
                <c:pt idx="288">
                  <c:v>85.094</c:v>
                </c:pt>
                <c:pt idx="289">
                  <c:v>85.241</c:v>
                </c:pt>
                <c:pt idx="290">
                  <c:v>85.397</c:v>
                </c:pt>
                <c:pt idx="291">
                  <c:v>85.55899999999998</c:v>
                </c:pt>
                <c:pt idx="292">
                  <c:v>85.721</c:v>
                </c:pt>
                <c:pt idx="293">
                  <c:v>85.87899999999995</c:v>
                </c:pt>
                <c:pt idx="294">
                  <c:v>86.036</c:v>
                </c:pt>
                <c:pt idx="295">
                  <c:v>86.18099999999998</c:v>
                </c:pt>
                <c:pt idx="296">
                  <c:v>86.32299999999998</c:v>
                </c:pt>
                <c:pt idx="297">
                  <c:v>86.47</c:v>
                </c:pt>
                <c:pt idx="298">
                  <c:v>86.62399999999998</c:v>
                </c:pt>
                <c:pt idx="299">
                  <c:v>86.775</c:v>
                </c:pt>
                <c:pt idx="300">
                  <c:v>86.921</c:v>
                </c:pt>
                <c:pt idx="301">
                  <c:v>87.07299999999998</c:v>
                </c:pt>
                <c:pt idx="302">
                  <c:v>87.231</c:v>
                </c:pt>
                <c:pt idx="303">
                  <c:v>87.38899999999998</c:v>
                </c:pt>
                <c:pt idx="304">
                  <c:v>87.547</c:v>
                </c:pt>
                <c:pt idx="305">
                  <c:v>87.703</c:v>
                </c:pt>
                <c:pt idx="306">
                  <c:v>87.851</c:v>
                </c:pt>
                <c:pt idx="307">
                  <c:v>88.001</c:v>
                </c:pt>
                <c:pt idx="308">
                  <c:v>88.15099999999998</c:v>
                </c:pt>
                <c:pt idx="309">
                  <c:v>88.3</c:v>
                </c:pt>
                <c:pt idx="310">
                  <c:v>88.448</c:v>
                </c:pt>
                <c:pt idx="311">
                  <c:v>88.59800000000001</c:v>
                </c:pt>
                <c:pt idx="312">
                  <c:v>88.745</c:v>
                </c:pt>
                <c:pt idx="313">
                  <c:v>88.893</c:v>
                </c:pt>
                <c:pt idx="314">
                  <c:v>89.042</c:v>
                </c:pt>
                <c:pt idx="315">
                  <c:v>89.19</c:v>
                </c:pt>
                <c:pt idx="316">
                  <c:v>89.341</c:v>
                </c:pt>
                <c:pt idx="317">
                  <c:v>89.49</c:v>
                </c:pt>
                <c:pt idx="318">
                  <c:v>89.643</c:v>
                </c:pt>
                <c:pt idx="319">
                  <c:v>89.8</c:v>
                </c:pt>
                <c:pt idx="320">
                  <c:v>89.95800000000001</c:v>
                </c:pt>
                <c:pt idx="321">
                  <c:v>90.117</c:v>
                </c:pt>
                <c:pt idx="322">
                  <c:v>90.274</c:v>
                </c:pt>
                <c:pt idx="323">
                  <c:v>90.432</c:v>
                </c:pt>
                <c:pt idx="324">
                  <c:v>90.59</c:v>
                </c:pt>
                <c:pt idx="325">
                  <c:v>90.75</c:v>
                </c:pt>
                <c:pt idx="326">
                  <c:v>90.911</c:v>
                </c:pt>
                <c:pt idx="327">
                  <c:v>91.07</c:v>
                </c:pt>
                <c:pt idx="328">
                  <c:v>91.222</c:v>
                </c:pt>
                <c:pt idx="329">
                  <c:v>91.37</c:v>
                </c:pt>
                <c:pt idx="330">
                  <c:v>91.518</c:v>
                </c:pt>
                <c:pt idx="331">
                  <c:v>91.66899999999998</c:v>
                </c:pt>
                <c:pt idx="332">
                  <c:v>91.816</c:v>
                </c:pt>
                <c:pt idx="333">
                  <c:v>91.962</c:v>
                </c:pt>
                <c:pt idx="334">
                  <c:v>92.1</c:v>
                </c:pt>
                <c:pt idx="335">
                  <c:v>92.245</c:v>
                </c:pt>
                <c:pt idx="336">
                  <c:v>92.396</c:v>
                </c:pt>
                <c:pt idx="337">
                  <c:v>92.551</c:v>
                </c:pt>
                <c:pt idx="338">
                  <c:v>92.709</c:v>
                </c:pt>
                <c:pt idx="339">
                  <c:v>92.863</c:v>
                </c:pt>
                <c:pt idx="340">
                  <c:v>93.017</c:v>
                </c:pt>
                <c:pt idx="341">
                  <c:v>93.168</c:v>
                </c:pt>
                <c:pt idx="342">
                  <c:v>93.316</c:v>
                </c:pt>
                <c:pt idx="343">
                  <c:v>93.47</c:v>
                </c:pt>
                <c:pt idx="344">
                  <c:v>93.62799999999998</c:v>
                </c:pt>
                <c:pt idx="345">
                  <c:v>93.77599999999998</c:v>
                </c:pt>
                <c:pt idx="346">
                  <c:v>93.922</c:v>
                </c:pt>
                <c:pt idx="347">
                  <c:v>94.071</c:v>
                </c:pt>
                <c:pt idx="348">
                  <c:v>94.223</c:v>
                </c:pt>
                <c:pt idx="349">
                  <c:v>94.36</c:v>
                </c:pt>
                <c:pt idx="350">
                  <c:v>94.493</c:v>
                </c:pt>
                <c:pt idx="351">
                  <c:v>94.62</c:v>
                </c:pt>
                <c:pt idx="352">
                  <c:v>94.757</c:v>
                </c:pt>
                <c:pt idx="353">
                  <c:v>94.9</c:v>
                </c:pt>
                <c:pt idx="354">
                  <c:v>95.044</c:v>
                </c:pt>
                <c:pt idx="355">
                  <c:v>95.18899999999998</c:v>
                </c:pt>
                <c:pt idx="356">
                  <c:v>95.338</c:v>
                </c:pt>
                <c:pt idx="357">
                  <c:v>95.486</c:v>
                </c:pt>
                <c:pt idx="358">
                  <c:v>95.635</c:v>
                </c:pt>
                <c:pt idx="359">
                  <c:v>95.789</c:v>
                </c:pt>
                <c:pt idx="360">
                  <c:v>95.948</c:v>
                </c:pt>
                <c:pt idx="361">
                  <c:v>96.113</c:v>
                </c:pt>
                <c:pt idx="362">
                  <c:v>96.278</c:v>
                </c:pt>
                <c:pt idx="363">
                  <c:v>96.439</c:v>
                </c:pt>
                <c:pt idx="364">
                  <c:v>96.59</c:v>
                </c:pt>
                <c:pt idx="365">
                  <c:v>96.748</c:v>
                </c:pt>
                <c:pt idx="366">
                  <c:v>96.908</c:v>
                </c:pt>
                <c:pt idx="367">
                  <c:v>97.06</c:v>
                </c:pt>
                <c:pt idx="368">
                  <c:v>97.209</c:v>
                </c:pt>
                <c:pt idx="369">
                  <c:v>97.36</c:v>
                </c:pt>
                <c:pt idx="370">
                  <c:v>97.505</c:v>
                </c:pt>
                <c:pt idx="371">
                  <c:v>97.648</c:v>
                </c:pt>
                <c:pt idx="372">
                  <c:v>97.792</c:v>
                </c:pt>
                <c:pt idx="373">
                  <c:v>97.939</c:v>
                </c:pt>
                <c:pt idx="374">
                  <c:v>98.089</c:v>
                </c:pt>
                <c:pt idx="375">
                  <c:v>98.238</c:v>
                </c:pt>
                <c:pt idx="376">
                  <c:v>98.39</c:v>
                </c:pt>
                <c:pt idx="377">
                  <c:v>98.543</c:v>
                </c:pt>
                <c:pt idx="378">
                  <c:v>98.692</c:v>
                </c:pt>
                <c:pt idx="379">
                  <c:v>98.84</c:v>
                </c:pt>
                <c:pt idx="380">
                  <c:v>98.986</c:v>
                </c:pt>
                <c:pt idx="381">
                  <c:v>99.131</c:v>
                </c:pt>
                <c:pt idx="382">
                  <c:v>99.283</c:v>
                </c:pt>
                <c:pt idx="383">
                  <c:v>99.438</c:v>
                </c:pt>
                <c:pt idx="384">
                  <c:v>99.59200000000001</c:v>
                </c:pt>
                <c:pt idx="385">
                  <c:v>99.747</c:v>
                </c:pt>
                <c:pt idx="386">
                  <c:v>99.902</c:v>
                </c:pt>
                <c:pt idx="387">
                  <c:v>100.059</c:v>
                </c:pt>
                <c:pt idx="388">
                  <c:v>100.219</c:v>
                </c:pt>
                <c:pt idx="389">
                  <c:v>100.376</c:v>
                </c:pt>
                <c:pt idx="390">
                  <c:v>100.531</c:v>
                </c:pt>
                <c:pt idx="391">
                  <c:v>100.689</c:v>
                </c:pt>
                <c:pt idx="392">
                  <c:v>100.843</c:v>
                </c:pt>
                <c:pt idx="393">
                  <c:v>100.996</c:v>
                </c:pt>
                <c:pt idx="394">
                  <c:v>101.15</c:v>
                </c:pt>
                <c:pt idx="395">
                  <c:v>101.304</c:v>
                </c:pt>
                <c:pt idx="396">
                  <c:v>101.456</c:v>
                </c:pt>
                <c:pt idx="397">
                  <c:v>101.615</c:v>
                </c:pt>
                <c:pt idx="398">
                  <c:v>101.77</c:v>
                </c:pt>
                <c:pt idx="399">
                  <c:v>101.921</c:v>
                </c:pt>
                <c:pt idx="400">
                  <c:v>102.074</c:v>
                </c:pt>
                <c:pt idx="401">
                  <c:v>102.231</c:v>
                </c:pt>
                <c:pt idx="402">
                  <c:v>102.382</c:v>
                </c:pt>
                <c:pt idx="403">
                  <c:v>102.531</c:v>
                </c:pt>
                <c:pt idx="404">
                  <c:v>102.678</c:v>
                </c:pt>
                <c:pt idx="405">
                  <c:v>102.824</c:v>
                </c:pt>
                <c:pt idx="406">
                  <c:v>102.974</c:v>
                </c:pt>
                <c:pt idx="407">
                  <c:v>103.121</c:v>
                </c:pt>
                <c:pt idx="408">
                  <c:v>103.265</c:v>
                </c:pt>
                <c:pt idx="409">
                  <c:v>103.415</c:v>
                </c:pt>
                <c:pt idx="410">
                  <c:v>103.565</c:v>
                </c:pt>
                <c:pt idx="411">
                  <c:v>103.715</c:v>
                </c:pt>
                <c:pt idx="412">
                  <c:v>103.867</c:v>
                </c:pt>
                <c:pt idx="413">
                  <c:v>104.021</c:v>
                </c:pt>
                <c:pt idx="414">
                  <c:v>104.175</c:v>
                </c:pt>
                <c:pt idx="415">
                  <c:v>104.326</c:v>
                </c:pt>
                <c:pt idx="416">
                  <c:v>104.467</c:v>
                </c:pt>
                <c:pt idx="417">
                  <c:v>104.605</c:v>
                </c:pt>
                <c:pt idx="418">
                  <c:v>104.735</c:v>
                </c:pt>
                <c:pt idx="419">
                  <c:v>104.859</c:v>
                </c:pt>
                <c:pt idx="420">
                  <c:v>104.996</c:v>
                </c:pt>
                <c:pt idx="421">
                  <c:v>105.142</c:v>
                </c:pt>
                <c:pt idx="422">
                  <c:v>105.287</c:v>
                </c:pt>
                <c:pt idx="423">
                  <c:v>105.423</c:v>
                </c:pt>
                <c:pt idx="424">
                  <c:v>105.556</c:v>
                </c:pt>
                <c:pt idx="425">
                  <c:v>105.699</c:v>
                </c:pt>
                <c:pt idx="426">
                  <c:v>105.85</c:v>
                </c:pt>
                <c:pt idx="427">
                  <c:v>106.004</c:v>
                </c:pt>
                <c:pt idx="428">
                  <c:v>106.166</c:v>
                </c:pt>
                <c:pt idx="429">
                  <c:v>106.327</c:v>
                </c:pt>
                <c:pt idx="430">
                  <c:v>106.481</c:v>
                </c:pt>
                <c:pt idx="431">
                  <c:v>106.63</c:v>
                </c:pt>
                <c:pt idx="432">
                  <c:v>106.783</c:v>
                </c:pt>
                <c:pt idx="433">
                  <c:v>106.94</c:v>
                </c:pt>
                <c:pt idx="434">
                  <c:v>107.095</c:v>
                </c:pt>
                <c:pt idx="435">
                  <c:v>107.247</c:v>
                </c:pt>
                <c:pt idx="436">
                  <c:v>107.395</c:v>
                </c:pt>
                <c:pt idx="437">
                  <c:v>107.543</c:v>
                </c:pt>
                <c:pt idx="438">
                  <c:v>107.69</c:v>
                </c:pt>
                <c:pt idx="439">
                  <c:v>107.837</c:v>
                </c:pt>
                <c:pt idx="440">
                  <c:v>107.984</c:v>
                </c:pt>
                <c:pt idx="441">
                  <c:v>108.128</c:v>
                </c:pt>
                <c:pt idx="442">
                  <c:v>108.267</c:v>
                </c:pt>
                <c:pt idx="443">
                  <c:v>108.412</c:v>
                </c:pt>
                <c:pt idx="444">
                  <c:v>108.551</c:v>
                </c:pt>
                <c:pt idx="445">
                  <c:v>108.696</c:v>
                </c:pt>
                <c:pt idx="446">
                  <c:v>108.843</c:v>
                </c:pt>
                <c:pt idx="447">
                  <c:v>108.989</c:v>
                </c:pt>
                <c:pt idx="448">
                  <c:v>109.138</c:v>
                </c:pt>
                <c:pt idx="449">
                  <c:v>109.29</c:v>
                </c:pt>
                <c:pt idx="450">
                  <c:v>109.437</c:v>
                </c:pt>
                <c:pt idx="451">
                  <c:v>109.569</c:v>
                </c:pt>
                <c:pt idx="452">
                  <c:v>109.703</c:v>
                </c:pt>
                <c:pt idx="453">
                  <c:v>109.836</c:v>
                </c:pt>
                <c:pt idx="454">
                  <c:v>109.971</c:v>
                </c:pt>
                <c:pt idx="455">
                  <c:v>110.111</c:v>
                </c:pt>
                <c:pt idx="456">
                  <c:v>110.259</c:v>
                </c:pt>
                <c:pt idx="457">
                  <c:v>110.405</c:v>
                </c:pt>
                <c:pt idx="458">
                  <c:v>110.549</c:v>
                </c:pt>
                <c:pt idx="459">
                  <c:v>110.693</c:v>
                </c:pt>
                <c:pt idx="460">
                  <c:v>110.838</c:v>
                </c:pt>
                <c:pt idx="461">
                  <c:v>110.98</c:v>
                </c:pt>
                <c:pt idx="462">
                  <c:v>111.126</c:v>
                </c:pt>
                <c:pt idx="463">
                  <c:v>111.265</c:v>
                </c:pt>
                <c:pt idx="464">
                  <c:v>111.404</c:v>
                </c:pt>
                <c:pt idx="465">
                  <c:v>111.544</c:v>
                </c:pt>
                <c:pt idx="466">
                  <c:v>111.686</c:v>
                </c:pt>
                <c:pt idx="467">
                  <c:v>111.826</c:v>
                </c:pt>
                <c:pt idx="468">
                  <c:v>111.966</c:v>
                </c:pt>
                <c:pt idx="469">
                  <c:v>112.107</c:v>
                </c:pt>
                <c:pt idx="470">
                  <c:v>112.252</c:v>
                </c:pt>
                <c:pt idx="471">
                  <c:v>112.401</c:v>
                </c:pt>
                <c:pt idx="472">
                  <c:v>112.547</c:v>
                </c:pt>
                <c:pt idx="473">
                  <c:v>112.697</c:v>
                </c:pt>
                <c:pt idx="474">
                  <c:v>112.848</c:v>
                </c:pt>
                <c:pt idx="475">
                  <c:v>113.002</c:v>
                </c:pt>
                <c:pt idx="476">
                  <c:v>113.151</c:v>
                </c:pt>
                <c:pt idx="477">
                  <c:v>113.295</c:v>
                </c:pt>
                <c:pt idx="478">
                  <c:v>113.439</c:v>
                </c:pt>
                <c:pt idx="479">
                  <c:v>113.584</c:v>
                </c:pt>
                <c:pt idx="480">
                  <c:v>113.731</c:v>
                </c:pt>
                <c:pt idx="481">
                  <c:v>113.878</c:v>
                </c:pt>
                <c:pt idx="482">
                  <c:v>114.019</c:v>
                </c:pt>
                <c:pt idx="483">
                  <c:v>114.158</c:v>
                </c:pt>
                <c:pt idx="484">
                  <c:v>114.302</c:v>
                </c:pt>
                <c:pt idx="485">
                  <c:v>114.446</c:v>
                </c:pt>
                <c:pt idx="486">
                  <c:v>114.588</c:v>
                </c:pt>
                <c:pt idx="487">
                  <c:v>114.729</c:v>
                </c:pt>
                <c:pt idx="488">
                  <c:v>114.871</c:v>
                </c:pt>
                <c:pt idx="489">
                  <c:v>115.002</c:v>
                </c:pt>
                <c:pt idx="490">
                  <c:v>115.137</c:v>
                </c:pt>
                <c:pt idx="491">
                  <c:v>115.273</c:v>
                </c:pt>
                <c:pt idx="492">
                  <c:v>115.412</c:v>
                </c:pt>
                <c:pt idx="493">
                  <c:v>115.542</c:v>
                </c:pt>
                <c:pt idx="494">
                  <c:v>115.678</c:v>
                </c:pt>
                <c:pt idx="495">
                  <c:v>115.817</c:v>
                </c:pt>
                <c:pt idx="496">
                  <c:v>115.962</c:v>
                </c:pt>
                <c:pt idx="497">
                  <c:v>116.113</c:v>
                </c:pt>
                <c:pt idx="498">
                  <c:v>116.268</c:v>
                </c:pt>
                <c:pt idx="499">
                  <c:v>116.426</c:v>
                </c:pt>
                <c:pt idx="500">
                  <c:v>116.585</c:v>
                </c:pt>
                <c:pt idx="501">
                  <c:v>116.743</c:v>
                </c:pt>
                <c:pt idx="502">
                  <c:v>116.896</c:v>
                </c:pt>
                <c:pt idx="503">
                  <c:v>117.039</c:v>
                </c:pt>
                <c:pt idx="504">
                  <c:v>117.189</c:v>
                </c:pt>
                <c:pt idx="505">
                  <c:v>117.328</c:v>
                </c:pt>
                <c:pt idx="506">
                  <c:v>117.482</c:v>
                </c:pt>
                <c:pt idx="507">
                  <c:v>117.648</c:v>
                </c:pt>
                <c:pt idx="508">
                  <c:v>117.827</c:v>
                </c:pt>
                <c:pt idx="509">
                  <c:v>118.009</c:v>
                </c:pt>
                <c:pt idx="510">
                  <c:v>118.189</c:v>
                </c:pt>
                <c:pt idx="511">
                  <c:v>118.368</c:v>
                </c:pt>
                <c:pt idx="512">
                  <c:v>118.541</c:v>
                </c:pt>
                <c:pt idx="513">
                  <c:v>118.715</c:v>
                </c:pt>
                <c:pt idx="514">
                  <c:v>118.898</c:v>
                </c:pt>
                <c:pt idx="515">
                  <c:v>119.082</c:v>
                </c:pt>
                <c:pt idx="516">
                  <c:v>119.27</c:v>
                </c:pt>
                <c:pt idx="517">
                  <c:v>119.455</c:v>
                </c:pt>
                <c:pt idx="518">
                  <c:v>119.624</c:v>
                </c:pt>
                <c:pt idx="519">
                  <c:v>119.793</c:v>
                </c:pt>
                <c:pt idx="520">
                  <c:v>119.968</c:v>
                </c:pt>
                <c:pt idx="521">
                  <c:v>120.148</c:v>
                </c:pt>
                <c:pt idx="522">
                  <c:v>120.321</c:v>
                </c:pt>
                <c:pt idx="523">
                  <c:v>120.498</c:v>
                </c:pt>
                <c:pt idx="524">
                  <c:v>120.677</c:v>
                </c:pt>
                <c:pt idx="525">
                  <c:v>120.852</c:v>
                </c:pt>
                <c:pt idx="526">
                  <c:v>121.022</c:v>
                </c:pt>
                <c:pt idx="527">
                  <c:v>121.192</c:v>
                </c:pt>
                <c:pt idx="528">
                  <c:v>121.366</c:v>
                </c:pt>
                <c:pt idx="529">
                  <c:v>121.543</c:v>
                </c:pt>
                <c:pt idx="530">
                  <c:v>121.723</c:v>
                </c:pt>
                <c:pt idx="531">
                  <c:v>121.9</c:v>
                </c:pt>
                <c:pt idx="532">
                  <c:v>122.073</c:v>
                </c:pt>
                <c:pt idx="533">
                  <c:v>122.24</c:v>
                </c:pt>
                <c:pt idx="534">
                  <c:v>122.408</c:v>
                </c:pt>
                <c:pt idx="535">
                  <c:v>122.563</c:v>
                </c:pt>
                <c:pt idx="536">
                  <c:v>122.725</c:v>
                </c:pt>
                <c:pt idx="537">
                  <c:v>122.894</c:v>
                </c:pt>
                <c:pt idx="538">
                  <c:v>123.072</c:v>
                </c:pt>
                <c:pt idx="539">
                  <c:v>123.254</c:v>
                </c:pt>
                <c:pt idx="540">
                  <c:v>123.438</c:v>
                </c:pt>
                <c:pt idx="541">
                  <c:v>123.618</c:v>
                </c:pt>
                <c:pt idx="542">
                  <c:v>123.789</c:v>
                </c:pt>
                <c:pt idx="543">
                  <c:v>123.951</c:v>
                </c:pt>
                <c:pt idx="544">
                  <c:v>124.124</c:v>
                </c:pt>
                <c:pt idx="545">
                  <c:v>124.304</c:v>
                </c:pt>
                <c:pt idx="546">
                  <c:v>124.48</c:v>
                </c:pt>
                <c:pt idx="547">
                  <c:v>124.657</c:v>
                </c:pt>
                <c:pt idx="548">
                  <c:v>124.837</c:v>
                </c:pt>
                <c:pt idx="549">
                  <c:v>125.022</c:v>
                </c:pt>
                <c:pt idx="550">
                  <c:v>125.202</c:v>
                </c:pt>
                <c:pt idx="551">
                  <c:v>125.374</c:v>
                </c:pt>
                <c:pt idx="552">
                  <c:v>125.543</c:v>
                </c:pt>
                <c:pt idx="553">
                  <c:v>125.712</c:v>
                </c:pt>
                <c:pt idx="554">
                  <c:v>125.888</c:v>
                </c:pt>
                <c:pt idx="555">
                  <c:v>126.065</c:v>
                </c:pt>
                <c:pt idx="556">
                  <c:v>126.244</c:v>
                </c:pt>
                <c:pt idx="557">
                  <c:v>126.415</c:v>
                </c:pt>
                <c:pt idx="558">
                  <c:v>126.587</c:v>
                </c:pt>
                <c:pt idx="559">
                  <c:v>126.76</c:v>
                </c:pt>
                <c:pt idx="560">
                  <c:v>126.934</c:v>
                </c:pt>
                <c:pt idx="561">
                  <c:v>127.105</c:v>
                </c:pt>
                <c:pt idx="562">
                  <c:v>127.278</c:v>
                </c:pt>
                <c:pt idx="563">
                  <c:v>127.455</c:v>
                </c:pt>
                <c:pt idx="564">
                  <c:v>127.633</c:v>
                </c:pt>
                <c:pt idx="565">
                  <c:v>127.81</c:v>
                </c:pt>
                <c:pt idx="566">
                  <c:v>127.986</c:v>
                </c:pt>
                <c:pt idx="567">
                  <c:v>128.161</c:v>
                </c:pt>
                <c:pt idx="568">
                  <c:v>128.333</c:v>
                </c:pt>
                <c:pt idx="569">
                  <c:v>128.5</c:v>
                </c:pt>
                <c:pt idx="570">
                  <c:v>128.669</c:v>
                </c:pt>
                <c:pt idx="571">
                  <c:v>128.85</c:v>
                </c:pt>
                <c:pt idx="572">
                  <c:v>129.032</c:v>
                </c:pt>
                <c:pt idx="573">
                  <c:v>129.214</c:v>
                </c:pt>
                <c:pt idx="574">
                  <c:v>129.384</c:v>
                </c:pt>
                <c:pt idx="575">
                  <c:v>129.548</c:v>
                </c:pt>
                <c:pt idx="576">
                  <c:v>129.722</c:v>
                </c:pt>
                <c:pt idx="577">
                  <c:v>129.893</c:v>
                </c:pt>
                <c:pt idx="578">
                  <c:v>130.07</c:v>
                </c:pt>
                <c:pt idx="579">
                  <c:v>130.25</c:v>
                </c:pt>
                <c:pt idx="580">
                  <c:v>130.423</c:v>
                </c:pt>
                <c:pt idx="581">
                  <c:v>130.592</c:v>
                </c:pt>
                <c:pt idx="582">
                  <c:v>130.766</c:v>
                </c:pt>
                <c:pt idx="583">
                  <c:v>130.933</c:v>
                </c:pt>
                <c:pt idx="584">
                  <c:v>131.096</c:v>
                </c:pt>
                <c:pt idx="585">
                  <c:v>131.265</c:v>
                </c:pt>
                <c:pt idx="586">
                  <c:v>131.434</c:v>
                </c:pt>
                <c:pt idx="587">
                  <c:v>131.597</c:v>
                </c:pt>
                <c:pt idx="588">
                  <c:v>131.766</c:v>
                </c:pt>
                <c:pt idx="589">
                  <c:v>131.936</c:v>
                </c:pt>
                <c:pt idx="590">
                  <c:v>132.107</c:v>
                </c:pt>
                <c:pt idx="591">
                  <c:v>132.286</c:v>
                </c:pt>
                <c:pt idx="592">
                  <c:v>132.464</c:v>
                </c:pt>
                <c:pt idx="593">
                  <c:v>132.64</c:v>
                </c:pt>
                <c:pt idx="594">
                  <c:v>132.818</c:v>
                </c:pt>
                <c:pt idx="595">
                  <c:v>133.0</c:v>
                </c:pt>
                <c:pt idx="596">
                  <c:v>133.181</c:v>
                </c:pt>
                <c:pt idx="597">
                  <c:v>133.363</c:v>
                </c:pt>
                <c:pt idx="598">
                  <c:v>133.545</c:v>
                </c:pt>
                <c:pt idx="599">
                  <c:v>133.72</c:v>
                </c:pt>
                <c:pt idx="600">
                  <c:v>133.889</c:v>
                </c:pt>
                <c:pt idx="601">
                  <c:v>134.054</c:v>
                </c:pt>
                <c:pt idx="602">
                  <c:v>134.221</c:v>
                </c:pt>
                <c:pt idx="603">
                  <c:v>134.389</c:v>
                </c:pt>
                <c:pt idx="604">
                  <c:v>134.559</c:v>
                </c:pt>
                <c:pt idx="605">
                  <c:v>134.726</c:v>
                </c:pt>
                <c:pt idx="606">
                  <c:v>134.891</c:v>
                </c:pt>
                <c:pt idx="607">
                  <c:v>135.058</c:v>
                </c:pt>
                <c:pt idx="608">
                  <c:v>135.222</c:v>
                </c:pt>
                <c:pt idx="609">
                  <c:v>135.391</c:v>
                </c:pt>
                <c:pt idx="610">
                  <c:v>135.566</c:v>
                </c:pt>
                <c:pt idx="611">
                  <c:v>135.74</c:v>
                </c:pt>
                <c:pt idx="612">
                  <c:v>135.917</c:v>
                </c:pt>
                <c:pt idx="613">
                  <c:v>136.092</c:v>
                </c:pt>
                <c:pt idx="614">
                  <c:v>136.262</c:v>
                </c:pt>
                <c:pt idx="615">
                  <c:v>136.426</c:v>
                </c:pt>
                <c:pt idx="616">
                  <c:v>136.595</c:v>
                </c:pt>
                <c:pt idx="617">
                  <c:v>136.769</c:v>
                </c:pt>
                <c:pt idx="618">
                  <c:v>136.943</c:v>
                </c:pt>
                <c:pt idx="619">
                  <c:v>137.115</c:v>
                </c:pt>
                <c:pt idx="620">
                  <c:v>137.285</c:v>
                </c:pt>
                <c:pt idx="621">
                  <c:v>137.445</c:v>
                </c:pt>
                <c:pt idx="622">
                  <c:v>137.609</c:v>
                </c:pt>
                <c:pt idx="623">
                  <c:v>137.78</c:v>
                </c:pt>
                <c:pt idx="624">
                  <c:v>137.952</c:v>
                </c:pt>
                <c:pt idx="625">
                  <c:v>138.124</c:v>
                </c:pt>
                <c:pt idx="626">
                  <c:v>138.287</c:v>
                </c:pt>
                <c:pt idx="627">
                  <c:v>138.453</c:v>
                </c:pt>
                <c:pt idx="628">
                  <c:v>138.611</c:v>
                </c:pt>
                <c:pt idx="629">
                  <c:v>138.768</c:v>
                </c:pt>
                <c:pt idx="630">
                  <c:v>138.924</c:v>
                </c:pt>
                <c:pt idx="631">
                  <c:v>139.081</c:v>
                </c:pt>
                <c:pt idx="632">
                  <c:v>139.249</c:v>
                </c:pt>
                <c:pt idx="633">
                  <c:v>139.424</c:v>
                </c:pt>
                <c:pt idx="634">
                  <c:v>139.6</c:v>
                </c:pt>
                <c:pt idx="635">
                  <c:v>139.775</c:v>
                </c:pt>
                <c:pt idx="636">
                  <c:v>139.95</c:v>
                </c:pt>
                <c:pt idx="637">
                  <c:v>140.111</c:v>
                </c:pt>
                <c:pt idx="638">
                  <c:v>140.277</c:v>
                </c:pt>
                <c:pt idx="639">
                  <c:v>140.442</c:v>
                </c:pt>
                <c:pt idx="640">
                  <c:v>140.605</c:v>
                </c:pt>
                <c:pt idx="641">
                  <c:v>140.764</c:v>
                </c:pt>
                <c:pt idx="642">
                  <c:v>140.933</c:v>
                </c:pt>
                <c:pt idx="643">
                  <c:v>141.108</c:v>
                </c:pt>
                <c:pt idx="644">
                  <c:v>141.281</c:v>
                </c:pt>
                <c:pt idx="645">
                  <c:v>141.456</c:v>
                </c:pt>
                <c:pt idx="646">
                  <c:v>141.627</c:v>
                </c:pt>
                <c:pt idx="647">
                  <c:v>141.799</c:v>
                </c:pt>
                <c:pt idx="648">
                  <c:v>141.976</c:v>
                </c:pt>
                <c:pt idx="649">
                  <c:v>142.154</c:v>
                </c:pt>
                <c:pt idx="650">
                  <c:v>142.322</c:v>
                </c:pt>
                <c:pt idx="651">
                  <c:v>142.492</c:v>
                </c:pt>
                <c:pt idx="652">
                  <c:v>142.667</c:v>
                </c:pt>
                <c:pt idx="653">
                  <c:v>142.845</c:v>
                </c:pt>
                <c:pt idx="654">
                  <c:v>143.023</c:v>
                </c:pt>
                <c:pt idx="655">
                  <c:v>143.199</c:v>
                </c:pt>
                <c:pt idx="656">
                  <c:v>143.373</c:v>
                </c:pt>
                <c:pt idx="657">
                  <c:v>143.548</c:v>
                </c:pt>
                <c:pt idx="658">
                  <c:v>143.717</c:v>
                </c:pt>
                <c:pt idx="659">
                  <c:v>143.879</c:v>
                </c:pt>
                <c:pt idx="660">
                  <c:v>144.045</c:v>
                </c:pt>
                <c:pt idx="661">
                  <c:v>144.22</c:v>
                </c:pt>
                <c:pt idx="662">
                  <c:v>144.398</c:v>
                </c:pt>
                <c:pt idx="663">
                  <c:v>144.581</c:v>
                </c:pt>
                <c:pt idx="664">
                  <c:v>144.761</c:v>
                </c:pt>
                <c:pt idx="665">
                  <c:v>144.941</c:v>
                </c:pt>
                <c:pt idx="666">
                  <c:v>145.109</c:v>
                </c:pt>
                <c:pt idx="667">
                  <c:v>145.273</c:v>
                </c:pt>
                <c:pt idx="668">
                  <c:v>145.433</c:v>
                </c:pt>
                <c:pt idx="669">
                  <c:v>145.602</c:v>
                </c:pt>
                <c:pt idx="670">
                  <c:v>145.775</c:v>
                </c:pt>
                <c:pt idx="671">
                  <c:v>145.945</c:v>
                </c:pt>
                <c:pt idx="672">
                  <c:v>146.115</c:v>
                </c:pt>
                <c:pt idx="673">
                  <c:v>146.284</c:v>
                </c:pt>
                <c:pt idx="674">
                  <c:v>146.455</c:v>
                </c:pt>
                <c:pt idx="675">
                  <c:v>146.619</c:v>
                </c:pt>
                <c:pt idx="676">
                  <c:v>146.784</c:v>
                </c:pt>
                <c:pt idx="677">
                  <c:v>146.957</c:v>
                </c:pt>
                <c:pt idx="678">
                  <c:v>147.133</c:v>
                </c:pt>
                <c:pt idx="679">
                  <c:v>147.302</c:v>
                </c:pt>
                <c:pt idx="680">
                  <c:v>147.473</c:v>
                </c:pt>
                <c:pt idx="681">
                  <c:v>147.639</c:v>
                </c:pt>
                <c:pt idx="682">
                  <c:v>147.807</c:v>
                </c:pt>
                <c:pt idx="683">
                  <c:v>147.979</c:v>
                </c:pt>
                <c:pt idx="684">
                  <c:v>148.153</c:v>
                </c:pt>
                <c:pt idx="685">
                  <c:v>148.314</c:v>
                </c:pt>
                <c:pt idx="686">
                  <c:v>148.473</c:v>
                </c:pt>
                <c:pt idx="687">
                  <c:v>148.641</c:v>
                </c:pt>
                <c:pt idx="688">
                  <c:v>148.816</c:v>
                </c:pt>
                <c:pt idx="689">
                  <c:v>148.987</c:v>
                </c:pt>
                <c:pt idx="690">
                  <c:v>149.156</c:v>
                </c:pt>
                <c:pt idx="691">
                  <c:v>149.306</c:v>
                </c:pt>
                <c:pt idx="692">
                  <c:v>149.461</c:v>
                </c:pt>
                <c:pt idx="693">
                  <c:v>149.623</c:v>
                </c:pt>
                <c:pt idx="694">
                  <c:v>149.789</c:v>
                </c:pt>
                <c:pt idx="695">
                  <c:v>149.963</c:v>
                </c:pt>
                <c:pt idx="696">
                  <c:v>150.139</c:v>
                </c:pt>
                <c:pt idx="697">
                  <c:v>150.312</c:v>
                </c:pt>
                <c:pt idx="698">
                  <c:v>150.483</c:v>
                </c:pt>
                <c:pt idx="699">
                  <c:v>150.647</c:v>
                </c:pt>
                <c:pt idx="700">
                  <c:v>150.814</c:v>
                </c:pt>
                <c:pt idx="701">
                  <c:v>150.983</c:v>
                </c:pt>
                <c:pt idx="702">
                  <c:v>151.157</c:v>
                </c:pt>
                <c:pt idx="703">
                  <c:v>151.331</c:v>
                </c:pt>
                <c:pt idx="704">
                  <c:v>151.51</c:v>
                </c:pt>
                <c:pt idx="705">
                  <c:v>151.693</c:v>
                </c:pt>
                <c:pt idx="706">
                  <c:v>151.869</c:v>
                </c:pt>
                <c:pt idx="707">
                  <c:v>152.045</c:v>
                </c:pt>
                <c:pt idx="708">
                  <c:v>152.223</c:v>
                </c:pt>
                <c:pt idx="709">
                  <c:v>152.403</c:v>
                </c:pt>
                <c:pt idx="710">
                  <c:v>152.576</c:v>
                </c:pt>
                <c:pt idx="711">
                  <c:v>152.744</c:v>
                </c:pt>
                <c:pt idx="712">
                  <c:v>152.906</c:v>
                </c:pt>
                <c:pt idx="713">
                  <c:v>153.076</c:v>
                </c:pt>
                <c:pt idx="714">
                  <c:v>153.241</c:v>
                </c:pt>
                <c:pt idx="715">
                  <c:v>153.401</c:v>
                </c:pt>
                <c:pt idx="716">
                  <c:v>153.564</c:v>
                </c:pt>
                <c:pt idx="717">
                  <c:v>153.722</c:v>
                </c:pt>
                <c:pt idx="718">
                  <c:v>153.886</c:v>
                </c:pt>
                <c:pt idx="719">
                  <c:v>154.061</c:v>
                </c:pt>
                <c:pt idx="720">
                  <c:v>154.241</c:v>
                </c:pt>
                <c:pt idx="721">
                  <c:v>154.409</c:v>
                </c:pt>
                <c:pt idx="722">
                  <c:v>154.565</c:v>
                </c:pt>
                <c:pt idx="723">
                  <c:v>154.724</c:v>
                </c:pt>
                <c:pt idx="724">
                  <c:v>154.886</c:v>
                </c:pt>
                <c:pt idx="725">
                  <c:v>155.046</c:v>
                </c:pt>
                <c:pt idx="726">
                  <c:v>155.21</c:v>
                </c:pt>
                <c:pt idx="727">
                  <c:v>155.379</c:v>
                </c:pt>
                <c:pt idx="728">
                  <c:v>155.557</c:v>
                </c:pt>
                <c:pt idx="729">
                  <c:v>155.734</c:v>
                </c:pt>
                <c:pt idx="730">
                  <c:v>155.906</c:v>
                </c:pt>
                <c:pt idx="731">
                  <c:v>156.081</c:v>
                </c:pt>
                <c:pt idx="732">
                  <c:v>156.26</c:v>
                </c:pt>
                <c:pt idx="733">
                  <c:v>156.435</c:v>
                </c:pt>
                <c:pt idx="734">
                  <c:v>156.595</c:v>
                </c:pt>
                <c:pt idx="735">
                  <c:v>156.754</c:v>
                </c:pt>
                <c:pt idx="736">
                  <c:v>156.917</c:v>
                </c:pt>
                <c:pt idx="737">
                  <c:v>157.089</c:v>
                </c:pt>
                <c:pt idx="738">
                  <c:v>157.264</c:v>
                </c:pt>
                <c:pt idx="739">
                  <c:v>157.444</c:v>
                </c:pt>
                <c:pt idx="740">
                  <c:v>157.624</c:v>
                </c:pt>
                <c:pt idx="741">
                  <c:v>157.802</c:v>
                </c:pt>
                <c:pt idx="742">
                  <c:v>157.979</c:v>
                </c:pt>
                <c:pt idx="743">
                  <c:v>158.156</c:v>
                </c:pt>
                <c:pt idx="744">
                  <c:v>158.327</c:v>
                </c:pt>
                <c:pt idx="745">
                  <c:v>158.494</c:v>
                </c:pt>
                <c:pt idx="746">
                  <c:v>158.667</c:v>
                </c:pt>
                <c:pt idx="747">
                  <c:v>158.841</c:v>
                </c:pt>
                <c:pt idx="748">
                  <c:v>159.022</c:v>
                </c:pt>
                <c:pt idx="749">
                  <c:v>159.201</c:v>
                </c:pt>
                <c:pt idx="750">
                  <c:v>159.371</c:v>
                </c:pt>
                <c:pt idx="751">
                  <c:v>159.542</c:v>
                </c:pt>
                <c:pt idx="752">
                  <c:v>159.715</c:v>
                </c:pt>
                <c:pt idx="753">
                  <c:v>159.885</c:v>
                </c:pt>
                <c:pt idx="754">
                  <c:v>160.044</c:v>
                </c:pt>
                <c:pt idx="755">
                  <c:v>160.209</c:v>
                </c:pt>
                <c:pt idx="756">
                  <c:v>160.381</c:v>
                </c:pt>
                <c:pt idx="757">
                  <c:v>160.56</c:v>
                </c:pt>
                <c:pt idx="758">
                  <c:v>160.743</c:v>
                </c:pt>
                <c:pt idx="759">
                  <c:v>160.923</c:v>
                </c:pt>
                <c:pt idx="760">
                  <c:v>161.096</c:v>
                </c:pt>
                <c:pt idx="761">
                  <c:v>161.267</c:v>
                </c:pt>
                <c:pt idx="762">
                  <c:v>161.442</c:v>
                </c:pt>
                <c:pt idx="763">
                  <c:v>161.622</c:v>
                </c:pt>
                <c:pt idx="764">
                  <c:v>161.802</c:v>
                </c:pt>
                <c:pt idx="765">
                  <c:v>161.984</c:v>
                </c:pt>
                <c:pt idx="766">
                  <c:v>162.152</c:v>
                </c:pt>
                <c:pt idx="767">
                  <c:v>162.3</c:v>
                </c:pt>
                <c:pt idx="768">
                  <c:v>162.45</c:v>
                </c:pt>
                <c:pt idx="769">
                  <c:v>162.607</c:v>
                </c:pt>
                <c:pt idx="770">
                  <c:v>162.771</c:v>
                </c:pt>
                <c:pt idx="771">
                  <c:v>162.942</c:v>
                </c:pt>
                <c:pt idx="772">
                  <c:v>163.109</c:v>
                </c:pt>
                <c:pt idx="773">
                  <c:v>163.279</c:v>
                </c:pt>
                <c:pt idx="774">
                  <c:v>163.455</c:v>
                </c:pt>
                <c:pt idx="775">
                  <c:v>163.63</c:v>
                </c:pt>
                <c:pt idx="776">
                  <c:v>163.805</c:v>
                </c:pt>
                <c:pt idx="777">
                  <c:v>163.98</c:v>
                </c:pt>
                <c:pt idx="778">
                  <c:v>164.153</c:v>
                </c:pt>
                <c:pt idx="779">
                  <c:v>164.325</c:v>
                </c:pt>
                <c:pt idx="780">
                  <c:v>164.488</c:v>
                </c:pt>
                <c:pt idx="781">
                  <c:v>164.649</c:v>
                </c:pt>
                <c:pt idx="782">
                  <c:v>164.796</c:v>
                </c:pt>
                <c:pt idx="783">
                  <c:v>164.946</c:v>
                </c:pt>
                <c:pt idx="784">
                  <c:v>165.105</c:v>
                </c:pt>
                <c:pt idx="785">
                  <c:v>165.274</c:v>
                </c:pt>
                <c:pt idx="786">
                  <c:v>165.45</c:v>
                </c:pt>
                <c:pt idx="787">
                  <c:v>165.616</c:v>
                </c:pt>
                <c:pt idx="788">
                  <c:v>165.778</c:v>
                </c:pt>
                <c:pt idx="789">
                  <c:v>165.946</c:v>
                </c:pt>
                <c:pt idx="790">
                  <c:v>166.118</c:v>
                </c:pt>
                <c:pt idx="791">
                  <c:v>166.295</c:v>
                </c:pt>
                <c:pt idx="792">
                  <c:v>166.471</c:v>
                </c:pt>
                <c:pt idx="793">
                  <c:v>166.637</c:v>
                </c:pt>
                <c:pt idx="794">
                  <c:v>166.8</c:v>
                </c:pt>
                <c:pt idx="795">
                  <c:v>166.956</c:v>
                </c:pt>
                <c:pt idx="796">
                  <c:v>167.121</c:v>
                </c:pt>
                <c:pt idx="797">
                  <c:v>167.293</c:v>
                </c:pt>
                <c:pt idx="798">
                  <c:v>167.475</c:v>
                </c:pt>
                <c:pt idx="799">
                  <c:v>167.659</c:v>
                </c:pt>
                <c:pt idx="800">
                  <c:v>167.844</c:v>
                </c:pt>
                <c:pt idx="801">
                  <c:v>168.031</c:v>
                </c:pt>
                <c:pt idx="802">
                  <c:v>168.209</c:v>
                </c:pt>
                <c:pt idx="803">
                  <c:v>168.384</c:v>
                </c:pt>
                <c:pt idx="804">
                  <c:v>168.56</c:v>
                </c:pt>
                <c:pt idx="805">
                  <c:v>168.731</c:v>
                </c:pt>
                <c:pt idx="806">
                  <c:v>168.901</c:v>
                </c:pt>
                <c:pt idx="807">
                  <c:v>169.073</c:v>
                </c:pt>
                <c:pt idx="808">
                  <c:v>169.252</c:v>
                </c:pt>
                <c:pt idx="809">
                  <c:v>169.427</c:v>
                </c:pt>
                <c:pt idx="810">
                  <c:v>169.589</c:v>
                </c:pt>
                <c:pt idx="811">
                  <c:v>169.749</c:v>
                </c:pt>
                <c:pt idx="812">
                  <c:v>169.914</c:v>
                </c:pt>
                <c:pt idx="813">
                  <c:v>170.074</c:v>
                </c:pt>
                <c:pt idx="814">
                  <c:v>170.238</c:v>
                </c:pt>
                <c:pt idx="815">
                  <c:v>170.405</c:v>
                </c:pt>
                <c:pt idx="816">
                  <c:v>170.569</c:v>
                </c:pt>
                <c:pt idx="817">
                  <c:v>170.728</c:v>
                </c:pt>
                <c:pt idx="818">
                  <c:v>170.893</c:v>
                </c:pt>
                <c:pt idx="819">
                  <c:v>171.053</c:v>
                </c:pt>
                <c:pt idx="820">
                  <c:v>171.209</c:v>
                </c:pt>
                <c:pt idx="821">
                  <c:v>171.37</c:v>
                </c:pt>
                <c:pt idx="822">
                  <c:v>171.544</c:v>
                </c:pt>
                <c:pt idx="823">
                  <c:v>171.722</c:v>
                </c:pt>
                <c:pt idx="824">
                  <c:v>171.904</c:v>
                </c:pt>
                <c:pt idx="825">
                  <c:v>172.086</c:v>
                </c:pt>
                <c:pt idx="826">
                  <c:v>172.264</c:v>
                </c:pt>
                <c:pt idx="827">
                  <c:v>172.431</c:v>
                </c:pt>
                <c:pt idx="828">
                  <c:v>172.599</c:v>
                </c:pt>
                <c:pt idx="829">
                  <c:v>172.775</c:v>
                </c:pt>
                <c:pt idx="830">
                  <c:v>172.95</c:v>
                </c:pt>
                <c:pt idx="831">
                  <c:v>173.131</c:v>
                </c:pt>
                <c:pt idx="832">
                  <c:v>173.309</c:v>
                </c:pt>
                <c:pt idx="833">
                  <c:v>173.483</c:v>
                </c:pt>
                <c:pt idx="834">
                  <c:v>173.661</c:v>
                </c:pt>
                <c:pt idx="835">
                  <c:v>173.843</c:v>
                </c:pt>
                <c:pt idx="836">
                  <c:v>174.022</c:v>
                </c:pt>
                <c:pt idx="837">
                  <c:v>174.2</c:v>
                </c:pt>
                <c:pt idx="838">
                  <c:v>174.369</c:v>
                </c:pt>
                <c:pt idx="839">
                  <c:v>174.536</c:v>
                </c:pt>
                <c:pt idx="840">
                  <c:v>174.71</c:v>
                </c:pt>
                <c:pt idx="841">
                  <c:v>174.876</c:v>
                </c:pt>
                <c:pt idx="842">
                  <c:v>175.044</c:v>
                </c:pt>
                <c:pt idx="843">
                  <c:v>175.22</c:v>
                </c:pt>
                <c:pt idx="844">
                  <c:v>175.404</c:v>
                </c:pt>
                <c:pt idx="845">
                  <c:v>175.588</c:v>
                </c:pt>
                <c:pt idx="846">
                  <c:v>175.76</c:v>
                </c:pt>
                <c:pt idx="847">
                  <c:v>175.921</c:v>
                </c:pt>
                <c:pt idx="848">
                  <c:v>176.081</c:v>
                </c:pt>
                <c:pt idx="849">
                  <c:v>176.245</c:v>
                </c:pt>
                <c:pt idx="850">
                  <c:v>176.413</c:v>
                </c:pt>
                <c:pt idx="851">
                  <c:v>176.582</c:v>
                </c:pt>
                <c:pt idx="852">
                  <c:v>176.748</c:v>
                </c:pt>
                <c:pt idx="853">
                  <c:v>176.919</c:v>
                </c:pt>
                <c:pt idx="854">
                  <c:v>177.095</c:v>
                </c:pt>
                <c:pt idx="855">
                  <c:v>177.264</c:v>
                </c:pt>
                <c:pt idx="856">
                  <c:v>177.437</c:v>
                </c:pt>
                <c:pt idx="857">
                  <c:v>177.613</c:v>
                </c:pt>
                <c:pt idx="858">
                  <c:v>177.787</c:v>
                </c:pt>
                <c:pt idx="859">
                  <c:v>177.965</c:v>
                </c:pt>
                <c:pt idx="860">
                  <c:v>178.145</c:v>
                </c:pt>
                <c:pt idx="861">
                  <c:v>178.322</c:v>
                </c:pt>
                <c:pt idx="862">
                  <c:v>178.502</c:v>
                </c:pt>
                <c:pt idx="863">
                  <c:v>178.685</c:v>
                </c:pt>
                <c:pt idx="864">
                  <c:v>178.873</c:v>
                </c:pt>
                <c:pt idx="865">
                  <c:v>179.056</c:v>
                </c:pt>
                <c:pt idx="866">
                  <c:v>179.238</c:v>
                </c:pt>
                <c:pt idx="867">
                  <c:v>179.422</c:v>
                </c:pt>
                <c:pt idx="868">
                  <c:v>179.605</c:v>
                </c:pt>
                <c:pt idx="869">
                  <c:v>179.784</c:v>
                </c:pt>
                <c:pt idx="870">
                  <c:v>179.964</c:v>
                </c:pt>
                <c:pt idx="871">
                  <c:v>180.144</c:v>
                </c:pt>
                <c:pt idx="872">
                  <c:v>180.308</c:v>
                </c:pt>
                <c:pt idx="873">
                  <c:v>180.469</c:v>
                </c:pt>
                <c:pt idx="874">
                  <c:v>180.632</c:v>
                </c:pt>
                <c:pt idx="875">
                  <c:v>180.802</c:v>
                </c:pt>
                <c:pt idx="876">
                  <c:v>180.976</c:v>
                </c:pt>
                <c:pt idx="877">
                  <c:v>181.148</c:v>
                </c:pt>
                <c:pt idx="878">
                  <c:v>181.311</c:v>
                </c:pt>
                <c:pt idx="879">
                  <c:v>181.473</c:v>
                </c:pt>
                <c:pt idx="880">
                  <c:v>181.635</c:v>
                </c:pt>
                <c:pt idx="881">
                  <c:v>181.797</c:v>
                </c:pt>
                <c:pt idx="882">
                  <c:v>181.966</c:v>
                </c:pt>
                <c:pt idx="883">
                  <c:v>182.14</c:v>
                </c:pt>
                <c:pt idx="884">
                  <c:v>182.32</c:v>
                </c:pt>
                <c:pt idx="885">
                  <c:v>182.495</c:v>
                </c:pt>
                <c:pt idx="886">
                  <c:v>182.665</c:v>
                </c:pt>
                <c:pt idx="887">
                  <c:v>182.842</c:v>
                </c:pt>
                <c:pt idx="888">
                  <c:v>183.015</c:v>
                </c:pt>
                <c:pt idx="889">
                  <c:v>183.188</c:v>
                </c:pt>
                <c:pt idx="890">
                  <c:v>183.359</c:v>
                </c:pt>
                <c:pt idx="891">
                  <c:v>183.529</c:v>
                </c:pt>
                <c:pt idx="892">
                  <c:v>183.703</c:v>
                </c:pt>
                <c:pt idx="893">
                  <c:v>183.883</c:v>
                </c:pt>
                <c:pt idx="894">
                  <c:v>184.06</c:v>
                </c:pt>
                <c:pt idx="895">
                  <c:v>184.236</c:v>
                </c:pt>
                <c:pt idx="896">
                  <c:v>184.407</c:v>
                </c:pt>
                <c:pt idx="897">
                  <c:v>184.57</c:v>
                </c:pt>
                <c:pt idx="898">
                  <c:v>184.736</c:v>
                </c:pt>
                <c:pt idx="899">
                  <c:v>184.908</c:v>
                </c:pt>
                <c:pt idx="900">
                  <c:v>185.087</c:v>
                </c:pt>
                <c:pt idx="901">
                  <c:v>185.264</c:v>
                </c:pt>
                <c:pt idx="902">
                  <c:v>185.434</c:v>
                </c:pt>
                <c:pt idx="903">
                  <c:v>185.595</c:v>
                </c:pt>
                <c:pt idx="904">
                  <c:v>185.758</c:v>
                </c:pt>
                <c:pt idx="905">
                  <c:v>185.921</c:v>
                </c:pt>
                <c:pt idx="906">
                  <c:v>186.085</c:v>
                </c:pt>
                <c:pt idx="907">
                  <c:v>186.25</c:v>
                </c:pt>
                <c:pt idx="908">
                  <c:v>186.419</c:v>
                </c:pt>
                <c:pt idx="909">
                  <c:v>186.584</c:v>
                </c:pt>
                <c:pt idx="910">
                  <c:v>186.747</c:v>
                </c:pt>
                <c:pt idx="911">
                  <c:v>186.908</c:v>
                </c:pt>
                <c:pt idx="912">
                  <c:v>187.075</c:v>
                </c:pt>
                <c:pt idx="913">
                  <c:v>187.245</c:v>
                </c:pt>
                <c:pt idx="914">
                  <c:v>187.422</c:v>
                </c:pt>
                <c:pt idx="915">
                  <c:v>187.593</c:v>
                </c:pt>
                <c:pt idx="916">
                  <c:v>187.764</c:v>
                </c:pt>
                <c:pt idx="917">
                  <c:v>187.934</c:v>
                </c:pt>
                <c:pt idx="918">
                  <c:v>188.115</c:v>
                </c:pt>
                <c:pt idx="919">
                  <c:v>188.299</c:v>
                </c:pt>
                <c:pt idx="920">
                  <c:v>188.486</c:v>
                </c:pt>
                <c:pt idx="921">
                  <c:v>188.672</c:v>
                </c:pt>
                <c:pt idx="922">
                  <c:v>188.854</c:v>
                </c:pt>
                <c:pt idx="923">
                  <c:v>189.028</c:v>
                </c:pt>
                <c:pt idx="924">
                  <c:v>189.2</c:v>
                </c:pt>
                <c:pt idx="925">
                  <c:v>189.369</c:v>
                </c:pt>
                <c:pt idx="926">
                  <c:v>189.541</c:v>
                </c:pt>
                <c:pt idx="927">
                  <c:v>189.717</c:v>
                </c:pt>
                <c:pt idx="928">
                  <c:v>189.896</c:v>
                </c:pt>
                <c:pt idx="929">
                  <c:v>190.072</c:v>
                </c:pt>
                <c:pt idx="930">
                  <c:v>190.252</c:v>
                </c:pt>
                <c:pt idx="931">
                  <c:v>190.43</c:v>
                </c:pt>
                <c:pt idx="932">
                  <c:v>190.599</c:v>
                </c:pt>
                <c:pt idx="933">
                  <c:v>190.765</c:v>
                </c:pt>
                <c:pt idx="934">
                  <c:v>190.936</c:v>
                </c:pt>
                <c:pt idx="935">
                  <c:v>191.106</c:v>
                </c:pt>
                <c:pt idx="936">
                  <c:v>191.271</c:v>
                </c:pt>
                <c:pt idx="937">
                  <c:v>191.44</c:v>
                </c:pt>
                <c:pt idx="938">
                  <c:v>191.608</c:v>
                </c:pt>
                <c:pt idx="939">
                  <c:v>191.779</c:v>
                </c:pt>
                <c:pt idx="940">
                  <c:v>191.944</c:v>
                </c:pt>
                <c:pt idx="941">
                  <c:v>192.11</c:v>
                </c:pt>
                <c:pt idx="942">
                  <c:v>192.289</c:v>
                </c:pt>
                <c:pt idx="943">
                  <c:v>192.472</c:v>
                </c:pt>
                <c:pt idx="944">
                  <c:v>192.655</c:v>
                </c:pt>
                <c:pt idx="945">
                  <c:v>192.835</c:v>
                </c:pt>
                <c:pt idx="946">
                  <c:v>193.011</c:v>
                </c:pt>
                <c:pt idx="947">
                  <c:v>193.188</c:v>
                </c:pt>
                <c:pt idx="948">
                  <c:v>193.368</c:v>
                </c:pt>
                <c:pt idx="949">
                  <c:v>193.55</c:v>
                </c:pt>
                <c:pt idx="950">
                  <c:v>193.732</c:v>
                </c:pt>
                <c:pt idx="951">
                  <c:v>193.914</c:v>
                </c:pt>
                <c:pt idx="952">
                  <c:v>194.096</c:v>
                </c:pt>
                <c:pt idx="953">
                  <c:v>194.278</c:v>
                </c:pt>
                <c:pt idx="954">
                  <c:v>194.462</c:v>
                </c:pt>
                <c:pt idx="955">
                  <c:v>194.647</c:v>
                </c:pt>
                <c:pt idx="956">
                  <c:v>194.823</c:v>
                </c:pt>
                <c:pt idx="957">
                  <c:v>194.992</c:v>
                </c:pt>
                <c:pt idx="958">
                  <c:v>195.158</c:v>
                </c:pt>
                <c:pt idx="959">
                  <c:v>195.33</c:v>
                </c:pt>
                <c:pt idx="960">
                  <c:v>195.5</c:v>
                </c:pt>
                <c:pt idx="961">
                  <c:v>195.67</c:v>
                </c:pt>
                <c:pt idx="962">
                  <c:v>195.822</c:v>
                </c:pt>
                <c:pt idx="963">
                  <c:v>195.968</c:v>
                </c:pt>
                <c:pt idx="964">
                  <c:v>196.118</c:v>
                </c:pt>
                <c:pt idx="965">
                  <c:v>196.277</c:v>
                </c:pt>
                <c:pt idx="966">
                  <c:v>196.436</c:v>
                </c:pt>
                <c:pt idx="967">
                  <c:v>196.605</c:v>
                </c:pt>
                <c:pt idx="968">
                  <c:v>196.776</c:v>
                </c:pt>
                <c:pt idx="969">
                  <c:v>196.943</c:v>
                </c:pt>
                <c:pt idx="970">
                  <c:v>197.104</c:v>
                </c:pt>
                <c:pt idx="971">
                  <c:v>197.274</c:v>
                </c:pt>
                <c:pt idx="972">
                  <c:v>197.442</c:v>
                </c:pt>
                <c:pt idx="973">
                  <c:v>197.608</c:v>
                </c:pt>
                <c:pt idx="974">
                  <c:v>197.782</c:v>
                </c:pt>
                <c:pt idx="975">
                  <c:v>197.953</c:v>
                </c:pt>
                <c:pt idx="976">
                  <c:v>198.12</c:v>
                </c:pt>
                <c:pt idx="977">
                  <c:v>198.291</c:v>
                </c:pt>
                <c:pt idx="978">
                  <c:v>198.464</c:v>
                </c:pt>
                <c:pt idx="979">
                  <c:v>198.641</c:v>
                </c:pt>
                <c:pt idx="980">
                  <c:v>198.815</c:v>
                </c:pt>
                <c:pt idx="981">
                  <c:v>198.984</c:v>
                </c:pt>
                <c:pt idx="982">
                  <c:v>199.154</c:v>
                </c:pt>
                <c:pt idx="983">
                  <c:v>199.327</c:v>
                </c:pt>
                <c:pt idx="984">
                  <c:v>199.502</c:v>
                </c:pt>
                <c:pt idx="985">
                  <c:v>199.674</c:v>
                </c:pt>
                <c:pt idx="986">
                  <c:v>199.846</c:v>
                </c:pt>
                <c:pt idx="987">
                  <c:v>200.019</c:v>
                </c:pt>
                <c:pt idx="988">
                  <c:v>200.189</c:v>
                </c:pt>
                <c:pt idx="989">
                  <c:v>200.341</c:v>
                </c:pt>
                <c:pt idx="990">
                  <c:v>200.496</c:v>
                </c:pt>
                <c:pt idx="991">
                  <c:v>200.653</c:v>
                </c:pt>
                <c:pt idx="992">
                  <c:v>200.811</c:v>
                </c:pt>
                <c:pt idx="993">
                  <c:v>200.959</c:v>
                </c:pt>
                <c:pt idx="994">
                  <c:v>201.114</c:v>
                </c:pt>
                <c:pt idx="995">
                  <c:v>201.276</c:v>
                </c:pt>
                <c:pt idx="996">
                  <c:v>201.447</c:v>
                </c:pt>
                <c:pt idx="997">
                  <c:v>201.621</c:v>
                </c:pt>
                <c:pt idx="998">
                  <c:v>201.793</c:v>
                </c:pt>
                <c:pt idx="999">
                  <c:v>201.97</c:v>
                </c:pt>
                <c:pt idx="1000">
                  <c:v>202.146</c:v>
                </c:pt>
                <c:pt idx="1001">
                  <c:v>202.315</c:v>
                </c:pt>
                <c:pt idx="1002">
                  <c:v>202.486</c:v>
                </c:pt>
                <c:pt idx="1003">
                  <c:v>202.659</c:v>
                </c:pt>
                <c:pt idx="1004">
                  <c:v>202.827</c:v>
                </c:pt>
                <c:pt idx="1005">
                  <c:v>202.996</c:v>
                </c:pt>
                <c:pt idx="1006">
                  <c:v>203.168</c:v>
                </c:pt>
                <c:pt idx="1007">
                  <c:v>203.333</c:v>
                </c:pt>
                <c:pt idx="1008">
                  <c:v>203.5</c:v>
                </c:pt>
                <c:pt idx="1009">
                  <c:v>203.667</c:v>
                </c:pt>
                <c:pt idx="1010">
                  <c:v>203.832</c:v>
                </c:pt>
                <c:pt idx="1011">
                  <c:v>203.992</c:v>
                </c:pt>
                <c:pt idx="1012">
                  <c:v>204.153</c:v>
                </c:pt>
                <c:pt idx="1013">
                  <c:v>204.317</c:v>
                </c:pt>
                <c:pt idx="1014">
                  <c:v>204.484</c:v>
                </c:pt>
                <c:pt idx="1015">
                  <c:v>204.651</c:v>
                </c:pt>
                <c:pt idx="1016">
                  <c:v>204.823</c:v>
                </c:pt>
                <c:pt idx="1017">
                  <c:v>204.999</c:v>
                </c:pt>
                <c:pt idx="1018">
                  <c:v>205.171</c:v>
                </c:pt>
                <c:pt idx="1019">
                  <c:v>205.338</c:v>
                </c:pt>
                <c:pt idx="1020">
                  <c:v>205.513</c:v>
                </c:pt>
                <c:pt idx="1021">
                  <c:v>205.691</c:v>
                </c:pt>
                <c:pt idx="1022">
                  <c:v>205.857</c:v>
                </c:pt>
                <c:pt idx="1023">
                  <c:v>206.021</c:v>
                </c:pt>
                <c:pt idx="1024">
                  <c:v>206.19</c:v>
                </c:pt>
                <c:pt idx="1025">
                  <c:v>206.357</c:v>
                </c:pt>
                <c:pt idx="1026">
                  <c:v>206.525</c:v>
                </c:pt>
                <c:pt idx="1027">
                  <c:v>206.69</c:v>
                </c:pt>
                <c:pt idx="1028">
                  <c:v>206.857</c:v>
                </c:pt>
                <c:pt idx="1029">
                  <c:v>207.021</c:v>
                </c:pt>
                <c:pt idx="1030">
                  <c:v>207.176</c:v>
                </c:pt>
                <c:pt idx="1031">
                  <c:v>207.335</c:v>
                </c:pt>
                <c:pt idx="1032">
                  <c:v>207.501</c:v>
                </c:pt>
                <c:pt idx="1033">
                  <c:v>207.658</c:v>
                </c:pt>
                <c:pt idx="1034">
                  <c:v>207.818</c:v>
                </c:pt>
                <c:pt idx="1035">
                  <c:v>207.985</c:v>
                </c:pt>
                <c:pt idx="1036">
                  <c:v>208.15</c:v>
                </c:pt>
                <c:pt idx="1037">
                  <c:v>208.312</c:v>
                </c:pt>
                <c:pt idx="1038">
                  <c:v>208.472</c:v>
                </c:pt>
                <c:pt idx="1039">
                  <c:v>208.638</c:v>
                </c:pt>
                <c:pt idx="1040">
                  <c:v>208.808</c:v>
                </c:pt>
                <c:pt idx="1041">
                  <c:v>208.974</c:v>
                </c:pt>
                <c:pt idx="1042">
                  <c:v>209.143</c:v>
                </c:pt>
                <c:pt idx="1043">
                  <c:v>209.313</c:v>
                </c:pt>
                <c:pt idx="1044">
                  <c:v>209.489</c:v>
                </c:pt>
                <c:pt idx="1045">
                  <c:v>209.665</c:v>
                </c:pt>
                <c:pt idx="1046">
                  <c:v>209.839</c:v>
                </c:pt>
                <c:pt idx="1047">
                  <c:v>210.01</c:v>
                </c:pt>
                <c:pt idx="1048">
                  <c:v>210.186</c:v>
                </c:pt>
                <c:pt idx="1049">
                  <c:v>210.358</c:v>
                </c:pt>
                <c:pt idx="1050">
                  <c:v>210.52</c:v>
                </c:pt>
                <c:pt idx="1051">
                  <c:v>210.685</c:v>
                </c:pt>
                <c:pt idx="1052">
                  <c:v>210.848</c:v>
                </c:pt>
                <c:pt idx="1053">
                  <c:v>211.011</c:v>
                </c:pt>
                <c:pt idx="1054">
                  <c:v>211.171</c:v>
                </c:pt>
                <c:pt idx="1055">
                  <c:v>211.324</c:v>
                </c:pt>
                <c:pt idx="1056">
                  <c:v>211.483</c:v>
                </c:pt>
                <c:pt idx="1057">
                  <c:v>211.647</c:v>
                </c:pt>
                <c:pt idx="1058">
                  <c:v>211.815</c:v>
                </c:pt>
                <c:pt idx="1059">
                  <c:v>211.986</c:v>
                </c:pt>
                <c:pt idx="1060">
                  <c:v>212.161</c:v>
                </c:pt>
                <c:pt idx="1061">
                  <c:v>212.334</c:v>
                </c:pt>
                <c:pt idx="1062">
                  <c:v>212.508</c:v>
                </c:pt>
                <c:pt idx="1063">
                  <c:v>212.682</c:v>
                </c:pt>
                <c:pt idx="1064">
                  <c:v>212.855</c:v>
                </c:pt>
                <c:pt idx="1065">
                  <c:v>213.034</c:v>
                </c:pt>
                <c:pt idx="1066">
                  <c:v>213.21</c:v>
                </c:pt>
                <c:pt idx="1067">
                  <c:v>213.373</c:v>
                </c:pt>
                <c:pt idx="1068">
                  <c:v>213.533</c:v>
                </c:pt>
                <c:pt idx="1069">
                  <c:v>213.697</c:v>
                </c:pt>
                <c:pt idx="1070">
                  <c:v>213.864</c:v>
                </c:pt>
                <c:pt idx="1071">
                  <c:v>214.032</c:v>
                </c:pt>
                <c:pt idx="1072">
                  <c:v>214.186</c:v>
                </c:pt>
                <c:pt idx="1073">
                  <c:v>214.335</c:v>
                </c:pt>
                <c:pt idx="1074">
                  <c:v>214.498</c:v>
                </c:pt>
                <c:pt idx="1075">
                  <c:v>214.67</c:v>
                </c:pt>
                <c:pt idx="1076">
                  <c:v>214.848</c:v>
                </c:pt>
                <c:pt idx="1077">
                  <c:v>215.027</c:v>
                </c:pt>
                <c:pt idx="1078">
                  <c:v>215.203</c:v>
                </c:pt>
                <c:pt idx="1079">
                  <c:v>215.379</c:v>
                </c:pt>
                <c:pt idx="1080">
                  <c:v>215.552</c:v>
                </c:pt>
                <c:pt idx="1081">
                  <c:v>215.717</c:v>
                </c:pt>
                <c:pt idx="1082">
                  <c:v>215.881</c:v>
                </c:pt>
                <c:pt idx="1083">
                  <c:v>216.045</c:v>
                </c:pt>
                <c:pt idx="1084">
                  <c:v>216.213</c:v>
                </c:pt>
                <c:pt idx="1085">
                  <c:v>216.378</c:v>
                </c:pt>
                <c:pt idx="1086">
                  <c:v>216.533</c:v>
                </c:pt>
                <c:pt idx="1087">
                  <c:v>216.688</c:v>
                </c:pt>
                <c:pt idx="1088">
                  <c:v>216.842</c:v>
                </c:pt>
                <c:pt idx="1089">
                  <c:v>217.003</c:v>
                </c:pt>
                <c:pt idx="1090">
                  <c:v>217.159</c:v>
                </c:pt>
                <c:pt idx="1091">
                  <c:v>217.31</c:v>
                </c:pt>
                <c:pt idx="1092">
                  <c:v>217.466</c:v>
                </c:pt>
                <c:pt idx="1093">
                  <c:v>217.626</c:v>
                </c:pt>
                <c:pt idx="1094">
                  <c:v>217.78</c:v>
                </c:pt>
                <c:pt idx="1095">
                  <c:v>217.937</c:v>
                </c:pt>
                <c:pt idx="1096">
                  <c:v>218.109</c:v>
                </c:pt>
                <c:pt idx="1097">
                  <c:v>218.285</c:v>
                </c:pt>
                <c:pt idx="1098">
                  <c:v>218.456</c:v>
                </c:pt>
                <c:pt idx="1099">
                  <c:v>218.628</c:v>
                </c:pt>
                <c:pt idx="1100">
                  <c:v>218.8</c:v>
                </c:pt>
                <c:pt idx="1101">
                  <c:v>218.974</c:v>
                </c:pt>
                <c:pt idx="1102">
                  <c:v>219.15</c:v>
                </c:pt>
                <c:pt idx="1103">
                  <c:v>219.327</c:v>
                </c:pt>
                <c:pt idx="1104">
                  <c:v>219.501</c:v>
                </c:pt>
                <c:pt idx="1105">
                  <c:v>219.674</c:v>
                </c:pt>
                <c:pt idx="1106">
                  <c:v>219.843</c:v>
                </c:pt>
                <c:pt idx="1107">
                  <c:v>220.013</c:v>
                </c:pt>
                <c:pt idx="1108">
                  <c:v>220.181</c:v>
                </c:pt>
                <c:pt idx="1109">
                  <c:v>220.344</c:v>
                </c:pt>
                <c:pt idx="1110">
                  <c:v>220.509</c:v>
                </c:pt>
                <c:pt idx="1111">
                  <c:v>220.678</c:v>
                </c:pt>
                <c:pt idx="1112">
                  <c:v>220.848</c:v>
                </c:pt>
                <c:pt idx="1113">
                  <c:v>221.025</c:v>
                </c:pt>
                <c:pt idx="1114">
                  <c:v>221.202</c:v>
                </c:pt>
                <c:pt idx="1115">
                  <c:v>221.372</c:v>
                </c:pt>
                <c:pt idx="1116">
                  <c:v>221.545</c:v>
                </c:pt>
                <c:pt idx="1117">
                  <c:v>221.721</c:v>
                </c:pt>
                <c:pt idx="1118">
                  <c:v>221.895</c:v>
                </c:pt>
                <c:pt idx="1119">
                  <c:v>222.057</c:v>
                </c:pt>
                <c:pt idx="1120">
                  <c:v>222.22</c:v>
                </c:pt>
                <c:pt idx="1121">
                  <c:v>222.388</c:v>
                </c:pt>
                <c:pt idx="1122">
                  <c:v>222.548</c:v>
                </c:pt>
                <c:pt idx="1123">
                  <c:v>222.708</c:v>
                </c:pt>
                <c:pt idx="1124">
                  <c:v>222.872</c:v>
                </c:pt>
                <c:pt idx="1125">
                  <c:v>223.033</c:v>
                </c:pt>
                <c:pt idx="1126">
                  <c:v>223.184</c:v>
                </c:pt>
                <c:pt idx="1127">
                  <c:v>223.336</c:v>
                </c:pt>
                <c:pt idx="1128">
                  <c:v>223.495</c:v>
                </c:pt>
                <c:pt idx="1129">
                  <c:v>223.651</c:v>
                </c:pt>
                <c:pt idx="1130">
                  <c:v>223.807</c:v>
                </c:pt>
                <c:pt idx="1131">
                  <c:v>223.974</c:v>
                </c:pt>
                <c:pt idx="1132">
                  <c:v>224.148</c:v>
                </c:pt>
                <c:pt idx="1133">
                  <c:v>224.326</c:v>
                </c:pt>
                <c:pt idx="1134">
                  <c:v>224.494</c:v>
                </c:pt>
                <c:pt idx="1135">
                  <c:v>224.651</c:v>
                </c:pt>
                <c:pt idx="1136">
                  <c:v>224.806</c:v>
                </c:pt>
                <c:pt idx="1137">
                  <c:v>224.971</c:v>
                </c:pt>
                <c:pt idx="1138">
                  <c:v>225.138</c:v>
                </c:pt>
                <c:pt idx="1139">
                  <c:v>225.304</c:v>
                </c:pt>
                <c:pt idx="1140">
                  <c:v>225.472</c:v>
                </c:pt>
                <c:pt idx="1141">
                  <c:v>225.635</c:v>
                </c:pt>
                <c:pt idx="1142">
                  <c:v>225.802</c:v>
                </c:pt>
                <c:pt idx="1143">
                  <c:v>225.973</c:v>
                </c:pt>
                <c:pt idx="1144">
                  <c:v>226.142</c:v>
                </c:pt>
                <c:pt idx="1145">
                  <c:v>226.308</c:v>
                </c:pt>
                <c:pt idx="1146">
                  <c:v>226.474</c:v>
                </c:pt>
                <c:pt idx="1147">
                  <c:v>226.64</c:v>
                </c:pt>
                <c:pt idx="1148">
                  <c:v>226.802</c:v>
                </c:pt>
                <c:pt idx="1149">
                  <c:v>226.962</c:v>
                </c:pt>
                <c:pt idx="1150">
                  <c:v>227.123</c:v>
                </c:pt>
                <c:pt idx="1151">
                  <c:v>227.288</c:v>
                </c:pt>
                <c:pt idx="1152">
                  <c:v>227.456</c:v>
                </c:pt>
                <c:pt idx="1153">
                  <c:v>227.619</c:v>
                </c:pt>
                <c:pt idx="1154">
                  <c:v>227.785</c:v>
                </c:pt>
                <c:pt idx="1155">
                  <c:v>227.952</c:v>
                </c:pt>
                <c:pt idx="1156">
                  <c:v>228.124</c:v>
                </c:pt>
                <c:pt idx="1157">
                  <c:v>228.295</c:v>
                </c:pt>
                <c:pt idx="1158">
                  <c:v>228.468</c:v>
                </c:pt>
                <c:pt idx="1159">
                  <c:v>228.644</c:v>
                </c:pt>
                <c:pt idx="1160">
                  <c:v>228.82</c:v>
                </c:pt>
                <c:pt idx="1161">
                  <c:v>228.995</c:v>
                </c:pt>
                <c:pt idx="1162">
                  <c:v>229.17</c:v>
                </c:pt>
                <c:pt idx="1163">
                  <c:v>229.345</c:v>
                </c:pt>
                <c:pt idx="1164">
                  <c:v>229.518</c:v>
                </c:pt>
                <c:pt idx="1165">
                  <c:v>229.69</c:v>
                </c:pt>
                <c:pt idx="1166">
                  <c:v>229.855</c:v>
                </c:pt>
                <c:pt idx="1167">
                  <c:v>230.018</c:v>
                </c:pt>
                <c:pt idx="1168">
                  <c:v>230.175</c:v>
                </c:pt>
                <c:pt idx="1169">
                  <c:v>230.336</c:v>
                </c:pt>
                <c:pt idx="1170">
                  <c:v>230.49</c:v>
                </c:pt>
                <c:pt idx="1171">
                  <c:v>230.65</c:v>
                </c:pt>
                <c:pt idx="1172">
                  <c:v>230.815</c:v>
                </c:pt>
                <c:pt idx="1173">
                  <c:v>230.981</c:v>
                </c:pt>
                <c:pt idx="1174">
                  <c:v>231.149</c:v>
                </c:pt>
                <c:pt idx="1175">
                  <c:v>231.32</c:v>
                </c:pt>
                <c:pt idx="1176">
                  <c:v>231.494</c:v>
                </c:pt>
                <c:pt idx="1177">
                  <c:v>231.671</c:v>
                </c:pt>
                <c:pt idx="1178">
                  <c:v>231.848</c:v>
                </c:pt>
                <c:pt idx="1179">
                  <c:v>232.024</c:v>
                </c:pt>
                <c:pt idx="1180">
                  <c:v>232.199</c:v>
                </c:pt>
                <c:pt idx="1181">
                  <c:v>232.372</c:v>
                </c:pt>
                <c:pt idx="1182">
                  <c:v>232.54</c:v>
                </c:pt>
                <c:pt idx="1183">
                  <c:v>232.711</c:v>
                </c:pt>
                <c:pt idx="1184">
                  <c:v>232.881</c:v>
                </c:pt>
                <c:pt idx="1185">
                  <c:v>233.042</c:v>
                </c:pt>
                <c:pt idx="1186">
                  <c:v>233.198</c:v>
                </c:pt>
                <c:pt idx="1187">
                  <c:v>233.359</c:v>
                </c:pt>
                <c:pt idx="1188">
                  <c:v>233.519</c:v>
                </c:pt>
                <c:pt idx="1189">
                  <c:v>233.68</c:v>
                </c:pt>
                <c:pt idx="1190">
                  <c:v>233.848</c:v>
                </c:pt>
                <c:pt idx="1191">
                  <c:v>234.013</c:v>
                </c:pt>
                <c:pt idx="1192">
                  <c:v>234.177</c:v>
                </c:pt>
                <c:pt idx="1193">
                  <c:v>234.338</c:v>
                </c:pt>
                <c:pt idx="1194">
                  <c:v>234.499</c:v>
                </c:pt>
                <c:pt idx="1195">
                  <c:v>234.668</c:v>
                </c:pt>
                <c:pt idx="1196">
                  <c:v>234.841</c:v>
                </c:pt>
                <c:pt idx="1197">
                  <c:v>235.008</c:v>
                </c:pt>
                <c:pt idx="1198">
                  <c:v>235.169</c:v>
                </c:pt>
                <c:pt idx="1199">
                  <c:v>235.331</c:v>
                </c:pt>
                <c:pt idx="1200">
                  <c:v>235.498</c:v>
                </c:pt>
                <c:pt idx="1201">
                  <c:v>235.669</c:v>
                </c:pt>
                <c:pt idx="1202">
                  <c:v>235.832</c:v>
                </c:pt>
                <c:pt idx="1203">
                  <c:v>235.993</c:v>
                </c:pt>
                <c:pt idx="1204">
                  <c:v>236.156</c:v>
                </c:pt>
                <c:pt idx="1205">
                  <c:v>236.322</c:v>
                </c:pt>
                <c:pt idx="1206">
                  <c:v>236.49</c:v>
                </c:pt>
                <c:pt idx="1207">
                  <c:v>236.659</c:v>
                </c:pt>
                <c:pt idx="1208">
                  <c:v>236.831</c:v>
                </c:pt>
                <c:pt idx="1209">
                  <c:v>237.002</c:v>
                </c:pt>
                <c:pt idx="1210">
                  <c:v>237.163</c:v>
                </c:pt>
                <c:pt idx="1211">
                  <c:v>237.319</c:v>
                </c:pt>
                <c:pt idx="1212">
                  <c:v>237.478</c:v>
                </c:pt>
                <c:pt idx="1213">
                  <c:v>237.64</c:v>
                </c:pt>
                <c:pt idx="1214">
                  <c:v>237.803</c:v>
                </c:pt>
                <c:pt idx="1215">
                  <c:v>237.973</c:v>
                </c:pt>
                <c:pt idx="1216">
                  <c:v>238.143</c:v>
                </c:pt>
                <c:pt idx="1217">
                  <c:v>238.313</c:v>
                </c:pt>
                <c:pt idx="1218">
                  <c:v>238.484</c:v>
                </c:pt>
                <c:pt idx="1219">
                  <c:v>238.657</c:v>
                </c:pt>
                <c:pt idx="1220">
                  <c:v>238.822</c:v>
                </c:pt>
                <c:pt idx="1221">
                  <c:v>238.985</c:v>
                </c:pt>
                <c:pt idx="1222">
                  <c:v>239.151</c:v>
                </c:pt>
                <c:pt idx="1223">
                  <c:v>239.32</c:v>
                </c:pt>
                <c:pt idx="1224">
                  <c:v>239.49</c:v>
                </c:pt>
                <c:pt idx="1225">
                  <c:v>239.66</c:v>
                </c:pt>
                <c:pt idx="1226">
                  <c:v>239.82</c:v>
                </c:pt>
                <c:pt idx="1227">
                  <c:v>239.984</c:v>
                </c:pt>
                <c:pt idx="1228">
                  <c:v>240.15</c:v>
                </c:pt>
                <c:pt idx="1229">
                  <c:v>240.312</c:v>
                </c:pt>
                <c:pt idx="1230">
                  <c:v>240.475</c:v>
                </c:pt>
                <c:pt idx="1231">
                  <c:v>240.638</c:v>
                </c:pt>
                <c:pt idx="1232">
                  <c:v>240.803</c:v>
                </c:pt>
                <c:pt idx="1233">
                  <c:v>240.969</c:v>
                </c:pt>
                <c:pt idx="1234">
                  <c:v>241.14</c:v>
                </c:pt>
                <c:pt idx="1235">
                  <c:v>241.314</c:v>
                </c:pt>
                <c:pt idx="1236">
                  <c:v>241.48</c:v>
                </c:pt>
                <c:pt idx="1237">
                  <c:v>241.649</c:v>
                </c:pt>
                <c:pt idx="1238">
                  <c:v>241.817</c:v>
                </c:pt>
                <c:pt idx="1239">
                  <c:v>241.987</c:v>
                </c:pt>
                <c:pt idx="1240">
                  <c:v>242.147</c:v>
                </c:pt>
                <c:pt idx="1241">
                  <c:v>242.311</c:v>
                </c:pt>
                <c:pt idx="1242">
                  <c:v>242.483</c:v>
                </c:pt>
                <c:pt idx="1243">
                  <c:v>242.654</c:v>
                </c:pt>
                <c:pt idx="1244">
                  <c:v>242.824</c:v>
                </c:pt>
                <c:pt idx="1245">
                  <c:v>242.988</c:v>
                </c:pt>
                <c:pt idx="1246">
                  <c:v>243.152</c:v>
                </c:pt>
                <c:pt idx="1247">
                  <c:v>243.324</c:v>
                </c:pt>
                <c:pt idx="1248">
                  <c:v>243.5</c:v>
                </c:pt>
                <c:pt idx="1249">
                  <c:v>243.675</c:v>
                </c:pt>
                <c:pt idx="1250">
                  <c:v>243.849</c:v>
                </c:pt>
                <c:pt idx="1251">
                  <c:v>244.018</c:v>
                </c:pt>
                <c:pt idx="1252">
                  <c:v>244.183</c:v>
                </c:pt>
                <c:pt idx="1253">
                  <c:v>244.348</c:v>
                </c:pt>
                <c:pt idx="1254">
                  <c:v>244.511</c:v>
                </c:pt>
                <c:pt idx="1255">
                  <c:v>244.671</c:v>
                </c:pt>
                <c:pt idx="1256">
                  <c:v>244.833</c:v>
                </c:pt>
                <c:pt idx="1257">
                  <c:v>245.002</c:v>
                </c:pt>
                <c:pt idx="1258">
                  <c:v>245.161</c:v>
                </c:pt>
                <c:pt idx="1259">
                  <c:v>245.318</c:v>
                </c:pt>
                <c:pt idx="1260">
                  <c:v>245.473</c:v>
                </c:pt>
                <c:pt idx="1261">
                  <c:v>245.626</c:v>
                </c:pt>
                <c:pt idx="1262">
                  <c:v>245.786</c:v>
                </c:pt>
                <c:pt idx="1263">
                  <c:v>245.95</c:v>
                </c:pt>
                <c:pt idx="1264">
                  <c:v>246.109</c:v>
                </c:pt>
                <c:pt idx="1265">
                  <c:v>246.267</c:v>
                </c:pt>
                <c:pt idx="1266">
                  <c:v>246.433</c:v>
                </c:pt>
                <c:pt idx="1267">
                  <c:v>246.602</c:v>
                </c:pt>
                <c:pt idx="1268">
                  <c:v>246.771</c:v>
                </c:pt>
                <c:pt idx="1269">
                  <c:v>246.943</c:v>
                </c:pt>
                <c:pt idx="1270">
                  <c:v>247.11</c:v>
                </c:pt>
                <c:pt idx="1271">
                  <c:v>247.277</c:v>
                </c:pt>
                <c:pt idx="1272">
                  <c:v>247.443</c:v>
                </c:pt>
                <c:pt idx="1273">
                  <c:v>247.613</c:v>
                </c:pt>
                <c:pt idx="1274">
                  <c:v>247.785</c:v>
                </c:pt>
                <c:pt idx="1275">
                  <c:v>247.952</c:v>
                </c:pt>
                <c:pt idx="1276">
                  <c:v>248.113</c:v>
                </c:pt>
                <c:pt idx="1277">
                  <c:v>248.275</c:v>
                </c:pt>
                <c:pt idx="1278">
                  <c:v>248.435</c:v>
                </c:pt>
                <c:pt idx="1279">
                  <c:v>248.594</c:v>
                </c:pt>
                <c:pt idx="1280">
                  <c:v>248.752</c:v>
                </c:pt>
                <c:pt idx="1281">
                  <c:v>248.905</c:v>
                </c:pt>
                <c:pt idx="1282">
                  <c:v>249.062</c:v>
                </c:pt>
                <c:pt idx="1283">
                  <c:v>249.229</c:v>
                </c:pt>
                <c:pt idx="1284">
                  <c:v>249.402</c:v>
                </c:pt>
                <c:pt idx="1285">
                  <c:v>249.575</c:v>
                </c:pt>
                <c:pt idx="1286">
                  <c:v>249.749</c:v>
                </c:pt>
                <c:pt idx="1287">
                  <c:v>249.914</c:v>
                </c:pt>
                <c:pt idx="1288">
                  <c:v>250.069</c:v>
                </c:pt>
                <c:pt idx="1289">
                  <c:v>250.212</c:v>
                </c:pt>
                <c:pt idx="1290">
                  <c:v>250.374</c:v>
                </c:pt>
                <c:pt idx="1291">
                  <c:v>250.54</c:v>
                </c:pt>
                <c:pt idx="1292">
                  <c:v>250.71</c:v>
                </c:pt>
                <c:pt idx="1293">
                  <c:v>250.875</c:v>
                </c:pt>
                <c:pt idx="1294">
                  <c:v>251.042</c:v>
                </c:pt>
                <c:pt idx="1295">
                  <c:v>251.204</c:v>
                </c:pt>
                <c:pt idx="1296">
                  <c:v>251.371</c:v>
                </c:pt>
                <c:pt idx="1297">
                  <c:v>251.541</c:v>
                </c:pt>
                <c:pt idx="1298">
                  <c:v>251.714</c:v>
                </c:pt>
                <c:pt idx="1299">
                  <c:v>251.89</c:v>
                </c:pt>
                <c:pt idx="1300">
                  <c:v>252.061</c:v>
                </c:pt>
                <c:pt idx="1301">
                  <c:v>252.223</c:v>
                </c:pt>
                <c:pt idx="1302">
                  <c:v>252.379</c:v>
                </c:pt>
                <c:pt idx="1303">
                  <c:v>252.54</c:v>
                </c:pt>
                <c:pt idx="1304">
                  <c:v>252.708</c:v>
                </c:pt>
                <c:pt idx="1305">
                  <c:v>252.877</c:v>
                </c:pt>
                <c:pt idx="1306">
                  <c:v>253.046</c:v>
                </c:pt>
                <c:pt idx="1307">
                  <c:v>253.215</c:v>
                </c:pt>
                <c:pt idx="1308">
                  <c:v>253.384</c:v>
                </c:pt>
                <c:pt idx="1309">
                  <c:v>253.555</c:v>
                </c:pt>
                <c:pt idx="1310">
                  <c:v>253.725</c:v>
                </c:pt>
                <c:pt idx="1311">
                  <c:v>253.894</c:v>
                </c:pt>
                <c:pt idx="1312">
                  <c:v>254.062</c:v>
                </c:pt>
                <c:pt idx="1313">
                  <c:v>254.226</c:v>
                </c:pt>
                <c:pt idx="1314">
                  <c:v>254.396</c:v>
                </c:pt>
                <c:pt idx="1315">
                  <c:v>254.565</c:v>
                </c:pt>
                <c:pt idx="1316">
                  <c:v>254.736</c:v>
                </c:pt>
                <c:pt idx="1317">
                  <c:v>254.91</c:v>
                </c:pt>
                <c:pt idx="1318">
                  <c:v>255.09</c:v>
                </c:pt>
                <c:pt idx="1319">
                  <c:v>255.272</c:v>
                </c:pt>
                <c:pt idx="1320">
                  <c:v>255.455</c:v>
                </c:pt>
                <c:pt idx="1321">
                  <c:v>255.635</c:v>
                </c:pt>
                <c:pt idx="1322">
                  <c:v>255.81</c:v>
                </c:pt>
                <c:pt idx="1323">
                  <c:v>255.977</c:v>
                </c:pt>
                <c:pt idx="1324">
                  <c:v>256.14</c:v>
                </c:pt>
                <c:pt idx="1325">
                  <c:v>256.3090000000001</c:v>
                </c:pt>
                <c:pt idx="1326">
                  <c:v>256.475</c:v>
                </c:pt>
                <c:pt idx="1327">
                  <c:v>256.637</c:v>
                </c:pt>
                <c:pt idx="1328">
                  <c:v>256.797</c:v>
                </c:pt>
                <c:pt idx="1329">
                  <c:v>256.952</c:v>
                </c:pt>
                <c:pt idx="1330">
                  <c:v>257.103</c:v>
                </c:pt>
                <c:pt idx="1331">
                  <c:v>257.2629999999999</c:v>
                </c:pt>
                <c:pt idx="1332">
                  <c:v>257.425</c:v>
                </c:pt>
                <c:pt idx="1333">
                  <c:v>257.591</c:v>
                </c:pt>
                <c:pt idx="1334">
                  <c:v>257.749</c:v>
                </c:pt>
                <c:pt idx="1335">
                  <c:v>257.901</c:v>
                </c:pt>
                <c:pt idx="1336">
                  <c:v>258.062</c:v>
                </c:pt>
                <c:pt idx="1337">
                  <c:v>258.228</c:v>
                </c:pt>
                <c:pt idx="1338">
                  <c:v>258.3969999999989</c:v>
                </c:pt>
                <c:pt idx="1339">
                  <c:v>258.57</c:v>
                </c:pt>
                <c:pt idx="1340">
                  <c:v>258.72</c:v>
                </c:pt>
                <c:pt idx="1341">
                  <c:v>258.8639999999999</c:v>
                </c:pt>
                <c:pt idx="1342">
                  <c:v>259.02</c:v>
                </c:pt>
                <c:pt idx="1343">
                  <c:v>259.1859999999999</c:v>
                </c:pt>
                <c:pt idx="1344">
                  <c:v>259.356</c:v>
                </c:pt>
                <c:pt idx="1345">
                  <c:v>259.5269999999986</c:v>
                </c:pt>
                <c:pt idx="1346">
                  <c:v>259.7</c:v>
                </c:pt>
                <c:pt idx="1347">
                  <c:v>259.867</c:v>
                </c:pt>
                <c:pt idx="1348">
                  <c:v>260.0319999999986</c:v>
                </c:pt>
                <c:pt idx="1349">
                  <c:v>260.194</c:v>
                </c:pt>
                <c:pt idx="1350">
                  <c:v>260.3589999999999</c:v>
                </c:pt>
                <c:pt idx="1351">
                  <c:v>260.526</c:v>
                </c:pt>
                <c:pt idx="1352">
                  <c:v>260.694</c:v>
                </c:pt>
                <c:pt idx="1353">
                  <c:v>260.866</c:v>
                </c:pt>
                <c:pt idx="1354">
                  <c:v>261.0389999999989</c:v>
                </c:pt>
                <c:pt idx="1355">
                  <c:v>261.2119999999989</c:v>
                </c:pt>
                <c:pt idx="1356">
                  <c:v>261.38</c:v>
                </c:pt>
                <c:pt idx="1357">
                  <c:v>261.543</c:v>
                </c:pt>
                <c:pt idx="1358">
                  <c:v>261.7049999999999</c:v>
                </c:pt>
                <c:pt idx="1359">
                  <c:v>261.87</c:v>
                </c:pt>
                <c:pt idx="1360">
                  <c:v>262.0419999999999</c:v>
                </c:pt>
                <c:pt idx="1361">
                  <c:v>262.2149999999999</c:v>
                </c:pt>
                <c:pt idx="1362">
                  <c:v>262.382</c:v>
                </c:pt>
                <c:pt idx="1363">
                  <c:v>262.55</c:v>
                </c:pt>
                <c:pt idx="1364">
                  <c:v>262.7239999999989</c:v>
                </c:pt>
                <c:pt idx="1365">
                  <c:v>262.8969999999989</c:v>
                </c:pt>
                <c:pt idx="1366">
                  <c:v>263.0590000000001</c:v>
                </c:pt>
                <c:pt idx="1367">
                  <c:v>263.225</c:v>
                </c:pt>
                <c:pt idx="1368">
                  <c:v>263.391</c:v>
                </c:pt>
                <c:pt idx="1369">
                  <c:v>263.56</c:v>
                </c:pt>
                <c:pt idx="1370">
                  <c:v>263.728</c:v>
                </c:pt>
                <c:pt idx="1371">
                  <c:v>263.8999999999999</c:v>
                </c:pt>
                <c:pt idx="1372">
                  <c:v>264.067</c:v>
                </c:pt>
                <c:pt idx="1373">
                  <c:v>264.2379999999989</c:v>
                </c:pt>
                <c:pt idx="1374">
                  <c:v>264.415</c:v>
                </c:pt>
                <c:pt idx="1375">
                  <c:v>264.5899999999999</c:v>
                </c:pt>
                <c:pt idx="1376">
                  <c:v>264.757</c:v>
                </c:pt>
                <c:pt idx="1377">
                  <c:v>264.908</c:v>
                </c:pt>
                <c:pt idx="1378">
                  <c:v>265.058</c:v>
                </c:pt>
                <c:pt idx="1379">
                  <c:v>265.218</c:v>
                </c:pt>
                <c:pt idx="1380">
                  <c:v>265.386</c:v>
                </c:pt>
                <c:pt idx="1381">
                  <c:v>265.562</c:v>
                </c:pt>
                <c:pt idx="1382">
                  <c:v>265.741</c:v>
                </c:pt>
                <c:pt idx="1383">
                  <c:v>265.9239999999986</c:v>
                </c:pt>
                <c:pt idx="1384">
                  <c:v>266.105</c:v>
                </c:pt>
                <c:pt idx="1385">
                  <c:v>266.2809999999996</c:v>
                </c:pt>
                <c:pt idx="1386">
                  <c:v>266.452</c:v>
                </c:pt>
                <c:pt idx="1387">
                  <c:v>266.625</c:v>
                </c:pt>
                <c:pt idx="1388">
                  <c:v>266.7959999999989</c:v>
                </c:pt>
                <c:pt idx="1389">
                  <c:v>266.963</c:v>
                </c:pt>
                <c:pt idx="1390">
                  <c:v>267.128</c:v>
                </c:pt>
                <c:pt idx="1391">
                  <c:v>267.2959999999989</c:v>
                </c:pt>
                <c:pt idx="1392">
                  <c:v>267.4619999999989</c:v>
                </c:pt>
                <c:pt idx="1393">
                  <c:v>267.624</c:v>
                </c:pt>
                <c:pt idx="1394">
                  <c:v>267.7889999999989</c:v>
                </c:pt>
                <c:pt idx="1395">
                  <c:v>267.959</c:v>
                </c:pt>
                <c:pt idx="1396">
                  <c:v>268.1259999999999</c:v>
                </c:pt>
                <c:pt idx="1397">
                  <c:v>268.2939999999986</c:v>
                </c:pt>
                <c:pt idx="1398">
                  <c:v>268.4669999999986</c:v>
                </c:pt>
                <c:pt idx="1399">
                  <c:v>268.639</c:v>
                </c:pt>
                <c:pt idx="1400">
                  <c:v>268.8059999999999</c:v>
                </c:pt>
                <c:pt idx="1401">
                  <c:v>268.9739999999989</c:v>
                </c:pt>
                <c:pt idx="1402">
                  <c:v>269.141</c:v>
                </c:pt>
                <c:pt idx="1403">
                  <c:v>269.3109999999999</c:v>
                </c:pt>
                <c:pt idx="1404">
                  <c:v>269.47</c:v>
                </c:pt>
                <c:pt idx="1405">
                  <c:v>269.6259999999999</c:v>
                </c:pt>
                <c:pt idx="1406">
                  <c:v>269.7819999999986</c:v>
                </c:pt>
                <c:pt idx="1407">
                  <c:v>269.939</c:v>
                </c:pt>
                <c:pt idx="1408">
                  <c:v>270.101</c:v>
                </c:pt>
                <c:pt idx="1409">
                  <c:v>270.2679999999999</c:v>
                </c:pt>
                <c:pt idx="1410">
                  <c:v>270.4379999999989</c:v>
                </c:pt>
                <c:pt idx="1411">
                  <c:v>270.61</c:v>
                </c:pt>
                <c:pt idx="1412">
                  <c:v>270.7819999999986</c:v>
                </c:pt>
                <c:pt idx="1413">
                  <c:v>270.954</c:v>
                </c:pt>
                <c:pt idx="1414">
                  <c:v>271.124</c:v>
                </c:pt>
                <c:pt idx="1415">
                  <c:v>271.3</c:v>
                </c:pt>
                <c:pt idx="1416">
                  <c:v>271.4759999999989</c:v>
                </c:pt>
                <c:pt idx="1417">
                  <c:v>271.647</c:v>
                </c:pt>
                <c:pt idx="1418">
                  <c:v>271.815</c:v>
                </c:pt>
                <c:pt idx="1419">
                  <c:v>271.982</c:v>
                </c:pt>
                <c:pt idx="1420">
                  <c:v>272.149</c:v>
                </c:pt>
                <c:pt idx="1421">
                  <c:v>272.308</c:v>
                </c:pt>
                <c:pt idx="1422">
                  <c:v>272.4649999999999</c:v>
                </c:pt>
                <c:pt idx="1423">
                  <c:v>272.629</c:v>
                </c:pt>
                <c:pt idx="1424">
                  <c:v>272.7979999999989</c:v>
                </c:pt>
                <c:pt idx="1425">
                  <c:v>272.968</c:v>
                </c:pt>
                <c:pt idx="1426">
                  <c:v>273.132</c:v>
                </c:pt>
                <c:pt idx="1427">
                  <c:v>273.2979999999989</c:v>
                </c:pt>
                <c:pt idx="1428">
                  <c:v>273.461</c:v>
                </c:pt>
                <c:pt idx="1429">
                  <c:v>273.617</c:v>
                </c:pt>
                <c:pt idx="1430">
                  <c:v>273.7749999999999</c:v>
                </c:pt>
                <c:pt idx="1431">
                  <c:v>273.937</c:v>
                </c:pt>
                <c:pt idx="1432">
                  <c:v>274.11</c:v>
                </c:pt>
                <c:pt idx="1433">
                  <c:v>274.2889999999989</c:v>
                </c:pt>
                <c:pt idx="1434">
                  <c:v>274.4689999999989</c:v>
                </c:pt>
                <c:pt idx="1435">
                  <c:v>274.644</c:v>
                </c:pt>
                <c:pt idx="1436">
                  <c:v>274.813</c:v>
                </c:pt>
                <c:pt idx="1437">
                  <c:v>274.9829999999992</c:v>
                </c:pt>
                <c:pt idx="1438">
                  <c:v>275.1600000000001</c:v>
                </c:pt>
                <c:pt idx="1439">
                  <c:v>275.326</c:v>
                </c:pt>
                <c:pt idx="1440">
                  <c:v>275.487</c:v>
                </c:pt>
                <c:pt idx="1441">
                  <c:v>275.656</c:v>
                </c:pt>
                <c:pt idx="1442">
                  <c:v>275.825</c:v>
                </c:pt>
                <c:pt idx="1443">
                  <c:v>275.985</c:v>
                </c:pt>
                <c:pt idx="1444">
                  <c:v>276.146</c:v>
                </c:pt>
                <c:pt idx="1445">
                  <c:v>276.313</c:v>
                </c:pt>
                <c:pt idx="1446">
                  <c:v>276.4789999999986</c:v>
                </c:pt>
                <c:pt idx="1447">
                  <c:v>276.643</c:v>
                </c:pt>
                <c:pt idx="1448">
                  <c:v>276.8090000000001</c:v>
                </c:pt>
                <c:pt idx="1449">
                  <c:v>276.975</c:v>
                </c:pt>
                <c:pt idx="1450">
                  <c:v>277.139</c:v>
                </c:pt>
                <c:pt idx="1451">
                  <c:v>277.3</c:v>
                </c:pt>
                <c:pt idx="1452">
                  <c:v>277.458</c:v>
                </c:pt>
                <c:pt idx="1453">
                  <c:v>277.622</c:v>
                </c:pt>
                <c:pt idx="1454">
                  <c:v>277.783</c:v>
                </c:pt>
                <c:pt idx="1455">
                  <c:v>277.932</c:v>
                </c:pt>
                <c:pt idx="1456">
                  <c:v>278.091</c:v>
                </c:pt>
                <c:pt idx="1457">
                  <c:v>278.249</c:v>
                </c:pt>
                <c:pt idx="1458">
                  <c:v>278.4109999999989</c:v>
                </c:pt>
                <c:pt idx="1459">
                  <c:v>278.576</c:v>
                </c:pt>
                <c:pt idx="1460">
                  <c:v>278.745</c:v>
                </c:pt>
                <c:pt idx="1461">
                  <c:v>278.9169999999986</c:v>
                </c:pt>
                <c:pt idx="1462">
                  <c:v>279.086</c:v>
                </c:pt>
                <c:pt idx="1463">
                  <c:v>279.245</c:v>
                </c:pt>
                <c:pt idx="1464">
                  <c:v>279.4059999999996</c:v>
                </c:pt>
                <c:pt idx="1465">
                  <c:v>279.563</c:v>
                </c:pt>
                <c:pt idx="1466">
                  <c:v>279.718</c:v>
                </c:pt>
                <c:pt idx="1467">
                  <c:v>279.8809999999999</c:v>
                </c:pt>
                <c:pt idx="1468">
                  <c:v>280.0539999999999</c:v>
                </c:pt>
                <c:pt idx="1469">
                  <c:v>280.235</c:v>
                </c:pt>
                <c:pt idx="1470">
                  <c:v>280.4119999999986</c:v>
                </c:pt>
                <c:pt idx="1471">
                  <c:v>280.58</c:v>
                </c:pt>
                <c:pt idx="1472">
                  <c:v>280.742</c:v>
                </c:pt>
                <c:pt idx="1473">
                  <c:v>280.9089999999989</c:v>
                </c:pt>
                <c:pt idx="1474">
                  <c:v>281.0779999999999</c:v>
                </c:pt>
                <c:pt idx="1475">
                  <c:v>281.248</c:v>
                </c:pt>
                <c:pt idx="1476">
                  <c:v>281.42</c:v>
                </c:pt>
                <c:pt idx="1477">
                  <c:v>281.589</c:v>
                </c:pt>
                <c:pt idx="1478">
                  <c:v>281.757</c:v>
                </c:pt>
                <c:pt idx="1479">
                  <c:v>281.9289999999986</c:v>
                </c:pt>
                <c:pt idx="1480">
                  <c:v>282.0969999999986</c:v>
                </c:pt>
                <c:pt idx="1481">
                  <c:v>282.259</c:v>
                </c:pt>
                <c:pt idx="1482">
                  <c:v>282.403</c:v>
                </c:pt>
                <c:pt idx="1483">
                  <c:v>282.5470000000001</c:v>
                </c:pt>
                <c:pt idx="1484">
                  <c:v>282.7049999999999</c:v>
                </c:pt>
                <c:pt idx="1485">
                  <c:v>282.8690000000001</c:v>
                </c:pt>
                <c:pt idx="1486">
                  <c:v>283.029</c:v>
                </c:pt>
                <c:pt idx="1487">
                  <c:v>283.183</c:v>
                </c:pt>
                <c:pt idx="1488">
                  <c:v>283.336</c:v>
                </c:pt>
                <c:pt idx="1489">
                  <c:v>283.4979999999989</c:v>
                </c:pt>
                <c:pt idx="1490">
                  <c:v>283.664</c:v>
                </c:pt>
                <c:pt idx="1491">
                  <c:v>283.8229999999999</c:v>
                </c:pt>
                <c:pt idx="1492">
                  <c:v>283.968</c:v>
                </c:pt>
                <c:pt idx="1493">
                  <c:v>284.118</c:v>
                </c:pt>
                <c:pt idx="1494">
                  <c:v>284.279</c:v>
                </c:pt>
                <c:pt idx="1495">
                  <c:v>284.4479999999999</c:v>
                </c:pt>
                <c:pt idx="1496">
                  <c:v>284.623</c:v>
                </c:pt>
                <c:pt idx="1497">
                  <c:v>284.7939999999986</c:v>
                </c:pt>
                <c:pt idx="1498">
                  <c:v>284.9619999999989</c:v>
                </c:pt>
                <c:pt idx="1499">
                  <c:v>285.127</c:v>
                </c:pt>
                <c:pt idx="1500">
                  <c:v>285.2979999999989</c:v>
                </c:pt>
                <c:pt idx="1501">
                  <c:v>285.4709999999992</c:v>
                </c:pt>
                <c:pt idx="1502">
                  <c:v>285.645</c:v>
                </c:pt>
                <c:pt idx="1503">
                  <c:v>285.814</c:v>
                </c:pt>
                <c:pt idx="1504">
                  <c:v>285.9889999999986</c:v>
                </c:pt>
                <c:pt idx="1505">
                  <c:v>286.164</c:v>
                </c:pt>
                <c:pt idx="1506">
                  <c:v>286.341</c:v>
                </c:pt>
                <c:pt idx="1507">
                  <c:v>286.521</c:v>
                </c:pt>
                <c:pt idx="1508">
                  <c:v>286.699</c:v>
                </c:pt>
                <c:pt idx="1509">
                  <c:v>286.862</c:v>
                </c:pt>
                <c:pt idx="1510">
                  <c:v>287.0179999999999</c:v>
                </c:pt>
                <c:pt idx="1511">
                  <c:v>287.183</c:v>
                </c:pt>
                <c:pt idx="1512">
                  <c:v>287.3519999999999</c:v>
                </c:pt>
                <c:pt idx="1513">
                  <c:v>287.519</c:v>
                </c:pt>
                <c:pt idx="1514">
                  <c:v>287.685</c:v>
                </c:pt>
                <c:pt idx="1515">
                  <c:v>287.848</c:v>
                </c:pt>
                <c:pt idx="1516">
                  <c:v>288.01</c:v>
                </c:pt>
                <c:pt idx="1517">
                  <c:v>288.175</c:v>
                </c:pt>
                <c:pt idx="1518">
                  <c:v>288.349</c:v>
                </c:pt>
                <c:pt idx="1519">
                  <c:v>288.526</c:v>
                </c:pt>
                <c:pt idx="1520">
                  <c:v>288.699</c:v>
                </c:pt>
                <c:pt idx="1521">
                  <c:v>288.865</c:v>
                </c:pt>
                <c:pt idx="1522">
                  <c:v>289.0219999999989</c:v>
                </c:pt>
                <c:pt idx="1523">
                  <c:v>289.185</c:v>
                </c:pt>
                <c:pt idx="1524">
                  <c:v>289.3539999999999</c:v>
                </c:pt>
                <c:pt idx="1525">
                  <c:v>289.528</c:v>
                </c:pt>
                <c:pt idx="1526">
                  <c:v>289.702</c:v>
                </c:pt>
                <c:pt idx="1527">
                  <c:v>289.879</c:v>
                </c:pt>
                <c:pt idx="1528">
                  <c:v>290.051</c:v>
                </c:pt>
                <c:pt idx="1529">
                  <c:v>290.211</c:v>
                </c:pt>
                <c:pt idx="1530">
                  <c:v>290.366</c:v>
                </c:pt>
                <c:pt idx="1531">
                  <c:v>290.529</c:v>
                </c:pt>
                <c:pt idx="1532">
                  <c:v>290.696</c:v>
                </c:pt>
                <c:pt idx="1533">
                  <c:v>290.8690000000001</c:v>
                </c:pt>
                <c:pt idx="1534">
                  <c:v>291.0419999999999</c:v>
                </c:pt>
                <c:pt idx="1535">
                  <c:v>291.211</c:v>
                </c:pt>
                <c:pt idx="1536">
                  <c:v>291.379</c:v>
                </c:pt>
                <c:pt idx="1537">
                  <c:v>291.546</c:v>
                </c:pt>
                <c:pt idx="1538">
                  <c:v>291.708</c:v>
                </c:pt>
                <c:pt idx="1539">
                  <c:v>291.8690000000001</c:v>
                </c:pt>
                <c:pt idx="1540">
                  <c:v>292.038</c:v>
                </c:pt>
                <c:pt idx="1541">
                  <c:v>292.2099999999999</c:v>
                </c:pt>
                <c:pt idx="1542">
                  <c:v>292.38</c:v>
                </c:pt>
                <c:pt idx="1543">
                  <c:v>292.5359999999989</c:v>
                </c:pt>
                <c:pt idx="1544">
                  <c:v>292.697</c:v>
                </c:pt>
                <c:pt idx="1545">
                  <c:v>292.865</c:v>
                </c:pt>
                <c:pt idx="1546">
                  <c:v>293.035</c:v>
                </c:pt>
                <c:pt idx="1547">
                  <c:v>293.208</c:v>
                </c:pt>
                <c:pt idx="1548">
                  <c:v>293.377</c:v>
                </c:pt>
                <c:pt idx="1549">
                  <c:v>293.545</c:v>
                </c:pt>
                <c:pt idx="1550">
                  <c:v>293.7119999999989</c:v>
                </c:pt>
                <c:pt idx="1551">
                  <c:v>293.8829999999999</c:v>
                </c:pt>
                <c:pt idx="1552">
                  <c:v>294.0559999999999</c:v>
                </c:pt>
                <c:pt idx="1553">
                  <c:v>294.232</c:v>
                </c:pt>
                <c:pt idx="1554">
                  <c:v>294.4089999999989</c:v>
                </c:pt>
                <c:pt idx="1555">
                  <c:v>294.584</c:v>
                </c:pt>
                <c:pt idx="1556">
                  <c:v>294.752</c:v>
                </c:pt>
                <c:pt idx="1557">
                  <c:v>294.9209999999989</c:v>
                </c:pt>
                <c:pt idx="1558">
                  <c:v>295.0919999999986</c:v>
                </c:pt>
                <c:pt idx="1559">
                  <c:v>295.264</c:v>
                </c:pt>
                <c:pt idx="1560">
                  <c:v>295.4349999999989</c:v>
                </c:pt>
                <c:pt idx="1561">
                  <c:v>295.595</c:v>
                </c:pt>
                <c:pt idx="1562">
                  <c:v>295.754</c:v>
                </c:pt>
                <c:pt idx="1563">
                  <c:v>295.9119999999986</c:v>
                </c:pt>
                <c:pt idx="1564">
                  <c:v>296.075</c:v>
                </c:pt>
                <c:pt idx="1565">
                  <c:v>296.2389999999986</c:v>
                </c:pt>
                <c:pt idx="1566">
                  <c:v>296.401</c:v>
                </c:pt>
                <c:pt idx="1567">
                  <c:v>296.56</c:v>
                </c:pt>
                <c:pt idx="1568">
                  <c:v>296.72</c:v>
                </c:pt>
                <c:pt idx="1569">
                  <c:v>296.8829999999999</c:v>
                </c:pt>
                <c:pt idx="1570">
                  <c:v>297.052</c:v>
                </c:pt>
                <c:pt idx="1571">
                  <c:v>297.2269999999986</c:v>
                </c:pt>
                <c:pt idx="1572">
                  <c:v>297.404</c:v>
                </c:pt>
                <c:pt idx="1573">
                  <c:v>297.5819999999989</c:v>
                </c:pt>
                <c:pt idx="1574">
                  <c:v>297.757</c:v>
                </c:pt>
                <c:pt idx="1575">
                  <c:v>297.9299999999996</c:v>
                </c:pt>
                <c:pt idx="1576">
                  <c:v>298.101</c:v>
                </c:pt>
                <c:pt idx="1577">
                  <c:v>298.267</c:v>
                </c:pt>
                <c:pt idx="1578">
                  <c:v>298.4279999999989</c:v>
                </c:pt>
                <c:pt idx="1579">
                  <c:v>298.589</c:v>
                </c:pt>
                <c:pt idx="1580">
                  <c:v>298.753</c:v>
                </c:pt>
                <c:pt idx="1581">
                  <c:v>298.9179999999996</c:v>
                </c:pt>
                <c:pt idx="1582">
                  <c:v>299.0849999999999</c:v>
                </c:pt>
                <c:pt idx="1583">
                  <c:v>299.252</c:v>
                </c:pt>
                <c:pt idx="1584">
                  <c:v>299.42</c:v>
                </c:pt>
                <c:pt idx="1585">
                  <c:v>299.5899999999999</c:v>
                </c:pt>
                <c:pt idx="1586">
                  <c:v>299.761</c:v>
                </c:pt>
                <c:pt idx="1587">
                  <c:v>299.9299999999996</c:v>
                </c:pt>
                <c:pt idx="1588">
                  <c:v>300.101</c:v>
                </c:pt>
                <c:pt idx="1589">
                  <c:v>300.2679999999999</c:v>
                </c:pt>
                <c:pt idx="1590">
                  <c:v>300.4359999999986</c:v>
                </c:pt>
                <c:pt idx="1591">
                  <c:v>300.605</c:v>
                </c:pt>
                <c:pt idx="1592">
                  <c:v>300.76</c:v>
                </c:pt>
                <c:pt idx="1593">
                  <c:v>300.915</c:v>
                </c:pt>
                <c:pt idx="1594">
                  <c:v>301.076</c:v>
                </c:pt>
                <c:pt idx="1595">
                  <c:v>301.2440000000001</c:v>
                </c:pt>
                <c:pt idx="1596">
                  <c:v>301.4049999999999</c:v>
                </c:pt>
                <c:pt idx="1597">
                  <c:v>301.5679999999999</c:v>
                </c:pt>
                <c:pt idx="1598">
                  <c:v>301.735</c:v>
                </c:pt>
                <c:pt idx="1599">
                  <c:v>301.898</c:v>
                </c:pt>
                <c:pt idx="1600">
                  <c:v>302.058</c:v>
                </c:pt>
                <c:pt idx="1601">
                  <c:v>302.218</c:v>
                </c:pt>
                <c:pt idx="1602">
                  <c:v>302.378</c:v>
                </c:pt>
                <c:pt idx="1603">
                  <c:v>302.545</c:v>
                </c:pt>
                <c:pt idx="1604">
                  <c:v>302.711</c:v>
                </c:pt>
                <c:pt idx="1605">
                  <c:v>302.87</c:v>
                </c:pt>
                <c:pt idx="1606">
                  <c:v>303.029</c:v>
                </c:pt>
                <c:pt idx="1607">
                  <c:v>303.189</c:v>
                </c:pt>
                <c:pt idx="1608">
                  <c:v>303.349</c:v>
                </c:pt>
                <c:pt idx="1609">
                  <c:v>303.5129999999999</c:v>
                </c:pt>
                <c:pt idx="1610">
                  <c:v>303.664</c:v>
                </c:pt>
                <c:pt idx="1611">
                  <c:v>303.814</c:v>
                </c:pt>
                <c:pt idx="1612">
                  <c:v>303.9669999999986</c:v>
                </c:pt>
                <c:pt idx="1613">
                  <c:v>304.1190000000001</c:v>
                </c:pt>
                <c:pt idx="1614">
                  <c:v>304.271</c:v>
                </c:pt>
                <c:pt idx="1615">
                  <c:v>304.432</c:v>
                </c:pt>
                <c:pt idx="1616">
                  <c:v>304.5969999999986</c:v>
                </c:pt>
                <c:pt idx="1617">
                  <c:v>304.7579999999999</c:v>
                </c:pt>
                <c:pt idx="1618">
                  <c:v>304.9139999999989</c:v>
                </c:pt>
                <c:pt idx="1619">
                  <c:v>305.079</c:v>
                </c:pt>
                <c:pt idx="1620">
                  <c:v>305.2459999999999</c:v>
                </c:pt>
                <c:pt idx="1621">
                  <c:v>305.4049999999999</c:v>
                </c:pt>
                <c:pt idx="1622">
                  <c:v>305.5590000000001</c:v>
                </c:pt>
                <c:pt idx="1623">
                  <c:v>305.7189999999989</c:v>
                </c:pt>
                <c:pt idx="1624">
                  <c:v>305.884</c:v>
                </c:pt>
                <c:pt idx="1625">
                  <c:v>306.057</c:v>
                </c:pt>
                <c:pt idx="1626">
                  <c:v>306.232</c:v>
                </c:pt>
                <c:pt idx="1627">
                  <c:v>306.404</c:v>
                </c:pt>
                <c:pt idx="1628">
                  <c:v>306.577</c:v>
                </c:pt>
                <c:pt idx="1629">
                  <c:v>306.748</c:v>
                </c:pt>
                <c:pt idx="1630">
                  <c:v>306.9209999999989</c:v>
                </c:pt>
                <c:pt idx="1631">
                  <c:v>307.089</c:v>
                </c:pt>
                <c:pt idx="1632">
                  <c:v>307.253</c:v>
                </c:pt>
                <c:pt idx="1633">
                  <c:v>307.4169999999986</c:v>
                </c:pt>
                <c:pt idx="1634">
                  <c:v>307.579</c:v>
                </c:pt>
                <c:pt idx="1635">
                  <c:v>307.735</c:v>
                </c:pt>
                <c:pt idx="1636">
                  <c:v>307.8969999999989</c:v>
                </c:pt>
                <c:pt idx="1637">
                  <c:v>308.055</c:v>
                </c:pt>
                <c:pt idx="1638">
                  <c:v>308.211</c:v>
                </c:pt>
                <c:pt idx="1639">
                  <c:v>308.37</c:v>
                </c:pt>
                <c:pt idx="1640">
                  <c:v>308.5339999999989</c:v>
                </c:pt>
                <c:pt idx="1641">
                  <c:v>308.702</c:v>
                </c:pt>
                <c:pt idx="1642">
                  <c:v>308.877</c:v>
                </c:pt>
                <c:pt idx="1643">
                  <c:v>309.0419999999999</c:v>
                </c:pt>
                <c:pt idx="1644">
                  <c:v>309.202</c:v>
                </c:pt>
                <c:pt idx="1645">
                  <c:v>309.366</c:v>
                </c:pt>
                <c:pt idx="1646">
                  <c:v>309.5319999999986</c:v>
                </c:pt>
                <c:pt idx="1647">
                  <c:v>309.6979999999999</c:v>
                </c:pt>
                <c:pt idx="1648">
                  <c:v>309.868</c:v>
                </c:pt>
                <c:pt idx="1649">
                  <c:v>310.038</c:v>
                </c:pt>
                <c:pt idx="1650">
                  <c:v>310.206</c:v>
                </c:pt>
                <c:pt idx="1651">
                  <c:v>310.382</c:v>
                </c:pt>
                <c:pt idx="1652">
                  <c:v>310.5590000000001</c:v>
                </c:pt>
                <c:pt idx="1653">
                  <c:v>310.73</c:v>
                </c:pt>
                <c:pt idx="1654">
                  <c:v>310.898</c:v>
                </c:pt>
                <c:pt idx="1655">
                  <c:v>311.0609999999999</c:v>
                </c:pt>
                <c:pt idx="1656">
                  <c:v>311.2259999999989</c:v>
                </c:pt>
                <c:pt idx="1657">
                  <c:v>311.39</c:v>
                </c:pt>
                <c:pt idx="1658">
                  <c:v>311.552</c:v>
                </c:pt>
                <c:pt idx="1659">
                  <c:v>311.711</c:v>
                </c:pt>
                <c:pt idx="1660">
                  <c:v>311.865</c:v>
                </c:pt>
                <c:pt idx="1661">
                  <c:v>312.012</c:v>
                </c:pt>
                <c:pt idx="1662">
                  <c:v>312.164</c:v>
                </c:pt>
                <c:pt idx="1663">
                  <c:v>312.326</c:v>
                </c:pt>
                <c:pt idx="1664">
                  <c:v>312.4959999999986</c:v>
                </c:pt>
                <c:pt idx="1665">
                  <c:v>312.6669999999999</c:v>
                </c:pt>
                <c:pt idx="1666">
                  <c:v>312.836</c:v>
                </c:pt>
                <c:pt idx="1667">
                  <c:v>313.005</c:v>
                </c:pt>
                <c:pt idx="1668">
                  <c:v>313.17</c:v>
                </c:pt>
                <c:pt idx="1669">
                  <c:v>313.3369999999989</c:v>
                </c:pt>
                <c:pt idx="1670">
                  <c:v>313.5079999999999</c:v>
                </c:pt>
                <c:pt idx="1671">
                  <c:v>313.675</c:v>
                </c:pt>
                <c:pt idx="1672">
                  <c:v>313.841</c:v>
                </c:pt>
                <c:pt idx="1673">
                  <c:v>314.0129999999999</c:v>
                </c:pt>
                <c:pt idx="1674">
                  <c:v>314.185</c:v>
                </c:pt>
                <c:pt idx="1675">
                  <c:v>314.346</c:v>
                </c:pt>
                <c:pt idx="1676">
                  <c:v>314.5009999999999</c:v>
                </c:pt>
                <c:pt idx="1677">
                  <c:v>314.661</c:v>
                </c:pt>
                <c:pt idx="1678">
                  <c:v>314.834</c:v>
                </c:pt>
                <c:pt idx="1679">
                  <c:v>315.003</c:v>
                </c:pt>
                <c:pt idx="1680">
                  <c:v>315.176</c:v>
                </c:pt>
                <c:pt idx="1681">
                  <c:v>315.346</c:v>
                </c:pt>
                <c:pt idx="1682">
                  <c:v>315.514</c:v>
                </c:pt>
                <c:pt idx="1683">
                  <c:v>315.6789999999999</c:v>
                </c:pt>
                <c:pt idx="1684">
                  <c:v>315.8469999999999</c:v>
                </c:pt>
                <c:pt idx="1685">
                  <c:v>316.021</c:v>
                </c:pt>
                <c:pt idx="1686">
                  <c:v>316.1979999999999</c:v>
                </c:pt>
                <c:pt idx="1687">
                  <c:v>316.372</c:v>
                </c:pt>
                <c:pt idx="1688">
                  <c:v>316.548</c:v>
                </c:pt>
                <c:pt idx="1689">
                  <c:v>316.7239999999989</c:v>
                </c:pt>
                <c:pt idx="1690">
                  <c:v>316.8879999999999</c:v>
                </c:pt>
                <c:pt idx="1691">
                  <c:v>317.048</c:v>
                </c:pt>
                <c:pt idx="1692">
                  <c:v>317.208</c:v>
                </c:pt>
                <c:pt idx="1693">
                  <c:v>317.358</c:v>
                </c:pt>
                <c:pt idx="1694">
                  <c:v>317.507</c:v>
                </c:pt>
                <c:pt idx="1695">
                  <c:v>317.663</c:v>
                </c:pt>
                <c:pt idx="1696">
                  <c:v>317.8279999999999</c:v>
                </c:pt>
                <c:pt idx="1697">
                  <c:v>317.9979999999989</c:v>
                </c:pt>
                <c:pt idx="1698">
                  <c:v>318.1720000000001</c:v>
                </c:pt>
                <c:pt idx="1699">
                  <c:v>318.346</c:v>
                </c:pt>
                <c:pt idx="1700">
                  <c:v>318.5219999999989</c:v>
                </c:pt>
                <c:pt idx="1701">
                  <c:v>318.7</c:v>
                </c:pt>
                <c:pt idx="1702">
                  <c:v>318.885</c:v>
                </c:pt>
                <c:pt idx="1703">
                  <c:v>319.062</c:v>
                </c:pt>
                <c:pt idx="1704">
                  <c:v>319.235</c:v>
                </c:pt>
                <c:pt idx="1705">
                  <c:v>319.404</c:v>
                </c:pt>
                <c:pt idx="1706">
                  <c:v>319.574</c:v>
                </c:pt>
                <c:pt idx="1707">
                  <c:v>319.7440000000001</c:v>
                </c:pt>
                <c:pt idx="1708">
                  <c:v>319.9179999999996</c:v>
                </c:pt>
                <c:pt idx="1709">
                  <c:v>320.093</c:v>
                </c:pt>
                <c:pt idx="1710">
                  <c:v>320.266</c:v>
                </c:pt>
                <c:pt idx="1711">
                  <c:v>320.437</c:v>
                </c:pt>
                <c:pt idx="1712">
                  <c:v>320.5959999999992</c:v>
                </c:pt>
                <c:pt idx="1713">
                  <c:v>320.747</c:v>
                </c:pt>
                <c:pt idx="1714">
                  <c:v>320.8969999999989</c:v>
                </c:pt>
                <c:pt idx="1715">
                  <c:v>321.0470000000001</c:v>
                </c:pt>
                <c:pt idx="1716">
                  <c:v>321.2</c:v>
                </c:pt>
                <c:pt idx="1717">
                  <c:v>321.366</c:v>
                </c:pt>
                <c:pt idx="1718">
                  <c:v>321.5359999999989</c:v>
                </c:pt>
                <c:pt idx="1719">
                  <c:v>321.702</c:v>
                </c:pt>
                <c:pt idx="1720">
                  <c:v>321.8709999999999</c:v>
                </c:pt>
                <c:pt idx="1721">
                  <c:v>322.0419999999999</c:v>
                </c:pt>
                <c:pt idx="1722">
                  <c:v>322.202</c:v>
                </c:pt>
                <c:pt idx="1723">
                  <c:v>322.363</c:v>
                </c:pt>
                <c:pt idx="1724">
                  <c:v>322.5309999999996</c:v>
                </c:pt>
                <c:pt idx="1725">
                  <c:v>322.702</c:v>
                </c:pt>
                <c:pt idx="1726">
                  <c:v>322.8709999999999</c:v>
                </c:pt>
                <c:pt idx="1727">
                  <c:v>323.0419999999999</c:v>
                </c:pt>
                <c:pt idx="1728">
                  <c:v>323.208</c:v>
                </c:pt>
                <c:pt idx="1729">
                  <c:v>323.368</c:v>
                </c:pt>
                <c:pt idx="1730">
                  <c:v>323.5339999999989</c:v>
                </c:pt>
                <c:pt idx="1731">
                  <c:v>323.7</c:v>
                </c:pt>
                <c:pt idx="1732">
                  <c:v>323.861</c:v>
                </c:pt>
                <c:pt idx="1733">
                  <c:v>324.0249999999999</c:v>
                </c:pt>
                <c:pt idx="1734">
                  <c:v>324.192</c:v>
                </c:pt>
                <c:pt idx="1735">
                  <c:v>324.358</c:v>
                </c:pt>
                <c:pt idx="1736">
                  <c:v>324.526</c:v>
                </c:pt>
                <c:pt idx="1737">
                  <c:v>324.701</c:v>
                </c:pt>
                <c:pt idx="1738">
                  <c:v>324.875</c:v>
                </c:pt>
                <c:pt idx="1739">
                  <c:v>325.04</c:v>
                </c:pt>
                <c:pt idx="1740">
                  <c:v>325.204</c:v>
                </c:pt>
                <c:pt idx="1741">
                  <c:v>325.374</c:v>
                </c:pt>
                <c:pt idx="1742">
                  <c:v>325.553</c:v>
                </c:pt>
                <c:pt idx="1743">
                  <c:v>325.725</c:v>
                </c:pt>
                <c:pt idx="1744">
                  <c:v>325.896</c:v>
                </c:pt>
                <c:pt idx="1745">
                  <c:v>326.0559999999999</c:v>
                </c:pt>
                <c:pt idx="1746">
                  <c:v>326.22</c:v>
                </c:pt>
                <c:pt idx="1747">
                  <c:v>326.3929999999999</c:v>
                </c:pt>
                <c:pt idx="1748">
                  <c:v>326.5679999999999</c:v>
                </c:pt>
                <c:pt idx="1749">
                  <c:v>326.741</c:v>
                </c:pt>
                <c:pt idx="1750">
                  <c:v>326.9159999999989</c:v>
                </c:pt>
                <c:pt idx="1751">
                  <c:v>327.0869999999989</c:v>
                </c:pt>
                <c:pt idx="1752">
                  <c:v>327.253</c:v>
                </c:pt>
                <c:pt idx="1753">
                  <c:v>327.4179999999996</c:v>
                </c:pt>
                <c:pt idx="1754">
                  <c:v>327.584</c:v>
                </c:pt>
                <c:pt idx="1755">
                  <c:v>327.752</c:v>
                </c:pt>
                <c:pt idx="1756">
                  <c:v>327.927</c:v>
                </c:pt>
                <c:pt idx="1757">
                  <c:v>328.1039999999999</c:v>
                </c:pt>
                <c:pt idx="1758">
                  <c:v>328.2819999999986</c:v>
                </c:pt>
                <c:pt idx="1759">
                  <c:v>328.4569999999989</c:v>
                </c:pt>
                <c:pt idx="1760">
                  <c:v>328.63</c:v>
                </c:pt>
                <c:pt idx="1761">
                  <c:v>328.803</c:v>
                </c:pt>
                <c:pt idx="1762">
                  <c:v>328.9739999999989</c:v>
                </c:pt>
                <c:pt idx="1763">
                  <c:v>329.136</c:v>
                </c:pt>
                <c:pt idx="1764">
                  <c:v>329.2909999999989</c:v>
                </c:pt>
                <c:pt idx="1765">
                  <c:v>329.447</c:v>
                </c:pt>
                <c:pt idx="1766">
                  <c:v>329.611</c:v>
                </c:pt>
                <c:pt idx="1767">
                  <c:v>329.7819999999986</c:v>
                </c:pt>
                <c:pt idx="1768">
                  <c:v>329.951</c:v>
                </c:pt>
                <c:pt idx="1769">
                  <c:v>330.11</c:v>
                </c:pt>
                <c:pt idx="1770">
                  <c:v>330.257</c:v>
                </c:pt>
                <c:pt idx="1771">
                  <c:v>330.4109999999989</c:v>
                </c:pt>
                <c:pt idx="1772">
                  <c:v>330.5679999999999</c:v>
                </c:pt>
                <c:pt idx="1773">
                  <c:v>330.7309999999989</c:v>
                </c:pt>
                <c:pt idx="1774">
                  <c:v>330.899</c:v>
                </c:pt>
                <c:pt idx="1775">
                  <c:v>331.074</c:v>
                </c:pt>
                <c:pt idx="1776">
                  <c:v>331.243</c:v>
                </c:pt>
                <c:pt idx="1777">
                  <c:v>331.4059999999996</c:v>
                </c:pt>
                <c:pt idx="1778">
                  <c:v>331.565</c:v>
                </c:pt>
                <c:pt idx="1779">
                  <c:v>331.7329999999992</c:v>
                </c:pt>
                <c:pt idx="1780">
                  <c:v>331.9049999999999</c:v>
                </c:pt>
                <c:pt idx="1781">
                  <c:v>332.079</c:v>
                </c:pt>
                <c:pt idx="1782">
                  <c:v>332.252</c:v>
                </c:pt>
                <c:pt idx="1783">
                  <c:v>332.4229999999989</c:v>
                </c:pt>
                <c:pt idx="1784">
                  <c:v>332.595</c:v>
                </c:pt>
                <c:pt idx="1785">
                  <c:v>332.7679999999999</c:v>
                </c:pt>
                <c:pt idx="1786">
                  <c:v>332.939</c:v>
                </c:pt>
                <c:pt idx="1787">
                  <c:v>333.115</c:v>
                </c:pt>
                <c:pt idx="1788">
                  <c:v>333.2889999999989</c:v>
                </c:pt>
                <c:pt idx="1789">
                  <c:v>333.458</c:v>
                </c:pt>
                <c:pt idx="1790">
                  <c:v>333.622</c:v>
                </c:pt>
                <c:pt idx="1791">
                  <c:v>333.783</c:v>
                </c:pt>
                <c:pt idx="1792">
                  <c:v>333.95</c:v>
                </c:pt>
                <c:pt idx="1793">
                  <c:v>334.1190000000001</c:v>
                </c:pt>
                <c:pt idx="1794">
                  <c:v>334.2839999999989</c:v>
                </c:pt>
                <c:pt idx="1795">
                  <c:v>334.45</c:v>
                </c:pt>
                <c:pt idx="1796">
                  <c:v>334.622</c:v>
                </c:pt>
                <c:pt idx="1797">
                  <c:v>334.7919999999986</c:v>
                </c:pt>
                <c:pt idx="1798">
                  <c:v>334.952</c:v>
                </c:pt>
                <c:pt idx="1799">
                  <c:v>335.115</c:v>
                </c:pt>
                <c:pt idx="1800">
                  <c:v>335.28</c:v>
                </c:pt>
                <c:pt idx="1801">
                  <c:v>335.45</c:v>
                </c:pt>
                <c:pt idx="1802">
                  <c:v>335.6259999999999</c:v>
                </c:pt>
                <c:pt idx="1803">
                  <c:v>335.801</c:v>
                </c:pt>
                <c:pt idx="1804">
                  <c:v>335.9739999999989</c:v>
                </c:pt>
                <c:pt idx="1805">
                  <c:v>336.146</c:v>
                </c:pt>
                <c:pt idx="1806">
                  <c:v>336.319</c:v>
                </c:pt>
                <c:pt idx="1807">
                  <c:v>336.4789999999986</c:v>
                </c:pt>
                <c:pt idx="1808">
                  <c:v>336.639</c:v>
                </c:pt>
                <c:pt idx="1809">
                  <c:v>336.805</c:v>
                </c:pt>
                <c:pt idx="1810">
                  <c:v>336.9649999999999</c:v>
                </c:pt>
                <c:pt idx="1811">
                  <c:v>337.1259999999999</c:v>
                </c:pt>
                <c:pt idx="1812">
                  <c:v>337.2909999999989</c:v>
                </c:pt>
                <c:pt idx="1813">
                  <c:v>337.458</c:v>
                </c:pt>
                <c:pt idx="1814">
                  <c:v>337.628</c:v>
                </c:pt>
                <c:pt idx="1815">
                  <c:v>337.7979999999989</c:v>
                </c:pt>
                <c:pt idx="1816">
                  <c:v>337.968</c:v>
                </c:pt>
                <c:pt idx="1817">
                  <c:v>338.135</c:v>
                </c:pt>
                <c:pt idx="1818">
                  <c:v>338.303</c:v>
                </c:pt>
                <c:pt idx="1819">
                  <c:v>338.4619999999989</c:v>
                </c:pt>
                <c:pt idx="1820">
                  <c:v>338.617</c:v>
                </c:pt>
                <c:pt idx="1821">
                  <c:v>338.7839999999989</c:v>
                </c:pt>
                <c:pt idx="1822">
                  <c:v>338.959</c:v>
                </c:pt>
                <c:pt idx="1823">
                  <c:v>339.136</c:v>
                </c:pt>
                <c:pt idx="1824">
                  <c:v>339.308</c:v>
                </c:pt>
                <c:pt idx="1825">
                  <c:v>339.4829999999992</c:v>
                </c:pt>
                <c:pt idx="1826">
                  <c:v>339.651</c:v>
                </c:pt>
                <c:pt idx="1827">
                  <c:v>339.8090000000001</c:v>
                </c:pt>
                <c:pt idx="1828">
                  <c:v>339.9649999999999</c:v>
                </c:pt>
                <c:pt idx="1829">
                  <c:v>340.117</c:v>
                </c:pt>
                <c:pt idx="1830">
                  <c:v>340.27</c:v>
                </c:pt>
                <c:pt idx="1831">
                  <c:v>340.4299999999996</c:v>
                </c:pt>
                <c:pt idx="1832">
                  <c:v>340.598</c:v>
                </c:pt>
                <c:pt idx="1833">
                  <c:v>340.769</c:v>
                </c:pt>
                <c:pt idx="1834">
                  <c:v>340.946</c:v>
                </c:pt>
                <c:pt idx="1835">
                  <c:v>341.116</c:v>
                </c:pt>
                <c:pt idx="1836">
                  <c:v>341.2769999999986</c:v>
                </c:pt>
                <c:pt idx="1837">
                  <c:v>341.4359999999986</c:v>
                </c:pt>
                <c:pt idx="1838">
                  <c:v>341.5989999999989</c:v>
                </c:pt>
                <c:pt idx="1839">
                  <c:v>341.7629999999999</c:v>
                </c:pt>
                <c:pt idx="1840">
                  <c:v>341.9309999999986</c:v>
                </c:pt>
                <c:pt idx="1841">
                  <c:v>342.105</c:v>
                </c:pt>
                <c:pt idx="1842">
                  <c:v>342.278</c:v>
                </c:pt>
                <c:pt idx="1843">
                  <c:v>342.4549999999999</c:v>
                </c:pt>
                <c:pt idx="1844">
                  <c:v>342.6209999999999</c:v>
                </c:pt>
                <c:pt idx="1845">
                  <c:v>342.7839999999989</c:v>
                </c:pt>
                <c:pt idx="1846">
                  <c:v>342.945</c:v>
                </c:pt>
                <c:pt idx="1847">
                  <c:v>343.11</c:v>
                </c:pt>
                <c:pt idx="1848">
                  <c:v>343.278</c:v>
                </c:pt>
                <c:pt idx="1849">
                  <c:v>343.442</c:v>
                </c:pt>
                <c:pt idx="1850">
                  <c:v>343.6089999999999</c:v>
                </c:pt>
                <c:pt idx="1851">
                  <c:v>343.778</c:v>
                </c:pt>
                <c:pt idx="1852">
                  <c:v>343.946</c:v>
                </c:pt>
                <c:pt idx="1853">
                  <c:v>344.117</c:v>
                </c:pt>
                <c:pt idx="1854">
                  <c:v>344.2919999999986</c:v>
                </c:pt>
                <c:pt idx="1855">
                  <c:v>344.4619999999989</c:v>
                </c:pt>
                <c:pt idx="1856">
                  <c:v>344.6329999999999</c:v>
                </c:pt>
                <c:pt idx="1857">
                  <c:v>344.802</c:v>
                </c:pt>
                <c:pt idx="1858">
                  <c:v>344.968</c:v>
                </c:pt>
                <c:pt idx="1859">
                  <c:v>345.132</c:v>
                </c:pt>
                <c:pt idx="1860">
                  <c:v>345.2909999999989</c:v>
                </c:pt>
                <c:pt idx="1861">
                  <c:v>345.445</c:v>
                </c:pt>
                <c:pt idx="1862">
                  <c:v>345.6</c:v>
                </c:pt>
                <c:pt idx="1863">
                  <c:v>345.761</c:v>
                </c:pt>
                <c:pt idx="1864">
                  <c:v>345.9279999999989</c:v>
                </c:pt>
                <c:pt idx="1865">
                  <c:v>346.09</c:v>
                </c:pt>
                <c:pt idx="1866">
                  <c:v>346.253</c:v>
                </c:pt>
                <c:pt idx="1867">
                  <c:v>346.425</c:v>
                </c:pt>
                <c:pt idx="1868">
                  <c:v>346.5989999999989</c:v>
                </c:pt>
                <c:pt idx="1869">
                  <c:v>346.7749999999999</c:v>
                </c:pt>
                <c:pt idx="1870">
                  <c:v>346.952</c:v>
                </c:pt>
                <c:pt idx="1871">
                  <c:v>347.1309999999999</c:v>
                </c:pt>
                <c:pt idx="1872">
                  <c:v>347.308</c:v>
                </c:pt>
                <c:pt idx="1873">
                  <c:v>347.485</c:v>
                </c:pt>
                <c:pt idx="1874">
                  <c:v>347.656</c:v>
                </c:pt>
                <c:pt idx="1875">
                  <c:v>347.8229999999999</c:v>
                </c:pt>
                <c:pt idx="1876">
                  <c:v>347.992</c:v>
                </c:pt>
                <c:pt idx="1877">
                  <c:v>348.166</c:v>
                </c:pt>
                <c:pt idx="1878">
                  <c:v>348.3369999999989</c:v>
                </c:pt>
                <c:pt idx="1879">
                  <c:v>348.5009999999999</c:v>
                </c:pt>
                <c:pt idx="1880">
                  <c:v>348.659</c:v>
                </c:pt>
                <c:pt idx="1881">
                  <c:v>348.8179999999999</c:v>
                </c:pt>
                <c:pt idx="1882">
                  <c:v>348.98</c:v>
                </c:pt>
                <c:pt idx="1883">
                  <c:v>349.141</c:v>
                </c:pt>
                <c:pt idx="1884">
                  <c:v>349.2989999999986</c:v>
                </c:pt>
                <c:pt idx="1885">
                  <c:v>349.459</c:v>
                </c:pt>
                <c:pt idx="1886">
                  <c:v>349.624</c:v>
                </c:pt>
                <c:pt idx="1887">
                  <c:v>349.7909999999989</c:v>
                </c:pt>
                <c:pt idx="1888">
                  <c:v>349.9569999999989</c:v>
                </c:pt>
                <c:pt idx="1889">
                  <c:v>350.1259999999999</c:v>
                </c:pt>
                <c:pt idx="1890">
                  <c:v>350.2929999999996</c:v>
                </c:pt>
                <c:pt idx="1891">
                  <c:v>350.456</c:v>
                </c:pt>
                <c:pt idx="1892">
                  <c:v>350.623</c:v>
                </c:pt>
                <c:pt idx="1893">
                  <c:v>350.79</c:v>
                </c:pt>
                <c:pt idx="1894">
                  <c:v>350.959</c:v>
                </c:pt>
                <c:pt idx="1895">
                  <c:v>351.129</c:v>
                </c:pt>
                <c:pt idx="1896">
                  <c:v>351.3039999999999</c:v>
                </c:pt>
                <c:pt idx="1897">
                  <c:v>351.475</c:v>
                </c:pt>
                <c:pt idx="1898">
                  <c:v>351.64</c:v>
                </c:pt>
                <c:pt idx="1899">
                  <c:v>351.801</c:v>
                </c:pt>
                <c:pt idx="1900">
                  <c:v>351.958</c:v>
                </c:pt>
                <c:pt idx="1901">
                  <c:v>352.122</c:v>
                </c:pt>
                <c:pt idx="1902">
                  <c:v>352.2889999999989</c:v>
                </c:pt>
                <c:pt idx="1903">
                  <c:v>352.458</c:v>
                </c:pt>
                <c:pt idx="1904">
                  <c:v>352.628</c:v>
                </c:pt>
                <c:pt idx="1905">
                  <c:v>352.8</c:v>
                </c:pt>
                <c:pt idx="1906">
                  <c:v>352.973</c:v>
                </c:pt>
                <c:pt idx="1907">
                  <c:v>353.144</c:v>
                </c:pt>
                <c:pt idx="1908">
                  <c:v>353.312</c:v>
                </c:pt>
                <c:pt idx="1909">
                  <c:v>353.4839999999986</c:v>
                </c:pt>
                <c:pt idx="1910">
                  <c:v>353.654</c:v>
                </c:pt>
                <c:pt idx="1911">
                  <c:v>353.8229999999999</c:v>
                </c:pt>
                <c:pt idx="1912">
                  <c:v>353.992</c:v>
                </c:pt>
                <c:pt idx="1913">
                  <c:v>354.161</c:v>
                </c:pt>
                <c:pt idx="1914">
                  <c:v>354.326</c:v>
                </c:pt>
                <c:pt idx="1915">
                  <c:v>354.49</c:v>
                </c:pt>
                <c:pt idx="1916">
                  <c:v>354.664</c:v>
                </c:pt>
                <c:pt idx="1917">
                  <c:v>354.84</c:v>
                </c:pt>
                <c:pt idx="1918">
                  <c:v>355.02</c:v>
                </c:pt>
                <c:pt idx="1919">
                  <c:v>355.194</c:v>
                </c:pt>
                <c:pt idx="1920">
                  <c:v>355.366</c:v>
                </c:pt>
                <c:pt idx="1921">
                  <c:v>355.5269999999986</c:v>
                </c:pt>
                <c:pt idx="1922">
                  <c:v>355.683</c:v>
                </c:pt>
                <c:pt idx="1923">
                  <c:v>355.8469999999999</c:v>
                </c:pt>
                <c:pt idx="1924">
                  <c:v>356.014</c:v>
                </c:pt>
                <c:pt idx="1925">
                  <c:v>356.185</c:v>
                </c:pt>
                <c:pt idx="1926">
                  <c:v>356.362</c:v>
                </c:pt>
                <c:pt idx="1927">
                  <c:v>356.5369999999986</c:v>
                </c:pt>
                <c:pt idx="1928">
                  <c:v>356.699</c:v>
                </c:pt>
                <c:pt idx="1929">
                  <c:v>356.863</c:v>
                </c:pt>
                <c:pt idx="1930">
                  <c:v>357.028</c:v>
                </c:pt>
                <c:pt idx="1931">
                  <c:v>357.1979999999999</c:v>
                </c:pt>
                <c:pt idx="1932">
                  <c:v>357.363</c:v>
                </c:pt>
                <c:pt idx="1933">
                  <c:v>357.515</c:v>
                </c:pt>
                <c:pt idx="1934">
                  <c:v>357.6720000000001</c:v>
                </c:pt>
                <c:pt idx="1935">
                  <c:v>357.827</c:v>
                </c:pt>
                <c:pt idx="1936">
                  <c:v>357.9889999999986</c:v>
                </c:pt>
                <c:pt idx="1937">
                  <c:v>358.161</c:v>
                </c:pt>
                <c:pt idx="1938">
                  <c:v>358.3369999999989</c:v>
                </c:pt>
                <c:pt idx="1939">
                  <c:v>358.514</c:v>
                </c:pt>
                <c:pt idx="1940">
                  <c:v>358.69</c:v>
                </c:pt>
                <c:pt idx="1941">
                  <c:v>358.867</c:v>
                </c:pt>
                <c:pt idx="1942">
                  <c:v>359.0439999999999</c:v>
                </c:pt>
                <c:pt idx="1943">
                  <c:v>359.2169999999986</c:v>
                </c:pt>
                <c:pt idx="1944">
                  <c:v>359.3929999999999</c:v>
                </c:pt>
                <c:pt idx="1945">
                  <c:v>359.5729999999999</c:v>
                </c:pt>
                <c:pt idx="1946">
                  <c:v>359.747</c:v>
                </c:pt>
                <c:pt idx="1947">
                  <c:v>359.913</c:v>
                </c:pt>
                <c:pt idx="1948">
                  <c:v>360.083</c:v>
                </c:pt>
                <c:pt idx="1949">
                  <c:v>360.249</c:v>
                </c:pt>
                <c:pt idx="1950">
                  <c:v>360.4139999999989</c:v>
                </c:pt>
                <c:pt idx="1951">
                  <c:v>360.577</c:v>
                </c:pt>
                <c:pt idx="1952">
                  <c:v>360.7440000000001</c:v>
                </c:pt>
                <c:pt idx="1953">
                  <c:v>360.908</c:v>
                </c:pt>
                <c:pt idx="1954">
                  <c:v>361.065</c:v>
                </c:pt>
                <c:pt idx="1955">
                  <c:v>361.225</c:v>
                </c:pt>
                <c:pt idx="1956">
                  <c:v>361.3879999999999</c:v>
                </c:pt>
                <c:pt idx="1957">
                  <c:v>361.55</c:v>
                </c:pt>
                <c:pt idx="1958">
                  <c:v>361.716</c:v>
                </c:pt>
                <c:pt idx="1959">
                  <c:v>361.886</c:v>
                </c:pt>
                <c:pt idx="1960">
                  <c:v>362.0559999999999</c:v>
                </c:pt>
                <c:pt idx="1961">
                  <c:v>362.2169999999986</c:v>
                </c:pt>
                <c:pt idx="1962">
                  <c:v>362.3639999999999</c:v>
                </c:pt>
                <c:pt idx="1963">
                  <c:v>362.514</c:v>
                </c:pt>
                <c:pt idx="1964">
                  <c:v>362.67</c:v>
                </c:pt>
                <c:pt idx="1965">
                  <c:v>362.8319999999989</c:v>
                </c:pt>
                <c:pt idx="1966">
                  <c:v>363.003</c:v>
                </c:pt>
                <c:pt idx="1967">
                  <c:v>363.173</c:v>
                </c:pt>
                <c:pt idx="1968">
                  <c:v>363.3450000000001</c:v>
                </c:pt>
                <c:pt idx="1969">
                  <c:v>363.515</c:v>
                </c:pt>
                <c:pt idx="1970">
                  <c:v>363.68</c:v>
                </c:pt>
                <c:pt idx="1971">
                  <c:v>363.85</c:v>
                </c:pt>
                <c:pt idx="1972">
                  <c:v>364.0249999999999</c:v>
                </c:pt>
                <c:pt idx="1973">
                  <c:v>364.204</c:v>
                </c:pt>
                <c:pt idx="1974">
                  <c:v>364.378</c:v>
                </c:pt>
                <c:pt idx="1975">
                  <c:v>364.5539999999999</c:v>
                </c:pt>
                <c:pt idx="1976">
                  <c:v>364.73</c:v>
                </c:pt>
                <c:pt idx="1977">
                  <c:v>364.9019999999986</c:v>
                </c:pt>
                <c:pt idx="1978">
                  <c:v>365.06</c:v>
                </c:pt>
                <c:pt idx="1979">
                  <c:v>365.2209999999992</c:v>
                </c:pt>
                <c:pt idx="1980">
                  <c:v>365.3879999999999</c:v>
                </c:pt>
                <c:pt idx="1981">
                  <c:v>365.5609999999999</c:v>
                </c:pt>
                <c:pt idx="1982">
                  <c:v>365.725</c:v>
                </c:pt>
                <c:pt idx="1983">
                  <c:v>365.892</c:v>
                </c:pt>
                <c:pt idx="1984">
                  <c:v>366.0609999999999</c:v>
                </c:pt>
                <c:pt idx="1985">
                  <c:v>366.23</c:v>
                </c:pt>
                <c:pt idx="1986">
                  <c:v>366.3929999999999</c:v>
                </c:pt>
                <c:pt idx="1987">
                  <c:v>366.555</c:v>
                </c:pt>
                <c:pt idx="1988">
                  <c:v>366.7219999999986</c:v>
                </c:pt>
                <c:pt idx="1989">
                  <c:v>366.8949999999999</c:v>
                </c:pt>
                <c:pt idx="1990">
                  <c:v>367.074</c:v>
                </c:pt>
                <c:pt idx="1991">
                  <c:v>367.252</c:v>
                </c:pt>
                <c:pt idx="1992">
                  <c:v>367.4209999999989</c:v>
                </c:pt>
                <c:pt idx="1993">
                  <c:v>367.5779999999999</c:v>
                </c:pt>
                <c:pt idx="1994">
                  <c:v>367.7379999999989</c:v>
                </c:pt>
                <c:pt idx="1995">
                  <c:v>367.9059999999996</c:v>
                </c:pt>
                <c:pt idx="1996">
                  <c:v>368.0729999999999</c:v>
                </c:pt>
                <c:pt idx="1997">
                  <c:v>368.2359999999989</c:v>
                </c:pt>
                <c:pt idx="1998">
                  <c:v>368.401</c:v>
                </c:pt>
                <c:pt idx="1999">
                  <c:v>368.572</c:v>
                </c:pt>
                <c:pt idx="2000">
                  <c:v>368.745</c:v>
                </c:pt>
                <c:pt idx="2001">
                  <c:v>368.9169999999986</c:v>
                </c:pt>
                <c:pt idx="2002">
                  <c:v>369.0849999999999</c:v>
                </c:pt>
                <c:pt idx="2003">
                  <c:v>369.25</c:v>
                </c:pt>
                <c:pt idx="2004">
                  <c:v>369.408</c:v>
                </c:pt>
                <c:pt idx="2005">
                  <c:v>369.5609999999999</c:v>
                </c:pt>
                <c:pt idx="2006">
                  <c:v>369.716</c:v>
                </c:pt>
                <c:pt idx="2007">
                  <c:v>369.88</c:v>
                </c:pt>
                <c:pt idx="2008">
                  <c:v>370.041</c:v>
                </c:pt>
                <c:pt idx="2009">
                  <c:v>370.208</c:v>
                </c:pt>
                <c:pt idx="2010">
                  <c:v>370.382</c:v>
                </c:pt>
                <c:pt idx="2011">
                  <c:v>370.558</c:v>
                </c:pt>
                <c:pt idx="2012">
                  <c:v>370.7359999999989</c:v>
                </c:pt>
                <c:pt idx="2013">
                  <c:v>370.91</c:v>
                </c:pt>
                <c:pt idx="2014">
                  <c:v>371.0869999999989</c:v>
                </c:pt>
                <c:pt idx="2015">
                  <c:v>371.2629999999999</c:v>
                </c:pt>
                <c:pt idx="2016">
                  <c:v>371.434</c:v>
                </c:pt>
                <c:pt idx="2017">
                  <c:v>371.6089999999999</c:v>
                </c:pt>
                <c:pt idx="2018">
                  <c:v>371.7839999999989</c:v>
                </c:pt>
                <c:pt idx="2019">
                  <c:v>371.9569999999989</c:v>
                </c:pt>
                <c:pt idx="2020">
                  <c:v>372.1329999999999</c:v>
                </c:pt>
                <c:pt idx="2021">
                  <c:v>372.31</c:v>
                </c:pt>
                <c:pt idx="2022">
                  <c:v>372.4859999999989</c:v>
                </c:pt>
                <c:pt idx="2023">
                  <c:v>372.661</c:v>
                </c:pt>
                <c:pt idx="2024">
                  <c:v>372.836</c:v>
                </c:pt>
                <c:pt idx="2025">
                  <c:v>372.9979999999989</c:v>
                </c:pt>
                <c:pt idx="2026">
                  <c:v>373.1669999999999</c:v>
                </c:pt>
                <c:pt idx="2027">
                  <c:v>373.343</c:v>
                </c:pt>
                <c:pt idx="2028">
                  <c:v>373.519</c:v>
                </c:pt>
                <c:pt idx="2029">
                  <c:v>373.688</c:v>
                </c:pt>
                <c:pt idx="2030">
                  <c:v>373.8539999999999</c:v>
                </c:pt>
                <c:pt idx="2031">
                  <c:v>374.0219999999989</c:v>
                </c:pt>
                <c:pt idx="2032">
                  <c:v>374.194</c:v>
                </c:pt>
                <c:pt idx="2033">
                  <c:v>374.362</c:v>
                </c:pt>
                <c:pt idx="2034">
                  <c:v>374.5219999999989</c:v>
                </c:pt>
                <c:pt idx="2035">
                  <c:v>374.683</c:v>
                </c:pt>
                <c:pt idx="2036">
                  <c:v>374.8419999999999</c:v>
                </c:pt>
                <c:pt idx="2037">
                  <c:v>375.004</c:v>
                </c:pt>
                <c:pt idx="2038">
                  <c:v>375.176</c:v>
                </c:pt>
                <c:pt idx="2039">
                  <c:v>375.3419999999999</c:v>
                </c:pt>
                <c:pt idx="2040">
                  <c:v>375.505</c:v>
                </c:pt>
                <c:pt idx="2041">
                  <c:v>375.676</c:v>
                </c:pt>
                <c:pt idx="2042">
                  <c:v>375.853</c:v>
                </c:pt>
                <c:pt idx="2043">
                  <c:v>376.0319999999986</c:v>
                </c:pt>
                <c:pt idx="2044">
                  <c:v>376.202</c:v>
                </c:pt>
                <c:pt idx="2045">
                  <c:v>376.358</c:v>
                </c:pt>
                <c:pt idx="2046">
                  <c:v>376.512</c:v>
                </c:pt>
                <c:pt idx="2047">
                  <c:v>376.673</c:v>
                </c:pt>
                <c:pt idx="2048">
                  <c:v>376.834</c:v>
                </c:pt>
                <c:pt idx="2049">
                  <c:v>376.997</c:v>
                </c:pt>
                <c:pt idx="2050">
                  <c:v>377.164</c:v>
                </c:pt>
                <c:pt idx="2051">
                  <c:v>377.331</c:v>
                </c:pt>
                <c:pt idx="2052">
                  <c:v>377.499</c:v>
                </c:pt>
                <c:pt idx="2053">
                  <c:v>377.658</c:v>
                </c:pt>
                <c:pt idx="2054">
                  <c:v>377.8039999999999</c:v>
                </c:pt>
                <c:pt idx="2055">
                  <c:v>377.9569999999989</c:v>
                </c:pt>
                <c:pt idx="2056">
                  <c:v>378.12</c:v>
                </c:pt>
                <c:pt idx="2057">
                  <c:v>378.2859999999989</c:v>
                </c:pt>
                <c:pt idx="2058">
                  <c:v>378.461</c:v>
                </c:pt>
                <c:pt idx="2059">
                  <c:v>378.636</c:v>
                </c:pt>
                <c:pt idx="2060">
                  <c:v>378.8090000000001</c:v>
                </c:pt>
                <c:pt idx="2061">
                  <c:v>378.9829999999992</c:v>
                </c:pt>
                <c:pt idx="2062">
                  <c:v>379.153</c:v>
                </c:pt>
                <c:pt idx="2063">
                  <c:v>379.3159999999999</c:v>
                </c:pt>
                <c:pt idx="2064">
                  <c:v>379.4879999999989</c:v>
                </c:pt>
                <c:pt idx="2065">
                  <c:v>379.6689999999999</c:v>
                </c:pt>
                <c:pt idx="2066">
                  <c:v>379.8469999999999</c:v>
                </c:pt>
                <c:pt idx="2067">
                  <c:v>380.015</c:v>
                </c:pt>
                <c:pt idx="2068">
                  <c:v>380.1809999999999</c:v>
                </c:pt>
                <c:pt idx="2069">
                  <c:v>380.3469999999999</c:v>
                </c:pt>
                <c:pt idx="2070">
                  <c:v>380.515</c:v>
                </c:pt>
                <c:pt idx="2071">
                  <c:v>380.678</c:v>
                </c:pt>
                <c:pt idx="2072">
                  <c:v>380.8319999999989</c:v>
                </c:pt>
                <c:pt idx="2073">
                  <c:v>380.973</c:v>
                </c:pt>
                <c:pt idx="2074">
                  <c:v>381.113</c:v>
                </c:pt>
                <c:pt idx="2075">
                  <c:v>381.265</c:v>
                </c:pt>
                <c:pt idx="2076">
                  <c:v>381.41</c:v>
                </c:pt>
                <c:pt idx="2077">
                  <c:v>381.551</c:v>
                </c:pt>
                <c:pt idx="2078">
                  <c:v>381.7049999999999</c:v>
                </c:pt>
                <c:pt idx="2079">
                  <c:v>381.865</c:v>
                </c:pt>
                <c:pt idx="2080">
                  <c:v>382.017</c:v>
                </c:pt>
                <c:pt idx="2081">
                  <c:v>382.175</c:v>
                </c:pt>
                <c:pt idx="2082">
                  <c:v>382.343</c:v>
                </c:pt>
                <c:pt idx="2083">
                  <c:v>382.5179999999999</c:v>
                </c:pt>
                <c:pt idx="2084">
                  <c:v>382.688</c:v>
                </c:pt>
                <c:pt idx="2085">
                  <c:v>382.866</c:v>
                </c:pt>
                <c:pt idx="2086">
                  <c:v>383.0489999999999</c:v>
                </c:pt>
                <c:pt idx="2087">
                  <c:v>383.2359999999989</c:v>
                </c:pt>
                <c:pt idx="2088">
                  <c:v>383.422</c:v>
                </c:pt>
                <c:pt idx="2089">
                  <c:v>383.5989999999989</c:v>
                </c:pt>
                <c:pt idx="2090">
                  <c:v>383.77</c:v>
                </c:pt>
                <c:pt idx="2091">
                  <c:v>383.9239999999986</c:v>
                </c:pt>
                <c:pt idx="2092">
                  <c:v>384.084</c:v>
                </c:pt>
                <c:pt idx="2093">
                  <c:v>384.257</c:v>
                </c:pt>
                <c:pt idx="2094">
                  <c:v>384.4309999999986</c:v>
                </c:pt>
                <c:pt idx="2095">
                  <c:v>384.611</c:v>
                </c:pt>
                <c:pt idx="2096">
                  <c:v>384.7889999999989</c:v>
                </c:pt>
                <c:pt idx="2097">
                  <c:v>384.968</c:v>
                </c:pt>
                <c:pt idx="2098">
                  <c:v>385.15</c:v>
                </c:pt>
                <c:pt idx="2099">
                  <c:v>385.3319999999989</c:v>
                </c:pt>
                <c:pt idx="2100">
                  <c:v>385.509</c:v>
                </c:pt>
                <c:pt idx="2101">
                  <c:v>385.678</c:v>
                </c:pt>
                <c:pt idx="2102">
                  <c:v>385.848</c:v>
                </c:pt>
                <c:pt idx="2103">
                  <c:v>386.0249999999999</c:v>
                </c:pt>
                <c:pt idx="2104">
                  <c:v>386.2029999999999</c:v>
                </c:pt>
                <c:pt idx="2105">
                  <c:v>386.377</c:v>
                </c:pt>
                <c:pt idx="2106">
                  <c:v>386.548</c:v>
                </c:pt>
                <c:pt idx="2107">
                  <c:v>386.714</c:v>
                </c:pt>
                <c:pt idx="2108">
                  <c:v>386.88</c:v>
                </c:pt>
                <c:pt idx="2109">
                  <c:v>387.0470000000001</c:v>
                </c:pt>
                <c:pt idx="2110">
                  <c:v>387.214</c:v>
                </c:pt>
                <c:pt idx="2111">
                  <c:v>387.3829999999999</c:v>
                </c:pt>
                <c:pt idx="2112">
                  <c:v>387.551</c:v>
                </c:pt>
                <c:pt idx="2113">
                  <c:v>387.716</c:v>
                </c:pt>
                <c:pt idx="2114">
                  <c:v>387.882</c:v>
                </c:pt>
                <c:pt idx="2115">
                  <c:v>388.048</c:v>
                </c:pt>
                <c:pt idx="2116">
                  <c:v>388.211</c:v>
                </c:pt>
                <c:pt idx="2117">
                  <c:v>388.36</c:v>
                </c:pt>
                <c:pt idx="2118">
                  <c:v>388.5009999999999</c:v>
                </c:pt>
                <c:pt idx="2119">
                  <c:v>388.653</c:v>
                </c:pt>
                <c:pt idx="2120">
                  <c:v>388.81</c:v>
                </c:pt>
                <c:pt idx="2121">
                  <c:v>388.973</c:v>
                </c:pt>
                <c:pt idx="2122">
                  <c:v>389.127</c:v>
                </c:pt>
                <c:pt idx="2123">
                  <c:v>389.28</c:v>
                </c:pt>
                <c:pt idx="2124">
                  <c:v>389.427</c:v>
                </c:pt>
                <c:pt idx="2125">
                  <c:v>389.586</c:v>
                </c:pt>
                <c:pt idx="2126">
                  <c:v>389.754</c:v>
                </c:pt>
                <c:pt idx="2127">
                  <c:v>389.932</c:v>
                </c:pt>
                <c:pt idx="2128">
                  <c:v>390.1089999999999</c:v>
                </c:pt>
                <c:pt idx="2129">
                  <c:v>390.2819999999986</c:v>
                </c:pt>
                <c:pt idx="2130">
                  <c:v>390.4529999999999</c:v>
                </c:pt>
                <c:pt idx="2131">
                  <c:v>390.6259999999999</c:v>
                </c:pt>
                <c:pt idx="2132">
                  <c:v>390.7919999999986</c:v>
                </c:pt>
                <c:pt idx="2133">
                  <c:v>390.95</c:v>
                </c:pt>
                <c:pt idx="2134">
                  <c:v>391.1139999999999</c:v>
                </c:pt>
                <c:pt idx="2135">
                  <c:v>391.288</c:v>
                </c:pt>
                <c:pt idx="2136">
                  <c:v>391.4709999999992</c:v>
                </c:pt>
                <c:pt idx="2137">
                  <c:v>391.648</c:v>
                </c:pt>
                <c:pt idx="2138">
                  <c:v>391.822</c:v>
                </c:pt>
                <c:pt idx="2139">
                  <c:v>391.9929999999989</c:v>
                </c:pt>
                <c:pt idx="2140">
                  <c:v>392.163</c:v>
                </c:pt>
                <c:pt idx="2141">
                  <c:v>392.331</c:v>
                </c:pt>
                <c:pt idx="2142">
                  <c:v>392.5</c:v>
                </c:pt>
                <c:pt idx="2143">
                  <c:v>392.673</c:v>
                </c:pt>
                <c:pt idx="2144">
                  <c:v>392.8450000000001</c:v>
                </c:pt>
                <c:pt idx="2145">
                  <c:v>393.011</c:v>
                </c:pt>
                <c:pt idx="2146">
                  <c:v>393.175</c:v>
                </c:pt>
                <c:pt idx="2147">
                  <c:v>393.343</c:v>
                </c:pt>
                <c:pt idx="2148">
                  <c:v>393.512</c:v>
                </c:pt>
                <c:pt idx="2149">
                  <c:v>393.6840000000001</c:v>
                </c:pt>
                <c:pt idx="2150">
                  <c:v>393.8469999999999</c:v>
                </c:pt>
                <c:pt idx="2151">
                  <c:v>394.0079999999999</c:v>
                </c:pt>
                <c:pt idx="2152">
                  <c:v>394.17</c:v>
                </c:pt>
                <c:pt idx="2153">
                  <c:v>394.334</c:v>
                </c:pt>
                <c:pt idx="2154">
                  <c:v>394.5059999999999</c:v>
                </c:pt>
                <c:pt idx="2155">
                  <c:v>394.6809999999999</c:v>
                </c:pt>
                <c:pt idx="2156">
                  <c:v>394.855</c:v>
                </c:pt>
                <c:pt idx="2157">
                  <c:v>395.028</c:v>
                </c:pt>
                <c:pt idx="2158">
                  <c:v>395.1979999999999</c:v>
                </c:pt>
                <c:pt idx="2159">
                  <c:v>395.365</c:v>
                </c:pt>
                <c:pt idx="2160">
                  <c:v>395.535</c:v>
                </c:pt>
                <c:pt idx="2161">
                  <c:v>395.709</c:v>
                </c:pt>
                <c:pt idx="2162">
                  <c:v>395.879</c:v>
                </c:pt>
                <c:pt idx="2163">
                  <c:v>396.05</c:v>
                </c:pt>
                <c:pt idx="2164">
                  <c:v>396.2219999999986</c:v>
                </c:pt>
                <c:pt idx="2165">
                  <c:v>396.3929999999999</c:v>
                </c:pt>
                <c:pt idx="2166">
                  <c:v>396.564</c:v>
                </c:pt>
                <c:pt idx="2167">
                  <c:v>396.7339999999986</c:v>
                </c:pt>
                <c:pt idx="2168">
                  <c:v>396.908</c:v>
                </c:pt>
                <c:pt idx="2169">
                  <c:v>397.0779999999999</c:v>
                </c:pt>
                <c:pt idx="2170">
                  <c:v>397.245</c:v>
                </c:pt>
                <c:pt idx="2171">
                  <c:v>397.4019999999986</c:v>
                </c:pt>
                <c:pt idx="2172">
                  <c:v>397.56</c:v>
                </c:pt>
                <c:pt idx="2173">
                  <c:v>397.725</c:v>
                </c:pt>
                <c:pt idx="2174">
                  <c:v>397.894</c:v>
                </c:pt>
                <c:pt idx="2175">
                  <c:v>398.064</c:v>
                </c:pt>
                <c:pt idx="2176">
                  <c:v>398.2389999999986</c:v>
                </c:pt>
                <c:pt idx="2177">
                  <c:v>398.4179999999996</c:v>
                </c:pt>
                <c:pt idx="2178">
                  <c:v>398.598</c:v>
                </c:pt>
                <c:pt idx="2179">
                  <c:v>398.7749999999999</c:v>
                </c:pt>
                <c:pt idx="2180">
                  <c:v>398.9479999999999</c:v>
                </c:pt>
                <c:pt idx="2181">
                  <c:v>399.118</c:v>
                </c:pt>
                <c:pt idx="2182">
                  <c:v>399.2819999999986</c:v>
                </c:pt>
                <c:pt idx="2183">
                  <c:v>399.444</c:v>
                </c:pt>
                <c:pt idx="2184">
                  <c:v>399.6039999999999</c:v>
                </c:pt>
                <c:pt idx="2185">
                  <c:v>399.765</c:v>
                </c:pt>
                <c:pt idx="2186">
                  <c:v>399.9229999999989</c:v>
                </c:pt>
                <c:pt idx="2187">
                  <c:v>400.0849999999999</c:v>
                </c:pt>
                <c:pt idx="2188">
                  <c:v>400.252</c:v>
                </c:pt>
                <c:pt idx="2189">
                  <c:v>400.4069999999986</c:v>
                </c:pt>
                <c:pt idx="2190">
                  <c:v>400.557</c:v>
                </c:pt>
                <c:pt idx="2191">
                  <c:v>400.711</c:v>
                </c:pt>
                <c:pt idx="2192">
                  <c:v>400.863</c:v>
                </c:pt>
                <c:pt idx="2193">
                  <c:v>401.014</c:v>
                </c:pt>
                <c:pt idx="2194">
                  <c:v>401.161</c:v>
                </c:pt>
                <c:pt idx="2195">
                  <c:v>401.308</c:v>
                </c:pt>
                <c:pt idx="2196">
                  <c:v>401.459</c:v>
                </c:pt>
                <c:pt idx="2197">
                  <c:v>401.617</c:v>
                </c:pt>
                <c:pt idx="2198">
                  <c:v>401.7839999999989</c:v>
                </c:pt>
                <c:pt idx="2199">
                  <c:v>401.954</c:v>
                </c:pt>
                <c:pt idx="2200">
                  <c:v>402.125</c:v>
                </c:pt>
                <c:pt idx="2201">
                  <c:v>402.2929999999996</c:v>
                </c:pt>
                <c:pt idx="2202">
                  <c:v>402.458</c:v>
                </c:pt>
                <c:pt idx="2203">
                  <c:v>402.6039999999999</c:v>
                </c:pt>
                <c:pt idx="2204">
                  <c:v>402.75</c:v>
                </c:pt>
                <c:pt idx="2205">
                  <c:v>402.9</c:v>
                </c:pt>
                <c:pt idx="2206">
                  <c:v>403.057</c:v>
                </c:pt>
                <c:pt idx="2207">
                  <c:v>403.218</c:v>
                </c:pt>
                <c:pt idx="2208">
                  <c:v>403.386</c:v>
                </c:pt>
                <c:pt idx="2209">
                  <c:v>403.553</c:v>
                </c:pt>
                <c:pt idx="2210">
                  <c:v>403.7269999999986</c:v>
                </c:pt>
                <c:pt idx="2211">
                  <c:v>403.896</c:v>
                </c:pt>
                <c:pt idx="2212">
                  <c:v>404.065</c:v>
                </c:pt>
                <c:pt idx="2213">
                  <c:v>404.235</c:v>
                </c:pt>
                <c:pt idx="2214">
                  <c:v>404.396</c:v>
                </c:pt>
                <c:pt idx="2215">
                  <c:v>404.5609999999999</c:v>
                </c:pt>
                <c:pt idx="2216">
                  <c:v>404.7289999999986</c:v>
                </c:pt>
                <c:pt idx="2217">
                  <c:v>404.8949999999999</c:v>
                </c:pt>
                <c:pt idx="2218">
                  <c:v>405.055</c:v>
                </c:pt>
                <c:pt idx="2219">
                  <c:v>405.2189999999989</c:v>
                </c:pt>
                <c:pt idx="2220">
                  <c:v>405.3829999999999</c:v>
                </c:pt>
                <c:pt idx="2221">
                  <c:v>405.553</c:v>
                </c:pt>
                <c:pt idx="2222">
                  <c:v>405.725</c:v>
                </c:pt>
                <c:pt idx="2223">
                  <c:v>405.894</c:v>
                </c:pt>
                <c:pt idx="2224">
                  <c:v>406.069</c:v>
                </c:pt>
                <c:pt idx="2225">
                  <c:v>406.247</c:v>
                </c:pt>
                <c:pt idx="2226">
                  <c:v>406.4179999999996</c:v>
                </c:pt>
                <c:pt idx="2227">
                  <c:v>406.58</c:v>
                </c:pt>
                <c:pt idx="2228">
                  <c:v>406.75</c:v>
                </c:pt>
                <c:pt idx="2229">
                  <c:v>406.922</c:v>
                </c:pt>
                <c:pt idx="2230">
                  <c:v>407.0939999999989</c:v>
                </c:pt>
                <c:pt idx="2231">
                  <c:v>407.271</c:v>
                </c:pt>
                <c:pt idx="2232">
                  <c:v>407.449</c:v>
                </c:pt>
                <c:pt idx="2233">
                  <c:v>407.6209999999999</c:v>
                </c:pt>
                <c:pt idx="2234">
                  <c:v>407.7869999999986</c:v>
                </c:pt>
                <c:pt idx="2235">
                  <c:v>407.946</c:v>
                </c:pt>
                <c:pt idx="2236">
                  <c:v>408.113</c:v>
                </c:pt>
                <c:pt idx="2237">
                  <c:v>408.2859999999989</c:v>
                </c:pt>
                <c:pt idx="2238">
                  <c:v>408.46</c:v>
                </c:pt>
                <c:pt idx="2239">
                  <c:v>408.629</c:v>
                </c:pt>
                <c:pt idx="2240">
                  <c:v>408.802</c:v>
                </c:pt>
                <c:pt idx="2241">
                  <c:v>408.982</c:v>
                </c:pt>
                <c:pt idx="2242">
                  <c:v>409.155</c:v>
                </c:pt>
                <c:pt idx="2243">
                  <c:v>409.326</c:v>
                </c:pt>
                <c:pt idx="2244">
                  <c:v>409.499</c:v>
                </c:pt>
                <c:pt idx="2245">
                  <c:v>409.67</c:v>
                </c:pt>
                <c:pt idx="2246">
                  <c:v>409.839</c:v>
                </c:pt>
                <c:pt idx="2247">
                  <c:v>410.014</c:v>
                </c:pt>
                <c:pt idx="2248">
                  <c:v>410.1909999999999</c:v>
                </c:pt>
                <c:pt idx="2249">
                  <c:v>410.368</c:v>
                </c:pt>
                <c:pt idx="2250">
                  <c:v>410.5389999999989</c:v>
                </c:pt>
                <c:pt idx="2251">
                  <c:v>410.7069999999989</c:v>
                </c:pt>
                <c:pt idx="2252">
                  <c:v>410.8759999999999</c:v>
                </c:pt>
                <c:pt idx="2253">
                  <c:v>411.0439999999999</c:v>
                </c:pt>
                <c:pt idx="2254">
                  <c:v>411.208</c:v>
                </c:pt>
                <c:pt idx="2255">
                  <c:v>411.3690000000001</c:v>
                </c:pt>
                <c:pt idx="2256">
                  <c:v>411.529</c:v>
                </c:pt>
                <c:pt idx="2257">
                  <c:v>411.6929999999999</c:v>
                </c:pt>
                <c:pt idx="2258">
                  <c:v>411.858</c:v>
                </c:pt>
                <c:pt idx="2259">
                  <c:v>412.024</c:v>
                </c:pt>
                <c:pt idx="2260">
                  <c:v>412.195</c:v>
                </c:pt>
                <c:pt idx="2261">
                  <c:v>412.365</c:v>
                </c:pt>
                <c:pt idx="2262">
                  <c:v>412.5339999999989</c:v>
                </c:pt>
                <c:pt idx="2263">
                  <c:v>412.694</c:v>
                </c:pt>
                <c:pt idx="2264">
                  <c:v>412.862</c:v>
                </c:pt>
                <c:pt idx="2265">
                  <c:v>413.029</c:v>
                </c:pt>
                <c:pt idx="2266">
                  <c:v>413.196</c:v>
                </c:pt>
                <c:pt idx="2267">
                  <c:v>413.368</c:v>
                </c:pt>
                <c:pt idx="2268">
                  <c:v>413.5389999999989</c:v>
                </c:pt>
                <c:pt idx="2269">
                  <c:v>413.706</c:v>
                </c:pt>
                <c:pt idx="2270">
                  <c:v>413.875</c:v>
                </c:pt>
                <c:pt idx="2271">
                  <c:v>414.0419999999999</c:v>
                </c:pt>
                <c:pt idx="2272">
                  <c:v>414.214</c:v>
                </c:pt>
                <c:pt idx="2273">
                  <c:v>414.387</c:v>
                </c:pt>
                <c:pt idx="2274">
                  <c:v>414.5489999999999</c:v>
                </c:pt>
                <c:pt idx="2275">
                  <c:v>414.697</c:v>
                </c:pt>
                <c:pt idx="2276">
                  <c:v>414.838</c:v>
                </c:pt>
                <c:pt idx="2277">
                  <c:v>414.987</c:v>
                </c:pt>
                <c:pt idx="2278">
                  <c:v>415.137</c:v>
                </c:pt>
                <c:pt idx="2279">
                  <c:v>415.3</c:v>
                </c:pt>
                <c:pt idx="2280">
                  <c:v>415.4669999999986</c:v>
                </c:pt>
                <c:pt idx="2281">
                  <c:v>415.625</c:v>
                </c:pt>
                <c:pt idx="2282">
                  <c:v>415.7889999999989</c:v>
                </c:pt>
                <c:pt idx="2283">
                  <c:v>415.949</c:v>
                </c:pt>
                <c:pt idx="2284">
                  <c:v>416.1089999999999</c:v>
                </c:pt>
                <c:pt idx="2285">
                  <c:v>416.2809999999996</c:v>
                </c:pt>
                <c:pt idx="2286">
                  <c:v>416.456</c:v>
                </c:pt>
                <c:pt idx="2287">
                  <c:v>416.627</c:v>
                </c:pt>
                <c:pt idx="2288">
                  <c:v>416.8</c:v>
                </c:pt>
                <c:pt idx="2289">
                  <c:v>416.978</c:v>
                </c:pt>
                <c:pt idx="2290">
                  <c:v>417.158</c:v>
                </c:pt>
                <c:pt idx="2291">
                  <c:v>417.338</c:v>
                </c:pt>
                <c:pt idx="2292">
                  <c:v>417.52</c:v>
                </c:pt>
                <c:pt idx="2293">
                  <c:v>417.704</c:v>
                </c:pt>
                <c:pt idx="2294">
                  <c:v>417.877</c:v>
                </c:pt>
                <c:pt idx="2295">
                  <c:v>418.05</c:v>
                </c:pt>
                <c:pt idx="2296">
                  <c:v>418.2169999999986</c:v>
                </c:pt>
                <c:pt idx="2297">
                  <c:v>418.38</c:v>
                </c:pt>
                <c:pt idx="2298">
                  <c:v>418.543</c:v>
                </c:pt>
                <c:pt idx="2299">
                  <c:v>418.7</c:v>
                </c:pt>
                <c:pt idx="2300">
                  <c:v>418.856</c:v>
                </c:pt>
                <c:pt idx="2301">
                  <c:v>419.017</c:v>
                </c:pt>
                <c:pt idx="2302">
                  <c:v>419.183</c:v>
                </c:pt>
                <c:pt idx="2303">
                  <c:v>419.356</c:v>
                </c:pt>
                <c:pt idx="2304">
                  <c:v>419.526</c:v>
                </c:pt>
                <c:pt idx="2305">
                  <c:v>419.696</c:v>
                </c:pt>
                <c:pt idx="2306">
                  <c:v>419.8690000000001</c:v>
                </c:pt>
                <c:pt idx="2307">
                  <c:v>420.0389999999989</c:v>
                </c:pt>
                <c:pt idx="2308">
                  <c:v>420.204</c:v>
                </c:pt>
                <c:pt idx="2309">
                  <c:v>420.367</c:v>
                </c:pt>
                <c:pt idx="2310">
                  <c:v>420.5339999999989</c:v>
                </c:pt>
                <c:pt idx="2311">
                  <c:v>420.7029999999999</c:v>
                </c:pt>
                <c:pt idx="2312">
                  <c:v>420.868</c:v>
                </c:pt>
                <c:pt idx="2313">
                  <c:v>421.0319999999986</c:v>
                </c:pt>
                <c:pt idx="2314">
                  <c:v>421.204</c:v>
                </c:pt>
                <c:pt idx="2315">
                  <c:v>421.372</c:v>
                </c:pt>
                <c:pt idx="2316">
                  <c:v>421.5419999999999</c:v>
                </c:pt>
                <c:pt idx="2317">
                  <c:v>421.718</c:v>
                </c:pt>
                <c:pt idx="2318">
                  <c:v>421.8969999999989</c:v>
                </c:pt>
                <c:pt idx="2319">
                  <c:v>422.0679999999999</c:v>
                </c:pt>
                <c:pt idx="2320">
                  <c:v>422.24</c:v>
                </c:pt>
                <c:pt idx="2321">
                  <c:v>422.4019999999986</c:v>
                </c:pt>
                <c:pt idx="2322">
                  <c:v>422.567</c:v>
                </c:pt>
                <c:pt idx="2323">
                  <c:v>422.7289999999986</c:v>
                </c:pt>
                <c:pt idx="2324">
                  <c:v>422.882</c:v>
                </c:pt>
                <c:pt idx="2325">
                  <c:v>423.038</c:v>
                </c:pt>
                <c:pt idx="2326">
                  <c:v>423.199</c:v>
                </c:pt>
                <c:pt idx="2327">
                  <c:v>423.362</c:v>
                </c:pt>
                <c:pt idx="2328">
                  <c:v>423.521</c:v>
                </c:pt>
                <c:pt idx="2329">
                  <c:v>423.6809999999999</c:v>
                </c:pt>
                <c:pt idx="2330">
                  <c:v>423.834</c:v>
                </c:pt>
                <c:pt idx="2331">
                  <c:v>423.9789999999986</c:v>
                </c:pt>
                <c:pt idx="2332">
                  <c:v>424.13</c:v>
                </c:pt>
                <c:pt idx="2333">
                  <c:v>424.2889999999989</c:v>
                </c:pt>
                <c:pt idx="2334">
                  <c:v>424.452</c:v>
                </c:pt>
                <c:pt idx="2335">
                  <c:v>424.617</c:v>
                </c:pt>
                <c:pt idx="2336">
                  <c:v>424.788</c:v>
                </c:pt>
                <c:pt idx="2337">
                  <c:v>424.966</c:v>
                </c:pt>
                <c:pt idx="2338">
                  <c:v>425.141</c:v>
                </c:pt>
                <c:pt idx="2339">
                  <c:v>425.3109999999999</c:v>
                </c:pt>
                <c:pt idx="2340">
                  <c:v>425.48</c:v>
                </c:pt>
                <c:pt idx="2341">
                  <c:v>425.654</c:v>
                </c:pt>
                <c:pt idx="2342">
                  <c:v>425.834</c:v>
                </c:pt>
                <c:pt idx="2343">
                  <c:v>426.014</c:v>
                </c:pt>
                <c:pt idx="2344">
                  <c:v>426.1909999999999</c:v>
                </c:pt>
                <c:pt idx="2345">
                  <c:v>426.3639999999999</c:v>
                </c:pt>
                <c:pt idx="2346">
                  <c:v>426.541</c:v>
                </c:pt>
                <c:pt idx="2347">
                  <c:v>426.72</c:v>
                </c:pt>
                <c:pt idx="2348">
                  <c:v>426.89</c:v>
                </c:pt>
                <c:pt idx="2349">
                  <c:v>427.05</c:v>
                </c:pt>
                <c:pt idx="2350">
                  <c:v>427.216</c:v>
                </c:pt>
                <c:pt idx="2351">
                  <c:v>427.386</c:v>
                </c:pt>
                <c:pt idx="2352">
                  <c:v>427.56</c:v>
                </c:pt>
                <c:pt idx="2353">
                  <c:v>427.737</c:v>
                </c:pt>
                <c:pt idx="2354">
                  <c:v>427.9169999999986</c:v>
                </c:pt>
                <c:pt idx="2355">
                  <c:v>428.101</c:v>
                </c:pt>
                <c:pt idx="2356">
                  <c:v>428.2749999999999</c:v>
                </c:pt>
                <c:pt idx="2357">
                  <c:v>428.439</c:v>
                </c:pt>
                <c:pt idx="2358">
                  <c:v>428.603</c:v>
                </c:pt>
                <c:pt idx="2359">
                  <c:v>428.765</c:v>
                </c:pt>
                <c:pt idx="2360">
                  <c:v>428.927</c:v>
                </c:pt>
                <c:pt idx="2361">
                  <c:v>429.093</c:v>
                </c:pt>
                <c:pt idx="2362">
                  <c:v>429.262</c:v>
                </c:pt>
                <c:pt idx="2363">
                  <c:v>429.437</c:v>
                </c:pt>
                <c:pt idx="2364">
                  <c:v>429.61</c:v>
                </c:pt>
                <c:pt idx="2365">
                  <c:v>429.7809999999996</c:v>
                </c:pt>
                <c:pt idx="2366">
                  <c:v>429.958</c:v>
                </c:pt>
                <c:pt idx="2367">
                  <c:v>430.132</c:v>
                </c:pt>
                <c:pt idx="2368">
                  <c:v>430.302</c:v>
                </c:pt>
                <c:pt idx="2369">
                  <c:v>430.4709999999992</c:v>
                </c:pt>
                <c:pt idx="2370">
                  <c:v>430.646</c:v>
                </c:pt>
                <c:pt idx="2371">
                  <c:v>430.8179999999999</c:v>
                </c:pt>
                <c:pt idx="2372">
                  <c:v>430.975</c:v>
                </c:pt>
                <c:pt idx="2373">
                  <c:v>431.1329999999999</c:v>
                </c:pt>
                <c:pt idx="2374">
                  <c:v>431.2869999999986</c:v>
                </c:pt>
                <c:pt idx="2375">
                  <c:v>431.45</c:v>
                </c:pt>
                <c:pt idx="2376">
                  <c:v>431.6209999999999</c:v>
                </c:pt>
                <c:pt idx="2377">
                  <c:v>431.7919999999986</c:v>
                </c:pt>
                <c:pt idx="2378">
                  <c:v>431.966</c:v>
                </c:pt>
                <c:pt idx="2379">
                  <c:v>432.1379999999999</c:v>
                </c:pt>
                <c:pt idx="2380">
                  <c:v>432.317</c:v>
                </c:pt>
                <c:pt idx="2381">
                  <c:v>432.4979999999989</c:v>
                </c:pt>
                <c:pt idx="2382">
                  <c:v>432.673</c:v>
                </c:pt>
                <c:pt idx="2383">
                  <c:v>432.8279999999999</c:v>
                </c:pt>
                <c:pt idx="2384">
                  <c:v>432.987</c:v>
                </c:pt>
                <c:pt idx="2385">
                  <c:v>433.149</c:v>
                </c:pt>
                <c:pt idx="2386">
                  <c:v>433.312</c:v>
                </c:pt>
                <c:pt idx="2387">
                  <c:v>433.4829999999992</c:v>
                </c:pt>
                <c:pt idx="2388">
                  <c:v>433.654</c:v>
                </c:pt>
                <c:pt idx="2389">
                  <c:v>433.8229999999999</c:v>
                </c:pt>
                <c:pt idx="2390">
                  <c:v>433.992</c:v>
                </c:pt>
                <c:pt idx="2391">
                  <c:v>434.149</c:v>
                </c:pt>
                <c:pt idx="2392">
                  <c:v>434.2989999999986</c:v>
                </c:pt>
                <c:pt idx="2393">
                  <c:v>434.459</c:v>
                </c:pt>
                <c:pt idx="2394">
                  <c:v>434.6259999999999</c:v>
                </c:pt>
                <c:pt idx="2395">
                  <c:v>434.7939999999986</c:v>
                </c:pt>
                <c:pt idx="2396">
                  <c:v>434.963</c:v>
                </c:pt>
                <c:pt idx="2397">
                  <c:v>435.1329999999999</c:v>
                </c:pt>
                <c:pt idx="2398">
                  <c:v>435.3</c:v>
                </c:pt>
                <c:pt idx="2399">
                  <c:v>435.461</c:v>
                </c:pt>
                <c:pt idx="2400">
                  <c:v>435.632</c:v>
                </c:pt>
                <c:pt idx="2401">
                  <c:v>435.8059999999999</c:v>
                </c:pt>
                <c:pt idx="2402">
                  <c:v>435.9829999999992</c:v>
                </c:pt>
                <c:pt idx="2403">
                  <c:v>436.161</c:v>
                </c:pt>
                <c:pt idx="2404">
                  <c:v>436.327</c:v>
                </c:pt>
                <c:pt idx="2405">
                  <c:v>436.473</c:v>
                </c:pt>
                <c:pt idx="2406">
                  <c:v>436.6259999999999</c:v>
                </c:pt>
                <c:pt idx="2407">
                  <c:v>436.7909999999989</c:v>
                </c:pt>
                <c:pt idx="2408">
                  <c:v>436.954</c:v>
                </c:pt>
                <c:pt idx="2409">
                  <c:v>437.1209999999999</c:v>
                </c:pt>
                <c:pt idx="2410">
                  <c:v>437.2929999999996</c:v>
                </c:pt>
                <c:pt idx="2411">
                  <c:v>437.4689999999989</c:v>
                </c:pt>
                <c:pt idx="2412">
                  <c:v>437.642</c:v>
                </c:pt>
                <c:pt idx="2413">
                  <c:v>437.81</c:v>
                </c:pt>
                <c:pt idx="2414">
                  <c:v>437.9759999999989</c:v>
                </c:pt>
                <c:pt idx="2415">
                  <c:v>438.144</c:v>
                </c:pt>
                <c:pt idx="2416">
                  <c:v>438.32</c:v>
                </c:pt>
                <c:pt idx="2417">
                  <c:v>438.49</c:v>
                </c:pt>
                <c:pt idx="2418">
                  <c:v>438.652</c:v>
                </c:pt>
                <c:pt idx="2419">
                  <c:v>438.82</c:v>
                </c:pt>
                <c:pt idx="2420">
                  <c:v>438.99</c:v>
                </c:pt>
                <c:pt idx="2421">
                  <c:v>439.159</c:v>
                </c:pt>
                <c:pt idx="2422">
                  <c:v>439.3179999999999</c:v>
                </c:pt>
                <c:pt idx="2423">
                  <c:v>439.4759999999989</c:v>
                </c:pt>
                <c:pt idx="2424">
                  <c:v>439.635</c:v>
                </c:pt>
                <c:pt idx="2425">
                  <c:v>439.79</c:v>
                </c:pt>
                <c:pt idx="2426">
                  <c:v>439.934</c:v>
                </c:pt>
                <c:pt idx="2427">
                  <c:v>440.0849999999999</c:v>
                </c:pt>
                <c:pt idx="2428">
                  <c:v>440.2459999999999</c:v>
                </c:pt>
                <c:pt idx="2429">
                  <c:v>440.4189999999986</c:v>
                </c:pt>
                <c:pt idx="2430">
                  <c:v>440.595</c:v>
                </c:pt>
                <c:pt idx="2431">
                  <c:v>440.773</c:v>
                </c:pt>
                <c:pt idx="2432">
                  <c:v>440.9529999999999</c:v>
                </c:pt>
                <c:pt idx="2433">
                  <c:v>441.1209999999999</c:v>
                </c:pt>
                <c:pt idx="2434">
                  <c:v>441.278</c:v>
                </c:pt>
                <c:pt idx="2435">
                  <c:v>441.4429999999999</c:v>
                </c:pt>
                <c:pt idx="2436">
                  <c:v>441.618</c:v>
                </c:pt>
                <c:pt idx="2437">
                  <c:v>441.7919999999986</c:v>
                </c:pt>
                <c:pt idx="2438">
                  <c:v>441.966</c:v>
                </c:pt>
                <c:pt idx="2439">
                  <c:v>442.14</c:v>
                </c:pt>
                <c:pt idx="2440">
                  <c:v>442.3090000000001</c:v>
                </c:pt>
                <c:pt idx="2441">
                  <c:v>442.475</c:v>
                </c:pt>
                <c:pt idx="2442">
                  <c:v>442.642</c:v>
                </c:pt>
                <c:pt idx="2443">
                  <c:v>442.8090000000001</c:v>
                </c:pt>
                <c:pt idx="2444">
                  <c:v>442.9769999999986</c:v>
                </c:pt>
                <c:pt idx="2445">
                  <c:v>443.14</c:v>
                </c:pt>
                <c:pt idx="2446">
                  <c:v>443.302</c:v>
                </c:pt>
                <c:pt idx="2447">
                  <c:v>443.468</c:v>
                </c:pt>
                <c:pt idx="2448">
                  <c:v>443.6379999999999</c:v>
                </c:pt>
                <c:pt idx="2449">
                  <c:v>443.814</c:v>
                </c:pt>
                <c:pt idx="2450">
                  <c:v>443.99</c:v>
                </c:pt>
                <c:pt idx="2451">
                  <c:v>444.166</c:v>
                </c:pt>
                <c:pt idx="2452">
                  <c:v>444.329</c:v>
                </c:pt>
                <c:pt idx="2453">
                  <c:v>444.4809999999989</c:v>
                </c:pt>
                <c:pt idx="2454">
                  <c:v>444.639</c:v>
                </c:pt>
                <c:pt idx="2455">
                  <c:v>444.8059999999999</c:v>
                </c:pt>
                <c:pt idx="2456">
                  <c:v>444.982</c:v>
                </c:pt>
                <c:pt idx="2457">
                  <c:v>445.159</c:v>
                </c:pt>
                <c:pt idx="2458">
                  <c:v>445.333</c:v>
                </c:pt>
                <c:pt idx="2459">
                  <c:v>445.49</c:v>
                </c:pt>
                <c:pt idx="2460">
                  <c:v>445.647</c:v>
                </c:pt>
                <c:pt idx="2461">
                  <c:v>445.807</c:v>
                </c:pt>
                <c:pt idx="2462">
                  <c:v>445.9649999999999</c:v>
                </c:pt>
                <c:pt idx="2463">
                  <c:v>446.1259999999999</c:v>
                </c:pt>
                <c:pt idx="2464">
                  <c:v>446.2819999999986</c:v>
                </c:pt>
                <c:pt idx="2465">
                  <c:v>446.4299999999996</c:v>
                </c:pt>
                <c:pt idx="2466">
                  <c:v>446.57</c:v>
                </c:pt>
                <c:pt idx="2467">
                  <c:v>446.7189999999989</c:v>
                </c:pt>
                <c:pt idx="2468">
                  <c:v>446.88</c:v>
                </c:pt>
                <c:pt idx="2469">
                  <c:v>447.05</c:v>
                </c:pt>
                <c:pt idx="2470">
                  <c:v>447.2289999999986</c:v>
                </c:pt>
                <c:pt idx="2471">
                  <c:v>447.4019999999986</c:v>
                </c:pt>
                <c:pt idx="2472">
                  <c:v>447.567</c:v>
                </c:pt>
                <c:pt idx="2473">
                  <c:v>447.7239999999989</c:v>
                </c:pt>
                <c:pt idx="2474">
                  <c:v>447.886</c:v>
                </c:pt>
                <c:pt idx="2475">
                  <c:v>448.057</c:v>
                </c:pt>
                <c:pt idx="2476">
                  <c:v>448.232</c:v>
                </c:pt>
                <c:pt idx="2477">
                  <c:v>448.4139999999989</c:v>
                </c:pt>
                <c:pt idx="2478">
                  <c:v>448.5959999999992</c:v>
                </c:pt>
                <c:pt idx="2479">
                  <c:v>448.776</c:v>
                </c:pt>
                <c:pt idx="2480">
                  <c:v>448.959</c:v>
                </c:pt>
                <c:pt idx="2481">
                  <c:v>449.144</c:v>
                </c:pt>
                <c:pt idx="2482">
                  <c:v>449.324</c:v>
                </c:pt>
                <c:pt idx="2483">
                  <c:v>449.499</c:v>
                </c:pt>
                <c:pt idx="2484">
                  <c:v>449.671</c:v>
                </c:pt>
                <c:pt idx="2485">
                  <c:v>449.839</c:v>
                </c:pt>
                <c:pt idx="2486">
                  <c:v>450.011</c:v>
                </c:pt>
                <c:pt idx="2487">
                  <c:v>450.185</c:v>
                </c:pt>
                <c:pt idx="2488">
                  <c:v>450.3519999999999</c:v>
                </c:pt>
                <c:pt idx="2489">
                  <c:v>450.515</c:v>
                </c:pt>
                <c:pt idx="2490">
                  <c:v>450.682</c:v>
                </c:pt>
                <c:pt idx="2491">
                  <c:v>450.8450000000001</c:v>
                </c:pt>
                <c:pt idx="2492">
                  <c:v>451.012</c:v>
                </c:pt>
                <c:pt idx="2493">
                  <c:v>451.1859999999999</c:v>
                </c:pt>
                <c:pt idx="2494">
                  <c:v>451.361</c:v>
                </c:pt>
                <c:pt idx="2495">
                  <c:v>451.53</c:v>
                </c:pt>
                <c:pt idx="2496">
                  <c:v>451.689</c:v>
                </c:pt>
                <c:pt idx="2497">
                  <c:v>451.8589999999999</c:v>
                </c:pt>
                <c:pt idx="2498">
                  <c:v>452.0359999999989</c:v>
                </c:pt>
                <c:pt idx="2499">
                  <c:v>452.213</c:v>
                </c:pt>
                <c:pt idx="2500">
                  <c:v>452.386</c:v>
                </c:pt>
                <c:pt idx="2501">
                  <c:v>452.558</c:v>
                </c:pt>
                <c:pt idx="2502">
                  <c:v>452.725</c:v>
                </c:pt>
                <c:pt idx="2503">
                  <c:v>452.882</c:v>
                </c:pt>
                <c:pt idx="2504">
                  <c:v>453.0359999999989</c:v>
                </c:pt>
                <c:pt idx="2505">
                  <c:v>453.187</c:v>
                </c:pt>
                <c:pt idx="2506">
                  <c:v>453.348</c:v>
                </c:pt>
                <c:pt idx="2507">
                  <c:v>453.517</c:v>
                </c:pt>
                <c:pt idx="2508">
                  <c:v>453.689</c:v>
                </c:pt>
                <c:pt idx="2509">
                  <c:v>453.8639999999999</c:v>
                </c:pt>
                <c:pt idx="2510">
                  <c:v>454.0369999999986</c:v>
                </c:pt>
                <c:pt idx="2511">
                  <c:v>454.21</c:v>
                </c:pt>
                <c:pt idx="2512">
                  <c:v>454.3879999999999</c:v>
                </c:pt>
                <c:pt idx="2513">
                  <c:v>454.5559999999999</c:v>
                </c:pt>
                <c:pt idx="2514">
                  <c:v>454.725</c:v>
                </c:pt>
                <c:pt idx="2515">
                  <c:v>454.8969999999989</c:v>
                </c:pt>
                <c:pt idx="2516">
                  <c:v>455.071</c:v>
                </c:pt>
                <c:pt idx="2517">
                  <c:v>455.2459999999999</c:v>
                </c:pt>
                <c:pt idx="2518">
                  <c:v>455.4229999999989</c:v>
                </c:pt>
                <c:pt idx="2519">
                  <c:v>455.5959999999992</c:v>
                </c:pt>
                <c:pt idx="2520">
                  <c:v>455.7679999999999</c:v>
                </c:pt>
                <c:pt idx="2521">
                  <c:v>455.942</c:v>
                </c:pt>
                <c:pt idx="2522">
                  <c:v>456.117</c:v>
                </c:pt>
                <c:pt idx="2523">
                  <c:v>456.2929999999996</c:v>
                </c:pt>
                <c:pt idx="2524">
                  <c:v>456.468</c:v>
                </c:pt>
                <c:pt idx="2525">
                  <c:v>456.642</c:v>
                </c:pt>
                <c:pt idx="2526">
                  <c:v>456.817</c:v>
                </c:pt>
                <c:pt idx="2527">
                  <c:v>456.9929999999989</c:v>
                </c:pt>
                <c:pt idx="2528">
                  <c:v>457.16</c:v>
                </c:pt>
                <c:pt idx="2529">
                  <c:v>457.329</c:v>
                </c:pt>
                <c:pt idx="2530">
                  <c:v>457.4949999999992</c:v>
                </c:pt>
                <c:pt idx="2531">
                  <c:v>457.661</c:v>
                </c:pt>
                <c:pt idx="2532">
                  <c:v>457.822</c:v>
                </c:pt>
                <c:pt idx="2533">
                  <c:v>457.987</c:v>
                </c:pt>
                <c:pt idx="2534">
                  <c:v>458.156</c:v>
                </c:pt>
                <c:pt idx="2535">
                  <c:v>458.331</c:v>
                </c:pt>
                <c:pt idx="2536">
                  <c:v>458.511</c:v>
                </c:pt>
                <c:pt idx="2537">
                  <c:v>458.69</c:v>
                </c:pt>
                <c:pt idx="2538">
                  <c:v>458.866</c:v>
                </c:pt>
                <c:pt idx="2539">
                  <c:v>459.0419999999999</c:v>
                </c:pt>
                <c:pt idx="2540">
                  <c:v>459.218</c:v>
                </c:pt>
                <c:pt idx="2541">
                  <c:v>459.3949999999999</c:v>
                </c:pt>
                <c:pt idx="2542">
                  <c:v>459.5679999999999</c:v>
                </c:pt>
                <c:pt idx="2543">
                  <c:v>459.7389999999986</c:v>
                </c:pt>
                <c:pt idx="2544">
                  <c:v>459.904</c:v>
                </c:pt>
                <c:pt idx="2545">
                  <c:v>460.0729999999999</c:v>
                </c:pt>
                <c:pt idx="2546">
                  <c:v>460.247</c:v>
                </c:pt>
                <c:pt idx="2547">
                  <c:v>460.4179999999996</c:v>
                </c:pt>
                <c:pt idx="2548">
                  <c:v>460.5919999999986</c:v>
                </c:pt>
                <c:pt idx="2549">
                  <c:v>460.755</c:v>
                </c:pt>
                <c:pt idx="2550">
                  <c:v>460.9169999999986</c:v>
                </c:pt>
                <c:pt idx="2551">
                  <c:v>461.071</c:v>
                </c:pt>
                <c:pt idx="2552">
                  <c:v>461.228</c:v>
                </c:pt>
                <c:pt idx="2553">
                  <c:v>461.391</c:v>
                </c:pt>
                <c:pt idx="2554">
                  <c:v>461.5590000000001</c:v>
                </c:pt>
                <c:pt idx="2555">
                  <c:v>461.73</c:v>
                </c:pt>
                <c:pt idx="2556">
                  <c:v>461.904</c:v>
                </c:pt>
                <c:pt idx="2557">
                  <c:v>462.079</c:v>
                </c:pt>
                <c:pt idx="2558">
                  <c:v>462.248</c:v>
                </c:pt>
                <c:pt idx="2559">
                  <c:v>462.4159999999989</c:v>
                </c:pt>
                <c:pt idx="2560">
                  <c:v>462.59</c:v>
                </c:pt>
                <c:pt idx="2561">
                  <c:v>462.766</c:v>
                </c:pt>
                <c:pt idx="2562">
                  <c:v>462.94</c:v>
                </c:pt>
                <c:pt idx="2563">
                  <c:v>463.1089999999999</c:v>
                </c:pt>
                <c:pt idx="2564">
                  <c:v>463.2809999999996</c:v>
                </c:pt>
                <c:pt idx="2565">
                  <c:v>463.458</c:v>
                </c:pt>
                <c:pt idx="2566">
                  <c:v>463.635</c:v>
                </c:pt>
                <c:pt idx="2567">
                  <c:v>463.8109999999999</c:v>
                </c:pt>
                <c:pt idx="2568">
                  <c:v>463.9829999999992</c:v>
                </c:pt>
                <c:pt idx="2569">
                  <c:v>464.147</c:v>
                </c:pt>
                <c:pt idx="2570">
                  <c:v>464.314</c:v>
                </c:pt>
                <c:pt idx="2571">
                  <c:v>464.4859999999989</c:v>
                </c:pt>
                <c:pt idx="2572">
                  <c:v>464.654</c:v>
                </c:pt>
                <c:pt idx="2573">
                  <c:v>464.817</c:v>
                </c:pt>
                <c:pt idx="2574">
                  <c:v>464.987</c:v>
                </c:pt>
                <c:pt idx="2575">
                  <c:v>465.161</c:v>
                </c:pt>
                <c:pt idx="2576">
                  <c:v>465.334</c:v>
                </c:pt>
                <c:pt idx="2577">
                  <c:v>465.507</c:v>
                </c:pt>
                <c:pt idx="2578">
                  <c:v>465.68</c:v>
                </c:pt>
                <c:pt idx="2579">
                  <c:v>465.848</c:v>
                </c:pt>
                <c:pt idx="2580">
                  <c:v>466.0179999999999</c:v>
                </c:pt>
                <c:pt idx="2581">
                  <c:v>466.188</c:v>
                </c:pt>
                <c:pt idx="2582">
                  <c:v>466.361</c:v>
                </c:pt>
                <c:pt idx="2583">
                  <c:v>466.52</c:v>
                </c:pt>
                <c:pt idx="2584">
                  <c:v>466.677</c:v>
                </c:pt>
                <c:pt idx="2585">
                  <c:v>466.8369999999989</c:v>
                </c:pt>
                <c:pt idx="2586">
                  <c:v>466.9979999999989</c:v>
                </c:pt>
                <c:pt idx="2587">
                  <c:v>467.161</c:v>
                </c:pt>
                <c:pt idx="2588">
                  <c:v>467.322</c:v>
                </c:pt>
                <c:pt idx="2589">
                  <c:v>467.475</c:v>
                </c:pt>
                <c:pt idx="2590">
                  <c:v>467.63</c:v>
                </c:pt>
                <c:pt idx="2591">
                  <c:v>467.7919999999986</c:v>
                </c:pt>
                <c:pt idx="2592">
                  <c:v>467.958</c:v>
                </c:pt>
                <c:pt idx="2593">
                  <c:v>468.1209999999999</c:v>
                </c:pt>
                <c:pt idx="2594">
                  <c:v>468.2839999999989</c:v>
                </c:pt>
                <c:pt idx="2595">
                  <c:v>468.454</c:v>
                </c:pt>
                <c:pt idx="2596">
                  <c:v>468.629</c:v>
                </c:pt>
                <c:pt idx="2597">
                  <c:v>468.8059999999999</c:v>
                </c:pt>
                <c:pt idx="2598">
                  <c:v>468.9829999999992</c:v>
                </c:pt>
                <c:pt idx="2599">
                  <c:v>469.15</c:v>
                </c:pt>
                <c:pt idx="2600">
                  <c:v>469.319</c:v>
                </c:pt>
                <c:pt idx="2601">
                  <c:v>469.49</c:v>
                </c:pt>
                <c:pt idx="2602">
                  <c:v>469.664</c:v>
                </c:pt>
                <c:pt idx="2603">
                  <c:v>469.839</c:v>
                </c:pt>
                <c:pt idx="2604">
                  <c:v>470.016</c:v>
                </c:pt>
                <c:pt idx="2605">
                  <c:v>470.1909999999999</c:v>
                </c:pt>
                <c:pt idx="2606">
                  <c:v>470.3639999999999</c:v>
                </c:pt>
                <c:pt idx="2607">
                  <c:v>470.5359999999989</c:v>
                </c:pt>
                <c:pt idx="2608">
                  <c:v>470.713</c:v>
                </c:pt>
                <c:pt idx="2609">
                  <c:v>470.8929999999999</c:v>
                </c:pt>
                <c:pt idx="2610">
                  <c:v>471.07</c:v>
                </c:pt>
                <c:pt idx="2611">
                  <c:v>471.243</c:v>
                </c:pt>
                <c:pt idx="2612">
                  <c:v>471.4179999999996</c:v>
                </c:pt>
                <c:pt idx="2613">
                  <c:v>471.591</c:v>
                </c:pt>
                <c:pt idx="2614">
                  <c:v>471.7559999999999</c:v>
                </c:pt>
                <c:pt idx="2615">
                  <c:v>471.9209999999989</c:v>
                </c:pt>
                <c:pt idx="2616">
                  <c:v>472.091</c:v>
                </c:pt>
                <c:pt idx="2617">
                  <c:v>472.262</c:v>
                </c:pt>
                <c:pt idx="2618">
                  <c:v>472.434</c:v>
                </c:pt>
                <c:pt idx="2619">
                  <c:v>472.601</c:v>
                </c:pt>
                <c:pt idx="2620">
                  <c:v>472.769</c:v>
                </c:pt>
                <c:pt idx="2621">
                  <c:v>472.9429999999999</c:v>
                </c:pt>
                <c:pt idx="2622">
                  <c:v>473.116</c:v>
                </c:pt>
                <c:pt idx="2623">
                  <c:v>473.2839999999989</c:v>
                </c:pt>
                <c:pt idx="2624">
                  <c:v>473.4409999999999</c:v>
                </c:pt>
                <c:pt idx="2625">
                  <c:v>473.5939999999989</c:v>
                </c:pt>
                <c:pt idx="2626">
                  <c:v>473.741</c:v>
                </c:pt>
                <c:pt idx="2627">
                  <c:v>473.898</c:v>
                </c:pt>
                <c:pt idx="2628">
                  <c:v>474.06</c:v>
                </c:pt>
                <c:pt idx="2629">
                  <c:v>474.223</c:v>
                </c:pt>
                <c:pt idx="2630">
                  <c:v>474.38</c:v>
                </c:pt>
                <c:pt idx="2631">
                  <c:v>474.541</c:v>
                </c:pt>
                <c:pt idx="2632">
                  <c:v>474.7069999999989</c:v>
                </c:pt>
                <c:pt idx="2633">
                  <c:v>474.877</c:v>
                </c:pt>
                <c:pt idx="2634">
                  <c:v>475.0489999999999</c:v>
                </c:pt>
                <c:pt idx="2635">
                  <c:v>475.2289999999986</c:v>
                </c:pt>
                <c:pt idx="2636">
                  <c:v>475.41</c:v>
                </c:pt>
                <c:pt idx="2637">
                  <c:v>475.591</c:v>
                </c:pt>
                <c:pt idx="2638">
                  <c:v>475.77</c:v>
                </c:pt>
                <c:pt idx="2639">
                  <c:v>475.939</c:v>
                </c:pt>
                <c:pt idx="2640">
                  <c:v>476.1089999999999</c:v>
                </c:pt>
                <c:pt idx="2641">
                  <c:v>476.2839999999989</c:v>
                </c:pt>
                <c:pt idx="2642">
                  <c:v>476.4649999999999</c:v>
                </c:pt>
                <c:pt idx="2643">
                  <c:v>476.64</c:v>
                </c:pt>
                <c:pt idx="2644">
                  <c:v>476.808</c:v>
                </c:pt>
                <c:pt idx="2645">
                  <c:v>476.975</c:v>
                </c:pt>
                <c:pt idx="2646">
                  <c:v>477.136</c:v>
                </c:pt>
                <c:pt idx="2647">
                  <c:v>477.2959999999989</c:v>
                </c:pt>
                <c:pt idx="2648">
                  <c:v>477.461</c:v>
                </c:pt>
                <c:pt idx="2649">
                  <c:v>477.628</c:v>
                </c:pt>
                <c:pt idx="2650">
                  <c:v>477.7919999999986</c:v>
                </c:pt>
                <c:pt idx="2651">
                  <c:v>477.9529999999999</c:v>
                </c:pt>
                <c:pt idx="2652">
                  <c:v>478.123</c:v>
                </c:pt>
                <c:pt idx="2653">
                  <c:v>478.2979999999989</c:v>
                </c:pt>
                <c:pt idx="2654">
                  <c:v>478.4759999999989</c:v>
                </c:pt>
                <c:pt idx="2655">
                  <c:v>478.652</c:v>
                </c:pt>
                <c:pt idx="2656">
                  <c:v>478.824</c:v>
                </c:pt>
                <c:pt idx="2657">
                  <c:v>478.9929999999989</c:v>
                </c:pt>
                <c:pt idx="2658">
                  <c:v>479.159</c:v>
                </c:pt>
                <c:pt idx="2659">
                  <c:v>479.33</c:v>
                </c:pt>
                <c:pt idx="2660">
                  <c:v>479.4829999999992</c:v>
                </c:pt>
                <c:pt idx="2661">
                  <c:v>479.6259999999999</c:v>
                </c:pt>
                <c:pt idx="2662">
                  <c:v>479.7809999999996</c:v>
                </c:pt>
                <c:pt idx="2663">
                  <c:v>479.952</c:v>
                </c:pt>
                <c:pt idx="2664">
                  <c:v>480.123</c:v>
                </c:pt>
                <c:pt idx="2665">
                  <c:v>480.288</c:v>
                </c:pt>
                <c:pt idx="2666">
                  <c:v>480.461</c:v>
                </c:pt>
                <c:pt idx="2667">
                  <c:v>480.635</c:v>
                </c:pt>
                <c:pt idx="2668">
                  <c:v>480.802</c:v>
                </c:pt>
                <c:pt idx="2669">
                  <c:v>480.9669999999986</c:v>
                </c:pt>
                <c:pt idx="2670">
                  <c:v>481.136</c:v>
                </c:pt>
                <c:pt idx="2671">
                  <c:v>481.3039999999999</c:v>
                </c:pt>
                <c:pt idx="2672">
                  <c:v>481.473</c:v>
                </c:pt>
                <c:pt idx="2673">
                  <c:v>481.646</c:v>
                </c:pt>
                <c:pt idx="2674">
                  <c:v>481.813</c:v>
                </c:pt>
                <c:pt idx="2675">
                  <c:v>481.9739999999989</c:v>
                </c:pt>
                <c:pt idx="2676">
                  <c:v>482.136</c:v>
                </c:pt>
                <c:pt idx="2677">
                  <c:v>482.295</c:v>
                </c:pt>
                <c:pt idx="2678">
                  <c:v>482.46</c:v>
                </c:pt>
                <c:pt idx="2679">
                  <c:v>482.6329999999999</c:v>
                </c:pt>
                <c:pt idx="2680">
                  <c:v>482.805</c:v>
                </c:pt>
                <c:pt idx="2681">
                  <c:v>482.9759999999989</c:v>
                </c:pt>
                <c:pt idx="2682">
                  <c:v>483.143</c:v>
                </c:pt>
                <c:pt idx="2683">
                  <c:v>483.313</c:v>
                </c:pt>
                <c:pt idx="2684">
                  <c:v>483.4909999999986</c:v>
                </c:pt>
                <c:pt idx="2685">
                  <c:v>483.663</c:v>
                </c:pt>
                <c:pt idx="2686">
                  <c:v>483.8229999999999</c:v>
                </c:pt>
                <c:pt idx="2687">
                  <c:v>483.9879999999989</c:v>
                </c:pt>
                <c:pt idx="2688">
                  <c:v>484.1569999999999</c:v>
                </c:pt>
                <c:pt idx="2689">
                  <c:v>484.3319999999989</c:v>
                </c:pt>
                <c:pt idx="2690">
                  <c:v>484.5129999999999</c:v>
                </c:pt>
                <c:pt idx="2691">
                  <c:v>484.696</c:v>
                </c:pt>
                <c:pt idx="2692">
                  <c:v>484.88</c:v>
                </c:pt>
                <c:pt idx="2693">
                  <c:v>485.058</c:v>
                </c:pt>
                <c:pt idx="2694">
                  <c:v>485.2289999999986</c:v>
                </c:pt>
                <c:pt idx="2695">
                  <c:v>485.401</c:v>
                </c:pt>
                <c:pt idx="2696">
                  <c:v>485.565</c:v>
                </c:pt>
                <c:pt idx="2697">
                  <c:v>485.7219999999986</c:v>
                </c:pt>
                <c:pt idx="2698">
                  <c:v>485.884</c:v>
                </c:pt>
                <c:pt idx="2699">
                  <c:v>486.05</c:v>
                </c:pt>
                <c:pt idx="2700">
                  <c:v>486.22</c:v>
                </c:pt>
                <c:pt idx="2701">
                  <c:v>486.386</c:v>
                </c:pt>
                <c:pt idx="2702">
                  <c:v>486.553</c:v>
                </c:pt>
                <c:pt idx="2703">
                  <c:v>486.7209999999992</c:v>
                </c:pt>
                <c:pt idx="2704">
                  <c:v>486.8879999999999</c:v>
                </c:pt>
                <c:pt idx="2705">
                  <c:v>487.053</c:v>
                </c:pt>
                <c:pt idx="2706">
                  <c:v>487.2189999999989</c:v>
                </c:pt>
                <c:pt idx="2707">
                  <c:v>487.382</c:v>
                </c:pt>
                <c:pt idx="2708">
                  <c:v>487.55</c:v>
                </c:pt>
                <c:pt idx="2709">
                  <c:v>487.7289999999986</c:v>
                </c:pt>
                <c:pt idx="2710">
                  <c:v>487.9059999999996</c:v>
                </c:pt>
                <c:pt idx="2711">
                  <c:v>488.071</c:v>
                </c:pt>
                <c:pt idx="2712">
                  <c:v>488.237</c:v>
                </c:pt>
                <c:pt idx="2713">
                  <c:v>488.41</c:v>
                </c:pt>
                <c:pt idx="2714">
                  <c:v>488.5819999999989</c:v>
                </c:pt>
                <c:pt idx="2715">
                  <c:v>488.754</c:v>
                </c:pt>
                <c:pt idx="2716">
                  <c:v>488.925</c:v>
                </c:pt>
                <c:pt idx="2717">
                  <c:v>489.098</c:v>
                </c:pt>
                <c:pt idx="2718">
                  <c:v>489.28</c:v>
                </c:pt>
                <c:pt idx="2719">
                  <c:v>489.461</c:v>
                </c:pt>
                <c:pt idx="2720">
                  <c:v>489.64</c:v>
                </c:pt>
                <c:pt idx="2721">
                  <c:v>489.8059999999999</c:v>
                </c:pt>
                <c:pt idx="2722">
                  <c:v>489.9649999999999</c:v>
                </c:pt>
                <c:pt idx="2723">
                  <c:v>490.1190000000001</c:v>
                </c:pt>
                <c:pt idx="2724">
                  <c:v>490.274</c:v>
                </c:pt>
                <c:pt idx="2725">
                  <c:v>490.422</c:v>
                </c:pt>
                <c:pt idx="2726">
                  <c:v>490.572</c:v>
                </c:pt>
                <c:pt idx="2727">
                  <c:v>490.7239999999989</c:v>
                </c:pt>
                <c:pt idx="2728">
                  <c:v>490.887</c:v>
                </c:pt>
                <c:pt idx="2729">
                  <c:v>491.052</c:v>
                </c:pt>
                <c:pt idx="2730">
                  <c:v>491.218</c:v>
                </c:pt>
                <c:pt idx="2731">
                  <c:v>491.384</c:v>
                </c:pt>
                <c:pt idx="2732">
                  <c:v>491.5539999999999</c:v>
                </c:pt>
                <c:pt idx="2733">
                  <c:v>491.7239999999989</c:v>
                </c:pt>
                <c:pt idx="2734">
                  <c:v>491.8969999999989</c:v>
                </c:pt>
                <c:pt idx="2735">
                  <c:v>492.071</c:v>
                </c:pt>
                <c:pt idx="2736">
                  <c:v>492.248</c:v>
                </c:pt>
                <c:pt idx="2737">
                  <c:v>492.4169999999986</c:v>
                </c:pt>
                <c:pt idx="2738">
                  <c:v>492.588</c:v>
                </c:pt>
                <c:pt idx="2739">
                  <c:v>492.754</c:v>
                </c:pt>
                <c:pt idx="2740">
                  <c:v>492.91</c:v>
                </c:pt>
                <c:pt idx="2741">
                  <c:v>493.062</c:v>
                </c:pt>
                <c:pt idx="2742">
                  <c:v>493.211</c:v>
                </c:pt>
                <c:pt idx="2743">
                  <c:v>493.3539999999999</c:v>
                </c:pt>
                <c:pt idx="2744">
                  <c:v>493.517</c:v>
                </c:pt>
                <c:pt idx="2745">
                  <c:v>493.688</c:v>
                </c:pt>
                <c:pt idx="2746">
                  <c:v>493.86</c:v>
                </c:pt>
                <c:pt idx="2747">
                  <c:v>494.0359999999989</c:v>
                </c:pt>
                <c:pt idx="2748">
                  <c:v>494.214</c:v>
                </c:pt>
                <c:pt idx="2749">
                  <c:v>494.3949999999999</c:v>
                </c:pt>
                <c:pt idx="2750">
                  <c:v>494.579</c:v>
                </c:pt>
                <c:pt idx="2751">
                  <c:v>494.752</c:v>
                </c:pt>
                <c:pt idx="2752">
                  <c:v>494.915</c:v>
                </c:pt>
                <c:pt idx="2753">
                  <c:v>495.081</c:v>
                </c:pt>
                <c:pt idx="2754">
                  <c:v>495.253</c:v>
                </c:pt>
                <c:pt idx="2755">
                  <c:v>495.4159999999989</c:v>
                </c:pt>
                <c:pt idx="2756">
                  <c:v>495.58</c:v>
                </c:pt>
                <c:pt idx="2757">
                  <c:v>495.747</c:v>
                </c:pt>
                <c:pt idx="2758">
                  <c:v>495.913</c:v>
                </c:pt>
                <c:pt idx="2759">
                  <c:v>496.081</c:v>
                </c:pt>
                <c:pt idx="2760">
                  <c:v>496.252</c:v>
                </c:pt>
                <c:pt idx="2761">
                  <c:v>496.4229999999989</c:v>
                </c:pt>
                <c:pt idx="2762">
                  <c:v>496.5969999999986</c:v>
                </c:pt>
                <c:pt idx="2763">
                  <c:v>496.776</c:v>
                </c:pt>
                <c:pt idx="2764">
                  <c:v>496.9529999999999</c:v>
                </c:pt>
                <c:pt idx="2765">
                  <c:v>497.123</c:v>
                </c:pt>
                <c:pt idx="2766">
                  <c:v>497.2929999999996</c:v>
                </c:pt>
                <c:pt idx="2767">
                  <c:v>497.464</c:v>
                </c:pt>
                <c:pt idx="2768">
                  <c:v>497.63</c:v>
                </c:pt>
                <c:pt idx="2769">
                  <c:v>497.795</c:v>
                </c:pt>
                <c:pt idx="2770">
                  <c:v>497.956</c:v>
                </c:pt>
                <c:pt idx="2771">
                  <c:v>498.116</c:v>
                </c:pt>
                <c:pt idx="2772">
                  <c:v>498.279</c:v>
                </c:pt>
                <c:pt idx="2773">
                  <c:v>498.442</c:v>
                </c:pt>
                <c:pt idx="2774">
                  <c:v>498.608</c:v>
                </c:pt>
                <c:pt idx="2775">
                  <c:v>498.77</c:v>
                </c:pt>
                <c:pt idx="2776">
                  <c:v>498.9309999999986</c:v>
                </c:pt>
                <c:pt idx="2777">
                  <c:v>499.091</c:v>
                </c:pt>
                <c:pt idx="2778">
                  <c:v>499.262</c:v>
                </c:pt>
                <c:pt idx="2779">
                  <c:v>499.4409999999999</c:v>
                </c:pt>
                <c:pt idx="2780">
                  <c:v>499.616</c:v>
                </c:pt>
                <c:pt idx="2781">
                  <c:v>499.7929999999996</c:v>
                </c:pt>
                <c:pt idx="2782">
                  <c:v>499.9689999999989</c:v>
                </c:pt>
                <c:pt idx="2783">
                  <c:v>500.147</c:v>
                </c:pt>
                <c:pt idx="2784">
                  <c:v>500.326</c:v>
                </c:pt>
                <c:pt idx="2785">
                  <c:v>500.507</c:v>
                </c:pt>
                <c:pt idx="2786">
                  <c:v>500.682</c:v>
                </c:pt>
                <c:pt idx="2787">
                  <c:v>500.853</c:v>
                </c:pt>
                <c:pt idx="2788">
                  <c:v>501.02</c:v>
                </c:pt>
                <c:pt idx="2789">
                  <c:v>501.1859999999999</c:v>
                </c:pt>
                <c:pt idx="2790">
                  <c:v>501.3589999999999</c:v>
                </c:pt>
                <c:pt idx="2791">
                  <c:v>501.53</c:v>
                </c:pt>
                <c:pt idx="2792">
                  <c:v>501.6979999999999</c:v>
                </c:pt>
                <c:pt idx="2793">
                  <c:v>501.86</c:v>
                </c:pt>
                <c:pt idx="2794">
                  <c:v>502.017</c:v>
                </c:pt>
                <c:pt idx="2795">
                  <c:v>502.1809999999999</c:v>
                </c:pt>
                <c:pt idx="2796">
                  <c:v>502.353</c:v>
                </c:pt>
                <c:pt idx="2797">
                  <c:v>502.523</c:v>
                </c:pt>
                <c:pt idx="2798">
                  <c:v>502.68</c:v>
                </c:pt>
                <c:pt idx="2799">
                  <c:v>502.838</c:v>
                </c:pt>
                <c:pt idx="2800">
                  <c:v>502.999</c:v>
                </c:pt>
                <c:pt idx="2801">
                  <c:v>503.156</c:v>
                </c:pt>
                <c:pt idx="2802">
                  <c:v>503.307</c:v>
                </c:pt>
                <c:pt idx="2803">
                  <c:v>503.4689999999989</c:v>
                </c:pt>
                <c:pt idx="2804">
                  <c:v>503.632</c:v>
                </c:pt>
                <c:pt idx="2805">
                  <c:v>503.7909999999989</c:v>
                </c:pt>
                <c:pt idx="2806">
                  <c:v>503.9379999999989</c:v>
                </c:pt>
                <c:pt idx="2807">
                  <c:v>504.088</c:v>
                </c:pt>
                <c:pt idx="2808">
                  <c:v>504.2440000000001</c:v>
                </c:pt>
                <c:pt idx="2809">
                  <c:v>504.4069999999986</c:v>
                </c:pt>
                <c:pt idx="2810">
                  <c:v>504.579</c:v>
                </c:pt>
                <c:pt idx="2811">
                  <c:v>504.755</c:v>
                </c:pt>
                <c:pt idx="2812">
                  <c:v>504.932</c:v>
                </c:pt>
                <c:pt idx="2813">
                  <c:v>505.1070000000001</c:v>
                </c:pt>
                <c:pt idx="2814">
                  <c:v>505.2859999999989</c:v>
                </c:pt>
                <c:pt idx="2815">
                  <c:v>505.464</c:v>
                </c:pt>
                <c:pt idx="2816">
                  <c:v>505.642</c:v>
                </c:pt>
                <c:pt idx="2817">
                  <c:v>505.812</c:v>
                </c:pt>
                <c:pt idx="2818">
                  <c:v>505.9809999999989</c:v>
                </c:pt>
                <c:pt idx="2819">
                  <c:v>506.15</c:v>
                </c:pt>
                <c:pt idx="2820">
                  <c:v>506.322</c:v>
                </c:pt>
                <c:pt idx="2821">
                  <c:v>506.4959999999986</c:v>
                </c:pt>
                <c:pt idx="2822">
                  <c:v>506.67</c:v>
                </c:pt>
                <c:pt idx="2823">
                  <c:v>506.8419999999999</c:v>
                </c:pt>
                <c:pt idx="2824">
                  <c:v>507.005</c:v>
                </c:pt>
                <c:pt idx="2825">
                  <c:v>507.1720000000001</c:v>
                </c:pt>
                <c:pt idx="2826">
                  <c:v>507.338</c:v>
                </c:pt>
                <c:pt idx="2827">
                  <c:v>507.5059999999999</c:v>
                </c:pt>
                <c:pt idx="2828">
                  <c:v>507.675</c:v>
                </c:pt>
                <c:pt idx="2829">
                  <c:v>507.851</c:v>
                </c:pt>
                <c:pt idx="2830">
                  <c:v>508.0309999999996</c:v>
                </c:pt>
                <c:pt idx="2831">
                  <c:v>508.202</c:v>
                </c:pt>
                <c:pt idx="2832">
                  <c:v>508.373</c:v>
                </c:pt>
                <c:pt idx="2833">
                  <c:v>508.551</c:v>
                </c:pt>
                <c:pt idx="2834">
                  <c:v>508.7329999999992</c:v>
                </c:pt>
                <c:pt idx="2835">
                  <c:v>508.9139999999989</c:v>
                </c:pt>
                <c:pt idx="2836">
                  <c:v>509.0939999999989</c:v>
                </c:pt>
                <c:pt idx="2837">
                  <c:v>509.2579999999999</c:v>
                </c:pt>
                <c:pt idx="2838">
                  <c:v>509.415</c:v>
                </c:pt>
                <c:pt idx="2839">
                  <c:v>509.579</c:v>
                </c:pt>
                <c:pt idx="2840">
                  <c:v>509.752</c:v>
                </c:pt>
                <c:pt idx="2841">
                  <c:v>509.9279999999989</c:v>
                </c:pt>
                <c:pt idx="2842">
                  <c:v>510.1039999999999</c:v>
                </c:pt>
                <c:pt idx="2843">
                  <c:v>510.2809999999996</c:v>
                </c:pt>
                <c:pt idx="2844">
                  <c:v>510.454</c:v>
                </c:pt>
                <c:pt idx="2845">
                  <c:v>510.629</c:v>
                </c:pt>
                <c:pt idx="2846">
                  <c:v>510.808</c:v>
                </c:pt>
                <c:pt idx="2847">
                  <c:v>510.985</c:v>
                </c:pt>
                <c:pt idx="2848">
                  <c:v>511.144</c:v>
                </c:pt>
                <c:pt idx="2849">
                  <c:v>511.288</c:v>
                </c:pt>
                <c:pt idx="2850">
                  <c:v>511.4279999999989</c:v>
                </c:pt>
                <c:pt idx="2851">
                  <c:v>511.583</c:v>
                </c:pt>
                <c:pt idx="2852">
                  <c:v>511.745</c:v>
                </c:pt>
                <c:pt idx="2853">
                  <c:v>511.9109999999989</c:v>
                </c:pt>
                <c:pt idx="2854">
                  <c:v>512.076</c:v>
                </c:pt>
                <c:pt idx="2855">
                  <c:v>512.248</c:v>
                </c:pt>
                <c:pt idx="2856">
                  <c:v>512.4259999999994</c:v>
                </c:pt>
                <c:pt idx="2857">
                  <c:v>512.598</c:v>
                </c:pt>
                <c:pt idx="2858">
                  <c:v>512.764</c:v>
                </c:pt>
                <c:pt idx="2859">
                  <c:v>512.929</c:v>
                </c:pt>
                <c:pt idx="2860">
                  <c:v>513.084</c:v>
                </c:pt>
                <c:pt idx="2861">
                  <c:v>513.243</c:v>
                </c:pt>
                <c:pt idx="2862">
                  <c:v>513.4059999999994</c:v>
                </c:pt>
                <c:pt idx="2863">
                  <c:v>513.576</c:v>
                </c:pt>
                <c:pt idx="2864">
                  <c:v>513.7519999999994</c:v>
                </c:pt>
                <c:pt idx="2865">
                  <c:v>513.928</c:v>
                </c:pt>
                <c:pt idx="2866">
                  <c:v>514.104</c:v>
                </c:pt>
                <c:pt idx="2867">
                  <c:v>514.277</c:v>
                </c:pt>
                <c:pt idx="2868">
                  <c:v>514.449</c:v>
                </c:pt>
                <c:pt idx="2869">
                  <c:v>514.625</c:v>
                </c:pt>
                <c:pt idx="2870">
                  <c:v>514.789</c:v>
                </c:pt>
                <c:pt idx="2871">
                  <c:v>514.9529999999974</c:v>
                </c:pt>
                <c:pt idx="2872">
                  <c:v>515.1079999999994</c:v>
                </c:pt>
                <c:pt idx="2873">
                  <c:v>515.2619999999994</c:v>
                </c:pt>
                <c:pt idx="2874">
                  <c:v>515.423</c:v>
                </c:pt>
                <c:pt idx="2875">
                  <c:v>515.588</c:v>
                </c:pt>
                <c:pt idx="2876">
                  <c:v>515.76</c:v>
                </c:pt>
                <c:pt idx="2877">
                  <c:v>515.9379999999974</c:v>
                </c:pt>
                <c:pt idx="2878">
                  <c:v>516.1130000000001</c:v>
                </c:pt>
                <c:pt idx="2879">
                  <c:v>516.287</c:v>
                </c:pt>
                <c:pt idx="2880">
                  <c:v>516.4569999999974</c:v>
                </c:pt>
                <c:pt idx="2881">
                  <c:v>516.622</c:v>
                </c:pt>
                <c:pt idx="2882">
                  <c:v>516.789</c:v>
                </c:pt>
                <c:pt idx="2883">
                  <c:v>516.9609999999974</c:v>
                </c:pt>
                <c:pt idx="2884">
                  <c:v>517.136</c:v>
                </c:pt>
                <c:pt idx="2885">
                  <c:v>517.296</c:v>
                </c:pt>
                <c:pt idx="2886">
                  <c:v>517.4549999999994</c:v>
                </c:pt>
                <c:pt idx="2887">
                  <c:v>517.61</c:v>
                </c:pt>
                <c:pt idx="2888">
                  <c:v>517.771</c:v>
                </c:pt>
                <c:pt idx="2889">
                  <c:v>517.9419999999974</c:v>
                </c:pt>
                <c:pt idx="2890">
                  <c:v>518.115</c:v>
                </c:pt>
                <c:pt idx="2891">
                  <c:v>518.282</c:v>
                </c:pt>
                <c:pt idx="2892">
                  <c:v>518.4479999999974</c:v>
                </c:pt>
                <c:pt idx="2893">
                  <c:v>518.617</c:v>
                </c:pt>
                <c:pt idx="2894">
                  <c:v>518.786</c:v>
                </c:pt>
                <c:pt idx="2895">
                  <c:v>518.9659999999974</c:v>
                </c:pt>
                <c:pt idx="2896">
                  <c:v>519.145</c:v>
                </c:pt>
                <c:pt idx="2897">
                  <c:v>519.3249999999994</c:v>
                </c:pt>
                <c:pt idx="2898">
                  <c:v>519.508</c:v>
                </c:pt>
                <c:pt idx="2899">
                  <c:v>519.696</c:v>
                </c:pt>
                <c:pt idx="2900">
                  <c:v>519.883</c:v>
                </c:pt>
                <c:pt idx="2901">
                  <c:v>520.0659999999979</c:v>
                </c:pt>
                <c:pt idx="2902">
                  <c:v>520.2519999999994</c:v>
                </c:pt>
                <c:pt idx="2903">
                  <c:v>520.4349999999994</c:v>
                </c:pt>
                <c:pt idx="2904">
                  <c:v>520.617</c:v>
                </c:pt>
                <c:pt idx="2905">
                  <c:v>520.799</c:v>
                </c:pt>
                <c:pt idx="2906">
                  <c:v>520.981</c:v>
                </c:pt>
                <c:pt idx="2907">
                  <c:v>521.1619999999979</c:v>
                </c:pt>
                <c:pt idx="2908">
                  <c:v>521.3429999999923</c:v>
                </c:pt>
                <c:pt idx="2909">
                  <c:v>521.524</c:v>
                </c:pt>
                <c:pt idx="2910">
                  <c:v>521.703</c:v>
                </c:pt>
                <c:pt idx="2911">
                  <c:v>521.8769999999994</c:v>
                </c:pt>
                <c:pt idx="2912">
                  <c:v>522.053</c:v>
                </c:pt>
                <c:pt idx="2913">
                  <c:v>522.232</c:v>
                </c:pt>
                <c:pt idx="2914">
                  <c:v>522.4069999999994</c:v>
                </c:pt>
                <c:pt idx="2915">
                  <c:v>522.574</c:v>
                </c:pt>
                <c:pt idx="2916">
                  <c:v>522.739</c:v>
                </c:pt>
                <c:pt idx="2917">
                  <c:v>522.905</c:v>
                </c:pt>
                <c:pt idx="2918">
                  <c:v>523.0669999999974</c:v>
                </c:pt>
                <c:pt idx="2919">
                  <c:v>523.232</c:v>
                </c:pt>
                <c:pt idx="2920">
                  <c:v>523.4009999999994</c:v>
                </c:pt>
                <c:pt idx="2921">
                  <c:v>523.574</c:v>
                </c:pt>
                <c:pt idx="2922">
                  <c:v>523.751</c:v>
                </c:pt>
                <c:pt idx="2923">
                  <c:v>523.918</c:v>
                </c:pt>
                <c:pt idx="2924">
                  <c:v>524.072</c:v>
                </c:pt>
                <c:pt idx="2925">
                  <c:v>524.23</c:v>
                </c:pt>
                <c:pt idx="2926">
                  <c:v>524.393</c:v>
                </c:pt>
                <c:pt idx="2927">
                  <c:v>524.5569999999979</c:v>
                </c:pt>
                <c:pt idx="2928">
                  <c:v>524.713</c:v>
                </c:pt>
                <c:pt idx="2929">
                  <c:v>524.876</c:v>
                </c:pt>
                <c:pt idx="2930">
                  <c:v>525.049</c:v>
                </c:pt>
                <c:pt idx="2931">
                  <c:v>525.224</c:v>
                </c:pt>
                <c:pt idx="2932">
                  <c:v>525.391</c:v>
                </c:pt>
                <c:pt idx="2933">
                  <c:v>525.553</c:v>
                </c:pt>
                <c:pt idx="2934">
                  <c:v>525.721</c:v>
                </c:pt>
                <c:pt idx="2935">
                  <c:v>525.889</c:v>
                </c:pt>
                <c:pt idx="2936">
                  <c:v>526.054</c:v>
                </c:pt>
                <c:pt idx="2937">
                  <c:v>526.22</c:v>
                </c:pt>
                <c:pt idx="2938">
                  <c:v>526.381</c:v>
                </c:pt>
                <c:pt idx="2939">
                  <c:v>526.5469999999979</c:v>
                </c:pt>
                <c:pt idx="2940">
                  <c:v>526.719</c:v>
                </c:pt>
                <c:pt idx="2941">
                  <c:v>526.891</c:v>
                </c:pt>
                <c:pt idx="2942">
                  <c:v>527.0679999999974</c:v>
                </c:pt>
                <c:pt idx="2943">
                  <c:v>527.243</c:v>
                </c:pt>
                <c:pt idx="2944">
                  <c:v>527.4209999999994</c:v>
                </c:pt>
                <c:pt idx="2945">
                  <c:v>527.596</c:v>
                </c:pt>
                <c:pt idx="2946">
                  <c:v>527.766</c:v>
                </c:pt>
                <c:pt idx="2947">
                  <c:v>527.9399999999994</c:v>
                </c:pt>
                <c:pt idx="2948">
                  <c:v>528.112</c:v>
                </c:pt>
                <c:pt idx="2949">
                  <c:v>528.273</c:v>
                </c:pt>
                <c:pt idx="2950">
                  <c:v>528.4409999999979</c:v>
                </c:pt>
                <c:pt idx="2951">
                  <c:v>528.618</c:v>
                </c:pt>
                <c:pt idx="2952">
                  <c:v>528.79</c:v>
                </c:pt>
                <c:pt idx="2953">
                  <c:v>528.9659999999974</c:v>
                </c:pt>
                <c:pt idx="2954">
                  <c:v>529.141</c:v>
                </c:pt>
                <c:pt idx="2955">
                  <c:v>529.3059999999994</c:v>
                </c:pt>
                <c:pt idx="2956">
                  <c:v>529.4779999999994</c:v>
                </c:pt>
                <c:pt idx="2957">
                  <c:v>529.6559999999994</c:v>
                </c:pt>
                <c:pt idx="2958">
                  <c:v>529.8319999999974</c:v>
                </c:pt>
                <c:pt idx="2959">
                  <c:v>530.0119999999994</c:v>
                </c:pt>
                <c:pt idx="2960">
                  <c:v>530.197</c:v>
                </c:pt>
                <c:pt idx="2961">
                  <c:v>530.372</c:v>
                </c:pt>
                <c:pt idx="2962">
                  <c:v>530.5459999999994</c:v>
                </c:pt>
                <c:pt idx="2963">
                  <c:v>530.727</c:v>
                </c:pt>
                <c:pt idx="2964">
                  <c:v>530.91</c:v>
                </c:pt>
                <c:pt idx="2965">
                  <c:v>531.091</c:v>
                </c:pt>
                <c:pt idx="2966">
                  <c:v>531.27</c:v>
                </c:pt>
                <c:pt idx="2967">
                  <c:v>531.4509999999979</c:v>
                </c:pt>
                <c:pt idx="2968">
                  <c:v>531.631</c:v>
                </c:pt>
                <c:pt idx="2969">
                  <c:v>531.796</c:v>
                </c:pt>
                <c:pt idx="2970">
                  <c:v>531.9559999999979</c:v>
                </c:pt>
                <c:pt idx="2971">
                  <c:v>532.122</c:v>
                </c:pt>
                <c:pt idx="2972">
                  <c:v>532.29</c:v>
                </c:pt>
                <c:pt idx="2973">
                  <c:v>532.4569999999974</c:v>
                </c:pt>
                <c:pt idx="2974">
                  <c:v>532.628</c:v>
                </c:pt>
                <c:pt idx="2975">
                  <c:v>532.796</c:v>
                </c:pt>
                <c:pt idx="2976">
                  <c:v>532.9689999999994</c:v>
                </c:pt>
                <c:pt idx="2977">
                  <c:v>533.148</c:v>
                </c:pt>
                <c:pt idx="2978">
                  <c:v>533.3219999999974</c:v>
                </c:pt>
                <c:pt idx="2979">
                  <c:v>533.499</c:v>
                </c:pt>
                <c:pt idx="2980">
                  <c:v>533.671</c:v>
                </c:pt>
                <c:pt idx="2981">
                  <c:v>533.8429999999923</c:v>
                </c:pt>
                <c:pt idx="2982">
                  <c:v>534.019</c:v>
                </c:pt>
                <c:pt idx="2983">
                  <c:v>534.202</c:v>
                </c:pt>
                <c:pt idx="2984">
                  <c:v>534.383</c:v>
                </c:pt>
                <c:pt idx="2985">
                  <c:v>534.5579999999974</c:v>
                </c:pt>
                <c:pt idx="2986">
                  <c:v>534.721</c:v>
                </c:pt>
                <c:pt idx="2987">
                  <c:v>534.881</c:v>
                </c:pt>
                <c:pt idx="2988">
                  <c:v>535.045</c:v>
                </c:pt>
                <c:pt idx="2989">
                  <c:v>535.207</c:v>
                </c:pt>
                <c:pt idx="2990">
                  <c:v>535.3659999999974</c:v>
                </c:pt>
                <c:pt idx="2991">
                  <c:v>535.525</c:v>
                </c:pt>
                <c:pt idx="2992">
                  <c:v>535.683</c:v>
                </c:pt>
                <c:pt idx="2993">
                  <c:v>535.8339999999994</c:v>
                </c:pt>
                <c:pt idx="2994">
                  <c:v>535.989</c:v>
                </c:pt>
                <c:pt idx="2995">
                  <c:v>536.1419999999994</c:v>
                </c:pt>
                <c:pt idx="2996">
                  <c:v>536.3</c:v>
                </c:pt>
                <c:pt idx="2997">
                  <c:v>536.4549999999994</c:v>
                </c:pt>
                <c:pt idx="2998">
                  <c:v>536.6079999999994</c:v>
                </c:pt>
                <c:pt idx="2999">
                  <c:v>536.764</c:v>
                </c:pt>
                <c:pt idx="3000">
                  <c:v>536.9259999999994</c:v>
                </c:pt>
                <c:pt idx="3001">
                  <c:v>537.086</c:v>
                </c:pt>
                <c:pt idx="3002">
                  <c:v>537.237</c:v>
                </c:pt>
                <c:pt idx="3003">
                  <c:v>537.394</c:v>
                </c:pt>
                <c:pt idx="3004">
                  <c:v>537.553</c:v>
                </c:pt>
                <c:pt idx="3005">
                  <c:v>537.715</c:v>
                </c:pt>
                <c:pt idx="3006">
                  <c:v>537.88</c:v>
                </c:pt>
                <c:pt idx="3007">
                  <c:v>538.0499999999994</c:v>
                </c:pt>
                <c:pt idx="3008">
                  <c:v>538.23</c:v>
                </c:pt>
                <c:pt idx="3009">
                  <c:v>538.4119999999979</c:v>
                </c:pt>
                <c:pt idx="3010">
                  <c:v>538.591</c:v>
                </c:pt>
                <c:pt idx="3011">
                  <c:v>538.766</c:v>
                </c:pt>
                <c:pt idx="3012">
                  <c:v>538.9479999999974</c:v>
                </c:pt>
                <c:pt idx="3013">
                  <c:v>539.136</c:v>
                </c:pt>
                <c:pt idx="3014">
                  <c:v>539.3199999999994</c:v>
                </c:pt>
                <c:pt idx="3015">
                  <c:v>539.501</c:v>
                </c:pt>
                <c:pt idx="3016">
                  <c:v>539.68</c:v>
                </c:pt>
                <c:pt idx="3017">
                  <c:v>539.8609999999974</c:v>
                </c:pt>
                <c:pt idx="3018">
                  <c:v>540.0369999999979</c:v>
                </c:pt>
                <c:pt idx="3019">
                  <c:v>540.212</c:v>
                </c:pt>
                <c:pt idx="3020">
                  <c:v>540.393</c:v>
                </c:pt>
                <c:pt idx="3021">
                  <c:v>540.569</c:v>
                </c:pt>
                <c:pt idx="3022">
                  <c:v>540.734</c:v>
                </c:pt>
                <c:pt idx="3023">
                  <c:v>540.903</c:v>
                </c:pt>
                <c:pt idx="3024">
                  <c:v>541.077</c:v>
                </c:pt>
                <c:pt idx="3025">
                  <c:v>541.2519999999994</c:v>
                </c:pt>
                <c:pt idx="3026">
                  <c:v>541.4259999999994</c:v>
                </c:pt>
                <c:pt idx="3027">
                  <c:v>541.6</c:v>
                </c:pt>
                <c:pt idx="3028">
                  <c:v>541.775</c:v>
                </c:pt>
                <c:pt idx="3029">
                  <c:v>541.9509999999979</c:v>
                </c:pt>
                <c:pt idx="3030">
                  <c:v>542.123</c:v>
                </c:pt>
                <c:pt idx="3031">
                  <c:v>542.295</c:v>
                </c:pt>
                <c:pt idx="3032">
                  <c:v>542.4629999999925</c:v>
                </c:pt>
                <c:pt idx="3033">
                  <c:v>542.6319999999994</c:v>
                </c:pt>
                <c:pt idx="3034">
                  <c:v>542.804</c:v>
                </c:pt>
                <c:pt idx="3035">
                  <c:v>542.9779999999994</c:v>
                </c:pt>
                <c:pt idx="3036">
                  <c:v>543.15</c:v>
                </c:pt>
                <c:pt idx="3037">
                  <c:v>543.3259999999979</c:v>
                </c:pt>
                <c:pt idx="3038">
                  <c:v>543.501</c:v>
                </c:pt>
                <c:pt idx="3039">
                  <c:v>543.673</c:v>
                </c:pt>
                <c:pt idx="3040">
                  <c:v>543.8409999999974</c:v>
                </c:pt>
                <c:pt idx="3041">
                  <c:v>543.997</c:v>
                </c:pt>
                <c:pt idx="3042">
                  <c:v>544.163</c:v>
                </c:pt>
                <c:pt idx="3043">
                  <c:v>544.3369999999974</c:v>
                </c:pt>
                <c:pt idx="3044">
                  <c:v>544.511</c:v>
                </c:pt>
                <c:pt idx="3045">
                  <c:v>544.681</c:v>
                </c:pt>
                <c:pt idx="3046">
                  <c:v>544.8479999999921</c:v>
                </c:pt>
                <c:pt idx="3047">
                  <c:v>545.0069999999994</c:v>
                </c:pt>
                <c:pt idx="3048">
                  <c:v>545.1659999999994</c:v>
                </c:pt>
                <c:pt idx="3049">
                  <c:v>545.3199999999994</c:v>
                </c:pt>
                <c:pt idx="3050">
                  <c:v>545.482</c:v>
                </c:pt>
                <c:pt idx="3051">
                  <c:v>545.6509999999994</c:v>
                </c:pt>
                <c:pt idx="3052">
                  <c:v>545.8169999999974</c:v>
                </c:pt>
                <c:pt idx="3053">
                  <c:v>545.984</c:v>
                </c:pt>
                <c:pt idx="3054">
                  <c:v>546.154</c:v>
                </c:pt>
                <c:pt idx="3055">
                  <c:v>546.319</c:v>
                </c:pt>
                <c:pt idx="3056">
                  <c:v>546.482</c:v>
                </c:pt>
                <c:pt idx="3057">
                  <c:v>546.6509999999994</c:v>
                </c:pt>
                <c:pt idx="3058">
                  <c:v>546.8219999999974</c:v>
                </c:pt>
                <c:pt idx="3059">
                  <c:v>546.992</c:v>
                </c:pt>
                <c:pt idx="3060">
                  <c:v>547.158</c:v>
                </c:pt>
                <c:pt idx="3061">
                  <c:v>547.3169999999974</c:v>
                </c:pt>
                <c:pt idx="3062">
                  <c:v>547.4779999999994</c:v>
                </c:pt>
                <c:pt idx="3063">
                  <c:v>547.644</c:v>
                </c:pt>
                <c:pt idx="3064">
                  <c:v>547.809</c:v>
                </c:pt>
                <c:pt idx="3065">
                  <c:v>547.979</c:v>
                </c:pt>
                <c:pt idx="3066">
                  <c:v>548.153</c:v>
                </c:pt>
                <c:pt idx="3067">
                  <c:v>548.3319999999974</c:v>
                </c:pt>
                <c:pt idx="3068">
                  <c:v>548.508</c:v>
                </c:pt>
                <c:pt idx="3069">
                  <c:v>548.682</c:v>
                </c:pt>
                <c:pt idx="3070">
                  <c:v>548.8499999999979</c:v>
                </c:pt>
                <c:pt idx="3071">
                  <c:v>549.013</c:v>
                </c:pt>
                <c:pt idx="3072">
                  <c:v>549.173</c:v>
                </c:pt>
                <c:pt idx="3073">
                  <c:v>549.3289999999994</c:v>
                </c:pt>
                <c:pt idx="3074">
                  <c:v>549.493</c:v>
                </c:pt>
                <c:pt idx="3075">
                  <c:v>549.6619999999979</c:v>
                </c:pt>
                <c:pt idx="3076">
                  <c:v>549.8309999999979</c:v>
                </c:pt>
                <c:pt idx="3077">
                  <c:v>550.003</c:v>
                </c:pt>
                <c:pt idx="3078">
                  <c:v>550.171</c:v>
                </c:pt>
                <c:pt idx="3079">
                  <c:v>550.3349999999979</c:v>
                </c:pt>
                <c:pt idx="3080">
                  <c:v>550.509</c:v>
                </c:pt>
                <c:pt idx="3081">
                  <c:v>550.681</c:v>
                </c:pt>
                <c:pt idx="3082">
                  <c:v>550.8439999999994</c:v>
                </c:pt>
                <c:pt idx="3083">
                  <c:v>551.001</c:v>
                </c:pt>
                <c:pt idx="3084">
                  <c:v>551.163</c:v>
                </c:pt>
                <c:pt idx="3085">
                  <c:v>551.3339999999994</c:v>
                </c:pt>
                <c:pt idx="3086">
                  <c:v>551.503</c:v>
                </c:pt>
                <c:pt idx="3087">
                  <c:v>551.681</c:v>
                </c:pt>
                <c:pt idx="3088">
                  <c:v>551.8579999999902</c:v>
                </c:pt>
                <c:pt idx="3089">
                  <c:v>552.039</c:v>
                </c:pt>
                <c:pt idx="3090">
                  <c:v>552.218</c:v>
                </c:pt>
                <c:pt idx="3091">
                  <c:v>552.3969999999994</c:v>
                </c:pt>
                <c:pt idx="3092">
                  <c:v>552.57</c:v>
                </c:pt>
                <c:pt idx="3093">
                  <c:v>552.7380000000001</c:v>
                </c:pt>
                <c:pt idx="3094">
                  <c:v>552.91</c:v>
                </c:pt>
                <c:pt idx="3095">
                  <c:v>553.086</c:v>
                </c:pt>
                <c:pt idx="3096">
                  <c:v>553.254</c:v>
                </c:pt>
                <c:pt idx="3097">
                  <c:v>553.4219999999979</c:v>
                </c:pt>
                <c:pt idx="3098">
                  <c:v>553.5890000000001</c:v>
                </c:pt>
                <c:pt idx="3099">
                  <c:v>553.755</c:v>
                </c:pt>
                <c:pt idx="3100">
                  <c:v>553.9159999999994</c:v>
                </c:pt>
                <c:pt idx="3101">
                  <c:v>554.074</c:v>
                </c:pt>
                <c:pt idx="3102">
                  <c:v>554.223</c:v>
                </c:pt>
                <c:pt idx="3103">
                  <c:v>554.3769999999994</c:v>
                </c:pt>
                <c:pt idx="3104">
                  <c:v>554.54</c:v>
                </c:pt>
                <c:pt idx="3105">
                  <c:v>554.71</c:v>
                </c:pt>
                <c:pt idx="3106">
                  <c:v>554.878</c:v>
                </c:pt>
                <c:pt idx="3107">
                  <c:v>555.043</c:v>
                </c:pt>
                <c:pt idx="3108">
                  <c:v>555.206</c:v>
                </c:pt>
                <c:pt idx="3109">
                  <c:v>555.37</c:v>
                </c:pt>
                <c:pt idx="3110">
                  <c:v>555.5259999999994</c:v>
                </c:pt>
                <c:pt idx="3111">
                  <c:v>555.689</c:v>
                </c:pt>
                <c:pt idx="3112">
                  <c:v>555.8599999999974</c:v>
                </c:pt>
                <c:pt idx="3113">
                  <c:v>556.038</c:v>
                </c:pt>
                <c:pt idx="3114">
                  <c:v>556.222</c:v>
                </c:pt>
                <c:pt idx="3115">
                  <c:v>556.4019999999994</c:v>
                </c:pt>
                <c:pt idx="3116">
                  <c:v>556.585</c:v>
                </c:pt>
                <c:pt idx="3117">
                  <c:v>556.769</c:v>
                </c:pt>
                <c:pt idx="3118">
                  <c:v>556.9579999999974</c:v>
                </c:pt>
                <c:pt idx="3119">
                  <c:v>557.1469999999994</c:v>
                </c:pt>
                <c:pt idx="3120">
                  <c:v>557.3319999999974</c:v>
                </c:pt>
                <c:pt idx="3121">
                  <c:v>557.504</c:v>
                </c:pt>
                <c:pt idx="3122">
                  <c:v>557.6669999999979</c:v>
                </c:pt>
                <c:pt idx="3123">
                  <c:v>557.8279999999974</c:v>
                </c:pt>
                <c:pt idx="3124">
                  <c:v>557.982</c:v>
                </c:pt>
                <c:pt idx="3125">
                  <c:v>558.1319999999994</c:v>
                </c:pt>
                <c:pt idx="3126">
                  <c:v>558.284</c:v>
                </c:pt>
                <c:pt idx="3127">
                  <c:v>558.4429999999974</c:v>
                </c:pt>
                <c:pt idx="3128">
                  <c:v>558.61</c:v>
                </c:pt>
                <c:pt idx="3129">
                  <c:v>558.779</c:v>
                </c:pt>
                <c:pt idx="3130">
                  <c:v>558.9469999999974</c:v>
                </c:pt>
                <c:pt idx="3131">
                  <c:v>559.117</c:v>
                </c:pt>
                <c:pt idx="3132">
                  <c:v>559.292</c:v>
                </c:pt>
                <c:pt idx="3133">
                  <c:v>559.471</c:v>
                </c:pt>
                <c:pt idx="3134">
                  <c:v>559.654</c:v>
                </c:pt>
                <c:pt idx="3135">
                  <c:v>559.8369999999974</c:v>
                </c:pt>
                <c:pt idx="3136">
                  <c:v>560.021</c:v>
                </c:pt>
                <c:pt idx="3137">
                  <c:v>560.201</c:v>
                </c:pt>
                <c:pt idx="3138">
                  <c:v>560.3819999999994</c:v>
                </c:pt>
                <c:pt idx="3139">
                  <c:v>560.5599999999994</c:v>
                </c:pt>
                <c:pt idx="3140">
                  <c:v>560.736</c:v>
                </c:pt>
                <c:pt idx="3141">
                  <c:v>560.91</c:v>
                </c:pt>
                <c:pt idx="3142">
                  <c:v>561.084</c:v>
                </c:pt>
                <c:pt idx="3143">
                  <c:v>561.2519999999994</c:v>
                </c:pt>
                <c:pt idx="3144">
                  <c:v>561.424</c:v>
                </c:pt>
                <c:pt idx="3145">
                  <c:v>561.5890000000001</c:v>
                </c:pt>
                <c:pt idx="3146">
                  <c:v>561.743</c:v>
                </c:pt>
                <c:pt idx="3147">
                  <c:v>561.9019999999994</c:v>
                </c:pt>
                <c:pt idx="3148">
                  <c:v>562.0669999999974</c:v>
                </c:pt>
                <c:pt idx="3149">
                  <c:v>562.235</c:v>
                </c:pt>
                <c:pt idx="3150">
                  <c:v>562.403</c:v>
                </c:pt>
                <c:pt idx="3151">
                  <c:v>562.5649999999994</c:v>
                </c:pt>
                <c:pt idx="3152">
                  <c:v>562.7279999999994</c:v>
                </c:pt>
                <c:pt idx="3153">
                  <c:v>562.888</c:v>
                </c:pt>
                <c:pt idx="3154">
                  <c:v>563.0309999999994</c:v>
                </c:pt>
                <c:pt idx="3155">
                  <c:v>563.181</c:v>
                </c:pt>
                <c:pt idx="3156">
                  <c:v>563.3489999999994</c:v>
                </c:pt>
                <c:pt idx="3157">
                  <c:v>563.5219999999994</c:v>
                </c:pt>
                <c:pt idx="3158">
                  <c:v>563.692</c:v>
                </c:pt>
                <c:pt idx="3159">
                  <c:v>563.8649999999974</c:v>
                </c:pt>
                <c:pt idx="3160">
                  <c:v>564.033</c:v>
                </c:pt>
                <c:pt idx="3161">
                  <c:v>564.198</c:v>
                </c:pt>
                <c:pt idx="3162">
                  <c:v>564.3630000000001</c:v>
                </c:pt>
                <c:pt idx="3163">
                  <c:v>564.53</c:v>
                </c:pt>
                <c:pt idx="3164">
                  <c:v>564.685</c:v>
                </c:pt>
                <c:pt idx="3165">
                  <c:v>564.8379999999925</c:v>
                </c:pt>
                <c:pt idx="3166">
                  <c:v>564.997</c:v>
                </c:pt>
                <c:pt idx="3167">
                  <c:v>565.158</c:v>
                </c:pt>
                <c:pt idx="3168">
                  <c:v>565.319</c:v>
                </c:pt>
                <c:pt idx="3169">
                  <c:v>565.49</c:v>
                </c:pt>
                <c:pt idx="3170">
                  <c:v>565.6659999999994</c:v>
                </c:pt>
                <c:pt idx="3171">
                  <c:v>565.8419999999974</c:v>
                </c:pt>
                <c:pt idx="3172">
                  <c:v>566.0169999999994</c:v>
                </c:pt>
                <c:pt idx="3173">
                  <c:v>566.193</c:v>
                </c:pt>
                <c:pt idx="3174">
                  <c:v>566.3659999999974</c:v>
                </c:pt>
                <c:pt idx="3175">
                  <c:v>566.5309999999994</c:v>
                </c:pt>
                <c:pt idx="3176">
                  <c:v>566.698</c:v>
                </c:pt>
                <c:pt idx="3177">
                  <c:v>566.873</c:v>
                </c:pt>
                <c:pt idx="3178">
                  <c:v>567.0549999999994</c:v>
                </c:pt>
                <c:pt idx="3179">
                  <c:v>567.2329999999994</c:v>
                </c:pt>
                <c:pt idx="3180">
                  <c:v>567.409</c:v>
                </c:pt>
                <c:pt idx="3181">
                  <c:v>567.585</c:v>
                </c:pt>
                <c:pt idx="3182">
                  <c:v>567.769</c:v>
                </c:pt>
                <c:pt idx="3183">
                  <c:v>567.9579999999974</c:v>
                </c:pt>
                <c:pt idx="3184">
                  <c:v>568.1469999999994</c:v>
                </c:pt>
                <c:pt idx="3185">
                  <c:v>568.3309999999979</c:v>
                </c:pt>
                <c:pt idx="3186">
                  <c:v>568.51</c:v>
                </c:pt>
                <c:pt idx="3187">
                  <c:v>568.685</c:v>
                </c:pt>
                <c:pt idx="3188">
                  <c:v>568.8559999999974</c:v>
                </c:pt>
                <c:pt idx="3189">
                  <c:v>569.028</c:v>
                </c:pt>
                <c:pt idx="3190">
                  <c:v>569.199</c:v>
                </c:pt>
                <c:pt idx="3191">
                  <c:v>569.374</c:v>
                </c:pt>
                <c:pt idx="3192">
                  <c:v>569.553</c:v>
                </c:pt>
                <c:pt idx="3193">
                  <c:v>569.734</c:v>
                </c:pt>
                <c:pt idx="3194">
                  <c:v>569.908</c:v>
                </c:pt>
                <c:pt idx="3195">
                  <c:v>570.073</c:v>
                </c:pt>
                <c:pt idx="3196">
                  <c:v>570.232</c:v>
                </c:pt>
                <c:pt idx="3197">
                  <c:v>570.3969999999994</c:v>
                </c:pt>
                <c:pt idx="3198">
                  <c:v>570.5649999999994</c:v>
                </c:pt>
                <c:pt idx="3199">
                  <c:v>570.7279999999994</c:v>
                </c:pt>
                <c:pt idx="3200">
                  <c:v>570.893</c:v>
                </c:pt>
                <c:pt idx="3201">
                  <c:v>571.0609999999979</c:v>
                </c:pt>
                <c:pt idx="3202">
                  <c:v>571.236</c:v>
                </c:pt>
                <c:pt idx="3203">
                  <c:v>571.413</c:v>
                </c:pt>
                <c:pt idx="3204">
                  <c:v>571.585</c:v>
                </c:pt>
                <c:pt idx="3205">
                  <c:v>571.747</c:v>
                </c:pt>
                <c:pt idx="3206">
                  <c:v>571.9069999999994</c:v>
                </c:pt>
                <c:pt idx="3207">
                  <c:v>572.0669999999974</c:v>
                </c:pt>
                <c:pt idx="3208">
                  <c:v>572.2279999999994</c:v>
                </c:pt>
                <c:pt idx="3209">
                  <c:v>572.384</c:v>
                </c:pt>
                <c:pt idx="3210">
                  <c:v>572.548</c:v>
                </c:pt>
                <c:pt idx="3211">
                  <c:v>572.72</c:v>
                </c:pt>
                <c:pt idx="3212">
                  <c:v>572.884</c:v>
                </c:pt>
                <c:pt idx="3213">
                  <c:v>573.034</c:v>
                </c:pt>
                <c:pt idx="3214">
                  <c:v>573.197</c:v>
                </c:pt>
                <c:pt idx="3215">
                  <c:v>573.3630000000001</c:v>
                </c:pt>
                <c:pt idx="3216">
                  <c:v>573.5309999999994</c:v>
                </c:pt>
                <c:pt idx="3217">
                  <c:v>573.702</c:v>
                </c:pt>
                <c:pt idx="3218">
                  <c:v>573.8769999999994</c:v>
                </c:pt>
                <c:pt idx="3219">
                  <c:v>574.048</c:v>
                </c:pt>
                <c:pt idx="3220">
                  <c:v>574.216</c:v>
                </c:pt>
                <c:pt idx="3221">
                  <c:v>574.388</c:v>
                </c:pt>
                <c:pt idx="3222">
                  <c:v>574.5509999999994</c:v>
                </c:pt>
                <c:pt idx="3223">
                  <c:v>574.716</c:v>
                </c:pt>
                <c:pt idx="3224">
                  <c:v>574.885</c:v>
                </c:pt>
                <c:pt idx="3225">
                  <c:v>575.0549999999994</c:v>
                </c:pt>
                <c:pt idx="3226">
                  <c:v>575.227</c:v>
                </c:pt>
                <c:pt idx="3227">
                  <c:v>575.4</c:v>
                </c:pt>
                <c:pt idx="3228">
                  <c:v>575.576</c:v>
                </c:pt>
                <c:pt idx="3229">
                  <c:v>575.75</c:v>
                </c:pt>
                <c:pt idx="3230">
                  <c:v>575.9219999999979</c:v>
                </c:pt>
                <c:pt idx="3231">
                  <c:v>576.096</c:v>
                </c:pt>
                <c:pt idx="3232">
                  <c:v>576.265</c:v>
                </c:pt>
                <c:pt idx="3233">
                  <c:v>576.4399999999994</c:v>
                </c:pt>
                <c:pt idx="3234">
                  <c:v>576.611</c:v>
                </c:pt>
                <c:pt idx="3235">
                  <c:v>576.772</c:v>
                </c:pt>
                <c:pt idx="3236">
                  <c:v>576.9419999999974</c:v>
                </c:pt>
                <c:pt idx="3237">
                  <c:v>577.111</c:v>
                </c:pt>
                <c:pt idx="3238">
                  <c:v>577.289</c:v>
                </c:pt>
                <c:pt idx="3239">
                  <c:v>577.4659999999974</c:v>
                </c:pt>
                <c:pt idx="3240">
                  <c:v>577.64</c:v>
                </c:pt>
                <c:pt idx="3241">
                  <c:v>577.8169999999974</c:v>
                </c:pt>
                <c:pt idx="3242">
                  <c:v>577.997</c:v>
                </c:pt>
                <c:pt idx="3243">
                  <c:v>578.175</c:v>
                </c:pt>
                <c:pt idx="3244">
                  <c:v>578.3519999999974</c:v>
                </c:pt>
                <c:pt idx="3245">
                  <c:v>578.5319999999994</c:v>
                </c:pt>
                <c:pt idx="3246">
                  <c:v>578.709</c:v>
                </c:pt>
                <c:pt idx="3247">
                  <c:v>578.878</c:v>
                </c:pt>
                <c:pt idx="3248">
                  <c:v>579.048</c:v>
                </c:pt>
                <c:pt idx="3249">
                  <c:v>579.222</c:v>
                </c:pt>
                <c:pt idx="3250">
                  <c:v>579.394</c:v>
                </c:pt>
                <c:pt idx="3251">
                  <c:v>579.5659999999979</c:v>
                </c:pt>
                <c:pt idx="3252">
                  <c:v>579.74</c:v>
                </c:pt>
                <c:pt idx="3253">
                  <c:v>579.9159999999994</c:v>
                </c:pt>
                <c:pt idx="3254">
                  <c:v>580.093</c:v>
                </c:pt>
                <c:pt idx="3255">
                  <c:v>580.246</c:v>
                </c:pt>
                <c:pt idx="3256">
                  <c:v>580.396</c:v>
                </c:pt>
                <c:pt idx="3257">
                  <c:v>580.559</c:v>
                </c:pt>
                <c:pt idx="3258">
                  <c:v>580.731</c:v>
                </c:pt>
                <c:pt idx="3259">
                  <c:v>580.904</c:v>
                </c:pt>
                <c:pt idx="3260">
                  <c:v>581.076</c:v>
                </c:pt>
                <c:pt idx="3261">
                  <c:v>581.2519999999994</c:v>
                </c:pt>
                <c:pt idx="3262">
                  <c:v>581.428</c:v>
                </c:pt>
                <c:pt idx="3263">
                  <c:v>581.605</c:v>
                </c:pt>
                <c:pt idx="3264">
                  <c:v>581.777</c:v>
                </c:pt>
                <c:pt idx="3265">
                  <c:v>581.9369999999974</c:v>
                </c:pt>
                <c:pt idx="3266">
                  <c:v>582.105</c:v>
                </c:pt>
                <c:pt idx="3267">
                  <c:v>582.279</c:v>
                </c:pt>
                <c:pt idx="3268">
                  <c:v>582.4579999999974</c:v>
                </c:pt>
                <c:pt idx="3269">
                  <c:v>582.629</c:v>
                </c:pt>
                <c:pt idx="3270">
                  <c:v>582.799</c:v>
                </c:pt>
                <c:pt idx="3271">
                  <c:v>582.9689999999994</c:v>
                </c:pt>
                <c:pt idx="3272">
                  <c:v>583.145</c:v>
                </c:pt>
                <c:pt idx="3273">
                  <c:v>583.3229999999974</c:v>
                </c:pt>
                <c:pt idx="3274">
                  <c:v>583.494</c:v>
                </c:pt>
                <c:pt idx="3275">
                  <c:v>583.6619999999979</c:v>
                </c:pt>
                <c:pt idx="3276">
                  <c:v>583.8339999999994</c:v>
                </c:pt>
                <c:pt idx="3277">
                  <c:v>584.0069999999994</c:v>
                </c:pt>
                <c:pt idx="3278">
                  <c:v>584.179</c:v>
                </c:pt>
                <c:pt idx="3279">
                  <c:v>584.3549999999979</c:v>
                </c:pt>
                <c:pt idx="3280">
                  <c:v>584.529</c:v>
                </c:pt>
                <c:pt idx="3281">
                  <c:v>584.707</c:v>
                </c:pt>
                <c:pt idx="3282">
                  <c:v>584.88</c:v>
                </c:pt>
                <c:pt idx="3283">
                  <c:v>585.049</c:v>
                </c:pt>
                <c:pt idx="3284">
                  <c:v>585.215</c:v>
                </c:pt>
                <c:pt idx="3285">
                  <c:v>585.38</c:v>
                </c:pt>
                <c:pt idx="3286">
                  <c:v>585.544</c:v>
                </c:pt>
                <c:pt idx="3287">
                  <c:v>585.712</c:v>
                </c:pt>
                <c:pt idx="3288">
                  <c:v>585.8689999999979</c:v>
                </c:pt>
                <c:pt idx="3289">
                  <c:v>586.0119999999994</c:v>
                </c:pt>
                <c:pt idx="3290">
                  <c:v>586.1609999999994</c:v>
                </c:pt>
                <c:pt idx="3291">
                  <c:v>586.309</c:v>
                </c:pt>
                <c:pt idx="3292">
                  <c:v>586.4669999999974</c:v>
                </c:pt>
                <c:pt idx="3293">
                  <c:v>586.638</c:v>
                </c:pt>
                <c:pt idx="3294">
                  <c:v>586.8109999999979</c:v>
                </c:pt>
                <c:pt idx="3295">
                  <c:v>586.981</c:v>
                </c:pt>
                <c:pt idx="3296">
                  <c:v>587.1469999999994</c:v>
                </c:pt>
                <c:pt idx="3297">
                  <c:v>587.3169999999974</c:v>
                </c:pt>
                <c:pt idx="3298">
                  <c:v>587.49</c:v>
                </c:pt>
                <c:pt idx="3299">
                  <c:v>587.659</c:v>
                </c:pt>
                <c:pt idx="3300">
                  <c:v>587.8279999999974</c:v>
                </c:pt>
                <c:pt idx="3301">
                  <c:v>588.003</c:v>
                </c:pt>
                <c:pt idx="3302">
                  <c:v>588.184</c:v>
                </c:pt>
                <c:pt idx="3303">
                  <c:v>588.3639999999979</c:v>
                </c:pt>
                <c:pt idx="3304">
                  <c:v>588.5319999999994</c:v>
                </c:pt>
                <c:pt idx="3305">
                  <c:v>588.701</c:v>
                </c:pt>
                <c:pt idx="3306">
                  <c:v>588.874</c:v>
                </c:pt>
                <c:pt idx="3307">
                  <c:v>589.054</c:v>
                </c:pt>
                <c:pt idx="3308">
                  <c:v>589.2329999999994</c:v>
                </c:pt>
                <c:pt idx="3309">
                  <c:v>589.4069999999994</c:v>
                </c:pt>
                <c:pt idx="3310">
                  <c:v>589.583</c:v>
                </c:pt>
                <c:pt idx="3311">
                  <c:v>589.753</c:v>
                </c:pt>
                <c:pt idx="3312">
                  <c:v>589.9219999999979</c:v>
                </c:pt>
                <c:pt idx="3313">
                  <c:v>590.095</c:v>
                </c:pt>
                <c:pt idx="3314">
                  <c:v>590.266</c:v>
                </c:pt>
                <c:pt idx="3315">
                  <c:v>590.439</c:v>
                </c:pt>
                <c:pt idx="3316">
                  <c:v>590.6079999999994</c:v>
                </c:pt>
                <c:pt idx="3317">
                  <c:v>590.782</c:v>
                </c:pt>
                <c:pt idx="3318">
                  <c:v>590.9579999999974</c:v>
                </c:pt>
                <c:pt idx="3319">
                  <c:v>591.135</c:v>
                </c:pt>
                <c:pt idx="3320">
                  <c:v>591.3099999999994</c:v>
                </c:pt>
                <c:pt idx="3321">
                  <c:v>591.485</c:v>
                </c:pt>
                <c:pt idx="3322">
                  <c:v>591.65</c:v>
                </c:pt>
                <c:pt idx="3323">
                  <c:v>591.799</c:v>
                </c:pt>
                <c:pt idx="3324">
                  <c:v>591.9549999999994</c:v>
                </c:pt>
                <c:pt idx="3325">
                  <c:v>592.124</c:v>
                </c:pt>
                <c:pt idx="3326">
                  <c:v>592.3009999999994</c:v>
                </c:pt>
                <c:pt idx="3327">
                  <c:v>592.477</c:v>
                </c:pt>
                <c:pt idx="3328">
                  <c:v>592.654</c:v>
                </c:pt>
                <c:pt idx="3329">
                  <c:v>592.8209999999979</c:v>
                </c:pt>
                <c:pt idx="3330">
                  <c:v>592.981</c:v>
                </c:pt>
                <c:pt idx="3331">
                  <c:v>593.143</c:v>
                </c:pt>
                <c:pt idx="3332">
                  <c:v>593.3169999999974</c:v>
                </c:pt>
                <c:pt idx="3333">
                  <c:v>593.494</c:v>
                </c:pt>
                <c:pt idx="3334">
                  <c:v>593.669</c:v>
                </c:pt>
                <c:pt idx="3335">
                  <c:v>593.8439999999994</c:v>
                </c:pt>
                <c:pt idx="3336">
                  <c:v>594.021</c:v>
                </c:pt>
                <c:pt idx="3337">
                  <c:v>594.194</c:v>
                </c:pt>
                <c:pt idx="3338">
                  <c:v>594.3669999999912</c:v>
                </c:pt>
                <c:pt idx="3339">
                  <c:v>594.544</c:v>
                </c:pt>
                <c:pt idx="3340">
                  <c:v>594.711</c:v>
                </c:pt>
                <c:pt idx="3341">
                  <c:v>594.873</c:v>
                </c:pt>
                <c:pt idx="3342">
                  <c:v>595.043</c:v>
                </c:pt>
                <c:pt idx="3343">
                  <c:v>595.212</c:v>
                </c:pt>
                <c:pt idx="3344">
                  <c:v>595.374</c:v>
                </c:pt>
                <c:pt idx="3345">
                  <c:v>595.5309999999994</c:v>
                </c:pt>
                <c:pt idx="3346">
                  <c:v>595.692</c:v>
                </c:pt>
                <c:pt idx="3347">
                  <c:v>595.8559999999974</c:v>
                </c:pt>
                <c:pt idx="3348">
                  <c:v>596.028</c:v>
                </c:pt>
                <c:pt idx="3349">
                  <c:v>596.199</c:v>
                </c:pt>
                <c:pt idx="3350">
                  <c:v>596.3689999999979</c:v>
                </c:pt>
                <c:pt idx="3351">
                  <c:v>596.5369999999979</c:v>
                </c:pt>
                <c:pt idx="3352">
                  <c:v>596.701</c:v>
                </c:pt>
                <c:pt idx="3353">
                  <c:v>596.8569999999974</c:v>
                </c:pt>
                <c:pt idx="3354">
                  <c:v>597.014</c:v>
                </c:pt>
                <c:pt idx="3355">
                  <c:v>597.185</c:v>
                </c:pt>
                <c:pt idx="3356">
                  <c:v>597.3630000000001</c:v>
                </c:pt>
                <c:pt idx="3357">
                  <c:v>597.5409999999994</c:v>
                </c:pt>
                <c:pt idx="3358">
                  <c:v>597.717</c:v>
                </c:pt>
                <c:pt idx="3359">
                  <c:v>597.8919999999994</c:v>
                </c:pt>
                <c:pt idx="3360">
                  <c:v>598.0679999999974</c:v>
                </c:pt>
                <c:pt idx="3361">
                  <c:v>598.242</c:v>
                </c:pt>
                <c:pt idx="3362">
                  <c:v>598.413</c:v>
                </c:pt>
                <c:pt idx="3363">
                  <c:v>598.58</c:v>
                </c:pt>
                <c:pt idx="3364">
                  <c:v>598.742</c:v>
                </c:pt>
                <c:pt idx="3365">
                  <c:v>598.905</c:v>
                </c:pt>
                <c:pt idx="3366">
                  <c:v>599.079</c:v>
                </c:pt>
                <c:pt idx="3367">
                  <c:v>599.253</c:v>
                </c:pt>
                <c:pt idx="3368">
                  <c:v>599.4209999999994</c:v>
                </c:pt>
                <c:pt idx="3369">
                  <c:v>599.598</c:v>
                </c:pt>
                <c:pt idx="3370">
                  <c:v>599.775</c:v>
                </c:pt>
                <c:pt idx="3371">
                  <c:v>599.9479999999974</c:v>
                </c:pt>
                <c:pt idx="3372">
                  <c:v>600.122</c:v>
                </c:pt>
                <c:pt idx="3373">
                  <c:v>600.3009999999994</c:v>
                </c:pt>
                <c:pt idx="3374">
                  <c:v>600.4829999999994</c:v>
                </c:pt>
                <c:pt idx="3375">
                  <c:v>600.663</c:v>
                </c:pt>
                <c:pt idx="3376">
                  <c:v>600.8390000000001</c:v>
                </c:pt>
                <c:pt idx="3377">
                  <c:v>601.0119999999994</c:v>
                </c:pt>
                <c:pt idx="3378">
                  <c:v>601.187</c:v>
                </c:pt>
                <c:pt idx="3379">
                  <c:v>601.3599999999974</c:v>
                </c:pt>
                <c:pt idx="3380">
                  <c:v>601.516</c:v>
                </c:pt>
                <c:pt idx="3381">
                  <c:v>601.674</c:v>
                </c:pt>
                <c:pt idx="3382">
                  <c:v>601.8429999999923</c:v>
                </c:pt>
                <c:pt idx="3383">
                  <c:v>602.0169999999994</c:v>
                </c:pt>
                <c:pt idx="3384">
                  <c:v>602.193</c:v>
                </c:pt>
                <c:pt idx="3385">
                  <c:v>602.373</c:v>
                </c:pt>
                <c:pt idx="3386">
                  <c:v>602.5459999999994</c:v>
                </c:pt>
                <c:pt idx="3387">
                  <c:v>602.719</c:v>
                </c:pt>
                <c:pt idx="3388">
                  <c:v>602.8969999999994</c:v>
                </c:pt>
                <c:pt idx="3389">
                  <c:v>603.076</c:v>
                </c:pt>
                <c:pt idx="3390">
                  <c:v>603.255</c:v>
                </c:pt>
                <c:pt idx="3391">
                  <c:v>603.4319999999979</c:v>
                </c:pt>
                <c:pt idx="3392">
                  <c:v>603.605</c:v>
                </c:pt>
                <c:pt idx="3393">
                  <c:v>603.771</c:v>
                </c:pt>
                <c:pt idx="3394">
                  <c:v>603.9259999999994</c:v>
                </c:pt>
                <c:pt idx="3395">
                  <c:v>604.08</c:v>
                </c:pt>
                <c:pt idx="3396">
                  <c:v>604.237</c:v>
                </c:pt>
                <c:pt idx="3397">
                  <c:v>604.395</c:v>
                </c:pt>
                <c:pt idx="3398">
                  <c:v>604.553</c:v>
                </c:pt>
                <c:pt idx="3399">
                  <c:v>604.706</c:v>
                </c:pt>
                <c:pt idx="3400">
                  <c:v>604.8619999999918</c:v>
                </c:pt>
                <c:pt idx="3401">
                  <c:v>605.015</c:v>
                </c:pt>
                <c:pt idx="3402">
                  <c:v>605.18</c:v>
                </c:pt>
                <c:pt idx="3403">
                  <c:v>605.3549999999979</c:v>
                </c:pt>
                <c:pt idx="3404">
                  <c:v>605.5319999999994</c:v>
                </c:pt>
                <c:pt idx="3405">
                  <c:v>605.695</c:v>
                </c:pt>
                <c:pt idx="3406">
                  <c:v>605.8599999999974</c:v>
                </c:pt>
                <c:pt idx="3407">
                  <c:v>606.0309999999994</c:v>
                </c:pt>
                <c:pt idx="3408">
                  <c:v>606.207</c:v>
                </c:pt>
                <c:pt idx="3409">
                  <c:v>606.386</c:v>
                </c:pt>
                <c:pt idx="3410">
                  <c:v>606.5629999999974</c:v>
                </c:pt>
                <c:pt idx="3411">
                  <c:v>606.739</c:v>
                </c:pt>
                <c:pt idx="3412">
                  <c:v>606.91</c:v>
                </c:pt>
                <c:pt idx="3413">
                  <c:v>607.081</c:v>
                </c:pt>
                <c:pt idx="3414">
                  <c:v>607.244</c:v>
                </c:pt>
                <c:pt idx="3415">
                  <c:v>607.41</c:v>
                </c:pt>
                <c:pt idx="3416">
                  <c:v>607.573</c:v>
                </c:pt>
                <c:pt idx="3417">
                  <c:v>607.742</c:v>
                </c:pt>
                <c:pt idx="3418">
                  <c:v>607.9119999999979</c:v>
                </c:pt>
                <c:pt idx="3419">
                  <c:v>608.081</c:v>
                </c:pt>
                <c:pt idx="3420">
                  <c:v>608.247</c:v>
                </c:pt>
                <c:pt idx="3421">
                  <c:v>608.415</c:v>
                </c:pt>
                <c:pt idx="3422">
                  <c:v>608.582</c:v>
                </c:pt>
                <c:pt idx="3423">
                  <c:v>608.7519999999994</c:v>
                </c:pt>
                <c:pt idx="3424">
                  <c:v>608.9269999999979</c:v>
                </c:pt>
                <c:pt idx="3425">
                  <c:v>609.104</c:v>
                </c:pt>
                <c:pt idx="3426">
                  <c:v>609.278</c:v>
                </c:pt>
                <c:pt idx="3427">
                  <c:v>609.4569999999974</c:v>
                </c:pt>
                <c:pt idx="3428">
                  <c:v>609.633</c:v>
                </c:pt>
                <c:pt idx="3429">
                  <c:v>609.8049999999994</c:v>
                </c:pt>
                <c:pt idx="3430">
                  <c:v>609.974</c:v>
                </c:pt>
                <c:pt idx="3431">
                  <c:v>610.146</c:v>
                </c:pt>
                <c:pt idx="3432">
                  <c:v>610.3179999999974</c:v>
                </c:pt>
                <c:pt idx="3433">
                  <c:v>610.494</c:v>
                </c:pt>
                <c:pt idx="3434">
                  <c:v>610.668</c:v>
                </c:pt>
                <c:pt idx="3435">
                  <c:v>610.8409999999974</c:v>
                </c:pt>
                <c:pt idx="3436">
                  <c:v>611.013</c:v>
                </c:pt>
                <c:pt idx="3437">
                  <c:v>611.189</c:v>
                </c:pt>
                <c:pt idx="3438">
                  <c:v>611.3619999999918</c:v>
                </c:pt>
                <c:pt idx="3439">
                  <c:v>611.533</c:v>
                </c:pt>
                <c:pt idx="3440">
                  <c:v>611.706</c:v>
                </c:pt>
                <c:pt idx="3441">
                  <c:v>611.881</c:v>
                </c:pt>
                <c:pt idx="3442">
                  <c:v>612.0549999999994</c:v>
                </c:pt>
                <c:pt idx="3443">
                  <c:v>612.227</c:v>
                </c:pt>
                <c:pt idx="3444">
                  <c:v>612.395</c:v>
                </c:pt>
                <c:pt idx="3445">
                  <c:v>612.5679999999974</c:v>
                </c:pt>
                <c:pt idx="3446">
                  <c:v>612.74</c:v>
                </c:pt>
                <c:pt idx="3447">
                  <c:v>612.9119999999979</c:v>
                </c:pt>
                <c:pt idx="3448">
                  <c:v>613.083</c:v>
                </c:pt>
                <c:pt idx="3449">
                  <c:v>613.254</c:v>
                </c:pt>
                <c:pt idx="3450">
                  <c:v>613.423</c:v>
                </c:pt>
                <c:pt idx="3451">
                  <c:v>613.591</c:v>
                </c:pt>
                <c:pt idx="3452">
                  <c:v>613.759</c:v>
                </c:pt>
                <c:pt idx="3453">
                  <c:v>613.9259999999994</c:v>
                </c:pt>
                <c:pt idx="3454">
                  <c:v>614.0890000000001</c:v>
                </c:pt>
                <c:pt idx="3455">
                  <c:v>614.249</c:v>
                </c:pt>
                <c:pt idx="3456">
                  <c:v>614.413</c:v>
                </c:pt>
                <c:pt idx="3457">
                  <c:v>614.58</c:v>
                </c:pt>
                <c:pt idx="3458">
                  <c:v>614.7380000000001</c:v>
                </c:pt>
                <c:pt idx="3459">
                  <c:v>614.9019999999994</c:v>
                </c:pt>
                <c:pt idx="3460">
                  <c:v>615.069</c:v>
                </c:pt>
                <c:pt idx="3461">
                  <c:v>615.235</c:v>
                </c:pt>
                <c:pt idx="3462">
                  <c:v>615.399</c:v>
                </c:pt>
                <c:pt idx="3463">
                  <c:v>615.57</c:v>
                </c:pt>
                <c:pt idx="3464">
                  <c:v>615.735</c:v>
                </c:pt>
                <c:pt idx="3465">
                  <c:v>615.8969999999994</c:v>
                </c:pt>
                <c:pt idx="3466">
                  <c:v>616.0669999999974</c:v>
                </c:pt>
                <c:pt idx="3467">
                  <c:v>616.2329999999994</c:v>
                </c:pt>
                <c:pt idx="3468">
                  <c:v>616.3969999999994</c:v>
                </c:pt>
                <c:pt idx="3469">
                  <c:v>616.5629999999974</c:v>
                </c:pt>
                <c:pt idx="3470">
                  <c:v>616.73</c:v>
                </c:pt>
                <c:pt idx="3471">
                  <c:v>616.895</c:v>
                </c:pt>
                <c:pt idx="3472">
                  <c:v>617.0599999999994</c:v>
                </c:pt>
                <c:pt idx="3473">
                  <c:v>617.231</c:v>
                </c:pt>
                <c:pt idx="3474">
                  <c:v>617.409</c:v>
                </c:pt>
                <c:pt idx="3475">
                  <c:v>617.586</c:v>
                </c:pt>
                <c:pt idx="3476">
                  <c:v>617.7569999999994</c:v>
                </c:pt>
                <c:pt idx="3477">
                  <c:v>617.924</c:v>
                </c:pt>
                <c:pt idx="3478">
                  <c:v>618.085</c:v>
                </c:pt>
                <c:pt idx="3479">
                  <c:v>618.247</c:v>
                </c:pt>
                <c:pt idx="3480">
                  <c:v>618.4069999999994</c:v>
                </c:pt>
                <c:pt idx="3481">
                  <c:v>618.579</c:v>
                </c:pt>
                <c:pt idx="3482">
                  <c:v>618.755</c:v>
                </c:pt>
                <c:pt idx="3483">
                  <c:v>618.9219999999979</c:v>
                </c:pt>
                <c:pt idx="3484">
                  <c:v>619.086</c:v>
                </c:pt>
                <c:pt idx="3485">
                  <c:v>619.249</c:v>
                </c:pt>
                <c:pt idx="3486">
                  <c:v>619.423</c:v>
                </c:pt>
                <c:pt idx="3487">
                  <c:v>619.598</c:v>
                </c:pt>
                <c:pt idx="3488">
                  <c:v>619.769</c:v>
                </c:pt>
                <c:pt idx="3489">
                  <c:v>619.939</c:v>
                </c:pt>
                <c:pt idx="3490">
                  <c:v>620.106</c:v>
                </c:pt>
                <c:pt idx="3491">
                  <c:v>620.277</c:v>
                </c:pt>
                <c:pt idx="3492">
                  <c:v>620.449</c:v>
                </c:pt>
                <c:pt idx="3493">
                  <c:v>620.619</c:v>
                </c:pt>
                <c:pt idx="3494">
                  <c:v>620.779</c:v>
                </c:pt>
                <c:pt idx="3495">
                  <c:v>620.9309999999994</c:v>
                </c:pt>
                <c:pt idx="3496">
                  <c:v>621.084</c:v>
                </c:pt>
                <c:pt idx="3497">
                  <c:v>621.244</c:v>
                </c:pt>
                <c:pt idx="3498">
                  <c:v>621.408</c:v>
                </c:pt>
                <c:pt idx="3499">
                  <c:v>621.58</c:v>
                </c:pt>
                <c:pt idx="3500">
                  <c:v>621.754</c:v>
                </c:pt>
                <c:pt idx="3501">
                  <c:v>621.9269999999979</c:v>
                </c:pt>
                <c:pt idx="3502">
                  <c:v>622.092</c:v>
                </c:pt>
                <c:pt idx="3503">
                  <c:v>622.26</c:v>
                </c:pt>
                <c:pt idx="3504">
                  <c:v>622.4249999999994</c:v>
                </c:pt>
                <c:pt idx="3505">
                  <c:v>622.593</c:v>
                </c:pt>
                <c:pt idx="3506">
                  <c:v>622.7669999999994</c:v>
                </c:pt>
                <c:pt idx="3507">
                  <c:v>622.949</c:v>
                </c:pt>
                <c:pt idx="3508">
                  <c:v>623.133</c:v>
                </c:pt>
                <c:pt idx="3509">
                  <c:v>623.3159999999979</c:v>
                </c:pt>
                <c:pt idx="3510">
                  <c:v>623.494</c:v>
                </c:pt>
                <c:pt idx="3511">
                  <c:v>623.669</c:v>
                </c:pt>
                <c:pt idx="3512">
                  <c:v>623.8419999999974</c:v>
                </c:pt>
                <c:pt idx="3513">
                  <c:v>624.0219999999994</c:v>
                </c:pt>
                <c:pt idx="3514">
                  <c:v>624.201</c:v>
                </c:pt>
                <c:pt idx="3515">
                  <c:v>624.375</c:v>
                </c:pt>
                <c:pt idx="3516">
                  <c:v>624.549</c:v>
                </c:pt>
                <c:pt idx="3517">
                  <c:v>624.7279999999994</c:v>
                </c:pt>
                <c:pt idx="3518">
                  <c:v>624.904</c:v>
                </c:pt>
                <c:pt idx="3519">
                  <c:v>625.079</c:v>
                </c:pt>
                <c:pt idx="3520">
                  <c:v>625.255</c:v>
                </c:pt>
                <c:pt idx="3521">
                  <c:v>625.4359999999979</c:v>
                </c:pt>
                <c:pt idx="3522">
                  <c:v>625.616</c:v>
                </c:pt>
                <c:pt idx="3523">
                  <c:v>625.792</c:v>
                </c:pt>
                <c:pt idx="3524">
                  <c:v>625.975</c:v>
                </c:pt>
                <c:pt idx="3525">
                  <c:v>626.1569999999994</c:v>
                </c:pt>
                <c:pt idx="3526">
                  <c:v>626.3390000000001</c:v>
                </c:pt>
                <c:pt idx="3527">
                  <c:v>626.513</c:v>
                </c:pt>
                <c:pt idx="3528">
                  <c:v>626.684</c:v>
                </c:pt>
                <c:pt idx="3529">
                  <c:v>626.8589999999994</c:v>
                </c:pt>
                <c:pt idx="3530">
                  <c:v>627.0369999999979</c:v>
                </c:pt>
                <c:pt idx="3531">
                  <c:v>627.218</c:v>
                </c:pt>
                <c:pt idx="3532">
                  <c:v>627.4019999999994</c:v>
                </c:pt>
                <c:pt idx="3533">
                  <c:v>627.59</c:v>
                </c:pt>
                <c:pt idx="3534">
                  <c:v>627.775</c:v>
                </c:pt>
                <c:pt idx="3535">
                  <c:v>627.9549999999994</c:v>
                </c:pt>
                <c:pt idx="3536">
                  <c:v>628.1319999999994</c:v>
                </c:pt>
                <c:pt idx="3537">
                  <c:v>628.304</c:v>
                </c:pt>
                <c:pt idx="3538">
                  <c:v>628.475</c:v>
                </c:pt>
                <c:pt idx="3539">
                  <c:v>628.65</c:v>
                </c:pt>
                <c:pt idx="3540">
                  <c:v>628.8299999999994</c:v>
                </c:pt>
                <c:pt idx="3541">
                  <c:v>629.013</c:v>
                </c:pt>
                <c:pt idx="3542">
                  <c:v>629.189</c:v>
                </c:pt>
                <c:pt idx="3543">
                  <c:v>629.3579999999902</c:v>
                </c:pt>
                <c:pt idx="3544">
                  <c:v>629.529</c:v>
                </c:pt>
                <c:pt idx="3545">
                  <c:v>629.704</c:v>
                </c:pt>
                <c:pt idx="3546">
                  <c:v>629.875</c:v>
                </c:pt>
                <c:pt idx="3547">
                  <c:v>630.0459999999994</c:v>
                </c:pt>
                <c:pt idx="3548">
                  <c:v>630.222</c:v>
                </c:pt>
                <c:pt idx="3549">
                  <c:v>630.393</c:v>
                </c:pt>
                <c:pt idx="3550">
                  <c:v>630.559</c:v>
                </c:pt>
                <c:pt idx="3551">
                  <c:v>630.7329999999994</c:v>
                </c:pt>
                <c:pt idx="3552">
                  <c:v>630.9119999999979</c:v>
                </c:pt>
                <c:pt idx="3553">
                  <c:v>631.081</c:v>
                </c:pt>
                <c:pt idx="3554">
                  <c:v>631.246</c:v>
                </c:pt>
                <c:pt idx="3555">
                  <c:v>631.414</c:v>
                </c:pt>
                <c:pt idx="3556">
                  <c:v>631.585</c:v>
                </c:pt>
                <c:pt idx="3557">
                  <c:v>631.756</c:v>
                </c:pt>
                <c:pt idx="3558">
                  <c:v>631.929</c:v>
                </c:pt>
                <c:pt idx="3559">
                  <c:v>632.107</c:v>
                </c:pt>
                <c:pt idx="3560">
                  <c:v>632.287</c:v>
                </c:pt>
                <c:pt idx="3561">
                  <c:v>632.4619999999974</c:v>
                </c:pt>
                <c:pt idx="3562">
                  <c:v>632.638</c:v>
                </c:pt>
                <c:pt idx="3563">
                  <c:v>632.819</c:v>
                </c:pt>
                <c:pt idx="3564">
                  <c:v>633.003</c:v>
                </c:pt>
                <c:pt idx="3565">
                  <c:v>633.185</c:v>
                </c:pt>
                <c:pt idx="3566">
                  <c:v>633.3630000000001</c:v>
                </c:pt>
                <c:pt idx="3567">
                  <c:v>633.534</c:v>
                </c:pt>
                <c:pt idx="3568">
                  <c:v>633.711</c:v>
                </c:pt>
                <c:pt idx="3569">
                  <c:v>633.89</c:v>
                </c:pt>
                <c:pt idx="3570">
                  <c:v>634.0669999999974</c:v>
                </c:pt>
                <c:pt idx="3571">
                  <c:v>634.236</c:v>
                </c:pt>
                <c:pt idx="3572">
                  <c:v>634.4</c:v>
                </c:pt>
                <c:pt idx="3573">
                  <c:v>634.575</c:v>
                </c:pt>
                <c:pt idx="3574">
                  <c:v>634.754</c:v>
                </c:pt>
                <c:pt idx="3575">
                  <c:v>634.9329999999974</c:v>
                </c:pt>
                <c:pt idx="3576">
                  <c:v>635.114</c:v>
                </c:pt>
                <c:pt idx="3577">
                  <c:v>635.289</c:v>
                </c:pt>
                <c:pt idx="3578">
                  <c:v>635.4619999999974</c:v>
                </c:pt>
                <c:pt idx="3579">
                  <c:v>635.639</c:v>
                </c:pt>
                <c:pt idx="3580">
                  <c:v>635.814</c:v>
                </c:pt>
                <c:pt idx="3581">
                  <c:v>635.9880000000001</c:v>
                </c:pt>
                <c:pt idx="3582">
                  <c:v>636.1669999999979</c:v>
                </c:pt>
                <c:pt idx="3583">
                  <c:v>636.3459999999974</c:v>
                </c:pt>
                <c:pt idx="3584">
                  <c:v>636.5319999999994</c:v>
                </c:pt>
                <c:pt idx="3585">
                  <c:v>636.72</c:v>
                </c:pt>
                <c:pt idx="3586">
                  <c:v>636.903</c:v>
                </c:pt>
                <c:pt idx="3587">
                  <c:v>637.083</c:v>
                </c:pt>
                <c:pt idx="3588">
                  <c:v>637.265</c:v>
                </c:pt>
                <c:pt idx="3589">
                  <c:v>637.4419999999974</c:v>
                </c:pt>
                <c:pt idx="3590">
                  <c:v>637.612</c:v>
                </c:pt>
                <c:pt idx="3591">
                  <c:v>637.785</c:v>
                </c:pt>
                <c:pt idx="3592">
                  <c:v>637.9549999999994</c:v>
                </c:pt>
                <c:pt idx="3593">
                  <c:v>638.1319999999994</c:v>
                </c:pt>
                <c:pt idx="3594">
                  <c:v>638.3099999999994</c:v>
                </c:pt>
                <c:pt idx="3595">
                  <c:v>638.493</c:v>
                </c:pt>
                <c:pt idx="3596">
                  <c:v>638.671</c:v>
                </c:pt>
                <c:pt idx="3597">
                  <c:v>638.8489999999994</c:v>
                </c:pt>
                <c:pt idx="3598">
                  <c:v>639.0259999999994</c:v>
                </c:pt>
                <c:pt idx="3599">
                  <c:v>639.204</c:v>
                </c:pt>
                <c:pt idx="3600">
                  <c:v>639.378</c:v>
                </c:pt>
                <c:pt idx="3601">
                  <c:v>639.5469999999979</c:v>
                </c:pt>
                <c:pt idx="3602">
                  <c:v>639.716</c:v>
                </c:pt>
                <c:pt idx="3603">
                  <c:v>639.89</c:v>
                </c:pt>
                <c:pt idx="3604">
                  <c:v>640.0649999999994</c:v>
                </c:pt>
                <c:pt idx="3605">
                  <c:v>640.241</c:v>
                </c:pt>
                <c:pt idx="3606">
                  <c:v>640.4119999999979</c:v>
                </c:pt>
                <c:pt idx="3607">
                  <c:v>640.582</c:v>
                </c:pt>
                <c:pt idx="3608">
                  <c:v>640.744</c:v>
                </c:pt>
                <c:pt idx="3609">
                  <c:v>640.913</c:v>
                </c:pt>
                <c:pt idx="3610">
                  <c:v>641.085</c:v>
                </c:pt>
                <c:pt idx="3611">
                  <c:v>641.261</c:v>
                </c:pt>
                <c:pt idx="3612">
                  <c:v>641.439</c:v>
                </c:pt>
                <c:pt idx="3613">
                  <c:v>641.618</c:v>
                </c:pt>
                <c:pt idx="3614">
                  <c:v>641.774</c:v>
                </c:pt>
                <c:pt idx="3615">
                  <c:v>641.9169999999979</c:v>
                </c:pt>
                <c:pt idx="3616">
                  <c:v>642.054</c:v>
                </c:pt>
                <c:pt idx="3617">
                  <c:v>642.198</c:v>
                </c:pt>
                <c:pt idx="3618">
                  <c:v>642.3449999999979</c:v>
                </c:pt>
                <c:pt idx="3619">
                  <c:v>642.5</c:v>
                </c:pt>
                <c:pt idx="3620">
                  <c:v>642.665</c:v>
                </c:pt>
                <c:pt idx="3621">
                  <c:v>642.8339999999994</c:v>
                </c:pt>
                <c:pt idx="3622">
                  <c:v>643.001</c:v>
                </c:pt>
                <c:pt idx="3623">
                  <c:v>643.1619999999979</c:v>
                </c:pt>
                <c:pt idx="3624">
                  <c:v>643.3299999999994</c:v>
                </c:pt>
                <c:pt idx="3625">
                  <c:v>643.505</c:v>
                </c:pt>
                <c:pt idx="3626">
                  <c:v>643.679</c:v>
                </c:pt>
                <c:pt idx="3627">
                  <c:v>643.8529999999918</c:v>
                </c:pt>
                <c:pt idx="3628">
                  <c:v>644.033</c:v>
                </c:pt>
                <c:pt idx="3629">
                  <c:v>644.21</c:v>
                </c:pt>
                <c:pt idx="3630">
                  <c:v>644.383</c:v>
                </c:pt>
                <c:pt idx="3631">
                  <c:v>644.5499999999994</c:v>
                </c:pt>
                <c:pt idx="3632">
                  <c:v>644.72</c:v>
                </c:pt>
                <c:pt idx="3633">
                  <c:v>644.889</c:v>
                </c:pt>
                <c:pt idx="3634">
                  <c:v>645.0629999999974</c:v>
                </c:pt>
                <c:pt idx="3635">
                  <c:v>645.235</c:v>
                </c:pt>
                <c:pt idx="3636">
                  <c:v>645.394</c:v>
                </c:pt>
                <c:pt idx="3637">
                  <c:v>645.5369999999979</c:v>
                </c:pt>
                <c:pt idx="3638">
                  <c:v>645.69</c:v>
                </c:pt>
                <c:pt idx="3639">
                  <c:v>645.8529999999918</c:v>
                </c:pt>
                <c:pt idx="3640">
                  <c:v>646.0219999999994</c:v>
                </c:pt>
                <c:pt idx="3641">
                  <c:v>646.194</c:v>
                </c:pt>
                <c:pt idx="3642">
                  <c:v>646.37</c:v>
                </c:pt>
                <c:pt idx="3643">
                  <c:v>646.548</c:v>
                </c:pt>
                <c:pt idx="3644">
                  <c:v>646.7279999999994</c:v>
                </c:pt>
                <c:pt idx="3645">
                  <c:v>646.898</c:v>
                </c:pt>
                <c:pt idx="3646">
                  <c:v>647.0619999999974</c:v>
                </c:pt>
                <c:pt idx="3647">
                  <c:v>647.235</c:v>
                </c:pt>
                <c:pt idx="3648">
                  <c:v>647.4159999999994</c:v>
                </c:pt>
                <c:pt idx="3649">
                  <c:v>647.595</c:v>
                </c:pt>
                <c:pt idx="3650">
                  <c:v>647.7619999999994</c:v>
                </c:pt>
                <c:pt idx="3651">
                  <c:v>647.928</c:v>
                </c:pt>
                <c:pt idx="3652">
                  <c:v>648.1029999999994</c:v>
                </c:pt>
                <c:pt idx="3653">
                  <c:v>648.28</c:v>
                </c:pt>
                <c:pt idx="3654">
                  <c:v>648.4469999999974</c:v>
                </c:pt>
                <c:pt idx="3655">
                  <c:v>648.62</c:v>
                </c:pt>
                <c:pt idx="3656">
                  <c:v>648.791</c:v>
                </c:pt>
                <c:pt idx="3657">
                  <c:v>648.9640000000001</c:v>
                </c:pt>
                <c:pt idx="3658">
                  <c:v>649.143</c:v>
                </c:pt>
                <c:pt idx="3659">
                  <c:v>649.3279999999974</c:v>
                </c:pt>
                <c:pt idx="3660">
                  <c:v>649.504</c:v>
                </c:pt>
                <c:pt idx="3661">
                  <c:v>649.672</c:v>
                </c:pt>
                <c:pt idx="3662">
                  <c:v>649.8479999999921</c:v>
                </c:pt>
                <c:pt idx="3663">
                  <c:v>650.024</c:v>
                </c:pt>
                <c:pt idx="3664">
                  <c:v>650.203</c:v>
                </c:pt>
                <c:pt idx="3665">
                  <c:v>650.385</c:v>
                </c:pt>
                <c:pt idx="3666">
                  <c:v>650.569</c:v>
                </c:pt>
                <c:pt idx="3667">
                  <c:v>650.751</c:v>
                </c:pt>
                <c:pt idx="3668">
                  <c:v>650.924</c:v>
                </c:pt>
                <c:pt idx="3669">
                  <c:v>651.099</c:v>
                </c:pt>
                <c:pt idx="3670">
                  <c:v>651.275</c:v>
                </c:pt>
                <c:pt idx="3671">
                  <c:v>651.4499999999994</c:v>
                </c:pt>
                <c:pt idx="3672">
                  <c:v>651.626</c:v>
                </c:pt>
                <c:pt idx="3673">
                  <c:v>651.803</c:v>
                </c:pt>
                <c:pt idx="3674">
                  <c:v>651.977</c:v>
                </c:pt>
                <c:pt idx="3675">
                  <c:v>652.145</c:v>
                </c:pt>
                <c:pt idx="3676">
                  <c:v>652.3129999999974</c:v>
                </c:pt>
                <c:pt idx="3677">
                  <c:v>652.481</c:v>
                </c:pt>
                <c:pt idx="3678">
                  <c:v>652.648</c:v>
                </c:pt>
                <c:pt idx="3679">
                  <c:v>652.8199999999994</c:v>
                </c:pt>
                <c:pt idx="3680">
                  <c:v>652.99</c:v>
                </c:pt>
                <c:pt idx="3681">
                  <c:v>653.1559999999994</c:v>
                </c:pt>
                <c:pt idx="3682">
                  <c:v>653.3169999999974</c:v>
                </c:pt>
                <c:pt idx="3683">
                  <c:v>653.484</c:v>
                </c:pt>
                <c:pt idx="3684">
                  <c:v>653.654</c:v>
                </c:pt>
                <c:pt idx="3685">
                  <c:v>653.8169999999974</c:v>
                </c:pt>
                <c:pt idx="3686">
                  <c:v>653.981</c:v>
                </c:pt>
                <c:pt idx="3687">
                  <c:v>654.148</c:v>
                </c:pt>
                <c:pt idx="3688">
                  <c:v>654.3209999999979</c:v>
                </c:pt>
                <c:pt idx="3689">
                  <c:v>654.496</c:v>
                </c:pt>
                <c:pt idx="3690">
                  <c:v>654.669</c:v>
                </c:pt>
                <c:pt idx="3691">
                  <c:v>654.8399999999979</c:v>
                </c:pt>
                <c:pt idx="3692">
                  <c:v>655.0169999999994</c:v>
                </c:pt>
                <c:pt idx="3693">
                  <c:v>655.198</c:v>
                </c:pt>
                <c:pt idx="3694">
                  <c:v>655.373</c:v>
                </c:pt>
                <c:pt idx="3695">
                  <c:v>655.55</c:v>
                </c:pt>
                <c:pt idx="3696">
                  <c:v>655.7279999999994</c:v>
                </c:pt>
                <c:pt idx="3697">
                  <c:v>655.9009999999994</c:v>
                </c:pt>
                <c:pt idx="3698">
                  <c:v>656.073</c:v>
                </c:pt>
                <c:pt idx="3699">
                  <c:v>656.243</c:v>
                </c:pt>
                <c:pt idx="3700">
                  <c:v>656.405</c:v>
                </c:pt>
                <c:pt idx="3701">
                  <c:v>656.569</c:v>
                </c:pt>
                <c:pt idx="3702">
                  <c:v>656.736</c:v>
                </c:pt>
                <c:pt idx="3703">
                  <c:v>656.9109999999994</c:v>
                </c:pt>
                <c:pt idx="3704">
                  <c:v>657.091</c:v>
                </c:pt>
                <c:pt idx="3705">
                  <c:v>657.273</c:v>
                </c:pt>
                <c:pt idx="3706">
                  <c:v>657.4579999999974</c:v>
                </c:pt>
                <c:pt idx="3707">
                  <c:v>657.6419999999994</c:v>
                </c:pt>
                <c:pt idx="3708">
                  <c:v>657.8209999999979</c:v>
                </c:pt>
                <c:pt idx="3709">
                  <c:v>658.001</c:v>
                </c:pt>
                <c:pt idx="3710">
                  <c:v>658.179</c:v>
                </c:pt>
                <c:pt idx="3711">
                  <c:v>658.3609999999974</c:v>
                </c:pt>
                <c:pt idx="3712">
                  <c:v>658.538</c:v>
                </c:pt>
                <c:pt idx="3713">
                  <c:v>658.7140000000001</c:v>
                </c:pt>
                <c:pt idx="3714">
                  <c:v>658.89</c:v>
                </c:pt>
                <c:pt idx="3715">
                  <c:v>659.0669999999974</c:v>
                </c:pt>
                <c:pt idx="3716">
                  <c:v>659.248</c:v>
                </c:pt>
                <c:pt idx="3717">
                  <c:v>659.4309999999994</c:v>
                </c:pt>
                <c:pt idx="3718">
                  <c:v>659.61</c:v>
                </c:pt>
                <c:pt idx="3719">
                  <c:v>659.792</c:v>
                </c:pt>
                <c:pt idx="3720">
                  <c:v>659.971</c:v>
                </c:pt>
                <c:pt idx="3721">
                  <c:v>660.141</c:v>
                </c:pt>
                <c:pt idx="3722">
                  <c:v>660.3099999999994</c:v>
                </c:pt>
                <c:pt idx="3723">
                  <c:v>660.485</c:v>
                </c:pt>
                <c:pt idx="3724">
                  <c:v>660.6559999999994</c:v>
                </c:pt>
                <c:pt idx="3725">
                  <c:v>660.8209999999979</c:v>
                </c:pt>
                <c:pt idx="3726">
                  <c:v>660.984</c:v>
                </c:pt>
                <c:pt idx="3727">
                  <c:v>661.148</c:v>
                </c:pt>
                <c:pt idx="3728">
                  <c:v>661.3169999999974</c:v>
                </c:pt>
                <c:pt idx="3729">
                  <c:v>661.487</c:v>
                </c:pt>
                <c:pt idx="3730">
                  <c:v>661.658</c:v>
                </c:pt>
                <c:pt idx="3731">
                  <c:v>661.8279999999974</c:v>
                </c:pt>
                <c:pt idx="3732">
                  <c:v>661.991</c:v>
                </c:pt>
                <c:pt idx="3733">
                  <c:v>662.154</c:v>
                </c:pt>
                <c:pt idx="3734">
                  <c:v>662.3279999999974</c:v>
                </c:pt>
                <c:pt idx="3735">
                  <c:v>662.5019999999994</c:v>
                </c:pt>
                <c:pt idx="3736">
                  <c:v>662.676</c:v>
                </c:pt>
                <c:pt idx="3737">
                  <c:v>662.8479999999921</c:v>
                </c:pt>
                <c:pt idx="3738">
                  <c:v>663.018</c:v>
                </c:pt>
                <c:pt idx="3739">
                  <c:v>663.18</c:v>
                </c:pt>
                <c:pt idx="3740">
                  <c:v>663.3469999999974</c:v>
                </c:pt>
                <c:pt idx="3741">
                  <c:v>663.519</c:v>
                </c:pt>
                <c:pt idx="3742">
                  <c:v>663.695</c:v>
                </c:pt>
                <c:pt idx="3743">
                  <c:v>663.87</c:v>
                </c:pt>
                <c:pt idx="3744">
                  <c:v>664.043</c:v>
                </c:pt>
                <c:pt idx="3745">
                  <c:v>664.215</c:v>
                </c:pt>
                <c:pt idx="3746">
                  <c:v>664.386</c:v>
                </c:pt>
                <c:pt idx="3747">
                  <c:v>664.564</c:v>
                </c:pt>
                <c:pt idx="3748">
                  <c:v>664.748</c:v>
                </c:pt>
                <c:pt idx="3749">
                  <c:v>664.9209999999994</c:v>
                </c:pt>
                <c:pt idx="3750">
                  <c:v>665.095</c:v>
                </c:pt>
                <c:pt idx="3751">
                  <c:v>665.274</c:v>
                </c:pt>
                <c:pt idx="3752">
                  <c:v>665.4519999999974</c:v>
                </c:pt>
                <c:pt idx="3753">
                  <c:v>665.626</c:v>
                </c:pt>
                <c:pt idx="3754">
                  <c:v>665.795</c:v>
                </c:pt>
                <c:pt idx="3755">
                  <c:v>665.9589999999994</c:v>
                </c:pt>
                <c:pt idx="3756">
                  <c:v>666.119</c:v>
                </c:pt>
                <c:pt idx="3757">
                  <c:v>666.284</c:v>
                </c:pt>
                <c:pt idx="3758">
                  <c:v>666.4539999999994</c:v>
                </c:pt>
                <c:pt idx="3759">
                  <c:v>666.626</c:v>
                </c:pt>
                <c:pt idx="3760">
                  <c:v>666.795</c:v>
                </c:pt>
                <c:pt idx="3761">
                  <c:v>666.97</c:v>
                </c:pt>
                <c:pt idx="3762">
                  <c:v>667.149</c:v>
                </c:pt>
                <c:pt idx="3763">
                  <c:v>667.3279999999974</c:v>
                </c:pt>
                <c:pt idx="3764">
                  <c:v>667.5069999999994</c:v>
                </c:pt>
                <c:pt idx="3765">
                  <c:v>667.68</c:v>
                </c:pt>
                <c:pt idx="3766">
                  <c:v>667.8559999999974</c:v>
                </c:pt>
                <c:pt idx="3767">
                  <c:v>668.03</c:v>
                </c:pt>
                <c:pt idx="3768">
                  <c:v>668.195</c:v>
                </c:pt>
                <c:pt idx="3769">
                  <c:v>668.3619999999918</c:v>
                </c:pt>
                <c:pt idx="3770">
                  <c:v>668.5369999999979</c:v>
                </c:pt>
                <c:pt idx="3771">
                  <c:v>668.707</c:v>
                </c:pt>
                <c:pt idx="3772">
                  <c:v>668.8659999999974</c:v>
                </c:pt>
                <c:pt idx="3773">
                  <c:v>669.023</c:v>
                </c:pt>
                <c:pt idx="3774">
                  <c:v>669.188</c:v>
                </c:pt>
                <c:pt idx="3775">
                  <c:v>669.3539999999994</c:v>
                </c:pt>
                <c:pt idx="3776">
                  <c:v>669.523</c:v>
                </c:pt>
                <c:pt idx="3777">
                  <c:v>669.702</c:v>
                </c:pt>
                <c:pt idx="3778">
                  <c:v>669.886</c:v>
                </c:pt>
                <c:pt idx="3779">
                  <c:v>670.071</c:v>
                </c:pt>
                <c:pt idx="3780">
                  <c:v>670.2569999999994</c:v>
                </c:pt>
                <c:pt idx="3781">
                  <c:v>670.4419999999974</c:v>
                </c:pt>
                <c:pt idx="3782">
                  <c:v>670.622</c:v>
                </c:pt>
                <c:pt idx="3783">
                  <c:v>670.799</c:v>
                </c:pt>
                <c:pt idx="3784">
                  <c:v>670.973</c:v>
                </c:pt>
                <c:pt idx="3785">
                  <c:v>671.129</c:v>
                </c:pt>
                <c:pt idx="3786">
                  <c:v>671.286</c:v>
                </c:pt>
                <c:pt idx="3787">
                  <c:v>671.4479999999974</c:v>
                </c:pt>
                <c:pt idx="3788">
                  <c:v>671.614</c:v>
                </c:pt>
                <c:pt idx="3789">
                  <c:v>671.787</c:v>
                </c:pt>
                <c:pt idx="3790">
                  <c:v>671.9679999999923</c:v>
                </c:pt>
                <c:pt idx="3791">
                  <c:v>672.148</c:v>
                </c:pt>
                <c:pt idx="3792">
                  <c:v>672.3299999999994</c:v>
                </c:pt>
                <c:pt idx="3793">
                  <c:v>672.51</c:v>
                </c:pt>
                <c:pt idx="3794">
                  <c:v>672.688</c:v>
                </c:pt>
                <c:pt idx="3795">
                  <c:v>672.8649999999974</c:v>
                </c:pt>
                <c:pt idx="3796">
                  <c:v>673.0419999999979</c:v>
                </c:pt>
                <c:pt idx="3797">
                  <c:v>673.21</c:v>
                </c:pt>
                <c:pt idx="3798">
                  <c:v>673.38</c:v>
                </c:pt>
                <c:pt idx="3799">
                  <c:v>673.5559999999994</c:v>
                </c:pt>
                <c:pt idx="3800">
                  <c:v>673.736</c:v>
                </c:pt>
                <c:pt idx="3801">
                  <c:v>673.908</c:v>
                </c:pt>
                <c:pt idx="3802">
                  <c:v>674.075</c:v>
                </c:pt>
                <c:pt idx="3803">
                  <c:v>674.241</c:v>
                </c:pt>
                <c:pt idx="3804">
                  <c:v>674.41</c:v>
                </c:pt>
                <c:pt idx="3805">
                  <c:v>674.578</c:v>
                </c:pt>
                <c:pt idx="3806">
                  <c:v>674.75</c:v>
                </c:pt>
                <c:pt idx="3807">
                  <c:v>674.9249999999994</c:v>
                </c:pt>
                <c:pt idx="3808">
                  <c:v>675.106</c:v>
                </c:pt>
                <c:pt idx="3809">
                  <c:v>675.287</c:v>
                </c:pt>
                <c:pt idx="3810">
                  <c:v>675.471</c:v>
                </c:pt>
                <c:pt idx="3811">
                  <c:v>675.6559999999994</c:v>
                </c:pt>
                <c:pt idx="3812">
                  <c:v>675.8319999999974</c:v>
                </c:pt>
                <c:pt idx="3813">
                  <c:v>675.998</c:v>
                </c:pt>
                <c:pt idx="3814">
                  <c:v>676.1659999999994</c:v>
                </c:pt>
                <c:pt idx="3815">
                  <c:v>676.3379999999925</c:v>
                </c:pt>
                <c:pt idx="3816">
                  <c:v>676.514</c:v>
                </c:pt>
                <c:pt idx="3817">
                  <c:v>676.691</c:v>
                </c:pt>
                <c:pt idx="3818">
                  <c:v>676.8639999999979</c:v>
                </c:pt>
                <c:pt idx="3819">
                  <c:v>677.0309999999994</c:v>
                </c:pt>
                <c:pt idx="3820">
                  <c:v>677.201</c:v>
                </c:pt>
                <c:pt idx="3821">
                  <c:v>677.373</c:v>
                </c:pt>
                <c:pt idx="3822">
                  <c:v>677.5419999999979</c:v>
                </c:pt>
                <c:pt idx="3823">
                  <c:v>677.712</c:v>
                </c:pt>
                <c:pt idx="3824">
                  <c:v>677.888</c:v>
                </c:pt>
                <c:pt idx="3825">
                  <c:v>678.059</c:v>
                </c:pt>
                <c:pt idx="3826">
                  <c:v>678.218</c:v>
                </c:pt>
                <c:pt idx="3827">
                  <c:v>678.378</c:v>
                </c:pt>
                <c:pt idx="3828">
                  <c:v>678.5459999999994</c:v>
                </c:pt>
                <c:pt idx="3829">
                  <c:v>678.715</c:v>
                </c:pt>
                <c:pt idx="3830">
                  <c:v>678.878</c:v>
                </c:pt>
                <c:pt idx="3831">
                  <c:v>679.039</c:v>
                </c:pt>
                <c:pt idx="3832">
                  <c:v>679.211</c:v>
                </c:pt>
                <c:pt idx="3833">
                  <c:v>679.39</c:v>
                </c:pt>
                <c:pt idx="3834">
                  <c:v>679.572</c:v>
                </c:pt>
                <c:pt idx="3835">
                  <c:v>679.755</c:v>
                </c:pt>
                <c:pt idx="3836">
                  <c:v>679.9419999999974</c:v>
                </c:pt>
                <c:pt idx="3837">
                  <c:v>680.112</c:v>
                </c:pt>
                <c:pt idx="3838">
                  <c:v>680.279</c:v>
                </c:pt>
                <c:pt idx="3839">
                  <c:v>680.4509999999979</c:v>
                </c:pt>
                <c:pt idx="3840">
                  <c:v>680.628</c:v>
                </c:pt>
                <c:pt idx="3841">
                  <c:v>680.8109999999979</c:v>
                </c:pt>
                <c:pt idx="3842">
                  <c:v>680.995</c:v>
                </c:pt>
                <c:pt idx="3843">
                  <c:v>681.176</c:v>
                </c:pt>
                <c:pt idx="3844">
                  <c:v>681.3489999999994</c:v>
                </c:pt>
                <c:pt idx="3845">
                  <c:v>681.525</c:v>
                </c:pt>
                <c:pt idx="3846">
                  <c:v>681.705</c:v>
                </c:pt>
                <c:pt idx="3847">
                  <c:v>681.886</c:v>
                </c:pt>
                <c:pt idx="3848">
                  <c:v>682.064</c:v>
                </c:pt>
                <c:pt idx="3849">
                  <c:v>682.2329999999994</c:v>
                </c:pt>
                <c:pt idx="3850">
                  <c:v>682.4009999999994</c:v>
                </c:pt>
                <c:pt idx="3851">
                  <c:v>682.576</c:v>
                </c:pt>
                <c:pt idx="3852">
                  <c:v>682.75</c:v>
                </c:pt>
                <c:pt idx="3853">
                  <c:v>682.9259999999994</c:v>
                </c:pt>
                <c:pt idx="3854">
                  <c:v>683.1029999999994</c:v>
                </c:pt>
                <c:pt idx="3855">
                  <c:v>683.275</c:v>
                </c:pt>
                <c:pt idx="3856">
                  <c:v>683.4469999999974</c:v>
                </c:pt>
                <c:pt idx="3857">
                  <c:v>683.622</c:v>
                </c:pt>
                <c:pt idx="3858">
                  <c:v>683.791</c:v>
                </c:pt>
                <c:pt idx="3859">
                  <c:v>683.9640000000001</c:v>
                </c:pt>
                <c:pt idx="3860">
                  <c:v>684.1369999999994</c:v>
                </c:pt>
                <c:pt idx="3861">
                  <c:v>684.3119999999974</c:v>
                </c:pt>
                <c:pt idx="3862">
                  <c:v>684.484</c:v>
                </c:pt>
                <c:pt idx="3863">
                  <c:v>684.658</c:v>
                </c:pt>
                <c:pt idx="3864">
                  <c:v>684.8289999999994</c:v>
                </c:pt>
                <c:pt idx="3865">
                  <c:v>684.994</c:v>
                </c:pt>
                <c:pt idx="3866">
                  <c:v>685.16</c:v>
                </c:pt>
                <c:pt idx="3867">
                  <c:v>685.3249999999994</c:v>
                </c:pt>
                <c:pt idx="3868">
                  <c:v>685.498</c:v>
                </c:pt>
                <c:pt idx="3869">
                  <c:v>685.668</c:v>
                </c:pt>
                <c:pt idx="3870">
                  <c:v>685.8349999999979</c:v>
                </c:pt>
                <c:pt idx="3871">
                  <c:v>685.997</c:v>
                </c:pt>
                <c:pt idx="3872">
                  <c:v>686.1609999999994</c:v>
                </c:pt>
                <c:pt idx="3873">
                  <c:v>686.3289999999994</c:v>
                </c:pt>
                <c:pt idx="3874">
                  <c:v>686.494</c:v>
                </c:pt>
                <c:pt idx="3875">
                  <c:v>686.65</c:v>
                </c:pt>
                <c:pt idx="3876">
                  <c:v>686.8059999999994</c:v>
                </c:pt>
                <c:pt idx="3877">
                  <c:v>686.97</c:v>
                </c:pt>
                <c:pt idx="3878">
                  <c:v>687.1419999999994</c:v>
                </c:pt>
                <c:pt idx="3879">
                  <c:v>687.309</c:v>
                </c:pt>
                <c:pt idx="3880">
                  <c:v>687.482</c:v>
                </c:pt>
                <c:pt idx="3881">
                  <c:v>687.6519999999994</c:v>
                </c:pt>
                <c:pt idx="3882">
                  <c:v>687.8209999999979</c:v>
                </c:pt>
                <c:pt idx="3883">
                  <c:v>687.984</c:v>
                </c:pt>
                <c:pt idx="3884">
                  <c:v>688.148</c:v>
                </c:pt>
                <c:pt idx="3885">
                  <c:v>688.3069999999979</c:v>
                </c:pt>
                <c:pt idx="3886">
                  <c:v>688.4619999999974</c:v>
                </c:pt>
                <c:pt idx="3887">
                  <c:v>688.622</c:v>
                </c:pt>
                <c:pt idx="3888">
                  <c:v>688.78</c:v>
                </c:pt>
                <c:pt idx="3889">
                  <c:v>688.939</c:v>
                </c:pt>
                <c:pt idx="3890">
                  <c:v>689.102</c:v>
                </c:pt>
                <c:pt idx="3891">
                  <c:v>689.256</c:v>
                </c:pt>
                <c:pt idx="3892">
                  <c:v>689.4109999999994</c:v>
                </c:pt>
                <c:pt idx="3893">
                  <c:v>689.5659999999979</c:v>
                </c:pt>
                <c:pt idx="3894">
                  <c:v>689.726</c:v>
                </c:pt>
                <c:pt idx="3895">
                  <c:v>689.889</c:v>
                </c:pt>
                <c:pt idx="3896">
                  <c:v>690.048</c:v>
                </c:pt>
                <c:pt idx="3897">
                  <c:v>690.201</c:v>
                </c:pt>
                <c:pt idx="3898">
                  <c:v>690.3589999999994</c:v>
                </c:pt>
                <c:pt idx="3899">
                  <c:v>690.5259999999994</c:v>
                </c:pt>
                <c:pt idx="3900">
                  <c:v>690.696</c:v>
                </c:pt>
                <c:pt idx="3901">
                  <c:v>690.8609999999974</c:v>
                </c:pt>
                <c:pt idx="3902">
                  <c:v>691.02</c:v>
                </c:pt>
                <c:pt idx="3903">
                  <c:v>691.183</c:v>
                </c:pt>
                <c:pt idx="3904">
                  <c:v>691.3449999999979</c:v>
                </c:pt>
                <c:pt idx="3905">
                  <c:v>691.513</c:v>
                </c:pt>
                <c:pt idx="3906">
                  <c:v>691.682</c:v>
                </c:pt>
                <c:pt idx="3907">
                  <c:v>691.8539999999994</c:v>
                </c:pt>
                <c:pt idx="3908">
                  <c:v>692.023</c:v>
                </c:pt>
                <c:pt idx="3909">
                  <c:v>692.194</c:v>
                </c:pt>
                <c:pt idx="3910">
                  <c:v>692.3649999999974</c:v>
                </c:pt>
                <c:pt idx="3911">
                  <c:v>692.5359999999994</c:v>
                </c:pt>
                <c:pt idx="3912">
                  <c:v>692.709</c:v>
                </c:pt>
                <c:pt idx="3913">
                  <c:v>692.8819999999994</c:v>
                </c:pt>
                <c:pt idx="3914">
                  <c:v>693.0519999999979</c:v>
                </c:pt>
                <c:pt idx="3915">
                  <c:v>693.221</c:v>
                </c:pt>
                <c:pt idx="3916">
                  <c:v>693.3919999999994</c:v>
                </c:pt>
                <c:pt idx="3917">
                  <c:v>693.5649999999994</c:v>
                </c:pt>
                <c:pt idx="3918">
                  <c:v>693.737</c:v>
                </c:pt>
                <c:pt idx="3919">
                  <c:v>693.908</c:v>
                </c:pt>
                <c:pt idx="3920">
                  <c:v>694.077</c:v>
                </c:pt>
                <c:pt idx="3921">
                  <c:v>694.242</c:v>
                </c:pt>
                <c:pt idx="3922">
                  <c:v>694.4009999999994</c:v>
                </c:pt>
                <c:pt idx="3923">
                  <c:v>694.553</c:v>
                </c:pt>
                <c:pt idx="3924">
                  <c:v>694.712</c:v>
                </c:pt>
                <c:pt idx="3925">
                  <c:v>694.871</c:v>
                </c:pt>
                <c:pt idx="3926">
                  <c:v>695.02</c:v>
                </c:pt>
                <c:pt idx="3927">
                  <c:v>695.168</c:v>
                </c:pt>
                <c:pt idx="3928">
                  <c:v>695.324</c:v>
                </c:pt>
                <c:pt idx="3929">
                  <c:v>695.489</c:v>
                </c:pt>
                <c:pt idx="3930">
                  <c:v>695.6569999999994</c:v>
                </c:pt>
                <c:pt idx="3931">
                  <c:v>695.8199999999994</c:v>
                </c:pt>
                <c:pt idx="3932">
                  <c:v>695.975</c:v>
                </c:pt>
                <c:pt idx="3933">
                  <c:v>696.129</c:v>
                </c:pt>
                <c:pt idx="3934">
                  <c:v>696.292</c:v>
                </c:pt>
                <c:pt idx="3935">
                  <c:v>696.4589999999994</c:v>
                </c:pt>
                <c:pt idx="3936">
                  <c:v>696.626</c:v>
                </c:pt>
                <c:pt idx="3937">
                  <c:v>696.789</c:v>
                </c:pt>
                <c:pt idx="3938">
                  <c:v>696.9479999999974</c:v>
                </c:pt>
                <c:pt idx="3939">
                  <c:v>697.11</c:v>
                </c:pt>
                <c:pt idx="3940">
                  <c:v>697.274</c:v>
                </c:pt>
                <c:pt idx="3941">
                  <c:v>697.4429999999974</c:v>
                </c:pt>
                <c:pt idx="3942">
                  <c:v>697.615</c:v>
                </c:pt>
                <c:pt idx="3943">
                  <c:v>697.783</c:v>
                </c:pt>
                <c:pt idx="3944">
                  <c:v>697.9499999999994</c:v>
                </c:pt>
                <c:pt idx="3945">
                  <c:v>698.107</c:v>
                </c:pt>
                <c:pt idx="3946">
                  <c:v>698.272</c:v>
                </c:pt>
                <c:pt idx="3947">
                  <c:v>698.4399999999994</c:v>
                </c:pt>
                <c:pt idx="3948">
                  <c:v>698.612</c:v>
                </c:pt>
                <c:pt idx="3949">
                  <c:v>698.777</c:v>
                </c:pt>
                <c:pt idx="3950">
                  <c:v>698.9449999999994</c:v>
                </c:pt>
                <c:pt idx="3951">
                  <c:v>699.112</c:v>
                </c:pt>
                <c:pt idx="3952">
                  <c:v>699.277</c:v>
                </c:pt>
                <c:pt idx="3953">
                  <c:v>699.439</c:v>
                </c:pt>
                <c:pt idx="3954">
                  <c:v>699.601</c:v>
                </c:pt>
                <c:pt idx="3955">
                  <c:v>699.765</c:v>
                </c:pt>
                <c:pt idx="3956">
                  <c:v>699.9299999999994</c:v>
                </c:pt>
                <c:pt idx="3957">
                  <c:v>700.094</c:v>
                </c:pt>
                <c:pt idx="3958">
                  <c:v>700.256</c:v>
                </c:pt>
                <c:pt idx="3959">
                  <c:v>700.4159999999994</c:v>
                </c:pt>
                <c:pt idx="3960">
                  <c:v>700.576</c:v>
                </c:pt>
                <c:pt idx="3961">
                  <c:v>700.724</c:v>
                </c:pt>
                <c:pt idx="3962">
                  <c:v>700.8639999999979</c:v>
                </c:pt>
                <c:pt idx="3963">
                  <c:v>701.021</c:v>
                </c:pt>
                <c:pt idx="3964">
                  <c:v>701.187</c:v>
                </c:pt>
                <c:pt idx="3965">
                  <c:v>701.3519999999974</c:v>
                </c:pt>
                <c:pt idx="3966">
                  <c:v>701.508</c:v>
                </c:pt>
                <c:pt idx="3967">
                  <c:v>701.665</c:v>
                </c:pt>
                <c:pt idx="3968">
                  <c:v>701.8269999999974</c:v>
                </c:pt>
                <c:pt idx="3969">
                  <c:v>701.985</c:v>
                </c:pt>
                <c:pt idx="3970">
                  <c:v>702.144</c:v>
                </c:pt>
                <c:pt idx="3971">
                  <c:v>702.304</c:v>
                </c:pt>
                <c:pt idx="3972">
                  <c:v>702.4619999999974</c:v>
                </c:pt>
                <c:pt idx="3973">
                  <c:v>702.618</c:v>
                </c:pt>
                <c:pt idx="3974">
                  <c:v>702.775</c:v>
                </c:pt>
                <c:pt idx="3975">
                  <c:v>702.9359999999979</c:v>
                </c:pt>
                <c:pt idx="3976">
                  <c:v>703.105</c:v>
                </c:pt>
                <c:pt idx="3977">
                  <c:v>703.279</c:v>
                </c:pt>
                <c:pt idx="3978">
                  <c:v>703.4509999999979</c:v>
                </c:pt>
                <c:pt idx="3979">
                  <c:v>703.622</c:v>
                </c:pt>
                <c:pt idx="3980">
                  <c:v>703.788</c:v>
                </c:pt>
                <c:pt idx="3981">
                  <c:v>703.944</c:v>
                </c:pt>
                <c:pt idx="3982">
                  <c:v>704.095</c:v>
                </c:pt>
                <c:pt idx="3983">
                  <c:v>704.247</c:v>
                </c:pt>
                <c:pt idx="3984">
                  <c:v>704.399</c:v>
                </c:pt>
                <c:pt idx="3985">
                  <c:v>704.5619999999974</c:v>
                </c:pt>
                <c:pt idx="3986">
                  <c:v>704.721</c:v>
                </c:pt>
                <c:pt idx="3987">
                  <c:v>704.878</c:v>
                </c:pt>
                <c:pt idx="3988">
                  <c:v>705.035</c:v>
                </c:pt>
                <c:pt idx="3989">
                  <c:v>705.19</c:v>
                </c:pt>
                <c:pt idx="3990">
                  <c:v>705.3449999999979</c:v>
                </c:pt>
                <c:pt idx="3991">
                  <c:v>705.509</c:v>
                </c:pt>
                <c:pt idx="3992">
                  <c:v>705.679</c:v>
                </c:pt>
                <c:pt idx="3993">
                  <c:v>705.8549999999979</c:v>
                </c:pt>
                <c:pt idx="3994">
                  <c:v>706.034</c:v>
                </c:pt>
                <c:pt idx="3995">
                  <c:v>706.207</c:v>
                </c:pt>
                <c:pt idx="3996">
                  <c:v>706.375</c:v>
                </c:pt>
                <c:pt idx="3997">
                  <c:v>706.539</c:v>
                </c:pt>
                <c:pt idx="3998">
                  <c:v>706.698</c:v>
                </c:pt>
                <c:pt idx="3999">
                  <c:v>706.8579999999902</c:v>
                </c:pt>
                <c:pt idx="4000">
                  <c:v>707.021</c:v>
                </c:pt>
                <c:pt idx="4001">
                  <c:v>707.178</c:v>
                </c:pt>
                <c:pt idx="4002">
                  <c:v>707.3399999999979</c:v>
                </c:pt>
                <c:pt idx="4003">
                  <c:v>707.51</c:v>
                </c:pt>
                <c:pt idx="4004">
                  <c:v>707.683</c:v>
                </c:pt>
                <c:pt idx="4005">
                  <c:v>707.8599999999974</c:v>
                </c:pt>
                <c:pt idx="4006">
                  <c:v>708.033</c:v>
                </c:pt>
                <c:pt idx="4007">
                  <c:v>708.2</c:v>
                </c:pt>
                <c:pt idx="4008">
                  <c:v>708.3659999999974</c:v>
                </c:pt>
                <c:pt idx="4009">
                  <c:v>708.5369999999979</c:v>
                </c:pt>
                <c:pt idx="4010">
                  <c:v>708.705</c:v>
                </c:pt>
                <c:pt idx="4011">
                  <c:v>708.8679999999914</c:v>
                </c:pt>
                <c:pt idx="4012">
                  <c:v>709.033</c:v>
                </c:pt>
                <c:pt idx="4013">
                  <c:v>709.198</c:v>
                </c:pt>
                <c:pt idx="4014">
                  <c:v>709.3589999999994</c:v>
                </c:pt>
                <c:pt idx="4015">
                  <c:v>709.524</c:v>
                </c:pt>
                <c:pt idx="4016">
                  <c:v>709.689</c:v>
                </c:pt>
                <c:pt idx="4017">
                  <c:v>709.8509999999974</c:v>
                </c:pt>
                <c:pt idx="4018">
                  <c:v>710.001</c:v>
                </c:pt>
                <c:pt idx="4019">
                  <c:v>710.1509999999994</c:v>
                </c:pt>
                <c:pt idx="4020">
                  <c:v>710.3119999999974</c:v>
                </c:pt>
                <c:pt idx="4021">
                  <c:v>710.48</c:v>
                </c:pt>
                <c:pt idx="4022">
                  <c:v>710.6519999999994</c:v>
                </c:pt>
                <c:pt idx="4023">
                  <c:v>710.824</c:v>
                </c:pt>
                <c:pt idx="4024">
                  <c:v>710.987</c:v>
                </c:pt>
                <c:pt idx="4025">
                  <c:v>711.149</c:v>
                </c:pt>
                <c:pt idx="4026">
                  <c:v>711.303</c:v>
                </c:pt>
                <c:pt idx="4027">
                  <c:v>711.449</c:v>
                </c:pt>
                <c:pt idx="4028">
                  <c:v>711.594</c:v>
                </c:pt>
                <c:pt idx="4029">
                  <c:v>711.75</c:v>
                </c:pt>
                <c:pt idx="4030">
                  <c:v>711.909</c:v>
                </c:pt>
                <c:pt idx="4031">
                  <c:v>712.0679999999974</c:v>
                </c:pt>
                <c:pt idx="4032">
                  <c:v>712.234</c:v>
                </c:pt>
                <c:pt idx="4033">
                  <c:v>712.4019999999994</c:v>
                </c:pt>
                <c:pt idx="4034">
                  <c:v>712.572</c:v>
                </c:pt>
                <c:pt idx="4035">
                  <c:v>712.74</c:v>
                </c:pt>
                <c:pt idx="4036">
                  <c:v>712.9069999999994</c:v>
                </c:pt>
                <c:pt idx="4037">
                  <c:v>713.07</c:v>
                </c:pt>
                <c:pt idx="4038">
                  <c:v>713.2329999999994</c:v>
                </c:pt>
                <c:pt idx="4039">
                  <c:v>713.395</c:v>
                </c:pt>
                <c:pt idx="4040">
                  <c:v>713.5579999999974</c:v>
                </c:pt>
                <c:pt idx="4041">
                  <c:v>713.723</c:v>
                </c:pt>
                <c:pt idx="4042">
                  <c:v>713.895</c:v>
                </c:pt>
                <c:pt idx="4043">
                  <c:v>714.069</c:v>
                </c:pt>
                <c:pt idx="4044">
                  <c:v>714.242</c:v>
                </c:pt>
                <c:pt idx="4045">
                  <c:v>714.409</c:v>
                </c:pt>
                <c:pt idx="4046">
                  <c:v>714.569</c:v>
                </c:pt>
                <c:pt idx="4047">
                  <c:v>714.72</c:v>
                </c:pt>
                <c:pt idx="4048">
                  <c:v>714.87</c:v>
                </c:pt>
                <c:pt idx="4049">
                  <c:v>715.0269999999994</c:v>
                </c:pt>
                <c:pt idx="4050">
                  <c:v>715.183</c:v>
                </c:pt>
                <c:pt idx="4051">
                  <c:v>715.3449999999979</c:v>
                </c:pt>
                <c:pt idx="4052">
                  <c:v>715.5119999999994</c:v>
                </c:pt>
                <c:pt idx="4053">
                  <c:v>715.68</c:v>
                </c:pt>
                <c:pt idx="4054">
                  <c:v>715.8429999999923</c:v>
                </c:pt>
                <c:pt idx="4055">
                  <c:v>716.008</c:v>
                </c:pt>
                <c:pt idx="4056">
                  <c:v>716.172</c:v>
                </c:pt>
                <c:pt idx="4057">
                  <c:v>716.3379999999925</c:v>
                </c:pt>
                <c:pt idx="4058">
                  <c:v>716.508</c:v>
                </c:pt>
                <c:pt idx="4059">
                  <c:v>716.67</c:v>
                </c:pt>
                <c:pt idx="4060">
                  <c:v>716.8369999999974</c:v>
                </c:pt>
                <c:pt idx="4061">
                  <c:v>717.003</c:v>
                </c:pt>
                <c:pt idx="4062">
                  <c:v>717.1669999999979</c:v>
                </c:pt>
                <c:pt idx="4063">
                  <c:v>717.3399999999979</c:v>
                </c:pt>
                <c:pt idx="4064">
                  <c:v>717.51</c:v>
                </c:pt>
                <c:pt idx="4065">
                  <c:v>717.672</c:v>
                </c:pt>
                <c:pt idx="4066">
                  <c:v>717.8319999999974</c:v>
                </c:pt>
                <c:pt idx="4067">
                  <c:v>717.997</c:v>
                </c:pt>
                <c:pt idx="4068">
                  <c:v>718.1659999999994</c:v>
                </c:pt>
                <c:pt idx="4069">
                  <c:v>718.3359999999974</c:v>
                </c:pt>
                <c:pt idx="4070">
                  <c:v>718.5</c:v>
                </c:pt>
                <c:pt idx="4071">
                  <c:v>718.663</c:v>
                </c:pt>
                <c:pt idx="4072">
                  <c:v>718.824</c:v>
                </c:pt>
                <c:pt idx="4073">
                  <c:v>718.991</c:v>
                </c:pt>
                <c:pt idx="4074">
                  <c:v>719.159</c:v>
                </c:pt>
                <c:pt idx="4075">
                  <c:v>719.3279999999974</c:v>
                </c:pt>
                <c:pt idx="4076">
                  <c:v>719.495</c:v>
                </c:pt>
                <c:pt idx="4077">
                  <c:v>719.659</c:v>
                </c:pt>
                <c:pt idx="4078">
                  <c:v>719.8249999999994</c:v>
                </c:pt>
                <c:pt idx="4079">
                  <c:v>719.99</c:v>
                </c:pt>
                <c:pt idx="4080">
                  <c:v>720.153</c:v>
                </c:pt>
                <c:pt idx="4081">
                  <c:v>720.3209999999979</c:v>
                </c:pt>
                <c:pt idx="4082">
                  <c:v>720.491</c:v>
                </c:pt>
                <c:pt idx="4083">
                  <c:v>720.6609999999994</c:v>
                </c:pt>
                <c:pt idx="4084">
                  <c:v>720.8309999999979</c:v>
                </c:pt>
                <c:pt idx="4085">
                  <c:v>721.0</c:v>
                </c:pt>
                <c:pt idx="4086">
                  <c:v>721.171</c:v>
                </c:pt>
                <c:pt idx="4087">
                  <c:v>721.3449999999979</c:v>
                </c:pt>
                <c:pt idx="4088">
                  <c:v>721.508</c:v>
                </c:pt>
                <c:pt idx="4089">
                  <c:v>721.655</c:v>
                </c:pt>
                <c:pt idx="4090">
                  <c:v>721.803</c:v>
                </c:pt>
                <c:pt idx="4091">
                  <c:v>721.9589999999994</c:v>
                </c:pt>
                <c:pt idx="4092">
                  <c:v>722.118</c:v>
                </c:pt>
                <c:pt idx="4093">
                  <c:v>722.276</c:v>
                </c:pt>
                <c:pt idx="4094">
                  <c:v>722.4369999999974</c:v>
                </c:pt>
                <c:pt idx="4095">
                  <c:v>722.606</c:v>
                </c:pt>
                <c:pt idx="4096">
                  <c:v>722.776</c:v>
                </c:pt>
                <c:pt idx="4097">
                  <c:v>722.9399999999994</c:v>
                </c:pt>
                <c:pt idx="4098">
                  <c:v>723.101</c:v>
                </c:pt>
                <c:pt idx="4099">
                  <c:v>723.2669999999994</c:v>
                </c:pt>
                <c:pt idx="4100">
                  <c:v>723.4259999999994</c:v>
                </c:pt>
                <c:pt idx="4101">
                  <c:v>723.579</c:v>
                </c:pt>
                <c:pt idx="4102">
                  <c:v>723.734</c:v>
                </c:pt>
                <c:pt idx="4103">
                  <c:v>723.89</c:v>
                </c:pt>
                <c:pt idx="4104">
                  <c:v>724.048</c:v>
                </c:pt>
                <c:pt idx="4105">
                  <c:v>724.207</c:v>
                </c:pt>
                <c:pt idx="4106">
                  <c:v>724.3579999999902</c:v>
                </c:pt>
                <c:pt idx="4107">
                  <c:v>724.503</c:v>
                </c:pt>
                <c:pt idx="4108">
                  <c:v>724.659</c:v>
                </c:pt>
                <c:pt idx="4109">
                  <c:v>724.8109999999979</c:v>
                </c:pt>
                <c:pt idx="4110">
                  <c:v>724.9649999999979</c:v>
                </c:pt>
                <c:pt idx="4111">
                  <c:v>725.117</c:v>
                </c:pt>
                <c:pt idx="4112">
                  <c:v>725.269</c:v>
                </c:pt>
                <c:pt idx="4113">
                  <c:v>725.4269999999979</c:v>
                </c:pt>
                <c:pt idx="4114">
                  <c:v>725.588</c:v>
                </c:pt>
                <c:pt idx="4115">
                  <c:v>725.747</c:v>
                </c:pt>
                <c:pt idx="4116">
                  <c:v>725.904</c:v>
                </c:pt>
                <c:pt idx="4117">
                  <c:v>726.0629999999974</c:v>
                </c:pt>
                <c:pt idx="4118">
                  <c:v>726.225</c:v>
                </c:pt>
                <c:pt idx="4119">
                  <c:v>726.3819999999994</c:v>
                </c:pt>
                <c:pt idx="4120">
                  <c:v>726.5309999999994</c:v>
                </c:pt>
                <c:pt idx="4121">
                  <c:v>726.677</c:v>
                </c:pt>
                <c:pt idx="4122">
                  <c:v>726.824</c:v>
                </c:pt>
                <c:pt idx="4123">
                  <c:v>726.972</c:v>
                </c:pt>
                <c:pt idx="4124">
                  <c:v>727.12</c:v>
                </c:pt>
                <c:pt idx="4125">
                  <c:v>727.269</c:v>
                </c:pt>
                <c:pt idx="4126">
                  <c:v>727.419</c:v>
                </c:pt>
                <c:pt idx="4127">
                  <c:v>727.5669999999974</c:v>
                </c:pt>
                <c:pt idx="4128">
                  <c:v>727.723</c:v>
                </c:pt>
                <c:pt idx="4129">
                  <c:v>727.8819999999994</c:v>
                </c:pt>
                <c:pt idx="4130">
                  <c:v>728.044</c:v>
                </c:pt>
                <c:pt idx="4131">
                  <c:v>728.2</c:v>
                </c:pt>
                <c:pt idx="4132">
                  <c:v>728.3469999999974</c:v>
                </c:pt>
                <c:pt idx="4133">
                  <c:v>728.499</c:v>
                </c:pt>
                <c:pt idx="4134">
                  <c:v>728.655</c:v>
                </c:pt>
                <c:pt idx="4135">
                  <c:v>728.809</c:v>
                </c:pt>
                <c:pt idx="4136">
                  <c:v>728.9689999999994</c:v>
                </c:pt>
                <c:pt idx="4137">
                  <c:v>729.125</c:v>
                </c:pt>
                <c:pt idx="4138">
                  <c:v>729.284</c:v>
                </c:pt>
                <c:pt idx="4139">
                  <c:v>729.4349999999994</c:v>
                </c:pt>
                <c:pt idx="4140">
                  <c:v>729.584</c:v>
                </c:pt>
                <c:pt idx="4141">
                  <c:v>729.73</c:v>
                </c:pt>
                <c:pt idx="4142">
                  <c:v>729.879</c:v>
                </c:pt>
                <c:pt idx="4143">
                  <c:v>730.0359999999994</c:v>
                </c:pt>
                <c:pt idx="4144">
                  <c:v>730.194</c:v>
                </c:pt>
                <c:pt idx="4145">
                  <c:v>730.3539999999994</c:v>
                </c:pt>
                <c:pt idx="4146">
                  <c:v>730.513</c:v>
                </c:pt>
                <c:pt idx="4147">
                  <c:v>730.663</c:v>
                </c:pt>
                <c:pt idx="4148">
                  <c:v>730.8169999999974</c:v>
                </c:pt>
                <c:pt idx="4149">
                  <c:v>730.9689999999994</c:v>
                </c:pt>
                <c:pt idx="4150">
                  <c:v>731.117</c:v>
                </c:pt>
                <c:pt idx="4151">
                  <c:v>731.265</c:v>
                </c:pt>
                <c:pt idx="4152">
                  <c:v>731.4209999999994</c:v>
                </c:pt>
                <c:pt idx="4153">
                  <c:v>731.579</c:v>
                </c:pt>
                <c:pt idx="4154">
                  <c:v>731.7329999999994</c:v>
                </c:pt>
                <c:pt idx="4155">
                  <c:v>731.888</c:v>
                </c:pt>
                <c:pt idx="4156">
                  <c:v>732.0469999999979</c:v>
                </c:pt>
                <c:pt idx="4157">
                  <c:v>732.201</c:v>
                </c:pt>
                <c:pt idx="4158">
                  <c:v>732.3529999999918</c:v>
                </c:pt>
                <c:pt idx="4159">
                  <c:v>732.504</c:v>
                </c:pt>
                <c:pt idx="4160">
                  <c:v>732.655</c:v>
                </c:pt>
                <c:pt idx="4161">
                  <c:v>732.8099999999994</c:v>
                </c:pt>
                <c:pt idx="4162">
                  <c:v>732.9669999999974</c:v>
                </c:pt>
                <c:pt idx="4163">
                  <c:v>733.135</c:v>
                </c:pt>
                <c:pt idx="4164">
                  <c:v>733.3049999999994</c:v>
                </c:pt>
                <c:pt idx="4165">
                  <c:v>733.472</c:v>
                </c:pt>
                <c:pt idx="4166">
                  <c:v>733.6369999999994</c:v>
                </c:pt>
                <c:pt idx="4167">
                  <c:v>733.8079999999974</c:v>
                </c:pt>
                <c:pt idx="4168">
                  <c:v>733.989</c:v>
                </c:pt>
                <c:pt idx="4169">
                  <c:v>734.164</c:v>
                </c:pt>
                <c:pt idx="4170">
                  <c:v>734.3309999999979</c:v>
                </c:pt>
                <c:pt idx="4171">
                  <c:v>734.5</c:v>
                </c:pt>
                <c:pt idx="4172">
                  <c:v>734.676</c:v>
                </c:pt>
                <c:pt idx="4173">
                  <c:v>734.8489999999994</c:v>
                </c:pt>
                <c:pt idx="4174">
                  <c:v>735.0219999999994</c:v>
                </c:pt>
                <c:pt idx="4175">
                  <c:v>735.198</c:v>
                </c:pt>
                <c:pt idx="4176">
                  <c:v>735.378</c:v>
                </c:pt>
                <c:pt idx="4177">
                  <c:v>735.564</c:v>
                </c:pt>
                <c:pt idx="4178">
                  <c:v>735.75</c:v>
                </c:pt>
                <c:pt idx="4179">
                  <c:v>735.9329999999974</c:v>
                </c:pt>
                <c:pt idx="4180">
                  <c:v>736.121</c:v>
                </c:pt>
                <c:pt idx="4181">
                  <c:v>736.3019999999979</c:v>
                </c:pt>
                <c:pt idx="4182">
                  <c:v>736.476</c:v>
                </c:pt>
                <c:pt idx="4183">
                  <c:v>736.6519999999994</c:v>
                </c:pt>
                <c:pt idx="4184">
                  <c:v>736.8329999999974</c:v>
                </c:pt>
                <c:pt idx="4185">
                  <c:v>737.013</c:v>
                </c:pt>
                <c:pt idx="4186">
                  <c:v>737.18</c:v>
                </c:pt>
                <c:pt idx="4187">
                  <c:v>737.3449999999979</c:v>
                </c:pt>
                <c:pt idx="4188">
                  <c:v>737.516</c:v>
                </c:pt>
                <c:pt idx="4189">
                  <c:v>737.693</c:v>
                </c:pt>
                <c:pt idx="4190">
                  <c:v>737.8639999999979</c:v>
                </c:pt>
                <c:pt idx="4191">
                  <c:v>738.038</c:v>
                </c:pt>
                <c:pt idx="4192">
                  <c:v>738.219</c:v>
                </c:pt>
                <c:pt idx="4193">
                  <c:v>738.395</c:v>
                </c:pt>
                <c:pt idx="4194">
                  <c:v>738.5649999999994</c:v>
                </c:pt>
                <c:pt idx="4195">
                  <c:v>738.739</c:v>
                </c:pt>
                <c:pt idx="4196">
                  <c:v>738.91</c:v>
                </c:pt>
                <c:pt idx="4197">
                  <c:v>739.088</c:v>
                </c:pt>
                <c:pt idx="4198">
                  <c:v>739.274</c:v>
                </c:pt>
                <c:pt idx="4199">
                  <c:v>739.4479999999974</c:v>
                </c:pt>
                <c:pt idx="4200">
                  <c:v>739.619</c:v>
                </c:pt>
                <c:pt idx="4201">
                  <c:v>739.795</c:v>
                </c:pt>
                <c:pt idx="4202">
                  <c:v>739.971</c:v>
                </c:pt>
                <c:pt idx="4203">
                  <c:v>740.148</c:v>
                </c:pt>
                <c:pt idx="4204">
                  <c:v>740.3259999999979</c:v>
                </c:pt>
                <c:pt idx="4205">
                  <c:v>740.501</c:v>
                </c:pt>
                <c:pt idx="4206">
                  <c:v>740.671</c:v>
                </c:pt>
                <c:pt idx="4207">
                  <c:v>740.8339999999994</c:v>
                </c:pt>
                <c:pt idx="4208">
                  <c:v>741.005</c:v>
                </c:pt>
                <c:pt idx="4209">
                  <c:v>741.184</c:v>
                </c:pt>
                <c:pt idx="4210">
                  <c:v>741.3649999999974</c:v>
                </c:pt>
                <c:pt idx="4211">
                  <c:v>741.5419999999979</c:v>
                </c:pt>
                <c:pt idx="4212">
                  <c:v>741.719</c:v>
                </c:pt>
                <c:pt idx="4213">
                  <c:v>741.894</c:v>
                </c:pt>
                <c:pt idx="4214">
                  <c:v>742.064</c:v>
                </c:pt>
                <c:pt idx="4215">
                  <c:v>742.2329999999994</c:v>
                </c:pt>
                <c:pt idx="4216">
                  <c:v>742.4</c:v>
                </c:pt>
                <c:pt idx="4217">
                  <c:v>742.5609999999979</c:v>
                </c:pt>
                <c:pt idx="4218">
                  <c:v>742.725</c:v>
                </c:pt>
                <c:pt idx="4219">
                  <c:v>742.8969999999994</c:v>
                </c:pt>
                <c:pt idx="4220">
                  <c:v>743.073</c:v>
                </c:pt>
                <c:pt idx="4221">
                  <c:v>743.2519999999994</c:v>
                </c:pt>
                <c:pt idx="4222">
                  <c:v>743.4369999999974</c:v>
                </c:pt>
                <c:pt idx="4223">
                  <c:v>743.616</c:v>
                </c:pt>
                <c:pt idx="4224">
                  <c:v>743.798</c:v>
                </c:pt>
                <c:pt idx="4225">
                  <c:v>743.984</c:v>
                </c:pt>
                <c:pt idx="4226">
                  <c:v>744.169</c:v>
                </c:pt>
                <c:pt idx="4227">
                  <c:v>744.3499999999979</c:v>
                </c:pt>
                <c:pt idx="4228">
                  <c:v>744.519</c:v>
                </c:pt>
                <c:pt idx="4229">
                  <c:v>744.683</c:v>
                </c:pt>
                <c:pt idx="4230">
                  <c:v>744.8429999999923</c:v>
                </c:pt>
                <c:pt idx="4231">
                  <c:v>745.0119999999994</c:v>
                </c:pt>
                <c:pt idx="4232">
                  <c:v>745.176</c:v>
                </c:pt>
                <c:pt idx="4233">
                  <c:v>745.3309999999979</c:v>
                </c:pt>
                <c:pt idx="4234">
                  <c:v>745.486</c:v>
                </c:pt>
                <c:pt idx="4235">
                  <c:v>745.6509999999994</c:v>
                </c:pt>
                <c:pt idx="4236">
                  <c:v>745.8209999999979</c:v>
                </c:pt>
                <c:pt idx="4237">
                  <c:v>745.991</c:v>
                </c:pt>
                <c:pt idx="4238">
                  <c:v>746.1659999999994</c:v>
                </c:pt>
                <c:pt idx="4239">
                  <c:v>746.3399999999979</c:v>
                </c:pt>
                <c:pt idx="4240">
                  <c:v>746.515</c:v>
                </c:pt>
                <c:pt idx="4241">
                  <c:v>746.688</c:v>
                </c:pt>
                <c:pt idx="4242">
                  <c:v>746.8559999999974</c:v>
                </c:pt>
                <c:pt idx="4243">
                  <c:v>747.0319999999994</c:v>
                </c:pt>
                <c:pt idx="4244">
                  <c:v>747.215</c:v>
                </c:pt>
                <c:pt idx="4245">
                  <c:v>747.404</c:v>
                </c:pt>
                <c:pt idx="4246">
                  <c:v>747.594</c:v>
                </c:pt>
                <c:pt idx="4247">
                  <c:v>747.779</c:v>
                </c:pt>
                <c:pt idx="4248">
                  <c:v>747.9579999999974</c:v>
                </c:pt>
                <c:pt idx="4249">
                  <c:v>748.1369999999994</c:v>
                </c:pt>
                <c:pt idx="4250">
                  <c:v>748.3199999999994</c:v>
                </c:pt>
                <c:pt idx="4251">
                  <c:v>748.5019999999994</c:v>
                </c:pt>
                <c:pt idx="4252">
                  <c:v>748.684</c:v>
                </c:pt>
                <c:pt idx="4253">
                  <c:v>748.8559999999974</c:v>
                </c:pt>
                <c:pt idx="4254">
                  <c:v>749.03</c:v>
                </c:pt>
                <c:pt idx="4255">
                  <c:v>749.207</c:v>
                </c:pt>
                <c:pt idx="4256">
                  <c:v>749.386</c:v>
                </c:pt>
                <c:pt idx="4257">
                  <c:v>749.571</c:v>
                </c:pt>
                <c:pt idx="4258">
                  <c:v>749.7619999999994</c:v>
                </c:pt>
                <c:pt idx="4259">
                  <c:v>749.9509999999979</c:v>
                </c:pt>
                <c:pt idx="4260">
                  <c:v>750.14</c:v>
                </c:pt>
                <c:pt idx="4261">
                  <c:v>750.324</c:v>
                </c:pt>
                <c:pt idx="4262">
                  <c:v>750.498</c:v>
                </c:pt>
                <c:pt idx="4263">
                  <c:v>750.671</c:v>
                </c:pt>
                <c:pt idx="4264">
                  <c:v>750.8390000000001</c:v>
                </c:pt>
                <c:pt idx="4265">
                  <c:v>751.013</c:v>
                </c:pt>
                <c:pt idx="4266">
                  <c:v>751.186</c:v>
                </c:pt>
                <c:pt idx="4267">
                  <c:v>751.3619999999918</c:v>
                </c:pt>
                <c:pt idx="4268">
                  <c:v>751.524</c:v>
                </c:pt>
                <c:pt idx="4269">
                  <c:v>751.684</c:v>
                </c:pt>
                <c:pt idx="4270">
                  <c:v>751.8579999999902</c:v>
                </c:pt>
                <c:pt idx="4271">
                  <c:v>752.0369999999979</c:v>
                </c:pt>
                <c:pt idx="4272">
                  <c:v>752.218</c:v>
                </c:pt>
                <c:pt idx="4273">
                  <c:v>752.396</c:v>
                </c:pt>
                <c:pt idx="4274">
                  <c:v>752.554</c:v>
                </c:pt>
                <c:pt idx="4275">
                  <c:v>752.713</c:v>
                </c:pt>
                <c:pt idx="4276">
                  <c:v>752.883</c:v>
                </c:pt>
                <c:pt idx="4277">
                  <c:v>753.0629999999974</c:v>
                </c:pt>
                <c:pt idx="4278">
                  <c:v>753.2380000000001</c:v>
                </c:pt>
                <c:pt idx="4279">
                  <c:v>753.419</c:v>
                </c:pt>
                <c:pt idx="4280">
                  <c:v>753.598</c:v>
                </c:pt>
                <c:pt idx="4281">
                  <c:v>753.774</c:v>
                </c:pt>
                <c:pt idx="4282">
                  <c:v>753.9509999999979</c:v>
                </c:pt>
                <c:pt idx="4283">
                  <c:v>754.131</c:v>
                </c:pt>
                <c:pt idx="4284">
                  <c:v>754.3009999999994</c:v>
                </c:pt>
                <c:pt idx="4285">
                  <c:v>754.4649999999979</c:v>
                </c:pt>
                <c:pt idx="4286">
                  <c:v>754.624</c:v>
                </c:pt>
                <c:pt idx="4287">
                  <c:v>754.791</c:v>
                </c:pt>
                <c:pt idx="4288">
                  <c:v>754.9659999999974</c:v>
                </c:pt>
                <c:pt idx="4289">
                  <c:v>755.1469999999994</c:v>
                </c:pt>
                <c:pt idx="4290">
                  <c:v>755.3279999999974</c:v>
                </c:pt>
                <c:pt idx="4291">
                  <c:v>755.513</c:v>
                </c:pt>
                <c:pt idx="4292">
                  <c:v>755.699</c:v>
                </c:pt>
                <c:pt idx="4293">
                  <c:v>755.881</c:v>
                </c:pt>
                <c:pt idx="4294">
                  <c:v>756.0609999999979</c:v>
                </c:pt>
                <c:pt idx="4295">
                  <c:v>756.234</c:v>
                </c:pt>
                <c:pt idx="4296">
                  <c:v>756.41</c:v>
                </c:pt>
                <c:pt idx="4297">
                  <c:v>756.586</c:v>
                </c:pt>
                <c:pt idx="4298">
                  <c:v>756.755</c:v>
                </c:pt>
                <c:pt idx="4299">
                  <c:v>756.9309999999994</c:v>
                </c:pt>
                <c:pt idx="4300">
                  <c:v>757.106</c:v>
                </c:pt>
                <c:pt idx="4301">
                  <c:v>757.281</c:v>
                </c:pt>
                <c:pt idx="4302">
                  <c:v>757.4619999999974</c:v>
                </c:pt>
                <c:pt idx="4303">
                  <c:v>757.65</c:v>
                </c:pt>
                <c:pt idx="4304">
                  <c:v>757.8359999999974</c:v>
                </c:pt>
                <c:pt idx="4305">
                  <c:v>758.02</c:v>
                </c:pt>
                <c:pt idx="4306">
                  <c:v>758.202</c:v>
                </c:pt>
                <c:pt idx="4307">
                  <c:v>758.381</c:v>
                </c:pt>
                <c:pt idx="4308">
                  <c:v>758.5559999999994</c:v>
                </c:pt>
                <c:pt idx="4309">
                  <c:v>758.729</c:v>
                </c:pt>
                <c:pt idx="4310">
                  <c:v>758.9</c:v>
                </c:pt>
                <c:pt idx="4311">
                  <c:v>759.078</c:v>
                </c:pt>
                <c:pt idx="4312">
                  <c:v>759.259</c:v>
                </c:pt>
                <c:pt idx="4313">
                  <c:v>759.4299999999994</c:v>
                </c:pt>
                <c:pt idx="4314">
                  <c:v>759.591</c:v>
                </c:pt>
                <c:pt idx="4315">
                  <c:v>759.763</c:v>
                </c:pt>
                <c:pt idx="4316">
                  <c:v>759.9349999999994</c:v>
                </c:pt>
                <c:pt idx="4317">
                  <c:v>760.111</c:v>
                </c:pt>
                <c:pt idx="4318">
                  <c:v>760.287</c:v>
                </c:pt>
                <c:pt idx="4319">
                  <c:v>760.4689999999994</c:v>
                </c:pt>
                <c:pt idx="4320">
                  <c:v>760.654</c:v>
                </c:pt>
                <c:pt idx="4321">
                  <c:v>760.8349999999979</c:v>
                </c:pt>
                <c:pt idx="4322">
                  <c:v>761.016</c:v>
                </c:pt>
                <c:pt idx="4323">
                  <c:v>761.196</c:v>
                </c:pt>
                <c:pt idx="4324">
                  <c:v>761.386</c:v>
                </c:pt>
                <c:pt idx="4325">
                  <c:v>761.574</c:v>
                </c:pt>
                <c:pt idx="4326">
                  <c:v>761.76</c:v>
                </c:pt>
                <c:pt idx="4327">
                  <c:v>761.9399999999994</c:v>
                </c:pt>
                <c:pt idx="4328">
                  <c:v>762.115</c:v>
                </c:pt>
                <c:pt idx="4329">
                  <c:v>762.283</c:v>
                </c:pt>
                <c:pt idx="4330">
                  <c:v>762.4529999999974</c:v>
                </c:pt>
                <c:pt idx="4331">
                  <c:v>762.621</c:v>
                </c:pt>
                <c:pt idx="4332">
                  <c:v>762.795</c:v>
                </c:pt>
                <c:pt idx="4333">
                  <c:v>762.972</c:v>
                </c:pt>
                <c:pt idx="4334">
                  <c:v>763.1419999999994</c:v>
                </c:pt>
                <c:pt idx="4335">
                  <c:v>763.3119999999974</c:v>
                </c:pt>
                <c:pt idx="4336">
                  <c:v>763.482</c:v>
                </c:pt>
                <c:pt idx="4337">
                  <c:v>763.655</c:v>
                </c:pt>
                <c:pt idx="4338">
                  <c:v>763.8259999999979</c:v>
                </c:pt>
                <c:pt idx="4339">
                  <c:v>763.982</c:v>
                </c:pt>
                <c:pt idx="4340">
                  <c:v>764.144</c:v>
                </c:pt>
                <c:pt idx="4341">
                  <c:v>764.3179999999974</c:v>
                </c:pt>
                <c:pt idx="4342">
                  <c:v>764.495</c:v>
                </c:pt>
                <c:pt idx="4343">
                  <c:v>764.6669999999979</c:v>
                </c:pt>
                <c:pt idx="4344">
                  <c:v>764.8279999999974</c:v>
                </c:pt>
                <c:pt idx="4345">
                  <c:v>764.998</c:v>
                </c:pt>
                <c:pt idx="4346">
                  <c:v>765.171</c:v>
                </c:pt>
                <c:pt idx="4347">
                  <c:v>765.3529999999918</c:v>
                </c:pt>
                <c:pt idx="4348">
                  <c:v>765.528</c:v>
                </c:pt>
                <c:pt idx="4349">
                  <c:v>765.697</c:v>
                </c:pt>
                <c:pt idx="4350">
                  <c:v>765.8599999999974</c:v>
                </c:pt>
                <c:pt idx="4351">
                  <c:v>766.028</c:v>
                </c:pt>
                <c:pt idx="4352">
                  <c:v>766.193</c:v>
                </c:pt>
                <c:pt idx="4353">
                  <c:v>766.3609999999974</c:v>
                </c:pt>
                <c:pt idx="4354">
                  <c:v>766.523</c:v>
                </c:pt>
                <c:pt idx="4355">
                  <c:v>766.692</c:v>
                </c:pt>
                <c:pt idx="4356">
                  <c:v>766.8639999999979</c:v>
                </c:pt>
                <c:pt idx="4357">
                  <c:v>767.043</c:v>
                </c:pt>
                <c:pt idx="4358">
                  <c:v>767.223</c:v>
                </c:pt>
                <c:pt idx="4359">
                  <c:v>767.395</c:v>
                </c:pt>
                <c:pt idx="4360">
                  <c:v>767.564</c:v>
                </c:pt>
                <c:pt idx="4361">
                  <c:v>767.741</c:v>
                </c:pt>
                <c:pt idx="4362">
                  <c:v>767.9219999999979</c:v>
                </c:pt>
                <c:pt idx="4363">
                  <c:v>768.106</c:v>
                </c:pt>
                <c:pt idx="4364">
                  <c:v>768.296</c:v>
                </c:pt>
                <c:pt idx="4365">
                  <c:v>768.49</c:v>
                </c:pt>
                <c:pt idx="4366">
                  <c:v>768.683</c:v>
                </c:pt>
                <c:pt idx="4367">
                  <c:v>768.871</c:v>
                </c:pt>
                <c:pt idx="4368">
                  <c:v>769.054</c:v>
                </c:pt>
                <c:pt idx="4369">
                  <c:v>769.24</c:v>
                </c:pt>
                <c:pt idx="4370">
                  <c:v>769.428</c:v>
                </c:pt>
                <c:pt idx="4371">
                  <c:v>769.617</c:v>
                </c:pt>
                <c:pt idx="4372">
                  <c:v>769.8</c:v>
                </c:pt>
                <c:pt idx="4373">
                  <c:v>769.976</c:v>
                </c:pt>
                <c:pt idx="4374">
                  <c:v>770.1419999999994</c:v>
                </c:pt>
                <c:pt idx="4375">
                  <c:v>770.309</c:v>
                </c:pt>
                <c:pt idx="4376">
                  <c:v>770.48</c:v>
                </c:pt>
                <c:pt idx="4377">
                  <c:v>770.6509999999994</c:v>
                </c:pt>
                <c:pt idx="4378">
                  <c:v>770.8259999999979</c:v>
                </c:pt>
                <c:pt idx="4379">
                  <c:v>771.005</c:v>
                </c:pt>
                <c:pt idx="4380">
                  <c:v>771.185</c:v>
                </c:pt>
                <c:pt idx="4381">
                  <c:v>771.3669999999912</c:v>
                </c:pt>
                <c:pt idx="4382">
                  <c:v>771.5469999999979</c:v>
                </c:pt>
                <c:pt idx="4383">
                  <c:v>771.725</c:v>
                </c:pt>
                <c:pt idx="4384">
                  <c:v>771.9</c:v>
                </c:pt>
                <c:pt idx="4385">
                  <c:v>772.079</c:v>
                </c:pt>
                <c:pt idx="4386">
                  <c:v>772.259</c:v>
                </c:pt>
                <c:pt idx="4387">
                  <c:v>772.4409999999979</c:v>
                </c:pt>
                <c:pt idx="4388">
                  <c:v>772.616</c:v>
                </c:pt>
                <c:pt idx="4389">
                  <c:v>772.794</c:v>
                </c:pt>
                <c:pt idx="4390">
                  <c:v>772.973</c:v>
                </c:pt>
                <c:pt idx="4391">
                  <c:v>773.15</c:v>
                </c:pt>
                <c:pt idx="4392">
                  <c:v>773.3319999999974</c:v>
                </c:pt>
                <c:pt idx="4393">
                  <c:v>773.513</c:v>
                </c:pt>
                <c:pt idx="4394">
                  <c:v>773.693</c:v>
                </c:pt>
                <c:pt idx="4395">
                  <c:v>773.873</c:v>
                </c:pt>
                <c:pt idx="4396">
                  <c:v>774.0579999999974</c:v>
                </c:pt>
                <c:pt idx="4397">
                  <c:v>774.237</c:v>
                </c:pt>
                <c:pt idx="4398">
                  <c:v>774.4209999999994</c:v>
                </c:pt>
                <c:pt idx="4399">
                  <c:v>774.605</c:v>
                </c:pt>
                <c:pt idx="4400">
                  <c:v>774.789</c:v>
                </c:pt>
                <c:pt idx="4401">
                  <c:v>774.9640000000001</c:v>
                </c:pt>
                <c:pt idx="4402">
                  <c:v>775.1369999999994</c:v>
                </c:pt>
                <c:pt idx="4403">
                  <c:v>775.293</c:v>
                </c:pt>
                <c:pt idx="4404">
                  <c:v>775.4539999999994</c:v>
                </c:pt>
                <c:pt idx="4405">
                  <c:v>775.625</c:v>
                </c:pt>
                <c:pt idx="4406">
                  <c:v>775.8049999999994</c:v>
                </c:pt>
                <c:pt idx="4407">
                  <c:v>775.991</c:v>
                </c:pt>
                <c:pt idx="4408">
                  <c:v>776.171</c:v>
                </c:pt>
                <c:pt idx="4409">
                  <c:v>776.3499999999979</c:v>
                </c:pt>
                <c:pt idx="4410">
                  <c:v>776.5259999999994</c:v>
                </c:pt>
                <c:pt idx="4411">
                  <c:v>776.704</c:v>
                </c:pt>
                <c:pt idx="4412">
                  <c:v>776.88</c:v>
                </c:pt>
                <c:pt idx="4413">
                  <c:v>777.0459999999994</c:v>
                </c:pt>
                <c:pt idx="4414">
                  <c:v>777.212</c:v>
                </c:pt>
                <c:pt idx="4415">
                  <c:v>777.385</c:v>
                </c:pt>
                <c:pt idx="4416">
                  <c:v>777.564</c:v>
                </c:pt>
                <c:pt idx="4417">
                  <c:v>777.7380000000001</c:v>
                </c:pt>
                <c:pt idx="4418">
                  <c:v>777.9109999999994</c:v>
                </c:pt>
                <c:pt idx="4419">
                  <c:v>778.085</c:v>
                </c:pt>
                <c:pt idx="4420">
                  <c:v>778.243</c:v>
                </c:pt>
                <c:pt idx="4421">
                  <c:v>778.403</c:v>
                </c:pt>
                <c:pt idx="4422">
                  <c:v>778.577</c:v>
                </c:pt>
                <c:pt idx="4423">
                  <c:v>778.7519999999994</c:v>
                </c:pt>
                <c:pt idx="4424">
                  <c:v>778.9159999999994</c:v>
                </c:pt>
                <c:pt idx="4425">
                  <c:v>779.085</c:v>
                </c:pt>
                <c:pt idx="4426">
                  <c:v>779.254</c:v>
                </c:pt>
                <c:pt idx="4427">
                  <c:v>779.4219999999979</c:v>
                </c:pt>
                <c:pt idx="4428">
                  <c:v>779.584</c:v>
                </c:pt>
                <c:pt idx="4429">
                  <c:v>779.751</c:v>
                </c:pt>
                <c:pt idx="4430">
                  <c:v>779.9299999999994</c:v>
                </c:pt>
                <c:pt idx="4431">
                  <c:v>780.109</c:v>
                </c:pt>
                <c:pt idx="4432">
                  <c:v>780.289</c:v>
                </c:pt>
                <c:pt idx="4433">
                  <c:v>780.4659999999974</c:v>
                </c:pt>
                <c:pt idx="4434">
                  <c:v>780.6419999999994</c:v>
                </c:pt>
                <c:pt idx="4435">
                  <c:v>780.8159999999979</c:v>
                </c:pt>
                <c:pt idx="4436">
                  <c:v>780.9880000000001</c:v>
                </c:pt>
                <c:pt idx="4437">
                  <c:v>781.16</c:v>
                </c:pt>
                <c:pt idx="4438">
                  <c:v>781.3349999999979</c:v>
                </c:pt>
                <c:pt idx="4439">
                  <c:v>781.5119999999994</c:v>
                </c:pt>
                <c:pt idx="4440">
                  <c:v>781.69</c:v>
                </c:pt>
                <c:pt idx="4441">
                  <c:v>781.8649999999974</c:v>
                </c:pt>
                <c:pt idx="4442">
                  <c:v>782.0409999999994</c:v>
                </c:pt>
                <c:pt idx="4443">
                  <c:v>782.225</c:v>
                </c:pt>
                <c:pt idx="4444">
                  <c:v>782.413</c:v>
                </c:pt>
                <c:pt idx="4445">
                  <c:v>782.6029999999994</c:v>
                </c:pt>
                <c:pt idx="4446">
                  <c:v>782.793</c:v>
                </c:pt>
                <c:pt idx="4447">
                  <c:v>782.977</c:v>
                </c:pt>
                <c:pt idx="4448">
                  <c:v>783.16</c:v>
                </c:pt>
                <c:pt idx="4449">
                  <c:v>783.3449999999979</c:v>
                </c:pt>
                <c:pt idx="4450">
                  <c:v>783.523</c:v>
                </c:pt>
                <c:pt idx="4451">
                  <c:v>783.685</c:v>
                </c:pt>
                <c:pt idx="4452">
                  <c:v>783.8569999999974</c:v>
                </c:pt>
                <c:pt idx="4453">
                  <c:v>784.0269999999994</c:v>
                </c:pt>
                <c:pt idx="4454">
                  <c:v>784.197</c:v>
                </c:pt>
                <c:pt idx="4455">
                  <c:v>784.3679999999914</c:v>
                </c:pt>
                <c:pt idx="4456">
                  <c:v>784.54</c:v>
                </c:pt>
                <c:pt idx="4457">
                  <c:v>784.7140000000001</c:v>
                </c:pt>
                <c:pt idx="4458">
                  <c:v>784.893</c:v>
                </c:pt>
                <c:pt idx="4459">
                  <c:v>785.077</c:v>
                </c:pt>
                <c:pt idx="4460">
                  <c:v>785.259</c:v>
                </c:pt>
                <c:pt idx="4461">
                  <c:v>785.4409999999979</c:v>
                </c:pt>
                <c:pt idx="4462">
                  <c:v>785.624</c:v>
                </c:pt>
                <c:pt idx="4463">
                  <c:v>785.8059999999994</c:v>
                </c:pt>
                <c:pt idx="4464">
                  <c:v>785.985</c:v>
                </c:pt>
                <c:pt idx="4465">
                  <c:v>786.1559999999994</c:v>
                </c:pt>
                <c:pt idx="4466">
                  <c:v>786.3269999999974</c:v>
                </c:pt>
                <c:pt idx="4467">
                  <c:v>786.5069999999994</c:v>
                </c:pt>
                <c:pt idx="4468">
                  <c:v>786.694</c:v>
                </c:pt>
                <c:pt idx="4469">
                  <c:v>786.8769999999994</c:v>
                </c:pt>
                <c:pt idx="4470">
                  <c:v>787.0609999999979</c:v>
                </c:pt>
                <c:pt idx="4471">
                  <c:v>787.245</c:v>
                </c:pt>
                <c:pt idx="4472">
                  <c:v>787.4269999999979</c:v>
                </c:pt>
                <c:pt idx="4473">
                  <c:v>787.612</c:v>
                </c:pt>
                <c:pt idx="4474">
                  <c:v>787.785</c:v>
                </c:pt>
                <c:pt idx="4475">
                  <c:v>787.9509999999979</c:v>
                </c:pt>
                <c:pt idx="4476">
                  <c:v>788.122</c:v>
                </c:pt>
                <c:pt idx="4477">
                  <c:v>788.283</c:v>
                </c:pt>
                <c:pt idx="4478">
                  <c:v>788.4429999999974</c:v>
                </c:pt>
                <c:pt idx="4479">
                  <c:v>788.605</c:v>
                </c:pt>
                <c:pt idx="4480">
                  <c:v>788.768</c:v>
                </c:pt>
                <c:pt idx="4481">
                  <c:v>788.9329999999974</c:v>
                </c:pt>
                <c:pt idx="4482">
                  <c:v>789.1029999999994</c:v>
                </c:pt>
                <c:pt idx="4483">
                  <c:v>789.272</c:v>
                </c:pt>
                <c:pt idx="4484">
                  <c:v>789.4429999999974</c:v>
                </c:pt>
                <c:pt idx="4485">
                  <c:v>789.611</c:v>
                </c:pt>
                <c:pt idx="4486">
                  <c:v>789.768</c:v>
                </c:pt>
                <c:pt idx="4487">
                  <c:v>789.9209999999994</c:v>
                </c:pt>
                <c:pt idx="4488">
                  <c:v>790.076</c:v>
                </c:pt>
                <c:pt idx="4489">
                  <c:v>790.232</c:v>
                </c:pt>
                <c:pt idx="4490">
                  <c:v>790.388</c:v>
                </c:pt>
                <c:pt idx="4491">
                  <c:v>790.55</c:v>
                </c:pt>
                <c:pt idx="4492">
                  <c:v>790.717</c:v>
                </c:pt>
                <c:pt idx="4493">
                  <c:v>790.889</c:v>
                </c:pt>
                <c:pt idx="4494">
                  <c:v>791.054</c:v>
                </c:pt>
                <c:pt idx="4495">
                  <c:v>791.217</c:v>
                </c:pt>
                <c:pt idx="4496">
                  <c:v>791.385</c:v>
                </c:pt>
                <c:pt idx="4497">
                  <c:v>791.5629999999974</c:v>
                </c:pt>
                <c:pt idx="4498">
                  <c:v>791.742</c:v>
                </c:pt>
                <c:pt idx="4499">
                  <c:v>791.9219999999979</c:v>
                </c:pt>
                <c:pt idx="4500">
                  <c:v>792.102</c:v>
                </c:pt>
                <c:pt idx="4501">
                  <c:v>792.278</c:v>
                </c:pt>
                <c:pt idx="4502">
                  <c:v>792.4519999999974</c:v>
                </c:pt>
                <c:pt idx="4503">
                  <c:v>792.623</c:v>
                </c:pt>
                <c:pt idx="4504">
                  <c:v>792.793</c:v>
                </c:pt>
                <c:pt idx="4505">
                  <c:v>792.9599999999979</c:v>
                </c:pt>
                <c:pt idx="4506">
                  <c:v>793.119</c:v>
                </c:pt>
                <c:pt idx="4507">
                  <c:v>793.28</c:v>
                </c:pt>
                <c:pt idx="4508">
                  <c:v>793.4499999999994</c:v>
                </c:pt>
                <c:pt idx="4509">
                  <c:v>793.619</c:v>
                </c:pt>
                <c:pt idx="4510">
                  <c:v>793.788</c:v>
                </c:pt>
                <c:pt idx="4511">
                  <c:v>793.9579999999974</c:v>
                </c:pt>
                <c:pt idx="4512">
                  <c:v>794.13</c:v>
                </c:pt>
                <c:pt idx="4513">
                  <c:v>794.299</c:v>
                </c:pt>
                <c:pt idx="4514">
                  <c:v>794.4579999999974</c:v>
                </c:pt>
                <c:pt idx="4515">
                  <c:v>794.621</c:v>
                </c:pt>
                <c:pt idx="4516">
                  <c:v>794.793</c:v>
                </c:pt>
                <c:pt idx="4517">
                  <c:v>794.9659999999974</c:v>
                </c:pt>
                <c:pt idx="4518">
                  <c:v>795.1419999999994</c:v>
                </c:pt>
                <c:pt idx="4519">
                  <c:v>795.319</c:v>
                </c:pt>
                <c:pt idx="4520">
                  <c:v>795.494</c:v>
                </c:pt>
                <c:pt idx="4521">
                  <c:v>795.668</c:v>
                </c:pt>
                <c:pt idx="4522">
                  <c:v>795.8419999999974</c:v>
                </c:pt>
                <c:pt idx="4523">
                  <c:v>796.0019999999994</c:v>
                </c:pt>
                <c:pt idx="4524">
                  <c:v>796.1569999999994</c:v>
                </c:pt>
                <c:pt idx="4525">
                  <c:v>796.3209999999979</c:v>
                </c:pt>
                <c:pt idx="4526">
                  <c:v>796.491</c:v>
                </c:pt>
                <c:pt idx="4527">
                  <c:v>796.66</c:v>
                </c:pt>
                <c:pt idx="4528">
                  <c:v>796.8299999999994</c:v>
                </c:pt>
                <c:pt idx="4529">
                  <c:v>797.0069999999994</c:v>
                </c:pt>
                <c:pt idx="4530">
                  <c:v>797.181</c:v>
                </c:pt>
                <c:pt idx="4531">
                  <c:v>797.3519999999974</c:v>
                </c:pt>
                <c:pt idx="4532">
                  <c:v>797.52</c:v>
                </c:pt>
                <c:pt idx="4533">
                  <c:v>797.685</c:v>
                </c:pt>
                <c:pt idx="4534">
                  <c:v>797.8479999999921</c:v>
                </c:pt>
                <c:pt idx="4535">
                  <c:v>798.01</c:v>
                </c:pt>
                <c:pt idx="4536">
                  <c:v>798.178</c:v>
                </c:pt>
                <c:pt idx="4537">
                  <c:v>798.3459999999974</c:v>
                </c:pt>
                <c:pt idx="4538">
                  <c:v>798.511</c:v>
                </c:pt>
                <c:pt idx="4539">
                  <c:v>798.684</c:v>
                </c:pt>
                <c:pt idx="4540">
                  <c:v>798.8569999999974</c:v>
                </c:pt>
                <c:pt idx="4541">
                  <c:v>799.028</c:v>
                </c:pt>
                <c:pt idx="4542">
                  <c:v>799.202</c:v>
                </c:pt>
                <c:pt idx="4543">
                  <c:v>799.371</c:v>
                </c:pt>
                <c:pt idx="4544">
                  <c:v>799.54</c:v>
                </c:pt>
                <c:pt idx="4545">
                  <c:v>799.713</c:v>
                </c:pt>
                <c:pt idx="4546">
                  <c:v>799.884</c:v>
                </c:pt>
                <c:pt idx="4547">
                  <c:v>800.053</c:v>
                </c:pt>
                <c:pt idx="4548">
                  <c:v>800.217</c:v>
                </c:pt>
                <c:pt idx="4549">
                  <c:v>800.386</c:v>
                </c:pt>
                <c:pt idx="4550">
                  <c:v>800.5519999999979</c:v>
                </c:pt>
                <c:pt idx="4551">
                  <c:v>800.724</c:v>
                </c:pt>
                <c:pt idx="4552">
                  <c:v>800.898</c:v>
                </c:pt>
                <c:pt idx="4553">
                  <c:v>801.069</c:v>
                </c:pt>
                <c:pt idx="4554">
                  <c:v>801.2380000000001</c:v>
                </c:pt>
                <c:pt idx="4555">
                  <c:v>801.404</c:v>
                </c:pt>
                <c:pt idx="4556">
                  <c:v>801.575</c:v>
                </c:pt>
                <c:pt idx="4557">
                  <c:v>801.7329999999994</c:v>
                </c:pt>
                <c:pt idx="4558">
                  <c:v>801.89</c:v>
                </c:pt>
                <c:pt idx="4559">
                  <c:v>802.054</c:v>
                </c:pt>
                <c:pt idx="4560">
                  <c:v>802.222</c:v>
                </c:pt>
                <c:pt idx="4561">
                  <c:v>802.384</c:v>
                </c:pt>
                <c:pt idx="4562">
                  <c:v>802.549</c:v>
                </c:pt>
                <c:pt idx="4563">
                  <c:v>802.71</c:v>
                </c:pt>
                <c:pt idx="4564">
                  <c:v>802.872</c:v>
                </c:pt>
                <c:pt idx="4565">
                  <c:v>803.0359999999994</c:v>
                </c:pt>
                <c:pt idx="4566">
                  <c:v>803.197</c:v>
                </c:pt>
                <c:pt idx="4567">
                  <c:v>803.3609999999974</c:v>
                </c:pt>
                <c:pt idx="4568">
                  <c:v>803.523</c:v>
                </c:pt>
                <c:pt idx="4569">
                  <c:v>803.686</c:v>
                </c:pt>
                <c:pt idx="4570">
                  <c:v>803.8509999999974</c:v>
                </c:pt>
                <c:pt idx="4571">
                  <c:v>804.0169999999994</c:v>
                </c:pt>
                <c:pt idx="4572">
                  <c:v>804.179</c:v>
                </c:pt>
                <c:pt idx="4573">
                  <c:v>804.3409999999974</c:v>
                </c:pt>
                <c:pt idx="4574">
                  <c:v>804.51</c:v>
                </c:pt>
                <c:pt idx="4575">
                  <c:v>804.685</c:v>
                </c:pt>
                <c:pt idx="4576">
                  <c:v>804.8639999999979</c:v>
                </c:pt>
                <c:pt idx="4577">
                  <c:v>805.039</c:v>
                </c:pt>
                <c:pt idx="4578">
                  <c:v>805.208</c:v>
                </c:pt>
                <c:pt idx="4579">
                  <c:v>805.38</c:v>
                </c:pt>
                <c:pt idx="4580">
                  <c:v>805.544</c:v>
                </c:pt>
                <c:pt idx="4581">
                  <c:v>805.708</c:v>
                </c:pt>
                <c:pt idx="4582">
                  <c:v>805.873</c:v>
                </c:pt>
                <c:pt idx="4583">
                  <c:v>806.04</c:v>
                </c:pt>
                <c:pt idx="4584">
                  <c:v>806.205</c:v>
                </c:pt>
                <c:pt idx="4585">
                  <c:v>806.3599999999974</c:v>
                </c:pt>
                <c:pt idx="4586">
                  <c:v>806.519</c:v>
                </c:pt>
                <c:pt idx="4587">
                  <c:v>806.689</c:v>
                </c:pt>
                <c:pt idx="4588">
                  <c:v>806.8639999999979</c:v>
                </c:pt>
                <c:pt idx="4589">
                  <c:v>807.0369999999979</c:v>
                </c:pt>
                <c:pt idx="4590">
                  <c:v>807.209</c:v>
                </c:pt>
                <c:pt idx="4591">
                  <c:v>807.375</c:v>
                </c:pt>
                <c:pt idx="4592">
                  <c:v>807.533</c:v>
                </c:pt>
                <c:pt idx="4593">
                  <c:v>807.69</c:v>
                </c:pt>
                <c:pt idx="4594">
                  <c:v>807.8419999999974</c:v>
                </c:pt>
                <c:pt idx="4595">
                  <c:v>807.996</c:v>
                </c:pt>
                <c:pt idx="4596">
                  <c:v>808.153</c:v>
                </c:pt>
                <c:pt idx="4597">
                  <c:v>808.3149999999994</c:v>
                </c:pt>
                <c:pt idx="4598">
                  <c:v>808.485</c:v>
                </c:pt>
                <c:pt idx="4599">
                  <c:v>808.6619999999979</c:v>
                </c:pt>
                <c:pt idx="4600">
                  <c:v>808.8399999999979</c:v>
                </c:pt>
                <c:pt idx="4601">
                  <c:v>809.011</c:v>
                </c:pt>
                <c:pt idx="4602">
                  <c:v>809.175</c:v>
                </c:pt>
                <c:pt idx="4603">
                  <c:v>809.3379999999925</c:v>
                </c:pt>
                <c:pt idx="4604">
                  <c:v>809.506</c:v>
                </c:pt>
                <c:pt idx="4605">
                  <c:v>809.669</c:v>
                </c:pt>
                <c:pt idx="4606">
                  <c:v>809.8249999999994</c:v>
                </c:pt>
                <c:pt idx="4607">
                  <c:v>809.984</c:v>
                </c:pt>
                <c:pt idx="4608">
                  <c:v>810.146</c:v>
                </c:pt>
                <c:pt idx="4609">
                  <c:v>810.314</c:v>
                </c:pt>
                <c:pt idx="4610">
                  <c:v>810.484</c:v>
                </c:pt>
                <c:pt idx="4611">
                  <c:v>810.6519999999994</c:v>
                </c:pt>
                <c:pt idx="4612">
                  <c:v>810.8199999999994</c:v>
                </c:pt>
                <c:pt idx="4613">
                  <c:v>810.991</c:v>
                </c:pt>
                <c:pt idx="4614">
                  <c:v>811.158</c:v>
                </c:pt>
                <c:pt idx="4615">
                  <c:v>811.3299999999994</c:v>
                </c:pt>
                <c:pt idx="4616">
                  <c:v>811.504</c:v>
                </c:pt>
                <c:pt idx="4617">
                  <c:v>811.679</c:v>
                </c:pt>
                <c:pt idx="4618">
                  <c:v>811.8479999999921</c:v>
                </c:pt>
                <c:pt idx="4619">
                  <c:v>812.006</c:v>
                </c:pt>
                <c:pt idx="4620">
                  <c:v>812.159</c:v>
                </c:pt>
                <c:pt idx="4621">
                  <c:v>812.324</c:v>
                </c:pt>
                <c:pt idx="4622">
                  <c:v>812.493</c:v>
                </c:pt>
                <c:pt idx="4623">
                  <c:v>812.648</c:v>
                </c:pt>
                <c:pt idx="4624">
                  <c:v>812.8009999999994</c:v>
                </c:pt>
                <c:pt idx="4625">
                  <c:v>812.9579999999974</c:v>
                </c:pt>
                <c:pt idx="4626">
                  <c:v>813.125</c:v>
                </c:pt>
                <c:pt idx="4627">
                  <c:v>813.294</c:v>
                </c:pt>
                <c:pt idx="4628">
                  <c:v>813.4589999999994</c:v>
                </c:pt>
                <c:pt idx="4629">
                  <c:v>813.624</c:v>
                </c:pt>
                <c:pt idx="4630">
                  <c:v>813.798</c:v>
                </c:pt>
                <c:pt idx="4631">
                  <c:v>813.97</c:v>
                </c:pt>
                <c:pt idx="4632">
                  <c:v>814.145</c:v>
                </c:pt>
                <c:pt idx="4633">
                  <c:v>814.319</c:v>
                </c:pt>
                <c:pt idx="4634">
                  <c:v>814.489</c:v>
                </c:pt>
                <c:pt idx="4635">
                  <c:v>814.6519999999994</c:v>
                </c:pt>
                <c:pt idx="4636">
                  <c:v>814.8129999999974</c:v>
                </c:pt>
                <c:pt idx="4637">
                  <c:v>814.9779999999994</c:v>
                </c:pt>
                <c:pt idx="4638">
                  <c:v>815.1469999999994</c:v>
                </c:pt>
                <c:pt idx="4639">
                  <c:v>815.3129999999974</c:v>
                </c:pt>
                <c:pt idx="4640">
                  <c:v>815.47</c:v>
                </c:pt>
                <c:pt idx="4641">
                  <c:v>815.628</c:v>
                </c:pt>
                <c:pt idx="4642">
                  <c:v>815.79</c:v>
                </c:pt>
                <c:pt idx="4643">
                  <c:v>815.9519999999974</c:v>
                </c:pt>
                <c:pt idx="4644">
                  <c:v>816.117</c:v>
                </c:pt>
                <c:pt idx="4645">
                  <c:v>816.279</c:v>
                </c:pt>
                <c:pt idx="4646">
                  <c:v>816.4499999999994</c:v>
                </c:pt>
                <c:pt idx="4647">
                  <c:v>816.624</c:v>
                </c:pt>
                <c:pt idx="4648">
                  <c:v>816.796</c:v>
                </c:pt>
                <c:pt idx="4649">
                  <c:v>816.972</c:v>
                </c:pt>
                <c:pt idx="4650">
                  <c:v>817.14</c:v>
                </c:pt>
                <c:pt idx="4651">
                  <c:v>817.304</c:v>
                </c:pt>
                <c:pt idx="4652">
                  <c:v>817.4689999999994</c:v>
                </c:pt>
                <c:pt idx="4653">
                  <c:v>817.638</c:v>
                </c:pt>
                <c:pt idx="4654">
                  <c:v>817.804</c:v>
                </c:pt>
                <c:pt idx="4655">
                  <c:v>817.9629999999925</c:v>
                </c:pt>
                <c:pt idx="4656">
                  <c:v>818.106</c:v>
                </c:pt>
                <c:pt idx="4657">
                  <c:v>818.243</c:v>
                </c:pt>
                <c:pt idx="4658">
                  <c:v>818.3819999999994</c:v>
                </c:pt>
                <c:pt idx="4659">
                  <c:v>818.539</c:v>
                </c:pt>
                <c:pt idx="4660">
                  <c:v>818.703</c:v>
                </c:pt>
                <c:pt idx="4661">
                  <c:v>818.872</c:v>
                </c:pt>
                <c:pt idx="4662">
                  <c:v>819.0409999999994</c:v>
                </c:pt>
                <c:pt idx="4663">
                  <c:v>819.209</c:v>
                </c:pt>
                <c:pt idx="4664">
                  <c:v>819.378</c:v>
                </c:pt>
                <c:pt idx="4665">
                  <c:v>819.5419999999979</c:v>
                </c:pt>
                <c:pt idx="4666">
                  <c:v>819.708</c:v>
                </c:pt>
                <c:pt idx="4667">
                  <c:v>819.8769999999994</c:v>
                </c:pt>
                <c:pt idx="4668">
                  <c:v>820.05</c:v>
                </c:pt>
                <c:pt idx="4669">
                  <c:v>820.218</c:v>
                </c:pt>
                <c:pt idx="4670">
                  <c:v>820.3769999999994</c:v>
                </c:pt>
                <c:pt idx="4671">
                  <c:v>820.539</c:v>
                </c:pt>
                <c:pt idx="4672">
                  <c:v>820.706</c:v>
                </c:pt>
                <c:pt idx="4673">
                  <c:v>820.873</c:v>
                </c:pt>
                <c:pt idx="4674">
                  <c:v>821.0419999999979</c:v>
                </c:pt>
                <c:pt idx="4675">
                  <c:v>821.211</c:v>
                </c:pt>
                <c:pt idx="4676">
                  <c:v>821.384</c:v>
                </c:pt>
                <c:pt idx="4677">
                  <c:v>821.5569999999979</c:v>
                </c:pt>
                <c:pt idx="4678">
                  <c:v>821.729</c:v>
                </c:pt>
                <c:pt idx="4679">
                  <c:v>821.904</c:v>
                </c:pt>
                <c:pt idx="4680">
                  <c:v>822.075</c:v>
                </c:pt>
                <c:pt idx="4681">
                  <c:v>822.244</c:v>
                </c:pt>
                <c:pt idx="4682">
                  <c:v>822.414</c:v>
                </c:pt>
                <c:pt idx="4683">
                  <c:v>822.579</c:v>
                </c:pt>
                <c:pt idx="4684">
                  <c:v>822.744</c:v>
                </c:pt>
                <c:pt idx="4685">
                  <c:v>822.9109999999994</c:v>
                </c:pt>
                <c:pt idx="4686">
                  <c:v>823.077</c:v>
                </c:pt>
                <c:pt idx="4687">
                  <c:v>823.234</c:v>
                </c:pt>
                <c:pt idx="4688">
                  <c:v>823.383</c:v>
                </c:pt>
                <c:pt idx="4689">
                  <c:v>823.54</c:v>
                </c:pt>
                <c:pt idx="4690">
                  <c:v>823.701</c:v>
                </c:pt>
                <c:pt idx="4691">
                  <c:v>823.8689999999979</c:v>
                </c:pt>
                <c:pt idx="4692">
                  <c:v>824.039</c:v>
                </c:pt>
                <c:pt idx="4693">
                  <c:v>824.211</c:v>
                </c:pt>
                <c:pt idx="4694">
                  <c:v>824.386</c:v>
                </c:pt>
                <c:pt idx="4695">
                  <c:v>824.5519999999979</c:v>
                </c:pt>
                <c:pt idx="4696">
                  <c:v>824.715</c:v>
                </c:pt>
                <c:pt idx="4697">
                  <c:v>824.881</c:v>
                </c:pt>
                <c:pt idx="4698">
                  <c:v>825.0459999999994</c:v>
                </c:pt>
                <c:pt idx="4699">
                  <c:v>825.201</c:v>
                </c:pt>
                <c:pt idx="4700">
                  <c:v>825.3569999999974</c:v>
                </c:pt>
                <c:pt idx="4701">
                  <c:v>825.506</c:v>
                </c:pt>
                <c:pt idx="4702">
                  <c:v>825.6559999999994</c:v>
                </c:pt>
                <c:pt idx="4703">
                  <c:v>825.8199999999994</c:v>
                </c:pt>
                <c:pt idx="4704">
                  <c:v>825.993</c:v>
                </c:pt>
                <c:pt idx="4705">
                  <c:v>826.169</c:v>
                </c:pt>
                <c:pt idx="4706">
                  <c:v>826.3419999999974</c:v>
                </c:pt>
                <c:pt idx="4707">
                  <c:v>826.5119999999994</c:v>
                </c:pt>
                <c:pt idx="4708">
                  <c:v>826.675</c:v>
                </c:pt>
                <c:pt idx="4709">
                  <c:v>826.8329999999974</c:v>
                </c:pt>
                <c:pt idx="4710">
                  <c:v>826.997</c:v>
                </c:pt>
                <c:pt idx="4711">
                  <c:v>827.164</c:v>
                </c:pt>
                <c:pt idx="4712">
                  <c:v>827.3339999999994</c:v>
                </c:pt>
                <c:pt idx="4713">
                  <c:v>827.506</c:v>
                </c:pt>
                <c:pt idx="4714">
                  <c:v>827.673</c:v>
                </c:pt>
                <c:pt idx="4715">
                  <c:v>827.8299999999994</c:v>
                </c:pt>
                <c:pt idx="4716">
                  <c:v>827.993</c:v>
                </c:pt>
                <c:pt idx="4717">
                  <c:v>828.159</c:v>
                </c:pt>
                <c:pt idx="4718">
                  <c:v>828.3279999999974</c:v>
                </c:pt>
                <c:pt idx="4719">
                  <c:v>828.492</c:v>
                </c:pt>
                <c:pt idx="4720">
                  <c:v>828.65</c:v>
                </c:pt>
                <c:pt idx="4721">
                  <c:v>828.809</c:v>
                </c:pt>
                <c:pt idx="4722">
                  <c:v>828.975</c:v>
                </c:pt>
                <c:pt idx="4723">
                  <c:v>829.1469999999994</c:v>
                </c:pt>
                <c:pt idx="4724">
                  <c:v>829.3199999999994</c:v>
                </c:pt>
                <c:pt idx="4725">
                  <c:v>829.493</c:v>
                </c:pt>
                <c:pt idx="4726">
                  <c:v>829.6669999999979</c:v>
                </c:pt>
                <c:pt idx="4727">
                  <c:v>829.8349999999979</c:v>
                </c:pt>
                <c:pt idx="4728">
                  <c:v>830.0</c:v>
                </c:pt>
                <c:pt idx="4729">
                  <c:v>830.1619999999979</c:v>
                </c:pt>
                <c:pt idx="4730">
                  <c:v>830.3209999999979</c:v>
                </c:pt>
                <c:pt idx="4731">
                  <c:v>830.4880000000001</c:v>
                </c:pt>
                <c:pt idx="4732">
                  <c:v>830.6569999999994</c:v>
                </c:pt>
                <c:pt idx="4733">
                  <c:v>830.8199999999994</c:v>
                </c:pt>
                <c:pt idx="4734">
                  <c:v>830.98</c:v>
                </c:pt>
                <c:pt idx="4735">
                  <c:v>831.144</c:v>
                </c:pt>
                <c:pt idx="4736">
                  <c:v>831.3109999999979</c:v>
                </c:pt>
                <c:pt idx="4737">
                  <c:v>831.471</c:v>
                </c:pt>
                <c:pt idx="4738">
                  <c:v>831.624</c:v>
                </c:pt>
                <c:pt idx="4739">
                  <c:v>831.783</c:v>
                </c:pt>
                <c:pt idx="4740">
                  <c:v>831.944</c:v>
                </c:pt>
                <c:pt idx="4741">
                  <c:v>832.101</c:v>
                </c:pt>
                <c:pt idx="4742">
                  <c:v>832.256</c:v>
                </c:pt>
                <c:pt idx="4743">
                  <c:v>832.408</c:v>
                </c:pt>
                <c:pt idx="4744">
                  <c:v>832.564</c:v>
                </c:pt>
                <c:pt idx="4745">
                  <c:v>832.724</c:v>
                </c:pt>
                <c:pt idx="4746">
                  <c:v>832.893</c:v>
                </c:pt>
                <c:pt idx="4747">
                  <c:v>833.0629999999974</c:v>
                </c:pt>
                <c:pt idx="4748">
                  <c:v>833.236</c:v>
                </c:pt>
                <c:pt idx="4749">
                  <c:v>833.4019999999994</c:v>
                </c:pt>
                <c:pt idx="4750">
                  <c:v>833.5679999999974</c:v>
                </c:pt>
                <c:pt idx="4751">
                  <c:v>833.737</c:v>
                </c:pt>
                <c:pt idx="4752">
                  <c:v>833.9069999999994</c:v>
                </c:pt>
                <c:pt idx="4753">
                  <c:v>834.078</c:v>
                </c:pt>
                <c:pt idx="4754">
                  <c:v>834.253</c:v>
                </c:pt>
                <c:pt idx="4755">
                  <c:v>834.424</c:v>
                </c:pt>
                <c:pt idx="4756">
                  <c:v>834.587</c:v>
                </c:pt>
                <c:pt idx="4757">
                  <c:v>834.749</c:v>
                </c:pt>
                <c:pt idx="4758">
                  <c:v>834.9159999999994</c:v>
                </c:pt>
                <c:pt idx="4759">
                  <c:v>835.085</c:v>
                </c:pt>
                <c:pt idx="4760">
                  <c:v>835.253</c:v>
                </c:pt>
                <c:pt idx="4761">
                  <c:v>835.4209999999994</c:v>
                </c:pt>
                <c:pt idx="4762">
                  <c:v>835.591</c:v>
                </c:pt>
                <c:pt idx="4763">
                  <c:v>835.769</c:v>
                </c:pt>
                <c:pt idx="4764">
                  <c:v>835.9449999999994</c:v>
                </c:pt>
                <c:pt idx="4765">
                  <c:v>836.117</c:v>
                </c:pt>
                <c:pt idx="4766">
                  <c:v>836.292</c:v>
                </c:pt>
                <c:pt idx="4767">
                  <c:v>836.4669999999974</c:v>
                </c:pt>
                <c:pt idx="4768">
                  <c:v>836.638</c:v>
                </c:pt>
                <c:pt idx="4769">
                  <c:v>836.8019999999979</c:v>
                </c:pt>
                <c:pt idx="4770">
                  <c:v>836.9589999999994</c:v>
                </c:pt>
                <c:pt idx="4771">
                  <c:v>837.114</c:v>
                </c:pt>
                <c:pt idx="4772">
                  <c:v>837.273</c:v>
                </c:pt>
                <c:pt idx="4773">
                  <c:v>837.4399999999994</c:v>
                </c:pt>
                <c:pt idx="4774">
                  <c:v>837.614</c:v>
                </c:pt>
                <c:pt idx="4775">
                  <c:v>837.787</c:v>
                </c:pt>
                <c:pt idx="4776">
                  <c:v>837.9499999999994</c:v>
                </c:pt>
                <c:pt idx="4777">
                  <c:v>838.115</c:v>
                </c:pt>
                <c:pt idx="4778">
                  <c:v>838.284</c:v>
                </c:pt>
                <c:pt idx="4779">
                  <c:v>838.4529999999974</c:v>
                </c:pt>
                <c:pt idx="4780">
                  <c:v>838.619</c:v>
                </c:pt>
                <c:pt idx="4781">
                  <c:v>838.786</c:v>
                </c:pt>
                <c:pt idx="4782">
                  <c:v>838.9599999999979</c:v>
                </c:pt>
                <c:pt idx="4783">
                  <c:v>839.138</c:v>
                </c:pt>
                <c:pt idx="4784">
                  <c:v>839.3109999999979</c:v>
                </c:pt>
                <c:pt idx="4785">
                  <c:v>839.4609999999974</c:v>
                </c:pt>
                <c:pt idx="4786">
                  <c:v>839.62</c:v>
                </c:pt>
                <c:pt idx="4787">
                  <c:v>839.787</c:v>
                </c:pt>
                <c:pt idx="4788">
                  <c:v>839.9619999999974</c:v>
                </c:pt>
                <c:pt idx="4789">
                  <c:v>840.134</c:v>
                </c:pt>
                <c:pt idx="4790">
                  <c:v>840.3049999999994</c:v>
                </c:pt>
                <c:pt idx="4791">
                  <c:v>840.476</c:v>
                </c:pt>
                <c:pt idx="4792">
                  <c:v>840.646</c:v>
                </c:pt>
                <c:pt idx="4793">
                  <c:v>840.8209999999979</c:v>
                </c:pt>
                <c:pt idx="4794">
                  <c:v>840.986</c:v>
                </c:pt>
                <c:pt idx="4795">
                  <c:v>841.1559999999994</c:v>
                </c:pt>
                <c:pt idx="4796">
                  <c:v>841.3319999999974</c:v>
                </c:pt>
                <c:pt idx="4797">
                  <c:v>841.511</c:v>
                </c:pt>
                <c:pt idx="4798">
                  <c:v>841.692</c:v>
                </c:pt>
                <c:pt idx="4799">
                  <c:v>841.8659999999974</c:v>
                </c:pt>
                <c:pt idx="4800">
                  <c:v>842.035</c:v>
                </c:pt>
                <c:pt idx="4801">
                  <c:v>842.194</c:v>
                </c:pt>
                <c:pt idx="4802">
                  <c:v>842.3469999999974</c:v>
                </c:pt>
                <c:pt idx="4803">
                  <c:v>842.505</c:v>
                </c:pt>
                <c:pt idx="4804">
                  <c:v>842.672</c:v>
                </c:pt>
                <c:pt idx="4805">
                  <c:v>842.8439999999994</c:v>
                </c:pt>
                <c:pt idx="4806">
                  <c:v>843.018</c:v>
                </c:pt>
                <c:pt idx="4807">
                  <c:v>843.195</c:v>
                </c:pt>
                <c:pt idx="4808">
                  <c:v>843.3649999999974</c:v>
                </c:pt>
                <c:pt idx="4809">
                  <c:v>843.5369999999979</c:v>
                </c:pt>
                <c:pt idx="4810">
                  <c:v>843.713</c:v>
                </c:pt>
                <c:pt idx="4811">
                  <c:v>843.8919999999994</c:v>
                </c:pt>
                <c:pt idx="4812">
                  <c:v>844.0679999999974</c:v>
                </c:pt>
                <c:pt idx="4813">
                  <c:v>844.247</c:v>
                </c:pt>
                <c:pt idx="4814">
                  <c:v>844.4269999999979</c:v>
                </c:pt>
                <c:pt idx="4815">
                  <c:v>844.597</c:v>
                </c:pt>
                <c:pt idx="4816">
                  <c:v>844.766</c:v>
                </c:pt>
                <c:pt idx="4817">
                  <c:v>844.9329999999974</c:v>
                </c:pt>
                <c:pt idx="4818">
                  <c:v>845.102</c:v>
                </c:pt>
                <c:pt idx="4819">
                  <c:v>845.265</c:v>
                </c:pt>
                <c:pt idx="4820">
                  <c:v>845.439</c:v>
                </c:pt>
                <c:pt idx="4821">
                  <c:v>845.619</c:v>
                </c:pt>
                <c:pt idx="4822">
                  <c:v>845.798</c:v>
                </c:pt>
                <c:pt idx="4823">
                  <c:v>845.971</c:v>
                </c:pt>
                <c:pt idx="4824">
                  <c:v>846.145</c:v>
                </c:pt>
                <c:pt idx="4825">
                  <c:v>846.324</c:v>
                </c:pt>
                <c:pt idx="4826">
                  <c:v>846.503</c:v>
                </c:pt>
                <c:pt idx="4827">
                  <c:v>846.679</c:v>
                </c:pt>
                <c:pt idx="4828">
                  <c:v>846.8509999999974</c:v>
                </c:pt>
                <c:pt idx="4829">
                  <c:v>847.021</c:v>
                </c:pt>
                <c:pt idx="4830">
                  <c:v>847.189</c:v>
                </c:pt>
                <c:pt idx="4831">
                  <c:v>847.3630000000001</c:v>
                </c:pt>
                <c:pt idx="4832">
                  <c:v>847.5419999999979</c:v>
                </c:pt>
                <c:pt idx="4833">
                  <c:v>847.722</c:v>
                </c:pt>
                <c:pt idx="4834">
                  <c:v>847.9069999999994</c:v>
                </c:pt>
                <c:pt idx="4835">
                  <c:v>848.09</c:v>
                </c:pt>
                <c:pt idx="4836">
                  <c:v>848.2669999999994</c:v>
                </c:pt>
                <c:pt idx="4837">
                  <c:v>848.4419999999974</c:v>
                </c:pt>
                <c:pt idx="4838">
                  <c:v>848.6</c:v>
                </c:pt>
                <c:pt idx="4839">
                  <c:v>848.749</c:v>
                </c:pt>
                <c:pt idx="4840">
                  <c:v>848.9019999999994</c:v>
                </c:pt>
                <c:pt idx="4841">
                  <c:v>849.0579999999974</c:v>
                </c:pt>
                <c:pt idx="4842">
                  <c:v>849.223</c:v>
                </c:pt>
                <c:pt idx="4843">
                  <c:v>849.39</c:v>
                </c:pt>
                <c:pt idx="4844">
                  <c:v>849.5609999999979</c:v>
                </c:pt>
                <c:pt idx="4845">
                  <c:v>849.7380000000001</c:v>
                </c:pt>
                <c:pt idx="4846">
                  <c:v>849.908</c:v>
                </c:pt>
                <c:pt idx="4847">
                  <c:v>850.079</c:v>
                </c:pt>
                <c:pt idx="4848">
                  <c:v>850.258</c:v>
                </c:pt>
                <c:pt idx="4849">
                  <c:v>850.4299999999994</c:v>
                </c:pt>
                <c:pt idx="4850">
                  <c:v>850.593</c:v>
                </c:pt>
                <c:pt idx="4851">
                  <c:v>850.753</c:v>
                </c:pt>
                <c:pt idx="4852">
                  <c:v>850.919</c:v>
                </c:pt>
                <c:pt idx="4853">
                  <c:v>851.087</c:v>
                </c:pt>
                <c:pt idx="4854">
                  <c:v>851.253</c:v>
                </c:pt>
                <c:pt idx="4855">
                  <c:v>851.423</c:v>
                </c:pt>
                <c:pt idx="4856">
                  <c:v>851.592</c:v>
                </c:pt>
                <c:pt idx="4857">
                  <c:v>851.761</c:v>
                </c:pt>
                <c:pt idx="4858">
                  <c:v>851.9329999999974</c:v>
                </c:pt>
                <c:pt idx="4859">
                  <c:v>852.109</c:v>
                </c:pt>
                <c:pt idx="4860">
                  <c:v>852.283</c:v>
                </c:pt>
                <c:pt idx="4861">
                  <c:v>852.4519999999974</c:v>
                </c:pt>
                <c:pt idx="4862">
                  <c:v>852.614</c:v>
                </c:pt>
                <c:pt idx="4863">
                  <c:v>852.779</c:v>
                </c:pt>
                <c:pt idx="4864">
                  <c:v>852.9429999999974</c:v>
                </c:pt>
                <c:pt idx="4865">
                  <c:v>853.104</c:v>
                </c:pt>
                <c:pt idx="4866">
                  <c:v>853.274</c:v>
                </c:pt>
                <c:pt idx="4867">
                  <c:v>853.4549999999994</c:v>
                </c:pt>
                <c:pt idx="4868">
                  <c:v>853.64</c:v>
                </c:pt>
                <c:pt idx="4869">
                  <c:v>853.8079999999974</c:v>
                </c:pt>
                <c:pt idx="4870">
                  <c:v>853.972</c:v>
                </c:pt>
                <c:pt idx="4871">
                  <c:v>854.134</c:v>
                </c:pt>
                <c:pt idx="4872">
                  <c:v>854.298</c:v>
                </c:pt>
                <c:pt idx="4873">
                  <c:v>854.4679999999923</c:v>
                </c:pt>
                <c:pt idx="4874">
                  <c:v>854.635</c:v>
                </c:pt>
                <c:pt idx="4875">
                  <c:v>854.799</c:v>
                </c:pt>
                <c:pt idx="4876">
                  <c:v>854.9579999999974</c:v>
                </c:pt>
                <c:pt idx="4877">
                  <c:v>855.114</c:v>
                </c:pt>
                <c:pt idx="4878">
                  <c:v>855.271</c:v>
                </c:pt>
                <c:pt idx="4879">
                  <c:v>855.4309999999994</c:v>
                </c:pt>
                <c:pt idx="4880">
                  <c:v>855.593</c:v>
                </c:pt>
                <c:pt idx="4881">
                  <c:v>855.7619999999994</c:v>
                </c:pt>
                <c:pt idx="4882">
                  <c:v>855.9409999999979</c:v>
                </c:pt>
                <c:pt idx="4883">
                  <c:v>856.121</c:v>
                </c:pt>
                <c:pt idx="4884">
                  <c:v>856.295</c:v>
                </c:pt>
                <c:pt idx="4885">
                  <c:v>856.4659999999974</c:v>
                </c:pt>
                <c:pt idx="4886">
                  <c:v>856.641</c:v>
                </c:pt>
                <c:pt idx="4887">
                  <c:v>856.819</c:v>
                </c:pt>
                <c:pt idx="4888">
                  <c:v>856.991</c:v>
                </c:pt>
                <c:pt idx="4889">
                  <c:v>857.169</c:v>
                </c:pt>
                <c:pt idx="4890">
                  <c:v>857.3429999999923</c:v>
                </c:pt>
                <c:pt idx="4891">
                  <c:v>857.49</c:v>
                </c:pt>
                <c:pt idx="4892">
                  <c:v>857.629</c:v>
                </c:pt>
                <c:pt idx="4893">
                  <c:v>857.769</c:v>
                </c:pt>
                <c:pt idx="4894">
                  <c:v>857.924</c:v>
                </c:pt>
                <c:pt idx="4895">
                  <c:v>858.093</c:v>
                </c:pt>
                <c:pt idx="4896">
                  <c:v>858.2669999999994</c:v>
                </c:pt>
                <c:pt idx="4897">
                  <c:v>858.4399999999994</c:v>
                </c:pt>
                <c:pt idx="4898">
                  <c:v>858.611</c:v>
                </c:pt>
                <c:pt idx="4899">
                  <c:v>858.781</c:v>
                </c:pt>
                <c:pt idx="4900">
                  <c:v>858.9509999999979</c:v>
                </c:pt>
                <c:pt idx="4901">
                  <c:v>859.122</c:v>
                </c:pt>
                <c:pt idx="4902">
                  <c:v>859.286</c:v>
                </c:pt>
                <c:pt idx="4903">
                  <c:v>859.4499999999994</c:v>
                </c:pt>
                <c:pt idx="4904">
                  <c:v>859.6130000000001</c:v>
                </c:pt>
                <c:pt idx="4905">
                  <c:v>859.761</c:v>
                </c:pt>
                <c:pt idx="4906">
                  <c:v>859.92</c:v>
                </c:pt>
                <c:pt idx="4907">
                  <c:v>860.075</c:v>
                </c:pt>
                <c:pt idx="4908">
                  <c:v>860.23</c:v>
                </c:pt>
                <c:pt idx="4909">
                  <c:v>860.3869999999994</c:v>
                </c:pt>
                <c:pt idx="4910">
                  <c:v>860.5559999999994</c:v>
                </c:pt>
                <c:pt idx="4911">
                  <c:v>860.7329999999994</c:v>
                </c:pt>
                <c:pt idx="4912">
                  <c:v>860.9159999999994</c:v>
                </c:pt>
                <c:pt idx="4913">
                  <c:v>861.096</c:v>
                </c:pt>
                <c:pt idx="4914">
                  <c:v>861.279</c:v>
                </c:pt>
                <c:pt idx="4915">
                  <c:v>861.4619999999974</c:v>
                </c:pt>
                <c:pt idx="4916">
                  <c:v>861.648</c:v>
                </c:pt>
                <c:pt idx="4917">
                  <c:v>861.8259999999979</c:v>
                </c:pt>
                <c:pt idx="4918">
                  <c:v>861.997</c:v>
                </c:pt>
                <c:pt idx="4919">
                  <c:v>862.165</c:v>
                </c:pt>
                <c:pt idx="4920">
                  <c:v>862.3369999999974</c:v>
                </c:pt>
                <c:pt idx="4921">
                  <c:v>862.504</c:v>
                </c:pt>
                <c:pt idx="4922">
                  <c:v>862.668</c:v>
                </c:pt>
                <c:pt idx="4923">
                  <c:v>862.8359999999974</c:v>
                </c:pt>
                <c:pt idx="4924">
                  <c:v>863.005</c:v>
                </c:pt>
                <c:pt idx="4925">
                  <c:v>863.169</c:v>
                </c:pt>
                <c:pt idx="4926">
                  <c:v>863.3319999999974</c:v>
                </c:pt>
                <c:pt idx="4927">
                  <c:v>863.489</c:v>
                </c:pt>
                <c:pt idx="4928">
                  <c:v>863.653</c:v>
                </c:pt>
                <c:pt idx="4929">
                  <c:v>863.8149999999994</c:v>
                </c:pt>
                <c:pt idx="4930">
                  <c:v>863.9779999999994</c:v>
                </c:pt>
                <c:pt idx="4931">
                  <c:v>864.1419999999994</c:v>
                </c:pt>
                <c:pt idx="4932">
                  <c:v>864.3129999999974</c:v>
                </c:pt>
                <c:pt idx="4933">
                  <c:v>864.474</c:v>
                </c:pt>
                <c:pt idx="4934">
                  <c:v>864.6369999999994</c:v>
                </c:pt>
                <c:pt idx="4935">
                  <c:v>864.8</c:v>
                </c:pt>
                <c:pt idx="4936">
                  <c:v>864.9669999999974</c:v>
                </c:pt>
                <c:pt idx="4937">
                  <c:v>865.143</c:v>
                </c:pt>
                <c:pt idx="4938">
                  <c:v>865.3209999999979</c:v>
                </c:pt>
                <c:pt idx="4939">
                  <c:v>865.497</c:v>
                </c:pt>
                <c:pt idx="4940">
                  <c:v>865.677</c:v>
                </c:pt>
                <c:pt idx="4941">
                  <c:v>865.8569999999974</c:v>
                </c:pt>
                <c:pt idx="4942">
                  <c:v>866.0359999999994</c:v>
                </c:pt>
                <c:pt idx="4943">
                  <c:v>866.21</c:v>
                </c:pt>
                <c:pt idx="4944">
                  <c:v>866.389</c:v>
                </c:pt>
                <c:pt idx="4945">
                  <c:v>866.5669999999974</c:v>
                </c:pt>
                <c:pt idx="4946">
                  <c:v>866.739</c:v>
                </c:pt>
                <c:pt idx="4947">
                  <c:v>866.9059999999994</c:v>
                </c:pt>
                <c:pt idx="4948">
                  <c:v>867.076</c:v>
                </c:pt>
                <c:pt idx="4949">
                  <c:v>867.2519999999994</c:v>
                </c:pt>
                <c:pt idx="4950">
                  <c:v>867.4269999999979</c:v>
                </c:pt>
                <c:pt idx="4951">
                  <c:v>867.599</c:v>
                </c:pt>
                <c:pt idx="4952">
                  <c:v>867.772</c:v>
                </c:pt>
                <c:pt idx="4953">
                  <c:v>867.9459999999979</c:v>
                </c:pt>
                <c:pt idx="4954">
                  <c:v>868.122</c:v>
                </c:pt>
                <c:pt idx="4955">
                  <c:v>868.296</c:v>
                </c:pt>
                <c:pt idx="4956">
                  <c:v>868.4689999999994</c:v>
                </c:pt>
                <c:pt idx="4957">
                  <c:v>868.645</c:v>
                </c:pt>
                <c:pt idx="4958">
                  <c:v>868.8199999999994</c:v>
                </c:pt>
                <c:pt idx="4959">
                  <c:v>868.991</c:v>
                </c:pt>
                <c:pt idx="4960">
                  <c:v>869.159</c:v>
                </c:pt>
                <c:pt idx="4961">
                  <c:v>869.3149999999994</c:v>
                </c:pt>
                <c:pt idx="4962">
                  <c:v>869.4679999999923</c:v>
                </c:pt>
                <c:pt idx="4963">
                  <c:v>869.611</c:v>
                </c:pt>
                <c:pt idx="4964">
                  <c:v>869.753</c:v>
                </c:pt>
                <c:pt idx="4965">
                  <c:v>869.91</c:v>
                </c:pt>
                <c:pt idx="4966">
                  <c:v>870.073</c:v>
                </c:pt>
                <c:pt idx="4967">
                  <c:v>870.24</c:v>
                </c:pt>
                <c:pt idx="4968">
                  <c:v>870.4069999999994</c:v>
                </c:pt>
                <c:pt idx="4969">
                  <c:v>870.569</c:v>
                </c:pt>
                <c:pt idx="4970">
                  <c:v>870.726</c:v>
                </c:pt>
                <c:pt idx="4971">
                  <c:v>870.89</c:v>
                </c:pt>
                <c:pt idx="4972">
                  <c:v>871.0619999999974</c:v>
                </c:pt>
                <c:pt idx="4973">
                  <c:v>871.237</c:v>
                </c:pt>
                <c:pt idx="4974">
                  <c:v>871.4069999999994</c:v>
                </c:pt>
                <c:pt idx="4975">
                  <c:v>871.579</c:v>
                </c:pt>
                <c:pt idx="4976">
                  <c:v>871.749</c:v>
                </c:pt>
                <c:pt idx="4977">
                  <c:v>871.92</c:v>
                </c:pt>
                <c:pt idx="4978">
                  <c:v>872.097</c:v>
                </c:pt>
                <c:pt idx="4979">
                  <c:v>872.277</c:v>
                </c:pt>
                <c:pt idx="4980">
                  <c:v>872.4569999999974</c:v>
                </c:pt>
                <c:pt idx="4981">
                  <c:v>872.633</c:v>
                </c:pt>
                <c:pt idx="4982">
                  <c:v>872.8049999999994</c:v>
                </c:pt>
                <c:pt idx="4983">
                  <c:v>872.9689999999994</c:v>
                </c:pt>
                <c:pt idx="4984">
                  <c:v>873.134</c:v>
                </c:pt>
                <c:pt idx="4985">
                  <c:v>873.3109999999979</c:v>
                </c:pt>
                <c:pt idx="4986">
                  <c:v>873.492</c:v>
                </c:pt>
                <c:pt idx="4987">
                  <c:v>873.669</c:v>
                </c:pt>
                <c:pt idx="4988">
                  <c:v>873.8379999999925</c:v>
                </c:pt>
                <c:pt idx="4989">
                  <c:v>873.99</c:v>
                </c:pt>
                <c:pt idx="4990">
                  <c:v>874.1369999999994</c:v>
                </c:pt>
                <c:pt idx="4991">
                  <c:v>874.297</c:v>
                </c:pt>
                <c:pt idx="4992">
                  <c:v>874.4640000000001</c:v>
                </c:pt>
                <c:pt idx="4993">
                  <c:v>874.6369999999994</c:v>
                </c:pt>
                <c:pt idx="4994">
                  <c:v>874.8079999999974</c:v>
                </c:pt>
                <c:pt idx="4995">
                  <c:v>874.9779999999994</c:v>
                </c:pt>
                <c:pt idx="4996">
                  <c:v>875.143</c:v>
                </c:pt>
                <c:pt idx="4997">
                  <c:v>875.3149999999994</c:v>
                </c:pt>
                <c:pt idx="4998">
                  <c:v>875.487</c:v>
                </c:pt>
                <c:pt idx="4999">
                  <c:v>875.6609999999994</c:v>
                </c:pt>
                <c:pt idx="5000">
                  <c:v>875.8349999999979</c:v>
                </c:pt>
                <c:pt idx="5001">
                  <c:v>876.004</c:v>
                </c:pt>
                <c:pt idx="5002">
                  <c:v>876.171</c:v>
                </c:pt>
                <c:pt idx="5003">
                  <c:v>876.3399999999979</c:v>
                </c:pt>
                <c:pt idx="5004">
                  <c:v>876.511</c:v>
                </c:pt>
                <c:pt idx="5005">
                  <c:v>876.682</c:v>
                </c:pt>
                <c:pt idx="5006">
                  <c:v>876.8559999999974</c:v>
                </c:pt>
                <c:pt idx="5007">
                  <c:v>877.0259999999994</c:v>
                </c:pt>
                <c:pt idx="5008">
                  <c:v>877.183</c:v>
                </c:pt>
                <c:pt idx="5009">
                  <c:v>877.3479999999921</c:v>
                </c:pt>
                <c:pt idx="5010">
                  <c:v>877.508</c:v>
                </c:pt>
                <c:pt idx="5011">
                  <c:v>877.665</c:v>
                </c:pt>
                <c:pt idx="5012">
                  <c:v>877.8209999999979</c:v>
                </c:pt>
                <c:pt idx="5013">
                  <c:v>877.9779999999994</c:v>
                </c:pt>
                <c:pt idx="5014">
                  <c:v>878.143</c:v>
                </c:pt>
                <c:pt idx="5015">
                  <c:v>878.3009999999994</c:v>
                </c:pt>
                <c:pt idx="5016">
                  <c:v>878.4559999999979</c:v>
                </c:pt>
                <c:pt idx="5017">
                  <c:v>878.609</c:v>
                </c:pt>
                <c:pt idx="5018">
                  <c:v>878.7619999999994</c:v>
                </c:pt>
                <c:pt idx="5019">
                  <c:v>878.915</c:v>
                </c:pt>
                <c:pt idx="5020">
                  <c:v>879.073</c:v>
                </c:pt>
                <c:pt idx="5021">
                  <c:v>879.2329999999994</c:v>
                </c:pt>
                <c:pt idx="5022">
                  <c:v>879.393</c:v>
                </c:pt>
                <c:pt idx="5023">
                  <c:v>879.5579999999974</c:v>
                </c:pt>
                <c:pt idx="5024">
                  <c:v>879.723</c:v>
                </c:pt>
                <c:pt idx="5025">
                  <c:v>879.89</c:v>
                </c:pt>
                <c:pt idx="5026">
                  <c:v>880.0519999999979</c:v>
                </c:pt>
                <c:pt idx="5027">
                  <c:v>880.215</c:v>
                </c:pt>
                <c:pt idx="5028">
                  <c:v>880.384</c:v>
                </c:pt>
                <c:pt idx="5029">
                  <c:v>880.5559999999994</c:v>
                </c:pt>
                <c:pt idx="5030">
                  <c:v>880.729</c:v>
                </c:pt>
                <c:pt idx="5031">
                  <c:v>880.905</c:v>
                </c:pt>
                <c:pt idx="5032">
                  <c:v>881.082</c:v>
                </c:pt>
                <c:pt idx="5033">
                  <c:v>881.254</c:v>
                </c:pt>
                <c:pt idx="5034">
                  <c:v>881.4269999999979</c:v>
                </c:pt>
                <c:pt idx="5035">
                  <c:v>881.596</c:v>
                </c:pt>
                <c:pt idx="5036">
                  <c:v>881.7569999999994</c:v>
                </c:pt>
                <c:pt idx="5037">
                  <c:v>881.923</c:v>
                </c:pt>
                <c:pt idx="5038">
                  <c:v>882.092</c:v>
                </c:pt>
                <c:pt idx="5039">
                  <c:v>882.265</c:v>
                </c:pt>
                <c:pt idx="5040">
                  <c:v>882.4379999999974</c:v>
                </c:pt>
                <c:pt idx="5041">
                  <c:v>882.612</c:v>
                </c:pt>
                <c:pt idx="5042">
                  <c:v>882.788</c:v>
                </c:pt>
                <c:pt idx="5043">
                  <c:v>882.9589999999994</c:v>
                </c:pt>
                <c:pt idx="5044">
                  <c:v>883.129</c:v>
                </c:pt>
                <c:pt idx="5045">
                  <c:v>883.3009999999994</c:v>
                </c:pt>
                <c:pt idx="5046">
                  <c:v>883.4659999999974</c:v>
                </c:pt>
                <c:pt idx="5047">
                  <c:v>883.6319999999994</c:v>
                </c:pt>
                <c:pt idx="5048">
                  <c:v>883.8019999999979</c:v>
                </c:pt>
                <c:pt idx="5049">
                  <c:v>883.974</c:v>
                </c:pt>
                <c:pt idx="5050">
                  <c:v>884.15</c:v>
                </c:pt>
                <c:pt idx="5051">
                  <c:v>884.3269999999974</c:v>
                </c:pt>
                <c:pt idx="5052">
                  <c:v>884.504</c:v>
                </c:pt>
                <c:pt idx="5053">
                  <c:v>884.674</c:v>
                </c:pt>
                <c:pt idx="5054">
                  <c:v>884.8349999999979</c:v>
                </c:pt>
                <c:pt idx="5055">
                  <c:v>884.997</c:v>
                </c:pt>
                <c:pt idx="5056">
                  <c:v>885.154</c:v>
                </c:pt>
                <c:pt idx="5057">
                  <c:v>885.309</c:v>
                </c:pt>
                <c:pt idx="5058">
                  <c:v>885.4640000000001</c:v>
                </c:pt>
                <c:pt idx="5059">
                  <c:v>885.628</c:v>
                </c:pt>
                <c:pt idx="5060">
                  <c:v>885.795</c:v>
                </c:pt>
                <c:pt idx="5061">
                  <c:v>885.9539999999994</c:v>
                </c:pt>
                <c:pt idx="5062">
                  <c:v>886.09</c:v>
                </c:pt>
                <c:pt idx="5063">
                  <c:v>886.231</c:v>
                </c:pt>
                <c:pt idx="5064">
                  <c:v>886.383</c:v>
                </c:pt>
                <c:pt idx="5065">
                  <c:v>886.5459999999994</c:v>
                </c:pt>
                <c:pt idx="5066">
                  <c:v>886.715</c:v>
                </c:pt>
                <c:pt idx="5067">
                  <c:v>886.8869999999994</c:v>
                </c:pt>
                <c:pt idx="5068">
                  <c:v>887.059</c:v>
                </c:pt>
                <c:pt idx="5069">
                  <c:v>887.229</c:v>
                </c:pt>
                <c:pt idx="5070">
                  <c:v>887.4009999999994</c:v>
                </c:pt>
                <c:pt idx="5071">
                  <c:v>887.571</c:v>
                </c:pt>
                <c:pt idx="5072">
                  <c:v>887.7380000000001</c:v>
                </c:pt>
                <c:pt idx="5073">
                  <c:v>887.908</c:v>
                </c:pt>
                <c:pt idx="5074">
                  <c:v>888.084</c:v>
                </c:pt>
                <c:pt idx="5075">
                  <c:v>888.261</c:v>
                </c:pt>
                <c:pt idx="5076">
                  <c:v>888.4319999999979</c:v>
                </c:pt>
                <c:pt idx="5077">
                  <c:v>888.595</c:v>
                </c:pt>
                <c:pt idx="5078">
                  <c:v>888.759</c:v>
                </c:pt>
                <c:pt idx="5079">
                  <c:v>888.9159999999994</c:v>
                </c:pt>
                <c:pt idx="5080">
                  <c:v>889.084</c:v>
                </c:pt>
                <c:pt idx="5081">
                  <c:v>889.253</c:v>
                </c:pt>
                <c:pt idx="5082">
                  <c:v>889.4159999999994</c:v>
                </c:pt>
                <c:pt idx="5083">
                  <c:v>889.583</c:v>
                </c:pt>
                <c:pt idx="5084">
                  <c:v>889.761</c:v>
                </c:pt>
                <c:pt idx="5085">
                  <c:v>889.9419999999974</c:v>
                </c:pt>
                <c:pt idx="5086">
                  <c:v>890.123</c:v>
                </c:pt>
                <c:pt idx="5087">
                  <c:v>890.3049999999994</c:v>
                </c:pt>
                <c:pt idx="5088">
                  <c:v>890.4880000000001</c:v>
                </c:pt>
                <c:pt idx="5089">
                  <c:v>890.668</c:v>
                </c:pt>
                <c:pt idx="5090">
                  <c:v>890.8289999999994</c:v>
                </c:pt>
                <c:pt idx="5091">
                  <c:v>890.989</c:v>
                </c:pt>
                <c:pt idx="5092">
                  <c:v>891.155</c:v>
                </c:pt>
                <c:pt idx="5093">
                  <c:v>891.3269999999974</c:v>
                </c:pt>
                <c:pt idx="5094">
                  <c:v>891.493</c:v>
                </c:pt>
                <c:pt idx="5095">
                  <c:v>891.659</c:v>
                </c:pt>
                <c:pt idx="5096">
                  <c:v>891.8279999999974</c:v>
                </c:pt>
                <c:pt idx="5097">
                  <c:v>892.001</c:v>
                </c:pt>
                <c:pt idx="5098">
                  <c:v>892.174</c:v>
                </c:pt>
                <c:pt idx="5099">
                  <c:v>892.3489999999994</c:v>
                </c:pt>
                <c:pt idx="5100">
                  <c:v>892.525</c:v>
                </c:pt>
                <c:pt idx="5101">
                  <c:v>892.697</c:v>
                </c:pt>
                <c:pt idx="5102">
                  <c:v>892.8529999999918</c:v>
                </c:pt>
                <c:pt idx="5103">
                  <c:v>893.009</c:v>
                </c:pt>
                <c:pt idx="5104">
                  <c:v>893.175</c:v>
                </c:pt>
                <c:pt idx="5105">
                  <c:v>893.3359999999974</c:v>
                </c:pt>
                <c:pt idx="5106">
                  <c:v>893.497</c:v>
                </c:pt>
                <c:pt idx="5107">
                  <c:v>893.6659999999994</c:v>
                </c:pt>
                <c:pt idx="5108">
                  <c:v>893.8399999999979</c:v>
                </c:pt>
                <c:pt idx="5109">
                  <c:v>894.004</c:v>
                </c:pt>
                <c:pt idx="5110">
                  <c:v>894.173</c:v>
                </c:pt>
                <c:pt idx="5111">
                  <c:v>894.3459999999974</c:v>
                </c:pt>
                <c:pt idx="5112">
                  <c:v>894.519</c:v>
                </c:pt>
                <c:pt idx="5113">
                  <c:v>894.694</c:v>
                </c:pt>
                <c:pt idx="5114">
                  <c:v>894.8689999999979</c:v>
                </c:pt>
                <c:pt idx="5115">
                  <c:v>895.0419999999979</c:v>
                </c:pt>
                <c:pt idx="5116">
                  <c:v>895.209</c:v>
                </c:pt>
                <c:pt idx="5117">
                  <c:v>895.381</c:v>
                </c:pt>
                <c:pt idx="5118">
                  <c:v>895.5559999999994</c:v>
                </c:pt>
                <c:pt idx="5119">
                  <c:v>895.722</c:v>
                </c:pt>
                <c:pt idx="5120">
                  <c:v>895.879</c:v>
                </c:pt>
                <c:pt idx="5121">
                  <c:v>896.0409999999994</c:v>
                </c:pt>
                <c:pt idx="5122">
                  <c:v>896.202</c:v>
                </c:pt>
                <c:pt idx="5123">
                  <c:v>896.371</c:v>
                </c:pt>
                <c:pt idx="5124">
                  <c:v>896.539</c:v>
                </c:pt>
                <c:pt idx="5125">
                  <c:v>896.709</c:v>
                </c:pt>
                <c:pt idx="5126">
                  <c:v>896.879</c:v>
                </c:pt>
                <c:pt idx="5127">
                  <c:v>897.048</c:v>
                </c:pt>
                <c:pt idx="5128">
                  <c:v>897.222</c:v>
                </c:pt>
                <c:pt idx="5129">
                  <c:v>897.394</c:v>
                </c:pt>
                <c:pt idx="5130">
                  <c:v>897.569</c:v>
                </c:pt>
                <c:pt idx="5131">
                  <c:v>897.74</c:v>
                </c:pt>
                <c:pt idx="5132">
                  <c:v>897.914</c:v>
                </c:pt>
                <c:pt idx="5133">
                  <c:v>898.087</c:v>
                </c:pt>
                <c:pt idx="5134">
                  <c:v>898.26</c:v>
                </c:pt>
                <c:pt idx="5135">
                  <c:v>898.434</c:v>
                </c:pt>
                <c:pt idx="5136">
                  <c:v>898.609</c:v>
                </c:pt>
                <c:pt idx="5137">
                  <c:v>898.787</c:v>
                </c:pt>
                <c:pt idx="5138">
                  <c:v>898.9549999999994</c:v>
                </c:pt>
                <c:pt idx="5139">
                  <c:v>899.12</c:v>
                </c:pt>
                <c:pt idx="5140">
                  <c:v>899.292</c:v>
                </c:pt>
                <c:pt idx="5141">
                  <c:v>899.4689999999994</c:v>
                </c:pt>
                <c:pt idx="5142">
                  <c:v>899.635</c:v>
                </c:pt>
                <c:pt idx="5143">
                  <c:v>899.8009999999994</c:v>
                </c:pt>
                <c:pt idx="5144">
                  <c:v>899.9640000000001</c:v>
                </c:pt>
                <c:pt idx="5145">
                  <c:v>900.1269999999994</c:v>
                </c:pt>
                <c:pt idx="5146">
                  <c:v>900.294</c:v>
                </c:pt>
                <c:pt idx="5147">
                  <c:v>900.4619999999974</c:v>
                </c:pt>
                <c:pt idx="5148">
                  <c:v>900.629</c:v>
                </c:pt>
                <c:pt idx="5149">
                  <c:v>900.803</c:v>
                </c:pt>
                <c:pt idx="5150">
                  <c:v>900.9779999999994</c:v>
                </c:pt>
                <c:pt idx="5151">
                  <c:v>901.1419999999994</c:v>
                </c:pt>
                <c:pt idx="5152">
                  <c:v>901.299</c:v>
                </c:pt>
                <c:pt idx="5153">
                  <c:v>901.4559999999979</c:v>
                </c:pt>
                <c:pt idx="5154">
                  <c:v>901.617</c:v>
                </c:pt>
                <c:pt idx="5155">
                  <c:v>901.786</c:v>
                </c:pt>
                <c:pt idx="5156">
                  <c:v>901.949</c:v>
                </c:pt>
                <c:pt idx="5157">
                  <c:v>902.104</c:v>
                </c:pt>
                <c:pt idx="5158">
                  <c:v>902.2619999999994</c:v>
                </c:pt>
                <c:pt idx="5159">
                  <c:v>902.4219999999979</c:v>
                </c:pt>
              </c:numCache>
            </c:numRef>
          </c:xVal>
          <c:yVal>
            <c:numRef>
              <c:f>W28DB!$C$6:$C$5165</c:f>
              <c:numCache>
                <c:formatCode>General</c:formatCode>
                <c:ptCount val="5160"/>
                <c:pt idx="0">
                  <c:v>99.98252</c:v>
                </c:pt>
                <c:pt idx="1">
                  <c:v>99.98234999999998</c:v>
                </c:pt>
                <c:pt idx="2">
                  <c:v>99.9819</c:v>
                </c:pt>
                <c:pt idx="3">
                  <c:v>99.98108</c:v>
                </c:pt>
                <c:pt idx="4">
                  <c:v>99.97927</c:v>
                </c:pt>
                <c:pt idx="5">
                  <c:v>99.97683999999998</c:v>
                </c:pt>
                <c:pt idx="6">
                  <c:v>99.974</c:v>
                </c:pt>
                <c:pt idx="7">
                  <c:v>99.97067000000001</c:v>
                </c:pt>
                <c:pt idx="8">
                  <c:v>99.96689</c:v>
                </c:pt>
                <c:pt idx="9">
                  <c:v>99.96282</c:v>
                </c:pt>
                <c:pt idx="10">
                  <c:v>99.95866</c:v>
                </c:pt>
                <c:pt idx="11">
                  <c:v>99.95447</c:v>
                </c:pt>
                <c:pt idx="12">
                  <c:v>99.95002</c:v>
                </c:pt>
                <c:pt idx="13">
                  <c:v>99.94525</c:v>
                </c:pt>
                <c:pt idx="14">
                  <c:v>99.94056</c:v>
                </c:pt>
                <c:pt idx="15">
                  <c:v>99.93575</c:v>
                </c:pt>
                <c:pt idx="16">
                  <c:v>99.93077</c:v>
                </c:pt>
                <c:pt idx="17">
                  <c:v>99.92570999999998</c:v>
                </c:pt>
                <c:pt idx="18">
                  <c:v>99.92049</c:v>
                </c:pt>
                <c:pt idx="19">
                  <c:v>99.91551</c:v>
                </c:pt>
                <c:pt idx="20">
                  <c:v>99.91025</c:v>
                </c:pt>
                <c:pt idx="21">
                  <c:v>99.90478</c:v>
                </c:pt>
                <c:pt idx="22">
                  <c:v>99.89922</c:v>
                </c:pt>
                <c:pt idx="23">
                  <c:v>99.89371</c:v>
                </c:pt>
                <c:pt idx="24">
                  <c:v>99.88812</c:v>
                </c:pt>
                <c:pt idx="25">
                  <c:v>99.88239999999985</c:v>
                </c:pt>
                <c:pt idx="26">
                  <c:v>99.87634999999958</c:v>
                </c:pt>
                <c:pt idx="27">
                  <c:v>99.87063999999998</c:v>
                </c:pt>
                <c:pt idx="28">
                  <c:v>99.86496</c:v>
                </c:pt>
                <c:pt idx="29">
                  <c:v>99.85886999999998</c:v>
                </c:pt>
                <c:pt idx="30">
                  <c:v>99.85298999999995</c:v>
                </c:pt>
                <c:pt idx="31">
                  <c:v>99.84711</c:v>
                </c:pt>
                <c:pt idx="32">
                  <c:v>99.8411</c:v>
                </c:pt>
                <c:pt idx="33">
                  <c:v>99.83489</c:v>
                </c:pt>
                <c:pt idx="34">
                  <c:v>99.82867999999995</c:v>
                </c:pt>
                <c:pt idx="35">
                  <c:v>99.82271999999985</c:v>
                </c:pt>
                <c:pt idx="36">
                  <c:v>99.81667</c:v>
                </c:pt>
                <c:pt idx="37">
                  <c:v>99.81037</c:v>
                </c:pt>
                <c:pt idx="38">
                  <c:v>99.804</c:v>
                </c:pt>
                <c:pt idx="39">
                  <c:v>99.79775</c:v>
                </c:pt>
                <c:pt idx="40">
                  <c:v>99.79166</c:v>
                </c:pt>
                <c:pt idx="41">
                  <c:v>99.78553</c:v>
                </c:pt>
                <c:pt idx="42">
                  <c:v>99.77932</c:v>
                </c:pt>
                <c:pt idx="43">
                  <c:v>99.77289999999998</c:v>
                </c:pt>
                <c:pt idx="44">
                  <c:v>99.76653</c:v>
                </c:pt>
                <c:pt idx="45">
                  <c:v>99.76032</c:v>
                </c:pt>
                <c:pt idx="46">
                  <c:v>99.75398</c:v>
                </c:pt>
                <c:pt idx="47">
                  <c:v>99.74785</c:v>
                </c:pt>
                <c:pt idx="48">
                  <c:v>99.7416</c:v>
                </c:pt>
                <c:pt idx="49">
                  <c:v>99.73522</c:v>
                </c:pt>
                <c:pt idx="50">
                  <c:v>99.72876999999998</c:v>
                </c:pt>
                <c:pt idx="51">
                  <c:v>99.72238999999985</c:v>
                </c:pt>
                <c:pt idx="52">
                  <c:v>99.71601</c:v>
                </c:pt>
                <c:pt idx="53">
                  <c:v>99.70952</c:v>
                </c:pt>
                <c:pt idx="54">
                  <c:v>99.70293</c:v>
                </c:pt>
                <c:pt idx="55">
                  <c:v>99.69630999999998</c:v>
                </c:pt>
                <c:pt idx="56">
                  <c:v>99.68984999999998</c:v>
                </c:pt>
                <c:pt idx="57">
                  <c:v>99.68352</c:v>
                </c:pt>
                <c:pt idx="58">
                  <c:v>99.67697999999935</c:v>
                </c:pt>
                <c:pt idx="59">
                  <c:v>99.67051999999998</c:v>
                </c:pt>
                <c:pt idx="60">
                  <c:v>99.66431</c:v>
                </c:pt>
                <c:pt idx="61">
                  <c:v>99.65805999999998</c:v>
                </c:pt>
                <c:pt idx="62">
                  <c:v>99.65156</c:v>
                </c:pt>
                <c:pt idx="63">
                  <c:v>99.64506</c:v>
                </c:pt>
                <c:pt idx="64">
                  <c:v>99.63872999999998</c:v>
                </c:pt>
                <c:pt idx="65">
                  <c:v>99.63234999999958</c:v>
                </c:pt>
                <c:pt idx="66">
                  <c:v>99.62596999999998</c:v>
                </c:pt>
                <c:pt idx="67">
                  <c:v>99.61943</c:v>
                </c:pt>
                <c:pt idx="68">
                  <c:v>99.6133</c:v>
                </c:pt>
                <c:pt idx="69">
                  <c:v>99.60705</c:v>
                </c:pt>
                <c:pt idx="70">
                  <c:v>99.60055</c:v>
                </c:pt>
                <c:pt idx="71">
                  <c:v>99.59397000000001</c:v>
                </c:pt>
                <c:pt idx="72">
                  <c:v>99.58756</c:v>
                </c:pt>
                <c:pt idx="73">
                  <c:v>99.58122</c:v>
                </c:pt>
                <c:pt idx="74">
                  <c:v>99.57476</c:v>
                </c:pt>
                <c:pt idx="75">
                  <c:v>99.56843</c:v>
                </c:pt>
                <c:pt idx="76">
                  <c:v>99.56201</c:v>
                </c:pt>
                <c:pt idx="77">
                  <c:v>99.55583999999975</c:v>
                </c:pt>
                <c:pt idx="78">
                  <c:v>99.54955</c:v>
                </c:pt>
                <c:pt idx="79">
                  <c:v>99.5433</c:v>
                </c:pt>
                <c:pt idx="80">
                  <c:v>99.53717</c:v>
                </c:pt>
                <c:pt idx="81">
                  <c:v>99.53104</c:v>
                </c:pt>
                <c:pt idx="82">
                  <c:v>99.52483</c:v>
                </c:pt>
                <c:pt idx="83">
                  <c:v>99.51862</c:v>
                </c:pt>
                <c:pt idx="84">
                  <c:v>99.51257</c:v>
                </c:pt>
                <c:pt idx="85">
                  <c:v>99.50656</c:v>
                </c:pt>
                <c:pt idx="86">
                  <c:v>99.50047999999998</c:v>
                </c:pt>
                <c:pt idx="87">
                  <c:v>99.4941</c:v>
                </c:pt>
                <c:pt idx="88">
                  <c:v>99.48785</c:v>
                </c:pt>
                <c:pt idx="89">
                  <c:v>99.48164</c:v>
                </c:pt>
                <c:pt idx="90">
                  <c:v>99.47558999999998</c:v>
                </c:pt>
                <c:pt idx="91">
                  <c:v>99.46942</c:v>
                </c:pt>
                <c:pt idx="92">
                  <c:v>99.46321</c:v>
                </c:pt>
                <c:pt idx="93">
                  <c:v>99.4572</c:v>
                </c:pt>
                <c:pt idx="94">
                  <c:v>99.45136</c:v>
                </c:pt>
                <c:pt idx="95">
                  <c:v>99.44515</c:v>
                </c:pt>
                <c:pt idx="96">
                  <c:v>99.43902</c:v>
                </c:pt>
                <c:pt idx="97">
                  <c:v>99.43277</c:v>
                </c:pt>
                <c:pt idx="98">
                  <c:v>99.42689</c:v>
                </c:pt>
                <c:pt idx="99">
                  <c:v>99.42092</c:v>
                </c:pt>
                <c:pt idx="100">
                  <c:v>99.415</c:v>
                </c:pt>
                <c:pt idx="101">
                  <c:v>99.40908</c:v>
                </c:pt>
                <c:pt idx="102">
                  <c:v>99.40324</c:v>
                </c:pt>
                <c:pt idx="103">
                  <c:v>99.39723</c:v>
                </c:pt>
                <c:pt idx="104">
                  <c:v>99.39118</c:v>
                </c:pt>
                <c:pt idx="105">
                  <c:v>99.38500999999998</c:v>
                </c:pt>
                <c:pt idx="106">
                  <c:v>99.37921</c:v>
                </c:pt>
                <c:pt idx="107">
                  <c:v>99.37340999999998</c:v>
                </c:pt>
                <c:pt idx="108">
                  <c:v>99.36745</c:v>
                </c:pt>
                <c:pt idx="109">
                  <c:v>99.36161</c:v>
                </c:pt>
                <c:pt idx="110">
                  <c:v>99.35576999999998</c:v>
                </c:pt>
                <c:pt idx="111">
                  <c:v>99.34997000000001</c:v>
                </c:pt>
                <c:pt idx="112">
                  <c:v>99.34392</c:v>
                </c:pt>
                <c:pt idx="113">
                  <c:v>99.33796</c:v>
                </c:pt>
                <c:pt idx="114">
                  <c:v>99.33212</c:v>
                </c:pt>
                <c:pt idx="115">
                  <c:v>99.32639999999998</c:v>
                </c:pt>
                <c:pt idx="116">
                  <c:v>99.32056</c:v>
                </c:pt>
                <c:pt idx="117">
                  <c:v>99.31488</c:v>
                </c:pt>
                <c:pt idx="118">
                  <c:v>99.30907999999998</c:v>
                </c:pt>
                <c:pt idx="119">
                  <c:v>99.30316</c:v>
                </c:pt>
                <c:pt idx="120">
                  <c:v>99.29728</c:v>
                </c:pt>
                <c:pt idx="121">
                  <c:v>99.29135</c:v>
                </c:pt>
                <c:pt idx="122">
                  <c:v>99.28546999999997</c:v>
                </c:pt>
                <c:pt idx="123">
                  <c:v>99.27970999999998</c:v>
                </c:pt>
                <c:pt idx="124">
                  <c:v>99.27386999999997</c:v>
                </c:pt>
                <c:pt idx="125">
                  <c:v>99.26803</c:v>
                </c:pt>
                <c:pt idx="126">
                  <c:v>99.26231</c:v>
                </c:pt>
                <c:pt idx="127">
                  <c:v>99.25668</c:v>
                </c:pt>
                <c:pt idx="128">
                  <c:v>99.25108</c:v>
                </c:pt>
                <c:pt idx="129">
                  <c:v>99.2452</c:v>
                </c:pt>
                <c:pt idx="130">
                  <c:v>99.2394</c:v>
                </c:pt>
                <c:pt idx="131">
                  <c:v>99.23364</c:v>
                </c:pt>
                <c:pt idx="132">
                  <c:v>99.22788</c:v>
                </c:pt>
                <c:pt idx="133">
                  <c:v>99.22203999999998</c:v>
                </c:pt>
                <c:pt idx="134">
                  <c:v>99.21633000000001</c:v>
                </c:pt>
                <c:pt idx="135">
                  <c:v>99.21069</c:v>
                </c:pt>
                <c:pt idx="136">
                  <c:v>99.2051</c:v>
                </c:pt>
                <c:pt idx="137">
                  <c:v>99.19926</c:v>
                </c:pt>
                <c:pt idx="138">
                  <c:v>99.19354</c:v>
                </c:pt>
                <c:pt idx="139">
                  <c:v>99.18802999999998</c:v>
                </c:pt>
                <c:pt idx="140">
                  <c:v>99.18246999999998</c:v>
                </c:pt>
                <c:pt idx="141">
                  <c:v>99.17658999999995</c:v>
                </c:pt>
                <c:pt idx="142">
                  <c:v>99.1707899999991</c:v>
                </c:pt>
                <c:pt idx="143">
                  <c:v>99.16516</c:v>
                </c:pt>
                <c:pt idx="144">
                  <c:v>99.1596</c:v>
                </c:pt>
                <c:pt idx="145">
                  <c:v>99.15392999999997</c:v>
                </c:pt>
                <c:pt idx="146">
                  <c:v>99.14813</c:v>
                </c:pt>
                <c:pt idx="147">
                  <c:v>99.14248999999998</c:v>
                </c:pt>
                <c:pt idx="148">
                  <c:v>99.13697999999998</c:v>
                </c:pt>
                <c:pt idx="149">
                  <c:v>99.1313</c:v>
                </c:pt>
                <c:pt idx="150">
                  <c:v>99.12545999999985</c:v>
                </c:pt>
                <c:pt idx="151">
                  <c:v>99.11978999999998</c:v>
                </c:pt>
                <c:pt idx="152">
                  <c:v>99.11427</c:v>
                </c:pt>
                <c:pt idx="153">
                  <c:v>99.10863999999998</c:v>
                </c:pt>
                <c:pt idx="154">
                  <c:v>99.10303999999998</c:v>
                </c:pt>
                <c:pt idx="155">
                  <c:v>99.09733000000001</c:v>
                </c:pt>
                <c:pt idx="156">
                  <c:v>99.09169</c:v>
                </c:pt>
                <c:pt idx="157">
                  <c:v>99.08622</c:v>
                </c:pt>
                <c:pt idx="158">
                  <c:v>99.08054</c:v>
                </c:pt>
                <c:pt idx="159">
                  <c:v>99.07495</c:v>
                </c:pt>
                <c:pt idx="160">
                  <c:v>99.06936</c:v>
                </c:pt>
                <c:pt idx="161">
                  <c:v>99.06384</c:v>
                </c:pt>
                <c:pt idx="162">
                  <c:v>99.05816999999997</c:v>
                </c:pt>
                <c:pt idx="163">
                  <c:v>99.05240999999998</c:v>
                </c:pt>
                <c:pt idx="164">
                  <c:v>99.04677</c:v>
                </c:pt>
                <c:pt idx="165">
                  <c:v>99.04126</c:v>
                </c:pt>
                <c:pt idx="166">
                  <c:v>99.0355</c:v>
                </c:pt>
                <c:pt idx="167">
                  <c:v>99.02966</c:v>
                </c:pt>
                <c:pt idx="168">
                  <c:v>99.0239</c:v>
                </c:pt>
                <c:pt idx="169">
                  <c:v>99.01827</c:v>
                </c:pt>
                <c:pt idx="170">
                  <c:v>99.01263</c:v>
                </c:pt>
                <c:pt idx="171">
                  <c:v>99.00696</c:v>
                </c:pt>
                <c:pt idx="172">
                  <c:v>99.00132</c:v>
                </c:pt>
                <c:pt idx="173">
                  <c:v>98.99573</c:v>
                </c:pt>
                <c:pt idx="174">
                  <c:v>98.99034</c:v>
                </c:pt>
                <c:pt idx="175">
                  <c:v>98.98491</c:v>
                </c:pt>
                <c:pt idx="176">
                  <c:v>98.97919</c:v>
                </c:pt>
                <c:pt idx="177">
                  <c:v>98.97343</c:v>
                </c:pt>
                <c:pt idx="178">
                  <c:v>98.96796</c:v>
                </c:pt>
                <c:pt idx="179">
                  <c:v>98.96257000000001</c:v>
                </c:pt>
                <c:pt idx="180">
                  <c:v>98.95657000000001</c:v>
                </c:pt>
                <c:pt idx="181">
                  <c:v>98.95069</c:v>
                </c:pt>
                <c:pt idx="182">
                  <c:v>98.94505</c:v>
                </c:pt>
                <c:pt idx="183">
                  <c:v>98.93929</c:v>
                </c:pt>
                <c:pt idx="184">
                  <c:v>98.93349</c:v>
                </c:pt>
                <c:pt idx="185">
                  <c:v>98.92761</c:v>
                </c:pt>
                <c:pt idx="186">
                  <c:v>98.92189</c:v>
                </c:pt>
                <c:pt idx="187">
                  <c:v>98.91626</c:v>
                </c:pt>
                <c:pt idx="188">
                  <c:v>98.91054</c:v>
                </c:pt>
                <c:pt idx="189">
                  <c:v>98.90474</c:v>
                </c:pt>
                <c:pt idx="190">
                  <c:v>98.89906</c:v>
                </c:pt>
                <c:pt idx="191">
                  <c:v>98.89343</c:v>
                </c:pt>
                <c:pt idx="192">
                  <c:v>98.88755</c:v>
                </c:pt>
                <c:pt idx="193">
                  <c:v>98.88166</c:v>
                </c:pt>
                <c:pt idx="194">
                  <c:v>98.87594999999965</c:v>
                </c:pt>
                <c:pt idx="195">
                  <c:v>98.87030999999975</c:v>
                </c:pt>
                <c:pt idx="196">
                  <c:v>98.86447</c:v>
                </c:pt>
                <c:pt idx="197">
                  <c:v>98.85866999999997</c:v>
                </c:pt>
                <c:pt idx="198">
                  <c:v>98.85278999999925</c:v>
                </c:pt>
                <c:pt idx="199">
                  <c:v>98.84699</c:v>
                </c:pt>
                <c:pt idx="200">
                  <c:v>98.84135</c:v>
                </c:pt>
                <c:pt idx="201">
                  <c:v>98.83555</c:v>
                </c:pt>
                <c:pt idx="202">
                  <c:v>98.82970999999995</c:v>
                </c:pt>
                <c:pt idx="203">
                  <c:v>98.82403999999998</c:v>
                </c:pt>
                <c:pt idx="204">
                  <c:v>98.81811</c:v>
                </c:pt>
                <c:pt idx="205">
                  <c:v>98.81236</c:v>
                </c:pt>
                <c:pt idx="206">
                  <c:v>98.80668</c:v>
                </c:pt>
                <c:pt idx="207">
                  <c:v>98.80083999999998</c:v>
                </c:pt>
                <c:pt idx="208">
                  <c:v>98.79504</c:v>
                </c:pt>
                <c:pt idx="209">
                  <c:v>98.78911</c:v>
                </c:pt>
                <c:pt idx="210">
                  <c:v>98.78327</c:v>
                </c:pt>
                <c:pt idx="211">
                  <c:v>98.77727</c:v>
                </c:pt>
                <c:pt idx="212">
                  <c:v>98.77135</c:v>
                </c:pt>
                <c:pt idx="213">
                  <c:v>98.76537999999998</c:v>
                </c:pt>
                <c:pt idx="214">
                  <c:v>98.75929</c:v>
                </c:pt>
                <c:pt idx="215">
                  <c:v>98.75336999999997</c:v>
                </c:pt>
                <c:pt idx="216">
                  <c:v>98.74757</c:v>
                </c:pt>
                <c:pt idx="217">
                  <c:v>98.74173</c:v>
                </c:pt>
                <c:pt idx="218">
                  <c:v>98.73585</c:v>
                </c:pt>
                <c:pt idx="219">
                  <c:v>98.73001</c:v>
                </c:pt>
                <c:pt idx="220">
                  <c:v>98.72429</c:v>
                </c:pt>
                <c:pt idx="221">
                  <c:v>98.71828</c:v>
                </c:pt>
                <c:pt idx="222">
                  <c:v>98.71228</c:v>
                </c:pt>
                <c:pt idx="223">
                  <c:v>98.70635</c:v>
                </c:pt>
                <c:pt idx="224">
                  <c:v>98.70055</c:v>
                </c:pt>
                <c:pt idx="225">
                  <c:v>98.69451</c:v>
                </c:pt>
                <c:pt idx="226">
                  <c:v>98.68845999999998</c:v>
                </c:pt>
                <c:pt idx="227">
                  <c:v>98.68232999999998</c:v>
                </c:pt>
                <c:pt idx="228">
                  <c:v>98.67636999999995</c:v>
                </c:pt>
                <c:pt idx="229">
                  <c:v>98.67035999999958</c:v>
                </c:pt>
                <c:pt idx="230">
                  <c:v>98.6644</c:v>
                </c:pt>
                <c:pt idx="231">
                  <c:v>98.6583899999991</c:v>
                </c:pt>
                <c:pt idx="232">
                  <c:v>98.65258999999975</c:v>
                </c:pt>
                <c:pt idx="233">
                  <c:v>98.64659</c:v>
                </c:pt>
                <c:pt idx="234">
                  <c:v>98.64054</c:v>
                </c:pt>
                <c:pt idx="235">
                  <c:v>98.63458</c:v>
                </c:pt>
                <c:pt idx="236">
                  <c:v>98.62864999999998</c:v>
                </c:pt>
                <c:pt idx="237">
                  <c:v>98.62276999999958</c:v>
                </c:pt>
                <c:pt idx="238">
                  <c:v>98.6166</c:v>
                </c:pt>
                <c:pt idx="239">
                  <c:v>98.61031</c:v>
                </c:pt>
                <c:pt idx="240">
                  <c:v>98.60422</c:v>
                </c:pt>
                <c:pt idx="241">
                  <c:v>98.59833999999998</c:v>
                </c:pt>
                <c:pt idx="242">
                  <c:v>98.59217</c:v>
                </c:pt>
                <c:pt idx="243">
                  <c:v>98.58592</c:v>
                </c:pt>
                <c:pt idx="244">
                  <c:v>98.57969999999997</c:v>
                </c:pt>
                <c:pt idx="245">
                  <c:v>98.57394999999998</c:v>
                </c:pt>
                <c:pt idx="246">
                  <c:v>98.56782</c:v>
                </c:pt>
                <c:pt idx="247">
                  <c:v>98.56173</c:v>
                </c:pt>
                <c:pt idx="248">
                  <c:v>98.55575999999998</c:v>
                </c:pt>
                <c:pt idx="249">
                  <c:v>98.54988</c:v>
                </c:pt>
                <c:pt idx="250">
                  <c:v>98.54392</c:v>
                </c:pt>
                <c:pt idx="251">
                  <c:v>98.53787000000001</c:v>
                </c:pt>
                <c:pt idx="252">
                  <c:v>98.53187000000001</c:v>
                </c:pt>
                <c:pt idx="253">
                  <c:v>98.52597999999985</c:v>
                </c:pt>
                <c:pt idx="254">
                  <c:v>98.51994</c:v>
                </c:pt>
                <c:pt idx="255">
                  <c:v>98.51373</c:v>
                </c:pt>
                <c:pt idx="256">
                  <c:v>98.50743000000001</c:v>
                </c:pt>
                <c:pt idx="257">
                  <c:v>98.50126</c:v>
                </c:pt>
                <c:pt idx="258">
                  <c:v>98.49537999999998</c:v>
                </c:pt>
                <c:pt idx="259">
                  <c:v>98.48929</c:v>
                </c:pt>
                <c:pt idx="260">
                  <c:v>98.48308</c:v>
                </c:pt>
                <c:pt idx="261">
                  <c:v>98.47695</c:v>
                </c:pt>
                <c:pt idx="262">
                  <c:v>98.47095</c:v>
                </c:pt>
                <c:pt idx="263">
                  <c:v>98.46482</c:v>
                </c:pt>
                <c:pt idx="264">
                  <c:v>98.45881</c:v>
                </c:pt>
                <c:pt idx="265">
                  <c:v>98.45264</c:v>
                </c:pt>
                <c:pt idx="266">
                  <c:v>98.44656</c:v>
                </c:pt>
                <c:pt idx="267">
                  <c:v>98.44039</c:v>
                </c:pt>
                <c:pt idx="268">
                  <c:v>98.43422</c:v>
                </c:pt>
                <c:pt idx="269">
                  <c:v>98.42817</c:v>
                </c:pt>
                <c:pt idx="270">
                  <c:v>98.42216</c:v>
                </c:pt>
                <c:pt idx="271">
                  <c:v>98.41603</c:v>
                </c:pt>
                <c:pt idx="272">
                  <c:v>98.40991</c:v>
                </c:pt>
                <c:pt idx="273">
                  <c:v>98.40361</c:v>
                </c:pt>
                <c:pt idx="274">
                  <c:v>98.39744</c:v>
                </c:pt>
                <c:pt idx="275">
                  <c:v>98.39107000000001</c:v>
                </c:pt>
                <c:pt idx="276">
                  <c:v>98.38465</c:v>
                </c:pt>
                <c:pt idx="277">
                  <c:v>98.37826999999998</c:v>
                </c:pt>
                <c:pt idx="278">
                  <c:v>98.37205999999995</c:v>
                </c:pt>
                <c:pt idx="279">
                  <c:v>98.36597999999998</c:v>
                </c:pt>
                <c:pt idx="280">
                  <c:v>98.35988999999998</c:v>
                </c:pt>
                <c:pt idx="281">
                  <c:v>98.35371999999998</c:v>
                </c:pt>
                <c:pt idx="282">
                  <c:v>98.34779</c:v>
                </c:pt>
                <c:pt idx="283">
                  <c:v>98.34162</c:v>
                </c:pt>
                <c:pt idx="284">
                  <c:v>98.33557999999998</c:v>
                </c:pt>
                <c:pt idx="285">
                  <c:v>98.32948999999998</c:v>
                </c:pt>
                <c:pt idx="286">
                  <c:v>98.32339999999998</c:v>
                </c:pt>
                <c:pt idx="287">
                  <c:v>98.3174</c:v>
                </c:pt>
                <c:pt idx="288">
                  <c:v>98.31123</c:v>
                </c:pt>
                <c:pt idx="289">
                  <c:v>98.30513999999998</c:v>
                </c:pt>
                <c:pt idx="290">
                  <c:v>98.29897</c:v>
                </c:pt>
                <c:pt idx="291">
                  <c:v>98.29284</c:v>
                </c:pt>
                <c:pt idx="292">
                  <c:v>98.28651</c:v>
                </c:pt>
                <c:pt idx="293">
                  <c:v>98.28021</c:v>
                </c:pt>
                <c:pt idx="294">
                  <c:v>98.27412</c:v>
                </c:pt>
                <c:pt idx="295">
                  <c:v>98.26804</c:v>
                </c:pt>
                <c:pt idx="296">
                  <c:v>98.26178</c:v>
                </c:pt>
                <c:pt idx="297">
                  <c:v>98.25557</c:v>
                </c:pt>
                <c:pt idx="298">
                  <c:v>98.24944</c:v>
                </c:pt>
                <c:pt idx="299">
                  <c:v>98.2434</c:v>
                </c:pt>
                <c:pt idx="300">
                  <c:v>98.23731</c:v>
                </c:pt>
                <c:pt idx="301">
                  <c:v>98.23114</c:v>
                </c:pt>
                <c:pt idx="302">
                  <c:v>98.22493</c:v>
                </c:pt>
                <c:pt idx="303">
                  <c:v>98.21868</c:v>
                </c:pt>
                <c:pt idx="304">
                  <c:v>98.21259</c:v>
                </c:pt>
                <c:pt idx="305">
                  <c:v>98.20646</c:v>
                </c:pt>
                <c:pt idx="306">
                  <c:v>98.20033</c:v>
                </c:pt>
                <c:pt idx="307">
                  <c:v>98.19428</c:v>
                </c:pt>
                <c:pt idx="308">
                  <c:v>98.18806999999998</c:v>
                </c:pt>
                <c:pt idx="309">
                  <c:v>98.1819</c:v>
                </c:pt>
                <c:pt idx="310">
                  <c:v>98.17560999999998</c:v>
                </c:pt>
                <c:pt idx="311">
                  <c:v>98.1696</c:v>
                </c:pt>
                <c:pt idx="312">
                  <c:v>98.16338999999998</c:v>
                </c:pt>
                <c:pt idx="313">
                  <c:v>98.1571</c:v>
                </c:pt>
                <c:pt idx="314">
                  <c:v>98.15096999999998</c:v>
                </c:pt>
                <c:pt idx="315">
                  <c:v>98.14476</c:v>
                </c:pt>
                <c:pt idx="316">
                  <c:v>98.13879999999975</c:v>
                </c:pt>
                <c:pt idx="317">
                  <c:v>98.13257999999995</c:v>
                </c:pt>
                <c:pt idx="318">
                  <c:v>98.12636999999998</c:v>
                </c:pt>
                <c:pt idx="319">
                  <c:v>98.12032999999998</c:v>
                </c:pt>
                <c:pt idx="320">
                  <c:v>98.11432</c:v>
                </c:pt>
                <c:pt idx="321">
                  <c:v>98.10814999999998</c:v>
                </c:pt>
                <c:pt idx="322">
                  <c:v>98.10201999999998</c:v>
                </c:pt>
                <c:pt idx="323">
                  <c:v>98.09597999999998</c:v>
                </c:pt>
                <c:pt idx="324">
                  <c:v>98.08988999999998</c:v>
                </c:pt>
                <c:pt idx="325">
                  <c:v>98.08351</c:v>
                </c:pt>
                <c:pt idx="326">
                  <c:v>98.0771</c:v>
                </c:pt>
                <c:pt idx="327">
                  <c:v>98.07092999999997</c:v>
                </c:pt>
                <c:pt idx="328">
                  <c:v>98.06488</c:v>
                </c:pt>
                <c:pt idx="329">
                  <c:v>98.05867</c:v>
                </c:pt>
                <c:pt idx="330">
                  <c:v>98.05245999999998</c:v>
                </c:pt>
                <c:pt idx="331">
                  <c:v>98.04616</c:v>
                </c:pt>
                <c:pt idx="332">
                  <c:v>98.04003</c:v>
                </c:pt>
                <c:pt idx="333">
                  <c:v>98.03382</c:v>
                </c:pt>
                <c:pt idx="334">
                  <c:v>98.02765</c:v>
                </c:pt>
                <c:pt idx="335">
                  <c:v>98.02144</c:v>
                </c:pt>
                <c:pt idx="336">
                  <c:v>98.01531</c:v>
                </c:pt>
                <c:pt idx="337">
                  <c:v>98.00902</c:v>
                </c:pt>
                <c:pt idx="338">
                  <c:v>98.00301</c:v>
                </c:pt>
                <c:pt idx="339">
                  <c:v>97.99705</c:v>
                </c:pt>
                <c:pt idx="340">
                  <c:v>97.99072</c:v>
                </c:pt>
                <c:pt idx="341">
                  <c:v>97.98442</c:v>
                </c:pt>
                <c:pt idx="342">
                  <c:v>97.97813</c:v>
                </c:pt>
                <c:pt idx="343">
                  <c:v>97.97203999999998</c:v>
                </c:pt>
                <c:pt idx="344">
                  <c:v>97.96587</c:v>
                </c:pt>
                <c:pt idx="345">
                  <c:v>97.95977999999998</c:v>
                </c:pt>
                <c:pt idx="346">
                  <c:v>97.95370000000001</c:v>
                </c:pt>
                <c:pt idx="347">
                  <c:v>97.9474</c:v>
                </c:pt>
                <c:pt idx="348">
                  <c:v>97.94136</c:v>
                </c:pt>
                <c:pt idx="349">
                  <c:v>97.9349</c:v>
                </c:pt>
                <c:pt idx="350">
                  <c:v>97.92836</c:v>
                </c:pt>
                <c:pt idx="351">
                  <c:v>97.92223000000001</c:v>
                </c:pt>
                <c:pt idx="352">
                  <c:v>97.91626</c:v>
                </c:pt>
                <c:pt idx="353">
                  <c:v>97.9103</c:v>
                </c:pt>
                <c:pt idx="354">
                  <c:v>97.90409</c:v>
                </c:pt>
                <c:pt idx="355">
                  <c:v>97.89792</c:v>
                </c:pt>
                <c:pt idx="356">
                  <c:v>97.89183000000001</c:v>
                </c:pt>
                <c:pt idx="357">
                  <c:v>97.88573999999915</c:v>
                </c:pt>
                <c:pt idx="358">
                  <c:v>97.87952999999997</c:v>
                </c:pt>
                <c:pt idx="359">
                  <c:v>97.87331999999998</c:v>
                </c:pt>
                <c:pt idx="360">
                  <c:v>97.86715</c:v>
                </c:pt>
                <c:pt idx="361">
                  <c:v>97.8611</c:v>
                </c:pt>
                <c:pt idx="362">
                  <c:v>97.85472999999997</c:v>
                </c:pt>
                <c:pt idx="363">
                  <c:v>97.84847999999998</c:v>
                </c:pt>
                <c:pt idx="364">
                  <c:v>97.84222</c:v>
                </c:pt>
                <c:pt idx="365">
                  <c:v>97.83596999999997</c:v>
                </c:pt>
                <c:pt idx="366">
                  <c:v>97.82967999999998</c:v>
                </c:pt>
                <c:pt idx="367">
                  <c:v>97.82363</c:v>
                </c:pt>
                <c:pt idx="368">
                  <c:v>97.81734</c:v>
                </c:pt>
                <c:pt idx="369">
                  <c:v>97.81104</c:v>
                </c:pt>
                <c:pt idx="370">
                  <c:v>97.80459</c:v>
                </c:pt>
                <c:pt idx="371">
                  <c:v>97.79829</c:v>
                </c:pt>
                <c:pt idx="372">
                  <c:v>97.79221</c:v>
                </c:pt>
                <c:pt idx="373">
                  <c:v>97.7862</c:v>
                </c:pt>
                <c:pt idx="374">
                  <c:v>97.77986999999997</c:v>
                </c:pt>
                <c:pt idx="375">
                  <c:v>97.77365</c:v>
                </c:pt>
                <c:pt idx="376">
                  <c:v>97.76765</c:v>
                </c:pt>
                <c:pt idx="377">
                  <c:v>97.76152</c:v>
                </c:pt>
                <c:pt idx="378">
                  <c:v>97.75527</c:v>
                </c:pt>
                <c:pt idx="379">
                  <c:v>97.74902</c:v>
                </c:pt>
                <c:pt idx="380">
                  <c:v>97.7428</c:v>
                </c:pt>
                <c:pt idx="381">
                  <c:v>97.73672</c:v>
                </c:pt>
                <c:pt idx="382">
                  <c:v>97.73034</c:v>
                </c:pt>
                <c:pt idx="383">
                  <c:v>97.72413</c:v>
                </c:pt>
                <c:pt idx="384">
                  <c:v>97.718</c:v>
                </c:pt>
                <c:pt idx="385">
                  <c:v>97.71195</c:v>
                </c:pt>
                <c:pt idx="386">
                  <c:v>97.70583</c:v>
                </c:pt>
                <c:pt idx="387">
                  <c:v>97.69977999999985</c:v>
                </c:pt>
                <c:pt idx="388">
                  <c:v>97.69369</c:v>
                </c:pt>
                <c:pt idx="389">
                  <c:v>97.68756</c:v>
                </c:pt>
                <c:pt idx="390">
                  <c:v>97.68130999999998</c:v>
                </c:pt>
                <c:pt idx="391">
                  <c:v>97.6751799999991</c:v>
                </c:pt>
                <c:pt idx="392">
                  <c:v>97.66896999999997</c:v>
                </c:pt>
                <c:pt idx="393">
                  <c:v>97.66292</c:v>
                </c:pt>
                <c:pt idx="394">
                  <c:v>97.65683999999958</c:v>
                </c:pt>
                <c:pt idx="395">
                  <c:v>97.65033999999935</c:v>
                </c:pt>
                <c:pt idx="396">
                  <c:v>97.64404</c:v>
                </c:pt>
                <c:pt idx="397">
                  <c:v>97.638</c:v>
                </c:pt>
                <c:pt idx="398">
                  <c:v>97.63173999999998</c:v>
                </c:pt>
                <c:pt idx="399">
                  <c:v>97.62556999999998</c:v>
                </c:pt>
                <c:pt idx="400">
                  <c:v>97.61953</c:v>
                </c:pt>
                <c:pt idx="401">
                  <c:v>97.61347999999998</c:v>
                </c:pt>
                <c:pt idx="402">
                  <c:v>97.60727</c:v>
                </c:pt>
                <c:pt idx="403">
                  <c:v>97.60102</c:v>
                </c:pt>
                <c:pt idx="404">
                  <c:v>97.59485</c:v>
                </c:pt>
                <c:pt idx="405">
                  <c:v>97.58896999999997</c:v>
                </c:pt>
                <c:pt idx="406">
                  <c:v>97.58279999999998</c:v>
                </c:pt>
                <c:pt idx="407">
                  <c:v>97.57653999999998</c:v>
                </c:pt>
                <c:pt idx="408">
                  <c:v>97.57036999999998</c:v>
                </c:pt>
                <c:pt idx="409">
                  <c:v>97.56437</c:v>
                </c:pt>
                <c:pt idx="410">
                  <c:v>97.55843999999995</c:v>
                </c:pt>
                <c:pt idx="411">
                  <c:v>97.55239999999995</c:v>
                </c:pt>
                <c:pt idx="412">
                  <c:v>97.54639</c:v>
                </c:pt>
                <c:pt idx="413">
                  <c:v>97.5403</c:v>
                </c:pt>
                <c:pt idx="414">
                  <c:v>97.53413</c:v>
                </c:pt>
                <c:pt idx="415">
                  <c:v>97.52800999999998</c:v>
                </c:pt>
                <c:pt idx="416">
                  <c:v>97.52187999999998</c:v>
                </c:pt>
                <c:pt idx="417">
                  <c:v>97.51591</c:v>
                </c:pt>
                <c:pt idx="418">
                  <c:v>97.50991</c:v>
                </c:pt>
                <c:pt idx="419">
                  <c:v>97.50373999999998</c:v>
                </c:pt>
                <c:pt idx="420">
                  <c:v>97.49761</c:v>
                </c:pt>
                <c:pt idx="421">
                  <c:v>97.49152</c:v>
                </c:pt>
                <c:pt idx="422">
                  <c:v>97.48551</c:v>
                </c:pt>
                <c:pt idx="423">
                  <c:v>97.47943</c:v>
                </c:pt>
                <c:pt idx="424">
                  <c:v>97.47337999999995</c:v>
                </c:pt>
                <c:pt idx="425">
                  <c:v>97.46742</c:v>
                </c:pt>
                <c:pt idx="426">
                  <c:v>97.46158</c:v>
                </c:pt>
                <c:pt idx="427">
                  <c:v>97.45549</c:v>
                </c:pt>
                <c:pt idx="428">
                  <c:v>97.44944</c:v>
                </c:pt>
                <c:pt idx="429">
                  <c:v>97.44327000000002</c:v>
                </c:pt>
                <c:pt idx="430">
                  <c:v>97.43735</c:v>
                </c:pt>
                <c:pt idx="431">
                  <c:v>97.43138</c:v>
                </c:pt>
                <c:pt idx="432">
                  <c:v>97.42546</c:v>
                </c:pt>
                <c:pt idx="433">
                  <c:v>97.41954</c:v>
                </c:pt>
                <c:pt idx="434">
                  <c:v>97.41357</c:v>
                </c:pt>
                <c:pt idx="435">
                  <c:v>97.40761</c:v>
                </c:pt>
                <c:pt idx="436">
                  <c:v>97.40144</c:v>
                </c:pt>
                <c:pt idx="437">
                  <c:v>97.39538999999998</c:v>
                </c:pt>
                <c:pt idx="438">
                  <c:v>97.38951</c:v>
                </c:pt>
                <c:pt idx="439">
                  <c:v>97.38378999999995</c:v>
                </c:pt>
                <c:pt idx="440">
                  <c:v>97.37782999999997</c:v>
                </c:pt>
                <c:pt idx="441">
                  <c:v>97.37189999999998</c:v>
                </c:pt>
                <c:pt idx="442">
                  <c:v>97.36627</c:v>
                </c:pt>
                <c:pt idx="443">
                  <c:v>97.36047</c:v>
                </c:pt>
                <c:pt idx="444">
                  <c:v>97.35446</c:v>
                </c:pt>
                <c:pt idx="445">
                  <c:v>97.34842</c:v>
                </c:pt>
                <c:pt idx="446">
                  <c:v>97.34254</c:v>
                </c:pt>
                <c:pt idx="447">
                  <c:v>97.33694</c:v>
                </c:pt>
                <c:pt idx="448">
                  <c:v>97.33102</c:v>
                </c:pt>
                <c:pt idx="449">
                  <c:v>97.32504999999995</c:v>
                </c:pt>
                <c:pt idx="450">
                  <c:v>97.31929</c:v>
                </c:pt>
                <c:pt idx="451">
                  <c:v>97.31358</c:v>
                </c:pt>
                <c:pt idx="452">
                  <c:v>97.30753</c:v>
                </c:pt>
                <c:pt idx="453">
                  <c:v>97.30157000000001</c:v>
                </c:pt>
                <c:pt idx="454">
                  <c:v>97.29593000000001</c:v>
                </c:pt>
                <c:pt idx="455">
                  <c:v>97.29021</c:v>
                </c:pt>
                <c:pt idx="456">
                  <c:v>97.28441</c:v>
                </c:pt>
                <c:pt idx="457">
                  <c:v>97.2787799999991</c:v>
                </c:pt>
                <c:pt idx="458">
                  <c:v>97.27330999999998</c:v>
                </c:pt>
                <c:pt idx="459">
                  <c:v>97.26763</c:v>
                </c:pt>
                <c:pt idx="460">
                  <c:v>97.26183</c:v>
                </c:pt>
                <c:pt idx="461">
                  <c:v>97.25598999999998</c:v>
                </c:pt>
                <c:pt idx="462">
                  <c:v>97.25027</c:v>
                </c:pt>
                <c:pt idx="463">
                  <c:v>97.24468</c:v>
                </c:pt>
                <c:pt idx="464">
                  <c:v>97.2388</c:v>
                </c:pt>
                <c:pt idx="465">
                  <c:v>97.23291</c:v>
                </c:pt>
                <c:pt idx="466">
                  <c:v>97.22707000000001</c:v>
                </c:pt>
                <c:pt idx="467">
                  <c:v>97.22123</c:v>
                </c:pt>
                <c:pt idx="468">
                  <c:v>97.2156</c:v>
                </c:pt>
                <c:pt idx="469">
                  <c:v>97.20984</c:v>
                </c:pt>
                <c:pt idx="470">
                  <c:v>97.20404</c:v>
                </c:pt>
                <c:pt idx="471">
                  <c:v>97.19843999999995</c:v>
                </c:pt>
                <c:pt idx="472">
                  <c:v>97.19256</c:v>
                </c:pt>
                <c:pt idx="473">
                  <c:v>97.18692999999997</c:v>
                </c:pt>
                <c:pt idx="474">
                  <c:v>97.18136999999998</c:v>
                </c:pt>
                <c:pt idx="475">
                  <c:v>97.17573999999874</c:v>
                </c:pt>
                <c:pt idx="476">
                  <c:v>97.16982</c:v>
                </c:pt>
                <c:pt idx="477">
                  <c:v>97.16388999999998</c:v>
                </c:pt>
                <c:pt idx="478">
                  <c:v>97.15833999999907</c:v>
                </c:pt>
                <c:pt idx="479">
                  <c:v>97.15290999999995</c:v>
                </c:pt>
                <c:pt idx="480">
                  <c:v>97.1474</c:v>
                </c:pt>
                <c:pt idx="481">
                  <c:v>97.14172</c:v>
                </c:pt>
                <c:pt idx="482">
                  <c:v>97.13613</c:v>
                </c:pt>
                <c:pt idx="483">
                  <c:v>97.13053</c:v>
                </c:pt>
                <c:pt idx="484">
                  <c:v>97.12482</c:v>
                </c:pt>
                <c:pt idx="485">
                  <c:v>97.11902</c:v>
                </c:pt>
                <c:pt idx="486">
                  <c:v>97.11333999999998</c:v>
                </c:pt>
                <c:pt idx="487">
                  <c:v>97.10787</c:v>
                </c:pt>
                <c:pt idx="488">
                  <c:v>97.10210999999998</c:v>
                </c:pt>
                <c:pt idx="489">
                  <c:v>97.09656</c:v>
                </c:pt>
                <c:pt idx="490">
                  <c:v>97.091</c:v>
                </c:pt>
                <c:pt idx="491">
                  <c:v>97.08566</c:v>
                </c:pt>
                <c:pt idx="492">
                  <c:v>97.08002</c:v>
                </c:pt>
                <c:pt idx="493">
                  <c:v>97.07422</c:v>
                </c:pt>
                <c:pt idx="494">
                  <c:v>97.06874999999998</c:v>
                </c:pt>
                <c:pt idx="495">
                  <c:v>97.06316</c:v>
                </c:pt>
                <c:pt idx="496">
                  <c:v>97.0574</c:v>
                </c:pt>
                <c:pt idx="497">
                  <c:v>97.05164</c:v>
                </c:pt>
                <c:pt idx="498">
                  <c:v>97.04609</c:v>
                </c:pt>
                <c:pt idx="499">
                  <c:v>97.04066</c:v>
                </c:pt>
                <c:pt idx="500">
                  <c:v>97.03515</c:v>
                </c:pt>
                <c:pt idx="501">
                  <c:v>97.02938999999998</c:v>
                </c:pt>
                <c:pt idx="502">
                  <c:v>97.02396</c:v>
                </c:pt>
                <c:pt idx="503">
                  <c:v>97.01853000000001</c:v>
                </c:pt>
                <c:pt idx="504">
                  <c:v>97.01289</c:v>
                </c:pt>
                <c:pt idx="505">
                  <c:v>97.00726</c:v>
                </c:pt>
                <c:pt idx="506">
                  <c:v>97.00179</c:v>
                </c:pt>
                <c:pt idx="507">
                  <c:v>96.9964</c:v>
                </c:pt>
                <c:pt idx="508">
                  <c:v>96.99072</c:v>
                </c:pt>
                <c:pt idx="509">
                  <c:v>96.98500000000001</c:v>
                </c:pt>
                <c:pt idx="510">
                  <c:v>96.97945</c:v>
                </c:pt>
                <c:pt idx="511">
                  <c:v>96.97386</c:v>
                </c:pt>
                <c:pt idx="512">
                  <c:v>96.96826</c:v>
                </c:pt>
                <c:pt idx="513">
                  <c:v>96.96263</c:v>
                </c:pt>
                <c:pt idx="514">
                  <c:v>96.95716</c:v>
                </c:pt>
                <c:pt idx="515">
                  <c:v>96.9516</c:v>
                </c:pt>
                <c:pt idx="516">
                  <c:v>96.94593</c:v>
                </c:pt>
                <c:pt idx="517">
                  <c:v>96.94033</c:v>
                </c:pt>
                <c:pt idx="518">
                  <c:v>96.93486</c:v>
                </c:pt>
                <c:pt idx="519">
                  <c:v>96.92947</c:v>
                </c:pt>
                <c:pt idx="520">
                  <c:v>96.92396</c:v>
                </c:pt>
                <c:pt idx="521">
                  <c:v>96.91845</c:v>
                </c:pt>
                <c:pt idx="522">
                  <c:v>96.91302</c:v>
                </c:pt>
                <c:pt idx="523">
                  <c:v>96.90767</c:v>
                </c:pt>
                <c:pt idx="524">
                  <c:v>96.90196</c:v>
                </c:pt>
                <c:pt idx="525">
                  <c:v>96.89636</c:v>
                </c:pt>
                <c:pt idx="526">
                  <c:v>96.89101</c:v>
                </c:pt>
                <c:pt idx="527">
                  <c:v>96.88553999999998</c:v>
                </c:pt>
                <c:pt idx="528">
                  <c:v>96.88011</c:v>
                </c:pt>
                <c:pt idx="529">
                  <c:v>96.87468</c:v>
                </c:pt>
                <c:pt idx="530">
                  <c:v>96.86933999999998</c:v>
                </c:pt>
                <c:pt idx="531">
                  <c:v>96.86373999999998</c:v>
                </c:pt>
                <c:pt idx="532">
                  <c:v>96.85818999999998</c:v>
                </c:pt>
                <c:pt idx="533">
                  <c:v>96.85254999999998</c:v>
                </c:pt>
                <c:pt idx="534">
                  <c:v>96.84708</c:v>
                </c:pt>
                <c:pt idx="535">
                  <c:v>96.84165</c:v>
                </c:pt>
                <c:pt idx="536">
                  <c:v>96.8361</c:v>
                </c:pt>
                <c:pt idx="537">
                  <c:v>96.83042</c:v>
                </c:pt>
                <c:pt idx="538">
                  <c:v>96.82499</c:v>
                </c:pt>
                <c:pt idx="539">
                  <c:v>96.81969</c:v>
                </c:pt>
                <c:pt idx="540">
                  <c:v>96.81414</c:v>
                </c:pt>
                <c:pt idx="541">
                  <c:v>96.80866</c:v>
                </c:pt>
                <c:pt idx="542">
                  <c:v>96.80319</c:v>
                </c:pt>
                <c:pt idx="543">
                  <c:v>96.79781</c:v>
                </c:pt>
                <c:pt idx="544">
                  <c:v>96.79221</c:v>
                </c:pt>
                <c:pt idx="545">
                  <c:v>96.7867</c:v>
                </c:pt>
                <c:pt idx="546">
                  <c:v>96.78135</c:v>
                </c:pt>
                <c:pt idx="547">
                  <c:v>96.77583999999958</c:v>
                </c:pt>
                <c:pt idx="548">
                  <c:v>96.77029</c:v>
                </c:pt>
                <c:pt idx="549">
                  <c:v>96.76494</c:v>
                </c:pt>
                <c:pt idx="550">
                  <c:v>96.75963</c:v>
                </c:pt>
                <c:pt idx="551">
                  <c:v>96.75416</c:v>
                </c:pt>
                <c:pt idx="552">
                  <c:v>96.74869</c:v>
                </c:pt>
                <c:pt idx="553">
                  <c:v>96.74318</c:v>
                </c:pt>
                <c:pt idx="554">
                  <c:v>96.73787</c:v>
                </c:pt>
                <c:pt idx="555">
                  <c:v>96.73232</c:v>
                </c:pt>
                <c:pt idx="556">
                  <c:v>96.72669</c:v>
                </c:pt>
                <c:pt idx="557">
                  <c:v>96.72134</c:v>
                </c:pt>
                <c:pt idx="558">
                  <c:v>96.71583</c:v>
                </c:pt>
                <c:pt idx="559">
                  <c:v>96.7104</c:v>
                </c:pt>
                <c:pt idx="560">
                  <c:v>96.70493</c:v>
                </c:pt>
                <c:pt idx="561">
                  <c:v>96.69936999999997</c:v>
                </c:pt>
                <c:pt idx="562">
                  <c:v>96.6939</c:v>
                </c:pt>
                <c:pt idx="563">
                  <c:v>96.68846999999998</c:v>
                </c:pt>
                <c:pt idx="564">
                  <c:v>96.68316999999997</c:v>
                </c:pt>
                <c:pt idx="565">
                  <c:v>96.67789999999998</c:v>
                </c:pt>
                <c:pt idx="566">
                  <c:v>96.67263999999948</c:v>
                </c:pt>
                <c:pt idx="567">
                  <c:v>96.66725</c:v>
                </c:pt>
                <c:pt idx="568">
                  <c:v>96.6617</c:v>
                </c:pt>
                <c:pt idx="569">
                  <c:v>96.65638999999958</c:v>
                </c:pt>
                <c:pt idx="570">
                  <c:v>96.65107999999998</c:v>
                </c:pt>
                <c:pt idx="571">
                  <c:v>96.64561</c:v>
                </c:pt>
                <c:pt idx="572">
                  <c:v>96.64026</c:v>
                </c:pt>
                <c:pt idx="573">
                  <c:v>96.63503999999975</c:v>
                </c:pt>
                <c:pt idx="574">
                  <c:v>96.62956999999998</c:v>
                </c:pt>
                <c:pt idx="575">
                  <c:v>96.62402</c:v>
                </c:pt>
                <c:pt idx="576">
                  <c:v>96.61867</c:v>
                </c:pt>
                <c:pt idx="577">
                  <c:v>96.61295</c:v>
                </c:pt>
                <c:pt idx="578">
                  <c:v>96.60743999999998</c:v>
                </c:pt>
                <c:pt idx="579">
                  <c:v>96.60185</c:v>
                </c:pt>
                <c:pt idx="580">
                  <c:v>96.59646</c:v>
                </c:pt>
                <c:pt idx="581">
                  <c:v>96.59115</c:v>
                </c:pt>
                <c:pt idx="582">
                  <c:v>96.58579999999998</c:v>
                </c:pt>
                <c:pt idx="583">
                  <c:v>96.58042</c:v>
                </c:pt>
                <c:pt idx="584">
                  <c:v>96.57486</c:v>
                </c:pt>
                <c:pt idx="585">
                  <c:v>96.56947</c:v>
                </c:pt>
                <c:pt idx="586">
                  <c:v>96.56425</c:v>
                </c:pt>
                <c:pt idx="587">
                  <c:v>96.55885999999998</c:v>
                </c:pt>
                <c:pt idx="588">
                  <c:v>96.55343</c:v>
                </c:pt>
                <c:pt idx="589">
                  <c:v>96.54813</c:v>
                </c:pt>
                <c:pt idx="590">
                  <c:v>96.54277999999998</c:v>
                </c:pt>
                <c:pt idx="591">
                  <c:v>96.53727</c:v>
                </c:pt>
                <c:pt idx="592">
                  <c:v>96.5318</c:v>
                </c:pt>
                <c:pt idx="593">
                  <c:v>96.52648999999998</c:v>
                </c:pt>
                <c:pt idx="594">
                  <c:v>96.52114</c:v>
                </c:pt>
                <c:pt idx="595">
                  <c:v>96.51571</c:v>
                </c:pt>
                <c:pt idx="596">
                  <c:v>96.51012</c:v>
                </c:pt>
                <c:pt idx="597">
                  <c:v>96.50477</c:v>
                </c:pt>
                <c:pt idx="598">
                  <c:v>96.49959</c:v>
                </c:pt>
                <c:pt idx="599">
                  <c:v>96.49408</c:v>
                </c:pt>
                <c:pt idx="600">
                  <c:v>96.48872999999997</c:v>
                </c:pt>
                <c:pt idx="601">
                  <c:v>96.48326</c:v>
                </c:pt>
                <c:pt idx="602">
                  <c:v>96.47812</c:v>
                </c:pt>
                <c:pt idx="603">
                  <c:v>96.47235999999998</c:v>
                </c:pt>
                <c:pt idx="604">
                  <c:v>96.4668</c:v>
                </c:pt>
                <c:pt idx="605">
                  <c:v>96.46129</c:v>
                </c:pt>
                <c:pt idx="606">
                  <c:v>96.45599</c:v>
                </c:pt>
                <c:pt idx="607">
                  <c:v>96.45031</c:v>
                </c:pt>
                <c:pt idx="608">
                  <c:v>96.44492</c:v>
                </c:pt>
                <c:pt idx="609">
                  <c:v>96.43974</c:v>
                </c:pt>
                <c:pt idx="610">
                  <c:v>96.43452</c:v>
                </c:pt>
                <c:pt idx="611">
                  <c:v>96.42892</c:v>
                </c:pt>
                <c:pt idx="612">
                  <c:v>96.42357000000001</c:v>
                </c:pt>
                <c:pt idx="613">
                  <c:v>96.41823</c:v>
                </c:pt>
                <c:pt idx="614">
                  <c:v>96.413</c:v>
                </c:pt>
                <c:pt idx="615">
                  <c:v>96.40749</c:v>
                </c:pt>
                <c:pt idx="616">
                  <c:v>96.4021</c:v>
                </c:pt>
                <c:pt idx="617">
                  <c:v>96.39671</c:v>
                </c:pt>
                <c:pt idx="618">
                  <c:v>96.39128</c:v>
                </c:pt>
                <c:pt idx="619">
                  <c:v>96.38580999999998</c:v>
                </c:pt>
                <c:pt idx="620">
                  <c:v>96.38046999999997</c:v>
                </c:pt>
                <c:pt idx="621">
                  <c:v>96.37519999999998</c:v>
                </c:pt>
                <c:pt idx="622">
                  <c:v>96.36985</c:v>
                </c:pt>
                <c:pt idx="623">
                  <c:v>96.36442</c:v>
                </c:pt>
                <c:pt idx="624">
                  <c:v>96.35924</c:v>
                </c:pt>
                <c:pt idx="625">
                  <c:v>96.35380999999998</c:v>
                </c:pt>
                <c:pt idx="626">
                  <c:v>96.34837999999995</c:v>
                </c:pt>
                <c:pt idx="627">
                  <c:v>96.34295</c:v>
                </c:pt>
                <c:pt idx="628">
                  <c:v>96.3376</c:v>
                </c:pt>
                <c:pt idx="629">
                  <c:v>96.33233999999958</c:v>
                </c:pt>
                <c:pt idx="630">
                  <c:v>96.3272</c:v>
                </c:pt>
                <c:pt idx="631">
                  <c:v>96.32181</c:v>
                </c:pt>
                <c:pt idx="632">
                  <c:v>96.31637999999998</c:v>
                </c:pt>
                <c:pt idx="633">
                  <c:v>96.3112</c:v>
                </c:pt>
                <c:pt idx="634">
                  <c:v>96.30580999999998</c:v>
                </c:pt>
                <c:pt idx="635">
                  <c:v>96.30037999999985</c:v>
                </c:pt>
                <c:pt idx="636">
                  <c:v>96.29503</c:v>
                </c:pt>
                <c:pt idx="637">
                  <c:v>96.28981</c:v>
                </c:pt>
                <c:pt idx="638">
                  <c:v>96.28458</c:v>
                </c:pt>
                <c:pt idx="639">
                  <c:v>96.27939999999998</c:v>
                </c:pt>
                <c:pt idx="640">
                  <c:v>96.27397</c:v>
                </c:pt>
                <c:pt idx="641">
                  <c:v>96.26871</c:v>
                </c:pt>
                <c:pt idx="642">
                  <c:v>96.26348</c:v>
                </c:pt>
                <c:pt idx="643">
                  <c:v>96.25797</c:v>
                </c:pt>
                <c:pt idx="644">
                  <c:v>96.25270999999998</c:v>
                </c:pt>
                <c:pt idx="645">
                  <c:v>96.24744</c:v>
                </c:pt>
                <c:pt idx="646">
                  <c:v>96.24213</c:v>
                </c:pt>
                <c:pt idx="647">
                  <c:v>96.23670000000001</c:v>
                </c:pt>
                <c:pt idx="648">
                  <c:v>96.2314</c:v>
                </c:pt>
                <c:pt idx="649">
                  <c:v>96.22633999999998</c:v>
                </c:pt>
                <c:pt idx="650">
                  <c:v>96.22116</c:v>
                </c:pt>
                <c:pt idx="651">
                  <c:v>96.21589</c:v>
                </c:pt>
                <c:pt idx="652">
                  <c:v>96.21079</c:v>
                </c:pt>
                <c:pt idx="653">
                  <c:v>96.20569</c:v>
                </c:pt>
                <c:pt idx="654">
                  <c:v>96.20051</c:v>
                </c:pt>
                <c:pt idx="655">
                  <c:v>96.19512</c:v>
                </c:pt>
                <c:pt idx="656">
                  <c:v>96.18997999999995</c:v>
                </c:pt>
                <c:pt idx="657">
                  <c:v>96.18492</c:v>
                </c:pt>
                <c:pt idx="658">
                  <c:v>96.17972999999998</c:v>
                </c:pt>
                <c:pt idx="659">
                  <c:v>96.17426</c:v>
                </c:pt>
                <c:pt idx="660">
                  <c:v>96.16916</c:v>
                </c:pt>
                <c:pt idx="661">
                  <c:v>96.16406</c:v>
                </c:pt>
                <c:pt idx="662">
                  <c:v>96.1588799999991</c:v>
                </c:pt>
                <c:pt idx="663">
                  <c:v>96.15362</c:v>
                </c:pt>
                <c:pt idx="664">
                  <c:v>96.14838999999998</c:v>
                </c:pt>
                <c:pt idx="665">
                  <c:v>96.14329</c:v>
                </c:pt>
                <c:pt idx="666">
                  <c:v>96.13834999999958</c:v>
                </c:pt>
                <c:pt idx="667">
                  <c:v>96.1333</c:v>
                </c:pt>
                <c:pt idx="668">
                  <c:v>96.12806999999998</c:v>
                </c:pt>
                <c:pt idx="669">
                  <c:v>96.12288999999915</c:v>
                </c:pt>
                <c:pt idx="670">
                  <c:v>96.11779</c:v>
                </c:pt>
                <c:pt idx="671">
                  <c:v>96.11261</c:v>
                </c:pt>
                <c:pt idx="672">
                  <c:v>96.1075</c:v>
                </c:pt>
                <c:pt idx="673">
                  <c:v>96.10231999999998</c:v>
                </c:pt>
                <c:pt idx="674">
                  <c:v>96.09718</c:v>
                </c:pt>
                <c:pt idx="675">
                  <c:v>96.09196</c:v>
                </c:pt>
                <c:pt idx="676">
                  <c:v>96.0869</c:v>
                </c:pt>
                <c:pt idx="677">
                  <c:v>96.08188</c:v>
                </c:pt>
                <c:pt idx="678">
                  <c:v>96.07682</c:v>
                </c:pt>
                <c:pt idx="679">
                  <c:v>96.0716</c:v>
                </c:pt>
                <c:pt idx="680">
                  <c:v>96.06649</c:v>
                </c:pt>
                <c:pt idx="681">
                  <c:v>96.06144</c:v>
                </c:pt>
                <c:pt idx="682">
                  <c:v>96.05654</c:v>
                </c:pt>
                <c:pt idx="683">
                  <c:v>96.05156</c:v>
                </c:pt>
                <c:pt idx="684">
                  <c:v>96.0465</c:v>
                </c:pt>
                <c:pt idx="685">
                  <c:v>96.04161</c:v>
                </c:pt>
                <c:pt idx="686">
                  <c:v>96.03667</c:v>
                </c:pt>
                <c:pt idx="687">
                  <c:v>96.03161</c:v>
                </c:pt>
                <c:pt idx="688">
                  <c:v>96.0266</c:v>
                </c:pt>
                <c:pt idx="689">
                  <c:v>96.02162</c:v>
                </c:pt>
                <c:pt idx="690">
                  <c:v>96.01668</c:v>
                </c:pt>
                <c:pt idx="691">
                  <c:v>96.01166</c:v>
                </c:pt>
                <c:pt idx="692">
                  <c:v>96.00676999999997</c:v>
                </c:pt>
                <c:pt idx="693">
                  <c:v>96.00187</c:v>
                </c:pt>
                <c:pt idx="694">
                  <c:v>95.9969</c:v>
                </c:pt>
                <c:pt idx="695">
                  <c:v>95.99192</c:v>
                </c:pt>
                <c:pt idx="696">
                  <c:v>95.98686</c:v>
                </c:pt>
                <c:pt idx="697">
                  <c:v>95.98184</c:v>
                </c:pt>
                <c:pt idx="698">
                  <c:v>95.97682</c:v>
                </c:pt>
                <c:pt idx="699">
                  <c:v>95.97156</c:v>
                </c:pt>
                <c:pt idx="700">
                  <c:v>95.96658</c:v>
                </c:pt>
                <c:pt idx="701">
                  <c:v>95.96173</c:v>
                </c:pt>
                <c:pt idx="702">
                  <c:v>95.95687</c:v>
                </c:pt>
                <c:pt idx="703">
                  <c:v>95.95198</c:v>
                </c:pt>
                <c:pt idx="704">
                  <c:v>95.94684</c:v>
                </c:pt>
                <c:pt idx="705">
                  <c:v>95.9419</c:v>
                </c:pt>
                <c:pt idx="706">
                  <c:v>95.93684</c:v>
                </c:pt>
                <c:pt idx="707">
                  <c:v>95.93174</c:v>
                </c:pt>
                <c:pt idx="708">
                  <c:v>95.92685</c:v>
                </c:pt>
                <c:pt idx="709">
                  <c:v>95.92199</c:v>
                </c:pt>
                <c:pt idx="710">
                  <c:v>95.91706</c:v>
                </c:pt>
                <c:pt idx="711">
                  <c:v>95.91192</c:v>
                </c:pt>
                <c:pt idx="712">
                  <c:v>95.90698</c:v>
                </c:pt>
                <c:pt idx="713">
                  <c:v>95.902</c:v>
                </c:pt>
                <c:pt idx="714">
                  <c:v>95.89723</c:v>
                </c:pt>
                <c:pt idx="715">
                  <c:v>95.89217</c:v>
                </c:pt>
                <c:pt idx="716">
                  <c:v>95.88711</c:v>
                </c:pt>
                <c:pt idx="717">
                  <c:v>95.88222</c:v>
                </c:pt>
                <c:pt idx="718">
                  <c:v>95.8772</c:v>
                </c:pt>
                <c:pt idx="719">
                  <c:v>95.87217999999935</c:v>
                </c:pt>
                <c:pt idx="720">
                  <c:v>95.86737</c:v>
                </c:pt>
                <c:pt idx="721">
                  <c:v>95.86256</c:v>
                </c:pt>
                <c:pt idx="722">
                  <c:v>95.8577</c:v>
                </c:pt>
                <c:pt idx="723">
                  <c:v>95.85276999999998</c:v>
                </c:pt>
                <c:pt idx="724">
                  <c:v>95.84787</c:v>
                </c:pt>
                <c:pt idx="725">
                  <c:v>95.84302</c:v>
                </c:pt>
                <c:pt idx="726">
                  <c:v>95.83803999999998</c:v>
                </c:pt>
                <c:pt idx="727">
                  <c:v>95.83323</c:v>
                </c:pt>
                <c:pt idx="728">
                  <c:v>95.82828999999998</c:v>
                </c:pt>
                <c:pt idx="729">
                  <c:v>95.82335999999998</c:v>
                </c:pt>
                <c:pt idx="730">
                  <c:v>95.8185</c:v>
                </c:pt>
                <c:pt idx="731">
                  <c:v>95.81365</c:v>
                </c:pt>
                <c:pt idx="732">
                  <c:v>95.80870999999995</c:v>
                </c:pt>
                <c:pt idx="733">
                  <c:v>95.80393999999998</c:v>
                </c:pt>
                <c:pt idx="734">
                  <c:v>95.79887999999998</c:v>
                </c:pt>
                <c:pt idx="735">
                  <c:v>95.79394</c:v>
                </c:pt>
                <c:pt idx="736">
                  <c:v>95.78905</c:v>
                </c:pt>
                <c:pt idx="737">
                  <c:v>95.7844</c:v>
                </c:pt>
                <c:pt idx="738">
                  <c:v>95.77963</c:v>
                </c:pt>
                <c:pt idx="739">
                  <c:v>95.77465</c:v>
                </c:pt>
                <c:pt idx="740">
                  <c:v>95.76984</c:v>
                </c:pt>
                <c:pt idx="741">
                  <c:v>95.76499</c:v>
                </c:pt>
                <c:pt idx="742">
                  <c:v>95.75997</c:v>
                </c:pt>
                <c:pt idx="743">
                  <c:v>95.75491</c:v>
                </c:pt>
                <c:pt idx="744">
                  <c:v>95.75006</c:v>
                </c:pt>
                <c:pt idx="745">
                  <c:v>95.74541</c:v>
                </c:pt>
                <c:pt idx="746">
                  <c:v>95.74055</c:v>
                </c:pt>
                <c:pt idx="747">
                  <c:v>95.73566</c:v>
                </c:pt>
                <c:pt idx="748">
                  <c:v>95.7308</c:v>
                </c:pt>
                <c:pt idx="749">
                  <c:v>95.72603</c:v>
                </c:pt>
                <c:pt idx="750">
                  <c:v>95.72130000000001</c:v>
                </c:pt>
                <c:pt idx="751">
                  <c:v>95.71633000000001</c:v>
                </c:pt>
                <c:pt idx="752">
                  <c:v>95.71143</c:v>
                </c:pt>
                <c:pt idx="753">
                  <c:v>95.70677999999998</c:v>
                </c:pt>
                <c:pt idx="754">
                  <c:v>95.70181</c:v>
                </c:pt>
                <c:pt idx="755">
                  <c:v>95.69724</c:v>
                </c:pt>
                <c:pt idx="756">
                  <c:v>95.69229999999997</c:v>
                </c:pt>
                <c:pt idx="757">
                  <c:v>95.68732999999997</c:v>
                </c:pt>
                <c:pt idx="758">
                  <c:v>95.68255999999998</c:v>
                </c:pt>
                <c:pt idx="759">
                  <c:v>95.67773999999935</c:v>
                </c:pt>
                <c:pt idx="760">
                  <c:v>95.67304999999975</c:v>
                </c:pt>
                <c:pt idx="761">
                  <c:v>95.66848999999995</c:v>
                </c:pt>
                <c:pt idx="762">
                  <c:v>95.66379999999998</c:v>
                </c:pt>
                <c:pt idx="763">
                  <c:v>95.65898999999965</c:v>
                </c:pt>
                <c:pt idx="764">
                  <c:v>95.65405</c:v>
                </c:pt>
                <c:pt idx="765">
                  <c:v>95.6494</c:v>
                </c:pt>
                <c:pt idx="766">
                  <c:v>95.64475</c:v>
                </c:pt>
                <c:pt idx="767">
                  <c:v>95.64019</c:v>
                </c:pt>
                <c:pt idx="768">
                  <c:v>95.63537999999915</c:v>
                </c:pt>
                <c:pt idx="769">
                  <c:v>95.63065</c:v>
                </c:pt>
                <c:pt idx="770">
                  <c:v>95.62590999999995</c:v>
                </c:pt>
                <c:pt idx="771">
                  <c:v>95.62123</c:v>
                </c:pt>
                <c:pt idx="772">
                  <c:v>95.61662</c:v>
                </c:pt>
                <c:pt idx="773">
                  <c:v>95.61201</c:v>
                </c:pt>
                <c:pt idx="774">
                  <c:v>95.60736</c:v>
                </c:pt>
                <c:pt idx="775">
                  <c:v>95.60258999999998</c:v>
                </c:pt>
                <c:pt idx="776">
                  <c:v>95.59799</c:v>
                </c:pt>
                <c:pt idx="777">
                  <c:v>95.59334</c:v>
                </c:pt>
                <c:pt idx="778">
                  <c:v>95.58872999999998</c:v>
                </c:pt>
                <c:pt idx="779">
                  <c:v>95.58416</c:v>
                </c:pt>
                <c:pt idx="780">
                  <c:v>95.57971999999998</c:v>
                </c:pt>
                <c:pt idx="781">
                  <c:v>95.57523999999998</c:v>
                </c:pt>
                <c:pt idx="782">
                  <c:v>95.57058999999998</c:v>
                </c:pt>
                <c:pt idx="783">
                  <c:v>95.56586</c:v>
                </c:pt>
                <c:pt idx="784">
                  <c:v>95.56125</c:v>
                </c:pt>
                <c:pt idx="785">
                  <c:v>95.55688999999998</c:v>
                </c:pt>
                <c:pt idx="786">
                  <c:v>95.5522</c:v>
                </c:pt>
                <c:pt idx="787">
                  <c:v>95.5476</c:v>
                </c:pt>
                <c:pt idx="788">
                  <c:v>95.54315</c:v>
                </c:pt>
                <c:pt idx="789">
                  <c:v>95.53878999999995</c:v>
                </c:pt>
                <c:pt idx="790">
                  <c:v>95.53435</c:v>
                </c:pt>
                <c:pt idx="791">
                  <c:v>95.52982999999997</c:v>
                </c:pt>
                <c:pt idx="792">
                  <c:v>95.52522</c:v>
                </c:pt>
                <c:pt idx="793">
                  <c:v>95.52086</c:v>
                </c:pt>
                <c:pt idx="794">
                  <c:v>95.51613</c:v>
                </c:pt>
                <c:pt idx="795">
                  <c:v>95.5116</c:v>
                </c:pt>
                <c:pt idx="796">
                  <c:v>95.50733</c:v>
                </c:pt>
                <c:pt idx="797">
                  <c:v>95.50293</c:v>
                </c:pt>
                <c:pt idx="798">
                  <c:v>95.49828</c:v>
                </c:pt>
                <c:pt idx="799">
                  <c:v>95.49379</c:v>
                </c:pt>
                <c:pt idx="800">
                  <c:v>95.48931</c:v>
                </c:pt>
                <c:pt idx="801">
                  <c:v>95.48479</c:v>
                </c:pt>
                <c:pt idx="802">
                  <c:v>95.48026</c:v>
                </c:pt>
                <c:pt idx="803">
                  <c:v>95.47582</c:v>
                </c:pt>
                <c:pt idx="804">
                  <c:v>95.47146</c:v>
                </c:pt>
                <c:pt idx="805">
                  <c:v>95.46718</c:v>
                </c:pt>
                <c:pt idx="806">
                  <c:v>95.46273999999998</c:v>
                </c:pt>
                <c:pt idx="807">
                  <c:v>95.45833999999998</c:v>
                </c:pt>
                <c:pt idx="808">
                  <c:v>95.45398</c:v>
                </c:pt>
                <c:pt idx="809">
                  <c:v>95.4497</c:v>
                </c:pt>
                <c:pt idx="810">
                  <c:v>95.44513</c:v>
                </c:pt>
                <c:pt idx="811">
                  <c:v>95.44061</c:v>
                </c:pt>
                <c:pt idx="812">
                  <c:v>95.43633000000001</c:v>
                </c:pt>
                <c:pt idx="813">
                  <c:v>95.43214</c:v>
                </c:pt>
                <c:pt idx="814">
                  <c:v>95.42794</c:v>
                </c:pt>
                <c:pt idx="815">
                  <c:v>95.4237</c:v>
                </c:pt>
                <c:pt idx="816">
                  <c:v>95.41918</c:v>
                </c:pt>
                <c:pt idx="817">
                  <c:v>95.4149</c:v>
                </c:pt>
                <c:pt idx="818">
                  <c:v>95.41054</c:v>
                </c:pt>
                <c:pt idx="819">
                  <c:v>95.4063</c:v>
                </c:pt>
                <c:pt idx="820">
                  <c:v>95.40194</c:v>
                </c:pt>
                <c:pt idx="821">
                  <c:v>95.39767</c:v>
                </c:pt>
                <c:pt idx="822">
                  <c:v>95.39326</c:v>
                </c:pt>
                <c:pt idx="823">
                  <c:v>95.38889999999998</c:v>
                </c:pt>
                <c:pt idx="824">
                  <c:v>95.38467</c:v>
                </c:pt>
                <c:pt idx="825">
                  <c:v>95.38046999999997</c:v>
                </c:pt>
                <c:pt idx="826">
                  <c:v>95.37614999999998</c:v>
                </c:pt>
                <c:pt idx="827">
                  <c:v>95.37182999999997</c:v>
                </c:pt>
                <c:pt idx="828">
                  <c:v>95.36751</c:v>
                </c:pt>
                <c:pt idx="829">
                  <c:v>95.36336</c:v>
                </c:pt>
                <c:pt idx="830">
                  <c:v>95.35907999999995</c:v>
                </c:pt>
                <c:pt idx="831">
                  <c:v>95.35488999999998</c:v>
                </c:pt>
                <c:pt idx="832">
                  <c:v>95.35053</c:v>
                </c:pt>
                <c:pt idx="833">
                  <c:v>95.34629</c:v>
                </c:pt>
                <c:pt idx="834">
                  <c:v>95.34205</c:v>
                </c:pt>
                <c:pt idx="835">
                  <c:v>95.33773</c:v>
                </c:pt>
                <c:pt idx="836">
                  <c:v>95.33332999999997</c:v>
                </c:pt>
                <c:pt idx="837">
                  <c:v>95.32913999999998</c:v>
                </c:pt>
                <c:pt idx="838">
                  <c:v>95.32497999999998</c:v>
                </c:pt>
                <c:pt idx="839">
                  <c:v>95.32074999999985</c:v>
                </c:pt>
                <c:pt idx="840">
                  <c:v>95.31671</c:v>
                </c:pt>
                <c:pt idx="841">
                  <c:v>95.3126</c:v>
                </c:pt>
                <c:pt idx="842">
                  <c:v>95.30853</c:v>
                </c:pt>
                <c:pt idx="843">
                  <c:v>95.30437</c:v>
                </c:pt>
                <c:pt idx="844">
                  <c:v>95.30001</c:v>
                </c:pt>
                <c:pt idx="845">
                  <c:v>95.29565</c:v>
                </c:pt>
                <c:pt idx="846">
                  <c:v>95.29146</c:v>
                </c:pt>
                <c:pt idx="847">
                  <c:v>95.28722</c:v>
                </c:pt>
                <c:pt idx="848">
                  <c:v>95.28323</c:v>
                </c:pt>
                <c:pt idx="849">
                  <c:v>95.27932</c:v>
                </c:pt>
                <c:pt idx="850">
                  <c:v>95.27521</c:v>
                </c:pt>
                <c:pt idx="851">
                  <c:v>95.27088999999998</c:v>
                </c:pt>
                <c:pt idx="852">
                  <c:v>95.26657</c:v>
                </c:pt>
                <c:pt idx="853">
                  <c:v>95.26246</c:v>
                </c:pt>
                <c:pt idx="854">
                  <c:v>95.25851</c:v>
                </c:pt>
                <c:pt idx="855">
                  <c:v>95.25436</c:v>
                </c:pt>
                <c:pt idx="856">
                  <c:v>95.25007999999998</c:v>
                </c:pt>
                <c:pt idx="857">
                  <c:v>95.24597</c:v>
                </c:pt>
                <c:pt idx="858">
                  <c:v>95.24193</c:v>
                </c:pt>
                <c:pt idx="859">
                  <c:v>95.23753</c:v>
                </c:pt>
                <c:pt idx="860">
                  <c:v>95.23342</c:v>
                </c:pt>
                <c:pt idx="861">
                  <c:v>95.22927</c:v>
                </c:pt>
                <c:pt idx="862">
                  <c:v>95.22543999999998</c:v>
                </c:pt>
                <c:pt idx="863">
                  <c:v>95.22141</c:v>
                </c:pt>
                <c:pt idx="864">
                  <c:v>95.21725</c:v>
                </c:pt>
                <c:pt idx="865">
                  <c:v>95.2131</c:v>
                </c:pt>
                <c:pt idx="866">
                  <c:v>95.20907</c:v>
                </c:pt>
                <c:pt idx="867">
                  <c:v>95.20483</c:v>
                </c:pt>
                <c:pt idx="868">
                  <c:v>95.20072</c:v>
                </c:pt>
                <c:pt idx="869">
                  <c:v>95.19685</c:v>
                </c:pt>
                <c:pt idx="870">
                  <c:v>95.19311</c:v>
                </c:pt>
                <c:pt idx="871">
                  <c:v>95.18912</c:v>
                </c:pt>
                <c:pt idx="872">
                  <c:v>95.18512999999998</c:v>
                </c:pt>
                <c:pt idx="873">
                  <c:v>95.18118</c:v>
                </c:pt>
                <c:pt idx="874">
                  <c:v>95.17734999999985</c:v>
                </c:pt>
                <c:pt idx="875">
                  <c:v>95.17315999999998</c:v>
                </c:pt>
                <c:pt idx="876">
                  <c:v>95.16925</c:v>
                </c:pt>
                <c:pt idx="877">
                  <c:v>95.16546999999998</c:v>
                </c:pt>
                <c:pt idx="878">
                  <c:v>95.16156</c:v>
                </c:pt>
                <c:pt idx="879">
                  <c:v>95.15753</c:v>
                </c:pt>
                <c:pt idx="880">
                  <c:v>95.15325</c:v>
                </c:pt>
                <c:pt idx="881">
                  <c:v>95.14922</c:v>
                </c:pt>
                <c:pt idx="882">
                  <c:v>95.14506999999997</c:v>
                </c:pt>
                <c:pt idx="883">
                  <c:v>95.14103</c:v>
                </c:pt>
                <c:pt idx="884">
                  <c:v>95.13687999999995</c:v>
                </c:pt>
                <c:pt idx="885">
                  <c:v>95.13296999999998</c:v>
                </c:pt>
                <c:pt idx="886">
                  <c:v>95.12910999999998</c:v>
                </c:pt>
                <c:pt idx="887">
                  <c:v>95.12515999999998</c:v>
                </c:pt>
                <c:pt idx="888">
                  <c:v>95.12113</c:v>
                </c:pt>
                <c:pt idx="889">
                  <c:v>95.11722</c:v>
                </c:pt>
                <c:pt idx="890">
                  <c:v>95.11323</c:v>
                </c:pt>
                <c:pt idx="891">
                  <c:v>95.1092</c:v>
                </c:pt>
                <c:pt idx="892">
                  <c:v>95.10503999999958</c:v>
                </c:pt>
                <c:pt idx="893">
                  <c:v>95.10084999999998</c:v>
                </c:pt>
                <c:pt idx="894">
                  <c:v>95.0971</c:v>
                </c:pt>
                <c:pt idx="895">
                  <c:v>95.09332</c:v>
                </c:pt>
                <c:pt idx="896">
                  <c:v>95.08945</c:v>
                </c:pt>
                <c:pt idx="897">
                  <c:v>95.08549999999998</c:v>
                </c:pt>
                <c:pt idx="898">
                  <c:v>95.0816</c:v>
                </c:pt>
                <c:pt idx="899">
                  <c:v>95.07765</c:v>
                </c:pt>
                <c:pt idx="900">
                  <c:v>95.07353</c:v>
                </c:pt>
                <c:pt idx="901">
                  <c:v>95.06979</c:v>
                </c:pt>
                <c:pt idx="902">
                  <c:v>95.06609</c:v>
                </c:pt>
                <c:pt idx="903">
                  <c:v>95.06214</c:v>
                </c:pt>
                <c:pt idx="904">
                  <c:v>95.05843999999995</c:v>
                </c:pt>
                <c:pt idx="905">
                  <c:v>95.0547</c:v>
                </c:pt>
                <c:pt idx="906">
                  <c:v>95.05091</c:v>
                </c:pt>
                <c:pt idx="907">
                  <c:v>95.047</c:v>
                </c:pt>
                <c:pt idx="908">
                  <c:v>95.04318</c:v>
                </c:pt>
                <c:pt idx="909">
                  <c:v>95.03938999999998</c:v>
                </c:pt>
                <c:pt idx="910">
                  <c:v>95.03569</c:v>
                </c:pt>
                <c:pt idx="911">
                  <c:v>95.03166</c:v>
                </c:pt>
                <c:pt idx="912">
                  <c:v>95.02783</c:v>
                </c:pt>
                <c:pt idx="913">
                  <c:v>95.02379999999998</c:v>
                </c:pt>
                <c:pt idx="914">
                  <c:v>95.0199</c:v>
                </c:pt>
                <c:pt idx="915">
                  <c:v>95.01587</c:v>
                </c:pt>
                <c:pt idx="916">
                  <c:v>95.01188</c:v>
                </c:pt>
                <c:pt idx="917">
                  <c:v>95.00797</c:v>
                </c:pt>
                <c:pt idx="918">
                  <c:v>95.00414</c:v>
                </c:pt>
                <c:pt idx="919">
                  <c:v>95.00023</c:v>
                </c:pt>
                <c:pt idx="920">
                  <c:v>94.99629</c:v>
                </c:pt>
                <c:pt idx="921">
                  <c:v>94.9923</c:v>
                </c:pt>
                <c:pt idx="922">
                  <c:v>94.98834999999998</c:v>
                </c:pt>
                <c:pt idx="923">
                  <c:v>94.98448</c:v>
                </c:pt>
                <c:pt idx="924">
                  <c:v>94.98053</c:v>
                </c:pt>
                <c:pt idx="925">
                  <c:v>94.97674999999998</c:v>
                </c:pt>
                <c:pt idx="926">
                  <c:v>94.97279999999998</c:v>
                </c:pt>
                <c:pt idx="927">
                  <c:v>94.96901</c:v>
                </c:pt>
                <c:pt idx="928">
                  <c:v>94.96544</c:v>
                </c:pt>
                <c:pt idx="929">
                  <c:v>94.96173</c:v>
                </c:pt>
                <c:pt idx="930">
                  <c:v>94.95791</c:v>
                </c:pt>
                <c:pt idx="931">
                  <c:v>94.95408</c:v>
                </c:pt>
                <c:pt idx="932">
                  <c:v>94.95037999999998</c:v>
                </c:pt>
                <c:pt idx="933">
                  <c:v>94.94656</c:v>
                </c:pt>
                <c:pt idx="934">
                  <c:v>94.94277</c:v>
                </c:pt>
                <c:pt idx="935">
                  <c:v>94.93882</c:v>
                </c:pt>
                <c:pt idx="936">
                  <c:v>94.93491</c:v>
                </c:pt>
                <c:pt idx="937">
                  <c:v>94.93109</c:v>
                </c:pt>
                <c:pt idx="938">
                  <c:v>94.92735</c:v>
                </c:pt>
                <c:pt idx="939">
                  <c:v>94.92336</c:v>
                </c:pt>
                <c:pt idx="940">
                  <c:v>94.91949</c:v>
                </c:pt>
                <c:pt idx="941">
                  <c:v>94.91575</c:v>
                </c:pt>
                <c:pt idx="942">
                  <c:v>94.91217</c:v>
                </c:pt>
                <c:pt idx="943">
                  <c:v>94.90826</c:v>
                </c:pt>
                <c:pt idx="944">
                  <c:v>94.90439</c:v>
                </c:pt>
                <c:pt idx="945">
                  <c:v>94.90057</c:v>
                </c:pt>
                <c:pt idx="946">
                  <c:v>94.89695</c:v>
                </c:pt>
                <c:pt idx="947">
                  <c:v>94.89316</c:v>
                </c:pt>
                <c:pt idx="948">
                  <c:v>94.8895</c:v>
                </c:pt>
                <c:pt idx="949">
                  <c:v>94.88571999999998</c:v>
                </c:pt>
                <c:pt idx="950">
                  <c:v>94.88189</c:v>
                </c:pt>
                <c:pt idx="951">
                  <c:v>94.87802999999998</c:v>
                </c:pt>
                <c:pt idx="952">
                  <c:v>94.8742</c:v>
                </c:pt>
                <c:pt idx="953">
                  <c:v>94.87062</c:v>
                </c:pt>
                <c:pt idx="954">
                  <c:v>94.86692</c:v>
                </c:pt>
                <c:pt idx="955">
                  <c:v>94.86318</c:v>
                </c:pt>
                <c:pt idx="956">
                  <c:v>94.85947999999995</c:v>
                </c:pt>
                <c:pt idx="957">
                  <c:v>94.85564999999998</c:v>
                </c:pt>
                <c:pt idx="958">
                  <c:v>94.85199</c:v>
                </c:pt>
                <c:pt idx="959">
                  <c:v>94.84816</c:v>
                </c:pt>
                <c:pt idx="960">
                  <c:v>94.8445</c:v>
                </c:pt>
                <c:pt idx="961">
                  <c:v>94.8406</c:v>
                </c:pt>
                <c:pt idx="962">
                  <c:v>94.83688999999998</c:v>
                </c:pt>
                <c:pt idx="963">
                  <c:v>94.83315</c:v>
                </c:pt>
                <c:pt idx="964">
                  <c:v>94.82956999999997</c:v>
                </c:pt>
                <c:pt idx="965">
                  <c:v>94.82590999999998</c:v>
                </c:pt>
                <c:pt idx="966">
                  <c:v>94.82203999999948</c:v>
                </c:pt>
                <c:pt idx="967">
                  <c:v>94.8181</c:v>
                </c:pt>
                <c:pt idx="968">
                  <c:v>94.81443</c:v>
                </c:pt>
                <c:pt idx="969">
                  <c:v>94.81086</c:v>
                </c:pt>
                <c:pt idx="970">
                  <c:v>94.80724</c:v>
                </c:pt>
                <c:pt idx="971">
                  <c:v>94.80353</c:v>
                </c:pt>
                <c:pt idx="972">
                  <c:v>94.79983</c:v>
                </c:pt>
                <c:pt idx="973">
                  <c:v>94.79613</c:v>
                </c:pt>
                <c:pt idx="974">
                  <c:v>94.79255</c:v>
                </c:pt>
                <c:pt idx="975">
                  <c:v>94.78893</c:v>
                </c:pt>
                <c:pt idx="976">
                  <c:v>94.78527</c:v>
                </c:pt>
                <c:pt idx="977">
                  <c:v>94.78153</c:v>
                </c:pt>
                <c:pt idx="978">
                  <c:v>94.77773999999998</c:v>
                </c:pt>
                <c:pt idx="979">
                  <c:v>94.77379999999998</c:v>
                </c:pt>
                <c:pt idx="980">
                  <c:v>94.77026</c:v>
                </c:pt>
                <c:pt idx="981">
                  <c:v>94.76651</c:v>
                </c:pt>
                <c:pt idx="982">
                  <c:v>94.76285</c:v>
                </c:pt>
                <c:pt idx="983">
                  <c:v>94.75927</c:v>
                </c:pt>
                <c:pt idx="984">
                  <c:v>94.75566</c:v>
                </c:pt>
                <c:pt idx="985">
                  <c:v>94.75199</c:v>
                </c:pt>
                <c:pt idx="986">
                  <c:v>94.74842</c:v>
                </c:pt>
                <c:pt idx="987">
                  <c:v>94.74484</c:v>
                </c:pt>
                <c:pt idx="988">
                  <c:v>94.74114</c:v>
                </c:pt>
                <c:pt idx="989">
                  <c:v>94.7376</c:v>
                </c:pt>
                <c:pt idx="990">
                  <c:v>94.73418</c:v>
                </c:pt>
                <c:pt idx="991">
                  <c:v>94.7306</c:v>
                </c:pt>
                <c:pt idx="992">
                  <c:v>94.72707000000001</c:v>
                </c:pt>
                <c:pt idx="993">
                  <c:v>94.72353</c:v>
                </c:pt>
                <c:pt idx="994">
                  <c:v>94.71995</c:v>
                </c:pt>
                <c:pt idx="995">
                  <c:v>94.71641</c:v>
                </c:pt>
                <c:pt idx="996">
                  <c:v>94.71284</c:v>
                </c:pt>
                <c:pt idx="997">
                  <c:v>94.70922</c:v>
                </c:pt>
                <c:pt idx="998">
                  <c:v>94.70564</c:v>
                </c:pt>
                <c:pt idx="999">
                  <c:v>94.70198</c:v>
                </c:pt>
                <c:pt idx="1000">
                  <c:v>94.69831999999998</c:v>
                </c:pt>
                <c:pt idx="1001">
                  <c:v>94.69473999999998</c:v>
                </c:pt>
                <c:pt idx="1002">
                  <c:v>94.69132</c:v>
                </c:pt>
                <c:pt idx="1003">
                  <c:v>94.6877</c:v>
                </c:pt>
                <c:pt idx="1004">
                  <c:v>94.68417</c:v>
                </c:pt>
                <c:pt idx="1005">
                  <c:v>94.68067</c:v>
                </c:pt>
                <c:pt idx="1006">
                  <c:v>94.67733999999948</c:v>
                </c:pt>
                <c:pt idx="1007">
                  <c:v>94.67375999999958</c:v>
                </c:pt>
                <c:pt idx="1008">
                  <c:v>94.67013999999975</c:v>
                </c:pt>
                <c:pt idx="1009">
                  <c:v>94.66664</c:v>
                </c:pt>
                <c:pt idx="1010">
                  <c:v>94.66319</c:v>
                </c:pt>
                <c:pt idx="1011">
                  <c:v>94.65969</c:v>
                </c:pt>
                <c:pt idx="1012">
                  <c:v>94.65627999999998</c:v>
                </c:pt>
                <c:pt idx="1013">
                  <c:v>94.65277999999888</c:v>
                </c:pt>
                <c:pt idx="1014">
                  <c:v>94.64933</c:v>
                </c:pt>
                <c:pt idx="1015">
                  <c:v>94.64599</c:v>
                </c:pt>
                <c:pt idx="1016">
                  <c:v>94.64266</c:v>
                </c:pt>
                <c:pt idx="1017">
                  <c:v>94.63932999999998</c:v>
                </c:pt>
                <c:pt idx="1018">
                  <c:v>94.63592</c:v>
                </c:pt>
                <c:pt idx="1019">
                  <c:v>94.63233999999925</c:v>
                </c:pt>
                <c:pt idx="1020">
                  <c:v>94.62887999999907</c:v>
                </c:pt>
                <c:pt idx="1021">
                  <c:v>94.62554999999985</c:v>
                </c:pt>
                <c:pt idx="1022">
                  <c:v>94.62237999999888</c:v>
                </c:pt>
                <c:pt idx="1023">
                  <c:v>94.61913000000001</c:v>
                </c:pt>
                <c:pt idx="1024">
                  <c:v>94.61575999999998</c:v>
                </c:pt>
                <c:pt idx="1025">
                  <c:v>94.61242999999997</c:v>
                </c:pt>
                <c:pt idx="1026">
                  <c:v>94.6091</c:v>
                </c:pt>
                <c:pt idx="1027">
                  <c:v>94.60576999999998</c:v>
                </c:pt>
                <c:pt idx="1028">
                  <c:v>94.60259999999998</c:v>
                </c:pt>
                <c:pt idx="1029">
                  <c:v>94.59935</c:v>
                </c:pt>
                <c:pt idx="1030">
                  <c:v>94.5961</c:v>
                </c:pt>
                <c:pt idx="1031">
                  <c:v>94.59281</c:v>
                </c:pt>
                <c:pt idx="1032">
                  <c:v>94.58956</c:v>
                </c:pt>
                <c:pt idx="1033">
                  <c:v>94.58623</c:v>
                </c:pt>
                <c:pt idx="1034">
                  <c:v>94.58276999999998</c:v>
                </c:pt>
                <c:pt idx="1035">
                  <c:v>94.57939999999998</c:v>
                </c:pt>
                <c:pt idx="1036">
                  <c:v>94.57611</c:v>
                </c:pt>
                <c:pt idx="1037">
                  <c:v>94.57285999999995</c:v>
                </c:pt>
                <c:pt idx="1038">
                  <c:v>94.56981</c:v>
                </c:pt>
                <c:pt idx="1039">
                  <c:v>94.56665</c:v>
                </c:pt>
                <c:pt idx="1040">
                  <c:v>94.56327</c:v>
                </c:pt>
                <c:pt idx="1041">
                  <c:v>94.56007</c:v>
                </c:pt>
                <c:pt idx="1042">
                  <c:v>94.55677999999975</c:v>
                </c:pt>
                <c:pt idx="1043">
                  <c:v>94.55365</c:v>
                </c:pt>
                <c:pt idx="1044">
                  <c:v>94.55056</c:v>
                </c:pt>
                <c:pt idx="1045">
                  <c:v>94.5476</c:v>
                </c:pt>
                <c:pt idx="1046">
                  <c:v>94.54464</c:v>
                </c:pt>
                <c:pt idx="1047">
                  <c:v>94.54143</c:v>
                </c:pt>
                <c:pt idx="1048">
                  <c:v>94.53843</c:v>
                </c:pt>
                <c:pt idx="1049">
                  <c:v>94.53538999999998</c:v>
                </c:pt>
                <c:pt idx="1050">
                  <c:v>94.53226</c:v>
                </c:pt>
                <c:pt idx="1051">
                  <c:v>94.52905</c:v>
                </c:pt>
                <c:pt idx="1052">
                  <c:v>94.52587999999938</c:v>
                </c:pt>
                <c:pt idx="1053">
                  <c:v>94.52287999999938</c:v>
                </c:pt>
                <c:pt idx="1054">
                  <c:v>94.51976</c:v>
                </c:pt>
                <c:pt idx="1055">
                  <c:v>94.51663</c:v>
                </c:pt>
                <c:pt idx="1056">
                  <c:v>94.51363</c:v>
                </c:pt>
                <c:pt idx="1057">
                  <c:v>94.51075</c:v>
                </c:pt>
                <c:pt idx="1058">
                  <c:v>94.50774</c:v>
                </c:pt>
                <c:pt idx="1059">
                  <c:v>94.50477999999998</c:v>
                </c:pt>
                <c:pt idx="1060">
                  <c:v>94.50162</c:v>
                </c:pt>
                <c:pt idx="1061">
                  <c:v>94.49853</c:v>
                </c:pt>
                <c:pt idx="1062">
                  <c:v>94.49549</c:v>
                </c:pt>
                <c:pt idx="1063">
                  <c:v>94.49252</c:v>
                </c:pt>
                <c:pt idx="1064">
                  <c:v>94.48956</c:v>
                </c:pt>
                <c:pt idx="1065">
                  <c:v>94.48685</c:v>
                </c:pt>
                <c:pt idx="1066">
                  <c:v>94.48397000000001</c:v>
                </c:pt>
                <c:pt idx="1067">
                  <c:v>94.48105</c:v>
                </c:pt>
                <c:pt idx="1068">
                  <c:v>94.47821</c:v>
                </c:pt>
                <c:pt idx="1069">
                  <c:v>94.47577999999938</c:v>
                </c:pt>
                <c:pt idx="1070">
                  <c:v>94.47266</c:v>
                </c:pt>
                <c:pt idx="1071">
                  <c:v>94.46937000000001</c:v>
                </c:pt>
                <c:pt idx="1072">
                  <c:v>94.46645</c:v>
                </c:pt>
                <c:pt idx="1073">
                  <c:v>94.46353</c:v>
                </c:pt>
                <c:pt idx="1074">
                  <c:v>94.46065</c:v>
                </c:pt>
                <c:pt idx="1075">
                  <c:v>94.45777</c:v>
                </c:pt>
                <c:pt idx="1076">
                  <c:v>94.45505</c:v>
                </c:pt>
                <c:pt idx="1077">
                  <c:v>94.45233999999998</c:v>
                </c:pt>
                <c:pt idx="1078">
                  <c:v>94.44938</c:v>
                </c:pt>
                <c:pt idx="1079">
                  <c:v>94.44666</c:v>
                </c:pt>
                <c:pt idx="1080">
                  <c:v>94.44391</c:v>
                </c:pt>
                <c:pt idx="1081">
                  <c:v>94.44119</c:v>
                </c:pt>
                <c:pt idx="1082">
                  <c:v>94.43839</c:v>
                </c:pt>
                <c:pt idx="1083">
                  <c:v>94.4356</c:v>
                </c:pt>
                <c:pt idx="1084">
                  <c:v>94.4328</c:v>
                </c:pt>
                <c:pt idx="1085">
                  <c:v>94.43025</c:v>
                </c:pt>
                <c:pt idx="1086">
                  <c:v>94.42733000000001</c:v>
                </c:pt>
                <c:pt idx="1087">
                  <c:v>94.42437</c:v>
                </c:pt>
                <c:pt idx="1088">
                  <c:v>94.42153</c:v>
                </c:pt>
                <c:pt idx="1089">
                  <c:v>94.41881</c:v>
                </c:pt>
                <c:pt idx="1090">
                  <c:v>94.41647</c:v>
                </c:pt>
                <c:pt idx="1091">
                  <c:v>94.41363000000002</c:v>
                </c:pt>
                <c:pt idx="1092">
                  <c:v>94.41079</c:v>
                </c:pt>
                <c:pt idx="1093">
                  <c:v>94.40816</c:v>
                </c:pt>
                <c:pt idx="1094">
                  <c:v>94.40536</c:v>
                </c:pt>
                <c:pt idx="1095">
                  <c:v>94.40247999999998</c:v>
                </c:pt>
                <c:pt idx="1096">
                  <c:v>94.39981</c:v>
                </c:pt>
                <c:pt idx="1097">
                  <c:v>94.3971</c:v>
                </c:pt>
                <c:pt idx="1098">
                  <c:v>94.39471</c:v>
                </c:pt>
                <c:pt idx="1099">
                  <c:v>94.39207999999998</c:v>
                </c:pt>
                <c:pt idx="1100">
                  <c:v>94.38961</c:v>
                </c:pt>
                <c:pt idx="1101">
                  <c:v>94.38706</c:v>
                </c:pt>
                <c:pt idx="1102">
                  <c:v>94.38463</c:v>
                </c:pt>
                <c:pt idx="1103">
                  <c:v>94.38183</c:v>
                </c:pt>
                <c:pt idx="1104">
                  <c:v>94.37907999999958</c:v>
                </c:pt>
                <c:pt idx="1105">
                  <c:v>94.37648999999985</c:v>
                </c:pt>
                <c:pt idx="1106">
                  <c:v>94.37384999999995</c:v>
                </c:pt>
                <c:pt idx="1107">
                  <c:v>94.37117999999998</c:v>
                </c:pt>
                <c:pt idx="1108">
                  <c:v>94.36863</c:v>
                </c:pt>
                <c:pt idx="1109">
                  <c:v>94.36592</c:v>
                </c:pt>
                <c:pt idx="1110">
                  <c:v>94.36328</c:v>
                </c:pt>
                <c:pt idx="1111">
                  <c:v>94.36086</c:v>
                </c:pt>
                <c:pt idx="1112">
                  <c:v>94.35850999999998</c:v>
                </c:pt>
                <c:pt idx="1113">
                  <c:v>94.35608999999998</c:v>
                </c:pt>
                <c:pt idx="1114">
                  <c:v>94.35353999999998</c:v>
                </c:pt>
                <c:pt idx="1115">
                  <c:v>94.35077999999935</c:v>
                </c:pt>
                <c:pt idx="1116">
                  <c:v>94.34819</c:v>
                </c:pt>
                <c:pt idx="1117">
                  <c:v>94.3456</c:v>
                </c:pt>
                <c:pt idx="1118">
                  <c:v>94.34313</c:v>
                </c:pt>
                <c:pt idx="1119">
                  <c:v>94.34041</c:v>
                </c:pt>
                <c:pt idx="1120">
                  <c:v>94.33777999999998</c:v>
                </c:pt>
                <c:pt idx="1121">
                  <c:v>94.33518999999998</c:v>
                </c:pt>
                <c:pt idx="1122">
                  <c:v>94.33271999999998</c:v>
                </c:pt>
                <c:pt idx="1123">
                  <c:v>94.33037999999995</c:v>
                </c:pt>
                <c:pt idx="1124">
                  <c:v>94.32799</c:v>
                </c:pt>
                <c:pt idx="1125">
                  <c:v>94.32564999999998</c:v>
                </c:pt>
                <c:pt idx="1126">
                  <c:v>94.32329999999997</c:v>
                </c:pt>
                <c:pt idx="1127">
                  <c:v>94.32096</c:v>
                </c:pt>
                <c:pt idx="1128">
                  <c:v>94.31848999999998</c:v>
                </c:pt>
                <c:pt idx="1129">
                  <c:v>94.31614</c:v>
                </c:pt>
                <c:pt idx="1130">
                  <c:v>94.31384</c:v>
                </c:pt>
                <c:pt idx="1131">
                  <c:v>94.31117</c:v>
                </c:pt>
                <c:pt idx="1132">
                  <c:v>94.30869999999997</c:v>
                </c:pt>
                <c:pt idx="1133">
                  <c:v>94.30615</c:v>
                </c:pt>
                <c:pt idx="1134">
                  <c:v>94.3036</c:v>
                </c:pt>
                <c:pt idx="1135">
                  <c:v>94.30105</c:v>
                </c:pt>
                <c:pt idx="1136">
                  <c:v>94.29829</c:v>
                </c:pt>
                <c:pt idx="1137">
                  <c:v>94.29591</c:v>
                </c:pt>
                <c:pt idx="1138">
                  <c:v>94.29348</c:v>
                </c:pt>
                <c:pt idx="1139">
                  <c:v>94.29097</c:v>
                </c:pt>
                <c:pt idx="1140">
                  <c:v>94.28863000000001</c:v>
                </c:pt>
                <c:pt idx="1141">
                  <c:v>94.28636</c:v>
                </c:pt>
                <c:pt idx="1142">
                  <c:v>94.2841</c:v>
                </c:pt>
                <c:pt idx="1143">
                  <c:v>94.28172</c:v>
                </c:pt>
                <c:pt idx="1144">
                  <c:v>94.27925</c:v>
                </c:pt>
                <c:pt idx="1145">
                  <c:v>94.27693999999998</c:v>
                </c:pt>
                <c:pt idx="1146">
                  <c:v>94.27452</c:v>
                </c:pt>
                <c:pt idx="1147">
                  <c:v>94.27216999999997</c:v>
                </c:pt>
                <c:pt idx="1148">
                  <c:v>94.26995</c:v>
                </c:pt>
                <c:pt idx="1149">
                  <c:v>94.26761</c:v>
                </c:pt>
                <c:pt idx="1150">
                  <c:v>94.26538999999998</c:v>
                </c:pt>
                <c:pt idx="1151">
                  <c:v>94.26304</c:v>
                </c:pt>
                <c:pt idx="1152">
                  <c:v>94.2607</c:v>
                </c:pt>
                <c:pt idx="1153">
                  <c:v>94.25823000000001</c:v>
                </c:pt>
                <c:pt idx="1154">
                  <c:v>94.25597</c:v>
                </c:pt>
                <c:pt idx="1155">
                  <c:v>94.25374999999998</c:v>
                </c:pt>
                <c:pt idx="1156">
                  <c:v>94.25136</c:v>
                </c:pt>
                <c:pt idx="1157">
                  <c:v>94.24893</c:v>
                </c:pt>
                <c:pt idx="1158">
                  <c:v>94.24667</c:v>
                </c:pt>
                <c:pt idx="1159">
                  <c:v>94.24445</c:v>
                </c:pt>
                <c:pt idx="1160">
                  <c:v>94.24231</c:v>
                </c:pt>
                <c:pt idx="1161">
                  <c:v>94.24017</c:v>
                </c:pt>
                <c:pt idx="1162">
                  <c:v>94.23787</c:v>
                </c:pt>
                <c:pt idx="1163">
                  <c:v>94.23528</c:v>
                </c:pt>
                <c:pt idx="1164">
                  <c:v>94.23297</c:v>
                </c:pt>
                <c:pt idx="1165">
                  <c:v>94.23075</c:v>
                </c:pt>
                <c:pt idx="1166">
                  <c:v>94.22861</c:v>
                </c:pt>
                <c:pt idx="1167">
                  <c:v>94.22634999999998</c:v>
                </c:pt>
                <c:pt idx="1168">
                  <c:v>94.22405</c:v>
                </c:pt>
                <c:pt idx="1169">
                  <c:v>94.22199</c:v>
                </c:pt>
                <c:pt idx="1170">
                  <c:v>94.21977</c:v>
                </c:pt>
                <c:pt idx="1171">
                  <c:v>94.21742</c:v>
                </c:pt>
                <c:pt idx="1172">
                  <c:v>94.21537</c:v>
                </c:pt>
                <c:pt idx="1173">
                  <c:v>94.21327</c:v>
                </c:pt>
                <c:pt idx="1174">
                  <c:v>94.21101</c:v>
                </c:pt>
                <c:pt idx="1175">
                  <c:v>94.2087</c:v>
                </c:pt>
                <c:pt idx="1176">
                  <c:v>94.20644</c:v>
                </c:pt>
                <c:pt idx="1177">
                  <c:v>94.20422</c:v>
                </c:pt>
                <c:pt idx="1178">
                  <c:v>94.20192</c:v>
                </c:pt>
                <c:pt idx="1179">
                  <c:v>94.19945</c:v>
                </c:pt>
                <c:pt idx="1180">
                  <c:v>94.19723</c:v>
                </c:pt>
                <c:pt idx="1181">
                  <c:v>94.19525</c:v>
                </c:pt>
                <c:pt idx="1182">
                  <c:v>94.19316</c:v>
                </c:pt>
                <c:pt idx="1183">
                  <c:v>94.19097999999998</c:v>
                </c:pt>
                <c:pt idx="1184">
                  <c:v>94.18879999999938</c:v>
                </c:pt>
                <c:pt idx="1185">
                  <c:v>94.18689999999998</c:v>
                </c:pt>
                <c:pt idx="1186">
                  <c:v>94.18456</c:v>
                </c:pt>
                <c:pt idx="1187">
                  <c:v>94.18216999999998</c:v>
                </c:pt>
                <c:pt idx="1188">
                  <c:v>94.17998999999975</c:v>
                </c:pt>
                <c:pt idx="1189">
                  <c:v>94.17772999999998</c:v>
                </c:pt>
                <c:pt idx="1190">
                  <c:v>94.17579999999907</c:v>
                </c:pt>
                <c:pt idx="1191">
                  <c:v>94.17377999999897</c:v>
                </c:pt>
                <c:pt idx="1192">
                  <c:v>94.17172999999998</c:v>
                </c:pt>
                <c:pt idx="1193">
                  <c:v>94.16970999999998</c:v>
                </c:pt>
                <c:pt idx="1194">
                  <c:v>94.16769</c:v>
                </c:pt>
                <c:pt idx="1195">
                  <c:v>94.16551</c:v>
                </c:pt>
                <c:pt idx="1196">
                  <c:v>94.16325</c:v>
                </c:pt>
                <c:pt idx="1197">
                  <c:v>94.16103</c:v>
                </c:pt>
                <c:pt idx="1198">
                  <c:v>94.15896999999998</c:v>
                </c:pt>
                <c:pt idx="1199">
                  <c:v>94.15683999999958</c:v>
                </c:pt>
                <c:pt idx="1200">
                  <c:v>94.1547</c:v>
                </c:pt>
                <c:pt idx="1201">
                  <c:v>94.15271999999958</c:v>
                </c:pt>
                <c:pt idx="1202">
                  <c:v>94.15067</c:v>
                </c:pt>
                <c:pt idx="1203">
                  <c:v>94.14853</c:v>
                </c:pt>
                <c:pt idx="1204">
                  <c:v>94.14626</c:v>
                </c:pt>
                <c:pt idx="1205">
                  <c:v>94.14408</c:v>
                </c:pt>
                <c:pt idx="1206">
                  <c:v>94.14199</c:v>
                </c:pt>
                <c:pt idx="1207">
                  <c:v>94.14005</c:v>
                </c:pt>
                <c:pt idx="1208">
                  <c:v>94.13791</c:v>
                </c:pt>
                <c:pt idx="1209">
                  <c:v>94.13597999999975</c:v>
                </c:pt>
                <c:pt idx="1210">
                  <c:v>94.13409</c:v>
                </c:pt>
                <c:pt idx="1211">
                  <c:v>94.13191</c:v>
                </c:pt>
                <c:pt idx="1212">
                  <c:v>94.12976999999998</c:v>
                </c:pt>
                <c:pt idx="1213">
                  <c:v>94.12774999999998</c:v>
                </c:pt>
                <c:pt idx="1214">
                  <c:v>94.12581999999995</c:v>
                </c:pt>
                <c:pt idx="1215">
                  <c:v>94.12396999999998</c:v>
                </c:pt>
                <c:pt idx="1216">
                  <c:v>94.12195</c:v>
                </c:pt>
                <c:pt idx="1217">
                  <c:v>94.11986</c:v>
                </c:pt>
                <c:pt idx="1218">
                  <c:v>94.11784</c:v>
                </c:pt>
                <c:pt idx="1219">
                  <c:v>94.11577999999948</c:v>
                </c:pt>
                <c:pt idx="1220">
                  <c:v>94.11372999999997</c:v>
                </c:pt>
                <c:pt idx="1221">
                  <c:v>94.11155</c:v>
                </c:pt>
                <c:pt idx="1222">
                  <c:v>94.10932999999998</c:v>
                </c:pt>
                <c:pt idx="1223">
                  <c:v>94.10719</c:v>
                </c:pt>
                <c:pt idx="1224">
                  <c:v>94.10500999999998</c:v>
                </c:pt>
                <c:pt idx="1225">
                  <c:v>94.10286999999998</c:v>
                </c:pt>
                <c:pt idx="1226">
                  <c:v>94.10093</c:v>
                </c:pt>
                <c:pt idx="1227">
                  <c:v>94.09883999999998</c:v>
                </c:pt>
                <c:pt idx="1228">
                  <c:v>94.09677999999998</c:v>
                </c:pt>
                <c:pt idx="1229">
                  <c:v>94.09485</c:v>
                </c:pt>
                <c:pt idx="1230">
                  <c:v>94.09291</c:v>
                </c:pt>
                <c:pt idx="1231">
                  <c:v>94.09082</c:v>
                </c:pt>
                <c:pt idx="1232">
                  <c:v>94.08887999999965</c:v>
                </c:pt>
                <c:pt idx="1233">
                  <c:v>94.08687</c:v>
                </c:pt>
                <c:pt idx="1234">
                  <c:v>94.08513999999998</c:v>
                </c:pt>
                <c:pt idx="1235">
                  <c:v>94.08325</c:v>
                </c:pt>
                <c:pt idx="1236">
                  <c:v>94.08127</c:v>
                </c:pt>
                <c:pt idx="1237">
                  <c:v>94.07922</c:v>
                </c:pt>
                <c:pt idx="1238">
                  <c:v>94.07728</c:v>
                </c:pt>
                <c:pt idx="1239">
                  <c:v>94.07513999999995</c:v>
                </c:pt>
                <c:pt idx="1240">
                  <c:v>94.07321</c:v>
                </c:pt>
                <c:pt idx="1241">
                  <c:v>94.07124</c:v>
                </c:pt>
                <c:pt idx="1242">
                  <c:v>94.06914</c:v>
                </c:pt>
                <c:pt idx="1243">
                  <c:v>94.06684</c:v>
                </c:pt>
                <c:pt idx="1244">
                  <c:v>94.0647</c:v>
                </c:pt>
                <c:pt idx="1245">
                  <c:v>94.06264</c:v>
                </c:pt>
                <c:pt idx="1246">
                  <c:v>94.06078999999998</c:v>
                </c:pt>
                <c:pt idx="1247">
                  <c:v>94.05906</c:v>
                </c:pt>
                <c:pt idx="1248">
                  <c:v>94.057</c:v>
                </c:pt>
                <c:pt idx="1249">
                  <c:v>94.05518999999998</c:v>
                </c:pt>
                <c:pt idx="1250">
                  <c:v>94.05333999999995</c:v>
                </c:pt>
                <c:pt idx="1251">
                  <c:v>94.05145</c:v>
                </c:pt>
                <c:pt idx="1252">
                  <c:v>94.04952</c:v>
                </c:pt>
                <c:pt idx="1253">
                  <c:v>94.0475</c:v>
                </c:pt>
                <c:pt idx="1254">
                  <c:v>94.04549</c:v>
                </c:pt>
                <c:pt idx="1255">
                  <c:v>94.04343</c:v>
                </c:pt>
                <c:pt idx="1256">
                  <c:v>94.04133</c:v>
                </c:pt>
                <c:pt idx="1257">
                  <c:v>94.03952</c:v>
                </c:pt>
                <c:pt idx="1258">
                  <c:v>94.03763</c:v>
                </c:pt>
                <c:pt idx="1259">
                  <c:v>94.03573999999985</c:v>
                </c:pt>
                <c:pt idx="1260">
                  <c:v>94.03381</c:v>
                </c:pt>
                <c:pt idx="1261">
                  <c:v>94.03183000000001</c:v>
                </c:pt>
                <c:pt idx="1262">
                  <c:v>94.02993999999998</c:v>
                </c:pt>
                <c:pt idx="1263">
                  <c:v>94.02792</c:v>
                </c:pt>
                <c:pt idx="1264">
                  <c:v>94.02594999999998</c:v>
                </c:pt>
                <c:pt idx="1265">
                  <c:v>94.02406</c:v>
                </c:pt>
                <c:pt idx="1266">
                  <c:v>94.02225</c:v>
                </c:pt>
                <c:pt idx="1267">
                  <c:v>94.02030999999998</c:v>
                </c:pt>
                <c:pt idx="1268">
                  <c:v>94.01842</c:v>
                </c:pt>
                <c:pt idx="1269">
                  <c:v>94.01641</c:v>
                </c:pt>
                <c:pt idx="1270">
                  <c:v>94.01464</c:v>
                </c:pt>
                <c:pt idx="1271">
                  <c:v>94.0127</c:v>
                </c:pt>
                <c:pt idx="1272">
                  <c:v>94.01065</c:v>
                </c:pt>
                <c:pt idx="1273">
                  <c:v>94.00870999999998</c:v>
                </c:pt>
                <c:pt idx="1274">
                  <c:v>94.00707000000001</c:v>
                </c:pt>
                <c:pt idx="1275">
                  <c:v>94.00542</c:v>
                </c:pt>
                <c:pt idx="1276">
                  <c:v>94.00353000000001</c:v>
                </c:pt>
                <c:pt idx="1277">
                  <c:v>94.00176</c:v>
                </c:pt>
                <c:pt idx="1278">
                  <c:v>93.99987</c:v>
                </c:pt>
                <c:pt idx="1279">
                  <c:v>93.9981</c:v>
                </c:pt>
                <c:pt idx="1280">
                  <c:v>93.99604</c:v>
                </c:pt>
                <c:pt idx="1281">
                  <c:v>93.99407</c:v>
                </c:pt>
                <c:pt idx="1282">
                  <c:v>93.99218</c:v>
                </c:pt>
                <c:pt idx="1283">
                  <c:v>93.99024</c:v>
                </c:pt>
                <c:pt idx="1284">
                  <c:v>93.98831</c:v>
                </c:pt>
                <c:pt idx="1285">
                  <c:v>93.98646</c:v>
                </c:pt>
                <c:pt idx="1286">
                  <c:v>93.98469</c:v>
                </c:pt>
                <c:pt idx="1287">
                  <c:v>93.98283999999998</c:v>
                </c:pt>
                <c:pt idx="1288">
                  <c:v>93.98077999999998</c:v>
                </c:pt>
                <c:pt idx="1289">
                  <c:v>93.97888999999998</c:v>
                </c:pt>
                <c:pt idx="1290">
                  <c:v>93.97704</c:v>
                </c:pt>
                <c:pt idx="1291">
                  <c:v>93.97530999999998</c:v>
                </c:pt>
                <c:pt idx="1292">
                  <c:v>93.97359</c:v>
                </c:pt>
                <c:pt idx="1293">
                  <c:v>93.97186</c:v>
                </c:pt>
                <c:pt idx="1294">
                  <c:v>93.97005</c:v>
                </c:pt>
                <c:pt idx="1295">
                  <c:v>93.96799</c:v>
                </c:pt>
                <c:pt idx="1296">
                  <c:v>93.96577</c:v>
                </c:pt>
                <c:pt idx="1297">
                  <c:v>93.96375</c:v>
                </c:pt>
                <c:pt idx="1298">
                  <c:v>93.96174</c:v>
                </c:pt>
                <c:pt idx="1299">
                  <c:v>93.95976</c:v>
                </c:pt>
                <c:pt idx="1300">
                  <c:v>93.95796</c:v>
                </c:pt>
                <c:pt idx="1301">
                  <c:v>93.95615</c:v>
                </c:pt>
                <c:pt idx="1302">
                  <c:v>93.95446</c:v>
                </c:pt>
                <c:pt idx="1303">
                  <c:v>93.9529</c:v>
                </c:pt>
                <c:pt idx="1304">
                  <c:v>93.95121</c:v>
                </c:pt>
                <c:pt idx="1305">
                  <c:v>93.9494</c:v>
                </c:pt>
                <c:pt idx="1306">
                  <c:v>93.94759</c:v>
                </c:pt>
                <c:pt idx="1307">
                  <c:v>93.94574</c:v>
                </c:pt>
                <c:pt idx="1308">
                  <c:v>93.94381</c:v>
                </c:pt>
                <c:pt idx="1309">
                  <c:v>93.94191</c:v>
                </c:pt>
                <c:pt idx="1310">
                  <c:v>93.9401</c:v>
                </c:pt>
                <c:pt idx="1311">
                  <c:v>93.93817</c:v>
                </c:pt>
                <c:pt idx="1312">
                  <c:v>93.93624</c:v>
                </c:pt>
                <c:pt idx="1313">
                  <c:v>93.93434</c:v>
                </c:pt>
                <c:pt idx="1314">
                  <c:v>93.93258</c:v>
                </c:pt>
                <c:pt idx="1315">
                  <c:v>93.93085</c:v>
                </c:pt>
                <c:pt idx="1316">
                  <c:v>93.92904</c:v>
                </c:pt>
                <c:pt idx="1317">
                  <c:v>93.92715</c:v>
                </c:pt>
                <c:pt idx="1318">
                  <c:v>93.92554</c:v>
                </c:pt>
                <c:pt idx="1319">
                  <c:v>93.92369</c:v>
                </c:pt>
                <c:pt idx="1320">
                  <c:v>93.92168</c:v>
                </c:pt>
                <c:pt idx="1321">
                  <c:v>93.91982</c:v>
                </c:pt>
                <c:pt idx="1322">
                  <c:v>93.91797</c:v>
                </c:pt>
                <c:pt idx="1323">
                  <c:v>93.91616</c:v>
                </c:pt>
                <c:pt idx="1324">
                  <c:v>93.91423</c:v>
                </c:pt>
                <c:pt idx="1325">
                  <c:v>93.91242</c:v>
                </c:pt>
                <c:pt idx="1326">
                  <c:v>93.91065</c:v>
                </c:pt>
                <c:pt idx="1327">
                  <c:v>93.90884</c:v>
                </c:pt>
                <c:pt idx="1328">
                  <c:v>93.90691</c:v>
                </c:pt>
                <c:pt idx="1329">
                  <c:v>93.90506</c:v>
                </c:pt>
                <c:pt idx="1330">
                  <c:v>93.90317</c:v>
                </c:pt>
                <c:pt idx="1331">
                  <c:v>93.90136</c:v>
                </c:pt>
                <c:pt idx="1332">
                  <c:v>93.89959</c:v>
                </c:pt>
                <c:pt idx="1333">
                  <c:v>93.89765</c:v>
                </c:pt>
                <c:pt idx="1334">
                  <c:v>93.89571999999998</c:v>
                </c:pt>
                <c:pt idx="1335">
                  <c:v>93.89399</c:v>
                </c:pt>
                <c:pt idx="1336">
                  <c:v>93.89214</c:v>
                </c:pt>
                <c:pt idx="1337">
                  <c:v>93.89017000000001</c:v>
                </c:pt>
                <c:pt idx="1338">
                  <c:v>93.88831999999998</c:v>
                </c:pt>
                <c:pt idx="1339">
                  <c:v>93.88651</c:v>
                </c:pt>
                <c:pt idx="1340">
                  <c:v>93.88473999999998</c:v>
                </c:pt>
                <c:pt idx="1341">
                  <c:v>93.88292999999997</c:v>
                </c:pt>
                <c:pt idx="1342">
                  <c:v>93.88104</c:v>
                </c:pt>
                <c:pt idx="1343">
                  <c:v>93.87927</c:v>
                </c:pt>
                <c:pt idx="1344">
                  <c:v>93.87736999999998</c:v>
                </c:pt>
                <c:pt idx="1345">
                  <c:v>93.8754399999991</c:v>
                </c:pt>
                <c:pt idx="1346">
                  <c:v>93.87370999999958</c:v>
                </c:pt>
                <c:pt idx="1347">
                  <c:v>93.87214999999995</c:v>
                </c:pt>
                <c:pt idx="1348">
                  <c:v>93.87054999999998</c:v>
                </c:pt>
                <c:pt idx="1349">
                  <c:v>93.86893999999998</c:v>
                </c:pt>
                <c:pt idx="1350">
                  <c:v>93.86705</c:v>
                </c:pt>
                <c:pt idx="1351">
                  <c:v>93.86531999999998</c:v>
                </c:pt>
                <c:pt idx="1352">
                  <c:v>93.8636</c:v>
                </c:pt>
                <c:pt idx="1353">
                  <c:v>93.86183000000001</c:v>
                </c:pt>
                <c:pt idx="1354">
                  <c:v>93.86006</c:v>
                </c:pt>
                <c:pt idx="1355">
                  <c:v>93.85821</c:v>
                </c:pt>
                <c:pt idx="1356">
                  <c:v>93.85635999999998</c:v>
                </c:pt>
                <c:pt idx="1357">
                  <c:v>93.85455</c:v>
                </c:pt>
                <c:pt idx="1358">
                  <c:v>93.85281999999998</c:v>
                </c:pt>
                <c:pt idx="1359">
                  <c:v>93.85117</c:v>
                </c:pt>
                <c:pt idx="1360">
                  <c:v>93.84953</c:v>
                </c:pt>
                <c:pt idx="1361">
                  <c:v>93.84772</c:v>
                </c:pt>
                <c:pt idx="1362">
                  <c:v>93.84591</c:v>
                </c:pt>
                <c:pt idx="1363">
                  <c:v>93.84406</c:v>
                </c:pt>
                <c:pt idx="1364">
                  <c:v>93.84236999999997</c:v>
                </c:pt>
                <c:pt idx="1365">
                  <c:v>93.84048</c:v>
                </c:pt>
                <c:pt idx="1366">
                  <c:v>93.83858999999998</c:v>
                </c:pt>
                <c:pt idx="1367">
                  <c:v>93.8369</c:v>
                </c:pt>
                <c:pt idx="1368">
                  <c:v>93.83513</c:v>
                </c:pt>
                <c:pt idx="1369">
                  <c:v>93.83328</c:v>
                </c:pt>
                <c:pt idx="1370">
                  <c:v>93.83139</c:v>
                </c:pt>
                <c:pt idx="1371">
                  <c:v>93.82953999999998</c:v>
                </c:pt>
                <c:pt idx="1372">
                  <c:v>93.82785</c:v>
                </c:pt>
                <c:pt idx="1373">
                  <c:v>93.82599999999998</c:v>
                </c:pt>
                <c:pt idx="1374">
                  <c:v>93.82419</c:v>
                </c:pt>
                <c:pt idx="1375">
                  <c:v>93.8223399999991</c:v>
                </c:pt>
                <c:pt idx="1376">
                  <c:v>93.82069</c:v>
                </c:pt>
                <c:pt idx="1377">
                  <c:v>93.81883999999998</c:v>
                </c:pt>
                <c:pt idx="1378">
                  <c:v>93.81695</c:v>
                </c:pt>
                <c:pt idx="1379">
                  <c:v>93.81522</c:v>
                </c:pt>
                <c:pt idx="1380">
                  <c:v>93.81329</c:v>
                </c:pt>
                <c:pt idx="1381">
                  <c:v>93.81152</c:v>
                </c:pt>
                <c:pt idx="1382">
                  <c:v>93.80974999999998</c:v>
                </c:pt>
                <c:pt idx="1383">
                  <c:v>93.80802</c:v>
                </c:pt>
                <c:pt idx="1384">
                  <c:v>93.80646</c:v>
                </c:pt>
                <c:pt idx="1385">
                  <c:v>93.80469</c:v>
                </c:pt>
                <c:pt idx="1386">
                  <c:v>93.80301</c:v>
                </c:pt>
                <c:pt idx="1387">
                  <c:v>93.8014</c:v>
                </c:pt>
                <c:pt idx="1388">
                  <c:v>93.79963</c:v>
                </c:pt>
                <c:pt idx="1389">
                  <c:v>93.79799</c:v>
                </c:pt>
                <c:pt idx="1390">
                  <c:v>93.79622</c:v>
                </c:pt>
                <c:pt idx="1391">
                  <c:v>93.79449</c:v>
                </c:pt>
                <c:pt idx="1392">
                  <c:v>93.79268</c:v>
                </c:pt>
                <c:pt idx="1393">
                  <c:v>93.79083</c:v>
                </c:pt>
                <c:pt idx="1394">
                  <c:v>93.78906</c:v>
                </c:pt>
                <c:pt idx="1395">
                  <c:v>93.78742</c:v>
                </c:pt>
                <c:pt idx="1396">
                  <c:v>93.78572999999998</c:v>
                </c:pt>
                <c:pt idx="1397">
                  <c:v>93.78387999999998</c:v>
                </c:pt>
                <c:pt idx="1398">
                  <c:v>93.78199</c:v>
                </c:pt>
                <c:pt idx="1399">
                  <c:v>93.78014</c:v>
                </c:pt>
                <c:pt idx="1400">
                  <c:v>93.7782</c:v>
                </c:pt>
                <c:pt idx="1401">
                  <c:v>93.77652</c:v>
                </c:pt>
                <c:pt idx="1402">
                  <c:v>93.77474999999998</c:v>
                </c:pt>
                <c:pt idx="1403">
                  <c:v>93.77293999999995</c:v>
                </c:pt>
                <c:pt idx="1404">
                  <c:v>93.77137</c:v>
                </c:pt>
                <c:pt idx="1405">
                  <c:v>93.76961</c:v>
                </c:pt>
                <c:pt idx="1406">
                  <c:v>93.76767</c:v>
                </c:pt>
                <c:pt idx="1407">
                  <c:v>93.76594</c:v>
                </c:pt>
                <c:pt idx="1408">
                  <c:v>93.76413</c:v>
                </c:pt>
                <c:pt idx="1409">
                  <c:v>93.76232</c:v>
                </c:pt>
                <c:pt idx="1410">
                  <c:v>93.76043000000001</c:v>
                </c:pt>
                <c:pt idx="1411">
                  <c:v>93.75874999999998</c:v>
                </c:pt>
                <c:pt idx="1412">
                  <c:v>93.75698</c:v>
                </c:pt>
                <c:pt idx="1413">
                  <c:v>93.75536999999998</c:v>
                </c:pt>
                <c:pt idx="1414">
                  <c:v>93.75376999999997</c:v>
                </c:pt>
                <c:pt idx="1415">
                  <c:v>93.75212</c:v>
                </c:pt>
                <c:pt idx="1416">
                  <c:v>93.7506</c:v>
                </c:pt>
                <c:pt idx="1417">
                  <c:v>93.74863</c:v>
                </c:pt>
                <c:pt idx="1418">
                  <c:v>93.74682</c:v>
                </c:pt>
                <c:pt idx="1419">
                  <c:v>93.74509</c:v>
                </c:pt>
                <c:pt idx="1420">
                  <c:v>93.74336</c:v>
                </c:pt>
                <c:pt idx="1421">
                  <c:v>93.74151</c:v>
                </c:pt>
                <c:pt idx="1422">
                  <c:v>93.73982</c:v>
                </c:pt>
                <c:pt idx="1423">
                  <c:v>93.73801</c:v>
                </c:pt>
                <c:pt idx="1424">
                  <c:v>93.73608</c:v>
                </c:pt>
                <c:pt idx="1425">
                  <c:v>93.73435</c:v>
                </c:pt>
                <c:pt idx="1426">
                  <c:v>93.73263</c:v>
                </c:pt>
                <c:pt idx="1427">
                  <c:v>93.73106</c:v>
                </c:pt>
                <c:pt idx="1428">
                  <c:v>93.72942</c:v>
                </c:pt>
                <c:pt idx="1429">
                  <c:v>93.72765</c:v>
                </c:pt>
                <c:pt idx="1430">
                  <c:v>93.72596</c:v>
                </c:pt>
                <c:pt idx="1431">
                  <c:v>93.72428</c:v>
                </c:pt>
                <c:pt idx="1432">
                  <c:v>93.72270999999998</c:v>
                </c:pt>
                <c:pt idx="1433">
                  <c:v>93.72099</c:v>
                </c:pt>
                <c:pt idx="1434">
                  <c:v>93.71922</c:v>
                </c:pt>
                <c:pt idx="1435">
                  <c:v>93.71732</c:v>
                </c:pt>
                <c:pt idx="1436">
                  <c:v>93.71547</c:v>
                </c:pt>
                <c:pt idx="1437">
                  <c:v>93.71366</c:v>
                </c:pt>
                <c:pt idx="1438">
                  <c:v>93.7119</c:v>
                </c:pt>
                <c:pt idx="1439">
                  <c:v>93.71025</c:v>
                </c:pt>
                <c:pt idx="1440">
                  <c:v>93.70843999999998</c:v>
                </c:pt>
                <c:pt idx="1441">
                  <c:v>93.70659</c:v>
                </c:pt>
                <c:pt idx="1442">
                  <c:v>93.70474</c:v>
                </c:pt>
                <c:pt idx="1443">
                  <c:v>93.70297</c:v>
                </c:pt>
                <c:pt idx="1444">
                  <c:v>93.70132</c:v>
                </c:pt>
                <c:pt idx="1445">
                  <c:v>93.69976</c:v>
                </c:pt>
                <c:pt idx="1446">
                  <c:v>93.69812</c:v>
                </c:pt>
                <c:pt idx="1447">
                  <c:v>93.69634999999998</c:v>
                </c:pt>
                <c:pt idx="1448">
                  <c:v>93.69433</c:v>
                </c:pt>
                <c:pt idx="1449">
                  <c:v>93.69243999999995</c:v>
                </c:pt>
                <c:pt idx="1450">
                  <c:v>93.69087999999998</c:v>
                </c:pt>
                <c:pt idx="1451">
                  <c:v>93.68943999999995</c:v>
                </c:pt>
                <c:pt idx="1452">
                  <c:v>93.68783</c:v>
                </c:pt>
                <c:pt idx="1453">
                  <c:v>93.68615</c:v>
                </c:pt>
                <c:pt idx="1454">
                  <c:v>93.68454</c:v>
                </c:pt>
                <c:pt idx="1455">
                  <c:v>93.68284999999958</c:v>
                </c:pt>
                <c:pt idx="1456">
                  <c:v>93.68121</c:v>
                </c:pt>
                <c:pt idx="1457">
                  <c:v>93.67947999999915</c:v>
                </c:pt>
                <c:pt idx="1458">
                  <c:v>93.67758999999998</c:v>
                </c:pt>
                <c:pt idx="1459">
                  <c:v>93.6757799999986</c:v>
                </c:pt>
                <c:pt idx="1460">
                  <c:v>93.67400999999998</c:v>
                </c:pt>
                <c:pt idx="1461">
                  <c:v>93.67223999999958</c:v>
                </c:pt>
                <c:pt idx="1462">
                  <c:v>93.67026999999997</c:v>
                </c:pt>
                <c:pt idx="1463">
                  <c:v>93.66845999999998</c:v>
                </c:pt>
                <c:pt idx="1464">
                  <c:v>93.66672999999998</c:v>
                </c:pt>
                <c:pt idx="1465">
                  <c:v>93.66487999999998</c:v>
                </c:pt>
                <c:pt idx="1466">
                  <c:v>93.66319</c:v>
                </c:pt>
                <c:pt idx="1467">
                  <c:v>93.66163</c:v>
                </c:pt>
                <c:pt idx="1468">
                  <c:v>93.65989999999998</c:v>
                </c:pt>
                <c:pt idx="1469">
                  <c:v>93.65808999999948</c:v>
                </c:pt>
                <c:pt idx="1470">
                  <c:v>93.65635999999998</c:v>
                </c:pt>
                <c:pt idx="1471">
                  <c:v>93.65483999999998</c:v>
                </c:pt>
                <c:pt idx="1472">
                  <c:v>93.65335999999998</c:v>
                </c:pt>
                <c:pt idx="1473">
                  <c:v>93.65179999999998</c:v>
                </c:pt>
                <c:pt idx="1474">
                  <c:v>93.65006999999998</c:v>
                </c:pt>
                <c:pt idx="1475">
                  <c:v>93.64817999999998</c:v>
                </c:pt>
                <c:pt idx="1476">
                  <c:v>93.64633</c:v>
                </c:pt>
                <c:pt idx="1477">
                  <c:v>93.64464</c:v>
                </c:pt>
                <c:pt idx="1478">
                  <c:v>93.64291</c:v>
                </c:pt>
                <c:pt idx="1479">
                  <c:v>93.64119</c:v>
                </c:pt>
                <c:pt idx="1480">
                  <c:v>93.63937999999958</c:v>
                </c:pt>
                <c:pt idx="1481">
                  <c:v>93.63757</c:v>
                </c:pt>
                <c:pt idx="1482">
                  <c:v>93.63575999999995</c:v>
                </c:pt>
                <c:pt idx="1483">
                  <c:v>93.63391</c:v>
                </c:pt>
                <c:pt idx="1484">
                  <c:v>93.63209999999998</c:v>
                </c:pt>
                <c:pt idx="1485">
                  <c:v>93.63048999999998</c:v>
                </c:pt>
                <c:pt idx="1486">
                  <c:v>93.62888999999915</c:v>
                </c:pt>
                <c:pt idx="1487">
                  <c:v>93.62724</c:v>
                </c:pt>
                <c:pt idx="1488">
                  <c:v>93.62538999999907</c:v>
                </c:pt>
                <c:pt idx="1489">
                  <c:v>93.62374999999948</c:v>
                </c:pt>
                <c:pt idx="1490">
                  <c:v>93.62217999999935</c:v>
                </c:pt>
                <c:pt idx="1491">
                  <c:v>93.62049999999998</c:v>
                </c:pt>
                <c:pt idx="1492">
                  <c:v>93.61872999999998</c:v>
                </c:pt>
                <c:pt idx="1493">
                  <c:v>93.61687999999998</c:v>
                </c:pt>
                <c:pt idx="1494">
                  <c:v>93.61519</c:v>
                </c:pt>
                <c:pt idx="1495">
                  <c:v>93.61346</c:v>
                </c:pt>
                <c:pt idx="1496">
                  <c:v>93.61186</c:v>
                </c:pt>
                <c:pt idx="1497">
                  <c:v>93.61001</c:v>
                </c:pt>
                <c:pt idx="1498">
                  <c:v>93.60819999999998</c:v>
                </c:pt>
                <c:pt idx="1499">
                  <c:v>93.60638999999995</c:v>
                </c:pt>
                <c:pt idx="1500">
                  <c:v>93.6045</c:v>
                </c:pt>
                <c:pt idx="1501">
                  <c:v>93.60272999999998</c:v>
                </c:pt>
                <c:pt idx="1502">
                  <c:v>93.60087999999975</c:v>
                </c:pt>
                <c:pt idx="1503">
                  <c:v>93.59915</c:v>
                </c:pt>
                <c:pt idx="1504">
                  <c:v>93.59742</c:v>
                </c:pt>
                <c:pt idx="1505">
                  <c:v>93.59565</c:v>
                </c:pt>
                <c:pt idx="1506">
                  <c:v>93.59397000000001</c:v>
                </c:pt>
                <c:pt idx="1507">
                  <c:v>93.59232</c:v>
                </c:pt>
                <c:pt idx="1508">
                  <c:v>93.59063</c:v>
                </c:pt>
                <c:pt idx="1509">
                  <c:v>93.58886999999998</c:v>
                </c:pt>
                <c:pt idx="1510">
                  <c:v>93.58706</c:v>
                </c:pt>
                <c:pt idx="1511">
                  <c:v>93.58507999999995</c:v>
                </c:pt>
                <c:pt idx="1512">
                  <c:v>93.58334999999998</c:v>
                </c:pt>
                <c:pt idx="1513">
                  <c:v>93.58158</c:v>
                </c:pt>
                <c:pt idx="1514">
                  <c:v>93.58002</c:v>
                </c:pt>
                <c:pt idx="1515">
                  <c:v>93.57837999999907</c:v>
                </c:pt>
                <c:pt idx="1516">
                  <c:v>93.57661</c:v>
                </c:pt>
                <c:pt idx="1517">
                  <c:v>93.57476</c:v>
                </c:pt>
                <c:pt idx="1518">
                  <c:v>93.57277999999903</c:v>
                </c:pt>
                <c:pt idx="1519">
                  <c:v>93.57101</c:v>
                </c:pt>
                <c:pt idx="1520">
                  <c:v>93.56945</c:v>
                </c:pt>
                <c:pt idx="1521">
                  <c:v>93.56785</c:v>
                </c:pt>
                <c:pt idx="1522">
                  <c:v>93.5662</c:v>
                </c:pt>
                <c:pt idx="1523">
                  <c:v>93.56443</c:v>
                </c:pt>
                <c:pt idx="1524">
                  <c:v>93.5627</c:v>
                </c:pt>
                <c:pt idx="1525">
                  <c:v>93.56089</c:v>
                </c:pt>
                <c:pt idx="1526">
                  <c:v>93.55921</c:v>
                </c:pt>
                <c:pt idx="1527">
                  <c:v>93.55769</c:v>
                </c:pt>
                <c:pt idx="1528">
                  <c:v>93.55596</c:v>
                </c:pt>
                <c:pt idx="1529">
                  <c:v>93.55423</c:v>
                </c:pt>
                <c:pt idx="1530">
                  <c:v>93.55258999999998</c:v>
                </c:pt>
                <c:pt idx="1531">
                  <c:v>93.55082</c:v>
                </c:pt>
                <c:pt idx="1532">
                  <c:v>93.54897</c:v>
                </c:pt>
                <c:pt idx="1533">
                  <c:v>93.54716</c:v>
                </c:pt>
                <c:pt idx="1534">
                  <c:v>93.54551</c:v>
                </c:pt>
                <c:pt idx="1535">
                  <c:v>93.54378</c:v>
                </c:pt>
                <c:pt idx="1536">
                  <c:v>93.54197</c:v>
                </c:pt>
                <c:pt idx="1537">
                  <c:v>93.54016</c:v>
                </c:pt>
                <c:pt idx="1538">
                  <c:v>93.53834999999998</c:v>
                </c:pt>
                <c:pt idx="1539">
                  <c:v>93.53658</c:v>
                </c:pt>
                <c:pt idx="1540">
                  <c:v>93.53498</c:v>
                </c:pt>
                <c:pt idx="1541">
                  <c:v>93.53337999999998</c:v>
                </c:pt>
                <c:pt idx="1542">
                  <c:v>93.53161</c:v>
                </c:pt>
                <c:pt idx="1543">
                  <c:v>93.53004</c:v>
                </c:pt>
                <c:pt idx="1544">
                  <c:v>93.52814999999998</c:v>
                </c:pt>
                <c:pt idx="1545">
                  <c:v>93.52642</c:v>
                </c:pt>
                <c:pt idx="1546">
                  <c:v>93.5249</c:v>
                </c:pt>
                <c:pt idx="1547">
                  <c:v>93.52305</c:v>
                </c:pt>
                <c:pt idx="1548">
                  <c:v>93.52095</c:v>
                </c:pt>
                <c:pt idx="1549">
                  <c:v>93.5191</c:v>
                </c:pt>
                <c:pt idx="1550">
                  <c:v>93.51742</c:v>
                </c:pt>
                <c:pt idx="1551">
                  <c:v>93.51576999999997</c:v>
                </c:pt>
                <c:pt idx="1552">
                  <c:v>93.51429</c:v>
                </c:pt>
                <c:pt idx="1553">
                  <c:v>93.51281</c:v>
                </c:pt>
                <c:pt idx="1554">
                  <c:v>93.51121</c:v>
                </c:pt>
                <c:pt idx="1555">
                  <c:v>93.50944</c:v>
                </c:pt>
                <c:pt idx="1556">
                  <c:v>93.50759</c:v>
                </c:pt>
                <c:pt idx="1557">
                  <c:v>93.50565</c:v>
                </c:pt>
                <c:pt idx="1558">
                  <c:v>93.50372</c:v>
                </c:pt>
                <c:pt idx="1559">
                  <c:v>93.50187</c:v>
                </c:pt>
                <c:pt idx="1560">
                  <c:v>93.50002</c:v>
                </c:pt>
                <c:pt idx="1561">
                  <c:v>93.49825</c:v>
                </c:pt>
                <c:pt idx="1562">
                  <c:v>93.49664</c:v>
                </c:pt>
                <c:pt idx="1563">
                  <c:v>93.49488</c:v>
                </c:pt>
                <c:pt idx="1564">
                  <c:v>93.49323</c:v>
                </c:pt>
                <c:pt idx="1565">
                  <c:v>93.49142</c:v>
                </c:pt>
                <c:pt idx="1566">
                  <c:v>93.48973</c:v>
                </c:pt>
                <c:pt idx="1567">
                  <c:v>93.4878</c:v>
                </c:pt>
                <c:pt idx="1568">
                  <c:v>93.48591</c:v>
                </c:pt>
                <c:pt idx="1569">
                  <c:v>93.4843</c:v>
                </c:pt>
                <c:pt idx="1570">
                  <c:v>93.48258</c:v>
                </c:pt>
                <c:pt idx="1571">
                  <c:v>93.48064</c:v>
                </c:pt>
                <c:pt idx="1572">
                  <c:v>93.47886999999998</c:v>
                </c:pt>
                <c:pt idx="1573">
                  <c:v>93.47702</c:v>
                </c:pt>
                <c:pt idx="1574">
                  <c:v>93.47537999999948</c:v>
                </c:pt>
                <c:pt idx="1575">
                  <c:v>93.47365</c:v>
                </c:pt>
                <c:pt idx="1576">
                  <c:v>93.4718</c:v>
                </c:pt>
                <c:pt idx="1577">
                  <c:v>93.46999</c:v>
                </c:pt>
                <c:pt idx="1578">
                  <c:v>93.46830000000001</c:v>
                </c:pt>
                <c:pt idx="1579">
                  <c:v>93.46649</c:v>
                </c:pt>
                <c:pt idx="1580">
                  <c:v>93.46489</c:v>
                </c:pt>
                <c:pt idx="1581">
                  <c:v>93.46287</c:v>
                </c:pt>
                <c:pt idx="1582">
                  <c:v>93.46053</c:v>
                </c:pt>
                <c:pt idx="1583">
                  <c:v>93.45868</c:v>
                </c:pt>
                <c:pt idx="1584">
                  <c:v>93.45711</c:v>
                </c:pt>
                <c:pt idx="1585">
                  <c:v>93.45596</c:v>
                </c:pt>
                <c:pt idx="1586">
                  <c:v>93.45444</c:v>
                </c:pt>
                <c:pt idx="1587">
                  <c:v>93.45247</c:v>
                </c:pt>
                <c:pt idx="1588">
                  <c:v>93.45062</c:v>
                </c:pt>
                <c:pt idx="1589">
                  <c:v>93.44885</c:v>
                </c:pt>
                <c:pt idx="1590">
                  <c:v>93.44695</c:v>
                </c:pt>
                <c:pt idx="1591">
                  <c:v>93.44514</c:v>
                </c:pt>
                <c:pt idx="1592">
                  <c:v>93.44342</c:v>
                </c:pt>
                <c:pt idx="1593">
                  <c:v>93.44161</c:v>
                </c:pt>
                <c:pt idx="1594">
                  <c:v>93.44</c:v>
                </c:pt>
                <c:pt idx="1595">
                  <c:v>93.43819</c:v>
                </c:pt>
                <c:pt idx="1596">
                  <c:v>93.43626</c:v>
                </c:pt>
                <c:pt idx="1597">
                  <c:v>93.43445</c:v>
                </c:pt>
                <c:pt idx="1598">
                  <c:v>93.43256</c:v>
                </c:pt>
                <c:pt idx="1599">
                  <c:v>93.43083</c:v>
                </c:pt>
                <c:pt idx="1600">
                  <c:v>93.4291</c:v>
                </c:pt>
                <c:pt idx="1601">
                  <c:v>93.42746</c:v>
                </c:pt>
                <c:pt idx="1602">
                  <c:v>93.42569</c:v>
                </c:pt>
                <c:pt idx="1603">
                  <c:v>93.42384</c:v>
                </c:pt>
                <c:pt idx="1604">
                  <c:v>93.42219</c:v>
                </c:pt>
                <c:pt idx="1605">
                  <c:v>93.42078999999998</c:v>
                </c:pt>
                <c:pt idx="1606">
                  <c:v>93.41903</c:v>
                </c:pt>
                <c:pt idx="1607">
                  <c:v>93.41713</c:v>
                </c:pt>
                <c:pt idx="1608">
                  <c:v>93.41545</c:v>
                </c:pt>
                <c:pt idx="1609">
                  <c:v>93.4136</c:v>
                </c:pt>
                <c:pt idx="1610">
                  <c:v>93.41174</c:v>
                </c:pt>
                <c:pt idx="1611">
                  <c:v>93.40989</c:v>
                </c:pt>
                <c:pt idx="1612">
                  <c:v>93.40804</c:v>
                </c:pt>
                <c:pt idx="1613">
                  <c:v>93.4064</c:v>
                </c:pt>
                <c:pt idx="1614">
                  <c:v>93.40459</c:v>
                </c:pt>
                <c:pt idx="1615">
                  <c:v>93.40273999999998</c:v>
                </c:pt>
                <c:pt idx="1616">
                  <c:v>93.40109</c:v>
                </c:pt>
                <c:pt idx="1617">
                  <c:v>93.39928</c:v>
                </c:pt>
                <c:pt idx="1618">
                  <c:v>93.39747000000001</c:v>
                </c:pt>
                <c:pt idx="1619">
                  <c:v>93.39582999999997</c:v>
                </c:pt>
                <c:pt idx="1620">
                  <c:v>93.39447000000001</c:v>
                </c:pt>
                <c:pt idx="1621">
                  <c:v>93.39266</c:v>
                </c:pt>
                <c:pt idx="1622">
                  <c:v>93.39093</c:v>
                </c:pt>
                <c:pt idx="1623">
                  <c:v>93.3892</c:v>
                </c:pt>
                <c:pt idx="1624">
                  <c:v>93.38743</c:v>
                </c:pt>
                <c:pt idx="1625">
                  <c:v>93.38557999999995</c:v>
                </c:pt>
                <c:pt idx="1626">
                  <c:v>93.38376999999998</c:v>
                </c:pt>
                <c:pt idx="1627">
                  <c:v>93.38192</c:v>
                </c:pt>
                <c:pt idx="1628">
                  <c:v>93.38032</c:v>
                </c:pt>
                <c:pt idx="1629">
                  <c:v>93.37842999999998</c:v>
                </c:pt>
                <c:pt idx="1630">
                  <c:v>93.37673999999915</c:v>
                </c:pt>
                <c:pt idx="1631">
                  <c:v>93.37493</c:v>
                </c:pt>
                <c:pt idx="1632">
                  <c:v>93.37319999999998</c:v>
                </c:pt>
                <c:pt idx="1633">
                  <c:v>93.37142999999997</c:v>
                </c:pt>
                <c:pt idx="1634">
                  <c:v>93.36971</c:v>
                </c:pt>
                <c:pt idx="1635">
                  <c:v>93.3681</c:v>
                </c:pt>
                <c:pt idx="1636">
                  <c:v>93.36646</c:v>
                </c:pt>
                <c:pt idx="1637">
                  <c:v>93.36481</c:v>
                </c:pt>
                <c:pt idx="1638">
                  <c:v>93.36304</c:v>
                </c:pt>
                <c:pt idx="1639">
                  <c:v>93.36123</c:v>
                </c:pt>
                <c:pt idx="1640">
                  <c:v>93.3593</c:v>
                </c:pt>
                <c:pt idx="1641">
                  <c:v>93.35749</c:v>
                </c:pt>
                <c:pt idx="1642">
                  <c:v>93.35588999999958</c:v>
                </c:pt>
                <c:pt idx="1643">
                  <c:v>93.35428</c:v>
                </c:pt>
                <c:pt idx="1644">
                  <c:v>93.35250999999998</c:v>
                </c:pt>
                <c:pt idx="1645">
                  <c:v>93.35069999999997</c:v>
                </c:pt>
                <c:pt idx="1646">
                  <c:v>93.34888999999998</c:v>
                </c:pt>
                <c:pt idx="1647">
                  <c:v>93.34708</c:v>
                </c:pt>
                <c:pt idx="1648">
                  <c:v>93.34552</c:v>
                </c:pt>
                <c:pt idx="1649">
                  <c:v>93.34379</c:v>
                </c:pt>
                <c:pt idx="1650">
                  <c:v>93.34211</c:v>
                </c:pt>
                <c:pt idx="1651">
                  <c:v>93.34037999999998</c:v>
                </c:pt>
                <c:pt idx="1652">
                  <c:v>93.33848999999998</c:v>
                </c:pt>
                <c:pt idx="1653">
                  <c:v>93.33651</c:v>
                </c:pt>
                <c:pt idx="1654">
                  <c:v>93.33487</c:v>
                </c:pt>
                <c:pt idx="1655">
                  <c:v>93.33333999999998</c:v>
                </c:pt>
                <c:pt idx="1656">
                  <c:v>93.33158</c:v>
                </c:pt>
                <c:pt idx="1657">
                  <c:v>93.32996999999997</c:v>
                </c:pt>
                <c:pt idx="1658">
                  <c:v>93.32827999999998</c:v>
                </c:pt>
                <c:pt idx="1659">
                  <c:v>93.32656</c:v>
                </c:pt>
                <c:pt idx="1660">
                  <c:v>93.32470999999998</c:v>
                </c:pt>
                <c:pt idx="1661">
                  <c:v>93.32317999999998</c:v>
                </c:pt>
                <c:pt idx="1662">
                  <c:v>93.32173999999995</c:v>
                </c:pt>
                <c:pt idx="1663">
                  <c:v>93.32009999999998</c:v>
                </c:pt>
                <c:pt idx="1664">
                  <c:v>93.31812</c:v>
                </c:pt>
                <c:pt idx="1665">
                  <c:v>93.3164</c:v>
                </c:pt>
                <c:pt idx="1666">
                  <c:v>93.31471</c:v>
                </c:pt>
                <c:pt idx="1667">
                  <c:v>93.31302</c:v>
                </c:pt>
                <c:pt idx="1668">
                  <c:v>93.31134</c:v>
                </c:pt>
                <c:pt idx="1669">
                  <c:v>93.30969</c:v>
                </c:pt>
                <c:pt idx="1670">
                  <c:v>93.30796</c:v>
                </c:pt>
                <c:pt idx="1671">
                  <c:v>93.30636</c:v>
                </c:pt>
                <c:pt idx="1672">
                  <c:v>93.3048</c:v>
                </c:pt>
                <c:pt idx="1673">
                  <c:v>93.30311</c:v>
                </c:pt>
                <c:pt idx="1674">
                  <c:v>93.30142</c:v>
                </c:pt>
                <c:pt idx="1675">
                  <c:v>93.29986</c:v>
                </c:pt>
                <c:pt idx="1676">
                  <c:v>93.29785</c:v>
                </c:pt>
                <c:pt idx="1677">
                  <c:v>93.29616</c:v>
                </c:pt>
                <c:pt idx="1678">
                  <c:v>93.29439</c:v>
                </c:pt>
                <c:pt idx="1679">
                  <c:v>93.29275</c:v>
                </c:pt>
                <c:pt idx="1680">
                  <c:v>93.29098</c:v>
                </c:pt>
                <c:pt idx="1681">
                  <c:v>93.28921</c:v>
                </c:pt>
                <c:pt idx="1682">
                  <c:v>93.28744</c:v>
                </c:pt>
                <c:pt idx="1683">
                  <c:v>93.28578999999995</c:v>
                </c:pt>
                <c:pt idx="1684">
                  <c:v>93.28394</c:v>
                </c:pt>
                <c:pt idx="1685">
                  <c:v>93.2823</c:v>
                </c:pt>
                <c:pt idx="1686">
                  <c:v>93.28065</c:v>
                </c:pt>
                <c:pt idx="1687">
                  <c:v>93.27901</c:v>
                </c:pt>
                <c:pt idx="1688">
                  <c:v>93.2772</c:v>
                </c:pt>
                <c:pt idx="1689">
                  <c:v>93.27546999999998</c:v>
                </c:pt>
                <c:pt idx="1690">
                  <c:v>93.27403</c:v>
                </c:pt>
                <c:pt idx="1691">
                  <c:v>93.27246999999998</c:v>
                </c:pt>
                <c:pt idx="1692">
                  <c:v>93.27086</c:v>
                </c:pt>
                <c:pt idx="1693">
                  <c:v>93.26905</c:v>
                </c:pt>
                <c:pt idx="1694">
                  <c:v>93.26728</c:v>
                </c:pt>
                <c:pt idx="1695">
                  <c:v>93.26568</c:v>
                </c:pt>
                <c:pt idx="1696">
                  <c:v>93.26379</c:v>
                </c:pt>
                <c:pt idx="1697">
                  <c:v>93.2621</c:v>
                </c:pt>
                <c:pt idx="1698">
                  <c:v>93.26058</c:v>
                </c:pt>
                <c:pt idx="1699">
                  <c:v>93.25906</c:v>
                </c:pt>
                <c:pt idx="1700">
                  <c:v>93.25729</c:v>
                </c:pt>
                <c:pt idx="1701">
                  <c:v>93.25568</c:v>
                </c:pt>
                <c:pt idx="1702">
                  <c:v>93.25404</c:v>
                </c:pt>
                <c:pt idx="1703">
                  <c:v>93.25234999999998</c:v>
                </c:pt>
                <c:pt idx="1704">
                  <c:v>93.25058</c:v>
                </c:pt>
                <c:pt idx="1705">
                  <c:v>93.24873</c:v>
                </c:pt>
                <c:pt idx="1706">
                  <c:v>93.24717</c:v>
                </c:pt>
                <c:pt idx="1707">
                  <c:v>93.24552</c:v>
                </c:pt>
                <c:pt idx="1708">
                  <c:v>93.24371</c:v>
                </c:pt>
                <c:pt idx="1709">
                  <c:v>93.24215</c:v>
                </c:pt>
                <c:pt idx="1710">
                  <c:v>93.24071</c:v>
                </c:pt>
                <c:pt idx="1711">
                  <c:v>93.23927</c:v>
                </c:pt>
                <c:pt idx="1712">
                  <c:v>93.23812</c:v>
                </c:pt>
                <c:pt idx="1713">
                  <c:v>93.23635</c:v>
                </c:pt>
                <c:pt idx="1714">
                  <c:v>93.23417</c:v>
                </c:pt>
                <c:pt idx="1715">
                  <c:v>93.23228</c:v>
                </c:pt>
                <c:pt idx="1716">
                  <c:v>93.23035</c:v>
                </c:pt>
                <c:pt idx="1717">
                  <c:v>93.22853999999998</c:v>
                </c:pt>
                <c:pt idx="1718">
                  <c:v>93.22672999999997</c:v>
                </c:pt>
                <c:pt idx="1719">
                  <c:v>93.2252</c:v>
                </c:pt>
                <c:pt idx="1720">
                  <c:v>93.22368</c:v>
                </c:pt>
                <c:pt idx="1721">
                  <c:v>93.2222</c:v>
                </c:pt>
                <c:pt idx="1722">
                  <c:v>93.22068</c:v>
                </c:pt>
                <c:pt idx="1723">
                  <c:v>93.21903</c:v>
                </c:pt>
                <c:pt idx="1724">
                  <c:v>93.21718</c:v>
                </c:pt>
                <c:pt idx="1725">
                  <c:v>93.21525</c:v>
                </c:pt>
                <c:pt idx="1726">
                  <c:v>93.21348</c:v>
                </c:pt>
                <c:pt idx="1727">
                  <c:v>93.21163</c:v>
                </c:pt>
                <c:pt idx="1728">
                  <c:v>93.2099</c:v>
                </c:pt>
                <c:pt idx="1729">
                  <c:v>93.20826</c:v>
                </c:pt>
                <c:pt idx="1730">
                  <c:v>93.20669</c:v>
                </c:pt>
                <c:pt idx="1731">
                  <c:v>93.20488</c:v>
                </c:pt>
                <c:pt idx="1732">
                  <c:v>93.20316</c:v>
                </c:pt>
                <c:pt idx="1733">
                  <c:v>93.20159</c:v>
                </c:pt>
                <c:pt idx="1734">
                  <c:v>93.19999</c:v>
                </c:pt>
                <c:pt idx="1735">
                  <c:v>93.19822</c:v>
                </c:pt>
                <c:pt idx="1736">
                  <c:v>93.19648999999998</c:v>
                </c:pt>
                <c:pt idx="1737">
                  <c:v>93.19456</c:v>
                </c:pt>
                <c:pt idx="1738">
                  <c:v>93.19267</c:v>
                </c:pt>
                <c:pt idx="1739">
                  <c:v>93.1909</c:v>
                </c:pt>
                <c:pt idx="1740">
                  <c:v>93.18917</c:v>
                </c:pt>
                <c:pt idx="1741">
                  <c:v>93.18765</c:v>
                </c:pt>
                <c:pt idx="1742">
                  <c:v>93.18591999999998</c:v>
                </c:pt>
                <c:pt idx="1743">
                  <c:v>93.18428</c:v>
                </c:pt>
                <c:pt idx="1744">
                  <c:v>93.18258999999995</c:v>
                </c:pt>
                <c:pt idx="1745">
                  <c:v>93.18056999999997</c:v>
                </c:pt>
                <c:pt idx="1746">
                  <c:v>93.1787599999991</c:v>
                </c:pt>
                <c:pt idx="1747">
                  <c:v>93.17703999999995</c:v>
                </c:pt>
                <c:pt idx="1748">
                  <c:v>93.17534999999903</c:v>
                </c:pt>
                <c:pt idx="1749">
                  <c:v>93.17370999999935</c:v>
                </c:pt>
                <c:pt idx="1750">
                  <c:v>93.17213999999925</c:v>
                </c:pt>
                <c:pt idx="1751">
                  <c:v>93.17066</c:v>
                </c:pt>
                <c:pt idx="1752">
                  <c:v>93.16892999999997</c:v>
                </c:pt>
                <c:pt idx="1753">
                  <c:v>93.16717000000001</c:v>
                </c:pt>
                <c:pt idx="1754">
                  <c:v>93.16556</c:v>
                </c:pt>
                <c:pt idx="1755">
                  <c:v>93.16392</c:v>
                </c:pt>
                <c:pt idx="1756">
                  <c:v>93.16230999999995</c:v>
                </c:pt>
                <c:pt idx="1757">
                  <c:v>93.16070999999998</c:v>
                </c:pt>
                <c:pt idx="1758">
                  <c:v>93.15927</c:v>
                </c:pt>
                <c:pt idx="1759">
                  <c:v>93.15757999999998</c:v>
                </c:pt>
                <c:pt idx="1760">
                  <c:v>93.15588999999925</c:v>
                </c:pt>
                <c:pt idx="1761">
                  <c:v>93.15413</c:v>
                </c:pt>
                <c:pt idx="1762">
                  <c:v>93.15243999999915</c:v>
                </c:pt>
                <c:pt idx="1763">
                  <c:v>93.15078999999938</c:v>
                </c:pt>
                <c:pt idx="1764">
                  <c:v>93.14915</c:v>
                </c:pt>
                <c:pt idx="1765">
                  <c:v>93.14763</c:v>
                </c:pt>
                <c:pt idx="1766">
                  <c:v>93.14569</c:v>
                </c:pt>
                <c:pt idx="1767">
                  <c:v>93.14368</c:v>
                </c:pt>
                <c:pt idx="1768">
                  <c:v>93.14191</c:v>
                </c:pt>
                <c:pt idx="1769">
                  <c:v>93.14035</c:v>
                </c:pt>
                <c:pt idx="1770">
                  <c:v>93.13886999999998</c:v>
                </c:pt>
                <c:pt idx="1771">
                  <c:v>93.1373</c:v>
                </c:pt>
                <c:pt idx="1772">
                  <c:v>93.13562</c:v>
                </c:pt>
                <c:pt idx="1773">
                  <c:v>93.13371999999998</c:v>
                </c:pt>
                <c:pt idx="1774">
                  <c:v>93.13183</c:v>
                </c:pt>
                <c:pt idx="1775">
                  <c:v>93.13002</c:v>
                </c:pt>
                <c:pt idx="1776">
                  <c:v>93.12837999999888</c:v>
                </c:pt>
                <c:pt idx="1777">
                  <c:v>93.12689999999998</c:v>
                </c:pt>
                <c:pt idx="1778">
                  <c:v>93.12536999999975</c:v>
                </c:pt>
                <c:pt idx="1779">
                  <c:v>93.12365</c:v>
                </c:pt>
                <c:pt idx="1780">
                  <c:v>93.12199999999998</c:v>
                </c:pt>
                <c:pt idx="1781">
                  <c:v>93.12039999999975</c:v>
                </c:pt>
                <c:pt idx="1782">
                  <c:v>93.11822</c:v>
                </c:pt>
                <c:pt idx="1783">
                  <c:v>93.11616</c:v>
                </c:pt>
                <c:pt idx="1784">
                  <c:v>93.11447</c:v>
                </c:pt>
                <c:pt idx="1785">
                  <c:v>93.11298999999998</c:v>
                </c:pt>
                <c:pt idx="1786">
                  <c:v>93.11155</c:v>
                </c:pt>
                <c:pt idx="1787">
                  <c:v>93.10995</c:v>
                </c:pt>
                <c:pt idx="1788">
                  <c:v>93.10842999999998</c:v>
                </c:pt>
                <c:pt idx="1789">
                  <c:v>93.10689999999998</c:v>
                </c:pt>
                <c:pt idx="1790">
                  <c:v>93.10550999999998</c:v>
                </c:pt>
                <c:pt idx="1791">
                  <c:v>93.10397999999998</c:v>
                </c:pt>
                <c:pt idx="1792">
                  <c:v>93.10216999999998</c:v>
                </c:pt>
                <c:pt idx="1793">
                  <c:v>93.10031999999998</c:v>
                </c:pt>
                <c:pt idx="1794">
                  <c:v>93.0986</c:v>
                </c:pt>
                <c:pt idx="1795">
                  <c:v>93.09691</c:v>
                </c:pt>
                <c:pt idx="1796">
                  <c:v>93.09514</c:v>
                </c:pt>
                <c:pt idx="1797">
                  <c:v>93.09325</c:v>
                </c:pt>
                <c:pt idx="1798">
                  <c:v>93.09156</c:v>
                </c:pt>
                <c:pt idx="1799">
                  <c:v>93.08987999999998</c:v>
                </c:pt>
                <c:pt idx="1800">
                  <c:v>93.08794</c:v>
                </c:pt>
                <c:pt idx="1801">
                  <c:v>93.08626</c:v>
                </c:pt>
                <c:pt idx="1802">
                  <c:v>93.08445</c:v>
                </c:pt>
                <c:pt idx="1803">
                  <c:v>93.08279999999998</c:v>
                </c:pt>
                <c:pt idx="1804">
                  <c:v>93.08107</c:v>
                </c:pt>
                <c:pt idx="1805">
                  <c:v>93.07938999999975</c:v>
                </c:pt>
                <c:pt idx="1806">
                  <c:v>93.07795</c:v>
                </c:pt>
                <c:pt idx="1807">
                  <c:v>93.07626</c:v>
                </c:pt>
                <c:pt idx="1808">
                  <c:v>93.07448999999998</c:v>
                </c:pt>
                <c:pt idx="1809">
                  <c:v>93.07267999999995</c:v>
                </c:pt>
                <c:pt idx="1810">
                  <c:v>93.07091</c:v>
                </c:pt>
                <c:pt idx="1811">
                  <c:v>93.06943</c:v>
                </c:pt>
                <c:pt idx="1812">
                  <c:v>93.06783</c:v>
                </c:pt>
                <c:pt idx="1813">
                  <c:v>93.06631</c:v>
                </c:pt>
                <c:pt idx="1814">
                  <c:v>93.0647</c:v>
                </c:pt>
                <c:pt idx="1815">
                  <c:v>93.06293</c:v>
                </c:pt>
                <c:pt idx="1816">
                  <c:v>93.06108</c:v>
                </c:pt>
                <c:pt idx="1817">
                  <c:v>93.05927000000001</c:v>
                </c:pt>
                <c:pt idx="1818">
                  <c:v>93.05754</c:v>
                </c:pt>
                <c:pt idx="1819">
                  <c:v>93.05597999999995</c:v>
                </c:pt>
                <c:pt idx="1820">
                  <c:v>93.05430000000001</c:v>
                </c:pt>
                <c:pt idx="1821">
                  <c:v>93.05276999999998</c:v>
                </c:pt>
                <c:pt idx="1822">
                  <c:v>93.05117000000001</c:v>
                </c:pt>
                <c:pt idx="1823">
                  <c:v>93.04956</c:v>
                </c:pt>
                <c:pt idx="1824">
                  <c:v>93.04788</c:v>
                </c:pt>
                <c:pt idx="1825">
                  <c:v>93.04615</c:v>
                </c:pt>
                <c:pt idx="1826">
                  <c:v>93.04455</c:v>
                </c:pt>
                <c:pt idx="1827">
                  <c:v>93.0429</c:v>
                </c:pt>
                <c:pt idx="1828">
                  <c:v>93.04126</c:v>
                </c:pt>
                <c:pt idx="1829">
                  <c:v>93.03953000000001</c:v>
                </c:pt>
                <c:pt idx="1830">
                  <c:v>93.03776</c:v>
                </c:pt>
                <c:pt idx="1831">
                  <c:v>93.03595</c:v>
                </c:pt>
                <c:pt idx="1832">
                  <c:v>93.03393000000001</c:v>
                </c:pt>
                <c:pt idx="1833">
                  <c:v>93.03244999999998</c:v>
                </c:pt>
                <c:pt idx="1834">
                  <c:v>93.03081</c:v>
                </c:pt>
                <c:pt idx="1835">
                  <c:v>93.02912</c:v>
                </c:pt>
                <c:pt idx="1836">
                  <c:v>93.02723</c:v>
                </c:pt>
                <c:pt idx="1837">
                  <c:v>93.02563</c:v>
                </c:pt>
                <c:pt idx="1838">
                  <c:v>93.02382</c:v>
                </c:pt>
                <c:pt idx="1839">
                  <c:v>93.02212999999997</c:v>
                </c:pt>
                <c:pt idx="1840">
                  <c:v>93.02065</c:v>
                </c:pt>
                <c:pt idx="1841">
                  <c:v>93.01896</c:v>
                </c:pt>
                <c:pt idx="1842">
                  <c:v>93.01723000000002</c:v>
                </c:pt>
                <c:pt idx="1843">
                  <c:v>93.01555</c:v>
                </c:pt>
                <c:pt idx="1844">
                  <c:v>93.01374</c:v>
                </c:pt>
                <c:pt idx="1845">
                  <c:v>93.01197</c:v>
                </c:pt>
                <c:pt idx="1846">
                  <c:v>93.01024</c:v>
                </c:pt>
                <c:pt idx="1847">
                  <c:v>93.00851</c:v>
                </c:pt>
                <c:pt idx="1848">
                  <c:v>93.00666</c:v>
                </c:pt>
                <c:pt idx="1849">
                  <c:v>93.00489</c:v>
                </c:pt>
                <c:pt idx="1850">
                  <c:v>93.00307999999998</c:v>
                </c:pt>
                <c:pt idx="1851">
                  <c:v>93.00148</c:v>
                </c:pt>
                <c:pt idx="1852">
                  <c:v>92.99971</c:v>
                </c:pt>
                <c:pt idx="1853">
                  <c:v>92.99794</c:v>
                </c:pt>
                <c:pt idx="1854">
                  <c:v>92.99638</c:v>
                </c:pt>
                <c:pt idx="1855">
                  <c:v>92.99482</c:v>
                </c:pt>
                <c:pt idx="1856">
                  <c:v>92.99301</c:v>
                </c:pt>
                <c:pt idx="1857">
                  <c:v>92.99132</c:v>
                </c:pt>
                <c:pt idx="1858">
                  <c:v>92.98955</c:v>
                </c:pt>
                <c:pt idx="1859">
                  <c:v>92.98786</c:v>
                </c:pt>
                <c:pt idx="1860">
                  <c:v>92.9863</c:v>
                </c:pt>
                <c:pt idx="1861">
                  <c:v>92.98449</c:v>
                </c:pt>
                <c:pt idx="1862">
                  <c:v>92.98285</c:v>
                </c:pt>
                <c:pt idx="1863">
                  <c:v>92.98108</c:v>
                </c:pt>
                <c:pt idx="1864">
                  <c:v>92.97919</c:v>
                </c:pt>
                <c:pt idx="1865">
                  <c:v>92.97746</c:v>
                </c:pt>
                <c:pt idx="1866">
                  <c:v>92.97593999999998</c:v>
                </c:pt>
                <c:pt idx="1867">
                  <c:v>92.97425</c:v>
                </c:pt>
                <c:pt idx="1868">
                  <c:v>92.97256</c:v>
                </c:pt>
                <c:pt idx="1869">
                  <c:v>92.97083999999998</c:v>
                </c:pt>
                <c:pt idx="1870">
                  <c:v>92.96919</c:v>
                </c:pt>
                <c:pt idx="1871">
                  <c:v>92.96738</c:v>
                </c:pt>
                <c:pt idx="1872">
                  <c:v>92.96561</c:v>
                </c:pt>
                <c:pt idx="1873">
                  <c:v>92.96401</c:v>
                </c:pt>
                <c:pt idx="1874">
                  <c:v>92.96232</c:v>
                </c:pt>
                <c:pt idx="1875">
                  <c:v>92.96068</c:v>
                </c:pt>
                <c:pt idx="1876">
                  <c:v>92.95895</c:v>
                </c:pt>
                <c:pt idx="1877">
                  <c:v>92.95718</c:v>
                </c:pt>
                <c:pt idx="1878">
                  <c:v>92.95549</c:v>
                </c:pt>
                <c:pt idx="1879">
                  <c:v>92.95368</c:v>
                </c:pt>
                <c:pt idx="1880">
                  <c:v>92.95179</c:v>
                </c:pt>
                <c:pt idx="1881">
                  <c:v>92.95002</c:v>
                </c:pt>
                <c:pt idx="1882">
                  <c:v>92.94829</c:v>
                </c:pt>
                <c:pt idx="1883">
                  <c:v>92.94657</c:v>
                </c:pt>
                <c:pt idx="1884">
                  <c:v>92.945</c:v>
                </c:pt>
                <c:pt idx="1885">
                  <c:v>92.94336</c:v>
                </c:pt>
                <c:pt idx="1886">
                  <c:v>92.94163</c:v>
                </c:pt>
                <c:pt idx="1887">
                  <c:v>92.94003</c:v>
                </c:pt>
                <c:pt idx="1888">
                  <c:v>92.93837999999998</c:v>
                </c:pt>
                <c:pt idx="1889">
                  <c:v>92.93678</c:v>
                </c:pt>
                <c:pt idx="1890">
                  <c:v>92.93517000000001</c:v>
                </c:pt>
                <c:pt idx="1891">
                  <c:v>92.93349</c:v>
                </c:pt>
                <c:pt idx="1892">
                  <c:v>92.93172</c:v>
                </c:pt>
                <c:pt idx="1893">
                  <c:v>92.92999</c:v>
                </c:pt>
                <c:pt idx="1894">
                  <c:v>92.9283</c:v>
                </c:pt>
                <c:pt idx="1895">
                  <c:v>92.92641</c:v>
                </c:pt>
                <c:pt idx="1896">
                  <c:v>92.9246</c:v>
                </c:pt>
                <c:pt idx="1897">
                  <c:v>92.923</c:v>
                </c:pt>
                <c:pt idx="1898">
                  <c:v>92.92127</c:v>
                </c:pt>
                <c:pt idx="1899">
                  <c:v>92.91967</c:v>
                </c:pt>
                <c:pt idx="1900">
                  <c:v>92.9179</c:v>
                </c:pt>
                <c:pt idx="1901">
                  <c:v>92.91625</c:v>
                </c:pt>
                <c:pt idx="1902">
                  <c:v>92.9144</c:v>
                </c:pt>
                <c:pt idx="1903">
                  <c:v>92.91251</c:v>
                </c:pt>
                <c:pt idx="1904">
                  <c:v>92.91074</c:v>
                </c:pt>
                <c:pt idx="1905">
                  <c:v>92.90909</c:v>
                </c:pt>
                <c:pt idx="1906">
                  <c:v>92.90745</c:v>
                </c:pt>
                <c:pt idx="1907">
                  <c:v>92.90576</c:v>
                </c:pt>
                <c:pt idx="1908">
                  <c:v>92.90399</c:v>
                </c:pt>
                <c:pt idx="1909">
                  <c:v>92.90238999999998</c:v>
                </c:pt>
                <c:pt idx="1910">
                  <c:v>92.90054</c:v>
                </c:pt>
                <c:pt idx="1911">
                  <c:v>92.89876999999998</c:v>
                </c:pt>
                <c:pt idx="1912">
                  <c:v>92.89708</c:v>
                </c:pt>
                <c:pt idx="1913">
                  <c:v>92.89539999999998</c:v>
                </c:pt>
                <c:pt idx="1914">
                  <c:v>92.89367</c:v>
                </c:pt>
                <c:pt idx="1915">
                  <c:v>92.89194</c:v>
                </c:pt>
                <c:pt idx="1916">
                  <c:v>92.89001</c:v>
                </c:pt>
                <c:pt idx="1917">
                  <c:v>92.88816</c:v>
                </c:pt>
                <c:pt idx="1918">
                  <c:v>92.88659</c:v>
                </c:pt>
                <c:pt idx="1919">
                  <c:v>92.88495</c:v>
                </c:pt>
                <c:pt idx="1920">
                  <c:v>92.88346999999997</c:v>
                </c:pt>
                <c:pt idx="1921">
                  <c:v>92.88182</c:v>
                </c:pt>
                <c:pt idx="1922">
                  <c:v>92.88001</c:v>
                </c:pt>
                <c:pt idx="1923">
                  <c:v>92.87828999999998</c:v>
                </c:pt>
                <c:pt idx="1924">
                  <c:v>92.87642999999998</c:v>
                </c:pt>
                <c:pt idx="1925">
                  <c:v>92.87462</c:v>
                </c:pt>
                <c:pt idx="1926">
                  <c:v>92.87297999999915</c:v>
                </c:pt>
                <c:pt idx="1927">
                  <c:v>92.87125</c:v>
                </c:pt>
                <c:pt idx="1928">
                  <c:v>92.86957</c:v>
                </c:pt>
                <c:pt idx="1929">
                  <c:v>92.86796</c:v>
                </c:pt>
                <c:pt idx="1930">
                  <c:v>92.86636</c:v>
                </c:pt>
                <c:pt idx="1931">
                  <c:v>92.86483000000001</c:v>
                </c:pt>
                <c:pt idx="1932">
                  <c:v>92.86293999999998</c:v>
                </c:pt>
                <c:pt idx="1933">
                  <c:v>92.86117</c:v>
                </c:pt>
                <c:pt idx="1934">
                  <c:v>92.85940999999998</c:v>
                </c:pt>
                <c:pt idx="1935">
                  <c:v>92.85772</c:v>
                </c:pt>
                <c:pt idx="1936">
                  <c:v>92.85598999999995</c:v>
                </c:pt>
                <c:pt idx="1937">
                  <c:v>92.85434999999998</c:v>
                </c:pt>
                <c:pt idx="1938">
                  <c:v>92.85257999999965</c:v>
                </c:pt>
                <c:pt idx="1939">
                  <c:v>92.85084999999998</c:v>
                </c:pt>
                <c:pt idx="1940">
                  <c:v>92.84912</c:v>
                </c:pt>
                <c:pt idx="1941">
                  <c:v>92.84735</c:v>
                </c:pt>
                <c:pt idx="1942">
                  <c:v>92.84567000000001</c:v>
                </c:pt>
                <c:pt idx="1943">
                  <c:v>92.8439</c:v>
                </c:pt>
                <c:pt idx="1944">
                  <c:v>92.84209</c:v>
                </c:pt>
                <c:pt idx="1945">
                  <c:v>92.84069</c:v>
                </c:pt>
                <c:pt idx="1946">
                  <c:v>92.83879999999998</c:v>
                </c:pt>
                <c:pt idx="1947">
                  <c:v>92.83695</c:v>
                </c:pt>
                <c:pt idx="1948">
                  <c:v>92.83526</c:v>
                </c:pt>
                <c:pt idx="1949">
                  <c:v>92.83345</c:v>
                </c:pt>
                <c:pt idx="1950">
                  <c:v>92.83176</c:v>
                </c:pt>
                <c:pt idx="1951">
                  <c:v>92.83024</c:v>
                </c:pt>
                <c:pt idx="1952">
                  <c:v>92.82859999999998</c:v>
                </c:pt>
                <c:pt idx="1953">
                  <c:v>92.82691</c:v>
                </c:pt>
                <c:pt idx="1954">
                  <c:v>92.82526</c:v>
                </c:pt>
                <c:pt idx="1955">
                  <c:v>92.82382</c:v>
                </c:pt>
                <c:pt idx="1956">
                  <c:v>92.82229999999998</c:v>
                </c:pt>
                <c:pt idx="1957">
                  <c:v>92.82044999999998</c:v>
                </c:pt>
                <c:pt idx="1958">
                  <c:v>92.81856</c:v>
                </c:pt>
                <c:pt idx="1959">
                  <c:v>92.81691</c:v>
                </c:pt>
                <c:pt idx="1960">
                  <c:v>92.81519</c:v>
                </c:pt>
                <c:pt idx="1961">
                  <c:v>92.81325</c:v>
                </c:pt>
                <c:pt idx="1962">
                  <c:v>92.81132</c:v>
                </c:pt>
                <c:pt idx="1963">
                  <c:v>92.80972</c:v>
                </c:pt>
                <c:pt idx="1964">
                  <c:v>92.80806999999998</c:v>
                </c:pt>
                <c:pt idx="1965">
                  <c:v>92.80637999999985</c:v>
                </c:pt>
                <c:pt idx="1966">
                  <c:v>92.8047</c:v>
                </c:pt>
                <c:pt idx="1967">
                  <c:v>92.80280999999998</c:v>
                </c:pt>
                <c:pt idx="1968">
                  <c:v>92.80112</c:v>
                </c:pt>
                <c:pt idx="1969">
                  <c:v>92.79964</c:v>
                </c:pt>
                <c:pt idx="1970">
                  <c:v>92.79783</c:v>
                </c:pt>
                <c:pt idx="1971">
                  <c:v>92.79602</c:v>
                </c:pt>
                <c:pt idx="1972">
                  <c:v>92.79421</c:v>
                </c:pt>
                <c:pt idx="1973">
                  <c:v>92.7924</c:v>
                </c:pt>
                <c:pt idx="1974">
                  <c:v>92.79063</c:v>
                </c:pt>
                <c:pt idx="1975">
                  <c:v>92.78886</c:v>
                </c:pt>
                <c:pt idx="1976">
                  <c:v>92.78705</c:v>
                </c:pt>
                <c:pt idx="1977">
                  <c:v>92.78532</c:v>
                </c:pt>
                <c:pt idx="1978">
                  <c:v>92.78368</c:v>
                </c:pt>
                <c:pt idx="1979">
                  <c:v>92.78195</c:v>
                </c:pt>
                <c:pt idx="1980">
                  <c:v>92.7801</c:v>
                </c:pt>
                <c:pt idx="1981">
                  <c:v>92.77832999999998</c:v>
                </c:pt>
                <c:pt idx="1982">
                  <c:v>92.7766</c:v>
                </c:pt>
                <c:pt idx="1983">
                  <c:v>92.77483</c:v>
                </c:pt>
                <c:pt idx="1984">
                  <c:v>92.77315</c:v>
                </c:pt>
                <c:pt idx="1985">
                  <c:v>92.7713</c:v>
                </c:pt>
                <c:pt idx="1986">
                  <c:v>92.76932</c:v>
                </c:pt>
                <c:pt idx="1987">
                  <c:v>92.76751</c:v>
                </c:pt>
                <c:pt idx="1988">
                  <c:v>92.76566</c:v>
                </c:pt>
                <c:pt idx="1989">
                  <c:v>92.76381</c:v>
                </c:pt>
                <c:pt idx="1990">
                  <c:v>92.76207999999998</c:v>
                </c:pt>
                <c:pt idx="1991">
                  <c:v>92.76036</c:v>
                </c:pt>
                <c:pt idx="1992">
                  <c:v>92.75855</c:v>
                </c:pt>
                <c:pt idx="1993">
                  <c:v>92.75694</c:v>
                </c:pt>
                <c:pt idx="1994">
                  <c:v>92.75533999999985</c:v>
                </c:pt>
                <c:pt idx="1995">
                  <c:v>92.75357</c:v>
                </c:pt>
                <c:pt idx="1996">
                  <c:v>92.75188</c:v>
                </c:pt>
                <c:pt idx="1997">
                  <c:v>92.7502</c:v>
                </c:pt>
                <c:pt idx="1998">
                  <c:v>92.74834</c:v>
                </c:pt>
                <c:pt idx="1999">
                  <c:v>92.74654</c:v>
                </c:pt>
                <c:pt idx="2000">
                  <c:v>92.7446</c:v>
                </c:pt>
                <c:pt idx="2001">
                  <c:v>92.743</c:v>
                </c:pt>
                <c:pt idx="2002">
                  <c:v>92.74123</c:v>
                </c:pt>
                <c:pt idx="2003">
                  <c:v>92.73967</c:v>
                </c:pt>
                <c:pt idx="2004">
                  <c:v>92.73773000000001</c:v>
                </c:pt>
                <c:pt idx="2005">
                  <c:v>92.73592</c:v>
                </c:pt>
                <c:pt idx="2006">
                  <c:v>92.73428</c:v>
                </c:pt>
                <c:pt idx="2007">
                  <c:v>92.73263</c:v>
                </c:pt>
                <c:pt idx="2008">
                  <c:v>92.73070000000001</c:v>
                </c:pt>
                <c:pt idx="2009">
                  <c:v>92.72901</c:v>
                </c:pt>
                <c:pt idx="2010">
                  <c:v>92.7272</c:v>
                </c:pt>
                <c:pt idx="2011">
                  <c:v>92.72534999999998</c:v>
                </c:pt>
                <c:pt idx="2012">
                  <c:v>92.72337999999995</c:v>
                </c:pt>
                <c:pt idx="2013">
                  <c:v>92.72157</c:v>
                </c:pt>
                <c:pt idx="2014">
                  <c:v>92.71972</c:v>
                </c:pt>
                <c:pt idx="2015">
                  <c:v>92.71795</c:v>
                </c:pt>
                <c:pt idx="2016">
                  <c:v>92.71606</c:v>
                </c:pt>
                <c:pt idx="2017">
                  <c:v>92.71433</c:v>
                </c:pt>
                <c:pt idx="2018">
                  <c:v>92.71248</c:v>
                </c:pt>
                <c:pt idx="2019">
                  <c:v>92.71071</c:v>
                </c:pt>
                <c:pt idx="2020">
                  <c:v>92.7089</c:v>
                </c:pt>
                <c:pt idx="2021">
                  <c:v>92.70701</c:v>
                </c:pt>
                <c:pt idx="2022">
                  <c:v>92.7052</c:v>
                </c:pt>
                <c:pt idx="2023">
                  <c:v>92.70363</c:v>
                </c:pt>
                <c:pt idx="2024">
                  <c:v>92.70182</c:v>
                </c:pt>
                <c:pt idx="2025">
                  <c:v>92.70014</c:v>
                </c:pt>
                <c:pt idx="2026">
                  <c:v>92.69829</c:v>
                </c:pt>
                <c:pt idx="2027">
                  <c:v>92.69634999999998</c:v>
                </c:pt>
                <c:pt idx="2028">
                  <c:v>92.69442</c:v>
                </c:pt>
                <c:pt idx="2029">
                  <c:v>92.69269</c:v>
                </c:pt>
                <c:pt idx="2030">
                  <c:v>92.69087999999998</c:v>
                </c:pt>
                <c:pt idx="2031">
                  <c:v>92.68906999999998</c:v>
                </c:pt>
                <c:pt idx="2032">
                  <c:v>92.68718</c:v>
                </c:pt>
                <c:pt idx="2033">
                  <c:v>92.68540999999995</c:v>
                </c:pt>
                <c:pt idx="2034">
                  <c:v>92.68363999999998</c:v>
                </c:pt>
                <c:pt idx="2035">
                  <c:v>92.68174999999998</c:v>
                </c:pt>
                <c:pt idx="2036">
                  <c:v>92.68002</c:v>
                </c:pt>
                <c:pt idx="2037">
                  <c:v>92.6780899999991</c:v>
                </c:pt>
                <c:pt idx="2038">
                  <c:v>92.67635999999958</c:v>
                </c:pt>
                <c:pt idx="2039">
                  <c:v>92.67458999999998</c:v>
                </c:pt>
                <c:pt idx="2040">
                  <c:v>92.67286999999965</c:v>
                </c:pt>
                <c:pt idx="2041">
                  <c:v>92.67122</c:v>
                </c:pt>
                <c:pt idx="2042">
                  <c:v>92.66948999999998</c:v>
                </c:pt>
                <c:pt idx="2043">
                  <c:v>92.66768</c:v>
                </c:pt>
                <c:pt idx="2044">
                  <c:v>92.66574999999958</c:v>
                </c:pt>
                <c:pt idx="2045">
                  <c:v>92.66397999999998</c:v>
                </c:pt>
                <c:pt idx="2046">
                  <c:v>92.66216999999997</c:v>
                </c:pt>
                <c:pt idx="2047">
                  <c:v>92.66024</c:v>
                </c:pt>
                <c:pt idx="2048">
                  <c:v>92.65822</c:v>
                </c:pt>
                <c:pt idx="2049">
                  <c:v>92.65625</c:v>
                </c:pt>
                <c:pt idx="2050">
                  <c:v>92.65439999999998</c:v>
                </c:pt>
                <c:pt idx="2051">
                  <c:v>92.65254999999995</c:v>
                </c:pt>
                <c:pt idx="2052">
                  <c:v>92.6507799999991</c:v>
                </c:pt>
                <c:pt idx="2053">
                  <c:v>92.64905</c:v>
                </c:pt>
                <c:pt idx="2054">
                  <c:v>92.64736</c:v>
                </c:pt>
                <c:pt idx="2055">
                  <c:v>92.64551</c:v>
                </c:pt>
                <c:pt idx="2056">
                  <c:v>92.6437</c:v>
                </c:pt>
                <c:pt idx="2057">
                  <c:v>92.64202</c:v>
                </c:pt>
                <c:pt idx="2058">
                  <c:v>92.64029</c:v>
                </c:pt>
                <c:pt idx="2059">
                  <c:v>92.63839999999985</c:v>
                </c:pt>
                <c:pt idx="2060">
                  <c:v>92.63653999999998</c:v>
                </c:pt>
                <c:pt idx="2061">
                  <c:v>92.63469</c:v>
                </c:pt>
                <c:pt idx="2062">
                  <c:v>92.63292</c:v>
                </c:pt>
                <c:pt idx="2063">
                  <c:v>92.63095</c:v>
                </c:pt>
                <c:pt idx="2064">
                  <c:v>92.62897999999915</c:v>
                </c:pt>
                <c:pt idx="2065">
                  <c:v>92.62703999999998</c:v>
                </c:pt>
                <c:pt idx="2066">
                  <c:v>92.62526999999998</c:v>
                </c:pt>
                <c:pt idx="2067">
                  <c:v>92.62354999999998</c:v>
                </c:pt>
                <c:pt idx="2068">
                  <c:v>92.62182</c:v>
                </c:pt>
                <c:pt idx="2069">
                  <c:v>92.61993</c:v>
                </c:pt>
                <c:pt idx="2070">
                  <c:v>92.61771</c:v>
                </c:pt>
                <c:pt idx="2071">
                  <c:v>92.61584999999998</c:v>
                </c:pt>
                <c:pt idx="2072">
                  <c:v>92.61396</c:v>
                </c:pt>
                <c:pt idx="2073">
                  <c:v>92.61215</c:v>
                </c:pt>
                <c:pt idx="2074">
                  <c:v>92.61026</c:v>
                </c:pt>
                <c:pt idx="2075">
                  <c:v>92.60840999999998</c:v>
                </c:pt>
                <c:pt idx="2076">
                  <c:v>92.60638999999995</c:v>
                </c:pt>
                <c:pt idx="2077">
                  <c:v>92.60437999999998</c:v>
                </c:pt>
                <c:pt idx="2078">
                  <c:v>92.60256999999998</c:v>
                </c:pt>
                <c:pt idx="2079">
                  <c:v>92.60075999999998</c:v>
                </c:pt>
                <c:pt idx="2080">
                  <c:v>92.59891</c:v>
                </c:pt>
                <c:pt idx="2081">
                  <c:v>92.5971</c:v>
                </c:pt>
                <c:pt idx="2082">
                  <c:v>92.59536999999997</c:v>
                </c:pt>
                <c:pt idx="2083">
                  <c:v>92.59368</c:v>
                </c:pt>
                <c:pt idx="2084">
                  <c:v>92.59191</c:v>
                </c:pt>
                <c:pt idx="2085">
                  <c:v>92.59006</c:v>
                </c:pt>
                <c:pt idx="2086">
                  <c:v>92.58821</c:v>
                </c:pt>
                <c:pt idx="2087">
                  <c:v>92.5862</c:v>
                </c:pt>
                <c:pt idx="2088">
                  <c:v>92.58443000000001</c:v>
                </c:pt>
                <c:pt idx="2089">
                  <c:v>92.58266</c:v>
                </c:pt>
                <c:pt idx="2090">
                  <c:v>92.58072999999997</c:v>
                </c:pt>
                <c:pt idx="2091">
                  <c:v>92.57882999999998</c:v>
                </c:pt>
                <c:pt idx="2092">
                  <c:v>92.57697999999998</c:v>
                </c:pt>
                <c:pt idx="2093">
                  <c:v>92.5753399999991</c:v>
                </c:pt>
                <c:pt idx="2094">
                  <c:v>92.57361</c:v>
                </c:pt>
                <c:pt idx="2095">
                  <c:v>92.57172</c:v>
                </c:pt>
                <c:pt idx="2096">
                  <c:v>92.5697</c:v>
                </c:pt>
                <c:pt idx="2097">
                  <c:v>92.56773</c:v>
                </c:pt>
                <c:pt idx="2098">
                  <c:v>92.56574999999998</c:v>
                </c:pt>
                <c:pt idx="2099">
                  <c:v>92.5637</c:v>
                </c:pt>
                <c:pt idx="2100">
                  <c:v>92.5618</c:v>
                </c:pt>
                <c:pt idx="2101">
                  <c:v>92.55986999999997</c:v>
                </c:pt>
                <c:pt idx="2102">
                  <c:v>92.55798</c:v>
                </c:pt>
                <c:pt idx="2103">
                  <c:v>92.55601</c:v>
                </c:pt>
                <c:pt idx="2104">
                  <c:v>92.55411</c:v>
                </c:pt>
                <c:pt idx="2105">
                  <c:v>92.55238999999958</c:v>
                </c:pt>
                <c:pt idx="2106">
                  <c:v>92.55057999999998</c:v>
                </c:pt>
                <c:pt idx="2107">
                  <c:v>92.54872</c:v>
                </c:pt>
                <c:pt idx="2108">
                  <c:v>92.54708</c:v>
                </c:pt>
                <c:pt idx="2109">
                  <c:v>92.54527</c:v>
                </c:pt>
                <c:pt idx="2110">
                  <c:v>92.54334</c:v>
                </c:pt>
                <c:pt idx="2111">
                  <c:v>92.54128</c:v>
                </c:pt>
                <c:pt idx="2112">
                  <c:v>92.53935</c:v>
                </c:pt>
                <c:pt idx="2113">
                  <c:v>92.53754</c:v>
                </c:pt>
                <c:pt idx="2114">
                  <c:v>92.53569</c:v>
                </c:pt>
                <c:pt idx="2115">
                  <c:v>92.53371</c:v>
                </c:pt>
                <c:pt idx="2116">
                  <c:v>92.5319</c:v>
                </c:pt>
                <c:pt idx="2117">
                  <c:v>92.53009</c:v>
                </c:pt>
                <c:pt idx="2118">
                  <c:v>92.52807999999958</c:v>
                </c:pt>
                <c:pt idx="2119">
                  <c:v>92.5261</c:v>
                </c:pt>
                <c:pt idx="2120">
                  <c:v>92.52421</c:v>
                </c:pt>
                <c:pt idx="2121">
                  <c:v>92.52239999999995</c:v>
                </c:pt>
                <c:pt idx="2122">
                  <c:v>92.52046999999997</c:v>
                </c:pt>
                <c:pt idx="2123">
                  <c:v>92.51837</c:v>
                </c:pt>
                <c:pt idx="2124">
                  <c:v>92.51652</c:v>
                </c:pt>
                <c:pt idx="2125">
                  <c:v>92.51454</c:v>
                </c:pt>
                <c:pt idx="2126">
                  <c:v>92.51261</c:v>
                </c:pt>
                <c:pt idx="2127">
                  <c:v>92.51068</c:v>
                </c:pt>
                <c:pt idx="2128">
                  <c:v>92.50866</c:v>
                </c:pt>
                <c:pt idx="2129">
                  <c:v>92.50685</c:v>
                </c:pt>
                <c:pt idx="2130">
                  <c:v>92.50484</c:v>
                </c:pt>
                <c:pt idx="2131">
                  <c:v>92.50303</c:v>
                </c:pt>
                <c:pt idx="2132">
                  <c:v>92.50109</c:v>
                </c:pt>
                <c:pt idx="2133">
                  <c:v>92.4992</c:v>
                </c:pt>
                <c:pt idx="2134">
                  <c:v>92.49735</c:v>
                </c:pt>
                <c:pt idx="2135">
                  <c:v>92.49505</c:v>
                </c:pt>
                <c:pt idx="2136">
                  <c:v>92.49295</c:v>
                </c:pt>
                <c:pt idx="2137">
                  <c:v>92.49106</c:v>
                </c:pt>
                <c:pt idx="2138">
                  <c:v>92.48887999999998</c:v>
                </c:pt>
                <c:pt idx="2139">
                  <c:v>92.48694</c:v>
                </c:pt>
                <c:pt idx="2140">
                  <c:v>92.48517</c:v>
                </c:pt>
                <c:pt idx="2141">
                  <c:v>92.48353</c:v>
                </c:pt>
                <c:pt idx="2142">
                  <c:v>92.48159</c:v>
                </c:pt>
                <c:pt idx="2143">
                  <c:v>92.47954</c:v>
                </c:pt>
                <c:pt idx="2144">
                  <c:v>92.47769</c:v>
                </c:pt>
                <c:pt idx="2145">
                  <c:v>92.47592</c:v>
                </c:pt>
                <c:pt idx="2146">
                  <c:v>92.47407000000001</c:v>
                </c:pt>
                <c:pt idx="2147">
                  <c:v>92.47222</c:v>
                </c:pt>
                <c:pt idx="2148">
                  <c:v>92.47028</c:v>
                </c:pt>
                <c:pt idx="2149">
                  <c:v>92.46843000000001</c:v>
                </c:pt>
                <c:pt idx="2150">
                  <c:v>92.46638</c:v>
                </c:pt>
                <c:pt idx="2151">
                  <c:v>92.46432</c:v>
                </c:pt>
                <c:pt idx="2152">
                  <c:v>92.46234</c:v>
                </c:pt>
                <c:pt idx="2153">
                  <c:v>92.46037000000001</c:v>
                </c:pt>
                <c:pt idx="2154">
                  <c:v>92.45847999999998</c:v>
                </c:pt>
                <c:pt idx="2155">
                  <c:v>92.45642</c:v>
                </c:pt>
                <c:pt idx="2156">
                  <c:v>92.45449</c:v>
                </c:pt>
                <c:pt idx="2157">
                  <c:v>92.45255</c:v>
                </c:pt>
                <c:pt idx="2158">
                  <c:v>92.4505</c:v>
                </c:pt>
                <c:pt idx="2159">
                  <c:v>92.44856</c:v>
                </c:pt>
                <c:pt idx="2160">
                  <c:v>92.44655</c:v>
                </c:pt>
                <c:pt idx="2161">
                  <c:v>92.44457000000002</c:v>
                </c:pt>
                <c:pt idx="2162">
                  <c:v>92.44276</c:v>
                </c:pt>
                <c:pt idx="2163">
                  <c:v>92.44067</c:v>
                </c:pt>
                <c:pt idx="2164">
                  <c:v>92.43873</c:v>
                </c:pt>
                <c:pt idx="2165">
                  <c:v>92.43676</c:v>
                </c:pt>
                <c:pt idx="2166">
                  <c:v>92.4347</c:v>
                </c:pt>
                <c:pt idx="2167">
                  <c:v>92.43273</c:v>
                </c:pt>
                <c:pt idx="2168">
                  <c:v>92.43088</c:v>
                </c:pt>
                <c:pt idx="2169">
                  <c:v>92.42903</c:v>
                </c:pt>
                <c:pt idx="2170">
                  <c:v>92.42709</c:v>
                </c:pt>
                <c:pt idx="2171">
                  <c:v>92.42516</c:v>
                </c:pt>
                <c:pt idx="2172">
                  <c:v>92.42323</c:v>
                </c:pt>
                <c:pt idx="2173">
                  <c:v>92.42125</c:v>
                </c:pt>
                <c:pt idx="2174">
                  <c:v>92.4194</c:v>
                </c:pt>
                <c:pt idx="2175">
                  <c:v>92.41739</c:v>
                </c:pt>
                <c:pt idx="2176">
                  <c:v>92.41541</c:v>
                </c:pt>
                <c:pt idx="2177">
                  <c:v>92.4134</c:v>
                </c:pt>
                <c:pt idx="2178">
                  <c:v>92.41138</c:v>
                </c:pt>
                <c:pt idx="2179">
                  <c:v>92.40932</c:v>
                </c:pt>
                <c:pt idx="2180">
                  <c:v>92.40743</c:v>
                </c:pt>
                <c:pt idx="2181">
                  <c:v>92.4055</c:v>
                </c:pt>
                <c:pt idx="2182">
                  <c:v>92.40348</c:v>
                </c:pt>
                <c:pt idx="2183">
                  <c:v>92.40159</c:v>
                </c:pt>
                <c:pt idx="2184">
                  <c:v>92.39973999999998</c:v>
                </c:pt>
                <c:pt idx="2185">
                  <c:v>92.39781</c:v>
                </c:pt>
                <c:pt idx="2186">
                  <c:v>92.39563</c:v>
                </c:pt>
                <c:pt idx="2187">
                  <c:v>92.39357</c:v>
                </c:pt>
                <c:pt idx="2188">
                  <c:v>92.39168</c:v>
                </c:pt>
                <c:pt idx="2189">
                  <c:v>92.38966</c:v>
                </c:pt>
                <c:pt idx="2190">
                  <c:v>92.38752</c:v>
                </c:pt>
                <c:pt idx="2191">
                  <c:v>92.38550999999998</c:v>
                </c:pt>
                <c:pt idx="2192">
                  <c:v>92.38341</c:v>
                </c:pt>
                <c:pt idx="2193">
                  <c:v>92.38156</c:v>
                </c:pt>
                <c:pt idx="2194">
                  <c:v>92.37978999999935</c:v>
                </c:pt>
                <c:pt idx="2195">
                  <c:v>92.37793999999998</c:v>
                </c:pt>
                <c:pt idx="2196">
                  <c:v>92.37595999999998</c:v>
                </c:pt>
                <c:pt idx="2197">
                  <c:v>92.37406999999997</c:v>
                </c:pt>
                <c:pt idx="2198">
                  <c:v>92.37217999999935</c:v>
                </c:pt>
                <c:pt idx="2199">
                  <c:v>92.37025</c:v>
                </c:pt>
                <c:pt idx="2200">
                  <c:v>92.36819</c:v>
                </c:pt>
                <c:pt idx="2201">
                  <c:v>92.36597</c:v>
                </c:pt>
                <c:pt idx="2202">
                  <c:v>92.36395</c:v>
                </c:pt>
                <c:pt idx="2203">
                  <c:v>92.3619</c:v>
                </c:pt>
                <c:pt idx="2204">
                  <c:v>92.35979999999998</c:v>
                </c:pt>
                <c:pt idx="2205">
                  <c:v>92.35766</c:v>
                </c:pt>
                <c:pt idx="2206">
                  <c:v>92.35555999999998</c:v>
                </c:pt>
                <c:pt idx="2207">
                  <c:v>92.35370999999998</c:v>
                </c:pt>
                <c:pt idx="2208">
                  <c:v>92.35186</c:v>
                </c:pt>
                <c:pt idx="2209">
                  <c:v>92.34997000000001</c:v>
                </c:pt>
                <c:pt idx="2210">
                  <c:v>92.34791</c:v>
                </c:pt>
                <c:pt idx="2211">
                  <c:v>92.34594</c:v>
                </c:pt>
                <c:pt idx="2212">
                  <c:v>92.34396</c:v>
                </c:pt>
                <c:pt idx="2213">
                  <c:v>92.34191</c:v>
                </c:pt>
                <c:pt idx="2214">
                  <c:v>92.33997</c:v>
                </c:pt>
                <c:pt idx="2215">
                  <c:v>92.338</c:v>
                </c:pt>
                <c:pt idx="2216">
                  <c:v>92.33619</c:v>
                </c:pt>
                <c:pt idx="2217">
                  <c:v>92.33409</c:v>
                </c:pt>
                <c:pt idx="2218">
                  <c:v>92.33206999999997</c:v>
                </c:pt>
                <c:pt idx="2219">
                  <c:v>92.33002</c:v>
                </c:pt>
                <c:pt idx="2220">
                  <c:v>92.32799999999997</c:v>
                </c:pt>
                <c:pt idx="2221">
                  <c:v>92.32594999999998</c:v>
                </c:pt>
                <c:pt idx="2222">
                  <c:v>92.32393</c:v>
                </c:pt>
                <c:pt idx="2223">
                  <c:v>92.32191</c:v>
                </c:pt>
                <c:pt idx="2224">
                  <c:v>92.32006</c:v>
                </c:pt>
                <c:pt idx="2225">
                  <c:v>92.31801</c:v>
                </c:pt>
                <c:pt idx="2226">
                  <c:v>92.31578999999998</c:v>
                </c:pt>
                <c:pt idx="2227">
                  <c:v>92.31394</c:v>
                </c:pt>
                <c:pt idx="2228">
                  <c:v>92.31196</c:v>
                </c:pt>
                <c:pt idx="2229">
                  <c:v>92.31007</c:v>
                </c:pt>
                <c:pt idx="2230">
                  <c:v>92.30781</c:v>
                </c:pt>
                <c:pt idx="2231">
                  <c:v>92.30563</c:v>
                </c:pt>
                <c:pt idx="2232">
                  <c:v>92.30361</c:v>
                </c:pt>
                <c:pt idx="2233">
                  <c:v>92.30168</c:v>
                </c:pt>
                <c:pt idx="2234">
                  <c:v>92.29979</c:v>
                </c:pt>
                <c:pt idx="2235">
                  <c:v>92.29814</c:v>
                </c:pt>
                <c:pt idx="2236">
                  <c:v>92.29617</c:v>
                </c:pt>
                <c:pt idx="2237">
                  <c:v>92.29411</c:v>
                </c:pt>
                <c:pt idx="2238">
                  <c:v>92.29205</c:v>
                </c:pt>
                <c:pt idx="2239">
                  <c:v>92.28991</c:v>
                </c:pt>
                <c:pt idx="2240">
                  <c:v>92.28794</c:v>
                </c:pt>
                <c:pt idx="2241">
                  <c:v>92.28605</c:v>
                </c:pt>
                <c:pt idx="2242">
                  <c:v>92.28407</c:v>
                </c:pt>
                <c:pt idx="2243">
                  <c:v>92.28193</c:v>
                </c:pt>
                <c:pt idx="2244">
                  <c:v>92.27992</c:v>
                </c:pt>
                <c:pt idx="2245">
                  <c:v>92.27777999999998</c:v>
                </c:pt>
                <c:pt idx="2246">
                  <c:v>92.27567999999998</c:v>
                </c:pt>
                <c:pt idx="2247">
                  <c:v>92.27378999999995</c:v>
                </c:pt>
                <c:pt idx="2248">
                  <c:v>92.27181</c:v>
                </c:pt>
                <c:pt idx="2249">
                  <c:v>92.27017</c:v>
                </c:pt>
                <c:pt idx="2250">
                  <c:v>92.26795</c:v>
                </c:pt>
                <c:pt idx="2251">
                  <c:v>92.26564</c:v>
                </c:pt>
                <c:pt idx="2252">
                  <c:v>92.26334</c:v>
                </c:pt>
                <c:pt idx="2253">
                  <c:v>92.26133</c:v>
                </c:pt>
                <c:pt idx="2254">
                  <c:v>92.25943</c:v>
                </c:pt>
                <c:pt idx="2255">
                  <c:v>92.25734</c:v>
                </c:pt>
                <c:pt idx="2256">
                  <c:v>92.25535999999998</c:v>
                </c:pt>
                <c:pt idx="2257">
                  <c:v>92.25338999999998</c:v>
                </c:pt>
                <c:pt idx="2258">
                  <c:v>92.25137</c:v>
                </c:pt>
                <c:pt idx="2259">
                  <c:v>92.24927</c:v>
                </c:pt>
                <c:pt idx="2260">
                  <c:v>92.24734</c:v>
                </c:pt>
                <c:pt idx="2261">
                  <c:v>92.24532</c:v>
                </c:pt>
                <c:pt idx="2262">
                  <c:v>92.24323</c:v>
                </c:pt>
                <c:pt idx="2263">
                  <c:v>92.24117</c:v>
                </c:pt>
                <c:pt idx="2264">
                  <c:v>92.23924</c:v>
                </c:pt>
                <c:pt idx="2265">
                  <c:v>92.23743</c:v>
                </c:pt>
                <c:pt idx="2266">
                  <c:v>92.23529</c:v>
                </c:pt>
                <c:pt idx="2267">
                  <c:v>92.23319</c:v>
                </c:pt>
                <c:pt idx="2268">
                  <c:v>92.23117</c:v>
                </c:pt>
                <c:pt idx="2269">
                  <c:v>92.22932</c:v>
                </c:pt>
                <c:pt idx="2270">
                  <c:v>92.22747</c:v>
                </c:pt>
                <c:pt idx="2271">
                  <c:v>92.22562</c:v>
                </c:pt>
                <c:pt idx="2272">
                  <c:v>92.22376999999997</c:v>
                </c:pt>
                <c:pt idx="2273">
                  <c:v>92.22203999999998</c:v>
                </c:pt>
                <c:pt idx="2274">
                  <c:v>92.21958</c:v>
                </c:pt>
                <c:pt idx="2275">
                  <c:v>92.21707</c:v>
                </c:pt>
                <c:pt idx="2276">
                  <c:v>92.21501</c:v>
                </c:pt>
                <c:pt idx="2277">
                  <c:v>92.21312</c:v>
                </c:pt>
                <c:pt idx="2278">
                  <c:v>92.21168</c:v>
                </c:pt>
                <c:pt idx="2279">
                  <c:v>92.2095</c:v>
                </c:pt>
                <c:pt idx="2280">
                  <c:v>92.20724</c:v>
                </c:pt>
                <c:pt idx="2281">
                  <c:v>92.2053</c:v>
                </c:pt>
                <c:pt idx="2282">
                  <c:v>92.20333</c:v>
                </c:pt>
                <c:pt idx="2283">
                  <c:v>92.20139</c:v>
                </c:pt>
                <c:pt idx="2284">
                  <c:v>92.19942</c:v>
                </c:pt>
                <c:pt idx="2285">
                  <c:v>92.19757000000001</c:v>
                </c:pt>
                <c:pt idx="2286">
                  <c:v>92.19554999999998</c:v>
                </c:pt>
                <c:pt idx="2287">
                  <c:v>92.19336999999997</c:v>
                </c:pt>
                <c:pt idx="2288">
                  <c:v>92.19169</c:v>
                </c:pt>
                <c:pt idx="2289">
                  <c:v>92.18974999999975</c:v>
                </c:pt>
                <c:pt idx="2290">
                  <c:v>92.18761</c:v>
                </c:pt>
                <c:pt idx="2291">
                  <c:v>92.18542999999998</c:v>
                </c:pt>
                <c:pt idx="2292">
                  <c:v>92.18353999999998</c:v>
                </c:pt>
                <c:pt idx="2293">
                  <c:v>92.18165</c:v>
                </c:pt>
                <c:pt idx="2294">
                  <c:v>92.17967999999995</c:v>
                </c:pt>
                <c:pt idx="2295">
                  <c:v>92.17766</c:v>
                </c:pt>
                <c:pt idx="2296">
                  <c:v>92.17555999999995</c:v>
                </c:pt>
                <c:pt idx="2297">
                  <c:v>92.17362999999997</c:v>
                </c:pt>
                <c:pt idx="2298">
                  <c:v>92.17173999999935</c:v>
                </c:pt>
                <c:pt idx="2299">
                  <c:v>92.16943</c:v>
                </c:pt>
                <c:pt idx="2300">
                  <c:v>92.16729</c:v>
                </c:pt>
                <c:pt idx="2301">
                  <c:v>92.16535999999998</c:v>
                </c:pt>
                <c:pt idx="2302">
                  <c:v>92.16338999999998</c:v>
                </c:pt>
                <c:pt idx="2303">
                  <c:v>92.16137</c:v>
                </c:pt>
                <c:pt idx="2304">
                  <c:v>92.15939999999995</c:v>
                </c:pt>
                <c:pt idx="2305">
                  <c:v>92.15746</c:v>
                </c:pt>
                <c:pt idx="2306">
                  <c:v>92.15560999999998</c:v>
                </c:pt>
                <c:pt idx="2307">
                  <c:v>92.15359999999998</c:v>
                </c:pt>
                <c:pt idx="2308">
                  <c:v>92.15146</c:v>
                </c:pt>
                <c:pt idx="2309">
                  <c:v>92.14952</c:v>
                </c:pt>
                <c:pt idx="2310">
                  <c:v>92.14763</c:v>
                </c:pt>
                <c:pt idx="2311">
                  <c:v>92.1457</c:v>
                </c:pt>
                <c:pt idx="2312">
                  <c:v>92.14376999999997</c:v>
                </c:pt>
                <c:pt idx="2313">
                  <c:v>92.14163</c:v>
                </c:pt>
                <c:pt idx="2314">
                  <c:v>92.13973999999975</c:v>
                </c:pt>
                <c:pt idx="2315">
                  <c:v>92.1376</c:v>
                </c:pt>
                <c:pt idx="2316">
                  <c:v>92.13545999999998</c:v>
                </c:pt>
                <c:pt idx="2317">
                  <c:v>92.13357</c:v>
                </c:pt>
                <c:pt idx="2318">
                  <c:v>92.13159</c:v>
                </c:pt>
                <c:pt idx="2319">
                  <c:v>92.12952999999997</c:v>
                </c:pt>
                <c:pt idx="2320">
                  <c:v>92.12734999999998</c:v>
                </c:pt>
                <c:pt idx="2321">
                  <c:v>92.12570999999915</c:v>
                </c:pt>
                <c:pt idx="2322">
                  <c:v>92.12385999999998</c:v>
                </c:pt>
                <c:pt idx="2323">
                  <c:v>92.12183999999998</c:v>
                </c:pt>
                <c:pt idx="2324">
                  <c:v>92.11966</c:v>
                </c:pt>
                <c:pt idx="2325">
                  <c:v>92.11765</c:v>
                </c:pt>
                <c:pt idx="2326">
                  <c:v>92.11579999999998</c:v>
                </c:pt>
                <c:pt idx="2327">
                  <c:v>92.11382</c:v>
                </c:pt>
                <c:pt idx="2328">
                  <c:v>92.11176</c:v>
                </c:pt>
                <c:pt idx="2329">
                  <c:v>92.10970999999998</c:v>
                </c:pt>
                <c:pt idx="2330">
                  <c:v>92.10786</c:v>
                </c:pt>
                <c:pt idx="2331">
                  <c:v>92.10601</c:v>
                </c:pt>
                <c:pt idx="2332">
                  <c:v>92.10411</c:v>
                </c:pt>
                <c:pt idx="2333">
                  <c:v>92.10213999999995</c:v>
                </c:pt>
                <c:pt idx="2334">
                  <c:v>92.10003999999998</c:v>
                </c:pt>
                <c:pt idx="2335">
                  <c:v>92.09803</c:v>
                </c:pt>
                <c:pt idx="2336">
                  <c:v>92.09605</c:v>
                </c:pt>
                <c:pt idx="2337">
                  <c:v>92.09404</c:v>
                </c:pt>
                <c:pt idx="2338">
                  <c:v>92.09202</c:v>
                </c:pt>
                <c:pt idx="2339">
                  <c:v>92.09</c:v>
                </c:pt>
                <c:pt idx="2340">
                  <c:v>92.08811</c:v>
                </c:pt>
                <c:pt idx="2341">
                  <c:v>92.08626</c:v>
                </c:pt>
                <c:pt idx="2342">
                  <c:v>92.08445</c:v>
                </c:pt>
                <c:pt idx="2343">
                  <c:v>92.08264</c:v>
                </c:pt>
                <c:pt idx="2344">
                  <c:v>92.08074999999998</c:v>
                </c:pt>
                <c:pt idx="2345">
                  <c:v>92.07877999999903</c:v>
                </c:pt>
                <c:pt idx="2346">
                  <c:v>92.07692</c:v>
                </c:pt>
                <c:pt idx="2347">
                  <c:v>92.07499</c:v>
                </c:pt>
                <c:pt idx="2348">
                  <c:v>92.07292999999998</c:v>
                </c:pt>
                <c:pt idx="2349">
                  <c:v>92.07087999999958</c:v>
                </c:pt>
                <c:pt idx="2350">
                  <c:v>92.06873999999995</c:v>
                </c:pt>
                <c:pt idx="2351">
                  <c:v>92.06689</c:v>
                </c:pt>
                <c:pt idx="2352">
                  <c:v>92.06503999999998</c:v>
                </c:pt>
                <c:pt idx="2353">
                  <c:v>92.06319</c:v>
                </c:pt>
                <c:pt idx="2354">
                  <c:v>92.06142</c:v>
                </c:pt>
                <c:pt idx="2355">
                  <c:v>92.05952</c:v>
                </c:pt>
                <c:pt idx="2356">
                  <c:v>92.05767</c:v>
                </c:pt>
                <c:pt idx="2357">
                  <c:v>92.05562</c:v>
                </c:pt>
                <c:pt idx="2358">
                  <c:v>92.05352</c:v>
                </c:pt>
                <c:pt idx="2359">
                  <c:v>92.05167</c:v>
                </c:pt>
                <c:pt idx="2360">
                  <c:v>92.04961</c:v>
                </c:pt>
                <c:pt idx="2361">
                  <c:v>92.04756</c:v>
                </c:pt>
                <c:pt idx="2362">
                  <c:v>92.04558</c:v>
                </c:pt>
                <c:pt idx="2363">
                  <c:v>92.04381</c:v>
                </c:pt>
                <c:pt idx="2364">
                  <c:v>92.042</c:v>
                </c:pt>
                <c:pt idx="2365">
                  <c:v>92.0399</c:v>
                </c:pt>
                <c:pt idx="2366">
                  <c:v>92.03801</c:v>
                </c:pt>
                <c:pt idx="2367">
                  <c:v>92.03628</c:v>
                </c:pt>
                <c:pt idx="2368">
                  <c:v>92.03443</c:v>
                </c:pt>
                <c:pt idx="2369">
                  <c:v>92.03233999999995</c:v>
                </c:pt>
                <c:pt idx="2370">
                  <c:v>92.0304</c:v>
                </c:pt>
                <c:pt idx="2371">
                  <c:v>92.02850999999998</c:v>
                </c:pt>
                <c:pt idx="2372">
                  <c:v>92.02648999999998</c:v>
                </c:pt>
                <c:pt idx="2373">
                  <c:v>92.02464</c:v>
                </c:pt>
                <c:pt idx="2374">
                  <c:v>92.02274999999958</c:v>
                </c:pt>
                <c:pt idx="2375">
                  <c:v>92.02093999999998</c:v>
                </c:pt>
                <c:pt idx="2376">
                  <c:v>92.01917</c:v>
                </c:pt>
                <c:pt idx="2377">
                  <c:v>92.01716</c:v>
                </c:pt>
                <c:pt idx="2378">
                  <c:v>92.01535</c:v>
                </c:pt>
                <c:pt idx="2379">
                  <c:v>92.01333</c:v>
                </c:pt>
                <c:pt idx="2380">
                  <c:v>92.01136</c:v>
                </c:pt>
                <c:pt idx="2381">
                  <c:v>92.00937999999998</c:v>
                </c:pt>
                <c:pt idx="2382">
                  <c:v>92.00741</c:v>
                </c:pt>
                <c:pt idx="2383">
                  <c:v>92.00575999999998</c:v>
                </c:pt>
                <c:pt idx="2384">
                  <c:v>92.00399</c:v>
                </c:pt>
                <c:pt idx="2385">
                  <c:v>92.00194</c:v>
                </c:pt>
                <c:pt idx="2386">
                  <c:v>91.99992</c:v>
                </c:pt>
                <c:pt idx="2387">
                  <c:v>91.99807000000001</c:v>
                </c:pt>
                <c:pt idx="2388">
                  <c:v>91.9963</c:v>
                </c:pt>
                <c:pt idx="2389">
                  <c:v>91.99437</c:v>
                </c:pt>
                <c:pt idx="2390">
                  <c:v>91.99235</c:v>
                </c:pt>
                <c:pt idx="2391">
                  <c:v>91.99042</c:v>
                </c:pt>
                <c:pt idx="2392">
                  <c:v>91.98857</c:v>
                </c:pt>
                <c:pt idx="2393">
                  <c:v>91.98647</c:v>
                </c:pt>
                <c:pt idx="2394">
                  <c:v>91.9845</c:v>
                </c:pt>
                <c:pt idx="2395">
                  <c:v>91.98265</c:v>
                </c:pt>
                <c:pt idx="2396">
                  <c:v>91.98088</c:v>
                </c:pt>
                <c:pt idx="2397">
                  <c:v>91.97889999999998</c:v>
                </c:pt>
                <c:pt idx="2398">
                  <c:v>91.97705</c:v>
                </c:pt>
                <c:pt idx="2399">
                  <c:v>91.97507999999995</c:v>
                </c:pt>
                <c:pt idx="2400">
                  <c:v>91.97323</c:v>
                </c:pt>
                <c:pt idx="2401">
                  <c:v>91.97109</c:v>
                </c:pt>
                <c:pt idx="2402">
                  <c:v>91.96899</c:v>
                </c:pt>
                <c:pt idx="2403">
                  <c:v>91.96702</c:v>
                </c:pt>
                <c:pt idx="2404">
                  <c:v>91.96521</c:v>
                </c:pt>
                <c:pt idx="2405">
                  <c:v>91.96327</c:v>
                </c:pt>
                <c:pt idx="2406">
                  <c:v>91.96134</c:v>
                </c:pt>
                <c:pt idx="2407">
                  <c:v>91.95945</c:v>
                </c:pt>
                <c:pt idx="2408">
                  <c:v>91.9576</c:v>
                </c:pt>
                <c:pt idx="2409">
                  <c:v>91.95554</c:v>
                </c:pt>
                <c:pt idx="2410">
                  <c:v>91.95348</c:v>
                </c:pt>
                <c:pt idx="2411">
                  <c:v>91.95151</c:v>
                </c:pt>
                <c:pt idx="2412">
                  <c:v>91.94953</c:v>
                </c:pt>
                <c:pt idx="2413">
                  <c:v>91.9474</c:v>
                </c:pt>
                <c:pt idx="2414">
                  <c:v>91.94538</c:v>
                </c:pt>
                <c:pt idx="2415">
                  <c:v>91.94341</c:v>
                </c:pt>
                <c:pt idx="2416">
                  <c:v>91.94151</c:v>
                </c:pt>
                <c:pt idx="2417">
                  <c:v>91.93942</c:v>
                </c:pt>
                <c:pt idx="2418">
                  <c:v>91.93724</c:v>
                </c:pt>
                <c:pt idx="2419">
                  <c:v>91.93506</c:v>
                </c:pt>
                <c:pt idx="2420">
                  <c:v>91.933</c:v>
                </c:pt>
                <c:pt idx="2421">
                  <c:v>91.93082</c:v>
                </c:pt>
                <c:pt idx="2422">
                  <c:v>91.92875999999998</c:v>
                </c:pt>
                <c:pt idx="2423">
                  <c:v>91.92678999999998</c:v>
                </c:pt>
                <c:pt idx="2424">
                  <c:v>91.92485</c:v>
                </c:pt>
                <c:pt idx="2425">
                  <c:v>91.92272</c:v>
                </c:pt>
                <c:pt idx="2426">
                  <c:v>91.92045</c:v>
                </c:pt>
                <c:pt idx="2427">
                  <c:v>91.91836</c:v>
                </c:pt>
                <c:pt idx="2428">
                  <c:v>91.91634</c:v>
                </c:pt>
                <c:pt idx="2429">
                  <c:v>91.9142</c:v>
                </c:pt>
                <c:pt idx="2430">
                  <c:v>91.91206</c:v>
                </c:pt>
                <c:pt idx="2431">
                  <c:v>91.90996</c:v>
                </c:pt>
                <c:pt idx="2432">
                  <c:v>91.90758</c:v>
                </c:pt>
                <c:pt idx="2433">
                  <c:v>91.90527</c:v>
                </c:pt>
                <c:pt idx="2434">
                  <c:v>91.90301</c:v>
                </c:pt>
                <c:pt idx="2435">
                  <c:v>91.90091</c:v>
                </c:pt>
                <c:pt idx="2436">
                  <c:v>91.8989</c:v>
                </c:pt>
                <c:pt idx="2437">
                  <c:v>91.89668</c:v>
                </c:pt>
                <c:pt idx="2438">
                  <c:v>91.89433</c:v>
                </c:pt>
                <c:pt idx="2439">
                  <c:v>91.89206999999997</c:v>
                </c:pt>
                <c:pt idx="2440">
                  <c:v>91.88964</c:v>
                </c:pt>
                <c:pt idx="2441">
                  <c:v>91.88718</c:v>
                </c:pt>
                <c:pt idx="2442">
                  <c:v>91.88487</c:v>
                </c:pt>
                <c:pt idx="2443">
                  <c:v>91.88261</c:v>
                </c:pt>
                <c:pt idx="2444">
                  <c:v>91.88030999999998</c:v>
                </c:pt>
                <c:pt idx="2445">
                  <c:v>91.87796</c:v>
                </c:pt>
                <c:pt idx="2446">
                  <c:v>91.87573999999893</c:v>
                </c:pt>
                <c:pt idx="2447">
                  <c:v>91.87285999999965</c:v>
                </c:pt>
                <c:pt idx="2448">
                  <c:v>91.8699</c:v>
                </c:pt>
                <c:pt idx="2449">
                  <c:v>91.86735</c:v>
                </c:pt>
                <c:pt idx="2450">
                  <c:v>91.86492</c:v>
                </c:pt>
                <c:pt idx="2451">
                  <c:v>91.86249999999998</c:v>
                </c:pt>
                <c:pt idx="2452">
                  <c:v>91.86027</c:v>
                </c:pt>
                <c:pt idx="2453">
                  <c:v>91.85781</c:v>
                </c:pt>
                <c:pt idx="2454">
                  <c:v>91.85529999999998</c:v>
                </c:pt>
                <c:pt idx="2455">
                  <c:v>91.85262</c:v>
                </c:pt>
                <c:pt idx="2456">
                  <c:v>91.85016</c:v>
                </c:pt>
                <c:pt idx="2457">
                  <c:v>91.84765</c:v>
                </c:pt>
                <c:pt idx="2458">
                  <c:v>91.84506</c:v>
                </c:pt>
                <c:pt idx="2459">
                  <c:v>91.84251</c:v>
                </c:pt>
                <c:pt idx="2460">
                  <c:v>91.83978999999998</c:v>
                </c:pt>
                <c:pt idx="2461">
                  <c:v>91.83683</c:v>
                </c:pt>
                <c:pt idx="2462">
                  <c:v>91.83383</c:v>
                </c:pt>
                <c:pt idx="2463">
                  <c:v>91.83123</c:v>
                </c:pt>
                <c:pt idx="2464">
                  <c:v>91.82863999999998</c:v>
                </c:pt>
                <c:pt idx="2465">
                  <c:v>91.82584999999958</c:v>
                </c:pt>
                <c:pt idx="2466">
                  <c:v>91.82313</c:v>
                </c:pt>
                <c:pt idx="2467">
                  <c:v>91.82053999999998</c:v>
                </c:pt>
                <c:pt idx="2468">
                  <c:v>91.81799</c:v>
                </c:pt>
                <c:pt idx="2469">
                  <c:v>91.81527000000001</c:v>
                </c:pt>
                <c:pt idx="2470">
                  <c:v>91.8126</c:v>
                </c:pt>
                <c:pt idx="2471">
                  <c:v>91.80984999999998</c:v>
                </c:pt>
                <c:pt idx="2472">
                  <c:v>91.80713</c:v>
                </c:pt>
                <c:pt idx="2473">
                  <c:v>91.80437</c:v>
                </c:pt>
                <c:pt idx="2474">
                  <c:v>91.80158</c:v>
                </c:pt>
                <c:pt idx="2475">
                  <c:v>91.79877999999998</c:v>
                </c:pt>
                <c:pt idx="2476">
                  <c:v>91.79611</c:v>
                </c:pt>
                <c:pt idx="2477">
                  <c:v>91.79347000000001</c:v>
                </c:pt>
                <c:pt idx="2478">
                  <c:v>91.79068</c:v>
                </c:pt>
                <c:pt idx="2479">
                  <c:v>91.78776</c:v>
                </c:pt>
                <c:pt idx="2480">
                  <c:v>91.78503999999998</c:v>
                </c:pt>
                <c:pt idx="2481">
                  <c:v>91.78236999999998</c:v>
                </c:pt>
                <c:pt idx="2482">
                  <c:v>91.77948999999998</c:v>
                </c:pt>
                <c:pt idx="2483">
                  <c:v>91.77669</c:v>
                </c:pt>
                <c:pt idx="2484">
                  <c:v>91.77376999999998</c:v>
                </c:pt>
                <c:pt idx="2485">
                  <c:v>91.77080999999998</c:v>
                </c:pt>
                <c:pt idx="2486">
                  <c:v>91.76809</c:v>
                </c:pt>
                <c:pt idx="2487">
                  <c:v>91.76533999999998</c:v>
                </c:pt>
                <c:pt idx="2488">
                  <c:v>91.7625</c:v>
                </c:pt>
                <c:pt idx="2489">
                  <c:v>91.75958</c:v>
                </c:pt>
                <c:pt idx="2490">
                  <c:v>91.7567</c:v>
                </c:pt>
                <c:pt idx="2491">
                  <c:v>91.75407000000001</c:v>
                </c:pt>
                <c:pt idx="2492">
                  <c:v>91.75156</c:v>
                </c:pt>
                <c:pt idx="2493">
                  <c:v>91.74872</c:v>
                </c:pt>
                <c:pt idx="2494">
                  <c:v>91.74576</c:v>
                </c:pt>
                <c:pt idx="2495">
                  <c:v>91.74296</c:v>
                </c:pt>
                <c:pt idx="2496">
                  <c:v>91.74017</c:v>
                </c:pt>
                <c:pt idx="2497">
                  <c:v>91.73737000000001</c:v>
                </c:pt>
                <c:pt idx="2498">
                  <c:v>91.73449</c:v>
                </c:pt>
                <c:pt idx="2499">
                  <c:v>91.73165</c:v>
                </c:pt>
                <c:pt idx="2500">
                  <c:v>91.72880999999998</c:v>
                </c:pt>
                <c:pt idx="2501">
                  <c:v>91.7261</c:v>
                </c:pt>
                <c:pt idx="2502">
                  <c:v>91.72318</c:v>
                </c:pt>
                <c:pt idx="2503">
                  <c:v>91.72054</c:v>
                </c:pt>
                <c:pt idx="2504">
                  <c:v>91.71804</c:v>
                </c:pt>
                <c:pt idx="2505">
                  <c:v>91.71561</c:v>
                </c:pt>
                <c:pt idx="2506">
                  <c:v>91.71298</c:v>
                </c:pt>
                <c:pt idx="2507">
                  <c:v>91.71026</c:v>
                </c:pt>
                <c:pt idx="2508">
                  <c:v>91.70751</c:v>
                </c:pt>
                <c:pt idx="2509">
                  <c:v>91.70483</c:v>
                </c:pt>
                <c:pt idx="2510">
                  <c:v>91.70212</c:v>
                </c:pt>
                <c:pt idx="2511">
                  <c:v>91.69961</c:v>
                </c:pt>
                <c:pt idx="2512">
                  <c:v>91.69706</c:v>
                </c:pt>
                <c:pt idx="2513">
                  <c:v>91.69455</c:v>
                </c:pt>
                <c:pt idx="2514">
                  <c:v>91.69196</c:v>
                </c:pt>
                <c:pt idx="2515">
                  <c:v>91.68961</c:v>
                </c:pt>
                <c:pt idx="2516">
                  <c:v>91.68730999999998</c:v>
                </c:pt>
                <c:pt idx="2517">
                  <c:v>91.68483999999998</c:v>
                </c:pt>
                <c:pt idx="2518">
                  <c:v>91.68236999999995</c:v>
                </c:pt>
                <c:pt idx="2519">
                  <c:v>91.67973999999907</c:v>
                </c:pt>
                <c:pt idx="2520">
                  <c:v>91.67723</c:v>
                </c:pt>
                <c:pt idx="2521">
                  <c:v>91.67463999999998</c:v>
                </c:pt>
                <c:pt idx="2522">
                  <c:v>91.67196999999997</c:v>
                </c:pt>
                <c:pt idx="2523">
                  <c:v>91.66946</c:v>
                </c:pt>
                <c:pt idx="2524">
                  <c:v>91.66707</c:v>
                </c:pt>
                <c:pt idx="2525">
                  <c:v>91.66473</c:v>
                </c:pt>
                <c:pt idx="2526">
                  <c:v>91.66233999999935</c:v>
                </c:pt>
                <c:pt idx="2527">
                  <c:v>91.65990999999998</c:v>
                </c:pt>
                <c:pt idx="2528">
                  <c:v>91.65748999999998</c:v>
                </c:pt>
                <c:pt idx="2529">
                  <c:v>91.65509999999995</c:v>
                </c:pt>
                <c:pt idx="2530">
                  <c:v>91.65275999999938</c:v>
                </c:pt>
                <c:pt idx="2531">
                  <c:v>91.65044999999998</c:v>
                </c:pt>
                <c:pt idx="2532">
                  <c:v>91.64830999999998</c:v>
                </c:pt>
                <c:pt idx="2533">
                  <c:v>91.64613000000001</c:v>
                </c:pt>
                <c:pt idx="2534">
                  <c:v>91.64358</c:v>
                </c:pt>
                <c:pt idx="2535">
                  <c:v>91.6414</c:v>
                </c:pt>
                <c:pt idx="2536">
                  <c:v>91.63934999999998</c:v>
                </c:pt>
                <c:pt idx="2537">
                  <c:v>91.63717000000001</c:v>
                </c:pt>
                <c:pt idx="2538">
                  <c:v>91.6347</c:v>
                </c:pt>
                <c:pt idx="2539">
                  <c:v>91.63243999999958</c:v>
                </c:pt>
                <c:pt idx="2540">
                  <c:v>91.63026</c:v>
                </c:pt>
                <c:pt idx="2541">
                  <c:v>91.6280799999991</c:v>
                </c:pt>
                <c:pt idx="2542">
                  <c:v>91.62580999999948</c:v>
                </c:pt>
                <c:pt idx="2543">
                  <c:v>91.62346999999998</c:v>
                </c:pt>
                <c:pt idx="2544">
                  <c:v>91.62136999999998</c:v>
                </c:pt>
                <c:pt idx="2545">
                  <c:v>91.61919</c:v>
                </c:pt>
                <c:pt idx="2546">
                  <c:v>91.61714</c:v>
                </c:pt>
                <c:pt idx="2547">
                  <c:v>91.61496</c:v>
                </c:pt>
                <c:pt idx="2548">
                  <c:v>91.61289999999998</c:v>
                </c:pt>
                <c:pt idx="2549">
                  <c:v>91.61087999999998</c:v>
                </c:pt>
                <c:pt idx="2550">
                  <c:v>91.60878999999925</c:v>
                </c:pt>
                <c:pt idx="2551">
                  <c:v>91.60669</c:v>
                </c:pt>
                <c:pt idx="2552">
                  <c:v>91.60470999999998</c:v>
                </c:pt>
                <c:pt idx="2553">
                  <c:v>91.60277999999907</c:v>
                </c:pt>
                <c:pt idx="2554">
                  <c:v>91.60071999999998</c:v>
                </c:pt>
                <c:pt idx="2555">
                  <c:v>91.59878999999998</c:v>
                </c:pt>
                <c:pt idx="2556">
                  <c:v>91.5969</c:v>
                </c:pt>
                <c:pt idx="2557">
                  <c:v>91.59488</c:v>
                </c:pt>
                <c:pt idx="2558">
                  <c:v>91.59266</c:v>
                </c:pt>
                <c:pt idx="2559">
                  <c:v>91.59069</c:v>
                </c:pt>
                <c:pt idx="2560">
                  <c:v>91.58892</c:v>
                </c:pt>
                <c:pt idx="2561">
                  <c:v>91.58707</c:v>
                </c:pt>
                <c:pt idx="2562">
                  <c:v>91.58513</c:v>
                </c:pt>
                <c:pt idx="2563">
                  <c:v>91.58307999999998</c:v>
                </c:pt>
                <c:pt idx="2564">
                  <c:v>91.58127</c:v>
                </c:pt>
                <c:pt idx="2565">
                  <c:v>91.57936999999998</c:v>
                </c:pt>
                <c:pt idx="2566">
                  <c:v>91.57743999999998</c:v>
                </c:pt>
                <c:pt idx="2567">
                  <c:v>91.57566999999997</c:v>
                </c:pt>
                <c:pt idx="2568">
                  <c:v>91.57389999999998</c:v>
                </c:pt>
                <c:pt idx="2569">
                  <c:v>91.57217999999965</c:v>
                </c:pt>
                <c:pt idx="2570">
                  <c:v>91.57027999999998</c:v>
                </c:pt>
                <c:pt idx="2571">
                  <c:v>91.56852</c:v>
                </c:pt>
                <c:pt idx="2572">
                  <c:v>91.56683</c:v>
                </c:pt>
                <c:pt idx="2573">
                  <c:v>91.56518</c:v>
                </c:pt>
                <c:pt idx="2574">
                  <c:v>91.56337</c:v>
                </c:pt>
                <c:pt idx="2575">
                  <c:v>91.56177</c:v>
                </c:pt>
                <c:pt idx="2576">
                  <c:v>91.56008</c:v>
                </c:pt>
                <c:pt idx="2577">
                  <c:v>91.55839999999998</c:v>
                </c:pt>
                <c:pt idx="2578">
                  <c:v>91.55667</c:v>
                </c:pt>
                <c:pt idx="2579">
                  <c:v>91.55505999999998</c:v>
                </c:pt>
                <c:pt idx="2580">
                  <c:v>91.55342</c:v>
                </c:pt>
                <c:pt idx="2581">
                  <c:v>91.55165</c:v>
                </c:pt>
                <c:pt idx="2582">
                  <c:v>91.55013</c:v>
                </c:pt>
                <c:pt idx="2583">
                  <c:v>91.54828</c:v>
                </c:pt>
                <c:pt idx="2584">
                  <c:v>91.54663</c:v>
                </c:pt>
                <c:pt idx="2585">
                  <c:v>91.54503</c:v>
                </c:pt>
                <c:pt idx="2586">
                  <c:v>91.54338</c:v>
                </c:pt>
                <c:pt idx="2587">
                  <c:v>91.54174</c:v>
                </c:pt>
                <c:pt idx="2588">
                  <c:v>91.54009</c:v>
                </c:pt>
                <c:pt idx="2589">
                  <c:v>91.53844999999998</c:v>
                </c:pt>
                <c:pt idx="2590">
                  <c:v>91.53668</c:v>
                </c:pt>
                <c:pt idx="2591">
                  <c:v>91.53491</c:v>
                </c:pt>
                <c:pt idx="2592">
                  <c:v>91.53331</c:v>
                </c:pt>
                <c:pt idx="2593">
                  <c:v>91.53174</c:v>
                </c:pt>
                <c:pt idx="2594">
                  <c:v>91.53014</c:v>
                </c:pt>
                <c:pt idx="2595">
                  <c:v>91.52844999999998</c:v>
                </c:pt>
                <c:pt idx="2596">
                  <c:v>91.52693</c:v>
                </c:pt>
                <c:pt idx="2597">
                  <c:v>91.52548999999995</c:v>
                </c:pt>
                <c:pt idx="2598">
                  <c:v>91.52379999999998</c:v>
                </c:pt>
                <c:pt idx="2599">
                  <c:v>91.52207999999958</c:v>
                </c:pt>
                <c:pt idx="2600">
                  <c:v>91.52046999999997</c:v>
                </c:pt>
                <c:pt idx="2601">
                  <c:v>91.51891</c:v>
                </c:pt>
                <c:pt idx="2602">
                  <c:v>91.51743</c:v>
                </c:pt>
                <c:pt idx="2603">
                  <c:v>91.5157</c:v>
                </c:pt>
                <c:pt idx="2604">
                  <c:v>91.51418</c:v>
                </c:pt>
                <c:pt idx="2605">
                  <c:v>91.51282</c:v>
                </c:pt>
                <c:pt idx="2606">
                  <c:v>91.51126</c:v>
                </c:pt>
                <c:pt idx="2607">
                  <c:v>91.50973999999998</c:v>
                </c:pt>
                <c:pt idx="2608">
                  <c:v>91.50808999999998</c:v>
                </c:pt>
                <c:pt idx="2609">
                  <c:v>91.50657</c:v>
                </c:pt>
                <c:pt idx="2610">
                  <c:v>91.50476</c:v>
                </c:pt>
                <c:pt idx="2611">
                  <c:v>91.50315</c:v>
                </c:pt>
                <c:pt idx="2612">
                  <c:v>91.50155</c:v>
                </c:pt>
                <c:pt idx="2613">
                  <c:v>91.49999</c:v>
                </c:pt>
                <c:pt idx="2614">
                  <c:v>91.49842</c:v>
                </c:pt>
                <c:pt idx="2615">
                  <c:v>91.49666</c:v>
                </c:pt>
                <c:pt idx="2616">
                  <c:v>91.49517</c:v>
                </c:pt>
                <c:pt idx="2617">
                  <c:v>91.49382</c:v>
                </c:pt>
                <c:pt idx="2618">
                  <c:v>91.4923</c:v>
                </c:pt>
                <c:pt idx="2619">
                  <c:v>91.49069</c:v>
                </c:pt>
                <c:pt idx="2620">
                  <c:v>91.48909</c:v>
                </c:pt>
                <c:pt idx="2621">
                  <c:v>91.48756</c:v>
                </c:pt>
                <c:pt idx="2622">
                  <c:v>91.48592</c:v>
                </c:pt>
                <c:pt idx="2623">
                  <c:v>91.48436</c:v>
                </c:pt>
                <c:pt idx="2624">
                  <c:v>91.48304</c:v>
                </c:pt>
                <c:pt idx="2625">
                  <c:v>91.48168</c:v>
                </c:pt>
                <c:pt idx="2626">
                  <c:v>91.48004</c:v>
                </c:pt>
                <c:pt idx="2627">
                  <c:v>91.47842999999997</c:v>
                </c:pt>
                <c:pt idx="2628">
                  <c:v>91.47708</c:v>
                </c:pt>
                <c:pt idx="2629">
                  <c:v>91.4756</c:v>
                </c:pt>
                <c:pt idx="2630">
                  <c:v>91.47432</c:v>
                </c:pt>
                <c:pt idx="2631">
                  <c:v>91.47287999999975</c:v>
                </c:pt>
                <c:pt idx="2632">
                  <c:v>91.47123</c:v>
                </c:pt>
                <c:pt idx="2633">
                  <c:v>91.46984</c:v>
                </c:pt>
                <c:pt idx="2634">
                  <c:v>91.46815</c:v>
                </c:pt>
                <c:pt idx="2635">
                  <c:v>91.46687</c:v>
                </c:pt>
                <c:pt idx="2636">
                  <c:v>91.46544</c:v>
                </c:pt>
                <c:pt idx="2637">
                  <c:v>91.464</c:v>
                </c:pt>
                <c:pt idx="2638">
                  <c:v>91.46256</c:v>
                </c:pt>
                <c:pt idx="2639">
                  <c:v>91.46112</c:v>
                </c:pt>
                <c:pt idx="2640">
                  <c:v>91.45976</c:v>
                </c:pt>
                <c:pt idx="2641">
                  <c:v>91.45824</c:v>
                </c:pt>
                <c:pt idx="2642">
                  <c:v>91.45655</c:v>
                </c:pt>
                <c:pt idx="2643">
                  <c:v>91.45503</c:v>
                </c:pt>
                <c:pt idx="2644">
                  <c:v>91.45375</c:v>
                </c:pt>
                <c:pt idx="2645">
                  <c:v>91.45230999999998</c:v>
                </c:pt>
                <c:pt idx="2646">
                  <c:v>91.45071</c:v>
                </c:pt>
                <c:pt idx="2647">
                  <c:v>91.44915</c:v>
                </c:pt>
                <c:pt idx="2648">
                  <c:v>91.44775</c:v>
                </c:pt>
                <c:pt idx="2649">
                  <c:v>91.44639</c:v>
                </c:pt>
                <c:pt idx="2650">
                  <c:v>91.44495</c:v>
                </c:pt>
                <c:pt idx="2651">
                  <c:v>91.44343</c:v>
                </c:pt>
                <c:pt idx="2652">
                  <c:v>91.44207</c:v>
                </c:pt>
                <c:pt idx="2653">
                  <c:v>91.44071</c:v>
                </c:pt>
                <c:pt idx="2654">
                  <c:v>91.43923</c:v>
                </c:pt>
                <c:pt idx="2655">
                  <c:v>91.43775</c:v>
                </c:pt>
                <c:pt idx="2656">
                  <c:v>91.4364</c:v>
                </c:pt>
                <c:pt idx="2657">
                  <c:v>91.43512</c:v>
                </c:pt>
                <c:pt idx="2658">
                  <c:v>91.43393</c:v>
                </c:pt>
                <c:pt idx="2659">
                  <c:v>91.43249</c:v>
                </c:pt>
                <c:pt idx="2660">
                  <c:v>91.43097</c:v>
                </c:pt>
                <c:pt idx="2661">
                  <c:v>91.42977</c:v>
                </c:pt>
                <c:pt idx="2662">
                  <c:v>91.42857999999998</c:v>
                </c:pt>
                <c:pt idx="2663">
                  <c:v>91.42706</c:v>
                </c:pt>
                <c:pt idx="2664">
                  <c:v>91.42562</c:v>
                </c:pt>
                <c:pt idx="2665">
                  <c:v>91.42438</c:v>
                </c:pt>
                <c:pt idx="2666">
                  <c:v>91.42299</c:v>
                </c:pt>
                <c:pt idx="2667">
                  <c:v>91.42126</c:v>
                </c:pt>
                <c:pt idx="2668">
                  <c:v>91.41974</c:v>
                </c:pt>
                <c:pt idx="2669">
                  <c:v>91.41834</c:v>
                </c:pt>
                <c:pt idx="2670">
                  <c:v>91.41702</c:v>
                </c:pt>
                <c:pt idx="2671">
                  <c:v>91.41566</c:v>
                </c:pt>
                <c:pt idx="2672">
                  <c:v>91.41427</c:v>
                </c:pt>
                <c:pt idx="2673">
                  <c:v>91.41295</c:v>
                </c:pt>
                <c:pt idx="2674">
                  <c:v>91.41163</c:v>
                </c:pt>
                <c:pt idx="2675">
                  <c:v>91.41023000000002</c:v>
                </c:pt>
                <c:pt idx="2676">
                  <c:v>91.40887999999998</c:v>
                </c:pt>
                <c:pt idx="2677">
                  <c:v>91.40756</c:v>
                </c:pt>
                <c:pt idx="2678">
                  <c:v>91.40612</c:v>
                </c:pt>
                <c:pt idx="2679">
                  <c:v>91.40456</c:v>
                </c:pt>
                <c:pt idx="2680">
                  <c:v>91.40316</c:v>
                </c:pt>
                <c:pt idx="2681">
                  <c:v>91.4018</c:v>
                </c:pt>
                <c:pt idx="2682">
                  <c:v>91.4004</c:v>
                </c:pt>
                <c:pt idx="2683">
                  <c:v>91.39905</c:v>
                </c:pt>
                <c:pt idx="2684">
                  <c:v>91.39785</c:v>
                </c:pt>
                <c:pt idx="2685">
                  <c:v>91.39645</c:v>
                </c:pt>
                <c:pt idx="2686">
                  <c:v>91.3951</c:v>
                </c:pt>
                <c:pt idx="2687">
                  <c:v>91.39366</c:v>
                </c:pt>
                <c:pt idx="2688">
                  <c:v>91.39242</c:v>
                </c:pt>
                <c:pt idx="2689">
                  <c:v>91.39119</c:v>
                </c:pt>
                <c:pt idx="2690">
                  <c:v>91.38996</c:v>
                </c:pt>
                <c:pt idx="2691">
                  <c:v>91.38856</c:v>
                </c:pt>
                <c:pt idx="2692">
                  <c:v>91.3872</c:v>
                </c:pt>
                <c:pt idx="2693">
                  <c:v>91.38575999999995</c:v>
                </c:pt>
                <c:pt idx="2694">
                  <c:v>91.38432</c:v>
                </c:pt>
                <c:pt idx="2695">
                  <c:v>91.38308999999998</c:v>
                </c:pt>
                <c:pt idx="2696">
                  <c:v>91.38185</c:v>
                </c:pt>
                <c:pt idx="2697">
                  <c:v>91.38057999999998</c:v>
                </c:pt>
                <c:pt idx="2698">
                  <c:v>91.37926</c:v>
                </c:pt>
                <c:pt idx="2699">
                  <c:v>91.37777999999948</c:v>
                </c:pt>
                <c:pt idx="2700">
                  <c:v>91.37649999999998</c:v>
                </c:pt>
                <c:pt idx="2701">
                  <c:v>91.37526999999998</c:v>
                </c:pt>
                <c:pt idx="2702">
                  <c:v>91.37399999999998</c:v>
                </c:pt>
                <c:pt idx="2703">
                  <c:v>91.37255999999998</c:v>
                </c:pt>
                <c:pt idx="2704">
                  <c:v>91.37116</c:v>
                </c:pt>
                <c:pt idx="2705">
                  <c:v>91.36976</c:v>
                </c:pt>
                <c:pt idx="2706">
                  <c:v>91.36852</c:v>
                </c:pt>
                <c:pt idx="2707">
                  <c:v>91.36713</c:v>
                </c:pt>
                <c:pt idx="2708">
                  <c:v>91.36569</c:v>
                </c:pt>
                <c:pt idx="2709">
                  <c:v>91.36445</c:v>
                </c:pt>
                <c:pt idx="2710">
                  <c:v>91.36296999999997</c:v>
                </c:pt>
                <c:pt idx="2711">
                  <c:v>91.36157</c:v>
                </c:pt>
                <c:pt idx="2712">
                  <c:v>91.36022</c:v>
                </c:pt>
                <c:pt idx="2713">
                  <c:v>91.35902</c:v>
                </c:pt>
                <c:pt idx="2714">
                  <c:v>91.35774999999998</c:v>
                </c:pt>
                <c:pt idx="2715">
                  <c:v>91.35651</c:v>
                </c:pt>
                <c:pt idx="2716">
                  <c:v>91.35512</c:v>
                </c:pt>
                <c:pt idx="2717">
                  <c:v>91.35383999999995</c:v>
                </c:pt>
                <c:pt idx="2718">
                  <c:v>91.35261</c:v>
                </c:pt>
                <c:pt idx="2719">
                  <c:v>91.35141</c:v>
                </c:pt>
                <c:pt idx="2720">
                  <c:v>91.35013999999998</c:v>
                </c:pt>
                <c:pt idx="2721">
                  <c:v>91.34895</c:v>
                </c:pt>
                <c:pt idx="2722">
                  <c:v>91.34751</c:v>
                </c:pt>
                <c:pt idx="2723">
                  <c:v>91.34619</c:v>
                </c:pt>
                <c:pt idx="2724">
                  <c:v>91.34479</c:v>
                </c:pt>
                <c:pt idx="2725">
                  <c:v>91.3436</c:v>
                </c:pt>
                <c:pt idx="2726">
                  <c:v>91.34236</c:v>
                </c:pt>
                <c:pt idx="2727">
                  <c:v>91.34109</c:v>
                </c:pt>
                <c:pt idx="2728">
                  <c:v>91.33976999999997</c:v>
                </c:pt>
                <c:pt idx="2729">
                  <c:v>91.33849999999998</c:v>
                </c:pt>
                <c:pt idx="2730">
                  <c:v>91.33714</c:v>
                </c:pt>
                <c:pt idx="2731">
                  <c:v>91.33569999999997</c:v>
                </c:pt>
                <c:pt idx="2732">
                  <c:v>91.33426</c:v>
                </c:pt>
                <c:pt idx="2733">
                  <c:v>91.33327000000001</c:v>
                </c:pt>
                <c:pt idx="2734">
                  <c:v>91.33203999999998</c:v>
                </c:pt>
                <c:pt idx="2735">
                  <c:v>91.33043999999998</c:v>
                </c:pt>
                <c:pt idx="2736">
                  <c:v>91.32890999999998</c:v>
                </c:pt>
                <c:pt idx="2737">
                  <c:v>91.32747</c:v>
                </c:pt>
                <c:pt idx="2738">
                  <c:v>91.32624</c:v>
                </c:pt>
                <c:pt idx="2739">
                  <c:v>91.32500999999998</c:v>
                </c:pt>
                <c:pt idx="2740">
                  <c:v>91.32372999999998</c:v>
                </c:pt>
                <c:pt idx="2741">
                  <c:v>91.32249999999995</c:v>
                </c:pt>
                <c:pt idx="2742">
                  <c:v>91.32114</c:v>
                </c:pt>
                <c:pt idx="2743">
                  <c:v>91.31995</c:v>
                </c:pt>
                <c:pt idx="2744">
                  <c:v>91.31870999999998</c:v>
                </c:pt>
                <c:pt idx="2745">
                  <c:v>91.31735</c:v>
                </c:pt>
                <c:pt idx="2746">
                  <c:v>91.31616</c:v>
                </c:pt>
                <c:pt idx="2747">
                  <c:v>91.31501</c:v>
                </c:pt>
                <c:pt idx="2748">
                  <c:v>91.31365</c:v>
                </c:pt>
                <c:pt idx="2749">
                  <c:v>91.31213</c:v>
                </c:pt>
                <c:pt idx="2750">
                  <c:v>91.31102</c:v>
                </c:pt>
                <c:pt idx="2751">
                  <c:v>91.30983</c:v>
                </c:pt>
                <c:pt idx="2752">
                  <c:v>91.30854999999998</c:v>
                </c:pt>
                <c:pt idx="2753">
                  <c:v>91.30732</c:v>
                </c:pt>
                <c:pt idx="2754">
                  <c:v>91.30613</c:v>
                </c:pt>
                <c:pt idx="2755">
                  <c:v>91.30493000000001</c:v>
                </c:pt>
                <c:pt idx="2756">
                  <c:v>91.30353</c:v>
                </c:pt>
                <c:pt idx="2757">
                  <c:v>91.30217999999998</c:v>
                </c:pt>
                <c:pt idx="2758">
                  <c:v>91.3009</c:v>
                </c:pt>
                <c:pt idx="2759">
                  <c:v>91.29996</c:v>
                </c:pt>
                <c:pt idx="2760">
                  <c:v>91.29831</c:v>
                </c:pt>
                <c:pt idx="2761">
                  <c:v>91.29662</c:v>
                </c:pt>
                <c:pt idx="2762">
                  <c:v>91.29547</c:v>
                </c:pt>
                <c:pt idx="2763">
                  <c:v>91.29436</c:v>
                </c:pt>
                <c:pt idx="2764">
                  <c:v>91.29317</c:v>
                </c:pt>
                <c:pt idx="2765">
                  <c:v>91.29185</c:v>
                </c:pt>
                <c:pt idx="2766">
                  <c:v>91.29045</c:v>
                </c:pt>
                <c:pt idx="2767">
                  <c:v>91.28906</c:v>
                </c:pt>
                <c:pt idx="2768">
                  <c:v>91.2879</c:v>
                </c:pt>
                <c:pt idx="2769">
                  <c:v>91.28678999999998</c:v>
                </c:pt>
                <c:pt idx="2770">
                  <c:v>91.28564</c:v>
                </c:pt>
                <c:pt idx="2771">
                  <c:v>91.28465</c:v>
                </c:pt>
                <c:pt idx="2772">
                  <c:v>91.28346</c:v>
                </c:pt>
                <c:pt idx="2773">
                  <c:v>91.28214</c:v>
                </c:pt>
                <c:pt idx="2774">
                  <c:v>91.28078999999998</c:v>
                </c:pt>
                <c:pt idx="2775">
                  <c:v>91.27955</c:v>
                </c:pt>
                <c:pt idx="2776">
                  <c:v>91.27827999999998</c:v>
                </c:pt>
                <c:pt idx="2777">
                  <c:v>91.27704</c:v>
                </c:pt>
                <c:pt idx="2778">
                  <c:v>91.27592999999997</c:v>
                </c:pt>
                <c:pt idx="2779">
                  <c:v>91.27462</c:v>
                </c:pt>
                <c:pt idx="2780">
                  <c:v>91.27305</c:v>
                </c:pt>
                <c:pt idx="2781">
                  <c:v>91.27145</c:v>
                </c:pt>
                <c:pt idx="2782">
                  <c:v>91.27026</c:v>
                </c:pt>
                <c:pt idx="2783">
                  <c:v>91.26927</c:v>
                </c:pt>
                <c:pt idx="2784">
                  <c:v>91.26845</c:v>
                </c:pt>
                <c:pt idx="2785">
                  <c:v>91.26738</c:v>
                </c:pt>
                <c:pt idx="2786">
                  <c:v>91.26627</c:v>
                </c:pt>
                <c:pt idx="2787">
                  <c:v>91.26512</c:v>
                </c:pt>
                <c:pt idx="2788">
                  <c:v>91.264</c:v>
                </c:pt>
                <c:pt idx="2789">
                  <c:v>91.26281</c:v>
                </c:pt>
                <c:pt idx="2790">
                  <c:v>91.26145</c:v>
                </c:pt>
                <c:pt idx="2791">
                  <c:v>91.26022</c:v>
                </c:pt>
                <c:pt idx="2792">
                  <c:v>91.25889999999998</c:v>
                </c:pt>
                <c:pt idx="2793">
                  <c:v>91.25763</c:v>
                </c:pt>
                <c:pt idx="2794">
                  <c:v>91.25623</c:v>
                </c:pt>
                <c:pt idx="2795">
                  <c:v>91.25507999999998</c:v>
                </c:pt>
                <c:pt idx="2796">
                  <c:v>91.25376</c:v>
                </c:pt>
                <c:pt idx="2797">
                  <c:v>91.25253</c:v>
                </c:pt>
                <c:pt idx="2798">
                  <c:v>91.25137999999998</c:v>
                </c:pt>
                <c:pt idx="2799">
                  <c:v>91.25023</c:v>
                </c:pt>
                <c:pt idx="2800">
                  <c:v>91.24899</c:v>
                </c:pt>
                <c:pt idx="2801">
                  <c:v>91.2478</c:v>
                </c:pt>
                <c:pt idx="2802">
                  <c:v>91.24677000000001</c:v>
                </c:pt>
                <c:pt idx="2803">
                  <c:v>91.24554</c:v>
                </c:pt>
                <c:pt idx="2804">
                  <c:v>91.2443</c:v>
                </c:pt>
                <c:pt idx="2805">
                  <c:v>91.24299</c:v>
                </c:pt>
                <c:pt idx="2806">
                  <c:v>91.24163</c:v>
                </c:pt>
                <c:pt idx="2807">
                  <c:v>91.24039</c:v>
                </c:pt>
                <c:pt idx="2808">
                  <c:v>91.23932</c:v>
                </c:pt>
                <c:pt idx="2809">
                  <c:v>91.23805</c:v>
                </c:pt>
                <c:pt idx="2810">
                  <c:v>91.23686</c:v>
                </c:pt>
                <c:pt idx="2811">
                  <c:v>91.23574999999998</c:v>
                </c:pt>
                <c:pt idx="2812">
                  <c:v>91.23464</c:v>
                </c:pt>
                <c:pt idx="2813">
                  <c:v>91.23336</c:v>
                </c:pt>
                <c:pt idx="2814">
                  <c:v>91.23221</c:v>
                </c:pt>
                <c:pt idx="2815">
                  <c:v>91.23097000000001</c:v>
                </c:pt>
                <c:pt idx="2816">
                  <c:v>91.22973999999998</c:v>
                </c:pt>
                <c:pt idx="2817">
                  <c:v>91.22842</c:v>
                </c:pt>
                <c:pt idx="2818">
                  <c:v>91.22715</c:v>
                </c:pt>
                <c:pt idx="2819">
                  <c:v>91.22607999999998</c:v>
                </c:pt>
                <c:pt idx="2820">
                  <c:v>91.22504999999998</c:v>
                </c:pt>
                <c:pt idx="2821">
                  <c:v>91.22382</c:v>
                </c:pt>
                <c:pt idx="2822">
                  <c:v>91.22257999999998</c:v>
                </c:pt>
                <c:pt idx="2823">
                  <c:v>91.22135</c:v>
                </c:pt>
                <c:pt idx="2824">
                  <c:v>91.22036</c:v>
                </c:pt>
                <c:pt idx="2825">
                  <c:v>91.21933000000001</c:v>
                </c:pt>
                <c:pt idx="2826">
                  <c:v>91.2181</c:v>
                </c:pt>
                <c:pt idx="2827">
                  <c:v>91.21707</c:v>
                </c:pt>
                <c:pt idx="2828">
                  <c:v>91.21596</c:v>
                </c:pt>
                <c:pt idx="2829">
                  <c:v>91.2146</c:v>
                </c:pt>
                <c:pt idx="2830">
                  <c:v>91.21337000000001</c:v>
                </c:pt>
                <c:pt idx="2831">
                  <c:v>91.21209</c:v>
                </c:pt>
                <c:pt idx="2832">
                  <c:v>91.21082</c:v>
                </c:pt>
                <c:pt idx="2833">
                  <c:v>91.20967</c:v>
                </c:pt>
                <c:pt idx="2834">
                  <c:v>91.20838999999998</c:v>
                </c:pt>
                <c:pt idx="2835">
                  <c:v>91.20724</c:v>
                </c:pt>
                <c:pt idx="2836">
                  <c:v>91.20609</c:v>
                </c:pt>
                <c:pt idx="2837">
                  <c:v>91.20494</c:v>
                </c:pt>
                <c:pt idx="2838">
                  <c:v>91.20358</c:v>
                </c:pt>
                <c:pt idx="2839">
                  <c:v>91.20226</c:v>
                </c:pt>
                <c:pt idx="2840">
                  <c:v>91.20111</c:v>
                </c:pt>
                <c:pt idx="2841">
                  <c:v>91.2</c:v>
                </c:pt>
                <c:pt idx="2842">
                  <c:v>91.19880999999998</c:v>
                </c:pt>
                <c:pt idx="2843">
                  <c:v>91.19762</c:v>
                </c:pt>
                <c:pt idx="2844">
                  <c:v>91.19655</c:v>
                </c:pt>
                <c:pt idx="2845">
                  <c:v>91.19538999999965</c:v>
                </c:pt>
                <c:pt idx="2846">
                  <c:v>91.1942</c:v>
                </c:pt>
                <c:pt idx="2847">
                  <c:v>91.19301</c:v>
                </c:pt>
                <c:pt idx="2848">
                  <c:v>91.19169</c:v>
                </c:pt>
                <c:pt idx="2849">
                  <c:v>91.19037999999995</c:v>
                </c:pt>
                <c:pt idx="2850">
                  <c:v>91.18930999999998</c:v>
                </c:pt>
                <c:pt idx="2851">
                  <c:v>91.18827999999998</c:v>
                </c:pt>
                <c:pt idx="2852">
                  <c:v>91.18732999999997</c:v>
                </c:pt>
                <c:pt idx="2853">
                  <c:v>91.18638999999965</c:v>
                </c:pt>
                <c:pt idx="2854">
                  <c:v>91.18502999999998</c:v>
                </c:pt>
                <c:pt idx="2855">
                  <c:v>91.18367</c:v>
                </c:pt>
                <c:pt idx="2856">
                  <c:v>91.18230999999948</c:v>
                </c:pt>
                <c:pt idx="2857">
                  <c:v>91.18107999999998</c:v>
                </c:pt>
                <c:pt idx="2858">
                  <c:v>91.18000999999998</c:v>
                </c:pt>
                <c:pt idx="2859">
                  <c:v>91.17889999999925</c:v>
                </c:pt>
                <c:pt idx="2860">
                  <c:v>91.17767</c:v>
                </c:pt>
                <c:pt idx="2861">
                  <c:v>91.17659999999998</c:v>
                </c:pt>
                <c:pt idx="2862">
                  <c:v>91.17543999999903</c:v>
                </c:pt>
                <c:pt idx="2863">
                  <c:v>91.17437999999925</c:v>
                </c:pt>
                <c:pt idx="2864">
                  <c:v>91.17317999999958</c:v>
                </c:pt>
                <c:pt idx="2865">
                  <c:v>91.17214999999958</c:v>
                </c:pt>
                <c:pt idx="2866">
                  <c:v>91.1708799999991</c:v>
                </c:pt>
                <c:pt idx="2867">
                  <c:v>91.16976999999998</c:v>
                </c:pt>
                <c:pt idx="2868">
                  <c:v>91.16873999999925</c:v>
                </c:pt>
                <c:pt idx="2869">
                  <c:v>91.16763</c:v>
                </c:pt>
                <c:pt idx="2870">
                  <c:v>91.16643999999998</c:v>
                </c:pt>
                <c:pt idx="2871">
                  <c:v>91.16532999999998</c:v>
                </c:pt>
                <c:pt idx="2872">
                  <c:v>91.16405</c:v>
                </c:pt>
                <c:pt idx="2873">
                  <c:v>91.1631</c:v>
                </c:pt>
                <c:pt idx="2874">
                  <c:v>91.16199</c:v>
                </c:pt>
                <c:pt idx="2875">
                  <c:v>91.16101</c:v>
                </c:pt>
                <c:pt idx="2876">
                  <c:v>91.15989999999998</c:v>
                </c:pt>
                <c:pt idx="2877">
                  <c:v>91.15869999999998</c:v>
                </c:pt>
                <c:pt idx="2878">
                  <c:v>91.15763</c:v>
                </c:pt>
                <c:pt idx="2879">
                  <c:v>91.15656</c:v>
                </c:pt>
                <c:pt idx="2880">
                  <c:v>91.15524999999998</c:v>
                </c:pt>
                <c:pt idx="2881">
                  <c:v>91.15414</c:v>
                </c:pt>
                <c:pt idx="2882">
                  <c:v>91.15289999999958</c:v>
                </c:pt>
                <c:pt idx="2883">
                  <c:v>91.15170999999998</c:v>
                </c:pt>
                <c:pt idx="2884">
                  <c:v>91.15056</c:v>
                </c:pt>
                <c:pt idx="2885">
                  <c:v>91.14932</c:v>
                </c:pt>
                <c:pt idx="2886">
                  <c:v>91.14808999999998</c:v>
                </c:pt>
                <c:pt idx="2887">
                  <c:v>91.14686</c:v>
                </c:pt>
                <c:pt idx="2888">
                  <c:v>91.14566</c:v>
                </c:pt>
                <c:pt idx="2889">
                  <c:v>91.14464</c:v>
                </c:pt>
                <c:pt idx="2890">
                  <c:v>91.14344</c:v>
                </c:pt>
                <c:pt idx="2891">
                  <c:v>91.14232999999998</c:v>
                </c:pt>
                <c:pt idx="2892">
                  <c:v>91.14135</c:v>
                </c:pt>
                <c:pt idx="2893">
                  <c:v>91.14028</c:v>
                </c:pt>
                <c:pt idx="2894">
                  <c:v>91.13895999999998</c:v>
                </c:pt>
                <c:pt idx="2895">
                  <c:v>91.13785</c:v>
                </c:pt>
                <c:pt idx="2896">
                  <c:v>91.13661</c:v>
                </c:pt>
                <c:pt idx="2897">
                  <c:v>91.13558999999998</c:v>
                </c:pt>
                <c:pt idx="2898">
                  <c:v>91.13438999999998</c:v>
                </c:pt>
                <c:pt idx="2899">
                  <c:v>91.13312</c:v>
                </c:pt>
                <c:pt idx="2900">
                  <c:v>91.13197</c:v>
                </c:pt>
                <c:pt idx="2901">
                  <c:v>91.13072999999998</c:v>
                </c:pt>
                <c:pt idx="2902">
                  <c:v>91.12962</c:v>
                </c:pt>
                <c:pt idx="2903">
                  <c:v>91.12842999999998</c:v>
                </c:pt>
                <c:pt idx="2904">
                  <c:v>91.12735999999998</c:v>
                </c:pt>
                <c:pt idx="2905">
                  <c:v>91.12616999999997</c:v>
                </c:pt>
                <c:pt idx="2906">
                  <c:v>91.12509999999975</c:v>
                </c:pt>
                <c:pt idx="2907">
                  <c:v>91.12385999999998</c:v>
                </c:pt>
                <c:pt idx="2908">
                  <c:v>91.12266999999998</c:v>
                </c:pt>
                <c:pt idx="2909">
                  <c:v>91.12152</c:v>
                </c:pt>
                <c:pt idx="2910">
                  <c:v>91.12052999999997</c:v>
                </c:pt>
                <c:pt idx="2911">
                  <c:v>91.11946</c:v>
                </c:pt>
                <c:pt idx="2912">
                  <c:v>91.11827</c:v>
                </c:pt>
                <c:pt idx="2913">
                  <c:v>91.1172</c:v>
                </c:pt>
                <c:pt idx="2914">
                  <c:v>91.11587999999985</c:v>
                </c:pt>
                <c:pt idx="2915">
                  <c:v>91.11469</c:v>
                </c:pt>
                <c:pt idx="2916">
                  <c:v>91.1137</c:v>
                </c:pt>
                <c:pt idx="2917">
                  <c:v>91.11255</c:v>
                </c:pt>
                <c:pt idx="2918">
                  <c:v>91.1114</c:v>
                </c:pt>
                <c:pt idx="2919">
                  <c:v>91.11025</c:v>
                </c:pt>
                <c:pt idx="2920">
                  <c:v>91.10913999999998</c:v>
                </c:pt>
                <c:pt idx="2921">
                  <c:v>91.10802999999998</c:v>
                </c:pt>
                <c:pt idx="2922">
                  <c:v>91.10670999999998</c:v>
                </c:pt>
                <c:pt idx="2923">
                  <c:v>91.10567999999998</c:v>
                </c:pt>
                <c:pt idx="2924">
                  <c:v>91.10465</c:v>
                </c:pt>
                <c:pt idx="2925">
                  <c:v>91.10374999999995</c:v>
                </c:pt>
                <c:pt idx="2926">
                  <c:v>91.10267999999998</c:v>
                </c:pt>
                <c:pt idx="2927">
                  <c:v>91.10153</c:v>
                </c:pt>
                <c:pt idx="2928">
                  <c:v>91.10025</c:v>
                </c:pt>
                <c:pt idx="2929">
                  <c:v>91.0991</c:v>
                </c:pt>
                <c:pt idx="2930">
                  <c:v>91.09787</c:v>
                </c:pt>
                <c:pt idx="2931">
                  <c:v>91.09651</c:v>
                </c:pt>
                <c:pt idx="2932">
                  <c:v>91.09528</c:v>
                </c:pt>
                <c:pt idx="2933">
                  <c:v>91.09421</c:v>
                </c:pt>
                <c:pt idx="2934">
                  <c:v>91.09322</c:v>
                </c:pt>
                <c:pt idx="2935">
                  <c:v>91.09211</c:v>
                </c:pt>
                <c:pt idx="2936">
                  <c:v>91.09096</c:v>
                </c:pt>
                <c:pt idx="2937">
                  <c:v>91.08985</c:v>
                </c:pt>
                <c:pt idx="2938">
                  <c:v>91.08869</c:v>
                </c:pt>
                <c:pt idx="2939">
                  <c:v>91.08762</c:v>
                </c:pt>
                <c:pt idx="2940">
                  <c:v>91.08651</c:v>
                </c:pt>
                <c:pt idx="2941">
                  <c:v>91.08556999999997</c:v>
                </c:pt>
                <c:pt idx="2942">
                  <c:v>91.08446</c:v>
                </c:pt>
                <c:pt idx="2943">
                  <c:v>91.08330999999998</c:v>
                </c:pt>
                <c:pt idx="2944">
                  <c:v>91.08239999999998</c:v>
                </c:pt>
                <c:pt idx="2945">
                  <c:v>91.08129</c:v>
                </c:pt>
                <c:pt idx="2946">
                  <c:v>91.07996999999997</c:v>
                </c:pt>
                <c:pt idx="2947">
                  <c:v>91.0787399999991</c:v>
                </c:pt>
                <c:pt idx="2948">
                  <c:v>91.07759</c:v>
                </c:pt>
                <c:pt idx="2949">
                  <c:v>91.07643999999995</c:v>
                </c:pt>
                <c:pt idx="2950">
                  <c:v>91.07532999999998</c:v>
                </c:pt>
                <c:pt idx="2951">
                  <c:v>91.07433999999998</c:v>
                </c:pt>
                <c:pt idx="2952">
                  <c:v>91.07318999999998</c:v>
                </c:pt>
                <c:pt idx="2953">
                  <c:v>91.07207999999925</c:v>
                </c:pt>
                <c:pt idx="2954">
                  <c:v>91.07083999999985</c:v>
                </c:pt>
                <c:pt idx="2955">
                  <c:v>91.06973</c:v>
                </c:pt>
                <c:pt idx="2956">
                  <c:v>91.06857999999998</c:v>
                </c:pt>
                <c:pt idx="2957">
                  <c:v>91.06751</c:v>
                </c:pt>
                <c:pt idx="2958">
                  <c:v>91.0664</c:v>
                </c:pt>
                <c:pt idx="2959">
                  <c:v>91.06525</c:v>
                </c:pt>
                <c:pt idx="2960">
                  <c:v>91.06414</c:v>
                </c:pt>
                <c:pt idx="2961">
                  <c:v>91.06307</c:v>
                </c:pt>
                <c:pt idx="2962">
                  <c:v>91.06200000000001</c:v>
                </c:pt>
                <c:pt idx="2963">
                  <c:v>91.06081</c:v>
                </c:pt>
                <c:pt idx="2964">
                  <c:v>91.05973999999995</c:v>
                </c:pt>
                <c:pt idx="2965">
                  <c:v>91.05878999999958</c:v>
                </c:pt>
                <c:pt idx="2966">
                  <c:v>91.05768</c:v>
                </c:pt>
                <c:pt idx="2967">
                  <c:v>91.05665</c:v>
                </c:pt>
                <c:pt idx="2968">
                  <c:v>91.05557999999998</c:v>
                </c:pt>
                <c:pt idx="2969">
                  <c:v>91.05439</c:v>
                </c:pt>
                <c:pt idx="2970">
                  <c:v>91.05307</c:v>
                </c:pt>
                <c:pt idx="2971">
                  <c:v>91.05187999999998</c:v>
                </c:pt>
                <c:pt idx="2972">
                  <c:v>91.0506</c:v>
                </c:pt>
                <c:pt idx="2973">
                  <c:v>91.04974</c:v>
                </c:pt>
                <c:pt idx="2974">
                  <c:v>91.04871</c:v>
                </c:pt>
                <c:pt idx="2975">
                  <c:v>91.04768</c:v>
                </c:pt>
                <c:pt idx="2976">
                  <c:v>91.04666</c:v>
                </c:pt>
                <c:pt idx="2977">
                  <c:v>91.04559</c:v>
                </c:pt>
                <c:pt idx="2978">
                  <c:v>91.04435</c:v>
                </c:pt>
                <c:pt idx="2979">
                  <c:v>91.04304</c:v>
                </c:pt>
                <c:pt idx="2980">
                  <c:v>91.04176</c:v>
                </c:pt>
                <c:pt idx="2981">
                  <c:v>91.04053</c:v>
                </c:pt>
                <c:pt idx="2982">
                  <c:v>91.03954</c:v>
                </c:pt>
                <c:pt idx="2983">
                  <c:v>91.03838999999998</c:v>
                </c:pt>
                <c:pt idx="2984">
                  <c:v>91.03724</c:v>
                </c:pt>
                <c:pt idx="2985">
                  <c:v>91.03629</c:v>
                </c:pt>
                <c:pt idx="2986">
                  <c:v>91.03517999999998</c:v>
                </c:pt>
                <c:pt idx="2987">
                  <c:v>91.03399</c:v>
                </c:pt>
                <c:pt idx="2988">
                  <c:v>91.03287999999995</c:v>
                </c:pt>
                <c:pt idx="2989">
                  <c:v>91.03197</c:v>
                </c:pt>
                <c:pt idx="2990">
                  <c:v>91.03086</c:v>
                </c:pt>
                <c:pt idx="2991">
                  <c:v>91.02978999999995</c:v>
                </c:pt>
                <c:pt idx="2992">
                  <c:v>91.02859999999998</c:v>
                </c:pt>
                <c:pt idx="2993">
                  <c:v>91.02749</c:v>
                </c:pt>
                <c:pt idx="2994">
                  <c:v>91.0265</c:v>
                </c:pt>
                <c:pt idx="2995">
                  <c:v>91.02509999999998</c:v>
                </c:pt>
                <c:pt idx="2996">
                  <c:v>91.02378999999995</c:v>
                </c:pt>
                <c:pt idx="2997">
                  <c:v>91.02279999999975</c:v>
                </c:pt>
                <c:pt idx="2998">
                  <c:v>91.02189</c:v>
                </c:pt>
                <c:pt idx="2999">
                  <c:v>91.0207</c:v>
                </c:pt>
                <c:pt idx="3000">
                  <c:v>91.01959</c:v>
                </c:pt>
                <c:pt idx="3001">
                  <c:v>91.0186</c:v>
                </c:pt>
                <c:pt idx="3002">
                  <c:v>91.01745</c:v>
                </c:pt>
                <c:pt idx="3003">
                  <c:v>91.01613</c:v>
                </c:pt>
                <c:pt idx="3004">
                  <c:v>91.01498</c:v>
                </c:pt>
                <c:pt idx="3005">
                  <c:v>91.01371</c:v>
                </c:pt>
                <c:pt idx="3006">
                  <c:v>91.01272</c:v>
                </c:pt>
                <c:pt idx="3007">
                  <c:v>91.01165</c:v>
                </c:pt>
                <c:pt idx="3008">
                  <c:v>91.01058</c:v>
                </c:pt>
                <c:pt idx="3009">
                  <c:v>91.00927</c:v>
                </c:pt>
                <c:pt idx="3010">
                  <c:v>91.00832</c:v>
                </c:pt>
                <c:pt idx="3011">
                  <c:v>91.00733</c:v>
                </c:pt>
                <c:pt idx="3012">
                  <c:v>91.00622</c:v>
                </c:pt>
                <c:pt idx="3013">
                  <c:v>91.00511</c:v>
                </c:pt>
                <c:pt idx="3014">
                  <c:v>91.00412</c:v>
                </c:pt>
                <c:pt idx="3015">
                  <c:v>91.00297</c:v>
                </c:pt>
                <c:pt idx="3016">
                  <c:v>91.00203</c:v>
                </c:pt>
                <c:pt idx="3017">
                  <c:v>91.00104</c:v>
                </c:pt>
                <c:pt idx="3018">
                  <c:v>90.99993</c:v>
                </c:pt>
                <c:pt idx="3019">
                  <c:v>90.99874</c:v>
                </c:pt>
                <c:pt idx="3020">
                  <c:v>90.99758</c:v>
                </c:pt>
                <c:pt idx="3021">
                  <c:v>90.9966</c:v>
                </c:pt>
                <c:pt idx="3022">
                  <c:v>90.99557</c:v>
                </c:pt>
                <c:pt idx="3023">
                  <c:v>90.99433</c:v>
                </c:pt>
                <c:pt idx="3024">
                  <c:v>90.99322</c:v>
                </c:pt>
                <c:pt idx="3025">
                  <c:v>90.99215</c:v>
                </c:pt>
                <c:pt idx="3026">
                  <c:v>90.99125</c:v>
                </c:pt>
                <c:pt idx="3027">
                  <c:v>90.9903</c:v>
                </c:pt>
                <c:pt idx="3028">
                  <c:v>90.98923</c:v>
                </c:pt>
                <c:pt idx="3029">
                  <c:v>90.98792</c:v>
                </c:pt>
                <c:pt idx="3030">
                  <c:v>90.98701</c:v>
                </c:pt>
                <c:pt idx="3031">
                  <c:v>90.98603</c:v>
                </c:pt>
                <c:pt idx="3032">
                  <c:v>90.98496</c:v>
                </c:pt>
                <c:pt idx="3033">
                  <c:v>90.98393</c:v>
                </c:pt>
                <c:pt idx="3034">
                  <c:v>90.98277999999995</c:v>
                </c:pt>
                <c:pt idx="3035">
                  <c:v>90.98134</c:v>
                </c:pt>
                <c:pt idx="3036">
                  <c:v>90.98002</c:v>
                </c:pt>
                <c:pt idx="3037">
                  <c:v>90.97907</c:v>
                </c:pt>
                <c:pt idx="3038">
                  <c:v>90.97817</c:v>
                </c:pt>
                <c:pt idx="3039">
                  <c:v>90.97735</c:v>
                </c:pt>
                <c:pt idx="3040">
                  <c:v>90.97603</c:v>
                </c:pt>
                <c:pt idx="3041">
                  <c:v>90.9748</c:v>
                </c:pt>
                <c:pt idx="3042">
                  <c:v>90.9736</c:v>
                </c:pt>
                <c:pt idx="3043">
                  <c:v>90.97257</c:v>
                </c:pt>
                <c:pt idx="3044">
                  <c:v>90.97137999999998</c:v>
                </c:pt>
                <c:pt idx="3045">
                  <c:v>90.97019</c:v>
                </c:pt>
                <c:pt idx="3046">
                  <c:v>90.969</c:v>
                </c:pt>
                <c:pt idx="3047">
                  <c:v>90.96784</c:v>
                </c:pt>
                <c:pt idx="3048">
                  <c:v>90.96653</c:v>
                </c:pt>
                <c:pt idx="3049">
                  <c:v>90.96546</c:v>
                </c:pt>
                <c:pt idx="3050">
                  <c:v>90.96451</c:v>
                </c:pt>
                <c:pt idx="3051">
                  <c:v>90.96357</c:v>
                </c:pt>
                <c:pt idx="3052">
                  <c:v>90.96213</c:v>
                </c:pt>
                <c:pt idx="3053">
                  <c:v>90.96089</c:v>
                </c:pt>
                <c:pt idx="3054">
                  <c:v>90.95991</c:v>
                </c:pt>
                <c:pt idx="3055">
                  <c:v>90.95892</c:v>
                </c:pt>
                <c:pt idx="3056">
                  <c:v>90.95777</c:v>
                </c:pt>
                <c:pt idx="3057">
                  <c:v>90.95666</c:v>
                </c:pt>
                <c:pt idx="3058">
                  <c:v>90.95587</c:v>
                </c:pt>
                <c:pt idx="3059">
                  <c:v>90.9546</c:v>
                </c:pt>
                <c:pt idx="3060">
                  <c:v>90.95328</c:v>
                </c:pt>
                <c:pt idx="3061">
                  <c:v>90.95209</c:v>
                </c:pt>
                <c:pt idx="3062">
                  <c:v>90.95114</c:v>
                </c:pt>
                <c:pt idx="3063">
                  <c:v>90.95028</c:v>
                </c:pt>
                <c:pt idx="3064">
                  <c:v>90.94913</c:v>
                </c:pt>
                <c:pt idx="3065">
                  <c:v>90.9481</c:v>
                </c:pt>
                <c:pt idx="3066">
                  <c:v>90.94711</c:v>
                </c:pt>
                <c:pt idx="3067">
                  <c:v>90.94604</c:v>
                </c:pt>
                <c:pt idx="3068">
                  <c:v>90.94497000000002</c:v>
                </c:pt>
                <c:pt idx="3069">
                  <c:v>90.9439</c:v>
                </c:pt>
                <c:pt idx="3070">
                  <c:v>90.94279</c:v>
                </c:pt>
                <c:pt idx="3071">
                  <c:v>90.94156</c:v>
                </c:pt>
                <c:pt idx="3072">
                  <c:v>90.94024</c:v>
                </c:pt>
                <c:pt idx="3073">
                  <c:v>90.93901</c:v>
                </c:pt>
                <c:pt idx="3074">
                  <c:v>90.9379</c:v>
                </c:pt>
                <c:pt idx="3075">
                  <c:v>90.93691</c:v>
                </c:pt>
                <c:pt idx="3076">
                  <c:v>90.93572</c:v>
                </c:pt>
                <c:pt idx="3077">
                  <c:v>90.93473</c:v>
                </c:pt>
                <c:pt idx="3078">
                  <c:v>90.93366</c:v>
                </c:pt>
                <c:pt idx="3079">
                  <c:v>90.93263</c:v>
                </c:pt>
                <c:pt idx="3080">
                  <c:v>90.93156</c:v>
                </c:pt>
                <c:pt idx="3081">
                  <c:v>90.93037</c:v>
                </c:pt>
                <c:pt idx="3082">
                  <c:v>90.92930000000001</c:v>
                </c:pt>
                <c:pt idx="3083">
                  <c:v>90.92832</c:v>
                </c:pt>
                <c:pt idx="3084">
                  <c:v>90.927</c:v>
                </c:pt>
                <c:pt idx="3085">
                  <c:v>90.92581</c:v>
                </c:pt>
                <c:pt idx="3086">
                  <c:v>90.9247</c:v>
                </c:pt>
                <c:pt idx="3087">
                  <c:v>90.92371</c:v>
                </c:pt>
                <c:pt idx="3088">
                  <c:v>90.92275999999998</c:v>
                </c:pt>
                <c:pt idx="3089">
                  <c:v>90.92136</c:v>
                </c:pt>
                <c:pt idx="3090">
                  <c:v>90.92017000000001</c:v>
                </c:pt>
                <c:pt idx="3091">
                  <c:v>90.91922</c:v>
                </c:pt>
                <c:pt idx="3092">
                  <c:v>90.91828</c:v>
                </c:pt>
                <c:pt idx="3093">
                  <c:v>90.91729</c:v>
                </c:pt>
                <c:pt idx="3094">
                  <c:v>90.91635</c:v>
                </c:pt>
                <c:pt idx="3095">
                  <c:v>90.91528</c:v>
                </c:pt>
                <c:pt idx="3096">
                  <c:v>90.91404</c:v>
                </c:pt>
                <c:pt idx="3097">
                  <c:v>90.91293</c:v>
                </c:pt>
                <c:pt idx="3098">
                  <c:v>90.9117</c:v>
                </c:pt>
                <c:pt idx="3099">
                  <c:v>90.91071</c:v>
                </c:pt>
                <c:pt idx="3100">
                  <c:v>90.90952</c:v>
                </c:pt>
                <c:pt idx="3101">
                  <c:v>90.90837</c:v>
                </c:pt>
                <c:pt idx="3102">
                  <c:v>90.90738</c:v>
                </c:pt>
                <c:pt idx="3103">
                  <c:v>90.90627</c:v>
                </c:pt>
                <c:pt idx="3104">
                  <c:v>90.90499</c:v>
                </c:pt>
                <c:pt idx="3105">
                  <c:v>90.90368</c:v>
                </c:pt>
                <c:pt idx="3106">
                  <c:v>90.90265</c:v>
                </c:pt>
                <c:pt idx="3107">
                  <c:v>90.9017</c:v>
                </c:pt>
                <c:pt idx="3108">
                  <c:v>90.90067</c:v>
                </c:pt>
                <c:pt idx="3109">
                  <c:v>90.8996</c:v>
                </c:pt>
                <c:pt idx="3110">
                  <c:v>90.89866</c:v>
                </c:pt>
                <c:pt idx="3111">
                  <c:v>90.89738</c:v>
                </c:pt>
                <c:pt idx="3112">
                  <c:v>90.89603</c:v>
                </c:pt>
                <c:pt idx="3113">
                  <c:v>90.89479</c:v>
                </c:pt>
                <c:pt idx="3114">
                  <c:v>90.89368</c:v>
                </c:pt>
                <c:pt idx="3115">
                  <c:v>90.89282</c:v>
                </c:pt>
                <c:pt idx="3116">
                  <c:v>90.89179</c:v>
                </c:pt>
                <c:pt idx="3117">
                  <c:v>90.89064</c:v>
                </c:pt>
                <c:pt idx="3118">
                  <c:v>90.88965</c:v>
                </c:pt>
                <c:pt idx="3119">
                  <c:v>90.88845999999998</c:v>
                </c:pt>
                <c:pt idx="3120">
                  <c:v>90.88735</c:v>
                </c:pt>
                <c:pt idx="3121">
                  <c:v>90.88624</c:v>
                </c:pt>
                <c:pt idx="3122">
                  <c:v>90.88516999999997</c:v>
                </c:pt>
                <c:pt idx="3123">
                  <c:v>90.88422</c:v>
                </c:pt>
                <c:pt idx="3124">
                  <c:v>90.88319</c:v>
                </c:pt>
                <c:pt idx="3125">
                  <c:v>90.88207999999958</c:v>
                </c:pt>
                <c:pt idx="3126">
                  <c:v>90.88084999999998</c:v>
                </c:pt>
                <c:pt idx="3127">
                  <c:v>90.87969999999998</c:v>
                </c:pt>
                <c:pt idx="3128">
                  <c:v>90.87841999999995</c:v>
                </c:pt>
                <c:pt idx="3129">
                  <c:v>90.87727</c:v>
                </c:pt>
                <c:pt idx="3130">
                  <c:v>90.87616</c:v>
                </c:pt>
                <c:pt idx="3131">
                  <c:v>90.87524999999998</c:v>
                </c:pt>
                <c:pt idx="3132">
                  <c:v>90.8741</c:v>
                </c:pt>
                <c:pt idx="3133">
                  <c:v>90.87286999999998</c:v>
                </c:pt>
                <c:pt idx="3134">
                  <c:v>90.87167</c:v>
                </c:pt>
                <c:pt idx="3135">
                  <c:v>90.87080999999995</c:v>
                </c:pt>
                <c:pt idx="3136">
                  <c:v>90.86995</c:v>
                </c:pt>
                <c:pt idx="3137">
                  <c:v>90.86883999999995</c:v>
                </c:pt>
                <c:pt idx="3138">
                  <c:v>90.86777</c:v>
                </c:pt>
                <c:pt idx="3139">
                  <c:v>90.86653</c:v>
                </c:pt>
                <c:pt idx="3140">
                  <c:v>90.86533999999975</c:v>
                </c:pt>
                <c:pt idx="3141">
                  <c:v>90.86415</c:v>
                </c:pt>
                <c:pt idx="3142">
                  <c:v>90.8632</c:v>
                </c:pt>
                <c:pt idx="3143">
                  <c:v>90.86233999999965</c:v>
                </c:pt>
                <c:pt idx="3144">
                  <c:v>90.86119</c:v>
                </c:pt>
                <c:pt idx="3145">
                  <c:v>90.85986999999998</c:v>
                </c:pt>
                <c:pt idx="3146">
                  <c:v>90.85871999999995</c:v>
                </c:pt>
                <c:pt idx="3147">
                  <c:v>90.85769</c:v>
                </c:pt>
                <c:pt idx="3148">
                  <c:v>90.85673999999958</c:v>
                </c:pt>
                <c:pt idx="3149">
                  <c:v>90.85583999999938</c:v>
                </c:pt>
                <c:pt idx="3150">
                  <c:v>90.85472999999997</c:v>
                </c:pt>
                <c:pt idx="3151">
                  <c:v>90.85377999999938</c:v>
                </c:pt>
                <c:pt idx="3152">
                  <c:v>90.85246999999998</c:v>
                </c:pt>
                <c:pt idx="3153">
                  <c:v>90.85097999999998</c:v>
                </c:pt>
                <c:pt idx="3154">
                  <c:v>90.84979</c:v>
                </c:pt>
                <c:pt idx="3155">
                  <c:v>90.84879999999998</c:v>
                </c:pt>
                <c:pt idx="3156">
                  <c:v>90.8479</c:v>
                </c:pt>
                <c:pt idx="3157">
                  <c:v>90.84683</c:v>
                </c:pt>
                <c:pt idx="3158">
                  <c:v>90.84583999999998</c:v>
                </c:pt>
                <c:pt idx="3159">
                  <c:v>90.84498</c:v>
                </c:pt>
                <c:pt idx="3160">
                  <c:v>90.84403</c:v>
                </c:pt>
                <c:pt idx="3161">
                  <c:v>90.84309</c:v>
                </c:pt>
                <c:pt idx="3162">
                  <c:v>90.84189</c:v>
                </c:pt>
                <c:pt idx="3163">
                  <c:v>90.84066</c:v>
                </c:pt>
                <c:pt idx="3164">
                  <c:v>90.83933999999998</c:v>
                </c:pt>
                <c:pt idx="3165">
                  <c:v>90.83815</c:v>
                </c:pt>
                <c:pt idx="3166">
                  <c:v>90.83704</c:v>
                </c:pt>
                <c:pt idx="3167">
                  <c:v>90.83588999999998</c:v>
                </c:pt>
                <c:pt idx="3168">
                  <c:v>90.83482</c:v>
                </c:pt>
                <c:pt idx="3169">
                  <c:v>90.83363000000001</c:v>
                </c:pt>
                <c:pt idx="3170">
                  <c:v>90.83223</c:v>
                </c:pt>
                <c:pt idx="3171">
                  <c:v>90.8312</c:v>
                </c:pt>
                <c:pt idx="3172">
                  <c:v>90.83046</c:v>
                </c:pt>
                <c:pt idx="3173">
                  <c:v>90.82964</c:v>
                </c:pt>
                <c:pt idx="3174">
                  <c:v>90.82861</c:v>
                </c:pt>
                <c:pt idx="3175">
                  <c:v>90.82762</c:v>
                </c:pt>
                <c:pt idx="3176">
                  <c:v>90.82654999999998</c:v>
                </c:pt>
                <c:pt idx="3177">
                  <c:v>90.82551999999998</c:v>
                </c:pt>
                <c:pt idx="3178">
                  <c:v>90.82441</c:v>
                </c:pt>
                <c:pt idx="3179">
                  <c:v>90.82322</c:v>
                </c:pt>
                <c:pt idx="3180">
                  <c:v>90.82230999999958</c:v>
                </c:pt>
                <c:pt idx="3181">
                  <c:v>90.8212</c:v>
                </c:pt>
                <c:pt idx="3182">
                  <c:v>90.81976</c:v>
                </c:pt>
                <c:pt idx="3183">
                  <c:v>90.81845</c:v>
                </c:pt>
                <c:pt idx="3184">
                  <c:v>90.8175</c:v>
                </c:pt>
                <c:pt idx="3185">
                  <c:v>90.81672</c:v>
                </c:pt>
                <c:pt idx="3186">
                  <c:v>90.81557</c:v>
                </c:pt>
                <c:pt idx="3187">
                  <c:v>90.81438</c:v>
                </c:pt>
                <c:pt idx="3188">
                  <c:v>90.81318</c:v>
                </c:pt>
                <c:pt idx="3189">
                  <c:v>90.81211</c:v>
                </c:pt>
                <c:pt idx="3190">
                  <c:v>90.81096</c:v>
                </c:pt>
                <c:pt idx="3191">
                  <c:v>90.8096</c:v>
                </c:pt>
                <c:pt idx="3192">
                  <c:v>90.80848999999998</c:v>
                </c:pt>
                <c:pt idx="3193">
                  <c:v>90.80771</c:v>
                </c:pt>
                <c:pt idx="3194">
                  <c:v>90.80668</c:v>
                </c:pt>
                <c:pt idx="3195">
                  <c:v>90.80566</c:v>
                </c:pt>
                <c:pt idx="3196">
                  <c:v>90.80463</c:v>
                </c:pt>
                <c:pt idx="3197">
                  <c:v>90.8036</c:v>
                </c:pt>
                <c:pt idx="3198">
                  <c:v>90.80253</c:v>
                </c:pt>
                <c:pt idx="3199">
                  <c:v>90.80142</c:v>
                </c:pt>
                <c:pt idx="3200">
                  <c:v>90.80030999999998</c:v>
                </c:pt>
                <c:pt idx="3201">
                  <c:v>90.79932</c:v>
                </c:pt>
                <c:pt idx="3202">
                  <c:v>90.79809</c:v>
                </c:pt>
                <c:pt idx="3203">
                  <c:v>90.79681</c:v>
                </c:pt>
                <c:pt idx="3204">
                  <c:v>90.79554</c:v>
                </c:pt>
                <c:pt idx="3205">
                  <c:v>90.79463000000002</c:v>
                </c:pt>
                <c:pt idx="3206">
                  <c:v>90.7936</c:v>
                </c:pt>
                <c:pt idx="3207">
                  <c:v>90.79241</c:v>
                </c:pt>
                <c:pt idx="3208">
                  <c:v>90.79134</c:v>
                </c:pt>
                <c:pt idx="3209">
                  <c:v>90.79031</c:v>
                </c:pt>
                <c:pt idx="3210">
                  <c:v>90.78928</c:v>
                </c:pt>
                <c:pt idx="3211">
                  <c:v>90.78808999999998</c:v>
                </c:pt>
                <c:pt idx="3212">
                  <c:v>90.7871</c:v>
                </c:pt>
                <c:pt idx="3213">
                  <c:v>90.78628</c:v>
                </c:pt>
                <c:pt idx="3214">
                  <c:v>90.78533999999995</c:v>
                </c:pt>
                <c:pt idx="3215">
                  <c:v>90.7841</c:v>
                </c:pt>
                <c:pt idx="3216">
                  <c:v>90.78316</c:v>
                </c:pt>
                <c:pt idx="3217">
                  <c:v>90.78221</c:v>
                </c:pt>
                <c:pt idx="3218">
                  <c:v>90.78126</c:v>
                </c:pt>
                <c:pt idx="3219">
                  <c:v>90.78015</c:v>
                </c:pt>
                <c:pt idx="3220">
                  <c:v>90.77896</c:v>
                </c:pt>
                <c:pt idx="3221">
                  <c:v>90.77789</c:v>
                </c:pt>
                <c:pt idx="3222">
                  <c:v>90.77677999999958</c:v>
                </c:pt>
                <c:pt idx="3223">
                  <c:v>90.77574999999958</c:v>
                </c:pt>
                <c:pt idx="3224">
                  <c:v>90.77468</c:v>
                </c:pt>
                <c:pt idx="3225">
                  <c:v>90.77361</c:v>
                </c:pt>
                <c:pt idx="3226">
                  <c:v>90.77249999999998</c:v>
                </c:pt>
                <c:pt idx="3227">
                  <c:v>90.77135</c:v>
                </c:pt>
                <c:pt idx="3228">
                  <c:v>90.77035999999998</c:v>
                </c:pt>
                <c:pt idx="3229">
                  <c:v>90.76933</c:v>
                </c:pt>
                <c:pt idx="3230">
                  <c:v>90.76818</c:v>
                </c:pt>
                <c:pt idx="3231">
                  <c:v>90.76691</c:v>
                </c:pt>
                <c:pt idx="3232">
                  <c:v>90.76587999999998</c:v>
                </c:pt>
                <c:pt idx="3233">
                  <c:v>90.76481</c:v>
                </c:pt>
                <c:pt idx="3234">
                  <c:v>90.76386</c:v>
                </c:pt>
                <c:pt idx="3235">
                  <c:v>90.76274999999998</c:v>
                </c:pt>
                <c:pt idx="3236">
                  <c:v>90.76152</c:v>
                </c:pt>
                <c:pt idx="3237">
                  <c:v>90.76066</c:v>
                </c:pt>
                <c:pt idx="3238">
                  <c:v>90.75959</c:v>
                </c:pt>
                <c:pt idx="3239">
                  <c:v>90.75834999999998</c:v>
                </c:pt>
                <c:pt idx="3240">
                  <c:v>90.75728</c:v>
                </c:pt>
                <c:pt idx="3241">
                  <c:v>90.75621</c:v>
                </c:pt>
                <c:pt idx="3242">
                  <c:v>90.75506</c:v>
                </c:pt>
                <c:pt idx="3243">
                  <c:v>90.75366</c:v>
                </c:pt>
                <c:pt idx="3244">
                  <c:v>90.75230999999998</c:v>
                </c:pt>
                <c:pt idx="3245">
                  <c:v>90.75132</c:v>
                </c:pt>
                <c:pt idx="3246">
                  <c:v>90.75041</c:v>
                </c:pt>
                <c:pt idx="3247">
                  <c:v>90.74938</c:v>
                </c:pt>
                <c:pt idx="3248">
                  <c:v>90.74832</c:v>
                </c:pt>
                <c:pt idx="3249">
                  <c:v>90.74725</c:v>
                </c:pt>
                <c:pt idx="3250">
                  <c:v>90.7463</c:v>
                </c:pt>
                <c:pt idx="3251">
                  <c:v>90.74531</c:v>
                </c:pt>
                <c:pt idx="3252">
                  <c:v>90.74416</c:v>
                </c:pt>
                <c:pt idx="3253">
                  <c:v>90.74305</c:v>
                </c:pt>
                <c:pt idx="3254">
                  <c:v>90.74198</c:v>
                </c:pt>
                <c:pt idx="3255">
                  <c:v>90.74075</c:v>
                </c:pt>
                <c:pt idx="3256">
                  <c:v>90.7396</c:v>
                </c:pt>
                <c:pt idx="3257">
                  <c:v>90.73847999999998</c:v>
                </c:pt>
                <c:pt idx="3258">
                  <c:v>90.73746</c:v>
                </c:pt>
                <c:pt idx="3259">
                  <c:v>90.73639</c:v>
                </c:pt>
                <c:pt idx="3260">
                  <c:v>90.73536</c:v>
                </c:pt>
                <c:pt idx="3261">
                  <c:v>90.73433</c:v>
                </c:pt>
                <c:pt idx="3262">
                  <c:v>90.73322</c:v>
                </c:pt>
                <c:pt idx="3263">
                  <c:v>90.73219</c:v>
                </c:pt>
                <c:pt idx="3264">
                  <c:v>90.7312</c:v>
                </c:pt>
                <c:pt idx="3265">
                  <c:v>90.73022</c:v>
                </c:pt>
                <c:pt idx="3266">
                  <c:v>90.72931</c:v>
                </c:pt>
                <c:pt idx="3267">
                  <c:v>90.7282</c:v>
                </c:pt>
                <c:pt idx="3268">
                  <c:v>90.72697</c:v>
                </c:pt>
                <c:pt idx="3269">
                  <c:v>90.72576999999998</c:v>
                </c:pt>
                <c:pt idx="3270">
                  <c:v>90.72479</c:v>
                </c:pt>
                <c:pt idx="3271">
                  <c:v>90.72368</c:v>
                </c:pt>
                <c:pt idx="3272">
                  <c:v>90.72261</c:v>
                </c:pt>
                <c:pt idx="3273">
                  <c:v>90.72166</c:v>
                </c:pt>
                <c:pt idx="3274">
                  <c:v>90.72063</c:v>
                </c:pt>
                <c:pt idx="3275">
                  <c:v>90.7196</c:v>
                </c:pt>
                <c:pt idx="3276">
                  <c:v>90.71841</c:v>
                </c:pt>
                <c:pt idx="3277">
                  <c:v>90.71734</c:v>
                </c:pt>
                <c:pt idx="3278">
                  <c:v>90.7164</c:v>
                </c:pt>
                <c:pt idx="3279">
                  <c:v>90.71524</c:v>
                </c:pt>
                <c:pt idx="3280">
                  <c:v>90.71417</c:v>
                </c:pt>
                <c:pt idx="3281">
                  <c:v>90.71294</c:v>
                </c:pt>
                <c:pt idx="3282">
                  <c:v>90.71162</c:v>
                </c:pt>
                <c:pt idx="3283">
                  <c:v>90.71043</c:v>
                </c:pt>
                <c:pt idx="3284">
                  <c:v>90.70928</c:v>
                </c:pt>
                <c:pt idx="3285">
                  <c:v>90.70821</c:v>
                </c:pt>
                <c:pt idx="3286">
                  <c:v>90.70726</c:v>
                </c:pt>
                <c:pt idx="3287">
                  <c:v>90.70636</c:v>
                </c:pt>
                <c:pt idx="3288">
                  <c:v>90.70529</c:v>
                </c:pt>
                <c:pt idx="3289">
                  <c:v>90.70418</c:v>
                </c:pt>
                <c:pt idx="3290">
                  <c:v>90.70315</c:v>
                </c:pt>
                <c:pt idx="3291">
                  <c:v>90.70203999999998</c:v>
                </c:pt>
                <c:pt idx="3292">
                  <c:v>90.70093</c:v>
                </c:pt>
                <c:pt idx="3293">
                  <c:v>90.69982</c:v>
                </c:pt>
                <c:pt idx="3294">
                  <c:v>90.69886999999998</c:v>
                </c:pt>
                <c:pt idx="3295">
                  <c:v>90.69804999999998</c:v>
                </c:pt>
                <c:pt idx="3296">
                  <c:v>90.69702</c:v>
                </c:pt>
                <c:pt idx="3297">
                  <c:v>90.69578999999958</c:v>
                </c:pt>
                <c:pt idx="3298">
                  <c:v>90.69455</c:v>
                </c:pt>
                <c:pt idx="3299">
                  <c:v>90.69339999999998</c:v>
                </c:pt>
                <c:pt idx="3300">
                  <c:v>90.69217</c:v>
                </c:pt>
                <c:pt idx="3301">
                  <c:v>90.69097999999998</c:v>
                </c:pt>
                <c:pt idx="3302">
                  <c:v>90.69003</c:v>
                </c:pt>
                <c:pt idx="3303">
                  <c:v>90.68899999999998</c:v>
                </c:pt>
                <c:pt idx="3304">
                  <c:v>90.68797</c:v>
                </c:pt>
                <c:pt idx="3305">
                  <c:v>90.68685999999998</c:v>
                </c:pt>
                <c:pt idx="3306">
                  <c:v>90.68603999999995</c:v>
                </c:pt>
                <c:pt idx="3307">
                  <c:v>90.68497</c:v>
                </c:pt>
                <c:pt idx="3308">
                  <c:v>90.68381999999998</c:v>
                </c:pt>
                <c:pt idx="3309">
                  <c:v>90.6827899999991</c:v>
                </c:pt>
                <c:pt idx="3310">
                  <c:v>90.68168</c:v>
                </c:pt>
                <c:pt idx="3311">
                  <c:v>90.68048999999998</c:v>
                </c:pt>
                <c:pt idx="3312">
                  <c:v>90.67924999999998</c:v>
                </c:pt>
                <c:pt idx="3313">
                  <c:v>90.67805999999958</c:v>
                </c:pt>
                <c:pt idx="3314">
                  <c:v>90.67711</c:v>
                </c:pt>
                <c:pt idx="3315">
                  <c:v>90.67621</c:v>
                </c:pt>
                <c:pt idx="3316">
                  <c:v>90.67496999999997</c:v>
                </c:pt>
                <c:pt idx="3317">
                  <c:v>90.67373999999907</c:v>
                </c:pt>
                <c:pt idx="3318">
                  <c:v>90.67262999999998</c:v>
                </c:pt>
                <c:pt idx="3319">
                  <c:v>90.67163999999998</c:v>
                </c:pt>
                <c:pt idx="3320">
                  <c:v>90.67073999999903</c:v>
                </c:pt>
                <c:pt idx="3321">
                  <c:v>90.66959</c:v>
                </c:pt>
                <c:pt idx="3322">
                  <c:v>90.66852</c:v>
                </c:pt>
                <c:pt idx="3323">
                  <c:v>90.66757000000001</c:v>
                </c:pt>
                <c:pt idx="3324">
                  <c:v>90.6665</c:v>
                </c:pt>
                <c:pt idx="3325">
                  <c:v>90.66546999999998</c:v>
                </c:pt>
                <c:pt idx="3326">
                  <c:v>90.6644</c:v>
                </c:pt>
                <c:pt idx="3327">
                  <c:v>90.66336999999998</c:v>
                </c:pt>
                <c:pt idx="3328">
                  <c:v>90.66258999999998</c:v>
                </c:pt>
                <c:pt idx="3329">
                  <c:v>90.66157000000001</c:v>
                </c:pt>
                <c:pt idx="3330">
                  <c:v>90.66044999999998</c:v>
                </c:pt>
                <c:pt idx="3331">
                  <c:v>90.65942999999998</c:v>
                </c:pt>
                <c:pt idx="3332">
                  <c:v>90.65831999999975</c:v>
                </c:pt>
                <c:pt idx="3333">
                  <c:v>90.65699999999998</c:v>
                </c:pt>
                <c:pt idx="3334">
                  <c:v>90.65592999999998</c:v>
                </c:pt>
                <c:pt idx="3335">
                  <c:v>90.65493999999998</c:v>
                </c:pt>
                <c:pt idx="3336">
                  <c:v>90.65386999999998</c:v>
                </c:pt>
                <c:pt idx="3337">
                  <c:v>90.65279999999925</c:v>
                </c:pt>
                <c:pt idx="3338">
                  <c:v>90.65172999999998</c:v>
                </c:pt>
                <c:pt idx="3339">
                  <c:v>90.65074999999958</c:v>
                </c:pt>
                <c:pt idx="3340">
                  <c:v>90.64968</c:v>
                </c:pt>
                <c:pt idx="3341">
                  <c:v>90.64847999999998</c:v>
                </c:pt>
                <c:pt idx="3342">
                  <c:v>90.64737</c:v>
                </c:pt>
                <c:pt idx="3343">
                  <c:v>90.64635</c:v>
                </c:pt>
                <c:pt idx="3344">
                  <c:v>90.64524</c:v>
                </c:pt>
                <c:pt idx="3345">
                  <c:v>90.64408</c:v>
                </c:pt>
                <c:pt idx="3346">
                  <c:v>90.64322</c:v>
                </c:pt>
                <c:pt idx="3347">
                  <c:v>90.64215</c:v>
                </c:pt>
                <c:pt idx="3348">
                  <c:v>90.64108</c:v>
                </c:pt>
                <c:pt idx="3349">
                  <c:v>90.63997</c:v>
                </c:pt>
                <c:pt idx="3350">
                  <c:v>90.63873999999915</c:v>
                </c:pt>
                <c:pt idx="3351">
                  <c:v>90.63771</c:v>
                </c:pt>
                <c:pt idx="3352">
                  <c:v>90.63664</c:v>
                </c:pt>
                <c:pt idx="3353">
                  <c:v>90.63535999999995</c:v>
                </c:pt>
                <c:pt idx="3354">
                  <c:v>90.63433</c:v>
                </c:pt>
                <c:pt idx="3355">
                  <c:v>90.63327</c:v>
                </c:pt>
                <c:pt idx="3356">
                  <c:v>90.63231999999998</c:v>
                </c:pt>
                <c:pt idx="3357">
                  <c:v>90.63129</c:v>
                </c:pt>
                <c:pt idx="3358">
                  <c:v>90.63013999999998</c:v>
                </c:pt>
                <c:pt idx="3359">
                  <c:v>90.62906999999998</c:v>
                </c:pt>
                <c:pt idx="3360">
                  <c:v>90.62799999999998</c:v>
                </c:pt>
                <c:pt idx="3361">
                  <c:v>90.62688999999965</c:v>
                </c:pt>
                <c:pt idx="3362">
                  <c:v>90.62577999999883</c:v>
                </c:pt>
                <c:pt idx="3363">
                  <c:v>90.62474999999995</c:v>
                </c:pt>
                <c:pt idx="3364">
                  <c:v>90.62359999999998</c:v>
                </c:pt>
                <c:pt idx="3365">
                  <c:v>90.62231999999958</c:v>
                </c:pt>
                <c:pt idx="3366">
                  <c:v>90.62133999999975</c:v>
                </c:pt>
                <c:pt idx="3367">
                  <c:v>90.62046999999998</c:v>
                </c:pt>
                <c:pt idx="3368">
                  <c:v>90.61949</c:v>
                </c:pt>
                <c:pt idx="3369">
                  <c:v>90.61832999999998</c:v>
                </c:pt>
                <c:pt idx="3370">
                  <c:v>90.61714</c:v>
                </c:pt>
                <c:pt idx="3371">
                  <c:v>90.61619</c:v>
                </c:pt>
                <c:pt idx="3372">
                  <c:v>90.61503999999998</c:v>
                </c:pt>
                <c:pt idx="3373">
                  <c:v>90.61393</c:v>
                </c:pt>
                <c:pt idx="3374">
                  <c:v>90.61257999999998</c:v>
                </c:pt>
                <c:pt idx="3375">
                  <c:v>90.61167</c:v>
                </c:pt>
                <c:pt idx="3376">
                  <c:v>90.61064</c:v>
                </c:pt>
                <c:pt idx="3377">
                  <c:v>90.60961</c:v>
                </c:pt>
                <c:pt idx="3378">
                  <c:v>90.6083799999991</c:v>
                </c:pt>
                <c:pt idx="3379">
                  <c:v>90.60731</c:v>
                </c:pt>
                <c:pt idx="3380">
                  <c:v>90.60624</c:v>
                </c:pt>
                <c:pt idx="3381">
                  <c:v>90.60516999999998</c:v>
                </c:pt>
                <c:pt idx="3382">
                  <c:v>90.60414</c:v>
                </c:pt>
                <c:pt idx="3383">
                  <c:v>90.60316</c:v>
                </c:pt>
                <c:pt idx="3384">
                  <c:v>90.60203999999958</c:v>
                </c:pt>
                <c:pt idx="3385">
                  <c:v>90.60093</c:v>
                </c:pt>
                <c:pt idx="3386">
                  <c:v>90.59973999999998</c:v>
                </c:pt>
                <c:pt idx="3387">
                  <c:v>90.59867000000001</c:v>
                </c:pt>
                <c:pt idx="3388">
                  <c:v>90.59768</c:v>
                </c:pt>
                <c:pt idx="3389">
                  <c:v>90.59657</c:v>
                </c:pt>
                <c:pt idx="3390">
                  <c:v>90.59542</c:v>
                </c:pt>
                <c:pt idx="3391">
                  <c:v>90.59439</c:v>
                </c:pt>
                <c:pt idx="3392">
                  <c:v>90.59332</c:v>
                </c:pt>
                <c:pt idx="3393">
                  <c:v>90.59221</c:v>
                </c:pt>
                <c:pt idx="3394">
                  <c:v>90.5911</c:v>
                </c:pt>
                <c:pt idx="3395">
                  <c:v>90.58999</c:v>
                </c:pt>
                <c:pt idx="3396">
                  <c:v>90.58892</c:v>
                </c:pt>
                <c:pt idx="3397">
                  <c:v>90.58777</c:v>
                </c:pt>
                <c:pt idx="3398">
                  <c:v>90.58673999999998</c:v>
                </c:pt>
                <c:pt idx="3399">
                  <c:v>90.58567</c:v>
                </c:pt>
                <c:pt idx="3400">
                  <c:v>90.58469</c:v>
                </c:pt>
                <c:pt idx="3401">
                  <c:v>90.58345</c:v>
                </c:pt>
                <c:pt idx="3402">
                  <c:v>90.58233999999958</c:v>
                </c:pt>
                <c:pt idx="3403">
                  <c:v>90.58123</c:v>
                </c:pt>
                <c:pt idx="3404">
                  <c:v>90.58016</c:v>
                </c:pt>
                <c:pt idx="3405">
                  <c:v>90.57922</c:v>
                </c:pt>
                <c:pt idx="3406">
                  <c:v>90.57805999999998</c:v>
                </c:pt>
                <c:pt idx="3407">
                  <c:v>90.57694999999998</c:v>
                </c:pt>
                <c:pt idx="3408">
                  <c:v>90.57592999999998</c:v>
                </c:pt>
                <c:pt idx="3409">
                  <c:v>90.57465</c:v>
                </c:pt>
                <c:pt idx="3410">
                  <c:v>90.57349999999998</c:v>
                </c:pt>
                <c:pt idx="3411">
                  <c:v>90.57242999999998</c:v>
                </c:pt>
                <c:pt idx="3412">
                  <c:v>90.57143999999998</c:v>
                </c:pt>
                <c:pt idx="3413">
                  <c:v>90.57036999999998</c:v>
                </c:pt>
                <c:pt idx="3414">
                  <c:v>90.56930000000001</c:v>
                </c:pt>
                <c:pt idx="3415">
                  <c:v>90.56823</c:v>
                </c:pt>
                <c:pt idx="3416">
                  <c:v>90.56712</c:v>
                </c:pt>
                <c:pt idx="3417">
                  <c:v>90.56609</c:v>
                </c:pt>
                <c:pt idx="3418">
                  <c:v>90.5649</c:v>
                </c:pt>
                <c:pt idx="3419">
                  <c:v>90.56363</c:v>
                </c:pt>
                <c:pt idx="3420">
                  <c:v>90.56264</c:v>
                </c:pt>
                <c:pt idx="3421">
                  <c:v>90.56153</c:v>
                </c:pt>
                <c:pt idx="3422">
                  <c:v>90.56037999999998</c:v>
                </c:pt>
                <c:pt idx="3423">
                  <c:v>90.55927000000001</c:v>
                </c:pt>
                <c:pt idx="3424">
                  <c:v>90.55831999999998</c:v>
                </c:pt>
                <c:pt idx="3425">
                  <c:v>90.55721</c:v>
                </c:pt>
                <c:pt idx="3426">
                  <c:v>90.5561</c:v>
                </c:pt>
                <c:pt idx="3427">
                  <c:v>90.55518999999998</c:v>
                </c:pt>
                <c:pt idx="3428">
                  <c:v>90.55417000000001</c:v>
                </c:pt>
                <c:pt idx="3429">
                  <c:v>90.55322</c:v>
                </c:pt>
                <c:pt idx="3430">
                  <c:v>90.55211</c:v>
                </c:pt>
                <c:pt idx="3431">
                  <c:v>90.55108</c:v>
                </c:pt>
                <c:pt idx="3432">
                  <c:v>90.55008999999998</c:v>
                </c:pt>
                <c:pt idx="3433">
                  <c:v>90.54898</c:v>
                </c:pt>
                <c:pt idx="3434">
                  <c:v>90.54775</c:v>
                </c:pt>
                <c:pt idx="3435">
                  <c:v>90.5468</c:v>
                </c:pt>
                <c:pt idx="3436">
                  <c:v>90.54565</c:v>
                </c:pt>
                <c:pt idx="3437">
                  <c:v>90.54471</c:v>
                </c:pt>
                <c:pt idx="3438">
                  <c:v>90.54339</c:v>
                </c:pt>
                <c:pt idx="3439">
                  <c:v>90.54215</c:v>
                </c:pt>
                <c:pt idx="3440">
                  <c:v>90.54113</c:v>
                </c:pt>
                <c:pt idx="3441">
                  <c:v>90.54018</c:v>
                </c:pt>
                <c:pt idx="3442">
                  <c:v>90.53907</c:v>
                </c:pt>
                <c:pt idx="3443">
                  <c:v>90.53812</c:v>
                </c:pt>
                <c:pt idx="3444">
                  <c:v>90.53697</c:v>
                </c:pt>
                <c:pt idx="3445">
                  <c:v>90.53586</c:v>
                </c:pt>
                <c:pt idx="3446">
                  <c:v>90.53467</c:v>
                </c:pt>
                <c:pt idx="3447">
                  <c:v>90.53356</c:v>
                </c:pt>
                <c:pt idx="3448">
                  <c:v>90.53253</c:v>
                </c:pt>
                <c:pt idx="3449">
                  <c:v>90.5315</c:v>
                </c:pt>
                <c:pt idx="3450">
                  <c:v>90.53031</c:v>
                </c:pt>
                <c:pt idx="3451">
                  <c:v>90.52932</c:v>
                </c:pt>
                <c:pt idx="3452">
                  <c:v>90.52825</c:v>
                </c:pt>
                <c:pt idx="3453">
                  <c:v>90.52726</c:v>
                </c:pt>
                <c:pt idx="3454">
                  <c:v>90.52611</c:v>
                </c:pt>
                <c:pt idx="3455">
                  <c:v>90.525</c:v>
                </c:pt>
                <c:pt idx="3456">
                  <c:v>90.52388999999998</c:v>
                </c:pt>
                <c:pt idx="3457">
                  <c:v>90.52306999999997</c:v>
                </c:pt>
                <c:pt idx="3458">
                  <c:v>90.52216</c:v>
                </c:pt>
                <c:pt idx="3459">
                  <c:v>90.52114</c:v>
                </c:pt>
                <c:pt idx="3460">
                  <c:v>90.52006999999997</c:v>
                </c:pt>
                <c:pt idx="3461">
                  <c:v>90.51912</c:v>
                </c:pt>
                <c:pt idx="3462">
                  <c:v>90.51805</c:v>
                </c:pt>
                <c:pt idx="3463">
                  <c:v>90.51686</c:v>
                </c:pt>
                <c:pt idx="3464">
                  <c:v>90.51574999999998</c:v>
                </c:pt>
                <c:pt idx="3465">
                  <c:v>90.5148</c:v>
                </c:pt>
                <c:pt idx="3466">
                  <c:v>90.51369</c:v>
                </c:pt>
                <c:pt idx="3467">
                  <c:v>90.51254</c:v>
                </c:pt>
                <c:pt idx="3468">
                  <c:v>90.51143</c:v>
                </c:pt>
                <c:pt idx="3469">
                  <c:v>90.51044</c:v>
                </c:pt>
                <c:pt idx="3470">
                  <c:v>90.50936999999997</c:v>
                </c:pt>
                <c:pt idx="3471">
                  <c:v>90.50813999999998</c:v>
                </c:pt>
                <c:pt idx="3472">
                  <c:v>90.50707000000001</c:v>
                </c:pt>
                <c:pt idx="3473">
                  <c:v>90.50604</c:v>
                </c:pt>
                <c:pt idx="3474">
                  <c:v>90.50504999999998</c:v>
                </c:pt>
                <c:pt idx="3475">
                  <c:v>90.50386</c:v>
                </c:pt>
                <c:pt idx="3476">
                  <c:v>90.50267</c:v>
                </c:pt>
                <c:pt idx="3477">
                  <c:v>90.50164</c:v>
                </c:pt>
                <c:pt idx="3478">
                  <c:v>90.50061</c:v>
                </c:pt>
                <c:pt idx="3479">
                  <c:v>90.49933</c:v>
                </c:pt>
                <c:pt idx="3480">
                  <c:v>90.49814</c:v>
                </c:pt>
                <c:pt idx="3481">
                  <c:v>90.49699</c:v>
                </c:pt>
                <c:pt idx="3482">
                  <c:v>90.49584</c:v>
                </c:pt>
                <c:pt idx="3483">
                  <c:v>90.49473</c:v>
                </c:pt>
                <c:pt idx="3484">
                  <c:v>90.49378</c:v>
                </c:pt>
                <c:pt idx="3485">
                  <c:v>90.49271</c:v>
                </c:pt>
                <c:pt idx="3486">
                  <c:v>90.49177</c:v>
                </c:pt>
                <c:pt idx="3487">
                  <c:v>90.49066</c:v>
                </c:pt>
                <c:pt idx="3488">
                  <c:v>90.48955</c:v>
                </c:pt>
                <c:pt idx="3489">
                  <c:v>90.48847999999998</c:v>
                </c:pt>
                <c:pt idx="3490">
                  <c:v>90.48753</c:v>
                </c:pt>
                <c:pt idx="3491">
                  <c:v>90.48637999999998</c:v>
                </c:pt>
                <c:pt idx="3492">
                  <c:v>90.48523</c:v>
                </c:pt>
                <c:pt idx="3493">
                  <c:v>90.48416</c:v>
                </c:pt>
                <c:pt idx="3494">
                  <c:v>90.48287999999998</c:v>
                </c:pt>
                <c:pt idx="3495">
                  <c:v>90.48152</c:v>
                </c:pt>
                <c:pt idx="3496">
                  <c:v>90.48033</c:v>
                </c:pt>
                <c:pt idx="3497">
                  <c:v>90.47918</c:v>
                </c:pt>
                <c:pt idx="3498">
                  <c:v>90.47827</c:v>
                </c:pt>
                <c:pt idx="3499">
                  <c:v>90.47708</c:v>
                </c:pt>
                <c:pt idx="3500">
                  <c:v>90.47593</c:v>
                </c:pt>
                <c:pt idx="3501">
                  <c:v>90.47482</c:v>
                </c:pt>
                <c:pt idx="3502">
                  <c:v>90.47378999999998</c:v>
                </c:pt>
                <c:pt idx="3503">
                  <c:v>90.47238999999985</c:v>
                </c:pt>
                <c:pt idx="3504">
                  <c:v>90.47124</c:v>
                </c:pt>
                <c:pt idx="3505">
                  <c:v>90.47005</c:v>
                </c:pt>
                <c:pt idx="3506">
                  <c:v>90.4691</c:v>
                </c:pt>
                <c:pt idx="3507">
                  <c:v>90.46783</c:v>
                </c:pt>
                <c:pt idx="3508">
                  <c:v>90.46672</c:v>
                </c:pt>
                <c:pt idx="3509">
                  <c:v>90.46561</c:v>
                </c:pt>
                <c:pt idx="3510">
                  <c:v>90.46454</c:v>
                </c:pt>
                <c:pt idx="3511">
                  <c:v>90.46351</c:v>
                </c:pt>
                <c:pt idx="3512">
                  <c:v>90.46236</c:v>
                </c:pt>
                <c:pt idx="3513">
                  <c:v>90.46141</c:v>
                </c:pt>
                <c:pt idx="3514">
                  <c:v>90.46042</c:v>
                </c:pt>
                <c:pt idx="3515">
                  <c:v>90.45931</c:v>
                </c:pt>
                <c:pt idx="3516">
                  <c:v>90.45807999999998</c:v>
                </c:pt>
                <c:pt idx="3517">
                  <c:v>90.45693</c:v>
                </c:pt>
                <c:pt idx="3518">
                  <c:v>90.45594</c:v>
                </c:pt>
                <c:pt idx="3519">
                  <c:v>90.45487</c:v>
                </c:pt>
                <c:pt idx="3520">
                  <c:v>90.4538</c:v>
                </c:pt>
                <c:pt idx="3521">
                  <c:v>90.45276999999998</c:v>
                </c:pt>
                <c:pt idx="3522">
                  <c:v>90.45183</c:v>
                </c:pt>
                <c:pt idx="3523">
                  <c:v>90.45084</c:v>
                </c:pt>
                <c:pt idx="3524">
                  <c:v>90.44973</c:v>
                </c:pt>
                <c:pt idx="3525">
                  <c:v>90.44858</c:v>
                </c:pt>
                <c:pt idx="3526">
                  <c:v>90.44730000000002</c:v>
                </c:pt>
                <c:pt idx="3527">
                  <c:v>90.44607</c:v>
                </c:pt>
                <c:pt idx="3528">
                  <c:v>90.445</c:v>
                </c:pt>
                <c:pt idx="3529">
                  <c:v>90.44401</c:v>
                </c:pt>
                <c:pt idx="3530">
                  <c:v>90.44282</c:v>
                </c:pt>
                <c:pt idx="3531">
                  <c:v>90.44179</c:v>
                </c:pt>
                <c:pt idx="3532">
                  <c:v>90.44064</c:v>
                </c:pt>
                <c:pt idx="3533">
                  <c:v>90.43957</c:v>
                </c:pt>
                <c:pt idx="3534">
                  <c:v>90.43862</c:v>
                </c:pt>
                <c:pt idx="3535">
                  <c:v>90.43763000000002</c:v>
                </c:pt>
                <c:pt idx="3536">
                  <c:v>90.43648</c:v>
                </c:pt>
                <c:pt idx="3537">
                  <c:v>90.43545</c:v>
                </c:pt>
                <c:pt idx="3538">
                  <c:v>90.43439</c:v>
                </c:pt>
                <c:pt idx="3539">
                  <c:v>90.43323</c:v>
                </c:pt>
                <c:pt idx="3540">
                  <c:v>90.43183</c:v>
                </c:pt>
                <c:pt idx="3541">
                  <c:v>90.4306</c:v>
                </c:pt>
                <c:pt idx="3542">
                  <c:v>90.42953</c:v>
                </c:pt>
                <c:pt idx="3543">
                  <c:v>90.42854</c:v>
                </c:pt>
                <c:pt idx="3544">
                  <c:v>90.42731</c:v>
                </c:pt>
                <c:pt idx="3545">
                  <c:v>90.4262</c:v>
                </c:pt>
                <c:pt idx="3546">
                  <c:v>90.42517</c:v>
                </c:pt>
                <c:pt idx="3547">
                  <c:v>90.4241</c:v>
                </c:pt>
                <c:pt idx="3548">
                  <c:v>90.42299</c:v>
                </c:pt>
                <c:pt idx="3549">
                  <c:v>90.42188</c:v>
                </c:pt>
                <c:pt idx="3550">
                  <c:v>90.42081</c:v>
                </c:pt>
                <c:pt idx="3551">
                  <c:v>90.41978</c:v>
                </c:pt>
                <c:pt idx="3552">
                  <c:v>90.41867</c:v>
                </c:pt>
                <c:pt idx="3553">
                  <c:v>90.41756</c:v>
                </c:pt>
                <c:pt idx="3554">
                  <c:v>90.41653</c:v>
                </c:pt>
                <c:pt idx="3555">
                  <c:v>90.41546</c:v>
                </c:pt>
                <c:pt idx="3556">
                  <c:v>90.41427</c:v>
                </c:pt>
                <c:pt idx="3557">
                  <c:v>90.41291</c:v>
                </c:pt>
                <c:pt idx="3558">
                  <c:v>90.41176</c:v>
                </c:pt>
                <c:pt idx="3559">
                  <c:v>90.41053</c:v>
                </c:pt>
                <c:pt idx="3560">
                  <c:v>90.40921</c:v>
                </c:pt>
                <c:pt idx="3561">
                  <c:v>90.40785</c:v>
                </c:pt>
                <c:pt idx="3562">
                  <c:v>90.4067</c:v>
                </c:pt>
                <c:pt idx="3563">
                  <c:v>90.40559</c:v>
                </c:pt>
                <c:pt idx="3564">
                  <c:v>90.40444</c:v>
                </c:pt>
                <c:pt idx="3565">
                  <c:v>90.40325</c:v>
                </c:pt>
                <c:pt idx="3566">
                  <c:v>90.40214</c:v>
                </c:pt>
                <c:pt idx="3567">
                  <c:v>90.40115</c:v>
                </c:pt>
                <c:pt idx="3568">
                  <c:v>90.39983</c:v>
                </c:pt>
                <c:pt idx="3569">
                  <c:v>90.3986</c:v>
                </c:pt>
                <c:pt idx="3570">
                  <c:v>90.39749</c:v>
                </c:pt>
                <c:pt idx="3571">
                  <c:v>90.39617000000001</c:v>
                </c:pt>
                <c:pt idx="3572">
                  <c:v>90.3949</c:v>
                </c:pt>
                <c:pt idx="3573">
                  <c:v>90.39362</c:v>
                </c:pt>
                <c:pt idx="3574">
                  <c:v>90.39243</c:v>
                </c:pt>
                <c:pt idx="3575">
                  <c:v>90.39144</c:v>
                </c:pt>
                <c:pt idx="3576">
                  <c:v>90.39029</c:v>
                </c:pt>
                <c:pt idx="3577">
                  <c:v>90.3891</c:v>
                </c:pt>
                <c:pt idx="3578">
                  <c:v>90.38806999999998</c:v>
                </c:pt>
                <c:pt idx="3579">
                  <c:v>90.38692</c:v>
                </c:pt>
                <c:pt idx="3580">
                  <c:v>90.38552</c:v>
                </c:pt>
                <c:pt idx="3581">
                  <c:v>90.38416</c:v>
                </c:pt>
                <c:pt idx="3582">
                  <c:v>90.38301</c:v>
                </c:pt>
                <c:pt idx="3583">
                  <c:v>90.38186</c:v>
                </c:pt>
                <c:pt idx="3584">
                  <c:v>90.38074999999998</c:v>
                </c:pt>
                <c:pt idx="3585">
                  <c:v>90.37946999999998</c:v>
                </c:pt>
                <c:pt idx="3586">
                  <c:v>90.37819999999998</c:v>
                </c:pt>
                <c:pt idx="3587">
                  <c:v>90.37713</c:v>
                </c:pt>
                <c:pt idx="3588">
                  <c:v>90.37576999999965</c:v>
                </c:pt>
                <c:pt idx="3589">
                  <c:v>90.37466</c:v>
                </c:pt>
                <c:pt idx="3590">
                  <c:v>90.37363</c:v>
                </c:pt>
                <c:pt idx="3591">
                  <c:v>90.37259999999995</c:v>
                </c:pt>
                <c:pt idx="3592">
                  <c:v>90.3712</c:v>
                </c:pt>
                <c:pt idx="3593">
                  <c:v>90.36993</c:v>
                </c:pt>
                <c:pt idx="3594">
                  <c:v>90.36873999999958</c:v>
                </c:pt>
                <c:pt idx="3595">
                  <c:v>90.36758</c:v>
                </c:pt>
                <c:pt idx="3596">
                  <c:v>90.36643</c:v>
                </c:pt>
                <c:pt idx="3597">
                  <c:v>90.3652</c:v>
                </c:pt>
                <c:pt idx="3598">
                  <c:v>90.36392</c:v>
                </c:pt>
                <c:pt idx="3599">
                  <c:v>90.36272999999998</c:v>
                </c:pt>
                <c:pt idx="3600">
                  <c:v>90.36162</c:v>
                </c:pt>
                <c:pt idx="3601">
                  <c:v>90.36026</c:v>
                </c:pt>
                <c:pt idx="3602">
                  <c:v>90.35911</c:v>
                </c:pt>
                <c:pt idx="3603">
                  <c:v>90.35799999999997</c:v>
                </c:pt>
                <c:pt idx="3604">
                  <c:v>90.35680999999998</c:v>
                </c:pt>
                <c:pt idx="3605">
                  <c:v>90.35556999999998</c:v>
                </c:pt>
                <c:pt idx="3606">
                  <c:v>90.35442</c:v>
                </c:pt>
                <c:pt idx="3607">
                  <c:v>90.35334999999998</c:v>
                </c:pt>
                <c:pt idx="3608">
                  <c:v>90.35227999999998</c:v>
                </c:pt>
                <c:pt idx="3609">
                  <c:v>90.35117</c:v>
                </c:pt>
                <c:pt idx="3610">
                  <c:v>90.34998</c:v>
                </c:pt>
                <c:pt idx="3611">
                  <c:v>90.34891</c:v>
                </c:pt>
                <c:pt idx="3612">
                  <c:v>90.34763</c:v>
                </c:pt>
                <c:pt idx="3613">
                  <c:v>90.34624</c:v>
                </c:pt>
                <c:pt idx="3614">
                  <c:v>90.34492</c:v>
                </c:pt>
                <c:pt idx="3615">
                  <c:v>90.34373</c:v>
                </c:pt>
                <c:pt idx="3616">
                  <c:v>90.34232999999997</c:v>
                </c:pt>
                <c:pt idx="3617">
                  <c:v>90.34101</c:v>
                </c:pt>
                <c:pt idx="3618">
                  <c:v>90.33986</c:v>
                </c:pt>
                <c:pt idx="3619">
                  <c:v>90.33853999999998</c:v>
                </c:pt>
                <c:pt idx="3620">
                  <c:v>90.33727</c:v>
                </c:pt>
                <c:pt idx="3621">
                  <c:v>90.33624</c:v>
                </c:pt>
                <c:pt idx="3622">
                  <c:v>90.33500999999998</c:v>
                </c:pt>
                <c:pt idx="3623">
                  <c:v>90.33414</c:v>
                </c:pt>
                <c:pt idx="3624">
                  <c:v>90.33303</c:v>
                </c:pt>
                <c:pt idx="3625">
                  <c:v>90.33184</c:v>
                </c:pt>
                <c:pt idx="3626">
                  <c:v>90.33065</c:v>
                </c:pt>
                <c:pt idx="3627">
                  <c:v>90.32944999999998</c:v>
                </c:pt>
                <c:pt idx="3628">
                  <c:v>90.32822</c:v>
                </c:pt>
                <c:pt idx="3629">
                  <c:v>90.32682</c:v>
                </c:pt>
                <c:pt idx="3630">
                  <c:v>90.32550999999998</c:v>
                </c:pt>
                <c:pt idx="3631">
                  <c:v>90.32434999999998</c:v>
                </c:pt>
                <c:pt idx="3632">
                  <c:v>90.3232</c:v>
                </c:pt>
                <c:pt idx="3633">
                  <c:v>90.32172</c:v>
                </c:pt>
                <c:pt idx="3634">
                  <c:v>90.32048999999998</c:v>
                </c:pt>
                <c:pt idx="3635">
                  <c:v>90.31946</c:v>
                </c:pt>
                <c:pt idx="3636">
                  <c:v>90.31830999999998</c:v>
                </c:pt>
                <c:pt idx="3637">
                  <c:v>90.31716</c:v>
                </c:pt>
                <c:pt idx="3638">
                  <c:v>90.31575999999998</c:v>
                </c:pt>
                <c:pt idx="3639">
                  <c:v>90.3144</c:v>
                </c:pt>
                <c:pt idx="3640">
                  <c:v>90.31312</c:v>
                </c:pt>
                <c:pt idx="3641">
                  <c:v>90.31177</c:v>
                </c:pt>
                <c:pt idx="3642">
                  <c:v>90.31045</c:v>
                </c:pt>
                <c:pt idx="3643">
                  <c:v>90.30922</c:v>
                </c:pt>
                <c:pt idx="3644">
                  <c:v>90.30806</c:v>
                </c:pt>
                <c:pt idx="3645">
                  <c:v>90.30678999999998</c:v>
                </c:pt>
                <c:pt idx="3646">
                  <c:v>90.30551</c:v>
                </c:pt>
                <c:pt idx="3647">
                  <c:v>90.30428</c:v>
                </c:pt>
                <c:pt idx="3648">
                  <c:v>90.30308999999998</c:v>
                </c:pt>
                <c:pt idx="3649">
                  <c:v>90.30189</c:v>
                </c:pt>
                <c:pt idx="3650">
                  <c:v>90.30045</c:v>
                </c:pt>
                <c:pt idx="3651">
                  <c:v>90.29918</c:v>
                </c:pt>
                <c:pt idx="3652">
                  <c:v>90.29799</c:v>
                </c:pt>
                <c:pt idx="3653">
                  <c:v>90.29667</c:v>
                </c:pt>
                <c:pt idx="3654">
                  <c:v>90.29519</c:v>
                </c:pt>
                <c:pt idx="3655">
                  <c:v>90.29404</c:v>
                </c:pt>
                <c:pt idx="3656">
                  <c:v>90.29285</c:v>
                </c:pt>
                <c:pt idx="3657">
                  <c:v>90.29145</c:v>
                </c:pt>
                <c:pt idx="3658">
                  <c:v>90.29005</c:v>
                </c:pt>
                <c:pt idx="3659">
                  <c:v>90.28876999999998</c:v>
                </c:pt>
                <c:pt idx="3660">
                  <c:v>90.28766</c:v>
                </c:pt>
                <c:pt idx="3661">
                  <c:v>90.2863</c:v>
                </c:pt>
                <c:pt idx="3662">
                  <c:v>90.28503</c:v>
                </c:pt>
                <c:pt idx="3663">
                  <c:v>90.28371</c:v>
                </c:pt>
                <c:pt idx="3664">
                  <c:v>90.2826</c:v>
                </c:pt>
                <c:pt idx="3665">
                  <c:v>90.2812</c:v>
                </c:pt>
                <c:pt idx="3666">
                  <c:v>90.27993</c:v>
                </c:pt>
                <c:pt idx="3667">
                  <c:v>90.27840999999998</c:v>
                </c:pt>
                <c:pt idx="3668">
                  <c:v>90.27713</c:v>
                </c:pt>
                <c:pt idx="3669">
                  <c:v>90.27561</c:v>
                </c:pt>
                <c:pt idx="3670">
                  <c:v>90.27429</c:v>
                </c:pt>
                <c:pt idx="3671">
                  <c:v>90.27293999999995</c:v>
                </c:pt>
                <c:pt idx="3672">
                  <c:v>90.27173999999998</c:v>
                </c:pt>
                <c:pt idx="3673">
                  <c:v>90.27038999999998</c:v>
                </c:pt>
                <c:pt idx="3674">
                  <c:v>90.26886</c:v>
                </c:pt>
                <c:pt idx="3675">
                  <c:v>90.26751</c:v>
                </c:pt>
                <c:pt idx="3676">
                  <c:v>90.26627</c:v>
                </c:pt>
                <c:pt idx="3677">
                  <c:v>90.26512</c:v>
                </c:pt>
                <c:pt idx="3678">
                  <c:v>90.2638</c:v>
                </c:pt>
                <c:pt idx="3679">
                  <c:v>90.26232</c:v>
                </c:pt>
                <c:pt idx="3680">
                  <c:v>90.26101</c:v>
                </c:pt>
                <c:pt idx="3681">
                  <c:v>90.25965</c:v>
                </c:pt>
                <c:pt idx="3682">
                  <c:v>90.25821</c:v>
                </c:pt>
                <c:pt idx="3683">
                  <c:v>90.25681</c:v>
                </c:pt>
                <c:pt idx="3684">
                  <c:v>90.2557</c:v>
                </c:pt>
                <c:pt idx="3685">
                  <c:v>90.25447000000001</c:v>
                </c:pt>
                <c:pt idx="3686">
                  <c:v>90.25295</c:v>
                </c:pt>
                <c:pt idx="3687">
                  <c:v>90.25155</c:v>
                </c:pt>
                <c:pt idx="3688">
                  <c:v>90.25034999999998</c:v>
                </c:pt>
                <c:pt idx="3689">
                  <c:v>90.2492</c:v>
                </c:pt>
                <c:pt idx="3690">
                  <c:v>90.24785</c:v>
                </c:pt>
                <c:pt idx="3691">
                  <c:v>90.24649</c:v>
                </c:pt>
                <c:pt idx="3692">
                  <c:v>90.24509</c:v>
                </c:pt>
                <c:pt idx="3693">
                  <c:v>90.24373000000001</c:v>
                </c:pt>
                <c:pt idx="3694">
                  <c:v>90.24233</c:v>
                </c:pt>
                <c:pt idx="3695">
                  <c:v>90.24073000000001</c:v>
                </c:pt>
                <c:pt idx="3696">
                  <c:v>90.23941</c:v>
                </c:pt>
                <c:pt idx="3697">
                  <c:v>90.2381</c:v>
                </c:pt>
                <c:pt idx="3698">
                  <c:v>90.23662</c:v>
                </c:pt>
                <c:pt idx="3699">
                  <c:v>90.2353</c:v>
                </c:pt>
                <c:pt idx="3700">
                  <c:v>90.23398</c:v>
                </c:pt>
                <c:pt idx="3701">
                  <c:v>90.23274999999998</c:v>
                </c:pt>
                <c:pt idx="3702">
                  <c:v>90.23152</c:v>
                </c:pt>
                <c:pt idx="3703">
                  <c:v>90.23016</c:v>
                </c:pt>
                <c:pt idx="3704">
                  <c:v>90.22892</c:v>
                </c:pt>
                <c:pt idx="3705">
                  <c:v>90.22761</c:v>
                </c:pt>
                <c:pt idx="3706">
                  <c:v>90.22604</c:v>
                </c:pt>
                <c:pt idx="3707">
                  <c:v>90.2246</c:v>
                </c:pt>
                <c:pt idx="3708">
                  <c:v>90.22317</c:v>
                </c:pt>
                <c:pt idx="3709">
                  <c:v>90.22177</c:v>
                </c:pt>
                <c:pt idx="3710">
                  <c:v>90.22029</c:v>
                </c:pt>
                <c:pt idx="3711">
                  <c:v>90.21885</c:v>
                </c:pt>
                <c:pt idx="3712">
                  <c:v>90.21745</c:v>
                </c:pt>
                <c:pt idx="3713">
                  <c:v>90.21605</c:v>
                </c:pt>
                <c:pt idx="3714">
                  <c:v>90.21449</c:v>
                </c:pt>
                <c:pt idx="3715">
                  <c:v>90.21292</c:v>
                </c:pt>
                <c:pt idx="3716">
                  <c:v>90.21148</c:v>
                </c:pt>
                <c:pt idx="3717">
                  <c:v>90.21021</c:v>
                </c:pt>
                <c:pt idx="3718">
                  <c:v>90.20872999999997</c:v>
                </c:pt>
                <c:pt idx="3719">
                  <c:v>90.20725</c:v>
                </c:pt>
                <c:pt idx="3720">
                  <c:v>90.20593</c:v>
                </c:pt>
                <c:pt idx="3721">
                  <c:v>90.20457</c:v>
                </c:pt>
                <c:pt idx="3722">
                  <c:v>90.20301</c:v>
                </c:pt>
                <c:pt idx="3723">
                  <c:v>90.20178</c:v>
                </c:pt>
                <c:pt idx="3724">
                  <c:v>90.20037999999998</c:v>
                </c:pt>
                <c:pt idx="3725">
                  <c:v>90.19893999999998</c:v>
                </c:pt>
                <c:pt idx="3726">
                  <c:v>90.19742</c:v>
                </c:pt>
                <c:pt idx="3727">
                  <c:v>90.19588999999995</c:v>
                </c:pt>
                <c:pt idx="3728">
                  <c:v>90.19445</c:v>
                </c:pt>
                <c:pt idx="3729">
                  <c:v>90.19301</c:v>
                </c:pt>
                <c:pt idx="3730">
                  <c:v>90.19149</c:v>
                </c:pt>
                <c:pt idx="3731">
                  <c:v>90.18992999999997</c:v>
                </c:pt>
                <c:pt idx="3732">
                  <c:v>90.18852999999998</c:v>
                </c:pt>
                <c:pt idx="3733">
                  <c:v>90.1873</c:v>
                </c:pt>
                <c:pt idx="3734">
                  <c:v>90.18589999999975</c:v>
                </c:pt>
                <c:pt idx="3735">
                  <c:v>90.18446</c:v>
                </c:pt>
                <c:pt idx="3736">
                  <c:v>90.18302</c:v>
                </c:pt>
                <c:pt idx="3737">
                  <c:v>90.1817</c:v>
                </c:pt>
                <c:pt idx="3738">
                  <c:v>90.18026</c:v>
                </c:pt>
                <c:pt idx="3739">
                  <c:v>90.17890999999958</c:v>
                </c:pt>
                <c:pt idx="3740">
                  <c:v>90.17733999999948</c:v>
                </c:pt>
                <c:pt idx="3741">
                  <c:v>90.17606999999998</c:v>
                </c:pt>
                <c:pt idx="3742">
                  <c:v>90.17463</c:v>
                </c:pt>
                <c:pt idx="3743">
                  <c:v>90.17310999999998</c:v>
                </c:pt>
                <c:pt idx="3744">
                  <c:v>90.17170999999995</c:v>
                </c:pt>
                <c:pt idx="3745">
                  <c:v>90.17026999999997</c:v>
                </c:pt>
                <c:pt idx="3746">
                  <c:v>90.16890999999998</c:v>
                </c:pt>
                <c:pt idx="3747">
                  <c:v>90.16751</c:v>
                </c:pt>
                <c:pt idx="3748">
                  <c:v>90.16594999999998</c:v>
                </c:pt>
                <c:pt idx="3749">
                  <c:v>90.16459</c:v>
                </c:pt>
                <c:pt idx="3750">
                  <c:v>90.16307</c:v>
                </c:pt>
                <c:pt idx="3751">
                  <c:v>90.16151</c:v>
                </c:pt>
                <c:pt idx="3752">
                  <c:v>90.16015</c:v>
                </c:pt>
                <c:pt idx="3753">
                  <c:v>90.15874999999915</c:v>
                </c:pt>
                <c:pt idx="3754">
                  <c:v>90.15743</c:v>
                </c:pt>
                <c:pt idx="3755">
                  <c:v>90.15594999999985</c:v>
                </c:pt>
                <c:pt idx="3756">
                  <c:v>90.15455</c:v>
                </c:pt>
                <c:pt idx="3757">
                  <c:v>90.15316</c:v>
                </c:pt>
                <c:pt idx="3758">
                  <c:v>90.15168</c:v>
                </c:pt>
                <c:pt idx="3759">
                  <c:v>90.15023999999998</c:v>
                </c:pt>
                <c:pt idx="3760">
                  <c:v>90.14883999999998</c:v>
                </c:pt>
                <c:pt idx="3761">
                  <c:v>90.14736</c:v>
                </c:pt>
                <c:pt idx="3762">
                  <c:v>90.14587999999995</c:v>
                </c:pt>
                <c:pt idx="3763">
                  <c:v>90.14439</c:v>
                </c:pt>
                <c:pt idx="3764">
                  <c:v>90.14296</c:v>
                </c:pt>
                <c:pt idx="3765">
                  <c:v>90.14152</c:v>
                </c:pt>
                <c:pt idx="3766">
                  <c:v>90.13995</c:v>
                </c:pt>
                <c:pt idx="3767">
                  <c:v>90.13830999999985</c:v>
                </c:pt>
                <c:pt idx="3768">
                  <c:v>90.13678999999995</c:v>
                </c:pt>
                <c:pt idx="3769">
                  <c:v>90.13493</c:v>
                </c:pt>
                <c:pt idx="3770">
                  <c:v>90.13325</c:v>
                </c:pt>
                <c:pt idx="3771">
                  <c:v>90.13156</c:v>
                </c:pt>
                <c:pt idx="3772">
                  <c:v>90.13</c:v>
                </c:pt>
                <c:pt idx="3773">
                  <c:v>90.12855999999998</c:v>
                </c:pt>
                <c:pt idx="3774">
                  <c:v>90.12724</c:v>
                </c:pt>
                <c:pt idx="3775">
                  <c:v>90.1258399999991</c:v>
                </c:pt>
                <c:pt idx="3776">
                  <c:v>90.12435999999998</c:v>
                </c:pt>
                <c:pt idx="3777">
                  <c:v>90.12304999999998</c:v>
                </c:pt>
                <c:pt idx="3778">
                  <c:v>90.12165</c:v>
                </c:pt>
                <c:pt idx="3779">
                  <c:v>90.12012999999997</c:v>
                </c:pt>
                <c:pt idx="3780">
                  <c:v>90.11856</c:v>
                </c:pt>
                <c:pt idx="3781">
                  <c:v>90.11704</c:v>
                </c:pt>
                <c:pt idx="3782">
                  <c:v>90.11556</c:v>
                </c:pt>
                <c:pt idx="3783">
                  <c:v>90.11408</c:v>
                </c:pt>
                <c:pt idx="3784">
                  <c:v>90.11267999999998</c:v>
                </c:pt>
                <c:pt idx="3785">
                  <c:v>90.11132</c:v>
                </c:pt>
                <c:pt idx="3786">
                  <c:v>90.10964</c:v>
                </c:pt>
                <c:pt idx="3787">
                  <c:v>90.10799</c:v>
                </c:pt>
                <c:pt idx="3788">
                  <c:v>90.10663</c:v>
                </c:pt>
                <c:pt idx="3789">
                  <c:v>90.10523999999998</c:v>
                </c:pt>
                <c:pt idx="3790">
                  <c:v>90.10379999999998</c:v>
                </c:pt>
                <c:pt idx="3791">
                  <c:v>90.10206999999998</c:v>
                </c:pt>
                <c:pt idx="3792">
                  <c:v>90.10055</c:v>
                </c:pt>
                <c:pt idx="3793">
                  <c:v>90.09915</c:v>
                </c:pt>
                <c:pt idx="3794">
                  <c:v>90.09775</c:v>
                </c:pt>
                <c:pt idx="3795">
                  <c:v>90.09627</c:v>
                </c:pt>
                <c:pt idx="3796">
                  <c:v>90.09458</c:v>
                </c:pt>
                <c:pt idx="3797">
                  <c:v>90.09297999999998</c:v>
                </c:pt>
                <c:pt idx="3798">
                  <c:v>90.0915</c:v>
                </c:pt>
                <c:pt idx="3799">
                  <c:v>90.08993</c:v>
                </c:pt>
                <c:pt idx="3800">
                  <c:v>90.08848999999998</c:v>
                </c:pt>
                <c:pt idx="3801">
                  <c:v>90.08697</c:v>
                </c:pt>
                <c:pt idx="3802">
                  <c:v>90.08553</c:v>
                </c:pt>
                <c:pt idx="3803">
                  <c:v>90.08409</c:v>
                </c:pt>
                <c:pt idx="3804">
                  <c:v>90.08261</c:v>
                </c:pt>
                <c:pt idx="3805">
                  <c:v>90.08087999999998</c:v>
                </c:pt>
                <c:pt idx="3806">
                  <c:v>90.07931999999998</c:v>
                </c:pt>
                <c:pt idx="3807">
                  <c:v>90.07779999999998</c:v>
                </c:pt>
                <c:pt idx="3808">
                  <c:v>90.07635999999998</c:v>
                </c:pt>
                <c:pt idx="3809">
                  <c:v>90.07487999999998</c:v>
                </c:pt>
                <c:pt idx="3810">
                  <c:v>90.07335999999998</c:v>
                </c:pt>
                <c:pt idx="3811">
                  <c:v>90.07187999999998</c:v>
                </c:pt>
                <c:pt idx="3812">
                  <c:v>90.07030999999998</c:v>
                </c:pt>
                <c:pt idx="3813">
                  <c:v>90.06886999999997</c:v>
                </c:pt>
                <c:pt idx="3814">
                  <c:v>90.06756</c:v>
                </c:pt>
                <c:pt idx="3815">
                  <c:v>90.06612</c:v>
                </c:pt>
                <c:pt idx="3816">
                  <c:v>90.06464</c:v>
                </c:pt>
                <c:pt idx="3817">
                  <c:v>90.06312</c:v>
                </c:pt>
                <c:pt idx="3818">
                  <c:v>90.06159</c:v>
                </c:pt>
                <c:pt idx="3819">
                  <c:v>90.05995</c:v>
                </c:pt>
                <c:pt idx="3820">
                  <c:v>90.05822</c:v>
                </c:pt>
                <c:pt idx="3821">
                  <c:v>90.05662</c:v>
                </c:pt>
                <c:pt idx="3822">
                  <c:v>90.05522</c:v>
                </c:pt>
                <c:pt idx="3823">
                  <c:v>90.05382</c:v>
                </c:pt>
                <c:pt idx="3824">
                  <c:v>90.05229999999997</c:v>
                </c:pt>
                <c:pt idx="3825">
                  <c:v>90.05069</c:v>
                </c:pt>
                <c:pt idx="3826">
                  <c:v>90.04929</c:v>
                </c:pt>
                <c:pt idx="3827">
                  <c:v>90.0479</c:v>
                </c:pt>
                <c:pt idx="3828">
                  <c:v>90.04633000000001</c:v>
                </c:pt>
                <c:pt idx="3829">
                  <c:v>90.04493</c:v>
                </c:pt>
                <c:pt idx="3830">
                  <c:v>90.04345</c:v>
                </c:pt>
                <c:pt idx="3831">
                  <c:v>90.04189</c:v>
                </c:pt>
                <c:pt idx="3832">
                  <c:v>90.04045</c:v>
                </c:pt>
                <c:pt idx="3833">
                  <c:v>90.03897</c:v>
                </c:pt>
                <c:pt idx="3834">
                  <c:v>90.03724</c:v>
                </c:pt>
                <c:pt idx="3835">
                  <c:v>90.03568</c:v>
                </c:pt>
                <c:pt idx="3836">
                  <c:v>90.03424</c:v>
                </c:pt>
                <c:pt idx="3837">
                  <c:v>90.03275999999998</c:v>
                </c:pt>
                <c:pt idx="3838">
                  <c:v>90.03132</c:v>
                </c:pt>
                <c:pt idx="3839">
                  <c:v>90.02996</c:v>
                </c:pt>
                <c:pt idx="3840">
                  <c:v>90.02856</c:v>
                </c:pt>
                <c:pt idx="3841">
                  <c:v>90.02712</c:v>
                </c:pt>
                <c:pt idx="3842">
                  <c:v>90.02552</c:v>
                </c:pt>
                <c:pt idx="3843">
                  <c:v>90.02386999999997</c:v>
                </c:pt>
                <c:pt idx="3844">
                  <c:v>90.02242999999998</c:v>
                </c:pt>
                <c:pt idx="3845">
                  <c:v>90.02099</c:v>
                </c:pt>
                <c:pt idx="3846">
                  <c:v>90.01951</c:v>
                </c:pt>
                <c:pt idx="3847">
                  <c:v>90.01791</c:v>
                </c:pt>
                <c:pt idx="3848">
                  <c:v>90.01639</c:v>
                </c:pt>
                <c:pt idx="3849">
                  <c:v>90.01495</c:v>
                </c:pt>
                <c:pt idx="3850">
                  <c:v>90.01351</c:v>
                </c:pt>
                <c:pt idx="3851">
                  <c:v>90.01215</c:v>
                </c:pt>
                <c:pt idx="3852">
                  <c:v>90.01067</c:v>
                </c:pt>
                <c:pt idx="3853">
                  <c:v>90.00915</c:v>
                </c:pt>
                <c:pt idx="3854">
                  <c:v>90.00754</c:v>
                </c:pt>
                <c:pt idx="3855">
                  <c:v>90.00586</c:v>
                </c:pt>
                <c:pt idx="3856">
                  <c:v>90.00421</c:v>
                </c:pt>
                <c:pt idx="3857">
                  <c:v>90.00269</c:v>
                </c:pt>
                <c:pt idx="3858">
                  <c:v>90.00121</c:v>
                </c:pt>
                <c:pt idx="3859">
                  <c:v>89.99969</c:v>
                </c:pt>
                <c:pt idx="3860">
                  <c:v>89.99812</c:v>
                </c:pt>
                <c:pt idx="3861">
                  <c:v>89.99652</c:v>
                </c:pt>
                <c:pt idx="3862">
                  <c:v>89.99512</c:v>
                </c:pt>
                <c:pt idx="3863">
                  <c:v>89.9936</c:v>
                </c:pt>
                <c:pt idx="3864">
                  <c:v>89.99204</c:v>
                </c:pt>
                <c:pt idx="3865">
                  <c:v>89.99047</c:v>
                </c:pt>
                <c:pt idx="3866">
                  <c:v>89.98891</c:v>
                </c:pt>
                <c:pt idx="3867">
                  <c:v>89.98751</c:v>
                </c:pt>
                <c:pt idx="3868">
                  <c:v>89.98603</c:v>
                </c:pt>
                <c:pt idx="3869">
                  <c:v>89.98467</c:v>
                </c:pt>
                <c:pt idx="3870">
                  <c:v>89.98319</c:v>
                </c:pt>
                <c:pt idx="3871">
                  <c:v>89.98192</c:v>
                </c:pt>
                <c:pt idx="3872">
                  <c:v>89.98048</c:v>
                </c:pt>
                <c:pt idx="3873">
                  <c:v>89.97896</c:v>
                </c:pt>
                <c:pt idx="3874">
                  <c:v>89.97752</c:v>
                </c:pt>
                <c:pt idx="3875">
                  <c:v>89.97607999999998</c:v>
                </c:pt>
                <c:pt idx="3876">
                  <c:v>89.97447</c:v>
                </c:pt>
                <c:pt idx="3877">
                  <c:v>89.97298999999998</c:v>
                </c:pt>
                <c:pt idx="3878">
                  <c:v>89.97159</c:v>
                </c:pt>
                <c:pt idx="3879">
                  <c:v>89.97024</c:v>
                </c:pt>
                <c:pt idx="3880">
                  <c:v>89.9688</c:v>
                </c:pt>
                <c:pt idx="3881">
                  <c:v>89.96732</c:v>
                </c:pt>
                <c:pt idx="3882">
                  <c:v>89.96571</c:v>
                </c:pt>
                <c:pt idx="3883">
                  <c:v>89.96435</c:v>
                </c:pt>
                <c:pt idx="3884">
                  <c:v>89.96275</c:v>
                </c:pt>
                <c:pt idx="3885">
                  <c:v>89.96119</c:v>
                </c:pt>
                <c:pt idx="3886">
                  <c:v>89.95979</c:v>
                </c:pt>
                <c:pt idx="3887">
                  <c:v>89.95830999999998</c:v>
                </c:pt>
                <c:pt idx="3888">
                  <c:v>89.95683</c:v>
                </c:pt>
                <c:pt idx="3889">
                  <c:v>89.9553</c:v>
                </c:pt>
                <c:pt idx="3890">
                  <c:v>89.95382</c:v>
                </c:pt>
                <c:pt idx="3891">
                  <c:v>89.95233999999998</c:v>
                </c:pt>
                <c:pt idx="3892">
                  <c:v>89.95099</c:v>
                </c:pt>
                <c:pt idx="3893">
                  <c:v>89.9495</c:v>
                </c:pt>
                <c:pt idx="3894">
                  <c:v>89.9479</c:v>
                </c:pt>
                <c:pt idx="3895">
                  <c:v>89.9463</c:v>
                </c:pt>
                <c:pt idx="3896">
                  <c:v>89.94482</c:v>
                </c:pt>
                <c:pt idx="3897">
                  <c:v>89.94329</c:v>
                </c:pt>
                <c:pt idx="3898">
                  <c:v>89.94185</c:v>
                </c:pt>
                <c:pt idx="3899">
                  <c:v>89.9405</c:v>
                </c:pt>
                <c:pt idx="3900">
                  <c:v>89.93902</c:v>
                </c:pt>
                <c:pt idx="3901">
                  <c:v>89.93749</c:v>
                </c:pt>
                <c:pt idx="3902">
                  <c:v>89.93593000000001</c:v>
                </c:pt>
                <c:pt idx="3903">
                  <c:v>89.93453</c:v>
                </c:pt>
                <c:pt idx="3904">
                  <c:v>89.93317</c:v>
                </c:pt>
                <c:pt idx="3905">
                  <c:v>89.93173</c:v>
                </c:pt>
                <c:pt idx="3906">
                  <c:v>89.93001</c:v>
                </c:pt>
                <c:pt idx="3907">
                  <c:v>89.92869</c:v>
                </c:pt>
                <c:pt idx="3908">
                  <c:v>89.92725</c:v>
                </c:pt>
                <c:pt idx="3909">
                  <c:v>89.92572999999997</c:v>
                </c:pt>
                <c:pt idx="3910">
                  <c:v>89.92408</c:v>
                </c:pt>
                <c:pt idx="3911">
                  <c:v>89.92284999999998</c:v>
                </c:pt>
                <c:pt idx="3912">
                  <c:v>89.92158</c:v>
                </c:pt>
                <c:pt idx="3913">
                  <c:v>89.92001</c:v>
                </c:pt>
                <c:pt idx="3914">
                  <c:v>89.91857</c:v>
                </c:pt>
                <c:pt idx="3915">
                  <c:v>89.91701</c:v>
                </c:pt>
                <c:pt idx="3916">
                  <c:v>89.91553</c:v>
                </c:pt>
                <c:pt idx="3917">
                  <c:v>89.91405</c:v>
                </c:pt>
                <c:pt idx="3918">
                  <c:v>89.91265</c:v>
                </c:pt>
                <c:pt idx="3919">
                  <c:v>89.91104</c:v>
                </c:pt>
                <c:pt idx="3920">
                  <c:v>89.90961</c:v>
                </c:pt>
                <c:pt idx="3921">
                  <c:v>89.90792</c:v>
                </c:pt>
                <c:pt idx="3922">
                  <c:v>89.9064</c:v>
                </c:pt>
                <c:pt idx="3923">
                  <c:v>89.90483</c:v>
                </c:pt>
                <c:pt idx="3924">
                  <c:v>89.90348</c:v>
                </c:pt>
                <c:pt idx="3925">
                  <c:v>89.90191</c:v>
                </c:pt>
                <c:pt idx="3926">
                  <c:v>89.90035</c:v>
                </c:pt>
                <c:pt idx="3927">
                  <c:v>89.89908</c:v>
                </c:pt>
                <c:pt idx="3928">
                  <c:v>89.89743</c:v>
                </c:pt>
                <c:pt idx="3929">
                  <c:v>89.89582999999997</c:v>
                </c:pt>
                <c:pt idx="3930">
                  <c:v>89.89402</c:v>
                </c:pt>
                <c:pt idx="3931">
                  <c:v>89.89244999999998</c:v>
                </c:pt>
                <c:pt idx="3932">
                  <c:v>89.89093</c:v>
                </c:pt>
                <c:pt idx="3933">
                  <c:v>89.88966</c:v>
                </c:pt>
                <c:pt idx="3934">
                  <c:v>89.88816999999997</c:v>
                </c:pt>
                <c:pt idx="3935">
                  <c:v>89.88677999999958</c:v>
                </c:pt>
                <c:pt idx="3936">
                  <c:v>89.88537999999915</c:v>
                </c:pt>
                <c:pt idx="3937">
                  <c:v>89.88393999999998</c:v>
                </c:pt>
                <c:pt idx="3938">
                  <c:v>89.88236999999998</c:v>
                </c:pt>
                <c:pt idx="3939">
                  <c:v>89.88102</c:v>
                </c:pt>
                <c:pt idx="3940">
                  <c:v>89.87953999999995</c:v>
                </c:pt>
                <c:pt idx="3941">
                  <c:v>89.87805999999995</c:v>
                </c:pt>
                <c:pt idx="3942">
                  <c:v>89.87652999999997</c:v>
                </c:pt>
                <c:pt idx="3943">
                  <c:v>89.87500999999965</c:v>
                </c:pt>
                <c:pt idx="3944">
                  <c:v>89.87344999999995</c:v>
                </c:pt>
                <c:pt idx="3945">
                  <c:v>89.87193</c:v>
                </c:pt>
                <c:pt idx="3946">
                  <c:v>89.87044999999995</c:v>
                </c:pt>
                <c:pt idx="3947">
                  <c:v>89.86875999999998</c:v>
                </c:pt>
                <c:pt idx="3948">
                  <c:v>89.86724</c:v>
                </c:pt>
                <c:pt idx="3949">
                  <c:v>89.86558999999998</c:v>
                </c:pt>
                <c:pt idx="3950">
                  <c:v>89.86403</c:v>
                </c:pt>
                <c:pt idx="3951">
                  <c:v>89.86263</c:v>
                </c:pt>
                <c:pt idx="3952">
                  <c:v>89.86099</c:v>
                </c:pt>
                <c:pt idx="3953">
                  <c:v>89.85942</c:v>
                </c:pt>
                <c:pt idx="3954">
                  <c:v>89.85786</c:v>
                </c:pt>
                <c:pt idx="3955">
                  <c:v>89.85642</c:v>
                </c:pt>
                <c:pt idx="3956">
                  <c:v>89.85501999999998</c:v>
                </c:pt>
                <c:pt idx="3957">
                  <c:v>89.85342</c:v>
                </c:pt>
                <c:pt idx="3958">
                  <c:v>89.85176999999997</c:v>
                </c:pt>
                <c:pt idx="3959">
                  <c:v>89.85021</c:v>
                </c:pt>
                <c:pt idx="3960">
                  <c:v>89.84869</c:v>
                </c:pt>
                <c:pt idx="3961">
                  <c:v>89.84716</c:v>
                </c:pt>
                <c:pt idx="3962">
                  <c:v>89.84564</c:v>
                </c:pt>
                <c:pt idx="3963">
                  <c:v>89.844</c:v>
                </c:pt>
                <c:pt idx="3964">
                  <c:v>89.84238999999998</c:v>
                </c:pt>
                <c:pt idx="3965">
                  <c:v>89.84083</c:v>
                </c:pt>
                <c:pt idx="3966">
                  <c:v>89.83927000000001</c:v>
                </c:pt>
                <c:pt idx="3967">
                  <c:v>89.83770000000001</c:v>
                </c:pt>
                <c:pt idx="3968">
                  <c:v>89.83622</c:v>
                </c:pt>
                <c:pt idx="3969">
                  <c:v>89.83477999999998</c:v>
                </c:pt>
                <c:pt idx="3970">
                  <c:v>89.83326</c:v>
                </c:pt>
                <c:pt idx="3971">
                  <c:v>89.83158</c:v>
                </c:pt>
                <c:pt idx="3972">
                  <c:v>89.83009</c:v>
                </c:pt>
                <c:pt idx="3973">
                  <c:v>89.82861</c:v>
                </c:pt>
                <c:pt idx="3974">
                  <c:v>89.82693</c:v>
                </c:pt>
                <c:pt idx="3975">
                  <c:v>89.82544999999975</c:v>
                </c:pt>
                <c:pt idx="3976">
                  <c:v>89.82375999999998</c:v>
                </c:pt>
                <c:pt idx="3977">
                  <c:v>89.82231999999995</c:v>
                </c:pt>
                <c:pt idx="3978">
                  <c:v>89.82075999999998</c:v>
                </c:pt>
                <c:pt idx="3979">
                  <c:v>89.81911</c:v>
                </c:pt>
                <c:pt idx="3980">
                  <c:v>89.81771</c:v>
                </c:pt>
                <c:pt idx="3981">
                  <c:v>89.81627</c:v>
                </c:pt>
                <c:pt idx="3982">
                  <c:v>89.81459</c:v>
                </c:pt>
                <c:pt idx="3983">
                  <c:v>89.8129</c:v>
                </c:pt>
                <c:pt idx="3984">
                  <c:v>89.81121</c:v>
                </c:pt>
                <c:pt idx="3985">
                  <c:v>89.80945</c:v>
                </c:pt>
                <c:pt idx="3986">
                  <c:v>89.8078</c:v>
                </c:pt>
                <c:pt idx="3987">
                  <c:v>89.80636</c:v>
                </c:pt>
                <c:pt idx="3988">
                  <c:v>89.80492</c:v>
                </c:pt>
                <c:pt idx="3989">
                  <c:v>89.80343999999998</c:v>
                </c:pt>
                <c:pt idx="3990">
                  <c:v>89.80184</c:v>
                </c:pt>
                <c:pt idx="3991">
                  <c:v>89.80039999999998</c:v>
                </c:pt>
                <c:pt idx="3992">
                  <c:v>89.799</c:v>
                </c:pt>
                <c:pt idx="3993">
                  <c:v>89.79768</c:v>
                </c:pt>
                <c:pt idx="3994">
                  <c:v>89.79587</c:v>
                </c:pt>
                <c:pt idx="3995">
                  <c:v>89.79414</c:v>
                </c:pt>
                <c:pt idx="3996">
                  <c:v>89.79254</c:v>
                </c:pt>
                <c:pt idx="3997">
                  <c:v>89.79089</c:v>
                </c:pt>
                <c:pt idx="3998">
                  <c:v>89.78929</c:v>
                </c:pt>
                <c:pt idx="3999">
                  <c:v>89.78785</c:v>
                </c:pt>
                <c:pt idx="4000">
                  <c:v>89.78637</c:v>
                </c:pt>
                <c:pt idx="4001">
                  <c:v>89.78508999999998</c:v>
                </c:pt>
                <c:pt idx="4002">
                  <c:v>89.7837</c:v>
                </c:pt>
                <c:pt idx="4003">
                  <c:v>89.7823</c:v>
                </c:pt>
                <c:pt idx="4004">
                  <c:v>89.78065</c:v>
                </c:pt>
                <c:pt idx="4005">
                  <c:v>89.77905</c:v>
                </c:pt>
                <c:pt idx="4006">
                  <c:v>89.77744</c:v>
                </c:pt>
                <c:pt idx="4007">
                  <c:v>89.77596</c:v>
                </c:pt>
                <c:pt idx="4008">
                  <c:v>89.77436</c:v>
                </c:pt>
                <c:pt idx="4009">
                  <c:v>89.77287999999938</c:v>
                </c:pt>
                <c:pt idx="4010">
                  <c:v>89.77127</c:v>
                </c:pt>
                <c:pt idx="4011">
                  <c:v>89.76967</c:v>
                </c:pt>
                <c:pt idx="4012">
                  <c:v>89.76819</c:v>
                </c:pt>
                <c:pt idx="4013">
                  <c:v>89.76667</c:v>
                </c:pt>
                <c:pt idx="4014">
                  <c:v>89.76502</c:v>
                </c:pt>
                <c:pt idx="4015">
                  <c:v>89.76333</c:v>
                </c:pt>
                <c:pt idx="4016">
                  <c:v>89.76169</c:v>
                </c:pt>
                <c:pt idx="4017">
                  <c:v>89.76017</c:v>
                </c:pt>
                <c:pt idx="4018">
                  <c:v>89.75876999999998</c:v>
                </c:pt>
                <c:pt idx="4019">
                  <c:v>89.75729</c:v>
                </c:pt>
                <c:pt idx="4020">
                  <c:v>89.75597</c:v>
                </c:pt>
                <c:pt idx="4021">
                  <c:v>89.75453</c:v>
                </c:pt>
                <c:pt idx="4022">
                  <c:v>89.75305</c:v>
                </c:pt>
                <c:pt idx="4023">
                  <c:v>89.75137</c:v>
                </c:pt>
                <c:pt idx="4024">
                  <c:v>89.74964</c:v>
                </c:pt>
                <c:pt idx="4025">
                  <c:v>89.74799</c:v>
                </c:pt>
                <c:pt idx="4026">
                  <c:v>89.74631</c:v>
                </c:pt>
                <c:pt idx="4027">
                  <c:v>89.74491</c:v>
                </c:pt>
                <c:pt idx="4028">
                  <c:v>89.74339</c:v>
                </c:pt>
                <c:pt idx="4029">
                  <c:v>89.74178</c:v>
                </c:pt>
                <c:pt idx="4030">
                  <c:v>89.74014</c:v>
                </c:pt>
                <c:pt idx="4031">
                  <c:v>89.73853</c:v>
                </c:pt>
                <c:pt idx="4032">
                  <c:v>89.73689</c:v>
                </c:pt>
                <c:pt idx="4033">
                  <c:v>89.73553</c:v>
                </c:pt>
                <c:pt idx="4034">
                  <c:v>89.73417</c:v>
                </c:pt>
                <c:pt idx="4035">
                  <c:v>89.73285</c:v>
                </c:pt>
                <c:pt idx="4036">
                  <c:v>89.73142</c:v>
                </c:pt>
                <c:pt idx="4037">
                  <c:v>89.72985</c:v>
                </c:pt>
                <c:pt idx="4038">
                  <c:v>89.72840999999998</c:v>
                </c:pt>
                <c:pt idx="4039">
                  <c:v>89.72714</c:v>
                </c:pt>
                <c:pt idx="4040">
                  <c:v>89.72569999999997</c:v>
                </c:pt>
                <c:pt idx="4041">
                  <c:v>89.72426</c:v>
                </c:pt>
                <c:pt idx="4042">
                  <c:v>89.72282</c:v>
                </c:pt>
                <c:pt idx="4043">
                  <c:v>89.72121</c:v>
                </c:pt>
                <c:pt idx="4044">
                  <c:v>89.71957</c:v>
                </c:pt>
                <c:pt idx="4045">
                  <c:v>89.71833</c:v>
                </c:pt>
                <c:pt idx="4046">
                  <c:v>89.7169</c:v>
                </c:pt>
                <c:pt idx="4047">
                  <c:v>89.71546</c:v>
                </c:pt>
                <c:pt idx="4048">
                  <c:v>89.71397</c:v>
                </c:pt>
                <c:pt idx="4049">
                  <c:v>89.71270000000001</c:v>
                </c:pt>
                <c:pt idx="4050">
                  <c:v>89.7113</c:v>
                </c:pt>
                <c:pt idx="4051">
                  <c:v>89.70973999999998</c:v>
                </c:pt>
                <c:pt idx="4052">
                  <c:v>89.70809</c:v>
                </c:pt>
                <c:pt idx="4053">
                  <c:v>89.70673999999998</c:v>
                </c:pt>
                <c:pt idx="4054">
                  <c:v>89.70533999999998</c:v>
                </c:pt>
                <c:pt idx="4055">
                  <c:v>89.70394</c:v>
                </c:pt>
                <c:pt idx="4056">
                  <c:v>89.70246</c:v>
                </c:pt>
                <c:pt idx="4057">
                  <c:v>89.70085</c:v>
                </c:pt>
                <c:pt idx="4058">
                  <c:v>89.69941</c:v>
                </c:pt>
                <c:pt idx="4059">
                  <c:v>89.69797000000001</c:v>
                </c:pt>
                <c:pt idx="4060">
                  <c:v>89.6967</c:v>
                </c:pt>
                <c:pt idx="4061">
                  <c:v>89.69529999999997</c:v>
                </c:pt>
                <c:pt idx="4062">
                  <c:v>89.69397999999998</c:v>
                </c:pt>
                <c:pt idx="4063">
                  <c:v>89.69267</c:v>
                </c:pt>
                <c:pt idx="4064">
                  <c:v>89.69123</c:v>
                </c:pt>
                <c:pt idx="4065">
                  <c:v>89.68978999999958</c:v>
                </c:pt>
                <c:pt idx="4066">
                  <c:v>89.68838999999915</c:v>
                </c:pt>
                <c:pt idx="4067">
                  <c:v>89.68703</c:v>
                </c:pt>
                <c:pt idx="4068">
                  <c:v>89.68562999999997</c:v>
                </c:pt>
                <c:pt idx="4069">
                  <c:v>89.68439999999998</c:v>
                </c:pt>
                <c:pt idx="4070">
                  <c:v>89.68291999999998</c:v>
                </c:pt>
                <c:pt idx="4071">
                  <c:v>89.68152</c:v>
                </c:pt>
                <c:pt idx="4072">
                  <c:v>89.67999999999998</c:v>
                </c:pt>
                <c:pt idx="4073">
                  <c:v>89.67863999999958</c:v>
                </c:pt>
                <c:pt idx="4074">
                  <c:v>89.67744999999998</c:v>
                </c:pt>
                <c:pt idx="4075">
                  <c:v>89.67629999999998</c:v>
                </c:pt>
                <c:pt idx="4076">
                  <c:v>89.67509999999938</c:v>
                </c:pt>
                <c:pt idx="4077">
                  <c:v>89.67402999999997</c:v>
                </c:pt>
                <c:pt idx="4078">
                  <c:v>89.67279999999907</c:v>
                </c:pt>
                <c:pt idx="4079">
                  <c:v>89.67139999999995</c:v>
                </c:pt>
                <c:pt idx="4080">
                  <c:v>89.66959</c:v>
                </c:pt>
                <c:pt idx="4081">
                  <c:v>89.66799</c:v>
                </c:pt>
                <c:pt idx="4082">
                  <c:v>89.66674999999998</c:v>
                </c:pt>
                <c:pt idx="4083">
                  <c:v>89.66552</c:v>
                </c:pt>
                <c:pt idx="4084">
                  <c:v>89.66445</c:v>
                </c:pt>
                <c:pt idx="4085">
                  <c:v>89.6635</c:v>
                </c:pt>
                <c:pt idx="4086">
                  <c:v>89.66218999999998</c:v>
                </c:pt>
                <c:pt idx="4087">
                  <c:v>89.66074999999998</c:v>
                </c:pt>
                <c:pt idx="4088">
                  <c:v>89.6596</c:v>
                </c:pt>
                <c:pt idx="4089">
                  <c:v>89.65860999999998</c:v>
                </c:pt>
                <c:pt idx="4090">
                  <c:v>89.65742</c:v>
                </c:pt>
                <c:pt idx="4091">
                  <c:v>89.65609999999998</c:v>
                </c:pt>
                <c:pt idx="4092">
                  <c:v>89.6547</c:v>
                </c:pt>
                <c:pt idx="4093">
                  <c:v>89.65333999999935</c:v>
                </c:pt>
                <c:pt idx="4094">
                  <c:v>89.65206999999998</c:v>
                </c:pt>
                <c:pt idx="4095">
                  <c:v>89.65074999999958</c:v>
                </c:pt>
                <c:pt idx="4096">
                  <c:v>89.64956</c:v>
                </c:pt>
                <c:pt idx="4097">
                  <c:v>89.64841</c:v>
                </c:pt>
                <c:pt idx="4098">
                  <c:v>89.64726</c:v>
                </c:pt>
                <c:pt idx="4099">
                  <c:v>89.64593999999998</c:v>
                </c:pt>
                <c:pt idx="4100">
                  <c:v>89.64475</c:v>
                </c:pt>
                <c:pt idx="4101">
                  <c:v>89.64355</c:v>
                </c:pt>
                <c:pt idx="4102">
                  <c:v>89.64243999999998</c:v>
                </c:pt>
                <c:pt idx="4103">
                  <c:v>89.64105</c:v>
                </c:pt>
                <c:pt idx="4104">
                  <c:v>89.63965</c:v>
                </c:pt>
                <c:pt idx="4105">
                  <c:v>89.63853999999998</c:v>
                </c:pt>
                <c:pt idx="4106">
                  <c:v>89.63771</c:v>
                </c:pt>
                <c:pt idx="4107">
                  <c:v>89.63656</c:v>
                </c:pt>
                <c:pt idx="4108">
                  <c:v>89.63532999999998</c:v>
                </c:pt>
                <c:pt idx="4109">
                  <c:v>89.63409</c:v>
                </c:pt>
                <c:pt idx="4110">
                  <c:v>89.63302</c:v>
                </c:pt>
                <c:pt idx="4111">
                  <c:v>89.63183</c:v>
                </c:pt>
                <c:pt idx="4112">
                  <c:v>89.63068</c:v>
                </c:pt>
                <c:pt idx="4113">
                  <c:v>89.62948999999985</c:v>
                </c:pt>
                <c:pt idx="4114">
                  <c:v>89.62841999999995</c:v>
                </c:pt>
                <c:pt idx="4115">
                  <c:v>89.62706</c:v>
                </c:pt>
                <c:pt idx="4116">
                  <c:v>89.62586999999998</c:v>
                </c:pt>
                <c:pt idx="4117">
                  <c:v>89.62471999999998</c:v>
                </c:pt>
                <c:pt idx="4118">
                  <c:v>89.62365</c:v>
                </c:pt>
                <c:pt idx="4119">
                  <c:v>89.62257999999925</c:v>
                </c:pt>
                <c:pt idx="4120">
                  <c:v>89.62133999999975</c:v>
                </c:pt>
                <c:pt idx="4121">
                  <c:v>89.62006999999998</c:v>
                </c:pt>
                <c:pt idx="4122">
                  <c:v>89.61892</c:v>
                </c:pt>
                <c:pt idx="4123">
                  <c:v>89.61772</c:v>
                </c:pt>
                <c:pt idx="4124">
                  <c:v>89.61661</c:v>
                </c:pt>
                <c:pt idx="4125">
                  <c:v>89.61542</c:v>
                </c:pt>
                <c:pt idx="4126">
                  <c:v>89.61427</c:v>
                </c:pt>
                <c:pt idx="4127">
                  <c:v>89.61307</c:v>
                </c:pt>
                <c:pt idx="4128">
                  <c:v>89.61188</c:v>
                </c:pt>
                <c:pt idx="4129">
                  <c:v>89.61069</c:v>
                </c:pt>
                <c:pt idx="4130">
                  <c:v>89.60957999999998</c:v>
                </c:pt>
                <c:pt idx="4131">
                  <c:v>89.60866999999997</c:v>
                </c:pt>
                <c:pt idx="4132">
                  <c:v>89.60756</c:v>
                </c:pt>
                <c:pt idx="4133">
                  <c:v>89.60653</c:v>
                </c:pt>
                <c:pt idx="4134">
                  <c:v>89.60550999999998</c:v>
                </c:pt>
                <c:pt idx="4135">
                  <c:v>89.60447999999998</c:v>
                </c:pt>
                <c:pt idx="4136">
                  <c:v>89.60361</c:v>
                </c:pt>
                <c:pt idx="4137">
                  <c:v>89.60258999999998</c:v>
                </c:pt>
                <c:pt idx="4138">
                  <c:v>89.6016</c:v>
                </c:pt>
                <c:pt idx="4139">
                  <c:v>89.60072999999998</c:v>
                </c:pt>
                <c:pt idx="4140">
                  <c:v>89.59962</c:v>
                </c:pt>
                <c:pt idx="4141">
                  <c:v>89.59864</c:v>
                </c:pt>
                <c:pt idx="4142">
                  <c:v>89.59753</c:v>
                </c:pt>
                <c:pt idx="4143">
                  <c:v>89.59637</c:v>
                </c:pt>
                <c:pt idx="4144">
                  <c:v>89.59514</c:v>
                </c:pt>
                <c:pt idx="4145">
                  <c:v>89.59407</c:v>
                </c:pt>
                <c:pt idx="4146">
                  <c:v>89.59329</c:v>
                </c:pt>
                <c:pt idx="4147">
                  <c:v>89.59237999999995</c:v>
                </c:pt>
                <c:pt idx="4148">
                  <c:v>89.59156</c:v>
                </c:pt>
                <c:pt idx="4149">
                  <c:v>89.59033</c:v>
                </c:pt>
                <c:pt idx="4150">
                  <c:v>89.58893</c:v>
                </c:pt>
                <c:pt idx="4151">
                  <c:v>89.58765</c:v>
                </c:pt>
                <c:pt idx="4152">
                  <c:v>89.58674999999998</c:v>
                </c:pt>
                <c:pt idx="4153">
                  <c:v>89.58588999999998</c:v>
                </c:pt>
                <c:pt idx="4154">
                  <c:v>89.58506</c:v>
                </c:pt>
                <c:pt idx="4155">
                  <c:v>89.58403000000001</c:v>
                </c:pt>
                <c:pt idx="4156">
                  <c:v>89.58275999999998</c:v>
                </c:pt>
                <c:pt idx="4157">
                  <c:v>89.58161</c:v>
                </c:pt>
                <c:pt idx="4158">
                  <c:v>89.58062</c:v>
                </c:pt>
                <c:pt idx="4159">
                  <c:v>89.57987999999965</c:v>
                </c:pt>
                <c:pt idx="4160">
                  <c:v>89.57880999999985</c:v>
                </c:pt>
                <c:pt idx="4161">
                  <c:v>89.57782</c:v>
                </c:pt>
                <c:pt idx="4162">
                  <c:v>89.57663</c:v>
                </c:pt>
                <c:pt idx="4163">
                  <c:v>89.57543999999938</c:v>
                </c:pt>
                <c:pt idx="4164">
                  <c:v>89.57429</c:v>
                </c:pt>
                <c:pt idx="4165">
                  <c:v>89.57337999999935</c:v>
                </c:pt>
                <c:pt idx="4166">
                  <c:v>89.57251999999998</c:v>
                </c:pt>
                <c:pt idx="4167">
                  <c:v>89.57153</c:v>
                </c:pt>
                <c:pt idx="4168">
                  <c:v>89.57042</c:v>
                </c:pt>
                <c:pt idx="4169">
                  <c:v>89.56943</c:v>
                </c:pt>
                <c:pt idx="4170">
                  <c:v>89.56848999999998</c:v>
                </c:pt>
                <c:pt idx="4171">
                  <c:v>89.56738</c:v>
                </c:pt>
                <c:pt idx="4172">
                  <c:v>89.56647</c:v>
                </c:pt>
                <c:pt idx="4173">
                  <c:v>89.56552</c:v>
                </c:pt>
                <c:pt idx="4174">
                  <c:v>89.56462</c:v>
                </c:pt>
                <c:pt idx="4175">
                  <c:v>89.56363</c:v>
                </c:pt>
                <c:pt idx="4176">
                  <c:v>89.56272999999997</c:v>
                </c:pt>
                <c:pt idx="4177">
                  <c:v>89.56178</c:v>
                </c:pt>
                <c:pt idx="4178">
                  <c:v>89.56067</c:v>
                </c:pt>
                <c:pt idx="4179">
                  <c:v>89.55968</c:v>
                </c:pt>
                <c:pt idx="4180">
                  <c:v>89.55881999999998</c:v>
                </c:pt>
                <c:pt idx="4181">
                  <c:v>89.55783</c:v>
                </c:pt>
                <c:pt idx="4182">
                  <c:v>89.55688999999998</c:v>
                </c:pt>
                <c:pt idx="4183">
                  <c:v>89.55589999999998</c:v>
                </c:pt>
                <c:pt idx="4184">
                  <c:v>89.5552</c:v>
                </c:pt>
                <c:pt idx="4185">
                  <c:v>89.55413</c:v>
                </c:pt>
                <c:pt idx="4186">
                  <c:v>89.5531</c:v>
                </c:pt>
                <c:pt idx="4187">
                  <c:v>89.5522</c:v>
                </c:pt>
                <c:pt idx="4188">
                  <c:v>89.55129</c:v>
                </c:pt>
                <c:pt idx="4189">
                  <c:v>89.5503</c:v>
                </c:pt>
                <c:pt idx="4190">
                  <c:v>89.54936</c:v>
                </c:pt>
                <c:pt idx="4191">
                  <c:v>89.5485</c:v>
                </c:pt>
                <c:pt idx="4192">
                  <c:v>89.54767</c:v>
                </c:pt>
                <c:pt idx="4193">
                  <c:v>89.54664</c:v>
                </c:pt>
                <c:pt idx="4194">
                  <c:v>89.5459</c:v>
                </c:pt>
                <c:pt idx="4195">
                  <c:v>89.54488</c:v>
                </c:pt>
                <c:pt idx="4196">
                  <c:v>89.54389</c:v>
                </c:pt>
                <c:pt idx="4197">
                  <c:v>89.54294</c:v>
                </c:pt>
                <c:pt idx="4198">
                  <c:v>89.54204</c:v>
                </c:pt>
                <c:pt idx="4199">
                  <c:v>89.54121</c:v>
                </c:pt>
                <c:pt idx="4200">
                  <c:v>89.54019</c:v>
                </c:pt>
                <c:pt idx="4201">
                  <c:v>89.53932</c:v>
                </c:pt>
                <c:pt idx="4202">
                  <c:v>89.5385</c:v>
                </c:pt>
                <c:pt idx="4203">
                  <c:v>89.53764</c:v>
                </c:pt>
                <c:pt idx="4204">
                  <c:v>89.53681</c:v>
                </c:pt>
                <c:pt idx="4205">
                  <c:v>89.53599</c:v>
                </c:pt>
                <c:pt idx="4206">
                  <c:v>89.53517</c:v>
                </c:pt>
                <c:pt idx="4207">
                  <c:v>89.5343</c:v>
                </c:pt>
                <c:pt idx="4208">
                  <c:v>89.53356</c:v>
                </c:pt>
                <c:pt idx="4209">
                  <c:v>89.53266</c:v>
                </c:pt>
                <c:pt idx="4210">
                  <c:v>89.53159</c:v>
                </c:pt>
                <c:pt idx="4211">
                  <c:v>89.53068</c:v>
                </c:pt>
                <c:pt idx="4212">
                  <c:v>89.52999</c:v>
                </c:pt>
                <c:pt idx="4213">
                  <c:v>89.52907999999998</c:v>
                </c:pt>
                <c:pt idx="4214">
                  <c:v>89.52813</c:v>
                </c:pt>
                <c:pt idx="4215">
                  <c:v>89.52727</c:v>
                </c:pt>
                <c:pt idx="4216">
                  <c:v>89.52641</c:v>
                </c:pt>
                <c:pt idx="4217">
                  <c:v>89.52549999999998</c:v>
                </c:pt>
                <c:pt idx="4218">
                  <c:v>89.52464</c:v>
                </c:pt>
                <c:pt idx="4219">
                  <c:v>89.52386</c:v>
                </c:pt>
                <c:pt idx="4220">
                  <c:v>89.52312</c:v>
                </c:pt>
                <c:pt idx="4221">
                  <c:v>89.52221</c:v>
                </c:pt>
                <c:pt idx="4222">
                  <c:v>89.52131</c:v>
                </c:pt>
                <c:pt idx="4223">
                  <c:v>89.52039999999998</c:v>
                </c:pt>
                <c:pt idx="4224">
                  <c:v>89.51974</c:v>
                </c:pt>
                <c:pt idx="4225">
                  <c:v>89.51908</c:v>
                </c:pt>
                <c:pt idx="4226">
                  <c:v>89.51822</c:v>
                </c:pt>
                <c:pt idx="4227">
                  <c:v>89.51732</c:v>
                </c:pt>
                <c:pt idx="4228">
                  <c:v>89.51649</c:v>
                </c:pt>
                <c:pt idx="4229">
                  <c:v>89.51559</c:v>
                </c:pt>
                <c:pt idx="4230">
                  <c:v>89.51468</c:v>
                </c:pt>
                <c:pt idx="4231">
                  <c:v>89.5139</c:v>
                </c:pt>
                <c:pt idx="4232">
                  <c:v>89.51312</c:v>
                </c:pt>
                <c:pt idx="4233">
                  <c:v>89.51233999999998</c:v>
                </c:pt>
                <c:pt idx="4234">
                  <c:v>89.51139</c:v>
                </c:pt>
                <c:pt idx="4235">
                  <c:v>89.51069</c:v>
                </c:pt>
                <c:pt idx="4236">
                  <c:v>89.50999</c:v>
                </c:pt>
                <c:pt idx="4237">
                  <c:v>89.50925</c:v>
                </c:pt>
                <c:pt idx="4238">
                  <c:v>89.5086</c:v>
                </c:pt>
                <c:pt idx="4239">
                  <c:v>89.5079</c:v>
                </c:pt>
                <c:pt idx="4240">
                  <c:v>89.50707000000001</c:v>
                </c:pt>
                <c:pt idx="4241">
                  <c:v>89.50621</c:v>
                </c:pt>
                <c:pt idx="4242">
                  <c:v>89.50538999999995</c:v>
                </c:pt>
                <c:pt idx="4243">
                  <c:v>89.50469</c:v>
                </c:pt>
                <c:pt idx="4244">
                  <c:v>89.50391</c:v>
                </c:pt>
                <c:pt idx="4245">
                  <c:v>89.50312</c:v>
                </c:pt>
                <c:pt idx="4246">
                  <c:v>89.50246999999997</c:v>
                </c:pt>
                <c:pt idx="4247">
                  <c:v>89.50164</c:v>
                </c:pt>
                <c:pt idx="4248">
                  <c:v>89.50099</c:v>
                </c:pt>
                <c:pt idx="4249">
                  <c:v>89.50029</c:v>
                </c:pt>
                <c:pt idx="4250">
                  <c:v>89.49934</c:v>
                </c:pt>
                <c:pt idx="4251">
                  <c:v>89.49844</c:v>
                </c:pt>
                <c:pt idx="4252">
                  <c:v>89.49761</c:v>
                </c:pt>
                <c:pt idx="4253">
                  <c:v>89.49691</c:v>
                </c:pt>
                <c:pt idx="4254">
                  <c:v>89.49617</c:v>
                </c:pt>
                <c:pt idx="4255">
                  <c:v>89.49539</c:v>
                </c:pt>
                <c:pt idx="4256">
                  <c:v>89.49461</c:v>
                </c:pt>
                <c:pt idx="4257">
                  <c:v>89.49399</c:v>
                </c:pt>
                <c:pt idx="4258">
                  <c:v>89.49334</c:v>
                </c:pt>
                <c:pt idx="4259">
                  <c:v>89.49264</c:v>
                </c:pt>
                <c:pt idx="4260">
                  <c:v>89.49185</c:v>
                </c:pt>
                <c:pt idx="4261">
                  <c:v>89.49091</c:v>
                </c:pt>
                <c:pt idx="4262">
                  <c:v>89.49029</c:v>
                </c:pt>
                <c:pt idx="4263">
                  <c:v>89.48955</c:v>
                </c:pt>
                <c:pt idx="4264">
                  <c:v>89.48865</c:v>
                </c:pt>
                <c:pt idx="4265">
                  <c:v>89.48782</c:v>
                </c:pt>
                <c:pt idx="4266">
                  <c:v>89.48712</c:v>
                </c:pt>
                <c:pt idx="4267">
                  <c:v>89.48634</c:v>
                </c:pt>
                <c:pt idx="4268">
                  <c:v>89.4856</c:v>
                </c:pt>
                <c:pt idx="4269">
                  <c:v>89.48482</c:v>
                </c:pt>
                <c:pt idx="4270">
                  <c:v>89.48408</c:v>
                </c:pt>
                <c:pt idx="4271">
                  <c:v>89.48322</c:v>
                </c:pt>
                <c:pt idx="4272">
                  <c:v>89.48256</c:v>
                </c:pt>
                <c:pt idx="4273">
                  <c:v>89.48169</c:v>
                </c:pt>
                <c:pt idx="4274">
                  <c:v>89.48095</c:v>
                </c:pt>
                <c:pt idx="4275">
                  <c:v>89.4803</c:v>
                </c:pt>
                <c:pt idx="4276">
                  <c:v>89.47947</c:v>
                </c:pt>
                <c:pt idx="4277">
                  <c:v>89.47857</c:v>
                </c:pt>
                <c:pt idx="4278">
                  <c:v>89.47787</c:v>
                </c:pt>
                <c:pt idx="4279">
                  <c:v>89.47729</c:v>
                </c:pt>
                <c:pt idx="4280">
                  <c:v>89.47668</c:v>
                </c:pt>
                <c:pt idx="4281">
                  <c:v>89.47602</c:v>
                </c:pt>
                <c:pt idx="4282">
                  <c:v>89.47515</c:v>
                </c:pt>
                <c:pt idx="4283">
                  <c:v>89.47437</c:v>
                </c:pt>
                <c:pt idx="4284">
                  <c:v>89.47363</c:v>
                </c:pt>
                <c:pt idx="4285">
                  <c:v>89.47296999999997</c:v>
                </c:pt>
                <c:pt idx="4286">
                  <c:v>89.47219</c:v>
                </c:pt>
                <c:pt idx="4287">
                  <c:v>89.47145</c:v>
                </c:pt>
                <c:pt idx="4288">
                  <c:v>89.47067000000001</c:v>
                </c:pt>
                <c:pt idx="4289">
                  <c:v>89.47022</c:v>
                </c:pt>
                <c:pt idx="4290">
                  <c:v>89.46964</c:v>
                </c:pt>
                <c:pt idx="4291">
                  <c:v>89.46919</c:v>
                </c:pt>
                <c:pt idx="4292">
                  <c:v>89.46853</c:v>
                </c:pt>
                <c:pt idx="4293">
                  <c:v>89.46791</c:v>
                </c:pt>
                <c:pt idx="4294">
                  <c:v>89.46717</c:v>
                </c:pt>
                <c:pt idx="4295">
                  <c:v>89.46643</c:v>
                </c:pt>
                <c:pt idx="4296">
                  <c:v>89.46565</c:v>
                </c:pt>
                <c:pt idx="4297">
                  <c:v>89.46479</c:v>
                </c:pt>
                <c:pt idx="4298">
                  <c:v>89.46384</c:v>
                </c:pt>
                <c:pt idx="4299">
                  <c:v>89.46302</c:v>
                </c:pt>
                <c:pt idx="4300">
                  <c:v>89.46236</c:v>
                </c:pt>
                <c:pt idx="4301">
                  <c:v>89.46191</c:v>
                </c:pt>
                <c:pt idx="4302">
                  <c:v>89.46133</c:v>
                </c:pt>
                <c:pt idx="4303">
                  <c:v>89.46055</c:v>
                </c:pt>
                <c:pt idx="4304">
                  <c:v>89.45973</c:v>
                </c:pt>
                <c:pt idx="4305">
                  <c:v>89.45903000000001</c:v>
                </c:pt>
                <c:pt idx="4306">
                  <c:v>89.45841</c:v>
                </c:pt>
                <c:pt idx="4307">
                  <c:v>89.45788</c:v>
                </c:pt>
                <c:pt idx="4308">
                  <c:v>89.45718</c:v>
                </c:pt>
                <c:pt idx="4309">
                  <c:v>89.45648</c:v>
                </c:pt>
                <c:pt idx="4310">
                  <c:v>89.45577999999985</c:v>
                </c:pt>
                <c:pt idx="4311">
                  <c:v>89.45488</c:v>
                </c:pt>
                <c:pt idx="4312">
                  <c:v>89.45422</c:v>
                </c:pt>
                <c:pt idx="4313">
                  <c:v>89.45335</c:v>
                </c:pt>
                <c:pt idx="4314">
                  <c:v>89.4527</c:v>
                </c:pt>
                <c:pt idx="4315">
                  <c:v>89.45200000000001</c:v>
                </c:pt>
                <c:pt idx="4316">
                  <c:v>89.45146</c:v>
                </c:pt>
                <c:pt idx="4317">
                  <c:v>89.4508</c:v>
                </c:pt>
                <c:pt idx="4318">
                  <c:v>89.45027</c:v>
                </c:pt>
                <c:pt idx="4319">
                  <c:v>89.44977</c:v>
                </c:pt>
                <c:pt idx="4320">
                  <c:v>89.44903</c:v>
                </c:pt>
                <c:pt idx="4321">
                  <c:v>89.44834</c:v>
                </c:pt>
                <c:pt idx="4322">
                  <c:v>89.44755</c:v>
                </c:pt>
                <c:pt idx="4323">
                  <c:v>89.44698</c:v>
                </c:pt>
                <c:pt idx="4324">
                  <c:v>89.44628</c:v>
                </c:pt>
                <c:pt idx="4325">
                  <c:v>89.4457</c:v>
                </c:pt>
                <c:pt idx="4326">
                  <c:v>89.44496</c:v>
                </c:pt>
                <c:pt idx="4327">
                  <c:v>89.44435</c:v>
                </c:pt>
                <c:pt idx="4328">
                  <c:v>89.4436</c:v>
                </c:pt>
                <c:pt idx="4329">
                  <c:v>89.44291</c:v>
                </c:pt>
                <c:pt idx="4330">
                  <c:v>89.44233000000001</c:v>
                </c:pt>
                <c:pt idx="4331">
                  <c:v>89.44175</c:v>
                </c:pt>
                <c:pt idx="4332">
                  <c:v>89.44118</c:v>
                </c:pt>
                <c:pt idx="4333">
                  <c:v>89.44048</c:v>
                </c:pt>
                <c:pt idx="4334">
                  <c:v>89.43978</c:v>
                </c:pt>
                <c:pt idx="4335">
                  <c:v>89.43916</c:v>
                </c:pt>
                <c:pt idx="4336">
                  <c:v>89.43867</c:v>
                </c:pt>
                <c:pt idx="4337">
                  <c:v>89.43785</c:v>
                </c:pt>
                <c:pt idx="4338">
                  <c:v>89.43698</c:v>
                </c:pt>
                <c:pt idx="4339">
                  <c:v>89.43645</c:v>
                </c:pt>
                <c:pt idx="4340">
                  <c:v>89.43591</c:v>
                </c:pt>
                <c:pt idx="4341">
                  <c:v>89.43521</c:v>
                </c:pt>
                <c:pt idx="4342">
                  <c:v>89.43443</c:v>
                </c:pt>
                <c:pt idx="4343">
                  <c:v>89.43377</c:v>
                </c:pt>
                <c:pt idx="4344">
                  <c:v>89.43312</c:v>
                </c:pt>
                <c:pt idx="4345">
                  <c:v>89.43242</c:v>
                </c:pt>
                <c:pt idx="4346">
                  <c:v>89.43164</c:v>
                </c:pt>
                <c:pt idx="4347">
                  <c:v>89.43098</c:v>
                </c:pt>
                <c:pt idx="4348">
                  <c:v>89.43036</c:v>
                </c:pt>
                <c:pt idx="4349">
                  <c:v>89.42977999999998</c:v>
                </c:pt>
                <c:pt idx="4350">
                  <c:v>89.42913</c:v>
                </c:pt>
                <c:pt idx="4351">
                  <c:v>89.42851</c:v>
                </c:pt>
                <c:pt idx="4352">
                  <c:v>89.42781</c:v>
                </c:pt>
                <c:pt idx="4353">
                  <c:v>89.42699</c:v>
                </c:pt>
                <c:pt idx="4354">
                  <c:v>89.42645</c:v>
                </c:pt>
                <c:pt idx="4355">
                  <c:v>89.42574999999998</c:v>
                </c:pt>
                <c:pt idx="4356">
                  <c:v>89.42517999999998</c:v>
                </c:pt>
                <c:pt idx="4357">
                  <c:v>89.42427</c:v>
                </c:pt>
                <c:pt idx="4358">
                  <c:v>89.42349</c:v>
                </c:pt>
                <c:pt idx="4359">
                  <c:v>89.42283</c:v>
                </c:pt>
                <c:pt idx="4360">
                  <c:v>89.42237999999985</c:v>
                </c:pt>
                <c:pt idx="4361">
                  <c:v>89.42189</c:v>
                </c:pt>
                <c:pt idx="4362">
                  <c:v>89.4211</c:v>
                </c:pt>
                <c:pt idx="4363">
                  <c:v>89.42053000000001</c:v>
                </c:pt>
                <c:pt idx="4364">
                  <c:v>89.41999</c:v>
                </c:pt>
                <c:pt idx="4365">
                  <c:v>89.41942</c:v>
                </c:pt>
                <c:pt idx="4366">
                  <c:v>89.4188</c:v>
                </c:pt>
                <c:pt idx="4367">
                  <c:v>89.41818</c:v>
                </c:pt>
                <c:pt idx="4368">
                  <c:v>89.41749</c:v>
                </c:pt>
                <c:pt idx="4369">
                  <c:v>89.41679</c:v>
                </c:pt>
                <c:pt idx="4370">
                  <c:v>89.41617</c:v>
                </c:pt>
                <c:pt idx="4371">
                  <c:v>89.41551</c:v>
                </c:pt>
                <c:pt idx="4372">
                  <c:v>89.41477</c:v>
                </c:pt>
                <c:pt idx="4373">
                  <c:v>89.41415</c:v>
                </c:pt>
                <c:pt idx="4374">
                  <c:v>89.41354</c:v>
                </c:pt>
                <c:pt idx="4375">
                  <c:v>89.41288</c:v>
                </c:pt>
                <c:pt idx="4376">
                  <c:v>89.41201</c:v>
                </c:pt>
                <c:pt idx="4377">
                  <c:v>89.41144</c:v>
                </c:pt>
                <c:pt idx="4378">
                  <c:v>89.41078</c:v>
                </c:pt>
                <c:pt idx="4379">
                  <c:v>89.41012</c:v>
                </c:pt>
                <c:pt idx="4380">
                  <c:v>89.40942</c:v>
                </c:pt>
                <c:pt idx="4381">
                  <c:v>89.40872</c:v>
                </c:pt>
                <c:pt idx="4382">
                  <c:v>89.40794</c:v>
                </c:pt>
                <c:pt idx="4383">
                  <c:v>89.40728</c:v>
                </c:pt>
                <c:pt idx="4384">
                  <c:v>89.40671</c:v>
                </c:pt>
                <c:pt idx="4385">
                  <c:v>89.40617</c:v>
                </c:pt>
                <c:pt idx="4386">
                  <c:v>89.40547</c:v>
                </c:pt>
                <c:pt idx="4387">
                  <c:v>89.40477000000001</c:v>
                </c:pt>
                <c:pt idx="4388">
                  <c:v>89.40399</c:v>
                </c:pt>
                <c:pt idx="4389">
                  <c:v>89.40325</c:v>
                </c:pt>
                <c:pt idx="4390">
                  <c:v>89.40247</c:v>
                </c:pt>
                <c:pt idx="4391">
                  <c:v>89.40177000000001</c:v>
                </c:pt>
                <c:pt idx="4392">
                  <c:v>89.40116</c:v>
                </c:pt>
                <c:pt idx="4393">
                  <c:v>89.40054</c:v>
                </c:pt>
                <c:pt idx="4394">
                  <c:v>89.39984</c:v>
                </c:pt>
                <c:pt idx="4395">
                  <c:v>89.39906</c:v>
                </c:pt>
                <c:pt idx="4396">
                  <c:v>89.39852</c:v>
                </c:pt>
                <c:pt idx="4397">
                  <c:v>89.39803</c:v>
                </c:pt>
                <c:pt idx="4398">
                  <c:v>89.39745</c:v>
                </c:pt>
                <c:pt idx="4399">
                  <c:v>89.39687999999998</c:v>
                </c:pt>
                <c:pt idx="4400">
                  <c:v>89.39633999999998</c:v>
                </c:pt>
                <c:pt idx="4401">
                  <c:v>89.39572999999998</c:v>
                </c:pt>
                <c:pt idx="4402">
                  <c:v>89.39499</c:v>
                </c:pt>
                <c:pt idx="4403">
                  <c:v>89.39437</c:v>
                </c:pt>
                <c:pt idx="4404">
                  <c:v>89.39378999999998</c:v>
                </c:pt>
                <c:pt idx="4405">
                  <c:v>89.39318</c:v>
                </c:pt>
                <c:pt idx="4406">
                  <c:v>89.3926</c:v>
                </c:pt>
                <c:pt idx="4407">
                  <c:v>89.39198</c:v>
                </c:pt>
                <c:pt idx="4408">
                  <c:v>89.39112</c:v>
                </c:pt>
                <c:pt idx="4409">
                  <c:v>89.39046</c:v>
                </c:pt>
                <c:pt idx="4410">
                  <c:v>89.38964</c:v>
                </c:pt>
                <c:pt idx="4411">
                  <c:v>89.38885999999998</c:v>
                </c:pt>
                <c:pt idx="4412">
                  <c:v>89.38806999999998</c:v>
                </c:pt>
                <c:pt idx="4413">
                  <c:v>89.38725</c:v>
                </c:pt>
                <c:pt idx="4414">
                  <c:v>89.38679999999998</c:v>
                </c:pt>
                <c:pt idx="4415">
                  <c:v>89.38613999999998</c:v>
                </c:pt>
                <c:pt idx="4416">
                  <c:v>89.38552</c:v>
                </c:pt>
                <c:pt idx="4417">
                  <c:v>89.38502999999998</c:v>
                </c:pt>
                <c:pt idx="4418">
                  <c:v>89.3847</c:v>
                </c:pt>
                <c:pt idx="4419">
                  <c:v>89.38417</c:v>
                </c:pt>
                <c:pt idx="4420">
                  <c:v>89.38338999999995</c:v>
                </c:pt>
                <c:pt idx="4421">
                  <c:v>89.38259999999998</c:v>
                </c:pt>
                <c:pt idx="4422">
                  <c:v>89.38206999999998</c:v>
                </c:pt>
                <c:pt idx="4423">
                  <c:v>89.38149</c:v>
                </c:pt>
                <c:pt idx="4424">
                  <c:v>89.38070999999998</c:v>
                </c:pt>
                <c:pt idx="4425">
                  <c:v>89.37996999999998</c:v>
                </c:pt>
                <c:pt idx="4426">
                  <c:v>89.37934999999958</c:v>
                </c:pt>
                <c:pt idx="4427">
                  <c:v>89.37877999999883</c:v>
                </c:pt>
                <c:pt idx="4428">
                  <c:v>89.37815999999998</c:v>
                </c:pt>
                <c:pt idx="4429">
                  <c:v>89.37746</c:v>
                </c:pt>
                <c:pt idx="4430">
                  <c:v>89.37684999999995</c:v>
                </c:pt>
                <c:pt idx="4431">
                  <c:v>89.37618999999998</c:v>
                </c:pt>
                <c:pt idx="4432">
                  <c:v>89.37548999999925</c:v>
                </c:pt>
                <c:pt idx="4433">
                  <c:v>89.37486999999997</c:v>
                </c:pt>
                <c:pt idx="4434">
                  <c:v>89.37433999999975</c:v>
                </c:pt>
                <c:pt idx="4435">
                  <c:v>89.37383999999948</c:v>
                </c:pt>
                <c:pt idx="4436">
                  <c:v>89.37323</c:v>
                </c:pt>
                <c:pt idx="4437">
                  <c:v>89.37252999999998</c:v>
                </c:pt>
                <c:pt idx="4438">
                  <c:v>89.37186999999998</c:v>
                </c:pt>
                <c:pt idx="4439">
                  <c:v>89.37129</c:v>
                </c:pt>
                <c:pt idx="4440">
                  <c:v>89.37063</c:v>
                </c:pt>
                <c:pt idx="4441">
                  <c:v>89.36985</c:v>
                </c:pt>
                <c:pt idx="4442">
                  <c:v>89.36907</c:v>
                </c:pt>
                <c:pt idx="4443">
                  <c:v>89.36832999999998</c:v>
                </c:pt>
                <c:pt idx="4444">
                  <c:v>89.36767</c:v>
                </c:pt>
                <c:pt idx="4445">
                  <c:v>89.36693</c:v>
                </c:pt>
                <c:pt idx="4446">
                  <c:v>89.36623</c:v>
                </c:pt>
                <c:pt idx="4447">
                  <c:v>89.36566</c:v>
                </c:pt>
                <c:pt idx="4448">
                  <c:v>89.36507999999998</c:v>
                </c:pt>
                <c:pt idx="4449">
                  <c:v>89.36442</c:v>
                </c:pt>
                <c:pt idx="4450">
                  <c:v>89.36376</c:v>
                </c:pt>
                <c:pt idx="4451">
                  <c:v>89.36323</c:v>
                </c:pt>
                <c:pt idx="4452">
                  <c:v>89.36253</c:v>
                </c:pt>
                <c:pt idx="4453">
                  <c:v>89.36191</c:v>
                </c:pt>
                <c:pt idx="4454">
                  <c:v>89.36134</c:v>
                </c:pt>
                <c:pt idx="4455">
                  <c:v>89.36089</c:v>
                </c:pt>
                <c:pt idx="4456">
                  <c:v>89.36019</c:v>
                </c:pt>
                <c:pt idx="4457">
                  <c:v>89.35953</c:v>
                </c:pt>
                <c:pt idx="4458">
                  <c:v>89.35882999999998</c:v>
                </c:pt>
                <c:pt idx="4459">
                  <c:v>89.35808999999985</c:v>
                </c:pt>
                <c:pt idx="4460">
                  <c:v>89.35751</c:v>
                </c:pt>
                <c:pt idx="4461">
                  <c:v>89.35680999999998</c:v>
                </c:pt>
                <c:pt idx="4462">
                  <c:v>89.35611</c:v>
                </c:pt>
                <c:pt idx="4463">
                  <c:v>89.35536999999998</c:v>
                </c:pt>
                <c:pt idx="4464">
                  <c:v>89.35479999999998</c:v>
                </c:pt>
                <c:pt idx="4465">
                  <c:v>89.3541</c:v>
                </c:pt>
                <c:pt idx="4466">
                  <c:v>89.35343999999998</c:v>
                </c:pt>
                <c:pt idx="4467">
                  <c:v>89.3527399999991</c:v>
                </c:pt>
                <c:pt idx="4468">
                  <c:v>89.35225</c:v>
                </c:pt>
                <c:pt idx="4469">
                  <c:v>89.35163</c:v>
                </c:pt>
                <c:pt idx="4470">
                  <c:v>89.35105</c:v>
                </c:pt>
                <c:pt idx="4471">
                  <c:v>89.35030999999998</c:v>
                </c:pt>
                <c:pt idx="4472">
                  <c:v>89.34973999999998</c:v>
                </c:pt>
                <c:pt idx="4473">
                  <c:v>89.34904</c:v>
                </c:pt>
                <c:pt idx="4474">
                  <c:v>89.34818</c:v>
                </c:pt>
                <c:pt idx="4475">
                  <c:v>89.34756</c:v>
                </c:pt>
                <c:pt idx="4476">
                  <c:v>89.34694</c:v>
                </c:pt>
                <c:pt idx="4477">
                  <c:v>89.34632</c:v>
                </c:pt>
                <c:pt idx="4478">
                  <c:v>89.34574999999998</c:v>
                </c:pt>
                <c:pt idx="4479">
                  <c:v>89.34509</c:v>
                </c:pt>
                <c:pt idx="4480">
                  <c:v>89.3446</c:v>
                </c:pt>
                <c:pt idx="4481">
                  <c:v>89.34402</c:v>
                </c:pt>
                <c:pt idx="4482">
                  <c:v>89.34328</c:v>
                </c:pt>
                <c:pt idx="4483">
                  <c:v>89.34262</c:v>
                </c:pt>
                <c:pt idx="4484">
                  <c:v>89.34209</c:v>
                </c:pt>
                <c:pt idx="4485">
                  <c:v>89.34139</c:v>
                </c:pt>
                <c:pt idx="4486">
                  <c:v>89.34102</c:v>
                </c:pt>
                <c:pt idx="4487">
                  <c:v>89.34036</c:v>
                </c:pt>
                <c:pt idx="4488">
                  <c:v>89.3397</c:v>
                </c:pt>
                <c:pt idx="4489">
                  <c:v>89.33907999999998</c:v>
                </c:pt>
                <c:pt idx="4490">
                  <c:v>89.33855</c:v>
                </c:pt>
                <c:pt idx="4491">
                  <c:v>89.33793</c:v>
                </c:pt>
                <c:pt idx="4492">
                  <c:v>89.33715</c:v>
                </c:pt>
                <c:pt idx="4493">
                  <c:v>89.33653</c:v>
                </c:pt>
                <c:pt idx="4494">
                  <c:v>89.33587999999965</c:v>
                </c:pt>
                <c:pt idx="4495">
                  <c:v>89.33529999999997</c:v>
                </c:pt>
                <c:pt idx="4496">
                  <c:v>89.33472</c:v>
                </c:pt>
                <c:pt idx="4497">
                  <c:v>89.33419</c:v>
                </c:pt>
                <c:pt idx="4498">
                  <c:v>89.3337</c:v>
                </c:pt>
                <c:pt idx="4499">
                  <c:v>89.33332999999997</c:v>
                </c:pt>
                <c:pt idx="4500">
                  <c:v>89.33286999999998</c:v>
                </c:pt>
                <c:pt idx="4501">
                  <c:v>89.33237999999938</c:v>
                </c:pt>
                <c:pt idx="4502">
                  <c:v>89.33168</c:v>
                </c:pt>
                <c:pt idx="4503">
                  <c:v>89.33097999999998</c:v>
                </c:pt>
                <c:pt idx="4504">
                  <c:v>89.33016</c:v>
                </c:pt>
                <c:pt idx="4505">
                  <c:v>89.32945999999998</c:v>
                </c:pt>
                <c:pt idx="4506">
                  <c:v>89.32891999999998</c:v>
                </c:pt>
                <c:pt idx="4507">
                  <c:v>89.32813999999995</c:v>
                </c:pt>
                <c:pt idx="4508">
                  <c:v>89.32739999999998</c:v>
                </c:pt>
                <c:pt idx="4509">
                  <c:v>89.32678999999958</c:v>
                </c:pt>
                <c:pt idx="4510">
                  <c:v>89.32621</c:v>
                </c:pt>
                <c:pt idx="4511">
                  <c:v>89.32567999999995</c:v>
                </c:pt>
                <c:pt idx="4512">
                  <c:v>89.32513999999995</c:v>
                </c:pt>
                <c:pt idx="4513">
                  <c:v>89.32469</c:v>
                </c:pt>
                <c:pt idx="4514">
                  <c:v>89.32398999999998</c:v>
                </c:pt>
                <c:pt idx="4515">
                  <c:v>89.32336999999998</c:v>
                </c:pt>
                <c:pt idx="4516">
                  <c:v>89.32266999999997</c:v>
                </c:pt>
                <c:pt idx="4517">
                  <c:v>89.32200999999995</c:v>
                </c:pt>
                <c:pt idx="4518">
                  <c:v>89.32139999999998</c:v>
                </c:pt>
                <c:pt idx="4519">
                  <c:v>89.32053</c:v>
                </c:pt>
                <c:pt idx="4520">
                  <c:v>89.31975</c:v>
                </c:pt>
                <c:pt idx="4521">
                  <c:v>89.31909</c:v>
                </c:pt>
                <c:pt idx="4522">
                  <c:v>89.31864</c:v>
                </c:pt>
                <c:pt idx="4523">
                  <c:v>89.31807</c:v>
                </c:pt>
                <c:pt idx="4524">
                  <c:v>89.31745</c:v>
                </c:pt>
                <c:pt idx="4525">
                  <c:v>89.31683</c:v>
                </c:pt>
                <c:pt idx="4526">
                  <c:v>89.31626</c:v>
                </c:pt>
                <c:pt idx="4527">
                  <c:v>89.31572</c:v>
                </c:pt>
                <c:pt idx="4528">
                  <c:v>89.31527000000001</c:v>
                </c:pt>
                <c:pt idx="4529">
                  <c:v>89.31473</c:v>
                </c:pt>
                <c:pt idx="4530">
                  <c:v>89.31399</c:v>
                </c:pt>
                <c:pt idx="4531">
                  <c:v>89.31358</c:v>
                </c:pt>
                <c:pt idx="4532">
                  <c:v>89.31305</c:v>
                </c:pt>
                <c:pt idx="4533">
                  <c:v>89.31255</c:v>
                </c:pt>
                <c:pt idx="4534">
                  <c:v>89.31194</c:v>
                </c:pt>
                <c:pt idx="4535">
                  <c:v>89.31128</c:v>
                </c:pt>
                <c:pt idx="4536">
                  <c:v>89.31054</c:v>
                </c:pt>
                <c:pt idx="4537">
                  <c:v>89.30967</c:v>
                </c:pt>
                <c:pt idx="4538">
                  <c:v>89.30906</c:v>
                </c:pt>
                <c:pt idx="4539">
                  <c:v>89.30861</c:v>
                </c:pt>
                <c:pt idx="4540">
                  <c:v>89.30802999999997</c:v>
                </c:pt>
                <c:pt idx="4541">
                  <c:v>89.30754</c:v>
                </c:pt>
                <c:pt idx="4542">
                  <c:v>89.30683999999998</c:v>
                </c:pt>
                <c:pt idx="4543">
                  <c:v>89.30622</c:v>
                </c:pt>
                <c:pt idx="4544">
                  <c:v>89.30580999999998</c:v>
                </c:pt>
                <c:pt idx="4545">
                  <c:v>89.30515</c:v>
                </c:pt>
                <c:pt idx="4546">
                  <c:v>89.30429</c:v>
                </c:pt>
                <c:pt idx="4547">
                  <c:v>89.30367</c:v>
                </c:pt>
                <c:pt idx="4548">
                  <c:v>89.30308999999998</c:v>
                </c:pt>
                <c:pt idx="4549">
                  <c:v>89.30243999999985</c:v>
                </c:pt>
                <c:pt idx="4550">
                  <c:v>89.30173999999998</c:v>
                </c:pt>
                <c:pt idx="4551">
                  <c:v>89.30116</c:v>
                </c:pt>
                <c:pt idx="4552">
                  <c:v>89.30067</c:v>
                </c:pt>
                <c:pt idx="4553">
                  <c:v>89.30001</c:v>
                </c:pt>
                <c:pt idx="4554">
                  <c:v>89.29923</c:v>
                </c:pt>
                <c:pt idx="4555">
                  <c:v>89.29853</c:v>
                </c:pt>
                <c:pt idx="4556">
                  <c:v>89.29799</c:v>
                </c:pt>
                <c:pt idx="4557">
                  <c:v>89.29746</c:v>
                </c:pt>
                <c:pt idx="4558">
                  <c:v>89.29696</c:v>
                </c:pt>
                <c:pt idx="4559">
                  <c:v>89.29643</c:v>
                </c:pt>
                <c:pt idx="4560">
                  <c:v>89.29589</c:v>
                </c:pt>
                <c:pt idx="4561">
                  <c:v>89.2954</c:v>
                </c:pt>
                <c:pt idx="4562">
                  <c:v>89.29487</c:v>
                </c:pt>
                <c:pt idx="4563">
                  <c:v>89.29417</c:v>
                </c:pt>
                <c:pt idx="4564">
                  <c:v>89.29363</c:v>
                </c:pt>
                <c:pt idx="4565">
                  <c:v>89.29306</c:v>
                </c:pt>
                <c:pt idx="4566">
                  <c:v>89.29248</c:v>
                </c:pt>
                <c:pt idx="4567">
                  <c:v>89.29186</c:v>
                </c:pt>
                <c:pt idx="4568">
                  <c:v>89.29129</c:v>
                </c:pt>
                <c:pt idx="4569">
                  <c:v>89.29067</c:v>
                </c:pt>
                <c:pt idx="4570">
                  <c:v>89.29014</c:v>
                </c:pt>
                <c:pt idx="4571">
                  <c:v>89.28968</c:v>
                </c:pt>
                <c:pt idx="4572">
                  <c:v>89.28915</c:v>
                </c:pt>
                <c:pt idx="4573">
                  <c:v>89.28873999999985</c:v>
                </c:pt>
                <c:pt idx="4574">
                  <c:v>89.28803999999998</c:v>
                </c:pt>
                <c:pt idx="4575">
                  <c:v>89.28734</c:v>
                </c:pt>
                <c:pt idx="4576">
                  <c:v>89.28668</c:v>
                </c:pt>
                <c:pt idx="4577">
                  <c:v>89.28606</c:v>
                </c:pt>
                <c:pt idx="4578">
                  <c:v>89.28548999999998</c:v>
                </c:pt>
                <c:pt idx="4579">
                  <c:v>89.28495</c:v>
                </c:pt>
                <c:pt idx="4580">
                  <c:v>89.28446</c:v>
                </c:pt>
                <c:pt idx="4581">
                  <c:v>89.28397</c:v>
                </c:pt>
                <c:pt idx="4582">
                  <c:v>89.28335</c:v>
                </c:pt>
                <c:pt idx="4583">
                  <c:v>89.28253</c:v>
                </c:pt>
                <c:pt idx="4584">
                  <c:v>89.28183000000001</c:v>
                </c:pt>
                <c:pt idx="4585">
                  <c:v>89.28117</c:v>
                </c:pt>
                <c:pt idx="4586">
                  <c:v>89.28068</c:v>
                </c:pt>
                <c:pt idx="4587">
                  <c:v>89.2801</c:v>
                </c:pt>
                <c:pt idx="4588">
                  <c:v>89.27952</c:v>
                </c:pt>
                <c:pt idx="4589">
                  <c:v>89.27890999999998</c:v>
                </c:pt>
                <c:pt idx="4590">
                  <c:v>89.27844999999998</c:v>
                </c:pt>
                <c:pt idx="4591">
                  <c:v>89.27807999999958</c:v>
                </c:pt>
                <c:pt idx="4592">
                  <c:v>89.27763</c:v>
                </c:pt>
                <c:pt idx="4593">
                  <c:v>89.27701</c:v>
                </c:pt>
                <c:pt idx="4594">
                  <c:v>89.27635999999998</c:v>
                </c:pt>
                <c:pt idx="4595">
                  <c:v>89.27581999999998</c:v>
                </c:pt>
                <c:pt idx="4596">
                  <c:v>89.27529</c:v>
                </c:pt>
                <c:pt idx="4597">
                  <c:v>89.27455</c:v>
                </c:pt>
                <c:pt idx="4598">
                  <c:v>89.27380999999998</c:v>
                </c:pt>
                <c:pt idx="4599">
                  <c:v>89.27327</c:v>
                </c:pt>
                <c:pt idx="4600">
                  <c:v>89.27273999999925</c:v>
                </c:pt>
                <c:pt idx="4601">
                  <c:v>89.27207999999958</c:v>
                </c:pt>
                <c:pt idx="4602">
                  <c:v>89.27137999999998</c:v>
                </c:pt>
                <c:pt idx="4603">
                  <c:v>89.27079999999998</c:v>
                </c:pt>
                <c:pt idx="4604">
                  <c:v>89.27038999999998</c:v>
                </c:pt>
                <c:pt idx="4605">
                  <c:v>89.26986</c:v>
                </c:pt>
                <c:pt idx="4606">
                  <c:v>89.26924</c:v>
                </c:pt>
                <c:pt idx="4607">
                  <c:v>89.26862</c:v>
                </c:pt>
                <c:pt idx="4608">
                  <c:v>89.26817000000001</c:v>
                </c:pt>
                <c:pt idx="4609">
                  <c:v>89.26776</c:v>
                </c:pt>
                <c:pt idx="4610">
                  <c:v>89.2671</c:v>
                </c:pt>
                <c:pt idx="4611">
                  <c:v>89.26661</c:v>
                </c:pt>
                <c:pt idx="4612">
                  <c:v>89.26607000000001</c:v>
                </c:pt>
                <c:pt idx="4613">
                  <c:v>89.2655</c:v>
                </c:pt>
                <c:pt idx="4614">
                  <c:v>89.2648</c:v>
                </c:pt>
                <c:pt idx="4615">
                  <c:v>89.26418</c:v>
                </c:pt>
                <c:pt idx="4616">
                  <c:v>89.26361</c:v>
                </c:pt>
                <c:pt idx="4617">
                  <c:v>89.26303</c:v>
                </c:pt>
                <c:pt idx="4618">
                  <c:v>89.26249</c:v>
                </c:pt>
                <c:pt idx="4619">
                  <c:v>89.26207999999998</c:v>
                </c:pt>
                <c:pt idx="4620">
                  <c:v>89.26159</c:v>
                </c:pt>
                <c:pt idx="4621">
                  <c:v>89.26097</c:v>
                </c:pt>
                <c:pt idx="4622">
                  <c:v>89.26048</c:v>
                </c:pt>
                <c:pt idx="4623">
                  <c:v>89.25977999999998</c:v>
                </c:pt>
                <c:pt idx="4624">
                  <c:v>89.259</c:v>
                </c:pt>
                <c:pt idx="4625">
                  <c:v>89.25833999999985</c:v>
                </c:pt>
                <c:pt idx="4626">
                  <c:v>89.25764</c:v>
                </c:pt>
                <c:pt idx="4627">
                  <c:v>89.25711</c:v>
                </c:pt>
                <c:pt idx="4628">
                  <c:v>89.25661</c:v>
                </c:pt>
                <c:pt idx="4629">
                  <c:v>89.25604</c:v>
                </c:pt>
                <c:pt idx="4630">
                  <c:v>89.2555</c:v>
                </c:pt>
                <c:pt idx="4631">
                  <c:v>89.25508999999998</c:v>
                </c:pt>
                <c:pt idx="4632">
                  <c:v>89.25464</c:v>
                </c:pt>
                <c:pt idx="4633">
                  <c:v>89.25402</c:v>
                </c:pt>
                <c:pt idx="4634">
                  <c:v>89.25353000000001</c:v>
                </c:pt>
                <c:pt idx="4635">
                  <c:v>89.25295</c:v>
                </c:pt>
                <c:pt idx="4636">
                  <c:v>89.25237999999958</c:v>
                </c:pt>
                <c:pt idx="4637">
                  <c:v>89.2518</c:v>
                </c:pt>
                <c:pt idx="4638">
                  <c:v>89.25127</c:v>
                </c:pt>
                <c:pt idx="4639">
                  <c:v>89.25061</c:v>
                </c:pt>
                <c:pt idx="4640">
                  <c:v>89.25007</c:v>
                </c:pt>
                <c:pt idx="4641">
                  <c:v>89.24941</c:v>
                </c:pt>
                <c:pt idx="4642">
                  <c:v>89.24888</c:v>
                </c:pt>
                <c:pt idx="4643">
                  <c:v>89.24851</c:v>
                </c:pt>
                <c:pt idx="4644">
                  <c:v>89.24789</c:v>
                </c:pt>
                <c:pt idx="4645">
                  <c:v>89.24728</c:v>
                </c:pt>
                <c:pt idx="4646">
                  <c:v>89.24678</c:v>
                </c:pt>
                <c:pt idx="4647">
                  <c:v>89.24625</c:v>
                </c:pt>
                <c:pt idx="4648">
                  <c:v>89.24571</c:v>
                </c:pt>
                <c:pt idx="4649">
                  <c:v>89.24514</c:v>
                </c:pt>
                <c:pt idx="4650">
                  <c:v>89.24452</c:v>
                </c:pt>
                <c:pt idx="4651">
                  <c:v>89.24394</c:v>
                </c:pt>
                <c:pt idx="4652">
                  <c:v>89.24345</c:v>
                </c:pt>
                <c:pt idx="4653">
                  <c:v>89.243</c:v>
                </c:pt>
                <c:pt idx="4654">
                  <c:v>89.24242</c:v>
                </c:pt>
                <c:pt idx="4655">
                  <c:v>89.2418</c:v>
                </c:pt>
                <c:pt idx="4656">
                  <c:v>89.24123</c:v>
                </c:pt>
                <c:pt idx="4657">
                  <c:v>89.24078</c:v>
                </c:pt>
                <c:pt idx="4658">
                  <c:v>89.24024</c:v>
                </c:pt>
                <c:pt idx="4659">
                  <c:v>89.23975</c:v>
                </c:pt>
                <c:pt idx="4660">
                  <c:v>89.2393</c:v>
                </c:pt>
                <c:pt idx="4661">
                  <c:v>89.23872</c:v>
                </c:pt>
                <c:pt idx="4662">
                  <c:v>89.23814</c:v>
                </c:pt>
                <c:pt idx="4663">
                  <c:v>89.23761</c:v>
                </c:pt>
                <c:pt idx="4664">
                  <c:v>89.23699</c:v>
                </c:pt>
                <c:pt idx="4665">
                  <c:v>89.23642</c:v>
                </c:pt>
                <c:pt idx="4666">
                  <c:v>89.23596</c:v>
                </c:pt>
                <c:pt idx="4667">
                  <c:v>89.23551</c:v>
                </c:pt>
                <c:pt idx="4668">
                  <c:v>89.23485</c:v>
                </c:pt>
                <c:pt idx="4669">
                  <c:v>89.23432</c:v>
                </c:pt>
                <c:pt idx="4670">
                  <c:v>89.23382</c:v>
                </c:pt>
                <c:pt idx="4671">
                  <c:v>89.2335</c:v>
                </c:pt>
                <c:pt idx="4672">
                  <c:v>89.23304</c:v>
                </c:pt>
                <c:pt idx="4673">
                  <c:v>89.23237999999998</c:v>
                </c:pt>
                <c:pt idx="4674">
                  <c:v>89.23197</c:v>
                </c:pt>
                <c:pt idx="4675">
                  <c:v>89.23148</c:v>
                </c:pt>
                <c:pt idx="4676">
                  <c:v>89.23107</c:v>
                </c:pt>
                <c:pt idx="4677">
                  <c:v>89.23049</c:v>
                </c:pt>
                <c:pt idx="4678">
                  <c:v>89.23</c:v>
                </c:pt>
                <c:pt idx="4679">
                  <c:v>89.22937999999998</c:v>
                </c:pt>
                <c:pt idx="4680">
                  <c:v>89.22896999999997</c:v>
                </c:pt>
                <c:pt idx="4681">
                  <c:v>89.22843999999998</c:v>
                </c:pt>
                <c:pt idx="4682">
                  <c:v>89.22802</c:v>
                </c:pt>
                <c:pt idx="4683">
                  <c:v>89.22773999999998</c:v>
                </c:pt>
                <c:pt idx="4684">
                  <c:v>89.2272</c:v>
                </c:pt>
                <c:pt idx="4685">
                  <c:v>89.22683</c:v>
                </c:pt>
                <c:pt idx="4686">
                  <c:v>89.22621</c:v>
                </c:pt>
                <c:pt idx="4687">
                  <c:v>89.22564</c:v>
                </c:pt>
                <c:pt idx="4688">
                  <c:v>89.22502</c:v>
                </c:pt>
                <c:pt idx="4689">
                  <c:v>89.22432</c:v>
                </c:pt>
                <c:pt idx="4690">
                  <c:v>89.22387</c:v>
                </c:pt>
                <c:pt idx="4691">
                  <c:v>89.22342</c:v>
                </c:pt>
                <c:pt idx="4692">
                  <c:v>89.22279999999998</c:v>
                </c:pt>
                <c:pt idx="4693">
                  <c:v>89.22222</c:v>
                </c:pt>
                <c:pt idx="4694">
                  <c:v>89.22181</c:v>
                </c:pt>
                <c:pt idx="4695">
                  <c:v>89.2212</c:v>
                </c:pt>
                <c:pt idx="4696">
                  <c:v>89.22066</c:v>
                </c:pt>
                <c:pt idx="4697">
                  <c:v>89.22013</c:v>
                </c:pt>
                <c:pt idx="4698">
                  <c:v>89.21947</c:v>
                </c:pt>
                <c:pt idx="4699">
                  <c:v>89.21906</c:v>
                </c:pt>
                <c:pt idx="4700">
                  <c:v>89.21852</c:v>
                </c:pt>
                <c:pt idx="4701">
                  <c:v>89.21799</c:v>
                </c:pt>
                <c:pt idx="4702">
                  <c:v>89.21745</c:v>
                </c:pt>
                <c:pt idx="4703">
                  <c:v>89.2168</c:v>
                </c:pt>
                <c:pt idx="4704">
                  <c:v>89.21626</c:v>
                </c:pt>
                <c:pt idx="4705">
                  <c:v>89.21573</c:v>
                </c:pt>
                <c:pt idx="4706">
                  <c:v>89.21523</c:v>
                </c:pt>
                <c:pt idx="4707">
                  <c:v>89.2149</c:v>
                </c:pt>
                <c:pt idx="4708">
                  <c:v>89.21462</c:v>
                </c:pt>
                <c:pt idx="4709">
                  <c:v>89.214</c:v>
                </c:pt>
                <c:pt idx="4710">
                  <c:v>89.21346</c:v>
                </c:pt>
                <c:pt idx="4711">
                  <c:v>89.21297000000001</c:v>
                </c:pt>
                <c:pt idx="4712">
                  <c:v>89.21256</c:v>
                </c:pt>
                <c:pt idx="4713">
                  <c:v>89.21206</c:v>
                </c:pt>
                <c:pt idx="4714">
                  <c:v>89.21153</c:v>
                </c:pt>
                <c:pt idx="4715">
                  <c:v>89.211</c:v>
                </c:pt>
                <c:pt idx="4716">
                  <c:v>89.2105</c:v>
                </c:pt>
                <c:pt idx="4717">
                  <c:v>89.20988</c:v>
                </c:pt>
                <c:pt idx="4718">
                  <c:v>89.20927</c:v>
                </c:pt>
                <c:pt idx="4719">
                  <c:v>89.2089</c:v>
                </c:pt>
                <c:pt idx="4720">
                  <c:v>89.20828</c:v>
                </c:pt>
                <c:pt idx="4721">
                  <c:v>89.20766</c:v>
                </c:pt>
                <c:pt idx="4722">
                  <c:v>89.20705</c:v>
                </c:pt>
                <c:pt idx="4723">
                  <c:v>89.20659</c:v>
                </c:pt>
                <c:pt idx="4724">
                  <c:v>89.20614</c:v>
                </c:pt>
                <c:pt idx="4725">
                  <c:v>89.20581</c:v>
                </c:pt>
                <c:pt idx="4726">
                  <c:v>89.20528</c:v>
                </c:pt>
                <c:pt idx="4727">
                  <c:v>89.20454</c:v>
                </c:pt>
                <c:pt idx="4728">
                  <c:v>89.20396</c:v>
                </c:pt>
                <c:pt idx="4729">
                  <c:v>89.20359</c:v>
                </c:pt>
                <c:pt idx="4730">
                  <c:v>89.20318</c:v>
                </c:pt>
                <c:pt idx="4731">
                  <c:v>89.20272999999997</c:v>
                </c:pt>
                <c:pt idx="4732">
                  <c:v>89.20215</c:v>
                </c:pt>
                <c:pt idx="4733">
                  <c:v>89.20162</c:v>
                </c:pt>
                <c:pt idx="4734">
                  <c:v>89.20116</c:v>
                </c:pt>
                <c:pt idx="4735">
                  <c:v>89.20067</c:v>
                </c:pt>
                <c:pt idx="4736">
                  <c:v>89.20030000000001</c:v>
                </c:pt>
                <c:pt idx="4737">
                  <c:v>89.19988999999998</c:v>
                </c:pt>
                <c:pt idx="4738">
                  <c:v>89.19939999999998</c:v>
                </c:pt>
                <c:pt idx="4739">
                  <c:v>89.19877999999925</c:v>
                </c:pt>
                <c:pt idx="4740">
                  <c:v>89.19824</c:v>
                </c:pt>
                <c:pt idx="4741">
                  <c:v>89.19787</c:v>
                </c:pt>
                <c:pt idx="4742">
                  <c:v>89.19730000000001</c:v>
                </c:pt>
                <c:pt idx="4743">
                  <c:v>89.19685</c:v>
                </c:pt>
                <c:pt idx="4744">
                  <c:v>89.19634999999998</c:v>
                </c:pt>
                <c:pt idx="4745">
                  <c:v>89.19582</c:v>
                </c:pt>
                <c:pt idx="4746">
                  <c:v>89.19544999999998</c:v>
                </c:pt>
                <c:pt idx="4747">
                  <c:v>89.19499</c:v>
                </c:pt>
                <c:pt idx="4748">
                  <c:v>89.19446</c:v>
                </c:pt>
                <c:pt idx="4749">
                  <c:v>89.19397</c:v>
                </c:pt>
                <c:pt idx="4750">
                  <c:v>89.19355</c:v>
                </c:pt>
                <c:pt idx="4751">
                  <c:v>89.19306</c:v>
                </c:pt>
                <c:pt idx="4752">
                  <c:v>89.19239999999998</c:v>
                </c:pt>
                <c:pt idx="4753">
                  <c:v>89.19202999999997</c:v>
                </c:pt>
                <c:pt idx="4754">
                  <c:v>89.1915</c:v>
                </c:pt>
                <c:pt idx="4755">
                  <c:v>89.19109</c:v>
                </c:pt>
                <c:pt idx="4756">
                  <c:v>89.19072</c:v>
                </c:pt>
                <c:pt idx="4757">
                  <c:v>89.19043</c:v>
                </c:pt>
                <c:pt idx="4758">
                  <c:v>89.19006</c:v>
                </c:pt>
                <c:pt idx="4759">
                  <c:v>89.18961</c:v>
                </c:pt>
                <c:pt idx="4760">
                  <c:v>89.18902999999997</c:v>
                </c:pt>
                <c:pt idx="4761">
                  <c:v>89.18857999999958</c:v>
                </c:pt>
                <c:pt idx="4762">
                  <c:v>89.18812999999998</c:v>
                </c:pt>
                <c:pt idx="4763">
                  <c:v>89.18759</c:v>
                </c:pt>
                <c:pt idx="4764">
                  <c:v>89.18688999999995</c:v>
                </c:pt>
                <c:pt idx="4765">
                  <c:v>89.18639999999998</c:v>
                </c:pt>
                <c:pt idx="4766">
                  <c:v>89.18589999999975</c:v>
                </c:pt>
                <c:pt idx="4767">
                  <c:v>89.18540999999995</c:v>
                </c:pt>
                <c:pt idx="4768">
                  <c:v>89.18499999999997</c:v>
                </c:pt>
                <c:pt idx="4769">
                  <c:v>89.18455</c:v>
                </c:pt>
                <c:pt idx="4770">
                  <c:v>89.18409</c:v>
                </c:pt>
                <c:pt idx="4771">
                  <c:v>89.18352</c:v>
                </c:pt>
                <c:pt idx="4772">
                  <c:v>89.18293999999958</c:v>
                </c:pt>
                <c:pt idx="4773">
                  <c:v>89.18256999999998</c:v>
                </c:pt>
                <c:pt idx="4774">
                  <c:v>89.18207999999925</c:v>
                </c:pt>
                <c:pt idx="4775">
                  <c:v>89.18167</c:v>
                </c:pt>
                <c:pt idx="4776">
                  <c:v>89.18092999999997</c:v>
                </c:pt>
                <c:pt idx="4777">
                  <c:v>89.18046999999998</c:v>
                </c:pt>
                <c:pt idx="4778">
                  <c:v>89.18015</c:v>
                </c:pt>
                <c:pt idx="4779">
                  <c:v>89.17972999999998</c:v>
                </c:pt>
                <c:pt idx="4780">
                  <c:v>89.17939999999948</c:v>
                </c:pt>
                <c:pt idx="4781">
                  <c:v>89.17890999999958</c:v>
                </c:pt>
                <c:pt idx="4782">
                  <c:v>89.17833999999881</c:v>
                </c:pt>
                <c:pt idx="4783">
                  <c:v>89.17787999999958</c:v>
                </c:pt>
                <c:pt idx="4784">
                  <c:v>89.17730999999995</c:v>
                </c:pt>
                <c:pt idx="4785">
                  <c:v>89.17676999999995</c:v>
                </c:pt>
                <c:pt idx="4786">
                  <c:v>89.17631999999985</c:v>
                </c:pt>
                <c:pt idx="4787">
                  <c:v>89.17582999999995</c:v>
                </c:pt>
                <c:pt idx="4788">
                  <c:v>89.17553999999915</c:v>
                </c:pt>
                <c:pt idx="4789">
                  <c:v>89.17503999999907</c:v>
                </c:pt>
                <c:pt idx="4790">
                  <c:v>89.17454999999998</c:v>
                </c:pt>
                <c:pt idx="4791">
                  <c:v>89.17417999999998</c:v>
                </c:pt>
                <c:pt idx="4792">
                  <c:v>89.17372999999998</c:v>
                </c:pt>
                <c:pt idx="4793">
                  <c:v>89.17335999999958</c:v>
                </c:pt>
                <c:pt idx="4794">
                  <c:v>89.17302999999998</c:v>
                </c:pt>
                <c:pt idx="4795">
                  <c:v>89.17265999999998</c:v>
                </c:pt>
                <c:pt idx="4796">
                  <c:v>89.17224999999995</c:v>
                </c:pt>
                <c:pt idx="4797">
                  <c:v>89.17163</c:v>
                </c:pt>
                <c:pt idx="4798">
                  <c:v>89.17104999999998</c:v>
                </c:pt>
                <c:pt idx="4799">
                  <c:v>89.17055999999998</c:v>
                </c:pt>
                <c:pt idx="4800">
                  <c:v>89.17010999999998</c:v>
                </c:pt>
                <c:pt idx="4801">
                  <c:v>89.16973999999995</c:v>
                </c:pt>
                <c:pt idx="4802">
                  <c:v>89.16936999999998</c:v>
                </c:pt>
                <c:pt idx="4803">
                  <c:v>89.16892</c:v>
                </c:pt>
                <c:pt idx="4804">
                  <c:v>89.16829999999997</c:v>
                </c:pt>
                <c:pt idx="4805">
                  <c:v>89.16781</c:v>
                </c:pt>
                <c:pt idx="4806">
                  <c:v>89.16723</c:v>
                </c:pt>
                <c:pt idx="4807">
                  <c:v>89.16677999999965</c:v>
                </c:pt>
                <c:pt idx="4808">
                  <c:v>89.16632</c:v>
                </c:pt>
                <c:pt idx="4809">
                  <c:v>89.16590999999998</c:v>
                </c:pt>
                <c:pt idx="4810">
                  <c:v>89.16533999999938</c:v>
                </c:pt>
                <c:pt idx="4811">
                  <c:v>89.16472</c:v>
                </c:pt>
                <c:pt idx="4812">
                  <c:v>89.16438999999998</c:v>
                </c:pt>
                <c:pt idx="4813">
                  <c:v>89.16393999999998</c:v>
                </c:pt>
                <c:pt idx="4814">
                  <c:v>89.16353</c:v>
                </c:pt>
                <c:pt idx="4815">
                  <c:v>89.16324</c:v>
                </c:pt>
                <c:pt idx="4816">
                  <c:v>89.16303</c:v>
                </c:pt>
                <c:pt idx="4817">
                  <c:v>89.16253999999998</c:v>
                </c:pt>
                <c:pt idx="4818">
                  <c:v>89.16200999999998</c:v>
                </c:pt>
                <c:pt idx="4819">
                  <c:v>89.16155</c:v>
                </c:pt>
                <c:pt idx="4820">
                  <c:v>89.1611</c:v>
                </c:pt>
                <c:pt idx="4821">
                  <c:v>89.16065</c:v>
                </c:pt>
                <c:pt idx="4822">
                  <c:v>89.16011</c:v>
                </c:pt>
                <c:pt idx="4823">
                  <c:v>89.15949999999998</c:v>
                </c:pt>
                <c:pt idx="4824">
                  <c:v>89.15903999999995</c:v>
                </c:pt>
                <c:pt idx="4825">
                  <c:v>89.15850999999998</c:v>
                </c:pt>
                <c:pt idx="4826">
                  <c:v>89.15793</c:v>
                </c:pt>
                <c:pt idx="4827">
                  <c:v>89.15735999999998</c:v>
                </c:pt>
                <c:pt idx="4828">
                  <c:v>89.15677999999915</c:v>
                </c:pt>
                <c:pt idx="4829">
                  <c:v>89.15636999999998</c:v>
                </c:pt>
                <c:pt idx="4830">
                  <c:v>89.15599999999995</c:v>
                </c:pt>
                <c:pt idx="4831">
                  <c:v>89.15550999999998</c:v>
                </c:pt>
                <c:pt idx="4832">
                  <c:v>89.15513999999965</c:v>
                </c:pt>
                <c:pt idx="4833">
                  <c:v>89.1546</c:v>
                </c:pt>
                <c:pt idx="4834">
                  <c:v>89.15419</c:v>
                </c:pt>
                <c:pt idx="4835">
                  <c:v>89.15373999999925</c:v>
                </c:pt>
                <c:pt idx="4836">
                  <c:v>89.15307999999958</c:v>
                </c:pt>
                <c:pt idx="4837">
                  <c:v>89.15270999999925</c:v>
                </c:pt>
                <c:pt idx="4838">
                  <c:v>89.15226</c:v>
                </c:pt>
                <c:pt idx="4839">
                  <c:v>89.15171999999998</c:v>
                </c:pt>
                <c:pt idx="4840">
                  <c:v>89.15123000000001</c:v>
                </c:pt>
                <c:pt idx="4841">
                  <c:v>89.15068999999998</c:v>
                </c:pt>
                <c:pt idx="4842">
                  <c:v>89.15027999999998</c:v>
                </c:pt>
                <c:pt idx="4843">
                  <c:v>89.14991</c:v>
                </c:pt>
                <c:pt idx="4844">
                  <c:v>89.14942</c:v>
                </c:pt>
                <c:pt idx="4845">
                  <c:v>89.14901</c:v>
                </c:pt>
                <c:pt idx="4846">
                  <c:v>89.14843</c:v>
                </c:pt>
                <c:pt idx="4847">
                  <c:v>89.14806</c:v>
                </c:pt>
                <c:pt idx="4848">
                  <c:v>89.14769</c:v>
                </c:pt>
                <c:pt idx="4849">
                  <c:v>89.14724</c:v>
                </c:pt>
                <c:pt idx="4850">
                  <c:v>89.14678999999998</c:v>
                </c:pt>
                <c:pt idx="4851">
                  <c:v>89.14621</c:v>
                </c:pt>
                <c:pt idx="4852">
                  <c:v>89.14575999999998</c:v>
                </c:pt>
                <c:pt idx="4853">
                  <c:v>89.14526</c:v>
                </c:pt>
                <c:pt idx="4854">
                  <c:v>89.14457</c:v>
                </c:pt>
                <c:pt idx="4855">
                  <c:v>89.14403</c:v>
                </c:pt>
                <c:pt idx="4856">
                  <c:v>89.14362</c:v>
                </c:pt>
                <c:pt idx="4857">
                  <c:v>89.14325</c:v>
                </c:pt>
                <c:pt idx="4858">
                  <c:v>89.14292</c:v>
                </c:pt>
                <c:pt idx="4859">
                  <c:v>89.14259</c:v>
                </c:pt>
                <c:pt idx="4860">
                  <c:v>89.14222</c:v>
                </c:pt>
                <c:pt idx="4861">
                  <c:v>89.14193</c:v>
                </c:pt>
                <c:pt idx="4862">
                  <c:v>89.14144</c:v>
                </c:pt>
                <c:pt idx="4863">
                  <c:v>89.1409</c:v>
                </c:pt>
                <c:pt idx="4864">
                  <c:v>89.14049</c:v>
                </c:pt>
                <c:pt idx="4865">
                  <c:v>89.14008</c:v>
                </c:pt>
                <c:pt idx="4866">
                  <c:v>89.13951</c:v>
                </c:pt>
                <c:pt idx="4867">
                  <c:v>89.13892999999997</c:v>
                </c:pt>
                <c:pt idx="4868">
                  <c:v>89.13843999999965</c:v>
                </c:pt>
                <c:pt idx="4869">
                  <c:v>89.1379</c:v>
                </c:pt>
                <c:pt idx="4870">
                  <c:v>89.13733</c:v>
                </c:pt>
                <c:pt idx="4871">
                  <c:v>89.13691</c:v>
                </c:pt>
                <c:pt idx="4872">
                  <c:v>89.13637999999958</c:v>
                </c:pt>
                <c:pt idx="4873">
                  <c:v>89.13596999999998</c:v>
                </c:pt>
                <c:pt idx="4874">
                  <c:v>89.13556</c:v>
                </c:pt>
                <c:pt idx="4875">
                  <c:v>89.13514999999998</c:v>
                </c:pt>
                <c:pt idx="4876">
                  <c:v>89.1349</c:v>
                </c:pt>
                <c:pt idx="4877">
                  <c:v>89.13465</c:v>
                </c:pt>
                <c:pt idx="4878">
                  <c:v>89.13428</c:v>
                </c:pt>
                <c:pt idx="4879">
                  <c:v>89.13362</c:v>
                </c:pt>
                <c:pt idx="4880">
                  <c:v>89.13301</c:v>
                </c:pt>
                <c:pt idx="4881">
                  <c:v>89.13267999999998</c:v>
                </c:pt>
                <c:pt idx="4882">
                  <c:v>89.13230999999985</c:v>
                </c:pt>
                <c:pt idx="4883">
                  <c:v>89.13181</c:v>
                </c:pt>
                <c:pt idx="4884">
                  <c:v>89.1314</c:v>
                </c:pt>
                <c:pt idx="4885">
                  <c:v>89.13095</c:v>
                </c:pt>
                <c:pt idx="4886">
                  <c:v>89.13062</c:v>
                </c:pt>
                <c:pt idx="4887">
                  <c:v>89.13029</c:v>
                </c:pt>
                <c:pt idx="4888">
                  <c:v>89.12987999999935</c:v>
                </c:pt>
                <c:pt idx="4889">
                  <c:v>89.12954999999998</c:v>
                </c:pt>
                <c:pt idx="4890">
                  <c:v>89.12888999999915</c:v>
                </c:pt>
                <c:pt idx="4891">
                  <c:v>89.12839999999925</c:v>
                </c:pt>
                <c:pt idx="4892">
                  <c:v>89.12786</c:v>
                </c:pt>
                <c:pt idx="4893">
                  <c:v>89.12748999999998</c:v>
                </c:pt>
                <c:pt idx="4894">
                  <c:v>89.12707999999998</c:v>
                </c:pt>
                <c:pt idx="4895">
                  <c:v>89.12679999999965</c:v>
                </c:pt>
                <c:pt idx="4896">
                  <c:v>89.12626</c:v>
                </c:pt>
                <c:pt idx="4897">
                  <c:v>89.12580999999948</c:v>
                </c:pt>
                <c:pt idx="4898">
                  <c:v>89.12526999999998</c:v>
                </c:pt>
                <c:pt idx="4899">
                  <c:v>89.12489999999998</c:v>
                </c:pt>
                <c:pt idx="4900">
                  <c:v>89.12457</c:v>
                </c:pt>
                <c:pt idx="4901">
                  <c:v>89.12403999999998</c:v>
                </c:pt>
                <c:pt idx="4902">
                  <c:v>89.12354999999998</c:v>
                </c:pt>
                <c:pt idx="4903">
                  <c:v>89.12304999999998</c:v>
                </c:pt>
                <c:pt idx="4904">
                  <c:v>89.12251999999998</c:v>
                </c:pt>
                <c:pt idx="4905">
                  <c:v>89.12218999999975</c:v>
                </c:pt>
                <c:pt idx="4906">
                  <c:v>89.12193999999998</c:v>
                </c:pt>
                <c:pt idx="4907">
                  <c:v>89.12140999999998</c:v>
                </c:pt>
                <c:pt idx="4908">
                  <c:v>89.12112</c:v>
                </c:pt>
                <c:pt idx="4909">
                  <c:v>89.12082999999998</c:v>
                </c:pt>
                <c:pt idx="4910">
                  <c:v>89.12041999999998</c:v>
                </c:pt>
                <c:pt idx="4911">
                  <c:v>89.11987999999998</c:v>
                </c:pt>
                <c:pt idx="4912">
                  <c:v>89.11943</c:v>
                </c:pt>
                <c:pt idx="4913">
                  <c:v>89.11893999999998</c:v>
                </c:pt>
                <c:pt idx="4914">
                  <c:v>89.11844999999998</c:v>
                </c:pt>
                <c:pt idx="4915">
                  <c:v>89.11791</c:v>
                </c:pt>
                <c:pt idx="4916">
                  <c:v>89.11721</c:v>
                </c:pt>
                <c:pt idx="4917">
                  <c:v>89.11672</c:v>
                </c:pt>
                <c:pt idx="4918">
                  <c:v>89.11631</c:v>
                </c:pt>
                <c:pt idx="4919">
                  <c:v>89.11572999999998</c:v>
                </c:pt>
                <c:pt idx="4920">
                  <c:v>89.11528</c:v>
                </c:pt>
                <c:pt idx="4921">
                  <c:v>89.11491</c:v>
                </c:pt>
                <c:pt idx="4922">
                  <c:v>89.11462</c:v>
                </c:pt>
                <c:pt idx="4923">
                  <c:v>89.11409</c:v>
                </c:pt>
                <c:pt idx="4924">
                  <c:v>89.11351</c:v>
                </c:pt>
                <c:pt idx="4925">
                  <c:v>89.11302</c:v>
                </c:pt>
                <c:pt idx="4926">
                  <c:v>89.11256</c:v>
                </c:pt>
                <c:pt idx="4927">
                  <c:v>89.11223</c:v>
                </c:pt>
                <c:pt idx="4928">
                  <c:v>89.11177999999998</c:v>
                </c:pt>
                <c:pt idx="4929">
                  <c:v>89.11137</c:v>
                </c:pt>
                <c:pt idx="4930">
                  <c:v>89.11108</c:v>
                </c:pt>
                <c:pt idx="4931">
                  <c:v>89.11070999999998</c:v>
                </c:pt>
                <c:pt idx="4932">
                  <c:v>89.11042</c:v>
                </c:pt>
                <c:pt idx="4933">
                  <c:v>89.10993</c:v>
                </c:pt>
                <c:pt idx="4934">
                  <c:v>89.10964</c:v>
                </c:pt>
                <c:pt idx="4935">
                  <c:v>89.10923</c:v>
                </c:pt>
                <c:pt idx="4936">
                  <c:v>89.10861</c:v>
                </c:pt>
                <c:pt idx="4937">
                  <c:v>89.10807999999948</c:v>
                </c:pt>
                <c:pt idx="4938">
                  <c:v>89.10759</c:v>
                </c:pt>
                <c:pt idx="4939">
                  <c:v>89.10713000000001</c:v>
                </c:pt>
                <c:pt idx="4940">
                  <c:v>89.10679999999998</c:v>
                </c:pt>
                <c:pt idx="4941">
                  <c:v>89.10642999999997</c:v>
                </c:pt>
                <c:pt idx="4942">
                  <c:v>89.10602</c:v>
                </c:pt>
                <c:pt idx="4943">
                  <c:v>89.10577999999907</c:v>
                </c:pt>
                <c:pt idx="4944">
                  <c:v>89.10548999999965</c:v>
                </c:pt>
                <c:pt idx="4945">
                  <c:v>89.10527999999998</c:v>
                </c:pt>
                <c:pt idx="4946">
                  <c:v>89.10483</c:v>
                </c:pt>
                <c:pt idx="4947">
                  <c:v>89.10442</c:v>
                </c:pt>
                <c:pt idx="4948">
                  <c:v>89.10383999999995</c:v>
                </c:pt>
                <c:pt idx="4949">
                  <c:v>89.10342999999997</c:v>
                </c:pt>
                <c:pt idx="4950">
                  <c:v>89.10302</c:v>
                </c:pt>
                <c:pt idx="4951">
                  <c:v>89.10252999999997</c:v>
                </c:pt>
                <c:pt idx="4952">
                  <c:v>89.10202999999998</c:v>
                </c:pt>
                <c:pt idx="4953">
                  <c:v>89.10142</c:v>
                </c:pt>
                <c:pt idx="4954">
                  <c:v>89.10113000000001</c:v>
                </c:pt>
                <c:pt idx="4955">
                  <c:v>89.10096</c:v>
                </c:pt>
                <c:pt idx="4956">
                  <c:v>89.10055</c:v>
                </c:pt>
                <c:pt idx="4957">
                  <c:v>89.10013999999998</c:v>
                </c:pt>
                <c:pt idx="4958">
                  <c:v>89.09965</c:v>
                </c:pt>
                <c:pt idx="4959">
                  <c:v>89.09928</c:v>
                </c:pt>
                <c:pt idx="4960">
                  <c:v>89.0987</c:v>
                </c:pt>
                <c:pt idx="4961">
                  <c:v>89.09829</c:v>
                </c:pt>
                <c:pt idx="4962">
                  <c:v>89.09788</c:v>
                </c:pt>
                <c:pt idx="4963">
                  <c:v>89.09751</c:v>
                </c:pt>
                <c:pt idx="4964">
                  <c:v>89.09722</c:v>
                </c:pt>
                <c:pt idx="4965">
                  <c:v>89.09685</c:v>
                </c:pt>
                <c:pt idx="4966">
                  <c:v>89.09632</c:v>
                </c:pt>
                <c:pt idx="4967">
                  <c:v>89.09582</c:v>
                </c:pt>
                <c:pt idx="4968">
                  <c:v>89.09541</c:v>
                </c:pt>
                <c:pt idx="4969">
                  <c:v>89.09483</c:v>
                </c:pt>
                <c:pt idx="4970">
                  <c:v>89.09451</c:v>
                </c:pt>
                <c:pt idx="4971">
                  <c:v>89.09393</c:v>
                </c:pt>
                <c:pt idx="4972">
                  <c:v>89.09327</c:v>
                </c:pt>
                <c:pt idx="4973">
                  <c:v>89.09282</c:v>
                </c:pt>
                <c:pt idx="4974">
                  <c:v>89.09236999999997</c:v>
                </c:pt>
                <c:pt idx="4975">
                  <c:v>89.09200000000001</c:v>
                </c:pt>
                <c:pt idx="4976">
                  <c:v>89.09159</c:v>
                </c:pt>
                <c:pt idx="4977">
                  <c:v>89.09126</c:v>
                </c:pt>
                <c:pt idx="4978">
                  <c:v>89.09076</c:v>
                </c:pt>
                <c:pt idx="4979">
                  <c:v>89.09047</c:v>
                </c:pt>
                <c:pt idx="4980">
                  <c:v>89.09006</c:v>
                </c:pt>
                <c:pt idx="4981">
                  <c:v>89.08977999999995</c:v>
                </c:pt>
                <c:pt idx="4982">
                  <c:v>89.08949</c:v>
                </c:pt>
                <c:pt idx="4983">
                  <c:v>89.08894999999998</c:v>
                </c:pt>
                <c:pt idx="4984">
                  <c:v>89.08862</c:v>
                </c:pt>
                <c:pt idx="4985">
                  <c:v>89.08804999999998</c:v>
                </c:pt>
                <c:pt idx="4986">
                  <c:v>89.08764</c:v>
                </c:pt>
                <c:pt idx="4987">
                  <c:v>89.08727</c:v>
                </c:pt>
                <c:pt idx="4988">
                  <c:v>89.08676999999997</c:v>
                </c:pt>
                <c:pt idx="4989">
                  <c:v>89.08628</c:v>
                </c:pt>
                <c:pt idx="4990">
                  <c:v>89.08582999999997</c:v>
                </c:pt>
                <c:pt idx="4991">
                  <c:v>89.08546</c:v>
                </c:pt>
                <c:pt idx="4992">
                  <c:v>89.08513</c:v>
                </c:pt>
                <c:pt idx="4993">
                  <c:v>89.08476</c:v>
                </c:pt>
                <c:pt idx="4994">
                  <c:v>89.08439</c:v>
                </c:pt>
                <c:pt idx="4995">
                  <c:v>89.08393</c:v>
                </c:pt>
                <c:pt idx="4996">
                  <c:v>89.08343999999998</c:v>
                </c:pt>
                <c:pt idx="4997">
                  <c:v>89.08291</c:v>
                </c:pt>
                <c:pt idx="4998">
                  <c:v>89.08225</c:v>
                </c:pt>
                <c:pt idx="4999">
                  <c:v>89.08184</c:v>
                </c:pt>
                <c:pt idx="5000">
                  <c:v>89.08137999999998</c:v>
                </c:pt>
                <c:pt idx="5001">
                  <c:v>89.08088999999998</c:v>
                </c:pt>
                <c:pt idx="5002">
                  <c:v>89.08047999999998</c:v>
                </c:pt>
                <c:pt idx="5003">
                  <c:v>89.08019</c:v>
                </c:pt>
                <c:pt idx="5004">
                  <c:v>89.07993999999998</c:v>
                </c:pt>
                <c:pt idx="5005">
                  <c:v>89.07962</c:v>
                </c:pt>
                <c:pt idx="5006">
                  <c:v>89.07916</c:v>
                </c:pt>
                <c:pt idx="5007">
                  <c:v>89.07882999999998</c:v>
                </c:pt>
                <c:pt idx="5008">
                  <c:v>89.07845999999998</c:v>
                </c:pt>
                <c:pt idx="5009">
                  <c:v>89.07788999999998</c:v>
                </c:pt>
                <c:pt idx="5010">
                  <c:v>89.07734999999998</c:v>
                </c:pt>
                <c:pt idx="5011">
                  <c:v>89.07689999999998</c:v>
                </c:pt>
                <c:pt idx="5012">
                  <c:v>89.07640999999998</c:v>
                </c:pt>
                <c:pt idx="5013">
                  <c:v>89.07599999999998</c:v>
                </c:pt>
                <c:pt idx="5014">
                  <c:v>89.07557999999958</c:v>
                </c:pt>
                <c:pt idx="5015">
                  <c:v>89.07526</c:v>
                </c:pt>
                <c:pt idx="5016">
                  <c:v>89.07479999999998</c:v>
                </c:pt>
                <c:pt idx="5017">
                  <c:v>89.07451</c:v>
                </c:pt>
                <c:pt idx="5018">
                  <c:v>89.07402</c:v>
                </c:pt>
                <c:pt idx="5019">
                  <c:v>89.07369</c:v>
                </c:pt>
                <c:pt idx="5020">
                  <c:v>89.07335999999998</c:v>
                </c:pt>
                <c:pt idx="5021">
                  <c:v>89.07294999999995</c:v>
                </c:pt>
                <c:pt idx="5022">
                  <c:v>89.07257999999958</c:v>
                </c:pt>
                <c:pt idx="5023">
                  <c:v>89.07216999999998</c:v>
                </c:pt>
                <c:pt idx="5024">
                  <c:v>89.07172</c:v>
                </c:pt>
                <c:pt idx="5025">
                  <c:v>89.07114</c:v>
                </c:pt>
                <c:pt idx="5026">
                  <c:v>89.07069</c:v>
                </c:pt>
                <c:pt idx="5027">
                  <c:v>89.07027999999998</c:v>
                </c:pt>
                <c:pt idx="5028">
                  <c:v>89.06987</c:v>
                </c:pt>
                <c:pt idx="5029">
                  <c:v>89.06958</c:v>
                </c:pt>
                <c:pt idx="5030">
                  <c:v>89.06929</c:v>
                </c:pt>
                <c:pt idx="5031">
                  <c:v>89.06892</c:v>
                </c:pt>
                <c:pt idx="5032">
                  <c:v>89.06851</c:v>
                </c:pt>
                <c:pt idx="5033">
                  <c:v>89.06802</c:v>
                </c:pt>
                <c:pt idx="5034">
                  <c:v>89.06773</c:v>
                </c:pt>
                <c:pt idx="5035">
                  <c:v>89.06715</c:v>
                </c:pt>
                <c:pt idx="5036">
                  <c:v>89.06677999999998</c:v>
                </c:pt>
                <c:pt idx="5037">
                  <c:v>89.06637</c:v>
                </c:pt>
                <c:pt idx="5038">
                  <c:v>89.06592</c:v>
                </c:pt>
                <c:pt idx="5039">
                  <c:v>89.06555</c:v>
                </c:pt>
                <c:pt idx="5040">
                  <c:v>89.06505</c:v>
                </c:pt>
                <c:pt idx="5041">
                  <c:v>89.06473</c:v>
                </c:pt>
                <c:pt idx="5042">
                  <c:v>89.06427</c:v>
                </c:pt>
                <c:pt idx="5043">
                  <c:v>89.06377999999998</c:v>
                </c:pt>
                <c:pt idx="5044">
                  <c:v>89.06337</c:v>
                </c:pt>
                <c:pt idx="5045">
                  <c:v>89.063</c:v>
                </c:pt>
                <c:pt idx="5046">
                  <c:v>89.06278999999998</c:v>
                </c:pt>
                <c:pt idx="5047">
                  <c:v>89.06242</c:v>
                </c:pt>
                <c:pt idx="5048">
                  <c:v>89.06205</c:v>
                </c:pt>
                <c:pt idx="5049">
                  <c:v>89.06156</c:v>
                </c:pt>
                <c:pt idx="5050">
                  <c:v>89.06123</c:v>
                </c:pt>
                <c:pt idx="5051">
                  <c:v>89.0609</c:v>
                </c:pt>
                <c:pt idx="5052">
                  <c:v>89.06045</c:v>
                </c:pt>
                <c:pt idx="5053">
                  <c:v>89.06008</c:v>
                </c:pt>
                <c:pt idx="5054">
                  <c:v>89.05978999999998</c:v>
                </c:pt>
                <c:pt idx="5055">
                  <c:v>89.05946</c:v>
                </c:pt>
                <c:pt idx="5056">
                  <c:v>89.05925</c:v>
                </c:pt>
                <c:pt idx="5057">
                  <c:v>89.05892999999997</c:v>
                </c:pt>
                <c:pt idx="5058">
                  <c:v>89.05851</c:v>
                </c:pt>
                <c:pt idx="5059">
                  <c:v>89.05823</c:v>
                </c:pt>
                <c:pt idx="5060">
                  <c:v>89.05773</c:v>
                </c:pt>
                <c:pt idx="5061">
                  <c:v>89.0572</c:v>
                </c:pt>
                <c:pt idx="5062">
                  <c:v>89.0567</c:v>
                </c:pt>
                <c:pt idx="5063">
                  <c:v>89.05646</c:v>
                </c:pt>
                <c:pt idx="5064">
                  <c:v>89.05599999999998</c:v>
                </c:pt>
                <c:pt idx="5065">
                  <c:v>89.05551</c:v>
                </c:pt>
                <c:pt idx="5066">
                  <c:v>89.05498</c:v>
                </c:pt>
                <c:pt idx="5067">
                  <c:v>89.05477</c:v>
                </c:pt>
                <c:pt idx="5068">
                  <c:v>89.05432</c:v>
                </c:pt>
                <c:pt idx="5069">
                  <c:v>89.05382</c:v>
                </c:pt>
                <c:pt idx="5070">
                  <c:v>89.05354</c:v>
                </c:pt>
                <c:pt idx="5071">
                  <c:v>89.05307999999998</c:v>
                </c:pt>
                <c:pt idx="5072">
                  <c:v>89.05279999999995</c:v>
                </c:pt>
                <c:pt idx="5073">
                  <c:v>89.05229999999997</c:v>
                </c:pt>
                <c:pt idx="5074">
                  <c:v>89.05181</c:v>
                </c:pt>
                <c:pt idx="5075">
                  <c:v>89.0514</c:v>
                </c:pt>
                <c:pt idx="5076">
                  <c:v>89.05095</c:v>
                </c:pt>
                <c:pt idx="5077">
                  <c:v>89.05048999999998</c:v>
                </c:pt>
                <c:pt idx="5078">
                  <c:v>89.05016</c:v>
                </c:pt>
                <c:pt idx="5079">
                  <c:v>89.04971</c:v>
                </c:pt>
                <c:pt idx="5080">
                  <c:v>89.0493</c:v>
                </c:pt>
                <c:pt idx="5081">
                  <c:v>89.04881</c:v>
                </c:pt>
                <c:pt idx="5082">
                  <c:v>89.04856</c:v>
                </c:pt>
                <c:pt idx="5083">
                  <c:v>89.04835</c:v>
                </c:pt>
                <c:pt idx="5084">
                  <c:v>89.04802</c:v>
                </c:pt>
                <c:pt idx="5085">
                  <c:v>89.0477</c:v>
                </c:pt>
                <c:pt idx="5086">
                  <c:v>89.04741</c:v>
                </c:pt>
                <c:pt idx="5087">
                  <c:v>89.04708</c:v>
                </c:pt>
                <c:pt idx="5088">
                  <c:v>89.04671</c:v>
                </c:pt>
                <c:pt idx="5089">
                  <c:v>89.04609</c:v>
                </c:pt>
                <c:pt idx="5090">
                  <c:v>89.04568</c:v>
                </c:pt>
                <c:pt idx="5091">
                  <c:v>89.04519</c:v>
                </c:pt>
                <c:pt idx="5092">
                  <c:v>89.04482</c:v>
                </c:pt>
                <c:pt idx="5093">
                  <c:v>89.04449</c:v>
                </c:pt>
                <c:pt idx="5094">
                  <c:v>89.04403</c:v>
                </c:pt>
                <c:pt idx="5095">
                  <c:v>89.04371</c:v>
                </c:pt>
                <c:pt idx="5096">
                  <c:v>89.04338</c:v>
                </c:pt>
                <c:pt idx="5097">
                  <c:v>89.04301</c:v>
                </c:pt>
                <c:pt idx="5098">
                  <c:v>89.04272</c:v>
                </c:pt>
                <c:pt idx="5099">
                  <c:v>89.04243</c:v>
                </c:pt>
                <c:pt idx="5100">
                  <c:v>89.04218</c:v>
                </c:pt>
                <c:pt idx="5101">
                  <c:v>89.04177</c:v>
                </c:pt>
                <c:pt idx="5102">
                  <c:v>89.04111</c:v>
                </c:pt>
                <c:pt idx="5103">
                  <c:v>89.04062</c:v>
                </c:pt>
                <c:pt idx="5104">
                  <c:v>89.04017</c:v>
                </c:pt>
                <c:pt idx="5105">
                  <c:v>89.03984</c:v>
                </c:pt>
                <c:pt idx="5106">
                  <c:v>89.03935</c:v>
                </c:pt>
                <c:pt idx="5107">
                  <c:v>89.03884999999998</c:v>
                </c:pt>
                <c:pt idx="5108">
                  <c:v>89.03843999999998</c:v>
                </c:pt>
                <c:pt idx="5109">
                  <c:v>89.03819</c:v>
                </c:pt>
                <c:pt idx="5110">
                  <c:v>89.03786</c:v>
                </c:pt>
                <c:pt idx="5111">
                  <c:v>89.03749</c:v>
                </c:pt>
                <c:pt idx="5112">
                  <c:v>89.037</c:v>
                </c:pt>
                <c:pt idx="5113">
                  <c:v>89.03667</c:v>
                </c:pt>
                <c:pt idx="5114">
                  <c:v>89.0363</c:v>
                </c:pt>
                <c:pt idx="5115">
                  <c:v>89.03568</c:v>
                </c:pt>
                <c:pt idx="5116">
                  <c:v>89.03530999999998</c:v>
                </c:pt>
                <c:pt idx="5117">
                  <c:v>89.03482</c:v>
                </c:pt>
                <c:pt idx="5118">
                  <c:v>89.03445</c:v>
                </c:pt>
                <c:pt idx="5119">
                  <c:v>89.03416</c:v>
                </c:pt>
                <c:pt idx="5120">
                  <c:v>89.03378999999998</c:v>
                </c:pt>
                <c:pt idx="5121">
                  <c:v>89.03346</c:v>
                </c:pt>
                <c:pt idx="5122">
                  <c:v>89.03333999999998</c:v>
                </c:pt>
                <c:pt idx="5123">
                  <c:v>89.03313</c:v>
                </c:pt>
                <c:pt idx="5124">
                  <c:v>89.03268</c:v>
                </c:pt>
                <c:pt idx="5125">
                  <c:v>89.03227</c:v>
                </c:pt>
                <c:pt idx="5126">
                  <c:v>89.0319</c:v>
                </c:pt>
                <c:pt idx="5127">
                  <c:v>89.03161</c:v>
                </c:pt>
                <c:pt idx="5128">
                  <c:v>89.03153</c:v>
                </c:pt>
                <c:pt idx="5129">
                  <c:v>89.03145</c:v>
                </c:pt>
                <c:pt idx="5130">
                  <c:v>89.03137</c:v>
                </c:pt>
                <c:pt idx="5131">
                  <c:v>89.03108</c:v>
                </c:pt>
                <c:pt idx="5132">
                  <c:v>89.03067</c:v>
                </c:pt>
                <c:pt idx="5133">
                  <c:v>89.03017000000001</c:v>
                </c:pt>
                <c:pt idx="5134">
                  <c:v>89.03001</c:v>
                </c:pt>
                <c:pt idx="5135">
                  <c:v>89.02938999999998</c:v>
                </c:pt>
                <c:pt idx="5136">
                  <c:v>89.02881999999998</c:v>
                </c:pt>
                <c:pt idx="5137">
                  <c:v>89.02839999999995</c:v>
                </c:pt>
                <c:pt idx="5138">
                  <c:v>89.02816</c:v>
                </c:pt>
                <c:pt idx="5139">
                  <c:v>89.02795</c:v>
                </c:pt>
                <c:pt idx="5140">
                  <c:v>89.02766</c:v>
                </c:pt>
                <c:pt idx="5141">
                  <c:v>89.02737999999998</c:v>
                </c:pt>
                <c:pt idx="5142">
                  <c:v>89.02729</c:v>
                </c:pt>
                <c:pt idx="5143">
                  <c:v>89.02701</c:v>
                </c:pt>
                <c:pt idx="5144">
                  <c:v>89.02664</c:v>
                </c:pt>
                <c:pt idx="5145">
                  <c:v>89.02614</c:v>
                </c:pt>
                <c:pt idx="5146">
                  <c:v>89.02561</c:v>
                </c:pt>
                <c:pt idx="5147">
                  <c:v>89.02514999999998</c:v>
                </c:pt>
                <c:pt idx="5148">
                  <c:v>89.02454</c:v>
                </c:pt>
                <c:pt idx="5149">
                  <c:v>89.02409</c:v>
                </c:pt>
                <c:pt idx="5150">
                  <c:v>89.02379999999998</c:v>
                </c:pt>
                <c:pt idx="5151">
                  <c:v>89.02326</c:v>
                </c:pt>
                <c:pt idx="5152">
                  <c:v>89.02280999999998</c:v>
                </c:pt>
                <c:pt idx="5153">
                  <c:v>89.02218999999998</c:v>
                </c:pt>
                <c:pt idx="5154">
                  <c:v>89.0217</c:v>
                </c:pt>
                <c:pt idx="5155">
                  <c:v>89.02129</c:v>
                </c:pt>
                <c:pt idx="5156">
                  <c:v>89.02096</c:v>
                </c:pt>
                <c:pt idx="5157">
                  <c:v>89.02055</c:v>
                </c:pt>
                <c:pt idx="5158">
                  <c:v>89.02022</c:v>
                </c:pt>
                <c:pt idx="5159">
                  <c:v>89.01997</c:v>
                </c:pt>
              </c:numCache>
            </c:numRef>
          </c:yVal>
          <c:smooth val="1"/>
        </c:ser>
        <c:ser>
          <c:idx val="2"/>
          <c:order val="1"/>
          <c:tx>
            <c:v>W-3MB1</c:v>
          </c:tx>
          <c:spPr>
            <a:ln w="28575" cmpd="sng">
              <a:solidFill>
                <a:schemeClr val="tx1">
                  <a:lumMod val="95000"/>
                  <a:lumOff val="5000"/>
                </a:schemeClr>
              </a:solidFill>
              <a:prstDash val="dash"/>
            </a:ln>
          </c:spPr>
          <c:marker>
            <c:symbol val="none"/>
          </c:marker>
          <c:xVal>
            <c:numRef>
              <c:f>W3MB!$B$6:$B$5165</c:f>
              <c:numCache>
                <c:formatCode>General</c:formatCode>
                <c:ptCount val="5160"/>
                <c:pt idx="0">
                  <c:v>31.985</c:v>
                </c:pt>
                <c:pt idx="1">
                  <c:v>32.617</c:v>
                </c:pt>
                <c:pt idx="2">
                  <c:v>33.274</c:v>
                </c:pt>
                <c:pt idx="3">
                  <c:v>33.941</c:v>
                </c:pt>
                <c:pt idx="4">
                  <c:v>34.597</c:v>
                </c:pt>
                <c:pt idx="5">
                  <c:v>35.234</c:v>
                </c:pt>
                <c:pt idx="6">
                  <c:v>35.846</c:v>
                </c:pt>
                <c:pt idx="7">
                  <c:v>36.432</c:v>
                </c:pt>
                <c:pt idx="8">
                  <c:v>36.991</c:v>
                </c:pt>
                <c:pt idx="9">
                  <c:v>37.523</c:v>
                </c:pt>
                <c:pt idx="10">
                  <c:v>38.029</c:v>
                </c:pt>
                <c:pt idx="11">
                  <c:v>38.502</c:v>
                </c:pt>
                <c:pt idx="12">
                  <c:v>38.94600000000001</c:v>
                </c:pt>
                <c:pt idx="13">
                  <c:v>39.369</c:v>
                </c:pt>
                <c:pt idx="14">
                  <c:v>39.775</c:v>
                </c:pt>
                <c:pt idx="15">
                  <c:v>40.165</c:v>
                </c:pt>
                <c:pt idx="16">
                  <c:v>40.536</c:v>
                </c:pt>
                <c:pt idx="17">
                  <c:v>40.895</c:v>
                </c:pt>
                <c:pt idx="18">
                  <c:v>41.23600000000001</c:v>
                </c:pt>
                <c:pt idx="19">
                  <c:v>41.566</c:v>
                </c:pt>
                <c:pt idx="20">
                  <c:v>41.885</c:v>
                </c:pt>
                <c:pt idx="21">
                  <c:v>42.189</c:v>
                </c:pt>
                <c:pt idx="22">
                  <c:v>42.474</c:v>
                </c:pt>
                <c:pt idx="23">
                  <c:v>42.756</c:v>
                </c:pt>
                <c:pt idx="24">
                  <c:v>43.03700000000001</c:v>
                </c:pt>
                <c:pt idx="25">
                  <c:v>43.313</c:v>
                </c:pt>
                <c:pt idx="26">
                  <c:v>43.581</c:v>
                </c:pt>
                <c:pt idx="27">
                  <c:v>43.84</c:v>
                </c:pt>
                <c:pt idx="28">
                  <c:v>44.094</c:v>
                </c:pt>
                <c:pt idx="29">
                  <c:v>44.344</c:v>
                </c:pt>
                <c:pt idx="30">
                  <c:v>44.58900000000001</c:v>
                </c:pt>
                <c:pt idx="31">
                  <c:v>44.826</c:v>
                </c:pt>
                <c:pt idx="32">
                  <c:v>45.057</c:v>
                </c:pt>
                <c:pt idx="33">
                  <c:v>45.288</c:v>
                </c:pt>
                <c:pt idx="34">
                  <c:v>45.514</c:v>
                </c:pt>
                <c:pt idx="35">
                  <c:v>45.735</c:v>
                </c:pt>
                <c:pt idx="36">
                  <c:v>45.952</c:v>
                </c:pt>
                <c:pt idx="37">
                  <c:v>46.16300000000001</c:v>
                </c:pt>
                <c:pt idx="38">
                  <c:v>46.366</c:v>
                </c:pt>
                <c:pt idx="39">
                  <c:v>46.568</c:v>
                </c:pt>
                <c:pt idx="40">
                  <c:v>46.768</c:v>
                </c:pt>
                <c:pt idx="41">
                  <c:v>46.96100000000001</c:v>
                </c:pt>
                <c:pt idx="42">
                  <c:v>47.157</c:v>
                </c:pt>
                <c:pt idx="43">
                  <c:v>47.351</c:v>
                </c:pt>
                <c:pt idx="44">
                  <c:v>47.54600000000001</c:v>
                </c:pt>
                <c:pt idx="45">
                  <c:v>47.73900000000001</c:v>
                </c:pt>
                <c:pt idx="46">
                  <c:v>47.93</c:v>
                </c:pt>
                <c:pt idx="47">
                  <c:v>48.12</c:v>
                </c:pt>
                <c:pt idx="48">
                  <c:v>48.309</c:v>
                </c:pt>
                <c:pt idx="49">
                  <c:v>48.497</c:v>
                </c:pt>
                <c:pt idx="50">
                  <c:v>48.68</c:v>
                </c:pt>
                <c:pt idx="51">
                  <c:v>48.86</c:v>
                </c:pt>
                <c:pt idx="52">
                  <c:v>49.04</c:v>
                </c:pt>
                <c:pt idx="53">
                  <c:v>49.21700000000001</c:v>
                </c:pt>
                <c:pt idx="54">
                  <c:v>49.393</c:v>
                </c:pt>
                <c:pt idx="55">
                  <c:v>49.562</c:v>
                </c:pt>
                <c:pt idx="56">
                  <c:v>49.712</c:v>
                </c:pt>
                <c:pt idx="57">
                  <c:v>49.867</c:v>
                </c:pt>
                <c:pt idx="58">
                  <c:v>50.029</c:v>
                </c:pt>
                <c:pt idx="59">
                  <c:v>50.19300000000001</c:v>
                </c:pt>
                <c:pt idx="60">
                  <c:v>50.36</c:v>
                </c:pt>
                <c:pt idx="61">
                  <c:v>50.53</c:v>
                </c:pt>
                <c:pt idx="62">
                  <c:v>50.701</c:v>
                </c:pt>
                <c:pt idx="63">
                  <c:v>50.874</c:v>
                </c:pt>
                <c:pt idx="64">
                  <c:v>51.039</c:v>
                </c:pt>
                <c:pt idx="65">
                  <c:v>51.19600000000001</c:v>
                </c:pt>
                <c:pt idx="66">
                  <c:v>51.357</c:v>
                </c:pt>
                <c:pt idx="67">
                  <c:v>51.521</c:v>
                </c:pt>
                <c:pt idx="68">
                  <c:v>51.687</c:v>
                </c:pt>
                <c:pt idx="69">
                  <c:v>51.855</c:v>
                </c:pt>
                <c:pt idx="70">
                  <c:v>52.027</c:v>
                </c:pt>
                <c:pt idx="71">
                  <c:v>52.19900000000001</c:v>
                </c:pt>
                <c:pt idx="72">
                  <c:v>52.371</c:v>
                </c:pt>
                <c:pt idx="73">
                  <c:v>52.54300000000001</c:v>
                </c:pt>
                <c:pt idx="74">
                  <c:v>52.712</c:v>
                </c:pt>
                <c:pt idx="75">
                  <c:v>52.879</c:v>
                </c:pt>
                <c:pt idx="76">
                  <c:v>53.044</c:v>
                </c:pt>
                <c:pt idx="77">
                  <c:v>53.207</c:v>
                </c:pt>
                <c:pt idx="78">
                  <c:v>53.37</c:v>
                </c:pt>
                <c:pt idx="79">
                  <c:v>53.535</c:v>
                </c:pt>
                <c:pt idx="80">
                  <c:v>53.69600000000001</c:v>
                </c:pt>
                <c:pt idx="81">
                  <c:v>53.851</c:v>
                </c:pt>
                <c:pt idx="82">
                  <c:v>54.008</c:v>
                </c:pt>
                <c:pt idx="83">
                  <c:v>54.164</c:v>
                </c:pt>
                <c:pt idx="84">
                  <c:v>54.32</c:v>
                </c:pt>
                <c:pt idx="85">
                  <c:v>54.472</c:v>
                </c:pt>
                <c:pt idx="86">
                  <c:v>54.628</c:v>
                </c:pt>
                <c:pt idx="87">
                  <c:v>54.783</c:v>
                </c:pt>
                <c:pt idx="88">
                  <c:v>54.936</c:v>
                </c:pt>
                <c:pt idx="89">
                  <c:v>55.091</c:v>
                </c:pt>
                <c:pt idx="90">
                  <c:v>55.249</c:v>
                </c:pt>
                <c:pt idx="91">
                  <c:v>55.40900000000001</c:v>
                </c:pt>
                <c:pt idx="92">
                  <c:v>55.569</c:v>
                </c:pt>
                <c:pt idx="93">
                  <c:v>55.73</c:v>
                </c:pt>
                <c:pt idx="94">
                  <c:v>55.887</c:v>
                </c:pt>
                <c:pt idx="95">
                  <c:v>56.042</c:v>
                </c:pt>
                <c:pt idx="96">
                  <c:v>56.194</c:v>
                </c:pt>
                <c:pt idx="97">
                  <c:v>56.346</c:v>
                </c:pt>
                <c:pt idx="98">
                  <c:v>56.499</c:v>
                </c:pt>
                <c:pt idx="99">
                  <c:v>56.652</c:v>
                </c:pt>
                <c:pt idx="100">
                  <c:v>56.804</c:v>
                </c:pt>
                <c:pt idx="101">
                  <c:v>56.958</c:v>
                </c:pt>
                <c:pt idx="102">
                  <c:v>57.113</c:v>
                </c:pt>
                <c:pt idx="103">
                  <c:v>57.265</c:v>
                </c:pt>
                <c:pt idx="104">
                  <c:v>57.41</c:v>
                </c:pt>
                <c:pt idx="105">
                  <c:v>57.553</c:v>
                </c:pt>
                <c:pt idx="106">
                  <c:v>57.695</c:v>
                </c:pt>
                <c:pt idx="107">
                  <c:v>57.843</c:v>
                </c:pt>
                <c:pt idx="108">
                  <c:v>57.996</c:v>
                </c:pt>
                <c:pt idx="109">
                  <c:v>58.15</c:v>
                </c:pt>
                <c:pt idx="110">
                  <c:v>58.305</c:v>
                </c:pt>
                <c:pt idx="111">
                  <c:v>58.459</c:v>
                </c:pt>
                <c:pt idx="112">
                  <c:v>58.611</c:v>
                </c:pt>
                <c:pt idx="113">
                  <c:v>58.767</c:v>
                </c:pt>
                <c:pt idx="114">
                  <c:v>58.925</c:v>
                </c:pt>
                <c:pt idx="115">
                  <c:v>59.079</c:v>
                </c:pt>
                <c:pt idx="116">
                  <c:v>59.232</c:v>
                </c:pt>
                <c:pt idx="117">
                  <c:v>59.385</c:v>
                </c:pt>
                <c:pt idx="118">
                  <c:v>59.54</c:v>
                </c:pt>
                <c:pt idx="119">
                  <c:v>59.694</c:v>
                </c:pt>
                <c:pt idx="120">
                  <c:v>59.849</c:v>
                </c:pt>
                <c:pt idx="121">
                  <c:v>60.004</c:v>
                </c:pt>
                <c:pt idx="122">
                  <c:v>60.16</c:v>
                </c:pt>
                <c:pt idx="123">
                  <c:v>60.304</c:v>
                </c:pt>
                <c:pt idx="124">
                  <c:v>60.451</c:v>
                </c:pt>
                <c:pt idx="125">
                  <c:v>60.603</c:v>
                </c:pt>
                <c:pt idx="126">
                  <c:v>60.756</c:v>
                </c:pt>
                <c:pt idx="127">
                  <c:v>60.913</c:v>
                </c:pt>
                <c:pt idx="128">
                  <c:v>61.07</c:v>
                </c:pt>
                <c:pt idx="129">
                  <c:v>61.22700000000001</c:v>
                </c:pt>
                <c:pt idx="130">
                  <c:v>61.381</c:v>
                </c:pt>
                <c:pt idx="131">
                  <c:v>61.53400000000001</c:v>
                </c:pt>
                <c:pt idx="132">
                  <c:v>61.689</c:v>
                </c:pt>
                <c:pt idx="133">
                  <c:v>61.845</c:v>
                </c:pt>
                <c:pt idx="134">
                  <c:v>61.997</c:v>
                </c:pt>
                <c:pt idx="135">
                  <c:v>62.145</c:v>
                </c:pt>
                <c:pt idx="136">
                  <c:v>62.29700000000001</c:v>
                </c:pt>
                <c:pt idx="137">
                  <c:v>62.448</c:v>
                </c:pt>
                <c:pt idx="138">
                  <c:v>62.59600000000001</c:v>
                </c:pt>
                <c:pt idx="139">
                  <c:v>62.734</c:v>
                </c:pt>
                <c:pt idx="140">
                  <c:v>62.875</c:v>
                </c:pt>
                <c:pt idx="141">
                  <c:v>63.021</c:v>
                </c:pt>
                <c:pt idx="142">
                  <c:v>63.17</c:v>
                </c:pt>
                <c:pt idx="143">
                  <c:v>63.32</c:v>
                </c:pt>
                <c:pt idx="144">
                  <c:v>63.471</c:v>
                </c:pt>
                <c:pt idx="145">
                  <c:v>63.62300000000001</c:v>
                </c:pt>
                <c:pt idx="146">
                  <c:v>63.778</c:v>
                </c:pt>
                <c:pt idx="147">
                  <c:v>63.935</c:v>
                </c:pt>
                <c:pt idx="148">
                  <c:v>64.091</c:v>
                </c:pt>
                <c:pt idx="149">
                  <c:v>64.244</c:v>
                </c:pt>
                <c:pt idx="150">
                  <c:v>64.392</c:v>
                </c:pt>
                <c:pt idx="151">
                  <c:v>64.539</c:v>
                </c:pt>
                <c:pt idx="152">
                  <c:v>64.69</c:v>
                </c:pt>
                <c:pt idx="153">
                  <c:v>64.84200000000001</c:v>
                </c:pt>
                <c:pt idx="154">
                  <c:v>64.998</c:v>
                </c:pt>
                <c:pt idx="155">
                  <c:v>65.15399999999998</c:v>
                </c:pt>
                <c:pt idx="156">
                  <c:v>65.298</c:v>
                </c:pt>
                <c:pt idx="157">
                  <c:v>65.423</c:v>
                </c:pt>
                <c:pt idx="158">
                  <c:v>65.555</c:v>
                </c:pt>
                <c:pt idx="159">
                  <c:v>65.699</c:v>
                </c:pt>
                <c:pt idx="160">
                  <c:v>65.846</c:v>
                </c:pt>
                <c:pt idx="161">
                  <c:v>65.991</c:v>
                </c:pt>
                <c:pt idx="162">
                  <c:v>66.14</c:v>
                </c:pt>
                <c:pt idx="163">
                  <c:v>66.289</c:v>
                </c:pt>
                <c:pt idx="164">
                  <c:v>66.442</c:v>
                </c:pt>
                <c:pt idx="165">
                  <c:v>66.599</c:v>
                </c:pt>
                <c:pt idx="166">
                  <c:v>66.762</c:v>
                </c:pt>
                <c:pt idx="167">
                  <c:v>66.924</c:v>
                </c:pt>
                <c:pt idx="168">
                  <c:v>67.084</c:v>
                </c:pt>
                <c:pt idx="169">
                  <c:v>67.237</c:v>
                </c:pt>
                <c:pt idx="170">
                  <c:v>67.391</c:v>
                </c:pt>
                <c:pt idx="171">
                  <c:v>67.547</c:v>
                </c:pt>
                <c:pt idx="172">
                  <c:v>67.696</c:v>
                </c:pt>
                <c:pt idx="173">
                  <c:v>67.84500000000001</c:v>
                </c:pt>
                <c:pt idx="174">
                  <c:v>67.998</c:v>
                </c:pt>
                <c:pt idx="175">
                  <c:v>68.15299999999995</c:v>
                </c:pt>
                <c:pt idx="176">
                  <c:v>68.307</c:v>
                </c:pt>
                <c:pt idx="177">
                  <c:v>68.46</c:v>
                </c:pt>
                <c:pt idx="178">
                  <c:v>68.61</c:v>
                </c:pt>
                <c:pt idx="179">
                  <c:v>68.761</c:v>
                </c:pt>
                <c:pt idx="180">
                  <c:v>68.91</c:v>
                </c:pt>
                <c:pt idx="181">
                  <c:v>69.06</c:v>
                </c:pt>
                <c:pt idx="182">
                  <c:v>69.212</c:v>
                </c:pt>
                <c:pt idx="183">
                  <c:v>69.367</c:v>
                </c:pt>
                <c:pt idx="184">
                  <c:v>69.522</c:v>
                </c:pt>
                <c:pt idx="185">
                  <c:v>69.67599999999958</c:v>
                </c:pt>
                <c:pt idx="186">
                  <c:v>69.83</c:v>
                </c:pt>
                <c:pt idx="187">
                  <c:v>69.98200000000001</c:v>
                </c:pt>
                <c:pt idx="188">
                  <c:v>70.131</c:v>
                </c:pt>
                <c:pt idx="189">
                  <c:v>70.259</c:v>
                </c:pt>
                <c:pt idx="190">
                  <c:v>70.385</c:v>
                </c:pt>
                <c:pt idx="191">
                  <c:v>70.512</c:v>
                </c:pt>
                <c:pt idx="192">
                  <c:v>70.647</c:v>
                </c:pt>
                <c:pt idx="193">
                  <c:v>70.795</c:v>
                </c:pt>
                <c:pt idx="194">
                  <c:v>70.946</c:v>
                </c:pt>
                <c:pt idx="195">
                  <c:v>71.1</c:v>
                </c:pt>
                <c:pt idx="196">
                  <c:v>71.256</c:v>
                </c:pt>
                <c:pt idx="197">
                  <c:v>71.412</c:v>
                </c:pt>
                <c:pt idx="198">
                  <c:v>71.56800000000001</c:v>
                </c:pt>
                <c:pt idx="199">
                  <c:v>71.727</c:v>
                </c:pt>
                <c:pt idx="200">
                  <c:v>71.88599999999998</c:v>
                </c:pt>
                <c:pt idx="201">
                  <c:v>72.045</c:v>
                </c:pt>
                <c:pt idx="202">
                  <c:v>72.199</c:v>
                </c:pt>
                <c:pt idx="203">
                  <c:v>72.351</c:v>
                </c:pt>
                <c:pt idx="204">
                  <c:v>72.498</c:v>
                </c:pt>
                <c:pt idx="205">
                  <c:v>72.647</c:v>
                </c:pt>
                <c:pt idx="206">
                  <c:v>72.798</c:v>
                </c:pt>
                <c:pt idx="207">
                  <c:v>72.95500000000001</c:v>
                </c:pt>
                <c:pt idx="208">
                  <c:v>73.111</c:v>
                </c:pt>
                <c:pt idx="209">
                  <c:v>73.267</c:v>
                </c:pt>
                <c:pt idx="210">
                  <c:v>73.419</c:v>
                </c:pt>
                <c:pt idx="211">
                  <c:v>73.571</c:v>
                </c:pt>
                <c:pt idx="212">
                  <c:v>73.725</c:v>
                </c:pt>
                <c:pt idx="213">
                  <c:v>73.881</c:v>
                </c:pt>
                <c:pt idx="214">
                  <c:v>74.038</c:v>
                </c:pt>
                <c:pt idx="215">
                  <c:v>74.196</c:v>
                </c:pt>
                <c:pt idx="216">
                  <c:v>74.349</c:v>
                </c:pt>
                <c:pt idx="217">
                  <c:v>74.498</c:v>
                </c:pt>
                <c:pt idx="218">
                  <c:v>74.646</c:v>
                </c:pt>
                <c:pt idx="219">
                  <c:v>74.797</c:v>
                </c:pt>
                <c:pt idx="220">
                  <c:v>74.95200000000001</c:v>
                </c:pt>
                <c:pt idx="221">
                  <c:v>75.09800000000001</c:v>
                </c:pt>
                <c:pt idx="222">
                  <c:v>75.237</c:v>
                </c:pt>
                <c:pt idx="223">
                  <c:v>75.37899999999995</c:v>
                </c:pt>
                <c:pt idx="224">
                  <c:v>75.524</c:v>
                </c:pt>
                <c:pt idx="225">
                  <c:v>75.667</c:v>
                </c:pt>
                <c:pt idx="226">
                  <c:v>75.80299999999998</c:v>
                </c:pt>
                <c:pt idx="227">
                  <c:v>75.937</c:v>
                </c:pt>
                <c:pt idx="228">
                  <c:v>76.07199999999997</c:v>
                </c:pt>
                <c:pt idx="229">
                  <c:v>76.215</c:v>
                </c:pt>
                <c:pt idx="230">
                  <c:v>76.366</c:v>
                </c:pt>
                <c:pt idx="231">
                  <c:v>76.514</c:v>
                </c:pt>
                <c:pt idx="232">
                  <c:v>76.65399999999998</c:v>
                </c:pt>
                <c:pt idx="233">
                  <c:v>76.789</c:v>
                </c:pt>
                <c:pt idx="234">
                  <c:v>76.928</c:v>
                </c:pt>
                <c:pt idx="235">
                  <c:v>77.06800000000001</c:v>
                </c:pt>
                <c:pt idx="236">
                  <c:v>77.214</c:v>
                </c:pt>
                <c:pt idx="237">
                  <c:v>77.362</c:v>
                </c:pt>
                <c:pt idx="238">
                  <c:v>77.512</c:v>
                </c:pt>
                <c:pt idx="239">
                  <c:v>77.65899999999998</c:v>
                </c:pt>
                <c:pt idx="240">
                  <c:v>77.80899999999998</c:v>
                </c:pt>
                <c:pt idx="241">
                  <c:v>77.95800000000001</c:v>
                </c:pt>
                <c:pt idx="242">
                  <c:v>78.10799999999997</c:v>
                </c:pt>
                <c:pt idx="243">
                  <c:v>78.26</c:v>
                </c:pt>
                <c:pt idx="244">
                  <c:v>78.414</c:v>
                </c:pt>
                <c:pt idx="245">
                  <c:v>78.57199999999997</c:v>
                </c:pt>
                <c:pt idx="246">
                  <c:v>78.73</c:v>
                </c:pt>
                <c:pt idx="247">
                  <c:v>78.888</c:v>
                </c:pt>
                <c:pt idx="248">
                  <c:v>79.046</c:v>
                </c:pt>
                <c:pt idx="249">
                  <c:v>79.203</c:v>
                </c:pt>
                <c:pt idx="250">
                  <c:v>79.35499999999997</c:v>
                </c:pt>
                <c:pt idx="251">
                  <c:v>79.495</c:v>
                </c:pt>
                <c:pt idx="252">
                  <c:v>79.632</c:v>
                </c:pt>
                <c:pt idx="253">
                  <c:v>79.77899999999998</c:v>
                </c:pt>
                <c:pt idx="254">
                  <c:v>79.931</c:v>
                </c:pt>
                <c:pt idx="255">
                  <c:v>80.084</c:v>
                </c:pt>
                <c:pt idx="256">
                  <c:v>80.239</c:v>
                </c:pt>
                <c:pt idx="257">
                  <c:v>80.397</c:v>
                </c:pt>
                <c:pt idx="258">
                  <c:v>80.55599999999998</c:v>
                </c:pt>
                <c:pt idx="259">
                  <c:v>80.714</c:v>
                </c:pt>
                <c:pt idx="260">
                  <c:v>80.868</c:v>
                </c:pt>
                <c:pt idx="261">
                  <c:v>81.02</c:v>
                </c:pt>
                <c:pt idx="262">
                  <c:v>81.16999999999997</c:v>
                </c:pt>
                <c:pt idx="263">
                  <c:v>81.32</c:v>
                </c:pt>
                <c:pt idx="264">
                  <c:v>81.473</c:v>
                </c:pt>
                <c:pt idx="265">
                  <c:v>81.62799999999998</c:v>
                </c:pt>
                <c:pt idx="266">
                  <c:v>81.782</c:v>
                </c:pt>
                <c:pt idx="267">
                  <c:v>81.938</c:v>
                </c:pt>
                <c:pt idx="268">
                  <c:v>82.096</c:v>
                </c:pt>
                <c:pt idx="269">
                  <c:v>82.255</c:v>
                </c:pt>
                <c:pt idx="270">
                  <c:v>82.413</c:v>
                </c:pt>
                <c:pt idx="271">
                  <c:v>82.567</c:v>
                </c:pt>
                <c:pt idx="272">
                  <c:v>82.72</c:v>
                </c:pt>
                <c:pt idx="273">
                  <c:v>82.87499999999998</c:v>
                </c:pt>
                <c:pt idx="274">
                  <c:v>83.027</c:v>
                </c:pt>
                <c:pt idx="275">
                  <c:v>83.17299999999958</c:v>
                </c:pt>
                <c:pt idx="276">
                  <c:v>83.311</c:v>
                </c:pt>
                <c:pt idx="277">
                  <c:v>83.45</c:v>
                </c:pt>
                <c:pt idx="278">
                  <c:v>83.591</c:v>
                </c:pt>
                <c:pt idx="279">
                  <c:v>83.728</c:v>
                </c:pt>
                <c:pt idx="280">
                  <c:v>83.85499999999997</c:v>
                </c:pt>
                <c:pt idx="281">
                  <c:v>83.994</c:v>
                </c:pt>
                <c:pt idx="282">
                  <c:v>84.13899999999998</c:v>
                </c:pt>
                <c:pt idx="283">
                  <c:v>84.289</c:v>
                </c:pt>
                <c:pt idx="284">
                  <c:v>84.439</c:v>
                </c:pt>
                <c:pt idx="285">
                  <c:v>84.593</c:v>
                </c:pt>
                <c:pt idx="286">
                  <c:v>84.745</c:v>
                </c:pt>
                <c:pt idx="287">
                  <c:v>84.899</c:v>
                </c:pt>
                <c:pt idx="288">
                  <c:v>85.055</c:v>
                </c:pt>
                <c:pt idx="289">
                  <c:v>85.21</c:v>
                </c:pt>
                <c:pt idx="290">
                  <c:v>85.369</c:v>
                </c:pt>
                <c:pt idx="291">
                  <c:v>85.525</c:v>
                </c:pt>
                <c:pt idx="292">
                  <c:v>85.67999999999998</c:v>
                </c:pt>
                <c:pt idx="293">
                  <c:v>85.833</c:v>
                </c:pt>
                <c:pt idx="294">
                  <c:v>85.98500000000001</c:v>
                </c:pt>
                <c:pt idx="295">
                  <c:v>86.135</c:v>
                </c:pt>
                <c:pt idx="296">
                  <c:v>86.286</c:v>
                </c:pt>
                <c:pt idx="297">
                  <c:v>86.44</c:v>
                </c:pt>
                <c:pt idx="298">
                  <c:v>86.594</c:v>
                </c:pt>
                <c:pt idx="299">
                  <c:v>86.752</c:v>
                </c:pt>
                <c:pt idx="300">
                  <c:v>86.897</c:v>
                </c:pt>
                <c:pt idx="301">
                  <c:v>87.041</c:v>
                </c:pt>
                <c:pt idx="302">
                  <c:v>87.192</c:v>
                </c:pt>
                <c:pt idx="303">
                  <c:v>87.344</c:v>
                </c:pt>
                <c:pt idx="304">
                  <c:v>87.497</c:v>
                </c:pt>
                <c:pt idx="305">
                  <c:v>87.649</c:v>
                </c:pt>
                <c:pt idx="306">
                  <c:v>87.805</c:v>
                </c:pt>
                <c:pt idx="307">
                  <c:v>87.96</c:v>
                </c:pt>
                <c:pt idx="308">
                  <c:v>88.115</c:v>
                </c:pt>
                <c:pt idx="309">
                  <c:v>88.268</c:v>
                </c:pt>
                <c:pt idx="310">
                  <c:v>88.423</c:v>
                </c:pt>
                <c:pt idx="311">
                  <c:v>88.57599999999998</c:v>
                </c:pt>
                <c:pt idx="312">
                  <c:v>88.729</c:v>
                </c:pt>
                <c:pt idx="313">
                  <c:v>88.881</c:v>
                </c:pt>
                <c:pt idx="314">
                  <c:v>89.03</c:v>
                </c:pt>
                <c:pt idx="315">
                  <c:v>89.18099999999998</c:v>
                </c:pt>
                <c:pt idx="316">
                  <c:v>89.331</c:v>
                </c:pt>
                <c:pt idx="317">
                  <c:v>89.48200000000001</c:v>
                </c:pt>
                <c:pt idx="318">
                  <c:v>89.632</c:v>
                </c:pt>
                <c:pt idx="319">
                  <c:v>89.775</c:v>
                </c:pt>
                <c:pt idx="320">
                  <c:v>89.913</c:v>
                </c:pt>
                <c:pt idx="321">
                  <c:v>90.05</c:v>
                </c:pt>
                <c:pt idx="322">
                  <c:v>90.195</c:v>
                </c:pt>
                <c:pt idx="323">
                  <c:v>90.34200000000001</c:v>
                </c:pt>
                <c:pt idx="324">
                  <c:v>90.493</c:v>
                </c:pt>
                <c:pt idx="325">
                  <c:v>90.642</c:v>
                </c:pt>
                <c:pt idx="326">
                  <c:v>90.788</c:v>
                </c:pt>
                <c:pt idx="327">
                  <c:v>90.936</c:v>
                </c:pt>
                <c:pt idx="328">
                  <c:v>91.081</c:v>
                </c:pt>
                <c:pt idx="329">
                  <c:v>91.231</c:v>
                </c:pt>
                <c:pt idx="330">
                  <c:v>91.387</c:v>
                </c:pt>
                <c:pt idx="331">
                  <c:v>91.543</c:v>
                </c:pt>
                <c:pt idx="332">
                  <c:v>91.696</c:v>
                </c:pt>
                <c:pt idx="333">
                  <c:v>91.851</c:v>
                </c:pt>
                <c:pt idx="334">
                  <c:v>92.004</c:v>
                </c:pt>
                <c:pt idx="335">
                  <c:v>92.15599999999995</c:v>
                </c:pt>
                <c:pt idx="336">
                  <c:v>92.3</c:v>
                </c:pt>
                <c:pt idx="337">
                  <c:v>92.45</c:v>
                </c:pt>
                <c:pt idx="338">
                  <c:v>92.604</c:v>
                </c:pt>
                <c:pt idx="339">
                  <c:v>92.758</c:v>
                </c:pt>
                <c:pt idx="340">
                  <c:v>92.915</c:v>
                </c:pt>
                <c:pt idx="341">
                  <c:v>93.07</c:v>
                </c:pt>
                <c:pt idx="342">
                  <c:v>93.223</c:v>
                </c:pt>
                <c:pt idx="343">
                  <c:v>93.37199999999998</c:v>
                </c:pt>
                <c:pt idx="344">
                  <c:v>93.521</c:v>
                </c:pt>
                <c:pt idx="345">
                  <c:v>93.67199999999998</c:v>
                </c:pt>
                <c:pt idx="346">
                  <c:v>93.827</c:v>
                </c:pt>
                <c:pt idx="347">
                  <c:v>93.981</c:v>
                </c:pt>
                <c:pt idx="348">
                  <c:v>94.135</c:v>
                </c:pt>
                <c:pt idx="349">
                  <c:v>94.288</c:v>
                </c:pt>
                <c:pt idx="350">
                  <c:v>94.441</c:v>
                </c:pt>
                <c:pt idx="351">
                  <c:v>94.597</c:v>
                </c:pt>
                <c:pt idx="352">
                  <c:v>94.754</c:v>
                </c:pt>
                <c:pt idx="353">
                  <c:v>94.902</c:v>
                </c:pt>
                <c:pt idx="354">
                  <c:v>95.052</c:v>
                </c:pt>
                <c:pt idx="355">
                  <c:v>95.203</c:v>
                </c:pt>
                <c:pt idx="356">
                  <c:v>95.351</c:v>
                </c:pt>
                <c:pt idx="357">
                  <c:v>95.492</c:v>
                </c:pt>
                <c:pt idx="358">
                  <c:v>95.637</c:v>
                </c:pt>
                <c:pt idx="359">
                  <c:v>95.789</c:v>
                </c:pt>
                <c:pt idx="360">
                  <c:v>95.942</c:v>
                </c:pt>
                <c:pt idx="361">
                  <c:v>96.097</c:v>
                </c:pt>
                <c:pt idx="362">
                  <c:v>96.246</c:v>
                </c:pt>
                <c:pt idx="363">
                  <c:v>96.391</c:v>
                </c:pt>
                <c:pt idx="364">
                  <c:v>96.54</c:v>
                </c:pt>
                <c:pt idx="365">
                  <c:v>96.695</c:v>
                </c:pt>
                <c:pt idx="366">
                  <c:v>96.846</c:v>
                </c:pt>
                <c:pt idx="367">
                  <c:v>96.995</c:v>
                </c:pt>
                <c:pt idx="368">
                  <c:v>97.141</c:v>
                </c:pt>
                <c:pt idx="369">
                  <c:v>97.294</c:v>
                </c:pt>
                <c:pt idx="370">
                  <c:v>97.446</c:v>
                </c:pt>
                <c:pt idx="371">
                  <c:v>97.597</c:v>
                </c:pt>
                <c:pt idx="372">
                  <c:v>97.75</c:v>
                </c:pt>
                <c:pt idx="373">
                  <c:v>97.901</c:v>
                </c:pt>
                <c:pt idx="374">
                  <c:v>98.051</c:v>
                </c:pt>
                <c:pt idx="375">
                  <c:v>98.204</c:v>
                </c:pt>
                <c:pt idx="376">
                  <c:v>98.36</c:v>
                </c:pt>
                <c:pt idx="377">
                  <c:v>98.514</c:v>
                </c:pt>
                <c:pt idx="378">
                  <c:v>98.668</c:v>
                </c:pt>
                <c:pt idx="379">
                  <c:v>98.824</c:v>
                </c:pt>
                <c:pt idx="380">
                  <c:v>98.978</c:v>
                </c:pt>
                <c:pt idx="381">
                  <c:v>99.12899999999995</c:v>
                </c:pt>
                <c:pt idx="382">
                  <c:v>99.281</c:v>
                </c:pt>
                <c:pt idx="383">
                  <c:v>99.432</c:v>
                </c:pt>
                <c:pt idx="384">
                  <c:v>99.587</c:v>
                </c:pt>
                <c:pt idx="385">
                  <c:v>99.741</c:v>
                </c:pt>
                <c:pt idx="386">
                  <c:v>99.892</c:v>
                </c:pt>
                <c:pt idx="387">
                  <c:v>100.041</c:v>
                </c:pt>
                <c:pt idx="388">
                  <c:v>100.188</c:v>
                </c:pt>
                <c:pt idx="389">
                  <c:v>100.336</c:v>
                </c:pt>
                <c:pt idx="390">
                  <c:v>100.479</c:v>
                </c:pt>
                <c:pt idx="391">
                  <c:v>100.62</c:v>
                </c:pt>
                <c:pt idx="392">
                  <c:v>100.762</c:v>
                </c:pt>
                <c:pt idx="393">
                  <c:v>100.909</c:v>
                </c:pt>
                <c:pt idx="394">
                  <c:v>101.06</c:v>
                </c:pt>
                <c:pt idx="395">
                  <c:v>101.212</c:v>
                </c:pt>
                <c:pt idx="396">
                  <c:v>101.363</c:v>
                </c:pt>
                <c:pt idx="397">
                  <c:v>101.507</c:v>
                </c:pt>
                <c:pt idx="398">
                  <c:v>101.644</c:v>
                </c:pt>
                <c:pt idx="399">
                  <c:v>101.778</c:v>
                </c:pt>
                <c:pt idx="400">
                  <c:v>101.913</c:v>
                </c:pt>
                <c:pt idx="401">
                  <c:v>102.054</c:v>
                </c:pt>
                <c:pt idx="402">
                  <c:v>102.197</c:v>
                </c:pt>
                <c:pt idx="403">
                  <c:v>102.346</c:v>
                </c:pt>
                <c:pt idx="404">
                  <c:v>102.499</c:v>
                </c:pt>
                <c:pt idx="405">
                  <c:v>102.649</c:v>
                </c:pt>
                <c:pt idx="406">
                  <c:v>102.795</c:v>
                </c:pt>
                <c:pt idx="407">
                  <c:v>102.941</c:v>
                </c:pt>
                <c:pt idx="408">
                  <c:v>103.085</c:v>
                </c:pt>
                <c:pt idx="409">
                  <c:v>103.229</c:v>
                </c:pt>
                <c:pt idx="410">
                  <c:v>103.374</c:v>
                </c:pt>
                <c:pt idx="411">
                  <c:v>103.514</c:v>
                </c:pt>
                <c:pt idx="412">
                  <c:v>103.655</c:v>
                </c:pt>
                <c:pt idx="413">
                  <c:v>103.799</c:v>
                </c:pt>
                <c:pt idx="414">
                  <c:v>103.944</c:v>
                </c:pt>
                <c:pt idx="415">
                  <c:v>104.092</c:v>
                </c:pt>
                <c:pt idx="416">
                  <c:v>104.237</c:v>
                </c:pt>
                <c:pt idx="417">
                  <c:v>104.38</c:v>
                </c:pt>
                <c:pt idx="418">
                  <c:v>104.522</c:v>
                </c:pt>
                <c:pt idx="419">
                  <c:v>104.667</c:v>
                </c:pt>
                <c:pt idx="420">
                  <c:v>104.814</c:v>
                </c:pt>
                <c:pt idx="421">
                  <c:v>104.963</c:v>
                </c:pt>
                <c:pt idx="422">
                  <c:v>105.109</c:v>
                </c:pt>
                <c:pt idx="423">
                  <c:v>105.258</c:v>
                </c:pt>
                <c:pt idx="424">
                  <c:v>105.404</c:v>
                </c:pt>
                <c:pt idx="425">
                  <c:v>105.55</c:v>
                </c:pt>
                <c:pt idx="426">
                  <c:v>105.695</c:v>
                </c:pt>
                <c:pt idx="427">
                  <c:v>105.83</c:v>
                </c:pt>
                <c:pt idx="428">
                  <c:v>105.966</c:v>
                </c:pt>
                <c:pt idx="429">
                  <c:v>106.108</c:v>
                </c:pt>
                <c:pt idx="430">
                  <c:v>106.247</c:v>
                </c:pt>
                <c:pt idx="431">
                  <c:v>106.389</c:v>
                </c:pt>
                <c:pt idx="432">
                  <c:v>106.526</c:v>
                </c:pt>
                <c:pt idx="433">
                  <c:v>106.66</c:v>
                </c:pt>
                <c:pt idx="434">
                  <c:v>106.795</c:v>
                </c:pt>
                <c:pt idx="435">
                  <c:v>106.937</c:v>
                </c:pt>
                <c:pt idx="436">
                  <c:v>107.08</c:v>
                </c:pt>
                <c:pt idx="437">
                  <c:v>107.223</c:v>
                </c:pt>
                <c:pt idx="438">
                  <c:v>107.358</c:v>
                </c:pt>
                <c:pt idx="439">
                  <c:v>107.493</c:v>
                </c:pt>
                <c:pt idx="440">
                  <c:v>107.635</c:v>
                </c:pt>
                <c:pt idx="441">
                  <c:v>107.779</c:v>
                </c:pt>
                <c:pt idx="442">
                  <c:v>107.919</c:v>
                </c:pt>
                <c:pt idx="443">
                  <c:v>108.061</c:v>
                </c:pt>
                <c:pt idx="444">
                  <c:v>108.208</c:v>
                </c:pt>
                <c:pt idx="445">
                  <c:v>108.355</c:v>
                </c:pt>
                <c:pt idx="446">
                  <c:v>108.5</c:v>
                </c:pt>
                <c:pt idx="447">
                  <c:v>108.644</c:v>
                </c:pt>
                <c:pt idx="448">
                  <c:v>108.79</c:v>
                </c:pt>
                <c:pt idx="449">
                  <c:v>108.937</c:v>
                </c:pt>
                <c:pt idx="450">
                  <c:v>109.085</c:v>
                </c:pt>
                <c:pt idx="451">
                  <c:v>109.231</c:v>
                </c:pt>
                <c:pt idx="452">
                  <c:v>109.37</c:v>
                </c:pt>
                <c:pt idx="453">
                  <c:v>109.511</c:v>
                </c:pt>
                <c:pt idx="454">
                  <c:v>109.651</c:v>
                </c:pt>
                <c:pt idx="455">
                  <c:v>109.797</c:v>
                </c:pt>
                <c:pt idx="456">
                  <c:v>109.941</c:v>
                </c:pt>
                <c:pt idx="457">
                  <c:v>110.079</c:v>
                </c:pt>
                <c:pt idx="458">
                  <c:v>110.218</c:v>
                </c:pt>
                <c:pt idx="459">
                  <c:v>110.363</c:v>
                </c:pt>
                <c:pt idx="460">
                  <c:v>110.509</c:v>
                </c:pt>
                <c:pt idx="461">
                  <c:v>110.652</c:v>
                </c:pt>
                <c:pt idx="462">
                  <c:v>110.794</c:v>
                </c:pt>
                <c:pt idx="463">
                  <c:v>110.938</c:v>
                </c:pt>
                <c:pt idx="464">
                  <c:v>111.079</c:v>
                </c:pt>
                <c:pt idx="465">
                  <c:v>111.224</c:v>
                </c:pt>
                <c:pt idx="466">
                  <c:v>111.369</c:v>
                </c:pt>
                <c:pt idx="467">
                  <c:v>111.502</c:v>
                </c:pt>
                <c:pt idx="468">
                  <c:v>111.638</c:v>
                </c:pt>
                <c:pt idx="469">
                  <c:v>111.78</c:v>
                </c:pt>
                <c:pt idx="470">
                  <c:v>111.922</c:v>
                </c:pt>
                <c:pt idx="471">
                  <c:v>112.065</c:v>
                </c:pt>
                <c:pt idx="472">
                  <c:v>112.211</c:v>
                </c:pt>
                <c:pt idx="473">
                  <c:v>112.349</c:v>
                </c:pt>
                <c:pt idx="474">
                  <c:v>112.491</c:v>
                </c:pt>
                <c:pt idx="475">
                  <c:v>112.636</c:v>
                </c:pt>
                <c:pt idx="476">
                  <c:v>112.78</c:v>
                </c:pt>
                <c:pt idx="477">
                  <c:v>112.928</c:v>
                </c:pt>
                <c:pt idx="478">
                  <c:v>113.075</c:v>
                </c:pt>
                <c:pt idx="479">
                  <c:v>113.224</c:v>
                </c:pt>
                <c:pt idx="480">
                  <c:v>113.372</c:v>
                </c:pt>
                <c:pt idx="481">
                  <c:v>113.52</c:v>
                </c:pt>
                <c:pt idx="482">
                  <c:v>113.667</c:v>
                </c:pt>
                <c:pt idx="483">
                  <c:v>113.812</c:v>
                </c:pt>
                <c:pt idx="484">
                  <c:v>113.954</c:v>
                </c:pt>
                <c:pt idx="485">
                  <c:v>114.092</c:v>
                </c:pt>
                <c:pt idx="486">
                  <c:v>114.227</c:v>
                </c:pt>
                <c:pt idx="487">
                  <c:v>114.369</c:v>
                </c:pt>
                <c:pt idx="488">
                  <c:v>114.514</c:v>
                </c:pt>
                <c:pt idx="489">
                  <c:v>114.662</c:v>
                </c:pt>
                <c:pt idx="490">
                  <c:v>114.811</c:v>
                </c:pt>
                <c:pt idx="491">
                  <c:v>114.96</c:v>
                </c:pt>
                <c:pt idx="492">
                  <c:v>115.109</c:v>
                </c:pt>
                <c:pt idx="493">
                  <c:v>115.255</c:v>
                </c:pt>
                <c:pt idx="494">
                  <c:v>115.407</c:v>
                </c:pt>
                <c:pt idx="495">
                  <c:v>115.567</c:v>
                </c:pt>
                <c:pt idx="496">
                  <c:v>115.732</c:v>
                </c:pt>
                <c:pt idx="497">
                  <c:v>115.892</c:v>
                </c:pt>
                <c:pt idx="498">
                  <c:v>116.058</c:v>
                </c:pt>
                <c:pt idx="499">
                  <c:v>116.233</c:v>
                </c:pt>
                <c:pt idx="500">
                  <c:v>116.411</c:v>
                </c:pt>
                <c:pt idx="501">
                  <c:v>116.59</c:v>
                </c:pt>
                <c:pt idx="502">
                  <c:v>116.768</c:v>
                </c:pt>
                <c:pt idx="503">
                  <c:v>116.943</c:v>
                </c:pt>
                <c:pt idx="504">
                  <c:v>117.114</c:v>
                </c:pt>
                <c:pt idx="505">
                  <c:v>117.287</c:v>
                </c:pt>
                <c:pt idx="506">
                  <c:v>117.464</c:v>
                </c:pt>
                <c:pt idx="507">
                  <c:v>117.638</c:v>
                </c:pt>
                <c:pt idx="508">
                  <c:v>117.811</c:v>
                </c:pt>
                <c:pt idx="509">
                  <c:v>117.984</c:v>
                </c:pt>
                <c:pt idx="510">
                  <c:v>118.157</c:v>
                </c:pt>
                <c:pt idx="511">
                  <c:v>118.333</c:v>
                </c:pt>
                <c:pt idx="512">
                  <c:v>118.509</c:v>
                </c:pt>
                <c:pt idx="513">
                  <c:v>118.688</c:v>
                </c:pt>
                <c:pt idx="514">
                  <c:v>118.868</c:v>
                </c:pt>
                <c:pt idx="515">
                  <c:v>119.046</c:v>
                </c:pt>
                <c:pt idx="516">
                  <c:v>119.221</c:v>
                </c:pt>
                <c:pt idx="517">
                  <c:v>119.398</c:v>
                </c:pt>
                <c:pt idx="518">
                  <c:v>119.572</c:v>
                </c:pt>
                <c:pt idx="519">
                  <c:v>119.746</c:v>
                </c:pt>
                <c:pt idx="520">
                  <c:v>119.915</c:v>
                </c:pt>
                <c:pt idx="521">
                  <c:v>120.084</c:v>
                </c:pt>
                <c:pt idx="522">
                  <c:v>120.256</c:v>
                </c:pt>
                <c:pt idx="523">
                  <c:v>120.433</c:v>
                </c:pt>
                <c:pt idx="524">
                  <c:v>120.608</c:v>
                </c:pt>
                <c:pt idx="525">
                  <c:v>120.786</c:v>
                </c:pt>
                <c:pt idx="526">
                  <c:v>120.966</c:v>
                </c:pt>
                <c:pt idx="527">
                  <c:v>121.143</c:v>
                </c:pt>
                <c:pt idx="528">
                  <c:v>121.316</c:v>
                </c:pt>
                <c:pt idx="529">
                  <c:v>121.489</c:v>
                </c:pt>
                <c:pt idx="530">
                  <c:v>121.663</c:v>
                </c:pt>
                <c:pt idx="531">
                  <c:v>121.84</c:v>
                </c:pt>
                <c:pt idx="532">
                  <c:v>122.015</c:v>
                </c:pt>
                <c:pt idx="533">
                  <c:v>122.189</c:v>
                </c:pt>
                <c:pt idx="534">
                  <c:v>122.36</c:v>
                </c:pt>
                <c:pt idx="535">
                  <c:v>122.528</c:v>
                </c:pt>
                <c:pt idx="536">
                  <c:v>122.693</c:v>
                </c:pt>
                <c:pt idx="537">
                  <c:v>122.861</c:v>
                </c:pt>
                <c:pt idx="538">
                  <c:v>123.024</c:v>
                </c:pt>
                <c:pt idx="539">
                  <c:v>123.191</c:v>
                </c:pt>
                <c:pt idx="540">
                  <c:v>123.363</c:v>
                </c:pt>
                <c:pt idx="541">
                  <c:v>123.54</c:v>
                </c:pt>
                <c:pt idx="542">
                  <c:v>123.713</c:v>
                </c:pt>
                <c:pt idx="543">
                  <c:v>123.877</c:v>
                </c:pt>
                <c:pt idx="544">
                  <c:v>124.046</c:v>
                </c:pt>
                <c:pt idx="545">
                  <c:v>124.219</c:v>
                </c:pt>
                <c:pt idx="546">
                  <c:v>124.398</c:v>
                </c:pt>
                <c:pt idx="547">
                  <c:v>124.575</c:v>
                </c:pt>
                <c:pt idx="548">
                  <c:v>124.744</c:v>
                </c:pt>
                <c:pt idx="549">
                  <c:v>124.911</c:v>
                </c:pt>
                <c:pt idx="550">
                  <c:v>125.076</c:v>
                </c:pt>
                <c:pt idx="551">
                  <c:v>125.231</c:v>
                </c:pt>
                <c:pt idx="552">
                  <c:v>125.386</c:v>
                </c:pt>
                <c:pt idx="553">
                  <c:v>125.551</c:v>
                </c:pt>
                <c:pt idx="554">
                  <c:v>125.724</c:v>
                </c:pt>
                <c:pt idx="555">
                  <c:v>125.895</c:v>
                </c:pt>
                <c:pt idx="556">
                  <c:v>126.064</c:v>
                </c:pt>
                <c:pt idx="557">
                  <c:v>126.236</c:v>
                </c:pt>
                <c:pt idx="558">
                  <c:v>126.412</c:v>
                </c:pt>
                <c:pt idx="559">
                  <c:v>126.589</c:v>
                </c:pt>
                <c:pt idx="560">
                  <c:v>126.768</c:v>
                </c:pt>
                <c:pt idx="561">
                  <c:v>126.935</c:v>
                </c:pt>
                <c:pt idx="562">
                  <c:v>127.103</c:v>
                </c:pt>
                <c:pt idx="563">
                  <c:v>127.276</c:v>
                </c:pt>
                <c:pt idx="564">
                  <c:v>127.447</c:v>
                </c:pt>
                <c:pt idx="565">
                  <c:v>127.621</c:v>
                </c:pt>
                <c:pt idx="566">
                  <c:v>127.795</c:v>
                </c:pt>
                <c:pt idx="567">
                  <c:v>127.973</c:v>
                </c:pt>
                <c:pt idx="568">
                  <c:v>128.153</c:v>
                </c:pt>
                <c:pt idx="569">
                  <c:v>128.326</c:v>
                </c:pt>
                <c:pt idx="570">
                  <c:v>128.5</c:v>
                </c:pt>
                <c:pt idx="571">
                  <c:v>128.676</c:v>
                </c:pt>
                <c:pt idx="572">
                  <c:v>128.85</c:v>
                </c:pt>
                <c:pt idx="573">
                  <c:v>129.027</c:v>
                </c:pt>
                <c:pt idx="574">
                  <c:v>129.201</c:v>
                </c:pt>
                <c:pt idx="575">
                  <c:v>129.375</c:v>
                </c:pt>
                <c:pt idx="576">
                  <c:v>129.551</c:v>
                </c:pt>
                <c:pt idx="577">
                  <c:v>129.727</c:v>
                </c:pt>
                <c:pt idx="578">
                  <c:v>129.898</c:v>
                </c:pt>
                <c:pt idx="579">
                  <c:v>130.063</c:v>
                </c:pt>
                <c:pt idx="580">
                  <c:v>130.236</c:v>
                </c:pt>
                <c:pt idx="581">
                  <c:v>130.411</c:v>
                </c:pt>
                <c:pt idx="582">
                  <c:v>130.581</c:v>
                </c:pt>
                <c:pt idx="583">
                  <c:v>130.753</c:v>
                </c:pt>
                <c:pt idx="584">
                  <c:v>130.926</c:v>
                </c:pt>
                <c:pt idx="585">
                  <c:v>131.097</c:v>
                </c:pt>
                <c:pt idx="586">
                  <c:v>131.26</c:v>
                </c:pt>
                <c:pt idx="587">
                  <c:v>131.432</c:v>
                </c:pt>
                <c:pt idx="588">
                  <c:v>131.609</c:v>
                </c:pt>
                <c:pt idx="589">
                  <c:v>131.788</c:v>
                </c:pt>
                <c:pt idx="590">
                  <c:v>131.962</c:v>
                </c:pt>
                <c:pt idx="591">
                  <c:v>132.13</c:v>
                </c:pt>
                <c:pt idx="592">
                  <c:v>132.299</c:v>
                </c:pt>
                <c:pt idx="593">
                  <c:v>132.472</c:v>
                </c:pt>
                <c:pt idx="594">
                  <c:v>132.642</c:v>
                </c:pt>
                <c:pt idx="595">
                  <c:v>132.804</c:v>
                </c:pt>
                <c:pt idx="596">
                  <c:v>132.973</c:v>
                </c:pt>
                <c:pt idx="597">
                  <c:v>133.135</c:v>
                </c:pt>
                <c:pt idx="598">
                  <c:v>133.3</c:v>
                </c:pt>
                <c:pt idx="599">
                  <c:v>133.469</c:v>
                </c:pt>
                <c:pt idx="600">
                  <c:v>133.635</c:v>
                </c:pt>
                <c:pt idx="601">
                  <c:v>133.807</c:v>
                </c:pt>
                <c:pt idx="602">
                  <c:v>133.98</c:v>
                </c:pt>
                <c:pt idx="603">
                  <c:v>134.15</c:v>
                </c:pt>
                <c:pt idx="604">
                  <c:v>134.316</c:v>
                </c:pt>
                <c:pt idx="605">
                  <c:v>134.483</c:v>
                </c:pt>
                <c:pt idx="606">
                  <c:v>134.653</c:v>
                </c:pt>
                <c:pt idx="607">
                  <c:v>134.825</c:v>
                </c:pt>
                <c:pt idx="608">
                  <c:v>135.0</c:v>
                </c:pt>
                <c:pt idx="609">
                  <c:v>135.177</c:v>
                </c:pt>
                <c:pt idx="610">
                  <c:v>135.354</c:v>
                </c:pt>
                <c:pt idx="611">
                  <c:v>135.529</c:v>
                </c:pt>
                <c:pt idx="612">
                  <c:v>135.701</c:v>
                </c:pt>
                <c:pt idx="613">
                  <c:v>135.877</c:v>
                </c:pt>
                <c:pt idx="614">
                  <c:v>136.049</c:v>
                </c:pt>
                <c:pt idx="615">
                  <c:v>136.223</c:v>
                </c:pt>
                <c:pt idx="616">
                  <c:v>136.4</c:v>
                </c:pt>
                <c:pt idx="617">
                  <c:v>136.577</c:v>
                </c:pt>
                <c:pt idx="618">
                  <c:v>136.751</c:v>
                </c:pt>
                <c:pt idx="619">
                  <c:v>136.922</c:v>
                </c:pt>
                <c:pt idx="620">
                  <c:v>137.097</c:v>
                </c:pt>
                <c:pt idx="621">
                  <c:v>137.274</c:v>
                </c:pt>
                <c:pt idx="622">
                  <c:v>137.448</c:v>
                </c:pt>
                <c:pt idx="623">
                  <c:v>137.622</c:v>
                </c:pt>
                <c:pt idx="624">
                  <c:v>137.783</c:v>
                </c:pt>
                <c:pt idx="625">
                  <c:v>137.946</c:v>
                </c:pt>
                <c:pt idx="626">
                  <c:v>138.119</c:v>
                </c:pt>
                <c:pt idx="627">
                  <c:v>138.29</c:v>
                </c:pt>
                <c:pt idx="628">
                  <c:v>138.46</c:v>
                </c:pt>
                <c:pt idx="629">
                  <c:v>138.626</c:v>
                </c:pt>
                <c:pt idx="630">
                  <c:v>138.793</c:v>
                </c:pt>
                <c:pt idx="631">
                  <c:v>138.963</c:v>
                </c:pt>
                <c:pt idx="632">
                  <c:v>139.133</c:v>
                </c:pt>
                <c:pt idx="633">
                  <c:v>139.307</c:v>
                </c:pt>
                <c:pt idx="634">
                  <c:v>139.481</c:v>
                </c:pt>
                <c:pt idx="635">
                  <c:v>139.653</c:v>
                </c:pt>
                <c:pt idx="636">
                  <c:v>139.829</c:v>
                </c:pt>
                <c:pt idx="637">
                  <c:v>140.004</c:v>
                </c:pt>
                <c:pt idx="638">
                  <c:v>140.174</c:v>
                </c:pt>
                <c:pt idx="639">
                  <c:v>140.34</c:v>
                </c:pt>
                <c:pt idx="640">
                  <c:v>140.511</c:v>
                </c:pt>
                <c:pt idx="641">
                  <c:v>140.687</c:v>
                </c:pt>
                <c:pt idx="642">
                  <c:v>140.859</c:v>
                </c:pt>
                <c:pt idx="643">
                  <c:v>141.03</c:v>
                </c:pt>
                <c:pt idx="644">
                  <c:v>141.206</c:v>
                </c:pt>
                <c:pt idx="645">
                  <c:v>141.386</c:v>
                </c:pt>
                <c:pt idx="646">
                  <c:v>141.561</c:v>
                </c:pt>
                <c:pt idx="647">
                  <c:v>141.726</c:v>
                </c:pt>
                <c:pt idx="648">
                  <c:v>141.879</c:v>
                </c:pt>
                <c:pt idx="649">
                  <c:v>142.044</c:v>
                </c:pt>
                <c:pt idx="650">
                  <c:v>142.217</c:v>
                </c:pt>
                <c:pt idx="651">
                  <c:v>142.376</c:v>
                </c:pt>
                <c:pt idx="652">
                  <c:v>142.533</c:v>
                </c:pt>
                <c:pt idx="653">
                  <c:v>142.699</c:v>
                </c:pt>
                <c:pt idx="654">
                  <c:v>142.871</c:v>
                </c:pt>
                <c:pt idx="655">
                  <c:v>143.046</c:v>
                </c:pt>
                <c:pt idx="656">
                  <c:v>143.221</c:v>
                </c:pt>
                <c:pt idx="657">
                  <c:v>143.398</c:v>
                </c:pt>
                <c:pt idx="658">
                  <c:v>143.577</c:v>
                </c:pt>
                <c:pt idx="659">
                  <c:v>143.754</c:v>
                </c:pt>
                <c:pt idx="660">
                  <c:v>143.93</c:v>
                </c:pt>
                <c:pt idx="661">
                  <c:v>144.104</c:v>
                </c:pt>
                <c:pt idx="662">
                  <c:v>144.28</c:v>
                </c:pt>
                <c:pt idx="663">
                  <c:v>144.456</c:v>
                </c:pt>
                <c:pt idx="664">
                  <c:v>144.628</c:v>
                </c:pt>
                <c:pt idx="665">
                  <c:v>144.787</c:v>
                </c:pt>
                <c:pt idx="666">
                  <c:v>144.946</c:v>
                </c:pt>
                <c:pt idx="667">
                  <c:v>145.112</c:v>
                </c:pt>
                <c:pt idx="668">
                  <c:v>145.278</c:v>
                </c:pt>
                <c:pt idx="669">
                  <c:v>145.447</c:v>
                </c:pt>
                <c:pt idx="670">
                  <c:v>145.618</c:v>
                </c:pt>
                <c:pt idx="671">
                  <c:v>145.779</c:v>
                </c:pt>
                <c:pt idx="672">
                  <c:v>145.945</c:v>
                </c:pt>
                <c:pt idx="673">
                  <c:v>146.117</c:v>
                </c:pt>
                <c:pt idx="674">
                  <c:v>146.289</c:v>
                </c:pt>
                <c:pt idx="675">
                  <c:v>146.465</c:v>
                </c:pt>
                <c:pt idx="676">
                  <c:v>146.639</c:v>
                </c:pt>
                <c:pt idx="677">
                  <c:v>146.809</c:v>
                </c:pt>
                <c:pt idx="678">
                  <c:v>146.971</c:v>
                </c:pt>
                <c:pt idx="679">
                  <c:v>147.138</c:v>
                </c:pt>
                <c:pt idx="680">
                  <c:v>147.309</c:v>
                </c:pt>
                <c:pt idx="681">
                  <c:v>147.483</c:v>
                </c:pt>
                <c:pt idx="682">
                  <c:v>147.655</c:v>
                </c:pt>
                <c:pt idx="683">
                  <c:v>147.83</c:v>
                </c:pt>
                <c:pt idx="684">
                  <c:v>148.007</c:v>
                </c:pt>
                <c:pt idx="685">
                  <c:v>148.188</c:v>
                </c:pt>
                <c:pt idx="686">
                  <c:v>148.367</c:v>
                </c:pt>
                <c:pt idx="687">
                  <c:v>148.544</c:v>
                </c:pt>
                <c:pt idx="688">
                  <c:v>148.723</c:v>
                </c:pt>
                <c:pt idx="689">
                  <c:v>148.898</c:v>
                </c:pt>
                <c:pt idx="690">
                  <c:v>149.063</c:v>
                </c:pt>
                <c:pt idx="691">
                  <c:v>149.227</c:v>
                </c:pt>
                <c:pt idx="692">
                  <c:v>149.388</c:v>
                </c:pt>
                <c:pt idx="693">
                  <c:v>149.557</c:v>
                </c:pt>
                <c:pt idx="694">
                  <c:v>149.725</c:v>
                </c:pt>
                <c:pt idx="695">
                  <c:v>149.895</c:v>
                </c:pt>
                <c:pt idx="696">
                  <c:v>150.069</c:v>
                </c:pt>
                <c:pt idx="697">
                  <c:v>150.24</c:v>
                </c:pt>
                <c:pt idx="698">
                  <c:v>150.411</c:v>
                </c:pt>
                <c:pt idx="699">
                  <c:v>150.575</c:v>
                </c:pt>
                <c:pt idx="700">
                  <c:v>150.746</c:v>
                </c:pt>
                <c:pt idx="701">
                  <c:v>150.921</c:v>
                </c:pt>
                <c:pt idx="702">
                  <c:v>151.095</c:v>
                </c:pt>
                <c:pt idx="703">
                  <c:v>151.271</c:v>
                </c:pt>
                <c:pt idx="704">
                  <c:v>151.447</c:v>
                </c:pt>
                <c:pt idx="705">
                  <c:v>151.623</c:v>
                </c:pt>
                <c:pt idx="706">
                  <c:v>151.799</c:v>
                </c:pt>
                <c:pt idx="707">
                  <c:v>151.967</c:v>
                </c:pt>
                <c:pt idx="708">
                  <c:v>152.131</c:v>
                </c:pt>
                <c:pt idx="709">
                  <c:v>152.297</c:v>
                </c:pt>
                <c:pt idx="710">
                  <c:v>152.467</c:v>
                </c:pt>
                <c:pt idx="711">
                  <c:v>152.637</c:v>
                </c:pt>
                <c:pt idx="712">
                  <c:v>152.79</c:v>
                </c:pt>
                <c:pt idx="713">
                  <c:v>152.934</c:v>
                </c:pt>
                <c:pt idx="714">
                  <c:v>153.073</c:v>
                </c:pt>
                <c:pt idx="715">
                  <c:v>153.219</c:v>
                </c:pt>
                <c:pt idx="716">
                  <c:v>153.367</c:v>
                </c:pt>
                <c:pt idx="717">
                  <c:v>153.53</c:v>
                </c:pt>
                <c:pt idx="718">
                  <c:v>153.701</c:v>
                </c:pt>
                <c:pt idx="719">
                  <c:v>153.873</c:v>
                </c:pt>
                <c:pt idx="720">
                  <c:v>154.05</c:v>
                </c:pt>
                <c:pt idx="721">
                  <c:v>154.227</c:v>
                </c:pt>
                <c:pt idx="722">
                  <c:v>154.396</c:v>
                </c:pt>
                <c:pt idx="723">
                  <c:v>154.564</c:v>
                </c:pt>
                <c:pt idx="724">
                  <c:v>154.733</c:v>
                </c:pt>
                <c:pt idx="725">
                  <c:v>154.904</c:v>
                </c:pt>
                <c:pt idx="726">
                  <c:v>155.074</c:v>
                </c:pt>
                <c:pt idx="727">
                  <c:v>155.246</c:v>
                </c:pt>
                <c:pt idx="728">
                  <c:v>155.42</c:v>
                </c:pt>
                <c:pt idx="729">
                  <c:v>155.592</c:v>
                </c:pt>
                <c:pt idx="730">
                  <c:v>155.764</c:v>
                </c:pt>
                <c:pt idx="731">
                  <c:v>155.936</c:v>
                </c:pt>
                <c:pt idx="732">
                  <c:v>156.11</c:v>
                </c:pt>
                <c:pt idx="733">
                  <c:v>156.28</c:v>
                </c:pt>
                <c:pt idx="734">
                  <c:v>156.453</c:v>
                </c:pt>
                <c:pt idx="735">
                  <c:v>156.624</c:v>
                </c:pt>
                <c:pt idx="736">
                  <c:v>156.797</c:v>
                </c:pt>
                <c:pt idx="737">
                  <c:v>156.977</c:v>
                </c:pt>
                <c:pt idx="738">
                  <c:v>157.151</c:v>
                </c:pt>
                <c:pt idx="739">
                  <c:v>157.313</c:v>
                </c:pt>
                <c:pt idx="740">
                  <c:v>157.477</c:v>
                </c:pt>
                <c:pt idx="741">
                  <c:v>157.647</c:v>
                </c:pt>
                <c:pt idx="742">
                  <c:v>157.822</c:v>
                </c:pt>
                <c:pt idx="743">
                  <c:v>157.995</c:v>
                </c:pt>
                <c:pt idx="744">
                  <c:v>158.168</c:v>
                </c:pt>
                <c:pt idx="745">
                  <c:v>158.342</c:v>
                </c:pt>
                <c:pt idx="746">
                  <c:v>158.509</c:v>
                </c:pt>
                <c:pt idx="747">
                  <c:v>158.675</c:v>
                </c:pt>
                <c:pt idx="748">
                  <c:v>158.836</c:v>
                </c:pt>
                <c:pt idx="749">
                  <c:v>158.998</c:v>
                </c:pt>
                <c:pt idx="750">
                  <c:v>159.167</c:v>
                </c:pt>
                <c:pt idx="751">
                  <c:v>159.34</c:v>
                </c:pt>
                <c:pt idx="752">
                  <c:v>159.511</c:v>
                </c:pt>
                <c:pt idx="753">
                  <c:v>159.68</c:v>
                </c:pt>
                <c:pt idx="754">
                  <c:v>159.856</c:v>
                </c:pt>
                <c:pt idx="755">
                  <c:v>160.036</c:v>
                </c:pt>
                <c:pt idx="756">
                  <c:v>160.217</c:v>
                </c:pt>
                <c:pt idx="757">
                  <c:v>160.396</c:v>
                </c:pt>
                <c:pt idx="758">
                  <c:v>160.572</c:v>
                </c:pt>
                <c:pt idx="759">
                  <c:v>160.748</c:v>
                </c:pt>
                <c:pt idx="760">
                  <c:v>160.928</c:v>
                </c:pt>
                <c:pt idx="761">
                  <c:v>161.105</c:v>
                </c:pt>
                <c:pt idx="762">
                  <c:v>161.277</c:v>
                </c:pt>
                <c:pt idx="763">
                  <c:v>161.448</c:v>
                </c:pt>
                <c:pt idx="764">
                  <c:v>161.625</c:v>
                </c:pt>
                <c:pt idx="765">
                  <c:v>161.795</c:v>
                </c:pt>
                <c:pt idx="766">
                  <c:v>161.955</c:v>
                </c:pt>
                <c:pt idx="767">
                  <c:v>162.122</c:v>
                </c:pt>
                <c:pt idx="768">
                  <c:v>162.298</c:v>
                </c:pt>
                <c:pt idx="769">
                  <c:v>162.478</c:v>
                </c:pt>
                <c:pt idx="770">
                  <c:v>162.654</c:v>
                </c:pt>
                <c:pt idx="771">
                  <c:v>162.829</c:v>
                </c:pt>
                <c:pt idx="772">
                  <c:v>162.998</c:v>
                </c:pt>
                <c:pt idx="773">
                  <c:v>163.167</c:v>
                </c:pt>
                <c:pt idx="774">
                  <c:v>163.338</c:v>
                </c:pt>
                <c:pt idx="775">
                  <c:v>163.509</c:v>
                </c:pt>
                <c:pt idx="776">
                  <c:v>163.68</c:v>
                </c:pt>
                <c:pt idx="777">
                  <c:v>163.845</c:v>
                </c:pt>
                <c:pt idx="778">
                  <c:v>164.01</c:v>
                </c:pt>
                <c:pt idx="779">
                  <c:v>164.174</c:v>
                </c:pt>
                <c:pt idx="780">
                  <c:v>164.332</c:v>
                </c:pt>
                <c:pt idx="781">
                  <c:v>164.498</c:v>
                </c:pt>
                <c:pt idx="782">
                  <c:v>164.673</c:v>
                </c:pt>
                <c:pt idx="783">
                  <c:v>164.852</c:v>
                </c:pt>
                <c:pt idx="784">
                  <c:v>165.033</c:v>
                </c:pt>
                <c:pt idx="785">
                  <c:v>165.202</c:v>
                </c:pt>
                <c:pt idx="786">
                  <c:v>165.35</c:v>
                </c:pt>
                <c:pt idx="787">
                  <c:v>165.495</c:v>
                </c:pt>
                <c:pt idx="788">
                  <c:v>165.644</c:v>
                </c:pt>
                <c:pt idx="789">
                  <c:v>165.81</c:v>
                </c:pt>
                <c:pt idx="790">
                  <c:v>165.985</c:v>
                </c:pt>
                <c:pt idx="791">
                  <c:v>166.164</c:v>
                </c:pt>
                <c:pt idx="792">
                  <c:v>166.348</c:v>
                </c:pt>
                <c:pt idx="793">
                  <c:v>166.528</c:v>
                </c:pt>
                <c:pt idx="794">
                  <c:v>166.705</c:v>
                </c:pt>
                <c:pt idx="795">
                  <c:v>166.88</c:v>
                </c:pt>
                <c:pt idx="796">
                  <c:v>167.058</c:v>
                </c:pt>
                <c:pt idx="797">
                  <c:v>167.237</c:v>
                </c:pt>
                <c:pt idx="798">
                  <c:v>167.405</c:v>
                </c:pt>
                <c:pt idx="799">
                  <c:v>167.562</c:v>
                </c:pt>
                <c:pt idx="800">
                  <c:v>167.725</c:v>
                </c:pt>
                <c:pt idx="801">
                  <c:v>167.897</c:v>
                </c:pt>
                <c:pt idx="802">
                  <c:v>168.069</c:v>
                </c:pt>
                <c:pt idx="803">
                  <c:v>168.245</c:v>
                </c:pt>
                <c:pt idx="804">
                  <c:v>168.421</c:v>
                </c:pt>
                <c:pt idx="805">
                  <c:v>168.597</c:v>
                </c:pt>
                <c:pt idx="806">
                  <c:v>168.76</c:v>
                </c:pt>
                <c:pt idx="807">
                  <c:v>168.926</c:v>
                </c:pt>
                <c:pt idx="808">
                  <c:v>169.101</c:v>
                </c:pt>
                <c:pt idx="809">
                  <c:v>169.276</c:v>
                </c:pt>
                <c:pt idx="810">
                  <c:v>169.443</c:v>
                </c:pt>
                <c:pt idx="811">
                  <c:v>169.607</c:v>
                </c:pt>
                <c:pt idx="812">
                  <c:v>169.768</c:v>
                </c:pt>
                <c:pt idx="813">
                  <c:v>169.935</c:v>
                </c:pt>
                <c:pt idx="814">
                  <c:v>170.104</c:v>
                </c:pt>
                <c:pt idx="815">
                  <c:v>170.272</c:v>
                </c:pt>
                <c:pt idx="816">
                  <c:v>170.442</c:v>
                </c:pt>
                <c:pt idx="817">
                  <c:v>170.614</c:v>
                </c:pt>
                <c:pt idx="818">
                  <c:v>170.785</c:v>
                </c:pt>
                <c:pt idx="819">
                  <c:v>170.958</c:v>
                </c:pt>
                <c:pt idx="820">
                  <c:v>171.139</c:v>
                </c:pt>
                <c:pt idx="821">
                  <c:v>171.317</c:v>
                </c:pt>
                <c:pt idx="822">
                  <c:v>171.489</c:v>
                </c:pt>
                <c:pt idx="823">
                  <c:v>171.667</c:v>
                </c:pt>
                <c:pt idx="824">
                  <c:v>171.841</c:v>
                </c:pt>
                <c:pt idx="825">
                  <c:v>172.015</c:v>
                </c:pt>
                <c:pt idx="826">
                  <c:v>172.195</c:v>
                </c:pt>
                <c:pt idx="827">
                  <c:v>172.373</c:v>
                </c:pt>
                <c:pt idx="828">
                  <c:v>172.548</c:v>
                </c:pt>
                <c:pt idx="829">
                  <c:v>172.721</c:v>
                </c:pt>
                <c:pt idx="830">
                  <c:v>172.899</c:v>
                </c:pt>
                <c:pt idx="831">
                  <c:v>173.083</c:v>
                </c:pt>
                <c:pt idx="832">
                  <c:v>173.264</c:v>
                </c:pt>
                <c:pt idx="833">
                  <c:v>173.435</c:v>
                </c:pt>
                <c:pt idx="834">
                  <c:v>173.61</c:v>
                </c:pt>
                <c:pt idx="835">
                  <c:v>173.784</c:v>
                </c:pt>
                <c:pt idx="836">
                  <c:v>173.959</c:v>
                </c:pt>
                <c:pt idx="837">
                  <c:v>174.134</c:v>
                </c:pt>
                <c:pt idx="838">
                  <c:v>174.298</c:v>
                </c:pt>
                <c:pt idx="839">
                  <c:v>174.462</c:v>
                </c:pt>
                <c:pt idx="840">
                  <c:v>174.632</c:v>
                </c:pt>
                <c:pt idx="841">
                  <c:v>174.807</c:v>
                </c:pt>
                <c:pt idx="842">
                  <c:v>174.988</c:v>
                </c:pt>
                <c:pt idx="843">
                  <c:v>175.171</c:v>
                </c:pt>
                <c:pt idx="844">
                  <c:v>175.355</c:v>
                </c:pt>
                <c:pt idx="845">
                  <c:v>175.54</c:v>
                </c:pt>
                <c:pt idx="846">
                  <c:v>175.726</c:v>
                </c:pt>
                <c:pt idx="847">
                  <c:v>175.908</c:v>
                </c:pt>
                <c:pt idx="848">
                  <c:v>176.091</c:v>
                </c:pt>
                <c:pt idx="849">
                  <c:v>176.27</c:v>
                </c:pt>
                <c:pt idx="850">
                  <c:v>176.448</c:v>
                </c:pt>
                <c:pt idx="851">
                  <c:v>176.612</c:v>
                </c:pt>
                <c:pt idx="852">
                  <c:v>176.774</c:v>
                </c:pt>
                <c:pt idx="853">
                  <c:v>176.948</c:v>
                </c:pt>
                <c:pt idx="854">
                  <c:v>177.128</c:v>
                </c:pt>
                <c:pt idx="855">
                  <c:v>177.305</c:v>
                </c:pt>
                <c:pt idx="856">
                  <c:v>177.479</c:v>
                </c:pt>
                <c:pt idx="857">
                  <c:v>177.651</c:v>
                </c:pt>
                <c:pt idx="858">
                  <c:v>177.823</c:v>
                </c:pt>
                <c:pt idx="859">
                  <c:v>177.995</c:v>
                </c:pt>
                <c:pt idx="860">
                  <c:v>178.172</c:v>
                </c:pt>
                <c:pt idx="861">
                  <c:v>178.348</c:v>
                </c:pt>
                <c:pt idx="862">
                  <c:v>178.523</c:v>
                </c:pt>
                <c:pt idx="863">
                  <c:v>178.691</c:v>
                </c:pt>
                <c:pt idx="864">
                  <c:v>178.858</c:v>
                </c:pt>
                <c:pt idx="865">
                  <c:v>179.025</c:v>
                </c:pt>
                <c:pt idx="866">
                  <c:v>179.193</c:v>
                </c:pt>
                <c:pt idx="867">
                  <c:v>179.359</c:v>
                </c:pt>
                <c:pt idx="868">
                  <c:v>179.525</c:v>
                </c:pt>
                <c:pt idx="869">
                  <c:v>179.694</c:v>
                </c:pt>
                <c:pt idx="870">
                  <c:v>179.866</c:v>
                </c:pt>
                <c:pt idx="871">
                  <c:v>180.039</c:v>
                </c:pt>
                <c:pt idx="872">
                  <c:v>180.219</c:v>
                </c:pt>
                <c:pt idx="873">
                  <c:v>180.406</c:v>
                </c:pt>
                <c:pt idx="874">
                  <c:v>180.592</c:v>
                </c:pt>
                <c:pt idx="875">
                  <c:v>180.778</c:v>
                </c:pt>
                <c:pt idx="876">
                  <c:v>180.963</c:v>
                </c:pt>
                <c:pt idx="877">
                  <c:v>181.143</c:v>
                </c:pt>
                <c:pt idx="878">
                  <c:v>181.326</c:v>
                </c:pt>
                <c:pt idx="879">
                  <c:v>181.509</c:v>
                </c:pt>
                <c:pt idx="880">
                  <c:v>181.692</c:v>
                </c:pt>
                <c:pt idx="881">
                  <c:v>181.868</c:v>
                </c:pt>
                <c:pt idx="882">
                  <c:v>182.041</c:v>
                </c:pt>
                <c:pt idx="883">
                  <c:v>182.214</c:v>
                </c:pt>
                <c:pt idx="884">
                  <c:v>182.388</c:v>
                </c:pt>
                <c:pt idx="885">
                  <c:v>182.56</c:v>
                </c:pt>
                <c:pt idx="886">
                  <c:v>182.733</c:v>
                </c:pt>
                <c:pt idx="887">
                  <c:v>182.901</c:v>
                </c:pt>
                <c:pt idx="888">
                  <c:v>183.071</c:v>
                </c:pt>
                <c:pt idx="889">
                  <c:v>183.238</c:v>
                </c:pt>
                <c:pt idx="890">
                  <c:v>183.403</c:v>
                </c:pt>
                <c:pt idx="891">
                  <c:v>183.565</c:v>
                </c:pt>
                <c:pt idx="892">
                  <c:v>183.73</c:v>
                </c:pt>
                <c:pt idx="893">
                  <c:v>183.902</c:v>
                </c:pt>
                <c:pt idx="894">
                  <c:v>184.074</c:v>
                </c:pt>
                <c:pt idx="895">
                  <c:v>184.251</c:v>
                </c:pt>
                <c:pt idx="896">
                  <c:v>184.428</c:v>
                </c:pt>
                <c:pt idx="897">
                  <c:v>184.606</c:v>
                </c:pt>
                <c:pt idx="898">
                  <c:v>184.771</c:v>
                </c:pt>
                <c:pt idx="899">
                  <c:v>184.938</c:v>
                </c:pt>
                <c:pt idx="900">
                  <c:v>185.116</c:v>
                </c:pt>
                <c:pt idx="901">
                  <c:v>185.296</c:v>
                </c:pt>
                <c:pt idx="902">
                  <c:v>185.471</c:v>
                </c:pt>
                <c:pt idx="903">
                  <c:v>185.642</c:v>
                </c:pt>
                <c:pt idx="904">
                  <c:v>185.817</c:v>
                </c:pt>
                <c:pt idx="905">
                  <c:v>185.993</c:v>
                </c:pt>
                <c:pt idx="906">
                  <c:v>186.172</c:v>
                </c:pt>
                <c:pt idx="907">
                  <c:v>186.345</c:v>
                </c:pt>
                <c:pt idx="908">
                  <c:v>186.517</c:v>
                </c:pt>
                <c:pt idx="909">
                  <c:v>186.693</c:v>
                </c:pt>
                <c:pt idx="910">
                  <c:v>186.867</c:v>
                </c:pt>
                <c:pt idx="911">
                  <c:v>187.039</c:v>
                </c:pt>
                <c:pt idx="912">
                  <c:v>187.209</c:v>
                </c:pt>
                <c:pt idx="913">
                  <c:v>187.379</c:v>
                </c:pt>
                <c:pt idx="914">
                  <c:v>187.549</c:v>
                </c:pt>
                <c:pt idx="915">
                  <c:v>187.715</c:v>
                </c:pt>
                <c:pt idx="916">
                  <c:v>187.878</c:v>
                </c:pt>
                <c:pt idx="917">
                  <c:v>188.052</c:v>
                </c:pt>
                <c:pt idx="918">
                  <c:v>188.23</c:v>
                </c:pt>
                <c:pt idx="919">
                  <c:v>188.401</c:v>
                </c:pt>
                <c:pt idx="920">
                  <c:v>188.573</c:v>
                </c:pt>
                <c:pt idx="921">
                  <c:v>188.752</c:v>
                </c:pt>
                <c:pt idx="922">
                  <c:v>188.931</c:v>
                </c:pt>
                <c:pt idx="923">
                  <c:v>189.113</c:v>
                </c:pt>
                <c:pt idx="924">
                  <c:v>189.296</c:v>
                </c:pt>
                <c:pt idx="925">
                  <c:v>189.472</c:v>
                </c:pt>
                <c:pt idx="926">
                  <c:v>189.648</c:v>
                </c:pt>
                <c:pt idx="927">
                  <c:v>189.815</c:v>
                </c:pt>
                <c:pt idx="928">
                  <c:v>189.983</c:v>
                </c:pt>
                <c:pt idx="929">
                  <c:v>190.157</c:v>
                </c:pt>
                <c:pt idx="930">
                  <c:v>190.332</c:v>
                </c:pt>
                <c:pt idx="931">
                  <c:v>190.512</c:v>
                </c:pt>
                <c:pt idx="932">
                  <c:v>190.696</c:v>
                </c:pt>
                <c:pt idx="933">
                  <c:v>190.878</c:v>
                </c:pt>
                <c:pt idx="934">
                  <c:v>191.061</c:v>
                </c:pt>
                <c:pt idx="935">
                  <c:v>191.241</c:v>
                </c:pt>
                <c:pt idx="936">
                  <c:v>191.417</c:v>
                </c:pt>
                <c:pt idx="937">
                  <c:v>191.591</c:v>
                </c:pt>
                <c:pt idx="938">
                  <c:v>191.763</c:v>
                </c:pt>
                <c:pt idx="939">
                  <c:v>191.936</c:v>
                </c:pt>
                <c:pt idx="940">
                  <c:v>192.111</c:v>
                </c:pt>
                <c:pt idx="941">
                  <c:v>192.286</c:v>
                </c:pt>
                <c:pt idx="942">
                  <c:v>192.46</c:v>
                </c:pt>
                <c:pt idx="943">
                  <c:v>192.628</c:v>
                </c:pt>
                <c:pt idx="944">
                  <c:v>192.8</c:v>
                </c:pt>
                <c:pt idx="945">
                  <c:v>192.979</c:v>
                </c:pt>
                <c:pt idx="946">
                  <c:v>193.159</c:v>
                </c:pt>
                <c:pt idx="947">
                  <c:v>193.339</c:v>
                </c:pt>
                <c:pt idx="948">
                  <c:v>193.519</c:v>
                </c:pt>
                <c:pt idx="949">
                  <c:v>193.699</c:v>
                </c:pt>
                <c:pt idx="950">
                  <c:v>193.879</c:v>
                </c:pt>
                <c:pt idx="951">
                  <c:v>194.056</c:v>
                </c:pt>
                <c:pt idx="952">
                  <c:v>194.231</c:v>
                </c:pt>
                <c:pt idx="953">
                  <c:v>194.391</c:v>
                </c:pt>
                <c:pt idx="954">
                  <c:v>194.553</c:v>
                </c:pt>
                <c:pt idx="955">
                  <c:v>194.723</c:v>
                </c:pt>
                <c:pt idx="956">
                  <c:v>194.893</c:v>
                </c:pt>
                <c:pt idx="957">
                  <c:v>195.061</c:v>
                </c:pt>
                <c:pt idx="958">
                  <c:v>195.225</c:v>
                </c:pt>
                <c:pt idx="959">
                  <c:v>195.394</c:v>
                </c:pt>
                <c:pt idx="960">
                  <c:v>195.567</c:v>
                </c:pt>
                <c:pt idx="961">
                  <c:v>195.74</c:v>
                </c:pt>
                <c:pt idx="962">
                  <c:v>195.902</c:v>
                </c:pt>
                <c:pt idx="963">
                  <c:v>196.062</c:v>
                </c:pt>
                <c:pt idx="964">
                  <c:v>196.227</c:v>
                </c:pt>
                <c:pt idx="965">
                  <c:v>196.398</c:v>
                </c:pt>
                <c:pt idx="966">
                  <c:v>196.574</c:v>
                </c:pt>
                <c:pt idx="967">
                  <c:v>196.748</c:v>
                </c:pt>
                <c:pt idx="968">
                  <c:v>196.918</c:v>
                </c:pt>
                <c:pt idx="969">
                  <c:v>197.09</c:v>
                </c:pt>
                <c:pt idx="970">
                  <c:v>197.267</c:v>
                </c:pt>
                <c:pt idx="971">
                  <c:v>197.445</c:v>
                </c:pt>
                <c:pt idx="972">
                  <c:v>197.619</c:v>
                </c:pt>
                <c:pt idx="973">
                  <c:v>197.792</c:v>
                </c:pt>
                <c:pt idx="974">
                  <c:v>197.95</c:v>
                </c:pt>
                <c:pt idx="975">
                  <c:v>198.105</c:v>
                </c:pt>
                <c:pt idx="976">
                  <c:v>198.266</c:v>
                </c:pt>
                <c:pt idx="977">
                  <c:v>198.431</c:v>
                </c:pt>
                <c:pt idx="978">
                  <c:v>198.598</c:v>
                </c:pt>
                <c:pt idx="979">
                  <c:v>198.764</c:v>
                </c:pt>
                <c:pt idx="980">
                  <c:v>198.926</c:v>
                </c:pt>
                <c:pt idx="981">
                  <c:v>199.089</c:v>
                </c:pt>
                <c:pt idx="982">
                  <c:v>199.257</c:v>
                </c:pt>
                <c:pt idx="983">
                  <c:v>199.426</c:v>
                </c:pt>
                <c:pt idx="984">
                  <c:v>199.591</c:v>
                </c:pt>
                <c:pt idx="985">
                  <c:v>199.752</c:v>
                </c:pt>
                <c:pt idx="986">
                  <c:v>199.913</c:v>
                </c:pt>
                <c:pt idx="987">
                  <c:v>200.078</c:v>
                </c:pt>
                <c:pt idx="988">
                  <c:v>200.243</c:v>
                </c:pt>
                <c:pt idx="989">
                  <c:v>200.412</c:v>
                </c:pt>
                <c:pt idx="990">
                  <c:v>200.581</c:v>
                </c:pt>
                <c:pt idx="991">
                  <c:v>200.744</c:v>
                </c:pt>
                <c:pt idx="992">
                  <c:v>200.906</c:v>
                </c:pt>
                <c:pt idx="993">
                  <c:v>201.073</c:v>
                </c:pt>
                <c:pt idx="994">
                  <c:v>201.243</c:v>
                </c:pt>
                <c:pt idx="995">
                  <c:v>201.411</c:v>
                </c:pt>
                <c:pt idx="996">
                  <c:v>201.582</c:v>
                </c:pt>
                <c:pt idx="997">
                  <c:v>201.754</c:v>
                </c:pt>
                <c:pt idx="998">
                  <c:v>201.926</c:v>
                </c:pt>
                <c:pt idx="999">
                  <c:v>202.084</c:v>
                </c:pt>
                <c:pt idx="1000">
                  <c:v>202.248</c:v>
                </c:pt>
                <c:pt idx="1001">
                  <c:v>202.412</c:v>
                </c:pt>
                <c:pt idx="1002">
                  <c:v>202.584</c:v>
                </c:pt>
                <c:pt idx="1003">
                  <c:v>202.762</c:v>
                </c:pt>
                <c:pt idx="1004">
                  <c:v>202.937</c:v>
                </c:pt>
                <c:pt idx="1005">
                  <c:v>203.106</c:v>
                </c:pt>
                <c:pt idx="1006">
                  <c:v>203.271</c:v>
                </c:pt>
                <c:pt idx="1007">
                  <c:v>203.428</c:v>
                </c:pt>
                <c:pt idx="1008">
                  <c:v>203.586</c:v>
                </c:pt>
                <c:pt idx="1009">
                  <c:v>203.746</c:v>
                </c:pt>
                <c:pt idx="1010">
                  <c:v>203.907</c:v>
                </c:pt>
                <c:pt idx="1011">
                  <c:v>204.073</c:v>
                </c:pt>
                <c:pt idx="1012">
                  <c:v>204.237</c:v>
                </c:pt>
                <c:pt idx="1013">
                  <c:v>204.394</c:v>
                </c:pt>
                <c:pt idx="1014">
                  <c:v>204.556</c:v>
                </c:pt>
                <c:pt idx="1015">
                  <c:v>204.714</c:v>
                </c:pt>
                <c:pt idx="1016">
                  <c:v>204.87</c:v>
                </c:pt>
                <c:pt idx="1017">
                  <c:v>205.036</c:v>
                </c:pt>
                <c:pt idx="1018">
                  <c:v>205.206</c:v>
                </c:pt>
                <c:pt idx="1019">
                  <c:v>205.376</c:v>
                </c:pt>
                <c:pt idx="1020">
                  <c:v>205.544</c:v>
                </c:pt>
                <c:pt idx="1021">
                  <c:v>205.713</c:v>
                </c:pt>
                <c:pt idx="1022">
                  <c:v>205.883</c:v>
                </c:pt>
                <c:pt idx="1023">
                  <c:v>206.056</c:v>
                </c:pt>
                <c:pt idx="1024">
                  <c:v>206.228</c:v>
                </c:pt>
                <c:pt idx="1025">
                  <c:v>206.394</c:v>
                </c:pt>
                <c:pt idx="1026">
                  <c:v>206.55</c:v>
                </c:pt>
                <c:pt idx="1027">
                  <c:v>206.715</c:v>
                </c:pt>
                <c:pt idx="1028">
                  <c:v>206.884</c:v>
                </c:pt>
                <c:pt idx="1029">
                  <c:v>207.049</c:v>
                </c:pt>
                <c:pt idx="1030">
                  <c:v>207.211</c:v>
                </c:pt>
                <c:pt idx="1031">
                  <c:v>207.379</c:v>
                </c:pt>
                <c:pt idx="1032">
                  <c:v>207.553</c:v>
                </c:pt>
                <c:pt idx="1033">
                  <c:v>207.729</c:v>
                </c:pt>
                <c:pt idx="1034">
                  <c:v>207.902</c:v>
                </c:pt>
                <c:pt idx="1035">
                  <c:v>208.075</c:v>
                </c:pt>
                <c:pt idx="1036">
                  <c:v>208.245</c:v>
                </c:pt>
                <c:pt idx="1037">
                  <c:v>208.417</c:v>
                </c:pt>
                <c:pt idx="1038">
                  <c:v>208.591</c:v>
                </c:pt>
                <c:pt idx="1039">
                  <c:v>208.759</c:v>
                </c:pt>
                <c:pt idx="1040">
                  <c:v>208.924</c:v>
                </c:pt>
                <c:pt idx="1041">
                  <c:v>209.091</c:v>
                </c:pt>
                <c:pt idx="1042">
                  <c:v>209.258</c:v>
                </c:pt>
                <c:pt idx="1043">
                  <c:v>209.422</c:v>
                </c:pt>
                <c:pt idx="1044">
                  <c:v>209.585</c:v>
                </c:pt>
                <c:pt idx="1045">
                  <c:v>209.752</c:v>
                </c:pt>
                <c:pt idx="1046">
                  <c:v>209.923</c:v>
                </c:pt>
                <c:pt idx="1047">
                  <c:v>210.092</c:v>
                </c:pt>
                <c:pt idx="1048">
                  <c:v>210.265</c:v>
                </c:pt>
                <c:pt idx="1049">
                  <c:v>210.436</c:v>
                </c:pt>
                <c:pt idx="1050">
                  <c:v>210.607</c:v>
                </c:pt>
                <c:pt idx="1051">
                  <c:v>210.781</c:v>
                </c:pt>
                <c:pt idx="1052">
                  <c:v>210.955</c:v>
                </c:pt>
                <c:pt idx="1053">
                  <c:v>211.13</c:v>
                </c:pt>
                <c:pt idx="1054">
                  <c:v>211.3</c:v>
                </c:pt>
                <c:pt idx="1055">
                  <c:v>211.47</c:v>
                </c:pt>
                <c:pt idx="1056">
                  <c:v>211.627</c:v>
                </c:pt>
                <c:pt idx="1057">
                  <c:v>211.777</c:v>
                </c:pt>
                <c:pt idx="1058">
                  <c:v>211.936</c:v>
                </c:pt>
                <c:pt idx="1059">
                  <c:v>212.103</c:v>
                </c:pt>
                <c:pt idx="1060">
                  <c:v>212.273</c:v>
                </c:pt>
                <c:pt idx="1061">
                  <c:v>212.442</c:v>
                </c:pt>
                <c:pt idx="1062">
                  <c:v>212.613</c:v>
                </c:pt>
                <c:pt idx="1063">
                  <c:v>212.786</c:v>
                </c:pt>
                <c:pt idx="1064">
                  <c:v>212.954</c:v>
                </c:pt>
                <c:pt idx="1065">
                  <c:v>213.118</c:v>
                </c:pt>
                <c:pt idx="1066">
                  <c:v>213.281</c:v>
                </c:pt>
                <c:pt idx="1067">
                  <c:v>213.447</c:v>
                </c:pt>
                <c:pt idx="1068">
                  <c:v>213.613</c:v>
                </c:pt>
                <c:pt idx="1069">
                  <c:v>213.779</c:v>
                </c:pt>
                <c:pt idx="1070">
                  <c:v>213.943</c:v>
                </c:pt>
                <c:pt idx="1071">
                  <c:v>214.109</c:v>
                </c:pt>
                <c:pt idx="1072">
                  <c:v>214.278</c:v>
                </c:pt>
                <c:pt idx="1073">
                  <c:v>214.455</c:v>
                </c:pt>
                <c:pt idx="1074">
                  <c:v>214.63</c:v>
                </c:pt>
                <c:pt idx="1075">
                  <c:v>214.803</c:v>
                </c:pt>
                <c:pt idx="1076">
                  <c:v>214.975</c:v>
                </c:pt>
                <c:pt idx="1077">
                  <c:v>215.144</c:v>
                </c:pt>
                <c:pt idx="1078">
                  <c:v>215.31</c:v>
                </c:pt>
                <c:pt idx="1079">
                  <c:v>215.468</c:v>
                </c:pt>
                <c:pt idx="1080">
                  <c:v>215.623</c:v>
                </c:pt>
                <c:pt idx="1081">
                  <c:v>215.782</c:v>
                </c:pt>
                <c:pt idx="1082">
                  <c:v>215.949</c:v>
                </c:pt>
                <c:pt idx="1083">
                  <c:v>216.117</c:v>
                </c:pt>
                <c:pt idx="1084">
                  <c:v>216.284</c:v>
                </c:pt>
                <c:pt idx="1085">
                  <c:v>216.444</c:v>
                </c:pt>
                <c:pt idx="1086">
                  <c:v>216.607</c:v>
                </c:pt>
                <c:pt idx="1087">
                  <c:v>216.77</c:v>
                </c:pt>
                <c:pt idx="1088">
                  <c:v>216.933</c:v>
                </c:pt>
                <c:pt idx="1089">
                  <c:v>217.097</c:v>
                </c:pt>
                <c:pt idx="1090">
                  <c:v>217.261</c:v>
                </c:pt>
                <c:pt idx="1091">
                  <c:v>217.424</c:v>
                </c:pt>
                <c:pt idx="1092">
                  <c:v>217.587</c:v>
                </c:pt>
                <c:pt idx="1093">
                  <c:v>217.755</c:v>
                </c:pt>
                <c:pt idx="1094">
                  <c:v>217.92</c:v>
                </c:pt>
                <c:pt idx="1095">
                  <c:v>218.085</c:v>
                </c:pt>
                <c:pt idx="1096">
                  <c:v>218.253</c:v>
                </c:pt>
                <c:pt idx="1097">
                  <c:v>218.424</c:v>
                </c:pt>
                <c:pt idx="1098">
                  <c:v>218.596</c:v>
                </c:pt>
                <c:pt idx="1099">
                  <c:v>218.768</c:v>
                </c:pt>
                <c:pt idx="1100">
                  <c:v>218.937</c:v>
                </c:pt>
                <c:pt idx="1101">
                  <c:v>219.095</c:v>
                </c:pt>
                <c:pt idx="1102">
                  <c:v>219.246</c:v>
                </c:pt>
                <c:pt idx="1103">
                  <c:v>219.398</c:v>
                </c:pt>
                <c:pt idx="1104">
                  <c:v>219.56</c:v>
                </c:pt>
                <c:pt idx="1105">
                  <c:v>219.731</c:v>
                </c:pt>
                <c:pt idx="1106">
                  <c:v>219.898</c:v>
                </c:pt>
                <c:pt idx="1107">
                  <c:v>220.065</c:v>
                </c:pt>
                <c:pt idx="1108">
                  <c:v>220.232</c:v>
                </c:pt>
                <c:pt idx="1109">
                  <c:v>220.399</c:v>
                </c:pt>
                <c:pt idx="1110">
                  <c:v>220.565</c:v>
                </c:pt>
                <c:pt idx="1111">
                  <c:v>220.732</c:v>
                </c:pt>
                <c:pt idx="1112">
                  <c:v>220.894</c:v>
                </c:pt>
                <c:pt idx="1113">
                  <c:v>221.064</c:v>
                </c:pt>
                <c:pt idx="1114">
                  <c:v>221.235</c:v>
                </c:pt>
                <c:pt idx="1115">
                  <c:v>221.403</c:v>
                </c:pt>
                <c:pt idx="1116">
                  <c:v>221.572</c:v>
                </c:pt>
                <c:pt idx="1117">
                  <c:v>221.737</c:v>
                </c:pt>
                <c:pt idx="1118">
                  <c:v>221.901</c:v>
                </c:pt>
                <c:pt idx="1119">
                  <c:v>222.062</c:v>
                </c:pt>
                <c:pt idx="1120">
                  <c:v>222.226</c:v>
                </c:pt>
                <c:pt idx="1121">
                  <c:v>222.392</c:v>
                </c:pt>
                <c:pt idx="1122">
                  <c:v>222.552</c:v>
                </c:pt>
                <c:pt idx="1123">
                  <c:v>222.71</c:v>
                </c:pt>
                <c:pt idx="1124">
                  <c:v>222.872</c:v>
                </c:pt>
                <c:pt idx="1125">
                  <c:v>223.029</c:v>
                </c:pt>
                <c:pt idx="1126">
                  <c:v>223.19</c:v>
                </c:pt>
                <c:pt idx="1127">
                  <c:v>223.353</c:v>
                </c:pt>
                <c:pt idx="1128">
                  <c:v>223.514</c:v>
                </c:pt>
                <c:pt idx="1129">
                  <c:v>223.679</c:v>
                </c:pt>
                <c:pt idx="1130">
                  <c:v>223.85</c:v>
                </c:pt>
                <c:pt idx="1131">
                  <c:v>224.017</c:v>
                </c:pt>
                <c:pt idx="1132">
                  <c:v>224.185</c:v>
                </c:pt>
                <c:pt idx="1133">
                  <c:v>224.353</c:v>
                </c:pt>
                <c:pt idx="1134">
                  <c:v>224.519</c:v>
                </c:pt>
                <c:pt idx="1135">
                  <c:v>224.68</c:v>
                </c:pt>
                <c:pt idx="1136">
                  <c:v>224.85</c:v>
                </c:pt>
                <c:pt idx="1137">
                  <c:v>225.02</c:v>
                </c:pt>
                <c:pt idx="1138">
                  <c:v>225.19</c:v>
                </c:pt>
                <c:pt idx="1139">
                  <c:v>225.362</c:v>
                </c:pt>
                <c:pt idx="1140">
                  <c:v>225.531</c:v>
                </c:pt>
                <c:pt idx="1141">
                  <c:v>225.699</c:v>
                </c:pt>
                <c:pt idx="1142">
                  <c:v>225.857</c:v>
                </c:pt>
                <c:pt idx="1143">
                  <c:v>226.002</c:v>
                </c:pt>
                <c:pt idx="1144">
                  <c:v>226.152</c:v>
                </c:pt>
                <c:pt idx="1145">
                  <c:v>226.312</c:v>
                </c:pt>
                <c:pt idx="1146">
                  <c:v>226.479</c:v>
                </c:pt>
                <c:pt idx="1147">
                  <c:v>226.646</c:v>
                </c:pt>
                <c:pt idx="1148">
                  <c:v>226.811</c:v>
                </c:pt>
                <c:pt idx="1149">
                  <c:v>226.973</c:v>
                </c:pt>
                <c:pt idx="1150">
                  <c:v>227.14</c:v>
                </c:pt>
                <c:pt idx="1151">
                  <c:v>227.314</c:v>
                </c:pt>
                <c:pt idx="1152">
                  <c:v>227.485</c:v>
                </c:pt>
                <c:pt idx="1153">
                  <c:v>227.654</c:v>
                </c:pt>
                <c:pt idx="1154">
                  <c:v>227.824</c:v>
                </c:pt>
                <c:pt idx="1155">
                  <c:v>227.992</c:v>
                </c:pt>
                <c:pt idx="1156">
                  <c:v>228.157</c:v>
                </c:pt>
                <c:pt idx="1157">
                  <c:v>228.315</c:v>
                </c:pt>
                <c:pt idx="1158">
                  <c:v>228.477</c:v>
                </c:pt>
                <c:pt idx="1159">
                  <c:v>228.646</c:v>
                </c:pt>
                <c:pt idx="1160">
                  <c:v>228.815</c:v>
                </c:pt>
                <c:pt idx="1161">
                  <c:v>228.979</c:v>
                </c:pt>
                <c:pt idx="1162">
                  <c:v>229.139</c:v>
                </c:pt>
                <c:pt idx="1163">
                  <c:v>229.301</c:v>
                </c:pt>
                <c:pt idx="1164">
                  <c:v>229.467</c:v>
                </c:pt>
                <c:pt idx="1165">
                  <c:v>229.631</c:v>
                </c:pt>
                <c:pt idx="1166">
                  <c:v>229.792</c:v>
                </c:pt>
                <c:pt idx="1167">
                  <c:v>229.955</c:v>
                </c:pt>
                <c:pt idx="1168">
                  <c:v>230.122</c:v>
                </c:pt>
                <c:pt idx="1169">
                  <c:v>230.286</c:v>
                </c:pt>
                <c:pt idx="1170">
                  <c:v>230.453</c:v>
                </c:pt>
                <c:pt idx="1171">
                  <c:v>230.619</c:v>
                </c:pt>
                <c:pt idx="1172">
                  <c:v>230.776</c:v>
                </c:pt>
                <c:pt idx="1173">
                  <c:v>230.933</c:v>
                </c:pt>
                <c:pt idx="1174">
                  <c:v>231.085</c:v>
                </c:pt>
                <c:pt idx="1175">
                  <c:v>231.244</c:v>
                </c:pt>
                <c:pt idx="1176">
                  <c:v>231.409</c:v>
                </c:pt>
                <c:pt idx="1177">
                  <c:v>231.577</c:v>
                </c:pt>
                <c:pt idx="1178">
                  <c:v>231.753</c:v>
                </c:pt>
                <c:pt idx="1179">
                  <c:v>231.925</c:v>
                </c:pt>
                <c:pt idx="1180">
                  <c:v>232.092</c:v>
                </c:pt>
                <c:pt idx="1181">
                  <c:v>232.249</c:v>
                </c:pt>
                <c:pt idx="1182">
                  <c:v>232.408</c:v>
                </c:pt>
                <c:pt idx="1183">
                  <c:v>232.566</c:v>
                </c:pt>
                <c:pt idx="1184">
                  <c:v>232.72</c:v>
                </c:pt>
                <c:pt idx="1185">
                  <c:v>232.874</c:v>
                </c:pt>
                <c:pt idx="1186">
                  <c:v>233.03</c:v>
                </c:pt>
                <c:pt idx="1187">
                  <c:v>233.187</c:v>
                </c:pt>
                <c:pt idx="1188">
                  <c:v>233.355</c:v>
                </c:pt>
                <c:pt idx="1189">
                  <c:v>233.525</c:v>
                </c:pt>
                <c:pt idx="1190">
                  <c:v>233.691</c:v>
                </c:pt>
                <c:pt idx="1191">
                  <c:v>233.853</c:v>
                </c:pt>
                <c:pt idx="1192">
                  <c:v>234.018</c:v>
                </c:pt>
                <c:pt idx="1193">
                  <c:v>234.175</c:v>
                </c:pt>
                <c:pt idx="1194">
                  <c:v>234.339</c:v>
                </c:pt>
                <c:pt idx="1195">
                  <c:v>234.507</c:v>
                </c:pt>
                <c:pt idx="1196">
                  <c:v>234.679</c:v>
                </c:pt>
                <c:pt idx="1197">
                  <c:v>234.853</c:v>
                </c:pt>
                <c:pt idx="1198">
                  <c:v>235.028</c:v>
                </c:pt>
                <c:pt idx="1199">
                  <c:v>235.204</c:v>
                </c:pt>
                <c:pt idx="1200">
                  <c:v>235.379</c:v>
                </c:pt>
                <c:pt idx="1201">
                  <c:v>235.546</c:v>
                </c:pt>
                <c:pt idx="1202">
                  <c:v>235.709</c:v>
                </c:pt>
                <c:pt idx="1203">
                  <c:v>235.869</c:v>
                </c:pt>
                <c:pt idx="1204">
                  <c:v>236.034</c:v>
                </c:pt>
                <c:pt idx="1205">
                  <c:v>236.199</c:v>
                </c:pt>
                <c:pt idx="1206">
                  <c:v>236.365</c:v>
                </c:pt>
                <c:pt idx="1207">
                  <c:v>236.532</c:v>
                </c:pt>
                <c:pt idx="1208">
                  <c:v>236.7</c:v>
                </c:pt>
                <c:pt idx="1209">
                  <c:v>236.862</c:v>
                </c:pt>
                <c:pt idx="1210">
                  <c:v>237.025</c:v>
                </c:pt>
                <c:pt idx="1211">
                  <c:v>237.194</c:v>
                </c:pt>
                <c:pt idx="1212">
                  <c:v>237.364</c:v>
                </c:pt>
                <c:pt idx="1213">
                  <c:v>237.524</c:v>
                </c:pt>
                <c:pt idx="1214">
                  <c:v>237.681</c:v>
                </c:pt>
                <c:pt idx="1215">
                  <c:v>237.841</c:v>
                </c:pt>
                <c:pt idx="1216">
                  <c:v>238.007</c:v>
                </c:pt>
                <c:pt idx="1217">
                  <c:v>238.173</c:v>
                </c:pt>
                <c:pt idx="1218">
                  <c:v>238.337</c:v>
                </c:pt>
                <c:pt idx="1219">
                  <c:v>238.503</c:v>
                </c:pt>
                <c:pt idx="1220">
                  <c:v>238.673</c:v>
                </c:pt>
                <c:pt idx="1221">
                  <c:v>238.843</c:v>
                </c:pt>
                <c:pt idx="1222">
                  <c:v>239.013</c:v>
                </c:pt>
                <c:pt idx="1223">
                  <c:v>239.181</c:v>
                </c:pt>
                <c:pt idx="1224">
                  <c:v>239.351</c:v>
                </c:pt>
                <c:pt idx="1225">
                  <c:v>239.514</c:v>
                </c:pt>
                <c:pt idx="1226">
                  <c:v>239.677</c:v>
                </c:pt>
                <c:pt idx="1227">
                  <c:v>239.843</c:v>
                </c:pt>
                <c:pt idx="1228">
                  <c:v>240.011</c:v>
                </c:pt>
                <c:pt idx="1229">
                  <c:v>240.172</c:v>
                </c:pt>
                <c:pt idx="1230">
                  <c:v>240.324</c:v>
                </c:pt>
                <c:pt idx="1231">
                  <c:v>240.484</c:v>
                </c:pt>
                <c:pt idx="1232">
                  <c:v>240.649</c:v>
                </c:pt>
                <c:pt idx="1233">
                  <c:v>240.819</c:v>
                </c:pt>
                <c:pt idx="1234">
                  <c:v>240.983</c:v>
                </c:pt>
                <c:pt idx="1235">
                  <c:v>241.143</c:v>
                </c:pt>
                <c:pt idx="1236">
                  <c:v>241.303</c:v>
                </c:pt>
                <c:pt idx="1237">
                  <c:v>241.459</c:v>
                </c:pt>
                <c:pt idx="1238">
                  <c:v>241.622</c:v>
                </c:pt>
                <c:pt idx="1239">
                  <c:v>241.79</c:v>
                </c:pt>
                <c:pt idx="1240">
                  <c:v>241.957</c:v>
                </c:pt>
                <c:pt idx="1241">
                  <c:v>242.124</c:v>
                </c:pt>
                <c:pt idx="1242">
                  <c:v>242.285</c:v>
                </c:pt>
                <c:pt idx="1243">
                  <c:v>242.445</c:v>
                </c:pt>
                <c:pt idx="1244">
                  <c:v>242.607</c:v>
                </c:pt>
                <c:pt idx="1245">
                  <c:v>242.77</c:v>
                </c:pt>
                <c:pt idx="1246">
                  <c:v>242.932</c:v>
                </c:pt>
                <c:pt idx="1247">
                  <c:v>243.096</c:v>
                </c:pt>
                <c:pt idx="1248">
                  <c:v>243.264</c:v>
                </c:pt>
                <c:pt idx="1249">
                  <c:v>243.437</c:v>
                </c:pt>
                <c:pt idx="1250">
                  <c:v>243.609</c:v>
                </c:pt>
                <c:pt idx="1251">
                  <c:v>243.777</c:v>
                </c:pt>
                <c:pt idx="1252">
                  <c:v>243.947</c:v>
                </c:pt>
                <c:pt idx="1253">
                  <c:v>244.121</c:v>
                </c:pt>
                <c:pt idx="1254">
                  <c:v>244.298</c:v>
                </c:pt>
                <c:pt idx="1255">
                  <c:v>244.472</c:v>
                </c:pt>
                <c:pt idx="1256">
                  <c:v>244.64</c:v>
                </c:pt>
                <c:pt idx="1257">
                  <c:v>244.806</c:v>
                </c:pt>
                <c:pt idx="1258">
                  <c:v>244.969</c:v>
                </c:pt>
                <c:pt idx="1259">
                  <c:v>245.132</c:v>
                </c:pt>
                <c:pt idx="1260">
                  <c:v>245.29</c:v>
                </c:pt>
                <c:pt idx="1261">
                  <c:v>245.437</c:v>
                </c:pt>
                <c:pt idx="1262">
                  <c:v>245.592</c:v>
                </c:pt>
                <c:pt idx="1263">
                  <c:v>245.749</c:v>
                </c:pt>
                <c:pt idx="1264">
                  <c:v>245.915</c:v>
                </c:pt>
                <c:pt idx="1265">
                  <c:v>246.078</c:v>
                </c:pt>
                <c:pt idx="1266">
                  <c:v>246.232</c:v>
                </c:pt>
                <c:pt idx="1267">
                  <c:v>246.39</c:v>
                </c:pt>
                <c:pt idx="1268">
                  <c:v>246.558</c:v>
                </c:pt>
                <c:pt idx="1269">
                  <c:v>246.731</c:v>
                </c:pt>
                <c:pt idx="1270">
                  <c:v>246.903</c:v>
                </c:pt>
                <c:pt idx="1271">
                  <c:v>247.068</c:v>
                </c:pt>
                <c:pt idx="1272">
                  <c:v>247.232</c:v>
                </c:pt>
                <c:pt idx="1273">
                  <c:v>247.397</c:v>
                </c:pt>
                <c:pt idx="1274">
                  <c:v>247.561</c:v>
                </c:pt>
                <c:pt idx="1275">
                  <c:v>247.73</c:v>
                </c:pt>
                <c:pt idx="1276">
                  <c:v>247.898</c:v>
                </c:pt>
                <c:pt idx="1277">
                  <c:v>248.065</c:v>
                </c:pt>
                <c:pt idx="1278">
                  <c:v>248.229</c:v>
                </c:pt>
                <c:pt idx="1279">
                  <c:v>248.39</c:v>
                </c:pt>
                <c:pt idx="1280">
                  <c:v>248.557</c:v>
                </c:pt>
                <c:pt idx="1281">
                  <c:v>248.73</c:v>
                </c:pt>
                <c:pt idx="1282">
                  <c:v>248.904</c:v>
                </c:pt>
                <c:pt idx="1283">
                  <c:v>249.077</c:v>
                </c:pt>
                <c:pt idx="1284">
                  <c:v>249.248</c:v>
                </c:pt>
                <c:pt idx="1285">
                  <c:v>249.41</c:v>
                </c:pt>
                <c:pt idx="1286">
                  <c:v>249.566</c:v>
                </c:pt>
                <c:pt idx="1287">
                  <c:v>249.716</c:v>
                </c:pt>
                <c:pt idx="1288">
                  <c:v>249.868</c:v>
                </c:pt>
                <c:pt idx="1289">
                  <c:v>250.009</c:v>
                </c:pt>
                <c:pt idx="1290">
                  <c:v>250.144</c:v>
                </c:pt>
                <c:pt idx="1291">
                  <c:v>250.281</c:v>
                </c:pt>
                <c:pt idx="1292">
                  <c:v>250.432</c:v>
                </c:pt>
                <c:pt idx="1293">
                  <c:v>250.596</c:v>
                </c:pt>
                <c:pt idx="1294">
                  <c:v>250.762</c:v>
                </c:pt>
                <c:pt idx="1295">
                  <c:v>250.935</c:v>
                </c:pt>
                <c:pt idx="1296">
                  <c:v>251.11</c:v>
                </c:pt>
                <c:pt idx="1297">
                  <c:v>251.285</c:v>
                </c:pt>
                <c:pt idx="1298">
                  <c:v>251.458</c:v>
                </c:pt>
                <c:pt idx="1299">
                  <c:v>251.627</c:v>
                </c:pt>
                <c:pt idx="1300">
                  <c:v>251.794</c:v>
                </c:pt>
                <c:pt idx="1301">
                  <c:v>251.963</c:v>
                </c:pt>
                <c:pt idx="1302">
                  <c:v>252.128</c:v>
                </c:pt>
                <c:pt idx="1303">
                  <c:v>252.297</c:v>
                </c:pt>
                <c:pt idx="1304">
                  <c:v>252.466</c:v>
                </c:pt>
                <c:pt idx="1305">
                  <c:v>252.636</c:v>
                </c:pt>
                <c:pt idx="1306">
                  <c:v>252.806</c:v>
                </c:pt>
                <c:pt idx="1307">
                  <c:v>252.975</c:v>
                </c:pt>
                <c:pt idx="1308">
                  <c:v>253.147</c:v>
                </c:pt>
                <c:pt idx="1309">
                  <c:v>253.324</c:v>
                </c:pt>
                <c:pt idx="1310">
                  <c:v>253.498</c:v>
                </c:pt>
                <c:pt idx="1311">
                  <c:v>253.666</c:v>
                </c:pt>
                <c:pt idx="1312">
                  <c:v>253.831</c:v>
                </c:pt>
                <c:pt idx="1313">
                  <c:v>253.998</c:v>
                </c:pt>
                <c:pt idx="1314">
                  <c:v>254.168</c:v>
                </c:pt>
                <c:pt idx="1315">
                  <c:v>254.334</c:v>
                </c:pt>
                <c:pt idx="1316">
                  <c:v>254.494</c:v>
                </c:pt>
                <c:pt idx="1317">
                  <c:v>254.656</c:v>
                </c:pt>
                <c:pt idx="1318">
                  <c:v>254.818</c:v>
                </c:pt>
                <c:pt idx="1319">
                  <c:v>254.978</c:v>
                </c:pt>
                <c:pt idx="1320">
                  <c:v>255.141</c:v>
                </c:pt>
                <c:pt idx="1321">
                  <c:v>255.306</c:v>
                </c:pt>
                <c:pt idx="1322">
                  <c:v>255.47</c:v>
                </c:pt>
                <c:pt idx="1323">
                  <c:v>255.635</c:v>
                </c:pt>
                <c:pt idx="1324">
                  <c:v>255.807</c:v>
                </c:pt>
                <c:pt idx="1325">
                  <c:v>255.983</c:v>
                </c:pt>
                <c:pt idx="1326">
                  <c:v>256.161</c:v>
                </c:pt>
                <c:pt idx="1327">
                  <c:v>256.333</c:v>
                </c:pt>
                <c:pt idx="1328">
                  <c:v>256.4949999999992</c:v>
                </c:pt>
                <c:pt idx="1329">
                  <c:v>256.659</c:v>
                </c:pt>
                <c:pt idx="1330">
                  <c:v>256.829</c:v>
                </c:pt>
                <c:pt idx="1331">
                  <c:v>256.997</c:v>
                </c:pt>
                <c:pt idx="1332">
                  <c:v>257.165</c:v>
                </c:pt>
                <c:pt idx="1333">
                  <c:v>257.3319999999989</c:v>
                </c:pt>
                <c:pt idx="1334">
                  <c:v>257.49</c:v>
                </c:pt>
                <c:pt idx="1335">
                  <c:v>257.651</c:v>
                </c:pt>
                <c:pt idx="1336">
                  <c:v>257.819</c:v>
                </c:pt>
                <c:pt idx="1337">
                  <c:v>257.992</c:v>
                </c:pt>
                <c:pt idx="1338">
                  <c:v>258.1619999999999</c:v>
                </c:pt>
                <c:pt idx="1339">
                  <c:v>258.331</c:v>
                </c:pt>
                <c:pt idx="1340">
                  <c:v>258.4929999999989</c:v>
                </c:pt>
                <c:pt idx="1341">
                  <c:v>258.659</c:v>
                </c:pt>
                <c:pt idx="1342">
                  <c:v>258.822</c:v>
                </c:pt>
                <c:pt idx="1343">
                  <c:v>258.9809999999989</c:v>
                </c:pt>
                <c:pt idx="1344">
                  <c:v>259.132</c:v>
                </c:pt>
                <c:pt idx="1345">
                  <c:v>259.2839999999989</c:v>
                </c:pt>
                <c:pt idx="1346">
                  <c:v>259.4299999999996</c:v>
                </c:pt>
                <c:pt idx="1347">
                  <c:v>259.569</c:v>
                </c:pt>
                <c:pt idx="1348">
                  <c:v>259.7239999999989</c:v>
                </c:pt>
                <c:pt idx="1349">
                  <c:v>259.8929999999999</c:v>
                </c:pt>
                <c:pt idx="1350">
                  <c:v>260.062</c:v>
                </c:pt>
                <c:pt idx="1351">
                  <c:v>260.2339999999986</c:v>
                </c:pt>
                <c:pt idx="1352">
                  <c:v>260.4059999999996</c:v>
                </c:pt>
                <c:pt idx="1353">
                  <c:v>260.572</c:v>
                </c:pt>
                <c:pt idx="1354">
                  <c:v>260.7389999999986</c:v>
                </c:pt>
                <c:pt idx="1355">
                  <c:v>260.904</c:v>
                </c:pt>
                <c:pt idx="1356">
                  <c:v>261.07</c:v>
                </c:pt>
                <c:pt idx="1357">
                  <c:v>261.2289999999986</c:v>
                </c:pt>
                <c:pt idx="1358">
                  <c:v>261.3949999999999</c:v>
                </c:pt>
                <c:pt idx="1359">
                  <c:v>261.563</c:v>
                </c:pt>
                <c:pt idx="1360">
                  <c:v>261.7339999999986</c:v>
                </c:pt>
                <c:pt idx="1361">
                  <c:v>261.9089999999989</c:v>
                </c:pt>
                <c:pt idx="1362">
                  <c:v>262.075</c:v>
                </c:pt>
                <c:pt idx="1363">
                  <c:v>262.2379999999989</c:v>
                </c:pt>
                <c:pt idx="1364">
                  <c:v>262.396</c:v>
                </c:pt>
                <c:pt idx="1365">
                  <c:v>262.563</c:v>
                </c:pt>
                <c:pt idx="1366">
                  <c:v>262.735</c:v>
                </c:pt>
                <c:pt idx="1367">
                  <c:v>262.9069999999986</c:v>
                </c:pt>
                <c:pt idx="1368">
                  <c:v>263.0819999999989</c:v>
                </c:pt>
                <c:pt idx="1369">
                  <c:v>263.259</c:v>
                </c:pt>
                <c:pt idx="1370">
                  <c:v>263.4329999999989</c:v>
                </c:pt>
                <c:pt idx="1371">
                  <c:v>263.608</c:v>
                </c:pt>
                <c:pt idx="1372">
                  <c:v>263.7769999999986</c:v>
                </c:pt>
                <c:pt idx="1373">
                  <c:v>263.947</c:v>
                </c:pt>
                <c:pt idx="1374">
                  <c:v>264.12</c:v>
                </c:pt>
                <c:pt idx="1375">
                  <c:v>264.2929999999996</c:v>
                </c:pt>
                <c:pt idx="1376">
                  <c:v>264.4619999999989</c:v>
                </c:pt>
                <c:pt idx="1377">
                  <c:v>264.6329999999999</c:v>
                </c:pt>
                <c:pt idx="1378">
                  <c:v>264.795</c:v>
                </c:pt>
                <c:pt idx="1379">
                  <c:v>264.956</c:v>
                </c:pt>
                <c:pt idx="1380">
                  <c:v>265.12</c:v>
                </c:pt>
                <c:pt idx="1381">
                  <c:v>265.2799999999999</c:v>
                </c:pt>
                <c:pt idx="1382">
                  <c:v>265.44</c:v>
                </c:pt>
                <c:pt idx="1383">
                  <c:v>265.6039999999999</c:v>
                </c:pt>
                <c:pt idx="1384">
                  <c:v>265.774</c:v>
                </c:pt>
                <c:pt idx="1385">
                  <c:v>265.947</c:v>
                </c:pt>
                <c:pt idx="1386">
                  <c:v>266.116</c:v>
                </c:pt>
                <c:pt idx="1387">
                  <c:v>266.2859999999989</c:v>
                </c:pt>
                <c:pt idx="1388">
                  <c:v>266.458</c:v>
                </c:pt>
                <c:pt idx="1389">
                  <c:v>266.632</c:v>
                </c:pt>
                <c:pt idx="1390">
                  <c:v>266.8059999999999</c:v>
                </c:pt>
                <c:pt idx="1391">
                  <c:v>266.9809999999989</c:v>
                </c:pt>
                <c:pt idx="1392">
                  <c:v>267.158</c:v>
                </c:pt>
                <c:pt idx="1393">
                  <c:v>267.336</c:v>
                </c:pt>
                <c:pt idx="1394">
                  <c:v>267.509</c:v>
                </c:pt>
                <c:pt idx="1395">
                  <c:v>267.6789999999999</c:v>
                </c:pt>
                <c:pt idx="1396">
                  <c:v>267.846</c:v>
                </c:pt>
                <c:pt idx="1397">
                  <c:v>268.011</c:v>
                </c:pt>
                <c:pt idx="1398">
                  <c:v>268.1809999999999</c:v>
                </c:pt>
                <c:pt idx="1399">
                  <c:v>268.351</c:v>
                </c:pt>
                <c:pt idx="1400">
                  <c:v>268.514</c:v>
                </c:pt>
                <c:pt idx="1401">
                  <c:v>268.6739999999999</c:v>
                </c:pt>
                <c:pt idx="1402">
                  <c:v>268.846</c:v>
                </c:pt>
                <c:pt idx="1403">
                  <c:v>269.0179999999999</c:v>
                </c:pt>
                <c:pt idx="1404">
                  <c:v>269.187</c:v>
                </c:pt>
                <c:pt idx="1405">
                  <c:v>269.3519999999999</c:v>
                </c:pt>
                <c:pt idx="1406">
                  <c:v>269.507</c:v>
                </c:pt>
                <c:pt idx="1407">
                  <c:v>269.671</c:v>
                </c:pt>
                <c:pt idx="1408">
                  <c:v>269.839</c:v>
                </c:pt>
                <c:pt idx="1409">
                  <c:v>270.011</c:v>
                </c:pt>
                <c:pt idx="1410">
                  <c:v>270.1809999999999</c:v>
                </c:pt>
                <c:pt idx="1411">
                  <c:v>270.351</c:v>
                </c:pt>
                <c:pt idx="1412">
                  <c:v>270.52</c:v>
                </c:pt>
                <c:pt idx="1413">
                  <c:v>270.6909999999999</c:v>
                </c:pt>
                <c:pt idx="1414">
                  <c:v>270.861</c:v>
                </c:pt>
                <c:pt idx="1415">
                  <c:v>271.0339999999989</c:v>
                </c:pt>
                <c:pt idx="1416">
                  <c:v>271.208</c:v>
                </c:pt>
                <c:pt idx="1417">
                  <c:v>271.382</c:v>
                </c:pt>
                <c:pt idx="1418">
                  <c:v>271.5539999999999</c:v>
                </c:pt>
                <c:pt idx="1419">
                  <c:v>271.723</c:v>
                </c:pt>
                <c:pt idx="1420">
                  <c:v>271.891</c:v>
                </c:pt>
                <c:pt idx="1421">
                  <c:v>272.0609999999999</c:v>
                </c:pt>
                <c:pt idx="1422">
                  <c:v>272.2269999999986</c:v>
                </c:pt>
                <c:pt idx="1423">
                  <c:v>272.39</c:v>
                </c:pt>
                <c:pt idx="1424">
                  <c:v>272.5559999999999</c:v>
                </c:pt>
                <c:pt idx="1425">
                  <c:v>272.7259999999989</c:v>
                </c:pt>
                <c:pt idx="1426">
                  <c:v>272.896</c:v>
                </c:pt>
                <c:pt idx="1427">
                  <c:v>273.0609999999999</c:v>
                </c:pt>
                <c:pt idx="1428">
                  <c:v>273.225</c:v>
                </c:pt>
                <c:pt idx="1429">
                  <c:v>273.391</c:v>
                </c:pt>
                <c:pt idx="1430">
                  <c:v>273.5609999999999</c:v>
                </c:pt>
                <c:pt idx="1431">
                  <c:v>273.7269999999986</c:v>
                </c:pt>
                <c:pt idx="1432">
                  <c:v>273.896</c:v>
                </c:pt>
                <c:pt idx="1433">
                  <c:v>274.069</c:v>
                </c:pt>
                <c:pt idx="1434">
                  <c:v>274.2440000000001</c:v>
                </c:pt>
                <c:pt idx="1435">
                  <c:v>274.4189999999986</c:v>
                </c:pt>
                <c:pt idx="1436">
                  <c:v>274.5899999999999</c:v>
                </c:pt>
                <c:pt idx="1437">
                  <c:v>274.7579999999999</c:v>
                </c:pt>
                <c:pt idx="1438">
                  <c:v>274.922</c:v>
                </c:pt>
                <c:pt idx="1439">
                  <c:v>275.089</c:v>
                </c:pt>
                <c:pt idx="1440">
                  <c:v>275.254</c:v>
                </c:pt>
                <c:pt idx="1441">
                  <c:v>275.4209999999989</c:v>
                </c:pt>
                <c:pt idx="1442">
                  <c:v>275.5819999999989</c:v>
                </c:pt>
                <c:pt idx="1443">
                  <c:v>275.741</c:v>
                </c:pt>
                <c:pt idx="1444">
                  <c:v>275.8969999999989</c:v>
                </c:pt>
                <c:pt idx="1445">
                  <c:v>276.0539999999999</c:v>
                </c:pt>
                <c:pt idx="1446">
                  <c:v>276.2149999999999</c:v>
                </c:pt>
                <c:pt idx="1447">
                  <c:v>276.379</c:v>
                </c:pt>
                <c:pt idx="1448">
                  <c:v>276.5419999999999</c:v>
                </c:pt>
                <c:pt idx="1449">
                  <c:v>276.704</c:v>
                </c:pt>
                <c:pt idx="1450">
                  <c:v>276.872</c:v>
                </c:pt>
                <c:pt idx="1451">
                  <c:v>277.0439999999999</c:v>
                </c:pt>
                <c:pt idx="1452">
                  <c:v>277.2169999999986</c:v>
                </c:pt>
                <c:pt idx="1453">
                  <c:v>277.389</c:v>
                </c:pt>
                <c:pt idx="1454">
                  <c:v>277.5609999999999</c:v>
                </c:pt>
                <c:pt idx="1455">
                  <c:v>277.73</c:v>
                </c:pt>
                <c:pt idx="1456">
                  <c:v>277.896</c:v>
                </c:pt>
                <c:pt idx="1457">
                  <c:v>278.062</c:v>
                </c:pt>
                <c:pt idx="1458">
                  <c:v>278.2259999999989</c:v>
                </c:pt>
                <c:pt idx="1459">
                  <c:v>278.394</c:v>
                </c:pt>
                <c:pt idx="1460">
                  <c:v>278.5559999999999</c:v>
                </c:pt>
                <c:pt idx="1461">
                  <c:v>278.714</c:v>
                </c:pt>
                <c:pt idx="1462">
                  <c:v>278.8709999999999</c:v>
                </c:pt>
                <c:pt idx="1463">
                  <c:v>279.033</c:v>
                </c:pt>
                <c:pt idx="1464">
                  <c:v>279.2</c:v>
                </c:pt>
                <c:pt idx="1465">
                  <c:v>279.367</c:v>
                </c:pt>
                <c:pt idx="1466">
                  <c:v>279.5249999999999</c:v>
                </c:pt>
                <c:pt idx="1467">
                  <c:v>279.6689999999999</c:v>
                </c:pt>
                <c:pt idx="1468">
                  <c:v>279.821</c:v>
                </c:pt>
                <c:pt idx="1469">
                  <c:v>279.9789999999986</c:v>
                </c:pt>
                <c:pt idx="1470">
                  <c:v>280.136</c:v>
                </c:pt>
                <c:pt idx="1471">
                  <c:v>280.2939999999986</c:v>
                </c:pt>
                <c:pt idx="1472">
                  <c:v>280.456</c:v>
                </c:pt>
                <c:pt idx="1473">
                  <c:v>280.6190000000001</c:v>
                </c:pt>
                <c:pt idx="1474">
                  <c:v>280.7819999999986</c:v>
                </c:pt>
                <c:pt idx="1475">
                  <c:v>280.951</c:v>
                </c:pt>
                <c:pt idx="1476">
                  <c:v>281.1209999999999</c:v>
                </c:pt>
                <c:pt idx="1477">
                  <c:v>281.29</c:v>
                </c:pt>
                <c:pt idx="1478">
                  <c:v>281.451</c:v>
                </c:pt>
                <c:pt idx="1479">
                  <c:v>281.613</c:v>
                </c:pt>
                <c:pt idx="1480">
                  <c:v>281.77</c:v>
                </c:pt>
                <c:pt idx="1481">
                  <c:v>281.927</c:v>
                </c:pt>
                <c:pt idx="1482">
                  <c:v>282.088</c:v>
                </c:pt>
                <c:pt idx="1483">
                  <c:v>282.252</c:v>
                </c:pt>
                <c:pt idx="1484">
                  <c:v>282.4229999999989</c:v>
                </c:pt>
                <c:pt idx="1485">
                  <c:v>282.595</c:v>
                </c:pt>
                <c:pt idx="1486">
                  <c:v>282.77</c:v>
                </c:pt>
                <c:pt idx="1487">
                  <c:v>282.945</c:v>
                </c:pt>
                <c:pt idx="1488">
                  <c:v>283.117</c:v>
                </c:pt>
                <c:pt idx="1489">
                  <c:v>283.288</c:v>
                </c:pt>
                <c:pt idx="1490">
                  <c:v>283.447</c:v>
                </c:pt>
                <c:pt idx="1491">
                  <c:v>283.605</c:v>
                </c:pt>
                <c:pt idx="1492">
                  <c:v>283.767</c:v>
                </c:pt>
                <c:pt idx="1493">
                  <c:v>283.9309999999986</c:v>
                </c:pt>
                <c:pt idx="1494">
                  <c:v>284.098</c:v>
                </c:pt>
                <c:pt idx="1495">
                  <c:v>284.2679999999999</c:v>
                </c:pt>
                <c:pt idx="1496">
                  <c:v>284.4359999999986</c:v>
                </c:pt>
                <c:pt idx="1497">
                  <c:v>284.601</c:v>
                </c:pt>
                <c:pt idx="1498">
                  <c:v>284.7629999999999</c:v>
                </c:pt>
                <c:pt idx="1499">
                  <c:v>284.9289999999986</c:v>
                </c:pt>
                <c:pt idx="1500">
                  <c:v>285.095</c:v>
                </c:pt>
                <c:pt idx="1501">
                  <c:v>285.262</c:v>
                </c:pt>
                <c:pt idx="1502">
                  <c:v>285.4259999999989</c:v>
                </c:pt>
                <c:pt idx="1503">
                  <c:v>285.5899999999999</c:v>
                </c:pt>
                <c:pt idx="1504">
                  <c:v>285.76</c:v>
                </c:pt>
                <c:pt idx="1505">
                  <c:v>285.932</c:v>
                </c:pt>
                <c:pt idx="1506">
                  <c:v>286.1</c:v>
                </c:pt>
                <c:pt idx="1507">
                  <c:v>286.27</c:v>
                </c:pt>
                <c:pt idx="1508">
                  <c:v>286.4309999999986</c:v>
                </c:pt>
                <c:pt idx="1509">
                  <c:v>286.581</c:v>
                </c:pt>
                <c:pt idx="1510">
                  <c:v>286.742</c:v>
                </c:pt>
                <c:pt idx="1511">
                  <c:v>286.9049999999999</c:v>
                </c:pt>
                <c:pt idx="1512">
                  <c:v>287.064</c:v>
                </c:pt>
                <c:pt idx="1513">
                  <c:v>287.2289999999986</c:v>
                </c:pt>
                <c:pt idx="1514">
                  <c:v>287.399</c:v>
                </c:pt>
                <c:pt idx="1515">
                  <c:v>287.569</c:v>
                </c:pt>
                <c:pt idx="1516">
                  <c:v>287.74</c:v>
                </c:pt>
                <c:pt idx="1517">
                  <c:v>287.913</c:v>
                </c:pt>
                <c:pt idx="1518">
                  <c:v>288.084</c:v>
                </c:pt>
                <c:pt idx="1519">
                  <c:v>288.254</c:v>
                </c:pt>
                <c:pt idx="1520">
                  <c:v>288.4159999999989</c:v>
                </c:pt>
                <c:pt idx="1521">
                  <c:v>288.576</c:v>
                </c:pt>
                <c:pt idx="1522">
                  <c:v>288.7389999999986</c:v>
                </c:pt>
                <c:pt idx="1523">
                  <c:v>288.904</c:v>
                </c:pt>
                <c:pt idx="1524">
                  <c:v>289.069</c:v>
                </c:pt>
                <c:pt idx="1525">
                  <c:v>289.237</c:v>
                </c:pt>
                <c:pt idx="1526">
                  <c:v>289.403</c:v>
                </c:pt>
                <c:pt idx="1527">
                  <c:v>289.574</c:v>
                </c:pt>
                <c:pt idx="1528">
                  <c:v>289.745</c:v>
                </c:pt>
                <c:pt idx="1529">
                  <c:v>289.9109999999989</c:v>
                </c:pt>
                <c:pt idx="1530">
                  <c:v>290.0779999999999</c:v>
                </c:pt>
                <c:pt idx="1531">
                  <c:v>290.25</c:v>
                </c:pt>
                <c:pt idx="1532">
                  <c:v>290.4229999999989</c:v>
                </c:pt>
                <c:pt idx="1533">
                  <c:v>290.5969999999986</c:v>
                </c:pt>
                <c:pt idx="1534">
                  <c:v>290.769</c:v>
                </c:pt>
                <c:pt idx="1535">
                  <c:v>290.9379999999989</c:v>
                </c:pt>
                <c:pt idx="1536">
                  <c:v>291.105</c:v>
                </c:pt>
                <c:pt idx="1537">
                  <c:v>291.269</c:v>
                </c:pt>
                <c:pt idx="1538">
                  <c:v>291.427</c:v>
                </c:pt>
                <c:pt idx="1539">
                  <c:v>291.584</c:v>
                </c:pt>
                <c:pt idx="1540">
                  <c:v>291.743</c:v>
                </c:pt>
                <c:pt idx="1541">
                  <c:v>291.9119999999986</c:v>
                </c:pt>
                <c:pt idx="1542">
                  <c:v>292.081</c:v>
                </c:pt>
                <c:pt idx="1543">
                  <c:v>292.242</c:v>
                </c:pt>
                <c:pt idx="1544">
                  <c:v>292.4069999999986</c:v>
                </c:pt>
                <c:pt idx="1545">
                  <c:v>292.577</c:v>
                </c:pt>
                <c:pt idx="1546">
                  <c:v>292.749</c:v>
                </c:pt>
                <c:pt idx="1547">
                  <c:v>292.92</c:v>
                </c:pt>
                <c:pt idx="1548">
                  <c:v>293.095</c:v>
                </c:pt>
                <c:pt idx="1549">
                  <c:v>293.2719999999989</c:v>
                </c:pt>
                <c:pt idx="1550">
                  <c:v>293.449</c:v>
                </c:pt>
                <c:pt idx="1551">
                  <c:v>293.618</c:v>
                </c:pt>
                <c:pt idx="1552">
                  <c:v>293.779</c:v>
                </c:pt>
                <c:pt idx="1553">
                  <c:v>293.9429999999999</c:v>
                </c:pt>
                <c:pt idx="1554">
                  <c:v>294.112</c:v>
                </c:pt>
                <c:pt idx="1555">
                  <c:v>294.283</c:v>
                </c:pt>
                <c:pt idx="1556">
                  <c:v>294.451</c:v>
                </c:pt>
                <c:pt idx="1557">
                  <c:v>294.6089999999999</c:v>
                </c:pt>
                <c:pt idx="1558">
                  <c:v>294.771</c:v>
                </c:pt>
                <c:pt idx="1559">
                  <c:v>294.9379999999989</c:v>
                </c:pt>
                <c:pt idx="1560">
                  <c:v>295.112</c:v>
                </c:pt>
                <c:pt idx="1561">
                  <c:v>295.288</c:v>
                </c:pt>
                <c:pt idx="1562">
                  <c:v>295.464</c:v>
                </c:pt>
                <c:pt idx="1563">
                  <c:v>295.641</c:v>
                </c:pt>
                <c:pt idx="1564">
                  <c:v>295.8109999999999</c:v>
                </c:pt>
                <c:pt idx="1565">
                  <c:v>295.975</c:v>
                </c:pt>
                <c:pt idx="1566">
                  <c:v>296.14</c:v>
                </c:pt>
                <c:pt idx="1567">
                  <c:v>296.307</c:v>
                </c:pt>
                <c:pt idx="1568">
                  <c:v>296.4739999999989</c:v>
                </c:pt>
                <c:pt idx="1569">
                  <c:v>296.64</c:v>
                </c:pt>
                <c:pt idx="1570">
                  <c:v>296.808</c:v>
                </c:pt>
                <c:pt idx="1571">
                  <c:v>296.9759999999989</c:v>
                </c:pt>
                <c:pt idx="1572">
                  <c:v>297.143</c:v>
                </c:pt>
                <c:pt idx="1573">
                  <c:v>297.308</c:v>
                </c:pt>
                <c:pt idx="1574">
                  <c:v>297.47</c:v>
                </c:pt>
                <c:pt idx="1575">
                  <c:v>297.636</c:v>
                </c:pt>
                <c:pt idx="1576">
                  <c:v>297.8059999999999</c:v>
                </c:pt>
                <c:pt idx="1577">
                  <c:v>297.973</c:v>
                </c:pt>
                <c:pt idx="1578">
                  <c:v>298.142</c:v>
                </c:pt>
                <c:pt idx="1579">
                  <c:v>298.313</c:v>
                </c:pt>
                <c:pt idx="1580">
                  <c:v>298.4759999999989</c:v>
                </c:pt>
                <c:pt idx="1581">
                  <c:v>298.624</c:v>
                </c:pt>
                <c:pt idx="1582">
                  <c:v>298.769</c:v>
                </c:pt>
                <c:pt idx="1583">
                  <c:v>298.9239999999986</c:v>
                </c:pt>
                <c:pt idx="1584">
                  <c:v>299.0819999999989</c:v>
                </c:pt>
                <c:pt idx="1585">
                  <c:v>299.242</c:v>
                </c:pt>
                <c:pt idx="1586">
                  <c:v>299.404</c:v>
                </c:pt>
                <c:pt idx="1587">
                  <c:v>299.5679999999999</c:v>
                </c:pt>
                <c:pt idx="1588">
                  <c:v>299.728</c:v>
                </c:pt>
                <c:pt idx="1589">
                  <c:v>299.887</c:v>
                </c:pt>
                <c:pt idx="1590">
                  <c:v>300.053</c:v>
                </c:pt>
                <c:pt idx="1591">
                  <c:v>300.2189999999989</c:v>
                </c:pt>
                <c:pt idx="1592">
                  <c:v>300.385</c:v>
                </c:pt>
                <c:pt idx="1593">
                  <c:v>300.5489999999999</c:v>
                </c:pt>
                <c:pt idx="1594">
                  <c:v>300.704</c:v>
                </c:pt>
                <c:pt idx="1595">
                  <c:v>300.86</c:v>
                </c:pt>
                <c:pt idx="1596">
                  <c:v>301.02</c:v>
                </c:pt>
                <c:pt idx="1597">
                  <c:v>301.18</c:v>
                </c:pt>
                <c:pt idx="1598">
                  <c:v>301.3450000000001</c:v>
                </c:pt>
                <c:pt idx="1599">
                  <c:v>301.51</c:v>
                </c:pt>
                <c:pt idx="1600">
                  <c:v>301.6689999999999</c:v>
                </c:pt>
                <c:pt idx="1601">
                  <c:v>301.829</c:v>
                </c:pt>
                <c:pt idx="1602">
                  <c:v>301.9929999999989</c:v>
                </c:pt>
                <c:pt idx="1603">
                  <c:v>302.156</c:v>
                </c:pt>
                <c:pt idx="1604">
                  <c:v>302.321</c:v>
                </c:pt>
                <c:pt idx="1605">
                  <c:v>302.478</c:v>
                </c:pt>
                <c:pt idx="1606">
                  <c:v>302.635</c:v>
                </c:pt>
                <c:pt idx="1607">
                  <c:v>302.7989999999986</c:v>
                </c:pt>
                <c:pt idx="1608">
                  <c:v>302.9669999999986</c:v>
                </c:pt>
                <c:pt idx="1609">
                  <c:v>303.136</c:v>
                </c:pt>
                <c:pt idx="1610">
                  <c:v>303.305</c:v>
                </c:pt>
                <c:pt idx="1611">
                  <c:v>303.473</c:v>
                </c:pt>
                <c:pt idx="1612">
                  <c:v>303.644</c:v>
                </c:pt>
                <c:pt idx="1613">
                  <c:v>303.815</c:v>
                </c:pt>
                <c:pt idx="1614">
                  <c:v>303.987</c:v>
                </c:pt>
                <c:pt idx="1615">
                  <c:v>304.159</c:v>
                </c:pt>
                <c:pt idx="1616">
                  <c:v>304.329</c:v>
                </c:pt>
                <c:pt idx="1617">
                  <c:v>304.4959999999986</c:v>
                </c:pt>
                <c:pt idx="1618">
                  <c:v>304.659</c:v>
                </c:pt>
                <c:pt idx="1619">
                  <c:v>304.8159999999999</c:v>
                </c:pt>
                <c:pt idx="1620">
                  <c:v>304.9649999999999</c:v>
                </c:pt>
                <c:pt idx="1621">
                  <c:v>305.1209999999999</c:v>
                </c:pt>
                <c:pt idx="1622">
                  <c:v>305.2819999999986</c:v>
                </c:pt>
                <c:pt idx="1623">
                  <c:v>305.442</c:v>
                </c:pt>
                <c:pt idx="1624">
                  <c:v>305.606</c:v>
                </c:pt>
                <c:pt idx="1625">
                  <c:v>305.773</c:v>
                </c:pt>
                <c:pt idx="1626">
                  <c:v>305.944</c:v>
                </c:pt>
                <c:pt idx="1627">
                  <c:v>306.115</c:v>
                </c:pt>
                <c:pt idx="1628">
                  <c:v>306.283</c:v>
                </c:pt>
                <c:pt idx="1629">
                  <c:v>306.447</c:v>
                </c:pt>
                <c:pt idx="1630">
                  <c:v>306.616</c:v>
                </c:pt>
                <c:pt idx="1631">
                  <c:v>306.7869999999986</c:v>
                </c:pt>
                <c:pt idx="1632">
                  <c:v>306.952</c:v>
                </c:pt>
                <c:pt idx="1633">
                  <c:v>307.113</c:v>
                </c:pt>
                <c:pt idx="1634">
                  <c:v>307.273</c:v>
                </c:pt>
                <c:pt idx="1635">
                  <c:v>307.442</c:v>
                </c:pt>
                <c:pt idx="1636">
                  <c:v>307.617</c:v>
                </c:pt>
                <c:pt idx="1637">
                  <c:v>307.7939999999986</c:v>
                </c:pt>
                <c:pt idx="1638">
                  <c:v>307.966</c:v>
                </c:pt>
                <c:pt idx="1639">
                  <c:v>308.136</c:v>
                </c:pt>
                <c:pt idx="1640">
                  <c:v>308.3039999999999</c:v>
                </c:pt>
                <c:pt idx="1641">
                  <c:v>308.4709999999992</c:v>
                </c:pt>
                <c:pt idx="1642">
                  <c:v>308.6379999999999</c:v>
                </c:pt>
                <c:pt idx="1643">
                  <c:v>308.8039999999999</c:v>
                </c:pt>
                <c:pt idx="1644">
                  <c:v>308.973</c:v>
                </c:pt>
                <c:pt idx="1645">
                  <c:v>309.146</c:v>
                </c:pt>
                <c:pt idx="1646">
                  <c:v>309.317</c:v>
                </c:pt>
                <c:pt idx="1647">
                  <c:v>309.49</c:v>
                </c:pt>
                <c:pt idx="1648">
                  <c:v>309.6569999999999</c:v>
                </c:pt>
                <c:pt idx="1649">
                  <c:v>309.819</c:v>
                </c:pt>
                <c:pt idx="1650">
                  <c:v>309.985</c:v>
                </c:pt>
                <c:pt idx="1651">
                  <c:v>310.153</c:v>
                </c:pt>
                <c:pt idx="1652">
                  <c:v>310.3229999999999</c:v>
                </c:pt>
                <c:pt idx="1653">
                  <c:v>310.4959999999986</c:v>
                </c:pt>
                <c:pt idx="1654">
                  <c:v>310.671</c:v>
                </c:pt>
                <c:pt idx="1655">
                  <c:v>310.834</c:v>
                </c:pt>
                <c:pt idx="1656">
                  <c:v>310.992</c:v>
                </c:pt>
                <c:pt idx="1657">
                  <c:v>311.156</c:v>
                </c:pt>
                <c:pt idx="1658">
                  <c:v>311.324</c:v>
                </c:pt>
                <c:pt idx="1659">
                  <c:v>311.4949999999992</c:v>
                </c:pt>
                <c:pt idx="1660">
                  <c:v>311.664</c:v>
                </c:pt>
                <c:pt idx="1661">
                  <c:v>311.8349999999999</c:v>
                </c:pt>
                <c:pt idx="1662">
                  <c:v>312.0079999999999</c:v>
                </c:pt>
                <c:pt idx="1663">
                  <c:v>312.182</c:v>
                </c:pt>
                <c:pt idx="1664">
                  <c:v>312.353</c:v>
                </c:pt>
                <c:pt idx="1665">
                  <c:v>312.521</c:v>
                </c:pt>
                <c:pt idx="1666">
                  <c:v>312.688</c:v>
                </c:pt>
                <c:pt idx="1667">
                  <c:v>312.858</c:v>
                </c:pt>
                <c:pt idx="1668">
                  <c:v>313.026</c:v>
                </c:pt>
                <c:pt idx="1669">
                  <c:v>313.1909999999999</c:v>
                </c:pt>
                <c:pt idx="1670">
                  <c:v>313.3589999999999</c:v>
                </c:pt>
                <c:pt idx="1671">
                  <c:v>313.533</c:v>
                </c:pt>
                <c:pt idx="1672">
                  <c:v>313.706</c:v>
                </c:pt>
                <c:pt idx="1673">
                  <c:v>313.8759999999999</c:v>
                </c:pt>
                <c:pt idx="1674">
                  <c:v>314.035</c:v>
                </c:pt>
                <c:pt idx="1675">
                  <c:v>314.19</c:v>
                </c:pt>
                <c:pt idx="1676">
                  <c:v>314.35</c:v>
                </c:pt>
                <c:pt idx="1677">
                  <c:v>314.516</c:v>
                </c:pt>
                <c:pt idx="1678">
                  <c:v>314.688</c:v>
                </c:pt>
                <c:pt idx="1679">
                  <c:v>314.8589999999999</c:v>
                </c:pt>
                <c:pt idx="1680">
                  <c:v>315.0309999999996</c:v>
                </c:pt>
                <c:pt idx="1681">
                  <c:v>315.204</c:v>
                </c:pt>
                <c:pt idx="1682">
                  <c:v>315.378</c:v>
                </c:pt>
                <c:pt idx="1683">
                  <c:v>315.5559999999999</c:v>
                </c:pt>
                <c:pt idx="1684">
                  <c:v>315.7329999999992</c:v>
                </c:pt>
                <c:pt idx="1685">
                  <c:v>315.9049999999999</c:v>
                </c:pt>
                <c:pt idx="1686">
                  <c:v>316.076</c:v>
                </c:pt>
                <c:pt idx="1687">
                  <c:v>316.249</c:v>
                </c:pt>
                <c:pt idx="1688">
                  <c:v>316.42</c:v>
                </c:pt>
                <c:pt idx="1689">
                  <c:v>316.584</c:v>
                </c:pt>
                <c:pt idx="1690">
                  <c:v>316.7459999999999</c:v>
                </c:pt>
                <c:pt idx="1691">
                  <c:v>316.9119999999986</c:v>
                </c:pt>
                <c:pt idx="1692">
                  <c:v>317.077</c:v>
                </c:pt>
                <c:pt idx="1693">
                  <c:v>317.237</c:v>
                </c:pt>
                <c:pt idx="1694">
                  <c:v>317.4019999999986</c:v>
                </c:pt>
                <c:pt idx="1695">
                  <c:v>317.567</c:v>
                </c:pt>
                <c:pt idx="1696">
                  <c:v>317.735</c:v>
                </c:pt>
                <c:pt idx="1697">
                  <c:v>317.896</c:v>
                </c:pt>
                <c:pt idx="1698">
                  <c:v>318.058</c:v>
                </c:pt>
                <c:pt idx="1699">
                  <c:v>318.2259999999989</c:v>
                </c:pt>
                <c:pt idx="1700">
                  <c:v>318.3969999999989</c:v>
                </c:pt>
                <c:pt idx="1701">
                  <c:v>318.569</c:v>
                </c:pt>
                <c:pt idx="1702">
                  <c:v>318.745</c:v>
                </c:pt>
                <c:pt idx="1703">
                  <c:v>318.9139999999989</c:v>
                </c:pt>
                <c:pt idx="1704">
                  <c:v>319.077</c:v>
                </c:pt>
                <c:pt idx="1705">
                  <c:v>319.242</c:v>
                </c:pt>
                <c:pt idx="1706">
                  <c:v>319.415</c:v>
                </c:pt>
                <c:pt idx="1707">
                  <c:v>319.593</c:v>
                </c:pt>
                <c:pt idx="1708">
                  <c:v>319.771</c:v>
                </c:pt>
                <c:pt idx="1709">
                  <c:v>319.9479999999999</c:v>
                </c:pt>
                <c:pt idx="1710">
                  <c:v>320.124</c:v>
                </c:pt>
                <c:pt idx="1711">
                  <c:v>320.295</c:v>
                </c:pt>
                <c:pt idx="1712">
                  <c:v>320.4569999999989</c:v>
                </c:pt>
                <c:pt idx="1713">
                  <c:v>320.62</c:v>
                </c:pt>
                <c:pt idx="1714">
                  <c:v>320.7859999999989</c:v>
                </c:pt>
                <c:pt idx="1715">
                  <c:v>320.959</c:v>
                </c:pt>
                <c:pt idx="1716">
                  <c:v>321.122</c:v>
                </c:pt>
                <c:pt idx="1717">
                  <c:v>321.2809999999996</c:v>
                </c:pt>
                <c:pt idx="1718">
                  <c:v>321.4429999999999</c:v>
                </c:pt>
                <c:pt idx="1719">
                  <c:v>321.6019999999999</c:v>
                </c:pt>
                <c:pt idx="1720">
                  <c:v>321.76</c:v>
                </c:pt>
                <c:pt idx="1721">
                  <c:v>321.925</c:v>
                </c:pt>
                <c:pt idx="1722">
                  <c:v>322.093</c:v>
                </c:pt>
                <c:pt idx="1723">
                  <c:v>322.261</c:v>
                </c:pt>
                <c:pt idx="1724">
                  <c:v>322.427</c:v>
                </c:pt>
                <c:pt idx="1725">
                  <c:v>322.576</c:v>
                </c:pt>
                <c:pt idx="1726">
                  <c:v>322.7219999999986</c:v>
                </c:pt>
                <c:pt idx="1727">
                  <c:v>322.88</c:v>
                </c:pt>
                <c:pt idx="1728">
                  <c:v>323.046</c:v>
                </c:pt>
                <c:pt idx="1729">
                  <c:v>323.211</c:v>
                </c:pt>
                <c:pt idx="1730">
                  <c:v>323.375</c:v>
                </c:pt>
                <c:pt idx="1731">
                  <c:v>323.535</c:v>
                </c:pt>
                <c:pt idx="1732">
                  <c:v>323.702</c:v>
                </c:pt>
                <c:pt idx="1733">
                  <c:v>323.875</c:v>
                </c:pt>
                <c:pt idx="1734">
                  <c:v>324.043</c:v>
                </c:pt>
                <c:pt idx="1735">
                  <c:v>324.218</c:v>
                </c:pt>
                <c:pt idx="1736">
                  <c:v>324.3949999999999</c:v>
                </c:pt>
                <c:pt idx="1737">
                  <c:v>324.565</c:v>
                </c:pt>
                <c:pt idx="1738">
                  <c:v>324.735</c:v>
                </c:pt>
                <c:pt idx="1739">
                  <c:v>324.9059999999996</c:v>
                </c:pt>
                <c:pt idx="1740">
                  <c:v>325.0779999999999</c:v>
                </c:pt>
                <c:pt idx="1741">
                  <c:v>325.2459999999999</c:v>
                </c:pt>
                <c:pt idx="1742">
                  <c:v>325.4169999999986</c:v>
                </c:pt>
                <c:pt idx="1743">
                  <c:v>325.5919999999986</c:v>
                </c:pt>
                <c:pt idx="1744">
                  <c:v>325.7629999999999</c:v>
                </c:pt>
                <c:pt idx="1745">
                  <c:v>325.9259999999989</c:v>
                </c:pt>
                <c:pt idx="1746">
                  <c:v>326.0939999999989</c:v>
                </c:pt>
                <c:pt idx="1747">
                  <c:v>326.265</c:v>
                </c:pt>
                <c:pt idx="1748">
                  <c:v>326.4379999999989</c:v>
                </c:pt>
                <c:pt idx="1749">
                  <c:v>326.613</c:v>
                </c:pt>
                <c:pt idx="1750">
                  <c:v>326.788</c:v>
                </c:pt>
                <c:pt idx="1751">
                  <c:v>326.961</c:v>
                </c:pt>
                <c:pt idx="1752">
                  <c:v>327.128</c:v>
                </c:pt>
                <c:pt idx="1753">
                  <c:v>327.2959999999989</c:v>
                </c:pt>
                <c:pt idx="1754">
                  <c:v>327.461</c:v>
                </c:pt>
                <c:pt idx="1755">
                  <c:v>327.63</c:v>
                </c:pt>
                <c:pt idx="1756">
                  <c:v>327.795</c:v>
                </c:pt>
                <c:pt idx="1757">
                  <c:v>327.959</c:v>
                </c:pt>
                <c:pt idx="1758">
                  <c:v>328.129</c:v>
                </c:pt>
                <c:pt idx="1759">
                  <c:v>328.2979999999989</c:v>
                </c:pt>
                <c:pt idx="1760">
                  <c:v>328.466</c:v>
                </c:pt>
                <c:pt idx="1761">
                  <c:v>328.629</c:v>
                </c:pt>
                <c:pt idx="1762">
                  <c:v>328.7889999999989</c:v>
                </c:pt>
                <c:pt idx="1763">
                  <c:v>328.954</c:v>
                </c:pt>
                <c:pt idx="1764">
                  <c:v>329.125</c:v>
                </c:pt>
                <c:pt idx="1765">
                  <c:v>329.285</c:v>
                </c:pt>
                <c:pt idx="1766">
                  <c:v>329.4299999999996</c:v>
                </c:pt>
                <c:pt idx="1767">
                  <c:v>329.58</c:v>
                </c:pt>
                <c:pt idx="1768">
                  <c:v>329.7359999999989</c:v>
                </c:pt>
                <c:pt idx="1769">
                  <c:v>329.9019999999986</c:v>
                </c:pt>
                <c:pt idx="1770">
                  <c:v>330.074</c:v>
                </c:pt>
                <c:pt idx="1771">
                  <c:v>330.237</c:v>
                </c:pt>
                <c:pt idx="1772">
                  <c:v>330.4019999999986</c:v>
                </c:pt>
                <c:pt idx="1773">
                  <c:v>330.571</c:v>
                </c:pt>
                <c:pt idx="1774">
                  <c:v>330.742</c:v>
                </c:pt>
                <c:pt idx="1775">
                  <c:v>330.913</c:v>
                </c:pt>
                <c:pt idx="1776">
                  <c:v>331.083</c:v>
                </c:pt>
                <c:pt idx="1777">
                  <c:v>331.254</c:v>
                </c:pt>
                <c:pt idx="1778">
                  <c:v>331.4289999999986</c:v>
                </c:pt>
                <c:pt idx="1779">
                  <c:v>331.6</c:v>
                </c:pt>
                <c:pt idx="1780">
                  <c:v>331.7679999999999</c:v>
                </c:pt>
                <c:pt idx="1781">
                  <c:v>331.94</c:v>
                </c:pt>
                <c:pt idx="1782">
                  <c:v>332.117</c:v>
                </c:pt>
                <c:pt idx="1783">
                  <c:v>332.2979999999989</c:v>
                </c:pt>
                <c:pt idx="1784">
                  <c:v>332.4769999999986</c:v>
                </c:pt>
                <c:pt idx="1785">
                  <c:v>332.65</c:v>
                </c:pt>
                <c:pt idx="1786">
                  <c:v>332.824</c:v>
                </c:pt>
                <c:pt idx="1787">
                  <c:v>332.999</c:v>
                </c:pt>
                <c:pt idx="1788">
                  <c:v>333.177</c:v>
                </c:pt>
                <c:pt idx="1789">
                  <c:v>333.3519999999999</c:v>
                </c:pt>
                <c:pt idx="1790">
                  <c:v>333.521</c:v>
                </c:pt>
                <c:pt idx="1791">
                  <c:v>333.678</c:v>
                </c:pt>
                <c:pt idx="1792">
                  <c:v>333.825</c:v>
                </c:pt>
                <c:pt idx="1793">
                  <c:v>333.982</c:v>
                </c:pt>
                <c:pt idx="1794">
                  <c:v>334.148</c:v>
                </c:pt>
                <c:pt idx="1795">
                  <c:v>334.313</c:v>
                </c:pt>
                <c:pt idx="1796">
                  <c:v>334.4739999999989</c:v>
                </c:pt>
                <c:pt idx="1797">
                  <c:v>334.639</c:v>
                </c:pt>
                <c:pt idx="1798">
                  <c:v>334.808</c:v>
                </c:pt>
                <c:pt idx="1799">
                  <c:v>334.973</c:v>
                </c:pt>
                <c:pt idx="1800">
                  <c:v>335.139</c:v>
                </c:pt>
                <c:pt idx="1801">
                  <c:v>335.307</c:v>
                </c:pt>
                <c:pt idx="1802">
                  <c:v>335.4759999999989</c:v>
                </c:pt>
                <c:pt idx="1803">
                  <c:v>335.643</c:v>
                </c:pt>
                <c:pt idx="1804">
                  <c:v>335.8090000000001</c:v>
                </c:pt>
                <c:pt idx="1805">
                  <c:v>335.9759999999989</c:v>
                </c:pt>
                <c:pt idx="1806">
                  <c:v>336.134</c:v>
                </c:pt>
                <c:pt idx="1807">
                  <c:v>336.2939999999986</c:v>
                </c:pt>
                <c:pt idx="1808">
                  <c:v>336.459</c:v>
                </c:pt>
                <c:pt idx="1809">
                  <c:v>336.629</c:v>
                </c:pt>
                <c:pt idx="1810">
                  <c:v>336.797</c:v>
                </c:pt>
                <c:pt idx="1811">
                  <c:v>336.964</c:v>
                </c:pt>
                <c:pt idx="1812">
                  <c:v>337.1329999999999</c:v>
                </c:pt>
                <c:pt idx="1813">
                  <c:v>337.3039999999999</c:v>
                </c:pt>
                <c:pt idx="1814">
                  <c:v>337.4709999999992</c:v>
                </c:pt>
                <c:pt idx="1815">
                  <c:v>337.641</c:v>
                </c:pt>
                <c:pt idx="1816">
                  <c:v>337.8090000000001</c:v>
                </c:pt>
                <c:pt idx="1817">
                  <c:v>337.9759999999989</c:v>
                </c:pt>
                <c:pt idx="1818">
                  <c:v>338.145</c:v>
                </c:pt>
                <c:pt idx="1819">
                  <c:v>338.313</c:v>
                </c:pt>
                <c:pt idx="1820">
                  <c:v>338.482</c:v>
                </c:pt>
                <c:pt idx="1821">
                  <c:v>338.65</c:v>
                </c:pt>
                <c:pt idx="1822">
                  <c:v>338.8179999999999</c:v>
                </c:pt>
                <c:pt idx="1823">
                  <c:v>338.9809999999989</c:v>
                </c:pt>
                <c:pt idx="1824">
                  <c:v>339.14</c:v>
                </c:pt>
                <c:pt idx="1825">
                  <c:v>339.3</c:v>
                </c:pt>
                <c:pt idx="1826">
                  <c:v>339.4549999999999</c:v>
                </c:pt>
                <c:pt idx="1827">
                  <c:v>339.6139999999999</c:v>
                </c:pt>
                <c:pt idx="1828">
                  <c:v>339.778</c:v>
                </c:pt>
                <c:pt idx="1829">
                  <c:v>339.9479999999999</c:v>
                </c:pt>
                <c:pt idx="1830">
                  <c:v>340.108</c:v>
                </c:pt>
                <c:pt idx="1831">
                  <c:v>340.267</c:v>
                </c:pt>
                <c:pt idx="1832">
                  <c:v>340.425</c:v>
                </c:pt>
                <c:pt idx="1833">
                  <c:v>340.583</c:v>
                </c:pt>
                <c:pt idx="1834">
                  <c:v>340.747</c:v>
                </c:pt>
                <c:pt idx="1835">
                  <c:v>340.913</c:v>
                </c:pt>
                <c:pt idx="1836">
                  <c:v>341.083</c:v>
                </c:pt>
                <c:pt idx="1837">
                  <c:v>341.254</c:v>
                </c:pt>
                <c:pt idx="1838">
                  <c:v>341.4279999999989</c:v>
                </c:pt>
                <c:pt idx="1839">
                  <c:v>341.598</c:v>
                </c:pt>
                <c:pt idx="1840">
                  <c:v>341.764</c:v>
                </c:pt>
                <c:pt idx="1841">
                  <c:v>341.9379999999989</c:v>
                </c:pt>
                <c:pt idx="1842">
                  <c:v>342.118</c:v>
                </c:pt>
                <c:pt idx="1843">
                  <c:v>342.2959999999989</c:v>
                </c:pt>
                <c:pt idx="1844">
                  <c:v>342.475</c:v>
                </c:pt>
                <c:pt idx="1845">
                  <c:v>342.655</c:v>
                </c:pt>
                <c:pt idx="1846">
                  <c:v>342.825</c:v>
                </c:pt>
                <c:pt idx="1847">
                  <c:v>342.9889999999986</c:v>
                </c:pt>
                <c:pt idx="1848">
                  <c:v>343.152</c:v>
                </c:pt>
                <c:pt idx="1849">
                  <c:v>343.3039999999999</c:v>
                </c:pt>
                <c:pt idx="1850">
                  <c:v>343.464</c:v>
                </c:pt>
                <c:pt idx="1851">
                  <c:v>343.63</c:v>
                </c:pt>
                <c:pt idx="1852">
                  <c:v>343.7959999999989</c:v>
                </c:pt>
                <c:pt idx="1853">
                  <c:v>343.963</c:v>
                </c:pt>
                <c:pt idx="1854">
                  <c:v>344.1309999999999</c:v>
                </c:pt>
                <c:pt idx="1855">
                  <c:v>344.2989999999986</c:v>
                </c:pt>
                <c:pt idx="1856">
                  <c:v>344.4689999999989</c:v>
                </c:pt>
                <c:pt idx="1857">
                  <c:v>344.637</c:v>
                </c:pt>
                <c:pt idx="1858">
                  <c:v>344.8039999999999</c:v>
                </c:pt>
                <c:pt idx="1859">
                  <c:v>344.9709999999992</c:v>
                </c:pt>
                <c:pt idx="1860">
                  <c:v>345.136</c:v>
                </c:pt>
                <c:pt idx="1861">
                  <c:v>345.3</c:v>
                </c:pt>
                <c:pt idx="1862">
                  <c:v>345.463</c:v>
                </c:pt>
                <c:pt idx="1863">
                  <c:v>345.6259999999999</c:v>
                </c:pt>
                <c:pt idx="1864">
                  <c:v>345.797</c:v>
                </c:pt>
                <c:pt idx="1865">
                  <c:v>345.9739999999989</c:v>
                </c:pt>
                <c:pt idx="1866">
                  <c:v>346.152</c:v>
                </c:pt>
                <c:pt idx="1867">
                  <c:v>346.325</c:v>
                </c:pt>
                <c:pt idx="1868">
                  <c:v>346.497</c:v>
                </c:pt>
                <c:pt idx="1869">
                  <c:v>346.6689999999999</c:v>
                </c:pt>
                <c:pt idx="1870">
                  <c:v>346.829</c:v>
                </c:pt>
                <c:pt idx="1871">
                  <c:v>346.9979999999989</c:v>
                </c:pt>
                <c:pt idx="1872">
                  <c:v>347.1689999999999</c:v>
                </c:pt>
                <c:pt idx="1873">
                  <c:v>347.334</c:v>
                </c:pt>
                <c:pt idx="1874">
                  <c:v>347.494</c:v>
                </c:pt>
                <c:pt idx="1875">
                  <c:v>347.655</c:v>
                </c:pt>
                <c:pt idx="1876">
                  <c:v>347.821</c:v>
                </c:pt>
                <c:pt idx="1877">
                  <c:v>347.987</c:v>
                </c:pt>
                <c:pt idx="1878">
                  <c:v>348.154</c:v>
                </c:pt>
                <c:pt idx="1879">
                  <c:v>348.329</c:v>
                </c:pt>
                <c:pt idx="1880">
                  <c:v>348.5079999999999</c:v>
                </c:pt>
                <c:pt idx="1881">
                  <c:v>348.688</c:v>
                </c:pt>
                <c:pt idx="1882">
                  <c:v>348.8639999999999</c:v>
                </c:pt>
                <c:pt idx="1883">
                  <c:v>349.0369999999986</c:v>
                </c:pt>
                <c:pt idx="1884">
                  <c:v>349.208</c:v>
                </c:pt>
                <c:pt idx="1885">
                  <c:v>349.382</c:v>
                </c:pt>
                <c:pt idx="1886">
                  <c:v>349.5539999999999</c:v>
                </c:pt>
                <c:pt idx="1887">
                  <c:v>349.7219999999986</c:v>
                </c:pt>
                <c:pt idx="1888">
                  <c:v>349.8879999999999</c:v>
                </c:pt>
                <c:pt idx="1889">
                  <c:v>350.048</c:v>
                </c:pt>
                <c:pt idx="1890">
                  <c:v>350.2</c:v>
                </c:pt>
                <c:pt idx="1891">
                  <c:v>350.3589999999999</c:v>
                </c:pt>
                <c:pt idx="1892">
                  <c:v>350.524</c:v>
                </c:pt>
                <c:pt idx="1893">
                  <c:v>350.694</c:v>
                </c:pt>
                <c:pt idx="1894">
                  <c:v>350.87</c:v>
                </c:pt>
                <c:pt idx="1895">
                  <c:v>351.046</c:v>
                </c:pt>
                <c:pt idx="1896">
                  <c:v>351.214</c:v>
                </c:pt>
                <c:pt idx="1897">
                  <c:v>351.372</c:v>
                </c:pt>
                <c:pt idx="1898">
                  <c:v>351.538</c:v>
                </c:pt>
                <c:pt idx="1899">
                  <c:v>351.7119999999989</c:v>
                </c:pt>
                <c:pt idx="1900">
                  <c:v>351.89</c:v>
                </c:pt>
                <c:pt idx="1901">
                  <c:v>352.06</c:v>
                </c:pt>
                <c:pt idx="1902">
                  <c:v>352.232</c:v>
                </c:pt>
                <c:pt idx="1903">
                  <c:v>352.4069999999986</c:v>
                </c:pt>
                <c:pt idx="1904">
                  <c:v>352.58</c:v>
                </c:pt>
                <c:pt idx="1905">
                  <c:v>352.7509999999999</c:v>
                </c:pt>
                <c:pt idx="1906">
                  <c:v>352.9229999999989</c:v>
                </c:pt>
                <c:pt idx="1907">
                  <c:v>353.095</c:v>
                </c:pt>
                <c:pt idx="1908">
                  <c:v>353.267</c:v>
                </c:pt>
                <c:pt idx="1909">
                  <c:v>353.4309999999986</c:v>
                </c:pt>
                <c:pt idx="1910">
                  <c:v>353.593</c:v>
                </c:pt>
                <c:pt idx="1911">
                  <c:v>353.754</c:v>
                </c:pt>
                <c:pt idx="1912">
                  <c:v>353.9179999999996</c:v>
                </c:pt>
                <c:pt idx="1913">
                  <c:v>354.0849999999999</c:v>
                </c:pt>
                <c:pt idx="1914">
                  <c:v>354.257</c:v>
                </c:pt>
                <c:pt idx="1915">
                  <c:v>354.4279999999989</c:v>
                </c:pt>
                <c:pt idx="1916">
                  <c:v>354.6</c:v>
                </c:pt>
                <c:pt idx="1917">
                  <c:v>354.77</c:v>
                </c:pt>
                <c:pt idx="1918">
                  <c:v>354.937</c:v>
                </c:pt>
                <c:pt idx="1919">
                  <c:v>355.1</c:v>
                </c:pt>
                <c:pt idx="1920">
                  <c:v>355.259</c:v>
                </c:pt>
                <c:pt idx="1921">
                  <c:v>355.4279999999989</c:v>
                </c:pt>
                <c:pt idx="1922">
                  <c:v>355.5939999999989</c:v>
                </c:pt>
                <c:pt idx="1923">
                  <c:v>355.7629999999999</c:v>
                </c:pt>
                <c:pt idx="1924">
                  <c:v>355.9359999999986</c:v>
                </c:pt>
                <c:pt idx="1925">
                  <c:v>356.108</c:v>
                </c:pt>
                <c:pt idx="1926">
                  <c:v>356.278</c:v>
                </c:pt>
                <c:pt idx="1927">
                  <c:v>356.45</c:v>
                </c:pt>
                <c:pt idx="1928">
                  <c:v>356.62</c:v>
                </c:pt>
                <c:pt idx="1929">
                  <c:v>356.778</c:v>
                </c:pt>
                <c:pt idx="1930">
                  <c:v>356.934</c:v>
                </c:pt>
                <c:pt idx="1931">
                  <c:v>357.0869999999989</c:v>
                </c:pt>
                <c:pt idx="1932">
                  <c:v>357.243</c:v>
                </c:pt>
                <c:pt idx="1933">
                  <c:v>357.401</c:v>
                </c:pt>
                <c:pt idx="1934">
                  <c:v>357.5659999999999</c:v>
                </c:pt>
                <c:pt idx="1935">
                  <c:v>357.7379999999989</c:v>
                </c:pt>
                <c:pt idx="1936">
                  <c:v>357.9169999999986</c:v>
                </c:pt>
                <c:pt idx="1937">
                  <c:v>358.0849999999999</c:v>
                </c:pt>
                <c:pt idx="1938">
                  <c:v>358.2459999999999</c:v>
                </c:pt>
                <c:pt idx="1939">
                  <c:v>358.4119999999986</c:v>
                </c:pt>
                <c:pt idx="1940">
                  <c:v>358.586</c:v>
                </c:pt>
                <c:pt idx="1941">
                  <c:v>358.764</c:v>
                </c:pt>
                <c:pt idx="1942">
                  <c:v>358.9429999999999</c:v>
                </c:pt>
                <c:pt idx="1943">
                  <c:v>359.117</c:v>
                </c:pt>
                <c:pt idx="1944">
                  <c:v>359.2859999999989</c:v>
                </c:pt>
                <c:pt idx="1945">
                  <c:v>359.454</c:v>
                </c:pt>
                <c:pt idx="1946">
                  <c:v>359.623</c:v>
                </c:pt>
                <c:pt idx="1947">
                  <c:v>359.7909999999989</c:v>
                </c:pt>
                <c:pt idx="1948">
                  <c:v>359.951</c:v>
                </c:pt>
                <c:pt idx="1949">
                  <c:v>360.116</c:v>
                </c:pt>
                <c:pt idx="1950">
                  <c:v>360.283</c:v>
                </c:pt>
                <c:pt idx="1951">
                  <c:v>360.4409999999999</c:v>
                </c:pt>
                <c:pt idx="1952">
                  <c:v>360.598</c:v>
                </c:pt>
                <c:pt idx="1953">
                  <c:v>360.7629999999999</c:v>
                </c:pt>
                <c:pt idx="1954">
                  <c:v>360.932</c:v>
                </c:pt>
                <c:pt idx="1955">
                  <c:v>361.1019999999999</c:v>
                </c:pt>
                <c:pt idx="1956">
                  <c:v>361.2719999999989</c:v>
                </c:pt>
                <c:pt idx="1957">
                  <c:v>361.4409999999999</c:v>
                </c:pt>
                <c:pt idx="1958">
                  <c:v>361.616</c:v>
                </c:pt>
                <c:pt idx="1959">
                  <c:v>361.7859999999989</c:v>
                </c:pt>
                <c:pt idx="1960">
                  <c:v>361.9569999999989</c:v>
                </c:pt>
                <c:pt idx="1961">
                  <c:v>362.124</c:v>
                </c:pt>
                <c:pt idx="1962">
                  <c:v>362.2939999999986</c:v>
                </c:pt>
                <c:pt idx="1963">
                  <c:v>362.4669999999986</c:v>
                </c:pt>
                <c:pt idx="1964">
                  <c:v>362.643</c:v>
                </c:pt>
                <c:pt idx="1965">
                  <c:v>362.8179999999999</c:v>
                </c:pt>
                <c:pt idx="1966">
                  <c:v>362.997</c:v>
                </c:pt>
                <c:pt idx="1967">
                  <c:v>363.1720000000001</c:v>
                </c:pt>
                <c:pt idx="1968">
                  <c:v>363.344</c:v>
                </c:pt>
                <c:pt idx="1969">
                  <c:v>363.514</c:v>
                </c:pt>
                <c:pt idx="1970">
                  <c:v>363.6840000000001</c:v>
                </c:pt>
                <c:pt idx="1971">
                  <c:v>363.848</c:v>
                </c:pt>
                <c:pt idx="1972">
                  <c:v>364.017</c:v>
                </c:pt>
                <c:pt idx="1973">
                  <c:v>364.187</c:v>
                </c:pt>
                <c:pt idx="1974">
                  <c:v>364.35</c:v>
                </c:pt>
                <c:pt idx="1975">
                  <c:v>364.505</c:v>
                </c:pt>
                <c:pt idx="1976">
                  <c:v>364.6689999999999</c:v>
                </c:pt>
                <c:pt idx="1977">
                  <c:v>364.8349999999999</c:v>
                </c:pt>
                <c:pt idx="1978">
                  <c:v>365.0059999999999</c:v>
                </c:pt>
                <c:pt idx="1979">
                  <c:v>365.176</c:v>
                </c:pt>
                <c:pt idx="1980">
                  <c:v>365.3419999999999</c:v>
                </c:pt>
                <c:pt idx="1981">
                  <c:v>365.505</c:v>
                </c:pt>
                <c:pt idx="1982">
                  <c:v>365.6669999999999</c:v>
                </c:pt>
                <c:pt idx="1983">
                  <c:v>365.822</c:v>
                </c:pt>
                <c:pt idx="1984">
                  <c:v>365.98</c:v>
                </c:pt>
                <c:pt idx="1985">
                  <c:v>366.143</c:v>
                </c:pt>
                <c:pt idx="1986">
                  <c:v>366.3109999999999</c:v>
                </c:pt>
                <c:pt idx="1987">
                  <c:v>366.478</c:v>
                </c:pt>
                <c:pt idx="1988">
                  <c:v>366.648</c:v>
                </c:pt>
                <c:pt idx="1989">
                  <c:v>366.822</c:v>
                </c:pt>
                <c:pt idx="1990">
                  <c:v>366.9909999999986</c:v>
                </c:pt>
                <c:pt idx="1991">
                  <c:v>367.156</c:v>
                </c:pt>
                <c:pt idx="1992">
                  <c:v>367.319</c:v>
                </c:pt>
                <c:pt idx="1993">
                  <c:v>367.492</c:v>
                </c:pt>
                <c:pt idx="1994">
                  <c:v>367.668</c:v>
                </c:pt>
                <c:pt idx="1995">
                  <c:v>367.843</c:v>
                </c:pt>
                <c:pt idx="1996">
                  <c:v>368.012</c:v>
                </c:pt>
                <c:pt idx="1997">
                  <c:v>368.1789999999999</c:v>
                </c:pt>
                <c:pt idx="1998">
                  <c:v>368.344</c:v>
                </c:pt>
                <c:pt idx="1999">
                  <c:v>368.512</c:v>
                </c:pt>
                <c:pt idx="2000">
                  <c:v>368.678</c:v>
                </c:pt>
                <c:pt idx="2001">
                  <c:v>368.8469999999999</c:v>
                </c:pt>
                <c:pt idx="2002">
                  <c:v>369.011</c:v>
                </c:pt>
                <c:pt idx="2003">
                  <c:v>369.177</c:v>
                </c:pt>
                <c:pt idx="2004">
                  <c:v>369.3469999999999</c:v>
                </c:pt>
                <c:pt idx="2005">
                  <c:v>369.514</c:v>
                </c:pt>
                <c:pt idx="2006">
                  <c:v>369.675</c:v>
                </c:pt>
                <c:pt idx="2007">
                  <c:v>369.84</c:v>
                </c:pt>
                <c:pt idx="2008">
                  <c:v>370.012</c:v>
                </c:pt>
                <c:pt idx="2009">
                  <c:v>370.188</c:v>
                </c:pt>
                <c:pt idx="2010">
                  <c:v>370.3589999999999</c:v>
                </c:pt>
                <c:pt idx="2011">
                  <c:v>370.52</c:v>
                </c:pt>
                <c:pt idx="2012">
                  <c:v>370.685</c:v>
                </c:pt>
                <c:pt idx="2013">
                  <c:v>370.849</c:v>
                </c:pt>
                <c:pt idx="2014">
                  <c:v>371.016</c:v>
                </c:pt>
                <c:pt idx="2015">
                  <c:v>371.1840000000001</c:v>
                </c:pt>
                <c:pt idx="2016">
                  <c:v>371.355</c:v>
                </c:pt>
                <c:pt idx="2017">
                  <c:v>371.5309999999996</c:v>
                </c:pt>
                <c:pt idx="2018">
                  <c:v>371.7069999999989</c:v>
                </c:pt>
                <c:pt idx="2019">
                  <c:v>371.88</c:v>
                </c:pt>
                <c:pt idx="2020">
                  <c:v>372.0539999999999</c:v>
                </c:pt>
                <c:pt idx="2021">
                  <c:v>372.2259999999989</c:v>
                </c:pt>
                <c:pt idx="2022">
                  <c:v>372.394</c:v>
                </c:pt>
                <c:pt idx="2023">
                  <c:v>372.563</c:v>
                </c:pt>
                <c:pt idx="2024">
                  <c:v>372.725</c:v>
                </c:pt>
                <c:pt idx="2025">
                  <c:v>372.889</c:v>
                </c:pt>
                <c:pt idx="2026">
                  <c:v>373.0609999999999</c:v>
                </c:pt>
                <c:pt idx="2027">
                  <c:v>373.232</c:v>
                </c:pt>
                <c:pt idx="2028">
                  <c:v>373.4019999999986</c:v>
                </c:pt>
                <c:pt idx="2029">
                  <c:v>373.57</c:v>
                </c:pt>
                <c:pt idx="2030">
                  <c:v>373.7329999999992</c:v>
                </c:pt>
                <c:pt idx="2031">
                  <c:v>373.887</c:v>
                </c:pt>
                <c:pt idx="2032">
                  <c:v>374.041</c:v>
                </c:pt>
                <c:pt idx="2033">
                  <c:v>374.194</c:v>
                </c:pt>
                <c:pt idx="2034">
                  <c:v>374.36</c:v>
                </c:pt>
                <c:pt idx="2035">
                  <c:v>374.53</c:v>
                </c:pt>
                <c:pt idx="2036">
                  <c:v>374.701</c:v>
                </c:pt>
                <c:pt idx="2037">
                  <c:v>374.87</c:v>
                </c:pt>
                <c:pt idx="2038">
                  <c:v>375.0249999999999</c:v>
                </c:pt>
                <c:pt idx="2039">
                  <c:v>375.18</c:v>
                </c:pt>
                <c:pt idx="2040">
                  <c:v>375.341</c:v>
                </c:pt>
                <c:pt idx="2041">
                  <c:v>375.51</c:v>
                </c:pt>
                <c:pt idx="2042">
                  <c:v>375.6840000000001</c:v>
                </c:pt>
                <c:pt idx="2043">
                  <c:v>375.856</c:v>
                </c:pt>
                <c:pt idx="2044">
                  <c:v>376.03</c:v>
                </c:pt>
                <c:pt idx="2045">
                  <c:v>376.194</c:v>
                </c:pt>
                <c:pt idx="2046">
                  <c:v>376.358</c:v>
                </c:pt>
                <c:pt idx="2047">
                  <c:v>376.523</c:v>
                </c:pt>
                <c:pt idx="2048">
                  <c:v>376.6929999999999</c:v>
                </c:pt>
                <c:pt idx="2049">
                  <c:v>376.8519999999999</c:v>
                </c:pt>
                <c:pt idx="2050">
                  <c:v>377.0129999999999</c:v>
                </c:pt>
                <c:pt idx="2051">
                  <c:v>377.18</c:v>
                </c:pt>
                <c:pt idx="2052">
                  <c:v>377.351</c:v>
                </c:pt>
                <c:pt idx="2053">
                  <c:v>377.523</c:v>
                </c:pt>
                <c:pt idx="2054">
                  <c:v>377.697</c:v>
                </c:pt>
                <c:pt idx="2055">
                  <c:v>377.87</c:v>
                </c:pt>
                <c:pt idx="2056">
                  <c:v>378.0369999999986</c:v>
                </c:pt>
                <c:pt idx="2057">
                  <c:v>378.201</c:v>
                </c:pt>
                <c:pt idx="2058">
                  <c:v>378.3690000000001</c:v>
                </c:pt>
                <c:pt idx="2059">
                  <c:v>378.538</c:v>
                </c:pt>
                <c:pt idx="2060">
                  <c:v>378.7</c:v>
                </c:pt>
                <c:pt idx="2061">
                  <c:v>378.868</c:v>
                </c:pt>
                <c:pt idx="2062">
                  <c:v>379.04</c:v>
                </c:pt>
                <c:pt idx="2063">
                  <c:v>379.2149999999999</c:v>
                </c:pt>
                <c:pt idx="2064">
                  <c:v>379.386</c:v>
                </c:pt>
                <c:pt idx="2065">
                  <c:v>379.5559999999999</c:v>
                </c:pt>
                <c:pt idx="2066">
                  <c:v>379.7209999999992</c:v>
                </c:pt>
                <c:pt idx="2067">
                  <c:v>379.8829999999999</c:v>
                </c:pt>
                <c:pt idx="2068">
                  <c:v>380.05</c:v>
                </c:pt>
                <c:pt idx="2069">
                  <c:v>380.22</c:v>
                </c:pt>
                <c:pt idx="2070">
                  <c:v>380.386</c:v>
                </c:pt>
                <c:pt idx="2071">
                  <c:v>380.552</c:v>
                </c:pt>
                <c:pt idx="2072">
                  <c:v>380.716</c:v>
                </c:pt>
                <c:pt idx="2073">
                  <c:v>380.887</c:v>
                </c:pt>
                <c:pt idx="2074">
                  <c:v>381.0659999999999</c:v>
                </c:pt>
                <c:pt idx="2075">
                  <c:v>381.243</c:v>
                </c:pt>
                <c:pt idx="2076">
                  <c:v>381.4119999999986</c:v>
                </c:pt>
                <c:pt idx="2077">
                  <c:v>381.5819999999989</c:v>
                </c:pt>
                <c:pt idx="2078">
                  <c:v>381.7459999999999</c:v>
                </c:pt>
                <c:pt idx="2079">
                  <c:v>381.915</c:v>
                </c:pt>
                <c:pt idx="2080">
                  <c:v>382.083</c:v>
                </c:pt>
                <c:pt idx="2081">
                  <c:v>382.253</c:v>
                </c:pt>
                <c:pt idx="2082">
                  <c:v>382.4159999999989</c:v>
                </c:pt>
                <c:pt idx="2083">
                  <c:v>382.576</c:v>
                </c:pt>
                <c:pt idx="2084">
                  <c:v>382.7389999999986</c:v>
                </c:pt>
                <c:pt idx="2085">
                  <c:v>382.9069999999986</c:v>
                </c:pt>
                <c:pt idx="2086">
                  <c:v>383.0819999999989</c:v>
                </c:pt>
                <c:pt idx="2087">
                  <c:v>383.2389999999986</c:v>
                </c:pt>
                <c:pt idx="2088">
                  <c:v>383.39</c:v>
                </c:pt>
                <c:pt idx="2089">
                  <c:v>383.551</c:v>
                </c:pt>
                <c:pt idx="2090">
                  <c:v>383.7169999999986</c:v>
                </c:pt>
                <c:pt idx="2091">
                  <c:v>383.868</c:v>
                </c:pt>
                <c:pt idx="2092">
                  <c:v>384.023</c:v>
                </c:pt>
                <c:pt idx="2093">
                  <c:v>384.187</c:v>
                </c:pt>
                <c:pt idx="2094">
                  <c:v>384.3519999999999</c:v>
                </c:pt>
                <c:pt idx="2095">
                  <c:v>384.52</c:v>
                </c:pt>
                <c:pt idx="2096">
                  <c:v>384.692</c:v>
                </c:pt>
                <c:pt idx="2097">
                  <c:v>384.8690000000001</c:v>
                </c:pt>
                <c:pt idx="2098">
                  <c:v>385.045</c:v>
                </c:pt>
                <c:pt idx="2099">
                  <c:v>385.213</c:v>
                </c:pt>
                <c:pt idx="2100">
                  <c:v>385.38</c:v>
                </c:pt>
                <c:pt idx="2101">
                  <c:v>385.548</c:v>
                </c:pt>
                <c:pt idx="2102">
                  <c:v>385.7169999999986</c:v>
                </c:pt>
                <c:pt idx="2103">
                  <c:v>385.8879999999999</c:v>
                </c:pt>
                <c:pt idx="2104">
                  <c:v>386.064</c:v>
                </c:pt>
                <c:pt idx="2105">
                  <c:v>386.2379999999989</c:v>
                </c:pt>
                <c:pt idx="2106">
                  <c:v>386.39</c:v>
                </c:pt>
                <c:pt idx="2107">
                  <c:v>386.533</c:v>
                </c:pt>
                <c:pt idx="2108">
                  <c:v>386.685</c:v>
                </c:pt>
                <c:pt idx="2109">
                  <c:v>386.8450000000001</c:v>
                </c:pt>
                <c:pt idx="2110">
                  <c:v>387.016</c:v>
                </c:pt>
                <c:pt idx="2111">
                  <c:v>387.1909999999999</c:v>
                </c:pt>
                <c:pt idx="2112">
                  <c:v>387.366</c:v>
                </c:pt>
                <c:pt idx="2113">
                  <c:v>387.5339999999989</c:v>
                </c:pt>
                <c:pt idx="2114">
                  <c:v>387.7029999999999</c:v>
                </c:pt>
                <c:pt idx="2115">
                  <c:v>387.865</c:v>
                </c:pt>
                <c:pt idx="2116">
                  <c:v>388.028</c:v>
                </c:pt>
                <c:pt idx="2117">
                  <c:v>388.196</c:v>
                </c:pt>
                <c:pt idx="2118">
                  <c:v>388.37</c:v>
                </c:pt>
                <c:pt idx="2119">
                  <c:v>388.533</c:v>
                </c:pt>
                <c:pt idx="2120">
                  <c:v>388.6859999999999</c:v>
                </c:pt>
                <c:pt idx="2121">
                  <c:v>388.8469999999999</c:v>
                </c:pt>
                <c:pt idx="2122">
                  <c:v>389.014</c:v>
                </c:pt>
                <c:pt idx="2123">
                  <c:v>389.175</c:v>
                </c:pt>
                <c:pt idx="2124">
                  <c:v>389.3369999999989</c:v>
                </c:pt>
                <c:pt idx="2125">
                  <c:v>389.505</c:v>
                </c:pt>
                <c:pt idx="2126">
                  <c:v>389.6720000000001</c:v>
                </c:pt>
                <c:pt idx="2127">
                  <c:v>389.844</c:v>
                </c:pt>
                <c:pt idx="2128">
                  <c:v>390.016</c:v>
                </c:pt>
                <c:pt idx="2129">
                  <c:v>390.1840000000001</c:v>
                </c:pt>
                <c:pt idx="2130">
                  <c:v>390.355</c:v>
                </c:pt>
                <c:pt idx="2131">
                  <c:v>390.524</c:v>
                </c:pt>
                <c:pt idx="2132">
                  <c:v>390.68</c:v>
                </c:pt>
                <c:pt idx="2133">
                  <c:v>390.84</c:v>
                </c:pt>
                <c:pt idx="2134">
                  <c:v>391.004</c:v>
                </c:pt>
                <c:pt idx="2135">
                  <c:v>391.1689999999999</c:v>
                </c:pt>
                <c:pt idx="2136">
                  <c:v>391.339</c:v>
                </c:pt>
                <c:pt idx="2137">
                  <c:v>391.51</c:v>
                </c:pt>
                <c:pt idx="2138">
                  <c:v>391.6809999999999</c:v>
                </c:pt>
                <c:pt idx="2139">
                  <c:v>391.8519999999999</c:v>
                </c:pt>
                <c:pt idx="2140">
                  <c:v>392.0179999999999</c:v>
                </c:pt>
                <c:pt idx="2141">
                  <c:v>392.1859999999999</c:v>
                </c:pt>
                <c:pt idx="2142">
                  <c:v>392.3519999999999</c:v>
                </c:pt>
                <c:pt idx="2143">
                  <c:v>392.502</c:v>
                </c:pt>
                <c:pt idx="2144">
                  <c:v>392.659</c:v>
                </c:pt>
                <c:pt idx="2145">
                  <c:v>392.824</c:v>
                </c:pt>
                <c:pt idx="2146">
                  <c:v>392.992</c:v>
                </c:pt>
                <c:pt idx="2147">
                  <c:v>393.1669999999999</c:v>
                </c:pt>
                <c:pt idx="2148">
                  <c:v>393.333</c:v>
                </c:pt>
                <c:pt idx="2149">
                  <c:v>393.4979999999989</c:v>
                </c:pt>
                <c:pt idx="2150">
                  <c:v>393.67</c:v>
                </c:pt>
                <c:pt idx="2151">
                  <c:v>393.8369999999989</c:v>
                </c:pt>
                <c:pt idx="2152">
                  <c:v>394.005</c:v>
                </c:pt>
                <c:pt idx="2153">
                  <c:v>394.173</c:v>
                </c:pt>
                <c:pt idx="2154">
                  <c:v>394.34</c:v>
                </c:pt>
                <c:pt idx="2155">
                  <c:v>394.509</c:v>
                </c:pt>
                <c:pt idx="2156">
                  <c:v>394.6789999999999</c:v>
                </c:pt>
                <c:pt idx="2157">
                  <c:v>394.853</c:v>
                </c:pt>
                <c:pt idx="2158">
                  <c:v>395.026</c:v>
                </c:pt>
                <c:pt idx="2159">
                  <c:v>395.2</c:v>
                </c:pt>
                <c:pt idx="2160">
                  <c:v>395.375</c:v>
                </c:pt>
                <c:pt idx="2161">
                  <c:v>395.548</c:v>
                </c:pt>
                <c:pt idx="2162">
                  <c:v>395.7219999999986</c:v>
                </c:pt>
                <c:pt idx="2163">
                  <c:v>395.886</c:v>
                </c:pt>
                <c:pt idx="2164">
                  <c:v>396.055</c:v>
                </c:pt>
                <c:pt idx="2165">
                  <c:v>396.2259999999989</c:v>
                </c:pt>
                <c:pt idx="2166">
                  <c:v>396.398</c:v>
                </c:pt>
                <c:pt idx="2167">
                  <c:v>396.5679999999999</c:v>
                </c:pt>
                <c:pt idx="2168">
                  <c:v>396.73</c:v>
                </c:pt>
                <c:pt idx="2169">
                  <c:v>396.889</c:v>
                </c:pt>
                <c:pt idx="2170">
                  <c:v>397.053</c:v>
                </c:pt>
                <c:pt idx="2171">
                  <c:v>397.2209999999992</c:v>
                </c:pt>
                <c:pt idx="2172">
                  <c:v>397.391</c:v>
                </c:pt>
                <c:pt idx="2173">
                  <c:v>397.564</c:v>
                </c:pt>
                <c:pt idx="2174">
                  <c:v>397.737</c:v>
                </c:pt>
                <c:pt idx="2175">
                  <c:v>397.91</c:v>
                </c:pt>
                <c:pt idx="2176">
                  <c:v>398.086</c:v>
                </c:pt>
                <c:pt idx="2177">
                  <c:v>398.266</c:v>
                </c:pt>
                <c:pt idx="2178">
                  <c:v>398.449</c:v>
                </c:pt>
                <c:pt idx="2179">
                  <c:v>398.6209999999999</c:v>
                </c:pt>
                <c:pt idx="2180">
                  <c:v>398.78</c:v>
                </c:pt>
                <c:pt idx="2181">
                  <c:v>398.9329999999989</c:v>
                </c:pt>
                <c:pt idx="2182">
                  <c:v>399.095</c:v>
                </c:pt>
                <c:pt idx="2183">
                  <c:v>399.261</c:v>
                </c:pt>
                <c:pt idx="2184">
                  <c:v>399.4259999999989</c:v>
                </c:pt>
                <c:pt idx="2185">
                  <c:v>399.601</c:v>
                </c:pt>
                <c:pt idx="2186">
                  <c:v>399.774</c:v>
                </c:pt>
                <c:pt idx="2187">
                  <c:v>399.9409999999999</c:v>
                </c:pt>
                <c:pt idx="2188">
                  <c:v>400.111</c:v>
                </c:pt>
                <c:pt idx="2189">
                  <c:v>400.2839999999989</c:v>
                </c:pt>
                <c:pt idx="2190">
                  <c:v>400.4569999999989</c:v>
                </c:pt>
                <c:pt idx="2191">
                  <c:v>400.622</c:v>
                </c:pt>
                <c:pt idx="2192">
                  <c:v>400.783</c:v>
                </c:pt>
                <c:pt idx="2193">
                  <c:v>400.946</c:v>
                </c:pt>
                <c:pt idx="2194">
                  <c:v>401.11</c:v>
                </c:pt>
                <c:pt idx="2195">
                  <c:v>401.274</c:v>
                </c:pt>
                <c:pt idx="2196">
                  <c:v>401.444</c:v>
                </c:pt>
                <c:pt idx="2197">
                  <c:v>401.612</c:v>
                </c:pt>
                <c:pt idx="2198">
                  <c:v>401.7769999999986</c:v>
                </c:pt>
                <c:pt idx="2199">
                  <c:v>401.9479999999999</c:v>
                </c:pt>
                <c:pt idx="2200">
                  <c:v>402.116</c:v>
                </c:pt>
                <c:pt idx="2201">
                  <c:v>402.2859999999989</c:v>
                </c:pt>
                <c:pt idx="2202">
                  <c:v>402.449</c:v>
                </c:pt>
                <c:pt idx="2203">
                  <c:v>402.612</c:v>
                </c:pt>
                <c:pt idx="2204">
                  <c:v>402.7769999999986</c:v>
                </c:pt>
                <c:pt idx="2205">
                  <c:v>402.946</c:v>
                </c:pt>
                <c:pt idx="2206">
                  <c:v>403.113</c:v>
                </c:pt>
                <c:pt idx="2207">
                  <c:v>403.2719999999989</c:v>
                </c:pt>
                <c:pt idx="2208">
                  <c:v>403.4309999999986</c:v>
                </c:pt>
                <c:pt idx="2209">
                  <c:v>403.591</c:v>
                </c:pt>
                <c:pt idx="2210">
                  <c:v>403.7509999999999</c:v>
                </c:pt>
                <c:pt idx="2211">
                  <c:v>403.9119999999986</c:v>
                </c:pt>
                <c:pt idx="2212">
                  <c:v>404.08</c:v>
                </c:pt>
                <c:pt idx="2213">
                  <c:v>404.2509999999999</c:v>
                </c:pt>
                <c:pt idx="2214">
                  <c:v>404.425</c:v>
                </c:pt>
                <c:pt idx="2215">
                  <c:v>404.6019999999999</c:v>
                </c:pt>
                <c:pt idx="2216">
                  <c:v>404.779</c:v>
                </c:pt>
                <c:pt idx="2217">
                  <c:v>404.95</c:v>
                </c:pt>
                <c:pt idx="2218">
                  <c:v>405.12</c:v>
                </c:pt>
                <c:pt idx="2219">
                  <c:v>405.2889999999989</c:v>
                </c:pt>
                <c:pt idx="2220">
                  <c:v>405.4649999999999</c:v>
                </c:pt>
                <c:pt idx="2221">
                  <c:v>405.641</c:v>
                </c:pt>
                <c:pt idx="2222">
                  <c:v>405.808</c:v>
                </c:pt>
                <c:pt idx="2223">
                  <c:v>405.97</c:v>
                </c:pt>
                <c:pt idx="2224">
                  <c:v>406.128</c:v>
                </c:pt>
                <c:pt idx="2225">
                  <c:v>406.279</c:v>
                </c:pt>
                <c:pt idx="2226">
                  <c:v>406.44</c:v>
                </c:pt>
                <c:pt idx="2227">
                  <c:v>406.61</c:v>
                </c:pt>
                <c:pt idx="2228">
                  <c:v>406.783</c:v>
                </c:pt>
                <c:pt idx="2229">
                  <c:v>406.9549999999999</c:v>
                </c:pt>
                <c:pt idx="2230">
                  <c:v>407.128</c:v>
                </c:pt>
                <c:pt idx="2231">
                  <c:v>407.302</c:v>
                </c:pt>
                <c:pt idx="2232">
                  <c:v>407.4759999999989</c:v>
                </c:pt>
                <c:pt idx="2233">
                  <c:v>407.654</c:v>
                </c:pt>
                <c:pt idx="2234">
                  <c:v>407.831</c:v>
                </c:pt>
                <c:pt idx="2235">
                  <c:v>408.009</c:v>
                </c:pt>
                <c:pt idx="2236">
                  <c:v>408.188</c:v>
                </c:pt>
                <c:pt idx="2237">
                  <c:v>408.3639999999999</c:v>
                </c:pt>
                <c:pt idx="2238">
                  <c:v>408.5389999999989</c:v>
                </c:pt>
                <c:pt idx="2239">
                  <c:v>408.71</c:v>
                </c:pt>
                <c:pt idx="2240">
                  <c:v>408.879</c:v>
                </c:pt>
                <c:pt idx="2241">
                  <c:v>409.051</c:v>
                </c:pt>
                <c:pt idx="2242">
                  <c:v>409.2209999999992</c:v>
                </c:pt>
                <c:pt idx="2243">
                  <c:v>409.387</c:v>
                </c:pt>
                <c:pt idx="2244">
                  <c:v>409.5559999999999</c:v>
                </c:pt>
                <c:pt idx="2245">
                  <c:v>409.73</c:v>
                </c:pt>
                <c:pt idx="2246">
                  <c:v>409.899</c:v>
                </c:pt>
                <c:pt idx="2247">
                  <c:v>410.069</c:v>
                </c:pt>
                <c:pt idx="2248">
                  <c:v>410.2339999999986</c:v>
                </c:pt>
                <c:pt idx="2249">
                  <c:v>410.4019999999986</c:v>
                </c:pt>
                <c:pt idx="2250">
                  <c:v>410.5729999999999</c:v>
                </c:pt>
                <c:pt idx="2251">
                  <c:v>410.748</c:v>
                </c:pt>
                <c:pt idx="2252">
                  <c:v>410.9239999999986</c:v>
                </c:pt>
                <c:pt idx="2253">
                  <c:v>411.103</c:v>
                </c:pt>
                <c:pt idx="2254">
                  <c:v>411.285</c:v>
                </c:pt>
                <c:pt idx="2255">
                  <c:v>411.4669999999986</c:v>
                </c:pt>
                <c:pt idx="2256">
                  <c:v>411.646</c:v>
                </c:pt>
                <c:pt idx="2257">
                  <c:v>411.824</c:v>
                </c:pt>
                <c:pt idx="2258">
                  <c:v>412.0009999999999</c:v>
                </c:pt>
                <c:pt idx="2259">
                  <c:v>412.175</c:v>
                </c:pt>
                <c:pt idx="2260">
                  <c:v>412.3419999999999</c:v>
                </c:pt>
                <c:pt idx="2261">
                  <c:v>412.502</c:v>
                </c:pt>
                <c:pt idx="2262">
                  <c:v>412.654</c:v>
                </c:pt>
                <c:pt idx="2263">
                  <c:v>412.815</c:v>
                </c:pt>
                <c:pt idx="2264">
                  <c:v>412.982</c:v>
                </c:pt>
                <c:pt idx="2265">
                  <c:v>413.153</c:v>
                </c:pt>
                <c:pt idx="2266">
                  <c:v>413.319</c:v>
                </c:pt>
                <c:pt idx="2267">
                  <c:v>413.4759999999989</c:v>
                </c:pt>
                <c:pt idx="2268">
                  <c:v>413.636</c:v>
                </c:pt>
                <c:pt idx="2269">
                  <c:v>413.801</c:v>
                </c:pt>
                <c:pt idx="2270">
                  <c:v>413.9719999999986</c:v>
                </c:pt>
                <c:pt idx="2271">
                  <c:v>414.1379999999999</c:v>
                </c:pt>
                <c:pt idx="2272">
                  <c:v>414.3</c:v>
                </c:pt>
                <c:pt idx="2273">
                  <c:v>414.458</c:v>
                </c:pt>
                <c:pt idx="2274">
                  <c:v>414.6209999999999</c:v>
                </c:pt>
                <c:pt idx="2275">
                  <c:v>414.788</c:v>
                </c:pt>
                <c:pt idx="2276">
                  <c:v>414.9549999999999</c:v>
                </c:pt>
                <c:pt idx="2277">
                  <c:v>415.123</c:v>
                </c:pt>
                <c:pt idx="2278">
                  <c:v>415.2909999999989</c:v>
                </c:pt>
                <c:pt idx="2279">
                  <c:v>415.46</c:v>
                </c:pt>
                <c:pt idx="2280">
                  <c:v>415.629</c:v>
                </c:pt>
                <c:pt idx="2281">
                  <c:v>415.7979999999989</c:v>
                </c:pt>
                <c:pt idx="2282">
                  <c:v>415.966</c:v>
                </c:pt>
                <c:pt idx="2283">
                  <c:v>416.136</c:v>
                </c:pt>
                <c:pt idx="2284">
                  <c:v>416.305</c:v>
                </c:pt>
                <c:pt idx="2285">
                  <c:v>416.4739999999989</c:v>
                </c:pt>
                <c:pt idx="2286">
                  <c:v>416.637</c:v>
                </c:pt>
                <c:pt idx="2287">
                  <c:v>416.802</c:v>
                </c:pt>
                <c:pt idx="2288">
                  <c:v>416.9739999999989</c:v>
                </c:pt>
                <c:pt idx="2289">
                  <c:v>417.147</c:v>
                </c:pt>
                <c:pt idx="2290">
                  <c:v>417.321</c:v>
                </c:pt>
                <c:pt idx="2291">
                  <c:v>417.4889999999986</c:v>
                </c:pt>
                <c:pt idx="2292">
                  <c:v>417.654</c:v>
                </c:pt>
                <c:pt idx="2293">
                  <c:v>417.824</c:v>
                </c:pt>
                <c:pt idx="2294">
                  <c:v>417.9889999999986</c:v>
                </c:pt>
                <c:pt idx="2295">
                  <c:v>418.154</c:v>
                </c:pt>
                <c:pt idx="2296">
                  <c:v>418.3229999999999</c:v>
                </c:pt>
                <c:pt idx="2297">
                  <c:v>418.4879999999989</c:v>
                </c:pt>
                <c:pt idx="2298">
                  <c:v>418.651</c:v>
                </c:pt>
                <c:pt idx="2299">
                  <c:v>418.813</c:v>
                </c:pt>
                <c:pt idx="2300">
                  <c:v>418.9829999999992</c:v>
                </c:pt>
                <c:pt idx="2301">
                  <c:v>419.1569999999999</c:v>
                </c:pt>
                <c:pt idx="2302">
                  <c:v>419.333</c:v>
                </c:pt>
                <c:pt idx="2303">
                  <c:v>419.502</c:v>
                </c:pt>
                <c:pt idx="2304">
                  <c:v>419.6669999999999</c:v>
                </c:pt>
                <c:pt idx="2305">
                  <c:v>419.831</c:v>
                </c:pt>
                <c:pt idx="2306">
                  <c:v>419.997</c:v>
                </c:pt>
                <c:pt idx="2307">
                  <c:v>420.168</c:v>
                </c:pt>
                <c:pt idx="2308">
                  <c:v>420.34</c:v>
                </c:pt>
                <c:pt idx="2309">
                  <c:v>420.511</c:v>
                </c:pt>
                <c:pt idx="2310">
                  <c:v>420.6789999999999</c:v>
                </c:pt>
                <c:pt idx="2311">
                  <c:v>420.848</c:v>
                </c:pt>
                <c:pt idx="2312">
                  <c:v>421.021</c:v>
                </c:pt>
                <c:pt idx="2313">
                  <c:v>421.194</c:v>
                </c:pt>
                <c:pt idx="2314">
                  <c:v>421.363</c:v>
                </c:pt>
                <c:pt idx="2315">
                  <c:v>421.5249999999999</c:v>
                </c:pt>
                <c:pt idx="2316">
                  <c:v>421.687</c:v>
                </c:pt>
                <c:pt idx="2317">
                  <c:v>421.841</c:v>
                </c:pt>
                <c:pt idx="2318">
                  <c:v>421.999</c:v>
                </c:pt>
                <c:pt idx="2319">
                  <c:v>422.161</c:v>
                </c:pt>
                <c:pt idx="2320">
                  <c:v>422.3319999999989</c:v>
                </c:pt>
                <c:pt idx="2321">
                  <c:v>422.5059999999999</c:v>
                </c:pt>
                <c:pt idx="2322">
                  <c:v>422.6789999999999</c:v>
                </c:pt>
                <c:pt idx="2323">
                  <c:v>422.853</c:v>
                </c:pt>
                <c:pt idx="2324">
                  <c:v>423.02</c:v>
                </c:pt>
                <c:pt idx="2325">
                  <c:v>423.18</c:v>
                </c:pt>
                <c:pt idx="2326">
                  <c:v>423.343</c:v>
                </c:pt>
                <c:pt idx="2327">
                  <c:v>423.504</c:v>
                </c:pt>
                <c:pt idx="2328">
                  <c:v>423.6689999999999</c:v>
                </c:pt>
                <c:pt idx="2329">
                  <c:v>423.833</c:v>
                </c:pt>
                <c:pt idx="2330">
                  <c:v>424.002</c:v>
                </c:pt>
                <c:pt idx="2331">
                  <c:v>424.168</c:v>
                </c:pt>
                <c:pt idx="2332">
                  <c:v>424.33</c:v>
                </c:pt>
                <c:pt idx="2333">
                  <c:v>424.4979999999989</c:v>
                </c:pt>
                <c:pt idx="2334">
                  <c:v>424.6720000000001</c:v>
                </c:pt>
                <c:pt idx="2335">
                  <c:v>424.8450000000001</c:v>
                </c:pt>
                <c:pt idx="2336">
                  <c:v>425.0219999999989</c:v>
                </c:pt>
                <c:pt idx="2337">
                  <c:v>425.2</c:v>
                </c:pt>
                <c:pt idx="2338">
                  <c:v>425.379</c:v>
                </c:pt>
                <c:pt idx="2339">
                  <c:v>425.56</c:v>
                </c:pt>
                <c:pt idx="2340">
                  <c:v>425.735</c:v>
                </c:pt>
                <c:pt idx="2341">
                  <c:v>425.896</c:v>
                </c:pt>
                <c:pt idx="2342">
                  <c:v>426.048</c:v>
                </c:pt>
                <c:pt idx="2343">
                  <c:v>426.21</c:v>
                </c:pt>
                <c:pt idx="2344">
                  <c:v>426.378</c:v>
                </c:pt>
                <c:pt idx="2345">
                  <c:v>426.552</c:v>
                </c:pt>
                <c:pt idx="2346">
                  <c:v>426.7219999999986</c:v>
                </c:pt>
                <c:pt idx="2347">
                  <c:v>426.887</c:v>
                </c:pt>
                <c:pt idx="2348">
                  <c:v>427.05</c:v>
                </c:pt>
                <c:pt idx="2349">
                  <c:v>427.2119999999989</c:v>
                </c:pt>
                <c:pt idx="2350">
                  <c:v>427.377</c:v>
                </c:pt>
                <c:pt idx="2351">
                  <c:v>427.548</c:v>
                </c:pt>
                <c:pt idx="2352">
                  <c:v>427.7149999999999</c:v>
                </c:pt>
                <c:pt idx="2353">
                  <c:v>427.879</c:v>
                </c:pt>
                <c:pt idx="2354">
                  <c:v>428.035</c:v>
                </c:pt>
                <c:pt idx="2355">
                  <c:v>428.187</c:v>
                </c:pt>
                <c:pt idx="2356">
                  <c:v>428.341</c:v>
                </c:pt>
                <c:pt idx="2357">
                  <c:v>428.494</c:v>
                </c:pt>
                <c:pt idx="2358">
                  <c:v>428.652</c:v>
                </c:pt>
                <c:pt idx="2359">
                  <c:v>428.81</c:v>
                </c:pt>
                <c:pt idx="2360">
                  <c:v>428.975</c:v>
                </c:pt>
                <c:pt idx="2361">
                  <c:v>429.143</c:v>
                </c:pt>
                <c:pt idx="2362">
                  <c:v>429.314</c:v>
                </c:pt>
                <c:pt idx="2363">
                  <c:v>429.487</c:v>
                </c:pt>
                <c:pt idx="2364">
                  <c:v>429.655</c:v>
                </c:pt>
                <c:pt idx="2365">
                  <c:v>429.824</c:v>
                </c:pt>
                <c:pt idx="2366">
                  <c:v>429.999</c:v>
                </c:pt>
                <c:pt idx="2367">
                  <c:v>430.173</c:v>
                </c:pt>
                <c:pt idx="2368">
                  <c:v>430.344</c:v>
                </c:pt>
                <c:pt idx="2369">
                  <c:v>430.515</c:v>
                </c:pt>
                <c:pt idx="2370">
                  <c:v>430.687</c:v>
                </c:pt>
                <c:pt idx="2371">
                  <c:v>430.863</c:v>
                </c:pt>
                <c:pt idx="2372">
                  <c:v>431.0389999999989</c:v>
                </c:pt>
                <c:pt idx="2373">
                  <c:v>431.208</c:v>
                </c:pt>
                <c:pt idx="2374">
                  <c:v>431.38</c:v>
                </c:pt>
                <c:pt idx="2375">
                  <c:v>431.55</c:v>
                </c:pt>
                <c:pt idx="2376">
                  <c:v>431.7189999999989</c:v>
                </c:pt>
                <c:pt idx="2377">
                  <c:v>431.892</c:v>
                </c:pt>
                <c:pt idx="2378">
                  <c:v>432.065</c:v>
                </c:pt>
                <c:pt idx="2379">
                  <c:v>432.2389999999986</c:v>
                </c:pt>
                <c:pt idx="2380">
                  <c:v>432.4059999999996</c:v>
                </c:pt>
                <c:pt idx="2381">
                  <c:v>432.5659999999999</c:v>
                </c:pt>
                <c:pt idx="2382">
                  <c:v>432.73</c:v>
                </c:pt>
                <c:pt idx="2383">
                  <c:v>432.901</c:v>
                </c:pt>
                <c:pt idx="2384">
                  <c:v>433.072</c:v>
                </c:pt>
                <c:pt idx="2385">
                  <c:v>433.235</c:v>
                </c:pt>
                <c:pt idx="2386">
                  <c:v>433.394</c:v>
                </c:pt>
                <c:pt idx="2387">
                  <c:v>433.553</c:v>
                </c:pt>
                <c:pt idx="2388">
                  <c:v>433.711</c:v>
                </c:pt>
                <c:pt idx="2389">
                  <c:v>433.877</c:v>
                </c:pt>
                <c:pt idx="2390">
                  <c:v>434.0489999999999</c:v>
                </c:pt>
                <c:pt idx="2391">
                  <c:v>434.218</c:v>
                </c:pt>
                <c:pt idx="2392">
                  <c:v>434.3829999999999</c:v>
                </c:pt>
                <c:pt idx="2393">
                  <c:v>434.548</c:v>
                </c:pt>
                <c:pt idx="2394">
                  <c:v>434.711</c:v>
                </c:pt>
                <c:pt idx="2395">
                  <c:v>434.872</c:v>
                </c:pt>
                <c:pt idx="2396">
                  <c:v>435.04</c:v>
                </c:pt>
                <c:pt idx="2397">
                  <c:v>435.209</c:v>
                </c:pt>
                <c:pt idx="2398">
                  <c:v>435.373</c:v>
                </c:pt>
                <c:pt idx="2399">
                  <c:v>435.5309999999996</c:v>
                </c:pt>
                <c:pt idx="2400">
                  <c:v>435.696</c:v>
                </c:pt>
                <c:pt idx="2401">
                  <c:v>435.8589999999999</c:v>
                </c:pt>
                <c:pt idx="2402">
                  <c:v>436.0179999999999</c:v>
                </c:pt>
                <c:pt idx="2403">
                  <c:v>436.1809999999999</c:v>
                </c:pt>
                <c:pt idx="2404">
                  <c:v>436.3519999999999</c:v>
                </c:pt>
                <c:pt idx="2405">
                  <c:v>436.52</c:v>
                </c:pt>
                <c:pt idx="2406">
                  <c:v>436.689</c:v>
                </c:pt>
                <c:pt idx="2407">
                  <c:v>436.86</c:v>
                </c:pt>
                <c:pt idx="2408">
                  <c:v>437.0319999999986</c:v>
                </c:pt>
                <c:pt idx="2409">
                  <c:v>437.2069999999989</c:v>
                </c:pt>
                <c:pt idx="2410">
                  <c:v>437.3759999999999</c:v>
                </c:pt>
                <c:pt idx="2411">
                  <c:v>437.546</c:v>
                </c:pt>
                <c:pt idx="2412">
                  <c:v>437.7149999999999</c:v>
                </c:pt>
                <c:pt idx="2413">
                  <c:v>437.884</c:v>
                </c:pt>
                <c:pt idx="2414">
                  <c:v>438.055</c:v>
                </c:pt>
                <c:pt idx="2415">
                  <c:v>438.2259999999989</c:v>
                </c:pt>
                <c:pt idx="2416">
                  <c:v>438.399</c:v>
                </c:pt>
                <c:pt idx="2417">
                  <c:v>438.57</c:v>
                </c:pt>
                <c:pt idx="2418">
                  <c:v>438.74</c:v>
                </c:pt>
                <c:pt idx="2419">
                  <c:v>438.9059999999996</c:v>
                </c:pt>
                <c:pt idx="2420">
                  <c:v>439.067</c:v>
                </c:pt>
                <c:pt idx="2421">
                  <c:v>439.232</c:v>
                </c:pt>
                <c:pt idx="2422">
                  <c:v>439.398</c:v>
                </c:pt>
                <c:pt idx="2423">
                  <c:v>439.567</c:v>
                </c:pt>
                <c:pt idx="2424">
                  <c:v>439.742</c:v>
                </c:pt>
                <c:pt idx="2425">
                  <c:v>439.913</c:v>
                </c:pt>
                <c:pt idx="2426">
                  <c:v>440.0819999999989</c:v>
                </c:pt>
                <c:pt idx="2427">
                  <c:v>440.25</c:v>
                </c:pt>
                <c:pt idx="2428">
                  <c:v>440.4169999999986</c:v>
                </c:pt>
                <c:pt idx="2429">
                  <c:v>440.584</c:v>
                </c:pt>
                <c:pt idx="2430">
                  <c:v>440.754</c:v>
                </c:pt>
                <c:pt idx="2431">
                  <c:v>440.9279999999989</c:v>
                </c:pt>
                <c:pt idx="2432">
                  <c:v>441.106</c:v>
                </c:pt>
                <c:pt idx="2433">
                  <c:v>441.2719999999989</c:v>
                </c:pt>
                <c:pt idx="2434">
                  <c:v>441.4239999999986</c:v>
                </c:pt>
                <c:pt idx="2435">
                  <c:v>441.583</c:v>
                </c:pt>
                <c:pt idx="2436">
                  <c:v>441.747</c:v>
                </c:pt>
                <c:pt idx="2437">
                  <c:v>441.92</c:v>
                </c:pt>
                <c:pt idx="2438">
                  <c:v>442.095</c:v>
                </c:pt>
                <c:pt idx="2439">
                  <c:v>442.27</c:v>
                </c:pt>
                <c:pt idx="2440">
                  <c:v>442.446</c:v>
                </c:pt>
                <c:pt idx="2441">
                  <c:v>442.617</c:v>
                </c:pt>
                <c:pt idx="2442">
                  <c:v>442.7869999999986</c:v>
                </c:pt>
                <c:pt idx="2443">
                  <c:v>442.959</c:v>
                </c:pt>
                <c:pt idx="2444">
                  <c:v>443.132</c:v>
                </c:pt>
                <c:pt idx="2445">
                  <c:v>443.301</c:v>
                </c:pt>
                <c:pt idx="2446">
                  <c:v>443.4719999999986</c:v>
                </c:pt>
                <c:pt idx="2447">
                  <c:v>443.644</c:v>
                </c:pt>
                <c:pt idx="2448">
                  <c:v>443.815</c:v>
                </c:pt>
                <c:pt idx="2449">
                  <c:v>443.9889999999986</c:v>
                </c:pt>
                <c:pt idx="2450">
                  <c:v>444.161</c:v>
                </c:pt>
                <c:pt idx="2451">
                  <c:v>444.33</c:v>
                </c:pt>
                <c:pt idx="2452">
                  <c:v>444.5009999999999</c:v>
                </c:pt>
                <c:pt idx="2453">
                  <c:v>444.673</c:v>
                </c:pt>
                <c:pt idx="2454">
                  <c:v>444.8419999999999</c:v>
                </c:pt>
                <c:pt idx="2455">
                  <c:v>445.0059999999999</c:v>
                </c:pt>
                <c:pt idx="2456">
                  <c:v>445.163</c:v>
                </c:pt>
                <c:pt idx="2457">
                  <c:v>445.319</c:v>
                </c:pt>
                <c:pt idx="2458">
                  <c:v>445.4689999999989</c:v>
                </c:pt>
                <c:pt idx="2459">
                  <c:v>445.624</c:v>
                </c:pt>
                <c:pt idx="2460">
                  <c:v>445.7859999999989</c:v>
                </c:pt>
                <c:pt idx="2461">
                  <c:v>445.944</c:v>
                </c:pt>
                <c:pt idx="2462">
                  <c:v>446.101</c:v>
                </c:pt>
                <c:pt idx="2463">
                  <c:v>446.266</c:v>
                </c:pt>
                <c:pt idx="2464">
                  <c:v>446.437</c:v>
                </c:pt>
                <c:pt idx="2465">
                  <c:v>446.61</c:v>
                </c:pt>
                <c:pt idx="2466">
                  <c:v>446.7869999999986</c:v>
                </c:pt>
                <c:pt idx="2467">
                  <c:v>446.961</c:v>
                </c:pt>
                <c:pt idx="2468">
                  <c:v>447.13</c:v>
                </c:pt>
                <c:pt idx="2469">
                  <c:v>447.295</c:v>
                </c:pt>
                <c:pt idx="2470">
                  <c:v>447.459</c:v>
                </c:pt>
                <c:pt idx="2471">
                  <c:v>447.622</c:v>
                </c:pt>
                <c:pt idx="2472">
                  <c:v>447.783</c:v>
                </c:pt>
                <c:pt idx="2473">
                  <c:v>447.949</c:v>
                </c:pt>
                <c:pt idx="2474">
                  <c:v>448.118</c:v>
                </c:pt>
                <c:pt idx="2475">
                  <c:v>448.29</c:v>
                </c:pt>
                <c:pt idx="2476">
                  <c:v>448.46</c:v>
                </c:pt>
                <c:pt idx="2477">
                  <c:v>448.6309999999999</c:v>
                </c:pt>
                <c:pt idx="2478">
                  <c:v>448.802</c:v>
                </c:pt>
                <c:pt idx="2479">
                  <c:v>448.9759999999989</c:v>
                </c:pt>
                <c:pt idx="2480">
                  <c:v>449.148</c:v>
                </c:pt>
                <c:pt idx="2481">
                  <c:v>449.314</c:v>
                </c:pt>
                <c:pt idx="2482">
                  <c:v>449.4719999999986</c:v>
                </c:pt>
                <c:pt idx="2483">
                  <c:v>449.642</c:v>
                </c:pt>
                <c:pt idx="2484">
                  <c:v>449.814</c:v>
                </c:pt>
                <c:pt idx="2485">
                  <c:v>449.9879999999989</c:v>
                </c:pt>
                <c:pt idx="2486">
                  <c:v>450.154</c:v>
                </c:pt>
                <c:pt idx="2487">
                  <c:v>450.319</c:v>
                </c:pt>
                <c:pt idx="2488">
                  <c:v>450.4959999999986</c:v>
                </c:pt>
                <c:pt idx="2489">
                  <c:v>450.677</c:v>
                </c:pt>
                <c:pt idx="2490">
                  <c:v>450.856</c:v>
                </c:pt>
                <c:pt idx="2491">
                  <c:v>451.033</c:v>
                </c:pt>
                <c:pt idx="2492">
                  <c:v>451.21</c:v>
                </c:pt>
                <c:pt idx="2493">
                  <c:v>451.375</c:v>
                </c:pt>
                <c:pt idx="2494">
                  <c:v>451.5389999999989</c:v>
                </c:pt>
                <c:pt idx="2495">
                  <c:v>451.71</c:v>
                </c:pt>
                <c:pt idx="2496">
                  <c:v>451.884</c:v>
                </c:pt>
                <c:pt idx="2497">
                  <c:v>452.06</c:v>
                </c:pt>
                <c:pt idx="2498">
                  <c:v>452.232</c:v>
                </c:pt>
                <c:pt idx="2499">
                  <c:v>452.399</c:v>
                </c:pt>
                <c:pt idx="2500">
                  <c:v>452.562</c:v>
                </c:pt>
                <c:pt idx="2501">
                  <c:v>452.73</c:v>
                </c:pt>
                <c:pt idx="2502">
                  <c:v>452.9</c:v>
                </c:pt>
                <c:pt idx="2503">
                  <c:v>453.07</c:v>
                </c:pt>
                <c:pt idx="2504">
                  <c:v>453.2359999999989</c:v>
                </c:pt>
                <c:pt idx="2505">
                  <c:v>453.3929999999999</c:v>
                </c:pt>
                <c:pt idx="2506">
                  <c:v>453.5489999999999</c:v>
                </c:pt>
                <c:pt idx="2507">
                  <c:v>453.708</c:v>
                </c:pt>
                <c:pt idx="2508">
                  <c:v>453.865</c:v>
                </c:pt>
                <c:pt idx="2509">
                  <c:v>454.02</c:v>
                </c:pt>
                <c:pt idx="2510">
                  <c:v>454.171</c:v>
                </c:pt>
                <c:pt idx="2511">
                  <c:v>454.329</c:v>
                </c:pt>
                <c:pt idx="2512">
                  <c:v>454.4879999999989</c:v>
                </c:pt>
                <c:pt idx="2513">
                  <c:v>454.649</c:v>
                </c:pt>
                <c:pt idx="2514">
                  <c:v>454.805</c:v>
                </c:pt>
                <c:pt idx="2515">
                  <c:v>454.961</c:v>
                </c:pt>
                <c:pt idx="2516">
                  <c:v>455.116</c:v>
                </c:pt>
                <c:pt idx="2517">
                  <c:v>455.276</c:v>
                </c:pt>
                <c:pt idx="2518">
                  <c:v>455.442</c:v>
                </c:pt>
                <c:pt idx="2519">
                  <c:v>455.615</c:v>
                </c:pt>
                <c:pt idx="2520">
                  <c:v>455.7939999999986</c:v>
                </c:pt>
                <c:pt idx="2521">
                  <c:v>455.9759999999989</c:v>
                </c:pt>
                <c:pt idx="2522">
                  <c:v>456.1619999999999</c:v>
                </c:pt>
                <c:pt idx="2523">
                  <c:v>456.3450000000001</c:v>
                </c:pt>
                <c:pt idx="2524">
                  <c:v>456.5249999999999</c:v>
                </c:pt>
                <c:pt idx="2525">
                  <c:v>456.7029999999999</c:v>
                </c:pt>
                <c:pt idx="2526">
                  <c:v>456.875</c:v>
                </c:pt>
                <c:pt idx="2527">
                  <c:v>457.0439999999999</c:v>
                </c:pt>
                <c:pt idx="2528">
                  <c:v>457.2169999999986</c:v>
                </c:pt>
                <c:pt idx="2529">
                  <c:v>457.392</c:v>
                </c:pt>
                <c:pt idx="2530">
                  <c:v>457.567</c:v>
                </c:pt>
                <c:pt idx="2531">
                  <c:v>457.74</c:v>
                </c:pt>
                <c:pt idx="2532">
                  <c:v>457.908</c:v>
                </c:pt>
                <c:pt idx="2533">
                  <c:v>458.072</c:v>
                </c:pt>
                <c:pt idx="2534">
                  <c:v>458.228</c:v>
                </c:pt>
                <c:pt idx="2535">
                  <c:v>458.382</c:v>
                </c:pt>
                <c:pt idx="2536">
                  <c:v>458.543</c:v>
                </c:pt>
                <c:pt idx="2537">
                  <c:v>458.7119999999989</c:v>
                </c:pt>
                <c:pt idx="2538">
                  <c:v>458.88</c:v>
                </c:pt>
                <c:pt idx="2539">
                  <c:v>459.048</c:v>
                </c:pt>
                <c:pt idx="2540">
                  <c:v>459.2209999999992</c:v>
                </c:pt>
                <c:pt idx="2541">
                  <c:v>459.3929999999999</c:v>
                </c:pt>
                <c:pt idx="2542">
                  <c:v>459.5659999999999</c:v>
                </c:pt>
                <c:pt idx="2543">
                  <c:v>459.7359999999989</c:v>
                </c:pt>
                <c:pt idx="2544">
                  <c:v>459.908</c:v>
                </c:pt>
                <c:pt idx="2545">
                  <c:v>460.072</c:v>
                </c:pt>
                <c:pt idx="2546">
                  <c:v>460.241</c:v>
                </c:pt>
                <c:pt idx="2547">
                  <c:v>460.4059999999996</c:v>
                </c:pt>
                <c:pt idx="2548">
                  <c:v>460.572</c:v>
                </c:pt>
                <c:pt idx="2549">
                  <c:v>460.741</c:v>
                </c:pt>
                <c:pt idx="2550">
                  <c:v>460.9069999999986</c:v>
                </c:pt>
                <c:pt idx="2551">
                  <c:v>461.0659999999999</c:v>
                </c:pt>
                <c:pt idx="2552">
                  <c:v>461.2289999999986</c:v>
                </c:pt>
                <c:pt idx="2553">
                  <c:v>461.403</c:v>
                </c:pt>
                <c:pt idx="2554">
                  <c:v>461.58</c:v>
                </c:pt>
                <c:pt idx="2555">
                  <c:v>461.757</c:v>
                </c:pt>
                <c:pt idx="2556">
                  <c:v>461.934</c:v>
                </c:pt>
                <c:pt idx="2557">
                  <c:v>462.11</c:v>
                </c:pt>
                <c:pt idx="2558">
                  <c:v>462.288</c:v>
                </c:pt>
                <c:pt idx="2559">
                  <c:v>462.461</c:v>
                </c:pt>
                <c:pt idx="2560">
                  <c:v>462.6329999999999</c:v>
                </c:pt>
                <c:pt idx="2561">
                  <c:v>462.803</c:v>
                </c:pt>
                <c:pt idx="2562">
                  <c:v>462.9709999999992</c:v>
                </c:pt>
                <c:pt idx="2563">
                  <c:v>463.137</c:v>
                </c:pt>
                <c:pt idx="2564">
                  <c:v>463.302</c:v>
                </c:pt>
                <c:pt idx="2565">
                  <c:v>463.475</c:v>
                </c:pt>
                <c:pt idx="2566">
                  <c:v>463.653</c:v>
                </c:pt>
                <c:pt idx="2567">
                  <c:v>463.8319999999989</c:v>
                </c:pt>
                <c:pt idx="2568">
                  <c:v>464.014</c:v>
                </c:pt>
                <c:pt idx="2569">
                  <c:v>464.1909999999999</c:v>
                </c:pt>
                <c:pt idx="2570">
                  <c:v>464.366</c:v>
                </c:pt>
                <c:pt idx="2571">
                  <c:v>464.5369999999986</c:v>
                </c:pt>
                <c:pt idx="2572">
                  <c:v>464.706</c:v>
                </c:pt>
                <c:pt idx="2573">
                  <c:v>464.877</c:v>
                </c:pt>
                <c:pt idx="2574">
                  <c:v>465.051</c:v>
                </c:pt>
                <c:pt idx="2575">
                  <c:v>465.2219999999986</c:v>
                </c:pt>
                <c:pt idx="2576">
                  <c:v>465.386</c:v>
                </c:pt>
                <c:pt idx="2577">
                  <c:v>465.548</c:v>
                </c:pt>
                <c:pt idx="2578">
                  <c:v>465.708</c:v>
                </c:pt>
                <c:pt idx="2579">
                  <c:v>465.878</c:v>
                </c:pt>
                <c:pt idx="2580">
                  <c:v>466.048</c:v>
                </c:pt>
                <c:pt idx="2581">
                  <c:v>466.218</c:v>
                </c:pt>
                <c:pt idx="2582">
                  <c:v>466.374</c:v>
                </c:pt>
                <c:pt idx="2583">
                  <c:v>466.524</c:v>
                </c:pt>
                <c:pt idx="2584">
                  <c:v>466.676</c:v>
                </c:pt>
                <c:pt idx="2585">
                  <c:v>466.834</c:v>
                </c:pt>
                <c:pt idx="2586">
                  <c:v>466.9979999999989</c:v>
                </c:pt>
                <c:pt idx="2587">
                  <c:v>467.156</c:v>
                </c:pt>
                <c:pt idx="2588">
                  <c:v>467.313</c:v>
                </c:pt>
                <c:pt idx="2589">
                  <c:v>467.473</c:v>
                </c:pt>
                <c:pt idx="2590">
                  <c:v>467.64</c:v>
                </c:pt>
                <c:pt idx="2591">
                  <c:v>467.812</c:v>
                </c:pt>
                <c:pt idx="2592">
                  <c:v>467.9859999999989</c:v>
                </c:pt>
                <c:pt idx="2593">
                  <c:v>468.161</c:v>
                </c:pt>
                <c:pt idx="2594">
                  <c:v>468.338</c:v>
                </c:pt>
                <c:pt idx="2595">
                  <c:v>468.51</c:v>
                </c:pt>
                <c:pt idx="2596">
                  <c:v>468.68</c:v>
                </c:pt>
                <c:pt idx="2597">
                  <c:v>468.856</c:v>
                </c:pt>
                <c:pt idx="2598">
                  <c:v>469.03</c:v>
                </c:pt>
                <c:pt idx="2599">
                  <c:v>469.197</c:v>
                </c:pt>
                <c:pt idx="2600">
                  <c:v>469.355</c:v>
                </c:pt>
                <c:pt idx="2601">
                  <c:v>469.5179999999999</c:v>
                </c:pt>
                <c:pt idx="2602">
                  <c:v>469.6789999999999</c:v>
                </c:pt>
                <c:pt idx="2603">
                  <c:v>469.848</c:v>
                </c:pt>
                <c:pt idx="2604">
                  <c:v>470.014</c:v>
                </c:pt>
                <c:pt idx="2605">
                  <c:v>470.1809999999999</c:v>
                </c:pt>
                <c:pt idx="2606">
                  <c:v>470.3570000000001</c:v>
                </c:pt>
                <c:pt idx="2607">
                  <c:v>470.5309999999996</c:v>
                </c:pt>
                <c:pt idx="2608">
                  <c:v>470.7049999999999</c:v>
                </c:pt>
                <c:pt idx="2609">
                  <c:v>470.874</c:v>
                </c:pt>
                <c:pt idx="2610">
                  <c:v>471.033</c:v>
                </c:pt>
                <c:pt idx="2611">
                  <c:v>471.189</c:v>
                </c:pt>
                <c:pt idx="2612">
                  <c:v>471.355</c:v>
                </c:pt>
                <c:pt idx="2613">
                  <c:v>471.528</c:v>
                </c:pt>
                <c:pt idx="2614">
                  <c:v>471.696</c:v>
                </c:pt>
                <c:pt idx="2615">
                  <c:v>471.856</c:v>
                </c:pt>
                <c:pt idx="2616">
                  <c:v>472.02</c:v>
                </c:pt>
                <c:pt idx="2617">
                  <c:v>472.195</c:v>
                </c:pt>
                <c:pt idx="2618">
                  <c:v>472.3690000000001</c:v>
                </c:pt>
                <c:pt idx="2619">
                  <c:v>472.5439999999999</c:v>
                </c:pt>
                <c:pt idx="2620">
                  <c:v>472.72</c:v>
                </c:pt>
                <c:pt idx="2621">
                  <c:v>472.89</c:v>
                </c:pt>
                <c:pt idx="2622">
                  <c:v>473.0609999999999</c:v>
                </c:pt>
                <c:pt idx="2623">
                  <c:v>473.23</c:v>
                </c:pt>
                <c:pt idx="2624">
                  <c:v>473.398</c:v>
                </c:pt>
                <c:pt idx="2625">
                  <c:v>473.5679999999999</c:v>
                </c:pt>
                <c:pt idx="2626">
                  <c:v>473.737</c:v>
                </c:pt>
                <c:pt idx="2627">
                  <c:v>473.9049999999999</c:v>
                </c:pt>
                <c:pt idx="2628">
                  <c:v>474.074</c:v>
                </c:pt>
                <c:pt idx="2629">
                  <c:v>474.245</c:v>
                </c:pt>
                <c:pt idx="2630">
                  <c:v>474.4139999999989</c:v>
                </c:pt>
                <c:pt idx="2631">
                  <c:v>474.579</c:v>
                </c:pt>
                <c:pt idx="2632">
                  <c:v>474.75</c:v>
                </c:pt>
                <c:pt idx="2633">
                  <c:v>474.9279999999989</c:v>
                </c:pt>
                <c:pt idx="2634">
                  <c:v>475.105</c:v>
                </c:pt>
                <c:pt idx="2635">
                  <c:v>475.283</c:v>
                </c:pt>
                <c:pt idx="2636">
                  <c:v>475.463</c:v>
                </c:pt>
                <c:pt idx="2637">
                  <c:v>475.642</c:v>
                </c:pt>
                <c:pt idx="2638">
                  <c:v>475.8159999999999</c:v>
                </c:pt>
                <c:pt idx="2639">
                  <c:v>475.9859999999989</c:v>
                </c:pt>
                <c:pt idx="2640">
                  <c:v>476.158</c:v>
                </c:pt>
                <c:pt idx="2641">
                  <c:v>476.329</c:v>
                </c:pt>
                <c:pt idx="2642">
                  <c:v>476.504</c:v>
                </c:pt>
                <c:pt idx="2643">
                  <c:v>476.6809999999999</c:v>
                </c:pt>
                <c:pt idx="2644">
                  <c:v>476.8539999999999</c:v>
                </c:pt>
                <c:pt idx="2645">
                  <c:v>477.017</c:v>
                </c:pt>
                <c:pt idx="2646">
                  <c:v>477.18</c:v>
                </c:pt>
                <c:pt idx="2647">
                  <c:v>477.3419999999999</c:v>
                </c:pt>
                <c:pt idx="2648">
                  <c:v>477.51</c:v>
                </c:pt>
                <c:pt idx="2649">
                  <c:v>477.68</c:v>
                </c:pt>
                <c:pt idx="2650">
                  <c:v>477.851</c:v>
                </c:pt>
                <c:pt idx="2651">
                  <c:v>478.0249999999999</c:v>
                </c:pt>
                <c:pt idx="2652">
                  <c:v>478.1979999999999</c:v>
                </c:pt>
                <c:pt idx="2653">
                  <c:v>478.3759999999999</c:v>
                </c:pt>
                <c:pt idx="2654">
                  <c:v>478.555</c:v>
                </c:pt>
                <c:pt idx="2655">
                  <c:v>478.7239999999989</c:v>
                </c:pt>
                <c:pt idx="2656">
                  <c:v>478.889</c:v>
                </c:pt>
                <c:pt idx="2657">
                  <c:v>479.055</c:v>
                </c:pt>
                <c:pt idx="2658">
                  <c:v>479.2189999999989</c:v>
                </c:pt>
                <c:pt idx="2659">
                  <c:v>479.384</c:v>
                </c:pt>
                <c:pt idx="2660">
                  <c:v>479.538</c:v>
                </c:pt>
                <c:pt idx="2661">
                  <c:v>479.696</c:v>
                </c:pt>
                <c:pt idx="2662">
                  <c:v>479.8589999999999</c:v>
                </c:pt>
                <c:pt idx="2663">
                  <c:v>480.028</c:v>
                </c:pt>
                <c:pt idx="2664">
                  <c:v>480.201</c:v>
                </c:pt>
                <c:pt idx="2665">
                  <c:v>480.373</c:v>
                </c:pt>
                <c:pt idx="2666">
                  <c:v>480.5419999999999</c:v>
                </c:pt>
                <c:pt idx="2667">
                  <c:v>480.713</c:v>
                </c:pt>
                <c:pt idx="2668">
                  <c:v>480.886</c:v>
                </c:pt>
                <c:pt idx="2669">
                  <c:v>481.046</c:v>
                </c:pt>
                <c:pt idx="2670">
                  <c:v>481.2049999999999</c:v>
                </c:pt>
                <c:pt idx="2671">
                  <c:v>481.362</c:v>
                </c:pt>
                <c:pt idx="2672">
                  <c:v>481.5269999999986</c:v>
                </c:pt>
                <c:pt idx="2673">
                  <c:v>481.697</c:v>
                </c:pt>
                <c:pt idx="2674">
                  <c:v>481.874</c:v>
                </c:pt>
                <c:pt idx="2675">
                  <c:v>482.052</c:v>
                </c:pt>
                <c:pt idx="2676">
                  <c:v>482.2259999999989</c:v>
                </c:pt>
                <c:pt idx="2677">
                  <c:v>482.3969999999989</c:v>
                </c:pt>
                <c:pt idx="2678">
                  <c:v>482.562</c:v>
                </c:pt>
                <c:pt idx="2679">
                  <c:v>482.728</c:v>
                </c:pt>
                <c:pt idx="2680">
                  <c:v>482.894</c:v>
                </c:pt>
                <c:pt idx="2681">
                  <c:v>483.053</c:v>
                </c:pt>
                <c:pt idx="2682">
                  <c:v>483.218</c:v>
                </c:pt>
                <c:pt idx="2683">
                  <c:v>483.374</c:v>
                </c:pt>
                <c:pt idx="2684">
                  <c:v>483.53</c:v>
                </c:pt>
                <c:pt idx="2685">
                  <c:v>483.6909999999999</c:v>
                </c:pt>
                <c:pt idx="2686">
                  <c:v>483.856</c:v>
                </c:pt>
                <c:pt idx="2687">
                  <c:v>484.026</c:v>
                </c:pt>
                <c:pt idx="2688">
                  <c:v>484.194</c:v>
                </c:pt>
                <c:pt idx="2689">
                  <c:v>484.367</c:v>
                </c:pt>
                <c:pt idx="2690">
                  <c:v>484.5419999999999</c:v>
                </c:pt>
                <c:pt idx="2691">
                  <c:v>484.7149999999999</c:v>
                </c:pt>
                <c:pt idx="2692">
                  <c:v>484.886</c:v>
                </c:pt>
                <c:pt idx="2693">
                  <c:v>485.063</c:v>
                </c:pt>
                <c:pt idx="2694">
                  <c:v>485.241</c:v>
                </c:pt>
                <c:pt idx="2695">
                  <c:v>485.408</c:v>
                </c:pt>
                <c:pt idx="2696">
                  <c:v>485.5729999999999</c:v>
                </c:pt>
                <c:pt idx="2697">
                  <c:v>485.7389999999986</c:v>
                </c:pt>
                <c:pt idx="2698">
                  <c:v>485.904</c:v>
                </c:pt>
                <c:pt idx="2699">
                  <c:v>486.064</c:v>
                </c:pt>
                <c:pt idx="2700">
                  <c:v>486.2329999999992</c:v>
                </c:pt>
                <c:pt idx="2701">
                  <c:v>486.403</c:v>
                </c:pt>
                <c:pt idx="2702">
                  <c:v>486.565</c:v>
                </c:pt>
                <c:pt idx="2703">
                  <c:v>486.7309999999989</c:v>
                </c:pt>
                <c:pt idx="2704">
                  <c:v>486.901</c:v>
                </c:pt>
                <c:pt idx="2705">
                  <c:v>487.076</c:v>
                </c:pt>
                <c:pt idx="2706">
                  <c:v>487.257</c:v>
                </c:pt>
                <c:pt idx="2707">
                  <c:v>487.4379999999989</c:v>
                </c:pt>
                <c:pt idx="2708">
                  <c:v>487.6139999999999</c:v>
                </c:pt>
                <c:pt idx="2709">
                  <c:v>487.7909999999989</c:v>
                </c:pt>
                <c:pt idx="2710">
                  <c:v>487.968</c:v>
                </c:pt>
                <c:pt idx="2711">
                  <c:v>488.144</c:v>
                </c:pt>
                <c:pt idx="2712">
                  <c:v>488.319</c:v>
                </c:pt>
                <c:pt idx="2713">
                  <c:v>488.4909999999986</c:v>
                </c:pt>
                <c:pt idx="2714">
                  <c:v>488.6619999999999</c:v>
                </c:pt>
                <c:pt idx="2715">
                  <c:v>488.834</c:v>
                </c:pt>
                <c:pt idx="2716">
                  <c:v>489.004</c:v>
                </c:pt>
                <c:pt idx="2717">
                  <c:v>489.176</c:v>
                </c:pt>
                <c:pt idx="2718">
                  <c:v>489.349</c:v>
                </c:pt>
                <c:pt idx="2719">
                  <c:v>489.5249999999999</c:v>
                </c:pt>
                <c:pt idx="2720">
                  <c:v>489.699</c:v>
                </c:pt>
                <c:pt idx="2721">
                  <c:v>489.8709999999999</c:v>
                </c:pt>
                <c:pt idx="2722">
                  <c:v>490.043</c:v>
                </c:pt>
                <c:pt idx="2723">
                  <c:v>490.2169999999986</c:v>
                </c:pt>
                <c:pt idx="2724">
                  <c:v>490.394</c:v>
                </c:pt>
                <c:pt idx="2725">
                  <c:v>490.571</c:v>
                </c:pt>
                <c:pt idx="2726">
                  <c:v>490.745</c:v>
                </c:pt>
                <c:pt idx="2727">
                  <c:v>490.9169999999986</c:v>
                </c:pt>
                <c:pt idx="2728">
                  <c:v>491.089</c:v>
                </c:pt>
                <c:pt idx="2729">
                  <c:v>491.261</c:v>
                </c:pt>
                <c:pt idx="2730">
                  <c:v>491.432</c:v>
                </c:pt>
                <c:pt idx="2731">
                  <c:v>491.601</c:v>
                </c:pt>
                <c:pt idx="2732">
                  <c:v>491.7679999999999</c:v>
                </c:pt>
                <c:pt idx="2733">
                  <c:v>491.934</c:v>
                </c:pt>
                <c:pt idx="2734">
                  <c:v>492.1</c:v>
                </c:pt>
                <c:pt idx="2735">
                  <c:v>492.271</c:v>
                </c:pt>
                <c:pt idx="2736">
                  <c:v>492.445</c:v>
                </c:pt>
                <c:pt idx="2737">
                  <c:v>492.6209999999999</c:v>
                </c:pt>
                <c:pt idx="2738">
                  <c:v>492.7959999999989</c:v>
                </c:pt>
                <c:pt idx="2739">
                  <c:v>492.9739999999989</c:v>
                </c:pt>
                <c:pt idx="2740">
                  <c:v>493.149</c:v>
                </c:pt>
                <c:pt idx="2741">
                  <c:v>493.321</c:v>
                </c:pt>
                <c:pt idx="2742">
                  <c:v>493.4879999999989</c:v>
                </c:pt>
                <c:pt idx="2743">
                  <c:v>493.656</c:v>
                </c:pt>
                <c:pt idx="2744">
                  <c:v>493.83</c:v>
                </c:pt>
                <c:pt idx="2745">
                  <c:v>493.9979999999989</c:v>
                </c:pt>
                <c:pt idx="2746">
                  <c:v>494.165</c:v>
                </c:pt>
                <c:pt idx="2747">
                  <c:v>494.338</c:v>
                </c:pt>
                <c:pt idx="2748">
                  <c:v>494.499</c:v>
                </c:pt>
                <c:pt idx="2749">
                  <c:v>494.655</c:v>
                </c:pt>
                <c:pt idx="2750">
                  <c:v>494.802</c:v>
                </c:pt>
                <c:pt idx="2751">
                  <c:v>494.95</c:v>
                </c:pt>
                <c:pt idx="2752">
                  <c:v>495.1070000000001</c:v>
                </c:pt>
                <c:pt idx="2753">
                  <c:v>495.262</c:v>
                </c:pt>
                <c:pt idx="2754">
                  <c:v>495.4159999999989</c:v>
                </c:pt>
                <c:pt idx="2755">
                  <c:v>495.571</c:v>
                </c:pt>
                <c:pt idx="2756">
                  <c:v>495.735</c:v>
                </c:pt>
                <c:pt idx="2757">
                  <c:v>495.9049999999999</c:v>
                </c:pt>
                <c:pt idx="2758">
                  <c:v>496.0869999999989</c:v>
                </c:pt>
                <c:pt idx="2759">
                  <c:v>496.273</c:v>
                </c:pt>
                <c:pt idx="2760">
                  <c:v>496.454</c:v>
                </c:pt>
                <c:pt idx="2761">
                  <c:v>496.63</c:v>
                </c:pt>
                <c:pt idx="2762">
                  <c:v>496.7989999999986</c:v>
                </c:pt>
                <c:pt idx="2763">
                  <c:v>496.963</c:v>
                </c:pt>
                <c:pt idx="2764">
                  <c:v>497.125</c:v>
                </c:pt>
                <c:pt idx="2765">
                  <c:v>497.29</c:v>
                </c:pt>
                <c:pt idx="2766">
                  <c:v>497.4569999999989</c:v>
                </c:pt>
                <c:pt idx="2767">
                  <c:v>497.624</c:v>
                </c:pt>
                <c:pt idx="2768">
                  <c:v>497.7979999999989</c:v>
                </c:pt>
                <c:pt idx="2769">
                  <c:v>497.9739999999989</c:v>
                </c:pt>
                <c:pt idx="2770">
                  <c:v>498.151</c:v>
                </c:pt>
                <c:pt idx="2771">
                  <c:v>498.3179999999999</c:v>
                </c:pt>
                <c:pt idx="2772">
                  <c:v>498.485</c:v>
                </c:pt>
                <c:pt idx="2773">
                  <c:v>498.658</c:v>
                </c:pt>
                <c:pt idx="2774">
                  <c:v>498.83</c:v>
                </c:pt>
                <c:pt idx="2775">
                  <c:v>498.999</c:v>
                </c:pt>
                <c:pt idx="2776">
                  <c:v>499.168</c:v>
                </c:pt>
                <c:pt idx="2777">
                  <c:v>499.334</c:v>
                </c:pt>
                <c:pt idx="2778">
                  <c:v>499.4959999999986</c:v>
                </c:pt>
                <c:pt idx="2779">
                  <c:v>499.6669999999999</c:v>
                </c:pt>
                <c:pt idx="2780">
                  <c:v>499.8419999999999</c:v>
                </c:pt>
                <c:pt idx="2781">
                  <c:v>500.015</c:v>
                </c:pt>
                <c:pt idx="2782">
                  <c:v>500.1809999999999</c:v>
                </c:pt>
                <c:pt idx="2783">
                  <c:v>500.349</c:v>
                </c:pt>
                <c:pt idx="2784">
                  <c:v>500.521</c:v>
                </c:pt>
                <c:pt idx="2785">
                  <c:v>500.6929999999999</c:v>
                </c:pt>
                <c:pt idx="2786">
                  <c:v>500.8690000000001</c:v>
                </c:pt>
                <c:pt idx="2787">
                  <c:v>501.0389999999989</c:v>
                </c:pt>
                <c:pt idx="2788">
                  <c:v>501.204</c:v>
                </c:pt>
                <c:pt idx="2789">
                  <c:v>501.368</c:v>
                </c:pt>
                <c:pt idx="2790">
                  <c:v>501.5369999999986</c:v>
                </c:pt>
                <c:pt idx="2791">
                  <c:v>501.71</c:v>
                </c:pt>
                <c:pt idx="2792">
                  <c:v>501.884</c:v>
                </c:pt>
                <c:pt idx="2793">
                  <c:v>502.051</c:v>
                </c:pt>
                <c:pt idx="2794">
                  <c:v>502.223</c:v>
                </c:pt>
                <c:pt idx="2795">
                  <c:v>502.392</c:v>
                </c:pt>
                <c:pt idx="2796">
                  <c:v>502.5590000000001</c:v>
                </c:pt>
                <c:pt idx="2797">
                  <c:v>502.7239999999989</c:v>
                </c:pt>
                <c:pt idx="2798">
                  <c:v>502.887</c:v>
                </c:pt>
                <c:pt idx="2799">
                  <c:v>503.0539999999999</c:v>
                </c:pt>
                <c:pt idx="2800">
                  <c:v>503.2209999999992</c:v>
                </c:pt>
                <c:pt idx="2801">
                  <c:v>503.391</c:v>
                </c:pt>
                <c:pt idx="2802">
                  <c:v>503.5559999999999</c:v>
                </c:pt>
                <c:pt idx="2803">
                  <c:v>503.711</c:v>
                </c:pt>
                <c:pt idx="2804">
                  <c:v>503.8759999999999</c:v>
                </c:pt>
                <c:pt idx="2805">
                  <c:v>504.045</c:v>
                </c:pt>
                <c:pt idx="2806">
                  <c:v>504.214</c:v>
                </c:pt>
                <c:pt idx="2807">
                  <c:v>504.384</c:v>
                </c:pt>
                <c:pt idx="2808">
                  <c:v>504.552</c:v>
                </c:pt>
                <c:pt idx="2809">
                  <c:v>504.7149999999999</c:v>
                </c:pt>
                <c:pt idx="2810">
                  <c:v>504.878</c:v>
                </c:pt>
                <c:pt idx="2811">
                  <c:v>505.043</c:v>
                </c:pt>
                <c:pt idx="2812">
                  <c:v>505.211</c:v>
                </c:pt>
                <c:pt idx="2813">
                  <c:v>505.374</c:v>
                </c:pt>
                <c:pt idx="2814">
                  <c:v>505.538</c:v>
                </c:pt>
                <c:pt idx="2815">
                  <c:v>505.702</c:v>
                </c:pt>
                <c:pt idx="2816">
                  <c:v>505.868</c:v>
                </c:pt>
                <c:pt idx="2817">
                  <c:v>506.0419999999999</c:v>
                </c:pt>
                <c:pt idx="2818">
                  <c:v>506.2209999999992</c:v>
                </c:pt>
                <c:pt idx="2819">
                  <c:v>506.399</c:v>
                </c:pt>
                <c:pt idx="2820">
                  <c:v>506.574</c:v>
                </c:pt>
                <c:pt idx="2821">
                  <c:v>506.7459999999999</c:v>
                </c:pt>
                <c:pt idx="2822">
                  <c:v>506.9119999999986</c:v>
                </c:pt>
                <c:pt idx="2823">
                  <c:v>507.0819999999989</c:v>
                </c:pt>
                <c:pt idx="2824">
                  <c:v>507.2559999999999</c:v>
                </c:pt>
                <c:pt idx="2825">
                  <c:v>507.427</c:v>
                </c:pt>
                <c:pt idx="2826">
                  <c:v>507.5969999999986</c:v>
                </c:pt>
                <c:pt idx="2827">
                  <c:v>507.77</c:v>
                </c:pt>
                <c:pt idx="2828">
                  <c:v>507.9429999999999</c:v>
                </c:pt>
                <c:pt idx="2829">
                  <c:v>508.117</c:v>
                </c:pt>
                <c:pt idx="2830">
                  <c:v>508.2919999999986</c:v>
                </c:pt>
                <c:pt idx="2831">
                  <c:v>508.463</c:v>
                </c:pt>
                <c:pt idx="2832">
                  <c:v>508.632</c:v>
                </c:pt>
                <c:pt idx="2833">
                  <c:v>508.7929999999996</c:v>
                </c:pt>
                <c:pt idx="2834">
                  <c:v>508.954</c:v>
                </c:pt>
                <c:pt idx="2835">
                  <c:v>509.115</c:v>
                </c:pt>
                <c:pt idx="2836">
                  <c:v>509.2819999999986</c:v>
                </c:pt>
                <c:pt idx="2837">
                  <c:v>509.45</c:v>
                </c:pt>
                <c:pt idx="2838">
                  <c:v>509.6089999999999</c:v>
                </c:pt>
                <c:pt idx="2839">
                  <c:v>509.765</c:v>
                </c:pt>
                <c:pt idx="2840">
                  <c:v>509.9209999999989</c:v>
                </c:pt>
                <c:pt idx="2841">
                  <c:v>510.083</c:v>
                </c:pt>
                <c:pt idx="2842">
                  <c:v>510.249</c:v>
                </c:pt>
                <c:pt idx="2843">
                  <c:v>510.4169999999986</c:v>
                </c:pt>
                <c:pt idx="2844">
                  <c:v>510.584</c:v>
                </c:pt>
                <c:pt idx="2845">
                  <c:v>510.7309999999989</c:v>
                </c:pt>
                <c:pt idx="2846">
                  <c:v>510.8829999999999</c:v>
                </c:pt>
                <c:pt idx="2847">
                  <c:v>511.048</c:v>
                </c:pt>
                <c:pt idx="2848">
                  <c:v>511.2029999999999</c:v>
                </c:pt>
                <c:pt idx="2849">
                  <c:v>511.351</c:v>
                </c:pt>
                <c:pt idx="2850">
                  <c:v>511.509</c:v>
                </c:pt>
                <c:pt idx="2851">
                  <c:v>511.678</c:v>
                </c:pt>
                <c:pt idx="2852">
                  <c:v>511.8519999999999</c:v>
                </c:pt>
                <c:pt idx="2853">
                  <c:v>512.0319999999994</c:v>
                </c:pt>
                <c:pt idx="2854">
                  <c:v>512.21</c:v>
                </c:pt>
                <c:pt idx="2855">
                  <c:v>512.391</c:v>
                </c:pt>
                <c:pt idx="2856">
                  <c:v>512.571</c:v>
                </c:pt>
                <c:pt idx="2857">
                  <c:v>512.745</c:v>
                </c:pt>
                <c:pt idx="2858">
                  <c:v>512.9159999999994</c:v>
                </c:pt>
                <c:pt idx="2859">
                  <c:v>513.088</c:v>
                </c:pt>
                <c:pt idx="2860">
                  <c:v>513.261</c:v>
                </c:pt>
                <c:pt idx="2861">
                  <c:v>513.4249999999994</c:v>
                </c:pt>
                <c:pt idx="2862">
                  <c:v>513.588</c:v>
                </c:pt>
                <c:pt idx="2863">
                  <c:v>513.749</c:v>
                </c:pt>
                <c:pt idx="2864">
                  <c:v>513.9159999999994</c:v>
                </c:pt>
                <c:pt idx="2865">
                  <c:v>514.095</c:v>
                </c:pt>
                <c:pt idx="2866">
                  <c:v>514.28</c:v>
                </c:pt>
                <c:pt idx="2867">
                  <c:v>514.4589999999994</c:v>
                </c:pt>
                <c:pt idx="2868">
                  <c:v>514.636</c:v>
                </c:pt>
                <c:pt idx="2869">
                  <c:v>514.8159999999979</c:v>
                </c:pt>
                <c:pt idx="2870">
                  <c:v>514.995</c:v>
                </c:pt>
                <c:pt idx="2871">
                  <c:v>515.163</c:v>
                </c:pt>
                <c:pt idx="2872">
                  <c:v>515.3269999999974</c:v>
                </c:pt>
                <c:pt idx="2873">
                  <c:v>515.5</c:v>
                </c:pt>
                <c:pt idx="2874">
                  <c:v>515.6619999999979</c:v>
                </c:pt>
                <c:pt idx="2875">
                  <c:v>515.8179999999974</c:v>
                </c:pt>
                <c:pt idx="2876">
                  <c:v>515.9779999999994</c:v>
                </c:pt>
                <c:pt idx="2877">
                  <c:v>516.148</c:v>
                </c:pt>
                <c:pt idx="2878">
                  <c:v>516.3199999999994</c:v>
                </c:pt>
                <c:pt idx="2879">
                  <c:v>516.499</c:v>
                </c:pt>
                <c:pt idx="2880">
                  <c:v>516.68</c:v>
                </c:pt>
                <c:pt idx="2881">
                  <c:v>516.8630000000001</c:v>
                </c:pt>
                <c:pt idx="2882">
                  <c:v>517.043</c:v>
                </c:pt>
                <c:pt idx="2883">
                  <c:v>517.216</c:v>
                </c:pt>
                <c:pt idx="2884">
                  <c:v>517.393</c:v>
                </c:pt>
                <c:pt idx="2885">
                  <c:v>517.571</c:v>
                </c:pt>
                <c:pt idx="2886">
                  <c:v>517.751</c:v>
                </c:pt>
                <c:pt idx="2887">
                  <c:v>517.9269999999979</c:v>
                </c:pt>
                <c:pt idx="2888">
                  <c:v>518.105</c:v>
                </c:pt>
                <c:pt idx="2889">
                  <c:v>518.288</c:v>
                </c:pt>
                <c:pt idx="2890">
                  <c:v>518.4689999999994</c:v>
                </c:pt>
                <c:pt idx="2891">
                  <c:v>518.646</c:v>
                </c:pt>
                <c:pt idx="2892">
                  <c:v>518.8179999999974</c:v>
                </c:pt>
                <c:pt idx="2893">
                  <c:v>518.9880000000001</c:v>
                </c:pt>
                <c:pt idx="2894">
                  <c:v>519.163</c:v>
                </c:pt>
                <c:pt idx="2895">
                  <c:v>519.3349999999979</c:v>
                </c:pt>
                <c:pt idx="2896">
                  <c:v>519.504</c:v>
                </c:pt>
                <c:pt idx="2897">
                  <c:v>519.675</c:v>
                </c:pt>
                <c:pt idx="2898">
                  <c:v>519.8499999999979</c:v>
                </c:pt>
                <c:pt idx="2899">
                  <c:v>520.02</c:v>
                </c:pt>
                <c:pt idx="2900">
                  <c:v>520.192</c:v>
                </c:pt>
                <c:pt idx="2901">
                  <c:v>520.3659999999974</c:v>
                </c:pt>
                <c:pt idx="2902">
                  <c:v>520.53</c:v>
                </c:pt>
                <c:pt idx="2903">
                  <c:v>520.694</c:v>
                </c:pt>
                <c:pt idx="2904">
                  <c:v>520.8630000000001</c:v>
                </c:pt>
                <c:pt idx="2905">
                  <c:v>521.0319999999994</c:v>
                </c:pt>
                <c:pt idx="2906">
                  <c:v>521.203</c:v>
                </c:pt>
                <c:pt idx="2907">
                  <c:v>521.374</c:v>
                </c:pt>
                <c:pt idx="2908">
                  <c:v>521.545</c:v>
                </c:pt>
                <c:pt idx="2909">
                  <c:v>521.72</c:v>
                </c:pt>
                <c:pt idx="2910">
                  <c:v>521.894</c:v>
                </c:pt>
                <c:pt idx="2911">
                  <c:v>522.0679999999974</c:v>
                </c:pt>
                <c:pt idx="2912">
                  <c:v>522.2380000000001</c:v>
                </c:pt>
                <c:pt idx="2913">
                  <c:v>522.41</c:v>
                </c:pt>
                <c:pt idx="2914">
                  <c:v>522.58</c:v>
                </c:pt>
                <c:pt idx="2915">
                  <c:v>522.7569999999994</c:v>
                </c:pt>
                <c:pt idx="2916">
                  <c:v>522.9249999999994</c:v>
                </c:pt>
                <c:pt idx="2917">
                  <c:v>523.091</c:v>
                </c:pt>
                <c:pt idx="2918">
                  <c:v>523.2619999999994</c:v>
                </c:pt>
                <c:pt idx="2919">
                  <c:v>523.4319999999979</c:v>
                </c:pt>
                <c:pt idx="2920">
                  <c:v>523.596</c:v>
                </c:pt>
                <c:pt idx="2921">
                  <c:v>523.7569999999994</c:v>
                </c:pt>
                <c:pt idx="2922">
                  <c:v>523.9159999999994</c:v>
                </c:pt>
                <c:pt idx="2923">
                  <c:v>524.076</c:v>
                </c:pt>
                <c:pt idx="2924">
                  <c:v>524.248</c:v>
                </c:pt>
                <c:pt idx="2925">
                  <c:v>524.423</c:v>
                </c:pt>
                <c:pt idx="2926">
                  <c:v>524.599</c:v>
                </c:pt>
                <c:pt idx="2927">
                  <c:v>524.775</c:v>
                </c:pt>
                <c:pt idx="2928">
                  <c:v>524.9529999999974</c:v>
                </c:pt>
                <c:pt idx="2929">
                  <c:v>525.1269999999994</c:v>
                </c:pt>
                <c:pt idx="2930">
                  <c:v>525.296</c:v>
                </c:pt>
                <c:pt idx="2931">
                  <c:v>525.4579999999974</c:v>
                </c:pt>
                <c:pt idx="2932">
                  <c:v>525.623</c:v>
                </c:pt>
                <c:pt idx="2933">
                  <c:v>525.794</c:v>
                </c:pt>
                <c:pt idx="2934">
                  <c:v>525.9609999999974</c:v>
                </c:pt>
                <c:pt idx="2935">
                  <c:v>526.121</c:v>
                </c:pt>
                <c:pt idx="2936">
                  <c:v>526.284</c:v>
                </c:pt>
                <c:pt idx="2937">
                  <c:v>526.444</c:v>
                </c:pt>
                <c:pt idx="2938">
                  <c:v>526.607</c:v>
                </c:pt>
                <c:pt idx="2939">
                  <c:v>526.77</c:v>
                </c:pt>
                <c:pt idx="2940">
                  <c:v>526.9319999999979</c:v>
                </c:pt>
                <c:pt idx="2941">
                  <c:v>527.099</c:v>
                </c:pt>
                <c:pt idx="2942">
                  <c:v>527.276</c:v>
                </c:pt>
                <c:pt idx="2943">
                  <c:v>527.4559999999979</c:v>
                </c:pt>
                <c:pt idx="2944">
                  <c:v>527.636</c:v>
                </c:pt>
                <c:pt idx="2945">
                  <c:v>527.819</c:v>
                </c:pt>
                <c:pt idx="2946">
                  <c:v>528.005</c:v>
                </c:pt>
                <c:pt idx="2947">
                  <c:v>528.185</c:v>
                </c:pt>
                <c:pt idx="2948">
                  <c:v>528.3639999999979</c:v>
                </c:pt>
                <c:pt idx="2949">
                  <c:v>528.54</c:v>
                </c:pt>
                <c:pt idx="2950">
                  <c:v>528.7140000000001</c:v>
                </c:pt>
                <c:pt idx="2951">
                  <c:v>528.89</c:v>
                </c:pt>
                <c:pt idx="2952">
                  <c:v>529.059</c:v>
                </c:pt>
                <c:pt idx="2953">
                  <c:v>529.224</c:v>
                </c:pt>
                <c:pt idx="2954">
                  <c:v>529.395</c:v>
                </c:pt>
                <c:pt idx="2955">
                  <c:v>529.5649999999994</c:v>
                </c:pt>
                <c:pt idx="2956">
                  <c:v>529.734</c:v>
                </c:pt>
                <c:pt idx="2957">
                  <c:v>529.9009999999994</c:v>
                </c:pt>
                <c:pt idx="2958">
                  <c:v>530.0609999999979</c:v>
                </c:pt>
                <c:pt idx="2959">
                  <c:v>530.224</c:v>
                </c:pt>
                <c:pt idx="2960">
                  <c:v>530.394</c:v>
                </c:pt>
                <c:pt idx="2961">
                  <c:v>530.5619999999974</c:v>
                </c:pt>
                <c:pt idx="2962">
                  <c:v>530.731</c:v>
                </c:pt>
                <c:pt idx="2963">
                  <c:v>530.895</c:v>
                </c:pt>
                <c:pt idx="2964">
                  <c:v>531.0579999999974</c:v>
                </c:pt>
                <c:pt idx="2965">
                  <c:v>531.2</c:v>
                </c:pt>
                <c:pt idx="2966">
                  <c:v>531.3429999999923</c:v>
                </c:pt>
                <c:pt idx="2967">
                  <c:v>531.49</c:v>
                </c:pt>
                <c:pt idx="2968">
                  <c:v>531.645</c:v>
                </c:pt>
                <c:pt idx="2969">
                  <c:v>531.8049999999994</c:v>
                </c:pt>
                <c:pt idx="2970">
                  <c:v>531.9619999999974</c:v>
                </c:pt>
                <c:pt idx="2971">
                  <c:v>532.123</c:v>
                </c:pt>
                <c:pt idx="2972">
                  <c:v>532.285</c:v>
                </c:pt>
                <c:pt idx="2973">
                  <c:v>532.4459999999979</c:v>
                </c:pt>
                <c:pt idx="2974">
                  <c:v>532.609</c:v>
                </c:pt>
                <c:pt idx="2975">
                  <c:v>532.776</c:v>
                </c:pt>
                <c:pt idx="2976">
                  <c:v>532.9509999999979</c:v>
                </c:pt>
                <c:pt idx="2977">
                  <c:v>533.129</c:v>
                </c:pt>
                <c:pt idx="2978">
                  <c:v>533.3099999999994</c:v>
                </c:pt>
                <c:pt idx="2979">
                  <c:v>533.487</c:v>
                </c:pt>
                <c:pt idx="2980">
                  <c:v>533.659</c:v>
                </c:pt>
                <c:pt idx="2981">
                  <c:v>533.8319999999974</c:v>
                </c:pt>
                <c:pt idx="2982">
                  <c:v>534.01</c:v>
                </c:pt>
                <c:pt idx="2983">
                  <c:v>534.186</c:v>
                </c:pt>
                <c:pt idx="2984">
                  <c:v>534.3539999999994</c:v>
                </c:pt>
                <c:pt idx="2985">
                  <c:v>534.516</c:v>
                </c:pt>
                <c:pt idx="2986">
                  <c:v>534.665</c:v>
                </c:pt>
                <c:pt idx="2987">
                  <c:v>534.8209999999979</c:v>
                </c:pt>
                <c:pt idx="2988">
                  <c:v>534.985</c:v>
                </c:pt>
                <c:pt idx="2989">
                  <c:v>535.145</c:v>
                </c:pt>
                <c:pt idx="2990">
                  <c:v>535.3069999999979</c:v>
                </c:pt>
                <c:pt idx="2991">
                  <c:v>535.4689999999994</c:v>
                </c:pt>
                <c:pt idx="2992">
                  <c:v>535.624</c:v>
                </c:pt>
                <c:pt idx="2993">
                  <c:v>535.774</c:v>
                </c:pt>
                <c:pt idx="2994">
                  <c:v>535.9299999999994</c:v>
                </c:pt>
                <c:pt idx="2995">
                  <c:v>536.092</c:v>
                </c:pt>
                <c:pt idx="2996">
                  <c:v>536.26</c:v>
                </c:pt>
                <c:pt idx="2997">
                  <c:v>536.4379999999974</c:v>
                </c:pt>
                <c:pt idx="2998">
                  <c:v>536.614</c:v>
                </c:pt>
                <c:pt idx="2999">
                  <c:v>536.797</c:v>
                </c:pt>
                <c:pt idx="3000">
                  <c:v>536.985</c:v>
                </c:pt>
                <c:pt idx="3001">
                  <c:v>537.173</c:v>
                </c:pt>
                <c:pt idx="3002">
                  <c:v>537.3529999999918</c:v>
                </c:pt>
                <c:pt idx="3003">
                  <c:v>537.53</c:v>
                </c:pt>
                <c:pt idx="3004">
                  <c:v>537.704</c:v>
                </c:pt>
                <c:pt idx="3005">
                  <c:v>537.874</c:v>
                </c:pt>
                <c:pt idx="3006">
                  <c:v>538.045</c:v>
                </c:pt>
                <c:pt idx="3007">
                  <c:v>538.217</c:v>
                </c:pt>
                <c:pt idx="3008">
                  <c:v>538.39</c:v>
                </c:pt>
                <c:pt idx="3009">
                  <c:v>538.5549999999994</c:v>
                </c:pt>
                <c:pt idx="3010">
                  <c:v>538.721</c:v>
                </c:pt>
                <c:pt idx="3011">
                  <c:v>538.896</c:v>
                </c:pt>
                <c:pt idx="3012">
                  <c:v>539.07</c:v>
                </c:pt>
                <c:pt idx="3013">
                  <c:v>539.246</c:v>
                </c:pt>
                <c:pt idx="3014">
                  <c:v>539.4219999999979</c:v>
                </c:pt>
                <c:pt idx="3015">
                  <c:v>539.595</c:v>
                </c:pt>
                <c:pt idx="3016">
                  <c:v>539.768</c:v>
                </c:pt>
                <c:pt idx="3017">
                  <c:v>539.9459999999979</c:v>
                </c:pt>
                <c:pt idx="3018">
                  <c:v>540.114</c:v>
                </c:pt>
                <c:pt idx="3019">
                  <c:v>540.272</c:v>
                </c:pt>
                <c:pt idx="3020">
                  <c:v>540.4319999999979</c:v>
                </c:pt>
                <c:pt idx="3021">
                  <c:v>540.596</c:v>
                </c:pt>
                <c:pt idx="3022">
                  <c:v>540.759</c:v>
                </c:pt>
                <c:pt idx="3023">
                  <c:v>540.928</c:v>
                </c:pt>
                <c:pt idx="3024">
                  <c:v>541.1</c:v>
                </c:pt>
                <c:pt idx="3025">
                  <c:v>541.276</c:v>
                </c:pt>
                <c:pt idx="3026">
                  <c:v>541.4539999999994</c:v>
                </c:pt>
                <c:pt idx="3027">
                  <c:v>541.626</c:v>
                </c:pt>
                <c:pt idx="3028">
                  <c:v>541.791</c:v>
                </c:pt>
                <c:pt idx="3029">
                  <c:v>541.9519999999974</c:v>
                </c:pt>
                <c:pt idx="3030">
                  <c:v>542.118</c:v>
                </c:pt>
                <c:pt idx="3031">
                  <c:v>542.291</c:v>
                </c:pt>
                <c:pt idx="3032">
                  <c:v>542.4579999999974</c:v>
                </c:pt>
                <c:pt idx="3033">
                  <c:v>542.623</c:v>
                </c:pt>
                <c:pt idx="3034">
                  <c:v>542.795</c:v>
                </c:pt>
                <c:pt idx="3035">
                  <c:v>542.9649999999979</c:v>
                </c:pt>
                <c:pt idx="3036">
                  <c:v>543.1319999999994</c:v>
                </c:pt>
                <c:pt idx="3037">
                  <c:v>543.299</c:v>
                </c:pt>
                <c:pt idx="3038">
                  <c:v>543.472</c:v>
                </c:pt>
                <c:pt idx="3039">
                  <c:v>543.648</c:v>
                </c:pt>
                <c:pt idx="3040">
                  <c:v>543.8209999999979</c:v>
                </c:pt>
                <c:pt idx="3041">
                  <c:v>543.993</c:v>
                </c:pt>
                <c:pt idx="3042">
                  <c:v>544.171</c:v>
                </c:pt>
                <c:pt idx="3043">
                  <c:v>544.3509999999974</c:v>
                </c:pt>
                <c:pt idx="3044">
                  <c:v>544.5309999999994</c:v>
                </c:pt>
                <c:pt idx="3045">
                  <c:v>544.708</c:v>
                </c:pt>
                <c:pt idx="3046">
                  <c:v>544.883</c:v>
                </c:pt>
                <c:pt idx="3047">
                  <c:v>545.0599999999994</c:v>
                </c:pt>
                <c:pt idx="3048">
                  <c:v>545.235</c:v>
                </c:pt>
                <c:pt idx="3049">
                  <c:v>545.4119999999979</c:v>
                </c:pt>
                <c:pt idx="3050">
                  <c:v>545.5890000000001</c:v>
                </c:pt>
                <c:pt idx="3051">
                  <c:v>545.7569999999994</c:v>
                </c:pt>
                <c:pt idx="3052">
                  <c:v>545.9259999999994</c:v>
                </c:pt>
                <c:pt idx="3053">
                  <c:v>546.098</c:v>
                </c:pt>
                <c:pt idx="3054">
                  <c:v>546.276</c:v>
                </c:pt>
                <c:pt idx="3055">
                  <c:v>546.4559999999979</c:v>
                </c:pt>
                <c:pt idx="3056">
                  <c:v>546.63</c:v>
                </c:pt>
                <c:pt idx="3057">
                  <c:v>546.798</c:v>
                </c:pt>
                <c:pt idx="3058">
                  <c:v>546.9629999999925</c:v>
                </c:pt>
                <c:pt idx="3059">
                  <c:v>547.11</c:v>
                </c:pt>
                <c:pt idx="3060">
                  <c:v>547.2519999999994</c:v>
                </c:pt>
                <c:pt idx="3061">
                  <c:v>547.408</c:v>
                </c:pt>
                <c:pt idx="3062">
                  <c:v>547.575</c:v>
                </c:pt>
                <c:pt idx="3063">
                  <c:v>547.747</c:v>
                </c:pt>
                <c:pt idx="3064">
                  <c:v>547.923</c:v>
                </c:pt>
                <c:pt idx="3065">
                  <c:v>548.094</c:v>
                </c:pt>
                <c:pt idx="3066">
                  <c:v>548.2569999999994</c:v>
                </c:pt>
                <c:pt idx="3067">
                  <c:v>548.42</c:v>
                </c:pt>
                <c:pt idx="3068">
                  <c:v>548.5890000000001</c:v>
                </c:pt>
                <c:pt idx="3069">
                  <c:v>548.756</c:v>
                </c:pt>
                <c:pt idx="3070">
                  <c:v>548.9259999999994</c:v>
                </c:pt>
                <c:pt idx="3071">
                  <c:v>549.095</c:v>
                </c:pt>
                <c:pt idx="3072">
                  <c:v>549.265</c:v>
                </c:pt>
                <c:pt idx="3073">
                  <c:v>549.4349999999994</c:v>
                </c:pt>
                <c:pt idx="3074">
                  <c:v>549.602</c:v>
                </c:pt>
                <c:pt idx="3075">
                  <c:v>549.768</c:v>
                </c:pt>
                <c:pt idx="3076">
                  <c:v>549.9309999999994</c:v>
                </c:pt>
                <c:pt idx="3077">
                  <c:v>550.095</c:v>
                </c:pt>
                <c:pt idx="3078">
                  <c:v>550.266</c:v>
                </c:pt>
                <c:pt idx="3079">
                  <c:v>550.4349999999994</c:v>
                </c:pt>
                <c:pt idx="3080">
                  <c:v>550.607</c:v>
                </c:pt>
                <c:pt idx="3081">
                  <c:v>550.779</c:v>
                </c:pt>
                <c:pt idx="3082">
                  <c:v>550.9469999999974</c:v>
                </c:pt>
                <c:pt idx="3083">
                  <c:v>551.117</c:v>
                </c:pt>
                <c:pt idx="3084">
                  <c:v>551.283</c:v>
                </c:pt>
                <c:pt idx="3085">
                  <c:v>551.4519999999974</c:v>
                </c:pt>
                <c:pt idx="3086">
                  <c:v>551.622</c:v>
                </c:pt>
                <c:pt idx="3087">
                  <c:v>551.795</c:v>
                </c:pt>
                <c:pt idx="3088">
                  <c:v>551.9679999999923</c:v>
                </c:pt>
                <c:pt idx="3089">
                  <c:v>552.135</c:v>
                </c:pt>
                <c:pt idx="3090">
                  <c:v>552.303</c:v>
                </c:pt>
                <c:pt idx="3091">
                  <c:v>552.474</c:v>
                </c:pt>
                <c:pt idx="3092">
                  <c:v>552.649</c:v>
                </c:pt>
                <c:pt idx="3093">
                  <c:v>552.8229999999974</c:v>
                </c:pt>
                <c:pt idx="3094">
                  <c:v>552.998</c:v>
                </c:pt>
                <c:pt idx="3095">
                  <c:v>553.174</c:v>
                </c:pt>
                <c:pt idx="3096">
                  <c:v>553.3579999999902</c:v>
                </c:pt>
                <c:pt idx="3097">
                  <c:v>553.5359999999994</c:v>
                </c:pt>
                <c:pt idx="3098">
                  <c:v>553.707</c:v>
                </c:pt>
                <c:pt idx="3099">
                  <c:v>553.878</c:v>
                </c:pt>
                <c:pt idx="3100">
                  <c:v>554.0499999999994</c:v>
                </c:pt>
                <c:pt idx="3101">
                  <c:v>554.221</c:v>
                </c:pt>
                <c:pt idx="3102">
                  <c:v>554.384</c:v>
                </c:pt>
                <c:pt idx="3103">
                  <c:v>554.5469999999979</c:v>
                </c:pt>
                <c:pt idx="3104">
                  <c:v>554.712</c:v>
                </c:pt>
                <c:pt idx="3105">
                  <c:v>554.879</c:v>
                </c:pt>
                <c:pt idx="3106">
                  <c:v>555.048</c:v>
                </c:pt>
                <c:pt idx="3107">
                  <c:v>555.217</c:v>
                </c:pt>
                <c:pt idx="3108">
                  <c:v>555.383</c:v>
                </c:pt>
                <c:pt idx="3109">
                  <c:v>555.545</c:v>
                </c:pt>
                <c:pt idx="3110">
                  <c:v>555.708</c:v>
                </c:pt>
                <c:pt idx="3111">
                  <c:v>555.8659999999974</c:v>
                </c:pt>
                <c:pt idx="3112">
                  <c:v>556.014</c:v>
                </c:pt>
                <c:pt idx="3113">
                  <c:v>556.171</c:v>
                </c:pt>
                <c:pt idx="3114">
                  <c:v>556.3309999999979</c:v>
                </c:pt>
                <c:pt idx="3115">
                  <c:v>556.489</c:v>
                </c:pt>
                <c:pt idx="3116">
                  <c:v>556.655</c:v>
                </c:pt>
                <c:pt idx="3117">
                  <c:v>556.8229999999974</c:v>
                </c:pt>
                <c:pt idx="3118">
                  <c:v>556.99</c:v>
                </c:pt>
                <c:pt idx="3119">
                  <c:v>557.1559999999994</c:v>
                </c:pt>
                <c:pt idx="3120">
                  <c:v>557.3129999999974</c:v>
                </c:pt>
                <c:pt idx="3121">
                  <c:v>557.475</c:v>
                </c:pt>
                <c:pt idx="3122">
                  <c:v>557.6469999999994</c:v>
                </c:pt>
                <c:pt idx="3123">
                  <c:v>557.8169999999974</c:v>
                </c:pt>
                <c:pt idx="3124">
                  <c:v>557.982</c:v>
                </c:pt>
                <c:pt idx="3125">
                  <c:v>558.148</c:v>
                </c:pt>
                <c:pt idx="3126">
                  <c:v>558.3119999999974</c:v>
                </c:pt>
                <c:pt idx="3127">
                  <c:v>558.479</c:v>
                </c:pt>
                <c:pt idx="3128">
                  <c:v>558.649</c:v>
                </c:pt>
                <c:pt idx="3129">
                  <c:v>558.8179999999974</c:v>
                </c:pt>
                <c:pt idx="3130">
                  <c:v>558.986</c:v>
                </c:pt>
                <c:pt idx="3131">
                  <c:v>559.1619999999979</c:v>
                </c:pt>
                <c:pt idx="3132">
                  <c:v>559.3379999999925</c:v>
                </c:pt>
                <c:pt idx="3133">
                  <c:v>559.505</c:v>
                </c:pt>
                <c:pt idx="3134">
                  <c:v>559.668</c:v>
                </c:pt>
                <c:pt idx="3135">
                  <c:v>559.8279999999974</c:v>
                </c:pt>
                <c:pt idx="3136">
                  <c:v>559.99</c:v>
                </c:pt>
                <c:pt idx="3137">
                  <c:v>560.154</c:v>
                </c:pt>
                <c:pt idx="3138">
                  <c:v>560.3259999999979</c:v>
                </c:pt>
                <c:pt idx="3139">
                  <c:v>560.5</c:v>
                </c:pt>
                <c:pt idx="3140">
                  <c:v>560.6659999999994</c:v>
                </c:pt>
                <c:pt idx="3141">
                  <c:v>560.8349999999979</c:v>
                </c:pt>
                <c:pt idx="3142">
                  <c:v>561.009</c:v>
                </c:pt>
                <c:pt idx="3143">
                  <c:v>561.186</c:v>
                </c:pt>
                <c:pt idx="3144">
                  <c:v>561.3469999999974</c:v>
                </c:pt>
                <c:pt idx="3145">
                  <c:v>561.513</c:v>
                </c:pt>
                <c:pt idx="3146">
                  <c:v>561.686</c:v>
                </c:pt>
                <c:pt idx="3147">
                  <c:v>561.8609999999974</c:v>
                </c:pt>
                <c:pt idx="3148">
                  <c:v>562.029</c:v>
                </c:pt>
                <c:pt idx="3149">
                  <c:v>562.201</c:v>
                </c:pt>
                <c:pt idx="3150">
                  <c:v>562.37</c:v>
                </c:pt>
                <c:pt idx="3151">
                  <c:v>562.539</c:v>
                </c:pt>
                <c:pt idx="3152">
                  <c:v>562.713</c:v>
                </c:pt>
                <c:pt idx="3153">
                  <c:v>562.886</c:v>
                </c:pt>
                <c:pt idx="3154">
                  <c:v>563.053</c:v>
                </c:pt>
                <c:pt idx="3155">
                  <c:v>563.216</c:v>
                </c:pt>
                <c:pt idx="3156">
                  <c:v>563.379</c:v>
                </c:pt>
                <c:pt idx="3157">
                  <c:v>563.5499999999994</c:v>
                </c:pt>
                <c:pt idx="3158">
                  <c:v>563.723</c:v>
                </c:pt>
                <c:pt idx="3159">
                  <c:v>563.896</c:v>
                </c:pt>
                <c:pt idx="3160">
                  <c:v>564.08</c:v>
                </c:pt>
                <c:pt idx="3161">
                  <c:v>564.264</c:v>
                </c:pt>
                <c:pt idx="3162">
                  <c:v>564.4379999999974</c:v>
                </c:pt>
                <c:pt idx="3163">
                  <c:v>564.611</c:v>
                </c:pt>
                <c:pt idx="3164">
                  <c:v>564.784</c:v>
                </c:pt>
                <c:pt idx="3165">
                  <c:v>564.9539999999994</c:v>
                </c:pt>
                <c:pt idx="3166">
                  <c:v>565.124</c:v>
                </c:pt>
                <c:pt idx="3167">
                  <c:v>565.295</c:v>
                </c:pt>
                <c:pt idx="3168">
                  <c:v>565.4679999999923</c:v>
                </c:pt>
                <c:pt idx="3169">
                  <c:v>565.6419999999994</c:v>
                </c:pt>
                <c:pt idx="3170">
                  <c:v>565.8129999999974</c:v>
                </c:pt>
                <c:pt idx="3171">
                  <c:v>565.981</c:v>
                </c:pt>
                <c:pt idx="3172">
                  <c:v>566.154</c:v>
                </c:pt>
                <c:pt idx="3173">
                  <c:v>566.3319999999974</c:v>
                </c:pt>
                <c:pt idx="3174">
                  <c:v>566.51</c:v>
                </c:pt>
                <c:pt idx="3175">
                  <c:v>566.684</c:v>
                </c:pt>
                <c:pt idx="3176">
                  <c:v>566.8539999999994</c:v>
                </c:pt>
                <c:pt idx="3177">
                  <c:v>567.0259999999994</c:v>
                </c:pt>
                <c:pt idx="3178">
                  <c:v>567.196</c:v>
                </c:pt>
                <c:pt idx="3179">
                  <c:v>567.3619999999918</c:v>
                </c:pt>
                <c:pt idx="3180">
                  <c:v>567.5259999999994</c:v>
                </c:pt>
                <c:pt idx="3181">
                  <c:v>567.689</c:v>
                </c:pt>
                <c:pt idx="3182">
                  <c:v>567.8549999999979</c:v>
                </c:pt>
                <c:pt idx="3183">
                  <c:v>568.023</c:v>
                </c:pt>
                <c:pt idx="3184">
                  <c:v>568.196</c:v>
                </c:pt>
                <c:pt idx="3185">
                  <c:v>568.3689999999979</c:v>
                </c:pt>
                <c:pt idx="3186">
                  <c:v>568.5419999999979</c:v>
                </c:pt>
                <c:pt idx="3187">
                  <c:v>568.721</c:v>
                </c:pt>
                <c:pt idx="3188">
                  <c:v>568.896</c:v>
                </c:pt>
                <c:pt idx="3189">
                  <c:v>569.0659999999979</c:v>
                </c:pt>
                <c:pt idx="3190">
                  <c:v>569.2279999999994</c:v>
                </c:pt>
                <c:pt idx="3191">
                  <c:v>569.389</c:v>
                </c:pt>
                <c:pt idx="3192">
                  <c:v>569.554</c:v>
                </c:pt>
                <c:pt idx="3193">
                  <c:v>569.724</c:v>
                </c:pt>
                <c:pt idx="3194">
                  <c:v>569.893</c:v>
                </c:pt>
                <c:pt idx="3195">
                  <c:v>570.054</c:v>
                </c:pt>
                <c:pt idx="3196">
                  <c:v>570.216</c:v>
                </c:pt>
                <c:pt idx="3197">
                  <c:v>570.3819999999994</c:v>
                </c:pt>
                <c:pt idx="3198">
                  <c:v>570.549</c:v>
                </c:pt>
                <c:pt idx="3199">
                  <c:v>570.722</c:v>
                </c:pt>
                <c:pt idx="3200">
                  <c:v>570.893</c:v>
                </c:pt>
                <c:pt idx="3201">
                  <c:v>571.0599999999994</c:v>
                </c:pt>
                <c:pt idx="3202">
                  <c:v>571.225</c:v>
                </c:pt>
                <c:pt idx="3203">
                  <c:v>571.381</c:v>
                </c:pt>
                <c:pt idx="3204">
                  <c:v>571.538</c:v>
                </c:pt>
                <c:pt idx="3205">
                  <c:v>571.698</c:v>
                </c:pt>
                <c:pt idx="3206">
                  <c:v>571.8549999999979</c:v>
                </c:pt>
                <c:pt idx="3207">
                  <c:v>572.019</c:v>
                </c:pt>
                <c:pt idx="3208">
                  <c:v>572.187</c:v>
                </c:pt>
                <c:pt idx="3209">
                  <c:v>572.3569999999974</c:v>
                </c:pt>
                <c:pt idx="3210">
                  <c:v>572.5259999999994</c:v>
                </c:pt>
                <c:pt idx="3211">
                  <c:v>572.696</c:v>
                </c:pt>
                <c:pt idx="3212">
                  <c:v>572.8669999999912</c:v>
                </c:pt>
                <c:pt idx="3213">
                  <c:v>573.035</c:v>
                </c:pt>
                <c:pt idx="3214">
                  <c:v>573.194</c:v>
                </c:pt>
                <c:pt idx="3215">
                  <c:v>573.3579999999902</c:v>
                </c:pt>
                <c:pt idx="3216">
                  <c:v>573.523</c:v>
                </c:pt>
                <c:pt idx="3217">
                  <c:v>573.692</c:v>
                </c:pt>
                <c:pt idx="3218">
                  <c:v>573.8689999999979</c:v>
                </c:pt>
                <c:pt idx="3219">
                  <c:v>574.049</c:v>
                </c:pt>
                <c:pt idx="3220">
                  <c:v>574.229</c:v>
                </c:pt>
                <c:pt idx="3221">
                  <c:v>574.409</c:v>
                </c:pt>
                <c:pt idx="3222">
                  <c:v>574.581</c:v>
                </c:pt>
                <c:pt idx="3223">
                  <c:v>574.7519999999994</c:v>
                </c:pt>
                <c:pt idx="3224">
                  <c:v>574.9259999999994</c:v>
                </c:pt>
                <c:pt idx="3225">
                  <c:v>575.104</c:v>
                </c:pt>
                <c:pt idx="3226">
                  <c:v>575.286</c:v>
                </c:pt>
                <c:pt idx="3227">
                  <c:v>575.4589999999994</c:v>
                </c:pt>
                <c:pt idx="3228">
                  <c:v>575.628</c:v>
                </c:pt>
                <c:pt idx="3229">
                  <c:v>575.8</c:v>
                </c:pt>
                <c:pt idx="3230">
                  <c:v>575.979</c:v>
                </c:pt>
                <c:pt idx="3231">
                  <c:v>576.16</c:v>
                </c:pt>
                <c:pt idx="3232">
                  <c:v>576.3309999999979</c:v>
                </c:pt>
                <c:pt idx="3233">
                  <c:v>576.4880000000001</c:v>
                </c:pt>
                <c:pt idx="3234">
                  <c:v>576.638</c:v>
                </c:pt>
                <c:pt idx="3235">
                  <c:v>576.793</c:v>
                </c:pt>
                <c:pt idx="3236">
                  <c:v>576.9519999999974</c:v>
                </c:pt>
                <c:pt idx="3237">
                  <c:v>577.117</c:v>
                </c:pt>
                <c:pt idx="3238">
                  <c:v>577.287</c:v>
                </c:pt>
                <c:pt idx="3239">
                  <c:v>577.4509999999979</c:v>
                </c:pt>
                <c:pt idx="3240">
                  <c:v>577.616</c:v>
                </c:pt>
                <c:pt idx="3241">
                  <c:v>577.788</c:v>
                </c:pt>
                <c:pt idx="3242">
                  <c:v>577.9649999999979</c:v>
                </c:pt>
                <c:pt idx="3243">
                  <c:v>578.143</c:v>
                </c:pt>
                <c:pt idx="3244">
                  <c:v>578.3219999999974</c:v>
                </c:pt>
                <c:pt idx="3245">
                  <c:v>578.5</c:v>
                </c:pt>
                <c:pt idx="3246">
                  <c:v>578.67</c:v>
                </c:pt>
                <c:pt idx="3247">
                  <c:v>578.8379999999925</c:v>
                </c:pt>
                <c:pt idx="3248">
                  <c:v>579.006</c:v>
                </c:pt>
                <c:pt idx="3249">
                  <c:v>579.173</c:v>
                </c:pt>
                <c:pt idx="3250">
                  <c:v>579.3469999999974</c:v>
                </c:pt>
                <c:pt idx="3251">
                  <c:v>579.523</c:v>
                </c:pt>
                <c:pt idx="3252">
                  <c:v>579.698</c:v>
                </c:pt>
                <c:pt idx="3253">
                  <c:v>579.8639999999979</c:v>
                </c:pt>
                <c:pt idx="3254">
                  <c:v>580.0319999999994</c:v>
                </c:pt>
                <c:pt idx="3255">
                  <c:v>580.201</c:v>
                </c:pt>
                <c:pt idx="3256">
                  <c:v>580.376</c:v>
                </c:pt>
                <c:pt idx="3257">
                  <c:v>580.549</c:v>
                </c:pt>
                <c:pt idx="3258">
                  <c:v>580.711</c:v>
                </c:pt>
                <c:pt idx="3259">
                  <c:v>580.8589999999994</c:v>
                </c:pt>
                <c:pt idx="3260">
                  <c:v>581.014</c:v>
                </c:pt>
                <c:pt idx="3261">
                  <c:v>581.175</c:v>
                </c:pt>
                <c:pt idx="3262">
                  <c:v>581.3469999999974</c:v>
                </c:pt>
                <c:pt idx="3263">
                  <c:v>581.513</c:v>
                </c:pt>
                <c:pt idx="3264">
                  <c:v>581.663</c:v>
                </c:pt>
                <c:pt idx="3265">
                  <c:v>581.8119999999974</c:v>
                </c:pt>
                <c:pt idx="3266">
                  <c:v>581.9689999999994</c:v>
                </c:pt>
                <c:pt idx="3267">
                  <c:v>582.136</c:v>
                </c:pt>
                <c:pt idx="3268">
                  <c:v>582.3069999999979</c:v>
                </c:pt>
                <c:pt idx="3269">
                  <c:v>582.481</c:v>
                </c:pt>
                <c:pt idx="3270">
                  <c:v>582.655</c:v>
                </c:pt>
                <c:pt idx="3271">
                  <c:v>582.8269999999974</c:v>
                </c:pt>
                <c:pt idx="3272">
                  <c:v>582.994</c:v>
                </c:pt>
                <c:pt idx="3273">
                  <c:v>583.158</c:v>
                </c:pt>
                <c:pt idx="3274">
                  <c:v>583.3259999999979</c:v>
                </c:pt>
                <c:pt idx="3275">
                  <c:v>583.5</c:v>
                </c:pt>
                <c:pt idx="3276">
                  <c:v>583.673</c:v>
                </c:pt>
                <c:pt idx="3277">
                  <c:v>583.8439999999994</c:v>
                </c:pt>
                <c:pt idx="3278">
                  <c:v>584.011</c:v>
                </c:pt>
                <c:pt idx="3279">
                  <c:v>584.183</c:v>
                </c:pt>
                <c:pt idx="3280">
                  <c:v>584.3579999999902</c:v>
                </c:pt>
                <c:pt idx="3281">
                  <c:v>584.5359999999994</c:v>
                </c:pt>
                <c:pt idx="3282">
                  <c:v>584.7140000000001</c:v>
                </c:pt>
                <c:pt idx="3283">
                  <c:v>584.8869999999994</c:v>
                </c:pt>
                <c:pt idx="3284">
                  <c:v>585.0519999999979</c:v>
                </c:pt>
                <c:pt idx="3285">
                  <c:v>585.215</c:v>
                </c:pt>
                <c:pt idx="3286">
                  <c:v>585.379</c:v>
                </c:pt>
                <c:pt idx="3287">
                  <c:v>585.5359999999994</c:v>
                </c:pt>
                <c:pt idx="3288">
                  <c:v>585.686</c:v>
                </c:pt>
                <c:pt idx="3289">
                  <c:v>585.8439999999994</c:v>
                </c:pt>
                <c:pt idx="3290">
                  <c:v>586.004</c:v>
                </c:pt>
                <c:pt idx="3291">
                  <c:v>586.17</c:v>
                </c:pt>
                <c:pt idx="3292">
                  <c:v>586.3390000000001</c:v>
                </c:pt>
                <c:pt idx="3293">
                  <c:v>586.505</c:v>
                </c:pt>
                <c:pt idx="3294">
                  <c:v>586.672</c:v>
                </c:pt>
                <c:pt idx="3295">
                  <c:v>586.8469999999974</c:v>
                </c:pt>
                <c:pt idx="3296">
                  <c:v>587.0259999999994</c:v>
                </c:pt>
                <c:pt idx="3297">
                  <c:v>587.21</c:v>
                </c:pt>
                <c:pt idx="3298">
                  <c:v>587.394</c:v>
                </c:pt>
                <c:pt idx="3299">
                  <c:v>587.575</c:v>
                </c:pt>
                <c:pt idx="3300">
                  <c:v>587.751</c:v>
                </c:pt>
                <c:pt idx="3301">
                  <c:v>587.9169999999979</c:v>
                </c:pt>
                <c:pt idx="3302">
                  <c:v>588.079</c:v>
                </c:pt>
                <c:pt idx="3303">
                  <c:v>588.245</c:v>
                </c:pt>
                <c:pt idx="3304">
                  <c:v>588.4159999999994</c:v>
                </c:pt>
                <c:pt idx="3305">
                  <c:v>588.586</c:v>
                </c:pt>
                <c:pt idx="3306">
                  <c:v>588.761</c:v>
                </c:pt>
                <c:pt idx="3307">
                  <c:v>588.9379999999974</c:v>
                </c:pt>
                <c:pt idx="3308">
                  <c:v>589.111</c:v>
                </c:pt>
                <c:pt idx="3309">
                  <c:v>589.284</c:v>
                </c:pt>
                <c:pt idx="3310">
                  <c:v>589.4529999999974</c:v>
                </c:pt>
                <c:pt idx="3311">
                  <c:v>589.614</c:v>
                </c:pt>
                <c:pt idx="3312">
                  <c:v>589.782</c:v>
                </c:pt>
                <c:pt idx="3313">
                  <c:v>589.9549999999994</c:v>
                </c:pt>
                <c:pt idx="3314">
                  <c:v>590.131</c:v>
                </c:pt>
                <c:pt idx="3315">
                  <c:v>590.3079999999974</c:v>
                </c:pt>
                <c:pt idx="3316">
                  <c:v>590.477</c:v>
                </c:pt>
                <c:pt idx="3317">
                  <c:v>590.6369999999994</c:v>
                </c:pt>
                <c:pt idx="3318">
                  <c:v>590.8059999999994</c:v>
                </c:pt>
                <c:pt idx="3319">
                  <c:v>590.981</c:v>
                </c:pt>
                <c:pt idx="3320">
                  <c:v>591.1559999999994</c:v>
                </c:pt>
                <c:pt idx="3321">
                  <c:v>591.3299999999994</c:v>
                </c:pt>
                <c:pt idx="3322">
                  <c:v>591.506</c:v>
                </c:pt>
                <c:pt idx="3323">
                  <c:v>591.684</c:v>
                </c:pt>
                <c:pt idx="3324">
                  <c:v>591.8589999999994</c:v>
                </c:pt>
                <c:pt idx="3325">
                  <c:v>592.034</c:v>
                </c:pt>
                <c:pt idx="3326">
                  <c:v>592.213</c:v>
                </c:pt>
                <c:pt idx="3327">
                  <c:v>592.3969999999994</c:v>
                </c:pt>
                <c:pt idx="3328">
                  <c:v>592.582</c:v>
                </c:pt>
                <c:pt idx="3329">
                  <c:v>592.759</c:v>
                </c:pt>
                <c:pt idx="3330">
                  <c:v>592.9259999999994</c:v>
                </c:pt>
                <c:pt idx="3331">
                  <c:v>593.09</c:v>
                </c:pt>
                <c:pt idx="3332">
                  <c:v>593.251</c:v>
                </c:pt>
                <c:pt idx="3333">
                  <c:v>593.403</c:v>
                </c:pt>
                <c:pt idx="3334">
                  <c:v>593.559</c:v>
                </c:pt>
                <c:pt idx="3335">
                  <c:v>593.722</c:v>
                </c:pt>
                <c:pt idx="3336">
                  <c:v>593.89</c:v>
                </c:pt>
                <c:pt idx="3337">
                  <c:v>594.0619999999974</c:v>
                </c:pt>
                <c:pt idx="3338">
                  <c:v>594.239</c:v>
                </c:pt>
                <c:pt idx="3339">
                  <c:v>594.4169999999979</c:v>
                </c:pt>
                <c:pt idx="3340">
                  <c:v>594.592</c:v>
                </c:pt>
                <c:pt idx="3341">
                  <c:v>594.7619999999994</c:v>
                </c:pt>
                <c:pt idx="3342">
                  <c:v>594.9369999999974</c:v>
                </c:pt>
                <c:pt idx="3343">
                  <c:v>595.111</c:v>
                </c:pt>
                <c:pt idx="3344">
                  <c:v>595.28</c:v>
                </c:pt>
                <c:pt idx="3345">
                  <c:v>595.4459999999979</c:v>
                </c:pt>
                <c:pt idx="3346">
                  <c:v>595.615</c:v>
                </c:pt>
                <c:pt idx="3347">
                  <c:v>595.786</c:v>
                </c:pt>
                <c:pt idx="3348">
                  <c:v>595.9589999999994</c:v>
                </c:pt>
                <c:pt idx="3349">
                  <c:v>596.122</c:v>
                </c:pt>
                <c:pt idx="3350">
                  <c:v>596.281</c:v>
                </c:pt>
                <c:pt idx="3351">
                  <c:v>596.4409999999979</c:v>
                </c:pt>
                <c:pt idx="3352">
                  <c:v>596.607</c:v>
                </c:pt>
                <c:pt idx="3353">
                  <c:v>596.774</c:v>
                </c:pt>
                <c:pt idx="3354">
                  <c:v>596.9419999999974</c:v>
                </c:pt>
                <c:pt idx="3355">
                  <c:v>597.109</c:v>
                </c:pt>
                <c:pt idx="3356">
                  <c:v>597.276</c:v>
                </c:pt>
                <c:pt idx="3357">
                  <c:v>597.4369999999974</c:v>
                </c:pt>
                <c:pt idx="3358">
                  <c:v>597.606</c:v>
                </c:pt>
                <c:pt idx="3359">
                  <c:v>597.776</c:v>
                </c:pt>
                <c:pt idx="3360">
                  <c:v>597.9449999999994</c:v>
                </c:pt>
                <c:pt idx="3361">
                  <c:v>598.114</c:v>
                </c:pt>
                <c:pt idx="3362">
                  <c:v>598.287</c:v>
                </c:pt>
                <c:pt idx="3363">
                  <c:v>598.4599999999979</c:v>
                </c:pt>
                <c:pt idx="3364">
                  <c:v>598.635</c:v>
                </c:pt>
                <c:pt idx="3365">
                  <c:v>598.8099999999994</c:v>
                </c:pt>
                <c:pt idx="3366">
                  <c:v>598.987</c:v>
                </c:pt>
                <c:pt idx="3367">
                  <c:v>599.165</c:v>
                </c:pt>
                <c:pt idx="3368">
                  <c:v>599.3369999999974</c:v>
                </c:pt>
                <c:pt idx="3369">
                  <c:v>599.492</c:v>
                </c:pt>
                <c:pt idx="3370">
                  <c:v>599.644</c:v>
                </c:pt>
                <c:pt idx="3371">
                  <c:v>599.793</c:v>
                </c:pt>
                <c:pt idx="3372">
                  <c:v>599.9529999999974</c:v>
                </c:pt>
                <c:pt idx="3373">
                  <c:v>600.117</c:v>
                </c:pt>
                <c:pt idx="3374">
                  <c:v>600.278</c:v>
                </c:pt>
                <c:pt idx="3375">
                  <c:v>600.4419999999974</c:v>
                </c:pt>
                <c:pt idx="3376">
                  <c:v>600.605</c:v>
                </c:pt>
                <c:pt idx="3377">
                  <c:v>600.7569999999994</c:v>
                </c:pt>
                <c:pt idx="3378">
                  <c:v>600.9119999999979</c:v>
                </c:pt>
                <c:pt idx="3379">
                  <c:v>601.082</c:v>
                </c:pt>
                <c:pt idx="3380">
                  <c:v>601.255</c:v>
                </c:pt>
                <c:pt idx="3381">
                  <c:v>601.423</c:v>
                </c:pt>
                <c:pt idx="3382">
                  <c:v>601.59</c:v>
                </c:pt>
                <c:pt idx="3383">
                  <c:v>601.756</c:v>
                </c:pt>
                <c:pt idx="3384">
                  <c:v>601.9269999999979</c:v>
                </c:pt>
                <c:pt idx="3385">
                  <c:v>602.1029999999994</c:v>
                </c:pt>
                <c:pt idx="3386">
                  <c:v>602.273</c:v>
                </c:pt>
                <c:pt idx="3387">
                  <c:v>602.4379999999974</c:v>
                </c:pt>
                <c:pt idx="3388">
                  <c:v>602.5890000000001</c:v>
                </c:pt>
                <c:pt idx="3389">
                  <c:v>602.741</c:v>
                </c:pt>
                <c:pt idx="3390">
                  <c:v>602.898</c:v>
                </c:pt>
                <c:pt idx="3391">
                  <c:v>603.0569999999979</c:v>
                </c:pt>
                <c:pt idx="3392">
                  <c:v>603.226</c:v>
                </c:pt>
                <c:pt idx="3393">
                  <c:v>603.404</c:v>
                </c:pt>
                <c:pt idx="3394">
                  <c:v>603.58</c:v>
                </c:pt>
                <c:pt idx="3395">
                  <c:v>603.753</c:v>
                </c:pt>
                <c:pt idx="3396">
                  <c:v>603.9249999999994</c:v>
                </c:pt>
                <c:pt idx="3397">
                  <c:v>604.093</c:v>
                </c:pt>
                <c:pt idx="3398">
                  <c:v>604.253</c:v>
                </c:pt>
                <c:pt idx="3399">
                  <c:v>604.415</c:v>
                </c:pt>
                <c:pt idx="3400">
                  <c:v>604.576</c:v>
                </c:pt>
                <c:pt idx="3401">
                  <c:v>604.743</c:v>
                </c:pt>
                <c:pt idx="3402">
                  <c:v>604.9159999999994</c:v>
                </c:pt>
                <c:pt idx="3403">
                  <c:v>605.093</c:v>
                </c:pt>
                <c:pt idx="3404">
                  <c:v>605.269</c:v>
                </c:pt>
                <c:pt idx="3405">
                  <c:v>605.4409999999979</c:v>
                </c:pt>
                <c:pt idx="3406">
                  <c:v>605.611</c:v>
                </c:pt>
                <c:pt idx="3407">
                  <c:v>605.779</c:v>
                </c:pt>
                <c:pt idx="3408">
                  <c:v>605.9539999999994</c:v>
                </c:pt>
                <c:pt idx="3409">
                  <c:v>606.126</c:v>
                </c:pt>
                <c:pt idx="3410">
                  <c:v>606.291</c:v>
                </c:pt>
                <c:pt idx="3411">
                  <c:v>606.4589999999994</c:v>
                </c:pt>
                <c:pt idx="3412">
                  <c:v>606.6319999999994</c:v>
                </c:pt>
                <c:pt idx="3413">
                  <c:v>606.8049999999994</c:v>
                </c:pt>
                <c:pt idx="3414">
                  <c:v>606.973</c:v>
                </c:pt>
                <c:pt idx="3415">
                  <c:v>607.1319999999994</c:v>
                </c:pt>
                <c:pt idx="3416">
                  <c:v>607.288</c:v>
                </c:pt>
                <c:pt idx="3417">
                  <c:v>607.4449999999994</c:v>
                </c:pt>
                <c:pt idx="3418">
                  <c:v>607.607</c:v>
                </c:pt>
                <c:pt idx="3419">
                  <c:v>607.781</c:v>
                </c:pt>
                <c:pt idx="3420">
                  <c:v>607.9559999999979</c:v>
                </c:pt>
                <c:pt idx="3421">
                  <c:v>608.129</c:v>
                </c:pt>
                <c:pt idx="3422">
                  <c:v>608.3009999999994</c:v>
                </c:pt>
                <c:pt idx="3423">
                  <c:v>608.477</c:v>
                </c:pt>
                <c:pt idx="3424">
                  <c:v>608.655</c:v>
                </c:pt>
                <c:pt idx="3425">
                  <c:v>608.8199999999994</c:v>
                </c:pt>
                <c:pt idx="3426">
                  <c:v>608.9880000000001</c:v>
                </c:pt>
                <c:pt idx="3427">
                  <c:v>609.1609999999994</c:v>
                </c:pt>
                <c:pt idx="3428">
                  <c:v>609.3309999999979</c:v>
                </c:pt>
                <c:pt idx="3429">
                  <c:v>609.5019999999994</c:v>
                </c:pt>
                <c:pt idx="3430">
                  <c:v>609.674</c:v>
                </c:pt>
                <c:pt idx="3431">
                  <c:v>609.8419999999974</c:v>
                </c:pt>
                <c:pt idx="3432">
                  <c:v>610.01</c:v>
                </c:pt>
                <c:pt idx="3433">
                  <c:v>610.176</c:v>
                </c:pt>
                <c:pt idx="3434">
                  <c:v>610.3429999999923</c:v>
                </c:pt>
                <c:pt idx="3435">
                  <c:v>610.51</c:v>
                </c:pt>
                <c:pt idx="3436">
                  <c:v>610.684</c:v>
                </c:pt>
                <c:pt idx="3437">
                  <c:v>610.8489999999994</c:v>
                </c:pt>
                <c:pt idx="3438">
                  <c:v>611.004</c:v>
                </c:pt>
                <c:pt idx="3439">
                  <c:v>611.168</c:v>
                </c:pt>
                <c:pt idx="3440">
                  <c:v>611.3399999999979</c:v>
                </c:pt>
                <c:pt idx="3441">
                  <c:v>611.5119999999994</c:v>
                </c:pt>
                <c:pt idx="3442">
                  <c:v>611.69</c:v>
                </c:pt>
                <c:pt idx="3443">
                  <c:v>611.871</c:v>
                </c:pt>
                <c:pt idx="3444">
                  <c:v>612.053</c:v>
                </c:pt>
                <c:pt idx="3445">
                  <c:v>612.226</c:v>
                </c:pt>
                <c:pt idx="3446">
                  <c:v>612.398</c:v>
                </c:pt>
                <c:pt idx="3447">
                  <c:v>612.569</c:v>
                </c:pt>
                <c:pt idx="3448">
                  <c:v>612.739</c:v>
                </c:pt>
                <c:pt idx="3449">
                  <c:v>612.908</c:v>
                </c:pt>
                <c:pt idx="3450">
                  <c:v>613.083</c:v>
                </c:pt>
                <c:pt idx="3451">
                  <c:v>613.2519999999994</c:v>
                </c:pt>
                <c:pt idx="3452">
                  <c:v>613.409</c:v>
                </c:pt>
                <c:pt idx="3453">
                  <c:v>613.572</c:v>
                </c:pt>
                <c:pt idx="3454">
                  <c:v>613.735</c:v>
                </c:pt>
                <c:pt idx="3455">
                  <c:v>613.9059999999994</c:v>
                </c:pt>
                <c:pt idx="3456">
                  <c:v>614.081</c:v>
                </c:pt>
                <c:pt idx="3457">
                  <c:v>614.255</c:v>
                </c:pt>
                <c:pt idx="3458">
                  <c:v>614.4309999999994</c:v>
                </c:pt>
                <c:pt idx="3459">
                  <c:v>614.602</c:v>
                </c:pt>
                <c:pt idx="3460">
                  <c:v>614.765</c:v>
                </c:pt>
                <c:pt idx="3461">
                  <c:v>614.929</c:v>
                </c:pt>
                <c:pt idx="3462">
                  <c:v>615.095</c:v>
                </c:pt>
                <c:pt idx="3463">
                  <c:v>615.261</c:v>
                </c:pt>
                <c:pt idx="3464">
                  <c:v>615.4309999999994</c:v>
                </c:pt>
                <c:pt idx="3465">
                  <c:v>615.6</c:v>
                </c:pt>
                <c:pt idx="3466">
                  <c:v>615.764</c:v>
                </c:pt>
                <c:pt idx="3467">
                  <c:v>615.9329999999974</c:v>
                </c:pt>
                <c:pt idx="3468">
                  <c:v>616.106</c:v>
                </c:pt>
                <c:pt idx="3469">
                  <c:v>616.279</c:v>
                </c:pt>
                <c:pt idx="3470">
                  <c:v>616.4519999999974</c:v>
                </c:pt>
                <c:pt idx="3471">
                  <c:v>616.624</c:v>
                </c:pt>
                <c:pt idx="3472">
                  <c:v>616.793</c:v>
                </c:pt>
                <c:pt idx="3473">
                  <c:v>616.9609999999974</c:v>
                </c:pt>
                <c:pt idx="3474">
                  <c:v>617.1319999999994</c:v>
                </c:pt>
                <c:pt idx="3475">
                  <c:v>617.3019999999979</c:v>
                </c:pt>
                <c:pt idx="3476">
                  <c:v>617.477</c:v>
                </c:pt>
                <c:pt idx="3477">
                  <c:v>617.645</c:v>
                </c:pt>
                <c:pt idx="3478">
                  <c:v>617.809</c:v>
                </c:pt>
                <c:pt idx="3479">
                  <c:v>617.973</c:v>
                </c:pt>
                <c:pt idx="3480">
                  <c:v>618.141</c:v>
                </c:pt>
                <c:pt idx="3481">
                  <c:v>618.3149999999994</c:v>
                </c:pt>
                <c:pt idx="3482">
                  <c:v>618.497</c:v>
                </c:pt>
                <c:pt idx="3483">
                  <c:v>618.678</c:v>
                </c:pt>
                <c:pt idx="3484">
                  <c:v>618.8529999999918</c:v>
                </c:pt>
                <c:pt idx="3485">
                  <c:v>619.023</c:v>
                </c:pt>
                <c:pt idx="3486">
                  <c:v>619.198</c:v>
                </c:pt>
                <c:pt idx="3487">
                  <c:v>619.38</c:v>
                </c:pt>
                <c:pt idx="3488">
                  <c:v>619.5579999999974</c:v>
                </c:pt>
                <c:pt idx="3489">
                  <c:v>619.731</c:v>
                </c:pt>
                <c:pt idx="3490">
                  <c:v>619.909</c:v>
                </c:pt>
                <c:pt idx="3491">
                  <c:v>620.086</c:v>
                </c:pt>
                <c:pt idx="3492">
                  <c:v>620.258</c:v>
                </c:pt>
                <c:pt idx="3493">
                  <c:v>620.4309999999994</c:v>
                </c:pt>
                <c:pt idx="3494">
                  <c:v>620.6029999999994</c:v>
                </c:pt>
                <c:pt idx="3495">
                  <c:v>620.78</c:v>
                </c:pt>
                <c:pt idx="3496">
                  <c:v>620.9599999999979</c:v>
                </c:pt>
                <c:pt idx="3497">
                  <c:v>621.14</c:v>
                </c:pt>
                <c:pt idx="3498">
                  <c:v>621.3179999999974</c:v>
                </c:pt>
                <c:pt idx="3499">
                  <c:v>621.499</c:v>
                </c:pt>
                <c:pt idx="3500">
                  <c:v>621.676</c:v>
                </c:pt>
                <c:pt idx="3501">
                  <c:v>621.8529999999918</c:v>
                </c:pt>
                <c:pt idx="3502">
                  <c:v>622.0369999999979</c:v>
                </c:pt>
                <c:pt idx="3503">
                  <c:v>622.222</c:v>
                </c:pt>
                <c:pt idx="3504">
                  <c:v>622.405</c:v>
                </c:pt>
                <c:pt idx="3505">
                  <c:v>622.587</c:v>
                </c:pt>
                <c:pt idx="3506">
                  <c:v>622.761</c:v>
                </c:pt>
                <c:pt idx="3507">
                  <c:v>622.923</c:v>
                </c:pt>
                <c:pt idx="3508">
                  <c:v>623.085</c:v>
                </c:pt>
                <c:pt idx="3509">
                  <c:v>623.2519999999994</c:v>
                </c:pt>
                <c:pt idx="3510">
                  <c:v>623.4259999999994</c:v>
                </c:pt>
                <c:pt idx="3511">
                  <c:v>623.601</c:v>
                </c:pt>
                <c:pt idx="3512">
                  <c:v>623.778</c:v>
                </c:pt>
                <c:pt idx="3513">
                  <c:v>623.9559999999979</c:v>
                </c:pt>
                <c:pt idx="3514">
                  <c:v>624.136</c:v>
                </c:pt>
                <c:pt idx="3515">
                  <c:v>624.3179999999974</c:v>
                </c:pt>
                <c:pt idx="3516">
                  <c:v>624.498</c:v>
                </c:pt>
                <c:pt idx="3517">
                  <c:v>624.681</c:v>
                </c:pt>
                <c:pt idx="3518">
                  <c:v>624.8579999999902</c:v>
                </c:pt>
                <c:pt idx="3519">
                  <c:v>625.035</c:v>
                </c:pt>
                <c:pt idx="3520">
                  <c:v>625.2140000000001</c:v>
                </c:pt>
                <c:pt idx="3521">
                  <c:v>625.394</c:v>
                </c:pt>
                <c:pt idx="3522">
                  <c:v>625.5669999999974</c:v>
                </c:pt>
                <c:pt idx="3523">
                  <c:v>625.7329999999994</c:v>
                </c:pt>
                <c:pt idx="3524">
                  <c:v>625.8969999999994</c:v>
                </c:pt>
                <c:pt idx="3525">
                  <c:v>626.0609999999979</c:v>
                </c:pt>
                <c:pt idx="3526">
                  <c:v>626.227</c:v>
                </c:pt>
                <c:pt idx="3527">
                  <c:v>626.395</c:v>
                </c:pt>
                <c:pt idx="3528">
                  <c:v>626.5649999999994</c:v>
                </c:pt>
                <c:pt idx="3529">
                  <c:v>626.734</c:v>
                </c:pt>
                <c:pt idx="3530">
                  <c:v>626.903</c:v>
                </c:pt>
                <c:pt idx="3531">
                  <c:v>627.069</c:v>
                </c:pt>
                <c:pt idx="3532">
                  <c:v>627.239</c:v>
                </c:pt>
                <c:pt idx="3533">
                  <c:v>627.4169999999979</c:v>
                </c:pt>
                <c:pt idx="3534">
                  <c:v>627.595</c:v>
                </c:pt>
                <c:pt idx="3535">
                  <c:v>627.769</c:v>
                </c:pt>
                <c:pt idx="3536">
                  <c:v>627.939</c:v>
                </c:pt>
                <c:pt idx="3537">
                  <c:v>628.112</c:v>
                </c:pt>
                <c:pt idx="3538">
                  <c:v>628.286</c:v>
                </c:pt>
                <c:pt idx="3539">
                  <c:v>628.4619999999974</c:v>
                </c:pt>
                <c:pt idx="3540">
                  <c:v>628.636</c:v>
                </c:pt>
                <c:pt idx="3541">
                  <c:v>628.8109999999979</c:v>
                </c:pt>
                <c:pt idx="3542">
                  <c:v>628.9880000000001</c:v>
                </c:pt>
                <c:pt idx="3543">
                  <c:v>629.1659999999994</c:v>
                </c:pt>
                <c:pt idx="3544">
                  <c:v>629.3469999999974</c:v>
                </c:pt>
                <c:pt idx="3545">
                  <c:v>629.5269999999994</c:v>
                </c:pt>
                <c:pt idx="3546">
                  <c:v>629.704</c:v>
                </c:pt>
                <c:pt idx="3547">
                  <c:v>629.883</c:v>
                </c:pt>
                <c:pt idx="3548">
                  <c:v>630.0599999999994</c:v>
                </c:pt>
                <c:pt idx="3549">
                  <c:v>630.235</c:v>
                </c:pt>
                <c:pt idx="3550">
                  <c:v>630.4109999999994</c:v>
                </c:pt>
                <c:pt idx="3551">
                  <c:v>630.585</c:v>
                </c:pt>
                <c:pt idx="3552">
                  <c:v>630.763</c:v>
                </c:pt>
                <c:pt idx="3553">
                  <c:v>630.939</c:v>
                </c:pt>
                <c:pt idx="3554">
                  <c:v>631.1130000000001</c:v>
                </c:pt>
                <c:pt idx="3555">
                  <c:v>631.284</c:v>
                </c:pt>
                <c:pt idx="3556">
                  <c:v>631.4499999999994</c:v>
                </c:pt>
                <c:pt idx="3557">
                  <c:v>631.617</c:v>
                </c:pt>
                <c:pt idx="3558">
                  <c:v>631.776</c:v>
                </c:pt>
                <c:pt idx="3559">
                  <c:v>631.92</c:v>
                </c:pt>
                <c:pt idx="3560">
                  <c:v>632.0619999999974</c:v>
                </c:pt>
                <c:pt idx="3561">
                  <c:v>632.207</c:v>
                </c:pt>
                <c:pt idx="3562">
                  <c:v>632.3499999999979</c:v>
                </c:pt>
                <c:pt idx="3563">
                  <c:v>632.503</c:v>
                </c:pt>
                <c:pt idx="3564">
                  <c:v>632.668</c:v>
                </c:pt>
                <c:pt idx="3565">
                  <c:v>632.8349999999979</c:v>
                </c:pt>
                <c:pt idx="3566">
                  <c:v>633.0069999999994</c:v>
                </c:pt>
                <c:pt idx="3567">
                  <c:v>633.179</c:v>
                </c:pt>
                <c:pt idx="3568">
                  <c:v>633.3499999999979</c:v>
                </c:pt>
                <c:pt idx="3569">
                  <c:v>633.518</c:v>
                </c:pt>
                <c:pt idx="3570">
                  <c:v>633.686</c:v>
                </c:pt>
                <c:pt idx="3571">
                  <c:v>633.8479999999921</c:v>
                </c:pt>
                <c:pt idx="3572">
                  <c:v>634.009</c:v>
                </c:pt>
                <c:pt idx="3573">
                  <c:v>634.176</c:v>
                </c:pt>
                <c:pt idx="3574">
                  <c:v>634.3459999999974</c:v>
                </c:pt>
                <c:pt idx="3575">
                  <c:v>634.52</c:v>
                </c:pt>
                <c:pt idx="3576">
                  <c:v>634.691</c:v>
                </c:pt>
                <c:pt idx="3577">
                  <c:v>634.8559999999974</c:v>
                </c:pt>
                <c:pt idx="3578">
                  <c:v>635.0269999999994</c:v>
                </c:pt>
                <c:pt idx="3579">
                  <c:v>635.205</c:v>
                </c:pt>
                <c:pt idx="3580">
                  <c:v>635.383</c:v>
                </c:pt>
                <c:pt idx="3581">
                  <c:v>635.5549999999994</c:v>
                </c:pt>
                <c:pt idx="3582">
                  <c:v>635.72</c:v>
                </c:pt>
                <c:pt idx="3583">
                  <c:v>635.8819999999994</c:v>
                </c:pt>
                <c:pt idx="3584">
                  <c:v>636.045</c:v>
                </c:pt>
                <c:pt idx="3585">
                  <c:v>636.209</c:v>
                </c:pt>
                <c:pt idx="3586">
                  <c:v>636.375</c:v>
                </c:pt>
                <c:pt idx="3587">
                  <c:v>636.5469999999979</c:v>
                </c:pt>
                <c:pt idx="3588">
                  <c:v>636.723</c:v>
                </c:pt>
                <c:pt idx="3589">
                  <c:v>636.9019999999994</c:v>
                </c:pt>
                <c:pt idx="3590">
                  <c:v>637.084</c:v>
                </c:pt>
                <c:pt idx="3591">
                  <c:v>637.263</c:v>
                </c:pt>
                <c:pt idx="3592">
                  <c:v>637.4369999999974</c:v>
                </c:pt>
                <c:pt idx="3593">
                  <c:v>637.6079999999994</c:v>
                </c:pt>
                <c:pt idx="3594">
                  <c:v>637.783</c:v>
                </c:pt>
                <c:pt idx="3595">
                  <c:v>637.9559999999979</c:v>
                </c:pt>
                <c:pt idx="3596">
                  <c:v>638.13</c:v>
                </c:pt>
                <c:pt idx="3597">
                  <c:v>638.3</c:v>
                </c:pt>
                <c:pt idx="3598">
                  <c:v>638.4649999999979</c:v>
                </c:pt>
                <c:pt idx="3599">
                  <c:v>638.626</c:v>
                </c:pt>
                <c:pt idx="3600">
                  <c:v>638.782</c:v>
                </c:pt>
                <c:pt idx="3601">
                  <c:v>638.949</c:v>
                </c:pt>
                <c:pt idx="3602">
                  <c:v>639.129</c:v>
                </c:pt>
                <c:pt idx="3603">
                  <c:v>639.319</c:v>
                </c:pt>
                <c:pt idx="3604">
                  <c:v>639.505</c:v>
                </c:pt>
                <c:pt idx="3605">
                  <c:v>639.688</c:v>
                </c:pt>
                <c:pt idx="3606">
                  <c:v>639.8569999999974</c:v>
                </c:pt>
                <c:pt idx="3607">
                  <c:v>640.029</c:v>
                </c:pt>
                <c:pt idx="3608">
                  <c:v>640.195</c:v>
                </c:pt>
                <c:pt idx="3609">
                  <c:v>640.3669999999912</c:v>
                </c:pt>
                <c:pt idx="3610">
                  <c:v>640.533</c:v>
                </c:pt>
                <c:pt idx="3611">
                  <c:v>640.694</c:v>
                </c:pt>
                <c:pt idx="3612">
                  <c:v>640.8659999999974</c:v>
                </c:pt>
                <c:pt idx="3613">
                  <c:v>641.0409999999994</c:v>
                </c:pt>
                <c:pt idx="3614">
                  <c:v>641.21</c:v>
                </c:pt>
                <c:pt idx="3615">
                  <c:v>641.3679999999914</c:v>
                </c:pt>
                <c:pt idx="3616">
                  <c:v>641.533</c:v>
                </c:pt>
                <c:pt idx="3617">
                  <c:v>641.701</c:v>
                </c:pt>
                <c:pt idx="3618">
                  <c:v>641.88</c:v>
                </c:pt>
                <c:pt idx="3619">
                  <c:v>642.0599999999994</c:v>
                </c:pt>
                <c:pt idx="3620">
                  <c:v>642.236</c:v>
                </c:pt>
                <c:pt idx="3621">
                  <c:v>642.399</c:v>
                </c:pt>
                <c:pt idx="3622">
                  <c:v>642.5659999999979</c:v>
                </c:pt>
                <c:pt idx="3623">
                  <c:v>642.742</c:v>
                </c:pt>
                <c:pt idx="3624">
                  <c:v>642.918</c:v>
                </c:pt>
                <c:pt idx="3625">
                  <c:v>643.088</c:v>
                </c:pt>
                <c:pt idx="3626">
                  <c:v>643.253</c:v>
                </c:pt>
                <c:pt idx="3627">
                  <c:v>643.408</c:v>
                </c:pt>
                <c:pt idx="3628">
                  <c:v>643.571</c:v>
                </c:pt>
                <c:pt idx="3629">
                  <c:v>643.74</c:v>
                </c:pt>
                <c:pt idx="3630">
                  <c:v>643.913</c:v>
                </c:pt>
                <c:pt idx="3631">
                  <c:v>644.094</c:v>
                </c:pt>
                <c:pt idx="3632">
                  <c:v>644.274</c:v>
                </c:pt>
                <c:pt idx="3633">
                  <c:v>644.4549999999994</c:v>
                </c:pt>
                <c:pt idx="3634">
                  <c:v>644.636</c:v>
                </c:pt>
                <c:pt idx="3635">
                  <c:v>644.8209999999979</c:v>
                </c:pt>
                <c:pt idx="3636">
                  <c:v>645.005</c:v>
                </c:pt>
                <c:pt idx="3637">
                  <c:v>645.186</c:v>
                </c:pt>
                <c:pt idx="3638">
                  <c:v>645.3589999999994</c:v>
                </c:pt>
                <c:pt idx="3639">
                  <c:v>645.528</c:v>
                </c:pt>
                <c:pt idx="3640">
                  <c:v>645.702</c:v>
                </c:pt>
                <c:pt idx="3641">
                  <c:v>645.881</c:v>
                </c:pt>
                <c:pt idx="3642">
                  <c:v>646.0519999999979</c:v>
                </c:pt>
                <c:pt idx="3643">
                  <c:v>646.231</c:v>
                </c:pt>
                <c:pt idx="3644">
                  <c:v>646.4109999999994</c:v>
                </c:pt>
                <c:pt idx="3645">
                  <c:v>646.587</c:v>
                </c:pt>
                <c:pt idx="3646">
                  <c:v>646.768</c:v>
                </c:pt>
                <c:pt idx="3647">
                  <c:v>646.9469999999974</c:v>
                </c:pt>
                <c:pt idx="3648">
                  <c:v>647.123</c:v>
                </c:pt>
                <c:pt idx="3649">
                  <c:v>647.296</c:v>
                </c:pt>
                <c:pt idx="3650">
                  <c:v>647.4679999999923</c:v>
                </c:pt>
                <c:pt idx="3651">
                  <c:v>647.641</c:v>
                </c:pt>
                <c:pt idx="3652">
                  <c:v>647.819</c:v>
                </c:pt>
                <c:pt idx="3653">
                  <c:v>647.999</c:v>
                </c:pt>
                <c:pt idx="3654">
                  <c:v>648.178</c:v>
                </c:pt>
                <c:pt idx="3655">
                  <c:v>648.3599999999974</c:v>
                </c:pt>
                <c:pt idx="3656">
                  <c:v>648.544</c:v>
                </c:pt>
                <c:pt idx="3657">
                  <c:v>648.722</c:v>
                </c:pt>
                <c:pt idx="3658">
                  <c:v>648.896</c:v>
                </c:pt>
                <c:pt idx="3659">
                  <c:v>649.071</c:v>
                </c:pt>
                <c:pt idx="3660">
                  <c:v>649.245</c:v>
                </c:pt>
                <c:pt idx="3661">
                  <c:v>649.423</c:v>
                </c:pt>
                <c:pt idx="3662">
                  <c:v>649.6</c:v>
                </c:pt>
                <c:pt idx="3663">
                  <c:v>649.766</c:v>
                </c:pt>
                <c:pt idx="3664">
                  <c:v>649.934</c:v>
                </c:pt>
                <c:pt idx="3665">
                  <c:v>650.102</c:v>
                </c:pt>
                <c:pt idx="3666">
                  <c:v>650.27</c:v>
                </c:pt>
                <c:pt idx="3667">
                  <c:v>650.4349999999994</c:v>
                </c:pt>
                <c:pt idx="3668">
                  <c:v>650.592</c:v>
                </c:pt>
                <c:pt idx="3669">
                  <c:v>650.76</c:v>
                </c:pt>
                <c:pt idx="3670">
                  <c:v>650.9329999999974</c:v>
                </c:pt>
                <c:pt idx="3671">
                  <c:v>651.11</c:v>
                </c:pt>
                <c:pt idx="3672">
                  <c:v>651.288</c:v>
                </c:pt>
                <c:pt idx="3673">
                  <c:v>651.4609999999974</c:v>
                </c:pt>
                <c:pt idx="3674">
                  <c:v>651.6319999999994</c:v>
                </c:pt>
                <c:pt idx="3675">
                  <c:v>651.803</c:v>
                </c:pt>
                <c:pt idx="3676">
                  <c:v>651.979</c:v>
                </c:pt>
                <c:pt idx="3677">
                  <c:v>652.146</c:v>
                </c:pt>
                <c:pt idx="3678">
                  <c:v>652.304</c:v>
                </c:pt>
                <c:pt idx="3679">
                  <c:v>652.4629999999925</c:v>
                </c:pt>
                <c:pt idx="3680">
                  <c:v>652.63</c:v>
                </c:pt>
                <c:pt idx="3681">
                  <c:v>652.803</c:v>
                </c:pt>
                <c:pt idx="3682">
                  <c:v>652.976</c:v>
                </c:pt>
                <c:pt idx="3683">
                  <c:v>653.141</c:v>
                </c:pt>
                <c:pt idx="3684">
                  <c:v>653.3079999999974</c:v>
                </c:pt>
                <c:pt idx="3685">
                  <c:v>653.477</c:v>
                </c:pt>
                <c:pt idx="3686">
                  <c:v>653.6509999999994</c:v>
                </c:pt>
                <c:pt idx="3687">
                  <c:v>653.819</c:v>
                </c:pt>
                <c:pt idx="3688">
                  <c:v>653.9880000000001</c:v>
                </c:pt>
                <c:pt idx="3689">
                  <c:v>654.16</c:v>
                </c:pt>
                <c:pt idx="3690">
                  <c:v>654.3349999999979</c:v>
                </c:pt>
                <c:pt idx="3691">
                  <c:v>654.51</c:v>
                </c:pt>
                <c:pt idx="3692">
                  <c:v>654.69</c:v>
                </c:pt>
                <c:pt idx="3693">
                  <c:v>654.872</c:v>
                </c:pt>
                <c:pt idx="3694">
                  <c:v>655.0519999999979</c:v>
                </c:pt>
                <c:pt idx="3695">
                  <c:v>655.225</c:v>
                </c:pt>
                <c:pt idx="3696">
                  <c:v>655.399</c:v>
                </c:pt>
                <c:pt idx="3697">
                  <c:v>655.575</c:v>
                </c:pt>
                <c:pt idx="3698">
                  <c:v>655.754</c:v>
                </c:pt>
                <c:pt idx="3699">
                  <c:v>655.934</c:v>
                </c:pt>
                <c:pt idx="3700">
                  <c:v>656.1130000000001</c:v>
                </c:pt>
                <c:pt idx="3701">
                  <c:v>656.292</c:v>
                </c:pt>
                <c:pt idx="3702">
                  <c:v>656.4689999999994</c:v>
                </c:pt>
                <c:pt idx="3703">
                  <c:v>656.6469999999994</c:v>
                </c:pt>
                <c:pt idx="3704">
                  <c:v>656.8229999999974</c:v>
                </c:pt>
                <c:pt idx="3705">
                  <c:v>656.993</c:v>
                </c:pt>
                <c:pt idx="3706">
                  <c:v>657.165</c:v>
                </c:pt>
                <c:pt idx="3707">
                  <c:v>657.3390000000001</c:v>
                </c:pt>
                <c:pt idx="3708">
                  <c:v>657.515</c:v>
                </c:pt>
                <c:pt idx="3709">
                  <c:v>657.693</c:v>
                </c:pt>
                <c:pt idx="3710">
                  <c:v>657.87</c:v>
                </c:pt>
                <c:pt idx="3711">
                  <c:v>658.044</c:v>
                </c:pt>
                <c:pt idx="3712">
                  <c:v>658.221</c:v>
                </c:pt>
                <c:pt idx="3713">
                  <c:v>658.403</c:v>
                </c:pt>
                <c:pt idx="3714">
                  <c:v>658.582</c:v>
                </c:pt>
                <c:pt idx="3715">
                  <c:v>658.76</c:v>
                </c:pt>
                <c:pt idx="3716">
                  <c:v>658.9409999999979</c:v>
                </c:pt>
                <c:pt idx="3717">
                  <c:v>659.119</c:v>
                </c:pt>
                <c:pt idx="3718">
                  <c:v>659.284</c:v>
                </c:pt>
                <c:pt idx="3719">
                  <c:v>659.4509999999979</c:v>
                </c:pt>
                <c:pt idx="3720">
                  <c:v>659.6269999999994</c:v>
                </c:pt>
                <c:pt idx="3721">
                  <c:v>659.803</c:v>
                </c:pt>
                <c:pt idx="3722">
                  <c:v>659.975</c:v>
                </c:pt>
                <c:pt idx="3723">
                  <c:v>660.14</c:v>
                </c:pt>
                <c:pt idx="3724">
                  <c:v>660.3049999999994</c:v>
                </c:pt>
                <c:pt idx="3725">
                  <c:v>660.473</c:v>
                </c:pt>
                <c:pt idx="3726">
                  <c:v>660.6419999999994</c:v>
                </c:pt>
                <c:pt idx="3727">
                  <c:v>660.809</c:v>
                </c:pt>
                <c:pt idx="3728">
                  <c:v>660.973</c:v>
                </c:pt>
                <c:pt idx="3729">
                  <c:v>661.145</c:v>
                </c:pt>
                <c:pt idx="3730">
                  <c:v>661.3259999999979</c:v>
                </c:pt>
                <c:pt idx="3731">
                  <c:v>661.506</c:v>
                </c:pt>
                <c:pt idx="3732">
                  <c:v>661.685</c:v>
                </c:pt>
                <c:pt idx="3733">
                  <c:v>661.8639999999979</c:v>
                </c:pt>
                <c:pt idx="3734">
                  <c:v>662.045</c:v>
                </c:pt>
                <c:pt idx="3735">
                  <c:v>662.223</c:v>
                </c:pt>
                <c:pt idx="3736">
                  <c:v>662.3969999999994</c:v>
                </c:pt>
                <c:pt idx="3737">
                  <c:v>662.564</c:v>
                </c:pt>
                <c:pt idx="3738">
                  <c:v>662.729</c:v>
                </c:pt>
                <c:pt idx="3739">
                  <c:v>662.8919999999994</c:v>
                </c:pt>
                <c:pt idx="3740">
                  <c:v>663.0569999999979</c:v>
                </c:pt>
                <c:pt idx="3741">
                  <c:v>663.232</c:v>
                </c:pt>
                <c:pt idx="3742">
                  <c:v>663.408</c:v>
                </c:pt>
                <c:pt idx="3743">
                  <c:v>663.584</c:v>
                </c:pt>
                <c:pt idx="3744">
                  <c:v>663.763</c:v>
                </c:pt>
                <c:pt idx="3745">
                  <c:v>663.9379999999974</c:v>
                </c:pt>
                <c:pt idx="3746">
                  <c:v>664.109</c:v>
                </c:pt>
                <c:pt idx="3747">
                  <c:v>664.285</c:v>
                </c:pt>
                <c:pt idx="3748">
                  <c:v>664.4659999999974</c:v>
                </c:pt>
                <c:pt idx="3749">
                  <c:v>664.6469999999994</c:v>
                </c:pt>
                <c:pt idx="3750">
                  <c:v>664.8169999999974</c:v>
                </c:pt>
                <c:pt idx="3751">
                  <c:v>664.985</c:v>
                </c:pt>
                <c:pt idx="3752">
                  <c:v>665.16</c:v>
                </c:pt>
                <c:pt idx="3753">
                  <c:v>665.3309999999979</c:v>
                </c:pt>
                <c:pt idx="3754">
                  <c:v>665.498</c:v>
                </c:pt>
                <c:pt idx="3755">
                  <c:v>665.673</c:v>
                </c:pt>
                <c:pt idx="3756">
                  <c:v>665.8499999999979</c:v>
                </c:pt>
                <c:pt idx="3757">
                  <c:v>666.0169999999994</c:v>
                </c:pt>
                <c:pt idx="3758">
                  <c:v>666.191</c:v>
                </c:pt>
                <c:pt idx="3759">
                  <c:v>666.37</c:v>
                </c:pt>
                <c:pt idx="3760">
                  <c:v>666.5509999999994</c:v>
                </c:pt>
                <c:pt idx="3761">
                  <c:v>666.732</c:v>
                </c:pt>
                <c:pt idx="3762">
                  <c:v>666.909</c:v>
                </c:pt>
                <c:pt idx="3763">
                  <c:v>667.082</c:v>
                </c:pt>
                <c:pt idx="3764">
                  <c:v>667.251</c:v>
                </c:pt>
                <c:pt idx="3765">
                  <c:v>667.419</c:v>
                </c:pt>
                <c:pt idx="3766">
                  <c:v>667.595</c:v>
                </c:pt>
                <c:pt idx="3767">
                  <c:v>667.771</c:v>
                </c:pt>
                <c:pt idx="3768">
                  <c:v>667.944</c:v>
                </c:pt>
                <c:pt idx="3769">
                  <c:v>668.117</c:v>
                </c:pt>
                <c:pt idx="3770">
                  <c:v>668.289</c:v>
                </c:pt>
                <c:pt idx="3771">
                  <c:v>668.4609999999974</c:v>
                </c:pt>
                <c:pt idx="3772">
                  <c:v>668.6369999999994</c:v>
                </c:pt>
                <c:pt idx="3773">
                  <c:v>668.8109999999979</c:v>
                </c:pt>
                <c:pt idx="3774">
                  <c:v>668.98</c:v>
                </c:pt>
                <c:pt idx="3775">
                  <c:v>669.1509999999994</c:v>
                </c:pt>
                <c:pt idx="3776">
                  <c:v>669.3229999999974</c:v>
                </c:pt>
                <c:pt idx="3777">
                  <c:v>669.493</c:v>
                </c:pt>
                <c:pt idx="3778">
                  <c:v>669.6659999999994</c:v>
                </c:pt>
                <c:pt idx="3779">
                  <c:v>669.8399999999979</c:v>
                </c:pt>
                <c:pt idx="3780">
                  <c:v>670.018</c:v>
                </c:pt>
                <c:pt idx="3781">
                  <c:v>670.187</c:v>
                </c:pt>
                <c:pt idx="3782">
                  <c:v>670.3499999999979</c:v>
                </c:pt>
                <c:pt idx="3783">
                  <c:v>670.5219999999994</c:v>
                </c:pt>
                <c:pt idx="3784">
                  <c:v>670.696</c:v>
                </c:pt>
                <c:pt idx="3785">
                  <c:v>670.8630000000001</c:v>
                </c:pt>
                <c:pt idx="3786">
                  <c:v>671.024</c:v>
                </c:pt>
                <c:pt idx="3787">
                  <c:v>671.184</c:v>
                </c:pt>
                <c:pt idx="3788">
                  <c:v>671.3449999999979</c:v>
                </c:pt>
                <c:pt idx="3789">
                  <c:v>671.501</c:v>
                </c:pt>
                <c:pt idx="3790">
                  <c:v>671.668</c:v>
                </c:pt>
                <c:pt idx="3791">
                  <c:v>671.8390000000001</c:v>
                </c:pt>
                <c:pt idx="3792">
                  <c:v>672.013</c:v>
                </c:pt>
                <c:pt idx="3793">
                  <c:v>672.19</c:v>
                </c:pt>
                <c:pt idx="3794">
                  <c:v>672.3689999999979</c:v>
                </c:pt>
                <c:pt idx="3795">
                  <c:v>672.553</c:v>
                </c:pt>
                <c:pt idx="3796">
                  <c:v>672.736</c:v>
                </c:pt>
                <c:pt idx="3797">
                  <c:v>672.918</c:v>
                </c:pt>
                <c:pt idx="3798">
                  <c:v>673.1029999999994</c:v>
                </c:pt>
                <c:pt idx="3799">
                  <c:v>673.282</c:v>
                </c:pt>
                <c:pt idx="3800">
                  <c:v>673.4599999999979</c:v>
                </c:pt>
                <c:pt idx="3801">
                  <c:v>673.636</c:v>
                </c:pt>
                <c:pt idx="3802">
                  <c:v>673.8079999999974</c:v>
                </c:pt>
                <c:pt idx="3803">
                  <c:v>673.982</c:v>
                </c:pt>
                <c:pt idx="3804">
                  <c:v>674.155</c:v>
                </c:pt>
                <c:pt idx="3805">
                  <c:v>674.3299999999994</c:v>
                </c:pt>
                <c:pt idx="3806">
                  <c:v>674.505</c:v>
                </c:pt>
                <c:pt idx="3807">
                  <c:v>674.672</c:v>
                </c:pt>
                <c:pt idx="3808">
                  <c:v>674.8390000000001</c:v>
                </c:pt>
                <c:pt idx="3809">
                  <c:v>675.005</c:v>
                </c:pt>
                <c:pt idx="3810">
                  <c:v>675.1659999999994</c:v>
                </c:pt>
                <c:pt idx="3811">
                  <c:v>675.3309999999979</c:v>
                </c:pt>
                <c:pt idx="3812">
                  <c:v>675.504</c:v>
                </c:pt>
                <c:pt idx="3813">
                  <c:v>675.678</c:v>
                </c:pt>
                <c:pt idx="3814">
                  <c:v>675.8509999999974</c:v>
                </c:pt>
                <c:pt idx="3815">
                  <c:v>676.0219999999994</c:v>
                </c:pt>
                <c:pt idx="3816">
                  <c:v>676.189</c:v>
                </c:pt>
                <c:pt idx="3817">
                  <c:v>676.3649999999974</c:v>
                </c:pt>
                <c:pt idx="3818">
                  <c:v>676.528</c:v>
                </c:pt>
                <c:pt idx="3819">
                  <c:v>676.697</c:v>
                </c:pt>
                <c:pt idx="3820">
                  <c:v>676.87</c:v>
                </c:pt>
                <c:pt idx="3821">
                  <c:v>677.0409999999994</c:v>
                </c:pt>
                <c:pt idx="3822">
                  <c:v>677.217</c:v>
                </c:pt>
                <c:pt idx="3823">
                  <c:v>677.39</c:v>
                </c:pt>
                <c:pt idx="3824">
                  <c:v>677.5609999999979</c:v>
                </c:pt>
                <c:pt idx="3825">
                  <c:v>677.734</c:v>
                </c:pt>
                <c:pt idx="3826">
                  <c:v>677.909</c:v>
                </c:pt>
                <c:pt idx="3827">
                  <c:v>678.087</c:v>
                </c:pt>
                <c:pt idx="3828">
                  <c:v>678.268</c:v>
                </c:pt>
                <c:pt idx="3829">
                  <c:v>678.4469999999974</c:v>
                </c:pt>
                <c:pt idx="3830">
                  <c:v>678.626</c:v>
                </c:pt>
                <c:pt idx="3831">
                  <c:v>678.803</c:v>
                </c:pt>
                <c:pt idx="3832">
                  <c:v>678.9829999999994</c:v>
                </c:pt>
                <c:pt idx="3833">
                  <c:v>679.158</c:v>
                </c:pt>
                <c:pt idx="3834">
                  <c:v>679.3199999999994</c:v>
                </c:pt>
                <c:pt idx="3835">
                  <c:v>679.485</c:v>
                </c:pt>
                <c:pt idx="3836">
                  <c:v>679.645</c:v>
                </c:pt>
                <c:pt idx="3837">
                  <c:v>679.8109999999979</c:v>
                </c:pt>
                <c:pt idx="3838">
                  <c:v>679.979</c:v>
                </c:pt>
                <c:pt idx="3839">
                  <c:v>680.1509999999994</c:v>
                </c:pt>
                <c:pt idx="3840">
                  <c:v>680.3209999999979</c:v>
                </c:pt>
                <c:pt idx="3841">
                  <c:v>680.492</c:v>
                </c:pt>
                <c:pt idx="3842">
                  <c:v>680.6669999999979</c:v>
                </c:pt>
                <c:pt idx="3843">
                  <c:v>680.8319999999974</c:v>
                </c:pt>
                <c:pt idx="3844">
                  <c:v>680.997</c:v>
                </c:pt>
                <c:pt idx="3845">
                  <c:v>681.1669999999979</c:v>
                </c:pt>
                <c:pt idx="3846">
                  <c:v>681.3369999999974</c:v>
                </c:pt>
                <c:pt idx="3847">
                  <c:v>681.505</c:v>
                </c:pt>
                <c:pt idx="3848">
                  <c:v>681.6669999999979</c:v>
                </c:pt>
                <c:pt idx="3849">
                  <c:v>681.8229999999974</c:v>
                </c:pt>
                <c:pt idx="3850">
                  <c:v>681.9829999999994</c:v>
                </c:pt>
                <c:pt idx="3851">
                  <c:v>682.145</c:v>
                </c:pt>
                <c:pt idx="3852">
                  <c:v>682.3059999999994</c:v>
                </c:pt>
                <c:pt idx="3853">
                  <c:v>682.4640000000001</c:v>
                </c:pt>
                <c:pt idx="3854">
                  <c:v>682.619</c:v>
                </c:pt>
                <c:pt idx="3855">
                  <c:v>682.763</c:v>
                </c:pt>
                <c:pt idx="3856">
                  <c:v>682.905</c:v>
                </c:pt>
                <c:pt idx="3857">
                  <c:v>683.0549999999994</c:v>
                </c:pt>
                <c:pt idx="3858">
                  <c:v>683.213</c:v>
                </c:pt>
                <c:pt idx="3859">
                  <c:v>683.37</c:v>
                </c:pt>
                <c:pt idx="3860">
                  <c:v>683.525</c:v>
                </c:pt>
                <c:pt idx="3861">
                  <c:v>683.68</c:v>
                </c:pt>
                <c:pt idx="3862">
                  <c:v>683.8390000000001</c:v>
                </c:pt>
                <c:pt idx="3863">
                  <c:v>684.003</c:v>
                </c:pt>
                <c:pt idx="3864">
                  <c:v>684.1669999999979</c:v>
                </c:pt>
                <c:pt idx="3865">
                  <c:v>684.3339999999994</c:v>
                </c:pt>
                <c:pt idx="3866">
                  <c:v>684.505</c:v>
                </c:pt>
                <c:pt idx="3867">
                  <c:v>684.673</c:v>
                </c:pt>
                <c:pt idx="3868">
                  <c:v>684.8359999999974</c:v>
                </c:pt>
                <c:pt idx="3869">
                  <c:v>685.0019999999994</c:v>
                </c:pt>
                <c:pt idx="3870">
                  <c:v>685.164</c:v>
                </c:pt>
                <c:pt idx="3871">
                  <c:v>685.3299999999994</c:v>
                </c:pt>
                <c:pt idx="3872">
                  <c:v>685.504</c:v>
                </c:pt>
                <c:pt idx="3873">
                  <c:v>685.678</c:v>
                </c:pt>
                <c:pt idx="3874">
                  <c:v>685.8559999999974</c:v>
                </c:pt>
                <c:pt idx="3875">
                  <c:v>686.029</c:v>
                </c:pt>
                <c:pt idx="3876">
                  <c:v>686.197</c:v>
                </c:pt>
                <c:pt idx="3877">
                  <c:v>686.3619999999918</c:v>
                </c:pt>
                <c:pt idx="3878">
                  <c:v>686.528</c:v>
                </c:pt>
                <c:pt idx="3879">
                  <c:v>686.697</c:v>
                </c:pt>
                <c:pt idx="3880">
                  <c:v>686.8619999999918</c:v>
                </c:pt>
                <c:pt idx="3881">
                  <c:v>687.0169999999994</c:v>
                </c:pt>
                <c:pt idx="3882">
                  <c:v>687.172</c:v>
                </c:pt>
                <c:pt idx="3883">
                  <c:v>687.3259999999979</c:v>
                </c:pt>
                <c:pt idx="3884">
                  <c:v>687.484</c:v>
                </c:pt>
                <c:pt idx="3885">
                  <c:v>687.645</c:v>
                </c:pt>
                <c:pt idx="3886">
                  <c:v>687.8009999999994</c:v>
                </c:pt>
                <c:pt idx="3887">
                  <c:v>687.9619999999974</c:v>
                </c:pt>
                <c:pt idx="3888">
                  <c:v>688.126</c:v>
                </c:pt>
                <c:pt idx="3889">
                  <c:v>688.293</c:v>
                </c:pt>
                <c:pt idx="3890">
                  <c:v>688.4549999999994</c:v>
                </c:pt>
                <c:pt idx="3891">
                  <c:v>688.616</c:v>
                </c:pt>
                <c:pt idx="3892">
                  <c:v>688.781</c:v>
                </c:pt>
                <c:pt idx="3893">
                  <c:v>688.9429999999974</c:v>
                </c:pt>
                <c:pt idx="3894">
                  <c:v>689.102</c:v>
                </c:pt>
                <c:pt idx="3895">
                  <c:v>689.2669999999994</c:v>
                </c:pt>
                <c:pt idx="3896">
                  <c:v>689.4309999999994</c:v>
                </c:pt>
                <c:pt idx="3897">
                  <c:v>689.593</c:v>
                </c:pt>
                <c:pt idx="3898">
                  <c:v>689.756</c:v>
                </c:pt>
                <c:pt idx="3899">
                  <c:v>689.9159999999994</c:v>
                </c:pt>
                <c:pt idx="3900">
                  <c:v>690.076</c:v>
                </c:pt>
                <c:pt idx="3901">
                  <c:v>690.239</c:v>
                </c:pt>
                <c:pt idx="3902">
                  <c:v>690.404</c:v>
                </c:pt>
                <c:pt idx="3903">
                  <c:v>690.572</c:v>
                </c:pt>
                <c:pt idx="3904">
                  <c:v>690.7329999999994</c:v>
                </c:pt>
                <c:pt idx="3905">
                  <c:v>690.889</c:v>
                </c:pt>
                <c:pt idx="3906">
                  <c:v>691.0519999999979</c:v>
                </c:pt>
                <c:pt idx="3907">
                  <c:v>691.22</c:v>
                </c:pt>
                <c:pt idx="3908">
                  <c:v>691.39</c:v>
                </c:pt>
                <c:pt idx="3909">
                  <c:v>691.5559999999994</c:v>
                </c:pt>
                <c:pt idx="3910">
                  <c:v>691.72</c:v>
                </c:pt>
                <c:pt idx="3911">
                  <c:v>691.879</c:v>
                </c:pt>
                <c:pt idx="3912">
                  <c:v>692.0259999999994</c:v>
                </c:pt>
                <c:pt idx="3913">
                  <c:v>692.179</c:v>
                </c:pt>
                <c:pt idx="3914">
                  <c:v>692.3379999999925</c:v>
                </c:pt>
                <c:pt idx="3915">
                  <c:v>692.492</c:v>
                </c:pt>
                <c:pt idx="3916">
                  <c:v>692.644</c:v>
                </c:pt>
                <c:pt idx="3917">
                  <c:v>692.803</c:v>
                </c:pt>
                <c:pt idx="3918">
                  <c:v>692.9609999999974</c:v>
                </c:pt>
                <c:pt idx="3919">
                  <c:v>693.12</c:v>
                </c:pt>
                <c:pt idx="3920">
                  <c:v>693.281</c:v>
                </c:pt>
                <c:pt idx="3921">
                  <c:v>693.4469999999974</c:v>
                </c:pt>
                <c:pt idx="3922">
                  <c:v>693.614</c:v>
                </c:pt>
                <c:pt idx="3923">
                  <c:v>693.781</c:v>
                </c:pt>
                <c:pt idx="3924">
                  <c:v>693.9509999999979</c:v>
                </c:pt>
                <c:pt idx="3925">
                  <c:v>694.112</c:v>
                </c:pt>
                <c:pt idx="3926">
                  <c:v>694.2669999999994</c:v>
                </c:pt>
                <c:pt idx="3927">
                  <c:v>694.428</c:v>
                </c:pt>
                <c:pt idx="3928">
                  <c:v>694.597</c:v>
                </c:pt>
                <c:pt idx="3929">
                  <c:v>694.77</c:v>
                </c:pt>
                <c:pt idx="3930">
                  <c:v>694.9409999999979</c:v>
                </c:pt>
                <c:pt idx="3931">
                  <c:v>695.106</c:v>
                </c:pt>
                <c:pt idx="3932">
                  <c:v>695.266</c:v>
                </c:pt>
                <c:pt idx="3933">
                  <c:v>695.4259999999994</c:v>
                </c:pt>
                <c:pt idx="3934">
                  <c:v>695.581</c:v>
                </c:pt>
                <c:pt idx="3935">
                  <c:v>695.736</c:v>
                </c:pt>
                <c:pt idx="3936">
                  <c:v>695.8869999999994</c:v>
                </c:pt>
                <c:pt idx="3937">
                  <c:v>696.039</c:v>
                </c:pt>
                <c:pt idx="3938">
                  <c:v>696.199</c:v>
                </c:pt>
                <c:pt idx="3939">
                  <c:v>696.3609999999974</c:v>
                </c:pt>
                <c:pt idx="3940">
                  <c:v>696.5219999999994</c:v>
                </c:pt>
                <c:pt idx="3941">
                  <c:v>696.686</c:v>
                </c:pt>
                <c:pt idx="3942">
                  <c:v>696.8559999999974</c:v>
                </c:pt>
                <c:pt idx="3943">
                  <c:v>697.0219999999994</c:v>
                </c:pt>
                <c:pt idx="3944">
                  <c:v>697.189</c:v>
                </c:pt>
                <c:pt idx="3945">
                  <c:v>697.3469999999974</c:v>
                </c:pt>
                <c:pt idx="3946">
                  <c:v>697.498</c:v>
                </c:pt>
                <c:pt idx="3947">
                  <c:v>697.6369999999994</c:v>
                </c:pt>
                <c:pt idx="3948">
                  <c:v>697.777</c:v>
                </c:pt>
                <c:pt idx="3949">
                  <c:v>697.928</c:v>
                </c:pt>
                <c:pt idx="3950">
                  <c:v>698.085</c:v>
                </c:pt>
                <c:pt idx="3951">
                  <c:v>698.243</c:v>
                </c:pt>
                <c:pt idx="3952">
                  <c:v>698.409</c:v>
                </c:pt>
                <c:pt idx="3953">
                  <c:v>698.574</c:v>
                </c:pt>
                <c:pt idx="3954">
                  <c:v>698.736</c:v>
                </c:pt>
                <c:pt idx="3955">
                  <c:v>698.896</c:v>
                </c:pt>
                <c:pt idx="3956">
                  <c:v>699.0609999999979</c:v>
                </c:pt>
                <c:pt idx="3957">
                  <c:v>699.2279999999994</c:v>
                </c:pt>
                <c:pt idx="3958">
                  <c:v>699.396</c:v>
                </c:pt>
                <c:pt idx="3959">
                  <c:v>699.5669999999974</c:v>
                </c:pt>
                <c:pt idx="3960">
                  <c:v>699.734</c:v>
                </c:pt>
                <c:pt idx="3961">
                  <c:v>699.8969999999994</c:v>
                </c:pt>
                <c:pt idx="3962">
                  <c:v>700.0519999999979</c:v>
                </c:pt>
                <c:pt idx="3963">
                  <c:v>700.196</c:v>
                </c:pt>
                <c:pt idx="3964">
                  <c:v>700.3399999999979</c:v>
                </c:pt>
                <c:pt idx="3965">
                  <c:v>700.492</c:v>
                </c:pt>
                <c:pt idx="3966">
                  <c:v>700.654</c:v>
                </c:pt>
                <c:pt idx="3967">
                  <c:v>700.814</c:v>
                </c:pt>
                <c:pt idx="3968">
                  <c:v>700.98</c:v>
                </c:pt>
                <c:pt idx="3969">
                  <c:v>701.1419999999994</c:v>
                </c:pt>
                <c:pt idx="3970">
                  <c:v>701.299</c:v>
                </c:pt>
                <c:pt idx="3971">
                  <c:v>701.4629999999925</c:v>
                </c:pt>
                <c:pt idx="3972">
                  <c:v>701.6269999999994</c:v>
                </c:pt>
                <c:pt idx="3973">
                  <c:v>701.791</c:v>
                </c:pt>
                <c:pt idx="3974">
                  <c:v>701.9589999999994</c:v>
                </c:pt>
                <c:pt idx="3975">
                  <c:v>702.129</c:v>
                </c:pt>
                <c:pt idx="3976">
                  <c:v>702.3</c:v>
                </c:pt>
                <c:pt idx="3977">
                  <c:v>702.4659999999974</c:v>
                </c:pt>
                <c:pt idx="3978">
                  <c:v>702.63</c:v>
                </c:pt>
                <c:pt idx="3979">
                  <c:v>702.795</c:v>
                </c:pt>
                <c:pt idx="3980">
                  <c:v>702.9589999999994</c:v>
                </c:pt>
                <c:pt idx="3981">
                  <c:v>703.12</c:v>
                </c:pt>
                <c:pt idx="3982">
                  <c:v>703.28</c:v>
                </c:pt>
                <c:pt idx="3983">
                  <c:v>703.4429999999974</c:v>
                </c:pt>
                <c:pt idx="3984">
                  <c:v>703.614</c:v>
                </c:pt>
                <c:pt idx="3985">
                  <c:v>703.79</c:v>
                </c:pt>
                <c:pt idx="3986">
                  <c:v>703.9649999999979</c:v>
                </c:pt>
                <c:pt idx="3987">
                  <c:v>704.139</c:v>
                </c:pt>
                <c:pt idx="3988">
                  <c:v>704.303</c:v>
                </c:pt>
                <c:pt idx="3989">
                  <c:v>704.4619999999974</c:v>
                </c:pt>
                <c:pt idx="3990">
                  <c:v>704.622</c:v>
                </c:pt>
                <c:pt idx="3991">
                  <c:v>704.785</c:v>
                </c:pt>
                <c:pt idx="3992">
                  <c:v>704.9539999999994</c:v>
                </c:pt>
                <c:pt idx="3993">
                  <c:v>705.128</c:v>
                </c:pt>
                <c:pt idx="3994">
                  <c:v>705.3</c:v>
                </c:pt>
                <c:pt idx="3995">
                  <c:v>705.4689999999994</c:v>
                </c:pt>
                <c:pt idx="3996">
                  <c:v>705.638</c:v>
                </c:pt>
                <c:pt idx="3997">
                  <c:v>705.803</c:v>
                </c:pt>
                <c:pt idx="3998">
                  <c:v>705.9689999999994</c:v>
                </c:pt>
                <c:pt idx="3999">
                  <c:v>706.131</c:v>
                </c:pt>
                <c:pt idx="4000">
                  <c:v>706.296</c:v>
                </c:pt>
                <c:pt idx="4001">
                  <c:v>706.4619999999974</c:v>
                </c:pt>
                <c:pt idx="4002">
                  <c:v>706.628</c:v>
                </c:pt>
                <c:pt idx="4003">
                  <c:v>706.787</c:v>
                </c:pt>
                <c:pt idx="4004">
                  <c:v>706.949</c:v>
                </c:pt>
                <c:pt idx="4005">
                  <c:v>707.114</c:v>
                </c:pt>
                <c:pt idx="4006">
                  <c:v>707.278</c:v>
                </c:pt>
                <c:pt idx="4007">
                  <c:v>707.4409999999979</c:v>
                </c:pt>
                <c:pt idx="4008">
                  <c:v>707.605</c:v>
                </c:pt>
                <c:pt idx="4009">
                  <c:v>707.77</c:v>
                </c:pt>
                <c:pt idx="4010">
                  <c:v>707.9369999999974</c:v>
                </c:pt>
                <c:pt idx="4011">
                  <c:v>708.106</c:v>
                </c:pt>
                <c:pt idx="4012">
                  <c:v>708.271</c:v>
                </c:pt>
                <c:pt idx="4013">
                  <c:v>708.423</c:v>
                </c:pt>
                <c:pt idx="4014">
                  <c:v>708.575</c:v>
                </c:pt>
                <c:pt idx="4015">
                  <c:v>708.725</c:v>
                </c:pt>
                <c:pt idx="4016">
                  <c:v>708.8819999999994</c:v>
                </c:pt>
                <c:pt idx="4017">
                  <c:v>709.0409999999994</c:v>
                </c:pt>
                <c:pt idx="4018">
                  <c:v>709.205</c:v>
                </c:pt>
                <c:pt idx="4019">
                  <c:v>709.3689999999979</c:v>
                </c:pt>
                <c:pt idx="4020">
                  <c:v>709.534</c:v>
                </c:pt>
                <c:pt idx="4021">
                  <c:v>709.683</c:v>
                </c:pt>
                <c:pt idx="4022">
                  <c:v>709.819</c:v>
                </c:pt>
                <c:pt idx="4023">
                  <c:v>709.9559999999979</c:v>
                </c:pt>
                <c:pt idx="4024">
                  <c:v>710.099</c:v>
                </c:pt>
                <c:pt idx="4025">
                  <c:v>710.247</c:v>
                </c:pt>
                <c:pt idx="4026">
                  <c:v>710.4019999999994</c:v>
                </c:pt>
                <c:pt idx="4027">
                  <c:v>710.5579999999974</c:v>
                </c:pt>
                <c:pt idx="4028">
                  <c:v>710.722</c:v>
                </c:pt>
                <c:pt idx="4029">
                  <c:v>710.894</c:v>
                </c:pt>
                <c:pt idx="4030">
                  <c:v>711.0669999999974</c:v>
                </c:pt>
                <c:pt idx="4031">
                  <c:v>711.2380000000001</c:v>
                </c:pt>
                <c:pt idx="4032">
                  <c:v>711.405</c:v>
                </c:pt>
                <c:pt idx="4033">
                  <c:v>711.564</c:v>
                </c:pt>
                <c:pt idx="4034">
                  <c:v>711.726</c:v>
                </c:pt>
                <c:pt idx="4035">
                  <c:v>711.898</c:v>
                </c:pt>
                <c:pt idx="4036">
                  <c:v>712.0679999999974</c:v>
                </c:pt>
                <c:pt idx="4037">
                  <c:v>712.2380000000001</c:v>
                </c:pt>
                <c:pt idx="4038">
                  <c:v>712.4019999999994</c:v>
                </c:pt>
                <c:pt idx="4039">
                  <c:v>712.5649999999994</c:v>
                </c:pt>
                <c:pt idx="4040">
                  <c:v>712.73</c:v>
                </c:pt>
                <c:pt idx="4041">
                  <c:v>712.888</c:v>
                </c:pt>
                <c:pt idx="4042">
                  <c:v>713.05</c:v>
                </c:pt>
                <c:pt idx="4043">
                  <c:v>713.219</c:v>
                </c:pt>
                <c:pt idx="4044">
                  <c:v>713.391</c:v>
                </c:pt>
                <c:pt idx="4045">
                  <c:v>713.5459999999994</c:v>
                </c:pt>
                <c:pt idx="4046">
                  <c:v>713.7</c:v>
                </c:pt>
                <c:pt idx="4047">
                  <c:v>713.8589999999994</c:v>
                </c:pt>
                <c:pt idx="4048">
                  <c:v>714.016</c:v>
                </c:pt>
                <c:pt idx="4049">
                  <c:v>714.175</c:v>
                </c:pt>
                <c:pt idx="4050">
                  <c:v>714.3399999999979</c:v>
                </c:pt>
                <c:pt idx="4051">
                  <c:v>714.494</c:v>
                </c:pt>
                <c:pt idx="4052">
                  <c:v>714.653</c:v>
                </c:pt>
                <c:pt idx="4053">
                  <c:v>714.819</c:v>
                </c:pt>
                <c:pt idx="4054">
                  <c:v>714.987</c:v>
                </c:pt>
                <c:pt idx="4055">
                  <c:v>715.153</c:v>
                </c:pt>
                <c:pt idx="4056">
                  <c:v>715.319</c:v>
                </c:pt>
                <c:pt idx="4057">
                  <c:v>715.485</c:v>
                </c:pt>
                <c:pt idx="4058">
                  <c:v>715.655</c:v>
                </c:pt>
                <c:pt idx="4059">
                  <c:v>715.8249999999994</c:v>
                </c:pt>
                <c:pt idx="4060">
                  <c:v>715.996</c:v>
                </c:pt>
                <c:pt idx="4061">
                  <c:v>716.163</c:v>
                </c:pt>
                <c:pt idx="4062">
                  <c:v>716.3269999999974</c:v>
                </c:pt>
                <c:pt idx="4063">
                  <c:v>716.493</c:v>
                </c:pt>
                <c:pt idx="4064">
                  <c:v>716.6559999999994</c:v>
                </c:pt>
                <c:pt idx="4065">
                  <c:v>716.8229999999974</c:v>
                </c:pt>
                <c:pt idx="4066">
                  <c:v>716.9829999999994</c:v>
                </c:pt>
                <c:pt idx="4067">
                  <c:v>717.149</c:v>
                </c:pt>
                <c:pt idx="4068">
                  <c:v>717.3169999999974</c:v>
                </c:pt>
                <c:pt idx="4069">
                  <c:v>717.486</c:v>
                </c:pt>
                <c:pt idx="4070">
                  <c:v>717.655</c:v>
                </c:pt>
                <c:pt idx="4071">
                  <c:v>717.8219999999974</c:v>
                </c:pt>
                <c:pt idx="4072">
                  <c:v>717.9829999999994</c:v>
                </c:pt>
                <c:pt idx="4073">
                  <c:v>718.145</c:v>
                </c:pt>
                <c:pt idx="4074">
                  <c:v>718.3079999999974</c:v>
                </c:pt>
                <c:pt idx="4075">
                  <c:v>718.474</c:v>
                </c:pt>
                <c:pt idx="4076">
                  <c:v>718.639</c:v>
                </c:pt>
                <c:pt idx="4077">
                  <c:v>718.799</c:v>
                </c:pt>
                <c:pt idx="4078">
                  <c:v>718.9519999999974</c:v>
                </c:pt>
                <c:pt idx="4079">
                  <c:v>719.1079999999994</c:v>
                </c:pt>
                <c:pt idx="4080">
                  <c:v>719.265</c:v>
                </c:pt>
                <c:pt idx="4081">
                  <c:v>719.4169999999979</c:v>
                </c:pt>
                <c:pt idx="4082">
                  <c:v>719.5659999999979</c:v>
                </c:pt>
                <c:pt idx="4083">
                  <c:v>719.721</c:v>
                </c:pt>
                <c:pt idx="4084">
                  <c:v>719.879</c:v>
                </c:pt>
                <c:pt idx="4085">
                  <c:v>720.038</c:v>
                </c:pt>
                <c:pt idx="4086">
                  <c:v>720.198</c:v>
                </c:pt>
                <c:pt idx="4087">
                  <c:v>720.3579999999902</c:v>
                </c:pt>
                <c:pt idx="4088">
                  <c:v>720.515</c:v>
                </c:pt>
                <c:pt idx="4089">
                  <c:v>720.6619999999979</c:v>
                </c:pt>
                <c:pt idx="4090">
                  <c:v>720.8129999999974</c:v>
                </c:pt>
                <c:pt idx="4091">
                  <c:v>720.9669999999974</c:v>
                </c:pt>
                <c:pt idx="4092">
                  <c:v>721.125</c:v>
                </c:pt>
                <c:pt idx="4093">
                  <c:v>721.283</c:v>
                </c:pt>
                <c:pt idx="4094">
                  <c:v>721.4419999999974</c:v>
                </c:pt>
                <c:pt idx="4095">
                  <c:v>721.591</c:v>
                </c:pt>
                <c:pt idx="4096">
                  <c:v>721.734</c:v>
                </c:pt>
                <c:pt idx="4097">
                  <c:v>721.883</c:v>
                </c:pt>
                <c:pt idx="4098">
                  <c:v>722.043</c:v>
                </c:pt>
                <c:pt idx="4099">
                  <c:v>722.203</c:v>
                </c:pt>
                <c:pt idx="4100">
                  <c:v>722.3609999999974</c:v>
                </c:pt>
                <c:pt idx="4101">
                  <c:v>722.516</c:v>
                </c:pt>
                <c:pt idx="4102">
                  <c:v>722.664</c:v>
                </c:pt>
                <c:pt idx="4103">
                  <c:v>722.8179999999974</c:v>
                </c:pt>
                <c:pt idx="4104">
                  <c:v>722.9689999999994</c:v>
                </c:pt>
                <c:pt idx="4105">
                  <c:v>723.117</c:v>
                </c:pt>
                <c:pt idx="4106">
                  <c:v>723.27</c:v>
                </c:pt>
                <c:pt idx="4107">
                  <c:v>723.429</c:v>
                </c:pt>
                <c:pt idx="4108">
                  <c:v>723.59</c:v>
                </c:pt>
                <c:pt idx="4109">
                  <c:v>723.749</c:v>
                </c:pt>
                <c:pt idx="4110">
                  <c:v>723.91</c:v>
                </c:pt>
                <c:pt idx="4111">
                  <c:v>724.073</c:v>
                </c:pt>
                <c:pt idx="4112">
                  <c:v>724.2279999999994</c:v>
                </c:pt>
                <c:pt idx="4113">
                  <c:v>724.376</c:v>
                </c:pt>
                <c:pt idx="4114">
                  <c:v>724.5269999999994</c:v>
                </c:pt>
                <c:pt idx="4115">
                  <c:v>724.684</c:v>
                </c:pt>
                <c:pt idx="4116">
                  <c:v>724.8359999999974</c:v>
                </c:pt>
                <c:pt idx="4117">
                  <c:v>724.9880000000001</c:v>
                </c:pt>
                <c:pt idx="4118">
                  <c:v>725.1419999999994</c:v>
                </c:pt>
                <c:pt idx="4119">
                  <c:v>725.295</c:v>
                </c:pt>
                <c:pt idx="4120">
                  <c:v>725.4509999999979</c:v>
                </c:pt>
                <c:pt idx="4121">
                  <c:v>725.605</c:v>
                </c:pt>
                <c:pt idx="4122">
                  <c:v>725.7619999999994</c:v>
                </c:pt>
                <c:pt idx="4123">
                  <c:v>725.9209999999994</c:v>
                </c:pt>
                <c:pt idx="4124">
                  <c:v>726.075</c:v>
                </c:pt>
                <c:pt idx="4125">
                  <c:v>726.229</c:v>
                </c:pt>
                <c:pt idx="4126">
                  <c:v>726.3819999999994</c:v>
                </c:pt>
                <c:pt idx="4127">
                  <c:v>726.5369999999979</c:v>
                </c:pt>
                <c:pt idx="4128">
                  <c:v>726.697</c:v>
                </c:pt>
                <c:pt idx="4129">
                  <c:v>726.8589999999994</c:v>
                </c:pt>
                <c:pt idx="4130">
                  <c:v>727.0219999999994</c:v>
                </c:pt>
                <c:pt idx="4131">
                  <c:v>727.181</c:v>
                </c:pt>
                <c:pt idx="4132">
                  <c:v>727.3339999999994</c:v>
                </c:pt>
                <c:pt idx="4133">
                  <c:v>727.472</c:v>
                </c:pt>
                <c:pt idx="4134">
                  <c:v>727.6130000000001</c:v>
                </c:pt>
                <c:pt idx="4135">
                  <c:v>727.764</c:v>
                </c:pt>
                <c:pt idx="4136">
                  <c:v>727.918</c:v>
                </c:pt>
                <c:pt idx="4137">
                  <c:v>728.076</c:v>
                </c:pt>
                <c:pt idx="4138">
                  <c:v>728.2329999999994</c:v>
                </c:pt>
                <c:pt idx="4139">
                  <c:v>728.394</c:v>
                </c:pt>
                <c:pt idx="4140">
                  <c:v>728.564</c:v>
                </c:pt>
                <c:pt idx="4141">
                  <c:v>728.739</c:v>
                </c:pt>
                <c:pt idx="4142">
                  <c:v>728.9119999999979</c:v>
                </c:pt>
                <c:pt idx="4143">
                  <c:v>729.084</c:v>
                </c:pt>
                <c:pt idx="4144">
                  <c:v>729.263</c:v>
                </c:pt>
                <c:pt idx="4145">
                  <c:v>729.4449999999994</c:v>
                </c:pt>
                <c:pt idx="4146">
                  <c:v>729.628</c:v>
                </c:pt>
                <c:pt idx="4147">
                  <c:v>729.8149999999994</c:v>
                </c:pt>
                <c:pt idx="4148">
                  <c:v>730.0</c:v>
                </c:pt>
                <c:pt idx="4149">
                  <c:v>730.186</c:v>
                </c:pt>
                <c:pt idx="4150">
                  <c:v>730.373</c:v>
                </c:pt>
                <c:pt idx="4151">
                  <c:v>730.5569999999979</c:v>
                </c:pt>
                <c:pt idx="4152">
                  <c:v>730.742</c:v>
                </c:pt>
                <c:pt idx="4153">
                  <c:v>730.9159999999994</c:v>
                </c:pt>
                <c:pt idx="4154">
                  <c:v>731.0890000000001</c:v>
                </c:pt>
                <c:pt idx="4155">
                  <c:v>731.259</c:v>
                </c:pt>
                <c:pt idx="4156">
                  <c:v>731.4259999999994</c:v>
                </c:pt>
                <c:pt idx="4157">
                  <c:v>731.592</c:v>
                </c:pt>
                <c:pt idx="4158">
                  <c:v>731.758</c:v>
                </c:pt>
                <c:pt idx="4159">
                  <c:v>731.9329999999974</c:v>
                </c:pt>
                <c:pt idx="4160">
                  <c:v>732.116</c:v>
                </c:pt>
                <c:pt idx="4161">
                  <c:v>732.292</c:v>
                </c:pt>
                <c:pt idx="4162">
                  <c:v>732.4609999999974</c:v>
                </c:pt>
                <c:pt idx="4163">
                  <c:v>732.624</c:v>
                </c:pt>
                <c:pt idx="4164">
                  <c:v>732.79</c:v>
                </c:pt>
                <c:pt idx="4165">
                  <c:v>732.9599999999979</c:v>
                </c:pt>
                <c:pt idx="4166">
                  <c:v>733.129</c:v>
                </c:pt>
                <c:pt idx="4167">
                  <c:v>733.3</c:v>
                </c:pt>
                <c:pt idx="4168">
                  <c:v>733.477</c:v>
                </c:pt>
                <c:pt idx="4169">
                  <c:v>733.663</c:v>
                </c:pt>
                <c:pt idx="4170">
                  <c:v>733.8529999999918</c:v>
                </c:pt>
                <c:pt idx="4171">
                  <c:v>734.045</c:v>
                </c:pt>
                <c:pt idx="4172">
                  <c:v>734.231</c:v>
                </c:pt>
                <c:pt idx="4173">
                  <c:v>734.42</c:v>
                </c:pt>
                <c:pt idx="4174">
                  <c:v>734.6079999999994</c:v>
                </c:pt>
                <c:pt idx="4175">
                  <c:v>734.789</c:v>
                </c:pt>
                <c:pt idx="4176">
                  <c:v>734.9689999999994</c:v>
                </c:pt>
                <c:pt idx="4177">
                  <c:v>735.145</c:v>
                </c:pt>
                <c:pt idx="4178">
                  <c:v>735.3149999999994</c:v>
                </c:pt>
                <c:pt idx="4179">
                  <c:v>735.491</c:v>
                </c:pt>
                <c:pt idx="4180">
                  <c:v>735.6659999999994</c:v>
                </c:pt>
                <c:pt idx="4181">
                  <c:v>735.8349999999979</c:v>
                </c:pt>
                <c:pt idx="4182">
                  <c:v>736.005</c:v>
                </c:pt>
                <c:pt idx="4183">
                  <c:v>736.183</c:v>
                </c:pt>
                <c:pt idx="4184">
                  <c:v>736.3609999999974</c:v>
                </c:pt>
                <c:pt idx="4185">
                  <c:v>736.54</c:v>
                </c:pt>
                <c:pt idx="4186">
                  <c:v>736.727</c:v>
                </c:pt>
                <c:pt idx="4187">
                  <c:v>736.909</c:v>
                </c:pt>
                <c:pt idx="4188">
                  <c:v>737.092</c:v>
                </c:pt>
                <c:pt idx="4189">
                  <c:v>737.261</c:v>
                </c:pt>
                <c:pt idx="4190">
                  <c:v>737.4259999999994</c:v>
                </c:pt>
                <c:pt idx="4191">
                  <c:v>737.5890000000001</c:v>
                </c:pt>
                <c:pt idx="4192">
                  <c:v>737.7519999999994</c:v>
                </c:pt>
                <c:pt idx="4193">
                  <c:v>737.9169999999979</c:v>
                </c:pt>
                <c:pt idx="4194">
                  <c:v>738.0890000000001</c:v>
                </c:pt>
                <c:pt idx="4195">
                  <c:v>738.261</c:v>
                </c:pt>
                <c:pt idx="4196">
                  <c:v>738.4379999999974</c:v>
                </c:pt>
                <c:pt idx="4197">
                  <c:v>738.619</c:v>
                </c:pt>
                <c:pt idx="4198">
                  <c:v>738.799</c:v>
                </c:pt>
                <c:pt idx="4199">
                  <c:v>738.974</c:v>
                </c:pt>
                <c:pt idx="4200">
                  <c:v>739.1519999999994</c:v>
                </c:pt>
                <c:pt idx="4201">
                  <c:v>739.3169999999974</c:v>
                </c:pt>
                <c:pt idx="4202">
                  <c:v>739.481</c:v>
                </c:pt>
                <c:pt idx="4203">
                  <c:v>739.655</c:v>
                </c:pt>
                <c:pt idx="4204">
                  <c:v>739.8309999999979</c:v>
                </c:pt>
                <c:pt idx="4205">
                  <c:v>739.996</c:v>
                </c:pt>
                <c:pt idx="4206">
                  <c:v>740.1559999999994</c:v>
                </c:pt>
                <c:pt idx="4207">
                  <c:v>740.3259999999979</c:v>
                </c:pt>
                <c:pt idx="4208">
                  <c:v>740.494</c:v>
                </c:pt>
                <c:pt idx="4209">
                  <c:v>740.66</c:v>
                </c:pt>
                <c:pt idx="4210">
                  <c:v>740.8279999999974</c:v>
                </c:pt>
                <c:pt idx="4211">
                  <c:v>740.997</c:v>
                </c:pt>
                <c:pt idx="4212">
                  <c:v>741.176</c:v>
                </c:pt>
                <c:pt idx="4213">
                  <c:v>741.3599999999974</c:v>
                </c:pt>
                <c:pt idx="4214">
                  <c:v>741.5369999999979</c:v>
                </c:pt>
                <c:pt idx="4215">
                  <c:v>741.711</c:v>
                </c:pt>
                <c:pt idx="4216">
                  <c:v>741.888</c:v>
                </c:pt>
                <c:pt idx="4217">
                  <c:v>742.0579999999974</c:v>
                </c:pt>
                <c:pt idx="4218">
                  <c:v>742.223</c:v>
                </c:pt>
                <c:pt idx="4219">
                  <c:v>742.394</c:v>
                </c:pt>
                <c:pt idx="4220">
                  <c:v>742.572</c:v>
                </c:pt>
                <c:pt idx="4221">
                  <c:v>742.755</c:v>
                </c:pt>
                <c:pt idx="4222">
                  <c:v>742.9359999999979</c:v>
                </c:pt>
                <c:pt idx="4223">
                  <c:v>743.115</c:v>
                </c:pt>
                <c:pt idx="4224">
                  <c:v>743.291</c:v>
                </c:pt>
                <c:pt idx="4225">
                  <c:v>743.4619999999974</c:v>
                </c:pt>
                <c:pt idx="4226">
                  <c:v>743.63</c:v>
                </c:pt>
                <c:pt idx="4227">
                  <c:v>743.799</c:v>
                </c:pt>
                <c:pt idx="4228">
                  <c:v>743.971</c:v>
                </c:pt>
                <c:pt idx="4229">
                  <c:v>744.148</c:v>
                </c:pt>
                <c:pt idx="4230">
                  <c:v>744.3209999999979</c:v>
                </c:pt>
                <c:pt idx="4231">
                  <c:v>744.493</c:v>
                </c:pt>
                <c:pt idx="4232">
                  <c:v>744.663</c:v>
                </c:pt>
                <c:pt idx="4233">
                  <c:v>744.8359999999974</c:v>
                </c:pt>
                <c:pt idx="4234">
                  <c:v>745.014</c:v>
                </c:pt>
                <c:pt idx="4235">
                  <c:v>745.195</c:v>
                </c:pt>
                <c:pt idx="4236">
                  <c:v>745.37</c:v>
                </c:pt>
                <c:pt idx="4237">
                  <c:v>745.55</c:v>
                </c:pt>
                <c:pt idx="4238">
                  <c:v>745.735</c:v>
                </c:pt>
                <c:pt idx="4239">
                  <c:v>745.9219999999979</c:v>
                </c:pt>
                <c:pt idx="4240">
                  <c:v>746.101</c:v>
                </c:pt>
                <c:pt idx="4241">
                  <c:v>746.284</c:v>
                </c:pt>
                <c:pt idx="4242">
                  <c:v>746.4649999999979</c:v>
                </c:pt>
                <c:pt idx="4243">
                  <c:v>746.635</c:v>
                </c:pt>
                <c:pt idx="4244">
                  <c:v>746.8</c:v>
                </c:pt>
                <c:pt idx="4245">
                  <c:v>746.97</c:v>
                </c:pt>
                <c:pt idx="4246">
                  <c:v>747.144</c:v>
                </c:pt>
                <c:pt idx="4247">
                  <c:v>747.319</c:v>
                </c:pt>
                <c:pt idx="4248">
                  <c:v>747.495</c:v>
                </c:pt>
                <c:pt idx="4249">
                  <c:v>747.68</c:v>
                </c:pt>
                <c:pt idx="4250">
                  <c:v>747.8649999999974</c:v>
                </c:pt>
                <c:pt idx="4251">
                  <c:v>748.049</c:v>
                </c:pt>
                <c:pt idx="4252">
                  <c:v>748.231</c:v>
                </c:pt>
                <c:pt idx="4253">
                  <c:v>748.3969999999994</c:v>
                </c:pt>
                <c:pt idx="4254">
                  <c:v>748.559</c:v>
                </c:pt>
                <c:pt idx="4255">
                  <c:v>748.719</c:v>
                </c:pt>
                <c:pt idx="4256">
                  <c:v>748.874</c:v>
                </c:pt>
                <c:pt idx="4257">
                  <c:v>749.028</c:v>
                </c:pt>
                <c:pt idx="4258">
                  <c:v>749.183</c:v>
                </c:pt>
                <c:pt idx="4259">
                  <c:v>749.3509999999974</c:v>
                </c:pt>
                <c:pt idx="4260">
                  <c:v>749.525</c:v>
                </c:pt>
                <c:pt idx="4261">
                  <c:v>749.701</c:v>
                </c:pt>
                <c:pt idx="4262">
                  <c:v>749.878</c:v>
                </c:pt>
                <c:pt idx="4263">
                  <c:v>750.0559999999994</c:v>
                </c:pt>
                <c:pt idx="4264">
                  <c:v>750.232</c:v>
                </c:pt>
                <c:pt idx="4265">
                  <c:v>750.4019999999994</c:v>
                </c:pt>
                <c:pt idx="4266">
                  <c:v>750.5679999999974</c:v>
                </c:pt>
                <c:pt idx="4267">
                  <c:v>750.739</c:v>
                </c:pt>
                <c:pt idx="4268">
                  <c:v>750.908</c:v>
                </c:pt>
                <c:pt idx="4269">
                  <c:v>751.086</c:v>
                </c:pt>
                <c:pt idx="4270">
                  <c:v>751.272</c:v>
                </c:pt>
                <c:pt idx="4271">
                  <c:v>751.4549999999994</c:v>
                </c:pt>
                <c:pt idx="4272">
                  <c:v>751.63</c:v>
                </c:pt>
                <c:pt idx="4273">
                  <c:v>751.8009999999994</c:v>
                </c:pt>
                <c:pt idx="4274">
                  <c:v>751.97</c:v>
                </c:pt>
                <c:pt idx="4275">
                  <c:v>752.133</c:v>
                </c:pt>
                <c:pt idx="4276">
                  <c:v>752.3099999999994</c:v>
                </c:pt>
                <c:pt idx="4277">
                  <c:v>752.493</c:v>
                </c:pt>
                <c:pt idx="4278">
                  <c:v>752.672</c:v>
                </c:pt>
                <c:pt idx="4279">
                  <c:v>752.8489999999994</c:v>
                </c:pt>
                <c:pt idx="4280">
                  <c:v>753.0309999999994</c:v>
                </c:pt>
                <c:pt idx="4281">
                  <c:v>753.211</c:v>
                </c:pt>
                <c:pt idx="4282">
                  <c:v>753.3919999999994</c:v>
                </c:pt>
                <c:pt idx="4283">
                  <c:v>753.573</c:v>
                </c:pt>
                <c:pt idx="4284">
                  <c:v>753.75</c:v>
                </c:pt>
                <c:pt idx="4285">
                  <c:v>753.9269999999979</c:v>
                </c:pt>
                <c:pt idx="4286">
                  <c:v>754.104</c:v>
                </c:pt>
                <c:pt idx="4287">
                  <c:v>754.28</c:v>
                </c:pt>
                <c:pt idx="4288">
                  <c:v>754.4599999999979</c:v>
                </c:pt>
                <c:pt idx="4289">
                  <c:v>754.625</c:v>
                </c:pt>
                <c:pt idx="4290">
                  <c:v>754.774</c:v>
                </c:pt>
                <c:pt idx="4291">
                  <c:v>754.918</c:v>
                </c:pt>
                <c:pt idx="4292">
                  <c:v>755.078</c:v>
                </c:pt>
                <c:pt idx="4293">
                  <c:v>755.247</c:v>
                </c:pt>
                <c:pt idx="4294">
                  <c:v>755.4209999999994</c:v>
                </c:pt>
                <c:pt idx="4295">
                  <c:v>755.602</c:v>
                </c:pt>
                <c:pt idx="4296">
                  <c:v>755.788</c:v>
                </c:pt>
                <c:pt idx="4297">
                  <c:v>755.9579999999974</c:v>
                </c:pt>
                <c:pt idx="4298">
                  <c:v>756.125</c:v>
                </c:pt>
                <c:pt idx="4299">
                  <c:v>756.3009999999994</c:v>
                </c:pt>
                <c:pt idx="4300">
                  <c:v>756.477</c:v>
                </c:pt>
                <c:pt idx="4301">
                  <c:v>756.654</c:v>
                </c:pt>
                <c:pt idx="4302">
                  <c:v>756.8359999999974</c:v>
                </c:pt>
                <c:pt idx="4303">
                  <c:v>757.021</c:v>
                </c:pt>
                <c:pt idx="4304">
                  <c:v>757.2</c:v>
                </c:pt>
                <c:pt idx="4305">
                  <c:v>757.3769999999994</c:v>
                </c:pt>
                <c:pt idx="4306">
                  <c:v>757.553</c:v>
                </c:pt>
                <c:pt idx="4307">
                  <c:v>757.725</c:v>
                </c:pt>
                <c:pt idx="4308">
                  <c:v>757.89</c:v>
                </c:pt>
                <c:pt idx="4309">
                  <c:v>758.0629999999974</c:v>
                </c:pt>
                <c:pt idx="4310">
                  <c:v>758.24</c:v>
                </c:pt>
                <c:pt idx="4311">
                  <c:v>758.4209999999994</c:v>
                </c:pt>
                <c:pt idx="4312">
                  <c:v>758.599</c:v>
                </c:pt>
                <c:pt idx="4313">
                  <c:v>758.779</c:v>
                </c:pt>
                <c:pt idx="4314">
                  <c:v>758.9579999999974</c:v>
                </c:pt>
                <c:pt idx="4315">
                  <c:v>759.136</c:v>
                </c:pt>
                <c:pt idx="4316">
                  <c:v>759.3149999999994</c:v>
                </c:pt>
                <c:pt idx="4317">
                  <c:v>759.497</c:v>
                </c:pt>
                <c:pt idx="4318">
                  <c:v>759.681</c:v>
                </c:pt>
                <c:pt idx="4319">
                  <c:v>759.8599999999974</c:v>
                </c:pt>
                <c:pt idx="4320">
                  <c:v>760.043</c:v>
                </c:pt>
                <c:pt idx="4321">
                  <c:v>760.221</c:v>
                </c:pt>
                <c:pt idx="4322">
                  <c:v>760.399</c:v>
                </c:pt>
                <c:pt idx="4323">
                  <c:v>760.576</c:v>
                </c:pt>
                <c:pt idx="4324">
                  <c:v>760.749</c:v>
                </c:pt>
                <c:pt idx="4325">
                  <c:v>760.929</c:v>
                </c:pt>
                <c:pt idx="4326">
                  <c:v>761.109</c:v>
                </c:pt>
                <c:pt idx="4327">
                  <c:v>761.283</c:v>
                </c:pt>
                <c:pt idx="4328">
                  <c:v>761.4589999999994</c:v>
                </c:pt>
                <c:pt idx="4329">
                  <c:v>761.64</c:v>
                </c:pt>
                <c:pt idx="4330">
                  <c:v>761.8149999999994</c:v>
                </c:pt>
                <c:pt idx="4331">
                  <c:v>761.971</c:v>
                </c:pt>
                <c:pt idx="4332">
                  <c:v>762.124</c:v>
                </c:pt>
                <c:pt idx="4333">
                  <c:v>762.281</c:v>
                </c:pt>
                <c:pt idx="4334">
                  <c:v>762.439</c:v>
                </c:pt>
                <c:pt idx="4335">
                  <c:v>762.6029999999994</c:v>
                </c:pt>
                <c:pt idx="4336">
                  <c:v>762.77</c:v>
                </c:pt>
                <c:pt idx="4337">
                  <c:v>762.9319999999979</c:v>
                </c:pt>
                <c:pt idx="4338">
                  <c:v>763.096</c:v>
                </c:pt>
                <c:pt idx="4339">
                  <c:v>763.26</c:v>
                </c:pt>
                <c:pt idx="4340">
                  <c:v>763.428</c:v>
                </c:pt>
                <c:pt idx="4341">
                  <c:v>763.597</c:v>
                </c:pt>
                <c:pt idx="4342">
                  <c:v>763.7669999999994</c:v>
                </c:pt>
                <c:pt idx="4343">
                  <c:v>763.9349999999994</c:v>
                </c:pt>
                <c:pt idx="4344">
                  <c:v>764.107</c:v>
                </c:pt>
                <c:pt idx="4345">
                  <c:v>764.283</c:v>
                </c:pt>
                <c:pt idx="4346">
                  <c:v>764.4529999999974</c:v>
                </c:pt>
                <c:pt idx="4347">
                  <c:v>764.628</c:v>
                </c:pt>
                <c:pt idx="4348">
                  <c:v>764.8119999999974</c:v>
                </c:pt>
                <c:pt idx="4349">
                  <c:v>764.995</c:v>
                </c:pt>
                <c:pt idx="4350">
                  <c:v>765.182</c:v>
                </c:pt>
                <c:pt idx="4351">
                  <c:v>765.3609999999974</c:v>
                </c:pt>
                <c:pt idx="4352">
                  <c:v>765.535</c:v>
                </c:pt>
                <c:pt idx="4353">
                  <c:v>765.709</c:v>
                </c:pt>
                <c:pt idx="4354">
                  <c:v>765.888</c:v>
                </c:pt>
                <c:pt idx="4355">
                  <c:v>766.071</c:v>
                </c:pt>
                <c:pt idx="4356">
                  <c:v>766.246</c:v>
                </c:pt>
                <c:pt idx="4357">
                  <c:v>766.4159999999994</c:v>
                </c:pt>
                <c:pt idx="4358">
                  <c:v>766.585</c:v>
                </c:pt>
                <c:pt idx="4359">
                  <c:v>766.763</c:v>
                </c:pt>
                <c:pt idx="4360">
                  <c:v>766.9429999999974</c:v>
                </c:pt>
                <c:pt idx="4361">
                  <c:v>767.122</c:v>
                </c:pt>
                <c:pt idx="4362">
                  <c:v>767.3059999999994</c:v>
                </c:pt>
                <c:pt idx="4363">
                  <c:v>767.496</c:v>
                </c:pt>
                <c:pt idx="4364">
                  <c:v>767.683</c:v>
                </c:pt>
                <c:pt idx="4365">
                  <c:v>767.8609999999974</c:v>
                </c:pt>
                <c:pt idx="4366">
                  <c:v>768.0359999999994</c:v>
                </c:pt>
                <c:pt idx="4367">
                  <c:v>768.21</c:v>
                </c:pt>
                <c:pt idx="4368">
                  <c:v>768.39</c:v>
                </c:pt>
                <c:pt idx="4369">
                  <c:v>768.574</c:v>
                </c:pt>
                <c:pt idx="4370">
                  <c:v>768.758</c:v>
                </c:pt>
                <c:pt idx="4371">
                  <c:v>768.944</c:v>
                </c:pt>
                <c:pt idx="4372">
                  <c:v>769.131</c:v>
                </c:pt>
                <c:pt idx="4373">
                  <c:v>769.3129999999974</c:v>
                </c:pt>
                <c:pt idx="4374">
                  <c:v>769.498</c:v>
                </c:pt>
                <c:pt idx="4375">
                  <c:v>769.677</c:v>
                </c:pt>
                <c:pt idx="4376">
                  <c:v>769.8569999999974</c:v>
                </c:pt>
                <c:pt idx="4377">
                  <c:v>770.028</c:v>
                </c:pt>
                <c:pt idx="4378">
                  <c:v>770.2</c:v>
                </c:pt>
                <c:pt idx="4379">
                  <c:v>770.373</c:v>
                </c:pt>
                <c:pt idx="4380">
                  <c:v>770.539</c:v>
                </c:pt>
                <c:pt idx="4381">
                  <c:v>770.705</c:v>
                </c:pt>
                <c:pt idx="4382">
                  <c:v>770.874</c:v>
                </c:pt>
                <c:pt idx="4383">
                  <c:v>771.0359999999994</c:v>
                </c:pt>
                <c:pt idx="4384">
                  <c:v>771.194</c:v>
                </c:pt>
                <c:pt idx="4385">
                  <c:v>771.3569999999974</c:v>
                </c:pt>
                <c:pt idx="4386">
                  <c:v>771.525</c:v>
                </c:pt>
                <c:pt idx="4387">
                  <c:v>771.692</c:v>
                </c:pt>
                <c:pt idx="4388">
                  <c:v>771.8630000000001</c:v>
                </c:pt>
                <c:pt idx="4389">
                  <c:v>772.0309999999994</c:v>
                </c:pt>
                <c:pt idx="4390">
                  <c:v>772.201</c:v>
                </c:pt>
                <c:pt idx="4391">
                  <c:v>772.38</c:v>
                </c:pt>
                <c:pt idx="4392">
                  <c:v>772.564</c:v>
                </c:pt>
                <c:pt idx="4393">
                  <c:v>772.741</c:v>
                </c:pt>
                <c:pt idx="4394">
                  <c:v>772.919</c:v>
                </c:pt>
                <c:pt idx="4395">
                  <c:v>773.095</c:v>
                </c:pt>
                <c:pt idx="4396">
                  <c:v>773.26</c:v>
                </c:pt>
                <c:pt idx="4397">
                  <c:v>773.428</c:v>
                </c:pt>
                <c:pt idx="4398">
                  <c:v>773.607</c:v>
                </c:pt>
                <c:pt idx="4399">
                  <c:v>773.795</c:v>
                </c:pt>
                <c:pt idx="4400">
                  <c:v>773.982</c:v>
                </c:pt>
                <c:pt idx="4401">
                  <c:v>774.169</c:v>
                </c:pt>
                <c:pt idx="4402">
                  <c:v>774.3479999999921</c:v>
                </c:pt>
                <c:pt idx="4403">
                  <c:v>774.513</c:v>
                </c:pt>
                <c:pt idx="4404">
                  <c:v>774.685</c:v>
                </c:pt>
                <c:pt idx="4405">
                  <c:v>774.8630000000001</c:v>
                </c:pt>
                <c:pt idx="4406">
                  <c:v>775.0419999999979</c:v>
                </c:pt>
                <c:pt idx="4407">
                  <c:v>775.215</c:v>
                </c:pt>
                <c:pt idx="4408">
                  <c:v>775.384</c:v>
                </c:pt>
                <c:pt idx="4409">
                  <c:v>775.543</c:v>
                </c:pt>
                <c:pt idx="4410">
                  <c:v>775.701</c:v>
                </c:pt>
                <c:pt idx="4411">
                  <c:v>775.8769999999994</c:v>
                </c:pt>
                <c:pt idx="4412">
                  <c:v>776.0559999999994</c:v>
                </c:pt>
                <c:pt idx="4413">
                  <c:v>776.224</c:v>
                </c:pt>
                <c:pt idx="4414">
                  <c:v>776.395</c:v>
                </c:pt>
                <c:pt idx="4415">
                  <c:v>776.574</c:v>
                </c:pt>
                <c:pt idx="4416">
                  <c:v>776.755</c:v>
                </c:pt>
                <c:pt idx="4417">
                  <c:v>776.939</c:v>
                </c:pt>
                <c:pt idx="4418">
                  <c:v>777.122</c:v>
                </c:pt>
                <c:pt idx="4419">
                  <c:v>777.303</c:v>
                </c:pt>
                <c:pt idx="4420">
                  <c:v>777.473</c:v>
                </c:pt>
                <c:pt idx="4421">
                  <c:v>777.639</c:v>
                </c:pt>
                <c:pt idx="4422">
                  <c:v>777.803</c:v>
                </c:pt>
                <c:pt idx="4423">
                  <c:v>777.972</c:v>
                </c:pt>
                <c:pt idx="4424">
                  <c:v>778.146</c:v>
                </c:pt>
                <c:pt idx="4425">
                  <c:v>778.3249999999994</c:v>
                </c:pt>
                <c:pt idx="4426">
                  <c:v>778.5119999999994</c:v>
                </c:pt>
                <c:pt idx="4427">
                  <c:v>778.698</c:v>
                </c:pt>
                <c:pt idx="4428">
                  <c:v>778.886</c:v>
                </c:pt>
                <c:pt idx="4429">
                  <c:v>779.071</c:v>
                </c:pt>
                <c:pt idx="4430">
                  <c:v>779.2619999999994</c:v>
                </c:pt>
                <c:pt idx="4431">
                  <c:v>779.4499999999994</c:v>
                </c:pt>
                <c:pt idx="4432">
                  <c:v>779.63</c:v>
                </c:pt>
                <c:pt idx="4433">
                  <c:v>779.8009999999994</c:v>
                </c:pt>
                <c:pt idx="4434">
                  <c:v>779.9640000000001</c:v>
                </c:pt>
                <c:pt idx="4435">
                  <c:v>780.1369999999994</c:v>
                </c:pt>
                <c:pt idx="4436">
                  <c:v>780.3119999999974</c:v>
                </c:pt>
                <c:pt idx="4437">
                  <c:v>780.4779999999994</c:v>
                </c:pt>
                <c:pt idx="4438">
                  <c:v>780.644</c:v>
                </c:pt>
                <c:pt idx="4439">
                  <c:v>780.8099999999994</c:v>
                </c:pt>
                <c:pt idx="4440">
                  <c:v>780.982</c:v>
                </c:pt>
                <c:pt idx="4441">
                  <c:v>781.153</c:v>
                </c:pt>
                <c:pt idx="4442">
                  <c:v>781.3249999999994</c:v>
                </c:pt>
                <c:pt idx="4443">
                  <c:v>781.5</c:v>
                </c:pt>
                <c:pt idx="4444">
                  <c:v>781.674</c:v>
                </c:pt>
                <c:pt idx="4445">
                  <c:v>781.8469999999974</c:v>
                </c:pt>
                <c:pt idx="4446">
                  <c:v>782.021</c:v>
                </c:pt>
                <c:pt idx="4447">
                  <c:v>782.203</c:v>
                </c:pt>
                <c:pt idx="4448">
                  <c:v>782.375</c:v>
                </c:pt>
                <c:pt idx="4449">
                  <c:v>782.544</c:v>
                </c:pt>
                <c:pt idx="4450">
                  <c:v>782.707</c:v>
                </c:pt>
                <c:pt idx="4451">
                  <c:v>782.8649999999974</c:v>
                </c:pt>
                <c:pt idx="4452">
                  <c:v>783.033</c:v>
                </c:pt>
                <c:pt idx="4453">
                  <c:v>783.205</c:v>
                </c:pt>
                <c:pt idx="4454">
                  <c:v>783.374</c:v>
                </c:pt>
                <c:pt idx="4455">
                  <c:v>783.5419999999979</c:v>
                </c:pt>
                <c:pt idx="4456">
                  <c:v>783.711</c:v>
                </c:pt>
                <c:pt idx="4457">
                  <c:v>783.8769999999994</c:v>
                </c:pt>
                <c:pt idx="4458">
                  <c:v>784.044</c:v>
                </c:pt>
                <c:pt idx="4459">
                  <c:v>784.21</c:v>
                </c:pt>
                <c:pt idx="4460">
                  <c:v>784.379</c:v>
                </c:pt>
                <c:pt idx="4461">
                  <c:v>784.5519999999979</c:v>
                </c:pt>
                <c:pt idx="4462">
                  <c:v>784.725</c:v>
                </c:pt>
                <c:pt idx="4463">
                  <c:v>784.9</c:v>
                </c:pt>
                <c:pt idx="4464">
                  <c:v>785.077</c:v>
                </c:pt>
                <c:pt idx="4465">
                  <c:v>785.258</c:v>
                </c:pt>
                <c:pt idx="4466">
                  <c:v>785.4269999999979</c:v>
                </c:pt>
                <c:pt idx="4467">
                  <c:v>785.592</c:v>
                </c:pt>
                <c:pt idx="4468">
                  <c:v>785.761</c:v>
                </c:pt>
                <c:pt idx="4469">
                  <c:v>785.934</c:v>
                </c:pt>
                <c:pt idx="4470">
                  <c:v>786.1</c:v>
                </c:pt>
                <c:pt idx="4471">
                  <c:v>786.2619999999994</c:v>
                </c:pt>
                <c:pt idx="4472">
                  <c:v>786.429</c:v>
                </c:pt>
                <c:pt idx="4473">
                  <c:v>786.597</c:v>
                </c:pt>
                <c:pt idx="4474">
                  <c:v>786.768</c:v>
                </c:pt>
                <c:pt idx="4475">
                  <c:v>786.9419999999974</c:v>
                </c:pt>
                <c:pt idx="4476">
                  <c:v>787.119</c:v>
                </c:pt>
                <c:pt idx="4477">
                  <c:v>787.298</c:v>
                </c:pt>
                <c:pt idx="4478">
                  <c:v>787.47</c:v>
                </c:pt>
                <c:pt idx="4479">
                  <c:v>787.646</c:v>
                </c:pt>
                <c:pt idx="4480">
                  <c:v>787.814</c:v>
                </c:pt>
                <c:pt idx="4481">
                  <c:v>787.976</c:v>
                </c:pt>
                <c:pt idx="4482">
                  <c:v>788.1419999999994</c:v>
                </c:pt>
                <c:pt idx="4483">
                  <c:v>788.3109999999979</c:v>
                </c:pt>
                <c:pt idx="4484">
                  <c:v>788.485</c:v>
                </c:pt>
                <c:pt idx="4485">
                  <c:v>788.659</c:v>
                </c:pt>
                <c:pt idx="4486">
                  <c:v>788.8249999999994</c:v>
                </c:pt>
                <c:pt idx="4487">
                  <c:v>788.99</c:v>
                </c:pt>
                <c:pt idx="4488">
                  <c:v>789.1569999999994</c:v>
                </c:pt>
                <c:pt idx="4489">
                  <c:v>789.314</c:v>
                </c:pt>
                <c:pt idx="4490">
                  <c:v>789.471</c:v>
                </c:pt>
                <c:pt idx="4491">
                  <c:v>789.636</c:v>
                </c:pt>
                <c:pt idx="4492">
                  <c:v>789.798</c:v>
                </c:pt>
                <c:pt idx="4493">
                  <c:v>789.9619999999974</c:v>
                </c:pt>
                <c:pt idx="4494">
                  <c:v>790.129</c:v>
                </c:pt>
                <c:pt idx="4495">
                  <c:v>790.295</c:v>
                </c:pt>
                <c:pt idx="4496">
                  <c:v>790.4579999999974</c:v>
                </c:pt>
                <c:pt idx="4497">
                  <c:v>790.624</c:v>
                </c:pt>
                <c:pt idx="4498">
                  <c:v>790.794</c:v>
                </c:pt>
                <c:pt idx="4499">
                  <c:v>790.9629999999925</c:v>
                </c:pt>
                <c:pt idx="4500">
                  <c:v>791.135</c:v>
                </c:pt>
                <c:pt idx="4501">
                  <c:v>791.3059999999994</c:v>
                </c:pt>
                <c:pt idx="4502">
                  <c:v>791.47</c:v>
                </c:pt>
                <c:pt idx="4503">
                  <c:v>791.629</c:v>
                </c:pt>
                <c:pt idx="4504">
                  <c:v>791.783</c:v>
                </c:pt>
                <c:pt idx="4505">
                  <c:v>791.9419999999974</c:v>
                </c:pt>
                <c:pt idx="4506">
                  <c:v>792.092</c:v>
                </c:pt>
                <c:pt idx="4507">
                  <c:v>792.244</c:v>
                </c:pt>
                <c:pt idx="4508">
                  <c:v>792.4</c:v>
                </c:pt>
                <c:pt idx="4509">
                  <c:v>792.5579999999974</c:v>
                </c:pt>
                <c:pt idx="4510">
                  <c:v>792.703</c:v>
                </c:pt>
                <c:pt idx="4511">
                  <c:v>792.8419999999974</c:v>
                </c:pt>
                <c:pt idx="4512">
                  <c:v>792.993</c:v>
                </c:pt>
                <c:pt idx="4513">
                  <c:v>793.1519999999994</c:v>
                </c:pt>
                <c:pt idx="4514">
                  <c:v>793.3169999999974</c:v>
                </c:pt>
                <c:pt idx="4515">
                  <c:v>793.492</c:v>
                </c:pt>
                <c:pt idx="4516">
                  <c:v>793.673</c:v>
                </c:pt>
                <c:pt idx="4517">
                  <c:v>793.8549999999979</c:v>
                </c:pt>
                <c:pt idx="4518">
                  <c:v>794.029</c:v>
                </c:pt>
                <c:pt idx="4519">
                  <c:v>794.205</c:v>
                </c:pt>
                <c:pt idx="4520">
                  <c:v>794.379</c:v>
                </c:pt>
                <c:pt idx="4521">
                  <c:v>794.5469999999979</c:v>
                </c:pt>
                <c:pt idx="4522">
                  <c:v>794.713</c:v>
                </c:pt>
                <c:pt idx="4523">
                  <c:v>794.871</c:v>
                </c:pt>
                <c:pt idx="4524">
                  <c:v>795.0309999999994</c:v>
                </c:pt>
                <c:pt idx="4525">
                  <c:v>795.2</c:v>
                </c:pt>
                <c:pt idx="4526">
                  <c:v>795.373</c:v>
                </c:pt>
                <c:pt idx="4527">
                  <c:v>795.5509999999994</c:v>
                </c:pt>
                <c:pt idx="4528">
                  <c:v>795.7279999999994</c:v>
                </c:pt>
                <c:pt idx="4529">
                  <c:v>795.898</c:v>
                </c:pt>
                <c:pt idx="4530">
                  <c:v>796.071</c:v>
                </c:pt>
                <c:pt idx="4531">
                  <c:v>796.241</c:v>
                </c:pt>
                <c:pt idx="4532">
                  <c:v>796.41</c:v>
                </c:pt>
                <c:pt idx="4533">
                  <c:v>796.582</c:v>
                </c:pt>
                <c:pt idx="4534">
                  <c:v>796.747</c:v>
                </c:pt>
                <c:pt idx="4535">
                  <c:v>796.9069999999994</c:v>
                </c:pt>
                <c:pt idx="4536">
                  <c:v>797.073</c:v>
                </c:pt>
                <c:pt idx="4537">
                  <c:v>797.24</c:v>
                </c:pt>
                <c:pt idx="4538">
                  <c:v>797.413</c:v>
                </c:pt>
                <c:pt idx="4539">
                  <c:v>797.588</c:v>
                </c:pt>
                <c:pt idx="4540">
                  <c:v>797.758</c:v>
                </c:pt>
                <c:pt idx="4541">
                  <c:v>797.9219999999979</c:v>
                </c:pt>
                <c:pt idx="4542">
                  <c:v>798.09</c:v>
                </c:pt>
                <c:pt idx="4543">
                  <c:v>798.255</c:v>
                </c:pt>
                <c:pt idx="4544">
                  <c:v>798.424</c:v>
                </c:pt>
                <c:pt idx="4545">
                  <c:v>798.592</c:v>
                </c:pt>
                <c:pt idx="4546">
                  <c:v>798.758</c:v>
                </c:pt>
                <c:pt idx="4547">
                  <c:v>798.923</c:v>
                </c:pt>
                <c:pt idx="4548">
                  <c:v>799.087</c:v>
                </c:pt>
                <c:pt idx="4549">
                  <c:v>799.248</c:v>
                </c:pt>
                <c:pt idx="4550">
                  <c:v>799.415</c:v>
                </c:pt>
                <c:pt idx="4551">
                  <c:v>799.586</c:v>
                </c:pt>
                <c:pt idx="4552">
                  <c:v>799.756</c:v>
                </c:pt>
                <c:pt idx="4553">
                  <c:v>799.9259999999994</c:v>
                </c:pt>
                <c:pt idx="4554">
                  <c:v>800.1</c:v>
                </c:pt>
                <c:pt idx="4555">
                  <c:v>800.272</c:v>
                </c:pt>
                <c:pt idx="4556">
                  <c:v>800.4359999999979</c:v>
                </c:pt>
                <c:pt idx="4557">
                  <c:v>800.597</c:v>
                </c:pt>
                <c:pt idx="4558">
                  <c:v>800.764</c:v>
                </c:pt>
                <c:pt idx="4559">
                  <c:v>800.9349999999994</c:v>
                </c:pt>
                <c:pt idx="4560">
                  <c:v>801.107</c:v>
                </c:pt>
                <c:pt idx="4561">
                  <c:v>801.279</c:v>
                </c:pt>
                <c:pt idx="4562">
                  <c:v>801.4539999999994</c:v>
                </c:pt>
                <c:pt idx="4563">
                  <c:v>801.6369999999994</c:v>
                </c:pt>
                <c:pt idx="4564">
                  <c:v>801.8159999999979</c:v>
                </c:pt>
                <c:pt idx="4565">
                  <c:v>801.99</c:v>
                </c:pt>
                <c:pt idx="4566">
                  <c:v>802.154</c:v>
                </c:pt>
                <c:pt idx="4567">
                  <c:v>802.3209999999979</c:v>
                </c:pt>
                <c:pt idx="4568">
                  <c:v>802.492</c:v>
                </c:pt>
                <c:pt idx="4569">
                  <c:v>802.663</c:v>
                </c:pt>
                <c:pt idx="4570">
                  <c:v>802.8269999999974</c:v>
                </c:pt>
                <c:pt idx="4571">
                  <c:v>802.992</c:v>
                </c:pt>
                <c:pt idx="4572">
                  <c:v>803.1619999999979</c:v>
                </c:pt>
                <c:pt idx="4573">
                  <c:v>803.324</c:v>
                </c:pt>
                <c:pt idx="4574">
                  <c:v>803.484</c:v>
                </c:pt>
                <c:pt idx="4575">
                  <c:v>803.646</c:v>
                </c:pt>
                <c:pt idx="4576">
                  <c:v>803.8179999999974</c:v>
                </c:pt>
                <c:pt idx="4577">
                  <c:v>803.996</c:v>
                </c:pt>
                <c:pt idx="4578">
                  <c:v>804.165</c:v>
                </c:pt>
                <c:pt idx="4579">
                  <c:v>804.324</c:v>
                </c:pt>
                <c:pt idx="4580">
                  <c:v>804.48</c:v>
                </c:pt>
                <c:pt idx="4581">
                  <c:v>804.64</c:v>
                </c:pt>
                <c:pt idx="4582">
                  <c:v>804.8019999999979</c:v>
                </c:pt>
                <c:pt idx="4583">
                  <c:v>804.9669999999974</c:v>
                </c:pt>
                <c:pt idx="4584">
                  <c:v>805.1319999999994</c:v>
                </c:pt>
                <c:pt idx="4585">
                  <c:v>805.3</c:v>
                </c:pt>
                <c:pt idx="4586">
                  <c:v>805.4619999999974</c:v>
                </c:pt>
                <c:pt idx="4587">
                  <c:v>805.629</c:v>
                </c:pt>
                <c:pt idx="4588">
                  <c:v>805.8009999999994</c:v>
                </c:pt>
                <c:pt idx="4589">
                  <c:v>805.973</c:v>
                </c:pt>
                <c:pt idx="4590">
                  <c:v>806.1469999999994</c:v>
                </c:pt>
                <c:pt idx="4591">
                  <c:v>806.319</c:v>
                </c:pt>
                <c:pt idx="4592">
                  <c:v>806.482</c:v>
                </c:pt>
                <c:pt idx="4593">
                  <c:v>806.6469999999994</c:v>
                </c:pt>
                <c:pt idx="4594">
                  <c:v>806.8159999999979</c:v>
                </c:pt>
                <c:pt idx="4595">
                  <c:v>806.984</c:v>
                </c:pt>
                <c:pt idx="4596">
                  <c:v>807.1519999999994</c:v>
                </c:pt>
                <c:pt idx="4597">
                  <c:v>807.3199999999994</c:v>
                </c:pt>
                <c:pt idx="4598">
                  <c:v>807.486</c:v>
                </c:pt>
                <c:pt idx="4599">
                  <c:v>807.645</c:v>
                </c:pt>
                <c:pt idx="4600">
                  <c:v>807.803</c:v>
                </c:pt>
                <c:pt idx="4601">
                  <c:v>807.9529999999974</c:v>
                </c:pt>
                <c:pt idx="4602">
                  <c:v>808.095</c:v>
                </c:pt>
                <c:pt idx="4603">
                  <c:v>808.246</c:v>
                </c:pt>
                <c:pt idx="4604">
                  <c:v>808.4059999999994</c:v>
                </c:pt>
                <c:pt idx="4605">
                  <c:v>808.574</c:v>
                </c:pt>
                <c:pt idx="4606">
                  <c:v>808.744</c:v>
                </c:pt>
                <c:pt idx="4607">
                  <c:v>808.913</c:v>
                </c:pt>
                <c:pt idx="4608">
                  <c:v>809.081</c:v>
                </c:pt>
                <c:pt idx="4609">
                  <c:v>809.243</c:v>
                </c:pt>
                <c:pt idx="4610">
                  <c:v>809.403</c:v>
                </c:pt>
                <c:pt idx="4611">
                  <c:v>809.5659999999979</c:v>
                </c:pt>
                <c:pt idx="4612">
                  <c:v>809.734</c:v>
                </c:pt>
                <c:pt idx="4613">
                  <c:v>809.9069999999994</c:v>
                </c:pt>
                <c:pt idx="4614">
                  <c:v>810.08</c:v>
                </c:pt>
                <c:pt idx="4615">
                  <c:v>810.247</c:v>
                </c:pt>
                <c:pt idx="4616">
                  <c:v>810.41</c:v>
                </c:pt>
                <c:pt idx="4617">
                  <c:v>810.574</c:v>
                </c:pt>
                <c:pt idx="4618">
                  <c:v>810.7380000000001</c:v>
                </c:pt>
                <c:pt idx="4619">
                  <c:v>810.895</c:v>
                </c:pt>
                <c:pt idx="4620">
                  <c:v>811.0519999999979</c:v>
                </c:pt>
                <c:pt idx="4621">
                  <c:v>811.217</c:v>
                </c:pt>
                <c:pt idx="4622">
                  <c:v>811.388</c:v>
                </c:pt>
                <c:pt idx="4623">
                  <c:v>811.5419999999979</c:v>
                </c:pt>
                <c:pt idx="4624">
                  <c:v>811.692</c:v>
                </c:pt>
                <c:pt idx="4625">
                  <c:v>811.8409999999974</c:v>
                </c:pt>
                <c:pt idx="4626">
                  <c:v>812.003</c:v>
                </c:pt>
                <c:pt idx="4627">
                  <c:v>812.172</c:v>
                </c:pt>
                <c:pt idx="4628">
                  <c:v>812.3479999999921</c:v>
                </c:pt>
                <c:pt idx="4629">
                  <c:v>812.5259999999994</c:v>
                </c:pt>
                <c:pt idx="4630">
                  <c:v>812.7</c:v>
                </c:pt>
                <c:pt idx="4631">
                  <c:v>812.8619999999918</c:v>
                </c:pt>
                <c:pt idx="4632">
                  <c:v>813.023</c:v>
                </c:pt>
                <c:pt idx="4633">
                  <c:v>813.189</c:v>
                </c:pt>
                <c:pt idx="4634">
                  <c:v>813.3599999999974</c:v>
                </c:pt>
                <c:pt idx="4635">
                  <c:v>813.529</c:v>
                </c:pt>
                <c:pt idx="4636">
                  <c:v>813.691</c:v>
                </c:pt>
                <c:pt idx="4637">
                  <c:v>813.8499999999979</c:v>
                </c:pt>
                <c:pt idx="4638">
                  <c:v>814.011</c:v>
                </c:pt>
                <c:pt idx="4639">
                  <c:v>814.176</c:v>
                </c:pt>
                <c:pt idx="4640">
                  <c:v>814.3469999999974</c:v>
                </c:pt>
                <c:pt idx="4641">
                  <c:v>814.514</c:v>
                </c:pt>
                <c:pt idx="4642">
                  <c:v>814.679</c:v>
                </c:pt>
                <c:pt idx="4643">
                  <c:v>814.8489999999994</c:v>
                </c:pt>
                <c:pt idx="4644">
                  <c:v>815.021</c:v>
                </c:pt>
                <c:pt idx="4645">
                  <c:v>815.194</c:v>
                </c:pt>
                <c:pt idx="4646">
                  <c:v>815.371</c:v>
                </c:pt>
                <c:pt idx="4647">
                  <c:v>815.5369999999979</c:v>
                </c:pt>
                <c:pt idx="4648">
                  <c:v>815.692</c:v>
                </c:pt>
                <c:pt idx="4649">
                  <c:v>815.8439999999994</c:v>
                </c:pt>
                <c:pt idx="4650">
                  <c:v>815.994</c:v>
                </c:pt>
                <c:pt idx="4651">
                  <c:v>816.1519999999994</c:v>
                </c:pt>
                <c:pt idx="4652">
                  <c:v>816.3159999999979</c:v>
                </c:pt>
                <c:pt idx="4653">
                  <c:v>816.485</c:v>
                </c:pt>
                <c:pt idx="4654">
                  <c:v>816.659</c:v>
                </c:pt>
                <c:pt idx="4655">
                  <c:v>816.8299999999994</c:v>
                </c:pt>
                <c:pt idx="4656">
                  <c:v>816.996</c:v>
                </c:pt>
                <c:pt idx="4657">
                  <c:v>817.158</c:v>
                </c:pt>
                <c:pt idx="4658">
                  <c:v>817.3159999999979</c:v>
                </c:pt>
                <c:pt idx="4659">
                  <c:v>817.474</c:v>
                </c:pt>
                <c:pt idx="4660">
                  <c:v>817.636</c:v>
                </c:pt>
                <c:pt idx="4661">
                  <c:v>817.797</c:v>
                </c:pt>
                <c:pt idx="4662">
                  <c:v>817.9640000000001</c:v>
                </c:pt>
                <c:pt idx="4663">
                  <c:v>818.135</c:v>
                </c:pt>
                <c:pt idx="4664">
                  <c:v>818.3069999999979</c:v>
                </c:pt>
                <c:pt idx="4665">
                  <c:v>818.4599999999979</c:v>
                </c:pt>
                <c:pt idx="4666">
                  <c:v>818.6</c:v>
                </c:pt>
                <c:pt idx="4667">
                  <c:v>818.754</c:v>
                </c:pt>
                <c:pt idx="4668">
                  <c:v>818.9219999999979</c:v>
                </c:pt>
                <c:pt idx="4669">
                  <c:v>819.092</c:v>
                </c:pt>
                <c:pt idx="4670">
                  <c:v>819.26</c:v>
                </c:pt>
                <c:pt idx="4671">
                  <c:v>819.4309999999994</c:v>
                </c:pt>
                <c:pt idx="4672">
                  <c:v>819.598</c:v>
                </c:pt>
                <c:pt idx="4673">
                  <c:v>819.766</c:v>
                </c:pt>
                <c:pt idx="4674">
                  <c:v>819.9309999999994</c:v>
                </c:pt>
                <c:pt idx="4675">
                  <c:v>820.086</c:v>
                </c:pt>
                <c:pt idx="4676">
                  <c:v>820.245</c:v>
                </c:pt>
                <c:pt idx="4677">
                  <c:v>820.405</c:v>
                </c:pt>
                <c:pt idx="4678">
                  <c:v>820.569</c:v>
                </c:pt>
                <c:pt idx="4679">
                  <c:v>820.736</c:v>
                </c:pt>
                <c:pt idx="4680">
                  <c:v>820.899</c:v>
                </c:pt>
                <c:pt idx="4681">
                  <c:v>821.0629999999974</c:v>
                </c:pt>
                <c:pt idx="4682">
                  <c:v>821.227</c:v>
                </c:pt>
                <c:pt idx="4683">
                  <c:v>821.3919999999994</c:v>
                </c:pt>
                <c:pt idx="4684">
                  <c:v>821.5619999999974</c:v>
                </c:pt>
                <c:pt idx="4685">
                  <c:v>821.732</c:v>
                </c:pt>
                <c:pt idx="4686">
                  <c:v>821.9019999999994</c:v>
                </c:pt>
                <c:pt idx="4687">
                  <c:v>822.071</c:v>
                </c:pt>
                <c:pt idx="4688">
                  <c:v>822.239</c:v>
                </c:pt>
                <c:pt idx="4689">
                  <c:v>822.4059999999994</c:v>
                </c:pt>
                <c:pt idx="4690">
                  <c:v>822.572</c:v>
                </c:pt>
                <c:pt idx="4691">
                  <c:v>822.7329999999994</c:v>
                </c:pt>
                <c:pt idx="4692">
                  <c:v>822.888</c:v>
                </c:pt>
                <c:pt idx="4693">
                  <c:v>823.0509999999994</c:v>
                </c:pt>
                <c:pt idx="4694">
                  <c:v>823.215</c:v>
                </c:pt>
                <c:pt idx="4695">
                  <c:v>823.38</c:v>
                </c:pt>
                <c:pt idx="4696">
                  <c:v>823.554</c:v>
                </c:pt>
                <c:pt idx="4697">
                  <c:v>823.734</c:v>
                </c:pt>
                <c:pt idx="4698">
                  <c:v>823.91</c:v>
                </c:pt>
                <c:pt idx="4699">
                  <c:v>824.083</c:v>
                </c:pt>
                <c:pt idx="4700">
                  <c:v>824.256</c:v>
                </c:pt>
                <c:pt idx="4701">
                  <c:v>824.4219999999979</c:v>
                </c:pt>
                <c:pt idx="4702">
                  <c:v>824.591</c:v>
                </c:pt>
                <c:pt idx="4703">
                  <c:v>824.753</c:v>
                </c:pt>
                <c:pt idx="4704">
                  <c:v>824.913</c:v>
                </c:pt>
                <c:pt idx="4705">
                  <c:v>825.071</c:v>
                </c:pt>
                <c:pt idx="4706">
                  <c:v>825.229</c:v>
                </c:pt>
                <c:pt idx="4707">
                  <c:v>825.3919999999994</c:v>
                </c:pt>
                <c:pt idx="4708">
                  <c:v>825.5569999999979</c:v>
                </c:pt>
                <c:pt idx="4709">
                  <c:v>825.724</c:v>
                </c:pt>
                <c:pt idx="4710">
                  <c:v>825.891</c:v>
                </c:pt>
                <c:pt idx="4711">
                  <c:v>826.0599999999994</c:v>
                </c:pt>
                <c:pt idx="4712">
                  <c:v>826.229</c:v>
                </c:pt>
                <c:pt idx="4713">
                  <c:v>826.4009999999994</c:v>
                </c:pt>
                <c:pt idx="4714">
                  <c:v>826.575</c:v>
                </c:pt>
                <c:pt idx="4715">
                  <c:v>826.751</c:v>
                </c:pt>
                <c:pt idx="4716">
                  <c:v>826.928</c:v>
                </c:pt>
                <c:pt idx="4717">
                  <c:v>827.106</c:v>
                </c:pt>
                <c:pt idx="4718">
                  <c:v>827.281</c:v>
                </c:pt>
                <c:pt idx="4719">
                  <c:v>827.4509999999979</c:v>
                </c:pt>
                <c:pt idx="4720">
                  <c:v>827.6079999999994</c:v>
                </c:pt>
                <c:pt idx="4721">
                  <c:v>827.771</c:v>
                </c:pt>
                <c:pt idx="4722">
                  <c:v>827.9399999999994</c:v>
                </c:pt>
                <c:pt idx="4723">
                  <c:v>828.109</c:v>
                </c:pt>
                <c:pt idx="4724">
                  <c:v>828.28</c:v>
                </c:pt>
                <c:pt idx="4725">
                  <c:v>828.4539999999994</c:v>
                </c:pt>
                <c:pt idx="4726">
                  <c:v>828.629</c:v>
                </c:pt>
                <c:pt idx="4727">
                  <c:v>828.803</c:v>
                </c:pt>
                <c:pt idx="4728">
                  <c:v>828.98</c:v>
                </c:pt>
                <c:pt idx="4729">
                  <c:v>829.163</c:v>
                </c:pt>
                <c:pt idx="4730">
                  <c:v>829.3429999999923</c:v>
                </c:pt>
                <c:pt idx="4731">
                  <c:v>829.519</c:v>
                </c:pt>
                <c:pt idx="4732">
                  <c:v>829.688</c:v>
                </c:pt>
                <c:pt idx="4733">
                  <c:v>829.8569999999974</c:v>
                </c:pt>
                <c:pt idx="4734">
                  <c:v>830.0269999999994</c:v>
                </c:pt>
                <c:pt idx="4735">
                  <c:v>830.197</c:v>
                </c:pt>
                <c:pt idx="4736">
                  <c:v>830.3639999999979</c:v>
                </c:pt>
                <c:pt idx="4737">
                  <c:v>830.5309999999994</c:v>
                </c:pt>
                <c:pt idx="4738">
                  <c:v>830.698</c:v>
                </c:pt>
                <c:pt idx="4739">
                  <c:v>830.8679999999914</c:v>
                </c:pt>
                <c:pt idx="4740">
                  <c:v>831.043</c:v>
                </c:pt>
                <c:pt idx="4741">
                  <c:v>831.218</c:v>
                </c:pt>
                <c:pt idx="4742">
                  <c:v>831.3869999999994</c:v>
                </c:pt>
                <c:pt idx="4743">
                  <c:v>831.559</c:v>
                </c:pt>
                <c:pt idx="4744">
                  <c:v>831.715</c:v>
                </c:pt>
                <c:pt idx="4745">
                  <c:v>831.8679999999914</c:v>
                </c:pt>
                <c:pt idx="4746">
                  <c:v>832.029</c:v>
                </c:pt>
                <c:pt idx="4747">
                  <c:v>832.191</c:v>
                </c:pt>
                <c:pt idx="4748">
                  <c:v>832.3549999999979</c:v>
                </c:pt>
                <c:pt idx="4749">
                  <c:v>832.519</c:v>
                </c:pt>
                <c:pt idx="4750">
                  <c:v>832.685</c:v>
                </c:pt>
                <c:pt idx="4751">
                  <c:v>832.8529999999918</c:v>
                </c:pt>
                <c:pt idx="4752">
                  <c:v>833.018</c:v>
                </c:pt>
                <c:pt idx="4753">
                  <c:v>833.185</c:v>
                </c:pt>
                <c:pt idx="4754">
                  <c:v>833.3539999999994</c:v>
                </c:pt>
                <c:pt idx="4755">
                  <c:v>833.525</c:v>
                </c:pt>
                <c:pt idx="4756">
                  <c:v>833.695</c:v>
                </c:pt>
                <c:pt idx="4757">
                  <c:v>833.8659999999974</c:v>
                </c:pt>
                <c:pt idx="4758">
                  <c:v>834.04</c:v>
                </c:pt>
                <c:pt idx="4759">
                  <c:v>834.212</c:v>
                </c:pt>
                <c:pt idx="4760">
                  <c:v>834.39</c:v>
                </c:pt>
                <c:pt idx="4761">
                  <c:v>834.5659999999979</c:v>
                </c:pt>
                <c:pt idx="4762">
                  <c:v>834.737</c:v>
                </c:pt>
                <c:pt idx="4763">
                  <c:v>834.9019999999994</c:v>
                </c:pt>
                <c:pt idx="4764">
                  <c:v>835.064</c:v>
                </c:pt>
                <c:pt idx="4765">
                  <c:v>835.227</c:v>
                </c:pt>
                <c:pt idx="4766">
                  <c:v>835.373</c:v>
                </c:pt>
                <c:pt idx="4767">
                  <c:v>835.5269999999994</c:v>
                </c:pt>
                <c:pt idx="4768">
                  <c:v>835.686</c:v>
                </c:pt>
                <c:pt idx="4769">
                  <c:v>835.8499999999979</c:v>
                </c:pt>
                <c:pt idx="4770">
                  <c:v>836.008</c:v>
                </c:pt>
                <c:pt idx="4771">
                  <c:v>836.16</c:v>
                </c:pt>
                <c:pt idx="4772">
                  <c:v>836.3079999999974</c:v>
                </c:pt>
                <c:pt idx="4773">
                  <c:v>836.4649999999979</c:v>
                </c:pt>
                <c:pt idx="4774">
                  <c:v>836.624</c:v>
                </c:pt>
                <c:pt idx="4775">
                  <c:v>836.792</c:v>
                </c:pt>
                <c:pt idx="4776">
                  <c:v>836.9659999999974</c:v>
                </c:pt>
                <c:pt idx="4777">
                  <c:v>837.1469999999994</c:v>
                </c:pt>
                <c:pt idx="4778">
                  <c:v>837.3279999999974</c:v>
                </c:pt>
                <c:pt idx="4779">
                  <c:v>837.5069999999994</c:v>
                </c:pt>
                <c:pt idx="4780">
                  <c:v>837.685</c:v>
                </c:pt>
                <c:pt idx="4781">
                  <c:v>837.8630000000001</c:v>
                </c:pt>
                <c:pt idx="4782">
                  <c:v>838.043</c:v>
                </c:pt>
                <c:pt idx="4783">
                  <c:v>838.225</c:v>
                </c:pt>
                <c:pt idx="4784">
                  <c:v>838.4069999999994</c:v>
                </c:pt>
                <c:pt idx="4785">
                  <c:v>838.588</c:v>
                </c:pt>
                <c:pt idx="4786">
                  <c:v>838.768</c:v>
                </c:pt>
                <c:pt idx="4787">
                  <c:v>838.9429999999974</c:v>
                </c:pt>
                <c:pt idx="4788">
                  <c:v>839.11</c:v>
                </c:pt>
                <c:pt idx="4789">
                  <c:v>839.278</c:v>
                </c:pt>
                <c:pt idx="4790">
                  <c:v>839.4519999999974</c:v>
                </c:pt>
                <c:pt idx="4791">
                  <c:v>839.631</c:v>
                </c:pt>
                <c:pt idx="4792">
                  <c:v>839.8069999999979</c:v>
                </c:pt>
                <c:pt idx="4793">
                  <c:v>839.985</c:v>
                </c:pt>
                <c:pt idx="4794">
                  <c:v>840.16</c:v>
                </c:pt>
                <c:pt idx="4795">
                  <c:v>840.3359999999974</c:v>
                </c:pt>
                <c:pt idx="4796">
                  <c:v>840.515</c:v>
                </c:pt>
                <c:pt idx="4797">
                  <c:v>840.692</c:v>
                </c:pt>
                <c:pt idx="4798">
                  <c:v>840.8669999999912</c:v>
                </c:pt>
                <c:pt idx="4799">
                  <c:v>841.0469999999979</c:v>
                </c:pt>
                <c:pt idx="4800">
                  <c:v>841.227</c:v>
                </c:pt>
                <c:pt idx="4801">
                  <c:v>841.405</c:v>
                </c:pt>
                <c:pt idx="4802">
                  <c:v>841.582</c:v>
                </c:pt>
                <c:pt idx="4803">
                  <c:v>841.758</c:v>
                </c:pt>
                <c:pt idx="4804">
                  <c:v>841.9349999999994</c:v>
                </c:pt>
                <c:pt idx="4805">
                  <c:v>842.109</c:v>
                </c:pt>
                <c:pt idx="4806">
                  <c:v>842.282</c:v>
                </c:pt>
                <c:pt idx="4807">
                  <c:v>842.4559999999979</c:v>
                </c:pt>
                <c:pt idx="4808">
                  <c:v>842.633</c:v>
                </c:pt>
                <c:pt idx="4809">
                  <c:v>842.8099999999994</c:v>
                </c:pt>
                <c:pt idx="4810">
                  <c:v>842.9880000000001</c:v>
                </c:pt>
                <c:pt idx="4811">
                  <c:v>843.1609999999994</c:v>
                </c:pt>
                <c:pt idx="4812">
                  <c:v>843.3309999999979</c:v>
                </c:pt>
                <c:pt idx="4813">
                  <c:v>843.496</c:v>
                </c:pt>
                <c:pt idx="4814">
                  <c:v>843.65</c:v>
                </c:pt>
                <c:pt idx="4815">
                  <c:v>843.8049999999994</c:v>
                </c:pt>
                <c:pt idx="4816">
                  <c:v>843.97</c:v>
                </c:pt>
                <c:pt idx="4817">
                  <c:v>844.1419999999994</c:v>
                </c:pt>
                <c:pt idx="4818">
                  <c:v>844.3109999999979</c:v>
                </c:pt>
                <c:pt idx="4819">
                  <c:v>844.476</c:v>
                </c:pt>
                <c:pt idx="4820">
                  <c:v>844.641</c:v>
                </c:pt>
                <c:pt idx="4821">
                  <c:v>844.8079999999974</c:v>
                </c:pt>
                <c:pt idx="4822">
                  <c:v>844.9679999999923</c:v>
                </c:pt>
                <c:pt idx="4823">
                  <c:v>845.128</c:v>
                </c:pt>
                <c:pt idx="4824">
                  <c:v>845.281</c:v>
                </c:pt>
                <c:pt idx="4825">
                  <c:v>845.439</c:v>
                </c:pt>
                <c:pt idx="4826">
                  <c:v>845.595</c:v>
                </c:pt>
                <c:pt idx="4827">
                  <c:v>845.754</c:v>
                </c:pt>
                <c:pt idx="4828">
                  <c:v>845.923</c:v>
                </c:pt>
                <c:pt idx="4829">
                  <c:v>846.091</c:v>
                </c:pt>
                <c:pt idx="4830">
                  <c:v>846.258</c:v>
                </c:pt>
                <c:pt idx="4831">
                  <c:v>846.428</c:v>
                </c:pt>
                <c:pt idx="4832">
                  <c:v>846.6029999999994</c:v>
                </c:pt>
                <c:pt idx="4833">
                  <c:v>846.778</c:v>
                </c:pt>
                <c:pt idx="4834">
                  <c:v>846.9559999999979</c:v>
                </c:pt>
                <c:pt idx="4835">
                  <c:v>847.129</c:v>
                </c:pt>
                <c:pt idx="4836">
                  <c:v>847.304</c:v>
                </c:pt>
                <c:pt idx="4837">
                  <c:v>847.479</c:v>
                </c:pt>
                <c:pt idx="4838">
                  <c:v>847.6519999999994</c:v>
                </c:pt>
                <c:pt idx="4839">
                  <c:v>847.8199999999994</c:v>
                </c:pt>
                <c:pt idx="4840">
                  <c:v>847.99</c:v>
                </c:pt>
                <c:pt idx="4841">
                  <c:v>848.158</c:v>
                </c:pt>
                <c:pt idx="4842">
                  <c:v>848.314</c:v>
                </c:pt>
                <c:pt idx="4843">
                  <c:v>848.4669999999974</c:v>
                </c:pt>
                <c:pt idx="4844">
                  <c:v>848.624</c:v>
                </c:pt>
                <c:pt idx="4845">
                  <c:v>848.791</c:v>
                </c:pt>
                <c:pt idx="4846">
                  <c:v>848.9619999999974</c:v>
                </c:pt>
                <c:pt idx="4847">
                  <c:v>849.136</c:v>
                </c:pt>
                <c:pt idx="4848">
                  <c:v>849.3069999999979</c:v>
                </c:pt>
                <c:pt idx="4849">
                  <c:v>849.481</c:v>
                </c:pt>
                <c:pt idx="4850">
                  <c:v>849.6569999999994</c:v>
                </c:pt>
                <c:pt idx="4851">
                  <c:v>849.8339999999994</c:v>
                </c:pt>
                <c:pt idx="4852">
                  <c:v>850.01</c:v>
                </c:pt>
                <c:pt idx="4853">
                  <c:v>850.19</c:v>
                </c:pt>
                <c:pt idx="4854">
                  <c:v>850.3669999999912</c:v>
                </c:pt>
                <c:pt idx="4855">
                  <c:v>850.54</c:v>
                </c:pt>
                <c:pt idx="4856">
                  <c:v>850.705</c:v>
                </c:pt>
                <c:pt idx="4857">
                  <c:v>850.8679999999914</c:v>
                </c:pt>
                <c:pt idx="4858">
                  <c:v>851.033</c:v>
                </c:pt>
                <c:pt idx="4859">
                  <c:v>851.196</c:v>
                </c:pt>
                <c:pt idx="4860">
                  <c:v>851.3549999999979</c:v>
                </c:pt>
                <c:pt idx="4861">
                  <c:v>851.514</c:v>
                </c:pt>
                <c:pt idx="4862">
                  <c:v>851.679</c:v>
                </c:pt>
                <c:pt idx="4863">
                  <c:v>851.8469999999974</c:v>
                </c:pt>
                <c:pt idx="4864">
                  <c:v>852.019</c:v>
                </c:pt>
                <c:pt idx="4865">
                  <c:v>852.19</c:v>
                </c:pt>
                <c:pt idx="4866">
                  <c:v>852.3609999999974</c:v>
                </c:pt>
                <c:pt idx="4867">
                  <c:v>852.5359999999994</c:v>
                </c:pt>
                <c:pt idx="4868">
                  <c:v>852.71</c:v>
                </c:pt>
                <c:pt idx="4869">
                  <c:v>852.88</c:v>
                </c:pt>
                <c:pt idx="4870">
                  <c:v>853.0459999999994</c:v>
                </c:pt>
                <c:pt idx="4871">
                  <c:v>853.217</c:v>
                </c:pt>
                <c:pt idx="4872">
                  <c:v>853.39</c:v>
                </c:pt>
                <c:pt idx="4873">
                  <c:v>853.559</c:v>
                </c:pt>
                <c:pt idx="4874">
                  <c:v>853.72</c:v>
                </c:pt>
                <c:pt idx="4875">
                  <c:v>853.87</c:v>
                </c:pt>
                <c:pt idx="4876">
                  <c:v>854.0269999999994</c:v>
                </c:pt>
                <c:pt idx="4877">
                  <c:v>854.183</c:v>
                </c:pt>
                <c:pt idx="4878">
                  <c:v>854.3390000000001</c:v>
                </c:pt>
                <c:pt idx="4879">
                  <c:v>854.497</c:v>
                </c:pt>
                <c:pt idx="4880">
                  <c:v>854.663</c:v>
                </c:pt>
                <c:pt idx="4881">
                  <c:v>854.8390000000001</c:v>
                </c:pt>
                <c:pt idx="4882">
                  <c:v>855.021</c:v>
                </c:pt>
                <c:pt idx="4883">
                  <c:v>855.203</c:v>
                </c:pt>
                <c:pt idx="4884">
                  <c:v>855.3769999999994</c:v>
                </c:pt>
                <c:pt idx="4885">
                  <c:v>855.5409999999994</c:v>
                </c:pt>
                <c:pt idx="4886">
                  <c:v>855.696</c:v>
                </c:pt>
                <c:pt idx="4887">
                  <c:v>855.8439999999994</c:v>
                </c:pt>
                <c:pt idx="4888">
                  <c:v>855.999</c:v>
                </c:pt>
                <c:pt idx="4889">
                  <c:v>856.1609999999994</c:v>
                </c:pt>
                <c:pt idx="4890">
                  <c:v>856.3229999999974</c:v>
                </c:pt>
                <c:pt idx="4891">
                  <c:v>856.489</c:v>
                </c:pt>
                <c:pt idx="4892">
                  <c:v>856.659</c:v>
                </c:pt>
                <c:pt idx="4893">
                  <c:v>856.8329999999974</c:v>
                </c:pt>
                <c:pt idx="4894">
                  <c:v>857.011</c:v>
                </c:pt>
                <c:pt idx="4895">
                  <c:v>857.184</c:v>
                </c:pt>
                <c:pt idx="4896">
                  <c:v>857.3589999999994</c:v>
                </c:pt>
                <c:pt idx="4897">
                  <c:v>857.538</c:v>
                </c:pt>
                <c:pt idx="4898">
                  <c:v>857.711</c:v>
                </c:pt>
                <c:pt idx="4899">
                  <c:v>857.88</c:v>
                </c:pt>
                <c:pt idx="4900">
                  <c:v>858.0519999999979</c:v>
                </c:pt>
                <c:pt idx="4901">
                  <c:v>858.225</c:v>
                </c:pt>
                <c:pt idx="4902">
                  <c:v>858.4</c:v>
                </c:pt>
                <c:pt idx="4903">
                  <c:v>858.571</c:v>
                </c:pt>
                <c:pt idx="4904">
                  <c:v>858.741</c:v>
                </c:pt>
                <c:pt idx="4905">
                  <c:v>858.914</c:v>
                </c:pt>
                <c:pt idx="4906">
                  <c:v>859.082</c:v>
                </c:pt>
                <c:pt idx="4907">
                  <c:v>859.249</c:v>
                </c:pt>
                <c:pt idx="4908">
                  <c:v>859.42</c:v>
                </c:pt>
                <c:pt idx="4909">
                  <c:v>859.593</c:v>
                </c:pt>
                <c:pt idx="4910">
                  <c:v>859.759</c:v>
                </c:pt>
                <c:pt idx="4911">
                  <c:v>859.92</c:v>
                </c:pt>
                <c:pt idx="4912">
                  <c:v>860.079</c:v>
                </c:pt>
                <c:pt idx="4913">
                  <c:v>860.243</c:v>
                </c:pt>
                <c:pt idx="4914">
                  <c:v>860.4019999999994</c:v>
                </c:pt>
                <c:pt idx="4915">
                  <c:v>860.564</c:v>
                </c:pt>
                <c:pt idx="4916">
                  <c:v>860.736</c:v>
                </c:pt>
                <c:pt idx="4917">
                  <c:v>860.9059999999994</c:v>
                </c:pt>
                <c:pt idx="4918">
                  <c:v>861.076</c:v>
                </c:pt>
                <c:pt idx="4919">
                  <c:v>861.245</c:v>
                </c:pt>
                <c:pt idx="4920">
                  <c:v>861.4169999999979</c:v>
                </c:pt>
                <c:pt idx="4921">
                  <c:v>861.587</c:v>
                </c:pt>
                <c:pt idx="4922">
                  <c:v>861.756</c:v>
                </c:pt>
                <c:pt idx="4923">
                  <c:v>861.9219999999979</c:v>
                </c:pt>
                <c:pt idx="4924">
                  <c:v>862.092</c:v>
                </c:pt>
                <c:pt idx="4925">
                  <c:v>862.254</c:v>
                </c:pt>
                <c:pt idx="4926">
                  <c:v>862.4109999999994</c:v>
                </c:pt>
                <c:pt idx="4927">
                  <c:v>862.569</c:v>
                </c:pt>
                <c:pt idx="4928">
                  <c:v>862.725</c:v>
                </c:pt>
                <c:pt idx="4929">
                  <c:v>862.876</c:v>
                </c:pt>
                <c:pt idx="4930">
                  <c:v>863.023</c:v>
                </c:pt>
                <c:pt idx="4931">
                  <c:v>863.183</c:v>
                </c:pt>
                <c:pt idx="4932">
                  <c:v>863.3529999999918</c:v>
                </c:pt>
                <c:pt idx="4933">
                  <c:v>863.535</c:v>
                </c:pt>
                <c:pt idx="4934">
                  <c:v>863.716</c:v>
                </c:pt>
                <c:pt idx="4935">
                  <c:v>863.878</c:v>
                </c:pt>
                <c:pt idx="4936">
                  <c:v>864.029</c:v>
                </c:pt>
                <c:pt idx="4937">
                  <c:v>864.188</c:v>
                </c:pt>
                <c:pt idx="4938">
                  <c:v>864.3589999999994</c:v>
                </c:pt>
                <c:pt idx="4939">
                  <c:v>864.534</c:v>
                </c:pt>
                <c:pt idx="4940">
                  <c:v>864.711</c:v>
                </c:pt>
                <c:pt idx="4941">
                  <c:v>864.884</c:v>
                </c:pt>
                <c:pt idx="4942">
                  <c:v>865.0519999999979</c:v>
                </c:pt>
                <c:pt idx="4943">
                  <c:v>865.22</c:v>
                </c:pt>
                <c:pt idx="4944">
                  <c:v>865.389</c:v>
                </c:pt>
                <c:pt idx="4945">
                  <c:v>865.5579999999974</c:v>
                </c:pt>
                <c:pt idx="4946">
                  <c:v>865.729</c:v>
                </c:pt>
                <c:pt idx="4947">
                  <c:v>865.9009999999994</c:v>
                </c:pt>
                <c:pt idx="4948">
                  <c:v>866.071</c:v>
                </c:pt>
                <c:pt idx="4949">
                  <c:v>866.245</c:v>
                </c:pt>
                <c:pt idx="4950">
                  <c:v>866.423</c:v>
                </c:pt>
                <c:pt idx="4951">
                  <c:v>866.6029999999994</c:v>
                </c:pt>
                <c:pt idx="4952">
                  <c:v>866.778</c:v>
                </c:pt>
                <c:pt idx="4953">
                  <c:v>866.9379999999974</c:v>
                </c:pt>
                <c:pt idx="4954">
                  <c:v>867.098</c:v>
                </c:pt>
                <c:pt idx="4955">
                  <c:v>867.265</c:v>
                </c:pt>
                <c:pt idx="4956">
                  <c:v>867.4419999999974</c:v>
                </c:pt>
                <c:pt idx="4957">
                  <c:v>867.618</c:v>
                </c:pt>
                <c:pt idx="4958">
                  <c:v>867.791</c:v>
                </c:pt>
                <c:pt idx="4959">
                  <c:v>867.9609999999974</c:v>
                </c:pt>
                <c:pt idx="4960">
                  <c:v>868.129</c:v>
                </c:pt>
                <c:pt idx="4961">
                  <c:v>868.285</c:v>
                </c:pt>
                <c:pt idx="4962">
                  <c:v>868.4369999999974</c:v>
                </c:pt>
                <c:pt idx="4963">
                  <c:v>868.596</c:v>
                </c:pt>
                <c:pt idx="4964">
                  <c:v>868.764</c:v>
                </c:pt>
                <c:pt idx="4965">
                  <c:v>868.9309999999994</c:v>
                </c:pt>
                <c:pt idx="4966">
                  <c:v>869.1</c:v>
                </c:pt>
                <c:pt idx="4967">
                  <c:v>869.271</c:v>
                </c:pt>
                <c:pt idx="4968">
                  <c:v>869.434</c:v>
                </c:pt>
                <c:pt idx="4969">
                  <c:v>869.602</c:v>
                </c:pt>
                <c:pt idx="4970">
                  <c:v>869.771</c:v>
                </c:pt>
                <c:pt idx="4971">
                  <c:v>869.9419999999974</c:v>
                </c:pt>
                <c:pt idx="4972">
                  <c:v>870.114</c:v>
                </c:pt>
                <c:pt idx="4973">
                  <c:v>870.284</c:v>
                </c:pt>
                <c:pt idx="4974">
                  <c:v>870.4529999999974</c:v>
                </c:pt>
                <c:pt idx="4975">
                  <c:v>870.622</c:v>
                </c:pt>
                <c:pt idx="4976">
                  <c:v>870.795</c:v>
                </c:pt>
                <c:pt idx="4977">
                  <c:v>870.974</c:v>
                </c:pt>
                <c:pt idx="4978">
                  <c:v>871.1469999999994</c:v>
                </c:pt>
                <c:pt idx="4979">
                  <c:v>871.314</c:v>
                </c:pt>
                <c:pt idx="4980">
                  <c:v>871.485</c:v>
                </c:pt>
                <c:pt idx="4981">
                  <c:v>871.6569999999994</c:v>
                </c:pt>
                <c:pt idx="4982">
                  <c:v>871.8279999999974</c:v>
                </c:pt>
                <c:pt idx="4983">
                  <c:v>871.999</c:v>
                </c:pt>
                <c:pt idx="4984">
                  <c:v>872.173</c:v>
                </c:pt>
                <c:pt idx="4985">
                  <c:v>872.3479999999921</c:v>
                </c:pt>
                <c:pt idx="4986">
                  <c:v>872.525</c:v>
                </c:pt>
                <c:pt idx="4987">
                  <c:v>872.703</c:v>
                </c:pt>
                <c:pt idx="4988">
                  <c:v>872.8769999999994</c:v>
                </c:pt>
                <c:pt idx="4989">
                  <c:v>873.0469999999979</c:v>
                </c:pt>
                <c:pt idx="4990">
                  <c:v>873.216</c:v>
                </c:pt>
                <c:pt idx="4991">
                  <c:v>873.384</c:v>
                </c:pt>
                <c:pt idx="4992">
                  <c:v>873.554</c:v>
                </c:pt>
                <c:pt idx="4993">
                  <c:v>873.722</c:v>
                </c:pt>
                <c:pt idx="4994">
                  <c:v>873.891</c:v>
                </c:pt>
                <c:pt idx="4995">
                  <c:v>874.0599999999994</c:v>
                </c:pt>
                <c:pt idx="4996">
                  <c:v>874.227</c:v>
                </c:pt>
                <c:pt idx="4997">
                  <c:v>874.385</c:v>
                </c:pt>
                <c:pt idx="4998">
                  <c:v>874.548</c:v>
                </c:pt>
                <c:pt idx="4999">
                  <c:v>874.716</c:v>
                </c:pt>
                <c:pt idx="5000">
                  <c:v>874.8869999999994</c:v>
                </c:pt>
                <c:pt idx="5001">
                  <c:v>875.0559999999994</c:v>
                </c:pt>
                <c:pt idx="5002">
                  <c:v>875.2140000000001</c:v>
                </c:pt>
                <c:pt idx="5003">
                  <c:v>875.3579999999902</c:v>
                </c:pt>
                <c:pt idx="5004">
                  <c:v>875.504</c:v>
                </c:pt>
                <c:pt idx="5005">
                  <c:v>875.6509999999994</c:v>
                </c:pt>
                <c:pt idx="5006">
                  <c:v>875.797</c:v>
                </c:pt>
                <c:pt idx="5007">
                  <c:v>875.9509999999979</c:v>
                </c:pt>
                <c:pt idx="5008">
                  <c:v>876.116</c:v>
                </c:pt>
                <c:pt idx="5009">
                  <c:v>876.29</c:v>
                </c:pt>
                <c:pt idx="5010">
                  <c:v>876.4659999999974</c:v>
                </c:pt>
                <c:pt idx="5011">
                  <c:v>876.634</c:v>
                </c:pt>
                <c:pt idx="5012">
                  <c:v>876.798</c:v>
                </c:pt>
                <c:pt idx="5013">
                  <c:v>876.9669999999974</c:v>
                </c:pt>
                <c:pt idx="5014">
                  <c:v>877.14</c:v>
                </c:pt>
                <c:pt idx="5015">
                  <c:v>877.3079999999974</c:v>
                </c:pt>
                <c:pt idx="5016">
                  <c:v>877.472</c:v>
                </c:pt>
                <c:pt idx="5017">
                  <c:v>877.639</c:v>
                </c:pt>
                <c:pt idx="5018">
                  <c:v>877.8049999999994</c:v>
                </c:pt>
                <c:pt idx="5019">
                  <c:v>877.9579999999974</c:v>
                </c:pt>
                <c:pt idx="5020">
                  <c:v>878.111</c:v>
                </c:pt>
                <c:pt idx="5021">
                  <c:v>878.276</c:v>
                </c:pt>
                <c:pt idx="5022">
                  <c:v>878.4449999999994</c:v>
                </c:pt>
                <c:pt idx="5023">
                  <c:v>878.6130000000001</c:v>
                </c:pt>
                <c:pt idx="5024">
                  <c:v>878.783</c:v>
                </c:pt>
                <c:pt idx="5025">
                  <c:v>878.9539999999994</c:v>
                </c:pt>
                <c:pt idx="5026">
                  <c:v>879.124</c:v>
                </c:pt>
                <c:pt idx="5027">
                  <c:v>879.297</c:v>
                </c:pt>
                <c:pt idx="5028">
                  <c:v>879.47</c:v>
                </c:pt>
                <c:pt idx="5029">
                  <c:v>879.638</c:v>
                </c:pt>
                <c:pt idx="5030">
                  <c:v>879.791</c:v>
                </c:pt>
                <c:pt idx="5031">
                  <c:v>879.9429999999974</c:v>
                </c:pt>
                <c:pt idx="5032">
                  <c:v>880.095</c:v>
                </c:pt>
                <c:pt idx="5033">
                  <c:v>880.2519999999994</c:v>
                </c:pt>
                <c:pt idx="5034">
                  <c:v>880.415</c:v>
                </c:pt>
                <c:pt idx="5035">
                  <c:v>880.583</c:v>
                </c:pt>
                <c:pt idx="5036">
                  <c:v>880.7519999999994</c:v>
                </c:pt>
                <c:pt idx="5037">
                  <c:v>880.92</c:v>
                </c:pt>
                <c:pt idx="5038">
                  <c:v>881.0890000000001</c:v>
                </c:pt>
                <c:pt idx="5039">
                  <c:v>881.261</c:v>
                </c:pt>
                <c:pt idx="5040">
                  <c:v>881.429</c:v>
                </c:pt>
                <c:pt idx="5041">
                  <c:v>881.597</c:v>
                </c:pt>
                <c:pt idx="5042">
                  <c:v>881.7669999999994</c:v>
                </c:pt>
                <c:pt idx="5043">
                  <c:v>881.9399999999994</c:v>
                </c:pt>
                <c:pt idx="5044">
                  <c:v>882.111</c:v>
                </c:pt>
                <c:pt idx="5045">
                  <c:v>882.276</c:v>
                </c:pt>
                <c:pt idx="5046">
                  <c:v>882.4319999999979</c:v>
                </c:pt>
                <c:pt idx="5047">
                  <c:v>882.595</c:v>
                </c:pt>
                <c:pt idx="5048">
                  <c:v>882.764</c:v>
                </c:pt>
                <c:pt idx="5049">
                  <c:v>882.9369999999974</c:v>
                </c:pt>
                <c:pt idx="5050">
                  <c:v>883.11</c:v>
                </c:pt>
                <c:pt idx="5051">
                  <c:v>883.279</c:v>
                </c:pt>
                <c:pt idx="5052">
                  <c:v>883.4469999999974</c:v>
                </c:pt>
                <c:pt idx="5053">
                  <c:v>883.607</c:v>
                </c:pt>
                <c:pt idx="5054">
                  <c:v>883.763</c:v>
                </c:pt>
                <c:pt idx="5055">
                  <c:v>883.9249999999994</c:v>
                </c:pt>
                <c:pt idx="5056">
                  <c:v>884.094</c:v>
                </c:pt>
                <c:pt idx="5057">
                  <c:v>884.253</c:v>
                </c:pt>
                <c:pt idx="5058">
                  <c:v>884.4169999999979</c:v>
                </c:pt>
                <c:pt idx="5059">
                  <c:v>884.583</c:v>
                </c:pt>
                <c:pt idx="5060">
                  <c:v>884.754</c:v>
                </c:pt>
                <c:pt idx="5061">
                  <c:v>884.928</c:v>
                </c:pt>
                <c:pt idx="5062">
                  <c:v>885.1029999999994</c:v>
                </c:pt>
                <c:pt idx="5063">
                  <c:v>885.278</c:v>
                </c:pt>
                <c:pt idx="5064">
                  <c:v>885.4549999999994</c:v>
                </c:pt>
                <c:pt idx="5065">
                  <c:v>885.631</c:v>
                </c:pt>
                <c:pt idx="5066">
                  <c:v>885.797</c:v>
                </c:pt>
                <c:pt idx="5067">
                  <c:v>885.9519999999974</c:v>
                </c:pt>
                <c:pt idx="5068">
                  <c:v>886.1029999999994</c:v>
                </c:pt>
                <c:pt idx="5069">
                  <c:v>886.2669999999994</c:v>
                </c:pt>
                <c:pt idx="5070">
                  <c:v>886.4369999999974</c:v>
                </c:pt>
                <c:pt idx="5071">
                  <c:v>886.607</c:v>
                </c:pt>
                <c:pt idx="5072">
                  <c:v>886.78</c:v>
                </c:pt>
                <c:pt idx="5073">
                  <c:v>886.9549999999994</c:v>
                </c:pt>
                <c:pt idx="5074">
                  <c:v>887.1369999999994</c:v>
                </c:pt>
                <c:pt idx="5075">
                  <c:v>887.3329999999974</c:v>
                </c:pt>
                <c:pt idx="5076">
                  <c:v>887.53</c:v>
                </c:pt>
                <c:pt idx="5077">
                  <c:v>887.718</c:v>
                </c:pt>
                <c:pt idx="5078">
                  <c:v>887.898</c:v>
                </c:pt>
                <c:pt idx="5079">
                  <c:v>888.073</c:v>
                </c:pt>
                <c:pt idx="5080">
                  <c:v>888.243</c:v>
                </c:pt>
                <c:pt idx="5081">
                  <c:v>888.41</c:v>
                </c:pt>
                <c:pt idx="5082">
                  <c:v>888.585</c:v>
                </c:pt>
                <c:pt idx="5083">
                  <c:v>888.765</c:v>
                </c:pt>
                <c:pt idx="5084">
                  <c:v>888.9429999999974</c:v>
                </c:pt>
                <c:pt idx="5085">
                  <c:v>889.117</c:v>
                </c:pt>
                <c:pt idx="5086">
                  <c:v>889.277</c:v>
                </c:pt>
                <c:pt idx="5087">
                  <c:v>889.4369999999974</c:v>
                </c:pt>
                <c:pt idx="5088">
                  <c:v>889.601</c:v>
                </c:pt>
                <c:pt idx="5089">
                  <c:v>889.77</c:v>
                </c:pt>
                <c:pt idx="5090">
                  <c:v>889.9349999999994</c:v>
                </c:pt>
                <c:pt idx="5091">
                  <c:v>890.099</c:v>
                </c:pt>
                <c:pt idx="5092">
                  <c:v>890.271</c:v>
                </c:pt>
                <c:pt idx="5093">
                  <c:v>890.4409999999979</c:v>
                </c:pt>
                <c:pt idx="5094">
                  <c:v>890.616</c:v>
                </c:pt>
                <c:pt idx="5095">
                  <c:v>890.795</c:v>
                </c:pt>
                <c:pt idx="5096">
                  <c:v>890.9659999999974</c:v>
                </c:pt>
                <c:pt idx="5097">
                  <c:v>891.133</c:v>
                </c:pt>
                <c:pt idx="5098">
                  <c:v>891.3069999999979</c:v>
                </c:pt>
                <c:pt idx="5099">
                  <c:v>891.4779999999994</c:v>
                </c:pt>
                <c:pt idx="5100">
                  <c:v>891.644</c:v>
                </c:pt>
                <c:pt idx="5101">
                  <c:v>891.814</c:v>
                </c:pt>
                <c:pt idx="5102">
                  <c:v>891.984</c:v>
                </c:pt>
                <c:pt idx="5103">
                  <c:v>892.153</c:v>
                </c:pt>
                <c:pt idx="5104">
                  <c:v>892.3249999999994</c:v>
                </c:pt>
                <c:pt idx="5105">
                  <c:v>892.499</c:v>
                </c:pt>
                <c:pt idx="5106">
                  <c:v>892.673</c:v>
                </c:pt>
                <c:pt idx="5107">
                  <c:v>892.8449999999979</c:v>
                </c:pt>
                <c:pt idx="5108">
                  <c:v>893.013</c:v>
                </c:pt>
                <c:pt idx="5109">
                  <c:v>893.181</c:v>
                </c:pt>
                <c:pt idx="5110">
                  <c:v>893.3509999999974</c:v>
                </c:pt>
                <c:pt idx="5111">
                  <c:v>893.524</c:v>
                </c:pt>
                <c:pt idx="5112">
                  <c:v>893.698</c:v>
                </c:pt>
                <c:pt idx="5113">
                  <c:v>893.8630000000001</c:v>
                </c:pt>
                <c:pt idx="5114">
                  <c:v>894.03</c:v>
                </c:pt>
                <c:pt idx="5115">
                  <c:v>894.199</c:v>
                </c:pt>
                <c:pt idx="5116">
                  <c:v>894.371</c:v>
                </c:pt>
                <c:pt idx="5117">
                  <c:v>894.5419999999979</c:v>
                </c:pt>
                <c:pt idx="5118">
                  <c:v>894.717</c:v>
                </c:pt>
                <c:pt idx="5119">
                  <c:v>894.891</c:v>
                </c:pt>
                <c:pt idx="5120">
                  <c:v>895.0579999999974</c:v>
                </c:pt>
                <c:pt idx="5121">
                  <c:v>895.235</c:v>
                </c:pt>
                <c:pt idx="5122">
                  <c:v>895.414</c:v>
                </c:pt>
                <c:pt idx="5123">
                  <c:v>895.591</c:v>
                </c:pt>
                <c:pt idx="5124">
                  <c:v>895.766</c:v>
                </c:pt>
                <c:pt idx="5125">
                  <c:v>895.939</c:v>
                </c:pt>
                <c:pt idx="5126">
                  <c:v>896.117</c:v>
                </c:pt>
                <c:pt idx="5127">
                  <c:v>896.293</c:v>
                </c:pt>
                <c:pt idx="5128">
                  <c:v>896.4659999999974</c:v>
                </c:pt>
                <c:pt idx="5129">
                  <c:v>896.638</c:v>
                </c:pt>
                <c:pt idx="5130">
                  <c:v>896.8099999999994</c:v>
                </c:pt>
                <c:pt idx="5131">
                  <c:v>896.98</c:v>
                </c:pt>
                <c:pt idx="5132">
                  <c:v>897.15</c:v>
                </c:pt>
                <c:pt idx="5133">
                  <c:v>897.3169999999974</c:v>
                </c:pt>
                <c:pt idx="5134">
                  <c:v>897.485</c:v>
                </c:pt>
                <c:pt idx="5135">
                  <c:v>897.6509999999994</c:v>
                </c:pt>
                <c:pt idx="5136">
                  <c:v>897.8149999999994</c:v>
                </c:pt>
                <c:pt idx="5137">
                  <c:v>897.987</c:v>
                </c:pt>
                <c:pt idx="5138">
                  <c:v>898.159</c:v>
                </c:pt>
                <c:pt idx="5139">
                  <c:v>898.3339999999994</c:v>
                </c:pt>
                <c:pt idx="5140">
                  <c:v>898.509</c:v>
                </c:pt>
                <c:pt idx="5141">
                  <c:v>898.686</c:v>
                </c:pt>
                <c:pt idx="5142">
                  <c:v>898.8619999999918</c:v>
                </c:pt>
                <c:pt idx="5143">
                  <c:v>899.04</c:v>
                </c:pt>
                <c:pt idx="5144">
                  <c:v>899.224</c:v>
                </c:pt>
                <c:pt idx="5145">
                  <c:v>899.4069999999994</c:v>
                </c:pt>
                <c:pt idx="5146">
                  <c:v>899.585</c:v>
                </c:pt>
                <c:pt idx="5147">
                  <c:v>899.756</c:v>
                </c:pt>
                <c:pt idx="5148">
                  <c:v>899.9219999999979</c:v>
                </c:pt>
                <c:pt idx="5149">
                  <c:v>900.091</c:v>
                </c:pt>
                <c:pt idx="5150">
                  <c:v>900.2619999999994</c:v>
                </c:pt>
                <c:pt idx="5151">
                  <c:v>900.4329999999974</c:v>
                </c:pt>
                <c:pt idx="5152">
                  <c:v>900.609</c:v>
                </c:pt>
                <c:pt idx="5153">
                  <c:v>900.788</c:v>
                </c:pt>
                <c:pt idx="5154">
                  <c:v>900.9659999999974</c:v>
                </c:pt>
                <c:pt idx="5155">
                  <c:v>901.141</c:v>
                </c:pt>
                <c:pt idx="5156">
                  <c:v>901.3119999999974</c:v>
                </c:pt>
                <c:pt idx="5157">
                  <c:v>901.474</c:v>
                </c:pt>
                <c:pt idx="5158">
                  <c:v>901.622</c:v>
                </c:pt>
                <c:pt idx="5159">
                  <c:v>901.777</c:v>
                </c:pt>
              </c:numCache>
            </c:numRef>
          </c:xVal>
          <c:yVal>
            <c:numRef>
              <c:f>W3MB!$C$6:$C$5165</c:f>
              <c:numCache>
                <c:formatCode>General</c:formatCode>
                <c:ptCount val="5160"/>
                <c:pt idx="0">
                  <c:v>99.97036</c:v>
                </c:pt>
                <c:pt idx="1">
                  <c:v>99.96972</c:v>
                </c:pt>
                <c:pt idx="2">
                  <c:v>99.96846</c:v>
                </c:pt>
                <c:pt idx="3">
                  <c:v>99.96661</c:v>
                </c:pt>
                <c:pt idx="4">
                  <c:v>99.96397</c:v>
                </c:pt>
                <c:pt idx="5">
                  <c:v>99.96092</c:v>
                </c:pt>
                <c:pt idx="6">
                  <c:v>99.95729</c:v>
                </c:pt>
                <c:pt idx="7">
                  <c:v>99.95291</c:v>
                </c:pt>
                <c:pt idx="8">
                  <c:v>99.94877</c:v>
                </c:pt>
                <c:pt idx="9">
                  <c:v>99.9444</c:v>
                </c:pt>
                <c:pt idx="10">
                  <c:v>99.93916</c:v>
                </c:pt>
                <c:pt idx="11">
                  <c:v>99.93352</c:v>
                </c:pt>
                <c:pt idx="12">
                  <c:v>99.9277</c:v>
                </c:pt>
                <c:pt idx="13">
                  <c:v>99.92241</c:v>
                </c:pt>
                <c:pt idx="14">
                  <c:v>99.91671</c:v>
                </c:pt>
                <c:pt idx="15">
                  <c:v>99.91038</c:v>
                </c:pt>
                <c:pt idx="16">
                  <c:v>99.90387000000001</c:v>
                </c:pt>
                <c:pt idx="17">
                  <c:v>99.89823000000001</c:v>
                </c:pt>
                <c:pt idx="18">
                  <c:v>99.89265</c:v>
                </c:pt>
                <c:pt idx="19">
                  <c:v>99.88613999999998</c:v>
                </c:pt>
                <c:pt idx="20">
                  <c:v>99.87980999999998</c:v>
                </c:pt>
                <c:pt idx="21">
                  <c:v>99.87393999999995</c:v>
                </c:pt>
                <c:pt idx="22">
                  <c:v>99.8679</c:v>
                </c:pt>
                <c:pt idx="23">
                  <c:v>99.86197000000001</c:v>
                </c:pt>
                <c:pt idx="24">
                  <c:v>99.85586999999998</c:v>
                </c:pt>
                <c:pt idx="25">
                  <c:v>99.84913</c:v>
                </c:pt>
                <c:pt idx="26">
                  <c:v>99.84211</c:v>
                </c:pt>
                <c:pt idx="27">
                  <c:v>99.83502999999997</c:v>
                </c:pt>
                <c:pt idx="28">
                  <c:v>99.82857999999958</c:v>
                </c:pt>
                <c:pt idx="29">
                  <c:v>99.82196</c:v>
                </c:pt>
                <c:pt idx="30">
                  <c:v>99.81529</c:v>
                </c:pt>
                <c:pt idx="31">
                  <c:v>99.80831999999998</c:v>
                </c:pt>
                <c:pt idx="32">
                  <c:v>99.80147</c:v>
                </c:pt>
                <c:pt idx="33">
                  <c:v>99.79451</c:v>
                </c:pt>
                <c:pt idx="34">
                  <c:v>99.78754</c:v>
                </c:pt>
                <c:pt idx="35">
                  <c:v>99.7804</c:v>
                </c:pt>
                <c:pt idx="36">
                  <c:v>99.77297999999985</c:v>
                </c:pt>
                <c:pt idx="37">
                  <c:v>99.76526</c:v>
                </c:pt>
                <c:pt idx="38">
                  <c:v>99.75817999999998</c:v>
                </c:pt>
                <c:pt idx="39">
                  <c:v>99.75133</c:v>
                </c:pt>
                <c:pt idx="40">
                  <c:v>99.74448</c:v>
                </c:pt>
                <c:pt idx="41">
                  <c:v>99.73694</c:v>
                </c:pt>
                <c:pt idx="42">
                  <c:v>99.72963</c:v>
                </c:pt>
                <c:pt idx="43">
                  <c:v>99.72215</c:v>
                </c:pt>
                <c:pt idx="44">
                  <c:v>99.71496</c:v>
                </c:pt>
                <c:pt idx="45">
                  <c:v>99.70753</c:v>
                </c:pt>
                <c:pt idx="46">
                  <c:v>99.69982</c:v>
                </c:pt>
                <c:pt idx="47">
                  <c:v>99.69238999999965</c:v>
                </c:pt>
                <c:pt idx="48">
                  <c:v>99.68542999999998</c:v>
                </c:pt>
                <c:pt idx="49">
                  <c:v>99.6783999999991</c:v>
                </c:pt>
                <c:pt idx="50">
                  <c:v>99.67137999999925</c:v>
                </c:pt>
                <c:pt idx="51">
                  <c:v>99.66396</c:v>
                </c:pt>
                <c:pt idx="52">
                  <c:v>99.65606999999998</c:v>
                </c:pt>
                <c:pt idx="53">
                  <c:v>99.6479</c:v>
                </c:pt>
                <c:pt idx="54">
                  <c:v>99.64036</c:v>
                </c:pt>
                <c:pt idx="55">
                  <c:v>99.63298999999998</c:v>
                </c:pt>
                <c:pt idx="56">
                  <c:v>99.62555999999998</c:v>
                </c:pt>
                <c:pt idx="57">
                  <c:v>99.61888999999998</c:v>
                </c:pt>
                <c:pt idx="58">
                  <c:v>99.61221</c:v>
                </c:pt>
                <c:pt idx="59">
                  <c:v>99.60523999999998</c:v>
                </c:pt>
                <c:pt idx="60">
                  <c:v>99.59765</c:v>
                </c:pt>
                <c:pt idx="61">
                  <c:v>99.58982</c:v>
                </c:pt>
                <c:pt idx="62">
                  <c:v>99.58176</c:v>
                </c:pt>
                <c:pt idx="63">
                  <c:v>99.57416</c:v>
                </c:pt>
                <c:pt idx="64">
                  <c:v>99.56633</c:v>
                </c:pt>
                <c:pt idx="65">
                  <c:v>99.55862</c:v>
                </c:pt>
                <c:pt idx="66">
                  <c:v>99.55102</c:v>
                </c:pt>
                <c:pt idx="67">
                  <c:v>99.54365</c:v>
                </c:pt>
                <c:pt idx="68">
                  <c:v>99.53698</c:v>
                </c:pt>
                <c:pt idx="69">
                  <c:v>99.5299</c:v>
                </c:pt>
                <c:pt idx="70">
                  <c:v>99.52229999999997</c:v>
                </c:pt>
                <c:pt idx="71">
                  <c:v>99.5143</c:v>
                </c:pt>
                <c:pt idx="72">
                  <c:v>99.50618</c:v>
                </c:pt>
                <c:pt idx="73">
                  <c:v>99.49841</c:v>
                </c:pt>
                <c:pt idx="74">
                  <c:v>99.49064</c:v>
                </c:pt>
                <c:pt idx="75">
                  <c:v>99.48274999999998</c:v>
                </c:pt>
                <c:pt idx="76">
                  <c:v>99.47543999999998</c:v>
                </c:pt>
                <c:pt idx="77">
                  <c:v>99.46836</c:v>
                </c:pt>
                <c:pt idx="78">
                  <c:v>99.46105</c:v>
                </c:pt>
                <c:pt idx="79">
                  <c:v>99.45345</c:v>
                </c:pt>
                <c:pt idx="80">
                  <c:v>99.44574</c:v>
                </c:pt>
                <c:pt idx="81">
                  <c:v>99.43832</c:v>
                </c:pt>
                <c:pt idx="82">
                  <c:v>99.43089</c:v>
                </c:pt>
                <c:pt idx="83">
                  <c:v>99.42358</c:v>
                </c:pt>
                <c:pt idx="84">
                  <c:v>99.41581</c:v>
                </c:pt>
                <c:pt idx="85">
                  <c:v>99.40821</c:v>
                </c:pt>
                <c:pt idx="86">
                  <c:v>99.40079</c:v>
                </c:pt>
                <c:pt idx="87">
                  <c:v>99.39365</c:v>
                </c:pt>
                <c:pt idx="88">
                  <c:v>99.38633999999985</c:v>
                </c:pt>
                <c:pt idx="89">
                  <c:v>99.37902999999998</c:v>
                </c:pt>
                <c:pt idx="90">
                  <c:v>99.37148999999998</c:v>
                </c:pt>
                <c:pt idx="91">
                  <c:v>99.36372</c:v>
                </c:pt>
                <c:pt idx="92">
                  <c:v>99.35623</c:v>
                </c:pt>
                <c:pt idx="93">
                  <c:v>99.34863</c:v>
                </c:pt>
                <c:pt idx="94">
                  <c:v>99.34144</c:v>
                </c:pt>
                <c:pt idx="95">
                  <c:v>99.33436</c:v>
                </c:pt>
                <c:pt idx="96">
                  <c:v>99.32757</c:v>
                </c:pt>
                <c:pt idx="97">
                  <c:v>99.32066</c:v>
                </c:pt>
                <c:pt idx="98">
                  <c:v>99.31323</c:v>
                </c:pt>
                <c:pt idx="99">
                  <c:v>99.30552</c:v>
                </c:pt>
                <c:pt idx="100">
                  <c:v>99.29844</c:v>
                </c:pt>
                <c:pt idx="101">
                  <c:v>99.29119</c:v>
                </c:pt>
                <c:pt idx="102">
                  <c:v>99.28382</c:v>
                </c:pt>
                <c:pt idx="103">
                  <c:v>99.27703</c:v>
                </c:pt>
                <c:pt idx="104">
                  <c:v>99.26983000000001</c:v>
                </c:pt>
                <c:pt idx="105">
                  <c:v>99.26281</c:v>
                </c:pt>
                <c:pt idx="106">
                  <c:v>99.25584999999998</c:v>
                </c:pt>
                <c:pt idx="107">
                  <c:v>99.24859</c:v>
                </c:pt>
                <c:pt idx="108">
                  <c:v>99.24105</c:v>
                </c:pt>
                <c:pt idx="109">
                  <c:v>99.23345</c:v>
                </c:pt>
                <c:pt idx="110">
                  <c:v>99.22609</c:v>
                </c:pt>
                <c:pt idx="111">
                  <c:v>99.21912</c:v>
                </c:pt>
                <c:pt idx="112">
                  <c:v>99.21198</c:v>
                </c:pt>
                <c:pt idx="113">
                  <c:v>99.2049</c:v>
                </c:pt>
                <c:pt idx="114">
                  <c:v>99.19777</c:v>
                </c:pt>
                <c:pt idx="115">
                  <c:v>99.19046</c:v>
                </c:pt>
                <c:pt idx="116">
                  <c:v>99.18331999999998</c:v>
                </c:pt>
                <c:pt idx="117">
                  <c:v>99.17588999999907</c:v>
                </c:pt>
                <c:pt idx="118">
                  <c:v>99.16846999999998</c:v>
                </c:pt>
                <c:pt idx="119">
                  <c:v>99.16144</c:v>
                </c:pt>
                <c:pt idx="120">
                  <c:v>99.15430999999998</c:v>
                </c:pt>
                <c:pt idx="121">
                  <c:v>99.14723</c:v>
                </c:pt>
                <c:pt idx="122">
                  <c:v>99.14009</c:v>
                </c:pt>
                <c:pt idx="123">
                  <c:v>99.13324</c:v>
                </c:pt>
                <c:pt idx="124">
                  <c:v>99.12603999999965</c:v>
                </c:pt>
                <c:pt idx="125">
                  <c:v>99.11856</c:v>
                </c:pt>
                <c:pt idx="126">
                  <c:v>99.11119</c:v>
                </c:pt>
                <c:pt idx="127">
                  <c:v>99.10406</c:v>
                </c:pt>
                <c:pt idx="128">
                  <c:v>99.09703</c:v>
                </c:pt>
                <c:pt idx="129">
                  <c:v>99.09018</c:v>
                </c:pt>
                <c:pt idx="130">
                  <c:v>99.0831</c:v>
                </c:pt>
                <c:pt idx="131">
                  <c:v>99.07578999999915</c:v>
                </c:pt>
                <c:pt idx="132">
                  <c:v>99.06866</c:v>
                </c:pt>
                <c:pt idx="133">
                  <c:v>99.06152</c:v>
                </c:pt>
                <c:pt idx="134">
                  <c:v>99.05467</c:v>
                </c:pt>
                <c:pt idx="135">
                  <c:v>99.04816</c:v>
                </c:pt>
                <c:pt idx="136">
                  <c:v>99.04137</c:v>
                </c:pt>
                <c:pt idx="137">
                  <c:v>99.03418</c:v>
                </c:pt>
                <c:pt idx="138">
                  <c:v>99.02697999999998</c:v>
                </c:pt>
                <c:pt idx="139">
                  <c:v>99.01984</c:v>
                </c:pt>
                <c:pt idx="140">
                  <c:v>99.01242</c:v>
                </c:pt>
                <c:pt idx="141">
                  <c:v>99.00533999999985</c:v>
                </c:pt>
                <c:pt idx="142">
                  <c:v>98.99763</c:v>
                </c:pt>
                <c:pt idx="143">
                  <c:v>98.99003</c:v>
                </c:pt>
                <c:pt idx="144">
                  <c:v>98.98254</c:v>
                </c:pt>
                <c:pt idx="145">
                  <c:v>98.97517999999998</c:v>
                </c:pt>
                <c:pt idx="146">
                  <c:v>98.96867</c:v>
                </c:pt>
                <c:pt idx="147">
                  <c:v>98.96222</c:v>
                </c:pt>
                <c:pt idx="148">
                  <c:v>98.95612</c:v>
                </c:pt>
                <c:pt idx="149">
                  <c:v>98.94962</c:v>
                </c:pt>
                <c:pt idx="150">
                  <c:v>98.9426</c:v>
                </c:pt>
                <c:pt idx="151">
                  <c:v>98.93563</c:v>
                </c:pt>
                <c:pt idx="152">
                  <c:v>98.92848999999998</c:v>
                </c:pt>
                <c:pt idx="153">
                  <c:v>98.92136</c:v>
                </c:pt>
                <c:pt idx="154">
                  <c:v>98.91428</c:v>
                </c:pt>
                <c:pt idx="155">
                  <c:v>98.90743</c:v>
                </c:pt>
                <c:pt idx="156">
                  <c:v>98.90023</c:v>
                </c:pt>
                <c:pt idx="157">
                  <c:v>98.89286</c:v>
                </c:pt>
                <c:pt idx="158">
                  <c:v>98.88567</c:v>
                </c:pt>
                <c:pt idx="159">
                  <c:v>98.87829999999998</c:v>
                </c:pt>
                <c:pt idx="160">
                  <c:v>98.87098999999998</c:v>
                </c:pt>
                <c:pt idx="161">
                  <c:v>98.8642</c:v>
                </c:pt>
                <c:pt idx="162">
                  <c:v>98.85729</c:v>
                </c:pt>
                <c:pt idx="163">
                  <c:v>98.85032999999998</c:v>
                </c:pt>
                <c:pt idx="164">
                  <c:v>98.84313</c:v>
                </c:pt>
                <c:pt idx="165">
                  <c:v>98.83605</c:v>
                </c:pt>
                <c:pt idx="166">
                  <c:v>98.82902999999997</c:v>
                </c:pt>
                <c:pt idx="167">
                  <c:v>98.82205999999998</c:v>
                </c:pt>
                <c:pt idx="168">
                  <c:v>98.81503999999998</c:v>
                </c:pt>
                <c:pt idx="169">
                  <c:v>98.80784</c:v>
                </c:pt>
                <c:pt idx="170">
                  <c:v>98.80065</c:v>
                </c:pt>
                <c:pt idx="171">
                  <c:v>98.79311</c:v>
                </c:pt>
                <c:pt idx="172">
                  <c:v>98.78568</c:v>
                </c:pt>
                <c:pt idx="173">
                  <c:v>98.77888999999985</c:v>
                </c:pt>
                <c:pt idx="174">
                  <c:v>98.77203999999985</c:v>
                </c:pt>
                <c:pt idx="175">
                  <c:v>98.76485</c:v>
                </c:pt>
                <c:pt idx="176">
                  <c:v>98.75742</c:v>
                </c:pt>
                <c:pt idx="177">
                  <c:v>98.75005</c:v>
                </c:pt>
                <c:pt idx="178">
                  <c:v>98.74286</c:v>
                </c:pt>
                <c:pt idx="179">
                  <c:v>98.7363</c:v>
                </c:pt>
                <c:pt idx="180">
                  <c:v>98.72962</c:v>
                </c:pt>
                <c:pt idx="181">
                  <c:v>98.72230999999998</c:v>
                </c:pt>
                <c:pt idx="182">
                  <c:v>98.71506</c:v>
                </c:pt>
                <c:pt idx="183">
                  <c:v>98.70792</c:v>
                </c:pt>
                <c:pt idx="184">
                  <c:v>98.70077999999998</c:v>
                </c:pt>
                <c:pt idx="185">
                  <c:v>98.69301</c:v>
                </c:pt>
                <c:pt idx="186">
                  <c:v>98.68540999999995</c:v>
                </c:pt>
                <c:pt idx="187">
                  <c:v>98.67844999999915</c:v>
                </c:pt>
                <c:pt idx="188">
                  <c:v>98.67136999999998</c:v>
                </c:pt>
                <c:pt idx="189">
                  <c:v>98.66446</c:v>
                </c:pt>
                <c:pt idx="190">
                  <c:v>98.65708999999998</c:v>
                </c:pt>
                <c:pt idx="191">
                  <c:v>98.64977999999998</c:v>
                </c:pt>
                <c:pt idx="192">
                  <c:v>98.64235999999998</c:v>
                </c:pt>
                <c:pt idx="193">
                  <c:v>98.63527999999998</c:v>
                </c:pt>
                <c:pt idx="194">
                  <c:v>98.62819999999998</c:v>
                </c:pt>
                <c:pt idx="195">
                  <c:v>98.62163</c:v>
                </c:pt>
                <c:pt idx="196">
                  <c:v>98.61437999999998</c:v>
                </c:pt>
                <c:pt idx="197">
                  <c:v>98.60719</c:v>
                </c:pt>
                <c:pt idx="198">
                  <c:v>98.59993</c:v>
                </c:pt>
                <c:pt idx="199">
                  <c:v>98.59228</c:v>
                </c:pt>
                <c:pt idx="200">
                  <c:v>98.58479</c:v>
                </c:pt>
                <c:pt idx="201">
                  <c:v>98.57747999999998</c:v>
                </c:pt>
                <c:pt idx="202">
                  <c:v>98.57034999999995</c:v>
                </c:pt>
                <c:pt idx="203">
                  <c:v>98.56309</c:v>
                </c:pt>
                <c:pt idx="204">
                  <c:v>98.55583999999975</c:v>
                </c:pt>
                <c:pt idx="205">
                  <c:v>98.54842</c:v>
                </c:pt>
                <c:pt idx="206">
                  <c:v>98.54087000000001</c:v>
                </c:pt>
                <c:pt idx="207">
                  <c:v>98.53378999999998</c:v>
                </c:pt>
                <c:pt idx="208">
                  <c:v>98.52630999999998</c:v>
                </c:pt>
                <c:pt idx="209">
                  <c:v>98.51912</c:v>
                </c:pt>
                <c:pt idx="210">
                  <c:v>98.51181</c:v>
                </c:pt>
                <c:pt idx="211">
                  <c:v>98.50467</c:v>
                </c:pt>
                <c:pt idx="212">
                  <c:v>98.49724</c:v>
                </c:pt>
                <c:pt idx="213">
                  <c:v>98.49016</c:v>
                </c:pt>
                <c:pt idx="214">
                  <c:v>98.48331</c:v>
                </c:pt>
                <c:pt idx="215">
                  <c:v>98.47646</c:v>
                </c:pt>
                <c:pt idx="216">
                  <c:v>98.46933000000001</c:v>
                </c:pt>
                <c:pt idx="217">
                  <c:v>98.46173</c:v>
                </c:pt>
                <c:pt idx="218">
                  <c:v>98.45424</c:v>
                </c:pt>
                <c:pt idx="219">
                  <c:v>98.44659</c:v>
                </c:pt>
                <c:pt idx="220">
                  <c:v>98.43928</c:v>
                </c:pt>
                <c:pt idx="221">
                  <c:v>98.43174</c:v>
                </c:pt>
                <c:pt idx="222">
                  <c:v>98.42408</c:v>
                </c:pt>
                <c:pt idx="223">
                  <c:v>98.41648</c:v>
                </c:pt>
                <c:pt idx="224">
                  <c:v>98.40906</c:v>
                </c:pt>
                <c:pt idx="225">
                  <c:v>98.40152</c:v>
                </c:pt>
                <c:pt idx="226">
                  <c:v>98.39381</c:v>
                </c:pt>
                <c:pt idx="227">
                  <c:v>98.3865</c:v>
                </c:pt>
                <c:pt idx="228">
                  <c:v>98.37900999999998</c:v>
                </c:pt>
                <c:pt idx="229">
                  <c:v>98.37159</c:v>
                </c:pt>
                <c:pt idx="230">
                  <c:v>98.36405</c:v>
                </c:pt>
                <c:pt idx="231">
                  <c:v>98.35651</c:v>
                </c:pt>
                <c:pt idx="232">
                  <c:v>98.34914</c:v>
                </c:pt>
                <c:pt idx="233">
                  <c:v>98.34165</c:v>
                </c:pt>
                <c:pt idx="234">
                  <c:v>98.33411</c:v>
                </c:pt>
                <c:pt idx="235">
                  <c:v>98.32656999999997</c:v>
                </c:pt>
                <c:pt idx="236">
                  <c:v>98.31937999999998</c:v>
                </c:pt>
                <c:pt idx="237">
                  <c:v>98.31224</c:v>
                </c:pt>
                <c:pt idx="238">
                  <c:v>98.30504999999998</c:v>
                </c:pt>
                <c:pt idx="239">
                  <c:v>98.29762</c:v>
                </c:pt>
                <c:pt idx="240">
                  <c:v>98.28985</c:v>
                </c:pt>
                <c:pt idx="241">
                  <c:v>98.28242</c:v>
                </c:pt>
                <c:pt idx="242">
                  <c:v>98.275</c:v>
                </c:pt>
                <c:pt idx="243">
                  <c:v>98.26746</c:v>
                </c:pt>
                <c:pt idx="244">
                  <c:v>98.2598</c:v>
                </c:pt>
                <c:pt idx="245">
                  <c:v>98.2522</c:v>
                </c:pt>
                <c:pt idx="246">
                  <c:v>98.24484</c:v>
                </c:pt>
                <c:pt idx="247">
                  <c:v>98.23787</c:v>
                </c:pt>
                <c:pt idx="248">
                  <c:v>98.23068</c:v>
                </c:pt>
                <c:pt idx="249">
                  <c:v>98.22370999999998</c:v>
                </c:pt>
                <c:pt idx="250">
                  <c:v>98.21629</c:v>
                </c:pt>
                <c:pt idx="251">
                  <c:v>98.20915</c:v>
                </c:pt>
                <c:pt idx="252">
                  <c:v>98.20161</c:v>
                </c:pt>
                <c:pt idx="253">
                  <c:v>98.1947</c:v>
                </c:pt>
                <c:pt idx="254">
                  <c:v>98.18640999999998</c:v>
                </c:pt>
                <c:pt idx="255">
                  <c:v>98.17898999999925</c:v>
                </c:pt>
                <c:pt idx="256">
                  <c:v>98.17190999999998</c:v>
                </c:pt>
                <c:pt idx="257">
                  <c:v>98.1646</c:v>
                </c:pt>
                <c:pt idx="258">
                  <c:v>98.15711</c:v>
                </c:pt>
                <c:pt idx="259">
                  <c:v>98.1498</c:v>
                </c:pt>
                <c:pt idx="260">
                  <c:v>98.14232</c:v>
                </c:pt>
                <c:pt idx="261">
                  <c:v>98.13477999999998</c:v>
                </c:pt>
                <c:pt idx="262">
                  <c:v>98.12741</c:v>
                </c:pt>
                <c:pt idx="263">
                  <c:v>98.11993</c:v>
                </c:pt>
                <c:pt idx="264">
                  <c:v>98.11272999999998</c:v>
                </c:pt>
                <c:pt idx="265">
                  <c:v>98.10547999999935</c:v>
                </c:pt>
                <c:pt idx="266">
                  <c:v>98.09811</c:v>
                </c:pt>
                <c:pt idx="267">
                  <c:v>98.09069</c:v>
                </c:pt>
                <c:pt idx="268">
                  <c:v>98.08315</c:v>
                </c:pt>
                <c:pt idx="269">
                  <c:v>98.07588999999948</c:v>
                </c:pt>
                <c:pt idx="270">
                  <c:v>98.06818</c:v>
                </c:pt>
                <c:pt idx="271">
                  <c:v>98.06058</c:v>
                </c:pt>
                <c:pt idx="272">
                  <c:v>98.05321</c:v>
                </c:pt>
                <c:pt idx="273">
                  <c:v>98.0459</c:v>
                </c:pt>
                <c:pt idx="274">
                  <c:v>98.039</c:v>
                </c:pt>
                <c:pt idx="275">
                  <c:v>98.03203</c:v>
                </c:pt>
                <c:pt idx="276">
                  <c:v>98.02484</c:v>
                </c:pt>
                <c:pt idx="277">
                  <c:v>98.0173</c:v>
                </c:pt>
                <c:pt idx="278">
                  <c:v>98.00947</c:v>
                </c:pt>
                <c:pt idx="279">
                  <c:v>98.00193</c:v>
                </c:pt>
                <c:pt idx="280">
                  <c:v>97.99473</c:v>
                </c:pt>
                <c:pt idx="281">
                  <c:v>97.98731</c:v>
                </c:pt>
                <c:pt idx="282">
                  <c:v>97.97970999999998</c:v>
                </c:pt>
                <c:pt idx="283">
                  <c:v>97.97239999999998</c:v>
                </c:pt>
                <c:pt idx="284">
                  <c:v>97.96486</c:v>
                </c:pt>
                <c:pt idx="285">
                  <c:v>97.95755</c:v>
                </c:pt>
                <c:pt idx="286">
                  <c:v>97.95006</c:v>
                </c:pt>
                <c:pt idx="287">
                  <c:v>97.94281</c:v>
                </c:pt>
                <c:pt idx="288">
                  <c:v>97.93556</c:v>
                </c:pt>
                <c:pt idx="289">
                  <c:v>97.92842</c:v>
                </c:pt>
                <c:pt idx="290">
                  <c:v>97.92128</c:v>
                </c:pt>
                <c:pt idx="291">
                  <c:v>97.91415</c:v>
                </c:pt>
                <c:pt idx="292">
                  <c:v>97.90666</c:v>
                </c:pt>
                <c:pt idx="293">
                  <c:v>97.89912</c:v>
                </c:pt>
                <c:pt idx="294">
                  <c:v>97.89181</c:v>
                </c:pt>
                <c:pt idx="295">
                  <c:v>97.8845</c:v>
                </c:pt>
                <c:pt idx="296">
                  <c:v>97.87702</c:v>
                </c:pt>
                <c:pt idx="297">
                  <c:v>97.86987999999998</c:v>
                </c:pt>
                <c:pt idx="298">
                  <c:v>97.86279999999998</c:v>
                </c:pt>
                <c:pt idx="299">
                  <c:v>97.85554999999998</c:v>
                </c:pt>
                <c:pt idx="300">
                  <c:v>97.84824</c:v>
                </c:pt>
                <c:pt idx="301">
                  <c:v>97.84070000000001</c:v>
                </c:pt>
                <c:pt idx="302">
                  <c:v>97.83303999999998</c:v>
                </c:pt>
                <c:pt idx="303">
                  <c:v>97.82562</c:v>
                </c:pt>
                <c:pt idx="304">
                  <c:v>97.81819</c:v>
                </c:pt>
                <c:pt idx="305">
                  <c:v>97.81077</c:v>
                </c:pt>
                <c:pt idx="306">
                  <c:v>97.80298999999998</c:v>
                </c:pt>
                <c:pt idx="307">
                  <c:v>97.79551</c:v>
                </c:pt>
                <c:pt idx="308">
                  <c:v>97.78866</c:v>
                </c:pt>
                <c:pt idx="309">
                  <c:v>97.78198</c:v>
                </c:pt>
                <c:pt idx="310">
                  <c:v>97.7749</c:v>
                </c:pt>
                <c:pt idx="311">
                  <c:v>97.76788</c:v>
                </c:pt>
                <c:pt idx="312">
                  <c:v>97.76046</c:v>
                </c:pt>
                <c:pt idx="313">
                  <c:v>97.75332</c:v>
                </c:pt>
                <c:pt idx="314">
                  <c:v>97.74601</c:v>
                </c:pt>
                <c:pt idx="315">
                  <c:v>97.73876</c:v>
                </c:pt>
                <c:pt idx="316">
                  <c:v>97.73127</c:v>
                </c:pt>
                <c:pt idx="317">
                  <c:v>97.72408</c:v>
                </c:pt>
                <c:pt idx="318">
                  <c:v>97.717</c:v>
                </c:pt>
                <c:pt idx="319">
                  <c:v>97.70975</c:v>
                </c:pt>
                <c:pt idx="320">
                  <c:v>97.7022</c:v>
                </c:pt>
                <c:pt idx="321">
                  <c:v>97.69455</c:v>
                </c:pt>
                <c:pt idx="322">
                  <c:v>97.68734999999998</c:v>
                </c:pt>
                <c:pt idx="323">
                  <c:v>97.67992999999998</c:v>
                </c:pt>
                <c:pt idx="324">
                  <c:v>97.67249999999925</c:v>
                </c:pt>
                <c:pt idx="325">
                  <c:v>97.66576999999998</c:v>
                </c:pt>
                <c:pt idx="326">
                  <c:v>97.65879999999925</c:v>
                </c:pt>
                <c:pt idx="327">
                  <c:v>97.65143999999998</c:v>
                </c:pt>
                <c:pt idx="328">
                  <c:v>97.64366</c:v>
                </c:pt>
                <c:pt idx="329">
                  <c:v>97.63624</c:v>
                </c:pt>
                <c:pt idx="330">
                  <c:v>97.62909999999998</c:v>
                </c:pt>
                <c:pt idx="331">
                  <c:v>97.62156</c:v>
                </c:pt>
                <c:pt idx="332">
                  <c:v>97.61442</c:v>
                </c:pt>
                <c:pt idx="333">
                  <c:v>97.60630999999998</c:v>
                </c:pt>
                <c:pt idx="334">
                  <c:v>97.59894</c:v>
                </c:pt>
                <c:pt idx="335">
                  <c:v>97.59197</c:v>
                </c:pt>
                <c:pt idx="336">
                  <c:v>97.58512</c:v>
                </c:pt>
                <c:pt idx="337">
                  <c:v>97.57809999999998</c:v>
                </c:pt>
                <c:pt idx="338">
                  <c:v>97.57091</c:v>
                </c:pt>
                <c:pt idx="339">
                  <c:v>97.56365</c:v>
                </c:pt>
                <c:pt idx="340">
                  <c:v>97.55623000000001</c:v>
                </c:pt>
                <c:pt idx="341">
                  <c:v>97.54892</c:v>
                </c:pt>
                <c:pt idx="342">
                  <c:v>97.54155</c:v>
                </c:pt>
                <c:pt idx="343">
                  <c:v>97.53413</c:v>
                </c:pt>
                <c:pt idx="344">
                  <c:v>97.52646999999997</c:v>
                </c:pt>
                <c:pt idx="345">
                  <c:v>97.5187</c:v>
                </c:pt>
                <c:pt idx="346">
                  <c:v>97.51133</c:v>
                </c:pt>
                <c:pt idx="347">
                  <c:v>97.50373</c:v>
                </c:pt>
                <c:pt idx="348">
                  <c:v>97.49648</c:v>
                </c:pt>
                <c:pt idx="349">
                  <c:v>97.48934</c:v>
                </c:pt>
                <c:pt idx="350">
                  <c:v>97.48209</c:v>
                </c:pt>
                <c:pt idx="351">
                  <c:v>97.47489</c:v>
                </c:pt>
                <c:pt idx="352">
                  <c:v>97.46724</c:v>
                </c:pt>
                <c:pt idx="353">
                  <c:v>97.45987</c:v>
                </c:pt>
                <c:pt idx="354">
                  <c:v>97.4525</c:v>
                </c:pt>
                <c:pt idx="355">
                  <c:v>97.44514</c:v>
                </c:pt>
                <c:pt idx="356">
                  <c:v>97.43794</c:v>
                </c:pt>
                <c:pt idx="357">
                  <c:v>97.43092</c:v>
                </c:pt>
                <c:pt idx="358">
                  <c:v>97.42372</c:v>
                </c:pt>
                <c:pt idx="359">
                  <c:v>97.41687</c:v>
                </c:pt>
                <c:pt idx="360">
                  <c:v>97.4106</c:v>
                </c:pt>
                <c:pt idx="361">
                  <c:v>97.40386</c:v>
                </c:pt>
                <c:pt idx="362">
                  <c:v>97.39637999999998</c:v>
                </c:pt>
                <c:pt idx="363">
                  <c:v>97.38854999999998</c:v>
                </c:pt>
                <c:pt idx="364">
                  <c:v>97.38095</c:v>
                </c:pt>
                <c:pt idx="365">
                  <c:v>97.37375999999985</c:v>
                </c:pt>
                <c:pt idx="366">
                  <c:v>97.36633</c:v>
                </c:pt>
                <c:pt idx="367">
                  <c:v>97.35884999999985</c:v>
                </c:pt>
                <c:pt idx="368">
                  <c:v>97.3516</c:v>
                </c:pt>
                <c:pt idx="369">
                  <c:v>97.34463</c:v>
                </c:pt>
                <c:pt idx="370">
                  <c:v>97.33761</c:v>
                </c:pt>
                <c:pt idx="371">
                  <c:v>97.33024</c:v>
                </c:pt>
                <c:pt idx="372">
                  <c:v>97.32263999999998</c:v>
                </c:pt>
                <c:pt idx="373">
                  <c:v>97.31499</c:v>
                </c:pt>
                <c:pt idx="374">
                  <c:v>97.30733</c:v>
                </c:pt>
                <c:pt idx="375">
                  <c:v>97.3002</c:v>
                </c:pt>
                <c:pt idx="376">
                  <c:v>97.29312</c:v>
                </c:pt>
                <c:pt idx="377">
                  <c:v>97.28621</c:v>
                </c:pt>
                <c:pt idx="378">
                  <c:v>97.27896</c:v>
                </c:pt>
                <c:pt idx="379">
                  <c:v>97.27159</c:v>
                </c:pt>
                <c:pt idx="380">
                  <c:v>97.26422</c:v>
                </c:pt>
                <c:pt idx="381">
                  <c:v>97.25697</c:v>
                </c:pt>
                <c:pt idx="382">
                  <c:v>97.24977000000001</c:v>
                </c:pt>
                <c:pt idx="383">
                  <c:v>97.24235</c:v>
                </c:pt>
                <c:pt idx="384">
                  <c:v>97.23509</c:v>
                </c:pt>
                <c:pt idx="385">
                  <c:v>97.2279</c:v>
                </c:pt>
                <c:pt idx="386">
                  <c:v>97.22053</c:v>
                </c:pt>
                <c:pt idx="387">
                  <c:v>97.21299</c:v>
                </c:pt>
                <c:pt idx="388">
                  <c:v>97.20551</c:v>
                </c:pt>
                <c:pt idx="389">
                  <c:v>97.1982</c:v>
                </c:pt>
                <c:pt idx="390">
                  <c:v>97.19112</c:v>
                </c:pt>
                <c:pt idx="391">
                  <c:v>97.18357999999998</c:v>
                </c:pt>
                <c:pt idx="392">
                  <c:v>97.17637999999903</c:v>
                </c:pt>
                <c:pt idx="393">
                  <c:v>97.16942</c:v>
                </c:pt>
                <c:pt idx="394">
                  <c:v>97.16262</c:v>
                </c:pt>
                <c:pt idx="395">
                  <c:v>97.15553999999958</c:v>
                </c:pt>
                <c:pt idx="396">
                  <c:v>97.14857999999998</c:v>
                </c:pt>
                <c:pt idx="397">
                  <c:v>97.14219</c:v>
                </c:pt>
                <c:pt idx="398">
                  <c:v>97.13487999999998</c:v>
                </c:pt>
                <c:pt idx="399">
                  <c:v>97.12773999999965</c:v>
                </c:pt>
                <c:pt idx="400">
                  <c:v>97.12088999999965</c:v>
                </c:pt>
                <c:pt idx="401">
                  <c:v>97.1141</c:v>
                </c:pt>
                <c:pt idx="402">
                  <c:v>97.10667</c:v>
                </c:pt>
                <c:pt idx="403">
                  <c:v>97.09913</c:v>
                </c:pt>
                <c:pt idx="404">
                  <c:v>97.09177</c:v>
                </c:pt>
                <c:pt idx="405">
                  <c:v>97.08463</c:v>
                </c:pt>
                <c:pt idx="406">
                  <c:v>97.07737999999995</c:v>
                </c:pt>
                <c:pt idx="407">
                  <c:v>97.07029999999997</c:v>
                </c:pt>
                <c:pt idx="408">
                  <c:v>97.0631</c:v>
                </c:pt>
                <c:pt idx="409">
                  <c:v>97.05602</c:v>
                </c:pt>
                <c:pt idx="410">
                  <c:v>97.04894</c:v>
                </c:pt>
                <c:pt idx="411">
                  <c:v>97.04151</c:v>
                </c:pt>
                <c:pt idx="412">
                  <c:v>97.03472</c:v>
                </c:pt>
                <c:pt idx="413">
                  <c:v>97.02799</c:v>
                </c:pt>
                <c:pt idx="414">
                  <c:v>97.0216</c:v>
                </c:pt>
                <c:pt idx="415">
                  <c:v>97.01463</c:v>
                </c:pt>
                <c:pt idx="416">
                  <c:v>97.00727</c:v>
                </c:pt>
                <c:pt idx="417">
                  <c:v>96.99984</c:v>
                </c:pt>
                <c:pt idx="418">
                  <c:v>96.99288</c:v>
                </c:pt>
                <c:pt idx="419">
                  <c:v>96.98573999999998</c:v>
                </c:pt>
                <c:pt idx="420">
                  <c:v>96.97847999999995</c:v>
                </c:pt>
                <c:pt idx="421">
                  <c:v>96.97123</c:v>
                </c:pt>
                <c:pt idx="422">
                  <c:v>96.96415</c:v>
                </c:pt>
                <c:pt idx="423">
                  <c:v>96.95707</c:v>
                </c:pt>
                <c:pt idx="424">
                  <c:v>96.95109</c:v>
                </c:pt>
                <c:pt idx="425">
                  <c:v>96.94487</c:v>
                </c:pt>
                <c:pt idx="426">
                  <c:v>96.93802</c:v>
                </c:pt>
                <c:pt idx="427">
                  <c:v>96.93134</c:v>
                </c:pt>
                <c:pt idx="428">
                  <c:v>96.92432</c:v>
                </c:pt>
                <c:pt idx="429">
                  <c:v>96.91753000000002</c:v>
                </c:pt>
                <c:pt idx="430">
                  <c:v>96.91033</c:v>
                </c:pt>
                <c:pt idx="431">
                  <c:v>96.90278999999998</c:v>
                </c:pt>
                <c:pt idx="432">
                  <c:v>96.89553999999998</c:v>
                </c:pt>
                <c:pt idx="433">
                  <c:v>96.88879999999975</c:v>
                </c:pt>
                <c:pt idx="434">
                  <c:v>96.88287999999935</c:v>
                </c:pt>
                <c:pt idx="435">
                  <c:v>96.87653999999995</c:v>
                </c:pt>
                <c:pt idx="436">
                  <c:v>96.86941</c:v>
                </c:pt>
                <c:pt idx="437">
                  <c:v>96.86203999999998</c:v>
                </c:pt>
                <c:pt idx="438">
                  <c:v>96.85496</c:v>
                </c:pt>
                <c:pt idx="439">
                  <c:v>96.84822</c:v>
                </c:pt>
                <c:pt idx="440">
                  <c:v>96.84155</c:v>
                </c:pt>
                <c:pt idx="441">
                  <c:v>96.83458</c:v>
                </c:pt>
                <c:pt idx="442">
                  <c:v>96.82756</c:v>
                </c:pt>
                <c:pt idx="443">
                  <c:v>96.82047999999975</c:v>
                </c:pt>
                <c:pt idx="444">
                  <c:v>96.81363</c:v>
                </c:pt>
                <c:pt idx="445">
                  <c:v>96.80672</c:v>
                </c:pt>
                <c:pt idx="446">
                  <c:v>96.79953</c:v>
                </c:pt>
                <c:pt idx="447">
                  <c:v>96.79296</c:v>
                </c:pt>
                <c:pt idx="448">
                  <c:v>96.78617000000001</c:v>
                </c:pt>
                <c:pt idx="449">
                  <c:v>96.77948999999998</c:v>
                </c:pt>
                <c:pt idx="450">
                  <c:v>96.77298999999998</c:v>
                </c:pt>
                <c:pt idx="451">
                  <c:v>96.7666</c:v>
                </c:pt>
                <c:pt idx="452">
                  <c:v>96.7601</c:v>
                </c:pt>
                <c:pt idx="453">
                  <c:v>96.75342</c:v>
                </c:pt>
                <c:pt idx="454">
                  <c:v>96.74686</c:v>
                </c:pt>
                <c:pt idx="455">
                  <c:v>96.74024</c:v>
                </c:pt>
                <c:pt idx="456">
                  <c:v>96.73356</c:v>
                </c:pt>
                <c:pt idx="457">
                  <c:v>96.72717</c:v>
                </c:pt>
                <c:pt idx="458">
                  <c:v>96.72055</c:v>
                </c:pt>
                <c:pt idx="459">
                  <c:v>96.7137</c:v>
                </c:pt>
                <c:pt idx="460">
                  <c:v>96.70668</c:v>
                </c:pt>
                <c:pt idx="461">
                  <c:v>96.69988999999998</c:v>
                </c:pt>
                <c:pt idx="462">
                  <c:v>96.6931</c:v>
                </c:pt>
                <c:pt idx="463">
                  <c:v>96.68681999999998</c:v>
                </c:pt>
                <c:pt idx="464">
                  <c:v>96.67990999999998</c:v>
                </c:pt>
                <c:pt idx="465">
                  <c:v>96.67323999999998</c:v>
                </c:pt>
                <c:pt idx="466">
                  <c:v>96.66684999999998</c:v>
                </c:pt>
                <c:pt idx="467">
                  <c:v>96.65993999999998</c:v>
                </c:pt>
                <c:pt idx="468">
                  <c:v>96.65296999999998</c:v>
                </c:pt>
                <c:pt idx="469">
                  <c:v>96.64659</c:v>
                </c:pt>
                <c:pt idx="470">
                  <c:v>96.64002</c:v>
                </c:pt>
                <c:pt idx="471">
                  <c:v>96.63346</c:v>
                </c:pt>
                <c:pt idx="472">
                  <c:v>96.62719</c:v>
                </c:pt>
                <c:pt idx="473">
                  <c:v>96.62131999999998</c:v>
                </c:pt>
                <c:pt idx="474">
                  <c:v>96.61521</c:v>
                </c:pt>
                <c:pt idx="475">
                  <c:v>96.60847999999935</c:v>
                </c:pt>
                <c:pt idx="476">
                  <c:v>96.60169</c:v>
                </c:pt>
                <c:pt idx="477">
                  <c:v>96.59501</c:v>
                </c:pt>
                <c:pt idx="478">
                  <c:v>96.58827999999998</c:v>
                </c:pt>
                <c:pt idx="479">
                  <c:v>96.58143</c:v>
                </c:pt>
                <c:pt idx="480">
                  <c:v>96.57446</c:v>
                </c:pt>
                <c:pt idx="481">
                  <c:v>96.56773</c:v>
                </c:pt>
                <c:pt idx="482">
                  <c:v>96.56105</c:v>
                </c:pt>
                <c:pt idx="483">
                  <c:v>96.55466</c:v>
                </c:pt>
                <c:pt idx="484">
                  <c:v>96.5485</c:v>
                </c:pt>
                <c:pt idx="485">
                  <c:v>96.5424</c:v>
                </c:pt>
                <c:pt idx="486">
                  <c:v>96.53624</c:v>
                </c:pt>
                <c:pt idx="487">
                  <c:v>96.52973999999985</c:v>
                </c:pt>
                <c:pt idx="488">
                  <c:v>96.52329</c:v>
                </c:pt>
                <c:pt idx="489">
                  <c:v>96.5169</c:v>
                </c:pt>
                <c:pt idx="490">
                  <c:v>96.51063</c:v>
                </c:pt>
                <c:pt idx="491">
                  <c:v>96.50412</c:v>
                </c:pt>
                <c:pt idx="492">
                  <c:v>96.49721</c:v>
                </c:pt>
                <c:pt idx="493">
                  <c:v>96.49048</c:v>
                </c:pt>
                <c:pt idx="494">
                  <c:v>96.48386</c:v>
                </c:pt>
                <c:pt idx="495">
                  <c:v>96.47753</c:v>
                </c:pt>
                <c:pt idx="496">
                  <c:v>96.47131</c:v>
                </c:pt>
                <c:pt idx="497">
                  <c:v>96.46521</c:v>
                </c:pt>
                <c:pt idx="498">
                  <c:v>96.4594</c:v>
                </c:pt>
                <c:pt idx="499">
                  <c:v>96.45335</c:v>
                </c:pt>
                <c:pt idx="500">
                  <c:v>96.44685</c:v>
                </c:pt>
                <c:pt idx="501">
                  <c:v>96.44011</c:v>
                </c:pt>
                <c:pt idx="502">
                  <c:v>96.43349</c:v>
                </c:pt>
                <c:pt idx="503">
                  <c:v>96.42705</c:v>
                </c:pt>
                <c:pt idx="504">
                  <c:v>96.42071</c:v>
                </c:pt>
                <c:pt idx="505">
                  <c:v>96.41432</c:v>
                </c:pt>
                <c:pt idx="506">
                  <c:v>96.40811</c:v>
                </c:pt>
                <c:pt idx="507">
                  <c:v>96.40189</c:v>
                </c:pt>
                <c:pt idx="508">
                  <c:v>96.39602</c:v>
                </c:pt>
                <c:pt idx="509">
                  <c:v>96.38979999999998</c:v>
                </c:pt>
                <c:pt idx="510">
                  <c:v>96.38346999999997</c:v>
                </c:pt>
                <c:pt idx="511">
                  <c:v>96.37690999999998</c:v>
                </c:pt>
                <c:pt idx="512">
                  <c:v>96.37023</c:v>
                </c:pt>
                <c:pt idx="513">
                  <c:v>96.36337999999998</c:v>
                </c:pt>
                <c:pt idx="514">
                  <c:v>96.35705</c:v>
                </c:pt>
                <c:pt idx="515">
                  <c:v>96.35077999999935</c:v>
                </c:pt>
                <c:pt idx="516">
                  <c:v>96.34445</c:v>
                </c:pt>
                <c:pt idx="517">
                  <c:v>96.33833999999958</c:v>
                </c:pt>
                <c:pt idx="518">
                  <c:v>96.33235999999998</c:v>
                </c:pt>
                <c:pt idx="519">
                  <c:v>96.32630999999998</c:v>
                </c:pt>
                <c:pt idx="520">
                  <c:v>96.32021</c:v>
                </c:pt>
                <c:pt idx="521">
                  <c:v>96.31387999999998</c:v>
                </c:pt>
                <c:pt idx="522">
                  <c:v>96.30795</c:v>
                </c:pt>
                <c:pt idx="523">
                  <c:v>96.30178999999998</c:v>
                </c:pt>
                <c:pt idx="524">
                  <c:v>96.29558</c:v>
                </c:pt>
                <c:pt idx="525">
                  <c:v>96.28913</c:v>
                </c:pt>
                <c:pt idx="526">
                  <c:v>96.28273999999985</c:v>
                </c:pt>
                <c:pt idx="527">
                  <c:v>96.27641</c:v>
                </c:pt>
                <c:pt idx="528">
                  <c:v>96.27025</c:v>
                </c:pt>
                <c:pt idx="529">
                  <c:v>96.26415</c:v>
                </c:pt>
                <c:pt idx="530">
                  <c:v>96.25816</c:v>
                </c:pt>
                <c:pt idx="531">
                  <c:v>96.25189</c:v>
                </c:pt>
                <c:pt idx="532">
                  <c:v>96.24573</c:v>
                </c:pt>
                <c:pt idx="533">
                  <c:v>96.23928</c:v>
                </c:pt>
                <c:pt idx="534">
                  <c:v>96.23318</c:v>
                </c:pt>
                <c:pt idx="535">
                  <c:v>96.22685</c:v>
                </c:pt>
                <c:pt idx="536">
                  <c:v>96.22033999999998</c:v>
                </c:pt>
                <c:pt idx="537">
                  <c:v>96.2139</c:v>
                </c:pt>
                <c:pt idx="538">
                  <c:v>96.20785</c:v>
                </c:pt>
                <c:pt idx="539">
                  <c:v>96.20181</c:v>
                </c:pt>
                <c:pt idx="540">
                  <c:v>96.19598999999998</c:v>
                </c:pt>
                <c:pt idx="541">
                  <c:v>96.19007</c:v>
                </c:pt>
                <c:pt idx="542">
                  <c:v>96.18414</c:v>
                </c:pt>
                <c:pt idx="543">
                  <c:v>96.17774999999965</c:v>
                </c:pt>
                <c:pt idx="544">
                  <c:v>96.17152999999997</c:v>
                </c:pt>
                <c:pt idx="545">
                  <c:v>96.1652</c:v>
                </c:pt>
                <c:pt idx="546">
                  <c:v>96.15921</c:v>
                </c:pt>
                <c:pt idx="547">
                  <c:v>96.15323</c:v>
                </c:pt>
                <c:pt idx="548">
                  <c:v>96.14747000000001</c:v>
                </c:pt>
                <c:pt idx="549">
                  <c:v>96.14154</c:v>
                </c:pt>
                <c:pt idx="550">
                  <c:v>96.13543999999958</c:v>
                </c:pt>
                <c:pt idx="551">
                  <c:v>96.12916999999997</c:v>
                </c:pt>
                <c:pt idx="552">
                  <c:v>96.12282999999998</c:v>
                </c:pt>
                <c:pt idx="553">
                  <c:v>96.11662</c:v>
                </c:pt>
                <c:pt idx="554">
                  <c:v>96.11057</c:v>
                </c:pt>
                <c:pt idx="555">
                  <c:v>96.10459</c:v>
                </c:pt>
                <c:pt idx="556">
                  <c:v>96.09876999999997</c:v>
                </c:pt>
                <c:pt idx="557">
                  <c:v>96.09283999999998</c:v>
                </c:pt>
                <c:pt idx="558">
                  <c:v>96.08669</c:v>
                </c:pt>
                <c:pt idx="559">
                  <c:v>96.08053</c:v>
                </c:pt>
                <c:pt idx="560">
                  <c:v>96.07483</c:v>
                </c:pt>
                <c:pt idx="561">
                  <c:v>96.06907</c:v>
                </c:pt>
                <c:pt idx="562">
                  <c:v>96.06314</c:v>
                </c:pt>
                <c:pt idx="563">
                  <c:v>96.05744</c:v>
                </c:pt>
                <c:pt idx="564">
                  <c:v>96.05128</c:v>
                </c:pt>
                <c:pt idx="565">
                  <c:v>96.04524</c:v>
                </c:pt>
                <c:pt idx="566">
                  <c:v>96.03914</c:v>
                </c:pt>
                <c:pt idx="567">
                  <c:v>96.03297999999998</c:v>
                </c:pt>
                <c:pt idx="568">
                  <c:v>96.02699</c:v>
                </c:pt>
                <c:pt idx="569">
                  <c:v>96.02118</c:v>
                </c:pt>
                <c:pt idx="570">
                  <c:v>96.01502</c:v>
                </c:pt>
                <c:pt idx="571">
                  <c:v>96.00897999999998</c:v>
                </c:pt>
                <c:pt idx="572">
                  <c:v>96.00345</c:v>
                </c:pt>
                <c:pt idx="573">
                  <c:v>95.99839</c:v>
                </c:pt>
                <c:pt idx="574">
                  <c:v>95.99188</c:v>
                </c:pt>
                <c:pt idx="575">
                  <c:v>95.98583999999998</c:v>
                </c:pt>
                <c:pt idx="576">
                  <c:v>95.97968</c:v>
                </c:pt>
                <c:pt idx="577">
                  <c:v>95.97381</c:v>
                </c:pt>
                <c:pt idx="578">
                  <c:v>95.96794</c:v>
                </c:pt>
                <c:pt idx="579">
                  <c:v>95.96201</c:v>
                </c:pt>
                <c:pt idx="580">
                  <c:v>95.95625</c:v>
                </c:pt>
                <c:pt idx="581">
                  <c:v>95.95061</c:v>
                </c:pt>
                <c:pt idx="582">
                  <c:v>95.94474</c:v>
                </c:pt>
                <c:pt idx="583">
                  <c:v>95.93869</c:v>
                </c:pt>
                <c:pt idx="584">
                  <c:v>95.93184</c:v>
                </c:pt>
                <c:pt idx="585">
                  <c:v>95.92573999999995</c:v>
                </c:pt>
                <c:pt idx="586">
                  <c:v>95.9193</c:v>
                </c:pt>
                <c:pt idx="587">
                  <c:v>95.91291</c:v>
                </c:pt>
                <c:pt idx="588">
                  <c:v>95.90646</c:v>
                </c:pt>
                <c:pt idx="589">
                  <c:v>95.90105</c:v>
                </c:pt>
                <c:pt idx="590">
                  <c:v>95.89552</c:v>
                </c:pt>
                <c:pt idx="591">
                  <c:v>95.88982999999997</c:v>
                </c:pt>
                <c:pt idx="592">
                  <c:v>95.8843</c:v>
                </c:pt>
                <c:pt idx="593">
                  <c:v>95.87768</c:v>
                </c:pt>
                <c:pt idx="594">
                  <c:v>95.87146</c:v>
                </c:pt>
                <c:pt idx="595">
                  <c:v>95.86570999999998</c:v>
                </c:pt>
                <c:pt idx="596">
                  <c:v>95.85988999999998</c:v>
                </c:pt>
                <c:pt idx="597">
                  <c:v>95.85391</c:v>
                </c:pt>
                <c:pt idx="598">
                  <c:v>95.84855</c:v>
                </c:pt>
                <c:pt idx="599">
                  <c:v>95.84279999999998</c:v>
                </c:pt>
                <c:pt idx="600">
                  <c:v>95.83658</c:v>
                </c:pt>
                <c:pt idx="601">
                  <c:v>95.83036</c:v>
                </c:pt>
                <c:pt idx="602">
                  <c:v>95.82421</c:v>
                </c:pt>
                <c:pt idx="603">
                  <c:v>95.81828</c:v>
                </c:pt>
                <c:pt idx="604">
                  <c:v>95.81264</c:v>
                </c:pt>
                <c:pt idx="605">
                  <c:v>95.80717000000001</c:v>
                </c:pt>
                <c:pt idx="606">
                  <c:v>95.80153</c:v>
                </c:pt>
                <c:pt idx="607">
                  <c:v>95.79577</c:v>
                </c:pt>
                <c:pt idx="608">
                  <c:v>95.78977999999998</c:v>
                </c:pt>
                <c:pt idx="609">
                  <c:v>95.78391</c:v>
                </c:pt>
                <c:pt idx="610">
                  <c:v>95.77827</c:v>
                </c:pt>
                <c:pt idx="611">
                  <c:v>95.77216999999997</c:v>
                </c:pt>
                <c:pt idx="612">
                  <c:v>95.7663</c:v>
                </c:pt>
                <c:pt idx="613">
                  <c:v>95.76048</c:v>
                </c:pt>
                <c:pt idx="614">
                  <c:v>95.75467</c:v>
                </c:pt>
                <c:pt idx="615">
                  <c:v>95.74926</c:v>
                </c:pt>
                <c:pt idx="616">
                  <c:v>95.74385</c:v>
                </c:pt>
                <c:pt idx="617">
                  <c:v>95.73775</c:v>
                </c:pt>
                <c:pt idx="618">
                  <c:v>95.73147</c:v>
                </c:pt>
                <c:pt idx="619">
                  <c:v>95.72566</c:v>
                </c:pt>
                <c:pt idx="620">
                  <c:v>95.72013</c:v>
                </c:pt>
                <c:pt idx="621">
                  <c:v>95.71432</c:v>
                </c:pt>
                <c:pt idx="622">
                  <c:v>95.70838999999998</c:v>
                </c:pt>
                <c:pt idx="623">
                  <c:v>95.70217</c:v>
                </c:pt>
                <c:pt idx="624">
                  <c:v>95.69653</c:v>
                </c:pt>
                <c:pt idx="625">
                  <c:v>95.69048999999998</c:v>
                </c:pt>
                <c:pt idx="626">
                  <c:v>95.68472999999997</c:v>
                </c:pt>
                <c:pt idx="627">
                  <c:v>95.67903999999938</c:v>
                </c:pt>
                <c:pt idx="628">
                  <c:v>95.67373999999907</c:v>
                </c:pt>
                <c:pt idx="629">
                  <c:v>95.66856</c:v>
                </c:pt>
                <c:pt idx="630">
                  <c:v>95.66308999999998</c:v>
                </c:pt>
                <c:pt idx="631">
                  <c:v>95.65773999999985</c:v>
                </c:pt>
                <c:pt idx="632">
                  <c:v>95.65260999999998</c:v>
                </c:pt>
                <c:pt idx="633">
                  <c:v>95.64697</c:v>
                </c:pt>
                <c:pt idx="634">
                  <c:v>95.64127</c:v>
                </c:pt>
                <c:pt idx="635">
                  <c:v>95.63574999999958</c:v>
                </c:pt>
                <c:pt idx="636">
                  <c:v>95.63028</c:v>
                </c:pt>
                <c:pt idx="637">
                  <c:v>95.62469999999997</c:v>
                </c:pt>
                <c:pt idx="638">
                  <c:v>95.61882999999997</c:v>
                </c:pt>
                <c:pt idx="639">
                  <c:v>95.61307</c:v>
                </c:pt>
                <c:pt idx="640">
                  <c:v>95.60726</c:v>
                </c:pt>
                <c:pt idx="641">
                  <c:v>95.60156</c:v>
                </c:pt>
                <c:pt idx="642">
                  <c:v>95.59603000000001</c:v>
                </c:pt>
                <c:pt idx="643">
                  <c:v>95.59039</c:v>
                </c:pt>
                <c:pt idx="644">
                  <c:v>95.58435</c:v>
                </c:pt>
                <c:pt idx="645">
                  <c:v>95.57875999999958</c:v>
                </c:pt>
                <c:pt idx="646">
                  <c:v>95.57340999999998</c:v>
                </c:pt>
                <c:pt idx="647">
                  <c:v>95.56800000000001</c:v>
                </c:pt>
                <c:pt idx="648">
                  <c:v>95.56265</c:v>
                </c:pt>
                <c:pt idx="649">
                  <c:v>95.55706</c:v>
                </c:pt>
                <c:pt idx="650">
                  <c:v>95.55142</c:v>
                </c:pt>
                <c:pt idx="651">
                  <c:v>95.54561</c:v>
                </c:pt>
                <c:pt idx="652">
                  <c:v>95.5402</c:v>
                </c:pt>
                <c:pt idx="653">
                  <c:v>95.53479</c:v>
                </c:pt>
                <c:pt idx="654">
                  <c:v>95.52903</c:v>
                </c:pt>
                <c:pt idx="655">
                  <c:v>95.5231</c:v>
                </c:pt>
                <c:pt idx="656">
                  <c:v>95.51758</c:v>
                </c:pt>
                <c:pt idx="657">
                  <c:v>95.51238999999998</c:v>
                </c:pt>
                <c:pt idx="658">
                  <c:v>95.50739</c:v>
                </c:pt>
                <c:pt idx="659">
                  <c:v>95.50277999999958</c:v>
                </c:pt>
                <c:pt idx="660">
                  <c:v>95.49708</c:v>
                </c:pt>
                <c:pt idx="661">
                  <c:v>95.49133</c:v>
                </c:pt>
                <c:pt idx="662">
                  <c:v>95.4858</c:v>
                </c:pt>
                <c:pt idx="663">
                  <c:v>95.48005</c:v>
                </c:pt>
                <c:pt idx="664">
                  <c:v>95.47469</c:v>
                </c:pt>
                <c:pt idx="665">
                  <c:v>95.46934</c:v>
                </c:pt>
                <c:pt idx="666">
                  <c:v>95.46364</c:v>
                </c:pt>
                <c:pt idx="667">
                  <c:v>95.45829</c:v>
                </c:pt>
                <c:pt idx="668">
                  <c:v>95.45287999999998</c:v>
                </c:pt>
                <c:pt idx="669">
                  <c:v>95.44787</c:v>
                </c:pt>
                <c:pt idx="670">
                  <c:v>95.44269</c:v>
                </c:pt>
                <c:pt idx="671">
                  <c:v>95.43693</c:v>
                </c:pt>
                <c:pt idx="672">
                  <c:v>95.43112</c:v>
                </c:pt>
                <c:pt idx="673">
                  <c:v>95.42547999999998</c:v>
                </c:pt>
                <c:pt idx="674">
                  <c:v>95.41995</c:v>
                </c:pt>
                <c:pt idx="675">
                  <c:v>95.41466</c:v>
                </c:pt>
                <c:pt idx="676">
                  <c:v>95.40884</c:v>
                </c:pt>
                <c:pt idx="677">
                  <c:v>95.4036</c:v>
                </c:pt>
                <c:pt idx="678">
                  <c:v>95.39853999999998</c:v>
                </c:pt>
                <c:pt idx="679">
                  <c:v>95.39318</c:v>
                </c:pt>
                <c:pt idx="680">
                  <c:v>95.38795</c:v>
                </c:pt>
                <c:pt idx="681">
                  <c:v>95.38281999999998</c:v>
                </c:pt>
                <c:pt idx="682">
                  <c:v>95.37822</c:v>
                </c:pt>
                <c:pt idx="683">
                  <c:v>95.37356</c:v>
                </c:pt>
                <c:pt idx="684">
                  <c:v>95.36837999999958</c:v>
                </c:pt>
                <c:pt idx="685">
                  <c:v>95.36238999999995</c:v>
                </c:pt>
                <c:pt idx="686">
                  <c:v>95.35680999999998</c:v>
                </c:pt>
                <c:pt idx="687">
                  <c:v>95.35082</c:v>
                </c:pt>
                <c:pt idx="688">
                  <c:v>95.34489</c:v>
                </c:pt>
                <c:pt idx="689">
                  <c:v>95.33919</c:v>
                </c:pt>
                <c:pt idx="690">
                  <c:v>95.33326</c:v>
                </c:pt>
                <c:pt idx="691">
                  <c:v>95.32802999999998</c:v>
                </c:pt>
                <c:pt idx="692">
                  <c:v>95.32353999999998</c:v>
                </c:pt>
                <c:pt idx="693">
                  <c:v>95.31864</c:v>
                </c:pt>
                <c:pt idx="694">
                  <c:v>95.31364</c:v>
                </c:pt>
                <c:pt idx="695">
                  <c:v>95.30856999999997</c:v>
                </c:pt>
                <c:pt idx="696">
                  <c:v>95.3031</c:v>
                </c:pt>
                <c:pt idx="697">
                  <c:v>95.2974</c:v>
                </c:pt>
                <c:pt idx="698">
                  <c:v>95.29193</c:v>
                </c:pt>
                <c:pt idx="699">
                  <c:v>95.28675</c:v>
                </c:pt>
                <c:pt idx="700">
                  <c:v>95.28169</c:v>
                </c:pt>
                <c:pt idx="701">
                  <c:v>95.27638999999998</c:v>
                </c:pt>
                <c:pt idx="702">
                  <c:v>95.27074999999998</c:v>
                </c:pt>
                <c:pt idx="703">
                  <c:v>95.26551</c:v>
                </c:pt>
                <c:pt idx="704">
                  <c:v>95.26039</c:v>
                </c:pt>
                <c:pt idx="705">
                  <c:v>95.25452</c:v>
                </c:pt>
                <c:pt idx="706">
                  <c:v>95.24917</c:v>
                </c:pt>
                <c:pt idx="707">
                  <c:v>95.24445</c:v>
                </c:pt>
                <c:pt idx="708">
                  <c:v>95.23921</c:v>
                </c:pt>
                <c:pt idx="709">
                  <c:v>95.2338</c:v>
                </c:pt>
                <c:pt idx="710">
                  <c:v>95.22821</c:v>
                </c:pt>
                <c:pt idx="711">
                  <c:v>95.22285999999998</c:v>
                </c:pt>
                <c:pt idx="712">
                  <c:v>95.2182</c:v>
                </c:pt>
                <c:pt idx="713">
                  <c:v>95.21233</c:v>
                </c:pt>
                <c:pt idx="714">
                  <c:v>95.20646</c:v>
                </c:pt>
                <c:pt idx="715">
                  <c:v>95.20087</c:v>
                </c:pt>
                <c:pt idx="716">
                  <c:v>95.19580999999998</c:v>
                </c:pt>
                <c:pt idx="717">
                  <c:v>95.19068</c:v>
                </c:pt>
                <c:pt idx="718">
                  <c:v>95.18532999999998</c:v>
                </c:pt>
                <c:pt idx="719">
                  <c:v>95.18037999999925</c:v>
                </c:pt>
                <c:pt idx="720">
                  <c:v>95.1753099999991</c:v>
                </c:pt>
                <c:pt idx="721">
                  <c:v>95.17007999999915</c:v>
                </c:pt>
                <c:pt idx="722">
                  <c:v>95.16506999999998</c:v>
                </c:pt>
                <c:pt idx="723">
                  <c:v>95.15953999999998</c:v>
                </c:pt>
                <c:pt idx="724">
                  <c:v>95.15442</c:v>
                </c:pt>
                <c:pt idx="725">
                  <c:v>95.14935</c:v>
                </c:pt>
                <c:pt idx="726">
                  <c:v>95.14429</c:v>
                </c:pt>
                <c:pt idx="727">
                  <c:v>95.13991</c:v>
                </c:pt>
                <c:pt idx="728">
                  <c:v>95.13525</c:v>
                </c:pt>
                <c:pt idx="729">
                  <c:v>95.13019</c:v>
                </c:pt>
                <c:pt idx="730">
                  <c:v>95.12466</c:v>
                </c:pt>
                <c:pt idx="731">
                  <c:v>95.11907999999998</c:v>
                </c:pt>
                <c:pt idx="732">
                  <c:v>95.11407000000001</c:v>
                </c:pt>
                <c:pt idx="733">
                  <c:v>95.10888999999958</c:v>
                </c:pt>
                <c:pt idx="734">
                  <c:v>95.10313</c:v>
                </c:pt>
                <c:pt idx="735">
                  <c:v>95.09824</c:v>
                </c:pt>
                <c:pt idx="736">
                  <c:v>95.09312</c:v>
                </c:pt>
                <c:pt idx="737">
                  <c:v>95.08827999999998</c:v>
                </c:pt>
                <c:pt idx="738">
                  <c:v>95.08338999999998</c:v>
                </c:pt>
                <c:pt idx="739">
                  <c:v>95.07826999999997</c:v>
                </c:pt>
                <c:pt idx="740">
                  <c:v>95.07285999999995</c:v>
                </c:pt>
                <c:pt idx="741">
                  <c:v>95.06762</c:v>
                </c:pt>
                <c:pt idx="742">
                  <c:v>95.0629</c:v>
                </c:pt>
                <c:pt idx="743">
                  <c:v>95.05852</c:v>
                </c:pt>
                <c:pt idx="744">
                  <c:v>95.05449</c:v>
                </c:pt>
                <c:pt idx="745">
                  <c:v>95.0492</c:v>
                </c:pt>
                <c:pt idx="746">
                  <c:v>95.04407</c:v>
                </c:pt>
                <c:pt idx="747">
                  <c:v>95.03883999999998</c:v>
                </c:pt>
                <c:pt idx="748">
                  <c:v>95.03376999999997</c:v>
                </c:pt>
                <c:pt idx="749">
                  <c:v>95.02893999999995</c:v>
                </c:pt>
                <c:pt idx="750">
                  <c:v>95.02422</c:v>
                </c:pt>
                <c:pt idx="751">
                  <c:v>95.01967</c:v>
                </c:pt>
                <c:pt idx="752">
                  <c:v>95.01478</c:v>
                </c:pt>
                <c:pt idx="753">
                  <c:v>95.00965</c:v>
                </c:pt>
                <c:pt idx="754">
                  <c:v>95.00424</c:v>
                </c:pt>
                <c:pt idx="755">
                  <c:v>94.99929</c:v>
                </c:pt>
                <c:pt idx="756">
                  <c:v>94.99411</c:v>
                </c:pt>
                <c:pt idx="757">
                  <c:v>94.98922</c:v>
                </c:pt>
                <c:pt idx="758">
                  <c:v>94.98421</c:v>
                </c:pt>
                <c:pt idx="759">
                  <c:v>94.97932</c:v>
                </c:pt>
                <c:pt idx="760">
                  <c:v>94.97466</c:v>
                </c:pt>
                <c:pt idx="761">
                  <c:v>94.96999</c:v>
                </c:pt>
                <c:pt idx="762">
                  <c:v>94.96533</c:v>
                </c:pt>
                <c:pt idx="763">
                  <c:v>94.96055</c:v>
                </c:pt>
                <c:pt idx="764">
                  <c:v>94.95555</c:v>
                </c:pt>
                <c:pt idx="765">
                  <c:v>94.95048</c:v>
                </c:pt>
                <c:pt idx="766">
                  <c:v>94.94564</c:v>
                </c:pt>
                <c:pt idx="767">
                  <c:v>94.94075</c:v>
                </c:pt>
                <c:pt idx="768">
                  <c:v>94.93615</c:v>
                </c:pt>
                <c:pt idx="769">
                  <c:v>94.93166</c:v>
                </c:pt>
                <c:pt idx="770">
                  <c:v>94.92694</c:v>
                </c:pt>
                <c:pt idx="771">
                  <c:v>94.92232999999997</c:v>
                </c:pt>
                <c:pt idx="772">
                  <c:v>94.91744</c:v>
                </c:pt>
                <c:pt idx="773">
                  <c:v>94.9122</c:v>
                </c:pt>
                <c:pt idx="774">
                  <c:v>94.90673</c:v>
                </c:pt>
                <c:pt idx="775">
                  <c:v>94.90201</c:v>
                </c:pt>
                <c:pt idx="776">
                  <c:v>94.89735</c:v>
                </c:pt>
                <c:pt idx="777">
                  <c:v>94.89269</c:v>
                </c:pt>
                <c:pt idx="778">
                  <c:v>94.88813999999998</c:v>
                </c:pt>
                <c:pt idx="779">
                  <c:v>94.88405</c:v>
                </c:pt>
                <c:pt idx="780">
                  <c:v>94.87967999999998</c:v>
                </c:pt>
                <c:pt idx="781">
                  <c:v>94.87535999999938</c:v>
                </c:pt>
                <c:pt idx="782">
                  <c:v>94.87098999999998</c:v>
                </c:pt>
                <c:pt idx="783">
                  <c:v>94.86656</c:v>
                </c:pt>
                <c:pt idx="784">
                  <c:v>94.86212</c:v>
                </c:pt>
                <c:pt idx="785">
                  <c:v>94.85746</c:v>
                </c:pt>
                <c:pt idx="786">
                  <c:v>94.85267999999998</c:v>
                </c:pt>
                <c:pt idx="787">
                  <c:v>94.84791</c:v>
                </c:pt>
                <c:pt idx="788">
                  <c:v>94.84336</c:v>
                </c:pt>
                <c:pt idx="789">
                  <c:v>94.83927000000001</c:v>
                </c:pt>
                <c:pt idx="790">
                  <c:v>94.83517999999998</c:v>
                </c:pt>
                <c:pt idx="791">
                  <c:v>94.83069</c:v>
                </c:pt>
                <c:pt idx="792">
                  <c:v>94.82608999999998</c:v>
                </c:pt>
                <c:pt idx="793">
                  <c:v>94.82136999999997</c:v>
                </c:pt>
                <c:pt idx="794">
                  <c:v>94.81676</c:v>
                </c:pt>
                <c:pt idx="795">
                  <c:v>94.81199</c:v>
                </c:pt>
                <c:pt idx="796">
                  <c:v>94.80727</c:v>
                </c:pt>
                <c:pt idx="797">
                  <c:v>94.80236999999998</c:v>
                </c:pt>
                <c:pt idx="798">
                  <c:v>94.79748</c:v>
                </c:pt>
                <c:pt idx="799">
                  <c:v>94.79293000000001</c:v>
                </c:pt>
                <c:pt idx="800">
                  <c:v>94.78867</c:v>
                </c:pt>
                <c:pt idx="801">
                  <c:v>94.78453</c:v>
                </c:pt>
                <c:pt idx="802">
                  <c:v>94.78027</c:v>
                </c:pt>
                <c:pt idx="803">
                  <c:v>94.77606999999997</c:v>
                </c:pt>
                <c:pt idx="804">
                  <c:v>94.77152</c:v>
                </c:pt>
                <c:pt idx="805">
                  <c:v>94.76692</c:v>
                </c:pt>
                <c:pt idx="806">
                  <c:v>94.76236999999997</c:v>
                </c:pt>
                <c:pt idx="807">
                  <c:v>94.75788</c:v>
                </c:pt>
                <c:pt idx="808">
                  <c:v>94.75345</c:v>
                </c:pt>
                <c:pt idx="809">
                  <c:v>94.74907</c:v>
                </c:pt>
                <c:pt idx="810">
                  <c:v>94.7451</c:v>
                </c:pt>
                <c:pt idx="811">
                  <c:v>94.7405</c:v>
                </c:pt>
                <c:pt idx="812">
                  <c:v>94.73595</c:v>
                </c:pt>
                <c:pt idx="813">
                  <c:v>94.7314</c:v>
                </c:pt>
                <c:pt idx="814">
                  <c:v>94.72703000000001</c:v>
                </c:pt>
                <c:pt idx="815">
                  <c:v>94.72282</c:v>
                </c:pt>
                <c:pt idx="816">
                  <c:v>94.71845</c:v>
                </c:pt>
                <c:pt idx="817">
                  <c:v>94.7139</c:v>
                </c:pt>
                <c:pt idx="818">
                  <c:v>94.70953</c:v>
                </c:pt>
                <c:pt idx="819">
                  <c:v>94.70515</c:v>
                </c:pt>
                <c:pt idx="820">
                  <c:v>94.70077999999998</c:v>
                </c:pt>
                <c:pt idx="821">
                  <c:v>94.69657999999998</c:v>
                </c:pt>
                <c:pt idx="822">
                  <c:v>94.69242999999997</c:v>
                </c:pt>
                <c:pt idx="823">
                  <c:v>94.68857999999958</c:v>
                </c:pt>
                <c:pt idx="824">
                  <c:v>94.68455</c:v>
                </c:pt>
                <c:pt idx="825">
                  <c:v>94.68005999999998</c:v>
                </c:pt>
                <c:pt idx="826">
                  <c:v>94.67544999999915</c:v>
                </c:pt>
                <c:pt idx="827">
                  <c:v>94.67158999999998</c:v>
                </c:pt>
                <c:pt idx="828">
                  <c:v>94.66733999999998</c:v>
                </c:pt>
                <c:pt idx="829">
                  <c:v>94.66267</c:v>
                </c:pt>
                <c:pt idx="830">
                  <c:v>94.65800999999995</c:v>
                </c:pt>
                <c:pt idx="831">
                  <c:v>94.65352</c:v>
                </c:pt>
                <c:pt idx="832">
                  <c:v>94.64909</c:v>
                </c:pt>
                <c:pt idx="833">
                  <c:v>94.64494</c:v>
                </c:pt>
                <c:pt idx="834">
                  <c:v>94.64073999999998</c:v>
                </c:pt>
                <c:pt idx="835">
                  <c:v>94.63653999999998</c:v>
                </c:pt>
                <c:pt idx="836">
                  <c:v>94.63233999999925</c:v>
                </c:pt>
                <c:pt idx="837">
                  <c:v>94.62841999999995</c:v>
                </c:pt>
                <c:pt idx="838">
                  <c:v>94.62444999999998</c:v>
                </c:pt>
                <c:pt idx="839">
                  <c:v>94.62012999999997</c:v>
                </c:pt>
                <c:pt idx="840">
                  <c:v>94.61564</c:v>
                </c:pt>
                <c:pt idx="841">
                  <c:v>94.61133</c:v>
                </c:pt>
                <c:pt idx="842">
                  <c:v>94.60718</c:v>
                </c:pt>
                <c:pt idx="843">
                  <c:v>94.60297999999958</c:v>
                </c:pt>
                <c:pt idx="844">
                  <c:v>94.59888999999998</c:v>
                </c:pt>
                <c:pt idx="845">
                  <c:v>94.59481</c:v>
                </c:pt>
                <c:pt idx="846">
                  <c:v>94.59061</c:v>
                </c:pt>
                <c:pt idx="847">
                  <c:v>94.58663</c:v>
                </c:pt>
                <c:pt idx="848">
                  <c:v>94.58242999999997</c:v>
                </c:pt>
                <c:pt idx="849">
                  <c:v>94.57857999999958</c:v>
                </c:pt>
                <c:pt idx="850">
                  <c:v>94.57367999999998</c:v>
                </c:pt>
                <c:pt idx="851">
                  <c:v>94.56891</c:v>
                </c:pt>
                <c:pt idx="852">
                  <c:v>94.56465</c:v>
                </c:pt>
                <c:pt idx="853">
                  <c:v>94.56078999999998</c:v>
                </c:pt>
                <c:pt idx="854">
                  <c:v>94.55675999999998</c:v>
                </c:pt>
                <c:pt idx="855">
                  <c:v>94.55302</c:v>
                </c:pt>
                <c:pt idx="856">
                  <c:v>94.5491</c:v>
                </c:pt>
                <c:pt idx="857">
                  <c:v>94.54548</c:v>
                </c:pt>
                <c:pt idx="858">
                  <c:v>94.54174</c:v>
                </c:pt>
                <c:pt idx="859">
                  <c:v>94.53753</c:v>
                </c:pt>
                <c:pt idx="860">
                  <c:v>94.53304</c:v>
                </c:pt>
                <c:pt idx="861">
                  <c:v>94.52861</c:v>
                </c:pt>
                <c:pt idx="862">
                  <c:v>94.52441</c:v>
                </c:pt>
                <c:pt idx="863">
                  <c:v>94.52015</c:v>
                </c:pt>
                <c:pt idx="864">
                  <c:v>94.51618</c:v>
                </c:pt>
                <c:pt idx="865">
                  <c:v>94.51215</c:v>
                </c:pt>
                <c:pt idx="866">
                  <c:v>94.50801</c:v>
                </c:pt>
                <c:pt idx="867">
                  <c:v>94.50374999999998</c:v>
                </c:pt>
                <c:pt idx="868">
                  <c:v>94.49972</c:v>
                </c:pt>
                <c:pt idx="869">
                  <c:v>94.49592</c:v>
                </c:pt>
                <c:pt idx="870">
                  <c:v>94.49183</c:v>
                </c:pt>
                <c:pt idx="871">
                  <c:v>94.48774</c:v>
                </c:pt>
                <c:pt idx="872">
                  <c:v>94.48377</c:v>
                </c:pt>
                <c:pt idx="873">
                  <c:v>94.47997</c:v>
                </c:pt>
                <c:pt idx="874">
                  <c:v>94.476</c:v>
                </c:pt>
                <c:pt idx="875">
                  <c:v>94.47157</c:v>
                </c:pt>
                <c:pt idx="876">
                  <c:v>94.46742</c:v>
                </c:pt>
                <c:pt idx="877">
                  <c:v>94.46339</c:v>
                </c:pt>
                <c:pt idx="878">
                  <c:v>94.45965</c:v>
                </c:pt>
                <c:pt idx="879">
                  <c:v>94.45573999999995</c:v>
                </c:pt>
                <c:pt idx="880">
                  <c:v>94.45177</c:v>
                </c:pt>
                <c:pt idx="881">
                  <c:v>94.44797000000002</c:v>
                </c:pt>
                <c:pt idx="882">
                  <c:v>94.444</c:v>
                </c:pt>
                <c:pt idx="883">
                  <c:v>94.43991</c:v>
                </c:pt>
                <c:pt idx="884">
                  <c:v>94.43605</c:v>
                </c:pt>
                <c:pt idx="885">
                  <c:v>94.43231</c:v>
                </c:pt>
                <c:pt idx="886">
                  <c:v>94.42833999999995</c:v>
                </c:pt>
                <c:pt idx="887">
                  <c:v>94.42448</c:v>
                </c:pt>
                <c:pt idx="888">
                  <c:v>94.42097</c:v>
                </c:pt>
                <c:pt idx="889">
                  <c:v>94.41614</c:v>
                </c:pt>
                <c:pt idx="890">
                  <c:v>94.41211</c:v>
                </c:pt>
                <c:pt idx="891">
                  <c:v>94.40825</c:v>
                </c:pt>
                <c:pt idx="892">
                  <c:v>94.40439</c:v>
                </c:pt>
                <c:pt idx="893">
                  <c:v>94.40077</c:v>
                </c:pt>
                <c:pt idx="894">
                  <c:v>94.39685</c:v>
                </c:pt>
                <c:pt idx="895">
                  <c:v>94.39276999999998</c:v>
                </c:pt>
                <c:pt idx="896">
                  <c:v>94.38856999999997</c:v>
                </c:pt>
                <c:pt idx="897">
                  <c:v>94.38471</c:v>
                </c:pt>
                <c:pt idx="898">
                  <c:v>94.38084999999998</c:v>
                </c:pt>
                <c:pt idx="899">
                  <c:v>94.37693999999995</c:v>
                </c:pt>
                <c:pt idx="900">
                  <c:v>94.37330999999975</c:v>
                </c:pt>
                <c:pt idx="901">
                  <c:v>94.36951</c:v>
                </c:pt>
                <c:pt idx="902">
                  <c:v>94.36553999999998</c:v>
                </c:pt>
                <c:pt idx="903">
                  <c:v>94.36163</c:v>
                </c:pt>
                <c:pt idx="904">
                  <c:v>94.35776999999997</c:v>
                </c:pt>
                <c:pt idx="905">
                  <c:v>94.35385999999998</c:v>
                </c:pt>
                <c:pt idx="906">
                  <c:v>94.34994</c:v>
                </c:pt>
                <c:pt idx="907">
                  <c:v>94.34597</c:v>
                </c:pt>
                <c:pt idx="908">
                  <c:v>94.34171</c:v>
                </c:pt>
                <c:pt idx="909">
                  <c:v>94.33762</c:v>
                </c:pt>
                <c:pt idx="910">
                  <c:v>94.33394</c:v>
                </c:pt>
                <c:pt idx="911">
                  <c:v>94.32967999999998</c:v>
                </c:pt>
                <c:pt idx="912">
                  <c:v>94.32570999999938</c:v>
                </c:pt>
                <c:pt idx="913">
                  <c:v>94.32247999999925</c:v>
                </c:pt>
                <c:pt idx="914">
                  <c:v>94.31903000000001</c:v>
                </c:pt>
                <c:pt idx="915">
                  <c:v>94.31569</c:v>
                </c:pt>
                <c:pt idx="916">
                  <c:v>94.31201</c:v>
                </c:pt>
                <c:pt idx="917">
                  <c:v>94.30808999999998</c:v>
                </c:pt>
                <c:pt idx="918">
                  <c:v>94.30418</c:v>
                </c:pt>
                <c:pt idx="919">
                  <c:v>94.30043999999998</c:v>
                </c:pt>
                <c:pt idx="920">
                  <c:v>94.29693</c:v>
                </c:pt>
                <c:pt idx="921">
                  <c:v>94.29313</c:v>
                </c:pt>
                <c:pt idx="922">
                  <c:v>94.28933</c:v>
                </c:pt>
                <c:pt idx="923">
                  <c:v>94.28546999999997</c:v>
                </c:pt>
                <c:pt idx="924">
                  <c:v>94.28139</c:v>
                </c:pt>
                <c:pt idx="925">
                  <c:v>94.27736</c:v>
                </c:pt>
                <c:pt idx="926">
                  <c:v>94.27337999999965</c:v>
                </c:pt>
                <c:pt idx="927">
                  <c:v>94.26941</c:v>
                </c:pt>
                <c:pt idx="928">
                  <c:v>94.26561</c:v>
                </c:pt>
                <c:pt idx="929">
                  <c:v>94.26199</c:v>
                </c:pt>
                <c:pt idx="930">
                  <c:v>94.25825</c:v>
                </c:pt>
                <c:pt idx="931">
                  <c:v>94.25445</c:v>
                </c:pt>
                <c:pt idx="932">
                  <c:v>94.25053000000001</c:v>
                </c:pt>
                <c:pt idx="933">
                  <c:v>94.24673000000001</c:v>
                </c:pt>
                <c:pt idx="934">
                  <c:v>94.24299</c:v>
                </c:pt>
                <c:pt idx="935">
                  <c:v>94.23914</c:v>
                </c:pt>
                <c:pt idx="936">
                  <c:v>94.23551</c:v>
                </c:pt>
                <c:pt idx="937">
                  <c:v>94.23188</c:v>
                </c:pt>
                <c:pt idx="938">
                  <c:v>94.22848999999998</c:v>
                </c:pt>
                <c:pt idx="939">
                  <c:v>94.22475</c:v>
                </c:pt>
                <c:pt idx="940">
                  <c:v>94.22095</c:v>
                </c:pt>
                <c:pt idx="941">
                  <c:v>94.21726</c:v>
                </c:pt>
                <c:pt idx="942">
                  <c:v>94.21369</c:v>
                </c:pt>
                <c:pt idx="943">
                  <c:v>94.21007</c:v>
                </c:pt>
                <c:pt idx="944">
                  <c:v>94.20621</c:v>
                </c:pt>
                <c:pt idx="945">
                  <c:v>94.2023</c:v>
                </c:pt>
                <c:pt idx="946">
                  <c:v>94.19827</c:v>
                </c:pt>
                <c:pt idx="947">
                  <c:v>94.19464</c:v>
                </c:pt>
                <c:pt idx="948">
                  <c:v>94.1909</c:v>
                </c:pt>
                <c:pt idx="949">
                  <c:v>94.18722</c:v>
                </c:pt>
                <c:pt idx="950">
                  <c:v>94.18342</c:v>
                </c:pt>
                <c:pt idx="951">
                  <c:v>94.17989999999975</c:v>
                </c:pt>
                <c:pt idx="952">
                  <c:v>94.17627999999995</c:v>
                </c:pt>
                <c:pt idx="953">
                  <c:v>94.17253999999915</c:v>
                </c:pt>
                <c:pt idx="954">
                  <c:v>94.16851</c:v>
                </c:pt>
                <c:pt idx="955">
                  <c:v>94.16471</c:v>
                </c:pt>
                <c:pt idx="956">
                  <c:v>94.16114</c:v>
                </c:pt>
                <c:pt idx="957">
                  <c:v>94.15763</c:v>
                </c:pt>
                <c:pt idx="958">
                  <c:v>94.15423000000001</c:v>
                </c:pt>
                <c:pt idx="959">
                  <c:v>94.15071999999998</c:v>
                </c:pt>
                <c:pt idx="960">
                  <c:v>94.14698</c:v>
                </c:pt>
                <c:pt idx="961">
                  <c:v>94.14335</c:v>
                </c:pt>
                <c:pt idx="962">
                  <c:v>94.1395</c:v>
                </c:pt>
                <c:pt idx="963">
                  <c:v>94.13563999999998</c:v>
                </c:pt>
                <c:pt idx="964">
                  <c:v>94.13200999999998</c:v>
                </c:pt>
                <c:pt idx="965">
                  <c:v>94.1283899999991</c:v>
                </c:pt>
                <c:pt idx="966">
                  <c:v>94.12465</c:v>
                </c:pt>
                <c:pt idx="967">
                  <c:v>94.12125</c:v>
                </c:pt>
                <c:pt idx="968">
                  <c:v>94.11774</c:v>
                </c:pt>
                <c:pt idx="969">
                  <c:v>94.114</c:v>
                </c:pt>
                <c:pt idx="970">
                  <c:v>94.11043</c:v>
                </c:pt>
                <c:pt idx="971">
                  <c:v>94.10692</c:v>
                </c:pt>
                <c:pt idx="972">
                  <c:v>94.10329</c:v>
                </c:pt>
                <c:pt idx="973">
                  <c:v>94.09984</c:v>
                </c:pt>
                <c:pt idx="974">
                  <c:v>94.09637999999998</c:v>
                </c:pt>
                <c:pt idx="975">
                  <c:v>94.0927</c:v>
                </c:pt>
                <c:pt idx="976">
                  <c:v>94.08913</c:v>
                </c:pt>
                <c:pt idx="977">
                  <c:v>94.08544999999998</c:v>
                </c:pt>
                <c:pt idx="978">
                  <c:v>94.08188</c:v>
                </c:pt>
                <c:pt idx="979">
                  <c:v>94.07813999999995</c:v>
                </c:pt>
                <c:pt idx="980">
                  <c:v>94.07387999999958</c:v>
                </c:pt>
                <c:pt idx="981">
                  <c:v>94.07053999999998</c:v>
                </c:pt>
                <c:pt idx="982">
                  <c:v>94.06703</c:v>
                </c:pt>
                <c:pt idx="983">
                  <c:v>94.06398</c:v>
                </c:pt>
                <c:pt idx="984">
                  <c:v>94.06064</c:v>
                </c:pt>
                <c:pt idx="985">
                  <c:v>94.05707</c:v>
                </c:pt>
                <c:pt idx="986">
                  <c:v>94.05384999999998</c:v>
                </c:pt>
                <c:pt idx="987">
                  <c:v>94.05073999999995</c:v>
                </c:pt>
                <c:pt idx="988">
                  <c:v>94.04734</c:v>
                </c:pt>
                <c:pt idx="989">
                  <c:v>94.04394</c:v>
                </c:pt>
                <c:pt idx="990">
                  <c:v>94.04049</c:v>
                </c:pt>
                <c:pt idx="991">
                  <c:v>94.03721</c:v>
                </c:pt>
                <c:pt idx="992">
                  <c:v>94.03422</c:v>
                </c:pt>
                <c:pt idx="993">
                  <c:v>94.03099</c:v>
                </c:pt>
                <c:pt idx="994">
                  <c:v>94.02719</c:v>
                </c:pt>
                <c:pt idx="995">
                  <c:v>94.02357</c:v>
                </c:pt>
                <c:pt idx="996">
                  <c:v>94.02011</c:v>
                </c:pt>
                <c:pt idx="997">
                  <c:v>94.01689</c:v>
                </c:pt>
                <c:pt idx="998">
                  <c:v>94.01367</c:v>
                </c:pt>
                <c:pt idx="999">
                  <c:v>94.01039</c:v>
                </c:pt>
                <c:pt idx="1000">
                  <c:v>94.00716</c:v>
                </c:pt>
                <c:pt idx="1001">
                  <c:v>94.00371</c:v>
                </c:pt>
                <c:pt idx="1002">
                  <c:v>94.00031</c:v>
                </c:pt>
                <c:pt idx="1003">
                  <c:v>93.99703</c:v>
                </c:pt>
                <c:pt idx="1004">
                  <c:v>93.99381</c:v>
                </c:pt>
                <c:pt idx="1005">
                  <c:v>93.99053</c:v>
                </c:pt>
                <c:pt idx="1006">
                  <c:v>93.9873</c:v>
                </c:pt>
                <c:pt idx="1007">
                  <c:v>93.98402</c:v>
                </c:pt>
                <c:pt idx="1008">
                  <c:v>93.98086</c:v>
                </c:pt>
                <c:pt idx="1009">
                  <c:v>93.97752</c:v>
                </c:pt>
                <c:pt idx="1010">
                  <c:v>93.97458</c:v>
                </c:pt>
                <c:pt idx="1011">
                  <c:v>93.97159</c:v>
                </c:pt>
                <c:pt idx="1012">
                  <c:v>93.96848</c:v>
                </c:pt>
                <c:pt idx="1013">
                  <c:v>93.9652</c:v>
                </c:pt>
                <c:pt idx="1014">
                  <c:v>93.96186</c:v>
                </c:pt>
                <c:pt idx="1015">
                  <c:v>93.95881</c:v>
                </c:pt>
                <c:pt idx="1016">
                  <c:v>93.95553</c:v>
                </c:pt>
                <c:pt idx="1017">
                  <c:v>93.95213</c:v>
                </c:pt>
                <c:pt idx="1018">
                  <c:v>93.94903</c:v>
                </c:pt>
                <c:pt idx="1019">
                  <c:v>93.94603</c:v>
                </c:pt>
                <c:pt idx="1020">
                  <c:v>93.9431</c:v>
                </c:pt>
                <c:pt idx="1021">
                  <c:v>93.93982</c:v>
                </c:pt>
                <c:pt idx="1022">
                  <c:v>93.93682</c:v>
                </c:pt>
                <c:pt idx="1023">
                  <c:v>93.93418</c:v>
                </c:pt>
                <c:pt idx="1024">
                  <c:v>93.93049</c:v>
                </c:pt>
                <c:pt idx="1025">
                  <c:v>93.92663</c:v>
                </c:pt>
                <c:pt idx="1026">
                  <c:v>93.92341</c:v>
                </c:pt>
                <c:pt idx="1027">
                  <c:v>93.92053000000001</c:v>
                </c:pt>
                <c:pt idx="1028">
                  <c:v>93.91783</c:v>
                </c:pt>
                <c:pt idx="1029">
                  <c:v>93.91512</c:v>
                </c:pt>
                <c:pt idx="1030">
                  <c:v>93.91201</c:v>
                </c:pt>
                <c:pt idx="1031">
                  <c:v>93.90908</c:v>
                </c:pt>
                <c:pt idx="1032">
                  <c:v>93.90637</c:v>
                </c:pt>
                <c:pt idx="1033">
                  <c:v>93.90361</c:v>
                </c:pt>
                <c:pt idx="1034">
                  <c:v>93.90096</c:v>
                </c:pt>
                <c:pt idx="1035">
                  <c:v>93.89836999999998</c:v>
                </c:pt>
                <c:pt idx="1036">
                  <c:v>93.89521</c:v>
                </c:pt>
                <c:pt idx="1037">
                  <c:v>93.89216</c:v>
                </c:pt>
                <c:pt idx="1038">
                  <c:v>93.8891</c:v>
                </c:pt>
                <c:pt idx="1039">
                  <c:v>93.88599999999998</c:v>
                </c:pt>
                <c:pt idx="1040">
                  <c:v>93.88282999999998</c:v>
                </c:pt>
                <c:pt idx="1041">
                  <c:v>93.87971999999998</c:v>
                </c:pt>
                <c:pt idx="1042">
                  <c:v>93.87667</c:v>
                </c:pt>
                <c:pt idx="1043">
                  <c:v>93.87390999999998</c:v>
                </c:pt>
                <c:pt idx="1044">
                  <c:v>93.87131999999998</c:v>
                </c:pt>
                <c:pt idx="1045">
                  <c:v>93.86878999999985</c:v>
                </c:pt>
                <c:pt idx="1046">
                  <c:v>93.86625</c:v>
                </c:pt>
                <c:pt idx="1047">
                  <c:v>93.86366</c:v>
                </c:pt>
                <c:pt idx="1048">
                  <c:v>93.86101</c:v>
                </c:pt>
                <c:pt idx="1049">
                  <c:v>93.85801999999998</c:v>
                </c:pt>
                <c:pt idx="1050">
                  <c:v>93.85508999999985</c:v>
                </c:pt>
                <c:pt idx="1051">
                  <c:v>93.85254999999998</c:v>
                </c:pt>
                <c:pt idx="1052">
                  <c:v>93.84904</c:v>
                </c:pt>
                <c:pt idx="1053">
                  <c:v>93.84559</c:v>
                </c:pt>
                <c:pt idx="1054">
                  <c:v>93.843</c:v>
                </c:pt>
                <c:pt idx="1055">
                  <c:v>93.84070000000001</c:v>
                </c:pt>
                <c:pt idx="1056">
                  <c:v>93.83873999999955</c:v>
                </c:pt>
                <c:pt idx="1057">
                  <c:v>93.83649</c:v>
                </c:pt>
                <c:pt idx="1058">
                  <c:v>93.83356</c:v>
                </c:pt>
                <c:pt idx="1059">
                  <c:v>93.83028</c:v>
                </c:pt>
                <c:pt idx="1060">
                  <c:v>93.82717</c:v>
                </c:pt>
                <c:pt idx="1061">
                  <c:v>93.82434999999998</c:v>
                </c:pt>
                <c:pt idx="1062">
                  <c:v>93.82176</c:v>
                </c:pt>
                <c:pt idx="1063">
                  <c:v>93.81887999999998</c:v>
                </c:pt>
                <c:pt idx="1064">
                  <c:v>93.81623</c:v>
                </c:pt>
                <c:pt idx="1065">
                  <c:v>93.81399</c:v>
                </c:pt>
                <c:pt idx="1066">
                  <c:v>93.81151</c:v>
                </c:pt>
                <c:pt idx="1067">
                  <c:v>93.80903999999998</c:v>
                </c:pt>
                <c:pt idx="1068">
                  <c:v>93.80638999999998</c:v>
                </c:pt>
                <c:pt idx="1069">
                  <c:v>93.80351</c:v>
                </c:pt>
                <c:pt idx="1070">
                  <c:v>93.80081</c:v>
                </c:pt>
                <c:pt idx="1071">
                  <c:v>93.79845</c:v>
                </c:pt>
                <c:pt idx="1072">
                  <c:v>93.79614</c:v>
                </c:pt>
                <c:pt idx="1073">
                  <c:v>93.79321</c:v>
                </c:pt>
                <c:pt idx="1074">
                  <c:v>93.79016</c:v>
                </c:pt>
                <c:pt idx="1075">
                  <c:v>93.78814</c:v>
                </c:pt>
                <c:pt idx="1076">
                  <c:v>93.78567</c:v>
                </c:pt>
                <c:pt idx="1077">
                  <c:v>93.78238999999998</c:v>
                </c:pt>
                <c:pt idx="1078">
                  <c:v>93.77956</c:v>
                </c:pt>
                <c:pt idx="1079">
                  <c:v>93.77726</c:v>
                </c:pt>
                <c:pt idx="1080">
                  <c:v>93.77611</c:v>
                </c:pt>
                <c:pt idx="1081">
                  <c:v>93.77259999999998</c:v>
                </c:pt>
                <c:pt idx="1082">
                  <c:v>93.7692</c:v>
                </c:pt>
                <c:pt idx="1083">
                  <c:v>93.76656</c:v>
                </c:pt>
                <c:pt idx="1084">
                  <c:v>93.76414</c:v>
                </c:pt>
                <c:pt idx="1085">
                  <c:v>93.76178</c:v>
                </c:pt>
                <c:pt idx="1086">
                  <c:v>93.75976</c:v>
                </c:pt>
                <c:pt idx="1087">
                  <c:v>93.75803999999998</c:v>
                </c:pt>
                <c:pt idx="1088">
                  <c:v>93.75607999999998</c:v>
                </c:pt>
                <c:pt idx="1089">
                  <c:v>93.7532</c:v>
                </c:pt>
                <c:pt idx="1090">
                  <c:v>93.75067</c:v>
                </c:pt>
                <c:pt idx="1091">
                  <c:v>93.74865</c:v>
                </c:pt>
                <c:pt idx="1092">
                  <c:v>93.74618</c:v>
                </c:pt>
                <c:pt idx="1093">
                  <c:v>93.74388</c:v>
                </c:pt>
                <c:pt idx="1094">
                  <c:v>93.74203</c:v>
                </c:pt>
                <c:pt idx="1095">
                  <c:v>93.73962</c:v>
                </c:pt>
                <c:pt idx="1096">
                  <c:v>93.7372</c:v>
                </c:pt>
                <c:pt idx="1097">
                  <c:v>93.73409</c:v>
                </c:pt>
                <c:pt idx="1098">
                  <c:v>93.73173000000001</c:v>
                </c:pt>
                <c:pt idx="1099">
                  <c:v>93.72931</c:v>
                </c:pt>
                <c:pt idx="1100">
                  <c:v>93.72718</c:v>
                </c:pt>
                <c:pt idx="1101">
                  <c:v>93.725</c:v>
                </c:pt>
                <c:pt idx="1102">
                  <c:v>93.72269</c:v>
                </c:pt>
                <c:pt idx="1103">
                  <c:v>93.72038999999998</c:v>
                </c:pt>
                <c:pt idx="1104">
                  <c:v>93.71688</c:v>
                </c:pt>
                <c:pt idx="1105">
                  <c:v>93.71429</c:v>
                </c:pt>
                <c:pt idx="1106">
                  <c:v>93.71222</c:v>
                </c:pt>
                <c:pt idx="1107">
                  <c:v>93.71061</c:v>
                </c:pt>
                <c:pt idx="1108">
                  <c:v>93.70917</c:v>
                </c:pt>
                <c:pt idx="1109">
                  <c:v>93.70686</c:v>
                </c:pt>
                <c:pt idx="1110">
                  <c:v>93.70393</c:v>
                </c:pt>
                <c:pt idx="1111">
                  <c:v>93.70111</c:v>
                </c:pt>
                <c:pt idx="1112">
                  <c:v>93.69880999999998</c:v>
                </c:pt>
                <c:pt idx="1113">
                  <c:v>93.69656</c:v>
                </c:pt>
                <c:pt idx="1114">
                  <c:v>93.69466</c:v>
                </c:pt>
                <c:pt idx="1115">
                  <c:v>93.6919</c:v>
                </c:pt>
                <c:pt idx="1116">
                  <c:v>93.68947999999965</c:v>
                </c:pt>
                <c:pt idx="1117">
                  <c:v>93.68706</c:v>
                </c:pt>
                <c:pt idx="1118">
                  <c:v>93.6847</c:v>
                </c:pt>
                <c:pt idx="1119">
                  <c:v>93.68274999999915</c:v>
                </c:pt>
                <c:pt idx="1120">
                  <c:v>93.68084999999998</c:v>
                </c:pt>
                <c:pt idx="1121">
                  <c:v>93.67871999999915</c:v>
                </c:pt>
                <c:pt idx="1122">
                  <c:v>93.67629999999998</c:v>
                </c:pt>
                <c:pt idx="1123">
                  <c:v>93.67416999999997</c:v>
                </c:pt>
                <c:pt idx="1124">
                  <c:v>93.67180999999998</c:v>
                </c:pt>
                <c:pt idx="1125">
                  <c:v>93.66962</c:v>
                </c:pt>
                <c:pt idx="1126">
                  <c:v>93.66721</c:v>
                </c:pt>
                <c:pt idx="1127">
                  <c:v>93.66496</c:v>
                </c:pt>
                <c:pt idx="1128">
                  <c:v>93.66381</c:v>
                </c:pt>
                <c:pt idx="1129">
                  <c:v>93.66128</c:v>
                </c:pt>
                <c:pt idx="1130">
                  <c:v>93.65816999999998</c:v>
                </c:pt>
                <c:pt idx="1131">
                  <c:v>93.65580999999958</c:v>
                </c:pt>
                <c:pt idx="1132">
                  <c:v>93.65344999999998</c:v>
                </c:pt>
                <c:pt idx="1133">
                  <c:v>93.65108999999998</c:v>
                </c:pt>
                <c:pt idx="1134">
                  <c:v>93.64872999999998</c:v>
                </c:pt>
                <c:pt idx="1135">
                  <c:v>93.64654</c:v>
                </c:pt>
                <c:pt idx="1136">
                  <c:v>93.6447</c:v>
                </c:pt>
                <c:pt idx="1137">
                  <c:v>93.64263</c:v>
                </c:pt>
                <c:pt idx="1138">
                  <c:v>93.64037999999998</c:v>
                </c:pt>
                <c:pt idx="1139">
                  <c:v>93.63818999999998</c:v>
                </c:pt>
                <c:pt idx="1140">
                  <c:v>93.63594999999998</c:v>
                </c:pt>
                <c:pt idx="1141">
                  <c:v>93.63342</c:v>
                </c:pt>
                <c:pt idx="1142">
                  <c:v>93.631</c:v>
                </c:pt>
                <c:pt idx="1143">
                  <c:v>93.62880999999958</c:v>
                </c:pt>
                <c:pt idx="1144">
                  <c:v>93.62679999999965</c:v>
                </c:pt>
                <c:pt idx="1145">
                  <c:v>93.62483999999998</c:v>
                </c:pt>
                <c:pt idx="1146">
                  <c:v>93.62282999999998</c:v>
                </c:pt>
                <c:pt idx="1147">
                  <c:v>93.62080999999995</c:v>
                </c:pt>
                <c:pt idx="1148">
                  <c:v>93.61943</c:v>
                </c:pt>
                <c:pt idx="1149">
                  <c:v>93.61759</c:v>
                </c:pt>
                <c:pt idx="1150">
                  <c:v>93.61539999999998</c:v>
                </c:pt>
                <c:pt idx="1151">
                  <c:v>93.61333</c:v>
                </c:pt>
                <c:pt idx="1152">
                  <c:v>93.61103</c:v>
                </c:pt>
                <c:pt idx="1153">
                  <c:v>93.60889999999995</c:v>
                </c:pt>
                <c:pt idx="1154">
                  <c:v>93.60676999999998</c:v>
                </c:pt>
                <c:pt idx="1155">
                  <c:v>93.60429</c:v>
                </c:pt>
                <c:pt idx="1156">
                  <c:v>93.60227999999998</c:v>
                </c:pt>
                <c:pt idx="1157">
                  <c:v>93.60048999999998</c:v>
                </c:pt>
                <c:pt idx="1158">
                  <c:v>93.59894</c:v>
                </c:pt>
                <c:pt idx="1159">
                  <c:v>93.59715</c:v>
                </c:pt>
                <c:pt idx="1160">
                  <c:v>93.59439</c:v>
                </c:pt>
                <c:pt idx="1161">
                  <c:v>93.59151</c:v>
                </c:pt>
                <c:pt idx="1162">
                  <c:v>93.58863</c:v>
                </c:pt>
                <c:pt idx="1163">
                  <c:v>93.58627000000001</c:v>
                </c:pt>
                <c:pt idx="1164">
                  <c:v>93.58455</c:v>
                </c:pt>
                <c:pt idx="1165">
                  <c:v>93.58293999999998</c:v>
                </c:pt>
                <c:pt idx="1166">
                  <c:v>93.58115</c:v>
                </c:pt>
                <c:pt idx="1167">
                  <c:v>93.57947999999975</c:v>
                </c:pt>
                <c:pt idx="1168">
                  <c:v>93.5777</c:v>
                </c:pt>
                <c:pt idx="1169">
                  <c:v>93.57538999999925</c:v>
                </c:pt>
                <c:pt idx="1170">
                  <c:v>93.57291999999998</c:v>
                </c:pt>
                <c:pt idx="1171">
                  <c:v>93.57107999999998</c:v>
                </c:pt>
                <c:pt idx="1172">
                  <c:v>93.56901</c:v>
                </c:pt>
                <c:pt idx="1173">
                  <c:v>93.56682</c:v>
                </c:pt>
                <c:pt idx="1174">
                  <c:v>93.56475</c:v>
                </c:pt>
                <c:pt idx="1175">
                  <c:v>93.56325</c:v>
                </c:pt>
                <c:pt idx="1176">
                  <c:v>93.56193</c:v>
                </c:pt>
                <c:pt idx="1177">
                  <c:v>93.56014</c:v>
                </c:pt>
                <c:pt idx="1178">
                  <c:v>93.55806999999998</c:v>
                </c:pt>
                <c:pt idx="1179">
                  <c:v>93.55581999999998</c:v>
                </c:pt>
                <c:pt idx="1180">
                  <c:v>93.55386999999997</c:v>
                </c:pt>
                <c:pt idx="1181">
                  <c:v>93.55178999999998</c:v>
                </c:pt>
                <c:pt idx="1182">
                  <c:v>93.55017999999998</c:v>
                </c:pt>
                <c:pt idx="1183">
                  <c:v>93.54805</c:v>
                </c:pt>
                <c:pt idx="1184">
                  <c:v>93.54592</c:v>
                </c:pt>
                <c:pt idx="1185">
                  <c:v>93.54379</c:v>
                </c:pt>
                <c:pt idx="1186">
                  <c:v>93.54178</c:v>
                </c:pt>
                <c:pt idx="1187">
                  <c:v>93.53994</c:v>
                </c:pt>
                <c:pt idx="1188">
                  <c:v>93.53827</c:v>
                </c:pt>
                <c:pt idx="1189">
                  <c:v>93.53643</c:v>
                </c:pt>
                <c:pt idx="1190">
                  <c:v>93.53441</c:v>
                </c:pt>
                <c:pt idx="1191">
                  <c:v>93.53199</c:v>
                </c:pt>
                <c:pt idx="1192">
                  <c:v>93.52974999999998</c:v>
                </c:pt>
                <c:pt idx="1193">
                  <c:v>93.52762</c:v>
                </c:pt>
                <c:pt idx="1194">
                  <c:v>93.52542999999998</c:v>
                </c:pt>
                <c:pt idx="1195">
                  <c:v>93.5233</c:v>
                </c:pt>
                <c:pt idx="1196">
                  <c:v>93.52123</c:v>
                </c:pt>
                <c:pt idx="1197">
                  <c:v>93.51921</c:v>
                </c:pt>
                <c:pt idx="1198">
                  <c:v>93.51714</c:v>
                </c:pt>
                <c:pt idx="1199">
                  <c:v>93.51507</c:v>
                </c:pt>
                <c:pt idx="1200">
                  <c:v>93.51352</c:v>
                </c:pt>
                <c:pt idx="1201">
                  <c:v>93.5119</c:v>
                </c:pt>
                <c:pt idx="1202">
                  <c:v>93.5107</c:v>
                </c:pt>
                <c:pt idx="1203">
                  <c:v>93.50914</c:v>
                </c:pt>
                <c:pt idx="1204">
                  <c:v>93.50753</c:v>
                </c:pt>
                <c:pt idx="1205">
                  <c:v>93.50563</c:v>
                </c:pt>
                <c:pt idx="1206">
                  <c:v>93.50338999999998</c:v>
                </c:pt>
                <c:pt idx="1207">
                  <c:v>93.50108</c:v>
                </c:pt>
                <c:pt idx="1208">
                  <c:v>93.49907</c:v>
                </c:pt>
                <c:pt idx="1209">
                  <c:v>93.49717</c:v>
                </c:pt>
                <c:pt idx="1210">
                  <c:v>93.4951</c:v>
                </c:pt>
                <c:pt idx="1211">
                  <c:v>93.49291</c:v>
                </c:pt>
                <c:pt idx="1212">
                  <c:v>93.49124</c:v>
                </c:pt>
                <c:pt idx="1213">
                  <c:v>93.48923</c:v>
                </c:pt>
                <c:pt idx="1214">
                  <c:v>93.4875</c:v>
                </c:pt>
                <c:pt idx="1215">
                  <c:v>93.48594</c:v>
                </c:pt>
                <c:pt idx="1216">
                  <c:v>93.48422</c:v>
                </c:pt>
                <c:pt idx="1217">
                  <c:v>93.48255</c:v>
                </c:pt>
                <c:pt idx="1218">
                  <c:v>93.48088</c:v>
                </c:pt>
                <c:pt idx="1219">
                  <c:v>93.47869</c:v>
                </c:pt>
                <c:pt idx="1220">
                  <c:v>93.4765</c:v>
                </c:pt>
                <c:pt idx="1221">
                  <c:v>93.47477999999998</c:v>
                </c:pt>
                <c:pt idx="1222">
                  <c:v>93.47305</c:v>
                </c:pt>
                <c:pt idx="1223">
                  <c:v>93.47086</c:v>
                </c:pt>
                <c:pt idx="1224">
                  <c:v>93.46908</c:v>
                </c:pt>
                <c:pt idx="1225">
                  <c:v>93.46741</c:v>
                </c:pt>
                <c:pt idx="1226">
                  <c:v>93.46539</c:v>
                </c:pt>
                <c:pt idx="1227">
                  <c:v>93.46269</c:v>
                </c:pt>
                <c:pt idx="1228">
                  <c:v>93.46021</c:v>
                </c:pt>
                <c:pt idx="1229">
                  <c:v>93.45866</c:v>
                </c:pt>
                <c:pt idx="1230">
                  <c:v>93.45757</c:v>
                </c:pt>
                <c:pt idx="1231">
                  <c:v>93.45630000000001</c:v>
                </c:pt>
                <c:pt idx="1232">
                  <c:v>93.45434</c:v>
                </c:pt>
                <c:pt idx="1233">
                  <c:v>93.4525</c:v>
                </c:pt>
                <c:pt idx="1234">
                  <c:v>93.45043</c:v>
                </c:pt>
                <c:pt idx="1235">
                  <c:v>93.44841</c:v>
                </c:pt>
                <c:pt idx="1236">
                  <c:v>93.44651</c:v>
                </c:pt>
                <c:pt idx="1237">
                  <c:v>93.44542</c:v>
                </c:pt>
                <c:pt idx="1238">
                  <c:v>93.443</c:v>
                </c:pt>
                <c:pt idx="1239">
                  <c:v>93.44064</c:v>
                </c:pt>
                <c:pt idx="1240">
                  <c:v>93.43932</c:v>
                </c:pt>
                <c:pt idx="1241">
                  <c:v>93.43777</c:v>
                </c:pt>
                <c:pt idx="1242">
                  <c:v>93.43615</c:v>
                </c:pt>
                <c:pt idx="1243">
                  <c:v>93.43448</c:v>
                </c:pt>
                <c:pt idx="1244">
                  <c:v>93.43264</c:v>
                </c:pt>
                <c:pt idx="1245">
                  <c:v>93.43086</c:v>
                </c:pt>
                <c:pt idx="1246">
                  <c:v>93.42942</c:v>
                </c:pt>
                <c:pt idx="1247">
                  <c:v>93.42803999999998</c:v>
                </c:pt>
                <c:pt idx="1248">
                  <c:v>93.42677</c:v>
                </c:pt>
                <c:pt idx="1249">
                  <c:v>93.42522</c:v>
                </c:pt>
                <c:pt idx="1250">
                  <c:v>93.42211</c:v>
                </c:pt>
                <c:pt idx="1251">
                  <c:v>93.41963000000002</c:v>
                </c:pt>
                <c:pt idx="1252">
                  <c:v>93.41779</c:v>
                </c:pt>
                <c:pt idx="1253">
                  <c:v>93.41572</c:v>
                </c:pt>
                <c:pt idx="1254">
                  <c:v>93.41434</c:v>
                </c:pt>
                <c:pt idx="1255">
                  <c:v>93.41267</c:v>
                </c:pt>
                <c:pt idx="1256">
                  <c:v>93.41106</c:v>
                </c:pt>
                <c:pt idx="1257">
                  <c:v>93.40887</c:v>
                </c:pt>
                <c:pt idx="1258">
                  <c:v>93.40657</c:v>
                </c:pt>
                <c:pt idx="1259">
                  <c:v>93.40461</c:v>
                </c:pt>
                <c:pt idx="1260">
                  <c:v>93.40287999999998</c:v>
                </c:pt>
                <c:pt idx="1261">
                  <c:v>93.40179</c:v>
                </c:pt>
                <c:pt idx="1262">
                  <c:v>93.4015</c:v>
                </c:pt>
                <c:pt idx="1263">
                  <c:v>93.40012</c:v>
                </c:pt>
                <c:pt idx="1264">
                  <c:v>93.39873999999975</c:v>
                </c:pt>
                <c:pt idx="1265">
                  <c:v>93.39759</c:v>
                </c:pt>
                <c:pt idx="1266">
                  <c:v>93.39579999999998</c:v>
                </c:pt>
                <c:pt idx="1267">
                  <c:v>93.39286999999997</c:v>
                </c:pt>
                <c:pt idx="1268">
                  <c:v>93.39016</c:v>
                </c:pt>
                <c:pt idx="1269">
                  <c:v>93.38773999999998</c:v>
                </c:pt>
                <c:pt idx="1270">
                  <c:v>93.38578999999935</c:v>
                </c:pt>
                <c:pt idx="1271">
                  <c:v>93.38441</c:v>
                </c:pt>
                <c:pt idx="1272">
                  <c:v>93.38290999999998</c:v>
                </c:pt>
                <c:pt idx="1273">
                  <c:v>93.38101</c:v>
                </c:pt>
                <c:pt idx="1274">
                  <c:v>93.37927999999998</c:v>
                </c:pt>
                <c:pt idx="1275">
                  <c:v>93.37756</c:v>
                </c:pt>
                <c:pt idx="1276">
                  <c:v>93.37623</c:v>
                </c:pt>
                <c:pt idx="1277">
                  <c:v>93.37484999999998</c:v>
                </c:pt>
                <c:pt idx="1278">
                  <c:v>93.37329999999998</c:v>
                </c:pt>
                <c:pt idx="1279">
                  <c:v>93.37104999999998</c:v>
                </c:pt>
                <c:pt idx="1280">
                  <c:v>93.36886</c:v>
                </c:pt>
                <c:pt idx="1281">
                  <c:v>93.3665</c:v>
                </c:pt>
                <c:pt idx="1282">
                  <c:v>93.36466</c:v>
                </c:pt>
                <c:pt idx="1283">
                  <c:v>93.36328</c:v>
                </c:pt>
                <c:pt idx="1284">
                  <c:v>93.36224</c:v>
                </c:pt>
                <c:pt idx="1285">
                  <c:v>93.36017</c:v>
                </c:pt>
                <c:pt idx="1286">
                  <c:v>93.35803999999958</c:v>
                </c:pt>
                <c:pt idx="1287">
                  <c:v>93.35642999999997</c:v>
                </c:pt>
                <c:pt idx="1288">
                  <c:v>93.35510999999998</c:v>
                </c:pt>
                <c:pt idx="1289">
                  <c:v>93.35337999999948</c:v>
                </c:pt>
                <c:pt idx="1290">
                  <c:v>93.35170999999998</c:v>
                </c:pt>
                <c:pt idx="1291">
                  <c:v>93.35016</c:v>
                </c:pt>
                <c:pt idx="1292">
                  <c:v>93.34872</c:v>
                </c:pt>
                <c:pt idx="1293">
                  <c:v>93.34711</c:v>
                </c:pt>
                <c:pt idx="1294">
                  <c:v>93.34543999999998</c:v>
                </c:pt>
                <c:pt idx="1295">
                  <c:v>93.34388</c:v>
                </c:pt>
                <c:pt idx="1296">
                  <c:v>93.34227000000001</c:v>
                </c:pt>
                <c:pt idx="1297">
                  <c:v>93.34049</c:v>
                </c:pt>
                <c:pt idx="1298">
                  <c:v>93.33853</c:v>
                </c:pt>
                <c:pt idx="1299">
                  <c:v>93.33651</c:v>
                </c:pt>
                <c:pt idx="1300">
                  <c:v>93.33433</c:v>
                </c:pt>
                <c:pt idx="1301">
                  <c:v>93.33202</c:v>
                </c:pt>
                <c:pt idx="1302">
                  <c:v>93.33041</c:v>
                </c:pt>
                <c:pt idx="1303">
                  <c:v>93.32915</c:v>
                </c:pt>
                <c:pt idx="1304">
                  <c:v>93.32782</c:v>
                </c:pt>
                <c:pt idx="1305">
                  <c:v>93.32568999999998</c:v>
                </c:pt>
                <c:pt idx="1306">
                  <c:v>93.32384999999998</c:v>
                </c:pt>
                <c:pt idx="1307">
                  <c:v>93.32229999999998</c:v>
                </c:pt>
                <c:pt idx="1308">
                  <c:v>93.32044999999998</c:v>
                </c:pt>
                <c:pt idx="1309">
                  <c:v>93.31883999999998</c:v>
                </c:pt>
                <c:pt idx="1310">
                  <c:v>93.31763</c:v>
                </c:pt>
                <c:pt idx="1311">
                  <c:v>93.31608</c:v>
                </c:pt>
                <c:pt idx="1312">
                  <c:v>93.31447</c:v>
                </c:pt>
                <c:pt idx="1313">
                  <c:v>93.31291</c:v>
                </c:pt>
                <c:pt idx="1314">
                  <c:v>93.31113</c:v>
                </c:pt>
                <c:pt idx="1315">
                  <c:v>93.30939999999998</c:v>
                </c:pt>
                <c:pt idx="1316">
                  <c:v>93.30802</c:v>
                </c:pt>
                <c:pt idx="1317">
                  <c:v>93.30601</c:v>
                </c:pt>
                <c:pt idx="1318">
                  <c:v>93.30387999999998</c:v>
                </c:pt>
                <c:pt idx="1319">
                  <c:v>93.30208999999998</c:v>
                </c:pt>
                <c:pt idx="1320">
                  <c:v>93.30025</c:v>
                </c:pt>
                <c:pt idx="1321">
                  <c:v>93.29829</c:v>
                </c:pt>
                <c:pt idx="1322">
                  <c:v>93.29645</c:v>
                </c:pt>
                <c:pt idx="1323">
                  <c:v>93.29484</c:v>
                </c:pt>
                <c:pt idx="1324">
                  <c:v>93.29363</c:v>
                </c:pt>
                <c:pt idx="1325">
                  <c:v>93.29254</c:v>
                </c:pt>
                <c:pt idx="1326">
                  <c:v>93.29104</c:v>
                </c:pt>
                <c:pt idx="1327">
                  <c:v>93.28931</c:v>
                </c:pt>
                <c:pt idx="1328">
                  <c:v>93.28759</c:v>
                </c:pt>
                <c:pt idx="1329">
                  <c:v>93.28569</c:v>
                </c:pt>
                <c:pt idx="1330">
                  <c:v>93.2835</c:v>
                </c:pt>
                <c:pt idx="1331">
                  <c:v>93.28149</c:v>
                </c:pt>
                <c:pt idx="1332">
                  <c:v>93.27946999999997</c:v>
                </c:pt>
                <c:pt idx="1333">
                  <c:v>93.27814999999998</c:v>
                </c:pt>
                <c:pt idx="1334">
                  <c:v>93.27705</c:v>
                </c:pt>
                <c:pt idx="1335">
                  <c:v>93.27596</c:v>
                </c:pt>
                <c:pt idx="1336">
                  <c:v>93.27537999999915</c:v>
                </c:pt>
                <c:pt idx="1337">
                  <c:v>93.2732</c:v>
                </c:pt>
                <c:pt idx="1338">
                  <c:v>93.27071999999998</c:v>
                </c:pt>
                <c:pt idx="1339">
                  <c:v>93.26847999999998</c:v>
                </c:pt>
                <c:pt idx="1340">
                  <c:v>93.26675</c:v>
                </c:pt>
                <c:pt idx="1341">
                  <c:v>93.26468</c:v>
                </c:pt>
                <c:pt idx="1342">
                  <c:v>93.26289</c:v>
                </c:pt>
                <c:pt idx="1343">
                  <c:v>93.26134</c:v>
                </c:pt>
                <c:pt idx="1344">
                  <c:v>93.25983999999998</c:v>
                </c:pt>
                <c:pt idx="1345">
                  <c:v>93.258</c:v>
                </c:pt>
                <c:pt idx="1346">
                  <c:v>93.25638999999998</c:v>
                </c:pt>
                <c:pt idx="1347">
                  <c:v>93.25455</c:v>
                </c:pt>
                <c:pt idx="1348">
                  <c:v>93.2523</c:v>
                </c:pt>
                <c:pt idx="1349">
                  <c:v>93.25052</c:v>
                </c:pt>
                <c:pt idx="1350">
                  <c:v>93.24891</c:v>
                </c:pt>
                <c:pt idx="1351">
                  <c:v>93.24758</c:v>
                </c:pt>
                <c:pt idx="1352">
                  <c:v>93.2462</c:v>
                </c:pt>
                <c:pt idx="1353">
                  <c:v>93.24476</c:v>
                </c:pt>
                <c:pt idx="1354">
                  <c:v>93.2428</c:v>
                </c:pt>
                <c:pt idx="1355">
                  <c:v>93.24062</c:v>
                </c:pt>
                <c:pt idx="1356">
                  <c:v>93.23912</c:v>
                </c:pt>
                <c:pt idx="1357">
                  <c:v>93.23831</c:v>
                </c:pt>
                <c:pt idx="1358">
                  <c:v>93.23791</c:v>
                </c:pt>
                <c:pt idx="1359">
                  <c:v>93.23653</c:v>
                </c:pt>
                <c:pt idx="1360">
                  <c:v>93.23446</c:v>
                </c:pt>
                <c:pt idx="1361">
                  <c:v>93.23175</c:v>
                </c:pt>
                <c:pt idx="1362">
                  <c:v>93.22928</c:v>
                </c:pt>
                <c:pt idx="1363">
                  <c:v>93.22698</c:v>
                </c:pt>
                <c:pt idx="1364">
                  <c:v>93.22485</c:v>
                </c:pt>
                <c:pt idx="1365">
                  <c:v>93.22306</c:v>
                </c:pt>
                <c:pt idx="1366">
                  <c:v>93.22197000000001</c:v>
                </c:pt>
                <c:pt idx="1367">
                  <c:v>93.22059</c:v>
                </c:pt>
                <c:pt idx="1368">
                  <c:v>93.21943</c:v>
                </c:pt>
                <c:pt idx="1369">
                  <c:v>93.21823</c:v>
                </c:pt>
                <c:pt idx="1370">
                  <c:v>93.21604</c:v>
                </c:pt>
                <c:pt idx="1371">
                  <c:v>93.2142</c:v>
                </c:pt>
                <c:pt idx="1372">
                  <c:v>93.21299</c:v>
                </c:pt>
                <c:pt idx="1373">
                  <c:v>93.21166</c:v>
                </c:pt>
                <c:pt idx="1374">
                  <c:v>93.20988</c:v>
                </c:pt>
                <c:pt idx="1375">
                  <c:v>93.20763</c:v>
                </c:pt>
                <c:pt idx="1376">
                  <c:v>93.20597</c:v>
                </c:pt>
                <c:pt idx="1377">
                  <c:v>93.20441</c:v>
                </c:pt>
                <c:pt idx="1378">
                  <c:v>93.20291</c:v>
                </c:pt>
                <c:pt idx="1379">
                  <c:v>93.20101</c:v>
                </c:pt>
                <c:pt idx="1380">
                  <c:v>93.19923</c:v>
                </c:pt>
                <c:pt idx="1381">
                  <c:v>93.1975</c:v>
                </c:pt>
                <c:pt idx="1382">
                  <c:v>93.19624</c:v>
                </c:pt>
                <c:pt idx="1383">
                  <c:v>93.1948</c:v>
                </c:pt>
                <c:pt idx="1384">
                  <c:v>93.19319</c:v>
                </c:pt>
                <c:pt idx="1385">
                  <c:v>93.19133999999998</c:v>
                </c:pt>
                <c:pt idx="1386">
                  <c:v>93.18949999999998</c:v>
                </c:pt>
                <c:pt idx="1387">
                  <c:v>93.18857999999958</c:v>
                </c:pt>
                <c:pt idx="1388">
                  <c:v>93.1872</c:v>
                </c:pt>
                <c:pt idx="1389">
                  <c:v>93.18477999999975</c:v>
                </c:pt>
                <c:pt idx="1390">
                  <c:v>93.18299999999998</c:v>
                </c:pt>
                <c:pt idx="1391">
                  <c:v>93.1811</c:v>
                </c:pt>
                <c:pt idx="1392">
                  <c:v>93.17902999999998</c:v>
                </c:pt>
                <c:pt idx="1393">
                  <c:v>93.17729999999997</c:v>
                </c:pt>
                <c:pt idx="1394">
                  <c:v>93.17591999999995</c:v>
                </c:pt>
                <c:pt idx="1395">
                  <c:v>93.17481999999998</c:v>
                </c:pt>
                <c:pt idx="1396">
                  <c:v>93.17355999999998</c:v>
                </c:pt>
                <c:pt idx="1397">
                  <c:v>93.17205999999958</c:v>
                </c:pt>
                <c:pt idx="1398">
                  <c:v>93.1703899999991</c:v>
                </c:pt>
                <c:pt idx="1399">
                  <c:v>93.16854999999998</c:v>
                </c:pt>
                <c:pt idx="1400">
                  <c:v>93.16647999999998</c:v>
                </c:pt>
                <c:pt idx="1401">
                  <c:v>93.16469</c:v>
                </c:pt>
                <c:pt idx="1402">
                  <c:v>93.16244999999998</c:v>
                </c:pt>
                <c:pt idx="1403">
                  <c:v>93.15992</c:v>
                </c:pt>
                <c:pt idx="1404">
                  <c:v>93.15801999999998</c:v>
                </c:pt>
                <c:pt idx="1405">
                  <c:v>93.15652</c:v>
                </c:pt>
                <c:pt idx="1406">
                  <c:v>93.15519999999998</c:v>
                </c:pt>
                <c:pt idx="1407">
                  <c:v>93.15317999999998</c:v>
                </c:pt>
                <c:pt idx="1408">
                  <c:v>93.15117</c:v>
                </c:pt>
                <c:pt idx="1409">
                  <c:v>93.14967</c:v>
                </c:pt>
                <c:pt idx="1410">
                  <c:v>93.14857999999998</c:v>
                </c:pt>
                <c:pt idx="1411">
                  <c:v>93.14696</c:v>
                </c:pt>
                <c:pt idx="1412">
                  <c:v>93.14489</c:v>
                </c:pt>
                <c:pt idx="1413">
                  <c:v>93.14287999999995</c:v>
                </c:pt>
                <c:pt idx="1414">
                  <c:v>93.1415</c:v>
                </c:pt>
                <c:pt idx="1415">
                  <c:v>93.1404</c:v>
                </c:pt>
                <c:pt idx="1416">
                  <c:v>93.13867999999998</c:v>
                </c:pt>
                <c:pt idx="1417">
                  <c:v>93.13695</c:v>
                </c:pt>
                <c:pt idx="1418">
                  <c:v>93.13499</c:v>
                </c:pt>
                <c:pt idx="1419">
                  <c:v>93.13285999999998</c:v>
                </c:pt>
                <c:pt idx="1420">
                  <c:v>93.13125</c:v>
                </c:pt>
                <c:pt idx="1421">
                  <c:v>93.1305</c:v>
                </c:pt>
                <c:pt idx="1422">
                  <c:v>93.12963999999998</c:v>
                </c:pt>
                <c:pt idx="1423">
                  <c:v>93.12854999999985</c:v>
                </c:pt>
                <c:pt idx="1424">
                  <c:v>93.12698999999998</c:v>
                </c:pt>
                <c:pt idx="1425">
                  <c:v>93.12452</c:v>
                </c:pt>
                <c:pt idx="1426">
                  <c:v>93.12307999999958</c:v>
                </c:pt>
                <c:pt idx="1427">
                  <c:v>93.12174999999995</c:v>
                </c:pt>
                <c:pt idx="1428">
                  <c:v>93.12026</c:v>
                </c:pt>
                <c:pt idx="1429">
                  <c:v>93.11853</c:v>
                </c:pt>
                <c:pt idx="1430">
                  <c:v>93.1164</c:v>
                </c:pt>
                <c:pt idx="1431">
                  <c:v>93.11437999999998</c:v>
                </c:pt>
                <c:pt idx="1432">
                  <c:v>93.11242999999997</c:v>
                </c:pt>
                <c:pt idx="1433">
                  <c:v>93.1111</c:v>
                </c:pt>
                <c:pt idx="1434">
                  <c:v>93.10885999999998</c:v>
                </c:pt>
                <c:pt idx="1435">
                  <c:v>93.10689999999998</c:v>
                </c:pt>
                <c:pt idx="1436">
                  <c:v>93.10505999999998</c:v>
                </c:pt>
                <c:pt idx="1437">
                  <c:v>93.10322</c:v>
                </c:pt>
                <c:pt idx="1438">
                  <c:v>93.10177999999995</c:v>
                </c:pt>
                <c:pt idx="1439">
                  <c:v>93.10017</c:v>
                </c:pt>
                <c:pt idx="1440">
                  <c:v>93.0981</c:v>
                </c:pt>
                <c:pt idx="1441">
                  <c:v>93.09689</c:v>
                </c:pt>
                <c:pt idx="1442">
                  <c:v>93.09585</c:v>
                </c:pt>
                <c:pt idx="1443">
                  <c:v>93.09464</c:v>
                </c:pt>
                <c:pt idx="1444">
                  <c:v>93.09309</c:v>
                </c:pt>
                <c:pt idx="1445">
                  <c:v>93.09067</c:v>
                </c:pt>
                <c:pt idx="1446">
                  <c:v>93.08847999999985</c:v>
                </c:pt>
                <c:pt idx="1447">
                  <c:v>93.08658</c:v>
                </c:pt>
                <c:pt idx="1448">
                  <c:v>93.08531999999998</c:v>
                </c:pt>
                <c:pt idx="1449">
                  <c:v>93.08399</c:v>
                </c:pt>
                <c:pt idx="1450">
                  <c:v>93.08192</c:v>
                </c:pt>
                <c:pt idx="1451">
                  <c:v>93.07991</c:v>
                </c:pt>
                <c:pt idx="1452">
                  <c:v>93.07840999999995</c:v>
                </c:pt>
                <c:pt idx="1453">
                  <c:v>93.07748999999998</c:v>
                </c:pt>
                <c:pt idx="1454">
                  <c:v>93.07611</c:v>
                </c:pt>
                <c:pt idx="1455">
                  <c:v>93.07421</c:v>
                </c:pt>
                <c:pt idx="1456">
                  <c:v>93.07270999999938</c:v>
                </c:pt>
                <c:pt idx="1457">
                  <c:v>93.07097999999995</c:v>
                </c:pt>
                <c:pt idx="1458">
                  <c:v>93.06937</c:v>
                </c:pt>
                <c:pt idx="1459">
                  <c:v>93.06776</c:v>
                </c:pt>
                <c:pt idx="1460">
                  <c:v>93.06603000000001</c:v>
                </c:pt>
                <c:pt idx="1461">
                  <c:v>93.06442</c:v>
                </c:pt>
                <c:pt idx="1462">
                  <c:v>93.06269</c:v>
                </c:pt>
                <c:pt idx="1463">
                  <c:v>93.06085</c:v>
                </c:pt>
                <c:pt idx="1464">
                  <c:v>93.05871999999998</c:v>
                </c:pt>
                <c:pt idx="1465">
                  <c:v>93.05693999999998</c:v>
                </c:pt>
                <c:pt idx="1466">
                  <c:v>93.05543999999995</c:v>
                </c:pt>
                <c:pt idx="1467">
                  <c:v>93.05372</c:v>
                </c:pt>
                <c:pt idx="1468">
                  <c:v>93.05193000000001</c:v>
                </c:pt>
                <c:pt idx="1469">
                  <c:v>93.04992</c:v>
                </c:pt>
                <c:pt idx="1470">
                  <c:v>93.04819</c:v>
                </c:pt>
                <c:pt idx="1471">
                  <c:v>93.04658</c:v>
                </c:pt>
                <c:pt idx="1472">
                  <c:v>93.0452</c:v>
                </c:pt>
                <c:pt idx="1473">
                  <c:v>93.04399</c:v>
                </c:pt>
                <c:pt idx="1474">
                  <c:v>93.04249</c:v>
                </c:pt>
                <c:pt idx="1475">
                  <c:v>93.04122</c:v>
                </c:pt>
                <c:pt idx="1476">
                  <c:v>93.03944</c:v>
                </c:pt>
                <c:pt idx="1477">
                  <c:v>93.03777</c:v>
                </c:pt>
                <c:pt idx="1478">
                  <c:v>93.03627</c:v>
                </c:pt>
                <c:pt idx="1479">
                  <c:v>93.03426</c:v>
                </c:pt>
                <c:pt idx="1480">
                  <c:v>93.03265</c:v>
                </c:pt>
                <c:pt idx="1481">
                  <c:v>93.03132</c:v>
                </c:pt>
                <c:pt idx="1482">
                  <c:v>93.02947999999998</c:v>
                </c:pt>
                <c:pt idx="1483">
                  <c:v>93.02758</c:v>
                </c:pt>
                <c:pt idx="1484">
                  <c:v>93.02550999999998</c:v>
                </c:pt>
                <c:pt idx="1485">
                  <c:v>93.02372999999998</c:v>
                </c:pt>
                <c:pt idx="1486">
                  <c:v>93.02256999999997</c:v>
                </c:pt>
                <c:pt idx="1487">
                  <c:v>93.02084999999998</c:v>
                </c:pt>
                <c:pt idx="1488">
                  <c:v>93.01855</c:v>
                </c:pt>
                <c:pt idx="1489">
                  <c:v>93.01665</c:v>
                </c:pt>
                <c:pt idx="1490">
                  <c:v>93.01486</c:v>
                </c:pt>
                <c:pt idx="1491">
                  <c:v>93.01238999999998</c:v>
                </c:pt>
                <c:pt idx="1492">
                  <c:v>93.01083000000001</c:v>
                </c:pt>
                <c:pt idx="1493">
                  <c:v>93.00957</c:v>
                </c:pt>
                <c:pt idx="1494">
                  <c:v>93.00813</c:v>
                </c:pt>
                <c:pt idx="1495">
                  <c:v>93.00669</c:v>
                </c:pt>
                <c:pt idx="1496">
                  <c:v>93.00507999999998</c:v>
                </c:pt>
                <c:pt idx="1497">
                  <c:v>93.00318</c:v>
                </c:pt>
                <c:pt idx="1498">
                  <c:v>93.00151</c:v>
                </c:pt>
                <c:pt idx="1499">
                  <c:v>92.9999</c:v>
                </c:pt>
                <c:pt idx="1500">
                  <c:v>92.99846</c:v>
                </c:pt>
                <c:pt idx="1501">
                  <c:v>92.9969</c:v>
                </c:pt>
                <c:pt idx="1502">
                  <c:v>92.99523</c:v>
                </c:pt>
                <c:pt idx="1503">
                  <c:v>92.99351</c:v>
                </c:pt>
                <c:pt idx="1504">
                  <c:v>92.99189</c:v>
                </c:pt>
                <c:pt idx="1505">
                  <c:v>92.99011</c:v>
                </c:pt>
                <c:pt idx="1506">
                  <c:v>92.9885</c:v>
                </c:pt>
                <c:pt idx="1507">
                  <c:v>92.9866</c:v>
                </c:pt>
                <c:pt idx="1508">
                  <c:v>92.98464</c:v>
                </c:pt>
                <c:pt idx="1509">
                  <c:v>92.98263</c:v>
                </c:pt>
                <c:pt idx="1510">
                  <c:v>92.98077999999998</c:v>
                </c:pt>
                <c:pt idx="1511">
                  <c:v>92.97906</c:v>
                </c:pt>
                <c:pt idx="1512">
                  <c:v>92.9771</c:v>
                </c:pt>
                <c:pt idx="1513">
                  <c:v>92.97542999999997</c:v>
                </c:pt>
                <c:pt idx="1514">
                  <c:v>92.97417</c:v>
                </c:pt>
                <c:pt idx="1515">
                  <c:v>92.97243999999998</c:v>
                </c:pt>
                <c:pt idx="1516">
                  <c:v>92.9714</c:v>
                </c:pt>
                <c:pt idx="1517">
                  <c:v>92.9691</c:v>
                </c:pt>
                <c:pt idx="1518">
                  <c:v>92.96651</c:v>
                </c:pt>
                <c:pt idx="1519">
                  <c:v>92.96484</c:v>
                </c:pt>
                <c:pt idx="1520">
                  <c:v>92.96346</c:v>
                </c:pt>
                <c:pt idx="1521">
                  <c:v>92.96179</c:v>
                </c:pt>
                <c:pt idx="1522">
                  <c:v>92.96047</c:v>
                </c:pt>
                <c:pt idx="1523">
                  <c:v>92.95873999999995</c:v>
                </c:pt>
                <c:pt idx="1524">
                  <c:v>92.95713</c:v>
                </c:pt>
                <c:pt idx="1525">
                  <c:v>92.95523</c:v>
                </c:pt>
                <c:pt idx="1526">
                  <c:v>92.95356</c:v>
                </c:pt>
                <c:pt idx="1527">
                  <c:v>92.95200000000001</c:v>
                </c:pt>
                <c:pt idx="1528">
                  <c:v>92.95062</c:v>
                </c:pt>
                <c:pt idx="1529">
                  <c:v>92.94913</c:v>
                </c:pt>
                <c:pt idx="1530">
                  <c:v>92.94705</c:v>
                </c:pt>
                <c:pt idx="1531">
                  <c:v>92.94504</c:v>
                </c:pt>
                <c:pt idx="1532">
                  <c:v>92.9432</c:v>
                </c:pt>
                <c:pt idx="1533">
                  <c:v>92.94164</c:v>
                </c:pt>
                <c:pt idx="1534">
                  <c:v>92.94026</c:v>
                </c:pt>
                <c:pt idx="1535">
                  <c:v>92.93859</c:v>
                </c:pt>
                <c:pt idx="1536">
                  <c:v>92.93658</c:v>
                </c:pt>
                <c:pt idx="1537">
                  <c:v>92.93462</c:v>
                </c:pt>
                <c:pt idx="1538">
                  <c:v>92.93249</c:v>
                </c:pt>
                <c:pt idx="1539">
                  <c:v>92.93048</c:v>
                </c:pt>
                <c:pt idx="1540">
                  <c:v>92.92892</c:v>
                </c:pt>
                <c:pt idx="1541">
                  <c:v>92.92708</c:v>
                </c:pt>
                <c:pt idx="1542">
                  <c:v>92.92512</c:v>
                </c:pt>
                <c:pt idx="1543">
                  <c:v>92.92311</c:v>
                </c:pt>
                <c:pt idx="1544">
                  <c:v>92.92132</c:v>
                </c:pt>
                <c:pt idx="1545">
                  <c:v>92.91988</c:v>
                </c:pt>
                <c:pt idx="1546">
                  <c:v>92.91839</c:v>
                </c:pt>
                <c:pt idx="1547">
                  <c:v>92.91609</c:v>
                </c:pt>
                <c:pt idx="1548">
                  <c:v>92.91407</c:v>
                </c:pt>
                <c:pt idx="1549">
                  <c:v>92.91246</c:v>
                </c:pt>
                <c:pt idx="1550">
                  <c:v>92.91091</c:v>
                </c:pt>
                <c:pt idx="1551">
                  <c:v>92.90958</c:v>
                </c:pt>
                <c:pt idx="1552">
                  <c:v>92.90791</c:v>
                </c:pt>
                <c:pt idx="1553">
                  <c:v>92.90619</c:v>
                </c:pt>
                <c:pt idx="1554">
                  <c:v>92.90446</c:v>
                </c:pt>
                <c:pt idx="1555">
                  <c:v>92.90273</c:v>
                </c:pt>
                <c:pt idx="1556">
                  <c:v>92.90095</c:v>
                </c:pt>
                <c:pt idx="1557">
                  <c:v>92.89945</c:v>
                </c:pt>
                <c:pt idx="1558">
                  <c:v>92.89806999999997</c:v>
                </c:pt>
                <c:pt idx="1559">
                  <c:v>92.89623</c:v>
                </c:pt>
                <c:pt idx="1560">
                  <c:v>92.8941</c:v>
                </c:pt>
                <c:pt idx="1561">
                  <c:v>92.89203</c:v>
                </c:pt>
                <c:pt idx="1562">
                  <c:v>92.89001</c:v>
                </c:pt>
                <c:pt idx="1563">
                  <c:v>92.88823</c:v>
                </c:pt>
                <c:pt idx="1564">
                  <c:v>92.88632999999998</c:v>
                </c:pt>
                <c:pt idx="1565">
                  <c:v>92.88476999999997</c:v>
                </c:pt>
                <c:pt idx="1566">
                  <c:v>92.88292999999997</c:v>
                </c:pt>
                <c:pt idx="1567">
                  <c:v>92.88149</c:v>
                </c:pt>
                <c:pt idx="1568">
                  <c:v>92.87965</c:v>
                </c:pt>
                <c:pt idx="1569">
                  <c:v>92.87757999999998</c:v>
                </c:pt>
                <c:pt idx="1570">
                  <c:v>92.87555999999998</c:v>
                </c:pt>
                <c:pt idx="1571">
                  <c:v>92.8737799999991</c:v>
                </c:pt>
                <c:pt idx="1572">
                  <c:v>92.87175999999998</c:v>
                </c:pt>
                <c:pt idx="1573">
                  <c:v>92.86974999999998</c:v>
                </c:pt>
                <c:pt idx="1574">
                  <c:v>92.86791</c:v>
                </c:pt>
                <c:pt idx="1575">
                  <c:v>92.86618</c:v>
                </c:pt>
                <c:pt idx="1576">
                  <c:v>92.86417</c:v>
                </c:pt>
                <c:pt idx="1577">
                  <c:v>92.86249999999998</c:v>
                </c:pt>
                <c:pt idx="1578">
                  <c:v>92.861</c:v>
                </c:pt>
                <c:pt idx="1579">
                  <c:v>92.86031</c:v>
                </c:pt>
                <c:pt idx="1580">
                  <c:v>92.85972999999998</c:v>
                </c:pt>
                <c:pt idx="1581">
                  <c:v>92.85805999999998</c:v>
                </c:pt>
                <c:pt idx="1582">
                  <c:v>92.85604999999998</c:v>
                </c:pt>
                <c:pt idx="1583">
                  <c:v>92.85409</c:v>
                </c:pt>
                <c:pt idx="1584">
                  <c:v>92.85201999999998</c:v>
                </c:pt>
                <c:pt idx="1585">
                  <c:v>92.85000999999998</c:v>
                </c:pt>
                <c:pt idx="1586">
                  <c:v>92.84799</c:v>
                </c:pt>
                <c:pt idx="1587">
                  <c:v>92.84586</c:v>
                </c:pt>
                <c:pt idx="1588">
                  <c:v>92.84431</c:v>
                </c:pt>
                <c:pt idx="1589">
                  <c:v>92.84252</c:v>
                </c:pt>
                <c:pt idx="1590">
                  <c:v>92.84062</c:v>
                </c:pt>
                <c:pt idx="1591">
                  <c:v>92.83871999999998</c:v>
                </c:pt>
                <c:pt idx="1592">
                  <c:v>92.83665</c:v>
                </c:pt>
                <c:pt idx="1593">
                  <c:v>92.83498</c:v>
                </c:pt>
                <c:pt idx="1594">
                  <c:v>92.8332</c:v>
                </c:pt>
                <c:pt idx="1595">
                  <c:v>92.83118</c:v>
                </c:pt>
                <c:pt idx="1596">
                  <c:v>92.82923</c:v>
                </c:pt>
                <c:pt idx="1597">
                  <c:v>92.82737999999995</c:v>
                </c:pt>
                <c:pt idx="1598">
                  <c:v>92.82547999999925</c:v>
                </c:pt>
                <c:pt idx="1599">
                  <c:v>92.82369999999997</c:v>
                </c:pt>
                <c:pt idx="1600">
                  <c:v>92.82169</c:v>
                </c:pt>
                <c:pt idx="1601">
                  <c:v>92.82029999999997</c:v>
                </c:pt>
                <c:pt idx="1602">
                  <c:v>92.81932</c:v>
                </c:pt>
                <c:pt idx="1603">
                  <c:v>92.81783</c:v>
                </c:pt>
                <c:pt idx="1604">
                  <c:v>92.81586999999997</c:v>
                </c:pt>
                <c:pt idx="1605">
                  <c:v>92.8138</c:v>
                </c:pt>
                <c:pt idx="1606">
                  <c:v>92.81184</c:v>
                </c:pt>
                <c:pt idx="1607">
                  <c:v>92.80993999999998</c:v>
                </c:pt>
                <c:pt idx="1608">
                  <c:v>92.80781</c:v>
                </c:pt>
                <c:pt idx="1609">
                  <c:v>92.80609</c:v>
                </c:pt>
                <c:pt idx="1610">
                  <c:v>92.80442</c:v>
                </c:pt>
                <c:pt idx="1611">
                  <c:v>92.80292</c:v>
                </c:pt>
                <c:pt idx="1612">
                  <c:v>92.80131</c:v>
                </c:pt>
                <c:pt idx="1613">
                  <c:v>92.79952</c:v>
                </c:pt>
                <c:pt idx="1614">
                  <c:v>92.79791</c:v>
                </c:pt>
                <c:pt idx="1615">
                  <c:v>92.79619</c:v>
                </c:pt>
                <c:pt idx="1616">
                  <c:v>92.79423000000002</c:v>
                </c:pt>
                <c:pt idx="1617">
                  <c:v>92.79244</c:v>
                </c:pt>
                <c:pt idx="1618">
                  <c:v>92.79054</c:v>
                </c:pt>
                <c:pt idx="1619">
                  <c:v>92.78864</c:v>
                </c:pt>
                <c:pt idx="1620">
                  <c:v>92.78698</c:v>
                </c:pt>
                <c:pt idx="1621">
                  <c:v>92.78507999999998</c:v>
                </c:pt>
                <c:pt idx="1622">
                  <c:v>92.78312</c:v>
                </c:pt>
                <c:pt idx="1623">
                  <c:v>92.78122</c:v>
                </c:pt>
                <c:pt idx="1624">
                  <c:v>92.77932</c:v>
                </c:pt>
                <c:pt idx="1625">
                  <c:v>92.77736</c:v>
                </c:pt>
                <c:pt idx="1626">
                  <c:v>92.77534999999965</c:v>
                </c:pt>
                <c:pt idx="1627">
                  <c:v>92.77344999999998</c:v>
                </c:pt>
                <c:pt idx="1628">
                  <c:v>92.77177999999998</c:v>
                </c:pt>
                <c:pt idx="1629">
                  <c:v>92.77005</c:v>
                </c:pt>
                <c:pt idx="1630">
                  <c:v>92.76856</c:v>
                </c:pt>
                <c:pt idx="1631">
                  <c:v>92.76677</c:v>
                </c:pt>
                <c:pt idx="1632">
                  <c:v>92.76487</c:v>
                </c:pt>
                <c:pt idx="1633">
                  <c:v>92.76338</c:v>
                </c:pt>
                <c:pt idx="1634">
                  <c:v>92.76188</c:v>
                </c:pt>
                <c:pt idx="1635">
                  <c:v>92.75998</c:v>
                </c:pt>
                <c:pt idx="1636">
                  <c:v>92.75819</c:v>
                </c:pt>
                <c:pt idx="1637">
                  <c:v>92.75658</c:v>
                </c:pt>
                <c:pt idx="1638">
                  <c:v>92.75486</c:v>
                </c:pt>
                <c:pt idx="1639">
                  <c:v>92.75301</c:v>
                </c:pt>
                <c:pt idx="1640">
                  <c:v>92.7514</c:v>
                </c:pt>
                <c:pt idx="1641">
                  <c:v>92.74968</c:v>
                </c:pt>
                <c:pt idx="1642">
                  <c:v>92.74801</c:v>
                </c:pt>
                <c:pt idx="1643">
                  <c:v>92.74634</c:v>
                </c:pt>
                <c:pt idx="1644">
                  <c:v>92.74461</c:v>
                </c:pt>
                <c:pt idx="1645">
                  <c:v>92.74277</c:v>
                </c:pt>
                <c:pt idx="1646">
                  <c:v>92.74121</c:v>
                </c:pt>
                <c:pt idx="1647">
                  <c:v>92.73966</c:v>
                </c:pt>
                <c:pt idx="1648">
                  <c:v>92.73776</c:v>
                </c:pt>
                <c:pt idx="1649">
                  <c:v>92.73569</c:v>
                </c:pt>
                <c:pt idx="1650">
                  <c:v>92.73373</c:v>
                </c:pt>
                <c:pt idx="1651">
                  <c:v>92.7316</c:v>
                </c:pt>
                <c:pt idx="1652">
                  <c:v>92.72976</c:v>
                </c:pt>
                <c:pt idx="1653">
                  <c:v>92.72792</c:v>
                </c:pt>
                <c:pt idx="1654">
                  <c:v>92.72625</c:v>
                </c:pt>
                <c:pt idx="1655">
                  <c:v>92.72464</c:v>
                </c:pt>
                <c:pt idx="1656">
                  <c:v>92.72325</c:v>
                </c:pt>
                <c:pt idx="1657">
                  <c:v>92.72159</c:v>
                </c:pt>
                <c:pt idx="1658">
                  <c:v>92.72015</c:v>
                </c:pt>
                <c:pt idx="1659">
                  <c:v>92.71848</c:v>
                </c:pt>
                <c:pt idx="1660">
                  <c:v>92.71733</c:v>
                </c:pt>
                <c:pt idx="1661">
                  <c:v>92.71514</c:v>
                </c:pt>
                <c:pt idx="1662">
                  <c:v>92.71307</c:v>
                </c:pt>
                <c:pt idx="1663">
                  <c:v>92.71128</c:v>
                </c:pt>
                <c:pt idx="1664">
                  <c:v>92.70956</c:v>
                </c:pt>
                <c:pt idx="1665">
                  <c:v>92.70794</c:v>
                </c:pt>
                <c:pt idx="1666">
                  <c:v>92.70639</c:v>
                </c:pt>
                <c:pt idx="1667">
                  <c:v>92.70472</c:v>
                </c:pt>
                <c:pt idx="1668">
                  <c:v>92.70265</c:v>
                </c:pt>
                <c:pt idx="1669">
                  <c:v>92.70075</c:v>
                </c:pt>
                <c:pt idx="1670">
                  <c:v>92.69907999999998</c:v>
                </c:pt>
                <c:pt idx="1671">
                  <c:v>92.69718</c:v>
                </c:pt>
                <c:pt idx="1672">
                  <c:v>92.69544999999998</c:v>
                </c:pt>
                <c:pt idx="1673">
                  <c:v>92.6939</c:v>
                </c:pt>
                <c:pt idx="1674">
                  <c:v>92.69223</c:v>
                </c:pt>
                <c:pt idx="1675">
                  <c:v>92.69056</c:v>
                </c:pt>
                <c:pt idx="1676">
                  <c:v>92.68877999999897</c:v>
                </c:pt>
                <c:pt idx="1677">
                  <c:v>92.68698999999998</c:v>
                </c:pt>
                <c:pt idx="1678">
                  <c:v>92.68537999999903</c:v>
                </c:pt>
                <c:pt idx="1679">
                  <c:v>92.68399999999998</c:v>
                </c:pt>
                <c:pt idx="1680">
                  <c:v>92.68243999999925</c:v>
                </c:pt>
                <c:pt idx="1681">
                  <c:v>92.68082999999998</c:v>
                </c:pt>
                <c:pt idx="1682">
                  <c:v>92.67922</c:v>
                </c:pt>
                <c:pt idx="1683">
                  <c:v>92.67737999999925</c:v>
                </c:pt>
                <c:pt idx="1684">
                  <c:v>92.6753599999991</c:v>
                </c:pt>
                <c:pt idx="1685">
                  <c:v>92.67351999999998</c:v>
                </c:pt>
                <c:pt idx="1686">
                  <c:v>92.67156</c:v>
                </c:pt>
                <c:pt idx="1687">
                  <c:v>92.66972</c:v>
                </c:pt>
                <c:pt idx="1688">
                  <c:v>92.66794</c:v>
                </c:pt>
                <c:pt idx="1689">
                  <c:v>92.66632999999997</c:v>
                </c:pt>
                <c:pt idx="1690">
                  <c:v>92.66466</c:v>
                </c:pt>
                <c:pt idx="1691">
                  <c:v>92.66286999999998</c:v>
                </c:pt>
                <c:pt idx="1692">
                  <c:v>92.66103</c:v>
                </c:pt>
                <c:pt idx="1693">
                  <c:v>92.65925</c:v>
                </c:pt>
                <c:pt idx="1694">
                  <c:v>92.65746</c:v>
                </c:pt>
                <c:pt idx="1695">
                  <c:v>92.65555999999998</c:v>
                </c:pt>
                <c:pt idx="1696">
                  <c:v>92.6537799999991</c:v>
                </c:pt>
                <c:pt idx="1697">
                  <c:v>92.65210999999998</c:v>
                </c:pt>
                <c:pt idx="1698">
                  <c:v>92.65043999999965</c:v>
                </c:pt>
                <c:pt idx="1699">
                  <c:v>92.6486</c:v>
                </c:pt>
                <c:pt idx="1700">
                  <c:v>92.64699</c:v>
                </c:pt>
                <c:pt idx="1701">
                  <c:v>92.64582999999997</c:v>
                </c:pt>
                <c:pt idx="1702">
                  <c:v>92.64353000000001</c:v>
                </c:pt>
                <c:pt idx="1703">
                  <c:v>92.64146</c:v>
                </c:pt>
                <c:pt idx="1704">
                  <c:v>92.63972999999998</c:v>
                </c:pt>
                <c:pt idx="1705">
                  <c:v>92.63800999999998</c:v>
                </c:pt>
                <c:pt idx="1706">
                  <c:v>92.63644999999998</c:v>
                </c:pt>
                <c:pt idx="1707">
                  <c:v>92.63477999999998</c:v>
                </c:pt>
                <c:pt idx="1708">
                  <c:v>92.63299999999998</c:v>
                </c:pt>
                <c:pt idx="1709">
                  <c:v>92.63121</c:v>
                </c:pt>
                <c:pt idx="1710">
                  <c:v>92.62959999999998</c:v>
                </c:pt>
                <c:pt idx="1711">
                  <c:v>92.62782</c:v>
                </c:pt>
                <c:pt idx="1712">
                  <c:v>92.62602999999998</c:v>
                </c:pt>
                <c:pt idx="1713">
                  <c:v>92.62413</c:v>
                </c:pt>
                <c:pt idx="1714">
                  <c:v>92.62228999999998</c:v>
                </c:pt>
                <c:pt idx="1715">
                  <c:v>92.62067999999998</c:v>
                </c:pt>
                <c:pt idx="1716">
                  <c:v>92.61907</c:v>
                </c:pt>
                <c:pt idx="1717">
                  <c:v>92.61734</c:v>
                </c:pt>
                <c:pt idx="1718">
                  <c:v>92.61556</c:v>
                </c:pt>
                <c:pt idx="1719">
                  <c:v>92.61366</c:v>
                </c:pt>
                <c:pt idx="1720">
                  <c:v>92.61182</c:v>
                </c:pt>
                <c:pt idx="1721">
                  <c:v>92.61009</c:v>
                </c:pt>
                <c:pt idx="1722">
                  <c:v>92.60881999999998</c:v>
                </c:pt>
                <c:pt idx="1723">
                  <c:v>92.60715</c:v>
                </c:pt>
                <c:pt idx="1724">
                  <c:v>92.60559999999998</c:v>
                </c:pt>
                <c:pt idx="1725">
                  <c:v>92.60369999999997</c:v>
                </c:pt>
                <c:pt idx="1726">
                  <c:v>92.60157</c:v>
                </c:pt>
                <c:pt idx="1727">
                  <c:v>92.59979</c:v>
                </c:pt>
                <c:pt idx="1728">
                  <c:v>92.59806</c:v>
                </c:pt>
                <c:pt idx="1729">
                  <c:v>92.59604</c:v>
                </c:pt>
                <c:pt idx="1730">
                  <c:v>92.59432</c:v>
                </c:pt>
                <c:pt idx="1731">
                  <c:v>92.59259</c:v>
                </c:pt>
                <c:pt idx="1732">
                  <c:v>92.59086</c:v>
                </c:pt>
                <c:pt idx="1733">
                  <c:v>92.58931</c:v>
                </c:pt>
                <c:pt idx="1734">
                  <c:v>92.58758</c:v>
                </c:pt>
                <c:pt idx="1735">
                  <c:v>92.58596999999997</c:v>
                </c:pt>
                <c:pt idx="1736">
                  <c:v>92.58436</c:v>
                </c:pt>
                <c:pt idx="1737">
                  <c:v>92.58274999999985</c:v>
                </c:pt>
                <c:pt idx="1738">
                  <c:v>92.58125</c:v>
                </c:pt>
                <c:pt idx="1739">
                  <c:v>92.57952</c:v>
                </c:pt>
                <c:pt idx="1740">
                  <c:v>92.57768</c:v>
                </c:pt>
                <c:pt idx="1741">
                  <c:v>92.57571999999985</c:v>
                </c:pt>
                <c:pt idx="1742">
                  <c:v>92.57411</c:v>
                </c:pt>
                <c:pt idx="1743">
                  <c:v>92.57215999999998</c:v>
                </c:pt>
                <c:pt idx="1744">
                  <c:v>92.57013999999998</c:v>
                </c:pt>
                <c:pt idx="1745">
                  <c:v>92.56841</c:v>
                </c:pt>
                <c:pt idx="1746">
                  <c:v>92.56692</c:v>
                </c:pt>
                <c:pt idx="1747">
                  <c:v>92.56519</c:v>
                </c:pt>
                <c:pt idx="1748">
                  <c:v>92.56375</c:v>
                </c:pt>
                <c:pt idx="1749">
                  <c:v>92.56230999999998</c:v>
                </c:pt>
                <c:pt idx="1750">
                  <c:v>92.55977999999975</c:v>
                </c:pt>
                <c:pt idx="1751">
                  <c:v>92.55759</c:v>
                </c:pt>
                <c:pt idx="1752">
                  <c:v>92.55563999999998</c:v>
                </c:pt>
                <c:pt idx="1753">
                  <c:v>92.55378999999998</c:v>
                </c:pt>
                <c:pt idx="1754">
                  <c:v>92.55212</c:v>
                </c:pt>
                <c:pt idx="1755">
                  <c:v>92.55028</c:v>
                </c:pt>
                <c:pt idx="1756">
                  <c:v>92.5481</c:v>
                </c:pt>
                <c:pt idx="1757">
                  <c:v>92.54671</c:v>
                </c:pt>
                <c:pt idx="1758">
                  <c:v>92.54585</c:v>
                </c:pt>
                <c:pt idx="1759">
                  <c:v>92.54407</c:v>
                </c:pt>
                <c:pt idx="1760">
                  <c:v>92.54211</c:v>
                </c:pt>
                <c:pt idx="1761">
                  <c:v>92.54073</c:v>
                </c:pt>
                <c:pt idx="1762">
                  <c:v>92.53952</c:v>
                </c:pt>
                <c:pt idx="1763">
                  <c:v>92.53814</c:v>
                </c:pt>
                <c:pt idx="1764">
                  <c:v>92.53618</c:v>
                </c:pt>
                <c:pt idx="1765">
                  <c:v>92.53387999999998</c:v>
                </c:pt>
                <c:pt idx="1766">
                  <c:v>92.53175</c:v>
                </c:pt>
                <c:pt idx="1767">
                  <c:v>92.53008</c:v>
                </c:pt>
                <c:pt idx="1768">
                  <c:v>92.52874999999958</c:v>
                </c:pt>
                <c:pt idx="1769">
                  <c:v>92.52673999999975</c:v>
                </c:pt>
                <c:pt idx="1770">
                  <c:v>92.52461</c:v>
                </c:pt>
                <c:pt idx="1771">
                  <c:v>92.52265</c:v>
                </c:pt>
                <c:pt idx="1772">
                  <c:v>92.52086999999997</c:v>
                </c:pt>
                <c:pt idx="1773">
                  <c:v>92.51891</c:v>
                </c:pt>
                <c:pt idx="1774">
                  <c:v>92.51701</c:v>
                </c:pt>
                <c:pt idx="1775">
                  <c:v>92.51552</c:v>
                </c:pt>
                <c:pt idx="1776">
                  <c:v>92.51408</c:v>
                </c:pt>
                <c:pt idx="1777">
                  <c:v>92.51241</c:v>
                </c:pt>
                <c:pt idx="1778">
                  <c:v>92.51126</c:v>
                </c:pt>
                <c:pt idx="1779">
                  <c:v>92.50913000000001</c:v>
                </c:pt>
                <c:pt idx="1780">
                  <c:v>92.507</c:v>
                </c:pt>
                <c:pt idx="1781">
                  <c:v>92.5051</c:v>
                </c:pt>
                <c:pt idx="1782">
                  <c:v>92.50336999999997</c:v>
                </c:pt>
                <c:pt idx="1783">
                  <c:v>92.50153</c:v>
                </c:pt>
                <c:pt idx="1784">
                  <c:v>92.49974</c:v>
                </c:pt>
                <c:pt idx="1785">
                  <c:v>92.49796</c:v>
                </c:pt>
                <c:pt idx="1786">
                  <c:v>92.49629</c:v>
                </c:pt>
                <c:pt idx="1787">
                  <c:v>92.49451</c:v>
                </c:pt>
                <c:pt idx="1788">
                  <c:v>92.49261</c:v>
                </c:pt>
                <c:pt idx="1789">
                  <c:v>92.49053</c:v>
                </c:pt>
                <c:pt idx="1790">
                  <c:v>92.48858</c:v>
                </c:pt>
                <c:pt idx="1791">
                  <c:v>92.48673</c:v>
                </c:pt>
                <c:pt idx="1792">
                  <c:v>92.48501</c:v>
                </c:pt>
                <c:pt idx="1793">
                  <c:v>92.48386</c:v>
                </c:pt>
                <c:pt idx="1794">
                  <c:v>92.48247999999998</c:v>
                </c:pt>
                <c:pt idx="1795">
                  <c:v>92.48086</c:v>
                </c:pt>
                <c:pt idx="1796">
                  <c:v>92.47931</c:v>
                </c:pt>
                <c:pt idx="1797">
                  <c:v>92.47770000000001</c:v>
                </c:pt>
                <c:pt idx="1798">
                  <c:v>92.47551</c:v>
                </c:pt>
                <c:pt idx="1799">
                  <c:v>92.47355</c:v>
                </c:pt>
                <c:pt idx="1800">
                  <c:v>92.47194</c:v>
                </c:pt>
                <c:pt idx="1801">
                  <c:v>92.47021</c:v>
                </c:pt>
                <c:pt idx="1802">
                  <c:v>92.46837</c:v>
                </c:pt>
                <c:pt idx="1803">
                  <c:v>92.46642</c:v>
                </c:pt>
                <c:pt idx="1804">
                  <c:v>92.46457</c:v>
                </c:pt>
                <c:pt idx="1805">
                  <c:v>92.46256</c:v>
                </c:pt>
                <c:pt idx="1806">
                  <c:v>92.46049</c:v>
                </c:pt>
                <c:pt idx="1807">
                  <c:v>92.45859</c:v>
                </c:pt>
                <c:pt idx="1808">
                  <c:v>92.45669</c:v>
                </c:pt>
                <c:pt idx="1809">
                  <c:v>92.45479</c:v>
                </c:pt>
                <c:pt idx="1810">
                  <c:v>92.453</c:v>
                </c:pt>
                <c:pt idx="1811">
                  <c:v>92.45133000000001</c:v>
                </c:pt>
                <c:pt idx="1812">
                  <c:v>92.44961</c:v>
                </c:pt>
                <c:pt idx="1813">
                  <c:v>92.44794</c:v>
                </c:pt>
                <c:pt idx="1814">
                  <c:v>92.44621</c:v>
                </c:pt>
                <c:pt idx="1815">
                  <c:v>92.44437</c:v>
                </c:pt>
                <c:pt idx="1816">
                  <c:v>92.44247</c:v>
                </c:pt>
                <c:pt idx="1817">
                  <c:v>92.44063000000002</c:v>
                </c:pt>
                <c:pt idx="1818">
                  <c:v>92.4389</c:v>
                </c:pt>
                <c:pt idx="1819">
                  <c:v>92.43746</c:v>
                </c:pt>
                <c:pt idx="1820">
                  <c:v>92.43568</c:v>
                </c:pt>
                <c:pt idx="1821">
                  <c:v>92.43395</c:v>
                </c:pt>
                <c:pt idx="1822">
                  <c:v>92.43211</c:v>
                </c:pt>
                <c:pt idx="1823">
                  <c:v>92.43038</c:v>
                </c:pt>
                <c:pt idx="1824">
                  <c:v>92.42843</c:v>
                </c:pt>
                <c:pt idx="1825">
                  <c:v>92.42641</c:v>
                </c:pt>
                <c:pt idx="1826">
                  <c:v>92.42434</c:v>
                </c:pt>
                <c:pt idx="1827">
                  <c:v>92.42221</c:v>
                </c:pt>
                <c:pt idx="1828">
                  <c:v>92.421</c:v>
                </c:pt>
                <c:pt idx="1829">
                  <c:v>92.41945</c:v>
                </c:pt>
                <c:pt idx="1830">
                  <c:v>92.41743</c:v>
                </c:pt>
                <c:pt idx="1831">
                  <c:v>92.41553</c:v>
                </c:pt>
                <c:pt idx="1832">
                  <c:v>92.41369</c:v>
                </c:pt>
                <c:pt idx="1833">
                  <c:v>92.41219</c:v>
                </c:pt>
                <c:pt idx="1834">
                  <c:v>92.41064</c:v>
                </c:pt>
                <c:pt idx="1835">
                  <c:v>92.40885</c:v>
                </c:pt>
                <c:pt idx="1836">
                  <c:v>92.40713</c:v>
                </c:pt>
                <c:pt idx="1837">
                  <c:v>92.40563</c:v>
                </c:pt>
                <c:pt idx="1838">
                  <c:v>92.40379</c:v>
                </c:pt>
                <c:pt idx="1839">
                  <c:v>92.40183</c:v>
                </c:pt>
                <c:pt idx="1840">
                  <c:v>92.39999</c:v>
                </c:pt>
                <c:pt idx="1841">
                  <c:v>92.39815</c:v>
                </c:pt>
                <c:pt idx="1842">
                  <c:v>92.39647999999998</c:v>
                </c:pt>
                <c:pt idx="1843">
                  <c:v>92.39481</c:v>
                </c:pt>
                <c:pt idx="1844">
                  <c:v>92.39302</c:v>
                </c:pt>
                <c:pt idx="1845">
                  <c:v>92.3913</c:v>
                </c:pt>
                <c:pt idx="1846">
                  <c:v>92.38928</c:v>
                </c:pt>
                <c:pt idx="1847">
                  <c:v>92.38733</c:v>
                </c:pt>
                <c:pt idx="1848">
                  <c:v>92.3852</c:v>
                </c:pt>
                <c:pt idx="1849">
                  <c:v>92.38324</c:v>
                </c:pt>
                <c:pt idx="1850">
                  <c:v>92.38146</c:v>
                </c:pt>
                <c:pt idx="1851">
                  <c:v>92.37978999999935</c:v>
                </c:pt>
                <c:pt idx="1852">
                  <c:v>92.37782999999997</c:v>
                </c:pt>
                <c:pt idx="1853">
                  <c:v>92.37580999999948</c:v>
                </c:pt>
                <c:pt idx="1854">
                  <c:v>92.37408999999998</c:v>
                </c:pt>
                <c:pt idx="1855">
                  <c:v>92.37235999999938</c:v>
                </c:pt>
                <c:pt idx="1856">
                  <c:v>92.37052</c:v>
                </c:pt>
                <c:pt idx="1857">
                  <c:v>92.36891</c:v>
                </c:pt>
                <c:pt idx="1858">
                  <c:v>92.36724</c:v>
                </c:pt>
                <c:pt idx="1859">
                  <c:v>92.36539999999998</c:v>
                </c:pt>
                <c:pt idx="1860">
                  <c:v>92.36372999999997</c:v>
                </c:pt>
                <c:pt idx="1861">
                  <c:v>92.36206</c:v>
                </c:pt>
                <c:pt idx="1862">
                  <c:v>92.36038999999998</c:v>
                </c:pt>
                <c:pt idx="1863">
                  <c:v>92.35894999999998</c:v>
                </c:pt>
                <c:pt idx="1864">
                  <c:v>92.35698999999998</c:v>
                </c:pt>
                <c:pt idx="1865">
                  <c:v>92.35521</c:v>
                </c:pt>
                <c:pt idx="1866">
                  <c:v>92.35325</c:v>
                </c:pt>
                <c:pt idx="1867">
                  <c:v>92.35129</c:v>
                </c:pt>
                <c:pt idx="1868">
                  <c:v>92.34928</c:v>
                </c:pt>
                <c:pt idx="1869">
                  <c:v>92.34738</c:v>
                </c:pt>
                <c:pt idx="1870">
                  <c:v>92.34570999999998</c:v>
                </c:pt>
                <c:pt idx="1871">
                  <c:v>92.34433000000001</c:v>
                </c:pt>
                <c:pt idx="1872">
                  <c:v>92.34272</c:v>
                </c:pt>
                <c:pt idx="1873">
                  <c:v>92.34093</c:v>
                </c:pt>
                <c:pt idx="1874">
                  <c:v>92.33896999999997</c:v>
                </c:pt>
                <c:pt idx="1875">
                  <c:v>92.33736</c:v>
                </c:pt>
                <c:pt idx="1876">
                  <c:v>92.33546</c:v>
                </c:pt>
                <c:pt idx="1877">
                  <c:v>92.33378999999998</c:v>
                </c:pt>
                <c:pt idx="1878">
                  <c:v>92.33206999999997</c:v>
                </c:pt>
                <c:pt idx="1879">
                  <c:v>92.33039999999998</c:v>
                </c:pt>
                <c:pt idx="1880">
                  <c:v>92.32872999999998</c:v>
                </c:pt>
                <c:pt idx="1881">
                  <c:v>92.32682999999998</c:v>
                </c:pt>
                <c:pt idx="1882">
                  <c:v>92.32503999999948</c:v>
                </c:pt>
                <c:pt idx="1883">
                  <c:v>92.32285999999995</c:v>
                </c:pt>
                <c:pt idx="1884">
                  <c:v>92.32078999999958</c:v>
                </c:pt>
                <c:pt idx="1885">
                  <c:v>92.31870999999998</c:v>
                </c:pt>
                <c:pt idx="1886">
                  <c:v>92.31653</c:v>
                </c:pt>
                <c:pt idx="1887">
                  <c:v>92.31491</c:v>
                </c:pt>
                <c:pt idx="1888">
                  <c:v>92.31301</c:v>
                </c:pt>
                <c:pt idx="1889">
                  <c:v>92.31111</c:v>
                </c:pt>
                <c:pt idx="1890">
                  <c:v>92.30922</c:v>
                </c:pt>
                <c:pt idx="1891">
                  <c:v>92.30772</c:v>
                </c:pt>
                <c:pt idx="1892">
                  <c:v>92.30575999999998</c:v>
                </c:pt>
                <c:pt idx="1893">
                  <c:v>92.30403</c:v>
                </c:pt>
                <c:pt idx="1894">
                  <c:v>92.30207999999975</c:v>
                </c:pt>
                <c:pt idx="1895">
                  <c:v>92.30001</c:v>
                </c:pt>
                <c:pt idx="1896">
                  <c:v>92.29799</c:v>
                </c:pt>
                <c:pt idx="1897">
                  <c:v>92.29621</c:v>
                </c:pt>
                <c:pt idx="1898">
                  <c:v>92.29448</c:v>
                </c:pt>
                <c:pt idx="1899">
                  <c:v>92.29281</c:v>
                </c:pt>
                <c:pt idx="1900">
                  <c:v>92.29091</c:v>
                </c:pt>
                <c:pt idx="1901">
                  <c:v>92.28907</c:v>
                </c:pt>
                <c:pt idx="1902">
                  <c:v>92.28694</c:v>
                </c:pt>
                <c:pt idx="1903">
                  <c:v>92.28492</c:v>
                </c:pt>
                <c:pt idx="1904">
                  <c:v>92.28308</c:v>
                </c:pt>
                <c:pt idx="1905">
                  <c:v>92.28136</c:v>
                </c:pt>
                <c:pt idx="1906">
                  <c:v>92.27939999999998</c:v>
                </c:pt>
                <c:pt idx="1907">
                  <c:v>92.27761</c:v>
                </c:pt>
                <c:pt idx="1908">
                  <c:v>92.27566</c:v>
                </c:pt>
                <c:pt idx="1909">
                  <c:v>92.27375999999998</c:v>
                </c:pt>
                <c:pt idx="1910">
                  <c:v>92.27186</c:v>
                </c:pt>
                <c:pt idx="1911">
                  <c:v>92.27002</c:v>
                </c:pt>
                <c:pt idx="1912">
                  <c:v>92.26812</c:v>
                </c:pt>
                <c:pt idx="1913">
                  <c:v>92.26622</c:v>
                </c:pt>
                <c:pt idx="1914">
                  <c:v>92.26438</c:v>
                </c:pt>
                <c:pt idx="1915">
                  <c:v>92.26259</c:v>
                </c:pt>
                <c:pt idx="1916">
                  <c:v>92.26109</c:v>
                </c:pt>
                <c:pt idx="1917">
                  <c:v>92.25966</c:v>
                </c:pt>
                <c:pt idx="1918">
                  <c:v>92.25822</c:v>
                </c:pt>
                <c:pt idx="1919">
                  <c:v>92.25614</c:v>
                </c:pt>
                <c:pt idx="1920">
                  <c:v>92.25424</c:v>
                </c:pt>
                <c:pt idx="1921">
                  <c:v>92.25229</c:v>
                </c:pt>
                <c:pt idx="1922">
                  <c:v>92.25033</c:v>
                </c:pt>
                <c:pt idx="1923">
                  <c:v>92.24843000000001</c:v>
                </c:pt>
                <c:pt idx="1924">
                  <c:v>92.24647</c:v>
                </c:pt>
                <c:pt idx="1925">
                  <c:v>92.2444</c:v>
                </c:pt>
                <c:pt idx="1926">
                  <c:v>92.2425</c:v>
                </c:pt>
                <c:pt idx="1927">
                  <c:v>92.24095</c:v>
                </c:pt>
                <c:pt idx="1928">
                  <c:v>92.23911</c:v>
                </c:pt>
                <c:pt idx="1929">
                  <c:v>92.23721</c:v>
                </c:pt>
                <c:pt idx="1930">
                  <c:v>92.23531</c:v>
                </c:pt>
                <c:pt idx="1931">
                  <c:v>92.23381</c:v>
                </c:pt>
                <c:pt idx="1932">
                  <c:v>92.23191</c:v>
                </c:pt>
                <c:pt idx="1933">
                  <c:v>92.2299</c:v>
                </c:pt>
                <c:pt idx="1934">
                  <c:v>92.22782</c:v>
                </c:pt>
                <c:pt idx="1935">
                  <c:v>92.22564</c:v>
                </c:pt>
                <c:pt idx="1936">
                  <c:v>92.22373999999998</c:v>
                </c:pt>
                <c:pt idx="1937">
                  <c:v>92.22195</c:v>
                </c:pt>
                <c:pt idx="1938">
                  <c:v>92.22028</c:v>
                </c:pt>
                <c:pt idx="1939">
                  <c:v>92.21844</c:v>
                </c:pt>
                <c:pt idx="1940">
                  <c:v>92.21648</c:v>
                </c:pt>
                <c:pt idx="1941">
                  <c:v>92.21458</c:v>
                </c:pt>
                <c:pt idx="1942">
                  <c:v>92.21286</c:v>
                </c:pt>
                <c:pt idx="1943">
                  <c:v>92.21107</c:v>
                </c:pt>
                <c:pt idx="1944">
                  <c:v>92.20929</c:v>
                </c:pt>
                <c:pt idx="1945">
                  <c:v>92.20733000000001</c:v>
                </c:pt>
                <c:pt idx="1946">
                  <c:v>92.2052</c:v>
                </c:pt>
                <c:pt idx="1947">
                  <c:v>92.20342</c:v>
                </c:pt>
                <c:pt idx="1948">
                  <c:v>92.20175</c:v>
                </c:pt>
                <c:pt idx="1949">
                  <c:v>92.20014</c:v>
                </c:pt>
                <c:pt idx="1950">
                  <c:v>92.19806</c:v>
                </c:pt>
                <c:pt idx="1951">
                  <c:v>92.19592999999997</c:v>
                </c:pt>
                <c:pt idx="1952">
                  <c:v>92.19415</c:v>
                </c:pt>
                <c:pt idx="1953">
                  <c:v>92.19185</c:v>
                </c:pt>
                <c:pt idx="1954">
                  <c:v>92.18982999999998</c:v>
                </c:pt>
                <c:pt idx="1955">
                  <c:v>92.18782</c:v>
                </c:pt>
                <c:pt idx="1956">
                  <c:v>92.18602999999997</c:v>
                </c:pt>
                <c:pt idx="1957">
                  <c:v>92.18425</c:v>
                </c:pt>
                <c:pt idx="1958">
                  <c:v>92.18251999999998</c:v>
                </c:pt>
                <c:pt idx="1959">
                  <c:v>92.18073999999935</c:v>
                </c:pt>
                <c:pt idx="1960">
                  <c:v>92.17906999999998</c:v>
                </c:pt>
                <c:pt idx="1961">
                  <c:v>92.17704999999998</c:v>
                </c:pt>
                <c:pt idx="1962">
                  <c:v>92.17486999999998</c:v>
                </c:pt>
                <c:pt idx="1963">
                  <c:v>92.17307999999925</c:v>
                </c:pt>
                <c:pt idx="1964">
                  <c:v>92.17140999999998</c:v>
                </c:pt>
                <c:pt idx="1965">
                  <c:v>92.16969</c:v>
                </c:pt>
                <c:pt idx="1966">
                  <c:v>92.16767</c:v>
                </c:pt>
                <c:pt idx="1967">
                  <c:v>92.16588999999995</c:v>
                </c:pt>
                <c:pt idx="1968">
                  <c:v>92.16399</c:v>
                </c:pt>
                <c:pt idx="1969">
                  <c:v>92.16192</c:v>
                </c:pt>
                <c:pt idx="1970">
                  <c:v>92.16002</c:v>
                </c:pt>
                <c:pt idx="1971">
                  <c:v>92.15828999999998</c:v>
                </c:pt>
                <c:pt idx="1972">
                  <c:v>92.15638999999958</c:v>
                </c:pt>
                <c:pt idx="1973">
                  <c:v>92.15466</c:v>
                </c:pt>
                <c:pt idx="1974">
                  <c:v>92.15298999999958</c:v>
                </c:pt>
                <c:pt idx="1975">
                  <c:v>92.15097999999985</c:v>
                </c:pt>
                <c:pt idx="1976">
                  <c:v>92.14884999999998</c:v>
                </c:pt>
                <c:pt idx="1977">
                  <c:v>92.14701</c:v>
                </c:pt>
                <c:pt idx="1978">
                  <c:v>92.14517</c:v>
                </c:pt>
                <c:pt idx="1979">
                  <c:v>92.14327</c:v>
                </c:pt>
                <c:pt idx="1980">
                  <c:v>92.14183000000001</c:v>
                </c:pt>
                <c:pt idx="1981">
                  <c:v>92.13980999999998</c:v>
                </c:pt>
                <c:pt idx="1982">
                  <c:v>92.1378</c:v>
                </c:pt>
                <c:pt idx="1983">
                  <c:v>92.13572999999998</c:v>
                </c:pt>
                <c:pt idx="1984">
                  <c:v>92.13370999999998</c:v>
                </c:pt>
                <c:pt idx="1985">
                  <c:v>92.13198</c:v>
                </c:pt>
                <c:pt idx="1986">
                  <c:v>92.13026</c:v>
                </c:pt>
                <c:pt idx="1987">
                  <c:v>92.12748999999998</c:v>
                </c:pt>
                <c:pt idx="1988">
                  <c:v>92.12501999999998</c:v>
                </c:pt>
                <c:pt idx="1989">
                  <c:v>92.12312</c:v>
                </c:pt>
                <c:pt idx="1990">
                  <c:v>92.12144999999998</c:v>
                </c:pt>
                <c:pt idx="1991">
                  <c:v>92.12000999999998</c:v>
                </c:pt>
                <c:pt idx="1992">
                  <c:v>92.11833999999975</c:v>
                </c:pt>
                <c:pt idx="1993">
                  <c:v>92.11656</c:v>
                </c:pt>
                <c:pt idx="1994">
                  <c:v>92.11477</c:v>
                </c:pt>
                <c:pt idx="1995">
                  <c:v>92.1131</c:v>
                </c:pt>
                <c:pt idx="1996">
                  <c:v>92.11132</c:v>
                </c:pt>
                <c:pt idx="1997">
                  <c:v>92.10947999999995</c:v>
                </c:pt>
                <c:pt idx="1998">
                  <c:v>92.10746</c:v>
                </c:pt>
                <c:pt idx="1999">
                  <c:v>92.10550999999998</c:v>
                </c:pt>
                <c:pt idx="2000">
                  <c:v>92.10342999999997</c:v>
                </c:pt>
                <c:pt idx="2001">
                  <c:v>92.10125</c:v>
                </c:pt>
                <c:pt idx="2002">
                  <c:v>92.09912</c:v>
                </c:pt>
                <c:pt idx="2003">
                  <c:v>92.0971</c:v>
                </c:pt>
                <c:pt idx="2004">
                  <c:v>92.09514</c:v>
                </c:pt>
                <c:pt idx="2005">
                  <c:v>92.09319</c:v>
                </c:pt>
                <c:pt idx="2006">
                  <c:v>92.09129</c:v>
                </c:pt>
                <c:pt idx="2007">
                  <c:v>92.08927000000001</c:v>
                </c:pt>
                <c:pt idx="2008">
                  <c:v>92.0876</c:v>
                </c:pt>
                <c:pt idx="2009">
                  <c:v>92.08569999999997</c:v>
                </c:pt>
                <c:pt idx="2010">
                  <c:v>92.08357</c:v>
                </c:pt>
                <c:pt idx="2011">
                  <c:v>92.08168</c:v>
                </c:pt>
                <c:pt idx="2012">
                  <c:v>92.07955</c:v>
                </c:pt>
                <c:pt idx="2013">
                  <c:v>92.07759</c:v>
                </c:pt>
                <c:pt idx="2014">
                  <c:v>92.07574999999925</c:v>
                </c:pt>
                <c:pt idx="2015">
                  <c:v>92.07378999999958</c:v>
                </c:pt>
                <c:pt idx="2016">
                  <c:v>92.07195</c:v>
                </c:pt>
                <c:pt idx="2017">
                  <c:v>92.06999</c:v>
                </c:pt>
                <c:pt idx="2018">
                  <c:v>92.06798</c:v>
                </c:pt>
                <c:pt idx="2019">
                  <c:v>92.06596</c:v>
                </c:pt>
                <c:pt idx="2020">
                  <c:v>92.06395</c:v>
                </c:pt>
                <c:pt idx="2021">
                  <c:v>92.06199</c:v>
                </c:pt>
                <c:pt idx="2022">
                  <c:v>92.05997</c:v>
                </c:pt>
                <c:pt idx="2023">
                  <c:v>92.05818999999998</c:v>
                </c:pt>
                <c:pt idx="2024">
                  <c:v>92.05629</c:v>
                </c:pt>
                <c:pt idx="2025">
                  <c:v>92.0541</c:v>
                </c:pt>
                <c:pt idx="2026">
                  <c:v>92.05197</c:v>
                </c:pt>
                <c:pt idx="2027">
                  <c:v>92.05007</c:v>
                </c:pt>
                <c:pt idx="2028">
                  <c:v>92.04794</c:v>
                </c:pt>
                <c:pt idx="2029">
                  <c:v>92.0461</c:v>
                </c:pt>
                <c:pt idx="2030">
                  <c:v>92.04426</c:v>
                </c:pt>
                <c:pt idx="2031">
                  <c:v>92.04242</c:v>
                </c:pt>
                <c:pt idx="2032">
                  <c:v>92.04075</c:v>
                </c:pt>
                <c:pt idx="2033">
                  <c:v>92.03891</c:v>
                </c:pt>
                <c:pt idx="2034">
                  <c:v>92.03706</c:v>
                </c:pt>
                <c:pt idx="2035">
                  <c:v>92.03488</c:v>
                </c:pt>
                <c:pt idx="2036">
                  <c:v>92.03263</c:v>
                </c:pt>
                <c:pt idx="2037">
                  <c:v>92.03038999999998</c:v>
                </c:pt>
                <c:pt idx="2038">
                  <c:v>92.02826</c:v>
                </c:pt>
                <c:pt idx="2039">
                  <c:v>92.02624</c:v>
                </c:pt>
                <c:pt idx="2040">
                  <c:v>92.02433999999998</c:v>
                </c:pt>
                <c:pt idx="2041">
                  <c:v>92.02238999999958</c:v>
                </c:pt>
                <c:pt idx="2042">
                  <c:v>92.02043</c:v>
                </c:pt>
                <c:pt idx="2043">
                  <c:v>92.01818</c:v>
                </c:pt>
                <c:pt idx="2044">
                  <c:v>92.01606</c:v>
                </c:pt>
                <c:pt idx="2045">
                  <c:v>92.01393</c:v>
                </c:pt>
                <c:pt idx="2046">
                  <c:v>92.01207999999998</c:v>
                </c:pt>
                <c:pt idx="2047">
                  <c:v>92.01018</c:v>
                </c:pt>
                <c:pt idx="2048">
                  <c:v>92.00817</c:v>
                </c:pt>
                <c:pt idx="2049">
                  <c:v>92.00604</c:v>
                </c:pt>
                <c:pt idx="2050">
                  <c:v>92.00425</c:v>
                </c:pt>
                <c:pt idx="2051">
                  <c:v>92.00201</c:v>
                </c:pt>
                <c:pt idx="2052">
                  <c:v>92.00005</c:v>
                </c:pt>
                <c:pt idx="2053">
                  <c:v>91.99827</c:v>
                </c:pt>
                <c:pt idx="2054">
                  <c:v>91.99637000000001</c:v>
                </c:pt>
                <c:pt idx="2055">
                  <c:v>91.99441</c:v>
                </c:pt>
                <c:pt idx="2056">
                  <c:v>91.99217</c:v>
                </c:pt>
                <c:pt idx="2057">
                  <c:v>91.99009</c:v>
                </c:pt>
                <c:pt idx="2058">
                  <c:v>91.98825</c:v>
                </c:pt>
                <c:pt idx="2059">
                  <c:v>91.98624</c:v>
                </c:pt>
                <c:pt idx="2060">
                  <c:v>91.9844</c:v>
                </c:pt>
                <c:pt idx="2061">
                  <c:v>91.98261</c:v>
                </c:pt>
                <c:pt idx="2062">
                  <c:v>91.98071</c:v>
                </c:pt>
                <c:pt idx="2063">
                  <c:v>91.97875999999998</c:v>
                </c:pt>
                <c:pt idx="2064">
                  <c:v>91.97657</c:v>
                </c:pt>
                <c:pt idx="2065">
                  <c:v>91.97506999999997</c:v>
                </c:pt>
                <c:pt idx="2066">
                  <c:v>91.97236999999998</c:v>
                </c:pt>
                <c:pt idx="2067">
                  <c:v>91.96989</c:v>
                </c:pt>
                <c:pt idx="2068">
                  <c:v>91.96793</c:v>
                </c:pt>
                <c:pt idx="2069">
                  <c:v>91.96603</c:v>
                </c:pt>
                <c:pt idx="2070">
                  <c:v>91.96431</c:v>
                </c:pt>
                <c:pt idx="2071">
                  <c:v>91.96264</c:v>
                </c:pt>
                <c:pt idx="2072">
                  <c:v>91.96051</c:v>
                </c:pt>
                <c:pt idx="2073">
                  <c:v>91.95826</c:v>
                </c:pt>
                <c:pt idx="2074">
                  <c:v>91.95682</c:v>
                </c:pt>
                <c:pt idx="2075">
                  <c:v>91.95458</c:v>
                </c:pt>
                <c:pt idx="2076">
                  <c:v>91.95232999999997</c:v>
                </c:pt>
                <c:pt idx="2077">
                  <c:v>91.9502</c:v>
                </c:pt>
                <c:pt idx="2078">
                  <c:v>91.94807</c:v>
                </c:pt>
                <c:pt idx="2079">
                  <c:v>91.94595</c:v>
                </c:pt>
                <c:pt idx="2080">
                  <c:v>91.94387</c:v>
                </c:pt>
                <c:pt idx="2081">
                  <c:v>91.94192</c:v>
                </c:pt>
                <c:pt idx="2082">
                  <c:v>91.94002</c:v>
                </c:pt>
                <c:pt idx="2083">
                  <c:v>91.93812</c:v>
                </c:pt>
                <c:pt idx="2084">
                  <c:v>91.9361</c:v>
                </c:pt>
                <c:pt idx="2085">
                  <c:v>91.93397</c:v>
                </c:pt>
                <c:pt idx="2086">
                  <c:v>91.9319</c:v>
                </c:pt>
                <c:pt idx="2087">
                  <c:v>91.92994</c:v>
                </c:pt>
                <c:pt idx="2088">
                  <c:v>91.92764</c:v>
                </c:pt>
                <c:pt idx="2089">
                  <c:v>91.92517</c:v>
                </c:pt>
                <c:pt idx="2090">
                  <c:v>91.92297999999998</c:v>
                </c:pt>
                <c:pt idx="2091">
                  <c:v>91.92078999999998</c:v>
                </c:pt>
                <c:pt idx="2092">
                  <c:v>91.91866</c:v>
                </c:pt>
                <c:pt idx="2093">
                  <c:v>91.91642</c:v>
                </c:pt>
                <c:pt idx="2094">
                  <c:v>91.91452</c:v>
                </c:pt>
                <c:pt idx="2095">
                  <c:v>91.9125</c:v>
                </c:pt>
                <c:pt idx="2096">
                  <c:v>91.91026</c:v>
                </c:pt>
                <c:pt idx="2097">
                  <c:v>91.90813</c:v>
                </c:pt>
                <c:pt idx="2098">
                  <c:v>91.90617</c:v>
                </c:pt>
                <c:pt idx="2099">
                  <c:v>91.90404</c:v>
                </c:pt>
                <c:pt idx="2100">
                  <c:v>91.90197</c:v>
                </c:pt>
                <c:pt idx="2101">
                  <c:v>91.89984</c:v>
                </c:pt>
                <c:pt idx="2102">
                  <c:v>91.89788</c:v>
                </c:pt>
                <c:pt idx="2103">
                  <c:v>91.89580999999998</c:v>
                </c:pt>
                <c:pt idx="2104">
                  <c:v>91.89362</c:v>
                </c:pt>
                <c:pt idx="2105">
                  <c:v>91.89155</c:v>
                </c:pt>
                <c:pt idx="2106">
                  <c:v>91.88953</c:v>
                </c:pt>
                <c:pt idx="2107">
                  <c:v>91.88769</c:v>
                </c:pt>
                <c:pt idx="2108">
                  <c:v>91.88562</c:v>
                </c:pt>
                <c:pt idx="2109">
                  <c:v>91.88361</c:v>
                </c:pt>
                <c:pt idx="2110">
                  <c:v>91.88165</c:v>
                </c:pt>
                <c:pt idx="2111">
                  <c:v>91.87963</c:v>
                </c:pt>
                <c:pt idx="2112">
                  <c:v>91.87756</c:v>
                </c:pt>
                <c:pt idx="2113">
                  <c:v>91.87542999999998</c:v>
                </c:pt>
                <c:pt idx="2114">
                  <c:v>91.87306999999998</c:v>
                </c:pt>
                <c:pt idx="2115">
                  <c:v>91.87065</c:v>
                </c:pt>
                <c:pt idx="2116">
                  <c:v>91.86857999999998</c:v>
                </c:pt>
                <c:pt idx="2117">
                  <c:v>91.8664</c:v>
                </c:pt>
                <c:pt idx="2118">
                  <c:v>91.86437999999998</c:v>
                </c:pt>
                <c:pt idx="2119">
                  <c:v>91.86219</c:v>
                </c:pt>
                <c:pt idx="2120">
                  <c:v>91.86024</c:v>
                </c:pt>
                <c:pt idx="2121">
                  <c:v>91.85799</c:v>
                </c:pt>
                <c:pt idx="2122">
                  <c:v>91.85597999999958</c:v>
                </c:pt>
                <c:pt idx="2123">
                  <c:v>91.85384999999998</c:v>
                </c:pt>
                <c:pt idx="2124">
                  <c:v>91.85176999999997</c:v>
                </c:pt>
                <c:pt idx="2125">
                  <c:v>91.84947</c:v>
                </c:pt>
                <c:pt idx="2126">
                  <c:v>91.8474</c:v>
                </c:pt>
                <c:pt idx="2127">
                  <c:v>91.84527000000001</c:v>
                </c:pt>
                <c:pt idx="2128">
                  <c:v>91.84331</c:v>
                </c:pt>
                <c:pt idx="2129">
                  <c:v>91.84141</c:v>
                </c:pt>
                <c:pt idx="2130">
                  <c:v>91.83933999999998</c:v>
                </c:pt>
                <c:pt idx="2131">
                  <c:v>91.83727</c:v>
                </c:pt>
                <c:pt idx="2132">
                  <c:v>91.83530999999998</c:v>
                </c:pt>
                <c:pt idx="2133">
                  <c:v>91.83307</c:v>
                </c:pt>
                <c:pt idx="2134">
                  <c:v>91.83099</c:v>
                </c:pt>
                <c:pt idx="2135">
                  <c:v>91.82891999999998</c:v>
                </c:pt>
                <c:pt idx="2136">
                  <c:v>91.82673999999948</c:v>
                </c:pt>
                <c:pt idx="2137">
                  <c:v>91.82455</c:v>
                </c:pt>
                <c:pt idx="2138">
                  <c:v>91.82247999999925</c:v>
                </c:pt>
                <c:pt idx="2139">
                  <c:v>91.82069</c:v>
                </c:pt>
                <c:pt idx="2140">
                  <c:v>91.81862</c:v>
                </c:pt>
                <c:pt idx="2141">
                  <c:v>91.81643</c:v>
                </c:pt>
                <c:pt idx="2142">
                  <c:v>91.81442</c:v>
                </c:pt>
                <c:pt idx="2143">
                  <c:v>91.81234999999998</c:v>
                </c:pt>
                <c:pt idx="2144">
                  <c:v>91.8101</c:v>
                </c:pt>
                <c:pt idx="2145">
                  <c:v>91.80802999999997</c:v>
                </c:pt>
                <c:pt idx="2146">
                  <c:v>91.80589999999998</c:v>
                </c:pt>
                <c:pt idx="2147">
                  <c:v>91.80365</c:v>
                </c:pt>
                <c:pt idx="2148">
                  <c:v>91.80187</c:v>
                </c:pt>
                <c:pt idx="2149">
                  <c:v>91.79991</c:v>
                </c:pt>
                <c:pt idx="2150">
                  <c:v>91.7979</c:v>
                </c:pt>
                <c:pt idx="2151">
                  <c:v>91.79571</c:v>
                </c:pt>
                <c:pt idx="2152">
                  <c:v>91.79352</c:v>
                </c:pt>
                <c:pt idx="2153">
                  <c:v>91.7911</c:v>
                </c:pt>
                <c:pt idx="2154">
                  <c:v>91.78909</c:v>
                </c:pt>
                <c:pt idx="2155">
                  <c:v>91.78685</c:v>
                </c:pt>
                <c:pt idx="2156">
                  <c:v>91.78466</c:v>
                </c:pt>
                <c:pt idx="2157">
                  <c:v>91.78259</c:v>
                </c:pt>
                <c:pt idx="2158">
                  <c:v>91.78051</c:v>
                </c:pt>
                <c:pt idx="2159">
                  <c:v>91.77821</c:v>
                </c:pt>
                <c:pt idx="2160">
                  <c:v>91.77596999999998</c:v>
                </c:pt>
                <c:pt idx="2161">
                  <c:v>91.77371999999998</c:v>
                </c:pt>
                <c:pt idx="2162">
                  <c:v>91.77159</c:v>
                </c:pt>
                <c:pt idx="2163">
                  <c:v>91.76946</c:v>
                </c:pt>
                <c:pt idx="2164">
                  <c:v>91.76739</c:v>
                </c:pt>
                <c:pt idx="2165">
                  <c:v>91.7652</c:v>
                </c:pt>
                <c:pt idx="2166">
                  <c:v>91.76307000000001</c:v>
                </c:pt>
                <c:pt idx="2167">
                  <c:v>91.76089</c:v>
                </c:pt>
                <c:pt idx="2168">
                  <c:v>91.7587</c:v>
                </c:pt>
                <c:pt idx="2169">
                  <c:v>91.75651</c:v>
                </c:pt>
                <c:pt idx="2170">
                  <c:v>91.7545</c:v>
                </c:pt>
                <c:pt idx="2171">
                  <c:v>91.75219</c:v>
                </c:pt>
                <c:pt idx="2172">
                  <c:v>91.75001</c:v>
                </c:pt>
                <c:pt idx="2173">
                  <c:v>91.74793</c:v>
                </c:pt>
                <c:pt idx="2174">
                  <c:v>91.74575</c:v>
                </c:pt>
                <c:pt idx="2175">
                  <c:v>91.74362</c:v>
                </c:pt>
                <c:pt idx="2176">
                  <c:v>91.74149</c:v>
                </c:pt>
                <c:pt idx="2177">
                  <c:v>91.73941</c:v>
                </c:pt>
                <c:pt idx="2178">
                  <c:v>91.73746</c:v>
                </c:pt>
                <c:pt idx="2179">
                  <c:v>91.73556</c:v>
                </c:pt>
                <c:pt idx="2180">
                  <c:v>91.73331</c:v>
                </c:pt>
                <c:pt idx="2181">
                  <c:v>91.73107</c:v>
                </c:pt>
                <c:pt idx="2182">
                  <c:v>91.72870999999998</c:v>
                </c:pt>
                <c:pt idx="2183">
                  <c:v>91.72737999999998</c:v>
                </c:pt>
                <c:pt idx="2184">
                  <c:v>91.72468</c:v>
                </c:pt>
                <c:pt idx="2185">
                  <c:v>91.72226</c:v>
                </c:pt>
                <c:pt idx="2186">
                  <c:v>91.72002</c:v>
                </c:pt>
                <c:pt idx="2187">
                  <c:v>91.71783</c:v>
                </c:pt>
                <c:pt idx="2188">
                  <c:v>91.71558</c:v>
                </c:pt>
                <c:pt idx="2189">
                  <c:v>91.71368</c:v>
                </c:pt>
                <c:pt idx="2190">
                  <c:v>91.71196</c:v>
                </c:pt>
                <c:pt idx="2191">
                  <c:v>91.70977</c:v>
                </c:pt>
                <c:pt idx="2192">
                  <c:v>91.7077</c:v>
                </c:pt>
                <c:pt idx="2193">
                  <c:v>91.70563000000001</c:v>
                </c:pt>
                <c:pt idx="2194">
                  <c:v>91.7035</c:v>
                </c:pt>
                <c:pt idx="2195">
                  <c:v>91.70102</c:v>
                </c:pt>
                <c:pt idx="2196">
                  <c:v>91.69882999999998</c:v>
                </c:pt>
                <c:pt idx="2197">
                  <c:v>91.69659</c:v>
                </c:pt>
                <c:pt idx="2198">
                  <c:v>91.69457000000001</c:v>
                </c:pt>
                <c:pt idx="2199">
                  <c:v>91.69278999999958</c:v>
                </c:pt>
                <c:pt idx="2200">
                  <c:v>91.69066</c:v>
                </c:pt>
                <c:pt idx="2201">
                  <c:v>91.68852999999998</c:v>
                </c:pt>
                <c:pt idx="2202">
                  <c:v>91.68639999999998</c:v>
                </c:pt>
                <c:pt idx="2203">
                  <c:v>91.68403999999998</c:v>
                </c:pt>
                <c:pt idx="2204">
                  <c:v>91.68168</c:v>
                </c:pt>
                <c:pt idx="2205">
                  <c:v>91.67937999999903</c:v>
                </c:pt>
                <c:pt idx="2206">
                  <c:v>91.67707999999975</c:v>
                </c:pt>
                <c:pt idx="2207">
                  <c:v>91.67476999999998</c:v>
                </c:pt>
                <c:pt idx="2208">
                  <c:v>91.67246999999985</c:v>
                </c:pt>
                <c:pt idx="2209">
                  <c:v>91.67027999999995</c:v>
                </c:pt>
                <c:pt idx="2210">
                  <c:v>91.66821</c:v>
                </c:pt>
                <c:pt idx="2211">
                  <c:v>91.66607999999998</c:v>
                </c:pt>
                <c:pt idx="2212">
                  <c:v>91.66377999999958</c:v>
                </c:pt>
                <c:pt idx="2213">
                  <c:v>91.66171</c:v>
                </c:pt>
                <c:pt idx="2214">
                  <c:v>91.65952</c:v>
                </c:pt>
                <c:pt idx="2215">
                  <c:v>91.65727</c:v>
                </c:pt>
                <c:pt idx="2216">
                  <c:v>91.65497</c:v>
                </c:pt>
                <c:pt idx="2217">
                  <c:v>91.65289999999958</c:v>
                </c:pt>
                <c:pt idx="2218">
                  <c:v>91.65076999999998</c:v>
                </c:pt>
                <c:pt idx="2219">
                  <c:v>91.64864</c:v>
                </c:pt>
                <c:pt idx="2220">
                  <c:v>91.64691</c:v>
                </c:pt>
                <c:pt idx="2221">
                  <c:v>91.64496</c:v>
                </c:pt>
                <c:pt idx="2222">
                  <c:v>91.64293999999998</c:v>
                </c:pt>
                <c:pt idx="2223">
                  <c:v>91.64074999999998</c:v>
                </c:pt>
                <c:pt idx="2224">
                  <c:v>91.63804999999998</c:v>
                </c:pt>
                <c:pt idx="2225">
                  <c:v>91.63552</c:v>
                </c:pt>
                <c:pt idx="2226">
                  <c:v>91.63316</c:v>
                </c:pt>
                <c:pt idx="2227">
                  <c:v>91.63073999999965</c:v>
                </c:pt>
                <c:pt idx="2228">
                  <c:v>91.62848999999925</c:v>
                </c:pt>
                <c:pt idx="2229">
                  <c:v>91.62641999999998</c:v>
                </c:pt>
                <c:pt idx="2230">
                  <c:v>91.62440999999998</c:v>
                </c:pt>
                <c:pt idx="2231">
                  <c:v>91.62193</c:v>
                </c:pt>
                <c:pt idx="2232">
                  <c:v>91.61963</c:v>
                </c:pt>
                <c:pt idx="2233">
                  <c:v>91.61744</c:v>
                </c:pt>
                <c:pt idx="2234">
                  <c:v>91.61582999999997</c:v>
                </c:pt>
                <c:pt idx="2235">
                  <c:v>91.61393</c:v>
                </c:pt>
                <c:pt idx="2236">
                  <c:v>91.61192</c:v>
                </c:pt>
                <c:pt idx="2237">
                  <c:v>91.60961</c:v>
                </c:pt>
                <c:pt idx="2238">
                  <c:v>91.60736999999997</c:v>
                </c:pt>
                <c:pt idx="2239">
                  <c:v>91.60500999999998</c:v>
                </c:pt>
                <c:pt idx="2240">
                  <c:v>91.60229999999998</c:v>
                </c:pt>
                <c:pt idx="2241">
                  <c:v>91.59989</c:v>
                </c:pt>
                <c:pt idx="2242">
                  <c:v>91.59799</c:v>
                </c:pt>
                <c:pt idx="2243">
                  <c:v>91.59597</c:v>
                </c:pt>
                <c:pt idx="2244">
                  <c:v>91.59401</c:v>
                </c:pt>
                <c:pt idx="2245">
                  <c:v>91.59177</c:v>
                </c:pt>
                <c:pt idx="2246">
                  <c:v>91.58934999999998</c:v>
                </c:pt>
                <c:pt idx="2247">
                  <c:v>91.58676</c:v>
                </c:pt>
                <c:pt idx="2248">
                  <c:v>91.58457000000001</c:v>
                </c:pt>
                <c:pt idx="2249">
                  <c:v>91.58267</c:v>
                </c:pt>
                <c:pt idx="2250">
                  <c:v>91.58003</c:v>
                </c:pt>
                <c:pt idx="2251">
                  <c:v>91.57726</c:v>
                </c:pt>
                <c:pt idx="2252">
                  <c:v>91.57541999999998</c:v>
                </c:pt>
                <c:pt idx="2253">
                  <c:v>91.57393</c:v>
                </c:pt>
                <c:pt idx="2254">
                  <c:v>91.57219999999998</c:v>
                </c:pt>
                <c:pt idx="2255">
                  <c:v>91.56995</c:v>
                </c:pt>
                <c:pt idx="2256">
                  <c:v>91.56782</c:v>
                </c:pt>
                <c:pt idx="2257">
                  <c:v>91.56557999999998</c:v>
                </c:pt>
                <c:pt idx="2258">
                  <c:v>91.56293</c:v>
                </c:pt>
                <c:pt idx="2259">
                  <c:v>91.5604</c:v>
                </c:pt>
                <c:pt idx="2260">
                  <c:v>91.55803999999995</c:v>
                </c:pt>
                <c:pt idx="2261">
                  <c:v>91.55584999999998</c:v>
                </c:pt>
                <c:pt idx="2262">
                  <c:v>91.55383999999998</c:v>
                </c:pt>
                <c:pt idx="2263">
                  <c:v>91.55171</c:v>
                </c:pt>
                <c:pt idx="2264">
                  <c:v>91.54986</c:v>
                </c:pt>
                <c:pt idx="2265">
                  <c:v>91.54762</c:v>
                </c:pt>
                <c:pt idx="2266">
                  <c:v>91.54543</c:v>
                </c:pt>
                <c:pt idx="2267">
                  <c:v>91.54307</c:v>
                </c:pt>
                <c:pt idx="2268">
                  <c:v>91.54089</c:v>
                </c:pt>
                <c:pt idx="2269">
                  <c:v>91.53864</c:v>
                </c:pt>
                <c:pt idx="2270">
                  <c:v>91.53645</c:v>
                </c:pt>
                <c:pt idx="2271">
                  <c:v>91.53427</c:v>
                </c:pt>
                <c:pt idx="2272">
                  <c:v>91.53219</c:v>
                </c:pt>
                <c:pt idx="2273">
                  <c:v>91.53001</c:v>
                </c:pt>
                <c:pt idx="2274">
                  <c:v>91.52765</c:v>
                </c:pt>
                <c:pt idx="2275">
                  <c:v>91.52523</c:v>
                </c:pt>
                <c:pt idx="2276">
                  <c:v>91.52286999999998</c:v>
                </c:pt>
                <c:pt idx="2277">
                  <c:v>91.52068</c:v>
                </c:pt>
                <c:pt idx="2278">
                  <c:v>91.51837999999998</c:v>
                </c:pt>
                <c:pt idx="2279">
                  <c:v>91.51625</c:v>
                </c:pt>
                <c:pt idx="2280">
                  <c:v>91.51383000000001</c:v>
                </c:pt>
                <c:pt idx="2281">
                  <c:v>91.51176</c:v>
                </c:pt>
                <c:pt idx="2282">
                  <c:v>91.50986</c:v>
                </c:pt>
                <c:pt idx="2283">
                  <c:v>91.50796</c:v>
                </c:pt>
                <c:pt idx="2284">
                  <c:v>91.50595</c:v>
                </c:pt>
                <c:pt idx="2285">
                  <c:v>91.50359</c:v>
                </c:pt>
                <c:pt idx="2286">
                  <c:v>91.50134</c:v>
                </c:pt>
                <c:pt idx="2287">
                  <c:v>91.49904</c:v>
                </c:pt>
                <c:pt idx="2288">
                  <c:v>91.49662</c:v>
                </c:pt>
                <c:pt idx="2289">
                  <c:v>91.4942</c:v>
                </c:pt>
                <c:pt idx="2290">
                  <c:v>91.49225</c:v>
                </c:pt>
                <c:pt idx="2291">
                  <c:v>91.49012</c:v>
                </c:pt>
                <c:pt idx="2292">
                  <c:v>91.48787</c:v>
                </c:pt>
                <c:pt idx="2293">
                  <c:v>91.48563</c:v>
                </c:pt>
                <c:pt idx="2294">
                  <c:v>91.48361</c:v>
                </c:pt>
                <c:pt idx="2295">
                  <c:v>91.48154</c:v>
                </c:pt>
                <c:pt idx="2296">
                  <c:v>91.47941</c:v>
                </c:pt>
                <c:pt idx="2297">
                  <c:v>91.47734</c:v>
                </c:pt>
                <c:pt idx="2298">
                  <c:v>91.47521</c:v>
                </c:pt>
                <c:pt idx="2299">
                  <c:v>91.47291</c:v>
                </c:pt>
                <c:pt idx="2300">
                  <c:v>91.4706</c:v>
                </c:pt>
                <c:pt idx="2301">
                  <c:v>91.46830000000001</c:v>
                </c:pt>
                <c:pt idx="2302">
                  <c:v>91.46634</c:v>
                </c:pt>
                <c:pt idx="2303">
                  <c:v>91.4641</c:v>
                </c:pt>
                <c:pt idx="2304">
                  <c:v>91.46191</c:v>
                </c:pt>
                <c:pt idx="2305">
                  <c:v>91.45977999999998</c:v>
                </c:pt>
                <c:pt idx="2306">
                  <c:v>91.45765</c:v>
                </c:pt>
                <c:pt idx="2307">
                  <c:v>91.45564</c:v>
                </c:pt>
                <c:pt idx="2308">
                  <c:v>91.45379</c:v>
                </c:pt>
                <c:pt idx="2309">
                  <c:v>91.45218</c:v>
                </c:pt>
                <c:pt idx="2310">
                  <c:v>91.45005</c:v>
                </c:pt>
                <c:pt idx="2311">
                  <c:v>91.44798</c:v>
                </c:pt>
                <c:pt idx="2312">
                  <c:v>91.44574</c:v>
                </c:pt>
                <c:pt idx="2313">
                  <c:v>91.44355</c:v>
                </c:pt>
                <c:pt idx="2314">
                  <c:v>91.44130000000002</c:v>
                </c:pt>
                <c:pt idx="2315">
                  <c:v>91.43912</c:v>
                </c:pt>
                <c:pt idx="2316">
                  <c:v>91.43681</c:v>
                </c:pt>
                <c:pt idx="2317">
                  <c:v>91.43474</c:v>
                </c:pt>
                <c:pt idx="2318">
                  <c:v>91.4325</c:v>
                </c:pt>
                <c:pt idx="2319">
                  <c:v>91.43025</c:v>
                </c:pt>
                <c:pt idx="2320">
                  <c:v>91.42806</c:v>
                </c:pt>
                <c:pt idx="2321">
                  <c:v>91.42611</c:v>
                </c:pt>
                <c:pt idx="2322">
                  <c:v>91.42404</c:v>
                </c:pt>
                <c:pt idx="2323">
                  <c:v>91.42156</c:v>
                </c:pt>
                <c:pt idx="2324">
                  <c:v>91.41897</c:v>
                </c:pt>
                <c:pt idx="2325">
                  <c:v>91.41667</c:v>
                </c:pt>
                <c:pt idx="2326">
                  <c:v>91.41419</c:v>
                </c:pt>
                <c:pt idx="2327">
                  <c:v>91.41166</c:v>
                </c:pt>
                <c:pt idx="2328">
                  <c:v>91.40953</c:v>
                </c:pt>
                <c:pt idx="2329">
                  <c:v>91.40752</c:v>
                </c:pt>
                <c:pt idx="2330">
                  <c:v>91.4059</c:v>
                </c:pt>
                <c:pt idx="2331">
                  <c:v>91.404</c:v>
                </c:pt>
                <c:pt idx="2332">
                  <c:v>91.40199</c:v>
                </c:pt>
                <c:pt idx="2333">
                  <c:v>91.39973999999998</c:v>
                </c:pt>
                <c:pt idx="2334">
                  <c:v>91.39744</c:v>
                </c:pt>
                <c:pt idx="2335">
                  <c:v>91.39548999999998</c:v>
                </c:pt>
                <c:pt idx="2336">
                  <c:v>91.39341</c:v>
                </c:pt>
                <c:pt idx="2337">
                  <c:v>91.39117</c:v>
                </c:pt>
                <c:pt idx="2338">
                  <c:v>91.38845999999998</c:v>
                </c:pt>
                <c:pt idx="2339">
                  <c:v>91.38598999999998</c:v>
                </c:pt>
                <c:pt idx="2340">
                  <c:v>91.3842</c:v>
                </c:pt>
                <c:pt idx="2341">
                  <c:v>91.38241999999998</c:v>
                </c:pt>
                <c:pt idx="2342">
                  <c:v>91.38034999999998</c:v>
                </c:pt>
                <c:pt idx="2343">
                  <c:v>91.3783899999991</c:v>
                </c:pt>
                <c:pt idx="2344">
                  <c:v>91.37642999999998</c:v>
                </c:pt>
                <c:pt idx="2345">
                  <c:v>91.37424</c:v>
                </c:pt>
                <c:pt idx="2346">
                  <c:v>91.37228999999998</c:v>
                </c:pt>
                <c:pt idx="2347">
                  <c:v>91.37022</c:v>
                </c:pt>
                <c:pt idx="2348">
                  <c:v>91.36803</c:v>
                </c:pt>
                <c:pt idx="2349">
                  <c:v>91.36549999999998</c:v>
                </c:pt>
                <c:pt idx="2350">
                  <c:v>91.36342</c:v>
                </c:pt>
                <c:pt idx="2351">
                  <c:v>91.36141</c:v>
                </c:pt>
                <c:pt idx="2352">
                  <c:v>91.35938999999995</c:v>
                </c:pt>
                <c:pt idx="2353">
                  <c:v>91.35715</c:v>
                </c:pt>
                <c:pt idx="2354">
                  <c:v>91.35541999999998</c:v>
                </c:pt>
                <c:pt idx="2355">
                  <c:v>91.35352</c:v>
                </c:pt>
                <c:pt idx="2356">
                  <c:v>91.35138999999998</c:v>
                </c:pt>
                <c:pt idx="2357">
                  <c:v>91.34903000000001</c:v>
                </c:pt>
                <c:pt idx="2358">
                  <c:v>91.34667</c:v>
                </c:pt>
                <c:pt idx="2359">
                  <c:v>91.34454</c:v>
                </c:pt>
                <c:pt idx="2360">
                  <c:v>91.34241</c:v>
                </c:pt>
                <c:pt idx="2361">
                  <c:v>91.34017</c:v>
                </c:pt>
                <c:pt idx="2362">
                  <c:v>91.33792</c:v>
                </c:pt>
                <c:pt idx="2363">
                  <c:v>91.33591</c:v>
                </c:pt>
                <c:pt idx="2364">
                  <c:v>91.33388999999998</c:v>
                </c:pt>
                <c:pt idx="2365">
                  <c:v>91.33176</c:v>
                </c:pt>
                <c:pt idx="2366">
                  <c:v>91.32952</c:v>
                </c:pt>
                <c:pt idx="2367">
                  <c:v>91.32727000000001</c:v>
                </c:pt>
                <c:pt idx="2368">
                  <c:v>91.32491</c:v>
                </c:pt>
                <c:pt idx="2369">
                  <c:v>91.32295999999998</c:v>
                </c:pt>
                <c:pt idx="2370">
                  <c:v>91.32082999999998</c:v>
                </c:pt>
                <c:pt idx="2371">
                  <c:v>91.31875999999998</c:v>
                </c:pt>
                <c:pt idx="2372">
                  <c:v>91.31657000000001</c:v>
                </c:pt>
                <c:pt idx="2373">
                  <c:v>91.31421</c:v>
                </c:pt>
                <c:pt idx="2374">
                  <c:v>91.31191</c:v>
                </c:pt>
                <c:pt idx="2375">
                  <c:v>91.30988999999998</c:v>
                </c:pt>
                <c:pt idx="2376">
                  <c:v>91.30776</c:v>
                </c:pt>
                <c:pt idx="2377">
                  <c:v>91.30563</c:v>
                </c:pt>
                <c:pt idx="2378">
                  <c:v>91.30372999999997</c:v>
                </c:pt>
                <c:pt idx="2379">
                  <c:v>91.30172</c:v>
                </c:pt>
                <c:pt idx="2380">
                  <c:v>91.2997</c:v>
                </c:pt>
                <c:pt idx="2381">
                  <c:v>91.29734</c:v>
                </c:pt>
                <c:pt idx="2382">
                  <c:v>91.29475</c:v>
                </c:pt>
                <c:pt idx="2383">
                  <c:v>91.29238999999998</c:v>
                </c:pt>
                <c:pt idx="2384">
                  <c:v>91.28992</c:v>
                </c:pt>
                <c:pt idx="2385">
                  <c:v>91.28761</c:v>
                </c:pt>
                <c:pt idx="2386">
                  <c:v>91.28583</c:v>
                </c:pt>
                <c:pt idx="2387">
                  <c:v>91.28376</c:v>
                </c:pt>
                <c:pt idx="2388">
                  <c:v>91.2818</c:v>
                </c:pt>
                <c:pt idx="2389">
                  <c:v>91.2799</c:v>
                </c:pt>
                <c:pt idx="2390">
                  <c:v>91.27766</c:v>
                </c:pt>
                <c:pt idx="2391">
                  <c:v>91.27523999999998</c:v>
                </c:pt>
                <c:pt idx="2392">
                  <c:v>91.27287999999938</c:v>
                </c:pt>
                <c:pt idx="2393">
                  <c:v>91.27063</c:v>
                </c:pt>
                <c:pt idx="2394">
                  <c:v>91.26822</c:v>
                </c:pt>
                <c:pt idx="2395">
                  <c:v>91.26609</c:v>
                </c:pt>
                <c:pt idx="2396">
                  <c:v>91.26384</c:v>
                </c:pt>
                <c:pt idx="2397">
                  <c:v>91.26154</c:v>
                </c:pt>
                <c:pt idx="2398">
                  <c:v>91.25935</c:v>
                </c:pt>
                <c:pt idx="2399">
                  <c:v>91.25711</c:v>
                </c:pt>
                <c:pt idx="2400">
                  <c:v>91.25492</c:v>
                </c:pt>
                <c:pt idx="2401">
                  <c:v>91.25262</c:v>
                </c:pt>
                <c:pt idx="2402">
                  <c:v>91.25043</c:v>
                </c:pt>
                <c:pt idx="2403">
                  <c:v>91.2483</c:v>
                </c:pt>
                <c:pt idx="2404">
                  <c:v>91.24588</c:v>
                </c:pt>
                <c:pt idx="2405">
                  <c:v>91.24381</c:v>
                </c:pt>
                <c:pt idx="2406">
                  <c:v>91.24134</c:v>
                </c:pt>
                <c:pt idx="2407">
                  <c:v>91.23903</c:v>
                </c:pt>
                <c:pt idx="2408">
                  <c:v>91.2365</c:v>
                </c:pt>
                <c:pt idx="2409">
                  <c:v>91.23397000000001</c:v>
                </c:pt>
                <c:pt idx="2410">
                  <c:v>91.23161</c:v>
                </c:pt>
                <c:pt idx="2411">
                  <c:v>91.22925</c:v>
                </c:pt>
                <c:pt idx="2412">
                  <c:v>91.22683</c:v>
                </c:pt>
                <c:pt idx="2413">
                  <c:v>91.22418</c:v>
                </c:pt>
                <c:pt idx="2414">
                  <c:v>91.22159</c:v>
                </c:pt>
                <c:pt idx="2415">
                  <c:v>91.21946</c:v>
                </c:pt>
                <c:pt idx="2416">
                  <c:v>91.21745</c:v>
                </c:pt>
                <c:pt idx="2417">
                  <c:v>91.21515</c:v>
                </c:pt>
                <c:pt idx="2418">
                  <c:v>91.21244</c:v>
                </c:pt>
                <c:pt idx="2419">
                  <c:v>91.20962</c:v>
                </c:pt>
                <c:pt idx="2420">
                  <c:v>91.20732</c:v>
                </c:pt>
                <c:pt idx="2421">
                  <c:v>91.20478</c:v>
                </c:pt>
                <c:pt idx="2422">
                  <c:v>91.20230999999998</c:v>
                </c:pt>
                <c:pt idx="2423">
                  <c:v>91.19988999999998</c:v>
                </c:pt>
                <c:pt idx="2424">
                  <c:v>91.19724</c:v>
                </c:pt>
                <c:pt idx="2425">
                  <c:v>91.19477</c:v>
                </c:pt>
                <c:pt idx="2426">
                  <c:v>91.19212</c:v>
                </c:pt>
                <c:pt idx="2427">
                  <c:v>91.18946999999998</c:v>
                </c:pt>
                <c:pt idx="2428">
                  <c:v>91.18693999999998</c:v>
                </c:pt>
                <c:pt idx="2429">
                  <c:v>91.18423000000001</c:v>
                </c:pt>
                <c:pt idx="2430">
                  <c:v>91.18113</c:v>
                </c:pt>
                <c:pt idx="2431">
                  <c:v>91.1783099999991</c:v>
                </c:pt>
                <c:pt idx="2432">
                  <c:v>91.17582999999995</c:v>
                </c:pt>
                <c:pt idx="2433">
                  <c:v>91.17346999999998</c:v>
                </c:pt>
                <c:pt idx="2434">
                  <c:v>91.17081999999998</c:v>
                </c:pt>
                <c:pt idx="2435">
                  <c:v>91.16840999999998</c:v>
                </c:pt>
                <c:pt idx="2436">
                  <c:v>91.16575999999995</c:v>
                </c:pt>
                <c:pt idx="2437">
                  <c:v>91.16298999999998</c:v>
                </c:pt>
                <c:pt idx="2438">
                  <c:v>91.16012</c:v>
                </c:pt>
                <c:pt idx="2439">
                  <c:v>91.15712</c:v>
                </c:pt>
                <c:pt idx="2440">
                  <c:v>91.15407</c:v>
                </c:pt>
                <c:pt idx="2441">
                  <c:v>91.15114</c:v>
                </c:pt>
                <c:pt idx="2442">
                  <c:v>91.14826</c:v>
                </c:pt>
                <c:pt idx="2443">
                  <c:v>91.14492</c:v>
                </c:pt>
                <c:pt idx="2444">
                  <c:v>91.14232999999998</c:v>
                </c:pt>
                <c:pt idx="2445">
                  <c:v>91.13973999999975</c:v>
                </c:pt>
                <c:pt idx="2446">
                  <c:v>91.13709</c:v>
                </c:pt>
                <c:pt idx="2447">
                  <c:v>91.13433</c:v>
                </c:pt>
                <c:pt idx="2448">
                  <c:v>91.13133999999998</c:v>
                </c:pt>
                <c:pt idx="2449">
                  <c:v>91.12868999999998</c:v>
                </c:pt>
                <c:pt idx="2450">
                  <c:v>91.12563999999985</c:v>
                </c:pt>
                <c:pt idx="2451">
                  <c:v>91.12235999999938</c:v>
                </c:pt>
                <c:pt idx="2452">
                  <c:v>91.11931</c:v>
                </c:pt>
                <c:pt idx="2453">
                  <c:v>91.11631</c:v>
                </c:pt>
                <c:pt idx="2454">
                  <c:v>91.11349</c:v>
                </c:pt>
                <c:pt idx="2455">
                  <c:v>91.1105</c:v>
                </c:pt>
                <c:pt idx="2456">
                  <c:v>91.10756</c:v>
                </c:pt>
                <c:pt idx="2457">
                  <c:v>91.10479999999998</c:v>
                </c:pt>
                <c:pt idx="2458">
                  <c:v>91.10198</c:v>
                </c:pt>
                <c:pt idx="2459">
                  <c:v>91.09887</c:v>
                </c:pt>
                <c:pt idx="2460">
                  <c:v>91.09565</c:v>
                </c:pt>
                <c:pt idx="2461">
                  <c:v>91.09323</c:v>
                </c:pt>
                <c:pt idx="2462">
                  <c:v>91.08972</c:v>
                </c:pt>
                <c:pt idx="2463">
                  <c:v>91.08579999999998</c:v>
                </c:pt>
                <c:pt idx="2464">
                  <c:v>91.08252</c:v>
                </c:pt>
                <c:pt idx="2465">
                  <c:v>91.07998999999998</c:v>
                </c:pt>
                <c:pt idx="2466">
                  <c:v>91.07792</c:v>
                </c:pt>
                <c:pt idx="2467">
                  <c:v>91.07555999999998</c:v>
                </c:pt>
                <c:pt idx="2468">
                  <c:v>91.07238999999915</c:v>
                </c:pt>
                <c:pt idx="2469">
                  <c:v>91.06911</c:v>
                </c:pt>
                <c:pt idx="2470">
                  <c:v>91.06588999999998</c:v>
                </c:pt>
                <c:pt idx="2471">
                  <c:v>91.06266</c:v>
                </c:pt>
                <c:pt idx="2472">
                  <c:v>91.05927000000001</c:v>
                </c:pt>
                <c:pt idx="2473">
                  <c:v>91.05569999999997</c:v>
                </c:pt>
                <c:pt idx="2474">
                  <c:v>91.05242</c:v>
                </c:pt>
                <c:pt idx="2475">
                  <c:v>91.04954</c:v>
                </c:pt>
                <c:pt idx="2476">
                  <c:v>91.04701</c:v>
                </c:pt>
                <c:pt idx="2477">
                  <c:v>91.04436</c:v>
                </c:pt>
                <c:pt idx="2478">
                  <c:v>91.04148</c:v>
                </c:pt>
                <c:pt idx="2479">
                  <c:v>91.03906</c:v>
                </c:pt>
                <c:pt idx="2480">
                  <c:v>91.0367</c:v>
                </c:pt>
                <c:pt idx="2481">
                  <c:v>91.0336</c:v>
                </c:pt>
                <c:pt idx="2482">
                  <c:v>91.03043</c:v>
                </c:pt>
                <c:pt idx="2483">
                  <c:v>91.02737999999998</c:v>
                </c:pt>
                <c:pt idx="2484">
                  <c:v>91.02433</c:v>
                </c:pt>
                <c:pt idx="2485">
                  <c:v>91.02111</c:v>
                </c:pt>
                <c:pt idx="2486">
                  <c:v>91.01788</c:v>
                </c:pt>
                <c:pt idx="2487">
                  <c:v>91.01495</c:v>
                </c:pt>
                <c:pt idx="2488">
                  <c:v>91.0119</c:v>
                </c:pt>
                <c:pt idx="2489">
                  <c:v>91.00889999999998</c:v>
                </c:pt>
                <c:pt idx="2490">
                  <c:v>91.00631</c:v>
                </c:pt>
                <c:pt idx="2491">
                  <c:v>91.00389</c:v>
                </c:pt>
                <c:pt idx="2492">
                  <c:v>91.00148</c:v>
                </c:pt>
                <c:pt idx="2493">
                  <c:v>90.99883000000001</c:v>
                </c:pt>
                <c:pt idx="2494">
                  <c:v>90.99618</c:v>
                </c:pt>
                <c:pt idx="2495">
                  <c:v>90.99336</c:v>
                </c:pt>
                <c:pt idx="2496">
                  <c:v>90.99048</c:v>
                </c:pt>
                <c:pt idx="2497">
                  <c:v>90.98743</c:v>
                </c:pt>
                <c:pt idx="2498">
                  <c:v>90.98444</c:v>
                </c:pt>
                <c:pt idx="2499">
                  <c:v>90.98139</c:v>
                </c:pt>
                <c:pt idx="2500">
                  <c:v>90.97873999999958</c:v>
                </c:pt>
                <c:pt idx="2501">
                  <c:v>90.97609</c:v>
                </c:pt>
                <c:pt idx="2502">
                  <c:v>90.9735</c:v>
                </c:pt>
                <c:pt idx="2503">
                  <c:v>90.97085</c:v>
                </c:pt>
                <c:pt idx="2504">
                  <c:v>90.96821</c:v>
                </c:pt>
                <c:pt idx="2505">
                  <c:v>90.9655</c:v>
                </c:pt>
                <c:pt idx="2506">
                  <c:v>90.96297000000001</c:v>
                </c:pt>
                <c:pt idx="2507">
                  <c:v>90.96032</c:v>
                </c:pt>
                <c:pt idx="2508">
                  <c:v>90.9579</c:v>
                </c:pt>
                <c:pt idx="2509">
                  <c:v>90.95502</c:v>
                </c:pt>
                <c:pt idx="2510">
                  <c:v>90.95226</c:v>
                </c:pt>
                <c:pt idx="2511">
                  <c:v>90.94979</c:v>
                </c:pt>
                <c:pt idx="2512">
                  <c:v>90.94731</c:v>
                </c:pt>
                <c:pt idx="2513">
                  <c:v>90.94484</c:v>
                </c:pt>
                <c:pt idx="2514">
                  <c:v>90.94225</c:v>
                </c:pt>
                <c:pt idx="2515">
                  <c:v>90.93943</c:v>
                </c:pt>
                <c:pt idx="2516">
                  <c:v>90.93672</c:v>
                </c:pt>
                <c:pt idx="2517">
                  <c:v>90.9343</c:v>
                </c:pt>
                <c:pt idx="2518">
                  <c:v>90.93206</c:v>
                </c:pt>
                <c:pt idx="2519">
                  <c:v>90.92981</c:v>
                </c:pt>
                <c:pt idx="2520">
                  <c:v>90.92751</c:v>
                </c:pt>
                <c:pt idx="2521">
                  <c:v>90.92515</c:v>
                </c:pt>
                <c:pt idx="2522">
                  <c:v>90.92296</c:v>
                </c:pt>
                <c:pt idx="2523">
                  <c:v>90.92049</c:v>
                </c:pt>
                <c:pt idx="2524">
                  <c:v>90.91824</c:v>
                </c:pt>
                <c:pt idx="2525">
                  <c:v>90.91606</c:v>
                </c:pt>
                <c:pt idx="2526">
                  <c:v>90.91381</c:v>
                </c:pt>
                <c:pt idx="2527">
                  <c:v>90.91157000000002</c:v>
                </c:pt>
                <c:pt idx="2528">
                  <c:v>90.90926</c:v>
                </c:pt>
                <c:pt idx="2529">
                  <c:v>90.90679</c:v>
                </c:pt>
                <c:pt idx="2530">
                  <c:v>90.9046</c:v>
                </c:pt>
                <c:pt idx="2531">
                  <c:v>90.90224</c:v>
                </c:pt>
                <c:pt idx="2532">
                  <c:v>90.89976999999997</c:v>
                </c:pt>
                <c:pt idx="2533">
                  <c:v>90.89729</c:v>
                </c:pt>
                <c:pt idx="2534">
                  <c:v>90.8947</c:v>
                </c:pt>
                <c:pt idx="2535">
                  <c:v>90.89246</c:v>
                </c:pt>
                <c:pt idx="2536">
                  <c:v>90.8905</c:v>
                </c:pt>
                <c:pt idx="2537">
                  <c:v>90.88830999999985</c:v>
                </c:pt>
                <c:pt idx="2538">
                  <c:v>90.88617999999998</c:v>
                </c:pt>
                <c:pt idx="2539">
                  <c:v>90.88428</c:v>
                </c:pt>
                <c:pt idx="2540">
                  <c:v>90.88221</c:v>
                </c:pt>
                <c:pt idx="2541">
                  <c:v>90.88025</c:v>
                </c:pt>
                <c:pt idx="2542">
                  <c:v>90.87811999999998</c:v>
                </c:pt>
                <c:pt idx="2543">
                  <c:v>90.87604999999998</c:v>
                </c:pt>
                <c:pt idx="2544">
                  <c:v>90.87403999999998</c:v>
                </c:pt>
                <c:pt idx="2545">
                  <c:v>90.8720799999991</c:v>
                </c:pt>
                <c:pt idx="2546">
                  <c:v>90.87017999999995</c:v>
                </c:pt>
                <c:pt idx="2547">
                  <c:v>90.86828</c:v>
                </c:pt>
                <c:pt idx="2548">
                  <c:v>90.86609</c:v>
                </c:pt>
                <c:pt idx="2549">
                  <c:v>90.86391</c:v>
                </c:pt>
                <c:pt idx="2550">
                  <c:v>90.8616</c:v>
                </c:pt>
                <c:pt idx="2551">
                  <c:v>90.85942</c:v>
                </c:pt>
                <c:pt idx="2552">
                  <c:v>90.85757</c:v>
                </c:pt>
                <c:pt idx="2553">
                  <c:v>90.85584999999975</c:v>
                </c:pt>
                <c:pt idx="2554">
                  <c:v>90.85406</c:v>
                </c:pt>
                <c:pt idx="2555">
                  <c:v>90.85187</c:v>
                </c:pt>
                <c:pt idx="2556">
                  <c:v>90.84986</c:v>
                </c:pt>
                <c:pt idx="2557">
                  <c:v>90.84807999999998</c:v>
                </c:pt>
                <c:pt idx="2558">
                  <c:v>90.84658</c:v>
                </c:pt>
                <c:pt idx="2559">
                  <c:v>90.84468</c:v>
                </c:pt>
                <c:pt idx="2560">
                  <c:v>90.84283999999998</c:v>
                </c:pt>
                <c:pt idx="2561">
                  <c:v>90.841</c:v>
                </c:pt>
                <c:pt idx="2562">
                  <c:v>90.83927000000001</c:v>
                </c:pt>
                <c:pt idx="2563">
                  <c:v>90.83725</c:v>
                </c:pt>
                <c:pt idx="2564">
                  <c:v>90.83557999999998</c:v>
                </c:pt>
                <c:pt idx="2565">
                  <c:v>90.83392</c:v>
                </c:pt>
                <c:pt idx="2566">
                  <c:v>90.83213</c:v>
                </c:pt>
                <c:pt idx="2567">
                  <c:v>90.83039999999998</c:v>
                </c:pt>
                <c:pt idx="2568">
                  <c:v>90.82855999999998</c:v>
                </c:pt>
                <c:pt idx="2569">
                  <c:v>90.82654999999998</c:v>
                </c:pt>
                <c:pt idx="2570">
                  <c:v>90.82482</c:v>
                </c:pt>
                <c:pt idx="2571">
                  <c:v>90.82280999999985</c:v>
                </c:pt>
                <c:pt idx="2572">
                  <c:v>90.82119</c:v>
                </c:pt>
                <c:pt idx="2573">
                  <c:v>90.81981</c:v>
                </c:pt>
                <c:pt idx="2574">
                  <c:v>90.81809</c:v>
                </c:pt>
                <c:pt idx="2575">
                  <c:v>90.81607</c:v>
                </c:pt>
                <c:pt idx="2576">
                  <c:v>90.81434</c:v>
                </c:pt>
                <c:pt idx="2577">
                  <c:v>90.81291</c:v>
                </c:pt>
                <c:pt idx="2578">
                  <c:v>90.81101</c:v>
                </c:pt>
                <c:pt idx="2579">
                  <c:v>90.80916</c:v>
                </c:pt>
                <c:pt idx="2580">
                  <c:v>90.80755</c:v>
                </c:pt>
                <c:pt idx="2581">
                  <c:v>90.80587999999958</c:v>
                </c:pt>
                <c:pt idx="2582">
                  <c:v>90.80416</c:v>
                </c:pt>
                <c:pt idx="2583">
                  <c:v>90.80271999999998</c:v>
                </c:pt>
                <c:pt idx="2584">
                  <c:v>90.80082</c:v>
                </c:pt>
                <c:pt idx="2585">
                  <c:v>90.7988</c:v>
                </c:pt>
                <c:pt idx="2586">
                  <c:v>90.79644</c:v>
                </c:pt>
                <c:pt idx="2587">
                  <c:v>90.79495</c:v>
                </c:pt>
                <c:pt idx="2588">
                  <c:v>90.79391</c:v>
                </c:pt>
                <c:pt idx="2589">
                  <c:v>90.79299</c:v>
                </c:pt>
                <c:pt idx="2590">
                  <c:v>90.79167</c:v>
                </c:pt>
                <c:pt idx="2591">
                  <c:v>90.78982</c:v>
                </c:pt>
                <c:pt idx="2592">
                  <c:v>90.78787000000001</c:v>
                </c:pt>
                <c:pt idx="2593">
                  <c:v>90.78591</c:v>
                </c:pt>
                <c:pt idx="2594">
                  <c:v>90.78413</c:v>
                </c:pt>
                <c:pt idx="2595">
                  <c:v>90.78217</c:v>
                </c:pt>
                <c:pt idx="2596">
                  <c:v>90.78067</c:v>
                </c:pt>
                <c:pt idx="2597">
                  <c:v>90.77957999999998</c:v>
                </c:pt>
                <c:pt idx="2598">
                  <c:v>90.77825</c:v>
                </c:pt>
                <c:pt idx="2599">
                  <c:v>90.77686999999997</c:v>
                </c:pt>
                <c:pt idx="2600">
                  <c:v>90.77561</c:v>
                </c:pt>
                <c:pt idx="2601">
                  <c:v>90.77382</c:v>
                </c:pt>
                <c:pt idx="2602">
                  <c:v>90.77221</c:v>
                </c:pt>
                <c:pt idx="2603">
                  <c:v>90.77036999999998</c:v>
                </c:pt>
                <c:pt idx="2604">
                  <c:v>90.7683</c:v>
                </c:pt>
                <c:pt idx="2605">
                  <c:v>90.7664</c:v>
                </c:pt>
                <c:pt idx="2606">
                  <c:v>90.76496</c:v>
                </c:pt>
                <c:pt idx="2607">
                  <c:v>90.76369</c:v>
                </c:pt>
                <c:pt idx="2608">
                  <c:v>90.76231</c:v>
                </c:pt>
                <c:pt idx="2609">
                  <c:v>90.76081</c:v>
                </c:pt>
                <c:pt idx="2610">
                  <c:v>90.75932</c:v>
                </c:pt>
                <c:pt idx="2611">
                  <c:v>90.7577</c:v>
                </c:pt>
                <c:pt idx="2612">
                  <c:v>90.75604</c:v>
                </c:pt>
                <c:pt idx="2613">
                  <c:v>90.75454</c:v>
                </c:pt>
                <c:pt idx="2614">
                  <c:v>90.75297999999998</c:v>
                </c:pt>
                <c:pt idx="2615">
                  <c:v>90.75143000000001</c:v>
                </c:pt>
                <c:pt idx="2616">
                  <c:v>90.74976</c:v>
                </c:pt>
                <c:pt idx="2617">
                  <c:v>90.74792</c:v>
                </c:pt>
                <c:pt idx="2618">
                  <c:v>90.74665</c:v>
                </c:pt>
                <c:pt idx="2619">
                  <c:v>90.74533</c:v>
                </c:pt>
                <c:pt idx="2620">
                  <c:v>90.74372</c:v>
                </c:pt>
                <c:pt idx="2621">
                  <c:v>90.74205</c:v>
                </c:pt>
                <c:pt idx="2622">
                  <c:v>90.74032</c:v>
                </c:pt>
                <c:pt idx="2623">
                  <c:v>90.73876999999997</c:v>
                </c:pt>
                <c:pt idx="2624">
                  <c:v>90.73698</c:v>
                </c:pt>
                <c:pt idx="2625">
                  <c:v>90.73531</c:v>
                </c:pt>
                <c:pt idx="2626">
                  <c:v>90.73370000000001</c:v>
                </c:pt>
                <c:pt idx="2627">
                  <c:v>90.73186</c:v>
                </c:pt>
                <c:pt idx="2628">
                  <c:v>90.73036</c:v>
                </c:pt>
                <c:pt idx="2629">
                  <c:v>90.72904</c:v>
                </c:pt>
                <c:pt idx="2630">
                  <c:v>90.72748</c:v>
                </c:pt>
                <c:pt idx="2631">
                  <c:v>90.72622</c:v>
                </c:pt>
                <c:pt idx="2632">
                  <c:v>90.72484</c:v>
                </c:pt>
                <c:pt idx="2633">
                  <c:v>90.72328</c:v>
                </c:pt>
                <c:pt idx="2634">
                  <c:v>90.72196</c:v>
                </c:pt>
                <c:pt idx="2635">
                  <c:v>90.72058</c:v>
                </c:pt>
                <c:pt idx="2636">
                  <c:v>90.71891</c:v>
                </c:pt>
                <c:pt idx="2637">
                  <c:v>90.71758</c:v>
                </c:pt>
                <c:pt idx="2638">
                  <c:v>90.71661</c:v>
                </c:pt>
                <c:pt idx="2639">
                  <c:v>90.71488</c:v>
                </c:pt>
                <c:pt idx="2640">
                  <c:v>90.71309</c:v>
                </c:pt>
                <c:pt idx="2641">
                  <c:v>90.71137</c:v>
                </c:pt>
                <c:pt idx="2642">
                  <c:v>90.70987</c:v>
                </c:pt>
                <c:pt idx="2643">
                  <c:v>90.70866</c:v>
                </c:pt>
                <c:pt idx="2644">
                  <c:v>90.70745</c:v>
                </c:pt>
                <c:pt idx="2645">
                  <c:v>90.70636</c:v>
                </c:pt>
                <c:pt idx="2646">
                  <c:v>90.70486</c:v>
                </c:pt>
                <c:pt idx="2647">
                  <c:v>90.70342</c:v>
                </c:pt>
                <c:pt idx="2648">
                  <c:v>90.70193</c:v>
                </c:pt>
                <c:pt idx="2649">
                  <c:v>90.70072</c:v>
                </c:pt>
                <c:pt idx="2650">
                  <c:v>90.69957</c:v>
                </c:pt>
                <c:pt idx="2651">
                  <c:v>90.69858999999998</c:v>
                </c:pt>
                <c:pt idx="2652">
                  <c:v>90.69663000000001</c:v>
                </c:pt>
                <c:pt idx="2653">
                  <c:v>90.69473</c:v>
                </c:pt>
                <c:pt idx="2654">
                  <c:v>90.69318</c:v>
                </c:pt>
                <c:pt idx="2655">
                  <c:v>90.69157000000001</c:v>
                </c:pt>
                <c:pt idx="2656">
                  <c:v>90.68977999999925</c:v>
                </c:pt>
                <c:pt idx="2657">
                  <c:v>90.68856999999998</c:v>
                </c:pt>
                <c:pt idx="2658">
                  <c:v>90.68754</c:v>
                </c:pt>
                <c:pt idx="2659">
                  <c:v>90.68662</c:v>
                </c:pt>
                <c:pt idx="2660">
                  <c:v>90.68557999999958</c:v>
                </c:pt>
                <c:pt idx="2661">
                  <c:v>90.68426</c:v>
                </c:pt>
                <c:pt idx="2662">
                  <c:v>90.68275999999958</c:v>
                </c:pt>
                <c:pt idx="2663">
                  <c:v>90.68137999999985</c:v>
                </c:pt>
                <c:pt idx="2664">
                  <c:v>90.67964999999998</c:v>
                </c:pt>
                <c:pt idx="2665">
                  <c:v>90.67832999999958</c:v>
                </c:pt>
                <c:pt idx="2666">
                  <c:v>90.67712</c:v>
                </c:pt>
                <c:pt idx="2667">
                  <c:v>90.67544999999915</c:v>
                </c:pt>
                <c:pt idx="2668">
                  <c:v>90.67406999999998</c:v>
                </c:pt>
                <c:pt idx="2669">
                  <c:v>90.67279999999907</c:v>
                </c:pt>
                <c:pt idx="2670">
                  <c:v>90.67176999999998</c:v>
                </c:pt>
                <c:pt idx="2671">
                  <c:v>90.67037999999897</c:v>
                </c:pt>
                <c:pt idx="2672">
                  <c:v>90.66899999999998</c:v>
                </c:pt>
                <c:pt idx="2673">
                  <c:v>90.66745</c:v>
                </c:pt>
                <c:pt idx="2674">
                  <c:v>90.66594999999998</c:v>
                </c:pt>
                <c:pt idx="2675">
                  <c:v>90.66473999999998</c:v>
                </c:pt>
                <c:pt idx="2676">
                  <c:v>90.66325</c:v>
                </c:pt>
                <c:pt idx="2677">
                  <c:v>90.66186</c:v>
                </c:pt>
                <c:pt idx="2678">
                  <c:v>90.66007999999998</c:v>
                </c:pt>
                <c:pt idx="2679">
                  <c:v>90.65857999999938</c:v>
                </c:pt>
                <c:pt idx="2680">
                  <c:v>90.65685999999998</c:v>
                </c:pt>
                <c:pt idx="2681">
                  <c:v>90.65529999999998</c:v>
                </c:pt>
                <c:pt idx="2682">
                  <c:v>90.65392</c:v>
                </c:pt>
                <c:pt idx="2683">
                  <c:v>90.65329</c:v>
                </c:pt>
                <c:pt idx="2684">
                  <c:v>90.65224999999998</c:v>
                </c:pt>
                <c:pt idx="2685">
                  <c:v>90.65098999999998</c:v>
                </c:pt>
                <c:pt idx="2686">
                  <c:v>90.64989</c:v>
                </c:pt>
                <c:pt idx="2687">
                  <c:v>90.64857</c:v>
                </c:pt>
                <c:pt idx="2688">
                  <c:v>90.6473</c:v>
                </c:pt>
                <c:pt idx="2689">
                  <c:v>90.64574999999998</c:v>
                </c:pt>
                <c:pt idx="2690">
                  <c:v>90.64425</c:v>
                </c:pt>
                <c:pt idx="2691">
                  <c:v>90.64264</c:v>
                </c:pt>
                <c:pt idx="2692">
                  <c:v>90.64114</c:v>
                </c:pt>
                <c:pt idx="2693">
                  <c:v>90.63987999999995</c:v>
                </c:pt>
                <c:pt idx="2694">
                  <c:v>90.63871999999998</c:v>
                </c:pt>
                <c:pt idx="2695">
                  <c:v>90.6374</c:v>
                </c:pt>
                <c:pt idx="2696">
                  <c:v>90.63613</c:v>
                </c:pt>
                <c:pt idx="2697">
                  <c:v>90.63464</c:v>
                </c:pt>
                <c:pt idx="2698">
                  <c:v>90.63303</c:v>
                </c:pt>
                <c:pt idx="2699">
                  <c:v>90.63147</c:v>
                </c:pt>
                <c:pt idx="2700">
                  <c:v>90.62945999999998</c:v>
                </c:pt>
                <c:pt idx="2701">
                  <c:v>90.62784999999998</c:v>
                </c:pt>
                <c:pt idx="2702">
                  <c:v>90.62680999999998</c:v>
                </c:pt>
                <c:pt idx="2703">
                  <c:v>90.62599999999995</c:v>
                </c:pt>
                <c:pt idx="2704">
                  <c:v>90.62468</c:v>
                </c:pt>
                <c:pt idx="2705">
                  <c:v>90.62329999999998</c:v>
                </c:pt>
                <c:pt idx="2706">
                  <c:v>90.62192</c:v>
                </c:pt>
                <c:pt idx="2707">
                  <c:v>90.62058999999998</c:v>
                </c:pt>
                <c:pt idx="2708">
                  <c:v>90.61904</c:v>
                </c:pt>
                <c:pt idx="2709">
                  <c:v>90.61783000000001</c:v>
                </c:pt>
                <c:pt idx="2710">
                  <c:v>90.61656</c:v>
                </c:pt>
                <c:pt idx="2711">
                  <c:v>90.6153</c:v>
                </c:pt>
                <c:pt idx="2712">
                  <c:v>90.6138</c:v>
                </c:pt>
                <c:pt idx="2713">
                  <c:v>90.61247999999995</c:v>
                </c:pt>
                <c:pt idx="2714">
                  <c:v>90.61087</c:v>
                </c:pt>
                <c:pt idx="2715">
                  <c:v>90.60953999999998</c:v>
                </c:pt>
                <c:pt idx="2716">
                  <c:v>90.60844999999995</c:v>
                </c:pt>
                <c:pt idx="2717">
                  <c:v>90.60753</c:v>
                </c:pt>
                <c:pt idx="2718">
                  <c:v>90.60585999999998</c:v>
                </c:pt>
                <c:pt idx="2719">
                  <c:v>90.60447999999998</c:v>
                </c:pt>
                <c:pt idx="2720">
                  <c:v>90.60315</c:v>
                </c:pt>
                <c:pt idx="2721">
                  <c:v>90.60205999999998</c:v>
                </c:pt>
                <c:pt idx="2722">
                  <c:v>90.60091</c:v>
                </c:pt>
                <c:pt idx="2723">
                  <c:v>90.60003999999998</c:v>
                </c:pt>
                <c:pt idx="2724">
                  <c:v>90.59901</c:v>
                </c:pt>
                <c:pt idx="2725">
                  <c:v>90.59786</c:v>
                </c:pt>
                <c:pt idx="2726">
                  <c:v>90.59659</c:v>
                </c:pt>
                <c:pt idx="2727">
                  <c:v>90.59537999999995</c:v>
                </c:pt>
                <c:pt idx="2728">
                  <c:v>90.59383</c:v>
                </c:pt>
                <c:pt idx="2729">
                  <c:v>90.59216</c:v>
                </c:pt>
                <c:pt idx="2730">
                  <c:v>90.59095</c:v>
                </c:pt>
                <c:pt idx="2731">
                  <c:v>90.58945</c:v>
                </c:pt>
                <c:pt idx="2732">
                  <c:v>90.58796</c:v>
                </c:pt>
                <c:pt idx="2733">
                  <c:v>90.58674999999998</c:v>
                </c:pt>
                <c:pt idx="2734">
                  <c:v>90.58507999999995</c:v>
                </c:pt>
                <c:pt idx="2735">
                  <c:v>90.5837</c:v>
                </c:pt>
                <c:pt idx="2736">
                  <c:v>90.58226</c:v>
                </c:pt>
                <c:pt idx="2737">
                  <c:v>90.58076</c:v>
                </c:pt>
                <c:pt idx="2738">
                  <c:v>90.57931999999998</c:v>
                </c:pt>
                <c:pt idx="2739">
                  <c:v>90.57805999999998</c:v>
                </c:pt>
                <c:pt idx="2740">
                  <c:v>90.57702</c:v>
                </c:pt>
                <c:pt idx="2741">
                  <c:v>90.57592999999998</c:v>
                </c:pt>
                <c:pt idx="2742">
                  <c:v>90.57448999999998</c:v>
                </c:pt>
                <c:pt idx="2743">
                  <c:v>90.57338999999975</c:v>
                </c:pt>
                <c:pt idx="2744">
                  <c:v>90.57229999999998</c:v>
                </c:pt>
                <c:pt idx="2745">
                  <c:v>90.57126</c:v>
                </c:pt>
                <c:pt idx="2746">
                  <c:v>90.57004999999998</c:v>
                </c:pt>
                <c:pt idx="2747">
                  <c:v>90.56867</c:v>
                </c:pt>
                <c:pt idx="2748">
                  <c:v>90.56741</c:v>
                </c:pt>
                <c:pt idx="2749">
                  <c:v>90.56614</c:v>
                </c:pt>
                <c:pt idx="2750">
                  <c:v>90.56505</c:v>
                </c:pt>
                <c:pt idx="2751">
                  <c:v>90.56349</c:v>
                </c:pt>
                <c:pt idx="2752">
                  <c:v>90.56223</c:v>
                </c:pt>
                <c:pt idx="2753">
                  <c:v>90.56102</c:v>
                </c:pt>
                <c:pt idx="2754">
                  <c:v>90.55981</c:v>
                </c:pt>
                <c:pt idx="2755">
                  <c:v>90.55847999999965</c:v>
                </c:pt>
                <c:pt idx="2756">
                  <c:v>90.55722</c:v>
                </c:pt>
                <c:pt idx="2757">
                  <c:v>90.55583999999975</c:v>
                </c:pt>
                <c:pt idx="2758">
                  <c:v>90.5544</c:v>
                </c:pt>
                <c:pt idx="2759">
                  <c:v>90.55307</c:v>
                </c:pt>
                <c:pt idx="2760">
                  <c:v>90.55186</c:v>
                </c:pt>
                <c:pt idx="2761">
                  <c:v>90.55070999999998</c:v>
                </c:pt>
                <c:pt idx="2762">
                  <c:v>90.54973</c:v>
                </c:pt>
                <c:pt idx="2763">
                  <c:v>90.54864</c:v>
                </c:pt>
                <c:pt idx="2764">
                  <c:v>90.54755</c:v>
                </c:pt>
                <c:pt idx="2765">
                  <c:v>90.5464</c:v>
                </c:pt>
                <c:pt idx="2766">
                  <c:v>90.54519</c:v>
                </c:pt>
                <c:pt idx="2767">
                  <c:v>90.54381</c:v>
                </c:pt>
                <c:pt idx="2768">
                  <c:v>90.54231</c:v>
                </c:pt>
                <c:pt idx="2769">
                  <c:v>90.54099</c:v>
                </c:pt>
                <c:pt idx="2770">
                  <c:v>90.53983</c:v>
                </c:pt>
                <c:pt idx="2771">
                  <c:v>90.53879999999998</c:v>
                </c:pt>
                <c:pt idx="2772">
                  <c:v>90.53742</c:v>
                </c:pt>
                <c:pt idx="2773">
                  <c:v>90.53597999999998</c:v>
                </c:pt>
                <c:pt idx="2774">
                  <c:v>90.53488</c:v>
                </c:pt>
                <c:pt idx="2775">
                  <c:v>90.53396</c:v>
                </c:pt>
                <c:pt idx="2776">
                  <c:v>90.53293</c:v>
                </c:pt>
                <c:pt idx="2777">
                  <c:v>90.53172</c:v>
                </c:pt>
                <c:pt idx="2778">
                  <c:v>90.53033999999998</c:v>
                </c:pt>
                <c:pt idx="2779">
                  <c:v>90.52883999999958</c:v>
                </c:pt>
                <c:pt idx="2780">
                  <c:v>90.52752</c:v>
                </c:pt>
                <c:pt idx="2781">
                  <c:v>90.52619</c:v>
                </c:pt>
                <c:pt idx="2782">
                  <c:v>90.52487</c:v>
                </c:pt>
                <c:pt idx="2783">
                  <c:v>90.52353999999998</c:v>
                </c:pt>
                <c:pt idx="2784">
                  <c:v>90.52238999999958</c:v>
                </c:pt>
                <c:pt idx="2785">
                  <c:v>90.52141</c:v>
                </c:pt>
                <c:pt idx="2786">
                  <c:v>90.52037999999965</c:v>
                </c:pt>
                <c:pt idx="2787">
                  <c:v>90.51905</c:v>
                </c:pt>
                <c:pt idx="2788">
                  <c:v>90.51779</c:v>
                </c:pt>
                <c:pt idx="2789">
                  <c:v>90.51623</c:v>
                </c:pt>
                <c:pt idx="2790">
                  <c:v>90.51485</c:v>
                </c:pt>
                <c:pt idx="2791">
                  <c:v>90.51336</c:v>
                </c:pt>
                <c:pt idx="2792">
                  <c:v>90.51197</c:v>
                </c:pt>
                <c:pt idx="2793">
                  <c:v>90.51077</c:v>
                </c:pt>
                <c:pt idx="2794">
                  <c:v>90.50944</c:v>
                </c:pt>
                <c:pt idx="2795">
                  <c:v>90.50829</c:v>
                </c:pt>
                <c:pt idx="2796">
                  <c:v>90.50748</c:v>
                </c:pt>
                <c:pt idx="2797">
                  <c:v>90.50616</c:v>
                </c:pt>
                <c:pt idx="2798">
                  <c:v>90.50495</c:v>
                </c:pt>
                <c:pt idx="2799">
                  <c:v>90.50373999999998</c:v>
                </c:pt>
                <c:pt idx="2800">
                  <c:v>90.50275999999998</c:v>
                </c:pt>
                <c:pt idx="2801">
                  <c:v>90.50133</c:v>
                </c:pt>
                <c:pt idx="2802">
                  <c:v>90.50029</c:v>
                </c:pt>
                <c:pt idx="2803">
                  <c:v>90.49937000000001</c:v>
                </c:pt>
                <c:pt idx="2804">
                  <c:v>90.49799</c:v>
                </c:pt>
                <c:pt idx="2805">
                  <c:v>90.49701</c:v>
                </c:pt>
                <c:pt idx="2806">
                  <c:v>90.49597</c:v>
                </c:pt>
                <c:pt idx="2807">
                  <c:v>90.49488</c:v>
                </c:pt>
                <c:pt idx="2808">
                  <c:v>90.4939</c:v>
                </c:pt>
                <c:pt idx="2809">
                  <c:v>90.49281</c:v>
                </c:pt>
                <c:pt idx="2810">
                  <c:v>90.49148</c:v>
                </c:pt>
                <c:pt idx="2811">
                  <c:v>90.4901</c:v>
                </c:pt>
                <c:pt idx="2812">
                  <c:v>90.48855</c:v>
                </c:pt>
                <c:pt idx="2813">
                  <c:v>90.48694</c:v>
                </c:pt>
                <c:pt idx="2814">
                  <c:v>90.48537999999998</c:v>
                </c:pt>
                <c:pt idx="2815">
                  <c:v>90.48371</c:v>
                </c:pt>
                <c:pt idx="2816">
                  <c:v>90.48233</c:v>
                </c:pt>
                <c:pt idx="2817">
                  <c:v>90.48106</c:v>
                </c:pt>
                <c:pt idx="2818">
                  <c:v>90.47986</c:v>
                </c:pt>
                <c:pt idx="2819">
                  <c:v>90.47887999999975</c:v>
                </c:pt>
                <c:pt idx="2820">
                  <c:v>90.47767</c:v>
                </c:pt>
                <c:pt idx="2821">
                  <c:v>90.47652</c:v>
                </c:pt>
                <c:pt idx="2822">
                  <c:v>90.4756</c:v>
                </c:pt>
                <c:pt idx="2823">
                  <c:v>90.47444</c:v>
                </c:pt>
                <c:pt idx="2824">
                  <c:v>90.47301</c:v>
                </c:pt>
                <c:pt idx="2825">
                  <c:v>90.47168</c:v>
                </c:pt>
                <c:pt idx="2826">
                  <c:v>90.47059</c:v>
                </c:pt>
                <c:pt idx="2827">
                  <c:v>90.46938</c:v>
                </c:pt>
                <c:pt idx="2828">
                  <c:v>90.46829</c:v>
                </c:pt>
                <c:pt idx="2829">
                  <c:v>90.46719</c:v>
                </c:pt>
                <c:pt idx="2830">
                  <c:v>90.46598</c:v>
                </c:pt>
                <c:pt idx="2831">
                  <c:v>90.465</c:v>
                </c:pt>
                <c:pt idx="2832">
                  <c:v>90.46385</c:v>
                </c:pt>
                <c:pt idx="2833">
                  <c:v>90.46293</c:v>
                </c:pt>
                <c:pt idx="2834">
                  <c:v>90.4619</c:v>
                </c:pt>
                <c:pt idx="2835">
                  <c:v>90.46074</c:v>
                </c:pt>
                <c:pt idx="2836">
                  <c:v>90.45959</c:v>
                </c:pt>
                <c:pt idx="2837">
                  <c:v>90.45837999999995</c:v>
                </c:pt>
                <c:pt idx="2838">
                  <c:v>90.45735</c:v>
                </c:pt>
                <c:pt idx="2839">
                  <c:v>90.45649</c:v>
                </c:pt>
                <c:pt idx="2840">
                  <c:v>90.45545</c:v>
                </c:pt>
                <c:pt idx="2841">
                  <c:v>90.4543</c:v>
                </c:pt>
                <c:pt idx="2842">
                  <c:v>90.45343</c:v>
                </c:pt>
                <c:pt idx="2843">
                  <c:v>90.45233999999998</c:v>
                </c:pt>
                <c:pt idx="2844">
                  <c:v>90.45119</c:v>
                </c:pt>
                <c:pt idx="2845">
                  <c:v>90.45004</c:v>
                </c:pt>
                <c:pt idx="2846">
                  <c:v>90.44843</c:v>
                </c:pt>
                <c:pt idx="2847">
                  <c:v>90.44716</c:v>
                </c:pt>
                <c:pt idx="2848">
                  <c:v>90.44572</c:v>
                </c:pt>
                <c:pt idx="2849">
                  <c:v>90.4444</c:v>
                </c:pt>
                <c:pt idx="2850">
                  <c:v>90.4433</c:v>
                </c:pt>
                <c:pt idx="2851">
                  <c:v>90.44244</c:v>
                </c:pt>
                <c:pt idx="2852">
                  <c:v>90.44129</c:v>
                </c:pt>
                <c:pt idx="2853">
                  <c:v>90.44008</c:v>
                </c:pt>
                <c:pt idx="2854">
                  <c:v>90.43916</c:v>
                </c:pt>
                <c:pt idx="2855">
                  <c:v>90.43824</c:v>
                </c:pt>
                <c:pt idx="2856">
                  <c:v>90.43691</c:v>
                </c:pt>
                <c:pt idx="2857">
                  <c:v>90.43576</c:v>
                </c:pt>
                <c:pt idx="2858">
                  <c:v>90.43484</c:v>
                </c:pt>
                <c:pt idx="2859">
                  <c:v>90.43369</c:v>
                </c:pt>
                <c:pt idx="2860">
                  <c:v>90.43237</c:v>
                </c:pt>
                <c:pt idx="2861">
                  <c:v>90.43093</c:v>
                </c:pt>
                <c:pt idx="2862">
                  <c:v>90.42977999999998</c:v>
                </c:pt>
                <c:pt idx="2863">
                  <c:v>90.42839999999998</c:v>
                </c:pt>
                <c:pt idx="2864">
                  <c:v>90.42719</c:v>
                </c:pt>
                <c:pt idx="2865">
                  <c:v>90.42609</c:v>
                </c:pt>
                <c:pt idx="2866">
                  <c:v>90.42494</c:v>
                </c:pt>
                <c:pt idx="2867">
                  <c:v>90.42391</c:v>
                </c:pt>
                <c:pt idx="2868">
                  <c:v>90.42281</c:v>
                </c:pt>
                <c:pt idx="2869">
                  <c:v>90.42149</c:v>
                </c:pt>
                <c:pt idx="2870">
                  <c:v>90.42016</c:v>
                </c:pt>
                <c:pt idx="2871">
                  <c:v>90.4193</c:v>
                </c:pt>
                <c:pt idx="2872">
                  <c:v>90.41826</c:v>
                </c:pt>
                <c:pt idx="2873">
                  <c:v>90.41723</c:v>
                </c:pt>
                <c:pt idx="2874">
                  <c:v>90.41613</c:v>
                </c:pt>
                <c:pt idx="2875">
                  <c:v>90.41504</c:v>
                </c:pt>
                <c:pt idx="2876">
                  <c:v>90.41383</c:v>
                </c:pt>
                <c:pt idx="2877">
                  <c:v>90.41274</c:v>
                </c:pt>
                <c:pt idx="2878">
                  <c:v>90.4117</c:v>
                </c:pt>
                <c:pt idx="2879">
                  <c:v>90.41067</c:v>
                </c:pt>
                <c:pt idx="2880">
                  <c:v>90.40969</c:v>
                </c:pt>
                <c:pt idx="2881">
                  <c:v>90.40842</c:v>
                </c:pt>
                <c:pt idx="2882">
                  <c:v>90.40727</c:v>
                </c:pt>
                <c:pt idx="2883">
                  <c:v>90.40612</c:v>
                </c:pt>
                <c:pt idx="2884">
                  <c:v>90.4048</c:v>
                </c:pt>
                <c:pt idx="2885">
                  <c:v>90.40347000000001</c:v>
                </c:pt>
                <c:pt idx="2886">
                  <c:v>90.40226</c:v>
                </c:pt>
                <c:pt idx="2887">
                  <c:v>90.401</c:v>
                </c:pt>
                <c:pt idx="2888">
                  <c:v>90.39996</c:v>
                </c:pt>
                <c:pt idx="2889">
                  <c:v>90.39886999999997</c:v>
                </c:pt>
                <c:pt idx="2890">
                  <c:v>90.3976</c:v>
                </c:pt>
                <c:pt idx="2891">
                  <c:v>90.39656</c:v>
                </c:pt>
                <c:pt idx="2892">
                  <c:v>90.39524</c:v>
                </c:pt>
                <c:pt idx="2893">
                  <c:v>90.39397</c:v>
                </c:pt>
                <c:pt idx="2894">
                  <c:v>90.39253</c:v>
                </c:pt>
                <c:pt idx="2895">
                  <c:v>90.39115</c:v>
                </c:pt>
                <c:pt idx="2896">
                  <c:v>90.39</c:v>
                </c:pt>
                <c:pt idx="2897">
                  <c:v>90.38890999999998</c:v>
                </c:pt>
                <c:pt idx="2898">
                  <c:v>90.38799</c:v>
                </c:pt>
                <c:pt idx="2899">
                  <c:v>90.38695</c:v>
                </c:pt>
                <c:pt idx="2900">
                  <c:v>90.38579999999965</c:v>
                </c:pt>
                <c:pt idx="2901">
                  <c:v>90.38453000000001</c:v>
                </c:pt>
                <c:pt idx="2902">
                  <c:v>90.38337999999958</c:v>
                </c:pt>
                <c:pt idx="2903">
                  <c:v>90.38257999999995</c:v>
                </c:pt>
                <c:pt idx="2904">
                  <c:v>90.38143</c:v>
                </c:pt>
                <c:pt idx="2905">
                  <c:v>90.38032999999998</c:v>
                </c:pt>
                <c:pt idx="2906">
                  <c:v>90.37894999999965</c:v>
                </c:pt>
                <c:pt idx="2907">
                  <c:v>90.37763</c:v>
                </c:pt>
                <c:pt idx="2908">
                  <c:v>90.37606999999998</c:v>
                </c:pt>
                <c:pt idx="2909">
                  <c:v>90.37514999999995</c:v>
                </c:pt>
                <c:pt idx="2910">
                  <c:v>90.37439999999998</c:v>
                </c:pt>
                <c:pt idx="2911">
                  <c:v>90.37325</c:v>
                </c:pt>
                <c:pt idx="2912">
                  <c:v>90.37232999999995</c:v>
                </c:pt>
                <c:pt idx="2913">
                  <c:v>90.37129</c:v>
                </c:pt>
                <c:pt idx="2914">
                  <c:v>90.37031999999998</c:v>
                </c:pt>
                <c:pt idx="2915">
                  <c:v>90.36951</c:v>
                </c:pt>
                <c:pt idx="2916">
                  <c:v>90.36835999999998</c:v>
                </c:pt>
                <c:pt idx="2917">
                  <c:v>90.36703</c:v>
                </c:pt>
                <c:pt idx="2918">
                  <c:v>90.36565</c:v>
                </c:pt>
                <c:pt idx="2919">
                  <c:v>90.36491</c:v>
                </c:pt>
                <c:pt idx="2920">
                  <c:v>90.36381</c:v>
                </c:pt>
                <c:pt idx="2921">
                  <c:v>90.36282999999997</c:v>
                </c:pt>
                <c:pt idx="2922">
                  <c:v>90.36168</c:v>
                </c:pt>
                <c:pt idx="2923">
                  <c:v>90.36036</c:v>
                </c:pt>
                <c:pt idx="2924">
                  <c:v>90.35892</c:v>
                </c:pt>
                <c:pt idx="2925">
                  <c:v>90.35725</c:v>
                </c:pt>
                <c:pt idx="2926">
                  <c:v>90.35574999999938</c:v>
                </c:pt>
                <c:pt idx="2927">
                  <c:v>90.35472</c:v>
                </c:pt>
                <c:pt idx="2928">
                  <c:v>90.35328</c:v>
                </c:pt>
                <c:pt idx="2929">
                  <c:v>90.35177999999995</c:v>
                </c:pt>
                <c:pt idx="2930">
                  <c:v>90.35033999999958</c:v>
                </c:pt>
                <c:pt idx="2931">
                  <c:v>90.34942</c:v>
                </c:pt>
                <c:pt idx="2932">
                  <c:v>90.3485</c:v>
                </c:pt>
                <c:pt idx="2933">
                  <c:v>90.34758</c:v>
                </c:pt>
                <c:pt idx="2934">
                  <c:v>90.3466</c:v>
                </c:pt>
                <c:pt idx="2935">
                  <c:v>90.34573999999998</c:v>
                </c:pt>
                <c:pt idx="2936">
                  <c:v>90.34459</c:v>
                </c:pt>
                <c:pt idx="2937">
                  <c:v>90.34326</c:v>
                </c:pt>
                <c:pt idx="2938">
                  <c:v>90.34217</c:v>
                </c:pt>
                <c:pt idx="2939">
                  <c:v>90.3413</c:v>
                </c:pt>
                <c:pt idx="2940">
                  <c:v>90.34033</c:v>
                </c:pt>
                <c:pt idx="2941">
                  <c:v>90.33934999999998</c:v>
                </c:pt>
                <c:pt idx="2942">
                  <c:v>90.33807999999995</c:v>
                </c:pt>
                <c:pt idx="2943">
                  <c:v>90.33693</c:v>
                </c:pt>
                <c:pt idx="2944">
                  <c:v>90.33583999999995</c:v>
                </c:pt>
                <c:pt idx="2945">
                  <c:v>90.3348</c:v>
                </c:pt>
                <c:pt idx="2946">
                  <c:v>90.33394</c:v>
                </c:pt>
                <c:pt idx="2947">
                  <c:v>90.3333</c:v>
                </c:pt>
                <c:pt idx="2948">
                  <c:v>90.33208999999998</c:v>
                </c:pt>
                <c:pt idx="2949">
                  <c:v>90.33088999999998</c:v>
                </c:pt>
                <c:pt idx="2950">
                  <c:v>90.32978999999958</c:v>
                </c:pt>
                <c:pt idx="2951">
                  <c:v>90.32898999999995</c:v>
                </c:pt>
                <c:pt idx="2952">
                  <c:v>90.32709</c:v>
                </c:pt>
                <c:pt idx="2953">
                  <c:v>90.32558999999995</c:v>
                </c:pt>
                <c:pt idx="2954">
                  <c:v>90.32472999999997</c:v>
                </c:pt>
                <c:pt idx="2955">
                  <c:v>90.32397999999998</c:v>
                </c:pt>
                <c:pt idx="2956">
                  <c:v>90.32323</c:v>
                </c:pt>
                <c:pt idx="2957">
                  <c:v>90.32213999999995</c:v>
                </c:pt>
                <c:pt idx="2958">
                  <c:v>90.32080999999998</c:v>
                </c:pt>
                <c:pt idx="2959">
                  <c:v>90.31977999999998</c:v>
                </c:pt>
                <c:pt idx="2960">
                  <c:v>90.31879999999998</c:v>
                </c:pt>
                <c:pt idx="2961">
                  <c:v>90.31765</c:v>
                </c:pt>
                <c:pt idx="2962">
                  <c:v>90.31661</c:v>
                </c:pt>
                <c:pt idx="2963">
                  <c:v>90.31539999999998</c:v>
                </c:pt>
                <c:pt idx="2964">
                  <c:v>90.31431</c:v>
                </c:pt>
                <c:pt idx="2965">
                  <c:v>90.31333</c:v>
                </c:pt>
                <c:pt idx="2966">
                  <c:v>90.31212</c:v>
                </c:pt>
                <c:pt idx="2967">
                  <c:v>90.31091</c:v>
                </c:pt>
                <c:pt idx="2968">
                  <c:v>90.30975999999998</c:v>
                </c:pt>
                <c:pt idx="2969">
                  <c:v>90.30883999999975</c:v>
                </c:pt>
                <c:pt idx="2970">
                  <c:v>90.30769</c:v>
                </c:pt>
                <c:pt idx="2971">
                  <c:v>90.30647999999998</c:v>
                </c:pt>
                <c:pt idx="2972">
                  <c:v>90.30503999999995</c:v>
                </c:pt>
                <c:pt idx="2973">
                  <c:v>90.30383</c:v>
                </c:pt>
                <c:pt idx="2974">
                  <c:v>90.30267999999998</c:v>
                </c:pt>
                <c:pt idx="2975">
                  <c:v>90.30164</c:v>
                </c:pt>
                <c:pt idx="2976">
                  <c:v>90.30055</c:v>
                </c:pt>
                <c:pt idx="2977">
                  <c:v>90.29928</c:v>
                </c:pt>
                <c:pt idx="2978">
                  <c:v>90.29825</c:v>
                </c:pt>
                <c:pt idx="2979">
                  <c:v>90.2971</c:v>
                </c:pt>
                <c:pt idx="2980">
                  <c:v>90.29623</c:v>
                </c:pt>
                <c:pt idx="2981">
                  <c:v>90.29503</c:v>
                </c:pt>
                <c:pt idx="2982">
                  <c:v>90.29341</c:v>
                </c:pt>
                <c:pt idx="2983">
                  <c:v>90.2922</c:v>
                </c:pt>
                <c:pt idx="2984">
                  <c:v>90.29111</c:v>
                </c:pt>
                <c:pt idx="2985">
                  <c:v>90.28996</c:v>
                </c:pt>
                <c:pt idx="2986">
                  <c:v>90.28915</c:v>
                </c:pt>
                <c:pt idx="2987">
                  <c:v>90.28817999999998</c:v>
                </c:pt>
                <c:pt idx="2988">
                  <c:v>90.2872</c:v>
                </c:pt>
                <c:pt idx="2989">
                  <c:v>90.28616</c:v>
                </c:pt>
                <c:pt idx="2990">
                  <c:v>90.28495</c:v>
                </c:pt>
                <c:pt idx="2991">
                  <c:v>90.28386</c:v>
                </c:pt>
                <c:pt idx="2992">
                  <c:v>90.28265</c:v>
                </c:pt>
                <c:pt idx="2993">
                  <c:v>90.28133</c:v>
                </c:pt>
                <c:pt idx="2994">
                  <c:v>90.28035</c:v>
                </c:pt>
                <c:pt idx="2995">
                  <c:v>90.27943</c:v>
                </c:pt>
                <c:pt idx="2996">
                  <c:v>90.27832999999998</c:v>
                </c:pt>
                <c:pt idx="2997">
                  <c:v>90.27724</c:v>
                </c:pt>
                <c:pt idx="2998">
                  <c:v>90.27626</c:v>
                </c:pt>
                <c:pt idx="2999">
                  <c:v>90.27533999999935</c:v>
                </c:pt>
                <c:pt idx="3000">
                  <c:v>90.27442</c:v>
                </c:pt>
                <c:pt idx="3001">
                  <c:v>90.27327</c:v>
                </c:pt>
                <c:pt idx="3002">
                  <c:v>90.27234999999965</c:v>
                </c:pt>
                <c:pt idx="3003">
                  <c:v>90.27102</c:v>
                </c:pt>
                <c:pt idx="3004">
                  <c:v>90.26947000000001</c:v>
                </c:pt>
                <c:pt idx="3005">
                  <c:v>90.26803</c:v>
                </c:pt>
                <c:pt idx="3006">
                  <c:v>90.26699</c:v>
                </c:pt>
                <c:pt idx="3007">
                  <c:v>90.26577999999998</c:v>
                </c:pt>
                <c:pt idx="3008">
                  <c:v>90.26475</c:v>
                </c:pt>
                <c:pt idx="3009">
                  <c:v>90.26383000000001</c:v>
                </c:pt>
                <c:pt idx="3010">
                  <c:v>90.26278999999998</c:v>
                </c:pt>
                <c:pt idx="3011">
                  <c:v>90.26175</c:v>
                </c:pt>
                <c:pt idx="3012">
                  <c:v>90.2606</c:v>
                </c:pt>
                <c:pt idx="3013">
                  <c:v>90.25968</c:v>
                </c:pt>
                <c:pt idx="3014">
                  <c:v>90.25893</c:v>
                </c:pt>
                <c:pt idx="3015">
                  <c:v>90.25801</c:v>
                </c:pt>
                <c:pt idx="3016">
                  <c:v>90.25715</c:v>
                </c:pt>
                <c:pt idx="3017">
                  <c:v>90.25606</c:v>
                </c:pt>
                <c:pt idx="3018">
                  <c:v>90.25507999999998</c:v>
                </c:pt>
                <c:pt idx="3019">
                  <c:v>90.25398</c:v>
                </c:pt>
                <c:pt idx="3020">
                  <c:v>90.25282999999997</c:v>
                </c:pt>
                <c:pt idx="3021">
                  <c:v>90.2518</c:v>
                </c:pt>
                <c:pt idx="3022">
                  <c:v>90.25087999999998</c:v>
                </c:pt>
                <c:pt idx="3023">
                  <c:v>90.24955</c:v>
                </c:pt>
                <c:pt idx="3024">
                  <c:v>90.24846</c:v>
                </c:pt>
                <c:pt idx="3025">
                  <c:v>90.24748</c:v>
                </c:pt>
                <c:pt idx="3026">
                  <c:v>90.24639</c:v>
                </c:pt>
                <c:pt idx="3027">
                  <c:v>90.24506</c:v>
                </c:pt>
                <c:pt idx="3028">
                  <c:v>90.24385</c:v>
                </c:pt>
                <c:pt idx="3029">
                  <c:v>90.24287</c:v>
                </c:pt>
                <c:pt idx="3030">
                  <c:v>90.24155</c:v>
                </c:pt>
                <c:pt idx="3031">
                  <c:v>90.23994</c:v>
                </c:pt>
                <c:pt idx="3032">
                  <c:v>90.23942</c:v>
                </c:pt>
                <c:pt idx="3033">
                  <c:v>90.23878999999998</c:v>
                </c:pt>
                <c:pt idx="3034">
                  <c:v>90.23764</c:v>
                </c:pt>
                <c:pt idx="3035">
                  <c:v>90.23649</c:v>
                </c:pt>
                <c:pt idx="3036">
                  <c:v>90.23578999999998</c:v>
                </c:pt>
                <c:pt idx="3037">
                  <c:v>90.23464</c:v>
                </c:pt>
                <c:pt idx="3038">
                  <c:v>90.23332</c:v>
                </c:pt>
                <c:pt idx="3039">
                  <c:v>90.23211</c:v>
                </c:pt>
                <c:pt idx="3040">
                  <c:v>90.23096</c:v>
                </c:pt>
                <c:pt idx="3041">
                  <c:v>90.2301</c:v>
                </c:pt>
                <c:pt idx="3042">
                  <c:v>90.22912</c:v>
                </c:pt>
                <c:pt idx="3043">
                  <c:v>90.22830999999998</c:v>
                </c:pt>
                <c:pt idx="3044">
                  <c:v>90.22733</c:v>
                </c:pt>
                <c:pt idx="3045">
                  <c:v>90.22624</c:v>
                </c:pt>
                <c:pt idx="3046">
                  <c:v>90.22537999999948</c:v>
                </c:pt>
                <c:pt idx="3047">
                  <c:v>90.22411</c:v>
                </c:pt>
                <c:pt idx="3048">
                  <c:v>90.22296</c:v>
                </c:pt>
                <c:pt idx="3049">
                  <c:v>90.22181</c:v>
                </c:pt>
                <c:pt idx="3050">
                  <c:v>90.22088999999998</c:v>
                </c:pt>
                <c:pt idx="3051">
                  <c:v>90.21985</c:v>
                </c:pt>
                <c:pt idx="3052">
                  <c:v>90.21870000000001</c:v>
                </c:pt>
                <c:pt idx="3053">
                  <c:v>90.21749</c:v>
                </c:pt>
                <c:pt idx="3054">
                  <c:v>90.21628</c:v>
                </c:pt>
                <c:pt idx="3055">
                  <c:v>90.21513</c:v>
                </c:pt>
                <c:pt idx="3056">
                  <c:v>90.21427000000002</c:v>
                </c:pt>
                <c:pt idx="3057">
                  <c:v>90.21306</c:v>
                </c:pt>
                <c:pt idx="3058">
                  <c:v>90.21179</c:v>
                </c:pt>
                <c:pt idx="3059">
                  <c:v>90.2111</c:v>
                </c:pt>
                <c:pt idx="3060">
                  <c:v>90.21064</c:v>
                </c:pt>
                <c:pt idx="3061">
                  <c:v>90.20949</c:v>
                </c:pt>
                <c:pt idx="3062">
                  <c:v>90.20857</c:v>
                </c:pt>
                <c:pt idx="3063">
                  <c:v>90.20742</c:v>
                </c:pt>
                <c:pt idx="3064">
                  <c:v>90.20644</c:v>
                </c:pt>
                <c:pt idx="3065">
                  <c:v>90.20546</c:v>
                </c:pt>
                <c:pt idx="3066">
                  <c:v>90.20425</c:v>
                </c:pt>
                <c:pt idx="3067">
                  <c:v>90.20321</c:v>
                </c:pt>
                <c:pt idx="3068">
                  <c:v>90.20172</c:v>
                </c:pt>
                <c:pt idx="3069">
                  <c:v>90.20045</c:v>
                </c:pt>
                <c:pt idx="3070">
                  <c:v>90.19919</c:v>
                </c:pt>
                <c:pt idx="3071">
                  <c:v>90.19798</c:v>
                </c:pt>
                <c:pt idx="3072">
                  <c:v>90.19683</c:v>
                </c:pt>
                <c:pt idx="3073">
                  <c:v>90.19572999999998</c:v>
                </c:pt>
                <c:pt idx="3074">
                  <c:v>90.19441</c:v>
                </c:pt>
                <c:pt idx="3075">
                  <c:v>90.19307999999998</c:v>
                </c:pt>
                <c:pt idx="3076">
                  <c:v>90.19188</c:v>
                </c:pt>
                <c:pt idx="3077">
                  <c:v>90.19077999999975</c:v>
                </c:pt>
                <c:pt idx="3078">
                  <c:v>90.18969</c:v>
                </c:pt>
                <c:pt idx="3079">
                  <c:v>90.18847999999915</c:v>
                </c:pt>
                <c:pt idx="3080">
                  <c:v>90.18727000000001</c:v>
                </c:pt>
                <c:pt idx="3081">
                  <c:v>90.18634999999995</c:v>
                </c:pt>
                <c:pt idx="3082">
                  <c:v>90.18571999999975</c:v>
                </c:pt>
                <c:pt idx="3083">
                  <c:v>90.18502999999998</c:v>
                </c:pt>
                <c:pt idx="3084">
                  <c:v>90.18416</c:v>
                </c:pt>
                <c:pt idx="3085">
                  <c:v>90.18306999999998</c:v>
                </c:pt>
                <c:pt idx="3086">
                  <c:v>90.18202999999998</c:v>
                </c:pt>
                <c:pt idx="3087">
                  <c:v>90.18058999999998</c:v>
                </c:pt>
                <c:pt idx="3088">
                  <c:v>90.17926999999997</c:v>
                </c:pt>
                <c:pt idx="3089">
                  <c:v>90.1785799999991</c:v>
                </c:pt>
                <c:pt idx="3090">
                  <c:v>90.17753999999998</c:v>
                </c:pt>
                <c:pt idx="3091">
                  <c:v>90.17644999999958</c:v>
                </c:pt>
                <c:pt idx="3092">
                  <c:v>90.17529999999998</c:v>
                </c:pt>
                <c:pt idx="3093">
                  <c:v>90.17426</c:v>
                </c:pt>
                <c:pt idx="3094">
                  <c:v>90.17287999999884</c:v>
                </c:pt>
                <c:pt idx="3095">
                  <c:v>90.17161</c:v>
                </c:pt>
                <c:pt idx="3096">
                  <c:v>90.17051999999998</c:v>
                </c:pt>
                <c:pt idx="3097">
                  <c:v>90.16976999999998</c:v>
                </c:pt>
                <c:pt idx="3098">
                  <c:v>90.16902</c:v>
                </c:pt>
                <c:pt idx="3099">
                  <c:v>90.16809999999998</c:v>
                </c:pt>
                <c:pt idx="3100">
                  <c:v>90.16712</c:v>
                </c:pt>
                <c:pt idx="3101">
                  <c:v>90.16585999999998</c:v>
                </c:pt>
                <c:pt idx="3102">
                  <c:v>90.16402</c:v>
                </c:pt>
                <c:pt idx="3103">
                  <c:v>90.16297999999995</c:v>
                </c:pt>
                <c:pt idx="3104">
                  <c:v>90.16239999999995</c:v>
                </c:pt>
                <c:pt idx="3105">
                  <c:v>90.16166</c:v>
                </c:pt>
                <c:pt idx="3106">
                  <c:v>90.16072999999998</c:v>
                </c:pt>
                <c:pt idx="3107">
                  <c:v>90.15929999999997</c:v>
                </c:pt>
                <c:pt idx="3108">
                  <c:v>90.15786</c:v>
                </c:pt>
                <c:pt idx="3109">
                  <c:v>90.15623999999998</c:v>
                </c:pt>
                <c:pt idx="3110">
                  <c:v>90.15508999999948</c:v>
                </c:pt>
                <c:pt idx="3111">
                  <c:v>90.15474999999998</c:v>
                </c:pt>
                <c:pt idx="3112">
                  <c:v>90.15474999999998</c:v>
                </c:pt>
                <c:pt idx="3113">
                  <c:v>90.15429</c:v>
                </c:pt>
                <c:pt idx="3114">
                  <c:v>90.15318999999998</c:v>
                </c:pt>
                <c:pt idx="3115">
                  <c:v>90.15186999999997</c:v>
                </c:pt>
                <c:pt idx="3116">
                  <c:v>90.1502</c:v>
                </c:pt>
                <c:pt idx="3117">
                  <c:v>90.14875999999998</c:v>
                </c:pt>
                <c:pt idx="3118">
                  <c:v>90.14773</c:v>
                </c:pt>
                <c:pt idx="3119">
                  <c:v>90.1468</c:v>
                </c:pt>
                <c:pt idx="3120">
                  <c:v>90.1456</c:v>
                </c:pt>
                <c:pt idx="3121">
                  <c:v>90.14439</c:v>
                </c:pt>
                <c:pt idx="3122">
                  <c:v>90.14324</c:v>
                </c:pt>
                <c:pt idx="3123">
                  <c:v>90.14214</c:v>
                </c:pt>
                <c:pt idx="3124">
                  <c:v>90.14111</c:v>
                </c:pt>
                <c:pt idx="3125">
                  <c:v>90.14024</c:v>
                </c:pt>
                <c:pt idx="3126">
                  <c:v>90.13937999999958</c:v>
                </c:pt>
                <c:pt idx="3127">
                  <c:v>90.13868999999998</c:v>
                </c:pt>
                <c:pt idx="3128">
                  <c:v>90.13787999999998</c:v>
                </c:pt>
                <c:pt idx="3129">
                  <c:v>90.13696</c:v>
                </c:pt>
                <c:pt idx="3130">
                  <c:v>90.13586999999998</c:v>
                </c:pt>
                <c:pt idx="3131">
                  <c:v>90.13443</c:v>
                </c:pt>
                <c:pt idx="3132">
                  <c:v>90.13322</c:v>
                </c:pt>
                <c:pt idx="3133">
                  <c:v>90.13229999999998</c:v>
                </c:pt>
                <c:pt idx="3134">
                  <c:v>90.13132</c:v>
                </c:pt>
                <c:pt idx="3135">
                  <c:v>90.13023</c:v>
                </c:pt>
                <c:pt idx="3136">
                  <c:v>90.12907999999958</c:v>
                </c:pt>
                <c:pt idx="3137">
                  <c:v>90.12797999999998</c:v>
                </c:pt>
                <c:pt idx="3138">
                  <c:v>90.12666</c:v>
                </c:pt>
                <c:pt idx="3139">
                  <c:v>90.12527999999975</c:v>
                </c:pt>
                <c:pt idx="3140">
                  <c:v>90.12435999999998</c:v>
                </c:pt>
                <c:pt idx="3141">
                  <c:v>90.12366999999997</c:v>
                </c:pt>
                <c:pt idx="3142">
                  <c:v>90.12268999999995</c:v>
                </c:pt>
                <c:pt idx="3143">
                  <c:v>90.12159</c:v>
                </c:pt>
                <c:pt idx="3144">
                  <c:v>90.12049999999998</c:v>
                </c:pt>
                <c:pt idx="3145">
                  <c:v>90.11934999999998</c:v>
                </c:pt>
                <c:pt idx="3146">
                  <c:v>90.11797</c:v>
                </c:pt>
                <c:pt idx="3147">
                  <c:v>90.11653</c:v>
                </c:pt>
                <c:pt idx="3148">
                  <c:v>90.11531999999998</c:v>
                </c:pt>
                <c:pt idx="3149">
                  <c:v>90.11463</c:v>
                </c:pt>
                <c:pt idx="3150">
                  <c:v>90.11365</c:v>
                </c:pt>
                <c:pt idx="3151">
                  <c:v>90.11278999999985</c:v>
                </c:pt>
                <c:pt idx="3152">
                  <c:v>90.11181</c:v>
                </c:pt>
                <c:pt idx="3153">
                  <c:v>90.11094</c:v>
                </c:pt>
                <c:pt idx="3154">
                  <c:v>90.10991</c:v>
                </c:pt>
                <c:pt idx="3155">
                  <c:v>90.10869999999998</c:v>
                </c:pt>
                <c:pt idx="3156">
                  <c:v>90.10749</c:v>
                </c:pt>
                <c:pt idx="3157">
                  <c:v>90.10644999999998</c:v>
                </c:pt>
                <c:pt idx="3158">
                  <c:v>90.10575999999975</c:v>
                </c:pt>
                <c:pt idx="3159">
                  <c:v>90.1049</c:v>
                </c:pt>
                <c:pt idx="3160">
                  <c:v>90.10385999999998</c:v>
                </c:pt>
                <c:pt idx="3161">
                  <c:v>90.10266</c:v>
                </c:pt>
                <c:pt idx="3162">
                  <c:v>90.10172999999997</c:v>
                </c:pt>
                <c:pt idx="3163">
                  <c:v>90.10075999999998</c:v>
                </c:pt>
                <c:pt idx="3164">
                  <c:v>90.09989</c:v>
                </c:pt>
                <c:pt idx="3165">
                  <c:v>90.09909</c:v>
                </c:pt>
                <c:pt idx="3166">
                  <c:v>90.09776</c:v>
                </c:pt>
                <c:pt idx="3167">
                  <c:v>90.09655</c:v>
                </c:pt>
                <c:pt idx="3168">
                  <c:v>90.0954</c:v>
                </c:pt>
                <c:pt idx="3169">
                  <c:v>90.09402</c:v>
                </c:pt>
                <c:pt idx="3170">
                  <c:v>90.09274999999998</c:v>
                </c:pt>
                <c:pt idx="3171">
                  <c:v>90.09137000000001</c:v>
                </c:pt>
                <c:pt idx="3172">
                  <c:v>90.09039</c:v>
                </c:pt>
                <c:pt idx="3173">
                  <c:v>90.08947</c:v>
                </c:pt>
                <c:pt idx="3174">
                  <c:v>90.08843999999995</c:v>
                </c:pt>
                <c:pt idx="3175">
                  <c:v>90.08723</c:v>
                </c:pt>
                <c:pt idx="3176">
                  <c:v>90.08630999999998</c:v>
                </c:pt>
                <c:pt idx="3177">
                  <c:v>90.08572999999998</c:v>
                </c:pt>
                <c:pt idx="3178">
                  <c:v>90.08493</c:v>
                </c:pt>
                <c:pt idx="3179">
                  <c:v>90.08388999999998</c:v>
                </c:pt>
                <c:pt idx="3180">
                  <c:v>90.08273999999948</c:v>
                </c:pt>
                <c:pt idx="3181">
                  <c:v>90.08147</c:v>
                </c:pt>
                <c:pt idx="3182">
                  <c:v>90.08055</c:v>
                </c:pt>
                <c:pt idx="3183">
                  <c:v>90.07939999999998</c:v>
                </c:pt>
                <c:pt idx="3184">
                  <c:v>90.07835999999975</c:v>
                </c:pt>
                <c:pt idx="3185">
                  <c:v>90.07732999999997</c:v>
                </c:pt>
                <c:pt idx="3186">
                  <c:v>90.07640999999998</c:v>
                </c:pt>
                <c:pt idx="3187">
                  <c:v>90.07548999999958</c:v>
                </c:pt>
                <c:pt idx="3188">
                  <c:v>90.07457</c:v>
                </c:pt>
                <c:pt idx="3189">
                  <c:v>90.07346999999998</c:v>
                </c:pt>
                <c:pt idx="3190">
                  <c:v>90.07254999999998</c:v>
                </c:pt>
                <c:pt idx="3191">
                  <c:v>90.07173999999995</c:v>
                </c:pt>
                <c:pt idx="3192">
                  <c:v>90.07058999999998</c:v>
                </c:pt>
                <c:pt idx="3193">
                  <c:v>90.06927</c:v>
                </c:pt>
                <c:pt idx="3194">
                  <c:v>90.06846</c:v>
                </c:pt>
                <c:pt idx="3195">
                  <c:v>90.06737</c:v>
                </c:pt>
                <c:pt idx="3196">
                  <c:v>90.06622</c:v>
                </c:pt>
                <c:pt idx="3197">
                  <c:v>90.06518</c:v>
                </c:pt>
                <c:pt idx="3198">
                  <c:v>90.06426</c:v>
                </c:pt>
                <c:pt idx="3199">
                  <c:v>90.06311</c:v>
                </c:pt>
                <c:pt idx="3200">
                  <c:v>90.06213</c:v>
                </c:pt>
                <c:pt idx="3201">
                  <c:v>90.06081</c:v>
                </c:pt>
                <c:pt idx="3202">
                  <c:v>90.05993999999998</c:v>
                </c:pt>
                <c:pt idx="3203">
                  <c:v>90.05896999999997</c:v>
                </c:pt>
                <c:pt idx="3204">
                  <c:v>90.05803999999995</c:v>
                </c:pt>
                <c:pt idx="3205">
                  <c:v>90.05735</c:v>
                </c:pt>
                <c:pt idx="3206">
                  <c:v>90.0562</c:v>
                </c:pt>
                <c:pt idx="3207">
                  <c:v>90.05516999999997</c:v>
                </c:pt>
                <c:pt idx="3208">
                  <c:v>90.05419</c:v>
                </c:pt>
                <c:pt idx="3209">
                  <c:v>90.05315</c:v>
                </c:pt>
                <c:pt idx="3210">
                  <c:v>90.052</c:v>
                </c:pt>
                <c:pt idx="3211">
                  <c:v>90.05102</c:v>
                </c:pt>
                <c:pt idx="3212">
                  <c:v>90.04976</c:v>
                </c:pt>
                <c:pt idx="3213">
                  <c:v>90.04797</c:v>
                </c:pt>
                <c:pt idx="3214">
                  <c:v>90.04694</c:v>
                </c:pt>
                <c:pt idx="3215">
                  <c:v>90.04619</c:v>
                </c:pt>
                <c:pt idx="3216">
                  <c:v>90.04521</c:v>
                </c:pt>
                <c:pt idx="3217">
                  <c:v>90.04423000000002</c:v>
                </c:pt>
                <c:pt idx="3218">
                  <c:v>90.04337</c:v>
                </c:pt>
                <c:pt idx="3219">
                  <c:v>90.0425</c:v>
                </c:pt>
                <c:pt idx="3220">
                  <c:v>90.04141</c:v>
                </c:pt>
                <c:pt idx="3221">
                  <c:v>90.04026</c:v>
                </c:pt>
                <c:pt idx="3222">
                  <c:v>90.03928</c:v>
                </c:pt>
                <c:pt idx="3223">
                  <c:v>90.03824</c:v>
                </c:pt>
                <c:pt idx="3224">
                  <c:v>90.03715</c:v>
                </c:pt>
                <c:pt idx="3225">
                  <c:v>90.03606</c:v>
                </c:pt>
                <c:pt idx="3226">
                  <c:v>90.03473</c:v>
                </c:pt>
                <c:pt idx="3227">
                  <c:v>90.03381</c:v>
                </c:pt>
                <c:pt idx="3228">
                  <c:v>90.03288999999998</c:v>
                </c:pt>
                <c:pt idx="3229">
                  <c:v>90.0322</c:v>
                </c:pt>
                <c:pt idx="3230">
                  <c:v>90.03111</c:v>
                </c:pt>
                <c:pt idx="3231">
                  <c:v>90.0299</c:v>
                </c:pt>
                <c:pt idx="3232">
                  <c:v>90.02885999999998</c:v>
                </c:pt>
                <c:pt idx="3233">
                  <c:v>90.028</c:v>
                </c:pt>
                <c:pt idx="3234">
                  <c:v>90.02708</c:v>
                </c:pt>
                <c:pt idx="3235">
                  <c:v>90.02627</c:v>
                </c:pt>
                <c:pt idx="3236">
                  <c:v>90.02534999999965</c:v>
                </c:pt>
                <c:pt idx="3237">
                  <c:v>90.02431</c:v>
                </c:pt>
                <c:pt idx="3238">
                  <c:v>90.02311</c:v>
                </c:pt>
                <c:pt idx="3239">
                  <c:v>90.02183999999998</c:v>
                </c:pt>
                <c:pt idx="3240">
                  <c:v>90.02092</c:v>
                </c:pt>
                <c:pt idx="3241">
                  <c:v>90.01988</c:v>
                </c:pt>
                <c:pt idx="3242">
                  <c:v>90.01873</c:v>
                </c:pt>
                <c:pt idx="3243">
                  <c:v>90.01792</c:v>
                </c:pt>
                <c:pt idx="3244">
                  <c:v>90.01683000000001</c:v>
                </c:pt>
                <c:pt idx="3245">
                  <c:v>90.01556</c:v>
                </c:pt>
                <c:pt idx="3246">
                  <c:v>90.01476</c:v>
                </c:pt>
                <c:pt idx="3247">
                  <c:v>90.01377999999998</c:v>
                </c:pt>
                <c:pt idx="3248">
                  <c:v>90.01269</c:v>
                </c:pt>
                <c:pt idx="3249">
                  <c:v>90.01148</c:v>
                </c:pt>
                <c:pt idx="3250">
                  <c:v>90.01033</c:v>
                </c:pt>
                <c:pt idx="3251">
                  <c:v>90.00952</c:v>
                </c:pt>
                <c:pt idx="3252">
                  <c:v>90.00847999999995</c:v>
                </c:pt>
                <c:pt idx="3253">
                  <c:v>90.00756</c:v>
                </c:pt>
                <c:pt idx="3254">
                  <c:v>90.00624</c:v>
                </c:pt>
                <c:pt idx="3255">
                  <c:v>90.00526</c:v>
                </c:pt>
                <c:pt idx="3256">
                  <c:v>90.00428</c:v>
                </c:pt>
                <c:pt idx="3257">
                  <c:v>90.00296</c:v>
                </c:pt>
                <c:pt idx="3258">
                  <c:v>90.00135</c:v>
                </c:pt>
                <c:pt idx="3259">
                  <c:v>90.0006</c:v>
                </c:pt>
                <c:pt idx="3260">
                  <c:v>90.00025</c:v>
                </c:pt>
                <c:pt idx="3261">
                  <c:v>89.99985</c:v>
                </c:pt>
                <c:pt idx="3262">
                  <c:v>89.99916</c:v>
                </c:pt>
                <c:pt idx="3263">
                  <c:v>89.99812</c:v>
                </c:pt>
                <c:pt idx="3264">
                  <c:v>89.99691</c:v>
                </c:pt>
                <c:pt idx="3265">
                  <c:v>89.9949</c:v>
                </c:pt>
                <c:pt idx="3266">
                  <c:v>89.99312</c:v>
                </c:pt>
                <c:pt idx="3267">
                  <c:v>89.99191</c:v>
                </c:pt>
                <c:pt idx="3268">
                  <c:v>89.99064</c:v>
                </c:pt>
                <c:pt idx="3269">
                  <c:v>89.98949</c:v>
                </c:pt>
                <c:pt idx="3270">
                  <c:v>89.98891</c:v>
                </c:pt>
                <c:pt idx="3271">
                  <c:v>89.98811</c:v>
                </c:pt>
                <c:pt idx="3272">
                  <c:v>89.98742</c:v>
                </c:pt>
                <c:pt idx="3273">
                  <c:v>89.98667</c:v>
                </c:pt>
                <c:pt idx="3274">
                  <c:v>89.98546</c:v>
                </c:pt>
                <c:pt idx="3275">
                  <c:v>89.98402</c:v>
                </c:pt>
                <c:pt idx="3276">
                  <c:v>89.98264</c:v>
                </c:pt>
                <c:pt idx="3277">
                  <c:v>89.98166</c:v>
                </c:pt>
                <c:pt idx="3278">
                  <c:v>89.98073999999998</c:v>
                </c:pt>
                <c:pt idx="3279">
                  <c:v>89.98016</c:v>
                </c:pt>
                <c:pt idx="3280">
                  <c:v>89.97913000000001</c:v>
                </c:pt>
                <c:pt idx="3281">
                  <c:v>89.97837999999958</c:v>
                </c:pt>
                <c:pt idx="3282">
                  <c:v>89.97769</c:v>
                </c:pt>
                <c:pt idx="3283">
                  <c:v>89.97676999999997</c:v>
                </c:pt>
                <c:pt idx="3284">
                  <c:v>89.97556</c:v>
                </c:pt>
                <c:pt idx="3285">
                  <c:v>89.97429</c:v>
                </c:pt>
                <c:pt idx="3286">
                  <c:v>89.97326</c:v>
                </c:pt>
                <c:pt idx="3287">
                  <c:v>89.97211</c:v>
                </c:pt>
                <c:pt idx="3288">
                  <c:v>89.97124</c:v>
                </c:pt>
                <c:pt idx="3289">
                  <c:v>89.97043999999998</c:v>
                </c:pt>
                <c:pt idx="3290">
                  <c:v>89.96934</c:v>
                </c:pt>
                <c:pt idx="3291">
                  <c:v>89.96808</c:v>
                </c:pt>
                <c:pt idx="3292">
                  <c:v>89.96687</c:v>
                </c:pt>
                <c:pt idx="3293">
                  <c:v>89.96583</c:v>
                </c:pt>
                <c:pt idx="3294">
                  <c:v>89.96457</c:v>
                </c:pt>
                <c:pt idx="3295">
                  <c:v>89.96341</c:v>
                </c:pt>
                <c:pt idx="3296">
                  <c:v>89.96272</c:v>
                </c:pt>
                <c:pt idx="3297">
                  <c:v>89.96197</c:v>
                </c:pt>
                <c:pt idx="3298">
                  <c:v>89.96071</c:v>
                </c:pt>
                <c:pt idx="3299">
                  <c:v>89.9595</c:v>
                </c:pt>
                <c:pt idx="3300">
                  <c:v>89.95829</c:v>
                </c:pt>
                <c:pt idx="3301">
                  <c:v>89.95783</c:v>
                </c:pt>
                <c:pt idx="3302">
                  <c:v>89.95749</c:v>
                </c:pt>
                <c:pt idx="3303">
                  <c:v>89.9561</c:v>
                </c:pt>
                <c:pt idx="3304">
                  <c:v>89.95449</c:v>
                </c:pt>
                <c:pt idx="3305">
                  <c:v>89.9534</c:v>
                </c:pt>
                <c:pt idx="3306">
                  <c:v>89.95236</c:v>
                </c:pt>
                <c:pt idx="3307">
                  <c:v>89.95121</c:v>
                </c:pt>
                <c:pt idx="3308">
                  <c:v>89.95017</c:v>
                </c:pt>
                <c:pt idx="3309">
                  <c:v>89.94966</c:v>
                </c:pt>
                <c:pt idx="3310">
                  <c:v>89.94874</c:v>
                </c:pt>
                <c:pt idx="3311">
                  <c:v>89.94753</c:v>
                </c:pt>
                <c:pt idx="3312">
                  <c:v>89.94643</c:v>
                </c:pt>
                <c:pt idx="3313">
                  <c:v>89.94528</c:v>
                </c:pt>
                <c:pt idx="3314">
                  <c:v>89.94425</c:v>
                </c:pt>
                <c:pt idx="3315">
                  <c:v>89.94315</c:v>
                </c:pt>
                <c:pt idx="3316">
                  <c:v>89.94217</c:v>
                </c:pt>
                <c:pt idx="3317">
                  <c:v>89.9412</c:v>
                </c:pt>
                <c:pt idx="3318">
                  <c:v>89.94004</c:v>
                </c:pt>
                <c:pt idx="3319">
                  <c:v>89.93877999999998</c:v>
                </c:pt>
                <c:pt idx="3320">
                  <c:v>89.93734</c:v>
                </c:pt>
                <c:pt idx="3321">
                  <c:v>89.93601</c:v>
                </c:pt>
                <c:pt idx="3322">
                  <c:v>89.93492</c:v>
                </c:pt>
                <c:pt idx="3323">
                  <c:v>89.93417</c:v>
                </c:pt>
                <c:pt idx="3324">
                  <c:v>89.93337</c:v>
                </c:pt>
                <c:pt idx="3325">
                  <c:v>89.93245</c:v>
                </c:pt>
                <c:pt idx="3326">
                  <c:v>89.93141</c:v>
                </c:pt>
                <c:pt idx="3327">
                  <c:v>89.93055</c:v>
                </c:pt>
                <c:pt idx="3328">
                  <c:v>89.92957000000001</c:v>
                </c:pt>
                <c:pt idx="3329">
                  <c:v>89.92875999999998</c:v>
                </c:pt>
                <c:pt idx="3330">
                  <c:v>89.92801</c:v>
                </c:pt>
                <c:pt idx="3331">
                  <c:v>89.92692</c:v>
                </c:pt>
                <c:pt idx="3332">
                  <c:v>89.92617000000001</c:v>
                </c:pt>
                <c:pt idx="3333">
                  <c:v>89.92525</c:v>
                </c:pt>
                <c:pt idx="3334">
                  <c:v>89.92421</c:v>
                </c:pt>
                <c:pt idx="3335">
                  <c:v>89.92329</c:v>
                </c:pt>
                <c:pt idx="3336">
                  <c:v>89.92214</c:v>
                </c:pt>
                <c:pt idx="3337">
                  <c:v>89.92093000000001</c:v>
                </c:pt>
                <c:pt idx="3338">
                  <c:v>89.91978</c:v>
                </c:pt>
                <c:pt idx="3339">
                  <c:v>89.91857</c:v>
                </c:pt>
                <c:pt idx="3340">
                  <c:v>89.91731</c:v>
                </c:pt>
                <c:pt idx="3341">
                  <c:v>89.91633</c:v>
                </c:pt>
                <c:pt idx="3342">
                  <c:v>89.91535</c:v>
                </c:pt>
                <c:pt idx="3343">
                  <c:v>89.91426</c:v>
                </c:pt>
                <c:pt idx="3344">
                  <c:v>89.91316</c:v>
                </c:pt>
                <c:pt idx="3345">
                  <c:v>89.91224</c:v>
                </c:pt>
                <c:pt idx="3346">
                  <c:v>89.91138</c:v>
                </c:pt>
                <c:pt idx="3347">
                  <c:v>89.9104</c:v>
                </c:pt>
                <c:pt idx="3348">
                  <c:v>89.90913</c:v>
                </c:pt>
                <c:pt idx="3349">
                  <c:v>89.90798</c:v>
                </c:pt>
                <c:pt idx="3350">
                  <c:v>89.90706</c:v>
                </c:pt>
                <c:pt idx="3351">
                  <c:v>89.90626</c:v>
                </c:pt>
                <c:pt idx="3352">
                  <c:v>89.9051</c:v>
                </c:pt>
                <c:pt idx="3353">
                  <c:v>89.90378</c:v>
                </c:pt>
                <c:pt idx="3354">
                  <c:v>89.90273999999998</c:v>
                </c:pt>
                <c:pt idx="3355">
                  <c:v>89.90177000000001</c:v>
                </c:pt>
                <c:pt idx="3356">
                  <c:v>89.90061</c:v>
                </c:pt>
                <c:pt idx="3357">
                  <c:v>89.89941</c:v>
                </c:pt>
                <c:pt idx="3358">
                  <c:v>89.89847999999998</c:v>
                </c:pt>
                <c:pt idx="3359">
                  <c:v>89.89745</c:v>
                </c:pt>
                <c:pt idx="3360">
                  <c:v>89.89635</c:v>
                </c:pt>
                <c:pt idx="3361">
                  <c:v>89.89537999999965</c:v>
                </c:pt>
                <c:pt idx="3362">
                  <c:v>89.89428</c:v>
                </c:pt>
                <c:pt idx="3363">
                  <c:v>89.89336</c:v>
                </c:pt>
                <c:pt idx="3364">
                  <c:v>89.89237999999965</c:v>
                </c:pt>
                <c:pt idx="3365">
                  <c:v>89.89135</c:v>
                </c:pt>
                <c:pt idx="3366">
                  <c:v>89.8906</c:v>
                </c:pt>
                <c:pt idx="3367">
                  <c:v>89.88951</c:v>
                </c:pt>
                <c:pt idx="3368">
                  <c:v>89.88817999999995</c:v>
                </c:pt>
                <c:pt idx="3369">
                  <c:v>89.88703</c:v>
                </c:pt>
                <c:pt idx="3370">
                  <c:v>89.88581999999998</c:v>
                </c:pt>
                <c:pt idx="3371">
                  <c:v>89.88483999999998</c:v>
                </c:pt>
                <c:pt idx="3372">
                  <c:v>89.88363</c:v>
                </c:pt>
                <c:pt idx="3373">
                  <c:v>89.88282999999998</c:v>
                </c:pt>
                <c:pt idx="3374">
                  <c:v>89.88185</c:v>
                </c:pt>
                <c:pt idx="3375">
                  <c:v>89.88075999999998</c:v>
                </c:pt>
                <c:pt idx="3376">
                  <c:v>89.87971999999998</c:v>
                </c:pt>
                <c:pt idx="3377">
                  <c:v>89.87856999999998</c:v>
                </c:pt>
                <c:pt idx="3378">
                  <c:v>89.87765</c:v>
                </c:pt>
                <c:pt idx="3379">
                  <c:v>89.8767799999991</c:v>
                </c:pt>
                <c:pt idx="3380">
                  <c:v>89.87568999999995</c:v>
                </c:pt>
                <c:pt idx="3381">
                  <c:v>89.87453999999998</c:v>
                </c:pt>
                <c:pt idx="3382">
                  <c:v>89.87332999999998</c:v>
                </c:pt>
                <c:pt idx="3383">
                  <c:v>89.87211999999998</c:v>
                </c:pt>
                <c:pt idx="3384">
                  <c:v>89.87113999999998</c:v>
                </c:pt>
                <c:pt idx="3385">
                  <c:v>89.87004999999998</c:v>
                </c:pt>
                <c:pt idx="3386">
                  <c:v>89.86896</c:v>
                </c:pt>
                <c:pt idx="3387">
                  <c:v>89.86808999999998</c:v>
                </c:pt>
                <c:pt idx="3388">
                  <c:v>89.86752</c:v>
                </c:pt>
                <c:pt idx="3389">
                  <c:v>89.86676999999997</c:v>
                </c:pt>
                <c:pt idx="3390">
                  <c:v>89.86584999999998</c:v>
                </c:pt>
                <c:pt idx="3391">
                  <c:v>89.86481</c:v>
                </c:pt>
                <c:pt idx="3392">
                  <c:v>89.86377999999995</c:v>
                </c:pt>
                <c:pt idx="3393">
                  <c:v>89.86262</c:v>
                </c:pt>
                <c:pt idx="3394">
                  <c:v>89.86118</c:v>
                </c:pt>
                <c:pt idx="3395">
                  <c:v>89.85986</c:v>
                </c:pt>
                <c:pt idx="3396">
                  <c:v>89.85858999999998</c:v>
                </c:pt>
                <c:pt idx="3397">
                  <c:v>89.85756</c:v>
                </c:pt>
                <c:pt idx="3398">
                  <c:v>89.85640999999998</c:v>
                </c:pt>
                <c:pt idx="3399">
                  <c:v>89.85526</c:v>
                </c:pt>
                <c:pt idx="3400">
                  <c:v>89.85438999999998</c:v>
                </c:pt>
                <c:pt idx="3401">
                  <c:v>89.85364</c:v>
                </c:pt>
                <c:pt idx="3402">
                  <c:v>89.85301</c:v>
                </c:pt>
                <c:pt idx="3403">
                  <c:v>89.85221</c:v>
                </c:pt>
                <c:pt idx="3404">
                  <c:v>89.85093999999998</c:v>
                </c:pt>
                <c:pt idx="3405">
                  <c:v>89.84961</c:v>
                </c:pt>
                <c:pt idx="3406">
                  <c:v>89.84823</c:v>
                </c:pt>
                <c:pt idx="3407">
                  <c:v>89.84725</c:v>
                </c:pt>
                <c:pt idx="3408">
                  <c:v>89.84599</c:v>
                </c:pt>
                <c:pt idx="3409">
                  <c:v>89.84478</c:v>
                </c:pt>
                <c:pt idx="3410">
                  <c:v>89.8438</c:v>
                </c:pt>
                <c:pt idx="3411">
                  <c:v>89.84276999999997</c:v>
                </c:pt>
                <c:pt idx="3412">
                  <c:v>89.84184</c:v>
                </c:pt>
                <c:pt idx="3413">
                  <c:v>89.84058</c:v>
                </c:pt>
                <c:pt idx="3414">
                  <c:v>89.83954</c:v>
                </c:pt>
                <c:pt idx="3415">
                  <c:v>89.83851</c:v>
                </c:pt>
                <c:pt idx="3416">
                  <c:v>89.83764</c:v>
                </c:pt>
                <c:pt idx="3417">
                  <c:v>89.83643</c:v>
                </c:pt>
                <c:pt idx="3418">
                  <c:v>89.83522</c:v>
                </c:pt>
                <c:pt idx="3419">
                  <c:v>89.83425</c:v>
                </c:pt>
                <c:pt idx="3420">
                  <c:v>89.83343999999998</c:v>
                </c:pt>
                <c:pt idx="3421">
                  <c:v>89.83257999999998</c:v>
                </c:pt>
                <c:pt idx="3422">
                  <c:v>89.8316</c:v>
                </c:pt>
                <c:pt idx="3423">
                  <c:v>89.83072999999997</c:v>
                </c:pt>
                <c:pt idx="3424">
                  <c:v>89.82969999999997</c:v>
                </c:pt>
                <c:pt idx="3425">
                  <c:v>89.82866</c:v>
                </c:pt>
                <c:pt idx="3426">
                  <c:v>89.82763000000001</c:v>
                </c:pt>
                <c:pt idx="3427">
                  <c:v>89.82665</c:v>
                </c:pt>
                <c:pt idx="3428">
                  <c:v>89.82549999999995</c:v>
                </c:pt>
                <c:pt idx="3429">
                  <c:v>89.82417</c:v>
                </c:pt>
                <c:pt idx="3430">
                  <c:v>89.82295999999998</c:v>
                </c:pt>
                <c:pt idx="3431">
                  <c:v>89.82226999999997</c:v>
                </c:pt>
                <c:pt idx="3432">
                  <c:v>89.82141</c:v>
                </c:pt>
                <c:pt idx="3433">
                  <c:v>89.82026</c:v>
                </c:pt>
                <c:pt idx="3434">
                  <c:v>89.81887999999998</c:v>
                </c:pt>
                <c:pt idx="3435">
                  <c:v>89.81778</c:v>
                </c:pt>
                <c:pt idx="3436">
                  <c:v>89.81669</c:v>
                </c:pt>
                <c:pt idx="3437">
                  <c:v>89.81554</c:v>
                </c:pt>
                <c:pt idx="3438">
                  <c:v>89.8145</c:v>
                </c:pt>
                <c:pt idx="3439">
                  <c:v>89.81306</c:v>
                </c:pt>
                <c:pt idx="3440">
                  <c:v>89.81214</c:v>
                </c:pt>
                <c:pt idx="3441">
                  <c:v>89.81128</c:v>
                </c:pt>
                <c:pt idx="3442">
                  <c:v>89.81036</c:v>
                </c:pt>
                <c:pt idx="3443">
                  <c:v>89.80932</c:v>
                </c:pt>
                <c:pt idx="3444">
                  <c:v>89.80839999999998</c:v>
                </c:pt>
                <c:pt idx="3445">
                  <c:v>89.80713</c:v>
                </c:pt>
                <c:pt idx="3446">
                  <c:v>89.80616</c:v>
                </c:pt>
                <c:pt idx="3447">
                  <c:v>89.80483</c:v>
                </c:pt>
                <c:pt idx="3448">
                  <c:v>89.80373999999995</c:v>
                </c:pt>
                <c:pt idx="3449">
                  <c:v>89.80305</c:v>
                </c:pt>
                <c:pt idx="3450">
                  <c:v>89.80115</c:v>
                </c:pt>
                <c:pt idx="3451">
                  <c:v>89.79988</c:v>
                </c:pt>
                <c:pt idx="3452">
                  <c:v>89.79908</c:v>
                </c:pt>
                <c:pt idx="3453">
                  <c:v>89.79792</c:v>
                </c:pt>
                <c:pt idx="3454">
                  <c:v>89.79712</c:v>
                </c:pt>
                <c:pt idx="3455">
                  <c:v>89.7962</c:v>
                </c:pt>
                <c:pt idx="3456">
                  <c:v>89.7951</c:v>
                </c:pt>
                <c:pt idx="3457">
                  <c:v>89.7943</c:v>
                </c:pt>
                <c:pt idx="3458">
                  <c:v>89.79332</c:v>
                </c:pt>
                <c:pt idx="3459">
                  <c:v>89.79217000000001</c:v>
                </c:pt>
                <c:pt idx="3460">
                  <c:v>89.79102</c:v>
                </c:pt>
                <c:pt idx="3461">
                  <c:v>89.78981</c:v>
                </c:pt>
                <c:pt idx="3462">
                  <c:v>89.78888999999998</c:v>
                </c:pt>
                <c:pt idx="3463">
                  <c:v>89.78756</c:v>
                </c:pt>
                <c:pt idx="3464">
                  <c:v>89.78624</c:v>
                </c:pt>
                <c:pt idx="3465">
                  <c:v>89.78508999999998</c:v>
                </c:pt>
                <c:pt idx="3466">
                  <c:v>89.78394</c:v>
                </c:pt>
                <c:pt idx="3467">
                  <c:v>89.78278999999995</c:v>
                </c:pt>
                <c:pt idx="3468">
                  <c:v>89.78158</c:v>
                </c:pt>
                <c:pt idx="3469">
                  <c:v>89.78047999999998</c:v>
                </c:pt>
                <c:pt idx="3470">
                  <c:v>89.77938999999998</c:v>
                </c:pt>
                <c:pt idx="3471">
                  <c:v>89.77823999999998</c:v>
                </c:pt>
                <c:pt idx="3472">
                  <c:v>89.77743</c:v>
                </c:pt>
                <c:pt idx="3473">
                  <c:v>89.77668</c:v>
                </c:pt>
                <c:pt idx="3474">
                  <c:v>89.77587999999938</c:v>
                </c:pt>
                <c:pt idx="3475">
                  <c:v>89.77473</c:v>
                </c:pt>
                <c:pt idx="3476">
                  <c:v>89.77346</c:v>
                </c:pt>
                <c:pt idx="3477">
                  <c:v>89.77236999999998</c:v>
                </c:pt>
                <c:pt idx="3478">
                  <c:v>89.77138999999998</c:v>
                </c:pt>
                <c:pt idx="3479">
                  <c:v>89.77046999999997</c:v>
                </c:pt>
                <c:pt idx="3480">
                  <c:v>89.76932</c:v>
                </c:pt>
                <c:pt idx="3481">
                  <c:v>89.76822</c:v>
                </c:pt>
                <c:pt idx="3482">
                  <c:v>89.7669</c:v>
                </c:pt>
                <c:pt idx="3483">
                  <c:v>89.76569</c:v>
                </c:pt>
                <c:pt idx="3484">
                  <c:v>89.76442</c:v>
                </c:pt>
                <c:pt idx="3485">
                  <c:v>89.76327</c:v>
                </c:pt>
                <c:pt idx="3486">
                  <c:v>89.76241</c:v>
                </c:pt>
                <c:pt idx="3487">
                  <c:v>89.7616</c:v>
                </c:pt>
                <c:pt idx="3488">
                  <c:v>89.76034</c:v>
                </c:pt>
                <c:pt idx="3489">
                  <c:v>89.75889999999998</c:v>
                </c:pt>
                <c:pt idx="3490">
                  <c:v>89.7578</c:v>
                </c:pt>
                <c:pt idx="3491">
                  <c:v>89.75694</c:v>
                </c:pt>
                <c:pt idx="3492">
                  <c:v>89.75578999999995</c:v>
                </c:pt>
                <c:pt idx="3493">
                  <c:v>89.75475</c:v>
                </c:pt>
                <c:pt idx="3494">
                  <c:v>89.75354</c:v>
                </c:pt>
                <c:pt idx="3495">
                  <c:v>89.75251</c:v>
                </c:pt>
                <c:pt idx="3496">
                  <c:v>89.75124</c:v>
                </c:pt>
                <c:pt idx="3497">
                  <c:v>89.75044</c:v>
                </c:pt>
                <c:pt idx="3498">
                  <c:v>89.74929</c:v>
                </c:pt>
                <c:pt idx="3499">
                  <c:v>89.74796</c:v>
                </c:pt>
                <c:pt idx="3500">
                  <c:v>89.74675</c:v>
                </c:pt>
                <c:pt idx="3501">
                  <c:v>89.74566</c:v>
                </c:pt>
                <c:pt idx="3502">
                  <c:v>89.74457</c:v>
                </c:pt>
                <c:pt idx="3503">
                  <c:v>89.74359</c:v>
                </c:pt>
                <c:pt idx="3504">
                  <c:v>89.74249</c:v>
                </c:pt>
                <c:pt idx="3505">
                  <c:v>89.74157</c:v>
                </c:pt>
                <c:pt idx="3506">
                  <c:v>89.74036</c:v>
                </c:pt>
                <c:pt idx="3507">
                  <c:v>89.73898</c:v>
                </c:pt>
                <c:pt idx="3508">
                  <c:v>89.73795</c:v>
                </c:pt>
                <c:pt idx="3509">
                  <c:v>89.73691</c:v>
                </c:pt>
                <c:pt idx="3510">
                  <c:v>89.73564</c:v>
                </c:pt>
                <c:pt idx="3511">
                  <c:v>89.73443</c:v>
                </c:pt>
                <c:pt idx="3512">
                  <c:v>89.73351</c:v>
                </c:pt>
                <c:pt idx="3513">
                  <c:v>89.73265</c:v>
                </c:pt>
                <c:pt idx="3514">
                  <c:v>89.7315</c:v>
                </c:pt>
                <c:pt idx="3515">
                  <c:v>89.73035</c:v>
                </c:pt>
                <c:pt idx="3516">
                  <c:v>89.72925</c:v>
                </c:pt>
                <c:pt idx="3517">
                  <c:v>89.72816</c:v>
                </c:pt>
                <c:pt idx="3518">
                  <c:v>89.72683999999998</c:v>
                </c:pt>
                <c:pt idx="3519">
                  <c:v>89.72557</c:v>
                </c:pt>
                <c:pt idx="3520">
                  <c:v>89.72442</c:v>
                </c:pt>
                <c:pt idx="3521">
                  <c:v>89.72315</c:v>
                </c:pt>
                <c:pt idx="3522">
                  <c:v>89.72206</c:v>
                </c:pt>
                <c:pt idx="3523">
                  <c:v>89.72085</c:v>
                </c:pt>
                <c:pt idx="3524">
                  <c:v>89.71958</c:v>
                </c:pt>
                <c:pt idx="3525">
                  <c:v>89.71861</c:v>
                </c:pt>
                <c:pt idx="3526">
                  <c:v>89.71745</c:v>
                </c:pt>
                <c:pt idx="3527">
                  <c:v>89.71642</c:v>
                </c:pt>
                <c:pt idx="3528">
                  <c:v>89.71486</c:v>
                </c:pt>
                <c:pt idx="3529">
                  <c:v>89.71337000000001</c:v>
                </c:pt>
                <c:pt idx="3530">
                  <c:v>89.71199</c:v>
                </c:pt>
                <c:pt idx="3531">
                  <c:v>89.71072</c:v>
                </c:pt>
                <c:pt idx="3532">
                  <c:v>89.70951</c:v>
                </c:pt>
                <c:pt idx="3533">
                  <c:v>89.70836</c:v>
                </c:pt>
                <c:pt idx="3534">
                  <c:v>89.70692</c:v>
                </c:pt>
                <c:pt idx="3535">
                  <c:v>89.70547999999998</c:v>
                </c:pt>
                <c:pt idx="3536">
                  <c:v>89.70439</c:v>
                </c:pt>
                <c:pt idx="3537">
                  <c:v>89.70329</c:v>
                </c:pt>
                <c:pt idx="3538">
                  <c:v>89.7022</c:v>
                </c:pt>
                <c:pt idx="3539">
                  <c:v>89.70122</c:v>
                </c:pt>
                <c:pt idx="3540">
                  <c:v>89.70024</c:v>
                </c:pt>
                <c:pt idx="3541">
                  <c:v>89.69926</c:v>
                </c:pt>
                <c:pt idx="3542">
                  <c:v>89.69788</c:v>
                </c:pt>
                <c:pt idx="3543">
                  <c:v>89.69638999999998</c:v>
                </c:pt>
                <c:pt idx="3544">
                  <c:v>89.69512</c:v>
                </c:pt>
                <c:pt idx="3545">
                  <c:v>89.69391</c:v>
                </c:pt>
                <c:pt idx="3546">
                  <c:v>89.69282</c:v>
                </c:pt>
                <c:pt idx="3547">
                  <c:v>89.69177999999998</c:v>
                </c:pt>
                <c:pt idx="3548">
                  <c:v>89.69039999999998</c:v>
                </c:pt>
                <c:pt idx="3549">
                  <c:v>89.68947999999965</c:v>
                </c:pt>
                <c:pt idx="3550">
                  <c:v>89.68838999999915</c:v>
                </c:pt>
                <c:pt idx="3551">
                  <c:v>89.68757999999998</c:v>
                </c:pt>
                <c:pt idx="3552">
                  <c:v>89.68666</c:v>
                </c:pt>
                <c:pt idx="3553">
                  <c:v>89.68555999999998</c:v>
                </c:pt>
                <c:pt idx="3554">
                  <c:v>89.6843</c:v>
                </c:pt>
                <c:pt idx="3555">
                  <c:v>89.68273999999907</c:v>
                </c:pt>
                <c:pt idx="3556">
                  <c:v>89.68159</c:v>
                </c:pt>
                <c:pt idx="3557">
                  <c:v>89.67991999999998</c:v>
                </c:pt>
                <c:pt idx="3558">
                  <c:v>89.67819999999985</c:v>
                </c:pt>
                <c:pt idx="3559">
                  <c:v>89.67698999999975</c:v>
                </c:pt>
                <c:pt idx="3560">
                  <c:v>89.67594999999935</c:v>
                </c:pt>
                <c:pt idx="3561">
                  <c:v>89.67492</c:v>
                </c:pt>
                <c:pt idx="3562">
                  <c:v>89.67393999999958</c:v>
                </c:pt>
                <c:pt idx="3563">
                  <c:v>89.67289999999915</c:v>
                </c:pt>
                <c:pt idx="3564">
                  <c:v>89.67163</c:v>
                </c:pt>
                <c:pt idx="3565">
                  <c:v>89.67053999999958</c:v>
                </c:pt>
                <c:pt idx="3566">
                  <c:v>89.66932999999997</c:v>
                </c:pt>
                <c:pt idx="3567">
                  <c:v>89.66823999999998</c:v>
                </c:pt>
                <c:pt idx="3568">
                  <c:v>89.66697</c:v>
                </c:pt>
                <c:pt idx="3569">
                  <c:v>89.66565</c:v>
                </c:pt>
                <c:pt idx="3570">
                  <c:v>89.66409</c:v>
                </c:pt>
                <c:pt idx="3571">
                  <c:v>89.66282999999998</c:v>
                </c:pt>
                <c:pt idx="3572">
                  <c:v>89.66168</c:v>
                </c:pt>
                <c:pt idx="3573">
                  <c:v>89.6603</c:v>
                </c:pt>
                <c:pt idx="3574">
                  <c:v>89.65902999999997</c:v>
                </c:pt>
                <c:pt idx="3575">
                  <c:v>89.65804999999965</c:v>
                </c:pt>
                <c:pt idx="3576">
                  <c:v>89.65735999999998</c:v>
                </c:pt>
                <c:pt idx="3577">
                  <c:v>89.65597999999925</c:v>
                </c:pt>
                <c:pt idx="3578">
                  <c:v>89.65442</c:v>
                </c:pt>
                <c:pt idx="3579">
                  <c:v>89.65303999999985</c:v>
                </c:pt>
                <c:pt idx="3580">
                  <c:v>89.65195</c:v>
                </c:pt>
                <c:pt idx="3581">
                  <c:v>89.65085999999998</c:v>
                </c:pt>
                <c:pt idx="3582">
                  <c:v>89.64976</c:v>
                </c:pt>
                <c:pt idx="3583">
                  <c:v>89.64867</c:v>
                </c:pt>
                <c:pt idx="3584">
                  <c:v>89.6474</c:v>
                </c:pt>
                <c:pt idx="3585">
                  <c:v>89.64584999999998</c:v>
                </c:pt>
                <c:pt idx="3586">
                  <c:v>89.64418</c:v>
                </c:pt>
                <c:pt idx="3587">
                  <c:v>89.64308</c:v>
                </c:pt>
                <c:pt idx="3588">
                  <c:v>89.64176</c:v>
                </c:pt>
                <c:pt idx="3589">
                  <c:v>89.64083999999998</c:v>
                </c:pt>
                <c:pt idx="3590">
                  <c:v>89.63963</c:v>
                </c:pt>
                <c:pt idx="3591">
                  <c:v>89.63825</c:v>
                </c:pt>
                <c:pt idx="3592">
                  <c:v>89.63680999999998</c:v>
                </c:pt>
                <c:pt idx="3593">
                  <c:v>89.63536999999998</c:v>
                </c:pt>
                <c:pt idx="3594">
                  <c:v>89.63416</c:v>
                </c:pt>
                <c:pt idx="3595">
                  <c:v>89.63283999999958</c:v>
                </c:pt>
                <c:pt idx="3596">
                  <c:v>89.63146</c:v>
                </c:pt>
                <c:pt idx="3597">
                  <c:v>89.63030999999998</c:v>
                </c:pt>
                <c:pt idx="3598">
                  <c:v>89.62909999999998</c:v>
                </c:pt>
                <c:pt idx="3599">
                  <c:v>89.6276</c:v>
                </c:pt>
                <c:pt idx="3600">
                  <c:v>89.62592999999998</c:v>
                </c:pt>
                <c:pt idx="3601">
                  <c:v>89.62448999999998</c:v>
                </c:pt>
                <c:pt idx="3602">
                  <c:v>89.62323</c:v>
                </c:pt>
                <c:pt idx="3603">
                  <c:v>89.62201999999998</c:v>
                </c:pt>
                <c:pt idx="3604">
                  <c:v>89.62097999999965</c:v>
                </c:pt>
                <c:pt idx="3605">
                  <c:v>89.62005999999998</c:v>
                </c:pt>
                <c:pt idx="3606">
                  <c:v>89.61878999999985</c:v>
                </c:pt>
                <c:pt idx="3607">
                  <c:v>89.61735</c:v>
                </c:pt>
                <c:pt idx="3608">
                  <c:v>89.61626</c:v>
                </c:pt>
                <c:pt idx="3609">
                  <c:v>89.61504999999998</c:v>
                </c:pt>
                <c:pt idx="3610">
                  <c:v>89.61383999999998</c:v>
                </c:pt>
                <c:pt idx="3611">
                  <c:v>89.61246</c:v>
                </c:pt>
                <c:pt idx="3612">
                  <c:v>89.6112</c:v>
                </c:pt>
                <c:pt idx="3613">
                  <c:v>89.60993</c:v>
                </c:pt>
                <c:pt idx="3614">
                  <c:v>89.60877999999907</c:v>
                </c:pt>
                <c:pt idx="3615">
                  <c:v>89.60768</c:v>
                </c:pt>
                <c:pt idx="3616">
                  <c:v>89.60635999999998</c:v>
                </c:pt>
                <c:pt idx="3617">
                  <c:v>89.60508999999985</c:v>
                </c:pt>
                <c:pt idx="3618">
                  <c:v>89.60393999999998</c:v>
                </c:pt>
                <c:pt idx="3619">
                  <c:v>89.60262</c:v>
                </c:pt>
                <c:pt idx="3620">
                  <c:v>89.60118</c:v>
                </c:pt>
                <c:pt idx="3621">
                  <c:v>89.59963</c:v>
                </c:pt>
                <c:pt idx="3622">
                  <c:v>89.5983</c:v>
                </c:pt>
                <c:pt idx="3623">
                  <c:v>89.59698</c:v>
                </c:pt>
                <c:pt idx="3624">
                  <c:v>89.59583</c:v>
                </c:pt>
                <c:pt idx="3625">
                  <c:v>89.59439</c:v>
                </c:pt>
                <c:pt idx="3626">
                  <c:v>89.59318</c:v>
                </c:pt>
                <c:pt idx="3627">
                  <c:v>89.59174</c:v>
                </c:pt>
                <c:pt idx="3628">
                  <c:v>89.59030000000001</c:v>
                </c:pt>
                <c:pt idx="3629">
                  <c:v>89.58892</c:v>
                </c:pt>
                <c:pt idx="3630">
                  <c:v>89.58771</c:v>
                </c:pt>
                <c:pt idx="3631">
                  <c:v>89.58632999999997</c:v>
                </c:pt>
                <c:pt idx="3632">
                  <c:v>89.58500999999998</c:v>
                </c:pt>
                <c:pt idx="3633">
                  <c:v>89.58351</c:v>
                </c:pt>
                <c:pt idx="3634">
                  <c:v>89.58206999999997</c:v>
                </c:pt>
                <c:pt idx="3635">
                  <c:v>89.58079999999998</c:v>
                </c:pt>
                <c:pt idx="3636">
                  <c:v>89.57953999999998</c:v>
                </c:pt>
                <c:pt idx="3637">
                  <c:v>89.57855999999998</c:v>
                </c:pt>
                <c:pt idx="3638">
                  <c:v>89.57729</c:v>
                </c:pt>
                <c:pt idx="3639">
                  <c:v>89.57626</c:v>
                </c:pt>
                <c:pt idx="3640">
                  <c:v>89.57482</c:v>
                </c:pt>
                <c:pt idx="3641">
                  <c:v>89.57371999999998</c:v>
                </c:pt>
                <c:pt idx="3642">
                  <c:v>89.57268999999998</c:v>
                </c:pt>
                <c:pt idx="3643">
                  <c:v>89.57159</c:v>
                </c:pt>
                <c:pt idx="3644">
                  <c:v>89.57027</c:v>
                </c:pt>
                <c:pt idx="3645">
                  <c:v>89.56866</c:v>
                </c:pt>
                <c:pt idx="3646">
                  <c:v>89.56716</c:v>
                </c:pt>
                <c:pt idx="3647">
                  <c:v>89.56588999999998</c:v>
                </c:pt>
                <c:pt idx="3648">
                  <c:v>89.56463</c:v>
                </c:pt>
                <c:pt idx="3649">
                  <c:v>89.56336</c:v>
                </c:pt>
                <c:pt idx="3650">
                  <c:v>89.56215</c:v>
                </c:pt>
                <c:pt idx="3651">
                  <c:v>89.56071</c:v>
                </c:pt>
                <c:pt idx="3652">
                  <c:v>89.55932999999997</c:v>
                </c:pt>
                <c:pt idx="3653">
                  <c:v>89.55812</c:v>
                </c:pt>
                <c:pt idx="3654">
                  <c:v>89.55697</c:v>
                </c:pt>
                <c:pt idx="3655">
                  <c:v>89.55587999999958</c:v>
                </c:pt>
                <c:pt idx="3656">
                  <c:v>89.55473</c:v>
                </c:pt>
                <c:pt idx="3657">
                  <c:v>89.55392</c:v>
                </c:pt>
                <c:pt idx="3658">
                  <c:v>89.55207999999975</c:v>
                </c:pt>
                <c:pt idx="3659">
                  <c:v>89.55041</c:v>
                </c:pt>
                <c:pt idx="3660">
                  <c:v>89.54897</c:v>
                </c:pt>
                <c:pt idx="3661">
                  <c:v>89.54782</c:v>
                </c:pt>
                <c:pt idx="3662">
                  <c:v>89.54638</c:v>
                </c:pt>
                <c:pt idx="3663">
                  <c:v>89.54477</c:v>
                </c:pt>
                <c:pt idx="3664">
                  <c:v>89.54327</c:v>
                </c:pt>
                <c:pt idx="3665">
                  <c:v>89.54201</c:v>
                </c:pt>
                <c:pt idx="3666">
                  <c:v>89.54063</c:v>
                </c:pt>
                <c:pt idx="3667">
                  <c:v>89.53907</c:v>
                </c:pt>
                <c:pt idx="3668">
                  <c:v>89.53763</c:v>
                </c:pt>
                <c:pt idx="3669">
                  <c:v>89.53625</c:v>
                </c:pt>
                <c:pt idx="3670">
                  <c:v>89.53481</c:v>
                </c:pt>
                <c:pt idx="3671">
                  <c:v>89.53326</c:v>
                </c:pt>
                <c:pt idx="3672">
                  <c:v>89.53216</c:v>
                </c:pt>
                <c:pt idx="3673">
                  <c:v>89.53032</c:v>
                </c:pt>
                <c:pt idx="3674">
                  <c:v>89.52882999999998</c:v>
                </c:pt>
                <c:pt idx="3675">
                  <c:v>89.52767</c:v>
                </c:pt>
                <c:pt idx="3676">
                  <c:v>89.52652</c:v>
                </c:pt>
                <c:pt idx="3677">
                  <c:v>89.52526</c:v>
                </c:pt>
                <c:pt idx="3678">
                  <c:v>89.52386999999997</c:v>
                </c:pt>
                <c:pt idx="3679">
                  <c:v>89.52294999999998</c:v>
                </c:pt>
                <c:pt idx="3680">
                  <c:v>89.52157</c:v>
                </c:pt>
                <c:pt idx="3681">
                  <c:v>89.52007999999998</c:v>
                </c:pt>
                <c:pt idx="3682">
                  <c:v>89.51852</c:v>
                </c:pt>
                <c:pt idx="3683">
                  <c:v>89.51691</c:v>
                </c:pt>
                <c:pt idx="3684">
                  <c:v>89.51553000000001</c:v>
                </c:pt>
                <c:pt idx="3685">
                  <c:v>89.51432</c:v>
                </c:pt>
                <c:pt idx="3686">
                  <c:v>89.51294</c:v>
                </c:pt>
                <c:pt idx="3687">
                  <c:v>89.51173</c:v>
                </c:pt>
                <c:pt idx="3688">
                  <c:v>89.51035</c:v>
                </c:pt>
                <c:pt idx="3689">
                  <c:v>89.50891</c:v>
                </c:pt>
                <c:pt idx="3690">
                  <c:v>89.50735</c:v>
                </c:pt>
                <c:pt idx="3691">
                  <c:v>89.50579999999998</c:v>
                </c:pt>
                <c:pt idx="3692">
                  <c:v>89.50442</c:v>
                </c:pt>
                <c:pt idx="3693">
                  <c:v>89.50304</c:v>
                </c:pt>
                <c:pt idx="3694">
                  <c:v>89.50154</c:v>
                </c:pt>
                <c:pt idx="3695">
                  <c:v>89.50027</c:v>
                </c:pt>
                <c:pt idx="3696">
                  <c:v>89.49884</c:v>
                </c:pt>
                <c:pt idx="3697">
                  <c:v>89.49722</c:v>
                </c:pt>
                <c:pt idx="3698">
                  <c:v>89.49613</c:v>
                </c:pt>
                <c:pt idx="3699">
                  <c:v>89.49515</c:v>
                </c:pt>
                <c:pt idx="3700">
                  <c:v>89.49412</c:v>
                </c:pt>
                <c:pt idx="3701">
                  <c:v>89.49273</c:v>
                </c:pt>
                <c:pt idx="3702">
                  <c:v>89.49129</c:v>
                </c:pt>
                <c:pt idx="3703">
                  <c:v>89.49009</c:v>
                </c:pt>
                <c:pt idx="3704">
                  <c:v>89.48882</c:v>
                </c:pt>
                <c:pt idx="3705">
                  <c:v>89.48738</c:v>
                </c:pt>
                <c:pt idx="3706">
                  <c:v>89.48583</c:v>
                </c:pt>
                <c:pt idx="3707">
                  <c:v>89.48456</c:v>
                </c:pt>
                <c:pt idx="3708">
                  <c:v>89.48312</c:v>
                </c:pt>
                <c:pt idx="3709">
                  <c:v>89.48185</c:v>
                </c:pt>
                <c:pt idx="3710">
                  <c:v>89.48042</c:v>
                </c:pt>
                <c:pt idx="3711">
                  <c:v>89.47915</c:v>
                </c:pt>
                <c:pt idx="3712">
                  <c:v>89.47777</c:v>
                </c:pt>
                <c:pt idx="3713">
                  <c:v>89.47656</c:v>
                </c:pt>
                <c:pt idx="3714">
                  <c:v>89.47540999999998</c:v>
                </c:pt>
                <c:pt idx="3715">
                  <c:v>89.47426</c:v>
                </c:pt>
                <c:pt idx="3716">
                  <c:v>89.47311</c:v>
                </c:pt>
                <c:pt idx="3717">
                  <c:v>89.47172</c:v>
                </c:pt>
                <c:pt idx="3718">
                  <c:v>89.47011</c:v>
                </c:pt>
                <c:pt idx="3719">
                  <c:v>89.46885</c:v>
                </c:pt>
                <c:pt idx="3720">
                  <c:v>89.46741</c:v>
                </c:pt>
                <c:pt idx="3721">
                  <c:v>89.46585</c:v>
                </c:pt>
                <c:pt idx="3722">
                  <c:v>89.46447</c:v>
                </c:pt>
                <c:pt idx="3723">
                  <c:v>89.46338</c:v>
                </c:pt>
                <c:pt idx="3724">
                  <c:v>89.46205</c:v>
                </c:pt>
                <c:pt idx="3725">
                  <c:v>89.46056</c:v>
                </c:pt>
                <c:pt idx="3726">
                  <c:v>89.45906</c:v>
                </c:pt>
                <c:pt idx="3727">
                  <c:v>89.45745</c:v>
                </c:pt>
                <c:pt idx="3728">
                  <c:v>89.45630000000001</c:v>
                </c:pt>
                <c:pt idx="3729">
                  <c:v>89.45515</c:v>
                </c:pt>
                <c:pt idx="3730">
                  <c:v>89.45365</c:v>
                </c:pt>
                <c:pt idx="3731">
                  <c:v>89.4521</c:v>
                </c:pt>
                <c:pt idx="3732">
                  <c:v>89.45071</c:v>
                </c:pt>
                <c:pt idx="3733">
                  <c:v>89.44928</c:v>
                </c:pt>
                <c:pt idx="3734">
                  <c:v>89.44812</c:v>
                </c:pt>
                <c:pt idx="3735">
                  <c:v>89.44692</c:v>
                </c:pt>
                <c:pt idx="3736">
                  <c:v>89.44553</c:v>
                </c:pt>
                <c:pt idx="3737">
                  <c:v>89.44421</c:v>
                </c:pt>
                <c:pt idx="3738">
                  <c:v>89.44271</c:v>
                </c:pt>
                <c:pt idx="3739">
                  <c:v>89.44122</c:v>
                </c:pt>
                <c:pt idx="3740">
                  <c:v>89.44001</c:v>
                </c:pt>
                <c:pt idx="3741">
                  <c:v>89.43891</c:v>
                </c:pt>
                <c:pt idx="3742">
                  <c:v>89.43776</c:v>
                </c:pt>
                <c:pt idx="3743">
                  <c:v>89.43673</c:v>
                </c:pt>
                <c:pt idx="3744">
                  <c:v>89.43529</c:v>
                </c:pt>
                <c:pt idx="3745">
                  <c:v>89.43402</c:v>
                </c:pt>
                <c:pt idx="3746">
                  <c:v>89.43299</c:v>
                </c:pt>
                <c:pt idx="3747">
                  <c:v>89.43166</c:v>
                </c:pt>
                <c:pt idx="3748">
                  <c:v>89.43011</c:v>
                </c:pt>
                <c:pt idx="3749">
                  <c:v>89.42877999999965</c:v>
                </c:pt>
                <c:pt idx="3750">
                  <c:v>89.42746</c:v>
                </c:pt>
                <c:pt idx="3751">
                  <c:v>89.42602</c:v>
                </c:pt>
                <c:pt idx="3752">
                  <c:v>89.42487000000001</c:v>
                </c:pt>
                <c:pt idx="3753">
                  <c:v>89.42372</c:v>
                </c:pt>
                <c:pt idx="3754">
                  <c:v>89.42238999999998</c:v>
                </c:pt>
                <c:pt idx="3755">
                  <c:v>89.42119</c:v>
                </c:pt>
                <c:pt idx="3756">
                  <c:v>89.4198</c:v>
                </c:pt>
                <c:pt idx="3757">
                  <c:v>89.41871</c:v>
                </c:pt>
                <c:pt idx="3758">
                  <c:v>89.41762</c:v>
                </c:pt>
                <c:pt idx="3759">
                  <c:v>89.41635</c:v>
                </c:pt>
                <c:pt idx="3760">
                  <c:v>89.41485</c:v>
                </c:pt>
                <c:pt idx="3761">
                  <c:v>89.41341</c:v>
                </c:pt>
                <c:pt idx="3762">
                  <c:v>89.41192</c:v>
                </c:pt>
                <c:pt idx="3763">
                  <c:v>89.41065</c:v>
                </c:pt>
                <c:pt idx="3764">
                  <c:v>89.40944</c:v>
                </c:pt>
                <c:pt idx="3765">
                  <c:v>89.40795</c:v>
                </c:pt>
                <c:pt idx="3766">
                  <c:v>89.40679</c:v>
                </c:pt>
                <c:pt idx="3767">
                  <c:v>89.40599</c:v>
                </c:pt>
                <c:pt idx="3768">
                  <c:v>89.40478</c:v>
                </c:pt>
                <c:pt idx="3769">
                  <c:v>89.40346</c:v>
                </c:pt>
                <c:pt idx="3770">
                  <c:v>89.40202</c:v>
                </c:pt>
                <c:pt idx="3771">
                  <c:v>89.40046</c:v>
                </c:pt>
                <c:pt idx="3772">
                  <c:v>89.39947999999998</c:v>
                </c:pt>
                <c:pt idx="3773">
                  <c:v>89.39764</c:v>
                </c:pt>
                <c:pt idx="3774">
                  <c:v>89.39603</c:v>
                </c:pt>
                <c:pt idx="3775">
                  <c:v>89.39499</c:v>
                </c:pt>
                <c:pt idx="3776">
                  <c:v>89.39383999999998</c:v>
                </c:pt>
                <c:pt idx="3777">
                  <c:v>89.39234999999998</c:v>
                </c:pt>
                <c:pt idx="3778">
                  <c:v>89.39108</c:v>
                </c:pt>
                <c:pt idx="3779">
                  <c:v>89.38993</c:v>
                </c:pt>
                <c:pt idx="3780">
                  <c:v>89.38883999999958</c:v>
                </c:pt>
                <c:pt idx="3781">
                  <c:v>89.38768</c:v>
                </c:pt>
                <c:pt idx="3782">
                  <c:v>89.38653</c:v>
                </c:pt>
                <c:pt idx="3783">
                  <c:v>89.38503999999975</c:v>
                </c:pt>
                <c:pt idx="3784">
                  <c:v>89.3836</c:v>
                </c:pt>
                <c:pt idx="3785">
                  <c:v>89.38232999999998</c:v>
                </c:pt>
                <c:pt idx="3786">
                  <c:v>89.38055</c:v>
                </c:pt>
                <c:pt idx="3787">
                  <c:v>89.37898999999958</c:v>
                </c:pt>
                <c:pt idx="3788">
                  <c:v>89.37772999999998</c:v>
                </c:pt>
                <c:pt idx="3789">
                  <c:v>89.37605999999998</c:v>
                </c:pt>
                <c:pt idx="3790">
                  <c:v>89.37468</c:v>
                </c:pt>
                <c:pt idx="3791">
                  <c:v>89.37334999999958</c:v>
                </c:pt>
                <c:pt idx="3792">
                  <c:v>89.37208999999935</c:v>
                </c:pt>
                <c:pt idx="3793">
                  <c:v>89.37075999999985</c:v>
                </c:pt>
                <c:pt idx="3794">
                  <c:v>89.36943999999998</c:v>
                </c:pt>
                <c:pt idx="3795">
                  <c:v>89.36823</c:v>
                </c:pt>
                <c:pt idx="3796">
                  <c:v>89.36702</c:v>
                </c:pt>
                <c:pt idx="3797">
                  <c:v>89.36574999999995</c:v>
                </c:pt>
                <c:pt idx="3798">
                  <c:v>89.36426</c:v>
                </c:pt>
                <c:pt idx="3799">
                  <c:v>89.36298999999998</c:v>
                </c:pt>
                <c:pt idx="3800">
                  <c:v>89.36161</c:v>
                </c:pt>
                <c:pt idx="3801">
                  <c:v>89.36005</c:v>
                </c:pt>
                <c:pt idx="3802">
                  <c:v>89.35884999999985</c:v>
                </c:pt>
                <c:pt idx="3803">
                  <c:v>89.35764</c:v>
                </c:pt>
                <c:pt idx="3804">
                  <c:v>89.3562</c:v>
                </c:pt>
                <c:pt idx="3805">
                  <c:v>89.35493</c:v>
                </c:pt>
                <c:pt idx="3806">
                  <c:v>89.35343999999998</c:v>
                </c:pt>
                <c:pt idx="3807">
                  <c:v>89.35223</c:v>
                </c:pt>
                <c:pt idx="3808">
                  <c:v>89.35102</c:v>
                </c:pt>
                <c:pt idx="3809">
                  <c:v>89.34969</c:v>
                </c:pt>
                <c:pt idx="3810">
                  <c:v>89.34849</c:v>
                </c:pt>
                <c:pt idx="3811">
                  <c:v>89.34687</c:v>
                </c:pt>
                <c:pt idx="3812">
                  <c:v>89.34526</c:v>
                </c:pt>
                <c:pt idx="3813">
                  <c:v>89.34371</c:v>
                </c:pt>
                <c:pt idx="3814">
                  <c:v>89.34237999999995</c:v>
                </c:pt>
                <c:pt idx="3815">
                  <c:v>89.34123</c:v>
                </c:pt>
                <c:pt idx="3816">
                  <c:v>89.34008</c:v>
                </c:pt>
                <c:pt idx="3817">
                  <c:v>89.33864</c:v>
                </c:pt>
                <c:pt idx="3818">
                  <c:v>89.33726</c:v>
                </c:pt>
                <c:pt idx="3819">
                  <c:v>89.33565</c:v>
                </c:pt>
                <c:pt idx="3820">
                  <c:v>89.33432</c:v>
                </c:pt>
                <c:pt idx="3821">
                  <c:v>89.33282999999998</c:v>
                </c:pt>
                <c:pt idx="3822">
                  <c:v>89.33133</c:v>
                </c:pt>
                <c:pt idx="3823">
                  <c:v>89.32994999999998</c:v>
                </c:pt>
                <c:pt idx="3824">
                  <c:v>89.32844999999975</c:v>
                </c:pt>
                <c:pt idx="3825">
                  <c:v>89.32696</c:v>
                </c:pt>
                <c:pt idx="3826">
                  <c:v>89.32551999999998</c:v>
                </c:pt>
                <c:pt idx="3827">
                  <c:v>89.32419</c:v>
                </c:pt>
                <c:pt idx="3828">
                  <c:v>89.32263999999998</c:v>
                </c:pt>
                <c:pt idx="3829">
                  <c:v>89.32143</c:v>
                </c:pt>
                <c:pt idx="3830">
                  <c:v>89.31988</c:v>
                </c:pt>
                <c:pt idx="3831">
                  <c:v>89.31877999999985</c:v>
                </c:pt>
                <c:pt idx="3832">
                  <c:v>89.3174</c:v>
                </c:pt>
                <c:pt idx="3833">
                  <c:v>89.31585</c:v>
                </c:pt>
                <c:pt idx="3834">
                  <c:v>89.31418</c:v>
                </c:pt>
                <c:pt idx="3835">
                  <c:v>89.31273999999995</c:v>
                </c:pt>
                <c:pt idx="3836">
                  <c:v>89.31124</c:v>
                </c:pt>
                <c:pt idx="3837">
                  <c:v>89.30979999999998</c:v>
                </c:pt>
                <c:pt idx="3838">
                  <c:v>89.30847999999965</c:v>
                </c:pt>
                <c:pt idx="3839">
                  <c:v>89.30693</c:v>
                </c:pt>
                <c:pt idx="3840">
                  <c:v>89.3056</c:v>
                </c:pt>
                <c:pt idx="3841">
                  <c:v>89.30433999999998</c:v>
                </c:pt>
                <c:pt idx="3842">
                  <c:v>89.30307</c:v>
                </c:pt>
                <c:pt idx="3843">
                  <c:v>89.30157000000001</c:v>
                </c:pt>
                <c:pt idx="3844">
                  <c:v>89.30007999999998</c:v>
                </c:pt>
                <c:pt idx="3845">
                  <c:v>89.29887</c:v>
                </c:pt>
                <c:pt idx="3846">
                  <c:v>89.29737</c:v>
                </c:pt>
                <c:pt idx="3847">
                  <c:v>89.29559</c:v>
                </c:pt>
                <c:pt idx="3848">
                  <c:v>89.29369</c:v>
                </c:pt>
                <c:pt idx="3849">
                  <c:v>89.29207</c:v>
                </c:pt>
                <c:pt idx="3850">
                  <c:v>89.29029</c:v>
                </c:pt>
                <c:pt idx="3851">
                  <c:v>89.28897</c:v>
                </c:pt>
                <c:pt idx="3852">
                  <c:v>89.28764</c:v>
                </c:pt>
                <c:pt idx="3853">
                  <c:v>89.28707</c:v>
                </c:pt>
                <c:pt idx="3854">
                  <c:v>89.28533999999995</c:v>
                </c:pt>
                <c:pt idx="3855">
                  <c:v>89.28315</c:v>
                </c:pt>
                <c:pt idx="3856">
                  <c:v>89.28148</c:v>
                </c:pt>
                <c:pt idx="3857">
                  <c:v>89.27981</c:v>
                </c:pt>
                <c:pt idx="3858">
                  <c:v>89.27831999999998</c:v>
                </c:pt>
                <c:pt idx="3859">
                  <c:v>89.27675999999998</c:v>
                </c:pt>
                <c:pt idx="3860">
                  <c:v>89.27549999999998</c:v>
                </c:pt>
                <c:pt idx="3861">
                  <c:v>89.27435</c:v>
                </c:pt>
                <c:pt idx="3862">
                  <c:v>89.27302</c:v>
                </c:pt>
                <c:pt idx="3863">
                  <c:v>89.27158</c:v>
                </c:pt>
                <c:pt idx="3864">
                  <c:v>89.26974</c:v>
                </c:pt>
                <c:pt idx="3865">
                  <c:v>89.26819</c:v>
                </c:pt>
                <c:pt idx="3866">
                  <c:v>89.26669</c:v>
                </c:pt>
                <c:pt idx="3867">
                  <c:v>89.26525</c:v>
                </c:pt>
                <c:pt idx="3868">
                  <c:v>89.2637</c:v>
                </c:pt>
                <c:pt idx="3869">
                  <c:v>89.26232</c:v>
                </c:pt>
                <c:pt idx="3870">
                  <c:v>89.26059</c:v>
                </c:pt>
                <c:pt idx="3871">
                  <c:v>89.25886</c:v>
                </c:pt>
                <c:pt idx="3872">
                  <c:v>89.25731</c:v>
                </c:pt>
                <c:pt idx="3873">
                  <c:v>89.25580999999998</c:v>
                </c:pt>
                <c:pt idx="3874">
                  <c:v>89.25426</c:v>
                </c:pt>
                <c:pt idx="3875">
                  <c:v>89.25265</c:v>
                </c:pt>
                <c:pt idx="3876">
                  <c:v>89.25109</c:v>
                </c:pt>
                <c:pt idx="3877">
                  <c:v>89.24942</c:v>
                </c:pt>
                <c:pt idx="3878">
                  <c:v>89.24781</c:v>
                </c:pt>
                <c:pt idx="3879">
                  <c:v>89.24608</c:v>
                </c:pt>
                <c:pt idx="3880">
                  <c:v>89.24464</c:v>
                </c:pt>
                <c:pt idx="3881">
                  <c:v>89.24315</c:v>
                </c:pt>
                <c:pt idx="3882">
                  <c:v>89.24142</c:v>
                </c:pt>
                <c:pt idx="3883">
                  <c:v>89.23964</c:v>
                </c:pt>
                <c:pt idx="3884">
                  <c:v>89.23807999999998</c:v>
                </c:pt>
                <c:pt idx="3885">
                  <c:v>89.23716</c:v>
                </c:pt>
                <c:pt idx="3886">
                  <c:v>89.23555</c:v>
                </c:pt>
                <c:pt idx="3887">
                  <c:v>89.23359</c:v>
                </c:pt>
                <c:pt idx="3888">
                  <c:v>89.23192</c:v>
                </c:pt>
                <c:pt idx="3889">
                  <c:v>89.23048</c:v>
                </c:pt>
                <c:pt idx="3890">
                  <c:v>89.22893</c:v>
                </c:pt>
                <c:pt idx="3891">
                  <c:v>89.22743000000001</c:v>
                </c:pt>
                <c:pt idx="3892">
                  <c:v>89.22570999999998</c:v>
                </c:pt>
                <c:pt idx="3893">
                  <c:v>89.22421</c:v>
                </c:pt>
                <c:pt idx="3894">
                  <c:v>89.22282999999997</c:v>
                </c:pt>
                <c:pt idx="3895">
                  <c:v>89.22099</c:v>
                </c:pt>
                <c:pt idx="3896">
                  <c:v>89.21926</c:v>
                </c:pt>
                <c:pt idx="3897">
                  <c:v>89.21748</c:v>
                </c:pt>
                <c:pt idx="3898">
                  <c:v>89.21563</c:v>
                </c:pt>
                <c:pt idx="3899">
                  <c:v>89.21425</c:v>
                </c:pt>
                <c:pt idx="3900">
                  <c:v>89.21276</c:v>
                </c:pt>
                <c:pt idx="3901">
                  <c:v>89.21126</c:v>
                </c:pt>
                <c:pt idx="3902">
                  <c:v>89.20988</c:v>
                </c:pt>
                <c:pt idx="3903">
                  <c:v>89.2085</c:v>
                </c:pt>
                <c:pt idx="3904">
                  <c:v>89.20665</c:v>
                </c:pt>
                <c:pt idx="3905">
                  <c:v>89.20475</c:v>
                </c:pt>
                <c:pt idx="3906">
                  <c:v>89.20303000000001</c:v>
                </c:pt>
                <c:pt idx="3907">
                  <c:v>89.20124</c:v>
                </c:pt>
                <c:pt idx="3908">
                  <c:v>89.19939999999998</c:v>
                </c:pt>
                <c:pt idx="3909">
                  <c:v>89.19756</c:v>
                </c:pt>
                <c:pt idx="3910">
                  <c:v>89.19566</c:v>
                </c:pt>
                <c:pt idx="3911">
                  <c:v>89.19382</c:v>
                </c:pt>
                <c:pt idx="3912">
                  <c:v>89.19243999999995</c:v>
                </c:pt>
                <c:pt idx="3913">
                  <c:v>89.19070999999998</c:v>
                </c:pt>
                <c:pt idx="3914">
                  <c:v>89.18880999999975</c:v>
                </c:pt>
                <c:pt idx="3915">
                  <c:v>89.18690999999998</c:v>
                </c:pt>
                <c:pt idx="3916">
                  <c:v>89.18535999999965</c:v>
                </c:pt>
                <c:pt idx="3917">
                  <c:v>89.18351</c:v>
                </c:pt>
                <c:pt idx="3918">
                  <c:v>89.18167</c:v>
                </c:pt>
                <c:pt idx="3919">
                  <c:v>89.18005999999998</c:v>
                </c:pt>
                <c:pt idx="3920">
                  <c:v>89.17838999999893</c:v>
                </c:pt>
                <c:pt idx="3921">
                  <c:v>89.17648999999948</c:v>
                </c:pt>
                <c:pt idx="3922">
                  <c:v>89.17481999999998</c:v>
                </c:pt>
                <c:pt idx="3923">
                  <c:v>89.17320999999998</c:v>
                </c:pt>
                <c:pt idx="3924">
                  <c:v>89.1712</c:v>
                </c:pt>
                <c:pt idx="3925">
                  <c:v>89.16912</c:v>
                </c:pt>
                <c:pt idx="3926">
                  <c:v>89.16733999999998</c:v>
                </c:pt>
                <c:pt idx="3927">
                  <c:v>89.16561</c:v>
                </c:pt>
                <c:pt idx="3928">
                  <c:v>89.16393999999998</c:v>
                </c:pt>
                <c:pt idx="3929">
                  <c:v>89.16238999999958</c:v>
                </c:pt>
                <c:pt idx="3930">
                  <c:v>89.16072</c:v>
                </c:pt>
                <c:pt idx="3931">
                  <c:v>89.1588799999991</c:v>
                </c:pt>
                <c:pt idx="3932">
                  <c:v>89.15703999999998</c:v>
                </c:pt>
                <c:pt idx="3933">
                  <c:v>89.15501999999998</c:v>
                </c:pt>
                <c:pt idx="3934">
                  <c:v>89.15305999999998</c:v>
                </c:pt>
                <c:pt idx="3935">
                  <c:v>89.15105</c:v>
                </c:pt>
                <c:pt idx="3936">
                  <c:v>89.14903</c:v>
                </c:pt>
                <c:pt idx="3937">
                  <c:v>89.14731</c:v>
                </c:pt>
                <c:pt idx="3938">
                  <c:v>89.14564</c:v>
                </c:pt>
                <c:pt idx="3939">
                  <c:v>89.14373999999998</c:v>
                </c:pt>
                <c:pt idx="3940">
                  <c:v>89.14195</c:v>
                </c:pt>
                <c:pt idx="3941">
                  <c:v>89.14029</c:v>
                </c:pt>
                <c:pt idx="3942">
                  <c:v>89.13872999999998</c:v>
                </c:pt>
                <c:pt idx="3943">
                  <c:v>89.13695</c:v>
                </c:pt>
                <c:pt idx="3944">
                  <c:v>89.13499</c:v>
                </c:pt>
                <c:pt idx="3945">
                  <c:v>89.13303</c:v>
                </c:pt>
                <c:pt idx="3946">
                  <c:v>89.13113000000001</c:v>
                </c:pt>
                <c:pt idx="3947">
                  <c:v>89.12923</c:v>
                </c:pt>
                <c:pt idx="3948">
                  <c:v>89.12732999999998</c:v>
                </c:pt>
                <c:pt idx="3949">
                  <c:v>89.12531999999958</c:v>
                </c:pt>
                <c:pt idx="3950">
                  <c:v>89.12381999999998</c:v>
                </c:pt>
                <c:pt idx="3951">
                  <c:v>89.12226999999998</c:v>
                </c:pt>
                <c:pt idx="3952">
                  <c:v>89.12047999999938</c:v>
                </c:pt>
                <c:pt idx="3953">
                  <c:v>89.11846999999997</c:v>
                </c:pt>
                <c:pt idx="3954">
                  <c:v>89.11645</c:v>
                </c:pt>
                <c:pt idx="3955">
                  <c:v>89.11433</c:v>
                </c:pt>
                <c:pt idx="3956">
                  <c:v>89.11213999999998</c:v>
                </c:pt>
                <c:pt idx="3957">
                  <c:v>89.11001</c:v>
                </c:pt>
                <c:pt idx="3958">
                  <c:v>89.10816999999998</c:v>
                </c:pt>
                <c:pt idx="3959">
                  <c:v>89.10621</c:v>
                </c:pt>
                <c:pt idx="3960">
                  <c:v>89.10436999999997</c:v>
                </c:pt>
                <c:pt idx="3961">
                  <c:v>89.10234999999948</c:v>
                </c:pt>
                <c:pt idx="3962">
                  <c:v>89.10091</c:v>
                </c:pt>
                <c:pt idx="3963">
                  <c:v>89.0985</c:v>
                </c:pt>
                <c:pt idx="3964">
                  <c:v>89.09614</c:v>
                </c:pt>
                <c:pt idx="3965">
                  <c:v>89.09424</c:v>
                </c:pt>
                <c:pt idx="3966">
                  <c:v>89.09257</c:v>
                </c:pt>
                <c:pt idx="3967">
                  <c:v>89.09084</c:v>
                </c:pt>
                <c:pt idx="3968">
                  <c:v>89.08887999999965</c:v>
                </c:pt>
                <c:pt idx="3969">
                  <c:v>89.08693</c:v>
                </c:pt>
                <c:pt idx="3970">
                  <c:v>89.08502999999997</c:v>
                </c:pt>
                <c:pt idx="3971">
                  <c:v>89.08313</c:v>
                </c:pt>
                <c:pt idx="3972">
                  <c:v>89.08157000000001</c:v>
                </c:pt>
                <c:pt idx="3973">
                  <c:v>89.07967</c:v>
                </c:pt>
                <c:pt idx="3974">
                  <c:v>89.07772</c:v>
                </c:pt>
                <c:pt idx="3975">
                  <c:v>89.07563999999998</c:v>
                </c:pt>
                <c:pt idx="3976">
                  <c:v>89.07351</c:v>
                </c:pt>
                <c:pt idx="3977">
                  <c:v>89.07161</c:v>
                </c:pt>
                <c:pt idx="3978">
                  <c:v>89.06966</c:v>
                </c:pt>
                <c:pt idx="3979">
                  <c:v>89.06759</c:v>
                </c:pt>
                <c:pt idx="3980">
                  <c:v>89.06528</c:v>
                </c:pt>
                <c:pt idx="3981">
                  <c:v>89.0631</c:v>
                </c:pt>
                <c:pt idx="3982">
                  <c:v>89.06108</c:v>
                </c:pt>
                <c:pt idx="3983">
                  <c:v>89.05924</c:v>
                </c:pt>
                <c:pt idx="3984">
                  <c:v>89.05717000000001</c:v>
                </c:pt>
                <c:pt idx="3985">
                  <c:v>89.05498</c:v>
                </c:pt>
                <c:pt idx="3986">
                  <c:v>89.05296</c:v>
                </c:pt>
                <c:pt idx="3987">
                  <c:v>89.05112</c:v>
                </c:pt>
                <c:pt idx="3988">
                  <c:v>89.04876</c:v>
                </c:pt>
                <c:pt idx="3989">
                  <c:v>89.0464</c:v>
                </c:pt>
                <c:pt idx="3990">
                  <c:v>89.04445</c:v>
                </c:pt>
                <c:pt idx="3991">
                  <c:v>89.04237</c:v>
                </c:pt>
                <c:pt idx="3992">
                  <c:v>89.04053</c:v>
                </c:pt>
                <c:pt idx="3993">
                  <c:v>89.03839999999998</c:v>
                </c:pt>
                <c:pt idx="3994">
                  <c:v>89.03621</c:v>
                </c:pt>
                <c:pt idx="3995">
                  <c:v>89.03437</c:v>
                </c:pt>
                <c:pt idx="3996">
                  <c:v>89.03242</c:v>
                </c:pt>
                <c:pt idx="3997">
                  <c:v>89.03052</c:v>
                </c:pt>
                <c:pt idx="3998">
                  <c:v>89.02843999999975</c:v>
                </c:pt>
                <c:pt idx="3999">
                  <c:v>89.02630999999998</c:v>
                </c:pt>
                <c:pt idx="4000">
                  <c:v>89.02413</c:v>
                </c:pt>
                <c:pt idx="4001">
                  <c:v>89.02182</c:v>
                </c:pt>
                <c:pt idx="4002">
                  <c:v>89.01958</c:v>
                </c:pt>
                <c:pt idx="4003">
                  <c:v>89.01722</c:v>
                </c:pt>
                <c:pt idx="4004">
                  <c:v>89.01474</c:v>
                </c:pt>
                <c:pt idx="4005">
                  <c:v>89.01261</c:v>
                </c:pt>
                <c:pt idx="4006">
                  <c:v>89.01083000000001</c:v>
                </c:pt>
                <c:pt idx="4007">
                  <c:v>89.00886999999997</c:v>
                </c:pt>
                <c:pt idx="4008">
                  <c:v>89.00686</c:v>
                </c:pt>
                <c:pt idx="4009">
                  <c:v>89.0049</c:v>
                </c:pt>
                <c:pt idx="4010">
                  <c:v>89.00276999999998</c:v>
                </c:pt>
                <c:pt idx="4011">
                  <c:v>89.00058</c:v>
                </c:pt>
                <c:pt idx="4012">
                  <c:v>88.99874</c:v>
                </c:pt>
                <c:pt idx="4013">
                  <c:v>88.99638</c:v>
                </c:pt>
                <c:pt idx="4014">
                  <c:v>88.99414</c:v>
                </c:pt>
                <c:pt idx="4015">
                  <c:v>88.99195</c:v>
                </c:pt>
                <c:pt idx="4016">
                  <c:v>88.98988</c:v>
                </c:pt>
                <c:pt idx="4017">
                  <c:v>88.98792</c:v>
                </c:pt>
                <c:pt idx="4018">
                  <c:v>88.98568</c:v>
                </c:pt>
                <c:pt idx="4019">
                  <c:v>88.98343000000001</c:v>
                </c:pt>
                <c:pt idx="4020">
                  <c:v>88.98124</c:v>
                </c:pt>
                <c:pt idx="4021">
                  <c:v>88.97882999999997</c:v>
                </c:pt>
                <c:pt idx="4022">
                  <c:v>88.9767</c:v>
                </c:pt>
                <c:pt idx="4023">
                  <c:v>88.97451</c:v>
                </c:pt>
                <c:pt idx="4024">
                  <c:v>88.97243999999998</c:v>
                </c:pt>
                <c:pt idx="4025">
                  <c:v>88.97047999999998</c:v>
                </c:pt>
                <c:pt idx="4026">
                  <c:v>88.96806</c:v>
                </c:pt>
                <c:pt idx="4027">
                  <c:v>88.96587</c:v>
                </c:pt>
                <c:pt idx="4028">
                  <c:v>88.96369</c:v>
                </c:pt>
                <c:pt idx="4029">
                  <c:v>88.96144</c:v>
                </c:pt>
                <c:pt idx="4030">
                  <c:v>88.9592</c:v>
                </c:pt>
                <c:pt idx="4031">
                  <c:v>88.95701</c:v>
                </c:pt>
                <c:pt idx="4032">
                  <c:v>88.95500000000001</c:v>
                </c:pt>
                <c:pt idx="4033">
                  <c:v>88.95274999999998</c:v>
                </c:pt>
                <c:pt idx="4034">
                  <c:v>88.95097000000001</c:v>
                </c:pt>
                <c:pt idx="4035">
                  <c:v>88.94849</c:v>
                </c:pt>
                <c:pt idx="4036">
                  <c:v>88.94607</c:v>
                </c:pt>
                <c:pt idx="4037">
                  <c:v>88.94394</c:v>
                </c:pt>
                <c:pt idx="4038">
                  <c:v>88.9417</c:v>
                </c:pt>
                <c:pt idx="4039">
                  <c:v>88.93928</c:v>
                </c:pt>
                <c:pt idx="4040">
                  <c:v>88.93698</c:v>
                </c:pt>
                <c:pt idx="4041">
                  <c:v>88.93491</c:v>
                </c:pt>
                <c:pt idx="4042">
                  <c:v>88.93266</c:v>
                </c:pt>
                <c:pt idx="4043">
                  <c:v>88.93019</c:v>
                </c:pt>
                <c:pt idx="4044">
                  <c:v>88.92794</c:v>
                </c:pt>
                <c:pt idx="4045">
                  <c:v>88.92581</c:v>
                </c:pt>
                <c:pt idx="4046">
                  <c:v>88.92368</c:v>
                </c:pt>
                <c:pt idx="4047">
                  <c:v>88.92132</c:v>
                </c:pt>
                <c:pt idx="4048">
                  <c:v>88.91908</c:v>
                </c:pt>
                <c:pt idx="4049">
                  <c:v>88.91695</c:v>
                </c:pt>
                <c:pt idx="4050">
                  <c:v>88.9147</c:v>
                </c:pt>
                <c:pt idx="4051">
                  <c:v>88.91269</c:v>
                </c:pt>
                <c:pt idx="4052">
                  <c:v>88.91033</c:v>
                </c:pt>
                <c:pt idx="4053">
                  <c:v>88.9082</c:v>
                </c:pt>
                <c:pt idx="4054">
                  <c:v>88.90595</c:v>
                </c:pt>
                <c:pt idx="4055">
                  <c:v>88.90377</c:v>
                </c:pt>
                <c:pt idx="4056">
                  <c:v>88.90146</c:v>
                </c:pt>
                <c:pt idx="4057">
                  <c:v>88.89933</c:v>
                </c:pt>
                <c:pt idx="4058">
                  <c:v>88.89732</c:v>
                </c:pt>
                <c:pt idx="4059">
                  <c:v>88.89506999999997</c:v>
                </c:pt>
                <c:pt idx="4060">
                  <c:v>88.89276999999998</c:v>
                </c:pt>
                <c:pt idx="4061">
                  <c:v>88.89053000000001</c:v>
                </c:pt>
                <c:pt idx="4062">
                  <c:v>88.88839999999985</c:v>
                </c:pt>
                <c:pt idx="4063">
                  <c:v>88.88643999999998</c:v>
                </c:pt>
                <c:pt idx="4064">
                  <c:v>88.88465</c:v>
                </c:pt>
                <c:pt idx="4065">
                  <c:v>88.88252999999997</c:v>
                </c:pt>
                <c:pt idx="4066">
                  <c:v>88.88039999999998</c:v>
                </c:pt>
                <c:pt idx="4067">
                  <c:v>88.87780999999998</c:v>
                </c:pt>
                <c:pt idx="4068">
                  <c:v>88.87555999999998</c:v>
                </c:pt>
                <c:pt idx="4069">
                  <c:v>88.87336999999998</c:v>
                </c:pt>
                <c:pt idx="4070">
                  <c:v>88.87089999999998</c:v>
                </c:pt>
                <c:pt idx="4071">
                  <c:v>88.86836999999998</c:v>
                </c:pt>
                <c:pt idx="4072">
                  <c:v>88.86612</c:v>
                </c:pt>
                <c:pt idx="4073">
                  <c:v>88.86359</c:v>
                </c:pt>
                <c:pt idx="4074">
                  <c:v>88.86123</c:v>
                </c:pt>
                <c:pt idx="4075">
                  <c:v>88.85874999999938</c:v>
                </c:pt>
                <c:pt idx="4076">
                  <c:v>88.85662</c:v>
                </c:pt>
                <c:pt idx="4077">
                  <c:v>88.85449</c:v>
                </c:pt>
                <c:pt idx="4078">
                  <c:v>88.85212999999997</c:v>
                </c:pt>
                <c:pt idx="4079">
                  <c:v>88.84954</c:v>
                </c:pt>
                <c:pt idx="4080">
                  <c:v>88.84701</c:v>
                </c:pt>
                <c:pt idx="4081">
                  <c:v>88.84459</c:v>
                </c:pt>
                <c:pt idx="4082">
                  <c:v>88.84183</c:v>
                </c:pt>
                <c:pt idx="4083">
                  <c:v>88.83907</c:v>
                </c:pt>
                <c:pt idx="4084">
                  <c:v>88.8363</c:v>
                </c:pt>
                <c:pt idx="4085">
                  <c:v>88.83383</c:v>
                </c:pt>
                <c:pt idx="4086">
                  <c:v>88.83170000000001</c:v>
                </c:pt>
                <c:pt idx="4087">
                  <c:v>88.82956999999997</c:v>
                </c:pt>
                <c:pt idx="4088">
                  <c:v>88.82715</c:v>
                </c:pt>
                <c:pt idx="4089">
                  <c:v>88.82468</c:v>
                </c:pt>
                <c:pt idx="4090">
                  <c:v>88.82208999999965</c:v>
                </c:pt>
                <c:pt idx="4091">
                  <c:v>88.82000999999998</c:v>
                </c:pt>
                <c:pt idx="4092">
                  <c:v>88.81783</c:v>
                </c:pt>
                <c:pt idx="4093">
                  <c:v>88.81564</c:v>
                </c:pt>
                <c:pt idx="4094">
                  <c:v>88.81351</c:v>
                </c:pt>
                <c:pt idx="4095">
                  <c:v>88.81149</c:v>
                </c:pt>
                <c:pt idx="4096">
                  <c:v>88.80919</c:v>
                </c:pt>
                <c:pt idx="4097">
                  <c:v>88.80643</c:v>
                </c:pt>
                <c:pt idx="4098">
                  <c:v>88.8039</c:v>
                </c:pt>
                <c:pt idx="4099">
                  <c:v>88.80165</c:v>
                </c:pt>
                <c:pt idx="4100">
                  <c:v>88.79929</c:v>
                </c:pt>
                <c:pt idx="4101">
                  <c:v>88.79745</c:v>
                </c:pt>
                <c:pt idx="4102">
                  <c:v>88.79537999999998</c:v>
                </c:pt>
                <c:pt idx="4103">
                  <c:v>88.79319</c:v>
                </c:pt>
                <c:pt idx="4104">
                  <c:v>88.79054</c:v>
                </c:pt>
                <c:pt idx="4105">
                  <c:v>88.78766</c:v>
                </c:pt>
                <c:pt idx="4106">
                  <c:v>88.78513</c:v>
                </c:pt>
                <c:pt idx="4107">
                  <c:v>88.78317000000001</c:v>
                </c:pt>
                <c:pt idx="4108">
                  <c:v>88.7815</c:v>
                </c:pt>
                <c:pt idx="4109">
                  <c:v>88.77867999999998</c:v>
                </c:pt>
                <c:pt idx="4110">
                  <c:v>88.77568999999998</c:v>
                </c:pt>
                <c:pt idx="4111">
                  <c:v>88.77327</c:v>
                </c:pt>
                <c:pt idx="4112">
                  <c:v>88.77132</c:v>
                </c:pt>
                <c:pt idx="4113">
                  <c:v>88.76907000000001</c:v>
                </c:pt>
                <c:pt idx="4114">
                  <c:v>88.76683000000001</c:v>
                </c:pt>
                <c:pt idx="4115">
                  <c:v>88.76452</c:v>
                </c:pt>
                <c:pt idx="4116">
                  <c:v>88.76222</c:v>
                </c:pt>
                <c:pt idx="4117">
                  <c:v>88.7598</c:v>
                </c:pt>
                <c:pt idx="4118">
                  <c:v>88.75733</c:v>
                </c:pt>
                <c:pt idx="4119">
                  <c:v>88.75468</c:v>
                </c:pt>
                <c:pt idx="4120">
                  <c:v>88.75208999999998</c:v>
                </c:pt>
                <c:pt idx="4121">
                  <c:v>88.74962</c:v>
                </c:pt>
                <c:pt idx="4122">
                  <c:v>88.74714</c:v>
                </c:pt>
                <c:pt idx="4123">
                  <c:v>88.74507000000001</c:v>
                </c:pt>
                <c:pt idx="4124">
                  <c:v>88.74265</c:v>
                </c:pt>
                <c:pt idx="4125">
                  <c:v>88.74006</c:v>
                </c:pt>
                <c:pt idx="4126">
                  <c:v>88.73753</c:v>
                </c:pt>
                <c:pt idx="4127">
                  <c:v>88.73482</c:v>
                </c:pt>
                <c:pt idx="4128">
                  <c:v>88.7324</c:v>
                </c:pt>
                <c:pt idx="4129">
                  <c:v>88.73039</c:v>
                </c:pt>
                <c:pt idx="4130">
                  <c:v>88.72842999999997</c:v>
                </c:pt>
                <c:pt idx="4131">
                  <c:v>88.72642</c:v>
                </c:pt>
                <c:pt idx="4132">
                  <c:v>88.72388999999998</c:v>
                </c:pt>
                <c:pt idx="4133">
                  <c:v>88.72124</c:v>
                </c:pt>
                <c:pt idx="4134">
                  <c:v>88.71894</c:v>
                </c:pt>
                <c:pt idx="4135">
                  <c:v>88.71681</c:v>
                </c:pt>
                <c:pt idx="4136">
                  <c:v>88.71433</c:v>
                </c:pt>
                <c:pt idx="4137">
                  <c:v>88.71186</c:v>
                </c:pt>
                <c:pt idx="4138">
                  <c:v>88.70915</c:v>
                </c:pt>
                <c:pt idx="4139">
                  <c:v>88.70691</c:v>
                </c:pt>
                <c:pt idx="4140">
                  <c:v>88.70437</c:v>
                </c:pt>
                <c:pt idx="4141">
                  <c:v>88.7019</c:v>
                </c:pt>
                <c:pt idx="4142">
                  <c:v>88.69954</c:v>
                </c:pt>
                <c:pt idx="4143">
                  <c:v>88.69741</c:v>
                </c:pt>
                <c:pt idx="4144">
                  <c:v>88.69527999999998</c:v>
                </c:pt>
                <c:pt idx="4145">
                  <c:v>88.69274999999975</c:v>
                </c:pt>
                <c:pt idx="4146">
                  <c:v>88.6905</c:v>
                </c:pt>
                <c:pt idx="4147">
                  <c:v>88.68842999999998</c:v>
                </c:pt>
                <c:pt idx="4148">
                  <c:v>88.68613</c:v>
                </c:pt>
                <c:pt idx="4149">
                  <c:v>88.68347999999965</c:v>
                </c:pt>
                <c:pt idx="4150">
                  <c:v>88.68093999999998</c:v>
                </c:pt>
                <c:pt idx="4151">
                  <c:v>88.6785799999991</c:v>
                </c:pt>
                <c:pt idx="4152">
                  <c:v>88.67622</c:v>
                </c:pt>
                <c:pt idx="4153">
                  <c:v>88.67385999999995</c:v>
                </c:pt>
                <c:pt idx="4154">
                  <c:v>88.67144999999998</c:v>
                </c:pt>
                <c:pt idx="4155">
                  <c:v>88.66903</c:v>
                </c:pt>
                <c:pt idx="4156">
                  <c:v>88.66661</c:v>
                </c:pt>
                <c:pt idx="4157">
                  <c:v>88.66425</c:v>
                </c:pt>
                <c:pt idx="4158">
                  <c:v>88.66212</c:v>
                </c:pt>
                <c:pt idx="4159">
                  <c:v>88.65993999999998</c:v>
                </c:pt>
                <c:pt idx="4160">
                  <c:v>88.65774999999998</c:v>
                </c:pt>
                <c:pt idx="4161">
                  <c:v>88.65526999999997</c:v>
                </c:pt>
                <c:pt idx="4162">
                  <c:v>88.65290999999995</c:v>
                </c:pt>
                <c:pt idx="4163">
                  <c:v>88.65021</c:v>
                </c:pt>
                <c:pt idx="4164">
                  <c:v>88.64773</c:v>
                </c:pt>
                <c:pt idx="4165">
                  <c:v>88.64530999999998</c:v>
                </c:pt>
                <c:pt idx="4166">
                  <c:v>88.64324</c:v>
                </c:pt>
                <c:pt idx="4167">
                  <c:v>88.64134</c:v>
                </c:pt>
                <c:pt idx="4168">
                  <c:v>88.63916</c:v>
                </c:pt>
                <c:pt idx="4169">
                  <c:v>88.63679999999998</c:v>
                </c:pt>
                <c:pt idx="4170">
                  <c:v>88.63437999999998</c:v>
                </c:pt>
                <c:pt idx="4171">
                  <c:v>88.63178999999998</c:v>
                </c:pt>
                <c:pt idx="4172">
                  <c:v>88.62953999999995</c:v>
                </c:pt>
                <c:pt idx="4173">
                  <c:v>88.62746999999997</c:v>
                </c:pt>
                <c:pt idx="4174">
                  <c:v>88.62504999999958</c:v>
                </c:pt>
                <c:pt idx="4175">
                  <c:v>88.62228999999998</c:v>
                </c:pt>
                <c:pt idx="4176">
                  <c:v>88.61999</c:v>
                </c:pt>
                <c:pt idx="4177">
                  <c:v>88.61768</c:v>
                </c:pt>
                <c:pt idx="4178">
                  <c:v>88.61537999999958</c:v>
                </c:pt>
                <c:pt idx="4179">
                  <c:v>88.61325</c:v>
                </c:pt>
                <c:pt idx="4180">
                  <c:v>88.61101</c:v>
                </c:pt>
                <c:pt idx="4181">
                  <c:v>88.60870999999958</c:v>
                </c:pt>
                <c:pt idx="4182">
                  <c:v>88.60623</c:v>
                </c:pt>
                <c:pt idx="4183">
                  <c:v>88.60386999999998</c:v>
                </c:pt>
                <c:pt idx="4184">
                  <c:v>88.60116</c:v>
                </c:pt>
                <c:pt idx="4185">
                  <c:v>88.59852</c:v>
                </c:pt>
                <c:pt idx="4186">
                  <c:v>88.59597999999998</c:v>
                </c:pt>
                <c:pt idx="4187">
                  <c:v>88.59403</c:v>
                </c:pt>
                <c:pt idx="4188">
                  <c:v>88.59207</c:v>
                </c:pt>
                <c:pt idx="4189">
                  <c:v>88.58983</c:v>
                </c:pt>
                <c:pt idx="4190">
                  <c:v>88.58764</c:v>
                </c:pt>
                <c:pt idx="4191">
                  <c:v>88.58544999999998</c:v>
                </c:pt>
                <c:pt idx="4192">
                  <c:v>88.58326</c:v>
                </c:pt>
                <c:pt idx="4193">
                  <c:v>88.58096</c:v>
                </c:pt>
                <c:pt idx="4194">
                  <c:v>88.57853999999985</c:v>
                </c:pt>
                <c:pt idx="4195">
                  <c:v>88.57594999999998</c:v>
                </c:pt>
                <c:pt idx="4196">
                  <c:v>88.57358999999998</c:v>
                </c:pt>
                <c:pt idx="4197">
                  <c:v>88.571</c:v>
                </c:pt>
                <c:pt idx="4198">
                  <c:v>88.56864</c:v>
                </c:pt>
                <c:pt idx="4199">
                  <c:v>88.56628</c:v>
                </c:pt>
                <c:pt idx="4200">
                  <c:v>88.56398</c:v>
                </c:pt>
                <c:pt idx="4201">
                  <c:v>88.56168</c:v>
                </c:pt>
                <c:pt idx="4202">
                  <c:v>88.55955</c:v>
                </c:pt>
                <c:pt idx="4203">
                  <c:v>88.55719</c:v>
                </c:pt>
                <c:pt idx="4204">
                  <c:v>88.55512</c:v>
                </c:pt>
                <c:pt idx="4205">
                  <c:v>88.55292999999997</c:v>
                </c:pt>
                <c:pt idx="4206">
                  <c:v>88.55079999999998</c:v>
                </c:pt>
                <c:pt idx="4207">
                  <c:v>88.54837999999998</c:v>
                </c:pt>
                <c:pt idx="4208">
                  <c:v>88.54596</c:v>
                </c:pt>
                <c:pt idx="4209">
                  <c:v>88.54383</c:v>
                </c:pt>
                <c:pt idx="4210">
                  <c:v>88.54142</c:v>
                </c:pt>
                <c:pt idx="4211">
                  <c:v>88.53893999999998</c:v>
                </c:pt>
                <c:pt idx="4212">
                  <c:v>88.53681</c:v>
                </c:pt>
                <c:pt idx="4213">
                  <c:v>88.5348</c:v>
                </c:pt>
                <c:pt idx="4214">
                  <c:v>88.5329</c:v>
                </c:pt>
                <c:pt idx="4215">
                  <c:v>88.53094</c:v>
                </c:pt>
                <c:pt idx="4216">
                  <c:v>88.52874999999958</c:v>
                </c:pt>
                <c:pt idx="4217">
                  <c:v>88.52651</c:v>
                </c:pt>
                <c:pt idx="4218">
                  <c:v>88.52421</c:v>
                </c:pt>
                <c:pt idx="4219">
                  <c:v>88.52196</c:v>
                </c:pt>
                <c:pt idx="4220">
                  <c:v>88.51943</c:v>
                </c:pt>
                <c:pt idx="4221">
                  <c:v>88.51741</c:v>
                </c:pt>
                <c:pt idx="4222">
                  <c:v>88.51505</c:v>
                </c:pt>
                <c:pt idx="4223">
                  <c:v>88.51304</c:v>
                </c:pt>
                <c:pt idx="4224">
                  <c:v>88.51056</c:v>
                </c:pt>
                <c:pt idx="4225">
                  <c:v>88.50826</c:v>
                </c:pt>
                <c:pt idx="4226">
                  <c:v>88.50561</c:v>
                </c:pt>
                <c:pt idx="4227">
                  <c:v>88.50278999999995</c:v>
                </c:pt>
                <c:pt idx="4228">
                  <c:v>88.50036999999997</c:v>
                </c:pt>
                <c:pt idx="4229">
                  <c:v>88.49853</c:v>
                </c:pt>
                <c:pt idx="4230">
                  <c:v>88.49709</c:v>
                </c:pt>
                <c:pt idx="4231">
                  <c:v>88.49496</c:v>
                </c:pt>
                <c:pt idx="4232">
                  <c:v>88.49289</c:v>
                </c:pt>
                <c:pt idx="4233">
                  <c:v>88.4903</c:v>
                </c:pt>
                <c:pt idx="4234">
                  <c:v>88.48777000000001</c:v>
                </c:pt>
                <c:pt idx="4235">
                  <c:v>88.48581</c:v>
                </c:pt>
                <c:pt idx="4236">
                  <c:v>88.48408</c:v>
                </c:pt>
                <c:pt idx="4237">
                  <c:v>88.48207</c:v>
                </c:pt>
                <c:pt idx="4238">
                  <c:v>88.48034</c:v>
                </c:pt>
                <c:pt idx="4239">
                  <c:v>88.47867</c:v>
                </c:pt>
                <c:pt idx="4240">
                  <c:v>88.47636999999997</c:v>
                </c:pt>
                <c:pt idx="4241">
                  <c:v>88.47367000000001</c:v>
                </c:pt>
                <c:pt idx="4242">
                  <c:v>88.47119</c:v>
                </c:pt>
                <c:pt idx="4243">
                  <c:v>88.46883</c:v>
                </c:pt>
                <c:pt idx="4244">
                  <c:v>88.46647</c:v>
                </c:pt>
                <c:pt idx="4245">
                  <c:v>88.46446</c:v>
                </c:pt>
                <c:pt idx="4246">
                  <c:v>88.46244</c:v>
                </c:pt>
                <c:pt idx="4247">
                  <c:v>88.46106</c:v>
                </c:pt>
                <c:pt idx="4248">
                  <c:v>88.45951</c:v>
                </c:pt>
                <c:pt idx="4249">
                  <c:v>88.45715</c:v>
                </c:pt>
                <c:pt idx="4250">
                  <c:v>88.4549</c:v>
                </c:pt>
                <c:pt idx="4251">
                  <c:v>88.45207999999998</c:v>
                </c:pt>
                <c:pt idx="4252">
                  <c:v>88.44943</c:v>
                </c:pt>
                <c:pt idx="4253">
                  <c:v>88.44730000000002</c:v>
                </c:pt>
                <c:pt idx="4254">
                  <c:v>88.44552</c:v>
                </c:pt>
                <c:pt idx="4255">
                  <c:v>88.44379</c:v>
                </c:pt>
                <c:pt idx="4256">
                  <c:v>88.44201</c:v>
                </c:pt>
                <c:pt idx="4257">
                  <c:v>88.43994</c:v>
                </c:pt>
                <c:pt idx="4258">
                  <c:v>88.43769</c:v>
                </c:pt>
                <c:pt idx="4259">
                  <c:v>88.43568</c:v>
                </c:pt>
                <c:pt idx="4260">
                  <c:v>88.43326</c:v>
                </c:pt>
                <c:pt idx="4261">
                  <c:v>88.43101</c:v>
                </c:pt>
                <c:pt idx="4262">
                  <c:v>88.42883</c:v>
                </c:pt>
                <c:pt idx="4263">
                  <c:v>88.4271</c:v>
                </c:pt>
                <c:pt idx="4264">
                  <c:v>88.42566</c:v>
                </c:pt>
                <c:pt idx="4265">
                  <c:v>88.42422</c:v>
                </c:pt>
                <c:pt idx="4266">
                  <c:v>88.42237999999985</c:v>
                </c:pt>
                <c:pt idx="4267">
                  <c:v>88.42036</c:v>
                </c:pt>
                <c:pt idx="4268">
                  <c:v>88.41864</c:v>
                </c:pt>
                <c:pt idx="4269">
                  <c:v>88.41657</c:v>
                </c:pt>
                <c:pt idx="4270">
                  <c:v>88.41438</c:v>
                </c:pt>
                <c:pt idx="4271">
                  <c:v>88.41196</c:v>
                </c:pt>
                <c:pt idx="4272">
                  <c:v>88.40977</c:v>
                </c:pt>
                <c:pt idx="4273">
                  <c:v>88.40787</c:v>
                </c:pt>
                <c:pt idx="4274">
                  <c:v>88.40586</c:v>
                </c:pt>
                <c:pt idx="4275">
                  <c:v>88.40402</c:v>
                </c:pt>
                <c:pt idx="4276">
                  <c:v>88.40235</c:v>
                </c:pt>
                <c:pt idx="4277">
                  <c:v>88.40033</c:v>
                </c:pt>
                <c:pt idx="4278">
                  <c:v>88.39837999999965</c:v>
                </c:pt>
                <c:pt idx="4279">
                  <c:v>88.39682</c:v>
                </c:pt>
                <c:pt idx="4280">
                  <c:v>88.39503999999998</c:v>
                </c:pt>
                <c:pt idx="4281">
                  <c:v>88.39314</c:v>
                </c:pt>
                <c:pt idx="4282">
                  <c:v>88.39135</c:v>
                </c:pt>
                <c:pt idx="4283">
                  <c:v>88.38922</c:v>
                </c:pt>
                <c:pt idx="4284">
                  <c:v>88.38674999999998</c:v>
                </c:pt>
                <c:pt idx="4285">
                  <c:v>88.38507999999958</c:v>
                </c:pt>
                <c:pt idx="4286">
                  <c:v>88.38317999999998</c:v>
                </c:pt>
                <c:pt idx="4287">
                  <c:v>88.38087999999995</c:v>
                </c:pt>
                <c:pt idx="4288">
                  <c:v>88.37885999999965</c:v>
                </c:pt>
                <c:pt idx="4289">
                  <c:v>88.37719</c:v>
                </c:pt>
                <c:pt idx="4290">
                  <c:v>88.37551999999998</c:v>
                </c:pt>
                <c:pt idx="4291">
                  <c:v>88.37390999999998</c:v>
                </c:pt>
                <c:pt idx="4292">
                  <c:v>88.37200999999965</c:v>
                </c:pt>
                <c:pt idx="4293">
                  <c:v>88.37045999999998</c:v>
                </c:pt>
                <c:pt idx="4294">
                  <c:v>88.36889999999998</c:v>
                </c:pt>
                <c:pt idx="4295">
                  <c:v>88.36724</c:v>
                </c:pt>
                <c:pt idx="4296">
                  <c:v>88.36573999999958</c:v>
                </c:pt>
                <c:pt idx="4297">
                  <c:v>88.36367000000001</c:v>
                </c:pt>
                <c:pt idx="4298">
                  <c:v>88.36188</c:v>
                </c:pt>
                <c:pt idx="4299">
                  <c:v>88.36021</c:v>
                </c:pt>
                <c:pt idx="4300">
                  <c:v>88.35859999999998</c:v>
                </c:pt>
                <c:pt idx="4301">
                  <c:v>88.35682</c:v>
                </c:pt>
                <c:pt idx="4302">
                  <c:v>88.35492</c:v>
                </c:pt>
                <c:pt idx="4303">
                  <c:v>88.35347999999995</c:v>
                </c:pt>
                <c:pt idx="4304">
                  <c:v>88.3523799999991</c:v>
                </c:pt>
                <c:pt idx="4305">
                  <c:v>88.351</c:v>
                </c:pt>
                <c:pt idx="4306">
                  <c:v>88.34962</c:v>
                </c:pt>
                <c:pt idx="4307">
                  <c:v>88.34824</c:v>
                </c:pt>
                <c:pt idx="4308">
                  <c:v>88.34669</c:v>
                </c:pt>
                <c:pt idx="4309">
                  <c:v>88.3453</c:v>
                </c:pt>
                <c:pt idx="4310">
                  <c:v>88.34369</c:v>
                </c:pt>
                <c:pt idx="4311">
                  <c:v>88.34174</c:v>
                </c:pt>
                <c:pt idx="4312">
                  <c:v>88.33937999999995</c:v>
                </c:pt>
                <c:pt idx="4313">
                  <c:v>88.33742</c:v>
                </c:pt>
                <c:pt idx="4314">
                  <c:v>88.33523</c:v>
                </c:pt>
                <c:pt idx="4315">
                  <c:v>88.33316</c:v>
                </c:pt>
                <c:pt idx="4316">
                  <c:v>88.33172</c:v>
                </c:pt>
                <c:pt idx="4317">
                  <c:v>88.33057</c:v>
                </c:pt>
                <c:pt idx="4318">
                  <c:v>88.32946999999998</c:v>
                </c:pt>
                <c:pt idx="4319">
                  <c:v>88.32792</c:v>
                </c:pt>
                <c:pt idx="4320">
                  <c:v>88.32653999999998</c:v>
                </c:pt>
                <c:pt idx="4321">
                  <c:v>88.32532999999998</c:v>
                </c:pt>
                <c:pt idx="4322">
                  <c:v>88.32418</c:v>
                </c:pt>
                <c:pt idx="4323">
                  <c:v>88.3227399999991</c:v>
                </c:pt>
                <c:pt idx="4324">
                  <c:v>88.32101</c:v>
                </c:pt>
                <c:pt idx="4325">
                  <c:v>88.31917</c:v>
                </c:pt>
                <c:pt idx="4326">
                  <c:v>88.31802</c:v>
                </c:pt>
                <c:pt idx="4327">
                  <c:v>88.31652</c:v>
                </c:pt>
                <c:pt idx="4328">
                  <c:v>88.31526</c:v>
                </c:pt>
                <c:pt idx="4329">
                  <c:v>88.31462</c:v>
                </c:pt>
                <c:pt idx="4330">
                  <c:v>88.31382</c:v>
                </c:pt>
                <c:pt idx="4331">
                  <c:v>88.31313</c:v>
                </c:pt>
                <c:pt idx="4332">
                  <c:v>88.31134</c:v>
                </c:pt>
                <c:pt idx="4333">
                  <c:v>88.31008</c:v>
                </c:pt>
                <c:pt idx="4334">
                  <c:v>88.30892999999997</c:v>
                </c:pt>
                <c:pt idx="4335">
                  <c:v>88.30737</c:v>
                </c:pt>
                <c:pt idx="4336">
                  <c:v>88.3061</c:v>
                </c:pt>
                <c:pt idx="4337">
                  <c:v>88.30455</c:v>
                </c:pt>
                <c:pt idx="4338">
                  <c:v>88.30305</c:v>
                </c:pt>
                <c:pt idx="4339">
                  <c:v>88.30202</c:v>
                </c:pt>
                <c:pt idx="4340">
                  <c:v>88.30097999999998</c:v>
                </c:pt>
                <c:pt idx="4341">
                  <c:v>88.29908</c:v>
                </c:pt>
                <c:pt idx="4342">
                  <c:v>88.29661</c:v>
                </c:pt>
                <c:pt idx="4343">
                  <c:v>88.29494</c:v>
                </c:pt>
                <c:pt idx="4344">
                  <c:v>88.29396</c:v>
                </c:pt>
                <c:pt idx="4345">
                  <c:v>88.29269</c:v>
                </c:pt>
                <c:pt idx="4346">
                  <c:v>88.29154</c:v>
                </c:pt>
                <c:pt idx="4347">
                  <c:v>88.29039</c:v>
                </c:pt>
                <c:pt idx="4348">
                  <c:v>88.2893</c:v>
                </c:pt>
                <c:pt idx="4349">
                  <c:v>88.28797</c:v>
                </c:pt>
                <c:pt idx="4350">
                  <c:v>88.28665</c:v>
                </c:pt>
                <c:pt idx="4351">
                  <c:v>88.28537999999975</c:v>
                </c:pt>
                <c:pt idx="4352">
                  <c:v>88.28394</c:v>
                </c:pt>
                <c:pt idx="4353">
                  <c:v>88.28272999999998</c:v>
                </c:pt>
                <c:pt idx="4354">
                  <c:v>88.28164</c:v>
                </c:pt>
                <c:pt idx="4355">
                  <c:v>88.28061</c:v>
                </c:pt>
                <c:pt idx="4356">
                  <c:v>88.27944999999998</c:v>
                </c:pt>
                <c:pt idx="4357">
                  <c:v>88.27806999999998</c:v>
                </c:pt>
                <c:pt idx="4358">
                  <c:v>88.27669</c:v>
                </c:pt>
                <c:pt idx="4359">
                  <c:v>88.27588999999985</c:v>
                </c:pt>
                <c:pt idx="4360">
                  <c:v>88.27375999999998</c:v>
                </c:pt>
                <c:pt idx="4361">
                  <c:v>88.27248999999995</c:v>
                </c:pt>
                <c:pt idx="4362">
                  <c:v>88.27163</c:v>
                </c:pt>
                <c:pt idx="4363">
                  <c:v>88.27087999999995</c:v>
                </c:pt>
                <c:pt idx="4364">
                  <c:v>88.2703</c:v>
                </c:pt>
                <c:pt idx="4365">
                  <c:v>88.26944</c:v>
                </c:pt>
                <c:pt idx="4366">
                  <c:v>88.26892</c:v>
                </c:pt>
                <c:pt idx="4367">
                  <c:v>88.26857</c:v>
                </c:pt>
                <c:pt idx="4368">
                  <c:v>88.26748</c:v>
                </c:pt>
                <c:pt idx="4369">
                  <c:v>88.26587</c:v>
                </c:pt>
                <c:pt idx="4370">
                  <c:v>88.26408</c:v>
                </c:pt>
                <c:pt idx="4371">
                  <c:v>88.26253000000001</c:v>
                </c:pt>
                <c:pt idx="4372">
                  <c:v>88.26132</c:v>
                </c:pt>
                <c:pt idx="4373">
                  <c:v>88.26029</c:v>
                </c:pt>
                <c:pt idx="4374">
                  <c:v>88.25931</c:v>
                </c:pt>
                <c:pt idx="4375">
                  <c:v>88.25896</c:v>
                </c:pt>
                <c:pt idx="4376">
                  <c:v>88.25827</c:v>
                </c:pt>
                <c:pt idx="4377">
                  <c:v>88.25724</c:v>
                </c:pt>
                <c:pt idx="4378">
                  <c:v>88.25626</c:v>
                </c:pt>
                <c:pt idx="4379">
                  <c:v>88.25528</c:v>
                </c:pt>
                <c:pt idx="4380">
                  <c:v>88.25407000000001</c:v>
                </c:pt>
                <c:pt idx="4381">
                  <c:v>88.25297999999998</c:v>
                </c:pt>
                <c:pt idx="4382">
                  <c:v>88.25182</c:v>
                </c:pt>
                <c:pt idx="4383">
                  <c:v>88.25038999999998</c:v>
                </c:pt>
                <c:pt idx="4384">
                  <c:v>88.24935</c:v>
                </c:pt>
                <c:pt idx="4385">
                  <c:v>88.24849</c:v>
                </c:pt>
                <c:pt idx="4386">
                  <c:v>88.24854</c:v>
                </c:pt>
                <c:pt idx="4387">
                  <c:v>88.24791</c:v>
                </c:pt>
                <c:pt idx="4388">
                  <c:v>88.24601</c:v>
                </c:pt>
                <c:pt idx="4389">
                  <c:v>88.24405</c:v>
                </c:pt>
                <c:pt idx="4390">
                  <c:v>88.24261</c:v>
                </c:pt>
                <c:pt idx="4391">
                  <c:v>88.24175</c:v>
                </c:pt>
                <c:pt idx="4392">
                  <c:v>88.24089</c:v>
                </c:pt>
                <c:pt idx="4393">
                  <c:v>88.23979</c:v>
                </c:pt>
                <c:pt idx="4394">
                  <c:v>88.23893</c:v>
                </c:pt>
                <c:pt idx="4395">
                  <c:v>88.23812</c:v>
                </c:pt>
                <c:pt idx="4396">
                  <c:v>88.23692</c:v>
                </c:pt>
                <c:pt idx="4397">
                  <c:v>88.23559</c:v>
                </c:pt>
                <c:pt idx="4398">
                  <c:v>88.23461</c:v>
                </c:pt>
                <c:pt idx="4399">
                  <c:v>88.23352</c:v>
                </c:pt>
                <c:pt idx="4400">
                  <c:v>88.23214</c:v>
                </c:pt>
                <c:pt idx="4401">
                  <c:v>88.23156</c:v>
                </c:pt>
                <c:pt idx="4402">
                  <c:v>88.23087</c:v>
                </c:pt>
                <c:pt idx="4403">
                  <c:v>88.23012</c:v>
                </c:pt>
                <c:pt idx="4404">
                  <c:v>88.22903</c:v>
                </c:pt>
                <c:pt idx="4405">
                  <c:v>88.22844999999998</c:v>
                </c:pt>
                <c:pt idx="4406">
                  <c:v>88.22782</c:v>
                </c:pt>
                <c:pt idx="4407">
                  <c:v>88.22707000000001</c:v>
                </c:pt>
                <c:pt idx="4408">
                  <c:v>88.22604</c:v>
                </c:pt>
                <c:pt idx="4409">
                  <c:v>88.22529</c:v>
                </c:pt>
                <c:pt idx="4410">
                  <c:v>88.22431</c:v>
                </c:pt>
                <c:pt idx="4411">
                  <c:v>88.2235</c:v>
                </c:pt>
                <c:pt idx="4412">
                  <c:v>88.22303999999998</c:v>
                </c:pt>
                <c:pt idx="4413">
                  <c:v>88.22275999999998</c:v>
                </c:pt>
                <c:pt idx="4414">
                  <c:v>88.22206999999997</c:v>
                </c:pt>
                <c:pt idx="4415">
                  <c:v>88.22091</c:v>
                </c:pt>
                <c:pt idx="4416">
                  <c:v>88.2193</c:v>
                </c:pt>
                <c:pt idx="4417">
                  <c:v>88.21832</c:v>
                </c:pt>
                <c:pt idx="4418">
                  <c:v>88.21769</c:v>
                </c:pt>
                <c:pt idx="4419">
                  <c:v>88.21694</c:v>
                </c:pt>
                <c:pt idx="4420">
                  <c:v>88.21596</c:v>
                </c:pt>
                <c:pt idx="4421">
                  <c:v>88.21475</c:v>
                </c:pt>
                <c:pt idx="4422">
                  <c:v>88.21389</c:v>
                </c:pt>
                <c:pt idx="4423">
                  <c:v>88.21326</c:v>
                </c:pt>
                <c:pt idx="4424">
                  <c:v>88.21228</c:v>
                </c:pt>
                <c:pt idx="4425">
                  <c:v>88.21153</c:v>
                </c:pt>
                <c:pt idx="4426">
                  <c:v>88.21067</c:v>
                </c:pt>
                <c:pt idx="4427">
                  <c:v>88.20992</c:v>
                </c:pt>
                <c:pt idx="4428">
                  <c:v>88.20894</c:v>
                </c:pt>
                <c:pt idx="4429">
                  <c:v>88.20791</c:v>
                </c:pt>
                <c:pt idx="4430">
                  <c:v>88.20652</c:v>
                </c:pt>
                <c:pt idx="4431">
                  <c:v>88.20577999999985</c:v>
                </c:pt>
                <c:pt idx="4432">
                  <c:v>88.20572</c:v>
                </c:pt>
                <c:pt idx="4433">
                  <c:v>88.20526</c:v>
                </c:pt>
                <c:pt idx="4434">
                  <c:v>88.20514</c:v>
                </c:pt>
                <c:pt idx="4435">
                  <c:v>88.20536999999997</c:v>
                </c:pt>
                <c:pt idx="4436">
                  <c:v>88.20543</c:v>
                </c:pt>
                <c:pt idx="4437">
                  <c:v>88.20451</c:v>
                </c:pt>
                <c:pt idx="4438">
                  <c:v>88.20342</c:v>
                </c:pt>
                <c:pt idx="4439">
                  <c:v>88.20198</c:v>
                </c:pt>
                <c:pt idx="4440">
                  <c:v>88.20106</c:v>
                </c:pt>
                <c:pt idx="4441">
                  <c:v>88.20036</c:v>
                </c:pt>
                <c:pt idx="4442">
                  <c:v>88.1995</c:v>
                </c:pt>
                <c:pt idx="4443">
                  <c:v>88.19840999999998</c:v>
                </c:pt>
                <c:pt idx="4444">
                  <c:v>88.19714</c:v>
                </c:pt>
                <c:pt idx="4445">
                  <c:v>88.19553</c:v>
                </c:pt>
                <c:pt idx="4446">
                  <c:v>88.19529999999997</c:v>
                </c:pt>
                <c:pt idx="4447">
                  <c:v>88.19563999999998</c:v>
                </c:pt>
                <c:pt idx="4448">
                  <c:v>88.19517999999998</c:v>
                </c:pt>
                <c:pt idx="4449">
                  <c:v>88.19467</c:v>
                </c:pt>
                <c:pt idx="4450">
                  <c:v>88.19409</c:v>
                </c:pt>
                <c:pt idx="4451">
                  <c:v>88.19317</c:v>
                </c:pt>
                <c:pt idx="4452">
                  <c:v>88.19218999999998</c:v>
                </c:pt>
                <c:pt idx="4453">
                  <c:v>88.19097999999998</c:v>
                </c:pt>
                <c:pt idx="4454">
                  <c:v>88.19</c:v>
                </c:pt>
                <c:pt idx="4455">
                  <c:v>88.18890999999998</c:v>
                </c:pt>
                <c:pt idx="4456">
                  <c:v>88.18827999999998</c:v>
                </c:pt>
                <c:pt idx="4457">
                  <c:v>88.18775999999998</c:v>
                </c:pt>
                <c:pt idx="4458">
                  <c:v>88.18718</c:v>
                </c:pt>
                <c:pt idx="4459">
                  <c:v>88.18661</c:v>
                </c:pt>
                <c:pt idx="4460">
                  <c:v>88.18596999999998</c:v>
                </c:pt>
                <c:pt idx="4461">
                  <c:v>88.18545999999998</c:v>
                </c:pt>
                <c:pt idx="4462">
                  <c:v>88.18487999999998</c:v>
                </c:pt>
                <c:pt idx="4463">
                  <c:v>88.18425</c:v>
                </c:pt>
                <c:pt idx="4464">
                  <c:v>88.18349999999998</c:v>
                </c:pt>
                <c:pt idx="4465">
                  <c:v>88.18321</c:v>
                </c:pt>
                <c:pt idx="4466">
                  <c:v>88.18274999999915</c:v>
                </c:pt>
                <c:pt idx="4467">
                  <c:v>88.18183</c:v>
                </c:pt>
                <c:pt idx="4468">
                  <c:v>88.18114</c:v>
                </c:pt>
                <c:pt idx="4469">
                  <c:v>88.18022</c:v>
                </c:pt>
                <c:pt idx="4470">
                  <c:v>88.17946999999998</c:v>
                </c:pt>
                <c:pt idx="4471">
                  <c:v>88.17906999999998</c:v>
                </c:pt>
                <c:pt idx="4472">
                  <c:v>88.17842999999995</c:v>
                </c:pt>
                <c:pt idx="4473">
                  <c:v>88.17773999999935</c:v>
                </c:pt>
                <c:pt idx="4474">
                  <c:v>88.17658999999995</c:v>
                </c:pt>
                <c:pt idx="4475">
                  <c:v>88.17526999999998</c:v>
                </c:pt>
                <c:pt idx="4476">
                  <c:v>88.17445999999998</c:v>
                </c:pt>
                <c:pt idx="4477">
                  <c:v>88.17399999999998</c:v>
                </c:pt>
                <c:pt idx="4478">
                  <c:v>88.17249999999925</c:v>
                </c:pt>
                <c:pt idx="4479">
                  <c:v>88.17209999999938</c:v>
                </c:pt>
                <c:pt idx="4480">
                  <c:v>88.17215999999995</c:v>
                </c:pt>
                <c:pt idx="4481">
                  <c:v>88.17198999999998</c:v>
                </c:pt>
                <c:pt idx="4482">
                  <c:v>88.17088999999935</c:v>
                </c:pt>
                <c:pt idx="4483">
                  <c:v>88.17002999999998</c:v>
                </c:pt>
                <c:pt idx="4484">
                  <c:v>88.16957</c:v>
                </c:pt>
                <c:pt idx="4485">
                  <c:v>88.16806999999998</c:v>
                </c:pt>
                <c:pt idx="4486">
                  <c:v>88.16692</c:v>
                </c:pt>
                <c:pt idx="4487">
                  <c:v>88.16593999999998</c:v>
                </c:pt>
                <c:pt idx="4488">
                  <c:v>88.16502</c:v>
                </c:pt>
                <c:pt idx="4489">
                  <c:v>88.16422</c:v>
                </c:pt>
                <c:pt idx="4490">
                  <c:v>88.16346999999997</c:v>
                </c:pt>
                <c:pt idx="4491">
                  <c:v>88.16317999999998</c:v>
                </c:pt>
                <c:pt idx="4492">
                  <c:v>88.16242999999998</c:v>
                </c:pt>
                <c:pt idx="4493">
                  <c:v>88.16145</c:v>
                </c:pt>
                <c:pt idx="4494">
                  <c:v>88.16046999999997</c:v>
                </c:pt>
                <c:pt idx="4495">
                  <c:v>88.16001</c:v>
                </c:pt>
                <c:pt idx="4496">
                  <c:v>88.16013</c:v>
                </c:pt>
                <c:pt idx="4497">
                  <c:v>88.16007</c:v>
                </c:pt>
                <c:pt idx="4498">
                  <c:v>88.15927</c:v>
                </c:pt>
                <c:pt idx="4499">
                  <c:v>88.15885999999985</c:v>
                </c:pt>
                <c:pt idx="4500">
                  <c:v>88.15621</c:v>
                </c:pt>
                <c:pt idx="4501">
                  <c:v>88.15436999999998</c:v>
                </c:pt>
                <c:pt idx="4502">
                  <c:v>88.15390999999998</c:v>
                </c:pt>
                <c:pt idx="4503">
                  <c:v>88.15432</c:v>
                </c:pt>
                <c:pt idx="4504">
                  <c:v>88.15523999999998</c:v>
                </c:pt>
                <c:pt idx="4505">
                  <c:v>88.15551999999998</c:v>
                </c:pt>
                <c:pt idx="4506">
                  <c:v>88.15500999999985</c:v>
                </c:pt>
                <c:pt idx="4507">
                  <c:v>88.15396999999998</c:v>
                </c:pt>
                <c:pt idx="4508">
                  <c:v>88.15298999999958</c:v>
                </c:pt>
                <c:pt idx="4509">
                  <c:v>88.15196</c:v>
                </c:pt>
                <c:pt idx="4510">
                  <c:v>88.15092</c:v>
                </c:pt>
                <c:pt idx="4511">
                  <c:v>88.15023</c:v>
                </c:pt>
                <c:pt idx="4512">
                  <c:v>88.14954</c:v>
                </c:pt>
                <c:pt idx="4513">
                  <c:v>88.14896</c:v>
                </c:pt>
                <c:pt idx="4514">
                  <c:v>88.14798</c:v>
                </c:pt>
                <c:pt idx="4515">
                  <c:v>88.14683</c:v>
                </c:pt>
                <c:pt idx="4516">
                  <c:v>88.14626</c:v>
                </c:pt>
                <c:pt idx="4517">
                  <c:v>88.14568</c:v>
                </c:pt>
                <c:pt idx="4518">
                  <c:v>88.14516</c:v>
                </c:pt>
                <c:pt idx="4519">
                  <c:v>88.14418</c:v>
                </c:pt>
                <c:pt idx="4520">
                  <c:v>88.14332</c:v>
                </c:pt>
                <c:pt idx="4521">
                  <c:v>88.14246</c:v>
                </c:pt>
                <c:pt idx="4522">
                  <c:v>88.14136</c:v>
                </c:pt>
                <c:pt idx="4523">
                  <c:v>88.14033</c:v>
                </c:pt>
                <c:pt idx="4524">
                  <c:v>88.13929</c:v>
                </c:pt>
                <c:pt idx="4525">
                  <c:v>88.13813999999998</c:v>
                </c:pt>
                <c:pt idx="4526">
                  <c:v>88.13738999999998</c:v>
                </c:pt>
                <c:pt idx="4527">
                  <c:v>88.13738999999998</c:v>
                </c:pt>
                <c:pt idx="4528">
                  <c:v>88.13756</c:v>
                </c:pt>
                <c:pt idx="4529">
                  <c:v>88.13756</c:v>
                </c:pt>
                <c:pt idx="4530">
                  <c:v>88.13682</c:v>
                </c:pt>
                <c:pt idx="4531">
                  <c:v>88.13613</c:v>
                </c:pt>
                <c:pt idx="4532">
                  <c:v>88.13571999999998</c:v>
                </c:pt>
                <c:pt idx="4533">
                  <c:v>88.13473999999998</c:v>
                </c:pt>
                <c:pt idx="4534">
                  <c:v>88.13411</c:v>
                </c:pt>
                <c:pt idx="4535">
                  <c:v>88.13359</c:v>
                </c:pt>
                <c:pt idx="4536">
                  <c:v>88.13330999999998</c:v>
                </c:pt>
                <c:pt idx="4537">
                  <c:v>88.13295999999998</c:v>
                </c:pt>
                <c:pt idx="4538">
                  <c:v>88.13261</c:v>
                </c:pt>
                <c:pt idx="4539">
                  <c:v>88.13209999999998</c:v>
                </c:pt>
                <c:pt idx="4540">
                  <c:v>88.13112</c:v>
                </c:pt>
                <c:pt idx="4541">
                  <c:v>88.13036999999998</c:v>
                </c:pt>
                <c:pt idx="4542">
                  <c:v>88.12984999999995</c:v>
                </c:pt>
                <c:pt idx="4543">
                  <c:v>88.12932999999998</c:v>
                </c:pt>
                <c:pt idx="4544">
                  <c:v>88.12875999999935</c:v>
                </c:pt>
                <c:pt idx="4545">
                  <c:v>88.12800999999965</c:v>
                </c:pt>
                <c:pt idx="4546">
                  <c:v>88.1272</c:v>
                </c:pt>
                <c:pt idx="4547">
                  <c:v>88.12623</c:v>
                </c:pt>
                <c:pt idx="4548">
                  <c:v>88.12512999999998</c:v>
                </c:pt>
                <c:pt idx="4549">
                  <c:v>88.12443999999998</c:v>
                </c:pt>
                <c:pt idx="4550">
                  <c:v>88.12403999999998</c:v>
                </c:pt>
                <c:pt idx="4551">
                  <c:v>88.12339999999975</c:v>
                </c:pt>
                <c:pt idx="4552">
                  <c:v>88.12242999999998</c:v>
                </c:pt>
                <c:pt idx="4553">
                  <c:v>88.12191</c:v>
                </c:pt>
                <c:pt idx="4554">
                  <c:v>88.12144999999998</c:v>
                </c:pt>
                <c:pt idx="4555">
                  <c:v>88.12086999999998</c:v>
                </c:pt>
                <c:pt idx="4556">
                  <c:v>88.12023999999998</c:v>
                </c:pt>
                <c:pt idx="4557">
                  <c:v>88.11995</c:v>
                </c:pt>
                <c:pt idx="4558">
                  <c:v>88.11915</c:v>
                </c:pt>
                <c:pt idx="4559">
                  <c:v>88.11828</c:v>
                </c:pt>
                <c:pt idx="4560">
                  <c:v>88.11776</c:v>
                </c:pt>
                <c:pt idx="4561">
                  <c:v>88.11753</c:v>
                </c:pt>
                <c:pt idx="4562">
                  <c:v>88.11702</c:v>
                </c:pt>
                <c:pt idx="4563">
                  <c:v>88.11656</c:v>
                </c:pt>
                <c:pt idx="4564">
                  <c:v>88.11643999999998</c:v>
                </c:pt>
                <c:pt idx="4565">
                  <c:v>88.11615</c:v>
                </c:pt>
                <c:pt idx="4566">
                  <c:v>88.11512</c:v>
                </c:pt>
                <c:pt idx="4567">
                  <c:v>88.11356</c:v>
                </c:pt>
                <c:pt idx="4568">
                  <c:v>88.11264</c:v>
                </c:pt>
                <c:pt idx="4569">
                  <c:v>88.1123</c:v>
                </c:pt>
                <c:pt idx="4570">
                  <c:v>88.11114</c:v>
                </c:pt>
                <c:pt idx="4571">
                  <c:v>88.10982</c:v>
                </c:pt>
                <c:pt idx="4572">
                  <c:v>88.10953</c:v>
                </c:pt>
                <c:pt idx="4573">
                  <c:v>88.10913</c:v>
                </c:pt>
                <c:pt idx="4574">
                  <c:v>88.10849999999998</c:v>
                </c:pt>
                <c:pt idx="4575">
                  <c:v>88.10774999999998</c:v>
                </c:pt>
                <c:pt idx="4576">
                  <c:v>88.10665</c:v>
                </c:pt>
                <c:pt idx="4577">
                  <c:v>88.10636999999998</c:v>
                </c:pt>
                <c:pt idx="4578">
                  <c:v>88.10544999999995</c:v>
                </c:pt>
                <c:pt idx="4579">
                  <c:v>88.10503999999958</c:v>
                </c:pt>
                <c:pt idx="4580">
                  <c:v>88.10516</c:v>
                </c:pt>
                <c:pt idx="4581">
                  <c:v>88.10474999999998</c:v>
                </c:pt>
                <c:pt idx="4582">
                  <c:v>88.10401</c:v>
                </c:pt>
                <c:pt idx="4583">
                  <c:v>88.10331999999998</c:v>
                </c:pt>
                <c:pt idx="4584">
                  <c:v>88.10238999999935</c:v>
                </c:pt>
                <c:pt idx="4585">
                  <c:v>88.10187999999998</c:v>
                </c:pt>
                <c:pt idx="4586">
                  <c:v>88.10147</c:v>
                </c:pt>
                <c:pt idx="4587">
                  <c:v>88.10113000000001</c:v>
                </c:pt>
                <c:pt idx="4588">
                  <c:v>88.10107</c:v>
                </c:pt>
                <c:pt idx="4589">
                  <c:v>88.09975</c:v>
                </c:pt>
                <c:pt idx="4590">
                  <c:v>88.09836999999997</c:v>
                </c:pt>
                <c:pt idx="4591">
                  <c:v>88.09756</c:v>
                </c:pt>
                <c:pt idx="4592">
                  <c:v>88.09693</c:v>
                </c:pt>
                <c:pt idx="4593">
                  <c:v>88.09641</c:v>
                </c:pt>
                <c:pt idx="4594">
                  <c:v>88.09624</c:v>
                </c:pt>
                <c:pt idx="4595">
                  <c:v>88.09531</c:v>
                </c:pt>
                <c:pt idx="4596">
                  <c:v>88.09445</c:v>
                </c:pt>
                <c:pt idx="4597">
                  <c:v>88.09301</c:v>
                </c:pt>
                <c:pt idx="4598">
                  <c:v>88.0914</c:v>
                </c:pt>
                <c:pt idx="4599">
                  <c:v>88.09042</c:v>
                </c:pt>
                <c:pt idx="4600">
                  <c:v>88.0891</c:v>
                </c:pt>
                <c:pt idx="4601">
                  <c:v>88.08823</c:v>
                </c:pt>
                <c:pt idx="4602">
                  <c:v>88.08766</c:v>
                </c:pt>
                <c:pt idx="4603">
                  <c:v>88.08651</c:v>
                </c:pt>
                <c:pt idx="4604">
                  <c:v>88.08524</c:v>
                </c:pt>
                <c:pt idx="4605">
                  <c:v>88.08426</c:v>
                </c:pt>
                <c:pt idx="4606">
                  <c:v>88.08409</c:v>
                </c:pt>
                <c:pt idx="4607">
                  <c:v>88.08363000000001</c:v>
                </c:pt>
                <c:pt idx="4608">
                  <c:v>88.08242</c:v>
                </c:pt>
                <c:pt idx="4609">
                  <c:v>88.08196</c:v>
                </c:pt>
                <c:pt idx="4610">
                  <c:v>88.08173</c:v>
                </c:pt>
                <c:pt idx="4611">
                  <c:v>88.08133</c:v>
                </c:pt>
                <c:pt idx="4612">
                  <c:v>88.08097999999998</c:v>
                </c:pt>
                <c:pt idx="4613">
                  <c:v>88.08064</c:v>
                </c:pt>
                <c:pt idx="4614">
                  <c:v>88.08006</c:v>
                </c:pt>
                <c:pt idx="4615">
                  <c:v>88.07971999999998</c:v>
                </c:pt>
                <c:pt idx="4616">
                  <c:v>88.0792</c:v>
                </c:pt>
                <c:pt idx="4617">
                  <c:v>88.07884999999958</c:v>
                </c:pt>
                <c:pt idx="4618">
                  <c:v>88.07822</c:v>
                </c:pt>
                <c:pt idx="4619">
                  <c:v>88.07707</c:v>
                </c:pt>
                <c:pt idx="4620">
                  <c:v>88.07596999999998</c:v>
                </c:pt>
                <c:pt idx="4621">
                  <c:v>88.07539999999958</c:v>
                </c:pt>
                <c:pt idx="4622">
                  <c:v>88.07504999999995</c:v>
                </c:pt>
                <c:pt idx="4623">
                  <c:v>88.07465</c:v>
                </c:pt>
                <c:pt idx="4624">
                  <c:v>88.07442</c:v>
                </c:pt>
                <c:pt idx="4625">
                  <c:v>88.07367</c:v>
                </c:pt>
                <c:pt idx="4626">
                  <c:v>88.07303999999998</c:v>
                </c:pt>
                <c:pt idx="4627">
                  <c:v>88.07223</c:v>
                </c:pt>
                <c:pt idx="4628">
                  <c:v>88.07143</c:v>
                </c:pt>
                <c:pt idx="4629">
                  <c:v>88.07067999999998</c:v>
                </c:pt>
                <c:pt idx="4630">
                  <c:v>88.07016</c:v>
                </c:pt>
                <c:pt idx="4631">
                  <c:v>88.06964</c:v>
                </c:pt>
                <c:pt idx="4632">
                  <c:v>88.06895</c:v>
                </c:pt>
                <c:pt idx="4633">
                  <c:v>88.06843</c:v>
                </c:pt>
                <c:pt idx="4634">
                  <c:v>88.06797</c:v>
                </c:pt>
                <c:pt idx="4635">
                  <c:v>88.06763</c:v>
                </c:pt>
                <c:pt idx="4636">
                  <c:v>88.06711</c:v>
                </c:pt>
                <c:pt idx="4637">
                  <c:v>88.06636</c:v>
                </c:pt>
                <c:pt idx="4638">
                  <c:v>88.06527000000001</c:v>
                </c:pt>
                <c:pt idx="4639">
                  <c:v>88.06469</c:v>
                </c:pt>
                <c:pt idx="4640">
                  <c:v>88.06423</c:v>
                </c:pt>
                <c:pt idx="4641">
                  <c:v>88.06348</c:v>
                </c:pt>
                <c:pt idx="4642">
                  <c:v>88.06227000000001</c:v>
                </c:pt>
                <c:pt idx="4643">
                  <c:v>88.06118</c:v>
                </c:pt>
                <c:pt idx="4644">
                  <c:v>88.06084</c:v>
                </c:pt>
                <c:pt idx="4645">
                  <c:v>88.06055</c:v>
                </c:pt>
                <c:pt idx="4646">
                  <c:v>88.06032</c:v>
                </c:pt>
                <c:pt idx="4647">
                  <c:v>88.0602</c:v>
                </c:pt>
                <c:pt idx="4648">
                  <c:v>88.06003000000001</c:v>
                </c:pt>
                <c:pt idx="4649">
                  <c:v>88.05917</c:v>
                </c:pt>
                <c:pt idx="4650">
                  <c:v>88.05842</c:v>
                </c:pt>
                <c:pt idx="4651">
                  <c:v>88.05777999999998</c:v>
                </c:pt>
                <c:pt idx="4652">
                  <c:v>88.05686</c:v>
                </c:pt>
                <c:pt idx="4653">
                  <c:v>88.05629</c:v>
                </c:pt>
                <c:pt idx="4654">
                  <c:v>88.0556</c:v>
                </c:pt>
                <c:pt idx="4655">
                  <c:v>88.05513999999998</c:v>
                </c:pt>
                <c:pt idx="4656">
                  <c:v>88.05456</c:v>
                </c:pt>
                <c:pt idx="4657">
                  <c:v>88.05404</c:v>
                </c:pt>
                <c:pt idx="4658">
                  <c:v>88.05347</c:v>
                </c:pt>
                <c:pt idx="4659">
                  <c:v>88.05266</c:v>
                </c:pt>
                <c:pt idx="4660">
                  <c:v>88.05208999999998</c:v>
                </c:pt>
                <c:pt idx="4661">
                  <c:v>88.05151</c:v>
                </c:pt>
                <c:pt idx="4662">
                  <c:v>88.05075999999998</c:v>
                </c:pt>
                <c:pt idx="4663">
                  <c:v>88.05024</c:v>
                </c:pt>
                <c:pt idx="4664">
                  <c:v>88.04927</c:v>
                </c:pt>
                <c:pt idx="4665">
                  <c:v>88.04852</c:v>
                </c:pt>
                <c:pt idx="4666">
                  <c:v>88.04817000000001</c:v>
                </c:pt>
                <c:pt idx="4667">
                  <c:v>88.04765</c:v>
                </c:pt>
                <c:pt idx="4668">
                  <c:v>88.04679</c:v>
                </c:pt>
                <c:pt idx="4669">
                  <c:v>88.04633000000001</c:v>
                </c:pt>
                <c:pt idx="4670">
                  <c:v>88.04604</c:v>
                </c:pt>
                <c:pt idx="4671">
                  <c:v>88.04552</c:v>
                </c:pt>
                <c:pt idx="4672">
                  <c:v>88.04501</c:v>
                </c:pt>
                <c:pt idx="4673">
                  <c:v>88.04443</c:v>
                </c:pt>
                <c:pt idx="4674">
                  <c:v>88.04374</c:v>
                </c:pt>
                <c:pt idx="4675">
                  <c:v>88.04305</c:v>
                </c:pt>
                <c:pt idx="4676">
                  <c:v>88.04247</c:v>
                </c:pt>
                <c:pt idx="4677">
                  <c:v>88.04196</c:v>
                </c:pt>
                <c:pt idx="4678">
                  <c:v>88.04126</c:v>
                </c:pt>
                <c:pt idx="4679">
                  <c:v>88.04052</c:v>
                </c:pt>
                <c:pt idx="4680">
                  <c:v>88.03987999999998</c:v>
                </c:pt>
                <c:pt idx="4681">
                  <c:v>88.03937</c:v>
                </c:pt>
                <c:pt idx="4682">
                  <c:v>88.03878999999995</c:v>
                </c:pt>
                <c:pt idx="4683">
                  <c:v>88.03798</c:v>
                </c:pt>
                <c:pt idx="4684">
                  <c:v>88.03735</c:v>
                </c:pt>
                <c:pt idx="4685">
                  <c:v>88.03676999999997</c:v>
                </c:pt>
                <c:pt idx="4686">
                  <c:v>88.0362</c:v>
                </c:pt>
                <c:pt idx="4687">
                  <c:v>88.03557</c:v>
                </c:pt>
                <c:pt idx="4688">
                  <c:v>88.03482</c:v>
                </c:pt>
                <c:pt idx="4689">
                  <c:v>88.0343</c:v>
                </c:pt>
                <c:pt idx="4690">
                  <c:v>88.0339</c:v>
                </c:pt>
                <c:pt idx="4691">
                  <c:v>88.03332</c:v>
                </c:pt>
                <c:pt idx="4692">
                  <c:v>88.03269</c:v>
                </c:pt>
                <c:pt idx="4693">
                  <c:v>88.03233999999995</c:v>
                </c:pt>
                <c:pt idx="4694">
                  <c:v>88.03194</c:v>
                </c:pt>
                <c:pt idx="4695">
                  <c:v>88.03154</c:v>
                </c:pt>
                <c:pt idx="4696">
                  <c:v>88.03078999999998</c:v>
                </c:pt>
                <c:pt idx="4697">
                  <c:v>88.03033</c:v>
                </c:pt>
                <c:pt idx="4698">
                  <c:v>88.02964</c:v>
                </c:pt>
                <c:pt idx="4699">
                  <c:v>88.02912</c:v>
                </c:pt>
                <c:pt idx="4700">
                  <c:v>88.02859999999998</c:v>
                </c:pt>
                <c:pt idx="4701">
                  <c:v>88.02797</c:v>
                </c:pt>
                <c:pt idx="4702">
                  <c:v>88.02751</c:v>
                </c:pt>
                <c:pt idx="4703">
                  <c:v>88.02699</c:v>
                </c:pt>
                <c:pt idx="4704">
                  <c:v>88.0263</c:v>
                </c:pt>
                <c:pt idx="4705">
                  <c:v>88.02571999999998</c:v>
                </c:pt>
                <c:pt idx="4706">
                  <c:v>88.02514999999998</c:v>
                </c:pt>
                <c:pt idx="4707">
                  <c:v>88.02433999999998</c:v>
                </c:pt>
                <c:pt idx="4708">
                  <c:v>88.02353999999998</c:v>
                </c:pt>
                <c:pt idx="4709">
                  <c:v>88.02267</c:v>
                </c:pt>
                <c:pt idx="4710">
                  <c:v>88.02221</c:v>
                </c:pt>
                <c:pt idx="4711">
                  <c:v>88.02214999999998</c:v>
                </c:pt>
                <c:pt idx="4712">
                  <c:v>88.02181</c:v>
                </c:pt>
                <c:pt idx="4713">
                  <c:v>88.02118</c:v>
                </c:pt>
                <c:pt idx="4714">
                  <c:v>88.01997</c:v>
                </c:pt>
                <c:pt idx="4715">
                  <c:v>88.01864</c:v>
                </c:pt>
                <c:pt idx="4716">
                  <c:v>88.01818</c:v>
                </c:pt>
                <c:pt idx="4717">
                  <c:v>88.01807</c:v>
                </c:pt>
                <c:pt idx="4718">
                  <c:v>88.01772</c:v>
                </c:pt>
                <c:pt idx="4719">
                  <c:v>88.01715</c:v>
                </c:pt>
                <c:pt idx="4720">
                  <c:v>88.01634</c:v>
                </c:pt>
                <c:pt idx="4721">
                  <c:v>88.01628</c:v>
                </c:pt>
                <c:pt idx="4722">
                  <c:v>88.01634</c:v>
                </c:pt>
                <c:pt idx="4723">
                  <c:v>88.01605</c:v>
                </c:pt>
                <c:pt idx="4724">
                  <c:v>88.01542</c:v>
                </c:pt>
                <c:pt idx="4725">
                  <c:v>88.01461</c:v>
                </c:pt>
                <c:pt idx="4726">
                  <c:v>88.01358</c:v>
                </c:pt>
                <c:pt idx="4727">
                  <c:v>88.0126</c:v>
                </c:pt>
                <c:pt idx="4728">
                  <c:v>88.01174</c:v>
                </c:pt>
                <c:pt idx="4729">
                  <c:v>88.01064</c:v>
                </c:pt>
                <c:pt idx="4730">
                  <c:v>88.01012</c:v>
                </c:pt>
                <c:pt idx="4731">
                  <c:v>88.00995</c:v>
                </c:pt>
                <c:pt idx="4732">
                  <c:v>88.00955</c:v>
                </c:pt>
                <c:pt idx="4733">
                  <c:v>88.00886</c:v>
                </c:pt>
                <c:pt idx="4734">
                  <c:v>88.00804999999998</c:v>
                </c:pt>
                <c:pt idx="4735">
                  <c:v>88.00799</c:v>
                </c:pt>
                <c:pt idx="4736">
                  <c:v>88.00788</c:v>
                </c:pt>
                <c:pt idx="4737">
                  <c:v>88.00748</c:v>
                </c:pt>
                <c:pt idx="4738">
                  <c:v>88.00696</c:v>
                </c:pt>
                <c:pt idx="4739">
                  <c:v>88.00604</c:v>
                </c:pt>
                <c:pt idx="4740">
                  <c:v>88.00517</c:v>
                </c:pt>
                <c:pt idx="4741">
                  <c:v>88.0046</c:v>
                </c:pt>
                <c:pt idx="4742">
                  <c:v>88.00414</c:v>
                </c:pt>
                <c:pt idx="4743">
                  <c:v>88.00378999999998</c:v>
                </c:pt>
                <c:pt idx="4744">
                  <c:v>88.00298999999998</c:v>
                </c:pt>
                <c:pt idx="4745">
                  <c:v>88.00253</c:v>
                </c:pt>
                <c:pt idx="4746">
                  <c:v>88.0016</c:v>
                </c:pt>
                <c:pt idx="4747">
                  <c:v>88.00068</c:v>
                </c:pt>
                <c:pt idx="4748">
                  <c:v>87.99994</c:v>
                </c:pt>
                <c:pt idx="4749">
                  <c:v>87.99919</c:v>
                </c:pt>
                <c:pt idx="4750">
                  <c:v>87.99844</c:v>
                </c:pt>
                <c:pt idx="4751">
                  <c:v>87.99804</c:v>
                </c:pt>
                <c:pt idx="4752">
                  <c:v>87.99758</c:v>
                </c:pt>
                <c:pt idx="4753">
                  <c:v>87.99712</c:v>
                </c:pt>
                <c:pt idx="4754">
                  <c:v>87.99654</c:v>
                </c:pt>
                <c:pt idx="4755">
                  <c:v>87.99573</c:v>
                </c:pt>
                <c:pt idx="4756">
                  <c:v>87.99487</c:v>
                </c:pt>
                <c:pt idx="4757">
                  <c:v>87.99441</c:v>
                </c:pt>
                <c:pt idx="4758">
                  <c:v>87.99401</c:v>
                </c:pt>
                <c:pt idx="4759">
                  <c:v>87.99228</c:v>
                </c:pt>
                <c:pt idx="4760">
                  <c:v>87.99113000000002</c:v>
                </c:pt>
                <c:pt idx="4761">
                  <c:v>87.99038</c:v>
                </c:pt>
                <c:pt idx="4762">
                  <c:v>87.99009</c:v>
                </c:pt>
                <c:pt idx="4763">
                  <c:v>87.99015</c:v>
                </c:pt>
                <c:pt idx="4764">
                  <c:v>87.9898</c:v>
                </c:pt>
                <c:pt idx="4765">
                  <c:v>87.98952</c:v>
                </c:pt>
                <c:pt idx="4766">
                  <c:v>87.98917</c:v>
                </c:pt>
                <c:pt idx="4767">
                  <c:v>87.98876999999997</c:v>
                </c:pt>
                <c:pt idx="4768">
                  <c:v>87.98785</c:v>
                </c:pt>
                <c:pt idx="4769">
                  <c:v>87.98704</c:v>
                </c:pt>
                <c:pt idx="4770">
                  <c:v>87.98595</c:v>
                </c:pt>
                <c:pt idx="4771">
                  <c:v>87.98549</c:v>
                </c:pt>
                <c:pt idx="4772">
                  <c:v>87.9852</c:v>
                </c:pt>
                <c:pt idx="4773">
                  <c:v>87.98514</c:v>
                </c:pt>
                <c:pt idx="4774">
                  <c:v>87.98474</c:v>
                </c:pt>
                <c:pt idx="4775">
                  <c:v>87.98439</c:v>
                </c:pt>
                <c:pt idx="4776">
                  <c:v>87.98365</c:v>
                </c:pt>
                <c:pt idx="4777">
                  <c:v>87.98267000000001</c:v>
                </c:pt>
                <c:pt idx="4778">
                  <c:v>87.98163</c:v>
                </c:pt>
                <c:pt idx="4779">
                  <c:v>87.98088</c:v>
                </c:pt>
                <c:pt idx="4780">
                  <c:v>87.9799</c:v>
                </c:pt>
                <c:pt idx="4781">
                  <c:v>87.97897999999998</c:v>
                </c:pt>
                <c:pt idx="4782">
                  <c:v>87.97834999999998</c:v>
                </c:pt>
                <c:pt idx="4783">
                  <c:v>87.97789</c:v>
                </c:pt>
                <c:pt idx="4784">
                  <c:v>87.97772</c:v>
                </c:pt>
                <c:pt idx="4785">
                  <c:v>87.97714</c:v>
                </c:pt>
                <c:pt idx="4786">
                  <c:v>87.97662</c:v>
                </c:pt>
                <c:pt idx="4787">
                  <c:v>87.97638999999998</c:v>
                </c:pt>
                <c:pt idx="4788">
                  <c:v>87.97598999999998</c:v>
                </c:pt>
                <c:pt idx="4789">
                  <c:v>87.97535999999998</c:v>
                </c:pt>
                <c:pt idx="4790">
                  <c:v>87.97500999999998</c:v>
                </c:pt>
                <c:pt idx="4791">
                  <c:v>87.97444</c:v>
                </c:pt>
                <c:pt idx="4792">
                  <c:v>87.97374999999998</c:v>
                </c:pt>
                <c:pt idx="4793">
                  <c:v>87.97287999999975</c:v>
                </c:pt>
                <c:pt idx="4794">
                  <c:v>87.97225</c:v>
                </c:pt>
                <c:pt idx="4795">
                  <c:v>87.97156</c:v>
                </c:pt>
                <c:pt idx="4796">
                  <c:v>87.97097999999998</c:v>
                </c:pt>
                <c:pt idx="4797">
                  <c:v>87.97041</c:v>
                </c:pt>
                <c:pt idx="4798">
                  <c:v>87.97012</c:v>
                </c:pt>
                <c:pt idx="4799">
                  <c:v>87.9696</c:v>
                </c:pt>
                <c:pt idx="4800">
                  <c:v>87.96914</c:v>
                </c:pt>
                <c:pt idx="4801">
                  <c:v>87.96868</c:v>
                </c:pt>
                <c:pt idx="4802">
                  <c:v>87.96833</c:v>
                </c:pt>
                <c:pt idx="4803">
                  <c:v>87.9681</c:v>
                </c:pt>
                <c:pt idx="4804">
                  <c:v>87.96759</c:v>
                </c:pt>
                <c:pt idx="4805">
                  <c:v>87.96695</c:v>
                </c:pt>
                <c:pt idx="4806">
                  <c:v>87.96615</c:v>
                </c:pt>
                <c:pt idx="4807">
                  <c:v>87.96523</c:v>
                </c:pt>
                <c:pt idx="4808">
                  <c:v>87.96477</c:v>
                </c:pt>
                <c:pt idx="4809">
                  <c:v>87.96442</c:v>
                </c:pt>
                <c:pt idx="4810">
                  <c:v>87.96402</c:v>
                </c:pt>
                <c:pt idx="4811">
                  <c:v>87.96367</c:v>
                </c:pt>
                <c:pt idx="4812">
                  <c:v>87.96298</c:v>
                </c:pt>
                <c:pt idx="4813">
                  <c:v>87.96241</c:v>
                </c:pt>
                <c:pt idx="4814">
                  <c:v>87.96218</c:v>
                </c:pt>
                <c:pt idx="4815">
                  <c:v>87.9616</c:v>
                </c:pt>
                <c:pt idx="4816">
                  <c:v>87.96085</c:v>
                </c:pt>
                <c:pt idx="4817">
                  <c:v>87.96028</c:v>
                </c:pt>
                <c:pt idx="4818">
                  <c:v>87.95958</c:v>
                </c:pt>
                <c:pt idx="4819">
                  <c:v>87.95861</c:v>
                </c:pt>
                <c:pt idx="4820">
                  <c:v>87.9582</c:v>
                </c:pt>
                <c:pt idx="4821">
                  <c:v>87.9578</c:v>
                </c:pt>
                <c:pt idx="4822">
                  <c:v>87.95751</c:v>
                </c:pt>
                <c:pt idx="4823">
                  <c:v>87.95728</c:v>
                </c:pt>
                <c:pt idx="4824">
                  <c:v>87.95665</c:v>
                </c:pt>
                <c:pt idx="4825">
                  <c:v>87.95613</c:v>
                </c:pt>
                <c:pt idx="4826">
                  <c:v>87.95532999999997</c:v>
                </c:pt>
                <c:pt idx="4827">
                  <c:v>87.95435</c:v>
                </c:pt>
                <c:pt idx="4828">
                  <c:v>87.95348</c:v>
                </c:pt>
                <c:pt idx="4829">
                  <c:v>87.95348</c:v>
                </c:pt>
                <c:pt idx="4830">
                  <c:v>87.95429</c:v>
                </c:pt>
                <c:pt idx="4831">
                  <c:v>87.95417</c:v>
                </c:pt>
                <c:pt idx="4832">
                  <c:v>87.9536</c:v>
                </c:pt>
                <c:pt idx="4833">
                  <c:v>87.95262</c:v>
                </c:pt>
                <c:pt idx="4834">
                  <c:v>87.95181</c:v>
                </c:pt>
                <c:pt idx="4835">
                  <c:v>87.95187</c:v>
                </c:pt>
                <c:pt idx="4836">
                  <c:v>87.95084</c:v>
                </c:pt>
                <c:pt idx="4837">
                  <c:v>87.94951</c:v>
                </c:pt>
                <c:pt idx="4838">
                  <c:v>87.94871</c:v>
                </c:pt>
                <c:pt idx="4839">
                  <c:v>87.94807</c:v>
                </c:pt>
                <c:pt idx="4840">
                  <c:v>87.94773</c:v>
                </c:pt>
                <c:pt idx="4841">
                  <c:v>87.94732</c:v>
                </c:pt>
                <c:pt idx="4842">
                  <c:v>87.94692</c:v>
                </c:pt>
                <c:pt idx="4843">
                  <c:v>87.94635</c:v>
                </c:pt>
                <c:pt idx="4844">
                  <c:v>87.94548</c:v>
                </c:pt>
                <c:pt idx="4845">
                  <c:v>87.94462</c:v>
                </c:pt>
                <c:pt idx="4846">
                  <c:v>87.94404</c:v>
                </c:pt>
                <c:pt idx="4847">
                  <c:v>87.94364</c:v>
                </c:pt>
                <c:pt idx="4848">
                  <c:v>87.94301</c:v>
                </c:pt>
                <c:pt idx="4849">
                  <c:v>87.94272</c:v>
                </c:pt>
                <c:pt idx="4850">
                  <c:v>87.94272</c:v>
                </c:pt>
                <c:pt idx="4851">
                  <c:v>87.94249</c:v>
                </c:pt>
                <c:pt idx="4852">
                  <c:v>87.94186</c:v>
                </c:pt>
                <c:pt idx="4853">
                  <c:v>87.94151</c:v>
                </c:pt>
                <c:pt idx="4854">
                  <c:v>87.94122</c:v>
                </c:pt>
                <c:pt idx="4855">
                  <c:v>87.93996</c:v>
                </c:pt>
                <c:pt idx="4856">
                  <c:v>87.93915</c:v>
                </c:pt>
                <c:pt idx="4857">
                  <c:v>87.93875</c:v>
                </c:pt>
                <c:pt idx="4858">
                  <c:v>87.93858</c:v>
                </c:pt>
                <c:pt idx="4859">
                  <c:v>87.93829</c:v>
                </c:pt>
                <c:pt idx="4860">
                  <c:v>87.93765</c:v>
                </c:pt>
                <c:pt idx="4861">
                  <c:v>87.93731</c:v>
                </c:pt>
                <c:pt idx="4862">
                  <c:v>87.93702</c:v>
                </c:pt>
                <c:pt idx="4863">
                  <c:v>87.93645</c:v>
                </c:pt>
                <c:pt idx="4864">
                  <c:v>87.93575</c:v>
                </c:pt>
                <c:pt idx="4865">
                  <c:v>87.93541</c:v>
                </c:pt>
                <c:pt idx="4866">
                  <c:v>87.93501</c:v>
                </c:pt>
                <c:pt idx="4867">
                  <c:v>87.9346</c:v>
                </c:pt>
                <c:pt idx="4868">
                  <c:v>87.93385</c:v>
                </c:pt>
                <c:pt idx="4869">
                  <c:v>87.93334</c:v>
                </c:pt>
                <c:pt idx="4870">
                  <c:v>87.93259</c:v>
                </c:pt>
                <c:pt idx="4871">
                  <c:v>87.93155</c:v>
                </c:pt>
                <c:pt idx="4872">
                  <c:v>87.93184</c:v>
                </c:pt>
                <c:pt idx="4873">
                  <c:v>87.93144</c:v>
                </c:pt>
                <c:pt idx="4874">
                  <c:v>87.93086</c:v>
                </c:pt>
                <c:pt idx="4875">
                  <c:v>87.93011</c:v>
                </c:pt>
                <c:pt idx="4876">
                  <c:v>87.92931</c:v>
                </c:pt>
                <c:pt idx="4877">
                  <c:v>87.92856</c:v>
                </c:pt>
                <c:pt idx="4878">
                  <c:v>87.9281</c:v>
                </c:pt>
                <c:pt idx="4879">
                  <c:v>87.9277</c:v>
                </c:pt>
                <c:pt idx="4880">
                  <c:v>87.92666</c:v>
                </c:pt>
                <c:pt idx="4881">
                  <c:v>87.9262</c:v>
                </c:pt>
                <c:pt idx="4882">
                  <c:v>87.92603</c:v>
                </c:pt>
                <c:pt idx="4883">
                  <c:v>87.92557</c:v>
                </c:pt>
                <c:pt idx="4884">
                  <c:v>87.92511</c:v>
                </c:pt>
                <c:pt idx="4885">
                  <c:v>87.92447000000001</c:v>
                </c:pt>
                <c:pt idx="4886">
                  <c:v>87.9239</c:v>
                </c:pt>
                <c:pt idx="4887">
                  <c:v>87.92337999999998</c:v>
                </c:pt>
                <c:pt idx="4888">
                  <c:v>87.92257</c:v>
                </c:pt>
                <c:pt idx="4889">
                  <c:v>87.92177</c:v>
                </c:pt>
                <c:pt idx="4890">
                  <c:v>87.92142</c:v>
                </c:pt>
                <c:pt idx="4891">
                  <c:v>87.92125</c:v>
                </c:pt>
                <c:pt idx="4892">
                  <c:v>87.92108</c:v>
                </c:pt>
                <c:pt idx="4893">
                  <c:v>87.9205</c:v>
                </c:pt>
                <c:pt idx="4894">
                  <c:v>87.91935</c:v>
                </c:pt>
                <c:pt idx="4895">
                  <c:v>87.91837</c:v>
                </c:pt>
                <c:pt idx="4896">
                  <c:v>87.91791</c:v>
                </c:pt>
                <c:pt idx="4897">
                  <c:v>87.91745</c:v>
                </c:pt>
                <c:pt idx="4898">
                  <c:v>87.91693</c:v>
                </c:pt>
                <c:pt idx="4899">
                  <c:v>87.91676</c:v>
                </c:pt>
                <c:pt idx="4900">
                  <c:v>87.91664</c:v>
                </c:pt>
                <c:pt idx="4901">
                  <c:v>87.91653</c:v>
                </c:pt>
                <c:pt idx="4902">
                  <c:v>87.91595</c:v>
                </c:pt>
                <c:pt idx="4903">
                  <c:v>87.91515</c:v>
                </c:pt>
                <c:pt idx="4904">
                  <c:v>87.91411</c:v>
                </c:pt>
                <c:pt idx="4905">
                  <c:v>87.91348</c:v>
                </c:pt>
                <c:pt idx="4906">
                  <c:v>87.91319</c:v>
                </c:pt>
                <c:pt idx="4907">
                  <c:v>87.91273</c:v>
                </c:pt>
                <c:pt idx="4908">
                  <c:v>87.91227</c:v>
                </c:pt>
                <c:pt idx="4909">
                  <c:v>87.91221</c:v>
                </c:pt>
                <c:pt idx="4910">
                  <c:v>87.91146</c:v>
                </c:pt>
                <c:pt idx="4911">
                  <c:v>87.91025</c:v>
                </c:pt>
                <c:pt idx="4912">
                  <c:v>87.90974</c:v>
                </c:pt>
                <c:pt idx="4913">
                  <c:v>87.90916</c:v>
                </c:pt>
                <c:pt idx="4914">
                  <c:v>87.90836</c:v>
                </c:pt>
                <c:pt idx="4915">
                  <c:v>87.90778</c:v>
                </c:pt>
                <c:pt idx="4916">
                  <c:v>87.90755</c:v>
                </c:pt>
                <c:pt idx="4917">
                  <c:v>87.90732</c:v>
                </c:pt>
                <c:pt idx="4918">
                  <c:v>87.90651</c:v>
                </c:pt>
                <c:pt idx="4919">
                  <c:v>87.90628</c:v>
                </c:pt>
                <c:pt idx="4920">
                  <c:v>87.90582</c:v>
                </c:pt>
                <c:pt idx="4921">
                  <c:v>87.90536</c:v>
                </c:pt>
                <c:pt idx="4922">
                  <c:v>87.90513</c:v>
                </c:pt>
                <c:pt idx="4923">
                  <c:v>87.90553000000001</c:v>
                </c:pt>
                <c:pt idx="4924">
                  <c:v>87.90547999999998</c:v>
                </c:pt>
                <c:pt idx="4925">
                  <c:v>87.90467</c:v>
                </c:pt>
                <c:pt idx="4926">
                  <c:v>87.90381</c:v>
                </c:pt>
                <c:pt idx="4927">
                  <c:v>87.90294</c:v>
                </c:pt>
                <c:pt idx="4928">
                  <c:v>87.90225</c:v>
                </c:pt>
                <c:pt idx="4929">
                  <c:v>87.90133</c:v>
                </c:pt>
                <c:pt idx="4930">
                  <c:v>87.90087000000001</c:v>
                </c:pt>
                <c:pt idx="4931">
                  <c:v>87.90053</c:v>
                </c:pt>
                <c:pt idx="4932">
                  <c:v>87.89984</c:v>
                </c:pt>
                <c:pt idx="4933">
                  <c:v>87.89909</c:v>
                </c:pt>
                <c:pt idx="4934">
                  <c:v>87.89863</c:v>
                </c:pt>
                <c:pt idx="4935">
                  <c:v>87.89799</c:v>
                </c:pt>
                <c:pt idx="4936">
                  <c:v>87.89776</c:v>
                </c:pt>
                <c:pt idx="4937">
                  <c:v>87.89765</c:v>
                </c:pt>
                <c:pt idx="4938">
                  <c:v>87.8969</c:v>
                </c:pt>
                <c:pt idx="4939">
                  <c:v>87.89609</c:v>
                </c:pt>
                <c:pt idx="4940">
                  <c:v>87.89563</c:v>
                </c:pt>
                <c:pt idx="4941">
                  <c:v>87.89506</c:v>
                </c:pt>
                <c:pt idx="4942">
                  <c:v>87.89437</c:v>
                </c:pt>
                <c:pt idx="4943">
                  <c:v>87.89385</c:v>
                </c:pt>
                <c:pt idx="4944">
                  <c:v>87.89356</c:v>
                </c:pt>
                <c:pt idx="4945">
                  <c:v>87.89356</c:v>
                </c:pt>
                <c:pt idx="4946">
                  <c:v>87.89385</c:v>
                </c:pt>
                <c:pt idx="4947">
                  <c:v>87.89368</c:v>
                </c:pt>
                <c:pt idx="4948">
                  <c:v>87.8935</c:v>
                </c:pt>
                <c:pt idx="4949">
                  <c:v>87.89333</c:v>
                </c:pt>
                <c:pt idx="4950">
                  <c:v>87.89286999999997</c:v>
                </c:pt>
                <c:pt idx="4951">
                  <c:v>87.89177999999998</c:v>
                </c:pt>
                <c:pt idx="4952">
                  <c:v>87.89057</c:v>
                </c:pt>
                <c:pt idx="4953">
                  <c:v>87.88947999999998</c:v>
                </c:pt>
                <c:pt idx="4954">
                  <c:v>87.88867</c:v>
                </c:pt>
                <c:pt idx="4955">
                  <c:v>87.88821</c:v>
                </c:pt>
                <c:pt idx="4956">
                  <c:v>87.88798</c:v>
                </c:pt>
                <c:pt idx="4957">
                  <c:v>87.88774999999998</c:v>
                </c:pt>
                <c:pt idx="4958">
                  <c:v>87.88717000000001</c:v>
                </c:pt>
                <c:pt idx="4959">
                  <c:v>87.88665</c:v>
                </c:pt>
                <c:pt idx="4960">
                  <c:v>87.88602</c:v>
                </c:pt>
                <c:pt idx="4961">
                  <c:v>87.88625</c:v>
                </c:pt>
                <c:pt idx="4962">
                  <c:v>87.8866</c:v>
                </c:pt>
                <c:pt idx="4963">
                  <c:v>87.88653999999998</c:v>
                </c:pt>
                <c:pt idx="4964">
                  <c:v>87.8866</c:v>
                </c:pt>
                <c:pt idx="4965">
                  <c:v>87.88687999999995</c:v>
                </c:pt>
                <c:pt idx="4966">
                  <c:v>87.88670999999998</c:v>
                </c:pt>
                <c:pt idx="4967">
                  <c:v>87.88665</c:v>
                </c:pt>
                <c:pt idx="4968">
                  <c:v>87.88590999999998</c:v>
                </c:pt>
                <c:pt idx="4969">
                  <c:v>87.88487</c:v>
                </c:pt>
                <c:pt idx="4970">
                  <c:v>87.88424</c:v>
                </c:pt>
                <c:pt idx="4971">
                  <c:v>87.88366</c:v>
                </c:pt>
                <c:pt idx="4972">
                  <c:v>87.88326</c:v>
                </c:pt>
                <c:pt idx="4973">
                  <c:v>87.88250999999998</c:v>
                </c:pt>
                <c:pt idx="4974">
                  <c:v>87.88176</c:v>
                </c:pt>
                <c:pt idx="4975">
                  <c:v>87.88107</c:v>
                </c:pt>
                <c:pt idx="4976">
                  <c:v>87.88037999999958</c:v>
                </c:pt>
                <c:pt idx="4977">
                  <c:v>87.88032</c:v>
                </c:pt>
                <c:pt idx="4978">
                  <c:v>87.87992</c:v>
                </c:pt>
                <c:pt idx="4979">
                  <c:v>87.87923</c:v>
                </c:pt>
                <c:pt idx="4980">
                  <c:v>87.87882999999998</c:v>
                </c:pt>
                <c:pt idx="4981">
                  <c:v>87.87824999999998</c:v>
                </c:pt>
                <c:pt idx="4982">
                  <c:v>87.87784999999998</c:v>
                </c:pt>
                <c:pt idx="4983">
                  <c:v>87.87743999999998</c:v>
                </c:pt>
                <c:pt idx="4984">
                  <c:v>87.87669999999998</c:v>
                </c:pt>
                <c:pt idx="4985">
                  <c:v>87.87605999999998</c:v>
                </c:pt>
                <c:pt idx="4986">
                  <c:v>87.87571999999948</c:v>
                </c:pt>
                <c:pt idx="4987">
                  <c:v>87.87531999999958</c:v>
                </c:pt>
                <c:pt idx="4988">
                  <c:v>87.87462</c:v>
                </c:pt>
                <c:pt idx="4989">
                  <c:v>87.87411</c:v>
                </c:pt>
                <c:pt idx="4990">
                  <c:v>87.87358999999998</c:v>
                </c:pt>
                <c:pt idx="4991">
                  <c:v>87.87323999999998</c:v>
                </c:pt>
                <c:pt idx="4992">
                  <c:v>87.87266999999998</c:v>
                </c:pt>
                <c:pt idx="4993">
                  <c:v>87.87192</c:v>
                </c:pt>
                <c:pt idx="4994">
                  <c:v>87.87123</c:v>
                </c:pt>
                <c:pt idx="4995">
                  <c:v>87.87041999999998</c:v>
                </c:pt>
                <c:pt idx="4996">
                  <c:v>87.8699</c:v>
                </c:pt>
                <c:pt idx="4997">
                  <c:v>87.86927</c:v>
                </c:pt>
                <c:pt idx="4998">
                  <c:v>87.86893</c:v>
                </c:pt>
                <c:pt idx="4999">
                  <c:v>87.86857999999998</c:v>
                </c:pt>
                <c:pt idx="5000">
                  <c:v>87.86749</c:v>
                </c:pt>
                <c:pt idx="5001">
                  <c:v>87.86703</c:v>
                </c:pt>
                <c:pt idx="5002">
                  <c:v>87.8668</c:v>
                </c:pt>
                <c:pt idx="5003">
                  <c:v>87.86638999999998</c:v>
                </c:pt>
                <c:pt idx="5004">
                  <c:v>87.86605</c:v>
                </c:pt>
                <c:pt idx="5005">
                  <c:v>87.8653</c:v>
                </c:pt>
                <c:pt idx="5006">
                  <c:v>87.86449</c:v>
                </c:pt>
                <c:pt idx="5007">
                  <c:v>87.86374999999998</c:v>
                </c:pt>
                <c:pt idx="5008">
                  <c:v>87.86323</c:v>
                </c:pt>
                <c:pt idx="5009">
                  <c:v>87.86317</c:v>
                </c:pt>
                <c:pt idx="5010">
                  <c:v>87.86253999999998</c:v>
                </c:pt>
                <c:pt idx="5011">
                  <c:v>87.86162</c:v>
                </c:pt>
                <c:pt idx="5012">
                  <c:v>87.86092</c:v>
                </c:pt>
                <c:pt idx="5013">
                  <c:v>87.86023</c:v>
                </c:pt>
                <c:pt idx="5014">
                  <c:v>87.85988999999998</c:v>
                </c:pt>
                <c:pt idx="5015">
                  <c:v>87.85953999999998</c:v>
                </c:pt>
                <c:pt idx="5016">
                  <c:v>87.85896999999998</c:v>
                </c:pt>
                <c:pt idx="5017">
                  <c:v>87.85878999999925</c:v>
                </c:pt>
                <c:pt idx="5018">
                  <c:v>87.85832999999998</c:v>
                </c:pt>
                <c:pt idx="5019">
                  <c:v>87.8577</c:v>
                </c:pt>
                <c:pt idx="5020">
                  <c:v>87.85695</c:v>
                </c:pt>
                <c:pt idx="5021">
                  <c:v>87.8562</c:v>
                </c:pt>
                <c:pt idx="5022">
                  <c:v>87.85585999999998</c:v>
                </c:pt>
                <c:pt idx="5023">
                  <c:v>87.85533999999915</c:v>
                </c:pt>
                <c:pt idx="5024">
                  <c:v>87.85482</c:v>
                </c:pt>
                <c:pt idx="5025">
                  <c:v>87.85425</c:v>
                </c:pt>
                <c:pt idx="5026">
                  <c:v>87.85343999999998</c:v>
                </c:pt>
                <c:pt idx="5027">
                  <c:v>87.85274999999938</c:v>
                </c:pt>
                <c:pt idx="5028">
                  <c:v>87.85205999999998</c:v>
                </c:pt>
                <c:pt idx="5029">
                  <c:v>87.85131</c:v>
                </c:pt>
                <c:pt idx="5030">
                  <c:v>87.85091</c:v>
                </c:pt>
                <c:pt idx="5031">
                  <c:v>87.85004999999998</c:v>
                </c:pt>
                <c:pt idx="5032">
                  <c:v>87.84935</c:v>
                </c:pt>
                <c:pt idx="5033">
                  <c:v>87.84895</c:v>
                </c:pt>
                <c:pt idx="5034">
                  <c:v>87.84855</c:v>
                </c:pt>
                <c:pt idx="5035">
                  <c:v>87.84792</c:v>
                </c:pt>
                <c:pt idx="5036">
                  <c:v>87.84723</c:v>
                </c:pt>
                <c:pt idx="5037">
                  <c:v>87.84659</c:v>
                </c:pt>
                <c:pt idx="5038">
                  <c:v>87.84583999999998</c:v>
                </c:pt>
                <c:pt idx="5039">
                  <c:v>87.84527000000001</c:v>
                </c:pt>
                <c:pt idx="5040">
                  <c:v>87.84429</c:v>
                </c:pt>
                <c:pt idx="5041">
                  <c:v>87.84337</c:v>
                </c:pt>
                <c:pt idx="5042">
                  <c:v>87.84245</c:v>
                </c:pt>
                <c:pt idx="5043">
                  <c:v>87.84181</c:v>
                </c:pt>
                <c:pt idx="5044">
                  <c:v>87.84107</c:v>
                </c:pt>
                <c:pt idx="5045">
                  <c:v>87.84095</c:v>
                </c:pt>
                <c:pt idx="5046">
                  <c:v>87.84084</c:v>
                </c:pt>
                <c:pt idx="5047">
                  <c:v>87.84084</c:v>
                </c:pt>
                <c:pt idx="5048">
                  <c:v>87.84066</c:v>
                </c:pt>
                <c:pt idx="5049">
                  <c:v>87.8402</c:v>
                </c:pt>
                <c:pt idx="5050">
                  <c:v>87.83968</c:v>
                </c:pt>
                <c:pt idx="5051">
                  <c:v>87.83870999999998</c:v>
                </c:pt>
                <c:pt idx="5052">
                  <c:v>87.83755</c:v>
                </c:pt>
                <c:pt idx="5053">
                  <c:v>87.8364</c:v>
                </c:pt>
                <c:pt idx="5054">
                  <c:v>87.83542</c:v>
                </c:pt>
                <c:pt idx="5055">
                  <c:v>87.83479</c:v>
                </c:pt>
                <c:pt idx="5056">
                  <c:v>87.83445</c:v>
                </c:pt>
                <c:pt idx="5057">
                  <c:v>87.83387</c:v>
                </c:pt>
                <c:pt idx="5058">
                  <c:v>87.83312</c:v>
                </c:pt>
                <c:pt idx="5059">
                  <c:v>87.83242999999997</c:v>
                </c:pt>
                <c:pt idx="5060">
                  <c:v>87.83197000000001</c:v>
                </c:pt>
                <c:pt idx="5061">
                  <c:v>87.83122</c:v>
                </c:pt>
                <c:pt idx="5062">
                  <c:v>87.8303</c:v>
                </c:pt>
                <c:pt idx="5063">
                  <c:v>87.82937999999938</c:v>
                </c:pt>
                <c:pt idx="5064">
                  <c:v>87.82874999999925</c:v>
                </c:pt>
                <c:pt idx="5065">
                  <c:v>87.82783</c:v>
                </c:pt>
                <c:pt idx="5066">
                  <c:v>87.82696</c:v>
                </c:pt>
                <c:pt idx="5067">
                  <c:v>87.82609999999998</c:v>
                </c:pt>
                <c:pt idx="5068">
                  <c:v>87.82551999999998</c:v>
                </c:pt>
                <c:pt idx="5069">
                  <c:v>87.82488999999998</c:v>
                </c:pt>
                <c:pt idx="5070">
                  <c:v>87.82409</c:v>
                </c:pt>
                <c:pt idx="5071">
                  <c:v>87.82351</c:v>
                </c:pt>
                <c:pt idx="5072">
                  <c:v>87.82287999999915</c:v>
                </c:pt>
                <c:pt idx="5073">
                  <c:v>87.82212999999997</c:v>
                </c:pt>
                <c:pt idx="5074">
                  <c:v>87.82155</c:v>
                </c:pt>
                <c:pt idx="5075">
                  <c:v>87.82079999999995</c:v>
                </c:pt>
                <c:pt idx="5076">
                  <c:v>87.82017</c:v>
                </c:pt>
                <c:pt idx="5077">
                  <c:v>87.81948</c:v>
                </c:pt>
                <c:pt idx="5078">
                  <c:v>87.81885</c:v>
                </c:pt>
                <c:pt idx="5079">
                  <c:v>87.81798</c:v>
                </c:pt>
                <c:pt idx="5080">
                  <c:v>87.81747</c:v>
                </c:pt>
                <c:pt idx="5081">
                  <c:v>87.81683</c:v>
                </c:pt>
                <c:pt idx="5082">
                  <c:v>87.81614</c:v>
                </c:pt>
                <c:pt idx="5083">
                  <c:v>87.81557</c:v>
                </c:pt>
                <c:pt idx="5084">
                  <c:v>87.8147</c:v>
                </c:pt>
                <c:pt idx="5085">
                  <c:v>87.81401</c:v>
                </c:pt>
                <c:pt idx="5086">
                  <c:v>87.81332</c:v>
                </c:pt>
                <c:pt idx="5087">
                  <c:v>87.81257</c:v>
                </c:pt>
                <c:pt idx="5088">
                  <c:v>87.81194</c:v>
                </c:pt>
                <c:pt idx="5089">
                  <c:v>87.81119</c:v>
                </c:pt>
                <c:pt idx="5090">
                  <c:v>87.8105</c:v>
                </c:pt>
                <c:pt idx="5091">
                  <c:v>87.8101</c:v>
                </c:pt>
                <c:pt idx="5092">
                  <c:v>87.80952</c:v>
                </c:pt>
                <c:pt idx="5093">
                  <c:v>87.80888999999995</c:v>
                </c:pt>
                <c:pt idx="5094">
                  <c:v>87.80836999999998</c:v>
                </c:pt>
                <c:pt idx="5095">
                  <c:v>87.80813999999998</c:v>
                </c:pt>
                <c:pt idx="5096">
                  <c:v>87.8078</c:v>
                </c:pt>
                <c:pt idx="5097">
                  <c:v>87.80733</c:v>
                </c:pt>
                <c:pt idx="5098">
                  <c:v>87.80675999999998</c:v>
                </c:pt>
                <c:pt idx="5099">
                  <c:v>87.80641</c:v>
                </c:pt>
                <c:pt idx="5100">
                  <c:v>87.80554999999998</c:v>
                </c:pt>
                <c:pt idx="5101">
                  <c:v>87.80521</c:v>
                </c:pt>
                <c:pt idx="5102">
                  <c:v>87.80446</c:v>
                </c:pt>
                <c:pt idx="5103">
                  <c:v>87.80336</c:v>
                </c:pt>
                <c:pt idx="5104">
                  <c:v>87.80237999999925</c:v>
                </c:pt>
                <c:pt idx="5105">
                  <c:v>87.80175</c:v>
                </c:pt>
                <c:pt idx="5106">
                  <c:v>87.80118</c:v>
                </c:pt>
                <c:pt idx="5107">
                  <c:v>87.80043</c:v>
                </c:pt>
                <c:pt idx="5108">
                  <c:v>87.79962</c:v>
                </c:pt>
                <c:pt idx="5109">
                  <c:v>87.79864</c:v>
                </c:pt>
                <c:pt idx="5110">
                  <c:v>87.79726</c:v>
                </c:pt>
                <c:pt idx="5111">
                  <c:v>87.796</c:v>
                </c:pt>
                <c:pt idx="5112">
                  <c:v>87.79507</c:v>
                </c:pt>
                <c:pt idx="5113">
                  <c:v>87.7941</c:v>
                </c:pt>
                <c:pt idx="5114">
                  <c:v>87.793</c:v>
                </c:pt>
                <c:pt idx="5115">
                  <c:v>87.7922</c:v>
                </c:pt>
                <c:pt idx="5116">
                  <c:v>87.79179</c:v>
                </c:pt>
                <c:pt idx="5117">
                  <c:v>87.79151</c:v>
                </c:pt>
                <c:pt idx="5118">
                  <c:v>87.79133</c:v>
                </c:pt>
                <c:pt idx="5119">
                  <c:v>87.79047000000001</c:v>
                </c:pt>
                <c:pt idx="5120">
                  <c:v>87.78955</c:v>
                </c:pt>
                <c:pt idx="5121">
                  <c:v>87.78966</c:v>
                </c:pt>
                <c:pt idx="5122">
                  <c:v>87.78977999999998</c:v>
                </c:pt>
                <c:pt idx="5123">
                  <c:v>87.78903</c:v>
                </c:pt>
                <c:pt idx="5124">
                  <c:v>87.78828</c:v>
                </c:pt>
                <c:pt idx="5125">
                  <c:v>87.78736</c:v>
                </c:pt>
                <c:pt idx="5126">
                  <c:v>87.78592</c:v>
                </c:pt>
                <c:pt idx="5127">
                  <c:v>87.78396</c:v>
                </c:pt>
                <c:pt idx="5128">
                  <c:v>87.78212</c:v>
                </c:pt>
                <c:pt idx="5129">
                  <c:v>87.78149</c:v>
                </c:pt>
                <c:pt idx="5130">
                  <c:v>87.78086</c:v>
                </c:pt>
                <c:pt idx="5131">
                  <c:v>87.78017000000001</c:v>
                </c:pt>
                <c:pt idx="5132">
                  <c:v>87.78017000000001</c:v>
                </c:pt>
                <c:pt idx="5133">
                  <c:v>87.78033999999998</c:v>
                </c:pt>
                <c:pt idx="5134">
                  <c:v>87.78005</c:v>
                </c:pt>
                <c:pt idx="5135">
                  <c:v>87.77913</c:v>
                </c:pt>
                <c:pt idx="5136">
                  <c:v>87.77723</c:v>
                </c:pt>
                <c:pt idx="5137">
                  <c:v>87.77481</c:v>
                </c:pt>
                <c:pt idx="5138">
                  <c:v>87.77371999999998</c:v>
                </c:pt>
                <c:pt idx="5139">
                  <c:v>87.77481</c:v>
                </c:pt>
                <c:pt idx="5140">
                  <c:v>87.77619</c:v>
                </c:pt>
                <c:pt idx="5141">
                  <c:v>87.77590999999998</c:v>
                </c:pt>
                <c:pt idx="5142">
                  <c:v>87.77441</c:v>
                </c:pt>
                <c:pt idx="5143">
                  <c:v>87.77308999999998</c:v>
                </c:pt>
                <c:pt idx="5144">
                  <c:v>87.77147</c:v>
                </c:pt>
                <c:pt idx="5145">
                  <c:v>87.77027</c:v>
                </c:pt>
                <c:pt idx="5146">
                  <c:v>87.76952</c:v>
                </c:pt>
                <c:pt idx="5147">
                  <c:v>87.76911</c:v>
                </c:pt>
                <c:pt idx="5148">
                  <c:v>87.76837</c:v>
                </c:pt>
                <c:pt idx="5149">
                  <c:v>87.76773</c:v>
                </c:pt>
                <c:pt idx="5150">
                  <c:v>87.76704</c:v>
                </c:pt>
                <c:pt idx="5151">
                  <c:v>87.76698</c:v>
                </c:pt>
                <c:pt idx="5152">
                  <c:v>87.76773</c:v>
                </c:pt>
                <c:pt idx="5153">
                  <c:v>87.76819</c:v>
                </c:pt>
                <c:pt idx="5154">
                  <c:v>87.76693</c:v>
                </c:pt>
                <c:pt idx="5155">
                  <c:v>87.76532</c:v>
                </c:pt>
                <c:pt idx="5156">
                  <c:v>87.76399</c:v>
                </c:pt>
                <c:pt idx="5157">
                  <c:v>87.76342</c:v>
                </c:pt>
                <c:pt idx="5158">
                  <c:v>87.76237999999998</c:v>
                </c:pt>
                <c:pt idx="5159">
                  <c:v>87.76106</c:v>
                </c:pt>
              </c:numCache>
            </c:numRef>
          </c:yVal>
          <c:smooth val="1"/>
        </c:ser>
        <c:dLbls>
          <c:showLegendKey val="0"/>
          <c:showVal val="0"/>
          <c:showCatName val="0"/>
          <c:showSerName val="0"/>
          <c:showPercent val="0"/>
          <c:showBubbleSize val="0"/>
        </c:dLbls>
        <c:axId val="2129796552"/>
        <c:axId val="2129791192"/>
      </c:scatterChart>
      <c:valAx>
        <c:axId val="2129796552"/>
        <c:scaling>
          <c:orientation val="minMax"/>
        </c:scaling>
        <c:delete val="0"/>
        <c:axPos val="b"/>
        <c:title>
          <c:tx>
            <c:rich>
              <a:bodyPr/>
              <a:lstStyle/>
              <a:p>
                <a:pPr>
                  <a:defRPr b="0"/>
                </a:pPr>
                <a:r>
                  <a:rPr lang="en-US" b="0"/>
                  <a:t>Temperature (oC)</a:t>
                </a:r>
              </a:p>
            </c:rich>
          </c:tx>
          <c:overlay val="0"/>
        </c:title>
        <c:numFmt formatCode="General" sourceLinked="1"/>
        <c:majorTickMark val="out"/>
        <c:minorTickMark val="none"/>
        <c:tickLblPos val="nextTo"/>
        <c:crossAx val="2129791192"/>
        <c:crosses val="autoZero"/>
        <c:crossBetween val="midCat"/>
      </c:valAx>
      <c:valAx>
        <c:axId val="2129791192"/>
        <c:scaling>
          <c:orientation val="minMax"/>
          <c:max val="100.0"/>
          <c:min val="87.0"/>
        </c:scaling>
        <c:delete val="0"/>
        <c:axPos val="l"/>
        <c:title>
          <c:tx>
            <c:rich>
              <a:bodyPr rot="-5400000" vert="horz"/>
              <a:lstStyle/>
              <a:p>
                <a:pPr>
                  <a:defRPr b="0"/>
                </a:pPr>
                <a:r>
                  <a:rPr lang="en-US" b="0"/>
                  <a:t>Weight %</a:t>
                </a:r>
              </a:p>
            </c:rich>
          </c:tx>
          <c:overlay val="0"/>
        </c:title>
        <c:numFmt formatCode="General" sourceLinked="1"/>
        <c:majorTickMark val="out"/>
        <c:minorTickMark val="none"/>
        <c:tickLblPos val="nextTo"/>
        <c:crossAx val="2129796552"/>
        <c:crosses val="autoZero"/>
        <c:crossBetween val="midCat"/>
        <c:majorUnit val="1.0"/>
      </c:valAx>
      <c:spPr>
        <a:ln>
          <a:noFill/>
        </a:ln>
      </c:spPr>
    </c:plotArea>
    <c:legend>
      <c:legendPos val="r"/>
      <c:layout>
        <c:manualLayout>
          <c:xMode val="edge"/>
          <c:yMode val="edge"/>
          <c:x val="0.320098774635419"/>
          <c:y val="0.0381780738946093"/>
          <c:w val="0.573392349624936"/>
          <c:h val="0.137319065885995"/>
        </c:manualLayout>
      </c:layout>
      <c:overlay val="0"/>
    </c:legend>
    <c:plotVisOnly val="1"/>
    <c:dispBlanksAs val="gap"/>
    <c:showDLblsOverMax val="0"/>
  </c:chart>
  <c:spPr>
    <a:ln>
      <a:noFill/>
    </a:ln>
  </c:spPr>
  <c:txPr>
    <a:bodyPr/>
    <a:lstStyle/>
    <a:p>
      <a:pPr>
        <a:defRPr>
          <a:latin typeface="+mj-lt"/>
        </a:defRPr>
      </a:pPr>
      <a:endParaRPr lang="en-US"/>
    </a:p>
  </c:txPr>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0962162802566346"/>
          <c:y val="0.0230767067578091"/>
          <c:w val="0.821378317293672"/>
          <c:h val="0.817814119388923"/>
        </c:manualLayout>
      </c:layout>
      <c:scatterChart>
        <c:scatterStyle val="smoothMarker"/>
        <c:varyColors val="0"/>
        <c:ser>
          <c:idx val="0"/>
          <c:order val="0"/>
          <c:tx>
            <c:v>42 Day Cure</c:v>
          </c:tx>
          <c:spPr>
            <a:ln w="19050" cmpd="sng">
              <a:solidFill>
                <a:schemeClr val="tx1"/>
              </a:solidFill>
              <a:prstDash val="solid"/>
            </a:ln>
          </c:spPr>
          <c:marker>
            <c:symbol val="none"/>
          </c:marker>
          <c:xVal>
            <c:numRef>
              <c:f>[2]Sheet1!$A$6:$A$5166</c:f>
              <c:numCache>
                <c:formatCode>General</c:formatCode>
                <c:ptCount val="5161"/>
                <c:pt idx="0">
                  <c:v>28.069</c:v>
                </c:pt>
                <c:pt idx="1">
                  <c:v>28.658</c:v>
                </c:pt>
                <c:pt idx="2">
                  <c:v>29.285</c:v>
                </c:pt>
                <c:pt idx="3">
                  <c:v>29.931</c:v>
                </c:pt>
                <c:pt idx="4">
                  <c:v>30.572</c:v>
                </c:pt>
                <c:pt idx="5">
                  <c:v>31.188</c:v>
                </c:pt>
                <c:pt idx="6">
                  <c:v>31.783</c:v>
                </c:pt>
                <c:pt idx="7">
                  <c:v>32.348</c:v>
                </c:pt>
                <c:pt idx="8">
                  <c:v>32.885</c:v>
                </c:pt>
                <c:pt idx="9">
                  <c:v>33.39100000000001</c:v>
                </c:pt>
                <c:pt idx="10">
                  <c:v>33.865</c:v>
                </c:pt>
                <c:pt idx="11">
                  <c:v>34.305</c:v>
                </c:pt>
                <c:pt idx="12">
                  <c:v>34.72100000000001</c:v>
                </c:pt>
                <c:pt idx="13">
                  <c:v>35.124</c:v>
                </c:pt>
                <c:pt idx="14">
                  <c:v>35.511</c:v>
                </c:pt>
                <c:pt idx="15">
                  <c:v>35.887</c:v>
                </c:pt>
                <c:pt idx="16">
                  <c:v>36.255</c:v>
                </c:pt>
                <c:pt idx="17">
                  <c:v>36.602</c:v>
                </c:pt>
                <c:pt idx="18">
                  <c:v>36.932</c:v>
                </c:pt>
                <c:pt idx="19">
                  <c:v>37.247</c:v>
                </c:pt>
                <c:pt idx="20">
                  <c:v>37.552</c:v>
                </c:pt>
                <c:pt idx="21">
                  <c:v>37.851</c:v>
                </c:pt>
                <c:pt idx="22">
                  <c:v>38.133</c:v>
                </c:pt>
                <c:pt idx="23">
                  <c:v>38.396</c:v>
                </c:pt>
                <c:pt idx="24">
                  <c:v>38.643</c:v>
                </c:pt>
                <c:pt idx="25">
                  <c:v>38.89100000000001</c:v>
                </c:pt>
                <c:pt idx="26">
                  <c:v>39.143</c:v>
                </c:pt>
                <c:pt idx="27">
                  <c:v>39.39400000000001</c:v>
                </c:pt>
                <c:pt idx="28">
                  <c:v>39.636</c:v>
                </c:pt>
                <c:pt idx="29">
                  <c:v>39.874</c:v>
                </c:pt>
                <c:pt idx="30">
                  <c:v>40.112</c:v>
                </c:pt>
                <c:pt idx="31">
                  <c:v>40.347</c:v>
                </c:pt>
                <c:pt idx="32">
                  <c:v>40.578</c:v>
                </c:pt>
                <c:pt idx="33">
                  <c:v>40.795</c:v>
                </c:pt>
                <c:pt idx="34">
                  <c:v>41.002</c:v>
                </c:pt>
                <c:pt idx="35">
                  <c:v>41.215</c:v>
                </c:pt>
                <c:pt idx="36">
                  <c:v>41.433</c:v>
                </c:pt>
                <c:pt idx="37">
                  <c:v>41.646</c:v>
                </c:pt>
                <c:pt idx="38">
                  <c:v>41.858</c:v>
                </c:pt>
                <c:pt idx="39">
                  <c:v>42.069</c:v>
                </c:pt>
                <c:pt idx="40">
                  <c:v>42.28100000000001</c:v>
                </c:pt>
                <c:pt idx="41">
                  <c:v>42.485</c:v>
                </c:pt>
                <c:pt idx="42">
                  <c:v>42.681</c:v>
                </c:pt>
                <c:pt idx="43">
                  <c:v>42.878</c:v>
                </c:pt>
                <c:pt idx="44">
                  <c:v>43.072</c:v>
                </c:pt>
                <c:pt idx="45">
                  <c:v>43.261</c:v>
                </c:pt>
                <c:pt idx="46">
                  <c:v>43.435</c:v>
                </c:pt>
                <c:pt idx="47">
                  <c:v>43.618</c:v>
                </c:pt>
                <c:pt idx="48">
                  <c:v>43.804</c:v>
                </c:pt>
                <c:pt idx="49">
                  <c:v>43.997</c:v>
                </c:pt>
                <c:pt idx="50">
                  <c:v>44.186</c:v>
                </c:pt>
                <c:pt idx="51">
                  <c:v>44.374</c:v>
                </c:pt>
                <c:pt idx="52">
                  <c:v>44.562</c:v>
                </c:pt>
                <c:pt idx="53">
                  <c:v>44.747</c:v>
                </c:pt>
                <c:pt idx="54">
                  <c:v>44.933</c:v>
                </c:pt>
                <c:pt idx="55">
                  <c:v>45.12</c:v>
                </c:pt>
                <c:pt idx="56">
                  <c:v>45.305</c:v>
                </c:pt>
                <c:pt idx="57">
                  <c:v>45.487</c:v>
                </c:pt>
                <c:pt idx="58">
                  <c:v>45.664</c:v>
                </c:pt>
                <c:pt idx="59">
                  <c:v>45.842</c:v>
                </c:pt>
                <c:pt idx="60">
                  <c:v>46.022</c:v>
                </c:pt>
                <c:pt idx="61">
                  <c:v>46.202</c:v>
                </c:pt>
                <c:pt idx="62">
                  <c:v>46.38</c:v>
                </c:pt>
                <c:pt idx="63">
                  <c:v>46.562</c:v>
                </c:pt>
                <c:pt idx="64">
                  <c:v>46.75</c:v>
                </c:pt>
                <c:pt idx="65">
                  <c:v>46.935</c:v>
                </c:pt>
                <c:pt idx="66">
                  <c:v>47.111</c:v>
                </c:pt>
                <c:pt idx="67">
                  <c:v>47.273</c:v>
                </c:pt>
                <c:pt idx="68">
                  <c:v>47.44</c:v>
                </c:pt>
                <c:pt idx="69">
                  <c:v>47.61</c:v>
                </c:pt>
                <c:pt idx="70">
                  <c:v>47.779</c:v>
                </c:pt>
                <c:pt idx="71">
                  <c:v>47.948</c:v>
                </c:pt>
                <c:pt idx="72">
                  <c:v>48.116</c:v>
                </c:pt>
                <c:pt idx="73">
                  <c:v>48.279</c:v>
                </c:pt>
                <c:pt idx="74">
                  <c:v>48.444</c:v>
                </c:pt>
                <c:pt idx="75">
                  <c:v>48.605</c:v>
                </c:pt>
                <c:pt idx="76">
                  <c:v>48.768</c:v>
                </c:pt>
                <c:pt idx="77">
                  <c:v>48.939</c:v>
                </c:pt>
                <c:pt idx="78">
                  <c:v>49.11</c:v>
                </c:pt>
                <c:pt idx="79">
                  <c:v>49.279</c:v>
                </c:pt>
                <c:pt idx="80">
                  <c:v>49.447</c:v>
                </c:pt>
                <c:pt idx="81">
                  <c:v>49.608</c:v>
                </c:pt>
                <c:pt idx="82">
                  <c:v>49.773</c:v>
                </c:pt>
                <c:pt idx="83">
                  <c:v>49.936</c:v>
                </c:pt>
                <c:pt idx="84">
                  <c:v>50.10400000000001</c:v>
                </c:pt>
                <c:pt idx="85">
                  <c:v>50.273</c:v>
                </c:pt>
                <c:pt idx="86">
                  <c:v>50.448</c:v>
                </c:pt>
                <c:pt idx="87">
                  <c:v>50.627</c:v>
                </c:pt>
                <c:pt idx="88">
                  <c:v>50.79600000000001</c:v>
                </c:pt>
                <c:pt idx="89">
                  <c:v>50.96700000000001</c:v>
                </c:pt>
                <c:pt idx="90">
                  <c:v>51.138</c:v>
                </c:pt>
                <c:pt idx="91">
                  <c:v>51.305</c:v>
                </c:pt>
                <c:pt idx="92">
                  <c:v>51.472</c:v>
                </c:pt>
                <c:pt idx="93">
                  <c:v>51.635</c:v>
                </c:pt>
                <c:pt idx="94">
                  <c:v>51.79900000000001</c:v>
                </c:pt>
                <c:pt idx="95">
                  <c:v>51.966</c:v>
                </c:pt>
                <c:pt idx="96">
                  <c:v>52.134</c:v>
                </c:pt>
                <c:pt idx="97">
                  <c:v>52.301</c:v>
                </c:pt>
                <c:pt idx="98">
                  <c:v>52.46800000000001</c:v>
                </c:pt>
                <c:pt idx="99">
                  <c:v>52.634</c:v>
                </c:pt>
                <c:pt idx="100">
                  <c:v>52.795</c:v>
                </c:pt>
                <c:pt idx="101">
                  <c:v>52.957</c:v>
                </c:pt>
                <c:pt idx="102">
                  <c:v>53.119</c:v>
                </c:pt>
                <c:pt idx="103">
                  <c:v>53.283</c:v>
                </c:pt>
                <c:pt idx="104">
                  <c:v>53.451</c:v>
                </c:pt>
                <c:pt idx="105">
                  <c:v>53.61</c:v>
                </c:pt>
                <c:pt idx="106">
                  <c:v>53.76900000000001</c:v>
                </c:pt>
                <c:pt idx="107">
                  <c:v>53.932</c:v>
                </c:pt>
                <c:pt idx="108">
                  <c:v>54.10100000000001</c:v>
                </c:pt>
                <c:pt idx="109">
                  <c:v>54.264</c:v>
                </c:pt>
                <c:pt idx="110">
                  <c:v>54.428</c:v>
                </c:pt>
                <c:pt idx="111">
                  <c:v>54.592</c:v>
                </c:pt>
                <c:pt idx="112">
                  <c:v>54.759</c:v>
                </c:pt>
                <c:pt idx="113">
                  <c:v>54.927</c:v>
                </c:pt>
                <c:pt idx="114">
                  <c:v>55.092</c:v>
                </c:pt>
                <c:pt idx="115">
                  <c:v>55.261</c:v>
                </c:pt>
                <c:pt idx="116">
                  <c:v>55.429</c:v>
                </c:pt>
                <c:pt idx="117">
                  <c:v>55.603</c:v>
                </c:pt>
                <c:pt idx="118">
                  <c:v>55.78100000000001</c:v>
                </c:pt>
                <c:pt idx="119">
                  <c:v>55.95</c:v>
                </c:pt>
                <c:pt idx="120">
                  <c:v>56.117</c:v>
                </c:pt>
                <c:pt idx="121">
                  <c:v>56.28700000000001</c:v>
                </c:pt>
                <c:pt idx="122">
                  <c:v>56.456</c:v>
                </c:pt>
                <c:pt idx="123">
                  <c:v>56.627</c:v>
                </c:pt>
                <c:pt idx="124">
                  <c:v>56.79100000000001</c:v>
                </c:pt>
                <c:pt idx="125">
                  <c:v>56.952</c:v>
                </c:pt>
                <c:pt idx="126">
                  <c:v>57.116</c:v>
                </c:pt>
                <c:pt idx="127">
                  <c:v>57.282</c:v>
                </c:pt>
                <c:pt idx="128">
                  <c:v>57.447</c:v>
                </c:pt>
                <c:pt idx="129">
                  <c:v>57.60700000000001</c:v>
                </c:pt>
                <c:pt idx="130">
                  <c:v>57.759</c:v>
                </c:pt>
                <c:pt idx="131">
                  <c:v>57.914</c:v>
                </c:pt>
                <c:pt idx="132">
                  <c:v>58.076</c:v>
                </c:pt>
                <c:pt idx="133">
                  <c:v>58.242</c:v>
                </c:pt>
                <c:pt idx="134">
                  <c:v>58.408</c:v>
                </c:pt>
                <c:pt idx="135">
                  <c:v>58.57400000000001</c:v>
                </c:pt>
                <c:pt idx="136">
                  <c:v>58.741</c:v>
                </c:pt>
                <c:pt idx="137">
                  <c:v>58.91</c:v>
                </c:pt>
                <c:pt idx="138">
                  <c:v>59.079</c:v>
                </c:pt>
                <c:pt idx="139">
                  <c:v>59.251</c:v>
                </c:pt>
                <c:pt idx="140">
                  <c:v>59.42100000000001</c:v>
                </c:pt>
                <c:pt idx="141">
                  <c:v>59.584</c:v>
                </c:pt>
                <c:pt idx="142">
                  <c:v>59.731</c:v>
                </c:pt>
                <c:pt idx="143">
                  <c:v>59.889</c:v>
                </c:pt>
                <c:pt idx="144">
                  <c:v>60.061</c:v>
                </c:pt>
                <c:pt idx="145">
                  <c:v>60.234</c:v>
                </c:pt>
                <c:pt idx="146">
                  <c:v>60.404</c:v>
                </c:pt>
                <c:pt idx="147">
                  <c:v>60.563</c:v>
                </c:pt>
                <c:pt idx="148">
                  <c:v>60.72300000000001</c:v>
                </c:pt>
                <c:pt idx="149">
                  <c:v>60.888</c:v>
                </c:pt>
                <c:pt idx="150">
                  <c:v>61.058</c:v>
                </c:pt>
                <c:pt idx="151">
                  <c:v>61.22700000000001</c:v>
                </c:pt>
                <c:pt idx="152">
                  <c:v>61.39700000000001</c:v>
                </c:pt>
                <c:pt idx="153">
                  <c:v>61.57100000000001</c:v>
                </c:pt>
                <c:pt idx="154">
                  <c:v>61.738</c:v>
                </c:pt>
                <c:pt idx="155">
                  <c:v>61.904</c:v>
                </c:pt>
                <c:pt idx="156">
                  <c:v>62.064</c:v>
                </c:pt>
                <c:pt idx="157">
                  <c:v>62.22700000000001</c:v>
                </c:pt>
                <c:pt idx="158">
                  <c:v>62.39100000000001</c:v>
                </c:pt>
                <c:pt idx="159">
                  <c:v>62.557</c:v>
                </c:pt>
                <c:pt idx="160">
                  <c:v>62.72300000000001</c:v>
                </c:pt>
                <c:pt idx="161">
                  <c:v>62.886</c:v>
                </c:pt>
                <c:pt idx="162">
                  <c:v>63.04600000000001</c:v>
                </c:pt>
                <c:pt idx="163">
                  <c:v>63.205</c:v>
                </c:pt>
                <c:pt idx="164">
                  <c:v>63.368</c:v>
                </c:pt>
                <c:pt idx="165">
                  <c:v>63.529</c:v>
                </c:pt>
                <c:pt idx="166">
                  <c:v>63.686</c:v>
                </c:pt>
                <c:pt idx="167">
                  <c:v>63.843</c:v>
                </c:pt>
                <c:pt idx="168">
                  <c:v>63.995</c:v>
                </c:pt>
                <c:pt idx="169">
                  <c:v>64.15</c:v>
                </c:pt>
                <c:pt idx="170">
                  <c:v>64.304</c:v>
                </c:pt>
                <c:pt idx="171">
                  <c:v>64.457</c:v>
                </c:pt>
                <c:pt idx="172">
                  <c:v>64.616</c:v>
                </c:pt>
                <c:pt idx="173">
                  <c:v>64.782</c:v>
                </c:pt>
                <c:pt idx="174">
                  <c:v>64.95</c:v>
                </c:pt>
                <c:pt idx="175">
                  <c:v>65.10599999999998</c:v>
                </c:pt>
                <c:pt idx="176">
                  <c:v>65.262</c:v>
                </c:pt>
                <c:pt idx="177">
                  <c:v>65.428</c:v>
                </c:pt>
                <c:pt idx="178">
                  <c:v>65.601</c:v>
                </c:pt>
                <c:pt idx="179">
                  <c:v>65.775</c:v>
                </c:pt>
                <c:pt idx="180">
                  <c:v>65.946</c:v>
                </c:pt>
                <c:pt idx="181">
                  <c:v>66.113</c:v>
                </c:pt>
                <c:pt idx="182">
                  <c:v>66.285</c:v>
                </c:pt>
                <c:pt idx="183">
                  <c:v>66.453</c:v>
                </c:pt>
                <c:pt idx="184">
                  <c:v>66.61</c:v>
                </c:pt>
                <c:pt idx="185">
                  <c:v>66.764</c:v>
                </c:pt>
                <c:pt idx="186">
                  <c:v>66.915</c:v>
                </c:pt>
                <c:pt idx="187">
                  <c:v>67.06500000000001</c:v>
                </c:pt>
                <c:pt idx="188">
                  <c:v>67.226</c:v>
                </c:pt>
                <c:pt idx="189">
                  <c:v>67.392</c:v>
                </c:pt>
                <c:pt idx="190">
                  <c:v>67.558</c:v>
                </c:pt>
                <c:pt idx="191">
                  <c:v>67.725</c:v>
                </c:pt>
                <c:pt idx="192">
                  <c:v>67.898</c:v>
                </c:pt>
                <c:pt idx="193">
                  <c:v>68.06500000000001</c:v>
                </c:pt>
                <c:pt idx="194">
                  <c:v>68.23200000000001</c:v>
                </c:pt>
                <c:pt idx="195">
                  <c:v>68.392</c:v>
                </c:pt>
                <c:pt idx="196">
                  <c:v>68.546</c:v>
                </c:pt>
                <c:pt idx="197">
                  <c:v>68.70500000000001</c:v>
                </c:pt>
                <c:pt idx="198">
                  <c:v>68.867</c:v>
                </c:pt>
                <c:pt idx="199">
                  <c:v>69.031</c:v>
                </c:pt>
                <c:pt idx="200">
                  <c:v>69.19</c:v>
                </c:pt>
                <c:pt idx="201">
                  <c:v>69.34500000000001</c:v>
                </c:pt>
                <c:pt idx="202">
                  <c:v>69.507</c:v>
                </c:pt>
                <c:pt idx="203">
                  <c:v>69.67699999999998</c:v>
                </c:pt>
                <c:pt idx="204">
                  <c:v>69.844</c:v>
                </c:pt>
                <c:pt idx="205">
                  <c:v>70.007</c:v>
                </c:pt>
                <c:pt idx="206">
                  <c:v>70.17199999999998</c:v>
                </c:pt>
                <c:pt idx="207">
                  <c:v>70.347</c:v>
                </c:pt>
                <c:pt idx="208">
                  <c:v>70.52299999999998</c:v>
                </c:pt>
                <c:pt idx="209">
                  <c:v>70.698</c:v>
                </c:pt>
                <c:pt idx="210">
                  <c:v>70.865</c:v>
                </c:pt>
                <c:pt idx="211">
                  <c:v>71.034</c:v>
                </c:pt>
                <c:pt idx="212">
                  <c:v>71.204</c:v>
                </c:pt>
                <c:pt idx="213">
                  <c:v>71.361</c:v>
                </c:pt>
                <c:pt idx="214">
                  <c:v>71.527</c:v>
                </c:pt>
                <c:pt idx="215">
                  <c:v>71.704</c:v>
                </c:pt>
                <c:pt idx="216">
                  <c:v>71.88299999999998</c:v>
                </c:pt>
                <c:pt idx="217">
                  <c:v>72.05899999999998</c:v>
                </c:pt>
                <c:pt idx="218">
                  <c:v>72.225</c:v>
                </c:pt>
                <c:pt idx="219">
                  <c:v>72.392</c:v>
                </c:pt>
                <c:pt idx="220">
                  <c:v>72.56200000000001</c:v>
                </c:pt>
                <c:pt idx="221">
                  <c:v>72.729</c:v>
                </c:pt>
                <c:pt idx="222">
                  <c:v>72.896</c:v>
                </c:pt>
                <c:pt idx="223">
                  <c:v>73.06800000000001</c:v>
                </c:pt>
                <c:pt idx="224">
                  <c:v>73.24</c:v>
                </c:pt>
                <c:pt idx="225">
                  <c:v>73.403</c:v>
                </c:pt>
                <c:pt idx="226">
                  <c:v>73.56200000000001</c:v>
                </c:pt>
                <c:pt idx="227">
                  <c:v>73.725</c:v>
                </c:pt>
                <c:pt idx="228">
                  <c:v>73.895</c:v>
                </c:pt>
                <c:pt idx="229">
                  <c:v>74.063</c:v>
                </c:pt>
                <c:pt idx="230">
                  <c:v>74.227</c:v>
                </c:pt>
                <c:pt idx="231">
                  <c:v>74.38299999999998</c:v>
                </c:pt>
                <c:pt idx="232">
                  <c:v>74.541</c:v>
                </c:pt>
                <c:pt idx="233">
                  <c:v>74.697</c:v>
                </c:pt>
                <c:pt idx="234">
                  <c:v>74.85799999999997</c:v>
                </c:pt>
                <c:pt idx="235">
                  <c:v>75.02299999999998</c:v>
                </c:pt>
                <c:pt idx="236">
                  <c:v>75.19</c:v>
                </c:pt>
                <c:pt idx="237">
                  <c:v>75.35899999999998</c:v>
                </c:pt>
                <c:pt idx="238">
                  <c:v>75.527</c:v>
                </c:pt>
                <c:pt idx="239">
                  <c:v>75.695</c:v>
                </c:pt>
                <c:pt idx="240">
                  <c:v>75.85899999999998</c:v>
                </c:pt>
                <c:pt idx="241">
                  <c:v>76.024</c:v>
                </c:pt>
                <c:pt idx="242">
                  <c:v>76.193</c:v>
                </c:pt>
                <c:pt idx="243">
                  <c:v>76.363</c:v>
                </c:pt>
                <c:pt idx="244">
                  <c:v>76.52</c:v>
                </c:pt>
                <c:pt idx="245">
                  <c:v>76.67599999999948</c:v>
                </c:pt>
                <c:pt idx="246">
                  <c:v>76.82799999999997</c:v>
                </c:pt>
                <c:pt idx="247">
                  <c:v>76.979</c:v>
                </c:pt>
                <c:pt idx="248">
                  <c:v>77.13299999999998</c:v>
                </c:pt>
                <c:pt idx="249">
                  <c:v>77.29</c:v>
                </c:pt>
                <c:pt idx="250">
                  <c:v>77.447</c:v>
                </c:pt>
                <c:pt idx="251">
                  <c:v>77.615</c:v>
                </c:pt>
                <c:pt idx="252">
                  <c:v>77.789</c:v>
                </c:pt>
                <c:pt idx="253">
                  <c:v>77.96</c:v>
                </c:pt>
                <c:pt idx="254">
                  <c:v>78.13</c:v>
                </c:pt>
                <c:pt idx="255">
                  <c:v>78.292</c:v>
                </c:pt>
                <c:pt idx="256">
                  <c:v>78.457</c:v>
                </c:pt>
                <c:pt idx="257">
                  <c:v>78.62499999999998</c:v>
                </c:pt>
                <c:pt idx="258">
                  <c:v>78.789</c:v>
                </c:pt>
                <c:pt idx="259">
                  <c:v>78.945</c:v>
                </c:pt>
                <c:pt idx="260">
                  <c:v>79.107</c:v>
                </c:pt>
                <c:pt idx="261">
                  <c:v>79.27599999999998</c:v>
                </c:pt>
                <c:pt idx="262">
                  <c:v>79.448</c:v>
                </c:pt>
                <c:pt idx="263">
                  <c:v>79.62099999999998</c:v>
                </c:pt>
                <c:pt idx="264">
                  <c:v>79.785</c:v>
                </c:pt>
                <c:pt idx="265">
                  <c:v>79.935</c:v>
                </c:pt>
                <c:pt idx="266">
                  <c:v>80.094</c:v>
                </c:pt>
                <c:pt idx="267">
                  <c:v>80.253</c:v>
                </c:pt>
                <c:pt idx="268">
                  <c:v>80.415</c:v>
                </c:pt>
                <c:pt idx="269">
                  <c:v>80.569</c:v>
                </c:pt>
                <c:pt idx="270">
                  <c:v>80.72</c:v>
                </c:pt>
                <c:pt idx="271">
                  <c:v>80.87799999999998</c:v>
                </c:pt>
                <c:pt idx="272">
                  <c:v>81.034</c:v>
                </c:pt>
                <c:pt idx="273">
                  <c:v>81.198</c:v>
                </c:pt>
                <c:pt idx="274">
                  <c:v>81.368</c:v>
                </c:pt>
                <c:pt idx="275">
                  <c:v>81.539</c:v>
                </c:pt>
                <c:pt idx="276">
                  <c:v>81.706</c:v>
                </c:pt>
                <c:pt idx="277">
                  <c:v>81.869</c:v>
                </c:pt>
                <c:pt idx="278">
                  <c:v>82.037</c:v>
                </c:pt>
                <c:pt idx="279">
                  <c:v>82.203</c:v>
                </c:pt>
                <c:pt idx="280">
                  <c:v>82.369</c:v>
                </c:pt>
                <c:pt idx="281">
                  <c:v>82.542</c:v>
                </c:pt>
                <c:pt idx="282">
                  <c:v>82.714</c:v>
                </c:pt>
                <c:pt idx="283">
                  <c:v>82.882</c:v>
                </c:pt>
                <c:pt idx="284">
                  <c:v>83.051</c:v>
                </c:pt>
                <c:pt idx="285">
                  <c:v>83.216</c:v>
                </c:pt>
                <c:pt idx="286">
                  <c:v>83.381</c:v>
                </c:pt>
                <c:pt idx="287">
                  <c:v>83.544</c:v>
                </c:pt>
                <c:pt idx="288">
                  <c:v>83.709</c:v>
                </c:pt>
                <c:pt idx="289">
                  <c:v>83.864</c:v>
                </c:pt>
                <c:pt idx="290">
                  <c:v>84.021</c:v>
                </c:pt>
                <c:pt idx="291">
                  <c:v>84.17599999999958</c:v>
                </c:pt>
                <c:pt idx="292">
                  <c:v>84.336</c:v>
                </c:pt>
                <c:pt idx="293">
                  <c:v>84.501</c:v>
                </c:pt>
                <c:pt idx="294">
                  <c:v>84.66899999999998</c:v>
                </c:pt>
                <c:pt idx="295">
                  <c:v>84.843</c:v>
                </c:pt>
                <c:pt idx="296">
                  <c:v>85.012</c:v>
                </c:pt>
                <c:pt idx="297">
                  <c:v>85.17999999999998</c:v>
                </c:pt>
                <c:pt idx="298">
                  <c:v>85.344</c:v>
                </c:pt>
                <c:pt idx="299">
                  <c:v>85.514</c:v>
                </c:pt>
                <c:pt idx="300">
                  <c:v>85.68499999999997</c:v>
                </c:pt>
                <c:pt idx="301">
                  <c:v>85.847</c:v>
                </c:pt>
                <c:pt idx="302">
                  <c:v>85.995</c:v>
                </c:pt>
                <c:pt idx="303">
                  <c:v>86.147</c:v>
                </c:pt>
                <c:pt idx="304">
                  <c:v>86.30899999999998</c:v>
                </c:pt>
                <c:pt idx="305">
                  <c:v>86.476</c:v>
                </c:pt>
                <c:pt idx="306">
                  <c:v>86.645</c:v>
                </c:pt>
                <c:pt idx="307">
                  <c:v>86.816</c:v>
                </c:pt>
                <c:pt idx="308">
                  <c:v>86.979</c:v>
                </c:pt>
                <c:pt idx="309">
                  <c:v>87.134</c:v>
                </c:pt>
                <c:pt idx="310">
                  <c:v>87.291</c:v>
                </c:pt>
                <c:pt idx="311">
                  <c:v>87.456</c:v>
                </c:pt>
                <c:pt idx="312">
                  <c:v>87.62299999999995</c:v>
                </c:pt>
                <c:pt idx="313">
                  <c:v>87.787</c:v>
                </c:pt>
                <c:pt idx="314">
                  <c:v>87.944</c:v>
                </c:pt>
                <c:pt idx="315">
                  <c:v>88.096</c:v>
                </c:pt>
                <c:pt idx="316">
                  <c:v>88.253</c:v>
                </c:pt>
                <c:pt idx="317">
                  <c:v>88.413</c:v>
                </c:pt>
                <c:pt idx="318">
                  <c:v>88.577</c:v>
                </c:pt>
                <c:pt idx="319">
                  <c:v>88.738</c:v>
                </c:pt>
                <c:pt idx="320">
                  <c:v>88.902</c:v>
                </c:pt>
                <c:pt idx="321">
                  <c:v>89.06800000000001</c:v>
                </c:pt>
                <c:pt idx="322">
                  <c:v>89.23200000000001</c:v>
                </c:pt>
                <c:pt idx="323">
                  <c:v>89.384</c:v>
                </c:pt>
                <c:pt idx="324">
                  <c:v>89.54</c:v>
                </c:pt>
                <c:pt idx="325">
                  <c:v>89.698</c:v>
                </c:pt>
                <c:pt idx="326">
                  <c:v>89.85599999999998</c:v>
                </c:pt>
                <c:pt idx="327">
                  <c:v>90.013</c:v>
                </c:pt>
                <c:pt idx="328">
                  <c:v>90.17399999999998</c:v>
                </c:pt>
                <c:pt idx="329">
                  <c:v>90.338</c:v>
                </c:pt>
                <c:pt idx="330">
                  <c:v>90.507</c:v>
                </c:pt>
                <c:pt idx="331">
                  <c:v>90.67799999999998</c:v>
                </c:pt>
                <c:pt idx="332">
                  <c:v>90.846</c:v>
                </c:pt>
                <c:pt idx="333">
                  <c:v>91.016</c:v>
                </c:pt>
                <c:pt idx="334">
                  <c:v>91.19</c:v>
                </c:pt>
                <c:pt idx="335">
                  <c:v>91.365</c:v>
                </c:pt>
                <c:pt idx="336">
                  <c:v>91.538</c:v>
                </c:pt>
                <c:pt idx="337">
                  <c:v>91.71</c:v>
                </c:pt>
                <c:pt idx="338">
                  <c:v>91.884</c:v>
                </c:pt>
                <c:pt idx="339">
                  <c:v>92.058</c:v>
                </c:pt>
                <c:pt idx="340">
                  <c:v>92.223</c:v>
                </c:pt>
                <c:pt idx="341">
                  <c:v>92.37499999999998</c:v>
                </c:pt>
                <c:pt idx="342">
                  <c:v>92.527</c:v>
                </c:pt>
                <c:pt idx="343">
                  <c:v>92.687</c:v>
                </c:pt>
                <c:pt idx="344">
                  <c:v>92.844</c:v>
                </c:pt>
                <c:pt idx="345">
                  <c:v>93.01</c:v>
                </c:pt>
                <c:pt idx="346">
                  <c:v>93.17799999999998</c:v>
                </c:pt>
                <c:pt idx="347">
                  <c:v>93.341</c:v>
                </c:pt>
                <c:pt idx="348">
                  <c:v>93.497</c:v>
                </c:pt>
                <c:pt idx="349">
                  <c:v>93.642</c:v>
                </c:pt>
                <c:pt idx="350">
                  <c:v>93.787</c:v>
                </c:pt>
                <c:pt idx="351">
                  <c:v>93.946</c:v>
                </c:pt>
                <c:pt idx="352">
                  <c:v>94.111</c:v>
                </c:pt>
                <c:pt idx="353">
                  <c:v>94.271</c:v>
                </c:pt>
                <c:pt idx="354">
                  <c:v>94.435</c:v>
                </c:pt>
                <c:pt idx="355">
                  <c:v>94.60199999999997</c:v>
                </c:pt>
                <c:pt idx="356">
                  <c:v>94.766</c:v>
                </c:pt>
                <c:pt idx="357">
                  <c:v>94.924</c:v>
                </c:pt>
                <c:pt idx="358">
                  <c:v>95.084</c:v>
                </c:pt>
                <c:pt idx="359">
                  <c:v>95.246</c:v>
                </c:pt>
                <c:pt idx="360">
                  <c:v>95.412</c:v>
                </c:pt>
                <c:pt idx="361">
                  <c:v>95.584</c:v>
                </c:pt>
                <c:pt idx="362">
                  <c:v>95.759</c:v>
                </c:pt>
                <c:pt idx="363">
                  <c:v>95.927</c:v>
                </c:pt>
                <c:pt idx="364">
                  <c:v>96.09200000000001</c:v>
                </c:pt>
                <c:pt idx="365">
                  <c:v>96.26</c:v>
                </c:pt>
                <c:pt idx="366">
                  <c:v>96.429</c:v>
                </c:pt>
                <c:pt idx="367">
                  <c:v>96.6</c:v>
                </c:pt>
                <c:pt idx="368">
                  <c:v>96.767</c:v>
                </c:pt>
                <c:pt idx="369">
                  <c:v>96.934</c:v>
                </c:pt>
                <c:pt idx="370">
                  <c:v>97.09500000000001</c:v>
                </c:pt>
                <c:pt idx="371">
                  <c:v>97.258</c:v>
                </c:pt>
                <c:pt idx="372">
                  <c:v>97.423</c:v>
                </c:pt>
                <c:pt idx="373">
                  <c:v>97.59</c:v>
                </c:pt>
                <c:pt idx="374">
                  <c:v>97.757</c:v>
                </c:pt>
                <c:pt idx="375">
                  <c:v>97.918</c:v>
                </c:pt>
                <c:pt idx="376">
                  <c:v>98.07899999999998</c:v>
                </c:pt>
                <c:pt idx="377">
                  <c:v>98.244</c:v>
                </c:pt>
                <c:pt idx="378">
                  <c:v>98.402</c:v>
                </c:pt>
                <c:pt idx="379">
                  <c:v>98.56500000000001</c:v>
                </c:pt>
                <c:pt idx="380">
                  <c:v>98.727</c:v>
                </c:pt>
                <c:pt idx="381">
                  <c:v>98.88899999999998</c:v>
                </c:pt>
                <c:pt idx="382">
                  <c:v>99.046</c:v>
                </c:pt>
                <c:pt idx="383">
                  <c:v>99.206</c:v>
                </c:pt>
                <c:pt idx="384">
                  <c:v>99.35799999999997</c:v>
                </c:pt>
                <c:pt idx="385">
                  <c:v>99.513</c:v>
                </c:pt>
                <c:pt idx="386">
                  <c:v>99.66599999999998</c:v>
                </c:pt>
                <c:pt idx="387">
                  <c:v>99.824</c:v>
                </c:pt>
                <c:pt idx="388">
                  <c:v>99.989</c:v>
                </c:pt>
                <c:pt idx="389">
                  <c:v>100.158</c:v>
                </c:pt>
                <c:pt idx="390">
                  <c:v>100.319</c:v>
                </c:pt>
                <c:pt idx="391">
                  <c:v>100.483</c:v>
                </c:pt>
                <c:pt idx="392">
                  <c:v>100.648</c:v>
                </c:pt>
                <c:pt idx="393">
                  <c:v>100.812</c:v>
                </c:pt>
                <c:pt idx="394">
                  <c:v>100.979</c:v>
                </c:pt>
                <c:pt idx="395">
                  <c:v>101.146</c:v>
                </c:pt>
                <c:pt idx="396">
                  <c:v>101.313</c:v>
                </c:pt>
                <c:pt idx="397">
                  <c:v>101.478</c:v>
                </c:pt>
                <c:pt idx="398">
                  <c:v>101.645</c:v>
                </c:pt>
                <c:pt idx="399">
                  <c:v>101.813</c:v>
                </c:pt>
                <c:pt idx="400">
                  <c:v>101.984</c:v>
                </c:pt>
                <c:pt idx="401">
                  <c:v>102.156</c:v>
                </c:pt>
                <c:pt idx="402">
                  <c:v>102.328</c:v>
                </c:pt>
                <c:pt idx="403">
                  <c:v>102.499</c:v>
                </c:pt>
                <c:pt idx="404">
                  <c:v>102.669</c:v>
                </c:pt>
                <c:pt idx="405">
                  <c:v>102.825</c:v>
                </c:pt>
                <c:pt idx="406">
                  <c:v>102.976</c:v>
                </c:pt>
                <c:pt idx="407">
                  <c:v>103.136</c:v>
                </c:pt>
                <c:pt idx="408">
                  <c:v>103.302</c:v>
                </c:pt>
                <c:pt idx="409">
                  <c:v>103.47</c:v>
                </c:pt>
                <c:pt idx="410">
                  <c:v>103.637</c:v>
                </c:pt>
                <c:pt idx="411">
                  <c:v>103.805</c:v>
                </c:pt>
                <c:pt idx="412">
                  <c:v>103.978</c:v>
                </c:pt>
                <c:pt idx="413">
                  <c:v>104.146</c:v>
                </c:pt>
                <c:pt idx="414">
                  <c:v>104.305</c:v>
                </c:pt>
                <c:pt idx="415">
                  <c:v>104.468</c:v>
                </c:pt>
                <c:pt idx="416">
                  <c:v>104.633</c:v>
                </c:pt>
                <c:pt idx="417">
                  <c:v>104.801</c:v>
                </c:pt>
                <c:pt idx="418">
                  <c:v>104.97</c:v>
                </c:pt>
                <c:pt idx="419">
                  <c:v>105.136</c:v>
                </c:pt>
                <c:pt idx="420">
                  <c:v>105.292</c:v>
                </c:pt>
                <c:pt idx="421">
                  <c:v>105.439</c:v>
                </c:pt>
                <c:pt idx="422">
                  <c:v>105.594</c:v>
                </c:pt>
                <c:pt idx="423">
                  <c:v>105.757</c:v>
                </c:pt>
                <c:pt idx="424">
                  <c:v>105.921</c:v>
                </c:pt>
                <c:pt idx="425">
                  <c:v>106.089</c:v>
                </c:pt>
                <c:pt idx="426">
                  <c:v>106.258</c:v>
                </c:pt>
                <c:pt idx="427">
                  <c:v>106.431</c:v>
                </c:pt>
                <c:pt idx="428">
                  <c:v>106.605</c:v>
                </c:pt>
                <c:pt idx="429">
                  <c:v>106.777</c:v>
                </c:pt>
                <c:pt idx="430">
                  <c:v>106.949</c:v>
                </c:pt>
                <c:pt idx="431">
                  <c:v>107.114</c:v>
                </c:pt>
                <c:pt idx="432">
                  <c:v>107.278</c:v>
                </c:pt>
                <c:pt idx="433">
                  <c:v>107.445</c:v>
                </c:pt>
                <c:pt idx="434">
                  <c:v>107.612</c:v>
                </c:pt>
                <c:pt idx="435">
                  <c:v>107.781</c:v>
                </c:pt>
                <c:pt idx="436">
                  <c:v>107.95</c:v>
                </c:pt>
                <c:pt idx="437">
                  <c:v>108.119</c:v>
                </c:pt>
                <c:pt idx="438">
                  <c:v>108.276</c:v>
                </c:pt>
                <c:pt idx="439">
                  <c:v>108.437</c:v>
                </c:pt>
                <c:pt idx="440">
                  <c:v>108.599</c:v>
                </c:pt>
                <c:pt idx="441">
                  <c:v>108.76</c:v>
                </c:pt>
                <c:pt idx="442">
                  <c:v>108.913</c:v>
                </c:pt>
                <c:pt idx="443">
                  <c:v>109.061</c:v>
                </c:pt>
                <c:pt idx="444">
                  <c:v>109.217</c:v>
                </c:pt>
                <c:pt idx="445">
                  <c:v>109.374</c:v>
                </c:pt>
                <c:pt idx="446">
                  <c:v>109.533</c:v>
                </c:pt>
                <c:pt idx="447">
                  <c:v>109.696</c:v>
                </c:pt>
                <c:pt idx="448">
                  <c:v>109.863</c:v>
                </c:pt>
                <c:pt idx="449">
                  <c:v>110.031</c:v>
                </c:pt>
                <c:pt idx="450">
                  <c:v>110.199</c:v>
                </c:pt>
                <c:pt idx="451">
                  <c:v>110.361</c:v>
                </c:pt>
                <c:pt idx="452">
                  <c:v>110.511</c:v>
                </c:pt>
                <c:pt idx="453">
                  <c:v>110.655</c:v>
                </c:pt>
                <c:pt idx="454">
                  <c:v>110.792</c:v>
                </c:pt>
                <c:pt idx="455">
                  <c:v>110.942</c:v>
                </c:pt>
                <c:pt idx="456">
                  <c:v>111.098</c:v>
                </c:pt>
                <c:pt idx="457">
                  <c:v>111.26</c:v>
                </c:pt>
                <c:pt idx="458">
                  <c:v>111.426</c:v>
                </c:pt>
                <c:pt idx="459">
                  <c:v>111.582</c:v>
                </c:pt>
                <c:pt idx="460">
                  <c:v>111.738</c:v>
                </c:pt>
                <c:pt idx="461">
                  <c:v>111.903</c:v>
                </c:pt>
                <c:pt idx="462">
                  <c:v>112.07</c:v>
                </c:pt>
                <c:pt idx="463">
                  <c:v>112.226</c:v>
                </c:pt>
                <c:pt idx="464">
                  <c:v>112.372</c:v>
                </c:pt>
                <c:pt idx="465">
                  <c:v>112.52</c:v>
                </c:pt>
                <c:pt idx="466">
                  <c:v>112.68</c:v>
                </c:pt>
                <c:pt idx="467">
                  <c:v>112.845</c:v>
                </c:pt>
                <c:pt idx="468">
                  <c:v>113.004</c:v>
                </c:pt>
                <c:pt idx="469">
                  <c:v>113.159</c:v>
                </c:pt>
                <c:pt idx="470">
                  <c:v>113.316</c:v>
                </c:pt>
                <c:pt idx="471">
                  <c:v>113.478</c:v>
                </c:pt>
                <c:pt idx="472">
                  <c:v>113.645</c:v>
                </c:pt>
                <c:pt idx="473">
                  <c:v>113.811</c:v>
                </c:pt>
                <c:pt idx="474">
                  <c:v>113.97</c:v>
                </c:pt>
                <c:pt idx="475">
                  <c:v>114.132</c:v>
                </c:pt>
                <c:pt idx="476">
                  <c:v>114.292</c:v>
                </c:pt>
                <c:pt idx="477">
                  <c:v>114.448</c:v>
                </c:pt>
                <c:pt idx="478">
                  <c:v>114.604</c:v>
                </c:pt>
                <c:pt idx="479">
                  <c:v>114.754</c:v>
                </c:pt>
                <c:pt idx="480">
                  <c:v>114.91</c:v>
                </c:pt>
                <c:pt idx="481">
                  <c:v>115.069</c:v>
                </c:pt>
                <c:pt idx="482">
                  <c:v>115.233</c:v>
                </c:pt>
                <c:pt idx="483">
                  <c:v>115.395</c:v>
                </c:pt>
                <c:pt idx="484">
                  <c:v>115.554</c:v>
                </c:pt>
                <c:pt idx="485">
                  <c:v>115.712</c:v>
                </c:pt>
                <c:pt idx="486">
                  <c:v>115.869</c:v>
                </c:pt>
                <c:pt idx="487">
                  <c:v>116.029</c:v>
                </c:pt>
                <c:pt idx="488">
                  <c:v>116.186</c:v>
                </c:pt>
                <c:pt idx="489">
                  <c:v>116.344</c:v>
                </c:pt>
                <c:pt idx="490">
                  <c:v>116.507</c:v>
                </c:pt>
                <c:pt idx="491">
                  <c:v>116.673</c:v>
                </c:pt>
                <c:pt idx="492">
                  <c:v>116.84</c:v>
                </c:pt>
                <c:pt idx="493">
                  <c:v>117.005</c:v>
                </c:pt>
                <c:pt idx="494">
                  <c:v>117.148</c:v>
                </c:pt>
                <c:pt idx="495">
                  <c:v>117.301</c:v>
                </c:pt>
                <c:pt idx="496">
                  <c:v>117.466</c:v>
                </c:pt>
                <c:pt idx="497">
                  <c:v>117.629</c:v>
                </c:pt>
                <c:pt idx="498">
                  <c:v>117.797</c:v>
                </c:pt>
                <c:pt idx="499">
                  <c:v>117.974</c:v>
                </c:pt>
                <c:pt idx="500">
                  <c:v>118.151</c:v>
                </c:pt>
                <c:pt idx="501">
                  <c:v>118.33</c:v>
                </c:pt>
                <c:pt idx="502">
                  <c:v>118.517</c:v>
                </c:pt>
                <c:pt idx="503">
                  <c:v>118.7</c:v>
                </c:pt>
                <c:pt idx="504">
                  <c:v>118.877</c:v>
                </c:pt>
                <c:pt idx="505">
                  <c:v>119.04</c:v>
                </c:pt>
                <c:pt idx="506">
                  <c:v>119.204</c:v>
                </c:pt>
                <c:pt idx="507">
                  <c:v>119.374</c:v>
                </c:pt>
                <c:pt idx="508">
                  <c:v>119.547</c:v>
                </c:pt>
                <c:pt idx="509">
                  <c:v>119.721</c:v>
                </c:pt>
                <c:pt idx="510">
                  <c:v>119.89</c:v>
                </c:pt>
                <c:pt idx="511">
                  <c:v>120.058</c:v>
                </c:pt>
                <c:pt idx="512">
                  <c:v>120.232</c:v>
                </c:pt>
                <c:pt idx="513">
                  <c:v>120.409</c:v>
                </c:pt>
                <c:pt idx="514">
                  <c:v>120.582</c:v>
                </c:pt>
                <c:pt idx="515">
                  <c:v>120.749</c:v>
                </c:pt>
                <c:pt idx="516">
                  <c:v>120.925</c:v>
                </c:pt>
                <c:pt idx="517">
                  <c:v>121.108</c:v>
                </c:pt>
                <c:pt idx="518">
                  <c:v>121.293</c:v>
                </c:pt>
                <c:pt idx="519">
                  <c:v>121.475</c:v>
                </c:pt>
                <c:pt idx="520">
                  <c:v>121.652</c:v>
                </c:pt>
                <c:pt idx="521">
                  <c:v>121.831</c:v>
                </c:pt>
                <c:pt idx="522">
                  <c:v>122.011</c:v>
                </c:pt>
                <c:pt idx="523">
                  <c:v>122.19</c:v>
                </c:pt>
                <c:pt idx="524">
                  <c:v>122.374</c:v>
                </c:pt>
                <c:pt idx="525">
                  <c:v>122.56</c:v>
                </c:pt>
                <c:pt idx="526">
                  <c:v>122.746</c:v>
                </c:pt>
                <c:pt idx="527">
                  <c:v>122.927</c:v>
                </c:pt>
                <c:pt idx="528">
                  <c:v>123.106</c:v>
                </c:pt>
                <c:pt idx="529">
                  <c:v>123.291</c:v>
                </c:pt>
                <c:pt idx="530">
                  <c:v>123.473</c:v>
                </c:pt>
                <c:pt idx="531">
                  <c:v>123.651</c:v>
                </c:pt>
                <c:pt idx="532">
                  <c:v>123.831</c:v>
                </c:pt>
                <c:pt idx="533">
                  <c:v>124.009</c:v>
                </c:pt>
                <c:pt idx="534">
                  <c:v>124.182</c:v>
                </c:pt>
                <c:pt idx="535">
                  <c:v>124.345</c:v>
                </c:pt>
                <c:pt idx="536">
                  <c:v>124.511</c:v>
                </c:pt>
                <c:pt idx="537">
                  <c:v>124.678</c:v>
                </c:pt>
                <c:pt idx="538">
                  <c:v>124.847</c:v>
                </c:pt>
                <c:pt idx="539">
                  <c:v>125.021</c:v>
                </c:pt>
                <c:pt idx="540">
                  <c:v>125.187</c:v>
                </c:pt>
                <c:pt idx="541">
                  <c:v>125.357</c:v>
                </c:pt>
                <c:pt idx="542">
                  <c:v>125.527</c:v>
                </c:pt>
                <c:pt idx="543">
                  <c:v>125.696</c:v>
                </c:pt>
                <c:pt idx="544">
                  <c:v>125.862</c:v>
                </c:pt>
                <c:pt idx="545">
                  <c:v>126.028</c:v>
                </c:pt>
                <c:pt idx="546">
                  <c:v>126.189</c:v>
                </c:pt>
                <c:pt idx="547">
                  <c:v>126.357</c:v>
                </c:pt>
                <c:pt idx="548">
                  <c:v>126.528</c:v>
                </c:pt>
                <c:pt idx="549">
                  <c:v>126.704</c:v>
                </c:pt>
                <c:pt idx="550">
                  <c:v>126.871</c:v>
                </c:pt>
                <c:pt idx="551">
                  <c:v>127.039</c:v>
                </c:pt>
                <c:pt idx="552">
                  <c:v>127.21</c:v>
                </c:pt>
                <c:pt idx="553">
                  <c:v>127.388</c:v>
                </c:pt>
                <c:pt idx="554">
                  <c:v>127.562</c:v>
                </c:pt>
                <c:pt idx="555">
                  <c:v>127.732</c:v>
                </c:pt>
                <c:pt idx="556">
                  <c:v>127.905</c:v>
                </c:pt>
                <c:pt idx="557">
                  <c:v>128.077</c:v>
                </c:pt>
                <c:pt idx="558">
                  <c:v>128.252</c:v>
                </c:pt>
                <c:pt idx="559">
                  <c:v>128.425</c:v>
                </c:pt>
                <c:pt idx="560">
                  <c:v>128.599</c:v>
                </c:pt>
                <c:pt idx="561">
                  <c:v>128.776</c:v>
                </c:pt>
                <c:pt idx="562">
                  <c:v>128.949</c:v>
                </c:pt>
                <c:pt idx="563">
                  <c:v>129.12</c:v>
                </c:pt>
                <c:pt idx="564">
                  <c:v>129.295</c:v>
                </c:pt>
                <c:pt idx="565">
                  <c:v>129.465</c:v>
                </c:pt>
                <c:pt idx="566">
                  <c:v>129.63</c:v>
                </c:pt>
                <c:pt idx="567">
                  <c:v>129.798</c:v>
                </c:pt>
                <c:pt idx="568">
                  <c:v>129.963</c:v>
                </c:pt>
                <c:pt idx="569">
                  <c:v>130.122</c:v>
                </c:pt>
                <c:pt idx="570">
                  <c:v>130.275</c:v>
                </c:pt>
                <c:pt idx="571">
                  <c:v>130.437</c:v>
                </c:pt>
                <c:pt idx="572">
                  <c:v>130.61</c:v>
                </c:pt>
                <c:pt idx="573">
                  <c:v>130.785</c:v>
                </c:pt>
                <c:pt idx="574">
                  <c:v>130.964</c:v>
                </c:pt>
                <c:pt idx="575">
                  <c:v>131.141</c:v>
                </c:pt>
                <c:pt idx="576">
                  <c:v>131.319</c:v>
                </c:pt>
                <c:pt idx="577">
                  <c:v>131.5</c:v>
                </c:pt>
                <c:pt idx="578">
                  <c:v>131.679</c:v>
                </c:pt>
                <c:pt idx="579">
                  <c:v>131.843</c:v>
                </c:pt>
                <c:pt idx="580">
                  <c:v>131.989</c:v>
                </c:pt>
                <c:pt idx="581">
                  <c:v>132.141</c:v>
                </c:pt>
                <c:pt idx="582">
                  <c:v>132.305</c:v>
                </c:pt>
                <c:pt idx="583">
                  <c:v>132.475</c:v>
                </c:pt>
                <c:pt idx="584">
                  <c:v>132.652</c:v>
                </c:pt>
                <c:pt idx="585">
                  <c:v>132.833</c:v>
                </c:pt>
                <c:pt idx="586">
                  <c:v>133.011</c:v>
                </c:pt>
                <c:pt idx="587">
                  <c:v>133.182</c:v>
                </c:pt>
                <c:pt idx="588">
                  <c:v>133.354</c:v>
                </c:pt>
                <c:pt idx="589">
                  <c:v>133.526</c:v>
                </c:pt>
                <c:pt idx="590">
                  <c:v>133.703</c:v>
                </c:pt>
                <c:pt idx="591">
                  <c:v>133.879</c:v>
                </c:pt>
                <c:pt idx="592">
                  <c:v>134.055</c:v>
                </c:pt>
                <c:pt idx="593">
                  <c:v>134.229</c:v>
                </c:pt>
                <c:pt idx="594">
                  <c:v>134.398</c:v>
                </c:pt>
                <c:pt idx="595">
                  <c:v>134.566</c:v>
                </c:pt>
                <c:pt idx="596">
                  <c:v>134.734</c:v>
                </c:pt>
                <c:pt idx="597">
                  <c:v>134.901</c:v>
                </c:pt>
                <c:pt idx="598">
                  <c:v>135.06</c:v>
                </c:pt>
                <c:pt idx="599">
                  <c:v>135.224</c:v>
                </c:pt>
                <c:pt idx="600">
                  <c:v>135.392</c:v>
                </c:pt>
                <c:pt idx="601">
                  <c:v>135.564</c:v>
                </c:pt>
                <c:pt idx="602">
                  <c:v>135.727</c:v>
                </c:pt>
                <c:pt idx="603">
                  <c:v>135.884</c:v>
                </c:pt>
                <c:pt idx="604">
                  <c:v>136.033</c:v>
                </c:pt>
                <c:pt idx="605">
                  <c:v>136.185</c:v>
                </c:pt>
                <c:pt idx="606">
                  <c:v>136.356</c:v>
                </c:pt>
                <c:pt idx="607">
                  <c:v>136.536</c:v>
                </c:pt>
                <c:pt idx="608">
                  <c:v>136.712</c:v>
                </c:pt>
                <c:pt idx="609">
                  <c:v>136.889</c:v>
                </c:pt>
                <c:pt idx="610">
                  <c:v>137.066</c:v>
                </c:pt>
                <c:pt idx="611">
                  <c:v>137.238</c:v>
                </c:pt>
                <c:pt idx="612">
                  <c:v>137.408</c:v>
                </c:pt>
                <c:pt idx="613">
                  <c:v>137.58</c:v>
                </c:pt>
                <c:pt idx="614">
                  <c:v>137.759</c:v>
                </c:pt>
                <c:pt idx="615">
                  <c:v>137.939</c:v>
                </c:pt>
                <c:pt idx="616">
                  <c:v>138.121</c:v>
                </c:pt>
                <c:pt idx="617">
                  <c:v>138.3</c:v>
                </c:pt>
                <c:pt idx="618">
                  <c:v>138.467</c:v>
                </c:pt>
                <c:pt idx="619">
                  <c:v>138.629</c:v>
                </c:pt>
                <c:pt idx="620">
                  <c:v>138.796</c:v>
                </c:pt>
                <c:pt idx="621">
                  <c:v>138.967</c:v>
                </c:pt>
                <c:pt idx="622">
                  <c:v>139.129</c:v>
                </c:pt>
                <c:pt idx="623">
                  <c:v>139.275</c:v>
                </c:pt>
                <c:pt idx="624">
                  <c:v>139.426</c:v>
                </c:pt>
                <c:pt idx="625">
                  <c:v>139.588</c:v>
                </c:pt>
                <c:pt idx="626">
                  <c:v>139.75</c:v>
                </c:pt>
                <c:pt idx="627">
                  <c:v>139.908</c:v>
                </c:pt>
                <c:pt idx="628">
                  <c:v>140.072</c:v>
                </c:pt>
                <c:pt idx="629">
                  <c:v>140.242</c:v>
                </c:pt>
                <c:pt idx="630">
                  <c:v>140.413</c:v>
                </c:pt>
                <c:pt idx="631">
                  <c:v>140.584</c:v>
                </c:pt>
                <c:pt idx="632">
                  <c:v>140.742</c:v>
                </c:pt>
                <c:pt idx="633">
                  <c:v>140.899</c:v>
                </c:pt>
                <c:pt idx="634">
                  <c:v>141.046</c:v>
                </c:pt>
                <c:pt idx="635">
                  <c:v>141.201</c:v>
                </c:pt>
                <c:pt idx="636">
                  <c:v>141.373</c:v>
                </c:pt>
                <c:pt idx="637">
                  <c:v>141.555</c:v>
                </c:pt>
                <c:pt idx="638">
                  <c:v>141.736</c:v>
                </c:pt>
                <c:pt idx="639">
                  <c:v>141.912</c:v>
                </c:pt>
                <c:pt idx="640">
                  <c:v>142.09</c:v>
                </c:pt>
                <c:pt idx="641">
                  <c:v>142.27</c:v>
                </c:pt>
                <c:pt idx="642">
                  <c:v>142.453</c:v>
                </c:pt>
                <c:pt idx="643">
                  <c:v>142.636</c:v>
                </c:pt>
                <c:pt idx="644">
                  <c:v>142.82</c:v>
                </c:pt>
                <c:pt idx="645">
                  <c:v>143.003</c:v>
                </c:pt>
                <c:pt idx="646">
                  <c:v>143.184</c:v>
                </c:pt>
                <c:pt idx="647">
                  <c:v>143.359</c:v>
                </c:pt>
                <c:pt idx="648">
                  <c:v>143.532</c:v>
                </c:pt>
                <c:pt idx="649">
                  <c:v>143.696</c:v>
                </c:pt>
                <c:pt idx="650">
                  <c:v>143.865</c:v>
                </c:pt>
                <c:pt idx="651">
                  <c:v>144.043</c:v>
                </c:pt>
                <c:pt idx="652">
                  <c:v>144.212</c:v>
                </c:pt>
                <c:pt idx="653">
                  <c:v>144.381</c:v>
                </c:pt>
                <c:pt idx="654">
                  <c:v>144.55</c:v>
                </c:pt>
                <c:pt idx="655">
                  <c:v>144.706</c:v>
                </c:pt>
                <c:pt idx="656">
                  <c:v>144.867</c:v>
                </c:pt>
                <c:pt idx="657">
                  <c:v>145.033</c:v>
                </c:pt>
                <c:pt idx="658">
                  <c:v>145.202</c:v>
                </c:pt>
                <c:pt idx="659">
                  <c:v>145.373</c:v>
                </c:pt>
                <c:pt idx="660">
                  <c:v>145.543</c:v>
                </c:pt>
                <c:pt idx="661">
                  <c:v>145.712</c:v>
                </c:pt>
                <c:pt idx="662">
                  <c:v>145.885</c:v>
                </c:pt>
                <c:pt idx="663">
                  <c:v>146.063</c:v>
                </c:pt>
                <c:pt idx="664">
                  <c:v>146.235</c:v>
                </c:pt>
                <c:pt idx="665">
                  <c:v>146.389</c:v>
                </c:pt>
                <c:pt idx="666">
                  <c:v>146.545</c:v>
                </c:pt>
                <c:pt idx="667">
                  <c:v>146.716</c:v>
                </c:pt>
                <c:pt idx="668">
                  <c:v>146.892</c:v>
                </c:pt>
                <c:pt idx="669">
                  <c:v>147.062</c:v>
                </c:pt>
                <c:pt idx="670">
                  <c:v>147.231</c:v>
                </c:pt>
                <c:pt idx="671">
                  <c:v>147.402</c:v>
                </c:pt>
                <c:pt idx="672">
                  <c:v>147.584</c:v>
                </c:pt>
                <c:pt idx="673">
                  <c:v>147.768</c:v>
                </c:pt>
                <c:pt idx="674">
                  <c:v>147.942</c:v>
                </c:pt>
                <c:pt idx="675">
                  <c:v>148.113</c:v>
                </c:pt>
                <c:pt idx="676">
                  <c:v>148.288</c:v>
                </c:pt>
                <c:pt idx="677">
                  <c:v>148.468</c:v>
                </c:pt>
                <c:pt idx="678">
                  <c:v>148.65</c:v>
                </c:pt>
                <c:pt idx="679">
                  <c:v>148.83</c:v>
                </c:pt>
                <c:pt idx="680">
                  <c:v>149.012</c:v>
                </c:pt>
                <c:pt idx="681">
                  <c:v>149.192</c:v>
                </c:pt>
                <c:pt idx="682">
                  <c:v>149.371</c:v>
                </c:pt>
                <c:pt idx="683">
                  <c:v>149.544</c:v>
                </c:pt>
                <c:pt idx="684">
                  <c:v>149.717</c:v>
                </c:pt>
                <c:pt idx="685">
                  <c:v>149.884</c:v>
                </c:pt>
                <c:pt idx="686">
                  <c:v>150.047</c:v>
                </c:pt>
                <c:pt idx="687">
                  <c:v>150.207</c:v>
                </c:pt>
                <c:pt idx="688">
                  <c:v>150.364</c:v>
                </c:pt>
                <c:pt idx="689">
                  <c:v>150.53</c:v>
                </c:pt>
                <c:pt idx="690">
                  <c:v>150.702</c:v>
                </c:pt>
                <c:pt idx="691">
                  <c:v>150.876</c:v>
                </c:pt>
                <c:pt idx="692">
                  <c:v>151.047</c:v>
                </c:pt>
                <c:pt idx="693">
                  <c:v>151.214</c:v>
                </c:pt>
                <c:pt idx="694">
                  <c:v>151.375</c:v>
                </c:pt>
                <c:pt idx="695">
                  <c:v>151.54</c:v>
                </c:pt>
                <c:pt idx="696">
                  <c:v>151.703</c:v>
                </c:pt>
                <c:pt idx="697">
                  <c:v>151.856</c:v>
                </c:pt>
                <c:pt idx="698">
                  <c:v>152.006</c:v>
                </c:pt>
                <c:pt idx="699">
                  <c:v>152.167</c:v>
                </c:pt>
                <c:pt idx="700">
                  <c:v>152.337</c:v>
                </c:pt>
                <c:pt idx="701">
                  <c:v>152.505</c:v>
                </c:pt>
                <c:pt idx="702">
                  <c:v>152.665</c:v>
                </c:pt>
                <c:pt idx="703">
                  <c:v>152.834</c:v>
                </c:pt>
                <c:pt idx="704">
                  <c:v>153.012</c:v>
                </c:pt>
                <c:pt idx="705">
                  <c:v>153.195</c:v>
                </c:pt>
                <c:pt idx="706">
                  <c:v>153.376</c:v>
                </c:pt>
                <c:pt idx="707">
                  <c:v>153.551</c:v>
                </c:pt>
                <c:pt idx="708">
                  <c:v>153.728</c:v>
                </c:pt>
                <c:pt idx="709">
                  <c:v>153.892</c:v>
                </c:pt>
                <c:pt idx="710">
                  <c:v>154.056</c:v>
                </c:pt>
                <c:pt idx="711">
                  <c:v>154.231</c:v>
                </c:pt>
                <c:pt idx="712">
                  <c:v>154.396</c:v>
                </c:pt>
                <c:pt idx="713">
                  <c:v>154.561</c:v>
                </c:pt>
                <c:pt idx="714">
                  <c:v>154.732</c:v>
                </c:pt>
                <c:pt idx="715">
                  <c:v>154.905</c:v>
                </c:pt>
                <c:pt idx="716">
                  <c:v>155.075</c:v>
                </c:pt>
                <c:pt idx="717">
                  <c:v>155.242</c:v>
                </c:pt>
                <c:pt idx="718">
                  <c:v>155.411</c:v>
                </c:pt>
                <c:pt idx="719">
                  <c:v>155.584</c:v>
                </c:pt>
                <c:pt idx="720">
                  <c:v>155.756</c:v>
                </c:pt>
                <c:pt idx="721">
                  <c:v>155.935</c:v>
                </c:pt>
                <c:pt idx="722">
                  <c:v>156.122</c:v>
                </c:pt>
                <c:pt idx="723">
                  <c:v>156.307</c:v>
                </c:pt>
                <c:pt idx="724">
                  <c:v>156.486</c:v>
                </c:pt>
                <c:pt idx="725">
                  <c:v>156.667</c:v>
                </c:pt>
                <c:pt idx="726">
                  <c:v>156.853</c:v>
                </c:pt>
                <c:pt idx="727">
                  <c:v>157.035</c:v>
                </c:pt>
                <c:pt idx="728">
                  <c:v>157.202</c:v>
                </c:pt>
                <c:pt idx="729">
                  <c:v>157.358</c:v>
                </c:pt>
                <c:pt idx="730">
                  <c:v>157.52</c:v>
                </c:pt>
                <c:pt idx="731">
                  <c:v>157.688</c:v>
                </c:pt>
                <c:pt idx="732">
                  <c:v>157.857</c:v>
                </c:pt>
                <c:pt idx="733">
                  <c:v>158.028</c:v>
                </c:pt>
                <c:pt idx="734">
                  <c:v>158.191</c:v>
                </c:pt>
                <c:pt idx="735">
                  <c:v>158.347</c:v>
                </c:pt>
                <c:pt idx="736">
                  <c:v>158.508</c:v>
                </c:pt>
                <c:pt idx="737">
                  <c:v>158.678</c:v>
                </c:pt>
                <c:pt idx="738">
                  <c:v>158.852</c:v>
                </c:pt>
                <c:pt idx="739">
                  <c:v>159.032</c:v>
                </c:pt>
                <c:pt idx="740">
                  <c:v>159.21</c:v>
                </c:pt>
                <c:pt idx="741">
                  <c:v>159.385</c:v>
                </c:pt>
                <c:pt idx="742">
                  <c:v>159.549</c:v>
                </c:pt>
                <c:pt idx="743">
                  <c:v>159.712</c:v>
                </c:pt>
                <c:pt idx="744">
                  <c:v>159.877</c:v>
                </c:pt>
                <c:pt idx="745">
                  <c:v>160.044</c:v>
                </c:pt>
                <c:pt idx="746">
                  <c:v>160.206</c:v>
                </c:pt>
                <c:pt idx="747">
                  <c:v>160.371</c:v>
                </c:pt>
                <c:pt idx="748">
                  <c:v>160.537</c:v>
                </c:pt>
                <c:pt idx="749">
                  <c:v>160.701</c:v>
                </c:pt>
                <c:pt idx="750">
                  <c:v>160.87</c:v>
                </c:pt>
                <c:pt idx="751">
                  <c:v>161.035</c:v>
                </c:pt>
                <c:pt idx="752">
                  <c:v>161.2</c:v>
                </c:pt>
                <c:pt idx="753">
                  <c:v>161.362</c:v>
                </c:pt>
                <c:pt idx="754">
                  <c:v>161.529</c:v>
                </c:pt>
                <c:pt idx="755">
                  <c:v>161.694</c:v>
                </c:pt>
                <c:pt idx="756">
                  <c:v>161.869</c:v>
                </c:pt>
                <c:pt idx="757">
                  <c:v>162.05</c:v>
                </c:pt>
                <c:pt idx="758">
                  <c:v>162.231</c:v>
                </c:pt>
                <c:pt idx="759">
                  <c:v>162.409</c:v>
                </c:pt>
                <c:pt idx="760">
                  <c:v>162.588</c:v>
                </c:pt>
                <c:pt idx="761">
                  <c:v>162.763</c:v>
                </c:pt>
                <c:pt idx="762">
                  <c:v>162.938</c:v>
                </c:pt>
                <c:pt idx="763">
                  <c:v>163.113</c:v>
                </c:pt>
                <c:pt idx="764">
                  <c:v>163.287</c:v>
                </c:pt>
                <c:pt idx="765">
                  <c:v>163.45</c:v>
                </c:pt>
                <c:pt idx="766">
                  <c:v>163.618</c:v>
                </c:pt>
                <c:pt idx="767">
                  <c:v>163.792</c:v>
                </c:pt>
                <c:pt idx="768">
                  <c:v>163.965</c:v>
                </c:pt>
                <c:pt idx="769">
                  <c:v>164.139</c:v>
                </c:pt>
                <c:pt idx="770">
                  <c:v>164.311</c:v>
                </c:pt>
                <c:pt idx="771">
                  <c:v>164.478</c:v>
                </c:pt>
                <c:pt idx="772">
                  <c:v>164.649</c:v>
                </c:pt>
                <c:pt idx="773">
                  <c:v>164.819</c:v>
                </c:pt>
                <c:pt idx="774">
                  <c:v>164.979</c:v>
                </c:pt>
                <c:pt idx="775">
                  <c:v>165.144</c:v>
                </c:pt>
                <c:pt idx="776">
                  <c:v>165.317</c:v>
                </c:pt>
                <c:pt idx="777">
                  <c:v>165.496</c:v>
                </c:pt>
                <c:pt idx="778">
                  <c:v>165.674</c:v>
                </c:pt>
                <c:pt idx="779">
                  <c:v>165.846</c:v>
                </c:pt>
                <c:pt idx="780">
                  <c:v>166.022</c:v>
                </c:pt>
                <c:pt idx="781">
                  <c:v>166.2</c:v>
                </c:pt>
                <c:pt idx="782">
                  <c:v>166.375</c:v>
                </c:pt>
                <c:pt idx="783">
                  <c:v>166.549</c:v>
                </c:pt>
                <c:pt idx="784">
                  <c:v>166.715</c:v>
                </c:pt>
                <c:pt idx="785">
                  <c:v>166.881</c:v>
                </c:pt>
                <c:pt idx="786">
                  <c:v>167.048</c:v>
                </c:pt>
                <c:pt idx="787">
                  <c:v>167.21</c:v>
                </c:pt>
                <c:pt idx="788">
                  <c:v>167.367</c:v>
                </c:pt>
                <c:pt idx="789">
                  <c:v>167.533</c:v>
                </c:pt>
                <c:pt idx="790">
                  <c:v>167.706</c:v>
                </c:pt>
                <c:pt idx="791">
                  <c:v>167.887</c:v>
                </c:pt>
                <c:pt idx="792">
                  <c:v>168.069</c:v>
                </c:pt>
                <c:pt idx="793">
                  <c:v>168.25</c:v>
                </c:pt>
                <c:pt idx="794">
                  <c:v>168.429</c:v>
                </c:pt>
                <c:pt idx="795">
                  <c:v>168.6</c:v>
                </c:pt>
                <c:pt idx="796">
                  <c:v>168.769</c:v>
                </c:pt>
                <c:pt idx="797">
                  <c:v>168.93</c:v>
                </c:pt>
                <c:pt idx="798">
                  <c:v>169.088</c:v>
                </c:pt>
                <c:pt idx="799">
                  <c:v>169.246</c:v>
                </c:pt>
                <c:pt idx="800">
                  <c:v>169.408</c:v>
                </c:pt>
                <c:pt idx="801">
                  <c:v>169.575</c:v>
                </c:pt>
                <c:pt idx="802">
                  <c:v>169.747</c:v>
                </c:pt>
                <c:pt idx="803">
                  <c:v>169.916</c:v>
                </c:pt>
                <c:pt idx="804">
                  <c:v>170.087</c:v>
                </c:pt>
                <c:pt idx="805">
                  <c:v>170.263</c:v>
                </c:pt>
                <c:pt idx="806">
                  <c:v>170.435</c:v>
                </c:pt>
                <c:pt idx="807">
                  <c:v>170.604</c:v>
                </c:pt>
                <c:pt idx="808">
                  <c:v>170.771</c:v>
                </c:pt>
                <c:pt idx="809">
                  <c:v>170.94</c:v>
                </c:pt>
                <c:pt idx="810">
                  <c:v>171.109</c:v>
                </c:pt>
                <c:pt idx="811">
                  <c:v>171.28</c:v>
                </c:pt>
                <c:pt idx="812">
                  <c:v>171.459</c:v>
                </c:pt>
                <c:pt idx="813">
                  <c:v>171.642</c:v>
                </c:pt>
                <c:pt idx="814">
                  <c:v>171.822</c:v>
                </c:pt>
                <c:pt idx="815">
                  <c:v>171.998</c:v>
                </c:pt>
                <c:pt idx="816">
                  <c:v>172.177</c:v>
                </c:pt>
                <c:pt idx="817">
                  <c:v>172.355</c:v>
                </c:pt>
                <c:pt idx="818">
                  <c:v>172.52</c:v>
                </c:pt>
                <c:pt idx="819">
                  <c:v>172.683</c:v>
                </c:pt>
                <c:pt idx="820">
                  <c:v>172.849</c:v>
                </c:pt>
                <c:pt idx="821">
                  <c:v>173.019</c:v>
                </c:pt>
                <c:pt idx="822">
                  <c:v>173.192</c:v>
                </c:pt>
                <c:pt idx="823">
                  <c:v>173.359</c:v>
                </c:pt>
                <c:pt idx="824">
                  <c:v>173.521</c:v>
                </c:pt>
                <c:pt idx="825">
                  <c:v>173.679</c:v>
                </c:pt>
                <c:pt idx="826">
                  <c:v>173.837</c:v>
                </c:pt>
                <c:pt idx="827">
                  <c:v>174.0</c:v>
                </c:pt>
                <c:pt idx="828">
                  <c:v>174.159</c:v>
                </c:pt>
                <c:pt idx="829">
                  <c:v>174.323</c:v>
                </c:pt>
                <c:pt idx="830">
                  <c:v>174.491</c:v>
                </c:pt>
                <c:pt idx="831">
                  <c:v>174.664</c:v>
                </c:pt>
                <c:pt idx="832">
                  <c:v>174.844</c:v>
                </c:pt>
                <c:pt idx="833">
                  <c:v>175.029</c:v>
                </c:pt>
                <c:pt idx="834">
                  <c:v>175.207</c:v>
                </c:pt>
                <c:pt idx="835">
                  <c:v>175.381</c:v>
                </c:pt>
                <c:pt idx="836">
                  <c:v>175.546</c:v>
                </c:pt>
                <c:pt idx="837">
                  <c:v>175.706</c:v>
                </c:pt>
                <c:pt idx="838">
                  <c:v>175.868</c:v>
                </c:pt>
                <c:pt idx="839">
                  <c:v>176.031</c:v>
                </c:pt>
                <c:pt idx="840">
                  <c:v>176.195</c:v>
                </c:pt>
                <c:pt idx="841">
                  <c:v>176.369</c:v>
                </c:pt>
                <c:pt idx="842">
                  <c:v>176.546</c:v>
                </c:pt>
                <c:pt idx="843">
                  <c:v>176.723</c:v>
                </c:pt>
                <c:pt idx="844">
                  <c:v>176.904</c:v>
                </c:pt>
                <c:pt idx="845">
                  <c:v>177.082</c:v>
                </c:pt>
                <c:pt idx="846">
                  <c:v>177.253</c:v>
                </c:pt>
                <c:pt idx="847">
                  <c:v>177.423</c:v>
                </c:pt>
                <c:pt idx="848">
                  <c:v>177.598</c:v>
                </c:pt>
                <c:pt idx="849">
                  <c:v>177.782</c:v>
                </c:pt>
                <c:pt idx="850">
                  <c:v>177.967</c:v>
                </c:pt>
                <c:pt idx="851">
                  <c:v>178.145</c:v>
                </c:pt>
                <c:pt idx="852">
                  <c:v>178.307</c:v>
                </c:pt>
                <c:pt idx="853">
                  <c:v>178.466</c:v>
                </c:pt>
                <c:pt idx="854">
                  <c:v>178.634</c:v>
                </c:pt>
                <c:pt idx="855">
                  <c:v>178.807</c:v>
                </c:pt>
                <c:pt idx="856">
                  <c:v>178.986</c:v>
                </c:pt>
                <c:pt idx="857">
                  <c:v>179.171</c:v>
                </c:pt>
                <c:pt idx="858">
                  <c:v>179.354</c:v>
                </c:pt>
                <c:pt idx="859">
                  <c:v>179.536</c:v>
                </c:pt>
                <c:pt idx="860">
                  <c:v>179.717</c:v>
                </c:pt>
                <c:pt idx="861">
                  <c:v>179.895</c:v>
                </c:pt>
                <c:pt idx="862">
                  <c:v>180.071</c:v>
                </c:pt>
                <c:pt idx="863">
                  <c:v>180.251</c:v>
                </c:pt>
                <c:pt idx="864">
                  <c:v>180.428</c:v>
                </c:pt>
                <c:pt idx="865">
                  <c:v>180.597</c:v>
                </c:pt>
                <c:pt idx="866">
                  <c:v>180.761</c:v>
                </c:pt>
                <c:pt idx="867">
                  <c:v>180.927</c:v>
                </c:pt>
                <c:pt idx="868">
                  <c:v>181.1</c:v>
                </c:pt>
                <c:pt idx="869">
                  <c:v>181.274</c:v>
                </c:pt>
                <c:pt idx="870">
                  <c:v>181.445</c:v>
                </c:pt>
                <c:pt idx="871">
                  <c:v>181.602</c:v>
                </c:pt>
                <c:pt idx="872">
                  <c:v>181.769</c:v>
                </c:pt>
                <c:pt idx="873">
                  <c:v>181.945</c:v>
                </c:pt>
                <c:pt idx="874">
                  <c:v>182.127</c:v>
                </c:pt>
                <c:pt idx="875">
                  <c:v>182.303</c:v>
                </c:pt>
                <c:pt idx="876">
                  <c:v>182.473</c:v>
                </c:pt>
                <c:pt idx="877">
                  <c:v>182.648</c:v>
                </c:pt>
                <c:pt idx="878">
                  <c:v>182.826</c:v>
                </c:pt>
                <c:pt idx="879">
                  <c:v>183.005</c:v>
                </c:pt>
                <c:pt idx="880">
                  <c:v>183.188</c:v>
                </c:pt>
                <c:pt idx="881">
                  <c:v>183.372</c:v>
                </c:pt>
                <c:pt idx="882">
                  <c:v>183.556</c:v>
                </c:pt>
                <c:pt idx="883">
                  <c:v>183.733</c:v>
                </c:pt>
                <c:pt idx="884">
                  <c:v>183.909</c:v>
                </c:pt>
                <c:pt idx="885">
                  <c:v>184.089</c:v>
                </c:pt>
                <c:pt idx="886">
                  <c:v>184.263</c:v>
                </c:pt>
                <c:pt idx="887">
                  <c:v>184.432</c:v>
                </c:pt>
                <c:pt idx="888">
                  <c:v>184.597</c:v>
                </c:pt>
                <c:pt idx="889">
                  <c:v>184.76</c:v>
                </c:pt>
                <c:pt idx="890">
                  <c:v>184.92</c:v>
                </c:pt>
                <c:pt idx="891">
                  <c:v>185.079</c:v>
                </c:pt>
                <c:pt idx="892">
                  <c:v>185.245</c:v>
                </c:pt>
                <c:pt idx="893">
                  <c:v>185.417</c:v>
                </c:pt>
                <c:pt idx="894">
                  <c:v>185.592</c:v>
                </c:pt>
                <c:pt idx="895">
                  <c:v>185.764</c:v>
                </c:pt>
                <c:pt idx="896">
                  <c:v>185.942</c:v>
                </c:pt>
                <c:pt idx="897">
                  <c:v>186.13</c:v>
                </c:pt>
                <c:pt idx="898">
                  <c:v>186.315</c:v>
                </c:pt>
                <c:pt idx="899">
                  <c:v>186.498</c:v>
                </c:pt>
                <c:pt idx="900">
                  <c:v>186.679</c:v>
                </c:pt>
                <c:pt idx="901">
                  <c:v>186.854</c:v>
                </c:pt>
                <c:pt idx="902">
                  <c:v>187.02</c:v>
                </c:pt>
                <c:pt idx="903">
                  <c:v>187.174</c:v>
                </c:pt>
                <c:pt idx="904">
                  <c:v>187.328</c:v>
                </c:pt>
                <c:pt idx="905">
                  <c:v>187.483</c:v>
                </c:pt>
                <c:pt idx="906">
                  <c:v>187.651</c:v>
                </c:pt>
                <c:pt idx="907">
                  <c:v>187.827</c:v>
                </c:pt>
                <c:pt idx="908">
                  <c:v>188.002</c:v>
                </c:pt>
                <c:pt idx="909">
                  <c:v>188.171</c:v>
                </c:pt>
                <c:pt idx="910">
                  <c:v>188.34</c:v>
                </c:pt>
                <c:pt idx="911">
                  <c:v>188.517</c:v>
                </c:pt>
                <c:pt idx="912">
                  <c:v>188.697</c:v>
                </c:pt>
                <c:pt idx="913">
                  <c:v>188.863</c:v>
                </c:pt>
                <c:pt idx="914">
                  <c:v>189.034</c:v>
                </c:pt>
                <c:pt idx="915">
                  <c:v>189.209</c:v>
                </c:pt>
                <c:pt idx="916">
                  <c:v>189.383</c:v>
                </c:pt>
                <c:pt idx="917">
                  <c:v>189.55</c:v>
                </c:pt>
                <c:pt idx="918">
                  <c:v>189.716</c:v>
                </c:pt>
                <c:pt idx="919">
                  <c:v>189.888</c:v>
                </c:pt>
                <c:pt idx="920">
                  <c:v>190.064</c:v>
                </c:pt>
                <c:pt idx="921">
                  <c:v>190.233</c:v>
                </c:pt>
                <c:pt idx="922">
                  <c:v>190.406</c:v>
                </c:pt>
                <c:pt idx="923">
                  <c:v>190.587</c:v>
                </c:pt>
                <c:pt idx="924">
                  <c:v>190.763</c:v>
                </c:pt>
                <c:pt idx="925">
                  <c:v>190.936</c:v>
                </c:pt>
                <c:pt idx="926">
                  <c:v>191.098</c:v>
                </c:pt>
                <c:pt idx="927">
                  <c:v>191.257</c:v>
                </c:pt>
                <c:pt idx="928">
                  <c:v>191.424</c:v>
                </c:pt>
                <c:pt idx="929">
                  <c:v>191.594</c:v>
                </c:pt>
                <c:pt idx="930">
                  <c:v>191.767</c:v>
                </c:pt>
                <c:pt idx="931">
                  <c:v>191.947</c:v>
                </c:pt>
                <c:pt idx="932">
                  <c:v>192.128</c:v>
                </c:pt>
                <c:pt idx="933">
                  <c:v>192.309</c:v>
                </c:pt>
                <c:pt idx="934">
                  <c:v>192.49</c:v>
                </c:pt>
                <c:pt idx="935">
                  <c:v>192.672</c:v>
                </c:pt>
                <c:pt idx="936">
                  <c:v>192.852</c:v>
                </c:pt>
                <c:pt idx="937">
                  <c:v>193.029</c:v>
                </c:pt>
                <c:pt idx="938">
                  <c:v>193.207</c:v>
                </c:pt>
                <c:pt idx="939">
                  <c:v>193.38</c:v>
                </c:pt>
                <c:pt idx="940">
                  <c:v>193.55</c:v>
                </c:pt>
                <c:pt idx="941">
                  <c:v>193.724</c:v>
                </c:pt>
                <c:pt idx="942">
                  <c:v>193.89</c:v>
                </c:pt>
                <c:pt idx="943">
                  <c:v>194.051</c:v>
                </c:pt>
                <c:pt idx="944">
                  <c:v>194.208</c:v>
                </c:pt>
                <c:pt idx="945">
                  <c:v>194.37</c:v>
                </c:pt>
                <c:pt idx="946">
                  <c:v>194.534</c:v>
                </c:pt>
                <c:pt idx="947">
                  <c:v>194.7</c:v>
                </c:pt>
                <c:pt idx="948">
                  <c:v>194.872</c:v>
                </c:pt>
                <c:pt idx="949">
                  <c:v>195.038</c:v>
                </c:pt>
                <c:pt idx="950">
                  <c:v>195.202</c:v>
                </c:pt>
                <c:pt idx="951">
                  <c:v>195.362</c:v>
                </c:pt>
                <c:pt idx="952">
                  <c:v>195.528</c:v>
                </c:pt>
                <c:pt idx="953">
                  <c:v>195.701</c:v>
                </c:pt>
                <c:pt idx="954">
                  <c:v>195.874</c:v>
                </c:pt>
                <c:pt idx="955">
                  <c:v>196.044</c:v>
                </c:pt>
                <c:pt idx="956">
                  <c:v>196.213</c:v>
                </c:pt>
                <c:pt idx="957">
                  <c:v>196.379</c:v>
                </c:pt>
                <c:pt idx="958">
                  <c:v>196.544</c:v>
                </c:pt>
                <c:pt idx="959">
                  <c:v>196.715</c:v>
                </c:pt>
                <c:pt idx="960">
                  <c:v>196.891</c:v>
                </c:pt>
                <c:pt idx="961">
                  <c:v>197.06</c:v>
                </c:pt>
                <c:pt idx="962">
                  <c:v>197.227</c:v>
                </c:pt>
                <c:pt idx="963">
                  <c:v>197.394</c:v>
                </c:pt>
                <c:pt idx="964">
                  <c:v>197.561</c:v>
                </c:pt>
                <c:pt idx="965">
                  <c:v>197.722</c:v>
                </c:pt>
                <c:pt idx="966">
                  <c:v>197.884</c:v>
                </c:pt>
                <c:pt idx="967">
                  <c:v>198.052</c:v>
                </c:pt>
                <c:pt idx="968">
                  <c:v>198.224</c:v>
                </c:pt>
                <c:pt idx="969">
                  <c:v>198.394</c:v>
                </c:pt>
                <c:pt idx="970">
                  <c:v>198.575</c:v>
                </c:pt>
                <c:pt idx="971">
                  <c:v>198.759</c:v>
                </c:pt>
                <c:pt idx="972">
                  <c:v>198.931</c:v>
                </c:pt>
                <c:pt idx="973">
                  <c:v>199.096</c:v>
                </c:pt>
                <c:pt idx="974">
                  <c:v>199.262</c:v>
                </c:pt>
                <c:pt idx="975">
                  <c:v>199.424</c:v>
                </c:pt>
                <c:pt idx="976">
                  <c:v>199.585</c:v>
                </c:pt>
                <c:pt idx="977">
                  <c:v>199.748</c:v>
                </c:pt>
                <c:pt idx="978">
                  <c:v>199.92</c:v>
                </c:pt>
                <c:pt idx="979">
                  <c:v>200.096</c:v>
                </c:pt>
                <c:pt idx="980">
                  <c:v>200.277</c:v>
                </c:pt>
                <c:pt idx="981">
                  <c:v>200.457</c:v>
                </c:pt>
                <c:pt idx="982">
                  <c:v>200.639</c:v>
                </c:pt>
                <c:pt idx="983">
                  <c:v>200.822</c:v>
                </c:pt>
                <c:pt idx="984">
                  <c:v>201.0</c:v>
                </c:pt>
                <c:pt idx="985">
                  <c:v>201.166</c:v>
                </c:pt>
                <c:pt idx="986">
                  <c:v>201.337</c:v>
                </c:pt>
                <c:pt idx="987">
                  <c:v>201.51</c:v>
                </c:pt>
                <c:pt idx="988">
                  <c:v>201.683</c:v>
                </c:pt>
                <c:pt idx="989">
                  <c:v>201.855</c:v>
                </c:pt>
                <c:pt idx="990">
                  <c:v>202.028</c:v>
                </c:pt>
                <c:pt idx="991">
                  <c:v>202.202</c:v>
                </c:pt>
                <c:pt idx="992">
                  <c:v>202.376</c:v>
                </c:pt>
                <c:pt idx="993">
                  <c:v>202.545</c:v>
                </c:pt>
                <c:pt idx="994">
                  <c:v>202.717</c:v>
                </c:pt>
                <c:pt idx="995">
                  <c:v>202.887</c:v>
                </c:pt>
                <c:pt idx="996">
                  <c:v>203.064</c:v>
                </c:pt>
                <c:pt idx="997">
                  <c:v>203.243</c:v>
                </c:pt>
                <c:pt idx="998">
                  <c:v>203.414</c:v>
                </c:pt>
                <c:pt idx="999">
                  <c:v>203.573</c:v>
                </c:pt>
                <c:pt idx="1000">
                  <c:v>203.74</c:v>
                </c:pt>
                <c:pt idx="1001">
                  <c:v>203.914</c:v>
                </c:pt>
                <c:pt idx="1002">
                  <c:v>204.087</c:v>
                </c:pt>
                <c:pt idx="1003">
                  <c:v>204.25</c:v>
                </c:pt>
                <c:pt idx="1004">
                  <c:v>204.396</c:v>
                </c:pt>
                <c:pt idx="1005">
                  <c:v>204.544</c:v>
                </c:pt>
                <c:pt idx="1006">
                  <c:v>204.696</c:v>
                </c:pt>
                <c:pt idx="1007">
                  <c:v>204.847</c:v>
                </c:pt>
                <c:pt idx="1008">
                  <c:v>205.005</c:v>
                </c:pt>
                <c:pt idx="1009">
                  <c:v>205.168</c:v>
                </c:pt>
                <c:pt idx="1010">
                  <c:v>205.336</c:v>
                </c:pt>
                <c:pt idx="1011">
                  <c:v>205.501</c:v>
                </c:pt>
                <c:pt idx="1012">
                  <c:v>205.671</c:v>
                </c:pt>
                <c:pt idx="1013">
                  <c:v>205.842</c:v>
                </c:pt>
                <c:pt idx="1014">
                  <c:v>206.012</c:v>
                </c:pt>
                <c:pt idx="1015">
                  <c:v>206.181</c:v>
                </c:pt>
                <c:pt idx="1016">
                  <c:v>206.345</c:v>
                </c:pt>
                <c:pt idx="1017">
                  <c:v>206.515</c:v>
                </c:pt>
                <c:pt idx="1018">
                  <c:v>206.681</c:v>
                </c:pt>
                <c:pt idx="1019">
                  <c:v>206.846</c:v>
                </c:pt>
                <c:pt idx="1020">
                  <c:v>207.014</c:v>
                </c:pt>
                <c:pt idx="1021">
                  <c:v>207.173</c:v>
                </c:pt>
                <c:pt idx="1022">
                  <c:v>207.339</c:v>
                </c:pt>
                <c:pt idx="1023">
                  <c:v>207.503</c:v>
                </c:pt>
                <c:pt idx="1024">
                  <c:v>207.669</c:v>
                </c:pt>
                <c:pt idx="1025">
                  <c:v>207.838</c:v>
                </c:pt>
                <c:pt idx="1026">
                  <c:v>208.007</c:v>
                </c:pt>
                <c:pt idx="1027">
                  <c:v>208.182</c:v>
                </c:pt>
                <c:pt idx="1028">
                  <c:v>208.366</c:v>
                </c:pt>
                <c:pt idx="1029">
                  <c:v>208.545</c:v>
                </c:pt>
                <c:pt idx="1030">
                  <c:v>208.723</c:v>
                </c:pt>
                <c:pt idx="1031">
                  <c:v>208.9</c:v>
                </c:pt>
                <c:pt idx="1032">
                  <c:v>209.073</c:v>
                </c:pt>
                <c:pt idx="1033">
                  <c:v>209.245</c:v>
                </c:pt>
                <c:pt idx="1034">
                  <c:v>209.416</c:v>
                </c:pt>
                <c:pt idx="1035">
                  <c:v>209.59</c:v>
                </c:pt>
                <c:pt idx="1036">
                  <c:v>209.77</c:v>
                </c:pt>
                <c:pt idx="1037">
                  <c:v>209.948</c:v>
                </c:pt>
                <c:pt idx="1038">
                  <c:v>210.121</c:v>
                </c:pt>
                <c:pt idx="1039">
                  <c:v>210.294</c:v>
                </c:pt>
                <c:pt idx="1040">
                  <c:v>210.47</c:v>
                </c:pt>
                <c:pt idx="1041">
                  <c:v>210.64</c:v>
                </c:pt>
                <c:pt idx="1042">
                  <c:v>210.81</c:v>
                </c:pt>
                <c:pt idx="1043">
                  <c:v>210.986</c:v>
                </c:pt>
                <c:pt idx="1044">
                  <c:v>211.168</c:v>
                </c:pt>
                <c:pt idx="1045">
                  <c:v>211.349</c:v>
                </c:pt>
                <c:pt idx="1046">
                  <c:v>211.532</c:v>
                </c:pt>
                <c:pt idx="1047">
                  <c:v>211.709</c:v>
                </c:pt>
                <c:pt idx="1048">
                  <c:v>211.881</c:v>
                </c:pt>
                <c:pt idx="1049">
                  <c:v>212.056</c:v>
                </c:pt>
                <c:pt idx="1050">
                  <c:v>212.229</c:v>
                </c:pt>
                <c:pt idx="1051">
                  <c:v>212.398</c:v>
                </c:pt>
                <c:pt idx="1052">
                  <c:v>212.567</c:v>
                </c:pt>
                <c:pt idx="1053">
                  <c:v>212.74</c:v>
                </c:pt>
                <c:pt idx="1054">
                  <c:v>212.912</c:v>
                </c:pt>
                <c:pt idx="1055">
                  <c:v>213.088</c:v>
                </c:pt>
                <c:pt idx="1056">
                  <c:v>213.267</c:v>
                </c:pt>
                <c:pt idx="1057">
                  <c:v>213.443</c:v>
                </c:pt>
                <c:pt idx="1058">
                  <c:v>213.617</c:v>
                </c:pt>
                <c:pt idx="1059">
                  <c:v>213.786</c:v>
                </c:pt>
                <c:pt idx="1060">
                  <c:v>213.956</c:v>
                </c:pt>
                <c:pt idx="1061">
                  <c:v>214.123</c:v>
                </c:pt>
                <c:pt idx="1062">
                  <c:v>214.291</c:v>
                </c:pt>
                <c:pt idx="1063">
                  <c:v>214.462</c:v>
                </c:pt>
                <c:pt idx="1064">
                  <c:v>214.622</c:v>
                </c:pt>
                <c:pt idx="1065">
                  <c:v>214.774</c:v>
                </c:pt>
                <c:pt idx="1066">
                  <c:v>214.928</c:v>
                </c:pt>
                <c:pt idx="1067">
                  <c:v>215.093</c:v>
                </c:pt>
                <c:pt idx="1068">
                  <c:v>215.267</c:v>
                </c:pt>
                <c:pt idx="1069">
                  <c:v>215.447</c:v>
                </c:pt>
                <c:pt idx="1070">
                  <c:v>215.625</c:v>
                </c:pt>
                <c:pt idx="1071">
                  <c:v>215.794</c:v>
                </c:pt>
                <c:pt idx="1072">
                  <c:v>215.957</c:v>
                </c:pt>
                <c:pt idx="1073">
                  <c:v>216.116</c:v>
                </c:pt>
                <c:pt idx="1074">
                  <c:v>216.273</c:v>
                </c:pt>
                <c:pt idx="1075">
                  <c:v>216.439</c:v>
                </c:pt>
                <c:pt idx="1076">
                  <c:v>216.605</c:v>
                </c:pt>
                <c:pt idx="1077">
                  <c:v>216.777</c:v>
                </c:pt>
                <c:pt idx="1078">
                  <c:v>216.952</c:v>
                </c:pt>
                <c:pt idx="1079">
                  <c:v>217.129</c:v>
                </c:pt>
                <c:pt idx="1080">
                  <c:v>217.303</c:v>
                </c:pt>
                <c:pt idx="1081">
                  <c:v>217.471</c:v>
                </c:pt>
                <c:pt idx="1082">
                  <c:v>217.644</c:v>
                </c:pt>
                <c:pt idx="1083">
                  <c:v>217.822</c:v>
                </c:pt>
                <c:pt idx="1084">
                  <c:v>217.998</c:v>
                </c:pt>
                <c:pt idx="1085">
                  <c:v>218.17</c:v>
                </c:pt>
                <c:pt idx="1086">
                  <c:v>218.346</c:v>
                </c:pt>
                <c:pt idx="1087">
                  <c:v>218.521</c:v>
                </c:pt>
                <c:pt idx="1088">
                  <c:v>218.694</c:v>
                </c:pt>
                <c:pt idx="1089">
                  <c:v>218.857</c:v>
                </c:pt>
                <c:pt idx="1090">
                  <c:v>219.017</c:v>
                </c:pt>
                <c:pt idx="1091">
                  <c:v>219.175</c:v>
                </c:pt>
                <c:pt idx="1092">
                  <c:v>219.341</c:v>
                </c:pt>
                <c:pt idx="1093">
                  <c:v>219.507</c:v>
                </c:pt>
                <c:pt idx="1094">
                  <c:v>219.67</c:v>
                </c:pt>
                <c:pt idx="1095">
                  <c:v>219.83</c:v>
                </c:pt>
                <c:pt idx="1096">
                  <c:v>219.992</c:v>
                </c:pt>
                <c:pt idx="1097">
                  <c:v>220.157</c:v>
                </c:pt>
                <c:pt idx="1098">
                  <c:v>220.32</c:v>
                </c:pt>
                <c:pt idx="1099">
                  <c:v>220.483</c:v>
                </c:pt>
                <c:pt idx="1100">
                  <c:v>220.651</c:v>
                </c:pt>
                <c:pt idx="1101">
                  <c:v>220.825</c:v>
                </c:pt>
                <c:pt idx="1102">
                  <c:v>220.993</c:v>
                </c:pt>
                <c:pt idx="1103">
                  <c:v>221.161</c:v>
                </c:pt>
                <c:pt idx="1104">
                  <c:v>221.334</c:v>
                </c:pt>
                <c:pt idx="1105">
                  <c:v>221.499</c:v>
                </c:pt>
                <c:pt idx="1106">
                  <c:v>221.651</c:v>
                </c:pt>
                <c:pt idx="1107">
                  <c:v>221.796</c:v>
                </c:pt>
                <c:pt idx="1108">
                  <c:v>221.947</c:v>
                </c:pt>
                <c:pt idx="1109">
                  <c:v>222.103</c:v>
                </c:pt>
                <c:pt idx="1110">
                  <c:v>222.262</c:v>
                </c:pt>
                <c:pt idx="1111">
                  <c:v>222.426</c:v>
                </c:pt>
                <c:pt idx="1112">
                  <c:v>222.598</c:v>
                </c:pt>
                <c:pt idx="1113">
                  <c:v>222.776</c:v>
                </c:pt>
                <c:pt idx="1114">
                  <c:v>222.951</c:v>
                </c:pt>
                <c:pt idx="1115">
                  <c:v>223.12</c:v>
                </c:pt>
                <c:pt idx="1116">
                  <c:v>223.286</c:v>
                </c:pt>
                <c:pt idx="1117">
                  <c:v>223.459</c:v>
                </c:pt>
                <c:pt idx="1118">
                  <c:v>223.634</c:v>
                </c:pt>
                <c:pt idx="1119">
                  <c:v>223.809</c:v>
                </c:pt>
                <c:pt idx="1120">
                  <c:v>223.986</c:v>
                </c:pt>
                <c:pt idx="1121">
                  <c:v>224.16</c:v>
                </c:pt>
                <c:pt idx="1122">
                  <c:v>224.336</c:v>
                </c:pt>
                <c:pt idx="1123">
                  <c:v>224.508</c:v>
                </c:pt>
                <c:pt idx="1124">
                  <c:v>224.672</c:v>
                </c:pt>
                <c:pt idx="1125">
                  <c:v>224.834</c:v>
                </c:pt>
                <c:pt idx="1126">
                  <c:v>224.996</c:v>
                </c:pt>
                <c:pt idx="1127">
                  <c:v>225.16</c:v>
                </c:pt>
                <c:pt idx="1128">
                  <c:v>225.332</c:v>
                </c:pt>
                <c:pt idx="1129">
                  <c:v>225.505</c:v>
                </c:pt>
                <c:pt idx="1130">
                  <c:v>225.68</c:v>
                </c:pt>
                <c:pt idx="1131">
                  <c:v>225.857</c:v>
                </c:pt>
                <c:pt idx="1132">
                  <c:v>226.019</c:v>
                </c:pt>
                <c:pt idx="1133">
                  <c:v>226.182</c:v>
                </c:pt>
                <c:pt idx="1134">
                  <c:v>226.346</c:v>
                </c:pt>
                <c:pt idx="1135">
                  <c:v>226.515</c:v>
                </c:pt>
                <c:pt idx="1136">
                  <c:v>226.688</c:v>
                </c:pt>
                <c:pt idx="1137">
                  <c:v>226.864</c:v>
                </c:pt>
                <c:pt idx="1138">
                  <c:v>227.037</c:v>
                </c:pt>
                <c:pt idx="1139">
                  <c:v>227.204</c:v>
                </c:pt>
                <c:pt idx="1140">
                  <c:v>227.378</c:v>
                </c:pt>
                <c:pt idx="1141">
                  <c:v>227.547</c:v>
                </c:pt>
                <c:pt idx="1142">
                  <c:v>227.71</c:v>
                </c:pt>
                <c:pt idx="1143">
                  <c:v>227.873</c:v>
                </c:pt>
                <c:pt idx="1144">
                  <c:v>228.039</c:v>
                </c:pt>
                <c:pt idx="1145">
                  <c:v>228.204</c:v>
                </c:pt>
                <c:pt idx="1146">
                  <c:v>228.36</c:v>
                </c:pt>
                <c:pt idx="1147">
                  <c:v>228.5</c:v>
                </c:pt>
                <c:pt idx="1148">
                  <c:v>228.651</c:v>
                </c:pt>
                <c:pt idx="1149">
                  <c:v>228.816</c:v>
                </c:pt>
                <c:pt idx="1150">
                  <c:v>228.989</c:v>
                </c:pt>
                <c:pt idx="1151">
                  <c:v>229.169</c:v>
                </c:pt>
                <c:pt idx="1152">
                  <c:v>229.35</c:v>
                </c:pt>
                <c:pt idx="1153">
                  <c:v>229.527</c:v>
                </c:pt>
                <c:pt idx="1154">
                  <c:v>229.693</c:v>
                </c:pt>
                <c:pt idx="1155">
                  <c:v>229.86</c:v>
                </c:pt>
                <c:pt idx="1156">
                  <c:v>230.033</c:v>
                </c:pt>
                <c:pt idx="1157">
                  <c:v>230.21</c:v>
                </c:pt>
                <c:pt idx="1158">
                  <c:v>230.386</c:v>
                </c:pt>
                <c:pt idx="1159">
                  <c:v>230.56</c:v>
                </c:pt>
                <c:pt idx="1160">
                  <c:v>230.721</c:v>
                </c:pt>
                <c:pt idx="1161">
                  <c:v>230.88</c:v>
                </c:pt>
                <c:pt idx="1162">
                  <c:v>231.043</c:v>
                </c:pt>
                <c:pt idx="1163">
                  <c:v>231.211</c:v>
                </c:pt>
                <c:pt idx="1164">
                  <c:v>231.375</c:v>
                </c:pt>
                <c:pt idx="1165">
                  <c:v>231.532</c:v>
                </c:pt>
                <c:pt idx="1166">
                  <c:v>231.688</c:v>
                </c:pt>
                <c:pt idx="1167">
                  <c:v>231.856</c:v>
                </c:pt>
                <c:pt idx="1168">
                  <c:v>232.026</c:v>
                </c:pt>
                <c:pt idx="1169">
                  <c:v>232.192</c:v>
                </c:pt>
                <c:pt idx="1170">
                  <c:v>232.36</c:v>
                </c:pt>
                <c:pt idx="1171">
                  <c:v>232.529</c:v>
                </c:pt>
                <c:pt idx="1172">
                  <c:v>232.701</c:v>
                </c:pt>
                <c:pt idx="1173">
                  <c:v>232.865</c:v>
                </c:pt>
                <c:pt idx="1174">
                  <c:v>233.033</c:v>
                </c:pt>
                <c:pt idx="1175">
                  <c:v>233.209</c:v>
                </c:pt>
                <c:pt idx="1176">
                  <c:v>233.378</c:v>
                </c:pt>
                <c:pt idx="1177">
                  <c:v>233.537</c:v>
                </c:pt>
                <c:pt idx="1178">
                  <c:v>233.699</c:v>
                </c:pt>
                <c:pt idx="1179">
                  <c:v>233.871</c:v>
                </c:pt>
                <c:pt idx="1180">
                  <c:v>234.044</c:v>
                </c:pt>
                <c:pt idx="1181">
                  <c:v>234.218</c:v>
                </c:pt>
                <c:pt idx="1182">
                  <c:v>234.388</c:v>
                </c:pt>
                <c:pt idx="1183">
                  <c:v>234.546</c:v>
                </c:pt>
                <c:pt idx="1184">
                  <c:v>234.705</c:v>
                </c:pt>
                <c:pt idx="1185">
                  <c:v>234.856</c:v>
                </c:pt>
                <c:pt idx="1186">
                  <c:v>235.008</c:v>
                </c:pt>
                <c:pt idx="1187">
                  <c:v>235.163</c:v>
                </c:pt>
                <c:pt idx="1188">
                  <c:v>235.327</c:v>
                </c:pt>
                <c:pt idx="1189">
                  <c:v>235.496</c:v>
                </c:pt>
                <c:pt idx="1190">
                  <c:v>235.675</c:v>
                </c:pt>
                <c:pt idx="1191">
                  <c:v>235.857</c:v>
                </c:pt>
                <c:pt idx="1192">
                  <c:v>236.034</c:v>
                </c:pt>
                <c:pt idx="1193">
                  <c:v>236.208</c:v>
                </c:pt>
                <c:pt idx="1194">
                  <c:v>236.37</c:v>
                </c:pt>
                <c:pt idx="1195">
                  <c:v>236.535</c:v>
                </c:pt>
                <c:pt idx="1196">
                  <c:v>236.707</c:v>
                </c:pt>
                <c:pt idx="1197">
                  <c:v>236.88</c:v>
                </c:pt>
                <c:pt idx="1198">
                  <c:v>237.048</c:v>
                </c:pt>
                <c:pt idx="1199">
                  <c:v>237.221</c:v>
                </c:pt>
                <c:pt idx="1200">
                  <c:v>237.398</c:v>
                </c:pt>
                <c:pt idx="1201">
                  <c:v>237.569</c:v>
                </c:pt>
                <c:pt idx="1202">
                  <c:v>237.737</c:v>
                </c:pt>
                <c:pt idx="1203">
                  <c:v>237.905</c:v>
                </c:pt>
                <c:pt idx="1204">
                  <c:v>238.076</c:v>
                </c:pt>
                <c:pt idx="1205">
                  <c:v>238.246</c:v>
                </c:pt>
                <c:pt idx="1206">
                  <c:v>238.416</c:v>
                </c:pt>
                <c:pt idx="1207">
                  <c:v>238.583</c:v>
                </c:pt>
                <c:pt idx="1208">
                  <c:v>238.756</c:v>
                </c:pt>
                <c:pt idx="1209">
                  <c:v>238.934</c:v>
                </c:pt>
                <c:pt idx="1210">
                  <c:v>239.117</c:v>
                </c:pt>
                <c:pt idx="1211">
                  <c:v>239.296</c:v>
                </c:pt>
                <c:pt idx="1212">
                  <c:v>239.475</c:v>
                </c:pt>
                <c:pt idx="1213">
                  <c:v>239.648</c:v>
                </c:pt>
                <c:pt idx="1214">
                  <c:v>239.81</c:v>
                </c:pt>
                <c:pt idx="1215">
                  <c:v>239.973</c:v>
                </c:pt>
                <c:pt idx="1216">
                  <c:v>240.138</c:v>
                </c:pt>
                <c:pt idx="1217">
                  <c:v>240.306</c:v>
                </c:pt>
                <c:pt idx="1218">
                  <c:v>240.472</c:v>
                </c:pt>
                <c:pt idx="1219">
                  <c:v>240.637</c:v>
                </c:pt>
                <c:pt idx="1220">
                  <c:v>240.803</c:v>
                </c:pt>
                <c:pt idx="1221">
                  <c:v>240.973</c:v>
                </c:pt>
                <c:pt idx="1222">
                  <c:v>241.141</c:v>
                </c:pt>
                <c:pt idx="1223">
                  <c:v>241.309</c:v>
                </c:pt>
                <c:pt idx="1224">
                  <c:v>241.477</c:v>
                </c:pt>
                <c:pt idx="1225">
                  <c:v>241.646</c:v>
                </c:pt>
                <c:pt idx="1226">
                  <c:v>241.82</c:v>
                </c:pt>
                <c:pt idx="1227">
                  <c:v>241.996</c:v>
                </c:pt>
                <c:pt idx="1228">
                  <c:v>242.164</c:v>
                </c:pt>
                <c:pt idx="1229">
                  <c:v>242.335</c:v>
                </c:pt>
                <c:pt idx="1230">
                  <c:v>242.505</c:v>
                </c:pt>
                <c:pt idx="1231">
                  <c:v>242.676</c:v>
                </c:pt>
                <c:pt idx="1232">
                  <c:v>242.846</c:v>
                </c:pt>
                <c:pt idx="1233">
                  <c:v>243.011</c:v>
                </c:pt>
                <c:pt idx="1234">
                  <c:v>243.172</c:v>
                </c:pt>
                <c:pt idx="1235">
                  <c:v>243.335</c:v>
                </c:pt>
                <c:pt idx="1236">
                  <c:v>243.504</c:v>
                </c:pt>
                <c:pt idx="1237">
                  <c:v>243.681</c:v>
                </c:pt>
                <c:pt idx="1238">
                  <c:v>243.864</c:v>
                </c:pt>
                <c:pt idx="1239">
                  <c:v>244.041</c:v>
                </c:pt>
                <c:pt idx="1240">
                  <c:v>244.219</c:v>
                </c:pt>
                <c:pt idx="1241">
                  <c:v>244.393</c:v>
                </c:pt>
                <c:pt idx="1242">
                  <c:v>244.564</c:v>
                </c:pt>
                <c:pt idx="1243">
                  <c:v>244.721</c:v>
                </c:pt>
                <c:pt idx="1244">
                  <c:v>244.876</c:v>
                </c:pt>
                <c:pt idx="1245">
                  <c:v>245.035</c:v>
                </c:pt>
                <c:pt idx="1246">
                  <c:v>245.197</c:v>
                </c:pt>
                <c:pt idx="1247">
                  <c:v>245.363</c:v>
                </c:pt>
                <c:pt idx="1248">
                  <c:v>245.534</c:v>
                </c:pt>
                <c:pt idx="1249">
                  <c:v>245.708</c:v>
                </c:pt>
                <c:pt idx="1250">
                  <c:v>245.881</c:v>
                </c:pt>
                <c:pt idx="1251">
                  <c:v>246.05</c:v>
                </c:pt>
                <c:pt idx="1252">
                  <c:v>246.216</c:v>
                </c:pt>
                <c:pt idx="1253">
                  <c:v>246.385</c:v>
                </c:pt>
                <c:pt idx="1254">
                  <c:v>246.559</c:v>
                </c:pt>
                <c:pt idx="1255">
                  <c:v>246.737</c:v>
                </c:pt>
                <c:pt idx="1256">
                  <c:v>246.915</c:v>
                </c:pt>
                <c:pt idx="1257">
                  <c:v>247.094</c:v>
                </c:pt>
                <c:pt idx="1258">
                  <c:v>247.265</c:v>
                </c:pt>
                <c:pt idx="1259">
                  <c:v>247.423</c:v>
                </c:pt>
                <c:pt idx="1260">
                  <c:v>247.587</c:v>
                </c:pt>
                <c:pt idx="1261">
                  <c:v>247.752</c:v>
                </c:pt>
                <c:pt idx="1262">
                  <c:v>247.922</c:v>
                </c:pt>
                <c:pt idx="1263">
                  <c:v>248.093</c:v>
                </c:pt>
                <c:pt idx="1264">
                  <c:v>248.266</c:v>
                </c:pt>
                <c:pt idx="1265">
                  <c:v>248.44</c:v>
                </c:pt>
                <c:pt idx="1266">
                  <c:v>248.606</c:v>
                </c:pt>
                <c:pt idx="1267">
                  <c:v>248.773</c:v>
                </c:pt>
                <c:pt idx="1268">
                  <c:v>248.942</c:v>
                </c:pt>
                <c:pt idx="1269">
                  <c:v>249.112</c:v>
                </c:pt>
                <c:pt idx="1270">
                  <c:v>249.286</c:v>
                </c:pt>
                <c:pt idx="1271">
                  <c:v>249.459</c:v>
                </c:pt>
                <c:pt idx="1272">
                  <c:v>249.622</c:v>
                </c:pt>
                <c:pt idx="1273">
                  <c:v>249.772</c:v>
                </c:pt>
                <c:pt idx="1274">
                  <c:v>249.923</c:v>
                </c:pt>
                <c:pt idx="1275">
                  <c:v>250.09</c:v>
                </c:pt>
                <c:pt idx="1276">
                  <c:v>250.261</c:v>
                </c:pt>
                <c:pt idx="1277">
                  <c:v>250.432</c:v>
                </c:pt>
                <c:pt idx="1278">
                  <c:v>250.606</c:v>
                </c:pt>
                <c:pt idx="1279">
                  <c:v>250.782</c:v>
                </c:pt>
                <c:pt idx="1280">
                  <c:v>250.948</c:v>
                </c:pt>
                <c:pt idx="1281">
                  <c:v>251.105</c:v>
                </c:pt>
                <c:pt idx="1282">
                  <c:v>251.266</c:v>
                </c:pt>
                <c:pt idx="1283">
                  <c:v>251.422</c:v>
                </c:pt>
                <c:pt idx="1284">
                  <c:v>251.577</c:v>
                </c:pt>
                <c:pt idx="1285">
                  <c:v>251.738</c:v>
                </c:pt>
                <c:pt idx="1286">
                  <c:v>251.901</c:v>
                </c:pt>
                <c:pt idx="1287">
                  <c:v>252.065</c:v>
                </c:pt>
                <c:pt idx="1288">
                  <c:v>252.236</c:v>
                </c:pt>
                <c:pt idx="1289">
                  <c:v>252.404</c:v>
                </c:pt>
                <c:pt idx="1290">
                  <c:v>252.575</c:v>
                </c:pt>
                <c:pt idx="1291">
                  <c:v>252.747</c:v>
                </c:pt>
                <c:pt idx="1292">
                  <c:v>252.919</c:v>
                </c:pt>
                <c:pt idx="1293">
                  <c:v>253.096</c:v>
                </c:pt>
                <c:pt idx="1294">
                  <c:v>253.274</c:v>
                </c:pt>
                <c:pt idx="1295">
                  <c:v>253.45</c:v>
                </c:pt>
                <c:pt idx="1296">
                  <c:v>253.63</c:v>
                </c:pt>
                <c:pt idx="1297">
                  <c:v>253.807</c:v>
                </c:pt>
                <c:pt idx="1298">
                  <c:v>253.982</c:v>
                </c:pt>
                <c:pt idx="1299">
                  <c:v>254.157</c:v>
                </c:pt>
                <c:pt idx="1300">
                  <c:v>254.331</c:v>
                </c:pt>
                <c:pt idx="1301">
                  <c:v>254.506</c:v>
                </c:pt>
                <c:pt idx="1302">
                  <c:v>254.679</c:v>
                </c:pt>
                <c:pt idx="1303">
                  <c:v>254.85</c:v>
                </c:pt>
                <c:pt idx="1304">
                  <c:v>255.015</c:v>
                </c:pt>
                <c:pt idx="1305">
                  <c:v>255.176</c:v>
                </c:pt>
                <c:pt idx="1306">
                  <c:v>255.339</c:v>
                </c:pt>
                <c:pt idx="1307">
                  <c:v>255.51</c:v>
                </c:pt>
                <c:pt idx="1308">
                  <c:v>255.683</c:v>
                </c:pt>
                <c:pt idx="1309">
                  <c:v>255.854</c:v>
                </c:pt>
                <c:pt idx="1310">
                  <c:v>256.023</c:v>
                </c:pt>
                <c:pt idx="1311">
                  <c:v>256.189</c:v>
                </c:pt>
                <c:pt idx="1312">
                  <c:v>256.358</c:v>
                </c:pt>
                <c:pt idx="1313">
                  <c:v>256.5249999999999</c:v>
                </c:pt>
                <c:pt idx="1314">
                  <c:v>256.694</c:v>
                </c:pt>
                <c:pt idx="1315">
                  <c:v>256.865</c:v>
                </c:pt>
                <c:pt idx="1316">
                  <c:v>257.041</c:v>
                </c:pt>
                <c:pt idx="1317">
                  <c:v>257.2189999999989</c:v>
                </c:pt>
                <c:pt idx="1318">
                  <c:v>257.39</c:v>
                </c:pt>
                <c:pt idx="1319">
                  <c:v>257.5539999999999</c:v>
                </c:pt>
                <c:pt idx="1320">
                  <c:v>257.711</c:v>
                </c:pt>
                <c:pt idx="1321">
                  <c:v>257.874</c:v>
                </c:pt>
                <c:pt idx="1322">
                  <c:v>258.041</c:v>
                </c:pt>
                <c:pt idx="1323">
                  <c:v>258.209</c:v>
                </c:pt>
                <c:pt idx="1324">
                  <c:v>258.3759999999999</c:v>
                </c:pt>
                <c:pt idx="1325">
                  <c:v>258.5419999999999</c:v>
                </c:pt>
                <c:pt idx="1326">
                  <c:v>258.709</c:v>
                </c:pt>
                <c:pt idx="1327">
                  <c:v>258.88</c:v>
                </c:pt>
                <c:pt idx="1328">
                  <c:v>259.045</c:v>
                </c:pt>
                <c:pt idx="1329">
                  <c:v>259.206</c:v>
                </c:pt>
                <c:pt idx="1330">
                  <c:v>259.378</c:v>
                </c:pt>
                <c:pt idx="1331">
                  <c:v>259.5559999999999</c:v>
                </c:pt>
                <c:pt idx="1332">
                  <c:v>259.735</c:v>
                </c:pt>
                <c:pt idx="1333">
                  <c:v>259.9139999999989</c:v>
                </c:pt>
                <c:pt idx="1334">
                  <c:v>260.0849999999999</c:v>
                </c:pt>
                <c:pt idx="1335">
                  <c:v>260.254</c:v>
                </c:pt>
                <c:pt idx="1336">
                  <c:v>260.4229999999989</c:v>
                </c:pt>
                <c:pt idx="1337">
                  <c:v>260.58</c:v>
                </c:pt>
                <c:pt idx="1338">
                  <c:v>260.725</c:v>
                </c:pt>
                <c:pt idx="1339">
                  <c:v>260.8759999999999</c:v>
                </c:pt>
                <c:pt idx="1340">
                  <c:v>261.033</c:v>
                </c:pt>
                <c:pt idx="1341">
                  <c:v>261.1929999999999</c:v>
                </c:pt>
                <c:pt idx="1342">
                  <c:v>261.3589999999999</c:v>
                </c:pt>
                <c:pt idx="1343">
                  <c:v>261.524</c:v>
                </c:pt>
                <c:pt idx="1344">
                  <c:v>261.678</c:v>
                </c:pt>
                <c:pt idx="1345">
                  <c:v>261.8369999999989</c:v>
                </c:pt>
                <c:pt idx="1346">
                  <c:v>262.002</c:v>
                </c:pt>
                <c:pt idx="1347">
                  <c:v>262.171</c:v>
                </c:pt>
                <c:pt idx="1348">
                  <c:v>262.339</c:v>
                </c:pt>
                <c:pt idx="1349">
                  <c:v>262.514</c:v>
                </c:pt>
                <c:pt idx="1350">
                  <c:v>262.687</c:v>
                </c:pt>
                <c:pt idx="1351">
                  <c:v>262.853</c:v>
                </c:pt>
                <c:pt idx="1352">
                  <c:v>263.0179999999999</c:v>
                </c:pt>
                <c:pt idx="1353">
                  <c:v>263.17</c:v>
                </c:pt>
                <c:pt idx="1354">
                  <c:v>263.333</c:v>
                </c:pt>
                <c:pt idx="1355">
                  <c:v>263.5059999999999</c:v>
                </c:pt>
                <c:pt idx="1356">
                  <c:v>263.677</c:v>
                </c:pt>
                <c:pt idx="1357">
                  <c:v>263.85</c:v>
                </c:pt>
                <c:pt idx="1358">
                  <c:v>264.026</c:v>
                </c:pt>
                <c:pt idx="1359">
                  <c:v>264.2029999999999</c:v>
                </c:pt>
                <c:pt idx="1360">
                  <c:v>264.374</c:v>
                </c:pt>
                <c:pt idx="1361">
                  <c:v>264.546</c:v>
                </c:pt>
                <c:pt idx="1362">
                  <c:v>264.713</c:v>
                </c:pt>
                <c:pt idx="1363">
                  <c:v>264.886</c:v>
                </c:pt>
                <c:pt idx="1364">
                  <c:v>265.058</c:v>
                </c:pt>
                <c:pt idx="1365">
                  <c:v>265.23</c:v>
                </c:pt>
                <c:pt idx="1366">
                  <c:v>265.408</c:v>
                </c:pt>
                <c:pt idx="1367">
                  <c:v>265.589</c:v>
                </c:pt>
                <c:pt idx="1368">
                  <c:v>265.766</c:v>
                </c:pt>
                <c:pt idx="1369">
                  <c:v>265.9429999999999</c:v>
                </c:pt>
                <c:pt idx="1370">
                  <c:v>266.115</c:v>
                </c:pt>
                <c:pt idx="1371">
                  <c:v>266.2859999999989</c:v>
                </c:pt>
                <c:pt idx="1372">
                  <c:v>266.458</c:v>
                </c:pt>
                <c:pt idx="1373">
                  <c:v>266.636</c:v>
                </c:pt>
                <c:pt idx="1374">
                  <c:v>266.813</c:v>
                </c:pt>
                <c:pt idx="1375">
                  <c:v>266.9859999999989</c:v>
                </c:pt>
                <c:pt idx="1376">
                  <c:v>267.145</c:v>
                </c:pt>
                <c:pt idx="1377">
                  <c:v>267.2989999999986</c:v>
                </c:pt>
                <c:pt idx="1378">
                  <c:v>267.4599999999999</c:v>
                </c:pt>
                <c:pt idx="1379">
                  <c:v>267.618</c:v>
                </c:pt>
                <c:pt idx="1380">
                  <c:v>267.774</c:v>
                </c:pt>
                <c:pt idx="1381">
                  <c:v>267.9299999999996</c:v>
                </c:pt>
                <c:pt idx="1382">
                  <c:v>268.088</c:v>
                </c:pt>
                <c:pt idx="1383">
                  <c:v>268.248</c:v>
                </c:pt>
                <c:pt idx="1384">
                  <c:v>268.4059999999996</c:v>
                </c:pt>
                <c:pt idx="1385">
                  <c:v>268.564</c:v>
                </c:pt>
                <c:pt idx="1386">
                  <c:v>268.723</c:v>
                </c:pt>
                <c:pt idx="1387">
                  <c:v>268.88</c:v>
                </c:pt>
                <c:pt idx="1388">
                  <c:v>269.0419999999999</c:v>
                </c:pt>
                <c:pt idx="1389">
                  <c:v>269.211</c:v>
                </c:pt>
                <c:pt idx="1390">
                  <c:v>269.379</c:v>
                </c:pt>
                <c:pt idx="1391">
                  <c:v>269.5439999999999</c:v>
                </c:pt>
                <c:pt idx="1392">
                  <c:v>269.709</c:v>
                </c:pt>
                <c:pt idx="1393">
                  <c:v>269.866</c:v>
                </c:pt>
                <c:pt idx="1394">
                  <c:v>270.0309999999996</c:v>
                </c:pt>
                <c:pt idx="1395">
                  <c:v>270.204</c:v>
                </c:pt>
                <c:pt idx="1396">
                  <c:v>270.379</c:v>
                </c:pt>
                <c:pt idx="1397">
                  <c:v>270.546</c:v>
                </c:pt>
                <c:pt idx="1398">
                  <c:v>270.713</c:v>
                </c:pt>
                <c:pt idx="1399">
                  <c:v>270.884</c:v>
                </c:pt>
                <c:pt idx="1400">
                  <c:v>271.055</c:v>
                </c:pt>
                <c:pt idx="1401">
                  <c:v>271.22</c:v>
                </c:pt>
                <c:pt idx="1402">
                  <c:v>271.392</c:v>
                </c:pt>
                <c:pt idx="1403">
                  <c:v>271.57</c:v>
                </c:pt>
                <c:pt idx="1404">
                  <c:v>271.753</c:v>
                </c:pt>
                <c:pt idx="1405">
                  <c:v>271.934</c:v>
                </c:pt>
                <c:pt idx="1406">
                  <c:v>272.1070000000001</c:v>
                </c:pt>
                <c:pt idx="1407">
                  <c:v>272.278</c:v>
                </c:pt>
                <c:pt idx="1408">
                  <c:v>272.445</c:v>
                </c:pt>
                <c:pt idx="1409">
                  <c:v>272.612</c:v>
                </c:pt>
                <c:pt idx="1410">
                  <c:v>272.776</c:v>
                </c:pt>
                <c:pt idx="1411">
                  <c:v>272.947</c:v>
                </c:pt>
                <c:pt idx="1412">
                  <c:v>273.122</c:v>
                </c:pt>
                <c:pt idx="1413">
                  <c:v>273.295</c:v>
                </c:pt>
                <c:pt idx="1414">
                  <c:v>273.468</c:v>
                </c:pt>
                <c:pt idx="1415">
                  <c:v>273.645</c:v>
                </c:pt>
                <c:pt idx="1416">
                  <c:v>273.817</c:v>
                </c:pt>
                <c:pt idx="1417">
                  <c:v>273.9809999999989</c:v>
                </c:pt>
                <c:pt idx="1418">
                  <c:v>274.145</c:v>
                </c:pt>
                <c:pt idx="1419">
                  <c:v>274.313</c:v>
                </c:pt>
                <c:pt idx="1420">
                  <c:v>274.4829999999992</c:v>
                </c:pt>
                <c:pt idx="1421">
                  <c:v>274.653</c:v>
                </c:pt>
                <c:pt idx="1422">
                  <c:v>274.8059999999999</c:v>
                </c:pt>
                <c:pt idx="1423">
                  <c:v>274.9569999999989</c:v>
                </c:pt>
                <c:pt idx="1424">
                  <c:v>275.1190000000001</c:v>
                </c:pt>
                <c:pt idx="1425">
                  <c:v>275.2869999999986</c:v>
                </c:pt>
                <c:pt idx="1426">
                  <c:v>275.459</c:v>
                </c:pt>
                <c:pt idx="1427">
                  <c:v>275.632</c:v>
                </c:pt>
                <c:pt idx="1428">
                  <c:v>275.807</c:v>
                </c:pt>
                <c:pt idx="1429">
                  <c:v>275.9759999999989</c:v>
                </c:pt>
                <c:pt idx="1430">
                  <c:v>276.143</c:v>
                </c:pt>
                <c:pt idx="1431">
                  <c:v>276.3109999999999</c:v>
                </c:pt>
                <c:pt idx="1432">
                  <c:v>276.48</c:v>
                </c:pt>
                <c:pt idx="1433">
                  <c:v>276.651</c:v>
                </c:pt>
                <c:pt idx="1434">
                  <c:v>276.827</c:v>
                </c:pt>
                <c:pt idx="1435">
                  <c:v>277.004</c:v>
                </c:pt>
                <c:pt idx="1436">
                  <c:v>277.1789999999999</c:v>
                </c:pt>
                <c:pt idx="1437">
                  <c:v>277.356</c:v>
                </c:pt>
                <c:pt idx="1438">
                  <c:v>277.5299999999999</c:v>
                </c:pt>
                <c:pt idx="1439">
                  <c:v>277.689</c:v>
                </c:pt>
                <c:pt idx="1440">
                  <c:v>277.844</c:v>
                </c:pt>
                <c:pt idx="1441">
                  <c:v>278.009</c:v>
                </c:pt>
                <c:pt idx="1442">
                  <c:v>278.176</c:v>
                </c:pt>
                <c:pt idx="1443">
                  <c:v>278.336</c:v>
                </c:pt>
                <c:pt idx="1444">
                  <c:v>278.497</c:v>
                </c:pt>
                <c:pt idx="1445">
                  <c:v>278.653</c:v>
                </c:pt>
                <c:pt idx="1446">
                  <c:v>278.8109999999999</c:v>
                </c:pt>
                <c:pt idx="1447">
                  <c:v>278.975</c:v>
                </c:pt>
                <c:pt idx="1448">
                  <c:v>279.146</c:v>
                </c:pt>
                <c:pt idx="1449">
                  <c:v>279.321</c:v>
                </c:pt>
                <c:pt idx="1450">
                  <c:v>279.5</c:v>
                </c:pt>
                <c:pt idx="1451">
                  <c:v>279.6789999999999</c:v>
                </c:pt>
                <c:pt idx="1452">
                  <c:v>279.8519999999999</c:v>
                </c:pt>
                <c:pt idx="1453">
                  <c:v>280.02</c:v>
                </c:pt>
                <c:pt idx="1454">
                  <c:v>280.1859999999999</c:v>
                </c:pt>
                <c:pt idx="1455">
                  <c:v>280.35</c:v>
                </c:pt>
                <c:pt idx="1456">
                  <c:v>280.51</c:v>
                </c:pt>
                <c:pt idx="1457">
                  <c:v>280.675</c:v>
                </c:pt>
                <c:pt idx="1458">
                  <c:v>280.846</c:v>
                </c:pt>
                <c:pt idx="1459">
                  <c:v>281.015</c:v>
                </c:pt>
                <c:pt idx="1460">
                  <c:v>281.1789999999999</c:v>
                </c:pt>
                <c:pt idx="1461">
                  <c:v>281.348</c:v>
                </c:pt>
                <c:pt idx="1462">
                  <c:v>281.5219999999989</c:v>
                </c:pt>
                <c:pt idx="1463">
                  <c:v>281.697</c:v>
                </c:pt>
                <c:pt idx="1464">
                  <c:v>281.872</c:v>
                </c:pt>
                <c:pt idx="1465">
                  <c:v>282.045</c:v>
                </c:pt>
                <c:pt idx="1466">
                  <c:v>282.209</c:v>
                </c:pt>
                <c:pt idx="1467">
                  <c:v>282.375</c:v>
                </c:pt>
                <c:pt idx="1468">
                  <c:v>282.5419999999999</c:v>
                </c:pt>
                <c:pt idx="1469">
                  <c:v>282.708</c:v>
                </c:pt>
                <c:pt idx="1470">
                  <c:v>282.878</c:v>
                </c:pt>
                <c:pt idx="1471">
                  <c:v>283.0419999999999</c:v>
                </c:pt>
                <c:pt idx="1472">
                  <c:v>283.2049999999999</c:v>
                </c:pt>
                <c:pt idx="1473">
                  <c:v>283.3759999999999</c:v>
                </c:pt>
                <c:pt idx="1474">
                  <c:v>283.551</c:v>
                </c:pt>
                <c:pt idx="1475">
                  <c:v>283.7269999999986</c:v>
                </c:pt>
                <c:pt idx="1476">
                  <c:v>283.9019999999986</c:v>
                </c:pt>
                <c:pt idx="1477">
                  <c:v>284.07</c:v>
                </c:pt>
                <c:pt idx="1478">
                  <c:v>284.237</c:v>
                </c:pt>
                <c:pt idx="1479">
                  <c:v>284.404</c:v>
                </c:pt>
                <c:pt idx="1480">
                  <c:v>284.57</c:v>
                </c:pt>
                <c:pt idx="1481">
                  <c:v>284.7379999999989</c:v>
                </c:pt>
                <c:pt idx="1482">
                  <c:v>284.9049999999999</c:v>
                </c:pt>
                <c:pt idx="1483">
                  <c:v>285.063</c:v>
                </c:pt>
                <c:pt idx="1484">
                  <c:v>285.225</c:v>
                </c:pt>
                <c:pt idx="1485">
                  <c:v>285.391</c:v>
                </c:pt>
                <c:pt idx="1486">
                  <c:v>285.558</c:v>
                </c:pt>
                <c:pt idx="1487">
                  <c:v>285.72</c:v>
                </c:pt>
                <c:pt idx="1488">
                  <c:v>285.885</c:v>
                </c:pt>
                <c:pt idx="1489">
                  <c:v>286.057</c:v>
                </c:pt>
                <c:pt idx="1490">
                  <c:v>286.2329999999992</c:v>
                </c:pt>
                <c:pt idx="1491">
                  <c:v>286.4089999999989</c:v>
                </c:pt>
                <c:pt idx="1492">
                  <c:v>286.581</c:v>
                </c:pt>
                <c:pt idx="1493">
                  <c:v>286.755</c:v>
                </c:pt>
                <c:pt idx="1494">
                  <c:v>286.9259999999989</c:v>
                </c:pt>
                <c:pt idx="1495">
                  <c:v>287.0989999999989</c:v>
                </c:pt>
                <c:pt idx="1496">
                  <c:v>287.2719999999989</c:v>
                </c:pt>
                <c:pt idx="1497">
                  <c:v>287.4349999999989</c:v>
                </c:pt>
                <c:pt idx="1498">
                  <c:v>287.584</c:v>
                </c:pt>
                <c:pt idx="1499">
                  <c:v>287.7359999999989</c:v>
                </c:pt>
                <c:pt idx="1500">
                  <c:v>287.8969999999989</c:v>
                </c:pt>
                <c:pt idx="1501">
                  <c:v>288.064</c:v>
                </c:pt>
                <c:pt idx="1502">
                  <c:v>288.2329999999992</c:v>
                </c:pt>
                <c:pt idx="1503">
                  <c:v>288.4059999999996</c:v>
                </c:pt>
                <c:pt idx="1504">
                  <c:v>288.577</c:v>
                </c:pt>
                <c:pt idx="1505">
                  <c:v>288.748</c:v>
                </c:pt>
                <c:pt idx="1506">
                  <c:v>288.9209999999989</c:v>
                </c:pt>
                <c:pt idx="1507">
                  <c:v>289.098</c:v>
                </c:pt>
                <c:pt idx="1508">
                  <c:v>289.274</c:v>
                </c:pt>
                <c:pt idx="1509">
                  <c:v>289.444</c:v>
                </c:pt>
                <c:pt idx="1510">
                  <c:v>289.616</c:v>
                </c:pt>
                <c:pt idx="1511">
                  <c:v>289.79</c:v>
                </c:pt>
                <c:pt idx="1512">
                  <c:v>289.966</c:v>
                </c:pt>
                <c:pt idx="1513">
                  <c:v>290.1379999999999</c:v>
                </c:pt>
                <c:pt idx="1514">
                  <c:v>290.3109999999999</c:v>
                </c:pt>
                <c:pt idx="1515">
                  <c:v>290.4769999999986</c:v>
                </c:pt>
                <c:pt idx="1516">
                  <c:v>290.646</c:v>
                </c:pt>
                <c:pt idx="1517">
                  <c:v>290.8179999999999</c:v>
                </c:pt>
                <c:pt idx="1518">
                  <c:v>290.99</c:v>
                </c:pt>
                <c:pt idx="1519">
                  <c:v>291.149</c:v>
                </c:pt>
                <c:pt idx="1520">
                  <c:v>291.3090000000001</c:v>
                </c:pt>
                <c:pt idx="1521">
                  <c:v>291.4759999999989</c:v>
                </c:pt>
                <c:pt idx="1522">
                  <c:v>291.652</c:v>
                </c:pt>
                <c:pt idx="1523">
                  <c:v>291.829</c:v>
                </c:pt>
                <c:pt idx="1524">
                  <c:v>292.0079999999999</c:v>
                </c:pt>
                <c:pt idx="1525">
                  <c:v>292.183</c:v>
                </c:pt>
                <c:pt idx="1526">
                  <c:v>292.3539999999999</c:v>
                </c:pt>
                <c:pt idx="1527">
                  <c:v>292.52</c:v>
                </c:pt>
                <c:pt idx="1528">
                  <c:v>292.6909999999999</c:v>
                </c:pt>
                <c:pt idx="1529">
                  <c:v>292.865</c:v>
                </c:pt>
                <c:pt idx="1530">
                  <c:v>293.041</c:v>
                </c:pt>
                <c:pt idx="1531">
                  <c:v>293.206</c:v>
                </c:pt>
                <c:pt idx="1532">
                  <c:v>293.361</c:v>
                </c:pt>
                <c:pt idx="1533">
                  <c:v>293.512</c:v>
                </c:pt>
                <c:pt idx="1534">
                  <c:v>293.665</c:v>
                </c:pt>
                <c:pt idx="1535">
                  <c:v>293.829</c:v>
                </c:pt>
                <c:pt idx="1536">
                  <c:v>293.9949999999992</c:v>
                </c:pt>
                <c:pt idx="1537">
                  <c:v>294.1600000000001</c:v>
                </c:pt>
                <c:pt idx="1538">
                  <c:v>294.3319999999989</c:v>
                </c:pt>
                <c:pt idx="1539">
                  <c:v>294.497</c:v>
                </c:pt>
                <c:pt idx="1540">
                  <c:v>294.659</c:v>
                </c:pt>
                <c:pt idx="1541">
                  <c:v>294.8229999999999</c:v>
                </c:pt>
                <c:pt idx="1542">
                  <c:v>294.9879999999989</c:v>
                </c:pt>
                <c:pt idx="1543">
                  <c:v>295.156</c:v>
                </c:pt>
                <c:pt idx="1544">
                  <c:v>295.326</c:v>
                </c:pt>
                <c:pt idx="1545">
                  <c:v>295.502</c:v>
                </c:pt>
                <c:pt idx="1546">
                  <c:v>295.675</c:v>
                </c:pt>
                <c:pt idx="1547">
                  <c:v>295.8349999999999</c:v>
                </c:pt>
                <c:pt idx="1548">
                  <c:v>295.9929999999989</c:v>
                </c:pt>
                <c:pt idx="1549">
                  <c:v>296.149</c:v>
                </c:pt>
                <c:pt idx="1550">
                  <c:v>296.3039999999999</c:v>
                </c:pt>
                <c:pt idx="1551">
                  <c:v>296.4569999999989</c:v>
                </c:pt>
                <c:pt idx="1552">
                  <c:v>296.606</c:v>
                </c:pt>
                <c:pt idx="1553">
                  <c:v>296.753</c:v>
                </c:pt>
                <c:pt idx="1554">
                  <c:v>296.9059999999996</c:v>
                </c:pt>
                <c:pt idx="1555">
                  <c:v>297.0659999999999</c:v>
                </c:pt>
                <c:pt idx="1556">
                  <c:v>297.2339999999986</c:v>
                </c:pt>
                <c:pt idx="1557">
                  <c:v>297.403</c:v>
                </c:pt>
                <c:pt idx="1558">
                  <c:v>297.575</c:v>
                </c:pt>
                <c:pt idx="1559">
                  <c:v>297.74</c:v>
                </c:pt>
                <c:pt idx="1560">
                  <c:v>297.9049999999999</c:v>
                </c:pt>
                <c:pt idx="1561">
                  <c:v>298.063</c:v>
                </c:pt>
                <c:pt idx="1562">
                  <c:v>298.2099999999999</c:v>
                </c:pt>
                <c:pt idx="1563">
                  <c:v>298.3639999999999</c:v>
                </c:pt>
                <c:pt idx="1564">
                  <c:v>298.528</c:v>
                </c:pt>
                <c:pt idx="1565">
                  <c:v>298.695</c:v>
                </c:pt>
                <c:pt idx="1566">
                  <c:v>298.858</c:v>
                </c:pt>
                <c:pt idx="1567">
                  <c:v>299.0249999999999</c:v>
                </c:pt>
                <c:pt idx="1568">
                  <c:v>299.192</c:v>
                </c:pt>
                <c:pt idx="1569">
                  <c:v>299.3589999999999</c:v>
                </c:pt>
                <c:pt idx="1570">
                  <c:v>299.5269999999986</c:v>
                </c:pt>
                <c:pt idx="1571">
                  <c:v>299.7</c:v>
                </c:pt>
                <c:pt idx="1572">
                  <c:v>299.878</c:v>
                </c:pt>
                <c:pt idx="1573">
                  <c:v>300.052</c:v>
                </c:pt>
                <c:pt idx="1574">
                  <c:v>300.2269999999986</c:v>
                </c:pt>
                <c:pt idx="1575">
                  <c:v>300.396</c:v>
                </c:pt>
                <c:pt idx="1576">
                  <c:v>300.5489999999999</c:v>
                </c:pt>
                <c:pt idx="1577">
                  <c:v>300.706</c:v>
                </c:pt>
                <c:pt idx="1578">
                  <c:v>300.863</c:v>
                </c:pt>
                <c:pt idx="1579">
                  <c:v>301.021</c:v>
                </c:pt>
                <c:pt idx="1580">
                  <c:v>301.1840000000001</c:v>
                </c:pt>
                <c:pt idx="1581">
                  <c:v>301.356</c:v>
                </c:pt>
                <c:pt idx="1582">
                  <c:v>301.529</c:v>
                </c:pt>
                <c:pt idx="1583">
                  <c:v>301.7029999999999</c:v>
                </c:pt>
                <c:pt idx="1584">
                  <c:v>301.873</c:v>
                </c:pt>
                <c:pt idx="1585">
                  <c:v>302.0419999999999</c:v>
                </c:pt>
                <c:pt idx="1586">
                  <c:v>302.218</c:v>
                </c:pt>
                <c:pt idx="1587">
                  <c:v>302.392</c:v>
                </c:pt>
                <c:pt idx="1588">
                  <c:v>302.56</c:v>
                </c:pt>
                <c:pt idx="1589">
                  <c:v>302.7269999999986</c:v>
                </c:pt>
                <c:pt idx="1590">
                  <c:v>302.886</c:v>
                </c:pt>
                <c:pt idx="1591">
                  <c:v>303.0389999999989</c:v>
                </c:pt>
                <c:pt idx="1592">
                  <c:v>303.196</c:v>
                </c:pt>
                <c:pt idx="1593">
                  <c:v>303.358</c:v>
                </c:pt>
                <c:pt idx="1594">
                  <c:v>303.526</c:v>
                </c:pt>
                <c:pt idx="1595">
                  <c:v>303.688</c:v>
                </c:pt>
                <c:pt idx="1596">
                  <c:v>303.85</c:v>
                </c:pt>
                <c:pt idx="1597">
                  <c:v>304.0129999999999</c:v>
                </c:pt>
                <c:pt idx="1598">
                  <c:v>304.175</c:v>
                </c:pt>
                <c:pt idx="1599">
                  <c:v>304.341</c:v>
                </c:pt>
                <c:pt idx="1600">
                  <c:v>304.5129999999999</c:v>
                </c:pt>
                <c:pt idx="1601">
                  <c:v>304.678</c:v>
                </c:pt>
                <c:pt idx="1602">
                  <c:v>304.825</c:v>
                </c:pt>
                <c:pt idx="1603">
                  <c:v>304.973</c:v>
                </c:pt>
                <c:pt idx="1604">
                  <c:v>305.118</c:v>
                </c:pt>
                <c:pt idx="1605">
                  <c:v>305.267</c:v>
                </c:pt>
                <c:pt idx="1606">
                  <c:v>305.4159999999989</c:v>
                </c:pt>
                <c:pt idx="1607">
                  <c:v>305.575</c:v>
                </c:pt>
                <c:pt idx="1608">
                  <c:v>305.743</c:v>
                </c:pt>
                <c:pt idx="1609">
                  <c:v>305.913</c:v>
                </c:pt>
                <c:pt idx="1610">
                  <c:v>306.081</c:v>
                </c:pt>
                <c:pt idx="1611">
                  <c:v>306.249</c:v>
                </c:pt>
                <c:pt idx="1612">
                  <c:v>306.4119999999986</c:v>
                </c:pt>
                <c:pt idx="1613">
                  <c:v>306.5729999999999</c:v>
                </c:pt>
                <c:pt idx="1614">
                  <c:v>306.732</c:v>
                </c:pt>
                <c:pt idx="1615">
                  <c:v>306.88</c:v>
                </c:pt>
                <c:pt idx="1616">
                  <c:v>307.035</c:v>
                </c:pt>
                <c:pt idx="1617">
                  <c:v>307.199</c:v>
                </c:pt>
                <c:pt idx="1618">
                  <c:v>307.3690000000001</c:v>
                </c:pt>
                <c:pt idx="1619">
                  <c:v>307.5439999999999</c:v>
                </c:pt>
                <c:pt idx="1620">
                  <c:v>307.7189999999989</c:v>
                </c:pt>
                <c:pt idx="1621">
                  <c:v>307.8949999999999</c:v>
                </c:pt>
                <c:pt idx="1622">
                  <c:v>308.0659999999999</c:v>
                </c:pt>
                <c:pt idx="1623">
                  <c:v>308.2359999999989</c:v>
                </c:pt>
                <c:pt idx="1624">
                  <c:v>308.403</c:v>
                </c:pt>
                <c:pt idx="1625">
                  <c:v>308.5659999999999</c:v>
                </c:pt>
                <c:pt idx="1626">
                  <c:v>308.7379999999989</c:v>
                </c:pt>
                <c:pt idx="1627">
                  <c:v>308.91</c:v>
                </c:pt>
                <c:pt idx="1628">
                  <c:v>309.079</c:v>
                </c:pt>
                <c:pt idx="1629">
                  <c:v>309.2509999999999</c:v>
                </c:pt>
                <c:pt idx="1630">
                  <c:v>309.425</c:v>
                </c:pt>
                <c:pt idx="1631">
                  <c:v>309.5959999999992</c:v>
                </c:pt>
                <c:pt idx="1632">
                  <c:v>309.762</c:v>
                </c:pt>
                <c:pt idx="1633">
                  <c:v>309.922</c:v>
                </c:pt>
                <c:pt idx="1634">
                  <c:v>310.089</c:v>
                </c:pt>
                <c:pt idx="1635">
                  <c:v>310.259</c:v>
                </c:pt>
                <c:pt idx="1636">
                  <c:v>310.4299999999996</c:v>
                </c:pt>
                <c:pt idx="1637">
                  <c:v>310.6019999999999</c:v>
                </c:pt>
                <c:pt idx="1638">
                  <c:v>310.7809999999996</c:v>
                </c:pt>
                <c:pt idx="1639">
                  <c:v>310.956</c:v>
                </c:pt>
                <c:pt idx="1640">
                  <c:v>311.124</c:v>
                </c:pt>
                <c:pt idx="1641">
                  <c:v>311.295</c:v>
                </c:pt>
                <c:pt idx="1642">
                  <c:v>311.461</c:v>
                </c:pt>
                <c:pt idx="1643">
                  <c:v>311.629</c:v>
                </c:pt>
                <c:pt idx="1644">
                  <c:v>311.7979999999989</c:v>
                </c:pt>
                <c:pt idx="1645">
                  <c:v>311.968</c:v>
                </c:pt>
                <c:pt idx="1646">
                  <c:v>312.137</c:v>
                </c:pt>
                <c:pt idx="1647">
                  <c:v>312.2909999999989</c:v>
                </c:pt>
                <c:pt idx="1648">
                  <c:v>312.4329999999989</c:v>
                </c:pt>
                <c:pt idx="1649">
                  <c:v>312.563</c:v>
                </c:pt>
                <c:pt idx="1650">
                  <c:v>312.695</c:v>
                </c:pt>
                <c:pt idx="1651">
                  <c:v>312.836</c:v>
                </c:pt>
                <c:pt idx="1652">
                  <c:v>312.9769999999986</c:v>
                </c:pt>
                <c:pt idx="1653">
                  <c:v>313.127</c:v>
                </c:pt>
                <c:pt idx="1654">
                  <c:v>313.29</c:v>
                </c:pt>
                <c:pt idx="1655">
                  <c:v>313.463</c:v>
                </c:pt>
                <c:pt idx="1656">
                  <c:v>313.64</c:v>
                </c:pt>
                <c:pt idx="1657">
                  <c:v>313.814</c:v>
                </c:pt>
                <c:pt idx="1658">
                  <c:v>313.99</c:v>
                </c:pt>
                <c:pt idx="1659">
                  <c:v>314.1569999999999</c:v>
                </c:pt>
                <c:pt idx="1660">
                  <c:v>314.32</c:v>
                </c:pt>
                <c:pt idx="1661">
                  <c:v>314.4929999999989</c:v>
                </c:pt>
                <c:pt idx="1662">
                  <c:v>314.67</c:v>
                </c:pt>
                <c:pt idx="1663">
                  <c:v>314.844</c:v>
                </c:pt>
                <c:pt idx="1664">
                  <c:v>315.0219999999989</c:v>
                </c:pt>
                <c:pt idx="1665">
                  <c:v>315.194</c:v>
                </c:pt>
                <c:pt idx="1666">
                  <c:v>315.361</c:v>
                </c:pt>
                <c:pt idx="1667">
                  <c:v>315.528</c:v>
                </c:pt>
                <c:pt idx="1668">
                  <c:v>315.702</c:v>
                </c:pt>
                <c:pt idx="1669">
                  <c:v>315.879</c:v>
                </c:pt>
                <c:pt idx="1670">
                  <c:v>316.052</c:v>
                </c:pt>
                <c:pt idx="1671">
                  <c:v>316.223</c:v>
                </c:pt>
                <c:pt idx="1672">
                  <c:v>316.4019999999986</c:v>
                </c:pt>
                <c:pt idx="1673">
                  <c:v>316.581</c:v>
                </c:pt>
                <c:pt idx="1674">
                  <c:v>316.7509999999999</c:v>
                </c:pt>
                <c:pt idx="1675">
                  <c:v>316.913</c:v>
                </c:pt>
                <c:pt idx="1676">
                  <c:v>317.074</c:v>
                </c:pt>
                <c:pt idx="1677">
                  <c:v>317.24</c:v>
                </c:pt>
                <c:pt idx="1678">
                  <c:v>317.4069999999986</c:v>
                </c:pt>
                <c:pt idx="1679">
                  <c:v>317.577</c:v>
                </c:pt>
                <c:pt idx="1680">
                  <c:v>317.753</c:v>
                </c:pt>
                <c:pt idx="1681">
                  <c:v>317.932</c:v>
                </c:pt>
                <c:pt idx="1682">
                  <c:v>318.103</c:v>
                </c:pt>
                <c:pt idx="1683">
                  <c:v>318.273</c:v>
                </c:pt>
                <c:pt idx="1684">
                  <c:v>318.449</c:v>
                </c:pt>
                <c:pt idx="1685">
                  <c:v>318.6259999999999</c:v>
                </c:pt>
                <c:pt idx="1686">
                  <c:v>318.801</c:v>
                </c:pt>
                <c:pt idx="1687">
                  <c:v>318.966</c:v>
                </c:pt>
                <c:pt idx="1688">
                  <c:v>319.1329999999999</c:v>
                </c:pt>
                <c:pt idx="1689">
                  <c:v>319.301</c:v>
                </c:pt>
                <c:pt idx="1690">
                  <c:v>319.466</c:v>
                </c:pt>
                <c:pt idx="1691">
                  <c:v>319.6379999999999</c:v>
                </c:pt>
                <c:pt idx="1692">
                  <c:v>319.8090000000001</c:v>
                </c:pt>
                <c:pt idx="1693">
                  <c:v>319.978</c:v>
                </c:pt>
                <c:pt idx="1694">
                  <c:v>320.155</c:v>
                </c:pt>
                <c:pt idx="1695">
                  <c:v>320.3279999999999</c:v>
                </c:pt>
                <c:pt idx="1696">
                  <c:v>320.482</c:v>
                </c:pt>
                <c:pt idx="1697">
                  <c:v>320.636</c:v>
                </c:pt>
                <c:pt idx="1698">
                  <c:v>320.797</c:v>
                </c:pt>
                <c:pt idx="1699">
                  <c:v>320.9649999999999</c:v>
                </c:pt>
                <c:pt idx="1700">
                  <c:v>321.1379999999999</c:v>
                </c:pt>
                <c:pt idx="1701">
                  <c:v>321.313</c:v>
                </c:pt>
                <c:pt idx="1702">
                  <c:v>321.482</c:v>
                </c:pt>
                <c:pt idx="1703">
                  <c:v>321.653</c:v>
                </c:pt>
                <c:pt idx="1704">
                  <c:v>321.822</c:v>
                </c:pt>
                <c:pt idx="1705">
                  <c:v>321.9929999999989</c:v>
                </c:pt>
                <c:pt idx="1706">
                  <c:v>322.166</c:v>
                </c:pt>
                <c:pt idx="1707">
                  <c:v>322.3450000000001</c:v>
                </c:pt>
                <c:pt idx="1708">
                  <c:v>322.515</c:v>
                </c:pt>
                <c:pt idx="1709">
                  <c:v>322.6809999999999</c:v>
                </c:pt>
                <c:pt idx="1710">
                  <c:v>322.8450000000001</c:v>
                </c:pt>
                <c:pt idx="1711">
                  <c:v>323.014</c:v>
                </c:pt>
                <c:pt idx="1712">
                  <c:v>323.1840000000001</c:v>
                </c:pt>
                <c:pt idx="1713">
                  <c:v>323.3519999999999</c:v>
                </c:pt>
                <c:pt idx="1714">
                  <c:v>323.521</c:v>
                </c:pt>
                <c:pt idx="1715">
                  <c:v>323.69</c:v>
                </c:pt>
                <c:pt idx="1716">
                  <c:v>323.863</c:v>
                </c:pt>
                <c:pt idx="1717">
                  <c:v>324.035</c:v>
                </c:pt>
                <c:pt idx="1718">
                  <c:v>324.204</c:v>
                </c:pt>
                <c:pt idx="1719">
                  <c:v>324.3759999999999</c:v>
                </c:pt>
                <c:pt idx="1720">
                  <c:v>324.552</c:v>
                </c:pt>
                <c:pt idx="1721">
                  <c:v>324.72</c:v>
                </c:pt>
                <c:pt idx="1722">
                  <c:v>324.889</c:v>
                </c:pt>
                <c:pt idx="1723">
                  <c:v>325.058</c:v>
                </c:pt>
                <c:pt idx="1724">
                  <c:v>325.213</c:v>
                </c:pt>
                <c:pt idx="1725">
                  <c:v>325.366</c:v>
                </c:pt>
                <c:pt idx="1726">
                  <c:v>325.5309999999996</c:v>
                </c:pt>
                <c:pt idx="1727">
                  <c:v>325.704</c:v>
                </c:pt>
                <c:pt idx="1728">
                  <c:v>325.872</c:v>
                </c:pt>
                <c:pt idx="1729">
                  <c:v>326.04</c:v>
                </c:pt>
                <c:pt idx="1730">
                  <c:v>326.216</c:v>
                </c:pt>
                <c:pt idx="1731">
                  <c:v>326.3929999999999</c:v>
                </c:pt>
                <c:pt idx="1732">
                  <c:v>326.572</c:v>
                </c:pt>
                <c:pt idx="1733">
                  <c:v>326.747</c:v>
                </c:pt>
                <c:pt idx="1734">
                  <c:v>326.922</c:v>
                </c:pt>
                <c:pt idx="1735">
                  <c:v>327.089</c:v>
                </c:pt>
                <c:pt idx="1736">
                  <c:v>327.249</c:v>
                </c:pt>
                <c:pt idx="1737">
                  <c:v>327.4069999999986</c:v>
                </c:pt>
                <c:pt idx="1738">
                  <c:v>327.569</c:v>
                </c:pt>
                <c:pt idx="1739">
                  <c:v>327.741</c:v>
                </c:pt>
                <c:pt idx="1740">
                  <c:v>327.9169999999986</c:v>
                </c:pt>
                <c:pt idx="1741">
                  <c:v>328.091</c:v>
                </c:pt>
                <c:pt idx="1742">
                  <c:v>328.264</c:v>
                </c:pt>
                <c:pt idx="1743">
                  <c:v>328.437</c:v>
                </c:pt>
                <c:pt idx="1744">
                  <c:v>328.6019999999999</c:v>
                </c:pt>
                <c:pt idx="1745">
                  <c:v>328.77</c:v>
                </c:pt>
                <c:pt idx="1746">
                  <c:v>328.946</c:v>
                </c:pt>
                <c:pt idx="1747">
                  <c:v>329.122</c:v>
                </c:pt>
                <c:pt idx="1748">
                  <c:v>329.2959999999989</c:v>
                </c:pt>
                <c:pt idx="1749">
                  <c:v>329.4719999999986</c:v>
                </c:pt>
                <c:pt idx="1750">
                  <c:v>329.649</c:v>
                </c:pt>
                <c:pt idx="1751">
                  <c:v>329.8229999999999</c:v>
                </c:pt>
                <c:pt idx="1752">
                  <c:v>329.997</c:v>
                </c:pt>
                <c:pt idx="1753">
                  <c:v>330.1619999999999</c:v>
                </c:pt>
                <c:pt idx="1754">
                  <c:v>330.321</c:v>
                </c:pt>
                <c:pt idx="1755">
                  <c:v>330.4859999999989</c:v>
                </c:pt>
                <c:pt idx="1756">
                  <c:v>330.655</c:v>
                </c:pt>
                <c:pt idx="1757">
                  <c:v>330.829</c:v>
                </c:pt>
                <c:pt idx="1758">
                  <c:v>331.0</c:v>
                </c:pt>
                <c:pt idx="1759">
                  <c:v>331.171</c:v>
                </c:pt>
                <c:pt idx="1760">
                  <c:v>331.3369999999989</c:v>
                </c:pt>
                <c:pt idx="1761">
                  <c:v>331.5079999999999</c:v>
                </c:pt>
                <c:pt idx="1762">
                  <c:v>331.6789999999999</c:v>
                </c:pt>
                <c:pt idx="1763">
                  <c:v>331.8450000000001</c:v>
                </c:pt>
                <c:pt idx="1764">
                  <c:v>332.015</c:v>
                </c:pt>
                <c:pt idx="1765">
                  <c:v>332.1859999999999</c:v>
                </c:pt>
                <c:pt idx="1766">
                  <c:v>332.36</c:v>
                </c:pt>
                <c:pt idx="1767">
                  <c:v>332.533</c:v>
                </c:pt>
                <c:pt idx="1768">
                  <c:v>332.706</c:v>
                </c:pt>
                <c:pt idx="1769">
                  <c:v>332.877</c:v>
                </c:pt>
                <c:pt idx="1770">
                  <c:v>333.043</c:v>
                </c:pt>
                <c:pt idx="1771">
                  <c:v>333.2029999999999</c:v>
                </c:pt>
                <c:pt idx="1772">
                  <c:v>333.367</c:v>
                </c:pt>
                <c:pt idx="1773">
                  <c:v>333.529</c:v>
                </c:pt>
                <c:pt idx="1774">
                  <c:v>333.687</c:v>
                </c:pt>
                <c:pt idx="1775">
                  <c:v>333.843</c:v>
                </c:pt>
                <c:pt idx="1776">
                  <c:v>334.0059999999999</c:v>
                </c:pt>
                <c:pt idx="1777">
                  <c:v>334.1720000000001</c:v>
                </c:pt>
                <c:pt idx="1778">
                  <c:v>334.339</c:v>
                </c:pt>
                <c:pt idx="1779">
                  <c:v>334.504</c:v>
                </c:pt>
                <c:pt idx="1780">
                  <c:v>334.6619999999999</c:v>
                </c:pt>
                <c:pt idx="1781">
                  <c:v>334.822</c:v>
                </c:pt>
                <c:pt idx="1782">
                  <c:v>334.9879999999989</c:v>
                </c:pt>
                <c:pt idx="1783">
                  <c:v>335.151</c:v>
                </c:pt>
                <c:pt idx="1784">
                  <c:v>335.313</c:v>
                </c:pt>
                <c:pt idx="1785">
                  <c:v>335.4649999999999</c:v>
                </c:pt>
                <c:pt idx="1786">
                  <c:v>335.624</c:v>
                </c:pt>
                <c:pt idx="1787">
                  <c:v>335.7919999999986</c:v>
                </c:pt>
                <c:pt idx="1788">
                  <c:v>335.959</c:v>
                </c:pt>
                <c:pt idx="1789">
                  <c:v>336.1259999999999</c:v>
                </c:pt>
                <c:pt idx="1790">
                  <c:v>336.2909999999989</c:v>
                </c:pt>
                <c:pt idx="1791">
                  <c:v>336.452</c:v>
                </c:pt>
                <c:pt idx="1792">
                  <c:v>336.6139999999999</c:v>
                </c:pt>
                <c:pt idx="1793">
                  <c:v>336.769</c:v>
                </c:pt>
                <c:pt idx="1794">
                  <c:v>336.9309999999986</c:v>
                </c:pt>
                <c:pt idx="1795">
                  <c:v>337.103</c:v>
                </c:pt>
                <c:pt idx="1796">
                  <c:v>337.2809999999996</c:v>
                </c:pt>
                <c:pt idx="1797">
                  <c:v>337.463</c:v>
                </c:pt>
                <c:pt idx="1798">
                  <c:v>337.644</c:v>
                </c:pt>
                <c:pt idx="1799">
                  <c:v>337.825</c:v>
                </c:pt>
                <c:pt idx="1800">
                  <c:v>338.0079999999999</c:v>
                </c:pt>
                <c:pt idx="1801">
                  <c:v>338.185</c:v>
                </c:pt>
                <c:pt idx="1802">
                  <c:v>338.348</c:v>
                </c:pt>
                <c:pt idx="1803">
                  <c:v>338.514</c:v>
                </c:pt>
                <c:pt idx="1804">
                  <c:v>338.677</c:v>
                </c:pt>
                <c:pt idx="1805">
                  <c:v>338.84</c:v>
                </c:pt>
                <c:pt idx="1806">
                  <c:v>339.005</c:v>
                </c:pt>
                <c:pt idx="1807">
                  <c:v>339.173</c:v>
                </c:pt>
                <c:pt idx="1808">
                  <c:v>339.34</c:v>
                </c:pt>
                <c:pt idx="1809">
                  <c:v>339.5179999999999</c:v>
                </c:pt>
                <c:pt idx="1810">
                  <c:v>339.6929999999999</c:v>
                </c:pt>
                <c:pt idx="1811">
                  <c:v>339.8709999999999</c:v>
                </c:pt>
                <c:pt idx="1812">
                  <c:v>340.046</c:v>
                </c:pt>
                <c:pt idx="1813">
                  <c:v>340.2189999999989</c:v>
                </c:pt>
                <c:pt idx="1814">
                  <c:v>340.386</c:v>
                </c:pt>
                <c:pt idx="1815">
                  <c:v>340.552</c:v>
                </c:pt>
                <c:pt idx="1816">
                  <c:v>340.7219999999986</c:v>
                </c:pt>
                <c:pt idx="1817">
                  <c:v>340.8809999999999</c:v>
                </c:pt>
                <c:pt idx="1818">
                  <c:v>341.041</c:v>
                </c:pt>
                <c:pt idx="1819">
                  <c:v>341.211</c:v>
                </c:pt>
                <c:pt idx="1820">
                  <c:v>341.378</c:v>
                </c:pt>
                <c:pt idx="1821">
                  <c:v>341.5470000000001</c:v>
                </c:pt>
                <c:pt idx="1822">
                  <c:v>341.718</c:v>
                </c:pt>
                <c:pt idx="1823">
                  <c:v>341.889</c:v>
                </c:pt>
                <c:pt idx="1824">
                  <c:v>342.067</c:v>
                </c:pt>
                <c:pt idx="1825">
                  <c:v>342.242</c:v>
                </c:pt>
                <c:pt idx="1826">
                  <c:v>342.4119999999986</c:v>
                </c:pt>
                <c:pt idx="1827">
                  <c:v>342.581</c:v>
                </c:pt>
                <c:pt idx="1828">
                  <c:v>342.757</c:v>
                </c:pt>
                <c:pt idx="1829">
                  <c:v>342.9349999999989</c:v>
                </c:pt>
                <c:pt idx="1830">
                  <c:v>343.11</c:v>
                </c:pt>
                <c:pt idx="1831">
                  <c:v>343.283</c:v>
                </c:pt>
                <c:pt idx="1832">
                  <c:v>343.4569999999989</c:v>
                </c:pt>
                <c:pt idx="1833">
                  <c:v>343.628</c:v>
                </c:pt>
                <c:pt idx="1834">
                  <c:v>343.795</c:v>
                </c:pt>
                <c:pt idx="1835">
                  <c:v>343.9619999999989</c:v>
                </c:pt>
                <c:pt idx="1836">
                  <c:v>344.128</c:v>
                </c:pt>
                <c:pt idx="1837">
                  <c:v>344.2939999999986</c:v>
                </c:pt>
                <c:pt idx="1838">
                  <c:v>344.4619999999989</c:v>
                </c:pt>
                <c:pt idx="1839">
                  <c:v>344.632</c:v>
                </c:pt>
                <c:pt idx="1840">
                  <c:v>344.803</c:v>
                </c:pt>
                <c:pt idx="1841">
                  <c:v>344.973</c:v>
                </c:pt>
                <c:pt idx="1842">
                  <c:v>345.144</c:v>
                </c:pt>
                <c:pt idx="1843">
                  <c:v>345.315</c:v>
                </c:pt>
                <c:pt idx="1844">
                  <c:v>345.4859999999989</c:v>
                </c:pt>
                <c:pt idx="1845">
                  <c:v>345.655</c:v>
                </c:pt>
                <c:pt idx="1846">
                  <c:v>345.819</c:v>
                </c:pt>
                <c:pt idx="1847">
                  <c:v>345.9829999999992</c:v>
                </c:pt>
                <c:pt idx="1848">
                  <c:v>346.15</c:v>
                </c:pt>
                <c:pt idx="1849">
                  <c:v>346.315</c:v>
                </c:pt>
                <c:pt idx="1850">
                  <c:v>346.4769999999986</c:v>
                </c:pt>
                <c:pt idx="1851">
                  <c:v>346.6379999999999</c:v>
                </c:pt>
                <c:pt idx="1852">
                  <c:v>346.805</c:v>
                </c:pt>
                <c:pt idx="1853">
                  <c:v>346.9739999999989</c:v>
                </c:pt>
                <c:pt idx="1854">
                  <c:v>347.145</c:v>
                </c:pt>
                <c:pt idx="1855">
                  <c:v>347.3159999999999</c:v>
                </c:pt>
                <c:pt idx="1856">
                  <c:v>347.4879999999989</c:v>
                </c:pt>
                <c:pt idx="1857">
                  <c:v>347.66</c:v>
                </c:pt>
                <c:pt idx="1858">
                  <c:v>347.825</c:v>
                </c:pt>
                <c:pt idx="1859">
                  <c:v>347.9879999999989</c:v>
                </c:pt>
                <c:pt idx="1860">
                  <c:v>348.145</c:v>
                </c:pt>
                <c:pt idx="1861">
                  <c:v>348.303</c:v>
                </c:pt>
                <c:pt idx="1862">
                  <c:v>348.461</c:v>
                </c:pt>
                <c:pt idx="1863">
                  <c:v>348.6209999999999</c:v>
                </c:pt>
                <c:pt idx="1864">
                  <c:v>348.7869999999986</c:v>
                </c:pt>
                <c:pt idx="1865">
                  <c:v>348.9549999999999</c:v>
                </c:pt>
                <c:pt idx="1866">
                  <c:v>349.117</c:v>
                </c:pt>
                <c:pt idx="1867">
                  <c:v>349.2769999999986</c:v>
                </c:pt>
                <c:pt idx="1868">
                  <c:v>349.4379999999989</c:v>
                </c:pt>
                <c:pt idx="1869">
                  <c:v>349.603</c:v>
                </c:pt>
                <c:pt idx="1870">
                  <c:v>349.774</c:v>
                </c:pt>
                <c:pt idx="1871">
                  <c:v>349.95</c:v>
                </c:pt>
                <c:pt idx="1872">
                  <c:v>350.124</c:v>
                </c:pt>
                <c:pt idx="1873">
                  <c:v>350.301</c:v>
                </c:pt>
                <c:pt idx="1874">
                  <c:v>350.4789999999986</c:v>
                </c:pt>
                <c:pt idx="1875">
                  <c:v>350.648</c:v>
                </c:pt>
                <c:pt idx="1876">
                  <c:v>350.813</c:v>
                </c:pt>
                <c:pt idx="1877">
                  <c:v>350.982</c:v>
                </c:pt>
                <c:pt idx="1878">
                  <c:v>351.151</c:v>
                </c:pt>
                <c:pt idx="1879">
                  <c:v>351.325</c:v>
                </c:pt>
                <c:pt idx="1880">
                  <c:v>351.4929999999989</c:v>
                </c:pt>
                <c:pt idx="1881">
                  <c:v>351.659</c:v>
                </c:pt>
                <c:pt idx="1882">
                  <c:v>351.824</c:v>
                </c:pt>
                <c:pt idx="1883">
                  <c:v>351.99</c:v>
                </c:pt>
                <c:pt idx="1884">
                  <c:v>352.164</c:v>
                </c:pt>
                <c:pt idx="1885">
                  <c:v>352.3419999999999</c:v>
                </c:pt>
                <c:pt idx="1886">
                  <c:v>352.517</c:v>
                </c:pt>
                <c:pt idx="1887">
                  <c:v>352.695</c:v>
                </c:pt>
                <c:pt idx="1888">
                  <c:v>352.873</c:v>
                </c:pt>
                <c:pt idx="1889">
                  <c:v>353.048</c:v>
                </c:pt>
                <c:pt idx="1890">
                  <c:v>353.2189999999989</c:v>
                </c:pt>
                <c:pt idx="1891">
                  <c:v>353.3829999999999</c:v>
                </c:pt>
                <c:pt idx="1892">
                  <c:v>353.5439999999999</c:v>
                </c:pt>
                <c:pt idx="1893">
                  <c:v>353.704</c:v>
                </c:pt>
                <c:pt idx="1894">
                  <c:v>353.866</c:v>
                </c:pt>
                <c:pt idx="1895">
                  <c:v>354.0389999999989</c:v>
                </c:pt>
                <c:pt idx="1896">
                  <c:v>354.218</c:v>
                </c:pt>
                <c:pt idx="1897">
                  <c:v>354.385</c:v>
                </c:pt>
                <c:pt idx="1898">
                  <c:v>354.5359999999989</c:v>
                </c:pt>
                <c:pt idx="1899">
                  <c:v>354.683</c:v>
                </c:pt>
                <c:pt idx="1900">
                  <c:v>354.839</c:v>
                </c:pt>
                <c:pt idx="1901">
                  <c:v>354.9979999999989</c:v>
                </c:pt>
                <c:pt idx="1902">
                  <c:v>355.165</c:v>
                </c:pt>
                <c:pt idx="1903">
                  <c:v>355.3369999999989</c:v>
                </c:pt>
                <c:pt idx="1904">
                  <c:v>355.5129999999999</c:v>
                </c:pt>
                <c:pt idx="1905">
                  <c:v>355.68</c:v>
                </c:pt>
                <c:pt idx="1906">
                  <c:v>355.844</c:v>
                </c:pt>
                <c:pt idx="1907">
                  <c:v>356.014</c:v>
                </c:pt>
                <c:pt idx="1908">
                  <c:v>356.1859999999999</c:v>
                </c:pt>
                <c:pt idx="1909">
                  <c:v>356.353</c:v>
                </c:pt>
                <c:pt idx="1910">
                  <c:v>356.524</c:v>
                </c:pt>
                <c:pt idx="1911">
                  <c:v>356.702</c:v>
                </c:pt>
                <c:pt idx="1912">
                  <c:v>356.882</c:v>
                </c:pt>
                <c:pt idx="1913">
                  <c:v>357.0609999999999</c:v>
                </c:pt>
                <c:pt idx="1914">
                  <c:v>357.2379999999989</c:v>
                </c:pt>
                <c:pt idx="1915">
                  <c:v>357.4109999999989</c:v>
                </c:pt>
                <c:pt idx="1916">
                  <c:v>357.581</c:v>
                </c:pt>
                <c:pt idx="1917">
                  <c:v>357.745</c:v>
                </c:pt>
                <c:pt idx="1918">
                  <c:v>357.9059999999996</c:v>
                </c:pt>
                <c:pt idx="1919">
                  <c:v>358.069</c:v>
                </c:pt>
                <c:pt idx="1920">
                  <c:v>358.235</c:v>
                </c:pt>
                <c:pt idx="1921">
                  <c:v>358.401</c:v>
                </c:pt>
                <c:pt idx="1922">
                  <c:v>358.56</c:v>
                </c:pt>
                <c:pt idx="1923">
                  <c:v>358.7269999999986</c:v>
                </c:pt>
                <c:pt idx="1924">
                  <c:v>358.892</c:v>
                </c:pt>
                <c:pt idx="1925">
                  <c:v>359.0559999999999</c:v>
                </c:pt>
                <c:pt idx="1926">
                  <c:v>359.208</c:v>
                </c:pt>
                <c:pt idx="1927">
                  <c:v>359.3639999999999</c:v>
                </c:pt>
                <c:pt idx="1928">
                  <c:v>359.524</c:v>
                </c:pt>
                <c:pt idx="1929">
                  <c:v>359.6979999999999</c:v>
                </c:pt>
                <c:pt idx="1930">
                  <c:v>359.878</c:v>
                </c:pt>
                <c:pt idx="1931">
                  <c:v>360.051</c:v>
                </c:pt>
                <c:pt idx="1932">
                  <c:v>360.22</c:v>
                </c:pt>
                <c:pt idx="1933">
                  <c:v>360.389</c:v>
                </c:pt>
                <c:pt idx="1934">
                  <c:v>360.55</c:v>
                </c:pt>
                <c:pt idx="1935">
                  <c:v>360.713</c:v>
                </c:pt>
                <c:pt idx="1936">
                  <c:v>360.875</c:v>
                </c:pt>
                <c:pt idx="1937">
                  <c:v>361.04</c:v>
                </c:pt>
                <c:pt idx="1938">
                  <c:v>361.199</c:v>
                </c:pt>
                <c:pt idx="1939">
                  <c:v>361.353</c:v>
                </c:pt>
                <c:pt idx="1940">
                  <c:v>361.505</c:v>
                </c:pt>
                <c:pt idx="1941">
                  <c:v>361.6619999999999</c:v>
                </c:pt>
                <c:pt idx="1942">
                  <c:v>361.829</c:v>
                </c:pt>
                <c:pt idx="1943">
                  <c:v>362.002</c:v>
                </c:pt>
                <c:pt idx="1944">
                  <c:v>362.18</c:v>
                </c:pt>
                <c:pt idx="1945">
                  <c:v>362.3570000000001</c:v>
                </c:pt>
                <c:pt idx="1946">
                  <c:v>362.5269999999986</c:v>
                </c:pt>
                <c:pt idx="1947">
                  <c:v>362.69</c:v>
                </c:pt>
                <c:pt idx="1948">
                  <c:v>362.8570000000001</c:v>
                </c:pt>
                <c:pt idx="1949">
                  <c:v>363.0319999999986</c:v>
                </c:pt>
                <c:pt idx="1950">
                  <c:v>363.206</c:v>
                </c:pt>
                <c:pt idx="1951">
                  <c:v>363.38</c:v>
                </c:pt>
                <c:pt idx="1952">
                  <c:v>363.548</c:v>
                </c:pt>
                <c:pt idx="1953">
                  <c:v>363.7189999999989</c:v>
                </c:pt>
                <c:pt idx="1954">
                  <c:v>363.8809999999999</c:v>
                </c:pt>
                <c:pt idx="1955">
                  <c:v>364.0369999999986</c:v>
                </c:pt>
                <c:pt idx="1956">
                  <c:v>364.1929999999999</c:v>
                </c:pt>
                <c:pt idx="1957">
                  <c:v>364.3589999999999</c:v>
                </c:pt>
                <c:pt idx="1958">
                  <c:v>364.523</c:v>
                </c:pt>
                <c:pt idx="1959">
                  <c:v>364.6929999999999</c:v>
                </c:pt>
                <c:pt idx="1960">
                  <c:v>364.862</c:v>
                </c:pt>
                <c:pt idx="1961">
                  <c:v>365.029</c:v>
                </c:pt>
                <c:pt idx="1962">
                  <c:v>365.196</c:v>
                </c:pt>
                <c:pt idx="1963">
                  <c:v>365.368</c:v>
                </c:pt>
                <c:pt idx="1964">
                  <c:v>365.5470000000001</c:v>
                </c:pt>
                <c:pt idx="1965">
                  <c:v>365.7259999999989</c:v>
                </c:pt>
                <c:pt idx="1966">
                  <c:v>365.9019999999986</c:v>
                </c:pt>
                <c:pt idx="1967">
                  <c:v>366.0609999999999</c:v>
                </c:pt>
                <c:pt idx="1968">
                  <c:v>366.2239999999989</c:v>
                </c:pt>
                <c:pt idx="1969">
                  <c:v>366.3929999999999</c:v>
                </c:pt>
                <c:pt idx="1970">
                  <c:v>366.5659999999999</c:v>
                </c:pt>
                <c:pt idx="1971">
                  <c:v>366.7440000000001</c:v>
                </c:pt>
                <c:pt idx="1972">
                  <c:v>366.9239999999986</c:v>
                </c:pt>
                <c:pt idx="1973">
                  <c:v>367.091</c:v>
                </c:pt>
                <c:pt idx="1974">
                  <c:v>367.2579999999999</c:v>
                </c:pt>
                <c:pt idx="1975">
                  <c:v>367.4229999999989</c:v>
                </c:pt>
                <c:pt idx="1976">
                  <c:v>367.591</c:v>
                </c:pt>
                <c:pt idx="1977">
                  <c:v>367.7629999999999</c:v>
                </c:pt>
                <c:pt idx="1978">
                  <c:v>367.9299999999996</c:v>
                </c:pt>
                <c:pt idx="1979">
                  <c:v>368.098</c:v>
                </c:pt>
                <c:pt idx="1980">
                  <c:v>368.269</c:v>
                </c:pt>
                <c:pt idx="1981">
                  <c:v>368.4409999999999</c:v>
                </c:pt>
                <c:pt idx="1982">
                  <c:v>368.613</c:v>
                </c:pt>
                <c:pt idx="1983">
                  <c:v>368.788</c:v>
                </c:pt>
                <c:pt idx="1984">
                  <c:v>368.961</c:v>
                </c:pt>
                <c:pt idx="1985">
                  <c:v>369.13</c:v>
                </c:pt>
                <c:pt idx="1986">
                  <c:v>369.3</c:v>
                </c:pt>
                <c:pt idx="1987">
                  <c:v>369.461</c:v>
                </c:pt>
                <c:pt idx="1988">
                  <c:v>369.6309999999999</c:v>
                </c:pt>
                <c:pt idx="1989">
                  <c:v>369.7959999999989</c:v>
                </c:pt>
                <c:pt idx="1990">
                  <c:v>369.96</c:v>
                </c:pt>
                <c:pt idx="1991">
                  <c:v>370.1329999999999</c:v>
                </c:pt>
                <c:pt idx="1992">
                  <c:v>370.314</c:v>
                </c:pt>
                <c:pt idx="1993">
                  <c:v>370.494</c:v>
                </c:pt>
                <c:pt idx="1994">
                  <c:v>370.671</c:v>
                </c:pt>
                <c:pt idx="1995">
                  <c:v>370.849</c:v>
                </c:pt>
                <c:pt idx="1996">
                  <c:v>371.0319999999986</c:v>
                </c:pt>
                <c:pt idx="1997">
                  <c:v>371.214</c:v>
                </c:pt>
                <c:pt idx="1998">
                  <c:v>371.39</c:v>
                </c:pt>
                <c:pt idx="1999">
                  <c:v>371.564</c:v>
                </c:pt>
                <c:pt idx="2000">
                  <c:v>371.74</c:v>
                </c:pt>
                <c:pt idx="2001">
                  <c:v>371.9189999999986</c:v>
                </c:pt>
                <c:pt idx="2002">
                  <c:v>372.091</c:v>
                </c:pt>
                <c:pt idx="2003">
                  <c:v>372.259</c:v>
                </c:pt>
                <c:pt idx="2004">
                  <c:v>372.4299999999996</c:v>
                </c:pt>
                <c:pt idx="2005">
                  <c:v>372.598</c:v>
                </c:pt>
                <c:pt idx="2006">
                  <c:v>372.769</c:v>
                </c:pt>
                <c:pt idx="2007">
                  <c:v>372.9409999999999</c:v>
                </c:pt>
                <c:pt idx="2008">
                  <c:v>373.1139999999999</c:v>
                </c:pt>
                <c:pt idx="2009">
                  <c:v>373.29</c:v>
                </c:pt>
                <c:pt idx="2010">
                  <c:v>373.4649999999999</c:v>
                </c:pt>
                <c:pt idx="2011">
                  <c:v>373.641</c:v>
                </c:pt>
                <c:pt idx="2012">
                  <c:v>373.817</c:v>
                </c:pt>
                <c:pt idx="2013">
                  <c:v>373.99</c:v>
                </c:pt>
                <c:pt idx="2014">
                  <c:v>374.156</c:v>
                </c:pt>
                <c:pt idx="2015">
                  <c:v>374.313</c:v>
                </c:pt>
                <c:pt idx="2016">
                  <c:v>374.4759999999989</c:v>
                </c:pt>
                <c:pt idx="2017">
                  <c:v>374.639</c:v>
                </c:pt>
                <c:pt idx="2018">
                  <c:v>374.805</c:v>
                </c:pt>
                <c:pt idx="2019">
                  <c:v>374.9689999999989</c:v>
                </c:pt>
                <c:pt idx="2020">
                  <c:v>375.1329999999999</c:v>
                </c:pt>
                <c:pt idx="2021">
                  <c:v>375.297</c:v>
                </c:pt>
                <c:pt idx="2022">
                  <c:v>375.4689999999989</c:v>
                </c:pt>
                <c:pt idx="2023">
                  <c:v>375.64</c:v>
                </c:pt>
                <c:pt idx="2024">
                  <c:v>375.8109999999999</c:v>
                </c:pt>
                <c:pt idx="2025">
                  <c:v>375.9829999999992</c:v>
                </c:pt>
                <c:pt idx="2026">
                  <c:v>376.146</c:v>
                </c:pt>
                <c:pt idx="2027">
                  <c:v>376.301</c:v>
                </c:pt>
                <c:pt idx="2028">
                  <c:v>376.463</c:v>
                </c:pt>
                <c:pt idx="2029">
                  <c:v>376.636</c:v>
                </c:pt>
                <c:pt idx="2030">
                  <c:v>376.8109999999999</c:v>
                </c:pt>
                <c:pt idx="2031">
                  <c:v>376.9839999999986</c:v>
                </c:pt>
                <c:pt idx="2032">
                  <c:v>377.16</c:v>
                </c:pt>
                <c:pt idx="2033">
                  <c:v>377.339</c:v>
                </c:pt>
                <c:pt idx="2034">
                  <c:v>377.511</c:v>
                </c:pt>
                <c:pt idx="2035">
                  <c:v>377.678</c:v>
                </c:pt>
                <c:pt idx="2036">
                  <c:v>377.846</c:v>
                </c:pt>
                <c:pt idx="2037">
                  <c:v>378.0129999999999</c:v>
                </c:pt>
                <c:pt idx="2038">
                  <c:v>378.182</c:v>
                </c:pt>
                <c:pt idx="2039">
                  <c:v>378.3469999999999</c:v>
                </c:pt>
                <c:pt idx="2040">
                  <c:v>378.507</c:v>
                </c:pt>
                <c:pt idx="2041">
                  <c:v>378.6669999999999</c:v>
                </c:pt>
                <c:pt idx="2042">
                  <c:v>378.836</c:v>
                </c:pt>
                <c:pt idx="2043">
                  <c:v>379.011</c:v>
                </c:pt>
                <c:pt idx="2044">
                  <c:v>379.178</c:v>
                </c:pt>
                <c:pt idx="2045">
                  <c:v>379.343</c:v>
                </c:pt>
                <c:pt idx="2046">
                  <c:v>379.514</c:v>
                </c:pt>
                <c:pt idx="2047">
                  <c:v>379.6809999999999</c:v>
                </c:pt>
                <c:pt idx="2048">
                  <c:v>379.849</c:v>
                </c:pt>
                <c:pt idx="2049">
                  <c:v>380.023</c:v>
                </c:pt>
                <c:pt idx="2050">
                  <c:v>380.202</c:v>
                </c:pt>
                <c:pt idx="2051">
                  <c:v>380.375</c:v>
                </c:pt>
                <c:pt idx="2052">
                  <c:v>380.5470000000001</c:v>
                </c:pt>
                <c:pt idx="2053">
                  <c:v>380.72</c:v>
                </c:pt>
                <c:pt idx="2054">
                  <c:v>380.8949999999999</c:v>
                </c:pt>
                <c:pt idx="2055">
                  <c:v>381.0609999999999</c:v>
                </c:pt>
                <c:pt idx="2056">
                  <c:v>381.225</c:v>
                </c:pt>
                <c:pt idx="2057">
                  <c:v>381.394</c:v>
                </c:pt>
                <c:pt idx="2058">
                  <c:v>381.557</c:v>
                </c:pt>
                <c:pt idx="2059">
                  <c:v>381.723</c:v>
                </c:pt>
                <c:pt idx="2060">
                  <c:v>381.896</c:v>
                </c:pt>
                <c:pt idx="2061">
                  <c:v>382.0679999999999</c:v>
                </c:pt>
                <c:pt idx="2062">
                  <c:v>382.2440000000001</c:v>
                </c:pt>
                <c:pt idx="2063">
                  <c:v>382.4169999999986</c:v>
                </c:pt>
                <c:pt idx="2064">
                  <c:v>382.586</c:v>
                </c:pt>
                <c:pt idx="2065">
                  <c:v>382.752</c:v>
                </c:pt>
                <c:pt idx="2066">
                  <c:v>382.9159999999989</c:v>
                </c:pt>
                <c:pt idx="2067">
                  <c:v>383.086</c:v>
                </c:pt>
                <c:pt idx="2068">
                  <c:v>383.2559999999999</c:v>
                </c:pt>
                <c:pt idx="2069">
                  <c:v>383.4289999999986</c:v>
                </c:pt>
                <c:pt idx="2070">
                  <c:v>383.5969999999986</c:v>
                </c:pt>
                <c:pt idx="2071">
                  <c:v>383.7559999999999</c:v>
                </c:pt>
                <c:pt idx="2072">
                  <c:v>383.9109999999989</c:v>
                </c:pt>
                <c:pt idx="2073">
                  <c:v>384.074</c:v>
                </c:pt>
                <c:pt idx="2074">
                  <c:v>384.232</c:v>
                </c:pt>
                <c:pt idx="2075">
                  <c:v>384.391</c:v>
                </c:pt>
                <c:pt idx="2076">
                  <c:v>384.553</c:v>
                </c:pt>
                <c:pt idx="2077">
                  <c:v>384.7189999999989</c:v>
                </c:pt>
                <c:pt idx="2078">
                  <c:v>384.885</c:v>
                </c:pt>
                <c:pt idx="2079">
                  <c:v>385.052</c:v>
                </c:pt>
                <c:pt idx="2080">
                  <c:v>385.213</c:v>
                </c:pt>
                <c:pt idx="2081">
                  <c:v>385.3759999999999</c:v>
                </c:pt>
                <c:pt idx="2082">
                  <c:v>385.5439999999999</c:v>
                </c:pt>
                <c:pt idx="2083">
                  <c:v>385.7149999999999</c:v>
                </c:pt>
                <c:pt idx="2084">
                  <c:v>385.8949999999999</c:v>
                </c:pt>
                <c:pt idx="2085">
                  <c:v>386.07</c:v>
                </c:pt>
                <c:pt idx="2086">
                  <c:v>386.2339999999986</c:v>
                </c:pt>
                <c:pt idx="2087">
                  <c:v>386.3949999999999</c:v>
                </c:pt>
                <c:pt idx="2088">
                  <c:v>386.56</c:v>
                </c:pt>
                <c:pt idx="2089">
                  <c:v>386.7309999999989</c:v>
                </c:pt>
                <c:pt idx="2090">
                  <c:v>386.904</c:v>
                </c:pt>
                <c:pt idx="2091">
                  <c:v>387.07</c:v>
                </c:pt>
                <c:pt idx="2092">
                  <c:v>387.2339999999986</c:v>
                </c:pt>
                <c:pt idx="2093">
                  <c:v>387.403</c:v>
                </c:pt>
                <c:pt idx="2094">
                  <c:v>387.576</c:v>
                </c:pt>
                <c:pt idx="2095">
                  <c:v>387.74</c:v>
                </c:pt>
                <c:pt idx="2096">
                  <c:v>387.9049999999999</c:v>
                </c:pt>
                <c:pt idx="2097">
                  <c:v>388.074</c:v>
                </c:pt>
                <c:pt idx="2098">
                  <c:v>388.2459999999999</c:v>
                </c:pt>
                <c:pt idx="2099">
                  <c:v>388.4189999999986</c:v>
                </c:pt>
                <c:pt idx="2100">
                  <c:v>388.595</c:v>
                </c:pt>
                <c:pt idx="2101">
                  <c:v>388.7719999999989</c:v>
                </c:pt>
                <c:pt idx="2102">
                  <c:v>388.946</c:v>
                </c:pt>
                <c:pt idx="2103">
                  <c:v>389.116</c:v>
                </c:pt>
                <c:pt idx="2104">
                  <c:v>389.285</c:v>
                </c:pt>
                <c:pt idx="2105">
                  <c:v>389.451</c:v>
                </c:pt>
                <c:pt idx="2106">
                  <c:v>389.616</c:v>
                </c:pt>
                <c:pt idx="2107">
                  <c:v>389.7859999999989</c:v>
                </c:pt>
                <c:pt idx="2108">
                  <c:v>389.964</c:v>
                </c:pt>
                <c:pt idx="2109">
                  <c:v>390.144</c:v>
                </c:pt>
                <c:pt idx="2110">
                  <c:v>390.317</c:v>
                </c:pt>
                <c:pt idx="2111">
                  <c:v>390.485</c:v>
                </c:pt>
                <c:pt idx="2112">
                  <c:v>390.661</c:v>
                </c:pt>
                <c:pt idx="2113">
                  <c:v>390.844</c:v>
                </c:pt>
                <c:pt idx="2114">
                  <c:v>391.023</c:v>
                </c:pt>
                <c:pt idx="2115">
                  <c:v>391.199</c:v>
                </c:pt>
                <c:pt idx="2116">
                  <c:v>391.379</c:v>
                </c:pt>
                <c:pt idx="2117">
                  <c:v>391.553</c:v>
                </c:pt>
                <c:pt idx="2118">
                  <c:v>391.723</c:v>
                </c:pt>
                <c:pt idx="2119">
                  <c:v>391.891</c:v>
                </c:pt>
                <c:pt idx="2120">
                  <c:v>392.06</c:v>
                </c:pt>
                <c:pt idx="2121">
                  <c:v>392.225</c:v>
                </c:pt>
                <c:pt idx="2122">
                  <c:v>392.398</c:v>
                </c:pt>
                <c:pt idx="2123">
                  <c:v>392.5729999999999</c:v>
                </c:pt>
                <c:pt idx="2124">
                  <c:v>392.749</c:v>
                </c:pt>
                <c:pt idx="2125">
                  <c:v>392.9209999999989</c:v>
                </c:pt>
                <c:pt idx="2126">
                  <c:v>393.091</c:v>
                </c:pt>
                <c:pt idx="2127">
                  <c:v>393.261</c:v>
                </c:pt>
                <c:pt idx="2128">
                  <c:v>393.4289999999986</c:v>
                </c:pt>
                <c:pt idx="2129">
                  <c:v>393.5969999999986</c:v>
                </c:pt>
                <c:pt idx="2130">
                  <c:v>393.766</c:v>
                </c:pt>
                <c:pt idx="2131">
                  <c:v>393.94</c:v>
                </c:pt>
                <c:pt idx="2132">
                  <c:v>394.113</c:v>
                </c:pt>
                <c:pt idx="2133">
                  <c:v>394.2859999999989</c:v>
                </c:pt>
                <c:pt idx="2134">
                  <c:v>394.454</c:v>
                </c:pt>
                <c:pt idx="2135">
                  <c:v>394.623</c:v>
                </c:pt>
                <c:pt idx="2136">
                  <c:v>394.7919999999986</c:v>
                </c:pt>
                <c:pt idx="2137">
                  <c:v>394.951</c:v>
                </c:pt>
                <c:pt idx="2138">
                  <c:v>395.112</c:v>
                </c:pt>
                <c:pt idx="2139">
                  <c:v>395.274</c:v>
                </c:pt>
                <c:pt idx="2140">
                  <c:v>395.437</c:v>
                </c:pt>
                <c:pt idx="2141">
                  <c:v>395.608</c:v>
                </c:pt>
                <c:pt idx="2142">
                  <c:v>395.7839999999989</c:v>
                </c:pt>
                <c:pt idx="2143">
                  <c:v>395.958</c:v>
                </c:pt>
                <c:pt idx="2144">
                  <c:v>396.125</c:v>
                </c:pt>
                <c:pt idx="2145">
                  <c:v>396.2939999999986</c:v>
                </c:pt>
                <c:pt idx="2146">
                  <c:v>396.468</c:v>
                </c:pt>
                <c:pt idx="2147">
                  <c:v>396.6379999999999</c:v>
                </c:pt>
                <c:pt idx="2148">
                  <c:v>396.813</c:v>
                </c:pt>
                <c:pt idx="2149">
                  <c:v>396.99</c:v>
                </c:pt>
                <c:pt idx="2150">
                  <c:v>397.166</c:v>
                </c:pt>
                <c:pt idx="2151">
                  <c:v>397.336</c:v>
                </c:pt>
                <c:pt idx="2152">
                  <c:v>397.4979999999989</c:v>
                </c:pt>
                <c:pt idx="2153">
                  <c:v>397.6619999999999</c:v>
                </c:pt>
                <c:pt idx="2154">
                  <c:v>397.822</c:v>
                </c:pt>
                <c:pt idx="2155">
                  <c:v>397.9859999999989</c:v>
                </c:pt>
                <c:pt idx="2156">
                  <c:v>398.146</c:v>
                </c:pt>
                <c:pt idx="2157">
                  <c:v>398.3059999999999</c:v>
                </c:pt>
                <c:pt idx="2158">
                  <c:v>398.4709999999992</c:v>
                </c:pt>
                <c:pt idx="2159">
                  <c:v>398.643</c:v>
                </c:pt>
                <c:pt idx="2160">
                  <c:v>398.821</c:v>
                </c:pt>
                <c:pt idx="2161">
                  <c:v>398.997</c:v>
                </c:pt>
                <c:pt idx="2162">
                  <c:v>399.175</c:v>
                </c:pt>
                <c:pt idx="2163">
                  <c:v>399.349</c:v>
                </c:pt>
                <c:pt idx="2164">
                  <c:v>399.515</c:v>
                </c:pt>
                <c:pt idx="2165">
                  <c:v>399.6840000000001</c:v>
                </c:pt>
                <c:pt idx="2166">
                  <c:v>399.858</c:v>
                </c:pt>
                <c:pt idx="2167">
                  <c:v>400.035</c:v>
                </c:pt>
                <c:pt idx="2168">
                  <c:v>400.2119999999989</c:v>
                </c:pt>
                <c:pt idx="2169">
                  <c:v>400.389</c:v>
                </c:pt>
                <c:pt idx="2170">
                  <c:v>400.562</c:v>
                </c:pt>
                <c:pt idx="2171">
                  <c:v>400.7359999999989</c:v>
                </c:pt>
                <c:pt idx="2172">
                  <c:v>400.908</c:v>
                </c:pt>
                <c:pt idx="2173">
                  <c:v>401.077</c:v>
                </c:pt>
                <c:pt idx="2174">
                  <c:v>401.2339999999986</c:v>
                </c:pt>
                <c:pt idx="2175">
                  <c:v>401.3949999999999</c:v>
                </c:pt>
                <c:pt idx="2176">
                  <c:v>401.562</c:v>
                </c:pt>
                <c:pt idx="2177">
                  <c:v>401.737</c:v>
                </c:pt>
                <c:pt idx="2178">
                  <c:v>401.9089999999989</c:v>
                </c:pt>
                <c:pt idx="2179">
                  <c:v>402.0779999999999</c:v>
                </c:pt>
                <c:pt idx="2180">
                  <c:v>402.25</c:v>
                </c:pt>
                <c:pt idx="2181">
                  <c:v>402.4229999999989</c:v>
                </c:pt>
                <c:pt idx="2182">
                  <c:v>402.5939999999989</c:v>
                </c:pt>
                <c:pt idx="2183">
                  <c:v>402.766</c:v>
                </c:pt>
                <c:pt idx="2184">
                  <c:v>402.945</c:v>
                </c:pt>
                <c:pt idx="2185">
                  <c:v>403.1259999999999</c:v>
                </c:pt>
                <c:pt idx="2186">
                  <c:v>403.31</c:v>
                </c:pt>
                <c:pt idx="2187">
                  <c:v>403.4909999999986</c:v>
                </c:pt>
                <c:pt idx="2188">
                  <c:v>403.6619999999999</c:v>
                </c:pt>
                <c:pt idx="2189">
                  <c:v>403.8229999999999</c:v>
                </c:pt>
                <c:pt idx="2190">
                  <c:v>403.9909999999986</c:v>
                </c:pt>
                <c:pt idx="2191">
                  <c:v>404.151</c:v>
                </c:pt>
                <c:pt idx="2192">
                  <c:v>404.314</c:v>
                </c:pt>
                <c:pt idx="2193">
                  <c:v>404.4759999999989</c:v>
                </c:pt>
                <c:pt idx="2194">
                  <c:v>404.637</c:v>
                </c:pt>
                <c:pt idx="2195">
                  <c:v>404.7979999999989</c:v>
                </c:pt>
                <c:pt idx="2196">
                  <c:v>404.949</c:v>
                </c:pt>
                <c:pt idx="2197">
                  <c:v>405.108</c:v>
                </c:pt>
                <c:pt idx="2198">
                  <c:v>405.274</c:v>
                </c:pt>
                <c:pt idx="2199">
                  <c:v>405.447</c:v>
                </c:pt>
                <c:pt idx="2200">
                  <c:v>405.625</c:v>
                </c:pt>
                <c:pt idx="2201">
                  <c:v>405.8059999999999</c:v>
                </c:pt>
                <c:pt idx="2202">
                  <c:v>405.9789999999986</c:v>
                </c:pt>
                <c:pt idx="2203">
                  <c:v>406.152</c:v>
                </c:pt>
                <c:pt idx="2204">
                  <c:v>406.327</c:v>
                </c:pt>
                <c:pt idx="2205">
                  <c:v>406.502</c:v>
                </c:pt>
                <c:pt idx="2206">
                  <c:v>406.675</c:v>
                </c:pt>
                <c:pt idx="2207">
                  <c:v>406.851</c:v>
                </c:pt>
                <c:pt idx="2208">
                  <c:v>407.0249999999999</c:v>
                </c:pt>
                <c:pt idx="2209">
                  <c:v>407.195</c:v>
                </c:pt>
                <c:pt idx="2210">
                  <c:v>407.372</c:v>
                </c:pt>
                <c:pt idx="2211">
                  <c:v>407.552</c:v>
                </c:pt>
                <c:pt idx="2212">
                  <c:v>407.7289999999986</c:v>
                </c:pt>
                <c:pt idx="2213">
                  <c:v>407.904</c:v>
                </c:pt>
                <c:pt idx="2214">
                  <c:v>408.074</c:v>
                </c:pt>
                <c:pt idx="2215">
                  <c:v>408.24</c:v>
                </c:pt>
                <c:pt idx="2216">
                  <c:v>408.413</c:v>
                </c:pt>
                <c:pt idx="2217">
                  <c:v>408.591</c:v>
                </c:pt>
                <c:pt idx="2218">
                  <c:v>408.766</c:v>
                </c:pt>
                <c:pt idx="2219">
                  <c:v>408.939</c:v>
                </c:pt>
                <c:pt idx="2220">
                  <c:v>409.1089999999999</c:v>
                </c:pt>
                <c:pt idx="2221">
                  <c:v>409.285</c:v>
                </c:pt>
                <c:pt idx="2222">
                  <c:v>409.452</c:v>
                </c:pt>
                <c:pt idx="2223">
                  <c:v>409.6209999999999</c:v>
                </c:pt>
                <c:pt idx="2224">
                  <c:v>409.7919999999986</c:v>
                </c:pt>
                <c:pt idx="2225">
                  <c:v>409.964</c:v>
                </c:pt>
                <c:pt idx="2226">
                  <c:v>410.145</c:v>
                </c:pt>
                <c:pt idx="2227">
                  <c:v>410.3229999999999</c:v>
                </c:pt>
                <c:pt idx="2228">
                  <c:v>410.4929999999989</c:v>
                </c:pt>
                <c:pt idx="2229">
                  <c:v>410.668</c:v>
                </c:pt>
                <c:pt idx="2230">
                  <c:v>410.841</c:v>
                </c:pt>
                <c:pt idx="2231">
                  <c:v>411.01</c:v>
                </c:pt>
                <c:pt idx="2232">
                  <c:v>411.1789999999999</c:v>
                </c:pt>
                <c:pt idx="2233">
                  <c:v>411.35</c:v>
                </c:pt>
                <c:pt idx="2234">
                  <c:v>411.519</c:v>
                </c:pt>
                <c:pt idx="2235">
                  <c:v>411.694</c:v>
                </c:pt>
                <c:pt idx="2236">
                  <c:v>411.875</c:v>
                </c:pt>
                <c:pt idx="2237">
                  <c:v>412.0590000000001</c:v>
                </c:pt>
                <c:pt idx="2238">
                  <c:v>412.24</c:v>
                </c:pt>
                <c:pt idx="2239">
                  <c:v>412.42</c:v>
                </c:pt>
                <c:pt idx="2240">
                  <c:v>412.593</c:v>
                </c:pt>
                <c:pt idx="2241">
                  <c:v>412.7629999999999</c:v>
                </c:pt>
                <c:pt idx="2242">
                  <c:v>412.9189999999986</c:v>
                </c:pt>
                <c:pt idx="2243">
                  <c:v>413.077</c:v>
                </c:pt>
                <c:pt idx="2244">
                  <c:v>413.247</c:v>
                </c:pt>
                <c:pt idx="2245">
                  <c:v>413.427</c:v>
                </c:pt>
                <c:pt idx="2246">
                  <c:v>413.608</c:v>
                </c:pt>
                <c:pt idx="2247">
                  <c:v>413.783</c:v>
                </c:pt>
                <c:pt idx="2248">
                  <c:v>413.954</c:v>
                </c:pt>
                <c:pt idx="2249">
                  <c:v>414.127</c:v>
                </c:pt>
                <c:pt idx="2250">
                  <c:v>414.2909999999989</c:v>
                </c:pt>
                <c:pt idx="2251">
                  <c:v>414.451</c:v>
                </c:pt>
                <c:pt idx="2252">
                  <c:v>414.6039999999999</c:v>
                </c:pt>
                <c:pt idx="2253">
                  <c:v>414.76</c:v>
                </c:pt>
                <c:pt idx="2254">
                  <c:v>414.9279999999989</c:v>
                </c:pt>
                <c:pt idx="2255">
                  <c:v>415.0959999999992</c:v>
                </c:pt>
                <c:pt idx="2256">
                  <c:v>415.2629999999999</c:v>
                </c:pt>
                <c:pt idx="2257">
                  <c:v>415.4169999999986</c:v>
                </c:pt>
                <c:pt idx="2258">
                  <c:v>415.569</c:v>
                </c:pt>
                <c:pt idx="2259">
                  <c:v>415.7209999999992</c:v>
                </c:pt>
                <c:pt idx="2260">
                  <c:v>415.885</c:v>
                </c:pt>
                <c:pt idx="2261">
                  <c:v>416.0539999999999</c:v>
                </c:pt>
                <c:pt idx="2262">
                  <c:v>416.23</c:v>
                </c:pt>
                <c:pt idx="2263">
                  <c:v>416.404</c:v>
                </c:pt>
                <c:pt idx="2264">
                  <c:v>416.575</c:v>
                </c:pt>
                <c:pt idx="2265">
                  <c:v>416.7440000000001</c:v>
                </c:pt>
                <c:pt idx="2266">
                  <c:v>416.92</c:v>
                </c:pt>
                <c:pt idx="2267">
                  <c:v>417.101</c:v>
                </c:pt>
                <c:pt idx="2268">
                  <c:v>417.2809999999996</c:v>
                </c:pt>
                <c:pt idx="2269">
                  <c:v>417.452</c:v>
                </c:pt>
                <c:pt idx="2270">
                  <c:v>417.6139999999999</c:v>
                </c:pt>
                <c:pt idx="2271">
                  <c:v>417.779</c:v>
                </c:pt>
                <c:pt idx="2272">
                  <c:v>417.947</c:v>
                </c:pt>
                <c:pt idx="2273">
                  <c:v>418.113</c:v>
                </c:pt>
                <c:pt idx="2274">
                  <c:v>418.279</c:v>
                </c:pt>
                <c:pt idx="2275">
                  <c:v>418.445</c:v>
                </c:pt>
                <c:pt idx="2276">
                  <c:v>418.616</c:v>
                </c:pt>
                <c:pt idx="2277">
                  <c:v>418.7859999999989</c:v>
                </c:pt>
                <c:pt idx="2278">
                  <c:v>418.9619999999989</c:v>
                </c:pt>
                <c:pt idx="2279">
                  <c:v>419.137</c:v>
                </c:pt>
                <c:pt idx="2280">
                  <c:v>419.3159999999999</c:v>
                </c:pt>
                <c:pt idx="2281">
                  <c:v>419.4929999999989</c:v>
                </c:pt>
                <c:pt idx="2282">
                  <c:v>419.668</c:v>
                </c:pt>
                <c:pt idx="2283">
                  <c:v>419.8450000000001</c:v>
                </c:pt>
                <c:pt idx="2284">
                  <c:v>420.0249999999999</c:v>
                </c:pt>
                <c:pt idx="2285">
                  <c:v>420.1979999999999</c:v>
                </c:pt>
                <c:pt idx="2286">
                  <c:v>420.37</c:v>
                </c:pt>
                <c:pt idx="2287">
                  <c:v>420.545</c:v>
                </c:pt>
                <c:pt idx="2288">
                  <c:v>420.7239999999989</c:v>
                </c:pt>
                <c:pt idx="2289">
                  <c:v>420.899</c:v>
                </c:pt>
                <c:pt idx="2290">
                  <c:v>421.072</c:v>
                </c:pt>
                <c:pt idx="2291">
                  <c:v>421.242</c:v>
                </c:pt>
                <c:pt idx="2292">
                  <c:v>421.4179999999996</c:v>
                </c:pt>
                <c:pt idx="2293">
                  <c:v>421.591</c:v>
                </c:pt>
                <c:pt idx="2294">
                  <c:v>421.749</c:v>
                </c:pt>
                <c:pt idx="2295">
                  <c:v>421.915</c:v>
                </c:pt>
                <c:pt idx="2296">
                  <c:v>422.09</c:v>
                </c:pt>
                <c:pt idx="2297">
                  <c:v>422.2679999999999</c:v>
                </c:pt>
                <c:pt idx="2298">
                  <c:v>422.444</c:v>
                </c:pt>
                <c:pt idx="2299">
                  <c:v>422.613</c:v>
                </c:pt>
                <c:pt idx="2300">
                  <c:v>422.764</c:v>
                </c:pt>
                <c:pt idx="2301">
                  <c:v>422.9119999999986</c:v>
                </c:pt>
                <c:pt idx="2302">
                  <c:v>423.062</c:v>
                </c:pt>
                <c:pt idx="2303">
                  <c:v>423.2209999999992</c:v>
                </c:pt>
                <c:pt idx="2304">
                  <c:v>423.3809999999999</c:v>
                </c:pt>
                <c:pt idx="2305">
                  <c:v>423.54</c:v>
                </c:pt>
                <c:pt idx="2306">
                  <c:v>423.6979999999999</c:v>
                </c:pt>
                <c:pt idx="2307">
                  <c:v>423.86</c:v>
                </c:pt>
                <c:pt idx="2308">
                  <c:v>424.0309999999996</c:v>
                </c:pt>
                <c:pt idx="2309">
                  <c:v>424.196</c:v>
                </c:pt>
                <c:pt idx="2310">
                  <c:v>424.36</c:v>
                </c:pt>
                <c:pt idx="2311">
                  <c:v>424.5179999999999</c:v>
                </c:pt>
                <c:pt idx="2312">
                  <c:v>424.6859999999999</c:v>
                </c:pt>
                <c:pt idx="2313">
                  <c:v>424.866</c:v>
                </c:pt>
                <c:pt idx="2314">
                  <c:v>425.0419999999999</c:v>
                </c:pt>
                <c:pt idx="2315">
                  <c:v>425.2189999999989</c:v>
                </c:pt>
                <c:pt idx="2316">
                  <c:v>425.401</c:v>
                </c:pt>
                <c:pt idx="2317">
                  <c:v>425.584</c:v>
                </c:pt>
                <c:pt idx="2318">
                  <c:v>425.761</c:v>
                </c:pt>
                <c:pt idx="2319">
                  <c:v>425.9359999999986</c:v>
                </c:pt>
                <c:pt idx="2320">
                  <c:v>426.1089999999999</c:v>
                </c:pt>
                <c:pt idx="2321">
                  <c:v>426.2819999999986</c:v>
                </c:pt>
                <c:pt idx="2322">
                  <c:v>426.4429999999999</c:v>
                </c:pt>
                <c:pt idx="2323">
                  <c:v>426.603</c:v>
                </c:pt>
                <c:pt idx="2324">
                  <c:v>426.7679999999999</c:v>
                </c:pt>
                <c:pt idx="2325">
                  <c:v>426.94</c:v>
                </c:pt>
                <c:pt idx="2326">
                  <c:v>427.1089999999999</c:v>
                </c:pt>
                <c:pt idx="2327">
                  <c:v>427.2749999999999</c:v>
                </c:pt>
                <c:pt idx="2328">
                  <c:v>427.446</c:v>
                </c:pt>
                <c:pt idx="2329">
                  <c:v>427.613</c:v>
                </c:pt>
                <c:pt idx="2330">
                  <c:v>427.783</c:v>
                </c:pt>
                <c:pt idx="2331">
                  <c:v>427.937</c:v>
                </c:pt>
                <c:pt idx="2332">
                  <c:v>428.093</c:v>
                </c:pt>
                <c:pt idx="2333">
                  <c:v>428.261</c:v>
                </c:pt>
                <c:pt idx="2334">
                  <c:v>428.437</c:v>
                </c:pt>
                <c:pt idx="2335">
                  <c:v>428.615</c:v>
                </c:pt>
                <c:pt idx="2336">
                  <c:v>428.79</c:v>
                </c:pt>
                <c:pt idx="2337">
                  <c:v>428.961</c:v>
                </c:pt>
                <c:pt idx="2338">
                  <c:v>429.124</c:v>
                </c:pt>
                <c:pt idx="2339">
                  <c:v>429.2959999999989</c:v>
                </c:pt>
                <c:pt idx="2340">
                  <c:v>429.4719999999986</c:v>
                </c:pt>
                <c:pt idx="2341">
                  <c:v>429.647</c:v>
                </c:pt>
                <c:pt idx="2342">
                  <c:v>429.8109999999999</c:v>
                </c:pt>
                <c:pt idx="2343">
                  <c:v>429.9759999999989</c:v>
                </c:pt>
                <c:pt idx="2344">
                  <c:v>430.141</c:v>
                </c:pt>
                <c:pt idx="2345">
                  <c:v>430.307</c:v>
                </c:pt>
                <c:pt idx="2346">
                  <c:v>430.4719999999986</c:v>
                </c:pt>
                <c:pt idx="2347">
                  <c:v>430.642</c:v>
                </c:pt>
                <c:pt idx="2348">
                  <c:v>430.805</c:v>
                </c:pt>
                <c:pt idx="2349">
                  <c:v>430.9709999999992</c:v>
                </c:pt>
                <c:pt idx="2350">
                  <c:v>431.1329999999999</c:v>
                </c:pt>
                <c:pt idx="2351">
                  <c:v>431.3039999999999</c:v>
                </c:pt>
                <c:pt idx="2352">
                  <c:v>431.473</c:v>
                </c:pt>
                <c:pt idx="2353">
                  <c:v>431.643</c:v>
                </c:pt>
                <c:pt idx="2354">
                  <c:v>431.808</c:v>
                </c:pt>
                <c:pt idx="2355">
                  <c:v>431.975</c:v>
                </c:pt>
                <c:pt idx="2356">
                  <c:v>432.143</c:v>
                </c:pt>
                <c:pt idx="2357">
                  <c:v>432.313</c:v>
                </c:pt>
                <c:pt idx="2358">
                  <c:v>432.4879999999989</c:v>
                </c:pt>
                <c:pt idx="2359">
                  <c:v>432.665</c:v>
                </c:pt>
                <c:pt idx="2360">
                  <c:v>432.839</c:v>
                </c:pt>
                <c:pt idx="2361">
                  <c:v>432.997</c:v>
                </c:pt>
                <c:pt idx="2362">
                  <c:v>433.152</c:v>
                </c:pt>
                <c:pt idx="2363">
                  <c:v>433.317</c:v>
                </c:pt>
                <c:pt idx="2364">
                  <c:v>433.4759999999989</c:v>
                </c:pt>
                <c:pt idx="2365">
                  <c:v>433.64</c:v>
                </c:pt>
                <c:pt idx="2366">
                  <c:v>433.8090000000001</c:v>
                </c:pt>
                <c:pt idx="2367">
                  <c:v>433.978</c:v>
                </c:pt>
                <c:pt idx="2368">
                  <c:v>434.15</c:v>
                </c:pt>
                <c:pt idx="2369">
                  <c:v>434.325</c:v>
                </c:pt>
                <c:pt idx="2370">
                  <c:v>434.5009999999999</c:v>
                </c:pt>
                <c:pt idx="2371">
                  <c:v>434.67</c:v>
                </c:pt>
                <c:pt idx="2372">
                  <c:v>434.836</c:v>
                </c:pt>
                <c:pt idx="2373">
                  <c:v>435.0059999999999</c:v>
                </c:pt>
                <c:pt idx="2374">
                  <c:v>435.183</c:v>
                </c:pt>
                <c:pt idx="2375">
                  <c:v>435.36</c:v>
                </c:pt>
                <c:pt idx="2376">
                  <c:v>435.529</c:v>
                </c:pt>
                <c:pt idx="2377">
                  <c:v>435.7</c:v>
                </c:pt>
                <c:pt idx="2378">
                  <c:v>435.874</c:v>
                </c:pt>
                <c:pt idx="2379">
                  <c:v>436.053</c:v>
                </c:pt>
                <c:pt idx="2380">
                  <c:v>436.232</c:v>
                </c:pt>
                <c:pt idx="2381">
                  <c:v>436.41</c:v>
                </c:pt>
                <c:pt idx="2382">
                  <c:v>436.588</c:v>
                </c:pt>
                <c:pt idx="2383">
                  <c:v>436.761</c:v>
                </c:pt>
                <c:pt idx="2384">
                  <c:v>436.9209999999989</c:v>
                </c:pt>
                <c:pt idx="2385">
                  <c:v>437.09</c:v>
                </c:pt>
                <c:pt idx="2386">
                  <c:v>437.264</c:v>
                </c:pt>
                <c:pt idx="2387">
                  <c:v>437.44</c:v>
                </c:pt>
                <c:pt idx="2388">
                  <c:v>437.6070000000001</c:v>
                </c:pt>
                <c:pt idx="2389">
                  <c:v>437.774</c:v>
                </c:pt>
                <c:pt idx="2390">
                  <c:v>437.945</c:v>
                </c:pt>
                <c:pt idx="2391">
                  <c:v>438.112</c:v>
                </c:pt>
                <c:pt idx="2392">
                  <c:v>438.279</c:v>
                </c:pt>
                <c:pt idx="2393">
                  <c:v>438.447</c:v>
                </c:pt>
                <c:pt idx="2394">
                  <c:v>438.62</c:v>
                </c:pt>
                <c:pt idx="2395">
                  <c:v>438.795</c:v>
                </c:pt>
                <c:pt idx="2396">
                  <c:v>438.975</c:v>
                </c:pt>
                <c:pt idx="2397">
                  <c:v>439.154</c:v>
                </c:pt>
                <c:pt idx="2398">
                  <c:v>439.325</c:v>
                </c:pt>
                <c:pt idx="2399">
                  <c:v>439.4959999999986</c:v>
                </c:pt>
                <c:pt idx="2400">
                  <c:v>439.665</c:v>
                </c:pt>
                <c:pt idx="2401">
                  <c:v>439.84</c:v>
                </c:pt>
                <c:pt idx="2402">
                  <c:v>440.01</c:v>
                </c:pt>
                <c:pt idx="2403">
                  <c:v>440.1720000000001</c:v>
                </c:pt>
                <c:pt idx="2404">
                  <c:v>440.331</c:v>
                </c:pt>
                <c:pt idx="2405">
                  <c:v>440.5</c:v>
                </c:pt>
                <c:pt idx="2406">
                  <c:v>440.6809999999999</c:v>
                </c:pt>
                <c:pt idx="2407">
                  <c:v>440.853</c:v>
                </c:pt>
                <c:pt idx="2408">
                  <c:v>441.016</c:v>
                </c:pt>
                <c:pt idx="2409">
                  <c:v>441.1789999999999</c:v>
                </c:pt>
                <c:pt idx="2410">
                  <c:v>441.3469999999999</c:v>
                </c:pt>
                <c:pt idx="2411">
                  <c:v>441.526</c:v>
                </c:pt>
                <c:pt idx="2412">
                  <c:v>441.7049999999999</c:v>
                </c:pt>
                <c:pt idx="2413">
                  <c:v>441.8809999999999</c:v>
                </c:pt>
                <c:pt idx="2414">
                  <c:v>442.048</c:v>
                </c:pt>
                <c:pt idx="2415">
                  <c:v>442.2149999999999</c:v>
                </c:pt>
                <c:pt idx="2416">
                  <c:v>442.389</c:v>
                </c:pt>
                <c:pt idx="2417">
                  <c:v>442.565</c:v>
                </c:pt>
                <c:pt idx="2418">
                  <c:v>442.7309999999989</c:v>
                </c:pt>
                <c:pt idx="2419">
                  <c:v>442.8949999999999</c:v>
                </c:pt>
                <c:pt idx="2420">
                  <c:v>443.064</c:v>
                </c:pt>
                <c:pt idx="2421">
                  <c:v>443.2359999999989</c:v>
                </c:pt>
                <c:pt idx="2422">
                  <c:v>443.41</c:v>
                </c:pt>
                <c:pt idx="2423">
                  <c:v>443.5869999999989</c:v>
                </c:pt>
                <c:pt idx="2424">
                  <c:v>443.754</c:v>
                </c:pt>
                <c:pt idx="2425">
                  <c:v>443.922</c:v>
                </c:pt>
                <c:pt idx="2426">
                  <c:v>444.089</c:v>
                </c:pt>
                <c:pt idx="2427">
                  <c:v>444.26</c:v>
                </c:pt>
                <c:pt idx="2428">
                  <c:v>444.4359999999986</c:v>
                </c:pt>
                <c:pt idx="2429">
                  <c:v>444.612</c:v>
                </c:pt>
                <c:pt idx="2430">
                  <c:v>444.7889999999989</c:v>
                </c:pt>
                <c:pt idx="2431">
                  <c:v>444.97</c:v>
                </c:pt>
                <c:pt idx="2432">
                  <c:v>445.158</c:v>
                </c:pt>
                <c:pt idx="2433">
                  <c:v>445.3450000000001</c:v>
                </c:pt>
                <c:pt idx="2434">
                  <c:v>445.519</c:v>
                </c:pt>
                <c:pt idx="2435">
                  <c:v>445.69</c:v>
                </c:pt>
                <c:pt idx="2436">
                  <c:v>445.865</c:v>
                </c:pt>
                <c:pt idx="2437">
                  <c:v>446.0389999999989</c:v>
                </c:pt>
                <c:pt idx="2438">
                  <c:v>446.2149999999999</c:v>
                </c:pt>
                <c:pt idx="2439">
                  <c:v>446.39</c:v>
                </c:pt>
                <c:pt idx="2440">
                  <c:v>446.5679999999999</c:v>
                </c:pt>
                <c:pt idx="2441">
                  <c:v>446.7440000000001</c:v>
                </c:pt>
                <c:pt idx="2442">
                  <c:v>446.9189999999986</c:v>
                </c:pt>
                <c:pt idx="2443">
                  <c:v>447.086</c:v>
                </c:pt>
                <c:pt idx="2444">
                  <c:v>447.245</c:v>
                </c:pt>
                <c:pt idx="2445">
                  <c:v>447.408</c:v>
                </c:pt>
                <c:pt idx="2446">
                  <c:v>447.569</c:v>
                </c:pt>
                <c:pt idx="2447">
                  <c:v>447.735</c:v>
                </c:pt>
                <c:pt idx="2448">
                  <c:v>447.904</c:v>
                </c:pt>
                <c:pt idx="2449">
                  <c:v>448.076</c:v>
                </c:pt>
                <c:pt idx="2450">
                  <c:v>448.248</c:v>
                </c:pt>
                <c:pt idx="2451">
                  <c:v>448.4139999999989</c:v>
                </c:pt>
                <c:pt idx="2452">
                  <c:v>448.579</c:v>
                </c:pt>
                <c:pt idx="2453">
                  <c:v>448.747</c:v>
                </c:pt>
                <c:pt idx="2454">
                  <c:v>448.92</c:v>
                </c:pt>
                <c:pt idx="2455">
                  <c:v>449.084</c:v>
                </c:pt>
                <c:pt idx="2456">
                  <c:v>449.2359999999989</c:v>
                </c:pt>
                <c:pt idx="2457">
                  <c:v>449.386</c:v>
                </c:pt>
                <c:pt idx="2458">
                  <c:v>449.546</c:v>
                </c:pt>
                <c:pt idx="2459">
                  <c:v>449.7119999999989</c:v>
                </c:pt>
                <c:pt idx="2460">
                  <c:v>449.882</c:v>
                </c:pt>
                <c:pt idx="2461">
                  <c:v>450.055</c:v>
                </c:pt>
                <c:pt idx="2462">
                  <c:v>450.2259999999989</c:v>
                </c:pt>
                <c:pt idx="2463">
                  <c:v>450.3969999999989</c:v>
                </c:pt>
                <c:pt idx="2464">
                  <c:v>450.574</c:v>
                </c:pt>
                <c:pt idx="2465">
                  <c:v>450.752</c:v>
                </c:pt>
                <c:pt idx="2466">
                  <c:v>450.934</c:v>
                </c:pt>
                <c:pt idx="2467">
                  <c:v>451.113</c:v>
                </c:pt>
                <c:pt idx="2468">
                  <c:v>451.283</c:v>
                </c:pt>
                <c:pt idx="2469">
                  <c:v>451.45</c:v>
                </c:pt>
                <c:pt idx="2470">
                  <c:v>451.625</c:v>
                </c:pt>
                <c:pt idx="2471">
                  <c:v>451.8</c:v>
                </c:pt>
                <c:pt idx="2472">
                  <c:v>451.959</c:v>
                </c:pt>
                <c:pt idx="2473">
                  <c:v>452.129</c:v>
                </c:pt>
                <c:pt idx="2474">
                  <c:v>452.3039999999999</c:v>
                </c:pt>
                <c:pt idx="2475">
                  <c:v>452.48</c:v>
                </c:pt>
                <c:pt idx="2476">
                  <c:v>452.6569999999999</c:v>
                </c:pt>
                <c:pt idx="2477">
                  <c:v>452.8319999999989</c:v>
                </c:pt>
                <c:pt idx="2478">
                  <c:v>453.0079999999999</c:v>
                </c:pt>
                <c:pt idx="2479">
                  <c:v>453.1789999999999</c:v>
                </c:pt>
                <c:pt idx="2480">
                  <c:v>453.3589999999999</c:v>
                </c:pt>
                <c:pt idx="2481">
                  <c:v>453.533</c:v>
                </c:pt>
                <c:pt idx="2482">
                  <c:v>453.701</c:v>
                </c:pt>
                <c:pt idx="2483">
                  <c:v>453.874</c:v>
                </c:pt>
                <c:pt idx="2484">
                  <c:v>454.053</c:v>
                </c:pt>
                <c:pt idx="2485">
                  <c:v>454.232</c:v>
                </c:pt>
                <c:pt idx="2486">
                  <c:v>454.41</c:v>
                </c:pt>
                <c:pt idx="2487">
                  <c:v>454.583</c:v>
                </c:pt>
                <c:pt idx="2488">
                  <c:v>454.757</c:v>
                </c:pt>
                <c:pt idx="2489">
                  <c:v>454.934</c:v>
                </c:pt>
                <c:pt idx="2490">
                  <c:v>455.113</c:v>
                </c:pt>
                <c:pt idx="2491">
                  <c:v>455.29</c:v>
                </c:pt>
                <c:pt idx="2492">
                  <c:v>455.4669999999986</c:v>
                </c:pt>
                <c:pt idx="2493">
                  <c:v>455.645</c:v>
                </c:pt>
                <c:pt idx="2494">
                  <c:v>455.825</c:v>
                </c:pt>
                <c:pt idx="2495">
                  <c:v>456.0</c:v>
                </c:pt>
                <c:pt idx="2496">
                  <c:v>456.176</c:v>
                </c:pt>
                <c:pt idx="2497">
                  <c:v>456.3519999999999</c:v>
                </c:pt>
                <c:pt idx="2498">
                  <c:v>456.53</c:v>
                </c:pt>
                <c:pt idx="2499">
                  <c:v>456.704</c:v>
                </c:pt>
                <c:pt idx="2500">
                  <c:v>456.861</c:v>
                </c:pt>
                <c:pt idx="2501">
                  <c:v>457.019</c:v>
                </c:pt>
                <c:pt idx="2502">
                  <c:v>457.182</c:v>
                </c:pt>
                <c:pt idx="2503">
                  <c:v>457.35</c:v>
                </c:pt>
                <c:pt idx="2504">
                  <c:v>457.516</c:v>
                </c:pt>
                <c:pt idx="2505">
                  <c:v>457.683</c:v>
                </c:pt>
                <c:pt idx="2506">
                  <c:v>457.8519999999999</c:v>
                </c:pt>
                <c:pt idx="2507">
                  <c:v>458.019</c:v>
                </c:pt>
                <c:pt idx="2508">
                  <c:v>458.185</c:v>
                </c:pt>
                <c:pt idx="2509">
                  <c:v>458.3539999999999</c:v>
                </c:pt>
                <c:pt idx="2510">
                  <c:v>458.5219999999989</c:v>
                </c:pt>
                <c:pt idx="2511">
                  <c:v>458.687</c:v>
                </c:pt>
                <c:pt idx="2512">
                  <c:v>458.8450000000001</c:v>
                </c:pt>
                <c:pt idx="2513">
                  <c:v>459.0059999999999</c:v>
                </c:pt>
                <c:pt idx="2514">
                  <c:v>459.171</c:v>
                </c:pt>
                <c:pt idx="2515">
                  <c:v>459.343</c:v>
                </c:pt>
                <c:pt idx="2516">
                  <c:v>459.5179999999999</c:v>
                </c:pt>
                <c:pt idx="2517">
                  <c:v>459.685</c:v>
                </c:pt>
                <c:pt idx="2518">
                  <c:v>459.858</c:v>
                </c:pt>
                <c:pt idx="2519">
                  <c:v>460.0359999999989</c:v>
                </c:pt>
                <c:pt idx="2520">
                  <c:v>460.2149999999999</c:v>
                </c:pt>
                <c:pt idx="2521">
                  <c:v>460.387</c:v>
                </c:pt>
                <c:pt idx="2522">
                  <c:v>460.5590000000001</c:v>
                </c:pt>
                <c:pt idx="2523">
                  <c:v>460.723</c:v>
                </c:pt>
                <c:pt idx="2524">
                  <c:v>460.886</c:v>
                </c:pt>
                <c:pt idx="2525">
                  <c:v>461.053</c:v>
                </c:pt>
                <c:pt idx="2526">
                  <c:v>461.2219999999986</c:v>
                </c:pt>
                <c:pt idx="2527">
                  <c:v>461.398</c:v>
                </c:pt>
                <c:pt idx="2528">
                  <c:v>461.576</c:v>
                </c:pt>
                <c:pt idx="2529">
                  <c:v>461.753</c:v>
                </c:pt>
                <c:pt idx="2530">
                  <c:v>461.9309999999986</c:v>
                </c:pt>
                <c:pt idx="2531">
                  <c:v>462.095</c:v>
                </c:pt>
                <c:pt idx="2532">
                  <c:v>462.261</c:v>
                </c:pt>
                <c:pt idx="2533">
                  <c:v>462.4349999999989</c:v>
                </c:pt>
                <c:pt idx="2534">
                  <c:v>462.608</c:v>
                </c:pt>
                <c:pt idx="2535">
                  <c:v>462.7819999999986</c:v>
                </c:pt>
                <c:pt idx="2536">
                  <c:v>462.949</c:v>
                </c:pt>
                <c:pt idx="2537">
                  <c:v>463.0969999999986</c:v>
                </c:pt>
                <c:pt idx="2538">
                  <c:v>463.253</c:v>
                </c:pt>
                <c:pt idx="2539">
                  <c:v>463.422</c:v>
                </c:pt>
                <c:pt idx="2540">
                  <c:v>463.598</c:v>
                </c:pt>
                <c:pt idx="2541">
                  <c:v>463.779</c:v>
                </c:pt>
                <c:pt idx="2542">
                  <c:v>463.9549999999999</c:v>
                </c:pt>
                <c:pt idx="2543">
                  <c:v>464.129</c:v>
                </c:pt>
                <c:pt idx="2544">
                  <c:v>464.312</c:v>
                </c:pt>
                <c:pt idx="2545">
                  <c:v>464.499</c:v>
                </c:pt>
                <c:pt idx="2546">
                  <c:v>464.683</c:v>
                </c:pt>
                <c:pt idx="2547">
                  <c:v>464.861</c:v>
                </c:pt>
                <c:pt idx="2548">
                  <c:v>465.0389999999989</c:v>
                </c:pt>
                <c:pt idx="2549">
                  <c:v>465.216</c:v>
                </c:pt>
                <c:pt idx="2550">
                  <c:v>465.389</c:v>
                </c:pt>
                <c:pt idx="2551">
                  <c:v>465.5609999999999</c:v>
                </c:pt>
                <c:pt idx="2552">
                  <c:v>465.7339999999986</c:v>
                </c:pt>
                <c:pt idx="2553">
                  <c:v>465.9069999999986</c:v>
                </c:pt>
                <c:pt idx="2554">
                  <c:v>466.072</c:v>
                </c:pt>
                <c:pt idx="2555">
                  <c:v>466.2389999999986</c:v>
                </c:pt>
                <c:pt idx="2556">
                  <c:v>466.41</c:v>
                </c:pt>
                <c:pt idx="2557">
                  <c:v>466.5779999999999</c:v>
                </c:pt>
                <c:pt idx="2558">
                  <c:v>466.7359999999989</c:v>
                </c:pt>
                <c:pt idx="2559">
                  <c:v>466.8969999999989</c:v>
                </c:pt>
                <c:pt idx="2560">
                  <c:v>467.063</c:v>
                </c:pt>
                <c:pt idx="2561">
                  <c:v>467.2309999999989</c:v>
                </c:pt>
                <c:pt idx="2562">
                  <c:v>467.4059999999996</c:v>
                </c:pt>
                <c:pt idx="2563">
                  <c:v>467.577</c:v>
                </c:pt>
                <c:pt idx="2564">
                  <c:v>467.741</c:v>
                </c:pt>
                <c:pt idx="2565">
                  <c:v>467.898</c:v>
                </c:pt>
                <c:pt idx="2566">
                  <c:v>468.065</c:v>
                </c:pt>
                <c:pt idx="2567">
                  <c:v>468.2339999999986</c:v>
                </c:pt>
                <c:pt idx="2568">
                  <c:v>468.399</c:v>
                </c:pt>
                <c:pt idx="2569">
                  <c:v>468.569</c:v>
                </c:pt>
                <c:pt idx="2570">
                  <c:v>468.7359999999989</c:v>
                </c:pt>
                <c:pt idx="2571">
                  <c:v>468.9089999999989</c:v>
                </c:pt>
                <c:pt idx="2572">
                  <c:v>469.071</c:v>
                </c:pt>
                <c:pt idx="2573">
                  <c:v>469.2329999999992</c:v>
                </c:pt>
                <c:pt idx="2574">
                  <c:v>469.4</c:v>
                </c:pt>
                <c:pt idx="2575">
                  <c:v>469.5679999999999</c:v>
                </c:pt>
                <c:pt idx="2576">
                  <c:v>469.737</c:v>
                </c:pt>
                <c:pt idx="2577">
                  <c:v>469.9119999999986</c:v>
                </c:pt>
                <c:pt idx="2578">
                  <c:v>470.095</c:v>
                </c:pt>
                <c:pt idx="2579">
                  <c:v>470.276</c:v>
                </c:pt>
                <c:pt idx="2580">
                  <c:v>470.452</c:v>
                </c:pt>
                <c:pt idx="2581">
                  <c:v>470.628</c:v>
                </c:pt>
                <c:pt idx="2582">
                  <c:v>470.797</c:v>
                </c:pt>
                <c:pt idx="2583">
                  <c:v>470.954</c:v>
                </c:pt>
                <c:pt idx="2584">
                  <c:v>471.116</c:v>
                </c:pt>
                <c:pt idx="2585">
                  <c:v>471.2819999999986</c:v>
                </c:pt>
                <c:pt idx="2586">
                  <c:v>471.459</c:v>
                </c:pt>
                <c:pt idx="2587">
                  <c:v>471.6329999999999</c:v>
                </c:pt>
                <c:pt idx="2588">
                  <c:v>471.801</c:v>
                </c:pt>
                <c:pt idx="2589">
                  <c:v>471.968</c:v>
                </c:pt>
                <c:pt idx="2590">
                  <c:v>472.1379999999999</c:v>
                </c:pt>
                <c:pt idx="2591">
                  <c:v>472.297</c:v>
                </c:pt>
                <c:pt idx="2592">
                  <c:v>472.4569999999989</c:v>
                </c:pt>
                <c:pt idx="2593">
                  <c:v>472.624</c:v>
                </c:pt>
                <c:pt idx="2594">
                  <c:v>472.7979999999989</c:v>
                </c:pt>
                <c:pt idx="2595">
                  <c:v>472.9789999999986</c:v>
                </c:pt>
                <c:pt idx="2596">
                  <c:v>473.158</c:v>
                </c:pt>
                <c:pt idx="2597">
                  <c:v>473.339</c:v>
                </c:pt>
                <c:pt idx="2598">
                  <c:v>473.5219999999989</c:v>
                </c:pt>
                <c:pt idx="2599">
                  <c:v>473.692</c:v>
                </c:pt>
                <c:pt idx="2600">
                  <c:v>473.856</c:v>
                </c:pt>
                <c:pt idx="2601">
                  <c:v>474.0219999999989</c:v>
                </c:pt>
                <c:pt idx="2602">
                  <c:v>474.194</c:v>
                </c:pt>
                <c:pt idx="2603">
                  <c:v>474.3690000000001</c:v>
                </c:pt>
                <c:pt idx="2604">
                  <c:v>474.533</c:v>
                </c:pt>
                <c:pt idx="2605">
                  <c:v>474.695</c:v>
                </c:pt>
                <c:pt idx="2606">
                  <c:v>474.8690000000001</c:v>
                </c:pt>
                <c:pt idx="2607">
                  <c:v>475.043</c:v>
                </c:pt>
                <c:pt idx="2608">
                  <c:v>475.21</c:v>
                </c:pt>
                <c:pt idx="2609">
                  <c:v>475.3809999999999</c:v>
                </c:pt>
                <c:pt idx="2610">
                  <c:v>475.553</c:v>
                </c:pt>
                <c:pt idx="2611">
                  <c:v>475.7239999999989</c:v>
                </c:pt>
                <c:pt idx="2612">
                  <c:v>475.8929999999999</c:v>
                </c:pt>
                <c:pt idx="2613">
                  <c:v>476.0590000000001</c:v>
                </c:pt>
                <c:pt idx="2614">
                  <c:v>476.2329999999992</c:v>
                </c:pt>
                <c:pt idx="2615">
                  <c:v>476.408</c:v>
                </c:pt>
                <c:pt idx="2616">
                  <c:v>476.577</c:v>
                </c:pt>
                <c:pt idx="2617">
                  <c:v>476.741</c:v>
                </c:pt>
                <c:pt idx="2618">
                  <c:v>476.913</c:v>
                </c:pt>
                <c:pt idx="2619">
                  <c:v>477.09</c:v>
                </c:pt>
                <c:pt idx="2620">
                  <c:v>477.267</c:v>
                </c:pt>
                <c:pt idx="2621">
                  <c:v>477.4429999999999</c:v>
                </c:pt>
                <c:pt idx="2622">
                  <c:v>477.623</c:v>
                </c:pt>
                <c:pt idx="2623">
                  <c:v>477.8</c:v>
                </c:pt>
                <c:pt idx="2624">
                  <c:v>477.978</c:v>
                </c:pt>
                <c:pt idx="2625">
                  <c:v>478.15</c:v>
                </c:pt>
                <c:pt idx="2626">
                  <c:v>478.3229999999999</c:v>
                </c:pt>
                <c:pt idx="2627">
                  <c:v>478.503</c:v>
                </c:pt>
                <c:pt idx="2628">
                  <c:v>478.6809999999999</c:v>
                </c:pt>
                <c:pt idx="2629">
                  <c:v>478.8450000000001</c:v>
                </c:pt>
                <c:pt idx="2630">
                  <c:v>479.0129999999999</c:v>
                </c:pt>
                <c:pt idx="2631">
                  <c:v>479.189</c:v>
                </c:pt>
                <c:pt idx="2632">
                  <c:v>479.3709999999999</c:v>
                </c:pt>
                <c:pt idx="2633">
                  <c:v>479.5439999999999</c:v>
                </c:pt>
                <c:pt idx="2634">
                  <c:v>479.71</c:v>
                </c:pt>
                <c:pt idx="2635">
                  <c:v>479.8690000000001</c:v>
                </c:pt>
                <c:pt idx="2636">
                  <c:v>480.0269999999986</c:v>
                </c:pt>
                <c:pt idx="2637">
                  <c:v>480.185</c:v>
                </c:pt>
                <c:pt idx="2638">
                  <c:v>480.355</c:v>
                </c:pt>
                <c:pt idx="2639">
                  <c:v>480.535</c:v>
                </c:pt>
                <c:pt idx="2640">
                  <c:v>480.7149999999999</c:v>
                </c:pt>
                <c:pt idx="2641">
                  <c:v>480.894</c:v>
                </c:pt>
                <c:pt idx="2642">
                  <c:v>481.072</c:v>
                </c:pt>
                <c:pt idx="2643">
                  <c:v>481.248</c:v>
                </c:pt>
                <c:pt idx="2644">
                  <c:v>481.4139999999989</c:v>
                </c:pt>
                <c:pt idx="2645">
                  <c:v>481.583</c:v>
                </c:pt>
                <c:pt idx="2646">
                  <c:v>481.755</c:v>
                </c:pt>
                <c:pt idx="2647">
                  <c:v>481.9289999999986</c:v>
                </c:pt>
                <c:pt idx="2648">
                  <c:v>482.105</c:v>
                </c:pt>
                <c:pt idx="2649">
                  <c:v>482.2819999999986</c:v>
                </c:pt>
                <c:pt idx="2650">
                  <c:v>482.46</c:v>
                </c:pt>
                <c:pt idx="2651">
                  <c:v>482.636</c:v>
                </c:pt>
                <c:pt idx="2652">
                  <c:v>482.807</c:v>
                </c:pt>
                <c:pt idx="2653">
                  <c:v>482.9789999999986</c:v>
                </c:pt>
                <c:pt idx="2654">
                  <c:v>483.148</c:v>
                </c:pt>
                <c:pt idx="2655">
                  <c:v>483.3179999999999</c:v>
                </c:pt>
                <c:pt idx="2656">
                  <c:v>483.487</c:v>
                </c:pt>
                <c:pt idx="2657">
                  <c:v>483.647</c:v>
                </c:pt>
                <c:pt idx="2658">
                  <c:v>483.8059999999999</c:v>
                </c:pt>
                <c:pt idx="2659">
                  <c:v>483.9669999999986</c:v>
                </c:pt>
                <c:pt idx="2660">
                  <c:v>484.135</c:v>
                </c:pt>
                <c:pt idx="2661">
                  <c:v>484.305</c:v>
                </c:pt>
                <c:pt idx="2662">
                  <c:v>484.4759999999989</c:v>
                </c:pt>
                <c:pt idx="2663">
                  <c:v>484.652</c:v>
                </c:pt>
                <c:pt idx="2664">
                  <c:v>484.83</c:v>
                </c:pt>
                <c:pt idx="2665">
                  <c:v>485.0009999999999</c:v>
                </c:pt>
                <c:pt idx="2666">
                  <c:v>485.165</c:v>
                </c:pt>
                <c:pt idx="2667">
                  <c:v>485.331</c:v>
                </c:pt>
                <c:pt idx="2668">
                  <c:v>485.503</c:v>
                </c:pt>
                <c:pt idx="2669">
                  <c:v>485.676</c:v>
                </c:pt>
                <c:pt idx="2670">
                  <c:v>485.8519999999999</c:v>
                </c:pt>
                <c:pt idx="2671">
                  <c:v>486.0269999999986</c:v>
                </c:pt>
                <c:pt idx="2672">
                  <c:v>486.1979999999999</c:v>
                </c:pt>
                <c:pt idx="2673">
                  <c:v>486.363</c:v>
                </c:pt>
                <c:pt idx="2674">
                  <c:v>486.5339999999989</c:v>
                </c:pt>
                <c:pt idx="2675">
                  <c:v>486.71</c:v>
                </c:pt>
                <c:pt idx="2676">
                  <c:v>486.88</c:v>
                </c:pt>
                <c:pt idx="2677">
                  <c:v>487.045</c:v>
                </c:pt>
                <c:pt idx="2678">
                  <c:v>487.2169999999986</c:v>
                </c:pt>
                <c:pt idx="2679">
                  <c:v>487.389</c:v>
                </c:pt>
                <c:pt idx="2680">
                  <c:v>487.5590000000001</c:v>
                </c:pt>
                <c:pt idx="2681">
                  <c:v>487.7269999999986</c:v>
                </c:pt>
                <c:pt idx="2682">
                  <c:v>487.904</c:v>
                </c:pt>
                <c:pt idx="2683">
                  <c:v>488.0849999999999</c:v>
                </c:pt>
                <c:pt idx="2684">
                  <c:v>488.261</c:v>
                </c:pt>
                <c:pt idx="2685">
                  <c:v>488.437</c:v>
                </c:pt>
                <c:pt idx="2686">
                  <c:v>488.616</c:v>
                </c:pt>
                <c:pt idx="2687">
                  <c:v>488.7929999999996</c:v>
                </c:pt>
                <c:pt idx="2688">
                  <c:v>488.9669999999986</c:v>
                </c:pt>
                <c:pt idx="2689">
                  <c:v>489.134</c:v>
                </c:pt>
                <c:pt idx="2690">
                  <c:v>489.301</c:v>
                </c:pt>
                <c:pt idx="2691">
                  <c:v>489.468</c:v>
                </c:pt>
                <c:pt idx="2692">
                  <c:v>489.637</c:v>
                </c:pt>
                <c:pt idx="2693">
                  <c:v>489.805</c:v>
                </c:pt>
                <c:pt idx="2694">
                  <c:v>489.975</c:v>
                </c:pt>
                <c:pt idx="2695">
                  <c:v>490.147</c:v>
                </c:pt>
                <c:pt idx="2696">
                  <c:v>490.32</c:v>
                </c:pt>
                <c:pt idx="2697">
                  <c:v>490.49</c:v>
                </c:pt>
                <c:pt idx="2698">
                  <c:v>490.66</c:v>
                </c:pt>
                <c:pt idx="2699">
                  <c:v>490.827</c:v>
                </c:pt>
                <c:pt idx="2700">
                  <c:v>490.9959999999986</c:v>
                </c:pt>
                <c:pt idx="2701">
                  <c:v>491.166</c:v>
                </c:pt>
                <c:pt idx="2702">
                  <c:v>491.338</c:v>
                </c:pt>
                <c:pt idx="2703">
                  <c:v>491.512</c:v>
                </c:pt>
                <c:pt idx="2704">
                  <c:v>491.689</c:v>
                </c:pt>
                <c:pt idx="2705">
                  <c:v>491.8690000000001</c:v>
                </c:pt>
                <c:pt idx="2706">
                  <c:v>492.0419999999999</c:v>
                </c:pt>
                <c:pt idx="2707">
                  <c:v>492.208</c:v>
                </c:pt>
                <c:pt idx="2708">
                  <c:v>492.367</c:v>
                </c:pt>
                <c:pt idx="2709">
                  <c:v>492.523</c:v>
                </c:pt>
                <c:pt idx="2710">
                  <c:v>492.68</c:v>
                </c:pt>
                <c:pt idx="2711">
                  <c:v>492.844</c:v>
                </c:pt>
                <c:pt idx="2712">
                  <c:v>493.004</c:v>
                </c:pt>
                <c:pt idx="2713">
                  <c:v>493.165</c:v>
                </c:pt>
                <c:pt idx="2714">
                  <c:v>493.3319999999989</c:v>
                </c:pt>
                <c:pt idx="2715">
                  <c:v>493.502</c:v>
                </c:pt>
                <c:pt idx="2716">
                  <c:v>493.676</c:v>
                </c:pt>
                <c:pt idx="2717">
                  <c:v>493.853</c:v>
                </c:pt>
                <c:pt idx="2718">
                  <c:v>494.028</c:v>
                </c:pt>
                <c:pt idx="2719">
                  <c:v>494.21</c:v>
                </c:pt>
                <c:pt idx="2720">
                  <c:v>494.3879999999999</c:v>
                </c:pt>
                <c:pt idx="2721">
                  <c:v>494.557</c:v>
                </c:pt>
                <c:pt idx="2722">
                  <c:v>494.725</c:v>
                </c:pt>
                <c:pt idx="2723">
                  <c:v>494.894</c:v>
                </c:pt>
                <c:pt idx="2724">
                  <c:v>495.0659999999999</c:v>
                </c:pt>
                <c:pt idx="2725">
                  <c:v>495.2339999999986</c:v>
                </c:pt>
                <c:pt idx="2726">
                  <c:v>495.4059999999996</c:v>
                </c:pt>
                <c:pt idx="2727">
                  <c:v>495.574</c:v>
                </c:pt>
                <c:pt idx="2728">
                  <c:v>495.7389999999986</c:v>
                </c:pt>
                <c:pt idx="2729">
                  <c:v>495.8949999999999</c:v>
                </c:pt>
                <c:pt idx="2730">
                  <c:v>496.0559999999999</c:v>
                </c:pt>
                <c:pt idx="2731">
                  <c:v>496.2239999999989</c:v>
                </c:pt>
                <c:pt idx="2732">
                  <c:v>496.3949999999999</c:v>
                </c:pt>
                <c:pt idx="2733">
                  <c:v>496.5679999999999</c:v>
                </c:pt>
                <c:pt idx="2734">
                  <c:v>496.747</c:v>
                </c:pt>
                <c:pt idx="2735">
                  <c:v>496.9309999999986</c:v>
                </c:pt>
                <c:pt idx="2736">
                  <c:v>497.115</c:v>
                </c:pt>
                <c:pt idx="2737">
                  <c:v>497.2909999999989</c:v>
                </c:pt>
                <c:pt idx="2738">
                  <c:v>497.456</c:v>
                </c:pt>
                <c:pt idx="2739">
                  <c:v>497.623</c:v>
                </c:pt>
                <c:pt idx="2740">
                  <c:v>497.7959999999989</c:v>
                </c:pt>
                <c:pt idx="2741">
                  <c:v>497.9739999999989</c:v>
                </c:pt>
                <c:pt idx="2742">
                  <c:v>498.153</c:v>
                </c:pt>
                <c:pt idx="2743">
                  <c:v>498.3229999999999</c:v>
                </c:pt>
                <c:pt idx="2744">
                  <c:v>498.492</c:v>
                </c:pt>
                <c:pt idx="2745">
                  <c:v>498.648</c:v>
                </c:pt>
                <c:pt idx="2746">
                  <c:v>498.801</c:v>
                </c:pt>
                <c:pt idx="2747">
                  <c:v>498.949</c:v>
                </c:pt>
                <c:pt idx="2748">
                  <c:v>499.1070000000001</c:v>
                </c:pt>
                <c:pt idx="2749">
                  <c:v>499.2769999999986</c:v>
                </c:pt>
                <c:pt idx="2750">
                  <c:v>499.442</c:v>
                </c:pt>
                <c:pt idx="2751">
                  <c:v>499.608</c:v>
                </c:pt>
                <c:pt idx="2752">
                  <c:v>499.78</c:v>
                </c:pt>
                <c:pt idx="2753">
                  <c:v>499.951</c:v>
                </c:pt>
                <c:pt idx="2754">
                  <c:v>500.123</c:v>
                </c:pt>
                <c:pt idx="2755">
                  <c:v>500.295</c:v>
                </c:pt>
                <c:pt idx="2756">
                  <c:v>500.4689999999989</c:v>
                </c:pt>
                <c:pt idx="2757">
                  <c:v>500.644</c:v>
                </c:pt>
                <c:pt idx="2758">
                  <c:v>500.821</c:v>
                </c:pt>
                <c:pt idx="2759">
                  <c:v>501.0009999999999</c:v>
                </c:pt>
                <c:pt idx="2760">
                  <c:v>501.176</c:v>
                </c:pt>
                <c:pt idx="2761">
                  <c:v>501.351</c:v>
                </c:pt>
                <c:pt idx="2762">
                  <c:v>501.5269999999986</c:v>
                </c:pt>
                <c:pt idx="2763">
                  <c:v>501.7029999999999</c:v>
                </c:pt>
                <c:pt idx="2764">
                  <c:v>501.879</c:v>
                </c:pt>
                <c:pt idx="2765">
                  <c:v>502.0470000000001</c:v>
                </c:pt>
                <c:pt idx="2766">
                  <c:v>502.21</c:v>
                </c:pt>
                <c:pt idx="2767">
                  <c:v>502.3759999999999</c:v>
                </c:pt>
                <c:pt idx="2768">
                  <c:v>502.546</c:v>
                </c:pt>
                <c:pt idx="2769">
                  <c:v>502.7189999999989</c:v>
                </c:pt>
                <c:pt idx="2770">
                  <c:v>502.894</c:v>
                </c:pt>
                <c:pt idx="2771">
                  <c:v>503.064</c:v>
                </c:pt>
                <c:pt idx="2772">
                  <c:v>503.232</c:v>
                </c:pt>
                <c:pt idx="2773">
                  <c:v>503.401</c:v>
                </c:pt>
                <c:pt idx="2774">
                  <c:v>503.572</c:v>
                </c:pt>
                <c:pt idx="2775">
                  <c:v>503.741</c:v>
                </c:pt>
                <c:pt idx="2776">
                  <c:v>503.9049999999999</c:v>
                </c:pt>
                <c:pt idx="2777">
                  <c:v>504.0609999999999</c:v>
                </c:pt>
                <c:pt idx="2778">
                  <c:v>504.2169999999986</c:v>
                </c:pt>
                <c:pt idx="2779">
                  <c:v>504.3879999999999</c:v>
                </c:pt>
                <c:pt idx="2780">
                  <c:v>504.564</c:v>
                </c:pt>
                <c:pt idx="2781">
                  <c:v>504.745</c:v>
                </c:pt>
                <c:pt idx="2782">
                  <c:v>504.92</c:v>
                </c:pt>
                <c:pt idx="2783">
                  <c:v>505.0869999999989</c:v>
                </c:pt>
                <c:pt idx="2784">
                  <c:v>505.262</c:v>
                </c:pt>
                <c:pt idx="2785">
                  <c:v>505.4379999999989</c:v>
                </c:pt>
                <c:pt idx="2786">
                  <c:v>505.605</c:v>
                </c:pt>
                <c:pt idx="2787">
                  <c:v>505.769</c:v>
                </c:pt>
                <c:pt idx="2788">
                  <c:v>505.9379999999989</c:v>
                </c:pt>
                <c:pt idx="2789">
                  <c:v>506.1070000000001</c:v>
                </c:pt>
                <c:pt idx="2790">
                  <c:v>506.276</c:v>
                </c:pt>
                <c:pt idx="2791">
                  <c:v>506.444</c:v>
                </c:pt>
                <c:pt idx="2792">
                  <c:v>506.615</c:v>
                </c:pt>
                <c:pt idx="2793">
                  <c:v>506.7959999999989</c:v>
                </c:pt>
                <c:pt idx="2794">
                  <c:v>506.9769999999986</c:v>
                </c:pt>
                <c:pt idx="2795">
                  <c:v>507.159</c:v>
                </c:pt>
                <c:pt idx="2796">
                  <c:v>507.3419999999999</c:v>
                </c:pt>
                <c:pt idx="2797">
                  <c:v>507.5079999999999</c:v>
                </c:pt>
                <c:pt idx="2798">
                  <c:v>507.6669999999999</c:v>
                </c:pt>
                <c:pt idx="2799">
                  <c:v>507.822</c:v>
                </c:pt>
                <c:pt idx="2800">
                  <c:v>507.9789999999986</c:v>
                </c:pt>
                <c:pt idx="2801">
                  <c:v>508.139</c:v>
                </c:pt>
                <c:pt idx="2802">
                  <c:v>508.303</c:v>
                </c:pt>
                <c:pt idx="2803">
                  <c:v>508.475</c:v>
                </c:pt>
                <c:pt idx="2804">
                  <c:v>508.652</c:v>
                </c:pt>
                <c:pt idx="2805">
                  <c:v>508.824</c:v>
                </c:pt>
                <c:pt idx="2806">
                  <c:v>508.997</c:v>
                </c:pt>
                <c:pt idx="2807">
                  <c:v>509.166</c:v>
                </c:pt>
                <c:pt idx="2808">
                  <c:v>509.3369999999989</c:v>
                </c:pt>
                <c:pt idx="2809">
                  <c:v>509.51</c:v>
                </c:pt>
                <c:pt idx="2810">
                  <c:v>509.6859999999999</c:v>
                </c:pt>
                <c:pt idx="2811">
                  <c:v>509.867</c:v>
                </c:pt>
                <c:pt idx="2812">
                  <c:v>510.046</c:v>
                </c:pt>
                <c:pt idx="2813">
                  <c:v>510.2169999999986</c:v>
                </c:pt>
                <c:pt idx="2814">
                  <c:v>510.392</c:v>
                </c:pt>
                <c:pt idx="2815">
                  <c:v>510.569</c:v>
                </c:pt>
                <c:pt idx="2816">
                  <c:v>510.735</c:v>
                </c:pt>
                <c:pt idx="2817">
                  <c:v>510.9049999999999</c:v>
                </c:pt>
                <c:pt idx="2818">
                  <c:v>511.083</c:v>
                </c:pt>
                <c:pt idx="2819">
                  <c:v>511.262</c:v>
                </c:pt>
                <c:pt idx="2820">
                  <c:v>511.442</c:v>
                </c:pt>
                <c:pt idx="2821">
                  <c:v>511.6190000000001</c:v>
                </c:pt>
                <c:pt idx="2822">
                  <c:v>511.7929999999996</c:v>
                </c:pt>
                <c:pt idx="2823">
                  <c:v>511.9669999999986</c:v>
                </c:pt>
                <c:pt idx="2824">
                  <c:v>512.148</c:v>
                </c:pt>
                <c:pt idx="2825">
                  <c:v>512.3289999999994</c:v>
                </c:pt>
                <c:pt idx="2826">
                  <c:v>512.503</c:v>
                </c:pt>
                <c:pt idx="2827">
                  <c:v>512.674</c:v>
                </c:pt>
                <c:pt idx="2828">
                  <c:v>512.8479999999921</c:v>
                </c:pt>
                <c:pt idx="2829">
                  <c:v>513.018</c:v>
                </c:pt>
                <c:pt idx="2830">
                  <c:v>513.182</c:v>
                </c:pt>
                <c:pt idx="2831">
                  <c:v>513.3499999999979</c:v>
                </c:pt>
                <c:pt idx="2832">
                  <c:v>513.515</c:v>
                </c:pt>
                <c:pt idx="2833">
                  <c:v>513.676</c:v>
                </c:pt>
                <c:pt idx="2834">
                  <c:v>513.8459999999974</c:v>
                </c:pt>
                <c:pt idx="2835">
                  <c:v>514.0169999999994</c:v>
                </c:pt>
                <c:pt idx="2836">
                  <c:v>514.186</c:v>
                </c:pt>
                <c:pt idx="2837">
                  <c:v>514.3549999999979</c:v>
                </c:pt>
                <c:pt idx="2838">
                  <c:v>514.53</c:v>
                </c:pt>
                <c:pt idx="2839">
                  <c:v>514.71</c:v>
                </c:pt>
                <c:pt idx="2840">
                  <c:v>514.891</c:v>
                </c:pt>
                <c:pt idx="2841">
                  <c:v>515.07</c:v>
                </c:pt>
                <c:pt idx="2842">
                  <c:v>515.243</c:v>
                </c:pt>
                <c:pt idx="2843">
                  <c:v>515.404</c:v>
                </c:pt>
                <c:pt idx="2844">
                  <c:v>515.5629999999974</c:v>
                </c:pt>
                <c:pt idx="2845">
                  <c:v>515.727</c:v>
                </c:pt>
                <c:pt idx="2846">
                  <c:v>515.904</c:v>
                </c:pt>
                <c:pt idx="2847">
                  <c:v>516.091</c:v>
                </c:pt>
                <c:pt idx="2848">
                  <c:v>516.272</c:v>
                </c:pt>
                <c:pt idx="2849">
                  <c:v>516.4449999999994</c:v>
                </c:pt>
                <c:pt idx="2850">
                  <c:v>516.622</c:v>
                </c:pt>
                <c:pt idx="2851">
                  <c:v>516.8009999999994</c:v>
                </c:pt>
                <c:pt idx="2852">
                  <c:v>516.98</c:v>
                </c:pt>
                <c:pt idx="2853">
                  <c:v>517.153</c:v>
                </c:pt>
                <c:pt idx="2854">
                  <c:v>517.319</c:v>
                </c:pt>
                <c:pt idx="2855">
                  <c:v>517.47</c:v>
                </c:pt>
                <c:pt idx="2856">
                  <c:v>517.611</c:v>
                </c:pt>
                <c:pt idx="2857">
                  <c:v>517.749</c:v>
                </c:pt>
                <c:pt idx="2858">
                  <c:v>517.8969999999994</c:v>
                </c:pt>
                <c:pt idx="2859">
                  <c:v>518.064</c:v>
                </c:pt>
                <c:pt idx="2860">
                  <c:v>518.239</c:v>
                </c:pt>
                <c:pt idx="2861">
                  <c:v>518.414</c:v>
                </c:pt>
                <c:pt idx="2862">
                  <c:v>518.585</c:v>
                </c:pt>
                <c:pt idx="2863">
                  <c:v>518.754</c:v>
                </c:pt>
                <c:pt idx="2864">
                  <c:v>518.918</c:v>
                </c:pt>
                <c:pt idx="2865">
                  <c:v>519.078</c:v>
                </c:pt>
                <c:pt idx="2866">
                  <c:v>519.248</c:v>
                </c:pt>
                <c:pt idx="2867">
                  <c:v>519.4249999999994</c:v>
                </c:pt>
                <c:pt idx="2868">
                  <c:v>519.605</c:v>
                </c:pt>
                <c:pt idx="2869">
                  <c:v>519.789</c:v>
                </c:pt>
                <c:pt idx="2870">
                  <c:v>519.973</c:v>
                </c:pt>
                <c:pt idx="2871">
                  <c:v>520.1509999999994</c:v>
                </c:pt>
                <c:pt idx="2872">
                  <c:v>520.3249999999994</c:v>
                </c:pt>
                <c:pt idx="2873">
                  <c:v>520.5</c:v>
                </c:pt>
                <c:pt idx="2874">
                  <c:v>520.672</c:v>
                </c:pt>
                <c:pt idx="2875">
                  <c:v>520.8439999999994</c:v>
                </c:pt>
                <c:pt idx="2876">
                  <c:v>521.015</c:v>
                </c:pt>
                <c:pt idx="2877">
                  <c:v>521.187</c:v>
                </c:pt>
                <c:pt idx="2878">
                  <c:v>521.3559999999974</c:v>
                </c:pt>
                <c:pt idx="2879">
                  <c:v>521.524</c:v>
                </c:pt>
                <c:pt idx="2880">
                  <c:v>521.698</c:v>
                </c:pt>
                <c:pt idx="2881">
                  <c:v>521.875</c:v>
                </c:pt>
                <c:pt idx="2882">
                  <c:v>522.0499999999994</c:v>
                </c:pt>
                <c:pt idx="2883">
                  <c:v>522.225</c:v>
                </c:pt>
                <c:pt idx="2884">
                  <c:v>522.396</c:v>
                </c:pt>
                <c:pt idx="2885">
                  <c:v>522.569</c:v>
                </c:pt>
                <c:pt idx="2886">
                  <c:v>522.74</c:v>
                </c:pt>
                <c:pt idx="2887">
                  <c:v>522.913</c:v>
                </c:pt>
                <c:pt idx="2888">
                  <c:v>523.077</c:v>
                </c:pt>
                <c:pt idx="2889">
                  <c:v>523.244</c:v>
                </c:pt>
                <c:pt idx="2890">
                  <c:v>523.4159999999994</c:v>
                </c:pt>
                <c:pt idx="2891">
                  <c:v>523.586</c:v>
                </c:pt>
                <c:pt idx="2892">
                  <c:v>523.761</c:v>
                </c:pt>
                <c:pt idx="2893">
                  <c:v>523.924</c:v>
                </c:pt>
                <c:pt idx="2894">
                  <c:v>524.085</c:v>
                </c:pt>
                <c:pt idx="2895">
                  <c:v>524.249</c:v>
                </c:pt>
                <c:pt idx="2896">
                  <c:v>524.4169999999979</c:v>
                </c:pt>
                <c:pt idx="2897">
                  <c:v>524.593</c:v>
                </c:pt>
                <c:pt idx="2898">
                  <c:v>524.771</c:v>
                </c:pt>
                <c:pt idx="2899">
                  <c:v>524.9419999999974</c:v>
                </c:pt>
                <c:pt idx="2900">
                  <c:v>525.105</c:v>
                </c:pt>
                <c:pt idx="2901">
                  <c:v>525.268</c:v>
                </c:pt>
                <c:pt idx="2902">
                  <c:v>525.4329999999974</c:v>
                </c:pt>
                <c:pt idx="2903">
                  <c:v>525.593</c:v>
                </c:pt>
                <c:pt idx="2904">
                  <c:v>525.759</c:v>
                </c:pt>
                <c:pt idx="2905">
                  <c:v>525.929</c:v>
                </c:pt>
                <c:pt idx="2906">
                  <c:v>526.102</c:v>
                </c:pt>
                <c:pt idx="2907">
                  <c:v>526.28</c:v>
                </c:pt>
                <c:pt idx="2908">
                  <c:v>526.4599999999979</c:v>
                </c:pt>
                <c:pt idx="2909">
                  <c:v>526.626</c:v>
                </c:pt>
                <c:pt idx="2910">
                  <c:v>526.792</c:v>
                </c:pt>
                <c:pt idx="2911">
                  <c:v>526.9549999999994</c:v>
                </c:pt>
                <c:pt idx="2912">
                  <c:v>527.122</c:v>
                </c:pt>
                <c:pt idx="2913">
                  <c:v>527.288</c:v>
                </c:pt>
                <c:pt idx="2914">
                  <c:v>527.4599999999979</c:v>
                </c:pt>
                <c:pt idx="2915">
                  <c:v>527.638</c:v>
                </c:pt>
                <c:pt idx="2916">
                  <c:v>527.8149999999994</c:v>
                </c:pt>
                <c:pt idx="2917">
                  <c:v>527.99</c:v>
                </c:pt>
                <c:pt idx="2918">
                  <c:v>528.154</c:v>
                </c:pt>
                <c:pt idx="2919">
                  <c:v>528.319</c:v>
                </c:pt>
                <c:pt idx="2920">
                  <c:v>528.484</c:v>
                </c:pt>
                <c:pt idx="2921">
                  <c:v>528.649</c:v>
                </c:pt>
                <c:pt idx="2922">
                  <c:v>528.8199999999994</c:v>
                </c:pt>
                <c:pt idx="2923">
                  <c:v>528.987</c:v>
                </c:pt>
                <c:pt idx="2924">
                  <c:v>529.1509999999994</c:v>
                </c:pt>
                <c:pt idx="2925">
                  <c:v>529.3149999999994</c:v>
                </c:pt>
                <c:pt idx="2926">
                  <c:v>529.4880000000001</c:v>
                </c:pt>
                <c:pt idx="2927">
                  <c:v>529.665</c:v>
                </c:pt>
                <c:pt idx="2928">
                  <c:v>529.8390000000001</c:v>
                </c:pt>
                <c:pt idx="2929">
                  <c:v>530.0119999999994</c:v>
                </c:pt>
                <c:pt idx="2930">
                  <c:v>530.185</c:v>
                </c:pt>
                <c:pt idx="2931">
                  <c:v>530.3589999999994</c:v>
                </c:pt>
                <c:pt idx="2932">
                  <c:v>530.5369999999979</c:v>
                </c:pt>
                <c:pt idx="2933">
                  <c:v>530.713</c:v>
                </c:pt>
                <c:pt idx="2934">
                  <c:v>530.883</c:v>
                </c:pt>
                <c:pt idx="2935">
                  <c:v>531.045</c:v>
                </c:pt>
                <c:pt idx="2936">
                  <c:v>531.205</c:v>
                </c:pt>
                <c:pt idx="2937">
                  <c:v>531.3689999999979</c:v>
                </c:pt>
                <c:pt idx="2938">
                  <c:v>531.524</c:v>
                </c:pt>
                <c:pt idx="2939">
                  <c:v>531.681</c:v>
                </c:pt>
                <c:pt idx="2940">
                  <c:v>531.8429999999923</c:v>
                </c:pt>
                <c:pt idx="2941">
                  <c:v>532.008</c:v>
                </c:pt>
                <c:pt idx="2942">
                  <c:v>532.18</c:v>
                </c:pt>
                <c:pt idx="2943">
                  <c:v>532.3559999999974</c:v>
                </c:pt>
                <c:pt idx="2944">
                  <c:v>532.5319999999994</c:v>
                </c:pt>
                <c:pt idx="2945">
                  <c:v>532.712</c:v>
                </c:pt>
                <c:pt idx="2946">
                  <c:v>532.894</c:v>
                </c:pt>
                <c:pt idx="2947">
                  <c:v>533.076</c:v>
                </c:pt>
                <c:pt idx="2948">
                  <c:v>533.253</c:v>
                </c:pt>
                <c:pt idx="2949">
                  <c:v>533.429</c:v>
                </c:pt>
                <c:pt idx="2950">
                  <c:v>533.605</c:v>
                </c:pt>
                <c:pt idx="2951">
                  <c:v>533.774</c:v>
                </c:pt>
                <c:pt idx="2952">
                  <c:v>533.944</c:v>
                </c:pt>
                <c:pt idx="2953">
                  <c:v>534.115</c:v>
                </c:pt>
                <c:pt idx="2954">
                  <c:v>534.281</c:v>
                </c:pt>
                <c:pt idx="2955">
                  <c:v>534.4529999999974</c:v>
                </c:pt>
                <c:pt idx="2956">
                  <c:v>534.633</c:v>
                </c:pt>
                <c:pt idx="2957">
                  <c:v>534.8069999999979</c:v>
                </c:pt>
                <c:pt idx="2958">
                  <c:v>534.9880000000001</c:v>
                </c:pt>
                <c:pt idx="2959">
                  <c:v>535.174</c:v>
                </c:pt>
                <c:pt idx="2960">
                  <c:v>535.3569999999974</c:v>
                </c:pt>
                <c:pt idx="2961">
                  <c:v>535.538</c:v>
                </c:pt>
                <c:pt idx="2962">
                  <c:v>535.716</c:v>
                </c:pt>
                <c:pt idx="2963">
                  <c:v>535.886</c:v>
                </c:pt>
                <c:pt idx="2964">
                  <c:v>536.053</c:v>
                </c:pt>
                <c:pt idx="2965">
                  <c:v>536.216</c:v>
                </c:pt>
                <c:pt idx="2966">
                  <c:v>536.3669999999836</c:v>
                </c:pt>
                <c:pt idx="2967">
                  <c:v>536.5169999999994</c:v>
                </c:pt>
                <c:pt idx="2968">
                  <c:v>536.673</c:v>
                </c:pt>
                <c:pt idx="2969">
                  <c:v>536.8449999999979</c:v>
                </c:pt>
                <c:pt idx="2970">
                  <c:v>537.025</c:v>
                </c:pt>
                <c:pt idx="2971">
                  <c:v>537.209</c:v>
                </c:pt>
                <c:pt idx="2972">
                  <c:v>537.3769999999994</c:v>
                </c:pt>
                <c:pt idx="2973">
                  <c:v>537.5459999999994</c:v>
                </c:pt>
                <c:pt idx="2974">
                  <c:v>537.721</c:v>
                </c:pt>
                <c:pt idx="2975">
                  <c:v>537.898</c:v>
                </c:pt>
                <c:pt idx="2976">
                  <c:v>538.074</c:v>
                </c:pt>
                <c:pt idx="2977">
                  <c:v>538.251</c:v>
                </c:pt>
                <c:pt idx="2978">
                  <c:v>538.4249999999994</c:v>
                </c:pt>
                <c:pt idx="2979">
                  <c:v>538.594</c:v>
                </c:pt>
                <c:pt idx="2980">
                  <c:v>538.768</c:v>
                </c:pt>
                <c:pt idx="2981">
                  <c:v>538.9379999999974</c:v>
                </c:pt>
                <c:pt idx="2982">
                  <c:v>539.107</c:v>
                </c:pt>
                <c:pt idx="2983">
                  <c:v>539.275</c:v>
                </c:pt>
                <c:pt idx="2984">
                  <c:v>539.4399999999994</c:v>
                </c:pt>
                <c:pt idx="2985">
                  <c:v>539.609</c:v>
                </c:pt>
                <c:pt idx="2986">
                  <c:v>539.788</c:v>
                </c:pt>
                <c:pt idx="2987">
                  <c:v>539.9679999999923</c:v>
                </c:pt>
                <c:pt idx="2988">
                  <c:v>540.138</c:v>
                </c:pt>
                <c:pt idx="2989">
                  <c:v>540.3049999999994</c:v>
                </c:pt>
                <c:pt idx="2990">
                  <c:v>540.4689999999994</c:v>
                </c:pt>
                <c:pt idx="2991">
                  <c:v>540.626</c:v>
                </c:pt>
                <c:pt idx="2992">
                  <c:v>540.785</c:v>
                </c:pt>
                <c:pt idx="2993">
                  <c:v>540.9499999999994</c:v>
                </c:pt>
                <c:pt idx="2994">
                  <c:v>541.116</c:v>
                </c:pt>
                <c:pt idx="2995">
                  <c:v>541.29</c:v>
                </c:pt>
                <c:pt idx="2996">
                  <c:v>541.4689999999994</c:v>
                </c:pt>
                <c:pt idx="2997">
                  <c:v>541.646</c:v>
                </c:pt>
                <c:pt idx="2998">
                  <c:v>541.8219999999974</c:v>
                </c:pt>
                <c:pt idx="2999">
                  <c:v>541.994</c:v>
                </c:pt>
                <c:pt idx="3000">
                  <c:v>542.168</c:v>
                </c:pt>
                <c:pt idx="3001">
                  <c:v>542.3419999999974</c:v>
                </c:pt>
                <c:pt idx="3002">
                  <c:v>542.518</c:v>
                </c:pt>
                <c:pt idx="3003">
                  <c:v>542.682</c:v>
                </c:pt>
                <c:pt idx="3004">
                  <c:v>542.8379999999925</c:v>
                </c:pt>
                <c:pt idx="3005">
                  <c:v>543.003</c:v>
                </c:pt>
                <c:pt idx="3006">
                  <c:v>543.177</c:v>
                </c:pt>
                <c:pt idx="3007">
                  <c:v>543.3579999999816</c:v>
                </c:pt>
                <c:pt idx="3008">
                  <c:v>543.539</c:v>
                </c:pt>
                <c:pt idx="3009">
                  <c:v>543.718</c:v>
                </c:pt>
                <c:pt idx="3010">
                  <c:v>543.896</c:v>
                </c:pt>
                <c:pt idx="3011">
                  <c:v>544.074</c:v>
                </c:pt>
                <c:pt idx="3012">
                  <c:v>544.255</c:v>
                </c:pt>
                <c:pt idx="3013">
                  <c:v>544.4369999999974</c:v>
                </c:pt>
                <c:pt idx="3014">
                  <c:v>544.619</c:v>
                </c:pt>
                <c:pt idx="3015">
                  <c:v>544.797</c:v>
                </c:pt>
                <c:pt idx="3016">
                  <c:v>544.975</c:v>
                </c:pt>
                <c:pt idx="3017">
                  <c:v>545.154</c:v>
                </c:pt>
                <c:pt idx="3018">
                  <c:v>545.3269999999974</c:v>
                </c:pt>
                <c:pt idx="3019">
                  <c:v>545.5</c:v>
                </c:pt>
                <c:pt idx="3020">
                  <c:v>545.676</c:v>
                </c:pt>
                <c:pt idx="3021">
                  <c:v>545.8479999999921</c:v>
                </c:pt>
                <c:pt idx="3022">
                  <c:v>546.023</c:v>
                </c:pt>
                <c:pt idx="3023">
                  <c:v>546.192</c:v>
                </c:pt>
                <c:pt idx="3024">
                  <c:v>546.37</c:v>
                </c:pt>
                <c:pt idx="3025">
                  <c:v>546.5509999999994</c:v>
                </c:pt>
                <c:pt idx="3026">
                  <c:v>546.727</c:v>
                </c:pt>
                <c:pt idx="3027">
                  <c:v>546.903</c:v>
                </c:pt>
                <c:pt idx="3028">
                  <c:v>547.079</c:v>
                </c:pt>
                <c:pt idx="3029">
                  <c:v>547.26</c:v>
                </c:pt>
                <c:pt idx="3030">
                  <c:v>547.4409999999979</c:v>
                </c:pt>
                <c:pt idx="3031">
                  <c:v>547.621</c:v>
                </c:pt>
                <c:pt idx="3032">
                  <c:v>547.798</c:v>
                </c:pt>
                <c:pt idx="3033">
                  <c:v>547.9689999999994</c:v>
                </c:pt>
                <c:pt idx="3034">
                  <c:v>548.134</c:v>
                </c:pt>
                <c:pt idx="3035">
                  <c:v>548.296</c:v>
                </c:pt>
                <c:pt idx="3036">
                  <c:v>548.4599999999979</c:v>
                </c:pt>
                <c:pt idx="3037">
                  <c:v>548.629</c:v>
                </c:pt>
                <c:pt idx="3038">
                  <c:v>548.8</c:v>
                </c:pt>
                <c:pt idx="3039">
                  <c:v>548.97</c:v>
                </c:pt>
                <c:pt idx="3040">
                  <c:v>549.1369999999994</c:v>
                </c:pt>
                <c:pt idx="3041">
                  <c:v>549.3009999999994</c:v>
                </c:pt>
                <c:pt idx="3042">
                  <c:v>549.471</c:v>
                </c:pt>
                <c:pt idx="3043">
                  <c:v>549.649</c:v>
                </c:pt>
                <c:pt idx="3044">
                  <c:v>549.8279999999974</c:v>
                </c:pt>
                <c:pt idx="3045">
                  <c:v>550.005</c:v>
                </c:pt>
                <c:pt idx="3046">
                  <c:v>550.178</c:v>
                </c:pt>
                <c:pt idx="3047">
                  <c:v>550.3359999999974</c:v>
                </c:pt>
                <c:pt idx="3048">
                  <c:v>550.484</c:v>
                </c:pt>
                <c:pt idx="3049">
                  <c:v>550.623</c:v>
                </c:pt>
                <c:pt idx="3050">
                  <c:v>550.773</c:v>
                </c:pt>
                <c:pt idx="3051">
                  <c:v>550.9399999999994</c:v>
                </c:pt>
                <c:pt idx="3052">
                  <c:v>551.12</c:v>
                </c:pt>
                <c:pt idx="3053">
                  <c:v>551.3049999999994</c:v>
                </c:pt>
                <c:pt idx="3054">
                  <c:v>551.4880000000001</c:v>
                </c:pt>
                <c:pt idx="3055">
                  <c:v>551.663</c:v>
                </c:pt>
                <c:pt idx="3056">
                  <c:v>551.8390000000001</c:v>
                </c:pt>
                <c:pt idx="3057">
                  <c:v>552.015</c:v>
                </c:pt>
                <c:pt idx="3058">
                  <c:v>552.19</c:v>
                </c:pt>
                <c:pt idx="3059">
                  <c:v>552.37</c:v>
                </c:pt>
                <c:pt idx="3060">
                  <c:v>552.549</c:v>
                </c:pt>
                <c:pt idx="3061">
                  <c:v>552.727</c:v>
                </c:pt>
                <c:pt idx="3062">
                  <c:v>552.9109999999994</c:v>
                </c:pt>
                <c:pt idx="3063">
                  <c:v>553.095</c:v>
                </c:pt>
                <c:pt idx="3064">
                  <c:v>553.271</c:v>
                </c:pt>
                <c:pt idx="3065">
                  <c:v>553.4449999999994</c:v>
                </c:pt>
                <c:pt idx="3066">
                  <c:v>553.624</c:v>
                </c:pt>
                <c:pt idx="3067">
                  <c:v>553.8069999999979</c:v>
                </c:pt>
                <c:pt idx="3068">
                  <c:v>553.985</c:v>
                </c:pt>
                <c:pt idx="3069">
                  <c:v>554.1569999999994</c:v>
                </c:pt>
                <c:pt idx="3070">
                  <c:v>554.3269999999974</c:v>
                </c:pt>
                <c:pt idx="3071">
                  <c:v>554.493</c:v>
                </c:pt>
                <c:pt idx="3072">
                  <c:v>554.665</c:v>
                </c:pt>
                <c:pt idx="3073">
                  <c:v>554.8369999999974</c:v>
                </c:pt>
                <c:pt idx="3074">
                  <c:v>555.004</c:v>
                </c:pt>
                <c:pt idx="3075">
                  <c:v>555.172</c:v>
                </c:pt>
                <c:pt idx="3076">
                  <c:v>555.3329999999974</c:v>
                </c:pt>
                <c:pt idx="3077">
                  <c:v>555.485</c:v>
                </c:pt>
                <c:pt idx="3078">
                  <c:v>555.646</c:v>
                </c:pt>
                <c:pt idx="3079">
                  <c:v>555.8059999999994</c:v>
                </c:pt>
                <c:pt idx="3080">
                  <c:v>555.971</c:v>
                </c:pt>
                <c:pt idx="3081">
                  <c:v>556.144</c:v>
                </c:pt>
                <c:pt idx="3082">
                  <c:v>556.3169999999974</c:v>
                </c:pt>
                <c:pt idx="3083">
                  <c:v>556.489</c:v>
                </c:pt>
                <c:pt idx="3084">
                  <c:v>556.663</c:v>
                </c:pt>
                <c:pt idx="3085">
                  <c:v>556.8369999999974</c:v>
                </c:pt>
                <c:pt idx="3086">
                  <c:v>557.0069999999994</c:v>
                </c:pt>
                <c:pt idx="3087">
                  <c:v>557.176</c:v>
                </c:pt>
                <c:pt idx="3088">
                  <c:v>557.3459999999974</c:v>
                </c:pt>
                <c:pt idx="3089">
                  <c:v>557.519</c:v>
                </c:pt>
                <c:pt idx="3090">
                  <c:v>557.69</c:v>
                </c:pt>
                <c:pt idx="3091">
                  <c:v>557.8549999999979</c:v>
                </c:pt>
                <c:pt idx="3092">
                  <c:v>558.016</c:v>
                </c:pt>
                <c:pt idx="3093">
                  <c:v>558.175</c:v>
                </c:pt>
                <c:pt idx="3094">
                  <c:v>558.3359999999974</c:v>
                </c:pt>
                <c:pt idx="3095">
                  <c:v>558.499</c:v>
                </c:pt>
                <c:pt idx="3096">
                  <c:v>558.6659999999994</c:v>
                </c:pt>
                <c:pt idx="3097">
                  <c:v>558.8319999999974</c:v>
                </c:pt>
                <c:pt idx="3098">
                  <c:v>559.001</c:v>
                </c:pt>
                <c:pt idx="3099">
                  <c:v>559.17</c:v>
                </c:pt>
                <c:pt idx="3100">
                  <c:v>559.3409999999974</c:v>
                </c:pt>
                <c:pt idx="3101">
                  <c:v>559.509</c:v>
                </c:pt>
                <c:pt idx="3102">
                  <c:v>559.676</c:v>
                </c:pt>
                <c:pt idx="3103">
                  <c:v>559.8409999999974</c:v>
                </c:pt>
                <c:pt idx="3104">
                  <c:v>560.003</c:v>
                </c:pt>
                <c:pt idx="3105">
                  <c:v>560.153</c:v>
                </c:pt>
                <c:pt idx="3106">
                  <c:v>560.3019999999979</c:v>
                </c:pt>
                <c:pt idx="3107">
                  <c:v>560.4569999999974</c:v>
                </c:pt>
                <c:pt idx="3108">
                  <c:v>560.6269999999994</c:v>
                </c:pt>
                <c:pt idx="3109">
                  <c:v>560.8059999999994</c:v>
                </c:pt>
                <c:pt idx="3110">
                  <c:v>560.984</c:v>
                </c:pt>
                <c:pt idx="3111">
                  <c:v>561.164</c:v>
                </c:pt>
                <c:pt idx="3112">
                  <c:v>561.3499999999979</c:v>
                </c:pt>
                <c:pt idx="3113">
                  <c:v>561.5319999999994</c:v>
                </c:pt>
                <c:pt idx="3114">
                  <c:v>561.705</c:v>
                </c:pt>
                <c:pt idx="3115">
                  <c:v>561.875</c:v>
                </c:pt>
                <c:pt idx="3116">
                  <c:v>562.048</c:v>
                </c:pt>
                <c:pt idx="3117">
                  <c:v>562.218</c:v>
                </c:pt>
                <c:pt idx="3118">
                  <c:v>562.385</c:v>
                </c:pt>
                <c:pt idx="3119">
                  <c:v>562.5549999999994</c:v>
                </c:pt>
                <c:pt idx="3120">
                  <c:v>562.7279999999994</c:v>
                </c:pt>
                <c:pt idx="3121">
                  <c:v>562.89</c:v>
                </c:pt>
                <c:pt idx="3122">
                  <c:v>563.038</c:v>
                </c:pt>
                <c:pt idx="3123">
                  <c:v>563.195</c:v>
                </c:pt>
                <c:pt idx="3124">
                  <c:v>563.3630000000001</c:v>
                </c:pt>
                <c:pt idx="3125">
                  <c:v>563.535</c:v>
                </c:pt>
                <c:pt idx="3126">
                  <c:v>563.707</c:v>
                </c:pt>
                <c:pt idx="3127">
                  <c:v>563.884</c:v>
                </c:pt>
                <c:pt idx="3128">
                  <c:v>564.059</c:v>
                </c:pt>
                <c:pt idx="3129">
                  <c:v>564.236</c:v>
                </c:pt>
                <c:pt idx="3130">
                  <c:v>564.399</c:v>
                </c:pt>
                <c:pt idx="3131">
                  <c:v>564.5609999999979</c:v>
                </c:pt>
                <c:pt idx="3132">
                  <c:v>564.721</c:v>
                </c:pt>
                <c:pt idx="3133">
                  <c:v>564.885</c:v>
                </c:pt>
                <c:pt idx="3134">
                  <c:v>565.0559999999994</c:v>
                </c:pt>
                <c:pt idx="3135">
                  <c:v>565.23</c:v>
                </c:pt>
                <c:pt idx="3136">
                  <c:v>565.4069999999994</c:v>
                </c:pt>
                <c:pt idx="3137">
                  <c:v>565.584</c:v>
                </c:pt>
                <c:pt idx="3138">
                  <c:v>565.759</c:v>
                </c:pt>
                <c:pt idx="3139">
                  <c:v>565.9309999999994</c:v>
                </c:pt>
                <c:pt idx="3140">
                  <c:v>566.104</c:v>
                </c:pt>
                <c:pt idx="3141">
                  <c:v>566.272</c:v>
                </c:pt>
                <c:pt idx="3142">
                  <c:v>566.4299999999994</c:v>
                </c:pt>
                <c:pt idx="3143">
                  <c:v>566.595</c:v>
                </c:pt>
                <c:pt idx="3144">
                  <c:v>566.766</c:v>
                </c:pt>
                <c:pt idx="3145">
                  <c:v>566.9379999999974</c:v>
                </c:pt>
                <c:pt idx="3146">
                  <c:v>567.1130000000001</c:v>
                </c:pt>
                <c:pt idx="3147">
                  <c:v>567.288</c:v>
                </c:pt>
                <c:pt idx="3148">
                  <c:v>567.4649999999979</c:v>
                </c:pt>
                <c:pt idx="3149">
                  <c:v>567.646</c:v>
                </c:pt>
                <c:pt idx="3150">
                  <c:v>567.824</c:v>
                </c:pt>
                <c:pt idx="3151">
                  <c:v>568.0019999999994</c:v>
                </c:pt>
                <c:pt idx="3152">
                  <c:v>568.177</c:v>
                </c:pt>
                <c:pt idx="3153">
                  <c:v>568.3589999999994</c:v>
                </c:pt>
                <c:pt idx="3154">
                  <c:v>568.5409999999994</c:v>
                </c:pt>
                <c:pt idx="3155">
                  <c:v>568.712</c:v>
                </c:pt>
                <c:pt idx="3156">
                  <c:v>568.883</c:v>
                </c:pt>
                <c:pt idx="3157">
                  <c:v>569.0549999999994</c:v>
                </c:pt>
                <c:pt idx="3158">
                  <c:v>569.2279999999994</c:v>
                </c:pt>
                <c:pt idx="3159">
                  <c:v>569.399</c:v>
                </c:pt>
                <c:pt idx="3160">
                  <c:v>569.5609999999979</c:v>
                </c:pt>
                <c:pt idx="3161">
                  <c:v>569.721</c:v>
                </c:pt>
                <c:pt idx="3162">
                  <c:v>569.8869999999994</c:v>
                </c:pt>
                <c:pt idx="3163">
                  <c:v>570.054</c:v>
                </c:pt>
                <c:pt idx="3164">
                  <c:v>570.222</c:v>
                </c:pt>
                <c:pt idx="3165">
                  <c:v>570.388</c:v>
                </c:pt>
                <c:pt idx="3166">
                  <c:v>570.553</c:v>
                </c:pt>
                <c:pt idx="3167">
                  <c:v>570.72</c:v>
                </c:pt>
                <c:pt idx="3168">
                  <c:v>570.893</c:v>
                </c:pt>
                <c:pt idx="3169">
                  <c:v>571.075</c:v>
                </c:pt>
                <c:pt idx="3170">
                  <c:v>571.259</c:v>
                </c:pt>
                <c:pt idx="3171">
                  <c:v>571.4399999999994</c:v>
                </c:pt>
                <c:pt idx="3172">
                  <c:v>571.614</c:v>
                </c:pt>
                <c:pt idx="3173">
                  <c:v>571.791</c:v>
                </c:pt>
                <c:pt idx="3174">
                  <c:v>571.9659999999974</c:v>
                </c:pt>
                <c:pt idx="3175">
                  <c:v>572.1419999999994</c:v>
                </c:pt>
                <c:pt idx="3176">
                  <c:v>572.303</c:v>
                </c:pt>
                <c:pt idx="3177">
                  <c:v>572.4559999999979</c:v>
                </c:pt>
                <c:pt idx="3178">
                  <c:v>572.617</c:v>
                </c:pt>
                <c:pt idx="3179">
                  <c:v>572.786</c:v>
                </c:pt>
                <c:pt idx="3180">
                  <c:v>572.9519999999974</c:v>
                </c:pt>
                <c:pt idx="3181">
                  <c:v>573.119</c:v>
                </c:pt>
                <c:pt idx="3182">
                  <c:v>573.287</c:v>
                </c:pt>
                <c:pt idx="3183">
                  <c:v>573.4629999999925</c:v>
                </c:pt>
                <c:pt idx="3184">
                  <c:v>573.641</c:v>
                </c:pt>
                <c:pt idx="3185">
                  <c:v>573.814</c:v>
                </c:pt>
                <c:pt idx="3186">
                  <c:v>573.986</c:v>
                </c:pt>
                <c:pt idx="3187">
                  <c:v>574.148</c:v>
                </c:pt>
                <c:pt idx="3188">
                  <c:v>574.3149999999994</c:v>
                </c:pt>
                <c:pt idx="3189">
                  <c:v>574.485</c:v>
                </c:pt>
                <c:pt idx="3190">
                  <c:v>574.654</c:v>
                </c:pt>
                <c:pt idx="3191">
                  <c:v>574.8169999999974</c:v>
                </c:pt>
                <c:pt idx="3192">
                  <c:v>574.9779999999994</c:v>
                </c:pt>
                <c:pt idx="3193">
                  <c:v>575.145</c:v>
                </c:pt>
                <c:pt idx="3194">
                  <c:v>575.3119999999974</c:v>
                </c:pt>
                <c:pt idx="3195">
                  <c:v>575.4679999999923</c:v>
                </c:pt>
                <c:pt idx="3196">
                  <c:v>575.62</c:v>
                </c:pt>
                <c:pt idx="3197">
                  <c:v>575.777</c:v>
                </c:pt>
                <c:pt idx="3198">
                  <c:v>575.9469999999974</c:v>
                </c:pt>
                <c:pt idx="3199">
                  <c:v>576.122</c:v>
                </c:pt>
                <c:pt idx="3200">
                  <c:v>576.296</c:v>
                </c:pt>
                <c:pt idx="3201">
                  <c:v>576.474</c:v>
                </c:pt>
                <c:pt idx="3202">
                  <c:v>576.638</c:v>
                </c:pt>
                <c:pt idx="3203">
                  <c:v>576.803</c:v>
                </c:pt>
                <c:pt idx="3204">
                  <c:v>576.97</c:v>
                </c:pt>
                <c:pt idx="3205">
                  <c:v>577.14</c:v>
                </c:pt>
                <c:pt idx="3206">
                  <c:v>577.3099999999994</c:v>
                </c:pt>
                <c:pt idx="3207">
                  <c:v>577.474</c:v>
                </c:pt>
                <c:pt idx="3208">
                  <c:v>577.628</c:v>
                </c:pt>
                <c:pt idx="3209">
                  <c:v>577.781</c:v>
                </c:pt>
                <c:pt idx="3210">
                  <c:v>577.9509999999979</c:v>
                </c:pt>
                <c:pt idx="3211">
                  <c:v>578.128</c:v>
                </c:pt>
                <c:pt idx="3212">
                  <c:v>578.3119999999974</c:v>
                </c:pt>
                <c:pt idx="3213">
                  <c:v>578.487</c:v>
                </c:pt>
                <c:pt idx="3214">
                  <c:v>578.65</c:v>
                </c:pt>
                <c:pt idx="3215">
                  <c:v>578.814</c:v>
                </c:pt>
                <c:pt idx="3216">
                  <c:v>578.9779999999994</c:v>
                </c:pt>
                <c:pt idx="3217">
                  <c:v>579.1419999999994</c:v>
                </c:pt>
                <c:pt idx="3218">
                  <c:v>579.3119999999974</c:v>
                </c:pt>
                <c:pt idx="3219">
                  <c:v>579.487</c:v>
                </c:pt>
                <c:pt idx="3220">
                  <c:v>579.664</c:v>
                </c:pt>
                <c:pt idx="3221">
                  <c:v>579.8429999999923</c:v>
                </c:pt>
                <c:pt idx="3222">
                  <c:v>580.0219999999994</c:v>
                </c:pt>
                <c:pt idx="3223">
                  <c:v>580.202</c:v>
                </c:pt>
                <c:pt idx="3224">
                  <c:v>580.379</c:v>
                </c:pt>
                <c:pt idx="3225">
                  <c:v>580.5469999999979</c:v>
                </c:pt>
                <c:pt idx="3226">
                  <c:v>580.719</c:v>
                </c:pt>
                <c:pt idx="3227">
                  <c:v>580.891</c:v>
                </c:pt>
                <c:pt idx="3228">
                  <c:v>581.069</c:v>
                </c:pt>
                <c:pt idx="3229">
                  <c:v>581.235</c:v>
                </c:pt>
                <c:pt idx="3230">
                  <c:v>581.4069999999994</c:v>
                </c:pt>
                <c:pt idx="3231">
                  <c:v>581.588</c:v>
                </c:pt>
                <c:pt idx="3232">
                  <c:v>581.769</c:v>
                </c:pt>
                <c:pt idx="3233">
                  <c:v>581.9469999999974</c:v>
                </c:pt>
                <c:pt idx="3234">
                  <c:v>582.122</c:v>
                </c:pt>
                <c:pt idx="3235">
                  <c:v>582.294</c:v>
                </c:pt>
                <c:pt idx="3236">
                  <c:v>582.4649999999979</c:v>
                </c:pt>
                <c:pt idx="3237">
                  <c:v>582.639</c:v>
                </c:pt>
                <c:pt idx="3238">
                  <c:v>582.8079999999974</c:v>
                </c:pt>
                <c:pt idx="3239">
                  <c:v>582.9779999999994</c:v>
                </c:pt>
                <c:pt idx="3240">
                  <c:v>583.148</c:v>
                </c:pt>
                <c:pt idx="3241">
                  <c:v>583.3179999999974</c:v>
                </c:pt>
                <c:pt idx="3242">
                  <c:v>583.4880000000001</c:v>
                </c:pt>
                <c:pt idx="3243">
                  <c:v>583.6559999999994</c:v>
                </c:pt>
                <c:pt idx="3244">
                  <c:v>583.8319999999974</c:v>
                </c:pt>
                <c:pt idx="3245">
                  <c:v>584.0169999999994</c:v>
                </c:pt>
                <c:pt idx="3246">
                  <c:v>584.203</c:v>
                </c:pt>
                <c:pt idx="3247">
                  <c:v>584.39</c:v>
                </c:pt>
                <c:pt idx="3248">
                  <c:v>584.573</c:v>
                </c:pt>
                <c:pt idx="3249">
                  <c:v>584.745</c:v>
                </c:pt>
                <c:pt idx="3250">
                  <c:v>584.913</c:v>
                </c:pt>
                <c:pt idx="3251">
                  <c:v>585.077</c:v>
                </c:pt>
                <c:pt idx="3252">
                  <c:v>585.244</c:v>
                </c:pt>
                <c:pt idx="3253">
                  <c:v>585.4109999999994</c:v>
                </c:pt>
                <c:pt idx="3254">
                  <c:v>585.58</c:v>
                </c:pt>
                <c:pt idx="3255">
                  <c:v>585.753</c:v>
                </c:pt>
                <c:pt idx="3256">
                  <c:v>585.924</c:v>
                </c:pt>
                <c:pt idx="3257">
                  <c:v>586.098</c:v>
                </c:pt>
                <c:pt idx="3258">
                  <c:v>586.264</c:v>
                </c:pt>
                <c:pt idx="3259">
                  <c:v>586.4269999999979</c:v>
                </c:pt>
                <c:pt idx="3260">
                  <c:v>586.578</c:v>
                </c:pt>
                <c:pt idx="3261">
                  <c:v>586.741</c:v>
                </c:pt>
                <c:pt idx="3262">
                  <c:v>586.9159999999994</c:v>
                </c:pt>
                <c:pt idx="3263">
                  <c:v>587.091</c:v>
                </c:pt>
                <c:pt idx="3264">
                  <c:v>587.2619999999994</c:v>
                </c:pt>
                <c:pt idx="3265">
                  <c:v>587.4319999999979</c:v>
                </c:pt>
                <c:pt idx="3266">
                  <c:v>587.606</c:v>
                </c:pt>
                <c:pt idx="3267">
                  <c:v>587.785</c:v>
                </c:pt>
                <c:pt idx="3268">
                  <c:v>587.9549999999994</c:v>
                </c:pt>
                <c:pt idx="3269">
                  <c:v>588.122</c:v>
                </c:pt>
                <c:pt idx="3270">
                  <c:v>588.286</c:v>
                </c:pt>
                <c:pt idx="3271">
                  <c:v>588.4519999999974</c:v>
                </c:pt>
                <c:pt idx="3272">
                  <c:v>588.614</c:v>
                </c:pt>
                <c:pt idx="3273">
                  <c:v>588.779</c:v>
                </c:pt>
                <c:pt idx="3274">
                  <c:v>588.9369999999974</c:v>
                </c:pt>
                <c:pt idx="3275">
                  <c:v>589.097</c:v>
                </c:pt>
                <c:pt idx="3276">
                  <c:v>589.258</c:v>
                </c:pt>
                <c:pt idx="3277">
                  <c:v>589.423</c:v>
                </c:pt>
                <c:pt idx="3278">
                  <c:v>589.582</c:v>
                </c:pt>
                <c:pt idx="3279">
                  <c:v>589.742</c:v>
                </c:pt>
                <c:pt idx="3280">
                  <c:v>589.904</c:v>
                </c:pt>
                <c:pt idx="3281">
                  <c:v>590.0629999999974</c:v>
                </c:pt>
                <c:pt idx="3282">
                  <c:v>590.229</c:v>
                </c:pt>
                <c:pt idx="3283">
                  <c:v>590.4009999999994</c:v>
                </c:pt>
                <c:pt idx="3284">
                  <c:v>590.5679999999974</c:v>
                </c:pt>
                <c:pt idx="3285">
                  <c:v>590.73</c:v>
                </c:pt>
                <c:pt idx="3286">
                  <c:v>590.896</c:v>
                </c:pt>
                <c:pt idx="3287">
                  <c:v>591.0549999999994</c:v>
                </c:pt>
                <c:pt idx="3288">
                  <c:v>591.221</c:v>
                </c:pt>
                <c:pt idx="3289">
                  <c:v>591.383</c:v>
                </c:pt>
                <c:pt idx="3290">
                  <c:v>591.5519999999979</c:v>
                </c:pt>
                <c:pt idx="3291">
                  <c:v>591.727</c:v>
                </c:pt>
                <c:pt idx="3292">
                  <c:v>591.9059999999994</c:v>
                </c:pt>
                <c:pt idx="3293">
                  <c:v>592.081</c:v>
                </c:pt>
                <c:pt idx="3294">
                  <c:v>592.254</c:v>
                </c:pt>
                <c:pt idx="3295">
                  <c:v>592.4309999999994</c:v>
                </c:pt>
                <c:pt idx="3296">
                  <c:v>592.6029999999994</c:v>
                </c:pt>
                <c:pt idx="3297">
                  <c:v>592.7669999999994</c:v>
                </c:pt>
                <c:pt idx="3298">
                  <c:v>592.9299999999994</c:v>
                </c:pt>
                <c:pt idx="3299">
                  <c:v>593.098</c:v>
                </c:pt>
                <c:pt idx="3300">
                  <c:v>593.275</c:v>
                </c:pt>
                <c:pt idx="3301">
                  <c:v>593.4579999999974</c:v>
                </c:pt>
                <c:pt idx="3302">
                  <c:v>593.64</c:v>
                </c:pt>
                <c:pt idx="3303">
                  <c:v>593.8159999999979</c:v>
                </c:pt>
                <c:pt idx="3304">
                  <c:v>593.9880000000001</c:v>
                </c:pt>
                <c:pt idx="3305">
                  <c:v>594.163</c:v>
                </c:pt>
                <c:pt idx="3306">
                  <c:v>594.3459999999974</c:v>
                </c:pt>
                <c:pt idx="3307">
                  <c:v>594.53</c:v>
                </c:pt>
                <c:pt idx="3308">
                  <c:v>594.712</c:v>
                </c:pt>
                <c:pt idx="3309">
                  <c:v>594.891</c:v>
                </c:pt>
                <c:pt idx="3310">
                  <c:v>595.0599999999994</c:v>
                </c:pt>
                <c:pt idx="3311">
                  <c:v>595.226</c:v>
                </c:pt>
                <c:pt idx="3312">
                  <c:v>595.3869999999994</c:v>
                </c:pt>
                <c:pt idx="3313">
                  <c:v>595.544</c:v>
                </c:pt>
                <c:pt idx="3314">
                  <c:v>595.704</c:v>
                </c:pt>
                <c:pt idx="3315">
                  <c:v>595.8679999999914</c:v>
                </c:pt>
                <c:pt idx="3316">
                  <c:v>596.034</c:v>
                </c:pt>
                <c:pt idx="3317">
                  <c:v>596.206</c:v>
                </c:pt>
                <c:pt idx="3318">
                  <c:v>596.378</c:v>
                </c:pt>
                <c:pt idx="3319">
                  <c:v>596.5369999999979</c:v>
                </c:pt>
                <c:pt idx="3320">
                  <c:v>596.701</c:v>
                </c:pt>
                <c:pt idx="3321">
                  <c:v>596.874</c:v>
                </c:pt>
                <c:pt idx="3322">
                  <c:v>597.0499999999994</c:v>
                </c:pt>
                <c:pt idx="3323">
                  <c:v>597.219</c:v>
                </c:pt>
                <c:pt idx="3324">
                  <c:v>597.3819999999994</c:v>
                </c:pt>
                <c:pt idx="3325">
                  <c:v>597.5459999999994</c:v>
                </c:pt>
                <c:pt idx="3326">
                  <c:v>597.707</c:v>
                </c:pt>
                <c:pt idx="3327">
                  <c:v>597.8630000000001</c:v>
                </c:pt>
                <c:pt idx="3328">
                  <c:v>598.028</c:v>
                </c:pt>
                <c:pt idx="3329">
                  <c:v>598.204</c:v>
                </c:pt>
                <c:pt idx="3330">
                  <c:v>598.3819999999994</c:v>
                </c:pt>
                <c:pt idx="3331">
                  <c:v>598.5549999999994</c:v>
                </c:pt>
                <c:pt idx="3332">
                  <c:v>598.723</c:v>
                </c:pt>
                <c:pt idx="3333">
                  <c:v>598.883</c:v>
                </c:pt>
                <c:pt idx="3334">
                  <c:v>599.04</c:v>
                </c:pt>
                <c:pt idx="3335">
                  <c:v>599.197</c:v>
                </c:pt>
                <c:pt idx="3336">
                  <c:v>599.3579999999816</c:v>
                </c:pt>
                <c:pt idx="3337">
                  <c:v>599.521</c:v>
                </c:pt>
                <c:pt idx="3338">
                  <c:v>599.69</c:v>
                </c:pt>
                <c:pt idx="3339">
                  <c:v>599.8669999999836</c:v>
                </c:pt>
                <c:pt idx="3340">
                  <c:v>600.0469999999979</c:v>
                </c:pt>
                <c:pt idx="3341">
                  <c:v>600.225</c:v>
                </c:pt>
                <c:pt idx="3342">
                  <c:v>600.4069999999994</c:v>
                </c:pt>
                <c:pt idx="3343">
                  <c:v>600.584</c:v>
                </c:pt>
                <c:pt idx="3344">
                  <c:v>600.761</c:v>
                </c:pt>
                <c:pt idx="3345">
                  <c:v>600.9379999999974</c:v>
                </c:pt>
                <c:pt idx="3346">
                  <c:v>601.109</c:v>
                </c:pt>
                <c:pt idx="3347">
                  <c:v>601.285</c:v>
                </c:pt>
                <c:pt idx="3348">
                  <c:v>601.4640000000001</c:v>
                </c:pt>
                <c:pt idx="3349">
                  <c:v>601.643</c:v>
                </c:pt>
                <c:pt idx="3350">
                  <c:v>601.8209999999979</c:v>
                </c:pt>
                <c:pt idx="3351">
                  <c:v>601.997</c:v>
                </c:pt>
                <c:pt idx="3352">
                  <c:v>602.171</c:v>
                </c:pt>
                <c:pt idx="3353">
                  <c:v>602.3429999999923</c:v>
                </c:pt>
                <c:pt idx="3354">
                  <c:v>602.5069999999994</c:v>
                </c:pt>
                <c:pt idx="3355">
                  <c:v>602.671</c:v>
                </c:pt>
                <c:pt idx="3356">
                  <c:v>602.8399999999979</c:v>
                </c:pt>
                <c:pt idx="3357">
                  <c:v>603.005</c:v>
                </c:pt>
                <c:pt idx="3358">
                  <c:v>603.17</c:v>
                </c:pt>
                <c:pt idx="3359">
                  <c:v>603.3379999999925</c:v>
                </c:pt>
                <c:pt idx="3360">
                  <c:v>603.504</c:v>
                </c:pt>
                <c:pt idx="3361">
                  <c:v>603.672</c:v>
                </c:pt>
                <c:pt idx="3362">
                  <c:v>603.8369999999974</c:v>
                </c:pt>
                <c:pt idx="3363">
                  <c:v>604.006</c:v>
                </c:pt>
                <c:pt idx="3364">
                  <c:v>604.179</c:v>
                </c:pt>
                <c:pt idx="3365">
                  <c:v>604.3379999999925</c:v>
                </c:pt>
                <c:pt idx="3366">
                  <c:v>604.503</c:v>
                </c:pt>
                <c:pt idx="3367">
                  <c:v>604.677</c:v>
                </c:pt>
                <c:pt idx="3368">
                  <c:v>604.8469999999974</c:v>
                </c:pt>
                <c:pt idx="3369">
                  <c:v>605.016</c:v>
                </c:pt>
                <c:pt idx="3370">
                  <c:v>605.179</c:v>
                </c:pt>
                <c:pt idx="3371">
                  <c:v>605.3359999999974</c:v>
                </c:pt>
                <c:pt idx="3372">
                  <c:v>605.498</c:v>
                </c:pt>
                <c:pt idx="3373">
                  <c:v>605.671</c:v>
                </c:pt>
                <c:pt idx="3374">
                  <c:v>605.8409999999974</c:v>
                </c:pt>
                <c:pt idx="3375">
                  <c:v>606.013</c:v>
                </c:pt>
                <c:pt idx="3376">
                  <c:v>606.185</c:v>
                </c:pt>
                <c:pt idx="3377">
                  <c:v>606.3559999999974</c:v>
                </c:pt>
                <c:pt idx="3378">
                  <c:v>606.5369999999979</c:v>
                </c:pt>
                <c:pt idx="3379">
                  <c:v>606.717</c:v>
                </c:pt>
                <c:pt idx="3380">
                  <c:v>606.8919999999994</c:v>
                </c:pt>
                <c:pt idx="3381">
                  <c:v>607.069</c:v>
                </c:pt>
                <c:pt idx="3382">
                  <c:v>607.24</c:v>
                </c:pt>
                <c:pt idx="3383">
                  <c:v>607.408</c:v>
                </c:pt>
                <c:pt idx="3384">
                  <c:v>607.581</c:v>
                </c:pt>
                <c:pt idx="3385">
                  <c:v>607.7519999999994</c:v>
                </c:pt>
                <c:pt idx="3386">
                  <c:v>607.9219999999979</c:v>
                </c:pt>
                <c:pt idx="3387">
                  <c:v>608.092</c:v>
                </c:pt>
                <c:pt idx="3388">
                  <c:v>608.263</c:v>
                </c:pt>
                <c:pt idx="3389">
                  <c:v>608.4359999999979</c:v>
                </c:pt>
                <c:pt idx="3390">
                  <c:v>608.616</c:v>
                </c:pt>
                <c:pt idx="3391">
                  <c:v>608.799</c:v>
                </c:pt>
                <c:pt idx="3392">
                  <c:v>608.972</c:v>
                </c:pt>
                <c:pt idx="3393">
                  <c:v>609.128</c:v>
                </c:pt>
                <c:pt idx="3394">
                  <c:v>609.28</c:v>
                </c:pt>
                <c:pt idx="3395">
                  <c:v>609.4469999999974</c:v>
                </c:pt>
                <c:pt idx="3396">
                  <c:v>609.624</c:v>
                </c:pt>
                <c:pt idx="3397">
                  <c:v>609.8009999999994</c:v>
                </c:pt>
                <c:pt idx="3398">
                  <c:v>609.973</c:v>
                </c:pt>
                <c:pt idx="3399">
                  <c:v>610.146</c:v>
                </c:pt>
                <c:pt idx="3400">
                  <c:v>610.3229999999974</c:v>
                </c:pt>
                <c:pt idx="3401">
                  <c:v>610.499</c:v>
                </c:pt>
                <c:pt idx="3402">
                  <c:v>610.669</c:v>
                </c:pt>
                <c:pt idx="3403">
                  <c:v>610.8259999999979</c:v>
                </c:pt>
                <c:pt idx="3404">
                  <c:v>610.982</c:v>
                </c:pt>
                <c:pt idx="3405">
                  <c:v>611.145</c:v>
                </c:pt>
                <c:pt idx="3406">
                  <c:v>611.314</c:v>
                </c:pt>
                <c:pt idx="3407">
                  <c:v>611.477</c:v>
                </c:pt>
                <c:pt idx="3408">
                  <c:v>611.635</c:v>
                </c:pt>
                <c:pt idx="3409">
                  <c:v>611.796</c:v>
                </c:pt>
                <c:pt idx="3410">
                  <c:v>611.9579999999974</c:v>
                </c:pt>
                <c:pt idx="3411">
                  <c:v>612.1269999999994</c:v>
                </c:pt>
                <c:pt idx="3412">
                  <c:v>612.295</c:v>
                </c:pt>
                <c:pt idx="3413">
                  <c:v>612.4519999999974</c:v>
                </c:pt>
                <c:pt idx="3414">
                  <c:v>612.6130000000001</c:v>
                </c:pt>
                <c:pt idx="3415">
                  <c:v>612.784</c:v>
                </c:pt>
                <c:pt idx="3416">
                  <c:v>612.9569999999974</c:v>
                </c:pt>
                <c:pt idx="3417">
                  <c:v>613.13</c:v>
                </c:pt>
                <c:pt idx="3418">
                  <c:v>613.309</c:v>
                </c:pt>
                <c:pt idx="3419">
                  <c:v>613.487</c:v>
                </c:pt>
                <c:pt idx="3420">
                  <c:v>613.658</c:v>
                </c:pt>
                <c:pt idx="3421">
                  <c:v>613.8229999999974</c:v>
                </c:pt>
                <c:pt idx="3422">
                  <c:v>613.989</c:v>
                </c:pt>
                <c:pt idx="3423">
                  <c:v>614.1519999999994</c:v>
                </c:pt>
                <c:pt idx="3424">
                  <c:v>614.3069999999979</c:v>
                </c:pt>
                <c:pt idx="3425">
                  <c:v>614.473</c:v>
                </c:pt>
                <c:pt idx="3426">
                  <c:v>614.646</c:v>
                </c:pt>
                <c:pt idx="3427">
                  <c:v>614.8209999999979</c:v>
                </c:pt>
                <c:pt idx="3428">
                  <c:v>615.0019999999994</c:v>
                </c:pt>
                <c:pt idx="3429">
                  <c:v>615.186</c:v>
                </c:pt>
                <c:pt idx="3430">
                  <c:v>615.3689999999979</c:v>
                </c:pt>
                <c:pt idx="3431">
                  <c:v>615.549</c:v>
                </c:pt>
                <c:pt idx="3432">
                  <c:v>615.726</c:v>
                </c:pt>
                <c:pt idx="3433">
                  <c:v>615.9059999999994</c:v>
                </c:pt>
                <c:pt idx="3434">
                  <c:v>616.087</c:v>
                </c:pt>
                <c:pt idx="3435">
                  <c:v>616.266</c:v>
                </c:pt>
                <c:pt idx="3436">
                  <c:v>616.4419999999974</c:v>
                </c:pt>
                <c:pt idx="3437">
                  <c:v>616.6130000000001</c:v>
                </c:pt>
                <c:pt idx="3438">
                  <c:v>616.781</c:v>
                </c:pt>
                <c:pt idx="3439">
                  <c:v>616.9499999999994</c:v>
                </c:pt>
                <c:pt idx="3440">
                  <c:v>617.119</c:v>
                </c:pt>
                <c:pt idx="3441">
                  <c:v>617.283</c:v>
                </c:pt>
                <c:pt idx="3442">
                  <c:v>617.4349999999994</c:v>
                </c:pt>
                <c:pt idx="3443">
                  <c:v>617.594</c:v>
                </c:pt>
                <c:pt idx="3444">
                  <c:v>617.763</c:v>
                </c:pt>
                <c:pt idx="3445">
                  <c:v>617.9349999999994</c:v>
                </c:pt>
                <c:pt idx="3446">
                  <c:v>618.1079999999994</c:v>
                </c:pt>
                <c:pt idx="3447">
                  <c:v>618.271</c:v>
                </c:pt>
                <c:pt idx="3448">
                  <c:v>618.4309999999994</c:v>
                </c:pt>
                <c:pt idx="3449">
                  <c:v>618.592</c:v>
                </c:pt>
                <c:pt idx="3450">
                  <c:v>618.758</c:v>
                </c:pt>
                <c:pt idx="3451">
                  <c:v>618.9359999999979</c:v>
                </c:pt>
                <c:pt idx="3452">
                  <c:v>619.117</c:v>
                </c:pt>
                <c:pt idx="3453">
                  <c:v>619.295</c:v>
                </c:pt>
                <c:pt idx="3454">
                  <c:v>619.4629999999925</c:v>
                </c:pt>
                <c:pt idx="3455">
                  <c:v>619.628</c:v>
                </c:pt>
                <c:pt idx="3456">
                  <c:v>619.799</c:v>
                </c:pt>
                <c:pt idx="3457">
                  <c:v>619.9640000000001</c:v>
                </c:pt>
                <c:pt idx="3458">
                  <c:v>620.12</c:v>
                </c:pt>
                <c:pt idx="3459">
                  <c:v>620.275</c:v>
                </c:pt>
                <c:pt idx="3460">
                  <c:v>620.4349999999994</c:v>
                </c:pt>
                <c:pt idx="3461">
                  <c:v>620.597</c:v>
                </c:pt>
                <c:pt idx="3462">
                  <c:v>620.7619999999994</c:v>
                </c:pt>
                <c:pt idx="3463">
                  <c:v>620.928</c:v>
                </c:pt>
                <c:pt idx="3464">
                  <c:v>621.092</c:v>
                </c:pt>
                <c:pt idx="3465">
                  <c:v>621.2519999999994</c:v>
                </c:pt>
                <c:pt idx="3466">
                  <c:v>621.4159999999994</c:v>
                </c:pt>
                <c:pt idx="3467">
                  <c:v>621.582</c:v>
                </c:pt>
                <c:pt idx="3468">
                  <c:v>621.749</c:v>
                </c:pt>
                <c:pt idx="3469">
                  <c:v>621.9159999999994</c:v>
                </c:pt>
                <c:pt idx="3470">
                  <c:v>622.08</c:v>
                </c:pt>
                <c:pt idx="3471">
                  <c:v>622.239</c:v>
                </c:pt>
                <c:pt idx="3472">
                  <c:v>622.4009999999994</c:v>
                </c:pt>
                <c:pt idx="3473">
                  <c:v>622.5679999999974</c:v>
                </c:pt>
                <c:pt idx="3474">
                  <c:v>622.742</c:v>
                </c:pt>
                <c:pt idx="3475">
                  <c:v>622.919</c:v>
                </c:pt>
                <c:pt idx="3476">
                  <c:v>623.099</c:v>
                </c:pt>
                <c:pt idx="3477">
                  <c:v>623.277</c:v>
                </c:pt>
                <c:pt idx="3478">
                  <c:v>623.4509999999979</c:v>
                </c:pt>
                <c:pt idx="3479">
                  <c:v>623.628</c:v>
                </c:pt>
                <c:pt idx="3480">
                  <c:v>623.8</c:v>
                </c:pt>
                <c:pt idx="3481">
                  <c:v>623.9659999999974</c:v>
                </c:pt>
                <c:pt idx="3482">
                  <c:v>624.133</c:v>
                </c:pt>
                <c:pt idx="3483">
                  <c:v>624.3019999999979</c:v>
                </c:pt>
                <c:pt idx="3484">
                  <c:v>624.476</c:v>
                </c:pt>
                <c:pt idx="3485">
                  <c:v>624.653</c:v>
                </c:pt>
                <c:pt idx="3486">
                  <c:v>624.8309999999979</c:v>
                </c:pt>
                <c:pt idx="3487">
                  <c:v>625.005</c:v>
                </c:pt>
                <c:pt idx="3488">
                  <c:v>625.173</c:v>
                </c:pt>
                <c:pt idx="3489">
                  <c:v>625.3419999999974</c:v>
                </c:pt>
                <c:pt idx="3490">
                  <c:v>625.516</c:v>
                </c:pt>
                <c:pt idx="3491">
                  <c:v>625.689</c:v>
                </c:pt>
                <c:pt idx="3492">
                  <c:v>625.8599999999974</c:v>
                </c:pt>
                <c:pt idx="3493">
                  <c:v>626.0219999999994</c:v>
                </c:pt>
                <c:pt idx="3494">
                  <c:v>626.181</c:v>
                </c:pt>
                <c:pt idx="3495">
                  <c:v>626.3449999999979</c:v>
                </c:pt>
                <c:pt idx="3496">
                  <c:v>626.508</c:v>
                </c:pt>
                <c:pt idx="3497">
                  <c:v>626.6659999999994</c:v>
                </c:pt>
                <c:pt idx="3498">
                  <c:v>626.8219999999974</c:v>
                </c:pt>
                <c:pt idx="3499">
                  <c:v>626.98</c:v>
                </c:pt>
                <c:pt idx="3500">
                  <c:v>627.136</c:v>
                </c:pt>
                <c:pt idx="3501">
                  <c:v>627.296</c:v>
                </c:pt>
                <c:pt idx="3502">
                  <c:v>627.4589999999994</c:v>
                </c:pt>
                <c:pt idx="3503">
                  <c:v>627.618</c:v>
                </c:pt>
                <c:pt idx="3504">
                  <c:v>627.765</c:v>
                </c:pt>
                <c:pt idx="3505">
                  <c:v>627.92</c:v>
                </c:pt>
                <c:pt idx="3506">
                  <c:v>628.0890000000001</c:v>
                </c:pt>
                <c:pt idx="3507">
                  <c:v>628.263</c:v>
                </c:pt>
                <c:pt idx="3508">
                  <c:v>628.4409999999979</c:v>
                </c:pt>
                <c:pt idx="3509">
                  <c:v>628.62</c:v>
                </c:pt>
                <c:pt idx="3510">
                  <c:v>628.803</c:v>
                </c:pt>
                <c:pt idx="3511">
                  <c:v>628.982</c:v>
                </c:pt>
                <c:pt idx="3512">
                  <c:v>629.163</c:v>
                </c:pt>
                <c:pt idx="3513">
                  <c:v>629.3390000000001</c:v>
                </c:pt>
                <c:pt idx="3514">
                  <c:v>629.515</c:v>
                </c:pt>
                <c:pt idx="3515">
                  <c:v>629.689</c:v>
                </c:pt>
                <c:pt idx="3516">
                  <c:v>629.8649999999974</c:v>
                </c:pt>
                <c:pt idx="3517">
                  <c:v>630.035</c:v>
                </c:pt>
                <c:pt idx="3518">
                  <c:v>630.207</c:v>
                </c:pt>
                <c:pt idx="3519">
                  <c:v>630.3619999999906</c:v>
                </c:pt>
                <c:pt idx="3520">
                  <c:v>630.505</c:v>
                </c:pt>
                <c:pt idx="3521">
                  <c:v>630.6519999999994</c:v>
                </c:pt>
                <c:pt idx="3522">
                  <c:v>630.8079999999974</c:v>
                </c:pt>
                <c:pt idx="3523">
                  <c:v>630.9619999999974</c:v>
                </c:pt>
                <c:pt idx="3524">
                  <c:v>631.114</c:v>
                </c:pt>
                <c:pt idx="3525">
                  <c:v>631.272</c:v>
                </c:pt>
                <c:pt idx="3526">
                  <c:v>631.4309999999994</c:v>
                </c:pt>
                <c:pt idx="3527">
                  <c:v>631.592</c:v>
                </c:pt>
                <c:pt idx="3528">
                  <c:v>631.756</c:v>
                </c:pt>
                <c:pt idx="3529">
                  <c:v>631.9299999999994</c:v>
                </c:pt>
                <c:pt idx="3530">
                  <c:v>632.1130000000001</c:v>
                </c:pt>
                <c:pt idx="3531">
                  <c:v>632.299</c:v>
                </c:pt>
                <c:pt idx="3532">
                  <c:v>632.479</c:v>
                </c:pt>
                <c:pt idx="3533">
                  <c:v>632.658</c:v>
                </c:pt>
                <c:pt idx="3534">
                  <c:v>632.8379999999925</c:v>
                </c:pt>
                <c:pt idx="3535">
                  <c:v>633.018</c:v>
                </c:pt>
                <c:pt idx="3536">
                  <c:v>633.197</c:v>
                </c:pt>
                <c:pt idx="3537">
                  <c:v>633.375</c:v>
                </c:pt>
                <c:pt idx="3538">
                  <c:v>633.554</c:v>
                </c:pt>
                <c:pt idx="3539">
                  <c:v>633.734</c:v>
                </c:pt>
                <c:pt idx="3540">
                  <c:v>633.908</c:v>
                </c:pt>
                <c:pt idx="3541">
                  <c:v>634.071</c:v>
                </c:pt>
                <c:pt idx="3542">
                  <c:v>634.237</c:v>
                </c:pt>
                <c:pt idx="3543">
                  <c:v>634.398</c:v>
                </c:pt>
                <c:pt idx="3544">
                  <c:v>634.5669999999974</c:v>
                </c:pt>
                <c:pt idx="3545">
                  <c:v>634.742</c:v>
                </c:pt>
                <c:pt idx="3546">
                  <c:v>634.9159999999994</c:v>
                </c:pt>
                <c:pt idx="3547">
                  <c:v>635.088</c:v>
                </c:pt>
                <c:pt idx="3548">
                  <c:v>635.261</c:v>
                </c:pt>
                <c:pt idx="3549">
                  <c:v>635.4309999999994</c:v>
                </c:pt>
                <c:pt idx="3550">
                  <c:v>635.6</c:v>
                </c:pt>
                <c:pt idx="3551">
                  <c:v>635.777</c:v>
                </c:pt>
                <c:pt idx="3552">
                  <c:v>635.9459999999979</c:v>
                </c:pt>
                <c:pt idx="3553">
                  <c:v>636.112</c:v>
                </c:pt>
                <c:pt idx="3554">
                  <c:v>636.279</c:v>
                </c:pt>
                <c:pt idx="3555">
                  <c:v>636.4459999999979</c:v>
                </c:pt>
                <c:pt idx="3556">
                  <c:v>636.618</c:v>
                </c:pt>
                <c:pt idx="3557">
                  <c:v>636.786</c:v>
                </c:pt>
                <c:pt idx="3558">
                  <c:v>636.9479999999974</c:v>
                </c:pt>
                <c:pt idx="3559">
                  <c:v>637.105</c:v>
                </c:pt>
                <c:pt idx="3560">
                  <c:v>637.265</c:v>
                </c:pt>
                <c:pt idx="3561">
                  <c:v>637.4359999999979</c:v>
                </c:pt>
                <c:pt idx="3562">
                  <c:v>637.6</c:v>
                </c:pt>
                <c:pt idx="3563">
                  <c:v>637.7619999999994</c:v>
                </c:pt>
                <c:pt idx="3564">
                  <c:v>637.928</c:v>
                </c:pt>
                <c:pt idx="3565">
                  <c:v>638.09</c:v>
                </c:pt>
                <c:pt idx="3566">
                  <c:v>638.25</c:v>
                </c:pt>
                <c:pt idx="3567">
                  <c:v>638.4159999999994</c:v>
                </c:pt>
                <c:pt idx="3568">
                  <c:v>638.584</c:v>
                </c:pt>
                <c:pt idx="3569">
                  <c:v>638.753</c:v>
                </c:pt>
                <c:pt idx="3570">
                  <c:v>638.9259999999994</c:v>
                </c:pt>
                <c:pt idx="3571">
                  <c:v>639.101</c:v>
                </c:pt>
                <c:pt idx="3572">
                  <c:v>639.274</c:v>
                </c:pt>
                <c:pt idx="3573">
                  <c:v>639.4399999999994</c:v>
                </c:pt>
                <c:pt idx="3574">
                  <c:v>639.607</c:v>
                </c:pt>
                <c:pt idx="3575">
                  <c:v>639.774</c:v>
                </c:pt>
                <c:pt idx="3576">
                  <c:v>639.9429999999974</c:v>
                </c:pt>
                <c:pt idx="3577">
                  <c:v>640.114</c:v>
                </c:pt>
                <c:pt idx="3578">
                  <c:v>640.271</c:v>
                </c:pt>
                <c:pt idx="3579">
                  <c:v>640.424</c:v>
                </c:pt>
                <c:pt idx="3580">
                  <c:v>640.591</c:v>
                </c:pt>
                <c:pt idx="3581">
                  <c:v>640.766</c:v>
                </c:pt>
                <c:pt idx="3582">
                  <c:v>640.9409999999979</c:v>
                </c:pt>
                <c:pt idx="3583">
                  <c:v>641.118</c:v>
                </c:pt>
                <c:pt idx="3584">
                  <c:v>641.291</c:v>
                </c:pt>
                <c:pt idx="3585">
                  <c:v>641.4679999999923</c:v>
                </c:pt>
                <c:pt idx="3586">
                  <c:v>641.649</c:v>
                </c:pt>
                <c:pt idx="3587">
                  <c:v>641.8309999999979</c:v>
                </c:pt>
                <c:pt idx="3588">
                  <c:v>642.01</c:v>
                </c:pt>
                <c:pt idx="3589">
                  <c:v>642.177</c:v>
                </c:pt>
                <c:pt idx="3590">
                  <c:v>642.3369999999974</c:v>
                </c:pt>
                <c:pt idx="3591">
                  <c:v>642.497</c:v>
                </c:pt>
                <c:pt idx="3592">
                  <c:v>642.6559999999994</c:v>
                </c:pt>
                <c:pt idx="3593">
                  <c:v>642.8199999999994</c:v>
                </c:pt>
                <c:pt idx="3594">
                  <c:v>642.984</c:v>
                </c:pt>
                <c:pt idx="3595">
                  <c:v>643.1469999999994</c:v>
                </c:pt>
                <c:pt idx="3596">
                  <c:v>643.3109999999979</c:v>
                </c:pt>
                <c:pt idx="3597">
                  <c:v>643.475</c:v>
                </c:pt>
                <c:pt idx="3598">
                  <c:v>643.628</c:v>
                </c:pt>
                <c:pt idx="3599">
                  <c:v>643.78</c:v>
                </c:pt>
                <c:pt idx="3600">
                  <c:v>643.9399999999994</c:v>
                </c:pt>
                <c:pt idx="3601">
                  <c:v>644.105</c:v>
                </c:pt>
                <c:pt idx="3602">
                  <c:v>644.268</c:v>
                </c:pt>
                <c:pt idx="3603">
                  <c:v>644.4329999999974</c:v>
                </c:pt>
                <c:pt idx="3604">
                  <c:v>644.596</c:v>
                </c:pt>
                <c:pt idx="3605">
                  <c:v>644.761</c:v>
                </c:pt>
                <c:pt idx="3606">
                  <c:v>644.915</c:v>
                </c:pt>
                <c:pt idx="3607">
                  <c:v>645.0579999999974</c:v>
                </c:pt>
                <c:pt idx="3608">
                  <c:v>645.2</c:v>
                </c:pt>
                <c:pt idx="3609">
                  <c:v>645.3419999999974</c:v>
                </c:pt>
                <c:pt idx="3610">
                  <c:v>645.487</c:v>
                </c:pt>
                <c:pt idx="3611">
                  <c:v>645.6269999999994</c:v>
                </c:pt>
                <c:pt idx="3612">
                  <c:v>645.774</c:v>
                </c:pt>
                <c:pt idx="3613">
                  <c:v>645.929</c:v>
                </c:pt>
                <c:pt idx="3614">
                  <c:v>646.091</c:v>
                </c:pt>
                <c:pt idx="3615">
                  <c:v>646.2569999999994</c:v>
                </c:pt>
                <c:pt idx="3616">
                  <c:v>646.4119999999979</c:v>
                </c:pt>
                <c:pt idx="3617">
                  <c:v>646.5659999999979</c:v>
                </c:pt>
                <c:pt idx="3618">
                  <c:v>646.727</c:v>
                </c:pt>
                <c:pt idx="3619">
                  <c:v>646.8919999999994</c:v>
                </c:pt>
                <c:pt idx="3620">
                  <c:v>647.054</c:v>
                </c:pt>
                <c:pt idx="3621">
                  <c:v>647.211</c:v>
                </c:pt>
                <c:pt idx="3622">
                  <c:v>647.3669999999836</c:v>
                </c:pt>
                <c:pt idx="3623">
                  <c:v>647.525</c:v>
                </c:pt>
                <c:pt idx="3624">
                  <c:v>647.682</c:v>
                </c:pt>
                <c:pt idx="3625">
                  <c:v>647.8399999999979</c:v>
                </c:pt>
                <c:pt idx="3626">
                  <c:v>648.0019999999994</c:v>
                </c:pt>
                <c:pt idx="3627">
                  <c:v>648.1619999999979</c:v>
                </c:pt>
                <c:pt idx="3628">
                  <c:v>648.324</c:v>
                </c:pt>
                <c:pt idx="3629">
                  <c:v>648.485</c:v>
                </c:pt>
                <c:pt idx="3630">
                  <c:v>648.645</c:v>
                </c:pt>
                <c:pt idx="3631">
                  <c:v>648.803</c:v>
                </c:pt>
                <c:pt idx="3632">
                  <c:v>648.9569999999974</c:v>
                </c:pt>
                <c:pt idx="3633">
                  <c:v>649.116</c:v>
                </c:pt>
                <c:pt idx="3634">
                  <c:v>649.28</c:v>
                </c:pt>
                <c:pt idx="3635">
                  <c:v>649.444</c:v>
                </c:pt>
                <c:pt idx="3636">
                  <c:v>649.605</c:v>
                </c:pt>
                <c:pt idx="3637">
                  <c:v>649.7669999999994</c:v>
                </c:pt>
                <c:pt idx="3638">
                  <c:v>649.9349999999994</c:v>
                </c:pt>
                <c:pt idx="3639">
                  <c:v>650.107</c:v>
                </c:pt>
                <c:pt idx="3640">
                  <c:v>650.277</c:v>
                </c:pt>
                <c:pt idx="3641">
                  <c:v>650.4469999999974</c:v>
                </c:pt>
                <c:pt idx="3642">
                  <c:v>650.612</c:v>
                </c:pt>
                <c:pt idx="3643">
                  <c:v>650.773</c:v>
                </c:pt>
                <c:pt idx="3644">
                  <c:v>650.9349999999994</c:v>
                </c:pt>
                <c:pt idx="3645">
                  <c:v>651.096</c:v>
                </c:pt>
                <c:pt idx="3646">
                  <c:v>651.255</c:v>
                </c:pt>
                <c:pt idx="3647">
                  <c:v>651.4119999999979</c:v>
                </c:pt>
                <c:pt idx="3648">
                  <c:v>651.5659999999979</c:v>
                </c:pt>
                <c:pt idx="3649">
                  <c:v>651.72</c:v>
                </c:pt>
                <c:pt idx="3650">
                  <c:v>651.876</c:v>
                </c:pt>
                <c:pt idx="3651">
                  <c:v>652.035</c:v>
                </c:pt>
                <c:pt idx="3652">
                  <c:v>652.195</c:v>
                </c:pt>
                <c:pt idx="3653">
                  <c:v>652.3469999999974</c:v>
                </c:pt>
                <c:pt idx="3654">
                  <c:v>652.499</c:v>
                </c:pt>
                <c:pt idx="3655">
                  <c:v>652.658</c:v>
                </c:pt>
                <c:pt idx="3656">
                  <c:v>652.8259999999979</c:v>
                </c:pt>
                <c:pt idx="3657">
                  <c:v>652.991</c:v>
                </c:pt>
                <c:pt idx="3658">
                  <c:v>653.15</c:v>
                </c:pt>
                <c:pt idx="3659">
                  <c:v>653.3099999999994</c:v>
                </c:pt>
                <c:pt idx="3660">
                  <c:v>653.479</c:v>
                </c:pt>
                <c:pt idx="3661">
                  <c:v>653.6469999999994</c:v>
                </c:pt>
                <c:pt idx="3662">
                  <c:v>653.8009999999994</c:v>
                </c:pt>
                <c:pt idx="3663">
                  <c:v>653.9509999999979</c:v>
                </c:pt>
                <c:pt idx="3664">
                  <c:v>654.102</c:v>
                </c:pt>
                <c:pt idx="3665">
                  <c:v>654.251</c:v>
                </c:pt>
                <c:pt idx="3666">
                  <c:v>654.394</c:v>
                </c:pt>
                <c:pt idx="3667">
                  <c:v>654.5409999999994</c:v>
                </c:pt>
                <c:pt idx="3668">
                  <c:v>654.697</c:v>
                </c:pt>
                <c:pt idx="3669">
                  <c:v>654.8489999999994</c:v>
                </c:pt>
                <c:pt idx="3670">
                  <c:v>655.003</c:v>
                </c:pt>
                <c:pt idx="3671">
                  <c:v>655.16</c:v>
                </c:pt>
                <c:pt idx="3672">
                  <c:v>655.3069999999979</c:v>
                </c:pt>
                <c:pt idx="3673">
                  <c:v>655.4559999999979</c:v>
                </c:pt>
                <c:pt idx="3674">
                  <c:v>655.611</c:v>
                </c:pt>
                <c:pt idx="3675">
                  <c:v>655.7669999999994</c:v>
                </c:pt>
                <c:pt idx="3676">
                  <c:v>655.924</c:v>
                </c:pt>
                <c:pt idx="3677">
                  <c:v>656.085</c:v>
                </c:pt>
                <c:pt idx="3678">
                  <c:v>656.25</c:v>
                </c:pt>
                <c:pt idx="3679">
                  <c:v>656.418</c:v>
                </c:pt>
                <c:pt idx="3680">
                  <c:v>656.581</c:v>
                </c:pt>
                <c:pt idx="3681">
                  <c:v>656.7380000000001</c:v>
                </c:pt>
                <c:pt idx="3682">
                  <c:v>656.903</c:v>
                </c:pt>
                <c:pt idx="3683">
                  <c:v>657.077</c:v>
                </c:pt>
                <c:pt idx="3684">
                  <c:v>657.235</c:v>
                </c:pt>
                <c:pt idx="3685">
                  <c:v>657.379</c:v>
                </c:pt>
                <c:pt idx="3686">
                  <c:v>657.534</c:v>
                </c:pt>
                <c:pt idx="3687">
                  <c:v>657.694</c:v>
                </c:pt>
                <c:pt idx="3688">
                  <c:v>657.8569999999974</c:v>
                </c:pt>
                <c:pt idx="3689">
                  <c:v>658.02</c:v>
                </c:pt>
                <c:pt idx="3690">
                  <c:v>658.188</c:v>
                </c:pt>
                <c:pt idx="3691">
                  <c:v>658.3519999999974</c:v>
                </c:pt>
                <c:pt idx="3692">
                  <c:v>658.5169999999994</c:v>
                </c:pt>
                <c:pt idx="3693">
                  <c:v>658.677</c:v>
                </c:pt>
                <c:pt idx="3694">
                  <c:v>658.8379999999925</c:v>
                </c:pt>
                <c:pt idx="3695">
                  <c:v>658.993</c:v>
                </c:pt>
                <c:pt idx="3696">
                  <c:v>659.1419999999994</c:v>
                </c:pt>
                <c:pt idx="3697">
                  <c:v>659.298</c:v>
                </c:pt>
                <c:pt idx="3698">
                  <c:v>659.4579999999974</c:v>
                </c:pt>
                <c:pt idx="3699">
                  <c:v>659.61</c:v>
                </c:pt>
                <c:pt idx="3700">
                  <c:v>659.761</c:v>
                </c:pt>
                <c:pt idx="3701">
                  <c:v>659.913</c:v>
                </c:pt>
                <c:pt idx="3702">
                  <c:v>660.0669999999974</c:v>
                </c:pt>
                <c:pt idx="3703">
                  <c:v>660.227</c:v>
                </c:pt>
                <c:pt idx="3704">
                  <c:v>660.393</c:v>
                </c:pt>
                <c:pt idx="3705">
                  <c:v>660.5649999999994</c:v>
                </c:pt>
                <c:pt idx="3706">
                  <c:v>660.73</c:v>
                </c:pt>
                <c:pt idx="3707">
                  <c:v>660.895</c:v>
                </c:pt>
                <c:pt idx="3708">
                  <c:v>661.059</c:v>
                </c:pt>
                <c:pt idx="3709">
                  <c:v>661.229</c:v>
                </c:pt>
                <c:pt idx="3710">
                  <c:v>661.399</c:v>
                </c:pt>
                <c:pt idx="3711">
                  <c:v>661.5659999999979</c:v>
                </c:pt>
                <c:pt idx="3712">
                  <c:v>661.729</c:v>
                </c:pt>
                <c:pt idx="3713">
                  <c:v>661.885</c:v>
                </c:pt>
                <c:pt idx="3714">
                  <c:v>662.0369999999979</c:v>
                </c:pt>
                <c:pt idx="3715">
                  <c:v>662.186</c:v>
                </c:pt>
                <c:pt idx="3716">
                  <c:v>662.3369999999974</c:v>
                </c:pt>
                <c:pt idx="3717">
                  <c:v>662.492</c:v>
                </c:pt>
                <c:pt idx="3718">
                  <c:v>662.65</c:v>
                </c:pt>
                <c:pt idx="3719">
                  <c:v>662.819</c:v>
                </c:pt>
                <c:pt idx="3720">
                  <c:v>662.993</c:v>
                </c:pt>
                <c:pt idx="3721">
                  <c:v>663.1619999999979</c:v>
                </c:pt>
                <c:pt idx="3722">
                  <c:v>663.3209999999979</c:v>
                </c:pt>
                <c:pt idx="3723">
                  <c:v>663.472</c:v>
                </c:pt>
                <c:pt idx="3724">
                  <c:v>663.624</c:v>
                </c:pt>
                <c:pt idx="3725">
                  <c:v>663.783</c:v>
                </c:pt>
                <c:pt idx="3726">
                  <c:v>663.9409999999979</c:v>
                </c:pt>
                <c:pt idx="3727">
                  <c:v>664.104</c:v>
                </c:pt>
                <c:pt idx="3728">
                  <c:v>664.265</c:v>
                </c:pt>
                <c:pt idx="3729">
                  <c:v>664.4269999999979</c:v>
                </c:pt>
                <c:pt idx="3730">
                  <c:v>664.585</c:v>
                </c:pt>
                <c:pt idx="3731">
                  <c:v>664.737</c:v>
                </c:pt>
                <c:pt idx="3732">
                  <c:v>664.886</c:v>
                </c:pt>
                <c:pt idx="3733">
                  <c:v>665.043</c:v>
                </c:pt>
                <c:pt idx="3734">
                  <c:v>665.209</c:v>
                </c:pt>
                <c:pt idx="3735">
                  <c:v>665.379</c:v>
                </c:pt>
                <c:pt idx="3736">
                  <c:v>665.548</c:v>
                </c:pt>
                <c:pt idx="3737">
                  <c:v>665.703</c:v>
                </c:pt>
                <c:pt idx="3738">
                  <c:v>665.8549999999979</c:v>
                </c:pt>
                <c:pt idx="3739">
                  <c:v>666.016</c:v>
                </c:pt>
                <c:pt idx="3740">
                  <c:v>666.176</c:v>
                </c:pt>
                <c:pt idx="3741">
                  <c:v>666.3369999999974</c:v>
                </c:pt>
                <c:pt idx="3742">
                  <c:v>666.505</c:v>
                </c:pt>
                <c:pt idx="3743">
                  <c:v>666.671</c:v>
                </c:pt>
                <c:pt idx="3744">
                  <c:v>666.8379999999925</c:v>
                </c:pt>
                <c:pt idx="3745">
                  <c:v>667.0019999999994</c:v>
                </c:pt>
                <c:pt idx="3746">
                  <c:v>667.159</c:v>
                </c:pt>
                <c:pt idx="3747">
                  <c:v>667.3149999999994</c:v>
                </c:pt>
                <c:pt idx="3748">
                  <c:v>667.471</c:v>
                </c:pt>
                <c:pt idx="3749">
                  <c:v>667.631</c:v>
                </c:pt>
                <c:pt idx="3750">
                  <c:v>667.788</c:v>
                </c:pt>
                <c:pt idx="3751">
                  <c:v>667.9429999999974</c:v>
                </c:pt>
                <c:pt idx="3752">
                  <c:v>668.098</c:v>
                </c:pt>
                <c:pt idx="3753">
                  <c:v>668.254</c:v>
                </c:pt>
                <c:pt idx="3754">
                  <c:v>668.41</c:v>
                </c:pt>
                <c:pt idx="3755">
                  <c:v>668.5659999999979</c:v>
                </c:pt>
                <c:pt idx="3756">
                  <c:v>668.725</c:v>
                </c:pt>
                <c:pt idx="3757">
                  <c:v>668.889</c:v>
                </c:pt>
                <c:pt idx="3758">
                  <c:v>669.0599999999994</c:v>
                </c:pt>
                <c:pt idx="3759">
                  <c:v>669.232</c:v>
                </c:pt>
                <c:pt idx="3760">
                  <c:v>669.404</c:v>
                </c:pt>
                <c:pt idx="3761">
                  <c:v>669.5629999999974</c:v>
                </c:pt>
                <c:pt idx="3762">
                  <c:v>669.72</c:v>
                </c:pt>
                <c:pt idx="3763">
                  <c:v>669.881</c:v>
                </c:pt>
                <c:pt idx="3764">
                  <c:v>670.0459999999994</c:v>
                </c:pt>
                <c:pt idx="3765">
                  <c:v>670.207</c:v>
                </c:pt>
                <c:pt idx="3766">
                  <c:v>670.3659999999974</c:v>
                </c:pt>
                <c:pt idx="3767">
                  <c:v>670.529</c:v>
                </c:pt>
                <c:pt idx="3768">
                  <c:v>670.69</c:v>
                </c:pt>
                <c:pt idx="3769">
                  <c:v>670.8459999999974</c:v>
                </c:pt>
                <c:pt idx="3770">
                  <c:v>671.003</c:v>
                </c:pt>
                <c:pt idx="3771">
                  <c:v>671.165</c:v>
                </c:pt>
                <c:pt idx="3772">
                  <c:v>671.3309999999979</c:v>
                </c:pt>
                <c:pt idx="3773">
                  <c:v>671.495</c:v>
                </c:pt>
                <c:pt idx="3774">
                  <c:v>671.6559999999994</c:v>
                </c:pt>
                <c:pt idx="3775">
                  <c:v>671.8069999999979</c:v>
                </c:pt>
                <c:pt idx="3776">
                  <c:v>671.9629999999925</c:v>
                </c:pt>
                <c:pt idx="3777">
                  <c:v>672.124</c:v>
                </c:pt>
                <c:pt idx="3778">
                  <c:v>672.274</c:v>
                </c:pt>
                <c:pt idx="3779">
                  <c:v>672.4259999999994</c:v>
                </c:pt>
                <c:pt idx="3780">
                  <c:v>672.584</c:v>
                </c:pt>
                <c:pt idx="3781">
                  <c:v>672.734</c:v>
                </c:pt>
                <c:pt idx="3782">
                  <c:v>672.891</c:v>
                </c:pt>
                <c:pt idx="3783">
                  <c:v>673.0559999999994</c:v>
                </c:pt>
                <c:pt idx="3784">
                  <c:v>673.22</c:v>
                </c:pt>
                <c:pt idx="3785">
                  <c:v>673.3669999999836</c:v>
                </c:pt>
                <c:pt idx="3786">
                  <c:v>673.518</c:v>
                </c:pt>
                <c:pt idx="3787">
                  <c:v>673.669</c:v>
                </c:pt>
                <c:pt idx="3788">
                  <c:v>673.8249999999994</c:v>
                </c:pt>
                <c:pt idx="3789">
                  <c:v>673.985</c:v>
                </c:pt>
                <c:pt idx="3790">
                  <c:v>674.149</c:v>
                </c:pt>
                <c:pt idx="3791">
                  <c:v>674.3149999999994</c:v>
                </c:pt>
                <c:pt idx="3792">
                  <c:v>674.482</c:v>
                </c:pt>
                <c:pt idx="3793">
                  <c:v>674.653</c:v>
                </c:pt>
                <c:pt idx="3794">
                  <c:v>674.8219999999974</c:v>
                </c:pt>
                <c:pt idx="3795">
                  <c:v>674.989</c:v>
                </c:pt>
                <c:pt idx="3796">
                  <c:v>675.1469999999994</c:v>
                </c:pt>
                <c:pt idx="3797">
                  <c:v>675.297</c:v>
                </c:pt>
                <c:pt idx="3798">
                  <c:v>675.4519999999974</c:v>
                </c:pt>
                <c:pt idx="3799">
                  <c:v>675.6079999999994</c:v>
                </c:pt>
                <c:pt idx="3800">
                  <c:v>675.759</c:v>
                </c:pt>
                <c:pt idx="3801">
                  <c:v>675.9119999999979</c:v>
                </c:pt>
                <c:pt idx="3802">
                  <c:v>676.0659999999979</c:v>
                </c:pt>
                <c:pt idx="3803">
                  <c:v>676.222</c:v>
                </c:pt>
                <c:pt idx="3804">
                  <c:v>676.3869999999994</c:v>
                </c:pt>
                <c:pt idx="3805">
                  <c:v>676.5509999999994</c:v>
                </c:pt>
                <c:pt idx="3806">
                  <c:v>676.704</c:v>
                </c:pt>
                <c:pt idx="3807">
                  <c:v>676.8649999999974</c:v>
                </c:pt>
                <c:pt idx="3808">
                  <c:v>677.03</c:v>
                </c:pt>
                <c:pt idx="3809">
                  <c:v>677.194</c:v>
                </c:pt>
                <c:pt idx="3810">
                  <c:v>677.3579999999816</c:v>
                </c:pt>
                <c:pt idx="3811">
                  <c:v>677.514</c:v>
                </c:pt>
                <c:pt idx="3812">
                  <c:v>677.673</c:v>
                </c:pt>
                <c:pt idx="3813">
                  <c:v>677.8359999999974</c:v>
                </c:pt>
                <c:pt idx="3814">
                  <c:v>678.0</c:v>
                </c:pt>
                <c:pt idx="3815">
                  <c:v>678.1669999999979</c:v>
                </c:pt>
                <c:pt idx="3816">
                  <c:v>678.3299999999994</c:v>
                </c:pt>
                <c:pt idx="3817">
                  <c:v>678.491</c:v>
                </c:pt>
                <c:pt idx="3818">
                  <c:v>678.65</c:v>
                </c:pt>
                <c:pt idx="3819">
                  <c:v>678.8149999999994</c:v>
                </c:pt>
                <c:pt idx="3820">
                  <c:v>678.976</c:v>
                </c:pt>
                <c:pt idx="3821">
                  <c:v>679.139</c:v>
                </c:pt>
                <c:pt idx="3822">
                  <c:v>679.3</c:v>
                </c:pt>
                <c:pt idx="3823">
                  <c:v>679.4609999999974</c:v>
                </c:pt>
                <c:pt idx="3824">
                  <c:v>679.617</c:v>
                </c:pt>
                <c:pt idx="3825">
                  <c:v>679.77</c:v>
                </c:pt>
                <c:pt idx="3826">
                  <c:v>679.9299999999994</c:v>
                </c:pt>
                <c:pt idx="3827">
                  <c:v>680.096</c:v>
                </c:pt>
                <c:pt idx="3828">
                  <c:v>680.264</c:v>
                </c:pt>
                <c:pt idx="3829">
                  <c:v>680.4359999999979</c:v>
                </c:pt>
                <c:pt idx="3830">
                  <c:v>680.607</c:v>
                </c:pt>
                <c:pt idx="3831">
                  <c:v>680.778</c:v>
                </c:pt>
                <c:pt idx="3832">
                  <c:v>680.9419999999974</c:v>
                </c:pt>
                <c:pt idx="3833">
                  <c:v>681.099</c:v>
                </c:pt>
                <c:pt idx="3834">
                  <c:v>681.254</c:v>
                </c:pt>
                <c:pt idx="3835">
                  <c:v>681.4159999999994</c:v>
                </c:pt>
                <c:pt idx="3836">
                  <c:v>681.582</c:v>
                </c:pt>
                <c:pt idx="3837">
                  <c:v>681.734</c:v>
                </c:pt>
                <c:pt idx="3838">
                  <c:v>681.883</c:v>
                </c:pt>
                <c:pt idx="3839">
                  <c:v>682.0409999999994</c:v>
                </c:pt>
                <c:pt idx="3840">
                  <c:v>682.201</c:v>
                </c:pt>
                <c:pt idx="3841">
                  <c:v>682.3619999999906</c:v>
                </c:pt>
                <c:pt idx="3842">
                  <c:v>682.52</c:v>
                </c:pt>
                <c:pt idx="3843">
                  <c:v>682.673</c:v>
                </c:pt>
                <c:pt idx="3844">
                  <c:v>682.8259999999979</c:v>
                </c:pt>
                <c:pt idx="3845">
                  <c:v>682.986</c:v>
                </c:pt>
                <c:pt idx="3846">
                  <c:v>683.154</c:v>
                </c:pt>
                <c:pt idx="3847">
                  <c:v>683.3269999999974</c:v>
                </c:pt>
                <c:pt idx="3848">
                  <c:v>683.501</c:v>
                </c:pt>
                <c:pt idx="3849">
                  <c:v>683.671</c:v>
                </c:pt>
                <c:pt idx="3850">
                  <c:v>683.8419999999974</c:v>
                </c:pt>
                <c:pt idx="3851">
                  <c:v>684.009</c:v>
                </c:pt>
                <c:pt idx="3852">
                  <c:v>684.171</c:v>
                </c:pt>
                <c:pt idx="3853">
                  <c:v>684.3349999999979</c:v>
                </c:pt>
                <c:pt idx="3854">
                  <c:v>684.499</c:v>
                </c:pt>
                <c:pt idx="3855">
                  <c:v>684.6659999999994</c:v>
                </c:pt>
                <c:pt idx="3856">
                  <c:v>684.8219999999974</c:v>
                </c:pt>
                <c:pt idx="3857">
                  <c:v>684.973</c:v>
                </c:pt>
                <c:pt idx="3858">
                  <c:v>685.13</c:v>
                </c:pt>
                <c:pt idx="3859">
                  <c:v>685.288</c:v>
                </c:pt>
                <c:pt idx="3860">
                  <c:v>685.444</c:v>
                </c:pt>
                <c:pt idx="3861">
                  <c:v>685.606</c:v>
                </c:pt>
                <c:pt idx="3862">
                  <c:v>685.764</c:v>
                </c:pt>
                <c:pt idx="3863">
                  <c:v>685.919</c:v>
                </c:pt>
                <c:pt idx="3864">
                  <c:v>686.075</c:v>
                </c:pt>
                <c:pt idx="3865">
                  <c:v>686.235</c:v>
                </c:pt>
                <c:pt idx="3866">
                  <c:v>686.4</c:v>
                </c:pt>
                <c:pt idx="3867">
                  <c:v>686.58</c:v>
                </c:pt>
                <c:pt idx="3868">
                  <c:v>686.76</c:v>
                </c:pt>
                <c:pt idx="3869">
                  <c:v>686.9429999999974</c:v>
                </c:pt>
                <c:pt idx="3870">
                  <c:v>687.128</c:v>
                </c:pt>
                <c:pt idx="3871">
                  <c:v>687.3159999999979</c:v>
                </c:pt>
                <c:pt idx="3872">
                  <c:v>687.5019999999994</c:v>
                </c:pt>
                <c:pt idx="3873">
                  <c:v>687.682</c:v>
                </c:pt>
                <c:pt idx="3874">
                  <c:v>687.8589999999994</c:v>
                </c:pt>
                <c:pt idx="3875">
                  <c:v>688.0419999999979</c:v>
                </c:pt>
                <c:pt idx="3876">
                  <c:v>688.224</c:v>
                </c:pt>
                <c:pt idx="3877">
                  <c:v>688.404</c:v>
                </c:pt>
                <c:pt idx="3878">
                  <c:v>688.58</c:v>
                </c:pt>
                <c:pt idx="3879">
                  <c:v>688.7569999999994</c:v>
                </c:pt>
                <c:pt idx="3880">
                  <c:v>688.9419999999974</c:v>
                </c:pt>
                <c:pt idx="3881">
                  <c:v>689.129</c:v>
                </c:pt>
                <c:pt idx="3882">
                  <c:v>689.3219999999974</c:v>
                </c:pt>
                <c:pt idx="3883">
                  <c:v>689.51</c:v>
                </c:pt>
                <c:pt idx="3884">
                  <c:v>689.693</c:v>
                </c:pt>
                <c:pt idx="3885">
                  <c:v>689.879</c:v>
                </c:pt>
                <c:pt idx="3886">
                  <c:v>690.0669999999974</c:v>
                </c:pt>
                <c:pt idx="3887">
                  <c:v>690.248</c:v>
                </c:pt>
                <c:pt idx="3888">
                  <c:v>690.429</c:v>
                </c:pt>
                <c:pt idx="3889">
                  <c:v>690.606</c:v>
                </c:pt>
                <c:pt idx="3890">
                  <c:v>690.788</c:v>
                </c:pt>
                <c:pt idx="3891">
                  <c:v>690.974</c:v>
                </c:pt>
                <c:pt idx="3892">
                  <c:v>691.158</c:v>
                </c:pt>
                <c:pt idx="3893">
                  <c:v>691.3409999999974</c:v>
                </c:pt>
                <c:pt idx="3894">
                  <c:v>691.528</c:v>
                </c:pt>
                <c:pt idx="3895">
                  <c:v>691.718</c:v>
                </c:pt>
                <c:pt idx="3896">
                  <c:v>691.905</c:v>
                </c:pt>
                <c:pt idx="3897">
                  <c:v>692.083</c:v>
                </c:pt>
                <c:pt idx="3898">
                  <c:v>692.254</c:v>
                </c:pt>
                <c:pt idx="3899">
                  <c:v>692.423</c:v>
                </c:pt>
                <c:pt idx="3900">
                  <c:v>692.595</c:v>
                </c:pt>
                <c:pt idx="3901">
                  <c:v>692.7669999999994</c:v>
                </c:pt>
                <c:pt idx="3902">
                  <c:v>692.9459999999979</c:v>
                </c:pt>
                <c:pt idx="3903">
                  <c:v>693.124</c:v>
                </c:pt>
                <c:pt idx="3904">
                  <c:v>693.304</c:v>
                </c:pt>
                <c:pt idx="3905">
                  <c:v>693.487</c:v>
                </c:pt>
                <c:pt idx="3906">
                  <c:v>693.668</c:v>
                </c:pt>
                <c:pt idx="3907">
                  <c:v>693.8509999999974</c:v>
                </c:pt>
                <c:pt idx="3908">
                  <c:v>694.0359999999994</c:v>
                </c:pt>
                <c:pt idx="3909">
                  <c:v>694.216</c:v>
                </c:pt>
                <c:pt idx="3910">
                  <c:v>694.394</c:v>
                </c:pt>
                <c:pt idx="3911">
                  <c:v>694.576</c:v>
                </c:pt>
                <c:pt idx="3912">
                  <c:v>694.7519999999994</c:v>
                </c:pt>
                <c:pt idx="3913">
                  <c:v>694.9249999999994</c:v>
                </c:pt>
                <c:pt idx="3914">
                  <c:v>695.1</c:v>
                </c:pt>
                <c:pt idx="3915">
                  <c:v>695.268</c:v>
                </c:pt>
                <c:pt idx="3916">
                  <c:v>695.434</c:v>
                </c:pt>
                <c:pt idx="3917">
                  <c:v>695.6079999999994</c:v>
                </c:pt>
                <c:pt idx="3918">
                  <c:v>695.791</c:v>
                </c:pt>
                <c:pt idx="3919">
                  <c:v>695.973</c:v>
                </c:pt>
                <c:pt idx="3920">
                  <c:v>696.1609999999994</c:v>
                </c:pt>
                <c:pt idx="3921">
                  <c:v>696.3559999999974</c:v>
                </c:pt>
                <c:pt idx="3922">
                  <c:v>696.5469999999979</c:v>
                </c:pt>
                <c:pt idx="3923">
                  <c:v>696.732</c:v>
                </c:pt>
                <c:pt idx="3924">
                  <c:v>696.92</c:v>
                </c:pt>
                <c:pt idx="3925">
                  <c:v>697.105</c:v>
                </c:pt>
                <c:pt idx="3926">
                  <c:v>697.291</c:v>
                </c:pt>
                <c:pt idx="3927">
                  <c:v>697.4779999999994</c:v>
                </c:pt>
                <c:pt idx="3928">
                  <c:v>697.671</c:v>
                </c:pt>
                <c:pt idx="3929">
                  <c:v>697.8659999999974</c:v>
                </c:pt>
                <c:pt idx="3930">
                  <c:v>698.0599999999994</c:v>
                </c:pt>
                <c:pt idx="3931">
                  <c:v>698.245</c:v>
                </c:pt>
                <c:pt idx="3932">
                  <c:v>698.4249999999994</c:v>
                </c:pt>
                <c:pt idx="3933">
                  <c:v>698.6</c:v>
                </c:pt>
                <c:pt idx="3934">
                  <c:v>698.775</c:v>
                </c:pt>
                <c:pt idx="3935">
                  <c:v>698.9519999999974</c:v>
                </c:pt>
                <c:pt idx="3936">
                  <c:v>699.1319999999994</c:v>
                </c:pt>
                <c:pt idx="3937">
                  <c:v>699.3159999999979</c:v>
                </c:pt>
                <c:pt idx="3938">
                  <c:v>699.504</c:v>
                </c:pt>
                <c:pt idx="3939">
                  <c:v>699.698</c:v>
                </c:pt>
                <c:pt idx="3940">
                  <c:v>699.8869999999994</c:v>
                </c:pt>
                <c:pt idx="3941">
                  <c:v>700.074</c:v>
                </c:pt>
                <c:pt idx="3942">
                  <c:v>700.265</c:v>
                </c:pt>
                <c:pt idx="3943">
                  <c:v>700.4549999999994</c:v>
                </c:pt>
                <c:pt idx="3944">
                  <c:v>700.6419999999994</c:v>
                </c:pt>
                <c:pt idx="3945">
                  <c:v>700.8249999999994</c:v>
                </c:pt>
                <c:pt idx="3946">
                  <c:v>701.003</c:v>
                </c:pt>
                <c:pt idx="3947">
                  <c:v>701.185</c:v>
                </c:pt>
                <c:pt idx="3948">
                  <c:v>701.372</c:v>
                </c:pt>
                <c:pt idx="3949">
                  <c:v>701.5569999999979</c:v>
                </c:pt>
                <c:pt idx="3950">
                  <c:v>701.741</c:v>
                </c:pt>
                <c:pt idx="3951">
                  <c:v>701.9249999999994</c:v>
                </c:pt>
                <c:pt idx="3952">
                  <c:v>702.107</c:v>
                </c:pt>
                <c:pt idx="3953">
                  <c:v>702.28</c:v>
                </c:pt>
                <c:pt idx="3954">
                  <c:v>702.4519999999974</c:v>
                </c:pt>
                <c:pt idx="3955">
                  <c:v>702.622</c:v>
                </c:pt>
                <c:pt idx="3956">
                  <c:v>702.8009999999994</c:v>
                </c:pt>
                <c:pt idx="3957">
                  <c:v>702.989</c:v>
                </c:pt>
                <c:pt idx="3958">
                  <c:v>703.178</c:v>
                </c:pt>
                <c:pt idx="3959">
                  <c:v>703.3619999999906</c:v>
                </c:pt>
                <c:pt idx="3960">
                  <c:v>703.5419999999979</c:v>
                </c:pt>
                <c:pt idx="3961">
                  <c:v>703.729</c:v>
                </c:pt>
                <c:pt idx="3962">
                  <c:v>703.909</c:v>
                </c:pt>
                <c:pt idx="3963">
                  <c:v>704.088</c:v>
                </c:pt>
                <c:pt idx="3964">
                  <c:v>704.272</c:v>
                </c:pt>
                <c:pt idx="3965">
                  <c:v>704.4579999999974</c:v>
                </c:pt>
                <c:pt idx="3966">
                  <c:v>704.6419999999994</c:v>
                </c:pt>
                <c:pt idx="3967">
                  <c:v>704.824</c:v>
                </c:pt>
                <c:pt idx="3968">
                  <c:v>705.009</c:v>
                </c:pt>
                <c:pt idx="3969">
                  <c:v>705.198</c:v>
                </c:pt>
                <c:pt idx="3970">
                  <c:v>705.381</c:v>
                </c:pt>
                <c:pt idx="3971">
                  <c:v>705.5649999999994</c:v>
                </c:pt>
                <c:pt idx="3972">
                  <c:v>705.748</c:v>
                </c:pt>
                <c:pt idx="3973">
                  <c:v>705.9209999999994</c:v>
                </c:pt>
                <c:pt idx="3974">
                  <c:v>706.097</c:v>
                </c:pt>
                <c:pt idx="3975">
                  <c:v>706.277</c:v>
                </c:pt>
                <c:pt idx="3976">
                  <c:v>706.4669999999974</c:v>
                </c:pt>
                <c:pt idx="3977">
                  <c:v>706.655</c:v>
                </c:pt>
                <c:pt idx="3978">
                  <c:v>706.8419999999974</c:v>
                </c:pt>
                <c:pt idx="3979">
                  <c:v>707.03</c:v>
                </c:pt>
                <c:pt idx="3980">
                  <c:v>707.208</c:v>
                </c:pt>
                <c:pt idx="3981">
                  <c:v>707.389</c:v>
                </c:pt>
                <c:pt idx="3982">
                  <c:v>707.571</c:v>
                </c:pt>
                <c:pt idx="3983">
                  <c:v>707.7519999999994</c:v>
                </c:pt>
                <c:pt idx="3984">
                  <c:v>707.9319999999979</c:v>
                </c:pt>
                <c:pt idx="3985">
                  <c:v>708.1130000000001</c:v>
                </c:pt>
                <c:pt idx="3986">
                  <c:v>708.295</c:v>
                </c:pt>
                <c:pt idx="3987">
                  <c:v>708.487</c:v>
                </c:pt>
                <c:pt idx="3988">
                  <c:v>708.677</c:v>
                </c:pt>
                <c:pt idx="3989">
                  <c:v>708.8630000000001</c:v>
                </c:pt>
                <c:pt idx="3990">
                  <c:v>709.049</c:v>
                </c:pt>
                <c:pt idx="3991">
                  <c:v>709.235</c:v>
                </c:pt>
                <c:pt idx="3992">
                  <c:v>709.423</c:v>
                </c:pt>
                <c:pt idx="3993">
                  <c:v>709.6079999999994</c:v>
                </c:pt>
                <c:pt idx="3994">
                  <c:v>709.793</c:v>
                </c:pt>
                <c:pt idx="3995">
                  <c:v>709.977</c:v>
                </c:pt>
                <c:pt idx="3996">
                  <c:v>710.15</c:v>
                </c:pt>
                <c:pt idx="3997">
                  <c:v>710.3219999999974</c:v>
                </c:pt>
                <c:pt idx="3998">
                  <c:v>710.503</c:v>
                </c:pt>
                <c:pt idx="3999">
                  <c:v>710.691</c:v>
                </c:pt>
                <c:pt idx="4000">
                  <c:v>710.883</c:v>
                </c:pt>
                <c:pt idx="4001">
                  <c:v>711.081</c:v>
                </c:pt>
                <c:pt idx="4002">
                  <c:v>711.275</c:v>
                </c:pt>
                <c:pt idx="4003">
                  <c:v>711.4609999999974</c:v>
                </c:pt>
                <c:pt idx="4004">
                  <c:v>711.636</c:v>
                </c:pt>
                <c:pt idx="4005">
                  <c:v>711.8159999999979</c:v>
                </c:pt>
                <c:pt idx="4006">
                  <c:v>712.006</c:v>
                </c:pt>
                <c:pt idx="4007">
                  <c:v>712.197</c:v>
                </c:pt>
                <c:pt idx="4008">
                  <c:v>712.371</c:v>
                </c:pt>
                <c:pt idx="4009">
                  <c:v>712.5469999999979</c:v>
                </c:pt>
                <c:pt idx="4010">
                  <c:v>712.72</c:v>
                </c:pt>
                <c:pt idx="4011">
                  <c:v>712.9019999999994</c:v>
                </c:pt>
                <c:pt idx="4012">
                  <c:v>713.091</c:v>
                </c:pt>
                <c:pt idx="4013">
                  <c:v>713.276</c:v>
                </c:pt>
                <c:pt idx="4014">
                  <c:v>713.4640000000001</c:v>
                </c:pt>
                <c:pt idx="4015">
                  <c:v>713.65</c:v>
                </c:pt>
                <c:pt idx="4016">
                  <c:v>713.8349999999979</c:v>
                </c:pt>
                <c:pt idx="4017">
                  <c:v>714.0219999999994</c:v>
                </c:pt>
                <c:pt idx="4018">
                  <c:v>714.212</c:v>
                </c:pt>
                <c:pt idx="4019">
                  <c:v>714.395</c:v>
                </c:pt>
                <c:pt idx="4020">
                  <c:v>714.577</c:v>
                </c:pt>
                <c:pt idx="4021">
                  <c:v>714.7569999999994</c:v>
                </c:pt>
                <c:pt idx="4022">
                  <c:v>714.9359999999979</c:v>
                </c:pt>
                <c:pt idx="4023">
                  <c:v>715.106</c:v>
                </c:pt>
                <c:pt idx="4024">
                  <c:v>715.266</c:v>
                </c:pt>
                <c:pt idx="4025">
                  <c:v>715.4249999999994</c:v>
                </c:pt>
                <c:pt idx="4026">
                  <c:v>715.599</c:v>
                </c:pt>
                <c:pt idx="4027">
                  <c:v>715.783</c:v>
                </c:pt>
                <c:pt idx="4028">
                  <c:v>715.972</c:v>
                </c:pt>
                <c:pt idx="4029">
                  <c:v>716.1569999999994</c:v>
                </c:pt>
                <c:pt idx="4030">
                  <c:v>716.3419999999974</c:v>
                </c:pt>
                <c:pt idx="4031">
                  <c:v>716.5269999999994</c:v>
                </c:pt>
                <c:pt idx="4032">
                  <c:v>716.71</c:v>
                </c:pt>
                <c:pt idx="4033">
                  <c:v>716.893</c:v>
                </c:pt>
                <c:pt idx="4034">
                  <c:v>717.074</c:v>
                </c:pt>
                <c:pt idx="4035">
                  <c:v>717.256</c:v>
                </c:pt>
                <c:pt idx="4036">
                  <c:v>717.439</c:v>
                </c:pt>
                <c:pt idx="4037">
                  <c:v>717.626</c:v>
                </c:pt>
                <c:pt idx="4038">
                  <c:v>717.8019999999979</c:v>
                </c:pt>
                <c:pt idx="4039">
                  <c:v>717.9829999999994</c:v>
                </c:pt>
                <c:pt idx="4040">
                  <c:v>718.172</c:v>
                </c:pt>
                <c:pt idx="4041">
                  <c:v>718.3599999999974</c:v>
                </c:pt>
                <c:pt idx="4042">
                  <c:v>718.55</c:v>
                </c:pt>
                <c:pt idx="4043">
                  <c:v>718.746</c:v>
                </c:pt>
                <c:pt idx="4044">
                  <c:v>718.9369999999974</c:v>
                </c:pt>
                <c:pt idx="4045">
                  <c:v>719.106</c:v>
                </c:pt>
                <c:pt idx="4046">
                  <c:v>719.275</c:v>
                </c:pt>
                <c:pt idx="4047">
                  <c:v>719.4549999999994</c:v>
                </c:pt>
                <c:pt idx="4048">
                  <c:v>719.645</c:v>
                </c:pt>
                <c:pt idx="4049">
                  <c:v>719.8339999999994</c:v>
                </c:pt>
                <c:pt idx="4050">
                  <c:v>720.025</c:v>
                </c:pt>
                <c:pt idx="4051">
                  <c:v>720.205</c:v>
                </c:pt>
                <c:pt idx="4052">
                  <c:v>720.383</c:v>
                </c:pt>
                <c:pt idx="4053">
                  <c:v>720.5669999999974</c:v>
                </c:pt>
                <c:pt idx="4054">
                  <c:v>720.755</c:v>
                </c:pt>
                <c:pt idx="4055">
                  <c:v>720.9469999999974</c:v>
                </c:pt>
                <c:pt idx="4056">
                  <c:v>721.139</c:v>
                </c:pt>
                <c:pt idx="4057">
                  <c:v>721.3309999999979</c:v>
                </c:pt>
                <c:pt idx="4058">
                  <c:v>721.515</c:v>
                </c:pt>
                <c:pt idx="4059">
                  <c:v>721.696</c:v>
                </c:pt>
                <c:pt idx="4060">
                  <c:v>721.875</c:v>
                </c:pt>
                <c:pt idx="4061">
                  <c:v>722.049</c:v>
                </c:pt>
                <c:pt idx="4062">
                  <c:v>722.226</c:v>
                </c:pt>
                <c:pt idx="4063">
                  <c:v>722.404</c:v>
                </c:pt>
                <c:pt idx="4064">
                  <c:v>722.582</c:v>
                </c:pt>
                <c:pt idx="4065">
                  <c:v>722.746</c:v>
                </c:pt>
                <c:pt idx="4066">
                  <c:v>722.9069999999994</c:v>
                </c:pt>
                <c:pt idx="4067">
                  <c:v>723.08</c:v>
                </c:pt>
                <c:pt idx="4068">
                  <c:v>723.261</c:v>
                </c:pt>
                <c:pt idx="4069">
                  <c:v>723.4479999999974</c:v>
                </c:pt>
                <c:pt idx="4070">
                  <c:v>723.635</c:v>
                </c:pt>
                <c:pt idx="4071">
                  <c:v>723.8129999999974</c:v>
                </c:pt>
                <c:pt idx="4072">
                  <c:v>723.993</c:v>
                </c:pt>
                <c:pt idx="4073">
                  <c:v>724.171</c:v>
                </c:pt>
                <c:pt idx="4074">
                  <c:v>724.3489999999994</c:v>
                </c:pt>
                <c:pt idx="4075">
                  <c:v>724.5309999999994</c:v>
                </c:pt>
                <c:pt idx="4076">
                  <c:v>724.722</c:v>
                </c:pt>
                <c:pt idx="4077">
                  <c:v>724.9169999999979</c:v>
                </c:pt>
                <c:pt idx="4078">
                  <c:v>725.1079999999994</c:v>
                </c:pt>
                <c:pt idx="4079">
                  <c:v>725.298</c:v>
                </c:pt>
                <c:pt idx="4080">
                  <c:v>725.4779999999994</c:v>
                </c:pt>
                <c:pt idx="4081">
                  <c:v>725.658</c:v>
                </c:pt>
                <c:pt idx="4082">
                  <c:v>725.8369999999974</c:v>
                </c:pt>
                <c:pt idx="4083">
                  <c:v>726.0219999999994</c:v>
                </c:pt>
                <c:pt idx="4084">
                  <c:v>726.217</c:v>
                </c:pt>
                <c:pt idx="4085">
                  <c:v>726.414</c:v>
                </c:pt>
                <c:pt idx="4086">
                  <c:v>726.605</c:v>
                </c:pt>
                <c:pt idx="4087">
                  <c:v>726.795</c:v>
                </c:pt>
                <c:pt idx="4088">
                  <c:v>726.9880000000001</c:v>
                </c:pt>
                <c:pt idx="4089">
                  <c:v>727.181</c:v>
                </c:pt>
                <c:pt idx="4090">
                  <c:v>727.374</c:v>
                </c:pt>
                <c:pt idx="4091">
                  <c:v>727.5619999999974</c:v>
                </c:pt>
                <c:pt idx="4092">
                  <c:v>727.75</c:v>
                </c:pt>
                <c:pt idx="4093">
                  <c:v>727.9329999999974</c:v>
                </c:pt>
                <c:pt idx="4094">
                  <c:v>728.12</c:v>
                </c:pt>
                <c:pt idx="4095">
                  <c:v>728.298</c:v>
                </c:pt>
                <c:pt idx="4096">
                  <c:v>728.4629999999925</c:v>
                </c:pt>
                <c:pt idx="4097">
                  <c:v>728.6269999999994</c:v>
                </c:pt>
                <c:pt idx="4098">
                  <c:v>728.798</c:v>
                </c:pt>
                <c:pt idx="4099">
                  <c:v>728.9669999999974</c:v>
                </c:pt>
                <c:pt idx="4100">
                  <c:v>729.143</c:v>
                </c:pt>
                <c:pt idx="4101">
                  <c:v>729.3209999999979</c:v>
                </c:pt>
                <c:pt idx="4102">
                  <c:v>729.505</c:v>
                </c:pt>
                <c:pt idx="4103">
                  <c:v>729.691</c:v>
                </c:pt>
                <c:pt idx="4104">
                  <c:v>729.8769999999994</c:v>
                </c:pt>
                <c:pt idx="4105">
                  <c:v>730.064</c:v>
                </c:pt>
                <c:pt idx="4106">
                  <c:v>730.243</c:v>
                </c:pt>
                <c:pt idx="4107">
                  <c:v>730.414</c:v>
                </c:pt>
                <c:pt idx="4108">
                  <c:v>730.58</c:v>
                </c:pt>
                <c:pt idx="4109">
                  <c:v>730.751</c:v>
                </c:pt>
                <c:pt idx="4110">
                  <c:v>730.9349999999994</c:v>
                </c:pt>
                <c:pt idx="4111">
                  <c:v>731.116</c:v>
                </c:pt>
                <c:pt idx="4112">
                  <c:v>731.3009999999994</c:v>
                </c:pt>
                <c:pt idx="4113">
                  <c:v>731.49</c:v>
                </c:pt>
                <c:pt idx="4114">
                  <c:v>731.671</c:v>
                </c:pt>
                <c:pt idx="4115">
                  <c:v>731.8469999999974</c:v>
                </c:pt>
                <c:pt idx="4116">
                  <c:v>732.013</c:v>
                </c:pt>
                <c:pt idx="4117">
                  <c:v>732.178</c:v>
                </c:pt>
                <c:pt idx="4118">
                  <c:v>732.3499999999979</c:v>
                </c:pt>
                <c:pt idx="4119">
                  <c:v>732.525</c:v>
                </c:pt>
                <c:pt idx="4120">
                  <c:v>732.704</c:v>
                </c:pt>
                <c:pt idx="4121">
                  <c:v>732.884</c:v>
                </c:pt>
                <c:pt idx="4122">
                  <c:v>733.0679999999974</c:v>
                </c:pt>
                <c:pt idx="4123">
                  <c:v>733.248</c:v>
                </c:pt>
                <c:pt idx="4124">
                  <c:v>733.4259999999994</c:v>
                </c:pt>
                <c:pt idx="4125">
                  <c:v>733.604</c:v>
                </c:pt>
                <c:pt idx="4126">
                  <c:v>733.79</c:v>
                </c:pt>
                <c:pt idx="4127">
                  <c:v>733.98</c:v>
                </c:pt>
                <c:pt idx="4128">
                  <c:v>734.1669999999979</c:v>
                </c:pt>
                <c:pt idx="4129">
                  <c:v>734.3519999999974</c:v>
                </c:pt>
                <c:pt idx="4130">
                  <c:v>734.5419999999979</c:v>
                </c:pt>
                <c:pt idx="4131">
                  <c:v>734.729</c:v>
                </c:pt>
                <c:pt idx="4132">
                  <c:v>734.899</c:v>
                </c:pt>
                <c:pt idx="4133">
                  <c:v>735.064</c:v>
                </c:pt>
                <c:pt idx="4134">
                  <c:v>735.236</c:v>
                </c:pt>
                <c:pt idx="4135">
                  <c:v>735.4069999999994</c:v>
                </c:pt>
                <c:pt idx="4136">
                  <c:v>735.59</c:v>
                </c:pt>
                <c:pt idx="4137">
                  <c:v>735.775</c:v>
                </c:pt>
                <c:pt idx="4138">
                  <c:v>735.9569999999974</c:v>
                </c:pt>
                <c:pt idx="4139">
                  <c:v>736.139</c:v>
                </c:pt>
                <c:pt idx="4140">
                  <c:v>736.3199999999994</c:v>
                </c:pt>
                <c:pt idx="4141">
                  <c:v>736.5019999999994</c:v>
                </c:pt>
                <c:pt idx="4142">
                  <c:v>736.689</c:v>
                </c:pt>
                <c:pt idx="4143">
                  <c:v>736.8669999999836</c:v>
                </c:pt>
                <c:pt idx="4144">
                  <c:v>737.0509999999994</c:v>
                </c:pt>
                <c:pt idx="4145">
                  <c:v>737.24</c:v>
                </c:pt>
                <c:pt idx="4146">
                  <c:v>737.4159999999994</c:v>
                </c:pt>
                <c:pt idx="4147">
                  <c:v>737.595</c:v>
                </c:pt>
                <c:pt idx="4148">
                  <c:v>737.7669999999994</c:v>
                </c:pt>
                <c:pt idx="4149">
                  <c:v>737.9419999999974</c:v>
                </c:pt>
                <c:pt idx="4150">
                  <c:v>738.111</c:v>
                </c:pt>
                <c:pt idx="4151">
                  <c:v>738.277</c:v>
                </c:pt>
                <c:pt idx="4152">
                  <c:v>738.4409999999979</c:v>
                </c:pt>
                <c:pt idx="4153">
                  <c:v>738.61</c:v>
                </c:pt>
                <c:pt idx="4154">
                  <c:v>738.785</c:v>
                </c:pt>
                <c:pt idx="4155">
                  <c:v>738.9589999999994</c:v>
                </c:pt>
                <c:pt idx="4156">
                  <c:v>739.13</c:v>
                </c:pt>
                <c:pt idx="4157">
                  <c:v>739.29</c:v>
                </c:pt>
                <c:pt idx="4158">
                  <c:v>739.4509999999979</c:v>
                </c:pt>
                <c:pt idx="4159">
                  <c:v>739.622</c:v>
                </c:pt>
                <c:pt idx="4160">
                  <c:v>739.793</c:v>
                </c:pt>
                <c:pt idx="4161">
                  <c:v>739.9629999999925</c:v>
                </c:pt>
                <c:pt idx="4162">
                  <c:v>740.1369999999994</c:v>
                </c:pt>
                <c:pt idx="4163">
                  <c:v>740.3169999999974</c:v>
                </c:pt>
                <c:pt idx="4164">
                  <c:v>740.496</c:v>
                </c:pt>
                <c:pt idx="4165">
                  <c:v>740.66</c:v>
                </c:pt>
                <c:pt idx="4166">
                  <c:v>740.824</c:v>
                </c:pt>
                <c:pt idx="4167">
                  <c:v>740.997</c:v>
                </c:pt>
                <c:pt idx="4168">
                  <c:v>741.17</c:v>
                </c:pt>
                <c:pt idx="4169">
                  <c:v>741.3379999999925</c:v>
                </c:pt>
                <c:pt idx="4170">
                  <c:v>741.51</c:v>
                </c:pt>
                <c:pt idx="4171">
                  <c:v>741.684</c:v>
                </c:pt>
                <c:pt idx="4172">
                  <c:v>741.8519999999974</c:v>
                </c:pt>
                <c:pt idx="4173">
                  <c:v>742.0219999999994</c:v>
                </c:pt>
                <c:pt idx="4174">
                  <c:v>742.192</c:v>
                </c:pt>
                <c:pt idx="4175">
                  <c:v>742.3679999999914</c:v>
                </c:pt>
                <c:pt idx="4176">
                  <c:v>742.548</c:v>
                </c:pt>
                <c:pt idx="4177">
                  <c:v>742.7279999999994</c:v>
                </c:pt>
                <c:pt idx="4178">
                  <c:v>742.9069999999994</c:v>
                </c:pt>
                <c:pt idx="4179">
                  <c:v>743.085</c:v>
                </c:pt>
                <c:pt idx="4180">
                  <c:v>743.264</c:v>
                </c:pt>
                <c:pt idx="4181">
                  <c:v>743.4409999999979</c:v>
                </c:pt>
                <c:pt idx="4182">
                  <c:v>743.61</c:v>
                </c:pt>
                <c:pt idx="4183">
                  <c:v>743.776</c:v>
                </c:pt>
                <c:pt idx="4184">
                  <c:v>743.9479999999974</c:v>
                </c:pt>
                <c:pt idx="4185">
                  <c:v>744.1269999999994</c:v>
                </c:pt>
                <c:pt idx="4186">
                  <c:v>744.3059999999994</c:v>
                </c:pt>
                <c:pt idx="4187">
                  <c:v>744.48</c:v>
                </c:pt>
                <c:pt idx="4188">
                  <c:v>744.659</c:v>
                </c:pt>
                <c:pt idx="4189">
                  <c:v>744.8289999999994</c:v>
                </c:pt>
                <c:pt idx="4190">
                  <c:v>744.995</c:v>
                </c:pt>
                <c:pt idx="4191">
                  <c:v>745.159</c:v>
                </c:pt>
                <c:pt idx="4192">
                  <c:v>745.3259999999979</c:v>
                </c:pt>
                <c:pt idx="4193">
                  <c:v>745.5</c:v>
                </c:pt>
                <c:pt idx="4194">
                  <c:v>745.678</c:v>
                </c:pt>
                <c:pt idx="4195">
                  <c:v>745.8559999999974</c:v>
                </c:pt>
                <c:pt idx="4196">
                  <c:v>746.0319999999994</c:v>
                </c:pt>
                <c:pt idx="4197">
                  <c:v>746.206</c:v>
                </c:pt>
                <c:pt idx="4198">
                  <c:v>746.372</c:v>
                </c:pt>
                <c:pt idx="4199">
                  <c:v>746.5409999999994</c:v>
                </c:pt>
                <c:pt idx="4200">
                  <c:v>746.696</c:v>
                </c:pt>
                <c:pt idx="4201">
                  <c:v>746.8449999999979</c:v>
                </c:pt>
                <c:pt idx="4202">
                  <c:v>746.997</c:v>
                </c:pt>
                <c:pt idx="4203">
                  <c:v>747.163</c:v>
                </c:pt>
                <c:pt idx="4204">
                  <c:v>747.3399999999979</c:v>
                </c:pt>
                <c:pt idx="4205">
                  <c:v>747.5169999999994</c:v>
                </c:pt>
                <c:pt idx="4206">
                  <c:v>747.69</c:v>
                </c:pt>
                <c:pt idx="4207">
                  <c:v>747.8649999999974</c:v>
                </c:pt>
                <c:pt idx="4208">
                  <c:v>748.043</c:v>
                </c:pt>
                <c:pt idx="4209">
                  <c:v>748.223</c:v>
                </c:pt>
                <c:pt idx="4210">
                  <c:v>748.399</c:v>
                </c:pt>
                <c:pt idx="4211">
                  <c:v>748.57</c:v>
                </c:pt>
                <c:pt idx="4212">
                  <c:v>748.739</c:v>
                </c:pt>
                <c:pt idx="4213">
                  <c:v>748.9069999999994</c:v>
                </c:pt>
                <c:pt idx="4214">
                  <c:v>749.0629999999974</c:v>
                </c:pt>
                <c:pt idx="4215">
                  <c:v>749.22</c:v>
                </c:pt>
                <c:pt idx="4216">
                  <c:v>749.378</c:v>
                </c:pt>
                <c:pt idx="4217">
                  <c:v>749.535</c:v>
                </c:pt>
                <c:pt idx="4218">
                  <c:v>749.694</c:v>
                </c:pt>
                <c:pt idx="4219">
                  <c:v>749.8559999999974</c:v>
                </c:pt>
                <c:pt idx="4220">
                  <c:v>750.0219999999994</c:v>
                </c:pt>
                <c:pt idx="4221">
                  <c:v>750.193</c:v>
                </c:pt>
                <c:pt idx="4222">
                  <c:v>750.3669999999836</c:v>
                </c:pt>
                <c:pt idx="4223">
                  <c:v>750.5309999999994</c:v>
                </c:pt>
                <c:pt idx="4224">
                  <c:v>750.692</c:v>
                </c:pt>
                <c:pt idx="4225">
                  <c:v>750.8569999999974</c:v>
                </c:pt>
                <c:pt idx="4226">
                  <c:v>751.0169999999994</c:v>
                </c:pt>
                <c:pt idx="4227">
                  <c:v>751.177</c:v>
                </c:pt>
                <c:pt idx="4228">
                  <c:v>751.3419999999974</c:v>
                </c:pt>
                <c:pt idx="4229">
                  <c:v>751.514</c:v>
                </c:pt>
                <c:pt idx="4230">
                  <c:v>751.679</c:v>
                </c:pt>
                <c:pt idx="4231">
                  <c:v>751.8359999999974</c:v>
                </c:pt>
                <c:pt idx="4232">
                  <c:v>751.998</c:v>
                </c:pt>
                <c:pt idx="4233">
                  <c:v>752.1619999999979</c:v>
                </c:pt>
                <c:pt idx="4234">
                  <c:v>752.3349999999979</c:v>
                </c:pt>
                <c:pt idx="4235">
                  <c:v>752.508</c:v>
                </c:pt>
                <c:pt idx="4236">
                  <c:v>752.674</c:v>
                </c:pt>
                <c:pt idx="4237">
                  <c:v>752.8409999999974</c:v>
                </c:pt>
                <c:pt idx="4238">
                  <c:v>752.999</c:v>
                </c:pt>
                <c:pt idx="4239">
                  <c:v>753.171</c:v>
                </c:pt>
                <c:pt idx="4240">
                  <c:v>753.3569999999974</c:v>
                </c:pt>
                <c:pt idx="4241">
                  <c:v>753.549</c:v>
                </c:pt>
                <c:pt idx="4242">
                  <c:v>753.74</c:v>
                </c:pt>
                <c:pt idx="4243">
                  <c:v>753.9319999999979</c:v>
                </c:pt>
                <c:pt idx="4244">
                  <c:v>754.122</c:v>
                </c:pt>
                <c:pt idx="4245">
                  <c:v>754.309</c:v>
                </c:pt>
                <c:pt idx="4246">
                  <c:v>754.493</c:v>
                </c:pt>
                <c:pt idx="4247">
                  <c:v>754.6659999999994</c:v>
                </c:pt>
                <c:pt idx="4248">
                  <c:v>754.8390000000001</c:v>
                </c:pt>
                <c:pt idx="4249">
                  <c:v>755.0119999999994</c:v>
                </c:pt>
                <c:pt idx="4250">
                  <c:v>755.179</c:v>
                </c:pt>
                <c:pt idx="4251">
                  <c:v>755.3469999999974</c:v>
                </c:pt>
                <c:pt idx="4252">
                  <c:v>755.515</c:v>
                </c:pt>
                <c:pt idx="4253">
                  <c:v>755.68</c:v>
                </c:pt>
                <c:pt idx="4254">
                  <c:v>755.8469999999974</c:v>
                </c:pt>
                <c:pt idx="4255">
                  <c:v>756.0169999999994</c:v>
                </c:pt>
                <c:pt idx="4256">
                  <c:v>756.192</c:v>
                </c:pt>
                <c:pt idx="4257">
                  <c:v>756.3669999999836</c:v>
                </c:pt>
                <c:pt idx="4258">
                  <c:v>756.5369999999979</c:v>
                </c:pt>
                <c:pt idx="4259">
                  <c:v>756.705</c:v>
                </c:pt>
                <c:pt idx="4260">
                  <c:v>756.871</c:v>
                </c:pt>
                <c:pt idx="4261">
                  <c:v>757.033</c:v>
                </c:pt>
                <c:pt idx="4262">
                  <c:v>757.208</c:v>
                </c:pt>
                <c:pt idx="4263">
                  <c:v>757.3869999999994</c:v>
                </c:pt>
                <c:pt idx="4264">
                  <c:v>757.5619999999974</c:v>
                </c:pt>
                <c:pt idx="4265">
                  <c:v>757.736</c:v>
                </c:pt>
                <c:pt idx="4266">
                  <c:v>757.91</c:v>
                </c:pt>
                <c:pt idx="4267">
                  <c:v>758.086</c:v>
                </c:pt>
                <c:pt idx="4268">
                  <c:v>758.261</c:v>
                </c:pt>
                <c:pt idx="4269">
                  <c:v>758.4309999999994</c:v>
                </c:pt>
                <c:pt idx="4270">
                  <c:v>758.6029999999994</c:v>
                </c:pt>
                <c:pt idx="4271">
                  <c:v>758.782</c:v>
                </c:pt>
                <c:pt idx="4272">
                  <c:v>758.9619999999974</c:v>
                </c:pt>
                <c:pt idx="4273">
                  <c:v>759.135</c:v>
                </c:pt>
                <c:pt idx="4274">
                  <c:v>759.3079999999974</c:v>
                </c:pt>
                <c:pt idx="4275">
                  <c:v>759.486</c:v>
                </c:pt>
                <c:pt idx="4276">
                  <c:v>759.6659999999994</c:v>
                </c:pt>
                <c:pt idx="4277">
                  <c:v>759.8359999999974</c:v>
                </c:pt>
                <c:pt idx="4278">
                  <c:v>760.001</c:v>
                </c:pt>
                <c:pt idx="4279">
                  <c:v>760.164</c:v>
                </c:pt>
                <c:pt idx="4280">
                  <c:v>760.3289999999994</c:v>
                </c:pt>
                <c:pt idx="4281">
                  <c:v>760.497</c:v>
                </c:pt>
                <c:pt idx="4282">
                  <c:v>760.672</c:v>
                </c:pt>
                <c:pt idx="4283">
                  <c:v>760.8459999999974</c:v>
                </c:pt>
                <c:pt idx="4284">
                  <c:v>761.019</c:v>
                </c:pt>
                <c:pt idx="4285">
                  <c:v>761.191</c:v>
                </c:pt>
                <c:pt idx="4286">
                  <c:v>761.3509999999974</c:v>
                </c:pt>
                <c:pt idx="4287">
                  <c:v>761.511</c:v>
                </c:pt>
                <c:pt idx="4288">
                  <c:v>761.68</c:v>
                </c:pt>
                <c:pt idx="4289">
                  <c:v>761.8549999999979</c:v>
                </c:pt>
                <c:pt idx="4290">
                  <c:v>762.0359999999994</c:v>
                </c:pt>
                <c:pt idx="4291">
                  <c:v>762.217</c:v>
                </c:pt>
                <c:pt idx="4292">
                  <c:v>762.386</c:v>
                </c:pt>
                <c:pt idx="4293">
                  <c:v>762.548</c:v>
                </c:pt>
                <c:pt idx="4294">
                  <c:v>762.702</c:v>
                </c:pt>
                <c:pt idx="4295">
                  <c:v>762.8609999999974</c:v>
                </c:pt>
                <c:pt idx="4296">
                  <c:v>763.029</c:v>
                </c:pt>
                <c:pt idx="4297">
                  <c:v>763.203</c:v>
                </c:pt>
                <c:pt idx="4298">
                  <c:v>763.3819999999994</c:v>
                </c:pt>
                <c:pt idx="4299">
                  <c:v>763.5549999999994</c:v>
                </c:pt>
                <c:pt idx="4300">
                  <c:v>763.723</c:v>
                </c:pt>
                <c:pt idx="4301">
                  <c:v>763.894</c:v>
                </c:pt>
                <c:pt idx="4302">
                  <c:v>764.0579999999974</c:v>
                </c:pt>
                <c:pt idx="4303">
                  <c:v>764.225</c:v>
                </c:pt>
                <c:pt idx="4304">
                  <c:v>764.3919999999994</c:v>
                </c:pt>
                <c:pt idx="4305">
                  <c:v>764.554</c:v>
                </c:pt>
                <c:pt idx="4306">
                  <c:v>764.717</c:v>
                </c:pt>
                <c:pt idx="4307">
                  <c:v>764.881</c:v>
                </c:pt>
                <c:pt idx="4308">
                  <c:v>765.053</c:v>
                </c:pt>
                <c:pt idx="4309">
                  <c:v>765.227</c:v>
                </c:pt>
                <c:pt idx="4310">
                  <c:v>765.3919999999994</c:v>
                </c:pt>
                <c:pt idx="4311">
                  <c:v>765.5569999999979</c:v>
                </c:pt>
                <c:pt idx="4312">
                  <c:v>765.725</c:v>
                </c:pt>
                <c:pt idx="4313">
                  <c:v>765.898</c:v>
                </c:pt>
                <c:pt idx="4314">
                  <c:v>766.078</c:v>
                </c:pt>
                <c:pt idx="4315">
                  <c:v>766.2519999999994</c:v>
                </c:pt>
                <c:pt idx="4316">
                  <c:v>766.4259999999994</c:v>
                </c:pt>
                <c:pt idx="4317">
                  <c:v>766.6</c:v>
                </c:pt>
                <c:pt idx="4318">
                  <c:v>766.778</c:v>
                </c:pt>
                <c:pt idx="4319">
                  <c:v>766.9569999999974</c:v>
                </c:pt>
                <c:pt idx="4320">
                  <c:v>767.136</c:v>
                </c:pt>
                <c:pt idx="4321">
                  <c:v>767.3149999999994</c:v>
                </c:pt>
                <c:pt idx="4322">
                  <c:v>767.491</c:v>
                </c:pt>
                <c:pt idx="4323">
                  <c:v>767.6659999999994</c:v>
                </c:pt>
                <c:pt idx="4324">
                  <c:v>767.8399999999979</c:v>
                </c:pt>
                <c:pt idx="4325">
                  <c:v>768.006</c:v>
                </c:pt>
                <c:pt idx="4326">
                  <c:v>768.172</c:v>
                </c:pt>
                <c:pt idx="4327">
                  <c:v>768.3289999999994</c:v>
                </c:pt>
                <c:pt idx="4328">
                  <c:v>768.489</c:v>
                </c:pt>
                <c:pt idx="4329">
                  <c:v>768.659</c:v>
                </c:pt>
                <c:pt idx="4330">
                  <c:v>768.8309999999979</c:v>
                </c:pt>
                <c:pt idx="4331">
                  <c:v>769.006</c:v>
                </c:pt>
                <c:pt idx="4332">
                  <c:v>769.191</c:v>
                </c:pt>
                <c:pt idx="4333">
                  <c:v>769.376</c:v>
                </c:pt>
                <c:pt idx="4334">
                  <c:v>769.5509999999994</c:v>
                </c:pt>
                <c:pt idx="4335">
                  <c:v>769.72</c:v>
                </c:pt>
                <c:pt idx="4336">
                  <c:v>769.89</c:v>
                </c:pt>
                <c:pt idx="4337">
                  <c:v>770.0569999999979</c:v>
                </c:pt>
                <c:pt idx="4338">
                  <c:v>770.218</c:v>
                </c:pt>
                <c:pt idx="4339">
                  <c:v>770.3769999999994</c:v>
                </c:pt>
                <c:pt idx="4340">
                  <c:v>770.535</c:v>
                </c:pt>
                <c:pt idx="4341">
                  <c:v>770.704</c:v>
                </c:pt>
                <c:pt idx="4342">
                  <c:v>770.876</c:v>
                </c:pt>
                <c:pt idx="4343">
                  <c:v>771.05</c:v>
                </c:pt>
                <c:pt idx="4344">
                  <c:v>771.226</c:v>
                </c:pt>
                <c:pt idx="4345">
                  <c:v>771.4069999999994</c:v>
                </c:pt>
                <c:pt idx="4346">
                  <c:v>771.5890000000001</c:v>
                </c:pt>
                <c:pt idx="4347">
                  <c:v>771.759</c:v>
                </c:pt>
                <c:pt idx="4348">
                  <c:v>771.9259999999994</c:v>
                </c:pt>
                <c:pt idx="4349">
                  <c:v>772.091</c:v>
                </c:pt>
                <c:pt idx="4350">
                  <c:v>772.263</c:v>
                </c:pt>
                <c:pt idx="4351">
                  <c:v>772.4349999999994</c:v>
                </c:pt>
                <c:pt idx="4352">
                  <c:v>772.604</c:v>
                </c:pt>
                <c:pt idx="4353">
                  <c:v>772.776</c:v>
                </c:pt>
                <c:pt idx="4354">
                  <c:v>772.9529999999974</c:v>
                </c:pt>
                <c:pt idx="4355">
                  <c:v>773.128</c:v>
                </c:pt>
                <c:pt idx="4356">
                  <c:v>773.294</c:v>
                </c:pt>
                <c:pt idx="4357">
                  <c:v>773.4509999999979</c:v>
                </c:pt>
                <c:pt idx="4358">
                  <c:v>773.609</c:v>
                </c:pt>
                <c:pt idx="4359">
                  <c:v>773.776</c:v>
                </c:pt>
                <c:pt idx="4360">
                  <c:v>773.9459999999979</c:v>
                </c:pt>
                <c:pt idx="4361">
                  <c:v>774.118</c:v>
                </c:pt>
                <c:pt idx="4362">
                  <c:v>774.295</c:v>
                </c:pt>
                <c:pt idx="4363">
                  <c:v>774.473</c:v>
                </c:pt>
                <c:pt idx="4364">
                  <c:v>774.6509999999994</c:v>
                </c:pt>
                <c:pt idx="4365">
                  <c:v>774.8289999999994</c:v>
                </c:pt>
                <c:pt idx="4366">
                  <c:v>775.001</c:v>
                </c:pt>
                <c:pt idx="4367">
                  <c:v>775.1659999999994</c:v>
                </c:pt>
                <c:pt idx="4368">
                  <c:v>775.3390000000001</c:v>
                </c:pt>
                <c:pt idx="4369">
                  <c:v>775.509</c:v>
                </c:pt>
                <c:pt idx="4370">
                  <c:v>775.677</c:v>
                </c:pt>
                <c:pt idx="4371">
                  <c:v>775.8489999999994</c:v>
                </c:pt>
                <c:pt idx="4372">
                  <c:v>776.02</c:v>
                </c:pt>
                <c:pt idx="4373">
                  <c:v>776.192</c:v>
                </c:pt>
                <c:pt idx="4374">
                  <c:v>776.3659999999974</c:v>
                </c:pt>
                <c:pt idx="4375">
                  <c:v>776.5469999999979</c:v>
                </c:pt>
                <c:pt idx="4376">
                  <c:v>776.723</c:v>
                </c:pt>
                <c:pt idx="4377">
                  <c:v>776.9</c:v>
                </c:pt>
                <c:pt idx="4378">
                  <c:v>777.076</c:v>
                </c:pt>
                <c:pt idx="4379">
                  <c:v>777.254</c:v>
                </c:pt>
                <c:pt idx="4380">
                  <c:v>777.4309999999994</c:v>
                </c:pt>
                <c:pt idx="4381">
                  <c:v>777.595</c:v>
                </c:pt>
                <c:pt idx="4382">
                  <c:v>777.751</c:v>
                </c:pt>
                <c:pt idx="4383">
                  <c:v>777.909</c:v>
                </c:pt>
                <c:pt idx="4384">
                  <c:v>778.074</c:v>
                </c:pt>
                <c:pt idx="4385">
                  <c:v>778.248</c:v>
                </c:pt>
                <c:pt idx="4386">
                  <c:v>778.4259999999994</c:v>
                </c:pt>
                <c:pt idx="4387">
                  <c:v>778.606</c:v>
                </c:pt>
                <c:pt idx="4388">
                  <c:v>778.782</c:v>
                </c:pt>
                <c:pt idx="4389">
                  <c:v>778.9509999999979</c:v>
                </c:pt>
                <c:pt idx="4390">
                  <c:v>779.124</c:v>
                </c:pt>
                <c:pt idx="4391">
                  <c:v>779.298</c:v>
                </c:pt>
                <c:pt idx="4392">
                  <c:v>779.477</c:v>
                </c:pt>
                <c:pt idx="4393">
                  <c:v>779.655</c:v>
                </c:pt>
                <c:pt idx="4394">
                  <c:v>779.8249999999994</c:v>
                </c:pt>
                <c:pt idx="4395">
                  <c:v>779.994</c:v>
                </c:pt>
                <c:pt idx="4396">
                  <c:v>780.1659999999994</c:v>
                </c:pt>
                <c:pt idx="4397">
                  <c:v>780.3369999999974</c:v>
                </c:pt>
                <c:pt idx="4398">
                  <c:v>780.504</c:v>
                </c:pt>
                <c:pt idx="4399">
                  <c:v>780.674</c:v>
                </c:pt>
                <c:pt idx="4400">
                  <c:v>780.8349999999979</c:v>
                </c:pt>
                <c:pt idx="4401">
                  <c:v>780.999</c:v>
                </c:pt>
                <c:pt idx="4402">
                  <c:v>781.1509999999994</c:v>
                </c:pt>
                <c:pt idx="4403">
                  <c:v>781.3079999999974</c:v>
                </c:pt>
                <c:pt idx="4404">
                  <c:v>781.473</c:v>
                </c:pt>
                <c:pt idx="4405">
                  <c:v>781.644</c:v>
                </c:pt>
                <c:pt idx="4406">
                  <c:v>781.8079999999974</c:v>
                </c:pt>
                <c:pt idx="4407">
                  <c:v>781.9629999999925</c:v>
                </c:pt>
                <c:pt idx="4408">
                  <c:v>782.126</c:v>
                </c:pt>
                <c:pt idx="4409">
                  <c:v>782.292</c:v>
                </c:pt>
                <c:pt idx="4410">
                  <c:v>782.4609999999974</c:v>
                </c:pt>
                <c:pt idx="4411">
                  <c:v>782.628</c:v>
                </c:pt>
                <c:pt idx="4412">
                  <c:v>782.798</c:v>
                </c:pt>
                <c:pt idx="4413">
                  <c:v>782.9679999999923</c:v>
                </c:pt>
                <c:pt idx="4414">
                  <c:v>783.133</c:v>
                </c:pt>
                <c:pt idx="4415">
                  <c:v>783.299</c:v>
                </c:pt>
                <c:pt idx="4416">
                  <c:v>783.4599999999979</c:v>
                </c:pt>
                <c:pt idx="4417">
                  <c:v>783.611</c:v>
                </c:pt>
                <c:pt idx="4418">
                  <c:v>783.764</c:v>
                </c:pt>
                <c:pt idx="4419">
                  <c:v>783.9159999999994</c:v>
                </c:pt>
                <c:pt idx="4420">
                  <c:v>784.0679999999974</c:v>
                </c:pt>
                <c:pt idx="4421">
                  <c:v>784.225</c:v>
                </c:pt>
                <c:pt idx="4422">
                  <c:v>784.389</c:v>
                </c:pt>
                <c:pt idx="4423">
                  <c:v>784.5599999999994</c:v>
                </c:pt>
                <c:pt idx="4424">
                  <c:v>784.734</c:v>
                </c:pt>
                <c:pt idx="4425">
                  <c:v>784.913</c:v>
                </c:pt>
                <c:pt idx="4426">
                  <c:v>785.095</c:v>
                </c:pt>
                <c:pt idx="4427">
                  <c:v>785.284</c:v>
                </c:pt>
                <c:pt idx="4428">
                  <c:v>785.4779999999994</c:v>
                </c:pt>
                <c:pt idx="4429">
                  <c:v>785.677</c:v>
                </c:pt>
                <c:pt idx="4430">
                  <c:v>785.87</c:v>
                </c:pt>
                <c:pt idx="4431">
                  <c:v>786.0519999999979</c:v>
                </c:pt>
                <c:pt idx="4432">
                  <c:v>786.231</c:v>
                </c:pt>
                <c:pt idx="4433">
                  <c:v>786.408</c:v>
                </c:pt>
                <c:pt idx="4434">
                  <c:v>786.5890000000001</c:v>
                </c:pt>
                <c:pt idx="4435">
                  <c:v>786.758</c:v>
                </c:pt>
                <c:pt idx="4436">
                  <c:v>786.929</c:v>
                </c:pt>
                <c:pt idx="4437">
                  <c:v>787.1029999999994</c:v>
                </c:pt>
                <c:pt idx="4438">
                  <c:v>787.278</c:v>
                </c:pt>
                <c:pt idx="4439">
                  <c:v>787.4509999999979</c:v>
                </c:pt>
                <c:pt idx="4440">
                  <c:v>787.621</c:v>
                </c:pt>
                <c:pt idx="4441">
                  <c:v>787.79</c:v>
                </c:pt>
                <c:pt idx="4442">
                  <c:v>787.9559999999979</c:v>
                </c:pt>
                <c:pt idx="4443">
                  <c:v>788.124</c:v>
                </c:pt>
                <c:pt idx="4444">
                  <c:v>788.298</c:v>
                </c:pt>
                <c:pt idx="4445">
                  <c:v>788.475</c:v>
                </c:pt>
                <c:pt idx="4446">
                  <c:v>788.643</c:v>
                </c:pt>
                <c:pt idx="4447">
                  <c:v>788.8079999999974</c:v>
                </c:pt>
                <c:pt idx="4448">
                  <c:v>788.973</c:v>
                </c:pt>
                <c:pt idx="4449">
                  <c:v>789.136</c:v>
                </c:pt>
                <c:pt idx="4450">
                  <c:v>789.3019999999979</c:v>
                </c:pt>
                <c:pt idx="4451">
                  <c:v>789.4649999999979</c:v>
                </c:pt>
                <c:pt idx="4452">
                  <c:v>789.623</c:v>
                </c:pt>
                <c:pt idx="4453">
                  <c:v>789.784</c:v>
                </c:pt>
                <c:pt idx="4454">
                  <c:v>789.949</c:v>
                </c:pt>
                <c:pt idx="4455">
                  <c:v>790.122</c:v>
                </c:pt>
                <c:pt idx="4456">
                  <c:v>790.3019999999979</c:v>
                </c:pt>
                <c:pt idx="4457">
                  <c:v>790.485</c:v>
                </c:pt>
                <c:pt idx="4458">
                  <c:v>790.663</c:v>
                </c:pt>
                <c:pt idx="4459">
                  <c:v>790.8399999999979</c:v>
                </c:pt>
                <c:pt idx="4460">
                  <c:v>791.02</c:v>
                </c:pt>
                <c:pt idx="4461">
                  <c:v>791.195</c:v>
                </c:pt>
                <c:pt idx="4462">
                  <c:v>791.3609999999974</c:v>
                </c:pt>
                <c:pt idx="4463">
                  <c:v>791.5269999999994</c:v>
                </c:pt>
                <c:pt idx="4464">
                  <c:v>791.696</c:v>
                </c:pt>
                <c:pt idx="4465">
                  <c:v>791.8669999999836</c:v>
                </c:pt>
                <c:pt idx="4466">
                  <c:v>792.039</c:v>
                </c:pt>
                <c:pt idx="4467">
                  <c:v>792.21</c:v>
                </c:pt>
                <c:pt idx="4468">
                  <c:v>792.384</c:v>
                </c:pt>
                <c:pt idx="4469">
                  <c:v>792.55</c:v>
                </c:pt>
                <c:pt idx="4470">
                  <c:v>792.717</c:v>
                </c:pt>
                <c:pt idx="4471">
                  <c:v>792.889</c:v>
                </c:pt>
                <c:pt idx="4472">
                  <c:v>793.0679999999974</c:v>
                </c:pt>
                <c:pt idx="4473">
                  <c:v>793.251</c:v>
                </c:pt>
                <c:pt idx="4474">
                  <c:v>793.428</c:v>
                </c:pt>
                <c:pt idx="4475">
                  <c:v>793.598</c:v>
                </c:pt>
                <c:pt idx="4476">
                  <c:v>793.769</c:v>
                </c:pt>
                <c:pt idx="4477">
                  <c:v>793.9329999999974</c:v>
                </c:pt>
                <c:pt idx="4478">
                  <c:v>794.088</c:v>
                </c:pt>
                <c:pt idx="4479">
                  <c:v>794.2519999999994</c:v>
                </c:pt>
                <c:pt idx="4480">
                  <c:v>794.423</c:v>
                </c:pt>
                <c:pt idx="4481">
                  <c:v>794.592</c:v>
                </c:pt>
                <c:pt idx="4482">
                  <c:v>794.7619999999994</c:v>
                </c:pt>
                <c:pt idx="4483">
                  <c:v>794.928</c:v>
                </c:pt>
                <c:pt idx="4484">
                  <c:v>795.095</c:v>
                </c:pt>
                <c:pt idx="4485">
                  <c:v>795.26</c:v>
                </c:pt>
                <c:pt idx="4486">
                  <c:v>795.428</c:v>
                </c:pt>
                <c:pt idx="4487">
                  <c:v>795.598</c:v>
                </c:pt>
                <c:pt idx="4488">
                  <c:v>795.774</c:v>
                </c:pt>
                <c:pt idx="4489">
                  <c:v>795.9509999999979</c:v>
                </c:pt>
                <c:pt idx="4490">
                  <c:v>796.128</c:v>
                </c:pt>
                <c:pt idx="4491">
                  <c:v>796.3079999999974</c:v>
                </c:pt>
                <c:pt idx="4492">
                  <c:v>796.492</c:v>
                </c:pt>
                <c:pt idx="4493">
                  <c:v>796.675</c:v>
                </c:pt>
                <c:pt idx="4494">
                  <c:v>796.8539999999994</c:v>
                </c:pt>
                <c:pt idx="4495">
                  <c:v>797.033</c:v>
                </c:pt>
                <c:pt idx="4496">
                  <c:v>797.205</c:v>
                </c:pt>
                <c:pt idx="4497">
                  <c:v>797.3689999999979</c:v>
                </c:pt>
                <c:pt idx="4498">
                  <c:v>797.5309999999994</c:v>
                </c:pt>
                <c:pt idx="4499">
                  <c:v>797.699</c:v>
                </c:pt>
                <c:pt idx="4500">
                  <c:v>797.87</c:v>
                </c:pt>
                <c:pt idx="4501">
                  <c:v>798.04</c:v>
                </c:pt>
                <c:pt idx="4502">
                  <c:v>798.211</c:v>
                </c:pt>
                <c:pt idx="4503">
                  <c:v>798.379</c:v>
                </c:pt>
                <c:pt idx="4504">
                  <c:v>798.548</c:v>
                </c:pt>
                <c:pt idx="4505">
                  <c:v>798.72</c:v>
                </c:pt>
                <c:pt idx="4506">
                  <c:v>798.8969999999994</c:v>
                </c:pt>
                <c:pt idx="4507">
                  <c:v>799.07</c:v>
                </c:pt>
                <c:pt idx="4508">
                  <c:v>799.236</c:v>
                </c:pt>
                <c:pt idx="4509">
                  <c:v>799.4019999999994</c:v>
                </c:pt>
                <c:pt idx="4510">
                  <c:v>799.5659999999979</c:v>
                </c:pt>
                <c:pt idx="4511">
                  <c:v>799.7380000000001</c:v>
                </c:pt>
                <c:pt idx="4512">
                  <c:v>799.9159999999994</c:v>
                </c:pt>
                <c:pt idx="4513">
                  <c:v>800.088</c:v>
                </c:pt>
                <c:pt idx="4514">
                  <c:v>800.249</c:v>
                </c:pt>
                <c:pt idx="4515">
                  <c:v>800.41</c:v>
                </c:pt>
                <c:pt idx="4516">
                  <c:v>800.5579999999974</c:v>
                </c:pt>
                <c:pt idx="4517">
                  <c:v>800.708</c:v>
                </c:pt>
                <c:pt idx="4518">
                  <c:v>800.8659999999974</c:v>
                </c:pt>
                <c:pt idx="4519">
                  <c:v>801.025</c:v>
                </c:pt>
                <c:pt idx="4520">
                  <c:v>801.189</c:v>
                </c:pt>
                <c:pt idx="4521">
                  <c:v>801.3509999999974</c:v>
                </c:pt>
                <c:pt idx="4522">
                  <c:v>801.5119999999994</c:v>
                </c:pt>
                <c:pt idx="4523">
                  <c:v>801.68</c:v>
                </c:pt>
                <c:pt idx="4524">
                  <c:v>801.8379999999925</c:v>
                </c:pt>
                <c:pt idx="4525">
                  <c:v>801.996</c:v>
                </c:pt>
                <c:pt idx="4526">
                  <c:v>802.159</c:v>
                </c:pt>
                <c:pt idx="4527">
                  <c:v>802.3229999999974</c:v>
                </c:pt>
                <c:pt idx="4528">
                  <c:v>802.493</c:v>
                </c:pt>
                <c:pt idx="4529">
                  <c:v>802.6659999999994</c:v>
                </c:pt>
                <c:pt idx="4530">
                  <c:v>802.8419999999974</c:v>
                </c:pt>
                <c:pt idx="4531">
                  <c:v>803.015</c:v>
                </c:pt>
                <c:pt idx="4532">
                  <c:v>803.187</c:v>
                </c:pt>
                <c:pt idx="4533">
                  <c:v>803.3579999999816</c:v>
                </c:pt>
                <c:pt idx="4534">
                  <c:v>803.5259999999994</c:v>
                </c:pt>
                <c:pt idx="4535">
                  <c:v>803.694</c:v>
                </c:pt>
                <c:pt idx="4536">
                  <c:v>803.8679999999914</c:v>
                </c:pt>
                <c:pt idx="4537">
                  <c:v>804.045</c:v>
                </c:pt>
                <c:pt idx="4538">
                  <c:v>804.223</c:v>
                </c:pt>
                <c:pt idx="4539">
                  <c:v>804.394</c:v>
                </c:pt>
                <c:pt idx="4540">
                  <c:v>804.5609999999979</c:v>
                </c:pt>
                <c:pt idx="4541">
                  <c:v>804.721</c:v>
                </c:pt>
                <c:pt idx="4542">
                  <c:v>804.872</c:v>
                </c:pt>
                <c:pt idx="4543">
                  <c:v>805.029</c:v>
                </c:pt>
                <c:pt idx="4544">
                  <c:v>805.182</c:v>
                </c:pt>
                <c:pt idx="4545">
                  <c:v>805.3409999999974</c:v>
                </c:pt>
                <c:pt idx="4546">
                  <c:v>805.505</c:v>
                </c:pt>
                <c:pt idx="4547">
                  <c:v>805.672</c:v>
                </c:pt>
                <c:pt idx="4548">
                  <c:v>805.8419999999974</c:v>
                </c:pt>
                <c:pt idx="4549">
                  <c:v>806.018</c:v>
                </c:pt>
                <c:pt idx="4550">
                  <c:v>806.198</c:v>
                </c:pt>
                <c:pt idx="4551">
                  <c:v>806.371</c:v>
                </c:pt>
                <c:pt idx="4552">
                  <c:v>806.5409999999994</c:v>
                </c:pt>
                <c:pt idx="4553">
                  <c:v>806.717</c:v>
                </c:pt>
                <c:pt idx="4554">
                  <c:v>806.885</c:v>
                </c:pt>
                <c:pt idx="4555">
                  <c:v>807.0459999999994</c:v>
                </c:pt>
                <c:pt idx="4556">
                  <c:v>807.216</c:v>
                </c:pt>
                <c:pt idx="4557">
                  <c:v>807.386</c:v>
                </c:pt>
                <c:pt idx="4558">
                  <c:v>807.549</c:v>
                </c:pt>
                <c:pt idx="4559">
                  <c:v>807.7140000000001</c:v>
                </c:pt>
                <c:pt idx="4560">
                  <c:v>807.8819999999994</c:v>
                </c:pt>
                <c:pt idx="4561">
                  <c:v>808.0519999999979</c:v>
                </c:pt>
                <c:pt idx="4562">
                  <c:v>808.22</c:v>
                </c:pt>
                <c:pt idx="4563">
                  <c:v>808.391</c:v>
                </c:pt>
                <c:pt idx="4564">
                  <c:v>808.5619999999974</c:v>
                </c:pt>
                <c:pt idx="4565">
                  <c:v>808.7279999999994</c:v>
                </c:pt>
                <c:pt idx="4566">
                  <c:v>808.896</c:v>
                </c:pt>
                <c:pt idx="4567">
                  <c:v>809.0649999999994</c:v>
                </c:pt>
                <c:pt idx="4568">
                  <c:v>809.235</c:v>
                </c:pt>
                <c:pt idx="4569">
                  <c:v>809.419</c:v>
                </c:pt>
                <c:pt idx="4570">
                  <c:v>809.6</c:v>
                </c:pt>
                <c:pt idx="4571">
                  <c:v>809.777</c:v>
                </c:pt>
                <c:pt idx="4572">
                  <c:v>809.9529999999974</c:v>
                </c:pt>
                <c:pt idx="4573">
                  <c:v>810.131</c:v>
                </c:pt>
                <c:pt idx="4574">
                  <c:v>810.3149999999994</c:v>
                </c:pt>
                <c:pt idx="4575">
                  <c:v>810.5019999999994</c:v>
                </c:pt>
                <c:pt idx="4576">
                  <c:v>810.69</c:v>
                </c:pt>
                <c:pt idx="4577">
                  <c:v>810.876</c:v>
                </c:pt>
                <c:pt idx="4578">
                  <c:v>811.0609999999979</c:v>
                </c:pt>
                <c:pt idx="4579">
                  <c:v>811.244</c:v>
                </c:pt>
                <c:pt idx="4580">
                  <c:v>811.4209999999994</c:v>
                </c:pt>
                <c:pt idx="4581">
                  <c:v>811.592</c:v>
                </c:pt>
                <c:pt idx="4582">
                  <c:v>811.765</c:v>
                </c:pt>
                <c:pt idx="4583">
                  <c:v>811.9419999999974</c:v>
                </c:pt>
                <c:pt idx="4584">
                  <c:v>812.119</c:v>
                </c:pt>
                <c:pt idx="4585">
                  <c:v>812.286</c:v>
                </c:pt>
                <c:pt idx="4586">
                  <c:v>812.4459999999979</c:v>
                </c:pt>
                <c:pt idx="4587">
                  <c:v>812.61</c:v>
                </c:pt>
                <c:pt idx="4588">
                  <c:v>812.773</c:v>
                </c:pt>
                <c:pt idx="4589">
                  <c:v>812.9209999999994</c:v>
                </c:pt>
                <c:pt idx="4590">
                  <c:v>813.0599999999994</c:v>
                </c:pt>
                <c:pt idx="4591">
                  <c:v>813.211</c:v>
                </c:pt>
                <c:pt idx="4592">
                  <c:v>813.373</c:v>
                </c:pt>
                <c:pt idx="4593">
                  <c:v>813.538</c:v>
                </c:pt>
                <c:pt idx="4594">
                  <c:v>813.711</c:v>
                </c:pt>
                <c:pt idx="4595">
                  <c:v>813.879</c:v>
                </c:pt>
                <c:pt idx="4596">
                  <c:v>814.048</c:v>
                </c:pt>
                <c:pt idx="4597">
                  <c:v>814.219</c:v>
                </c:pt>
                <c:pt idx="4598">
                  <c:v>814.3919999999994</c:v>
                </c:pt>
                <c:pt idx="4599">
                  <c:v>814.5629999999974</c:v>
                </c:pt>
                <c:pt idx="4600">
                  <c:v>814.725</c:v>
                </c:pt>
                <c:pt idx="4601">
                  <c:v>814.895</c:v>
                </c:pt>
                <c:pt idx="4602">
                  <c:v>815.0619999999974</c:v>
                </c:pt>
                <c:pt idx="4603">
                  <c:v>815.234</c:v>
                </c:pt>
                <c:pt idx="4604">
                  <c:v>815.413</c:v>
                </c:pt>
                <c:pt idx="4605">
                  <c:v>815.595</c:v>
                </c:pt>
                <c:pt idx="4606">
                  <c:v>815.77</c:v>
                </c:pt>
                <c:pt idx="4607">
                  <c:v>815.9409999999979</c:v>
                </c:pt>
                <c:pt idx="4608">
                  <c:v>816.109</c:v>
                </c:pt>
                <c:pt idx="4609">
                  <c:v>816.277</c:v>
                </c:pt>
                <c:pt idx="4610">
                  <c:v>816.4459999999979</c:v>
                </c:pt>
                <c:pt idx="4611">
                  <c:v>816.619</c:v>
                </c:pt>
                <c:pt idx="4612">
                  <c:v>816.788</c:v>
                </c:pt>
                <c:pt idx="4613">
                  <c:v>816.944</c:v>
                </c:pt>
                <c:pt idx="4614">
                  <c:v>817.1029999999994</c:v>
                </c:pt>
                <c:pt idx="4615">
                  <c:v>817.265</c:v>
                </c:pt>
                <c:pt idx="4616">
                  <c:v>817.4299999999994</c:v>
                </c:pt>
                <c:pt idx="4617">
                  <c:v>817.599</c:v>
                </c:pt>
                <c:pt idx="4618">
                  <c:v>817.781</c:v>
                </c:pt>
                <c:pt idx="4619">
                  <c:v>817.9669999999974</c:v>
                </c:pt>
                <c:pt idx="4620">
                  <c:v>818.153</c:v>
                </c:pt>
                <c:pt idx="4621">
                  <c:v>818.3379999999925</c:v>
                </c:pt>
                <c:pt idx="4622">
                  <c:v>818.5219999999994</c:v>
                </c:pt>
                <c:pt idx="4623">
                  <c:v>818.703</c:v>
                </c:pt>
                <c:pt idx="4624">
                  <c:v>818.881</c:v>
                </c:pt>
                <c:pt idx="4625">
                  <c:v>819.059</c:v>
                </c:pt>
                <c:pt idx="4626">
                  <c:v>819.224</c:v>
                </c:pt>
                <c:pt idx="4627">
                  <c:v>819.3819999999994</c:v>
                </c:pt>
                <c:pt idx="4628">
                  <c:v>819.5419999999979</c:v>
                </c:pt>
                <c:pt idx="4629">
                  <c:v>819.705</c:v>
                </c:pt>
                <c:pt idx="4630">
                  <c:v>819.8689999999979</c:v>
                </c:pt>
                <c:pt idx="4631">
                  <c:v>820.0259999999994</c:v>
                </c:pt>
                <c:pt idx="4632">
                  <c:v>820.184</c:v>
                </c:pt>
                <c:pt idx="4633">
                  <c:v>820.3339999999994</c:v>
                </c:pt>
                <c:pt idx="4634">
                  <c:v>820.482</c:v>
                </c:pt>
                <c:pt idx="4635">
                  <c:v>820.63</c:v>
                </c:pt>
                <c:pt idx="4636">
                  <c:v>820.781</c:v>
                </c:pt>
                <c:pt idx="4637">
                  <c:v>820.9399999999994</c:v>
                </c:pt>
                <c:pt idx="4638">
                  <c:v>821.107</c:v>
                </c:pt>
                <c:pt idx="4639">
                  <c:v>821.283</c:v>
                </c:pt>
                <c:pt idx="4640">
                  <c:v>821.4619999999974</c:v>
                </c:pt>
                <c:pt idx="4641">
                  <c:v>821.631</c:v>
                </c:pt>
                <c:pt idx="4642">
                  <c:v>821.8019999999979</c:v>
                </c:pt>
                <c:pt idx="4643">
                  <c:v>821.977</c:v>
                </c:pt>
                <c:pt idx="4644">
                  <c:v>822.144</c:v>
                </c:pt>
                <c:pt idx="4645">
                  <c:v>822.304</c:v>
                </c:pt>
                <c:pt idx="4646">
                  <c:v>822.47</c:v>
                </c:pt>
                <c:pt idx="4647">
                  <c:v>822.643</c:v>
                </c:pt>
                <c:pt idx="4648">
                  <c:v>822.824</c:v>
                </c:pt>
                <c:pt idx="4649">
                  <c:v>823.001</c:v>
                </c:pt>
                <c:pt idx="4650">
                  <c:v>823.174</c:v>
                </c:pt>
                <c:pt idx="4651">
                  <c:v>823.3390000000001</c:v>
                </c:pt>
                <c:pt idx="4652">
                  <c:v>823.499</c:v>
                </c:pt>
                <c:pt idx="4653">
                  <c:v>823.6619999999979</c:v>
                </c:pt>
                <c:pt idx="4654">
                  <c:v>823.8349999999979</c:v>
                </c:pt>
                <c:pt idx="4655">
                  <c:v>824.001</c:v>
                </c:pt>
                <c:pt idx="4656">
                  <c:v>824.1569999999994</c:v>
                </c:pt>
                <c:pt idx="4657">
                  <c:v>824.3169999999974</c:v>
                </c:pt>
                <c:pt idx="4658">
                  <c:v>824.479</c:v>
                </c:pt>
                <c:pt idx="4659">
                  <c:v>824.639</c:v>
                </c:pt>
                <c:pt idx="4660">
                  <c:v>824.804</c:v>
                </c:pt>
                <c:pt idx="4661">
                  <c:v>824.976</c:v>
                </c:pt>
                <c:pt idx="4662">
                  <c:v>825.148</c:v>
                </c:pt>
                <c:pt idx="4663">
                  <c:v>825.3169999999974</c:v>
                </c:pt>
                <c:pt idx="4664">
                  <c:v>825.485</c:v>
                </c:pt>
                <c:pt idx="4665">
                  <c:v>825.6419999999994</c:v>
                </c:pt>
                <c:pt idx="4666">
                  <c:v>825.8069999999979</c:v>
                </c:pt>
                <c:pt idx="4667">
                  <c:v>825.98</c:v>
                </c:pt>
                <c:pt idx="4668">
                  <c:v>826.153</c:v>
                </c:pt>
                <c:pt idx="4669">
                  <c:v>826.3249999999994</c:v>
                </c:pt>
                <c:pt idx="4670">
                  <c:v>826.497</c:v>
                </c:pt>
                <c:pt idx="4671">
                  <c:v>826.663</c:v>
                </c:pt>
                <c:pt idx="4672">
                  <c:v>826.8329999999974</c:v>
                </c:pt>
                <c:pt idx="4673">
                  <c:v>827.0</c:v>
                </c:pt>
                <c:pt idx="4674">
                  <c:v>827.168</c:v>
                </c:pt>
                <c:pt idx="4675">
                  <c:v>827.3299999999994</c:v>
                </c:pt>
                <c:pt idx="4676">
                  <c:v>827.495</c:v>
                </c:pt>
                <c:pt idx="4677">
                  <c:v>827.6669999999979</c:v>
                </c:pt>
                <c:pt idx="4678">
                  <c:v>827.8429999999923</c:v>
                </c:pt>
                <c:pt idx="4679">
                  <c:v>828.023</c:v>
                </c:pt>
                <c:pt idx="4680">
                  <c:v>828.203</c:v>
                </c:pt>
                <c:pt idx="4681">
                  <c:v>828.3769999999994</c:v>
                </c:pt>
                <c:pt idx="4682">
                  <c:v>828.5469999999979</c:v>
                </c:pt>
                <c:pt idx="4683">
                  <c:v>828.708</c:v>
                </c:pt>
                <c:pt idx="4684">
                  <c:v>828.873</c:v>
                </c:pt>
                <c:pt idx="4685">
                  <c:v>829.05</c:v>
                </c:pt>
                <c:pt idx="4686">
                  <c:v>829.229</c:v>
                </c:pt>
                <c:pt idx="4687">
                  <c:v>829.395</c:v>
                </c:pt>
                <c:pt idx="4688">
                  <c:v>829.5549999999994</c:v>
                </c:pt>
                <c:pt idx="4689">
                  <c:v>829.715</c:v>
                </c:pt>
                <c:pt idx="4690">
                  <c:v>829.87</c:v>
                </c:pt>
                <c:pt idx="4691">
                  <c:v>830.021</c:v>
                </c:pt>
                <c:pt idx="4692">
                  <c:v>830.171</c:v>
                </c:pt>
                <c:pt idx="4693">
                  <c:v>830.3229999999974</c:v>
                </c:pt>
                <c:pt idx="4694">
                  <c:v>830.4829999999994</c:v>
                </c:pt>
                <c:pt idx="4695">
                  <c:v>830.6469999999994</c:v>
                </c:pt>
                <c:pt idx="4696">
                  <c:v>830.814</c:v>
                </c:pt>
                <c:pt idx="4697">
                  <c:v>830.986</c:v>
                </c:pt>
                <c:pt idx="4698">
                  <c:v>831.163</c:v>
                </c:pt>
                <c:pt idx="4699">
                  <c:v>831.3319999999974</c:v>
                </c:pt>
                <c:pt idx="4700">
                  <c:v>831.494</c:v>
                </c:pt>
                <c:pt idx="4701">
                  <c:v>831.6519999999994</c:v>
                </c:pt>
                <c:pt idx="4702">
                  <c:v>831.799</c:v>
                </c:pt>
                <c:pt idx="4703">
                  <c:v>831.9539999999994</c:v>
                </c:pt>
                <c:pt idx="4704">
                  <c:v>832.117</c:v>
                </c:pt>
                <c:pt idx="4705">
                  <c:v>832.285</c:v>
                </c:pt>
                <c:pt idx="4706">
                  <c:v>832.4519999999974</c:v>
                </c:pt>
                <c:pt idx="4707">
                  <c:v>832.616</c:v>
                </c:pt>
                <c:pt idx="4708">
                  <c:v>832.786</c:v>
                </c:pt>
                <c:pt idx="4709">
                  <c:v>832.9499999999994</c:v>
                </c:pt>
                <c:pt idx="4710">
                  <c:v>833.121</c:v>
                </c:pt>
                <c:pt idx="4711">
                  <c:v>833.292</c:v>
                </c:pt>
                <c:pt idx="4712">
                  <c:v>833.4519999999974</c:v>
                </c:pt>
                <c:pt idx="4713">
                  <c:v>833.6130000000001</c:v>
                </c:pt>
                <c:pt idx="4714">
                  <c:v>833.778</c:v>
                </c:pt>
                <c:pt idx="4715">
                  <c:v>833.9429999999974</c:v>
                </c:pt>
                <c:pt idx="4716">
                  <c:v>834.1029999999994</c:v>
                </c:pt>
                <c:pt idx="4717">
                  <c:v>834.2569999999994</c:v>
                </c:pt>
                <c:pt idx="4718">
                  <c:v>834.419</c:v>
                </c:pt>
                <c:pt idx="4719">
                  <c:v>834.585</c:v>
                </c:pt>
                <c:pt idx="4720">
                  <c:v>834.753</c:v>
                </c:pt>
                <c:pt idx="4721">
                  <c:v>834.9249999999994</c:v>
                </c:pt>
                <c:pt idx="4722">
                  <c:v>835.097</c:v>
                </c:pt>
                <c:pt idx="4723">
                  <c:v>835.264</c:v>
                </c:pt>
                <c:pt idx="4724">
                  <c:v>835.429</c:v>
                </c:pt>
                <c:pt idx="4725">
                  <c:v>835.595</c:v>
                </c:pt>
                <c:pt idx="4726">
                  <c:v>835.759</c:v>
                </c:pt>
                <c:pt idx="4727">
                  <c:v>835.924</c:v>
                </c:pt>
                <c:pt idx="4728">
                  <c:v>836.097</c:v>
                </c:pt>
                <c:pt idx="4729">
                  <c:v>836.278</c:v>
                </c:pt>
                <c:pt idx="4730">
                  <c:v>836.4589999999994</c:v>
                </c:pt>
                <c:pt idx="4731">
                  <c:v>836.635</c:v>
                </c:pt>
                <c:pt idx="4732">
                  <c:v>836.8119999999974</c:v>
                </c:pt>
                <c:pt idx="4733">
                  <c:v>836.992</c:v>
                </c:pt>
                <c:pt idx="4734">
                  <c:v>837.159</c:v>
                </c:pt>
                <c:pt idx="4735">
                  <c:v>837.3229999999974</c:v>
                </c:pt>
                <c:pt idx="4736">
                  <c:v>837.485</c:v>
                </c:pt>
                <c:pt idx="4737">
                  <c:v>837.655</c:v>
                </c:pt>
                <c:pt idx="4738">
                  <c:v>837.8319999999974</c:v>
                </c:pt>
                <c:pt idx="4739">
                  <c:v>838.009</c:v>
                </c:pt>
                <c:pt idx="4740">
                  <c:v>838.183</c:v>
                </c:pt>
                <c:pt idx="4741">
                  <c:v>838.3499999999979</c:v>
                </c:pt>
                <c:pt idx="4742">
                  <c:v>838.515</c:v>
                </c:pt>
                <c:pt idx="4743">
                  <c:v>838.679</c:v>
                </c:pt>
                <c:pt idx="4744">
                  <c:v>838.8359999999974</c:v>
                </c:pt>
                <c:pt idx="4745">
                  <c:v>838.999</c:v>
                </c:pt>
                <c:pt idx="4746">
                  <c:v>839.173</c:v>
                </c:pt>
                <c:pt idx="4747">
                  <c:v>839.3489999999994</c:v>
                </c:pt>
                <c:pt idx="4748">
                  <c:v>839.524</c:v>
                </c:pt>
                <c:pt idx="4749">
                  <c:v>839.692</c:v>
                </c:pt>
                <c:pt idx="4750">
                  <c:v>839.8589999999994</c:v>
                </c:pt>
                <c:pt idx="4751">
                  <c:v>840.021</c:v>
                </c:pt>
                <c:pt idx="4752">
                  <c:v>840.182</c:v>
                </c:pt>
                <c:pt idx="4753">
                  <c:v>840.3489999999994</c:v>
                </c:pt>
                <c:pt idx="4754">
                  <c:v>840.5169999999994</c:v>
                </c:pt>
                <c:pt idx="4755">
                  <c:v>840.682</c:v>
                </c:pt>
                <c:pt idx="4756">
                  <c:v>840.8439999999994</c:v>
                </c:pt>
                <c:pt idx="4757">
                  <c:v>840.992</c:v>
                </c:pt>
                <c:pt idx="4758">
                  <c:v>841.148</c:v>
                </c:pt>
                <c:pt idx="4759">
                  <c:v>841.314</c:v>
                </c:pt>
                <c:pt idx="4760">
                  <c:v>841.484</c:v>
                </c:pt>
                <c:pt idx="4761">
                  <c:v>841.6569999999994</c:v>
                </c:pt>
                <c:pt idx="4762">
                  <c:v>841.8219999999974</c:v>
                </c:pt>
                <c:pt idx="4763">
                  <c:v>841.9829999999994</c:v>
                </c:pt>
                <c:pt idx="4764">
                  <c:v>842.1469999999994</c:v>
                </c:pt>
                <c:pt idx="4765">
                  <c:v>842.3169999999974</c:v>
                </c:pt>
                <c:pt idx="4766">
                  <c:v>842.491</c:v>
                </c:pt>
                <c:pt idx="4767">
                  <c:v>842.6669999999979</c:v>
                </c:pt>
                <c:pt idx="4768">
                  <c:v>842.8390000000001</c:v>
                </c:pt>
                <c:pt idx="4769">
                  <c:v>843.004</c:v>
                </c:pt>
                <c:pt idx="4770">
                  <c:v>843.175</c:v>
                </c:pt>
                <c:pt idx="4771">
                  <c:v>843.3429999999923</c:v>
                </c:pt>
                <c:pt idx="4772">
                  <c:v>843.515</c:v>
                </c:pt>
                <c:pt idx="4773">
                  <c:v>843.688</c:v>
                </c:pt>
                <c:pt idx="4774">
                  <c:v>843.8639999999979</c:v>
                </c:pt>
                <c:pt idx="4775">
                  <c:v>844.045</c:v>
                </c:pt>
                <c:pt idx="4776">
                  <c:v>844.225</c:v>
                </c:pt>
                <c:pt idx="4777">
                  <c:v>844.3969999999994</c:v>
                </c:pt>
                <c:pt idx="4778">
                  <c:v>844.5599999999994</c:v>
                </c:pt>
                <c:pt idx="4779">
                  <c:v>844.721</c:v>
                </c:pt>
                <c:pt idx="4780">
                  <c:v>844.883</c:v>
                </c:pt>
                <c:pt idx="4781">
                  <c:v>845.049</c:v>
                </c:pt>
                <c:pt idx="4782">
                  <c:v>845.21</c:v>
                </c:pt>
                <c:pt idx="4783">
                  <c:v>845.3619999999906</c:v>
                </c:pt>
                <c:pt idx="4784">
                  <c:v>845.5259999999994</c:v>
                </c:pt>
                <c:pt idx="4785">
                  <c:v>845.695</c:v>
                </c:pt>
                <c:pt idx="4786">
                  <c:v>845.8669999999836</c:v>
                </c:pt>
                <c:pt idx="4787">
                  <c:v>846.039</c:v>
                </c:pt>
                <c:pt idx="4788">
                  <c:v>846.209</c:v>
                </c:pt>
                <c:pt idx="4789">
                  <c:v>846.375</c:v>
                </c:pt>
                <c:pt idx="4790">
                  <c:v>846.544</c:v>
                </c:pt>
                <c:pt idx="4791">
                  <c:v>846.72</c:v>
                </c:pt>
                <c:pt idx="4792">
                  <c:v>846.896</c:v>
                </c:pt>
                <c:pt idx="4793">
                  <c:v>847.0619999999974</c:v>
                </c:pt>
                <c:pt idx="4794">
                  <c:v>847.23</c:v>
                </c:pt>
                <c:pt idx="4795">
                  <c:v>847.4069999999994</c:v>
                </c:pt>
                <c:pt idx="4796">
                  <c:v>847.579</c:v>
                </c:pt>
                <c:pt idx="4797">
                  <c:v>847.737</c:v>
                </c:pt>
                <c:pt idx="4798">
                  <c:v>847.903</c:v>
                </c:pt>
                <c:pt idx="4799">
                  <c:v>848.076</c:v>
                </c:pt>
                <c:pt idx="4800">
                  <c:v>848.247</c:v>
                </c:pt>
                <c:pt idx="4801">
                  <c:v>848.414</c:v>
                </c:pt>
                <c:pt idx="4802">
                  <c:v>848.57</c:v>
                </c:pt>
                <c:pt idx="4803">
                  <c:v>848.722</c:v>
                </c:pt>
                <c:pt idx="4804">
                  <c:v>848.876</c:v>
                </c:pt>
                <c:pt idx="4805">
                  <c:v>849.023</c:v>
                </c:pt>
                <c:pt idx="4806">
                  <c:v>849.178</c:v>
                </c:pt>
                <c:pt idx="4807">
                  <c:v>849.3429999999923</c:v>
                </c:pt>
                <c:pt idx="4808">
                  <c:v>849.5069999999994</c:v>
                </c:pt>
                <c:pt idx="4809">
                  <c:v>849.675</c:v>
                </c:pt>
                <c:pt idx="4810">
                  <c:v>849.8419999999974</c:v>
                </c:pt>
                <c:pt idx="4811">
                  <c:v>850.006</c:v>
                </c:pt>
                <c:pt idx="4812">
                  <c:v>850.173</c:v>
                </c:pt>
                <c:pt idx="4813">
                  <c:v>850.3469999999974</c:v>
                </c:pt>
                <c:pt idx="4814">
                  <c:v>850.523</c:v>
                </c:pt>
                <c:pt idx="4815">
                  <c:v>850.704</c:v>
                </c:pt>
                <c:pt idx="4816">
                  <c:v>850.8819999999994</c:v>
                </c:pt>
                <c:pt idx="4817">
                  <c:v>851.0559999999994</c:v>
                </c:pt>
                <c:pt idx="4818">
                  <c:v>851.221</c:v>
                </c:pt>
                <c:pt idx="4819">
                  <c:v>851.384</c:v>
                </c:pt>
                <c:pt idx="4820">
                  <c:v>851.55</c:v>
                </c:pt>
                <c:pt idx="4821">
                  <c:v>851.713</c:v>
                </c:pt>
                <c:pt idx="4822">
                  <c:v>851.872</c:v>
                </c:pt>
                <c:pt idx="4823">
                  <c:v>852.034</c:v>
                </c:pt>
                <c:pt idx="4824">
                  <c:v>852.201</c:v>
                </c:pt>
                <c:pt idx="4825">
                  <c:v>852.3659999999974</c:v>
                </c:pt>
                <c:pt idx="4826">
                  <c:v>852.534</c:v>
                </c:pt>
                <c:pt idx="4827">
                  <c:v>852.694</c:v>
                </c:pt>
                <c:pt idx="4828">
                  <c:v>852.8579999999816</c:v>
                </c:pt>
                <c:pt idx="4829">
                  <c:v>853.019</c:v>
                </c:pt>
                <c:pt idx="4830">
                  <c:v>853.179</c:v>
                </c:pt>
                <c:pt idx="4831">
                  <c:v>853.3409999999974</c:v>
                </c:pt>
                <c:pt idx="4832">
                  <c:v>853.503</c:v>
                </c:pt>
                <c:pt idx="4833">
                  <c:v>853.663</c:v>
                </c:pt>
                <c:pt idx="4834">
                  <c:v>853.8269999999974</c:v>
                </c:pt>
                <c:pt idx="4835">
                  <c:v>853.9880000000001</c:v>
                </c:pt>
                <c:pt idx="4836">
                  <c:v>854.149</c:v>
                </c:pt>
                <c:pt idx="4837">
                  <c:v>854.3069999999979</c:v>
                </c:pt>
                <c:pt idx="4838">
                  <c:v>854.474</c:v>
                </c:pt>
                <c:pt idx="4839">
                  <c:v>854.6419999999994</c:v>
                </c:pt>
                <c:pt idx="4840">
                  <c:v>854.8149999999994</c:v>
                </c:pt>
                <c:pt idx="4841">
                  <c:v>854.987</c:v>
                </c:pt>
                <c:pt idx="4842">
                  <c:v>855.1569999999994</c:v>
                </c:pt>
                <c:pt idx="4843">
                  <c:v>855.3329999999974</c:v>
                </c:pt>
                <c:pt idx="4844">
                  <c:v>855.509</c:v>
                </c:pt>
                <c:pt idx="4845">
                  <c:v>855.687</c:v>
                </c:pt>
                <c:pt idx="4846">
                  <c:v>855.8519999999974</c:v>
                </c:pt>
                <c:pt idx="4847">
                  <c:v>856.008</c:v>
                </c:pt>
                <c:pt idx="4848">
                  <c:v>856.155</c:v>
                </c:pt>
                <c:pt idx="4849">
                  <c:v>856.309</c:v>
                </c:pt>
                <c:pt idx="4850">
                  <c:v>856.4640000000001</c:v>
                </c:pt>
                <c:pt idx="4851">
                  <c:v>856.622</c:v>
                </c:pt>
                <c:pt idx="4852">
                  <c:v>856.782</c:v>
                </c:pt>
                <c:pt idx="4853">
                  <c:v>856.9429999999974</c:v>
                </c:pt>
                <c:pt idx="4854">
                  <c:v>857.106</c:v>
                </c:pt>
                <c:pt idx="4855">
                  <c:v>857.264</c:v>
                </c:pt>
                <c:pt idx="4856">
                  <c:v>857.4249999999994</c:v>
                </c:pt>
                <c:pt idx="4857">
                  <c:v>857.583</c:v>
                </c:pt>
                <c:pt idx="4858">
                  <c:v>857.736</c:v>
                </c:pt>
                <c:pt idx="4859">
                  <c:v>857.889</c:v>
                </c:pt>
                <c:pt idx="4860">
                  <c:v>858.049</c:v>
                </c:pt>
                <c:pt idx="4861">
                  <c:v>858.213</c:v>
                </c:pt>
                <c:pt idx="4862">
                  <c:v>858.3659999999974</c:v>
                </c:pt>
                <c:pt idx="4863">
                  <c:v>858.523</c:v>
                </c:pt>
                <c:pt idx="4864">
                  <c:v>858.69</c:v>
                </c:pt>
                <c:pt idx="4865">
                  <c:v>858.8559999999974</c:v>
                </c:pt>
                <c:pt idx="4866">
                  <c:v>859.024</c:v>
                </c:pt>
                <c:pt idx="4867">
                  <c:v>859.196</c:v>
                </c:pt>
                <c:pt idx="4868">
                  <c:v>859.3579999999816</c:v>
                </c:pt>
                <c:pt idx="4869">
                  <c:v>859.521</c:v>
                </c:pt>
                <c:pt idx="4870">
                  <c:v>859.686</c:v>
                </c:pt>
                <c:pt idx="4871">
                  <c:v>859.8529999999918</c:v>
                </c:pt>
                <c:pt idx="4872">
                  <c:v>860.024</c:v>
                </c:pt>
                <c:pt idx="4873">
                  <c:v>860.198</c:v>
                </c:pt>
                <c:pt idx="4874">
                  <c:v>860.373</c:v>
                </c:pt>
                <c:pt idx="4875">
                  <c:v>860.549</c:v>
                </c:pt>
                <c:pt idx="4876">
                  <c:v>860.725</c:v>
                </c:pt>
                <c:pt idx="4877">
                  <c:v>860.9009999999994</c:v>
                </c:pt>
                <c:pt idx="4878">
                  <c:v>861.076</c:v>
                </c:pt>
                <c:pt idx="4879">
                  <c:v>861.249</c:v>
                </c:pt>
                <c:pt idx="4880">
                  <c:v>861.4249999999994</c:v>
                </c:pt>
                <c:pt idx="4881">
                  <c:v>861.609</c:v>
                </c:pt>
                <c:pt idx="4882">
                  <c:v>861.789</c:v>
                </c:pt>
                <c:pt idx="4883">
                  <c:v>861.9539999999994</c:v>
                </c:pt>
                <c:pt idx="4884">
                  <c:v>862.111</c:v>
                </c:pt>
                <c:pt idx="4885">
                  <c:v>862.274</c:v>
                </c:pt>
                <c:pt idx="4886">
                  <c:v>862.4429999999974</c:v>
                </c:pt>
                <c:pt idx="4887">
                  <c:v>862.612</c:v>
                </c:pt>
                <c:pt idx="4888">
                  <c:v>862.782</c:v>
                </c:pt>
                <c:pt idx="4889">
                  <c:v>862.9589999999994</c:v>
                </c:pt>
                <c:pt idx="4890">
                  <c:v>863.134</c:v>
                </c:pt>
                <c:pt idx="4891">
                  <c:v>863.3129999999974</c:v>
                </c:pt>
                <c:pt idx="4892">
                  <c:v>863.492</c:v>
                </c:pt>
                <c:pt idx="4893">
                  <c:v>863.6659999999994</c:v>
                </c:pt>
                <c:pt idx="4894">
                  <c:v>863.8359999999974</c:v>
                </c:pt>
                <c:pt idx="4895">
                  <c:v>864.009</c:v>
                </c:pt>
                <c:pt idx="4896">
                  <c:v>864.189</c:v>
                </c:pt>
                <c:pt idx="4897">
                  <c:v>864.3630000000001</c:v>
                </c:pt>
                <c:pt idx="4898">
                  <c:v>864.5319999999994</c:v>
                </c:pt>
                <c:pt idx="4899">
                  <c:v>864.701</c:v>
                </c:pt>
                <c:pt idx="4900">
                  <c:v>864.875</c:v>
                </c:pt>
                <c:pt idx="4901">
                  <c:v>865.05</c:v>
                </c:pt>
                <c:pt idx="4902">
                  <c:v>865.226</c:v>
                </c:pt>
                <c:pt idx="4903">
                  <c:v>865.396</c:v>
                </c:pt>
                <c:pt idx="4904">
                  <c:v>865.57</c:v>
                </c:pt>
                <c:pt idx="4905">
                  <c:v>865.745</c:v>
                </c:pt>
                <c:pt idx="4906">
                  <c:v>865.913</c:v>
                </c:pt>
                <c:pt idx="4907">
                  <c:v>866.076</c:v>
                </c:pt>
                <c:pt idx="4908">
                  <c:v>866.237</c:v>
                </c:pt>
                <c:pt idx="4909">
                  <c:v>866.4059999999994</c:v>
                </c:pt>
                <c:pt idx="4910">
                  <c:v>866.577</c:v>
                </c:pt>
                <c:pt idx="4911">
                  <c:v>866.75</c:v>
                </c:pt>
                <c:pt idx="4912">
                  <c:v>866.924</c:v>
                </c:pt>
                <c:pt idx="4913">
                  <c:v>867.097</c:v>
                </c:pt>
                <c:pt idx="4914">
                  <c:v>867.265</c:v>
                </c:pt>
                <c:pt idx="4915">
                  <c:v>867.4259999999994</c:v>
                </c:pt>
                <c:pt idx="4916">
                  <c:v>867.5890000000001</c:v>
                </c:pt>
                <c:pt idx="4917">
                  <c:v>867.751</c:v>
                </c:pt>
                <c:pt idx="4918">
                  <c:v>867.918</c:v>
                </c:pt>
                <c:pt idx="4919">
                  <c:v>868.086</c:v>
                </c:pt>
                <c:pt idx="4920">
                  <c:v>868.2569999999994</c:v>
                </c:pt>
                <c:pt idx="4921">
                  <c:v>868.429</c:v>
                </c:pt>
                <c:pt idx="4922">
                  <c:v>868.606</c:v>
                </c:pt>
                <c:pt idx="4923">
                  <c:v>868.778</c:v>
                </c:pt>
                <c:pt idx="4924">
                  <c:v>868.9379999999974</c:v>
                </c:pt>
                <c:pt idx="4925">
                  <c:v>869.096</c:v>
                </c:pt>
                <c:pt idx="4926">
                  <c:v>869.26</c:v>
                </c:pt>
                <c:pt idx="4927">
                  <c:v>869.4249999999994</c:v>
                </c:pt>
                <c:pt idx="4928">
                  <c:v>869.59</c:v>
                </c:pt>
                <c:pt idx="4929">
                  <c:v>869.7519999999994</c:v>
                </c:pt>
                <c:pt idx="4930">
                  <c:v>869.91</c:v>
                </c:pt>
                <c:pt idx="4931">
                  <c:v>870.071</c:v>
                </c:pt>
                <c:pt idx="4932">
                  <c:v>870.2279999999994</c:v>
                </c:pt>
                <c:pt idx="4933">
                  <c:v>870.3769999999994</c:v>
                </c:pt>
                <c:pt idx="4934">
                  <c:v>870.538</c:v>
                </c:pt>
                <c:pt idx="4935">
                  <c:v>870.708</c:v>
                </c:pt>
                <c:pt idx="4936">
                  <c:v>870.8769999999994</c:v>
                </c:pt>
                <c:pt idx="4937">
                  <c:v>871.049</c:v>
                </c:pt>
                <c:pt idx="4938">
                  <c:v>871.213</c:v>
                </c:pt>
                <c:pt idx="4939">
                  <c:v>871.375</c:v>
                </c:pt>
                <c:pt idx="4940">
                  <c:v>871.538</c:v>
                </c:pt>
                <c:pt idx="4941">
                  <c:v>871.702</c:v>
                </c:pt>
                <c:pt idx="4942">
                  <c:v>871.8689999999979</c:v>
                </c:pt>
                <c:pt idx="4943">
                  <c:v>872.035</c:v>
                </c:pt>
                <c:pt idx="4944">
                  <c:v>872.196</c:v>
                </c:pt>
                <c:pt idx="4945">
                  <c:v>872.3549999999979</c:v>
                </c:pt>
                <c:pt idx="4946">
                  <c:v>872.511</c:v>
                </c:pt>
                <c:pt idx="4947">
                  <c:v>872.675</c:v>
                </c:pt>
                <c:pt idx="4948">
                  <c:v>872.8469999999974</c:v>
                </c:pt>
                <c:pt idx="4949">
                  <c:v>873.02</c:v>
                </c:pt>
                <c:pt idx="4950">
                  <c:v>873.199</c:v>
                </c:pt>
                <c:pt idx="4951">
                  <c:v>873.378</c:v>
                </c:pt>
                <c:pt idx="4952">
                  <c:v>873.5569999999979</c:v>
                </c:pt>
                <c:pt idx="4953">
                  <c:v>873.74</c:v>
                </c:pt>
                <c:pt idx="4954">
                  <c:v>873.9169999999979</c:v>
                </c:pt>
                <c:pt idx="4955">
                  <c:v>874.085</c:v>
                </c:pt>
                <c:pt idx="4956">
                  <c:v>874.239</c:v>
                </c:pt>
                <c:pt idx="4957">
                  <c:v>874.396</c:v>
                </c:pt>
                <c:pt idx="4958">
                  <c:v>874.5559999999994</c:v>
                </c:pt>
                <c:pt idx="4959">
                  <c:v>874.717</c:v>
                </c:pt>
                <c:pt idx="4960">
                  <c:v>874.881</c:v>
                </c:pt>
                <c:pt idx="4961">
                  <c:v>875.045</c:v>
                </c:pt>
                <c:pt idx="4962">
                  <c:v>875.209</c:v>
                </c:pt>
                <c:pt idx="4963">
                  <c:v>875.3609999999974</c:v>
                </c:pt>
                <c:pt idx="4964">
                  <c:v>875.5219999999994</c:v>
                </c:pt>
                <c:pt idx="4965">
                  <c:v>875.689</c:v>
                </c:pt>
                <c:pt idx="4966">
                  <c:v>875.8619999999906</c:v>
                </c:pt>
                <c:pt idx="4967">
                  <c:v>876.038</c:v>
                </c:pt>
                <c:pt idx="4968">
                  <c:v>876.212</c:v>
                </c:pt>
                <c:pt idx="4969">
                  <c:v>876.379</c:v>
                </c:pt>
                <c:pt idx="4970">
                  <c:v>876.55</c:v>
                </c:pt>
                <c:pt idx="4971">
                  <c:v>876.72</c:v>
                </c:pt>
                <c:pt idx="4972">
                  <c:v>876.888</c:v>
                </c:pt>
                <c:pt idx="4973">
                  <c:v>877.049</c:v>
                </c:pt>
                <c:pt idx="4974">
                  <c:v>877.208</c:v>
                </c:pt>
                <c:pt idx="4975">
                  <c:v>877.3769999999994</c:v>
                </c:pt>
                <c:pt idx="4976">
                  <c:v>877.5459999999994</c:v>
                </c:pt>
                <c:pt idx="4977">
                  <c:v>877.7140000000001</c:v>
                </c:pt>
                <c:pt idx="4978">
                  <c:v>877.885</c:v>
                </c:pt>
                <c:pt idx="4979">
                  <c:v>878.045</c:v>
                </c:pt>
                <c:pt idx="4980">
                  <c:v>878.201</c:v>
                </c:pt>
                <c:pt idx="4981">
                  <c:v>878.3609999999974</c:v>
                </c:pt>
                <c:pt idx="4982">
                  <c:v>878.525</c:v>
                </c:pt>
                <c:pt idx="4983">
                  <c:v>878.689</c:v>
                </c:pt>
                <c:pt idx="4984">
                  <c:v>878.8549999999979</c:v>
                </c:pt>
                <c:pt idx="4985">
                  <c:v>879.029</c:v>
                </c:pt>
                <c:pt idx="4986">
                  <c:v>879.207</c:v>
                </c:pt>
                <c:pt idx="4987">
                  <c:v>879.381</c:v>
                </c:pt>
                <c:pt idx="4988">
                  <c:v>879.545</c:v>
                </c:pt>
                <c:pt idx="4989">
                  <c:v>879.707</c:v>
                </c:pt>
                <c:pt idx="4990">
                  <c:v>879.87</c:v>
                </c:pt>
                <c:pt idx="4991">
                  <c:v>880.035</c:v>
                </c:pt>
                <c:pt idx="4992">
                  <c:v>880.202</c:v>
                </c:pt>
                <c:pt idx="4993">
                  <c:v>880.372</c:v>
                </c:pt>
                <c:pt idx="4994">
                  <c:v>880.55</c:v>
                </c:pt>
                <c:pt idx="4995">
                  <c:v>880.73</c:v>
                </c:pt>
                <c:pt idx="4996">
                  <c:v>880.9019999999994</c:v>
                </c:pt>
                <c:pt idx="4997">
                  <c:v>881.07</c:v>
                </c:pt>
                <c:pt idx="4998">
                  <c:v>881.242</c:v>
                </c:pt>
                <c:pt idx="4999">
                  <c:v>881.4109999999994</c:v>
                </c:pt>
                <c:pt idx="5000">
                  <c:v>881.577</c:v>
                </c:pt>
                <c:pt idx="5001">
                  <c:v>881.746</c:v>
                </c:pt>
                <c:pt idx="5002">
                  <c:v>881.9159999999994</c:v>
                </c:pt>
                <c:pt idx="5003">
                  <c:v>882.079</c:v>
                </c:pt>
                <c:pt idx="5004">
                  <c:v>882.242</c:v>
                </c:pt>
                <c:pt idx="5005">
                  <c:v>882.4069999999994</c:v>
                </c:pt>
                <c:pt idx="5006">
                  <c:v>882.569</c:v>
                </c:pt>
                <c:pt idx="5007">
                  <c:v>882.736</c:v>
                </c:pt>
                <c:pt idx="5008">
                  <c:v>882.9</c:v>
                </c:pt>
                <c:pt idx="5009">
                  <c:v>883.073</c:v>
                </c:pt>
                <c:pt idx="5010">
                  <c:v>883.255</c:v>
                </c:pt>
                <c:pt idx="5011">
                  <c:v>883.4399999999994</c:v>
                </c:pt>
                <c:pt idx="5012">
                  <c:v>883.616</c:v>
                </c:pt>
                <c:pt idx="5013">
                  <c:v>883.784</c:v>
                </c:pt>
                <c:pt idx="5014">
                  <c:v>883.9559999999979</c:v>
                </c:pt>
                <c:pt idx="5015">
                  <c:v>884.133</c:v>
                </c:pt>
                <c:pt idx="5016">
                  <c:v>884.3059999999994</c:v>
                </c:pt>
                <c:pt idx="5017">
                  <c:v>884.477</c:v>
                </c:pt>
                <c:pt idx="5018">
                  <c:v>884.6469999999994</c:v>
                </c:pt>
                <c:pt idx="5019">
                  <c:v>884.8129999999974</c:v>
                </c:pt>
                <c:pt idx="5020">
                  <c:v>884.9779999999994</c:v>
                </c:pt>
                <c:pt idx="5021">
                  <c:v>885.148</c:v>
                </c:pt>
                <c:pt idx="5022">
                  <c:v>885.3079999999974</c:v>
                </c:pt>
                <c:pt idx="5023">
                  <c:v>885.4640000000001</c:v>
                </c:pt>
                <c:pt idx="5024">
                  <c:v>885.6319999999994</c:v>
                </c:pt>
                <c:pt idx="5025">
                  <c:v>885.8009999999994</c:v>
                </c:pt>
                <c:pt idx="5026">
                  <c:v>885.9649999999979</c:v>
                </c:pt>
                <c:pt idx="5027">
                  <c:v>886.138</c:v>
                </c:pt>
                <c:pt idx="5028">
                  <c:v>886.314</c:v>
                </c:pt>
                <c:pt idx="5029">
                  <c:v>886.491</c:v>
                </c:pt>
                <c:pt idx="5030">
                  <c:v>886.6609999999994</c:v>
                </c:pt>
                <c:pt idx="5031">
                  <c:v>886.8349999999979</c:v>
                </c:pt>
                <c:pt idx="5032">
                  <c:v>887.009</c:v>
                </c:pt>
                <c:pt idx="5033">
                  <c:v>887.184</c:v>
                </c:pt>
                <c:pt idx="5034">
                  <c:v>887.3529999999918</c:v>
                </c:pt>
                <c:pt idx="5035">
                  <c:v>887.519</c:v>
                </c:pt>
                <c:pt idx="5036">
                  <c:v>887.677</c:v>
                </c:pt>
                <c:pt idx="5037">
                  <c:v>887.8339999999994</c:v>
                </c:pt>
                <c:pt idx="5038">
                  <c:v>887.991</c:v>
                </c:pt>
                <c:pt idx="5039">
                  <c:v>888.1469999999994</c:v>
                </c:pt>
                <c:pt idx="5040">
                  <c:v>888.314</c:v>
                </c:pt>
                <c:pt idx="5041">
                  <c:v>888.4880000000001</c:v>
                </c:pt>
                <c:pt idx="5042">
                  <c:v>888.653</c:v>
                </c:pt>
                <c:pt idx="5043">
                  <c:v>888.8099999999994</c:v>
                </c:pt>
                <c:pt idx="5044">
                  <c:v>888.972</c:v>
                </c:pt>
                <c:pt idx="5045">
                  <c:v>889.138</c:v>
                </c:pt>
                <c:pt idx="5046">
                  <c:v>889.3049999999994</c:v>
                </c:pt>
                <c:pt idx="5047">
                  <c:v>889.48</c:v>
                </c:pt>
                <c:pt idx="5048">
                  <c:v>889.66</c:v>
                </c:pt>
                <c:pt idx="5049">
                  <c:v>889.8339999999994</c:v>
                </c:pt>
                <c:pt idx="5050">
                  <c:v>890.004</c:v>
                </c:pt>
                <c:pt idx="5051">
                  <c:v>890.176</c:v>
                </c:pt>
                <c:pt idx="5052">
                  <c:v>890.3459999999974</c:v>
                </c:pt>
                <c:pt idx="5053">
                  <c:v>890.516</c:v>
                </c:pt>
                <c:pt idx="5054">
                  <c:v>890.694</c:v>
                </c:pt>
                <c:pt idx="5055">
                  <c:v>890.8679999999914</c:v>
                </c:pt>
                <c:pt idx="5056">
                  <c:v>891.043</c:v>
                </c:pt>
                <c:pt idx="5057">
                  <c:v>891.22</c:v>
                </c:pt>
                <c:pt idx="5058">
                  <c:v>891.385</c:v>
                </c:pt>
                <c:pt idx="5059">
                  <c:v>891.544</c:v>
                </c:pt>
                <c:pt idx="5060">
                  <c:v>891.701</c:v>
                </c:pt>
                <c:pt idx="5061">
                  <c:v>891.8599999999974</c:v>
                </c:pt>
                <c:pt idx="5062">
                  <c:v>892.023</c:v>
                </c:pt>
                <c:pt idx="5063">
                  <c:v>892.187</c:v>
                </c:pt>
                <c:pt idx="5064">
                  <c:v>892.3539999999994</c:v>
                </c:pt>
                <c:pt idx="5065">
                  <c:v>892.51</c:v>
                </c:pt>
                <c:pt idx="5066">
                  <c:v>892.664</c:v>
                </c:pt>
                <c:pt idx="5067">
                  <c:v>892.8299999999994</c:v>
                </c:pt>
                <c:pt idx="5068">
                  <c:v>893.008</c:v>
                </c:pt>
                <c:pt idx="5069">
                  <c:v>893.183</c:v>
                </c:pt>
                <c:pt idx="5070">
                  <c:v>893.3519999999974</c:v>
                </c:pt>
                <c:pt idx="5071">
                  <c:v>893.524</c:v>
                </c:pt>
                <c:pt idx="5072">
                  <c:v>893.691</c:v>
                </c:pt>
                <c:pt idx="5073">
                  <c:v>893.8549999999979</c:v>
                </c:pt>
                <c:pt idx="5074">
                  <c:v>894.025</c:v>
                </c:pt>
                <c:pt idx="5075">
                  <c:v>894.202</c:v>
                </c:pt>
                <c:pt idx="5076">
                  <c:v>894.38</c:v>
                </c:pt>
                <c:pt idx="5077">
                  <c:v>894.553</c:v>
                </c:pt>
                <c:pt idx="5078">
                  <c:v>894.719</c:v>
                </c:pt>
                <c:pt idx="5079">
                  <c:v>894.879</c:v>
                </c:pt>
                <c:pt idx="5080">
                  <c:v>895.0509999999994</c:v>
                </c:pt>
                <c:pt idx="5081">
                  <c:v>895.22</c:v>
                </c:pt>
                <c:pt idx="5082">
                  <c:v>895.383</c:v>
                </c:pt>
                <c:pt idx="5083">
                  <c:v>895.5459999999994</c:v>
                </c:pt>
                <c:pt idx="5084">
                  <c:v>895.711</c:v>
                </c:pt>
                <c:pt idx="5085">
                  <c:v>895.878</c:v>
                </c:pt>
                <c:pt idx="5086">
                  <c:v>896.049</c:v>
                </c:pt>
                <c:pt idx="5087">
                  <c:v>896.221</c:v>
                </c:pt>
                <c:pt idx="5088">
                  <c:v>896.396</c:v>
                </c:pt>
                <c:pt idx="5089">
                  <c:v>896.5609999999979</c:v>
                </c:pt>
                <c:pt idx="5090">
                  <c:v>896.727</c:v>
                </c:pt>
                <c:pt idx="5091">
                  <c:v>896.891</c:v>
                </c:pt>
                <c:pt idx="5092">
                  <c:v>897.0559999999994</c:v>
                </c:pt>
                <c:pt idx="5093">
                  <c:v>897.221</c:v>
                </c:pt>
                <c:pt idx="5094">
                  <c:v>897.3819999999994</c:v>
                </c:pt>
                <c:pt idx="5095">
                  <c:v>897.5459999999994</c:v>
                </c:pt>
                <c:pt idx="5096">
                  <c:v>897.718</c:v>
                </c:pt>
                <c:pt idx="5097">
                  <c:v>897.8869999999994</c:v>
                </c:pt>
                <c:pt idx="5098">
                  <c:v>898.053</c:v>
                </c:pt>
                <c:pt idx="5099">
                  <c:v>898.2279999999994</c:v>
                </c:pt>
                <c:pt idx="5100">
                  <c:v>898.396</c:v>
                </c:pt>
                <c:pt idx="5101">
                  <c:v>898.5579999999974</c:v>
                </c:pt>
                <c:pt idx="5102">
                  <c:v>898.731</c:v>
                </c:pt>
                <c:pt idx="5103">
                  <c:v>898.9119999999979</c:v>
                </c:pt>
                <c:pt idx="5104">
                  <c:v>899.092</c:v>
                </c:pt>
                <c:pt idx="5105">
                  <c:v>899.27</c:v>
                </c:pt>
                <c:pt idx="5106">
                  <c:v>899.4399999999994</c:v>
                </c:pt>
                <c:pt idx="5107">
                  <c:v>899.601</c:v>
                </c:pt>
                <c:pt idx="5108">
                  <c:v>899.758</c:v>
                </c:pt>
                <c:pt idx="5109">
                  <c:v>899.914</c:v>
                </c:pt>
                <c:pt idx="5110">
                  <c:v>900.0609999999979</c:v>
                </c:pt>
                <c:pt idx="5111">
                  <c:v>900.222</c:v>
                </c:pt>
                <c:pt idx="5112">
                  <c:v>900.396</c:v>
                </c:pt>
                <c:pt idx="5113">
                  <c:v>900.5649999999994</c:v>
                </c:pt>
                <c:pt idx="5114">
                  <c:v>900.7279999999994</c:v>
                </c:pt>
                <c:pt idx="5115">
                  <c:v>900.885</c:v>
                </c:pt>
                <c:pt idx="5116">
                  <c:v>901.0469999999979</c:v>
                </c:pt>
                <c:pt idx="5117">
                  <c:v>901.205</c:v>
                </c:pt>
                <c:pt idx="5118">
                  <c:v>901.3599999999974</c:v>
                </c:pt>
                <c:pt idx="5119">
                  <c:v>901.524</c:v>
                </c:pt>
                <c:pt idx="5120">
                  <c:v>901.693</c:v>
                </c:pt>
                <c:pt idx="5121">
                  <c:v>901.8539999999994</c:v>
                </c:pt>
                <c:pt idx="5122">
                  <c:v>902.02</c:v>
                </c:pt>
                <c:pt idx="5123">
                  <c:v>902.191</c:v>
                </c:pt>
                <c:pt idx="5124">
                  <c:v>902.3619999999906</c:v>
                </c:pt>
                <c:pt idx="5125">
                  <c:v>902.5419999999979</c:v>
                </c:pt>
                <c:pt idx="5126">
                  <c:v>902.722</c:v>
                </c:pt>
                <c:pt idx="5127">
                  <c:v>902.9019999999994</c:v>
                </c:pt>
                <c:pt idx="5128">
                  <c:v>903.081</c:v>
                </c:pt>
                <c:pt idx="5129">
                  <c:v>903.256</c:v>
                </c:pt>
                <c:pt idx="5130">
                  <c:v>903.4319999999979</c:v>
                </c:pt>
                <c:pt idx="5131">
                  <c:v>903.6130000000001</c:v>
                </c:pt>
                <c:pt idx="5132">
                  <c:v>903.797</c:v>
                </c:pt>
                <c:pt idx="5133">
                  <c:v>903.979</c:v>
                </c:pt>
                <c:pt idx="5134">
                  <c:v>904.1569999999994</c:v>
                </c:pt>
                <c:pt idx="5135">
                  <c:v>904.3329999999974</c:v>
                </c:pt>
                <c:pt idx="5136">
                  <c:v>904.501</c:v>
                </c:pt>
                <c:pt idx="5137">
                  <c:v>904.668</c:v>
                </c:pt>
                <c:pt idx="5138">
                  <c:v>904.8419999999974</c:v>
                </c:pt>
                <c:pt idx="5139">
                  <c:v>905.0169999999994</c:v>
                </c:pt>
                <c:pt idx="5140">
                  <c:v>905.189</c:v>
                </c:pt>
                <c:pt idx="5141">
                  <c:v>905.3659999999974</c:v>
                </c:pt>
                <c:pt idx="5142">
                  <c:v>905.5419999999979</c:v>
                </c:pt>
                <c:pt idx="5143">
                  <c:v>905.711</c:v>
                </c:pt>
                <c:pt idx="5144">
                  <c:v>905.876</c:v>
                </c:pt>
                <c:pt idx="5145">
                  <c:v>906.04</c:v>
                </c:pt>
                <c:pt idx="5146">
                  <c:v>906.197</c:v>
                </c:pt>
                <c:pt idx="5147">
                  <c:v>906.3499999999979</c:v>
                </c:pt>
                <c:pt idx="5148">
                  <c:v>906.509</c:v>
                </c:pt>
                <c:pt idx="5149">
                  <c:v>906.67</c:v>
                </c:pt>
                <c:pt idx="5150">
                  <c:v>906.8359999999974</c:v>
                </c:pt>
                <c:pt idx="5151">
                  <c:v>907.0</c:v>
                </c:pt>
                <c:pt idx="5152">
                  <c:v>907.1619999999979</c:v>
                </c:pt>
                <c:pt idx="5153">
                  <c:v>907.3279999999974</c:v>
                </c:pt>
                <c:pt idx="5154">
                  <c:v>907.501</c:v>
                </c:pt>
                <c:pt idx="5155">
                  <c:v>907.679</c:v>
                </c:pt>
                <c:pt idx="5156">
                  <c:v>907.8529999999918</c:v>
                </c:pt>
                <c:pt idx="5157">
                  <c:v>908.025</c:v>
                </c:pt>
                <c:pt idx="5158">
                  <c:v>908.192</c:v>
                </c:pt>
                <c:pt idx="5159">
                  <c:v>908.3529999999918</c:v>
                </c:pt>
                <c:pt idx="5160">
                  <c:v>908.519</c:v>
                </c:pt>
              </c:numCache>
            </c:numRef>
          </c:xVal>
          <c:yVal>
            <c:numRef>
              <c:f>[2]Sheet1!$B$6:$B$5166</c:f>
              <c:numCache>
                <c:formatCode>General</c:formatCode>
                <c:ptCount val="5161"/>
                <c:pt idx="0">
                  <c:v>99.99981</c:v>
                </c:pt>
                <c:pt idx="1">
                  <c:v>100.0005</c:v>
                </c:pt>
                <c:pt idx="2">
                  <c:v>100.0015</c:v>
                </c:pt>
                <c:pt idx="3">
                  <c:v>100.0018</c:v>
                </c:pt>
                <c:pt idx="4">
                  <c:v>100.0017</c:v>
                </c:pt>
                <c:pt idx="5">
                  <c:v>100.0014</c:v>
                </c:pt>
                <c:pt idx="6">
                  <c:v>100.0009</c:v>
                </c:pt>
                <c:pt idx="7">
                  <c:v>99.99994</c:v>
                </c:pt>
                <c:pt idx="8">
                  <c:v>99.99886</c:v>
                </c:pt>
                <c:pt idx="9">
                  <c:v>99.99792</c:v>
                </c:pt>
                <c:pt idx="10">
                  <c:v>99.99664</c:v>
                </c:pt>
                <c:pt idx="11">
                  <c:v>99.99533</c:v>
                </c:pt>
                <c:pt idx="12">
                  <c:v>99.99423</c:v>
                </c:pt>
                <c:pt idx="13">
                  <c:v>99.99281</c:v>
                </c:pt>
                <c:pt idx="14">
                  <c:v>99.9913</c:v>
                </c:pt>
                <c:pt idx="15">
                  <c:v>99.99005</c:v>
                </c:pt>
                <c:pt idx="16">
                  <c:v>99.98866</c:v>
                </c:pt>
                <c:pt idx="17">
                  <c:v>99.98717</c:v>
                </c:pt>
                <c:pt idx="18">
                  <c:v>99.98576999999997</c:v>
                </c:pt>
                <c:pt idx="19">
                  <c:v>99.98442</c:v>
                </c:pt>
                <c:pt idx="20">
                  <c:v>99.98283</c:v>
                </c:pt>
                <c:pt idx="21">
                  <c:v>99.98129</c:v>
                </c:pt>
                <c:pt idx="22">
                  <c:v>99.97978999999998</c:v>
                </c:pt>
                <c:pt idx="23">
                  <c:v>99.97813</c:v>
                </c:pt>
                <c:pt idx="24">
                  <c:v>99.97641</c:v>
                </c:pt>
                <c:pt idx="25">
                  <c:v>99.97489</c:v>
                </c:pt>
                <c:pt idx="26">
                  <c:v>99.97331</c:v>
                </c:pt>
                <c:pt idx="27">
                  <c:v>99.97157</c:v>
                </c:pt>
                <c:pt idx="28">
                  <c:v>99.97012</c:v>
                </c:pt>
                <c:pt idx="29">
                  <c:v>99.96827</c:v>
                </c:pt>
                <c:pt idx="30">
                  <c:v>99.96631</c:v>
                </c:pt>
                <c:pt idx="31">
                  <c:v>99.96461</c:v>
                </c:pt>
                <c:pt idx="32">
                  <c:v>99.96295</c:v>
                </c:pt>
                <c:pt idx="33">
                  <c:v>99.96162</c:v>
                </c:pt>
                <c:pt idx="34">
                  <c:v>99.95992</c:v>
                </c:pt>
                <c:pt idx="35">
                  <c:v>99.95811</c:v>
                </c:pt>
                <c:pt idx="36">
                  <c:v>99.95624</c:v>
                </c:pt>
                <c:pt idx="37">
                  <c:v>99.95421</c:v>
                </c:pt>
                <c:pt idx="38">
                  <c:v>99.95228</c:v>
                </c:pt>
                <c:pt idx="39">
                  <c:v>99.95049</c:v>
                </c:pt>
                <c:pt idx="40">
                  <c:v>99.9485</c:v>
                </c:pt>
                <c:pt idx="41">
                  <c:v>99.94634</c:v>
                </c:pt>
                <c:pt idx="42">
                  <c:v>99.94426</c:v>
                </c:pt>
                <c:pt idx="43">
                  <c:v>99.94218</c:v>
                </c:pt>
                <c:pt idx="44">
                  <c:v>99.94013</c:v>
                </c:pt>
                <c:pt idx="45">
                  <c:v>99.93813</c:v>
                </c:pt>
                <c:pt idx="46">
                  <c:v>99.9362</c:v>
                </c:pt>
                <c:pt idx="47">
                  <c:v>99.93419</c:v>
                </c:pt>
                <c:pt idx="48">
                  <c:v>99.93224</c:v>
                </c:pt>
                <c:pt idx="49">
                  <c:v>99.93032</c:v>
                </c:pt>
                <c:pt idx="50">
                  <c:v>99.92812</c:v>
                </c:pt>
                <c:pt idx="51">
                  <c:v>99.926</c:v>
                </c:pt>
                <c:pt idx="52">
                  <c:v>99.92384</c:v>
                </c:pt>
                <c:pt idx="53">
                  <c:v>99.92173</c:v>
                </c:pt>
                <c:pt idx="54">
                  <c:v>99.91942</c:v>
                </c:pt>
                <c:pt idx="55">
                  <c:v>99.91697</c:v>
                </c:pt>
                <c:pt idx="56">
                  <c:v>99.91471</c:v>
                </c:pt>
                <c:pt idx="57">
                  <c:v>99.91261</c:v>
                </c:pt>
                <c:pt idx="58">
                  <c:v>99.91045</c:v>
                </c:pt>
                <c:pt idx="59">
                  <c:v>99.90833</c:v>
                </c:pt>
                <c:pt idx="60">
                  <c:v>99.90601</c:v>
                </c:pt>
                <c:pt idx="61">
                  <c:v>99.90372</c:v>
                </c:pt>
                <c:pt idx="62">
                  <c:v>99.90135</c:v>
                </c:pt>
                <c:pt idx="63">
                  <c:v>99.89903</c:v>
                </c:pt>
                <c:pt idx="64">
                  <c:v>99.89668</c:v>
                </c:pt>
                <c:pt idx="65">
                  <c:v>99.89438</c:v>
                </c:pt>
                <c:pt idx="66">
                  <c:v>99.89197</c:v>
                </c:pt>
                <c:pt idx="67">
                  <c:v>99.88941</c:v>
                </c:pt>
                <c:pt idx="68">
                  <c:v>99.88693999999998</c:v>
                </c:pt>
                <c:pt idx="69">
                  <c:v>99.88455</c:v>
                </c:pt>
                <c:pt idx="70">
                  <c:v>99.88203999999975</c:v>
                </c:pt>
                <c:pt idx="71">
                  <c:v>99.87950999999998</c:v>
                </c:pt>
                <c:pt idx="72">
                  <c:v>99.87701</c:v>
                </c:pt>
                <c:pt idx="73">
                  <c:v>99.87447999999995</c:v>
                </c:pt>
                <c:pt idx="74">
                  <c:v>99.87200999999965</c:v>
                </c:pt>
                <c:pt idx="75">
                  <c:v>99.86947999999998</c:v>
                </c:pt>
                <c:pt idx="76">
                  <c:v>99.86687999999998</c:v>
                </c:pt>
                <c:pt idx="77">
                  <c:v>99.86426</c:v>
                </c:pt>
                <c:pt idx="78">
                  <c:v>99.86171</c:v>
                </c:pt>
                <c:pt idx="79">
                  <c:v>99.85908999999998</c:v>
                </c:pt>
                <c:pt idx="80">
                  <c:v>99.85653999999998</c:v>
                </c:pt>
                <c:pt idx="81">
                  <c:v>99.85393999999998</c:v>
                </c:pt>
                <c:pt idx="82">
                  <c:v>99.85122</c:v>
                </c:pt>
                <c:pt idx="83">
                  <c:v>99.84858</c:v>
                </c:pt>
                <c:pt idx="84">
                  <c:v>99.84597</c:v>
                </c:pt>
                <c:pt idx="85">
                  <c:v>99.84325</c:v>
                </c:pt>
                <c:pt idx="86">
                  <c:v>99.84055</c:v>
                </c:pt>
                <c:pt idx="87">
                  <c:v>99.83783</c:v>
                </c:pt>
                <c:pt idx="88">
                  <c:v>99.83503999999998</c:v>
                </c:pt>
                <c:pt idx="89">
                  <c:v>99.83229999999997</c:v>
                </c:pt>
                <c:pt idx="90">
                  <c:v>99.82949999999998</c:v>
                </c:pt>
                <c:pt idx="91">
                  <c:v>99.82667</c:v>
                </c:pt>
                <c:pt idx="92">
                  <c:v>99.82391</c:v>
                </c:pt>
                <c:pt idx="93">
                  <c:v>99.82107</c:v>
                </c:pt>
                <c:pt idx="94">
                  <c:v>99.81822</c:v>
                </c:pt>
                <c:pt idx="95">
                  <c:v>99.81537999999995</c:v>
                </c:pt>
                <c:pt idx="96">
                  <c:v>99.81257</c:v>
                </c:pt>
                <c:pt idx="97">
                  <c:v>99.80970999999998</c:v>
                </c:pt>
                <c:pt idx="98">
                  <c:v>99.80683999999998</c:v>
                </c:pt>
                <c:pt idx="99">
                  <c:v>99.80399</c:v>
                </c:pt>
                <c:pt idx="100">
                  <c:v>99.80105</c:v>
                </c:pt>
                <c:pt idx="101">
                  <c:v>99.79816</c:v>
                </c:pt>
                <c:pt idx="102">
                  <c:v>99.79529</c:v>
                </c:pt>
                <c:pt idx="103">
                  <c:v>99.79243</c:v>
                </c:pt>
                <c:pt idx="104">
                  <c:v>99.78944</c:v>
                </c:pt>
                <c:pt idx="105">
                  <c:v>99.78647</c:v>
                </c:pt>
                <c:pt idx="106">
                  <c:v>99.78343</c:v>
                </c:pt>
                <c:pt idx="107">
                  <c:v>99.7804</c:v>
                </c:pt>
                <c:pt idx="108">
                  <c:v>99.77731</c:v>
                </c:pt>
                <c:pt idx="109">
                  <c:v>99.77423</c:v>
                </c:pt>
                <c:pt idx="110">
                  <c:v>99.77116</c:v>
                </c:pt>
                <c:pt idx="111">
                  <c:v>99.76807</c:v>
                </c:pt>
                <c:pt idx="112">
                  <c:v>99.76499</c:v>
                </c:pt>
                <c:pt idx="113">
                  <c:v>99.76196</c:v>
                </c:pt>
                <c:pt idx="114">
                  <c:v>99.75897</c:v>
                </c:pt>
                <c:pt idx="115">
                  <c:v>99.75607999999998</c:v>
                </c:pt>
                <c:pt idx="116">
                  <c:v>99.75307</c:v>
                </c:pt>
                <c:pt idx="117">
                  <c:v>99.74994</c:v>
                </c:pt>
                <c:pt idx="118">
                  <c:v>99.74684</c:v>
                </c:pt>
                <c:pt idx="119">
                  <c:v>99.74366</c:v>
                </c:pt>
                <c:pt idx="120">
                  <c:v>99.74059</c:v>
                </c:pt>
                <c:pt idx="121">
                  <c:v>99.73743</c:v>
                </c:pt>
                <c:pt idx="122">
                  <c:v>99.73424</c:v>
                </c:pt>
                <c:pt idx="123">
                  <c:v>99.73108</c:v>
                </c:pt>
                <c:pt idx="124">
                  <c:v>99.72786</c:v>
                </c:pt>
                <c:pt idx="125">
                  <c:v>99.72470000000001</c:v>
                </c:pt>
                <c:pt idx="126">
                  <c:v>99.72153</c:v>
                </c:pt>
                <c:pt idx="127">
                  <c:v>99.71833</c:v>
                </c:pt>
                <c:pt idx="128">
                  <c:v>99.71511</c:v>
                </c:pt>
                <c:pt idx="129">
                  <c:v>99.71187</c:v>
                </c:pt>
                <c:pt idx="130">
                  <c:v>99.70863000000001</c:v>
                </c:pt>
                <c:pt idx="131">
                  <c:v>99.70551</c:v>
                </c:pt>
                <c:pt idx="132">
                  <c:v>99.70239999999998</c:v>
                </c:pt>
                <c:pt idx="133">
                  <c:v>99.69914</c:v>
                </c:pt>
                <c:pt idx="134">
                  <c:v>99.69574999999985</c:v>
                </c:pt>
                <c:pt idx="135">
                  <c:v>99.69248999999998</c:v>
                </c:pt>
                <c:pt idx="136">
                  <c:v>99.68891999999998</c:v>
                </c:pt>
                <c:pt idx="137">
                  <c:v>99.68536999999998</c:v>
                </c:pt>
                <c:pt idx="138">
                  <c:v>99.68202999999998</c:v>
                </c:pt>
                <c:pt idx="139">
                  <c:v>99.6787899999981</c:v>
                </c:pt>
                <c:pt idx="140">
                  <c:v>99.67558999999908</c:v>
                </c:pt>
                <c:pt idx="141">
                  <c:v>99.67211999999998</c:v>
                </c:pt>
                <c:pt idx="142">
                  <c:v>99.66883999999965</c:v>
                </c:pt>
                <c:pt idx="143">
                  <c:v>99.6656</c:v>
                </c:pt>
                <c:pt idx="144">
                  <c:v>99.66223</c:v>
                </c:pt>
                <c:pt idx="145">
                  <c:v>99.65871999999958</c:v>
                </c:pt>
                <c:pt idx="146">
                  <c:v>99.65545999999995</c:v>
                </c:pt>
                <c:pt idx="147">
                  <c:v>99.65228999999998</c:v>
                </c:pt>
                <c:pt idx="148">
                  <c:v>99.64893999999998</c:v>
                </c:pt>
                <c:pt idx="149">
                  <c:v>99.64553999999998</c:v>
                </c:pt>
                <c:pt idx="150">
                  <c:v>99.64213</c:v>
                </c:pt>
                <c:pt idx="151">
                  <c:v>99.63853999999998</c:v>
                </c:pt>
                <c:pt idx="152">
                  <c:v>99.63497</c:v>
                </c:pt>
                <c:pt idx="153">
                  <c:v>99.63135</c:v>
                </c:pt>
                <c:pt idx="154">
                  <c:v>99.62791</c:v>
                </c:pt>
                <c:pt idx="155">
                  <c:v>99.6245</c:v>
                </c:pt>
                <c:pt idx="156">
                  <c:v>99.62104999999998</c:v>
                </c:pt>
                <c:pt idx="157">
                  <c:v>99.61748</c:v>
                </c:pt>
                <c:pt idx="158">
                  <c:v>99.61395</c:v>
                </c:pt>
                <c:pt idx="159">
                  <c:v>99.6105</c:v>
                </c:pt>
                <c:pt idx="160">
                  <c:v>99.60701</c:v>
                </c:pt>
                <c:pt idx="161">
                  <c:v>99.60352</c:v>
                </c:pt>
                <c:pt idx="162">
                  <c:v>99.59999</c:v>
                </c:pt>
                <c:pt idx="163">
                  <c:v>99.59642</c:v>
                </c:pt>
                <c:pt idx="164">
                  <c:v>99.59283</c:v>
                </c:pt>
                <c:pt idx="165">
                  <c:v>99.58924</c:v>
                </c:pt>
                <c:pt idx="166">
                  <c:v>99.58569</c:v>
                </c:pt>
                <c:pt idx="167">
                  <c:v>99.5822</c:v>
                </c:pt>
                <c:pt idx="168">
                  <c:v>99.57870999999938</c:v>
                </c:pt>
                <c:pt idx="169">
                  <c:v>99.57522</c:v>
                </c:pt>
                <c:pt idx="170">
                  <c:v>99.57169</c:v>
                </c:pt>
                <c:pt idx="171">
                  <c:v>99.56805</c:v>
                </c:pt>
                <c:pt idx="172">
                  <c:v>99.56442</c:v>
                </c:pt>
                <c:pt idx="173">
                  <c:v>99.56087</c:v>
                </c:pt>
                <c:pt idx="174">
                  <c:v>99.55719</c:v>
                </c:pt>
                <c:pt idx="175">
                  <c:v>99.55356</c:v>
                </c:pt>
                <c:pt idx="176">
                  <c:v>99.54994</c:v>
                </c:pt>
                <c:pt idx="177">
                  <c:v>99.54633000000001</c:v>
                </c:pt>
                <c:pt idx="178">
                  <c:v>99.54272</c:v>
                </c:pt>
                <c:pt idx="179">
                  <c:v>99.53904</c:v>
                </c:pt>
                <c:pt idx="180">
                  <c:v>99.53536999999998</c:v>
                </c:pt>
                <c:pt idx="181">
                  <c:v>99.53165</c:v>
                </c:pt>
                <c:pt idx="182">
                  <c:v>99.52787</c:v>
                </c:pt>
                <c:pt idx="183">
                  <c:v>99.52415</c:v>
                </c:pt>
                <c:pt idx="184">
                  <c:v>99.52046999999997</c:v>
                </c:pt>
                <c:pt idx="185">
                  <c:v>99.51686</c:v>
                </c:pt>
                <c:pt idx="186">
                  <c:v>99.51314</c:v>
                </c:pt>
                <c:pt idx="187">
                  <c:v>99.50932</c:v>
                </c:pt>
                <c:pt idx="188">
                  <c:v>99.50552</c:v>
                </c:pt>
                <c:pt idx="189">
                  <c:v>99.50176</c:v>
                </c:pt>
                <c:pt idx="190">
                  <c:v>99.498</c:v>
                </c:pt>
                <c:pt idx="191">
                  <c:v>99.4942</c:v>
                </c:pt>
                <c:pt idx="192">
                  <c:v>99.49034</c:v>
                </c:pt>
                <c:pt idx="193">
                  <c:v>99.48658</c:v>
                </c:pt>
                <c:pt idx="194">
                  <c:v>99.48286</c:v>
                </c:pt>
                <c:pt idx="195">
                  <c:v>99.47906</c:v>
                </c:pt>
                <c:pt idx="196">
                  <c:v>99.47517999999998</c:v>
                </c:pt>
                <c:pt idx="197">
                  <c:v>99.47136</c:v>
                </c:pt>
                <c:pt idx="198">
                  <c:v>99.46752</c:v>
                </c:pt>
                <c:pt idx="199">
                  <c:v>99.46372</c:v>
                </c:pt>
                <c:pt idx="200">
                  <c:v>99.45992</c:v>
                </c:pt>
                <c:pt idx="201">
                  <c:v>99.45618</c:v>
                </c:pt>
                <c:pt idx="202">
                  <c:v>99.45233999999998</c:v>
                </c:pt>
                <c:pt idx="203">
                  <c:v>99.44851</c:v>
                </c:pt>
                <c:pt idx="204">
                  <c:v>99.44463</c:v>
                </c:pt>
                <c:pt idx="205">
                  <c:v>99.44079</c:v>
                </c:pt>
                <c:pt idx="206">
                  <c:v>99.43691</c:v>
                </c:pt>
                <c:pt idx="207">
                  <c:v>99.43298</c:v>
                </c:pt>
                <c:pt idx="208">
                  <c:v>99.42906</c:v>
                </c:pt>
                <c:pt idx="209">
                  <c:v>99.42511</c:v>
                </c:pt>
                <c:pt idx="210">
                  <c:v>99.42116</c:v>
                </c:pt>
                <c:pt idx="211">
                  <c:v>99.41724</c:v>
                </c:pt>
                <c:pt idx="212">
                  <c:v>99.41333</c:v>
                </c:pt>
                <c:pt idx="213">
                  <c:v>99.40939</c:v>
                </c:pt>
                <c:pt idx="214">
                  <c:v>99.40533999999998</c:v>
                </c:pt>
                <c:pt idx="215">
                  <c:v>99.40135</c:v>
                </c:pt>
                <c:pt idx="216">
                  <c:v>99.39741</c:v>
                </c:pt>
                <c:pt idx="217">
                  <c:v>99.39342</c:v>
                </c:pt>
                <c:pt idx="218">
                  <c:v>99.38946999999997</c:v>
                </c:pt>
                <c:pt idx="219">
                  <c:v>99.38545999999998</c:v>
                </c:pt>
                <c:pt idx="220">
                  <c:v>99.38141</c:v>
                </c:pt>
                <c:pt idx="221">
                  <c:v>99.37733999999975</c:v>
                </c:pt>
                <c:pt idx="222">
                  <c:v>99.37330999999975</c:v>
                </c:pt>
                <c:pt idx="223">
                  <c:v>99.36938999999998</c:v>
                </c:pt>
                <c:pt idx="224">
                  <c:v>99.36537999999948</c:v>
                </c:pt>
                <c:pt idx="225">
                  <c:v>99.36129</c:v>
                </c:pt>
                <c:pt idx="226">
                  <c:v>99.35714</c:v>
                </c:pt>
                <c:pt idx="227">
                  <c:v>99.35297999999958</c:v>
                </c:pt>
                <c:pt idx="228">
                  <c:v>99.34885</c:v>
                </c:pt>
                <c:pt idx="229">
                  <c:v>99.34478</c:v>
                </c:pt>
                <c:pt idx="230">
                  <c:v>99.34067</c:v>
                </c:pt>
                <c:pt idx="231">
                  <c:v>99.33658</c:v>
                </c:pt>
                <c:pt idx="232">
                  <c:v>99.33248999999998</c:v>
                </c:pt>
                <c:pt idx="233">
                  <c:v>99.32838999999898</c:v>
                </c:pt>
                <c:pt idx="234">
                  <c:v>99.32426</c:v>
                </c:pt>
                <c:pt idx="235">
                  <c:v>99.32013</c:v>
                </c:pt>
                <c:pt idx="236">
                  <c:v>99.31606</c:v>
                </c:pt>
                <c:pt idx="237">
                  <c:v>99.31188</c:v>
                </c:pt>
                <c:pt idx="238">
                  <c:v>99.30765</c:v>
                </c:pt>
                <c:pt idx="239">
                  <c:v>99.30347</c:v>
                </c:pt>
                <c:pt idx="240">
                  <c:v>99.29926</c:v>
                </c:pt>
                <c:pt idx="241">
                  <c:v>99.29502</c:v>
                </c:pt>
                <c:pt idx="242">
                  <c:v>99.29074</c:v>
                </c:pt>
                <c:pt idx="243">
                  <c:v>99.28649</c:v>
                </c:pt>
                <c:pt idx="244">
                  <c:v>99.28221</c:v>
                </c:pt>
                <c:pt idx="245">
                  <c:v>99.27795</c:v>
                </c:pt>
                <c:pt idx="246">
                  <c:v>99.27369</c:v>
                </c:pt>
                <c:pt idx="247">
                  <c:v>99.26939</c:v>
                </c:pt>
                <c:pt idx="248">
                  <c:v>99.26505</c:v>
                </c:pt>
                <c:pt idx="249">
                  <c:v>99.26071</c:v>
                </c:pt>
                <c:pt idx="250">
                  <c:v>99.25646</c:v>
                </c:pt>
                <c:pt idx="251">
                  <c:v>99.2522</c:v>
                </c:pt>
                <c:pt idx="252">
                  <c:v>99.24796</c:v>
                </c:pt>
                <c:pt idx="253">
                  <c:v>99.2436</c:v>
                </c:pt>
                <c:pt idx="254">
                  <c:v>99.2393</c:v>
                </c:pt>
                <c:pt idx="255">
                  <c:v>99.23504</c:v>
                </c:pt>
                <c:pt idx="256">
                  <c:v>99.23070000000001</c:v>
                </c:pt>
                <c:pt idx="257">
                  <c:v>99.22649</c:v>
                </c:pt>
                <c:pt idx="258">
                  <c:v>99.22179</c:v>
                </c:pt>
                <c:pt idx="259">
                  <c:v>99.21743</c:v>
                </c:pt>
                <c:pt idx="260">
                  <c:v>99.21309</c:v>
                </c:pt>
                <c:pt idx="261">
                  <c:v>99.20886</c:v>
                </c:pt>
                <c:pt idx="262">
                  <c:v>99.20456</c:v>
                </c:pt>
                <c:pt idx="263">
                  <c:v>99.20003000000001</c:v>
                </c:pt>
                <c:pt idx="264">
                  <c:v>99.19558999999998</c:v>
                </c:pt>
                <c:pt idx="265">
                  <c:v>99.1911</c:v>
                </c:pt>
                <c:pt idx="266">
                  <c:v>99.18658999999998</c:v>
                </c:pt>
                <c:pt idx="267">
                  <c:v>99.18216999999998</c:v>
                </c:pt>
                <c:pt idx="268">
                  <c:v>99.17763999999998</c:v>
                </c:pt>
                <c:pt idx="269">
                  <c:v>99.17306999999998</c:v>
                </c:pt>
                <c:pt idx="270">
                  <c:v>99.16852999999997</c:v>
                </c:pt>
                <c:pt idx="271">
                  <c:v>99.16397999999998</c:v>
                </c:pt>
                <c:pt idx="272">
                  <c:v>99.15942999999998</c:v>
                </c:pt>
                <c:pt idx="273">
                  <c:v>99.15492</c:v>
                </c:pt>
                <c:pt idx="274">
                  <c:v>99.15047999999948</c:v>
                </c:pt>
                <c:pt idx="275">
                  <c:v>99.14601</c:v>
                </c:pt>
                <c:pt idx="276">
                  <c:v>99.14151</c:v>
                </c:pt>
                <c:pt idx="277">
                  <c:v>99.13692</c:v>
                </c:pt>
                <c:pt idx="278">
                  <c:v>99.13234999999958</c:v>
                </c:pt>
                <c:pt idx="279">
                  <c:v>99.12773999999965</c:v>
                </c:pt>
                <c:pt idx="280">
                  <c:v>99.12312999999997</c:v>
                </c:pt>
                <c:pt idx="281">
                  <c:v>99.1186</c:v>
                </c:pt>
                <c:pt idx="282">
                  <c:v>99.11405</c:v>
                </c:pt>
                <c:pt idx="283">
                  <c:v>99.10939999999998</c:v>
                </c:pt>
                <c:pt idx="284">
                  <c:v>99.10469</c:v>
                </c:pt>
                <c:pt idx="285">
                  <c:v>99.10000999999998</c:v>
                </c:pt>
                <c:pt idx="286">
                  <c:v>99.0953</c:v>
                </c:pt>
                <c:pt idx="287">
                  <c:v>99.09054</c:v>
                </c:pt>
                <c:pt idx="288">
                  <c:v>99.08586999999998</c:v>
                </c:pt>
                <c:pt idx="289">
                  <c:v>99.08118</c:v>
                </c:pt>
                <c:pt idx="290">
                  <c:v>99.07642</c:v>
                </c:pt>
                <c:pt idx="291">
                  <c:v>99.07162</c:v>
                </c:pt>
                <c:pt idx="292">
                  <c:v>99.06689</c:v>
                </c:pt>
                <c:pt idx="293">
                  <c:v>99.06224</c:v>
                </c:pt>
                <c:pt idx="294">
                  <c:v>99.05752</c:v>
                </c:pt>
                <c:pt idx="295">
                  <c:v>99.05269999999997</c:v>
                </c:pt>
                <c:pt idx="296">
                  <c:v>99.04795</c:v>
                </c:pt>
                <c:pt idx="297">
                  <c:v>99.0433</c:v>
                </c:pt>
                <c:pt idx="298">
                  <c:v>99.0386</c:v>
                </c:pt>
                <c:pt idx="299">
                  <c:v>99.03383</c:v>
                </c:pt>
                <c:pt idx="300">
                  <c:v>99.02907</c:v>
                </c:pt>
                <c:pt idx="301">
                  <c:v>99.02429</c:v>
                </c:pt>
                <c:pt idx="302">
                  <c:v>99.01954</c:v>
                </c:pt>
                <c:pt idx="303">
                  <c:v>99.0147</c:v>
                </c:pt>
                <c:pt idx="304">
                  <c:v>99.00987999999998</c:v>
                </c:pt>
                <c:pt idx="305">
                  <c:v>99.00502</c:v>
                </c:pt>
                <c:pt idx="306">
                  <c:v>99.00022</c:v>
                </c:pt>
                <c:pt idx="307">
                  <c:v>98.99543000000001</c:v>
                </c:pt>
                <c:pt idx="308">
                  <c:v>98.99061</c:v>
                </c:pt>
                <c:pt idx="309">
                  <c:v>98.98578999999998</c:v>
                </c:pt>
                <c:pt idx="310">
                  <c:v>98.98089</c:v>
                </c:pt>
                <c:pt idx="311">
                  <c:v>98.97601</c:v>
                </c:pt>
                <c:pt idx="312">
                  <c:v>98.97115</c:v>
                </c:pt>
                <c:pt idx="313">
                  <c:v>98.96625</c:v>
                </c:pt>
                <c:pt idx="314">
                  <c:v>98.96128</c:v>
                </c:pt>
                <c:pt idx="315">
                  <c:v>98.95642</c:v>
                </c:pt>
                <c:pt idx="316">
                  <c:v>98.95144</c:v>
                </c:pt>
                <c:pt idx="317">
                  <c:v>98.94644</c:v>
                </c:pt>
                <c:pt idx="318">
                  <c:v>98.94141</c:v>
                </c:pt>
                <c:pt idx="319">
                  <c:v>98.93655</c:v>
                </c:pt>
                <c:pt idx="320">
                  <c:v>98.93159</c:v>
                </c:pt>
                <c:pt idx="321">
                  <c:v>98.92658</c:v>
                </c:pt>
                <c:pt idx="322">
                  <c:v>98.92162</c:v>
                </c:pt>
                <c:pt idx="323">
                  <c:v>98.91655</c:v>
                </c:pt>
                <c:pt idx="324">
                  <c:v>98.91148</c:v>
                </c:pt>
                <c:pt idx="325">
                  <c:v>98.90648</c:v>
                </c:pt>
                <c:pt idx="326">
                  <c:v>98.90143</c:v>
                </c:pt>
                <c:pt idx="327">
                  <c:v>98.89633999999998</c:v>
                </c:pt>
                <c:pt idx="328">
                  <c:v>98.89128</c:v>
                </c:pt>
                <c:pt idx="329">
                  <c:v>98.88623000000001</c:v>
                </c:pt>
                <c:pt idx="330">
                  <c:v>98.88112</c:v>
                </c:pt>
                <c:pt idx="331">
                  <c:v>98.87602999999998</c:v>
                </c:pt>
                <c:pt idx="332">
                  <c:v>98.87096999999998</c:v>
                </c:pt>
                <c:pt idx="333">
                  <c:v>98.86583999999995</c:v>
                </c:pt>
                <c:pt idx="334">
                  <c:v>98.86070999999998</c:v>
                </c:pt>
                <c:pt idx="335">
                  <c:v>98.85569999999998</c:v>
                </c:pt>
                <c:pt idx="336">
                  <c:v>98.85058999999998</c:v>
                </c:pt>
                <c:pt idx="337">
                  <c:v>98.84547999999998</c:v>
                </c:pt>
                <c:pt idx="338">
                  <c:v>98.84035</c:v>
                </c:pt>
                <c:pt idx="339">
                  <c:v>98.83525</c:v>
                </c:pt>
                <c:pt idx="340">
                  <c:v>98.83003</c:v>
                </c:pt>
                <c:pt idx="341">
                  <c:v>98.82483999999998</c:v>
                </c:pt>
                <c:pt idx="342">
                  <c:v>98.81967</c:v>
                </c:pt>
                <c:pt idx="343">
                  <c:v>98.81446</c:v>
                </c:pt>
                <c:pt idx="344">
                  <c:v>98.80934999999998</c:v>
                </c:pt>
                <c:pt idx="345">
                  <c:v>98.8042</c:v>
                </c:pt>
                <c:pt idx="346">
                  <c:v>98.79899</c:v>
                </c:pt>
                <c:pt idx="347">
                  <c:v>98.79373</c:v>
                </c:pt>
                <c:pt idx="348">
                  <c:v>98.7885</c:v>
                </c:pt>
                <c:pt idx="349">
                  <c:v>98.78322</c:v>
                </c:pt>
                <c:pt idx="350">
                  <c:v>98.77797</c:v>
                </c:pt>
                <c:pt idx="351">
                  <c:v>98.77267</c:v>
                </c:pt>
                <c:pt idx="352">
                  <c:v>98.7674</c:v>
                </c:pt>
                <c:pt idx="353">
                  <c:v>98.76218</c:v>
                </c:pt>
                <c:pt idx="354">
                  <c:v>98.75697</c:v>
                </c:pt>
                <c:pt idx="355">
                  <c:v>98.75166</c:v>
                </c:pt>
                <c:pt idx="356">
                  <c:v>98.74636</c:v>
                </c:pt>
                <c:pt idx="357">
                  <c:v>98.74108</c:v>
                </c:pt>
                <c:pt idx="358">
                  <c:v>98.73572999999997</c:v>
                </c:pt>
                <c:pt idx="359">
                  <c:v>98.73043000000001</c:v>
                </c:pt>
                <c:pt idx="360">
                  <c:v>98.72516</c:v>
                </c:pt>
                <c:pt idx="361">
                  <c:v>98.71978</c:v>
                </c:pt>
                <c:pt idx="362">
                  <c:v>98.71436</c:v>
                </c:pt>
                <c:pt idx="363">
                  <c:v>98.709</c:v>
                </c:pt>
                <c:pt idx="364">
                  <c:v>98.70370000000001</c:v>
                </c:pt>
                <c:pt idx="365">
                  <c:v>98.69838999999975</c:v>
                </c:pt>
                <c:pt idx="366">
                  <c:v>98.69303</c:v>
                </c:pt>
                <c:pt idx="367">
                  <c:v>98.68767</c:v>
                </c:pt>
                <c:pt idx="368">
                  <c:v>98.68224999999998</c:v>
                </c:pt>
                <c:pt idx="369">
                  <c:v>98.67690999999998</c:v>
                </c:pt>
                <c:pt idx="370">
                  <c:v>98.67154999999998</c:v>
                </c:pt>
                <c:pt idx="371">
                  <c:v>98.66611</c:v>
                </c:pt>
                <c:pt idx="372">
                  <c:v>98.66070999999998</c:v>
                </c:pt>
                <c:pt idx="373">
                  <c:v>98.65526999999997</c:v>
                </c:pt>
                <c:pt idx="374">
                  <c:v>98.64978999999998</c:v>
                </c:pt>
                <c:pt idx="375">
                  <c:v>98.64437</c:v>
                </c:pt>
                <c:pt idx="376">
                  <c:v>98.63901</c:v>
                </c:pt>
                <c:pt idx="377">
                  <c:v>98.63359</c:v>
                </c:pt>
                <c:pt idx="378">
                  <c:v>98.62806999999998</c:v>
                </c:pt>
                <c:pt idx="379">
                  <c:v>98.62260999999998</c:v>
                </c:pt>
                <c:pt idx="380">
                  <c:v>98.61706</c:v>
                </c:pt>
                <c:pt idx="381">
                  <c:v>98.61154</c:v>
                </c:pt>
                <c:pt idx="382">
                  <c:v>98.60613999999998</c:v>
                </c:pt>
                <c:pt idx="383">
                  <c:v>98.60061</c:v>
                </c:pt>
                <c:pt idx="384">
                  <c:v>98.59505</c:v>
                </c:pt>
                <c:pt idx="385">
                  <c:v>98.58954</c:v>
                </c:pt>
                <c:pt idx="386">
                  <c:v>98.58419</c:v>
                </c:pt>
                <c:pt idx="387">
                  <c:v>98.57866</c:v>
                </c:pt>
                <c:pt idx="388">
                  <c:v>98.57312</c:v>
                </c:pt>
                <c:pt idx="389">
                  <c:v>98.56755</c:v>
                </c:pt>
                <c:pt idx="390">
                  <c:v>98.56201</c:v>
                </c:pt>
                <c:pt idx="391">
                  <c:v>98.55642</c:v>
                </c:pt>
                <c:pt idx="392">
                  <c:v>98.55081</c:v>
                </c:pt>
                <c:pt idx="393">
                  <c:v>98.54525</c:v>
                </c:pt>
                <c:pt idx="394">
                  <c:v>98.53968</c:v>
                </c:pt>
                <c:pt idx="395">
                  <c:v>98.53407</c:v>
                </c:pt>
                <c:pt idx="396">
                  <c:v>98.52841999999998</c:v>
                </c:pt>
                <c:pt idx="397">
                  <c:v>98.52281999999998</c:v>
                </c:pt>
                <c:pt idx="398">
                  <c:v>98.51721</c:v>
                </c:pt>
                <c:pt idx="399">
                  <c:v>98.5116</c:v>
                </c:pt>
                <c:pt idx="400">
                  <c:v>98.50591</c:v>
                </c:pt>
                <c:pt idx="401">
                  <c:v>98.5003</c:v>
                </c:pt>
                <c:pt idx="402">
                  <c:v>98.49468</c:v>
                </c:pt>
                <c:pt idx="403">
                  <c:v>98.48909</c:v>
                </c:pt>
                <c:pt idx="404">
                  <c:v>98.48352</c:v>
                </c:pt>
                <c:pt idx="405">
                  <c:v>98.47788</c:v>
                </c:pt>
                <c:pt idx="406">
                  <c:v>98.47213999999998</c:v>
                </c:pt>
                <c:pt idx="407">
                  <c:v>98.46647</c:v>
                </c:pt>
                <c:pt idx="408">
                  <c:v>98.46085</c:v>
                </c:pt>
                <c:pt idx="409">
                  <c:v>98.45507</c:v>
                </c:pt>
                <c:pt idx="410">
                  <c:v>98.44932</c:v>
                </c:pt>
                <c:pt idx="411">
                  <c:v>98.44361</c:v>
                </c:pt>
                <c:pt idx="412">
                  <c:v>98.4379</c:v>
                </c:pt>
                <c:pt idx="413">
                  <c:v>98.43221</c:v>
                </c:pt>
                <c:pt idx="414">
                  <c:v>98.42652</c:v>
                </c:pt>
                <c:pt idx="415">
                  <c:v>98.42068</c:v>
                </c:pt>
                <c:pt idx="416">
                  <c:v>98.41491</c:v>
                </c:pt>
                <c:pt idx="417">
                  <c:v>98.40913</c:v>
                </c:pt>
                <c:pt idx="418">
                  <c:v>98.40347000000001</c:v>
                </c:pt>
                <c:pt idx="419">
                  <c:v>98.39775</c:v>
                </c:pt>
                <c:pt idx="420">
                  <c:v>98.39192</c:v>
                </c:pt>
                <c:pt idx="421">
                  <c:v>98.38599999999998</c:v>
                </c:pt>
                <c:pt idx="422">
                  <c:v>98.38027</c:v>
                </c:pt>
                <c:pt idx="423">
                  <c:v>98.37436999999998</c:v>
                </c:pt>
                <c:pt idx="424">
                  <c:v>98.36862</c:v>
                </c:pt>
                <c:pt idx="425">
                  <c:v>98.36279999999998</c:v>
                </c:pt>
                <c:pt idx="426">
                  <c:v>98.35687999999985</c:v>
                </c:pt>
                <c:pt idx="427">
                  <c:v>98.35101</c:v>
                </c:pt>
                <c:pt idx="428">
                  <c:v>98.34517</c:v>
                </c:pt>
                <c:pt idx="429">
                  <c:v>98.33932999999997</c:v>
                </c:pt>
                <c:pt idx="430">
                  <c:v>98.33347999999998</c:v>
                </c:pt>
                <c:pt idx="431">
                  <c:v>98.32772999999997</c:v>
                </c:pt>
                <c:pt idx="432">
                  <c:v>98.32193</c:v>
                </c:pt>
                <c:pt idx="433">
                  <c:v>98.31603000000001</c:v>
                </c:pt>
                <c:pt idx="434">
                  <c:v>98.3102</c:v>
                </c:pt>
                <c:pt idx="435">
                  <c:v>98.30430000000001</c:v>
                </c:pt>
                <c:pt idx="436">
                  <c:v>98.29837999999998</c:v>
                </c:pt>
                <c:pt idx="437">
                  <c:v>98.29248</c:v>
                </c:pt>
                <c:pt idx="438">
                  <c:v>98.28661</c:v>
                </c:pt>
                <c:pt idx="439">
                  <c:v>98.2806</c:v>
                </c:pt>
                <c:pt idx="440">
                  <c:v>98.27471</c:v>
                </c:pt>
                <c:pt idx="441">
                  <c:v>98.26883</c:v>
                </c:pt>
                <c:pt idx="442">
                  <c:v>98.26293</c:v>
                </c:pt>
                <c:pt idx="443">
                  <c:v>98.25716</c:v>
                </c:pt>
                <c:pt idx="444">
                  <c:v>98.25132</c:v>
                </c:pt>
                <c:pt idx="445">
                  <c:v>98.2454</c:v>
                </c:pt>
                <c:pt idx="446">
                  <c:v>98.23937999999998</c:v>
                </c:pt>
                <c:pt idx="447">
                  <c:v>98.23337999999998</c:v>
                </c:pt>
                <c:pt idx="448">
                  <c:v>98.22736</c:v>
                </c:pt>
                <c:pt idx="449">
                  <c:v>98.22131</c:v>
                </c:pt>
                <c:pt idx="450">
                  <c:v>98.21541</c:v>
                </c:pt>
                <c:pt idx="451">
                  <c:v>98.20947</c:v>
                </c:pt>
                <c:pt idx="452">
                  <c:v>98.20353</c:v>
                </c:pt>
                <c:pt idx="453">
                  <c:v>98.19768</c:v>
                </c:pt>
                <c:pt idx="454">
                  <c:v>98.19172</c:v>
                </c:pt>
                <c:pt idx="455">
                  <c:v>98.18571999999975</c:v>
                </c:pt>
                <c:pt idx="456">
                  <c:v>98.17975999999948</c:v>
                </c:pt>
                <c:pt idx="457">
                  <c:v>98.17379999999918</c:v>
                </c:pt>
                <c:pt idx="458">
                  <c:v>98.16784</c:v>
                </c:pt>
                <c:pt idx="459">
                  <c:v>98.16185</c:v>
                </c:pt>
                <c:pt idx="460">
                  <c:v>98.15582999999998</c:v>
                </c:pt>
                <c:pt idx="461">
                  <c:v>98.14974999999998</c:v>
                </c:pt>
                <c:pt idx="462">
                  <c:v>98.14376999999997</c:v>
                </c:pt>
                <c:pt idx="463">
                  <c:v>98.13787</c:v>
                </c:pt>
                <c:pt idx="464">
                  <c:v>98.13191</c:v>
                </c:pt>
                <c:pt idx="465">
                  <c:v>98.12590999999995</c:v>
                </c:pt>
                <c:pt idx="466">
                  <c:v>98.11973999999998</c:v>
                </c:pt>
                <c:pt idx="467">
                  <c:v>98.11367000000001</c:v>
                </c:pt>
                <c:pt idx="468">
                  <c:v>98.10769</c:v>
                </c:pt>
                <c:pt idx="469">
                  <c:v>98.10165</c:v>
                </c:pt>
                <c:pt idx="470">
                  <c:v>98.09567000000001</c:v>
                </c:pt>
                <c:pt idx="471">
                  <c:v>98.08972999999997</c:v>
                </c:pt>
                <c:pt idx="472">
                  <c:v>98.08346</c:v>
                </c:pt>
                <c:pt idx="473">
                  <c:v>98.07736999999997</c:v>
                </c:pt>
                <c:pt idx="474">
                  <c:v>98.07138999999998</c:v>
                </c:pt>
                <c:pt idx="475">
                  <c:v>98.06541</c:v>
                </c:pt>
                <c:pt idx="476">
                  <c:v>98.05945</c:v>
                </c:pt>
                <c:pt idx="477">
                  <c:v>98.05347</c:v>
                </c:pt>
                <c:pt idx="478">
                  <c:v>98.04744</c:v>
                </c:pt>
                <c:pt idx="479">
                  <c:v>98.04161</c:v>
                </c:pt>
                <c:pt idx="480">
                  <c:v>98.03572999999998</c:v>
                </c:pt>
                <c:pt idx="481">
                  <c:v>98.02972999999998</c:v>
                </c:pt>
                <c:pt idx="482">
                  <c:v>98.02362</c:v>
                </c:pt>
                <c:pt idx="483">
                  <c:v>98.01766</c:v>
                </c:pt>
                <c:pt idx="484">
                  <c:v>98.01179</c:v>
                </c:pt>
                <c:pt idx="485">
                  <c:v>98.00575999999998</c:v>
                </c:pt>
                <c:pt idx="486">
                  <c:v>97.99976</c:v>
                </c:pt>
                <c:pt idx="487">
                  <c:v>97.99366</c:v>
                </c:pt>
                <c:pt idx="488">
                  <c:v>97.98761</c:v>
                </c:pt>
                <c:pt idx="489">
                  <c:v>97.98163</c:v>
                </c:pt>
                <c:pt idx="490">
                  <c:v>97.97570999999998</c:v>
                </c:pt>
                <c:pt idx="491">
                  <c:v>97.96971</c:v>
                </c:pt>
                <c:pt idx="492">
                  <c:v>97.96373000000001</c:v>
                </c:pt>
                <c:pt idx="493">
                  <c:v>97.95773000000001</c:v>
                </c:pt>
                <c:pt idx="494">
                  <c:v>97.95177</c:v>
                </c:pt>
                <c:pt idx="495">
                  <c:v>97.94577</c:v>
                </c:pt>
                <c:pt idx="496">
                  <c:v>97.93987000000001</c:v>
                </c:pt>
                <c:pt idx="497">
                  <c:v>97.93395</c:v>
                </c:pt>
                <c:pt idx="498">
                  <c:v>97.92803</c:v>
                </c:pt>
                <c:pt idx="499">
                  <c:v>97.92213</c:v>
                </c:pt>
                <c:pt idx="500">
                  <c:v>97.91626</c:v>
                </c:pt>
                <c:pt idx="501">
                  <c:v>97.91034</c:v>
                </c:pt>
                <c:pt idx="502">
                  <c:v>97.90434</c:v>
                </c:pt>
                <c:pt idx="503">
                  <c:v>97.89842</c:v>
                </c:pt>
                <c:pt idx="504">
                  <c:v>97.89243999999998</c:v>
                </c:pt>
                <c:pt idx="505">
                  <c:v>97.88642999999997</c:v>
                </c:pt>
                <c:pt idx="506">
                  <c:v>97.88053999999998</c:v>
                </c:pt>
                <c:pt idx="507">
                  <c:v>97.87451</c:v>
                </c:pt>
                <c:pt idx="508">
                  <c:v>97.86861</c:v>
                </c:pt>
                <c:pt idx="509">
                  <c:v>97.86282</c:v>
                </c:pt>
                <c:pt idx="510">
                  <c:v>97.85697999999998</c:v>
                </c:pt>
                <c:pt idx="511">
                  <c:v>97.85109</c:v>
                </c:pt>
                <c:pt idx="512">
                  <c:v>97.84523</c:v>
                </c:pt>
                <c:pt idx="513">
                  <c:v>97.83936999999997</c:v>
                </c:pt>
                <c:pt idx="514">
                  <c:v>97.83352</c:v>
                </c:pt>
                <c:pt idx="515">
                  <c:v>97.82764</c:v>
                </c:pt>
                <c:pt idx="516">
                  <c:v>97.82179999999998</c:v>
                </c:pt>
                <c:pt idx="517">
                  <c:v>97.81595</c:v>
                </c:pt>
                <c:pt idx="518">
                  <c:v>97.81005</c:v>
                </c:pt>
                <c:pt idx="519">
                  <c:v>97.80409</c:v>
                </c:pt>
                <c:pt idx="520">
                  <c:v>97.79823</c:v>
                </c:pt>
                <c:pt idx="521">
                  <c:v>97.79242</c:v>
                </c:pt>
                <c:pt idx="522">
                  <c:v>97.78662</c:v>
                </c:pt>
                <c:pt idx="523">
                  <c:v>97.78078999999998</c:v>
                </c:pt>
                <c:pt idx="524">
                  <c:v>97.77495</c:v>
                </c:pt>
                <c:pt idx="525">
                  <c:v>97.76916</c:v>
                </c:pt>
                <c:pt idx="526">
                  <c:v>97.76332</c:v>
                </c:pt>
                <c:pt idx="527">
                  <c:v>97.75738</c:v>
                </c:pt>
                <c:pt idx="528">
                  <c:v>97.75146</c:v>
                </c:pt>
                <c:pt idx="529">
                  <c:v>97.74559</c:v>
                </c:pt>
                <c:pt idx="530">
                  <c:v>97.73986</c:v>
                </c:pt>
                <c:pt idx="531">
                  <c:v>97.73414</c:v>
                </c:pt>
                <c:pt idx="532">
                  <c:v>97.72840999999998</c:v>
                </c:pt>
                <c:pt idx="533">
                  <c:v>97.72262</c:v>
                </c:pt>
                <c:pt idx="534">
                  <c:v>97.71684</c:v>
                </c:pt>
                <c:pt idx="535">
                  <c:v>97.71109</c:v>
                </c:pt>
                <c:pt idx="536">
                  <c:v>97.70526</c:v>
                </c:pt>
                <c:pt idx="537">
                  <c:v>97.6995</c:v>
                </c:pt>
                <c:pt idx="538">
                  <c:v>97.69370999999998</c:v>
                </c:pt>
                <c:pt idx="539">
                  <c:v>97.68784999999998</c:v>
                </c:pt>
                <c:pt idx="540">
                  <c:v>97.68217999999958</c:v>
                </c:pt>
                <c:pt idx="541">
                  <c:v>97.67638999999878</c:v>
                </c:pt>
                <c:pt idx="542">
                  <c:v>97.67056999999998</c:v>
                </c:pt>
                <c:pt idx="543">
                  <c:v>97.66473999999998</c:v>
                </c:pt>
                <c:pt idx="544">
                  <c:v>97.65898999999965</c:v>
                </c:pt>
                <c:pt idx="545">
                  <c:v>97.65331999999998</c:v>
                </c:pt>
                <c:pt idx="546">
                  <c:v>97.64773</c:v>
                </c:pt>
                <c:pt idx="547">
                  <c:v>97.64206</c:v>
                </c:pt>
                <c:pt idx="548">
                  <c:v>97.63627</c:v>
                </c:pt>
                <c:pt idx="549">
                  <c:v>97.63051</c:v>
                </c:pt>
                <c:pt idx="550">
                  <c:v>97.62471999999998</c:v>
                </c:pt>
                <c:pt idx="551">
                  <c:v>97.61892</c:v>
                </c:pt>
                <c:pt idx="552">
                  <c:v>97.61317</c:v>
                </c:pt>
                <c:pt idx="553">
                  <c:v>97.60752</c:v>
                </c:pt>
                <c:pt idx="554">
                  <c:v>97.60194</c:v>
                </c:pt>
                <c:pt idx="555">
                  <c:v>97.59616</c:v>
                </c:pt>
                <c:pt idx="556">
                  <c:v>97.59045</c:v>
                </c:pt>
                <c:pt idx="557">
                  <c:v>97.58476</c:v>
                </c:pt>
                <c:pt idx="558">
                  <c:v>97.57913</c:v>
                </c:pt>
                <c:pt idx="559">
                  <c:v>97.57353</c:v>
                </c:pt>
                <c:pt idx="560">
                  <c:v>97.5678</c:v>
                </c:pt>
                <c:pt idx="561">
                  <c:v>97.56206</c:v>
                </c:pt>
                <c:pt idx="562">
                  <c:v>97.55652</c:v>
                </c:pt>
                <c:pt idx="563">
                  <c:v>97.55056</c:v>
                </c:pt>
                <c:pt idx="564">
                  <c:v>97.54474</c:v>
                </c:pt>
                <c:pt idx="565">
                  <c:v>97.53916</c:v>
                </c:pt>
                <c:pt idx="566">
                  <c:v>97.53365</c:v>
                </c:pt>
                <c:pt idx="567">
                  <c:v>97.528</c:v>
                </c:pt>
                <c:pt idx="568">
                  <c:v>97.52239999999995</c:v>
                </c:pt>
                <c:pt idx="569">
                  <c:v>97.51691</c:v>
                </c:pt>
                <c:pt idx="570">
                  <c:v>97.51139</c:v>
                </c:pt>
                <c:pt idx="571">
                  <c:v>97.50575999999998</c:v>
                </c:pt>
                <c:pt idx="572">
                  <c:v>97.50007</c:v>
                </c:pt>
                <c:pt idx="573">
                  <c:v>97.49451</c:v>
                </c:pt>
                <c:pt idx="574">
                  <c:v>97.48887999999998</c:v>
                </c:pt>
                <c:pt idx="575">
                  <c:v>97.48329</c:v>
                </c:pt>
                <c:pt idx="576">
                  <c:v>97.47764</c:v>
                </c:pt>
                <c:pt idx="577">
                  <c:v>97.47197000000001</c:v>
                </c:pt>
                <c:pt idx="578">
                  <c:v>97.46624</c:v>
                </c:pt>
                <c:pt idx="579">
                  <c:v>97.46049</c:v>
                </c:pt>
                <c:pt idx="580">
                  <c:v>97.45482</c:v>
                </c:pt>
                <c:pt idx="581">
                  <c:v>97.44932</c:v>
                </c:pt>
                <c:pt idx="582">
                  <c:v>97.44375</c:v>
                </c:pt>
                <c:pt idx="583">
                  <c:v>97.43816</c:v>
                </c:pt>
                <c:pt idx="584">
                  <c:v>97.43258</c:v>
                </c:pt>
                <c:pt idx="585">
                  <c:v>97.42695</c:v>
                </c:pt>
                <c:pt idx="586">
                  <c:v>97.42134</c:v>
                </c:pt>
                <c:pt idx="587">
                  <c:v>97.41575</c:v>
                </c:pt>
                <c:pt idx="588">
                  <c:v>97.41017</c:v>
                </c:pt>
                <c:pt idx="589">
                  <c:v>97.4045</c:v>
                </c:pt>
                <c:pt idx="590">
                  <c:v>97.39886999999997</c:v>
                </c:pt>
                <c:pt idx="591">
                  <c:v>97.39338999999998</c:v>
                </c:pt>
                <c:pt idx="592">
                  <c:v>97.38795</c:v>
                </c:pt>
                <c:pt idx="593">
                  <c:v>97.38241999999998</c:v>
                </c:pt>
                <c:pt idx="594">
                  <c:v>97.37692</c:v>
                </c:pt>
                <c:pt idx="595">
                  <c:v>97.37146</c:v>
                </c:pt>
                <c:pt idx="596">
                  <c:v>97.36593</c:v>
                </c:pt>
                <c:pt idx="597">
                  <c:v>97.36014</c:v>
                </c:pt>
                <c:pt idx="598">
                  <c:v>97.35438999999998</c:v>
                </c:pt>
                <c:pt idx="599">
                  <c:v>97.34882</c:v>
                </c:pt>
                <c:pt idx="600">
                  <c:v>97.34336</c:v>
                </c:pt>
                <c:pt idx="601">
                  <c:v>97.33792</c:v>
                </c:pt>
                <c:pt idx="602">
                  <c:v>97.33247999999985</c:v>
                </c:pt>
                <c:pt idx="603">
                  <c:v>97.32696999999997</c:v>
                </c:pt>
                <c:pt idx="604">
                  <c:v>97.32155</c:v>
                </c:pt>
                <c:pt idx="605">
                  <c:v>97.31609</c:v>
                </c:pt>
                <c:pt idx="606">
                  <c:v>97.31053</c:v>
                </c:pt>
                <c:pt idx="607">
                  <c:v>97.30496</c:v>
                </c:pt>
                <c:pt idx="608">
                  <c:v>97.29946</c:v>
                </c:pt>
                <c:pt idx="609">
                  <c:v>97.29379</c:v>
                </c:pt>
                <c:pt idx="610">
                  <c:v>97.2882</c:v>
                </c:pt>
                <c:pt idx="611">
                  <c:v>97.28257</c:v>
                </c:pt>
                <c:pt idx="612">
                  <c:v>97.27701</c:v>
                </c:pt>
                <c:pt idx="613">
                  <c:v>97.27152</c:v>
                </c:pt>
                <c:pt idx="614">
                  <c:v>97.26596</c:v>
                </c:pt>
                <c:pt idx="615">
                  <c:v>97.26054</c:v>
                </c:pt>
                <c:pt idx="616">
                  <c:v>97.25504999999998</c:v>
                </c:pt>
                <c:pt idx="617">
                  <c:v>97.24959</c:v>
                </c:pt>
                <c:pt idx="618">
                  <c:v>97.24413000000002</c:v>
                </c:pt>
                <c:pt idx="619">
                  <c:v>97.23871</c:v>
                </c:pt>
                <c:pt idx="620">
                  <c:v>97.23331</c:v>
                </c:pt>
                <c:pt idx="621">
                  <c:v>97.22783</c:v>
                </c:pt>
                <c:pt idx="622">
                  <c:v>97.22226</c:v>
                </c:pt>
                <c:pt idx="623">
                  <c:v>97.21672</c:v>
                </c:pt>
                <c:pt idx="624">
                  <c:v>97.21119</c:v>
                </c:pt>
                <c:pt idx="625">
                  <c:v>97.20578999999998</c:v>
                </c:pt>
                <c:pt idx="626">
                  <c:v>97.20027</c:v>
                </c:pt>
                <c:pt idx="627">
                  <c:v>97.19479</c:v>
                </c:pt>
                <c:pt idx="628">
                  <c:v>97.18934999999995</c:v>
                </c:pt>
                <c:pt idx="629">
                  <c:v>97.18392999999997</c:v>
                </c:pt>
                <c:pt idx="630">
                  <c:v>97.17843999999845</c:v>
                </c:pt>
                <c:pt idx="631">
                  <c:v>97.17297999999845</c:v>
                </c:pt>
                <c:pt idx="632">
                  <c:v>97.16758</c:v>
                </c:pt>
                <c:pt idx="633">
                  <c:v>97.16222</c:v>
                </c:pt>
                <c:pt idx="634">
                  <c:v>97.15679999999985</c:v>
                </c:pt>
                <c:pt idx="635">
                  <c:v>97.15142</c:v>
                </c:pt>
                <c:pt idx="636">
                  <c:v>97.14597999999998</c:v>
                </c:pt>
                <c:pt idx="637">
                  <c:v>97.14046</c:v>
                </c:pt>
                <c:pt idx="638">
                  <c:v>97.13496</c:v>
                </c:pt>
                <c:pt idx="639">
                  <c:v>97.12940999999998</c:v>
                </c:pt>
                <c:pt idx="640">
                  <c:v>97.12398999999998</c:v>
                </c:pt>
                <c:pt idx="641">
                  <c:v>97.11851</c:v>
                </c:pt>
                <c:pt idx="642">
                  <c:v>97.11302</c:v>
                </c:pt>
                <c:pt idx="643">
                  <c:v>97.1076</c:v>
                </c:pt>
                <c:pt idx="644">
                  <c:v>97.10209999999998</c:v>
                </c:pt>
                <c:pt idx="645">
                  <c:v>97.09672</c:v>
                </c:pt>
                <c:pt idx="646">
                  <c:v>97.09134</c:v>
                </c:pt>
                <c:pt idx="647">
                  <c:v>97.08596</c:v>
                </c:pt>
                <c:pt idx="648">
                  <c:v>97.0805</c:v>
                </c:pt>
                <c:pt idx="649">
                  <c:v>97.07503999999948</c:v>
                </c:pt>
                <c:pt idx="650">
                  <c:v>97.06956</c:v>
                </c:pt>
                <c:pt idx="651">
                  <c:v>97.06412</c:v>
                </c:pt>
                <c:pt idx="652">
                  <c:v>97.05869999999997</c:v>
                </c:pt>
                <c:pt idx="653">
                  <c:v>97.05321</c:v>
                </c:pt>
                <c:pt idx="654">
                  <c:v>97.04777</c:v>
                </c:pt>
                <c:pt idx="655">
                  <c:v>97.04233</c:v>
                </c:pt>
                <c:pt idx="656">
                  <c:v>97.03687</c:v>
                </c:pt>
                <c:pt idx="657">
                  <c:v>97.03137</c:v>
                </c:pt>
                <c:pt idx="658">
                  <c:v>97.02587999999928</c:v>
                </c:pt>
                <c:pt idx="659">
                  <c:v>97.02042</c:v>
                </c:pt>
                <c:pt idx="660">
                  <c:v>97.01494</c:v>
                </c:pt>
                <c:pt idx="661">
                  <c:v>97.00947999999998</c:v>
                </c:pt>
                <c:pt idx="662">
                  <c:v>97.00402</c:v>
                </c:pt>
                <c:pt idx="663">
                  <c:v>96.99864</c:v>
                </c:pt>
                <c:pt idx="664">
                  <c:v>96.9932</c:v>
                </c:pt>
                <c:pt idx="665">
                  <c:v>96.98771</c:v>
                </c:pt>
                <c:pt idx="666">
                  <c:v>96.98231</c:v>
                </c:pt>
                <c:pt idx="667">
                  <c:v>96.97695</c:v>
                </c:pt>
                <c:pt idx="668">
                  <c:v>96.97158</c:v>
                </c:pt>
                <c:pt idx="669">
                  <c:v>96.96618</c:v>
                </c:pt>
                <c:pt idx="670">
                  <c:v>96.96069</c:v>
                </c:pt>
                <c:pt idx="671">
                  <c:v>96.95521</c:v>
                </c:pt>
                <c:pt idx="672">
                  <c:v>96.94971</c:v>
                </c:pt>
                <c:pt idx="673">
                  <c:v>96.9442</c:v>
                </c:pt>
                <c:pt idx="674">
                  <c:v>96.93876</c:v>
                </c:pt>
                <c:pt idx="675">
                  <c:v>96.93341</c:v>
                </c:pt>
                <c:pt idx="676">
                  <c:v>96.92803</c:v>
                </c:pt>
                <c:pt idx="677">
                  <c:v>96.92259</c:v>
                </c:pt>
                <c:pt idx="678">
                  <c:v>96.91716</c:v>
                </c:pt>
                <c:pt idx="679">
                  <c:v>96.9117</c:v>
                </c:pt>
                <c:pt idx="680">
                  <c:v>96.90628</c:v>
                </c:pt>
                <c:pt idx="681">
                  <c:v>96.90077999999998</c:v>
                </c:pt>
                <c:pt idx="682">
                  <c:v>96.89532</c:v>
                </c:pt>
                <c:pt idx="683">
                  <c:v>96.88978999999995</c:v>
                </c:pt>
                <c:pt idx="684">
                  <c:v>96.88433</c:v>
                </c:pt>
                <c:pt idx="685">
                  <c:v>96.87890999999995</c:v>
                </c:pt>
                <c:pt idx="686">
                  <c:v>96.87350999999998</c:v>
                </c:pt>
                <c:pt idx="687">
                  <c:v>96.86804999999998</c:v>
                </c:pt>
                <c:pt idx="688">
                  <c:v>96.86263</c:v>
                </c:pt>
                <c:pt idx="689">
                  <c:v>96.85723</c:v>
                </c:pt>
                <c:pt idx="690">
                  <c:v>96.85183</c:v>
                </c:pt>
                <c:pt idx="691">
                  <c:v>96.84655</c:v>
                </c:pt>
                <c:pt idx="692">
                  <c:v>96.84128</c:v>
                </c:pt>
                <c:pt idx="693">
                  <c:v>96.83605</c:v>
                </c:pt>
                <c:pt idx="694">
                  <c:v>96.83061</c:v>
                </c:pt>
                <c:pt idx="695">
                  <c:v>96.82513999999995</c:v>
                </c:pt>
                <c:pt idx="696">
                  <c:v>96.8197</c:v>
                </c:pt>
                <c:pt idx="697">
                  <c:v>96.8142</c:v>
                </c:pt>
                <c:pt idx="698">
                  <c:v>96.80871999999998</c:v>
                </c:pt>
                <c:pt idx="699">
                  <c:v>96.80333999999995</c:v>
                </c:pt>
                <c:pt idx="700">
                  <c:v>96.79802</c:v>
                </c:pt>
                <c:pt idx="701">
                  <c:v>96.79262</c:v>
                </c:pt>
                <c:pt idx="702">
                  <c:v>96.7873</c:v>
                </c:pt>
                <c:pt idx="703">
                  <c:v>96.78199</c:v>
                </c:pt>
                <c:pt idx="704">
                  <c:v>96.77670999999998</c:v>
                </c:pt>
                <c:pt idx="705">
                  <c:v>96.77144</c:v>
                </c:pt>
                <c:pt idx="706">
                  <c:v>96.76612</c:v>
                </c:pt>
                <c:pt idx="707">
                  <c:v>96.76083000000001</c:v>
                </c:pt>
                <c:pt idx="708">
                  <c:v>96.75557</c:v>
                </c:pt>
                <c:pt idx="709">
                  <c:v>96.75023</c:v>
                </c:pt>
                <c:pt idx="710">
                  <c:v>96.7449</c:v>
                </c:pt>
                <c:pt idx="711">
                  <c:v>96.73956</c:v>
                </c:pt>
                <c:pt idx="712">
                  <c:v>96.73428</c:v>
                </c:pt>
                <c:pt idx="713">
                  <c:v>96.72896999999997</c:v>
                </c:pt>
                <c:pt idx="714">
                  <c:v>96.72369</c:v>
                </c:pt>
                <c:pt idx="715">
                  <c:v>96.7185</c:v>
                </c:pt>
                <c:pt idx="716">
                  <c:v>96.71327</c:v>
                </c:pt>
                <c:pt idx="717">
                  <c:v>96.70801</c:v>
                </c:pt>
                <c:pt idx="718">
                  <c:v>96.70276</c:v>
                </c:pt>
                <c:pt idx="719">
                  <c:v>96.69746</c:v>
                </c:pt>
                <c:pt idx="720">
                  <c:v>96.69215</c:v>
                </c:pt>
                <c:pt idx="721">
                  <c:v>96.68688999999995</c:v>
                </c:pt>
                <c:pt idx="722">
                  <c:v>96.68172</c:v>
                </c:pt>
                <c:pt idx="723">
                  <c:v>96.67640999999985</c:v>
                </c:pt>
                <c:pt idx="724">
                  <c:v>96.67111</c:v>
                </c:pt>
                <c:pt idx="725">
                  <c:v>96.66585999999998</c:v>
                </c:pt>
                <c:pt idx="726">
                  <c:v>96.66062</c:v>
                </c:pt>
                <c:pt idx="727">
                  <c:v>96.65534999999888</c:v>
                </c:pt>
                <c:pt idx="728">
                  <c:v>96.65014999999998</c:v>
                </c:pt>
                <c:pt idx="729">
                  <c:v>96.64494</c:v>
                </c:pt>
                <c:pt idx="730">
                  <c:v>96.63963</c:v>
                </c:pt>
                <c:pt idx="731">
                  <c:v>96.63436999999997</c:v>
                </c:pt>
                <c:pt idx="732">
                  <c:v>96.62907999999948</c:v>
                </c:pt>
                <c:pt idx="733">
                  <c:v>96.62394999999998</c:v>
                </c:pt>
                <c:pt idx="734">
                  <c:v>96.61872999999998</c:v>
                </c:pt>
                <c:pt idx="735">
                  <c:v>96.61343999999998</c:v>
                </c:pt>
                <c:pt idx="736">
                  <c:v>96.60823</c:v>
                </c:pt>
                <c:pt idx="737">
                  <c:v>96.60306999999997</c:v>
                </c:pt>
                <c:pt idx="738">
                  <c:v>96.59788</c:v>
                </c:pt>
                <c:pt idx="739">
                  <c:v>96.59259</c:v>
                </c:pt>
                <c:pt idx="740">
                  <c:v>96.58727</c:v>
                </c:pt>
                <c:pt idx="741">
                  <c:v>96.58206</c:v>
                </c:pt>
                <c:pt idx="742">
                  <c:v>96.57682</c:v>
                </c:pt>
                <c:pt idx="743">
                  <c:v>96.57167</c:v>
                </c:pt>
                <c:pt idx="744">
                  <c:v>96.56642</c:v>
                </c:pt>
                <c:pt idx="745">
                  <c:v>96.56129</c:v>
                </c:pt>
                <c:pt idx="746">
                  <c:v>96.55606</c:v>
                </c:pt>
                <c:pt idx="747">
                  <c:v>96.55075999999998</c:v>
                </c:pt>
                <c:pt idx="748">
                  <c:v>96.54547</c:v>
                </c:pt>
                <c:pt idx="749">
                  <c:v>96.54015</c:v>
                </c:pt>
                <c:pt idx="750">
                  <c:v>96.53477</c:v>
                </c:pt>
                <c:pt idx="751">
                  <c:v>96.52941</c:v>
                </c:pt>
                <c:pt idx="752">
                  <c:v>96.52416</c:v>
                </c:pt>
                <c:pt idx="753">
                  <c:v>96.51886</c:v>
                </c:pt>
                <c:pt idx="754">
                  <c:v>96.51355</c:v>
                </c:pt>
                <c:pt idx="755">
                  <c:v>96.50819</c:v>
                </c:pt>
                <c:pt idx="756">
                  <c:v>96.50291</c:v>
                </c:pt>
                <c:pt idx="757">
                  <c:v>96.49755</c:v>
                </c:pt>
                <c:pt idx="758">
                  <c:v>96.49236</c:v>
                </c:pt>
                <c:pt idx="759">
                  <c:v>96.48677999999998</c:v>
                </c:pt>
                <c:pt idx="760">
                  <c:v>96.4814</c:v>
                </c:pt>
                <c:pt idx="761">
                  <c:v>96.47616</c:v>
                </c:pt>
                <c:pt idx="762">
                  <c:v>96.47088999999998</c:v>
                </c:pt>
                <c:pt idx="763">
                  <c:v>96.46559</c:v>
                </c:pt>
                <c:pt idx="764">
                  <c:v>96.4603</c:v>
                </c:pt>
                <c:pt idx="765">
                  <c:v>96.4549</c:v>
                </c:pt>
                <c:pt idx="766">
                  <c:v>96.44948</c:v>
                </c:pt>
                <c:pt idx="767">
                  <c:v>96.44416</c:v>
                </c:pt>
                <c:pt idx="768">
                  <c:v>96.43876</c:v>
                </c:pt>
                <c:pt idx="769">
                  <c:v>96.4333</c:v>
                </c:pt>
                <c:pt idx="770">
                  <c:v>96.42784</c:v>
                </c:pt>
                <c:pt idx="771">
                  <c:v>96.42242</c:v>
                </c:pt>
                <c:pt idx="772">
                  <c:v>96.41691</c:v>
                </c:pt>
                <c:pt idx="773">
                  <c:v>96.41143</c:v>
                </c:pt>
                <c:pt idx="774">
                  <c:v>96.40599</c:v>
                </c:pt>
                <c:pt idx="775">
                  <c:v>96.40059</c:v>
                </c:pt>
                <c:pt idx="776">
                  <c:v>96.39508999999998</c:v>
                </c:pt>
                <c:pt idx="777">
                  <c:v>96.38969</c:v>
                </c:pt>
                <c:pt idx="778">
                  <c:v>96.38425</c:v>
                </c:pt>
                <c:pt idx="779">
                  <c:v>96.37888999999888</c:v>
                </c:pt>
                <c:pt idx="780">
                  <c:v>96.37350999999998</c:v>
                </c:pt>
                <c:pt idx="781">
                  <c:v>96.36813</c:v>
                </c:pt>
                <c:pt idx="782">
                  <c:v>96.36274999999995</c:v>
                </c:pt>
                <c:pt idx="783">
                  <c:v>96.35727</c:v>
                </c:pt>
                <c:pt idx="784">
                  <c:v>96.35181</c:v>
                </c:pt>
                <c:pt idx="785">
                  <c:v>96.34634</c:v>
                </c:pt>
                <c:pt idx="786">
                  <c:v>96.34082</c:v>
                </c:pt>
                <c:pt idx="787">
                  <c:v>96.33531999999998</c:v>
                </c:pt>
                <c:pt idx="788">
                  <c:v>96.32992</c:v>
                </c:pt>
                <c:pt idx="789">
                  <c:v>96.32456</c:v>
                </c:pt>
                <c:pt idx="790">
                  <c:v>96.31912</c:v>
                </c:pt>
                <c:pt idx="791">
                  <c:v>96.31364</c:v>
                </c:pt>
                <c:pt idx="792">
                  <c:v>96.30816999999997</c:v>
                </c:pt>
                <c:pt idx="793">
                  <c:v>96.30274999999965</c:v>
                </c:pt>
                <c:pt idx="794">
                  <c:v>96.29733</c:v>
                </c:pt>
                <c:pt idx="795">
                  <c:v>96.29193</c:v>
                </c:pt>
                <c:pt idx="796">
                  <c:v>96.28641</c:v>
                </c:pt>
                <c:pt idx="797">
                  <c:v>96.28091</c:v>
                </c:pt>
                <c:pt idx="798">
                  <c:v>96.27539999999995</c:v>
                </c:pt>
                <c:pt idx="799">
                  <c:v>96.26996</c:v>
                </c:pt>
                <c:pt idx="800">
                  <c:v>96.26444</c:v>
                </c:pt>
                <c:pt idx="801">
                  <c:v>96.25904</c:v>
                </c:pt>
                <c:pt idx="802">
                  <c:v>96.25368</c:v>
                </c:pt>
                <c:pt idx="803">
                  <c:v>96.24832</c:v>
                </c:pt>
                <c:pt idx="804">
                  <c:v>96.24294</c:v>
                </c:pt>
                <c:pt idx="805">
                  <c:v>96.23763</c:v>
                </c:pt>
                <c:pt idx="806">
                  <c:v>96.23229</c:v>
                </c:pt>
                <c:pt idx="807">
                  <c:v>96.22693</c:v>
                </c:pt>
                <c:pt idx="808">
                  <c:v>96.22151</c:v>
                </c:pt>
                <c:pt idx="809">
                  <c:v>96.21613</c:v>
                </c:pt>
                <c:pt idx="810">
                  <c:v>96.21073000000001</c:v>
                </c:pt>
                <c:pt idx="811">
                  <c:v>96.20530999999998</c:v>
                </c:pt>
                <c:pt idx="812">
                  <c:v>96.19993</c:v>
                </c:pt>
                <c:pt idx="813">
                  <c:v>96.19462</c:v>
                </c:pt>
                <c:pt idx="814">
                  <c:v>96.18924</c:v>
                </c:pt>
                <c:pt idx="815">
                  <c:v>96.18379999999995</c:v>
                </c:pt>
                <c:pt idx="816">
                  <c:v>96.17847999999817</c:v>
                </c:pt>
                <c:pt idx="817">
                  <c:v>96.17322999999997</c:v>
                </c:pt>
                <c:pt idx="818">
                  <c:v>96.16789</c:v>
                </c:pt>
                <c:pt idx="819">
                  <c:v>96.16261</c:v>
                </c:pt>
                <c:pt idx="820">
                  <c:v>96.15739999999998</c:v>
                </c:pt>
                <c:pt idx="821">
                  <c:v>96.15218999999995</c:v>
                </c:pt>
                <c:pt idx="822">
                  <c:v>96.14693000000001</c:v>
                </c:pt>
                <c:pt idx="823">
                  <c:v>96.1416</c:v>
                </c:pt>
                <c:pt idx="824">
                  <c:v>96.13633999999985</c:v>
                </c:pt>
                <c:pt idx="825">
                  <c:v>96.13113000000001</c:v>
                </c:pt>
                <c:pt idx="826">
                  <c:v>96.12595999999998</c:v>
                </c:pt>
                <c:pt idx="827">
                  <c:v>96.12071999999995</c:v>
                </c:pt>
                <c:pt idx="828">
                  <c:v>96.11538999999995</c:v>
                </c:pt>
                <c:pt idx="829">
                  <c:v>96.1102</c:v>
                </c:pt>
                <c:pt idx="830">
                  <c:v>96.10486</c:v>
                </c:pt>
                <c:pt idx="831">
                  <c:v>96.09954</c:v>
                </c:pt>
                <c:pt idx="832">
                  <c:v>96.09433000000001</c:v>
                </c:pt>
                <c:pt idx="833">
                  <c:v>96.08912</c:v>
                </c:pt>
                <c:pt idx="834">
                  <c:v>96.08397</c:v>
                </c:pt>
                <c:pt idx="835">
                  <c:v>96.07870999999938</c:v>
                </c:pt>
                <c:pt idx="836">
                  <c:v>96.07343999999995</c:v>
                </c:pt>
                <c:pt idx="837">
                  <c:v>96.06845</c:v>
                </c:pt>
                <c:pt idx="838">
                  <c:v>96.06366</c:v>
                </c:pt>
                <c:pt idx="839">
                  <c:v>96.05883999999975</c:v>
                </c:pt>
                <c:pt idx="840">
                  <c:v>96.05381</c:v>
                </c:pt>
                <c:pt idx="841">
                  <c:v>96.04885</c:v>
                </c:pt>
                <c:pt idx="842">
                  <c:v>96.04378</c:v>
                </c:pt>
                <c:pt idx="843">
                  <c:v>96.03872999999998</c:v>
                </c:pt>
                <c:pt idx="844">
                  <c:v>96.03369</c:v>
                </c:pt>
                <c:pt idx="845">
                  <c:v>96.02873999999898</c:v>
                </c:pt>
                <c:pt idx="846">
                  <c:v>96.02383999999998</c:v>
                </c:pt>
                <c:pt idx="847">
                  <c:v>96.01869</c:v>
                </c:pt>
                <c:pt idx="848">
                  <c:v>96.01369</c:v>
                </c:pt>
                <c:pt idx="849">
                  <c:v>96.00882999999997</c:v>
                </c:pt>
                <c:pt idx="850">
                  <c:v>96.00383999999998</c:v>
                </c:pt>
                <c:pt idx="851">
                  <c:v>95.99886</c:v>
                </c:pt>
                <c:pt idx="852">
                  <c:v>95.99394</c:v>
                </c:pt>
                <c:pt idx="853">
                  <c:v>95.98914</c:v>
                </c:pt>
                <c:pt idx="854">
                  <c:v>95.98428</c:v>
                </c:pt>
                <c:pt idx="855">
                  <c:v>95.97943999999998</c:v>
                </c:pt>
                <c:pt idx="856">
                  <c:v>95.97467</c:v>
                </c:pt>
                <c:pt idx="857">
                  <c:v>95.96991</c:v>
                </c:pt>
                <c:pt idx="858">
                  <c:v>95.96511</c:v>
                </c:pt>
                <c:pt idx="859">
                  <c:v>95.96027</c:v>
                </c:pt>
                <c:pt idx="860">
                  <c:v>95.95536999999997</c:v>
                </c:pt>
                <c:pt idx="861">
                  <c:v>95.95051</c:v>
                </c:pt>
                <c:pt idx="862">
                  <c:v>95.94567</c:v>
                </c:pt>
                <c:pt idx="863">
                  <c:v>95.94088</c:v>
                </c:pt>
                <c:pt idx="864">
                  <c:v>95.93598</c:v>
                </c:pt>
                <c:pt idx="865">
                  <c:v>95.93105</c:v>
                </c:pt>
                <c:pt idx="866">
                  <c:v>95.92611</c:v>
                </c:pt>
                <c:pt idx="867">
                  <c:v>95.92127</c:v>
                </c:pt>
                <c:pt idx="868">
                  <c:v>95.91647</c:v>
                </c:pt>
                <c:pt idx="869">
                  <c:v>95.91172</c:v>
                </c:pt>
                <c:pt idx="870">
                  <c:v>95.90686</c:v>
                </c:pt>
                <c:pt idx="871">
                  <c:v>95.90204</c:v>
                </c:pt>
                <c:pt idx="872">
                  <c:v>95.89724</c:v>
                </c:pt>
                <c:pt idx="873">
                  <c:v>95.89257</c:v>
                </c:pt>
                <c:pt idx="874">
                  <c:v>95.88786</c:v>
                </c:pt>
                <c:pt idx="875">
                  <c:v>95.88313999999998</c:v>
                </c:pt>
                <c:pt idx="876">
                  <c:v>95.87854999999985</c:v>
                </c:pt>
                <c:pt idx="877">
                  <c:v>95.87393999999995</c:v>
                </c:pt>
                <c:pt idx="878">
                  <c:v>95.86938999999998</c:v>
                </c:pt>
                <c:pt idx="879">
                  <c:v>95.86474</c:v>
                </c:pt>
                <c:pt idx="880">
                  <c:v>95.86001</c:v>
                </c:pt>
                <c:pt idx="881">
                  <c:v>95.85528999999998</c:v>
                </c:pt>
                <c:pt idx="882">
                  <c:v>95.85052</c:v>
                </c:pt>
                <c:pt idx="883">
                  <c:v>95.84582</c:v>
                </c:pt>
                <c:pt idx="884">
                  <c:v>95.84117</c:v>
                </c:pt>
                <c:pt idx="885">
                  <c:v>95.83658</c:v>
                </c:pt>
                <c:pt idx="886">
                  <c:v>95.83197000000001</c:v>
                </c:pt>
                <c:pt idx="887">
                  <c:v>95.82733999999998</c:v>
                </c:pt>
                <c:pt idx="888">
                  <c:v>95.82272999999998</c:v>
                </c:pt>
                <c:pt idx="889">
                  <c:v>95.81803999999998</c:v>
                </c:pt>
                <c:pt idx="890">
                  <c:v>95.81333999999998</c:v>
                </c:pt>
                <c:pt idx="891">
                  <c:v>95.80858999999998</c:v>
                </c:pt>
                <c:pt idx="892">
                  <c:v>95.80396</c:v>
                </c:pt>
                <c:pt idx="893">
                  <c:v>95.79937</c:v>
                </c:pt>
                <c:pt idx="894">
                  <c:v>95.79484</c:v>
                </c:pt>
                <c:pt idx="895">
                  <c:v>95.79035</c:v>
                </c:pt>
                <c:pt idx="896">
                  <c:v>95.78582999999997</c:v>
                </c:pt>
                <c:pt idx="897">
                  <c:v>95.78126</c:v>
                </c:pt>
                <c:pt idx="898">
                  <c:v>95.77647999999998</c:v>
                </c:pt>
                <c:pt idx="899">
                  <c:v>95.77185</c:v>
                </c:pt>
                <c:pt idx="900">
                  <c:v>95.7673</c:v>
                </c:pt>
                <c:pt idx="901">
                  <c:v>95.76287999999998</c:v>
                </c:pt>
                <c:pt idx="902">
                  <c:v>95.75846999999997</c:v>
                </c:pt>
                <c:pt idx="903">
                  <c:v>95.75409</c:v>
                </c:pt>
                <c:pt idx="904">
                  <c:v>95.74975</c:v>
                </c:pt>
                <c:pt idx="905">
                  <c:v>95.74531</c:v>
                </c:pt>
                <c:pt idx="906">
                  <c:v>95.7408</c:v>
                </c:pt>
                <c:pt idx="907">
                  <c:v>95.7364</c:v>
                </c:pt>
                <c:pt idx="908">
                  <c:v>95.73195</c:v>
                </c:pt>
                <c:pt idx="909">
                  <c:v>95.72753</c:v>
                </c:pt>
                <c:pt idx="910">
                  <c:v>95.72309</c:v>
                </c:pt>
                <c:pt idx="911">
                  <c:v>95.71854</c:v>
                </c:pt>
                <c:pt idx="912">
                  <c:v>95.71405</c:v>
                </c:pt>
                <c:pt idx="913">
                  <c:v>95.70957000000001</c:v>
                </c:pt>
                <c:pt idx="914">
                  <c:v>95.70521</c:v>
                </c:pt>
                <c:pt idx="915">
                  <c:v>95.70082</c:v>
                </c:pt>
                <c:pt idx="916">
                  <c:v>95.69633999999998</c:v>
                </c:pt>
                <c:pt idx="917">
                  <c:v>95.69181</c:v>
                </c:pt>
                <c:pt idx="918">
                  <c:v>95.6873</c:v>
                </c:pt>
                <c:pt idx="919">
                  <c:v>95.68283999999888</c:v>
                </c:pt>
                <c:pt idx="920">
                  <c:v>95.67853999999878</c:v>
                </c:pt>
                <c:pt idx="921">
                  <c:v>95.6742</c:v>
                </c:pt>
                <c:pt idx="922">
                  <c:v>95.66986</c:v>
                </c:pt>
                <c:pt idx="923">
                  <c:v>95.66557999999995</c:v>
                </c:pt>
                <c:pt idx="924">
                  <c:v>95.66128</c:v>
                </c:pt>
                <c:pt idx="925">
                  <c:v>95.65693999999995</c:v>
                </c:pt>
                <c:pt idx="926">
                  <c:v>95.65255999999998</c:v>
                </c:pt>
                <c:pt idx="927">
                  <c:v>95.64806999999997</c:v>
                </c:pt>
                <c:pt idx="928">
                  <c:v>95.64374999999998</c:v>
                </c:pt>
                <c:pt idx="929">
                  <c:v>95.63952</c:v>
                </c:pt>
                <c:pt idx="930">
                  <c:v>95.63540999999998</c:v>
                </c:pt>
                <c:pt idx="931">
                  <c:v>95.63111</c:v>
                </c:pt>
                <c:pt idx="932">
                  <c:v>95.62684999999995</c:v>
                </c:pt>
                <c:pt idx="933">
                  <c:v>95.62260999999998</c:v>
                </c:pt>
                <c:pt idx="934">
                  <c:v>95.61823</c:v>
                </c:pt>
                <c:pt idx="935">
                  <c:v>95.61389</c:v>
                </c:pt>
                <c:pt idx="936">
                  <c:v>95.60953</c:v>
                </c:pt>
                <c:pt idx="937">
                  <c:v>95.60521</c:v>
                </c:pt>
                <c:pt idx="938">
                  <c:v>95.60080999999998</c:v>
                </c:pt>
                <c:pt idx="939">
                  <c:v>95.59651</c:v>
                </c:pt>
                <c:pt idx="940">
                  <c:v>95.59223</c:v>
                </c:pt>
                <c:pt idx="941">
                  <c:v>95.58799</c:v>
                </c:pt>
                <c:pt idx="942">
                  <c:v>95.58373999999995</c:v>
                </c:pt>
                <c:pt idx="943">
                  <c:v>95.57938999999975</c:v>
                </c:pt>
                <c:pt idx="944">
                  <c:v>95.57519999999998</c:v>
                </c:pt>
                <c:pt idx="945">
                  <c:v>95.57105</c:v>
                </c:pt>
                <c:pt idx="946">
                  <c:v>95.56675</c:v>
                </c:pt>
                <c:pt idx="947">
                  <c:v>95.56248999999998</c:v>
                </c:pt>
                <c:pt idx="948">
                  <c:v>95.55825</c:v>
                </c:pt>
                <c:pt idx="949">
                  <c:v>95.55397999999998</c:v>
                </c:pt>
                <c:pt idx="950">
                  <c:v>95.5497</c:v>
                </c:pt>
                <c:pt idx="951">
                  <c:v>95.54548</c:v>
                </c:pt>
                <c:pt idx="952">
                  <c:v>95.5412</c:v>
                </c:pt>
                <c:pt idx="953">
                  <c:v>95.53695</c:v>
                </c:pt>
                <c:pt idx="954">
                  <c:v>95.53267</c:v>
                </c:pt>
                <c:pt idx="955">
                  <c:v>95.52848999999995</c:v>
                </c:pt>
                <c:pt idx="956">
                  <c:v>95.5243</c:v>
                </c:pt>
                <c:pt idx="957">
                  <c:v>95.52006</c:v>
                </c:pt>
                <c:pt idx="958">
                  <c:v>95.51591</c:v>
                </c:pt>
                <c:pt idx="959">
                  <c:v>95.51178</c:v>
                </c:pt>
                <c:pt idx="960">
                  <c:v>95.50756</c:v>
                </c:pt>
                <c:pt idx="961">
                  <c:v>95.50333999999998</c:v>
                </c:pt>
                <c:pt idx="962">
                  <c:v>95.49923</c:v>
                </c:pt>
                <c:pt idx="963">
                  <c:v>95.49508</c:v>
                </c:pt>
                <c:pt idx="964">
                  <c:v>95.49088</c:v>
                </c:pt>
                <c:pt idx="965">
                  <c:v>95.48679</c:v>
                </c:pt>
                <c:pt idx="966">
                  <c:v>95.48268</c:v>
                </c:pt>
                <c:pt idx="967">
                  <c:v>95.47853</c:v>
                </c:pt>
                <c:pt idx="968">
                  <c:v>95.47441</c:v>
                </c:pt>
                <c:pt idx="969">
                  <c:v>95.47032</c:v>
                </c:pt>
                <c:pt idx="970">
                  <c:v>95.46619</c:v>
                </c:pt>
                <c:pt idx="971">
                  <c:v>95.46195</c:v>
                </c:pt>
                <c:pt idx="972">
                  <c:v>95.4579</c:v>
                </c:pt>
                <c:pt idx="973">
                  <c:v>95.45379</c:v>
                </c:pt>
                <c:pt idx="974">
                  <c:v>95.44958</c:v>
                </c:pt>
                <c:pt idx="975">
                  <c:v>95.4454</c:v>
                </c:pt>
                <c:pt idx="976">
                  <c:v>95.44129</c:v>
                </c:pt>
                <c:pt idx="977">
                  <c:v>95.43722</c:v>
                </c:pt>
                <c:pt idx="978">
                  <c:v>95.43313</c:v>
                </c:pt>
                <c:pt idx="979">
                  <c:v>95.42908</c:v>
                </c:pt>
                <c:pt idx="980">
                  <c:v>95.42501</c:v>
                </c:pt>
                <c:pt idx="981">
                  <c:v>95.42094</c:v>
                </c:pt>
                <c:pt idx="982">
                  <c:v>95.41693</c:v>
                </c:pt>
                <c:pt idx="983">
                  <c:v>95.41288</c:v>
                </c:pt>
                <c:pt idx="984">
                  <c:v>95.40876999999997</c:v>
                </c:pt>
                <c:pt idx="985">
                  <c:v>95.40455</c:v>
                </c:pt>
                <c:pt idx="986">
                  <c:v>95.40044</c:v>
                </c:pt>
                <c:pt idx="987">
                  <c:v>95.39637</c:v>
                </c:pt>
                <c:pt idx="988">
                  <c:v>95.39237999999965</c:v>
                </c:pt>
                <c:pt idx="989">
                  <c:v>95.38843999999965</c:v>
                </c:pt>
                <c:pt idx="990">
                  <c:v>95.38441</c:v>
                </c:pt>
                <c:pt idx="991">
                  <c:v>95.38047999999995</c:v>
                </c:pt>
                <c:pt idx="992">
                  <c:v>95.37644999999995</c:v>
                </c:pt>
                <c:pt idx="993">
                  <c:v>95.37229999999998</c:v>
                </c:pt>
                <c:pt idx="994">
                  <c:v>95.3681</c:v>
                </c:pt>
                <c:pt idx="995">
                  <c:v>95.36395</c:v>
                </c:pt>
                <c:pt idx="996">
                  <c:v>95.35987999999985</c:v>
                </c:pt>
                <c:pt idx="997">
                  <c:v>95.35586999999998</c:v>
                </c:pt>
                <c:pt idx="998">
                  <c:v>95.35182</c:v>
                </c:pt>
                <c:pt idx="999">
                  <c:v>95.34781</c:v>
                </c:pt>
                <c:pt idx="1000">
                  <c:v>95.34379</c:v>
                </c:pt>
                <c:pt idx="1001">
                  <c:v>95.33986</c:v>
                </c:pt>
                <c:pt idx="1002">
                  <c:v>95.33588999999998</c:v>
                </c:pt>
                <c:pt idx="1003">
                  <c:v>95.33182</c:v>
                </c:pt>
                <c:pt idx="1004">
                  <c:v>95.3279</c:v>
                </c:pt>
                <c:pt idx="1005">
                  <c:v>95.32394999999998</c:v>
                </c:pt>
                <c:pt idx="1006">
                  <c:v>95.32006999999998</c:v>
                </c:pt>
                <c:pt idx="1007">
                  <c:v>95.31619</c:v>
                </c:pt>
                <c:pt idx="1008">
                  <c:v>95.31228</c:v>
                </c:pt>
                <c:pt idx="1009">
                  <c:v>95.30829</c:v>
                </c:pt>
                <c:pt idx="1010">
                  <c:v>95.30429</c:v>
                </c:pt>
                <c:pt idx="1011">
                  <c:v>95.30024</c:v>
                </c:pt>
                <c:pt idx="1012">
                  <c:v>95.29625</c:v>
                </c:pt>
                <c:pt idx="1013">
                  <c:v>95.29218</c:v>
                </c:pt>
                <c:pt idx="1014">
                  <c:v>95.28817</c:v>
                </c:pt>
                <c:pt idx="1015">
                  <c:v>95.28416</c:v>
                </c:pt>
                <c:pt idx="1016">
                  <c:v>95.28024</c:v>
                </c:pt>
                <c:pt idx="1017">
                  <c:v>95.27630999999998</c:v>
                </c:pt>
                <c:pt idx="1018">
                  <c:v>95.27236999999998</c:v>
                </c:pt>
                <c:pt idx="1019">
                  <c:v>95.2684</c:v>
                </c:pt>
                <c:pt idx="1020">
                  <c:v>95.26452</c:v>
                </c:pt>
                <c:pt idx="1021">
                  <c:v>95.26063</c:v>
                </c:pt>
                <c:pt idx="1022">
                  <c:v>95.25678999999998</c:v>
                </c:pt>
                <c:pt idx="1023">
                  <c:v>95.25298999999998</c:v>
                </c:pt>
                <c:pt idx="1024">
                  <c:v>95.24913</c:v>
                </c:pt>
                <c:pt idx="1025">
                  <c:v>95.2452</c:v>
                </c:pt>
                <c:pt idx="1026">
                  <c:v>95.24126</c:v>
                </c:pt>
                <c:pt idx="1027">
                  <c:v>95.23731</c:v>
                </c:pt>
                <c:pt idx="1028">
                  <c:v>95.2332</c:v>
                </c:pt>
                <c:pt idx="1029">
                  <c:v>95.22911</c:v>
                </c:pt>
                <c:pt idx="1030">
                  <c:v>95.2252</c:v>
                </c:pt>
                <c:pt idx="1031">
                  <c:v>95.22122</c:v>
                </c:pt>
                <c:pt idx="1032">
                  <c:v>95.21733</c:v>
                </c:pt>
                <c:pt idx="1033">
                  <c:v>95.21366</c:v>
                </c:pt>
                <c:pt idx="1034">
                  <c:v>95.20992</c:v>
                </c:pt>
                <c:pt idx="1035">
                  <c:v>95.20612</c:v>
                </c:pt>
                <c:pt idx="1036">
                  <c:v>95.20225</c:v>
                </c:pt>
                <c:pt idx="1037">
                  <c:v>95.19840999999998</c:v>
                </c:pt>
                <c:pt idx="1038">
                  <c:v>95.19467</c:v>
                </c:pt>
                <c:pt idx="1039">
                  <c:v>95.19092</c:v>
                </c:pt>
                <c:pt idx="1040">
                  <c:v>95.18701</c:v>
                </c:pt>
                <c:pt idx="1041">
                  <c:v>95.18313</c:v>
                </c:pt>
                <c:pt idx="1042">
                  <c:v>95.17922</c:v>
                </c:pt>
                <c:pt idx="1043">
                  <c:v>95.17543999999845</c:v>
                </c:pt>
                <c:pt idx="1044">
                  <c:v>95.17174999999965</c:v>
                </c:pt>
                <c:pt idx="1045">
                  <c:v>95.16804999999998</c:v>
                </c:pt>
                <c:pt idx="1046">
                  <c:v>95.16427</c:v>
                </c:pt>
                <c:pt idx="1047">
                  <c:v>95.16046999999997</c:v>
                </c:pt>
                <c:pt idx="1048">
                  <c:v>95.15649999999998</c:v>
                </c:pt>
                <c:pt idx="1049">
                  <c:v>95.15262</c:v>
                </c:pt>
                <c:pt idx="1050">
                  <c:v>95.14883999999998</c:v>
                </c:pt>
                <c:pt idx="1051">
                  <c:v>95.14512</c:v>
                </c:pt>
                <c:pt idx="1052">
                  <c:v>95.14149</c:v>
                </c:pt>
                <c:pt idx="1053">
                  <c:v>95.13781</c:v>
                </c:pt>
                <c:pt idx="1054">
                  <c:v>95.13405</c:v>
                </c:pt>
                <c:pt idx="1055">
                  <c:v>95.13029</c:v>
                </c:pt>
                <c:pt idx="1056">
                  <c:v>95.12653999999995</c:v>
                </c:pt>
                <c:pt idx="1057">
                  <c:v>95.12283999999858</c:v>
                </c:pt>
                <c:pt idx="1058">
                  <c:v>95.11914</c:v>
                </c:pt>
                <c:pt idx="1059">
                  <c:v>95.11551</c:v>
                </c:pt>
                <c:pt idx="1060">
                  <c:v>95.11183000000001</c:v>
                </c:pt>
                <c:pt idx="1061">
                  <c:v>95.10813999999995</c:v>
                </c:pt>
                <c:pt idx="1062">
                  <c:v>95.10446</c:v>
                </c:pt>
                <c:pt idx="1063">
                  <c:v>95.10077999999928</c:v>
                </c:pt>
                <c:pt idx="1064">
                  <c:v>95.09719</c:v>
                </c:pt>
                <c:pt idx="1065">
                  <c:v>95.09362</c:v>
                </c:pt>
                <c:pt idx="1066">
                  <c:v>95.09011</c:v>
                </c:pt>
                <c:pt idx="1067">
                  <c:v>95.08664</c:v>
                </c:pt>
                <c:pt idx="1068">
                  <c:v>95.08311</c:v>
                </c:pt>
                <c:pt idx="1069">
                  <c:v>95.07953999999998</c:v>
                </c:pt>
                <c:pt idx="1070">
                  <c:v>95.07596999999998</c:v>
                </c:pt>
                <c:pt idx="1071">
                  <c:v>95.07236999999998</c:v>
                </c:pt>
                <c:pt idx="1072">
                  <c:v>95.06877999999985</c:v>
                </c:pt>
                <c:pt idx="1073">
                  <c:v>95.06527000000001</c:v>
                </c:pt>
                <c:pt idx="1074">
                  <c:v>95.06182</c:v>
                </c:pt>
                <c:pt idx="1075">
                  <c:v>95.05842</c:v>
                </c:pt>
                <c:pt idx="1076">
                  <c:v>95.05493000000001</c:v>
                </c:pt>
                <c:pt idx="1077">
                  <c:v>95.05137999999998</c:v>
                </c:pt>
                <c:pt idx="1078">
                  <c:v>95.04785</c:v>
                </c:pt>
                <c:pt idx="1079">
                  <c:v>95.04432</c:v>
                </c:pt>
                <c:pt idx="1080">
                  <c:v>95.04091</c:v>
                </c:pt>
                <c:pt idx="1081">
                  <c:v>95.03742</c:v>
                </c:pt>
                <c:pt idx="1082">
                  <c:v>95.03395</c:v>
                </c:pt>
                <c:pt idx="1083">
                  <c:v>95.03047999999998</c:v>
                </c:pt>
                <c:pt idx="1084">
                  <c:v>95.02708</c:v>
                </c:pt>
                <c:pt idx="1085">
                  <c:v>95.02370999999998</c:v>
                </c:pt>
                <c:pt idx="1086">
                  <c:v>95.02041</c:v>
                </c:pt>
                <c:pt idx="1087">
                  <c:v>95.01713</c:v>
                </c:pt>
                <c:pt idx="1088">
                  <c:v>95.01377</c:v>
                </c:pt>
                <c:pt idx="1089">
                  <c:v>95.01034</c:v>
                </c:pt>
                <c:pt idx="1090">
                  <c:v>95.00691</c:v>
                </c:pt>
                <c:pt idx="1091">
                  <c:v>95.00363</c:v>
                </c:pt>
                <c:pt idx="1092">
                  <c:v>95.00038999999998</c:v>
                </c:pt>
                <c:pt idx="1093">
                  <c:v>94.99711</c:v>
                </c:pt>
                <c:pt idx="1094">
                  <c:v>94.99387</c:v>
                </c:pt>
                <c:pt idx="1095">
                  <c:v>94.99063</c:v>
                </c:pt>
                <c:pt idx="1096">
                  <c:v>94.98735</c:v>
                </c:pt>
                <c:pt idx="1097">
                  <c:v>94.98409</c:v>
                </c:pt>
                <c:pt idx="1098">
                  <c:v>94.98079</c:v>
                </c:pt>
                <c:pt idx="1099">
                  <c:v>94.97755</c:v>
                </c:pt>
                <c:pt idx="1100">
                  <c:v>94.97441</c:v>
                </c:pt>
                <c:pt idx="1101">
                  <c:v>94.97115</c:v>
                </c:pt>
                <c:pt idx="1102">
                  <c:v>94.96787</c:v>
                </c:pt>
                <c:pt idx="1103">
                  <c:v>94.96467000000002</c:v>
                </c:pt>
                <c:pt idx="1104">
                  <c:v>94.96149</c:v>
                </c:pt>
                <c:pt idx="1105">
                  <c:v>94.9583</c:v>
                </c:pt>
                <c:pt idx="1106">
                  <c:v>94.9551</c:v>
                </c:pt>
                <c:pt idx="1107">
                  <c:v>94.95198</c:v>
                </c:pt>
                <c:pt idx="1108">
                  <c:v>94.94893</c:v>
                </c:pt>
                <c:pt idx="1109">
                  <c:v>94.9459</c:v>
                </c:pt>
                <c:pt idx="1110">
                  <c:v>94.94285</c:v>
                </c:pt>
                <c:pt idx="1111">
                  <c:v>94.93975</c:v>
                </c:pt>
                <c:pt idx="1112">
                  <c:v>94.93662</c:v>
                </c:pt>
                <c:pt idx="1113">
                  <c:v>94.93365</c:v>
                </c:pt>
                <c:pt idx="1114">
                  <c:v>94.93057</c:v>
                </c:pt>
                <c:pt idx="1115">
                  <c:v>94.92752</c:v>
                </c:pt>
                <c:pt idx="1116">
                  <c:v>94.9244</c:v>
                </c:pt>
                <c:pt idx="1117">
                  <c:v>94.9215</c:v>
                </c:pt>
                <c:pt idx="1118">
                  <c:v>94.91848</c:v>
                </c:pt>
                <c:pt idx="1119">
                  <c:v>94.91541</c:v>
                </c:pt>
                <c:pt idx="1120">
                  <c:v>94.91232</c:v>
                </c:pt>
                <c:pt idx="1121">
                  <c:v>94.90928</c:v>
                </c:pt>
                <c:pt idx="1122">
                  <c:v>94.90625</c:v>
                </c:pt>
                <c:pt idx="1123">
                  <c:v>94.90326</c:v>
                </c:pt>
                <c:pt idx="1124">
                  <c:v>94.90035</c:v>
                </c:pt>
                <c:pt idx="1125">
                  <c:v>94.89751</c:v>
                </c:pt>
                <c:pt idx="1126">
                  <c:v>94.89469</c:v>
                </c:pt>
                <c:pt idx="1127">
                  <c:v>94.89186</c:v>
                </c:pt>
                <c:pt idx="1128">
                  <c:v>94.88894999999998</c:v>
                </c:pt>
                <c:pt idx="1129">
                  <c:v>94.88572999999998</c:v>
                </c:pt>
                <c:pt idx="1130">
                  <c:v>94.88278999999918</c:v>
                </c:pt>
                <c:pt idx="1131">
                  <c:v>94.87989999999998</c:v>
                </c:pt>
                <c:pt idx="1132">
                  <c:v>94.87712</c:v>
                </c:pt>
                <c:pt idx="1133">
                  <c:v>94.87446</c:v>
                </c:pt>
                <c:pt idx="1134">
                  <c:v>94.87167</c:v>
                </c:pt>
                <c:pt idx="1135">
                  <c:v>94.86874999999995</c:v>
                </c:pt>
                <c:pt idx="1136">
                  <c:v>94.86586</c:v>
                </c:pt>
                <c:pt idx="1137">
                  <c:v>94.86312</c:v>
                </c:pt>
                <c:pt idx="1138">
                  <c:v>94.85992</c:v>
                </c:pt>
                <c:pt idx="1139">
                  <c:v>94.85703</c:v>
                </c:pt>
                <c:pt idx="1140">
                  <c:v>94.85421</c:v>
                </c:pt>
                <c:pt idx="1141">
                  <c:v>94.85151</c:v>
                </c:pt>
                <c:pt idx="1142">
                  <c:v>94.84922</c:v>
                </c:pt>
                <c:pt idx="1143">
                  <c:v>94.8465</c:v>
                </c:pt>
                <c:pt idx="1144">
                  <c:v>94.84358</c:v>
                </c:pt>
                <c:pt idx="1145">
                  <c:v>94.84077</c:v>
                </c:pt>
                <c:pt idx="1146">
                  <c:v>94.83799</c:v>
                </c:pt>
                <c:pt idx="1147">
                  <c:v>94.83529</c:v>
                </c:pt>
                <c:pt idx="1148">
                  <c:v>94.83256999999997</c:v>
                </c:pt>
                <c:pt idx="1149">
                  <c:v>94.82984999999998</c:v>
                </c:pt>
                <c:pt idx="1150">
                  <c:v>94.82709</c:v>
                </c:pt>
                <c:pt idx="1151">
                  <c:v>94.82436999999997</c:v>
                </c:pt>
                <c:pt idx="1152">
                  <c:v>94.82174999999998</c:v>
                </c:pt>
                <c:pt idx="1153">
                  <c:v>94.81913</c:v>
                </c:pt>
                <c:pt idx="1154">
                  <c:v>94.81647</c:v>
                </c:pt>
                <c:pt idx="1155">
                  <c:v>94.8138</c:v>
                </c:pt>
                <c:pt idx="1156">
                  <c:v>94.81107</c:v>
                </c:pt>
                <c:pt idx="1157">
                  <c:v>94.80832999999998</c:v>
                </c:pt>
                <c:pt idx="1158">
                  <c:v>94.80561</c:v>
                </c:pt>
                <c:pt idx="1159">
                  <c:v>94.80306</c:v>
                </c:pt>
                <c:pt idx="1160">
                  <c:v>94.80046</c:v>
                </c:pt>
                <c:pt idx="1161">
                  <c:v>94.79791</c:v>
                </c:pt>
                <c:pt idx="1162">
                  <c:v>94.79535</c:v>
                </c:pt>
                <c:pt idx="1163">
                  <c:v>94.79276</c:v>
                </c:pt>
                <c:pt idx="1164">
                  <c:v>94.79012</c:v>
                </c:pt>
                <c:pt idx="1165">
                  <c:v>94.78744</c:v>
                </c:pt>
                <c:pt idx="1166">
                  <c:v>94.78489</c:v>
                </c:pt>
                <c:pt idx="1167">
                  <c:v>94.78236999999998</c:v>
                </c:pt>
                <c:pt idx="1168">
                  <c:v>94.77987999999995</c:v>
                </c:pt>
                <c:pt idx="1169">
                  <c:v>94.77731</c:v>
                </c:pt>
                <c:pt idx="1170">
                  <c:v>94.77476999999997</c:v>
                </c:pt>
                <c:pt idx="1171">
                  <c:v>94.77222</c:v>
                </c:pt>
                <c:pt idx="1172">
                  <c:v>94.76968</c:v>
                </c:pt>
                <c:pt idx="1173">
                  <c:v>94.76715</c:v>
                </c:pt>
                <c:pt idx="1174">
                  <c:v>94.76455</c:v>
                </c:pt>
                <c:pt idx="1175">
                  <c:v>94.76204</c:v>
                </c:pt>
                <c:pt idx="1176">
                  <c:v>94.75959</c:v>
                </c:pt>
                <c:pt idx="1177">
                  <c:v>94.75716</c:v>
                </c:pt>
                <c:pt idx="1178">
                  <c:v>94.75471</c:v>
                </c:pt>
                <c:pt idx="1179">
                  <c:v>94.7522</c:v>
                </c:pt>
                <c:pt idx="1180">
                  <c:v>94.74973</c:v>
                </c:pt>
                <c:pt idx="1181">
                  <c:v>94.74721</c:v>
                </c:pt>
                <c:pt idx="1182">
                  <c:v>94.7448</c:v>
                </c:pt>
                <c:pt idx="1183">
                  <c:v>94.7424</c:v>
                </c:pt>
                <c:pt idx="1184">
                  <c:v>94.73986</c:v>
                </c:pt>
                <c:pt idx="1185">
                  <c:v>94.73735</c:v>
                </c:pt>
                <c:pt idx="1186">
                  <c:v>94.73484</c:v>
                </c:pt>
                <c:pt idx="1187">
                  <c:v>94.73222</c:v>
                </c:pt>
                <c:pt idx="1188">
                  <c:v>94.72978999999998</c:v>
                </c:pt>
                <c:pt idx="1189">
                  <c:v>94.72737999999998</c:v>
                </c:pt>
                <c:pt idx="1190">
                  <c:v>94.72502999999997</c:v>
                </c:pt>
                <c:pt idx="1191">
                  <c:v>94.72267</c:v>
                </c:pt>
                <c:pt idx="1192">
                  <c:v>94.72028</c:v>
                </c:pt>
                <c:pt idx="1193">
                  <c:v>94.71797</c:v>
                </c:pt>
                <c:pt idx="1194">
                  <c:v>94.71571</c:v>
                </c:pt>
                <c:pt idx="1195">
                  <c:v>94.7133</c:v>
                </c:pt>
                <c:pt idx="1196">
                  <c:v>94.71089</c:v>
                </c:pt>
                <c:pt idx="1197">
                  <c:v>94.70854</c:v>
                </c:pt>
                <c:pt idx="1198">
                  <c:v>94.70622</c:v>
                </c:pt>
                <c:pt idx="1199">
                  <c:v>94.70391</c:v>
                </c:pt>
                <c:pt idx="1200">
                  <c:v>94.70155</c:v>
                </c:pt>
                <c:pt idx="1201">
                  <c:v>94.69918</c:v>
                </c:pt>
                <c:pt idx="1202">
                  <c:v>94.69683</c:v>
                </c:pt>
                <c:pt idx="1203">
                  <c:v>94.69442</c:v>
                </c:pt>
                <c:pt idx="1204">
                  <c:v>94.69197000000001</c:v>
                </c:pt>
                <c:pt idx="1205">
                  <c:v>94.68967</c:v>
                </c:pt>
                <c:pt idx="1206">
                  <c:v>94.68728</c:v>
                </c:pt>
                <c:pt idx="1207">
                  <c:v>94.68497</c:v>
                </c:pt>
                <c:pt idx="1208">
                  <c:v>94.68274999999888</c:v>
                </c:pt>
                <c:pt idx="1209">
                  <c:v>94.68053</c:v>
                </c:pt>
                <c:pt idx="1210">
                  <c:v>94.67821999999998</c:v>
                </c:pt>
                <c:pt idx="1211">
                  <c:v>94.67595999999975</c:v>
                </c:pt>
                <c:pt idx="1212">
                  <c:v>94.67371999999965</c:v>
                </c:pt>
                <c:pt idx="1213">
                  <c:v>94.67153999999998</c:v>
                </c:pt>
                <c:pt idx="1214">
                  <c:v>94.66939999999998</c:v>
                </c:pt>
                <c:pt idx="1215">
                  <c:v>94.66713</c:v>
                </c:pt>
                <c:pt idx="1216">
                  <c:v>94.66485</c:v>
                </c:pt>
                <c:pt idx="1217">
                  <c:v>94.66258999999998</c:v>
                </c:pt>
                <c:pt idx="1218">
                  <c:v>94.66033999999995</c:v>
                </c:pt>
                <c:pt idx="1219">
                  <c:v>94.65817999999948</c:v>
                </c:pt>
                <c:pt idx="1220">
                  <c:v>94.65589999999958</c:v>
                </c:pt>
                <c:pt idx="1221">
                  <c:v>94.65363</c:v>
                </c:pt>
                <c:pt idx="1222">
                  <c:v>94.65138999999998</c:v>
                </c:pt>
                <c:pt idx="1223">
                  <c:v>94.64925</c:v>
                </c:pt>
                <c:pt idx="1224">
                  <c:v>94.64705</c:v>
                </c:pt>
                <c:pt idx="1225">
                  <c:v>94.64475</c:v>
                </c:pt>
                <c:pt idx="1226">
                  <c:v>94.64257</c:v>
                </c:pt>
                <c:pt idx="1227">
                  <c:v>94.64038999999998</c:v>
                </c:pt>
                <c:pt idx="1228">
                  <c:v>94.6382</c:v>
                </c:pt>
                <c:pt idx="1229">
                  <c:v>94.63597999999975</c:v>
                </c:pt>
                <c:pt idx="1230">
                  <c:v>94.63375999999998</c:v>
                </c:pt>
                <c:pt idx="1231">
                  <c:v>94.63158</c:v>
                </c:pt>
                <c:pt idx="1232">
                  <c:v>94.62923</c:v>
                </c:pt>
                <c:pt idx="1233">
                  <c:v>94.62694999999998</c:v>
                </c:pt>
                <c:pt idx="1234">
                  <c:v>94.62472999999998</c:v>
                </c:pt>
                <c:pt idx="1235">
                  <c:v>94.62251999999998</c:v>
                </c:pt>
                <c:pt idx="1236">
                  <c:v>94.62027999999998</c:v>
                </c:pt>
                <c:pt idx="1237">
                  <c:v>94.61812</c:v>
                </c:pt>
                <c:pt idx="1238">
                  <c:v>94.61602</c:v>
                </c:pt>
                <c:pt idx="1239">
                  <c:v>94.61386</c:v>
                </c:pt>
                <c:pt idx="1240">
                  <c:v>94.61168</c:v>
                </c:pt>
                <c:pt idx="1241">
                  <c:v>94.60957</c:v>
                </c:pt>
                <c:pt idx="1242">
                  <c:v>94.60747</c:v>
                </c:pt>
                <c:pt idx="1243">
                  <c:v>94.60534999999938</c:v>
                </c:pt>
                <c:pt idx="1244">
                  <c:v>94.60317</c:v>
                </c:pt>
                <c:pt idx="1245">
                  <c:v>94.60109</c:v>
                </c:pt>
                <c:pt idx="1246">
                  <c:v>94.59897</c:v>
                </c:pt>
                <c:pt idx="1247">
                  <c:v>94.5969</c:v>
                </c:pt>
                <c:pt idx="1248">
                  <c:v>94.5948</c:v>
                </c:pt>
                <c:pt idx="1249">
                  <c:v>94.59268</c:v>
                </c:pt>
                <c:pt idx="1250">
                  <c:v>94.59056</c:v>
                </c:pt>
                <c:pt idx="1251">
                  <c:v>94.58844999999998</c:v>
                </c:pt>
                <c:pt idx="1252">
                  <c:v>94.58634999999998</c:v>
                </c:pt>
                <c:pt idx="1253">
                  <c:v>94.58427</c:v>
                </c:pt>
                <c:pt idx="1254">
                  <c:v>94.58217</c:v>
                </c:pt>
                <c:pt idx="1255">
                  <c:v>94.58003</c:v>
                </c:pt>
                <c:pt idx="1256">
                  <c:v>94.57794</c:v>
                </c:pt>
                <c:pt idx="1257">
                  <c:v>94.57583999999908</c:v>
                </c:pt>
                <c:pt idx="1258">
                  <c:v>94.57371999999998</c:v>
                </c:pt>
                <c:pt idx="1259">
                  <c:v>94.57162</c:v>
                </c:pt>
                <c:pt idx="1260">
                  <c:v>94.56957000000001</c:v>
                </c:pt>
                <c:pt idx="1261">
                  <c:v>94.56741</c:v>
                </c:pt>
                <c:pt idx="1262">
                  <c:v>94.56530999999998</c:v>
                </c:pt>
                <c:pt idx="1263">
                  <c:v>94.56321</c:v>
                </c:pt>
                <c:pt idx="1264">
                  <c:v>94.56107</c:v>
                </c:pt>
                <c:pt idx="1265">
                  <c:v>94.55899999999998</c:v>
                </c:pt>
                <c:pt idx="1266">
                  <c:v>94.55693999999998</c:v>
                </c:pt>
                <c:pt idx="1267">
                  <c:v>94.55486</c:v>
                </c:pt>
                <c:pt idx="1268">
                  <c:v>94.55278999999948</c:v>
                </c:pt>
                <c:pt idx="1269">
                  <c:v>94.55063000000001</c:v>
                </c:pt>
                <c:pt idx="1270">
                  <c:v>94.54857000000001</c:v>
                </c:pt>
                <c:pt idx="1271">
                  <c:v>94.54645</c:v>
                </c:pt>
                <c:pt idx="1272">
                  <c:v>94.54438</c:v>
                </c:pt>
                <c:pt idx="1273">
                  <c:v>94.54244</c:v>
                </c:pt>
                <c:pt idx="1274">
                  <c:v>94.54047000000001</c:v>
                </c:pt>
                <c:pt idx="1275">
                  <c:v>94.53843999999998</c:v>
                </c:pt>
                <c:pt idx="1276">
                  <c:v>94.53644</c:v>
                </c:pt>
                <c:pt idx="1277">
                  <c:v>94.53435</c:v>
                </c:pt>
                <c:pt idx="1278">
                  <c:v>94.53234999999998</c:v>
                </c:pt>
                <c:pt idx="1279">
                  <c:v>94.53033999999998</c:v>
                </c:pt>
                <c:pt idx="1280">
                  <c:v>94.52829999999997</c:v>
                </c:pt>
                <c:pt idx="1281">
                  <c:v>94.52625</c:v>
                </c:pt>
                <c:pt idx="1282">
                  <c:v>94.52421</c:v>
                </c:pt>
                <c:pt idx="1283">
                  <c:v>94.52214999999998</c:v>
                </c:pt>
                <c:pt idx="1284">
                  <c:v>94.52017999999998</c:v>
                </c:pt>
                <c:pt idx="1285">
                  <c:v>94.51825</c:v>
                </c:pt>
                <c:pt idx="1286">
                  <c:v>94.51636</c:v>
                </c:pt>
                <c:pt idx="1287">
                  <c:v>94.51445</c:v>
                </c:pt>
                <c:pt idx="1288">
                  <c:v>94.51258</c:v>
                </c:pt>
                <c:pt idx="1289">
                  <c:v>94.51057</c:v>
                </c:pt>
                <c:pt idx="1290">
                  <c:v>94.50859</c:v>
                </c:pt>
                <c:pt idx="1291">
                  <c:v>94.50652</c:v>
                </c:pt>
                <c:pt idx="1292">
                  <c:v>94.50442</c:v>
                </c:pt>
                <c:pt idx="1293">
                  <c:v>94.50235999999998</c:v>
                </c:pt>
                <c:pt idx="1294">
                  <c:v>94.50031</c:v>
                </c:pt>
                <c:pt idx="1295">
                  <c:v>94.49827</c:v>
                </c:pt>
                <c:pt idx="1296">
                  <c:v>94.4962</c:v>
                </c:pt>
                <c:pt idx="1297">
                  <c:v>94.49418</c:v>
                </c:pt>
                <c:pt idx="1298">
                  <c:v>94.49217</c:v>
                </c:pt>
                <c:pt idx="1299">
                  <c:v>94.49019</c:v>
                </c:pt>
                <c:pt idx="1300">
                  <c:v>94.48836999999997</c:v>
                </c:pt>
                <c:pt idx="1301">
                  <c:v>94.48637</c:v>
                </c:pt>
                <c:pt idx="1302">
                  <c:v>94.48438</c:v>
                </c:pt>
                <c:pt idx="1303">
                  <c:v>94.48236</c:v>
                </c:pt>
                <c:pt idx="1304">
                  <c:v>94.48035</c:v>
                </c:pt>
                <c:pt idx="1305">
                  <c:v>94.47835999999998</c:v>
                </c:pt>
                <c:pt idx="1306">
                  <c:v>94.47637999999998</c:v>
                </c:pt>
                <c:pt idx="1307">
                  <c:v>94.47439</c:v>
                </c:pt>
                <c:pt idx="1308">
                  <c:v>94.47239999999998</c:v>
                </c:pt>
                <c:pt idx="1309">
                  <c:v>94.4704</c:v>
                </c:pt>
                <c:pt idx="1310">
                  <c:v>94.46839</c:v>
                </c:pt>
                <c:pt idx="1311">
                  <c:v>94.4665</c:v>
                </c:pt>
                <c:pt idx="1312">
                  <c:v>94.46455</c:v>
                </c:pt>
                <c:pt idx="1313">
                  <c:v>94.46261</c:v>
                </c:pt>
                <c:pt idx="1314">
                  <c:v>94.46072</c:v>
                </c:pt>
                <c:pt idx="1315">
                  <c:v>94.45881</c:v>
                </c:pt>
                <c:pt idx="1316">
                  <c:v>94.45677999999998</c:v>
                </c:pt>
                <c:pt idx="1317">
                  <c:v>94.45478</c:v>
                </c:pt>
                <c:pt idx="1318">
                  <c:v>94.45276999999998</c:v>
                </c:pt>
                <c:pt idx="1319">
                  <c:v>94.45073</c:v>
                </c:pt>
                <c:pt idx="1320">
                  <c:v>94.4487</c:v>
                </c:pt>
                <c:pt idx="1321">
                  <c:v>94.44673</c:v>
                </c:pt>
                <c:pt idx="1322">
                  <c:v>94.44482</c:v>
                </c:pt>
                <c:pt idx="1323">
                  <c:v>94.44293</c:v>
                </c:pt>
                <c:pt idx="1324">
                  <c:v>94.44097</c:v>
                </c:pt>
                <c:pt idx="1325">
                  <c:v>94.43896</c:v>
                </c:pt>
                <c:pt idx="1326">
                  <c:v>94.43699</c:v>
                </c:pt>
                <c:pt idx="1327">
                  <c:v>94.43503000000001</c:v>
                </c:pt>
                <c:pt idx="1328">
                  <c:v>94.43304</c:v>
                </c:pt>
                <c:pt idx="1329">
                  <c:v>94.43103</c:v>
                </c:pt>
                <c:pt idx="1330">
                  <c:v>94.42914</c:v>
                </c:pt>
                <c:pt idx="1331">
                  <c:v>94.42725</c:v>
                </c:pt>
                <c:pt idx="1332">
                  <c:v>94.42532</c:v>
                </c:pt>
                <c:pt idx="1333">
                  <c:v>94.42333999999998</c:v>
                </c:pt>
                <c:pt idx="1334">
                  <c:v>94.42137</c:v>
                </c:pt>
                <c:pt idx="1335">
                  <c:v>94.41938</c:v>
                </c:pt>
                <c:pt idx="1336">
                  <c:v>94.4173</c:v>
                </c:pt>
                <c:pt idx="1337">
                  <c:v>94.41535</c:v>
                </c:pt>
                <c:pt idx="1338">
                  <c:v>94.41342</c:v>
                </c:pt>
                <c:pt idx="1339">
                  <c:v>94.41144</c:v>
                </c:pt>
                <c:pt idx="1340">
                  <c:v>94.40951</c:v>
                </c:pt>
                <c:pt idx="1341">
                  <c:v>94.40766</c:v>
                </c:pt>
                <c:pt idx="1342">
                  <c:v>94.40578999999998</c:v>
                </c:pt>
                <c:pt idx="1343">
                  <c:v>94.40403</c:v>
                </c:pt>
                <c:pt idx="1344">
                  <c:v>94.4021</c:v>
                </c:pt>
                <c:pt idx="1345">
                  <c:v>94.40008</c:v>
                </c:pt>
                <c:pt idx="1346">
                  <c:v>94.39811</c:v>
                </c:pt>
                <c:pt idx="1347">
                  <c:v>94.39622</c:v>
                </c:pt>
                <c:pt idx="1348">
                  <c:v>94.39433</c:v>
                </c:pt>
                <c:pt idx="1349">
                  <c:v>94.39239999999998</c:v>
                </c:pt>
                <c:pt idx="1350">
                  <c:v>94.39037999999998</c:v>
                </c:pt>
                <c:pt idx="1351">
                  <c:v>94.38844999999998</c:v>
                </c:pt>
                <c:pt idx="1352">
                  <c:v>94.38656</c:v>
                </c:pt>
                <c:pt idx="1353">
                  <c:v>94.38457</c:v>
                </c:pt>
                <c:pt idx="1354">
                  <c:v>94.38259999999998</c:v>
                </c:pt>
                <c:pt idx="1355">
                  <c:v>94.38053999999998</c:v>
                </c:pt>
                <c:pt idx="1356">
                  <c:v>94.37866999999998</c:v>
                </c:pt>
                <c:pt idx="1357">
                  <c:v>94.37685999999998</c:v>
                </c:pt>
                <c:pt idx="1358">
                  <c:v>94.37507999999868</c:v>
                </c:pt>
                <c:pt idx="1359">
                  <c:v>94.37325</c:v>
                </c:pt>
                <c:pt idx="1360">
                  <c:v>94.37135999999998</c:v>
                </c:pt>
                <c:pt idx="1361">
                  <c:v>94.3693</c:v>
                </c:pt>
                <c:pt idx="1362">
                  <c:v>94.36735</c:v>
                </c:pt>
                <c:pt idx="1363">
                  <c:v>94.36555</c:v>
                </c:pt>
                <c:pt idx="1364">
                  <c:v>94.36361</c:v>
                </c:pt>
                <c:pt idx="1365">
                  <c:v>94.36154</c:v>
                </c:pt>
                <c:pt idx="1366">
                  <c:v>94.35963</c:v>
                </c:pt>
                <c:pt idx="1367">
                  <c:v>94.35783999999998</c:v>
                </c:pt>
                <c:pt idx="1368">
                  <c:v>94.35602999999997</c:v>
                </c:pt>
                <c:pt idx="1369">
                  <c:v>94.35414</c:v>
                </c:pt>
                <c:pt idx="1370">
                  <c:v>94.35223</c:v>
                </c:pt>
                <c:pt idx="1371">
                  <c:v>94.35038999999995</c:v>
                </c:pt>
                <c:pt idx="1372">
                  <c:v>94.34858</c:v>
                </c:pt>
                <c:pt idx="1373">
                  <c:v>94.34681</c:v>
                </c:pt>
                <c:pt idx="1374">
                  <c:v>94.3449</c:v>
                </c:pt>
                <c:pt idx="1375">
                  <c:v>94.34305</c:v>
                </c:pt>
                <c:pt idx="1376">
                  <c:v>94.34112</c:v>
                </c:pt>
                <c:pt idx="1377">
                  <c:v>94.33921</c:v>
                </c:pt>
                <c:pt idx="1378">
                  <c:v>94.33726</c:v>
                </c:pt>
                <c:pt idx="1379">
                  <c:v>94.33525</c:v>
                </c:pt>
                <c:pt idx="1380">
                  <c:v>94.33321</c:v>
                </c:pt>
                <c:pt idx="1381">
                  <c:v>94.33130000000001</c:v>
                </c:pt>
                <c:pt idx="1382">
                  <c:v>94.32936999999998</c:v>
                </c:pt>
                <c:pt idx="1383">
                  <c:v>94.32743999999998</c:v>
                </c:pt>
                <c:pt idx="1384">
                  <c:v>94.32556999999998</c:v>
                </c:pt>
                <c:pt idx="1385">
                  <c:v>94.32375999999998</c:v>
                </c:pt>
                <c:pt idx="1386">
                  <c:v>94.32185</c:v>
                </c:pt>
                <c:pt idx="1387">
                  <c:v>94.31986</c:v>
                </c:pt>
                <c:pt idx="1388">
                  <c:v>94.31786</c:v>
                </c:pt>
                <c:pt idx="1389">
                  <c:v>94.31588999999998</c:v>
                </c:pt>
                <c:pt idx="1390">
                  <c:v>94.31398</c:v>
                </c:pt>
                <c:pt idx="1391">
                  <c:v>94.31219</c:v>
                </c:pt>
                <c:pt idx="1392">
                  <c:v>94.31030000000001</c:v>
                </c:pt>
                <c:pt idx="1393">
                  <c:v>94.30853999999998</c:v>
                </c:pt>
                <c:pt idx="1394">
                  <c:v>94.30672999999997</c:v>
                </c:pt>
                <c:pt idx="1395">
                  <c:v>94.3049</c:v>
                </c:pt>
                <c:pt idx="1396">
                  <c:v>94.30298999999998</c:v>
                </c:pt>
                <c:pt idx="1397">
                  <c:v>94.30115</c:v>
                </c:pt>
                <c:pt idx="1398">
                  <c:v>94.29938</c:v>
                </c:pt>
                <c:pt idx="1399">
                  <c:v>94.29743</c:v>
                </c:pt>
                <c:pt idx="1400">
                  <c:v>94.29545</c:v>
                </c:pt>
                <c:pt idx="1401">
                  <c:v>94.29354</c:v>
                </c:pt>
                <c:pt idx="1402">
                  <c:v>94.29174</c:v>
                </c:pt>
                <c:pt idx="1403">
                  <c:v>94.28991</c:v>
                </c:pt>
                <c:pt idx="1404">
                  <c:v>94.2879</c:v>
                </c:pt>
                <c:pt idx="1405">
                  <c:v>94.28586</c:v>
                </c:pt>
                <c:pt idx="1406">
                  <c:v>94.28387</c:v>
                </c:pt>
                <c:pt idx="1407">
                  <c:v>94.28203999999998</c:v>
                </c:pt>
                <c:pt idx="1408">
                  <c:v>94.28021</c:v>
                </c:pt>
                <c:pt idx="1409">
                  <c:v>94.27831999999998</c:v>
                </c:pt>
                <c:pt idx="1410">
                  <c:v>94.27646999999997</c:v>
                </c:pt>
                <c:pt idx="1411">
                  <c:v>94.27458</c:v>
                </c:pt>
                <c:pt idx="1412">
                  <c:v>94.27275999999995</c:v>
                </c:pt>
                <c:pt idx="1413">
                  <c:v>94.27079999999998</c:v>
                </c:pt>
                <c:pt idx="1414">
                  <c:v>94.26878999999998</c:v>
                </c:pt>
                <c:pt idx="1415">
                  <c:v>94.26686</c:v>
                </c:pt>
                <c:pt idx="1416">
                  <c:v>94.26486</c:v>
                </c:pt>
                <c:pt idx="1417">
                  <c:v>94.26308</c:v>
                </c:pt>
                <c:pt idx="1418">
                  <c:v>94.26127</c:v>
                </c:pt>
                <c:pt idx="1419">
                  <c:v>94.25942</c:v>
                </c:pt>
                <c:pt idx="1420">
                  <c:v>94.25751</c:v>
                </c:pt>
                <c:pt idx="1421">
                  <c:v>94.25557999999998</c:v>
                </c:pt>
                <c:pt idx="1422">
                  <c:v>94.25363</c:v>
                </c:pt>
                <c:pt idx="1423">
                  <c:v>94.25186</c:v>
                </c:pt>
                <c:pt idx="1424">
                  <c:v>94.25006</c:v>
                </c:pt>
                <c:pt idx="1425">
                  <c:v>94.24825</c:v>
                </c:pt>
                <c:pt idx="1426">
                  <c:v>94.24628</c:v>
                </c:pt>
                <c:pt idx="1427">
                  <c:v>94.24441</c:v>
                </c:pt>
                <c:pt idx="1428">
                  <c:v>94.24248</c:v>
                </c:pt>
                <c:pt idx="1429">
                  <c:v>94.24067</c:v>
                </c:pt>
                <c:pt idx="1430">
                  <c:v>94.2389</c:v>
                </c:pt>
                <c:pt idx="1431">
                  <c:v>94.23699</c:v>
                </c:pt>
                <c:pt idx="1432">
                  <c:v>94.23512</c:v>
                </c:pt>
                <c:pt idx="1433">
                  <c:v>94.23321</c:v>
                </c:pt>
                <c:pt idx="1434">
                  <c:v>94.2313</c:v>
                </c:pt>
                <c:pt idx="1435">
                  <c:v>94.22943</c:v>
                </c:pt>
                <c:pt idx="1436">
                  <c:v>94.22748</c:v>
                </c:pt>
                <c:pt idx="1437">
                  <c:v>94.22557</c:v>
                </c:pt>
                <c:pt idx="1438">
                  <c:v>94.22378999999998</c:v>
                </c:pt>
                <c:pt idx="1439">
                  <c:v>94.22188</c:v>
                </c:pt>
                <c:pt idx="1440">
                  <c:v>94.22001</c:v>
                </c:pt>
                <c:pt idx="1441">
                  <c:v>94.21799</c:v>
                </c:pt>
                <c:pt idx="1442">
                  <c:v>94.21623</c:v>
                </c:pt>
                <c:pt idx="1443">
                  <c:v>94.21407</c:v>
                </c:pt>
                <c:pt idx="1444">
                  <c:v>94.21207</c:v>
                </c:pt>
                <c:pt idx="1445">
                  <c:v>94.21014</c:v>
                </c:pt>
                <c:pt idx="1446">
                  <c:v>94.20827000000001</c:v>
                </c:pt>
                <c:pt idx="1447">
                  <c:v>94.20653</c:v>
                </c:pt>
                <c:pt idx="1448">
                  <c:v>94.20485</c:v>
                </c:pt>
                <c:pt idx="1449">
                  <c:v>94.20314</c:v>
                </c:pt>
                <c:pt idx="1450">
                  <c:v>94.20125</c:v>
                </c:pt>
                <c:pt idx="1451">
                  <c:v>94.19928</c:v>
                </c:pt>
                <c:pt idx="1452">
                  <c:v>94.1972</c:v>
                </c:pt>
                <c:pt idx="1453">
                  <c:v>94.19518999999998</c:v>
                </c:pt>
                <c:pt idx="1454">
                  <c:v>94.19333999999998</c:v>
                </c:pt>
                <c:pt idx="1455">
                  <c:v>94.19149</c:v>
                </c:pt>
                <c:pt idx="1456">
                  <c:v>94.18963999999998</c:v>
                </c:pt>
                <c:pt idx="1457">
                  <c:v>94.18776999999998</c:v>
                </c:pt>
                <c:pt idx="1458">
                  <c:v>94.18594999999995</c:v>
                </c:pt>
                <c:pt idx="1459">
                  <c:v>94.18402</c:v>
                </c:pt>
                <c:pt idx="1460">
                  <c:v>94.18203999999928</c:v>
                </c:pt>
                <c:pt idx="1461">
                  <c:v>94.18011</c:v>
                </c:pt>
                <c:pt idx="1462">
                  <c:v>94.17815999999995</c:v>
                </c:pt>
                <c:pt idx="1463">
                  <c:v>94.17628999999998</c:v>
                </c:pt>
                <c:pt idx="1464">
                  <c:v>94.17433999999938</c:v>
                </c:pt>
                <c:pt idx="1465">
                  <c:v>94.17240999999908</c:v>
                </c:pt>
                <c:pt idx="1466">
                  <c:v>94.17040999999985</c:v>
                </c:pt>
                <c:pt idx="1467">
                  <c:v>94.16837999999898</c:v>
                </c:pt>
                <c:pt idx="1468">
                  <c:v>94.16637999999975</c:v>
                </c:pt>
                <c:pt idx="1469">
                  <c:v>94.16456</c:v>
                </c:pt>
                <c:pt idx="1470">
                  <c:v>94.16276999999998</c:v>
                </c:pt>
                <c:pt idx="1471">
                  <c:v>94.16093999999998</c:v>
                </c:pt>
                <c:pt idx="1472">
                  <c:v>94.15906999999998</c:v>
                </c:pt>
                <c:pt idx="1473">
                  <c:v>94.15716</c:v>
                </c:pt>
                <c:pt idx="1474">
                  <c:v>94.15522999999997</c:v>
                </c:pt>
                <c:pt idx="1475">
                  <c:v>94.15327999999998</c:v>
                </c:pt>
                <c:pt idx="1476">
                  <c:v>94.15138999999998</c:v>
                </c:pt>
                <c:pt idx="1477">
                  <c:v>94.1495</c:v>
                </c:pt>
                <c:pt idx="1478">
                  <c:v>94.14761</c:v>
                </c:pt>
                <c:pt idx="1479">
                  <c:v>94.14566</c:v>
                </c:pt>
                <c:pt idx="1480">
                  <c:v>94.14381</c:v>
                </c:pt>
                <c:pt idx="1481">
                  <c:v>94.14196</c:v>
                </c:pt>
                <c:pt idx="1482">
                  <c:v>94.14005</c:v>
                </c:pt>
                <c:pt idx="1483">
                  <c:v>94.13816</c:v>
                </c:pt>
                <c:pt idx="1484">
                  <c:v>94.13619</c:v>
                </c:pt>
                <c:pt idx="1485">
                  <c:v>94.13417</c:v>
                </c:pt>
                <c:pt idx="1486">
                  <c:v>94.13226</c:v>
                </c:pt>
                <c:pt idx="1487">
                  <c:v>94.13041</c:v>
                </c:pt>
                <c:pt idx="1488">
                  <c:v>94.12858999999958</c:v>
                </c:pt>
                <c:pt idx="1489">
                  <c:v>94.12654999999998</c:v>
                </c:pt>
                <c:pt idx="1490">
                  <c:v>94.12444999999998</c:v>
                </c:pt>
                <c:pt idx="1491">
                  <c:v>94.12247999999855</c:v>
                </c:pt>
                <c:pt idx="1492">
                  <c:v>94.12052999999997</c:v>
                </c:pt>
                <c:pt idx="1493">
                  <c:v>94.11857999999998</c:v>
                </c:pt>
                <c:pt idx="1494">
                  <c:v>94.11678999999998</c:v>
                </c:pt>
                <c:pt idx="1495">
                  <c:v>94.115</c:v>
                </c:pt>
                <c:pt idx="1496">
                  <c:v>94.11309</c:v>
                </c:pt>
                <c:pt idx="1497">
                  <c:v>94.11116</c:v>
                </c:pt>
                <c:pt idx="1498">
                  <c:v>94.10921</c:v>
                </c:pt>
                <c:pt idx="1499">
                  <c:v>94.10733999999998</c:v>
                </c:pt>
                <c:pt idx="1500">
                  <c:v>94.10532999999998</c:v>
                </c:pt>
                <c:pt idx="1501">
                  <c:v>94.10327</c:v>
                </c:pt>
                <c:pt idx="1502">
                  <c:v>94.10126</c:v>
                </c:pt>
                <c:pt idx="1503">
                  <c:v>94.09933</c:v>
                </c:pt>
                <c:pt idx="1504">
                  <c:v>94.09741</c:v>
                </c:pt>
                <c:pt idx="1505">
                  <c:v>94.0955</c:v>
                </c:pt>
                <c:pt idx="1506">
                  <c:v>94.09359</c:v>
                </c:pt>
                <c:pt idx="1507">
                  <c:v>94.09177</c:v>
                </c:pt>
                <c:pt idx="1508">
                  <c:v>94.08987999999998</c:v>
                </c:pt>
                <c:pt idx="1509">
                  <c:v>94.0879</c:v>
                </c:pt>
                <c:pt idx="1510">
                  <c:v>94.08591</c:v>
                </c:pt>
                <c:pt idx="1511">
                  <c:v>94.08394</c:v>
                </c:pt>
                <c:pt idx="1512">
                  <c:v>94.08192</c:v>
                </c:pt>
                <c:pt idx="1513">
                  <c:v>94.07984999999998</c:v>
                </c:pt>
                <c:pt idx="1514">
                  <c:v>94.07778999999998</c:v>
                </c:pt>
                <c:pt idx="1515">
                  <c:v>94.07576999999995</c:v>
                </c:pt>
                <c:pt idx="1516">
                  <c:v>94.07375999999998</c:v>
                </c:pt>
                <c:pt idx="1517">
                  <c:v>94.07181</c:v>
                </c:pt>
                <c:pt idx="1518">
                  <c:v>94.06996</c:v>
                </c:pt>
                <c:pt idx="1519">
                  <c:v>94.06807</c:v>
                </c:pt>
                <c:pt idx="1520">
                  <c:v>94.06616</c:v>
                </c:pt>
                <c:pt idx="1521">
                  <c:v>94.06423</c:v>
                </c:pt>
                <c:pt idx="1522">
                  <c:v>94.06223</c:v>
                </c:pt>
                <c:pt idx="1523">
                  <c:v>94.06024</c:v>
                </c:pt>
                <c:pt idx="1524">
                  <c:v>94.05825</c:v>
                </c:pt>
                <c:pt idx="1525">
                  <c:v>94.05629</c:v>
                </c:pt>
                <c:pt idx="1526">
                  <c:v>94.0544</c:v>
                </c:pt>
                <c:pt idx="1527">
                  <c:v>94.05244999999998</c:v>
                </c:pt>
                <c:pt idx="1528">
                  <c:v>94.05054</c:v>
                </c:pt>
                <c:pt idx="1529">
                  <c:v>94.04853</c:v>
                </c:pt>
                <c:pt idx="1530">
                  <c:v>94.04653</c:v>
                </c:pt>
                <c:pt idx="1531">
                  <c:v>94.04452</c:v>
                </c:pt>
                <c:pt idx="1532">
                  <c:v>94.04246</c:v>
                </c:pt>
                <c:pt idx="1533">
                  <c:v>94.04045</c:v>
                </c:pt>
                <c:pt idx="1534">
                  <c:v>94.03847999999998</c:v>
                </c:pt>
                <c:pt idx="1535">
                  <c:v>94.03637999999998</c:v>
                </c:pt>
                <c:pt idx="1536">
                  <c:v>94.03434</c:v>
                </c:pt>
                <c:pt idx="1537">
                  <c:v>94.03241</c:v>
                </c:pt>
                <c:pt idx="1538">
                  <c:v>94.03044</c:v>
                </c:pt>
                <c:pt idx="1539">
                  <c:v>94.02844999999998</c:v>
                </c:pt>
                <c:pt idx="1540">
                  <c:v>94.02636999999998</c:v>
                </c:pt>
                <c:pt idx="1541">
                  <c:v>94.02431</c:v>
                </c:pt>
                <c:pt idx="1542">
                  <c:v>94.02239999999995</c:v>
                </c:pt>
                <c:pt idx="1543">
                  <c:v>94.02038999999998</c:v>
                </c:pt>
                <c:pt idx="1544">
                  <c:v>94.01837</c:v>
                </c:pt>
                <c:pt idx="1545">
                  <c:v>94.0164</c:v>
                </c:pt>
                <c:pt idx="1546">
                  <c:v>94.01445</c:v>
                </c:pt>
                <c:pt idx="1547">
                  <c:v>94.01252</c:v>
                </c:pt>
                <c:pt idx="1548">
                  <c:v>94.01054</c:v>
                </c:pt>
                <c:pt idx="1549">
                  <c:v>94.00857</c:v>
                </c:pt>
                <c:pt idx="1550">
                  <c:v>94.00654</c:v>
                </c:pt>
                <c:pt idx="1551">
                  <c:v>94.00456</c:v>
                </c:pt>
                <c:pt idx="1552">
                  <c:v>94.00265</c:v>
                </c:pt>
                <c:pt idx="1553">
                  <c:v>94.00064</c:v>
                </c:pt>
                <c:pt idx="1554">
                  <c:v>93.99864</c:v>
                </c:pt>
                <c:pt idx="1555">
                  <c:v>93.99663</c:v>
                </c:pt>
                <c:pt idx="1556">
                  <c:v>93.99464</c:v>
                </c:pt>
                <c:pt idx="1557">
                  <c:v>93.99272</c:v>
                </c:pt>
                <c:pt idx="1558">
                  <c:v>93.99079</c:v>
                </c:pt>
                <c:pt idx="1559">
                  <c:v>93.98867000000001</c:v>
                </c:pt>
                <c:pt idx="1560">
                  <c:v>93.9866</c:v>
                </c:pt>
                <c:pt idx="1561">
                  <c:v>93.98454</c:v>
                </c:pt>
                <c:pt idx="1562">
                  <c:v>93.98251</c:v>
                </c:pt>
                <c:pt idx="1563">
                  <c:v>93.98049</c:v>
                </c:pt>
                <c:pt idx="1564">
                  <c:v>93.97852</c:v>
                </c:pt>
                <c:pt idx="1565">
                  <c:v>93.97646</c:v>
                </c:pt>
                <c:pt idx="1566">
                  <c:v>93.97449</c:v>
                </c:pt>
                <c:pt idx="1567">
                  <c:v>93.97238999999985</c:v>
                </c:pt>
                <c:pt idx="1568">
                  <c:v>93.9704</c:v>
                </c:pt>
                <c:pt idx="1569">
                  <c:v>93.96841</c:v>
                </c:pt>
                <c:pt idx="1570">
                  <c:v>93.96641</c:v>
                </c:pt>
                <c:pt idx="1571">
                  <c:v>93.9644</c:v>
                </c:pt>
                <c:pt idx="1572">
                  <c:v>93.96245</c:v>
                </c:pt>
                <c:pt idx="1573">
                  <c:v>93.96051</c:v>
                </c:pt>
                <c:pt idx="1574">
                  <c:v>93.95856</c:v>
                </c:pt>
                <c:pt idx="1575">
                  <c:v>93.95663</c:v>
                </c:pt>
                <c:pt idx="1576">
                  <c:v>93.9546</c:v>
                </c:pt>
                <c:pt idx="1577">
                  <c:v>93.9526</c:v>
                </c:pt>
                <c:pt idx="1578">
                  <c:v>93.95065</c:v>
                </c:pt>
                <c:pt idx="1579">
                  <c:v>93.94863</c:v>
                </c:pt>
                <c:pt idx="1580">
                  <c:v>93.9466</c:v>
                </c:pt>
                <c:pt idx="1581">
                  <c:v>93.94444</c:v>
                </c:pt>
                <c:pt idx="1582">
                  <c:v>93.94226</c:v>
                </c:pt>
                <c:pt idx="1583">
                  <c:v>93.94016</c:v>
                </c:pt>
                <c:pt idx="1584">
                  <c:v>93.93811</c:v>
                </c:pt>
                <c:pt idx="1585">
                  <c:v>93.93609</c:v>
                </c:pt>
                <c:pt idx="1586">
                  <c:v>93.93401</c:v>
                </c:pt>
                <c:pt idx="1587">
                  <c:v>93.93208</c:v>
                </c:pt>
                <c:pt idx="1588">
                  <c:v>93.93009</c:v>
                </c:pt>
                <c:pt idx="1589">
                  <c:v>93.92807</c:v>
                </c:pt>
                <c:pt idx="1590">
                  <c:v>93.92612</c:v>
                </c:pt>
                <c:pt idx="1591">
                  <c:v>93.92423</c:v>
                </c:pt>
                <c:pt idx="1592">
                  <c:v>93.92233999999995</c:v>
                </c:pt>
                <c:pt idx="1593">
                  <c:v>93.92041</c:v>
                </c:pt>
                <c:pt idx="1594">
                  <c:v>93.91842</c:v>
                </c:pt>
                <c:pt idx="1595">
                  <c:v>93.91634</c:v>
                </c:pt>
                <c:pt idx="1596">
                  <c:v>93.91439</c:v>
                </c:pt>
                <c:pt idx="1597">
                  <c:v>93.91242</c:v>
                </c:pt>
                <c:pt idx="1598">
                  <c:v>93.91046</c:v>
                </c:pt>
                <c:pt idx="1599">
                  <c:v>93.90847</c:v>
                </c:pt>
                <c:pt idx="1600">
                  <c:v>93.90656</c:v>
                </c:pt>
                <c:pt idx="1601">
                  <c:v>93.90461</c:v>
                </c:pt>
                <c:pt idx="1602">
                  <c:v>93.90261</c:v>
                </c:pt>
                <c:pt idx="1603">
                  <c:v>93.90072</c:v>
                </c:pt>
                <c:pt idx="1604">
                  <c:v>93.89876999999998</c:v>
                </c:pt>
                <c:pt idx="1605">
                  <c:v>93.89686</c:v>
                </c:pt>
                <c:pt idx="1606">
                  <c:v>93.89485</c:v>
                </c:pt>
                <c:pt idx="1607">
                  <c:v>93.89292</c:v>
                </c:pt>
                <c:pt idx="1608">
                  <c:v>93.89105</c:v>
                </c:pt>
                <c:pt idx="1609">
                  <c:v>93.88911</c:v>
                </c:pt>
                <c:pt idx="1610">
                  <c:v>93.88706</c:v>
                </c:pt>
                <c:pt idx="1611">
                  <c:v>93.88510999999998</c:v>
                </c:pt>
                <c:pt idx="1612">
                  <c:v>93.88313</c:v>
                </c:pt>
                <c:pt idx="1613">
                  <c:v>93.88122</c:v>
                </c:pt>
                <c:pt idx="1614">
                  <c:v>93.87921</c:v>
                </c:pt>
                <c:pt idx="1615">
                  <c:v>93.87721</c:v>
                </c:pt>
                <c:pt idx="1616">
                  <c:v>93.87522</c:v>
                </c:pt>
                <c:pt idx="1617">
                  <c:v>93.87330999999975</c:v>
                </c:pt>
                <c:pt idx="1618">
                  <c:v>93.87135999999998</c:v>
                </c:pt>
                <c:pt idx="1619">
                  <c:v>93.86938999999998</c:v>
                </c:pt>
                <c:pt idx="1620">
                  <c:v>93.86745</c:v>
                </c:pt>
                <c:pt idx="1621">
                  <c:v>93.86546</c:v>
                </c:pt>
                <c:pt idx="1622">
                  <c:v>93.86353</c:v>
                </c:pt>
                <c:pt idx="1623">
                  <c:v>93.86156</c:v>
                </c:pt>
                <c:pt idx="1624">
                  <c:v>93.8596</c:v>
                </c:pt>
                <c:pt idx="1625">
                  <c:v>93.85765</c:v>
                </c:pt>
                <c:pt idx="1626">
                  <c:v>93.85569999999998</c:v>
                </c:pt>
                <c:pt idx="1627">
                  <c:v>93.85378999999975</c:v>
                </c:pt>
                <c:pt idx="1628">
                  <c:v>93.85196</c:v>
                </c:pt>
                <c:pt idx="1629">
                  <c:v>93.85008999999998</c:v>
                </c:pt>
                <c:pt idx="1630">
                  <c:v>93.84814</c:v>
                </c:pt>
                <c:pt idx="1631">
                  <c:v>93.84619</c:v>
                </c:pt>
                <c:pt idx="1632">
                  <c:v>93.84426</c:v>
                </c:pt>
                <c:pt idx="1633">
                  <c:v>93.84228</c:v>
                </c:pt>
                <c:pt idx="1634">
                  <c:v>93.84033</c:v>
                </c:pt>
                <c:pt idx="1635">
                  <c:v>93.83839999999998</c:v>
                </c:pt>
                <c:pt idx="1636">
                  <c:v>93.83647</c:v>
                </c:pt>
                <c:pt idx="1637">
                  <c:v>93.83456</c:v>
                </c:pt>
                <c:pt idx="1638">
                  <c:v>93.83256</c:v>
                </c:pt>
                <c:pt idx="1639">
                  <c:v>93.83051</c:v>
                </c:pt>
                <c:pt idx="1640">
                  <c:v>93.82840999999995</c:v>
                </c:pt>
                <c:pt idx="1641">
                  <c:v>93.82647999999975</c:v>
                </c:pt>
                <c:pt idx="1642">
                  <c:v>93.82459</c:v>
                </c:pt>
                <c:pt idx="1643">
                  <c:v>93.82266</c:v>
                </c:pt>
                <c:pt idx="1644">
                  <c:v>93.82066</c:v>
                </c:pt>
                <c:pt idx="1645">
                  <c:v>93.81876999999998</c:v>
                </c:pt>
                <c:pt idx="1646">
                  <c:v>93.81688</c:v>
                </c:pt>
                <c:pt idx="1647">
                  <c:v>93.81491</c:v>
                </c:pt>
                <c:pt idx="1648">
                  <c:v>93.81302</c:v>
                </c:pt>
                <c:pt idx="1649">
                  <c:v>93.81119</c:v>
                </c:pt>
                <c:pt idx="1650">
                  <c:v>93.80928</c:v>
                </c:pt>
                <c:pt idx="1651">
                  <c:v>93.80733</c:v>
                </c:pt>
                <c:pt idx="1652">
                  <c:v>93.80533999999938</c:v>
                </c:pt>
                <c:pt idx="1653">
                  <c:v>93.80345</c:v>
                </c:pt>
                <c:pt idx="1654">
                  <c:v>93.80137</c:v>
                </c:pt>
                <c:pt idx="1655">
                  <c:v>93.79936</c:v>
                </c:pt>
                <c:pt idx="1656">
                  <c:v>93.79747</c:v>
                </c:pt>
                <c:pt idx="1657">
                  <c:v>93.79556</c:v>
                </c:pt>
                <c:pt idx="1658">
                  <c:v>93.79358</c:v>
                </c:pt>
                <c:pt idx="1659">
                  <c:v>93.79165</c:v>
                </c:pt>
                <c:pt idx="1660">
                  <c:v>93.78973999999998</c:v>
                </c:pt>
                <c:pt idx="1661">
                  <c:v>93.78783</c:v>
                </c:pt>
                <c:pt idx="1662">
                  <c:v>93.78597999999998</c:v>
                </c:pt>
                <c:pt idx="1663">
                  <c:v>93.78409</c:v>
                </c:pt>
                <c:pt idx="1664">
                  <c:v>93.78212</c:v>
                </c:pt>
                <c:pt idx="1665">
                  <c:v>93.78017000000001</c:v>
                </c:pt>
                <c:pt idx="1666">
                  <c:v>93.77827999999998</c:v>
                </c:pt>
                <c:pt idx="1667">
                  <c:v>93.77634999999998</c:v>
                </c:pt>
                <c:pt idx="1668">
                  <c:v>93.77446</c:v>
                </c:pt>
                <c:pt idx="1669">
                  <c:v>93.77256999999997</c:v>
                </c:pt>
                <c:pt idx="1670">
                  <c:v>93.77073999999975</c:v>
                </c:pt>
                <c:pt idx="1671">
                  <c:v>93.76845</c:v>
                </c:pt>
                <c:pt idx="1672">
                  <c:v>93.76634</c:v>
                </c:pt>
                <c:pt idx="1673">
                  <c:v>93.76438</c:v>
                </c:pt>
                <c:pt idx="1674">
                  <c:v>93.7626</c:v>
                </c:pt>
                <c:pt idx="1675">
                  <c:v>93.76083000000001</c:v>
                </c:pt>
                <c:pt idx="1676">
                  <c:v>93.75903</c:v>
                </c:pt>
                <c:pt idx="1677">
                  <c:v>93.7572</c:v>
                </c:pt>
                <c:pt idx="1678">
                  <c:v>93.75534999999998</c:v>
                </c:pt>
                <c:pt idx="1679">
                  <c:v>93.75352</c:v>
                </c:pt>
                <c:pt idx="1680">
                  <c:v>93.75157</c:v>
                </c:pt>
                <c:pt idx="1681">
                  <c:v>93.74956</c:v>
                </c:pt>
                <c:pt idx="1682">
                  <c:v>93.74765</c:v>
                </c:pt>
                <c:pt idx="1683">
                  <c:v>93.74567</c:v>
                </c:pt>
                <c:pt idx="1684">
                  <c:v>93.74374</c:v>
                </c:pt>
                <c:pt idx="1685">
                  <c:v>93.74179</c:v>
                </c:pt>
                <c:pt idx="1686">
                  <c:v>93.73982</c:v>
                </c:pt>
                <c:pt idx="1687">
                  <c:v>93.73784</c:v>
                </c:pt>
                <c:pt idx="1688">
                  <c:v>93.73595</c:v>
                </c:pt>
                <c:pt idx="1689">
                  <c:v>93.73404</c:v>
                </c:pt>
                <c:pt idx="1690">
                  <c:v>93.73215</c:v>
                </c:pt>
                <c:pt idx="1691">
                  <c:v>93.73022</c:v>
                </c:pt>
                <c:pt idx="1692">
                  <c:v>93.72821</c:v>
                </c:pt>
                <c:pt idx="1693">
                  <c:v>93.72623</c:v>
                </c:pt>
                <c:pt idx="1694">
                  <c:v>93.72436</c:v>
                </c:pt>
                <c:pt idx="1695">
                  <c:v>93.72242999999997</c:v>
                </c:pt>
                <c:pt idx="1696">
                  <c:v>93.72046</c:v>
                </c:pt>
                <c:pt idx="1697">
                  <c:v>93.71849</c:v>
                </c:pt>
                <c:pt idx="1698">
                  <c:v>93.71649</c:v>
                </c:pt>
                <c:pt idx="1699">
                  <c:v>93.71454</c:v>
                </c:pt>
                <c:pt idx="1700">
                  <c:v>93.71263</c:v>
                </c:pt>
                <c:pt idx="1701">
                  <c:v>93.71072</c:v>
                </c:pt>
                <c:pt idx="1702">
                  <c:v>93.70876999999998</c:v>
                </c:pt>
                <c:pt idx="1703">
                  <c:v>93.70692</c:v>
                </c:pt>
                <c:pt idx="1704">
                  <c:v>93.70501</c:v>
                </c:pt>
                <c:pt idx="1705">
                  <c:v>93.70304</c:v>
                </c:pt>
                <c:pt idx="1706">
                  <c:v>93.70111</c:v>
                </c:pt>
                <c:pt idx="1707">
                  <c:v>93.69915</c:v>
                </c:pt>
                <c:pt idx="1708">
                  <c:v>93.69724</c:v>
                </c:pt>
                <c:pt idx="1709">
                  <c:v>93.69545999999998</c:v>
                </c:pt>
                <c:pt idx="1710">
                  <c:v>93.69346</c:v>
                </c:pt>
                <c:pt idx="1711">
                  <c:v>93.69155</c:v>
                </c:pt>
                <c:pt idx="1712">
                  <c:v>93.68956</c:v>
                </c:pt>
                <c:pt idx="1713">
                  <c:v>93.68765</c:v>
                </c:pt>
                <c:pt idx="1714">
                  <c:v>93.68577999999827</c:v>
                </c:pt>
                <c:pt idx="1715">
                  <c:v>93.68388999999995</c:v>
                </c:pt>
                <c:pt idx="1716">
                  <c:v>93.68196</c:v>
                </c:pt>
                <c:pt idx="1717">
                  <c:v>93.67997999999928</c:v>
                </c:pt>
                <c:pt idx="1718">
                  <c:v>93.67796999999997</c:v>
                </c:pt>
                <c:pt idx="1719">
                  <c:v>93.67597999999845</c:v>
                </c:pt>
                <c:pt idx="1720">
                  <c:v>93.67403999999995</c:v>
                </c:pt>
                <c:pt idx="1721">
                  <c:v>93.67204999999888</c:v>
                </c:pt>
                <c:pt idx="1722">
                  <c:v>93.67007999999888</c:v>
                </c:pt>
                <c:pt idx="1723">
                  <c:v>93.66807999999975</c:v>
                </c:pt>
                <c:pt idx="1724">
                  <c:v>93.66615</c:v>
                </c:pt>
                <c:pt idx="1725">
                  <c:v>93.66426</c:v>
                </c:pt>
                <c:pt idx="1726">
                  <c:v>93.66234999999975</c:v>
                </c:pt>
                <c:pt idx="1727">
                  <c:v>93.66043999999998</c:v>
                </c:pt>
                <c:pt idx="1728">
                  <c:v>93.65858999999975</c:v>
                </c:pt>
                <c:pt idx="1729">
                  <c:v>93.65662</c:v>
                </c:pt>
                <c:pt idx="1730">
                  <c:v>93.65467</c:v>
                </c:pt>
                <c:pt idx="1731">
                  <c:v>93.65271999999958</c:v>
                </c:pt>
                <c:pt idx="1732">
                  <c:v>93.65073999999898</c:v>
                </c:pt>
                <c:pt idx="1733">
                  <c:v>93.64880999999998</c:v>
                </c:pt>
                <c:pt idx="1734">
                  <c:v>93.6469</c:v>
                </c:pt>
                <c:pt idx="1735">
                  <c:v>93.64489</c:v>
                </c:pt>
                <c:pt idx="1736">
                  <c:v>93.64286999999997</c:v>
                </c:pt>
                <c:pt idx="1737">
                  <c:v>93.641</c:v>
                </c:pt>
                <c:pt idx="1738">
                  <c:v>93.63903</c:v>
                </c:pt>
                <c:pt idx="1739">
                  <c:v>93.63704</c:v>
                </c:pt>
                <c:pt idx="1740">
                  <c:v>93.63501999999998</c:v>
                </c:pt>
                <c:pt idx="1741">
                  <c:v>93.63294999999998</c:v>
                </c:pt>
                <c:pt idx="1742">
                  <c:v>93.63101</c:v>
                </c:pt>
                <c:pt idx="1743">
                  <c:v>93.62905999999998</c:v>
                </c:pt>
                <c:pt idx="1744">
                  <c:v>93.62711</c:v>
                </c:pt>
                <c:pt idx="1745">
                  <c:v>93.62517999999918</c:v>
                </c:pt>
                <c:pt idx="1746">
                  <c:v>93.62317999999995</c:v>
                </c:pt>
                <c:pt idx="1747">
                  <c:v>93.62127</c:v>
                </c:pt>
                <c:pt idx="1748">
                  <c:v>93.61933999999998</c:v>
                </c:pt>
                <c:pt idx="1749">
                  <c:v>93.61749</c:v>
                </c:pt>
                <c:pt idx="1750">
                  <c:v>93.61553999999998</c:v>
                </c:pt>
                <c:pt idx="1751">
                  <c:v>93.61359</c:v>
                </c:pt>
                <c:pt idx="1752">
                  <c:v>93.61164</c:v>
                </c:pt>
                <c:pt idx="1753">
                  <c:v>93.60969</c:v>
                </c:pt>
                <c:pt idx="1754">
                  <c:v>93.60772999999997</c:v>
                </c:pt>
                <c:pt idx="1755">
                  <c:v>93.60577999999855</c:v>
                </c:pt>
                <c:pt idx="1756">
                  <c:v>93.60386999999998</c:v>
                </c:pt>
                <c:pt idx="1757">
                  <c:v>93.60198</c:v>
                </c:pt>
                <c:pt idx="1758">
                  <c:v>93.60006999999997</c:v>
                </c:pt>
                <c:pt idx="1759">
                  <c:v>93.59814</c:v>
                </c:pt>
                <c:pt idx="1760">
                  <c:v>93.59615</c:v>
                </c:pt>
                <c:pt idx="1761">
                  <c:v>93.59419</c:v>
                </c:pt>
                <c:pt idx="1762">
                  <c:v>93.59224</c:v>
                </c:pt>
                <c:pt idx="1763">
                  <c:v>93.59025</c:v>
                </c:pt>
                <c:pt idx="1764">
                  <c:v>93.58827</c:v>
                </c:pt>
                <c:pt idx="1765">
                  <c:v>93.58628</c:v>
                </c:pt>
                <c:pt idx="1766">
                  <c:v>93.58422</c:v>
                </c:pt>
                <c:pt idx="1767">
                  <c:v>93.58232999999998</c:v>
                </c:pt>
                <c:pt idx="1768">
                  <c:v>93.58045</c:v>
                </c:pt>
                <c:pt idx="1769">
                  <c:v>93.57844999999975</c:v>
                </c:pt>
                <c:pt idx="1770">
                  <c:v>93.57639999999998</c:v>
                </c:pt>
                <c:pt idx="1771">
                  <c:v>93.57446</c:v>
                </c:pt>
                <c:pt idx="1772">
                  <c:v>93.57248999999958</c:v>
                </c:pt>
                <c:pt idx="1773">
                  <c:v>93.57052</c:v>
                </c:pt>
                <c:pt idx="1774">
                  <c:v>93.56865</c:v>
                </c:pt>
                <c:pt idx="1775">
                  <c:v>93.56672</c:v>
                </c:pt>
                <c:pt idx="1776">
                  <c:v>93.56472</c:v>
                </c:pt>
                <c:pt idx="1777">
                  <c:v>93.56278999999998</c:v>
                </c:pt>
                <c:pt idx="1778">
                  <c:v>93.56099</c:v>
                </c:pt>
                <c:pt idx="1779">
                  <c:v>93.55914</c:v>
                </c:pt>
                <c:pt idx="1780">
                  <c:v>93.55727</c:v>
                </c:pt>
                <c:pt idx="1781">
                  <c:v>93.55523</c:v>
                </c:pt>
                <c:pt idx="1782">
                  <c:v>93.5533</c:v>
                </c:pt>
                <c:pt idx="1783">
                  <c:v>93.55135</c:v>
                </c:pt>
                <c:pt idx="1784">
                  <c:v>93.54938</c:v>
                </c:pt>
                <c:pt idx="1785">
                  <c:v>93.54742</c:v>
                </c:pt>
                <c:pt idx="1786">
                  <c:v>93.54545</c:v>
                </c:pt>
                <c:pt idx="1787">
                  <c:v>93.54358</c:v>
                </c:pt>
                <c:pt idx="1788">
                  <c:v>93.54142</c:v>
                </c:pt>
                <c:pt idx="1789">
                  <c:v>93.53928</c:v>
                </c:pt>
                <c:pt idx="1790">
                  <c:v>93.53725</c:v>
                </c:pt>
                <c:pt idx="1791">
                  <c:v>93.53523000000001</c:v>
                </c:pt>
                <c:pt idx="1792">
                  <c:v>93.5333</c:v>
                </c:pt>
                <c:pt idx="1793">
                  <c:v>93.53145</c:v>
                </c:pt>
                <c:pt idx="1794">
                  <c:v>93.52943999999998</c:v>
                </c:pt>
                <c:pt idx="1795">
                  <c:v>93.52745</c:v>
                </c:pt>
                <c:pt idx="1796">
                  <c:v>93.52544999999998</c:v>
                </c:pt>
                <c:pt idx="1797">
                  <c:v>93.52353999999998</c:v>
                </c:pt>
                <c:pt idx="1798">
                  <c:v>93.52165</c:v>
                </c:pt>
                <c:pt idx="1799">
                  <c:v>93.51972</c:v>
                </c:pt>
                <c:pt idx="1800">
                  <c:v>93.51781</c:v>
                </c:pt>
                <c:pt idx="1801">
                  <c:v>93.5158</c:v>
                </c:pt>
                <c:pt idx="1802">
                  <c:v>93.51372</c:v>
                </c:pt>
                <c:pt idx="1803">
                  <c:v>93.51168</c:v>
                </c:pt>
                <c:pt idx="1804">
                  <c:v>93.50974999999998</c:v>
                </c:pt>
                <c:pt idx="1805">
                  <c:v>93.50782</c:v>
                </c:pt>
                <c:pt idx="1806">
                  <c:v>93.50578999999995</c:v>
                </c:pt>
                <c:pt idx="1807">
                  <c:v>93.50398</c:v>
                </c:pt>
                <c:pt idx="1808">
                  <c:v>93.50221</c:v>
                </c:pt>
                <c:pt idx="1809">
                  <c:v>93.50033999999998</c:v>
                </c:pt>
                <c:pt idx="1810">
                  <c:v>93.49837</c:v>
                </c:pt>
                <c:pt idx="1811">
                  <c:v>93.49625</c:v>
                </c:pt>
                <c:pt idx="1812">
                  <c:v>93.49424</c:v>
                </c:pt>
                <c:pt idx="1813">
                  <c:v>93.49229</c:v>
                </c:pt>
                <c:pt idx="1814">
                  <c:v>93.49033</c:v>
                </c:pt>
                <c:pt idx="1815">
                  <c:v>93.4883</c:v>
                </c:pt>
                <c:pt idx="1816">
                  <c:v>93.48628</c:v>
                </c:pt>
                <c:pt idx="1817">
                  <c:v>93.48431</c:v>
                </c:pt>
                <c:pt idx="1818">
                  <c:v>93.48233999999998</c:v>
                </c:pt>
                <c:pt idx="1819">
                  <c:v>93.48041</c:v>
                </c:pt>
                <c:pt idx="1820">
                  <c:v>93.47840999999998</c:v>
                </c:pt>
                <c:pt idx="1821">
                  <c:v>93.47646</c:v>
                </c:pt>
                <c:pt idx="1822">
                  <c:v>93.47445</c:v>
                </c:pt>
                <c:pt idx="1823">
                  <c:v>93.47244999999998</c:v>
                </c:pt>
                <c:pt idx="1824">
                  <c:v>93.47047999999998</c:v>
                </c:pt>
                <c:pt idx="1825">
                  <c:v>93.46842</c:v>
                </c:pt>
                <c:pt idx="1826">
                  <c:v>93.46637000000001</c:v>
                </c:pt>
                <c:pt idx="1827">
                  <c:v>93.46429</c:v>
                </c:pt>
                <c:pt idx="1828">
                  <c:v>93.46234</c:v>
                </c:pt>
                <c:pt idx="1829">
                  <c:v>93.46032</c:v>
                </c:pt>
                <c:pt idx="1830">
                  <c:v>93.45834999999998</c:v>
                </c:pt>
                <c:pt idx="1831">
                  <c:v>93.45633999999998</c:v>
                </c:pt>
                <c:pt idx="1832">
                  <c:v>93.45436</c:v>
                </c:pt>
                <c:pt idx="1833">
                  <c:v>93.45234999999998</c:v>
                </c:pt>
                <c:pt idx="1834">
                  <c:v>93.45027</c:v>
                </c:pt>
                <c:pt idx="1835">
                  <c:v>93.44832</c:v>
                </c:pt>
                <c:pt idx="1836">
                  <c:v>93.44627000000002</c:v>
                </c:pt>
                <c:pt idx="1837">
                  <c:v>93.44429</c:v>
                </c:pt>
                <c:pt idx="1838">
                  <c:v>93.44232</c:v>
                </c:pt>
                <c:pt idx="1839">
                  <c:v>93.44033</c:v>
                </c:pt>
                <c:pt idx="1840">
                  <c:v>93.43835</c:v>
                </c:pt>
                <c:pt idx="1841">
                  <c:v>93.43644</c:v>
                </c:pt>
                <c:pt idx="1842">
                  <c:v>93.43449</c:v>
                </c:pt>
                <c:pt idx="1843">
                  <c:v>93.43248</c:v>
                </c:pt>
                <c:pt idx="1844">
                  <c:v>93.43048</c:v>
                </c:pt>
                <c:pt idx="1845">
                  <c:v>93.42853</c:v>
                </c:pt>
                <c:pt idx="1846">
                  <c:v>93.42641</c:v>
                </c:pt>
                <c:pt idx="1847">
                  <c:v>93.4244</c:v>
                </c:pt>
                <c:pt idx="1848">
                  <c:v>93.42236</c:v>
                </c:pt>
                <c:pt idx="1849">
                  <c:v>93.42031</c:v>
                </c:pt>
                <c:pt idx="1850">
                  <c:v>93.41839</c:v>
                </c:pt>
                <c:pt idx="1851">
                  <c:v>93.41659</c:v>
                </c:pt>
                <c:pt idx="1852">
                  <c:v>93.41457000000002</c:v>
                </c:pt>
                <c:pt idx="1853">
                  <c:v>93.4126</c:v>
                </c:pt>
                <c:pt idx="1854">
                  <c:v>93.41057</c:v>
                </c:pt>
                <c:pt idx="1855">
                  <c:v>93.40851</c:v>
                </c:pt>
                <c:pt idx="1856">
                  <c:v>93.40645</c:v>
                </c:pt>
                <c:pt idx="1857">
                  <c:v>93.40454</c:v>
                </c:pt>
                <c:pt idx="1858">
                  <c:v>93.40263</c:v>
                </c:pt>
                <c:pt idx="1859">
                  <c:v>93.4006</c:v>
                </c:pt>
                <c:pt idx="1860">
                  <c:v>93.3985</c:v>
                </c:pt>
                <c:pt idx="1861">
                  <c:v>93.3964</c:v>
                </c:pt>
                <c:pt idx="1862">
                  <c:v>93.39443</c:v>
                </c:pt>
                <c:pt idx="1863">
                  <c:v>93.39247999999998</c:v>
                </c:pt>
                <c:pt idx="1864">
                  <c:v>93.39044</c:v>
                </c:pt>
                <c:pt idx="1865">
                  <c:v>93.38842999999998</c:v>
                </c:pt>
                <c:pt idx="1866">
                  <c:v>93.38642999999997</c:v>
                </c:pt>
                <c:pt idx="1867">
                  <c:v>93.38444</c:v>
                </c:pt>
                <c:pt idx="1868">
                  <c:v>93.38239999999985</c:v>
                </c:pt>
                <c:pt idx="1869">
                  <c:v>93.38041</c:v>
                </c:pt>
                <c:pt idx="1870">
                  <c:v>93.37841999999995</c:v>
                </c:pt>
                <c:pt idx="1871">
                  <c:v>93.37643999999958</c:v>
                </c:pt>
                <c:pt idx="1872">
                  <c:v>93.37444999999998</c:v>
                </c:pt>
                <c:pt idx="1873">
                  <c:v>93.37249999999958</c:v>
                </c:pt>
                <c:pt idx="1874">
                  <c:v>93.37045999999998</c:v>
                </c:pt>
                <c:pt idx="1875">
                  <c:v>93.36844999999998</c:v>
                </c:pt>
                <c:pt idx="1876">
                  <c:v>93.3665</c:v>
                </c:pt>
                <c:pt idx="1877">
                  <c:v>93.3645</c:v>
                </c:pt>
                <c:pt idx="1878">
                  <c:v>93.36233999999965</c:v>
                </c:pt>
                <c:pt idx="1879">
                  <c:v>93.36022</c:v>
                </c:pt>
                <c:pt idx="1880">
                  <c:v>93.35816999999998</c:v>
                </c:pt>
                <c:pt idx="1881">
                  <c:v>93.35608999999998</c:v>
                </c:pt>
                <c:pt idx="1882">
                  <c:v>93.35388999999998</c:v>
                </c:pt>
                <c:pt idx="1883">
                  <c:v>93.35174999999998</c:v>
                </c:pt>
                <c:pt idx="1884">
                  <c:v>93.34972</c:v>
                </c:pt>
                <c:pt idx="1885">
                  <c:v>93.34774</c:v>
                </c:pt>
                <c:pt idx="1886">
                  <c:v>93.34574999999998</c:v>
                </c:pt>
                <c:pt idx="1887">
                  <c:v>93.34373999999998</c:v>
                </c:pt>
                <c:pt idx="1888">
                  <c:v>93.34176</c:v>
                </c:pt>
                <c:pt idx="1889">
                  <c:v>93.33970999999998</c:v>
                </c:pt>
                <c:pt idx="1890">
                  <c:v>93.33773</c:v>
                </c:pt>
                <c:pt idx="1891">
                  <c:v>93.33567999999998</c:v>
                </c:pt>
                <c:pt idx="1892">
                  <c:v>93.33364</c:v>
                </c:pt>
                <c:pt idx="1893">
                  <c:v>93.33157000000001</c:v>
                </c:pt>
                <c:pt idx="1894">
                  <c:v>93.32958999999998</c:v>
                </c:pt>
                <c:pt idx="1895">
                  <c:v>93.32756</c:v>
                </c:pt>
                <c:pt idx="1896">
                  <c:v>93.32543999999928</c:v>
                </c:pt>
                <c:pt idx="1897">
                  <c:v>93.32326</c:v>
                </c:pt>
                <c:pt idx="1898">
                  <c:v>93.32114</c:v>
                </c:pt>
                <c:pt idx="1899">
                  <c:v>93.31908</c:v>
                </c:pt>
                <c:pt idx="1900">
                  <c:v>93.31703</c:v>
                </c:pt>
                <c:pt idx="1901">
                  <c:v>93.31497</c:v>
                </c:pt>
                <c:pt idx="1902">
                  <c:v>93.31286999999997</c:v>
                </c:pt>
                <c:pt idx="1903">
                  <c:v>93.31086</c:v>
                </c:pt>
                <c:pt idx="1904">
                  <c:v>93.30875999999998</c:v>
                </c:pt>
                <c:pt idx="1905">
                  <c:v>93.30674999999998</c:v>
                </c:pt>
                <c:pt idx="1906">
                  <c:v>93.30473</c:v>
                </c:pt>
                <c:pt idx="1907">
                  <c:v>93.30273999999918</c:v>
                </c:pt>
                <c:pt idx="1908">
                  <c:v>93.30074999999998</c:v>
                </c:pt>
                <c:pt idx="1909">
                  <c:v>93.29865</c:v>
                </c:pt>
                <c:pt idx="1910">
                  <c:v>93.29657</c:v>
                </c:pt>
                <c:pt idx="1911">
                  <c:v>93.29443</c:v>
                </c:pt>
                <c:pt idx="1912">
                  <c:v>93.29229</c:v>
                </c:pt>
                <c:pt idx="1913">
                  <c:v>93.29022</c:v>
                </c:pt>
                <c:pt idx="1914">
                  <c:v>93.28807999999998</c:v>
                </c:pt>
                <c:pt idx="1915">
                  <c:v>93.2861</c:v>
                </c:pt>
                <c:pt idx="1916">
                  <c:v>93.28415</c:v>
                </c:pt>
                <c:pt idx="1917">
                  <c:v>93.28212</c:v>
                </c:pt>
                <c:pt idx="1918">
                  <c:v>93.28004</c:v>
                </c:pt>
                <c:pt idx="1919">
                  <c:v>93.27794</c:v>
                </c:pt>
                <c:pt idx="1920">
                  <c:v>93.27579999999985</c:v>
                </c:pt>
                <c:pt idx="1921">
                  <c:v>93.27374999999998</c:v>
                </c:pt>
                <c:pt idx="1922">
                  <c:v>93.27161</c:v>
                </c:pt>
                <c:pt idx="1923">
                  <c:v>93.26955</c:v>
                </c:pt>
                <c:pt idx="1924">
                  <c:v>93.26746</c:v>
                </c:pt>
                <c:pt idx="1925">
                  <c:v>93.2654</c:v>
                </c:pt>
                <c:pt idx="1926">
                  <c:v>93.26336</c:v>
                </c:pt>
                <c:pt idx="1927">
                  <c:v>93.26131</c:v>
                </c:pt>
                <c:pt idx="1928">
                  <c:v>93.25921</c:v>
                </c:pt>
                <c:pt idx="1929">
                  <c:v>93.25713</c:v>
                </c:pt>
                <c:pt idx="1930">
                  <c:v>93.25506</c:v>
                </c:pt>
                <c:pt idx="1931">
                  <c:v>93.25292</c:v>
                </c:pt>
                <c:pt idx="1932">
                  <c:v>93.25082</c:v>
                </c:pt>
                <c:pt idx="1933">
                  <c:v>93.24881</c:v>
                </c:pt>
                <c:pt idx="1934">
                  <c:v>93.24679</c:v>
                </c:pt>
                <c:pt idx="1935">
                  <c:v>93.24463</c:v>
                </c:pt>
                <c:pt idx="1936">
                  <c:v>93.2426</c:v>
                </c:pt>
                <c:pt idx="1937">
                  <c:v>93.24044</c:v>
                </c:pt>
                <c:pt idx="1938">
                  <c:v>93.2383</c:v>
                </c:pt>
                <c:pt idx="1939">
                  <c:v>93.23608</c:v>
                </c:pt>
                <c:pt idx="1940">
                  <c:v>93.23394</c:v>
                </c:pt>
                <c:pt idx="1941">
                  <c:v>93.23186</c:v>
                </c:pt>
                <c:pt idx="1942">
                  <c:v>93.22987</c:v>
                </c:pt>
                <c:pt idx="1943">
                  <c:v>93.22779</c:v>
                </c:pt>
                <c:pt idx="1944">
                  <c:v>93.22569</c:v>
                </c:pt>
                <c:pt idx="1945">
                  <c:v>93.22359</c:v>
                </c:pt>
                <c:pt idx="1946">
                  <c:v>93.2215</c:v>
                </c:pt>
                <c:pt idx="1947">
                  <c:v>93.21936</c:v>
                </c:pt>
                <c:pt idx="1948">
                  <c:v>93.21718</c:v>
                </c:pt>
                <c:pt idx="1949">
                  <c:v>93.21516</c:v>
                </c:pt>
                <c:pt idx="1950">
                  <c:v>93.21302</c:v>
                </c:pt>
                <c:pt idx="1951">
                  <c:v>93.21088</c:v>
                </c:pt>
                <c:pt idx="1952">
                  <c:v>93.20868</c:v>
                </c:pt>
                <c:pt idx="1953">
                  <c:v>93.20667</c:v>
                </c:pt>
                <c:pt idx="1954">
                  <c:v>93.20461</c:v>
                </c:pt>
                <c:pt idx="1955">
                  <c:v>93.20248999999998</c:v>
                </c:pt>
                <c:pt idx="1956">
                  <c:v>93.20033</c:v>
                </c:pt>
                <c:pt idx="1957">
                  <c:v>93.19822</c:v>
                </c:pt>
                <c:pt idx="1958">
                  <c:v>93.1961</c:v>
                </c:pt>
                <c:pt idx="1959">
                  <c:v>93.19396</c:v>
                </c:pt>
                <c:pt idx="1960">
                  <c:v>93.19184</c:v>
                </c:pt>
                <c:pt idx="1961">
                  <c:v>93.18977999999898</c:v>
                </c:pt>
                <c:pt idx="1962">
                  <c:v>93.1876</c:v>
                </c:pt>
                <c:pt idx="1963">
                  <c:v>93.18539999999938</c:v>
                </c:pt>
                <c:pt idx="1964">
                  <c:v>93.18329999999997</c:v>
                </c:pt>
                <c:pt idx="1965">
                  <c:v>93.18123000000001</c:v>
                </c:pt>
                <c:pt idx="1966">
                  <c:v>93.17910999999998</c:v>
                </c:pt>
                <c:pt idx="1967">
                  <c:v>93.17688999999918</c:v>
                </c:pt>
                <c:pt idx="1968">
                  <c:v>93.17462</c:v>
                </c:pt>
                <c:pt idx="1969">
                  <c:v>93.17245999999938</c:v>
                </c:pt>
                <c:pt idx="1970">
                  <c:v>93.17032999999998</c:v>
                </c:pt>
                <c:pt idx="1971">
                  <c:v>93.16818999999998</c:v>
                </c:pt>
                <c:pt idx="1972">
                  <c:v>93.16597999999995</c:v>
                </c:pt>
                <c:pt idx="1973">
                  <c:v>93.16384999999998</c:v>
                </c:pt>
                <c:pt idx="1974">
                  <c:v>93.16173</c:v>
                </c:pt>
                <c:pt idx="1975">
                  <c:v>93.15961</c:v>
                </c:pt>
                <c:pt idx="1976">
                  <c:v>93.15751</c:v>
                </c:pt>
                <c:pt idx="1977">
                  <c:v>93.15522999999997</c:v>
                </c:pt>
                <c:pt idx="1978">
                  <c:v>93.15302999999998</c:v>
                </c:pt>
                <c:pt idx="1979">
                  <c:v>93.15094999999998</c:v>
                </c:pt>
                <c:pt idx="1980">
                  <c:v>93.14872999999998</c:v>
                </c:pt>
                <c:pt idx="1981">
                  <c:v>93.14647999999998</c:v>
                </c:pt>
                <c:pt idx="1982">
                  <c:v>93.14434</c:v>
                </c:pt>
                <c:pt idx="1983">
                  <c:v>93.14212</c:v>
                </c:pt>
                <c:pt idx="1984">
                  <c:v>93.14003</c:v>
                </c:pt>
                <c:pt idx="1985">
                  <c:v>93.13799</c:v>
                </c:pt>
                <c:pt idx="1986">
                  <c:v>93.13572999999998</c:v>
                </c:pt>
                <c:pt idx="1987">
                  <c:v>93.13357</c:v>
                </c:pt>
                <c:pt idx="1988">
                  <c:v>93.13132</c:v>
                </c:pt>
                <c:pt idx="1989">
                  <c:v>93.12913999999998</c:v>
                </c:pt>
                <c:pt idx="1990">
                  <c:v>93.12692</c:v>
                </c:pt>
                <c:pt idx="1991">
                  <c:v>93.12473999999958</c:v>
                </c:pt>
                <c:pt idx="1992">
                  <c:v>93.12251999999998</c:v>
                </c:pt>
                <c:pt idx="1993">
                  <c:v>93.12035999999995</c:v>
                </c:pt>
                <c:pt idx="1994">
                  <c:v>93.11824</c:v>
                </c:pt>
                <c:pt idx="1995">
                  <c:v>93.11607999999998</c:v>
                </c:pt>
                <c:pt idx="1996">
                  <c:v>93.11394</c:v>
                </c:pt>
                <c:pt idx="1997">
                  <c:v>93.11174</c:v>
                </c:pt>
                <c:pt idx="1998">
                  <c:v>93.10952</c:v>
                </c:pt>
                <c:pt idx="1999">
                  <c:v>93.10737999999998</c:v>
                </c:pt>
                <c:pt idx="2000">
                  <c:v>93.10517999999985</c:v>
                </c:pt>
                <c:pt idx="2001">
                  <c:v>93.10290999999998</c:v>
                </c:pt>
                <c:pt idx="2002">
                  <c:v>93.10067</c:v>
                </c:pt>
                <c:pt idx="2003">
                  <c:v>93.09845</c:v>
                </c:pt>
                <c:pt idx="2004">
                  <c:v>93.09621</c:v>
                </c:pt>
                <c:pt idx="2005">
                  <c:v>93.09392</c:v>
                </c:pt>
                <c:pt idx="2006">
                  <c:v>93.09168</c:v>
                </c:pt>
                <c:pt idx="2007">
                  <c:v>93.08947999999998</c:v>
                </c:pt>
                <c:pt idx="2008">
                  <c:v>93.08723</c:v>
                </c:pt>
                <c:pt idx="2009">
                  <c:v>93.08499</c:v>
                </c:pt>
                <c:pt idx="2010">
                  <c:v>93.08278999999965</c:v>
                </c:pt>
                <c:pt idx="2011">
                  <c:v>93.08055</c:v>
                </c:pt>
                <c:pt idx="2012">
                  <c:v>93.07829999999998</c:v>
                </c:pt>
                <c:pt idx="2013">
                  <c:v>93.07612</c:v>
                </c:pt>
                <c:pt idx="2014">
                  <c:v>93.07392</c:v>
                </c:pt>
                <c:pt idx="2015">
                  <c:v>93.07177999999985</c:v>
                </c:pt>
                <c:pt idx="2016">
                  <c:v>93.06952</c:v>
                </c:pt>
                <c:pt idx="2017">
                  <c:v>93.06717</c:v>
                </c:pt>
                <c:pt idx="2018">
                  <c:v>93.06483</c:v>
                </c:pt>
                <c:pt idx="2019">
                  <c:v>93.06256</c:v>
                </c:pt>
                <c:pt idx="2020">
                  <c:v>93.06026</c:v>
                </c:pt>
                <c:pt idx="2021">
                  <c:v>93.05806</c:v>
                </c:pt>
                <c:pt idx="2022">
                  <c:v>93.05586999999998</c:v>
                </c:pt>
                <c:pt idx="2023">
                  <c:v>93.05359</c:v>
                </c:pt>
                <c:pt idx="2024">
                  <c:v>93.05135</c:v>
                </c:pt>
                <c:pt idx="2025">
                  <c:v>93.04913</c:v>
                </c:pt>
                <c:pt idx="2026">
                  <c:v>93.04682</c:v>
                </c:pt>
                <c:pt idx="2027">
                  <c:v>93.04458</c:v>
                </c:pt>
                <c:pt idx="2028">
                  <c:v>93.04227</c:v>
                </c:pt>
                <c:pt idx="2029">
                  <c:v>93.04003</c:v>
                </c:pt>
                <c:pt idx="2030">
                  <c:v>93.03777</c:v>
                </c:pt>
                <c:pt idx="2031">
                  <c:v>93.03557999999998</c:v>
                </c:pt>
                <c:pt idx="2032">
                  <c:v>93.03332</c:v>
                </c:pt>
                <c:pt idx="2033">
                  <c:v>93.03106</c:v>
                </c:pt>
                <c:pt idx="2034">
                  <c:v>93.02885999999998</c:v>
                </c:pt>
                <c:pt idx="2035">
                  <c:v>93.02657</c:v>
                </c:pt>
                <c:pt idx="2036">
                  <c:v>93.02443</c:v>
                </c:pt>
                <c:pt idx="2037">
                  <c:v>93.022</c:v>
                </c:pt>
                <c:pt idx="2038">
                  <c:v>93.01957</c:v>
                </c:pt>
                <c:pt idx="2039">
                  <c:v>93.01737</c:v>
                </c:pt>
                <c:pt idx="2040">
                  <c:v>93.01513000000001</c:v>
                </c:pt>
                <c:pt idx="2041">
                  <c:v>93.01286</c:v>
                </c:pt>
                <c:pt idx="2042">
                  <c:v>93.01062</c:v>
                </c:pt>
                <c:pt idx="2043">
                  <c:v>93.00839999999998</c:v>
                </c:pt>
                <c:pt idx="2044">
                  <c:v>93.00612</c:v>
                </c:pt>
                <c:pt idx="2045">
                  <c:v>93.00389</c:v>
                </c:pt>
                <c:pt idx="2046">
                  <c:v>93.00155</c:v>
                </c:pt>
                <c:pt idx="2047">
                  <c:v>92.99918</c:v>
                </c:pt>
                <c:pt idx="2048">
                  <c:v>92.99685</c:v>
                </c:pt>
                <c:pt idx="2049">
                  <c:v>92.99446</c:v>
                </c:pt>
                <c:pt idx="2050">
                  <c:v>92.99206</c:v>
                </c:pt>
                <c:pt idx="2051">
                  <c:v>92.98967</c:v>
                </c:pt>
                <c:pt idx="2052">
                  <c:v>92.98738</c:v>
                </c:pt>
                <c:pt idx="2053">
                  <c:v>92.98512</c:v>
                </c:pt>
                <c:pt idx="2054">
                  <c:v>92.98286</c:v>
                </c:pt>
                <c:pt idx="2055">
                  <c:v>92.98059</c:v>
                </c:pt>
                <c:pt idx="2056">
                  <c:v>92.97830999999998</c:v>
                </c:pt>
                <c:pt idx="2057">
                  <c:v>92.97592</c:v>
                </c:pt>
                <c:pt idx="2058">
                  <c:v>92.97361</c:v>
                </c:pt>
                <c:pt idx="2059">
                  <c:v>92.97131</c:v>
                </c:pt>
                <c:pt idx="2060">
                  <c:v>92.96904</c:v>
                </c:pt>
                <c:pt idx="2061">
                  <c:v>92.9668</c:v>
                </c:pt>
                <c:pt idx="2062">
                  <c:v>92.96458</c:v>
                </c:pt>
                <c:pt idx="2063">
                  <c:v>92.96223</c:v>
                </c:pt>
                <c:pt idx="2064">
                  <c:v>92.95976</c:v>
                </c:pt>
                <c:pt idx="2065">
                  <c:v>92.95731</c:v>
                </c:pt>
                <c:pt idx="2066">
                  <c:v>92.95501</c:v>
                </c:pt>
                <c:pt idx="2067">
                  <c:v>92.95268</c:v>
                </c:pt>
                <c:pt idx="2068">
                  <c:v>92.9504</c:v>
                </c:pt>
                <c:pt idx="2069">
                  <c:v>92.94807</c:v>
                </c:pt>
                <c:pt idx="2070">
                  <c:v>92.94576</c:v>
                </c:pt>
                <c:pt idx="2071">
                  <c:v>92.94344</c:v>
                </c:pt>
                <c:pt idx="2072">
                  <c:v>92.94107</c:v>
                </c:pt>
                <c:pt idx="2073">
                  <c:v>92.93873999999998</c:v>
                </c:pt>
                <c:pt idx="2074">
                  <c:v>92.93652</c:v>
                </c:pt>
                <c:pt idx="2075">
                  <c:v>92.93399</c:v>
                </c:pt>
                <c:pt idx="2076">
                  <c:v>92.93154</c:v>
                </c:pt>
                <c:pt idx="2077">
                  <c:v>92.92919</c:v>
                </c:pt>
                <c:pt idx="2078">
                  <c:v>92.92685</c:v>
                </c:pt>
                <c:pt idx="2079">
                  <c:v>92.9246</c:v>
                </c:pt>
                <c:pt idx="2080">
                  <c:v>92.92243999999998</c:v>
                </c:pt>
                <c:pt idx="2081">
                  <c:v>92.9203</c:v>
                </c:pt>
                <c:pt idx="2082">
                  <c:v>92.91798</c:v>
                </c:pt>
                <c:pt idx="2083">
                  <c:v>92.91559</c:v>
                </c:pt>
                <c:pt idx="2084">
                  <c:v>92.91326</c:v>
                </c:pt>
                <c:pt idx="2085">
                  <c:v>92.91085</c:v>
                </c:pt>
                <c:pt idx="2086">
                  <c:v>92.90842</c:v>
                </c:pt>
                <c:pt idx="2087">
                  <c:v>92.90589</c:v>
                </c:pt>
                <c:pt idx="2088">
                  <c:v>92.90336</c:v>
                </c:pt>
                <c:pt idx="2089">
                  <c:v>92.90091</c:v>
                </c:pt>
                <c:pt idx="2090">
                  <c:v>92.89846</c:v>
                </c:pt>
                <c:pt idx="2091">
                  <c:v>92.89611</c:v>
                </c:pt>
                <c:pt idx="2092">
                  <c:v>92.89376</c:v>
                </c:pt>
                <c:pt idx="2093">
                  <c:v>92.89142</c:v>
                </c:pt>
                <c:pt idx="2094">
                  <c:v>92.88908999999998</c:v>
                </c:pt>
                <c:pt idx="2095">
                  <c:v>92.88675999999998</c:v>
                </c:pt>
                <c:pt idx="2096">
                  <c:v>92.88447999999998</c:v>
                </c:pt>
                <c:pt idx="2097">
                  <c:v>92.88214999999998</c:v>
                </c:pt>
                <c:pt idx="2098">
                  <c:v>92.87986999999998</c:v>
                </c:pt>
                <c:pt idx="2099">
                  <c:v>92.8775</c:v>
                </c:pt>
                <c:pt idx="2100">
                  <c:v>92.87500999999965</c:v>
                </c:pt>
                <c:pt idx="2101">
                  <c:v>92.87244999999928</c:v>
                </c:pt>
                <c:pt idx="2102">
                  <c:v>92.87001999999998</c:v>
                </c:pt>
                <c:pt idx="2103">
                  <c:v>92.86755</c:v>
                </c:pt>
                <c:pt idx="2104">
                  <c:v>92.86513999999998</c:v>
                </c:pt>
                <c:pt idx="2105">
                  <c:v>92.86275999999998</c:v>
                </c:pt>
                <c:pt idx="2106">
                  <c:v>92.86034999999998</c:v>
                </c:pt>
                <c:pt idx="2107">
                  <c:v>92.85798</c:v>
                </c:pt>
                <c:pt idx="2108">
                  <c:v>92.85564999999998</c:v>
                </c:pt>
                <c:pt idx="2109">
                  <c:v>92.85332999999998</c:v>
                </c:pt>
                <c:pt idx="2110">
                  <c:v>92.85072999999998</c:v>
                </c:pt>
                <c:pt idx="2111">
                  <c:v>92.84824</c:v>
                </c:pt>
                <c:pt idx="2112">
                  <c:v>92.84588999999998</c:v>
                </c:pt>
                <c:pt idx="2113">
                  <c:v>92.84357</c:v>
                </c:pt>
                <c:pt idx="2114">
                  <c:v>92.84118</c:v>
                </c:pt>
                <c:pt idx="2115">
                  <c:v>92.83872999999998</c:v>
                </c:pt>
                <c:pt idx="2116">
                  <c:v>92.83628</c:v>
                </c:pt>
                <c:pt idx="2117">
                  <c:v>92.83401</c:v>
                </c:pt>
                <c:pt idx="2118">
                  <c:v>92.83133</c:v>
                </c:pt>
                <c:pt idx="2119">
                  <c:v>92.82879999999938</c:v>
                </c:pt>
                <c:pt idx="2120">
                  <c:v>92.82644999999998</c:v>
                </c:pt>
                <c:pt idx="2121">
                  <c:v>92.82417</c:v>
                </c:pt>
                <c:pt idx="2122">
                  <c:v>92.82177999999985</c:v>
                </c:pt>
                <c:pt idx="2123">
                  <c:v>92.81931</c:v>
                </c:pt>
                <c:pt idx="2124">
                  <c:v>92.81705</c:v>
                </c:pt>
                <c:pt idx="2125">
                  <c:v>92.81487000000001</c:v>
                </c:pt>
                <c:pt idx="2126">
                  <c:v>92.81257999999998</c:v>
                </c:pt>
                <c:pt idx="2127">
                  <c:v>92.81019</c:v>
                </c:pt>
                <c:pt idx="2128">
                  <c:v>92.80766</c:v>
                </c:pt>
                <c:pt idx="2129">
                  <c:v>92.80507999999975</c:v>
                </c:pt>
                <c:pt idx="2130">
                  <c:v>92.80258999999998</c:v>
                </c:pt>
                <c:pt idx="2131">
                  <c:v>92.80014</c:v>
                </c:pt>
                <c:pt idx="2132">
                  <c:v>92.79769</c:v>
                </c:pt>
                <c:pt idx="2133">
                  <c:v>92.79532</c:v>
                </c:pt>
                <c:pt idx="2134">
                  <c:v>92.79294</c:v>
                </c:pt>
                <c:pt idx="2135">
                  <c:v>92.79065</c:v>
                </c:pt>
                <c:pt idx="2136">
                  <c:v>92.78828</c:v>
                </c:pt>
                <c:pt idx="2137">
                  <c:v>92.78586999999997</c:v>
                </c:pt>
                <c:pt idx="2138">
                  <c:v>92.78344</c:v>
                </c:pt>
                <c:pt idx="2139">
                  <c:v>92.78093000000001</c:v>
                </c:pt>
                <c:pt idx="2140">
                  <c:v>92.77841999999998</c:v>
                </c:pt>
                <c:pt idx="2141">
                  <c:v>92.77601</c:v>
                </c:pt>
                <c:pt idx="2142">
                  <c:v>92.77362</c:v>
                </c:pt>
                <c:pt idx="2143">
                  <c:v>92.7713</c:v>
                </c:pt>
                <c:pt idx="2144">
                  <c:v>92.76883999999998</c:v>
                </c:pt>
                <c:pt idx="2145">
                  <c:v>92.76648</c:v>
                </c:pt>
                <c:pt idx="2146">
                  <c:v>92.76403</c:v>
                </c:pt>
                <c:pt idx="2147">
                  <c:v>92.7616</c:v>
                </c:pt>
                <c:pt idx="2148">
                  <c:v>92.75917</c:v>
                </c:pt>
                <c:pt idx="2149">
                  <c:v>92.75667</c:v>
                </c:pt>
                <c:pt idx="2150">
                  <c:v>92.75418</c:v>
                </c:pt>
                <c:pt idx="2151">
                  <c:v>92.75175</c:v>
                </c:pt>
                <c:pt idx="2152">
                  <c:v>92.74928</c:v>
                </c:pt>
                <c:pt idx="2153">
                  <c:v>92.74685</c:v>
                </c:pt>
                <c:pt idx="2154">
                  <c:v>92.74438</c:v>
                </c:pt>
                <c:pt idx="2155">
                  <c:v>92.74195</c:v>
                </c:pt>
                <c:pt idx="2156">
                  <c:v>92.73952</c:v>
                </c:pt>
                <c:pt idx="2157">
                  <c:v>92.73715</c:v>
                </c:pt>
                <c:pt idx="2158">
                  <c:v>92.73481</c:v>
                </c:pt>
                <c:pt idx="2159">
                  <c:v>92.73242</c:v>
                </c:pt>
                <c:pt idx="2160">
                  <c:v>92.72997</c:v>
                </c:pt>
                <c:pt idx="2161">
                  <c:v>92.72743000000001</c:v>
                </c:pt>
                <c:pt idx="2162">
                  <c:v>92.72496</c:v>
                </c:pt>
                <c:pt idx="2163">
                  <c:v>92.72248999999998</c:v>
                </c:pt>
                <c:pt idx="2164">
                  <c:v>92.72006</c:v>
                </c:pt>
                <c:pt idx="2165">
                  <c:v>92.71761</c:v>
                </c:pt>
                <c:pt idx="2166">
                  <c:v>92.71514</c:v>
                </c:pt>
                <c:pt idx="2167">
                  <c:v>92.71263</c:v>
                </c:pt>
                <c:pt idx="2168">
                  <c:v>92.71024</c:v>
                </c:pt>
                <c:pt idx="2169">
                  <c:v>92.70787</c:v>
                </c:pt>
                <c:pt idx="2170">
                  <c:v>92.70542</c:v>
                </c:pt>
                <c:pt idx="2171">
                  <c:v>92.70293</c:v>
                </c:pt>
                <c:pt idx="2172">
                  <c:v>92.70046</c:v>
                </c:pt>
                <c:pt idx="2173">
                  <c:v>92.69806999999998</c:v>
                </c:pt>
                <c:pt idx="2174">
                  <c:v>92.69566</c:v>
                </c:pt>
                <c:pt idx="2175">
                  <c:v>92.69327000000001</c:v>
                </c:pt>
                <c:pt idx="2176">
                  <c:v>92.69073999999995</c:v>
                </c:pt>
                <c:pt idx="2177">
                  <c:v>92.68826999999997</c:v>
                </c:pt>
                <c:pt idx="2178">
                  <c:v>92.68581999999998</c:v>
                </c:pt>
                <c:pt idx="2179">
                  <c:v>92.68340999999998</c:v>
                </c:pt>
                <c:pt idx="2180">
                  <c:v>92.68102</c:v>
                </c:pt>
                <c:pt idx="2181">
                  <c:v>92.67862999999998</c:v>
                </c:pt>
                <c:pt idx="2182">
                  <c:v>92.67615999999998</c:v>
                </c:pt>
                <c:pt idx="2183">
                  <c:v>92.67368999999998</c:v>
                </c:pt>
                <c:pt idx="2184">
                  <c:v>92.67126</c:v>
                </c:pt>
                <c:pt idx="2185">
                  <c:v>92.66873999999908</c:v>
                </c:pt>
                <c:pt idx="2186">
                  <c:v>92.66630999999998</c:v>
                </c:pt>
                <c:pt idx="2187">
                  <c:v>92.66391</c:v>
                </c:pt>
                <c:pt idx="2188">
                  <c:v>92.66146</c:v>
                </c:pt>
                <c:pt idx="2189">
                  <c:v>92.65904999999998</c:v>
                </c:pt>
                <c:pt idx="2190">
                  <c:v>92.65659999999998</c:v>
                </c:pt>
                <c:pt idx="2191">
                  <c:v>92.65419</c:v>
                </c:pt>
                <c:pt idx="2192">
                  <c:v>92.65179999999998</c:v>
                </c:pt>
                <c:pt idx="2193">
                  <c:v>92.64933</c:v>
                </c:pt>
                <c:pt idx="2194">
                  <c:v>92.6469</c:v>
                </c:pt>
                <c:pt idx="2195">
                  <c:v>92.64453</c:v>
                </c:pt>
                <c:pt idx="2196">
                  <c:v>92.6421</c:v>
                </c:pt>
                <c:pt idx="2197">
                  <c:v>92.63963</c:v>
                </c:pt>
                <c:pt idx="2198">
                  <c:v>92.63714</c:v>
                </c:pt>
                <c:pt idx="2199">
                  <c:v>92.63474999999998</c:v>
                </c:pt>
                <c:pt idx="2200">
                  <c:v>92.63241999999998</c:v>
                </c:pt>
                <c:pt idx="2201">
                  <c:v>92.63003</c:v>
                </c:pt>
                <c:pt idx="2202">
                  <c:v>92.62752</c:v>
                </c:pt>
                <c:pt idx="2203">
                  <c:v>92.62500999999965</c:v>
                </c:pt>
                <c:pt idx="2204">
                  <c:v>92.62259999999995</c:v>
                </c:pt>
                <c:pt idx="2205">
                  <c:v>92.62008999999995</c:v>
                </c:pt>
                <c:pt idx="2206">
                  <c:v>92.61766</c:v>
                </c:pt>
                <c:pt idx="2207">
                  <c:v>92.61530999999998</c:v>
                </c:pt>
                <c:pt idx="2208">
                  <c:v>92.61297999999998</c:v>
                </c:pt>
                <c:pt idx="2209">
                  <c:v>92.61053</c:v>
                </c:pt>
                <c:pt idx="2210">
                  <c:v>92.60809999999998</c:v>
                </c:pt>
                <c:pt idx="2211">
                  <c:v>92.60563</c:v>
                </c:pt>
                <c:pt idx="2212">
                  <c:v>92.6032</c:v>
                </c:pt>
                <c:pt idx="2213">
                  <c:v>92.60076999999998</c:v>
                </c:pt>
                <c:pt idx="2214">
                  <c:v>92.59833999999998</c:v>
                </c:pt>
                <c:pt idx="2215">
                  <c:v>92.59593</c:v>
                </c:pt>
                <c:pt idx="2216">
                  <c:v>92.59361</c:v>
                </c:pt>
                <c:pt idx="2217">
                  <c:v>92.59124</c:v>
                </c:pt>
                <c:pt idx="2218">
                  <c:v>92.58891</c:v>
                </c:pt>
                <c:pt idx="2219">
                  <c:v>92.58655</c:v>
                </c:pt>
                <c:pt idx="2220">
                  <c:v>92.58412</c:v>
                </c:pt>
                <c:pt idx="2221">
                  <c:v>92.58173</c:v>
                </c:pt>
                <c:pt idx="2222">
                  <c:v>92.57939999999998</c:v>
                </c:pt>
                <c:pt idx="2223">
                  <c:v>92.57701</c:v>
                </c:pt>
                <c:pt idx="2224">
                  <c:v>92.57456</c:v>
                </c:pt>
                <c:pt idx="2225">
                  <c:v>92.57233999999868</c:v>
                </c:pt>
                <c:pt idx="2226">
                  <c:v>92.56975</c:v>
                </c:pt>
                <c:pt idx="2227">
                  <c:v>92.56719</c:v>
                </c:pt>
                <c:pt idx="2228">
                  <c:v>92.56474</c:v>
                </c:pt>
                <c:pt idx="2229">
                  <c:v>92.56232999999997</c:v>
                </c:pt>
                <c:pt idx="2230">
                  <c:v>92.55997999999998</c:v>
                </c:pt>
                <c:pt idx="2231">
                  <c:v>92.55772</c:v>
                </c:pt>
                <c:pt idx="2232">
                  <c:v>92.55536999999998</c:v>
                </c:pt>
                <c:pt idx="2233">
                  <c:v>92.55307</c:v>
                </c:pt>
                <c:pt idx="2234">
                  <c:v>92.55075999999998</c:v>
                </c:pt>
                <c:pt idx="2235">
                  <c:v>92.54846</c:v>
                </c:pt>
                <c:pt idx="2236">
                  <c:v>92.54622</c:v>
                </c:pt>
                <c:pt idx="2237">
                  <c:v>92.54383</c:v>
                </c:pt>
                <c:pt idx="2238">
                  <c:v>92.54138</c:v>
                </c:pt>
                <c:pt idx="2239">
                  <c:v>92.53891</c:v>
                </c:pt>
                <c:pt idx="2240">
                  <c:v>92.53647999999998</c:v>
                </c:pt>
                <c:pt idx="2241">
                  <c:v>92.53402</c:v>
                </c:pt>
                <c:pt idx="2242">
                  <c:v>92.53166</c:v>
                </c:pt>
                <c:pt idx="2243">
                  <c:v>92.52934999999998</c:v>
                </c:pt>
                <c:pt idx="2244">
                  <c:v>92.52713</c:v>
                </c:pt>
                <c:pt idx="2245">
                  <c:v>92.52491</c:v>
                </c:pt>
                <c:pt idx="2246">
                  <c:v>92.52256</c:v>
                </c:pt>
                <c:pt idx="2247">
                  <c:v>92.52017</c:v>
                </c:pt>
                <c:pt idx="2248">
                  <c:v>92.51774</c:v>
                </c:pt>
                <c:pt idx="2249">
                  <c:v>92.5155</c:v>
                </c:pt>
                <c:pt idx="2250">
                  <c:v>92.51317</c:v>
                </c:pt>
                <c:pt idx="2251">
                  <c:v>92.51083000000001</c:v>
                </c:pt>
                <c:pt idx="2252">
                  <c:v>92.50847999999995</c:v>
                </c:pt>
                <c:pt idx="2253">
                  <c:v>92.50603</c:v>
                </c:pt>
                <c:pt idx="2254">
                  <c:v>92.5036</c:v>
                </c:pt>
                <c:pt idx="2255">
                  <c:v>92.50134</c:v>
                </c:pt>
                <c:pt idx="2256">
                  <c:v>92.49907</c:v>
                </c:pt>
                <c:pt idx="2257">
                  <c:v>92.49675</c:v>
                </c:pt>
                <c:pt idx="2258">
                  <c:v>92.49436</c:v>
                </c:pt>
                <c:pt idx="2259">
                  <c:v>92.49201</c:v>
                </c:pt>
                <c:pt idx="2260">
                  <c:v>92.48964</c:v>
                </c:pt>
                <c:pt idx="2261">
                  <c:v>92.48728</c:v>
                </c:pt>
                <c:pt idx="2262">
                  <c:v>92.48497</c:v>
                </c:pt>
                <c:pt idx="2263">
                  <c:v>92.4826</c:v>
                </c:pt>
                <c:pt idx="2264">
                  <c:v>92.48028</c:v>
                </c:pt>
                <c:pt idx="2265">
                  <c:v>92.47799</c:v>
                </c:pt>
                <c:pt idx="2266">
                  <c:v>92.47567</c:v>
                </c:pt>
                <c:pt idx="2267">
                  <c:v>92.47333999999998</c:v>
                </c:pt>
                <c:pt idx="2268">
                  <c:v>92.47116</c:v>
                </c:pt>
                <c:pt idx="2269">
                  <c:v>92.46879</c:v>
                </c:pt>
                <c:pt idx="2270">
                  <c:v>92.46645</c:v>
                </c:pt>
                <c:pt idx="2271">
                  <c:v>92.46395</c:v>
                </c:pt>
                <c:pt idx="2272">
                  <c:v>92.46182</c:v>
                </c:pt>
                <c:pt idx="2273">
                  <c:v>92.45955</c:v>
                </c:pt>
                <c:pt idx="2274">
                  <c:v>92.457</c:v>
                </c:pt>
                <c:pt idx="2275">
                  <c:v>92.45469</c:v>
                </c:pt>
                <c:pt idx="2276">
                  <c:v>92.45245</c:v>
                </c:pt>
                <c:pt idx="2277">
                  <c:v>92.45023</c:v>
                </c:pt>
                <c:pt idx="2278">
                  <c:v>92.44788</c:v>
                </c:pt>
                <c:pt idx="2279">
                  <c:v>92.44547</c:v>
                </c:pt>
                <c:pt idx="2280">
                  <c:v>92.44321</c:v>
                </c:pt>
                <c:pt idx="2281">
                  <c:v>92.44099</c:v>
                </c:pt>
                <c:pt idx="2282">
                  <c:v>92.4388</c:v>
                </c:pt>
                <c:pt idx="2283">
                  <c:v>92.43662</c:v>
                </c:pt>
                <c:pt idx="2284">
                  <c:v>92.4344</c:v>
                </c:pt>
                <c:pt idx="2285">
                  <c:v>92.43212</c:v>
                </c:pt>
                <c:pt idx="2286">
                  <c:v>92.42975</c:v>
                </c:pt>
                <c:pt idx="2287">
                  <c:v>92.42742</c:v>
                </c:pt>
                <c:pt idx="2288">
                  <c:v>92.4252</c:v>
                </c:pt>
                <c:pt idx="2289">
                  <c:v>92.42292</c:v>
                </c:pt>
                <c:pt idx="2290">
                  <c:v>92.42057000000001</c:v>
                </c:pt>
                <c:pt idx="2291">
                  <c:v>92.4182</c:v>
                </c:pt>
                <c:pt idx="2292">
                  <c:v>92.41582</c:v>
                </c:pt>
                <c:pt idx="2293">
                  <c:v>92.41361</c:v>
                </c:pt>
                <c:pt idx="2294">
                  <c:v>92.41139</c:v>
                </c:pt>
                <c:pt idx="2295">
                  <c:v>92.40923</c:v>
                </c:pt>
                <c:pt idx="2296">
                  <c:v>92.40711</c:v>
                </c:pt>
                <c:pt idx="2297">
                  <c:v>92.40485</c:v>
                </c:pt>
                <c:pt idx="2298">
                  <c:v>92.40259</c:v>
                </c:pt>
                <c:pt idx="2299">
                  <c:v>92.40022</c:v>
                </c:pt>
                <c:pt idx="2300">
                  <c:v>92.39793</c:v>
                </c:pt>
                <c:pt idx="2301">
                  <c:v>92.39572999999998</c:v>
                </c:pt>
                <c:pt idx="2302">
                  <c:v>92.39337</c:v>
                </c:pt>
                <c:pt idx="2303">
                  <c:v>92.39112</c:v>
                </c:pt>
                <c:pt idx="2304">
                  <c:v>92.38893999999995</c:v>
                </c:pt>
                <c:pt idx="2305">
                  <c:v>92.38679999999998</c:v>
                </c:pt>
                <c:pt idx="2306">
                  <c:v>92.38458</c:v>
                </c:pt>
                <c:pt idx="2307">
                  <c:v>92.38233999999898</c:v>
                </c:pt>
                <c:pt idx="2308">
                  <c:v>92.38016</c:v>
                </c:pt>
                <c:pt idx="2309">
                  <c:v>92.37786999999997</c:v>
                </c:pt>
                <c:pt idx="2310">
                  <c:v>92.37556999999998</c:v>
                </c:pt>
                <c:pt idx="2311">
                  <c:v>92.37329999999998</c:v>
                </c:pt>
                <c:pt idx="2312">
                  <c:v>92.37106</c:v>
                </c:pt>
                <c:pt idx="2313">
                  <c:v>92.36877999999938</c:v>
                </c:pt>
                <c:pt idx="2314">
                  <c:v>92.36658</c:v>
                </c:pt>
                <c:pt idx="2315">
                  <c:v>92.36429</c:v>
                </c:pt>
                <c:pt idx="2316">
                  <c:v>92.36204999999998</c:v>
                </c:pt>
                <c:pt idx="2317">
                  <c:v>92.35984999999998</c:v>
                </c:pt>
                <c:pt idx="2318">
                  <c:v>92.35767000000001</c:v>
                </c:pt>
                <c:pt idx="2319">
                  <c:v>92.35537999999868</c:v>
                </c:pt>
                <c:pt idx="2320">
                  <c:v>92.3531</c:v>
                </c:pt>
                <c:pt idx="2321">
                  <c:v>92.35086999999998</c:v>
                </c:pt>
                <c:pt idx="2322">
                  <c:v>92.34870999999998</c:v>
                </c:pt>
                <c:pt idx="2323">
                  <c:v>92.34653</c:v>
                </c:pt>
                <c:pt idx="2324">
                  <c:v>92.34435</c:v>
                </c:pt>
                <c:pt idx="2325">
                  <c:v>92.34203</c:v>
                </c:pt>
                <c:pt idx="2326">
                  <c:v>92.33977999999995</c:v>
                </c:pt>
                <c:pt idx="2327">
                  <c:v>92.33758</c:v>
                </c:pt>
                <c:pt idx="2328">
                  <c:v>92.33542</c:v>
                </c:pt>
                <c:pt idx="2329">
                  <c:v>92.33326</c:v>
                </c:pt>
                <c:pt idx="2330">
                  <c:v>92.33106</c:v>
                </c:pt>
                <c:pt idx="2331">
                  <c:v>92.32885999999998</c:v>
                </c:pt>
                <c:pt idx="2332">
                  <c:v>92.32666</c:v>
                </c:pt>
                <c:pt idx="2333">
                  <c:v>92.32452</c:v>
                </c:pt>
                <c:pt idx="2334">
                  <c:v>92.32235999999975</c:v>
                </c:pt>
                <c:pt idx="2335">
                  <c:v>92.31999</c:v>
                </c:pt>
                <c:pt idx="2336">
                  <c:v>92.31769</c:v>
                </c:pt>
                <c:pt idx="2337">
                  <c:v>92.31559</c:v>
                </c:pt>
                <c:pt idx="2338">
                  <c:v>92.31306</c:v>
                </c:pt>
                <c:pt idx="2339">
                  <c:v>92.31059</c:v>
                </c:pt>
                <c:pt idx="2340">
                  <c:v>92.30826</c:v>
                </c:pt>
                <c:pt idx="2341">
                  <c:v>92.30596999999997</c:v>
                </c:pt>
                <c:pt idx="2342">
                  <c:v>92.30359</c:v>
                </c:pt>
                <c:pt idx="2343">
                  <c:v>92.30141</c:v>
                </c:pt>
                <c:pt idx="2344">
                  <c:v>92.29927</c:v>
                </c:pt>
                <c:pt idx="2345">
                  <c:v>92.29715</c:v>
                </c:pt>
                <c:pt idx="2346">
                  <c:v>92.29501</c:v>
                </c:pt>
                <c:pt idx="2347">
                  <c:v>92.2927</c:v>
                </c:pt>
                <c:pt idx="2348">
                  <c:v>92.2903</c:v>
                </c:pt>
                <c:pt idx="2349">
                  <c:v>92.28778</c:v>
                </c:pt>
                <c:pt idx="2350">
                  <c:v>92.28541</c:v>
                </c:pt>
                <c:pt idx="2351">
                  <c:v>92.28307</c:v>
                </c:pt>
                <c:pt idx="2352">
                  <c:v>92.28068</c:v>
                </c:pt>
                <c:pt idx="2353">
                  <c:v>92.27827</c:v>
                </c:pt>
                <c:pt idx="2354">
                  <c:v>92.27589999999998</c:v>
                </c:pt>
                <c:pt idx="2355">
                  <c:v>92.27348999999998</c:v>
                </c:pt>
                <c:pt idx="2356">
                  <c:v>92.27117000000001</c:v>
                </c:pt>
                <c:pt idx="2357">
                  <c:v>92.26882</c:v>
                </c:pt>
                <c:pt idx="2358">
                  <c:v>92.26645</c:v>
                </c:pt>
                <c:pt idx="2359">
                  <c:v>92.26398</c:v>
                </c:pt>
                <c:pt idx="2360">
                  <c:v>92.26147</c:v>
                </c:pt>
                <c:pt idx="2361">
                  <c:v>92.259</c:v>
                </c:pt>
                <c:pt idx="2362">
                  <c:v>92.25653000000001</c:v>
                </c:pt>
                <c:pt idx="2363">
                  <c:v>92.25404</c:v>
                </c:pt>
                <c:pt idx="2364">
                  <c:v>92.2515</c:v>
                </c:pt>
                <c:pt idx="2365">
                  <c:v>92.24886</c:v>
                </c:pt>
                <c:pt idx="2366">
                  <c:v>92.24637000000001</c:v>
                </c:pt>
                <c:pt idx="2367">
                  <c:v>92.24394</c:v>
                </c:pt>
                <c:pt idx="2368">
                  <c:v>92.24145</c:v>
                </c:pt>
                <c:pt idx="2369">
                  <c:v>92.23876999999997</c:v>
                </c:pt>
                <c:pt idx="2370">
                  <c:v>92.23605</c:v>
                </c:pt>
                <c:pt idx="2371">
                  <c:v>92.23341</c:v>
                </c:pt>
                <c:pt idx="2372">
                  <c:v>92.2308</c:v>
                </c:pt>
                <c:pt idx="2373">
                  <c:v>92.22816</c:v>
                </c:pt>
                <c:pt idx="2374">
                  <c:v>92.22547999999995</c:v>
                </c:pt>
                <c:pt idx="2375">
                  <c:v>92.22287999999975</c:v>
                </c:pt>
                <c:pt idx="2376">
                  <c:v>92.22023</c:v>
                </c:pt>
                <c:pt idx="2377">
                  <c:v>92.21769</c:v>
                </c:pt>
                <c:pt idx="2378">
                  <c:v>92.21499</c:v>
                </c:pt>
                <c:pt idx="2379">
                  <c:v>92.21221</c:v>
                </c:pt>
                <c:pt idx="2380">
                  <c:v>92.20945</c:v>
                </c:pt>
                <c:pt idx="2381">
                  <c:v>92.20671</c:v>
                </c:pt>
                <c:pt idx="2382">
                  <c:v>92.20401</c:v>
                </c:pt>
                <c:pt idx="2383">
                  <c:v>92.20122</c:v>
                </c:pt>
                <c:pt idx="2384">
                  <c:v>92.19858999999998</c:v>
                </c:pt>
                <c:pt idx="2385">
                  <c:v>92.19579999999995</c:v>
                </c:pt>
                <c:pt idx="2386">
                  <c:v>92.193</c:v>
                </c:pt>
                <c:pt idx="2387">
                  <c:v>92.19009</c:v>
                </c:pt>
                <c:pt idx="2388">
                  <c:v>92.18723</c:v>
                </c:pt>
                <c:pt idx="2389">
                  <c:v>92.1843</c:v>
                </c:pt>
                <c:pt idx="2390">
                  <c:v>92.18143</c:v>
                </c:pt>
                <c:pt idx="2391">
                  <c:v>92.17866999999998</c:v>
                </c:pt>
                <c:pt idx="2392">
                  <c:v>92.17554999999938</c:v>
                </c:pt>
                <c:pt idx="2393">
                  <c:v>92.17268999999965</c:v>
                </c:pt>
                <c:pt idx="2394">
                  <c:v>92.16991</c:v>
                </c:pt>
                <c:pt idx="2395">
                  <c:v>92.16712</c:v>
                </c:pt>
                <c:pt idx="2396">
                  <c:v>92.16446</c:v>
                </c:pt>
                <c:pt idx="2397">
                  <c:v>92.1617</c:v>
                </c:pt>
                <c:pt idx="2398">
                  <c:v>92.15876999999985</c:v>
                </c:pt>
                <c:pt idx="2399">
                  <c:v>92.15571999999958</c:v>
                </c:pt>
                <c:pt idx="2400">
                  <c:v>92.15278999999855</c:v>
                </c:pt>
                <c:pt idx="2401">
                  <c:v>92.14993000000001</c:v>
                </c:pt>
                <c:pt idx="2402">
                  <c:v>92.147</c:v>
                </c:pt>
                <c:pt idx="2403">
                  <c:v>92.14417</c:v>
                </c:pt>
                <c:pt idx="2404">
                  <c:v>92.14129</c:v>
                </c:pt>
                <c:pt idx="2405">
                  <c:v>92.13835999999995</c:v>
                </c:pt>
                <c:pt idx="2406">
                  <c:v>92.13544999999995</c:v>
                </c:pt>
                <c:pt idx="2407">
                  <c:v>92.13252</c:v>
                </c:pt>
                <c:pt idx="2408">
                  <c:v>92.12967999999998</c:v>
                </c:pt>
                <c:pt idx="2409">
                  <c:v>92.12684999999995</c:v>
                </c:pt>
                <c:pt idx="2410">
                  <c:v>92.12389999999998</c:v>
                </c:pt>
                <c:pt idx="2411">
                  <c:v>92.12097999999965</c:v>
                </c:pt>
                <c:pt idx="2412">
                  <c:v>92.11811</c:v>
                </c:pt>
                <c:pt idx="2413">
                  <c:v>92.11522</c:v>
                </c:pt>
                <c:pt idx="2414">
                  <c:v>92.1123</c:v>
                </c:pt>
                <c:pt idx="2415">
                  <c:v>92.10948999999998</c:v>
                </c:pt>
                <c:pt idx="2416">
                  <c:v>92.10649999999998</c:v>
                </c:pt>
                <c:pt idx="2417">
                  <c:v>92.10357</c:v>
                </c:pt>
                <c:pt idx="2418">
                  <c:v>92.10065</c:v>
                </c:pt>
                <c:pt idx="2419">
                  <c:v>92.0977</c:v>
                </c:pt>
                <c:pt idx="2420">
                  <c:v>92.09487</c:v>
                </c:pt>
                <c:pt idx="2421">
                  <c:v>92.09201</c:v>
                </c:pt>
                <c:pt idx="2422">
                  <c:v>92.0892</c:v>
                </c:pt>
                <c:pt idx="2423">
                  <c:v>92.08642</c:v>
                </c:pt>
                <c:pt idx="2424">
                  <c:v>92.08355</c:v>
                </c:pt>
                <c:pt idx="2425">
                  <c:v>92.08067000000001</c:v>
                </c:pt>
                <c:pt idx="2426">
                  <c:v>92.07773999999995</c:v>
                </c:pt>
                <c:pt idx="2427">
                  <c:v>92.07488999999998</c:v>
                </c:pt>
                <c:pt idx="2428">
                  <c:v>92.07202999999998</c:v>
                </c:pt>
                <c:pt idx="2429">
                  <c:v>92.06912</c:v>
                </c:pt>
                <c:pt idx="2430">
                  <c:v>92.06621</c:v>
                </c:pt>
                <c:pt idx="2431">
                  <c:v>92.06337</c:v>
                </c:pt>
                <c:pt idx="2432">
                  <c:v>92.06061</c:v>
                </c:pt>
                <c:pt idx="2433">
                  <c:v>92.05784</c:v>
                </c:pt>
                <c:pt idx="2434">
                  <c:v>92.05512</c:v>
                </c:pt>
                <c:pt idx="2435">
                  <c:v>92.05243999999985</c:v>
                </c:pt>
                <c:pt idx="2436">
                  <c:v>92.04966</c:v>
                </c:pt>
                <c:pt idx="2437">
                  <c:v>92.04696</c:v>
                </c:pt>
                <c:pt idx="2438">
                  <c:v>92.04426</c:v>
                </c:pt>
                <c:pt idx="2439">
                  <c:v>92.04158</c:v>
                </c:pt>
                <c:pt idx="2440">
                  <c:v>92.03882</c:v>
                </c:pt>
                <c:pt idx="2441">
                  <c:v>92.03604</c:v>
                </c:pt>
                <c:pt idx="2442">
                  <c:v>92.03323</c:v>
                </c:pt>
                <c:pt idx="2443">
                  <c:v>92.03041</c:v>
                </c:pt>
                <c:pt idx="2444">
                  <c:v>92.02765</c:v>
                </c:pt>
                <c:pt idx="2445">
                  <c:v>92.02484</c:v>
                </c:pt>
                <c:pt idx="2446">
                  <c:v>92.02212</c:v>
                </c:pt>
                <c:pt idx="2447">
                  <c:v>92.0194</c:v>
                </c:pt>
                <c:pt idx="2448">
                  <c:v>92.01664</c:v>
                </c:pt>
                <c:pt idx="2449">
                  <c:v>92.01392</c:v>
                </c:pt>
                <c:pt idx="2450">
                  <c:v>92.01124</c:v>
                </c:pt>
                <c:pt idx="2451">
                  <c:v>92.00853999999998</c:v>
                </c:pt>
                <c:pt idx="2452">
                  <c:v>92.00592</c:v>
                </c:pt>
                <c:pt idx="2453">
                  <c:v>92.00329</c:v>
                </c:pt>
                <c:pt idx="2454">
                  <c:v>92.00073</c:v>
                </c:pt>
                <c:pt idx="2455">
                  <c:v>91.99822</c:v>
                </c:pt>
                <c:pt idx="2456">
                  <c:v>91.99564</c:v>
                </c:pt>
                <c:pt idx="2457">
                  <c:v>91.99299</c:v>
                </c:pt>
                <c:pt idx="2458">
                  <c:v>91.99033</c:v>
                </c:pt>
                <c:pt idx="2459">
                  <c:v>91.98763</c:v>
                </c:pt>
                <c:pt idx="2460">
                  <c:v>91.98497</c:v>
                </c:pt>
                <c:pt idx="2461">
                  <c:v>91.98231</c:v>
                </c:pt>
                <c:pt idx="2462">
                  <c:v>91.97976</c:v>
                </c:pt>
                <c:pt idx="2463">
                  <c:v>91.97724</c:v>
                </c:pt>
                <c:pt idx="2464">
                  <c:v>91.97471</c:v>
                </c:pt>
                <c:pt idx="2465">
                  <c:v>91.97213</c:v>
                </c:pt>
                <c:pt idx="2466">
                  <c:v>91.96954</c:v>
                </c:pt>
                <c:pt idx="2467">
                  <c:v>91.96705</c:v>
                </c:pt>
                <c:pt idx="2468">
                  <c:v>91.96455</c:v>
                </c:pt>
                <c:pt idx="2469">
                  <c:v>91.96208</c:v>
                </c:pt>
                <c:pt idx="2470">
                  <c:v>91.95961</c:v>
                </c:pt>
                <c:pt idx="2471">
                  <c:v>91.95716</c:v>
                </c:pt>
                <c:pt idx="2472">
                  <c:v>91.95467</c:v>
                </c:pt>
                <c:pt idx="2473">
                  <c:v>91.95214</c:v>
                </c:pt>
                <c:pt idx="2474">
                  <c:v>91.94954</c:v>
                </c:pt>
                <c:pt idx="2475">
                  <c:v>91.94715</c:v>
                </c:pt>
                <c:pt idx="2476">
                  <c:v>91.94466</c:v>
                </c:pt>
                <c:pt idx="2477">
                  <c:v>91.94221</c:v>
                </c:pt>
                <c:pt idx="2478">
                  <c:v>91.9397</c:v>
                </c:pt>
                <c:pt idx="2479">
                  <c:v>91.93722</c:v>
                </c:pt>
                <c:pt idx="2480">
                  <c:v>91.93477</c:v>
                </c:pt>
                <c:pt idx="2481">
                  <c:v>91.93226</c:v>
                </c:pt>
                <c:pt idx="2482">
                  <c:v>91.92978999999998</c:v>
                </c:pt>
                <c:pt idx="2483">
                  <c:v>91.92732</c:v>
                </c:pt>
                <c:pt idx="2484">
                  <c:v>91.92493</c:v>
                </c:pt>
                <c:pt idx="2485">
                  <c:v>91.92242</c:v>
                </c:pt>
                <c:pt idx="2486">
                  <c:v>91.91997</c:v>
                </c:pt>
                <c:pt idx="2487">
                  <c:v>91.91754</c:v>
                </c:pt>
                <c:pt idx="2488">
                  <c:v>91.91525</c:v>
                </c:pt>
                <c:pt idx="2489">
                  <c:v>91.91288</c:v>
                </c:pt>
                <c:pt idx="2490">
                  <c:v>91.91052</c:v>
                </c:pt>
                <c:pt idx="2491">
                  <c:v>91.90819</c:v>
                </c:pt>
                <c:pt idx="2492">
                  <c:v>91.90591</c:v>
                </c:pt>
                <c:pt idx="2493">
                  <c:v>91.90366</c:v>
                </c:pt>
                <c:pt idx="2494">
                  <c:v>91.9013</c:v>
                </c:pt>
                <c:pt idx="2495">
                  <c:v>91.89903</c:v>
                </c:pt>
                <c:pt idx="2496">
                  <c:v>91.89671</c:v>
                </c:pt>
                <c:pt idx="2497">
                  <c:v>91.89438</c:v>
                </c:pt>
                <c:pt idx="2498">
                  <c:v>91.89217999999998</c:v>
                </c:pt>
                <c:pt idx="2499">
                  <c:v>91.88997999999998</c:v>
                </c:pt>
                <c:pt idx="2500">
                  <c:v>91.88782</c:v>
                </c:pt>
                <c:pt idx="2501">
                  <c:v>91.88567999999998</c:v>
                </c:pt>
                <c:pt idx="2502">
                  <c:v>91.88346</c:v>
                </c:pt>
                <c:pt idx="2503">
                  <c:v>91.88121</c:v>
                </c:pt>
                <c:pt idx="2504">
                  <c:v>91.87900999999998</c:v>
                </c:pt>
                <c:pt idx="2505">
                  <c:v>91.87672999999998</c:v>
                </c:pt>
                <c:pt idx="2506">
                  <c:v>91.87448999999998</c:v>
                </c:pt>
                <c:pt idx="2507">
                  <c:v>91.87222</c:v>
                </c:pt>
                <c:pt idx="2508">
                  <c:v>91.86996</c:v>
                </c:pt>
                <c:pt idx="2509">
                  <c:v>91.86792</c:v>
                </c:pt>
                <c:pt idx="2510">
                  <c:v>91.86577999999938</c:v>
                </c:pt>
                <c:pt idx="2511">
                  <c:v>91.86364</c:v>
                </c:pt>
                <c:pt idx="2512">
                  <c:v>91.86146</c:v>
                </c:pt>
                <c:pt idx="2513">
                  <c:v>91.85934999999998</c:v>
                </c:pt>
                <c:pt idx="2514">
                  <c:v>91.85719</c:v>
                </c:pt>
                <c:pt idx="2515">
                  <c:v>91.85502999999998</c:v>
                </c:pt>
                <c:pt idx="2516">
                  <c:v>91.85294999999998</c:v>
                </c:pt>
                <c:pt idx="2517">
                  <c:v>91.85088999999998</c:v>
                </c:pt>
                <c:pt idx="2518">
                  <c:v>91.8489</c:v>
                </c:pt>
                <c:pt idx="2519">
                  <c:v>91.84688</c:v>
                </c:pt>
                <c:pt idx="2520">
                  <c:v>91.84485</c:v>
                </c:pt>
                <c:pt idx="2521">
                  <c:v>91.84274999999998</c:v>
                </c:pt>
                <c:pt idx="2522">
                  <c:v>91.84063</c:v>
                </c:pt>
                <c:pt idx="2523">
                  <c:v>91.83857999999998</c:v>
                </c:pt>
                <c:pt idx="2524">
                  <c:v>91.83656</c:v>
                </c:pt>
                <c:pt idx="2525">
                  <c:v>91.83457000000001</c:v>
                </c:pt>
                <c:pt idx="2526">
                  <c:v>91.83251</c:v>
                </c:pt>
                <c:pt idx="2527">
                  <c:v>91.83052</c:v>
                </c:pt>
                <c:pt idx="2528">
                  <c:v>91.82852999999998</c:v>
                </c:pt>
                <c:pt idx="2529">
                  <c:v>91.82638999999975</c:v>
                </c:pt>
                <c:pt idx="2530">
                  <c:v>91.8241</c:v>
                </c:pt>
                <c:pt idx="2531">
                  <c:v>91.82208999999965</c:v>
                </c:pt>
                <c:pt idx="2532">
                  <c:v>91.82031999999998</c:v>
                </c:pt>
                <c:pt idx="2533">
                  <c:v>91.81883</c:v>
                </c:pt>
                <c:pt idx="2534">
                  <c:v>91.81733000000001</c:v>
                </c:pt>
                <c:pt idx="2535">
                  <c:v>91.81533999999998</c:v>
                </c:pt>
                <c:pt idx="2536">
                  <c:v>91.81335</c:v>
                </c:pt>
                <c:pt idx="2537">
                  <c:v>91.81137</c:v>
                </c:pt>
                <c:pt idx="2538">
                  <c:v>91.80936</c:v>
                </c:pt>
                <c:pt idx="2539">
                  <c:v>91.80736</c:v>
                </c:pt>
                <c:pt idx="2540">
                  <c:v>91.80542999999998</c:v>
                </c:pt>
                <c:pt idx="2541">
                  <c:v>91.8035</c:v>
                </c:pt>
                <c:pt idx="2542">
                  <c:v>91.80159</c:v>
                </c:pt>
                <c:pt idx="2543">
                  <c:v>91.79983</c:v>
                </c:pt>
                <c:pt idx="2544">
                  <c:v>91.79798</c:v>
                </c:pt>
                <c:pt idx="2545">
                  <c:v>91.79615</c:v>
                </c:pt>
                <c:pt idx="2546">
                  <c:v>91.7943</c:v>
                </c:pt>
                <c:pt idx="2547">
                  <c:v>91.79252</c:v>
                </c:pt>
                <c:pt idx="2548">
                  <c:v>91.79067</c:v>
                </c:pt>
                <c:pt idx="2549">
                  <c:v>91.78887999999998</c:v>
                </c:pt>
                <c:pt idx="2550">
                  <c:v>91.78707</c:v>
                </c:pt>
                <c:pt idx="2551">
                  <c:v>91.78523000000001</c:v>
                </c:pt>
                <c:pt idx="2552">
                  <c:v>91.78336</c:v>
                </c:pt>
                <c:pt idx="2553">
                  <c:v>91.78151</c:v>
                </c:pt>
                <c:pt idx="2554">
                  <c:v>91.77964</c:v>
                </c:pt>
                <c:pt idx="2555">
                  <c:v>91.77787</c:v>
                </c:pt>
                <c:pt idx="2556">
                  <c:v>91.77606999999997</c:v>
                </c:pt>
                <c:pt idx="2557">
                  <c:v>91.77424</c:v>
                </c:pt>
                <c:pt idx="2558">
                  <c:v>91.77257999999995</c:v>
                </c:pt>
                <c:pt idx="2559">
                  <c:v>91.77082999999997</c:v>
                </c:pt>
                <c:pt idx="2560">
                  <c:v>91.76909</c:v>
                </c:pt>
                <c:pt idx="2561">
                  <c:v>91.76734</c:v>
                </c:pt>
                <c:pt idx="2562">
                  <c:v>91.76566</c:v>
                </c:pt>
                <c:pt idx="2563">
                  <c:v>91.76394</c:v>
                </c:pt>
                <c:pt idx="2564">
                  <c:v>91.76217000000001</c:v>
                </c:pt>
                <c:pt idx="2565">
                  <c:v>91.76053</c:v>
                </c:pt>
                <c:pt idx="2566">
                  <c:v>91.75880999999998</c:v>
                </c:pt>
                <c:pt idx="2567">
                  <c:v>91.75721</c:v>
                </c:pt>
                <c:pt idx="2568">
                  <c:v>91.75557</c:v>
                </c:pt>
                <c:pt idx="2569">
                  <c:v>91.75391</c:v>
                </c:pt>
                <c:pt idx="2570">
                  <c:v>91.75223</c:v>
                </c:pt>
                <c:pt idx="2571">
                  <c:v>91.75047999999998</c:v>
                </c:pt>
                <c:pt idx="2572">
                  <c:v>91.74899</c:v>
                </c:pt>
                <c:pt idx="2573">
                  <c:v>91.74743</c:v>
                </c:pt>
                <c:pt idx="2574">
                  <c:v>91.74579</c:v>
                </c:pt>
                <c:pt idx="2575">
                  <c:v>91.74417</c:v>
                </c:pt>
                <c:pt idx="2576">
                  <c:v>91.74249</c:v>
                </c:pt>
                <c:pt idx="2577">
                  <c:v>91.74089</c:v>
                </c:pt>
                <c:pt idx="2578">
                  <c:v>91.73933</c:v>
                </c:pt>
                <c:pt idx="2579">
                  <c:v>91.73771</c:v>
                </c:pt>
                <c:pt idx="2580">
                  <c:v>91.73609</c:v>
                </c:pt>
                <c:pt idx="2581">
                  <c:v>91.73453</c:v>
                </c:pt>
                <c:pt idx="2582">
                  <c:v>91.73291</c:v>
                </c:pt>
                <c:pt idx="2583">
                  <c:v>91.73133</c:v>
                </c:pt>
                <c:pt idx="2584">
                  <c:v>91.72970999999998</c:v>
                </c:pt>
                <c:pt idx="2585">
                  <c:v>91.72804999999998</c:v>
                </c:pt>
                <c:pt idx="2586">
                  <c:v>91.72652</c:v>
                </c:pt>
                <c:pt idx="2587">
                  <c:v>91.72502</c:v>
                </c:pt>
                <c:pt idx="2588">
                  <c:v>91.7234</c:v>
                </c:pt>
                <c:pt idx="2589">
                  <c:v>91.72177999999998</c:v>
                </c:pt>
                <c:pt idx="2590">
                  <c:v>91.72018</c:v>
                </c:pt>
                <c:pt idx="2591">
                  <c:v>91.71864</c:v>
                </c:pt>
                <c:pt idx="2592">
                  <c:v>91.71702</c:v>
                </c:pt>
                <c:pt idx="2593">
                  <c:v>91.71549</c:v>
                </c:pt>
                <c:pt idx="2594">
                  <c:v>91.71403</c:v>
                </c:pt>
                <c:pt idx="2595">
                  <c:v>91.71252</c:v>
                </c:pt>
                <c:pt idx="2596">
                  <c:v>91.71096</c:v>
                </c:pt>
                <c:pt idx="2597">
                  <c:v>91.70942</c:v>
                </c:pt>
                <c:pt idx="2598">
                  <c:v>91.70791</c:v>
                </c:pt>
                <c:pt idx="2599">
                  <c:v>91.70641</c:v>
                </c:pt>
                <c:pt idx="2600">
                  <c:v>91.70494</c:v>
                </c:pt>
                <c:pt idx="2601">
                  <c:v>91.70342</c:v>
                </c:pt>
                <c:pt idx="2602">
                  <c:v>91.70184</c:v>
                </c:pt>
                <c:pt idx="2603">
                  <c:v>91.70043</c:v>
                </c:pt>
                <c:pt idx="2604">
                  <c:v>91.69906</c:v>
                </c:pt>
                <c:pt idx="2605">
                  <c:v>91.69761</c:v>
                </c:pt>
                <c:pt idx="2606">
                  <c:v>91.69622</c:v>
                </c:pt>
                <c:pt idx="2607">
                  <c:v>91.69477999999998</c:v>
                </c:pt>
                <c:pt idx="2608">
                  <c:v>91.69330999999998</c:v>
                </c:pt>
                <c:pt idx="2609">
                  <c:v>91.69183</c:v>
                </c:pt>
                <c:pt idx="2610">
                  <c:v>91.69023</c:v>
                </c:pt>
                <c:pt idx="2611">
                  <c:v>91.68869999999998</c:v>
                </c:pt>
                <c:pt idx="2612">
                  <c:v>91.68718</c:v>
                </c:pt>
                <c:pt idx="2613">
                  <c:v>91.68568999999998</c:v>
                </c:pt>
                <c:pt idx="2614">
                  <c:v>91.68421</c:v>
                </c:pt>
                <c:pt idx="2615">
                  <c:v>91.68281999999998</c:v>
                </c:pt>
                <c:pt idx="2616">
                  <c:v>91.68143</c:v>
                </c:pt>
                <c:pt idx="2617">
                  <c:v>91.67999999999998</c:v>
                </c:pt>
                <c:pt idx="2618">
                  <c:v>91.67868999999965</c:v>
                </c:pt>
                <c:pt idx="2619">
                  <c:v>91.67735999999998</c:v>
                </c:pt>
                <c:pt idx="2620">
                  <c:v>91.6758799999981</c:v>
                </c:pt>
                <c:pt idx="2621">
                  <c:v>91.67454999999998</c:v>
                </c:pt>
                <c:pt idx="2622">
                  <c:v>91.67322999999997</c:v>
                </c:pt>
                <c:pt idx="2623">
                  <c:v>91.67185999999998</c:v>
                </c:pt>
                <c:pt idx="2624">
                  <c:v>91.67037999999835</c:v>
                </c:pt>
                <c:pt idx="2625">
                  <c:v>91.66894999999998</c:v>
                </c:pt>
                <c:pt idx="2626">
                  <c:v>91.66758</c:v>
                </c:pt>
                <c:pt idx="2627">
                  <c:v>91.66614</c:v>
                </c:pt>
                <c:pt idx="2628">
                  <c:v>91.66487999999998</c:v>
                </c:pt>
                <c:pt idx="2629">
                  <c:v>91.66361</c:v>
                </c:pt>
                <c:pt idx="2630">
                  <c:v>91.66229999999997</c:v>
                </c:pt>
                <c:pt idx="2631">
                  <c:v>91.66086999999997</c:v>
                </c:pt>
                <c:pt idx="2632">
                  <c:v>91.65936999999998</c:v>
                </c:pt>
                <c:pt idx="2633">
                  <c:v>91.65797999999998</c:v>
                </c:pt>
                <c:pt idx="2634">
                  <c:v>91.65671999999998</c:v>
                </c:pt>
                <c:pt idx="2635">
                  <c:v>91.65533999999845</c:v>
                </c:pt>
                <c:pt idx="2636">
                  <c:v>91.65407999999998</c:v>
                </c:pt>
                <c:pt idx="2637">
                  <c:v>91.65264999999998</c:v>
                </c:pt>
                <c:pt idx="2638">
                  <c:v>91.65132</c:v>
                </c:pt>
                <c:pt idx="2639">
                  <c:v>91.65008999999995</c:v>
                </c:pt>
                <c:pt idx="2640">
                  <c:v>91.64882</c:v>
                </c:pt>
                <c:pt idx="2641">
                  <c:v>91.64756</c:v>
                </c:pt>
                <c:pt idx="2642">
                  <c:v>91.64625</c:v>
                </c:pt>
                <c:pt idx="2643">
                  <c:v>91.64486</c:v>
                </c:pt>
                <c:pt idx="2644">
                  <c:v>91.64357</c:v>
                </c:pt>
                <c:pt idx="2645">
                  <c:v>91.64228</c:v>
                </c:pt>
                <c:pt idx="2646">
                  <c:v>91.64104</c:v>
                </c:pt>
                <c:pt idx="2647">
                  <c:v>91.63967</c:v>
                </c:pt>
                <c:pt idx="2648">
                  <c:v>91.63831999999998</c:v>
                </c:pt>
                <c:pt idx="2649">
                  <c:v>91.63697</c:v>
                </c:pt>
                <c:pt idx="2650">
                  <c:v>91.63554999999998</c:v>
                </c:pt>
                <c:pt idx="2651">
                  <c:v>91.63424</c:v>
                </c:pt>
                <c:pt idx="2652">
                  <c:v>91.63293999999995</c:v>
                </c:pt>
                <c:pt idx="2653">
                  <c:v>91.63159</c:v>
                </c:pt>
                <c:pt idx="2654">
                  <c:v>91.63006999999997</c:v>
                </c:pt>
                <c:pt idx="2655">
                  <c:v>91.62877999999806</c:v>
                </c:pt>
                <c:pt idx="2656">
                  <c:v>91.62756</c:v>
                </c:pt>
                <c:pt idx="2657">
                  <c:v>91.62632999999998</c:v>
                </c:pt>
                <c:pt idx="2658">
                  <c:v>91.62512999999998</c:v>
                </c:pt>
                <c:pt idx="2659">
                  <c:v>91.62385999999998</c:v>
                </c:pt>
                <c:pt idx="2660">
                  <c:v>91.62248999999898</c:v>
                </c:pt>
                <c:pt idx="2661">
                  <c:v>91.62129</c:v>
                </c:pt>
                <c:pt idx="2662">
                  <c:v>91.61996</c:v>
                </c:pt>
                <c:pt idx="2663">
                  <c:v>91.61859</c:v>
                </c:pt>
                <c:pt idx="2664">
                  <c:v>91.61736</c:v>
                </c:pt>
                <c:pt idx="2665">
                  <c:v>91.61614</c:v>
                </c:pt>
                <c:pt idx="2666">
                  <c:v>91.61485</c:v>
                </c:pt>
                <c:pt idx="2667">
                  <c:v>91.61343999999998</c:v>
                </c:pt>
                <c:pt idx="2668">
                  <c:v>91.61217</c:v>
                </c:pt>
                <c:pt idx="2669">
                  <c:v>91.6109</c:v>
                </c:pt>
                <c:pt idx="2670">
                  <c:v>91.60957</c:v>
                </c:pt>
                <c:pt idx="2671">
                  <c:v>91.60830999999965</c:v>
                </c:pt>
                <c:pt idx="2672">
                  <c:v>91.60706</c:v>
                </c:pt>
                <c:pt idx="2673">
                  <c:v>91.60585999999998</c:v>
                </c:pt>
                <c:pt idx="2674">
                  <c:v>91.60463</c:v>
                </c:pt>
                <c:pt idx="2675">
                  <c:v>91.60331999999998</c:v>
                </c:pt>
                <c:pt idx="2676">
                  <c:v>91.60219999999998</c:v>
                </c:pt>
                <c:pt idx="2677">
                  <c:v>91.60070999999998</c:v>
                </c:pt>
                <c:pt idx="2678">
                  <c:v>91.59929</c:v>
                </c:pt>
                <c:pt idx="2679">
                  <c:v>91.59792</c:v>
                </c:pt>
                <c:pt idx="2680">
                  <c:v>91.59657</c:v>
                </c:pt>
                <c:pt idx="2681">
                  <c:v>91.59547</c:v>
                </c:pt>
                <c:pt idx="2682">
                  <c:v>91.59433000000001</c:v>
                </c:pt>
                <c:pt idx="2683">
                  <c:v>91.59323</c:v>
                </c:pt>
                <c:pt idx="2684">
                  <c:v>91.59192</c:v>
                </c:pt>
                <c:pt idx="2685">
                  <c:v>91.59053</c:v>
                </c:pt>
                <c:pt idx="2686">
                  <c:v>91.58914</c:v>
                </c:pt>
                <c:pt idx="2687">
                  <c:v>91.58785</c:v>
                </c:pt>
                <c:pt idx="2688">
                  <c:v>91.58656</c:v>
                </c:pt>
                <c:pt idx="2689">
                  <c:v>91.58535999999998</c:v>
                </c:pt>
                <c:pt idx="2690">
                  <c:v>91.58424</c:v>
                </c:pt>
                <c:pt idx="2691">
                  <c:v>91.58301</c:v>
                </c:pt>
                <c:pt idx="2692">
                  <c:v>91.58166</c:v>
                </c:pt>
                <c:pt idx="2693">
                  <c:v>91.58029</c:v>
                </c:pt>
                <c:pt idx="2694">
                  <c:v>91.57902</c:v>
                </c:pt>
                <c:pt idx="2695">
                  <c:v>91.57763000000001</c:v>
                </c:pt>
                <c:pt idx="2696">
                  <c:v>91.57631999999998</c:v>
                </c:pt>
                <c:pt idx="2697">
                  <c:v>91.57507999999918</c:v>
                </c:pt>
                <c:pt idx="2698">
                  <c:v>91.57384999999998</c:v>
                </c:pt>
                <c:pt idx="2699">
                  <c:v>91.57255999999998</c:v>
                </c:pt>
                <c:pt idx="2700">
                  <c:v>91.5713</c:v>
                </c:pt>
                <c:pt idx="2701">
                  <c:v>91.57000999999998</c:v>
                </c:pt>
                <c:pt idx="2702">
                  <c:v>91.56875999999998</c:v>
                </c:pt>
                <c:pt idx="2703">
                  <c:v>91.56756</c:v>
                </c:pt>
                <c:pt idx="2704">
                  <c:v>91.56636</c:v>
                </c:pt>
                <c:pt idx="2705">
                  <c:v>91.56515</c:v>
                </c:pt>
                <c:pt idx="2706">
                  <c:v>91.56393000000001</c:v>
                </c:pt>
                <c:pt idx="2707">
                  <c:v>91.56266</c:v>
                </c:pt>
                <c:pt idx="2708">
                  <c:v>91.56135</c:v>
                </c:pt>
                <c:pt idx="2709">
                  <c:v>91.56008</c:v>
                </c:pt>
                <c:pt idx="2710">
                  <c:v>91.55892</c:v>
                </c:pt>
                <c:pt idx="2711">
                  <c:v>91.55772</c:v>
                </c:pt>
                <c:pt idx="2712">
                  <c:v>91.55645</c:v>
                </c:pt>
                <c:pt idx="2713">
                  <c:v>91.55517999999998</c:v>
                </c:pt>
                <c:pt idx="2714">
                  <c:v>91.55384999999998</c:v>
                </c:pt>
                <c:pt idx="2715">
                  <c:v>91.55258999999998</c:v>
                </c:pt>
                <c:pt idx="2716">
                  <c:v>91.55137999999998</c:v>
                </c:pt>
                <c:pt idx="2717">
                  <c:v>91.55032</c:v>
                </c:pt>
                <c:pt idx="2718">
                  <c:v>91.54922</c:v>
                </c:pt>
                <c:pt idx="2719">
                  <c:v>91.54814</c:v>
                </c:pt>
                <c:pt idx="2720">
                  <c:v>91.54661</c:v>
                </c:pt>
                <c:pt idx="2721">
                  <c:v>91.54523</c:v>
                </c:pt>
                <c:pt idx="2722">
                  <c:v>91.54395</c:v>
                </c:pt>
                <c:pt idx="2723">
                  <c:v>91.54276</c:v>
                </c:pt>
                <c:pt idx="2724">
                  <c:v>91.5416</c:v>
                </c:pt>
                <c:pt idx="2725">
                  <c:v>91.54044</c:v>
                </c:pt>
                <c:pt idx="2726">
                  <c:v>91.53933999999998</c:v>
                </c:pt>
                <c:pt idx="2727">
                  <c:v>91.53822</c:v>
                </c:pt>
                <c:pt idx="2728">
                  <c:v>91.53695</c:v>
                </c:pt>
                <c:pt idx="2729">
                  <c:v>91.53566</c:v>
                </c:pt>
                <c:pt idx="2730">
                  <c:v>91.53427</c:v>
                </c:pt>
                <c:pt idx="2731">
                  <c:v>91.53296</c:v>
                </c:pt>
                <c:pt idx="2732">
                  <c:v>91.53169</c:v>
                </c:pt>
                <c:pt idx="2733">
                  <c:v>91.53049</c:v>
                </c:pt>
                <c:pt idx="2734">
                  <c:v>91.52922</c:v>
                </c:pt>
                <c:pt idx="2735">
                  <c:v>91.52798</c:v>
                </c:pt>
                <c:pt idx="2736">
                  <c:v>91.52678999999995</c:v>
                </c:pt>
                <c:pt idx="2737">
                  <c:v>91.52554999999998</c:v>
                </c:pt>
                <c:pt idx="2738">
                  <c:v>91.52428</c:v>
                </c:pt>
                <c:pt idx="2739">
                  <c:v>91.52298999999998</c:v>
                </c:pt>
                <c:pt idx="2740">
                  <c:v>91.52185</c:v>
                </c:pt>
                <c:pt idx="2741">
                  <c:v>91.5206</c:v>
                </c:pt>
                <c:pt idx="2742">
                  <c:v>91.51923</c:v>
                </c:pt>
                <c:pt idx="2743">
                  <c:v>91.51801</c:v>
                </c:pt>
                <c:pt idx="2744">
                  <c:v>91.51672</c:v>
                </c:pt>
                <c:pt idx="2745">
                  <c:v>91.51547</c:v>
                </c:pt>
                <c:pt idx="2746">
                  <c:v>91.51425</c:v>
                </c:pt>
                <c:pt idx="2747">
                  <c:v>91.51304</c:v>
                </c:pt>
                <c:pt idx="2748">
                  <c:v>91.51178</c:v>
                </c:pt>
                <c:pt idx="2749">
                  <c:v>91.51059</c:v>
                </c:pt>
                <c:pt idx="2750">
                  <c:v>91.50947</c:v>
                </c:pt>
                <c:pt idx="2751">
                  <c:v>91.50832999999998</c:v>
                </c:pt>
                <c:pt idx="2752">
                  <c:v>91.50717</c:v>
                </c:pt>
                <c:pt idx="2753">
                  <c:v>91.50596</c:v>
                </c:pt>
                <c:pt idx="2754">
                  <c:v>91.50474</c:v>
                </c:pt>
                <c:pt idx="2755">
                  <c:v>91.5036</c:v>
                </c:pt>
                <c:pt idx="2756">
                  <c:v>91.50248999999998</c:v>
                </c:pt>
                <c:pt idx="2757">
                  <c:v>91.50129</c:v>
                </c:pt>
                <c:pt idx="2758">
                  <c:v>91.5</c:v>
                </c:pt>
                <c:pt idx="2759">
                  <c:v>91.49867</c:v>
                </c:pt>
                <c:pt idx="2760">
                  <c:v>91.49741</c:v>
                </c:pt>
                <c:pt idx="2761">
                  <c:v>91.49612</c:v>
                </c:pt>
                <c:pt idx="2762">
                  <c:v>91.49487</c:v>
                </c:pt>
                <c:pt idx="2763">
                  <c:v>91.49361</c:v>
                </c:pt>
                <c:pt idx="2764">
                  <c:v>91.49232</c:v>
                </c:pt>
                <c:pt idx="2765">
                  <c:v>91.49105</c:v>
                </c:pt>
                <c:pt idx="2766">
                  <c:v>91.48985</c:v>
                </c:pt>
                <c:pt idx="2767">
                  <c:v>91.48874999999998</c:v>
                </c:pt>
                <c:pt idx="2768">
                  <c:v>91.4876</c:v>
                </c:pt>
                <c:pt idx="2769">
                  <c:v>91.48642</c:v>
                </c:pt>
                <c:pt idx="2770">
                  <c:v>91.4852</c:v>
                </c:pt>
                <c:pt idx="2771">
                  <c:v>91.48405</c:v>
                </c:pt>
                <c:pt idx="2772">
                  <c:v>91.48281</c:v>
                </c:pt>
                <c:pt idx="2773">
                  <c:v>91.48158</c:v>
                </c:pt>
                <c:pt idx="2774">
                  <c:v>91.48042</c:v>
                </c:pt>
                <c:pt idx="2775">
                  <c:v>91.47915</c:v>
                </c:pt>
                <c:pt idx="2776">
                  <c:v>91.47797000000001</c:v>
                </c:pt>
                <c:pt idx="2777">
                  <c:v>91.47687</c:v>
                </c:pt>
                <c:pt idx="2778">
                  <c:v>91.47557999999998</c:v>
                </c:pt>
                <c:pt idx="2779">
                  <c:v>91.47442</c:v>
                </c:pt>
                <c:pt idx="2780">
                  <c:v>91.47315</c:v>
                </c:pt>
                <c:pt idx="2781">
                  <c:v>91.47188</c:v>
                </c:pt>
                <c:pt idx="2782">
                  <c:v>91.4707</c:v>
                </c:pt>
                <c:pt idx="2783">
                  <c:v>91.4695</c:v>
                </c:pt>
                <c:pt idx="2784">
                  <c:v>91.46825</c:v>
                </c:pt>
                <c:pt idx="2785">
                  <c:v>91.46702</c:v>
                </c:pt>
                <c:pt idx="2786">
                  <c:v>91.46582</c:v>
                </c:pt>
                <c:pt idx="2787">
                  <c:v>91.46472</c:v>
                </c:pt>
                <c:pt idx="2788">
                  <c:v>91.46356</c:v>
                </c:pt>
                <c:pt idx="2789">
                  <c:v>91.46237</c:v>
                </c:pt>
                <c:pt idx="2790">
                  <c:v>91.46106</c:v>
                </c:pt>
                <c:pt idx="2791">
                  <c:v>91.4598</c:v>
                </c:pt>
                <c:pt idx="2792">
                  <c:v>91.45857</c:v>
                </c:pt>
                <c:pt idx="2793">
                  <c:v>91.45743</c:v>
                </c:pt>
                <c:pt idx="2794">
                  <c:v>91.45629</c:v>
                </c:pt>
                <c:pt idx="2795">
                  <c:v>91.45502</c:v>
                </c:pt>
                <c:pt idx="2796">
                  <c:v>91.45375</c:v>
                </c:pt>
                <c:pt idx="2797">
                  <c:v>91.45263000000001</c:v>
                </c:pt>
                <c:pt idx="2798">
                  <c:v>91.45155</c:v>
                </c:pt>
                <c:pt idx="2799">
                  <c:v>91.45041</c:v>
                </c:pt>
                <c:pt idx="2800">
                  <c:v>91.44929</c:v>
                </c:pt>
                <c:pt idx="2801">
                  <c:v>91.448</c:v>
                </c:pt>
                <c:pt idx="2802">
                  <c:v>91.44665</c:v>
                </c:pt>
                <c:pt idx="2803">
                  <c:v>91.44528</c:v>
                </c:pt>
                <c:pt idx="2804">
                  <c:v>91.44405</c:v>
                </c:pt>
                <c:pt idx="2805">
                  <c:v>91.44283</c:v>
                </c:pt>
                <c:pt idx="2806">
                  <c:v>91.44154</c:v>
                </c:pt>
                <c:pt idx="2807">
                  <c:v>91.44023</c:v>
                </c:pt>
                <c:pt idx="2808">
                  <c:v>91.4389</c:v>
                </c:pt>
                <c:pt idx="2809">
                  <c:v>91.43772</c:v>
                </c:pt>
                <c:pt idx="2810">
                  <c:v>91.4365</c:v>
                </c:pt>
                <c:pt idx="2811">
                  <c:v>91.43527</c:v>
                </c:pt>
                <c:pt idx="2812">
                  <c:v>91.43411</c:v>
                </c:pt>
                <c:pt idx="2813">
                  <c:v>91.43294</c:v>
                </c:pt>
                <c:pt idx="2814">
                  <c:v>91.43176</c:v>
                </c:pt>
                <c:pt idx="2815">
                  <c:v>91.43051</c:v>
                </c:pt>
                <c:pt idx="2816">
                  <c:v>91.42931</c:v>
                </c:pt>
                <c:pt idx="2817">
                  <c:v>91.42807999999998</c:v>
                </c:pt>
                <c:pt idx="2818">
                  <c:v>91.42686</c:v>
                </c:pt>
                <c:pt idx="2819">
                  <c:v>91.42563000000001</c:v>
                </c:pt>
                <c:pt idx="2820">
                  <c:v>91.42439</c:v>
                </c:pt>
                <c:pt idx="2821">
                  <c:v>91.42322</c:v>
                </c:pt>
                <c:pt idx="2822">
                  <c:v>91.42206</c:v>
                </c:pt>
                <c:pt idx="2823">
                  <c:v>91.42075</c:v>
                </c:pt>
                <c:pt idx="2824">
                  <c:v>91.41953</c:v>
                </c:pt>
                <c:pt idx="2825">
                  <c:v>91.41837</c:v>
                </c:pt>
                <c:pt idx="2826">
                  <c:v>91.41726</c:v>
                </c:pt>
                <c:pt idx="2827">
                  <c:v>91.41612</c:v>
                </c:pt>
                <c:pt idx="2828">
                  <c:v>91.41496</c:v>
                </c:pt>
                <c:pt idx="2829">
                  <c:v>91.41367</c:v>
                </c:pt>
                <c:pt idx="2830">
                  <c:v>91.41251</c:v>
                </c:pt>
                <c:pt idx="2831">
                  <c:v>91.41132</c:v>
                </c:pt>
                <c:pt idx="2832">
                  <c:v>91.41024</c:v>
                </c:pt>
                <c:pt idx="2833">
                  <c:v>91.40908</c:v>
                </c:pt>
                <c:pt idx="2834">
                  <c:v>91.40792</c:v>
                </c:pt>
                <c:pt idx="2835">
                  <c:v>91.40663</c:v>
                </c:pt>
                <c:pt idx="2836">
                  <c:v>91.40543</c:v>
                </c:pt>
                <c:pt idx="2837">
                  <c:v>91.40422</c:v>
                </c:pt>
                <c:pt idx="2838">
                  <c:v>91.40304</c:v>
                </c:pt>
                <c:pt idx="2839">
                  <c:v>91.4019</c:v>
                </c:pt>
                <c:pt idx="2840">
                  <c:v>91.40075</c:v>
                </c:pt>
                <c:pt idx="2841">
                  <c:v>91.39967</c:v>
                </c:pt>
                <c:pt idx="2842">
                  <c:v>91.39844999999998</c:v>
                </c:pt>
                <c:pt idx="2843">
                  <c:v>91.39722</c:v>
                </c:pt>
                <c:pt idx="2844">
                  <c:v>91.39602</c:v>
                </c:pt>
                <c:pt idx="2845">
                  <c:v>91.39484</c:v>
                </c:pt>
                <c:pt idx="2846">
                  <c:v>91.39369</c:v>
                </c:pt>
                <c:pt idx="2847">
                  <c:v>91.39255</c:v>
                </c:pt>
                <c:pt idx="2848">
                  <c:v>91.39137</c:v>
                </c:pt>
                <c:pt idx="2849">
                  <c:v>91.39014</c:v>
                </c:pt>
                <c:pt idx="2850">
                  <c:v>91.38893999999995</c:v>
                </c:pt>
                <c:pt idx="2851">
                  <c:v>91.38774999999998</c:v>
                </c:pt>
                <c:pt idx="2852">
                  <c:v>91.38655</c:v>
                </c:pt>
                <c:pt idx="2853">
                  <c:v>91.38533999999908</c:v>
                </c:pt>
                <c:pt idx="2854">
                  <c:v>91.38424</c:v>
                </c:pt>
                <c:pt idx="2855">
                  <c:v>91.38307999999998</c:v>
                </c:pt>
                <c:pt idx="2856">
                  <c:v>91.38196</c:v>
                </c:pt>
                <c:pt idx="2857">
                  <c:v>91.38079999999998</c:v>
                </c:pt>
                <c:pt idx="2858">
                  <c:v>91.37958999999998</c:v>
                </c:pt>
                <c:pt idx="2859">
                  <c:v>91.37836999999985</c:v>
                </c:pt>
                <c:pt idx="2860">
                  <c:v>91.37713999999998</c:v>
                </c:pt>
                <c:pt idx="2861">
                  <c:v>91.37591999999998</c:v>
                </c:pt>
                <c:pt idx="2862">
                  <c:v>91.37465</c:v>
                </c:pt>
                <c:pt idx="2863">
                  <c:v>91.37346999999998</c:v>
                </c:pt>
                <c:pt idx="2864">
                  <c:v>91.37229999999998</c:v>
                </c:pt>
                <c:pt idx="2865">
                  <c:v>91.37112</c:v>
                </c:pt>
                <c:pt idx="2866">
                  <c:v>91.36993</c:v>
                </c:pt>
                <c:pt idx="2867">
                  <c:v>91.36880999999998</c:v>
                </c:pt>
                <c:pt idx="2868">
                  <c:v>91.36759</c:v>
                </c:pt>
                <c:pt idx="2869">
                  <c:v>91.36645</c:v>
                </c:pt>
                <c:pt idx="2870">
                  <c:v>91.36526</c:v>
                </c:pt>
                <c:pt idx="2871">
                  <c:v>91.36408</c:v>
                </c:pt>
                <c:pt idx="2872">
                  <c:v>91.36288999999998</c:v>
                </c:pt>
                <c:pt idx="2873">
                  <c:v>91.36169</c:v>
                </c:pt>
                <c:pt idx="2874">
                  <c:v>91.36057</c:v>
                </c:pt>
                <c:pt idx="2875">
                  <c:v>91.35937999999948</c:v>
                </c:pt>
                <c:pt idx="2876">
                  <c:v>91.35812</c:v>
                </c:pt>
                <c:pt idx="2877">
                  <c:v>91.35693</c:v>
                </c:pt>
                <c:pt idx="2878">
                  <c:v>91.35572999999998</c:v>
                </c:pt>
                <c:pt idx="2879">
                  <c:v>91.35467000000001</c:v>
                </c:pt>
                <c:pt idx="2880">
                  <c:v>91.35351</c:v>
                </c:pt>
                <c:pt idx="2881">
                  <c:v>91.35223999999998</c:v>
                </c:pt>
                <c:pt idx="2882">
                  <c:v>91.35107999999998</c:v>
                </c:pt>
                <c:pt idx="2883">
                  <c:v>91.34996</c:v>
                </c:pt>
                <c:pt idx="2884">
                  <c:v>91.34886</c:v>
                </c:pt>
                <c:pt idx="2885">
                  <c:v>91.34761</c:v>
                </c:pt>
                <c:pt idx="2886">
                  <c:v>91.34632</c:v>
                </c:pt>
                <c:pt idx="2887">
                  <c:v>91.34503</c:v>
                </c:pt>
                <c:pt idx="2888">
                  <c:v>91.34391</c:v>
                </c:pt>
                <c:pt idx="2889">
                  <c:v>91.34283</c:v>
                </c:pt>
                <c:pt idx="2890">
                  <c:v>91.34167</c:v>
                </c:pt>
                <c:pt idx="2891">
                  <c:v>91.34057</c:v>
                </c:pt>
                <c:pt idx="2892">
                  <c:v>91.33947</c:v>
                </c:pt>
                <c:pt idx="2893">
                  <c:v>91.33834999999995</c:v>
                </c:pt>
                <c:pt idx="2894">
                  <c:v>91.33716</c:v>
                </c:pt>
                <c:pt idx="2895">
                  <c:v>91.33602</c:v>
                </c:pt>
                <c:pt idx="2896">
                  <c:v>91.33486</c:v>
                </c:pt>
                <c:pt idx="2897">
                  <c:v>91.33367000000001</c:v>
                </c:pt>
                <c:pt idx="2898">
                  <c:v>91.33246999999998</c:v>
                </c:pt>
                <c:pt idx="2899">
                  <c:v>91.33129</c:v>
                </c:pt>
                <c:pt idx="2900">
                  <c:v>91.33019</c:v>
                </c:pt>
                <c:pt idx="2901">
                  <c:v>91.32918999999998</c:v>
                </c:pt>
                <c:pt idx="2902">
                  <c:v>91.32804999999995</c:v>
                </c:pt>
                <c:pt idx="2903">
                  <c:v>91.32683999999985</c:v>
                </c:pt>
                <c:pt idx="2904">
                  <c:v>91.32563999999998</c:v>
                </c:pt>
                <c:pt idx="2905">
                  <c:v>91.32452</c:v>
                </c:pt>
                <c:pt idx="2906">
                  <c:v>91.32329</c:v>
                </c:pt>
                <c:pt idx="2907">
                  <c:v>91.32203999999938</c:v>
                </c:pt>
                <c:pt idx="2908">
                  <c:v>91.32082</c:v>
                </c:pt>
                <c:pt idx="2909">
                  <c:v>91.3197</c:v>
                </c:pt>
                <c:pt idx="2910">
                  <c:v>91.31857999999998</c:v>
                </c:pt>
                <c:pt idx="2911">
                  <c:v>91.31737</c:v>
                </c:pt>
                <c:pt idx="2912">
                  <c:v>91.31615</c:v>
                </c:pt>
                <c:pt idx="2913">
                  <c:v>91.31496</c:v>
                </c:pt>
                <c:pt idx="2914">
                  <c:v>91.31373999999998</c:v>
                </c:pt>
                <c:pt idx="2915">
                  <c:v>91.31248999999998</c:v>
                </c:pt>
                <c:pt idx="2916">
                  <c:v>91.31129</c:v>
                </c:pt>
                <c:pt idx="2917">
                  <c:v>91.31021</c:v>
                </c:pt>
                <c:pt idx="2918">
                  <c:v>91.30903999999998</c:v>
                </c:pt>
                <c:pt idx="2919">
                  <c:v>91.30787999999998</c:v>
                </c:pt>
                <c:pt idx="2920">
                  <c:v>91.30672</c:v>
                </c:pt>
                <c:pt idx="2921">
                  <c:v>91.30556</c:v>
                </c:pt>
                <c:pt idx="2922">
                  <c:v>91.30443</c:v>
                </c:pt>
                <c:pt idx="2923">
                  <c:v>91.30330999999998</c:v>
                </c:pt>
                <c:pt idx="2924">
                  <c:v>91.30221</c:v>
                </c:pt>
                <c:pt idx="2925">
                  <c:v>91.30113</c:v>
                </c:pt>
                <c:pt idx="2926">
                  <c:v>91.30001</c:v>
                </c:pt>
                <c:pt idx="2927">
                  <c:v>91.29873999999998</c:v>
                </c:pt>
                <c:pt idx="2928">
                  <c:v>91.29752</c:v>
                </c:pt>
                <c:pt idx="2929">
                  <c:v>91.29627</c:v>
                </c:pt>
                <c:pt idx="2930">
                  <c:v>91.29498</c:v>
                </c:pt>
                <c:pt idx="2931">
                  <c:v>91.29372</c:v>
                </c:pt>
                <c:pt idx="2932">
                  <c:v>91.29251</c:v>
                </c:pt>
                <c:pt idx="2933">
                  <c:v>91.29137</c:v>
                </c:pt>
                <c:pt idx="2934">
                  <c:v>91.29033</c:v>
                </c:pt>
                <c:pt idx="2935">
                  <c:v>91.28917000000001</c:v>
                </c:pt>
                <c:pt idx="2936">
                  <c:v>91.28807</c:v>
                </c:pt>
                <c:pt idx="2937">
                  <c:v>91.28699</c:v>
                </c:pt>
                <c:pt idx="2938">
                  <c:v>91.28583</c:v>
                </c:pt>
                <c:pt idx="2939">
                  <c:v>91.28462</c:v>
                </c:pt>
                <c:pt idx="2940">
                  <c:v>91.28346</c:v>
                </c:pt>
                <c:pt idx="2941">
                  <c:v>91.28232</c:v>
                </c:pt>
                <c:pt idx="2942">
                  <c:v>91.28115</c:v>
                </c:pt>
                <c:pt idx="2943">
                  <c:v>91.27991</c:v>
                </c:pt>
                <c:pt idx="2944">
                  <c:v>91.27869999999998</c:v>
                </c:pt>
                <c:pt idx="2945">
                  <c:v>91.2776</c:v>
                </c:pt>
                <c:pt idx="2946">
                  <c:v>91.2765</c:v>
                </c:pt>
                <c:pt idx="2947">
                  <c:v>91.27539999999995</c:v>
                </c:pt>
                <c:pt idx="2948">
                  <c:v>91.27437999999998</c:v>
                </c:pt>
                <c:pt idx="2949">
                  <c:v>91.27332</c:v>
                </c:pt>
                <c:pt idx="2950">
                  <c:v>91.27216</c:v>
                </c:pt>
                <c:pt idx="2951">
                  <c:v>91.27102</c:v>
                </c:pt>
                <c:pt idx="2952">
                  <c:v>91.26988</c:v>
                </c:pt>
                <c:pt idx="2953">
                  <c:v>91.26873</c:v>
                </c:pt>
                <c:pt idx="2954">
                  <c:v>91.26749</c:v>
                </c:pt>
                <c:pt idx="2955">
                  <c:v>91.2663</c:v>
                </c:pt>
                <c:pt idx="2956">
                  <c:v>91.26514</c:v>
                </c:pt>
                <c:pt idx="2957">
                  <c:v>91.26404</c:v>
                </c:pt>
                <c:pt idx="2958">
                  <c:v>91.26292</c:v>
                </c:pt>
                <c:pt idx="2959">
                  <c:v>91.26178</c:v>
                </c:pt>
                <c:pt idx="2960">
                  <c:v>91.26068</c:v>
                </c:pt>
                <c:pt idx="2961">
                  <c:v>91.25949</c:v>
                </c:pt>
                <c:pt idx="2962">
                  <c:v>91.25834999999998</c:v>
                </c:pt>
                <c:pt idx="2963">
                  <c:v>91.25712</c:v>
                </c:pt>
                <c:pt idx="2964">
                  <c:v>91.25596</c:v>
                </c:pt>
                <c:pt idx="2965">
                  <c:v>91.25484</c:v>
                </c:pt>
                <c:pt idx="2966">
                  <c:v>91.25373999999998</c:v>
                </c:pt>
                <c:pt idx="2967">
                  <c:v>91.25244999999998</c:v>
                </c:pt>
                <c:pt idx="2968">
                  <c:v>91.25125</c:v>
                </c:pt>
                <c:pt idx="2969">
                  <c:v>91.25011</c:v>
                </c:pt>
                <c:pt idx="2970">
                  <c:v>91.24892</c:v>
                </c:pt>
                <c:pt idx="2971">
                  <c:v>91.24772</c:v>
                </c:pt>
                <c:pt idx="2972">
                  <c:v>91.24657</c:v>
                </c:pt>
                <c:pt idx="2973">
                  <c:v>91.24535</c:v>
                </c:pt>
                <c:pt idx="2974">
                  <c:v>91.24425</c:v>
                </c:pt>
                <c:pt idx="2975">
                  <c:v>91.24307</c:v>
                </c:pt>
                <c:pt idx="2976">
                  <c:v>91.2419</c:v>
                </c:pt>
                <c:pt idx="2977">
                  <c:v>91.2408</c:v>
                </c:pt>
                <c:pt idx="2978">
                  <c:v>91.23968</c:v>
                </c:pt>
                <c:pt idx="2979">
                  <c:v>91.23858</c:v>
                </c:pt>
                <c:pt idx="2980">
                  <c:v>91.23746</c:v>
                </c:pt>
                <c:pt idx="2981">
                  <c:v>91.23632</c:v>
                </c:pt>
                <c:pt idx="2982">
                  <c:v>91.23517</c:v>
                </c:pt>
                <c:pt idx="2983">
                  <c:v>91.23407</c:v>
                </c:pt>
                <c:pt idx="2984">
                  <c:v>91.23308</c:v>
                </c:pt>
                <c:pt idx="2985">
                  <c:v>91.23195</c:v>
                </c:pt>
                <c:pt idx="2986">
                  <c:v>91.23071</c:v>
                </c:pt>
                <c:pt idx="2987">
                  <c:v>91.2295</c:v>
                </c:pt>
                <c:pt idx="2988">
                  <c:v>91.22831999999998</c:v>
                </c:pt>
                <c:pt idx="2989">
                  <c:v>91.22709</c:v>
                </c:pt>
                <c:pt idx="2990">
                  <c:v>91.22588999999998</c:v>
                </c:pt>
                <c:pt idx="2991">
                  <c:v>91.22475</c:v>
                </c:pt>
                <c:pt idx="2992">
                  <c:v>91.22365</c:v>
                </c:pt>
                <c:pt idx="2993">
                  <c:v>91.22253</c:v>
                </c:pt>
                <c:pt idx="2994">
                  <c:v>91.2214</c:v>
                </c:pt>
                <c:pt idx="2995">
                  <c:v>91.22028</c:v>
                </c:pt>
                <c:pt idx="2996">
                  <c:v>91.21918</c:v>
                </c:pt>
                <c:pt idx="2997">
                  <c:v>91.21804</c:v>
                </c:pt>
                <c:pt idx="2998">
                  <c:v>91.21684</c:v>
                </c:pt>
                <c:pt idx="2999">
                  <c:v>91.21563</c:v>
                </c:pt>
                <c:pt idx="3000">
                  <c:v>91.21453</c:v>
                </c:pt>
                <c:pt idx="3001">
                  <c:v>91.21337000000001</c:v>
                </c:pt>
                <c:pt idx="3002">
                  <c:v>91.21227</c:v>
                </c:pt>
                <c:pt idx="3003">
                  <c:v>91.21119</c:v>
                </c:pt>
                <c:pt idx="3004">
                  <c:v>91.21002</c:v>
                </c:pt>
                <c:pt idx="3005">
                  <c:v>91.2089</c:v>
                </c:pt>
                <c:pt idx="3006">
                  <c:v>91.20791</c:v>
                </c:pt>
                <c:pt idx="3007">
                  <c:v>91.2068</c:v>
                </c:pt>
                <c:pt idx="3008">
                  <c:v>91.20562</c:v>
                </c:pt>
                <c:pt idx="3009">
                  <c:v>91.20452</c:v>
                </c:pt>
                <c:pt idx="3010">
                  <c:v>91.20337999999998</c:v>
                </c:pt>
                <c:pt idx="3011">
                  <c:v>91.20217</c:v>
                </c:pt>
                <c:pt idx="3012">
                  <c:v>91.20105</c:v>
                </c:pt>
                <c:pt idx="3013">
                  <c:v>91.19986999999997</c:v>
                </c:pt>
                <c:pt idx="3014">
                  <c:v>91.19867999999998</c:v>
                </c:pt>
                <c:pt idx="3015">
                  <c:v>91.19756</c:v>
                </c:pt>
                <c:pt idx="3016">
                  <c:v>91.19633999999998</c:v>
                </c:pt>
                <c:pt idx="3017">
                  <c:v>91.19517</c:v>
                </c:pt>
                <c:pt idx="3018">
                  <c:v>91.19397</c:v>
                </c:pt>
                <c:pt idx="3019">
                  <c:v>91.19282999999998</c:v>
                </c:pt>
                <c:pt idx="3020">
                  <c:v>91.19175</c:v>
                </c:pt>
                <c:pt idx="3021">
                  <c:v>91.19054</c:v>
                </c:pt>
                <c:pt idx="3022">
                  <c:v>91.18926</c:v>
                </c:pt>
                <c:pt idx="3023">
                  <c:v>91.18806999999998</c:v>
                </c:pt>
                <c:pt idx="3024">
                  <c:v>91.18694999999998</c:v>
                </c:pt>
                <c:pt idx="3025">
                  <c:v>91.18584999999958</c:v>
                </c:pt>
                <c:pt idx="3026">
                  <c:v>91.18470999999998</c:v>
                </c:pt>
                <c:pt idx="3027">
                  <c:v>91.18358999999998</c:v>
                </c:pt>
                <c:pt idx="3028">
                  <c:v>91.18250999999998</c:v>
                </c:pt>
                <c:pt idx="3029">
                  <c:v>91.18132</c:v>
                </c:pt>
                <c:pt idx="3030">
                  <c:v>91.1802</c:v>
                </c:pt>
                <c:pt idx="3031">
                  <c:v>91.17905999999998</c:v>
                </c:pt>
                <c:pt idx="3032">
                  <c:v>91.17793999999998</c:v>
                </c:pt>
                <c:pt idx="3033">
                  <c:v>91.17681999999998</c:v>
                </c:pt>
                <c:pt idx="3034">
                  <c:v>91.17568999999965</c:v>
                </c:pt>
                <c:pt idx="3035">
                  <c:v>91.17453</c:v>
                </c:pt>
                <c:pt idx="3036">
                  <c:v>91.17346999999998</c:v>
                </c:pt>
                <c:pt idx="3037">
                  <c:v>91.17234999999835</c:v>
                </c:pt>
                <c:pt idx="3038">
                  <c:v>91.17118999999998</c:v>
                </c:pt>
                <c:pt idx="3039">
                  <c:v>91.17004999999975</c:v>
                </c:pt>
                <c:pt idx="3040">
                  <c:v>91.16889999999998</c:v>
                </c:pt>
                <c:pt idx="3041">
                  <c:v>91.16776</c:v>
                </c:pt>
                <c:pt idx="3042">
                  <c:v>91.1667</c:v>
                </c:pt>
                <c:pt idx="3043">
                  <c:v>91.16553999999998</c:v>
                </c:pt>
                <c:pt idx="3044">
                  <c:v>91.16444</c:v>
                </c:pt>
                <c:pt idx="3045">
                  <c:v>91.16323000000001</c:v>
                </c:pt>
                <c:pt idx="3046">
                  <c:v>91.16206999999998</c:v>
                </c:pt>
                <c:pt idx="3047">
                  <c:v>91.16088999999998</c:v>
                </c:pt>
                <c:pt idx="3048">
                  <c:v>91.15980999999998</c:v>
                </c:pt>
                <c:pt idx="3049">
                  <c:v>91.15866999999998</c:v>
                </c:pt>
                <c:pt idx="3050">
                  <c:v>91.15746</c:v>
                </c:pt>
                <c:pt idx="3051">
                  <c:v>91.15633999999918</c:v>
                </c:pt>
                <c:pt idx="3052">
                  <c:v>91.15527999999995</c:v>
                </c:pt>
                <c:pt idx="3053">
                  <c:v>91.15422</c:v>
                </c:pt>
                <c:pt idx="3054">
                  <c:v>91.15305999999998</c:v>
                </c:pt>
                <c:pt idx="3055">
                  <c:v>91.1519</c:v>
                </c:pt>
                <c:pt idx="3056">
                  <c:v>91.15067</c:v>
                </c:pt>
                <c:pt idx="3057">
                  <c:v>91.14947</c:v>
                </c:pt>
                <c:pt idx="3058">
                  <c:v>91.14833999999995</c:v>
                </c:pt>
                <c:pt idx="3059">
                  <c:v>91.14712</c:v>
                </c:pt>
                <c:pt idx="3060">
                  <c:v>91.14596</c:v>
                </c:pt>
                <c:pt idx="3061">
                  <c:v>91.14483000000001</c:v>
                </c:pt>
                <c:pt idx="3062">
                  <c:v>91.14373</c:v>
                </c:pt>
                <c:pt idx="3063">
                  <c:v>91.1427</c:v>
                </c:pt>
                <c:pt idx="3064">
                  <c:v>91.14157</c:v>
                </c:pt>
                <c:pt idx="3065">
                  <c:v>91.14047</c:v>
                </c:pt>
                <c:pt idx="3066">
                  <c:v>91.13930999999998</c:v>
                </c:pt>
                <c:pt idx="3067">
                  <c:v>91.13816999999997</c:v>
                </c:pt>
                <c:pt idx="3068">
                  <c:v>91.13717000000001</c:v>
                </c:pt>
                <c:pt idx="3069">
                  <c:v>91.13608999999998</c:v>
                </c:pt>
                <c:pt idx="3070">
                  <c:v>91.13499</c:v>
                </c:pt>
                <c:pt idx="3071">
                  <c:v>91.13382999999997</c:v>
                </c:pt>
                <c:pt idx="3072">
                  <c:v>91.13270999999965</c:v>
                </c:pt>
                <c:pt idx="3073">
                  <c:v>91.13158</c:v>
                </c:pt>
                <c:pt idx="3074">
                  <c:v>91.13043999999998</c:v>
                </c:pt>
                <c:pt idx="3075">
                  <c:v>91.12926</c:v>
                </c:pt>
                <c:pt idx="3076">
                  <c:v>91.12813999999958</c:v>
                </c:pt>
                <c:pt idx="3077">
                  <c:v>91.12706</c:v>
                </c:pt>
                <c:pt idx="3078">
                  <c:v>91.12590999999995</c:v>
                </c:pt>
                <c:pt idx="3079">
                  <c:v>91.12474999999995</c:v>
                </c:pt>
                <c:pt idx="3080">
                  <c:v>91.12358999999998</c:v>
                </c:pt>
                <c:pt idx="3081">
                  <c:v>91.12242999999998</c:v>
                </c:pt>
                <c:pt idx="3082">
                  <c:v>91.12124</c:v>
                </c:pt>
                <c:pt idx="3083">
                  <c:v>91.12005999999998</c:v>
                </c:pt>
                <c:pt idx="3084">
                  <c:v>91.11892</c:v>
                </c:pt>
                <c:pt idx="3085">
                  <c:v>91.11792</c:v>
                </c:pt>
                <c:pt idx="3086">
                  <c:v>91.11643999999998</c:v>
                </c:pt>
                <c:pt idx="3087">
                  <c:v>91.1152</c:v>
                </c:pt>
                <c:pt idx="3088">
                  <c:v>91.11416</c:v>
                </c:pt>
                <c:pt idx="3089">
                  <c:v>91.11312</c:v>
                </c:pt>
                <c:pt idx="3090">
                  <c:v>91.11215</c:v>
                </c:pt>
                <c:pt idx="3091">
                  <c:v>91.11111</c:v>
                </c:pt>
                <c:pt idx="3092">
                  <c:v>91.11007</c:v>
                </c:pt>
                <c:pt idx="3093">
                  <c:v>91.10877999999855</c:v>
                </c:pt>
                <c:pt idx="3094">
                  <c:v>91.10785</c:v>
                </c:pt>
                <c:pt idx="3095">
                  <c:v>91.10676999999998</c:v>
                </c:pt>
                <c:pt idx="3096">
                  <c:v>91.10543999999948</c:v>
                </c:pt>
                <c:pt idx="3097">
                  <c:v>91.10403</c:v>
                </c:pt>
                <c:pt idx="3098">
                  <c:v>91.10285999999998</c:v>
                </c:pt>
                <c:pt idx="3099">
                  <c:v>91.10173999999998</c:v>
                </c:pt>
                <c:pt idx="3100">
                  <c:v>91.10073999999948</c:v>
                </c:pt>
                <c:pt idx="3101">
                  <c:v>91.09962</c:v>
                </c:pt>
                <c:pt idx="3102">
                  <c:v>91.09846</c:v>
                </c:pt>
                <c:pt idx="3103">
                  <c:v>91.09732</c:v>
                </c:pt>
                <c:pt idx="3104">
                  <c:v>91.09628</c:v>
                </c:pt>
                <c:pt idx="3105">
                  <c:v>91.09505</c:v>
                </c:pt>
                <c:pt idx="3106">
                  <c:v>91.09397000000001</c:v>
                </c:pt>
                <c:pt idx="3107">
                  <c:v>91.09294</c:v>
                </c:pt>
                <c:pt idx="3108">
                  <c:v>91.09186</c:v>
                </c:pt>
                <c:pt idx="3109">
                  <c:v>91.09063</c:v>
                </c:pt>
                <c:pt idx="3110">
                  <c:v>91.08949</c:v>
                </c:pt>
                <c:pt idx="3111">
                  <c:v>91.08826</c:v>
                </c:pt>
                <c:pt idx="3112">
                  <c:v>91.08725</c:v>
                </c:pt>
                <c:pt idx="3113">
                  <c:v>91.08619</c:v>
                </c:pt>
                <c:pt idx="3114">
                  <c:v>91.08508999999998</c:v>
                </c:pt>
                <c:pt idx="3115">
                  <c:v>91.08396</c:v>
                </c:pt>
                <c:pt idx="3116">
                  <c:v>91.08271999999998</c:v>
                </c:pt>
                <c:pt idx="3117">
                  <c:v>91.08156</c:v>
                </c:pt>
                <c:pt idx="3118">
                  <c:v>91.08038999999998</c:v>
                </c:pt>
                <c:pt idx="3119">
                  <c:v>91.07915</c:v>
                </c:pt>
                <c:pt idx="3120">
                  <c:v>91.07797999999998</c:v>
                </c:pt>
                <c:pt idx="3121">
                  <c:v>91.07692</c:v>
                </c:pt>
                <c:pt idx="3122">
                  <c:v>91.07594999999998</c:v>
                </c:pt>
                <c:pt idx="3123">
                  <c:v>91.07486999999997</c:v>
                </c:pt>
                <c:pt idx="3124">
                  <c:v>91.07378999999958</c:v>
                </c:pt>
                <c:pt idx="3125">
                  <c:v>91.07270999999928</c:v>
                </c:pt>
                <c:pt idx="3126">
                  <c:v>91.07165</c:v>
                </c:pt>
                <c:pt idx="3127">
                  <c:v>91.07054999999998</c:v>
                </c:pt>
                <c:pt idx="3128">
                  <c:v>91.06939</c:v>
                </c:pt>
                <c:pt idx="3129">
                  <c:v>91.06818</c:v>
                </c:pt>
                <c:pt idx="3130">
                  <c:v>91.067</c:v>
                </c:pt>
                <c:pt idx="3131">
                  <c:v>91.06594</c:v>
                </c:pt>
                <c:pt idx="3132">
                  <c:v>91.06482</c:v>
                </c:pt>
                <c:pt idx="3133">
                  <c:v>91.06347</c:v>
                </c:pt>
                <c:pt idx="3134">
                  <c:v>91.06224</c:v>
                </c:pt>
                <c:pt idx="3135">
                  <c:v>91.06108</c:v>
                </c:pt>
                <c:pt idx="3136">
                  <c:v>91.06</c:v>
                </c:pt>
                <c:pt idx="3137">
                  <c:v>91.05889999999998</c:v>
                </c:pt>
                <c:pt idx="3138">
                  <c:v>91.05786</c:v>
                </c:pt>
                <c:pt idx="3139">
                  <c:v>91.05682</c:v>
                </c:pt>
                <c:pt idx="3140">
                  <c:v>91.05575999999998</c:v>
                </c:pt>
                <c:pt idx="3141">
                  <c:v>91.05464</c:v>
                </c:pt>
                <c:pt idx="3142">
                  <c:v>91.05357999999998</c:v>
                </c:pt>
                <c:pt idx="3143">
                  <c:v>91.05245999999998</c:v>
                </c:pt>
                <c:pt idx="3144">
                  <c:v>91.05146</c:v>
                </c:pt>
                <c:pt idx="3145">
                  <c:v>91.0503</c:v>
                </c:pt>
                <c:pt idx="3146">
                  <c:v>91.04897</c:v>
                </c:pt>
                <c:pt idx="3147">
                  <c:v>91.0477</c:v>
                </c:pt>
                <c:pt idx="3148">
                  <c:v>91.04654</c:v>
                </c:pt>
                <c:pt idx="3149">
                  <c:v>91.04544</c:v>
                </c:pt>
                <c:pt idx="3150">
                  <c:v>91.04426</c:v>
                </c:pt>
                <c:pt idx="3151">
                  <c:v>91.04313</c:v>
                </c:pt>
                <c:pt idx="3152">
                  <c:v>91.04203</c:v>
                </c:pt>
                <c:pt idx="3153">
                  <c:v>91.04087000000001</c:v>
                </c:pt>
                <c:pt idx="3154">
                  <c:v>91.03983</c:v>
                </c:pt>
                <c:pt idx="3155">
                  <c:v>91.03876999999998</c:v>
                </c:pt>
                <c:pt idx="3156">
                  <c:v>91.03761</c:v>
                </c:pt>
                <c:pt idx="3157">
                  <c:v>91.03647</c:v>
                </c:pt>
                <c:pt idx="3158">
                  <c:v>91.03532999999997</c:v>
                </c:pt>
                <c:pt idx="3159">
                  <c:v>91.03404</c:v>
                </c:pt>
                <c:pt idx="3160">
                  <c:v>91.03292</c:v>
                </c:pt>
                <c:pt idx="3161">
                  <c:v>91.03186</c:v>
                </c:pt>
                <c:pt idx="3162">
                  <c:v>91.03086</c:v>
                </c:pt>
                <c:pt idx="3163">
                  <c:v>91.02982</c:v>
                </c:pt>
                <c:pt idx="3164">
                  <c:v>91.02875999999995</c:v>
                </c:pt>
                <c:pt idx="3165">
                  <c:v>91.02764</c:v>
                </c:pt>
                <c:pt idx="3166">
                  <c:v>91.02662</c:v>
                </c:pt>
                <c:pt idx="3167">
                  <c:v>91.02543999999965</c:v>
                </c:pt>
                <c:pt idx="3168">
                  <c:v>91.0243</c:v>
                </c:pt>
                <c:pt idx="3169">
                  <c:v>91.02314</c:v>
                </c:pt>
                <c:pt idx="3170">
                  <c:v>91.02202999999998</c:v>
                </c:pt>
                <c:pt idx="3171">
                  <c:v>91.021</c:v>
                </c:pt>
                <c:pt idx="3172">
                  <c:v>91.01979</c:v>
                </c:pt>
                <c:pt idx="3173">
                  <c:v>91.01855</c:v>
                </c:pt>
                <c:pt idx="3174">
                  <c:v>91.0173</c:v>
                </c:pt>
                <c:pt idx="3175">
                  <c:v>91.01624</c:v>
                </c:pt>
                <c:pt idx="3176">
                  <c:v>91.01516</c:v>
                </c:pt>
                <c:pt idx="3177">
                  <c:v>91.01416</c:v>
                </c:pt>
                <c:pt idx="3178">
                  <c:v>91.01304</c:v>
                </c:pt>
                <c:pt idx="3179">
                  <c:v>91.01182</c:v>
                </c:pt>
                <c:pt idx="3180">
                  <c:v>91.01063</c:v>
                </c:pt>
                <c:pt idx="3181">
                  <c:v>91.00962</c:v>
                </c:pt>
                <c:pt idx="3182">
                  <c:v>91.00856</c:v>
                </c:pt>
                <c:pt idx="3183">
                  <c:v>91.00739</c:v>
                </c:pt>
                <c:pt idx="3184">
                  <c:v>91.00621</c:v>
                </c:pt>
                <c:pt idx="3185">
                  <c:v>91.00506999999997</c:v>
                </c:pt>
                <c:pt idx="3186">
                  <c:v>91.00403</c:v>
                </c:pt>
                <c:pt idx="3187">
                  <c:v>91.00295</c:v>
                </c:pt>
                <c:pt idx="3188">
                  <c:v>91.00183000000001</c:v>
                </c:pt>
                <c:pt idx="3189">
                  <c:v>91.00066</c:v>
                </c:pt>
                <c:pt idx="3190">
                  <c:v>90.99938</c:v>
                </c:pt>
                <c:pt idx="3191">
                  <c:v>90.99817</c:v>
                </c:pt>
                <c:pt idx="3192">
                  <c:v>90.99705</c:v>
                </c:pt>
                <c:pt idx="3193">
                  <c:v>90.99595</c:v>
                </c:pt>
                <c:pt idx="3194">
                  <c:v>90.99468</c:v>
                </c:pt>
                <c:pt idx="3195">
                  <c:v>90.99356</c:v>
                </c:pt>
                <c:pt idx="3196">
                  <c:v>90.99237999999998</c:v>
                </c:pt>
                <c:pt idx="3197">
                  <c:v>90.9913</c:v>
                </c:pt>
                <c:pt idx="3198">
                  <c:v>90.99028</c:v>
                </c:pt>
                <c:pt idx="3199">
                  <c:v>90.98937</c:v>
                </c:pt>
                <c:pt idx="3200">
                  <c:v>90.98836999999997</c:v>
                </c:pt>
                <c:pt idx="3201">
                  <c:v>90.98717</c:v>
                </c:pt>
                <c:pt idx="3202">
                  <c:v>90.98596</c:v>
                </c:pt>
                <c:pt idx="3203">
                  <c:v>90.98476</c:v>
                </c:pt>
                <c:pt idx="3204">
                  <c:v>90.98368</c:v>
                </c:pt>
                <c:pt idx="3205">
                  <c:v>90.98251</c:v>
                </c:pt>
                <c:pt idx="3206">
                  <c:v>90.98131</c:v>
                </c:pt>
                <c:pt idx="3207">
                  <c:v>90.98006</c:v>
                </c:pt>
                <c:pt idx="3208">
                  <c:v>90.97896</c:v>
                </c:pt>
                <c:pt idx="3209">
                  <c:v>90.97792</c:v>
                </c:pt>
                <c:pt idx="3210">
                  <c:v>90.97688999999998</c:v>
                </c:pt>
                <c:pt idx="3211">
                  <c:v>90.97591</c:v>
                </c:pt>
                <c:pt idx="3212">
                  <c:v>90.97487</c:v>
                </c:pt>
                <c:pt idx="3213">
                  <c:v>90.97383</c:v>
                </c:pt>
                <c:pt idx="3214">
                  <c:v>90.97270999999998</c:v>
                </c:pt>
                <c:pt idx="3215">
                  <c:v>90.97161</c:v>
                </c:pt>
                <c:pt idx="3216">
                  <c:v>90.97038999999998</c:v>
                </c:pt>
                <c:pt idx="3217">
                  <c:v>90.96918</c:v>
                </c:pt>
                <c:pt idx="3218">
                  <c:v>90.96806</c:v>
                </c:pt>
                <c:pt idx="3219">
                  <c:v>90.96692</c:v>
                </c:pt>
                <c:pt idx="3220">
                  <c:v>90.96582</c:v>
                </c:pt>
                <c:pt idx="3221">
                  <c:v>90.96465</c:v>
                </c:pt>
                <c:pt idx="3222">
                  <c:v>90.96353</c:v>
                </c:pt>
                <c:pt idx="3223">
                  <c:v>90.96241</c:v>
                </c:pt>
                <c:pt idx="3224">
                  <c:v>90.96123</c:v>
                </c:pt>
                <c:pt idx="3225">
                  <c:v>90.96004</c:v>
                </c:pt>
                <c:pt idx="3226">
                  <c:v>90.95882</c:v>
                </c:pt>
                <c:pt idx="3227">
                  <c:v>90.95768</c:v>
                </c:pt>
                <c:pt idx="3228">
                  <c:v>90.95651</c:v>
                </c:pt>
                <c:pt idx="3229">
                  <c:v>90.9555</c:v>
                </c:pt>
                <c:pt idx="3230">
                  <c:v>90.95444</c:v>
                </c:pt>
                <c:pt idx="3231">
                  <c:v>90.95333999999998</c:v>
                </c:pt>
                <c:pt idx="3232">
                  <c:v>90.95233999999998</c:v>
                </c:pt>
                <c:pt idx="3233">
                  <c:v>90.95142</c:v>
                </c:pt>
                <c:pt idx="3234">
                  <c:v>90.95037</c:v>
                </c:pt>
                <c:pt idx="3235">
                  <c:v>90.94931</c:v>
                </c:pt>
                <c:pt idx="3236">
                  <c:v>90.94829</c:v>
                </c:pt>
                <c:pt idx="3237">
                  <c:v>90.94692</c:v>
                </c:pt>
                <c:pt idx="3238">
                  <c:v>90.94555</c:v>
                </c:pt>
                <c:pt idx="3239">
                  <c:v>90.94438</c:v>
                </c:pt>
                <c:pt idx="3240">
                  <c:v>90.94326</c:v>
                </c:pt>
                <c:pt idx="3241">
                  <c:v>90.94214</c:v>
                </c:pt>
                <c:pt idx="3242">
                  <c:v>90.94096</c:v>
                </c:pt>
                <c:pt idx="3243">
                  <c:v>90.93977</c:v>
                </c:pt>
                <c:pt idx="3244">
                  <c:v>90.93859</c:v>
                </c:pt>
                <c:pt idx="3245">
                  <c:v>90.93739</c:v>
                </c:pt>
                <c:pt idx="3246">
                  <c:v>90.93622</c:v>
                </c:pt>
                <c:pt idx="3247">
                  <c:v>90.93523</c:v>
                </c:pt>
                <c:pt idx="3248">
                  <c:v>90.93402</c:v>
                </c:pt>
                <c:pt idx="3249">
                  <c:v>90.9328</c:v>
                </c:pt>
                <c:pt idx="3250">
                  <c:v>90.93163000000002</c:v>
                </c:pt>
                <c:pt idx="3251">
                  <c:v>90.93053</c:v>
                </c:pt>
                <c:pt idx="3252">
                  <c:v>90.92939</c:v>
                </c:pt>
                <c:pt idx="3253">
                  <c:v>90.92827000000001</c:v>
                </c:pt>
                <c:pt idx="3254">
                  <c:v>90.92717</c:v>
                </c:pt>
                <c:pt idx="3255">
                  <c:v>90.92607</c:v>
                </c:pt>
                <c:pt idx="3256">
                  <c:v>90.92495</c:v>
                </c:pt>
                <c:pt idx="3257">
                  <c:v>90.92372</c:v>
                </c:pt>
                <c:pt idx="3258">
                  <c:v>90.92254</c:v>
                </c:pt>
                <c:pt idx="3259">
                  <c:v>90.92139</c:v>
                </c:pt>
                <c:pt idx="3260">
                  <c:v>90.92033999999998</c:v>
                </c:pt>
                <c:pt idx="3261">
                  <c:v>90.91926</c:v>
                </c:pt>
                <c:pt idx="3262">
                  <c:v>90.91813</c:v>
                </c:pt>
                <c:pt idx="3263">
                  <c:v>90.91691</c:v>
                </c:pt>
                <c:pt idx="3264">
                  <c:v>90.91579</c:v>
                </c:pt>
                <c:pt idx="3265">
                  <c:v>90.91465</c:v>
                </c:pt>
                <c:pt idx="3266">
                  <c:v>90.91361</c:v>
                </c:pt>
                <c:pt idx="3267">
                  <c:v>90.91261</c:v>
                </c:pt>
                <c:pt idx="3268">
                  <c:v>90.91165</c:v>
                </c:pt>
                <c:pt idx="3269">
                  <c:v>90.91043</c:v>
                </c:pt>
                <c:pt idx="3270">
                  <c:v>90.90912</c:v>
                </c:pt>
                <c:pt idx="3271">
                  <c:v>90.90804</c:v>
                </c:pt>
                <c:pt idx="3272">
                  <c:v>90.90688</c:v>
                </c:pt>
                <c:pt idx="3273">
                  <c:v>90.90576</c:v>
                </c:pt>
                <c:pt idx="3274">
                  <c:v>90.90464</c:v>
                </c:pt>
                <c:pt idx="3275">
                  <c:v>90.9036</c:v>
                </c:pt>
                <c:pt idx="3276">
                  <c:v>90.90245</c:v>
                </c:pt>
                <c:pt idx="3277">
                  <c:v>90.90142</c:v>
                </c:pt>
                <c:pt idx="3278">
                  <c:v>90.90038</c:v>
                </c:pt>
                <c:pt idx="3279">
                  <c:v>90.89942</c:v>
                </c:pt>
                <c:pt idx="3280">
                  <c:v>90.89828</c:v>
                </c:pt>
                <c:pt idx="3281">
                  <c:v>90.89706</c:v>
                </c:pt>
                <c:pt idx="3282">
                  <c:v>90.89576999999998</c:v>
                </c:pt>
                <c:pt idx="3283">
                  <c:v>90.89442</c:v>
                </c:pt>
                <c:pt idx="3284">
                  <c:v>90.89317000000001</c:v>
                </c:pt>
                <c:pt idx="3285">
                  <c:v>90.89203</c:v>
                </c:pt>
                <c:pt idx="3286">
                  <c:v>90.89089</c:v>
                </c:pt>
                <c:pt idx="3287">
                  <c:v>90.8897</c:v>
                </c:pt>
                <c:pt idx="3288">
                  <c:v>90.88847999999938</c:v>
                </c:pt>
                <c:pt idx="3289">
                  <c:v>90.88727</c:v>
                </c:pt>
                <c:pt idx="3290">
                  <c:v>90.88604999999998</c:v>
                </c:pt>
                <c:pt idx="3291">
                  <c:v>90.88483999999998</c:v>
                </c:pt>
                <c:pt idx="3292">
                  <c:v>90.8837</c:v>
                </c:pt>
                <c:pt idx="3293">
                  <c:v>90.88257999999995</c:v>
                </c:pt>
                <c:pt idx="3294">
                  <c:v>90.8816</c:v>
                </c:pt>
                <c:pt idx="3295">
                  <c:v>90.88069</c:v>
                </c:pt>
                <c:pt idx="3296">
                  <c:v>90.87981999999998</c:v>
                </c:pt>
                <c:pt idx="3297">
                  <c:v>90.87879999999888</c:v>
                </c:pt>
                <c:pt idx="3298">
                  <c:v>90.87766</c:v>
                </c:pt>
                <c:pt idx="3299">
                  <c:v>90.87632999999998</c:v>
                </c:pt>
                <c:pt idx="3300">
                  <c:v>90.87496</c:v>
                </c:pt>
                <c:pt idx="3301">
                  <c:v>90.87361</c:v>
                </c:pt>
                <c:pt idx="3302">
                  <c:v>90.87239999999898</c:v>
                </c:pt>
                <c:pt idx="3303">
                  <c:v>90.87124</c:v>
                </c:pt>
                <c:pt idx="3304">
                  <c:v>90.87001999999998</c:v>
                </c:pt>
                <c:pt idx="3305">
                  <c:v>90.86869</c:v>
                </c:pt>
                <c:pt idx="3306">
                  <c:v>90.8675</c:v>
                </c:pt>
                <c:pt idx="3307">
                  <c:v>90.86661</c:v>
                </c:pt>
                <c:pt idx="3308">
                  <c:v>90.86568</c:v>
                </c:pt>
                <c:pt idx="3309">
                  <c:v>90.86472</c:v>
                </c:pt>
                <c:pt idx="3310">
                  <c:v>90.86362</c:v>
                </c:pt>
                <c:pt idx="3311">
                  <c:v>90.86234999999998</c:v>
                </c:pt>
                <c:pt idx="3312">
                  <c:v>90.86111</c:v>
                </c:pt>
                <c:pt idx="3313">
                  <c:v>90.86003</c:v>
                </c:pt>
                <c:pt idx="3314">
                  <c:v>90.85892999999998</c:v>
                </c:pt>
                <c:pt idx="3315">
                  <c:v>90.85793</c:v>
                </c:pt>
                <c:pt idx="3316">
                  <c:v>90.85669999999997</c:v>
                </c:pt>
                <c:pt idx="3317">
                  <c:v>90.85547999999918</c:v>
                </c:pt>
                <c:pt idx="3318">
                  <c:v>90.85413000000001</c:v>
                </c:pt>
                <c:pt idx="3319">
                  <c:v>90.85293999999975</c:v>
                </c:pt>
                <c:pt idx="3320">
                  <c:v>90.85168</c:v>
                </c:pt>
                <c:pt idx="3321">
                  <c:v>90.85040999999998</c:v>
                </c:pt>
                <c:pt idx="3322">
                  <c:v>90.84927</c:v>
                </c:pt>
                <c:pt idx="3323">
                  <c:v>90.84842</c:v>
                </c:pt>
                <c:pt idx="3324">
                  <c:v>90.84707</c:v>
                </c:pt>
                <c:pt idx="3325">
                  <c:v>90.84566</c:v>
                </c:pt>
                <c:pt idx="3326">
                  <c:v>90.84449</c:v>
                </c:pt>
                <c:pt idx="3327">
                  <c:v>90.84345</c:v>
                </c:pt>
                <c:pt idx="3328">
                  <c:v>90.84243999999998</c:v>
                </c:pt>
                <c:pt idx="3329">
                  <c:v>90.84136</c:v>
                </c:pt>
                <c:pt idx="3330">
                  <c:v>90.84037999999998</c:v>
                </c:pt>
                <c:pt idx="3331">
                  <c:v>90.83924</c:v>
                </c:pt>
                <c:pt idx="3332">
                  <c:v>90.8382</c:v>
                </c:pt>
                <c:pt idx="3333">
                  <c:v>90.83708</c:v>
                </c:pt>
                <c:pt idx="3334">
                  <c:v>90.83576999999998</c:v>
                </c:pt>
                <c:pt idx="3335">
                  <c:v>90.83437999999998</c:v>
                </c:pt>
                <c:pt idx="3336">
                  <c:v>90.83309</c:v>
                </c:pt>
                <c:pt idx="3337">
                  <c:v>90.83184</c:v>
                </c:pt>
                <c:pt idx="3338">
                  <c:v>90.83072</c:v>
                </c:pt>
                <c:pt idx="3339">
                  <c:v>90.82964</c:v>
                </c:pt>
                <c:pt idx="3340">
                  <c:v>90.82864999999998</c:v>
                </c:pt>
                <c:pt idx="3341">
                  <c:v>90.82757</c:v>
                </c:pt>
                <c:pt idx="3342">
                  <c:v>90.82654999999998</c:v>
                </c:pt>
                <c:pt idx="3343">
                  <c:v>90.82544999999975</c:v>
                </c:pt>
                <c:pt idx="3344">
                  <c:v>90.82426</c:v>
                </c:pt>
                <c:pt idx="3345">
                  <c:v>90.82299999999998</c:v>
                </c:pt>
                <c:pt idx="3346">
                  <c:v>90.82178999999998</c:v>
                </c:pt>
                <c:pt idx="3347">
                  <c:v>90.82053</c:v>
                </c:pt>
                <c:pt idx="3348">
                  <c:v>90.81922</c:v>
                </c:pt>
                <c:pt idx="3349">
                  <c:v>90.81799</c:v>
                </c:pt>
                <c:pt idx="3350">
                  <c:v>90.81678999999998</c:v>
                </c:pt>
                <c:pt idx="3351">
                  <c:v>90.81565</c:v>
                </c:pt>
                <c:pt idx="3352">
                  <c:v>90.8145</c:v>
                </c:pt>
                <c:pt idx="3353">
                  <c:v>90.81357000000001</c:v>
                </c:pt>
                <c:pt idx="3354">
                  <c:v>90.81257</c:v>
                </c:pt>
                <c:pt idx="3355">
                  <c:v>90.81143</c:v>
                </c:pt>
                <c:pt idx="3356">
                  <c:v>90.81023</c:v>
                </c:pt>
                <c:pt idx="3357">
                  <c:v>90.80884999999998</c:v>
                </c:pt>
                <c:pt idx="3358">
                  <c:v>90.80753</c:v>
                </c:pt>
                <c:pt idx="3359">
                  <c:v>90.80639999999998</c:v>
                </c:pt>
                <c:pt idx="3360">
                  <c:v>90.80536999999998</c:v>
                </c:pt>
                <c:pt idx="3361">
                  <c:v>90.80422</c:v>
                </c:pt>
                <c:pt idx="3362">
                  <c:v>90.80321</c:v>
                </c:pt>
                <c:pt idx="3363">
                  <c:v>90.80207999999975</c:v>
                </c:pt>
                <c:pt idx="3364">
                  <c:v>90.80086</c:v>
                </c:pt>
                <c:pt idx="3365">
                  <c:v>90.79953</c:v>
                </c:pt>
                <c:pt idx="3366">
                  <c:v>90.79822</c:v>
                </c:pt>
                <c:pt idx="3367">
                  <c:v>90.79695</c:v>
                </c:pt>
                <c:pt idx="3368">
                  <c:v>90.79577</c:v>
                </c:pt>
                <c:pt idx="3369">
                  <c:v>90.79459</c:v>
                </c:pt>
                <c:pt idx="3370">
                  <c:v>90.79347000000001</c:v>
                </c:pt>
                <c:pt idx="3371">
                  <c:v>90.79232</c:v>
                </c:pt>
                <c:pt idx="3372">
                  <c:v>90.79118</c:v>
                </c:pt>
                <c:pt idx="3373">
                  <c:v>90.78989</c:v>
                </c:pt>
                <c:pt idx="3374">
                  <c:v>90.78856</c:v>
                </c:pt>
                <c:pt idx="3375">
                  <c:v>90.78736</c:v>
                </c:pt>
                <c:pt idx="3376">
                  <c:v>90.78614</c:v>
                </c:pt>
                <c:pt idx="3377">
                  <c:v>90.78489</c:v>
                </c:pt>
                <c:pt idx="3378">
                  <c:v>90.78371</c:v>
                </c:pt>
                <c:pt idx="3379">
                  <c:v>90.7825</c:v>
                </c:pt>
                <c:pt idx="3380">
                  <c:v>90.78132</c:v>
                </c:pt>
                <c:pt idx="3381">
                  <c:v>90.78007</c:v>
                </c:pt>
                <c:pt idx="3382">
                  <c:v>90.77888999999985</c:v>
                </c:pt>
                <c:pt idx="3383">
                  <c:v>90.7777</c:v>
                </c:pt>
                <c:pt idx="3384">
                  <c:v>90.7766</c:v>
                </c:pt>
                <c:pt idx="3385">
                  <c:v>90.77541999999998</c:v>
                </c:pt>
                <c:pt idx="3386">
                  <c:v>90.77419</c:v>
                </c:pt>
                <c:pt idx="3387">
                  <c:v>90.77298999999998</c:v>
                </c:pt>
                <c:pt idx="3388">
                  <c:v>90.77172</c:v>
                </c:pt>
                <c:pt idx="3389">
                  <c:v>90.77047999999998</c:v>
                </c:pt>
                <c:pt idx="3390">
                  <c:v>90.76923</c:v>
                </c:pt>
                <c:pt idx="3391">
                  <c:v>90.76792</c:v>
                </c:pt>
                <c:pt idx="3392">
                  <c:v>90.7667</c:v>
                </c:pt>
                <c:pt idx="3393">
                  <c:v>90.76562</c:v>
                </c:pt>
                <c:pt idx="3394">
                  <c:v>90.76452</c:v>
                </c:pt>
                <c:pt idx="3395">
                  <c:v>90.76337</c:v>
                </c:pt>
                <c:pt idx="3396">
                  <c:v>90.76225</c:v>
                </c:pt>
                <c:pt idx="3397">
                  <c:v>90.76113</c:v>
                </c:pt>
                <c:pt idx="3398">
                  <c:v>90.75932</c:v>
                </c:pt>
                <c:pt idx="3399">
                  <c:v>90.75795</c:v>
                </c:pt>
                <c:pt idx="3400">
                  <c:v>90.75685</c:v>
                </c:pt>
                <c:pt idx="3401">
                  <c:v>90.75578999999995</c:v>
                </c:pt>
                <c:pt idx="3402">
                  <c:v>90.7549</c:v>
                </c:pt>
                <c:pt idx="3403">
                  <c:v>90.75377999999998</c:v>
                </c:pt>
                <c:pt idx="3404">
                  <c:v>90.75262</c:v>
                </c:pt>
                <c:pt idx="3405">
                  <c:v>90.75158</c:v>
                </c:pt>
                <c:pt idx="3406">
                  <c:v>90.75046</c:v>
                </c:pt>
                <c:pt idx="3407">
                  <c:v>90.74911</c:v>
                </c:pt>
                <c:pt idx="3408">
                  <c:v>90.74765</c:v>
                </c:pt>
                <c:pt idx="3409">
                  <c:v>90.7463</c:v>
                </c:pt>
                <c:pt idx="3410">
                  <c:v>90.74497</c:v>
                </c:pt>
                <c:pt idx="3411">
                  <c:v>90.74369</c:v>
                </c:pt>
                <c:pt idx="3412">
                  <c:v>90.74252</c:v>
                </c:pt>
                <c:pt idx="3413">
                  <c:v>90.74126</c:v>
                </c:pt>
                <c:pt idx="3414">
                  <c:v>90.73997</c:v>
                </c:pt>
                <c:pt idx="3415">
                  <c:v>90.73877999999995</c:v>
                </c:pt>
                <c:pt idx="3416">
                  <c:v>90.7376</c:v>
                </c:pt>
                <c:pt idx="3417">
                  <c:v>90.73635</c:v>
                </c:pt>
                <c:pt idx="3418">
                  <c:v>90.73515</c:v>
                </c:pt>
                <c:pt idx="3419">
                  <c:v>90.73397000000001</c:v>
                </c:pt>
                <c:pt idx="3420">
                  <c:v>90.73268</c:v>
                </c:pt>
                <c:pt idx="3421">
                  <c:v>90.73141</c:v>
                </c:pt>
                <c:pt idx="3422">
                  <c:v>90.7301</c:v>
                </c:pt>
                <c:pt idx="3423">
                  <c:v>90.72897999999998</c:v>
                </c:pt>
                <c:pt idx="3424">
                  <c:v>90.72776</c:v>
                </c:pt>
                <c:pt idx="3425">
                  <c:v>90.72653</c:v>
                </c:pt>
                <c:pt idx="3426">
                  <c:v>90.72524</c:v>
                </c:pt>
                <c:pt idx="3427">
                  <c:v>90.72396</c:v>
                </c:pt>
                <c:pt idx="3428">
                  <c:v>90.72265</c:v>
                </c:pt>
                <c:pt idx="3429">
                  <c:v>90.72124</c:v>
                </c:pt>
                <c:pt idx="3430">
                  <c:v>90.71984</c:v>
                </c:pt>
                <c:pt idx="3431">
                  <c:v>90.71854</c:v>
                </c:pt>
                <c:pt idx="3432">
                  <c:v>90.71723</c:v>
                </c:pt>
                <c:pt idx="3433">
                  <c:v>90.716</c:v>
                </c:pt>
                <c:pt idx="3434">
                  <c:v>90.71484</c:v>
                </c:pt>
                <c:pt idx="3435">
                  <c:v>90.71374</c:v>
                </c:pt>
                <c:pt idx="3436">
                  <c:v>90.71262</c:v>
                </c:pt>
                <c:pt idx="3437">
                  <c:v>90.71175</c:v>
                </c:pt>
                <c:pt idx="3438">
                  <c:v>90.71087</c:v>
                </c:pt>
                <c:pt idx="3439">
                  <c:v>90.70959</c:v>
                </c:pt>
                <c:pt idx="3440">
                  <c:v>90.70811</c:v>
                </c:pt>
                <c:pt idx="3441">
                  <c:v>90.70668</c:v>
                </c:pt>
                <c:pt idx="3442">
                  <c:v>90.70543</c:v>
                </c:pt>
                <c:pt idx="3443">
                  <c:v>90.70398</c:v>
                </c:pt>
                <c:pt idx="3444">
                  <c:v>90.70247999999998</c:v>
                </c:pt>
                <c:pt idx="3445">
                  <c:v>90.70113</c:v>
                </c:pt>
                <c:pt idx="3446">
                  <c:v>90.69993</c:v>
                </c:pt>
                <c:pt idx="3447">
                  <c:v>90.69873999999928</c:v>
                </c:pt>
                <c:pt idx="3448">
                  <c:v>90.69746</c:v>
                </c:pt>
                <c:pt idx="3449">
                  <c:v>90.69607</c:v>
                </c:pt>
                <c:pt idx="3450">
                  <c:v>90.69476</c:v>
                </c:pt>
                <c:pt idx="3451">
                  <c:v>90.69359</c:v>
                </c:pt>
                <c:pt idx="3452">
                  <c:v>90.69244999999998</c:v>
                </c:pt>
                <c:pt idx="3453">
                  <c:v>90.69133</c:v>
                </c:pt>
                <c:pt idx="3454">
                  <c:v>90.69013</c:v>
                </c:pt>
                <c:pt idx="3455">
                  <c:v>90.68875999999958</c:v>
                </c:pt>
                <c:pt idx="3456">
                  <c:v>90.68711</c:v>
                </c:pt>
                <c:pt idx="3457">
                  <c:v>90.68563999999998</c:v>
                </c:pt>
                <c:pt idx="3458">
                  <c:v>90.68425</c:v>
                </c:pt>
                <c:pt idx="3459">
                  <c:v>90.68291999999998</c:v>
                </c:pt>
                <c:pt idx="3460">
                  <c:v>90.68169</c:v>
                </c:pt>
                <c:pt idx="3461">
                  <c:v>90.68033999999938</c:v>
                </c:pt>
                <c:pt idx="3462">
                  <c:v>90.67894999999928</c:v>
                </c:pt>
                <c:pt idx="3463">
                  <c:v>90.67772999999998</c:v>
                </c:pt>
                <c:pt idx="3464">
                  <c:v>90.67653999999965</c:v>
                </c:pt>
                <c:pt idx="3465">
                  <c:v>90.67545999999938</c:v>
                </c:pt>
                <c:pt idx="3466">
                  <c:v>90.67422</c:v>
                </c:pt>
                <c:pt idx="3467">
                  <c:v>90.6727899999981</c:v>
                </c:pt>
                <c:pt idx="3468">
                  <c:v>90.67129</c:v>
                </c:pt>
                <c:pt idx="3469">
                  <c:v>90.6699</c:v>
                </c:pt>
                <c:pt idx="3470">
                  <c:v>90.66869</c:v>
                </c:pt>
                <c:pt idx="3471">
                  <c:v>90.66753000000001</c:v>
                </c:pt>
                <c:pt idx="3472">
                  <c:v>90.66617999999998</c:v>
                </c:pt>
                <c:pt idx="3473">
                  <c:v>90.66478999999998</c:v>
                </c:pt>
                <c:pt idx="3474">
                  <c:v>90.66359</c:v>
                </c:pt>
                <c:pt idx="3475">
                  <c:v>90.66229999999997</c:v>
                </c:pt>
                <c:pt idx="3476">
                  <c:v>90.66103</c:v>
                </c:pt>
                <c:pt idx="3477">
                  <c:v>90.65963999999998</c:v>
                </c:pt>
                <c:pt idx="3478">
                  <c:v>90.65820999999998</c:v>
                </c:pt>
                <c:pt idx="3479">
                  <c:v>90.65685999999998</c:v>
                </c:pt>
                <c:pt idx="3480">
                  <c:v>90.65545999999995</c:v>
                </c:pt>
                <c:pt idx="3481">
                  <c:v>90.65398999999998</c:v>
                </c:pt>
                <c:pt idx="3482">
                  <c:v>90.65259999999998</c:v>
                </c:pt>
                <c:pt idx="3483">
                  <c:v>90.65117</c:v>
                </c:pt>
                <c:pt idx="3484">
                  <c:v>90.6498</c:v>
                </c:pt>
                <c:pt idx="3485">
                  <c:v>90.64839999999998</c:v>
                </c:pt>
                <c:pt idx="3486">
                  <c:v>90.64705</c:v>
                </c:pt>
                <c:pt idx="3487">
                  <c:v>90.64580999999998</c:v>
                </c:pt>
                <c:pt idx="3488">
                  <c:v>90.64446</c:v>
                </c:pt>
                <c:pt idx="3489">
                  <c:v>90.64307</c:v>
                </c:pt>
                <c:pt idx="3490">
                  <c:v>90.64188</c:v>
                </c:pt>
                <c:pt idx="3491">
                  <c:v>90.64055</c:v>
                </c:pt>
                <c:pt idx="3492">
                  <c:v>90.63930999999998</c:v>
                </c:pt>
                <c:pt idx="3493">
                  <c:v>90.63798</c:v>
                </c:pt>
                <c:pt idx="3494">
                  <c:v>90.63661</c:v>
                </c:pt>
                <c:pt idx="3495">
                  <c:v>90.63531999999998</c:v>
                </c:pt>
                <c:pt idx="3496">
                  <c:v>90.63391</c:v>
                </c:pt>
                <c:pt idx="3497">
                  <c:v>90.63238999999938</c:v>
                </c:pt>
                <c:pt idx="3498">
                  <c:v>90.63082999999997</c:v>
                </c:pt>
                <c:pt idx="3499">
                  <c:v>90.62965</c:v>
                </c:pt>
                <c:pt idx="3500">
                  <c:v>90.62864999999998</c:v>
                </c:pt>
                <c:pt idx="3501">
                  <c:v>90.62764</c:v>
                </c:pt>
                <c:pt idx="3502">
                  <c:v>90.62650999999998</c:v>
                </c:pt>
                <c:pt idx="3503">
                  <c:v>90.62515999999998</c:v>
                </c:pt>
                <c:pt idx="3504">
                  <c:v>90.62368999999998</c:v>
                </c:pt>
                <c:pt idx="3505">
                  <c:v>90.62206999999998</c:v>
                </c:pt>
                <c:pt idx="3506">
                  <c:v>90.62048999999975</c:v>
                </c:pt>
                <c:pt idx="3507">
                  <c:v>90.61866</c:v>
                </c:pt>
                <c:pt idx="3508">
                  <c:v>90.61715</c:v>
                </c:pt>
                <c:pt idx="3509">
                  <c:v>90.61579999999998</c:v>
                </c:pt>
                <c:pt idx="3510">
                  <c:v>90.61453</c:v>
                </c:pt>
                <c:pt idx="3511">
                  <c:v>90.61312</c:v>
                </c:pt>
                <c:pt idx="3512">
                  <c:v>90.61183000000001</c:v>
                </c:pt>
                <c:pt idx="3513">
                  <c:v>90.61078999999998</c:v>
                </c:pt>
                <c:pt idx="3514">
                  <c:v>90.60958999999998</c:v>
                </c:pt>
                <c:pt idx="3515">
                  <c:v>90.60819999999998</c:v>
                </c:pt>
                <c:pt idx="3516">
                  <c:v>90.60678999999975</c:v>
                </c:pt>
                <c:pt idx="3517">
                  <c:v>90.60530999999965</c:v>
                </c:pt>
                <c:pt idx="3518">
                  <c:v>90.60383999999995</c:v>
                </c:pt>
                <c:pt idx="3519">
                  <c:v>90.60233999999878</c:v>
                </c:pt>
                <c:pt idx="3520">
                  <c:v>90.60077999999918</c:v>
                </c:pt>
                <c:pt idx="3521">
                  <c:v>90.59927</c:v>
                </c:pt>
                <c:pt idx="3522">
                  <c:v>90.59792</c:v>
                </c:pt>
                <c:pt idx="3523">
                  <c:v>90.59673</c:v>
                </c:pt>
                <c:pt idx="3524">
                  <c:v>90.59555</c:v>
                </c:pt>
                <c:pt idx="3525">
                  <c:v>90.59422</c:v>
                </c:pt>
                <c:pt idx="3526">
                  <c:v>90.59293</c:v>
                </c:pt>
                <c:pt idx="3527">
                  <c:v>90.59156</c:v>
                </c:pt>
                <c:pt idx="3528">
                  <c:v>90.59001</c:v>
                </c:pt>
                <c:pt idx="3529">
                  <c:v>90.58857</c:v>
                </c:pt>
                <c:pt idx="3530">
                  <c:v>90.58714</c:v>
                </c:pt>
                <c:pt idx="3531">
                  <c:v>90.58582999999997</c:v>
                </c:pt>
                <c:pt idx="3532">
                  <c:v>90.58461</c:v>
                </c:pt>
                <c:pt idx="3533">
                  <c:v>90.58323</c:v>
                </c:pt>
                <c:pt idx="3534">
                  <c:v>90.58170000000001</c:v>
                </c:pt>
                <c:pt idx="3535">
                  <c:v>90.58014</c:v>
                </c:pt>
                <c:pt idx="3536">
                  <c:v>90.57870999999938</c:v>
                </c:pt>
                <c:pt idx="3537">
                  <c:v>90.57737999999995</c:v>
                </c:pt>
                <c:pt idx="3538">
                  <c:v>90.57594999999998</c:v>
                </c:pt>
                <c:pt idx="3539">
                  <c:v>90.5746</c:v>
                </c:pt>
                <c:pt idx="3540">
                  <c:v>90.57312</c:v>
                </c:pt>
                <c:pt idx="3541">
                  <c:v>90.57172999999997</c:v>
                </c:pt>
                <c:pt idx="3542">
                  <c:v>90.57039999999998</c:v>
                </c:pt>
                <c:pt idx="3543">
                  <c:v>90.56903000000001</c:v>
                </c:pt>
                <c:pt idx="3544">
                  <c:v>90.56758</c:v>
                </c:pt>
                <c:pt idx="3545">
                  <c:v>90.56616</c:v>
                </c:pt>
                <c:pt idx="3546">
                  <c:v>90.56467</c:v>
                </c:pt>
                <c:pt idx="3547">
                  <c:v>90.56307</c:v>
                </c:pt>
                <c:pt idx="3548">
                  <c:v>90.56151</c:v>
                </c:pt>
                <c:pt idx="3549">
                  <c:v>90.56004</c:v>
                </c:pt>
                <c:pt idx="3550">
                  <c:v>90.55863</c:v>
                </c:pt>
                <c:pt idx="3551">
                  <c:v>90.55732</c:v>
                </c:pt>
                <c:pt idx="3552">
                  <c:v>90.55596999999997</c:v>
                </c:pt>
                <c:pt idx="3553">
                  <c:v>90.55455</c:v>
                </c:pt>
                <c:pt idx="3554">
                  <c:v>90.55316</c:v>
                </c:pt>
                <c:pt idx="3555">
                  <c:v>90.55181</c:v>
                </c:pt>
                <c:pt idx="3556">
                  <c:v>90.55033999999995</c:v>
                </c:pt>
                <c:pt idx="3557">
                  <c:v>90.54891</c:v>
                </c:pt>
                <c:pt idx="3558">
                  <c:v>90.54745</c:v>
                </c:pt>
                <c:pt idx="3559">
                  <c:v>90.54585</c:v>
                </c:pt>
                <c:pt idx="3560">
                  <c:v>90.54444</c:v>
                </c:pt>
                <c:pt idx="3561">
                  <c:v>90.54303</c:v>
                </c:pt>
                <c:pt idx="3562">
                  <c:v>90.54168</c:v>
                </c:pt>
                <c:pt idx="3563">
                  <c:v>90.54043</c:v>
                </c:pt>
                <c:pt idx="3564">
                  <c:v>90.53908</c:v>
                </c:pt>
                <c:pt idx="3565">
                  <c:v>90.53755</c:v>
                </c:pt>
                <c:pt idx="3566">
                  <c:v>90.53587999999995</c:v>
                </c:pt>
                <c:pt idx="3567">
                  <c:v>90.53431</c:v>
                </c:pt>
                <c:pt idx="3568">
                  <c:v>90.53288999999998</c:v>
                </c:pt>
                <c:pt idx="3569">
                  <c:v>90.5315</c:v>
                </c:pt>
                <c:pt idx="3570">
                  <c:v>90.53015</c:v>
                </c:pt>
                <c:pt idx="3571">
                  <c:v>90.52883999999958</c:v>
                </c:pt>
                <c:pt idx="3572">
                  <c:v>90.5276</c:v>
                </c:pt>
                <c:pt idx="3573">
                  <c:v>90.5261</c:v>
                </c:pt>
                <c:pt idx="3574">
                  <c:v>90.52446</c:v>
                </c:pt>
                <c:pt idx="3575">
                  <c:v>90.52285999999998</c:v>
                </c:pt>
                <c:pt idx="3576">
                  <c:v>90.52131</c:v>
                </c:pt>
                <c:pt idx="3577">
                  <c:v>90.51989</c:v>
                </c:pt>
                <c:pt idx="3578">
                  <c:v>90.51854</c:v>
                </c:pt>
                <c:pt idx="3579">
                  <c:v>90.51719</c:v>
                </c:pt>
                <c:pt idx="3580">
                  <c:v>90.51591</c:v>
                </c:pt>
                <c:pt idx="3581">
                  <c:v>90.51439</c:v>
                </c:pt>
                <c:pt idx="3582">
                  <c:v>90.51289</c:v>
                </c:pt>
                <c:pt idx="3583">
                  <c:v>90.51144</c:v>
                </c:pt>
                <c:pt idx="3584">
                  <c:v>90.50995</c:v>
                </c:pt>
                <c:pt idx="3585">
                  <c:v>90.50844999999998</c:v>
                </c:pt>
                <c:pt idx="3586">
                  <c:v>90.50691</c:v>
                </c:pt>
                <c:pt idx="3587">
                  <c:v>90.50542</c:v>
                </c:pt>
                <c:pt idx="3588">
                  <c:v>90.50382</c:v>
                </c:pt>
                <c:pt idx="3589">
                  <c:v>90.5023</c:v>
                </c:pt>
                <c:pt idx="3590">
                  <c:v>90.50093</c:v>
                </c:pt>
                <c:pt idx="3591">
                  <c:v>90.49962</c:v>
                </c:pt>
                <c:pt idx="3592">
                  <c:v>90.49817</c:v>
                </c:pt>
                <c:pt idx="3593">
                  <c:v>90.49665</c:v>
                </c:pt>
                <c:pt idx="3594">
                  <c:v>90.49526</c:v>
                </c:pt>
                <c:pt idx="3595">
                  <c:v>90.49387</c:v>
                </c:pt>
                <c:pt idx="3596">
                  <c:v>90.49231</c:v>
                </c:pt>
                <c:pt idx="3597">
                  <c:v>90.49053</c:v>
                </c:pt>
                <c:pt idx="3598">
                  <c:v>90.48897</c:v>
                </c:pt>
                <c:pt idx="3599">
                  <c:v>90.48756</c:v>
                </c:pt>
                <c:pt idx="3600">
                  <c:v>90.48625</c:v>
                </c:pt>
                <c:pt idx="3601">
                  <c:v>90.48505</c:v>
                </c:pt>
                <c:pt idx="3602">
                  <c:v>90.48359</c:v>
                </c:pt>
                <c:pt idx="3603">
                  <c:v>90.4821</c:v>
                </c:pt>
                <c:pt idx="3604">
                  <c:v>90.48062</c:v>
                </c:pt>
                <c:pt idx="3605">
                  <c:v>90.47911</c:v>
                </c:pt>
                <c:pt idx="3606">
                  <c:v>90.47761</c:v>
                </c:pt>
                <c:pt idx="3607">
                  <c:v>90.47603</c:v>
                </c:pt>
                <c:pt idx="3608">
                  <c:v>90.47454</c:v>
                </c:pt>
                <c:pt idx="3609">
                  <c:v>90.47317</c:v>
                </c:pt>
                <c:pt idx="3610">
                  <c:v>90.4718</c:v>
                </c:pt>
                <c:pt idx="3611">
                  <c:v>90.4704</c:v>
                </c:pt>
                <c:pt idx="3612">
                  <c:v>90.46887</c:v>
                </c:pt>
                <c:pt idx="3613">
                  <c:v>90.46727000000002</c:v>
                </c:pt>
                <c:pt idx="3614">
                  <c:v>90.46579</c:v>
                </c:pt>
                <c:pt idx="3615">
                  <c:v>90.46432</c:v>
                </c:pt>
                <c:pt idx="3616">
                  <c:v>90.46284</c:v>
                </c:pt>
                <c:pt idx="3617">
                  <c:v>90.46139</c:v>
                </c:pt>
                <c:pt idx="3618">
                  <c:v>90.45994</c:v>
                </c:pt>
                <c:pt idx="3619">
                  <c:v>90.45842</c:v>
                </c:pt>
                <c:pt idx="3620">
                  <c:v>90.45703</c:v>
                </c:pt>
                <c:pt idx="3621">
                  <c:v>90.45551</c:v>
                </c:pt>
                <c:pt idx="3622">
                  <c:v>90.45394</c:v>
                </c:pt>
                <c:pt idx="3623">
                  <c:v>90.45232</c:v>
                </c:pt>
                <c:pt idx="3624">
                  <c:v>90.45076</c:v>
                </c:pt>
                <c:pt idx="3625">
                  <c:v>90.44933</c:v>
                </c:pt>
                <c:pt idx="3626">
                  <c:v>90.44793000000002</c:v>
                </c:pt>
                <c:pt idx="3627">
                  <c:v>90.44646</c:v>
                </c:pt>
                <c:pt idx="3628">
                  <c:v>90.44494</c:v>
                </c:pt>
                <c:pt idx="3629">
                  <c:v>90.44347</c:v>
                </c:pt>
                <c:pt idx="3630">
                  <c:v>90.44195</c:v>
                </c:pt>
                <c:pt idx="3631">
                  <c:v>90.44042</c:v>
                </c:pt>
                <c:pt idx="3632">
                  <c:v>90.43875</c:v>
                </c:pt>
                <c:pt idx="3633">
                  <c:v>90.43722</c:v>
                </c:pt>
                <c:pt idx="3634">
                  <c:v>90.43589</c:v>
                </c:pt>
                <c:pt idx="3635">
                  <c:v>90.43466</c:v>
                </c:pt>
                <c:pt idx="3636">
                  <c:v>90.43348</c:v>
                </c:pt>
                <c:pt idx="3637">
                  <c:v>90.43186</c:v>
                </c:pt>
                <c:pt idx="3638">
                  <c:v>90.43022</c:v>
                </c:pt>
                <c:pt idx="3639">
                  <c:v>90.42872</c:v>
                </c:pt>
                <c:pt idx="3640">
                  <c:v>90.42725</c:v>
                </c:pt>
                <c:pt idx="3641">
                  <c:v>90.42583999999998</c:v>
                </c:pt>
                <c:pt idx="3642">
                  <c:v>90.4243</c:v>
                </c:pt>
                <c:pt idx="3643">
                  <c:v>90.42272</c:v>
                </c:pt>
                <c:pt idx="3644">
                  <c:v>90.42121</c:v>
                </c:pt>
                <c:pt idx="3645">
                  <c:v>90.41975</c:v>
                </c:pt>
                <c:pt idx="3646">
                  <c:v>90.41822</c:v>
                </c:pt>
                <c:pt idx="3647">
                  <c:v>90.4168</c:v>
                </c:pt>
                <c:pt idx="3648">
                  <c:v>90.41552</c:v>
                </c:pt>
                <c:pt idx="3649">
                  <c:v>90.41423</c:v>
                </c:pt>
                <c:pt idx="3650">
                  <c:v>90.4129</c:v>
                </c:pt>
                <c:pt idx="3651">
                  <c:v>90.41159</c:v>
                </c:pt>
                <c:pt idx="3652">
                  <c:v>90.41009</c:v>
                </c:pt>
                <c:pt idx="3653">
                  <c:v>90.4085</c:v>
                </c:pt>
                <c:pt idx="3654">
                  <c:v>90.40686</c:v>
                </c:pt>
                <c:pt idx="3655">
                  <c:v>90.40528</c:v>
                </c:pt>
                <c:pt idx="3656">
                  <c:v>90.40368</c:v>
                </c:pt>
                <c:pt idx="3657">
                  <c:v>90.4021</c:v>
                </c:pt>
                <c:pt idx="3658">
                  <c:v>90.40065</c:v>
                </c:pt>
                <c:pt idx="3659">
                  <c:v>90.39921</c:v>
                </c:pt>
                <c:pt idx="3660">
                  <c:v>90.39786</c:v>
                </c:pt>
                <c:pt idx="3661">
                  <c:v>90.39638999999998</c:v>
                </c:pt>
                <c:pt idx="3662">
                  <c:v>90.39503999999998</c:v>
                </c:pt>
                <c:pt idx="3663">
                  <c:v>90.39371</c:v>
                </c:pt>
                <c:pt idx="3664">
                  <c:v>90.3923</c:v>
                </c:pt>
                <c:pt idx="3665">
                  <c:v>90.39082</c:v>
                </c:pt>
                <c:pt idx="3666">
                  <c:v>90.3892</c:v>
                </c:pt>
                <c:pt idx="3667">
                  <c:v>90.38769</c:v>
                </c:pt>
                <c:pt idx="3668">
                  <c:v>90.38619</c:v>
                </c:pt>
                <c:pt idx="3669">
                  <c:v>90.38476</c:v>
                </c:pt>
                <c:pt idx="3670">
                  <c:v>90.3833</c:v>
                </c:pt>
                <c:pt idx="3671">
                  <c:v>90.38181</c:v>
                </c:pt>
                <c:pt idx="3672">
                  <c:v>90.38035999999998</c:v>
                </c:pt>
                <c:pt idx="3673">
                  <c:v>90.37895999999998</c:v>
                </c:pt>
                <c:pt idx="3674">
                  <c:v>90.37753</c:v>
                </c:pt>
                <c:pt idx="3675">
                  <c:v>90.37598999999948</c:v>
                </c:pt>
                <c:pt idx="3676">
                  <c:v>90.37453999999998</c:v>
                </c:pt>
                <c:pt idx="3677">
                  <c:v>90.37310999999998</c:v>
                </c:pt>
                <c:pt idx="3678">
                  <c:v>90.37142999999997</c:v>
                </c:pt>
                <c:pt idx="3679">
                  <c:v>90.36973999999998</c:v>
                </c:pt>
                <c:pt idx="3680">
                  <c:v>90.36819</c:v>
                </c:pt>
                <c:pt idx="3681">
                  <c:v>90.36676999999997</c:v>
                </c:pt>
                <c:pt idx="3682">
                  <c:v>90.36548999999998</c:v>
                </c:pt>
                <c:pt idx="3683">
                  <c:v>90.36399</c:v>
                </c:pt>
                <c:pt idx="3684">
                  <c:v>90.36262</c:v>
                </c:pt>
                <c:pt idx="3685">
                  <c:v>90.36148</c:v>
                </c:pt>
                <c:pt idx="3686">
                  <c:v>90.36021</c:v>
                </c:pt>
                <c:pt idx="3687">
                  <c:v>90.35875999999975</c:v>
                </c:pt>
                <c:pt idx="3688">
                  <c:v>90.35728</c:v>
                </c:pt>
                <c:pt idx="3689">
                  <c:v>90.35566</c:v>
                </c:pt>
                <c:pt idx="3690">
                  <c:v>90.35404</c:v>
                </c:pt>
                <c:pt idx="3691">
                  <c:v>90.35256999999998</c:v>
                </c:pt>
                <c:pt idx="3692">
                  <c:v>90.3512</c:v>
                </c:pt>
                <c:pt idx="3693">
                  <c:v>90.34987</c:v>
                </c:pt>
                <c:pt idx="3694">
                  <c:v>90.3485</c:v>
                </c:pt>
                <c:pt idx="3695">
                  <c:v>90.34696</c:v>
                </c:pt>
                <c:pt idx="3696">
                  <c:v>90.34542</c:v>
                </c:pt>
                <c:pt idx="3697">
                  <c:v>90.34412</c:v>
                </c:pt>
                <c:pt idx="3698">
                  <c:v>90.34295</c:v>
                </c:pt>
                <c:pt idx="3699">
                  <c:v>90.34181</c:v>
                </c:pt>
                <c:pt idx="3700">
                  <c:v>90.34059</c:v>
                </c:pt>
                <c:pt idx="3701">
                  <c:v>90.33913</c:v>
                </c:pt>
                <c:pt idx="3702">
                  <c:v>90.33747</c:v>
                </c:pt>
                <c:pt idx="3703">
                  <c:v>90.33591</c:v>
                </c:pt>
                <c:pt idx="3704">
                  <c:v>90.3344</c:v>
                </c:pt>
                <c:pt idx="3705">
                  <c:v>90.33285999999998</c:v>
                </c:pt>
                <c:pt idx="3706">
                  <c:v>90.33139</c:v>
                </c:pt>
                <c:pt idx="3707">
                  <c:v>90.32996999999997</c:v>
                </c:pt>
                <c:pt idx="3708">
                  <c:v>90.32853999999985</c:v>
                </c:pt>
                <c:pt idx="3709">
                  <c:v>90.32711</c:v>
                </c:pt>
                <c:pt idx="3710">
                  <c:v>90.32569999999998</c:v>
                </c:pt>
                <c:pt idx="3711">
                  <c:v>90.32414</c:v>
                </c:pt>
                <c:pt idx="3712">
                  <c:v>90.32263999999998</c:v>
                </c:pt>
                <c:pt idx="3713">
                  <c:v>90.32127000000001</c:v>
                </c:pt>
                <c:pt idx="3714">
                  <c:v>90.31982</c:v>
                </c:pt>
                <c:pt idx="3715">
                  <c:v>90.31843</c:v>
                </c:pt>
                <c:pt idx="3716">
                  <c:v>90.31704</c:v>
                </c:pt>
                <c:pt idx="3717">
                  <c:v>90.3156</c:v>
                </c:pt>
                <c:pt idx="3718">
                  <c:v>90.31417</c:v>
                </c:pt>
                <c:pt idx="3719">
                  <c:v>90.31261</c:v>
                </c:pt>
                <c:pt idx="3720">
                  <c:v>90.3111</c:v>
                </c:pt>
                <c:pt idx="3721">
                  <c:v>90.30974999999998</c:v>
                </c:pt>
                <c:pt idx="3722">
                  <c:v>90.30829</c:v>
                </c:pt>
                <c:pt idx="3723">
                  <c:v>90.30682</c:v>
                </c:pt>
                <c:pt idx="3724">
                  <c:v>90.30531999999998</c:v>
                </c:pt>
                <c:pt idx="3725">
                  <c:v>90.30391</c:v>
                </c:pt>
                <c:pt idx="3726">
                  <c:v>90.30262</c:v>
                </c:pt>
                <c:pt idx="3727">
                  <c:v>90.30131</c:v>
                </c:pt>
                <c:pt idx="3728">
                  <c:v>90.2999</c:v>
                </c:pt>
                <c:pt idx="3729">
                  <c:v>90.29832</c:v>
                </c:pt>
                <c:pt idx="3730">
                  <c:v>90.29677</c:v>
                </c:pt>
                <c:pt idx="3731">
                  <c:v>90.29527</c:v>
                </c:pt>
                <c:pt idx="3732">
                  <c:v>90.29382</c:v>
                </c:pt>
                <c:pt idx="3733">
                  <c:v>90.29232</c:v>
                </c:pt>
                <c:pt idx="3734">
                  <c:v>90.29093</c:v>
                </c:pt>
                <c:pt idx="3735">
                  <c:v>90.28966</c:v>
                </c:pt>
                <c:pt idx="3736">
                  <c:v>90.28832999999997</c:v>
                </c:pt>
                <c:pt idx="3737">
                  <c:v>90.2869</c:v>
                </c:pt>
                <c:pt idx="3738">
                  <c:v>90.28548999999998</c:v>
                </c:pt>
                <c:pt idx="3739">
                  <c:v>90.28416</c:v>
                </c:pt>
                <c:pt idx="3740">
                  <c:v>90.28272999999998</c:v>
                </c:pt>
                <c:pt idx="3741">
                  <c:v>90.28123</c:v>
                </c:pt>
                <c:pt idx="3742">
                  <c:v>90.27983999999998</c:v>
                </c:pt>
                <c:pt idx="3743">
                  <c:v>90.27850999999998</c:v>
                </c:pt>
                <c:pt idx="3744">
                  <c:v>90.27702</c:v>
                </c:pt>
                <c:pt idx="3745">
                  <c:v>90.27552</c:v>
                </c:pt>
                <c:pt idx="3746">
                  <c:v>90.27409</c:v>
                </c:pt>
                <c:pt idx="3747">
                  <c:v>90.27265</c:v>
                </c:pt>
                <c:pt idx="3748">
                  <c:v>90.2713</c:v>
                </c:pt>
                <c:pt idx="3749">
                  <c:v>90.26998</c:v>
                </c:pt>
                <c:pt idx="3750">
                  <c:v>90.26869</c:v>
                </c:pt>
                <c:pt idx="3751">
                  <c:v>90.26732</c:v>
                </c:pt>
                <c:pt idx="3752">
                  <c:v>90.26587999999998</c:v>
                </c:pt>
                <c:pt idx="3753">
                  <c:v>90.26453</c:v>
                </c:pt>
                <c:pt idx="3754">
                  <c:v>90.26321</c:v>
                </c:pt>
                <c:pt idx="3755">
                  <c:v>90.26179</c:v>
                </c:pt>
                <c:pt idx="3756">
                  <c:v>90.26032</c:v>
                </c:pt>
                <c:pt idx="3757">
                  <c:v>90.25893</c:v>
                </c:pt>
                <c:pt idx="3758">
                  <c:v>90.25749</c:v>
                </c:pt>
                <c:pt idx="3759">
                  <c:v>90.25596</c:v>
                </c:pt>
                <c:pt idx="3760">
                  <c:v>90.25444</c:v>
                </c:pt>
                <c:pt idx="3761">
                  <c:v>90.25303</c:v>
                </c:pt>
                <c:pt idx="3762">
                  <c:v>90.25174</c:v>
                </c:pt>
                <c:pt idx="3763">
                  <c:v>90.2505</c:v>
                </c:pt>
                <c:pt idx="3764">
                  <c:v>90.24923</c:v>
                </c:pt>
                <c:pt idx="3765">
                  <c:v>90.24796</c:v>
                </c:pt>
                <c:pt idx="3766">
                  <c:v>90.24659</c:v>
                </c:pt>
                <c:pt idx="3767">
                  <c:v>90.24505</c:v>
                </c:pt>
                <c:pt idx="3768">
                  <c:v>90.24362</c:v>
                </c:pt>
                <c:pt idx="3769">
                  <c:v>90.24229</c:v>
                </c:pt>
                <c:pt idx="3770">
                  <c:v>90.24088</c:v>
                </c:pt>
                <c:pt idx="3771">
                  <c:v>90.23953</c:v>
                </c:pt>
                <c:pt idx="3772">
                  <c:v>90.23822</c:v>
                </c:pt>
                <c:pt idx="3773">
                  <c:v>90.23693</c:v>
                </c:pt>
                <c:pt idx="3774">
                  <c:v>90.23563</c:v>
                </c:pt>
                <c:pt idx="3775">
                  <c:v>90.23421</c:v>
                </c:pt>
                <c:pt idx="3776">
                  <c:v>90.23272</c:v>
                </c:pt>
                <c:pt idx="3777">
                  <c:v>90.23122</c:v>
                </c:pt>
                <c:pt idx="3778">
                  <c:v>90.22987</c:v>
                </c:pt>
                <c:pt idx="3779">
                  <c:v>90.22853999999998</c:v>
                </c:pt>
                <c:pt idx="3780">
                  <c:v>90.22726</c:v>
                </c:pt>
                <c:pt idx="3781">
                  <c:v>90.22591</c:v>
                </c:pt>
                <c:pt idx="3782">
                  <c:v>90.22449</c:v>
                </c:pt>
                <c:pt idx="3783">
                  <c:v>90.22317</c:v>
                </c:pt>
                <c:pt idx="3784">
                  <c:v>90.22186</c:v>
                </c:pt>
                <c:pt idx="3785">
                  <c:v>90.22051</c:v>
                </c:pt>
                <c:pt idx="3786">
                  <c:v>90.21926</c:v>
                </c:pt>
                <c:pt idx="3787">
                  <c:v>90.21799</c:v>
                </c:pt>
                <c:pt idx="3788">
                  <c:v>90.21654</c:v>
                </c:pt>
                <c:pt idx="3789">
                  <c:v>90.21496</c:v>
                </c:pt>
                <c:pt idx="3790">
                  <c:v>90.21355</c:v>
                </c:pt>
                <c:pt idx="3791">
                  <c:v>90.21235</c:v>
                </c:pt>
                <c:pt idx="3792">
                  <c:v>90.21131</c:v>
                </c:pt>
                <c:pt idx="3793">
                  <c:v>90.21012</c:v>
                </c:pt>
                <c:pt idx="3794">
                  <c:v>90.20886</c:v>
                </c:pt>
                <c:pt idx="3795">
                  <c:v>90.20751</c:v>
                </c:pt>
                <c:pt idx="3796">
                  <c:v>90.2062</c:v>
                </c:pt>
                <c:pt idx="3797">
                  <c:v>90.20491</c:v>
                </c:pt>
                <c:pt idx="3798">
                  <c:v>90.20358</c:v>
                </c:pt>
                <c:pt idx="3799">
                  <c:v>90.20223</c:v>
                </c:pt>
                <c:pt idx="3800">
                  <c:v>90.20096</c:v>
                </c:pt>
                <c:pt idx="3801">
                  <c:v>90.1997</c:v>
                </c:pt>
                <c:pt idx="3802">
                  <c:v>90.19838999999975</c:v>
                </c:pt>
                <c:pt idx="3803">
                  <c:v>90.197</c:v>
                </c:pt>
                <c:pt idx="3804">
                  <c:v>90.19565</c:v>
                </c:pt>
                <c:pt idx="3805">
                  <c:v>90.19432</c:v>
                </c:pt>
                <c:pt idx="3806">
                  <c:v>90.19314</c:v>
                </c:pt>
                <c:pt idx="3807">
                  <c:v>90.19173999999998</c:v>
                </c:pt>
                <c:pt idx="3808">
                  <c:v>90.19029</c:v>
                </c:pt>
                <c:pt idx="3809">
                  <c:v>90.18903999999995</c:v>
                </c:pt>
                <c:pt idx="3810">
                  <c:v>90.18800999999995</c:v>
                </c:pt>
                <c:pt idx="3811">
                  <c:v>90.18681999999998</c:v>
                </c:pt>
                <c:pt idx="3812">
                  <c:v>90.18554999999998</c:v>
                </c:pt>
                <c:pt idx="3813">
                  <c:v>90.18425</c:v>
                </c:pt>
                <c:pt idx="3814">
                  <c:v>90.18299999999998</c:v>
                </c:pt>
                <c:pt idx="3815">
                  <c:v>90.18183999999998</c:v>
                </c:pt>
                <c:pt idx="3816">
                  <c:v>90.18056999999997</c:v>
                </c:pt>
                <c:pt idx="3817">
                  <c:v>90.17922</c:v>
                </c:pt>
                <c:pt idx="3818">
                  <c:v>90.17790999999998</c:v>
                </c:pt>
                <c:pt idx="3819">
                  <c:v>90.17651999999998</c:v>
                </c:pt>
                <c:pt idx="3820">
                  <c:v>90.17510999999975</c:v>
                </c:pt>
                <c:pt idx="3821">
                  <c:v>90.17375999999948</c:v>
                </c:pt>
                <c:pt idx="3822">
                  <c:v>90.17246999999985</c:v>
                </c:pt>
                <c:pt idx="3823">
                  <c:v>90.17116</c:v>
                </c:pt>
                <c:pt idx="3824">
                  <c:v>90.17001999999998</c:v>
                </c:pt>
                <c:pt idx="3825">
                  <c:v>90.16879999999995</c:v>
                </c:pt>
                <c:pt idx="3826">
                  <c:v>90.16751</c:v>
                </c:pt>
                <c:pt idx="3827">
                  <c:v>90.16622</c:v>
                </c:pt>
                <c:pt idx="3828">
                  <c:v>90.16505999999998</c:v>
                </c:pt>
                <c:pt idx="3829">
                  <c:v>90.16392</c:v>
                </c:pt>
                <c:pt idx="3830">
                  <c:v>90.16265</c:v>
                </c:pt>
                <c:pt idx="3831">
                  <c:v>90.1614</c:v>
                </c:pt>
                <c:pt idx="3832">
                  <c:v>90.16011</c:v>
                </c:pt>
                <c:pt idx="3833">
                  <c:v>90.15869999999998</c:v>
                </c:pt>
                <c:pt idx="3834">
                  <c:v>90.15738999999998</c:v>
                </c:pt>
                <c:pt idx="3835">
                  <c:v>90.15613</c:v>
                </c:pt>
                <c:pt idx="3836">
                  <c:v>90.15506999999998</c:v>
                </c:pt>
                <c:pt idx="3837">
                  <c:v>90.15338999999948</c:v>
                </c:pt>
                <c:pt idx="3838">
                  <c:v>90.15207999999878</c:v>
                </c:pt>
                <c:pt idx="3839">
                  <c:v>90.15107999999998</c:v>
                </c:pt>
                <c:pt idx="3840">
                  <c:v>90.15005999999998</c:v>
                </c:pt>
                <c:pt idx="3841">
                  <c:v>90.14897999999998</c:v>
                </c:pt>
                <c:pt idx="3842">
                  <c:v>90.14777999999998</c:v>
                </c:pt>
                <c:pt idx="3843">
                  <c:v>90.14635</c:v>
                </c:pt>
                <c:pt idx="3844">
                  <c:v>90.14503999999998</c:v>
                </c:pt>
                <c:pt idx="3845">
                  <c:v>90.144</c:v>
                </c:pt>
                <c:pt idx="3846">
                  <c:v>90.14321</c:v>
                </c:pt>
                <c:pt idx="3847">
                  <c:v>90.14213</c:v>
                </c:pt>
                <c:pt idx="3848">
                  <c:v>90.14086</c:v>
                </c:pt>
                <c:pt idx="3849">
                  <c:v>90.13977999999948</c:v>
                </c:pt>
                <c:pt idx="3850">
                  <c:v>90.13857999999995</c:v>
                </c:pt>
                <c:pt idx="3851">
                  <c:v>90.13727</c:v>
                </c:pt>
                <c:pt idx="3852">
                  <c:v>90.13599999999998</c:v>
                </c:pt>
                <c:pt idx="3853">
                  <c:v>90.1348</c:v>
                </c:pt>
                <c:pt idx="3854">
                  <c:v>90.13364</c:v>
                </c:pt>
                <c:pt idx="3855">
                  <c:v>90.13242999999998</c:v>
                </c:pt>
                <c:pt idx="3856">
                  <c:v>90.13133</c:v>
                </c:pt>
                <c:pt idx="3857">
                  <c:v>90.13013</c:v>
                </c:pt>
                <c:pt idx="3858">
                  <c:v>90.12889999999948</c:v>
                </c:pt>
                <c:pt idx="3859">
                  <c:v>90.1277</c:v>
                </c:pt>
                <c:pt idx="3860">
                  <c:v>90.12652999999997</c:v>
                </c:pt>
                <c:pt idx="3861">
                  <c:v>90.12534999999878</c:v>
                </c:pt>
                <c:pt idx="3862">
                  <c:v>90.12413999999998</c:v>
                </c:pt>
                <c:pt idx="3863">
                  <c:v>90.12301999999998</c:v>
                </c:pt>
                <c:pt idx="3864">
                  <c:v>90.12189999999998</c:v>
                </c:pt>
                <c:pt idx="3865">
                  <c:v>90.12079999999958</c:v>
                </c:pt>
                <c:pt idx="3866">
                  <c:v>90.11973999999998</c:v>
                </c:pt>
                <c:pt idx="3867">
                  <c:v>90.11853999999998</c:v>
                </c:pt>
                <c:pt idx="3868">
                  <c:v>90.1174</c:v>
                </c:pt>
                <c:pt idx="3869">
                  <c:v>90.11633999999998</c:v>
                </c:pt>
                <c:pt idx="3870">
                  <c:v>90.11528</c:v>
                </c:pt>
                <c:pt idx="3871">
                  <c:v>90.1142</c:v>
                </c:pt>
                <c:pt idx="3872">
                  <c:v>90.11307999999998</c:v>
                </c:pt>
                <c:pt idx="3873">
                  <c:v>90.11185</c:v>
                </c:pt>
                <c:pt idx="3874">
                  <c:v>90.11076999999997</c:v>
                </c:pt>
                <c:pt idx="3875">
                  <c:v>90.10963</c:v>
                </c:pt>
                <c:pt idx="3876">
                  <c:v>90.10854999999998</c:v>
                </c:pt>
                <c:pt idx="3877">
                  <c:v>90.10751</c:v>
                </c:pt>
                <c:pt idx="3878">
                  <c:v>90.10640999999998</c:v>
                </c:pt>
                <c:pt idx="3879">
                  <c:v>90.10528999999998</c:v>
                </c:pt>
                <c:pt idx="3880">
                  <c:v>90.1041</c:v>
                </c:pt>
                <c:pt idx="3881">
                  <c:v>90.10291999999998</c:v>
                </c:pt>
                <c:pt idx="3882">
                  <c:v>90.10172</c:v>
                </c:pt>
                <c:pt idx="3883">
                  <c:v>90.10051</c:v>
                </c:pt>
                <c:pt idx="3884">
                  <c:v>90.09954</c:v>
                </c:pt>
                <c:pt idx="3885">
                  <c:v>90.0986</c:v>
                </c:pt>
                <c:pt idx="3886">
                  <c:v>90.09765</c:v>
                </c:pt>
                <c:pt idx="3887">
                  <c:v>90.09667</c:v>
                </c:pt>
                <c:pt idx="3888">
                  <c:v>90.09565</c:v>
                </c:pt>
                <c:pt idx="3889">
                  <c:v>90.09457</c:v>
                </c:pt>
                <c:pt idx="3890">
                  <c:v>90.09353</c:v>
                </c:pt>
                <c:pt idx="3891">
                  <c:v>90.09252</c:v>
                </c:pt>
                <c:pt idx="3892">
                  <c:v>90.09135</c:v>
                </c:pt>
                <c:pt idx="3893">
                  <c:v>90.09011</c:v>
                </c:pt>
                <c:pt idx="3894">
                  <c:v>90.08896</c:v>
                </c:pt>
                <c:pt idx="3895">
                  <c:v>90.08791</c:v>
                </c:pt>
                <c:pt idx="3896">
                  <c:v>90.08688999999998</c:v>
                </c:pt>
                <c:pt idx="3897">
                  <c:v>90.08586999999998</c:v>
                </c:pt>
                <c:pt idx="3898">
                  <c:v>90.08487</c:v>
                </c:pt>
                <c:pt idx="3899">
                  <c:v>90.08387999999998</c:v>
                </c:pt>
                <c:pt idx="3900">
                  <c:v>90.08289999999998</c:v>
                </c:pt>
                <c:pt idx="3901">
                  <c:v>90.08184</c:v>
                </c:pt>
                <c:pt idx="3902">
                  <c:v>90.08073999999995</c:v>
                </c:pt>
                <c:pt idx="3903">
                  <c:v>90.07969999999997</c:v>
                </c:pt>
                <c:pt idx="3904">
                  <c:v>90.07863999999998</c:v>
                </c:pt>
                <c:pt idx="3905">
                  <c:v>90.07769</c:v>
                </c:pt>
                <c:pt idx="3906">
                  <c:v>90.07676999999998</c:v>
                </c:pt>
                <c:pt idx="3907">
                  <c:v>90.07577999999845</c:v>
                </c:pt>
                <c:pt idx="3908">
                  <c:v>90.07483999999998</c:v>
                </c:pt>
                <c:pt idx="3909">
                  <c:v>90.07384999999998</c:v>
                </c:pt>
                <c:pt idx="3910">
                  <c:v>90.07278999999878</c:v>
                </c:pt>
                <c:pt idx="3911">
                  <c:v>90.07167</c:v>
                </c:pt>
                <c:pt idx="3912">
                  <c:v>90.07056</c:v>
                </c:pt>
                <c:pt idx="3913">
                  <c:v>90.06946</c:v>
                </c:pt>
                <c:pt idx="3914">
                  <c:v>90.06848999999998</c:v>
                </c:pt>
                <c:pt idx="3915">
                  <c:v>90.06712</c:v>
                </c:pt>
                <c:pt idx="3916">
                  <c:v>90.06612</c:v>
                </c:pt>
                <c:pt idx="3917">
                  <c:v>90.06516</c:v>
                </c:pt>
                <c:pt idx="3918">
                  <c:v>90.06435</c:v>
                </c:pt>
                <c:pt idx="3919">
                  <c:v>90.06363</c:v>
                </c:pt>
                <c:pt idx="3920">
                  <c:v>90.06253</c:v>
                </c:pt>
                <c:pt idx="3921">
                  <c:v>90.06155</c:v>
                </c:pt>
                <c:pt idx="3922">
                  <c:v>90.06055</c:v>
                </c:pt>
                <c:pt idx="3923">
                  <c:v>90.05956</c:v>
                </c:pt>
                <c:pt idx="3924">
                  <c:v>90.05853999999998</c:v>
                </c:pt>
                <c:pt idx="3925">
                  <c:v>90.05752</c:v>
                </c:pt>
                <c:pt idx="3926">
                  <c:v>90.05646</c:v>
                </c:pt>
                <c:pt idx="3927">
                  <c:v>90.05546999999998</c:v>
                </c:pt>
                <c:pt idx="3928">
                  <c:v>90.05453</c:v>
                </c:pt>
                <c:pt idx="3929">
                  <c:v>90.05347</c:v>
                </c:pt>
                <c:pt idx="3930">
                  <c:v>90.05242999999998</c:v>
                </c:pt>
                <c:pt idx="3931">
                  <c:v>90.05152</c:v>
                </c:pt>
                <c:pt idx="3932">
                  <c:v>90.05061</c:v>
                </c:pt>
                <c:pt idx="3933">
                  <c:v>90.04973</c:v>
                </c:pt>
                <c:pt idx="3934">
                  <c:v>90.0488</c:v>
                </c:pt>
                <c:pt idx="3935">
                  <c:v>90.04789</c:v>
                </c:pt>
                <c:pt idx="3936">
                  <c:v>90.04689</c:v>
                </c:pt>
                <c:pt idx="3937">
                  <c:v>90.046</c:v>
                </c:pt>
                <c:pt idx="3938">
                  <c:v>90.04508</c:v>
                </c:pt>
                <c:pt idx="3939">
                  <c:v>90.04415</c:v>
                </c:pt>
                <c:pt idx="3940">
                  <c:v>90.04321</c:v>
                </c:pt>
                <c:pt idx="3941">
                  <c:v>90.04224</c:v>
                </c:pt>
                <c:pt idx="3942">
                  <c:v>90.04132</c:v>
                </c:pt>
                <c:pt idx="3943">
                  <c:v>90.04031</c:v>
                </c:pt>
                <c:pt idx="3944">
                  <c:v>90.03929</c:v>
                </c:pt>
                <c:pt idx="3945">
                  <c:v>90.03825</c:v>
                </c:pt>
                <c:pt idx="3946">
                  <c:v>90.03734</c:v>
                </c:pt>
                <c:pt idx="3947">
                  <c:v>90.03661</c:v>
                </c:pt>
                <c:pt idx="3948">
                  <c:v>90.03573999999985</c:v>
                </c:pt>
                <c:pt idx="3949">
                  <c:v>90.03478</c:v>
                </c:pt>
                <c:pt idx="3950">
                  <c:v>90.03383</c:v>
                </c:pt>
                <c:pt idx="3951">
                  <c:v>90.03286999999997</c:v>
                </c:pt>
                <c:pt idx="3952">
                  <c:v>90.03181</c:v>
                </c:pt>
                <c:pt idx="3953">
                  <c:v>90.0309</c:v>
                </c:pt>
                <c:pt idx="3954">
                  <c:v>90.03009</c:v>
                </c:pt>
                <c:pt idx="3955">
                  <c:v>90.02911</c:v>
                </c:pt>
                <c:pt idx="3956">
                  <c:v>90.02812</c:v>
                </c:pt>
                <c:pt idx="3957">
                  <c:v>90.02718</c:v>
                </c:pt>
                <c:pt idx="3958">
                  <c:v>90.0262</c:v>
                </c:pt>
                <c:pt idx="3959">
                  <c:v>90.02541999999998</c:v>
                </c:pt>
                <c:pt idx="3960">
                  <c:v>90.0245</c:v>
                </c:pt>
                <c:pt idx="3961">
                  <c:v>90.02363</c:v>
                </c:pt>
                <c:pt idx="3962">
                  <c:v>90.02277999999878</c:v>
                </c:pt>
                <c:pt idx="3963">
                  <c:v>90.02187999999998</c:v>
                </c:pt>
                <c:pt idx="3964">
                  <c:v>90.02099</c:v>
                </c:pt>
                <c:pt idx="3965">
                  <c:v>90.02014</c:v>
                </c:pt>
                <c:pt idx="3966">
                  <c:v>90.01919</c:v>
                </c:pt>
                <c:pt idx="3967">
                  <c:v>90.01829</c:v>
                </c:pt>
                <c:pt idx="3968">
                  <c:v>90.01736</c:v>
                </c:pt>
                <c:pt idx="3969">
                  <c:v>90.01634</c:v>
                </c:pt>
                <c:pt idx="3970">
                  <c:v>90.01533999999998</c:v>
                </c:pt>
                <c:pt idx="3971">
                  <c:v>90.01449</c:v>
                </c:pt>
                <c:pt idx="3972">
                  <c:v>90.01368</c:v>
                </c:pt>
                <c:pt idx="3973">
                  <c:v>90.01278999999998</c:v>
                </c:pt>
                <c:pt idx="3974">
                  <c:v>90.01196</c:v>
                </c:pt>
                <c:pt idx="3975">
                  <c:v>90.011</c:v>
                </c:pt>
                <c:pt idx="3976">
                  <c:v>90.01013</c:v>
                </c:pt>
                <c:pt idx="3977">
                  <c:v>90.00922</c:v>
                </c:pt>
                <c:pt idx="3978">
                  <c:v>90.00828</c:v>
                </c:pt>
                <c:pt idx="3979">
                  <c:v>90.00743000000001</c:v>
                </c:pt>
                <c:pt idx="3980">
                  <c:v>90.0066</c:v>
                </c:pt>
                <c:pt idx="3981">
                  <c:v>90.00576999999998</c:v>
                </c:pt>
                <c:pt idx="3982">
                  <c:v>90.00498</c:v>
                </c:pt>
                <c:pt idx="3983">
                  <c:v>90.00415</c:v>
                </c:pt>
                <c:pt idx="3984">
                  <c:v>90.00326</c:v>
                </c:pt>
                <c:pt idx="3985">
                  <c:v>90.00239999999998</c:v>
                </c:pt>
                <c:pt idx="3986">
                  <c:v>90.00149</c:v>
                </c:pt>
                <c:pt idx="3987">
                  <c:v>90.00054</c:v>
                </c:pt>
                <c:pt idx="3988">
                  <c:v>89.99968</c:v>
                </c:pt>
                <c:pt idx="3989">
                  <c:v>89.99892</c:v>
                </c:pt>
                <c:pt idx="3990">
                  <c:v>89.99815</c:v>
                </c:pt>
                <c:pt idx="3991">
                  <c:v>89.99721</c:v>
                </c:pt>
                <c:pt idx="3992">
                  <c:v>89.99634</c:v>
                </c:pt>
                <c:pt idx="3993">
                  <c:v>89.99551</c:v>
                </c:pt>
                <c:pt idx="3994">
                  <c:v>89.99476</c:v>
                </c:pt>
                <c:pt idx="3995">
                  <c:v>89.99393</c:v>
                </c:pt>
                <c:pt idx="3996">
                  <c:v>89.99308</c:v>
                </c:pt>
                <c:pt idx="3997">
                  <c:v>89.99229</c:v>
                </c:pt>
                <c:pt idx="3998">
                  <c:v>89.99138</c:v>
                </c:pt>
                <c:pt idx="3999">
                  <c:v>89.99048</c:v>
                </c:pt>
                <c:pt idx="4000">
                  <c:v>89.98965</c:v>
                </c:pt>
                <c:pt idx="4001">
                  <c:v>89.98889</c:v>
                </c:pt>
                <c:pt idx="4002">
                  <c:v>89.98814</c:v>
                </c:pt>
                <c:pt idx="4003">
                  <c:v>89.98731</c:v>
                </c:pt>
                <c:pt idx="4004">
                  <c:v>89.98629</c:v>
                </c:pt>
                <c:pt idx="4005">
                  <c:v>89.9854</c:v>
                </c:pt>
                <c:pt idx="4006">
                  <c:v>89.98448</c:v>
                </c:pt>
                <c:pt idx="4007">
                  <c:v>89.98365</c:v>
                </c:pt>
                <c:pt idx="4008">
                  <c:v>89.98283999999998</c:v>
                </c:pt>
                <c:pt idx="4009">
                  <c:v>89.98207</c:v>
                </c:pt>
                <c:pt idx="4010">
                  <c:v>89.9813</c:v>
                </c:pt>
                <c:pt idx="4011">
                  <c:v>89.9805</c:v>
                </c:pt>
                <c:pt idx="4012">
                  <c:v>89.97969</c:v>
                </c:pt>
                <c:pt idx="4013">
                  <c:v>89.97893999999998</c:v>
                </c:pt>
                <c:pt idx="4014">
                  <c:v>89.97819</c:v>
                </c:pt>
                <c:pt idx="4015">
                  <c:v>89.97746</c:v>
                </c:pt>
                <c:pt idx="4016">
                  <c:v>89.97669</c:v>
                </c:pt>
                <c:pt idx="4017">
                  <c:v>89.97593</c:v>
                </c:pt>
                <c:pt idx="4018">
                  <c:v>89.97500999999998</c:v>
                </c:pt>
                <c:pt idx="4019">
                  <c:v>89.97408</c:v>
                </c:pt>
                <c:pt idx="4020">
                  <c:v>89.97327000000001</c:v>
                </c:pt>
                <c:pt idx="4021">
                  <c:v>89.97249999999998</c:v>
                </c:pt>
                <c:pt idx="4022">
                  <c:v>89.97169</c:v>
                </c:pt>
                <c:pt idx="4023">
                  <c:v>89.97097999999998</c:v>
                </c:pt>
                <c:pt idx="4024">
                  <c:v>89.97026</c:v>
                </c:pt>
                <c:pt idx="4025">
                  <c:v>89.96947</c:v>
                </c:pt>
                <c:pt idx="4026">
                  <c:v>89.9688</c:v>
                </c:pt>
                <c:pt idx="4027">
                  <c:v>89.96812</c:v>
                </c:pt>
                <c:pt idx="4028">
                  <c:v>89.96733</c:v>
                </c:pt>
                <c:pt idx="4029">
                  <c:v>89.96658</c:v>
                </c:pt>
                <c:pt idx="4030">
                  <c:v>89.96583</c:v>
                </c:pt>
                <c:pt idx="4031">
                  <c:v>89.96506</c:v>
                </c:pt>
                <c:pt idx="4032">
                  <c:v>89.96425</c:v>
                </c:pt>
                <c:pt idx="4033">
                  <c:v>89.96349</c:v>
                </c:pt>
                <c:pt idx="4034">
                  <c:v>89.96261</c:v>
                </c:pt>
                <c:pt idx="4035">
                  <c:v>89.96174</c:v>
                </c:pt>
                <c:pt idx="4036">
                  <c:v>89.96087</c:v>
                </c:pt>
                <c:pt idx="4037">
                  <c:v>89.9601</c:v>
                </c:pt>
                <c:pt idx="4038">
                  <c:v>89.95927</c:v>
                </c:pt>
                <c:pt idx="4039">
                  <c:v>89.95852</c:v>
                </c:pt>
                <c:pt idx="4040">
                  <c:v>89.95771</c:v>
                </c:pt>
                <c:pt idx="4041">
                  <c:v>89.95701</c:v>
                </c:pt>
                <c:pt idx="4042">
                  <c:v>89.95622</c:v>
                </c:pt>
                <c:pt idx="4043">
                  <c:v>89.95543</c:v>
                </c:pt>
                <c:pt idx="4044">
                  <c:v>89.95468</c:v>
                </c:pt>
                <c:pt idx="4045">
                  <c:v>89.95381</c:v>
                </c:pt>
                <c:pt idx="4046">
                  <c:v>89.95302</c:v>
                </c:pt>
                <c:pt idx="4047">
                  <c:v>89.95234999999998</c:v>
                </c:pt>
                <c:pt idx="4048">
                  <c:v>89.95175</c:v>
                </c:pt>
                <c:pt idx="4049">
                  <c:v>89.95107</c:v>
                </c:pt>
                <c:pt idx="4050">
                  <c:v>89.95036</c:v>
                </c:pt>
                <c:pt idx="4051">
                  <c:v>89.94972</c:v>
                </c:pt>
                <c:pt idx="4052">
                  <c:v>89.9487</c:v>
                </c:pt>
                <c:pt idx="4053">
                  <c:v>89.94781</c:v>
                </c:pt>
                <c:pt idx="4054">
                  <c:v>89.94704</c:v>
                </c:pt>
                <c:pt idx="4055">
                  <c:v>89.94625</c:v>
                </c:pt>
                <c:pt idx="4056">
                  <c:v>89.94554</c:v>
                </c:pt>
                <c:pt idx="4057">
                  <c:v>89.94498</c:v>
                </c:pt>
                <c:pt idx="4058">
                  <c:v>89.94428</c:v>
                </c:pt>
                <c:pt idx="4059">
                  <c:v>89.94345</c:v>
                </c:pt>
                <c:pt idx="4060">
                  <c:v>89.94284</c:v>
                </c:pt>
                <c:pt idx="4061">
                  <c:v>89.94232</c:v>
                </c:pt>
                <c:pt idx="4062">
                  <c:v>89.94145</c:v>
                </c:pt>
                <c:pt idx="4063">
                  <c:v>89.94054</c:v>
                </c:pt>
                <c:pt idx="4064">
                  <c:v>89.93965</c:v>
                </c:pt>
                <c:pt idx="4065">
                  <c:v>89.93898</c:v>
                </c:pt>
                <c:pt idx="4066">
                  <c:v>89.93837999999998</c:v>
                </c:pt>
                <c:pt idx="4067">
                  <c:v>89.93778</c:v>
                </c:pt>
                <c:pt idx="4068">
                  <c:v>89.93709</c:v>
                </c:pt>
                <c:pt idx="4069">
                  <c:v>89.93634</c:v>
                </c:pt>
                <c:pt idx="4070">
                  <c:v>89.93551</c:v>
                </c:pt>
                <c:pt idx="4071">
                  <c:v>89.9347</c:v>
                </c:pt>
                <c:pt idx="4072">
                  <c:v>89.93391</c:v>
                </c:pt>
                <c:pt idx="4073">
                  <c:v>89.93312</c:v>
                </c:pt>
                <c:pt idx="4074">
                  <c:v>89.9324</c:v>
                </c:pt>
                <c:pt idx="4075">
                  <c:v>89.93169</c:v>
                </c:pt>
                <c:pt idx="4076">
                  <c:v>89.93096</c:v>
                </c:pt>
                <c:pt idx="4077">
                  <c:v>89.93036</c:v>
                </c:pt>
                <c:pt idx="4078">
                  <c:v>89.92941</c:v>
                </c:pt>
                <c:pt idx="4079">
                  <c:v>89.92851</c:v>
                </c:pt>
                <c:pt idx="4080">
                  <c:v>89.92779</c:v>
                </c:pt>
                <c:pt idx="4081">
                  <c:v>89.927</c:v>
                </c:pt>
                <c:pt idx="4082">
                  <c:v>89.92629</c:v>
                </c:pt>
                <c:pt idx="4083">
                  <c:v>89.92563000000001</c:v>
                </c:pt>
                <c:pt idx="4084">
                  <c:v>89.92486</c:v>
                </c:pt>
                <c:pt idx="4085">
                  <c:v>89.92392</c:v>
                </c:pt>
                <c:pt idx="4086">
                  <c:v>89.92309</c:v>
                </c:pt>
                <c:pt idx="4087">
                  <c:v>89.92236999999998</c:v>
                </c:pt>
                <c:pt idx="4088">
                  <c:v>89.92178</c:v>
                </c:pt>
                <c:pt idx="4089">
                  <c:v>89.92104</c:v>
                </c:pt>
                <c:pt idx="4090">
                  <c:v>89.92025</c:v>
                </c:pt>
                <c:pt idx="4091">
                  <c:v>89.91948</c:v>
                </c:pt>
                <c:pt idx="4092">
                  <c:v>89.91879</c:v>
                </c:pt>
                <c:pt idx="4093">
                  <c:v>89.91807</c:v>
                </c:pt>
                <c:pt idx="4094">
                  <c:v>89.91732</c:v>
                </c:pt>
                <c:pt idx="4095">
                  <c:v>89.91674</c:v>
                </c:pt>
                <c:pt idx="4096">
                  <c:v>89.91597</c:v>
                </c:pt>
                <c:pt idx="4097">
                  <c:v>89.91518</c:v>
                </c:pt>
                <c:pt idx="4098">
                  <c:v>89.91458</c:v>
                </c:pt>
                <c:pt idx="4099">
                  <c:v>89.91385</c:v>
                </c:pt>
                <c:pt idx="4100">
                  <c:v>89.91308</c:v>
                </c:pt>
                <c:pt idx="4101">
                  <c:v>89.91248</c:v>
                </c:pt>
                <c:pt idx="4102">
                  <c:v>89.9119</c:v>
                </c:pt>
                <c:pt idx="4103">
                  <c:v>89.91128</c:v>
                </c:pt>
                <c:pt idx="4104">
                  <c:v>89.91057</c:v>
                </c:pt>
                <c:pt idx="4105">
                  <c:v>89.90984</c:v>
                </c:pt>
                <c:pt idx="4106">
                  <c:v>89.90912</c:v>
                </c:pt>
                <c:pt idx="4107">
                  <c:v>89.90831</c:v>
                </c:pt>
                <c:pt idx="4108">
                  <c:v>89.90773</c:v>
                </c:pt>
                <c:pt idx="4109">
                  <c:v>89.90712</c:v>
                </c:pt>
                <c:pt idx="4110">
                  <c:v>89.90644</c:v>
                </c:pt>
                <c:pt idx="4111">
                  <c:v>89.90561</c:v>
                </c:pt>
                <c:pt idx="4112">
                  <c:v>89.90484</c:v>
                </c:pt>
                <c:pt idx="4113">
                  <c:v>89.90413</c:v>
                </c:pt>
                <c:pt idx="4114">
                  <c:v>89.90349</c:v>
                </c:pt>
                <c:pt idx="4115">
                  <c:v>89.90282</c:v>
                </c:pt>
                <c:pt idx="4116">
                  <c:v>89.90199</c:v>
                </c:pt>
                <c:pt idx="4117">
                  <c:v>89.90125</c:v>
                </c:pt>
                <c:pt idx="4118">
                  <c:v>89.90052</c:v>
                </c:pt>
                <c:pt idx="4119">
                  <c:v>89.89983</c:v>
                </c:pt>
                <c:pt idx="4120">
                  <c:v>89.89915</c:v>
                </c:pt>
                <c:pt idx="4121">
                  <c:v>89.89847999999998</c:v>
                </c:pt>
                <c:pt idx="4122">
                  <c:v>89.89782</c:v>
                </c:pt>
                <c:pt idx="4123">
                  <c:v>89.89722</c:v>
                </c:pt>
                <c:pt idx="4124">
                  <c:v>89.89666</c:v>
                </c:pt>
                <c:pt idx="4125">
                  <c:v>89.89597</c:v>
                </c:pt>
                <c:pt idx="4126">
                  <c:v>89.89530999999998</c:v>
                </c:pt>
                <c:pt idx="4127">
                  <c:v>89.89475</c:v>
                </c:pt>
                <c:pt idx="4128">
                  <c:v>89.89416</c:v>
                </c:pt>
                <c:pt idx="4129">
                  <c:v>89.89346</c:v>
                </c:pt>
                <c:pt idx="4130">
                  <c:v>89.89261</c:v>
                </c:pt>
                <c:pt idx="4131">
                  <c:v>89.89184</c:v>
                </c:pt>
                <c:pt idx="4132">
                  <c:v>89.89111</c:v>
                </c:pt>
                <c:pt idx="4133">
                  <c:v>89.89022</c:v>
                </c:pt>
                <c:pt idx="4134">
                  <c:v>89.88948999999998</c:v>
                </c:pt>
                <c:pt idx="4135">
                  <c:v>89.88888999999975</c:v>
                </c:pt>
                <c:pt idx="4136">
                  <c:v>89.88822</c:v>
                </c:pt>
                <c:pt idx="4137">
                  <c:v>89.88758</c:v>
                </c:pt>
                <c:pt idx="4138">
                  <c:v>89.88680999999998</c:v>
                </c:pt>
                <c:pt idx="4139">
                  <c:v>89.88606</c:v>
                </c:pt>
                <c:pt idx="4140">
                  <c:v>89.88533999999908</c:v>
                </c:pt>
                <c:pt idx="4141">
                  <c:v>89.88447</c:v>
                </c:pt>
                <c:pt idx="4142">
                  <c:v>89.88357</c:v>
                </c:pt>
                <c:pt idx="4143">
                  <c:v>89.88277999999868</c:v>
                </c:pt>
                <c:pt idx="4144">
                  <c:v>89.88212</c:v>
                </c:pt>
                <c:pt idx="4145">
                  <c:v>89.88147</c:v>
                </c:pt>
                <c:pt idx="4146">
                  <c:v>89.88074999999998</c:v>
                </c:pt>
                <c:pt idx="4147">
                  <c:v>89.88015</c:v>
                </c:pt>
                <c:pt idx="4148">
                  <c:v>89.87956</c:v>
                </c:pt>
                <c:pt idx="4149">
                  <c:v>89.87895999999998</c:v>
                </c:pt>
                <c:pt idx="4150">
                  <c:v>89.87831999999958</c:v>
                </c:pt>
                <c:pt idx="4151">
                  <c:v>89.87757</c:v>
                </c:pt>
                <c:pt idx="4152">
                  <c:v>89.87677999999858</c:v>
                </c:pt>
                <c:pt idx="4153">
                  <c:v>89.87609999999998</c:v>
                </c:pt>
                <c:pt idx="4154">
                  <c:v>89.87534999999878</c:v>
                </c:pt>
                <c:pt idx="4155">
                  <c:v>89.8745</c:v>
                </c:pt>
                <c:pt idx="4156">
                  <c:v>89.87374999999938</c:v>
                </c:pt>
                <c:pt idx="4157">
                  <c:v>89.87310999999998</c:v>
                </c:pt>
                <c:pt idx="4158">
                  <c:v>89.87235999999928</c:v>
                </c:pt>
                <c:pt idx="4159">
                  <c:v>89.87159</c:v>
                </c:pt>
                <c:pt idx="4160">
                  <c:v>89.87101</c:v>
                </c:pt>
                <c:pt idx="4161">
                  <c:v>89.87069999999998</c:v>
                </c:pt>
                <c:pt idx="4162">
                  <c:v>89.87044999999995</c:v>
                </c:pt>
                <c:pt idx="4163">
                  <c:v>89.86982</c:v>
                </c:pt>
                <c:pt idx="4164">
                  <c:v>89.86926</c:v>
                </c:pt>
                <c:pt idx="4165">
                  <c:v>89.86840999999998</c:v>
                </c:pt>
                <c:pt idx="4166">
                  <c:v>89.8675</c:v>
                </c:pt>
                <c:pt idx="4167">
                  <c:v>89.86671</c:v>
                </c:pt>
                <c:pt idx="4168">
                  <c:v>89.86587999999985</c:v>
                </c:pt>
                <c:pt idx="4169">
                  <c:v>89.86503</c:v>
                </c:pt>
                <c:pt idx="4170">
                  <c:v>89.86418</c:v>
                </c:pt>
                <c:pt idx="4171">
                  <c:v>89.86349</c:v>
                </c:pt>
                <c:pt idx="4172">
                  <c:v>89.86288999999998</c:v>
                </c:pt>
                <c:pt idx="4173">
                  <c:v>89.8622</c:v>
                </c:pt>
                <c:pt idx="4174">
                  <c:v>89.86162</c:v>
                </c:pt>
                <c:pt idx="4175">
                  <c:v>89.861</c:v>
                </c:pt>
                <c:pt idx="4176">
                  <c:v>89.86017</c:v>
                </c:pt>
                <c:pt idx="4177">
                  <c:v>89.85942</c:v>
                </c:pt>
                <c:pt idx="4178">
                  <c:v>89.85883999999928</c:v>
                </c:pt>
                <c:pt idx="4179">
                  <c:v>89.85833999999888</c:v>
                </c:pt>
                <c:pt idx="4180">
                  <c:v>89.85787999999998</c:v>
                </c:pt>
                <c:pt idx="4181">
                  <c:v>89.8573</c:v>
                </c:pt>
                <c:pt idx="4182">
                  <c:v>89.85648999999998</c:v>
                </c:pt>
                <c:pt idx="4183">
                  <c:v>89.85569999999998</c:v>
                </c:pt>
                <c:pt idx="4184">
                  <c:v>89.85481</c:v>
                </c:pt>
                <c:pt idx="4185">
                  <c:v>89.85384999999998</c:v>
                </c:pt>
                <c:pt idx="4186">
                  <c:v>89.85283999999928</c:v>
                </c:pt>
                <c:pt idx="4187">
                  <c:v>89.85196</c:v>
                </c:pt>
                <c:pt idx="4188">
                  <c:v>89.85137999999998</c:v>
                </c:pt>
                <c:pt idx="4189">
                  <c:v>89.85083999999995</c:v>
                </c:pt>
                <c:pt idx="4190">
                  <c:v>89.85016</c:v>
                </c:pt>
                <c:pt idx="4191">
                  <c:v>89.84937</c:v>
                </c:pt>
                <c:pt idx="4192">
                  <c:v>89.84872</c:v>
                </c:pt>
                <c:pt idx="4193">
                  <c:v>89.84798</c:v>
                </c:pt>
                <c:pt idx="4194">
                  <c:v>89.84725</c:v>
                </c:pt>
                <c:pt idx="4195">
                  <c:v>89.84652</c:v>
                </c:pt>
                <c:pt idx="4196">
                  <c:v>89.84583999999998</c:v>
                </c:pt>
                <c:pt idx="4197">
                  <c:v>89.84499</c:v>
                </c:pt>
                <c:pt idx="4198">
                  <c:v>89.84407</c:v>
                </c:pt>
                <c:pt idx="4199">
                  <c:v>89.84343000000001</c:v>
                </c:pt>
                <c:pt idx="4200">
                  <c:v>89.84295</c:v>
                </c:pt>
                <c:pt idx="4201">
                  <c:v>89.84254</c:v>
                </c:pt>
                <c:pt idx="4202">
                  <c:v>89.84203999999998</c:v>
                </c:pt>
                <c:pt idx="4203">
                  <c:v>89.84139</c:v>
                </c:pt>
                <c:pt idx="4204">
                  <c:v>89.84067</c:v>
                </c:pt>
                <c:pt idx="4205">
                  <c:v>89.8399</c:v>
                </c:pt>
                <c:pt idx="4206">
                  <c:v>89.83919</c:v>
                </c:pt>
                <c:pt idx="4207">
                  <c:v>89.83846</c:v>
                </c:pt>
                <c:pt idx="4208">
                  <c:v>89.83763</c:v>
                </c:pt>
                <c:pt idx="4209">
                  <c:v>89.83685</c:v>
                </c:pt>
                <c:pt idx="4210">
                  <c:v>89.8361</c:v>
                </c:pt>
                <c:pt idx="4211">
                  <c:v>89.83540999999998</c:v>
                </c:pt>
                <c:pt idx="4212">
                  <c:v>89.83469</c:v>
                </c:pt>
                <c:pt idx="4213">
                  <c:v>89.83396</c:v>
                </c:pt>
                <c:pt idx="4214">
                  <c:v>89.83327000000001</c:v>
                </c:pt>
                <c:pt idx="4215">
                  <c:v>89.83258999999998</c:v>
                </c:pt>
                <c:pt idx="4216">
                  <c:v>89.83192</c:v>
                </c:pt>
                <c:pt idx="4217">
                  <c:v>89.83133999999998</c:v>
                </c:pt>
                <c:pt idx="4218">
                  <c:v>89.83061</c:v>
                </c:pt>
                <c:pt idx="4219">
                  <c:v>89.83001</c:v>
                </c:pt>
                <c:pt idx="4220">
                  <c:v>89.82953</c:v>
                </c:pt>
                <c:pt idx="4221">
                  <c:v>89.82894999999998</c:v>
                </c:pt>
                <c:pt idx="4222">
                  <c:v>89.82826999999997</c:v>
                </c:pt>
                <c:pt idx="4223">
                  <c:v>89.82762</c:v>
                </c:pt>
                <c:pt idx="4224">
                  <c:v>89.82692</c:v>
                </c:pt>
                <c:pt idx="4225">
                  <c:v>89.82613</c:v>
                </c:pt>
                <c:pt idx="4226">
                  <c:v>89.82522</c:v>
                </c:pt>
                <c:pt idx="4227">
                  <c:v>89.82441</c:v>
                </c:pt>
                <c:pt idx="4228">
                  <c:v>89.82362</c:v>
                </c:pt>
                <c:pt idx="4229">
                  <c:v>89.82280999999985</c:v>
                </c:pt>
                <c:pt idx="4230">
                  <c:v>89.82207999999908</c:v>
                </c:pt>
                <c:pt idx="4231">
                  <c:v>89.82143999999998</c:v>
                </c:pt>
                <c:pt idx="4232">
                  <c:v>89.82080999999998</c:v>
                </c:pt>
                <c:pt idx="4233">
                  <c:v>89.82029</c:v>
                </c:pt>
                <c:pt idx="4234">
                  <c:v>89.81933999999998</c:v>
                </c:pt>
                <c:pt idx="4235">
                  <c:v>89.81855</c:v>
                </c:pt>
                <c:pt idx="4236">
                  <c:v>89.81788</c:v>
                </c:pt>
                <c:pt idx="4237">
                  <c:v>89.81722</c:v>
                </c:pt>
                <c:pt idx="4238">
                  <c:v>89.8166</c:v>
                </c:pt>
                <c:pt idx="4239">
                  <c:v>89.81593</c:v>
                </c:pt>
                <c:pt idx="4240">
                  <c:v>89.81521</c:v>
                </c:pt>
                <c:pt idx="4241">
                  <c:v>89.81444</c:v>
                </c:pt>
                <c:pt idx="4242">
                  <c:v>89.81377</c:v>
                </c:pt>
                <c:pt idx="4243">
                  <c:v>89.81317</c:v>
                </c:pt>
                <c:pt idx="4244">
                  <c:v>89.81253</c:v>
                </c:pt>
                <c:pt idx="4245">
                  <c:v>89.81172</c:v>
                </c:pt>
                <c:pt idx="4246">
                  <c:v>89.81086</c:v>
                </c:pt>
                <c:pt idx="4247">
                  <c:v>89.8101</c:v>
                </c:pt>
                <c:pt idx="4248">
                  <c:v>89.80947</c:v>
                </c:pt>
                <c:pt idx="4249">
                  <c:v>89.80880999999998</c:v>
                </c:pt>
                <c:pt idx="4250">
                  <c:v>89.80806</c:v>
                </c:pt>
                <c:pt idx="4251">
                  <c:v>89.80727</c:v>
                </c:pt>
                <c:pt idx="4252">
                  <c:v>89.80652</c:v>
                </c:pt>
                <c:pt idx="4253">
                  <c:v>89.80587999999958</c:v>
                </c:pt>
                <c:pt idx="4254">
                  <c:v>89.80515</c:v>
                </c:pt>
                <c:pt idx="4255">
                  <c:v>89.80457000000001</c:v>
                </c:pt>
                <c:pt idx="4256">
                  <c:v>89.80386999999997</c:v>
                </c:pt>
                <c:pt idx="4257">
                  <c:v>89.8032</c:v>
                </c:pt>
                <c:pt idx="4258">
                  <c:v>89.80257999999998</c:v>
                </c:pt>
                <c:pt idx="4259">
                  <c:v>89.80196</c:v>
                </c:pt>
                <c:pt idx="4260">
                  <c:v>89.80117000000001</c:v>
                </c:pt>
                <c:pt idx="4261">
                  <c:v>89.80043999999998</c:v>
                </c:pt>
                <c:pt idx="4262">
                  <c:v>89.79982</c:v>
                </c:pt>
                <c:pt idx="4263">
                  <c:v>89.79899</c:v>
                </c:pt>
                <c:pt idx="4264">
                  <c:v>89.7982</c:v>
                </c:pt>
                <c:pt idx="4265">
                  <c:v>89.79747</c:v>
                </c:pt>
                <c:pt idx="4266">
                  <c:v>89.79678</c:v>
                </c:pt>
                <c:pt idx="4267">
                  <c:v>89.79608</c:v>
                </c:pt>
                <c:pt idx="4268">
                  <c:v>89.79535</c:v>
                </c:pt>
                <c:pt idx="4269">
                  <c:v>89.79469</c:v>
                </c:pt>
                <c:pt idx="4270">
                  <c:v>89.794</c:v>
                </c:pt>
                <c:pt idx="4271">
                  <c:v>89.79325</c:v>
                </c:pt>
                <c:pt idx="4272">
                  <c:v>89.79257000000001</c:v>
                </c:pt>
                <c:pt idx="4273">
                  <c:v>89.7919</c:v>
                </c:pt>
                <c:pt idx="4274">
                  <c:v>89.79122</c:v>
                </c:pt>
                <c:pt idx="4275">
                  <c:v>89.79053</c:v>
                </c:pt>
                <c:pt idx="4276">
                  <c:v>89.78987</c:v>
                </c:pt>
                <c:pt idx="4277">
                  <c:v>89.78922</c:v>
                </c:pt>
                <c:pt idx="4278">
                  <c:v>89.78847999999998</c:v>
                </c:pt>
                <c:pt idx="4279">
                  <c:v>89.78769</c:v>
                </c:pt>
                <c:pt idx="4280">
                  <c:v>89.78687999999998</c:v>
                </c:pt>
                <c:pt idx="4281">
                  <c:v>89.78615</c:v>
                </c:pt>
                <c:pt idx="4282">
                  <c:v>89.78539999999998</c:v>
                </c:pt>
                <c:pt idx="4283">
                  <c:v>89.78476</c:v>
                </c:pt>
                <c:pt idx="4284">
                  <c:v>89.78422</c:v>
                </c:pt>
                <c:pt idx="4285">
                  <c:v>89.78353000000001</c:v>
                </c:pt>
                <c:pt idx="4286">
                  <c:v>89.78281</c:v>
                </c:pt>
                <c:pt idx="4287">
                  <c:v>89.78214</c:v>
                </c:pt>
                <c:pt idx="4288">
                  <c:v>89.78148</c:v>
                </c:pt>
                <c:pt idx="4289">
                  <c:v>89.78076999999997</c:v>
                </c:pt>
                <c:pt idx="4290">
                  <c:v>89.78005</c:v>
                </c:pt>
                <c:pt idx="4291">
                  <c:v>89.77932</c:v>
                </c:pt>
                <c:pt idx="4292">
                  <c:v>89.77863</c:v>
                </c:pt>
                <c:pt idx="4293">
                  <c:v>89.77799</c:v>
                </c:pt>
                <c:pt idx="4294">
                  <c:v>89.77732</c:v>
                </c:pt>
                <c:pt idx="4295">
                  <c:v>89.7766</c:v>
                </c:pt>
                <c:pt idx="4296">
                  <c:v>89.77578999999928</c:v>
                </c:pt>
                <c:pt idx="4297">
                  <c:v>89.77498</c:v>
                </c:pt>
                <c:pt idx="4298">
                  <c:v>89.77419</c:v>
                </c:pt>
                <c:pt idx="4299">
                  <c:v>89.77346</c:v>
                </c:pt>
                <c:pt idx="4300">
                  <c:v>89.77275999999995</c:v>
                </c:pt>
                <c:pt idx="4301">
                  <c:v>89.77206999999998</c:v>
                </c:pt>
                <c:pt idx="4302">
                  <c:v>89.7713</c:v>
                </c:pt>
                <c:pt idx="4303">
                  <c:v>89.7706</c:v>
                </c:pt>
                <c:pt idx="4304">
                  <c:v>89.76987</c:v>
                </c:pt>
                <c:pt idx="4305">
                  <c:v>89.76912</c:v>
                </c:pt>
                <c:pt idx="4306">
                  <c:v>89.76842</c:v>
                </c:pt>
                <c:pt idx="4307">
                  <c:v>89.76775</c:v>
                </c:pt>
                <c:pt idx="4308">
                  <c:v>89.76711</c:v>
                </c:pt>
                <c:pt idx="4309">
                  <c:v>89.76638</c:v>
                </c:pt>
                <c:pt idx="4310">
                  <c:v>89.76559</c:v>
                </c:pt>
                <c:pt idx="4311">
                  <c:v>89.76474</c:v>
                </c:pt>
                <c:pt idx="4312">
                  <c:v>89.76395</c:v>
                </c:pt>
                <c:pt idx="4313">
                  <c:v>89.76318</c:v>
                </c:pt>
                <c:pt idx="4314">
                  <c:v>89.76247999999998</c:v>
                </c:pt>
                <c:pt idx="4315">
                  <c:v>89.76173</c:v>
                </c:pt>
                <c:pt idx="4316">
                  <c:v>89.761</c:v>
                </c:pt>
                <c:pt idx="4317">
                  <c:v>89.76025</c:v>
                </c:pt>
                <c:pt idx="4318">
                  <c:v>89.75955</c:v>
                </c:pt>
                <c:pt idx="4319">
                  <c:v>89.75887999999995</c:v>
                </c:pt>
                <c:pt idx="4320">
                  <c:v>89.75828</c:v>
                </c:pt>
                <c:pt idx="4321">
                  <c:v>89.75753</c:v>
                </c:pt>
                <c:pt idx="4322">
                  <c:v>89.75673999999998</c:v>
                </c:pt>
                <c:pt idx="4323">
                  <c:v>89.75597999999998</c:v>
                </c:pt>
                <c:pt idx="4324">
                  <c:v>89.75529</c:v>
                </c:pt>
                <c:pt idx="4325">
                  <c:v>89.75456</c:v>
                </c:pt>
                <c:pt idx="4326">
                  <c:v>89.75383999999998</c:v>
                </c:pt>
                <c:pt idx="4327">
                  <c:v>89.75303</c:v>
                </c:pt>
                <c:pt idx="4328">
                  <c:v>89.75226</c:v>
                </c:pt>
                <c:pt idx="4329">
                  <c:v>89.75147000000001</c:v>
                </c:pt>
                <c:pt idx="4330">
                  <c:v>89.75077999999998</c:v>
                </c:pt>
                <c:pt idx="4331">
                  <c:v>89.75018</c:v>
                </c:pt>
                <c:pt idx="4332">
                  <c:v>89.74958</c:v>
                </c:pt>
                <c:pt idx="4333">
                  <c:v>89.74889</c:v>
                </c:pt>
                <c:pt idx="4334">
                  <c:v>89.7481</c:v>
                </c:pt>
                <c:pt idx="4335">
                  <c:v>89.74736</c:v>
                </c:pt>
                <c:pt idx="4336">
                  <c:v>89.74661</c:v>
                </c:pt>
                <c:pt idx="4337">
                  <c:v>89.74588</c:v>
                </c:pt>
                <c:pt idx="4338">
                  <c:v>89.7452</c:v>
                </c:pt>
                <c:pt idx="4339">
                  <c:v>89.74449</c:v>
                </c:pt>
                <c:pt idx="4340">
                  <c:v>89.74376</c:v>
                </c:pt>
                <c:pt idx="4341">
                  <c:v>89.74304</c:v>
                </c:pt>
                <c:pt idx="4342">
                  <c:v>89.74235</c:v>
                </c:pt>
                <c:pt idx="4343">
                  <c:v>89.7416</c:v>
                </c:pt>
                <c:pt idx="4344">
                  <c:v>89.74086</c:v>
                </c:pt>
                <c:pt idx="4345">
                  <c:v>89.74009</c:v>
                </c:pt>
                <c:pt idx="4346">
                  <c:v>89.73924</c:v>
                </c:pt>
                <c:pt idx="4347">
                  <c:v>89.73847</c:v>
                </c:pt>
                <c:pt idx="4348">
                  <c:v>89.73762</c:v>
                </c:pt>
                <c:pt idx="4349">
                  <c:v>89.73683000000001</c:v>
                </c:pt>
                <c:pt idx="4350">
                  <c:v>89.73604</c:v>
                </c:pt>
                <c:pt idx="4351">
                  <c:v>89.73531</c:v>
                </c:pt>
                <c:pt idx="4352">
                  <c:v>89.7345</c:v>
                </c:pt>
                <c:pt idx="4353">
                  <c:v>89.73382</c:v>
                </c:pt>
                <c:pt idx="4354">
                  <c:v>89.73317</c:v>
                </c:pt>
                <c:pt idx="4355">
                  <c:v>89.73245</c:v>
                </c:pt>
                <c:pt idx="4356">
                  <c:v>89.73176</c:v>
                </c:pt>
                <c:pt idx="4357">
                  <c:v>89.73108</c:v>
                </c:pt>
                <c:pt idx="4358">
                  <c:v>89.73037</c:v>
                </c:pt>
                <c:pt idx="4359">
                  <c:v>89.72958</c:v>
                </c:pt>
                <c:pt idx="4360">
                  <c:v>89.72880999999998</c:v>
                </c:pt>
                <c:pt idx="4361">
                  <c:v>89.72815</c:v>
                </c:pt>
                <c:pt idx="4362">
                  <c:v>89.72746</c:v>
                </c:pt>
                <c:pt idx="4363">
                  <c:v>89.72669</c:v>
                </c:pt>
                <c:pt idx="4364">
                  <c:v>89.72583999999995</c:v>
                </c:pt>
                <c:pt idx="4365">
                  <c:v>89.72517999999998</c:v>
                </c:pt>
                <c:pt idx="4366">
                  <c:v>89.72451</c:v>
                </c:pt>
                <c:pt idx="4367">
                  <c:v>89.72378999999998</c:v>
                </c:pt>
                <c:pt idx="4368">
                  <c:v>89.723</c:v>
                </c:pt>
                <c:pt idx="4369">
                  <c:v>89.72225</c:v>
                </c:pt>
                <c:pt idx="4370">
                  <c:v>89.72137999999998</c:v>
                </c:pt>
                <c:pt idx="4371">
                  <c:v>89.72053</c:v>
                </c:pt>
                <c:pt idx="4372">
                  <c:v>89.71974</c:v>
                </c:pt>
                <c:pt idx="4373">
                  <c:v>89.71897000000001</c:v>
                </c:pt>
                <c:pt idx="4374">
                  <c:v>89.7182</c:v>
                </c:pt>
                <c:pt idx="4375">
                  <c:v>89.71758</c:v>
                </c:pt>
                <c:pt idx="4376">
                  <c:v>89.71691</c:v>
                </c:pt>
                <c:pt idx="4377">
                  <c:v>89.71627</c:v>
                </c:pt>
                <c:pt idx="4378">
                  <c:v>89.71552</c:v>
                </c:pt>
                <c:pt idx="4379">
                  <c:v>89.71467000000002</c:v>
                </c:pt>
                <c:pt idx="4380">
                  <c:v>89.71382</c:v>
                </c:pt>
                <c:pt idx="4381">
                  <c:v>89.71303</c:v>
                </c:pt>
                <c:pt idx="4382">
                  <c:v>89.71230000000001</c:v>
                </c:pt>
                <c:pt idx="4383">
                  <c:v>89.71153</c:v>
                </c:pt>
                <c:pt idx="4384">
                  <c:v>89.71074</c:v>
                </c:pt>
                <c:pt idx="4385">
                  <c:v>89.71006</c:v>
                </c:pt>
                <c:pt idx="4386">
                  <c:v>89.70939</c:v>
                </c:pt>
                <c:pt idx="4387">
                  <c:v>89.70865</c:v>
                </c:pt>
                <c:pt idx="4388">
                  <c:v>89.70782</c:v>
                </c:pt>
                <c:pt idx="4389">
                  <c:v>89.70707</c:v>
                </c:pt>
                <c:pt idx="4390">
                  <c:v>89.70633999999998</c:v>
                </c:pt>
                <c:pt idx="4391">
                  <c:v>89.70572</c:v>
                </c:pt>
                <c:pt idx="4392">
                  <c:v>89.70493</c:v>
                </c:pt>
                <c:pt idx="4393">
                  <c:v>89.70422</c:v>
                </c:pt>
                <c:pt idx="4394">
                  <c:v>89.70341</c:v>
                </c:pt>
                <c:pt idx="4395">
                  <c:v>89.70267000000001</c:v>
                </c:pt>
                <c:pt idx="4396">
                  <c:v>89.7019</c:v>
                </c:pt>
                <c:pt idx="4397">
                  <c:v>89.70113</c:v>
                </c:pt>
                <c:pt idx="4398">
                  <c:v>89.70036</c:v>
                </c:pt>
                <c:pt idx="4399">
                  <c:v>89.69963000000001</c:v>
                </c:pt>
                <c:pt idx="4400">
                  <c:v>89.69894999999998</c:v>
                </c:pt>
                <c:pt idx="4401">
                  <c:v>89.69822</c:v>
                </c:pt>
                <c:pt idx="4402">
                  <c:v>89.69743</c:v>
                </c:pt>
                <c:pt idx="4403">
                  <c:v>89.69662</c:v>
                </c:pt>
                <c:pt idx="4404">
                  <c:v>89.69578999999958</c:v>
                </c:pt>
                <c:pt idx="4405">
                  <c:v>89.695</c:v>
                </c:pt>
                <c:pt idx="4406">
                  <c:v>89.69428</c:v>
                </c:pt>
                <c:pt idx="4407">
                  <c:v>89.69351</c:v>
                </c:pt>
                <c:pt idx="4408">
                  <c:v>89.69282</c:v>
                </c:pt>
                <c:pt idx="4409">
                  <c:v>89.69216</c:v>
                </c:pt>
                <c:pt idx="4410">
                  <c:v>89.69143</c:v>
                </c:pt>
                <c:pt idx="4411">
                  <c:v>89.6907</c:v>
                </c:pt>
                <c:pt idx="4412">
                  <c:v>89.68984999999998</c:v>
                </c:pt>
                <c:pt idx="4413">
                  <c:v>89.68893999999958</c:v>
                </c:pt>
                <c:pt idx="4414">
                  <c:v>89.68816999999998</c:v>
                </c:pt>
                <c:pt idx="4415">
                  <c:v>89.68739999999998</c:v>
                </c:pt>
                <c:pt idx="4416">
                  <c:v>89.68671999999998</c:v>
                </c:pt>
                <c:pt idx="4417">
                  <c:v>89.68592999999998</c:v>
                </c:pt>
                <c:pt idx="4418">
                  <c:v>89.68519999999998</c:v>
                </c:pt>
                <c:pt idx="4419">
                  <c:v>89.68448999999998</c:v>
                </c:pt>
                <c:pt idx="4420">
                  <c:v>89.68384999999998</c:v>
                </c:pt>
                <c:pt idx="4421">
                  <c:v>89.68325</c:v>
                </c:pt>
                <c:pt idx="4422">
                  <c:v>89.68255999999998</c:v>
                </c:pt>
                <c:pt idx="4423">
                  <c:v>89.68176999999998</c:v>
                </c:pt>
                <c:pt idx="4424">
                  <c:v>89.68096</c:v>
                </c:pt>
                <c:pt idx="4425">
                  <c:v>89.68016999999997</c:v>
                </c:pt>
                <c:pt idx="4426">
                  <c:v>89.67946999999998</c:v>
                </c:pt>
                <c:pt idx="4427">
                  <c:v>89.67869999999998</c:v>
                </c:pt>
                <c:pt idx="4428">
                  <c:v>89.67792999999997</c:v>
                </c:pt>
                <c:pt idx="4429">
                  <c:v>89.67707999999975</c:v>
                </c:pt>
                <c:pt idx="4430">
                  <c:v>89.67622999999997</c:v>
                </c:pt>
                <c:pt idx="4431">
                  <c:v>89.67553999999878</c:v>
                </c:pt>
                <c:pt idx="4432">
                  <c:v>89.67483999999965</c:v>
                </c:pt>
                <c:pt idx="4433">
                  <c:v>89.67408999999998</c:v>
                </c:pt>
                <c:pt idx="4434">
                  <c:v>89.67335999999958</c:v>
                </c:pt>
                <c:pt idx="4435">
                  <c:v>89.67271999999878</c:v>
                </c:pt>
                <c:pt idx="4436">
                  <c:v>89.67204999999888</c:v>
                </c:pt>
                <c:pt idx="4437">
                  <c:v>89.67130999999995</c:v>
                </c:pt>
                <c:pt idx="4438">
                  <c:v>89.67055999999998</c:v>
                </c:pt>
                <c:pt idx="4439">
                  <c:v>89.66981</c:v>
                </c:pt>
                <c:pt idx="4440">
                  <c:v>89.66896</c:v>
                </c:pt>
                <c:pt idx="4441">
                  <c:v>89.66814999999998</c:v>
                </c:pt>
                <c:pt idx="4442">
                  <c:v>89.66737999999998</c:v>
                </c:pt>
                <c:pt idx="4443">
                  <c:v>89.66659</c:v>
                </c:pt>
                <c:pt idx="4444">
                  <c:v>89.66583999999965</c:v>
                </c:pt>
                <c:pt idx="4445">
                  <c:v>89.66502999999997</c:v>
                </c:pt>
                <c:pt idx="4446">
                  <c:v>89.66427</c:v>
                </c:pt>
                <c:pt idx="4447">
                  <c:v>89.66338999999998</c:v>
                </c:pt>
                <c:pt idx="4448">
                  <c:v>89.66247999999958</c:v>
                </c:pt>
                <c:pt idx="4449">
                  <c:v>89.66163</c:v>
                </c:pt>
                <c:pt idx="4450">
                  <c:v>89.66092</c:v>
                </c:pt>
                <c:pt idx="4451">
                  <c:v>89.66017</c:v>
                </c:pt>
                <c:pt idx="4452">
                  <c:v>89.65940999999998</c:v>
                </c:pt>
                <c:pt idx="4453">
                  <c:v>89.65877999999817</c:v>
                </c:pt>
                <c:pt idx="4454">
                  <c:v>89.65813999999965</c:v>
                </c:pt>
                <c:pt idx="4455">
                  <c:v>89.65743</c:v>
                </c:pt>
                <c:pt idx="4456">
                  <c:v>89.65669</c:v>
                </c:pt>
                <c:pt idx="4457">
                  <c:v>89.65576999999985</c:v>
                </c:pt>
                <c:pt idx="4458">
                  <c:v>89.65497999999998</c:v>
                </c:pt>
                <c:pt idx="4459">
                  <c:v>89.65428</c:v>
                </c:pt>
                <c:pt idx="4460">
                  <c:v>89.65352999999997</c:v>
                </c:pt>
                <c:pt idx="4461">
                  <c:v>89.65273999999835</c:v>
                </c:pt>
                <c:pt idx="4462">
                  <c:v>89.65200999999985</c:v>
                </c:pt>
                <c:pt idx="4463">
                  <c:v>89.65094999999998</c:v>
                </c:pt>
                <c:pt idx="4464">
                  <c:v>89.65029</c:v>
                </c:pt>
                <c:pt idx="4465">
                  <c:v>89.64967</c:v>
                </c:pt>
                <c:pt idx="4466">
                  <c:v>89.64893999999998</c:v>
                </c:pt>
                <c:pt idx="4467">
                  <c:v>89.64819</c:v>
                </c:pt>
                <c:pt idx="4468">
                  <c:v>89.64744</c:v>
                </c:pt>
                <c:pt idx="4469">
                  <c:v>89.64687999999998</c:v>
                </c:pt>
                <c:pt idx="4470">
                  <c:v>89.64614</c:v>
                </c:pt>
                <c:pt idx="4471">
                  <c:v>89.64516</c:v>
                </c:pt>
                <c:pt idx="4472">
                  <c:v>89.64447000000001</c:v>
                </c:pt>
                <c:pt idx="4473">
                  <c:v>89.64371</c:v>
                </c:pt>
                <c:pt idx="4474">
                  <c:v>89.64302</c:v>
                </c:pt>
                <c:pt idx="4475">
                  <c:v>89.64221</c:v>
                </c:pt>
                <c:pt idx="4476">
                  <c:v>89.64153</c:v>
                </c:pt>
                <c:pt idx="4477">
                  <c:v>89.64099</c:v>
                </c:pt>
                <c:pt idx="4478">
                  <c:v>89.6403</c:v>
                </c:pt>
                <c:pt idx="4479">
                  <c:v>89.63951</c:v>
                </c:pt>
                <c:pt idx="4480">
                  <c:v>89.63877999999868</c:v>
                </c:pt>
                <c:pt idx="4481">
                  <c:v>89.63789</c:v>
                </c:pt>
                <c:pt idx="4482">
                  <c:v>89.63702</c:v>
                </c:pt>
                <c:pt idx="4483">
                  <c:v>89.63613</c:v>
                </c:pt>
                <c:pt idx="4484">
                  <c:v>89.63537999999878</c:v>
                </c:pt>
                <c:pt idx="4485">
                  <c:v>89.63467</c:v>
                </c:pt>
                <c:pt idx="4486">
                  <c:v>89.63387999999995</c:v>
                </c:pt>
                <c:pt idx="4487">
                  <c:v>89.6332</c:v>
                </c:pt>
                <c:pt idx="4488">
                  <c:v>89.63246999999998</c:v>
                </c:pt>
                <c:pt idx="4489">
                  <c:v>89.63173999999998</c:v>
                </c:pt>
                <c:pt idx="4490">
                  <c:v>89.63106</c:v>
                </c:pt>
                <c:pt idx="4491">
                  <c:v>89.63030999999998</c:v>
                </c:pt>
                <c:pt idx="4492">
                  <c:v>89.62947999999938</c:v>
                </c:pt>
                <c:pt idx="4493">
                  <c:v>89.62862999999998</c:v>
                </c:pt>
                <c:pt idx="4494">
                  <c:v>89.62787999999995</c:v>
                </c:pt>
                <c:pt idx="4495">
                  <c:v>89.62713</c:v>
                </c:pt>
                <c:pt idx="4496">
                  <c:v>89.62633999999898</c:v>
                </c:pt>
                <c:pt idx="4497">
                  <c:v>89.62554999999985</c:v>
                </c:pt>
                <c:pt idx="4498">
                  <c:v>89.62484999999998</c:v>
                </c:pt>
                <c:pt idx="4499">
                  <c:v>89.62413999999998</c:v>
                </c:pt>
                <c:pt idx="4500">
                  <c:v>89.62336999999998</c:v>
                </c:pt>
                <c:pt idx="4501">
                  <c:v>89.62255999999998</c:v>
                </c:pt>
                <c:pt idx="4502">
                  <c:v>89.62186</c:v>
                </c:pt>
                <c:pt idx="4503">
                  <c:v>89.62113</c:v>
                </c:pt>
                <c:pt idx="4504">
                  <c:v>89.62042999999998</c:v>
                </c:pt>
                <c:pt idx="4505">
                  <c:v>89.61959</c:v>
                </c:pt>
                <c:pt idx="4506">
                  <c:v>89.61873999999958</c:v>
                </c:pt>
                <c:pt idx="4507">
                  <c:v>89.61791</c:v>
                </c:pt>
                <c:pt idx="4508">
                  <c:v>89.61725</c:v>
                </c:pt>
                <c:pt idx="4509">
                  <c:v>89.6165</c:v>
                </c:pt>
                <c:pt idx="4510">
                  <c:v>89.61586</c:v>
                </c:pt>
                <c:pt idx="4511">
                  <c:v>89.61513</c:v>
                </c:pt>
                <c:pt idx="4512">
                  <c:v>89.61444</c:v>
                </c:pt>
                <c:pt idx="4513">
                  <c:v>89.61372</c:v>
                </c:pt>
                <c:pt idx="4514">
                  <c:v>89.61303</c:v>
                </c:pt>
                <c:pt idx="4515">
                  <c:v>89.61216</c:v>
                </c:pt>
                <c:pt idx="4516">
                  <c:v>89.61129</c:v>
                </c:pt>
                <c:pt idx="4517">
                  <c:v>89.61054</c:v>
                </c:pt>
                <c:pt idx="4518">
                  <c:v>89.60978999999985</c:v>
                </c:pt>
                <c:pt idx="4519">
                  <c:v>89.60889999999995</c:v>
                </c:pt>
                <c:pt idx="4520">
                  <c:v>89.60806999999998</c:v>
                </c:pt>
                <c:pt idx="4521">
                  <c:v>89.6073</c:v>
                </c:pt>
                <c:pt idx="4522">
                  <c:v>89.60651</c:v>
                </c:pt>
                <c:pt idx="4523">
                  <c:v>89.60579999999958</c:v>
                </c:pt>
                <c:pt idx="4524">
                  <c:v>89.60512</c:v>
                </c:pt>
                <c:pt idx="4525">
                  <c:v>89.60438999999998</c:v>
                </c:pt>
                <c:pt idx="4526">
                  <c:v>89.60372999999998</c:v>
                </c:pt>
                <c:pt idx="4527">
                  <c:v>89.60299999999998</c:v>
                </c:pt>
                <c:pt idx="4528">
                  <c:v>89.60212999999997</c:v>
                </c:pt>
                <c:pt idx="4529">
                  <c:v>89.60126</c:v>
                </c:pt>
                <c:pt idx="4530">
                  <c:v>89.60035999999998</c:v>
                </c:pt>
                <c:pt idx="4531">
                  <c:v>89.59947</c:v>
                </c:pt>
                <c:pt idx="4532">
                  <c:v>89.59868</c:v>
                </c:pt>
                <c:pt idx="4533">
                  <c:v>89.59787</c:v>
                </c:pt>
                <c:pt idx="4534">
                  <c:v>89.59719</c:v>
                </c:pt>
                <c:pt idx="4535">
                  <c:v>89.59665</c:v>
                </c:pt>
                <c:pt idx="4536">
                  <c:v>89.59592</c:v>
                </c:pt>
                <c:pt idx="4537">
                  <c:v>89.59507</c:v>
                </c:pt>
                <c:pt idx="4538">
                  <c:v>89.59432</c:v>
                </c:pt>
                <c:pt idx="4539">
                  <c:v>89.59353</c:v>
                </c:pt>
                <c:pt idx="4540">
                  <c:v>89.59268</c:v>
                </c:pt>
                <c:pt idx="4541">
                  <c:v>89.59189</c:v>
                </c:pt>
                <c:pt idx="4542">
                  <c:v>89.59106</c:v>
                </c:pt>
                <c:pt idx="4543">
                  <c:v>89.59013</c:v>
                </c:pt>
                <c:pt idx="4544">
                  <c:v>89.58923</c:v>
                </c:pt>
                <c:pt idx="4545">
                  <c:v>89.58851</c:v>
                </c:pt>
                <c:pt idx="4546">
                  <c:v>89.58776</c:v>
                </c:pt>
                <c:pt idx="4547">
                  <c:v>89.58716</c:v>
                </c:pt>
                <c:pt idx="4548">
                  <c:v>89.58651</c:v>
                </c:pt>
                <c:pt idx="4549">
                  <c:v>89.58586999999998</c:v>
                </c:pt>
                <c:pt idx="4550">
                  <c:v>89.58513999999998</c:v>
                </c:pt>
                <c:pt idx="4551">
                  <c:v>89.58427</c:v>
                </c:pt>
                <c:pt idx="4552">
                  <c:v>89.58339999999998</c:v>
                </c:pt>
                <c:pt idx="4553">
                  <c:v>89.58272999999998</c:v>
                </c:pt>
                <c:pt idx="4554">
                  <c:v>89.58202999999997</c:v>
                </c:pt>
                <c:pt idx="4555">
                  <c:v>89.58133999999998</c:v>
                </c:pt>
                <c:pt idx="4556">
                  <c:v>89.58057</c:v>
                </c:pt>
                <c:pt idx="4557">
                  <c:v>89.57979999999995</c:v>
                </c:pt>
                <c:pt idx="4558">
                  <c:v>89.57907999999995</c:v>
                </c:pt>
                <c:pt idx="4559">
                  <c:v>89.57817999999965</c:v>
                </c:pt>
                <c:pt idx="4560">
                  <c:v>89.57734999999998</c:v>
                </c:pt>
                <c:pt idx="4561">
                  <c:v>89.57657999999998</c:v>
                </c:pt>
                <c:pt idx="4562">
                  <c:v>89.57595999999998</c:v>
                </c:pt>
                <c:pt idx="4563">
                  <c:v>89.57526</c:v>
                </c:pt>
                <c:pt idx="4564">
                  <c:v>89.57448999999998</c:v>
                </c:pt>
                <c:pt idx="4565">
                  <c:v>89.57366</c:v>
                </c:pt>
                <c:pt idx="4566">
                  <c:v>89.57288999999938</c:v>
                </c:pt>
                <c:pt idx="4567">
                  <c:v>89.57207999999908</c:v>
                </c:pt>
                <c:pt idx="4568">
                  <c:v>89.57134999999998</c:v>
                </c:pt>
                <c:pt idx="4569">
                  <c:v>89.5706</c:v>
                </c:pt>
                <c:pt idx="4570">
                  <c:v>89.56986</c:v>
                </c:pt>
                <c:pt idx="4571">
                  <c:v>89.56919</c:v>
                </c:pt>
                <c:pt idx="4572">
                  <c:v>89.56842</c:v>
                </c:pt>
                <c:pt idx="4573">
                  <c:v>89.56759</c:v>
                </c:pt>
                <c:pt idx="4574">
                  <c:v>89.5668</c:v>
                </c:pt>
                <c:pt idx="4575">
                  <c:v>89.56591</c:v>
                </c:pt>
                <c:pt idx="4576">
                  <c:v>89.5651</c:v>
                </c:pt>
                <c:pt idx="4577">
                  <c:v>89.56431</c:v>
                </c:pt>
                <c:pt idx="4578">
                  <c:v>89.56352</c:v>
                </c:pt>
                <c:pt idx="4579">
                  <c:v>89.56263000000001</c:v>
                </c:pt>
                <c:pt idx="4580">
                  <c:v>89.56184</c:v>
                </c:pt>
                <c:pt idx="4581">
                  <c:v>89.56107</c:v>
                </c:pt>
                <c:pt idx="4582">
                  <c:v>89.56033999999998</c:v>
                </c:pt>
                <c:pt idx="4583">
                  <c:v>89.5596</c:v>
                </c:pt>
                <c:pt idx="4584">
                  <c:v>89.55882999999998</c:v>
                </c:pt>
                <c:pt idx="4585">
                  <c:v>89.55803999999995</c:v>
                </c:pt>
                <c:pt idx="4586">
                  <c:v>89.55729</c:v>
                </c:pt>
                <c:pt idx="4587">
                  <c:v>89.55652</c:v>
                </c:pt>
                <c:pt idx="4588">
                  <c:v>89.55561</c:v>
                </c:pt>
                <c:pt idx="4589">
                  <c:v>89.55473999999998</c:v>
                </c:pt>
                <c:pt idx="4590">
                  <c:v>89.55393</c:v>
                </c:pt>
                <c:pt idx="4591">
                  <c:v>89.55301</c:v>
                </c:pt>
                <c:pt idx="4592">
                  <c:v>89.55207999999975</c:v>
                </c:pt>
                <c:pt idx="4593">
                  <c:v>89.55131</c:v>
                </c:pt>
                <c:pt idx="4594">
                  <c:v>89.55072999999997</c:v>
                </c:pt>
                <c:pt idx="4595">
                  <c:v>89.55011</c:v>
                </c:pt>
                <c:pt idx="4596">
                  <c:v>89.54944</c:v>
                </c:pt>
                <c:pt idx="4597">
                  <c:v>89.54886</c:v>
                </c:pt>
                <c:pt idx="4598">
                  <c:v>89.5482</c:v>
                </c:pt>
                <c:pt idx="4599">
                  <c:v>89.54749</c:v>
                </c:pt>
                <c:pt idx="4600">
                  <c:v>89.54678</c:v>
                </c:pt>
                <c:pt idx="4601">
                  <c:v>89.54587</c:v>
                </c:pt>
                <c:pt idx="4602">
                  <c:v>89.54496</c:v>
                </c:pt>
                <c:pt idx="4603">
                  <c:v>89.54408</c:v>
                </c:pt>
                <c:pt idx="4604">
                  <c:v>89.54344</c:v>
                </c:pt>
                <c:pt idx="4605">
                  <c:v>89.5428</c:v>
                </c:pt>
                <c:pt idx="4606">
                  <c:v>89.54213</c:v>
                </c:pt>
                <c:pt idx="4607">
                  <c:v>89.5414</c:v>
                </c:pt>
                <c:pt idx="4608">
                  <c:v>89.5407</c:v>
                </c:pt>
                <c:pt idx="4609">
                  <c:v>89.5401</c:v>
                </c:pt>
                <c:pt idx="4610">
                  <c:v>89.53937</c:v>
                </c:pt>
                <c:pt idx="4611">
                  <c:v>89.53856</c:v>
                </c:pt>
                <c:pt idx="4612">
                  <c:v>89.53756</c:v>
                </c:pt>
                <c:pt idx="4613">
                  <c:v>89.53659</c:v>
                </c:pt>
                <c:pt idx="4614">
                  <c:v>89.53567</c:v>
                </c:pt>
                <c:pt idx="4615">
                  <c:v>89.5347</c:v>
                </c:pt>
                <c:pt idx="4616">
                  <c:v>89.53382</c:v>
                </c:pt>
                <c:pt idx="4617">
                  <c:v>89.53308</c:v>
                </c:pt>
                <c:pt idx="4618">
                  <c:v>89.53238999999998</c:v>
                </c:pt>
                <c:pt idx="4619">
                  <c:v>89.53171</c:v>
                </c:pt>
                <c:pt idx="4620">
                  <c:v>89.531</c:v>
                </c:pt>
                <c:pt idx="4621">
                  <c:v>89.53027</c:v>
                </c:pt>
                <c:pt idx="4622">
                  <c:v>89.5295</c:v>
                </c:pt>
                <c:pt idx="4623">
                  <c:v>89.52877999999878</c:v>
                </c:pt>
                <c:pt idx="4624">
                  <c:v>89.52799</c:v>
                </c:pt>
                <c:pt idx="4625">
                  <c:v>89.52697</c:v>
                </c:pt>
                <c:pt idx="4626">
                  <c:v>89.52616</c:v>
                </c:pt>
                <c:pt idx="4627">
                  <c:v>89.52547999999948</c:v>
                </c:pt>
                <c:pt idx="4628">
                  <c:v>89.52469</c:v>
                </c:pt>
                <c:pt idx="4629">
                  <c:v>89.52378999999995</c:v>
                </c:pt>
                <c:pt idx="4630">
                  <c:v>89.52297999999985</c:v>
                </c:pt>
                <c:pt idx="4631">
                  <c:v>89.52221</c:v>
                </c:pt>
                <c:pt idx="4632">
                  <c:v>89.52163</c:v>
                </c:pt>
                <c:pt idx="4633">
                  <c:v>89.52086999999997</c:v>
                </c:pt>
                <c:pt idx="4634">
                  <c:v>89.5202</c:v>
                </c:pt>
                <c:pt idx="4635">
                  <c:v>89.51945</c:v>
                </c:pt>
                <c:pt idx="4636">
                  <c:v>89.51862</c:v>
                </c:pt>
                <c:pt idx="4637">
                  <c:v>89.51781</c:v>
                </c:pt>
                <c:pt idx="4638">
                  <c:v>89.51704</c:v>
                </c:pt>
                <c:pt idx="4639">
                  <c:v>89.51623</c:v>
                </c:pt>
                <c:pt idx="4640">
                  <c:v>89.51536</c:v>
                </c:pt>
                <c:pt idx="4641">
                  <c:v>89.51451</c:v>
                </c:pt>
                <c:pt idx="4642">
                  <c:v>89.51362</c:v>
                </c:pt>
                <c:pt idx="4643">
                  <c:v>89.51281</c:v>
                </c:pt>
                <c:pt idx="4644">
                  <c:v>89.51196</c:v>
                </c:pt>
                <c:pt idx="4645">
                  <c:v>89.51113</c:v>
                </c:pt>
                <c:pt idx="4646">
                  <c:v>89.51032</c:v>
                </c:pt>
                <c:pt idx="4647">
                  <c:v>89.50951</c:v>
                </c:pt>
                <c:pt idx="4648">
                  <c:v>89.50865</c:v>
                </c:pt>
                <c:pt idx="4649">
                  <c:v>89.5078</c:v>
                </c:pt>
                <c:pt idx="4650">
                  <c:v>89.5071</c:v>
                </c:pt>
                <c:pt idx="4651">
                  <c:v>89.50641</c:v>
                </c:pt>
                <c:pt idx="4652">
                  <c:v>89.50578999999995</c:v>
                </c:pt>
                <c:pt idx="4653">
                  <c:v>89.50527</c:v>
                </c:pt>
                <c:pt idx="4654">
                  <c:v>89.50467</c:v>
                </c:pt>
                <c:pt idx="4655">
                  <c:v>89.50386</c:v>
                </c:pt>
                <c:pt idx="4656">
                  <c:v>89.50297999999998</c:v>
                </c:pt>
                <c:pt idx="4657">
                  <c:v>89.50204999999998</c:v>
                </c:pt>
                <c:pt idx="4658">
                  <c:v>89.50114</c:v>
                </c:pt>
                <c:pt idx="4659">
                  <c:v>89.5002</c:v>
                </c:pt>
                <c:pt idx="4660">
                  <c:v>89.49933</c:v>
                </c:pt>
                <c:pt idx="4661">
                  <c:v>89.49839</c:v>
                </c:pt>
                <c:pt idx="4662">
                  <c:v>89.49761</c:v>
                </c:pt>
                <c:pt idx="4663">
                  <c:v>89.49692</c:v>
                </c:pt>
                <c:pt idx="4664">
                  <c:v>89.49619</c:v>
                </c:pt>
                <c:pt idx="4665">
                  <c:v>89.49534</c:v>
                </c:pt>
                <c:pt idx="4666">
                  <c:v>89.49428</c:v>
                </c:pt>
                <c:pt idx="4667">
                  <c:v>89.49331</c:v>
                </c:pt>
                <c:pt idx="4668">
                  <c:v>89.49256</c:v>
                </c:pt>
                <c:pt idx="4669">
                  <c:v>89.49198</c:v>
                </c:pt>
                <c:pt idx="4670">
                  <c:v>89.49129</c:v>
                </c:pt>
                <c:pt idx="4671">
                  <c:v>89.49046</c:v>
                </c:pt>
                <c:pt idx="4672">
                  <c:v>89.48951</c:v>
                </c:pt>
                <c:pt idx="4673">
                  <c:v>89.48853</c:v>
                </c:pt>
                <c:pt idx="4674">
                  <c:v>89.4876</c:v>
                </c:pt>
                <c:pt idx="4675">
                  <c:v>89.48664</c:v>
                </c:pt>
                <c:pt idx="4676">
                  <c:v>89.48570999999998</c:v>
                </c:pt>
                <c:pt idx="4677">
                  <c:v>89.48475</c:v>
                </c:pt>
                <c:pt idx="4678">
                  <c:v>89.48396</c:v>
                </c:pt>
                <c:pt idx="4679">
                  <c:v>89.48315</c:v>
                </c:pt>
                <c:pt idx="4680">
                  <c:v>89.48243999999998</c:v>
                </c:pt>
                <c:pt idx="4681">
                  <c:v>89.48188</c:v>
                </c:pt>
                <c:pt idx="4682">
                  <c:v>89.48116</c:v>
                </c:pt>
                <c:pt idx="4683">
                  <c:v>89.48041</c:v>
                </c:pt>
                <c:pt idx="4684">
                  <c:v>89.47966</c:v>
                </c:pt>
                <c:pt idx="4685">
                  <c:v>89.47882999999997</c:v>
                </c:pt>
                <c:pt idx="4686">
                  <c:v>89.478</c:v>
                </c:pt>
                <c:pt idx="4687">
                  <c:v>89.47721</c:v>
                </c:pt>
                <c:pt idx="4688">
                  <c:v>89.47633999999998</c:v>
                </c:pt>
                <c:pt idx="4689">
                  <c:v>89.47539999999998</c:v>
                </c:pt>
                <c:pt idx="4690">
                  <c:v>89.47455</c:v>
                </c:pt>
                <c:pt idx="4691">
                  <c:v>89.47364</c:v>
                </c:pt>
                <c:pt idx="4692">
                  <c:v>89.47267999999998</c:v>
                </c:pt>
                <c:pt idx="4693">
                  <c:v>89.47183</c:v>
                </c:pt>
                <c:pt idx="4694">
                  <c:v>89.47096</c:v>
                </c:pt>
                <c:pt idx="4695">
                  <c:v>89.47007</c:v>
                </c:pt>
                <c:pt idx="4696">
                  <c:v>89.46922</c:v>
                </c:pt>
                <c:pt idx="4697">
                  <c:v>89.46832</c:v>
                </c:pt>
                <c:pt idx="4698">
                  <c:v>89.46753</c:v>
                </c:pt>
                <c:pt idx="4699">
                  <c:v>89.46693</c:v>
                </c:pt>
                <c:pt idx="4700">
                  <c:v>89.46635</c:v>
                </c:pt>
                <c:pt idx="4701">
                  <c:v>89.46569</c:v>
                </c:pt>
                <c:pt idx="4702">
                  <c:v>89.46498</c:v>
                </c:pt>
                <c:pt idx="4703">
                  <c:v>89.46409</c:v>
                </c:pt>
                <c:pt idx="4704">
                  <c:v>89.46323</c:v>
                </c:pt>
                <c:pt idx="4705">
                  <c:v>89.46242</c:v>
                </c:pt>
                <c:pt idx="4706">
                  <c:v>89.46145</c:v>
                </c:pt>
                <c:pt idx="4707">
                  <c:v>89.46058</c:v>
                </c:pt>
                <c:pt idx="4708">
                  <c:v>89.45964</c:v>
                </c:pt>
                <c:pt idx="4709">
                  <c:v>89.45870999999998</c:v>
                </c:pt>
                <c:pt idx="4710">
                  <c:v>89.45786</c:v>
                </c:pt>
                <c:pt idx="4711">
                  <c:v>89.45692</c:v>
                </c:pt>
                <c:pt idx="4712">
                  <c:v>89.45603000000001</c:v>
                </c:pt>
                <c:pt idx="4713">
                  <c:v>89.45509</c:v>
                </c:pt>
                <c:pt idx="4714">
                  <c:v>89.45422</c:v>
                </c:pt>
                <c:pt idx="4715">
                  <c:v>89.45345</c:v>
                </c:pt>
                <c:pt idx="4716">
                  <c:v>89.45258</c:v>
                </c:pt>
                <c:pt idx="4717">
                  <c:v>89.45177</c:v>
                </c:pt>
                <c:pt idx="4718">
                  <c:v>89.45104</c:v>
                </c:pt>
                <c:pt idx="4719">
                  <c:v>89.45028</c:v>
                </c:pt>
                <c:pt idx="4720">
                  <c:v>89.44949</c:v>
                </c:pt>
                <c:pt idx="4721">
                  <c:v>89.4487</c:v>
                </c:pt>
                <c:pt idx="4722">
                  <c:v>89.44785</c:v>
                </c:pt>
                <c:pt idx="4723">
                  <c:v>89.44699</c:v>
                </c:pt>
                <c:pt idx="4724">
                  <c:v>89.44616</c:v>
                </c:pt>
                <c:pt idx="4725">
                  <c:v>89.44525</c:v>
                </c:pt>
                <c:pt idx="4726">
                  <c:v>89.44434</c:v>
                </c:pt>
                <c:pt idx="4727">
                  <c:v>89.44367</c:v>
                </c:pt>
                <c:pt idx="4728">
                  <c:v>89.44286</c:v>
                </c:pt>
                <c:pt idx="4729">
                  <c:v>89.44191</c:v>
                </c:pt>
                <c:pt idx="4730">
                  <c:v>89.44103000000002</c:v>
                </c:pt>
                <c:pt idx="4731">
                  <c:v>89.44024</c:v>
                </c:pt>
                <c:pt idx="4732">
                  <c:v>89.43937</c:v>
                </c:pt>
                <c:pt idx="4733">
                  <c:v>89.43842</c:v>
                </c:pt>
                <c:pt idx="4734">
                  <c:v>89.43744</c:v>
                </c:pt>
                <c:pt idx="4735">
                  <c:v>89.43653</c:v>
                </c:pt>
                <c:pt idx="4736">
                  <c:v>89.43563</c:v>
                </c:pt>
                <c:pt idx="4737">
                  <c:v>89.43489</c:v>
                </c:pt>
                <c:pt idx="4738">
                  <c:v>89.43418</c:v>
                </c:pt>
                <c:pt idx="4739">
                  <c:v>89.43331</c:v>
                </c:pt>
                <c:pt idx="4740">
                  <c:v>89.43246</c:v>
                </c:pt>
                <c:pt idx="4741">
                  <c:v>89.43158</c:v>
                </c:pt>
                <c:pt idx="4742">
                  <c:v>89.43061</c:v>
                </c:pt>
                <c:pt idx="4743">
                  <c:v>89.4297</c:v>
                </c:pt>
                <c:pt idx="4744">
                  <c:v>89.42879999999998</c:v>
                </c:pt>
                <c:pt idx="4745">
                  <c:v>89.42797</c:v>
                </c:pt>
                <c:pt idx="4746">
                  <c:v>89.42706</c:v>
                </c:pt>
                <c:pt idx="4747">
                  <c:v>89.42612</c:v>
                </c:pt>
                <c:pt idx="4748">
                  <c:v>89.42525</c:v>
                </c:pt>
                <c:pt idx="4749">
                  <c:v>89.42444</c:v>
                </c:pt>
                <c:pt idx="4750">
                  <c:v>89.42363</c:v>
                </c:pt>
                <c:pt idx="4751">
                  <c:v>89.42283999999998</c:v>
                </c:pt>
                <c:pt idx="4752">
                  <c:v>89.42211</c:v>
                </c:pt>
                <c:pt idx="4753">
                  <c:v>89.42137</c:v>
                </c:pt>
                <c:pt idx="4754">
                  <c:v>89.42043</c:v>
                </c:pt>
                <c:pt idx="4755">
                  <c:v>89.41956</c:v>
                </c:pt>
                <c:pt idx="4756">
                  <c:v>89.41863</c:v>
                </c:pt>
                <c:pt idx="4757">
                  <c:v>89.41763</c:v>
                </c:pt>
                <c:pt idx="4758">
                  <c:v>89.41667</c:v>
                </c:pt>
                <c:pt idx="4759">
                  <c:v>89.41574</c:v>
                </c:pt>
                <c:pt idx="4760">
                  <c:v>89.41478</c:v>
                </c:pt>
                <c:pt idx="4761">
                  <c:v>89.41395</c:v>
                </c:pt>
                <c:pt idx="4762">
                  <c:v>89.41308</c:v>
                </c:pt>
                <c:pt idx="4763">
                  <c:v>89.41227</c:v>
                </c:pt>
                <c:pt idx="4764">
                  <c:v>89.41159</c:v>
                </c:pt>
                <c:pt idx="4765">
                  <c:v>89.41078</c:v>
                </c:pt>
                <c:pt idx="4766">
                  <c:v>89.40997</c:v>
                </c:pt>
                <c:pt idx="4767">
                  <c:v>89.4092</c:v>
                </c:pt>
                <c:pt idx="4768">
                  <c:v>89.4083</c:v>
                </c:pt>
                <c:pt idx="4769">
                  <c:v>89.40754</c:v>
                </c:pt>
                <c:pt idx="4770">
                  <c:v>89.40671</c:v>
                </c:pt>
                <c:pt idx="4771">
                  <c:v>89.40587</c:v>
                </c:pt>
                <c:pt idx="4772">
                  <c:v>89.40492</c:v>
                </c:pt>
                <c:pt idx="4773">
                  <c:v>89.40398</c:v>
                </c:pt>
                <c:pt idx="4774">
                  <c:v>89.40301</c:v>
                </c:pt>
                <c:pt idx="4775">
                  <c:v>89.40218</c:v>
                </c:pt>
                <c:pt idx="4776">
                  <c:v>89.40141</c:v>
                </c:pt>
                <c:pt idx="4777">
                  <c:v>89.40058</c:v>
                </c:pt>
                <c:pt idx="4778">
                  <c:v>89.39971</c:v>
                </c:pt>
                <c:pt idx="4779">
                  <c:v>89.39893999999998</c:v>
                </c:pt>
                <c:pt idx="4780">
                  <c:v>89.39806999999997</c:v>
                </c:pt>
                <c:pt idx="4781">
                  <c:v>89.39717</c:v>
                </c:pt>
                <c:pt idx="4782">
                  <c:v>89.39624</c:v>
                </c:pt>
                <c:pt idx="4783">
                  <c:v>89.39532</c:v>
                </c:pt>
                <c:pt idx="4784">
                  <c:v>89.39451</c:v>
                </c:pt>
                <c:pt idx="4785">
                  <c:v>89.39366</c:v>
                </c:pt>
                <c:pt idx="4786">
                  <c:v>89.39270999999998</c:v>
                </c:pt>
                <c:pt idx="4787">
                  <c:v>89.39175</c:v>
                </c:pt>
                <c:pt idx="4788">
                  <c:v>89.39083999999998</c:v>
                </c:pt>
                <c:pt idx="4789">
                  <c:v>89.38992</c:v>
                </c:pt>
                <c:pt idx="4790">
                  <c:v>89.38896999999998</c:v>
                </c:pt>
                <c:pt idx="4791">
                  <c:v>89.38809999999998</c:v>
                </c:pt>
                <c:pt idx="4792">
                  <c:v>89.38727</c:v>
                </c:pt>
                <c:pt idx="4793">
                  <c:v>89.38632999999998</c:v>
                </c:pt>
                <c:pt idx="4794">
                  <c:v>89.38547999999938</c:v>
                </c:pt>
                <c:pt idx="4795">
                  <c:v>89.38463</c:v>
                </c:pt>
                <c:pt idx="4796">
                  <c:v>89.38377999999948</c:v>
                </c:pt>
                <c:pt idx="4797">
                  <c:v>89.38290999999998</c:v>
                </c:pt>
                <c:pt idx="4798">
                  <c:v>89.38202999999998</c:v>
                </c:pt>
                <c:pt idx="4799">
                  <c:v>89.3811</c:v>
                </c:pt>
                <c:pt idx="4800">
                  <c:v>89.38013999999998</c:v>
                </c:pt>
                <c:pt idx="4801">
                  <c:v>89.37925</c:v>
                </c:pt>
                <c:pt idx="4802">
                  <c:v>89.37833999999835</c:v>
                </c:pt>
                <c:pt idx="4803">
                  <c:v>89.37755</c:v>
                </c:pt>
                <c:pt idx="4804">
                  <c:v>89.37658999999998</c:v>
                </c:pt>
                <c:pt idx="4805">
                  <c:v>89.37569999999998</c:v>
                </c:pt>
                <c:pt idx="4806">
                  <c:v>89.37480999999998</c:v>
                </c:pt>
                <c:pt idx="4807">
                  <c:v>89.37390999999998</c:v>
                </c:pt>
                <c:pt idx="4808">
                  <c:v>89.37305999999998</c:v>
                </c:pt>
                <c:pt idx="4809">
                  <c:v>89.37214999999995</c:v>
                </c:pt>
                <c:pt idx="4810">
                  <c:v>89.37128</c:v>
                </c:pt>
                <c:pt idx="4811">
                  <c:v>89.37039999999975</c:v>
                </c:pt>
                <c:pt idx="4812">
                  <c:v>89.36943</c:v>
                </c:pt>
                <c:pt idx="4813">
                  <c:v>89.36851</c:v>
                </c:pt>
                <c:pt idx="4814">
                  <c:v>89.36766</c:v>
                </c:pt>
                <c:pt idx="4815">
                  <c:v>89.36691</c:v>
                </c:pt>
                <c:pt idx="4816">
                  <c:v>89.36615</c:v>
                </c:pt>
                <c:pt idx="4817">
                  <c:v>89.36527</c:v>
                </c:pt>
                <c:pt idx="4818">
                  <c:v>89.3643</c:v>
                </c:pt>
                <c:pt idx="4819">
                  <c:v>89.3634</c:v>
                </c:pt>
                <c:pt idx="4820">
                  <c:v>89.36246999999997</c:v>
                </c:pt>
                <c:pt idx="4821">
                  <c:v>89.36168</c:v>
                </c:pt>
                <c:pt idx="4822">
                  <c:v>89.36093</c:v>
                </c:pt>
                <c:pt idx="4823">
                  <c:v>89.36006</c:v>
                </c:pt>
                <c:pt idx="4824">
                  <c:v>89.35923</c:v>
                </c:pt>
                <c:pt idx="4825">
                  <c:v>89.35841999999998</c:v>
                </c:pt>
                <c:pt idx="4826">
                  <c:v>89.35747</c:v>
                </c:pt>
                <c:pt idx="4827">
                  <c:v>89.35651</c:v>
                </c:pt>
                <c:pt idx="4828">
                  <c:v>89.35566</c:v>
                </c:pt>
                <c:pt idx="4829">
                  <c:v>89.35485</c:v>
                </c:pt>
                <c:pt idx="4830">
                  <c:v>89.354</c:v>
                </c:pt>
                <c:pt idx="4831">
                  <c:v>89.35319</c:v>
                </c:pt>
                <c:pt idx="4832">
                  <c:v>89.35235999999995</c:v>
                </c:pt>
                <c:pt idx="4833">
                  <c:v>89.35153</c:v>
                </c:pt>
                <c:pt idx="4834">
                  <c:v>89.35069</c:v>
                </c:pt>
                <c:pt idx="4835">
                  <c:v>89.34986</c:v>
                </c:pt>
                <c:pt idx="4836">
                  <c:v>89.34903000000001</c:v>
                </c:pt>
                <c:pt idx="4837">
                  <c:v>89.34816</c:v>
                </c:pt>
                <c:pt idx="4838">
                  <c:v>89.34727</c:v>
                </c:pt>
                <c:pt idx="4839">
                  <c:v>89.34644</c:v>
                </c:pt>
                <c:pt idx="4840">
                  <c:v>89.3455</c:v>
                </c:pt>
                <c:pt idx="4841">
                  <c:v>89.34471</c:v>
                </c:pt>
                <c:pt idx="4842">
                  <c:v>89.3438</c:v>
                </c:pt>
                <c:pt idx="4843">
                  <c:v>89.34288999999998</c:v>
                </c:pt>
                <c:pt idx="4844">
                  <c:v>89.34197</c:v>
                </c:pt>
                <c:pt idx="4845">
                  <c:v>89.34104</c:v>
                </c:pt>
                <c:pt idx="4846">
                  <c:v>89.34008</c:v>
                </c:pt>
                <c:pt idx="4847">
                  <c:v>89.33919</c:v>
                </c:pt>
                <c:pt idx="4848">
                  <c:v>89.33842</c:v>
                </c:pt>
                <c:pt idx="4849">
                  <c:v>89.33763</c:v>
                </c:pt>
                <c:pt idx="4850">
                  <c:v>89.33677999999995</c:v>
                </c:pt>
                <c:pt idx="4851">
                  <c:v>89.33588999999998</c:v>
                </c:pt>
                <c:pt idx="4852">
                  <c:v>89.33509999999998</c:v>
                </c:pt>
                <c:pt idx="4853">
                  <c:v>89.33435</c:v>
                </c:pt>
                <c:pt idx="4854">
                  <c:v>89.33356</c:v>
                </c:pt>
                <c:pt idx="4855">
                  <c:v>89.33274999999985</c:v>
                </c:pt>
                <c:pt idx="4856">
                  <c:v>89.33188</c:v>
                </c:pt>
                <c:pt idx="4857">
                  <c:v>89.33099</c:v>
                </c:pt>
                <c:pt idx="4858">
                  <c:v>89.33013</c:v>
                </c:pt>
                <c:pt idx="4859">
                  <c:v>89.3292</c:v>
                </c:pt>
                <c:pt idx="4860">
                  <c:v>89.32822</c:v>
                </c:pt>
                <c:pt idx="4861">
                  <c:v>89.32727000000001</c:v>
                </c:pt>
                <c:pt idx="4862">
                  <c:v>89.32615</c:v>
                </c:pt>
                <c:pt idx="4863">
                  <c:v>89.32539999999958</c:v>
                </c:pt>
                <c:pt idx="4864">
                  <c:v>89.32463000000001</c:v>
                </c:pt>
                <c:pt idx="4865">
                  <c:v>89.32387999999958</c:v>
                </c:pt>
                <c:pt idx="4866">
                  <c:v>89.32316</c:v>
                </c:pt>
                <c:pt idx="4867">
                  <c:v>89.32223999999998</c:v>
                </c:pt>
                <c:pt idx="4868">
                  <c:v>89.32130999999998</c:v>
                </c:pt>
                <c:pt idx="4869">
                  <c:v>89.32030999999998</c:v>
                </c:pt>
                <c:pt idx="4870">
                  <c:v>89.3195</c:v>
                </c:pt>
                <c:pt idx="4871">
                  <c:v>89.31870999999998</c:v>
                </c:pt>
                <c:pt idx="4872">
                  <c:v>89.31788</c:v>
                </c:pt>
                <c:pt idx="4873">
                  <c:v>89.31693000000001</c:v>
                </c:pt>
                <c:pt idx="4874">
                  <c:v>89.31595</c:v>
                </c:pt>
                <c:pt idx="4875">
                  <c:v>89.31487000000001</c:v>
                </c:pt>
                <c:pt idx="4876">
                  <c:v>89.31389</c:v>
                </c:pt>
                <c:pt idx="4877">
                  <c:v>89.31297999999998</c:v>
                </c:pt>
                <c:pt idx="4878">
                  <c:v>89.31211</c:v>
                </c:pt>
                <c:pt idx="4879">
                  <c:v>89.31136</c:v>
                </c:pt>
                <c:pt idx="4880">
                  <c:v>89.31063</c:v>
                </c:pt>
                <c:pt idx="4881">
                  <c:v>89.30983999999998</c:v>
                </c:pt>
                <c:pt idx="4882">
                  <c:v>89.30901</c:v>
                </c:pt>
                <c:pt idx="4883">
                  <c:v>89.30827</c:v>
                </c:pt>
                <c:pt idx="4884">
                  <c:v>89.30742</c:v>
                </c:pt>
                <c:pt idx="4885">
                  <c:v>89.3065</c:v>
                </c:pt>
                <c:pt idx="4886">
                  <c:v>89.30565</c:v>
                </c:pt>
                <c:pt idx="4887">
                  <c:v>89.30486</c:v>
                </c:pt>
                <c:pt idx="4888">
                  <c:v>89.30415</c:v>
                </c:pt>
                <c:pt idx="4889">
                  <c:v>89.30333999999995</c:v>
                </c:pt>
                <c:pt idx="4890">
                  <c:v>89.30251</c:v>
                </c:pt>
                <c:pt idx="4891">
                  <c:v>89.3017</c:v>
                </c:pt>
                <c:pt idx="4892">
                  <c:v>89.30083</c:v>
                </c:pt>
                <c:pt idx="4893">
                  <c:v>89.29998</c:v>
                </c:pt>
                <c:pt idx="4894">
                  <c:v>89.29909</c:v>
                </c:pt>
                <c:pt idx="4895">
                  <c:v>89.29815</c:v>
                </c:pt>
                <c:pt idx="4896">
                  <c:v>89.29734</c:v>
                </c:pt>
                <c:pt idx="4897">
                  <c:v>89.29653</c:v>
                </c:pt>
                <c:pt idx="4898">
                  <c:v>89.29578999999998</c:v>
                </c:pt>
                <c:pt idx="4899">
                  <c:v>89.29485</c:v>
                </c:pt>
                <c:pt idx="4900">
                  <c:v>89.29404</c:v>
                </c:pt>
                <c:pt idx="4901">
                  <c:v>89.29319</c:v>
                </c:pt>
                <c:pt idx="4902">
                  <c:v>89.29228</c:v>
                </c:pt>
                <c:pt idx="4903">
                  <c:v>89.29149</c:v>
                </c:pt>
                <c:pt idx="4904">
                  <c:v>89.29068</c:v>
                </c:pt>
                <c:pt idx="4905">
                  <c:v>89.28976</c:v>
                </c:pt>
                <c:pt idx="4906">
                  <c:v>89.28891</c:v>
                </c:pt>
                <c:pt idx="4907">
                  <c:v>89.28807999999998</c:v>
                </c:pt>
                <c:pt idx="4908">
                  <c:v>89.28721</c:v>
                </c:pt>
                <c:pt idx="4909">
                  <c:v>89.28633999999998</c:v>
                </c:pt>
                <c:pt idx="4910">
                  <c:v>89.28559</c:v>
                </c:pt>
                <c:pt idx="4911">
                  <c:v>89.28478</c:v>
                </c:pt>
                <c:pt idx="4912">
                  <c:v>89.28386</c:v>
                </c:pt>
                <c:pt idx="4913">
                  <c:v>89.28308</c:v>
                </c:pt>
                <c:pt idx="4914">
                  <c:v>89.28230999999998</c:v>
                </c:pt>
                <c:pt idx="4915">
                  <c:v>89.28143</c:v>
                </c:pt>
                <c:pt idx="4916">
                  <c:v>89.28062</c:v>
                </c:pt>
                <c:pt idx="4917">
                  <c:v>89.27963</c:v>
                </c:pt>
                <c:pt idx="4918">
                  <c:v>89.27872999999998</c:v>
                </c:pt>
                <c:pt idx="4919">
                  <c:v>89.27786</c:v>
                </c:pt>
                <c:pt idx="4920">
                  <c:v>89.27703</c:v>
                </c:pt>
                <c:pt idx="4921">
                  <c:v>89.27624</c:v>
                </c:pt>
                <c:pt idx="4922">
                  <c:v>89.27557999999995</c:v>
                </c:pt>
                <c:pt idx="4923">
                  <c:v>89.27496</c:v>
                </c:pt>
                <c:pt idx="4924">
                  <c:v>89.27435</c:v>
                </c:pt>
                <c:pt idx="4925">
                  <c:v>89.27370999999998</c:v>
                </c:pt>
                <c:pt idx="4926">
                  <c:v>89.27272999999998</c:v>
                </c:pt>
                <c:pt idx="4927">
                  <c:v>89.27173999999998</c:v>
                </c:pt>
                <c:pt idx="4928">
                  <c:v>89.27075999999998</c:v>
                </c:pt>
                <c:pt idx="4929">
                  <c:v>89.27005</c:v>
                </c:pt>
                <c:pt idx="4930">
                  <c:v>89.26918</c:v>
                </c:pt>
                <c:pt idx="4931">
                  <c:v>89.26831</c:v>
                </c:pt>
                <c:pt idx="4932">
                  <c:v>89.26748</c:v>
                </c:pt>
                <c:pt idx="4933">
                  <c:v>89.26652</c:v>
                </c:pt>
                <c:pt idx="4934">
                  <c:v>89.26555</c:v>
                </c:pt>
                <c:pt idx="4935">
                  <c:v>89.26482</c:v>
                </c:pt>
                <c:pt idx="4936">
                  <c:v>89.26399</c:v>
                </c:pt>
                <c:pt idx="4937">
                  <c:v>89.26295</c:v>
                </c:pt>
                <c:pt idx="4938">
                  <c:v>89.26191</c:v>
                </c:pt>
                <c:pt idx="4939">
                  <c:v>89.26098</c:v>
                </c:pt>
                <c:pt idx="4940">
                  <c:v>89.26033</c:v>
                </c:pt>
                <c:pt idx="4941">
                  <c:v>89.25944</c:v>
                </c:pt>
                <c:pt idx="4942">
                  <c:v>89.25853</c:v>
                </c:pt>
                <c:pt idx="4943">
                  <c:v>89.25766</c:v>
                </c:pt>
                <c:pt idx="4944">
                  <c:v>89.25682</c:v>
                </c:pt>
                <c:pt idx="4945">
                  <c:v>89.25595</c:v>
                </c:pt>
                <c:pt idx="4946">
                  <c:v>89.25512</c:v>
                </c:pt>
                <c:pt idx="4947">
                  <c:v>89.25431</c:v>
                </c:pt>
                <c:pt idx="4948">
                  <c:v>89.2534</c:v>
                </c:pt>
                <c:pt idx="4949">
                  <c:v>89.25253</c:v>
                </c:pt>
                <c:pt idx="4950">
                  <c:v>89.25188</c:v>
                </c:pt>
                <c:pt idx="4951">
                  <c:v>89.25118</c:v>
                </c:pt>
                <c:pt idx="4952">
                  <c:v>89.25036999999997</c:v>
                </c:pt>
                <c:pt idx="4953">
                  <c:v>89.24941</c:v>
                </c:pt>
                <c:pt idx="4954">
                  <c:v>89.24854</c:v>
                </c:pt>
                <c:pt idx="4955">
                  <c:v>89.24769</c:v>
                </c:pt>
                <c:pt idx="4956">
                  <c:v>89.2469</c:v>
                </c:pt>
                <c:pt idx="4957">
                  <c:v>89.24611</c:v>
                </c:pt>
                <c:pt idx="4958">
                  <c:v>89.24537999999998</c:v>
                </c:pt>
                <c:pt idx="4959">
                  <c:v>89.2447</c:v>
                </c:pt>
                <c:pt idx="4960">
                  <c:v>89.24389</c:v>
                </c:pt>
                <c:pt idx="4961">
                  <c:v>89.24295</c:v>
                </c:pt>
                <c:pt idx="4962">
                  <c:v>89.24208</c:v>
                </c:pt>
                <c:pt idx="4963">
                  <c:v>89.24123</c:v>
                </c:pt>
                <c:pt idx="4964">
                  <c:v>89.24036</c:v>
                </c:pt>
                <c:pt idx="4965">
                  <c:v>89.2395</c:v>
                </c:pt>
                <c:pt idx="4966">
                  <c:v>89.23861</c:v>
                </c:pt>
                <c:pt idx="4967">
                  <c:v>89.23778</c:v>
                </c:pt>
                <c:pt idx="4968">
                  <c:v>89.23691</c:v>
                </c:pt>
                <c:pt idx="4969">
                  <c:v>89.2361</c:v>
                </c:pt>
                <c:pt idx="4970">
                  <c:v>89.23529</c:v>
                </c:pt>
                <c:pt idx="4971">
                  <c:v>89.23446</c:v>
                </c:pt>
                <c:pt idx="4972">
                  <c:v>89.23363</c:v>
                </c:pt>
                <c:pt idx="4973">
                  <c:v>89.23282</c:v>
                </c:pt>
                <c:pt idx="4974">
                  <c:v>89.23201</c:v>
                </c:pt>
                <c:pt idx="4975">
                  <c:v>89.2312</c:v>
                </c:pt>
                <c:pt idx="4976">
                  <c:v>89.23035</c:v>
                </c:pt>
                <c:pt idx="4977">
                  <c:v>89.22958</c:v>
                </c:pt>
                <c:pt idx="4978">
                  <c:v>89.22893</c:v>
                </c:pt>
                <c:pt idx="4979">
                  <c:v>89.22825</c:v>
                </c:pt>
                <c:pt idx="4980">
                  <c:v>89.22742</c:v>
                </c:pt>
                <c:pt idx="4981">
                  <c:v>89.22646</c:v>
                </c:pt>
                <c:pt idx="4982">
                  <c:v>89.22558999999998</c:v>
                </c:pt>
                <c:pt idx="4983">
                  <c:v>89.22470000000001</c:v>
                </c:pt>
                <c:pt idx="4984">
                  <c:v>89.22379999999998</c:v>
                </c:pt>
                <c:pt idx="4985">
                  <c:v>89.22291</c:v>
                </c:pt>
                <c:pt idx="4986">
                  <c:v>89.22207999999995</c:v>
                </c:pt>
                <c:pt idx="4987">
                  <c:v>89.22113</c:v>
                </c:pt>
                <c:pt idx="4988">
                  <c:v>89.22025</c:v>
                </c:pt>
                <c:pt idx="4989">
                  <c:v>89.21944</c:v>
                </c:pt>
                <c:pt idx="4990">
                  <c:v>89.2188</c:v>
                </c:pt>
                <c:pt idx="4991">
                  <c:v>89.21816</c:v>
                </c:pt>
                <c:pt idx="4992">
                  <c:v>89.21749</c:v>
                </c:pt>
                <c:pt idx="4993">
                  <c:v>89.21676</c:v>
                </c:pt>
                <c:pt idx="4994">
                  <c:v>89.21585</c:v>
                </c:pt>
                <c:pt idx="4995">
                  <c:v>89.21481</c:v>
                </c:pt>
                <c:pt idx="4996">
                  <c:v>89.21384</c:v>
                </c:pt>
                <c:pt idx="4997">
                  <c:v>89.21284</c:v>
                </c:pt>
                <c:pt idx="4998">
                  <c:v>89.21184</c:v>
                </c:pt>
                <c:pt idx="4999">
                  <c:v>89.21091</c:v>
                </c:pt>
                <c:pt idx="5000">
                  <c:v>89.21016</c:v>
                </c:pt>
                <c:pt idx="5001">
                  <c:v>89.20954</c:v>
                </c:pt>
                <c:pt idx="5002">
                  <c:v>89.20897999999998</c:v>
                </c:pt>
                <c:pt idx="5003">
                  <c:v>89.20834999999998</c:v>
                </c:pt>
                <c:pt idx="5004">
                  <c:v>89.20763</c:v>
                </c:pt>
                <c:pt idx="5005">
                  <c:v>89.20686</c:v>
                </c:pt>
                <c:pt idx="5006">
                  <c:v>89.20605</c:v>
                </c:pt>
                <c:pt idx="5007">
                  <c:v>89.20509</c:v>
                </c:pt>
                <c:pt idx="5008">
                  <c:v>89.20414</c:v>
                </c:pt>
                <c:pt idx="5009">
                  <c:v>89.20329</c:v>
                </c:pt>
                <c:pt idx="5010">
                  <c:v>89.20254</c:v>
                </c:pt>
                <c:pt idx="5011">
                  <c:v>89.20177</c:v>
                </c:pt>
                <c:pt idx="5012">
                  <c:v>89.20102</c:v>
                </c:pt>
                <c:pt idx="5013">
                  <c:v>89.20027</c:v>
                </c:pt>
                <c:pt idx="5014">
                  <c:v>89.19932</c:v>
                </c:pt>
                <c:pt idx="5015">
                  <c:v>89.19851</c:v>
                </c:pt>
                <c:pt idx="5016">
                  <c:v>89.19743</c:v>
                </c:pt>
                <c:pt idx="5017">
                  <c:v>89.19636999999997</c:v>
                </c:pt>
                <c:pt idx="5018">
                  <c:v>89.19536999999998</c:v>
                </c:pt>
                <c:pt idx="5019">
                  <c:v>89.19458</c:v>
                </c:pt>
                <c:pt idx="5020">
                  <c:v>89.19402</c:v>
                </c:pt>
                <c:pt idx="5021">
                  <c:v>89.19343999999998</c:v>
                </c:pt>
                <c:pt idx="5022">
                  <c:v>89.19265</c:v>
                </c:pt>
                <c:pt idx="5023">
                  <c:v>89.19186</c:v>
                </c:pt>
                <c:pt idx="5024">
                  <c:v>89.1911</c:v>
                </c:pt>
                <c:pt idx="5025">
                  <c:v>89.19032999999997</c:v>
                </c:pt>
                <c:pt idx="5026">
                  <c:v>89.18957999999998</c:v>
                </c:pt>
                <c:pt idx="5027">
                  <c:v>89.18872999999998</c:v>
                </c:pt>
                <c:pt idx="5028">
                  <c:v>89.18792</c:v>
                </c:pt>
                <c:pt idx="5029">
                  <c:v>89.18711</c:v>
                </c:pt>
                <c:pt idx="5030">
                  <c:v>89.18626</c:v>
                </c:pt>
                <c:pt idx="5031">
                  <c:v>89.18542999999998</c:v>
                </c:pt>
                <c:pt idx="5032">
                  <c:v>89.18464</c:v>
                </c:pt>
                <c:pt idx="5033">
                  <c:v>89.18403</c:v>
                </c:pt>
                <c:pt idx="5034">
                  <c:v>89.18317999999998</c:v>
                </c:pt>
                <c:pt idx="5035">
                  <c:v>89.18234999999908</c:v>
                </c:pt>
                <c:pt idx="5036">
                  <c:v>89.1816</c:v>
                </c:pt>
                <c:pt idx="5037">
                  <c:v>89.18081999999998</c:v>
                </c:pt>
                <c:pt idx="5038">
                  <c:v>89.18008999999998</c:v>
                </c:pt>
                <c:pt idx="5039">
                  <c:v>89.17919999999998</c:v>
                </c:pt>
                <c:pt idx="5040">
                  <c:v>89.17827999999938</c:v>
                </c:pt>
                <c:pt idx="5041">
                  <c:v>89.17730999999995</c:v>
                </c:pt>
                <c:pt idx="5042">
                  <c:v>89.17636999999995</c:v>
                </c:pt>
                <c:pt idx="5043">
                  <c:v>89.17543999999845</c:v>
                </c:pt>
                <c:pt idx="5044">
                  <c:v>89.17465</c:v>
                </c:pt>
                <c:pt idx="5045">
                  <c:v>89.17393999999948</c:v>
                </c:pt>
                <c:pt idx="5046">
                  <c:v>89.17312999999998</c:v>
                </c:pt>
                <c:pt idx="5047">
                  <c:v>89.17227999999928</c:v>
                </c:pt>
                <c:pt idx="5048">
                  <c:v>89.17138999999958</c:v>
                </c:pt>
                <c:pt idx="5049">
                  <c:v>89.17044999999958</c:v>
                </c:pt>
                <c:pt idx="5050">
                  <c:v>89.16962</c:v>
                </c:pt>
                <c:pt idx="5051">
                  <c:v>89.16874999999965</c:v>
                </c:pt>
                <c:pt idx="5052">
                  <c:v>89.16796</c:v>
                </c:pt>
                <c:pt idx="5053">
                  <c:v>89.16727</c:v>
                </c:pt>
                <c:pt idx="5054">
                  <c:v>89.16655</c:v>
                </c:pt>
                <c:pt idx="5055">
                  <c:v>89.16577999999878</c:v>
                </c:pt>
                <c:pt idx="5056">
                  <c:v>89.16499</c:v>
                </c:pt>
                <c:pt idx="5057">
                  <c:v>89.16424</c:v>
                </c:pt>
                <c:pt idx="5058">
                  <c:v>89.16352</c:v>
                </c:pt>
                <c:pt idx="5059">
                  <c:v>89.16270999999985</c:v>
                </c:pt>
                <c:pt idx="5060">
                  <c:v>89.16187999999998</c:v>
                </c:pt>
                <c:pt idx="5061">
                  <c:v>89.16121</c:v>
                </c:pt>
                <c:pt idx="5062">
                  <c:v>89.16042</c:v>
                </c:pt>
                <c:pt idx="5063">
                  <c:v>89.15967</c:v>
                </c:pt>
                <c:pt idx="5064">
                  <c:v>89.15887999999858</c:v>
                </c:pt>
                <c:pt idx="5065">
                  <c:v>89.15799</c:v>
                </c:pt>
                <c:pt idx="5066">
                  <c:v>89.15698999999998</c:v>
                </c:pt>
                <c:pt idx="5067">
                  <c:v>89.15599999999995</c:v>
                </c:pt>
                <c:pt idx="5068">
                  <c:v>89.15514999999998</c:v>
                </c:pt>
                <c:pt idx="5069">
                  <c:v>89.15432</c:v>
                </c:pt>
                <c:pt idx="5070">
                  <c:v>89.15339999999995</c:v>
                </c:pt>
                <c:pt idx="5071">
                  <c:v>89.15252999999998</c:v>
                </c:pt>
                <c:pt idx="5072">
                  <c:v>89.15183999999998</c:v>
                </c:pt>
                <c:pt idx="5073">
                  <c:v>89.15117999999998</c:v>
                </c:pt>
                <c:pt idx="5074">
                  <c:v>89.15034999999965</c:v>
                </c:pt>
                <c:pt idx="5075">
                  <c:v>89.14954</c:v>
                </c:pt>
                <c:pt idx="5076">
                  <c:v>89.14870999999998</c:v>
                </c:pt>
                <c:pt idx="5077">
                  <c:v>89.14794</c:v>
                </c:pt>
                <c:pt idx="5078">
                  <c:v>89.14703</c:v>
                </c:pt>
                <c:pt idx="5079">
                  <c:v>89.14613000000001</c:v>
                </c:pt>
                <c:pt idx="5080">
                  <c:v>89.14535999999998</c:v>
                </c:pt>
                <c:pt idx="5081">
                  <c:v>89.14462</c:v>
                </c:pt>
                <c:pt idx="5082">
                  <c:v>89.14397</c:v>
                </c:pt>
                <c:pt idx="5083">
                  <c:v>89.14329</c:v>
                </c:pt>
                <c:pt idx="5084">
                  <c:v>89.14247999999998</c:v>
                </c:pt>
                <c:pt idx="5085">
                  <c:v>89.14171</c:v>
                </c:pt>
                <c:pt idx="5086">
                  <c:v>89.1409</c:v>
                </c:pt>
                <c:pt idx="5087">
                  <c:v>89.14005</c:v>
                </c:pt>
                <c:pt idx="5088">
                  <c:v>89.13917999999998</c:v>
                </c:pt>
                <c:pt idx="5089">
                  <c:v>89.13836999999998</c:v>
                </c:pt>
                <c:pt idx="5090">
                  <c:v>89.13762</c:v>
                </c:pt>
                <c:pt idx="5091">
                  <c:v>89.13686999999997</c:v>
                </c:pt>
                <c:pt idx="5092">
                  <c:v>89.1361</c:v>
                </c:pt>
                <c:pt idx="5093">
                  <c:v>89.13552</c:v>
                </c:pt>
                <c:pt idx="5094">
                  <c:v>89.13494</c:v>
                </c:pt>
                <c:pt idx="5095">
                  <c:v>89.13415</c:v>
                </c:pt>
                <c:pt idx="5096">
                  <c:v>89.13322</c:v>
                </c:pt>
                <c:pt idx="5097">
                  <c:v>89.13227999999998</c:v>
                </c:pt>
                <c:pt idx="5098">
                  <c:v>89.13172</c:v>
                </c:pt>
                <c:pt idx="5099">
                  <c:v>89.13124</c:v>
                </c:pt>
                <c:pt idx="5100">
                  <c:v>89.13042999999997</c:v>
                </c:pt>
                <c:pt idx="5101">
                  <c:v>89.12956</c:v>
                </c:pt>
                <c:pt idx="5102">
                  <c:v>89.12872999999995</c:v>
                </c:pt>
                <c:pt idx="5103">
                  <c:v>89.12793999999998</c:v>
                </c:pt>
                <c:pt idx="5104">
                  <c:v>89.12706999999997</c:v>
                </c:pt>
                <c:pt idx="5105">
                  <c:v>89.12629999999998</c:v>
                </c:pt>
                <c:pt idx="5106">
                  <c:v>89.12542999999998</c:v>
                </c:pt>
                <c:pt idx="5107">
                  <c:v>89.1246</c:v>
                </c:pt>
                <c:pt idx="5108">
                  <c:v>89.12362</c:v>
                </c:pt>
                <c:pt idx="5109">
                  <c:v>89.12266999999998</c:v>
                </c:pt>
                <c:pt idx="5110">
                  <c:v>89.12193999999998</c:v>
                </c:pt>
                <c:pt idx="5111">
                  <c:v>89.1213</c:v>
                </c:pt>
                <c:pt idx="5112">
                  <c:v>89.12035999999995</c:v>
                </c:pt>
                <c:pt idx="5113">
                  <c:v>89.11943</c:v>
                </c:pt>
                <c:pt idx="5114">
                  <c:v>89.11873999999958</c:v>
                </c:pt>
                <c:pt idx="5115">
                  <c:v>89.11803</c:v>
                </c:pt>
                <c:pt idx="5116">
                  <c:v>89.11731</c:v>
                </c:pt>
                <c:pt idx="5117">
                  <c:v>89.1165</c:v>
                </c:pt>
                <c:pt idx="5118">
                  <c:v>89.11580999999998</c:v>
                </c:pt>
                <c:pt idx="5119">
                  <c:v>89.11515</c:v>
                </c:pt>
                <c:pt idx="5120">
                  <c:v>89.1143</c:v>
                </c:pt>
                <c:pt idx="5121">
                  <c:v>89.11353</c:v>
                </c:pt>
                <c:pt idx="5122">
                  <c:v>89.11287999999985</c:v>
                </c:pt>
                <c:pt idx="5123">
                  <c:v>89.1122</c:v>
                </c:pt>
                <c:pt idx="5124">
                  <c:v>89.11122</c:v>
                </c:pt>
                <c:pt idx="5125">
                  <c:v>89.11025</c:v>
                </c:pt>
                <c:pt idx="5126">
                  <c:v>89.10934999999998</c:v>
                </c:pt>
                <c:pt idx="5127">
                  <c:v>89.10861</c:v>
                </c:pt>
                <c:pt idx="5128">
                  <c:v>89.10796</c:v>
                </c:pt>
                <c:pt idx="5129">
                  <c:v>89.10721</c:v>
                </c:pt>
                <c:pt idx="5130">
                  <c:v>89.10642999999997</c:v>
                </c:pt>
                <c:pt idx="5131">
                  <c:v>89.10567999999998</c:v>
                </c:pt>
                <c:pt idx="5132">
                  <c:v>89.10491</c:v>
                </c:pt>
                <c:pt idx="5133">
                  <c:v>89.1041</c:v>
                </c:pt>
                <c:pt idx="5134">
                  <c:v>89.10327</c:v>
                </c:pt>
                <c:pt idx="5135">
                  <c:v>89.10241999999998</c:v>
                </c:pt>
                <c:pt idx="5136">
                  <c:v>89.10159</c:v>
                </c:pt>
                <c:pt idx="5137">
                  <c:v>89.10075999999998</c:v>
                </c:pt>
                <c:pt idx="5138">
                  <c:v>89.09988</c:v>
                </c:pt>
                <c:pt idx="5139">
                  <c:v>89.09912</c:v>
                </c:pt>
                <c:pt idx="5140">
                  <c:v>89.09843</c:v>
                </c:pt>
                <c:pt idx="5141">
                  <c:v>89.09762</c:v>
                </c:pt>
                <c:pt idx="5142">
                  <c:v>89.09675</c:v>
                </c:pt>
                <c:pt idx="5143">
                  <c:v>89.09594</c:v>
                </c:pt>
                <c:pt idx="5144">
                  <c:v>89.09521</c:v>
                </c:pt>
                <c:pt idx="5145">
                  <c:v>89.09436</c:v>
                </c:pt>
                <c:pt idx="5146">
                  <c:v>89.09363</c:v>
                </c:pt>
                <c:pt idx="5147">
                  <c:v>89.09273999999998</c:v>
                </c:pt>
                <c:pt idx="5148">
                  <c:v>89.09189</c:v>
                </c:pt>
                <c:pt idx="5149">
                  <c:v>89.09108</c:v>
                </c:pt>
                <c:pt idx="5150">
                  <c:v>89.09023</c:v>
                </c:pt>
                <c:pt idx="5151">
                  <c:v>89.0894</c:v>
                </c:pt>
                <c:pt idx="5152">
                  <c:v>89.08853999999998</c:v>
                </c:pt>
                <c:pt idx="5153">
                  <c:v>89.08786</c:v>
                </c:pt>
                <c:pt idx="5154">
                  <c:v>89.08728</c:v>
                </c:pt>
                <c:pt idx="5155">
                  <c:v>89.08663</c:v>
                </c:pt>
                <c:pt idx="5156">
                  <c:v>89.08596999999997</c:v>
                </c:pt>
                <c:pt idx="5157">
                  <c:v>89.08509999999998</c:v>
                </c:pt>
                <c:pt idx="5158">
                  <c:v>89.08416</c:v>
                </c:pt>
                <c:pt idx="5159">
                  <c:v>89.08312</c:v>
                </c:pt>
                <c:pt idx="5160">
                  <c:v>89.08221</c:v>
                </c:pt>
              </c:numCache>
            </c:numRef>
          </c:yVal>
          <c:smooth val="1"/>
        </c:ser>
        <c:ser>
          <c:idx val="3"/>
          <c:order val="1"/>
          <c:tx>
            <c:v>6 Month Cure</c:v>
          </c:tx>
          <c:spPr>
            <a:ln w="19050" cmpd="sng"/>
          </c:spPr>
          <c:marker>
            <c:symbol val="none"/>
          </c:marker>
          <c:xVal>
            <c:numRef>
              <c:f>'28DCB'!$B$6:$B$5165</c:f>
              <c:numCache>
                <c:formatCode>General</c:formatCode>
                <c:ptCount val="5160"/>
                <c:pt idx="0">
                  <c:v>41.67400000000001</c:v>
                </c:pt>
                <c:pt idx="1">
                  <c:v>42.08600000000001</c:v>
                </c:pt>
                <c:pt idx="2">
                  <c:v>42.499</c:v>
                </c:pt>
                <c:pt idx="3">
                  <c:v>42.90900000000001</c:v>
                </c:pt>
                <c:pt idx="4">
                  <c:v>43.308</c:v>
                </c:pt>
                <c:pt idx="5">
                  <c:v>43.692</c:v>
                </c:pt>
                <c:pt idx="6">
                  <c:v>44.064</c:v>
                </c:pt>
                <c:pt idx="7">
                  <c:v>44.422</c:v>
                </c:pt>
                <c:pt idx="8">
                  <c:v>44.768</c:v>
                </c:pt>
                <c:pt idx="9">
                  <c:v>45.10100000000001</c:v>
                </c:pt>
                <c:pt idx="10">
                  <c:v>45.42100000000001</c:v>
                </c:pt>
                <c:pt idx="11">
                  <c:v>45.73</c:v>
                </c:pt>
                <c:pt idx="12">
                  <c:v>46.026</c:v>
                </c:pt>
                <c:pt idx="13">
                  <c:v>46.312</c:v>
                </c:pt>
                <c:pt idx="14">
                  <c:v>46.587</c:v>
                </c:pt>
                <c:pt idx="15">
                  <c:v>46.854</c:v>
                </c:pt>
                <c:pt idx="16">
                  <c:v>47.114</c:v>
                </c:pt>
                <c:pt idx="17">
                  <c:v>47.365</c:v>
                </c:pt>
                <c:pt idx="18">
                  <c:v>47.608</c:v>
                </c:pt>
                <c:pt idx="19">
                  <c:v>47.845</c:v>
                </c:pt>
                <c:pt idx="20">
                  <c:v>48.07700000000001</c:v>
                </c:pt>
                <c:pt idx="21">
                  <c:v>48.301</c:v>
                </c:pt>
                <c:pt idx="22">
                  <c:v>48.521</c:v>
                </c:pt>
                <c:pt idx="23">
                  <c:v>48.738</c:v>
                </c:pt>
                <c:pt idx="24">
                  <c:v>48.95</c:v>
                </c:pt>
                <c:pt idx="25">
                  <c:v>49.157</c:v>
                </c:pt>
                <c:pt idx="26">
                  <c:v>49.361</c:v>
                </c:pt>
                <c:pt idx="27">
                  <c:v>49.561</c:v>
                </c:pt>
                <c:pt idx="28">
                  <c:v>49.757</c:v>
                </c:pt>
                <c:pt idx="29">
                  <c:v>49.94900000000001</c:v>
                </c:pt>
                <c:pt idx="30">
                  <c:v>50.139</c:v>
                </c:pt>
                <c:pt idx="31">
                  <c:v>50.32400000000001</c:v>
                </c:pt>
                <c:pt idx="32">
                  <c:v>50.50700000000001</c:v>
                </c:pt>
                <c:pt idx="33">
                  <c:v>50.69</c:v>
                </c:pt>
                <c:pt idx="34">
                  <c:v>50.871</c:v>
                </c:pt>
                <c:pt idx="35">
                  <c:v>51.051</c:v>
                </c:pt>
                <c:pt idx="36">
                  <c:v>51.228</c:v>
                </c:pt>
                <c:pt idx="37">
                  <c:v>51.4</c:v>
                </c:pt>
                <c:pt idx="38">
                  <c:v>51.57400000000001</c:v>
                </c:pt>
                <c:pt idx="39">
                  <c:v>51.744</c:v>
                </c:pt>
                <c:pt idx="40">
                  <c:v>51.913</c:v>
                </c:pt>
                <c:pt idx="41">
                  <c:v>52.082</c:v>
                </c:pt>
                <c:pt idx="42">
                  <c:v>52.247</c:v>
                </c:pt>
                <c:pt idx="43">
                  <c:v>52.413</c:v>
                </c:pt>
                <c:pt idx="44">
                  <c:v>52.578</c:v>
                </c:pt>
                <c:pt idx="45">
                  <c:v>52.74</c:v>
                </c:pt>
                <c:pt idx="46">
                  <c:v>52.904</c:v>
                </c:pt>
                <c:pt idx="47">
                  <c:v>53.067</c:v>
                </c:pt>
                <c:pt idx="48">
                  <c:v>53.228</c:v>
                </c:pt>
                <c:pt idx="49">
                  <c:v>53.387</c:v>
                </c:pt>
                <c:pt idx="50">
                  <c:v>53.548</c:v>
                </c:pt>
                <c:pt idx="51">
                  <c:v>53.706</c:v>
                </c:pt>
                <c:pt idx="52">
                  <c:v>53.862</c:v>
                </c:pt>
                <c:pt idx="53">
                  <c:v>54.01900000000001</c:v>
                </c:pt>
                <c:pt idx="54">
                  <c:v>54.17400000000001</c:v>
                </c:pt>
                <c:pt idx="55">
                  <c:v>54.33</c:v>
                </c:pt>
                <c:pt idx="56">
                  <c:v>54.486</c:v>
                </c:pt>
                <c:pt idx="57">
                  <c:v>54.64100000000001</c:v>
                </c:pt>
                <c:pt idx="58">
                  <c:v>54.795</c:v>
                </c:pt>
                <c:pt idx="59">
                  <c:v>54.94600000000001</c:v>
                </c:pt>
                <c:pt idx="60">
                  <c:v>55.098</c:v>
                </c:pt>
                <c:pt idx="61">
                  <c:v>55.249</c:v>
                </c:pt>
                <c:pt idx="62">
                  <c:v>55.4</c:v>
                </c:pt>
                <c:pt idx="63">
                  <c:v>55.55</c:v>
                </c:pt>
                <c:pt idx="64">
                  <c:v>55.7</c:v>
                </c:pt>
                <c:pt idx="65">
                  <c:v>55.85</c:v>
                </c:pt>
                <c:pt idx="66">
                  <c:v>56.001</c:v>
                </c:pt>
                <c:pt idx="67">
                  <c:v>56.151</c:v>
                </c:pt>
                <c:pt idx="68">
                  <c:v>56.302</c:v>
                </c:pt>
                <c:pt idx="69">
                  <c:v>56.451</c:v>
                </c:pt>
                <c:pt idx="70">
                  <c:v>56.59900000000001</c:v>
                </c:pt>
                <c:pt idx="71">
                  <c:v>56.748</c:v>
                </c:pt>
                <c:pt idx="72">
                  <c:v>56.89400000000001</c:v>
                </c:pt>
                <c:pt idx="73">
                  <c:v>57.041</c:v>
                </c:pt>
                <c:pt idx="74">
                  <c:v>57.186</c:v>
                </c:pt>
                <c:pt idx="75">
                  <c:v>57.334</c:v>
                </c:pt>
                <c:pt idx="76">
                  <c:v>57.482</c:v>
                </c:pt>
                <c:pt idx="77">
                  <c:v>57.631</c:v>
                </c:pt>
                <c:pt idx="78">
                  <c:v>57.777</c:v>
                </c:pt>
                <c:pt idx="79">
                  <c:v>57.925</c:v>
                </c:pt>
                <c:pt idx="80">
                  <c:v>58.073</c:v>
                </c:pt>
                <c:pt idx="81">
                  <c:v>58.22</c:v>
                </c:pt>
                <c:pt idx="82">
                  <c:v>58.362</c:v>
                </c:pt>
                <c:pt idx="83">
                  <c:v>58.51</c:v>
                </c:pt>
                <c:pt idx="84">
                  <c:v>58.657</c:v>
                </c:pt>
                <c:pt idx="85">
                  <c:v>58.802</c:v>
                </c:pt>
                <c:pt idx="86">
                  <c:v>58.948</c:v>
                </c:pt>
                <c:pt idx="87">
                  <c:v>59.091</c:v>
                </c:pt>
                <c:pt idx="88">
                  <c:v>59.237</c:v>
                </c:pt>
                <c:pt idx="89">
                  <c:v>59.384</c:v>
                </c:pt>
                <c:pt idx="90">
                  <c:v>59.529</c:v>
                </c:pt>
                <c:pt idx="91">
                  <c:v>59.675</c:v>
                </c:pt>
                <c:pt idx="92">
                  <c:v>59.817</c:v>
                </c:pt>
                <c:pt idx="93">
                  <c:v>59.96100000000001</c:v>
                </c:pt>
                <c:pt idx="94">
                  <c:v>60.105</c:v>
                </c:pt>
                <c:pt idx="95">
                  <c:v>60.249</c:v>
                </c:pt>
                <c:pt idx="96">
                  <c:v>60.392</c:v>
                </c:pt>
                <c:pt idx="97">
                  <c:v>60.538</c:v>
                </c:pt>
                <c:pt idx="98">
                  <c:v>60.685</c:v>
                </c:pt>
                <c:pt idx="99">
                  <c:v>60.83</c:v>
                </c:pt>
                <c:pt idx="100">
                  <c:v>60.975</c:v>
                </c:pt>
                <c:pt idx="101">
                  <c:v>61.118</c:v>
                </c:pt>
                <c:pt idx="102">
                  <c:v>61.262</c:v>
                </c:pt>
                <c:pt idx="103">
                  <c:v>61.40900000000001</c:v>
                </c:pt>
                <c:pt idx="104">
                  <c:v>61.554</c:v>
                </c:pt>
                <c:pt idx="105">
                  <c:v>61.698</c:v>
                </c:pt>
                <c:pt idx="106">
                  <c:v>61.841</c:v>
                </c:pt>
                <c:pt idx="107">
                  <c:v>61.986</c:v>
                </c:pt>
                <c:pt idx="108">
                  <c:v>62.13</c:v>
                </c:pt>
                <c:pt idx="109">
                  <c:v>62.273</c:v>
                </c:pt>
                <c:pt idx="110">
                  <c:v>62.418</c:v>
                </c:pt>
                <c:pt idx="111">
                  <c:v>62.562</c:v>
                </c:pt>
                <c:pt idx="112">
                  <c:v>62.707</c:v>
                </c:pt>
                <c:pt idx="113">
                  <c:v>62.852</c:v>
                </c:pt>
                <c:pt idx="114">
                  <c:v>62.993</c:v>
                </c:pt>
                <c:pt idx="115">
                  <c:v>63.137</c:v>
                </c:pt>
                <c:pt idx="116">
                  <c:v>63.282</c:v>
                </c:pt>
                <c:pt idx="117">
                  <c:v>63.42400000000001</c:v>
                </c:pt>
                <c:pt idx="118">
                  <c:v>63.568</c:v>
                </c:pt>
                <c:pt idx="119">
                  <c:v>63.712</c:v>
                </c:pt>
                <c:pt idx="120">
                  <c:v>63.857</c:v>
                </c:pt>
                <c:pt idx="121">
                  <c:v>64.002</c:v>
                </c:pt>
                <c:pt idx="122">
                  <c:v>64.145</c:v>
                </c:pt>
                <c:pt idx="123">
                  <c:v>64.286</c:v>
                </c:pt>
                <c:pt idx="124">
                  <c:v>64.426</c:v>
                </c:pt>
                <c:pt idx="125">
                  <c:v>64.566</c:v>
                </c:pt>
                <c:pt idx="126">
                  <c:v>64.707</c:v>
                </c:pt>
                <c:pt idx="127">
                  <c:v>64.851</c:v>
                </c:pt>
                <c:pt idx="128">
                  <c:v>64.995</c:v>
                </c:pt>
                <c:pt idx="129">
                  <c:v>65.138</c:v>
                </c:pt>
                <c:pt idx="130">
                  <c:v>65.27899999999998</c:v>
                </c:pt>
                <c:pt idx="131">
                  <c:v>65.421</c:v>
                </c:pt>
                <c:pt idx="132">
                  <c:v>65.56200000000001</c:v>
                </c:pt>
                <c:pt idx="133">
                  <c:v>65.70500000000001</c:v>
                </c:pt>
                <c:pt idx="134">
                  <c:v>65.849</c:v>
                </c:pt>
                <c:pt idx="135">
                  <c:v>65.991</c:v>
                </c:pt>
                <c:pt idx="136">
                  <c:v>66.13299999999998</c:v>
                </c:pt>
                <c:pt idx="137">
                  <c:v>66.275</c:v>
                </c:pt>
                <c:pt idx="138">
                  <c:v>66.418</c:v>
                </c:pt>
                <c:pt idx="139">
                  <c:v>66.558</c:v>
                </c:pt>
                <c:pt idx="140">
                  <c:v>66.698</c:v>
                </c:pt>
                <c:pt idx="141">
                  <c:v>66.84</c:v>
                </c:pt>
                <c:pt idx="142">
                  <c:v>66.981</c:v>
                </c:pt>
                <c:pt idx="143">
                  <c:v>67.12199999999998</c:v>
                </c:pt>
                <c:pt idx="144">
                  <c:v>67.265</c:v>
                </c:pt>
                <c:pt idx="145">
                  <c:v>67.405</c:v>
                </c:pt>
                <c:pt idx="146">
                  <c:v>67.546</c:v>
                </c:pt>
                <c:pt idx="147">
                  <c:v>67.68899999999998</c:v>
                </c:pt>
                <c:pt idx="148">
                  <c:v>67.82899999999998</c:v>
                </c:pt>
                <c:pt idx="149">
                  <c:v>67.969</c:v>
                </c:pt>
                <c:pt idx="150">
                  <c:v>68.111</c:v>
                </c:pt>
                <c:pt idx="151">
                  <c:v>68.254</c:v>
                </c:pt>
                <c:pt idx="152">
                  <c:v>68.395</c:v>
                </c:pt>
                <c:pt idx="153">
                  <c:v>68.537</c:v>
                </c:pt>
                <c:pt idx="154">
                  <c:v>68.67699999999998</c:v>
                </c:pt>
                <c:pt idx="155">
                  <c:v>68.81800000000001</c:v>
                </c:pt>
                <c:pt idx="156">
                  <c:v>68.96</c:v>
                </c:pt>
                <c:pt idx="157">
                  <c:v>69.104</c:v>
                </c:pt>
                <c:pt idx="158">
                  <c:v>69.245</c:v>
                </c:pt>
                <c:pt idx="159">
                  <c:v>69.385</c:v>
                </c:pt>
                <c:pt idx="160">
                  <c:v>69.52899999999998</c:v>
                </c:pt>
                <c:pt idx="161">
                  <c:v>69.66999999999997</c:v>
                </c:pt>
                <c:pt idx="162">
                  <c:v>69.81</c:v>
                </c:pt>
                <c:pt idx="163">
                  <c:v>69.95200000000001</c:v>
                </c:pt>
                <c:pt idx="164">
                  <c:v>70.09</c:v>
                </c:pt>
                <c:pt idx="165">
                  <c:v>70.23</c:v>
                </c:pt>
                <c:pt idx="166">
                  <c:v>70.369</c:v>
                </c:pt>
                <c:pt idx="167">
                  <c:v>70.506</c:v>
                </c:pt>
                <c:pt idx="168">
                  <c:v>70.646</c:v>
                </c:pt>
                <c:pt idx="169">
                  <c:v>70.785</c:v>
                </c:pt>
                <c:pt idx="170">
                  <c:v>70.924</c:v>
                </c:pt>
                <c:pt idx="171">
                  <c:v>71.064</c:v>
                </c:pt>
                <c:pt idx="172">
                  <c:v>71.203</c:v>
                </c:pt>
                <c:pt idx="173">
                  <c:v>71.34200000000001</c:v>
                </c:pt>
                <c:pt idx="174">
                  <c:v>71.48200000000001</c:v>
                </c:pt>
                <c:pt idx="175">
                  <c:v>71.62199999999998</c:v>
                </c:pt>
                <c:pt idx="176">
                  <c:v>71.764</c:v>
                </c:pt>
                <c:pt idx="177">
                  <c:v>71.906</c:v>
                </c:pt>
                <c:pt idx="178">
                  <c:v>72.048</c:v>
                </c:pt>
                <c:pt idx="179">
                  <c:v>72.19</c:v>
                </c:pt>
                <c:pt idx="180">
                  <c:v>72.334</c:v>
                </c:pt>
                <c:pt idx="181">
                  <c:v>72.478</c:v>
                </c:pt>
                <c:pt idx="182">
                  <c:v>72.617</c:v>
                </c:pt>
                <c:pt idx="183">
                  <c:v>72.758</c:v>
                </c:pt>
                <c:pt idx="184">
                  <c:v>72.897</c:v>
                </c:pt>
                <c:pt idx="185">
                  <c:v>73.036</c:v>
                </c:pt>
                <c:pt idx="186">
                  <c:v>73.17699999999998</c:v>
                </c:pt>
                <c:pt idx="187">
                  <c:v>73.317</c:v>
                </c:pt>
                <c:pt idx="188">
                  <c:v>73.457</c:v>
                </c:pt>
                <c:pt idx="189">
                  <c:v>73.599</c:v>
                </c:pt>
                <c:pt idx="190">
                  <c:v>73.739</c:v>
                </c:pt>
                <c:pt idx="191">
                  <c:v>73.87899999999995</c:v>
                </c:pt>
                <c:pt idx="192">
                  <c:v>74.021</c:v>
                </c:pt>
                <c:pt idx="193">
                  <c:v>74.161</c:v>
                </c:pt>
                <c:pt idx="194">
                  <c:v>74.299</c:v>
                </c:pt>
                <c:pt idx="195">
                  <c:v>74.439</c:v>
                </c:pt>
                <c:pt idx="196">
                  <c:v>74.57799999999997</c:v>
                </c:pt>
                <c:pt idx="197">
                  <c:v>74.718</c:v>
                </c:pt>
                <c:pt idx="198">
                  <c:v>74.85899999999998</c:v>
                </c:pt>
                <c:pt idx="199">
                  <c:v>74.999</c:v>
                </c:pt>
                <c:pt idx="200">
                  <c:v>75.141</c:v>
                </c:pt>
                <c:pt idx="201">
                  <c:v>75.282</c:v>
                </c:pt>
                <c:pt idx="202">
                  <c:v>75.424</c:v>
                </c:pt>
                <c:pt idx="203">
                  <c:v>75.566</c:v>
                </c:pt>
                <c:pt idx="204">
                  <c:v>75.71</c:v>
                </c:pt>
                <c:pt idx="205">
                  <c:v>75.85</c:v>
                </c:pt>
                <c:pt idx="206">
                  <c:v>75.991</c:v>
                </c:pt>
                <c:pt idx="207">
                  <c:v>76.13299999999998</c:v>
                </c:pt>
                <c:pt idx="208">
                  <c:v>76.27599999999998</c:v>
                </c:pt>
                <c:pt idx="209">
                  <c:v>76.417</c:v>
                </c:pt>
                <c:pt idx="210">
                  <c:v>76.558</c:v>
                </c:pt>
                <c:pt idx="211">
                  <c:v>76.698</c:v>
                </c:pt>
                <c:pt idx="212">
                  <c:v>76.836</c:v>
                </c:pt>
                <c:pt idx="213">
                  <c:v>76.973</c:v>
                </c:pt>
                <c:pt idx="214">
                  <c:v>77.111</c:v>
                </c:pt>
                <c:pt idx="215">
                  <c:v>77.252</c:v>
                </c:pt>
                <c:pt idx="216">
                  <c:v>77.393</c:v>
                </c:pt>
                <c:pt idx="217">
                  <c:v>77.535</c:v>
                </c:pt>
                <c:pt idx="218">
                  <c:v>77.67799999999998</c:v>
                </c:pt>
                <c:pt idx="219">
                  <c:v>77.819</c:v>
                </c:pt>
                <c:pt idx="220">
                  <c:v>77.95800000000001</c:v>
                </c:pt>
                <c:pt idx="221">
                  <c:v>78.09800000000001</c:v>
                </c:pt>
                <c:pt idx="222">
                  <c:v>78.236</c:v>
                </c:pt>
                <c:pt idx="223">
                  <c:v>78.37699999999998</c:v>
                </c:pt>
                <c:pt idx="224">
                  <c:v>78.519</c:v>
                </c:pt>
                <c:pt idx="225">
                  <c:v>78.66</c:v>
                </c:pt>
                <c:pt idx="226">
                  <c:v>78.802</c:v>
                </c:pt>
                <c:pt idx="227">
                  <c:v>78.943</c:v>
                </c:pt>
                <c:pt idx="228">
                  <c:v>79.084</c:v>
                </c:pt>
                <c:pt idx="229">
                  <c:v>79.223</c:v>
                </c:pt>
                <c:pt idx="230">
                  <c:v>79.364</c:v>
                </c:pt>
                <c:pt idx="231">
                  <c:v>79.505</c:v>
                </c:pt>
                <c:pt idx="232">
                  <c:v>79.646</c:v>
                </c:pt>
                <c:pt idx="233">
                  <c:v>79.787</c:v>
                </c:pt>
                <c:pt idx="234">
                  <c:v>79.93</c:v>
                </c:pt>
                <c:pt idx="235">
                  <c:v>80.07199999999997</c:v>
                </c:pt>
                <c:pt idx="236">
                  <c:v>80.213</c:v>
                </c:pt>
                <c:pt idx="237">
                  <c:v>80.35799999999997</c:v>
                </c:pt>
                <c:pt idx="238">
                  <c:v>80.501</c:v>
                </c:pt>
                <c:pt idx="239">
                  <c:v>80.643</c:v>
                </c:pt>
                <c:pt idx="240">
                  <c:v>80.784</c:v>
                </c:pt>
                <c:pt idx="241">
                  <c:v>80.924</c:v>
                </c:pt>
                <c:pt idx="242">
                  <c:v>81.06500000000001</c:v>
                </c:pt>
                <c:pt idx="243">
                  <c:v>81.206</c:v>
                </c:pt>
                <c:pt idx="244">
                  <c:v>81.347</c:v>
                </c:pt>
                <c:pt idx="245">
                  <c:v>81.486</c:v>
                </c:pt>
                <c:pt idx="246">
                  <c:v>81.62599999999995</c:v>
                </c:pt>
                <c:pt idx="247">
                  <c:v>81.769</c:v>
                </c:pt>
                <c:pt idx="248">
                  <c:v>81.912</c:v>
                </c:pt>
                <c:pt idx="249">
                  <c:v>82.054</c:v>
                </c:pt>
                <c:pt idx="250">
                  <c:v>82.195</c:v>
                </c:pt>
                <c:pt idx="251">
                  <c:v>82.337</c:v>
                </c:pt>
                <c:pt idx="252">
                  <c:v>82.478</c:v>
                </c:pt>
                <c:pt idx="253">
                  <c:v>82.62</c:v>
                </c:pt>
                <c:pt idx="254">
                  <c:v>82.761</c:v>
                </c:pt>
                <c:pt idx="255">
                  <c:v>82.903</c:v>
                </c:pt>
                <c:pt idx="256">
                  <c:v>83.045</c:v>
                </c:pt>
                <c:pt idx="257">
                  <c:v>83.18599999999998</c:v>
                </c:pt>
                <c:pt idx="258">
                  <c:v>83.327</c:v>
                </c:pt>
                <c:pt idx="259">
                  <c:v>83.47</c:v>
                </c:pt>
                <c:pt idx="260">
                  <c:v>83.612</c:v>
                </c:pt>
                <c:pt idx="261">
                  <c:v>83.755</c:v>
                </c:pt>
                <c:pt idx="262">
                  <c:v>83.897</c:v>
                </c:pt>
                <c:pt idx="263">
                  <c:v>84.04</c:v>
                </c:pt>
                <c:pt idx="264">
                  <c:v>84.18199999999997</c:v>
                </c:pt>
                <c:pt idx="265">
                  <c:v>84.324</c:v>
                </c:pt>
                <c:pt idx="266">
                  <c:v>84.465</c:v>
                </c:pt>
                <c:pt idx="267">
                  <c:v>84.60799999999997</c:v>
                </c:pt>
                <c:pt idx="268">
                  <c:v>84.749</c:v>
                </c:pt>
                <c:pt idx="269">
                  <c:v>84.89</c:v>
                </c:pt>
                <c:pt idx="270">
                  <c:v>85.031</c:v>
                </c:pt>
                <c:pt idx="271">
                  <c:v>85.16999999999997</c:v>
                </c:pt>
                <c:pt idx="272">
                  <c:v>85.311</c:v>
                </c:pt>
                <c:pt idx="273">
                  <c:v>85.45200000000001</c:v>
                </c:pt>
                <c:pt idx="274">
                  <c:v>85.591</c:v>
                </c:pt>
                <c:pt idx="275">
                  <c:v>85.73</c:v>
                </c:pt>
                <c:pt idx="276">
                  <c:v>85.87</c:v>
                </c:pt>
                <c:pt idx="277">
                  <c:v>86.011</c:v>
                </c:pt>
                <c:pt idx="278">
                  <c:v>86.15</c:v>
                </c:pt>
                <c:pt idx="279">
                  <c:v>86.289</c:v>
                </c:pt>
                <c:pt idx="280">
                  <c:v>86.43</c:v>
                </c:pt>
                <c:pt idx="281">
                  <c:v>86.569</c:v>
                </c:pt>
                <c:pt idx="282">
                  <c:v>86.707</c:v>
                </c:pt>
                <c:pt idx="283">
                  <c:v>86.847</c:v>
                </c:pt>
                <c:pt idx="284">
                  <c:v>86.987</c:v>
                </c:pt>
                <c:pt idx="285">
                  <c:v>87.12799999999998</c:v>
                </c:pt>
                <c:pt idx="286">
                  <c:v>87.272</c:v>
                </c:pt>
                <c:pt idx="287">
                  <c:v>87.415</c:v>
                </c:pt>
                <c:pt idx="288">
                  <c:v>87.554</c:v>
                </c:pt>
                <c:pt idx="289">
                  <c:v>87.695</c:v>
                </c:pt>
                <c:pt idx="290">
                  <c:v>87.837</c:v>
                </c:pt>
                <c:pt idx="291">
                  <c:v>87.975</c:v>
                </c:pt>
                <c:pt idx="292">
                  <c:v>88.118</c:v>
                </c:pt>
                <c:pt idx="293">
                  <c:v>88.258</c:v>
                </c:pt>
                <c:pt idx="294">
                  <c:v>88.396</c:v>
                </c:pt>
                <c:pt idx="295">
                  <c:v>88.536</c:v>
                </c:pt>
                <c:pt idx="296">
                  <c:v>88.67599999999948</c:v>
                </c:pt>
                <c:pt idx="297">
                  <c:v>88.819</c:v>
                </c:pt>
                <c:pt idx="298">
                  <c:v>88.961</c:v>
                </c:pt>
                <c:pt idx="299">
                  <c:v>89.10299999999998</c:v>
                </c:pt>
                <c:pt idx="300">
                  <c:v>89.245</c:v>
                </c:pt>
                <c:pt idx="301">
                  <c:v>89.387</c:v>
                </c:pt>
                <c:pt idx="302">
                  <c:v>89.533</c:v>
                </c:pt>
                <c:pt idx="303">
                  <c:v>89.67599999999948</c:v>
                </c:pt>
                <c:pt idx="304">
                  <c:v>89.816</c:v>
                </c:pt>
                <c:pt idx="305">
                  <c:v>89.95800000000001</c:v>
                </c:pt>
                <c:pt idx="306">
                  <c:v>90.096</c:v>
                </c:pt>
                <c:pt idx="307">
                  <c:v>90.227</c:v>
                </c:pt>
                <c:pt idx="308">
                  <c:v>90.362</c:v>
                </c:pt>
                <c:pt idx="309">
                  <c:v>90.501</c:v>
                </c:pt>
                <c:pt idx="310">
                  <c:v>90.641</c:v>
                </c:pt>
                <c:pt idx="311">
                  <c:v>90.781</c:v>
                </c:pt>
                <c:pt idx="312">
                  <c:v>90.922</c:v>
                </c:pt>
                <c:pt idx="313">
                  <c:v>91.06200000000001</c:v>
                </c:pt>
                <c:pt idx="314">
                  <c:v>91.20200000000001</c:v>
                </c:pt>
                <c:pt idx="315">
                  <c:v>91.344</c:v>
                </c:pt>
                <c:pt idx="316">
                  <c:v>91.484</c:v>
                </c:pt>
                <c:pt idx="317">
                  <c:v>91.62499999999998</c:v>
                </c:pt>
                <c:pt idx="318">
                  <c:v>91.768</c:v>
                </c:pt>
                <c:pt idx="319">
                  <c:v>91.909</c:v>
                </c:pt>
                <c:pt idx="320">
                  <c:v>92.049</c:v>
                </c:pt>
                <c:pt idx="321">
                  <c:v>92.191</c:v>
                </c:pt>
                <c:pt idx="322">
                  <c:v>92.333</c:v>
                </c:pt>
                <c:pt idx="323">
                  <c:v>92.474</c:v>
                </c:pt>
                <c:pt idx="324">
                  <c:v>92.617</c:v>
                </c:pt>
                <c:pt idx="325">
                  <c:v>92.759</c:v>
                </c:pt>
                <c:pt idx="326">
                  <c:v>92.9</c:v>
                </c:pt>
                <c:pt idx="327">
                  <c:v>93.042</c:v>
                </c:pt>
                <c:pt idx="328">
                  <c:v>93.18099999999998</c:v>
                </c:pt>
                <c:pt idx="329">
                  <c:v>93.32199999999997</c:v>
                </c:pt>
                <c:pt idx="330">
                  <c:v>93.463</c:v>
                </c:pt>
                <c:pt idx="331">
                  <c:v>93.604</c:v>
                </c:pt>
                <c:pt idx="332">
                  <c:v>93.748</c:v>
                </c:pt>
                <c:pt idx="333">
                  <c:v>93.88899999999998</c:v>
                </c:pt>
                <c:pt idx="334">
                  <c:v>94.031</c:v>
                </c:pt>
                <c:pt idx="335">
                  <c:v>94.17299999999948</c:v>
                </c:pt>
                <c:pt idx="336">
                  <c:v>94.314</c:v>
                </c:pt>
                <c:pt idx="337">
                  <c:v>94.456</c:v>
                </c:pt>
                <c:pt idx="338">
                  <c:v>94.599</c:v>
                </c:pt>
                <c:pt idx="339">
                  <c:v>94.742</c:v>
                </c:pt>
                <c:pt idx="340">
                  <c:v>94.88599999999998</c:v>
                </c:pt>
                <c:pt idx="341">
                  <c:v>95.027</c:v>
                </c:pt>
                <c:pt idx="342">
                  <c:v>95.167</c:v>
                </c:pt>
                <c:pt idx="343">
                  <c:v>95.307</c:v>
                </c:pt>
                <c:pt idx="344">
                  <c:v>95.45</c:v>
                </c:pt>
                <c:pt idx="345">
                  <c:v>95.593</c:v>
                </c:pt>
                <c:pt idx="346">
                  <c:v>95.737</c:v>
                </c:pt>
                <c:pt idx="347">
                  <c:v>95.87899999999995</c:v>
                </c:pt>
                <c:pt idx="348">
                  <c:v>96.02299999999998</c:v>
                </c:pt>
                <c:pt idx="349">
                  <c:v>96.167</c:v>
                </c:pt>
                <c:pt idx="350">
                  <c:v>96.311</c:v>
                </c:pt>
                <c:pt idx="351">
                  <c:v>96.45500000000001</c:v>
                </c:pt>
                <c:pt idx="352">
                  <c:v>96.59800000000001</c:v>
                </c:pt>
                <c:pt idx="353">
                  <c:v>96.739</c:v>
                </c:pt>
                <c:pt idx="354">
                  <c:v>96.87899999999995</c:v>
                </c:pt>
                <c:pt idx="355">
                  <c:v>97.019</c:v>
                </c:pt>
                <c:pt idx="356">
                  <c:v>97.162</c:v>
                </c:pt>
                <c:pt idx="357">
                  <c:v>97.304</c:v>
                </c:pt>
                <c:pt idx="358">
                  <c:v>97.448</c:v>
                </c:pt>
                <c:pt idx="359">
                  <c:v>97.59200000000001</c:v>
                </c:pt>
                <c:pt idx="360">
                  <c:v>97.736</c:v>
                </c:pt>
                <c:pt idx="361">
                  <c:v>97.88</c:v>
                </c:pt>
                <c:pt idx="362">
                  <c:v>98.02</c:v>
                </c:pt>
                <c:pt idx="363">
                  <c:v>98.15899999999998</c:v>
                </c:pt>
                <c:pt idx="364">
                  <c:v>98.299</c:v>
                </c:pt>
                <c:pt idx="365">
                  <c:v>98.441</c:v>
                </c:pt>
                <c:pt idx="366">
                  <c:v>98.585</c:v>
                </c:pt>
                <c:pt idx="367">
                  <c:v>98.727</c:v>
                </c:pt>
                <c:pt idx="368">
                  <c:v>98.87</c:v>
                </c:pt>
                <c:pt idx="369">
                  <c:v>99.011</c:v>
                </c:pt>
                <c:pt idx="370">
                  <c:v>99.15099999999998</c:v>
                </c:pt>
                <c:pt idx="371">
                  <c:v>99.292</c:v>
                </c:pt>
                <c:pt idx="372">
                  <c:v>99.433</c:v>
                </c:pt>
                <c:pt idx="373">
                  <c:v>99.57199999999997</c:v>
                </c:pt>
                <c:pt idx="374">
                  <c:v>99.70800000000001</c:v>
                </c:pt>
                <c:pt idx="375">
                  <c:v>99.84500000000001</c:v>
                </c:pt>
                <c:pt idx="376">
                  <c:v>99.983</c:v>
                </c:pt>
                <c:pt idx="377">
                  <c:v>100.125</c:v>
                </c:pt>
                <c:pt idx="378">
                  <c:v>100.268</c:v>
                </c:pt>
                <c:pt idx="379">
                  <c:v>100.409</c:v>
                </c:pt>
                <c:pt idx="380">
                  <c:v>100.551</c:v>
                </c:pt>
                <c:pt idx="381">
                  <c:v>100.693</c:v>
                </c:pt>
                <c:pt idx="382">
                  <c:v>100.836</c:v>
                </c:pt>
                <c:pt idx="383">
                  <c:v>100.979</c:v>
                </c:pt>
                <c:pt idx="384">
                  <c:v>101.122</c:v>
                </c:pt>
                <c:pt idx="385">
                  <c:v>101.267</c:v>
                </c:pt>
                <c:pt idx="386">
                  <c:v>101.407</c:v>
                </c:pt>
                <c:pt idx="387">
                  <c:v>101.547</c:v>
                </c:pt>
                <c:pt idx="388">
                  <c:v>101.688</c:v>
                </c:pt>
                <c:pt idx="389">
                  <c:v>101.828</c:v>
                </c:pt>
                <c:pt idx="390">
                  <c:v>101.97</c:v>
                </c:pt>
                <c:pt idx="391">
                  <c:v>102.112</c:v>
                </c:pt>
                <c:pt idx="392">
                  <c:v>102.255</c:v>
                </c:pt>
                <c:pt idx="393">
                  <c:v>102.398</c:v>
                </c:pt>
                <c:pt idx="394">
                  <c:v>102.541</c:v>
                </c:pt>
                <c:pt idx="395">
                  <c:v>102.685</c:v>
                </c:pt>
                <c:pt idx="396">
                  <c:v>102.826</c:v>
                </c:pt>
                <c:pt idx="397">
                  <c:v>102.969</c:v>
                </c:pt>
                <c:pt idx="398">
                  <c:v>103.113</c:v>
                </c:pt>
                <c:pt idx="399">
                  <c:v>103.254</c:v>
                </c:pt>
                <c:pt idx="400">
                  <c:v>103.394</c:v>
                </c:pt>
                <c:pt idx="401">
                  <c:v>103.538</c:v>
                </c:pt>
                <c:pt idx="402">
                  <c:v>103.682</c:v>
                </c:pt>
                <c:pt idx="403">
                  <c:v>103.825</c:v>
                </c:pt>
                <c:pt idx="404">
                  <c:v>103.966</c:v>
                </c:pt>
                <c:pt idx="405">
                  <c:v>104.106</c:v>
                </c:pt>
                <c:pt idx="406">
                  <c:v>104.246</c:v>
                </c:pt>
                <c:pt idx="407">
                  <c:v>104.388</c:v>
                </c:pt>
                <c:pt idx="408">
                  <c:v>104.531</c:v>
                </c:pt>
                <c:pt idx="409">
                  <c:v>104.674</c:v>
                </c:pt>
                <c:pt idx="410">
                  <c:v>104.815</c:v>
                </c:pt>
                <c:pt idx="411">
                  <c:v>104.957</c:v>
                </c:pt>
                <c:pt idx="412">
                  <c:v>105.098</c:v>
                </c:pt>
                <c:pt idx="413">
                  <c:v>105.239</c:v>
                </c:pt>
                <c:pt idx="414">
                  <c:v>105.381</c:v>
                </c:pt>
                <c:pt idx="415">
                  <c:v>105.524</c:v>
                </c:pt>
                <c:pt idx="416">
                  <c:v>105.666</c:v>
                </c:pt>
                <c:pt idx="417">
                  <c:v>105.807</c:v>
                </c:pt>
                <c:pt idx="418">
                  <c:v>105.948</c:v>
                </c:pt>
                <c:pt idx="419">
                  <c:v>106.088</c:v>
                </c:pt>
                <c:pt idx="420">
                  <c:v>106.23</c:v>
                </c:pt>
                <c:pt idx="421">
                  <c:v>106.372</c:v>
                </c:pt>
                <c:pt idx="422">
                  <c:v>106.513</c:v>
                </c:pt>
                <c:pt idx="423">
                  <c:v>106.651</c:v>
                </c:pt>
                <c:pt idx="424">
                  <c:v>106.79</c:v>
                </c:pt>
                <c:pt idx="425">
                  <c:v>106.93</c:v>
                </c:pt>
                <c:pt idx="426">
                  <c:v>107.07</c:v>
                </c:pt>
                <c:pt idx="427">
                  <c:v>107.213</c:v>
                </c:pt>
                <c:pt idx="428">
                  <c:v>107.356</c:v>
                </c:pt>
                <c:pt idx="429">
                  <c:v>107.498</c:v>
                </c:pt>
                <c:pt idx="430">
                  <c:v>107.641</c:v>
                </c:pt>
                <c:pt idx="431">
                  <c:v>107.785</c:v>
                </c:pt>
                <c:pt idx="432">
                  <c:v>107.926</c:v>
                </c:pt>
                <c:pt idx="433">
                  <c:v>108.067</c:v>
                </c:pt>
                <c:pt idx="434">
                  <c:v>108.21</c:v>
                </c:pt>
                <c:pt idx="435">
                  <c:v>108.35</c:v>
                </c:pt>
                <c:pt idx="436">
                  <c:v>108.49</c:v>
                </c:pt>
                <c:pt idx="437">
                  <c:v>108.632</c:v>
                </c:pt>
                <c:pt idx="438">
                  <c:v>108.772</c:v>
                </c:pt>
                <c:pt idx="439">
                  <c:v>108.913</c:v>
                </c:pt>
                <c:pt idx="440">
                  <c:v>109.053</c:v>
                </c:pt>
                <c:pt idx="441">
                  <c:v>109.196</c:v>
                </c:pt>
                <c:pt idx="442">
                  <c:v>109.334</c:v>
                </c:pt>
                <c:pt idx="443">
                  <c:v>109.475</c:v>
                </c:pt>
                <c:pt idx="444">
                  <c:v>109.616</c:v>
                </c:pt>
                <c:pt idx="445">
                  <c:v>109.757</c:v>
                </c:pt>
                <c:pt idx="446">
                  <c:v>109.899</c:v>
                </c:pt>
                <c:pt idx="447">
                  <c:v>110.042</c:v>
                </c:pt>
                <c:pt idx="448">
                  <c:v>110.185</c:v>
                </c:pt>
                <c:pt idx="449">
                  <c:v>110.326</c:v>
                </c:pt>
                <c:pt idx="450">
                  <c:v>110.465</c:v>
                </c:pt>
                <c:pt idx="451">
                  <c:v>110.604</c:v>
                </c:pt>
                <c:pt idx="452">
                  <c:v>110.746</c:v>
                </c:pt>
                <c:pt idx="453">
                  <c:v>110.887</c:v>
                </c:pt>
                <c:pt idx="454">
                  <c:v>111.028</c:v>
                </c:pt>
                <c:pt idx="455">
                  <c:v>111.171</c:v>
                </c:pt>
                <c:pt idx="456">
                  <c:v>111.315</c:v>
                </c:pt>
                <c:pt idx="457">
                  <c:v>111.459</c:v>
                </c:pt>
                <c:pt idx="458">
                  <c:v>111.603</c:v>
                </c:pt>
                <c:pt idx="459">
                  <c:v>111.746</c:v>
                </c:pt>
                <c:pt idx="460">
                  <c:v>111.892</c:v>
                </c:pt>
                <c:pt idx="461">
                  <c:v>112.037</c:v>
                </c:pt>
                <c:pt idx="462">
                  <c:v>112.181</c:v>
                </c:pt>
                <c:pt idx="463">
                  <c:v>112.325</c:v>
                </c:pt>
                <c:pt idx="464">
                  <c:v>112.47</c:v>
                </c:pt>
                <c:pt idx="465">
                  <c:v>112.617</c:v>
                </c:pt>
                <c:pt idx="466">
                  <c:v>112.766</c:v>
                </c:pt>
                <c:pt idx="467">
                  <c:v>112.926</c:v>
                </c:pt>
                <c:pt idx="468">
                  <c:v>113.093</c:v>
                </c:pt>
                <c:pt idx="469">
                  <c:v>113.261</c:v>
                </c:pt>
                <c:pt idx="470">
                  <c:v>113.433</c:v>
                </c:pt>
                <c:pt idx="471">
                  <c:v>113.607</c:v>
                </c:pt>
                <c:pt idx="472">
                  <c:v>113.78</c:v>
                </c:pt>
                <c:pt idx="473">
                  <c:v>113.955</c:v>
                </c:pt>
                <c:pt idx="474">
                  <c:v>114.13</c:v>
                </c:pt>
                <c:pt idx="475">
                  <c:v>114.299</c:v>
                </c:pt>
                <c:pt idx="476">
                  <c:v>114.468</c:v>
                </c:pt>
                <c:pt idx="477">
                  <c:v>114.637</c:v>
                </c:pt>
                <c:pt idx="478">
                  <c:v>114.805</c:v>
                </c:pt>
                <c:pt idx="479">
                  <c:v>114.974</c:v>
                </c:pt>
                <c:pt idx="480">
                  <c:v>115.143</c:v>
                </c:pt>
                <c:pt idx="481">
                  <c:v>115.311</c:v>
                </c:pt>
                <c:pt idx="482">
                  <c:v>115.481</c:v>
                </c:pt>
                <c:pt idx="483">
                  <c:v>115.653</c:v>
                </c:pt>
                <c:pt idx="484">
                  <c:v>115.824</c:v>
                </c:pt>
                <c:pt idx="485">
                  <c:v>115.995</c:v>
                </c:pt>
                <c:pt idx="486">
                  <c:v>116.165</c:v>
                </c:pt>
                <c:pt idx="487">
                  <c:v>116.335</c:v>
                </c:pt>
                <c:pt idx="488">
                  <c:v>116.503</c:v>
                </c:pt>
                <c:pt idx="489">
                  <c:v>116.673</c:v>
                </c:pt>
                <c:pt idx="490">
                  <c:v>116.843</c:v>
                </c:pt>
                <c:pt idx="491">
                  <c:v>117.013</c:v>
                </c:pt>
                <c:pt idx="492">
                  <c:v>117.181</c:v>
                </c:pt>
                <c:pt idx="493">
                  <c:v>117.349</c:v>
                </c:pt>
                <c:pt idx="494">
                  <c:v>117.517</c:v>
                </c:pt>
                <c:pt idx="495">
                  <c:v>117.685</c:v>
                </c:pt>
                <c:pt idx="496">
                  <c:v>117.85</c:v>
                </c:pt>
                <c:pt idx="497">
                  <c:v>118.015</c:v>
                </c:pt>
                <c:pt idx="498">
                  <c:v>118.181</c:v>
                </c:pt>
                <c:pt idx="499">
                  <c:v>118.349</c:v>
                </c:pt>
                <c:pt idx="500">
                  <c:v>118.517</c:v>
                </c:pt>
                <c:pt idx="501">
                  <c:v>118.684</c:v>
                </c:pt>
                <c:pt idx="502">
                  <c:v>118.851</c:v>
                </c:pt>
                <c:pt idx="503">
                  <c:v>119.018</c:v>
                </c:pt>
                <c:pt idx="504">
                  <c:v>119.184</c:v>
                </c:pt>
                <c:pt idx="505">
                  <c:v>119.352</c:v>
                </c:pt>
                <c:pt idx="506">
                  <c:v>119.521</c:v>
                </c:pt>
                <c:pt idx="507">
                  <c:v>119.69</c:v>
                </c:pt>
                <c:pt idx="508">
                  <c:v>119.858</c:v>
                </c:pt>
                <c:pt idx="509">
                  <c:v>120.026</c:v>
                </c:pt>
                <c:pt idx="510">
                  <c:v>120.194</c:v>
                </c:pt>
                <c:pt idx="511">
                  <c:v>120.361</c:v>
                </c:pt>
                <c:pt idx="512">
                  <c:v>120.53</c:v>
                </c:pt>
                <c:pt idx="513">
                  <c:v>120.696</c:v>
                </c:pt>
                <c:pt idx="514">
                  <c:v>120.863</c:v>
                </c:pt>
                <c:pt idx="515">
                  <c:v>121.025</c:v>
                </c:pt>
                <c:pt idx="516">
                  <c:v>121.189</c:v>
                </c:pt>
                <c:pt idx="517">
                  <c:v>121.357</c:v>
                </c:pt>
                <c:pt idx="518">
                  <c:v>121.524</c:v>
                </c:pt>
                <c:pt idx="519">
                  <c:v>121.692</c:v>
                </c:pt>
                <c:pt idx="520">
                  <c:v>121.86</c:v>
                </c:pt>
                <c:pt idx="521">
                  <c:v>122.028</c:v>
                </c:pt>
                <c:pt idx="522">
                  <c:v>122.194</c:v>
                </c:pt>
                <c:pt idx="523">
                  <c:v>122.359</c:v>
                </c:pt>
                <c:pt idx="524">
                  <c:v>122.524</c:v>
                </c:pt>
                <c:pt idx="525">
                  <c:v>122.69</c:v>
                </c:pt>
                <c:pt idx="526">
                  <c:v>122.857</c:v>
                </c:pt>
                <c:pt idx="527">
                  <c:v>123.024</c:v>
                </c:pt>
                <c:pt idx="528">
                  <c:v>123.192</c:v>
                </c:pt>
                <c:pt idx="529">
                  <c:v>123.36</c:v>
                </c:pt>
                <c:pt idx="530">
                  <c:v>123.527</c:v>
                </c:pt>
                <c:pt idx="531">
                  <c:v>123.691</c:v>
                </c:pt>
                <c:pt idx="532">
                  <c:v>123.858</c:v>
                </c:pt>
                <c:pt idx="533">
                  <c:v>124.024</c:v>
                </c:pt>
                <c:pt idx="534">
                  <c:v>124.194</c:v>
                </c:pt>
                <c:pt idx="535">
                  <c:v>124.364</c:v>
                </c:pt>
                <c:pt idx="536">
                  <c:v>124.534</c:v>
                </c:pt>
                <c:pt idx="537">
                  <c:v>124.703</c:v>
                </c:pt>
                <c:pt idx="538">
                  <c:v>124.871</c:v>
                </c:pt>
                <c:pt idx="539">
                  <c:v>125.039</c:v>
                </c:pt>
                <c:pt idx="540">
                  <c:v>125.207</c:v>
                </c:pt>
                <c:pt idx="541">
                  <c:v>125.374</c:v>
                </c:pt>
                <c:pt idx="542">
                  <c:v>125.542</c:v>
                </c:pt>
                <c:pt idx="543">
                  <c:v>125.708</c:v>
                </c:pt>
                <c:pt idx="544">
                  <c:v>125.876</c:v>
                </c:pt>
                <c:pt idx="545">
                  <c:v>126.041</c:v>
                </c:pt>
                <c:pt idx="546">
                  <c:v>126.21</c:v>
                </c:pt>
                <c:pt idx="547">
                  <c:v>126.377</c:v>
                </c:pt>
                <c:pt idx="548">
                  <c:v>126.543</c:v>
                </c:pt>
                <c:pt idx="549">
                  <c:v>126.709</c:v>
                </c:pt>
                <c:pt idx="550">
                  <c:v>126.876</c:v>
                </c:pt>
                <c:pt idx="551">
                  <c:v>127.042</c:v>
                </c:pt>
                <c:pt idx="552">
                  <c:v>127.207</c:v>
                </c:pt>
                <c:pt idx="553">
                  <c:v>127.372</c:v>
                </c:pt>
                <c:pt idx="554">
                  <c:v>127.54</c:v>
                </c:pt>
                <c:pt idx="555">
                  <c:v>127.707</c:v>
                </c:pt>
                <c:pt idx="556">
                  <c:v>127.869</c:v>
                </c:pt>
                <c:pt idx="557">
                  <c:v>128.032</c:v>
                </c:pt>
                <c:pt idx="558">
                  <c:v>128.196</c:v>
                </c:pt>
                <c:pt idx="559">
                  <c:v>128.363</c:v>
                </c:pt>
                <c:pt idx="560">
                  <c:v>128.531</c:v>
                </c:pt>
                <c:pt idx="561">
                  <c:v>128.699</c:v>
                </c:pt>
                <c:pt idx="562">
                  <c:v>128.867</c:v>
                </c:pt>
                <c:pt idx="563">
                  <c:v>129.034</c:v>
                </c:pt>
                <c:pt idx="564">
                  <c:v>129.201</c:v>
                </c:pt>
                <c:pt idx="565">
                  <c:v>129.367</c:v>
                </c:pt>
                <c:pt idx="566">
                  <c:v>129.532</c:v>
                </c:pt>
                <c:pt idx="567">
                  <c:v>129.699</c:v>
                </c:pt>
                <c:pt idx="568">
                  <c:v>129.866</c:v>
                </c:pt>
                <c:pt idx="569">
                  <c:v>130.032</c:v>
                </c:pt>
                <c:pt idx="570">
                  <c:v>130.198</c:v>
                </c:pt>
                <c:pt idx="571">
                  <c:v>130.364</c:v>
                </c:pt>
                <c:pt idx="572">
                  <c:v>130.528</c:v>
                </c:pt>
                <c:pt idx="573">
                  <c:v>130.694</c:v>
                </c:pt>
                <c:pt idx="574">
                  <c:v>130.859</c:v>
                </c:pt>
                <c:pt idx="575">
                  <c:v>131.024</c:v>
                </c:pt>
                <c:pt idx="576">
                  <c:v>131.188</c:v>
                </c:pt>
                <c:pt idx="577">
                  <c:v>131.354</c:v>
                </c:pt>
                <c:pt idx="578">
                  <c:v>131.521</c:v>
                </c:pt>
                <c:pt idx="579">
                  <c:v>131.688</c:v>
                </c:pt>
                <c:pt idx="580">
                  <c:v>131.853</c:v>
                </c:pt>
                <c:pt idx="581">
                  <c:v>132.018</c:v>
                </c:pt>
                <c:pt idx="582">
                  <c:v>132.182</c:v>
                </c:pt>
                <c:pt idx="583">
                  <c:v>132.345</c:v>
                </c:pt>
                <c:pt idx="584">
                  <c:v>132.51</c:v>
                </c:pt>
                <c:pt idx="585">
                  <c:v>132.675</c:v>
                </c:pt>
                <c:pt idx="586">
                  <c:v>132.84</c:v>
                </c:pt>
                <c:pt idx="587">
                  <c:v>133.005</c:v>
                </c:pt>
                <c:pt idx="588">
                  <c:v>133.171</c:v>
                </c:pt>
                <c:pt idx="589">
                  <c:v>133.335</c:v>
                </c:pt>
                <c:pt idx="590">
                  <c:v>133.502</c:v>
                </c:pt>
                <c:pt idx="591">
                  <c:v>133.671</c:v>
                </c:pt>
                <c:pt idx="592">
                  <c:v>133.838</c:v>
                </c:pt>
                <c:pt idx="593">
                  <c:v>134.005</c:v>
                </c:pt>
                <c:pt idx="594">
                  <c:v>134.172</c:v>
                </c:pt>
                <c:pt idx="595">
                  <c:v>134.337</c:v>
                </c:pt>
                <c:pt idx="596">
                  <c:v>134.505</c:v>
                </c:pt>
                <c:pt idx="597">
                  <c:v>134.67</c:v>
                </c:pt>
                <c:pt idx="598">
                  <c:v>134.834</c:v>
                </c:pt>
                <c:pt idx="599">
                  <c:v>134.994</c:v>
                </c:pt>
                <c:pt idx="600">
                  <c:v>135.155</c:v>
                </c:pt>
                <c:pt idx="601">
                  <c:v>135.316</c:v>
                </c:pt>
                <c:pt idx="602">
                  <c:v>135.477</c:v>
                </c:pt>
                <c:pt idx="603">
                  <c:v>135.64</c:v>
                </c:pt>
                <c:pt idx="604">
                  <c:v>135.803</c:v>
                </c:pt>
                <c:pt idx="605">
                  <c:v>135.968</c:v>
                </c:pt>
                <c:pt idx="606">
                  <c:v>136.133</c:v>
                </c:pt>
                <c:pt idx="607">
                  <c:v>136.299</c:v>
                </c:pt>
                <c:pt idx="608">
                  <c:v>136.463</c:v>
                </c:pt>
                <c:pt idx="609">
                  <c:v>136.628</c:v>
                </c:pt>
                <c:pt idx="610">
                  <c:v>136.792</c:v>
                </c:pt>
                <c:pt idx="611">
                  <c:v>136.958</c:v>
                </c:pt>
                <c:pt idx="612">
                  <c:v>137.126</c:v>
                </c:pt>
                <c:pt idx="613">
                  <c:v>137.294</c:v>
                </c:pt>
                <c:pt idx="614">
                  <c:v>137.461</c:v>
                </c:pt>
                <c:pt idx="615">
                  <c:v>137.625</c:v>
                </c:pt>
                <c:pt idx="616">
                  <c:v>137.79</c:v>
                </c:pt>
                <c:pt idx="617">
                  <c:v>137.957</c:v>
                </c:pt>
                <c:pt idx="618">
                  <c:v>138.123</c:v>
                </c:pt>
                <c:pt idx="619">
                  <c:v>138.291</c:v>
                </c:pt>
                <c:pt idx="620">
                  <c:v>138.457</c:v>
                </c:pt>
                <c:pt idx="621">
                  <c:v>138.623</c:v>
                </c:pt>
                <c:pt idx="622">
                  <c:v>138.789</c:v>
                </c:pt>
                <c:pt idx="623">
                  <c:v>138.955</c:v>
                </c:pt>
                <c:pt idx="624">
                  <c:v>139.121</c:v>
                </c:pt>
                <c:pt idx="625">
                  <c:v>139.286</c:v>
                </c:pt>
                <c:pt idx="626">
                  <c:v>139.45</c:v>
                </c:pt>
                <c:pt idx="627">
                  <c:v>139.617</c:v>
                </c:pt>
                <c:pt idx="628">
                  <c:v>139.779</c:v>
                </c:pt>
                <c:pt idx="629">
                  <c:v>139.946</c:v>
                </c:pt>
                <c:pt idx="630">
                  <c:v>140.109</c:v>
                </c:pt>
                <c:pt idx="631">
                  <c:v>140.274</c:v>
                </c:pt>
                <c:pt idx="632">
                  <c:v>140.439</c:v>
                </c:pt>
                <c:pt idx="633">
                  <c:v>140.605</c:v>
                </c:pt>
                <c:pt idx="634">
                  <c:v>140.77</c:v>
                </c:pt>
                <c:pt idx="635">
                  <c:v>140.937</c:v>
                </c:pt>
                <c:pt idx="636">
                  <c:v>141.101</c:v>
                </c:pt>
                <c:pt idx="637">
                  <c:v>141.267</c:v>
                </c:pt>
                <c:pt idx="638">
                  <c:v>141.433</c:v>
                </c:pt>
                <c:pt idx="639">
                  <c:v>141.6</c:v>
                </c:pt>
                <c:pt idx="640">
                  <c:v>141.768</c:v>
                </c:pt>
                <c:pt idx="641">
                  <c:v>141.935</c:v>
                </c:pt>
                <c:pt idx="642">
                  <c:v>142.104</c:v>
                </c:pt>
                <c:pt idx="643">
                  <c:v>142.272</c:v>
                </c:pt>
                <c:pt idx="644">
                  <c:v>142.439</c:v>
                </c:pt>
                <c:pt idx="645">
                  <c:v>142.602</c:v>
                </c:pt>
                <c:pt idx="646">
                  <c:v>142.766</c:v>
                </c:pt>
                <c:pt idx="647">
                  <c:v>142.928</c:v>
                </c:pt>
                <c:pt idx="648">
                  <c:v>143.094</c:v>
                </c:pt>
                <c:pt idx="649">
                  <c:v>143.263</c:v>
                </c:pt>
                <c:pt idx="650">
                  <c:v>143.429</c:v>
                </c:pt>
                <c:pt idx="651">
                  <c:v>143.592</c:v>
                </c:pt>
                <c:pt idx="652">
                  <c:v>143.755</c:v>
                </c:pt>
                <c:pt idx="653">
                  <c:v>143.922</c:v>
                </c:pt>
                <c:pt idx="654">
                  <c:v>144.09</c:v>
                </c:pt>
                <c:pt idx="655">
                  <c:v>144.258</c:v>
                </c:pt>
                <c:pt idx="656">
                  <c:v>144.426</c:v>
                </c:pt>
                <c:pt idx="657">
                  <c:v>144.593</c:v>
                </c:pt>
                <c:pt idx="658">
                  <c:v>144.76</c:v>
                </c:pt>
                <c:pt idx="659">
                  <c:v>144.927</c:v>
                </c:pt>
                <c:pt idx="660">
                  <c:v>145.096</c:v>
                </c:pt>
                <c:pt idx="661">
                  <c:v>145.263</c:v>
                </c:pt>
                <c:pt idx="662">
                  <c:v>145.43</c:v>
                </c:pt>
                <c:pt idx="663">
                  <c:v>145.599</c:v>
                </c:pt>
                <c:pt idx="664">
                  <c:v>145.766</c:v>
                </c:pt>
                <c:pt idx="665">
                  <c:v>145.933</c:v>
                </c:pt>
                <c:pt idx="666">
                  <c:v>146.099</c:v>
                </c:pt>
                <c:pt idx="667">
                  <c:v>146.264</c:v>
                </c:pt>
                <c:pt idx="668">
                  <c:v>146.429</c:v>
                </c:pt>
                <c:pt idx="669">
                  <c:v>146.59</c:v>
                </c:pt>
                <c:pt idx="670">
                  <c:v>146.751</c:v>
                </c:pt>
                <c:pt idx="671">
                  <c:v>146.916</c:v>
                </c:pt>
                <c:pt idx="672">
                  <c:v>147.081</c:v>
                </c:pt>
                <c:pt idx="673">
                  <c:v>147.245</c:v>
                </c:pt>
                <c:pt idx="674">
                  <c:v>147.408</c:v>
                </c:pt>
                <c:pt idx="675">
                  <c:v>147.571</c:v>
                </c:pt>
                <c:pt idx="676">
                  <c:v>147.734</c:v>
                </c:pt>
                <c:pt idx="677">
                  <c:v>147.898</c:v>
                </c:pt>
                <c:pt idx="678">
                  <c:v>148.062</c:v>
                </c:pt>
                <c:pt idx="679">
                  <c:v>148.224</c:v>
                </c:pt>
                <c:pt idx="680">
                  <c:v>148.387</c:v>
                </c:pt>
                <c:pt idx="681">
                  <c:v>148.551</c:v>
                </c:pt>
                <c:pt idx="682">
                  <c:v>148.716</c:v>
                </c:pt>
                <c:pt idx="683">
                  <c:v>148.881</c:v>
                </c:pt>
                <c:pt idx="684">
                  <c:v>149.042</c:v>
                </c:pt>
                <c:pt idx="685">
                  <c:v>149.202</c:v>
                </c:pt>
                <c:pt idx="686">
                  <c:v>149.364</c:v>
                </c:pt>
                <c:pt idx="687">
                  <c:v>149.53</c:v>
                </c:pt>
                <c:pt idx="688">
                  <c:v>149.694</c:v>
                </c:pt>
                <c:pt idx="689">
                  <c:v>149.859</c:v>
                </c:pt>
                <c:pt idx="690">
                  <c:v>150.024</c:v>
                </c:pt>
                <c:pt idx="691">
                  <c:v>150.19</c:v>
                </c:pt>
                <c:pt idx="692">
                  <c:v>150.358</c:v>
                </c:pt>
                <c:pt idx="693">
                  <c:v>150.526</c:v>
                </c:pt>
                <c:pt idx="694">
                  <c:v>150.693</c:v>
                </c:pt>
                <c:pt idx="695">
                  <c:v>150.857</c:v>
                </c:pt>
                <c:pt idx="696">
                  <c:v>151.021</c:v>
                </c:pt>
                <c:pt idx="697">
                  <c:v>151.186</c:v>
                </c:pt>
                <c:pt idx="698">
                  <c:v>151.352</c:v>
                </c:pt>
                <c:pt idx="699">
                  <c:v>151.518</c:v>
                </c:pt>
                <c:pt idx="700">
                  <c:v>151.685</c:v>
                </c:pt>
                <c:pt idx="701">
                  <c:v>151.85</c:v>
                </c:pt>
                <c:pt idx="702">
                  <c:v>152.018</c:v>
                </c:pt>
                <c:pt idx="703">
                  <c:v>152.185</c:v>
                </c:pt>
                <c:pt idx="704">
                  <c:v>152.35</c:v>
                </c:pt>
                <c:pt idx="705">
                  <c:v>152.514</c:v>
                </c:pt>
                <c:pt idx="706">
                  <c:v>152.678</c:v>
                </c:pt>
                <c:pt idx="707">
                  <c:v>152.843</c:v>
                </c:pt>
                <c:pt idx="708">
                  <c:v>153.009</c:v>
                </c:pt>
                <c:pt idx="709">
                  <c:v>153.175</c:v>
                </c:pt>
                <c:pt idx="710">
                  <c:v>153.341</c:v>
                </c:pt>
                <c:pt idx="711">
                  <c:v>153.504</c:v>
                </c:pt>
                <c:pt idx="712">
                  <c:v>153.666</c:v>
                </c:pt>
                <c:pt idx="713">
                  <c:v>153.827</c:v>
                </c:pt>
                <c:pt idx="714">
                  <c:v>153.991</c:v>
                </c:pt>
                <c:pt idx="715">
                  <c:v>154.158</c:v>
                </c:pt>
                <c:pt idx="716">
                  <c:v>154.326</c:v>
                </c:pt>
                <c:pt idx="717">
                  <c:v>154.492</c:v>
                </c:pt>
                <c:pt idx="718">
                  <c:v>154.658</c:v>
                </c:pt>
                <c:pt idx="719">
                  <c:v>154.823</c:v>
                </c:pt>
                <c:pt idx="720">
                  <c:v>154.989</c:v>
                </c:pt>
                <c:pt idx="721">
                  <c:v>155.156</c:v>
                </c:pt>
                <c:pt idx="722">
                  <c:v>155.321</c:v>
                </c:pt>
                <c:pt idx="723">
                  <c:v>155.488</c:v>
                </c:pt>
                <c:pt idx="724">
                  <c:v>155.654</c:v>
                </c:pt>
                <c:pt idx="725">
                  <c:v>155.821</c:v>
                </c:pt>
                <c:pt idx="726">
                  <c:v>155.986</c:v>
                </c:pt>
                <c:pt idx="727">
                  <c:v>156.15</c:v>
                </c:pt>
                <c:pt idx="728">
                  <c:v>156.315</c:v>
                </c:pt>
                <c:pt idx="729">
                  <c:v>156.483</c:v>
                </c:pt>
                <c:pt idx="730">
                  <c:v>156.648</c:v>
                </c:pt>
                <c:pt idx="731">
                  <c:v>156.811</c:v>
                </c:pt>
                <c:pt idx="732">
                  <c:v>156.973</c:v>
                </c:pt>
                <c:pt idx="733">
                  <c:v>157.134</c:v>
                </c:pt>
                <c:pt idx="734">
                  <c:v>157.298</c:v>
                </c:pt>
                <c:pt idx="735">
                  <c:v>157.461</c:v>
                </c:pt>
                <c:pt idx="736">
                  <c:v>157.626</c:v>
                </c:pt>
                <c:pt idx="737">
                  <c:v>157.793</c:v>
                </c:pt>
                <c:pt idx="738">
                  <c:v>157.958</c:v>
                </c:pt>
                <c:pt idx="739">
                  <c:v>158.122</c:v>
                </c:pt>
                <c:pt idx="740">
                  <c:v>158.285</c:v>
                </c:pt>
                <c:pt idx="741">
                  <c:v>158.448</c:v>
                </c:pt>
                <c:pt idx="742">
                  <c:v>158.613</c:v>
                </c:pt>
                <c:pt idx="743">
                  <c:v>158.777</c:v>
                </c:pt>
                <c:pt idx="744">
                  <c:v>158.939</c:v>
                </c:pt>
                <c:pt idx="745">
                  <c:v>159.1</c:v>
                </c:pt>
                <c:pt idx="746">
                  <c:v>159.264</c:v>
                </c:pt>
                <c:pt idx="747">
                  <c:v>159.429</c:v>
                </c:pt>
                <c:pt idx="748">
                  <c:v>159.593</c:v>
                </c:pt>
                <c:pt idx="749">
                  <c:v>159.759</c:v>
                </c:pt>
                <c:pt idx="750">
                  <c:v>159.924</c:v>
                </c:pt>
                <c:pt idx="751">
                  <c:v>160.09</c:v>
                </c:pt>
                <c:pt idx="752">
                  <c:v>160.256</c:v>
                </c:pt>
                <c:pt idx="753">
                  <c:v>160.419</c:v>
                </c:pt>
                <c:pt idx="754">
                  <c:v>160.581</c:v>
                </c:pt>
                <c:pt idx="755">
                  <c:v>160.746</c:v>
                </c:pt>
                <c:pt idx="756">
                  <c:v>160.913</c:v>
                </c:pt>
                <c:pt idx="757">
                  <c:v>161.079</c:v>
                </c:pt>
                <c:pt idx="758">
                  <c:v>161.246</c:v>
                </c:pt>
                <c:pt idx="759">
                  <c:v>161.412</c:v>
                </c:pt>
                <c:pt idx="760">
                  <c:v>161.575</c:v>
                </c:pt>
                <c:pt idx="761">
                  <c:v>161.741</c:v>
                </c:pt>
                <c:pt idx="762">
                  <c:v>161.904</c:v>
                </c:pt>
                <c:pt idx="763">
                  <c:v>162.07</c:v>
                </c:pt>
                <c:pt idx="764">
                  <c:v>162.236</c:v>
                </c:pt>
                <c:pt idx="765">
                  <c:v>162.401</c:v>
                </c:pt>
                <c:pt idx="766">
                  <c:v>162.569</c:v>
                </c:pt>
                <c:pt idx="767">
                  <c:v>162.737</c:v>
                </c:pt>
                <c:pt idx="768">
                  <c:v>162.902</c:v>
                </c:pt>
                <c:pt idx="769">
                  <c:v>163.068</c:v>
                </c:pt>
                <c:pt idx="770">
                  <c:v>163.233</c:v>
                </c:pt>
                <c:pt idx="771">
                  <c:v>163.398</c:v>
                </c:pt>
                <c:pt idx="772">
                  <c:v>163.562</c:v>
                </c:pt>
                <c:pt idx="773">
                  <c:v>163.729</c:v>
                </c:pt>
                <c:pt idx="774">
                  <c:v>163.895</c:v>
                </c:pt>
                <c:pt idx="775">
                  <c:v>164.063</c:v>
                </c:pt>
                <c:pt idx="776">
                  <c:v>164.229</c:v>
                </c:pt>
                <c:pt idx="777">
                  <c:v>164.396</c:v>
                </c:pt>
                <c:pt idx="778">
                  <c:v>164.561</c:v>
                </c:pt>
                <c:pt idx="779">
                  <c:v>164.725</c:v>
                </c:pt>
                <c:pt idx="780">
                  <c:v>164.889</c:v>
                </c:pt>
                <c:pt idx="781">
                  <c:v>165.056</c:v>
                </c:pt>
                <c:pt idx="782">
                  <c:v>165.222</c:v>
                </c:pt>
                <c:pt idx="783">
                  <c:v>165.387</c:v>
                </c:pt>
                <c:pt idx="784">
                  <c:v>165.55</c:v>
                </c:pt>
                <c:pt idx="785">
                  <c:v>165.714</c:v>
                </c:pt>
                <c:pt idx="786">
                  <c:v>165.875</c:v>
                </c:pt>
                <c:pt idx="787">
                  <c:v>166.034</c:v>
                </c:pt>
                <c:pt idx="788">
                  <c:v>166.197</c:v>
                </c:pt>
                <c:pt idx="789">
                  <c:v>166.363</c:v>
                </c:pt>
                <c:pt idx="790">
                  <c:v>166.528</c:v>
                </c:pt>
                <c:pt idx="791">
                  <c:v>166.695</c:v>
                </c:pt>
                <c:pt idx="792">
                  <c:v>166.861</c:v>
                </c:pt>
                <c:pt idx="793">
                  <c:v>167.025</c:v>
                </c:pt>
                <c:pt idx="794">
                  <c:v>167.189</c:v>
                </c:pt>
                <c:pt idx="795">
                  <c:v>167.355</c:v>
                </c:pt>
                <c:pt idx="796">
                  <c:v>167.524</c:v>
                </c:pt>
                <c:pt idx="797">
                  <c:v>167.69</c:v>
                </c:pt>
                <c:pt idx="798">
                  <c:v>167.857</c:v>
                </c:pt>
                <c:pt idx="799">
                  <c:v>168.023</c:v>
                </c:pt>
                <c:pt idx="800">
                  <c:v>168.188</c:v>
                </c:pt>
                <c:pt idx="801">
                  <c:v>168.353</c:v>
                </c:pt>
                <c:pt idx="802">
                  <c:v>168.517</c:v>
                </c:pt>
                <c:pt idx="803">
                  <c:v>168.68</c:v>
                </c:pt>
                <c:pt idx="804">
                  <c:v>168.844</c:v>
                </c:pt>
                <c:pt idx="805">
                  <c:v>169.011</c:v>
                </c:pt>
                <c:pt idx="806">
                  <c:v>169.178</c:v>
                </c:pt>
                <c:pt idx="807">
                  <c:v>169.345</c:v>
                </c:pt>
                <c:pt idx="808">
                  <c:v>169.514</c:v>
                </c:pt>
                <c:pt idx="809">
                  <c:v>169.683</c:v>
                </c:pt>
                <c:pt idx="810">
                  <c:v>169.852</c:v>
                </c:pt>
                <c:pt idx="811">
                  <c:v>170.019</c:v>
                </c:pt>
                <c:pt idx="812">
                  <c:v>170.186</c:v>
                </c:pt>
                <c:pt idx="813">
                  <c:v>170.353</c:v>
                </c:pt>
                <c:pt idx="814">
                  <c:v>170.52</c:v>
                </c:pt>
                <c:pt idx="815">
                  <c:v>170.69</c:v>
                </c:pt>
                <c:pt idx="816">
                  <c:v>170.856</c:v>
                </c:pt>
                <c:pt idx="817">
                  <c:v>171.024</c:v>
                </c:pt>
                <c:pt idx="818">
                  <c:v>171.188</c:v>
                </c:pt>
                <c:pt idx="819">
                  <c:v>171.352</c:v>
                </c:pt>
                <c:pt idx="820">
                  <c:v>171.517</c:v>
                </c:pt>
                <c:pt idx="821">
                  <c:v>171.683</c:v>
                </c:pt>
                <c:pt idx="822">
                  <c:v>171.846</c:v>
                </c:pt>
                <c:pt idx="823">
                  <c:v>172.012</c:v>
                </c:pt>
                <c:pt idx="824">
                  <c:v>172.177</c:v>
                </c:pt>
                <c:pt idx="825">
                  <c:v>172.346</c:v>
                </c:pt>
                <c:pt idx="826">
                  <c:v>172.514</c:v>
                </c:pt>
                <c:pt idx="827">
                  <c:v>172.683</c:v>
                </c:pt>
                <c:pt idx="828">
                  <c:v>172.852</c:v>
                </c:pt>
                <c:pt idx="829">
                  <c:v>173.018</c:v>
                </c:pt>
                <c:pt idx="830">
                  <c:v>173.185</c:v>
                </c:pt>
                <c:pt idx="831">
                  <c:v>173.35</c:v>
                </c:pt>
                <c:pt idx="832">
                  <c:v>173.518</c:v>
                </c:pt>
                <c:pt idx="833">
                  <c:v>173.685</c:v>
                </c:pt>
                <c:pt idx="834">
                  <c:v>173.852</c:v>
                </c:pt>
                <c:pt idx="835">
                  <c:v>174.022</c:v>
                </c:pt>
                <c:pt idx="836">
                  <c:v>174.19</c:v>
                </c:pt>
                <c:pt idx="837">
                  <c:v>174.36</c:v>
                </c:pt>
                <c:pt idx="838">
                  <c:v>174.53</c:v>
                </c:pt>
                <c:pt idx="839">
                  <c:v>174.697</c:v>
                </c:pt>
                <c:pt idx="840">
                  <c:v>174.867</c:v>
                </c:pt>
                <c:pt idx="841">
                  <c:v>175.039</c:v>
                </c:pt>
                <c:pt idx="842">
                  <c:v>175.211</c:v>
                </c:pt>
                <c:pt idx="843">
                  <c:v>175.38</c:v>
                </c:pt>
                <c:pt idx="844">
                  <c:v>175.547</c:v>
                </c:pt>
                <c:pt idx="845">
                  <c:v>175.712</c:v>
                </c:pt>
                <c:pt idx="846">
                  <c:v>175.877</c:v>
                </c:pt>
                <c:pt idx="847">
                  <c:v>176.046</c:v>
                </c:pt>
                <c:pt idx="848">
                  <c:v>176.212</c:v>
                </c:pt>
                <c:pt idx="849">
                  <c:v>176.377</c:v>
                </c:pt>
                <c:pt idx="850">
                  <c:v>176.545</c:v>
                </c:pt>
                <c:pt idx="851">
                  <c:v>176.714</c:v>
                </c:pt>
                <c:pt idx="852">
                  <c:v>176.881</c:v>
                </c:pt>
                <c:pt idx="853">
                  <c:v>177.048</c:v>
                </c:pt>
                <c:pt idx="854">
                  <c:v>177.214</c:v>
                </c:pt>
                <c:pt idx="855">
                  <c:v>177.382</c:v>
                </c:pt>
                <c:pt idx="856">
                  <c:v>177.549</c:v>
                </c:pt>
                <c:pt idx="857">
                  <c:v>177.714</c:v>
                </c:pt>
                <c:pt idx="858">
                  <c:v>177.881</c:v>
                </c:pt>
                <c:pt idx="859">
                  <c:v>178.049</c:v>
                </c:pt>
                <c:pt idx="860">
                  <c:v>178.217</c:v>
                </c:pt>
                <c:pt idx="861">
                  <c:v>178.385</c:v>
                </c:pt>
                <c:pt idx="862">
                  <c:v>178.551</c:v>
                </c:pt>
                <c:pt idx="863">
                  <c:v>178.717</c:v>
                </c:pt>
                <c:pt idx="864">
                  <c:v>178.882</c:v>
                </c:pt>
                <c:pt idx="865">
                  <c:v>179.049</c:v>
                </c:pt>
                <c:pt idx="866">
                  <c:v>179.217</c:v>
                </c:pt>
                <c:pt idx="867">
                  <c:v>179.387</c:v>
                </c:pt>
                <c:pt idx="868">
                  <c:v>179.554</c:v>
                </c:pt>
                <c:pt idx="869">
                  <c:v>179.723</c:v>
                </c:pt>
                <c:pt idx="870">
                  <c:v>179.891</c:v>
                </c:pt>
                <c:pt idx="871">
                  <c:v>180.056</c:v>
                </c:pt>
                <c:pt idx="872">
                  <c:v>180.224</c:v>
                </c:pt>
                <c:pt idx="873">
                  <c:v>180.392</c:v>
                </c:pt>
                <c:pt idx="874">
                  <c:v>180.559</c:v>
                </c:pt>
                <c:pt idx="875">
                  <c:v>180.728</c:v>
                </c:pt>
                <c:pt idx="876">
                  <c:v>180.895</c:v>
                </c:pt>
                <c:pt idx="877">
                  <c:v>181.062</c:v>
                </c:pt>
                <c:pt idx="878">
                  <c:v>181.227</c:v>
                </c:pt>
                <c:pt idx="879">
                  <c:v>181.389</c:v>
                </c:pt>
                <c:pt idx="880">
                  <c:v>181.553</c:v>
                </c:pt>
                <c:pt idx="881">
                  <c:v>181.717</c:v>
                </c:pt>
                <c:pt idx="882">
                  <c:v>181.882</c:v>
                </c:pt>
                <c:pt idx="883">
                  <c:v>182.047</c:v>
                </c:pt>
                <c:pt idx="884">
                  <c:v>182.209</c:v>
                </c:pt>
                <c:pt idx="885">
                  <c:v>182.37</c:v>
                </c:pt>
                <c:pt idx="886">
                  <c:v>182.534</c:v>
                </c:pt>
                <c:pt idx="887">
                  <c:v>182.699</c:v>
                </c:pt>
                <c:pt idx="888">
                  <c:v>182.864</c:v>
                </c:pt>
                <c:pt idx="889">
                  <c:v>183.033</c:v>
                </c:pt>
                <c:pt idx="890">
                  <c:v>183.199</c:v>
                </c:pt>
                <c:pt idx="891">
                  <c:v>183.365</c:v>
                </c:pt>
                <c:pt idx="892">
                  <c:v>183.531</c:v>
                </c:pt>
                <c:pt idx="893">
                  <c:v>183.699</c:v>
                </c:pt>
                <c:pt idx="894">
                  <c:v>183.866</c:v>
                </c:pt>
                <c:pt idx="895">
                  <c:v>184.032</c:v>
                </c:pt>
                <c:pt idx="896">
                  <c:v>184.199</c:v>
                </c:pt>
                <c:pt idx="897">
                  <c:v>184.365</c:v>
                </c:pt>
                <c:pt idx="898">
                  <c:v>184.532</c:v>
                </c:pt>
                <c:pt idx="899">
                  <c:v>184.699</c:v>
                </c:pt>
                <c:pt idx="900">
                  <c:v>184.867</c:v>
                </c:pt>
                <c:pt idx="901">
                  <c:v>185.035</c:v>
                </c:pt>
                <c:pt idx="902">
                  <c:v>185.202</c:v>
                </c:pt>
                <c:pt idx="903">
                  <c:v>185.37</c:v>
                </c:pt>
                <c:pt idx="904">
                  <c:v>185.537</c:v>
                </c:pt>
                <c:pt idx="905">
                  <c:v>185.704</c:v>
                </c:pt>
                <c:pt idx="906">
                  <c:v>185.871</c:v>
                </c:pt>
                <c:pt idx="907">
                  <c:v>186.041</c:v>
                </c:pt>
                <c:pt idx="908">
                  <c:v>186.21</c:v>
                </c:pt>
                <c:pt idx="909">
                  <c:v>186.378</c:v>
                </c:pt>
                <c:pt idx="910">
                  <c:v>186.549</c:v>
                </c:pt>
                <c:pt idx="911">
                  <c:v>186.716</c:v>
                </c:pt>
                <c:pt idx="912">
                  <c:v>186.882</c:v>
                </c:pt>
                <c:pt idx="913">
                  <c:v>187.048</c:v>
                </c:pt>
                <c:pt idx="914">
                  <c:v>187.215</c:v>
                </c:pt>
                <c:pt idx="915">
                  <c:v>187.381</c:v>
                </c:pt>
                <c:pt idx="916">
                  <c:v>187.55</c:v>
                </c:pt>
                <c:pt idx="917">
                  <c:v>187.72</c:v>
                </c:pt>
                <c:pt idx="918">
                  <c:v>187.887</c:v>
                </c:pt>
                <c:pt idx="919">
                  <c:v>188.053</c:v>
                </c:pt>
                <c:pt idx="920">
                  <c:v>188.221</c:v>
                </c:pt>
                <c:pt idx="921">
                  <c:v>188.388</c:v>
                </c:pt>
                <c:pt idx="922">
                  <c:v>188.554</c:v>
                </c:pt>
                <c:pt idx="923">
                  <c:v>188.711</c:v>
                </c:pt>
                <c:pt idx="924">
                  <c:v>188.871</c:v>
                </c:pt>
                <c:pt idx="925">
                  <c:v>189.032</c:v>
                </c:pt>
                <c:pt idx="926">
                  <c:v>189.197</c:v>
                </c:pt>
                <c:pt idx="927">
                  <c:v>189.367</c:v>
                </c:pt>
                <c:pt idx="928">
                  <c:v>189.538</c:v>
                </c:pt>
                <c:pt idx="929">
                  <c:v>189.71</c:v>
                </c:pt>
                <c:pt idx="930">
                  <c:v>189.88</c:v>
                </c:pt>
                <c:pt idx="931">
                  <c:v>190.049</c:v>
                </c:pt>
                <c:pt idx="932">
                  <c:v>190.217</c:v>
                </c:pt>
                <c:pt idx="933">
                  <c:v>190.385</c:v>
                </c:pt>
                <c:pt idx="934">
                  <c:v>190.554</c:v>
                </c:pt>
                <c:pt idx="935">
                  <c:v>190.722</c:v>
                </c:pt>
                <c:pt idx="936">
                  <c:v>190.89</c:v>
                </c:pt>
                <c:pt idx="937">
                  <c:v>191.06</c:v>
                </c:pt>
                <c:pt idx="938">
                  <c:v>191.229</c:v>
                </c:pt>
                <c:pt idx="939">
                  <c:v>191.397</c:v>
                </c:pt>
                <c:pt idx="940">
                  <c:v>191.566</c:v>
                </c:pt>
                <c:pt idx="941">
                  <c:v>191.737</c:v>
                </c:pt>
                <c:pt idx="942">
                  <c:v>191.906</c:v>
                </c:pt>
                <c:pt idx="943">
                  <c:v>192.075</c:v>
                </c:pt>
                <c:pt idx="944">
                  <c:v>192.243</c:v>
                </c:pt>
                <c:pt idx="945">
                  <c:v>192.41</c:v>
                </c:pt>
                <c:pt idx="946">
                  <c:v>192.578</c:v>
                </c:pt>
                <c:pt idx="947">
                  <c:v>192.745</c:v>
                </c:pt>
                <c:pt idx="948">
                  <c:v>192.913</c:v>
                </c:pt>
                <c:pt idx="949">
                  <c:v>193.08</c:v>
                </c:pt>
                <c:pt idx="950">
                  <c:v>193.25</c:v>
                </c:pt>
                <c:pt idx="951">
                  <c:v>193.421</c:v>
                </c:pt>
                <c:pt idx="952">
                  <c:v>193.592</c:v>
                </c:pt>
                <c:pt idx="953">
                  <c:v>193.763</c:v>
                </c:pt>
                <c:pt idx="954">
                  <c:v>193.932</c:v>
                </c:pt>
                <c:pt idx="955">
                  <c:v>194.101</c:v>
                </c:pt>
                <c:pt idx="956">
                  <c:v>194.27</c:v>
                </c:pt>
                <c:pt idx="957">
                  <c:v>194.437</c:v>
                </c:pt>
                <c:pt idx="958">
                  <c:v>194.605</c:v>
                </c:pt>
                <c:pt idx="959">
                  <c:v>194.773</c:v>
                </c:pt>
                <c:pt idx="960">
                  <c:v>194.942</c:v>
                </c:pt>
                <c:pt idx="961">
                  <c:v>195.111</c:v>
                </c:pt>
                <c:pt idx="962">
                  <c:v>195.281</c:v>
                </c:pt>
                <c:pt idx="963">
                  <c:v>195.448</c:v>
                </c:pt>
                <c:pt idx="964">
                  <c:v>195.614</c:v>
                </c:pt>
                <c:pt idx="965">
                  <c:v>195.781</c:v>
                </c:pt>
                <c:pt idx="966">
                  <c:v>195.948</c:v>
                </c:pt>
                <c:pt idx="967">
                  <c:v>196.114</c:v>
                </c:pt>
                <c:pt idx="968">
                  <c:v>196.279</c:v>
                </c:pt>
                <c:pt idx="969">
                  <c:v>196.446</c:v>
                </c:pt>
                <c:pt idx="970">
                  <c:v>196.614</c:v>
                </c:pt>
                <c:pt idx="971">
                  <c:v>196.781</c:v>
                </c:pt>
                <c:pt idx="972">
                  <c:v>196.947</c:v>
                </c:pt>
                <c:pt idx="973">
                  <c:v>197.115</c:v>
                </c:pt>
                <c:pt idx="974">
                  <c:v>197.283</c:v>
                </c:pt>
                <c:pt idx="975">
                  <c:v>197.449</c:v>
                </c:pt>
                <c:pt idx="976">
                  <c:v>197.617</c:v>
                </c:pt>
                <c:pt idx="977">
                  <c:v>197.784</c:v>
                </c:pt>
                <c:pt idx="978">
                  <c:v>197.953</c:v>
                </c:pt>
                <c:pt idx="979">
                  <c:v>198.122</c:v>
                </c:pt>
                <c:pt idx="980">
                  <c:v>198.29</c:v>
                </c:pt>
                <c:pt idx="981">
                  <c:v>198.456</c:v>
                </c:pt>
                <c:pt idx="982">
                  <c:v>198.621</c:v>
                </c:pt>
                <c:pt idx="983">
                  <c:v>198.788</c:v>
                </c:pt>
                <c:pt idx="984">
                  <c:v>198.954</c:v>
                </c:pt>
                <c:pt idx="985">
                  <c:v>199.121</c:v>
                </c:pt>
                <c:pt idx="986">
                  <c:v>199.286</c:v>
                </c:pt>
                <c:pt idx="987">
                  <c:v>199.45</c:v>
                </c:pt>
                <c:pt idx="988">
                  <c:v>199.613</c:v>
                </c:pt>
                <c:pt idx="989">
                  <c:v>199.778</c:v>
                </c:pt>
                <c:pt idx="990">
                  <c:v>199.945</c:v>
                </c:pt>
                <c:pt idx="991">
                  <c:v>200.114</c:v>
                </c:pt>
                <c:pt idx="992">
                  <c:v>200.283</c:v>
                </c:pt>
                <c:pt idx="993">
                  <c:v>200.453</c:v>
                </c:pt>
                <c:pt idx="994">
                  <c:v>200.622</c:v>
                </c:pt>
                <c:pt idx="995">
                  <c:v>200.792</c:v>
                </c:pt>
                <c:pt idx="996">
                  <c:v>200.961</c:v>
                </c:pt>
                <c:pt idx="997">
                  <c:v>201.129</c:v>
                </c:pt>
                <c:pt idx="998">
                  <c:v>201.295</c:v>
                </c:pt>
                <c:pt idx="999">
                  <c:v>201.464</c:v>
                </c:pt>
                <c:pt idx="1000">
                  <c:v>201.636</c:v>
                </c:pt>
                <c:pt idx="1001">
                  <c:v>201.807</c:v>
                </c:pt>
                <c:pt idx="1002">
                  <c:v>201.977</c:v>
                </c:pt>
                <c:pt idx="1003">
                  <c:v>202.148</c:v>
                </c:pt>
                <c:pt idx="1004">
                  <c:v>202.319</c:v>
                </c:pt>
                <c:pt idx="1005">
                  <c:v>202.489</c:v>
                </c:pt>
                <c:pt idx="1006">
                  <c:v>202.658</c:v>
                </c:pt>
                <c:pt idx="1007">
                  <c:v>202.827</c:v>
                </c:pt>
                <c:pt idx="1008">
                  <c:v>202.997</c:v>
                </c:pt>
                <c:pt idx="1009">
                  <c:v>203.166</c:v>
                </c:pt>
                <c:pt idx="1010">
                  <c:v>203.337</c:v>
                </c:pt>
                <c:pt idx="1011">
                  <c:v>203.504</c:v>
                </c:pt>
                <c:pt idx="1012">
                  <c:v>203.672</c:v>
                </c:pt>
                <c:pt idx="1013">
                  <c:v>203.84</c:v>
                </c:pt>
                <c:pt idx="1014">
                  <c:v>204.011</c:v>
                </c:pt>
                <c:pt idx="1015">
                  <c:v>204.18</c:v>
                </c:pt>
                <c:pt idx="1016">
                  <c:v>204.35</c:v>
                </c:pt>
                <c:pt idx="1017">
                  <c:v>204.52</c:v>
                </c:pt>
                <c:pt idx="1018">
                  <c:v>204.691</c:v>
                </c:pt>
                <c:pt idx="1019">
                  <c:v>204.863</c:v>
                </c:pt>
                <c:pt idx="1020">
                  <c:v>205.033</c:v>
                </c:pt>
                <c:pt idx="1021">
                  <c:v>205.2</c:v>
                </c:pt>
                <c:pt idx="1022">
                  <c:v>205.368</c:v>
                </c:pt>
                <c:pt idx="1023">
                  <c:v>205.539</c:v>
                </c:pt>
                <c:pt idx="1024">
                  <c:v>205.71</c:v>
                </c:pt>
                <c:pt idx="1025">
                  <c:v>205.878</c:v>
                </c:pt>
                <c:pt idx="1026">
                  <c:v>206.045</c:v>
                </c:pt>
                <c:pt idx="1027">
                  <c:v>206.21</c:v>
                </c:pt>
                <c:pt idx="1028">
                  <c:v>206.377</c:v>
                </c:pt>
                <c:pt idx="1029">
                  <c:v>206.545</c:v>
                </c:pt>
                <c:pt idx="1030">
                  <c:v>206.717</c:v>
                </c:pt>
                <c:pt idx="1031">
                  <c:v>206.887</c:v>
                </c:pt>
                <c:pt idx="1032">
                  <c:v>207.056</c:v>
                </c:pt>
                <c:pt idx="1033">
                  <c:v>207.224</c:v>
                </c:pt>
                <c:pt idx="1034">
                  <c:v>207.396</c:v>
                </c:pt>
                <c:pt idx="1035">
                  <c:v>207.566</c:v>
                </c:pt>
                <c:pt idx="1036">
                  <c:v>207.736</c:v>
                </c:pt>
                <c:pt idx="1037">
                  <c:v>207.906</c:v>
                </c:pt>
                <c:pt idx="1038">
                  <c:v>208.076</c:v>
                </c:pt>
                <c:pt idx="1039">
                  <c:v>208.244</c:v>
                </c:pt>
                <c:pt idx="1040">
                  <c:v>208.412</c:v>
                </c:pt>
                <c:pt idx="1041">
                  <c:v>208.58</c:v>
                </c:pt>
                <c:pt idx="1042">
                  <c:v>208.745</c:v>
                </c:pt>
                <c:pt idx="1043">
                  <c:v>208.909</c:v>
                </c:pt>
                <c:pt idx="1044">
                  <c:v>209.074</c:v>
                </c:pt>
                <c:pt idx="1045">
                  <c:v>209.239</c:v>
                </c:pt>
                <c:pt idx="1046">
                  <c:v>209.406</c:v>
                </c:pt>
                <c:pt idx="1047">
                  <c:v>209.577</c:v>
                </c:pt>
                <c:pt idx="1048">
                  <c:v>209.747</c:v>
                </c:pt>
                <c:pt idx="1049">
                  <c:v>209.916</c:v>
                </c:pt>
                <c:pt idx="1050">
                  <c:v>210.084</c:v>
                </c:pt>
                <c:pt idx="1051">
                  <c:v>210.252</c:v>
                </c:pt>
                <c:pt idx="1052">
                  <c:v>210.42</c:v>
                </c:pt>
                <c:pt idx="1053">
                  <c:v>210.589</c:v>
                </c:pt>
                <c:pt idx="1054">
                  <c:v>210.759</c:v>
                </c:pt>
                <c:pt idx="1055">
                  <c:v>210.928</c:v>
                </c:pt>
                <c:pt idx="1056">
                  <c:v>211.096</c:v>
                </c:pt>
                <c:pt idx="1057">
                  <c:v>211.266</c:v>
                </c:pt>
                <c:pt idx="1058">
                  <c:v>211.433</c:v>
                </c:pt>
                <c:pt idx="1059">
                  <c:v>211.602</c:v>
                </c:pt>
                <c:pt idx="1060">
                  <c:v>211.771</c:v>
                </c:pt>
                <c:pt idx="1061">
                  <c:v>211.939</c:v>
                </c:pt>
                <c:pt idx="1062">
                  <c:v>212.108</c:v>
                </c:pt>
                <c:pt idx="1063">
                  <c:v>212.274</c:v>
                </c:pt>
                <c:pt idx="1064">
                  <c:v>212.444</c:v>
                </c:pt>
                <c:pt idx="1065">
                  <c:v>212.614</c:v>
                </c:pt>
                <c:pt idx="1066">
                  <c:v>212.782</c:v>
                </c:pt>
                <c:pt idx="1067">
                  <c:v>212.952</c:v>
                </c:pt>
                <c:pt idx="1068">
                  <c:v>213.12</c:v>
                </c:pt>
                <c:pt idx="1069">
                  <c:v>213.291</c:v>
                </c:pt>
                <c:pt idx="1070">
                  <c:v>213.462</c:v>
                </c:pt>
                <c:pt idx="1071">
                  <c:v>213.634</c:v>
                </c:pt>
                <c:pt idx="1072">
                  <c:v>213.803</c:v>
                </c:pt>
                <c:pt idx="1073">
                  <c:v>213.973</c:v>
                </c:pt>
                <c:pt idx="1074">
                  <c:v>214.143</c:v>
                </c:pt>
                <c:pt idx="1075">
                  <c:v>214.31</c:v>
                </c:pt>
                <c:pt idx="1076">
                  <c:v>214.479</c:v>
                </c:pt>
                <c:pt idx="1077">
                  <c:v>214.648</c:v>
                </c:pt>
                <c:pt idx="1078">
                  <c:v>214.818</c:v>
                </c:pt>
                <c:pt idx="1079">
                  <c:v>214.986</c:v>
                </c:pt>
                <c:pt idx="1080">
                  <c:v>215.154</c:v>
                </c:pt>
                <c:pt idx="1081">
                  <c:v>215.324</c:v>
                </c:pt>
                <c:pt idx="1082">
                  <c:v>215.494</c:v>
                </c:pt>
                <c:pt idx="1083">
                  <c:v>215.664</c:v>
                </c:pt>
                <c:pt idx="1084">
                  <c:v>215.833</c:v>
                </c:pt>
                <c:pt idx="1085">
                  <c:v>216.003</c:v>
                </c:pt>
                <c:pt idx="1086">
                  <c:v>216.171</c:v>
                </c:pt>
                <c:pt idx="1087">
                  <c:v>216.342</c:v>
                </c:pt>
                <c:pt idx="1088">
                  <c:v>216.513</c:v>
                </c:pt>
                <c:pt idx="1089">
                  <c:v>216.682</c:v>
                </c:pt>
                <c:pt idx="1090">
                  <c:v>216.85</c:v>
                </c:pt>
                <c:pt idx="1091">
                  <c:v>217.019</c:v>
                </c:pt>
                <c:pt idx="1092">
                  <c:v>217.186</c:v>
                </c:pt>
                <c:pt idx="1093">
                  <c:v>217.352</c:v>
                </c:pt>
                <c:pt idx="1094">
                  <c:v>217.518</c:v>
                </c:pt>
                <c:pt idx="1095">
                  <c:v>217.683</c:v>
                </c:pt>
                <c:pt idx="1096">
                  <c:v>217.846</c:v>
                </c:pt>
                <c:pt idx="1097">
                  <c:v>218.011</c:v>
                </c:pt>
                <c:pt idx="1098">
                  <c:v>218.177</c:v>
                </c:pt>
                <c:pt idx="1099">
                  <c:v>218.346</c:v>
                </c:pt>
                <c:pt idx="1100">
                  <c:v>218.516</c:v>
                </c:pt>
                <c:pt idx="1101">
                  <c:v>218.683</c:v>
                </c:pt>
                <c:pt idx="1102">
                  <c:v>218.851</c:v>
                </c:pt>
                <c:pt idx="1103">
                  <c:v>219.018</c:v>
                </c:pt>
                <c:pt idx="1104">
                  <c:v>219.182</c:v>
                </c:pt>
                <c:pt idx="1105">
                  <c:v>219.35</c:v>
                </c:pt>
                <c:pt idx="1106">
                  <c:v>219.519</c:v>
                </c:pt>
                <c:pt idx="1107">
                  <c:v>219.686</c:v>
                </c:pt>
                <c:pt idx="1108">
                  <c:v>219.854</c:v>
                </c:pt>
                <c:pt idx="1109">
                  <c:v>220.023</c:v>
                </c:pt>
                <c:pt idx="1110">
                  <c:v>220.191</c:v>
                </c:pt>
                <c:pt idx="1111">
                  <c:v>220.361</c:v>
                </c:pt>
                <c:pt idx="1112">
                  <c:v>220.529</c:v>
                </c:pt>
                <c:pt idx="1113">
                  <c:v>220.695</c:v>
                </c:pt>
                <c:pt idx="1114">
                  <c:v>220.861</c:v>
                </c:pt>
                <c:pt idx="1115">
                  <c:v>221.028</c:v>
                </c:pt>
                <c:pt idx="1116">
                  <c:v>221.194</c:v>
                </c:pt>
                <c:pt idx="1117">
                  <c:v>221.362</c:v>
                </c:pt>
                <c:pt idx="1118">
                  <c:v>221.528</c:v>
                </c:pt>
                <c:pt idx="1119">
                  <c:v>221.693</c:v>
                </c:pt>
                <c:pt idx="1120">
                  <c:v>221.863</c:v>
                </c:pt>
                <c:pt idx="1121">
                  <c:v>222.028</c:v>
                </c:pt>
                <c:pt idx="1122">
                  <c:v>222.194</c:v>
                </c:pt>
                <c:pt idx="1123">
                  <c:v>222.36</c:v>
                </c:pt>
                <c:pt idx="1124">
                  <c:v>222.526</c:v>
                </c:pt>
                <c:pt idx="1125">
                  <c:v>222.691</c:v>
                </c:pt>
                <c:pt idx="1126">
                  <c:v>222.858</c:v>
                </c:pt>
                <c:pt idx="1127">
                  <c:v>223.025</c:v>
                </c:pt>
                <c:pt idx="1128">
                  <c:v>223.194</c:v>
                </c:pt>
                <c:pt idx="1129">
                  <c:v>223.366</c:v>
                </c:pt>
                <c:pt idx="1130">
                  <c:v>223.537</c:v>
                </c:pt>
                <c:pt idx="1131">
                  <c:v>223.705</c:v>
                </c:pt>
                <c:pt idx="1132">
                  <c:v>223.873</c:v>
                </c:pt>
                <c:pt idx="1133">
                  <c:v>224.042</c:v>
                </c:pt>
                <c:pt idx="1134">
                  <c:v>224.21</c:v>
                </c:pt>
                <c:pt idx="1135">
                  <c:v>224.378</c:v>
                </c:pt>
                <c:pt idx="1136">
                  <c:v>224.546</c:v>
                </c:pt>
                <c:pt idx="1137">
                  <c:v>224.715</c:v>
                </c:pt>
                <c:pt idx="1138">
                  <c:v>224.881</c:v>
                </c:pt>
                <c:pt idx="1139">
                  <c:v>225.048</c:v>
                </c:pt>
                <c:pt idx="1140">
                  <c:v>225.217</c:v>
                </c:pt>
                <c:pt idx="1141">
                  <c:v>225.385</c:v>
                </c:pt>
                <c:pt idx="1142">
                  <c:v>225.548</c:v>
                </c:pt>
                <c:pt idx="1143">
                  <c:v>225.71</c:v>
                </c:pt>
                <c:pt idx="1144">
                  <c:v>225.874</c:v>
                </c:pt>
                <c:pt idx="1145">
                  <c:v>226.041</c:v>
                </c:pt>
                <c:pt idx="1146">
                  <c:v>226.208</c:v>
                </c:pt>
                <c:pt idx="1147">
                  <c:v>226.375</c:v>
                </c:pt>
                <c:pt idx="1148">
                  <c:v>226.542</c:v>
                </c:pt>
                <c:pt idx="1149">
                  <c:v>226.708</c:v>
                </c:pt>
                <c:pt idx="1150">
                  <c:v>226.877</c:v>
                </c:pt>
                <c:pt idx="1151">
                  <c:v>227.046</c:v>
                </c:pt>
                <c:pt idx="1152">
                  <c:v>227.213</c:v>
                </c:pt>
                <c:pt idx="1153">
                  <c:v>227.378</c:v>
                </c:pt>
                <c:pt idx="1154">
                  <c:v>227.545</c:v>
                </c:pt>
                <c:pt idx="1155">
                  <c:v>227.715</c:v>
                </c:pt>
                <c:pt idx="1156">
                  <c:v>227.881</c:v>
                </c:pt>
                <c:pt idx="1157">
                  <c:v>228.05</c:v>
                </c:pt>
                <c:pt idx="1158">
                  <c:v>228.218</c:v>
                </c:pt>
                <c:pt idx="1159">
                  <c:v>228.385</c:v>
                </c:pt>
                <c:pt idx="1160">
                  <c:v>228.554</c:v>
                </c:pt>
                <c:pt idx="1161">
                  <c:v>228.721</c:v>
                </c:pt>
                <c:pt idx="1162">
                  <c:v>228.891</c:v>
                </c:pt>
                <c:pt idx="1163">
                  <c:v>229.062</c:v>
                </c:pt>
                <c:pt idx="1164">
                  <c:v>229.232</c:v>
                </c:pt>
                <c:pt idx="1165">
                  <c:v>229.402</c:v>
                </c:pt>
                <c:pt idx="1166">
                  <c:v>229.571</c:v>
                </c:pt>
                <c:pt idx="1167">
                  <c:v>229.741</c:v>
                </c:pt>
                <c:pt idx="1168">
                  <c:v>229.91</c:v>
                </c:pt>
                <c:pt idx="1169">
                  <c:v>230.078</c:v>
                </c:pt>
                <c:pt idx="1170">
                  <c:v>230.245</c:v>
                </c:pt>
                <c:pt idx="1171">
                  <c:v>230.413</c:v>
                </c:pt>
                <c:pt idx="1172">
                  <c:v>230.582</c:v>
                </c:pt>
                <c:pt idx="1173">
                  <c:v>230.751</c:v>
                </c:pt>
                <c:pt idx="1174">
                  <c:v>230.921</c:v>
                </c:pt>
                <c:pt idx="1175">
                  <c:v>231.089</c:v>
                </c:pt>
                <c:pt idx="1176">
                  <c:v>231.257</c:v>
                </c:pt>
                <c:pt idx="1177">
                  <c:v>231.425</c:v>
                </c:pt>
                <c:pt idx="1178">
                  <c:v>231.595</c:v>
                </c:pt>
                <c:pt idx="1179">
                  <c:v>231.765</c:v>
                </c:pt>
                <c:pt idx="1180">
                  <c:v>231.935</c:v>
                </c:pt>
                <c:pt idx="1181">
                  <c:v>232.101</c:v>
                </c:pt>
                <c:pt idx="1182">
                  <c:v>232.27</c:v>
                </c:pt>
                <c:pt idx="1183">
                  <c:v>232.44</c:v>
                </c:pt>
                <c:pt idx="1184">
                  <c:v>232.611</c:v>
                </c:pt>
                <c:pt idx="1185">
                  <c:v>232.781</c:v>
                </c:pt>
                <c:pt idx="1186">
                  <c:v>232.95</c:v>
                </c:pt>
                <c:pt idx="1187">
                  <c:v>233.118</c:v>
                </c:pt>
                <c:pt idx="1188">
                  <c:v>233.284</c:v>
                </c:pt>
                <c:pt idx="1189">
                  <c:v>233.454</c:v>
                </c:pt>
                <c:pt idx="1190">
                  <c:v>233.623</c:v>
                </c:pt>
                <c:pt idx="1191">
                  <c:v>233.79</c:v>
                </c:pt>
                <c:pt idx="1192">
                  <c:v>233.955</c:v>
                </c:pt>
                <c:pt idx="1193">
                  <c:v>234.12</c:v>
                </c:pt>
                <c:pt idx="1194">
                  <c:v>234.288</c:v>
                </c:pt>
                <c:pt idx="1195">
                  <c:v>234.456</c:v>
                </c:pt>
                <c:pt idx="1196">
                  <c:v>234.625</c:v>
                </c:pt>
                <c:pt idx="1197">
                  <c:v>234.792</c:v>
                </c:pt>
                <c:pt idx="1198">
                  <c:v>234.959</c:v>
                </c:pt>
                <c:pt idx="1199">
                  <c:v>235.126</c:v>
                </c:pt>
                <c:pt idx="1200">
                  <c:v>235.291</c:v>
                </c:pt>
                <c:pt idx="1201">
                  <c:v>235.459</c:v>
                </c:pt>
                <c:pt idx="1202">
                  <c:v>235.627</c:v>
                </c:pt>
                <c:pt idx="1203">
                  <c:v>235.798</c:v>
                </c:pt>
                <c:pt idx="1204">
                  <c:v>235.971</c:v>
                </c:pt>
                <c:pt idx="1205">
                  <c:v>236.141</c:v>
                </c:pt>
                <c:pt idx="1206">
                  <c:v>236.311</c:v>
                </c:pt>
                <c:pt idx="1207">
                  <c:v>236.48</c:v>
                </c:pt>
                <c:pt idx="1208">
                  <c:v>236.651</c:v>
                </c:pt>
                <c:pt idx="1209">
                  <c:v>236.82</c:v>
                </c:pt>
                <c:pt idx="1210">
                  <c:v>236.987</c:v>
                </c:pt>
                <c:pt idx="1211">
                  <c:v>237.153</c:v>
                </c:pt>
                <c:pt idx="1212">
                  <c:v>237.321</c:v>
                </c:pt>
                <c:pt idx="1213">
                  <c:v>237.488</c:v>
                </c:pt>
                <c:pt idx="1214">
                  <c:v>237.653</c:v>
                </c:pt>
                <c:pt idx="1215">
                  <c:v>237.82</c:v>
                </c:pt>
                <c:pt idx="1216">
                  <c:v>237.989</c:v>
                </c:pt>
                <c:pt idx="1217">
                  <c:v>238.157</c:v>
                </c:pt>
                <c:pt idx="1218">
                  <c:v>238.324</c:v>
                </c:pt>
                <c:pt idx="1219">
                  <c:v>238.49</c:v>
                </c:pt>
                <c:pt idx="1220">
                  <c:v>238.658</c:v>
                </c:pt>
                <c:pt idx="1221">
                  <c:v>238.826</c:v>
                </c:pt>
                <c:pt idx="1222">
                  <c:v>238.994</c:v>
                </c:pt>
                <c:pt idx="1223">
                  <c:v>239.165</c:v>
                </c:pt>
                <c:pt idx="1224">
                  <c:v>239.333</c:v>
                </c:pt>
                <c:pt idx="1225">
                  <c:v>239.501</c:v>
                </c:pt>
                <c:pt idx="1226">
                  <c:v>239.671</c:v>
                </c:pt>
                <c:pt idx="1227">
                  <c:v>239.84</c:v>
                </c:pt>
                <c:pt idx="1228">
                  <c:v>240.01</c:v>
                </c:pt>
                <c:pt idx="1229">
                  <c:v>240.18</c:v>
                </c:pt>
                <c:pt idx="1230">
                  <c:v>240.347</c:v>
                </c:pt>
                <c:pt idx="1231">
                  <c:v>240.515</c:v>
                </c:pt>
                <c:pt idx="1232">
                  <c:v>240.684</c:v>
                </c:pt>
                <c:pt idx="1233">
                  <c:v>240.853</c:v>
                </c:pt>
                <c:pt idx="1234">
                  <c:v>241.021</c:v>
                </c:pt>
                <c:pt idx="1235">
                  <c:v>241.19</c:v>
                </c:pt>
                <c:pt idx="1236">
                  <c:v>241.358</c:v>
                </c:pt>
                <c:pt idx="1237">
                  <c:v>241.526</c:v>
                </c:pt>
                <c:pt idx="1238">
                  <c:v>241.696</c:v>
                </c:pt>
                <c:pt idx="1239">
                  <c:v>241.865</c:v>
                </c:pt>
                <c:pt idx="1240">
                  <c:v>242.035</c:v>
                </c:pt>
                <c:pt idx="1241">
                  <c:v>242.204</c:v>
                </c:pt>
                <c:pt idx="1242">
                  <c:v>242.372</c:v>
                </c:pt>
                <c:pt idx="1243">
                  <c:v>242.542</c:v>
                </c:pt>
                <c:pt idx="1244">
                  <c:v>242.709</c:v>
                </c:pt>
                <c:pt idx="1245">
                  <c:v>242.878</c:v>
                </c:pt>
                <c:pt idx="1246">
                  <c:v>243.045</c:v>
                </c:pt>
                <c:pt idx="1247">
                  <c:v>243.213</c:v>
                </c:pt>
                <c:pt idx="1248">
                  <c:v>243.383</c:v>
                </c:pt>
                <c:pt idx="1249">
                  <c:v>243.552</c:v>
                </c:pt>
                <c:pt idx="1250">
                  <c:v>243.721</c:v>
                </c:pt>
                <c:pt idx="1251">
                  <c:v>243.891</c:v>
                </c:pt>
                <c:pt idx="1252">
                  <c:v>244.063</c:v>
                </c:pt>
                <c:pt idx="1253">
                  <c:v>244.232</c:v>
                </c:pt>
                <c:pt idx="1254">
                  <c:v>244.4</c:v>
                </c:pt>
                <c:pt idx="1255">
                  <c:v>244.568</c:v>
                </c:pt>
                <c:pt idx="1256">
                  <c:v>244.737</c:v>
                </c:pt>
                <c:pt idx="1257">
                  <c:v>244.906</c:v>
                </c:pt>
                <c:pt idx="1258">
                  <c:v>245.074</c:v>
                </c:pt>
                <c:pt idx="1259">
                  <c:v>245.244</c:v>
                </c:pt>
                <c:pt idx="1260">
                  <c:v>245.413</c:v>
                </c:pt>
                <c:pt idx="1261">
                  <c:v>245.582</c:v>
                </c:pt>
                <c:pt idx="1262">
                  <c:v>245.753</c:v>
                </c:pt>
                <c:pt idx="1263">
                  <c:v>245.924</c:v>
                </c:pt>
                <c:pt idx="1264">
                  <c:v>246.093</c:v>
                </c:pt>
                <c:pt idx="1265">
                  <c:v>246.261</c:v>
                </c:pt>
                <c:pt idx="1266">
                  <c:v>246.43</c:v>
                </c:pt>
                <c:pt idx="1267">
                  <c:v>246.598</c:v>
                </c:pt>
                <c:pt idx="1268">
                  <c:v>246.763</c:v>
                </c:pt>
                <c:pt idx="1269">
                  <c:v>246.928</c:v>
                </c:pt>
                <c:pt idx="1270">
                  <c:v>247.096</c:v>
                </c:pt>
                <c:pt idx="1271">
                  <c:v>247.262</c:v>
                </c:pt>
                <c:pt idx="1272">
                  <c:v>247.428</c:v>
                </c:pt>
                <c:pt idx="1273">
                  <c:v>247.596</c:v>
                </c:pt>
                <c:pt idx="1274">
                  <c:v>247.763</c:v>
                </c:pt>
                <c:pt idx="1275">
                  <c:v>247.928</c:v>
                </c:pt>
                <c:pt idx="1276">
                  <c:v>248.096</c:v>
                </c:pt>
                <c:pt idx="1277">
                  <c:v>248.266</c:v>
                </c:pt>
                <c:pt idx="1278">
                  <c:v>248.435</c:v>
                </c:pt>
                <c:pt idx="1279">
                  <c:v>248.603</c:v>
                </c:pt>
                <c:pt idx="1280">
                  <c:v>248.77</c:v>
                </c:pt>
                <c:pt idx="1281">
                  <c:v>248.939</c:v>
                </c:pt>
                <c:pt idx="1282">
                  <c:v>249.105</c:v>
                </c:pt>
                <c:pt idx="1283">
                  <c:v>249.271</c:v>
                </c:pt>
                <c:pt idx="1284">
                  <c:v>249.438</c:v>
                </c:pt>
                <c:pt idx="1285">
                  <c:v>249.605</c:v>
                </c:pt>
                <c:pt idx="1286">
                  <c:v>249.773</c:v>
                </c:pt>
                <c:pt idx="1287">
                  <c:v>249.943</c:v>
                </c:pt>
                <c:pt idx="1288">
                  <c:v>250.113</c:v>
                </c:pt>
                <c:pt idx="1289">
                  <c:v>250.28</c:v>
                </c:pt>
                <c:pt idx="1290">
                  <c:v>250.449</c:v>
                </c:pt>
                <c:pt idx="1291">
                  <c:v>250.618</c:v>
                </c:pt>
                <c:pt idx="1292">
                  <c:v>250.788</c:v>
                </c:pt>
                <c:pt idx="1293">
                  <c:v>250.955</c:v>
                </c:pt>
                <c:pt idx="1294">
                  <c:v>251.123</c:v>
                </c:pt>
                <c:pt idx="1295">
                  <c:v>251.291</c:v>
                </c:pt>
                <c:pt idx="1296">
                  <c:v>251.459</c:v>
                </c:pt>
                <c:pt idx="1297">
                  <c:v>251.626</c:v>
                </c:pt>
                <c:pt idx="1298">
                  <c:v>251.795</c:v>
                </c:pt>
                <c:pt idx="1299">
                  <c:v>251.964</c:v>
                </c:pt>
                <c:pt idx="1300">
                  <c:v>252.135</c:v>
                </c:pt>
                <c:pt idx="1301">
                  <c:v>252.303</c:v>
                </c:pt>
                <c:pt idx="1302">
                  <c:v>252.472</c:v>
                </c:pt>
                <c:pt idx="1303">
                  <c:v>252.639</c:v>
                </c:pt>
                <c:pt idx="1304">
                  <c:v>252.806</c:v>
                </c:pt>
                <c:pt idx="1305">
                  <c:v>252.972</c:v>
                </c:pt>
                <c:pt idx="1306">
                  <c:v>253.139</c:v>
                </c:pt>
                <c:pt idx="1307">
                  <c:v>253.305</c:v>
                </c:pt>
                <c:pt idx="1308">
                  <c:v>253.468</c:v>
                </c:pt>
                <c:pt idx="1309">
                  <c:v>253.635</c:v>
                </c:pt>
                <c:pt idx="1310">
                  <c:v>253.801</c:v>
                </c:pt>
                <c:pt idx="1311">
                  <c:v>253.968</c:v>
                </c:pt>
                <c:pt idx="1312">
                  <c:v>254.134</c:v>
                </c:pt>
                <c:pt idx="1313">
                  <c:v>254.301</c:v>
                </c:pt>
                <c:pt idx="1314">
                  <c:v>254.47</c:v>
                </c:pt>
                <c:pt idx="1315">
                  <c:v>254.638</c:v>
                </c:pt>
                <c:pt idx="1316">
                  <c:v>254.807</c:v>
                </c:pt>
                <c:pt idx="1317">
                  <c:v>254.975</c:v>
                </c:pt>
                <c:pt idx="1318">
                  <c:v>255.141</c:v>
                </c:pt>
                <c:pt idx="1319">
                  <c:v>255.307</c:v>
                </c:pt>
                <c:pt idx="1320">
                  <c:v>255.472</c:v>
                </c:pt>
                <c:pt idx="1321">
                  <c:v>255.638</c:v>
                </c:pt>
                <c:pt idx="1322">
                  <c:v>255.805</c:v>
                </c:pt>
                <c:pt idx="1323">
                  <c:v>255.974</c:v>
                </c:pt>
                <c:pt idx="1324">
                  <c:v>256.142</c:v>
                </c:pt>
                <c:pt idx="1325">
                  <c:v>256.3090000000001</c:v>
                </c:pt>
                <c:pt idx="1326">
                  <c:v>256.4789999999986</c:v>
                </c:pt>
                <c:pt idx="1327">
                  <c:v>256.648</c:v>
                </c:pt>
                <c:pt idx="1328">
                  <c:v>256.8179999999999</c:v>
                </c:pt>
                <c:pt idx="1329">
                  <c:v>256.987</c:v>
                </c:pt>
                <c:pt idx="1330">
                  <c:v>257.154</c:v>
                </c:pt>
                <c:pt idx="1331">
                  <c:v>257.321</c:v>
                </c:pt>
                <c:pt idx="1332">
                  <c:v>257.4859999999989</c:v>
                </c:pt>
                <c:pt idx="1333">
                  <c:v>257.651</c:v>
                </c:pt>
                <c:pt idx="1334">
                  <c:v>257.819</c:v>
                </c:pt>
                <c:pt idx="1335">
                  <c:v>257.9859999999989</c:v>
                </c:pt>
                <c:pt idx="1336">
                  <c:v>258.154</c:v>
                </c:pt>
                <c:pt idx="1337">
                  <c:v>258.324</c:v>
                </c:pt>
                <c:pt idx="1338">
                  <c:v>258.492</c:v>
                </c:pt>
                <c:pt idx="1339">
                  <c:v>258.659</c:v>
                </c:pt>
                <c:pt idx="1340">
                  <c:v>258.826</c:v>
                </c:pt>
                <c:pt idx="1341">
                  <c:v>258.9929999999989</c:v>
                </c:pt>
                <c:pt idx="1342">
                  <c:v>259.1619999999999</c:v>
                </c:pt>
                <c:pt idx="1343">
                  <c:v>259.3279999999999</c:v>
                </c:pt>
                <c:pt idx="1344">
                  <c:v>259.4959999999986</c:v>
                </c:pt>
                <c:pt idx="1345">
                  <c:v>259.664</c:v>
                </c:pt>
                <c:pt idx="1346">
                  <c:v>259.831</c:v>
                </c:pt>
                <c:pt idx="1347">
                  <c:v>259.9979999999989</c:v>
                </c:pt>
                <c:pt idx="1348">
                  <c:v>260.165</c:v>
                </c:pt>
                <c:pt idx="1349">
                  <c:v>260.3349999999999</c:v>
                </c:pt>
                <c:pt idx="1350">
                  <c:v>260.502</c:v>
                </c:pt>
                <c:pt idx="1351">
                  <c:v>260.671</c:v>
                </c:pt>
                <c:pt idx="1352">
                  <c:v>260.838</c:v>
                </c:pt>
                <c:pt idx="1353">
                  <c:v>261.005</c:v>
                </c:pt>
                <c:pt idx="1354">
                  <c:v>261.1739999999999</c:v>
                </c:pt>
                <c:pt idx="1355">
                  <c:v>261.341</c:v>
                </c:pt>
                <c:pt idx="1356">
                  <c:v>261.512</c:v>
                </c:pt>
                <c:pt idx="1357">
                  <c:v>261.6809999999999</c:v>
                </c:pt>
                <c:pt idx="1358">
                  <c:v>261.85</c:v>
                </c:pt>
                <c:pt idx="1359">
                  <c:v>262.0179999999999</c:v>
                </c:pt>
                <c:pt idx="1360">
                  <c:v>262.1859999999999</c:v>
                </c:pt>
                <c:pt idx="1361">
                  <c:v>262.3539999999999</c:v>
                </c:pt>
                <c:pt idx="1362">
                  <c:v>262.5219999999989</c:v>
                </c:pt>
                <c:pt idx="1363">
                  <c:v>262.692</c:v>
                </c:pt>
                <c:pt idx="1364">
                  <c:v>262.862</c:v>
                </c:pt>
                <c:pt idx="1365">
                  <c:v>263.033</c:v>
                </c:pt>
                <c:pt idx="1366">
                  <c:v>263.204</c:v>
                </c:pt>
                <c:pt idx="1367">
                  <c:v>263.374</c:v>
                </c:pt>
                <c:pt idx="1368">
                  <c:v>263.5439999999999</c:v>
                </c:pt>
                <c:pt idx="1369">
                  <c:v>263.714</c:v>
                </c:pt>
                <c:pt idx="1370">
                  <c:v>263.8829999999999</c:v>
                </c:pt>
                <c:pt idx="1371">
                  <c:v>264.0539999999999</c:v>
                </c:pt>
                <c:pt idx="1372">
                  <c:v>264.225</c:v>
                </c:pt>
                <c:pt idx="1373">
                  <c:v>264.396</c:v>
                </c:pt>
                <c:pt idx="1374">
                  <c:v>264.5679999999999</c:v>
                </c:pt>
                <c:pt idx="1375">
                  <c:v>264.7329999999992</c:v>
                </c:pt>
                <c:pt idx="1376">
                  <c:v>264.9019999999986</c:v>
                </c:pt>
                <c:pt idx="1377">
                  <c:v>265.07</c:v>
                </c:pt>
                <c:pt idx="1378">
                  <c:v>265.237</c:v>
                </c:pt>
                <c:pt idx="1379">
                  <c:v>265.404</c:v>
                </c:pt>
                <c:pt idx="1380">
                  <c:v>265.572</c:v>
                </c:pt>
                <c:pt idx="1381">
                  <c:v>265.74</c:v>
                </c:pt>
                <c:pt idx="1382">
                  <c:v>265.908</c:v>
                </c:pt>
                <c:pt idx="1383">
                  <c:v>266.076</c:v>
                </c:pt>
                <c:pt idx="1384">
                  <c:v>266.2440000000001</c:v>
                </c:pt>
                <c:pt idx="1385">
                  <c:v>266.413</c:v>
                </c:pt>
                <c:pt idx="1386">
                  <c:v>266.58</c:v>
                </c:pt>
                <c:pt idx="1387">
                  <c:v>266.747</c:v>
                </c:pt>
                <c:pt idx="1388">
                  <c:v>266.9109999999989</c:v>
                </c:pt>
                <c:pt idx="1389">
                  <c:v>267.077</c:v>
                </c:pt>
                <c:pt idx="1390">
                  <c:v>267.2440000000001</c:v>
                </c:pt>
                <c:pt idx="1391">
                  <c:v>267.4089999999989</c:v>
                </c:pt>
                <c:pt idx="1392">
                  <c:v>267.575</c:v>
                </c:pt>
                <c:pt idx="1393">
                  <c:v>267.74</c:v>
                </c:pt>
                <c:pt idx="1394">
                  <c:v>267.9059999999996</c:v>
                </c:pt>
                <c:pt idx="1395">
                  <c:v>268.074</c:v>
                </c:pt>
                <c:pt idx="1396">
                  <c:v>268.242</c:v>
                </c:pt>
                <c:pt idx="1397">
                  <c:v>268.4119999999986</c:v>
                </c:pt>
                <c:pt idx="1398">
                  <c:v>268.58</c:v>
                </c:pt>
                <c:pt idx="1399">
                  <c:v>268.748</c:v>
                </c:pt>
                <c:pt idx="1400">
                  <c:v>268.915</c:v>
                </c:pt>
                <c:pt idx="1401">
                  <c:v>269.08</c:v>
                </c:pt>
                <c:pt idx="1402">
                  <c:v>269.243</c:v>
                </c:pt>
                <c:pt idx="1403">
                  <c:v>269.408</c:v>
                </c:pt>
                <c:pt idx="1404">
                  <c:v>269.572</c:v>
                </c:pt>
                <c:pt idx="1405">
                  <c:v>269.737</c:v>
                </c:pt>
                <c:pt idx="1406">
                  <c:v>269.9019999999986</c:v>
                </c:pt>
                <c:pt idx="1407">
                  <c:v>270.0679999999999</c:v>
                </c:pt>
                <c:pt idx="1408">
                  <c:v>270.2329999999992</c:v>
                </c:pt>
                <c:pt idx="1409">
                  <c:v>270.3969999999989</c:v>
                </c:pt>
                <c:pt idx="1410">
                  <c:v>270.5609999999999</c:v>
                </c:pt>
                <c:pt idx="1411">
                  <c:v>270.7239999999989</c:v>
                </c:pt>
                <c:pt idx="1412">
                  <c:v>270.886</c:v>
                </c:pt>
                <c:pt idx="1413">
                  <c:v>271.046</c:v>
                </c:pt>
                <c:pt idx="1414">
                  <c:v>271.208</c:v>
                </c:pt>
                <c:pt idx="1415">
                  <c:v>271.372</c:v>
                </c:pt>
                <c:pt idx="1416">
                  <c:v>271.538</c:v>
                </c:pt>
                <c:pt idx="1417">
                  <c:v>271.702</c:v>
                </c:pt>
                <c:pt idx="1418">
                  <c:v>271.865</c:v>
                </c:pt>
                <c:pt idx="1419">
                  <c:v>272.0309999999996</c:v>
                </c:pt>
                <c:pt idx="1420">
                  <c:v>272.196</c:v>
                </c:pt>
                <c:pt idx="1421">
                  <c:v>272.36</c:v>
                </c:pt>
                <c:pt idx="1422">
                  <c:v>272.5269999999986</c:v>
                </c:pt>
                <c:pt idx="1423">
                  <c:v>272.695</c:v>
                </c:pt>
                <c:pt idx="1424">
                  <c:v>272.866</c:v>
                </c:pt>
                <c:pt idx="1425">
                  <c:v>273.035</c:v>
                </c:pt>
                <c:pt idx="1426">
                  <c:v>273.2049999999999</c:v>
                </c:pt>
                <c:pt idx="1427">
                  <c:v>273.373</c:v>
                </c:pt>
                <c:pt idx="1428">
                  <c:v>273.5389999999989</c:v>
                </c:pt>
                <c:pt idx="1429">
                  <c:v>273.7069999999989</c:v>
                </c:pt>
                <c:pt idx="1430">
                  <c:v>273.872</c:v>
                </c:pt>
                <c:pt idx="1431">
                  <c:v>274.0359999999989</c:v>
                </c:pt>
                <c:pt idx="1432">
                  <c:v>274.2</c:v>
                </c:pt>
                <c:pt idx="1433">
                  <c:v>274.363</c:v>
                </c:pt>
                <c:pt idx="1434">
                  <c:v>274.526</c:v>
                </c:pt>
                <c:pt idx="1435">
                  <c:v>274.6929999999999</c:v>
                </c:pt>
                <c:pt idx="1436">
                  <c:v>274.862</c:v>
                </c:pt>
                <c:pt idx="1437">
                  <c:v>275.0319999999986</c:v>
                </c:pt>
                <c:pt idx="1438">
                  <c:v>275.201</c:v>
                </c:pt>
                <c:pt idx="1439">
                  <c:v>275.362</c:v>
                </c:pt>
                <c:pt idx="1440">
                  <c:v>275.523</c:v>
                </c:pt>
                <c:pt idx="1441">
                  <c:v>275.685</c:v>
                </c:pt>
                <c:pt idx="1442">
                  <c:v>275.849</c:v>
                </c:pt>
                <c:pt idx="1443">
                  <c:v>276.014</c:v>
                </c:pt>
                <c:pt idx="1444">
                  <c:v>276.18</c:v>
                </c:pt>
                <c:pt idx="1445">
                  <c:v>276.3469999999999</c:v>
                </c:pt>
                <c:pt idx="1446">
                  <c:v>276.5129999999999</c:v>
                </c:pt>
                <c:pt idx="1447">
                  <c:v>276.68</c:v>
                </c:pt>
                <c:pt idx="1448">
                  <c:v>276.846</c:v>
                </c:pt>
                <c:pt idx="1449">
                  <c:v>277.009</c:v>
                </c:pt>
                <c:pt idx="1450">
                  <c:v>277.168</c:v>
                </c:pt>
                <c:pt idx="1451">
                  <c:v>277.331</c:v>
                </c:pt>
                <c:pt idx="1452">
                  <c:v>277.4949999999992</c:v>
                </c:pt>
                <c:pt idx="1453">
                  <c:v>277.6600000000001</c:v>
                </c:pt>
                <c:pt idx="1454">
                  <c:v>277.824</c:v>
                </c:pt>
                <c:pt idx="1455">
                  <c:v>277.987</c:v>
                </c:pt>
                <c:pt idx="1456">
                  <c:v>278.148</c:v>
                </c:pt>
                <c:pt idx="1457">
                  <c:v>278.312</c:v>
                </c:pt>
                <c:pt idx="1458">
                  <c:v>278.4759999999989</c:v>
                </c:pt>
                <c:pt idx="1459">
                  <c:v>278.639</c:v>
                </c:pt>
                <c:pt idx="1460">
                  <c:v>278.801</c:v>
                </c:pt>
                <c:pt idx="1461">
                  <c:v>278.964</c:v>
                </c:pt>
                <c:pt idx="1462">
                  <c:v>279.13</c:v>
                </c:pt>
                <c:pt idx="1463">
                  <c:v>279.2959999999989</c:v>
                </c:pt>
                <c:pt idx="1464">
                  <c:v>279.461</c:v>
                </c:pt>
                <c:pt idx="1465">
                  <c:v>279.623</c:v>
                </c:pt>
                <c:pt idx="1466">
                  <c:v>279.7869999999986</c:v>
                </c:pt>
                <c:pt idx="1467">
                  <c:v>279.9529999999999</c:v>
                </c:pt>
                <c:pt idx="1468">
                  <c:v>280.118</c:v>
                </c:pt>
                <c:pt idx="1469">
                  <c:v>280.2839999999989</c:v>
                </c:pt>
                <c:pt idx="1470">
                  <c:v>280.452</c:v>
                </c:pt>
                <c:pt idx="1471">
                  <c:v>280.617</c:v>
                </c:pt>
                <c:pt idx="1472">
                  <c:v>280.7799999999999</c:v>
                </c:pt>
                <c:pt idx="1473">
                  <c:v>280.946</c:v>
                </c:pt>
                <c:pt idx="1474">
                  <c:v>281.112</c:v>
                </c:pt>
                <c:pt idx="1475">
                  <c:v>281.276</c:v>
                </c:pt>
                <c:pt idx="1476">
                  <c:v>281.439</c:v>
                </c:pt>
                <c:pt idx="1477">
                  <c:v>281.606</c:v>
                </c:pt>
                <c:pt idx="1478">
                  <c:v>281.773</c:v>
                </c:pt>
                <c:pt idx="1479">
                  <c:v>281.94</c:v>
                </c:pt>
                <c:pt idx="1480">
                  <c:v>282.105</c:v>
                </c:pt>
                <c:pt idx="1481">
                  <c:v>282.271</c:v>
                </c:pt>
                <c:pt idx="1482">
                  <c:v>282.4379999999989</c:v>
                </c:pt>
                <c:pt idx="1483">
                  <c:v>282.6039999999999</c:v>
                </c:pt>
                <c:pt idx="1484">
                  <c:v>282.771</c:v>
                </c:pt>
                <c:pt idx="1485">
                  <c:v>282.9349999999989</c:v>
                </c:pt>
                <c:pt idx="1486">
                  <c:v>283.101</c:v>
                </c:pt>
                <c:pt idx="1487">
                  <c:v>283.2679999999999</c:v>
                </c:pt>
                <c:pt idx="1488">
                  <c:v>283.434</c:v>
                </c:pt>
                <c:pt idx="1489">
                  <c:v>283.5989999999989</c:v>
                </c:pt>
                <c:pt idx="1490">
                  <c:v>283.764</c:v>
                </c:pt>
                <c:pt idx="1491">
                  <c:v>283.9309999999986</c:v>
                </c:pt>
                <c:pt idx="1492">
                  <c:v>284.0969999999986</c:v>
                </c:pt>
                <c:pt idx="1493">
                  <c:v>284.262</c:v>
                </c:pt>
                <c:pt idx="1494">
                  <c:v>284.4279999999989</c:v>
                </c:pt>
                <c:pt idx="1495">
                  <c:v>284.595</c:v>
                </c:pt>
                <c:pt idx="1496">
                  <c:v>284.76</c:v>
                </c:pt>
                <c:pt idx="1497">
                  <c:v>284.9229999999989</c:v>
                </c:pt>
                <c:pt idx="1498">
                  <c:v>285.086</c:v>
                </c:pt>
                <c:pt idx="1499">
                  <c:v>285.2459999999999</c:v>
                </c:pt>
                <c:pt idx="1500">
                  <c:v>285.4089999999989</c:v>
                </c:pt>
                <c:pt idx="1501">
                  <c:v>285.572</c:v>
                </c:pt>
                <c:pt idx="1502">
                  <c:v>285.735</c:v>
                </c:pt>
                <c:pt idx="1503">
                  <c:v>285.8969999999989</c:v>
                </c:pt>
                <c:pt idx="1504">
                  <c:v>286.06</c:v>
                </c:pt>
                <c:pt idx="1505">
                  <c:v>286.2209999999992</c:v>
                </c:pt>
                <c:pt idx="1506">
                  <c:v>286.385</c:v>
                </c:pt>
                <c:pt idx="1507">
                  <c:v>286.55</c:v>
                </c:pt>
                <c:pt idx="1508">
                  <c:v>286.7149999999999</c:v>
                </c:pt>
                <c:pt idx="1509">
                  <c:v>286.878</c:v>
                </c:pt>
                <c:pt idx="1510">
                  <c:v>287.038</c:v>
                </c:pt>
                <c:pt idx="1511">
                  <c:v>287.199</c:v>
                </c:pt>
                <c:pt idx="1512">
                  <c:v>287.362</c:v>
                </c:pt>
                <c:pt idx="1513">
                  <c:v>287.5269999999986</c:v>
                </c:pt>
                <c:pt idx="1514">
                  <c:v>287.692</c:v>
                </c:pt>
                <c:pt idx="1515">
                  <c:v>287.858</c:v>
                </c:pt>
                <c:pt idx="1516">
                  <c:v>288.0249999999999</c:v>
                </c:pt>
                <c:pt idx="1517">
                  <c:v>288.187</c:v>
                </c:pt>
                <c:pt idx="1518">
                  <c:v>288.35</c:v>
                </c:pt>
                <c:pt idx="1519">
                  <c:v>288.517</c:v>
                </c:pt>
                <c:pt idx="1520">
                  <c:v>288.6789999999999</c:v>
                </c:pt>
                <c:pt idx="1521">
                  <c:v>288.844</c:v>
                </c:pt>
                <c:pt idx="1522">
                  <c:v>289.011</c:v>
                </c:pt>
                <c:pt idx="1523">
                  <c:v>289.175</c:v>
                </c:pt>
                <c:pt idx="1524">
                  <c:v>289.3399999999999</c:v>
                </c:pt>
                <c:pt idx="1525">
                  <c:v>289.504</c:v>
                </c:pt>
                <c:pt idx="1526">
                  <c:v>289.668</c:v>
                </c:pt>
                <c:pt idx="1527">
                  <c:v>289.833</c:v>
                </c:pt>
                <c:pt idx="1528">
                  <c:v>289.9979999999989</c:v>
                </c:pt>
                <c:pt idx="1529">
                  <c:v>290.164</c:v>
                </c:pt>
                <c:pt idx="1530">
                  <c:v>290.3319999999989</c:v>
                </c:pt>
                <c:pt idx="1531">
                  <c:v>290.5009999999999</c:v>
                </c:pt>
                <c:pt idx="1532">
                  <c:v>290.666</c:v>
                </c:pt>
                <c:pt idx="1533">
                  <c:v>290.8319999999989</c:v>
                </c:pt>
                <c:pt idx="1534">
                  <c:v>290.994</c:v>
                </c:pt>
                <c:pt idx="1535">
                  <c:v>291.158</c:v>
                </c:pt>
                <c:pt idx="1536">
                  <c:v>291.324</c:v>
                </c:pt>
                <c:pt idx="1537">
                  <c:v>291.4889999999986</c:v>
                </c:pt>
                <c:pt idx="1538">
                  <c:v>291.653</c:v>
                </c:pt>
                <c:pt idx="1539">
                  <c:v>291.817</c:v>
                </c:pt>
                <c:pt idx="1540">
                  <c:v>291.982</c:v>
                </c:pt>
                <c:pt idx="1541">
                  <c:v>292.148</c:v>
                </c:pt>
                <c:pt idx="1542">
                  <c:v>292.314</c:v>
                </c:pt>
                <c:pt idx="1543">
                  <c:v>292.478</c:v>
                </c:pt>
                <c:pt idx="1544">
                  <c:v>292.642</c:v>
                </c:pt>
                <c:pt idx="1545">
                  <c:v>292.805</c:v>
                </c:pt>
                <c:pt idx="1546">
                  <c:v>292.966</c:v>
                </c:pt>
                <c:pt idx="1547">
                  <c:v>293.127</c:v>
                </c:pt>
                <c:pt idx="1548">
                  <c:v>293.2859999999989</c:v>
                </c:pt>
                <c:pt idx="1549">
                  <c:v>293.444</c:v>
                </c:pt>
                <c:pt idx="1550">
                  <c:v>293.605</c:v>
                </c:pt>
                <c:pt idx="1551">
                  <c:v>293.764</c:v>
                </c:pt>
                <c:pt idx="1552">
                  <c:v>293.9279999999989</c:v>
                </c:pt>
                <c:pt idx="1553">
                  <c:v>294.0959999999992</c:v>
                </c:pt>
                <c:pt idx="1554">
                  <c:v>294.266</c:v>
                </c:pt>
                <c:pt idx="1555">
                  <c:v>294.434</c:v>
                </c:pt>
                <c:pt idx="1556">
                  <c:v>294.603</c:v>
                </c:pt>
                <c:pt idx="1557">
                  <c:v>294.769</c:v>
                </c:pt>
                <c:pt idx="1558">
                  <c:v>294.9349999999989</c:v>
                </c:pt>
                <c:pt idx="1559">
                  <c:v>295.1019999999999</c:v>
                </c:pt>
                <c:pt idx="1560">
                  <c:v>295.267</c:v>
                </c:pt>
                <c:pt idx="1561">
                  <c:v>295.4309999999986</c:v>
                </c:pt>
                <c:pt idx="1562">
                  <c:v>295.591</c:v>
                </c:pt>
                <c:pt idx="1563">
                  <c:v>295.754</c:v>
                </c:pt>
                <c:pt idx="1564">
                  <c:v>295.915</c:v>
                </c:pt>
                <c:pt idx="1565">
                  <c:v>296.075</c:v>
                </c:pt>
                <c:pt idx="1566">
                  <c:v>296.2359999999989</c:v>
                </c:pt>
                <c:pt idx="1567">
                  <c:v>296.3999999999999</c:v>
                </c:pt>
                <c:pt idx="1568">
                  <c:v>296.565</c:v>
                </c:pt>
                <c:pt idx="1569">
                  <c:v>296.73</c:v>
                </c:pt>
                <c:pt idx="1570">
                  <c:v>296.8949999999999</c:v>
                </c:pt>
                <c:pt idx="1571">
                  <c:v>297.0609999999999</c:v>
                </c:pt>
                <c:pt idx="1572">
                  <c:v>297.2269999999986</c:v>
                </c:pt>
                <c:pt idx="1573">
                  <c:v>297.392</c:v>
                </c:pt>
                <c:pt idx="1574">
                  <c:v>297.5559999999999</c:v>
                </c:pt>
                <c:pt idx="1575">
                  <c:v>297.7209999999992</c:v>
                </c:pt>
                <c:pt idx="1576">
                  <c:v>297.882</c:v>
                </c:pt>
                <c:pt idx="1577">
                  <c:v>298.0439999999999</c:v>
                </c:pt>
                <c:pt idx="1578">
                  <c:v>298.209</c:v>
                </c:pt>
                <c:pt idx="1579">
                  <c:v>298.374</c:v>
                </c:pt>
                <c:pt idx="1580">
                  <c:v>298.538</c:v>
                </c:pt>
                <c:pt idx="1581">
                  <c:v>298.7049999999999</c:v>
                </c:pt>
                <c:pt idx="1582">
                  <c:v>298.8709999999999</c:v>
                </c:pt>
                <c:pt idx="1583">
                  <c:v>299.0369999999986</c:v>
                </c:pt>
                <c:pt idx="1584">
                  <c:v>299.204</c:v>
                </c:pt>
                <c:pt idx="1585">
                  <c:v>299.37</c:v>
                </c:pt>
                <c:pt idx="1586">
                  <c:v>299.5359999999989</c:v>
                </c:pt>
                <c:pt idx="1587">
                  <c:v>299.7</c:v>
                </c:pt>
                <c:pt idx="1588">
                  <c:v>299.8639999999999</c:v>
                </c:pt>
                <c:pt idx="1589">
                  <c:v>300.028</c:v>
                </c:pt>
                <c:pt idx="1590">
                  <c:v>300.192</c:v>
                </c:pt>
                <c:pt idx="1591">
                  <c:v>300.3570000000001</c:v>
                </c:pt>
                <c:pt idx="1592">
                  <c:v>300.521</c:v>
                </c:pt>
                <c:pt idx="1593">
                  <c:v>300.683</c:v>
                </c:pt>
                <c:pt idx="1594">
                  <c:v>300.8469999999999</c:v>
                </c:pt>
                <c:pt idx="1595">
                  <c:v>301.01</c:v>
                </c:pt>
                <c:pt idx="1596">
                  <c:v>301.175</c:v>
                </c:pt>
                <c:pt idx="1597">
                  <c:v>301.339</c:v>
                </c:pt>
                <c:pt idx="1598">
                  <c:v>301.5009999999999</c:v>
                </c:pt>
                <c:pt idx="1599">
                  <c:v>301.664</c:v>
                </c:pt>
                <c:pt idx="1600">
                  <c:v>301.827</c:v>
                </c:pt>
                <c:pt idx="1601">
                  <c:v>301.992</c:v>
                </c:pt>
                <c:pt idx="1602">
                  <c:v>302.159</c:v>
                </c:pt>
                <c:pt idx="1603">
                  <c:v>302.329</c:v>
                </c:pt>
                <c:pt idx="1604">
                  <c:v>302.497</c:v>
                </c:pt>
                <c:pt idx="1605">
                  <c:v>302.664</c:v>
                </c:pt>
                <c:pt idx="1606">
                  <c:v>302.831</c:v>
                </c:pt>
                <c:pt idx="1607">
                  <c:v>302.9979999999989</c:v>
                </c:pt>
                <c:pt idx="1608">
                  <c:v>303.163</c:v>
                </c:pt>
                <c:pt idx="1609">
                  <c:v>303.329</c:v>
                </c:pt>
                <c:pt idx="1610">
                  <c:v>303.4959999999986</c:v>
                </c:pt>
                <c:pt idx="1611">
                  <c:v>303.665</c:v>
                </c:pt>
                <c:pt idx="1612">
                  <c:v>303.834</c:v>
                </c:pt>
                <c:pt idx="1613">
                  <c:v>304.004</c:v>
                </c:pt>
                <c:pt idx="1614">
                  <c:v>304.1720000000001</c:v>
                </c:pt>
                <c:pt idx="1615">
                  <c:v>304.339</c:v>
                </c:pt>
                <c:pt idx="1616">
                  <c:v>304.505</c:v>
                </c:pt>
                <c:pt idx="1617">
                  <c:v>304.668</c:v>
                </c:pt>
                <c:pt idx="1618">
                  <c:v>304.831</c:v>
                </c:pt>
                <c:pt idx="1619">
                  <c:v>304.9949999999992</c:v>
                </c:pt>
                <c:pt idx="1620">
                  <c:v>305.1600000000001</c:v>
                </c:pt>
                <c:pt idx="1621">
                  <c:v>305.3229999999999</c:v>
                </c:pt>
                <c:pt idx="1622">
                  <c:v>305.487</c:v>
                </c:pt>
                <c:pt idx="1623">
                  <c:v>305.654</c:v>
                </c:pt>
                <c:pt idx="1624">
                  <c:v>305.821</c:v>
                </c:pt>
                <c:pt idx="1625">
                  <c:v>305.9889999999986</c:v>
                </c:pt>
                <c:pt idx="1626">
                  <c:v>306.156</c:v>
                </c:pt>
                <c:pt idx="1627">
                  <c:v>306.322</c:v>
                </c:pt>
                <c:pt idx="1628">
                  <c:v>306.487</c:v>
                </c:pt>
                <c:pt idx="1629">
                  <c:v>306.654</c:v>
                </c:pt>
                <c:pt idx="1630">
                  <c:v>306.821</c:v>
                </c:pt>
                <c:pt idx="1631">
                  <c:v>306.9879999999989</c:v>
                </c:pt>
                <c:pt idx="1632">
                  <c:v>307.151</c:v>
                </c:pt>
                <c:pt idx="1633">
                  <c:v>307.317</c:v>
                </c:pt>
                <c:pt idx="1634">
                  <c:v>307.4829999999992</c:v>
                </c:pt>
                <c:pt idx="1635">
                  <c:v>307.647</c:v>
                </c:pt>
                <c:pt idx="1636">
                  <c:v>307.8109999999999</c:v>
                </c:pt>
                <c:pt idx="1637">
                  <c:v>307.9739999999989</c:v>
                </c:pt>
                <c:pt idx="1638">
                  <c:v>308.137</c:v>
                </c:pt>
                <c:pt idx="1639">
                  <c:v>308.3</c:v>
                </c:pt>
                <c:pt idx="1640">
                  <c:v>308.4619999999989</c:v>
                </c:pt>
                <c:pt idx="1641">
                  <c:v>308.627</c:v>
                </c:pt>
                <c:pt idx="1642">
                  <c:v>308.7909999999989</c:v>
                </c:pt>
                <c:pt idx="1643">
                  <c:v>308.9549999999999</c:v>
                </c:pt>
                <c:pt idx="1644">
                  <c:v>309.1190000000001</c:v>
                </c:pt>
                <c:pt idx="1645">
                  <c:v>309.2819999999986</c:v>
                </c:pt>
                <c:pt idx="1646">
                  <c:v>309.447</c:v>
                </c:pt>
                <c:pt idx="1647">
                  <c:v>309.612</c:v>
                </c:pt>
                <c:pt idx="1648">
                  <c:v>309.7749999999999</c:v>
                </c:pt>
                <c:pt idx="1649">
                  <c:v>309.9379999999989</c:v>
                </c:pt>
                <c:pt idx="1650">
                  <c:v>310.101</c:v>
                </c:pt>
                <c:pt idx="1651">
                  <c:v>310.264</c:v>
                </c:pt>
                <c:pt idx="1652">
                  <c:v>310.4259999999989</c:v>
                </c:pt>
                <c:pt idx="1653">
                  <c:v>310.5899999999999</c:v>
                </c:pt>
                <c:pt idx="1654">
                  <c:v>310.754</c:v>
                </c:pt>
                <c:pt idx="1655">
                  <c:v>310.9189999999986</c:v>
                </c:pt>
                <c:pt idx="1656">
                  <c:v>311.083</c:v>
                </c:pt>
                <c:pt idx="1657">
                  <c:v>311.248</c:v>
                </c:pt>
                <c:pt idx="1658">
                  <c:v>311.413</c:v>
                </c:pt>
                <c:pt idx="1659">
                  <c:v>311.575</c:v>
                </c:pt>
                <c:pt idx="1660">
                  <c:v>311.7389999999986</c:v>
                </c:pt>
                <c:pt idx="1661">
                  <c:v>311.901</c:v>
                </c:pt>
                <c:pt idx="1662">
                  <c:v>312.065</c:v>
                </c:pt>
                <c:pt idx="1663">
                  <c:v>312.2309999999989</c:v>
                </c:pt>
                <c:pt idx="1664">
                  <c:v>312.398</c:v>
                </c:pt>
                <c:pt idx="1665">
                  <c:v>312.564</c:v>
                </c:pt>
                <c:pt idx="1666">
                  <c:v>312.725</c:v>
                </c:pt>
                <c:pt idx="1667">
                  <c:v>312.887</c:v>
                </c:pt>
                <c:pt idx="1668">
                  <c:v>313.0489999999999</c:v>
                </c:pt>
                <c:pt idx="1669">
                  <c:v>313.2119999999989</c:v>
                </c:pt>
                <c:pt idx="1670">
                  <c:v>313.377</c:v>
                </c:pt>
                <c:pt idx="1671">
                  <c:v>313.541</c:v>
                </c:pt>
                <c:pt idx="1672">
                  <c:v>313.709</c:v>
                </c:pt>
                <c:pt idx="1673">
                  <c:v>313.875</c:v>
                </c:pt>
                <c:pt idx="1674">
                  <c:v>314.0419999999999</c:v>
                </c:pt>
                <c:pt idx="1675">
                  <c:v>314.208</c:v>
                </c:pt>
                <c:pt idx="1676">
                  <c:v>314.374</c:v>
                </c:pt>
                <c:pt idx="1677">
                  <c:v>314.541</c:v>
                </c:pt>
                <c:pt idx="1678">
                  <c:v>314.706</c:v>
                </c:pt>
                <c:pt idx="1679">
                  <c:v>314.872</c:v>
                </c:pt>
                <c:pt idx="1680">
                  <c:v>315.0339999999989</c:v>
                </c:pt>
                <c:pt idx="1681">
                  <c:v>315.2</c:v>
                </c:pt>
                <c:pt idx="1682">
                  <c:v>315.366</c:v>
                </c:pt>
                <c:pt idx="1683">
                  <c:v>315.533</c:v>
                </c:pt>
                <c:pt idx="1684">
                  <c:v>315.699</c:v>
                </c:pt>
                <c:pt idx="1685">
                  <c:v>315.867</c:v>
                </c:pt>
                <c:pt idx="1686">
                  <c:v>316.0339999999989</c:v>
                </c:pt>
                <c:pt idx="1687">
                  <c:v>316.2</c:v>
                </c:pt>
                <c:pt idx="1688">
                  <c:v>316.365</c:v>
                </c:pt>
                <c:pt idx="1689">
                  <c:v>316.5319999999986</c:v>
                </c:pt>
                <c:pt idx="1690">
                  <c:v>316.7</c:v>
                </c:pt>
                <c:pt idx="1691">
                  <c:v>316.866</c:v>
                </c:pt>
                <c:pt idx="1692">
                  <c:v>317.033</c:v>
                </c:pt>
                <c:pt idx="1693">
                  <c:v>317.199</c:v>
                </c:pt>
                <c:pt idx="1694">
                  <c:v>317.3639999999999</c:v>
                </c:pt>
                <c:pt idx="1695">
                  <c:v>317.5269999999986</c:v>
                </c:pt>
                <c:pt idx="1696">
                  <c:v>317.6909999999999</c:v>
                </c:pt>
                <c:pt idx="1697">
                  <c:v>317.855</c:v>
                </c:pt>
                <c:pt idx="1698">
                  <c:v>318.019</c:v>
                </c:pt>
                <c:pt idx="1699">
                  <c:v>318.185</c:v>
                </c:pt>
                <c:pt idx="1700">
                  <c:v>318.348</c:v>
                </c:pt>
                <c:pt idx="1701">
                  <c:v>318.511</c:v>
                </c:pt>
                <c:pt idx="1702">
                  <c:v>318.6739999999999</c:v>
                </c:pt>
                <c:pt idx="1703">
                  <c:v>318.838</c:v>
                </c:pt>
                <c:pt idx="1704">
                  <c:v>319.002</c:v>
                </c:pt>
                <c:pt idx="1705">
                  <c:v>319.163</c:v>
                </c:pt>
                <c:pt idx="1706">
                  <c:v>319.3279999999999</c:v>
                </c:pt>
                <c:pt idx="1707">
                  <c:v>319.492</c:v>
                </c:pt>
                <c:pt idx="1708">
                  <c:v>319.656</c:v>
                </c:pt>
                <c:pt idx="1709">
                  <c:v>319.82</c:v>
                </c:pt>
                <c:pt idx="1710">
                  <c:v>319.9829999999992</c:v>
                </c:pt>
                <c:pt idx="1711">
                  <c:v>320.147</c:v>
                </c:pt>
                <c:pt idx="1712">
                  <c:v>320.31</c:v>
                </c:pt>
                <c:pt idx="1713">
                  <c:v>320.473</c:v>
                </c:pt>
                <c:pt idx="1714">
                  <c:v>320.636</c:v>
                </c:pt>
                <c:pt idx="1715">
                  <c:v>320.7959999999989</c:v>
                </c:pt>
                <c:pt idx="1716">
                  <c:v>320.961</c:v>
                </c:pt>
                <c:pt idx="1717">
                  <c:v>321.125</c:v>
                </c:pt>
                <c:pt idx="1718">
                  <c:v>321.2929999999996</c:v>
                </c:pt>
                <c:pt idx="1719">
                  <c:v>321.4569999999989</c:v>
                </c:pt>
                <c:pt idx="1720">
                  <c:v>321.62</c:v>
                </c:pt>
                <c:pt idx="1721">
                  <c:v>321.7839999999989</c:v>
                </c:pt>
                <c:pt idx="1722">
                  <c:v>321.9479999999999</c:v>
                </c:pt>
                <c:pt idx="1723">
                  <c:v>322.1089999999999</c:v>
                </c:pt>
                <c:pt idx="1724">
                  <c:v>322.273</c:v>
                </c:pt>
                <c:pt idx="1725">
                  <c:v>322.437</c:v>
                </c:pt>
                <c:pt idx="1726">
                  <c:v>322.601</c:v>
                </c:pt>
                <c:pt idx="1727">
                  <c:v>322.766</c:v>
                </c:pt>
                <c:pt idx="1728">
                  <c:v>322.9279999999989</c:v>
                </c:pt>
                <c:pt idx="1729">
                  <c:v>323.0919999999986</c:v>
                </c:pt>
                <c:pt idx="1730">
                  <c:v>323.255</c:v>
                </c:pt>
                <c:pt idx="1731">
                  <c:v>323.4189999999986</c:v>
                </c:pt>
                <c:pt idx="1732">
                  <c:v>323.583</c:v>
                </c:pt>
                <c:pt idx="1733">
                  <c:v>323.748</c:v>
                </c:pt>
                <c:pt idx="1734">
                  <c:v>323.9089999999989</c:v>
                </c:pt>
                <c:pt idx="1735">
                  <c:v>324.071</c:v>
                </c:pt>
                <c:pt idx="1736">
                  <c:v>324.2339999999986</c:v>
                </c:pt>
                <c:pt idx="1737">
                  <c:v>324.3969999999989</c:v>
                </c:pt>
                <c:pt idx="1738">
                  <c:v>324.5590000000001</c:v>
                </c:pt>
                <c:pt idx="1739">
                  <c:v>324.72</c:v>
                </c:pt>
                <c:pt idx="1740">
                  <c:v>324.88</c:v>
                </c:pt>
                <c:pt idx="1741">
                  <c:v>325.038</c:v>
                </c:pt>
                <c:pt idx="1742">
                  <c:v>325.197</c:v>
                </c:pt>
                <c:pt idx="1743">
                  <c:v>325.358</c:v>
                </c:pt>
                <c:pt idx="1744">
                  <c:v>325.52</c:v>
                </c:pt>
                <c:pt idx="1745">
                  <c:v>325.6809999999999</c:v>
                </c:pt>
                <c:pt idx="1746">
                  <c:v>325.841</c:v>
                </c:pt>
                <c:pt idx="1747">
                  <c:v>326.0009999999999</c:v>
                </c:pt>
                <c:pt idx="1748">
                  <c:v>326.1619999999999</c:v>
                </c:pt>
                <c:pt idx="1749">
                  <c:v>326.3229999999999</c:v>
                </c:pt>
                <c:pt idx="1750">
                  <c:v>326.485</c:v>
                </c:pt>
                <c:pt idx="1751">
                  <c:v>326.645</c:v>
                </c:pt>
                <c:pt idx="1752">
                  <c:v>326.807</c:v>
                </c:pt>
                <c:pt idx="1753">
                  <c:v>326.9689999999989</c:v>
                </c:pt>
                <c:pt idx="1754">
                  <c:v>327.132</c:v>
                </c:pt>
                <c:pt idx="1755">
                  <c:v>327.2869999999986</c:v>
                </c:pt>
                <c:pt idx="1756">
                  <c:v>327.4429999999999</c:v>
                </c:pt>
                <c:pt idx="1757">
                  <c:v>327.6019999999999</c:v>
                </c:pt>
                <c:pt idx="1758">
                  <c:v>327.759</c:v>
                </c:pt>
                <c:pt idx="1759">
                  <c:v>327.9179999999996</c:v>
                </c:pt>
                <c:pt idx="1760">
                  <c:v>328.0779999999999</c:v>
                </c:pt>
                <c:pt idx="1761">
                  <c:v>328.237</c:v>
                </c:pt>
                <c:pt idx="1762">
                  <c:v>328.399</c:v>
                </c:pt>
                <c:pt idx="1763">
                  <c:v>328.5609999999999</c:v>
                </c:pt>
                <c:pt idx="1764">
                  <c:v>328.7219999999986</c:v>
                </c:pt>
                <c:pt idx="1765">
                  <c:v>328.8829999999999</c:v>
                </c:pt>
                <c:pt idx="1766">
                  <c:v>329.0419999999999</c:v>
                </c:pt>
                <c:pt idx="1767">
                  <c:v>329.201</c:v>
                </c:pt>
                <c:pt idx="1768">
                  <c:v>329.358</c:v>
                </c:pt>
                <c:pt idx="1769">
                  <c:v>329.51</c:v>
                </c:pt>
                <c:pt idx="1770">
                  <c:v>329.666</c:v>
                </c:pt>
                <c:pt idx="1771">
                  <c:v>329.824</c:v>
                </c:pt>
                <c:pt idx="1772">
                  <c:v>329.9809999999989</c:v>
                </c:pt>
                <c:pt idx="1773">
                  <c:v>330.137</c:v>
                </c:pt>
                <c:pt idx="1774">
                  <c:v>330.2959999999989</c:v>
                </c:pt>
                <c:pt idx="1775">
                  <c:v>330.456</c:v>
                </c:pt>
                <c:pt idx="1776">
                  <c:v>330.616</c:v>
                </c:pt>
                <c:pt idx="1777">
                  <c:v>330.7749999999999</c:v>
                </c:pt>
                <c:pt idx="1778">
                  <c:v>330.9349999999989</c:v>
                </c:pt>
                <c:pt idx="1779">
                  <c:v>331.0939999999989</c:v>
                </c:pt>
                <c:pt idx="1780">
                  <c:v>331.255</c:v>
                </c:pt>
                <c:pt idx="1781">
                  <c:v>331.4139999999989</c:v>
                </c:pt>
                <c:pt idx="1782">
                  <c:v>331.572</c:v>
                </c:pt>
                <c:pt idx="1783">
                  <c:v>331.7309999999989</c:v>
                </c:pt>
                <c:pt idx="1784">
                  <c:v>331.89</c:v>
                </c:pt>
                <c:pt idx="1785">
                  <c:v>332.0470000000001</c:v>
                </c:pt>
                <c:pt idx="1786">
                  <c:v>332.206</c:v>
                </c:pt>
                <c:pt idx="1787">
                  <c:v>332.366</c:v>
                </c:pt>
                <c:pt idx="1788">
                  <c:v>332.528</c:v>
                </c:pt>
                <c:pt idx="1789">
                  <c:v>332.6909999999999</c:v>
                </c:pt>
                <c:pt idx="1790">
                  <c:v>332.855</c:v>
                </c:pt>
                <c:pt idx="1791">
                  <c:v>333.019</c:v>
                </c:pt>
                <c:pt idx="1792">
                  <c:v>333.182</c:v>
                </c:pt>
                <c:pt idx="1793">
                  <c:v>333.3469999999999</c:v>
                </c:pt>
                <c:pt idx="1794">
                  <c:v>333.512</c:v>
                </c:pt>
                <c:pt idx="1795">
                  <c:v>333.677</c:v>
                </c:pt>
                <c:pt idx="1796">
                  <c:v>333.841</c:v>
                </c:pt>
                <c:pt idx="1797">
                  <c:v>334.003</c:v>
                </c:pt>
                <c:pt idx="1798">
                  <c:v>334.165</c:v>
                </c:pt>
                <c:pt idx="1799">
                  <c:v>334.3279999999999</c:v>
                </c:pt>
                <c:pt idx="1800">
                  <c:v>334.492</c:v>
                </c:pt>
                <c:pt idx="1801">
                  <c:v>334.654</c:v>
                </c:pt>
                <c:pt idx="1802">
                  <c:v>334.814</c:v>
                </c:pt>
                <c:pt idx="1803">
                  <c:v>334.9739999999989</c:v>
                </c:pt>
                <c:pt idx="1804">
                  <c:v>335.1329999999999</c:v>
                </c:pt>
                <c:pt idx="1805">
                  <c:v>335.2919999999986</c:v>
                </c:pt>
                <c:pt idx="1806">
                  <c:v>335.4529999999999</c:v>
                </c:pt>
                <c:pt idx="1807">
                  <c:v>335.615</c:v>
                </c:pt>
                <c:pt idx="1808">
                  <c:v>335.776</c:v>
                </c:pt>
                <c:pt idx="1809">
                  <c:v>335.939</c:v>
                </c:pt>
                <c:pt idx="1810">
                  <c:v>336.0989999999989</c:v>
                </c:pt>
                <c:pt idx="1811">
                  <c:v>336.259</c:v>
                </c:pt>
                <c:pt idx="1812">
                  <c:v>336.4179999999996</c:v>
                </c:pt>
                <c:pt idx="1813">
                  <c:v>336.5779999999999</c:v>
                </c:pt>
                <c:pt idx="1814">
                  <c:v>336.7339999999986</c:v>
                </c:pt>
                <c:pt idx="1815">
                  <c:v>336.891</c:v>
                </c:pt>
                <c:pt idx="1816">
                  <c:v>337.053</c:v>
                </c:pt>
                <c:pt idx="1817">
                  <c:v>337.214</c:v>
                </c:pt>
                <c:pt idx="1818">
                  <c:v>337.375</c:v>
                </c:pt>
                <c:pt idx="1819">
                  <c:v>337.535</c:v>
                </c:pt>
                <c:pt idx="1820">
                  <c:v>337.697</c:v>
                </c:pt>
                <c:pt idx="1821">
                  <c:v>337.861</c:v>
                </c:pt>
                <c:pt idx="1822">
                  <c:v>338.024</c:v>
                </c:pt>
                <c:pt idx="1823">
                  <c:v>338.188</c:v>
                </c:pt>
                <c:pt idx="1824">
                  <c:v>338.3519999999999</c:v>
                </c:pt>
                <c:pt idx="1825">
                  <c:v>338.515</c:v>
                </c:pt>
                <c:pt idx="1826">
                  <c:v>338.68</c:v>
                </c:pt>
                <c:pt idx="1827">
                  <c:v>338.843</c:v>
                </c:pt>
                <c:pt idx="1828">
                  <c:v>339.007</c:v>
                </c:pt>
                <c:pt idx="1829">
                  <c:v>339.1720000000001</c:v>
                </c:pt>
                <c:pt idx="1830">
                  <c:v>339.3369999999989</c:v>
                </c:pt>
                <c:pt idx="1831">
                  <c:v>339.499</c:v>
                </c:pt>
                <c:pt idx="1832">
                  <c:v>339.664</c:v>
                </c:pt>
                <c:pt idx="1833">
                  <c:v>339.825</c:v>
                </c:pt>
                <c:pt idx="1834">
                  <c:v>339.9889999999986</c:v>
                </c:pt>
                <c:pt idx="1835">
                  <c:v>340.148</c:v>
                </c:pt>
                <c:pt idx="1836">
                  <c:v>340.312</c:v>
                </c:pt>
                <c:pt idx="1837">
                  <c:v>340.4769999999986</c:v>
                </c:pt>
                <c:pt idx="1838">
                  <c:v>340.644</c:v>
                </c:pt>
                <c:pt idx="1839">
                  <c:v>340.81</c:v>
                </c:pt>
                <c:pt idx="1840">
                  <c:v>340.975</c:v>
                </c:pt>
                <c:pt idx="1841">
                  <c:v>341.14</c:v>
                </c:pt>
                <c:pt idx="1842">
                  <c:v>341.303</c:v>
                </c:pt>
                <c:pt idx="1843">
                  <c:v>341.4669999999986</c:v>
                </c:pt>
                <c:pt idx="1844">
                  <c:v>341.63</c:v>
                </c:pt>
                <c:pt idx="1845">
                  <c:v>341.7919999999986</c:v>
                </c:pt>
                <c:pt idx="1846">
                  <c:v>341.9569999999989</c:v>
                </c:pt>
                <c:pt idx="1847">
                  <c:v>342.1209999999999</c:v>
                </c:pt>
                <c:pt idx="1848">
                  <c:v>342.2839999999989</c:v>
                </c:pt>
                <c:pt idx="1849">
                  <c:v>342.4479999999999</c:v>
                </c:pt>
                <c:pt idx="1850">
                  <c:v>342.6089999999999</c:v>
                </c:pt>
                <c:pt idx="1851">
                  <c:v>342.773</c:v>
                </c:pt>
                <c:pt idx="1852">
                  <c:v>342.9379999999989</c:v>
                </c:pt>
                <c:pt idx="1853">
                  <c:v>343.1019999999999</c:v>
                </c:pt>
                <c:pt idx="1854">
                  <c:v>343.266</c:v>
                </c:pt>
                <c:pt idx="1855">
                  <c:v>343.4299999999996</c:v>
                </c:pt>
                <c:pt idx="1856">
                  <c:v>343.591</c:v>
                </c:pt>
                <c:pt idx="1857">
                  <c:v>343.753</c:v>
                </c:pt>
                <c:pt idx="1858">
                  <c:v>343.9169999999986</c:v>
                </c:pt>
                <c:pt idx="1859">
                  <c:v>344.08</c:v>
                </c:pt>
                <c:pt idx="1860">
                  <c:v>344.243</c:v>
                </c:pt>
                <c:pt idx="1861">
                  <c:v>344.404</c:v>
                </c:pt>
                <c:pt idx="1862">
                  <c:v>344.5659999999999</c:v>
                </c:pt>
                <c:pt idx="1863">
                  <c:v>344.7289999999986</c:v>
                </c:pt>
                <c:pt idx="1864">
                  <c:v>344.8929999999999</c:v>
                </c:pt>
                <c:pt idx="1865">
                  <c:v>345.055</c:v>
                </c:pt>
                <c:pt idx="1866">
                  <c:v>345.2189999999989</c:v>
                </c:pt>
                <c:pt idx="1867">
                  <c:v>345.3809999999999</c:v>
                </c:pt>
                <c:pt idx="1868">
                  <c:v>345.5439999999999</c:v>
                </c:pt>
                <c:pt idx="1869">
                  <c:v>345.708</c:v>
                </c:pt>
                <c:pt idx="1870">
                  <c:v>345.8709999999999</c:v>
                </c:pt>
                <c:pt idx="1871">
                  <c:v>346.0319999999986</c:v>
                </c:pt>
                <c:pt idx="1872">
                  <c:v>346.196</c:v>
                </c:pt>
                <c:pt idx="1873">
                  <c:v>346.3589999999999</c:v>
                </c:pt>
                <c:pt idx="1874">
                  <c:v>346.52</c:v>
                </c:pt>
                <c:pt idx="1875">
                  <c:v>346.682</c:v>
                </c:pt>
                <c:pt idx="1876">
                  <c:v>346.841</c:v>
                </c:pt>
                <c:pt idx="1877">
                  <c:v>347.0009999999999</c:v>
                </c:pt>
                <c:pt idx="1878">
                  <c:v>347.1619999999999</c:v>
                </c:pt>
                <c:pt idx="1879">
                  <c:v>347.319</c:v>
                </c:pt>
                <c:pt idx="1880">
                  <c:v>347.4769999999986</c:v>
                </c:pt>
                <c:pt idx="1881">
                  <c:v>347.635</c:v>
                </c:pt>
                <c:pt idx="1882">
                  <c:v>347.7939999999986</c:v>
                </c:pt>
                <c:pt idx="1883">
                  <c:v>347.9549999999999</c:v>
                </c:pt>
                <c:pt idx="1884">
                  <c:v>348.116</c:v>
                </c:pt>
                <c:pt idx="1885">
                  <c:v>348.2769999999986</c:v>
                </c:pt>
                <c:pt idx="1886">
                  <c:v>348.437</c:v>
                </c:pt>
                <c:pt idx="1887">
                  <c:v>348.598</c:v>
                </c:pt>
                <c:pt idx="1888">
                  <c:v>348.757</c:v>
                </c:pt>
                <c:pt idx="1889">
                  <c:v>348.9179999999996</c:v>
                </c:pt>
                <c:pt idx="1890">
                  <c:v>349.08</c:v>
                </c:pt>
                <c:pt idx="1891">
                  <c:v>349.243</c:v>
                </c:pt>
                <c:pt idx="1892">
                  <c:v>349.4059999999996</c:v>
                </c:pt>
                <c:pt idx="1893">
                  <c:v>349.5659999999999</c:v>
                </c:pt>
                <c:pt idx="1894">
                  <c:v>349.728</c:v>
                </c:pt>
                <c:pt idx="1895">
                  <c:v>349.89</c:v>
                </c:pt>
                <c:pt idx="1896">
                  <c:v>350.0539999999999</c:v>
                </c:pt>
                <c:pt idx="1897">
                  <c:v>350.2169999999986</c:v>
                </c:pt>
                <c:pt idx="1898">
                  <c:v>350.382</c:v>
                </c:pt>
                <c:pt idx="1899">
                  <c:v>350.546</c:v>
                </c:pt>
                <c:pt idx="1900">
                  <c:v>350.709</c:v>
                </c:pt>
                <c:pt idx="1901">
                  <c:v>350.87</c:v>
                </c:pt>
                <c:pt idx="1902">
                  <c:v>351.029</c:v>
                </c:pt>
                <c:pt idx="1903">
                  <c:v>351.189</c:v>
                </c:pt>
                <c:pt idx="1904">
                  <c:v>351.3519999999999</c:v>
                </c:pt>
                <c:pt idx="1905">
                  <c:v>351.514</c:v>
                </c:pt>
                <c:pt idx="1906">
                  <c:v>351.676</c:v>
                </c:pt>
                <c:pt idx="1907">
                  <c:v>351.833</c:v>
                </c:pt>
                <c:pt idx="1908">
                  <c:v>351.9889999999986</c:v>
                </c:pt>
                <c:pt idx="1909">
                  <c:v>352.148</c:v>
                </c:pt>
                <c:pt idx="1910">
                  <c:v>352.307</c:v>
                </c:pt>
                <c:pt idx="1911">
                  <c:v>352.47</c:v>
                </c:pt>
                <c:pt idx="1912">
                  <c:v>352.6329999999999</c:v>
                </c:pt>
                <c:pt idx="1913">
                  <c:v>352.7929999999996</c:v>
                </c:pt>
                <c:pt idx="1914">
                  <c:v>352.9569999999989</c:v>
                </c:pt>
                <c:pt idx="1915">
                  <c:v>353.1209999999999</c:v>
                </c:pt>
                <c:pt idx="1916">
                  <c:v>353.2859999999989</c:v>
                </c:pt>
                <c:pt idx="1917">
                  <c:v>353.449</c:v>
                </c:pt>
                <c:pt idx="1918">
                  <c:v>353.612</c:v>
                </c:pt>
                <c:pt idx="1919">
                  <c:v>353.771</c:v>
                </c:pt>
                <c:pt idx="1920">
                  <c:v>353.9349999999989</c:v>
                </c:pt>
                <c:pt idx="1921">
                  <c:v>354.0969999999986</c:v>
                </c:pt>
                <c:pt idx="1922">
                  <c:v>354.2579999999999</c:v>
                </c:pt>
                <c:pt idx="1923">
                  <c:v>354.4189999999986</c:v>
                </c:pt>
                <c:pt idx="1924">
                  <c:v>354.581</c:v>
                </c:pt>
                <c:pt idx="1925">
                  <c:v>354.7440000000001</c:v>
                </c:pt>
                <c:pt idx="1926">
                  <c:v>354.904</c:v>
                </c:pt>
                <c:pt idx="1927">
                  <c:v>355.064</c:v>
                </c:pt>
                <c:pt idx="1928">
                  <c:v>355.223</c:v>
                </c:pt>
                <c:pt idx="1929">
                  <c:v>355.3829999999999</c:v>
                </c:pt>
                <c:pt idx="1930">
                  <c:v>355.5419999999999</c:v>
                </c:pt>
                <c:pt idx="1931">
                  <c:v>355.702</c:v>
                </c:pt>
                <c:pt idx="1932">
                  <c:v>355.8639999999999</c:v>
                </c:pt>
                <c:pt idx="1933">
                  <c:v>356.026</c:v>
                </c:pt>
                <c:pt idx="1934">
                  <c:v>356.1909999999999</c:v>
                </c:pt>
                <c:pt idx="1935">
                  <c:v>356.3519999999999</c:v>
                </c:pt>
                <c:pt idx="1936">
                  <c:v>356.515</c:v>
                </c:pt>
                <c:pt idx="1937">
                  <c:v>356.676</c:v>
                </c:pt>
                <c:pt idx="1938">
                  <c:v>356.838</c:v>
                </c:pt>
                <c:pt idx="1939">
                  <c:v>357.0009999999999</c:v>
                </c:pt>
                <c:pt idx="1940">
                  <c:v>357.164</c:v>
                </c:pt>
                <c:pt idx="1941">
                  <c:v>357.326</c:v>
                </c:pt>
                <c:pt idx="1942">
                  <c:v>357.487</c:v>
                </c:pt>
                <c:pt idx="1943">
                  <c:v>357.649</c:v>
                </c:pt>
                <c:pt idx="1944">
                  <c:v>357.814</c:v>
                </c:pt>
                <c:pt idx="1945">
                  <c:v>357.9759999999989</c:v>
                </c:pt>
                <c:pt idx="1946">
                  <c:v>358.136</c:v>
                </c:pt>
                <c:pt idx="1947">
                  <c:v>358.2989999999986</c:v>
                </c:pt>
                <c:pt idx="1948">
                  <c:v>358.464</c:v>
                </c:pt>
                <c:pt idx="1949">
                  <c:v>358.6259999999999</c:v>
                </c:pt>
                <c:pt idx="1950">
                  <c:v>358.7859999999989</c:v>
                </c:pt>
                <c:pt idx="1951">
                  <c:v>358.947</c:v>
                </c:pt>
                <c:pt idx="1952">
                  <c:v>359.108</c:v>
                </c:pt>
                <c:pt idx="1953">
                  <c:v>359.267</c:v>
                </c:pt>
                <c:pt idx="1954">
                  <c:v>359.4289999999986</c:v>
                </c:pt>
                <c:pt idx="1955">
                  <c:v>359.5919999999986</c:v>
                </c:pt>
                <c:pt idx="1956">
                  <c:v>359.754</c:v>
                </c:pt>
                <c:pt idx="1957">
                  <c:v>359.9169999999986</c:v>
                </c:pt>
                <c:pt idx="1958">
                  <c:v>360.0779999999999</c:v>
                </c:pt>
                <c:pt idx="1959">
                  <c:v>360.2379999999989</c:v>
                </c:pt>
                <c:pt idx="1960">
                  <c:v>360.399</c:v>
                </c:pt>
                <c:pt idx="1961">
                  <c:v>360.562</c:v>
                </c:pt>
                <c:pt idx="1962">
                  <c:v>360.725</c:v>
                </c:pt>
                <c:pt idx="1963">
                  <c:v>360.887</c:v>
                </c:pt>
                <c:pt idx="1964">
                  <c:v>361.05</c:v>
                </c:pt>
                <c:pt idx="1965">
                  <c:v>361.211</c:v>
                </c:pt>
                <c:pt idx="1966">
                  <c:v>361.374</c:v>
                </c:pt>
                <c:pt idx="1967">
                  <c:v>361.5359999999989</c:v>
                </c:pt>
                <c:pt idx="1968">
                  <c:v>361.6979999999999</c:v>
                </c:pt>
                <c:pt idx="1969">
                  <c:v>361.861</c:v>
                </c:pt>
                <c:pt idx="1970">
                  <c:v>362.0219999999989</c:v>
                </c:pt>
                <c:pt idx="1971">
                  <c:v>362.1840000000001</c:v>
                </c:pt>
                <c:pt idx="1972">
                  <c:v>362.3469999999999</c:v>
                </c:pt>
                <c:pt idx="1973">
                  <c:v>362.511</c:v>
                </c:pt>
                <c:pt idx="1974">
                  <c:v>362.673</c:v>
                </c:pt>
                <c:pt idx="1975">
                  <c:v>362.8349999999999</c:v>
                </c:pt>
                <c:pt idx="1976">
                  <c:v>362.997</c:v>
                </c:pt>
                <c:pt idx="1977">
                  <c:v>363.154</c:v>
                </c:pt>
                <c:pt idx="1978">
                  <c:v>363.319</c:v>
                </c:pt>
                <c:pt idx="1979">
                  <c:v>363.482</c:v>
                </c:pt>
                <c:pt idx="1980">
                  <c:v>363.644</c:v>
                </c:pt>
                <c:pt idx="1981">
                  <c:v>363.808</c:v>
                </c:pt>
                <c:pt idx="1982">
                  <c:v>363.9709999999992</c:v>
                </c:pt>
                <c:pt idx="1983">
                  <c:v>364.136</c:v>
                </c:pt>
                <c:pt idx="1984">
                  <c:v>364.301</c:v>
                </c:pt>
                <c:pt idx="1985">
                  <c:v>364.464</c:v>
                </c:pt>
                <c:pt idx="1986">
                  <c:v>364.6259999999999</c:v>
                </c:pt>
                <c:pt idx="1987">
                  <c:v>364.788</c:v>
                </c:pt>
                <c:pt idx="1988">
                  <c:v>364.949</c:v>
                </c:pt>
                <c:pt idx="1989">
                  <c:v>365.111</c:v>
                </c:pt>
                <c:pt idx="1990">
                  <c:v>365.274</c:v>
                </c:pt>
                <c:pt idx="1991">
                  <c:v>365.4359999999986</c:v>
                </c:pt>
                <c:pt idx="1992">
                  <c:v>365.5989999999989</c:v>
                </c:pt>
                <c:pt idx="1993">
                  <c:v>365.762</c:v>
                </c:pt>
                <c:pt idx="1994">
                  <c:v>365.9229999999989</c:v>
                </c:pt>
                <c:pt idx="1995">
                  <c:v>366.0869999999989</c:v>
                </c:pt>
                <c:pt idx="1996">
                  <c:v>366.2509999999999</c:v>
                </c:pt>
                <c:pt idx="1997">
                  <c:v>366.415</c:v>
                </c:pt>
                <c:pt idx="1998">
                  <c:v>366.577</c:v>
                </c:pt>
                <c:pt idx="1999">
                  <c:v>366.741</c:v>
                </c:pt>
                <c:pt idx="2000">
                  <c:v>366.9019999999986</c:v>
                </c:pt>
                <c:pt idx="2001">
                  <c:v>367.0659999999999</c:v>
                </c:pt>
                <c:pt idx="2002">
                  <c:v>367.232</c:v>
                </c:pt>
                <c:pt idx="2003">
                  <c:v>367.3949999999999</c:v>
                </c:pt>
                <c:pt idx="2004">
                  <c:v>367.5590000000001</c:v>
                </c:pt>
                <c:pt idx="2005">
                  <c:v>367.723</c:v>
                </c:pt>
                <c:pt idx="2006">
                  <c:v>367.8879999999999</c:v>
                </c:pt>
                <c:pt idx="2007">
                  <c:v>368.055</c:v>
                </c:pt>
                <c:pt idx="2008">
                  <c:v>368.2239999999989</c:v>
                </c:pt>
                <c:pt idx="2009">
                  <c:v>368.39</c:v>
                </c:pt>
                <c:pt idx="2010">
                  <c:v>368.555</c:v>
                </c:pt>
                <c:pt idx="2011">
                  <c:v>368.718</c:v>
                </c:pt>
                <c:pt idx="2012">
                  <c:v>368.878</c:v>
                </c:pt>
                <c:pt idx="2013">
                  <c:v>369.0419999999999</c:v>
                </c:pt>
                <c:pt idx="2014">
                  <c:v>369.208</c:v>
                </c:pt>
                <c:pt idx="2015">
                  <c:v>369.3709999999999</c:v>
                </c:pt>
                <c:pt idx="2016">
                  <c:v>369.5359999999989</c:v>
                </c:pt>
                <c:pt idx="2017">
                  <c:v>369.699</c:v>
                </c:pt>
                <c:pt idx="2018">
                  <c:v>369.8639999999999</c:v>
                </c:pt>
                <c:pt idx="2019">
                  <c:v>370.029</c:v>
                </c:pt>
                <c:pt idx="2020">
                  <c:v>370.195</c:v>
                </c:pt>
                <c:pt idx="2021">
                  <c:v>370.3589999999999</c:v>
                </c:pt>
                <c:pt idx="2022">
                  <c:v>370.526</c:v>
                </c:pt>
                <c:pt idx="2023">
                  <c:v>370.69</c:v>
                </c:pt>
                <c:pt idx="2024">
                  <c:v>370.8519999999999</c:v>
                </c:pt>
                <c:pt idx="2025">
                  <c:v>371.014</c:v>
                </c:pt>
                <c:pt idx="2026">
                  <c:v>371.178</c:v>
                </c:pt>
                <c:pt idx="2027">
                  <c:v>371.338</c:v>
                </c:pt>
                <c:pt idx="2028">
                  <c:v>371.5</c:v>
                </c:pt>
                <c:pt idx="2029">
                  <c:v>371.661</c:v>
                </c:pt>
                <c:pt idx="2030">
                  <c:v>371.8229999999999</c:v>
                </c:pt>
                <c:pt idx="2031">
                  <c:v>371.9859999999989</c:v>
                </c:pt>
                <c:pt idx="2032">
                  <c:v>372.149</c:v>
                </c:pt>
                <c:pt idx="2033">
                  <c:v>372.314</c:v>
                </c:pt>
                <c:pt idx="2034">
                  <c:v>372.478</c:v>
                </c:pt>
                <c:pt idx="2035">
                  <c:v>372.641</c:v>
                </c:pt>
                <c:pt idx="2036">
                  <c:v>372.803</c:v>
                </c:pt>
                <c:pt idx="2037">
                  <c:v>372.963</c:v>
                </c:pt>
                <c:pt idx="2038">
                  <c:v>373.122</c:v>
                </c:pt>
                <c:pt idx="2039">
                  <c:v>373.283</c:v>
                </c:pt>
                <c:pt idx="2040">
                  <c:v>373.445</c:v>
                </c:pt>
                <c:pt idx="2041">
                  <c:v>373.606</c:v>
                </c:pt>
                <c:pt idx="2042">
                  <c:v>373.766</c:v>
                </c:pt>
                <c:pt idx="2043">
                  <c:v>373.9299999999996</c:v>
                </c:pt>
                <c:pt idx="2044">
                  <c:v>374.0939999999989</c:v>
                </c:pt>
                <c:pt idx="2045">
                  <c:v>374.255</c:v>
                </c:pt>
                <c:pt idx="2046">
                  <c:v>374.42</c:v>
                </c:pt>
                <c:pt idx="2047">
                  <c:v>374.584</c:v>
                </c:pt>
                <c:pt idx="2048">
                  <c:v>374.7459999999999</c:v>
                </c:pt>
                <c:pt idx="2049">
                  <c:v>374.9089999999989</c:v>
                </c:pt>
                <c:pt idx="2050">
                  <c:v>375.0729999999999</c:v>
                </c:pt>
                <c:pt idx="2051">
                  <c:v>375.237</c:v>
                </c:pt>
                <c:pt idx="2052">
                  <c:v>375.4</c:v>
                </c:pt>
                <c:pt idx="2053">
                  <c:v>375.562</c:v>
                </c:pt>
                <c:pt idx="2054">
                  <c:v>375.725</c:v>
                </c:pt>
                <c:pt idx="2055">
                  <c:v>375.892</c:v>
                </c:pt>
                <c:pt idx="2056">
                  <c:v>376.0590000000001</c:v>
                </c:pt>
                <c:pt idx="2057">
                  <c:v>376.2269999999986</c:v>
                </c:pt>
                <c:pt idx="2058">
                  <c:v>376.3949999999999</c:v>
                </c:pt>
                <c:pt idx="2059">
                  <c:v>376.56</c:v>
                </c:pt>
                <c:pt idx="2060">
                  <c:v>376.7239999999989</c:v>
                </c:pt>
                <c:pt idx="2061">
                  <c:v>376.887</c:v>
                </c:pt>
                <c:pt idx="2062">
                  <c:v>377.051</c:v>
                </c:pt>
                <c:pt idx="2063">
                  <c:v>377.213</c:v>
                </c:pt>
                <c:pt idx="2064">
                  <c:v>377.378</c:v>
                </c:pt>
                <c:pt idx="2065">
                  <c:v>377.545</c:v>
                </c:pt>
                <c:pt idx="2066">
                  <c:v>377.708</c:v>
                </c:pt>
                <c:pt idx="2067">
                  <c:v>377.873</c:v>
                </c:pt>
                <c:pt idx="2068">
                  <c:v>378.041</c:v>
                </c:pt>
                <c:pt idx="2069">
                  <c:v>378.206</c:v>
                </c:pt>
                <c:pt idx="2070">
                  <c:v>378.37</c:v>
                </c:pt>
                <c:pt idx="2071">
                  <c:v>378.533</c:v>
                </c:pt>
                <c:pt idx="2072">
                  <c:v>378.696</c:v>
                </c:pt>
                <c:pt idx="2073">
                  <c:v>378.861</c:v>
                </c:pt>
                <c:pt idx="2074">
                  <c:v>379.026</c:v>
                </c:pt>
                <c:pt idx="2075">
                  <c:v>379.192</c:v>
                </c:pt>
                <c:pt idx="2076">
                  <c:v>379.3589999999999</c:v>
                </c:pt>
                <c:pt idx="2077">
                  <c:v>379.526</c:v>
                </c:pt>
                <c:pt idx="2078">
                  <c:v>379.6909999999999</c:v>
                </c:pt>
                <c:pt idx="2079">
                  <c:v>379.858</c:v>
                </c:pt>
                <c:pt idx="2080">
                  <c:v>380.024</c:v>
                </c:pt>
                <c:pt idx="2081">
                  <c:v>380.19</c:v>
                </c:pt>
                <c:pt idx="2082">
                  <c:v>380.3539999999999</c:v>
                </c:pt>
                <c:pt idx="2083">
                  <c:v>380.516</c:v>
                </c:pt>
                <c:pt idx="2084">
                  <c:v>380.68</c:v>
                </c:pt>
                <c:pt idx="2085">
                  <c:v>380.8469999999999</c:v>
                </c:pt>
                <c:pt idx="2086">
                  <c:v>381.015</c:v>
                </c:pt>
                <c:pt idx="2087">
                  <c:v>381.1809999999999</c:v>
                </c:pt>
                <c:pt idx="2088">
                  <c:v>381.348</c:v>
                </c:pt>
                <c:pt idx="2089">
                  <c:v>381.5129999999999</c:v>
                </c:pt>
                <c:pt idx="2090">
                  <c:v>381.6789999999999</c:v>
                </c:pt>
                <c:pt idx="2091">
                  <c:v>381.848</c:v>
                </c:pt>
                <c:pt idx="2092">
                  <c:v>382.015</c:v>
                </c:pt>
                <c:pt idx="2093">
                  <c:v>382.1809999999999</c:v>
                </c:pt>
                <c:pt idx="2094">
                  <c:v>382.344</c:v>
                </c:pt>
                <c:pt idx="2095">
                  <c:v>382.505</c:v>
                </c:pt>
                <c:pt idx="2096">
                  <c:v>382.6720000000001</c:v>
                </c:pt>
                <c:pt idx="2097">
                  <c:v>382.838</c:v>
                </c:pt>
                <c:pt idx="2098">
                  <c:v>383.004</c:v>
                </c:pt>
                <c:pt idx="2099">
                  <c:v>383.171</c:v>
                </c:pt>
                <c:pt idx="2100">
                  <c:v>383.3349999999999</c:v>
                </c:pt>
                <c:pt idx="2101">
                  <c:v>383.499</c:v>
                </c:pt>
                <c:pt idx="2102">
                  <c:v>383.666</c:v>
                </c:pt>
                <c:pt idx="2103">
                  <c:v>383.8319999999989</c:v>
                </c:pt>
                <c:pt idx="2104">
                  <c:v>383.999</c:v>
                </c:pt>
                <c:pt idx="2105">
                  <c:v>384.159</c:v>
                </c:pt>
                <c:pt idx="2106">
                  <c:v>384.32</c:v>
                </c:pt>
                <c:pt idx="2107">
                  <c:v>384.4839999999986</c:v>
                </c:pt>
                <c:pt idx="2108">
                  <c:v>384.648</c:v>
                </c:pt>
                <c:pt idx="2109">
                  <c:v>384.814</c:v>
                </c:pt>
                <c:pt idx="2110">
                  <c:v>384.98</c:v>
                </c:pt>
                <c:pt idx="2111">
                  <c:v>385.145</c:v>
                </c:pt>
                <c:pt idx="2112">
                  <c:v>385.312</c:v>
                </c:pt>
                <c:pt idx="2113">
                  <c:v>385.48</c:v>
                </c:pt>
                <c:pt idx="2114">
                  <c:v>385.651</c:v>
                </c:pt>
                <c:pt idx="2115">
                  <c:v>385.8179999999999</c:v>
                </c:pt>
                <c:pt idx="2116">
                  <c:v>385.9839999999986</c:v>
                </c:pt>
                <c:pt idx="2117">
                  <c:v>386.152</c:v>
                </c:pt>
                <c:pt idx="2118">
                  <c:v>386.32</c:v>
                </c:pt>
                <c:pt idx="2119">
                  <c:v>386.487</c:v>
                </c:pt>
                <c:pt idx="2120">
                  <c:v>386.655</c:v>
                </c:pt>
                <c:pt idx="2121">
                  <c:v>386.821</c:v>
                </c:pt>
                <c:pt idx="2122">
                  <c:v>386.985</c:v>
                </c:pt>
                <c:pt idx="2123">
                  <c:v>387.149</c:v>
                </c:pt>
                <c:pt idx="2124">
                  <c:v>387.315</c:v>
                </c:pt>
                <c:pt idx="2125">
                  <c:v>387.4829999999992</c:v>
                </c:pt>
                <c:pt idx="2126">
                  <c:v>387.649</c:v>
                </c:pt>
                <c:pt idx="2127">
                  <c:v>387.812</c:v>
                </c:pt>
                <c:pt idx="2128">
                  <c:v>387.9719999999986</c:v>
                </c:pt>
                <c:pt idx="2129">
                  <c:v>388.137</c:v>
                </c:pt>
                <c:pt idx="2130">
                  <c:v>388.3039999999999</c:v>
                </c:pt>
                <c:pt idx="2131">
                  <c:v>388.473</c:v>
                </c:pt>
                <c:pt idx="2132">
                  <c:v>388.641</c:v>
                </c:pt>
                <c:pt idx="2133">
                  <c:v>388.808</c:v>
                </c:pt>
                <c:pt idx="2134">
                  <c:v>388.975</c:v>
                </c:pt>
                <c:pt idx="2135">
                  <c:v>389.14</c:v>
                </c:pt>
                <c:pt idx="2136">
                  <c:v>389.307</c:v>
                </c:pt>
                <c:pt idx="2137">
                  <c:v>389.4759999999989</c:v>
                </c:pt>
                <c:pt idx="2138">
                  <c:v>389.645</c:v>
                </c:pt>
                <c:pt idx="2139">
                  <c:v>389.815</c:v>
                </c:pt>
                <c:pt idx="2140">
                  <c:v>389.982</c:v>
                </c:pt>
                <c:pt idx="2141">
                  <c:v>390.151</c:v>
                </c:pt>
                <c:pt idx="2142">
                  <c:v>390.319</c:v>
                </c:pt>
                <c:pt idx="2143">
                  <c:v>390.4859999999989</c:v>
                </c:pt>
                <c:pt idx="2144">
                  <c:v>390.652</c:v>
                </c:pt>
                <c:pt idx="2145">
                  <c:v>390.817</c:v>
                </c:pt>
                <c:pt idx="2146">
                  <c:v>390.982</c:v>
                </c:pt>
                <c:pt idx="2147">
                  <c:v>391.149</c:v>
                </c:pt>
                <c:pt idx="2148">
                  <c:v>391.3179999999999</c:v>
                </c:pt>
                <c:pt idx="2149">
                  <c:v>391.487</c:v>
                </c:pt>
                <c:pt idx="2150">
                  <c:v>391.656</c:v>
                </c:pt>
                <c:pt idx="2151">
                  <c:v>391.826</c:v>
                </c:pt>
                <c:pt idx="2152">
                  <c:v>391.994</c:v>
                </c:pt>
                <c:pt idx="2153">
                  <c:v>392.163</c:v>
                </c:pt>
                <c:pt idx="2154">
                  <c:v>392.3349999999999</c:v>
                </c:pt>
                <c:pt idx="2155">
                  <c:v>392.507</c:v>
                </c:pt>
                <c:pt idx="2156">
                  <c:v>392.676</c:v>
                </c:pt>
                <c:pt idx="2157">
                  <c:v>392.844</c:v>
                </c:pt>
                <c:pt idx="2158">
                  <c:v>393.009</c:v>
                </c:pt>
                <c:pt idx="2159">
                  <c:v>393.177</c:v>
                </c:pt>
                <c:pt idx="2160">
                  <c:v>393.3469999999999</c:v>
                </c:pt>
                <c:pt idx="2161">
                  <c:v>393.515</c:v>
                </c:pt>
                <c:pt idx="2162">
                  <c:v>393.68</c:v>
                </c:pt>
                <c:pt idx="2163">
                  <c:v>393.846</c:v>
                </c:pt>
                <c:pt idx="2164">
                  <c:v>394.0129999999999</c:v>
                </c:pt>
                <c:pt idx="2165">
                  <c:v>394.18</c:v>
                </c:pt>
                <c:pt idx="2166">
                  <c:v>394.3450000000001</c:v>
                </c:pt>
                <c:pt idx="2167">
                  <c:v>394.51</c:v>
                </c:pt>
                <c:pt idx="2168">
                  <c:v>394.678</c:v>
                </c:pt>
                <c:pt idx="2169">
                  <c:v>394.8450000000001</c:v>
                </c:pt>
                <c:pt idx="2170">
                  <c:v>395.015</c:v>
                </c:pt>
                <c:pt idx="2171">
                  <c:v>395.187</c:v>
                </c:pt>
                <c:pt idx="2172">
                  <c:v>395.361</c:v>
                </c:pt>
                <c:pt idx="2173">
                  <c:v>395.5319999999986</c:v>
                </c:pt>
                <c:pt idx="2174">
                  <c:v>395.704</c:v>
                </c:pt>
                <c:pt idx="2175">
                  <c:v>395.875</c:v>
                </c:pt>
                <c:pt idx="2176">
                  <c:v>396.046</c:v>
                </c:pt>
                <c:pt idx="2177">
                  <c:v>396.218</c:v>
                </c:pt>
                <c:pt idx="2178">
                  <c:v>396.389</c:v>
                </c:pt>
                <c:pt idx="2179">
                  <c:v>396.56</c:v>
                </c:pt>
                <c:pt idx="2180">
                  <c:v>396.7289999999986</c:v>
                </c:pt>
                <c:pt idx="2181">
                  <c:v>396.899</c:v>
                </c:pt>
                <c:pt idx="2182">
                  <c:v>397.067</c:v>
                </c:pt>
                <c:pt idx="2183">
                  <c:v>397.2329999999992</c:v>
                </c:pt>
                <c:pt idx="2184">
                  <c:v>397.4</c:v>
                </c:pt>
                <c:pt idx="2185">
                  <c:v>397.562</c:v>
                </c:pt>
                <c:pt idx="2186">
                  <c:v>397.728</c:v>
                </c:pt>
                <c:pt idx="2187">
                  <c:v>397.8929999999999</c:v>
                </c:pt>
                <c:pt idx="2188">
                  <c:v>398.062</c:v>
                </c:pt>
                <c:pt idx="2189">
                  <c:v>398.23</c:v>
                </c:pt>
                <c:pt idx="2190">
                  <c:v>398.3969999999989</c:v>
                </c:pt>
                <c:pt idx="2191">
                  <c:v>398.562</c:v>
                </c:pt>
                <c:pt idx="2192">
                  <c:v>398.7289999999986</c:v>
                </c:pt>
                <c:pt idx="2193">
                  <c:v>398.896</c:v>
                </c:pt>
                <c:pt idx="2194">
                  <c:v>399.064</c:v>
                </c:pt>
                <c:pt idx="2195">
                  <c:v>399.2339999999986</c:v>
                </c:pt>
                <c:pt idx="2196">
                  <c:v>399.4059999999996</c:v>
                </c:pt>
                <c:pt idx="2197">
                  <c:v>399.575</c:v>
                </c:pt>
                <c:pt idx="2198">
                  <c:v>399.742</c:v>
                </c:pt>
                <c:pt idx="2199">
                  <c:v>399.91</c:v>
                </c:pt>
                <c:pt idx="2200">
                  <c:v>400.077</c:v>
                </c:pt>
                <c:pt idx="2201">
                  <c:v>400.248</c:v>
                </c:pt>
                <c:pt idx="2202">
                  <c:v>400.4169999999986</c:v>
                </c:pt>
                <c:pt idx="2203">
                  <c:v>400.5849999999999</c:v>
                </c:pt>
                <c:pt idx="2204">
                  <c:v>400.7509999999999</c:v>
                </c:pt>
                <c:pt idx="2205">
                  <c:v>400.9179999999996</c:v>
                </c:pt>
                <c:pt idx="2206">
                  <c:v>401.0849999999999</c:v>
                </c:pt>
                <c:pt idx="2207">
                  <c:v>401.252</c:v>
                </c:pt>
                <c:pt idx="2208">
                  <c:v>401.4209999999989</c:v>
                </c:pt>
                <c:pt idx="2209">
                  <c:v>401.589</c:v>
                </c:pt>
                <c:pt idx="2210">
                  <c:v>401.759</c:v>
                </c:pt>
                <c:pt idx="2211">
                  <c:v>401.9289999999986</c:v>
                </c:pt>
                <c:pt idx="2212">
                  <c:v>402.1</c:v>
                </c:pt>
                <c:pt idx="2213">
                  <c:v>402.2719999999989</c:v>
                </c:pt>
                <c:pt idx="2214">
                  <c:v>402.444</c:v>
                </c:pt>
                <c:pt idx="2215">
                  <c:v>402.6139999999999</c:v>
                </c:pt>
                <c:pt idx="2216">
                  <c:v>402.783</c:v>
                </c:pt>
                <c:pt idx="2217">
                  <c:v>402.952</c:v>
                </c:pt>
                <c:pt idx="2218">
                  <c:v>403.118</c:v>
                </c:pt>
                <c:pt idx="2219">
                  <c:v>403.2819999999986</c:v>
                </c:pt>
                <c:pt idx="2220">
                  <c:v>403.447</c:v>
                </c:pt>
                <c:pt idx="2221">
                  <c:v>403.612</c:v>
                </c:pt>
                <c:pt idx="2222">
                  <c:v>403.78</c:v>
                </c:pt>
                <c:pt idx="2223">
                  <c:v>403.949</c:v>
                </c:pt>
                <c:pt idx="2224">
                  <c:v>404.1209999999999</c:v>
                </c:pt>
                <c:pt idx="2225">
                  <c:v>404.2919999999986</c:v>
                </c:pt>
                <c:pt idx="2226">
                  <c:v>404.464</c:v>
                </c:pt>
                <c:pt idx="2227">
                  <c:v>404.6329999999999</c:v>
                </c:pt>
                <c:pt idx="2228">
                  <c:v>404.7989999999986</c:v>
                </c:pt>
                <c:pt idx="2229">
                  <c:v>404.97</c:v>
                </c:pt>
                <c:pt idx="2230">
                  <c:v>405.139</c:v>
                </c:pt>
                <c:pt idx="2231">
                  <c:v>405.307</c:v>
                </c:pt>
                <c:pt idx="2232">
                  <c:v>405.475</c:v>
                </c:pt>
                <c:pt idx="2233">
                  <c:v>405.643</c:v>
                </c:pt>
                <c:pt idx="2234">
                  <c:v>405.813</c:v>
                </c:pt>
                <c:pt idx="2235">
                  <c:v>405.985</c:v>
                </c:pt>
                <c:pt idx="2236">
                  <c:v>406.158</c:v>
                </c:pt>
                <c:pt idx="2237">
                  <c:v>406.329</c:v>
                </c:pt>
                <c:pt idx="2238">
                  <c:v>406.5</c:v>
                </c:pt>
                <c:pt idx="2239">
                  <c:v>406.6689999999999</c:v>
                </c:pt>
                <c:pt idx="2240">
                  <c:v>406.838</c:v>
                </c:pt>
                <c:pt idx="2241">
                  <c:v>407.0079999999999</c:v>
                </c:pt>
                <c:pt idx="2242">
                  <c:v>407.177</c:v>
                </c:pt>
                <c:pt idx="2243">
                  <c:v>407.3469999999999</c:v>
                </c:pt>
                <c:pt idx="2244">
                  <c:v>407.517</c:v>
                </c:pt>
                <c:pt idx="2245">
                  <c:v>407.687</c:v>
                </c:pt>
                <c:pt idx="2246">
                  <c:v>407.858</c:v>
                </c:pt>
                <c:pt idx="2247">
                  <c:v>408.0269999999986</c:v>
                </c:pt>
                <c:pt idx="2248">
                  <c:v>408.197</c:v>
                </c:pt>
                <c:pt idx="2249">
                  <c:v>408.3690000000001</c:v>
                </c:pt>
                <c:pt idx="2250">
                  <c:v>408.54</c:v>
                </c:pt>
                <c:pt idx="2251">
                  <c:v>408.71</c:v>
                </c:pt>
                <c:pt idx="2252">
                  <c:v>408.878</c:v>
                </c:pt>
                <c:pt idx="2253">
                  <c:v>409.0470000000001</c:v>
                </c:pt>
                <c:pt idx="2254">
                  <c:v>409.214</c:v>
                </c:pt>
                <c:pt idx="2255">
                  <c:v>409.379</c:v>
                </c:pt>
                <c:pt idx="2256">
                  <c:v>409.55</c:v>
                </c:pt>
                <c:pt idx="2257">
                  <c:v>409.7209999999992</c:v>
                </c:pt>
                <c:pt idx="2258">
                  <c:v>409.889</c:v>
                </c:pt>
                <c:pt idx="2259">
                  <c:v>410.057</c:v>
                </c:pt>
                <c:pt idx="2260">
                  <c:v>410.223</c:v>
                </c:pt>
                <c:pt idx="2261">
                  <c:v>410.387</c:v>
                </c:pt>
                <c:pt idx="2262">
                  <c:v>410.552</c:v>
                </c:pt>
                <c:pt idx="2263">
                  <c:v>410.7169999999986</c:v>
                </c:pt>
                <c:pt idx="2264">
                  <c:v>410.884</c:v>
                </c:pt>
                <c:pt idx="2265">
                  <c:v>411.053</c:v>
                </c:pt>
                <c:pt idx="2266">
                  <c:v>411.2239999999989</c:v>
                </c:pt>
                <c:pt idx="2267">
                  <c:v>411.3929999999999</c:v>
                </c:pt>
                <c:pt idx="2268">
                  <c:v>411.5590000000001</c:v>
                </c:pt>
                <c:pt idx="2269">
                  <c:v>411.728</c:v>
                </c:pt>
                <c:pt idx="2270">
                  <c:v>411.896</c:v>
                </c:pt>
                <c:pt idx="2271">
                  <c:v>412.065</c:v>
                </c:pt>
                <c:pt idx="2272">
                  <c:v>412.2359999999989</c:v>
                </c:pt>
                <c:pt idx="2273">
                  <c:v>412.408</c:v>
                </c:pt>
                <c:pt idx="2274">
                  <c:v>412.581</c:v>
                </c:pt>
                <c:pt idx="2275">
                  <c:v>412.752</c:v>
                </c:pt>
                <c:pt idx="2276">
                  <c:v>412.922</c:v>
                </c:pt>
                <c:pt idx="2277">
                  <c:v>413.09</c:v>
                </c:pt>
                <c:pt idx="2278">
                  <c:v>413.259</c:v>
                </c:pt>
                <c:pt idx="2279">
                  <c:v>413.427</c:v>
                </c:pt>
                <c:pt idx="2280">
                  <c:v>413.598</c:v>
                </c:pt>
                <c:pt idx="2281">
                  <c:v>413.766</c:v>
                </c:pt>
                <c:pt idx="2282">
                  <c:v>413.937</c:v>
                </c:pt>
                <c:pt idx="2283">
                  <c:v>414.1070000000001</c:v>
                </c:pt>
                <c:pt idx="2284">
                  <c:v>414.274</c:v>
                </c:pt>
                <c:pt idx="2285">
                  <c:v>414.439</c:v>
                </c:pt>
                <c:pt idx="2286">
                  <c:v>414.6070000000001</c:v>
                </c:pt>
                <c:pt idx="2287">
                  <c:v>414.778</c:v>
                </c:pt>
                <c:pt idx="2288">
                  <c:v>414.9479999999999</c:v>
                </c:pt>
                <c:pt idx="2289">
                  <c:v>415.1190000000001</c:v>
                </c:pt>
                <c:pt idx="2290">
                  <c:v>415.288</c:v>
                </c:pt>
                <c:pt idx="2291">
                  <c:v>415.4529999999999</c:v>
                </c:pt>
                <c:pt idx="2292">
                  <c:v>415.6209999999999</c:v>
                </c:pt>
                <c:pt idx="2293">
                  <c:v>415.7919999999986</c:v>
                </c:pt>
                <c:pt idx="2294">
                  <c:v>415.961</c:v>
                </c:pt>
                <c:pt idx="2295">
                  <c:v>416.13</c:v>
                </c:pt>
                <c:pt idx="2296">
                  <c:v>416.3</c:v>
                </c:pt>
                <c:pt idx="2297">
                  <c:v>416.4709999999992</c:v>
                </c:pt>
                <c:pt idx="2298">
                  <c:v>416.639</c:v>
                </c:pt>
                <c:pt idx="2299">
                  <c:v>416.807</c:v>
                </c:pt>
                <c:pt idx="2300">
                  <c:v>416.9759999999989</c:v>
                </c:pt>
                <c:pt idx="2301">
                  <c:v>417.147</c:v>
                </c:pt>
                <c:pt idx="2302">
                  <c:v>417.32</c:v>
                </c:pt>
                <c:pt idx="2303">
                  <c:v>417.4929999999989</c:v>
                </c:pt>
                <c:pt idx="2304">
                  <c:v>417.663</c:v>
                </c:pt>
                <c:pt idx="2305">
                  <c:v>417.833</c:v>
                </c:pt>
                <c:pt idx="2306">
                  <c:v>418.0009999999999</c:v>
                </c:pt>
                <c:pt idx="2307">
                  <c:v>418.17</c:v>
                </c:pt>
                <c:pt idx="2308">
                  <c:v>418.338</c:v>
                </c:pt>
                <c:pt idx="2309">
                  <c:v>418.509</c:v>
                </c:pt>
                <c:pt idx="2310">
                  <c:v>418.6809999999999</c:v>
                </c:pt>
                <c:pt idx="2311">
                  <c:v>418.8539999999999</c:v>
                </c:pt>
                <c:pt idx="2312">
                  <c:v>419.0249999999999</c:v>
                </c:pt>
                <c:pt idx="2313">
                  <c:v>419.197</c:v>
                </c:pt>
                <c:pt idx="2314">
                  <c:v>419.3690000000001</c:v>
                </c:pt>
                <c:pt idx="2315">
                  <c:v>419.541</c:v>
                </c:pt>
                <c:pt idx="2316">
                  <c:v>419.71</c:v>
                </c:pt>
                <c:pt idx="2317">
                  <c:v>419.8829999999999</c:v>
                </c:pt>
                <c:pt idx="2318">
                  <c:v>420.0539999999999</c:v>
                </c:pt>
                <c:pt idx="2319">
                  <c:v>420.228</c:v>
                </c:pt>
                <c:pt idx="2320">
                  <c:v>420.398</c:v>
                </c:pt>
                <c:pt idx="2321">
                  <c:v>420.567</c:v>
                </c:pt>
                <c:pt idx="2322">
                  <c:v>420.7379999999989</c:v>
                </c:pt>
                <c:pt idx="2323">
                  <c:v>420.91</c:v>
                </c:pt>
                <c:pt idx="2324">
                  <c:v>421.084</c:v>
                </c:pt>
                <c:pt idx="2325">
                  <c:v>421.254</c:v>
                </c:pt>
                <c:pt idx="2326">
                  <c:v>421.422</c:v>
                </c:pt>
                <c:pt idx="2327">
                  <c:v>421.5919999999986</c:v>
                </c:pt>
                <c:pt idx="2328">
                  <c:v>421.761</c:v>
                </c:pt>
                <c:pt idx="2329">
                  <c:v>421.9329999999989</c:v>
                </c:pt>
                <c:pt idx="2330">
                  <c:v>422.103</c:v>
                </c:pt>
                <c:pt idx="2331">
                  <c:v>422.2749999999999</c:v>
                </c:pt>
                <c:pt idx="2332">
                  <c:v>422.446</c:v>
                </c:pt>
                <c:pt idx="2333">
                  <c:v>422.617</c:v>
                </c:pt>
                <c:pt idx="2334">
                  <c:v>422.788</c:v>
                </c:pt>
                <c:pt idx="2335">
                  <c:v>422.96</c:v>
                </c:pt>
                <c:pt idx="2336">
                  <c:v>423.132</c:v>
                </c:pt>
                <c:pt idx="2337">
                  <c:v>423.3039999999999</c:v>
                </c:pt>
                <c:pt idx="2338">
                  <c:v>423.473</c:v>
                </c:pt>
                <c:pt idx="2339">
                  <c:v>423.644</c:v>
                </c:pt>
                <c:pt idx="2340">
                  <c:v>423.817</c:v>
                </c:pt>
                <c:pt idx="2341">
                  <c:v>423.987</c:v>
                </c:pt>
                <c:pt idx="2342">
                  <c:v>424.159</c:v>
                </c:pt>
                <c:pt idx="2343">
                  <c:v>424.33</c:v>
                </c:pt>
                <c:pt idx="2344">
                  <c:v>424.5</c:v>
                </c:pt>
                <c:pt idx="2345">
                  <c:v>424.671</c:v>
                </c:pt>
                <c:pt idx="2346">
                  <c:v>424.8419999999999</c:v>
                </c:pt>
                <c:pt idx="2347">
                  <c:v>425.0129999999999</c:v>
                </c:pt>
                <c:pt idx="2348">
                  <c:v>425.183</c:v>
                </c:pt>
                <c:pt idx="2349">
                  <c:v>425.3519999999999</c:v>
                </c:pt>
                <c:pt idx="2350">
                  <c:v>425.52</c:v>
                </c:pt>
                <c:pt idx="2351">
                  <c:v>425.688</c:v>
                </c:pt>
                <c:pt idx="2352">
                  <c:v>425.856</c:v>
                </c:pt>
                <c:pt idx="2353">
                  <c:v>426.023</c:v>
                </c:pt>
                <c:pt idx="2354">
                  <c:v>426.189</c:v>
                </c:pt>
                <c:pt idx="2355">
                  <c:v>426.358</c:v>
                </c:pt>
                <c:pt idx="2356">
                  <c:v>426.526</c:v>
                </c:pt>
                <c:pt idx="2357">
                  <c:v>426.694</c:v>
                </c:pt>
                <c:pt idx="2358">
                  <c:v>426.8639999999999</c:v>
                </c:pt>
                <c:pt idx="2359">
                  <c:v>427.035</c:v>
                </c:pt>
                <c:pt idx="2360">
                  <c:v>427.204</c:v>
                </c:pt>
                <c:pt idx="2361">
                  <c:v>427.3759999999999</c:v>
                </c:pt>
                <c:pt idx="2362">
                  <c:v>427.5470000000001</c:v>
                </c:pt>
                <c:pt idx="2363">
                  <c:v>427.72</c:v>
                </c:pt>
                <c:pt idx="2364">
                  <c:v>427.8929999999999</c:v>
                </c:pt>
                <c:pt idx="2365">
                  <c:v>428.065</c:v>
                </c:pt>
                <c:pt idx="2366">
                  <c:v>428.232</c:v>
                </c:pt>
                <c:pt idx="2367">
                  <c:v>428.401</c:v>
                </c:pt>
                <c:pt idx="2368">
                  <c:v>428.57</c:v>
                </c:pt>
                <c:pt idx="2369">
                  <c:v>428.7359999999989</c:v>
                </c:pt>
                <c:pt idx="2370">
                  <c:v>428.903</c:v>
                </c:pt>
                <c:pt idx="2371">
                  <c:v>429.07</c:v>
                </c:pt>
                <c:pt idx="2372">
                  <c:v>429.237</c:v>
                </c:pt>
                <c:pt idx="2373">
                  <c:v>429.4049999999999</c:v>
                </c:pt>
                <c:pt idx="2374">
                  <c:v>429.57</c:v>
                </c:pt>
                <c:pt idx="2375">
                  <c:v>429.7339999999986</c:v>
                </c:pt>
                <c:pt idx="2376">
                  <c:v>429.903</c:v>
                </c:pt>
                <c:pt idx="2377">
                  <c:v>430.074</c:v>
                </c:pt>
                <c:pt idx="2378">
                  <c:v>430.2440000000001</c:v>
                </c:pt>
                <c:pt idx="2379">
                  <c:v>430.4139999999989</c:v>
                </c:pt>
                <c:pt idx="2380">
                  <c:v>430.5869999999989</c:v>
                </c:pt>
                <c:pt idx="2381">
                  <c:v>430.76</c:v>
                </c:pt>
                <c:pt idx="2382">
                  <c:v>430.934</c:v>
                </c:pt>
                <c:pt idx="2383">
                  <c:v>431.1039999999999</c:v>
                </c:pt>
                <c:pt idx="2384">
                  <c:v>431.2749999999999</c:v>
                </c:pt>
                <c:pt idx="2385">
                  <c:v>431.446</c:v>
                </c:pt>
                <c:pt idx="2386">
                  <c:v>431.6190000000001</c:v>
                </c:pt>
                <c:pt idx="2387">
                  <c:v>431.7889999999989</c:v>
                </c:pt>
                <c:pt idx="2388">
                  <c:v>431.96</c:v>
                </c:pt>
                <c:pt idx="2389">
                  <c:v>432.128</c:v>
                </c:pt>
                <c:pt idx="2390">
                  <c:v>432.297</c:v>
                </c:pt>
                <c:pt idx="2391">
                  <c:v>432.464</c:v>
                </c:pt>
                <c:pt idx="2392">
                  <c:v>432.6309999999999</c:v>
                </c:pt>
                <c:pt idx="2393">
                  <c:v>432.801</c:v>
                </c:pt>
                <c:pt idx="2394">
                  <c:v>432.97</c:v>
                </c:pt>
                <c:pt idx="2395">
                  <c:v>433.143</c:v>
                </c:pt>
                <c:pt idx="2396">
                  <c:v>433.2989999999986</c:v>
                </c:pt>
                <c:pt idx="2397">
                  <c:v>433.4689999999989</c:v>
                </c:pt>
                <c:pt idx="2398">
                  <c:v>433.6379999999999</c:v>
                </c:pt>
                <c:pt idx="2399">
                  <c:v>433.807</c:v>
                </c:pt>
                <c:pt idx="2400">
                  <c:v>433.98</c:v>
                </c:pt>
                <c:pt idx="2401">
                  <c:v>434.149</c:v>
                </c:pt>
                <c:pt idx="2402">
                  <c:v>434.319</c:v>
                </c:pt>
                <c:pt idx="2403">
                  <c:v>434.487</c:v>
                </c:pt>
                <c:pt idx="2404">
                  <c:v>434.655</c:v>
                </c:pt>
                <c:pt idx="2405">
                  <c:v>434.822</c:v>
                </c:pt>
                <c:pt idx="2406">
                  <c:v>434.9879999999989</c:v>
                </c:pt>
                <c:pt idx="2407">
                  <c:v>435.154</c:v>
                </c:pt>
                <c:pt idx="2408">
                  <c:v>435.322</c:v>
                </c:pt>
                <c:pt idx="2409">
                  <c:v>435.4889999999986</c:v>
                </c:pt>
                <c:pt idx="2410">
                  <c:v>435.656</c:v>
                </c:pt>
                <c:pt idx="2411">
                  <c:v>435.822</c:v>
                </c:pt>
                <c:pt idx="2412">
                  <c:v>435.99</c:v>
                </c:pt>
                <c:pt idx="2413">
                  <c:v>436.1569999999999</c:v>
                </c:pt>
                <c:pt idx="2414">
                  <c:v>436.325</c:v>
                </c:pt>
                <c:pt idx="2415">
                  <c:v>436.492</c:v>
                </c:pt>
                <c:pt idx="2416">
                  <c:v>436.658</c:v>
                </c:pt>
                <c:pt idx="2417">
                  <c:v>436.825</c:v>
                </c:pt>
                <c:pt idx="2418">
                  <c:v>436.9909999999986</c:v>
                </c:pt>
                <c:pt idx="2419">
                  <c:v>437.158</c:v>
                </c:pt>
                <c:pt idx="2420">
                  <c:v>437.324</c:v>
                </c:pt>
                <c:pt idx="2421">
                  <c:v>437.492</c:v>
                </c:pt>
                <c:pt idx="2422">
                  <c:v>437.659</c:v>
                </c:pt>
                <c:pt idx="2423">
                  <c:v>437.826</c:v>
                </c:pt>
                <c:pt idx="2424">
                  <c:v>437.9929999999989</c:v>
                </c:pt>
                <c:pt idx="2425">
                  <c:v>438.161</c:v>
                </c:pt>
                <c:pt idx="2426">
                  <c:v>438.327</c:v>
                </c:pt>
                <c:pt idx="2427">
                  <c:v>438.4929999999989</c:v>
                </c:pt>
                <c:pt idx="2428">
                  <c:v>438.661</c:v>
                </c:pt>
                <c:pt idx="2429">
                  <c:v>438.83</c:v>
                </c:pt>
                <c:pt idx="2430">
                  <c:v>438.997</c:v>
                </c:pt>
                <c:pt idx="2431">
                  <c:v>439.1619999999999</c:v>
                </c:pt>
                <c:pt idx="2432">
                  <c:v>439.326</c:v>
                </c:pt>
                <c:pt idx="2433">
                  <c:v>439.4909999999986</c:v>
                </c:pt>
                <c:pt idx="2434">
                  <c:v>439.659</c:v>
                </c:pt>
                <c:pt idx="2435">
                  <c:v>439.829</c:v>
                </c:pt>
                <c:pt idx="2436">
                  <c:v>440.0</c:v>
                </c:pt>
                <c:pt idx="2437">
                  <c:v>440.171</c:v>
                </c:pt>
                <c:pt idx="2438">
                  <c:v>440.339</c:v>
                </c:pt>
                <c:pt idx="2439">
                  <c:v>440.5059999999999</c:v>
                </c:pt>
                <c:pt idx="2440">
                  <c:v>440.67</c:v>
                </c:pt>
                <c:pt idx="2441">
                  <c:v>440.833</c:v>
                </c:pt>
                <c:pt idx="2442">
                  <c:v>440.9979999999989</c:v>
                </c:pt>
                <c:pt idx="2443">
                  <c:v>441.166</c:v>
                </c:pt>
                <c:pt idx="2444">
                  <c:v>441.3319999999989</c:v>
                </c:pt>
                <c:pt idx="2445">
                  <c:v>441.494</c:v>
                </c:pt>
                <c:pt idx="2446">
                  <c:v>441.6619999999999</c:v>
                </c:pt>
                <c:pt idx="2447">
                  <c:v>441.83</c:v>
                </c:pt>
                <c:pt idx="2448">
                  <c:v>441.9979999999989</c:v>
                </c:pt>
                <c:pt idx="2449">
                  <c:v>442.1669999999999</c:v>
                </c:pt>
                <c:pt idx="2450">
                  <c:v>442.336</c:v>
                </c:pt>
                <c:pt idx="2451">
                  <c:v>442.503</c:v>
                </c:pt>
                <c:pt idx="2452">
                  <c:v>442.671</c:v>
                </c:pt>
                <c:pt idx="2453">
                  <c:v>442.84</c:v>
                </c:pt>
                <c:pt idx="2454">
                  <c:v>443.007</c:v>
                </c:pt>
                <c:pt idx="2455">
                  <c:v>443.173</c:v>
                </c:pt>
                <c:pt idx="2456">
                  <c:v>443.339</c:v>
                </c:pt>
                <c:pt idx="2457">
                  <c:v>443.507</c:v>
                </c:pt>
                <c:pt idx="2458">
                  <c:v>443.6739999999999</c:v>
                </c:pt>
                <c:pt idx="2459">
                  <c:v>443.843</c:v>
                </c:pt>
                <c:pt idx="2460">
                  <c:v>444.01</c:v>
                </c:pt>
                <c:pt idx="2461">
                  <c:v>444.178</c:v>
                </c:pt>
                <c:pt idx="2462">
                  <c:v>444.344</c:v>
                </c:pt>
                <c:pt idx="2463">
                  <c:v>444.512</c:v>
                </c:pt>
                <c:pt idx="2464">
                  <c:v>444.6809999999999</c:v>
                </c:pt>
                <c:pt idx="2465">
                  <c:v>444.851</c:v>
                </c:pt>
                <c:pt idx="2466">
                  <c:v>445.02</c:v>
                </c:pt>
                <c:pt idx="2467">
                  <c:v>445.1840000000001</c:v>
                </c:pt>
                <c:pt idx="2468">
                  <c:v>445.349</c:v>
                </c:pt>
                <c:pt idx="2469">
                  <c:v>445.514</c:v>
                </c:pt>
                <c:pt idx="2470">
                  <c:v>445.6789999999999</c:v>
                </c:pt>
                <c:pt idx="2471">
                  <c:v>445.8450000000001</c:v>
                </c:pt>
                <c:pt idx="2472">
                  <c:v>446.01</c:v>
                </c:pt>
                <c:pt idx="2473">
                  <c:v>446.175</c:v>
                </c:pt>
                <c:pt idx="2474">
                  <c:v>446.34</c:v>
                </c:pt>
                <c:pt idx="2475">
                  <c:v>446.5059999999999</c:v>
                </c:pt>
                <c:pt idx="2476">
                  <c:v>446.675</c:v>
                </c:pt>
                <c:pt idx="2477">
                  <c:v>446.843</c:v>
                </c:pt>
                <c:pt idx="2478">
                  <c:v>447.01</c:v>
                </c:pt>
                <c:pt idx="2479">
                  <c:v>447.176</c:v>
                </c:pt>
                <c:pt idx="2480">
                  <c:v>447.341</c:v>
                </c:pt>
                <c:pt idx="2481">
                  <c:v>447.5059999999999</c:v>
                </c:pt>
                <c:pt idx="2482">
                  <c:v>447.6720000000001</c:v>
                </c:pt>
                <c:pt idx="2483">
                  <c:v>447.839</c:v>
                </c:pt>
                <c:pt idx="2484">
                  <c:v>448.0059999999999</c:v>
                </c:pt>
                <c:pt idx="2485">
                  <c:v>448.173</c:v>
                </c:pt>
                <c:pt idx="2486">
                  <c:v>448.339</c:v>
                </c:pt>
                <c:pt idx="2487">
                  <c:v>448.507</c:v>
                </c:pt>
                <c:pt idx="2488">
                  <c:v>448.676</c:v>
                </c:pt>
                <c:pt idx="2489">
                  <c:v>448.843</c:v>
                </c:pt>
                <c:pt idx="2490">
                  <c:v>449.01</c:v>
                </c:pt>
                <c:pt idx="2491">
                  <c:v>449.177</c:v>
                </c:pt>
                <c:pt idx="2492">
                  <c:v>449.343</c:v>
                </c:pt>
                <c:pt idx="2493">
                  <c:v>449.5079999999999</c:v>
                </c:pt>
                <c:pt idx="2494">
                  <c:v>449.673</c:v>
                </c:pt>
                <c:pt idx="2495">
                  <c:v>449.84</c:v>
                </c:pt>
                <c:pt idx="2496">
                  <c:v>450.0059999999999</c:v>
                </c:pt>
                <c:pt idx="2497">
                  <c:v>450.171</c:v>
                </c:pt>
                <c:pt idx="2498">
                  <c:v>450.338</c:v>
                </c:pt>
                <c:pt idx="2499">
                  <c:v>450.5059999999999</c:v>
                </c:pt>
                <c:pt idx="2500">
                  <c:v>450.6739999999999</c:v>
                </c:pt>
                <c:pt idx="2501">
                  <c:v>450.841</c:v>
                </c:pt>
                <c:pt idx="2502">
                  <c:v>451.012</c:v>
                </c:pt>
                <c:pt idx="2503">
                  <c:v>451.183</c:v>
                </c:pt>
                <c:pt idx="2504">
                  <c:v>451.35</c:v>
                </c:pt>
                <c:pt idx="2505">
                  <c:v>451.517</c:v>
                </c:pt>
                <c:pt idx="2506">
                  <c:v>451.6840000000001</c:v>
                </c:pt>
                <c:pt idx="2507">
                  <c:v>451.849</c:v>
                </c:pt>
                <c:pt idx="2508">
                  <c:v>452.016</c:v>
                </c:pt>
                <c:pt idx="2509">
                  <c:v>452.183</c:v>
                </c:pt>
                <c:pt idx="2510">
                  <c:v>452.35</c:v>
                </c:pt>
                <c:pt idx="2511">
                  <c:v>452.516</c:v>
                </c:pt>
                <c:pt idx="2512">
                  <c:v>452.683</c:v>
                </c:pt>
                <c:pt idx="2513">
                  <c:v>452.851</c:v>
                </c:pt>
                <c:pt idx="2514">
                  <c:v>453.0179999999999</c:v>
                </c:pt>
                <c:pt idx="2515">
                  <c:v>453.185</c:v>
                </c:pt>
                <c:pt idx="2516">
                  <c:v>453.348</c:v>
                </c:pt>
                <c:pt idx="2517">
                  <c:v>453.51</c:v>
                </c:pt>
                <c:pt idx="2518">
                  <c:v>453.67</c:v>
                </c:pt>
                <c:pt idx="2519">
                  <c:v>453.834</c:v>
                </c:pt>
                <c:pt idx="2520">
                  <c:v>453.999</c:v>
                </c:pt>
                <c:pt idx="2521">
                  <c:v>454.166</c:v>
                </c:pt>
                <c:pt idx="2522">
                  <c:v>454.334</c:v>
                </c:pt>
                <c:pt idx="2523">
                  <c:v>454.5</c:v>
                </c:pt>
                <c:pt idx="2524">
                  <c:v>454.666</c:v>
                </c:pt>
                <c:pt idx="2525">
                  <c:v>454.834</c:v>
                </c:pt>
                <c:pt idx="2526">
                  <c:v>454.9979999999989</c:v>
                </c:pt>
                <c:pt idx="2527">
                  <c:v>455.164</c:v>
                </c:pt>
                <c:pt idx="2528">
                  <c:v>455.329</c:v>
                </c:pt>
                <c:pt idx="2529">
                  <c:v>455.494</c:v>
                </c:pt>
                <c:pt idx="2530">
                  <c:v>455.658</c:v>
                </c:pt>
                <c:pt idx="2531">
                  <c:v>455.8229999999999</c:v>
                </c:pt>
                <c:pt idx="2532">
                  <c:v>455.9879999999989</c:v>
                </c:pt>
                <c:pt idx="2533">
                  <c:v>456.15</c:v>
                </c:pt>
                <c:pt idx="2534">
                  <c:v>456.312</c:v>
                </c:pt>
                <c:pt idx="2535">
                  <c:v>456.4739999999989</c:v>
                </c:pt>
                <c:pt idx="2536">
                  <c:v>456.637</c:v>
                </c:pt>
                <c:pt idx="2537">
                  <c:v>456.7989999999986</c:v>
                </c:pt>
                <c:pt idx="2538">
                  <c:v>456.959</c:v>
                </c:pt>
                <c:pt idx="2539">
                  <c:v>457.122</c:v>
                </c:pt>
                <c:pt idx="2540">
                  <c:v>457.288</c:v>
                </c:pt>
                <c:pt idx="2541">
                  <c:v>457.456</c:v>
                </c:pt>
                <c:pt idx="2542">
                  <c:v>457.623</c:v>
                </c:pt>
                <c:pt idx="2543">
                  <c:v>457.7909999999989</c:v>
                </c:pt>
                <c:pt idx="2544">
                  <c:v>457.96</c:v>
                </c:pt>
                <c:pt idx="2545">
                  <c:v>458.123</c:v>
                </c:pt>
                <c:pt idx="2546">
                  <c:v>458.2859999999989</c:v>
                </c:pt>
                <c:pt idx="2547">
                  <c:v>458.4479999999999</c:v>
                </c:pt>
                <c:pt idx="2548">
                  <c:v>458.612</c:v>
                </c:pt>
                <c:pt idx="2549">
                  <c:v>458.7769999999986</c:v>
                </c:pt>
                <c:pt idx="2550">
                  <c:v>458.942</c:v>
                </c:pt>
                <c:pt idx="2551">
                  <c:v>459.1070000000001</c:v>
                </c:pt>
                <c:pt idx="2552">
                  <c:v>459.273</c:v>
                </c:pt>
                <c:pt idx="2553">
                  <c:v>459.439</c:v>
                </c:pt>
                <c:pt idx="2554">
                  <c:v>459.606</c:v>
                </c:pt>
                <c:pt idx="2555">
                  <c:v>459.7749999999999</c:v>
                </c:pt>
                <c:pt idx="2556">
                  <c:v>459.942</c:v>
                </c:pt>
                <c:pt idx="2557">
                  <c:v>460.1070000000001</c:v>
                </c:pt>
                <c:pt idx="2558">
                  <c:v>460.274</c:v>
                </c:pt>
                <c:pt idx="2559">
                  <c:v>460.442</c:v>
                </c:pt>
                <c:pt idx="2560">
                  <c:v>460.6089999999999</c:v>
                </c:pt>
                <c:pt idx="2561">
                  <c:v>460.778</c:v>
                </c:pt>
                <c:pt idx="2562">
                  <c:v>460.947</c:v>
                </c:pt>
                <c:pt idx="2563">
                  <c:v>461.1139999999999</c:v>
                </c:pt>
                <c:pt idx="2564">
                  <c:v>461.2819999999986</c:v>
                </c:pt>
                <c:pt idx="2565">
                  <c:v>461.4479999999999</c:v>
                </c:pt>
                <c:pt idx="2566">
                  <c:v>461.613</c:v>
                </c:pt>
                <c:pt idx="2567">
                  <c:v>461.779</c:v>
                </c:pt>
                <c:pt idx="2568">
                  <c:v>461.945</c:v>
                </c:pt>
                <c:pt idx="2569">
                  <c:v>462.1089999999999</c:v>
                </c:pt>
                <c:pt idx="2570">
                  <c:v>462.2749999999999</c:v>
                </c:pt>
                <c:pt idx="2571">
                  <c:v>462.4409999999999</c:v>
                </c:pt>
                <c:pt idx="2572">
                  <c:v>462.6070000000001</c:v>
                </c:pt>
                <c:pt idx="2573">
                  <c:v>462.776</c:v>
                </c:pt>
                <c:pt idx="2574">
                  <c:v>462.944</c:v>
                </c:pt>
                <c:pt idx="2575">
                  <c:v>463.111</c:v>
                </c:pt>
                <c:pt idx="2576">
                  <c:v>463.279</c:v>
                </c:pt>
                <c:pt idx="2577">
                  <c:v>463.447</c:v>
                </c:pt>
                <c:pt idx="2578">
                  <c:v>463.616</c:v>
                </c:pt>
                <c:pt idx="2579">
                  <c:v>463.783</c:v>
                </c:pt>
                <c:pt idx="2580">
                  <c:v>463.947</c:v>
                </c:pt>
                <c:pt idx="2581">
                  <c:v>464.113</c:v>
                </c:pt>
                <c:pt idx="2582">
                  <c:v>464.278</c:v>
                </c:pt>
                <c:pt idx="2583">
                  <c:v>464.444</c:v>
                </c:pt>
                <c:pt idx="2584">
                  <c:v>464.613</c:v>
                </c:pt>
                <c:pt idx="2585">
                  <c:v>464.7809999999996</c:v>
                </c:pt>
                <c:pt idx="2586">
                  <c:v>464.95</c:v>
                </c:pt>
                <c:pt idx="2587">
                  <c:v>465.1209999999999</c:v>
                </c:pt>
                <c:pt idx="2588">
                  <c:v>465.2889999999989</c:v>
                </c:pt>
                <c:pt idx="2589">
                  <c:v>465.456</c:v>
                </c:pt>
                <c:pt idx="2590">
                  <c:v>465.624</c:v>
                </c:pt>
                <c:pt idx="2591">
                  <c:v>465.7919999999986</c:v>
                </c:pt>
                <c:pt idx="2592">
                  <c:v>465.961</c:v>
                </c:pt>
                <c:pt idx="2593">
                  <c:v>466.13</c:v>
                </c:pt>
                <c:pt idx="2594">
                  <c:v>466.297</c:v>
                </c:pt>
                <c:pt idx="2595">
                  <c:v>466.464</c:v>
                </c:pt>
                <c:pt idx="2596">
                  <c:v>466.632</c:v>
                </c:pt>
                <c:pt idx="2597">
                  <c:v>466.7989999999986</c:v>
                </c:pt>
                <c:pt idx="2598">
                  <c:v>466.966</c:v>
                </c:pt>
                <c:pt idx="2599">
                  <c:v>467.135</c:v>
                </c:pt>
                <c:pt idx="2600">
                  <c:v>467.3039999999999</c:v>
                </c:pt>
                <c:pt idx="2601">
                  <c:v>467.4719999999986</c:v>
                </c:pt>
                <c:pt idx="2602">
                  <c:v>467.6379999999999</c:v>
                </c:pt>
                <c:pt idx="2603">
                  <c:v>467.807</c:v>
                </c:pt>
                <c:pt idx="2604">
                  <c:v>467.975</c:v>
                </c:pt>
                <c:pt idx="2605">
                  <c:v>468.142</c:v>
                </c:pt>
                <c:pt idx="2606">
                  <c:v>468.31</c:v>
                </c:pt>
                <c:pt idx="2607">
                  <c:v>468.4739999999989</c:v>
                </c:pt>
                <c:pt idx="2608">
                  <c:v>468.64</c:v>
                </c:pt>
                <c:pt idx="2609">
                  <c:v>468.8090000000001</c:v>
                </c:pt>
                <c:pt idx="2610">
                  <c:v>468.975</c:v>
                </c:pt>
                <c:pt idx="2611">
                  <c:v>469.14</c:v>
                </c:pt>
                <c:pt idx="2612">
                  <c:v>469.3059999999999</c:v>
                </c:pt>
                <c:pt idx="2613">
                  <c:v>469.4719999999986</c:v>
                </c:pt>
                <c:pt idx="2614">
                  <c:v>469.64</c:v>
                </c:pt>
                <c:pt idx="2615">
                  <c:v>469.81</c:v>
                </c:pt>
                <c:pt idx="2616">
                  <c:v>469.98</c:v>
                </c:pt>
                <c:pt idx="2617">
                  <c:v>470.148</c:v>
                </c:pt>
                <c:pt idx="2618">
                  <c:v>470.314</c:v>
                </c:pt>
                <c:pt idx="2619">
                  <c:v>470.478</c:v>
                </c:pt>
                <c:pt idx="2620">
                  <c:v>470.642</c:v>
                </c:pt>
                <c:pt idx="2621">
                  <c:v>470.8109999999999</c:v>
                </c:pt>
                <c:pt idx="2622">
                  <c:v>470.9789999999986</c:v>
                </c:pt>
                <c:pt idx="2623">
                  <c:v>471.151</c:v>
                </c:pt>
                <c:pt idx="2624">
                  <c:v>471.321</c:v>
                </c:pt>
                <c:pt idx="2625">
                  <c:v>471.49</c:v>
                </c:pt>
                <c:pt idx="2626">
                  <c:v>471.658</c:v>
                </c:pt>
                <c:pt idx="2627">
                  <c:v>471.822</c:v>
                </c:pt>
                <c:pt idx="2628">
                  <c:v>471.987</c:v>
                </c:pt>
                <c:pt idx="2629">
                  <c:v>472.156</c:v>
                </c:pt>
                <c:pt idx="2630">
                  <c:v>472.325</c:v>
                </c:pt>
                <c:pt idx="2631">
                  <c:v>472.494</c:v>
                </c:pt>
                <c:pt idx="2632">
                  <c:v>472.6619999999999</c:v>
                </c:pt>
                <c:pt idx="2633">
                  <c:v>472.829</c:v>
                </c:pt>
                <c:pt idx="2634">
                  <c:v>472.9949999999992</c:v>
                </c:pt>
                <c:pt idx="2635">
                  <c:v>473.16</c:v>
                </c:pt>
                <c:pt idx="2636">
                  <c:v>473.325</c:v>
                </c:pt>
                <c:pt idx="2637">
                  <c:v>473.492</c:v>
                </c:pt>
                <c:pt idx="2638">
                  <c:v>473.659</c:v>
                </c:pt>
                <c:pt idx="2639">
                  <c:v>473.825</c:v>
                </c:pt>
                <c:pt idx="2640">
                  <c:v>473.9929999999989</c:v>
                </c:pt>
                <c:pt idx="2641">
                  <c:v>474.16</c:v>
                </c:pt>
                <c:pt idx="2642">
                  <c:v>474.329</c:v>
                </c:pt>
                <c:pt idx="2643">
                  <c:v>474.4979999999989</c:v>
                </c:pt>
                <c:pt idx="2644">
                  <c:v>474.6669999999999</c:v>
                </c:pt>
                <c:pt idx="2645">
                  <c:v>474.834</c:v>
                </c:pt>
                <c:pt idx="2646">
                  <c:v>475.0009999999999</c:v>
                </c:pt>
                <c:pt idx="2647">
                  <c:v>475.17</c:v>
                </c:pt>
                <c:pt idx="2648">
                  <c:v>475.339</c:v>
                </c:pt>
                <c:pt idx="2649">
                  <c:v>475.5079999999999</c:v>
                </c:pt>
                <c:pt idx="2650">
                  <c:v>475.677</c:v>
                </c:pt>
                <c:pt idx="2651">
                  <c:v>475.844</c:v>
                </c:pt>
                <c:pt idx="2652">
                  <c:v>476.011</c:v>
                </c:pt>
                <c:pt idx="2653">
                  <c:v>476.178</c:v>
                </c:pt>
                <c:pt idx="2654">
                  <c:v>476.348</c:v>
                </c:pt>
                <c:pt idx="2655">
                  <c:v>476.517</c:v>
                </c:pt>
                <c:pt idx="2656">
                  <c:v>476.685</c:v>
                </c:pt>
                <c:pt idx="2657">
                  <c:v>476.8539999999999</c:v>
                </c:pt>
                <c:pt idx="2658">
                  <c:v>477.024</c:v>
                </c:pt>
                <c:pt idx="2659">
                  <c:v>477.1929999999999</c:v>
                </c:pt>
                <c:pt idx="2660">
                  <c:v>477.358</c:v>
                </c:pt>
                <c:pt idx="2661">
                  <c:v>477.521</c:v>
                </c:pt>
                <c:pt idx="2662">
                  <c:v>477.6840000000001</c:v>
                </c:pt>
                <c:pt idx="2663">
                  <c:v>477.849</c:v>
                </c:pt>
                <c:pt idx="2664">
                  <c:v>478.017</c:v>
                </c:pt>
                <c:pt idx="2665">
                  <c:v>478.1840000000001</c:v>
                </c:pt>
                <c:pt idx="2666">
                  <c:v>478.348</c:v>
                </c:pt>
                <c:pt idx="2667">
                  <c:v>478.512</c:v>
                </c:pt>
                <c:pt idx="2668">
                  <c:v>478.678</c:v>
                </c:pt>
                <c:pt idx="2669">
                  <c:v>478.844</c:v>
                </c:pt>
                <c:pt idx="2670">
                  <c:v>479.014</c:v>
                </c:pt>
                <c:pt idx="2671">
                  <c:v>479.182</c:v>
                </c:pt>
                <c:pt idx="2672">
                  <c:v>479.35</c:v>
                </c:pt>
                <c:pt idx="2673">
                  <c:v>479.52</c:v>
                </c:pt>
                <c:pt idx="2674">
                  <c:v>479.689</c:v>
                </c:pt>
                <c:pt idx="2675">
                  <c:v>479.855</c:v>
                </c:pt>
                <c:pt idx="2676">
                  <c:v>480.023</c:v>
                </c:pt>
                <c:pt idx="2677">
                  <c:v>480.192</c:v>
                </c:pt>
                <c:pt idx="2678">
                  <c:v>480.36</c:v>
                </c:pt>
                <c:pt idx="2679">
                  <c:v>480.529</c:v>
                </c:pt>
                <c:pt idx="2680">
                  <c:v>480.6979999999999</c:v>
                </c:pt>
                <c:pt idx="2681">
                  <c:v>480.865</c:v>
                </c:pt>
                <c:pt idx="2682">
                  <c:v>481.0309999999996</c:v>
                </c:pt>
                <c:pt idx="2683">
                  <c:v>481.2</c:v>
                </c:pt>
                <c:pt idx="2684">
                  <c:v>481.368</c:v>
                </c:pt>
                <c:pt idx="2685">
                  <c:v>481.535</c:v>
                </c:pt>
                <c:pt idx="2686">
                  <c:v>481.701</c:v>
                </c:pt>
                <c:pt idx="2687">
                  <c:v>481.8690000000001</c:v>
                </c:pt>
                <c:pt idx="2688">
                  <c:v>482.035</c:v>
                </c:pt>
                <c:pt idx="2689">
                  <c:v>482.204</c:v>
                </c:pt>
                <c:pt idx="2690">
                  <c:v>482.372</c:v>
                </c:pt>
                <c:pt idx="2691">
                  <c:v>482.54</c:v>
                </c:pt>
                <c:pt idx="2692">
                  <c:v>482.709</c:v>
                </c:pt>
                <c:pt idx="2693">
                  <c:v>482.877</c:v>
                </c:pt>
                <c:pt idx="2694">
                  <c:v>483.046</c:v>
                </c:pt>
                <c:pt idx="2695">
                  <c:v>483.2149999999999</c:v>
                </c:pt>
                <c:pt idx="2696">
                  <c:v>483.3829999999999</c:v>
                </c:pt>
                <c:pt idx="2697">
                  <c:v>483.55</c:v>
                </c:pt>
                <c:pt idx="2698">
                  <c:v>483.7149999999999</c:v>
                </c:pt>
                <c:pt idx="2699">
                  <c:v>483.8829999999999</c:v>
                </c:pt>
                <c:pt idx="2700">
                  <c:v>484.05</c:v>
                </c:pt>
                <c:pt idx="2701">
                  <c:v>484.211</c:v>
                </c:pt>
                <c:pt idx="2702">
                  <c:v>484.374</c:v>
                </c:pt>
                <c:pt idx="2703">
                  <c:v>484.5389999999989</c:v>
                </c:pt>
                <c:pt idx="2704">
                  <c:v>484.704</c:v>
                </c:pt>
                <c:pt idx="2705">
                  <c:v>484.868</c:v>
                </c:pt>
                <c:pt idx="2706">
                  <c:v>485.03</c:v>
                </c:pt>
                <c:pt idx="2707">
                  <c:v>485.197</c:v>
                </c:pt>
                <c:pt idx="2708">
                  <c:v>485.362</c:v>
                </c:pt>
                <c:pt idx="2709">
                  <c:v>485.5269999999986</c:v>
                </c:pt>
                <c:pt idx="2710">
                  <c:v>485.692</c:v>
                </c:pt>
                <c:pt idx="2711">
                  <c:v>485.858</c:v>
                </c:pt>
                <c:pt idx="2712">
                  <c:v>486.028</c:v>
                </c:pt>
                <c:pt idx="2713">
                  <c:v>486.199</c:v>
                </c:pt>
                <c:pt idx="2714">
                  <c:v>486.37</c:v>
                </c:pt>
                <c:pt idx="2715">
                  <c:v>486.5389999999989</c:v>
                </c:pt>
                <c:pt idx="2716">
                  <c:v>486.71</c:v>
                </c:pt>
                <c:pt idx="2717">
                  <c:v>486.88</c:v>
                </c:pt>
                <c:pt idx="2718">
                  <c:v>487.048</c:v>
                </c:pt>
                <c:pt idx="2719">
                  <c:v>487.218</c:v>
                </c:pt>
                <c:pt idx="2720">
                  <c:v>487.39</c:v>
                </c:pt>
                <c:pt idx="2721">
                  <c:v>487.5609999999999</c:v>
                </c:pt>
                <c:pt idx="2722">
                  <c:v>487.7289999999986</c:v>
                </c:pt>
                <c:pt idx="2723">
                  <c:v>487.899</c:v>
                </c:pt>
                <c:pt idx="2724">
                  <c:v>488.069</c:v>
                </c:pt>
                <c:pt idx="2725">
                  <c:v>488.2389999999986</c:v>
                </c:pt>
                <c:pt idx="2726">
                  <c:v>488.4109999999989</c:v>
                </c:pt>
                <c:pt idx="2727">
                  <c:v>488.577</c:v>
                </c:pt>
                <c:pt idx="2728">
                  <c:v>488.742</c:v>
                </c:pt>
                <c:pt idx="2729">
                  <c:v>488.9089999999989</c:v>
                </c:pt>
                <c:pt idx="2730">
                  <c:v>489.077</c:v>
                </c:pt>
                <c:pt idx="2731">
                  <c:v>489.245</c:v>
                </c:pt>
                <c:pt idx="2732">
                  <c:v>489.4119999999986</c:v>
                </c:pt>
                <c:pt idx="2733">
                  <c:v>489.58</c:v>
                </c:pt>
                <c:pt idx="2734">
                  <c:v>489.748</c:v>
                </c:pt>
                <c:pt idx="2735">
                  <c:v>489.9139999999989</c:v>
                </c:pt>
                <c:pt idx="2736">
                  <c:v>490.079</c:v>
                </c:pt>
                <c:pt idx="2737">
                  <c:v>490.243</c:v>
                </c:pt>
                <c:pt idx="2738">
                  <c:v>490.4059999999996</c:v>
                </c:pt>
                <c:pt idx="2739">
                  <c:v>490.572</c:v>
                </c:pt>
                <c:pt idx="2740">
                  <c:v>490.737</c:v>
                </c:pt>
                <c:pt idx="2741">
                  <c:v>490.904</c:v>
                </c:pt>
                <c:pt idx="2742">
                  <c:v>491.071</c:v>
                </c:pt>
                <c:pt idx="2743">
                  <c:v>491.2359999999989</c:v>
                </c:pt>
                <c:pt idx="2744">
                  <c:v>491.396</c:v>
                </c:pt>
                <c:pt idx="2745">
                  <c:v>491.558</c:v>
                </c:pt>
                <c:pt idx="2746">
                  <c:v>491.725</c:v>
                </c:pt>
                <c:pt idx="2747">
                  <c:v>491.894</c:v>
                </c:pt>
                <c:pt idx="2748">
                  <c:v>492.065</c:v>
                </c:pt>
                <c:pt idx="2749">
                  <c:v>492.2379999999989</c:v>
                </c:pt>
                <c:pt idx="2750">
                  <c:v>492.4089999999989</c:v>
                </c:pt>
                <c:pt idx="2751">
                  <c:v>492.5779999999999</c:v>
                </c:pt>
                <c:pt idx="2752">
                  <c:v>492.7459999999999</c:v>
                </c:pt>
                <c:pt idx="2753">
                  <c:v>492.9159999999989</c:v>
                </c:pt>
                <c:pt idx="2754">
                  <c:v>493.086</c:v>
                </c:pt>
                <c:pt idx="2755">
                  <c:v>493.254</c:v>
                </c:pt>
                <c:pt idx="2756">
                  <c:v>493.422</c:v>
                </c:pt>
                <c:pt idx="2757">
                  <c:v>493.59</c:v>
                </c:pt>
                <c:pt idx="2758">
                  <c:v>493.76</c:v>
                </c:pt>
                <c:pt idx="2759">
                  <c:v>493.9289999999986</c:v>
                </c:pt>
                <c:pt idx="2760">
                  <c:v>494.095</c:v>
                </c:pt>
                <c:pt idx="2761">
                  <c:v>494.257</c:v>
                </c:pt>
                <c:pt idx="2762">
                  <c:v>494.4209999999989</c:v>
                </c:pt>
                <c:pt idx="2763">
                  <c:v>494.591</c:v>
                </c:pt>
                <c:pt idx="2764">
                  <c:v>494.761</c:v>
                </c:pt>
                <c:pt idx="2765">
                  <c:v>494.9299999999996</c:v>
                </c:pt>
                <c:pt idx="2766">
                  <c:v>495.0969999999986</c:v>
                </c:pt>
                <c:pt idx="2767">
                  <c:v>495.265</c:v>
                </c:pt>
                <c:pt idx="2768">
                  <c:v>495.4349999999989</c:v>
                </c:pt>
                <c:pt idx="2769">
                  <c:v>495.603</c:v>
                </c:pt>
                <c:pt idx="2770">
                  <c:v>495.773</c:v>
                </c:pt>
                <c:pt idx="2771">
                  <c:v>495.946</c:v>
                </c:pt>
                <c:pt idx="2772">
                  <c:v>496.116</c:v>
                </c:pt>
                <c:pt idx="2773">
                  <c:v>496.2869999999986</c:v>
                </c:pt>
                <c:pt idx="2774">
                  <c:v>496.458</c:v>
                </c:pt>
                <c:pt idx="2775">
                  <c:v>496.628</c:v>
                </c:pt>
                <c:pt idx="2776">
                  <c:v>496.7959999999989</c:v>
                </c:pt>
                <c:pt idx="2777">
                  <c:v>496.963</c:v>
                </c:pt>
                <c:pt idx="2778">
                  <c:v>497.127</c:v>
                </c:pt>
                <c:pt idx="2779">
                  <c:v>497.29</c:v>
                </c:pt>
                <c:pt idx="2780">
                  <c:v>497.458</c:v>
                </c:pt>
                <c:pt idx="2781">
                  <c:v>497.6259999999999</c:v>
                </c:pt>
                <c:pt idx="2782">
                  <c:v>497.7939999999986</c:v>
                </c:pt>
                <c:pt idx="2783">
                  <c:v>497.964</c:v>
                </c:pt>
                <c:pt idx="2784">
                  <c:v>498.132</c:v>
                </c:pt>
                <c:pt idx="2785">
                  <c:v>498.297</c:v>
                </c:pt>
                <c:pt idx="2786">
                  <c:v>498.4649999999999</c:v>
                </c:pt>
                <c:pt idx="2787">
                  <c:v>498.6329999999999</c:v>
                </c:pt>
                <c:pt idx="2788">
                  <c:v>498.801</c:v>
                </c:pt>
                <c:pt idx="2789">
                  <c:v>498.97</c:v>
                </c:pt>
                <c:pt idx="2790">
                  <c:v>499.14</c:v>
                </c:pt>
                <c:pt idx="2791">
                  <c:v>499.308</c:v>
                </c:pt>
                <c:pt idx="2792">
                  <c:v>499.475</c:v>
                </c:pt>
                <c:pt idx="2793">
                  <c:v>499.639</c:v>
                </c:pt>
                <c:pt idx="2794">
                  <c:v>499.802</c:v>
                </c:pt>
                <c:pt idx="2795">
                  <c:v>499.964</c:v>
                </c:pt>
                <c:pt idx="2796">
                  <c:v>500.129</c:v>
                </c:pt>
                <c:pt idx="2797">
                  <c:v>500.2979999999989</c:v>
                </c:pt>
                <c:pt idx="2798">
                  <c:v>500.4669999999986</c:v>
                </c:pt>
                <c:pt idx="2799">
                  <c:v>500.636</c:v>
                </c:pt>
                <c:pt idx="2800">
                  <c:v>500.802</c:v>
                </c:pt>
                <c:pt idx="2801">
                  <c:v>500.9719999999986</c:v>
                </c:pt>
                <c:pt idx="2802">
                  <c:v>501.142</c:v>
                </c:pt>
                <c:pt idx="2803">
                  <c:v>501.3109999999999</c:v>
                </c:pt>
                <c:pt idx="2804">
                  <c:v>501.48</c:v>
                </c:pt>
                <c:pt idx="2805">
                  <c:v>501.65</c:v>
                </c:pt>
                <c:pt idx="2806">
                  <c:v>501.82</c:v>
                </c:pt>
                <c:pt idx="2807">
                  <c:v>501.9929999999989</c:v>
                </c:pt>
                <c:pt idx="2808">
                  <c:v>502.163</c:v>
                </c:pt>
                <c:pt idx="2809">
                  <c:v>502.33</c:v>
                </c:pt>
                <c:pt idx="2810">
                  <c:v>502.4959999999986</c:v>
                </c:pt>
                <c:pt idx="2811">
                  <c:v>502.663</c:v>
                </c:pt>
                <c:pt idx="2812">
                  <c:v>502.836</c:v>
                </c:pt>
                <c:pt idx="2813">
                  <c:v>503.01</c:v>
                </c:pt>
                <c:pt idx="2814">
                  <c:v>503.1809999999999</c:v>
                </c:pt>
                <c:pt idx="2815">
                  <c:v>503.35</c:v>
                </c:pt>
                <c:pt idx="2816">
                  <c:v>503.515</c:v>
                </c:pt>
                <c:pt idx="2817">
                  <c:v>503.678</c:v>
                </c:pt>
                <c:pt idx="2818">
                  <c:v>503.846</c:v>
                </c:pt>
                <c:pt idx="2819">
                  <c:v>504.012</c:v>
                </c:pt>
                <c:pt idx="2820">
                  <c:v>504.18</c:v>
                </c:pt>
                <c:pt idx="2821">
                  <c:v>504.348</c:v>
                </c:pt>
                <c:pt idx="2822">
                  <c:v>504.515</c:v>
                </c:pt>
                <c:pt idx="2823">
                  <c:v>504.68</c:v>
                </c:pt>
                <c:pt idx="2824">
                  <c:v>504.8450000000001</c:v>
                </c:pt>
                <c:pt idx="2825">
                  <c:v>505.015</c:v>
                </c:pt>
                <c:pt idx="2826">
                  <c:v>505.183</c:v>
                </c:pt>
                <c:pt idx="2827">
                  <c:v>505.353</c:v>
                </c:pt>
                <c:pt idx="2828">
                  <c:v>505.5219999999989</c:v>
                </c:pt>
                <c:pt idx="2829">
                  <c:v>505.6929999999999</c:v>
                </c:pt>
                <c:pt idx="2830">
                  <c:v>505.862</c:v>
                </c:pt>
                <c:pt idx="2831">
                  <c:v>506.0309999999996</c:v>
                </c:pt>
                <c:pt idx="2832">
                  <c:v>506.199</c:v>
                </c:pt>
                <c:pt idx="2833">
                  <c:v>506.367</c:v>
                </c:pt>
                <c:pt idx="2834">
                  <c:v>506.5359999999989</c:v>
                </c:pt>
                <c:pt idx="2835">
                  <c:v>506.7029999999999</c:v>
                </c:pt>
                <c:pt idx="2836">
                  <c:v>506.868</c:v>
                </c:pt>
                <c:pt idx="2837">
                  <c:v>507.033</c:v>
                </c:pt>
                <c:pt idx="2838">
                  <c:v>507.197</c:v>
                </c:pt>
                <c:pt idx="2839">
                  <c:v>507.362</c:v>
                </c:pt>
                <c:pt idx="2840">
                  <c:v>507.528</c:v>
                </c:pt>
                <c:pt idx="2841">
                  <c:v>507.6979999999999</c:v>
                </c:pt>
                <c:pt idx="2842">
                  <c:v>507.8690000000001</c:v>
                </c:pt>
                <c:pt idx="2843">
                  <c:v>508.038</c:v>
                </c:pt>
                <c:pt idx="2844">
                  <c:v>508.206</c:v>
                </c:pt>
                <c:pt idx="2845">
                  <c:v>508.377</c:v>
                </c:pt>
                <c:pt idx="2846">
                  <c:v>508.5419999999999</c:v>
                </c:pt>
                <c:pt idx="2847">
                  <c:v>508.704</c:v>
                </c:pt>
                <c:pt idx="2848">
                  <c:v>508.87</c:v>
                </c:pt>
                <c:pt idx="2849">
                  <c:v>509.0359999999989</c:v>
                </c:pt>
                <c:pt idx="2850">
                  <c:v>509.2049999999999</c:v>
                </c:pt>
                <c:pt idx="2851">
                  <c:v>509.374</c:v>
                </c:pt>
                <c:pt idx="2852">
                  <c:v>509.5419999999999</c:v>
                </c:pt>
                <c:pt idx="2853">
                  <c:v>509.71</c:v>
                </c:pt>
                <c:pt idx="2854">
                  <c:v>509.8759999999999</c:v>
                </c:pt>
                <c:pt idx="2855">
                  <c:v>510.0470000000001</c:v>
                </c:pt>
                <c:pt idx="2856">
                  <c:v>510.218</c:v>
                </c:pt>
                <c:pt idx="2857">
                  <c:v>510.3879999999999</c:v>
                </c:pt>
                <c:pt idx="2858">
                  <c:v>510.557</c:v>
                </c:pt>
                <c:pt idx="2859">
                  <c:v>510.7309999999989</c:v>
                </c:pt>
                <c:pt idx="2860">
                  <c:v>510.9049999999999</c:v>
                </c:pt>
                <c:pt idx="2861">
                  <c:v>511.08</c:v>
                </c:pt>
                <c:pt idx="2862">
                  <c:v>511.248</c:v>
                </c:pt>
                <c:pt idx="2863">
                  <c:v>511.415</c:v>
                </c:pt>
                <c:pt idx="2864">
                  <c:v>511.584</c:v>
                </c:pt>
                <c:pt idx="2865">
                  <c:v>511.755</c:v>
                </c:pt>
                <c:pt idx="2866">
                  <c:v>511.9229999999989</c:v>
                </c:pt>
                <c:pt idx="2867">
                  <c:v>512.092</c:v>
                </c:pt>
                <c:pt idx="2868">
                  <c:v>512.263</c:v>
                </c:pt>
                <c:pt idx="2869">
                  <c:v>512.434</c:v>
                </c:pt>
                <c:pt idx="2870">
                  <c:v>512.604</c:v>
                </c:pt>
                <c:pt idx="2871">
                  <c:v>512.777</c:v>
                </c:pt>
                <c:pt idx="2872">
                  <c:v>512.9499999999994</c:v>
                </c:pt>
                <c:pt idx="2873">
                  <c:v>513.123</c:v>
                </c:pt>
                <c:pt idx="2874">
                  <c:v>513.294</c:v>
                </c:pt>
                <c:pt idx="2875">
                  <c:v>513.4629999999925</c:v>
                </c:pt>
                <c:pt idx="2876">
                  <c:v>513.63</c:v>
                </c:pt>
                <c:pt idx="2877">
                  <c:v>513.797</c:v>
                </c:pt>
                <c:pt idx="2878">
                  <c:v>513.9640000000001</c:v>
                </c:pt>
                <c:pt idx="2879">
                  <c:v>514.131</c:v>
                </c:pt>
                <c:pt idx="2880">
                  <c:v>514.298</c:v>
                </c:pt>
                <c:pt idx="2881">
                  <c:v>514.4679999999923</c:v>
                </c:pt>
                <c:pt idx="2882">
                  <c:v>514.6369999999994</c:v>
                </c:pt>
                <c:pt idx="2883">
                  <c:v>514.8049999999994</c:v>
                </c:pt>
                <c:pt idx="2884">
                  <c:v>514.972</c:v>
                </c:pt>
                <c:pt idx="2885">
                  <c:v>515.136</c:v>
                </c:pt>
                <c:pt idx="2886">
                  <c:v>515.303</c:v>
                </c:pt>
                <c:pt idx="2887">
                  <c:v>515.471</c:v>
                </c:pt>
                <c:pt idx="2888">
                  <c:v>515.64</c:v>
                </c:pt>
                <c:pt idx="2889">
                  <c:v>515.8059999999994</c:v>
                </c:pt>
                <c:pt idx="2890">
                  <c:v>515.975</c:v>
                </c:pt>
                <c:pt idx="2891">
                  <c:v>516.145</c:v>
                </c:pt>
                <c:pt idx="2892">
                  <c:v>516.3159999999979</c:v>
                </c:pt>
                <c:pt idx="2893">
                  <c:v>516.489</c:v>
                </c:pt>
                <c:pt idx="2894">
                  <c:v>516.6619999999979</c:v>
                </c:pt>
                <c:pt idx="2895">
                  <c:v>516.8339999999994</c:v>
                </c:pt>
                <c:pt idx="2896">
                  <c:v>517.008</c:v>
                </c:pt>
                <c:pt idx="2897">
                  <c:v>517.179</c:v>
                </c:pt>
                <c:pt idx="2898">
                  <c:v>517.3499999999979</c:v>
                </c:pt>
                <c:pt idx="2899">
                  <c:v>517.518</c:v>
                </c:pt>
                <c:pt idx="2900">
                  <c:v>517.684</c:v>
                </c:pt>
                <c:pt idx="2901">
                  <c:v>517.8509999999974</c:v>
                </c:pt>
                <c:pt idx="2902">
                  <c:v>518.018</c:v>
                </c:pt>
                <c:pt idx="2903">
                  <c:v>518.184</c:v>
                </c:pt>
                <c:pt idx="2904">
                  <c:v>518.3489999999994</c:v>
                </c:pt>
                <c:pt idx="2905">
                  <c:v>518.5119999999994</c:v>
                </c:pt>
                <c:pt idx="2906">
                  <c:v>518.679</c:v>
                </c:pt>
                <c:pt idx="2907">
                  <c:v>518.8469999999974</c:v>
                </c:pt>
                <c:pt idx="2908">
                  <c:v>519.014</c:v>
                </c:pt>
                <c:pt idx="2909">
                  <c:v>519.184</c:v>
                </c:pt>
                <c:pt idx="2910">
                  <c:v>519.3549999999979</c:v>
                </c:pt>
                <c:pt idx="2911">
                  <c:v>519.524</c:v>
                </c:pt>
                <c:pt idx="2912">
                  <c:v>519.693</c:v>
                </c:pt>
                <c:pt idx="2913">
                  <c:v>519.8599999999974</c:v>
                </c:pt>
                <c:pt idx="2914">
                  <c:v>520.0259999999994</c:v>
                </c:pt>
                <c:pt idx="2915">
                  <c:v>520.194</c:v>
                </c:pt>
                <c:pt idx="2916">
                  <c:v>520.3619999999906</c:v>
                </c:pt>
                <c:pt idx="2917">
                  <c:v>520.533</c:v>
                </c:pt>
                <c:pt idx="2918">
                  <c:v>520.702</c:v>
                </c:pt>
                <c:pt idx="2919">
                  <c:v>520.8689999999979</c:v>
                </c:pt>
                <c:pt idx="2920">
                  <c:v>521.029</c:v>
                </c:pt>
                <c:pt idx="2921">
                  <c:v>521.191</c:v>
                </c:pt>
                <c:pt idx="2922">
                  <c:v>521.3569999999974</c:v>
                </c:pt>
                <c:pt idx="2923">
                  <c:v>521.5269999999994</c:v>
                </c:pt>
                <c:pt idx="2924">
                  <c:v>521.696</c:v>
                </c:pt>
                <c:pt idx="2925">
                  <c:v>521.8630000000001</c:v>
                </c:pt>
                <c:pt idx="2926">
                  <c:v>522.029</c:v>
                </c:pt>
                <c:pt idx="2927">
                  <c:v>522.196</c:v>
                </c:pt>
                <c:pt idx="2928">
                  <c:v>522.3630000000001</c:v>
                </c:pt>
                <c:pt idx="2929">
                  <c:v>522.53</c:v>
                </c:pt>
                <c:pt idx="2930">
                  <c:v>522.7</c:v>
                </c:pt>
                <c:pt idx="2931">
                  <c:v>522.875</c:v>
                </c:pt>
                <c:pt idx="2932">
                  <c:v>523.0519999999979</c:v>
                </c:pt>
                <c:pt idx="2933">
                  <c:v>523.2279999999994</c:v>
                </c:pt>
                <c:pt idx="2934">
                  <c:v>523.403</c:v>
                </c:pt>
                <c:pt idx="2935">
                  <c:v>523.576</c:v>
                </c:pt>
                <c:pt idx="2936">
                  <c:v>523.745</c:v>
                </c:pt>
                <c:pt idx="2937">
                  <c:v>523.9119999999979</c:v>
                </c:pt>
                <c:pt idx="2938">
                  <c:v>524.08</c:v>
                </c:pt>
                <c:pt idx="2939">
                  <c:v>524.248</c:v>
                </c:pt>
                <c:pt idx="2940">
                  <c:v>524.414</c:v>
                </c:pt>
                <c:pt idx="2941">
                  <c:v>524.579</c:v>
                </c:pt>
                <c:pt idx="2942">
                  <c:v>524.746</c:v>
                </c:pt>
                <c:pt idx="2943">
                  <c:v>524.9109999999994</c:v>
                </c:pt>
                <c:pt idx="2944">
                  <c:v>525.08</c:v>
                </c:pt>
                <c:pt idx="2945">
                  <c:v>525.2519999999994</c:v>
                </c:pt>
                <c:pt idx="2946">
                  <c:v>525.4249999999994</c:v>
                </c:pt>
                <c:pt idx="2947">
                  <c:v>525.598</c:v>
                </c:pt>
                <c:pt idx="2948">
                  <c:v>525.77</c:v>
                </c:pt>
                <c:pt idx="2949">
                  <c:v>525.9419999999974</c:v>
                </c:pt>
                <c:pt idx="2950">
                  <c:v>526.114</c:v>
                </c:pt>
                <c:pt idx="2951">
                  <c:v>526.284</c:v>
                </c:pt>
                <c:pt idx="2952">
                  <c:v>526.4529999999974</c:v>
                </c:pt>
                <c:pt idx="2953">
                  <c:v>526.621</c:v>
                </c:pt>
                <c:pt idx="2954">
                  <c:v>526.788</c:v>
                </c:pt>
                <c:pt idx="2955">
                  <c:v>526.9549999999994</c:v>
                </c:pt>
                <c:pt idx="2956">
                  <c:v>527.123</c:v>
                </c:pt>
                <c:pt idx="2957">
                  <c:v>527.293</c:v>
                </c:pt>
                <c:pt idx="2958">
                  <c:v>527.4640000000001</c:v>
                </c:pt>
                <c:pt idx="2959">
                  <c:v>527.633</c:v>
                </c:pt>
                <c:pt idx="2960">
                  <c:v>527.8009999999994</c:v>
                </c:pt>
                <c:pt idx="2961">
                  <c:v>527.9689999999994</c:v>
                </c:pt>
                <c:pt idx="2962">
                  <c:v>528.136</c:v>
                </c:pt>
                <c:pt idx="2963">
                  <c:v>528.3009999999994</c:v>
                </c:pt>
                <c:pt idx="2964">
                  <c:v>528.4669999999974</c:v>
                </c:pt>
                <c:pt idx="2965">
                  <c:v>528.634</c:v>
                </c:pt>
                <c:pt idx="2966">
                  <c:v>528.803</c:v>
                </c:pt>
                <c:pt idx="2967">
                  <c:v>528.973</c:v>
                </c:pt>
                <c:pt idx="2968">
                  <c:v>529.1419999999994</c:v>
                </c:pt>
                <c:pt idx="2969">
                  <c:v>529.3079999999974</c:v>
                </c:pt>
                <c:pt idx="2970">
                  <c:v>529.477</c:v>
                </c:pt>
                <c:pt idx="2971">
                  <c:v>529.645</c:v>
                </c:pt>
                <c:pt idx="2972">
                  <c:v>529.814</c:v>
                </c:pt>
                <c:pt idx="2973">
                  <c:v>529.984</c:v>
                </c:pt>
                <c:pt idx="2974">
                  <c:v>530.149</c:v>
                </c:pt>
                <c:pt idx="2975">
                  <c:v>530.3149999999994</c:v>
                </c:pt>
                <c:pt idx="2976">
                  <c:v>530.484</c:v>
                </c:pt>
                <c:pt idx="2977">
                  <c:v>530.654</c:v>
                </c:pt>
                <c:pt idx="2978">
                  <c:v>530.8249999999994</c:v>
                </c:pt>
                <c:pt idx="2979">
                  <c:v>530.996</c:v>
                </c:pt>
                <c:pt idx="2980">
                  <c:v>531.1669999999979</c:v>
                </c:pt>
                <c:pt idx="2981">
                  <c:v>531.3339999999994</c:v>
                </c:pt>
                <c:pt idx="2982">
                  <c:v>531.501</c:v>
                </c:pt>
                <c:pt idx="2983">
                  <c:v>531.669</c:v>
                </c:pt>
                <c:pt idx="2984">
                  <c:v>531.8390000000001</c:v>
                </c:pt>
                <c:pt idx="2985">
                  <c:v>532.009</c:v>
                </c:pt>
                <c:pt idx="2986">
                  <c:v>532.18</c:v>
                </c:pt>
                <c:pt idx="2987">
                  <c:v>532.3489999999994</c:v>
                </c:pt>
                <c:pt idx="2988">
                  <c:v>532.515</c:v>
                </c:pt>
                <c:pt idx="2989">
                  <c:v>532.682</c:v>
                </c:pt>
                <c:pt idx="2990">
                  <c:v>532.8509999999974</c:v>
                </c:pt>
                <c:pt idx="2991">
                  <c:v>533.019</c:v>
                </c:pt>
                <c:pt idx="2992">
                  <c:v>533.187</c:v>
                </c:pt>
                <c:pt idx="2993">
                  <c:v>533.3589999999994</c:v>
                </c:pt>
                <c:pt idx="2994">
                  <c:v>533.529</c:v>
                </c:pt>
                <c:pt idx="2995">
                  <c:v>533.699</c:v>
                </c:pt>
                <c:pt idx="2996">
                  <c:v>533.8669999999836</c:v>
                </c:pt>
                <c:pt idx="2997">
                  <c:v>534.035</c:v>
                </c:pt>
                <c:pt idx="2998">
                  <c:v>534.202</c:v>
                </c:pt>
                <c:pt idx="2999">
                  <c:v>534.3689999999979</c:v>
                </c:pt>
                <c:pt idx="3000">
                  <c:v>534.54</c:v>
                </c:pt>
                <c:pt idx="3001">
                  <c:v>534.71</c:v>
                </c:pt>
                <c:pt idx="3002">
                  <c:v>534.88</c:v>
                </c:pt>
                <c:pt idx="3003">
                  <c:v>535.0469999999979</c:v>
                </c:pt>
                <c:pt idx="3004">
                  <c:v>535.215</c:v>
                </c:pt>
                <c:pt idx="3005">
                  <c:v>535.384</c:v>
                </c:pt>
                <c:pt idx="3006">
                  <c:v>535.553</c:v>
                </c:pt>
                <c:pt idx="3007">
                  <c:v>535.721</c:v>
                </c:pt>
                <c:pt idx="3008">
                  <c:v>535.89</c:v>
                </c:pt>
                <c:pt idx="3009">
                  <c:v>536.0599999999994</c:v>
                </c:pt>
                <c:pt idx="3010">
                  <c:v>536.2279999999994</c:v>
                </c:pt>
                <c:pt idx="3011">
                  <c:v>536.396</c:v>
                </c:pt>
                <c:pt idx="3012">
                  <c:v>536.564</c:v>
                </c:pt>
                <c:pt idx="3013">
                  <c:v>536.731</c:v>
                </c:pt>
                <c:pt idx="3014">
                  <c:v>536.9009999999994</c:v>
                </c:pt>
                <c:pt idx="3015">
                  <c:v>537.07</c:v>
                </c:pt>
                <c:pt idx="3016">
                  <c:v>537.239</c:v>
                </c:pt>
                <c:pt idx="3017">
                  <c:v>537.408</c:v>
                </c:pt>
                <c:pt idx="3018">
                  <c:v>537.575</c:v>
                </c:pt>
                <c:pt idx="3019">
                  <c:v>537.744</c:v>
                </c:pt>
                <c:pt idx="3020">
                  <c:v>537.915</c:v>
                </c:pt>
                <c:pt idx="3021">
                  <c:v>538.087</c:v>
                </c:pt>
                <c:pt idx="3022">
                  <c:v>538.2569999999994</c:v>
                </c:pt>
                <c:pt idx="3023">
                  <c:v>538.4259999999994</c:v>
                </c:pt>
                <c:pt idx="3024">
                  <c:v>538.596</c:v>
                </c:pt>
                <c:pt idx="3025">
                  <c:v>538.766</c:v>
                </c:pt>
                <c:pt idx="3026">
                  <c:v>538.9329999999974</c:v>
                </c:pt>
                <c:pt idx="3027">
                  <c:v>539.1</c:v>
                </c:pt>
                <c:pt idx="3028">
                  <c:v>539.269</c:v>
                </c:pt>
                <c:pt idx="3029">
                  <c:v>539.4369999999974</c:v>
                </c:pt>
                <c:pt idx="3030">
                  <c:v>539.605</c:v>
                </c:pt>
                <c:pt idx="3031">
                  <c:v>539.775</c:v>
                </c:pt>
                <c:pt idx="3032">
                  <c:v>539.9459999999979</c:v>
                </c:pt>
                <c:pt idx="3033">
                  <c:v>540.117</c:v>
                </c:pt>
                <c:pt idx="3034">
                  <c:v>540.289</c:v>
                </c:pt>
                <c:pt idx="3035">
                  <c:v>540.4589999999994</c:v>
                </c:pt>
                <c:pt idx="3036">
                  <c:v>540.629</c:v>
                </c:pt>
                <c:pt idx="3037">
                  <c:v>540.797</c:v>
                </c:pt>
                <c:pt idx="3038">
                  <c:v>540.9669999999974</c:v>
                </c:pt>
                <c:pt idx="3039">
                  <c:v>541.136</c:v>
                </c:pt>
                <c:pt idx="3040">
                  <c:v>541.3049999999994</c:v>
                </c:pt>
                <c:pt idx="3041">
                  <c:v>541.476</c:v>
                </c:pt>
                <c:pt idx="3042">
                  <c:v>541.6469999999994</c:v>
                </c:pt>
                <c:pt idx="3043">
                  <c:v>541.8159999999979</c:v>
                </c:pt>
                <c:pt idx="3044">
                  <c:v>541.987</c:v>
                </c:pt>
                <c:pt idx="3045">
                  <c:v>542.155</c:v>
                </c:pt>
                <c:pt idx="3046">
                  <c:v>542.3229999999974</c:v>
                </c:pt>
                <c:pt idx="3047">
                  <c:v>542.493</c:v>
                </c:pt>
                <c:pt idx="3048">
                  <c:v>542.663</c:v>
                </c:pt>
                <c:pt idx="3049">
                  <c:v>542.8319999999974</c:v>
                </c:pt>
                <c:pt idx="3050">
                  <c:v>543.0019999999994</c:v>
                </c:pt>
                <c:pt idx="3051">
                  <c:v>543.17</c:v>
                </c:pt>
                <c:pt idx="3052">
                  <c:v>543.3409999999974</c:v>
                </c:pt>
                <c:pt idx="3053">
                  <c:v>543.513</c:v>
                </c:pt>
                <c:pt idx="3054">
                  <c:v>543.686</c:v>
                </c:pt>
                <c:pt idx="3055">
                  <c:v>543.8599999999974</c:v>
                </c:pt>
                <c:pt idx="3056">
                  <c:v>544.0319999999994</c:v>
                </c:pt>
                <c:pt idx="3057">
                  <c:v>544.204</c:v>
                </c:pt>
                <c:pt idx="3058">
                  <c:v>544.3769999999994</c:v>
                </c:pt>
                <c:pt idx="3059">
                  <c:v>544.5499999999994</c:v>
                </c:pt>
                <c:pt idx="3060">
                  <c:v>544.718</c:v>
                </c:pt>
                <c:pt idx="3061">
                  <c:v>544.884</c:v>
                </c:pt>
                <c:pt idx="3062">
                  <c:v>545.0509999999994</c:v>
                </c:pt>
                <c:pt idx="3063">
                  <c:v>545.221</c:v>
                </c:pt>
                <c:pt idx="3064">
                  <c:v>545.393</c:v>
                </c:pt>
                <c:pt idx="3065">
                  <c:v>545.5659999999979</c:v>
                </c:pt>
                <c:pt idx="3066">
                  <c:v>545.739</c:v>
                </c:pt>
                <c:pt idx="3067">
                  <c:v>545.914</c:v>
                </c:pt>
                <c:pt idx="3068">
                  <c:v>546.084</c:v>
                </c:pt>
                <c:pt idx="3069">
                  <c:v>546.2569999999994</c:v>
                </c:pt>
                <c:pt idx="3070">
                  <c:v>546.429</c:v>
                </c:pt>
                <c:pt idx="3071">
                  <c:v>546.6</c:v>
                </c:pt>
                <c:pt idx="3072">
                  <c:v>546.771</c:v>
                </c:pt>
                <c:pt idx="3073">
                  <c:v>546.9419999999974</c:v>
                </c:pt>
                <c:pt idx="3074">
                  <c:v>547.115</c:v>
                </c:pt>
                <c:pt idx="3075">
                  <c:v>547.288</c:v>
                </c:pt>
                <c:pt idx="3076">
                  <c:v>547.4569999999974</c:v>
                </c:pt>
                <c:pt idx="3077">
                  <c:v>547.625</c:v>
                </c:pt>
                <c:pt idx="3078">
                  <c:v>547.796</c:v>
                </c:pt>
                <c:pt idx="3079">
                  <c:v>547.9659999999974</c:v>
                </c:pt>
                <c:pt idx="3080">
                  <c:v>548.133</c:v>
                </c:pt>
                <c:pt idx="3081">
                  <c:v>548.3009999999994</c:v>
                </c:pt>
                <c:pt idx="3082">
                  <c:v>548.472</c:v>
                </c:pt>
                <c:pt idx="3083">
                  <c:v>548.644</c:v>
                </c:pt>
                <c:pt idx="3084">
                  <c:v>548.8149999999994</c:v>
                </c:pt>
                <c:pt idx="3085">
                  <c:v>548.989</c:v>
                </c:pt>
                <c:pt idx="3086">
                  <c:v>549.164</c:v>
                </c:pt>
                <c:pt idx="3087">
                  <c:v>549.3379999999925</c:v>
                </c:pt>
                <c:pt idx="3088">
                  <c:v>549.514</c:v>
                </c:pt>
                <c:pt idx="3089">
                  <c:v>549.685</c:v>
                </c:pt>
                <c:pt idx="3090">
                  <c:v>549.8569999999974</c:v>
                </c:pt>
                <c:pt idx="3091">
                  <c:v>550.0319999999994</c:v>
                </c:pt>
                <c:pt idx="3092">
                  <c:v>550.207</c:v>
                </c:pt>
                <c:pt idx="3093">
                  <c:v>550.3819999999994</c:v>
                </c:pt>
                <c:pt idx="3094">
                  <c:v>550.5559999999994</c:v>
                </c:pt>
                <c:pt idx="3095">
                  <c:v>550.73</c:v>
                </c:pt>
                <c:pt idx="3096">
                  <c:v>550.9</c:v>
                </c:pt>
                <c:pt idx="3097">
                  <c:v>551.071</c:v>
                </c:pt>
                <c:pt idx="3098">
                  <c:v>551.243</c:v>
                </c:pt>
                <c:pt idx="3099">
                  <c:v>551.4169999999979</c:v>
                </c:pt>
                <c:pt idx="3100">
                  <c:v>551.59</c:v>
                </c:pt>
                <c:pt idx="3101">
                  <c:v>551.763</c:v>
                </c:pt>
                <c:pt idx="3102">
                  <c:v>551.9369999999974</c:v>
                </c:pt>
                <c:pt idx="3103">
                  <c:v>552.099</c:v>
                </c:pt>
                <c:pt idx="3104">
                  <c:v>552.255</c:v>
                </c:pt>
                <c:pt idx="3105">
                  <c:v>552.41</c:v>
                </c:pt>
                <c:pt idx="3106">
                  <c:v>552.5679999999974</c:v>
                </c:pt>
                <c:pt idx="3107">
                  <c:v>552.729</c:v>
                </c:pt>
                <c:pt idx="3108">
                  <c:v>552.888</c:v>
                </c:pt>
                <c:pt idx="3109">
                  <c:v>553.049</c:v>
                </c:pt>
                <c:pt idx="3110">
                  <c:v>553.213</c:v>
                </c:pt>
                <c:pt idx="3111">
                  <c:v>553.379</c:v>
                </c:pt>
                <c:pt idx="3112">
                  <c:v>553.5499999999994</c:v>
                </c:pt>
                <c:pt idx="3113">
                  <c:v>553.722</c:v>
                </c:pt>
                <c:pt idx="3114">
                  <c:v>553.894</c:v>
                </c:pt>
                <c:pt idx="3115">
                  <c:v>554.0649999999994</c:v>
                </c:pt>
                <c:pt idx="3116">
                  <c:v>554.234</c:v>
                </c:pt>
                <c:pt idx="3117">
                  <c:v>554.404</c:v>
                </c:pt>
                <c:pt idx="3118">
                  <c:v>554.576</c:v>
                </c:pt>
                <c:pt idx="3119">
                  <c:v>554.747</c:v>
                </c:pt>
                <c:pt idx="3120">
                  <c:v>554.92</c:v>
                </c:pt>
                <c:pt idx="3121">
                  <c:v>555.093</c:v>
                </c:pt>
                <c:pt idx="3122">
                  <c:v>555.265</c:v>
                </c:pt>
                <c:pt idx="3123">
                  <c:v>555.4369999999974</c:v>
                </c:pt>
                <c:pt idx="3124">
                  <c:v>555.606</c:v>
                </c:pt>
                <c:pt idx="3125">
                  <c:v>555.777</c:v>
                </c:pt>
                <c:pt idx="3126">
                  <c:v>555.9469999999974</c:v>
                </c:pt>
                <c:pt idx="3127">
                  <c:v>556.118</c:v>
                </c:pt>
                <c:pt idx="3128">
                  <c:v>556.289</c:v>
                </c:pt>
                <c:pt idx="3129">
                  <c:v>556.4589999999994</c:v>
                </c:pt>
                <c:pt idx="3130">
                  <c:v>556.628</c:v>
                </c:pt>
                <c:pt idx="3131">
                  <c:v>556.797</c:v>
                </c:pt>
                <c:pt idx="3132">
                  <c:v>556.9629999999925</c:v>
                </c:pt>
                <c:pt idx="3133">
                  <c:v>557.1319999999994</c:v>
                </c:pt>
                <c:pt idx="3134">
                  <c:v>557.303</c:v>
                </c:pt>
                <c:pt idx="3135">
                  <c:v>557.474</c:v>
                </c:pt>
                <c:pt idx="3136">
                  <c:v>557.643</c:v>
                </c:pt>
                <c:pt idx="3137">
                  <c:v>557.8129999999974</c:v>
                </c:pt>
                <c:pt idx="3138">
                  <c:v>557.982</c:v>
                </c:pt>
                <c:pt idx="3139">
                  <c:v>558.1519999999994</c:v>
                </c:pt>
                <c:pt idx="3140">
                  <c:v>558.3209999999979</c:v>
                </c:pt>
                <c:pt idx="3141">
                  <c:v>558.4880000000001</c:v>
                </c:pt>
                <c:pt idx="3142">
                  <c:v>558.6559999999994</c:v>
                </c:pt>
                <c:pt idx="3143">
                  <c:v>558.8249999999994</c:v>
                </c:pt>
                <c:pt idx="3144">
                  <c:v>558.991</c:v>
                </c:pt>
                <c:pt idx="3145">
                  <c:v>559.1559999999994</c:v>
                </c:pt>
                <c:pt idx="3146">
                  <c:v>559.3219999999974</c:v>
                </c:pt>
                <c:pt idx="3147">
                  <c:v>559.491</c:v>
                </c:pt>
                <c:pt idx="3148">
                  <c:v>559.6619999999979</c:v>
                </c:pt>
                <c:pt idx="3149">
                  <c:v>559.8329999999974</c:v>
                </c:pt>
                <c:pt idx="3150">
                  <c:v>560.003</c:v>
                </c:pt>
                <c:pt idx="3151">
                  <c:v>560.173</c:v>
                </c:pt>
                <c:pt idx="3152">
                  <c:v>560.3449999999979</c:v>
                </c:pt>
                <c:pt idx="3153">
                  <c:v>560.513</c:v>
                </c:pt>
                <c:pt idx="3154">
                  <c:v>560.681</c:v>
                </c:pt>
                <c:pt idx="3155">
                  <c:v>560.8489999999994</c:v>
                </c:pt>
                <c:pt idx="3156">
                  <c:v>561.016</c:v>
                </c:pt>
                <c:pt idx="3157">
                  <c:v>561.183</c:v>
                </c:pt>
                <c:pt idx="3158">
                  <c:v>561.3509999999974</c:v>
                </c:pt>
                <c:pt idx="3159">
                  <c:v>561.5169999999994</c:v>
                </c:pt>
                <c:pt idx="3160">
                  <c:v>561.685</c:v>
                </c:pt>
                <c:pt idx="3161">
                  <c:v>561.8529999999918</c:v>
                </c:pt>
                <c:pt idx="3162">
                  <c:v>562.019</c:v>
                </c:pt>
                <c:pt idx="3163">
                  <c:v>562.186</c:v>
                </c:pt>
                <c:pt idx="3164">
                  <c:v>562.3529999999918</c:v>
                </c:pt>
                <c:pt idx="3165">
                  <c:v>562.524</c:v>
                </c:pt>
                <c:pt idx="3166">
                  <c:v>562.695</c:v>
                </c:pt>
                <c:pt idx="3167">
                  <c:v>562.8659999999974</c:v>
                </c:pt>
                <c:pt idx="3168">
                  <c:v>563.0359999999994</c:v>
                </c:pt>
                <c:pt idx="3169">
                  <c:v>563.207</c:v>
                </c:pt>
                <c:pt idx="3170">
                  <c:v>563.3769999999994</c:v>
                </c:pt>
                <c:pt idx="3171">
                  <c:v>563.5459999999994</c:v>
                </c:pt>
                <c:pt idx="3172">
                  <c:v>563.715</c:v>
                </c:pt>
                <c:pt idx="3173">
                  <c:v>563.8869999999994</c:v>
                </c:pt>
                <c:pt idx="3174">
                  <c:v>564.0569999999979</c:v>
                </c:pt>
                <c:pt idx="3175">
                  <c:v>564.226</c:v>
                </c:pt>
                <c:pt idx="3176">
                  <c:v>564.393</c:v>
                </c:pt>
                <c:pt idx="3177">
                  <c:v>564.5599999999994</c:v>
                </c:pt>
                <c:pt idx="3178">
                  <c:v>564.729</c:v>
                </c:pt>
                <c:pt idx="3179">
                  <c:v>564.896</c:v>
                </c:pt>
                <c:pt idx="3180">
                  <c:v>565.0629999999974</c:v>
                </c:pt>
                <c:pt idx="3181">
                  <c:v>565.232</c:v>
                </c:pt>
                <c:pt idx="3182">
                  <c:v>565.4019999999994</c:v>
                </c:pt>
                <c:pt idx="3183">
                  <c:v>565.571</c:v>
                </c:pt>
                <c:pt idx="3184">
                  <c:v>565.739</c:v>
                </c:pt>
                <c:pt idx="3185">
                  <c:v>565.9059999999994</c:v>
                </c:pt>
                <c:pt idx="3186">
                  <c:v>566.076</c:v>
                </c:pt>
                <c:pt idx="3187">
                  <c:v>566.246</c:v>
                </c:pt>
                <c:pt idx="3188">
                  <c:v>566.4159999999994</c:v>
                </c:pt>
                <c:pt idx="3189">
                  <c:v>566.585</c:v>
                </c:pt>
                <c:pt idx="3190">
                  <c:v>566.753</c:v>
                </c:pt>
                <c:pt idx="3191">
                  <c:v>566.9209999999994</c:v>
                </c:pt>
                <c:pt idx="3192">
                  <c:v>567.09</c:v>
                </c:pt>
                <c:pt idx="3193">
                  <c:v>567.26</c:v>
                </c:pt>
                <c:pt idx="3194">
                  <c:v>567.4329999999974</c:v>
                </c:pt>
                <c:pt idx="3195">
                  <c:v>567.601</c:v>
                </c:pt>
                <c:pt idx="3196">
                  <c:v>567.77</c:v>
                </c:pt>
                <c:pt idx="3197">
                  <c:v>567.9369999999974</c:v>
                </c:pt>
                <c:pt idx="3198">
                  <c:v>568.1029999999994</c:v>
                </c:pt>
                <c:pt idx="3199">
                  <c:v>568.269</c:v>
                </c:pt>
                <c:pt idx="3200">
                  <c:v>568.434</c:v>
                </c:pt>
                <c:pt idx="3201">
                  <c:v>568.601</c:v>
                </c:pt>
                <c:pt idx="3202">
                  <c:v>568.768</c:v>
                </c:pt>
                <c:pt idx="3203">
                  <c:v>568.9369999999974</c:v>
                </c:pt>
                <c:pt idx="3204">
                  <c:v>569.1079999999994</c:v>
                </c:pt>
                <c:pt idx="3205">
                  <c:v>569.28</c:v>
                </c:pt>
                <c:pt idx="3206">
                  <c:v>569.4529999999974</c:v>
                </c:pt>
                <c:pt idx="3207">
                  <c:v>569.626</c:v>
                </c:pt>
                <c:pt idx="3208">
                  <c:v>569.797</c:v>
                </c:pt>
                <c:pt idx="3209">
                  <c:v>569.9669999999974</c:v>
                </c:pt>
                <c:pt idx="3210">
                  <c:v>570.135</c:v>
                </c:pt>
                <c:pt idx="3211">
                  <c:v>570.3049999999994</c:v>
                </c:pt>
                <c:pt idx="3212">
                  <c:v>570.475</c:v>
                </c:pt>
                <c:pt idx="3213">
                  <c:v>570.64</c:v>
                </c:pt>
                <c:pt idx="3214">
                  <c:v>570.8049999999994</c:v>
                </c:pt>
                <c:pt idx="3215">
                  <c:v>570.974</c:v>
                </c:pt>
                <c:pt idx="3216">
                  <c:v>571.1419999999994</c:v>
                </c:pt>
                <c:pt idx="3217">
                  <c:v>571.3099999999994</c:v>
                </c:pt>
                <c:pt idx="3218">
                  <c:v>571.477</c:v>
                </c:pt>
                <c:pt idx="3219">
                  <c:v>571.6469999999994</c:v>
                </c:pt>
                <c:pt idx="3220">
                  <c:v>571.8179999999974</c:v>
                </c:pt>
                <c:pt idx="3221">
                  <c:v>571.9880000000001</c:v>
                </c:pt>
                <c:pt idx="3222">
                  <c:v>572.159</c:v>
                </c:pt>
                <c:pt idx="3223">
                  <c:v>572.3269999999974</c:v>
                </c:pt>
                <c:pt idx="3224">
                  <c:v>572.496</c:v>
                </c:pt>
                <c:pt idx="3225">
                  <c:v>572.6659999999994</c:v>
                </c:pt>
                <c:pt idx="3226">
                  <c:v>572.8369999999974</c:v>
                </c:pt>
                <c:pt idx="3227">
                  <c:v>573.01</c:v>
                </c:pt>
                <c:pt idx="3228">
                  <c:v>573.181</c:v>
                </c:pt>
                <c:pt idx="3229">
                  <c:v>573.3549999999979</c:v>
                </c:pt>
                <c:pt idx="3230">
                  <c:v>573.525</c:v>
                </c:pt>
                <c:pt idx="3231">
                  <c:v>573.695</c:v>
                </c:pt>
                <c:pt idx="3232">
                  <c:v>573.8630000000001</c:v>
                </c:pt>
                <c:pt idx="3233">
                  <c:v>574.029</c:v>
                </c:pt>
                <c:pt idx="3234">
                  <c:v>574.194</c:v>
                </c:pt>
                <c:pt idx="3235">
                  <c:v>574.3609999999974</c:v>
                </c:pt>
                <c:pt idx="3236">
                  <c:v>574.529</c:v>
                </c:pt>
                <c:pt idx="3237">
                  <c:v>574.698</c:v>
                </c:pt>
                <c:pt idx="3238">
                  <c:v>574.8689999999979</c:v>
                </c:pt>
                <c:pt idx="3239">
                  <c:v>575.04</c:v>
                </c:pt>
                <c:pt idx="3240">
                  <c:v>575.211</c:v>
                </c:pt>
                <c:pt idx="3241">
                  <c:v>575.3819999999994</c:v>
                </c:pt>
                <c:pt idx="3242">
                  <c:v>575.553</c:v>
                </c:pt>
                <c:pt idx="3243">
                  <c:v>575.721</c:v>
                </c:pt>
                <c:pt idx="3244">
                  <c:v>575.891</c:v>
                </c:pt>
                <c:pt idx="3245">
                  <c:v>576.0609999999979</c:v>
                </c:pt>
                <c:pt idx="3246">
                  <c:v>576.234</c:v>
                </c:pt>
                <c:pt idx="3247">
                  <c:v>576.4069999999994</c:v>
                </c:pt>
                <c:pt idx="3248">
                  <c:v>576.578</c:v>
                </c:pt>
                <c:pt idx="3249">
                  <c:v>576.748</c:v>
                </c:pt>
                <c:pt idx="3250">
                  <c:v>576.919</c:v>
                </c:pt>
                <c:pt idx="3251">
                  <c:v>577.0890000000001</c:v>
                </c:pt>
                <c:pt idx="3252">
                  <c:v>577.259</c:v>
                </c:pt>
                <c:pt idx="3253">
                  <c:v>577.429</c:v>
                </c:pt>
                <c:pt idx="3254">
                  <c:v>577.601</c:v>
                </c:pt>
                <c:pt idx="3255">
                  <c:v>577.772</c:v>
                </c:pt>
                <c:pt idx="3256">
                  <c:v>577.939</c:v>
                </c:pt>
                <c:pt idx="3257">
                  <c:v>578.106</c:v>
                </c:pt>
                <c:pt idx="3258">
                  <c:v>578.274</c:v>
                </c:pt>
                <c:pt idx="3259">
                  <c:v>578.4409999999979</c:v>
                </c:pt>
                <c:pt idx="3260">
                  <c:v>578.61</c:v>
                </c:pt>
                <c:pt idx="3261">
                  <c:v>578.775</c:v>
                </c:pt>
                <c:pt idx="3262">
                  <c:v>578.9449999999994</c:v>
                </c:pt>
                <c:pt idx="3263">
                  <c:v>579.115</c:v>
                </c:pt>
                <c:pt idx="3264">
                  <c:v>579.286</c:v>
                </c:pt>
                <c:pt idx="3265">
                  <c:v>579.4599999999979</c:v>
                </c:pt>
                <c:pt idx="3266">
                  <c:v>579.6319999999994</c:v>
                </c:pt>
                <c:pt idx="3267">
                  <c:v>579.8049999999994</c:v>
                </c:pt>
                <c:pt idx="3268">
                  <c:v>579.977</c:v>
                </c:pt>
                <c:pt idx="3269">
                  <c:v>580.1519999999994</c:v>
                </c:pt>
                <c:pt idx="3270">
                  <c:v>580.324</c:v>
                </c:pt>
                <c:pt idx="3271">
                  <c:v>580.496</c:v>
                </c:pt>
                <c:pt idx="3272">
                  <c:v>580.6669999999979</c:v>
                </c:pt>
                <c:pt idx="3273">
                  <c:v>580.8390000000001</c:v>
                </c:pt>
                <c:pt idx="3274">
                  <c:v>581.01</c:v>
                </c:pt>
                <c:pt idx="3275">
                  <c:v>581.182</c:v>
                </c:pt>
                <c:pt idx="3276">
                  <c:v>581.3519999999974</c:v>
                </c:pt>
                <c:pt idx="3277">
                  <c:v>581.52</c:v>
                </c:pt>
                <c:pt idx="3278">
                  <c:v>581.687</c:v>
                </c:pt>
                <c:pt idx="3279">
                  <c:v>581.8539999999994</c:v>
                </c:pt>
                <c:pt idx="3280">
                  <c:v>582.02</c:v>
                </c:pt>
                <c:pt idx="3281">
                  <c:v>582.188</c:v>
                </c:pt>
                <c:pt idx="3282">
                  <c:v>582.3549999999979</c:v>
                </c:pt>
                <c:pt idx="3283">
                  <c:v>582.521</c:v>
                </c:pt>
                <c:pt idx="3284">
                  <c:v>582.688</c:v>
                </c:pt>
                <c:pt idx="3285">
                  <c:v>582.8579999999816</c:v>
                </c:pt>
                <c:pt idx="3286">
                  <c:v>583.025</c:v>
                </c:pt>
                <c:pt idx="3287">
                  <c:v>583.194</c:v>
                </c:pt>
                <c:pt idx="3288">
                  <c:v>583.3649999999974</c:v>
                </c:pt>
                <c:pt idx="3289">
                  <c:v>583.535</c:v>
                </c:pt>
                <c:pt idx="3290">
                  <c:v>583.704</c:v>
                </c:pt>
                <c:pt idx="3291">
                  <c:v>583.873</c:v>
                </c:pt>
                <c:pt idx="3292">
                  <c:v>584.0419999999979</c:v>
                </c:pt>
                <c:pt idx="3293">
                  <c:v>584.212</c:v>
                </c:pt>
                <c:pt idx="3294">
                  <c:v>584.383</c:v>
                </c:pt>
                <c:pt idx="3295">
                  <c:v>584.553</c:v>
                </c:pt>
                <c:pt idx="3296">
                  <c:v>584.722</c:v>
                </c:pt>
                <c:pt idx="3297">
                  <c:v>584.893</c:v>
                </c:pt>
                <c:pt idx="3298">
                  <c:v>585.0619999999974</c:v>
                </c:pt>
                <c:pt idx="3299">
                  <c:v>585.232</c:v>
                </c:pt>
                <c:pt idx="3300">
                  <c:v>585.4</c:v>
                </c:pt>
                <c:pt idx="3301">
                  <c:v>585.569</c:v>
                </c:pt>
                <c:pt idx="3302">
                  <c:v>585.7380000000001</c:v>
                </c:pt>
                <c:pt idx="3303">
                  <c:v>585.905</c:v>
                </c:pt>
                <c:pt idx="3304">
                  <c:v>586.075</c:v>
                </c:pt>
                <c:pt idx="3305">
                  <c:v>586.244</c:v>
                </c:pt>
                <c:pt idx="3306">
                  <c:v>586.4119999999979</c:v>
                </c:pt>
                <c:pt idx="3307">
                  <c:v>586.58</c:v>
                </c:pt>
                <c:pt idx="3308">
                  <c:v>586.75</c:v>
                </c:pt>
                <c:pt idx="3309">
                  <c:v>586.9209999999994</c:v>
                </c:pt>
                <c:pt idx="3310">
                  <c:v>587.092</c:v>
                </c:pt>
                <c:pt idx="3311">
                  <c:v>587.261</c:v>
                </c:pt>
                <c:pt idx="3312">
                  <c:v>587.4319999999979</c:v>
                </c:pt>
                <c:pt idx="3313">
                  <c:v>587.601</c:v>
                </c:pt>
                <c:pt idx="3314">
                  <c:v>587.77</c:v>
                </c:pt>
                <c:pt idx="3315">
                  <c:v>587.939</c:v>
                </c:pt>
                <c:pt idx="3316">
                  <c:v>588.111</c:v>
                </c:pt>
                <c:pt idx="3317">
                  <c:v>588.281</c:v>
                </c:pt>
                <c:pt idx="3318">
                  <c:v>588.4519999999974</c:v>
                </c:pt>
                <c:pt idx="3319">
                  <c:v>588.623</c:v>
                </c:pt>
                <c:pt idx="3320">
                  <c:v>588.788</c:v>
                </c:pt>
                <c:pt idx="3321">
                  <c:v>588.9529999999974</c:v>
                </c:pt>
                <c:pt idx="3322">
                  <c:v>589.121</c:v>
                </c:pt>
                <c:pt idx="3323">
                  <c:v>589.289</c:v>
                </c:pt>
                <c:pt idx="3324">
                  <c:v>589.4569999999974</c:v>
                </c:pt>
                <c:pt idx="3325">
                  <c:v>589.624</c:v>
                </c:pt>
                <c:pt idx="3326">
                  <c:v>589.792</c:v>
                </c:pt>
                <c:pt idx="3327">
                  <c:v>589.9599999999979</c:v>
                </c:pt>
                <c:pt idx="3328">
                  <c:v>590.13</c:v>
                </c:pt>
                <c:pt idx="3329">
                  <c:v>590.3009999999994</c:v>
                </c:pt>
                <c:pt idx="3330">
                  <c:v>590.471</c:v>
                </c:pt>
                <c:pt idx="3331">
                  <c:v>590.641</c:v>
                </c:pt>
                <c:pt idx="3332">
                  <c:v>590.8109999999979</c:v>
                </c:pt>
                <c:pt idx="3333">
                  <c:v>590.981</c:v>
                </c:pt>
                <c:pt idx="3334">
                  <c:v>591.149</c:v>
                </c:pt>
                <c:pt idx="3335">
                  <c:v>591.319</c:v>
                </c:pt>
                <c:pt idx="3336">
                  <c:v>591.4880000000001</c:v>
                </c:pt>
                <c:pt idx="3337">
                  <c:v>591.6619999999979</c:v>
                </c:pt>
                <c:pt idx="3338">
                  <c:v>591.8329999999974</c:v>
                </c:pt>
                <c:pt idx="3339">
                  <c:v>592.0019999999994</c:v>
                </c:pt>
                <c:pt idx="3340">
                  <c:v>592.172</c:v>
                </c:pt>
                <c:pt idx="3341">
                  <c:v>592.3429999999923</c:v>
                </c:pt>
                <c:pt idx="3342">
                  <c:v>592.514</c:v>
                </c:pt>
                <c:pt idx="3343">
                  <c:v>592.688</c:v>
                </c:pt>
                <c:pt idx="3344">
                  <c:v>592.8589999999994</c:v>
                </c:pt>
                <c:pt idx="3345">
                  <c:v>593.028</c:v>
                </c:pt>
                <c:pt idx="3346">
                  <c:v>593.196</c:v>
                </c:pt>
                <c:pt idx="3347">
                  <c:v>593.3649999999974</c:v>
                </c:pt>
                <c:pt idx="3348">
                  <c:v>593.5319999999994</c:v>
                </c:pt>
                <c:pt idx="3349">
                  <c:v>593.699</c:v>
                </c:pt>
                <c:pt idx="3350">
                  <c:v>593.8659999999974</c:v>
                </c:pt>
                <c:pt idx="3351">
                  <c:v>594.0369999999979</c:v>
                </c:pt>
                <c:pt idx="3352">
                  <c:v>594.209</c:v>
                </c:pt>
                <c:pt idx="3353">
                  <c:v>594.383</c:v>
                </c:pt>
                <c:pt idx="3354">
                  <c:v>594.5559999999994</c:v>
                </c:pt>
                <c:pt idx="3355">
                  <c:v>594.729</c:v>
                </c:pt>
                <c:pt idx="3356">
                  <c:v>594.9</c:v>
                </c:pt>
                <c:pt idx="3357">
                  <c:v>595.069</c:v>
                </c:pt>
                <c:pt idx="3358">
                  <c:v>595.2380000000001</c:v>
                </c:pt>
                <c:pt idx="3359">
                  <c:v>595.405</c:v>
                </c:pt>
                <c:pt idx="3360">
                  <c:v>595.572</c:v>
                </c:pt>
                <c:pt idx="3361">
                  <c:v>595.741</c:v>
                </c:pt>
                <c:pt idx="3362">
                  <c:v>595.91</c:v>
                </c:pt>
                <c:pt idx="3363">
                  <c:v>596.079</c:v>
                </c:pt>
                <c:pt idx="3364">
                  <c:v>596.25</c:v>
                </c:pt>
                <c:pt idx="3365">
                  <c:v>596.418</c:v>
                </c:pt>
                <c:pt idx="3366">
                  <c:v>596.588</c:v>
                </c:pt>
                <c:pt idx="3367">
                  <c:v>596.756</c:v>
                </c:pt>
                <c:pt idx="3368">
                  <c:v>596.9249999999994</c:v>
                </c:pt>
                <c:pt idx="3369">
                  <c:v>597.098</c:v>
                </c:pt>
                <c:pt idx="3370">
                  <c:v>597.268</c:v>
                </c:pt>
                <c:pt idx="3371">
                  <c:v>597.4379999999974</c:v>
                </c:pt>
                <c:pt idx="3372">
                  <c:v>597.612</c:v>
                </c:pt>
                <c:pt idx="3373">
                  <c:v>597.783</c:v>
                </c:pt>
                <c:pt idx="3374">
                  <c:v>597.9519999999974</c:v>
                </c:pt>
                <c:pt idx="3375">
                  <c:v>598.118</c:v>
                </c:pt>
                <c:pt idx="3376">
                  <c:v>598.286</c:v>
                </c:pt>
                <c:pt idx="3377">
                  <c:v>598.4559999999979</c:v>
                </c:pt>
                <c:pt idx="3378">
                  <c:v>598.623</c:v>
                </c:pt>
                <c:pt idx="3379">
                  <c:v>598.793</c:v>
                </c:pt>
                <c:pt idx="3380">
                  <c:v>598.9619999999974</c:v>
                </c:pt>
                <c:pt idx="3381">
                  <c:v>599.129</c:v>
                </c:pt>
                <c:pt idx="3382">
                  <c:v>599.297</c:v>
                </c:pt>
                <c:pt idx="3383">
                  <c:v>599.4629999999925</c:v>
                </c:pt>
                <c:pt idx="3384">
                  <c:v>599.635</c:v>
                </c:pt>
                <c:pt idx="3385">
                  <c:v>599.804</c:v>
                </c:pt>
                <c:pt idx="3386">
                  <c:v>599.973</c:v>
                </c:pt>
                <c:pt idx="3387">
                  <c:v>600.14</c:v>
                </c:pt>
                <c:pt idx="3388">
                  <c:v>600.3049999999994</c:v>
                </c:pt>
                <c:pt idx="3389">
                  <c:v>600.4689999999994</c:v>
                </c:pt>
                <c:pt idx="3390">
                  <c:v>600.633</c:v>
                </c:pt>
                <c:pt idx="3391">
                  <c:v>600.8019999999979</c:v>
                </c:pt>
                <c:pt idx="3392">
                  <c:v>600.975</c:v>
                </c:pt>
                <c:pt idx="3393">
                  <c:v>601.15</c:v>
                </c:pt>
                <c:pt idx="3394">
                  <c:v>601.3219999999974</c:v>
                </c:pt>
                <c:pt idx="3395">
                  <c:v>601.49</c:v>
                </c:pt>
                <c:pt idx="3396">
                  <c:v>601.655</c:v>
                </c:pt>
                <c:pt idx="3397">
                  <c:v>601.824</c:v>
                </c:pt>
                <c:pt idx="3398">
                  <c:v>601.993</c:v>
                </c:pt>
                <c:pt idx="3399">
                  <c:v>602.163</c:v>
                </c:pt>
                <c:pt idx="3400">
                  <c:v>602.3339999999994</c:v>
                </c:pt>
                <c:pt idx="3401">
                  <c:v>602.504</c:v>
                </c:pt>
                <c:pt idx="3402">
                  <c:v>602.673</c:v>
                </c:pt>
                <c:pt idx="3403">
                  <c:v>602.8399999999979</c:v>
                </c:pt>
                <c:pt idx="3404">
                  <c:v>603.009</c:v>
                </c:pt>
                <c:pt idx="3405">
                  <c:v>603.177</c:v>
                </c:pt>
                <c:pt idx="3406">
                  <c:v>603.3459999999974</c:v>
                </c:pt>
                <c:pt idx="3407">
                  <c:v>603.515</c:v>
                </c:pt>
                <c:pt idx="3408">
                  <c:v>603.685</c:v>
                </c:pt>
                <c:pt idx="3409">
                  <c:v>603.8569999999974</c:v>
                </c:pt>
                <c:pt idx="3410">
                  <c:v>604.028</c:v>
                </c:pt>
                <c:pt idx="3411">
                  <c:v>604.197</c:v>
                </c:pt>
                <c:pt idx="3412">
                  <c:v>604.3669999999836</c:v>
                </c:pt>
                <c:pt idx="3413">
                  <c:v>604.535</c:v>
                </c:pt>
                <c:pt idx="3414">
                  <c:v>604.704</c:v>
                </c:pt>
                <c:pt idx="3415">
                  <c:v>604.874</c:v>
                </c:pt>
                <c:pt idx="3416">
                  <c:v>605.039</c:v>
                </c:pt>
                <c:pt idx="3417">
                  <c:v>605.206</c:v>
                </c:pt>
                <c:pt idx="3418">
                  <c:v>605.372</c:v>
                </c:pt>
                <c:pt idx="3419">
                  <c:v>605.538</c:v>
                </c:pt>
                <c:pt idx="3420">
                  <c:v>605.704</c:v>
                </c:pt>
                <c:pt idx="3421">
                  <c:v>605.87</c:v>
                </c:pt>
                <c:pt idx="3422">
                  <c:v>606.038</c:v>
                </c:pt>
                <c:pt idx="3423">
                  <c:v>606.21</c:v>
                </c:pt>
                <c:pt idx="3424">
                  <c:v>606.384</c:v>
                </c:pt>
                <c:pt idx="3425">
                  <c:v>606.559</c:v>
                </c:pt>
                <c:pt idx="3426">
                  <c:v>606.73</c:v>
                </c:pt>
                <c:pt idx="3427">
                  <c:v>606.9</c:v>
                </c:pt>
                <c:pt idx="3428">
                  <c:v>607.07</c:v>
                </c:pt>
                <c:pt idx="3429">
                  <c:v>607.24</c:v>
                </c:pt>
                <c:pt idx="3430">
                  <c:v>607.4069999999994</c:v>
                </c:pt>
                <c:pt idx="3431">
                  <c:v>607.574</c:v>
                </c:pt>
                <c:pt idx="3432">
                  <c:v>607.742</c:v>
                </c:pt>
                <c:pt idx="3433">
                  <c:v>607.905</c:v>
                </c:pt>
                <c:pt idx="3434">
                  <c:v>608.071</c:v>
                </c:pt>
                <c:pt idx="3435">
                  <c:v>608.241</c:v>
                </c:pt>
                <c:pt idx="3436">
                  <c:v>608.4119999999979</c:v>
                </c:pt>
                <c:pt idx="3437">
                  <c:v>608.587</c:v>
                </c:pt>
                <c:pt idx="3438">
                  <c:v>608.7619999999994</c:v>
                </c:pt>
                <c:pt idx="3439">
                  <c:v>608.9309999999994</c:v>
                </c:pt>
                <c:pt idx="3440">
                  <c:v>609.102</c:v>
                </c:pt>
                <c:pt idx="3441">
                  <c:v>609.272</c:v>
                </c:pt>
                <c:pt idx="3442">
                  <c:v>609.4409999999979</c:v>
                </c:pt>
                <c:pt idx="3443">
                  <c:v>609.6079999999994</c:v>
                </c:pt>
                <c:pt idx="3444">
                  <c:v>609.777</c:v>
                </c:pt>
                <c:pt idx="3445">
                  <c:v>609.949</c:v>
                </c:pt>
                <c:pt idx="3446">
                  <c:v>610.124</c:v>
                </c:pt>
                <c:pt idx="3447">
                  <c:v>610.299</c:v>
                </c:pt>
                <c:pt idx="3448">
                  <c:v>610.473</c:v>
                </c:pt>
                <c:pt idx="3449">
                  <c:v>610.644</c:v>
                </c:pt>
                <c:pt idx="3450">
                  <c:v>610.8129999999974</c:v>
                </c:pt>
                <c:pt idx="3451">
                  <c:v>610.981</c:v>
                </c:pt>
                <c:pt idx="3452">
                  <c:v>611.149</c:v>
                </c:pt>
                <c:pt idx="3453">
                  <c:v>611.319</c:v>
                </c:pt>
                <c:pt idx="3454">
                  <c:v>611.491</c:v>
                </c:pt>
                <c:pt idx="3455">
                  <c:v>611.66</c:v>
                </c:pt>
                <c:pt idx="3456">
                  <c:v>611.8299999999994</c:v>
                </c:pt>
                <c:pt idx="3457">
                  <c:v>612.004</c:v>
                </c:pt>
                <c:pt idx="3458">
                  <c:v>612.174</c:v>
                </c:pt>
                <c:pt idx="3459">
                  <c:v>612.3409999999974</c:v>
                </c:pt>
                <c:pt idx="3460">
                  <c:v>612.508</c:v>
                </c:pt>
                <c:pt idx="3461">
                  <c:v>612.675</c:v>
                </c:pt>
                <c:pt idx="3462">
                  <c:v>612.8429999999923</c:v>
                </c:pt>
                <c:pt idx="3463">
                  <c:v>613.008</c:v>
                </c:pt>
                <c:pt idx="3464">
                  <c:v>613.174</c:v>
                </c:pt>
                <c:pt idx="3465">
                  <c:v>613.3459999999974</c:v>
                </c:pt>
                <c:pt idx="3466">
                  <c:v>613.516</c:v>
                </c:pt>
                <c:pt idx="3467">
                  <c:v>613.685</c:v>
                </c:pt>
                <c:pt idx="3468">
                  <c:v>613.8549999999979</c:v>
                </c:pt>
                <c:pt idx="3469">
                  <c:v>614.0259999999994</c:v>
                </c:pt>
                <c:pt idx="3470">
                  <c:v>614.197</c:v>
                </c:pt>
                <c:pt idx="3471">
                  <c:v>614.37</c:v>
                </c:pt>
                <c:pt idx="3472">
                  <c:v>614.543</c:v>
                </c:pt>
                <c:pt idx="3473">
                  <c:v>614.7140000000001</c:v>
                </c:pt>
                <c:pt idx="3474">
                  <c:v>614.884</c:v>
                </c:pt>
                <c:pt idx="3475">
                  <c:v>615.0549999999994</c:v>
                </c:pt>
                <c:pt idx="3476">
                  <c:v>615.2279999999994</c:v>
                </c:pt>
                <c:pt idx="3477">
                  <c:v>615.403</c:v>
                </c:pt>
                <c:pt idx="3478">
                  <c:v>615.576</c:v>
                </c:pt>
                <c:pt idx="3479">
                  <c:v>615.749</c:v>
                </c:pt>
                <c:pt idx="3480">
                  <c:v>615.92</c:v>
                </c:pt>
                <c:pt idx="3481">
                  <c:v>616.088</c:v>
                </c:pt>
                <c:pt idx="3482">
                  <c:v>616.2569999999994</c:v>
                </c:pt>
                <c:pt idx="3483">
                  <c:v>616.428</c:v>
                </c:pt>
                <c:pt idx="3484">
                  <c:v>616.599</c:v>
                </c:pt>
                <c:pt idx="3485">
                  <c:v>616.768</c:v>
                </c:pt>
                <c:pt idx="3486">
                  <c:v>616.9369999999974</c:v>
                </c:pt>
                <c:pt idx="3487">
                  <c:v>617.111</c:v>
                </c:pt>
                <c:pt idx="3488">
                  <c:v>617.284</c:v>
                </c:pt>
                <c:pt idx="3489">
                  <c:v>617.4579999999974</c:v>
                </c:pt>
                <c:pt idx="3490">
                  <c:v>617.633</c:v>
                </c:pt>
                <c:pt idx="3491">
                  <c:v>617.8059999999994</c:v>
                </c:pt>
                <c:pt idx="3492">
                  <c:v>617.9779999999994</c:v>
                </c:pt>
                <c:pt idx="3493">
                  <c:v>618.1509999999994</c:v>
                </c:pt>
                <c:pt idx="3494">
                  <c:v>618.3209999999979</c:v>
                </c:pt>
                <c:pt idx="3495">
                  <c:v>618.491</c:v>
                </c:pt>
                <c:pt idx="3496">
                  <c:v>618.66</c:v>
                </c:pt>
                <c:pt idx="3497">
                  <c:v>618.8269999999974</c:v>
                </c:pt>
                <c:pt idx="3498">
                  <c:v>618.994</c:v>
                </c:pt>
                <c:pt idx="3499">
                  <c:v>619.164</c:v>
                </c:pt>
                <c:pt idx="3500">
                  <c:v>619.3379999999925</c:v>
                </c:pt>
                <c:pt idx="3501">
                  <c:v>619.5119999999994</c:v>
                </c:pt>
                <c:pt idx="3502">
                  <c:v>619.684</c:v>
                </c:pt>
                <c:pt idx="3503">
                  <c:v>619.8569999999974</c:v>
                </c:pt>
                <c:pt idx="3504">
                  <c:v>620.0309999999994</c:v>
                </c:pt>
                <c:pt idx="3505">
                  <c:v>620.205</c:v>
                </c:pt>
                <c:pt idx="3506">
                  <c:v>620.376</c:v>
                </c:pt>
                <c:pt idx="3507">
                  <c:v>620.5469999999979</c:v>
                </c:pt>
                <c:pt idx="3508">
                  <c:v>620.717</c:v>
                </c:pt>
                <c:pt idx="3509">
                  <c:v>620.886</c:v>
                </c:pt>
                <c:pt idx="3510">
                  <c:v>621.054</c:v>
                </c:pt>
                <c:pt idx="3511">
                  <c:v>621.222</c:v>
                </c:pt>
                <c:pt idx="3512">
                  <c:v>621.389</c:v>
                </c:pt>
                <c:pt idx="3513">
                  <c:v>621.5549999999994</c:v>
                </c:pt>
                <c:pt idx="3514">
                  <c:v>621.719</c:v>
                </c:pt>
                <c:pt idx="3515">
                  <c:v>621.883</c:v>
                </c:pt>
                <c:pt idx="3516">
                  <c:v>622.048</c:v>
                </c:pt>
                <c:pt idx="3517">
                  <c:v>622.218</c:v>
                </c:pt>
                <c:pt idx="3518">
                  <c:v>622.39</c:v>
                </c:pt>
                <c:pt idx="3519">
                  <c:v>622.564</c:v>
                </c:pt>
                <c:pt idx="3520">
                  <c:v>622.739</c:v>
                </c:pt>
                <c:pt idx="3521">
                  <c:v>622.914</c:v>
                </c:pt>
                <c:pt idx="3522">
                  <c:v>623.085</c:v>
                </c:pt>
                <c:pt idx="3523">
                  <c:v>623.256</c:v>
                </c:pt>
                <c:pt idx="3524">
                  <c:v>623.4259999999994</c:v>
                </c:pt>
                <c:pt idx="3525">
                  <c:v>623.598</c:v>
                </c:pt>
                <c:pt idx="3526">
                  <c:v>623.77</c:v>
                </c:pt>
                <c:pt idx="3527">
                  <c:v>623.9419999999974</c:v>
                </c:pt>
                <c:pt idx="3528">
                  <c:v>624.112</c:v>
                </c:pt>
                <c:pt idx="3529">
                  <c:v>624.282</c:v>
                </c:pt>
                <c:pt idx="3530">
                  <c:v>624.4559999999979</c:v>
                </c:pt>
                <c:pt idx="3531">
                  <c:v>624.628</c:v>
                </c:pt>
                <c:pt idx="3532">
                  <c:v>624.8019999999979</c:v>
                </c:pt>
                <c:pt idx="3533">
                  <c:v>624.975</c:v>
                </c:pt>
                <c:pt idx="3534">
                  <c:v>625.1469999999994</c:v>
                </c:pt>
                <c:pt idx="3535">
                  <c:v>625.3199999999994</c:v>
                </c:pt>
                <c:pt idx="3536">
                  <c:v>625.49</c:v>
                </c:pt>
                <c:pt idx="3537">
                  <c:v>625.655</c:v>
                </c:pt>
                <c:pt idx="3538">
                  <c:v>625.8249999999994</c:v>
                </c:pt>
                <c:pt idx="3539">
                  <c:v>625.997</c:v>
                </c:pt>
                <c:pt idx="3540">
                  <c:v>626.169</c:v>
                </c:pt>
                <c:pt idx="3541">
                  <c:v>626.3419999999974</c:v>
                </c:pt>
                <c:pt idx="3542">
                  <c:v>626.515</c:v>
                </c:pt>
                <c:pt idx="3543">
                  <c:v>626.686</c:v>
                </c:pt>
                <c:pt idx="3544">
                  <c:v>626.8569999999974</c:v>
                </c:pt>
                <c:pt idx="3545">
                  <c:v>627.028</c:v>
                </c:pt>
                <c:pt idx="3546">
                  <c:v>627.201</c:v>
                </c:pt>
                <c:pt idx="3547">
                  <c:v>627.374</c:v>
                </c:pt>
                <c:pt idx="3548">
                  <c:v>627.5459999999994</c:v>
                </c:pt>
                <c:pt idx="3549">
                  <c:v>627.715</c:v>
                </c:pt>
                <c:pt idx="3550">
                  <c:v>627.886</c:v>
                </c:pt>
                <c:pt idx="3551">
                  <c:v>628.0549999999994</c:v>
                </c:pt>
                <c:pt idx="3552">
                  <c:v>628.222</c:v>
                </c:pt>
                <c:pt idx="3553">
                  <c:v>628.386</c:v>
                </c:pt>
                <c:pt idx="3554">
                  <c:v>628.549</c:v>
                </c:pt>
                <c:pt idx="3555">
                  <c:v>628.716</c:v>
                </c:pt>
                <c:pt idx="3556">
                  <c:v>628.888</c:v>
                </c:pt>
                <c:pt idx="3557">
                  <c:v>629.059</c:v>
                </c:pt>
                <c:pt idx="3558">
                  <c:v>629.229</c:v>
                </c:pt>
                <c:pt idx="3559">
                  <c:v>629.4</c:v>
                </c:pt>
                <c:pt idx="3560">
                  <c:v>629.572</c:v>
                </c:pt>
                <c:pt idx="3561">
                  <c:v>629.745</c:v>
                </c:pt>
                <c:pt idx="3562">
                  <c:v>629.92</c:v>
                </c:pt>
                <c:pt idx="3563">
                  <c:v>630.093</c:v>
                </c:pt>
                <c:pt idx="3564">
                  <c:v>630.264</c:v>
                </c:pt>
                <c:pt idx="3565">
                  <c:v>630.4359999999979</c:v>
                </c:pt>
                <c:pt idx="3566">
                  <c:v>630.605</c:v>
                </c:pt>
                <c:pt idx="3567">
                  <c:v>630.775</c:v>
                </c:pt>
                <c:pt idx="3568">
                  <c:v>630.9419999999974</c:v>
                </c:pt>
                <c:pt idx="3569">
                  <c:v>631.112</c:v>
                </c:pt>
                <c:pt idx="3570">
                  <c:v>631.283</c:v>
                </c:pt>
                <c:pt idx="3571">
                  <c:v>631.4509999999979</c:v>
                </c:pt>
                <c:pt idx="3572">
                  <c:v>631.617</c:v>
                </c:pt>
                <c:pt idx="3573">
                  <c:v>631.789</c:v>
                </c:pt>
                <c:pt idx="3574">
                  <c:v>631.9619999999974</c:v>
                </c:pt>
                <c:pt idx="3575">
                  <c:v>632.141</c:v>
                </c:pt>
                <c:pt idx="3576">
                  <c:v>632.319</c:v>
                </c:pt>
                <c:pt idx="3577">
                  <c:v>632.497</c:v>
                </c:pt>
                <c:pt idx="3578">
                  <c:v>632.675</c:v>
                </c:pt>
                <c:pt idx="3579">
                  <c:v>632.8459999999974</c:v>
                </c:pt>
                <c:pt idx="3580">
                  <c:v>633.0169999999994</c:v>
                </c:pt>
                <c:pt idx="3581">
                  <c:v>633.191</c:v>
                </c:pt>
                <c:pt idx="3582">
                  <c:v>633.3639999999979</c:v>
                </c:pt>
                <c:pt idx="3583">
                  <c:v>633.5319999999994</c:v>
                </c:pt>
                <c:pt idx="3584">
                  <c:v>633.696</c:v>
                </c:pt>
                <c:pt idx="3585">
                  <c:v>633.8619999999906</c:v>
                </c:pt>
                <c:pt idx="3586">
                  <c:v>634.0309999999994</c:v>
                </c:pt>
                <c:pt idx="3587">
                  <c:v>634.198</c:v>
                </c:pt>
                <c:pt idx="3588">
                  <c:v>634.3619999999906</c:v>
                </c:pt>
                <c:pt idx="3589">
                  <c:v>634.524</c:v>
                </c:pt>
                <c:pt idx="3590">
                  <c:v>634.69</c:v>
                </c:pt>
                <c:pt idx="3591">
                  <c:v>634.8599999999974</c:v>
                </c:pt>
                <c:pt idx="3592">
                  <c:v>635.0309999999994</c:v>
                </c:pt>
                <c:pt idx="3593">
                  <c:v>635.204</c:v>
                </c:pt>
                <c:pt idx="3594">
                  <c:v>635.3769999999994</c:v>
                </c:pt>
                <c:pt idx="3595">
                  <c:v>635.5469999999979</c:v>
                </c:pt>
                <c:pt idx="3596">
                  <c:v>635.717</c:v>
                </c:pt>
                <c:pt idx="3597">
                  <c:v>635.886</c:v>
                </c:pt>
                <c:pt idx="3598">
                  <c:v>636.0569999999979</c:v>
                </c:pt>
                <c:pt idx="3599">
                  <c:v>636.2329999999994</c:v>
                </c:pt>
                <c:pt idx="3600">
                  <c:v>636.405</c:v>
                </c:pt>
                <c:pt idx="3601">
                  <c:v>636.58</c:v>
                </c:pt>
                <c:pt idx="3602">
                  <c:v>636.755</c:v>
                </c:pt>
                <c:pt idx="3603">
                  <c:v>636.9299999999994</c:v>
                </c:pt>
                <c:pt idx="3604">
                  <c:v>637.104</c:v>
                </c:pt>
                <c:pt idx="3605">
                  <c:v>637.276</c:v>
                </c:pt>
                <c:pt idx="3606">
                  <c:v>637.4499999999994</c:v>
                </c:pt>
                <c:pt idx="3607">
                  <c:v>637.619</c:v>
                </c:pt>
                <c:pt idx="3608">
                  <c:v>637.787</c:v>
                </c:pt>
                <c:pt idx="3609">
                  <c:v>637.9569999999974</c:v>
                </c:pt>
                <c:pt idx="3610">
                  <c:v>638.128</c:v>
                </c:pt>
                <c:pt idx="3611">
                  <c:v>638.3</c:v>
                </c:pt>
                <c:pt idx="3612">
                  <c:v>638.472</c:v>
                </c:pt>
                <c:pt idx="3613">
                  <c:v>638.645</c:v>
                </c:pt>
                <c:pt idx="3614">
                  <c:v>638.8199999999994</c:v>
                </c:pt>
                <c:pt idx="3615">
                  <c:v>638.993</c:v>
                </c:pt>
                <c:pt idx="3616">
                  <c:v>639.165</c:v>
                </c:pt>
                <c:pt idx="3617">
                  <c:v>639.3319999999974</c:v>
                </c:pt>
                <c:pt idx="3618">
                  <c:v>639.498</c:v>
                </c:pt>
                <c:pt idx="3619">
                  <c:v>639.6659999999994</c:v>
                </c:pt>
                <c:pt idx="3620">
                  <c:v>639.8349999999979</c:v>
                </c:pt>
                <c:pt idx="3621">
                  <c:v>640.0069999999994</c:v>
                </c:pt>
                <c:pt idx="3622">
                  <c:v>640.178</c:v>
                </c:pt>
                <c:pt idx="3623">
                  <c:v>640.3509999999974</c:v>
                </c:pt>
                <c:pt idx="3624">
                  <c:v>640.5219999999994</c:v>
                </c:pt>
                <c:pt idx="3625">
                  <c:v>640.692</c:v>
                </c:pt>
                <c:pt idx="3626">
                  <c:v>640.8569999999974</c:v>
                </c:pt>
                <c:pt idx="3627">
                  <c:v>641.023</c:v>
                </c:pt>
                <c:pt idx="3628">
                  <c:v>641.19</c:v>
                </c:pt>
                <c:pt idx="3629">
                  <c:v>641.3559999999974</c:v>
                </c:pt>
                <c:pt idx="3630">
                  <c:v>641.524</c:v>
                </c:pt>
                <c:pt idx="3631">
                  <c:v>641.693</c:v>
                </c:pt>
                <c:pt idx="3632">
                  <c:v>641.8599999999974</c:v>
                </c:pt>
                <c:pt idx="3633">
                  <c:v>642.03</c:v>
                </c:pt>
                <c:pt idx="3634">
                  <c:v>642.198</c:v>
                </c:pt>
                <c:pt idx="3635">
                  <c:v>642.3669999999836</c:v>
                </c:pt>
                <c:pt idx="3636">
                  <c:v>642.533</c:v>
                </c:pt>
                <c:pt idx="3637">
                  <c:v>642.698</c:v>
                </c:pt>
                <c:pt idx="3638">
                  <c:v>642.8679999999914</c:v>
                </c:pt>
                <c:pt idx="3639">
                  <c:v>643.039</c:v>
                </c:pt>
                <c:pt idx="3640">
                  <c:v>643.209</c:v>
                </c:pt>
                <c:pt idx="3641">
                  <c:v>643.376</c:v>
                </c:pt>
                <c:pt idx="3642">
                  <c:v>643.543</c:v>
                </c:pt>
                <c:pt idx="3643">
                  <c:v>643.712</c:v>
                </c:pt>
                <c:pt idx="3644">
                  <c:v>643.8819999999994</c:v>
                </c:pt>
                <c:pt idx="3645">
                  <c:v>644.054</c:v>
                </c:pt>
                <c:pt idx="3646">
                  <c:v>644.226</c:v>
                </c:pt>
                <c:pt idx="3647">
                  <c:v>644.395</c:v>
                </c:pt>
                <c:pt idx="3648">
                  <c:v>644.5649999999994</c:v>
                </c:pt>
                <c:pt idx="3649">
                  <c:v>644.735</c:v>
                </c:pt>
                <c:pt idx="3650">
                  <c:v>644.905</c:v>
                </c:pt>
                <c:pt idx="3651">
                  <c:v>645.075</c:v>
                </c:pt>
                <c:pt idx="3652">
                  <c:v>645.245</c:v>
                </c:pt>
                <c:pt idx="3653">
                  <c:v>645.4169999999979</c:v>
                </c:pt>
                <c:pt idx="3654">
                  <c:v>645.587</c:v>
                </c:pt>
                <c:pt idx="3655">
                  <c:v>645.7569999999994</c:v>
                </c:pt>
                <c:pt idx="3656">
                  <c:v>645.928</c:v>
                </c:pt>
                <c:pt idx="3657">
                  <c:v>646.097</c:v>
                </c:pt>
                <c:pt idx="3658">
                  <c:v>646.266</c:v>
                </c:pt>
                <c:pt idx="3659">
                  <c:v>646.4329999999974</c:v>
                </c:pt>
                <c:pt idx="3660">
                  <c:v>646.598</c:v>
                </c:pt>
                <c:pt idx="3661">
                  <c:v>646.769</c:v>
                </c:pt>
                <c:pt idx="3662">
                  <c:v>646.939</c:v>
                </c:pt>
                <c:pt idx="3663">
                  <c:v>647.112</c:v>
                </c:pt>
                <c:pt idx="3664">
                  <c:v>647.281</c:v>
                </c:pt>
                <c:pt idx="3665">
                  <c:v>647.4549999999994</c:v>
                </c:pt>
                <c:pt idx="3666">
                  <c:v>647.6269999999994</c:v>
                </c:pt>
                <c:pt idx="3667">
                  <c:v>647.8</c:v>
                </c:pt>
                <c:pt idx="3668">
                  <c:v>647.974</c:v>
                </c:pt>
                <c:pt idx="3669">
                  <c:v>648.144</c:v>
                </c:pt>
                <c:pt idx="3670">
                  <c:v>648.3119999999974</c:v>
                </c:pt>
                <c:pt idx="3671">
                  <c:v>648.482</c:v>
                </c:pt>
                <c:pt idx="3672">
                  <c:v>648.6519999999994</c:v>
                </c:pt>
                <c:pt idx="3673">
                  <c:v>648.8229999999974</c:v>
                </c:pt>
                <c:pt idx="3674">
                  <c:v>648.995</c:v>
                </c:pt>
                <c:pt idx="3675">
                  <c:v>649.165</c:v>
                </c:pt>
                <c:pt idx="3676">
                  <c:v>649.3329999999974</c:v>
                </c:pt>
                <c:pt idx="3677">
                  <c:v>649.5019999999994</c:v>
                </c:pt>
                <c:pt idx="3678">
                  <c:v>649.671</c:v>
                </c:pt>
                <c:pt idx="3679">
                  <c:v>649.8379999999925</c:v>
                </c:pt>
                <c:pt idx="3680">
                  <c:v>650.004</c:v>
                </c:pt>
                <c:pt idx="3681">
                  <c:v>650.171</c:v>
                </c:pt>
                <c:pt idx="3682">
                  <c:v>650.3409999999974</c:v>
                </c:pt>
                <c:pt idx="3683">
                  <c:v>650.508</c:v>
                </c:pt>
                <c:pt idx="3684">
                  <c:v>650.675</c:v>
                </c:pt>
                <c:pt idx="3685">
                  <c:v>650.8409999999974</c:v>
                </c:pt>
                <c:pt idx="3686">
                  <c:v>651.009</c:v>
                </c:pt>
                <c:pt idx="3687">
                  <c:v>651.176</c:v>
                </c:pt>
                <c:pt idx="3688">
                  <c:v>651.3449999999979</c:v>
                </c:pt>
                <c:pt idx="3689">
                  <c:v>651.509</c:v>
                </c:pt>
                <c:pt idx="3690">
                  <c:v>651.676</c:v>
                </c:pt>
                <c:pt idx="3691">
                  <c:v>651.8469999999974</c:v>
                </c:pt>
                <c:pt idx="3692">
                  <c:v>652.0169999999994</c:v>
                </c:pt>
                <c:pt idx="3693">
                  <c:v>652.186</c:v>
                </c:pt>
                <c:pt idx="3694">
                  <c:v>652.3529999999918</c:v>
                </c:pt>
                <c:pt idx="3695">
                  <c:v>652.52</c:v>
                </c:pt>
                <c:pt idx="3696">
                  <c:v>652.688</c:v>
                </c:pt>
                <c:pt idx="3697">
                  <c:v>652.8549999999979</c:v>
                </c:pt>
                <c:pt idx="3698">
                  <c:v>653.023</c:v>
                </c:pt>
                <c:pt idx="3699">
                  <c:v>653.195</c:v>
                </c:pt>
                <c:pt idx="3700">
                  <c:v>653.3659999999974</c:v>
                </c:pt>
                <c:pt idx="3701">
                  <c:v>653.534</c:v>
                </c:pt>
                <c:pt idx="3702">
                  <c:v>653.702</c:v>
                </c:pt>
                <c:pt idx="3703">
                  <c:v>653.8669999999836</c:v>
                </c:pt>
                <c:pt idx="3704">
                  <c:v>654.035</c:v>
                </c:pt>
                <c:pt idx="3705">
                  <c:v>654.202</c:v>
                </c:pt>
                <c:pt idx="3706">
                  <c:v>654.3689999999979</c:v>
                </c:pt>
                <c:pt idx="3707">
                  <c:v>654.54</c:v>
                </c:pt>
                <c:pt idx="3708">
                  <c:v>654.709</c:v>
                </c:pt>
                <c:pt idx="3709">
                  <c:v>654.881</c:v>
                </c:pt>
                <c:pt idx="3710">
                  <c:v>655.0509999999994</c:v>
                </c:pt>
                <c:pt idx="3711">
                  <c:v>655.223</c:v>
                </c:pt>
                <c:pt idx="3712">
                  <c:v>655.396</c:v>
                </c:pt>
                <c:pt idx="3713">
                  <c:v>655.57</c:v>
                </c:pt>
                <c:pt idx="3714">
                  <c:v>655.741</c:v>
                </c:pt>
                <c:pt idx="3715">
                  <c:v>655.914</c:v>
                </c:pt>
                <c:pt idx="3716">
                  <c:v>656.087</c:v>
                </c:pt>
                <c:pt idx="3717">
                  <c:v>656.258</c:v>
                </c:pt>
                <c:pt idx="3718">
                  <c:v>656.4329999999974</c:v>
                </c:pt>
                <c:pt idx="3719">
                  <c:v>656.609</c:v>
                </c:pt>
                <c:pt idx="3720">
                  <c:v>656.782</c:v>
                </c:pt>
                <c:pt idx="3721">
                  <c:v>656.9519999999974</c:v>
                </c:pt>
                <c:pt idx="3722">
                  <c:v>657.119</c:v>
                </c:pt>
                <c:pt idx="3723">
                  <c:v>657.289</c:v>
                </c:pt>
                <c:pt idx="3724">
                  <c:v>657.4609999999974</c:v>
                </c:pt>
                <c:pt idx="3725">
                  <c:v>657.63</c:v>
                </c:pt>
                <c:pt idx="3726">
                  <c:v>657.8009999999994</c:v>
                </c:pt>
                <c:pt idx="3727">
                  <c:v>657.972</c:v>
                </c:pt>
                <c:pt idx="3728">
                  <c:v>658.143</c:v>
                </c:pt>
                <c:pt idx="3729">
                  <c:v>658.314</c:v>
                </c:pt>
                <c:pt idx="3730">
                  <c:v>658.487</c:v>
                </c:pt>
                <c:pt idx="3731">
                  <c:v>658.6609999999994</c:v>
                </c:pt>
                <c:pt idx="3732">
                  <c:v>658.8359999999974</c:v>
                </c:pt>
                <c:pt idx="3733">
                  <c:v>659.011</c:v>
                </c:pt>
                <c:pt idx="3734">
                  <c:v>659.183</c:v>
                </c:pt>
                <c:pt idx="3735">
                  <c:v>659.3529999999918</c:v>
                </c:pt>
                <c:pt idx="3736">
                  <c:v>659.5219999999994</c:v>
                </c:pt>
                <c:pt idx="3737">
                  <c:v>659.694</c:v>
                </c:pt>
                <c:pt idx="3738">
                  <c:v>659.8679999999914</c:v>
                </c:pt>
                <c:pt idx="3739">
                  <c:v>660.0419999999979</c:v>
                </c:pt>
                <c:pt idx="3740">
                  <c:v>660.2140000000001</c:v>
                </c:pt>
                <c:pt idx="3741">
                  <c:v>660.3869999999994</c:v>
                </c:pt>
                <c:pt idx="3742">
                  <c:v>660.5579999999974</c:v>
                </c:pt>
                <c:pt idx="3743">
                  <c:v>660.7279999999994</c:v>
                </c:pt>
                <c:pt idx="3744">
                  <c:v>660.9009999999994</c:v>
                </c:pt>
                <c:pt idx="3745">
                  <c:v>661.074</c:v>
                </c:pt>
                <c:pt idx="3746">
                  <c:v>661.247</c:v>
                </c:pt>
                <c:pt idx="3747">
                  <c:v>661.42</c:v>
                </c:pt>
                <c:pt idx="3748">
                  <c:v>661.593</c:v>
                </c:pt>
                <c:pt idx="3749">
                  <c:v>661.768</c:v>
                </c:pt>
                <c:pt idx="3750">
                  <c:v>661.9399999999994</c:v>
                </c:pt>
                <c:pt idx="3751">
                  <c:v>662.115</c:v>
                </c:pt>
                <c:pt idx="3752">
                  <c:v>662.289</c:v>
                </c:pt>
                <c:pt idx="3753">
                  <c:v>662.4609999999974</c:v>
                </c:pt>
                <c:pt idx="3754">
                  <c:v>662.633</c:v>
                </c:pt>
                <c:pt idx="3755">
                  <c:v>662.8059999999994</c:v>
                </c:pt>
                <c:pt idx="3756">
                  <c:v>662.977</c:v>
                </c:pt>
                <c:pt idx="3757">
                  <c:v>663.145</c:v>
                </c:pt>
                <c:pt idx="3758">
                  <c:v>663.3159999999979</c:v>
                </c:pt>
                <c:pt idx="3759">
                  <c:v>663.485</c:v>
                </c:pt>
                <c:pt idx="3760">
                  <c:v>663.653</c:v>
                </c:pt>
                <c:pt idx="3761">
                  <c:v>663.8219999999974</c:v>
                </c:pt>
                <c:pt idx="3762">
                  <c:v>663.99</c:v>
                </c:pt>
                <c:pt idx="3763">
                  <c:v>664.158</c:v>
                </c:pt>
                <c:pt idx="3764">
                  <c:v>664.3299999999994</c:v>
                </c:pt>
                <c:pt idx="3765">
                  <c:v>664.499</c:v>
                </c:pt>
                <c:pt idx="3766">
                  <c:v>664.669</c:v>
                </c:pt>
                <c:pt idx="3767">
                  <c:v>664.8379999999925</c:v>
                </c:pt>
                <c:pt idx="3768">
                  <c:v>665.008</c:v>
                </c:pt>
                <c:pt idx="3769">
                  <c:v>665.182</c:v>
                </c:pt>
                <c:pt idx="3770">
                  <c:v>665.3529999999918</c:v>
                </c:pt>
                <c:pt idx="3771">
                  <c:v>665.524</c:v>
                </c:pt>
                <c:pt idx="3772">
                  <c:v>665.697</c:v>
                </c:pt>
                <c:pt idx="3773">
                  <c:v>665.8679999999914</c:v>
                </c:pt>
                <c:pt idx="3774">
                  <c:v>666.038</c:v>
                </c:pt>
                <c:pt idx="3775">
                  <c:v>666.21</c:v>
                </c:pt>
                <c:pt idx="3776">
                  <c:v>666.3819999999994</c:v>
                </c:pt>
                <c:pt idx="3777">
                  <c:v>666.5519999999979</c:v>
                </c:pt>
                <c:pt idx="3778">
                  <c:v>666.722</c:v>
                </c:pt>
                <c:pt idx="3779">
                  <c:v>666.889</c:v>
                </c:pt>
                <c:pt idx="3780">
                  <c:v>667.0579999999974</c:v>
                </c:pt>
                <c:pt idx="3781">
                  <c:v>667.229</c:v>
                </c:pt>
                <c:pt idx="3782">
                  <c:v>667.399</c:v>
                </c:pt>
                <c:pt idx="3783">
                  <c:v>667.57</c:v>
                </c:pt>
                <c:pt idx="3784">
                  <c:v>667.74</c:v>
                </c:pt>
                <c:pt idx="3785">
                  <c:v>667.909</c:v>
                </c:pt>
                <c:pt idx="3786">
                  <c:v>668.078</c:v>
                </c:pt>
                <c:pt idx="3787">
                  <c:v>668.251</c:v>
                </c:pt>
                <c:pt idx="3788">
                  <c:v>668.424</c:v>
                </c:pt>
                <c:pt idx="3789">
                  <c:v>668.597</c:v>
                </c:pt>
                <c:pt idx="3790">
                  <c:v>668.768</c:v>
                </c:pt>
                <c:pt idx="3791">
                  <c:v>668.939</c:v>
                </c:pt>
                <c:pt idx="3792">
                  <c:v>669.1079999999994</c:v>
                </c:pt>
                <c:pt idx="3793">
                  <c:v>669.277</c:v>
                </c:pt>
                <c:pt idx="3794">
                  <c:v>669.449</c:v>
                </c:pt>
                <c:pt idx="3795">
                  <c:v>669.617</c:v>
                </c:pt>
                <c:pt idx="3796">
                  <c:v>669.784</c:v>
                </c:pt>
                <c:pt idx="3797">
                  <c:v>669.9539999999994</c:v>
                </c:pt>
                <c:pt idx="3798">
                  <c:v>670.122</c:v>
                </c:pt>
                <c:pt idx="3799">
                  <c:v>670.294</c:v>
                </c:pt>
                <c:pt idx="3800">
                  <c:v>670.4649999999979</c:v>
                </c:pt>
                <c:pt idx="3801">
                  <c:v>670.634</c:v>
                </c:pt>
                <c:pt idx="3802">
                  <c:v>670.8019999999979</c:v>
                </c:pt>
                <c:pt idx="3803">
                  <c:v>670.97</c:v>
                </c:pt>
                <c:pt idx="3804">
                  <c:v>671.13</c:v>
                </c:pt>
                <c:pt idx="3805">
                  <c:v>671.291</c:v>
                </c:pt>
                <c:pt idx="3806">
                  <c:v>671.4519999999974</c:v>
                </c:pt>
                <c:pt idx="3807">
                  <c:v>671.611</c:v>
                </c:pt>
                <c:pt idx="3808">
                  <c:v>671.769</c:v>
                </c:pt>
                <c:pt idx="3809">
                  <c:v>671.9299999999994</c:v>
                </c:pt>
                <c:pt idx="3810">
                  <c:v>672.0890000000001</c:v>
                </c:pt>
                <c:pt idx="3811">
                  <c:v>672.246</c:v>
                </c:pt>
                <c:pt idx="3812">
                  <c:v>672.404</c:v>
                </c:pt>
                <c:pt idx="3813">
                  <c:v>672.5609999999979</c:v>
                </c:pt>
                <c:pt idx="3814">
                  <c:v>672.721</c:v>
                </c:pt>
                <c:pt idx="3815">
                  <c:v>672.8819999999994</c:v>
                </c:pt>
                <c:pt idx="3816">
                  <c:v>673.043</c:v>
                </c:pt>
                <c:pt idx="3817">
                  <c:v>673.202</c:v>
                </c:pt>
                <c:pt idx="3818">
                  <c:v>673.3630000000001</c:v>
                </c:pt>
                <c:pt idx="3819">
                  <c:v>673.5219999999994</c:v>
                </c:pt>
                <c:pt idx="3820">
                  <c:v>673.679</c:v>
                </c:pt>
                <c:pt idx="3821">
                  <c:v>673.8359999999974</c:v>
                </c:pt>
                <c:pt idx="3822">
                  <c:v>673.992</c:v>
                </c:pt>
                <c:pt idx="3823">
                  <c:v>674.148</c:v>
                </c:pt>
                <c:pt idx="3824">
                  <c:v>674.3049999999994</c:v>
                </c:pt>
                <c:pt idx="3825">
                  <c:v>674.4640000000001</c:v>
                </c:pt>
                <c:pt idx="3826">
                  <c:v>674.624</c:v>
                </c:pt>
                <c:pt idx="3827">
                  <c:v>674.783</c:v>
                </c:pt>
                <c:pt idx="3828">
                  <c:v>674.9399999999994</c:v>
                </c:pt>
                <c:pt idx="3829">
                  <c:v>675.098</c:v>
                </c:pt>
                <c:pt idx="3830">
                  <c:v>675.259</c:v>
                </c:pt>
                <c:pt idx="3831">
                  <c:v>675.419</c:v>
                </c:pt>
                <c:pt idx="3832">
                  <c:v>675.579</c:v>
                </c:pt>
                <c:pt idx="3833">
                  <c:v>675.74</c:v>
                </c:pt>
                <c:pt idx="3834">
                  <c:v>675.904</c:v>
                </c:pt>
                <c:pt idx="3835">
                  <c:v>676.0679999999974</c:v>
                </c:pt>
                <c:pt idx="3836">
                  <c:v>676.231</c:v>
                </c:pt>
                <c:pt idx="3837">
                  <c:v>676.391</c:v>
                </c:pt>
                <c:pt idx="3838">
                  <c:v>676.5509999999994</c:v>
                </c:pt>
                <c:pt idx="3839">
                  <c:v>676.709</c:v>
                </c:pt>
                <c:pt idx="3840">
                  <c:v>676.8659999999974</c:v>
                </c:pt>
                <c:pt idx="3841">
                  <c:v>677.024</c:v>
                </c:pt>
                <c:pt idx="3842">
                  <c:v>677.183</c:v>
                </c:pt>
                <c:pt idx="3843">
                  <c:v>677.3399999999979</c:v>
                </c:pt>
                <c:pt idx="3844">
                  <c:v>677.499</c:v>
                </c:pt>
                <c:pt idx="3845">
                  <c:v>677.66</c:v>
                </c:pt>
                <c:pt idx="3846">
                  <c:v>677.819</c:v>
                </c:pt>
                <c:pt idx="3847">
                  <c:v>677.977</c:v>
                </c:pt>
                <c:pt idx="3848">
                  <c:v>678.136</c:v>
                </c:pt>
                <c:pt idx="3849">
                  <c:v>678.293</c:v>
                </c:pt>
                <c:pt idx="3850">
                  <c:v>678.4499999999994</c:v>
                </c:pt>
                <c:pt idx="3851">
                  <c:v>678.611</c:v>
                </c:pt>
                <c:pt idx="3852">
                  <c:v>678.771</c:v>
                </c:pt>
                <c:pt idx="3853">
                  <c:v>678.9299999999994</c:v>
                </c:pt>
                <c:pt idx="3854">
                  <c:v>679.087</c:v>
                </c:pt>
                <c:pt idx="3855">
                  <c:v>679.245</c:v>
                </c:pt>
                <c:pt idx="3856">
                  <c:v>679.4059999999994</c:v>
                </c:pt>
                <c:pt idx="3857">
                  <c:v>679.5659999999979</c:v>
                </c:pt>
                <c:pt idx="3858">
                  <c:v>679.7279999999994</c:v>
                </c:pt>
                <c:pt idx="3859">
                  <c:v>679.889</c:v>
                </c:pt>
                <c:pt idx="3860">
                  <c:v>680.048</c:v>
                </c:pt>
                <c:pt idx="3861">
                  <c:v>680.206</c:v>
                </c:pt>
                <c:pt idx="3862">
                  <c:v>680.3639999999979</c:v>
                </c:pt>
                <c:pt idx="3863">
                  <c:v>680.5219999999994</c:v>
                </c:pt>
                <c:pt idx="3864">
                  <c:v>680.679</c:v>
                </c:pt>
                <c:pt idx="3865">
                  <c:v>680.8339999999994</c:v>
                </c:pt>
                <c:pt idx="3866">
                  <c:v>680.987</c:v>
                </c:pt>
                <c:pt idx="3867">
                  <c:v>681.1419999999994</c:v>
                </c:pt>
                <c:pt idx="3868">
                  <c:v>681.3</c:v>
                </c:pt>
                <c:pt idx="3869">
                  <c:v>681.4569999999974</c:v>
                </c:pt>
                <c:pt idx="3870">
                  <c:v>681.617</c:v>
                </c:pt>
                <c:pt idx="3871">
                  <c:v>681.778</c:v>
                </c:pt>
                <c:pt idx="3872">
                  <c:v>681.9379999999974</c:v>
                </c:pt>
                <c:pt idx="3873">
                  <c:v>682.096</c:v>
                </c:pt>
                <c:pt idx="3874">
                  <c:v>682.253</c:v>
                </c:pt>
                <c:pt idx="3875">
                  <c:v>682.41</c:v>
                </c:pt>
                <c:pt idx="3876">
                  <c:v>682.5669999999974</c:v>
                </c:pt>
                <c:pt idx="3877">
                  <c:v>682.72</c:v>
                </c:pt>
                <c:pt idx="3878">
                  <c:v>682.874</c:v>
                </c:pt>
                <c:pt idx="3879">
                  <c:v>683.03</c:v>
                </c:pt>
                <c:pt idx="3880">
                  <c:v>683.187</c:v>
                </c:pt>
                <c:pt idx="3881">
                  <c:v>683.3469999999974</c:v>
                </c:pt>
                <c:pt idx="3882">
                  <c:v>683.509</c:v>
                </c:pt>
                <c:pt idx="3883">
                  <c:v>683.671</c:v>
                </c:pt>
                <c:pt idx="3884">
                  <c:v>683.8329999999974</c:v>
                </c:pt>
                <c:pt idx="3885">
                  <c:v>683.994</c:v>
                </c:pt>
                <c:pt idx="3886">
                  <c:v>684.1519999999994</c:v>
                </c:pt>
                <c:pt idx="3887">
                  <c:v>684.3099999999994</c:v>
                </c:pt>
                <c:pt idx="3888">
                  <c:v>684.4669999999974</c:v>
                </c:pt>
                <c:pt idx="3889">
                  <c:v>684.625</c:v>
                </c:pt>
                <c:pt idx="3890">
                  <c:v>684.784</c:v>
                </c:pt>
                <c:pt idx="3891">
                  <c:v>684.9399999999994</c:v>
                </c:pt>
                <c:pt idx="3892">
                  <c:v>685.097</c:v>
                </c:pt>
                <c:pt idx="3893">
                  <c:v>685.254</c:v>
                </c:pt>
                <c:pt idx="3894">
                  <c:v>685.4109999999994</c:v>
                </c:pt>
                <c:pt idx="3895">
                  <c:v>685.57</c:v>
                </c:pt>
                <c:pt idx="3896">
                  <c:v>685.73</c:v>
                </c:pt>
                <c:pt idx="3897">
                  <c:v>685.891</c:v>
                </c:pt>
                <c:pt idx="3898">
                  <c:v>686.049</c:v>
                </c:pt>
                <c:pt idx="3899">
                  <c:v>686.208</c:v>
                </c:pt>
                <c:pt idx="3900">
                  <c:v>686.3689999999979</c:v>
                </c:pt>
                <c:pt idx="3901">
                  <c:v>686.5309999999994</c:v>
                </c:pt>
                <c:pt idx="3902">
                  <c:v>686.692</c:v>
                </c:pt>
                <c:pt idx="3903">
                  <c:v>686.8549999999979</c:v>
                </c:pt>
                <c:pt idx="3904">
                  <c:v>687.016</c:v>
                </c:pt>
                <c:pt idx="3905">
                  <c:v>687.175</c:v>
                </c:pt>
                <c:pt idx="3906">
                  <c:v>687.3339999999994</c:v>
                </c:pt>
                <c:pt idx="3907">
                  <c:v>687.491</c:v>
                </c:pt>
                <c:pt idx="3908">
                  <c:v>687.6469999999994</c:v>
                </c:pt>
                <c:pt idx="3909">
                  <c:v>687.8069999999979</c:v>
                </c:pt>
                <c:pt idx="3910">
                  <c:v>687.9669999999974</c:v>
                </c:pt>
                <c:pt idx="3911">
                  <c:v>688.126</c:v>
                </c:pt>
                <c:pt idx="3912">
                  <c:v>688.285</c:v>
                </c:pt>
                <c:pt idx="3913">
                  <c:v>688.444</c:v>
                </c:pt>
                <c:pt idx="3914">
                  <c:v>688.604</c:v>
                </c:pt>
                <c:pt idx="3915">
                  <c:v>688.764</c:v>
                </c:pt>
                <c:pt idx="3916">
                  <c:v>688.9249999999994</c:v>
                </c:pt>
                <c:pt idx="3917">
                  <c:v>689.088</c:v>
                </c:pt>
                <c:pt idx="3918">
                  <c:v>689.251</c:v>
                </c:pt>
                <c:pt idx="3919">
                  <c:v>689.4119999999979</c:v>
                </c:pt>
                <c:pt idx="3920">
                  <c:v>689.575</c:v>
                </c:pt>
                <c:pt idx="3921">
                  <c:v>689.735</c:v>
                </c:pt>
                <c:pt idx="3922">
                  <c:v>689.8969999999994</c:v>
                </c:pt>
                <c:pt idx="3923">
                  <c:v>690.059</c:v>
                </c:pt>
                <c:pt idx="3924">
                  <c:v>690.22</c:v>
                </c:pt>
                <c:pt idx="3925">
                  <c:v>690.3819999999994</c:v>
                </c:pt>
                <c:pt idx="3926">
                  <c:v>690.544</c:v>
                </c:pt>
                <c:pt idx="3927">
                  <c:v>690.704</c:v>
                </c:pt>
                <c:pt idx="3928">
                  <c:v>690.8630000000001</c:v>
                </c:pt>
                <c:pt idx="3929">
                  <c:v>691.021</c:v>
                </c:pt>
                <c:pt idx="3930">
                  <c:v>691.179</c:v>
                </c:pt>
                <c:pt idx="3931">
                  <c:v>691.3369999999974</c:v>
                </c:pt>
                <c:pt idx="3932">
                  <c:v>691.496</c:v>
                </c:pt>
                <c:pt idx="3933">
                  <c:v>691.654</c:v>
                </c:pt>
                <c:pt idx="3934">
                  <c:v>691.8099999999994</c:v>
                </c:pt>
                <c:pt idx="3935">
                  <c:v>691.9649999999979</c:v>
                </c:pt>
                <c:pt idx="3936">
                  <c:v>692.12</c:v>
                </c:pt>
                <c:pt idx="3937">
                  <c:v>692.276</c:v>
                </c:pt>
                <c:pt idx="3938">
                  <c:v>692.4359999999979</c:v>
                </c:pt>
                <c:pt idx="3939">
                  <c:v>692.598</c:v>
                </c:pt>
                <c:pt idx="3940">
                  <c:v>692.758</c:v>
                </c:pt>
                <c:pt idx="3941">
                  <c:v>692.919</c:v>
                </c:pt>
                <c:pt idx="3942">
                  <c:v>693.077</c:v>
                </c:pt>
                <c:pt idx="3943">
                  <c:v>693.237</c:v>
                </c:pt>
                <c:pt idx="3944">
                  <c:v>693.396</c:v>
                </c:pt>
                <c:pt idx="3945">
                  <c:v>693.5549999999994</c:v>
                </c:pt>
                <c:pt idx="3946">
                  <c:v>693.715</c:v>
                </c:pt>
                <c:pt idx="3947">
                  <c:v>693.871</c:v>
                </c:pt>
                <c:pt idx="3948">
                  <c:v>694.024</c:v>
                </c:pt>
                <c:pt idx="3949">
                  <c:v>694.178</c:v>
                </c:pt>
                <c:pt idx="3950">
                  <c:v>694.3349999999979</c:v>
                </c:pt>
                <c:pt idx="3951">
                  <c:v>694.493</c:v>
                </c:pt>
                <c:pt idx="3952">
                  <c:v>694.6519999999994</c:v>
                </c:pt>
                <c:pt idx="3953">
                  <c:v>694.8119999999974</c:v>
                </c:pt>
                <c:pt idx="3954">
                  <c:v>694.971</c:v>
                </c:pt>
                <c:pt idx="3955">
                  <c:v>695.1319999999994</c:v>
                </c:pt>
                <c:pt idx="3956">
                  <c:v>695.292</c:v>
                </c:pt>
                <c:pt idx="3957">
                  <c:v>695.4519999999974</c:v>
                </c:pt>
                <c:pt idx="3958">
                  <c:v>695.612</c:v>
                </c:pt>
                <c:pt idx="3959">
                  <c:v>695.774</c:v>
                </c:pt>
                <c:pt idx="3960">
                  <c:v>695.9369999999974</c:v>
                </c:pt>
                <c:pt idx="3961">
                  <c:v>696.1</c:v>
                </c:pt>
                <c:pt idx="3962">
                  <c:v>696.263</c:v>
                </c:pt>
                <c:pt idx="3963">
                  <c:v>696.4249999999994</c:v>
                </c:pt>
                <c:pt idx="3964">
                  <c:v>696.588</c:v>
                </c:pt>
                <c:pt idx="3965">
                  <c:v>696.748</c:v>
                </c:pt>
                <c:pt idx="3966">
                  <c:v>696.9059999999994</c:v>
                </c:pt>
                <c:pt idx="3967">
                  <c:v>697.0619999999974</c:v>
                </c:pt>
                <c:pt idx="3968">
                  <c:v>697.219</c:v>
                </c:pt>
                <c:pt idx="3969">
                  <c:v>697.375</c:v>
                </c:pt>
                <c:pt idx="3970">
                  <c:v>697.533</c:v>
                </c:pt>
                <c:pt idx="3971">
                  <c:v>697.691</c:v>
                </c:pt>
                <c:pt idx="3972">
                  <c:v>697.8469999999974</c:v>
                </c:pt>
                <c:pt idx="3973">
                  <c:v>698.003</c:v>
                </c:pt>
                <c:pt idx="3974">
                  <c:v>698.16</c:v>
                </c:pt>
                <c:pt idx="3975">
                  <c:v>698.3159999999979</c:v>
                </c:pt>
                <c:pt idx="3976">
                  <c:v>698.473</c:v>
                </c:pt>
                <c:pt idx="3977">
                  <c:v>698.6319999999994</c:v>
                </c:pt>
                <c:pt idx="3978">
                  <c:v>698.793</c:v>
                </c:pt>
                <c:pt idx="3979">
                  <c:v>698.9539999999994</c:v>
                </c:pt>
                <c:pt idx="3980">
                  <c:v>699.115</c:v>
                </c:pt>
                <c:pt idx="3981">
                  <c:v>699.275</c:v>
                </c:pt>
                <c:pt idx="3982">
                  <c:v>699.4329999999974</c:v>
                </c:pt>
                <c:pt idx="3983">
                  <c:v>699.591</c:v>
                </c:pt>
                <c:pt idx="3984">
                  <c:v>699.746</c:v>
                </c:pt>
                <c:pt idx="3985">
                  <c:v>699.903</c:v>
                </c:pt>
                <c:pt idx="3986">
                  <c:v>700.0599999999994</c:v>
                </c:pt>
                <c:pt idx="3987">
                  <c:v>700.219</c:v>
                </c:pt>
                <c:pt idx="3988">
                  <c:v>700.379</c:v>
                </c:pt>
                <c:pt idx="3989">
                  <c:v>700.539</c:v>
                </c:pt>
                <c:pt idx="3990">
                  <c:v>700.701</c:v>
                </c:pt>
                <c:pt idx="3991">
                  <c:v>700.8609999999974</c:v>
                </c:pt>
                <c:pt idx="3992">
                  <c:v>701.0219999999994</c:v>
                </c:pt>
                <c:pt idx="3993">
                  <c:v>701.184</c:v>
                </c:pt>
                <c:pt idx="3994">
                  <c:v>701.3459999999974</c:v>
                </c:pt>
                <c:pt idx="3995">
                  <c:v>701.5069999999994</c:v>
                </c:pt>
                <c:pt idx="3996">
                  <c:v>701.671</c:v>
                </c:pt>
                <c:pt idx="3997">
                  <c:v>701.8349999999979</c:v>
                </c:pt>
                <c:pt idx="3998">
                  <c:v>701.999</c:v>
                </c:pt>
                <c:pt idx="3999">
                  <c:v>702.16</c:v>
                </c:pt>
                <c:pt idx="4000">
                  <c:v>702.3199999999994</c:v>
                </c:pt>
                <c:pt idx="4001">
                  <c:v>702.477</c:v>
                </c:pt>
                <c:pt idx="4002">
                  <c:v>702.636</c:v>
                </c:pt>
                <c:pt idx="4003">
                  <c:v>702.797</c:v>
                </c:pt>
                <c:pt idx="4004">
                  <c:v>702.9569999999974</c:v>
                </c:pt>
                <c:pt idx="4005">
                  <c:v>703.116</c:v>
                </c:pt>
                <c:pt idx="4006">
                  <c:v>703.277</c:v>
                </c:pt>
                <c:pt idx="4007">
                  <c:v>703.4369999999974</c:v>
                </c:pt>
                <c:pt idx="4008">
                  <c:v>703.596</c:v>
                </c:pt>
                <c:pt idx="4009">
                  <c:v>703.756</c:v>
                </c:pt>
                <c:pt idx="4010">
                  <c:v>703.914</c:v>
                </c:pt>
                <c:pt idx="4011">
                  <c:v>704.074</c:v>
                </c:pt>
                <c:pt idx="4012">
                  <c:v>704.236</c:v>
                </c:pt>
                <c:pt idx="4013">
                  <c:v>704.394</c:v>
                </c:pt>
                <c:pt idx="4014">
                  <c:v>704.554</c:v>
                </c:pt>
                <c:pt idx="4015">
                  <c:v>704.7140000000001</c:v>
                </c:pt>
                <c:pt idx="4016">
                  <c:v>704.875</c:v>
                </c:pt>
                <c:pt idx="4017">
                  <c:v>705.0369999999979</c:v>
                </c:pt>
                <c:pt idx="4018">
                  <c:v>705.197</c:v>
                </c:pt>
                <c:pt idx="4019">
                  <c:v>705.3559999999974</c:v>
                </c:pt>
                <c:pt idx="4020">
                  <c:v>705.514</c:v>
                </c:pt>
                <c:pt idx="4021">
                  <c:v>705.673</c:v>
                </c:pt>
                <c:pt idx="4022">
                  <c:v>705.8309999999979</c:v>
                </c:pt>
                <c:pt idx="4023">
                  <c:v>705.991</c:v>
                </c:pt>
                <c:pt idx="4024">
                  <c:v>706.15</c:v>
                </c:pt>
                <c:pt idx="4025">
                  <c:v>706.3099999999994</c:v>
                </c:pt>
                <c:pt idx="4026">
                  <c:v>706.4689999999994</c:v>
                </c:pt>
                <c:pt idx="4027">
                  <c:v>706.629</c:v>
                </c:pt>
                <c:pt idx="4028">
                  <c:v>706.79</c:v>
                </c:pt>
                <c:pt idx="4029">
                  <c:v>706.9459999999979</c:v>
                </c:pt>
                <c:pt idx="4030">
                  <c:v>707.101</c:v>
                </c:pt>
                <c:pt idx="4031">
                  <c:v>707.258</c:v>
                </c:pt>
                <c:pt idx="4032">
                  <c:v>707.418</c:v>
                </c:pt>
                <c:pt idx="4033">
                  <c:v>707.577</c:v>
                </c:pt>
                <c:pt idx="4034">
                  <c:v>707.735</c:v>
                </c:pt>
                <c:pt idx="4035">
                  <c:v>707.8869999999994</c:v>
                </c:pt>
                <c:pt idx="4036">
                  <c:v>708.034</c:v>
                </c:pt>
                <c:pt idx="4037">
                  <c:v>708.184</c:v>
                </c:pt>
                <c:pt idx="4038">
                  <c:v>708.3379999999925</c:v>
                </c:pt>
                <c:pt idx="4039">
                  <c:v>708.494</c:v>
                </c:pt>
                <c:pt idx="4040">
                  <c:v>708.65</c:v>
                </c:pt>
                <c:pt idx="4041">
                  <c:v>708.803</c:v>
                </c:pt>
                <c:pt idx="4042">
                  <c:v>708.9569999999974</c:v>
                </c:pt>
                <c:pt idx="4043">
                  <c:v>709.111</c:v>
                </c:pt>
                <c:pt idx="4044">
                  <c:v>709.265</c:v>
                </c:pt>
                <c:pt idx="4045">
                  <c:v>709.4219999999979</c:v>
                </c:pt>
                <c:pt idx="4046">
                  <c:v>709.581</c:v>
                </c:pt>
                <c:pt idx="4047">
                  <c:v>709.739</c:v>
                </c:pt>
                <c:pt idx="4048">
                  <c:v>709.899</c:v>
                </c:pt>
                <c:pt idx="4049">
                  <c:v>710.0599999999994</c:v>
                </c:pt>
                <c:pt idx="4050">
                  <c:v>710.218</c:v>
                </c:pt>
                <c:pt idx="4051">
                  <c:v>710.3769999999994</c:v>
                </c:pt>
                <c:pt idx="4052">
                  <c:v>710.54</c:v>
                </c:pt>
                <c:pt idx="4053">
                  <c:v>710.704</c:v>
                </c:pt>
                <c:pt idx="4054">
                  <c:v>710.8689999999979</c:v>
                </c:pt>
                <c:pt idx="4055">
                  <c:v>711.0319999999994</c:v>
                </c:pt>
                <c:pt idx="4056">
                  <c:v>711.196</c:v>
                </c:pt>
                <c:pt idx="4057">
                  <c:v>711.3569999999974</c:v>
                </c:pt>
                <c:pt idx="4058">
                  <c:v>711.5169999999994</c:v>
                </c:pt>
                <c:pt idx="4059">
                  <c:v>711.679</c:v>
                </c:pt>
                <c:pt idx="4060">
                  <c:v>711.8390000000001</c:v>
                </c:pt>
                <c:pt idx="4061">
                  <c:v>711.997</c:v>
                </c:pt>
                <c:pt idx="4062">
                  <c:v>712.153</c:v>
                </c:pt>
                <c:pt idx="4063">
                  <c:v>712.3109999999979</c:v>
                </c:pt>
                <c:pt idx="4064">
                  <c:v>712.47</c:v>
                </c:pt>
                <c:pt idx="4065">
                  <c:v>712.624</c:v>
                </c:pt>
                <c:pt idx="4066">
                  <c:v>712.78</c:v>
                </c:pt>
                <c:pt idx="4067">
                  <c:v>712.9359999999979</c:v>
                </c:pt>
                <c:pt idx="4068">
                  <c:v>713.093</c:v>
                </c:pt>
                <c:pt idx="4069">
                  <c:v>713.254</c:v>
                </c:pt>
                <c:pt idx="4070">
                  <c:v>713.413</c:v>
                </c:pt>
                <c:pt idx="4071">
                  <c:v>713.573</c:v>
                </c:pt>
                <c:pt idx="4072">
                  <c:v>713.732</c:v>
                </c:pt>
                <c:pt idx="4073">
                  <c:v>713.889</c:v>
                </c:pt>
                <c:pt idx="4074">
                  <c:v>714.05</c:v>
                </c:pt>
                <c:pt idx="4075">
                  <c:v>714.2140000000001</c:v>
                </c:pt>
                <c:pt idx="4076">
                  <c:v>714.38</c:v>
                </c:pt>
                <c:pt idx="4077">
                  <c:v>714.5469999999979</c:v>
                </c:pt>
                <c:pt idx="4078">
                  <c:v>714.712</c:v>
                </c:pt>
                <c:pt idx="4079">
                  <c:v>714.876</c:v>
                </c:pt>
                <c:pt idx="4080">
                  <c:v>715.0369999999979</c:v>
                </c:pt>
                <c:pt idx="4081">
                  <c:v>715.199</c:v>
                </c:pt>
                <c:pt idx="4082">
                  <c:v>715.3569999999974</c:v>
                </c:pt>
                <c:pt idx="4083">
                  <c:v>715.511</c:v>
                </c:pt>
                <c:pt idx="4084">
                  <c:v>715.6659999999994</c:v>
                </c:pt>
                <c:pt idx="4085">
                  <c:v>715.8229999999974</c:v>
                </c:pt>
                <c:pt idx="4086">
                  <c:v>715.982</c:v>
                </c:pt>
                <c:pt idx="4087">
                  <c:v>716.14</c:v>
                </c:pt>
                <c:pt idx="4088">
                  <c:v>716.296</c:v>
                </c:pt>
                <c:pt idx="4089">
                  <c:v>716.4549999999994</c:v>
                </c:pt>
                <c:pt idx="4090">
                  <c:v>716.619</c:v>
                </c:pt>
                <c:pt idx="4091">
                  <c:v>716.782</c:v>
                </c:pt>
                <c:pt idx="4092">
                  <c:v>716.9459999999979</c:v>
                </c:pt>
                <c:pt idx="4093">
                  <c:v>717.105</c:v>
                </c:pt>
                <c:pt idx="4094">
                  <c:v>717.264</c:v>
                </c:pt>
                <c:pt idx="4095">
                  <c:v>717.4219999999979</c:v>
                </c:pt>
                <c:pt idx="4096">
                  <c:v>717.58</c:v>
                </c:pt>
                <c:pt idx="4097">
                  <c:v>717.739</c:v>
                </c:pt>
                <c:pt idx="4098">
                  <c:v>717.898</c:v>
                </c:pt>
                <c:pt idx="4099">
                  <c:v>718.059</c:v>
                </c:pt>
                <c:pt idx="4100">
                  <c:v>718.2279999999994</c:v>
                </c:pt>
                <c:pt idx="4101">
                  <c:v>718.4069999999994</c:v>
                </c:pt>
                <c:pt idx="4102">
                  <c:v>718.585</c:v>
                </c:pt>
                <c:pt idx="4103">
                  <c:v>718.765</c:v>
                </c:pt>
                <c:pt idx="4104">
                  <c:v>718.9429999999974</c:v>
                </c:pt>
                <c:pt idx="4105">
                  <c:v>719.125</c:v>
                </c:pt>
                <c:pt idx="4106">
                  <c:v>719.3109999999979</c:v>
                </c:pt>
                <c:pt idx="4107">
                  <c:v>719.494</c:v>
                </c:pt>
                <c:pt idx="4108">
                  <c:v>719.677</c:v>
                </c:pt>
                <c:pt idx="4109">
                  <c:v>719.8589999999994</c:v>
                </c:pt>
                <c:pt idx="4110">
                  <c:v>720.039</c:v>
                </c:pt>
                <c:pt idx="4111">
                  <c:v>720.218</c:v>
                </c:pt>
                <c:pt idx="4112">
                  <c:v>720.399</c:v>
                </c:pt>
                <c:pt idx="4113">
                  <c:v>720.582</c:v>
                </c:pt>
                <c:pt idx="4114">
                  <c:v>720.7669999999994</c:v>
                </c:pt>
                <c:pt idx="4115">
                  <c:v>720.9539999999994</c:v>
                </c:pt>
                <c:pt idx="4116">
                  <c:v>721.139</c:v>
                </c:pt>
                <c:pt idx="4117">
                  <c:v>721.3219999999974</c:v>
                </c:pt>
                <c:pt idx="4118">
                  <c:v>721.505</c:v>
                </c:pt>
                <c:pt idx="4119">
                  <c:v>721.692</c:v>
                </c:pt>
                <c:pt idx="4120">
                  <c:v>721.881</c:v>
                </c:pt>
                <c:pt idx="4121">
                  <c:v>722.0659999999979</c:v>
                </c:pt>
                <c:pt idx="4122">
                  <c:v>722.249</c:v>
                </c:pt>
                <c:pt idx="4123">
                  <c:v>722.4249999999994</c:v>
                </c:pt>
                <c:pt idx="4124">
                  <c:v>722.604</c:v>
                </c:pt>
                <c:pt idx="4125">
                  <c:v>722.784</c:v>
                </c:pt>
                <c:pt idx="4126">
                  <c:v>722.9599999999979</c:v>
                </c:pt>
                <c:pt idx="4127">
                  <c:v>723.1369999999994</c:v>
                </c:pt>
                <c:pt idx="4128">
                  <c:v>723.3149999999994</c:v>
                </c:pt>
                <c:pt idx="4129">
                  <c:v>723.496</c:v>
                </c:pt>
                <c:pt idx="4130">
                  <c:v>723.677</c:v>
                </c:pt>
                <c:pt idx="4131">
                  <c:v>723.8579999999816</c:v>
                </c:pt>
                <c:pt idx="4132">
                  <c:v>724.04</c:v>
                </c:pt>
                <c:pt idx="4133">
                  <c:v>724.217</c:v>
                </c:pt>
                <c:pt idx="4134">
                  <c:v>724.395</c:v>
                </c:pt>
                <c:pt idx="4135">
                  <c:v>724.574</c:v>
                </c:pt>
                <c:pt idx="4136">
                  <c:v>724.759</c:v>
                </c:pt>
                <c:pt idx="4137">
                  <c:v>724.9429999999974</c:v>
                </c:pt>
                <c:pt idx="4138">
                  <c:v>725.125</c:v>
                </c:pt>
                <c:pt idx="4139">
                  <c:v>725.304</c:v>
                </c:pt>
                <c:pt idx="4140">
                  <c:v>725.487</c:v>
                </c:pt>
                <c:pt idx="4141">
                  <c:v>725.678</c:v>
                </c:pt>
                <c:pt idx="4142">
                  <c:v>725.871</c:v>
                </c:pt>
                <c:pt idx="4143">
                  <c:v>726.064</c:v>
                </c:pt>
                <c:pt idx="4144">
                  <c:v>726.2519999999994</c:v>
                </c:pt>
                <c:pt idx="4145">
                  <c:v>726.444</c:v>
                </c:pt>
                <c:pt idx="4146">
                  <c:v>726.6369999999994</c:v>
                </c:pt>
                <c:pt idx="4147">
                  <c:v>726.8249999999994</c:v>
                </c:pt>
                <c:pt idx="4148">
                  <c:v>727.009</c:v>
                </c:pt>
                <c:pt idx="4149">
                  <c:v>727.19</c:v>
                </c:pt>
                <c:pt idx="4150">
                  <c:v>727.373</c:v>
                </c:pt>
                <c:pt idx="4151">
                  <c:v>727.559</c:v>
                </c:pt>
                <c:pt idx="4152">
                  <c:v>727.747</c:v>
                </c:pt>
                <c:pt idx="4153">
                  <c:v>727.9319999999979</c:v>
                </c:pt>
                <c:pt idx="4154">
                  <c:v>728.1130000000001</c:v>
                </c:pt>
                <c:pt idx="4155">
                  <c:v>728.297</c:v>
                </c:pt>
                <c:pt idx="4156">
                  <c:v>728.48</c:v>
                </c:pt>
                <c:pt idx="4157">
                  <c:v>728.665</c:v>
                </c:pt>
                <c:pt idx="4158">
                  <c:v>728.8529999999918</c:v>
                </c:pt>
                <c:pt idx="4159">
                  <c:v>729.0409999999994</c:v>
                </c:pt>
                <c:pt idx="4160">
                  <c:v>729.2279999999994</c:v>
                </c:pt>
                <c:pt idx="4161">
                  <c:v>729.414</c:v>
                </c:pt>
                <c:pt idx="4162">
                  <c:v>729.597</c:v>
                </c:pt>
                <c:pt idx="4163">
                  <c:v>729.778</c:v>
                </c:pt>
                <c:pt idx="4164">
                  <c:v>729.9589999999994</c:v>
                </c:pt>
                <c:pt idx="4165">
                  <c:v>730.139</c:v>
                </c:pt>
                <c:pt idx="4166">
                  <c:v>730.3249999999994</c:v>
                </c:pt>
                <c:pt idx="4167">
                  <c:v>730.513</c:v>
                </c:pt>
                <c:pt idx="4168">
                  <c:v>730.699</c:v>
                </c:pt>
                <c:pt idx="4169">
                  <c:v>730.888</c:v>
                </c:pt>
                <c:pt idx="4170">
                  <c:v>731.077</c:v>
                </c:pt>
                <c:pt idx="4171">
                  <c:v>731.2619999999994</c:v>
                </c:pt>
                <c:pt idx="4172">
                  <c:v>731.4469999999974</c:v>
                </c:pt>
                <c:pt idx="4173">
                  <c:v>731.628</c:v>
                </c:pt>
                <c:pt idx="4174">
                  <c:v>731.8079999999974</c:v>
                </c:pt>
                <c:pt idx="4175">
                  <c:v>731.985</c:v>
                </c:pt>
                <c:pt idx="4176">
                  <c:v>732.1609999999994</c:v>
                </c:pt>
                <c:pt idx="4177">
                  <c:v>732.3419999999974</c:v>
                </c:pt>
                <c:pt idx="4178">
                  <c:v>732.525</c:v>
                </c:pt>
                <c:pt idx="4179">
                  <c:v>732.706</c:v>
                </c:pt>
                <c:pt idx="4180">
                  <c:v>732.89</c:v>
                </c:pt>
                <c:pt idx="4181">
                  <c:v>733.076</c:v>
                </c:pt>
                <c:pt idx="4182">
                  <c:v>733.263</c:v>
                </c:pt>
                <c:pt idx="4183">
                  <c:v>733.4509999999979</c:v>
                </c:pt>
                <c:pt idx="4184">
                  <c:v>733.639</c:v>
                </c:pt>
                <c:pt idx="4185">
                  <c:v>733.824</c:v>
                </c:pt>
                <c:pt idx="4186">
                  <c:v>734.01</c:v>
                </c:pt>
                <c:pt idx="4187">
                  <c:v>734.194</c:v>
                </c:pt>
                <c:pt idx="4188">
                  <c:v>734.374</c:v>
                </c:pt>
                <c:pt idx="4189">
                  <c:v>734.5559999999994</c:v>
                </c:pt>
                <c:pt idx="4190">
                  <c:v>734.739</c:v>
                </c:pt>
                <c:pt idx="4191">
                  <c:v>734.9249999999994</c:v>
                </c:pt>
                <c:pt idx="4192">
                  <c:v>735.109</c:v>
                </c:pt>
                <c:pt idx="4193">
                  <c:v>735.289</c:v>
                </c:pt>
                <c:pt idx="4194">
                  <c:v>735.4629999999925</c:v>
                </c:pt>
                <c:pt idx="4195">
                  <c:v>735.636</c:v>
                </c:pt>
                <c:pt idx="4196">
                  <c:v>735.8159999999979</c:v>
                </c:pt>
                <c:pt idx="4197">
                  <c:v>736.0</c:v>
                </c:pt>
                <c:pt idx="4198">
                  <c:v>736.183</c:v>
                </c:pt>
                <c:pt idx="4199">
                  <c:v>736.3669999999836</c:v>
                </c:pt>
                <c:pt idx="4200">
                  <c:v>736.5519999999979</c:v>
                </c:pt>
                <c:pt idx="4201">
                  <c:v>736.736</c:v>
                </c:pt>
                <c:pt idx="4202">
                  <c:v>736.919</c:v>
                </c:pt>
                <c:pt idx="4203">
                  <c:v>737.102</c:v>
                </c:pt>
                <c:pt idx="4204">
                  <c:v>737.286</c:v>
                </c:pt>
                <c:pt idx="4205">
                  <c:v>737.4679999999923</c:v>
                </c:pt>
                <c:pt idx="4206">
                  <c:v>737.65</c:v>
                </c:pt>
                <c:pt idx="4207">
                  <c:v>737.8299999999994</c:v>
                </c:pt>
                <c:pt idx="4208">
                  <c:v>738.011</c:v>
                </c:pt>
                <c:pt idx="4209">
                  <c:v>738.192</c:v>
                </c:pt>
                <c:pt idx="4210">
                  <c:v>738.374</c:v>
                </c:pt>
                <c:pt idx="4211">
                  <c:v>738.5569999999979</c:v>
                </c:pt>
                <c:pt idx="4212">
                  <c:v>738.739</c:v>
                </c:pt>
                <c:pt idx="4213">
                  <c:v>738.923</c:v>
                </c:pt>
                <c:pt idx="4214">
                  <c:v>739.104</c:v>
                </c:pt>
                <c:pt idx="4215">
                  <c:v>739.285</c:v>
                </c:pt>
                <c:pt idx="4216">
                  <c:v>739.471</c:v>
                </c:pt>
                <c:pt idx="4217">
                  <c:v>739.658</c:v>
                </c:pt>
                <c:pt idx="4218">
                  <c:v>739.8409999999974</c:v>
                </c:pt>
                <c:pt idx="4219">
                  <c:v>740.0259999999994</c:v>
                </c:pt>
                <c:pt idx="4220">
                  <c:v>740.21</c:v>
                </c:pt>
                <c:pt idx="4221">
                  <c:v>740.3969999999994</c:v>
                </c:pt>
                <c:pt idx="4222">
                  <c:v>740.587</c:v>
                </c:pt>
                <c:pt idx="4223">
                  <c:v>740.774</c:v>
                </c:pt>
                <c:pt idx="4224">
                  <c:v>740.9599999999979</c:v>
                </c:pt>
                <c:pt idx="4225">
                  <c:v>741.143</c:v>
                </c:pt>
                <c:pt idx="4226">
                  <c:v>741.3269999999974</c:v>
                </c:pt>
                <c:pt idx="4227">
                  <c:v>741.51</c:v>
                </c:pt>
                <c:pt idx="4228">
                  <c:v>741.697</c:v>
                </c:pt>
                <c:pt idx="4229">
                  <c:v>741.879</c:v>
                </c:pt>
                <c:pt idx="4230">
                  <c:v>742.0619999999974</c:v>
                </c:pt>
                <c:pt idx="4231">
                  <c:v>742.243</c:v>
                </c:pt>
                <c:pt idx="4232">
                  <c:v>742.429</c:v>
                </c:pt>
                <c:pt idx="4233">
                  <c:v>742.615</c:v>
                </c:pt>
                <c:pt idx="4234">
                  <c:v>742.796</c:v>
                </c:pt>
                <c:pt idx="4235">
                  <c:v>742.9779999999994</c:v>
                </c:pt>
                <c:pt idx="4236">
                  <c:v>743.164</c:v>
                </c:pt>
                <c:pt idx="4237">
                  <c:v>743.3509999999974</c:v>
                </c:pt>
                <c:pt idx="4238">
                  <c:v>743.5419999999979</c:v>
                </c:pt>
                <c:pt idx="4239">
                  <c:v>743.734</c:v>
                </c:pt>
                <c:pt idx="4240">
                  <c:v>743.9219999999979</c:v>
                </c:pt>
                <c:pt idx="4241">
                  <c:v>744.1130000000001</c:v>
                </c:pt>
                <c:pt idx="4242">
                  <c:v>744.3009999999994</c:v>
                </c:pt>
                <c:pt idx="4243">
                  <c:v>744.482</c:v>
                </c:pt>
                <c:pt idx="4244">
                  <c:v>744.663</c:v>
                </c:pt>
                <c:pt idx="4245">
                  <c:v>744.8489999999994</c:v>
                </c:pt>
                <c:pt idx="4246">
                  <c:v>745.04</c:v>
                </c:pt>
                <c:pt idx="4247">
                  <c:v>745.231</c:v>
                </c:pt>
                <c:pt idx="4248">
                  <c:v>745.4209999999994</c:v>
                </c:pt>
                <c:pt idx="4249">
                  <c:v>745.612</c:v>
                </c:pt>
                <c:pt idx="4250">
                  <c:v>745.8</c:v>
                </c:pt>
                <c:pt idx="4251">
                  <c:v>745.984</c:v>
                </c:pt>
                <c:pt idx="4252">
                  <c:v>746.163</c:v>
                </c:pt>
                <c:pt idx="4253">
                  <c:v>746.3429999999923</c:v>
                </c:pt>
                <c:pt idx="4254">
                  <c:v>746.5219999999994</c:v>
                </c:pt>
                <c:pt idx="4255">
                  <c:v>746.701</c:v>
                </c:pt>
                <c:pt idx="4256">
                  <c:v>746.878</c:v>
                </c:pt>
                <c:pt idx="4257">
                  <c:v>747.0599999999994</c:v>
                </c:pt>
                <c:pt idx="4258">
                  <c:v>747.245</c:v>
                </c:pt>
                <c:pt idx="4259">
                  <c:v>747.429</c:v>
                </c:pt>
                <c:pt idx="4260">
                  <c:v>747.617</c:v>
                </c:pt>
                <c:pt idx="4261">
                  <c:v>747.8099999999994</c:v>
                </c:pt>
                <c:pt idx="4262">
                  <c:v>747.997</c:v>
                </c:pt>
                <c:pt idx="4263">
                  <c:v>748.182</c:v>
                </c:pt>
                <c:pt idx="4264">
                  <c:v>748.371</c:v>
                </c:pt>
                <c:pt idx="4265">
                  <c:v>748.5609999999979</c:v>
                </c:pt>
                <c:pt idx="4266">
                  <c:v>748.75</c:v>
                </c:pt>
                <c:pt idx="4267">
                  <c:v>748.9299999999994</c:v>
                </c:pt>
                <c:pt idx="4268">
                  <c:v>749.104</c:v>
                </c:pt>
                <c:pt idx="4269">
                  <c:v>749.282</c:v>
                </c:pt>
                <c:pt idx="4270">
                  <c:v>749.4649999999979</c:v>
                </c:pt>
                <c:pt idx="4271">
                  <c:v>749.65</c:v>
                </c:pt>
                <c:pt idx="4272">
                  <c:v>749.8349999999979</c:v>
                </c:pt>
                <c:pt idx="4273">
                  <c:v>750.023</c:v>
                </c:pt>
                <c:pt idx="4274">
                  <c:v>750.207</c:v>
                </c:pt>
                <c:pt idx="4275">
                  <c:v>750.3869999999994</c:v>
                </c:pt>
                <c:pt idx="4276">
                  <c:v>750.5669999999974</c:v>
                </c:pt>
                <c:pt idx="4277">
                  <c:v>750.745</c:v>
                </c:pt>
                <c:pt idx="4278">
                  <c:v>750.9259999999994</c:v>
                </c:pt>
                <c:pt idx="4279">
                  <c:v>751.109</c:v>
                </c:pt>
                <c:pt idx="4280">
                  <c:v>751.291</c:v>
                </c:pt>
                <c:pt idx="4281">
                  <c:v>751.472</c:v>
                </c:pt>
                <c:pt idx="4282">
                  <c:v>751.654</c:v>
                </c:pt>
                <c:pt idx="4283">
                  <c:v>751.8369999999974</c:v>
                </c:pt>
                <c:pt idx="4284">
                  <c:v>752.023</c:v>
                </c:pt>
                <c:pt idx="4285">
                  <c:v>752.21</c:v>
                </c:pt>
                <c:pt idx="4286">
                  <c:v>752.394</c:v>
                </c:pt>
                <c:pt idx="4287">
                  <c:v>752.573</c:v>
                </c:pt>
                <c:pt idx="4288">
                  <c:v>752.745</c:v>
                </c:pt>
                <c:pt idx="4289">
                  <c:v>752.9219999999979</c:v>
                </c:pt>
                <c:pt idx="4290">
                  <c:v>753.109</c:v>
                </c:pt>
                <c:pt idx="4291">
                  <c:v>753.3</c:v>
                </c:pt>
                <c:pt idx="4292">
                  <c:v>753.489</c:v>
                </c:pt>
                <c:pt idx="4293">
                  <c:v>753.676</c:v>
                </c:pt>
                <c:pt idx="4294">
                  <c:v>753.8579999999816</c:v>
                </c:pt>
                <c:pt idx="4295">
                  <c:v>754.0409999999994</c:v>
                </c:pt>
                <c:pt idx="4296">
                  <c:v>754.222</c:v>
                </c:pt>
                <c:pt idx="4297">
                  <c:v>754.4069999999994</c:v>
                </c:pt>
                <c:pt idx="4298">
                  <c:v>754.596</c:v>
                </c:pt>
                <c:pt idx="4299">
                  <c:v>754.782</c:v>
                </c:pt>
                <c:pt idx="4300">
                  <c:v>754.9689999999994</c:v>
                </c:pt>
                <c:pt idx="4301">
                  <c:v>755.155</c:v>
                </c:pt>
                <c:pt idx="4302">
                  <c:v>755.3419999999974</c:v>
                </c:pt>
                <c:pt idx="4303">
                  <c:v>755.529</c:v>
                </c:pt>
                <c:pt idx="4304">
                  <c:v>755.7140000000001</c:v>
                </c:pt>
                <c:pt idx="4305">
                  <c:v>755.9019999999994</c:v>
                </c:pt>
                <c:pt idx="4306">
                  <c:v>756.088</c:v>
                </c:pt>
                <c:pt idx="4307">
                  <c:v>756.273</c:v>
                </c:pt>
                <c:pt idx="4308">
                  <c:v>756.4569999999974</c:v>
                </c:pt>
                <c:pt idx="4309">
                  <c:v>756.641</c:v>
                </c:pt>
                <c:pt idx="4310">
                  <c:v>756.8259999999979</c:v>
                </c:pt>
                <c:pt idx="4311">
                  <c:v>757.01</c:v>
                </c:pt>
                <c:pt idx="4312">
                  <c:v>757.195</c:v>
                </c:pt>
                <c:pt idx="4313">
                  <c:v>757.38</c:v>
                </c:pt>
                <c:pt idx="4314">
                  <c:v>757.5659999999979</c:v>
                </c:pt>
                <c:pt idx="4315">
                  <c:v>757.7519999999994</c:v>
                </c:pt>
                <c:pt idx="4316">
                  <c:v>757.9369999999974</c:v>
                </c:pt>
                <c:pt idx="4317">
                  <c:v>758.124</c:v>
                </c:pt>
                <c:pt idx="4318">
                  <c:v>758.3079999999974</c:v>
                </c:pt>
                <c:pt idx="4319">
                  <c:v>758.493</c:v>
                </c:pt>
                <c:pt idx="4320">
                  <c:v>758.677</c:v>
                </c:pt>
                <c:pt idx="4321">
                  <c:v>758.8619999999906</c:v>
                </c:pt>
                <c:pt idx="4322">
                  <c:v>759.0469999999979</c:v>
                </c:pt>
                <c:pt idx="4323">
                  <c:v>759.23</c:v>
                </c:pt>
                <c:pt idx="4324">
                  <c:v>759.415</c:v>
                </c:pt>
                <c:pt idx="4325">
                  <c:v>759.599</c:v>
                </c:pt>
                <c:pt idx="4326">
                  <c:v>759.785</c:v>
                </c:pt>
                <c:pt idx="4327">
                  <c:v>759.971</c:v>
                </c:pt>
                <c:pt idx="4328">
                  <c:v>760.158</c:v>
                </c:pt>
                <c:pt idx="4329">
                  <c:v>760.3429999999923</c:v>
                </c:pt>
                <c:pt idx="4330">
                  <c:v>760.5259999999994</c:v>
                </c:pt>
                <c:pt idx="4331">
                  <c:v>760.709</c:v>
                </c:pt>
                <c:pt idx="4332">
                  <c:v>760.891</c:v>
                </c:pt>
                <c:pt idx="4333">
                  <c:v>761.073</c:v>
                </c:pt>
                <c:pt idx="4334">
                  <c:v>761.2569999999994</c:v>
                </c:pt>
                <c:pt idx="4335">
                  <c:v>761.4399999999994</c:v>
                </c:pt>
                <c:pt idx="4336">
                  <c:v>761.622</c:v>
                </c:pt>
                <c:pt idx="4337">
                  <c:v>761.8109999999979</c:v>
                </c:pt>
                <c:pt idx="4338">
                  <c:v>762.001</c:v>
                </c:pt>
                <c:pt idx="4339">
                  <c:v>762.189</c:v>
                </c:pt>
                <c:pt idx="4340">
                  <c:v>762.375</c:v>
                </c:pt>
                <c:pt idx="4341">
                  <c:v>762.5619999999974</c:v>
                </c:pt>
                <c:pt idx="4342">
                  <c:v>762.748</c:v>
                </c:pt>
                <c:pt idx="4343">
                  <c:v>762.9359999999979</c:v>
                </c:pt>
                <c:pt idx="4344">
                  <c:v>763.123</c:v>
                </c:pt>
                <c:pt idx="4345">
                  <c:v>763.3069999999979</c:v>
                </c:pt>
                <c:pt idx="4346">
                  <c:v>763.491</c:v>
                </c:pt>
                <c:pt idx="4347">
                  <c:v>763.674</c:v>
                </c:pt>
                <c:pt idx="4348">
                  <c:v>763.8559999999974</c:v>
                </c:pt>
                <c:pt idx="4349">
                  <c:v>764.04</c:v>
                </c:pt>
                <c:pt idx="4350">
                  <c:v>764.223</c:v>
                </c:pt>
                <c:pt idx="4351">
                  <c:v>764.4059999999994</c:v>
                </c:pt>
                <c:pt idx="4352">
                  <c:v>764.59</c:v>
                </c:pt>
                <c:pt idx="4353">
                  <c:v>764.772</c:v>
                </c:pt>
                <c:pt idx="4354">
                  <c:v>764.9529999999974</c:v>
                </c:pt>
                <c:pt idx="4355">
                  <c:v>765.133</c:v>
                </c:pt>
                <c:pt idx="4356">
                  <c:v>765.3159999999979</c:v>
                </c:pt>
                <c:pt idx="4357">
                  <c:v>765.5</c:v>
                </c:pt>
                <c:pt idx="4358">
                  <c:v>765.68</c:v>
                </c:pt>
                <c:pt idx="4359">
                  <c:v>765.8619999999906</c:v>
                </c:pt>
                <c:pt idx="4360">
                  <c:v>766.0409999999994</c:v>
                </c:pt>
                <c:pt idx="4361">
                  <c:v>766.221</c:v>
                </c:pt>
                <c:pt idx="4362">
                  <c:v>766.4019999999994</c:v>
                </c:pt>
                <c:pt idx="4363">
                  <c:v>766.583</c:v>
                </c:pt>
                <c:pt idx="4364">
                  <c:v>766.763</c:v>
                </c:pt>
                <c:pt idx="4365">
                  <c:v>766.944</c:v>
                </c:pt>
                <c:pt idx="4366">
                  <c:v>767.126</c:v>
                </c:pt>
                <c:pt idx="4367">
                  <c:v>767.3099999999994</c:v>
                </c:pt>
                <c:pt idx="4368">
                  <c:v>767.492</c:v>
                </c:pt>
                <c:pt idx="4369">
                  <c:v>767.674</c:v>
                </c:pt>
                <c:pt idx="4370">
                  <c:v>767.8549999999979</c:v>
                </c:pt>
                <c:pt idx="4371">
                  <c:v>768.035</c:v>
                </c:pt>
                <c:pt idx="4372">
                  <c:v>768.2140000000001</c:v>
                </c:pt>
                <c:pt idx="4373">
                  <c:v>768.389</c:v>
                </c:pt>
                <c:pt idx="4374">
                  <c:v>768.5619999999974</c:v>
                </c:pt>
                <c:pt idx="4375">
                  <c:v>768.739</c:v>
                </c:pt>
                <c:pt idx="4376">
                  <c:v>768.919</c:v>
                </c:pt>
                <c:pt idx="4377">
                  <c:v>769.095</c:v>
                </c:pt>
                <c:pt idx="4378">
                  <c:v>769.271</c:v>
                </c:pt>
                <c:pt idx="4379">
                  <c:v>769.449</c:v>
                </c:pt>
                <c:pt idx="4380">
                  <c:v>769.6319999999994</c:v>
                </c:pt>
                <c:pt idx="4381">
                  <c:v>769.8179999999974</c:v>
                </c:pt>
                <c:pt idx="4382">
                  <c:v>770.004</c:v>
                </c:pt>
                <c:pt idx="4383">
                  <c:v>770.186</c:v>
                </c:pt>
                <c:pt idx="4384">
                  <c:v>770.3649999999974</c:v>
                </c:pt>
                <c:pt idx="4385">
                  <c:v>770.5419999999979</c:v>
                </c:pt>
                <c:pt idx="4386">
                  <c:v>770.719</c:v>
                </c:pt>
                <c:pt idx="4387">
                  <c:v>770.8969999999994</c:v>
                </c:pt>
                <c:pt idx="4388">
                  <c:v>771.074</c:v>
                </c:pt>
                <c:pt idx="4389">
                  <c:v>771.249</c:v>
                </c:pt>
                <c:pt idx="4390">
                  <c:v>771.429</c:v>
                </c:pt>
                <c:pt idx="4391">
                  <c:v>771.609</c:v>
                </c:pt>
                <c:pt idx="4392">
                  <c:v>771.793</c:v>
                </c:pt>
                <c:pt idx="4393">
                  <c:v>771.976</c:v>
                </c:pt>
                <c:pt idx="4394">
                  <c:v>772.158</c:v>
                </c:pt>
                <c:pt idx="4395">
                  <c:v>772.3349999999979</c:v>
                </c:pt>
                <c:pt idx="4396">
                  <c:v>772.509</c:v>
                </c:pt>
                <c:pt idx="4397">
                  <c:v>772.683</c:v>
                </c:pt>
                <c:pt idx="4398">
                  <c:v>772.8549999999979</c:v>
                </c:pt>
                <c:pt idx="4399">
                  <c:v>773.0269999999994</c:v>
                </c:pt>
                <c:pt idx="4400">
                  <c:v>773.197</c:v>
                </c:pt>
                <c:pt idx="4401">
                  <c:v>773.3669999999836</c:v>
                </c:pt>
                <c:pt idx="4402">
                  <c:v>773.5369999999979</c:v>
                </c:pt>
                <c:pt idx="4403">
                  <c:v>773.709</c:v>
                </c:pt>
                <c:pt idx="4404">
                  <c:v>773.878</c:v>
                </c:pt>
                <c:pt idx="4405">
                  <c:v>774.05</c:v>
                </c:pt>
                <c:pt idx="4406">
                  <c:v>774.223</c:v>
                </c:pt>
                <c:pt idx="4407">
                  <c:v>774.393</c:v>
                </c:pt>
                <c:pt idx="4408">
                  <c:v>774.5609999999979</c:v>
                </c:pt>
                <c:pt idx="4409">
                  <c:v>774.7279999999994</c:v>
                </c:pt>
                <c:pt idx="4410">
                  <c:v>774.8919999999994</c:v>
                </c:pt>
                <c:pt idx="4411">
                  <c:v>775.0569999999979</c:v>
                </c:pt>
                <c:pt idx="4412">
                  <c:v>775.225</c:v>
                </c:pt>
                <c:pt idx="4413">
                  <c:v>775.395</c:v>
                </c:pt>
                <c:pt idx="4414">
                  <c:v>775.564</c:v>
                </c:pt>
                <c:pt idx="4415">
                  <c:v>775.732</c:v>
                </c:pt>
                <c:pt idx="4416">
                  <c:v>775.899</c:v>
                </c:pt>
                <c:pt idx="4417">
                  <c:v>776.0659999999979</c:v>
                </c:pt>
                <c:pt idx="4418">
                  <c:v>776.232</c:v>
                </c:pt>
                <c:pt idx="4419">
                  <c:v>776.4</c:v>
                </c:pt>
                <c:pt idx="4420">
                  <c:v>776.569</c:v>
                </c:pt>
                <c:pt idx="4421">
                  <c:v>776.742</c:v>
                </c:pt>
                <c:pt idx="4422">
                  <c:v>776.9159999999994</c:v>
                </c:pt>
                <c:pt idx="4423">
                  <c:v>777.092</c:v>
                </c:pt>
                <c:pt idx="4424">
                  <c:v>777.269</c:v>
                </c:pt>
                <c:pt idx="4425">
                  <c:v>777.4429999999974</c:v>
                </c:pt>
                <c:pt idx="4426">
                  <c:v>777.618</c:v>
                </c:pt>
                <c:pt idx="4427">
                  <c:v>777.792</c:v>
                </c:pt>
                <c:pt idx="4428">
                  <c:v>777.9669999999974</c:v>
                </c:pt>
                <c:pt idx="4429">
                  <c:v>778.14</c:v>
                </c:pt>
                <c:pt idx="4430">
                  <c:v>778.3149999999994</c:v>
                </c:pt>
                <c:pt idx="4431">
                  <c:v>778.485</c:v>
                </c:pt>
                <c:pt idx="4432">
                  <c:v>778.6569999999994</c:v>
                </c:pt>
                <c:pt idx="4433">
                  <c:v>778.8249999999994</c:v>
                </c:pt>
                <c:pt idx="4434">
                  <c:v>778.995</c:v>
                </c:pt>
                <c:pt idx="4435">
                  <c:v>779.1659999999994</c:v>
                </c:pt>
                <c:pt idx="4436">
                  <c:v>779.3369999999974</c:v>
                </c:pt>
                <c:pt idx="4437">
                  <c:v>779.51</c:v>
                </c:pt>
                <c:pt idx="4438">
                  <c:v>779.681</c:v>
                </c:pt>
                <c:pt idx="4439">
                  <c:v>779.8539999999994</c:v>
                </c:pt>
                <c:pt idx="4440">
                  <c:v>780.0269999999994</c:v>
                </c:pt>
                <c:pt idx="4441">
                  <c:v>780.197</c:v>
                </c:pt>
                <c:pt idx="4442">
                  <c:v>780.3679999999914</c:v>
                </c:pt>
                <c:pt idx="4443">
                  <c:v>780.5409999999994</c:v>
                </c:pt>
                <c:pt idx="4444">
                  <c:v>780.716</c:v>
                </c:pt>
                <c:pt idx="4445">
                  <c:v>780.89</c:v>
                </c:pt>
                <c:pt idx="4446">
                  <c:v>781.0629999999974</c:v>
                </c:pt>
                <c:pt idx="4447">
                  <c:v>781.236</c:v>
                </c:pt>
                <c:pt idx="4448">
                  <c:v>781.4069999999994</c:v>
                </c:pt>
                <c:pt idx="4449">
                  <c:v>781.577</c:v>
                </c:pt>
                <c:pt idx="4450">
                  <c:v>781.747</c:v>
                </c:pt>
                <c:pt idx="4451">
                  <c:v>781.918</c:v>
                </c:pt>
                <c:pt idx="4452">
                  <c:v>782.092</c:v>
                </c:pt>
                <c:pt idx="4453">
                  <c:v>782.266</c:v>
                </c:pt>
                <c:pt idx="4454">
                  <c:v>782.4379999999974</c:v>
                </c:pt>
                <c:pt idx="4455">
                  <c:v>782.609</c:v>
                </c:pt>
                <c:pt idx="4456">
                  <c:v>782.78</c:v>
                </c:pt>
                <c:pt idx="4457">
                  <c:v>782.9519999999974</c:v>
                </c:pt>
                <c:pt idx="4458">
                  <c:v>783.125</c:v>
                </c:pt>
                <c:pt idx="4459">
                  <c:v>783.299</c:v>
                </c:pt>
                <c:pt idx="4460">
                  <c:v>783.474</c:v>
                </c:pt>
                <c:pt idx="4461">
                  <c:v>783.646</c:v>
                </c:pt>
                <c:pt idx="4462">
                  <c:v>783.819</c:v>
                </c:pt>
                <c:pt idx="4463">
                  <c:v>783.989</c:v>
                </c:pt>
                <c:pt idx="4464">
                  <c:v>784.16</c:v>
                </c:pt>
                <c:pt idx="4465">
                  <c:v>784.3289999999994</c:v>
                </c:pt>
                <c:pt idx="4466">
                  <c:v>784.498</c:v>
                </c:pt>
                <c:pt idx="4467">
                  <c:v>784.668</c:v>
                </c:pt>
                <c:pt idx="4468">
                  <c:v>784.8369999999974</c:v>
                </c:pt>
                <c:pt idx="4469">
                  <c:v>785.003</c:v>
                </c:pt>
                <c:pt idx="4470">
                  <c:v>785.17</c:v>
                </c:pt>
                <c:pt idx="4471">
                  <c:v>785.3369999999974</c:v>
                </c:pt>
                <c:pt idx="4472">
                  <c:v>785.506</c:v>
                </c:pt>
                <c:pt idx="4473">
                  <c:v>785.677</c:v>
                </c:pt>
                <c:pt idx="4474">
                  <c:v>785.8479999999921</c:v>
                </c:pt>
                <c:pt idx="4475">
                  <c:v>786.0169999999994</c:v>
                </c:pt>
                <c:pt idx="4476">
                  <c:v>786.183</c:v>
                </c:pt>
                <c:pt idx="4477">
                  <c:v>786.3499999999979</c:v>
                </c:pt>
                <c:pt idx="4478">
                  <c:v>786.516</c:v>
                </c:pt>
                <c:pt idx="4479">
                  <c:v>786.682</c:v>
                </c:pt>
                <c:pt idx="4480">
                  <c:v>786.8469999999974</c:v>
                </c:pt>
                <c:pt idx="4481">
                  <c:v>787.0169999999994</c:v>
                </c:pt>
                <c:pt idx="4482">
                  <c:v>787.188</c:v>
                </c:pt>
                <c:pt idx="4483">
                  <c:v>787.3589999999994</c:v>
                </c:pt>
                <c:pt idx="4484">
                  <c:v>787.5319999999994</c:v>
                </c:pt>
                <c:pt idx="4485">
                  <c:v>787.708</c:v>
                </c:pt>
                <c:pt idx="4486">
                  <c:v>787.8819999999994</c:v>
                </c:pt>
                <c:pt idx="4487">
                  <c:v>788.05</c:v>
                </c:pt>
                <c:pt idx="4488">
                  <c:v>788.217</c:v>
                </c:pt>
                <c:pt idx="4489">
                  <c:v>788.388</c:v>
                </c:pt>
                <c:pt idx="4490">
                  <c:v>788.559</c:v>
                </c:pt>
                <c:pt idx="4491">
                  <c:v>788.73</c:v>
                </c:pt>
                <c:pt idx="4492">
                  <c:v>788.903</c:v>
                </c:pt>
                <c:pt idx="4493">
                  <c:v>789.075</c:v>
                </c:pt>
                <c:pt idx="4494">
                  <c:v>789.246</c:v>
                </c:pt>
                <c:pt idx="4495">
                  <c:v>789.4159999999994</c:v>
                </c:pt>
                <c:pt idx="4496">
                  <c:v>789.585</c:v>
                </c:pt>
                <c:pt idx="4497">
                  <c:v>789.756</c:v>
                </c:pt>
                <c:pt idx="4498">
                  <c:v>789.9269999999979</c:v>
                </c:pt>
                <c:pt idx="4499">
                  <c:v>790.096</c:v>
                </c:pt>
                <c:pt idx="4500">
                  <c:v>790.2669999999994</c:v>
                </c:pt>
                <c:pt idx="4501">
                  <c:v>790.439</c:v>
                </c:pt>
                <c:pt idx="4502">
                  <c:v>790.607</c:v>
                </c:pt>
                <c:pt idx="4503">
                  <c:v>790.776</c:v>
                </c:pt>
                <c:pt idx="4504">
                  <c:v>790.944</c:v>
                </c:pt>
                <c:pt idx="4505">
                  <c:v>791.1130000000001</c:v>
                </c:pt>
                <c:pt idx="4506">
                  <c:v>791.278</c:v>
                </c:pt>
                <c:pt idx="4507">
                  <c:v>791.4469999999974</c:v>
                </c:pt>
                <c:pt idx="4508">
                  <c:v>791.614</c:v>
                </c:pt>
                <c:pt idx="4509">
                  <c:v>791.784</c:v>
                </c:pt>
                <c:pt idx="4510">
                  <c:v>791.9539999999994</c:v>
                </c:pt>
                <c:pt idx="4511">
                  <c:v>792.1269999999994</c:v>
                </c:pt>
                <c:pt idx="4512">
                  <c:v>792.299</c:v>
                </c:pt>
                <c:pt idx="4513">
                  <c:v>792.471</c:v>
                </c:pt>
                <c:pt idx="4514">
                  <c:v>792.644</c:v>
                </c:pt>
                <c:pt idx="4515">
                  <c:v>792.8149999999994</c:v>
                </c:pt>
                <c:pt idx="4516">
                  <c:v>792.9880000000001</c:v>
                </c:pt>
                <c:pt idx="4517">
                  <c:v>793.158</c:v>
                </c:pt>
                <c:pt idx="4518">
                  <c:v>793.3249999999994</c:v>
                </c:pt>
                <c:pt idx="4519">
                  <c:v>793.492</c:v>
                </c:pt>
                <c:pt idx="4520">
                  <c:v>793.6609999999994</c:v>
                </c:pt>
                <c:pt idx="4521">
                  <c:v>793.8289999999994</c:v>
                </c:pt>
                <c:pt idx="4522">
                  <c:v>793.998</c:v>
                </c:pt>
                <c:pt idx="4523">
                  <c:v>794.1669999999979</c:v>
                </c:pt>
                <c:pt idx="4524">
                  <c:v>794.3349999999979</c:v>
                </c:pt>
                <c:pt idx="4525">
                  <c:v>794.506</c:v>
                </c:pt>
                <c:pt idx="4526">
                  <c:v>794.675</c:v>
                </c:pt>
                <c:pt idx="4527">
                  <c:v>794.8409999999974</c:v>
                </c:pt>
                <c:pt idx="4528">
                  <c:v>795.008</c:v>
                </c:pt>
                <c:pt idx="4529">
                  <c:v>795.178</c:v>
                </c:pt>
                <c:pt idx="4530">
                  <c:v>795.3489999999994</c:v>
                </c:pt>
                <c:pt idx="4531">
                  <c:v>795.523</c:v>
                </c:pt>
                <c:pt idx="4532">
                  <c:v>795.697</c:v>
                </c:pt>
                <c:pt idx="4533">
                  <c:v>795.872</c:v>
                </c:pt>
                <c:pt idx="4534">
                  <c:v>796.0459999999994</c:v>
                </c:pt>
                <c:pt idx="4535">
                  <c:v>796.222</c:v>
                </c:pt>
                <c:pt idx="4536">
                  <c:v>796.395</c:v>
                </c:pt>
                <c:pt idx="4537">
                  <c:v>796.5669999999974</c:v>
                </c:pt>
                <c:pt idx="4538">
                  <c:v>796.737</c:v>
                </c:pt>
                <c:pt idx="4539">
                  <c:v>796.9059999999994</c:v>
                </c:pt>
                <c:pt idx="4540">
                  <c:v>797.074</c:v>
                </c:pt>
                <c:pt idx="4541">
                  <c:v>797.243</c:v>
                </c:pt>
                <c:pt idx="4542">
                  <c:v>797.414</c:v>
                </c:pt>
                <c:pt idx="4543">
                  <c:v>797.586</c:v>
                </c:pt>
                <c:pt idx="4544">
                  <c:v>797.758</c:v>
                </c:pt>
                <c:pt idx="4545">
                  <c:v>797.928</c:v>
                </c:pt>
                <c:pt idx="4546">
                  <c:v>798.099</c:v>
                </c:pt>
                <c:pt idx="4547">
                  <c:v>798.268</c:v>
                </c:pt>
                <c:pt idx="4548">
                  <c:v>798.439</c:v>
                </c:pt>
                <c:pt idx="4549">
                  <c:v>798.609</c:v>
                </c:pt>
                <c:pt idx="4550">
                  <c:v>798.782</c:v>
                </c:pt>
                <c:pt idx="4551">
                  <c:v>798.9529999999974</c:v>
                </c:pt>
                <c:pt idx="4552">
                  <c:v>799.126</c:v>
                </c:pt>
                <c:pt idx="4553">
                  <c:v>799.298</c:v>
                </c:pt>
                <c:pt idx="4554">
                  <c:v>799.4689999999994</c:v>
                </c:pt>
                <c:pt idx="4555">
                  <c:v>799.6369999999994</c:v>
                </c:pt>
                <c:pt idx="4556">
                  <c:v>799.8069999999979</c:v>
                </c:pt>
                <c:pt idx="4557">
                  <c:v>799.976</c:v>
                </c:pt>
                <c:pt idx="4558">
                  <c:v>800.1469999999994</c:v>
                </c:pt>
                <c:pt idx="4559">
                  <c:v>800.3149999999994</c:v>
                </c:pt>
                <c:pt idx="4560">
                  <c:v>800.482</c:v>
                </c:pt>
                <c:pt idx="4561">
                  <c:v>800.6509999999994</c:v>
                </c:pt>
                <c:pt idx="4562">
                  <c:v>800.819</c:v>
                </c:pt>
                <c:pt idx="4563">
                  <c:v>800.989</c:v>
                </c:pt>
                <c:pt idx="4564">
                  <c:v>801.158</c:v>
                </c:pt>
                <c:pt idx="4565">
                  <c:v>801.3309999999979</c:v>
                </c:pt>
                <c:pt idx="4566">
                  <c:v>801.505</c:v>
                </c:pt>
                <c:pt idx="4567">
                  <c:v>801.679</c:v>
                </c:pt>
                <c:pt idx="4568">
                  <c:v>801.8539999999994</c:v>
                </c:pt>
                <c:pt idx="4569">
                  <c:v>802.029</c:v>
                </c:pt>
                <c:pt idx="4570">
                  <c:v>802.201</c:v>
                </c:pt>
                <c:pt idx="4571">
                  <c:v>802.372</c:v>
                </c:pt>
                <c:pt idx="4572">
                  <c:v>802.544</c:v>
                </c:pt>
                <c:pt idx="4573">
                  <c:v>802.717</c:v>
                </c:pt>
                <c:pt idx="4574">
                  <c:v>802.889</c:v>
                </c:pt>
                <c:pt idx="4575">
                  <c:v>803.0599999999994</c:v>
                </c:pt>
                <c:pt idx="4576">
                  <c:v>803.23</c:v>
                </c:pt>
                <c:pt idx="4577">
                  <c:v>803.4009999999994</c:v>
                </c:pt>
                <c:pt idx="4578">
                  <c:v>803.573</c:v>
                </c:pt>
                <c:pt idx="4579">
                  <c:v>803.742</c:v>
                </c:pt>
                <c:pt idx="4580">
                  <c:v>803.909</c:v>
                </c:pt>
                <c:pt idx="4581">
                  <c:v>804.078</c:v>
                </c:pt>
                <c:pt idx="4582">
                  <c:v>804.249</c:v>
                </c:pt>
                <c:pt idx="4583">
                  <c:v>804.42</c:v>
                </c:pt>
                <c:pt idx="4584">
                  <c:v>804.585</c:v>
                </c:pt>
                <c:pt idx="4585">
                  <c:v>804.751</c:v>
                </c:pt>
                <c:pt idx="4586">
                  <c:v>804.92</c:v>
                </c:pt>
                <c:pt idx="4587">
                  <c:v>805.088</c:v>
                </c:pt>
                <c:pt idx="4588">
                  <c:v>805.258</c:v>
                </c:pt>
                <c:pt idx="4589">
                  <c:v>805.429</c:v>
                </c:pt>
                <c:pt idx="4590">
                  <c:v>805.599</c:v>
                </c:pt>
                <c:pt idx="4591">
                  <c:v>805.768</c:v>
                </c:pt>
                <c:pt idx="4592">
                  <c:v>805.939</c:v>
                </c:pt>
                <c:pt idx="4593">
                  <c:v>806.1079999999994</c:v>
                </c:pt>
                <c:pt idx="4594">
                  <c:v>806.276</c:v>
                </c:pt>
                <c:pt idx="4595">
                  <c:v>806.4429999999974</c:v>
                </c:pt>
                <c:pt idx="4596">
                  <c:v>806.611</c:v>
                </c:pt>
                <c:pt idx="4597">
                  <c:v>806.781</c:v>
                </c:pt>
                <c:pt idx="4598">
                  <c:v>806.9519999999974</c:v>
                </c:pt>
                <c:pt idx="4599">
                  <c:v>807.123</c:v>
                </c:pt>
                <c:pt idx="4600">
                  <c:v>807.292</c:v>
                </c:pt>
                <c:pt idx="4601">
                  <c:v>807.4609999999974</c:v>
                </c:pt>
                <c:pt idx="4602">
                  <c:v>807.631</c:v>
                </c:pt>
                <c:pt idx="4603">
                  <c:v>807.8019999999979</c:v>
                </c:pt>
                <c:pt idx="4604">
                  <c:v>807.971</c:v>
                </c:pt>
                <c:pt idx="4605">
                  <c:v>808.139</c:v>
                </c:pt>
                <c:pt idx="4606">
                  <c:v>808.3109999999979</c:v>
                </c:pt>
                <c:pt idx="4607">
                  <c:v>808.481</c:v>
                </c:pt>
                <c:pt idx="4608">
                  <c:v>808.654</c:v>
                </c:pt>
                <c:pt idx="4609">
                  <c:v>808.8219999999974</c:v>
                </c:pt>
                <c:pt idx="4610">
                  <c:v>808.99</c:v>
                </c:pt>
                <c:pt idx="4611">
                  <c:v>809.16</c:v>
                </c:pt>
                <c:pt idx="4612">
                  <c:v>809.3269999999974</c:v>
                </c:pt>
                <c:pt idx="4613">
                  <c:v>809.495</c:v>
                </c:pt>
                <c:pt idx="4614">
                  <c:v>809.6619999999979</c:v>
                </c:pt>
                <c:pt idx="4615">
                  <c:v>809.8299999999994</c:v>
                </c:pt>
                <c:pt idx="4616">
                  <c:v>809.999</c:v>
                </c:pt>
                <c:pt idx="4617">
                  <c:v>810.1659999999994</c:v>
                </c:pt>
                <c:pt idx="4618">
                  <c:v>810.3329999999974</c:v>
                </c:pt>
                <c:pt idx="4619">
                  <c:v>810.505</c:v>
                </c:pt>
                <c:pt idx="4620">
                  <c:v>810.675</c:v>
                </c:pt>
                <c:pt idx="4621">
                  <c:v>810.8469999999974</c:v>
                </c:pt>
                <c:pt idx="4622">
                  <c:v>811.0169999999994</c:v>
                </c:pt>
                <c:pt idx="4623">
                  <c:v>811.19</c:v>
                </c:pt>
                <c:pt idx="4624">
                  <c:v>811.3619999999906</c:v>
                </c:pt>
                <c:pt idx="4625">
                  <c:v>811.5319999999994</c:v>
                </c:pt>
                <c:pt idx="4626">
                  <c:v>811.701</c:v>
                </c:pt>
                <c:pt idx="4627">
                  <c:v>811.871</c:v>
                </c:pt>
                <c:pt idx="4628">
                  <c:v>812.039</c:v>
                </c:pt>
                <c:pt idx="4629">
                  <c:v>812.206</c:v>
                </c:pt>
                <c:pt idx="4630">
                  <c:v>812.373</c:v>
                </c:pt>
                <c:pt idx="4631">
                  <c:v>812.5419999999979</c:v>
                </c:pt>
                <c:pt idx="4632">
                  <c:v>812.713</c:v>
                </c:pt>
                <c:pt idx="4633">
                  <c:v>812.885</c:v>
                </c:pt>
                <c:pt idx="4634">
                  <c:v>813.059</c:v>
                </c:pt>
                <c:pt idx="4635">
                  <c:v>813.234</c:v>
                </c:pt>
                <c:pt idx="4636">
                  <c:v>813.4059999999994</c:v>
                </c:pt>
                <c:pt idx="4637">
                  <c:v>813.576</c:v>
                </c:pt>
                <c:pt idx="4638">
                  <c:v>813.745</c:v>
                </c:pt>
                <c:pt idx="4639">
                  <c:v>813.914</c:v>
                </c:pt>
                <c:pt idx="4640">
                  <c:v>814.081</c:v>
                </c:pt>
                <c:pt idx="4641">
                  <c:v>814.25</c:v>
                </c:pt>
                <c:pt idx="4642">
                  <c:v>814.42</c:v>
                </c:pt>
                <c:pt idx="4643">
                  <c:v>814.591</c:v>
                </c:pt>
                <c:pt idx="4644">
                  <c:v>814.763</c:v>
                </c:pt>
                <c:pt idx="4645">
                  <c:v>814.9359999999979</c:v>
                </c:pt>
                <c:pt idx="4646">
                  <c:v>815.106</c:v>
                </c:pt>
                <c:pt idx="4647">
                  <c:v>815.277</c:v>
                </c:pt>
                <c:pt idx="4648">
                  <c:v>815.4459999999979</c:v>
                </c:pt>
                <c:pt idx="4649">
                  <c:v>815.616</c:v>
                </c:pt>
                <c:pt idx="4650">
                  <c:v>815.788</c:v>
                </c:pt>
                <c:pt idx="4651">
                  <c:v>815.9569999999974</c:v>
                </c:pt>
                <c:pt idx="4652">
                  <c:v>816.126</c:v>
                </c:pt>
                <c:pt idx="4653">
                  <c:v>816.295</c:v>
                </c:pt>
                <c:pt idx="4654">
                  <c:v>816.4640000000001</c:v>
                </c:pt>
                <c:pt idx="4655">
                  <c:v>816.634</c:v>
                </c:pt>
                <c:pt idx="4656">
                  <c:v>816.8049999999994</c:v>
                </c:pt>
                <c:pt idx="4657">
                  <c:v>816.974</c:v>
                </c:pt>
                <c:pt idx="4658">
                  <c:v>817.14</c:v>
                </c:pt>
                <c:pt idx="4659">
                  <c:v>817.3099999999994</c:v>
                </c:pt>
                <c:pt idx="4660">
                  <c:v>817.481</c:v>
                </c:pt>
                <c:pt idx="4661">
                  <c:v>817.6519999999994</c:v>
                </c:pt>
                <c:pt idx="4662">
                  <c:v>817.8249999999994</c:v>
                </c:pt>
                <c:pt idx="4663">
                  <c:v>817.999</c:v>
                </c:pt>
                <c:pt idx="4664">
                  <c:v>818.171</c:v>
                </c:pt>
                <c:pt idx="4665">
                  <c:v>818.3429999999923</c:v>
                </c:pt>
                <c:pt idx="4666">
                  <c:v>818.515</c:v>
                </c:pt>
                <c:pt idx="4667">
                  <c:v>818.685</c:v>
                </c:pt>
                <c:pt idx="4668">
                  <c:v>818.8529999999918</c:v>
                </c:pt>
                <c:pt idx="4669">
                  <c:v>819.023</c:v>
                </c:pt>
                <c:pt idx="4670">
                  <c:v>819.192</c:v>
                </c:pt>
                <c:pt idx="4671">
                  <c:v>819.3630000000001</c:v>
                </c:pt>
                <c:pt idx="4672">
                  <c:v>819.534</c:v>
                </c:pt>
                <c:pt idx="4673">
                  <c:v>819.706</c:v>
                </c:pt>
                <c:pt idx="4674">
                  <c:v>819.879</c:v>
                </c:pt>
                <c:pt idx="4675">
                  <c:v>820.0509999999994</c:v>
                </c:pt>
                <c:pt idx="4676">
                  <c:v>820.223</c:v>
                </c:pt>
                <c:pt idx="4677">
                  <c:v>820.393</c:v>
                </c:pt>
                <c:pt idx="4678">
                  <c:v>820.5599999999994</c:v>
                </c:pt>
                <c:pt idx="4679">
                  <c:v>820.7279999999994</c:v>
                </c:pt>
                <c:pt idx="4680">
                  <c:v>820.8969999999994</c:v>
                </c:pt>
                <c:pt idx="4681">
                  <c:v>821.0669999999974</c:v>
                </c:pt>
                <c:pt idx="4682">
                  <c:v>821.2380000000001</c:v>
                </c:pt>
                <c:pt idx="4683">
                  <c:v>821.4059999999994</c:v>
                </c:pt>
                <c:pt idx="4684">
                  <c:v>821.576</c:v>
                </c:pt>
                <c:pt idx="4685">
                  <c:v>821.747</c:v>
                </c:pt>
                <c:pt idx="4686">
                  <c:v>821.9169999999979</c:v>
                </c:pt>
                <c:pt idx="4687">
                  <c:v>822.085</c:v>
                </c:pt>
                <c:pt idx="4688">
                  <c:v>822.254</c:v>
                </c:pt>
                <c:pt idx="4689">
                  <c:v>822.4219999999979</c:v>
                </c:pt>
                <c:pt idx="4690">
                  <c:v>822.585</c:v>
                </c:pt>
                <c:pt idx="4691">
                  <c:v>822.75</c:v>
                </c:pt>
                <c:pt idx="4692">
                  <c:v>822.919</c:v>
                </c:pt>
                <c:pt idx="4693">
                  <c:v>823.088</c:v>
                </c:pt>
                <c:pt idx="4694">
                  <c:v>823.258</c:v>
                </c:pt>
                <c:pt idx="4695">
                  <c:v>823.428</c:v>
                </c:pt>
                <c:pt idx="4696">
                  <c:v>823.598</c:v>
                </c:pt>
                <c:pt idx="4697">
                  <c:v>823.77</c:v>
                </c:pt>
                <c:pt idx="4698">
                  <c:v>823.9409999999979</c:v>
                </c:pt>
                <c:pt idx="4699">
                  <c:v>824.11</c:v>
                </c:pt>
                <c:pt idx="4700">
                  <c:v>824.277</c:v>
                </c:pt>
                <c:pt idx="4701">
                  <c:v>824.4449999999994</c:v>
                </c:pt>
                <c:pt idx="4702">
                  <c:v>824.612</c:v>
                </c:pt>
                <c:pt idx="4703">
                  <c:v>824.779</c:v>
                </c:pt>
                <c:pt idx="4704">
                  <c:v>824.9479999999974</c:v>
                </c:pt>
                <c:pt idx="4705">
                  <c:v>825.116</c:v>
                </c:pt>
                <c:pt idx="4706">
                  <c:v>825.287</c:v>
                </c:pt>
                <c:pt idx="4707">
                  <c:v>825.4589999999994</c:v>
                </c:pt>
                <c:pt idx="4708">
                  <c:v>825.631</c:v>
                </c:pt>
                <c:pt idx="4709">
                  <c:v>825.8069999999979</c:v>
                </c:pt>
                <c:pt idx="4710">
                  <c:v>825.9829999999994</c:v>
                </c:pt>
                <c:pt idx="4711">
                  <c:v>826.1569999999994</c:v>
                </c:pt>
                <c:pt idx="4712">
                  <c:v>826.3279999999974</c:v>
                </c:pt>
                <c:pt idx="4713">
                  <c:v>826.495</c:v>
                </c:pt>
                <c:pt idx="4714">
                  <c:v>826.663</c:v>
                </c:pt>
                <c:pt idx="4715">
                  <c:v>826.8339999999994</c:v>
                </c:pt>
                <c:pt idx="4716">
                  <c:v>827.0069999999994</c:v>
                </c:pt>
                <c:pt idx="4717">
                  <c:v>827.179</c:v>
                </c:pt>
                <c:pt idx="4718">
                  <c:v>827.3539999999994</c:v>
                </c:pt>
                <c:pt idx="4719">
                  <c:v>827.528</c:v>
                </c:pt>
                <c:pt idx="4720">
                  <c:v>827.704</c:v>
                </c:pt>
                <c:pt idx="4721">
                  <c:v>827.876</c:v>
                </c:pt>
                <c:pt idx="4722">
                  <c:v>828.043</c:v>
                </c:pt>
                <c:pt idx="4723">
                  <c:v>828.208</c:v>
                </c:pt>
                <c:pt idx="4724">
                  <c:v>828.374</c:v>
                </c:pt>
                <c:pt idx="4725">
                  <c:v>828.545</c:v>
                </c:pt>
                <c:pt idx="4726">
                  <c:v>828.718</c:v>
                </c:pt>
                <c:pt idx="4727">
                  <c:v>828.891</c:v>
                </c:pt>
                <c:pt idx="4728">
                  <c:v>829.0669999999974</c:v>
                </c:pt>
                <c:pt idx="4729">
                  <c:v>829.243</c:v>
                </c:pt>
                <c:pt idx="4730">
                  <c:v>829.418</c:v>
                </c:pt>
                <c:pt idx="4731">
                  <c:v>829.595</c:v>
                </c:pt>
                <c:pt idx="4732">
                  <c:v>829.769</c:v>
                </c:pt>
                <c:pt idx="4733">
                  <c:v>829.939</c:v>
                </c:pt>
                <c:pt idx="4734">
                  <c:v>830.109</c:v>
                </c:pt>
                <c:pt idx="4735">
                  <c:v>830.28</c:v>
                </c:pt>
                <c:pt idx="4736">
                  <c:v>830.4519999999974</c:v>
                </c:pt>
                <c:pt idx="4737">
                  <c:v>830.622</c:v>
                </c:pt>
                <c:pt idx="4738">
                  <c:v>830.795</c:v>
                </c:pt>
                <c:pt idx="4739">
                  <c:v>830.9649999999979</c:v>
                </c:pt>
                <c:pt idx="4740">
                  <c:v>831.133</c:v>
                </c:pt>
                <c:pt idx="4741">
                  <c:v>831.303</c:v>
                </c:pt>
                <c:pt idx="4742">
                  <c:v>831.473</c:v>
                </c:pt>
                <c:pt idx="4743">
                  <c:v>831.646</c:v>
                </c:pt>
                <c:pt idx="4744">
                  <c:v>831.819</c:v>
                </c:pt>
                <c:pt idx="4745">
                  <c:v>831.99</c:v>
                </c:pt>
                <c:pt idx="4746">
                  <c:v>832.158</c:v>
                </c:pt>
                <c:pt idx="4747">
                  <c:v>832.3229999999974</c:v>
                </c:pt>
                <c:pt idx="4748">
                  <c:v>832.493</c:v>
                </c:pt>
                <c:pt idx="4749">
                  <c:v>832.663</c:v>
                </c:pt>
                <c:pt idx="4750">
                  <c:v>832.8369999999974</c:v>
                </c:pt>
                <c:pt idx="4751">
                  <c:v>833.009</c:v>
                </c:pt>
                <c:pt idx="4752">
                  <c:v>833.182</c:v>
                </c:pt>
                <c:pt idx="4753">
                  <c:v>833.3529999999918</c:v>
                </c:pt>
                <c:pt idx="4754">
                  <c:v>833.525</c:v>
                </c:pt>
                <c:pt idx="4755">
                  <c:v>833.7</c:v>
                </c:pt>
                <c:pt idx="4756">
                  <c:v>833.874</c:v>
                </c:pt>
                <c:pt idx="4757">
                  <c:v>834.0459999999994</c:v>
                </c:pt>
                <c:pt idx="4758">
                  <c:v>834.216</c:v>
                </c:pt>
                <c:pt idx="4759">
                  <c:v>834.385</c:v>
                </c:pt>
                <c:pt idx="4760">
                  <c:v>834.5549999999994</c:v>
                </c:pt>
                <c:pt idx="4761">
                  <c:v>834.724</c:v>
                </c:pt>
                <c:pt idx="4762">
                  <c:v>834.896</c:v>
                </c:pt>
                <c:pt idx="4763">
                  <c:v>835.072</c:v>
                </c:pt>
                <c:pt idx="4764">
                  <c:v>835.25</c:v>
                </c:pt>
                <c:pt idx="4765">
                  <c:v>835.4269999999979</c:v>
                </c:pt>
                <c:pt idx="4766">
                  <c:v>835.602</c:v>
                </c:pt>
                <c:pt idx="4767">
                  <c:v>835.771</c:v>
                </c:pt>
                <c:pt idx="4768">
                  <c:v>835.939</c:v>
                </c:pt>
                <c:pt idx="4769">
                  <c:v>836.109</c:v>
                </c:pt>
                <c:pt idx="4770">
                  <c:v>836.279</c:v>
                </c:pt>
                <c:pt idx="4771">
                  <c:v>836.4479999999974</c:v>
                </c:pt>
                <c:pt idx="4772">
                  <c:v>836.621</c:v>
                </c:pt>
                <c:pt idx="4773">
                  <c:v>836.794</c:v>
                </c:pt>
                <c:pt idx="4774">
                  <c:v>836.9679999999923</c:v>
                </c:pt>
                <c:pt idx="4775">
                  <c:v>837.143</c:v>
                </c:pt>
                <c:pt idx="4776">
                  <c:v>837.3169999999974</c:v>
                </c:pt>
                <c:pt idx="4777">
                  <c:v>837.4880000000001</c:v>
                </c:pt>
                <c:pt idx="4778">
                  <c:v>837.659</c:v>
                </c:pt>
                <c:pt idx="4779">
                  <c:v>837.8309999999979</c:v>
                </c:pt>
                <c:pt idx="4780">
                  <c:v>838.001</c:v>
                </c:pt>
                <c:pt idx="4781">
                  <c:v>838.174</c:v>
                </c:pt>
                <c:pt idx="4782">
                  <c:v>838.3509999999974</c:v>
                </c:pt>
                <c:pt idx="4783">
                  <c:v>838.525</c:v>
                </c:pt>
                <c:pt idx="4784">
                  <c:v>838.697</c:v>
                </c:pt>
                <c:pt idx="4785">
                  <c:v>838.8669999999836</c:v>
                </c:pt>
                <c:pt idx="4786">
                  <c:v>839.0409999999994</c:v>
                </c:pt>
                <c:pt idx="4787">
                  <c:v>839.217</c:v>
                </c:pt>
                <c:pt idx="4788">
                  <c:v>839.396</c:v>
                </c:pt>
                <c:pt idx="4789">
                  <c:v>839.573</c:v>
                </c:pt>
                <c:pt idx="4790">
                  <c:v>839.745</c:v>
                </c:pt>
                <c:pt idx="4791">
                  <c:v>839.918</c:v>
                </c:pt>
                <c:pt idx="4792">
                  <c:v>840.088</c:v>
                </c:pt>
                <c:pt idx="4793">
                  <c:v>840.259</c:v>
                </c:pt>
                <c:pt idx="4794">
                  <c:v>840.4299999999994</c:v>
                </c:pt>
                <c:pt idx="4795">
                  <c:v>840.598</c:v>
                </c:pt>
                <c:pt idx="4796">
                  <c:v>840.7669999999994</c:v>
                </c:pt>
                <c:pt idx="4797">
                  <c:v>840.9369999999974</c:v>
                </c:pt>
                <c:pt idx="4798">
                  <c:v>841.105</c:v>
                </c:pt>
                <c:pt idx="4799">
                  <c:v>841.276</c:v>
                </c:pt>
                <c:pt idx="4800">
                  <c:v>841.449</c:v>
                </c:pt>
                <c:pt idx="4801">
                  <c:v>841.624</c:v>
                </c:pt>
                <c:pt idx="4802">
                  <c:v>841.798</c:v>
                </c:pt>
                <c:pt idx="4803">
                  <c:v>841.971</c:v>
                </c:pt>
                <c:pt idx="4804">
                  <c:v>842.143</c:v>
                </c:pt>
                <c:pt idx="4805">
                  <c:v>842.3179999999974</c:v>
                </c:pt>
                <c:pt idx="4806">
                  <c:v>842.495</c:v>
                </c:pt>
                <c:pt idx="4807">
                  <c:v>842.671</c:v>
                </c:pt>
                <c:pt idx="4808">
                  <c:v>842.8469999999974</c:v>
                </c:pt>
                <c:pt idx="4809">
                  <c:v>843.021</c:v>
                </c:pt>
                <c:pt idx="4810">
                  <c:v>843.191</c:v>
                </c:pt>
                <c:pt idx="4811">
                  <c:v>843.3599999999974</c:v>
                </c:pt>
                <c:pt idx="4812">
                  <c:v>843.5309999999994</c:v>
                </c:pt>
                <c:pt idx="4813">
                  <c:v>843.701</c:v>
                </c:pt>
                <c:pt idx="4814">
                  <c:v>843.872</c:v>
                </c:pt>
                <c:pt idx="4815">
                  <c:v>844.043</c:v>
                </c:pt>
                <c:pt idx="4816">
                  <c:v>844.216</c:v>
                </c:pt>
                <c:pt idx="4817">
                  <c:v>844.389</c:v>
                </c:pt>
                <c:pt idx="4818">
                  <c:v>844.5599999999994</c:v>
                </c:pt>
                <c:pt idx="4819">
                  <c:v>844.725</c:v>
                </c:pt>
                <c:pt idx="4820">
                  <c:v>844.8919999999994</c:v>
                </c:pt>
                <c:pt idx="4821">
                  <c:v>845.0579999999974</c:v>
                </c:pt>
                <c:pt idx="4822">
                  <c:v>845.225</c:v>
                </c:pt>
                <c:pt idx="4823">
                  <c:v>845.3919999999994</c:v>
                </c:pt>
                <c:pt idx="4824">
                  <c:v>845.5579999999974</c:v>
                </c:pt>
                <c:pt idx="4825">
                  <c:v>845.73</c:v>
                </c:pt>
                <c:pt idx="4826">
                  <c:v>845.904</c:v>
                </c:pt>
                <c:pt idx="4827">
                  <c:v>846.077</c:v>
                </c:pt>
                <c:pt idx="4828">
                  <c:v>846.253</c:v>
                </c:pt>
                <c:pt idx="4829">
                  <c:v>846.429</c:v>
                </c:pt>
                <c:pt idx="4830">
                  <c:v>846.6029999999994</c:v>
                </c:pt>
                <c:pt idx="4831">
                  <c:v>846.775</c:v>
                </c:pt>
                <c:pt idx="4832">
                  <c:v>846.9449999999994</c:v>
                </c:pt>
                <c:pt idx="4833">
                  <c:v>847.117</c:v>
                </c:pt>
                <c:pt idx="4834">
                  <c:v>847.291</c:v>
                </c:pt>
                <c:pt idx="4835">
                  <c:v>847.4640000000001</c:v>
                </c:pt>
                <c:pt idx="4836">
                  <c:v>847.64</c:v>
                </c:pt>
                <c:pt idx="4837">
                  <c:v>847.8119999999974</c:v>
                </c:pt>
                <c:pt idx="4838">
                  <c:v>847.982</c:v>
                </c:pt>
                <c:pt idx="4839">
                  <c:v>848.155</c:v>
                </c:pt>
                <c:pt idx="4840">
                  <c:v>848.3299999999994</c:v>
                </c:pt>
                <c:pt idx="4841">
                  <c:v>848.501</c:v>
                </c:pt>
                <c:pt idx="4842">
                  <c:v>848.669</c:v>
                </c:pt>
                <c:pt idx="4843">
                  <c:v>848.8359999999974</c:v>
                </c:pt>
                <c:pt idx="4844">
                  <c:v>849.001</c:v>
                </c:pt>
                <c:pt idx="4845">
                  <c:v>849.168</c:v>
                </c:pt>
                <c:pt idx="4846">
                  <c:v>849.3369999999974</c:v>
                </c:pt>
                <c:pt idx="4847">
                  <c:v>849.51</c:v>
                </c:pt>
                <c:pt idx="4848">
                  <c:v>849.682</c:v>
                </c:pt>
                <c:pt idx="4849">
                  <c:v>849.8559999999974</c:v>
                </c:pt>
                <c:pt idx="4850">
                  <c:v>850.034</c:v>
                </c:pt>
                <c:pt idx="4851">
                  <c:v>850.21</c:v>
                </c:pt>
                <c:pt idx="4852">
                  <c:v>850.385</c:v>
                </c:pt>
                <c:pt idx="4853">
                  <c:v>850.5599999999994</c:v>
                </c:pt>
                <c:pt idx="4854">
                  <c:v>850.732</c:v>
                </c:pt>
                <c:pt idx="4855">
                  <c:v>850.904</c:v>
                </c:pt>
                <c:pt idx="4856">
                  <c:v>851.077</c:v>
                </c:pt>
                <c:pt idx="4857">
                  <c:v>851.255</c:v>
                </c:pt>
                <c:pt idx="4858">
                  <c:v>851.429</c:v>
                </c:pt>
                <c:pt idx="4859">
                  <c:v>851.599</c:v>
                </c:pt>
                <c:pt idx="4860">
                  <c:v>851.769</c:v>
                </c:pt>
                <c:pt idx="4861">
                  <c:v>851.9449999999994</c:v>
                </c:pt>
                <c:pt idx="4862">
                  <c:v>852.122</c:v>
                </c:pt>
                <c:pt idx="4863">
                  <c:v>852.3019999999979</c:v>
                </c:pt>
                <c:pt idx="4864">
                  <c:v>852.479</c:v>
                </c:pt>
                <c:pt idx="4865">
                  <c:v>852.6559999999994</c:v>
                </c:pt>
                <c:pt idx="4866">
                  <c:v>852.8279999999974</c:v>
                </c:pt>
                <c:pt idx="4867">
                  <c:v>852.996</c:v>
                </c:pt>
                <c:pt idx="4868">
                  <c:v>853.158</c:v>
                </c:pt>
                <c:pt idx="4869">
                  <c:v>853.319</c:v>
                </c:pt>
                <c:pt idx="4870">
                  <c:v>853.486</c:v>
                </c:pt>
                <c:pt idx="4871">
                  <c:v>853.655</c:v>
                </c:pt>
                <c:pt idx="4872">
                  <c:v>853.824</c:v>
                </c:pt>
                <c:pt idx="4873">
                  <c:v>853.995</c:v>
                </c:pt>
                <c:pt idx="4874">
                  <c:v>854.163</c:v>
                </c:pt>
                <c:pt idx="4875">
                  <c:v>854.3319999999974</c:v>
                </c:pt>
                <c:pt idx="4876">
                  <c:v>854.5019999999994</c:v>
                </c:pt>
                <c:pt idx="4877">
                  <c:v>854.677</c:v>
                </c:pt>
                <c:pt idx="4878">
                  <c:v>854.8529999999918</c:v>
                </c:pt>
                <c:pt idx="4879">
                  <c:v>855.033</c:v>
                </c:pt>
                <c:pt idx="4880">
                  <c:v>855.213</c:v>
                </c:pt>
                <c:pt idx="4881">
                  <c:v>855.3919999999994</c:v>
                </c:pt>
                <c:pt idx="4882">
                  <c:v>855.57</c:v>
                </c:pt>
                <c:pt idx="4883">
                  <c:v>855.743</c:v>
                </c:pt>
                <c:pt idx="4884">
                  <c:v>855.909</c:v>
                </c:pt>
                <c:pt idx="4885">
                  <c:v>856.078</c:v>
                </c:pt>
                <c:pt idx="4886">
                  <c:v>856.251</c:v>
                </c:pt>
                <c:pt idx="4887">
                  <c:v>856.424</c:v>
                </c:pt>
                <c:pt idx="4888">
                  <c:v>856.597</c:v>
                </c:pt>
                <c:pt idx="4889">
                  <c:v>856.769</c:v>
                </c:pt>
                <c:pt idx="4890">
                  <c:v>856.944</c:v>
                </c:pt>
                <c:pt idx="4891">
                  <c:v>857.119</c:v>
                </c:pt>
                <c:pt idx="4892">
                  <c:v>857.295</c:v>
                </c:pt>
                <c:pt idx="4893">
                  <c:v>857.4659999999974</c:v>
                </c:pt>
                <c:pt idx="4894">
                  <c:v>857.635</c:v>
                </c:pt>
                <c:pt idx="4895">
                  <c:v>857.803</c:v>
                </c:pt>
                <c:pt idx="4896">
                  <c:v>857.974</c:v>
                </c:pt>
                <c:pt idx="4897">
                  <c:v>858.144</c:v>
                </c:pt>
                <c:pt idx="4898">
                  <c:v>858.314</c:v>
                </c:pt>
                <c:pt idx="4899">
                  <c:v>858.4829999999994</c:v>
                </c:pt>
                <c:pt idx="4900">
                  <c:v>858.6519999999994</c:v>
                </c:pt>
                <c:pt idx="4901">
                  <c:v>858.8199999999994</c:v>
                </c:pt>
                <c:pt idx="4902">
                  <c:v>858.993</c:v>
                </c:pt>
                <c:pt idx="4903">
                  <c:v>859.169</c:v>
                </c:pt>
                <c:pt idx="4904">
                  <c:v>859.3449999999979</c:v>
                </c:pt>
                <c:pt idx="4905">
                  <c:v>859.519</c:v>
                </c:pt>
                <c:pt idx="4906">
                  <c:v>859.69</c:v>
                </c:pt>
                <c:pt idx="4907">
                  <c:v>859.8599999999974</c:v>
                </c:pt>
                <c:pt idx="4908">
                  <c:v>860.0319999999994</c:v>
                </c:pt>
                <c:pt idx="4909">
                  <c:v>860.207</c:v>
                </c:pt>
                <c:pt idx="4910">
                  <c:v>860.379</c:v>
                </c:pt>
                <c:pt idx="4911">
                  <c:v>860.5559999999994</c:v>
                </c:pt>
                <c:pt idx="4912">
                  <c:v>860.739</c:v>
                </c:pt>
                <c:pt idx="4913">
                  <c:v>860.92</c:v>
                </c:pt>
                <c:pt idx="4914">
                  <c:v>861.097</c:v>
                </c:pt>
                <c:pt idx="4915">
                  <c:v>861.265</c:v>
                </c:pt>
                <c:pt idx="4916">
                  <c:v>861.428</c:v>
                </c:pt>
                <c:pt idx="4917">
                  <c:v>861.592</c:v>
                </c:pt>
                <c:pt idx="4918">
                  <c:v>861.7619999999994</c:v>
                </c:pt>
                <c:pt idx="4919">
                  <c:v>861.934</c:v>
                </c:pt>
                <c:pt idx="4920">
                  <c:v>862.1</c:v>
                </c:pt>
                <c:pt idx="4921">
                  <c:v>862.266</c:v>
                </c:pt>
                <c:pt idx="4922">
                  <c:v>862.4299999999994</c:v>
                </c:pt>
                <c:pt idx="4923">
                  <c:v>862.594</c:v>
                </c:pt>
                <c:pt idx="4924">
                  <c:v>862.761</c:v>
                </c:pt>
                <c:pt idx="4925">
                  <c:v>862.9319999999979</c:v>
                </c:pt>
                <c:pt idx="4926">
                  <c:v>863.106</c:v>
                </c:pt>
                <c:pt idx="4927">
                  <c:v>863.283</c:v>
                </c:pt>
                <c:pt idx="4928">
                  <c:v>863.4619999999974</c:v>
                </c:pt>
                <c:pt idx="4929">
                  <c:v>863.638</c:v>
                </c:pt>
                <c:pt idx="4930">
                  <c:v>863.8069999999979</c:v>
                </c:pt>
                <c:pt idx="4931">
                  <c:v>863.9689999999994</c:v>
                </c:pt>
                <c:pt idx="4932">
                  <c:v>864.1269999999994</c:v>
                </c:pt>
                <c:pt idx="4933">
                  <c:v>864.288</c:v>
                </c:pt>
                <c:pt idx="4934">
                  <c:v>864.4539999999994</c:v>
                </c:pt>
                <c:pt idx="4935">
                  <c:v>864.623</c:v>
                </c:pt>
                <c:pt idx="4936">
                  <c:v>864.791</c:v>
                </c:pt>
                <c:pt idx="4937">
                  <c:v>864.9569999999974</c:v>
                </c:pt>
                <c:pt idx="4938">
                  <c:v>865.121</c:v>
                </c:pt>
                <c:pt idx="4939">
                  <c:v>865.284</c:v>
                </c:pt>
                <c:pt idx="4940">
                  <c:v>865.4479999999974</c:v>
                </c:pt>
                <c:pt idx="4941">
                  <c:v>865.615</c:v>
                </c:pt>
                <c:pt idx="4942">
                  <c:v>865.788</c:v>
                </c:pt>
                <c:pt idx="4943">
                  <c:v>865.9629999999925</c:v>
                </c:pt>
                <c:pt idx="4944">
                  <c:v>866.14</c:v>
                </c:pt>
                <c:pt idx="4945">
                  <c:v>866.3169999999974</c:v>
                </c:pt>
                <c:pt idx="4946">
                  <c:v>866.49</c:v>
                </c:pt>
                <c:pt idx="4947">
                  <c:v>866.6569999999994</c:v>
                </c:pt>
                <c:pt idx="4948">
                  <c:v>866.8199999999994</c:v>
                </c:pt>
                <c:pt idx="4949">
                  <c:v>866.984</c:v>
                </c:pt>
                <c:pt idx="4950">
                  <c:v>867.15</c:v>
                </c:pt>
                <c:pt idx="4951">
                  <c:v>867.3159999999979</c:v>
                </c:pt>
                <c:pt idx="4952">
                  <c:v>867.485</c:v>
                </c:pt>
                <c:pt idx="4953">
                  <c:v>867.654</c:v>
                </c:pt>
                <c:pt idx="4954">
                  <c:v>867.8209999999979</c:v>
                </c:pt>
                <c:pt idx="4955">
                  <c:v>867.994</c:v>
                </c:pt>
                <c:pt idx="4956">
                  <c:v>868.164</c:v>
                </c:pt>
                <c:pt idx="4957">
                  <c:v>868.3259999999979</c:v>
                </c:pt>
                <c:pt idx="4958">
                  <c:v>868.49</c:v>
                </c:pt>
                <c:pt idx="4959">
                  <c:v>868.66</c:v>
                </c:pt>
                <c:pt idx="4960">
                  <c:v>868.8339999999994</c:v>
                </c:pt>
                <c:pt idx="4961">
                  <c:v>869.009</c:v>
                </c:pt>
                <c:pt idx="4962">
                  <c:v>869.183</c:v>
                </c:pt>
                <c:pt idx="4963">
                  <c:v>869.3589999999994</c:v>
                </c:pt>
                <c:pt idx="4964">
                  <c:v>869.534</c:v>
                </c:pt>
                <c:pt idx="4965">
                  <c:v>869.707</c:v>
                </c:pt>
                <c:pt idx="4966">
                  <c:v>869.879</c:v>
                </c:pt>
                <c:pt idx="4967">
                  <c:v>870.053</c:v>
                </c:pt>
                <c:pt idx="4968">
                  <c:v>870.223</c:v>
                </c:pt>
                <c:pt idx="4969">
                  <c:v>870.391</c:v>
                </c:pt>
                <c:pt idx="4970">
                  <c:v>870.554</c:v>
                </c:pt>
                <c:pt idx="4971">
                  <c:v>870.717</c:v>
                </c:pt>
                <c:pt idx="4972">
                  <c:v>870.8819999999994</c:v>
                </c:pt>
                <c:pt idx="4973">
                  <c:v>871.05</c:v>
                </c:pt>
                <c:pt idx="4974">
                  <c:v>871.221</c:v>
                </c:pt>
                <c:pt idx="4975">
                  <c:v>871.394</c:v>
                </c:pt>
                <c:pt idx="4976">
                  <c:v>871.5669999999974</c:v>
                </c:pt>
                <c:pt idx="4977">
                  <c:v>871.737</c:v>
                </c:pt>
                <c:pt idx="4978">
                  <c:v>871.908</c:v>
                </c:pt>
                <c:pt idx="4979">
                  <c:v>872.083</c:v>
                </c:pt>
                <c:pt idx="4980">
                  <c:v>872.254</c:v>
                </c:pt>
                <c:pt idx="4981">
                  <c:v>872.424</c:v>
                </c:pt>
                <c:pt idx="4982">
                  <c:v>872.595</c:v>
                </c:pt>
                <c:pt idx="4983">
                  <c:v>872.765</c:v>
                </c:pt>
                <c:pt idx="4984">
                  <c:v>872.9359999999979</c:v>
                </c:pt>
                <c:pt idx="4985">
                  <c:v>873.107</c:v>
                </c:pt>
                <c:pt idx="4986">
                  <c:v>873.281</c:v>
                </c:pt>
                <c:pt idx="4987">
                  <c:v>873.4529999999974</c:v>
                </c:pt>
                <c:pt idx="4988">
                  <c:v>873.621</c:v>
                </c:pt>
                <c:pt idx="4989">
                  <c:v>873.79</c:v>
                </c:pt>
                <c:pt idx="4990">
                  <c:v>873.9569999999974</c:v>
                </c:pt>
                <c:pt idx="4991">
                  <c:v>874.125</c:v>
                </c:pt>
                <c:pt idx="4992">
                  <c:v>874.294</c:v>
                </c:pt>
                <c:pt idx="4993">
                  <c:v>874.4609999999974</c:v>
                </c:pt>
                <c:pt idx="4994">
                  <c:v>874.6269999999994</c:v>
                </c:pt>
                <c:pt idx="4995">
                  <c:v>874.794</c:v>
                </c:pt>
                <c:pt idx="4996">
                  <c:v>874.9629999999925</c:v>
                </c:pt>
                <c:pt idx="4997">
                  <c:v>875.13</c:v>
                </c:pt>
                <c:pt idx="4998">
                  <c:v>875.3</c:v>
                </c:pt>
                <c:pt idx="4999">
                  <c:v>875.47</c:v>
                </c:pt>
                <c:pt idx="5000">
                  <c:v>875.64</c:v>
                </c:pt>
                <c:pt idx="5001">
                  <c:v>875.8129999999974</c:v>
                </c:pt>
                <c:pt idx="5002">
                  <c:v>875.985</c:v>
                </c:pt>
                <c:pt idx="5003">
                  <c:v>876.1559999999994</c:v>
                </c:pt>
                <c:pt idx="5004">
                  <c:v>876.3279999999974</c:v>
                </c:pt>
                <c:pt idx="5005">
                  <c:v>876.5019999999994</c:v>
                </c:pt>
                <c:pt idx="5006">
                  <c:v>876.674</c:v>
                </c:pt>
                <c:pt idx="5007">
                  <c:v>876.8449999999979</c:v>
                </c:pt>
                <c:pt idx="5008">
                  <c:v>877.014</c:v>
                </c:pt>
                <c:pt idx="5009">
                  <c:v>877.186</c:v>
                </c:pt>
                <c:pt idx="5010">
                  <c:v>877.3559999999974</c:v>
                </c:pt>
                <c:pt idx="5011">
                  <c:v>877.529</c:v>
                </c:pt>
                <c:pt idx="5012">
                  <c:v>877.701</c:v>
                </c:pt>
                <c:pt idx="5013">
                  <c:v>877.8689999999979</c:v>
                </c:pt>
                <c:pt idx="5014">
                  <c:v>878.0409999999994</c:v>
                </c:pt>
                <c:pt idx="5015">
                  <c:v>878.2140000000001</c:v>
                </c:pt>
                <c:pt idx="5016">
                  <c:v>878.3869999999994</c:v>
                </c:pt>
                <c:pt idx="5017">
                  <c:v>878.5609999999979</c:v>
                </c:pt>
                <c:pt idx="5018">
                  <c:v>878.737</c:v>
                </c:pt>
                <c:pt idx="5019">
                  <c:v>878.913</c:v>
                </c:pt>
                <c:pt idx="5020">
                  <c:v>879.085</c:v>
                </c:pt>
                <c:pt idx="5021">
                  <c:v>879.256</c:v>
                </c:pt>
                <c:pt idx="5022">
                  <c:v>879.4269999999979</c:v>
                </c:pt>
                <c:pt idx="5023">
                  <c:v>879.6</c:v>
                </c:pt>
                <c:pt idx="5024">
                  <c:v>879.772</c:v>
                </c:pt>
                <c:pt idx="5025">
                  <c:v>879.9429999999974</c:v>
                </c:pt>
                <c:pt idx="5026">
                  <c:v>880.116</c:v>
                </c:pt>
                <c:pt idx="5027">
                  <c:v>880.289</c:v>
                </c:pt>
                <c:pt idx="5028">
                  <c:v>880.4619999999974</c:v>
                </c:pt>
                <c:pt idx="5029">
                  <c:v>880.636</c:v>
                </c:pt>
                <c:pt idx="5030">
                  <c:v>880.8099999999994</c:v>
                </c:pt>
                <c:pt idx="5031">
                  <c:v>880.984</c:v>
                </c:pt>
                <c:pt idx="5032">
                  <c:v>881.1559999999994</c:v>
                </c:pt>
                <c:pt idx="5033">
                  <c:v>881.3299999999994</c:v>
                </c:pt>
                <c:pt idx="5034">
                  <c:v>881.503</c:v>
                </c:pt>
                <c:pt idx="5035">
                  <c:v>881.676</c:v>
                </c:pt>
                <c:pt idx="5036">
                  <c:v>881.8499999999979</c:v>
                </c:pt>
                <c:pt idx="5037">
                  <c:v>882.023</c:v>
                </c:pt>
                <c:pt idx="5038">
                  <c:v>882.195</c:v>
                </c:pt>
                <c:pt idx="5039">
                  <c:v>882.3669999999836</c:v>
                </c:pt>
                <c:pt idx="5040">
                  <c:v>882.538</c:v>
                </c:pt>
                <c:pt idx="5041">
                  <c:v>882.708</c:v>
                </c:pt>
                <c:pt idx="5042">
                  <c:v>882.88</c:v>
                </c:pt>
                <c:pt idx="5043">
                  <c:v>883.054</c:v>
                </c:pt>
                <c:pt idx="5044">
                  <c:v>883.227</c:v>
                </c:pt>
                <c:pt idx="5045">
                  <c:v>883.4009999999994</c:v>
                </c:pt>
                <c:pt idx="5046">
                  <c:v>883.576</c:v>
                </c:pt>
                <c:pt idx="5047">
                  <c:v>883.75</c:v>
                </c:pt>
                <c:pt idx="5048">
                  <c:v>883.9249999999994</c:v>
                </c:pt>
                <c:pt idx="5049">
                  <c:v>884.096</c:v>
                </c:pt>
                <c:pt idx="5050">
                  <c:v>884.264</c:v>
                </c:pt>
                <c:pt idx="5051">
                  <c:v>884.434</c:v>
                </c:pt>
                <c:pt idx="5052">
                  <c:v>884.606</c:v>
                </c:pt>
                <c:pt idx="5053">
                  <c:v>884.781</c:v>
                </c:pt>
                <c:pt idx="5054">
                  <c:v>884.9549999999994</c:v>
                </c:pt>
                <c:pt idx="5055">
                  <c:v>885.128</c:v>
                </c:pt>
                <c:pt idx="5056">
                  <c:v>885.3019999999979</c:v>
                </c:pt>
                <c:pt idx="5057">
                  <c:v>885.475</c:v>
                </c:pt>
                <c:pt idx="5058">
                  <c:v>885.649</c:v>
                </c:pt>
                <c:pt idx="5059">
                  <c:v>885.8259999999979</c:v>
                </c:pt>
                <c:pt idx="5060">
                  <c:v>886.0019999999994</c:v>
                </c:pt>
                <c:pt idx="5061">
                  <c:v>886.178</c:v>
                </c:pt>
                <c:pt idx="5062">
                  <c:v>886.3529999999918</c:v>
                </c:pt>
                <c:pt idx="5063">
                  <c:v>886.5269999999994</c:v>
                </c:pt>
                <c:pt idx="5064">
                  <c:v>886.698</c:v>
                </c:pt>
                <c:pt idx="5065">
                  <c:v>886.872</c:v>
                </c:pt>
                <c:pt idx="5066">
                  <c:v>887.043</c:v>
                </c:pt>
                <c:pt idx="5067">
                  <c:v>887.215</c:v>
                </c:pt>
                <c:pt idx="5068">
                  <c:v>887.389</c:v>
                </c:pt>
                <c:pt idx="5069">
                  <c:v>887.5619999999974</c:v>
                </c:pt>
                <c:pt idx="5070">
                  <c:v>887.734</c:v>
                </c:pt>
                <c:pt idx="5071">
                  <c:v>887.904</c:v>
                </c:pt>
                <c:pt idx="5072">
                  <c:v>888.074</c:v>
                </c:pt>
                <c:pt idx="5073">
                  <c:v>888.246</c:v>
                </c:pt>
                <c:pt idx="5074">
                  <c:v>888.419</c:v>
                </c:pt>
                <c:pt idx="5075">
                  <c:v>888.591</c:v>
                </c:pt>
                <c:pt idx="5076">
                  <c:v>888.761</c:v>
                </c:pt>
                <c:pt idx="5077">
                  <c:v>888.9299999999994</c:v>
                </c:pt>
                <c:pt idx="5078">
                  <c:v>889.1</c:v>
                </c:pt>
                <c:pt idx="5079">
                  <c:v>889.266</c:v>
                </c:pt>
                <c:pt idx="5080">
                  <c:v>889.4359999999979</c:v>
                </c:pt>
                <c:pt idx="5081">
                  <c:v>889.6079999999994</c:v>
                </c:pt>
                <c:pt idx="5082">
                  <c:v>889.782</c:v>
                </c:pt>
                <c:pt idx="5083">
                  <c:v>889.9549999999994</c:v>
                </c:pt>
                <c:pt idx="5084">
                  <c:v>890.1269999999994</c:v>
                </c:pt>
                <c:pt idx="5085">
                  <c:v>890.299</c:v>
                </c:pt>
                <c:pt idx="5086">
                  <c:v>890.473</c:v>
                </c:pt>
                <c:pt idx="5087">
                  <c:v>890.65</c:v>
                </c:pt>
                <c:pt idx="5088">
                  <c:v>890.8229999999974</c:v>
                </c:pt>
                <c:pt idx="5089">
                  <c:v>890.997</c:v>
                </c:pt>
                <c:pt idx="5090">
                  <c:v>891.169</c:v>
                </c:pt>
                <c:pt idx="5091">
                  <c:v>891.3369999999974</c:v>
                </c:pt>
                <c:pt idx="5092">
                  <c:v>891.508</c:v>
                </c:pt>
                <c:pt idx="5093">
                  <c:v>891.678</c:v>
                </c:pt>
                <c:pt idx="5094">
                  <c:v>891.8469999999974</c:v>
                </c:pt>
                <c:pt idx="5095">
                  <c:v>892.018</c:v>
                </c:pt>
                <c:pt idx="5096">
                  <c:v>892.188</c:v>
                </c:pt>
                <c:pt idx="5097">
                  <c:v>892.3609999999974</c:v>
                </c:pt>
                <c:pt idx="5098">
                  <c:v>892.534</c:v>
                </c:pt>
                <c:pt idx="5099">
                  <c:v>892.706</c:v>
                </c:pt>
                <c:pt idx="5100">
                  <c:v>892.8769999999994</c:v>
                </c:pt>
                <c:pt idx="5101">
                  <c:v>893.048</c:v>
                </c:pt>
                <c:pt idx="5102">
                  <c:v>893.222</c:v>
                </c:pt>
                <c:pt idx="5103">
                  <c:v>893.396</c:v>
                </c:pt>
                <c:pt idx="5104">
                  <c:v>893.572</c:v>
                </c:pt>
                <c:pt idx="5105">
                  <c:v>893.747</c:v>
                </c:pt>
                <c:pt idx="5106">
                  <c:v>893.919</c:v>
                </c:pt>
                <c:pt idx="5107">
                  <c:v>894.091</c:v>
                </c:pt>
                <c:pt idx="5108">
                  <c:v>894.265</c:v>
                </c:pt>
                <c:pt idx="5109">
                  <c:v>894.4399999999994</c:v>
                </c:pt>
                <c:pt idx="5110">
                  <c:v>894.614</c:v>
                </c:pt>
                <c:pt idx="5111">
                  <c:v>894.787</c:v>
                </c:pt>
                <c:pt idx="5112">
                  <c:v>894.9599999999979</c:v>
                </c:pt>
                <c:pt idx="5113">
                  <c:v>895.133</c:v>
                </c:pt>
                <c:pt idx="5114">
                  <c:v>895.309</c:v>
                </c:pt>
                <c:pt idx="5115">
                  <c:v>895.486</c:v>
                </c:pt>
                <c:pt idx="5116">
                  <c:v>895.6619999999979</c:v>
                </c:pt>
                <c:pt idx="5117">
                  <c:v>895.8390000000001</c:v>
                </c:pt>
                <c:pt idx="5118">
                  <c:v>896.016</c:v>
                </c:pt>
                <c:pt idx="5119">
                  <c:v>896.189</c:v>
                </c:pt>
                <c:pt idx="5120">
                  <c:v>896.3599999999974</c:v>
                </c:pt>
                <c:pt idx="5121">
                  <c:v>896.5309999999994</c:v>
                </c:pt>
                <c:pt idx="5122">
                  <c:v>896.704</c:v>
                </c:pt>
                <c:pt idx="5123">
                  <c:v>896.8769999999994</c:v>
                </c:pt>
                <c:pt idx="5124">
                  <c:v>897.049</c:v>
                </c:pt>
                <c:pt idx="5125">
                  <c:v>897.223</c:v>
                </c:pt>
                <c:pt idx="5126">
                  <c:v>897.3969999999994</c:v>
                </c:pt>
                <c:pt idx="5127">
                  <c:v>897.57</c:v>
                </c:pt>
                <c:pt idx="5128">
                  <c:v>897.737</c:v>
                </c:pt>
                <c:pt idx="5129">
                  <c:v>897.904</c:v>
                </c:pt>
                <c:pt idx="5130">
                  <c:v>898.075</c:v>
                </c:pt>
                <c:pt idx="5131">
                  <c:v>898.246</c:v>
                </c:pt>
                <c:pt idx="5132">
                  <c:v>898.418</c:v>
                </c:pt>
                <c:pt idx="5133">
                  <c:v>898.5890000000001</c:v>
                </c:pt>
                <c:pt idx="5134">
                  <c:v>898.761</c:v>
                </c:pt>
                <c:pt idx="5135">
                  <c:v>898.9329999999974</c:v>
                </c:pt>
                <c:pt idx="5136">
                  <c:v>899.106</c:v>
                </c:pt>
                <c:pt idx="5137">
                  <c:v>899.276</c:v>
                </c:pt>
                <c:pt idx="5138">
                  <c:v>899.4459999999979</c:v>
                </c:pt>
                <c:pt idx="5139">
                  <c:v>899.614</c:v>
                </c:pt>
                <c:pt idx="5140">
                  <c:v>899.783</c:v>
                </c:pt>
                <c:pt idx="5141">
                  <c:v>899.9539999999994</c:v>
                </c:pt>
                <c:pt idx="5142">
                  <c:v>900.129</c:v>
                </c:pt>
                <c:pt idx="5143">
                  <c:v>900.3019999999979</c:v>
                </c:pt>
                <c:pt idx="5144">
                  <c:v>900.475</c:v>
                </c:pt>
                <c:pt idx="5145">
                  <c:v>900.646</c:v>
                </c:pt>
                <c:pt idx="5146">
                  <c:v>900.814</c:v>
                </c:pt>
                <c:pt idx="5147">
                  <c:v>900.982</c:v>
                </c:pt>
                <c:pt idx="5148">
                  <c:v>901.1509999999994</c:v>
                </c:pt>
                <c:pt idx="5149">
                  <c:v>901.3199999999994</c:v>
                </c:pt>
                <c:pt idx="5150">
                  <c:v>901.489</c:v>
                </c:pt>
                <c:pt idx="5151">
                  <c:v>901.655</c:v>
                </c:pt>
                <c:pt idx="5152">
                  <c:v>901.8249999999994</c:v>
                </c:pt>
                <c:pt idx="5153">
                  <c:v>901.998</c:v>
                </c:pt>
                <c:pt idx="5154">
                  <c:v>902.17</c:v>
                </c:pt>
                <c:pt idx="5155">
                  <c:v>902.3409999999974</c:v>
                </c:pt>
                <c:pt idx="5156">
                  <c:v>902.508</c:v>
                </c:pt>
                <c:pt idx="5157">
                  <c:v>902.674</c:v>
                </c:pt>
                <c:pt idx="5158">
                  <c:v>902.8399999999979</c:v>
                </c:pt>
                <c:pt idx="5159">
                  <c:v>903.0069999999994</c:v>
                </c:pt>
              </c:numCache>
            </c:numRef>
          </c:xVal>
          <c:yVal>
            <c:numRef>
              <c:f>'28DCB'!$C$6:$C$5165</c:f>
              <c:numCache>
                <c:formatCode>General</c:formatCode>
                <c:ptCount val="5160"/>
                <c:pt idx="0">
                  <c:v>99.71618</c:v>
                </c:pt>
                <c:pt idx="1">
                  <c:v>99.70851</c:v>
                </c:pt>
                <c:pt idx="2">
                  <c:v>99.69506</c:v>
                </c:pt>
                <c:pt idx="3">
                  <c:v>99.68067</c:v>
                </c:pt>
                <c:pt idx="4">
                  <c:v>99.66729</c:v>
                </c:pt>
                <c:pt idx="5">
                  <c:v>99.65</c:v>
                </c:pt>
                <c:pt idx="6">
                  <c:v>99.63756</c:v>
                </c:pt>
                <c:pt idx="7">
                  <c:v>99.62605999999998</c:v>
                </c:pt>
                <c:pt idx="8">
                  <c:v>99.60783</c:v>
                </c:pt>
                <c:pt idx="9">
                  <c:v>99.59344</c:v>
                </c:pt>
                <c:pt idx="10">
                  <c:v>99.57521</c:v>
                </c:pt>
                <c:pt idx="11">
                  <c:v>99.55793000000001</c:v>
                </c:pt>
                <c:pt idx="12">
                  <c:v>99.54549</c:v>
                </c:pt>
                <c:pt idx="13">
                  <c:v>99.52537999999888</c:v>
                </c:pt>
                <c:pt idx="14">
                  <c:v>99.50808999999998</c:v>
                </c:pt>
                <c:pt idx="15">
                  <c:v>99.49182</c:v>
                </c:pt>
                <c:pt idx="16">
                  <c:v>99.47265</c:v>
                </c:pt>
                <c:pt idx="17">
                  <c:v>99.45826</c:v>
                </c:pt>
                <c:pt idx="18">
                  <c:v>99.44097</c:v>
                </c:pt>
                <c:pt idx="19">
                  <c:v>99.42086</c:v>
                </c:pt>
                <c:pt idx="20">
                  <c:v>99.40358</c:v>
                </c:pt>
                <c:pt idx="21">
                  <c:v>99.38152</c:v>
                </c:pt>
                <c:pt idx="22">
                  <c:v>99.35946</c:v>
                </c:pt>
                <c:pt idx="23">
                  <c:v>99.34506</c:v>
                </c:pt>
                <c:pt idx="24">
                  <c:v>99.32878999999878</c:v>
                </c:pt>
                <c:pt idx="25">
                  <c:v>99.3144</c:v>
                </c:pt>
                <c:pt idx="26">
                  <c:v>99.29812</c:v>
                </c:pt>
                <c:pt idx="27">
                  <c:v>99.27794</c:v>
                </c:pt>
                <c:pt idx="28">
                  <c:v>99.25877999999948</c:v>
                </c:pt>
                <c:pt idx="29">
                  <c:v>99.23772</c:v>
                </c:pt>
                <c:pt idx="30">
                  <c:v>99.21755</c:v>
                </c:pt>
                <c:pt idx="31">
                  <c:v>99.20033</c:v>
                </c:pt>
                <c:pt idx="32">
                  <c:v>99.18109</c:v>
                </c:pt>
                <c:pt idx="33">
                  <c:v>99.16387999999998</c:v>
                </c:pt>
                <c:pt idx="34">
                  <c:v>99.14565</c:v>
                </c:pt>
                <c:pt idx="35">
                  <c:v>99.12264999999998</c:v>
                </c:pt>
                <c:pt idx="36">
                  <c:v>99.10153</c:v>
                </c:pt>
                <c:pt idx="37">
                  <c:v>99.08425</c:v>
                </c:pt>
                <c:pt idx="38">
                  <c:v>99.06797</c:v>
                </c:pt>
                <c:pt idx="39">
                  <c:v>99.05647</c:v>
                </c:pt>
                <c:pt idx="40">
                  <c:v>99.03534999999998</c:v>
                </c:pt>
                <c:pt idx="41">
                  <c:v>99.01524</c:v>
                </c:pt>
                <c:pt idx="42">
                  <c:v>98.99702</c:v>
                </c:pt>
                <c:pt idx="43">
                  <c:v>98.97972999999997</c:v>
                </c:pt>
                <c:pt idx="44">
                  <c:v>98.96251</c:v>
                </c:pt>
                <c:pt idx="45">
                  <c:v>98.94335</c:v>
                </c:pt>
                <c:pt idx="46">
                  <c:v>98.92317000000001</c:v>
                </c:pt>
                <c:pt idx="47">
                  <c:v>98.90689</c:v>
                </c:pt>
                <c:pt idx="48">
                  <c:v>98.88961</c:v>
                </c:pt>
                <c:pt idx="49">
                  <c:v>98.87238999999855</c:v>
                </c:pt>
                <c:pt idx="50">
                  <c:v>98.85604999999998</c:v>
                </c:pt>
                <c:pt idx="51">
                  <c:v>98.83687999999998</c:v>
                </c:pt>
                <c:pt idx="52">
                  <c:v>98.8206</c:v>
                </c:pt>
                <c:pt idx="53">
                  <c:v>98.80527</c:v>
                </c:pt>
                <c:pt idx="54">
                  <c:v>98.78799</c:v>
                </c:pt>
                <c:pt idx="55">
                  <c:v>98.7707</c:v>
                </c:pt>
                <c:pt idx="56">
                  <c:v>98.75442</c:v>
                </c:pt>
                <c:pt idx="57">
                  <c:v>98.7362</c:v>
                </c:pt>
                <c:pt idx="58">
                  <c:v>98.72181</c:v>
                </c:pt>
                <c:pt idx="59">
                  <c:v>98.70553</c:v>
                </c:pt>
                <c:pt idx="60">
                  <c:v>98.69114</c:v>
                </c:pt>
                <c:pt idx="61">
                  <c:v>98.67485999999998</c:v>
                </c:pt>
                <c:pt idx="62">
                  <c:v>98.65757999999998</c:v>
                </c:pt>
                <c:pt idx="63">
                  <c:v>98.64318</c:v>
                </c:pt>
                <c:pt idx="64">
                  <c:v>98.62878999999845</c:v>
                </c:pt>
                <c:pt idx="65">
                  <c:v>98.61346</c:v>
                </c:pt>
                <c:pt idx="66">
                  <c:v>98.59812</c:v>
                </c:pt>
                <c:pt idx="67">
                  <c:v>98.58278999999965</c:v>
                </c:pt>
                <c:pt idx="68">
                  <c:v>98.56651</c:v>
                </c:pt>
                <c:pt idx="69">
                  <c:v>98.554</c:v>
                </c:pt>
                <c:pt idx="70">
                  <c:v>98.53961</c:v>
                </c:pt>
                <c:pt idx="71">
                  <c:v>98.52623000000001</c:v>
                </c:pt>
                <c:pt idx="72">
                  <c:v>98.50417</c:v>
                </c:pt>
                <c:pt idx="73">
                  <c:v>98.49172</c:v>
                </c:pt>
                <c:pt idx="74">
                  <c:v>98.48022</c:v>
                </c:pt>
                <c:pt idx="75">
                  <c:v>98.46677</c:v>
                </c:pt>
                <c:pt idx="76">
                  <c:v>98.45237999999995</c:v>
                </c:pt>
                <c:pt idx="77">
                  <c:v>98.43799</c:v>
                </c:pt>
                <c:pt idx="78">
                  <c:v>98.42554</c:v>
                </c:pt>
                <c:pt idx="79">
                  <c:v>98.4131</c:v>
                </c:pt>
                <c:pt idx="80">
                  <c:v>98.40059</c:v>
                </c:pt>
                <c:pt idx="81">
                  <c:v>98.39293</c:v>
                </c:pt>
                <c:pt idx="82">
                  <c:v>98.37570999999878</c:v>
                </c:pt>
                <c:pt idx="83">
                  <c:v>98.35935999999998</c:v>
                </c:pt>
                <c:pt idx="84">
                  <c:v>98.34497</c:v>
                </c:pt>
                <c:pt idx="85">
                  <c:v>98.33159</c:v>
                </c:pt>
                <c:pt idx="86">
                  <c:v>98.3172</c:v>
                </c:pt>
                <c:pt idx="87">
                  <c:v>98.30279999999995</c:v>
                </c:pt>
                <c:pt idx="88">
                  <c:v>98.28935</c:v>
                </c:pt>
                <c:pt idx="89">
                  <c:v>98.27596999999998</c:v>
                </c:pt>
                <c:pt idx="90">
                  <c:v>98.26346</c:v>
                </c:pt>
                <c:pt idx="91">
                  <c:v>98.25102</c:v>
                </c:pt>
                <c:pt idx="92">
                  <c:v>98.23662</c:v>
                </c:pt>
                <c:pt idx="93">
                  <c:v>98.22418</c:v>
                </c:pt>
                <c:pt idx="94">
                  <c:v>98.21073000000001</c:v>
                </c:pt>
                <c:pt idx="95">
                  <c:v>98.19735</c:v>
                </c:pt>
                <c:pt idx="96">
                  <c:v>98.18583999999898</c:v>
                </c:pt>
                <c:pt idx="97">
                  <c:v>98.17333999999855</c:v>
                </c:pt>
                <c:pt idx="98">
                  <c:v>98.15893999999938</c:v>
                </c:pt>
                <c:pt idx="99">
                  <c:v>98.1465</c:v>
                </c:pt>
                <c:pt idx="100">
                  <c:v>98.13593999999995</c:v>
                </c:pt>
                <c:pt idx="101">
                  <c:v>98.12349999999998</c:v>
                </c:pt>
                <c:pt idx="102">
                  <c:v>98.112</c:v>
                </c:pt>
                <c:pt idx="103">
                  <c:v>98.09855</c:v>
                </c:pt>
                <c:pt idx="104">
                  <c:v>98.08705</c:v>
                </c:pt>
                <c:pt idx="105">
                  <c:v>98.07554999999998</c:v>
                </c:pt>
                <c:pt idx="106">
                  <c:v>98.06499</c:v>
                </c:pt>
                <c:pt idx="107">
                  <c:v>98.05253999999998</c:v>
                </c:pt>
                <c:pt idx="108">
                  <c:v>98.0401</c:v>
                </c:pt>
                <c:pt idx="109">
                  <c:v>98.02759</c:v>
                </c:pt>
                <c:pt idx="110">
                  <c:v>98.01703</c:v>
                </c:pt>
                <c:pt idx="111">
                  <c:v>98.00553</c:v>
                </c:pt>
                <c:pt idx="112">
                  <c:v>97.99309</c:v>
                </c:pt>
                <c:pt idx="113">
                  <c:v>97.98159</c:v>
                </c:pt>
                <c:pt idx="114">
                  <c:v>97.96915</c:v>
                </c:pt>
                <c:pt idx="115">
                  <c:v>97.95859</c:v>
                </c:pt>
                <c:pt idx="116">
                  <c:v>97.94803</c:v>
                </c:pt>
                <c:pt idx="117">
                  <c:v>97.93841</c:v>
                </c:pt>
                <c:pt idx="118">
                  <c:v>97.92597</c:v>
                </c:pt>
                <c:pt idx="119">
                  <c:v>97.91447</c:v>
                </c:pt>
                <c:pt idx="120">
                  <c:v>97.90391</c:v>
                </c:pt>
                <c:pt idx="121">
                  <c:v>97.89241</c:v>
                </c:pt>
                <c:pt idx="122">
                  <c:v>97.88185</c:v>
                </c:pt>
                <c:pt idx="123">
                  <c:v>97.87034999999958</c:v>
                </c:pt>
                <c:pt idx="124">
                  <c:v>97.85884999999985</c:v>
                </c:pt>
                <c:pt idx="125">
                  <c:v>97.84829</c:v>
                </c:pt>
                <c:pt idx="126">
                  <c:v>97.83873999999948</c:v>
                </c:pt>
                <c:pt idx="127">
                  <c:v>97.82817999999965</c:v>
                </c:pt>
                <c:pt idx="128">
                  <c:v>97.81668</c:v>
                </c:pt>
                <c:pt idx="129">
                  <c:v>97.80417000000001</c:v>
                </c:pt>
                <c:pt idx="130">
                  <c:v>97.79462</c:v>
                </c:pt>
                <c:pt idx="131">
                  <c:v>97.78406</c:v>
                </c:pt>
                <c:pt idx="132">
                  <c:v>97.7735</c:v>
                </c:pt>
                <c:pt idx="133">
                  <c:v>97.762</c:v>
                </c:pt>
                <c:pt idx="134">
                  <c:v>97.7505</c:v>
                </c:pt>
                <c:pt idx="135">
                  <c:v>97.73994</c:v>
                </c:pt>
                <c:pt idx="136">
                  <c:v>97.73039</c:v>
                </c:pt>
                <c:pt idx="137">
                  <c:v>97.71983</c:v>
                </c:pt>
                <c:pt idx="138">
                  <c:v>97.71021</c:v>
                </c:pt>
                <c:pt idx="139">
                  <c:v>97.69777</c:v>
                </c:pt>
                <c:pt idx="140">
                  <c:v>97.68721</c:v>
                </c:pt>
                <c:pt idx="141">
                  <c:v>97.67664999999998</c:v>
                </c:pt>
                <c:pt idx="142">
                  <c:v>97.6671</c:v>
                </c:pt>
                <c:pt idx="143">
                  <c:v>97.65653999999998</c:v>
                </c:pt>
                <c:pt idx="144">
                  <c:v>97.64503999999998</c:v>
                </c:pt>
                <c:pt idx="145">
                  <c:v>97.63353999999998</c:v>
                </c:pt>
                <c:pt idx="146">
                  <c:v>97.62392</c:v>
                </c:pt>
                <c:pt idx="147">
                  <c:v>97.61336</c:v>
                </c:pt>
                <c:pt idx="148">
                  <c:v>97.60280999999995</c:v>
                </c:pt>
                <c:pt idx="149">
                  <c:v>97.5913</c:v>
                </c:pt>
                <c:pt idx="150">
                  <c:v>97.58074999999998</c:v>
                </c:pt>
                <c:pt idx="151">
                  <c:v>97.57025</c:v>
                </c:pt>
                <c:pt idx="152">
                  <c:v>97.56064</c:v>
                </c:pt>
                <c:pt idx="153">
                  <c:v>97.55202999999997</c:v>
                </c:pt>
                <c:pt idx="154">
                  <c:v>97.54053</c:v>
                </c:pt>
                <c:pt idx="155">
                  <c:v>97.52997</c:v>
                </c:pt>
                <c:pt idx="156">
                  <c:v>97.51847</c:v>
                </c:pt>
                <c:pt idx="157">
                  <c:v>97.50884999999998</c:v>
                </c:pt>
                <c:pt idx="158">
                  <c:v>97.49829</c:v>
                </c:pt>
                <c:pt idx="159">
                  <c:v>97.48679</c:v>
                </c:pt>
                <c:pt idx="160">
                  <c:v>97.47623</c:v>
                </c:pt>
                <c:pt idx="161">
                  <c:v>97.46573999999998</c:v>
                </c:pt>
                <c:pt idx="162">
                  <c:v>97.45706</c:v>
                </c:pt>
                <c:pt idx="163">
                  <c:v>97.44657</c:v>
                </c:pt>
                <c:pt idx="164">
                  <c:v>97.435</c:v>
                </c:pt>
                <c:pt idx="165">
                  <c:v>97.42451</c:v>
                </c:pt>
                <c:pt idx="166">
                  <c:v>97.41489</c:v>
                </c:pt>
                <c:pt idx="167">
                  <c:v>97.40528</c:v>
                </c:pt>
                <c:pt idx="168">
                  <c:v>97.39477999999998</c:v>
                </c:pt>
                <c:pt idx="169">
                  <c:v>97.38422</c:v>
                </c:pt>
                <c:pt idx="170">
                  <c:v>97.37366999999997</c:v>
                </c:pt>
                <c:pt idx="171">
                  <c:v>97.36311</c:v>
                </c:pt>
                <c:pt idx="172">
                  <c:v>97.35356</c:v>
                </c:pt>
                <c:pt idx="173">
                  <c:v>97.34488</c:v>
                </c:pt>
                <c:pt idx="174">
                  <c:v>97.33432</c:v>
                </c:pt>
                <c:pt idx="175">
                  <c:v>97.32281999999998</c:v>
                </c:pt>
                <c:pt idx="176">
                  <c:v>97.31232999999997</c:v>
                </c:pt>
                <c:pt idx="177">
                  <c:v>97.30177</c:v>
                </c:pt>
                <c:pt idx="178">
                  <c:v>97.29121</c:v>
                </c:pt>
                <c:pt idx="179">
                  <c:v>97.28159</c:v>
                </c:pt>
                <c:pt idx="180">
                  <c:v>97.27103</c:v>
                </c:pt>
                <c:pt idx="181">
                  <c:v>97.25953000000001</c:v>
                </c:pt>
                <c:pt idx="182">
                  <c:v>97.25092</c:v>
                </c:pt>
                <c:pt idx="183">
                  <c:v>97.24137</c:v>
                </c:pt>
                <c:pt idx="184">
                  <c:v>97.23176</c:v>
                </c:pt>
                <c:pt idx="185">
                  <c:v>97.2212</c:v>
                </c:pt>
                <c:pt idx="186">
                  <c:v>97.20970000000001</c:v>
                </c:pt>
                <c:pt idx="187">
                  <c:v>97.19914</c:v>
                </c:pt>
                <c:pt idx="188">
                  <c:v>97.19053</c:v>
                </c:pt>
                <c:pt idx="189">
                  <c:v>97.18090999999998</c:v>
                </c:pt>
                <c:pt idx="190">
                  <c:v>97.17135999999998</c:v>
                </c:pt>
                <c:pt idx="191">
                  <c:v>97.15985999999998</c:v>
                </c:pt>
                <c:pt idx="192">
                  <c:v>97.15023999999998</c:v>
                </c:pt>
                <c:pt idx="193">
                  <c:v>97.14163</c:v>
                </c:pt>
                <c:pt idx="194">
                  <c:v>97.13201999999998</c:v>
                </c:pt>
                <c:pt idx="195">
                  <c:v>97.12146</c:v>
                </c:pt>
                <c:pt idx="196">
                  <c:v>97.10996</c:v>
                </c:pt>
                <c:pt idx="197">
                  <c:v>97.10040999999998</c:v>
                </c:pt>
                <c:pt idx="198">
                  <c:v>97.09079</c:v>
                </c:pt>
                <c:pt idx="199">
                  <c:v>97.08217999999998</c:v>
                </c:pt>
                <c:pt idx="200">
                  <c:v>97.07162</c:v>
                </c:pt>
                <c:pt idx="201">
                  <c:v>97.06200000000001</c:v>
                </c:pt>
                <c:pt idx="202">
                  <c:v>97.05151</c:v>
                </c:pt>
                <c:pt idx="203">
                  <c:v>97.04189</c:v>
                </c:pt>
                <c:pt idx="204">
                  <c:v>97.03328</c:v>
                </c:pt>
                <c:pt idx="205">
                  <c:v>97.02272999999998</c:v>
                </c:pt>
                <c:pt idx="206">
                  <c:v>97.01311</c:v>
                </c:pt>
                <c:pt idx="207">
                  <c:v>97.00161</c:v>
                </c:pt>
                <c:pt idx="208">
                  <c:v>96.993</c:v>
                </c:pt>
                <c:pt idx="209">
                  <c:v>96.98439</c:v>
                </c:pt>
                <c:pt idx="210">
                  <c:v>96.97570999999998</c:v>
                </c:pt>
                <c:pt idx="211">
                  <c:v>96.96038</c:v>
                </c:pt>
                <c:pt idx="212">
                  <c:v>96.94982</c:v>
                </c:pt>
                <c:pt idx="213">
                  <c:v>96.9441</c:v>
                </c:pt>
                <c:pt idx="214">
                  <c:v>96.94027000000002</c:v>
                </c:pt>
                <c:pt idx="215">
                  <c:v>96.92876999999998</c:v>
                </c:pt>
                <c:pt idx="216">
                  <c:v>96.91727</c:v>
                </c:pt>
                <c:pt idx="217">
                  <c:v>96.90671</c:v>
                </c:pt>
                <c:pt idx="218">
                  <c:v>96.89709</c:v>
                </c:pt>
                <c:pt idx="219">
                  <c:v>96.88754</c:v>
                </c:pt>
                <c:pt idx="220">
                  <c:v>96.87886999999998</c:v>
                </c:pt>
                <c:pt idx="221">
                  <c:v>96.86931</c:v>
                </c:pt>
                <c:pt idx="222">
                  <c:v>96.85969999999997</c:v>
                </c:pt>
                <c:pt idx="223">
                  <c:v>96.85015</c:v>
                </c:pt>
                <c:pt idx="224">
                  <c:v>96.84147</c:v>
                </c:pt>
                <c:pt idx="225">
                  <c:v>96.83285999999998</c:v>
                </c:pt>
                <c:pt idx="226">
                  <c:v>96.82229999999998</c:v>
                </c:pt>
                <c:pt idx="227">
                  <c:v>96.81274999999998</c:v>
                </c:pt>
                <c:pt idx="228">
                  <c:v>96.80408</c:v>
                </c:pt>
                <c:pt idx="229">
                  <c:v>96.79547</c:v>
                </c:pt>
                <c:pt idx="230">
                  <c:v>96.78584999999998</c:v>
                </c:pt>
                <c:pt idx="231">
                  <c:v>96.7763</c:v>
                </c:pt>
                <c:pt idx="232">
                  <c:v>96.76573999999998</c:v>
                </c:pt>
                <c:pt idx="233">
                  <c:v>96.75713</c:v>
                </c:pt>
                <c:pt idx="234">
                  <c:v>96.74947</c:v>
                </c:pt>
                <c:pt idx="235">
                  <c:v>96.73985</c:v>
                </c:pt>
                <c:pt idx="236">
                  <c:v>96.7303</c:v>
                </c:pt>
                <c:pt idx="237">
                  <c:v>96.72068</c:v>
                </c:pt>
                <c:pt idx="238">
                  <c:v>96.71106</c:v>
                </c:pt>
                <c:pt idx="239">
                  <c:v>96.7034</c:v>
                </c:pt>
                <c:pt idx="240">
                  <c:v>96.69383999999998</c:v>
                </c:pt>
                <c:pt idx="241">
                  <c:v>96.68423000000001</c:v>
                </c:pt>
                <c:pt idx="242">
                  <c:v>96.67467999999998</c:v>
                </c:pt>
                <c:pt idx="243">
                  <c:v>96.66599999999998</c:v>
                </c:pt>
                <c:pt idx="244">
                  <c:v>96.65644999999998</c:v>
                </c:pt>
                <c:pt idx="245">
                  <c:v>96.64877999999958</c:v>
                </c:pt>
                <c:pt idx="246">
                  <c:v>96.64011</c:v>
                </c:pt>
                <c:pt idx="247">
                  <c:v>96.63056</c:v>
                </c:pt>
                <c:pt idx="248">
                  <c:v>96.62187999999995</c:v>
                </c:pt>
                <c:pt idx="249">
                  <c:v>96.61327</c:v>
                </c:pt>
                <c:pt idx="250">
                  <c:v>96.60466</c:v>
                </c:pt>
                <c:pt idx="251">
                  <c:v>96.597</c:v>
                </c:pt>
                <c:pt idx="252">
                  <c:v>96.58737999999998</c:v>
                </c:pt>
                <c:pt idx="253">
                  <c:v>96.57783</c:v>
                </c:pt>
                <c:pt idx="254">
                  <c:v>96.56915</c:v>
                </c:pt>
                <c:pt idx="255">
                  <c:v>96.56054</c:v>
                </c:pt>
                <c:pt idx="256">
                  <c:v>96.55194</c:v>
                </c:pt>
                <c:pt idx="257">
                  <c:v>96.54326</c:v>
                </c:pt>
                <c:pt idx="258">
                  <c:v>96.53371</c:v>
                </c:pt>
                <c:pt idx="259">
                  <c:v>96.52509999999998</c:v>
                </c:pt>
                <c:pt idx="260">
                  <c:v>96.51642</c:v>
                </c:pt>
                <c:pt idx="261">
                  <c:v>96.50875999999998</c:v>
                </c:pt>
                <c:pt idx="262">
                  <c:v>96.50015</c:v>
                </c:pt>
                <c:pt idx="263">
                  <c:v>96.49154</c:v>
                </c:pt>
                <c:pt idx="264">
                  <c:v>96.48286</c:v>
                </c:pt>
                <c:pt idx="265">
                  <c:v>96.47425</c:v>
                </c:pt>
                <c:pt idx="266">
                  <c:v>96.46659</c:v>
                </c:pt>
                <c:pt idx="267">
                  <c:v>96.45798</c:v>
                </c:pt>
                <c:pt idx="268">
                  <c:v>96.4493</c:v>
                </c:pt>
                <c:pt idx="269">
                  <c:v>96.44069</c:v>
                </c:pt>
                <c:pt idx="270">
                  <c:v>96.43209</c:v>
                </c:pt>
                <c:pt idx="271">
                  <c:v>96.42341</c:v>
                </c:pt>
                <c:pt idx="272">
                  <c:v>96.41574</c:v>
                </c:pt>
                <c:pt idx="273">
                  <c:v>96.40713</c:v>
                </c:pt>
                <c:pt idx="274">
                  <c:v>96.39852</c:v>
                </c:pt>
                <c:pt idx="275">
                  <c:v>96.39086</c:v>
                </c:pt>
                <c:pt idx="276">
                  <c:v>96.38312</c:v>
                </c:pt>
                <c:pt idx="277">
                  <c:v>96.37451</c:v>
                </c:pt>
                <c:pt idx="278">
                  <c:v>96.36591</c:v>
                </c:pt>
                <c:pt idx="279">
                  <c:v>96.35629</c:v>
                </c:pt>
                <c:pt idx="280">
                  <c:v>96.34956</c:v>
                </c:pt>
                <c:pt idx="281">
                  <c:v>96.3419</c:v>
                </c:pt>
                <c:pt idx="282">
                  <c:v>96.33329</c:v>
                </c:pt>
                <c:pt idx="283">
                  <c:v>96.32468</c:v>
                </c:pt>
                <c:pt idx="284">
                  <c:v>96.31701</c:v>
                </c:pt>
                <c:pt idx="285">
                  <c:v>96.30933999999998</c:v>
                </c:pt>
                <c:pt idx="286">
                  <c:v>96.30067</c:v>
                </c:pt>
                <c:pt idx="287">
                  <c:v>96.293</c:v>
                </c:pt>
                <c:pt idx="288">
                  <c:v>96.28439</c:v>
                </c:pt>
                <c:pt idx="289">
                  <c:v>96.27577999999878</c:v>
                </c:pt>
                <c:pt idx="290">
                  <c:v>96.26812</c:v>
                </c:pt>
                <c:pt idx="291">
                  <c:v>96.26045</c:v>
                </c:pt>
                <c:pt idx="292">
                  <c:v>96.25177</c:v>
                </c:pt>
                <c:pt idx="293">
                  <c:v>96.24411</c:v>
                </c:pt>
                <c:pt idx="294">
                  <c:v>96.2355</c:v>
                </c:pt>
                <c:pt idx="295">
                  <c:v>96.22783</c:v>
                </c:pt>
                <c:pt idx="296">
                  <c:v>96.22016</c:v>
                </c:pt>
                <c:pt idx="297">
                  <c:v>96.2125</c:v>
                </c:pt>
                <c:pt idx="298">
                  <c:v>96.20382</c:v>
                </c:pt>
                <c:pt idx="299">
                  <c:v>96.19615</c:v>
                </c:pt>
                <c:pt idx="300">
                  <c:v>96.18754</c:v>
                </c:pt>
                <c:pt idx="301">
                  <c:v>96.18081999999998</c:v>
                </c:pt>
                <c:pt idx="302">
                  <c:v>96.17220999999998</c:v>
                </c:pt>
                <c:pt idx="303">
                  <c:v>96.16454</c:v>
                </c:pt>
                <c:pt idx="304">
                  <c:v>96.15687999999938</c:v>
                </c:pt>
                <c:pt idx="305">
                  <c:v>96.14921</c:v>
                </c:pt>
                <c:pt idx="306">
                  <c:v>96.14053000000001</c:v>
                </c:pt>
                <c:pt idx="307">
                  <c:v>96.13285999999998</c:v>
                </c:pt>
                <c:pt idx="308">
                  <c:v>96.12426</c:v>
                </c:pt>
                <c:pt idx="309">
                  <c:v>96.11659</c:v>
                </c:pt>
                <c:pt idx="310">
                  <c:v>96.10986</c:v>
                </c:pt>
                <c:pt idx="311">
                  <c:v>96.10125</c:v>
                </c:pt>
                <c:pt idx="312">
                  <c:v>96.09453</c:v>
                </c:pt>
                <c:pt idx="313">
                  <c:v>96.08592</c:v>
                </c:pt>
                <c:pt idx="314">
                  <c:v>96.07824999999998</c:v>
                </c:pt>
                <c:pt idx="315">
                  <c:v>96.07058999999998</c:v>
                </c:pt>
                <c:pt idx="316">
                  <c:v>96.06292</c:v>
                </c:pt>
                <c:pt idx="317">
                  <c:v>96.05525</c:v>
                </c:pt>
                <c:pt idx="318">
                  <c:v>96.04758</c:v>
                </c:pt>
                <c:pt idx="319">
                  <c:v>96.03985</c:v>
                </c:pt>
                <c:pt idx="320">
                  <c:v>96.03217999999998</c:v>
                </c:pt>
                <c:pt idx="321">
                  <c:v>96.02357</c:v>
                </c:pt>
                <c:pt idx="322">
                  <c:v>96.01685</c:v>
                </c:pt>
                <c:pt idx="323">
                  <c:v>96.00918</c:v>
                </c:pt>
                <c:pt idx="324">
                  <c:v>96.00246</c:v>
                </c:pt>
                <c:pt idx="325">
                  <c:v>95.99385</c:v>
                </c:pt>
                <c:pt idx="326">
                  <c:v>95.98524</c:v>
                </c:pt>
                <c:pt idx="327">
                  <c:v>95.97851</c:v>
                </c:pt>
                <c:pt idx="328">
                  <c:v>95.9699</c:v>
                </c:pt>
                <c:pt idx="329">
                  <c:v>95.96224</c:v>
                </c:pt>
                <c:pt idx="330">
                  <c:v>95.95457</c:v>
                </c:pt>
                <c:pt idx="331">
                  <c:v>95.9469</c:v>
                </c:pt>
                <c:pt idx="332">
                  <c:v>95.93924</c:v>
                </c:pt>
                <c:pt idx="333">
                  <c:v>95.9315</c:v>
                </c:pt>
                <c:pt idx="334">
                  <c:v>95.92484</c:v>
                </c:pt>
                <c:pt idx="335">
                  <c:v>95.91718</c:v>
                </c:pt>
                <c:pt idx="336">
                  <c:v>95.9085</c:v>
                </c:pt>
                <c:pt idx="337">
                  <c:v>95.90083000000001</c:v>
                </c:pt>
                <c:pt idx="338">
                  <c:v>95.89411</c:v>
                </c:pt>
                <c:pt idx="339">
                  <c:v>95.88643999999998</c:v>
                </c:pt>
                <c:pt idx="340">
                  <c:v>95.87876999999965</c:v>
                </c:pt>
                <c:pt idx="341">
                  <c:v>95.87210999999998</c:v>
                </c:pt>
                <c:pt idx="342">
                  <c:v>95.86437999999998</c:v>
                </c:pt>
                <c:pt idx="343">
                  <c:v>95.85772</c:v>
                </c:pt>
                <c:pt idx="344">
                  <c:v>95.85004999999998</c:v>
                </c:pt>
                <c:pt idx="345">
                  <c:v>95.84238999999998</c:v>
                </c:pt>
                <c:pt idx="346">
                  <c:v>95.83370999999998</c:v>
                </c:pt>
                <c:pt idx="347">
                  <c:v>95.82698999999998</c:v>
                </c:pt>
                <c:pt idx="348">
                  <c:v>95.82032999999998</c:v>
                </c:pt>
                <c:pt idx="349">
                  <c:v>95.81266</c:v>
                </c:pt>
                <c:pt idx="350">
                  <c:v>95.80593999999998</c:v>
                </c:pt>
                <c:pt idx="351">
                  <c:v>95.79827</c:v>
                </c:pt>
                <c:pt idx="352">
                  <c:v>95.7906</c:v>
                </c:pt>
                <c:pt idx="353">
                  <c:v>95.78293</c:v>
                </c:pt>
                <c:pt idx="354">
                  <c:v>95.77621</c:v>
                </c:pt>
                <c:pt idx="355">
                  <c:v>95.76854</c:v>
                </c:pt>
                <c:pt idx="356">
                  <c:v>95.76087</c:v>
                </c:pt>
                <c:pt idx="357">
                  <c:v>95.75415</c:v>
                </c:pt>
                <c:pt idx="358">
                  <c:v>95.74742</c:v>
                </c:pt>
                <c:pt idx="359">
                  <c:v>95.73881</c:v>
                </c:pt>
                <c:pt idx="360">
                  <c:v>95.73209</c:v>
                </c:pt>
                <c:pt idx="361">
                  <c:v>95.72442</c:v>
                </c:pt>
                <c:pt idx="362">
                  <c:v>95.7177</c:v>
                </c:pt>
                <c:pt idx="363">
                  <c:v>95.71003</c:v>
                </c:pt>
                <c:pt idx="364">
                  <c:v>95.70330000000001</c:v>
                </c:pt>
                <c:pt idx="365">
                  <c:v>95.69657999999998</c:v>
                </c:pt>
                <c:pt idx="366">
                  <c:v>95.68890999999998</c:v>
                </c:pt>
                <c:pt idx="367">
                  <c:v>95.68124</c:v>
                </c:pt>
                <c:pt idx="368">
                  <c:v>95.67457999999998</c:v>
                </c:pt>
                <c:pt idx="369">
                  <c:v>95.66786</c:v>
                </c:pt>
                <c:pt idx="370">
                  <c:v>95.66019</c:v>
                </c:pt>
                <c:pt idx="371">
                  <c:v>95.65346999999998</c:v>
                </c:pt>
                <c:pt idx="372">
                  <c:v>95.64579999999998</c:v>
                </c:pt>
                <c:pt idx="373">
                  <c:v>95.63812999999997</c:v>
                </c:pt>
                <c:pt idx="374">
                  <c:v>95.63234999999958</c:v>
                </c:pt>
                <c:pt idx="375">
                  <c:v>95.62468</c:v>
                </c:pt>
                <c:pt idx="376">
                  <c:v>95.61701</c:v>
                </c:pt>
                <c:pt idx="377">
                  <c:v>95.61029</c:v>
                </c:pt>
                <c:pt idx="378">
                  <c:v>95.60262</c:v>
                </c:pt>
                <c:pt idx="379">
                  <c:v>95.5959</c:v>
                </c:pt>
                <c:pt idx="380">
                  <c:v>95.58823</c:v>
                </c:pt>
                <c:pt idx="381">
                  <c:v>95.58157000000001</c:v>
                </c:pt>
                <c:pt idx="382">
                  <c:v>95.57483999999998</c:v>
                </c:pt>
                <c:pt idx="383">
                  <c:v>95.56718</c:v>
                </c:pt>
                <c:pt idx="384">
                  <c:v>95.56045</c:v>
                </c:pt>
                <c:pt idx="385">
                  <c:v>95.55372999999997</c:v>
                </c:pt>
                <c:pt idx="386">
                  <c:v>95.54606</c:v>
                </c:pt>
                <c:pt idx="387">
                  <c:v>95.53838999999998</c:v>
                </c:pt>
                <c:pt idx="388">
                  <c:v>95.53167</c:v>
                </c:pt>
                <c:pt idx="389">
                  <c:v>95.52494</c:v>
                </c:pt>
                <c:pt idx="390">
                  <c:v>95.51828</c:v>
                </c:pt>
                <c:pt idx="391">
                  <c:v>95.51156</c:v>
                </c:pt>
                <c:pt idx="392">
                  <c:v>95.50483000000001</c:v>
                </c:pt>
                <c:pt idx="393">
                  <c:v>95.49716</c:v>
                </c:pt>
                <c:pt idx="394">
                  <c:v>95.49138</c:v>
                </c:pt>
                <c:pt idx="395">
                  <c:v>95.48371</c:v>
                </c:pt>
                <c:pt idx="396">
                  <c:v>95.478</c:v>
                </c:pt>
                <c:pt idx="397">
                  <c:v>95.47032999999997</c:v>
                </c:pt>
                <c:pt idx="398">
                  <c:v>95.46266</c:v>
                </c:pt>
                <c:pt idx="399">
                  <c:v>95.45499</c:v>
                </c:pt>
                <c:pt idx="400">
                  <c:v>95.44921</c:v>
                </c:pt>
                <c:pt idx="401">
                  <c:v>95.44249</c:v>
                </c:pt>
                <c:pt idx="402">
                  <c:v>95.43583</c:v>
                </c:pt>
                <c:pt idx="403">
                  <c:v>95.4291</c:v>
                </c:pt>
                <c:pt idx="404">
                  <c:v>95.42237999999985</c:v>
                </c:pt>
                <c:pt idx="405">
                  <c:v>95.41659</c:v>
                </c:pt>
                <c:pt idx="406">
                  <c:v>95.40892</c:v>
                </c:pt>
                <c:pt idx="407">
                  <c:v>95.40227</c:v>
                </c:pt>
                <c:pt idx="408">
                  <c:v>95.3946</c:v>
                </c:pt>
                <c:pt idx="409">
                  <c:v>95.38787</c:v>
                </c:pt>
                <c:pt idx="410">
                  <c:v>95.38021</c:v>
                </c:pt>
                <c:pt idx="411">
                  <c:v>95.37442</c:v>
                </c:pt>
                <c:pt idx="412">
                  <c:v>95.36770000000001</c:v>
                </c:pt>
                <c:pt idx="413">
                  <c:v>95.36003</c:v>
                </c:pt>
                <c:pt idx="414">
                  <c:v>95.35431</c:v>
                </c:pt>
                <c:pt idx="415">
                  <c:v>95.34665</c:v>
                </c:pt>
                <c:pt idx="416">
                  <c:v>95.33897999999998</c:v>
                </c:pt>
                <c:pt idx="417">
                  <c:v>95.33319</c:v>
                </c:pt>
                <c:pt idx="418">
                  <c:v>95.32646999999998</c:v>
                </c:pt>
                <c:pt idx="419">
                  <c:v>95.31973999999998</c:v>
                </c:pt>
                <c:pt idx="420">
                  <c:v>95.31309</c:v>
                </c:pt>
                <c:pt idx="421">
                  <c:v>95.30636</c:v>
                </c:pt>
                <c:pt idx="422">
                  <c:v>95.29963</c:v>
                </c:pt>
                <c:pt idx="423">
                  <c:v>95.29291</c:v>
                </c:pt>
                <c:pt idx="424">
                  <c:v>95.28618</c:v>
                </c:pt>
                <c:pt idx="425">
                  <c:v>95.27952</c:v>
                </c:pt>
                <c:pt idx="426">
                  <c:v>95.27186</c:v>
                </c:pt>
                <c:pt idx="427">
                  <c:v>95.26513000000001</c:v>
                </c:pt>
                <c:pt idx="428">
                  <c:v>95.25841</c:v>
                </c:pt>
                <c:pt idx="429">
                  <c:v>95.25168</c:v>
                </c:pt>
                <c:pt idx="430">
                  <c:v>95.24401</c:v>
                </c:pt>
                <c:pt idx="431">
                  <c:v>95.2383</c:v>
                </c:pt>
                <c:pt idx="432">
                  <c:v>95.23063</c:v>
                </c:pt>
                <c:pt idx="433">
                  <c:v>95.2239</c:v>
                </c:pt>
                <c:pt idx="434">
                  <c:v>95.21812</c:v>
                </c:pt>
                <c:pt idx="435">
                  <c:v>95.21045</c:v>
                </c:pt>
                <c:pt idx="436">
                  <c:v>95.20474</c:v>
                </c:pt>
                <c:pt idx="437">
                  <c:v>95.19800999999998</c:v>
                </c:pt>
                <c:pt idx="438">
                  <c:v>95.19033999999998</c:v>
                </c:pt>
                <c:pt idx="439">
                  <c:v>95.18456</c:v>
                </c:pt>
                <c:pt idx="440">
                  <c:v>95.17782999999998</c:v>
                </c:pt>
                <c:pt idx="441">
                  <c:v>95.17117999999998</c:v>
                </c:pt>
                <c:pt idx="442">
                  <c:v>95.16445</c:v>
                </c:pt>
                <c:pt idx="443">
                  <c:v>95.15866999999998</c:v>
                </c:pt>
                <c:pt idx="444">
                  <c:v>95.15099999999998</c:v>
                </c:pt>
                <c:pt idx="445">
                  <c:v>95.14333</c:v>
                </c:pt>
                <c:pt idx="446">
                  <c:v>95.13762</c:v>
                </c:pt>
                <c:pt idx="447">
                  <c:v>95.13088999999998</c:v>
                </c:pt>
                <c:pt idx="448">
                  <c:v>95.12510999999998</c:v>
                </c:pt>
                <c:pt idx="449">
                  <c:v>95.11844999999998</c:v>
                </c:pt>
                <c:pt idx="450">
                  <c:v>95.11172</c:v>
                </c:pt>
                <c:pt idx="451">
                  <c:v>95.10499999999997</c:v>
                </c:pt>
                <c:pt idx="452">
                  <c:v>95.09827000000001</c:v>
                </c:pt>
                <c:pt idx="453">
                  <c:v>95.09255</c:v>
                </c:pt>
                <c:pt idx="454">
                  <c:v>95.08582999999997</c:v>
                </c:pt>
                <c:pt idx="455">
                  <c:v>95.07909999999998</c:v>
                </c:pt>
                <c:pt idx="456">
                  <c:v>95.07237999999845</c:v>
                </c:pt>
                <c:pt idx="457">
                  <c:v>95.06565</c:v>
                </c:pt>
                <c:pt idx="458">
                  <c:v>95.05898999999998</c:v>
                </c:pt>
                <c:pt idx="459">
                  <c:v>95.05227</c:v>
                </c:pt>
                <c:pt idx="460">
                  <c:v>95.04554</c:v>
                </c:pt>
                <c:pt idx="461">
                  <c:v>95.03882</c:v>
                </c:pt>
                <c:pt idx="462">
                  <c:v>95.03208999999998</c:v>
                </c:pt>
                <c:pt idx="463">
                  <c:v>95.02636999999998</c:v>
                </c:pt>
                <c:pt idx="464">
                  <c:v>95.01965</c:v>
                </c:pt>
                <c:pt idx="465">
                  <c:v>95.01292</c:v>
                </c:pt>
                <c:pt idx="466">
                  <c:v>95.0062</c:v>
                </c:pt>
                <c:pt idx="467">
                  <c:v>95.00047999999998</c:v>
                </c:pt>
                <c:pt idx="468">
                  <c:v>94.99281</c:v>
                </c:pt>
                <c:pt idx="469">
                  <c:v>94.98703</c:v>
                </c:pt>
                <c:pt idx="470">
                  <c:v>94.98037</c:v>
                </c:pt>
                <c:pt idx="471">
                  <c:v>94.97459</c:v>
                </c:pt>
                <c:pt idx="472">
                  <c:v>94.96786</c:v>
                </c:pt>
                <c:pt idx="473">
                  <c:v>94.96215</c:v>
                </c:pt>
                <c:pt idx="474">
                  <c:v>94.95542</c:v>
                </c:pt>
                <c:pt idx="475">
                  <c:v>94.94869</c:v>
                </c:pt>
                <c:pt idx="476">
                  <c:v>94.94103000000002</c:v>
                </c:pt>
                <c:pt idx="477">
                  <c:v>94.93524</c:v>
                </c:pt>
                <c:pt idx="478">
                  <c:v>94.92857999999998</c:v>
                </c:pt>
                <c:pt idx="479">
                  <c:v>94.92279999999998</c:v>
                </c:pt>
                <c:pt idx="480">
                  <c:v>94.91708</c:v>
                </c:pt>
                <c:pt idx="481">
                  <c:v>94.91036</c:v>
                </c:pt>
                <c:pt idx="482">
                  <c:v>94.90363</c:v>
                </c:pt>
                <c:pt idx="483">
                  <c:v>94.89691</c:v>
                </c:pt>
                <c:pt idx="484">
                  <c:v>94.89018</c:v>
                </c:pt>
                <c:pt idx="485">
                  <c:v>94.88352</c:v>
                </c:pt>
                <c:pt idx="486">
                  <c:v>94.87679999999965</c:v>
                </c:pt>
                <c:pt idx="487">
                  <c:v>94.87196</c:v>
                </c:pt>
                <c:pt idx="488">
                  <c:v>94.8653</c:v>
                </c:pt>
                <c:pt idx="489">
                  <c:v>94.85951</c:v>
                </c:pt>
                <c:pt idx="490">
                  <c:v>94.85278999999898</c:v>
                </c:pt>
                <c:pt idx="491">
                  <c:v>94.84613</c:v>
                </c:pt>
                <c:pt idx="492">
                  <c:v>94.8394</c:v>
                </c:pt>
                <c:pt idx="493">
                  <c:v>94.83362</c:v>
                </c:pt>
                <c:pt idx="494">
                  <c:v>94.82688999999995</c:v>
                </c:pt>
                <c:pt idx="495">
                  <c:v>94.82118</c:v>
                </c:pt>
                <c:pt idx="496">
                  <c:v>94.81445</c:v>
                </c:pt>
                <c:pt idx="497">
                  <c:v>94.80773</c:v>
                </c:pt>
                <c:pt idx="498">
                  <c:v>94.80200999999998</c:v>
                </c:pt>
                <c:pt idx="499">
                  <c:v>94.79528</c:v>
                </c:pt>
                <c:pt idx="500">
                  <c:v>94.7895</c:v>
                </c:pt>
                <c:pt idx="501">
                  <c:v>94.78283999999998</c:v>
                </c:pt>
                <c:pt idx="502">
                  <c:v>94.77612</c:v>
                </c:pt>
                <c:pt idx="503">
                  <c:v>94.77032999999998</c:v>
                </c:pt>
                <c:pt idx="504">
                  <c:v>94.76462</c:v>
                </c:pt>
                <c:pt idx="505">
                  <c:v>94.75789</c:v>
                </c:pt>
                <c:pt idx="506">
                  <c:v>94.75211</c:v>
                </c:pt>
                <c:pt idx="507">
                  <c:v>94.74545</c:v>
                </c:pt>
                <c:pt idx="508">
                  <c:v>94.73966</c:v>
                </c:pt>
                <c:pt idx="509">
                  <c:v>94.73294</c:v>
                </c:pt>
                <c:pt idx="510">
                  <c:v>94.72722</c:v>
                </c:pt>
                <c:pt idx="511">
                  <c:v>94.7205</c:v>
                </c:pt>
                <c:pt idx="512">
                  <c:v>94.71377</c:v>
                </c:pt>
                <c:pt idx="513">
                  <c:v>94.70704</c:v>
                </c:pt>
                <c:pt idx="514">
                  <c:v>94.70032</c:v>
                </c:pt>
                <c:pt idx="515">
                  <c:v>94.6946</c:v>
                </c:pt>
                <c:pt idx="516">
                  <c:v>94.68881999999998</c:v>
                </c:pt>
                <c:pt idx="517">
                  <c:v>94.68215999999998</c:v>
                </c:pt>
                <c:pt idx="518">
                  <c:v>94.67542999999995</c:v>
                </c:pt>
                <c:pt idx="519">
                  <c:v>94.66870999999995</c:v>
                </c:pt>
                <c:pt idx="520">
                  <c:v>94.66292</c:v>
                </c:pt>
                <c:pt idx="521">
                  <c:v>94.65627</c:v>
                </c:pt>
                <c:pt idx="522">
                  <c:v>94.65047999999948</c:v>
                </c:pt>
                <c:pt idx="523">
                  <c:v>94.64376</c:v>
                </c:pt>
                <c:pt idx="524">
                  <c:v>94.63803999999975</c:v>
                </c:pt>
                <c:pt idx="525">
                  <c:v>94.63131</c:v>
                </c:pt>
                <c:pt idx="526">
                  <c:v>94.62459</c:v>
                </c:pt>
                <c:pt idx="527">
                  <c:v>94.61786</c:v>
                </c:pt>
                <c:pt idx="528">
                  <c:v>94.61309</c:v>
                </c:pt>
                <c:pt idx="529">
                  <c:v>94.60635999999998</c:v>
                </c:pt>
                <c:pt idx="530">
                  <c:v>94.59964</c:v>
                </c:pt>
                <c:pt idx="531">
                  <c:v>94.59392</c:v>
                </c:pt>
                <c:pt idx="532">
                  <c:v>94.58719</c:v>
                </c:pt>
                <c:pt idx="533">
                  <c:v>94.58148</c:v>
                </c:pt>
                <c:pt idx="534">
                  <c:v>94.57474999999998</c:v>
                </c:pt>
                <c:pt idx="535">
                  <c:v>94.56803</c:v>
                </c:pt>
                <c:pt idx="536">
                  <c:v>94.5613</c:v>
                </c:pt>
                <c:pt idx="537">
                  <c:v>94.55557999999998</c:v>
                </c:pt>
                <c:pt idx="538">
                  <c:v>94.5498</c:v>
                </c:pt>
                <c:pt idx="539">
                  <c:v>94.54307</c:v>
                </c:pt>
                <c:pt idx="540">
                  <c:v>94.53736</c:v>
                </c:pt>
                <c:pt idx="541">
                  <c:v>94.53063</c:v>
                </c:pt>
                <c:pt idx="542">
                  <c:v>94.52391</c:v>
                </c:pt>
                <c:pt idx="543">
                  <c:v>94.51718</c:v>
                </c:pt>
                <c:pt idx="544">
                  <c:v>94.51146</c:v>
                </c:pt>
                <c:pt idx="545">
                  <c:v>94.50474</c:v>
                </c:pt>
                <c:pt idx="546">
                  <c:v>94.49896</c:v>
                </c:pt>
                <c:pt idx="547">
                  <c:v>94.49324</c:v>
                </c:pt>
                <c:pt idx="548">
                  <c:v>94.48651</c:v>
                </c:pt>
                <c:pt idx="549">
                  <c:v>94.4808</c:v>
                </c:pt>
                <c:pt idx="550">
                  <c:v>94.47500999999998</c:v>
                </c:pt>
                <c:pt idx="551">
                  <c:v>94.46735</c:v>
                </c:pt>
                <c:pt idx="552">
                  <c:v>94.46062</c:v>
                </c:pt>
                <c:pt idx="553">
                  <c:v>94.4549</c:v>
                </c:pt>
                <c:pt idx="554">
                  <c:v>94.44818</c:v>
                </c:pt>
                <c:pt idx="555">
                  <c:v>94.44145</c:v>
                </c:pt>
                <c:pt idx="556">
                  <c:v>94.43573</c:v>
                </c:pt>
                <c:pt idx="557">
                  <c:v>94.42901</c:v>
                </c:pt>
                <c:pt idx="558">
                  <c:v>94.42228</c:v>
                </c:pt>
                <c:pt idx="559">
                  <c:v>94.4165</c:v>
                </c:pt>
                <c:pt idx="560">
                  <c:v>94.40984</c:v>
                </c:pt>
                <c:pt idx="561">
                  <c:v>94.40406</c:v>
                </c:pt>
                <c:pt idx="562">
                  <c:v>94.39733</c:v>
                </c:pt>
                <c:pt idx="563">
                  <c:v>94.39162</c:v>
                </c:pt>
                <c:pt idx="564">
                  <c:v>94.38489</c:v>
                </c:pt>
                <c:pt idx="565">
                  <c:v>94.37815999999998</c:v>
                </c:pt>
                <c:pt idx="566">
                  <c:v>94.37143999999998</c:v>
                </c:pt>
                <c:pt idx="567">
                  <c:v>94.36571999999998</c:v>
                </c:pt>
                <c:pt idx="568">
                  <c:v>94.35804999999995</c:v>
                </c:pt>
                <c:pt idx="569">
                  <c:v>94.35321</c:v>
                </c:pt>
                <c:pt idx="570">
                  <c:v>94.34655</c:v>
                </c:pt>
                <c:pt idx="571">
                  <c:v>94.34171</c:v>
                </c:pt>
                <c:pt idx="572">
                  <c:v>94.33404</c:v>
                </c:pt>
                <c:pt idx="573">
                  <c:v>94.32732</c:v>
                </c:pt>
                <c:pt idx="574">
                  <c:v>94.3216</c:v>
                </c:pt>
                <c:pt idx="575">
                  <c:v>94.31582</c:v>
                </c:pt>
                <c:pt idx="576">
                  <c:v>94.30721</c:v>
                </c:pt>
                <c:pt idx="577">
                  <c:v>94.29665</c:v>
                </c:pt>
                <c:pt idx="578">
                  <c:v>94.29376</c:v>
                </c:pt>
                <c:pt idx="579">
                  <c:v>94.28897999999998</c:v>
                </c:pt>
                <c:pt idx="580">
                  <c:v>94.28897999999998</c:v>
                </c:pt>
                <c:pt idx="581">
                  <c:v>94.28327</c:v>
                </c:pt>
                <c:pt idx="582">
                  <c:v>94.27459</c:v>
                </c:pt>
                <c:pt idx="583">
                  <c:v>94.26692</c:v>
                </c:pt>
                <c:pt idx="584">
                  <c:v>94.26121</c:v>
                </c:pt>
                <c:pt idx="585">
                  <c:v>94.25448</c:v>
                </c:pt>
                <c:pt idx="586">
                  <c:v>94.24776</c:v>
                </c:pt>
                <c:pt idx="587">
                  <c:v>94.24204</c:v>
                </c:pt>
                <c:pt idx="588">
                  <c:v>94.23531</c:v>
                </c:pt>
                <c:pt idx="589">
                  <c:v>94.22858999999998</c:v>
                </c:pt>
                <c:pt idx="590">
                  <c:v>94.22186</c:v>
                </c:pt>
                <c:pt idx="591">
                  <c:v>94.21614</c:v>
                </c:pt>
                <c:pt idx="592">
                  <c:v>94.20942</c:v>
                </c:pt>
                <c:pt idx="593">
                  <c:v>94.20464</c:v>
                </c:pt>
                <c:pt idx="594">
                  <c:v>94.19792</c:v>
                </c:pt>
                <c:pt idx="595">
                  <c:v>94.19213</c:v>
                </c:pt>
                <c:pt idx="596">
                  <c:v>94.18642</c:v>
                </c:pt>
                <c:pt idx="597">
                  <c:v>94.17968999999998</c:v>
                </c:pt>
                <c:pt idx="598">
                  <c:v>94.17390999999998</c:v>
                </c:pt>
                <c:pt idx="599">
                  <c:v>94.16818999999998</c:v>
                </c:pt>
                <c:pt idx="600">
                  <c:v>94.16147</c:v>
                </c:pt>
                <c:pt idx="601">
                  <c:v>94.15567999999975</c:v>
                </c:pt>
                <c:pt idx="602">
                  <c:v>94.14997</c:v>
                </c:pt>
                <c:pt idx="603">
                  <c:v>94.14418</c:v>
                </c:pt>
                <c:pt idx="604">
                  <c:v>94.13752</c:v>
                </c:pt>
                <c:pt idx="605">
                  <c:v>94.13267999999998</c:v>
                </c:pt>
                <c:pt idx="606">
                  <c:v>94.12601999999998</c:v>
                </c:pt>
                <c:pt idx="607">
                  <c:v>94.12023999999998</c:v>
                </c:pt>
                <c:pt idx="608">
                  <c:v>94.11445</c:v>
                </c:pt>
                <c:pt idx="609">
                  <c:v>94.10873999999878</c:v>
                </c:pt>
                <c:pt idx="610">
                  <c:v>94.10294999999998</c:v>
                </c:pt>
                <c:pt idx="611">
                  <c:v>94.09818</c:v>
                </c:pt>
                <c:pt idx="612">
                  <c:v>94.09246</c:v>
                </c:pt>
                <c:pt idx="613">
                  <c:v>94.08668</c:v>
                </c:pt>
                <c:pt idx="614">
                  <c:v>94.08088999999998</c:v>
                </c:pt>
                <c:pt idx="615">
                  <c:v>94.07323</c:v>
                </c:pt>
                <c:pt idx="616">
                  <c:v>94.06272999999997</c:v>
                </c:pt>
                <c:pt idx="617">
                  <c:v>94.05889999999998</c:v>
                </c:pt>
                <c:pt idx="618">
                  <c:v>94.055</c:v>
                </c:pt>
                <c:pt idx="619">
                  <c:v>94.05789</c:v>
                </c:pt>
                <c:pt idx="620">
                  <c:v>94.05117000000001</c:v>
                </c:pt>
                <c:pt idx="621">
                  <c:v>94.04256</c:v>
                </c:pt>
                <c:pt idx="622">
                  <c:v>94.03583</c:v>
                </c:pt>
                <c:pt idx="623">
                  <c:v>94.02917</c:v>
                </c:pt>
                <c:pt idx="624">
                  <c:v>94.02338999999998</c:v>
                </c:pt>
                <c:pt idx="625">
                  <c:v>94.01862</c:v>
                </c:pt>
                <c:pt idx="626">
                  <c:v>94.01189</c:v>
                </c:pt>
                <c:pt idx="627">
                  <c:v>94.00711</c:v>
                </c:pt>
                <c:pt idx="628">
                  <c:v>94.00133</c:v>
                </c:pt>
                <c:pt idx="629">
                  <c:v>93.99656</c:v>
                </c:pt>
                <c:pt idx="630">
                  <c:v>93.98983000000001</c:v>
                </c:pt>
                <c:pt idx="631">
                  <c:v>93.98505</c:v>
                </c:pt>
                <c:pt idx="632">
                  <c:v>93.98021</c:v>
                </c:pt>
                <c:pt idx="633">
                  <c:v>93.97355</c:v>
                </c:pt>
                <c:pt idx="634">
                  <c:v>93.96871</c:v>
                </c:pt>
                <c:pt idx="635">
                  <c:v>93.96205</c:v>
                </c:pt>
                <c:pt idx="636">
                  <c:v>93.95627</c:v>
                </c:pt>
                <c:pt idx="637">
                  <c:v>93.95149</c:v>
                </c:pt>
                <c:pt idx="638">
                  <c:v>93.94665</c:v>
                </c:pt>
                <c:pt idx="639">
                  <c:v>93.94093</c:v>
                </c:pt>
                <c:pt idx="640">
                  <c:v>93.93515</c:v>
                </c:pt>
                <c:pt idx="641">
                  <c:v>93.92943</c:v>
                </c:pt>
                <c:pt idx="642">
                  <c:v>93.9256</c:v>
                </c:pt>
                <c:pt idx="643">
                  <c:v>93.91982</c:v>
                </c:pt>
                <c:pt idx="644">
                  <c:v>93.9141</c:v>
                </c:pt>
                <c:pt idx="645">
                  <c:v>93.91027</c:v>
                </c:pt>
                <c:pt idx="646">
                  <c:v>93.90448</c:v>
                </c:pt>
                <c:pt idx="647">
                  <c:v>93.89876999999998</c:v>
                </c:pt>
                <c:pt idx="648">
                  <c:v>93.89392</c:v>
                </c:pt>
                <c:pt idx="649">
                  <c:v>93.88821</c:v>
                </c:pt>
                <c:pt idx="650">
                  <c:v>93.88147999999998</c:v>
                </c:pt>
                <c:pt idx="651">
                  <c:v>93.87670999999958</c:v>
                </c:pt>
                <c:pt idx="652">
                  <c:v>93.87186</c:v>
                </c:pt>
                <c:pt idx="653">
                  <c:v>93.86615</c:v>
                </c:pt>
                <c:pt idx="654">
                  <c:v>93.86230999999998</c:v>
                </c:pt>
                <c:pt idx="655">
                  <c:v>93.85653</c:v>
                </c:pt>
                <c:pt idx="656">
                  <c:v>93.85080999999998</c:v>
                </c:pt>
                <c:pt idx="657">
                  <c:v>93.84597</c:v>
                </c:pt>
                <c:pt idx="658">
                  <c:v>93.84025</c:v>
                </c:pt>
                <c:pt idx="659">
                  <c:v>93.83447</c:v>
                </c:pt>
                <c:pt idx="660">
                  <c:v>93.82969</c:v>
                </c:pt>
                <c:pt idx="661">
                  <c:v>93.82492</c:v>
                </c:pt>
                <c:pt idx="662">
                  <c:v>93.81913</c:v>
                </c:pt>
                <c:pt idx="663">
                  <c:v>93.81436</c:v>
                </c:pt>
                <c:pt idx="664">
                  <c:v>93.80957999999998</c:v>
                </c:pt>
                <c:pt idx="665">
                  <c:v>93.80473999999998</c:v>
                </c:pt>
                <c:pt idx="666">
                  <c:v>93.79997</c:v>
                </c:pt>
                <c:pt idx="667">
                  <c:v>93.79425</c:v>
                </c:pt>
                <c:pt idx="668">
                  <c:v>93.78941</c:v>
                </c:pt>
                <c:pt idx="669">
                  <c:v>93.78369</c:v>
                </c:pt>
                <c:pt idx="670">
                  <c:v>93.77884999999995</c:v>
                </c:pt>
                <c:pt idx="671">
                  <c:v>93.77313</c:v>
                </c:pt>
                <c:pt idx="672">
                  <c:v>93.76836</c:v>
                </c:pt>
                <c:pt idx="673">
                  <c:v>93.76351</c:v>
                </c:pt>
                <c:pt idx="674">
                  <c:v>93.75873999999965</c:v>
                </c:pt>
                <c:pt idx="675">
                  <c:v>93.75396</c:v>
                </c:pt>
                <c:pt idx="676">
                  <c:v>93.74818</c:v>
                </c:pt>
                <c:pt idx="677">
                  <c:v>93.74246</c:v>
                </c:pt>
                <c:pt idx="678">
                  <c:v>93.73762</c:v>
                </c:pt>
                <c:pt idx="679">
                  <c:v>93.73285</c:v>
                </c:pt>
                <c:pt idx="680">
                  <c:v>93.72713</c:v>
                </c:pt>
                <c:pt idx="681">
                  <c:v>93.72134</c:v>
                </c:pt>
                <c:pt idx="682">
                  <c:v>93.71657</c:v>
                </c:pt>
                <c:pt idx="683">
                  <c:v>93.71173</c:v>
                </c:pt>
                <c:pt idx="684">
                  <c:v>93.70789</c:v>
                </c:pt>
                <c:pt idx="685">
                  <c:v>93.70218</c:v>
                </c:pt>
                <c:pt idx="686">
                  <c:v>93.6974</c:v>
                </c:pt>
                <c:pt idx="687">
                  <c:v>93.69162</c:v>
                </c:pt>
                <c:pt idx="688">
                  <c:v>93.68683999999975</c:v>
                </c:pt>
                <c:pt idx="689">
                  <c:v>93.68206999999998</c:v>
                </c:pt>
                <c:pt idx="690">
                  <c:v>93.67723</c:v>
                </c:pt>
                <c:pt idx="691">
                  <c:v>93.67151</c:v>
                </c:pt>
                <c:pt idx="692">
                  <c:v>93.66667</c:v>
                </c:pt>
                <c:pt idx="693">
                  <c:v>93.66095</c:v>
                </c:pt>
                <c:pt idx="694">
                  <c:v>93.65805999999998</c:v>
                </c:pt>
                <c:pt idx="695">
                  <c:v>93.65327999999998</c:v>
                </c:pt>
                <c:pt idx="696">
                  <c:v>93.6475</c:v>
                </c:pt>
                <c:pt idx="697">
                  <c:v>93.64271999999998</c:v>
                </c:pt>
                <c:pt idx="698">
                  <c:v>93.63795</c:v>
                </c:pt>
                <c:pt idx="699">
                  <c:v>93.63311</c:v>
                </c:pt>
                <c:pt idx="700">
                  <c:v>93.62832999999995</c:v>
                </c:pt>
                <c:pt idx="701">
                  <c:v>93.62356</c:v>
                </c:pt>
                <c:pt idx="702">
                  <c:v>93.61877999999938</c:v>
                </c:pt>
                <c:pt idx="703">
                  <c:v>93.61394</c:v>
                </c:pt>
                <c:pt idx="704">
                  <c:v>93.60916</c:v>
                </c:pt>
                <c:pt idx="705">
                  <c:v>93.60337999999938</c:v>
                </c:pt>
                <c:pt idx="706">
                  <c:v>93.5986</c:v>
                </c:pt>
                <c:pt idx="707">
                  <c:v>93.59477</c:v>
                </c:pt>
                <c:pt idx="708">
                  <c:v>93.58999</c:v>
                </c:pt>
                <c:pt idx="709">
                  <c:v>93.58522</c:v>
                </c:pt>
                <c:pt idx="710">
                  <c:v>93.58037999999995</c:v>
                </c:pt>
                <c:pt idx="711">
                  <c:v>93.57559999999998</c:v>
                </c:pt>
                <c:pt idx="712">
                  <c:v>93.57082999999998</c:v>
                </c:pt>
                <c:pt idx="713">
                  <c:v>93.56597999999998</c:v>
                </c:pt>
                <c:pt idx="714">
                  <c:v>93.56215</c:v>
                </c:pt>
                <c:pt idx="715">
                  <c:v>93.55737999999998</c:v>
                </c:pt>
                <c:pt idx="716">
                  <c:v>93.5526</c:v>
                </c:pt>
                <c:pt idx="717">
                  <c:v>93.54682</c:v>
                </c:pt>
                <c:pt idx="718">
                  <c:v>93.54204</c:v>
                </c:pt>
                <c:pt idx="719">
                  <c:v>93.53915</c:v>
                </c:pt>
                <c:pt idx="720">
                  <c:v>93.53343</c:v>
                </c:pt>
                <c:pt idx="721">
                  <c:v>93.52858999999998</c:v>
                </c:pt>
                <c:pt idx="722">
                  <c:v>93.52476</c:v>
                </c:pt>
                <c:pt idx="723">
                  <c:v>93.51998</c:v>
                </c:pt>
                <c:pt idx="724">
                  <c:v>93.51521</c:v>
                </c:pt>
                <c:pt idx="725">
                  <c:v>93.51043000000001</c:v>
                </c:pt>
                <c:pt idx="726">
                  <c:v>93.50653000000001</c:v>
                </c:pt>
                <c:pt idx="727">
                  <c:v>93.5027</c:v>
                </c:pt>
                <c:pt idx="728">
                  <c:v>93.49698</c:v>
                </c:pt>
                <c:pt idx="729">
                  <c:v>93.4922</c:v>
                </c:pt>
                <c:pt idx="730">
                  <c:v>93.48836999999997</c:v>
                </c:pt>
                <c:pt idx="731">
                  <c:v>93.48259</c:v>
                </c:pt>
                <c:pt idx="732">
                  <c:v>93.47874999999995</c:v>
                </c:pt>
                <c:pt idx="733">
                  <c:v>93.47397999999998</c:v>
                </c:pt>
                <c:pt idx="734">
                  <c:v>93.46914</c:v>
                </c:pt>
                <c:pt idx="735">
                  <c:v>93.46436</c:v>
                </c:pt>
                <c:pt idx="736">
                  <c:v>93.46053</c:v>
                </c:pt>
                <c:pt idx="737">
                  <c:v>93.45669</c:v>
                </c:pt>
                <c:pt idx="738">
                  <c:v>93.45192</c:v>
                </c:pt>
                <c:pt idx="739">
                  <c:v>93.44714</c:v>
                </c:pt>
                <c:pt idx="740">
                  <c:v>93.44331</c:v>
                </c:pt>
                <c:pt idx="741">
                  <c:v>93.43948</c:v>
                </c:pt>
                <c:pt idx="742">
                  <c:v>93.43463000000002</c:v>
                </c:pt>
                <c:pt idx="743">
                  <c:v>93.42986</c:v>
                </c:pt>
                <c:pt idx="744">
                  <c:v>93.42507999999998</c:v>
                </c:pt>
                <c:pt idx="745">
                  <c:v>93.42219</c:v>
                </c:pt>
                <c:pt idx="746">
                  <c:v>93.41742</c:v>
                </c:pt>
                <c:pt idx="747">
                  <c:v>93.41257</c:v>
                </c:pt>
                <c:pt idx="748">
                  <c:v>93.40873999999998</c:v>
                </c:pt>
                <c:pt idx="749">
                  <c:v>93.40397</c:v>
                </c:pt>
                <c:pt idx="750">
                  <c:v>93.40013</c:v>
                </c:pt>
                <c:pt idx="751">
                  <c:v>93.39535999999998</c:v>
                </c:pt>
                <c:pt idx="752">
                  <c:v>93.39051</c:v>
                </c:pt>
                <c:pt idx="753">
                  <c:v>93.38668</c:v>
                </c:pt>
                <c:pt idx="754">
                  <c:v>93.38284999999995</c:v>
                </c:pt>
                <c:pt idx="755">
                  <c:v>93.37806999999998</c:v>
                </c:pt>
                <c:pt idx="756">
                  <c:v>93.37329999999998</c:v>
                </c:pt>
                <c:pt idx="757">
                  <c:v>93.37039999999975</c:v>
                </c:pt>
                <c:pt idx="758">
                  <c:v>93.36563</c:v>
                </c:pt>
                <c:pt idx="759">
                  <c:v>93.36078999999998</c:v>
                </c:pt>
                <c:pt idx="760">
                  <c:v>93.35695</c:v>
                </c:pt>
                <c:pt idx="761">
                  <c:v>93.35217999999985</c:v>
                </c:pt>
                <c:pt idx="762">
                  <c:v>93.34833999999998</c:v>
                </c:pt>
                <c:pt idx="763">
                  <c:v>93.34451</c:v>
                </c:pt>
                <c:pt idx="764">
                  <c:v>93.34068</c:v>
                </c:pt>
                <c:pt idx="765">
                  <c:v>93.33589999999998</c:v>
                </c:pt>
                <c:pt idx="766">
                  <c:v>93.33106</c:v>
                </c:pt>
                <c:pt idx="767">
                  <c:v>93.32723</c:v>
                </c:pt>
                <c:pt idx="768">
                  <c:v>93.32338999999975</c:v>
                </c:pt>
                <c:pt idx="769">
                  <c:v>93.31862</c:v>
                </c:pt>
                <c:pt idx="770">
                  <c:v>93.31478</c:v>
                </c:pt>
                <c:pt idx="771">
                  <c:v>93.31001</c:v>
                </c:pt>
                <c:pt idx="772">
                  <c:v>93.30618</c:v>
                </c:pt>
                <c:pt idx="773">
                  <c:v>93.30233999999938</c:v>
                </c:pt>
                <c:pt idx="774">
                  <c:v>93.2975</c:v>
                </c:pt>
                <c:pt idx="775">
                  <c:v>93.29467</c:v>
                </c:pt>
                <c:pt idx="776">
                  <c:v>93.28983</c:v>
                </c:pt>
                <c:pt idx="777">
                  <c:v>93.286</c:v>
                </c:pt>
                <c:pt idx="778">
                  <c:v>93.28122</c:v>
                </c:pt>
                <c:pt idx="779">
                  <c:v>93.27832999999998</c:v>
                </c:pt>
                <c:pt idx="780">
                  <c:v>93.27356</c:v>
                </c:pt>
                <c:pt idx="781">
                  <c:v>93.26394</c:v>
                </c:pt>
                <c:pt idx="782">
                  <c:v>93.26206</c:v>
                </c:pt>
                <c:pt idx="783">
                  <c:v>93.25822</c:v>
                </c:pt>
                <c:pt idx="784">
                  <c:v>93.25627</c:v>
                </c:pt>
                <c:pt idx="785">
                  <c:v>93.25345</c:v>
                </c:pt>
                <c:pt idx="786">
                  <c:v>93.25056</c:v>
                </c:pt>
                <c:pt idx="787">
                  <c:v>93.24766</c:v>
                </c:pt>
                <c:pt idx="788">
                  <c:v>93.24383</c:v>
                </c:pt>
                <c:pt idx="789">
                  <c:v>93.23905</c:v>
                </c:pt>
                <c:pt idx="790">
                  <c:v>93.23327</c:v>
                </c:pt>
                <c:pt idx="791">
                  <c:v>93.22849999999998</c:v>
                </c:pt>
                <c:pt idx="792">
                  <c:v>93.22466</c:v>
                </c:pt>
                <c:pt idx="793">
                  <c:v>93.21989</c:v>
                </c:pt>
                <c:pt idx="794">
                  <c:v>93.21605</c:v>
                </c:pt>
                <c:pt idx="795">
                  <c:v>93.21222</c:v>
                </c:pt>
                <c:pt idx="796">
                  <c:v>93.20838999999998</c:v>
                </c:pt>
                <c:pt idx="797">
                  <c:v>93.20455</c:v>
                </c:pt>
                <c:pt idx="798">
                  <c:v>93.20072</c:v>
                </c:pt>
                <c:pt idx="799">
                  <c:v>93.19682</c:v>
                </c:pt>
                <c:pt idx="800">
                  <c:v>93.19297999999995</c:v>
                </c:pt>
                <c:pt idx="801">
                  <c:v>93.18915</c:v>
                </c:pt>
                <c:pt idx="802">
                  <c:v>93.18531999999995</c:v>
                </c:pt>
                <c:pt idx="803">
                  <c:v>93.17765</c:v>
                </c:pt>
                <c:pt idx="804">
                  <c:v>93.17192999999997</c:v>
                </c:pt>
                <c:pt idx="805">
                  <c:v>93.17098999999975</c:v>
                </c:pt>
                <c:pt idx="806">
                  <c:v>93.17381999999998</c:v>
                </c:pt>
                <c:pt idx="807">
                  <c:v>93.16809999999998</c:v>
                </c:pt>
                <c:pt idx="808">
                  <c:v>93.16231999999998</c:v>
                </c:pt>
                <c:pt idx="809">
                  <c:v>93.15847999999878</c:v>
                </c:pt>
                <c:pt idx="810">
                  <c:v>93.15370999999975</c:v>
                </c:pt>
                <c:pt idx="811">
                  <c:v>93.14987</c:v>
                </c:pt>
                <c:pt idx="812">
                  <c:v>93.14604</c:v>
                </c:pt>
                <c:pt idx="813">
                  <c:v>93.14126</c:v>
                </c:pt>
                <c:pt idx="814">
                  <c:v>93.13743</c:v>
                </c:pt>
                <c:pt idx="815">
                  <c:v>93.13547999999938</c:v>
                </c:pt>
                <c:pt idx="816">
                  <c:v>93.13165</c:v>
                </c:pt>
                <c:pt idx="817">
                  <c:v>93.12585999999965</c:v>
                </c:pt>
                <c:pt idx="818">
                  <c:v>93.12202999999998</c:v>
                </c:pt>
                <c:pt idx="819">
                  <c:v>93.1182</c:v>
                </c:pt>
                <c:pt idx="820">
                  <c:v>93.11436</c:v>
                </c:pt>
                <c:pt idx="821">
                  <c:v>93.11154</c:v>
                </c:pt>
                <c:pt idx="822">
                  <c:v>93.1077</c:v>
                </c:pt>
                <c:pt idx="823">
                  <c:v>93.10386999999998</c:v>
                </c:pt>
                <c:pt idx="824">
                  <c:v>93.09903000000001</c:v>
                </c:pt>
                <c:pt idx="825">
                  <c:v>93.09614</c:v>
                </c:pt>
                <c:pt idx="826">
                  <c:v>93.0923</c:v>
                </c:pt>
                <c:pt idx="827">
                  <c:v>93.08846999999998</c:v>
                </c:pt>
                <c:pt idx="828">
                  <c:v>93.08464</c:v>
                </c:pt>
                <c:pt idx="829">
                  <c:v>93.08079999999998</c:v>
                </c:pt>
                <c:pt idx="830">
                  <c:v>93.07696999999997</c:v>
                </c:pt>
                <c:pt idx="831">
                  <c:v>93.07313</c:v>
                </c:pt>
                <c:pt idx="832">
                  <c:v>93.06930000000001</c:v>
                </c:pt>
                <c:pt idx="833">
                  <c:v>93.06547</c:v>
                </c:pt>
                <c:pt idx="834">
                  <c:v>93.06264</c:v>
                </c:pt>
                <c:pt idx="835">
                  <c:v>93.05873999999918</c:v>
                </c:pt>
                <c:pt idx="836">
                  <c:v>93.05491</c:v>
                </c:pt>
                <c:pt idx="837">
                  <c:v>93.05107</c:v>
                </c:pt>
                <c:pt idx="838">
                  <c:v>93.04724</c:v>
                </c:pt>
                <c:pt idx="839">
                  <c:v>93.04341</c:v>
                </c:pt>
                <c:pt idx="840">
                  <c:v>93.04058</c:v>
                </c:pt>
                <c:pt idx="841">
                  <c:v>93.03573999999985</c:v>
                </c:pt>
                <c:pt idx="842">
                  <c:v>93.03191</c:v>
                </c:pt>
                <c:pt idx="843">
                  <c:v>93.02713</c:v>
                </c:pt>
                <c:pt idx="844">
                  <c:v>93.02041</c:v>
                </c:pt>
                <c:pt idx="845">
                  <c:v>93.01751</c:v>
                </c:pt>
                <c:pt idx="846">
                  <c:v>93.02135</c:v>
                </c:pt>
                <c:pt idx="847">
                  <c:v>93.01657</c:v>
                </c:pt>
                <c:pt idx="848">
                  <c:v>93.01086</c:v>
                </c:pt>
                <c:pt idx="849">
                  <c:v>93.00601</c:v>
                </c:pt>
                <c:pt idx="850">
                  <c:v>93.00217999999998</c:v>
                </c:pt>
                <c:pt idx="851">
                  <c:v>92.99835</c:v>
                </c:pt>
                <c:pt idx="852">
                  <c:v>92.99552</c:v>
                </c:pt>
                <c:pt idx="853">
                  <c:v>92.99162</c:v>
                </c:pt>
                <c:pt idx="854">
                  <c:v>92.98779</c:v>
                </c:pt>
                <c:pt idx="855">
                  <c:v>92.98395</c:v>
                </c:pt>
                <c:pt idx="856">
                  <c:v>92.98012</c:v>
                </c:pt>
                <c:pt idx="857">
                  <c:v>92.9773</c:v>
                </c:pt>
                <c:pt idx="858">
                  <c:v>92.97244999999998</c:v>
                </c:pt>
                <c:pt idx="859">
                  <c:v>92.96862</c:v>
                </c:pt>
                <c:pt idx="860">
                  <c:v>92.96579</c:v>
                </c:pt>
                <c:pt idx="861">
                  <c:v>92.96196</c:v>
                </c:pt>
                <c:pt idx="862">
                  <c:v>92.95806</c:v>
                </c:pt>
                <c:pt idx="863">
                  <c:v>92.95423</c:v>
                </c:pt>
                <c:pt idx="864">
                  <c:v>92.95039</c:v>
                </c:pt>
                <c:pt idx="865">
                  <c:v>92.94656</c:v>
                </c:pt>
                <c:pt idx="866">
                  <c:v>92.94273</c:v>
                </c:pt>
                <c:pt idx="867">
                  <c:v>92.9399</c:v>
                </c:pt>
                <c:pt idx="868">
                  <c:v>92.93607</c:v>
                </c:pt>
                <c:pt idx="869">
                  <c:v>92.93223</c:v>
                </c:pt>
                <c:pt idx="870">
                  <c:v>92.92933999999998</c:v>
                </c:pt>
                <c:pt idx="871">
                  <c:v>92.92645</c:v>
                </c:pt>
                <c:pt idx="872">
                  <c:v>92.92262</c:v>
                </c:pt>
                <c:pt idx="873">
                  <c:v>92.91878</c:v>
                </c:pt>
                <c:pt idx="874">
                  <c:v>92.91401</c:v>
                </c:pt>
                <c:pt idx="875">
                  <c:v>92.90533</c:v>
                </c:pt>
                <c:pt idx="876">
                  <c:v>92.90439</c:v>
                </c:pt>
                <c:pt idx="877">
                  <c:v>92.91017</c:v>
                </c:pt>
                <c:pt idx="878">
                  <c:v>92.90439</c:v>
                </c:pt>
                <c:pt idx="879">
                  <c:v>92.89961</c:v>
                </c:pt>
                <c:pt idx="880">
                  <c:v>92.89484</c:v>
                </c:pt>
                <c:pt idx="881">
                  <c:v>92.89094</c:v>
                </c:pt>
                <c:pt idx="882">
                  <c:v>92.88711</c:v>
                </c:pt>
                <c:pt idx="883">
                  <c:v>92.88428</c:v>
                </c:pt>
                <c:pt idx="884">
                  <c:v>92.88138999999998</c:v>
                </c:pt>
                <c:pt idx="885">
                  <c:v>92.87755</c:v>
                </c:pt>
                <c:pt idx="886">
                  <c:v>92.87371999999995</c:v>
                </c:pt>
                <c:pt idx="887">
                  <c:v>92.86989</c:v>
                </c:pt>
                <c:pt idx="888">
                  <c:v>92.86605</c:v>
                </c:pt>
                <c:pt idx="889">
                  <c:v>92.86316</c:v>
                </c:pt>
                <c:pt idx="890">
                  <c:v>92.85932999999998</c:v>
                </c:pt>
                <c:pt idx="891">
                  <c:v>92.85549999999998</c:v>
                </c:pt>
                <c:pt idx="892">
                  <c:v>92.85259999999998</c:v>
                </c:pt>
                <c:pt idx="893">
                  <c:v>92.84876999999997</c:v>
                </c:pt>
                <c:pt idx="894">
                  <c:v>92.84587999999998</c:v>
                </c:pt>
                <c:pt idx="895">
                  <c:v>92.84203999999998</c:v>
                </c:pt>
                <c:pt idx="896">
                  <c:v>92.83821</c:v>
                </c:pt>
                <c:pt idx="897">
                  <c:v>92.83538999999985</c:v>
                </c:pt>
                <c:pt idx="898">
                  <c:v>92.83155</c:v>
                </c:pt>
                <c:pt idx="899">
                  <c:v>92.82772</c:v>
                </c:pt>
                <c:pt idx="900">
                  <c:v>92.82483</c:v>
                </c:pt>
                <c:pt idx="901">
                  <c:v>92.82098999999998</c:v>
                </c:pt>
                <c:pt idx="902">
                  <c:v>92.81716</c:v>
                </c:pt>
                <c:pt idx="903">
                  <c:v>92.81333</c:v>
                </c:pt>
                <c:pt idx="904">
                  <c:v>92.81138</c:v>
                </c:pt>
                <c:pt idx="905">
                  <c:v>92.80754</c:v>
                </c:pt>
                <c:pt idx="906">
                  <c:v>92.80370999999998</c:v>
                </c:pt>
                <c:pt idx="907">
                  <c:v>92.80183</c:v>
                </c:pt>
                <c:pt idx="908">
                  <c:v>92.79799</c:v>
                </c:pt>
                <c:pt idx="909">
                  <c:v>92.79416</c:v>
                </c:pt>
                <c:pt idx="910">
                  <c:v>92.79127</c:v>
                </c:pt>
                <c:pt idx="911">
                  <c:v>92.78743</c:v>
                </c:pt>
                <c:pt idx="912">
                  <c:v>92.7836</c:v>
                </c:pt>
                <c:pt idx="913">
                  <c:v>92.78071</c:v>
                </c:pt>
                <c:pt idx="914">
                  <c:v>92.77781</c:v>
                </c:pt>
                <c:pt idx="915">
                  <c:v>92.77397999999998</c:v>
                </c:pt>
                <c:pt idx="916">
                  <c:v>92.77015</c:v>
                </c:pt>
                <c:pt idx="917">
                  <c:v>92.76726</c:v>
                </c:pt>
                <c:pt idx="918">
                  <c:v>92.76342</c:v>
                </c:pt>
                <c:pt idx="919">
                  <c:v>92.7606</c:v>
                </c:pt>
                <c:pt idx="920">
                  <c:v>92.75771</c:v>
                </c:pt>
                <c:pt idx="921">
                  <c:v>92.75481</c:v>
                </c:pt>
                <c:pt idx="922">
                  <c:v>92.75192</c:v>
                </c:pt>
                <c:pt idx="923">
                  <c:v>92.74715</c:v>
                </c:pt>
                <c:pt idx="924">
                  <c:v>92.7452</c:v>
                </c:pt>
                <c:pt idx="925">
                  <c:v>92.74136</c:v>
                </c:pt>
                <c:pt idx="926">
                  <c:v>92.73854</c:v>
                </c:pt>
                <c:pt idx="927">
                  <c:v>92.7347</c:v>
                </c:pt>
                <c:pt idx="928">
                  <c:v>92.73087</c:v>
                </c:pt>
                <c:pt idx="929">
                  <c:v>92.72798</c:v>
                </c:pt>
                <c:pt idx="930">
                  <c:v>92.72508999999998</c:v>
                </c:pt>
                <c:pt idx="931">
                  <c:v>92.72125</c:v>
                </c:pt>
                <c:pt idx="932">
                  <c:v>92.71836</c:v>
                </c:pt>
                <c:pt idx="933">
                  <c:v>92.71547</c:v>
                </c:pt>
                <c:pt idx="934">
                  <c:v>92.71164</c:v>
                </c:pt>
                <c:pt idx="935">
                  <c:v>92.70975</c:v>
                </c:pt>
                <c:pt idx="936">
                  <c:v>92.70592</c:v>
                </c:pt>
                <c:pt idx="937">
                  <c:v>92.70303000000001</c:v>
                </c:pt>
                <c:pt idx="938">
                  <c:v>92.69919</c:v>
                </c:pt>
                <c:pt idx="939">
                  <c:v>92.6963</c:v>
                </c:pt>
                <c:pt idx="940">
                  <c:v>92.69347999999998</c:v>
                </c:pt>
                <c:pt idx="941">
                  <c:v>92.69057999999998</c:v>
                </c:pt>
                <c:pt idx="942">
                  <c:v>92.68674999999975</c:v>
                </c:pt>
                <c:pt idx="943">
                  <c:v>92.68385999999998</c:v>
                </c:pt>
                <c:pt idx="944">
                  <c:v>92.68096999999997</c:v>
                </c:pt>
                <c:pt idx="945">
                  <c:v>92.67806999999995</c:v>
                </c:pt>
                <c:pt idx="946">
                  <c:v>92.67524999999995</c:v>
                </c:pt>
                <c:pt idx="947">
                  <c:v>92.67142</c:v>
                </c:pt>
                <c:pt idx="948">
                  <c:v>92.66852</c:v>
                </c:pt>
                <c:pt idx="949">
                  <c:v>92.66469</c:v>
                </c:pt>
                <c:pt idx="950">
                  <c:v>92.66273999999908</c:v>
                </c:pt>
                <c:pt idx="951">
                  <c:v>92.65890999999995</c:v>
                </c:pt>
                <c:pt idx="952">
                  <c:v>92.65607999999965</c:v>
                </c:pt>
                <c:pt idx="953">
                  <c:v>92.65318999999998</c:v>
                </c:pt>
                <c:pt idx="954">
                  <c:v>92.65029999999997</c:v>
                </c:pt>
                <c:pt idx="955">
                  <c:v>92.64741</c:v>
                </c:pt>
                <c:pt idx="956">
                  <c:v>92.64451</c:v>
                </c:pt>
                <c:pt idx="957">
                  <c:v>92.64169</c:v>
                </c:pt>
                <c:pt idx="958">
                  <c:v>92.63786</c:v>
                </c:pt>
                <c:pt idx="959">
                  <c:v>92.63496</c:v>
                </c:pt>
                <c:pt idx="960">
                  <c:v>92.63206999999998</c:v>
                </c:pt>
                <c:pt idx="961">
                  <c:v>92.62917999999995</c:v>
                </c:pt>
                <c:pt idx="962">
                  <c:v>92.62251999999998</c:v>
                </c:pt>
                <c:pt idx="963">
                  <c:v>92.61963</c:v>
                </c:pt>
                <c:pt idx="964">
                  <c:v>92.61869</c:v>
                </c:pt>
                <c:pt idx="965">
                  <c:v>92.61673999999998</c:v>
                </c:pt>
                <c:pt idx="966">
                  <c:v>92.61479</c:v>
                </c:pt>
                <c:pt idx="967">
                  <c:v>92.61196</c:v>
                </c:pt>
                <c:pt idx="968">
                  <c:v>92.60906999999997</c:v>
                </c:pt>
                <c:pt idx="969">
                  <c:v>92.61385</c:v>
                </c:pt>
                <c:pt idx="970">
                  <c:v>92.60712</c:v>
                </c:pt>
                <c:pt idx="971">
                  <c:v>92.60329</c:v>
                </c:pt>
                <c:pt idx="972">
                  <c:v>92.59945</c:v>
                </c:pt>
                <c:pt idx="973">
                  <c:v>92.59562</c:v>
                </c:pt>
                <c:pt idx="974">
                  <c:v>92.59278999999998</c:v>
                </c:pt>
                <c:pt idx="975">
                  <c:v>92.5899</c:v>
                </c:pt>
                <c:pt idx="976">
                  <c:v>92.58701</c:v>
                </c:pt>
                <c:pt idx="977">
                  <c:v>92.58513</c:v>
                </c:pt>
                <c:pt idx="978">
                  <c:v>92.58224</c:v>
                </c:pt>
                <c:pt idx="979">
                  <c:v>92.57933999999958</c:v>
                </c:pt>
                <c:pt idx="980">
                  <c:v>92.57644999999998</c:v>
                </c:pt>
                <c:pt idx="981">
                  <c:v>92.57356</c:v>
                </c:pt>
                <c:pt idx="982">
                  <c:v>92.57072999999998</c:v>
                </c:pt>
                <c:pt idx="983">
                  <c:v>92.56784</c:v>
                </c:pt>
                <c:pt idx="984">
                  <c:v>92.56495</c:v>
                </c:pt>
                <c:pt idx="985">
                  <c:v>92.56206</c:v>
                </c:pt>
                <c:pt idx="986">
                  <c:v>92.56018</c:v>
                </c:pt>
                <c:pt idx="987">
                  <c:v>92.55728</c:v>
                </c:pt>
                <c:pt idx="988">
                  <c:v>92.55539999999995</c:v>
                </c:pt>
                <c:pt idx="989">
                  <c:v>92.55157000000001</c:v>
                </c:pt>
                <c:pt idx="990">
                  <c:v>92.54867</c:v>
                </c:pt>
                <c:pt idx="991">
                  <c:v>92.54577999999998</c:v>
                </c:pt>
                <c:pt idx="992">
                  <c:v>92.54484</c:v>
                </c:pt>
                <c:pt idx="993">
                  <c:v>92.54101</c:v>
                </c:pt>
                <c:pt idx="994">
                  <c:v>92.53906</c:v>
                </c:pt>
                <c:pt idx="995">
                  <c:v>92.53617000000001</c:v>
                </c:pt>
                <c:pt idx="996">
                  <c:v>92.53428</c:v>
                </c:pt>
                <c:pt idx="997">
                  <c:v>92.53139</c:v>
                </c:pt>
                <c:pt idx="998">
                  <c:v>92.52951</c:v>
                </c:pt>
                <c:pt idx="999">
                  <c:v>92.52661</c:v>
                </c:pt>
                <c:pt idx="1000">
                  <c:v>92.52371999999998</c:v>
                </c:pt>
                <c:pt idx="1001">
                  <c:v>92.52183999999998</c:v>
                </c:pt>
                <c:pt idx="1002">
                  <c:v>92.51895</c:v>
                </c:pt>
                <c:pt idx="1003">
                  <c:v>92.517</c:v>
                </c:pt>
                <c:pt idx="1004">
                  <c:v>92.51511</c:v>
                </c:pt>
                <c:pt idx="1005">
                  <c:v>92.51222</c:v>
                </c:pt>
                <c:pt idx="1006">
                  <c:v>92.50933</c:v>
                </c:pt>
                <c:pt idx="1007">
                  <c:v>92.50745</c:v>
                </c:pt>
                <c:pt idx="1008">
                  <c:v>92.50455</c:v>
                </c:pt>
                <c:pt idx="1009">
                  <c:v>92.50166</c:v>
                </c:pt>
                <c:pt idx="1010">
                  <c:v>92.49978</c:v>
                </c:pt>
                <c:pt idx="1011">
                  <c:v>92.49783</c:v>
                </c:pt>
                <c:pt idx="1012">
                  <c:v>92.49494</c:v>
                </c:pt>
                <c:pt idx="1013">
                  <c:v>92.49211</c:v>
                </c:pt>
                <c:pt idx="1014">
                  <c:v>92.49016</c:v>
                </c:pt>
                <c:pt idx="1015">
                  <c:v>92.48727</c:v>
                </c:pt>
                <c:pt idx="1016">
                  <c:v>92.48445</c:v>
                </c:pt>
                <c:pt idx="1017">
                  <c:v>92.4825</c:v>
                </c:pt>
                <c:pt idx="1018">
                  <c:v>92.48061</c:v>
                </c:pt>
                <c:pt idx="1019">
                  <c:v>92.47772</c:v>
                </c:pt>
                <c:pt idx="1020">
                  <c:v>92.47576999999998</c:v>
                </c:pt>
                <c:pt idx="1021">
                  <c:v>92.47287999999975</c:v>
                </c:pt>
                <c:pt idx="1022">
                  <c:v>92.47099</c:v>
                </c:pt>
                <c:pt idx="1023">
                  <c:v>92.46904</c:v>
                </c:pt>
                <c:pt idx="1024">
                  <c:v>92.46622</c:v>
                </c:pt>
                <c:pt idx="1025">
                  <c:v>92.46427000000002</c:v>
                </c:pt>
                <c:pt idx="1026">
                  <c:v>92.46239</c:v>
                </c:pt>
                <c:pt idx="1027">
                  <c:v>92.45949</c:v>
                </c:pt>
                <c:pt idx="1028">
                  <c:v>92.45754</c:v>
                </c:pt>
                <c:pt idx="1029">
                  <c:v>92.45472</c:v>
                </c:pt>
                <c:pt idx="1030">
                  <c:v>92.45276999999998</c:v>
                </c:pt>
                <c:pt idx="1031">
                  <c:v>92.45088</c:v>
                </c:pt>
                <c:pt idx="1032">
                  <c:v>92.44799</c:v>
                </c:pt>
                <c:pt idx="1033">
                  <c:v>92.44604</c:v>
                </c:pt>
                <c:pt idx="1034">
                  <c:v>92.44416</c:v>
                </c:pt>
                <c:pt idx="1035">
                  <c:v>92.44127</c:v>
                </c:pt>
                <c:pt idx="1036">
                  <c:v>92.43932</c:v>
                </c:pt>
                <c:pt idx="1037">
                  <c:v>92.43649</c:v>
                </c:pt>
                <c:pt idx="1038">
                  <c:v>92.4336</c:v>
                </c:pt>
                <c:pt idx="1039">
                  <c:v>92.43165</c:v>
                </c:pt>
                <c:pt idx="1040">
                  <c:v>92.42882</c:v>
                </c:pt>
                <c:pt idx="1041">
                  <c:v>92.42687</c:v>
                </c:pt>
                <c:pt idx="1042">
                  <c:v>92.42499</c:v>
                </c:pt>
                <c:pt idx="1043">
                  <c:v>92.4221</c:v>
                </c:pt>
                <c:pt idx="1044">
                  <c:v>92.42015</c:v>
                </c:pt>
                <c:pt idx="1045">
                  <c:v>92.41827</c:v>
                </c:pt>
                <c:pt idx="1046">
                  <c:v>92.41632</c:v>
                </c:pt>
                <c:pt idx="1047">
                  <c:v>92.41349</c:v>
                </c:pt>
                <c:pt idx="1048">
                  <c:v>92.41154</c:v>
                </c:pt>
                <c:pt idx="1049">
                  <c:v>92.40959</c:v>
                </c:pt>
                <c:pt idx="1050">
                  <c:v>92.40771</c:v>
                </c:pt>
                <c:pt idx="1051">
                  <c:v>92.40576</c:v>
                </c:pt>
                <c:pt idx="1052">
                  <c:v>92.40293000000001</c:v>
                </c:pt>
                <c:pt idx="1053">
                  <c:v>92.40004</c:v>
                </c:pt>
                <c:pt idx="1054">
                  <c:v>92.39808999999998</c:v>
                </c:pt>
                <c:pt idx="1055">
                  <c:v>92.39621</c:v>
                </c:pt>
                <c:pt idx="1056">
                  <c:v>92.39426</c:v>
                </c:pt>
                <c:pt idx="1057">
                  <c:v>92.39236999999998</c:v>
                </c:pt>
                <c:pt idx="1058">
                  <c:v>92.38947999999998</c:v>
                </c:pt>
                <c:pt idx="1059">
                  <c:v>92.3876</c:v>
                </c:pt>
                <c:pt idx="1060">
                  <c:v>92.38471</c:v>
                </c:pt>
                <c:pt idx="1061">
                  <c:v>92.38274999999948</c:v>
                </c:pt>
                <c:pt idx="1062">
                  <c:v>92.37992999999997</c:v>
                </c:pt>
                <c:pt idx="1063">
                  <c:v>92.37797999999998</c:v>
                </c:pt>
                <c:pt idx="1064">
                  <c:v>92.37602999999998</c:v>
                </c:pt>
                <c:pt idx="1065">
                  <c:v>92.37415</c:v>
                </c:pt>
                <c:pt idx="1066">
                  <c:v>92.37219999999998</c:v>
                </c:pt>
                <c:pt idx="1067">
                  <c:v>92.37030999999975</c:v>
                </c:pt>
                <c:pt idx="1068">
                  <c:v>92.36835999999998</c:v>
                </c:pt>
                <c:pt idx="1069">
                  <c:v>92.36647999999998</c:v>
                </c:pt>
                <c:pt idx="1070">
                  <c:v>92.36359</c:v>
                </c:pt>
                <c:pt idx="1071">
                  <c:v>92.36170000000001</c:v>
                </c:pt>
                <c:pt idx="1072">
                  <c:v>92.35974999999995</c:v>
                </c:pt>
                <c:pt idx="1073">
                  <c:v>92.35787</c:v>
                </c:pt>
                <c:pt idx="1074">
                  <c:v>92.35592</c:v>
                </c:pt>
                <c:pt idx="1075">
                  <c:v>92.35302999999997</c:v>
                </c:pt>
                <c:pt idx="1076">
                  <c:v>92.35208999999985</c:v>
                </c:pt>
                <c:pt idx="1077">
                  <c:v>92.34919</c:v>
                </c:pt>
                <c:pt idx="1078">
                  <c:v>92.34825</c:v>
                </c:pt>
                <c:pt idx="1079">
                  <c:v>92.34536</c:v>
                </c:pt>
                <c:pt idx="1080">
                  <c:v>92.34348</c:v>
                </c:pt>
                <c:pt idx="1081">
                  <c:v>92.34153</c:v>
                </c:pt>
                <c:pt idx="1082">
                  <c:v>92.33864</c:v>
                </c:pt>
                <c:pt idx="1083">
                  <c:v>92.33674999999998</c:v>
                </c:pt>
                <c:pt idx="1084">
                  <c:v>92.3348</c:v>
                </c:pt>
                <c:pt idx="1085">
                  <c:v>92.33292</c:v>
                </c:pt>
                <c:pt idx="1086">
                  <c:v>92.33097</c:v>
                </c:pt>
                <c:pt idx="1087">
                  <c:v>92.32907999999995</c:v>
                </c:pt>
                <c:pt idx="1088">
                  <c:v>92.32713</c:v>
                </c:pt>
                <c:pt idx="1089">
                  <c:v>92.32524999999998</c:v>
                </c:pt>
                <c:pt idx="1090">
                  <c:v>92.32329999999997</c:v>
                </c:pt>
                <c:pt idx="1091">
                  <c:v>92.32142</c:v>
                </c:pt>
                <c:pt idx="1092">
                  <c:v>92.31853</c:v>
                </c:pt>
                <c:pt idx="1093">
                  <c:v>92.31563000000001</c:v>
                </c:pt>
                <c:pt idx="1094">
                  <c:v>92.31375</c:v>
                </c:pt>
                <c:pt idx="1095">
                  <c:v>92.3118</c:v>
                </c:pt>
                <c:pt idx="1096">
                  <c:v>92.30992</c:v>
                </c:pt>
                <c:pt idx="1097">
                  <c:v>92.30797</c:v>
                </c:pt>
                <c:pt idx="1098">
                  <c:v>92.30506999999998</c:v>
                </c:pt>
                <c:pt idx="1099">
                  <c:v>92.30413</c:v>
                </c:pt>
                <c:pt idx="1100">
                  <c:v>92.30225</c:v>
                </c:pt>
                <c:pt idx="1101">
                  <c:v>92.3003</c:v>
                </c:pt>
                <c:pt idx="1102">
                  <c:v>92.29842</c:v>
                </c:pt>
                <c:pt idx="1103">
                  <c:v>92.29552</c:v>
                </c:pt>
                <c:pt idx="1104">
                  <c:v>92.29357</c:v>
                </c:pt>
                <c:pt idx="1105">
                  <c:v>92.29169</c:v>
                </c:pt>
                <c:pt idx="1106">
                  <c:v>92.28973999999998</c:v>
                </c:pt>
                <c:pt idx="1107">
                  <c:v>92.28786</c:v>
                </c:pt>
                <c:pt idx="1108">
                  <c:v>92.28591</c:v>
                </c:pt>
                <c:pt idx="1109">
                  <c:v>92.28308</c:v>
                </c:pt>
                <c:pt idx="1110">
                  <c:v>92.28113</c:v>
                </c:pt>
                <c:pt idx="1111">
                  <c:v>92.28019</c:v>
                </c:pt>
                <c:pt idx="1112">
                  <c:v>92.2773</c:v>
                </c:pt>
                <c:pt idx="1113">
                  <c:v>92.27540999999998</c:v>
                </c:pt>
                <c:pt idx="1114">
                  <c:v>92.27346</c:v>
                </c:pt>
                <c:pt idx="1115">
                  <c:v>92.27057</c:v>
                </c:pt>
                <c:pt idx="1116">
                  <c:v>92.26869</c:v>
                </c:pt>
                <c:pt idx="1117">
                  <c:v>92.26674</c:v>
                </c:pt>
                <c:pt idx="1118">
                  <c:v>92.26486</c:v>
                </c:pt>
                <c:pt idx="1119">
                  <c:v>92.26291</c:v>
                </c:pt>
                <c:pt idx="1120">
                  <c:v>92.26102</c:v>
                </c:pt>
                <c:pt idx="1121">
                  <c:v>92.25907</c:v>
                </c:pt>
                <c:pt idx="1122">
                  <c:v>92.25719</c:v>
                </c:pt>
                <c:pt idx="1123">
                  <c:v>92.25524</c:v>
                </c:pt>
                <c:pt idx="1124">
                  <c:v>92.25234999999998</c:v>
                </c:pt>
                <c:pt idx="1125">
                  <c:v>92.25046</c:v>
                </c:pt>
                <c:pt idx="1126">
                  <c:v>92.24851</c:v>
                </c:pt>
                <c:pt idx="1127">
                  <c:v>92.24757</c:v>
                </c:pt>
                <c:pt idx="1128">
                  <c:v>92.24569</c:v>
                </c:pt>
                <c:pt idx="1129">
                  <c:v>92.2428</c:v>
                </c:pt>
                <c:pt idx="1130">
                  <c:v>92.24085</c:v>
                </c:pt>
                <c:pt idx="1131">
                  <c:v>92.23896</c:v>
                </c:pt>
                <c:pt idx="1132">
                  <c:v>92.23795</c:v>
                </c:pt>
                <c:pt idx="1133">
                  <c:v>92.23513000000001</c:v>
                </c:pt>
                <c:pt idx="1134">
                  <c:v>92.23318</c:v>
                </c:pt>
                <c:pt idx="1135">
                  <c:v>92.2313</c:v>
                </c:pt>
                <c:pt idx="1136">
                  <c:v>92.22933999999998</c:v>
                </c:pt>
                <c:pt idx="1137">
                  <c:v>92.22746</c:v>
                </c:pt>
                <c:pt idx="1138">
                  <c:v>92.22457</c:v>
                </c:pt>
                <c:pt idx="1139">
                  <c:v>92.22262</c:v>
                </c:pt>
                <c:pt idx="1140">
                  <c:v>92.22168</c:v>
                </c:pt>
                <c:pt idx="1141">
                  <c:v>92.21979</c:v>
                </c:pt>
                <c:pt idx="1142">
                  <c:v>92.2169</c:v>
                </c:pt>
                <c:pt idx="1143">
                  <c:v>92.21495</c:v>
                </c:pt>
                <c:pt idx="1144">
                  <c:v>92.21307</c:v>
                </c:pt>
                <c:pt idx="1145">
                  <c:v>92.21112</c:v>
                </c:pt>
                <c:pt idx="1146">
                  <c:v>92.20924</c:v>
                </c:pt>
                <c:pt idx="1147">
                  <c:v>92.20829</c:v>
                </c:pt>
                <c:pt idx="1148">
                  <c:v>92.20539999999998</c:v>
                </c:pt>
                <c:pt idx="1149">
                  <c:v>92.20439</c:v>
                </c:pt>
                <c:pt idx="1150">
                  <c:v>92.20157</c:v>
                </c:pt>
                <c:pt idx="1151">
                  <c:v>92.19962</c:v>
                </c:pt>
                <c:pt idx="1152">
                  <c:v>92.19773</c:v>
                </c:pt>
                <c:pt idx="1153">
                  <c:v>92.19672999999997</c:v>
                </c:pt>
                <c:pt idx="1154">
                  <c:v>92.1939</c:v>
                </c:pt>
                <c:pt idx="1155">
                  <c:v>92.19288999999995</c:v>
                </c:pt>
                <c:pt idx="1156">
                  <c:v>92.19007</c:v>
                </c:pt>
                <c:pt idx="1157">
                  <c:v>92.18812</c:v>
                </c:pt>
                <c:pt idx="1158">
                  <c:v>92.18623</c:v>
                </c:pt>
                <c:pt idx="1159">
                  <c:v>92.18428</c:v>
                </c:pt>
                <c:pt idx="1160">
                  <c:v>92.18138999999998</c:v>
                </c:pt>
                <c:pt idx="1161">
                  <c:v>92.17950999999998</c:v>
                </c:pt>
                <c:pt idx="1162">
                  <c:v>92.17856999999998</c:v>
                </c:pt>
                <c:pt idx="1163">
                  <c:v>92.17566999999998</c:v>
                </c:pt>
                <c:pt idx="1164">
                  <c:v>92.17371999999965</c:v>
                </c:pt>
                <c:pt idx="1165">
                  <c:v>92.1727799999978</c:v>
                </c:pt>
                <c:pt idx="1166">
                  <c:v>92.17082999999998</c:v>
                </c:pt>
                <c:pt idx="1167">
                  <c:v>92.16800999999998</c:v>
                </c:pt>
                <c:pt idx="1168">
                  <c:v>92.16606</c:v>
                </c:pt>
                <c:pt idx="1169">
                  <c:v>92.16417000000001</c:v>
                </c:pt>
                <c:pt idx="1170">
                  <c:v>92.16222</c:v>
                </c:pt>
                <c:pt idx="1171">
                  <c:v>92.16128</c:v>
                </c:pt>
                <c:pt idx="1172">
                  <c:v>92.15932999999998</c:v>
                </c:pt>
                <c:pt idx="1173">
                  <c:v>92.15744999999998</c:v>
                </c:pt>
                <c:pt idx="1174">
                  <c:v>92.15456</c:v>
                </c:pt>
                <c:pt idx="1175">
                  <c:v>92.15361</c:v>
                </c:pt>
                <c:pt idx="1176">
                  <c:v>92.15071999999998</c:v>
                </c:pt>
                <c:pt idx="1177">
                  <c:v>92.14883999999998</c:v>
                </c:pt>
                <c:pt idx="1178">
                  <c:v>92.14689</c:v>
                </c:pt>
                <c:pt idx="1179">
                  <c:v>92.14501</c:v>
                </c:pt>
                <c:pt idx="1180">
                  <c:v>92.144</c:v>
                </c:pt>
                <c:pt idx="1181">
                  <c:v>92.14117</c:v>
                </c:pt>
                <c:pt idx="1182">
                  <c:v>92.14016</c:v>
                </c:pt>
                <c:pt idx="1183">
                  <c:v>92.13727</c:v>
                </c:pt>
                <c:pt idx="1184">
                  <c:v>92.13538999999938</c:v>
                </c:pt>
                <c:pt idx="1185">
                  <c:v>92.13343999999998</c:v>
                </c:pt>
                <c:pt idx="1186">
                  <c:v>92.13155</c:v>
                </c:pt>
                <c:pt idx="1187">
                  <c:v>92.12959999999998</c:v>
                </c:pt>
                <c:pt idx="1188">
                  <c:v>92.12771999999998</c:v>
                </c:pt>
                <c:pt idx="1189">
                  <c:v>92.12677999999858</c:v>
                </c:pt>
                <c:pt idx="1190">
                  <c:v>92.12388999999965</c:v>
                </c:pt>
                <c:pt idx="1191">
                  <c:v>92.12193999999998</c:v>
                </c:pt>
                <c:pt idx="1192">
                  <c:v>92.12004999999998</c:v>
                </c:pt>
                <c:pt idx="1193">
                  <c:v>92.11716</c:v>
                </c:pt>
                <c:pt idx="1194">
                  <c:v>92.11622</c:v>
                </c:pt>
                <c:pt idx="1195">
                  <c:v>92.11427</c:v>
                </c:pt>
                <c:pt idx="1196">
                  <c:v>92.11238999999995</c:v>
                </c:pt>
                <c:pt idx="1197">
                  <c:v>92.10948999999998</c:v>
                </c:pt>
                <c:pt idx="1198">
                  <c:v>92.1066</c:v>
                </c:pt>
                <c:pt idx="1199">
                  <c:v>92.10566</c:v>
                </c:pt>
                <c:pt idx="1200">
                  <c:v>92.10377999999928</c:v>
                </c:pt>
                <c:pt idx="1201">
                  <c:v>92.10183</c:v>
                </c:pt>
                <c:pt idx="1202">
                  <c:v>92.10088999999998</c:v>
                </c:pt>
                <c:pt idx="1203">
                  <c:v>92.09894</c:v>
                </c:pt>
                <c:pt idx="1204">
                  <c:v>92.09705</c:v>
                </c:pt>
                <c:pt idx="1205">
                  <c:v>92.0951</c:v>
                </c:pt>
                <c:pt idx="1206">
                  <c:v>92.09322</c:v>
                </c:pt>
                <c:pt idx="1207">
                  <c:v>92.09127</c:v>
                </c:pt>
                <c:pt idx="1208">
                  <c:v>92.08938999999998</c:v>
                </c:pt>
                <c:pt idx="1209">
                  <c:v>92.08649</c:v>
                </c:pt>
                <c:pt idx="1210">
                  <c:v>92.08555</c:v>
                </c:pt>
                <c:pt idx="1211">
                  <c:v>92.08454</c:v>
                </c:pt>
                <c:pt idx="1212">
                  <c:v>92.08172</c:v>
                </c:pt>
                <c:pt idx="1213">
                  <c:v>92.07976999999998</c:v>
                </c:pt>
                <c:pt idx="1214">
                  <c:v>92.07787999999998</c:v>
                </c:pt>
                <c:pt idx="1215">
                  <c:v>92.07499</c:v>
                </c:pt>
                <c:pt idx="1216">
                  <c:v>92.07303999999998</c:v>
                </c:pt>
                <c:pt idx="1217">
                  <c:v>92.07209999999998</c:v>
                </c:pt>
                <c:pt idx="1218">
                  <c:v>92.06921</c:v>
                </c:pt>
                <c:pt idx="1219">
                  <c:v>92.06827000000001</c:v>
                </c:pt>
                <c:pt idx="1220">
                  <c:v>92.06632</c:v>
                </c:pt>
                <c:pt idx="1221">
                  <c:v>92.06349</c:v>
                </c:pt>
                <c:pt idx="1222">
                  <c:v>92.06247999999998</c:v>
                </c:pt>
                <c:pt idx="1223">
                  <c:v>92.0606</c:v>
                </c:pt>
                <c:pt idx="1224">
                  <c:v>92.05865</c:v>
                </c:pt>
                <c:pt idx="1225">
                  <c:v>92.05676999999998</c:v>
                </c:pt>
                <c:pt idx="1226">
                  <c:v>92.05482</c:v>
                </c:pt>
                <c:pt idx="1227">
                  <c:v>92.05386999999997</c:v>
                </c:pt>
                <c:pt idx="1228">
                  <c:v>92.05097999999998</c:v>
                </c:pt>
                <c:pt idx="1229">
                  <c:v>92.0491</c:v>
                </c:pt>
                <c:pt idx="1230">
                  <c:v>92.04715</c:v>
                </c:pt>
                <c:pt idx="1231">
                  <c:v>92.04527</c:v>
                </c:pt>
                <c:pt idx="1232">
                  <c:v>92.04432</c:v>
                </c:pt>
                <c:pt idx="1233">
                  <c:v>92.04143</c:v>
                </c:pt>
                <c:pt idx="1234">
                  <c:v>92.04049</c:v>
                </c:pt>
                <c:pt idx="1235">
                  <c:v>92.0376</c:v>
                </c:pt>
                <c:pt idx="1236">
                  <c:v>92.03471</c:v>
                </c:pt>
                <c:pt idx="1237">
                  <c:v>92.03376999999997</c:v>
                </c:pt>
                <c:pt idx="1238">
                  <c:v>92.03181</c:v>
                </c:pt>
                <c:pt idx="1239">
                  <c:v>92.03181</c:v>
                </c:pt>
                <c:pt idx="1240">
                  <c:v>92.02892</c:v>
                </c:pt>
                <c:pt idx="1241">
                  <c:v>92.02704</c:v>
                </c:pt>
                <c:pt idx="1242">
                  <c:v>92.02415</c:v>
                </c:pt>
                <c:pt idx="1243">
                  <c:v>92.02321</c:v>
                </c:pt>
                <c:pt idx="1244">
                  <c:v>92.02030999999998</c:v>
                </c:pt>
                <c:pt idx="1245">
                  <c:v>92.01843</c:v>
                </c:pt>
                <c:pt idx="1246">
                  <c:v>92.01648</c:v>
                </c:pt>
                <c:pt idx="1247">
                  <c:v>92.01554</c:v>
                </c:pt>
                <c:pt idx="1248">
                  <c:v>92.01265</c:v>
                </c:pt>
                <c:pt idx="1249">
                  <c:v>92.01171</c:v>
                </c:pt>
                <c:pt idx="1250">
                  <c:v>92.00880999999998</c:v>
                </c:pt>
                <c:pt idx="1251">
                  <c:v>92.00693</c:v>
                </c:pt>
                <c:pt idx="1252">
                  <c:v>92.00498</c:v>
                </c:pt>
                <c:pt idx="1253">
                  <c:v>92.00404</c:v>
                </c:pt>
                <c:pt idx="1254">
                  <c:v>92.0031</c:v>
                </c:pt>
                <c:pt idx="1255">
                  <c:v>92.0002</c:v>
                </c:pt>
                <c:pt idx="1256">
                  <c:v>91.99825</c:v>
                </c:pt>
                <c:pt idx="1257">
                  <c:v>91.99637000000001</c:v>
                </c:pt>
                <c:pt idx="1258">
                  <c:v>91.99442</c:v>
                </c:pt>
                <c:pt idx="1259">
                  <c:v>91.99254</c:v>
                </c:pt>
                <c:pt idx="1260">
                  <c:v>91.99059</c:v>
                </c:pt>
                <c:pt idx="1261">
                  <c:v>91.9887</c:v>
                </c:pt>
                <c:pt idx="1262">
                  <c:v>91.99153</c:v>
                </c:pt>
                <c:pt idx="1263">
                  <c:v>91.98104</c:v>
                </c:pt>
                <c:pt idx="1264">
                  <c:v>91.97909</c:v>
                </c:pt>
                <c:pt idx="1265">
                  <c:v>91.97909</c:v>
                </c:pt>
                <c:pt idx="1266">
                  <c:v>91.9772</c:v>
                </c:pt>
                <c:pt idx="1267">
                  <c:v>91.9772</c:v>
                </c:pt>
                <c:pt idx="1268">
                  <c:v>91.97525</c:v>
                </c:pt>
                <c:pt idx="1269">
                  <c:v>91.97431</c:v>
                </c:pt>
                <c:pt idx="1270">
                  <c:v>91.97336999999997</c:v>
                </c:pt>
                <c:pt idx="1271">
                  <c:v>91.97336999999997</c:v>
                </c:pt>
                <c:pt idx="1272">
                  <c:v>91.97047999999998</c:v>
                </c:pt>
                <c:pt idx="1273">
                  <c:v>91.96664</c:v>
                </c:pt>
                <c:pt idx="1274">
                  <c:v>91.96469</c:v>
                </c:pt>
                <c:pt idx="1275">
                  <c:v>91.9618</c:v>
                </c:pt>
                <c:pt idx="1276">
                  <c:v>91.95992</c:v>
                </c:pt>
                <c:pt idx="1277">
                  <c:v>91.95797</c:v>
                </c:pt>
                <c:pt idx="1278">
                  <c:v>91.95608</c:v>
                </c:pt>
                <c:pt idx="1279">
                  <c:v>91.95413</c:v>
                </c:pt>
                <c:pt idx="1280">
                  <c:v>91.95319</c:v>
                </c:pt>
                <c:pt idx="1281">
                  <c:v>91.95030000000001</c:v>
                </c:pt>
                <c:pt idx="1282">
                  <c:v>91.94842</c:v>
                </c:pt>
                <c:pt idx="1283">
                  <c:v>91.94748</c:v>
                </c:pt>
                <c:pt idx="1284">
                  <c:v>91.94553</c:v>
                </c:pt>
                <c:pt idx="1285">
                  <c:v>91.94364</c:v>
                </c:pt>
                <c:pt idx="1286">
                  <c:v>91.94169</c:v>
                </c:pt>
                <c:pt idx="1287">
                  <c:v>91.93981</c:v>
                </c:pt>
                <c:pt idx="1288">
                  <c:v>91.93786</c:v>
                </c:pt>
                <c:pt idx="1289">
                  <c:v>91.93598</c:v>
                </c:pt>
                <c:pt idx="1290">
                  <c:v>91.93402</c:v>
                </c:pt>
                <c:pt idx="1291">
                  <c:v>91.93207</c:v>
                </c:pt>
                <c:pt idx="1292">
                  <c:v>91.93019</c:v>
                </c:pt>
                <c:pt idx="1293">
                  <c:v>91.92824</c:v>
                </c:pt>
                <c:pt idx="1294">
                  <c:v>91.92636</c:v>
                </c:pt>
                <c:pt idx="1295">
                  <c:v>91.92441</c:v>
                </c:pt>
                <c:pt idx="1296">
                  <c:v>91.92252</c:v>
                </c:pt>
                <c:pt idx="1297">
                  <c:v>91.92057000000001</c:v>
                </c:pt>
                <c:pt idx="1298">
                  <c:v>91.91869</c:v>
                </c:pt>
                <c:pt idx="1299">
                  <c:v>91.91674</c:v>
                </c:pt>
                <c:pt idx="1300">
                  <c:v>91.91392</c:v>
                </c:pt>
                <c:pt idx="1301">
                  <c:v>91.91196</c:v>
                </c:pt>
                <c:pt idx="1302">
                  <c:v>91.91102</c:v>
                </c:pt>
                <c:pt idx="1303">
                  <c:v>91.90907</c:v>
                </c:pt>
                <c:pt idx="1304">
                  <c:v>91.90719</c:v>
                </c:pt>
                <c:pt idx="1305">
                  <c:v>91.90625</c:v>
                </c:pt>
                <c:pt idx="1306">
                  <c:v>91.9043</c:v>
                </c:pt>
                <c:pt idx="1307">
                  <c:v>91.90241</c:v>
                </c:pt>
                <c:pt idx="1308">
                  <c:v>91.90046</c:v>
                </c:pt>
                <c:pt idx="1309">
                  <c:v>91.89757</c:v>
                </c:pt>
                <c:pt idx="1310">
                  <c:v>91.89569</c:v>
                </c:pt>
                <c:pt idx="1311">
                  <c:v>91.89373999999998</c:v>
                </c:pt>
                <c:pt idx="1312">
                  <c:v>91.89186</c:v>
                </c:pt>
                <c:pt idx="1313">
                  <c:v>91.89085</c:v>
                </c:pt>
                <c:pt idx="1314">
                  <c:v>91.88895999999998</c:v>
                </c:pt>
                <c:pt idx="1315">
                  <c:v>91.88701</c:v>
                </c:pt>
                <c:pt idx="1316">
                  <c:v>91.88512999999997</c:v>
                </c:pt>
                <c:pt idx="1317">
                  <c:v>91.88317999999998</c:v>
                </c:pt>
                <c:pt idx="1318">
                  <c:v>91.8813</c:v>
                </c:pt>
                <c:pt idx="1319">
                  <c:v>91.87839999999898</c:v>
                </c:pt>
                <c:pt idx="1320">
                  <c:v>91.87746</c:v>
                </c:pt>
                <c:pt idx="1321">
                  <c:v>91.87550999999995</c:v>
                </c:pt>
                <c:pt idx="1322">
                  <c:v>91.87363</c:v>
                </c:pt>
                <c:pt idx="1323">
                  <c:v>91.87168</c:v>
                </c:pt>
                <c:pt idx="1324">
                  <c:v>91.8698</c:v>
                </c:pt>
                <c:pt idx="1325">
                  <c:v>91.86785</c:v>
                </c:pt>
                <c:pt idx="1326">
                  <c:v>91.8669</c:v>
                </c:pt>
                <c:pt idx="1327">
                  <c:v>91.86502</c:v>
                </c:pt>
                <c:pt idx="1328">
                  <c:v>91.86213</c:v>
                </c:pt>
                <c:pt idx="1329">
                  <c:v>91.86018</c:v>
                </c:pt>
                <c:pt idx="1330">
                  <c:v>91.85924</c:v>
                </c:pt>
                <c:pt idx="1331">
                  <c:v>91.85633999999965</c:v>
                </c:pt>
                <c:pt idx="1332">
                  <c:v>91.85446</c:v>
                </c:pt>
                <c:pt idx="1333">
                  <c:v>91.85344999999998</c:v>
                </c:pt>
                <c:pt idx="1334">
                  <c:v>91.85157</c:v>
                </c:pt>
                <c:pt idx="1335">
                  <c:v>91.84962</c:v>
                </c:pt>
                <c:pt idx="1336">
                  <c:v>91.84774</c:v>
                </c:pt>
                <c:pt idx="1337">
                  <c:v>91.84578999999998</c:v>
                </c:pt>
                <c:pt idx="1338">
                  <c:v>91.8439</c:v>
                </c:pt>
                <c:pt idx="1339">
                  <c:v>91.84101</c:v>
                </c:pt>
                <c:pt idx="1340">
                  <c:v>91.84007</c:v>
                </c:pt>
                <c:pt idx="1341">
                  <c:v>91.83718</c:v>
                </c:pt>
                <c:pt idx="1342">
                  <c:v>91.83529</c:v>
                </c:pt>
                <c:pt idx="1343">
                  <c:v>91.83333999999998</c:v>
                </c:pt>
                <c:pt idx="1344">
                  <c:v>91.83146</c:v>
                </c:pt>
                <c:pt idx="1345">
                  <c:v>91.82951</c:v>
                </c:pt>
                <c:pt idx="1346">
                  <c:v>91.82856999999998</c:v>
                </c:pt>
                <c:pt idx="1347">
                  <c:v>91.82567999999995</c:v>
                </c:pt>
                <c:pt idx="1348">
                  <c:v>91.82372999999998</c:v>
                </c:pt>
                <c:pt idx="1349">
                  <c:v>91.82183999999998</c:v>
                </c:pt>
                <c:pt idx="1350">
                  <c:v>91.82089999999998</c:v>
                </c:pt>
                <c:pt idx="1351">
                  <c:v>91.81801</c:v>
                </c:pt>
                <c:pt idx="1352">
                  <c:v>91.81512</c:v>
                </c:pt>
                <c:pt idx="1353">
                  <c:v>91.81418</c:v>
                </c:pt>
                <c:pt idx="1354">
                  <c:v>91.81222</c:v>
                </c:pt>
                <c:pt idx="1355">
                  <c:v>91.80939999999998</c:v>
                </c:pt>
                <c:pt idx="1356">
                  <c:v>91.80838999999965</c:v>
                </c:pt>
                <c:pt idx="1357">
                  <c:v>91.80556999999997</c:v>
                </c:pt>
                <c:pt idx="1358">
                  <c:v>91.80362</c:v>
                </c:pt>
                <c:pt idx="1359">
                  <c:v>91.80267</c:v>
                </c:pt>
                <c:pt idx="1360">
                  <c:v>91.80072</c:v>
                </c:pt>
                <c:pt idx="1361">
                  <c:v>91.79884</c:v>
                </c:pt>
                <c:pt idx="1362">
                  <c:v>91.79689</c:v>
                </c:pt>
                <c:pt idx="1363">
                  <c:v>91.79501</c:v>
                </c:pt>
                <c:pt idx="1364">
                  <c:v>91.79306</c:v>
                </c:pt>
                <c:pt idx="1365">
                  <c:v>91.79117</c:v>
                </c:pt>
                <c:pt idx="1366">
                  <c:v>91.78922</c:v>
                </c:pt>
                <c:pt idx="1367">
                  <c:v>91.78828</c:v>
                </c:pt>
                <c:pt idx="1368">
                  <c:v>91.78538999999998</c:v>
                </c:pt>
                <c:pt idx="1369">
                  <c:v>91.78351</c:v>
                </c:pt>
                <c:pt idx="1370">
                  <c:v>91.78156</c:v>
                </c:pt>
                <c:pt idx="1371">
                  <c:v>91.77967</c:v>
                </c:pt>
                <c:pt idx="1372">
                  <c:v>91.77772</c:v>
                </c:pt>
                <c:pt idx="1373">
                  <c:v>91.77583999999958</c:v>
                </c:pt>
                <c:pt idx="1374">
                  <c:v>91.77388999999998</c:v>
                </c:pt>
                <c:pt idx="1375">
                  <c:v>91.77200999999998</c:v>
                </c:pt>
                <c:pt idx="1376">
                  <c:v>91.77006</c:v>
                </c:pt>
                <c:pt idx="1377">
                  <c:v>91.76716</c:v>
                </c:pt>
                <c:pt idx="1378">
                  <c:v>91.76528</c:v>
                </c:pt>
                <c:pt idx="1379">
                  <c:v>91.76333</c:v>
                </c:pt>
                <c:pt idx="1380">
                  <c:v>91.76145</c:v>
                </c:pt>
                <c:pt idx="1381">
                  <c:v>91.76044</c:v>
                </c:pt>
                <c:pt idx="1382">
                  <c:v>91.75855</c:v>
                </c:pt>
                <c:pt idx="1383">
                  <c:v>91.7566</c:v>
                </c:pt>
                <c:pt idx="1384">
                  <c:v>91.75472</c:v>
                </c:pt>
                <c:pt idx="1385">
                  <c:v>91.75276999999998</c:v>
                </c:pt>
                <c:pt idx="1386">
                  <c:v>91.75089</c:v>
                </c:pt>
                <c:pt idx="1387">
                  <c:v>91.74894</c:v>
                </c:pt>
                <c:pt idx="1388">
                  <c:v>91.74705</c:v>
                </c:pt>
                <c:pt idx="1389">
                  <c:v>91.7451</c:v>
                </c:pt>
                <c:pt idx="1390">
                  <c:v>91.74322</c:v>
                </c:pt>
                <c:pt idx="1391">
                  <c:v>91.74033</c:v>
                </c:pt>
                <c:pt idx="1392">
                  <c:v>91.73939</c:v>
                </c:pt>
                <c:pt idx="1393">
                  <c:v>91.73744</c:v>
                </c:pt>
                <c:pt idx="1394">
                  <c:v>91.73461</c:v>
                </c:pt>
                <c:pt idx="1395">
                  <c:v>91.7336</c:v>
                </c:pt>
                <c:pt idx="1396">
                  <c:v>91.73077999999998</c:v>
                </c:pt>
                <c:pt idx="1397">
                  <c:v>91.72976999999997</c:v>
                </c:pt>
                <c:pt idx="1398">
                  <c:v>91.72694</c:v>
                </c:pt>
                <c:pt idx="1399">
                  <c:v>91.72499</c:v>
                </c:pt>
                <c:pt idx="1400">
                  <c:v>91.72405</c:v>
                </c:pt>
                <c:pt idx="1401">
                  <c:v>91.72116</c:v>
                </c:pt>
                <c:pt idx="1402">
                  <c:v>91.71921</c:v>
                </c:pt>
                <c:pt idx="1403">
                  <c:v>91.71733</c:v>
                </c:pt>
                <c:pt idx="1404">
                  <c:v>91.71639</c:v>
                </c:pt>
                <c:pt idx="1405">
                  <c:v>91.71444</c:v>
                </c:pt>
                <c:pt idx="1406">
                  <c:v>91.71255</c:v>
                </c:pt>
                <c:pt idx="1407">
                  <c:v>91.7106</c:v>
                </c:pt>
                <c:pt idx="1408">
                  <c:v>91.70771</c:v>
                </c:pt>
                <c:pt idx="1409">
                  <c:v>91.70677</c:v>
                </c:pt>
                <c:pt idx="1410">
                  <c:v>91.70583</c:v>
                </c:pt>
                <c:pt idx="1411">
                  <c:v>91.70293</c:v>
                </c:pt>
                <c:pt idx="1412">
                  <c:v>91.70004</c:v>
                </c:pt>
                <c:pt idx="1413">
                  <c:v>91.69816</c:v>
                </c:pt>
                <c:pt idx="1414">
                  <c:v>91.69621</c:v>
                </c:pt>
                <c:pt idx="1415">
                  <c:v>91.69433</c:v>
                </c:pt>
                <c:pt idx="1416">
                  <c:v>91.69237999999918</c:v>
                </c:pt>
                <c:pt idx="1417">
                  <c:v>91.69048999999998</c:v>
                </c:pt>
                <c:pt idx="1418">
                  <c:v>91.6876</c:v>
                </c:pt>
                <c:pt idx="1419">
                  <c:v>91.68666</c:v>
                </c:pt>
                <c:pt idx="1420">
                  <c:v>91.68376999999998</c:v>
                </c:pt>
                <c:pt idx="1421">
                  <c:v>91.68281999999998</c:v>
                </c:pt>
                <c:pt idx="1422">
                  <c:v>91.67992999999998</c:v>
                </c:pt>
                <c:pt idx="1423">
                  <c:v>91.67797999999995</c:v>
                </c:pt>
                <c:pt idx="1424">
                  <c:v>91.67609999999995</c:v>
                </c:pt>
                <c:pt idx="1425">
                  <c:v>91.67414999999998</c:v>
                </c:pt>
                <c:pt idx="1426">
                  <c:v>91.67320999999998</c:v>
                </c:pt>
                <c:pt idx="1427">
                  <c:v>91.67031999999975</c:v>
                </c:pt>
                <c:pt idx="1428">
                  <c:v>91.66936999999998</c:v>
                </c:pt>
                <c:pt idx="1429">
                  <c:v>91.66749</c:v>
                </c:pt>
                <c:pt idx="1430">
                  <c:v>91.66553999999998</c:v>
                </c:pt>
                <c:pt idx="1431">
                  <c:v>91.66265</c:v>
                </c:pt>
                <c:pt idx="1432">
                  <c:v>91.65981999999998</c:v>
                </c:pt>
                <c:pt idx="1433">
                  <c:v>91.65880999999958</c:v>
                </c:pt>
                <c:pt idx="1434">
                  <c:v>91.65591999999998</c:v>
                </c:pt>
                <c:pt idx="1435">
                  <c:v>91.65497999999998</c:v>
                </c:pt>
                <c:pt idx="1436">
                  <c:v>91.65208999999938</c:v>
                </c:pt>
                <c:pt idx="1437">
                  <c:v>91.65021</c:v>
                </c:pt>
                <c:pt idx="1438">
                  <c:v>91.64826</c:v>
                </c:pt>
                <c:pt idx="1439">
                  <c:v>91.64637</c:v>
                </c:pt>
                <c:pt idx="1440">
                  <c:v>91.64442</c:v>
                </c:pt>
                <c:pt idx="1441">
                  <c:v>91.6416</c:v>
                </c:pt>
                <c:pt idx="1442">
                  <c:v>91.63965</c:v>
                </c:pt>
                <c:pt idx="1443">
                  <c:v>91.63870999999965</c:v>
                </c:pt>
                <c:pt idx="1444">
                  <c:v>91.63674999999998</c:v>
                </c:pt>
                <c:pt idx="1445">
                  <c:v>91.63393</c:v>
                </c:pt>
                <c:pt idx="1446">
                  <c:v>91.63292</c:v>
                </c:pt>
                <c:pt idx="1447">
                  <c:v>91.63104</c:v>
                </c:pt>
                <c:pt idx="1448">
                  <c:v>91.62814999999995</c:v>
                </c:pt>
                <c:pt idx="1449">
                  <c:v>91.62626</c:v>
                </c:pt>
                <c:pt idx="1450">
                  <c:v>91.62430999999998</c:v>
                </c:pt>
                <c:pt idx="1451">
                  <c:v>91.62235999999928</c:v>
                </c:pt>
                <c:pt idx="1452">
                  <c:v>91.61954</c:v>
                </c:pt>
                <c:pt idx="1453">
                  <c:v>91.61853</c:v>
                </c:pt>
                <c:pt idx="1454">
                  <c:v>91.61665</c:v>
                </c:pt>
                <c:pt idx="1455">
                  <c:v>91.61469</c:v>
                </c:pt>
                <c:pt idx="1456">
                  <c:v>91.61280999999998</c:v>
                </c:pt>
                <c:pt idx="1457">
                  <c:v>91.61086</c:v>
                </c:pt>
                <c:pt idx="1458">
                  <c:v>91.60897999999958</c:v>
                </c:pt>
                <c:pt idx="1459">
                  <c:v>91.60608999999998</c:v>
                </c:pt>
                <c:pt idx="1460">
                  <c:v>91.60513999999995</c:v>
                </c:pt>
                <c:pt idx="1461">
                  <c:v>91.60225</c:v>
                </c:pt>
                <c:pt idx="1462">
                  <c:v>91.60036999999998</c:v>
                </c:pt>
                <c:pt idx="1463">
                  <c:v>91.59748</c:v>
                </c:pt>
                <c:pt idx="1464">
                  <c:v>91.59654</c:v>
                </c:pt>
                <c:pt idx="1465">
                  <c:v>91.59459</c:v>
                </c:pt>
                <c:pt idx="1466">
                  <c:v>91.59169</c:v>
                </c:pt>
                <c:pt idx="1467">
                  <c:v>91.58981</c:v>
                </c:pt>
                <c:pt idx="1468">
                  <c:v>91.58786</c:v>
                </c:pt>
                <c:pt idx="1469">
                  <c:v>91.58597999999998</c:v>
                </c:pt>
                <c:pt idx="1470">
                  <c:v>91.58497000000001</c:v>
                </c:pt>
                <c:pt idx="1471">
                  <c:v>91.58307999999998</c:v>
                </c:pt>
                <c:pt idx="1472">
                  <c:v>91.58113</c:v>
                </c:pt>
                <c:pt idx="1473">
                  <c:v>91.57925</c:v>
                </c:pt>
                <c:pt idx="1474">
                  <c:v>91.5773</c:v>
                </c:pt>
                <c:pt idx="1475">
                  <c:v>91.57541999999998</c:v>
                </c:pt>
                <c:pt idx="1476">
                  <c:v>91.57346999999998</c:v>
                </c:pt>
                <c:pt idx="1477">
                  <c:v>91.57157999999998</c:v>
                </c:pt>
                <c:pt idx="1478">
                  <c:v>91.56869</c:v>
                </c:pt>
                <c:pt idx="1479">
                  <c:v>91.56681</c:v>
                </c:pt>
                <c:pt idx="1480">
                  <c:v>91.56486</c:v>
                </c:pt>
                <c:pt idx="1481">
                  <c:v>91.56297999999998</c:v>
                </c:pt>
                <c:pt idx="1482">
                  <c:v>91.56102</c:v>
                </c:pt>
                <c:pt idx="1483">
                  <c:v>91.55914</c:v>
                </c:pt>
                <c:pt idx="1484">
                  <c:v>91.55719</c:v>
                </c:pt>
                <c:pt idx="1485">
                  <c:v>91.55524</c:v>
                </c:pt>
                <c:pt idx="1486">
                  <c:v>91.55336</c:v>
                </c:pt>
                <c:pt idx="1487">
                  <c:v>91.55047</c:v>
                </c:pt>
                <c:pt idx="1488">
                  <c:v>91.54757</c:v>
                </c:pt>
                <c:pt idx="1489">
                  <c:v>91.54092</c:v>
                </c:pt>
                <c:pt idx="1490">
                  <c:v>91.54092</c:v>
                </c:pt>
                <c:pt idx="1491">
                  <c:v>91.54186</c:v>
                </c:pt>
                <c:pt idx="1492">
                  <c:v>91.54092</c:v>
                </c:pt>
                <c:pt idx="1493">
                  <c:v>91.54092</c:v>
                </c:pt>
                <c:pt idx="1494">
                  <c:v>91.53896</c:v>
                </c:pt>
                <c:pt idx="1495">
                  <c:v>91.53607</c:v>
                </c:pt>
                <c:pt idx="1496">
                  <c:v>91.53325</c:v>
                </c:pt>
                <c:pt idx="1497">
                  <c:v>91.53036</c:v>
                </c:pt>
                <c:pt idx="1498">
                  <c:v>91.52840999999998</c:v>
                </c:pt>
                <c:pt idx="1499">
                  <c:v>91.52652</c:v>
                </c:pt>
                <c:pt idx="1500">
                  <c:v>91.52457</c:v>
                </c:pt>
                <c:pt idx="1501">
                  <c:v>91.52363</c:v>
                </c:pt>
                <c:pt idx="1502">
                  <c:v>91.52073999999975</c:v>
                </c:pt>
                <c:pt idx="1503">
                  <c:v>91.51886</c:v>
                </c:pt>
                <c:pt idx="1504">
                  <c:v>91.51691</c:v>
                </c:pt>
                <c:pt idx="1505">
                  <c:v>91.51502</c:v>
                </c:pt>
                <c:pt idx="1506">
                  <c:v>91.51307000000001</c:v>
                </c:pt>
                <c:pt idx="1507">
                  <c:v>91.51119</c:v>
                </c:pt>
                <c:pt idx="1508">
                  <c:v>91.5083</c:v>
                </c:pt>
                <c:pt idx="1509">
                  <c:v>91.50735</c:v>
                </c:pt>
                <c:pt idx="1510">
                  <c:v>91.50446</c:v>
                </c:pt>
                <c:pt idx="1511">
                  <c:v>91.50251</c:v>
                </c:pt>
                <c:pt idx="1512">
                  <c:v>91.50063</c:v>
                </c:pt>
                <c:pt idx="1513">
                  <c:v>91.49868</c:v>
                </c:pt>
                <c:pt idx="1514">
                  <c:v>91.4968</c:v>
                </c:pt>
                <c:pt idx="1515">
                  <c:v>91.49485</c:v>
                </c:pt>
                <c:pt idx="1516">
                  <c:v>91.49296</c:v>
                </c:pt>
                <c:pt idx="1517">
                  <c:v>91.49007</c:v>
                </c:pt>
                <c:pt idx="1518">
                  <c:v>91.48819</c:v>
                </c:pt>
                <c:pt idx="1519">
                  <c:v>91.48624</c:v>
                </c:pt>
                <c:pt idx="1520">
                  <c:v>91.48334</c:v>
                </c:pt>
                <c:pt idx="1521">
                  <c:v>91.48146</c:v>
                </c:pt>
                <c:pt idx="1522">
                  <c:v>91.48045</c:v>
                </c:pt>
                <c:pt idx="1523">
                  <c:v>91.47662</c:v>
                </c:pt>
                <c:pt idx="1524">
                  <c:v>91.47473999999998</c:v>
                </c:pt>
                <c:pt idx="1525">
                  <c:v>91.47378999999998</c:v>
                </c:pt>
                <c:pt idx="1526">
                  <c:v>91.4709</c:v>
                </c:pt>
                <c:pt idx="1527">
                  <c:v>91.46996</c:v>
                </c:pt>
                <c:pt idx="1528">
                  <c:v>91.46801</c:v>
                </c:pt>
                <c:pt idx="1529">
                  <c:v>91.46707</c:v>
                </c:pt>
                <c:pt idx="1530">
                  <c:v>91.46324</c:v>
                </c:pt>
                <c:pt idx="1531">
                  <c:v>91.46229</c:v>
                </c:pt>
                <c:pt idx="1532">
                  <c:v>91.45268</c:v>
                </c:pt>
                <c:pt idx="1533">
                  <c:v>91.45362</c:v>
                </c:pt>
                <c:pt idx="1534">
                  <c:v>91.45362</c:v>
                </c:pt>
                <c:pt idx="1535">
                  <c:v>91.45463</c:v>
                </c:pt>
                <c:pt idx="1536">
                  <c:v>91.45557</c:v>
                </c:pt>
                <c:pt idx="1537">
                  <c:v>91.45073</c:v>
                </c:pt>
                <c:pt idx="1538">
                  <c:v>91.44689</c:v>
                </c:pt>
                <c:pt idx="1539">
                  <c:v>91.44407</c:v>
                </c:pt>
                <c:pt idx="1540">
                  <c:v>91.44306</c:v>
                </c:pt>
                <c:pt idx="1541">
                  <c:v>91.44118</c:v>
                </c:pt>
                <c:pt idx="1542">
                  <c:v>91.43828</c:v>
                </c:pt>
                <c:pt idx="1543">
                  <c:v>91.4364</c:v>
                </c:pt>
                <c:pt idx="1544">
                  <c:v>91.43351</c:v>
                </c:pt>
                <c:pt idx="1545">
                  <c:v>91.43062</c:v>
                </c:pt>
                <c:pt idx="1546">
                  <c:v>91.42872999999997</c:v>
                </c:pt>
                <c:pt idx="1547">
                  <c:v>91.42677999999998</c:v>
                </c:pt>
                <c:pt idx="1548">
                  <c:v>91.4249</c:v>
                </c:pt>
                <c:pt idx="1549">
                  <c:v>91.42389</c:v>
                </c:pt>
                <c:pt idx="1550">
                  <c:v>91.42201</c:v>
                </c:pt>
                <c:pt idx="1551">
                  <c:v>91.41912</c:v>
                </c:pt>
                <c:pt idx="1552">
                  <c:v>91.41622</c:v>
                </c:pt>
                <c:pt idx="1553">
                  <c:v>91.41434</c:v>
                </c:pt>
                <c:pt idx="1554">
                  <c:v>91.41239</c:v>
                </c:pt>
                <c:pt idx="1555">
                  <c:v>91.41051</c:v>
                </c:pt>
                <c:pt idx="1556">
                  <c:v>91.40856</c:v>
                </c:pt>
                <c:pt idx="1557">
                  <c:v>91.40667</c:v>
                </c:pt>
                <c:pt idx="1558">
                  <c:v>91.40566</c:v>
                </c:pt>
                <c:pt idx="1559">
                  <c:v>91.39995</c:v>
                </c:pt>
                <c:pt idx="1560">
                  <c:v>91.39611</c:v>
                </c:pt>
                <c:pt idx="1561">
                  <c:v>91.39611</c:v>
                </c:pt>
                <c:pt idx="1562">
                  <c:v>91.39517</c:v>
                </c:pt>
                <c:pt idx="1563">
                  <c:v>91.39228</c:v>
                </c:pt>
                <c:pt idx="1564">
                  <c:v>91.39134</c:v>
                </c:pt>
                <c:pt idx="1565">
                  <c:v>91.38938999999995</c:v>
                </c:pt>
                <c:pt idx="1566">
                  <c:v>91.38844999999998</c:v>
                </c:pt>
                <c:pt idx="1567">
                  <c:v>91.3865</c:v>
                </c:pt>
                <c:pt idx="1568">
                  <c:v>91.38751</c:v>
                </c:pt>
                <c:pt idx="1569">
                  <c:v>91.38554999999998</c:v>
                </c:pt>
                <c:pt idx="1570">
                  <c:v>91.38172</c:v>
                </c:pt>
                <c:pt idx="1571">
                  <c:v>91.37788999999998</c:v>
                </c:pt>
                <c:pt idx="1572">
                  <c:v>91.37593999999918</c:v>
                </c:pt>
                <c:pt idx="1573">
                  <c:v>91.37310999999998</c:v>
                </c:pt>
                <c:pt idx="1574">
                  <c:v>91.37116</c:v>
                </c:pt>
                <c:pt idx="1575">
                  <c:v>91.36928</c:v>
                </c:pt>
                <c:pt idx="1576">
                  <c:v>91.36638999999998</c:v>
                </c:pt>
                <c:pt idx="1577">
                  <c:v>91.36349</c:v>
                </c:pt>
                <c:pt idx="1578">
                  <c:v>91.36161</c:v>
                </c:pt>
                <c:pt idx="1579">
                  <c:v>91.3606</c:v>
                </c:pt>
                <c:pt idx="1580">
                  <c:v>91.35966</c:v>
                </c:pt>
                <c:pt idx="1581">
                  <c:v>91.35676999999998</c:v>
                </c:pt>
                <c:pt idx="1582">
                  <c:v>91.35393999999998</c:v>
                </c:pt>
                <c:pt idx="1583">
                  <c:v>91.35105</c:v>
                </c:pt>
                <c:pt idx="1584">
                  <c:v>91.3491</c:v>
                </c:pt>
                <c:pt idx="1585">
                  <c:v>91.34621</c:v>
                </c:pt>
                <c:pt idx="1586">
                  <c:v>91.34433000000001</c:v>
                </c:pt>
                <c:pt idx="1587">
                  <c:v>91.34237999999995</c:v>
                </c:pt>
                <c:pt idx="1588">
                  <c:v>91.33955</c:v>
                </c:pt>
                <c:pt idx="1589">
                  <c:v>91.33853999999998</c:v>
                </c:pt>
                <c:pt idx="1590">
                  <c:v>91.33666</c:v>
                </c:pt>
                <c:pt idx="1591">
                  <c:v>91.33376999999998</c:v>
                </c:pt>
                <c:pt idx="1592">
                  <c:v>91.33188</c:v>
                </c:pt>
                <c:pt idx="1593">
                  <c:v>91.32898999999995</c:v>
                </c:pt>
                <c:pt idx="1594">
                  <c:v>91.32703999999998</c:v>
                </c:pt>
                <c:pt idx="1595">
                  <c:v>91.32515999999998</c:v>
                </c:pt>
                <c:pt idx="1596">
                  <c:v>91.32321</c:v>
                </c:pt>
                <c:pt idx="1597">
                  <c:v>91.32132999999997</c:v>
                </c:pt>
                <c:pt idx="1598">
                  <c:v>91.31749</c:v>
                </c:pt>
                <c:pt idx="1599">
                  <c:v>91.31655</c:v>
                </c:pt>
                <c:pt idx="1600">
                  <c:v>91.31554</c:v>
                </c:pt>
                <c:pt idx="1601">
                  <c:v>91.31265</c:v>
                </c:pt>
                <c:pt idx="1602">
                  <c:v>91.31077</c:v>
                </c:pt>
                <c:pt idx="1603">
                  <c:v>91.30498</c:v>
                </c:pt>
                <c:pt idx="1604">
                  <c:v>91.3031</c:v>
                </c:pt>
                <c:pt idx="1605">
                  <c:v>91.30216</c:v>
                </c:pt>
                <c:pt idx="1606">
                  <c:v>91.30021</c:v>
                </c:pt>
                <c:pt idx="1607">
                  <c:v>91.29832</c:v>
                </c:pt>
                <c:pt idx="1608">
                  <c:v>91.29732</c:v>
                </c:pt>
                <c:pt idx="1609">
                  <c:v>91.29543</c:v>
                </c:pt>
                <c:pt idx="1610">
                  <c:v>91.29449</c:v>
                </c:pt>
                <c:pt idx="1611">
                  <c:v>91.29254</c:v>
                </c:pt>
                <c:pt idx="1612">
                  <c:v>91.28965</c:v>
                </c:pt>
                <c:pt idx="1613">
                  <c:v>91.28682</c:v>
                </c:pt>
                <c:pt idx="1614">
                  <c:v>91.28487000000001</c:v>
                </c:pt>
                <c:pt idx="1615">
                  <c:v>91.28198</c:v>
                </c:pt>
                <c:pt idx="1616">
                  <c:v>91.2801</c:v>
                </c:pt>
                <c:pt idx="1617">
                  <c:v>91.27721</c:v>
                </c:pt>
                <c:pt idx="1618">
                  <c:v>91.27526</c:v>
                </c:pt>
                <c:pt idx="1619">
                  <c:v>91.27336999999998</c:v>
                </c:pt>
                <c:pt idx="1620">
                  <c:v>91.27047999999998</c:v>
                </c:pt>
                <c:pt idx="1621">
                  <c:v>91.2686</c:v>
                </c:pt>
                <c:pt idx="1622">
                  <c:v>91.26665</c:v>
                </c:pt>
                <c:pt idx="1623">
                  <c:v>91.26476</c:v>
                </c:pt>
                <c:pt idx="1624">
                  <c:v>91.26281</c:v>
                </c:pt>
                <c:pt idx="1625">
                  <c:v>91.25992</c:v>
                </c:pt>
                <c:pt idx="1626">
                  <c:v>91.2571</c:v>
                </c:pt>
                <c:pt idx="1627">
                  <c:v>91.25609</c:v>
                </c:pt>
                <c:pt idx="1628">
                  <c:v>91.25326</c:v>
                </c:pt>
                <c:pt idx="1629">
                  <c:v>91.25036999999997</c:v>
                </c:pt>
                <c:pt idx="1630">
                  <c:v>91.24943</c:v>
                </c:pt>
                <c:pt idx="1631">
                  <c:v>91.24553</c:v>
                </c:pt>
                <c:pt idx="1632">
                  <c:v>91.24365</c:v>
                </c:pt>
                <c:pt idx="1633">
                  <c:v>91.24169</c:v>
                </c:pt>
                <c:pt idx="1634">
                  <c:v>91.23981</c:v>
                </c:pt>
                <c:pt idx="1635">
                  <c:v>91.23692</c:v>
                </c:pt>
                <c:pt idx="1636">
                  <c:v>91.23504</c:v>
                </c:pt>
                <c:pt idx="1637">
                  <c:v>91.23214</c:v>
                </c:pt>
                <c:pt idx="1638">
                  <c:v>91.22925</c:v>
                </c:pt>
                <c:pt idx="1639">
                  <c:v>91.22830999999998</c:v>
                </c:pt>
                <c:pt idx="1640">
                  <c:v>91.22542</c:v>
                </c:pt>
                <c:pt idx="1641">
                  <c:v>91.22253</c:v>
                </c:pt>
                <c:pt idx="1642">
                  <c:v>91.22159</c:v>
                </c:pt>
                <c:pt idx="1643">
                  <c:v>91.21869</c:v>
                </c:pt>
                <c:pt idx="1644">
                  <c:v>91.21681</c:v>
                </c:pt>
                <c:pt idx="1645">
                  <c:v>91.21486</c:v>
                </c:pt>
                <c:pt idx="1646">
                  <c:v>91.21298</c:v>
                </c:pt>
                <c:pt idx="1647">
                  <c:v>91.21008</c:v>
                </c:pt>
                <c:pt idx="1648">
                  <c:v>91.20813</c:v>
                </c:pt>
                <c:pt idx="1649">
                  <c:v>91.20625</c:v>
                </c:pt>
                <c:pt idx="1650">
                  <c:v>91.20336</c:v>
                </c:pt>
                <c:pt idx="1651">
                  <c:v>91.20148</c:v>
                </c:pt>
                <c:pt idx="1652">
                  <c:v>91.20047</c:v>
                </c:pt>
                <c:pt idx="1653">
                  <c:v>91.19279999999995</c:v>
                </c:pt>
                <c:pt idx="1654">
                  <c:v>91.19092</c:v>
                </c:pt>
                <c:pt idx="1655">
                  <c:v>91.18997999999995</c:v>
                </c:pt>
                <c:pt idx="1656">
                  <c:v>91.19186</c:v>
                </c:pt>
                <c:pt idx="1657">
                  <c:v>91.18801999999998</c:v>
                </c:pt>
                <c:pt idx="1658">
                  <c:v>91.18512999999998</c:v>
                </c:pt>
                <c:pt idx="1659">
                  <c:v>91.18230999999938</c:v>
                </c:pt>
                <c:pt idx="1660">
                  <c:v>91.1813</c:v>
                </c:pt>
                <c:pt idx="1661">
                  <c:v>91.17840999999908</c:v>
                </c:pt>
                <c:pt idx="1662">
                  <c:v>91.17651999999998</c:v>
                </c:pt>
                <c:pt idx="1663">
                  <c:v>91.17362999999997</c:v>
                </c:pt>
                <c:pt idx="1664">
                  <c:v>91.17174999999965</c:v>
                </c:pt>
                <c:pt idx="1665">
                  <c:v>91.16979999999998</c:v>
                </c:pt>
                <c:pt idx="1666">
                  <c:v>91.16691</c:v>
                </c:pt>
                <c:pt idx="1667">
                  <c:v>91.16025</c:v>
                </c:pt>
                <c:pt idx="1668">
                  <c:v>91.15829999999998</c:v>
                </c:pt>
                <c:pt idx="1669">
                  <c:v>91.15735999999998</c:v>
                </c:pt>
                <c:pt idx="1670">
                  <c:v>91.15640999999998</c:v>
                </c:pt>
                <c:pt idx="1671">
                  <c:v>91.15829999999998</c:v>
                </c:pt>
                <c:pt idx="1672">
                  <c:v>91.15540999999975</c:v>
                </c:pt>
                <c:pt idx="1673">
                  <c:v>91.15157</c:v>
                </c:pt>
                <c:pt idx="1674">
                  <c:v>91.14874999999998</c:v>
                </c:pt>
                <c:pt idx="1675">
                  <c:v>91.14586</c:v>
                </c:pt>
                <c:pt idx="1676">
                  <c:v>91.14296</c:v>
                </c:pt>
                <c:pt idx="1677">
                  <c:v>91.14007</c:v>
                </c:pt>
                <c:pt idx="1678">
                  <c:v>91.13913</c:v>
                </c:pt>
                <c:pt idx="1679">
                  <c:v>91.13624</c:v>
                </c:pt>
                <c:pt idx="1680">
                  <c:v>91.13435</c:v>
                </c:pt>
                <c:pt idx="1681">
                  <c:v>91.13052</c:v>
                </c:pt>
                <c:pt idx="1682">
                  <c:v>91.12856999999998</c:v>
                </c:pt>
                <c:pt idx="1683">
                  <c:v>91.12567999999958</c:v>
                </c:pt>
                <c:pt idx="1684">
                  <c:v>91.12473999999958</c:v>
                </c:pt>
                <c:pt idx="1685">
                  <c:v>91.12184999999998</c:v>
                </c:pt>
                <c:pt idx="1686">
                  <c:v>91.11902</c:v>
                </c:pt>
                <c:pt idx="1687">
                  <c:v>91.11707000000001</c:v>
                </c:pt>
                <c:pt idx="1688">
                  <c:v>91.11418</c:v>
                </c:pt>
                <c:pt idx="1689">
                  <c:v>91.11229</c:v>
                </c:pt>
                <c:pt idx="1690">
                  <c:v>91.11033999999998</c:v>
                </c:pt>
                <c:pt idx="1691">
                  <c:v>91.10745</c:v>
                </c:pt>
                <c:pt idx="1692">
                  <c:v>91.10556999999998</c:v>
                </c:pt>
                <c:pt idx="1693">
                  <c:v>91.10267999999998</c:v>
                </c:pt>
                <c:pt idx="1694">
                  <c:v>91.10078999999975</c:v>
                </c:pt>
                <c:pt idx="1695">
                  <c:v>91.09883999999998</c:v>
                </c:pt>
                <c:pt idx="1696">
                  <c:v>91.09595</c:v>
                </c:pt>
                <c:pt idx="1697">
                  <c:v>91.09313</c:v>
                </c:pt>
                <c:pt idx="1698">
                  <c:v>91.0864</c:v>
                </c:pt>
                <c:pt idx="1699">
                  <c:v>91.08546</c:v>
                </c:pt>
                <c:pt idx="1700">
                  <c:v>91.0864</c:v>
                </c:pt>
                <c:pt idx="1701">
                  <c:v>91.08827999999998</c:v>
                </c:pt>
                <c:pt idx="1702">
                  <c:v>91.08256999999997</c:v>
                </c:pt>
                <c:pt idx="1703">
                  <c:v>91.07967999999998</c:v>
                </c:pt>
                <c:pt idx="1704">
                  <c:v>91.07677999999908</c:v>
                </c:pt>
                <c:pt idx="1705">
                  <c:v>91.07388999999995</c:v>
                </c:pt>
                <c:pt idx="1706">
                  <c:v>91.07200999999995</c:v>
                </c:pt>
                <c:pt idx="1707">
                  <c:v>91.06818</c:v>
                </c:pt>
                <c:pt idx="1708">
                  <c:v>91.0634</c:v>
                </c:pt>
                <c:pt idx="1709">
                  <c:v>91.06238999999998</c:v>
                </c:pt>
                <c:pt idx="1710">
                  <c:v>91.06145</c:v>
                </c:pt>
                <c:pt idx="1711">
                  <c:v>91.06051</c:v>
                </c:pt>
                <c:pt idx="1712">
                  <c:v>91.05667</c:v>
                </c:pt>
                <c:pt idx="1713">
                  <c:v>91.05377999999965</c:v>
                </c:pt>
                <c:pt idx="1714">
                  <c:v>91.05283999999975</c:v>
                </c:pt>
                <c:pt idx="1715">
                  <c:v>91.04995</c:v>
                </c:pt>
                <c:pt idx="1716">
                  <c:v>91.04706</c:v>
                </c:pt>
                <c:pt idx="1717">
                  <c:v>91.04517000000001</c:v>
                </c:pt>
                <c:pt idx="1718">
                  <c:v>91.04322</c:v>
                </c:pt>
                <c:pt idx="1719">
                  <c:v>91.04134</c:v>
                </c:pt>
                <c:pt idx="1720">
                  <c:v>91.03938999999998</c:v>
                </c:pt>
                <c:pt idx="1721">
                  <c:v>91.03556</c:v>
                </c:pt>
                <c:pt idx="1722">
                  <c:v>91.03266</c:v>
                </c:pt>
                <c:pt idx="1723">
                  <c:v>91.03077999999998</c:v>
                </c:pt>
                <c:pt idx="1724">
                  <c:v>91.02789</c:v>
                </c:pt>
                <c:pt idx="1725">
                  <c:v>91.02601</c:v>
                </c:pt>
                <c:pt idx="1726">
                  <c:v>91.02406</c:v>
                </c:pt>
                <c:pt idx="1727">
                  <c:v>91.02116</c:v>
                </c:pt>
                <c:pt idx="1728">
                  <c:v>91.01928</c:v>
                </c:pt>
                <c:pt idx="1729">
                  <c:v>91.01545</c:v>
                </c:pt>
                <c:pt idx="1730">
                  <c:v>91.0135</c:v>
                </c:pt>
                <c:pt idx="1731">
                  <c:v>91.01161</c:v>
                </c:pt>
                <c:pt idx="1732">
                  <c:v>91.00871999999998</c:v>
                </c:pt>
                <c:pt idx="1733">
                  <c:v>91.00676999999997</c:v>
                </c:pt>
                <c:pt idx="1734">
                  <c:v>91.00395</c:v>
                </c:pt>
                <c:pt idx="1735">
                  <c:v>91.00293999999998</c:v>
                </c:pt>
                <c:pt idx="1736">
                  <c:v>90.9991</c:v>
                </c:pt>
                <c:pt idx="1737">
                  <c:v>90.99628</c:v>
                </c:pt>
                <c:pt idx="1738">
                  <c:v>90.99527</c:v>
                </c:pt>
                <c:pt idx="1739">
                  <c:v>90.99245</c:v>
                </c:pt>
                <c:pt idx="1740">
                  <c:v>90.99049</c:v>
                </c:pt>
                <c:pt idx="1741">
                  <c:v>90.9876</c:v>
                </c:pt>
                <c:pt idx="1742">
                  <c:v>90.98478</c:v>
                </c:pt>
                <c:pt idx="1743">
                  <c:v>90.98283</c:v>
                </c:pt>
                <c:pt idx="1744">
                  <c:v>90.97994</c:v>
                </c:pt>
                <c:pt idx="1745">
                  <c:v>90.97711</c:v>
                </c:pt>
                <c:pt idx="1746">
                  <c:v>90.97516</c:v>
                </c:pt>
                <c:pt idx="1747">
                  <c:v>90.97227</c:v>
                </c:pt>
                <c:pt idx="1748">
                  <c:v>90.97038999999998</c:v>
                </c:pt>
                <c:pt idx="1749">
                  <c:v>90.96843000000001</c:v>
                </c:pt>
                <c:pt idx="1750">
                  <c:v>90.96554</c:v>
                </c:pt>
                <c:pt idx="1751">
                  <c:v>90.96272</c:v>
                </c:pt>
                <c:pt idx="1752">
                  <c:v>90.96077</c:v>
                </c:pt>
                <c:pt idx="1753">
                  <c:v>90.95887999999998</c:v>
                </c:pt>
                <c:pt idx="1754">
                  <c:v>90.95693</c:v>
                </c:pt>
                <c:pt idx="1755">
                  <c:v>90.95404</c:v>
                </c:pt>
                <c:pt idx="1756">
                  <c:v>90.95122</c:v>
                </c:pt>
                <c:pt idx="1757">
                  <c:v>90.94927000000002</c:v>
                </c:pt>
                <c:pt idx="1758">
                  <c:v>90.94638</c:v>
                </c:pt>
                <c:pt idx="1759">
                  <c:v>90.94355</c:v>
                </c:pt>
                <c:pt idx="1760">
                  <c:v>90.94066</c:v>
                </c:pt>
                <c:pt idx="1761">
                  <c:v>90.93871</c:v>
                </c:pt>
                <c:pt idx="1762">
                  <c:v>90.93582</c:v>
                </c:pt>
                <c:pt idx="1763">
                  <c:v>90.93393</c:v>
                </c:pt>
                <c:pt idx="1764">
                  <c:v>90.93104</c:v>
                </c:pt>
                <c:pt idx="1765">
                  <c:v>90.92916</c:v>
                </c:pt>
                <c:pt idx="1766">
                  <c:v>90.92721</c:v>
                </c:pt>
                <c:pt idx="1767">
                  <c:v>90.92432</c:v>
                </c:pt>
                <c:pt idx="1768">
                  <c:v>90.92243</c:v>
                </c:pt>
                <c:pt idx="1769">
                  <c:v>90.92149</c:v>
                </c:pt>
                <c:pt idx="1770">
                  <c:v>90.91766</c:v>
                </c:pt>
                <c:pt idx="1771">
                  <c:v>90.91571</c:v>
                </c:pt>
                <c:pt idx="1772">
                  <c:v>90.91093</c:v>
                </c:pt>
                <c:pt idx="1773">
                  <c:v>90.90898</c:v>
                </c:pt>
                <c:pt idx="1774">
                  <c:v>90.9071</c:v>
                </c:pt>
                <c:pt idx="1775">
                  <c:v>90.90515</c:v>
                </c:pt>
                <c:pt idx="1776">
                  <c:v>90.90326</c:v>
                </c:pt>
                <c:pt idx="1777">
                  <c:v>90.90037</c:v>
                </c:pt>
                <c:pt idx="1778">
                  <c:v>90.89748</c:v>
                </c:pt>
                <c:pt idx="1779">
                  <c:v>90.89459</c:v>
                </c:pt>
                <c:pt idx="1780">
                  <c:v>90.8927</c:v>
                </c:pt>
                <c:pt idx="1781">
                  <c:v>90.88980999999998</c:v>
                </c:pt>
                <c:pt idx="1782">
                  <c:v>90.88793</c:v>
                </c:pt>
                <c:pt idx="1783">
                  <c:v>90.88503999999975</c:v>
                </c:pt>
                <c:pt idx="1784">
                  <c:v>90.88214999999998</c:v>
                </c:pt>
                <c:pt idx="1785">
                  <c:v>90.88026</c:v>
                </c:pt>
                <c:pt idx="1786">
                  <c:v>90.87830999999898</c:v>
                </c:pt>
                <c:pt idx="1787">
                  <c:v>90.87642999999998</c:v>
                </c:pt>
                <c:pt idx="1788">
                  <c:v>90.87447999999995</c:v>
                </c:pt>
                <c:pt idx="1789">
                  <c:v>90.87159</c:v>
                </c:pt>
                <c:pt idx="1790">
                  <c:v>90.86869</c:v>
                </c:pt>
                <c:pt idx="1791">
                  <c:v>90.86681</c:v>
                </c:pt>
                <c:pt idx="1792">
                  <c:v>90.86681</c:v>
                </c:pt>
                <c:pt idx="1793">
                  <c:v>90.85819999999998</c:v>
                </c:pt>
                <c:pt idx="1794">
                  <c:v>90.85625</c:v>
                </c:pt>
                <c:pt idx="1795">
                  <c:v>90.85530999999965</c:v>
                </c:pt>
                <c:pt idx="1796">
                  <c:v>90.85436999999997</c:v>
                </c:pt>
                <c:pt idx="1797">
                  <c:v>90.85530999999965</c:v>
                </c:pt>
                <c:pt idx="1798">
                  <c:v>90.85335999999998</c:v>
                </c:pt>
                <c:pt idx="1799">
                  <c:v>90.84953</c:v>
                </c:pt>
                <c:pt idx="1800">
                  <c:v>90.84569</c:v>
                </c:pt>
                <c:pt idx="1801">
                  <c:v>90.84287</c:v>
                </c:pt>
                <c:pt idx="1802">
                  <c:v>90.84092</c:v>
                </c:pt>
                <c:pt idx="1803">
                  <c:v>90.83802999999997</c:v>
                </c:pt>
                <c:pt idx="1804">
                  <c:v>90.83513</c:v>
                </c:pt>
                <c:pt idx="1805">
                  <c:v>90.83325</c:v>
                </c:pt>
                <c:pt idx="1806">
                  <c:v>90.83130000000001</c:v>
                </c:pt>
                <c:pt idx="1807">
                  <c:v>90.82942</c:v>
                </c:pt>
                <c:pt idx="1808">
                  <c:v>90.82557999999958</c:v>
                </c:pt>
                <c:pt idx="1809">
                  <c:v>90.82363</c:v>
                </c:pt>
                <c:pt idx="1810">
                  <c:v>90.82080999999998</c:v>
                </c:pt>
                <c:pt idx="1811">
                  <c:v>90.81886</c:v>
                </c:pt>
                <c:pt idx="1812">
                  <c:v>90.81698</c:v>
                </c:pt>
                <c:pt idx="1813">
                  <c:v>90.81408</c:v>
                </c:pt>
                <c:pt idx="1814">
                  <c:v>90.81213</c:v>
                </c:pt>
                <c:pt idx="1815">
                  <c:v>90.80930999999998</c:v>
                </c:pt>
                <c:pt idx="1816">
                  <c:v>90.80736</c:v>
                </c:pt>
                <c:pt idx="1817">
                  <c:v>90.80447</c:v>
                </c:pt>
                <c:pt idx="1818">
                  <c:v>90.80157000000001</c:v>
                </c:pt>
                <c:pt idx="1819">
                  <c:v>90.79969</c:v>
                </c:pt>
                <c:pt idx="1820">
                  <c:v>90.7968</c:v>
                </c:pt>
                <c:pt idx="1821">
                  <c:v>90.79391</c:v>
                </c:pt>
                <c:pt idx="1822">
                  <c:v>90.79296</c:v>
                </c:pt>
                <c:pt idx="1823">
                  <c:v>90.79007</c:v>
                </c:pt>
                <c:pt idx="1824">
                  <c:v>90.78819</c:v>
                </c:pt>
                <c:pt idx="1825">
                  <c:v>90.78624</c:v>
                </c:pt>
                <c:pt idx="1826">
                  <c:v>90.78341</c:v>
                </c:pt>
                <c:pt idx="1827">
                  <c:v>90.78146</c:v>
                </c:pt>
                <c:pt idx="1828">
                  <c:v>90.77957999999998</c:v>
                </c:pt>
                <c:pt idx="1829">
                  <c:v>90.77763</c:v>
                </c:pt>
                <c:pt idx="1830">
                  <c:v>90.77473999999998</c:v>
                </c:pt>
                <c:pt idx="1831">
                  <c:v>90.77191</c:v>
                </c:pt>
                <c:pt idx="1832">
                  <c:v>90.76996</c:v>
                </c:pt>
                <c:pt idx="1833">
                  <c:v>90.76808</c:v>
                </c:pt>
                <c:pt idx="1834">
                  <c:v>90.76519</c:v>
                </c:pt>
                <c:pt idx="1835">
                  <c:v>90.7623</c:v>
                </c:pt>
                <c:pt idx="1836">
                  <c:v>90.7594</c:v>
                </c:pt>
                <c:pt idx="1837">
                  <c:v>90.75752</c:v>
                </c:pt>
                <c:pt idx="1838">
                  <c:v>90.75557</c:v>
                </c:pt>
                <c:pt idx="1839">
                  <c:v>90.75268</c:v>
                </c:pt>
                <c:pt idx="1840">
                  <c:v>90.7508</c:v>
                </c:pt>
                <c:pt idx="1841">
                  <c:v>90.7479</c:v>
                </c:pt>
                <c:pt idx="1842">
                  <c:v>90.74501</c:v>
                </c:pt>
                <c:pt idx="1843">
                  <c:v>90.74313</c:v>
                </c:pt>
                <c:pt idx="1844">
                  <c:v>90.74118</c:v>
                </c:pt>
                <c:pt idx="1845">
                  <c:v>90.73834999999998</c:v>
                </c:pt>
                <c:pt idx="1846">
                  <c:v>90.73546</c:v>
                </c:pt>
                <c:pt idx="1847">
                  <c:v>90.73351</c:v>
                </c:pt>
                <c:pt idx="1848">
                  <c:v>90.73163</c:v>
                </c:pt>
                <c:pt idx="1849">
                  <c:v>90.72968</c:v>
                </c:pt>
                <c:pt idx="1850">
                  <c:v>90.72779</c:v>
                </c:pt>
                <c:pt idx="1851">
                  <c:v>90.7249</c:v>
                </c:pt>
                <c:pt idx="1852">
                  <c:v>90.72294999999998</c:v>
                </c:pt>
                <c:pt idx="1853">
                  <c:v>90.72013</c:v>
                </c:pt>
                <c:pt idx="1854">
                  <c:v>90.71818</c:v>
                </c:pt>
                <c:pt idx="1855">
                  <c:v>90.71434</c:v>
                </c:pt>
                <c:pt idx="1856">
                  <c:v>90.71246</c:v>
                </c:pt>
                <c:pt idx="1857">
                  <c:v>90.70957000000001</c:v>
                </c:pt>
                <c:pt idx="1858">
                  <c:v>90.70762</c:v>
                </c:pt>
                <c:pt idx="1859">
                  <c:v>90.70572999999997</c:v>
                </c:pt>
                <c:pt idx="1860">
                  <c:v>90.70377999999998</c:v>
                </c:pt>
                <c:pt idx="1861">
                  <c:v>90.7019</c:v>
                </c:pt>
                <c:pt idx="1862">
                  <c:v>90.69806999999998</c:v>
                </c:pt>
                <c:pt idx="1863">
                  <c:v>90.69612</c:v>
                </c:pt>
                <c:pt idx="1864">
                  <c:v>90.69423</c:v>
                </c:pt>
                <c:pt idx="1865">
                  <c:v>90.69133999999998</c:v>
                </c:pt>
                <c:pt idx="1866">
                  <c:v>90.68938999999965</c:v>
                </c:pt>
                <c:pt idx="1867">
                  <c:v>90.68367</c:v>
                </c:pt>
                <c:pt idx="1868">
                  <c:v>90.68077999999888</c:v>
                </c:pt>
                <c:pt idx="1869">
                  <c:v>90.67983999999888</c:v>
                </c:pt>
                <c:pt idx="1870">
                  <c:v>90.67889999999888</c:v>
                </c:pt>
                <c:pt idx="1871">
                  <c:v>90.67694999999995</c:v>
                </c:pt>
                <c:pt idx="1872">
                  <c:v>90.67506999999995</c:v>
                </c:pt>
                <c:pt idx="1873">
                  <c:v>90.67405999999998</c:v>
                </c:pt>
                <c:pt idx="1874">
                  <c:v>90.67123</c:v>
                </c:pt>
                <c:pt idx="1875">
                  <c:v>90.67022</c:v>
                </c:pt>
                <c:pt idx="1876">
                  <c:v>90.6674</c:v>
                </c:pt>
                <c:pt idx="1877">
                  <c:v>90.66451</c:v>
                </c:pt>
                <c:pt idx="1878">
                  <c:v>90.66161</c:v>
                </c:pt>
                <c:pt idx="1879">
                  <c:v>90.65871999999958</c:v>
                </c:pt>
                <c:pt idx="1880">
                  <c:v>90.65683999999958</c:v>
                </c:pt>
                <c:pt idx="1881">
                  <c:v>90.65488999999998</c:v>
                </c:pt>
                <c:pt idx="1882">
                  <c:v>90.65199999999998</c:v>
                </c:pt>
                <c:pt idx="1883">
                  <c:v>90.65011</c:v>
                </c:pt>
                <c:pt idx="1884">
                  <c:v>90.64816</c:v>
                </c:pt>
                <c:pt idx="1885">
                  <c:v>90.64628</c:v>
                </c:pt>
                <c:pt idx="1886">
                  <c:v>90.64244999999998</c:v>
                </c:pt>
                <c:pt idx="1887">
                  <c:v>90.6405</c:v>
                </c:pt>
                <c:pt idx="1888">
                  <c:v>90.63861</c:v>
                </c:pt>
                <c:pt idx="1889">
                  <c:v>90.63666</c:v>
                </c:pt>
                <c:pt idx="1890">
                  <c:v>90.63383999999998</c:v>
                </c:pt>
                <c:pt idx="1891">
                  <c:v>90.63095</c:v>
                </c:pt>
                <c:pt idx="1892">
                  <c:v>90.62899999999995</c:v>
                </c:pt>
                <c:pt idx="1893">
                  <c:v>90.62711</c:v>
                </c:pt>
                <c:pt idx="1894">
                  <c:v>90.62422</c:v>
                </c:pt>
                <c:pt idx="1895">
                  <c:v>90.62226999999998</c:v>
                </c:pt>
                <c:pt idx="1896">
                  <c:v>90.61945</c:v>
                </c:pt>
                <c:pt idx="1897">
                  <c:v>90.61749</c:v>
                </c:pt>
                <c:pt idx="1898">
                  <c:v>90.61561</c:v>
                </c:pt>
                <c:pt idx="1899">
                  <c:v>90.61366</c:v>
                </c:pt>
                <c:pt idx="1900">
                  <c:v>90.61076999999997</c:v>
                </c:pt>
                <c:pt idx="1901">
                  <c:v>90.60888999999958</c:v>
                </c:pt>
                <c:pt idx="1902">
                  <c:v>90.60598999999995</c:v>
                </c:pt>
                <c:pt idx="1903">
                  <c:v>90.60411</c:v>
                </c:pt>
                <c:pt idx="1904">
                  <c:v>90.60216</c:v>
                </c:pt>
                <c:pt idx="1905">
                  <c:v>90.59927</c:v>
                </c:pt>
                <c:pt idx="1906">
                  <c:v>90.59637999999998</c:v>
                </c:pt>
                <c:pt idx="1907">
                  <c:v>90.59449</c:v>
                </c:pt>
                <c:pt idx="1908">
                  <c:v>90.59254</c:v>
                </c:pt>
                <c:pt idx="1909">
                  <c:v>90.59066</c:v>
                </c:pt>
                <c:pt idx="1910">
                  <c:v>90.58777</c:v>
                </c:pt>
                <c:pt idx="1911">
                  <c:v>90.58587999999965</c:v>
                </c:pt>
                <c:pt idx="1912">
                  <c:v>90.58298999999998</c:v>
                </c:pt>
                <c:pt idx="1913">
                  <c:v>90.5801</c:v>
                </c:pt>
                <c:pt idx="1914">
                  <c:v>90.57822</c:v>
                </c:pt>
                <c:pt idx="1915">
                  <c:v>90.57532999999998</c:v>
                </c:pt>
                <c:pt idx="1916">
                  <c:v>90.57336999999998</c:v>
                </c:pt>
                <c:pt idx="1917">
                  <c:v>90.57148999999998</c:v>
                </c:pt>
                <c:pt idx="1918">
                  <c:v>90.5686</c:v>
                </c:pt>
                <c:pt idx="1919">
                  <c:v>90.56766</c:v>
                </c:pt>
                <c:pt idx="1920">
                  <c:v>90.56477</c:v>
                </c:pt>
                <c:pt idx="1921">
                  <c:v>90.56187000000001</c:v>
                </c:pt>
                <c:pt idx="1922">
                  <c:v>90.55897999999995</c:v>
                </c:pt>
                <c:pt idx="1923">
                  <c:v>90.5571</c:v>
                </c:pt>
                <c:pt idx="1924">
                  <c:v>90.55421</c:v>
                </c:pt>
                <c:pt idx="1925">
                  <c:v>90.55231999999998</c:v>
                </c:pt>
                <c:pt idx="1926">
                  <c:v>90.54943</c:v>
                </c:pt>
                <c:pt idx="1927">
                  <c:v>90.54748</c:v>
                </c:pt>
                <c:pt idx="1928">
                  <c:v>90.5456</c:v>
                </c:pt>
                <c:pt idx="1929">
                  <c:v>90.54365</c:v>
                </c:pt>
                <c:pt idx="1930">
                  <c:v>90.53981</c:v>
                </c:pt>
                <c:pt idx="1931">
                  <c:v>90.53793</c:v>
                </c:pt>
                <c:pt idx="1932">
                  <c:v>90.53597999999998</c:v>
                </c:pt>
                <c:pt idx="1933">
                  <c:v>90.5341</c:v>
                </c:pt>
                <c:pt idx="1934">
                  <c:v>90.53121</c:v>
                </c:pt>
                <c:pt idx="1935">
                  <c:v>90.52932</c:v>
                </c:pt>
                <c:pt idx="1936">
                  <c:v>90.52643</c:v>
                </c:pt>
                <c:pt idx="1937">
                  <c:v>90.52447999999998</c:v>
                </c:pt>
                <c:pt idx="1938">
                  <c:v>90.52259999999998</c:v>
                </c:pt>
                <c:pt idx="1939">
                  <c:v>90.52065</c:v>
                </c:pt>
                <c:pt idx="1940">
                  <c:v>90.51876</c:v>
                </c:pt>
                <c:pt idx="1941">
                  <c:v>90.51587</c:v>
                </c:pt>
                <c:pt idx="1942">
                  <c:v>90.51298</c:v>
                </c:pt>
                <c:pt idx="1943">
                  <c:v>90.5111</c:v>
                </c:pt>
                <c:pt idx="1944">
                  <c:v>90.5082</c:v>
                </c:pt>
                <c:pt idx="1945">
                  <c:v>90.50625</c:v>
                </c:pt>
                <c:pt idx="1946">
                  <c:v>90.50242</c:v>
                </c:pt>
                <c:pt idx="1947">
                  <c:v>90.49765</c:v>
                </c:pt>
                <c:pt idx="1948">
                  <c:v>90.49765</c:v>
                </c:pt>
                <c:pt idx="1949">
                  <c:v>90.4996</c:v>
                </c:pt>
                <c:pt idx="1950">
                  <c:v>90.49576</c:v>
                </c:pt>
                <c:pt idx="1951">
                  <c:v>90.49287</c:v>
                </c:pt>
                <c:pt idx="1952">
                  <c:v>90.49092</c:v>
                </c:pt>
                <c:pt idx="1953">
                  <c:v>90.48803</c:v>
                </c:pt>
                <c:pt idx="1954">
                  <c:v>90.48614</c:v>
                </c:pt>
                <c:pt idx="1955">
                  <c:v>90.48419</c:v>
                </c:pt>
                <c:pt idx="1956">
                  <c:v>90.48231</c:v>
                </c:pt>
                <c:pt idx="1957">
                  <c:v>90.47847999999995</c:v>
                </c:pt>
                <c:pt idx="1958">
                  <c:v>90.47653</c:v>
                </c:pt>
                <c:pt idx="1959">
                  <c:v>90.4737</c:v>
                </c:pt>
                <c:pt idx="1960">
                  <c:v>90.47175</c:v>
                </c:pt>
                <c:pt idx="1961">
                  <c:v>90.46987</c:v>
                </c:pt>
                <c:pt idx="1962">
                  <c:v>90.46698</c:v>
                </c:pt>
                <c:pt idx="1963">
                  <c:v>90.46603</c:v>
                </c:pt>
                <c:pt idx="1964">
                  <c:v>90.46314</c:v>
                </c:pt>
                <c:pt idx="1965">
                  <c:v>90.46119</c:v>
                </c:pt>
                <c:pt idx="1966">
                  <c:v>90.4583</c:v>
                </c:pt>
                <c:pt idx="1967">
                  <c:v>90.45642</c:v>
                </c:pt>
                <c:pt idx="1968">
                  <c:v>90.45447</c:v>
                </c:pt>
                <c:pt idx="1969">
                  <c:v>90.45164</c:v>
                </c:pt>
                <c:pt idx="1970">
                  <c:v>90.44969</c:v>
                </c:pt>
                <c:pt idx="1971">
                  <c:v>90.4468</c:v>
                </c:pt>
                <c:pt idx="1972">
                  <c:v>90.44492</c:v>
                </c:pt>
                <c:pt idx="1973">
                  <c:v>90.44108</c:v>
                </c:pt>
                <c:pt idx="1974">
                  <c:v>90.43913</c:v>
                </c:pt>
                <c:pt idx="1975">
                  <c:v>90.43725</c:v>
                </c:pt>
                <c:pt idx="1976">
                  <c:v>90.43436</c:v>
                </c:pt>
                <c:pt idx="1977">
                  <c:v>90.43147</c:v>
                </c:pt>
                <c:pt idx="1978">
                  <c:v>90.42864</c:v>
                </c:pt>
                <c:pt idx="1979">
                  <c:v>90.42669</c:v>
                </c:pt>
                <c:pt idx="1980">
                  <c:v>90.42286</c:v>
                </c:pt>
                <c:pt idx="1981">
                  <c:v>90.42091</c:v>
                </c:pt>
                <c:pt idx="1982">
                  <c:v>90.41902</c:v>
                </c:pt>
                <c:pt idx="1983">
                  <c:v>90.41707</c:v>
                </c:pt>
                <c:pt idx="1984">
                  <c:v>90.41425</c:v>
                </c:pt>
                <c:pt idx="1985">
                  <c:v>90.4123</c:v>
                </c:pt>
                <c:pt idx="1986">
                  <c:v>90.40941</c:v>
                </c:pt>
                <c:pt idx="1987">
                  <c:v>90.40752</c:v>
                </c:pt>
                <c:pt idx="1988">
                  <c:v>90.40463</c:v>
                </c:pt>
                <c:pt idx="1989">
                  <c:v>90.40274999999998</c:v>
                </c:pt>
                <c:pt idx="1990">
                  <c:v>90.4008</c:v>
                </c:pt>
                <c:pt idx="1991">
                  <c:v>90.3979</c:v>
                </c:pt>
                <c:pt idx="1992">
                  <c:v>90.39602</c:v>
                </c:pt>
                <c:pt idx="1993">
                  <c:v>90.39407000000001</c:v>
                </c:pt>
                <c:pt idx="1994">
                  <c:v>90.39118</c:v>
                </c:pt>
                <c:pt idx="1995">
                  <c:v>90.3893</c:v>
                </c:pt>
                <c:pt idx="1996">
                  <c:v>90.38639999999998</c:v>
                </c:pt>
                <c:pt idx="1997">
                  <c:v>90.38452</c:v>
                </c:pt>
                <c:pt idx="1998">
                  <c:v>90.38256999999998</c:v>
                </c:pt>
                <c:pt idx="1999">
                  <c:v>90.37684999999995</c:v>
                </c:pt>
                <c:pt idx="2000">
                  <c:v>90.37489999999998</c:v>
                </c:pt>
                <c:pt idx="2001">
                  <c:v>90.37684999999995</c:v>
                </c:pt>
                <c:pt idx="2002">
                  <c:v>90.37395999999998</c:v>
                </c:pt>
                <c:pt idx="2003">
                  <c:v>90.37106999999997</c:v>
                </c:pt>
                <c:pt idx="2004">
                  <c:v>90.36817999999998</c:v>
                </c:pt>
                <c:pt idx="2005">
                  <c:v>90.36534999999998</c:v>
                </c:pt>
                <c:pt idx="2006">
                  <c:v>90.36246</c:v>
                </c:pt>
                <c:pt idx="2007">
                  <c:v>90.36051</c:v>
                </c:pt>
                <c:pt idx="2008">
                  <c:v>90.35769</c:v>
                </c:pt>
                <c:pt idx="2009">
                  <c:v>90.35478999999998</c:v>
                </c:pt>
                <c:pt idx="2010">
                  <c:v>90.35283999999928</c:v>
                </c:pt>
                <c:pt idx="2011">
                  <c:v>90.35096</c:v>
                </c:pt>
                <c:pt idx="2012">
                  <c:v>90.34901</c:v>
                </c:pt>
                <c:pt idx="2013">
                  <c:v>90.34612</c:v>
                </c:pt>
                <c:pt idx="2014">
                  <c:v>90.34329</c:v>
                </c:pt>
                <c:pt idx="2015">
                  <c:v>90.34134</c:v>
                </c:pt>
                <c:pt idx="2016">
                  <c:v>90.33844999999998</c:v>
                </c:pt>
                <c:pt idx="2017">
                  <c:v>90.33657</c:v>
                </c:pt>
                <c:pt idx="2018">
                  <c:v>90.33462</c:v>
                </c:pt>
                <c:pt idx="2019">
                  <c:v>90.33272999999998</c:v>
                </c:pt>
                <c:pt idx="2020">
                  <c:v>90.32983999999995</c:v>
                </c:pt>
                <c:pt idx="2021">
                  <c:v>90.32796</c:v>
                </c:pt>
                <c:pt idx="2022">
                  <c:v>90.32600999999998</c:v>
                </c:pt>
                <c:pt idx="2023">
                  <c:v>90.32312</c:v>
                </c:pt>
                <c:pt idx="2024">
                  <c:v>90.32123</c:v>
                </c:pt>
                <c:pt idx="2025">
                  <c:v>90.31833999999998</c:v>
                </c:pt>
                <c:pt idx="2026">
                  <c:v>90.31545</c:v>
                </c:pt>
                <c:pt idx="2027">
                  <c:v>90.31357000000001</c:v>
                </c:pt>
                <c:pt idx="2028">
                  <c:v>90.31067</c:v>
                </c:pt>
                <c:pt idx="2029">
                  <c:v>90.30871999999998</c:v>
                </c:pt>
                <c:pt idx="2030">
                  <c:v>90.30683999999998</c:v>
                </c:pt>
                <c:pt idx="2031">
                  <c:v>90.30395</c:v>
                </c:pt>
                <c:pt idx="2032">
                  <c:v>90.30106</c:v>
                </c:pt>
                <c:pt idx="2033">
                  <c:v>90.29917</c:v>
                </c:pt>
                <c:pt idx="2034">
                  <c:v>90.29722</c:v>
                </c:pt>
                <c:pt idx="2035">
                  <c:v>90.29533999999998</c:v>
                </c:pt>
                <c:pt idx="2036">
                  <c:v>90.29245</c:v>
                </c:pt>
                <c:pt idx="2037">
                  <c:v>90.29056</c:v>
                </c:pt>
                <c:pt idx="2038">
                  <c:v>90.28666</c:v>
                </c:pt>
                <c:pt idx="2039">
                  <c:v>90.28478</c:v>
                </c:pt>
                <c:pt idx="2040">
                  <c:v>90.28282999999997</c:v>
                </c:pt>
                <c:pt idx="2041">
                  <c:v>90.28095</c:v>
                </c:pt>
                <c:pt idx="2042">
                  <c:v>90.27805999999998</c:v>
                </c:pt>
                <c:pt idx="2043">
                  <c:v>90.27617</c:v>
                </c:pt>
                <c:pt idx="2044">
                  <c:v>90.27328</c:v>
                </c:pt>
                <c:pt idx="2045">
                  <c:v>90.27038999999998</c:v>
                </c:pt>
                <c:pt idx="2046">
                  <c:v>90.2685</c:v>
                </c:pt>
                <c:pt idx="2047">
                  <c:v>90.26561</c:v>
                </c:pt>
                <c:pt idx="2048">
                  <c:v>90.26366</c:v>
                </c:pt>
                <c:pt idx="2049">
                  <c:v>90.26178</c:v>
                </c:pt>
                <c:pt idx="2050">
                  <c:v>90.25888999999998</c:v>
                </c:pt>
                <c:pt idx="2051">
                  <c:v>90.256</c:v>
                </c:pt>
                <c:pt idx="2052">
                  <c:v>90.25411</c:v>
                </c:pt>
                <c:pt idx="2053">
                  <c:v>90.25122</c:v>
                </c:pt>
                <c:pt idx="2054">
                  <c:v>90.24927</c:v>
                </c:pt>
                <c:pt idx="2055">
                  <c:v>90.24739</c:v>
                </c:pt>
                <c:pt idx="2056">
                  <c:v>90.24544</c:v>
                </c:pt>
                <c:pt idx="2057">
                  <c:v>90.2416</c:v>
                </c:pt>
                <c:pt idx="2058">
                  <c:v>90.23972</c:v>
                </c:pt>
                <c:pt idx="2059">
                  <c:v>90.23777000000001</c:v>
                </c:pt>
                <c:pt idx="2060">
                  <c:v>90.23589</c:v>
                </c:pt>
                <c:pt idx="2061">
                  <c:v>90.23299</c:v>
                </c:pt>
                <c:pt idx="2062">
                  <c:v>90.23111</c:v>
                </c:pt>
                <c:pt idx="2063">
                  <c:v>90.22822</c:v>
                </c:pt>
                <c:pt idx="2064">
                  <c:v>90.22627</c:v>
                </c:pt>
                <c:pt idx="2065">
                  <c:v>90.22439</c:v>
                </c:pt>
                <c:pt idx="2066">
                  <c:v>90.22149</c:v>
                </c:pt>
                <c:pt idx="2067">
                  <c:v>90.21954</c:v>
                </c:pt>
                <c:pt idx="2068">
                  <c:v>90.21672</c:v>
                </c:pt>
                <c:pt idx="2069">
                  <c:v>90.21477</c:v>
                </c:pt>
                <c:pt idx="2070">
                  <c:v>90.21188</c:v>
                </c:pt>
                <c:pt idx="2071">
                  <c:v>90.20905</c:v>
                </c:pt>
                <c:pt idx="2072">
                  <c:v>90.2071</c:v>
                </c:pt>
                <c:pt idx="2073">
                  <c:v>90.20522</c:v>
                </c:pt>
                <c:pt idx="2074">
                  <c:v>90.20232999999997</c:v>
                </c:pt>
                <c:pt idx="2075">
                  <c:v>90.19943</c:v>
                </c:pt>
                <c:pt idx="2076">
                  <c:v>90.19755</c:v>
                </c:pt>
                <c:pt idx="2077">
                  <c:v>90.19466</c:v>
                </c:pt>
                <c:pt idx="2078">
                  <c:v>90.19270999999995</c:v>
                </c:pt>
                <c:pt idx="2079">
                  <c:v>90.18987999999958</c:v>
                </c:pt>
                <c:pt idx="2080">
                  <c:v>90.18793</c:v>
                </c:pt>
                <c:pt idx="2081">
                  <c:v>90.18503999999928</c:v>
                </c:pt>
                <c:pt idx="2082">
                  <c:v>90.18316</c:v>
                </c:pt>
                <c:pt idx="2083">
                  <c:v>90.18027</c:v>
                </c:pt>
                <c:pt idx="2084">
                  <c:v>90.17831999999908</c:v>
                </c:pt>
                <c:pt idx="2085">
                  <c:v>90.17548999999858</c:v>
                </c:pt>
                <c:pt idx="2086">
                  <c:v>90.17353999999958</c:v>
                </c:pt>
                <c:pt idx="2087">
                  <c:v>90.17166</c:v>
                </c:pt>
                <c:pt idx="2088">
                  <c:v>90.16875999999998</c:v>
                </c:pt>
                <c:pt idx="2089">
                  <c:v>90.16681</c:v>
                </c:pt>
                <c:pt idx="2090">
                  <c:v>90.16399</c:v>
                </c:pt>
                <c:pt idx="2091">
                  <c:v>90.1611</c:v>
                </c:pt>
                <c:pt idx="2092">
                  <c:v>90.15436999999998</c:v>
                </c:pt>
                <c:pt idx="2093">
                  <c:v>90.15248999999918</c:v>
                </c:pt>
                <c:pt idx="2094">
                  <c:v>90.15631999999998</c:v>
                </c:pt>
                <c:pt idx="2095">
                  <c:v>90.15436999999998</c:v>
                </c:pt>
                <c:pt idx="2096">
                  <c:v>90.15053999999998</c:v>
                </c:pt>
                <c:pt idx="2097">
                  <c:v>90.1467</c:v>
                </c:pt>
                <c:pt idx="2098">
                  <c:v>90.14475</c:v>
                </c:pt>
                <c:pt idx="2099">
                  <c:v>90.14286999999997</c:v>
                </c:pt>
                <c:pt idx="2100">
                  <c:v>90.13997999999998</c:v>
                </c:pt>
                <c:pt idx="2101">
                  <c:v>90.13809999999998</c:v>
                </c:pt>
                <c:pt idx="2102">
                  <c:v>90.1352</c:v>
                </c:pt>
                <c:pt idx="2103">
                  <c:v>90.13230999999985</c:v>
                </c:pt>
                <c:pt idx="2104">
                  <c:v>90.13042999999997</c:v>
                </c:pt>
                <c:pt idx="2105">
                  <c:v>90.12847999999858</c:v>
                </c:pt>
                <c:pt idx="2106">
                  <c:v>90.12659999999998</c:v>
                </c:pt>
                <c:pt idx="2107">
                  <c:v>90.12369999999998</c:v>
                </c:pt>
                <c:pt idx="2108">
                  <c:v>90.12080999999995</c:v>
                </c:pt>
                <c:pt idx="2109">
                  <c:v>90.11792</c:v>
                </c:pt>
                <c:pt idx="2110">
                  <c:v>90.11604</c:v>
                </c:pt>
                <c:pt idx="2111">
                  <c:v>90.11409</c:v>
                </c:pt>
                <c:pt idx="2112">
                  <c:v>90.11119</c:v>
                </c:pt>
                <c:pt idx="2113">
                  <c:v>90.10930999999998</c:v>
                </c:pt>
                <c:pt idx="2114">
                  <c:v>90.10736</c:v>
                </c:pt>
                <c:pt idx="2115">
                  <c:v>90.10547999999918</c:v>
                </c:pt>
                <c:pt idx="2116">
                  <c:v>90.10353</c:v>
                </c:pt>
                <c:pt idx="2117">
                  <c:v>90.09586</c:v>
                </c:pt>
                <c:pt idx="2118">
                  <c:v>90.09303000000001</c:v>
                </c:pt>
                <c:pt idx="2119">
                  <c:v>90.09398</c:v>
                </c:pt>
                <c:pt idx="2120">
                  <c:v>90.09586</c:v>
                </c:pt>
                <c:pt idx="2121">
                  <c:v>90.09203</c:v>
                </c:pt>
                <c:pt idx="2122">
                  <c:v>90.08818999999998</c:v>
                </c:pt>
                <c:pt idx="2123">
                  <c:v>90.08536999999998</c:v>
                </c:pt>
                <c:pt idx="2124">
                  <c:v>90.08342</c:v>
                </c:pt>
                <c:pt idx="2125">
                  <c:v>90.08053</c:v>
                </c:pt>
                <c:pt idx="2126">
                  <c:v>90.07863999999998</c:v>
                </c:pt>
                <c:pt idx="2127">
                  <c:v>90.07669</c:v>
                </c:pt>
                <c:pt idx="2128">
                  <c:v>90.07379999999995</c:v>
                </c:pt>
                <c:pt idx="2129">
                  <c:v>90.07192</c:v>
                </c:pt>
                <c:pt idx="2130">
                  <c:v>90.06902</c:v>
                </c:pt>
                <c:pt idx="2131">
                  <c:v>90.06714</c:v>
                </c:pt>
                <c:pt idx="2132">
                  <c:v>90.06425</c:v>
                </c:pt>
                <c:pt idx="2133">
                  <c:v>90.0623</c:v>
                </c:pt>
                <c:pt idx="2134">
                  <c:v>90.05947</c:v>
                </c:pt>
                <c:pt idx="2135">
                  <c:v>90.05657999999998</c:v>
                </c:pt>
                <c:pt idx="2136">
                  <c:v>90.05463</c:v>
                </c:pt>
                <c:pt idx="2137">
                  <c:v>90.05274999999965</c:v>
                </c:pt>
                <c:pt idx="2138">
                  <c:v>90.05079999999998</c:v>
                </c:pt>
                <c:pt idx="2139">
                  <c:v>90.04791</c:v>
                </c:pt>
                <c:pt idx="2140">
                  <c:v>90.04407</c:v>
                </c:pt>
                <c:pt idx="2141">
                  <c:v>90.04313</c:v>
                </c:pt>
                <c:pt idx="2142">
                  <c:v>90.04125</c:v>
                </c:pt>
                <c:pt idx="2143">
                  <c:v>90.03835999999998</c:v>
                </c:pt>
                <c:pt idx="2144">
                  <c:v>90.03641</c:v>
                </c:pt>
                <c:pt idx="2145">
                  <c:v>90.03452</c:v>
                </c:pt>
                <c:pt idx="2146">
                  <c:v>90.0278</c:v>
                </c:pt>
                <c:pt idx="2147">
                  <c:v>90.02686</c:v>
                </c:pt>
                <c:pt idx="2148">
                  <c:v>90.02686</c:v>
                </c:pt>
                <c:pt idx="2149">
                  <c:v>90.0278</c:v>
                </c:pt>
                <c:pt idx="2150">
                  <c:v>90.02396</c:v>
                </c:pt>
                <c:pt idx="2151">
                  <c:v>90.02107</c:v>
                </c:pt>
                <c:pt idx="2152">
                  <c:v>90.01825</c:v>
                </c:pt>
                <c:pt idx="2153">
                  <c:v>90.01535</c:v>
                </c:pt>
                <c:pt idx="2154">
                  <c:v>90.0134</c:v>
                </c:pt>
                <c:pt idx="2155">
                  <c:v>90.01152</c:v>
                </c:pt>
                <c:pt idx="2156">
                  <c:v>90.00863</c:v>
                </c:pt>
                <c:pt idx="2157">
                  <c:v>90.00573999999965</c:v>
                </c:pt>
                <c:pt idx="2158">
                  <c:v>90.00385</c:v>
                </c:pt>
                <c:pt idx="2159">
                  <c:v>90.0019</c:v>
                </c:pt>
                <c:pt idx="2160">
                  <c:v>89.99901</c:v>
                </c:pt>
                <c:pt idx="2161">
                  <c:v>89.99713000000002</c:v>
                </c:pt>
                <c:pt idx="2162">
                  <c:v>89.99424</c:v>
                </c:pt>
                <c:pt idx="2163">
                  <c:v>89.99235</c:v>
                </c:pt>
                <c:pt idx="2164">
                  <c:v>89.9904</c:v>
                </c:pt>
                <c:pt idx="2165">
                  <c:v>89.98751</c:v>
                </c:pt>
                <c:pt idx="2166">
                  <c:v>89.98563</c:v>
                </c:pt>
                <c:pt idx="2167">
                  <c:v>89.98273999999998</c:v>
                </c:pt>
                <c:pt idx="2168">
                  <c:v>89.98085</c:v>
                </c:pt>
                <c:pt idx="2169">
                  <c:v>89.97889999999998</c:v>
                </c:pt>
                <c:pt idx="2170">
                  <c:v>89.97695</c:v>
                </c:pt>
                <c:pt idx="2171">
                  <c:v>89.97413</c:v>
                </c:pt>
                <c:pt idx="2172">
                  <c:v>89.97123</c:v>
                </c:pt>
                <c:pt idx="2173">
                  <c:v>89.97029</c:v>
                </c:pt>
                <c:pt idx="2174">
                  <c:v>89.9674</c:v>
                </c:pt>
                <c:pt idx="2175">
                  <c:v>89.96451</c:v>
                </c:pt>
                <c:pt idx="2176">
                  <c:v>89.96263</c:v>
                </c:pt>
                <c:pt idx="2177">
                  <c:v>89.95973</c:v>
                </c:pt>
                <c:pt idx="2178">
                  <c:v>89.95778</c:v>
                </c:pt>
                <c:pt idx="2179">
                  <c:v>89.9559</c:v>
                </c:pt>
                <c:pt idx="2180">
                  <c:v>89.95395</c:v>
                </c:pt>
                <c:pt idx="2181">
                  <c:v>89.95207</c:v>
                </c:pt>
                <c:pt idx="2182">
                  <c:v>89.94917</c:v>
                </c:pt>
                <c:pt idx="2183">
                  <c:v>89.94729</c:v>
                </c:pt>
                <c:pt idx="2184">
                  <c:v>89.94534</c:v>
                </c:pt>
                <c:pt idx="2185">
                  <c:v>89.94245</c:v>
                </c:pt>
                <c:pt idx="2186">
                  <c:v>89.93956</c:v>
                </c:pt>
                <c:pt idx="2187">
                  <c:v>89.93862</c:v>
                </c:pt>
                <c:pt idx="2188">
                  <c:v>89.93572</c:v>
                </c:pt>
                <c:pt idx="2189">
                  <c:v>89.93384</c:v>
                </c:pt>
                <c:pt idx="2190">
                  <c:v>89.93189</c:v>
                </c:pt>
                <c:pt idx="2191">
                  <c:v>89.92907</c:v>
                </c:pt>
                <c:pt idx="2192">
                  <c:v>89.92712</c:v>
                </c:pt>
                <c:pt idx="2193">
                  <c:v>89.92523000000001</c:v>
                </c:pt>
                <c:pt idx="2194">
                  <c:v>89.92328</c:v>
                </c:pt>
                <c:pt idx="2195">
                  <c:v>89.92039</c:v>
                </c:pt>
                <c:pt idx="2196">
                  <c:v>89.91851</c:v>
                </c:pt>
                <c:pt idx="2197">
                  <c:v>89.91561</c:v>
                </c:pt>
                <c:pt idx="2198">
                  <c:v>89.91272</c:v>
                </c:pt>
                <c:pt idx="2199">
                  <c:v>89.91084</c:v>
                </c:pt>
                <c:pt idx="2200">
                  <c:v>89.90889</c:v>
                </c:pt>
                <c:pt idx="2201">
                  <c:v>89.90701</c:v>
                </c:pt>
                <c:pt idx="2202">
                  <c:v>89.906</c:v>
                </c:pt>
                <c:pt idx="2203">
                  <c:v>89.89933999999998</c:v>
                </c:pt>
                <c:pt idx="2204">
                  <c:v>89.89645</c:v>
                </c:pt>
                <c:pt idx="2205">
                  <c:v>89.89645</c:v>
                </c:pt>
                <c:pt idx="2206">
                  <c:v>89.8955</c:v>
                </c:pt>
                <c:pt idx="2207">
                  <c:v>89.89261</c:v>
                </c:pt>
                <c:pt idx="2208">
                  <c:v>89.89355</c:v>
                </c:pt>
                <c:pt idx="2209">
                  <c:v>89.88877999999868</c:v>
                </c:pt>
                <c:pt idx="2210">
                  <c:v>89.88495</c:v>
                </c:pt>
                <c:pt idx="2211">
                  <c:v>89.88299999999998</c:v>
                </c:pt>
                <c:pt idx="2212">
                  <c:v>89.88111</c:v>
                </c:pt>
                <c:pt idx="2213">
                  <c:v>89.88111</c:v>
                </c:pt>
                <c:pt idx="2214">
                  <c:v>89.88204999999998</c:v>
                </c:pt>
                <c:pt idx="2215">
                  <c:v>89.87822</c:v>
                </c:pt>
                <c:pt idx="2216">
                  <c:v>89.87627</c:v>
                </c:pt>
                <c:pt idx="2217">
                  <c:v>89.87243999999878</c:v>
                </c:pt>
                <c:pt idx="2218">
                  <c:v>89.86961</c:v>
                </c:pt>
                <c:pt idx="2219">
                  <c:v>89.86766</c:v>
                </c:pt>
                <c:pt idx="2220">
                  <c:v>89.86477</c:v>
                </c:pt>
                <c:pt idx="2221">
                  <c:v>89.86383</c:v>
                </c:pt>
                <c:pt idx="2222">
                  <c:v>89.85998999999998</c:v>
                </c:pt>
                <c:pt idx="2223">
                  <c:v>89.85810999999998</c:v>
                </c:pt>
                <c:pt idx="2224">
                  <c:v>89.85616</c:v>
                </c:pt>
                <c:pt idx="2225">
                  <c:v>89.85522</c:v>
                </c:pt>
                <c:pt idx="2226">
                  <c:v>89.85428</c:v>
                </c:pt>
                <c:pt idx="2227">
                  <c:v>89.84849</c:v>
                </c:pt>
                <c:pt idx="2228">
                  <c:v>89.84372</c:v>
                </c:pt>
                <c:pt idx="2229">
                  <c:v>89.84270999999998</c:v>
                </c:pt>
                <c:pt idx="2230">
                  <c:v>89.84177</c:v>
                </c:pt>
                <c:pt idx="2231">
                  <c:v>89.84083</c:v>
                </c:pt>
                <c:pt idx="2232">
                  <c:v>89.83887999999965</c:v>
                </c:pt>
                <c:pt idx="2233">
                  <c:v>89.83699</c:v>
                </c:pt>
                <c:pt idx="2234">
                  <c:v>89.83503999999998</c:v>
                </c:pt>
                <c:pt idx="2235">
                  <c:v>89.8341</c:v>
                </c:pt>
                <c:pt idx="2236">
                  <c:v>89.83222</c:v>
                </c:pt>
                <c:pt idx="2237">
                  <c:v>89.82932999999998</c:v>
                </c:pt>
                <c:pt idx="2238">
                  <c:v>89.82642999999997</c:v>
                </c:pt>
                <c:pt idx="2239">
                  <c:v>89.82353999999998</c:v>
                </c:pt>
                <c:pt idx="2240">
                  <c:v>89.82166</c:v>
                </c:pt>
                <c:pt idx="2241">
                  <c:v>89.81971</c:v>
                </c:pt>
                <c:pt idx="2242">
                  <c:v>89.81782</c:v>
                </c:pt>
                <c:pt idx="2243">
                  <c:v>89.81586999999997</c:v>
                </c:pt>
                <c:pt idx="2244">
                  <c:v>89.81305</c:v>
                </c:pt>
                <c:pt idx="2245">
                  <c:v>89.81203999999998</c:v>
                </c:pt>
                <c:pt idx="2246">
                  <c:v>89.80922</c:v>
                </c:pt>
                <c:pt idx="2247">
                  <c:v>89.80727</c:v>
                </c:pt>
                <c:pt idx="2248">
                  <c:v>89.80530999999995</c:v>
                </c:pt>
                <c:pt idx="2249">
                  <c:v>89.80343</c:v>
                </c:pt>
                <c:pt idx="2250">
                  <c:v>89.80148</c:v>
                </c:pt>
                <c:pt idx="2251">
                  <c:v>89.7996</c:v>
                </c:pt>
                <c:pt idx="2252">
                  <c:v>89.79765</c:v>
                </c:pt>
                <c:pt idx="2253">
                  <c:v>89.79381</c:v>
                </c:pt>
                <c:pt idx="2254">
                  <c:v>89.79193</c:v>
                </c:pt>
                <c:pt idx="2255">
                  <c:v>89.78998</c:v>
                </c:pt>
                <c:pt idx="2256">
                  <c:v>89.7881</c:v>
                </c:pt>
                <c:pt idx="2257">
                  <c:v>89.78615</c:v>
                </c:pt>
                <c:pt idx="2258">
                  <c:v>89.78521</c:v>
                </c:pt>
                <c:pt idx="2259">
                  <c:v>89.78230999999998</c:v>
                </c:pt>
                <c:pt idx="2260">
                  <c:v>89.78043</c:v>
                </c:pt>
                <c:pt idx="2261">
                  <c:v>89.77847999999948</c:v>
                </c:pt>
                <c:pt idx="2262">
                  <c:v>89.7766</c:v>
                </c:pt>
                <c:pt idx="2263">
                  <c:v>89.77465</c:v>
                </c:pt>
                <c:pt idx="2264">
                  <c:v>89.77465</c:v>
                </c:pt>
                <c:pt idx="2265">
                  <c:v>89.76604</c:v>
                </c:pt>
                <c:pt idx="2266">
                  <c:v>89.76409</c:v>
                </c:pt>
                <c:pt idx="2267">
                  <c:v>89.76409</c:v>
                </c:pt>
                <c:pt idx="2268">
                  <c:v>89.76409</c:v>
                </c:pt>
                <c:pt idx="2269">
                  <c:v>89.76126</c:v>
                </c:pt>
                <c:pt idx="2270">
                  <c:v>89.75931</c:v>
                </c:pt>
                <c:pt idx="2271">
                  <c:v>89.75743000000001</c:v>
                </c:pt>
                <c:pt idx="2272">
                  <c:v>89.75642</c:v>
                </c:pt>
                <c:pt idx="2273">
                  <c:v>89.75547999999995</c:v>
                </c:pt>
                <c:pt idx="2274">
                  <c:v>89.75454</c:v>
                </c:pt>
                <c:pt idx="2275">
                  <c:v>89.7507</c:v>
                </c:pt>
                <c:pt idx="2276">
                  <c:v>89.74875</c:v>
                </c:pt>
                <c:pt idx="2277">
                  <c:v>89.74593</c:v>
                </c:pt>
                <c:pt idx="2278">
                  <c:v>89.74398</c:v>
                </c:pt>
                <c:pt idx="2279">
                  <c:v>89.74209</c:v>
                </c:pt>
                <c:pt idx="2280">
                  <c:v>89.7392</c:v>
                </c:pt>
                <c:pt idx="2281">
                  <c:v>89.73725</c:v>
                </c:pt>
                <c:pt idx="2282">
                  <c:v>89.73536999999997</c:v>
                </c:pt>
                <c:pt idx="2283">
                  <c:v>89.73436</c:v>
                </c:pt>
                <c:pt idx="2284">
                  <c:v>89.73247999999998</c:v>
                </c:pt>
                <c:pt idx="2285">
                  <c:v>89.73053</c:v>
                </c:pt>
                <c:pt idx="2286">
                  <c:v>89.72864</c:v>
                </c:pt>
                <c:pt idx="2287">
                  <c:v>89.72669</c:v>
                </c:pt>
                <c:pt idx="2288">
                  <c:v>89.72481</c:v>
                </c:pt>
                <c:pt idx="2289">
                  <c:v>89.72285999999998</c:v>
                </c:pt>
                <c:pt idx="2290">
                  <c:v>89.72097999999998</c:v>
                </c:pt>
                <c:pt idx="2291">
                  <c:v>89.7162</c:v>
                </c:pt>
                <c:pt idx="2292">
                  <c:v>89.71331</c:v>
                </c:pt>
                <c:pt idx="2293">
                  <c:v>89.71136</c:v>
                </c:pt>
                <c:pt idx="2294">
                  <c:v>89.71136</c:v>
                </c:pt>
                <c:pt idx="2295">
                  <c:v>89.71237</c:v>
                </c:pt>
                <c:pt idx="2296">
                  <c:v>89.70853</c:v>
                </c:pt>
                <c:pt idx="2297">
                  <c:v>89.70658</c:v>
                </c:pt>
                <c:pt idx="2298">
                  <c:v>89.70369</c:v>
                </c:pt>
                <c:pt idx="2299">
                  <c:v>89.70181</c:v>
                </c:pt>
                <c:pt idx="2300">
                  <c:v>89.69986</c:v>
                </c:pt>
                <c:pt idx="2301">
                  <c:v>89.69797000000001</c:v>
                </c:pt>
                <c:pt idx="2302">
                  <c:v>89.69697</c:v>
                </c:pt>
                <c:pt idx="2303">
                  <c:v>89.69414</c:v>
                </c:pt>
                <c:pt idx="2304">
                  <c:v>89.69125</c:v>
                </c:pt>
                <c:pt idx="2305">
                  <c:v>89.69030999999998</c:v>
                </c:pt>
                <c:pt idx="2306">
                  <c:v>89.68835999999965</c:v>
                </c:pt>
                <c:pt idx="2307">
                  <c:v>89.68646999999998</c:v>
                </c:pt>
                <c:pt idx="2308">
                  <c:v>89.68357999999998</c:v>
                </c:pt>
                <c:pt idx="2309">
                  <c:v>89.68163000000001</c:v>
                </c:pt>
                <c:pt idx="2310">
                  <c:v>89.68069</c:v>
                </c:pt>
                <c:pt idx="2311">
                  <c:v>89.67779999999995</c:v>
                </c:pt>
                <c:pt idx="2312">
                  <c:v>89.67590999999948</c:v>
                </c:pt>
                <c:pt idx="2313">
                  <c:v>89.67301999999998</c:v>
                </c:pt>
                <c:pt idx="2314">
                  <c:v>89.67207999999827</c:v>
                </c:pt>
                <c:pt idx="2315">
                  <c:v>89.67012999999998</c:v>
                </c:pt>
                <c:pt idx="2316">
                  <c:v>89.66825</c:v>
                </c:pt>
                <c:pt idx="2317">
                  <c:v>89.66724</c:v>
                </c:pt>
                <c:pt idx="2318">
                  <c:v>89.66441</c:v>
                </c:pt>
                <c:pt idx="2319">
                  <c:v>89.66341</c:v>
                </c:pt>
                <c:pt idx="2320">
                  <c:v>89.66152</c:v>
                </c:pt>
                <c:pt idx="2321">
                  <c:v>89.65862999999997</c:v>
                </c:pt>
                <c:pt idx="2322">
                  <c:v>89.65573999999835</c:v>
                </c:pt>
                <c:pt idx="2323">
                  <c:v>89.65479999999998</c:v>
                </c:pt>
                <c:pt idx="2324">
                  <c:v>89.65290999999995</c:v>
                </c:pt>
                <c:pt idx="2325">
                  <c:v>89.6519</c:v>
                </c:pt>
                <c:pt idx="2326">
                  <c:v>89.65002</c:v>
                </c:pt>
                <c:pt idx="2327">
                  <c:v>89.64713</c:v>
                </c:pt>
                <c:pt idx="2328">
                  <c:v>89.64525</c:v>
                </c:pt>
                <c:pt idx="2329">
                  <c:v>89.6433</c:v>
                </c:pt>
                <c:pt idx="2330">
                  <c:v>89.64141</c:v>
                </c:pt>
                <c:pt idx="2331">
                  <c:v>89.63946</c:v>
                </c:pt>
                <c:pt idx="2332">
                  <c:v>89.63751</c:v>
                </c:pt>
                <c:pt idx="2333">
                  <c:v>89.63469</c:v>
                </c:pt>
                <c:pt idx="2334">
                  <c:v>89.63368</c:v>
                </c:pt>
                <c:pt idx="2335">
                  <c:v>89.63084999999998</c:v>
                </c:pt>
                <c:pt idx="2336">
                  <c:v>89.62889999999948</c:v>
                </c:pt>
                <c:pt idx="2337">
                  <c:v>89.62702</c:v>
                </c:pt>
                <c:pt idx="2338">
                  <c:v>89.62506999999998</c:v>
                </c:pt>
                <c:pt idx="2339">
                  <c:v>89.62217999999918</c:v>
                </c:pt>
                <c:pt idx="2340">
                  <c:v>89.62028999999998</c:v>
                </c:pt>
                <c:pt idx="2341">
                  <c:v>89.61833999999975</c:v>
                </c:pt>
                <c:pt idx="2342">
                  <c:v>89.61646</c:v>
                </c:pt>
                <c:pt idx="2343">
                  <c:v>89.61451</c:v>
                </c:pt>
                <c:pt idx="2344">
                  <c:v>89.61357</c:v>
                </c:pt>
                <c:pt idx="2345">
                  <c:v>89.61169</c:v>
                </c:pt>
                <c:pt idx="2346">
                  <c:v>89.60878999999898</c:v>
                </c:pt>
                <c:pt idx="2347">
                  <c:v>89.60785</c:v>
                </c:pt>
                <c:pt idx="2348">
                  <c:v>89.60496</c:v>
                </c:pt>
                <c:pt idx="2349">
                  <c:v>89.60301</c:v>
                </c:pt>
                <c:pt idx="2350">
                  <c:v>89.60113000000001</c:v>
                </c:pt>
                <c:pt idx="2351">
                  <c:v>89.59918</c:v>
                </c:pt>
                <c:pt idx="2352">
                  <c:v>89.59729</c:v>
                </c:pt>
                <c:pt idx="2353">
                  <c:v>89.5944</c:v>
                </c:pt>
                <c:pt idx="2354">
                  <c:v>89.59245</c:v>
                </c:pt>
                <c:pt idx="2355">
                  <c:v>89.59057</c:v>
                </c:pt>
                <c:pt idx="2356">
                  <c:v>89.58862</c:v>
                </c:pt>
                <c:pt idx="2357">
                  <c:v>89.58672999999997</c:v>
                </c:pt>
                <c:pt idx="2358">
                  <c:v>89.58477999999998</c:v>
                </c:pt>
                <c:pt idx="2359">
                  <c:v>89.58289999999998</c:v>
                </c:pt>
                <c:pt idx="2360">
                  <c:v>89.58095</c:v>
                </c:pt>
                <c:pt idx="2361">
                  <c:v>89.57906999999997</c:v>
                </c:pt>
                <c:pt idx="2362">
                  <c:v>89.57712</c:v>
                </c:pt>
                <c:pt idx="2363">
                  <c:v>89.57523</c:v>
                </c:pt>
                <c:pt idx="2364">
                  <c:v>89.57327999999998</c:v>
                </c:pt>
                <c:pt idx="2365">
                  <c:v>89.57139999999998</c:v>
                </c:pt>
                <c:pt idx="2366">
                  <c:v>89.56851</c:v>
                </c:pt>
                <c:pt idx="2367">
                  <c:v>89.56656</c:v>
                </c:pt>
                <c:pt idx="2368">
                  <c:v>89.56373</c:v>
                </c:pt>
                <c:pt idx="2369">
                  <c:v>89.56178</c:v>
                </c:pt>
                <c:pt idx="2370">
                  <c:v>89.5599</c:v>
                </c:pt>
                <c:pt idx="2371">
                  <c:v>89.55701</c:v>
                </c:pt>
                <c:pt idx="2372">
                  <c:v>89.55505999999998</c:v>
                </c:pt>
                <c:pt idx="2373">
                  <c:v>89.55411</c:v>
                </c:pt>
                <c:pt idx="2374">
                  <c:v>89.55223</c:v>
                </c:pt>
                <c:pt idx="2375">
                  <c:v>89.54934</c:v>
                </c:pt>
                <c:pt idx="2376">
                  <c:v>89.54551</c:v>
                </c:pt>
                <c:pt idx="2377">
                  <c:v>89.54356</c:v>
                </c:pt>
                <c:pt idx="2378">
                  <c:v>89.54167</c:v>
                </c:pt>
                <c:pt idx="2379">
                  <c:v>89.53972</c:v>
                </c:pt>
                <c:pt idx="2380">
                  <c:v>89.53784</c:v>
                </c:pt>
                <c:pt idx="2381">
                  <c:v>89.53588999999998</c:v>
                </c:pt>
                <c:pt idx="2382">
                  <c:v>89.533</c:v>
                </c:pt>
                <c:pt idx="2383">
                  <c:v>89.53017000000001</c:v>
                </c:pt>
                <c:pt idx="2384">
                  <c:v>89.52728</c:v>
                </c:pt>
                <c:pt idx="2385">
                  <c:v>89.52633999999995</c:v>
                </c:pt>
                <c:pt idx="2386">
                  <c:v>89.52344999999998</c:v>
                </c:pt>
                <c:pt idx="2387">
                  <c:v>89.52055</c:v>
                </c:pt>
                <c:pt idx="2388">
                  <c:v>89.51867</c:v>
                </c:pt>
                <c:pt idx="2389">
                  <c:v>89.51577999999998</c:v>
                </c:pt>
                <c:pt idx="2390">
                  <c:v>89.51484</c:v>
                </c:pt>
                <c:pt idx="2391">
                  <c:v>89.51195</c:v>
                </c:pt>
                <c:pt idx="2392">
                  <c:v>89.51</c:v>
                </c:pt>
                <c:pt idx="2393">
                  <c:v>89.50905</c:v>
                </c:pt>
                <c:pt idx="2394">
                  <c:v>89.50717</c:v>
                </c:pt>
                <c:pt idx="2395">
                  <c:v>89.50232999999998</c:v>
                </c:pt>
                <c:pt idx="2396">
                  <c:v>89.50044</c:v>
                </c:pt>
                <c:pt idx="2397">
                  <c:v>89.49849</c:v>
                </c:pt>
                <c:pt idx="2398">
                  <c:v>89.4956</c:v>
                </c:pt>
                <c:pt idx="2399">
                  <c:v>89.49277999999998</c:v>
                </c:pt>
                <c:pt idx="2400">
                  <c:v>89.49083</c:v>
                </c:pt>
                <c:pt idx="2401">
                  <c:v>89.48894</c:v>
                </c:pt>
                <c:pt idx="2402">
                  <c:v>89.48605</c:v>
                </c:pt>
                <c:pt idx="2403">
                  <c:v>89.48316</c:v>
                </c:pt>
                <c:pt idx="2404">
                  <c:v>89.48128</c:v>
                </c:pt>
                <c:pt idx="2405">
                  <c:v>89.47933</c:v>
                </c:pt>
                <c:pt idx="2406">
                  <c:v>89.47643</c:v>
                </c:pt>
                <c:pt idx="2407">
                  <c:v>89.47361</c:v>
                </c:pt>
                <c:pt idx="2408">
                  <c:v>89.4726</c:v>
                </c:pt>
                <c:pt idx="2409">
                  <c:v>89.46978</c:v>
                </c:pt>
                <c:pt idx="2410">
                  <c:v>89.46783</c:v>
                </c:pt>
                <c:pt idx="2411">
                  <c:v>89.46399</c:v>
                </c:pt>
                <c:pt idx="2412">
                  <c:v>89.46204</c:v>
                </c:pt>
                <c:pt idx="2413">
                  <c:v>89.46016</c:v>
                </c:pt>
                <c:pt idx="2414">
                  <c:v>89.45821</c:v>
                </c:pt>
                <c:pt idx="2415">
                  <c:v>89.45633</c:v>
                </c:pt>
                <c:pt idx="2416">
                  <c:v>89.45343</c:v>
                </c:pt>
                <c:pt idx="2417">
                  <c:v>89.45343</c:v>
                </c:pt>
                <c:pt idx="2418">
                  <c:v>89.44671</c:v>
                </c:pt>
                <c:pt idx="2419">
                  <c:v>89.44388</c:v>
                </c:pt>
                <c:pt idx="2420">
                  <c:v>89.44099</c:v>
                </c:pt>
                <c:pt idx="2421">
                  <c:v>89.44482</c:v>
                </c:pt>
                <c:pt idx="2422">
                  <c:v>89.44099</c:v>
                </c:pt>
                <c:pt idx="2423">
                  <c:v>89.4381</c:v>
                </c:pt>
                <c:pt idx="2424">
                  <c:v>89.43521</c:v>
                </c:pt>
                <c:pt idx="2425">
                  <c:v>89.43231</c:v>
                </c:pt>
                <c:pt idx="2426">
                  <c:v>89.43043</c:v>
                </c:pt>
                <c:pt idx="2427">
                  <c:v>89.42754</c:v>
                </c:pt>
                <c:pt idx="2428">
                  <c:v>89.4266</c:v>
                </c:pt>
                <c:pt idx="2429">
                  <c:v>89.42465</c:v>
                </c:pt>
                <c:pt idx="2430">
                  <c:v>89.42182</c:v>
                </c:pt>
                <c:pt idx="2431">
                  <c:v>89.41893</c:v>
                </c:pt>
                <c:pt idx="2432">
                  <c:v>89.41698</c:v>
                </c:pt>
                <c:pt idx="2433">
                  <c:v>89.4151</c:v>
                </c:pt>
                <c:pt idx="2434">
                  <c:v>89.41221</c:v>
                </c:pt>
                <c:pt idx="2435">
                  <c:v>89.41032</c:v>
                </c:pt>
                <c:pt idx="2436">
                  <c:v>89.40837</c:v>
                </c:pt>
                <c:pt idx="2437">
                  <c:v>89.40547999999998</c:v>
                </c:pt>
                <c:pt idx="2438">
                  <c:v>89.4036</c:v>
                </c:pt>
                <c:pt idx="2439">
                  <c:v>89.4007</c:v>
                </c:pt>
                <c:pt idx="2440">
                  <c:v>89.39882</c:v>
                </c:pt>
                <c:pt idx="2441">
                  <c:v>89.39781</c:v>
                </c:pt>
                <c:pt idx="2442">
                  <c:v>89.39593</c:v>
                </c:pt>
                <c:pt idx="2443">
                  <c:v>89.39304</c:v>
                </c:pt>
                <c:pt idx="2444">
                  <c:v>89.39109</c:v>
                </c:pt>
                <c:pt idx="2445">
                  <c:v>89.39015</c:v>
                </c:pt>
                <c:pt idx="2446">
                  <c:v>89.38725</c:v>
                </c:pt>
                <c:pt idx="2447">
                  <c:v>89.38536999999998</c:v>
                </c:pt>
                <c:pt idx="2448">
                  <c:v>89.38154</c:v>
                </c:pt>
                <c:pt idx="2449">
                  <c:v>89.37574999999858</c:v>
                </c:pt>
                <c:pt idx="2450">
                  <c:v>89.37675999999995</c:v>
                </c:pt>
                <c:pt idx="2451">
                  <c:v>89.3806</c:v>
                </c:pt>
                <c:pt idx="2452">
                  <c:v>89.37675999999995</c:v>
                </c:pt>
                <c:pt idx="2453">
                  <c:v>89.37386999999998</c:v>
                </c:pt>
                <c:pt idx="2454">
                  <c:v>89.37097999999965</c:v>
                </c:pt>
                <c:pt idx="2455">
                  <c:v>89.36909</c:v>
                </c:pt>
                <c:pt idx="2456">
                  <c:v>89.36714</c:v>
                </c:pt>
                <c:pt idx="2457">
                  <c:v>89.36425</c:v>
                </c:pt>
                <c:pt idx="2458">
                  <c:v>89.36236999999998</c:v>
                </c:pt>
                <c:pt idx="2459">
                  <c:v>89.36136</c:v>
                </c:pt>
                <c:pt idx="2460">
                  <c:v>89.35853999999995</c:v>
                </c:pt>
                <c:pt idx="2461">
                  <c:v>89.35753</c:v>
                </c:pt>
                <c:pt idx="2462">
                  <c:v>89.35563999999998</c:v>
                </c:pt>
                <c:pt idx="2463">
                  <c:v>89.35274999999928</c:v>
                </c:pt>
                <c:pt idx="2464">
                  <c:v>89.35086999999998</c:v>
                </c:pt>
                <c:pt idx="2465">
                  <c:v>89.34892</c:v>
                </c:pt>
                <c:pt idx="2466">
                  <c:v>89.34703</c:v>
                </c:pt>
                <c:pt idx="2467">
                  <c:v>89.34414</c:v>
                </c:pt>
                <c:pt idx="2468">
                  <c:v>89.3432</c:v>
                </c:pt>
                <c:pt idx="2469">
                  <c:v>89.34031</c:v>
                </c:pt>
                <c:pt idx="2470">
                  <c:v>89.34031</c:v>
                </c:pt>
                <c:pt idx="2471">
                  <c:v>89.33647999999998</c:v>
                </c:pt>
                <c:pt idx="2472">
                  <c:v>89.33453</c:v>
                </c:pt>
                <c:pt idx="2473">
                  <c:v>89.33264</c:v>
                </c:pt>
                <c:pt idx="2474">
                  <c:v>89.33069</c:v>
                </c:pt>
                <c:pt idx="2475">
                  <c:v>89.32974999999985</c:v>
                </c:pt>
                <c:pt idx="2476">
                  <c:v>89.32685999999998</c:v>
                </c:pt>
                <c:pt idx="2477">
                  <c:v>89.32497</c:v>
                </c:pt>
                <c:pt idx="2478">
                  <c:v>89.32396999999997</c:v>
                </c:pt>
                <c:pt idx="2479">
                  <c:v>89.32207999999908</c:v>
                </c:pt>
                <c:pt idx="2480">
                  <c:v>89.32013</c:v>
                </c:pt>
                <c:pt idx="2481">
                  <c:v>89.31919</c:v>
                </c:pt>
                <c:pt idx="2482">
                  <c:v>89.31247</c:v>
                </c:pt>
                <c:pt idx="2483">
                  <c:v>89.31152</c:v>
                </c:pt>
                <c:pt idx="2484">
                  <c:v>89.31442</c:v>
                </c:pt>
                <c:pt idx="2485">
                  <c:v>89.31347</c:v>
                </c:pt>
                <c:pt idx="2486">
                  <c:v>89.31058</c:v>
                </c:pt>
                <c:pt idx="2487">
                  <c:v>89.30863</c:v>
                </c:pt>
                <c:pt idx="2488">
                  <c:v>89.30674999999998</c:v>
                </c:pt>
                <c:pt idx="2489">
                  <c:v>89.30386</c:v>
                </c:pt>
                <c:pt idx="2490">
                  <c:v>89.30386</c:v>
                </c:pt>
                <c:pt idx="2491">
                  <c:v>89.30197</c:v>
                </c:pt>
                <c:pt idx="2492">
                  <c:v>89.30002</c:v>
                </c:pt>
                <c:pt idx="2493">
                  <c:v>89.29713</c:v>
                </c:pt>
                <c:pt idx="2494">
                  <c:v>89.29619</c:v>
                </c:pt>
                <c:pt idx="2495">
                  <c:v>89.2933</c:v>
                </c:pt>
                <c:pt idx="2496">
                  <c:v>89.29236</c:v>
                </c:pt>
                <c:pt idx="2497">
                  <c:v>89.28946</c:v>
                </c:pt>
                <c:pt idx="2498">
                  <c:v>89.28563000000001</c:v>
                </c:pt>
                <c:pt idx="2499">
                  <c:v>89.28469</c:v>
                </c:pt>
                <c:pt idx="2500">
                  <c:v>89.28946</c:v>
                </c:pt>
                <c:pt idx="2501">
                  <c:v>89.28563000000001</c:v>
                </c:pt>
                <c:pt idx="2502">
                  <c:v>89.28375</c:v>
                </c:pt>
                <c:pt idx="2503">
                  <c:v>89.28086</c:v>
                </c:pt>
                <c:pt idx="2504">
                  <c:v>89.27889999999998</c:v>
                </c:pt>
                <c:pt idx="2505">
                  <c:v>89.27607999999998</c:v>
                </c:pt>
                <c:pt idx="2506">
                  <c:v>89.27506999999998</c:v>
                </c:pt>
                <c:pt idx="2507">
                  <c:v>89.27319</c:v>
                </c:pt>
                <c:pt idx="2508">
                  <c:v>89.27225</c:v>
                </c:pt>
                <c:pt idx="2509">
                  <c:v>89.26935</c:v>
                </c:pt>
                <c:pt idx="2510">
                  <c:v>89.2674</c:v>
                </c:pt>
                <c:pt idx="2511">
                  <c:v>89.26646</c:v>
                </c:pt>
                <c:pt idx="2512">
                  <c:v>89.26458</c:v>
                </c:pt>
                <c:pt idx="2513">
                  <c:v>89.26357</c:v>
                </c:pt>
                <c:pt idx="2514">
                  <c:v>89.26169</c:v>
                </c:pt>
                <c:pt idx="2515">
                  <c:v>89.25785</c:v>
                </c:pt>
                <c:pt idx="2516">
                  <c:v>89.25683999999998</c:v>
                </c:pt>
                <c:pt idx="2517">
                  <c:v>89.25589999999998</c:v>
                </c:pt>
                <c:pt idx="2518">
                  <c:v>89.25589999999998</c:v>
                </c:pt>
                <c:pt idx="2519">
                  <c:v>89.25402</c:v>
                </c:pt>
                <c:pt idx="2520">
                  <c:v>89.25206999999997</c:v>
                </c:pt>
                <c:pt idx="2521">
                  <c:v>89.25113</c:v>
                </c:pt>
                <c:pt idx="2522">
                  <c:v>89.25113</c:v>
                </c:pt>
                <c:pt idx="2523">
                  <c:v>89.24918</c:v>
                </c:pt>
                <c:pt idx="2524">
                  <c:v>89.24729</c:v>
                </c:pt>
                <c:pt idx="2525">
                  <c:v>89.2444</c:v>
                </c:pt>
                <c:pt idx="2526">
                  <c:v>89.24252</c:v>
                </c:pt>
                <c:pt idx="2527">
                  <c:v>89.24252</c:v>
                </c:pt>
                <c:pt idx="2528">
                  <c:v>89.24057</c:v>
                </c:pt>
                <c:pt idx="2529">
                  <c:v>89.23768</c:v>
                </c:pt>
                <c:pt idx="2530">
                  <c:v>89.23768</c:v>
                </c:pt>
                <c:pt idx="2531">
                  <c:v>89.23674</c:v>
                </c:pt>
                <c:pt idx="2532">
                  <c:v>89.23485</c:v>
                </c:pt>
                <c:pt idx="2533">
                  <c:v>89.23384</c:v>
                </c:pt>
                <c:pt idx="2534">
                  <c:v>89.2329</c:v>
                </c:pt>
                <c:pt idx="2535">
                  <c:v>89.23001</c:v>
                </c:pt>
                <c:pt idx="2536">
                  <c:v>89.22813</c:v>
                </c:pt>
                <c:pt idx="2537">
                  <c:v>89.22719</c:v>
                </c:pt>
                <c:pt idx="2538">
                  <c:v>89.22523</c:v>
                </c:pt>
                <c:pt idx="2539">
                  <c:v>89.22429</c:v>
                </c:pt>
                <c:pt idx="2540">
                  <c:v>89.22328</c:v>
                </c:pt>
                <c:pt idx="2541">
                  <c:v>89.2214</c:v>
                </c:pt>
                <c:pt idx="2542">
                  <c:v>89.21851</c:v>
                </c:pt>
                <c:pt idx="2543">
                  <c:v>89.21468</c:v>
                </c:pt>
                <c:pt idx="2544">
                  <c:v>89.21373000000001</c:v>
                </c:pt>
                <c:pt idx="2545">
                  <c:v>89.21373000000001</c:v>
                </c:pt>
                <c:pt idx="2546">
                  <c:v>89.21373000000001</c:v>
                </c:pt>
                <c:pt idx="2547">
                  <c:v>89.21562</c:v>
                </c:pt>
                <c:pt idx="2548">
                  <c:v>89.21279</c:v>
                </c:pt>
                <c:pt idx="2549">
                  <c:v>89.2099</c:v>
                </c:pt>
                <c:pt idx="2550">
                  <c:v>89.20795</c:v>
                </c:pt>
                <c:pt idx="2551">
                  <c:v>89.20701</c:v>
                </c:pt>
                <c:pt idx="2552">
                  <c:v>89.20607</c:v>
                </c:pt>
                <c:pt idx="2553">
                  <c:v>89.20412</c:v>
                </c:pt>
                <c:pt idx="2554">
                  <c:v>89.20223</c:v>
                </c:pt>
                <c:pt idx="2555">
                  <c:v>89.20129</c:v>
                </c:pt>
                <c:pt idx="2556">
                  <c:v>89.19933999999998</c:v>
                </c:pt>
                <c:pt idx="2557">
                  <c:v>89.19839999999998</c:v>
                </c:pt>
                <c:pt idx="2558">
                  <c:v>89.19645</c:v>
                </c:pt>
                <c:pt idx="2559">
                  <c:v>89.19551</c:v>
                </c:pt>
                <c:pt idx="2560">
                  <c:v>89.19362</c:v>
                </c:pt>
                <c:pt idx="2561">
                  <c:v>89.19262</c:v>
                </c:pt>
                <c:pt idx="2562">
                  <c:v>89.19167</c:v>
                </c:pt>
                <c:pt idx="2563">
                  <c:v>89.19072999999997</c:v>
                </c:pt>
                <c:pt idx="2564">
                  <c:v>89.18877999999835</c:v>
                </c:pt>
                <c:pt idx="2565">
                  <c:v>89.18689999999998</c:v>
                </c:pt>
                <c:pt idx="2566">
                  <c:v>89.18495</c:v>
                </c:pt>
                <c:pt idx="2567">
                  <c:v>89.18401</c:v>
                </c:pt>
                <c:pt idx="2568">
                  <c:v>89.18205999999998</c:v>
                </c:pt>
                <c:pt idx="2569">
                  <c:v>89.18111</c:v>
                </c:pt>
                <c:pt idx="2570">
                  <c:v>89.18016999999997</c:v>
                </c:pt>
                <c:pt idx="2571">
                  <c:v>89.17821999999998</c:v>
                </c:pt>
                <c:pt idx="2572">
                  <c:v>89.17727999999998</c:v>
                </c:pt>
                <c:pt idx="2573">
                  <c:v>89.17633999999858</c:v>
                </c:pt>
                <c:pt idx="2574">
                  <c:v>89.17438999999958</c:v>
                </c:pt>
                <c:pt idx="2575">
                  <c:v>89.17438999999958</c:v>
                </c:pt>
                <c:pt idx="2576">
                  <c:v>89.17250999999958</c:v>
                </c:pt>
                <c:pt idx="2577">
                  <c:v>89.17055999999998</c:v>
                </c:pt>
                <c:pt idx="2578">
                  <c:v>89.16961</c:v>
                </c:pt>
                <c:pt idx="2579">
                  <c:v>89.16773</c:v>
                </c:pt>
                <c:pt idx="2580">
                  <c:v>89.16672</c:v>
                </c:pt>
                <c:pt idx="2581">
                  <c:v>89.16484</c:v>
                </c:pt>
                <c:pt idx="2582">
                  <c:v>89.16288999999995</c:v>
                </c:pt>
                <c:pt idx="2583">
                  <c:v>89.16195</c:v>
                </c:pt>
                <c:pt idx="2584">
                  <c:v>89.16101</c:v>
                </c:pt>
                <c:pt idx="2585">
                  <c:v>89.16006</c:v>
                </c:pt>
                <c:pt idx="2586">
                  <c:v>89.15905999999998</c:v>
                </c:pt>
                <c:pt idx="2587">
                  <c:v>89.15717</c:v>
                </c:pt>
                <c:pt idx="2588">
                  <c:v>89.15522</c:v>
                </c:pt>
                <c:pt idx="2589">
                  <c:v>89.15428</c:v>
                </c:pt>
                <c:pt idx="2590">
                  <c:v>89.15333999999918</c:v>
                </c:pt>
                <c:pt idx="2591">
                  <c:v>89.15232999999998</c:v>
                </c:pt>
                <c:pt idx="2592">
                  <c:v>89.1495</c:v>
                </c:pt>
                <c:pt idx="2593">
                  <c:v>89.1485</c:v>
                </c:pt>
                <c:pt idx="2594">
                  <c:v>89.14661</c:v>
                </c:pt>
                <c:pt idx="2595">
                  <c:v>89.14466</c:v>
                </c:pt>
                <c:pt idx="2596">
                  <c:v>89.14466</c:v>
                </c:pt>
                <c:pt idx="2597">
                  <c:v>89.14277999999958</c:v>
                </c:pt>
                <c:pt idx="2598">
                  <c:v>89.14184</c:v>
                </c:pt>
                <c:pt idx="2599">
                  <c:v>89.14083</c:v>
                </c:pt>
                <c:pt idx="2600">
                  <c:v>89.13894999999998</c:v>
                </c:pt>
                <c:pt idx="2601">
                  <c:v>89.138</c:v>
                </c:pt>
                <c:pt idx="2602">
                  <c:v>89.137</c:v>
                </c:pt>
                <c:pt idx="2603">
                  <c:v>89.13510999999998</c:v>
                </c:pt>
                <c:pt idx="2604">
                  <c:v>89.13510999999998</c:v>
                </c:pt>
                <c:pt idx="2605">
                  <c:v>89.13316</c:v>
                </c:pt>
                <c:pt idx="2606">
                  <c:v>89.13222</c:v>
                </c:pt>
                <c:pt idx="2607">
                  <c:v>89.13033999999985</c:v>
                </c:pt>
                <c:pt idx="2608">
                  <c:v>89.12932999999998</c:v>
                </c:pt>
                <c:pt idx="2609">
                  <c:v>89.12743999999998</c:v>
                </c:pt>
                <c:pt idx="2610">
                  <c:v>89.12743999999998</c:v>
                </c:pt>
                <c:pt idx="2611">
                  <c:v>89.12548999999898</c:v>
                </c:pt>
                <c:pt idx="2612">
                  <c:v>89.12455</c:v>
                </c:pt>
                <c:pt idx="2613">
                  <c:v>89.12259999999995</c:v>
                </c:pt>
                <c:pt idx="2614">
                  <c:v>89.12166</c:v>
                </c:pt>
                <c:pt idx="2615">
                  <c:v>89.12071999999995</c:v>
                </c:pt>
                <c:pt idx="2616">
                  <c:v>89.11876999999998</c:v>
                </c:pt>
                <c:pt idx="2617">
                  <c:v>89.11689</c:v>
                </c:pt>
                <c:pt idx="2618">
                  <c:v>89.11494</c:v>
                </c:pt>
                <c:pt idx="2619">
                  <c:v>89.11399</c:v>
                </c:pt>
                <c:pt idx="2620">
                  <c:v>89.11211</c:v>
                </c:pt>
                <c:pt idx="2621">
                  <c:v>89.11211</c:v>
                </c:pt>
                <c:pt idx="2622">
                  <c:v>89.11016</c:v>
                </c:pt>
                <c:pt idx="2623">
                  <c:v>89.10922</c:v>
                </c:pt>
                <c:pt idx="2624">
                  <c:v>89.10827999999998</c:v>
                </c:pt>
                <c:pt idx="2625">
                  <c:v>89.10632999999998</c:v>
                </c:pt>
                <c:pt idx="2626">
                  <c:v>89.10155</c:v>
                </c:pt>
                <c:pt idx="2627">
                  <c:v>89.10061</c:v>
                </c:pt>
                <c:pt idx="2628">
                  <c:v>89.0996</c:v>
                </c:pt>
                <c:pt idx="2629">
                  <c:v>89.0996</c:v>
                </c:pt>
                <c:pt idx="2630">
                  <c:v>89.10342999999997</c:v>
                </c:pt>
                <c:pt idx="2631">
                  <c:v>89.0996</c:v>
                </c:pt>
                <c:pt idx="2632">
                  <c:v>89.09772</c:v>
                </c:pt>
                <c:pt idx="2633">
                  <c:v>89.09576999999997</c:v>
                </c:pt>
                <c:pt idx="2634">
                  <c:v>89.09483</c:v>
                </c:pt>
                <c:pt idx="2635">
                  <c:v>89.09294</c:v>
                </c:pt>
                <c:pt idx="2636">
                  <c:v>89.09193</c:v>
                </c:pt>
                <c:pt idx="2637">
                  <c:v>89.09099</c:v>
                </c:pt>
                <c:pt idx="2638">
                  <c:v>89.09005</c:v>
                </c:pt>
                <c:pt idx="2639">
                  <c:v>89.08809999999998</c:v>
                </c:pt>
                <c:pt idx="2640">
                  <c:v>89.08716</c:v>
                </c:pt>
                <c:pt idx="2641">
                  <c:v>89.08622</c:v>
                </c:pt>
                <c:pt idx="2642">
                  <c:v>89.08427</c:v>
                </c:pt>
                <c:pt idx="2643">
                  <c:v>89.08332999999997</c:v>
                </c:pt>
                <c:pt idx="2644">
                  <c:v>89.08237999999928</c:v>
                </c:pt>
                <c:pt idx="2645">
                  <c:v>89.08043</c:v>
                </c:pt>
                <c:pt idx="2646">
                  <c:v>89.07948999999998</c:v>
                </c:pt>
                <c:pt idx="2647">
                  <c:v>89.07854999999998</c:v>
                </c:pt>
                <c:pt idx="2648">
                  <c:v>89.0766</c:v>
                </c:pt>
                <c:pt idx="2649">
                  <c:v>89.07566</c:v>
                </c:pt>
                <c:pt idx="2650">
                  <c:v>89.07370999999995</c:v>
                </c:pt>
                <c:pt idx="2651">
                  <c:v>89.07276999999995</c:v>
                </c:pt>
                <c:pt idx="2652">
                  <c:v>89.07276999999995</c:v>
                </c:pt>
                <c:pt idx="2653">
                  <c:v>89.06604</c:v>
                </c:pt>
                <c:pt idx="2654">
                  <c:v>89.0651</c:v>
                </c:pt>
                <c:pt idx="2655">
                  <c:v>89.06987</c:v>
                </c:pt>
                <c:pt idx="2656">
                  <c:v>89.06705</c:v>
                </c:pt>
                <c:pt idx="2657">
                  <c:v>89.06604</c:v>
                </c:pt>
                <c:pt idx="2658">
                  <c:v>89.06416</c:v>
                </c:pt>
                <c:pt idx="2659">
                  <c:v>89.06221</c:v>
                </c:pt>
                <c:pt idx="2660">
                  <c:v>89.06127</c:v>
                </c:pt>
                <c:pt idx="2661">
                  <c:v>89.06032</c:v>
                </c:pt>
                <c:pt idx="2662">
                  <c:v>89.05937999999995</c:v>
                </c:pt>
                <c:pt idx="2663">
                  <c:v>89.05743</c:v>
                </c:pt>
                <c:pt idx="2664">
                  <c:v>89.05648999999998</c:v>
                </c:pt>
                <c:pt idx="2665">
                  <c:v>89.05547999999965</c:v>
                </c:pt>
                <c:pt idx="2666">
                  <c:v>89.05454</c:v>
                </c:pt>
                <c:pt idx="2667">
                  <c:v>89.05266</c:v>
                </c:pt>
                <c:pt idx="2668">
                  <c:v>89.05165</c:v>
                </c:pt>
                <c:pt idx="2669">
                  <c:v>89.05070999999998</c:v>
                </c:pt>
                <c:pt idx="2670">
                  <c:v>89.04976</c:v>
                </c:pt>
                <c:pt idx="2671">
                  <c:v>89.04781</c:v>
                </c:pt>
                <c:pt idx="2672">
                  <c:v>89.04593000000001</c:v>
                </c:pt>
                <c:pt idx="2673">
                  <c:v>89.04499</c:v>
                </c:pt>
                <c:pt idx="2674">
                  <c:v>89.04398</c:v>
                </c:pt>
                <c:pt idx="2675">
                  <c:v>89.0421</c:v>
                </c:pt>
                <c:pt idx="2676">
                  <c:v>89.04304</c:v>
                </c:pt>
                <c:pt idx="2677">
                  <c:v>89.03921</c:v>
                </c:pt>
                <c:pt idx="2678">
                  <c:v>89.03536999999998</c:v>
                </c:pt>
                <c:pt idx="2679">
                  <c:v>89.03443</c:v>
                </c:pt>
                <c:pt idx="2680">
                  <c:v>89.03443</c:v>
                </c:pt>
                <c:pt idx="2681">
                  <c:v>89.03349</c:v>
                </c:pt>
                <c:pt idx="2682">
                  <c:v>89.03349</c:v>
                </c:pt>
                <c:pt idx="2683">
                  <c:v>89.03247999999998</c:v>
                </c:pt>
                <c:pt idx="2684">
                  <c:v>89.03154</c:v>
                </c:pt>
                <c:pt idx="2685">
                  <c:v>89.0306</c:v>
                </c:pt>
                <c:pt idx="2686">
                  <c:v>89.02966</c:v>
                </c:pt>
                <c:pt idx="2687">
                  <c:v>89.0277</c:v>
                </c:pt>
                <c:pt idx="2688">
                  <c:v>89.02581999999998</c:v>
                </c:pt>
                <c:pt idx="2689">
                  <c:v>89.02386999999997</c:v>
                </c:pt>
                <c:pt idx="2690">
                  <c:v>89.02292999999997</c:v>
                </c:pt>
                <c:pt idx="2691">
                  <c:v>89.02199</c:v>
                </c:pt>
                <c:pt idx="2692">
                  <c:v>89.02097999999998</c:v>
                </c:pt>
                <c:pt idx="2693">
                  <c:v>89.02003999999998</c:v>
                </c:pt>
                <c:pt idx="2694">
                  <c:v>89.0191</c:v>
                </c:pt>
                <c:pt idx="2695">
                  <c:v>89.01715</c:v>
                </c:pt>
                <c:pt idx="2696">
                  <c:v>89.0162</c:v>
                </c:pt>
                <c:pt idx="2697">
                  <c:v>89.01425</c:v>
                </c:pt>
                <c:pt idx="2698">
                  <c:v>89.01331</c:v>
                </c:pt>
                <c:pt idx="2699">
                  <c:v>89.01236999999997</c:v>
                </c:pt>
                <c:pt idx="2700">
                  <c:v>89.01143</c:v>
                </c:pt>
                <c:pt idx="2701">
                  <c:v>89.00947999999998</c:v>
                </c:pt>
                <c:pt idx="2702">
                  <c:v>89.00853999999998</c:v>
                </c:pt>
                <c:pt idx="2703">
                  <c:v>89.00659</c:v>
                </c:pt>
                <c:pt idx="2704">
                  <c:v>89.00564</c:v>
                </c:pt>
                <c:pt idx="2705">
                  <c:v>89.0047</c:v>
                </c:pt>
                <c:pt idx="2706">
                  <c:v>89.00376</c:v>
                </c:pt>
                <c:pt idx="2707">
                  <c:v>89.00181</c:v>
                </c:pt>
                <c:pt idx="2708">
                  <c:v>89.00087</c:v>
                </c:pt>
                <c:pt idx="2709">
                  <c:v>88.99993</c:v>
                </c:pt>
                <c:pt idx="2710">
                  <c:v>88.99798</c:v>
                </c:pt>
                <c:pt idx="2711">
                  <c:v>88.99704</c:v>
                </c:pt>
                <c:pt idx="2712">
                  <c:v>88.99509</c:v>
                </c:pt>
                <c:pt idx="2713">
                  <c:v>88.9932</c:v>
                </c:pt>
                <c:pt idx="2714">
                  <c:v>88.9932</c:v>
                </c:pt>
                <c:pt idx="2715">
                  <c:v>88.99125</c:v>
                </c:pt>
                <c:pt idx="2716">
                  <c:v>88.99031</c:v>
                </c:pt>
                <c:pt idx="2717">
                  <c:v>88.98843</c:v>
                </c:pt>
                <c:pt idx="2718">
                  <c:v>88.98742</c:v>
                </c:pt>
                <c:pt idx="2719">
                  <c:v>88.98648</c:v>
                </c:pt>
                <c:pt idx="2720">
                  <c:v>88.98554</c:v>
                </c:pt>
                <c:pt idx="2721">
                  <c:v>88.98358</c:v>
                </c:pt>
                <c:pt idx="2722">
                  <c:v>88.98358</c:v>
                </c:pt>
                <c:pt idx="2723">
                  <c:v>88.9817</c:v>
                </c:pt>
                <c:pt idx="2724">
                  <c:v>88.97974999999998</c:v>
                </c:pt>
                <c:pt idx="2725">
                  <c:v>88.97880999999998</c:v>
                </c:pt>
                <c:pt idx="2726">
                  <c:v>88.97787</c:v>
                </c:pt>
                <c:pt idx="2727">
                  <c:v>88.97686</c:v>
                </c:pt>
                <c:pt idx="2728">
                  <c:v>88.97592</c:v>
                </c:pt>
                <c:pt idx="2729">
                  <c:v>88.97403000000001</c:v>
                </c:pt>
                <c:pt idx="2730">
                  <c:v>88.97303</c:v>
                </c:pt>
                <c:pt idx="2731">
                  <c:v>88.97207999999995</c:v>
                </c:pt>
                <c:pt idx="2732">
                  <c:v>88.9702</c:v>
                </c:pt>
                <c:pt idx="2733">
                  <c:v>88.96919</c:v>
                </c:pt>
                <c:pt idx="2734">
                  <c:v>88.96637000000001</c:v>
                </c:pt>
                <c:pt idx="2735">
                  <c:v>88.96536</c:v>
                </c:pt>
                <c:pt idx="2736">
                  <c:v>88.96442</c:v>
                </c:pt>
                <c:pt idx="2737">
                  <c:v>88.96348</c:v>
                </c:pt>
                <c:pt idx="2738">
                  <c:v>88.96253</c:v>
                </c:pt>
                <c:pt idx="2739">
                  <c:v>88.96253</c:v>
                </c:pt>
                <c:pt idx="2740">
                  <c:v>88.95581</c:v>
                </c:pt>
                <c:pt idx="2741">
                  <c:v>88.95581</c:v>
                </c:pt>
                <c:pt idx="2742">
                  <c:v>88.95581</c:v>
                </c:pt>
                <c:pt idx="2743">
                  <c:v>88.95964</c:v>
                </c:pt>
                <c:pt idx="2744">
                  <c:v>88.95769</c:v>
                </c:pt>
                <c:pt idx="2745">
                  <c:v>88.95487</c:v>
                </c:pt>
                <c:pt idx="2746">
                  <c:v>88.95197</c:v>
                </c:pt>
                <c:pt idx="2747">
                  <c:v>88.95097000000001</c:v>
                </c:pt>
                <c:pt idx="2748">
                  <c:v>88.94908</c:v>
                </c:pt>
                <c:pt idx="2749">
                  <c:v>88.94814</c:v>
                </c:pt>
                <c:pt idx="2750">
                  <c:v>88.94619</c:v>
                </c:pt>
                <c:pt idx="2751">
                  <c:v>88.94525</c:v>
                </c:pt>
                <c:pt idx="2752">
                  <c:v>88.94525</c:v>
                </c:pt>
                <c:pt idx="2753">
                  <c:v>88.94431</c:v>
                </c:pt>
                <c:pt idx="2754">
                  <c:v>88.94142</c:v>
                </c:pt>
                <c:pt idx="2755">
                  <c:v>88.94047</c:v>
                </c:pt>
                <c:pt idx="2756">
                  <c:v>88.93947</c:v>
                </c:pt>
                <c:pt idx="2757">
                  <c:v>88.93852</c:v>
                </c:pt>
                <c:pt idx="2758">
                  <c:v>88.93664</c:v>
                </c:pt>
                <c:pt idx="2759">
                  <c:v>88.93563</c:v>
                </c:pt>
                <c:pt idx="2760">
                  <c:v>88.93375</c:v>
                </c:pt>
                <c:pt idx="2761">
                  <c:v>88.93281</c:v>
                </c:pt>
                <c:pt idx="2762">
                  <c:v>88.9318</c:v>
                </c:pt>
                <c:pt idx="2763">
                  <c:v>88.93086</c:v>
                </c:pt>
                <c:pt idx="2764">
                  <c:v>88.92991</c:v>
                </c:pt>
                <c:pt idx="2765">
                  <c:v>88.92796</c:v>
                </c:pt>
                <c:pt idx="2766">
                  <c:v>88.92702</c:v>
                </c:pt>
                <c:pt idx="2767">
                  <c:v>88.92608</c:v>
                </c:pt>
                <c:pt idx="2768">
                  <c:v>88.92413</c:v>
                </c:pt>
                <c:pt idx="2769">
                  <c:v>88.92319</c:v>
                </c:pt>
                <c:pt idx="2770">
                  <c:v>88.92131</c:v>
                </c:pt>
                <c:pt idx="2771">
                  <c:v>88.91936</c:v>
                </c:pt>
                <c:pt idx="2772">
                  <c:v>88.91841</c:v>
                </c:pt>
                <c:pt idx="2773">
                  <c:v>88.91741</c:v>
                </c:pt>
                <c:pt idx="2774">
                  <c:v>88.91646</c:v>
                </c:pt>
                <c:pt idx="2775">
                  <c:v>88.91552</c:v>
                </c:pt>
                <c:pt idx="2776">
                  <c:v>88.91458</c:v>
                </c:pt>
                <c:pt idx="2777">
                  <c:v>88.91263</c:v>
                </c:pt>
                <c:pt idx="2778">
                  <c:v>88.91169</c:v>
                </c:pt>
                <c:pt idx="2779">
                  <c:v>88.90974</c:v>
                </c:pt>
                <c:pt idx="2780">
                  <c:v>88.9088</c:v>
                </c:pt>
                <c:pt idx="2781">
                  <c:v>88.90785</c:v>
                </c:pt>
                <c:pt idx="2782">
                  <c:v>88.90691</c:v>
                </c:pt>
                <c:pt idx="2783">
                  <c:v>88.9059</c:v>
                </c:pt>
                <c:pt idx="2784">
                  <c:v>88.90402</c:v>
                </c:pt>
                <c:pt idx="2785">
                  <c:v>88.90308</c:v>
                </c:pt>
                <c:pt idx="2786">
                  <c:v>88.90113</c:v>
                </c:pt>
                <c:pt idx="2787">
                  <c:v>88.90019</c:v>
                </c:pt>
                <c:pt idx="2788">
                  <c:v>88.89925</c:v>
                </c:pt>
                <c:pt idx="2789">
                  <c:v>88.8973</c:v>
                </c:pt>
                <c:pt idx="2790">
                  <c:v>88.8973</c:v>
                </c:pt>
                <c:pt idx="2791">
                  <c:v>88.89635</c:v>
                </c:pt>
                <c:pt idx="2792">
                  <c:v>88.89346</c:v>
                </c:pt>
                <c:pt idx="2793">
                  <c:v>88.89346</c:v>
                </c:pt>
                <c:pt idx="2794">
                  <c:v>88.89252</c:v>
                </c:pt>
                <c:pt idx="2795">
                  <c:v>88.89057</c:v>
                </c:pt>
                <c:pt idx="2796">
                  <c:v>88.88963</c:v>
                </c:pt>
                <c:pt idx="2797">
                  <c:v>88.88868999999998</c:v>
                </c:pt>
                <c:pt idx="2798">
                  <c:v>88.88774999999998</c:v>
                </c:pt>
                <c:pt idx="2799">
                  <c:v>88.88579999999965</c:v>
                </c:pt>
                <c:pt idx="2800">
                  <c:v>88.88485</c:v>
                </c:pt>
                <c:pt idx="2801">
                  <c:v>88.88383999999998</c:v>
                </c:pt>
                <c:pt idx="2802">
                  <c:v>88.88196</c:v>
                </c:pt>
                <c:pt idx="2803">
                  <c:v>88.88102</c:v>
                </c:pt>
                <c:pt idx="2804">
                  <c:v>88.88001</c:v>
                </c:pt>
                <c:pt idx="2805">
                  <c:v>88.87906999999998</c:v>
                </c:pt>
                <c:pt idx="2806">
                  <c:v>88.87812999999998</c:v>
                </c:pt>
                <c:pt idx="2807">
                  <c:v>88.87719</c:v>
                </c:pt>
                <c:pt idx="2808">
                  <c:v>88.87523999999995</c:v>
                </c:pt>
                <c:pt idx="2809">
                  <c:v>88.87523999999995</c:v>
                </c:pt>
                <c:pt idx="2810">
                  <c:v>88.87233999999835</c:v>
                </c:pt>
                <c:pt idx="2811">
                  <c:v>88.87139999999998</c:v>
                </c:pt>
                <c:pt idx="2812">
                  <c:v>88.87045999999998</c:v>
                </c:pt>
                <c:pt idx="2813">
                  <c:v>88.86851</c:v>
                </c:pt>
                <c:pt idx="2814">
                  <c:v>88.86757</c:v>
                </c:pt>
                <c:pt idx="2815">
                  <c:v>88.86663</c:v>
                </c:pt>
                <c:pt idx="2816">
                  <c:v>88.86468</c:v>
                </c:pt>
                <c:pt idx="2817">
                  <c:v>88.86373999999998</c:v>
                </c:pt>
                <c:pt idx="2818">
                  <c:v>88.86468</c:v>
                </c:pt>
                <c:pt idx="2819">
                  <c:v>88.85895999999998</c:v>
                </c:pt>
                <c:pt idx="2820">
                  <c:v>88.85801999999998</c:v>
                </c:pt>
                <c:pt idx="2821">
                  <c:v>88.85701</c:v>
                </c:pt>
                <c:pt idx="2822">
                  <c:v>88.85606999999997</c:v>
                </c:pt>
                <c:pt idx="2823">
                  <c:v>88.85801999999998</c:v>
                </c:pt>
                <c:pt idx="2824">
                  <c:v>88.85801999999998</c:v>
                </c:pt>
                <c:pt idx="2825">
                  <c:v>88.85512999999997</c:v>
                </c:pt>
                <c:pt idx="2826">
                  <c:v>88.85317999999998</c:v>
                </c:pt>
                <c:pt idx="2827">
                  <c:v>88.85034999999998</c:v>
                </c:pt>
                <c:pt idx="2828">
                  <c:v>88.84934</c:v>
                </c:pt>
                <c:pt idx="2829">
                  <c:v>88.8484</c:v>
                </c:pt>
                <c:pt idx="2830">
                  <c:v>88.84746</c:v>
                </c:pt>
                <c:pt idx="2831">
                  <c:v>88.84551</c:v>
                </c:pt>
                <c:pt idx="2832">
                  <c:v>88.84457</c:v>
                </c:pt>
                <c:pt idx="2833">
                  <c:v>88.84363</c:v>
                </c:pt>
                <c:pt idx="2834">
                  <c:v>88.84262</c:v>
                </c:pt>
                <c:pt idx="2835">
                  <c:v>88.84168</c:v>
                </c:pt>
                <c:pt idx="2836">
                  <c:v>88.83978999999998</c:v>
                </c:pt>
                <c:pt idx="2837">
                  <c:v>88.83877999999918</c:v>
                </c:pt>
                <c:pt idx="2838">
                  <c:v>88.8369</c:v>
                </c:pt>
                <c:pt idx="2839">
                  <c:v>88.83596</c:v>
                </c:pt>
                <c:pt idx="2840">
                  <c:v>88.83495</c:v>
                </c:pt>
                <c:pt idx="2841">
                  <c:v>88.83401</c:v>
                </c:pt>
                <c:pt idx="2842">
                  <c:v>88.83213</c:v>
                </c:pt>
                <c:pt idx="2843">
                  <c:v>88.83112</c:v>
                </c:pt>
                <c:pt idx="2844">
                  <c:v>88.82923</c:v>
                </c:pt>
                <c:pt idx="2845">
                  <c:v>88.82923</c:v>
                </c:pt>
                <c:pt idx="2846">
                  <c:v>88.82828999999998</c:v>
                </c:pt>
                <c:pt idx="2847">
                  <c:v>88.82539999999958</c:v>
                </c:pt>
                <c:pt idx="2848">
                  <c:v>88.82446</c:v>
                </c:pt>
                <c:pt idx="2849">
                  <c:v>88.82344999999998</c:v>
                </c:pt>
                <c:pt idx="2850">
                  <c:v>88.82250999999998</c:v>
                </c:pt>
                <c:pt idx="2851">
                  <c:v>88.82157</c:v>
                </c:pt>
                <c:pt idx="2852">
                  <c:v>88.81962</c:v>
                </c:pt>
                <c:pt idx="2853">
                  <c:v>88.81867</c:v>
                </c:pt>
                <c:pt idx="2854">
                  <c:v>88.81773</c:v>
                </c:pt>
                <c:pt idx="2855">
                  <c:v>88.81577999999975</c:v>
                </c:pt>
                <c:pt idx="2856">
                  <c:v>88.81484</c:v>
                </c:pt>
                <c:pt idx="2857">
                  <c:v>88.8139</c:v>
                </c:pt>
                <c:pt idx="2858">
                  <c:v>88.81288999999998</c:v>
                </c:pt>
                <c:pt idx="2859">
                  <c:v>88.81101</c:v>
                </c:pt>
                <c:pt idx="2860">
                  <c:v>88.80906</c:v>
                </c:pt>
                <c:pt idx="2861">
                  <c:v>88.80811</c:v>
                </c:pt>
                <c:pt idx="2862">
                  <c:v>88.80717000000001</c:v>
                </c:pt>
                <c:pt idx="2863">
                  <c:v>88.80623000000001</c:v>
                </c:pt>
                <c:pt idx="2864">
                  <c:v>88.80522</c:v>
                </c:pt>
                <c:pt idx="2865">
                  <c:v>88.80428</c:v>
                </c:pt>
                <c:pt idx="2866">
                  <c:v>88.80239999999995</c:v>
                </c:pt>
                <c:pt idx="2867">
                  <c:v>88.80045</c:v>
                </c:pt>
                <c:pt idx="2868">
                  <c:v>88.80045</c:v>
                </c:pt>
                <c:pt idx="2869">
                  <c:v>88.79856</c:v>
                </c:pt>
                <c:pt idx="2870">
                  <c:v>88.79756</c:v>
                </c:pt>
                <c:pt idx="2871">
                  <c:v>88.79661</c:v>
                </c:pt>
                <c:pt idx="2872">
                  <c:v>88.79473</c:v>
                </c:pt>
                <c:pt idx="2873">
                  <c:v>88.79372</c:v>
                </c:pt>
                <c:pt idx="2874">
                  <c:v>88.79277999999998</c:v>
                </c:pt>
                <c:pt idx="2875">
                  <c:v>88.79184</c:v>
                </c:pt>
                <c:pt idx="2876">
                  <c:v>88.7909</c:v>
                </c:pt>
                <c:pt idx="2877">
                  <c:v>88.78895</c:v>
                </c:pt>
                <c:pt idx="2878">
                  <c:v>88.78801</c:v>
                </c:pt>
                <c:pt idx="2879">
                  <c:v>88.78706</c:v>
                </c:pt>
                <c:pt idx="2880">
                  <c:v>88.78605</c:v>
                </c:pt>
                <c:pt idx="2881">
                  <c:v>88.78417</c:v>
                </c:pt>
                <c:pt idx="2882">
                  <c:v>88.78323</c:v>
                </c:pt>
                <c:pt idx="2883">
                  <c:v>88.78128</c:v>
                </c:pt>
                <c:pt idx="2884">
                  <c:v>88.78033999999998</c:v>
                </c:pt>
                <c:pt idx="2885">
                  <c:v>88.77932999999997</c:v>
                </c:pt>
                <c:pt idx="2886">
                  <c:v>88.77745</c:v>
                </c:pt>
                <c:pt idx="2887">
                  <c:v>88.7765</c:v>
                </c:pt>
                <c:pt idx="2888">
                  <c:v>88.77549999999998</c:v>
                </c:pt>
                <c:pt idx="2889">
                  <c:v>88.77361</c:v>
                </c:pt>
                <c:pt idx="2890">
                  <c:v>88.77267</c:v>
                </c:pt>
                <c:pt idx="2891">
                  <c:v>88.77166</c:v>
                </c:pt>
                <c:pt idx="2892">
                  <c:v>88.76977999999998</c:v>
                </c:pt>
                <c:pt idx="2893">
                  <c:v>88.76883999999998</c:v>
                </c:pt>
                <c:pt idx="2894">
                  <c:v>88.76783</c:v>
                </c:pt>
                <c:pt idx="2895">
                  <c:v>88.76595</c:v>
                </c:pt>
                <c:pt idx="2896">
                  <c:v>88.765</c:v>
                </c:pt>
                <c:pt idx="2897">
                  <c:v>88.76305</c:v>
                </c:pt>
                <c:pt idx="2898">
                  <c:v>88.76305</c:v>
                </c:pt>
                <c:pt idx="2899">
                  <c:v>88.76211</c:v>
                </c:pt>
                <c:pt idx="2900">
                  <c:v>88.76016</c:v>
                </c:pt>
                <c:pt idx="2901">
                  <c:v>88.75922</c:v>
                </c:pt>
                <c:pt idx="2902">
                  <c:v>88.76016</c:v>
                </c:pt>
                <c:pt idx="2903">
                  <c:v>88.75155</c:v>
                </c:pt>
                <c:pt idx="2904">
                  <c:v>88.75061</c:v>
                </c:pt>
                <c:pt idx="2905">
                  <c:v>88.75444</c:v>
                </c:pt>
                <c:pt idx="2906">
                  <c:v>88.75538999999995</c:v>
                </c:pt>
                <c:pt idx="2907">
                  <c:v>88.75248999999998</c:v>
                </c:pt>
                <c:pt idx="2908">
                  <c:v>88.75061</c:v>
                </c:pt>
                <c:pt idx="2909">
                  <c:v>88.74866</c:v>
                </c:pt>
                <c:pt idx="2910">
                  <c:v>88.74678</c:v>
                </c:pt>
                <c:pt idx="2911">
                  <c:v>88.74678</c:v>
                </c:pt>
                <c:pt idx="2912">
                  <c:v>88.74577</c:v>
                </c:pt>
                <c:pt idx="2913">
                  <c:v>88.74389</c:v>
                </c:pt>
                <c:pt idx="2914">
                  <c:v>88.74294</c:v>
                </c:pt>
                <c:pt idx="2915">
                  <c:v>88.74099</c:v>
                </c:pt>
                <c:pt idx="2916">
                  <c:v>88.74005</c:v>
                </c:pt>
                <c:pt idx="2917">
                  <c:v>88.74005</c:v>
                </c:pt>
                <c:pt idx="2918">
                  <c:v>88.7381</c:v>
                </c:pt>
                <c:pt idx="2919">
                  <c:v>88.73716</c:v>
                </c:pt>
                <c:pt idx="2920">
                  <c:v>88.73528</c:v>
                </c:pt>
                <c:pt idx="2921">
                  <c:v>88.73427</c:v>
                </c:pt>
                <c:pt idx="2922">
                  <c:v>88.73333</c:v>
                </c:pt>
                <c:pt idx="2923">
                  <c:v>88.73237999999998</c:v>
                </c:pt>
                <c:pt idx="2924">
                  <c:v>88.73144</c:v>
                </c:pt>
                <c:pt idx="2925">
                  <c:v>88.72949</c:v>
                </c:pt>
                <c:pt idx="2926">
                  <c:v>88.72855</c:v>
                </c:pt>
                <c:pt idx="2927">
                  <c:v>88.72761</c:v>
                </c:pt>
                <c:pt idx="2928">
                  <c:v>88.72566</c:v>
                </c:pt>
                <c:pt idx="2929">
                  <c:v>88.72472</c:v>
                </c:pt>
                <c:pt idx="2930">
                  <c:v>88.72377999999995</c:v>
                </c:pt>
                <c:pt idx="2931">
                  <c:v>88.72183</c:v>
                </c:pt>
                <c:pt idx="2932">
                  <c:v>88.71994</c:v>
                </c:pt>
                <c:pt idx="2933">
                  <c:v>88.71893</c:v>
                </c:pt>
                <c:pt idx="2934">
                  <c:v>88.71799</c:v>
                </c:pt>
                <c:pt idx="2935">
                  <c:v>88.71705</c:v>
                </c:pt>
                <c:pt idx="2936">
                  <c:v>88.7151</c:v>
                </c:pt>
                <c:pt idx="2937">
                  <c:v>88.71416</c:v>
                </c:pt>
                <c:pt idx="2938">
                  <c:v>88.71322</c:v>
                </c:pt>
                <c:pt idx="2939">
                  <c:v>88.71221</c:v>
                </c:pt>
                <c:pt idx="2940">
                  <c:v>88.71127000000002</c:v>
                </c:pt>
                <c:pt idx="2941">
                  <c:v>88.70937999999998</c:v>
                </c:pt>
                <c:pt idx="2942">
                  <c:v>88.70836999999997</c:v>
                </c:pt>
                <c:pt idx="2943">
                  <c:v>88.70836999999997</c:v>
                </c:pt>
                <c:pt idx="2944">
                  <c:v>88.70555</c:v>
                </c:pt>
                <c:pt idx="2945">
                  <c:v>88.70454</c:v>
                </c:pt>
                <c:pt idx="2946">
                  <c:v>88.70266</c:v>
                </c:pt>
                <c:pt idx="2947">
                  <c:v>88.70172</c:v>
                </c:pt>
                <c:pt idx="2948">
                  <c:v>88.69882</c:v>
                </c:pt>
                <c:pt idx="2949">
                  <c:v>88.69499</c:v>
                </c:pt>
                <c:pt idx="2950">
                  <c:v>88.69499</c:v>
                </c:pt>
                <c:pt idx="2951">
                  <c:v>88.69976999999998</c:v>
                </c:pt>
                <c:pt idx="2952">
                  <c:v>88.69788</c:v>
                </c:pt>
                <c:pt idx="2953">
                  <c:v>88.69499</c:v>
                </c:pt>
                <c:pt idx="2954">
                  <c:v>88.69303999999998</c:v>
                </c:pt>
                <c:pt idx="2955">
                  <c:v>88.69209999999998</c:v>
                </c:pt>
                <c:pt idx="2956">
                  <c:v>88.69022</c:v>
                </c:pt>
                <c:pt idx="2957">
                  <c:v>88.68921</c:v>
                </c:pt>
                <c:pt idx="2958">
                  <c:v>88.68732</c:v>
                </c:pt>
                <c:pt idx="2959">
                  <c:v>88.68732</c:v>
                </c:pt>
                <c:pt idx="2960">
                  <c:v>88.68536999999998</c:v>
                </c:pt>
                <c:pt idx="2961">
                  <c:v>88.68443</c:v>
                </c:pt>
                <c:pt idx="2962">
                  <c:v>88.68254999999998</c:v>
                </c:pt>
                <c:pt idx="2963">
                  <c:v>88.6806</c:v>
                </c:pt>
                <c:pt idx="2964">
                  <c:v>88.6806</c:v>
                </c:pt>
                <c:pt idx="2965">
                  <c:v>88.67966</c:v>
                </c:pt>
                <c:pt idx="2966">
                  <c:v>88.67770999999995</c:v>
                </c:pt>
                <c:pt idx="2967">
                  <c:v>88.67675999999948</c:v>
                </c:pt>
                <c:pt idx="2968">
                  <c:v>88.67581999999948</c:v>
                </c:pt>
                <c:pt idx="2969">
                  <c:v>88.67386999999998</c:v>
                </c:pt>
                <c:pt idx="2970">
                  <c:v>88.67292999999998</c:v>
                </c:pt>
                <c:pt idx="2971">
                  <c:v>88.67097999999918</c:v>
                </c:pt>
                <c:pt idx="2972">
                  <c:v>88.67097999999918</c:v>
                </c:pt>
                <c:pt idx="2973">
                  <c:v>88.6691</c:v>
                </c:pt>
                <c:pt idx="2974">
                  <c:v>88.66816</c:v>
                </c:pt>
                <c:pt idx="2975">
                  <c:v>88.66715</c:v>
                </c:pt>
                <c:pt idx="2976">
                  <c:v>88.66621</c:v>
                </c:pt>
                <c:pt idx="2977">
                  <c:v>88.66526</c:v>
                </c:pt>
                <c:pt idx="2978">
                  <c:v>88.66330999999998</c:v>
                </c:pt>
                <c:pt idx="2979">
                  <c:v>88.66236999999998</c:v>
                </c:pt>
                <c:pt idx="2980">
                  <c:v>88.66143</c:v>
                </c:pt>
                <c:pt idx="2981">
                  <c:v>88.65947999999958</c:v>
                </c:pt>
                <c:pt idx="2982">
                  <c:v>88.65853999999958</c:v>
                </c:pt>
                <c:pt idx="2983">
                  <c:v>88.65665</c:v>
                </c:pt>
                <c:pt idx="2984">
                  <c:v>88.6547</c:v>
                </c:pt>
                <c:pt idx="2985">
                  <c:v>88.64993000000001</c:v>
                </c:pt>
                <c:pt idx="2986">
                  <c:v>88.65086999999998</c:v>
                </c:pt>
                <c:pt idx="2987">
                  <c:v>88.65086999999998</c:v>
                </c:pt>
                <c:pt idx="2988">
                  <c:v>88.65665</c:v>
                </c:pt>
                <c:pt idx="2989">
                  <c:v>88.65281999999995</c:v>
                </c:pt>
                <c:pt idx="2990">
                  <c:v>88.64993000000001</c:v>
                </c:pt>
                <c:pt idx="2991">
                  <c:v>88.64798</c:v>
                </c:pt>
                <c:pt idx="2992">
                  <c:v>88.64704</c:v>
                </c:pt>
                <c:pt idx="2993">
                  <c:v>88.64515</c:v>
                </c:pt>
                <c:pt idx="2994">
                  <c:v>88.6432</c:v>
                </c:pt>
                <c:pt idx="2995">
                  <c:v>88.6432</c:v>
                </c:pt>
                <c:pt idx="2996">
                  <c:v>88.64125</c:v>
                </c:pt>
                <c:pt idx="2997">
                  <c:v>88.63936999999998</c:v>
                </c:pt>
                <c:pt idx="2998">
                  <c:v>88.63742</c:v>
                </c:pt>
                <c:pt idx="2999">
                  <c:v>88.63647999999998</c:v>
                </c:pt>
                <c:pt idx="3000">
                  <c:v>88.63553999999998</c:v>
                </c:pt>
                <c:pt idx="3001">
                  <c:v>88.6346</c:v>
                </c:pt>
                <c:pt idx="3002">
                  <c:v>88.63263999999998</c:v>
                </c:pt>
                <c:pt idx="3003">
                  <c:v>88.6317</c:v>
                </c:pt>
                <c:pt idx="3004">
                  <c:v>88.63075999999998</c:v>
                </c:pt>
                <c:pt idx="3005">
                  <c:v>88.62974999999938</c:v>
                </c:pt>
                <c:pt idx="3006">
                  <c:v>88.62880999999948</c:v>
                </c:pt>
                <c:pt idx="3007">
                  <c:v>88.62786999999997</c:v>
                </c:pt>
                <c:pt idx="3008">
                  <c:v>88.62497999999998</c:v>
                </c:pt>
                <c:pt idx="3009">
                  <c:v>88.62497999999998</c:v>
                </c:pt>
                <c:pt idx="3010">
                  <c:v>88.62403999999998</c:v>
                </c:pt>
                <c:pt idx="3011">
                  <c:v>88.61926</c:v>
                </c:pt>
                <c:pt idx="3012">
                  <c:v>88.61731</c:v>
                </c:pt>
                <c:pt idx="3013">
                  <c:v>88.61731</c:v>
                </c:pt>
                <c:pt idx="3014">
                  <c:v>88.61636999999997</c:v>
                </c:pt>
                <c:pt idx="3015">
                  <c:v>88.61636999999997</c:v>
                </c:pt>
                <c:pt idx="3016">
                  <c:v>88.61636999999997</c:v>
                </c:pt>
                <c:pt idx="3017">
                  <c:v>88.61542999999997</c:v>
                </c:pt>
                <c:pt idx="3018">
                  <c:v>88.61636999999997</c:v>
                </c:pt>
                <c:pt idx="3019">
                  <c:v>88.61347999999998</c:v>
                </c:pt>
                <c:pt idx="3020">
                  <c:v>88.61159</c:v>
                </c:pt>
                <c:pt idx="3021">
                  <c:v>88.61159</c:v>
                </c:pt>
                <c:pt idx="3022">
                  <c:v>88.60869999999998</c:v>
                </c:pt>
                <c:pt idx="3023">
                  <c:v>88.60580999999995</c:v>
                </c:pt>
                <c:pt idx="3024">
                  <c:v>88.60487</c:v>
                </c:pt>
                <c:pt idx="3025">
                  <c:v>88.60487</c:v>
                </c:pt>
                <c:pt idx="3026">
                  <c:v>88.60385999999998</c:v>
                </c:pt>
                <c:pt idx="3027">
                  <c:v>88.60198</c:v>
                </c:pt>
                <c:pt idx="3028">
                  <c:v>88.60103</c:v>
                </c:pt>
                <c:pt idx="3029">
                  <c:v>88.60002999999997</c:v>
                </c:pt>
                <c:pt idx="3030">
                  <c:v>88.59908</c:v>
                </c:pt>
                <c:pt idx="3031">
                  <c:v>88.59814</c:v>
                </c:pt>
                <c:pt idx="3032">
                  <c:v>88.5972</c:v>
                </c:pt>
                <c:pt idx="3033">
                  <c:v>88.59525</c:v>
                </c:pt>
                <c:pt idx="3034">
                  <c:v>88.59337</c:v>
                </c:pt>
                <c:pt idx="3035">
                  <c:v>88.59236</c:v>
                </c:pt>
                <c:pt idx="3036">
                  <c:v>88.59142</c:v>
                </c:pt>
                <c:pt idx="3037">
                  <c:v>88.59048</c:v>
                </c:pt>
                <c:pt idx="3038">
                  <c:v>88.58953</c:v>
                </c:pt>
                <c:pt idx="3039">
                  <c:v>88.58758</c:v>
                </c:pt>
                <c:pt idx="3040">
                  <c:v>88.58569999999997</c:v>
                </c:pt>
                <c:pt idx="3041">
                  <c:v>88.58469</c:v>
                </c:pt>
                <c:pt idx="3042">
                  <c:v>88.58280999999998</c:v>
                </c:pt>
                <c:pt idx="3043">
                  <c:v>88.58280999999998</c:v>
                </c:pt>
                <c:pt idx="3044">
                  <c:v>88.58086</c:v>
                </c:pt>
                <c:pt idx="3045">
                  <c:v>88.57896999999998</c:v>
                </c:pt>
                <c:pt idx="3046">
                  <c:v>88.57896999999998</c:v>
                </c:pt>
                <c:pt idx="3047">
                  <c:v>88.57802999999998</c:v>
                </c:pt>
                <c:pt idx="3048">
                  <c:v>88.57702</c:v>
                </c:pt>
                <c:pt idx="3049">
                  <c:v>88.57513999999995</c:v>
                </c:pt>
                <c:pt idx="3050">
                  <c:v>88.57318999999998</c:v>
                </c:pt>
                <c:pt idx="3051">
                  <c:v>88.57318999999998</c:v>
                </c:pt>
                <c:pt idx="3052">
                  <c:v>88.57130999999998</c:v>
                </c:pt>
                <c:pt idx="3053">
                  <c:v>88.56936</c:v>
                </c:pt>
                <c:pt idx="3054">
                  <c:v>88.56936</c:v>
                </c:pt>
                <c:pt idx="3055">
                  <c:v>88.56647</c:v>
                </c:pt>
                <c:pt idx="3056">
                  <c:v>88.56647</c:v>
                </c:pt>
                <c:pt idx="3057">
                  <c:v>88.56552</c:v>
                </c:pt>
                <c:pt idx="3058">
                  <c:v>88.56364</c:v>
                </c:pt>
                <c:pt idx="3059">
                  <c:v>88.56263000000001</c:v>
                </c:pt>
                <c:pt idx="3060">
                  <c:v>88.56075</c:v>
                </c:pt>
                <c:pt idx="3061">
                  <c:v>88.55981</c:v>
                </c:pt>
                <c:pt idx="3062">
                  <c:v>88.55879999999995</c:v>
                </c:pt>
                <c:pt idx="3063">
                  <c:v>88.55786</c:v>
                </c:pt>
                <c:pt idx="3064">
                  <c:v>88.55596999999997</c:v>
                </c:pt>
                <c:pt idx="3065">
                  <c:v>88.55402</c:v>
                </c:pt>
                <c:pt idx="3066">
                  <c:v>88.55307999999998</c:v>
                </c:pt>
                <c:pt idx="3067">
                  <c:v>88.55113</c:v>
                </c:pt>
                <c:pt idx="3068">
                  <c:v>88.55113</c:v>
                </c:pt>
                <c:pt idx="3069">
                  <c:v>88.54925</c:v>
                </c:pt>
                <c:pt idx="3070">
                  <c:v>88.54925</c:v>
                </c:pt>
                <c:pt idx="3071">
                  <c:v>88.5473</c:v>
                </c:pt>
                <c:pt idx="3072">
                  <c:v>88.54541</c:v>
                </c:pt>
                <c:pt idx="3073">
                  <c:v>88.54447</c:v>
                </c:pt>
                <c:pt idx="3074">
                  <c:v>88.54252</c:v>
                </c:pt>
                <c:pt idx="3075">
                  <c:v>88.54158</c:v>
                </c:pt>
                <c:pt idx="3076">
                  <c:v>88.54057</c:v>
                </c:pt>
                <c:pt idx="3077">
                  <c:v>88.53963</c:v>
                </c:pt>
                <c:pt idx="3078">
                  <c:v>88.53869</c:v>
                </c:pt>
                <c:pt idx="3079">
                  <c:v>88.53673999999998</c:v>
                </c:pt>
                <c:pt idx="3080">
                  <c:v>88.53579999999998</c:v>
                </c:pt>
                <c:pt idx="3081">
                  <c:v>88.53391</c:v>
                </c:pt>
                <c:pt idx="3082">
                  <c:v>88.5329</c:v>
                </c:pt>
                <c:pt idx="3083">
                  <c:v>88.53196</c:v>
                </c:pt>
                <c:pt idx="3084">
                  <c:v>88.53008</c:v>
                </c:pt>
                <c:pt idx="3085">
                  <c:v>88.53008</c:v>
                </c:pt>
                <c:pt idx="3086">
                  <c:v>88.52813</c:v>
                </c:pt>
                <c:pt idx="3087">
                  <c:v>88.52719</c:v>
                </c:pt>
                <c:pt idx="3088">
                  <c:v>88.52523999999998</c:v>
                </c:pt>
                <c:pt idx="3089">
                  <c:v>88.5243</c:v>
                </c:pt>
                <c:pt idx="3090">
                  <c:v>88.5243</c:v>
                </c:pt>
                <c:pt idx="3091">
                  <c:v>88.52240999999998</c:v>
                </c:pt>
                <c:pt idx="3092">
                  <c:v>88.5214</c:v>
                </c:pt>
                <c:pt idx="3093">
                  <c:v>88.51952</c:v>
                </c:pt>
                <c:pt idx="3094">
                  <c:v>88.51757</c:v>
                </c:pt>
                <c:pt idx="3095">
                  <c:v>88.51663</c:v>
                </c:pt>
                <c:pt idx="3096">
                  <c:v>88.51569</c:v>
                </c:pt>
                <c:pt idx="3097">
                  <c:v>88.5128</c:v>
                </c:pt>
                <c:pt idx="3098">
                  <c:v>88.5128</c:v>
                </c:pt>
                <c:pt idx="3099">
                  <c:v>88.51185</c:v>
                </c:pt>
                <c:pt idx="3100">
                  <c:v>88.5099</c:v>
                </c:pt>
                <c:pt idx="3101">
                  <c:v>88.50896</c:v>
                </c:pt>
                <c:pt idx="3102">
                  <c:v>88.50701</c:v>
                </c:pt>
                <c:pt idx="3103">
                  <c:v>88.50607</c:v>
                </c:pt>
                <c:pt idx="3104">
                  <c:v>88.50513</c:v>
                </c:pt>
                <c:pt idx="3105">
                  <c:v>88.50318</c:v>
                </c:pt>
                <c:pt idx="3106">
                  <c:v>88.50318</c:v>
                </c:pt>
                <c:pt idx="3107">
                  <c:v>88.50129</c:v>
                </c:pt>
                <c:pt idx="3108">
                  <c:v>88.50034999999998</c:v>
                </c:pt>
                <c:pt idx="3109">
                  <c:v>88.49934</c:v>
                </c:pt>
                <c:pt idx="3110">
                  <c:v>88.4984</c:v>
                </c:pt>
                <c:pt idx="3111">
                  <c:v>88.49652</c:v>
                </c:pt>
                <c:pt idx="3112">
                  <c:v>88.49551</c:v>
                </c:pt>
                <c:pt idx="3113">
                  <c:v>88.49457</c:v>
                </c:pt>
                <c:pt idx="3114">
                  <c:v>88.49269</c:v>
                </c:pt>
                <c:pt idx="3115">
                  <c:v>88.49168</c:v>
                </c:pt>
                <c:pt idx="3116">
                  <c:v>88.49074</c:v>
                </c:pt>
                <c:pt idx="3117">
                  <c:v>88.48979</c:v>
                </c:pt>
                <c:pt idx="3118">
                  <c:v>88.48784</c:v>
                </c:pt>
                <c:pt idx="3119">
                  <c:v>88.48596</c:v>
                </c:pt>
                <c:pt idx="3120">
                  <c:v>88.48502</c:v>
                </c:pt>
                <c:pt idx="3121">
                  <c:v>88.48401</c:v>
                </c:pt>
                <c:pt idx="3122">
                  <c:v>88.48307000000001</c:v>
                </c:pt>
                <c:pt idx="3123">
                  <c:v>88.48213000000001</c:v>
                </c:pt>
                <c:pt idx="3124">
                  <c:v>88.48018</c:v>
                </c:pt>
                <c:pt idx="3125">
                  <c:v>88.47923</c:v>
                </c:pt>
                <c:pt idx="3126">
                  <c:v>88.47829</c:v>
                </c:pt>
                <c:pt idx="3127">
                  <c:v>88.47735</c:v>
                </c:pt>
                <c:pt idx="3128">
                  <c:v>88.47539999999998</c:v>
                </c:pt>
                <c:pt idx="3129">
                  <c:v>88.47446</c:v>
                </c:pt>
                <c:pt idx="3130">
                  <c:v>88.47251</c:v>
                </c:pt>
                <c:pt idx="3131">
                  <c:v>88.47157</c:v>
                </c:pt>
                <c:pt idx="3132">
                  <c:v>88.47063</c:v>
                </c:pt>
                <c:pt idx="3133">
                  <c:v>88.46868</c:v>
                </c:pt>
                <c:pt idx="3134">
                  <c:v>88.46773</c:v>
                </c:pt>
                <c:pt idx="3135">
                  <c:v>88.46679</c:v>
                </c:pt>
                <c:pt idx="3136">
                  <c:v>88.46484</c:v>
                </c:pt>
                <c:pt idx="3137">
                  <c:v>88.4639</c:v>
                </c:pt>
                <c:pt idx="3138">
                  <c:v>88.46195</c:v>
                </c:pt>
                <c:pt idx="3139">
                  <c:v>88.46007</c:v>
                </c:pt>
                <c:pt idx="3140">
                  <c:v>88.45913</c:v>
                </c:pt>
                <c:pt idx="3141">
                  <c:v>88.45913</c:v>
                </c:pt>
                <c:pt idx="3142">
                  <c:v>88.45717</c:v>
                </c:pt>
                <c:pt idx="3143">
                  <c:v>88.45529</c:v>
                </c:pt>
                <c:pt idx="3144">
                  <c:v>88.45428</c:v>
                </c:pt>
                <c:pt idx="3145">
                  <c:v>88.45428</c:v>
                </c:pt>
                <c:pt idx="3146">
                  <c:v>88.45239999999998</c:v>
                </c:pt>
                <c:pt idx="3147">
                  <c:v>88.45045</c:v>
                </c:pt>
                <c:pt idx="3148">
                  <c:v>88.44951</c:v>
                </c:pt>
                <c:pt idx="3149">
                  <c:v>88.44857</c:v>
                </c:pt>
                <c:pt idx="3150">
                  <c:v>88.44762</c:v>
                </c:pt>
                <c:pt idx="3151">
                  <c:v>88.44662</c:v>
                </c:pt>
                <c:pt idx="3152">
                  <c:v>88.44473</c:v>
                </c:pt>
                <c:pt idx="3153">
                  <c:v>88.44379</c:v>
                </c:pt>
                <c:pt idx="3154">
                  <c:v>88.44184</c:v>
                </c:pt>
                <c:pt idx="3155">
                  <c:v>88.4409</c:v>
                </c:pt>
                <c:pt idx="3156">
                  <c:v>88.43895</c:v>
                </c:pt>
                <c:pt idx="3157">
                  <c:v>88.43895</c:v>
                </c:pt>
                <c:pt idx="3158">
                  <c:v>88.43801</c:v>
                </c:pt>
                <c:pt idx="3159">
                  <c:v>88.43707</c:v>
                </c:pt>
                <c:pt idx="3160">
                  <c:v>88.43417</c:v>
                </c:pt>
                <c:pt idx="3161">
                  <c:v>88.43323</c:v>
                </c:pt>
                <c:pt idx="3162">
                  <c:v>88.43222</c:v>
                </c:pt>
                <c:pt idx="3163">
                  <c:v>88.43128</c:v>
                </c:pt>
                <c:pt idx="3164">
                  <c:v>88.4294</c:v>
                </c:pt>
                <c:pt idx="3165">
                  <c:v>88.42838999999998</c:v>
                </c:pt>
                <c:pt idx="3166">
                  <c:v>88.42745</c:v>
                </c:pt>
                <c:pt idx="3167">
                  <c:v>88.42556</c:v>
                </c:pt>
                <c:pt idx="3168">
                  <c:v>88.42456</c:v>
                </c:pt>
                <c:pt idx="3169">
                  <c:v>88.42361</c:v>
                </c:pt>
                <c:pt idx="3170">
                  <c:v>88.42267</c:v>
                </c:pt>
                <c:pt idx="3171">
                  <c:v>88.42173</c:v>
                </c:pt>
                <c:pt idx="3172">
                  <c:v>88.41978</c:v>
                </c:pt>
                <c:pt idx="3173">
                  <c:v>88.41884</c:v>
                </c:pt>
                <c:pt idx="3174">
                  <c:v>88.4179</c:v>
                </c:pt>
                <c:pt idx="3175">
                  <c:v>88.41595</c:v>
                </c:pt>
                <c:pt idx="3176">
                  <c:v>88.41406</c:v>
                </c:pt>
                <c:pt idx="3177">
                  <c:v>88.41305</c:v>
                </c:pt>
                <c:pt idx="3178">
                  <c:v>88.41211</c:v>
                </c:pt>
                <c:pt idx="3179">
                  <c:v>88.41117000000002</c:v>
                </c:pt>
                <c:pt idx="3180">
                  <c:v>88.41023000000002</c:v>
                </c:pt>
                <c:pt idx="3181">
                  <c:v>88.40828</c:v>
                </c:pt>
                <c:pt idx="3182">
                  <c:v>88.4064</c:v>
                </c:pt>
                <c:pt idx="3183">
                  <c:v>88.40538999999998</c:v>
                </c:pt>
                <c:pt idx="3184">
                  <c:v>88.40445</c:v>
                </c:pt>
                <c:pt idx="3185">
                  <c:v>88.4025</c:v>
                </c:pt>
                <c:pt idx="3186">
                  <c:v>88.40061</c:v>
                </c:pt>
                <c:pt idx="3187">
                  <c:v>88.40061</c:v>
                </c:pt>
                <c:pt idx="3188">
                  <c:v>88.39866</c:v>
                </c:pt>
                <c:pt idx="3189">
                  <c:v>88.39866</c:v>
                </c:pt>
                <c:pt idx="3190">
                  <c:v>88.39677999999998</c:v>
                </c:pt>
                <c:pt idx="3191">
                  <c:v>88.39583999999998</c:v>
                </c:pt>
                <c:pt idx="3192">
                  <c:v>88.39483000000001</c:v>
                </c:pt>
                <c:pt idx="3193">
                  <c:v>88.39295</c:v>
                </c:pt>
                <c:pt idx="3194">
                  <c:v>88.391</c:v>
                </c:pt>
                <c:pt idx="3195">
                  <c:v>88.391</c:v>
                </c:pt>
                <c:pt idx="3196">
                  <c:v>88.38911</c:v>
                </c:pt>
                <c:pt idx="3197">
                  <c:v>88.38716</c:v>
                </c:pt>
                <c:pt idx="3198">
                  <c:v>88.38527999999998</c:v>
                </c:pt>
                <c:pt idx="3199">
                  <c:v>88.38527999999998</c:v>
                </c:pt>
                <c:pt idx="3200">
                  <c:v>88.38332999999998</c:v>
                </c:pt>
                <c:pt idx="3201">
                  <c:v>88.38238999999938</c:v>
                </c:pt>
                <c:pt idx="3202">
                  <c:v>88.3805</c:v>
                </c:pt>
                <c:pt idx="3203">
                  <c:v>88.37854999999985</c:v>
                </c:pt>
                <c:pt idx="3204">
                  <c:v>88.37854999999985</c:v>
                </c:pt>
                <c:pt idx="3205">
                  <c:v>88.37667</c:v>
                </c:pt>
                <c:pt idx="3206">
                  <c:v>88.37667</c:v>
                </c:pt>
                <c:pt idx="3207">
                  <c:v>88.37565999999998</c:v>
                </c:pt>
                <c:pt idx="3208">
                  <c:v>88.37471999999998</c:v>
                </c:pt>
                <c:pt idx="3209">
                  <c:v>88.37182999999997</c:v>
                </c:pt>
                <c:pt idx="3210">
                  <c:v>88.37182999999997</c:v>
                </c:pt>
                <c:pt idx="3211">
                  <c:v>88.36994</c:v>
                </c:pt>
                <c:pt idx="3212">
                  <c:v>88.36893999999998</c:v>
                </c:pt>
                <c:pt idx="3213">
                  <c:v>88.36799</c:v>
                </c:pt>
                <c:pt idx="3214">
                  <c:v>88.36611</c:v>
                </c:pt>
                <c:pt idx="3215">
                  <c:v>88.36416</c:v>
                </c:pt>
                <c:pt idx="3216">
                  <c:v>88.36322</c:v>
                </c:pt>
                <c:pt idx="3217">
                  <c:v>88.36228</c:v>
                </c:pt>
                <c:pt idx="3218">
                  <c:v>88.36033</c:v>
                </c:pt>
                <c:pt idx="3219">
                  <c:v>88.35937999999948</c:v>
                </c:pt>
                <c:pt idx="3220">
                  <c:v>88.35843999999948</c:v>
                </c:pt>
                <c:pt idx="3221">
                  <c:v>88.35743</c:v>
                </c:pt>
                <c:pt idx="3222">
                  <c:v>88.35461</c:v>
                </c:pt>
                <c:pt idx="3223">
                  <c:v>88.3536</c:v>
                </c:pt>
                <c:pt idx="3224">
                  <c:v>88.35266</c:v>
                </c:pt>
                <c:pt idx="3225">
                  <c:v>88.35172</c:v>
                </c:pt>
                <c:pt idx="3226">
                  <c:v>88.35077999999918</c:v>
                </c:pt>
                <c:pt idx="3227">
                  <c:v>88.34883</c:v>
                </c:pt>
                <c:pt idx="3228">
                  <c:v>88.34694</c:v>
                </c:pt>
                <c:pt idx="3229">
                  <c:v>88.34593</c:v>
                </c:pt>
                <c:pt idx="3230">
                  <c:v>88.34499</c:v>
                </c:pt>
                <c:pt idx="3231">
                  <c:v>88.34311</c:v>
                </c:pt>
                <c:pt idx="3232">
                  <c:v>88.3421</c:v>
                </c:pt>
                <c:pt idx="3233">
                  <c:v>88.34022</c:v>
                </c:pt>
                <c:pt idx="3234">
                  <c:v>88.34022</c:v>
                </c:pt>
                <c:pt idx="3235">
                  <c:v>88.33827</c:v>
                </c:pt>
                <c:pt idx="3236">
                  <c:v>88.33732</c:v>
                </c:pt>
                <c:pt idx="3237">
                  <c:v>88.33536999999998</c:v>
                </c:pt>
                <c:pt idx="3238">
                  <c:v>88.33443000000001</c:v>
                </c:pt>
                <c:pt idx="3239">
                  <c:v>88.33255</c:v>
                </c:pt>
                <c:pt idx="3240">
                  <c:v>88.3306</c:v>
                </c:pt>
                <c:pt idx="3241">
                  <c:v>88.32966</c:v>
                </c:pt>
                <c:pt idx="3242">
                  <c:v>88.32871999999985</c:v>
                </c:pt>
                <c:pt idx="3243">
                  <c:v>88.32770999999998</c:v>
                </c:pt>
                <c:pt idx="3244">
                  <c:v>88.32676999999998</c:v>
                </c:pt>
                <c:pt idx="3245">
                  <c:v>88.32487999999998</c:v>
                </c:pt>
                <c:pt idx="3246">
                  <c:v>88.32386999999998</c:v>
                </c:pt>
                <c:pt idx="3247">
                  <c:v>88.32292999999998</c:v>
                </c:pt>
                <c:pt idx="3248">
                  <c:v>88.32105</c:v>
                </c:pt>
                <c:pt idx="3249">
                  <c:v>88.32003999999995</c:v>
                </c:pt>
                <c:pt idx="3250">
                  <c:v>88.3191</c:v>
                </c:pt>
                <c:pt idx="3251">
                  <c:v>88.31816</c:v>
                </c:pt>
                <c:pt idx="3252">
                  <c:v>88.31722</c:v>
                </c:pt>
                <c:pt idx="3253">
                  <c:v>88.31527000000001</c:v>
                </c:pt>
                <c:pt idx="3254">
                  <c:v>88.31432</c:v>
                </c:pt>
                <c:pt idx="3255">
                  <c:v>88.31236999999997</c:v>
                </c:pt>
                <c:pt idx="3256">
                  <c:v>88.31236999999997</c:v>
                </c:pt>
                <c:pt idx="3257">
                  <c:v>88.31049</c:v>
                </c:pt>
                <c:pt idx="3258">
                  <c:v>88.30853999999998</c:v>
                </c:pt>
                <c:pt idx="3259">
                  <c:v>88.3076</c:v>
                </c:pt>
                <c:pt idx="3260">
                  <c:v>88.30570999999995</c:v>
                </c:pt>
                <c:pt idx="3261">
                  <c:v>88.30471</c:v>
                </c:pt>
                <c:pt idx="3262">
                  <c:v>88.30375999999998</c:v>
                </c:pt>
                <c:pt idx="3263">
                  <c:v>88.30181</c:v>
                </c:pt>
                <c:pt idx="3264">
                  <c:v>88.30181</c:v>
                </c:pt>
                <c:pt idx="3265">
                  <c:v>88.2961</c:v>
                </c:pt>
                <c:pt idx="3266">
                  <c:v>88.29516</c:v>
                </c:pt>
                <c:pt idx="3267">
                  <c:v>88.29516</c:v>
                </c:pt>
                <c:pt idx="3268">
                  <c:v>88.29415</c:v>
                </c:pt>
                <c:pt idx="3269">
                  <c:v>88.29415</c:v>
                </c:pt>
                <c:pt idx="3270">
                  <c:v>88.29321</c:v>
                </c:pt>
                <c:pt idx="3271">
                  <c:v>88.29226</c:v>
                </c:pt>
                <c:pt idx="3272">
                  <c:v>88.29132</c:v>
                </c:pt>
                <c:pt idx="3273">
                  <c:v>88.29031</c:v>
                </c:pt>
                <c:pt idx="3274">
                  <c:v>88.28843</c:v>
                </c:pt>
                <c:pt idx="3275">
                  <c:v>88.28749</c:v>
                </c:pt>
                <c:pt idx="3276">
                  <c:v>88.28553999999998</c:v>
                </c:pt>
                <c:pt idx="3277">
                  <c:v>88.2846</c:v>
                </c:pt>
                <c:pt idx="3278">
                  <c:v>88.2817</c:v>
                </c:pt>
                <c:pt idx="3279">
                  <c:v>88.2817</c:v>
                </c:pt>
                <c:pt idx="3280">
                  <c:v>88.28076</c:v>
                </c:pt>
                <c:pt idx="3281">
                  <c:v>88.27880999999998</c:v>
                </c:pt>
                <c:pt idx="3282">
                  <c:v>88.27693</c:v>
                </c:pt>
                <c:pt idx="3283">
                  <c:v>88.27598999999998</c:v>
                </c:pt>
                <c:pt idx="3284">
                  <c:v>88.27404</c:v>
                </c:pt>
                <c:pt idx="3285">
                  <c:v>88.2731</c:v>
                </c:pt>
                <c:pt idx="3286">
                  <c:v>88.27214999999998</c:v>
                </c:pt>
                <c:pt idx="3287">
                  <c:v>88.26926</c:v>
                </c:pt>
                <c:pt idx="3288">
                  <c:v>88.26926</c:v>
                </c:pt>
                <c:pt idx="3289">
                  <c:v>88.26832</c:v>
                </c:pt>
                <c:pt idx="3290">
                  <c:v>88.26731</c:v>
                </c:pt>
                <c:pt idx="3291">
                  <c:v>88.26637</c:v>
                </c:pt>
                <c:pt idx="3292">
                  <c:v>88.26442</c:v>
                </c:pt>
                <c:pt idx="3293">
                  <c:v>88.26254</c:v>
                </c:pt>
                <c:pt idx="3294">
                  <c:v>88.2616</c:v>
                </c:pt>
                <c:pt idx="3295">
                  <c:v>88.2616</c:v>
                </c:pt>
                <c:pt idx="3296">
                  <c:v>88.25393</c:v>
                </c:pt>
                <c:pt idx="3297">
                  <c:v>88.25292</c:v>
                </c:pt>
                <c:pt idx="3298">
                  <c:v>88.25393</c:v>
                </c:pt>
                <c:pt idx="3299">
                  <c:v>88.25292</c:v>
                </c:pt>
                <c:pt idx="3300">
                  <c:v>88.25198</c:v>
                </c:pt>
                <c:pt idx="3301">
                  <c:v>88.25198</c:v>
                </c:pt>
                <c:pt idx="3302">
                  <c:v>88.25009</c:v>
                </c:pt>
                <c:pt idx="3303">
                  <c:v>88.24909</c:v>
                </c:pt>
                <c:pt idx="3304">
                  <c:v>88.24814</c:v>
                </c:pt>
                <c:pt idx="3305">
                  <c:v>88.24626</c:v>
                </c:pt>
                <c:pt idx="3306">
                  <c:v>88.24525</c:v>
                </c:pt>
                <c:pt idx="3307">
                  <c:v>88.24525</c:v>
                </c:pt>
                <c:pt idx="3308">
                  <c:v>88.24431</c:v>
                </c:pt>
                <c:pt idx="3309">
                  <c:v>88.24431</c:v>
                </c:pt>
                <c:pt idx="3310">
                  <c:v>88.24337000000001</c:v>
                </c:pt>
                <c:pt idx="3311">
                  <c:v>88.24048</c:v>
                </c:pt>
                <c:pt idx="3312">
                  <c:v>88.23859</c:v>
                </c:pt>
                <c:pt idx="3313">
                  <c:v>88.23664</c:v>
                </c:pt>
                <c:pt idx="3314">
                  <c:v>88.2357</c:v>
                </c:pt>
                <c:pt idx="3315">
                  <c:v>88.23375</c:v>
                </c:pt>
                <c:pt idx="3316">
                  <c:v>88.23281</c:v>
                </c:pt>
                <c:pt idx="3317">
                  <c:v>88.23187</c:v>
                </c:pt>
                <c:pt idx="3318">
                  <c:v>88.23086</c:v>
                </c:pt>
                <c:pt idx="3319">
                  <c:v>88.22897999999998</c:v>
                </c:pt>
                <c:pt idx="3320">
                  <c:v>88.22802999999997</c:v>
                </c:pt>
                <c:pt idx="3321">
                  <c:v>88.22607999999998</c:v>
                </c:pt>
                <c:pt idx="3322">
                  <c:v>88.22513999999998</c:v>
                </c:pt>
                <c:pt idx="3323">
                  <c:v>88.2242</c:v>
                </c:pt>
                <c:pt idx="3324">
                  <c:v>88.22319</c:v>
                </c:pt>
                <c:pt idx="3325">
                  <c:v>88.22131</c:v>
                </c:pt>
                <c:pt idx="3326">
                  <c:v>88.21936</c:v>
                </c:pt>
                <c:pt idx="3327">
                  <c:v>88.21842</c:v>
                </c:pt>
                <c:pt idx="3328">
                  <c:v>88.21653</c:v>
                </c:pt>
                <c:pt idx="3329">
                  <c:v>88.21552</c:v>
                </c:pt>
                <c:pt idx="3330">
                  <c:v>88.21364</c:v>
                </c:pt>
                <c:pt idx="3331">
                  <c:v>88.21270000000001</c:v>
                </c:pt>
                <c:pt idx="3332">
                  <c:v>88.21075</c:v>
                </c:pt>
                <c:pt idx="3333">
                  <c:v>88.20981</c:v>
                </c:pt>
                <c:pt idx="3334">
                  <c:v>88.20887</c:v>
                </c:pt>
                <c:pt idx="3335">
                  <c:v>88.20692</c:v>
                </c:pt>
                <c:pt idx="3336">
                  <c:v>88.20597</c:v>
                </c:pt>
                <c:pt idx="3337">
                  <c:v>88.20503</c:v>
                </c:pt>
                <c:pt idx="3338">
                  <c:v>88.20308</c:v>
                </c:pt>
                <c:pt idx="3339">
                  <c:v>88.20214</c:v>
                </c:pt>
                <c:pt idx="3340">
                  <c:v>88.2012</c:v>
                </c:pt>
                <c:pt idx="3341">
                  <c:v>88.20019</c:v>
                </c:pt>
                <c:pt idx="3342">
                  <c:v>88.19830999999998</c:v>
                </c:pt>
                <c:pt idx="3343">
                  <c:v>88.19730000000001</c:v>
                </c:pt>
                <c:pt idx="3344">
                  <c:v>88.19636</c:v>
                </c:pt>
                <c:pt idx="3345">
                  <c:v>88.19447</c:v>
                </c:pt>
                <c:pt idx="3346">
                  <c:v>88.19252</c:v>
                </c:pt>
                <c:pt idx="3347">
                  <c:v>88.19064</c:v>
                </c:pt>
                <c:pt idx="3348">
                  <c:v>88.19064</c:v>
                </c:pt>
                <c:pt idx="3349">
                  <c:v>88.18868999999998</c:v>
                </c:pt>
                <c:pt idx="3350">
                  <c:v>88.18774999999998</c:v>
                </c:pt>
                <c:pt idx="3351">
                  <c:v>88.18579999999928</c:v>
                </c:pt>
                <c:pt idx="3352">
                  <c:v>88.18486</c:v>
                </c:pt>
                <c:pt idx="3353">
                  <c:v>88.18390999999998</c:v>
                </c:pt>
                <c:pt idx="3354">
                  <c:v>88.18196</c:v>
                </c:pt>
                <c:pt idx="3355">
                  <c:v>88.18102</c:v>
                </c:pt>
                <c:pt idx="3356">
                  <c:v>88.18007999999975</c:v>
                </c:pt>
                <c:pt idx="3357">
                  <c:v>88.17812999999998</c:v>
                </c:pt>
                <c:pt idx="3358">
                  <c:v>88.17718999999998</c:v>
                </c:pt>
                <c:pt idx="3359">
                  <c:v>88.17624999999998</c:v>
                </c:pt>
                <c:pt idx="3360">
                  <c:v>88.17530999999855</c:v>
                </c:pt>
                <c:pt idx="3361">
                  <c:v>88.17429999999997</c:v>
                </c:pt>
                <c:pt idx="3362">
                  <c:v>88.17240999999908</c:v>
                </c:pt>
                <c:pt idx="3363">
                  <c:v>88.17146999999998</c:v>
                </c:pt>
                <c:pt idx="3364">
                  <c:v>88.16952</c:v>
                </c:pt>
                <c:pt idx="3365">
                  <c:v>88.16952</c:v>
                </c:pt>
                <c:pt idx="3366">
                  <c:v>88.16185</c:v>
                </c:pt>
                <c:pt idx="3367">
                  <c:v>88.16185</c:v>
                </c:pt>
                <c:pt idx="3368">
                  <c:v>88.16373999999985</c:v>
                </c:pt>
                <c:pt idx="3369">
                  <c:v>88.16475</c:v>
                </c:pt>
                <c:pt idx="3370">
                  <c:v>88.16091</c:v>
                </c:pt>
                <c:pt idx="3371">
                  <c:v>88.15989999999998</c:v>
                </c:pt>
                <c:pt idx="3372">
                  <c:v>88.15801999999998</c:v>
                </c:pt>
                <c:pt idx="3373">
                  <c:v>88.15707999999998</c:v>
                </c:pt>
                <c:pt idx="3374">
                  <c:v>88.15512999999998</c:v>
                </c:pt>
                <c:pt idx="3375">
                  <c:v>88.15419</c:v>
                </c:pt>
                <c:pt idx="3376">
                  <c:v>88.15223999999998</c:v>
                </c:pt>
                <c:pt idx="3377">
                  <c:v>88.15223999999998</c:v>
                </c:pt>
                <c:pt idx="3378">
                  <c:v>88.15034999999965</c:v>
                </c:pt>
                <c:pt idx="3379">
                  <c:v>88.14839999999998</c:v>
                </c:pt>
                <c:pt idx="3380">
                  <c:v>88.14746</c:v>
                </c:pt>
                <c:pt idx="3381">
                  <c:v>88.14557999999998</c:v>
                </c:pt>
                <c:pt idx="3382">
                  <c:v>88.14363</c:v>
                </c:pt>
                <c:pt idx="3383">
                  <c:v>88.14175</c:v>
                </c:pt>
                <c:pt idx="3384">
                  <c:v>88.14073999999998</c:v>
                </c:pt>
                <c:pt idx="3385">
                  <c:v>88.13978999999995</c:v>
                </c:pt>
                <c:pt idx="3386">
                  <c:v>88.13791</c:v>
                </c:pt>
                <c:pt idx="3387">
                  <c:v>88.13689999999998</c:v>
                </c:pt>
                <c:pt idx="3388">
                  <c:v>88.13595999999998</c:v>
                </c:pt>
                <c:pt idx="3389">
                  <c:v>88.13407999999998</c:v>
                </c:pt>
                <c:pt idx="3390">
                  <c:v>88.13306999999997</c:v>
                </c:pt>
                <c:pt idx="3391">
                  <c:v>88.13212999999997</c:v>
                </c:pt>
                <c:pt idx="3392">
                  <c:v>88.13017999999998</c:v>
                </c:pt>
                <c:pt idx="3393">
                  <c:v>88.12923999999998</c:v>
                </c:pt>
                <c:pt idx="3394">
                  <c:v>88.12734999999998</c:v>
                </c:pt>
                <c:pt idx="3395">
                  <c:v>88.12633999999898</c:v>
                </c:pt>
                <c:pt idx="3396">
                  <c:v>88.12446</c:v>
                </c:pt>
                <c:pt idx="3397">
                  <c:v>88.12250999999995</c:v>
                </c:pt>
                <c:pt idx="3398">
                  <c:v>88.12157</c:v>
                </c:pt>
                <c:pt idx="3399">
                  <c:v>88.11969</c:v>
                </c:pt>
                <c:pt idx="3400">
                  <c:v>88.11868</c:v>
                </c:pt>
                <c:pt idx="3401">
                  <c:v>88.11774</c:v>
                </c:pt>
                <c:pt idx="3402">
                  <c:v>88.11678999999998</c:v>
                </c:pt>
                <c:pt idx="3403">
                  <c:v>88.11484</c:v>
                </c:pt>
                <c:pt idx="3404">
                  <c:v>88.11484</c:v>
                </c:pt>
                <c:pt idx="3405">
                  <c:v>88.11296</c:v>
                </c:pt>
                <c:pt idx="3406">
                  <c:v>88.11101</c:v>
                </c:pt>
                <c:pt idx="3407">
                  <c:v>88.11007</c:v>
                </c:pt>
                <c:pt idx="3408">
                  <c:v>88.10817999999995</c:v>
                </c:pt>
                <c:pt idx="3409">
                  <c:v>88.10718</c:v>
                </c:pt>
                <c:pt idx="3410">
                  <c:v>88.10528999999998</c:v>
                </c:pt>
                <c:pt idx="3411">
                  <c:v>88.10434999999998</c:v>
                </c:pt>
                <c:pt idx="3412">
                  <c:v>88.10239999999965</c:v>
                </c:pt>
                <c:pt idx="3413">
                  <c:v>88.10052</c:v>
                </c:pt>
                <c:pt idx="3414">
                  <c:v>88.09951</c:v>
                </c:pt>
                <c:pt idx="3415">
                  <c:v>88.09857</c:v>
                </c:pt>
                <c:pt idx="3416">
                  <c:v>88.09662</c:v>
                </c:pt>
                <c:pt idx="3417">
                  <c:v>88.09568</c:v>
                </c:pt>
                <c:pt idx="3418">
                  <c:v>88.09473000000001</c:v>
                </c:pt>
                <c:pt idx="3419">
                  <c:v>88.09277999999995</c:v>
                </c:pt>
                <c:pt idx="3420">
                  <c:v>88.09184</c:v>
                </c:pt>
                <c:pt idx="3421">
                  <c:v>88.08996</c:v>
                </c:pt>
                <c:pt idx="3422">
                  <c:v>88.08894999999998</c:v>
                </c:pt>
                <c:pt idx="3423">
                  <c:v>88.08800999999998</c:v>
                </c:pt>
                <c:pt idx="3424">
                  <c:v>88.08707</c:v>
                </c:pt>
                <c:pt idx="3425">
                  <c:v>88.08512</c:v>
                </c:pt>
                <c:pt idx="3426">
                  <c:v>88.08323</c:v>
                </c:pt>
                <c:pt idx="3427">
                  <c:v>88.08229</c:v>
                </c:pt>
                <c:pt idx="3428">
                  <c:v>88.08033999999998</c:v>
                </c:pt>
                <c:pt idx="3429">
                  <c:v>88.07845999999998</c:v>
                </c:pt>
                <c:pt idx="3430">
                  <c:v>88.07745</c:v>
                </c:pt>
                <c:pt idx="3431">
                  <c:v>88.07651</c:v>
                </c:pt>
                <c:pt idx="3432">
                  <c:v>88.07556999999998</c:v>
                </c:pt>
                <c:pt idx="3433">
                  <c:v>88.07362</c:v>
                </c:pt>
                <c:pt idx="3434">
                  <c:v>88.07266999999997</c:v>
                </c:pt>
                <c:pt idx="3435">
                  <c:v>88.07078999999958</c:v>
                </c:pt>
                <c:pt idx="3436">
                  <c:v>88.06977999999998</c:v>
                </c:pt>
                <c:pt idx="3437">
                  <c:v>88.0679</c:v>
                </c:pt>
                <c:pt idx="3438">
                  <c:v>88.06696</c:v>
                </c:pt>
                <c:pt idx="3439">
                  <c:v>88.06595</c:v>
                </c:pt>
                <c:pt idx="3440">
                  <c:v>88.06312</c:v>
                </c:pt>
                <c:pt idx="3441">
                  <c:v>88.06117</c:v>
                </c:pt>
                <c:pt idx="3442">
                  <c:v>88.06023</c:v>
                </c:pt>
                <c:pt idx="3443">
                  <c:v>88.05922</c:v>
                </c:pt>
                <c:pt idx="3444">
                  <c:v>88.05827999999998</c:v>
                </c:pt>
                <c:pt idx="3445">
                  <c:v>88.05639999999998</c:v>
                </c:pt>
                <c:pt idx="3446">
                  <c:v>88.05538999999958</c:v>
                </c:pt>
                <c:pt idx="3447">
                  <c:v>88.05351</c:v>
                </c:pt>
                <c:pt idx="3448">
                  <c:v>88.05256</c:v>
                </c:pt>
                <c:pt idx="3449">
                  <c:v>88.05156</c:v>
                </c:pt>
                <c:pt idx="3450">
                  <c:v>88.04967</c:v>
                </c:pt>
                <c:pt idx="3451">
                  <c:v>88.04772</c:v>
                </c:pt>
                <c:pt idx="3452">
                  <c:v>88.04678</c:v>
                </c:pt>
                <c:pt idx="3453">
                  <c:v>88.04584</c:v>
                </c:pt>
                <c:pt idx="3454">
                  <c:v>88.04389</c:v>
                </c:pt>
                <c:pt idx="3455">
                  <c:v>88.04295</c:v>
                </c:pt>
                <c:pt idx="3456">
                  <c:v>88.04106</c:v>
                </c:pt>
                <c:pt idx="3457">
                  <c:v>88.03911</c:v>
                </c:pt>
                <c:pt idx="3458">
                  <c:v>88.03817</c:v>
                </c:pt>
                <c:pt idx="3459">
                  <c:v>88.03723</c:v>
                </c:pt>
                <c:pt idx="3460">
                  <c:v>88.03528</c:v>
                </c:pt>
                <c:pt idx="3461">
                  <c:v>88.03434</c:v>
                </c:pt>
                <c:pt idx="3462">
                  <c:v>88.0334</c:v>
                </c:pt>
                <c:pt idx="3463">
                  <c:v>88.03145</c:v>
                </c:pt>
                <c:pt idx="3464">
                  <c:v>88.0305</c:v>
                </c:pt>
                <c:pt idx="3465">
                  <c:v>88.02854999999998</c:v>
                </c:pt>
                <c:pt idx="3466">
                  <c:v>88.02761</c:v>
                </c:pt>
                <c:pt idx="3467">
                  <c:v>88.02667</c:v>
                </c:pt>
                <c:pt idx="3468">
                  <c:v>88.02472</c:v>
                </c:pt>
                <c:pt idx="3469">
                  <c:v>88.02377999999958</c:v>
                </c:pt>
                <c:pt idx="3470">
                  <c:v>88.02283999999958</c:v>
                </c:pt>
                <c:pt idx="3471">
                  <c:v>88.02088999999998</c:v>
                </c:pt>
                <c:pt idx="3472">
                  <c:v>88.019</c:v>
                </c:pt>
                <c:pt idx="3473">
                  <c:v>88.01799</c:v>
                </c:pt>
                <c:pt idx="3474">
                  <c:v>88.01611</c:v>
                </c:pt>
                <c:pt idx="3475">
                  <c:v>88.01416</c:v>
                </c:pt>
                <c:pt idx="3476">
                  <c:v>88.01416</c:v>
                </c:pt>
                <c:pt idx="3477">
                  <c:v>88.01228</c:v>
                </c:pt>
                <c:pt idx="3478">
                  <c:v>88.01134</c:v>
                </c:pt>
                <c:pt idx="3479">
                  <c:v>88.01033</c:v>
                </c:pt>
                <c:pt idx="3480">
                  <c:v>88.00843999999998</c:v>
                </c:pt>
                <c:pt idx="3481">
                  <c:v>88.00649</c:v>
                </c:pt>
                <c:pt idx="3482">
                  <c:v>88.00555</c:v>
                </c:pt>
                <c:pt idx="3483">
                  <c:v>88.00367</c:v>
                </c:pt>
                <c:pt idx="3484">
                  <c:v>88.00367</c:v>
                </c:pt>
                <c:pt idx="3485">
                  <c:v>88.00077999999998</c:v>
                </c:pt>
                <c:pt idx="3486">
                  <c:v>87.99883000000001</c:v>
                </c:pt>
                <c:pt idx="3487">
                  <c:v>87.99789</c:v>
                </c:pt>
                <c:pt idx="3488">
                  <c:v>87.99499</c:v>
                </c:pt>
                <c:pt idx="3489">
                  <c:v>87.99499</c:v>
                </c:pt>
                <c:pt idx="3490">
                  <c:v>87.99405</c:v>
                </c:pt>
                <c:pt idx="3491">
                  <c:v>87.99116</c:v>
                </c:pt>
                <c:pt idx="3492">
                  <c:v>87.98928</c:v>
                </c:pt>
                <c:pt idx="3493">
                  <c:v>87.98733</c:v>
                </c:pt>
                <c:pt idx="3494">
                  <c:v>87.98637999999998</c:v>
                </c:pt>
                <c:pt idx="3495">
                  <c:v>87.98543999999998</c:v>
                </c:pt>
                <c:pt idx="3496">
                  <c:v>87.98349</c:v>
                </c:pt>
                <c:pt idx="3497">
                  <c:v>87.98161</c:v>
                </c:pt>
                <c:pt idx="3498">
                  <c:v>87.9806</c:v>
                </c:pt>
                <c:pt idx="3499">
                  <c:v>87.97871999999998</c:v>
                </c:pt>
                <c:pt idx="3500">
                  <c:v>87.97871999999998</c:v>
                </c:pt>
                <c:pt idx="3501">
                  <c:v>87.97676999999997</c:v>
                </c:pt>
                <c:pt idx="3502">
                  <c:v>87.97394</c:v>
                </c:pt>
                <c:pt idx="3503">
                  <c:v>87.97293</c:v>
                </c:pt>
                <c:pt idx="3504">
                  <c:v>87.97105</c:v>
                </c:pt>
                <c:pt idx="3505">
                  <c:v>87.97011</c:v>
                </c:pt>
                <c:pt idx="3506">
                  <c:v>87.9691</c:v>
                </c:pt>
                <c:pt idx="3507">
                  <c:v>87.96722</c:v>
                </c:pt>
                <c:pt idx="3508">
                  <c:v>87.96527</c:v>
                </c:pt>
                <c:pt idx="3509">
                  <c:v>87.96432</c:v>
                </c:pt>
                <c:pt idx="3510">
                  <c:v>87.96244</c:v>
                </c:pt>
                <c:pt idx="3511">
                  <c:v>87.96143</c:v>
                </c:pt>
                <c:pt idx="3512">
                  <c:v>87.95955</c:v>
                </c:pt>
                <c:pt idx="3513">
                  <c:v>87.95854</c:v>
                </c:pt>
                <c:pt idx="3514">
                  <c:v>87.95572</c:v>
                </c:pt>
                <c:pt idx="3515">
                  <c:v>87.95471</c:v>
                </c:pt>
                <c:pt idx="3516">
                  <c:v>87.95282</c:v>
                </c:pt>
                <c:pt idx="3517">
                  <c:v>87.95188</c:v>
                </c:pt>
                <c:pt idx="3518">
                  <c:v>87.94993</c:v>
                </c:pt>
                <c:pt idx="3519">
                  <c:v>87.94899</c:v>
                </c:pt>
                <c:pt idx="3520">
                  <c:v>87.94704</c:v>
                </c:pt>
                <c:pt idx="3521">
                  <c:v>87.9461</c:v>
                </c:pt>
                <c:pt idx="3522">
                  <c:v>87.94422</c:v>
                </c:pt>
                <c:pt idx="3523">
                  <c:v>87.94227</c:v>
                </c:pt>
                <c:pt idx="3524">
                  <c:v>87.94132</c:v>
                </c:pt>
                <c:pt idx="3525">
                  <c:v>87.94038</c:v>
                </c:pt>
                <c:pt idx="3526">
                  <c:v>87.93937</c:v>
                </c:pt>
                <c:pt idx="3527">
                  <c:v>87.93749</c:v>
                </c:pt>
                <c:pt idx="3528">
                  <c:v>87.93655</c:v>
                </c:pt>
                <c:pt idx="3529">
                  <c:v>87.9346</c:v>
                </c:pt>
                <c:pt idx="3530">
                  <c:v>87.93271</c:v>
                </c:pt>
                <c:pt idx="3531">
                  <c:v>87.93171</c:v>
                </c:pt>
                <c:pt idx="3532">
                  <c:v>87.92982</c:v>
                </c:pt>
                <c:pt idx="3533">
                  <c:v>87.92787000000001</c:v>
                </c:pt>
                <c:pt idx="3534">
                  <c:v>87.92599</c:v>
                </c:pt>
                <c:pt idx="3535">
                  <c:v>87.92498</c:v>
                </c:pt>
                <c:pt idx="3536">
                  <c:v>87.9231</c:v>
                </c:pt>
                <c:pt idx="3537">
                  <c:v>87.92115</c:v>
                </c:pt>
                <c:pt idx="3538">
                  <c:v>87.92021</c:v>
                </c:pt>
                <c:pt idx="3539">
                  <c:v>87.91731</c:v>
                </c:pt>
                <c:pt idx="3540">
                  <c:v>87.91637</c:v>
                </c:pt>
                <c:pt idx="3541">
                  <c:v>87.91543</c:v>
                </c:pt>
                <c:pt idx="3542">
                  <c:v>87.91449</c:v>
                </c:pt>
                <c:pt idx="3543">
                  <c:v>87.9116</c:v>
                </c:pt>
                <c:pt idx="3544">
                  <c:v>87.91065</c:v>
                </c:pt>
                <c:pt idx="3545">
                  <c:v>87.90965</c:v>
                </c:pt>
                <c:pt idx="3546">
                  <c:v>87.90776</c:v>
                </c:pt>
                <c:pt idx="3547">
                  <c:v>87.90682</c:v>
                </c:pt>
                <c:pt idx="3548">
                  <c:v>87.90581</c:v>
                </c:pt>
                <c:pt idx="3549">
                  <c:v>87.90299</c:v>
                </c:pt>
                <c:pt idx="3550">
                  <c:v>87.90104</c:v>
                </c:pt>
                <c:pt idx="3551">
                  <c:v>87.90104</c:v>
                </c:pt>
                <c:pt idx="3552">
                  <c:v>87.89915</c:v>
                </c:pt>
                <c:pt idx="3553">
                  <c:v>87.89815</c:v>
                </c:pt>
                <c:pt idx="3554">
                  <c:v>87.89626</c:v>
                </c:pt>
                <c:pt idx="3555">
                  <c:v>87.89337</c:v>
                </c:pt>
                <c:pt idx="3556">
                  <c:v>87.89243</c:v>
                </c:pt>
                <c:pt idx="3557">
                  <c:v>87.89047999999998</c:v>
                </c:pt>
                <c:pt idx="3558">
                  <c:v>87.88858999999998</c:v>
                </c:pt>
                <c:pt idx="3559">
                  <c:v>87.88664</c:v>
                </c:pt>
                <c:pt idx="3560">
                  <c:v>87.88569999999998</c:v>
                </c:pt>
                <c:pt idx="3561">
                  <c:v>87.88476</c:v>
                </c:pt>
                <c:pt idx="3562">
                  <c:v>87.88280999999998</c:v>
                </c:pt>
                <c:pt idx="3563">
                  <c:v>87.88187</c:v>
                </c:pt>
                <c:pt idx="3564">
                  <c:v>87.87992</c:v>
                </c:pt>
                <c:pt idx="3565">
                  <c:v>87.87803999999888</c:v>
                </c:pt>
                <c:pt idx="3566">
                  <c:v>87.87708999999998</c:v>
                </c:pt>
                <c:pt idx="3567">
                  <c:v>87.87513999999948</c:v>
                </c:pt>
                <c:pt idx="3568">
                  <c:v>87.87326</c:v>
                </c:pt>
                <c:pt idx="3569">
                  <c:v>87.87130999999998</c:v>
                </c:pt>
                <c:pt idx="3570">
                  <c:v>87.87036999999998</c:v>
                </c:pt>
                <c:pt idx="3571">
                  <c:v>87.86943</c:v>
                </c:pt>
                <c:pt idx="3572">
                  <c:v>87.86748</c:v>
                </c:pt>
                <c:pt idx="3573">
                  <c:v>87.86558999999998</c:v>
                </c:pt>
                <c:pt idx="3574">
                  <c:v>87.86364</c:v>
                </c:pt>
                <c:pt idx="3575">
                  <c:v>87.86176</c:v>
                </c:pt>
                <c:pt idx="3576">
                  <c:v>87.85980999999998</c:v>
                </c:pt>
                <c:pt idx="3577">
                  <c:v>87.85886999999998</c:v>
                </c:pt>
                <c:pt idx="3578">
                  <c:v>87.85793</c:v>
                </c:pt>
                <c:pt idx="3579">
                  <c:v>87.85597999999958</c:v>
                </c:pt>
                <c:pt idx="3580">
                  <c:v>87.85403</c:v>
                </c:pt>
                <c:pt idx="3581">
                  <c:v>87.85307999999995</c:v>
                </c:pt>
                <c:pt idx="3582">
                  <c:v>87.8512</c:v>
                </c:pt>
                <c:pt idx="3583">
                  <c:v>87.84925</c:v>
                </c:pt>
                <c:pt idx="3584">
                  <c:v>87.84831</c:v>
                </c:pt>
                <c:pt idx="3585">
                  <c:v>87.84542</c:v>
                </c:pt>
                <c:pt idx="3586">
                  <c:v>87.84448</c:v>
                </c:pt>
                <c:pt idx="3587">
                  <c:v>87.84353</c:v>
                </c:pt>
                <c:pt idx="3588">
                  <c:v>87.84158</c:v>
                </c:pt>
                <c:pt idx="3589">
                  <c:v>87.8397</c:v>
                </c:pt>
                <c:pt idx="3590">
                  <c:v>87.83775</c:v>
                </c:pt>
                <c:pt idx="3591">
                  <c:v>87.83681</c:v>
                </c:pt>
                <c:pt idx="3592">
                  <c:v>87.83486</c:v>
                </c:pt>
                <c:pt idx="3593">
                  <c:v>87.83392</c:v>
                </c:pt>
                <c:pt idx="3594">
                  <c:v>87.83102</c:v>
                </c:pt>
                <c:pt idx="3595">
                  <c:v>87.83007999999998</c:v>
                </c:pt>
                <c:pt idx="3596">
                  <c:v>87.82819999999998</c:v>
                </c:pt>
                <c:pt idx="3597">
                  <c:v>87.82625</c:v>
                </c:pt>
                <c:pt idx="3598">
                  <c:v>87.82530999999948</c:v>
                </c:pt>
                <c:pt idx="3599">
                  <c:v>87.82241999999998</c:v>
                </c:pt>
                <c:pt idx="3600">
                  <c:v>87.82147</c:v>
                </c:pt>
                <c:pt idx="3601">
                  <c:v>87.82045999999998</c:v>
                </c:pt>
                <c:pt idx="3602">
                  <c:v>87.81857999999998</c:v>
                </c:pt>
                <c:pt idx="3603">
                  <c:v>87.81663</c:v>
                </c:pt>
                <c:pt idx="3604">
                  <c:v>87.81475</c:v>
                </c:pt>
                <c:pt idx="3605">
                  <c:v>87.81279999999998</c:v>
                </c:pt>
                <c:pt idx="3606">
                  <c:v>87.81279999999998</c:v>
                </c:pt>
                <c:pt idx="3607">
                  <c:v>87.80997</c:v>
                </c:pt>
                <c:pt idx="3608">
                  <c:v>87.80896</c:v>
                </c:pt>
                <c:pt idx="3609">
                  <c:v>87.80614</c:v>
                </c:pt>
                <c:pt idx="3610">
                  <c:v>87.80513</c:v>
                </c:pt>
                <c:pt idx="3611">
                  <c:v>87.80325</c:v>
                </c:pt>
                <c:pt idx="3612">
                  <c:v>87.80230999999995</c:v>
                </c:pt>
                <c:pt idx="3613">
                  <c:v>87.80036</c:v>
                </c:pt>
                <c:pt idx="3614">
                  <c:v>87.79847</c:v>
                </c:pt>
                <c:pt idx="3615">
                  <c:v>87.79652</c:v>
                </c:pt>
                <c:pt idx="3616">
                  <c:v>87.79558</c:v>
                </c:pt>
                <c:pt idx="3617">
                  <c:v>87.79363</c:v>
                </c:pt>
                <c:pt idx="3618">
                  <c:v>87.79175</c:v>
                </c:pt>
                <c:pt idx="3619">
                  <c:v>87.79081</c:v>
                </c:pt>
                <c:pt idx="3620">
                  <c:v>87.7898</c:v>
                </c:pt>
                <c:pt idx="3621">
                  <c:v>87.78791</c:v>
                </c:pt>
                <c:pt idx="3622">
                  <c:v>87.78596</c:v>
                </c:pt>
                <c:pt idx="3623">
                  <c:v>87.78502</c:v>
                </c:pt>
                <c:pt idx="3624">
                  <c:v>87.78307</c:v>
                </c:pt>
                <c:pt idx="3625">
                  <c:v>87.78119</c:v>
                </c:pt>
                <c:pt idx="3626">
                  <c:v>87.77924</c:v>
                </c:pt>
                <c:pt idx="3627">
                  <c:v>87.77735</c:v>
                </c:pt>
                <c:pt idx="3628">
                  <c:v>87.77641</c:v>
                </c:pt>
                <c:pt idx="3629">
                  <c:v>87.77446</c:v>
                </c:pt>
                <c:pt idx="3630">
                  <c:v>87.77352</c:v>
                </c:pt>
                <c:pt idx="3631">
                  <c:v>87.77063</c:v>
                </c:pt>
                <c:pt idx="3632">
                  <c:v>87.76969</c:v>
                </c:pt>
                <c:pt idx="3633">
                  <c:v>87.76774</c:v>
                </c:pt>
                <c:pt idx="3634">
                  <c:v>87.76585</c:v>
                </c:pt>
                <c:pt idx="3635">
                  <c:v>87.7639</c:v>
                </c:pt>
                <c:pt idx="3636">
                  <c:v>87.76202</c:v>
                </c:pt>
                <c:pt idx="3637">
                  <c:v>87.76007000000001</c:v>
                </c:pt>
                <c:pt idx="3638">
                  <c:v>87.75913000000001</c:v>
                </c:pt>
                <c:pt idx="3639">
                  <c:v>87.75724</c:v>
                </c:pt>
                <c:pt idx="3640">
                  <c:v>87.75529</c:v>
                </c:pt>
                <c:pt idx="3641">
                  <c:v>87.75435</c:v>
                </c:pt>
                <c:pt idx="3642">
                  <c:v>87.75239999999998</c:v>
                </c:pt>
                <c:pt idx="3643">
                  <c:v>87.75146</c:v>
                </c:pt>
                <c:pt idx="3644">
                  <c:v>87.74951</c:v>
                </c:pt>
                <c:pt idx="3645">
                  <c:v>87.74857</c:v>
                </c:pt>
                <c:pt idx="3646">
                  <c:v>87.74669</c:v>
                </c:pt>
                <c:pt idx="3647">
                  <c:v>87.74474</c:v>
                </c:pt>
                <c:pt idx="3648">
                  <c:v>87.74285</c:v>
                </c:pt>
                <c:pt idx="3649">
                  <c:v>87.7409</c:v>
                </c:pt>
                <c:pt idx="3650">
                  <c:v>87.73996</c:v>
                </c:pt>
                <c:pt idx="3651">
                  <c:v>87.73801</c:v>
                </c:pt>
                <c:pt idx="3652">
                  <c:v>87.73613</c:v>
                </c:pt>
                <c:pt idx="3653">
                  <c:v>87.73418</c:v>
                </c:pt>
                <c:pt idx="3654">
                  <c:v>87.73323</c:v>
                </c:pt>
                <c:pt idx="3655">
                  <c:v>87.73229</c:v>
                </c:pt>
                <c:pt idx="3656">
                  <c:v>87.7294</c:v>
                </c:pt>
                <c:pt idx="3657">
                  <c:v>87.72846</c:v>
                </c:pt>
                <c:pt idx="3658">
                  <c:v>87.72557</c:v>
                </c:pt>
                <c:pt idx="3659">
                  <c:v>87.72463</c:v>
                </c:pt>
                <c:pt idx="3660">
                  <c:v>87.72267999999998</c:v>
                </c:pt>
                <c:pt idx="3661">
                  <c:v>87.72173</c:v>
                </c:pt>
                <c:pt idx="3662">
                  <c:v>87.71884</c:v>
                </c:pt>
                <c:pt idx="3663">
                  <c:v>87.7179</c:v>
                </c:pt>
                <c:pt idx="3664">
                  <c:v>87.71595</c:v>
                </c:pt>
                <c:pt idx="3665">
                  <c:v>87.71407</c:v>
                </c:pt>
                <c:pt idx="3666">
                  <c:v>87.71312</c:v>
                </c:pt>
                <c:pt idx="3667">
                  <c:v>87.71117</c:v>
                </c:pt>
                <c:pt idx="3668">
                  <c:v>87.70929</c:v>
                </c:pt>
                <c:pt idx="3669">
                  <c:v>87.70734</c:v>
                </c:pt>
                <c:pt idx="3670">
                  <c:v>87.70546</c:v>
                </c:pt>
                <c:pt idx="3671">
                  <c:v>87.70445</c:v>
                </c:pt>
                <c:pt idx="3672">
                  <c:v>87.70257</c:v>
                </c:pt>
                <c:pt idx="3673">
                  <c:v>87.70062</c:v>
                </c:pt>
                <c:pt idx="3674">
                  <c:v>87.69967000000001</c:v>
                </c:pt>
                <c:pt idx="3675">
                  <c:v>87.69779</c:v>
                </c:pt>
                <c:pt idx="3676">
                  <c:v>87.69583999999985</c:v>
                </c:pt>
                <c:pt idx="3677">
                  <c:v>87.6949</c:v>
                </c:pt>
                <c:pt idx="3678">
                  <c:v>87.69294999999998</c:v>
                </c:pt>
                <c:pt idx="3679">
                  <c:v>87.69200999999998</c:v>
                </c:pt>
                <c:pt idx="3680">
                  <c:v>87.69012</c:v>
                </c:pt>
                <c:pt idx="3681">
                  <c:v>87.68816999999998</c:v>
                </c:pt>
                <c:pt idx="3682">
                  <c:v>87.68723</c:v>
                </c:pt>
                <c:pt idx="3683">
                  <c:v>87.68527999999995</c:v>
                </c:pt>
                <c:pt idx="3684">
                  <c:v>87.68339999999998</c:v>
                </c:pt>
                <c:pt idx="3685">
                  <c:v>87.68145</c:v>
                </c:pt>
                <c:pt idx="3686">
                  <c:v>87.68051</c:v>
                </c:pt>
                <c:pt idx="3687">
                  <c:v>87.67761</c:v>
                </c:pt>
                <c:pt idx="3688">
                  <c:v>87.67572999999948</c:v>
                </c:pt>
                <c:pt idx="3689">
                  <c:v>87.67471999999998</c:v>
                </c:pt>
                <c:pt idx="3690">
                  <c:v>87.67377999999827</c:v>
                </c:pt>
                <c:pt idx="3691">
                  <c:v>87.67283999999827</c:v>
                </c:pt>
                <c:pt idx="3692">
                  <c:v>87.66995</c:v>
                </c:pt>
                <c:pt idx="3693">
                  <c:v>87.66805999999998</c:v>
                </c:pt>
                <c:pt idx="3694">
                  <c:v>87.66611</c:v>
                </c:pt>
                <c:pt idx="3695">
                  <c:v>87.66516999999997</c:v>
                </c:pt>
                <c:pt idx="3696">
                  <c:v>87.66322</c:v>
                </c:pt>
                <c:pt idx="3697">
                  <c:v>87.66133999999998</c:v>
                </c:pt>
                <c:pt idx="3698">
                  <c:v>87.65938999999948</c:v>
                </c:pt>
                <c:pt idx="3699">
                  <c:v>87.6575</c:v>
                </c:pt>
                <c:pt idx="3700">
                  <c:v>87.65656</c:v>
                </c:pt>
                <c:pt idx="3701">
                  <c:v>87.65461</c:v>
                </c:pt>
                <c:pt idx="3702">
                  <c:v>87.65367</c:v>
                </c:pt>
                <c:pt idx="3703">
                  <c:v>87.65077999999878</c:v>
                </c:pt>
                <c:pt idx="3704">
                  <c:v>87.64984</c:v>
                </c:pt>
                <c:pt idx="3705">
                  <c:v>87.64882999999997</c:v>
                </c:pt>
                <c:pt idx="3706">
                  <c:v>87.64695</c:v>
                </c:pt>
                <c:pt idx="3707">
                  <c:v>87.64499</c:v>
                </c:pt>
                <c:pt idx="3708">
                  <c:v>87.64311</c:v>
                </c:pt>
                <c:pt idx="3709">
                  <c:v>87.64116</c:v>
                </c:pt>
                <c:pt idx="3710">
                  <c:v>87.63928</c:v>
                </c:pt>
                <c:pt idx="3711">
                  <c:v>87.63733</c:v>
                </c:pt>
                <c:pt idx="3712">
                  <c:v>87.63638999999995</c:v>
                </c:pt>
                <c:pt idx="3713">
                  <c:v>87.63543999999958</c:v>
                </c:pt>
                <c:pt idx="3714">
                  <c:v>87.63254999999998</c:v>
                </c:pt>
                <c:pt idx="3715">
                  <c:v>87.63161</c:v>
                </c:pt>
                <c:pt idx="3716">
                  <c:v>87.62966</c:v>
                </c:pt>
                <c:pt idx="3717">
                  <c:v>87.62777999999938</c:v>
                </c:pt>
                <c:pt idx="3718">
                  <c:v>87.62582999999998</c:v>
                </c:pt>
                <c:pt idx="3719">
                  <c:v>87.62393999999995</c:v>
                </c:pt>
                <c:pt idx="3720">
                  <c:v>87.62198999999998</c:v>
                </c:pt>
                <c:pt idx="3721">
                  <c:v>87.62010999999998</c:v>
                </c:pt>
                <c:pt idx="3722">
                  <c:v>87.61917</c:v>
                </c:pt>
                <c:pt idx="3723">
                  <c:v>87.61722</c:v>
                </c:pt>
                <c:pt idx="3724">
                  <c:v>87.61628</c:v>
                </c:pt>
                <c:pt idx="3725">
                  <c:v>87.61433</c:v>
                </c:pt>
                <c:pt idx="3726">
                  <c:v>87.61243999999998</c:v>
                </c:pt>
                <c:pt idx="3727">
                  <c:v>87.61143000000001</c:v>
                </c:pt>
                <c:pt idx="3728">
                  <c:v>87.60955</c:v>
                </c:pt>
                <c:pt idx="3729">
                  <c:v>87.6076</c:v>
                </c:pt>
                <c:pt idx="3730">
                  <c:v>87.60571999999995</c:v>
                </c:pt>
                <c:pt idx="3731">
                  <c:v>87.60376999999998</c:v>
                </c:pt>
                <c:pt idx="3732">
                  <c:v>87.60282999999998</c:v>
                </c:pt>
                <c:pt idx="3733">
                  <c:v>87.60093999999998</c:v>
                </c:pt>
                <c:pt idx="3734">
                  <c:v>87.59993</c:v>
                </c:pt>
                <c:pt idx="3735">
                  <c:v>87.59805</c:v>
                </c:pt>
                <c:pt idx="3736">
                  <c:v>87.5961</c:v>
                </c:pt>
                <c:pt idx="3737">
                  <c:v>87.59422</c:v>
                </c:pt>
                <c:pt idx="3738">
                  <c:v>87.59227000000001</c:v>
                </c:pt>
                <c:pt idx="3739">
                  <c:v>87.59132</c:v>
                </c:pt>
                <c:pt idx="3740">
                  <c:v>87.58943999999998</c:v>
                </c:pt>
                <c:pt idx="3741">
                  <c:v>87.58749</c:v>
                </c:pt>
                <c:pt idx="3742">
                  <c:v>87.58655</c:v>
                </c:pt>
                <c:pt idx="3743">
                  <c:v>87.5846</c:v>
                </c:pt>
                <c:pt idx="3744">
                  <c:v>87.58171</c:v>
                </c:pt>
                <c:pt idx="3745">
                  <c:v>87.58076999999998</c:v>
                </c:pt>
                <c:pt idx="3746">
                  <c:v>87.57887999999878</c:v>
                </c:pt>
                <c:pt idx="3747">
                  <c:v>87.57887999999878</c:v>
                </c:pt>
                <c:pt idx="3748">
                  <c:v>87.57598999999995</c:v>
                </c:pt>
                <c:pt idx="3749">
                  <c:v>87.57403999999998</c:v>
                </c:pt>
                <c:pt idx="3750">
                  <c:v>87.57215999999998</c:v>
                </c:pt>
                <c:pt idx="3751">
                  <c:v>87.57122</c:v>
                </c:pt>
                <c:pt idx="3752">
                  <c:v>87.56926</c:v>
                </c:pt>
                <c:pt idx="3753">
                  <c:v>87.56832</c:v>
                </c:pt>
                <c:pt idx="3754">
                  <c:v>87.56637</c:v>
                </c:pt>
                <c:pt idx="3755">
                  <c:v>87.56543</c:v>
                </c:pt>
                <c:pt idx="3756">
                  <c:v>87.56254</c:v>
                </c:pt>
                <c:pt idx="3757">
                  <c:v>87.5616</c:v>
                </c:pt>
                <c:pt idx="3758">
                  <c:v>87.56066</c:v>
                </c:pt>
                <c:pt idx="3759">
                  <c:v>87.55870999999995</c:v>
                </c:pt>
                <c:pt idx="3760">
                  <c:v>87.55682</c:v>
                </c:pt>
                <c:pt idx="3761">
                  <c:v>87.55487</c:v>
                </c:pt>
                <c:pt idx="3762">
                  <c:v>87.55298999999998</c:v>
                </c:pt>
                <c:pt idx="3763">
                  <c:v>87.55104</c:v>
                </c:pt>
                <c:pt idx="3764">
                  <c:v>87.5501</c:v>
                </c:pt>
                <c:pt idx="3765">
                  <c:v>87.54815</c:v>
                </c:pt>
                <c:pt idx="3766">
                  <c:v>87.54721</c:v>
                </c:pt>
                <c:pt idx="3767">
                  <c:v>87.54532</c:v>
                </c:pt>
                <c:pt idx="3768">
                  <c:v>87.54337</c:v>
                </c:pt>
                <c:pt idx="3769">
                  <c:v>87.54149</c:v>
                </c:pt>
                <c:pt idx="3770">
                  <c:v>87.53954</c:v>
                </c:pt>
                <c:pt idx="3771">
                  <c:v>87.5386</c:v>
                </c:pt>
                <c:pt idx="3772">
                  <c:v>87.53665</c:v>
                </c:pt>
                <c:pt idx="3773">
                  <c:v>87.53476</c:v>
                </c:pt>
                <c:pt idx="3774">
                  <c:v>87.53281</c:v>
                </c:pt>
                <c:pt idx="3775">
                  <c:v>87.53093000000001</c:v>
                </c:pt>
                <c:pt idx="3776">
                  <c:v>87.52897999999985</c:v>
                </c:pt>
                <c:pt idx="3777">
                  <c:v>87.5271</c:v>
                </c:pt>
                <c:pt idx="3778">
                  <c:v>87.52615</c:v>
                </c:pt>
                <c:pt idx="3779">
                  <c:v>87.5242</c:v>
                </c:pt>
                <c:pt idx="3780">
                  <c:v>87.52231999999998</c:v>
                </c:pt>
                <c:pt idx="3781">
                  <c:v>87.52036999999998</c:v>
                </c:pt>
                <c:pt idx="3782">
                  <c:v>87.51943</c:v>
                </c:pt>
                <c:pt idx="3783">
                  <c:v>87.51748</c:v>
                </c:pt>
                <c:pt idx="3784">
                  <c:v>87.51559</c:v>
                </c:pt>
                <c:pt idx="3785">
                  <c:v>87.51459</c:v>
                </c:pt>
                <c:pt idx="3786">
                  <c:v>87.51176</c:v>
                </c:pt>
                <c:pt idx="3787">
                  <c:v>87.51075</c:v>
                </c:pt>
                <c:pt idx="3788">
                  <c:v>87.50886999999997</c:v>
                </c:pt>
                <c:pt idx="3789">
                  <c:v>87.50692</c:v>
                </c:pt>
                <c:pt idx="3790">
                  <c:v>87.50503999999998</c:v>
                </c:pt>
                <c:pt idx="3791">
                  <c:v>87.50309</c:v>
                </c:pt>
                <c:pt idx="3792">
                  <c:v>87.5012</c:v>
                </c:pt>
                <c:pt idx="3793">
                  <c:v>87.49925</c:v>
                </c:pt>
                <c:pt idx="3794">
                  <c:v>87.49831</c:v>
                </c:pt>
                <c:pt idx="3795">
                  <c:v>87.49643</c:v>
                </c:pt>
                <c:pt idx="3796">
                  <c:v>87.49542</c:v>
                </c:pt>
                <c:pt idx="3797">
                  <c:v>87.49448</c:v>
                </c:pt>
                <c:pt idx="3798">
                  <c:v>87.49158</c:v>
                </c:pt>
                <c:pt idx="3799">
                  <c:v>87.49064</c:v>
                </c:pt>
                <c:pt idx="3800">
                  <c:v>87.48775</c:v>
                </c:pt>
                <c:pt idx="3801">
                  <c:v>87.48681</c:v>
                </c:pt>
                <c:pt idx="3802">
                  <c:v>87.48493</c:v>
                </c:pt>
                <c:pt idx="3803">
                  <c:v>87.48298</c:v>
                </c:pt>
                <c:pt idx="3804">
                  <c:v>87.48109</c:v>
                </c:pt>
                <c:pt idx="3805">
                  <c:v>87.47914</c:v>
                </c:pt>
                <c:pt idx="3806">
                  <c:v>87.4782</c:v>
                </c:pt>
                <c:pt idx="3807">
                  <c:v>87.47530999999998</c:v>
                </c:pt>
                <c:pt idx="3808">
                  <c:v>87.47437</c:v>
                </c:pt>
                <c:pt idx="3809">
                  <c:v>87.47242</c:v>
                </c:pt>
                <c:pt idx="3810">
                  <c:v>87.47053</c:v>
                </c:pt>
                <c:pt idx="3811">
                  <c:v>87.46952</c:v>
                </c:pt>
                <c:pt idx="3812">
                  <c:v>87.46764</c:v>
                </c:pt>
                <c:pt idx="3813">
                  <c:v>87.4667</c:v>
                </c:pt>
                <c:pt idx="3814">
                  <c:v>87.46475</c:v>
                </c:pt>
                <c:pt idx="3815">
                  <c:v>87.46287</c:v>
                </c:pt>
                <c:pt idx="3816">
                  <c:v>87.46186</c:v>
                </c:pt>
                <c:pt idx="3817">
                  <c:v>87.45903000000001</c:v>
                </c:pt>
                <c:pt idx="3818">
                  <c:v>87.45802</c:v>
                </c:pt>
                <c:pt idx="3819">
                  <c:v>87.45614</c:v>
                </c:pt>
                <c:pt idx="3820">
                  <c:v>87.45325</c:v>
                </c:pt>
                <c:pt idx="3821">
                  <c:v>87.45230999999998</c:v>
                </c:pt>
                <c:pt idx="3822">
                  <c:v>87.45137</c:v>
                </c:pt>
                <c:pt idx="3823">
                  <c:v>87.44942</c:v>
                </c:pt>
                <c:pt idx="3824">
                  <c:v>87.44753</c:v>
                </c:pt>
                <c:pt idx="3825">
                  <c:v>87.44558</c:v>
                </c:pt>
                <c:pt idx="3826">
                  <c:v>87.44363000000002</c:v>
                </c:pt>
                <c:pt idx="3827">
                  <c:v>87.44175</c:v>
                </c:pt>
                <c:pt idx="3828">
                  <c:v>87.4398</c:v>
                </c:pt>
                <c:pt idx="3829">
                  <c:v>87.43886</c:v>
                </c:pt>
                <c:pt idx="3830">
                  <c:v>87.43697</c:v>
                </c:pt>
                <c:pt idx="3831">
                  <c:v>87.43502</c:v>
                </c:pt>
                <c:pt idx="3832">
                  <c:v>87.43314</c:v>
                </c:pt>
                <c:pt idx="3833">
                  <c:v>87.43119</c:v>
                </c:pt>
                <c:pt idx="3834">
                  <c:v>87.43025</c:v>
                </c:pt>
                <c:pt idx="3835">
                  <c:v>87.4283</c:v>
                </c:pt>
                <c:pt idx="3836">
                  <c:v>87.42641</c:v>
                </c:pt>
                <c:pt idx="3837">
                  <c:v>87.42546999999997</c:v>
                </c:pt>
                <c:pt idx="3838">
                  <c:v>87.42352</c:v>
                </c:pt>
                <c:pt idx="3839">
                  <c:v>87.42164</c:v>
                </c:pt>
                <c:pt idx="3840">
                  <c:v>87.41969</c:v>
                </c:pt>
                <c:pt idx="3841">
                  <c:v>87.41875</c:v>
                </c:pt>
                <c:pt idx="3842">
                  <c:v>87.41585</c:v>
                </c:pt>
                <c:pt idx="3843">
                  <c:v>87.41397</c:v>
                </c:pt>
                <c:pt idx="3844">
                  <c:v>87.41397</c:v>
                </c:pt>
                <c:pt idx="3845">
                  <c:v>87.41202</c:v>
                </c:pt>
                <c:pt idx="3846">
                  <c:v>87.41007</c:v>
                </c:pt>
                <c:pt idx="3847">
                  <c:v>87.40819</c:v>
                </c:pt>
                <c:pt idx="3848">
                  <c:v>87.40624</c:v>
                </c:pt>
                <c:pt idx="3849">
                  <c:v>87.40435</c:v>
                </c:pt>
                <c:pt idx="3850">
                  <c:v>87.4024</c:v>
                </c:pt>
                <c:pt idx="3851">
                  <c:v>87.40146</c:v>
                </c:pt>
                <c:pt idx="3852">
                  <c:v>87.39958</c:v>
                </c:pt>
                <c:pt idx="3853">
                  <c:v>87.39763</c:v>
                </c:pt>
                <c:pt idx="3854">
                  <c:v>87.39669</c:v>
                </c:pt>
                <c:pt idx="3855">
                  <c:v>87.39574999999998</c:v>
                </c:pt>
                <c:pt idx="3856">
                  <c:v>87.39474</c:v>
                </c:pt>
                <c:pt idx="3857">
                  <c:v>87.39191</c:v>
                </c:pt>
                <c:pt idx="3858">
                  <c:v>87.3909</c:v>
                </c:pt>
                <c:pt idx="3859">
                  <c:v>87.38902</c:v>
                </c:pt>
                <c:pt idx="3860">
                  <c:v>87.38707</c:v>
                </c:pt>
                <c:pt idx="3861">
                  <c:v>87.38518999999998</c:v>
                </c:pt>
                <c:pt idx="3862">
                  <c:v>87.38324</c:v>
                </c:pt>
                <c:pt idx="3863">
                  <c:v>87.38229</c:v>
                </c:pt>
                <c:pt idx="3864">
                  <c:v>87.37939999999985</c:v>
                </c:pt>
                <c:pt idx="3865">
                  <c:v>87.37845999999985</c:v>
                </c:pt>
                <c:pt idx="3866">
                  <c:v>87.37650999999998</c:v>
                </c:pt>
                <c:pt idx="3867">
                  <c:v>87.37556999999998</c:v>
                </c:pt>
                <c:pt idx="3868">
                  <c:v>87.37368999999998</c:v>
                </c:pt>
                <c:pt idx="3869">
                  <c:v>87.37172999999998</c:v>
                </c:pt>
                <c:pt idx="3870">
                  <c:v>87.37078999999908</c:v>
                </c:pt>
                <c:pt idx="3871">
                  <c:v>87.36883999999995</c:v>
                </c:pt>
                <c:pt idx="3872">
                  <c:v>87.36696</c:v>
                </c:pt>
                <c:pt idx="3873">
                  <c:v>87.36602</c:v>
                </c:pt>
                <c:pt idx="3874">
                  <c:v>87.36407000000001</c:v>
                </c:pt>
                <c:pt idx="3875">
                  <c:v>87.36313000000001</c:v>
                </c:pt>
                <c:pt idx="3876">
                  <c:v>87.36118</c:v>
                </c:pt>
                <c:pt idx="3877">
                  <c:v>87.35929</c:v>
                </c:pt>
                <c:pt idx="3878">
                  <c:v>87.35733999999998</c:v>
                </c:pt>
                <c:pt idx="3879">
                  <c:v>87.35639999999998</c:v>
                </c:pt>
                <c:pt idx="3880">
                  <c:v>87.35545999999998</c:v>
                </c:pt>
                <c:pt idx="3881">
                  <c:v>87.35256999999998</c:v>
                </c:pt>
                <c:pt idx="3882">
                  <c:v>87.35163</c:v>
                </c:pt>
                <c:pt idx="3883">
                  <c:v>87.34968</c:v>
                </c:pt>
                <c:pt idx="3884">
                  <c:v>87.34779</c:v>
                </c:pt>
                <c:pt idx="3885">
                  <c:v>87.34685</c:v>
                </c:pt>
                <c:pt idx="3886">
                  <c:v>87.3449</c:v>
                </c:pt>
                <c:pt idx="3887">
                  <c:v>87.34295</c:v>
                </c:pt>
                <c:pt idx="3888">
                  <c:v>87.34107</c:v>
                </c:pt>
                <c:pt idx="3889">
                  <c:v>87.34012</c:v>
                </c:pt>
                <c:pt idx="3890">
                  <c:v>87.33817</c:v>
                </c:pt>
                <c:pt idx="3891">
                  <c:v>87.33723</c:v>
                </c:pt>
                <c:pt idx="3892">
                  <c:v>87.33527999999998</c:v>
                </c:pt>
                <c:pt idx="3893">
                  <c:v>87.33433999999998</c:v>
                </c:pt>
                <c:pt idx="3894">
                  <c:v>87.33246</c:v>
                </c:pt>
                <c:pt idx="3895">
                  <c:v>87.33051</c:v>
                </c:pt>
                <c:pt idx="3896">
                  <c:v>87.32956999999997</c:v>
                </c:pt>
                <c:pt idx="3897">
                  <c:v>87.32862</c:v>
                </c:pt>
                <c:pt idx="3898">
                  <c:v>87.32667</c:v>
                </c:pt>
                <c:pt idx="3899">
                  <c:v>87.32478999999998</c:v>
                </c:pt>
                <c:pt idx="3900">
                  <c:v>87.32283999999908</c:v>
                </c:pt>
                <c:pt idx="3901">
                  <c:v>87.32283999999908</c:v>
                </c:pt>
                <c:pt idx="3902">
                  <c:v>87.32096</c:v>
                </c:pt>
                <c:pt idx="3903">
                  <c:v>87.31901</c:v>
                </c:pt>
                <c:pt idx="3904">
                  <c:v>87.31712</c:v>
                </c:pt>
                <c:pt idx="3905">
                  <c:v>87.31611</c:v>
                </c:pt>
                <c:pt idx="3906">
                  <c:v>87.31423</c:v>
                </c:pt>
                <c:pt idx="3907">
                  <c:v>87.31329</c:v>
                </c:pt>
                <c:pt idx="3908">
                  <c:v>87.31134</c:v>
                </c:pt>
                <c:pt idx="3909">
                  <c:v>87.3104</c:v>
                </c:pt>
                <c:pt idx="3910">
                  <c:v>87.30751</c:v>
                </c:pt>
                <c:pt idx="3911">
                  <c:v>87.30656</c:v>
                </c:pt>
                <c:pt idx="3912">
                  <c:v>87.30556</c:v>
                </c:pt>
                <c:pt idx="3913">
                  <c:v>87.30461</c:v>
                </c:pt>
                <c:pt idx="3914">
                  <c:v>87.30272999999998</c:v>
                </c:pt>
                <c:pt idx="3915">
                  <c:v>87.30172</c:v>
                </c:pt>
                <c:pt idx="3916">
                  <c:v>87.29984</c:v>
                </c:pt>
                <c:pt idx="3917">
                  <c:v>87.2989</c:v>
                </c:pt>
                <c:pt idx="3918">
                  <c:v>87.29695</c:v>
                </c:pt>
                <c:pt idx="3919">
                  <c:v>87.29601</c:v>
                </c:pt>
                <c:pt idx="3920">
                  <c:v>87.29405</c:v>
                </c:pt>
                <c:pt idx="3921">
                  <c:v>87.29217000000001</c:v>
                </c:pt>
                <c:pt idx="3922">
                  <c:v>87.29123000000002</c:v>
                </c:pt>
                <c:pt idx="3923">
                  <c:v>87.28928</c:v>
                </c:pt>
                <c:pt idx="3924">
                  <c:v>87.2874</c:v>
                </c:pt>
                <c:pt idx="3925">
                  <c:v>87.28638999999998</c:v>
                </c:pt>
                <c:pt idx="3926">
                  <c:v>87.2845</c:v>
                </c:pt>
                <c:pt idx="3927">
                  <c:v>87.28356</c:v>
                </c:pt>
                <c:pt idx="3928">
                  <c:v>87.28161</c:v>
                </c:pt>
                <c:pt idx="3929">
                  <c:v>87.28161</c:v>
                </c:pt>
                <c:pt idx="3930">
                  <c:v>87.27871999999998</c:v>
                </c:pt>
                <c:pt idx="3931">
                  <c:v>87.27871999999998</c:v>
                </c:pt>
                <c:pt idx="3932">
                  <c:v>87.27777999999998</c:v>
                </c:pt>
                <c:pt idx="3933">
                  <c:v>87.27683999999998</c:v>
                </c:pt>
                <c:pt idx="3934">
                  <c:v>87.27489</c:v>
                </c:pt>
                <c:pt idx="3935">
                  <c:v>87.27299999999998</c:v>
                </c:pt>
                <c:pt idx="3936">
                  <c:v>87.27199</c:v>
                </c:pt>
                <c:pt idx="3937">
                  <c:v>87.27011</c:v>
                </c:pt>
                <c:pt idx="3938">
                  <c:v>87.27011</c:v>
                </c:pt>
                <c:pt idx="3939">
                  <c:v>87.26722</c:v>
                </c:pt>
                <c:pt idx="3940">
                  <c:v>87.26628</c:v>
                </c:pt>
                <c:pt idx="3941">
                  <c:v>87.26533999999998</c:v>
                </c:pt>
                <c:pt idx="3942">
                  <c:v>87.26339</c:v>
                </c:pt>
                <c:pt idx="3943">
                  <c:v>87.26339</c:v>
                </c:pt>
                <c:pt idx="3944">
                  <c:v>87.2615</c:v>
                </c:pt>
                <c:pt idx="3945">
                  <c:v>87.26049</c:v>
                </c:pt>
                <c:pt idx="3946">
                  <c:v>87.25955</c:v>
                </c:pt>
                <c:pt idx="3947">
                  <c:v>87.25666</c:v>
                </c:pt>
                <c:pt idx="3948">
                  <c:v>87.25666</c:v>
                </c:pt>
                <c:pt idx="3949">
                  <c:v>87.25571999999998</c:v>
                </c:pt>
                <c:pt idx="3950">
                  <c:v>87.25282999999997</c:v>
                </c:pt>
                <c:pt idx="3951">
                  <c:v>87.25189</c:v>
                </c:pt>
                <c:pt idx="3952">
                  <c:v>87.25094</c:v>
                </c:pt>
                <c:pt idx="3953">
                  <c:v>87.25</c:v>
                </c:pt>
                <c:pt idx="3954">
                  <c:v>87.24899</c:v>
                </c:pt>
                <c:pt idx="3955">
                  <c:v>87.24711</c:v>
                </c:pt>
                <c:pt idx="3956">
                  <c:v>87.24516</c:v>
                </c:pt>
                <c:pt idx="3957">
                  <c:v>87.24422</c:v>
                </c:pt>
                <c:pt idx="3958">
                  <c:v>87.24234</c:v>
                </c:pt>
                <c:pt idx="3959">
                  <c:v>87.24133</c:v>
                </c:pt>
                <c:pt idx="3960">
                  <c:v>87.24038</c:v>
                </c:pt>
                <c:pt idx="3961">
                  <c:v>87.23843</c:v>
                </c:pt>
                <c:pt idx="3962">
                  <c:v>87.23749</c:v>
                </c:pt>
                <c:pt idx="3963">
                  <c:v>87.23655</c:v>
                </c:pt>
                <c:pt idx="3964">
                  <c:v>87.23561</c:v>
                </c:pt>
                <c:pt idx="3965">
                  <c:v>87.23366</c:v>
                </c:pt>
                <c:pt idx="3966">
                  <c:v>87.23178</c:v>
                </c:pt>
                <c:pt idx="3967">
                  <c:v>87.23077</c:v>
                </c:pt>
                <c:pt idx="3968">
                  <c:v>87.22983</c:v>
                </c:pt>
                <c:pt idx="3969">
                  <c:v>87.22887999999975</c:v>
                </c:pt>
                <c:pt idx="3970">
                  <c:v>87.22794</c:v>
                </c:pt>
                <c:pt idx="3971">
                  <c:v>87.22598999999998</c:v>
                </c:pt>
                <c:pt idx="3972">
                  <c:v>87.22504999999998</c:v>
                </c:pt>
                <c:pt idx="3973">
                  <c:v>87.22411</c:v>
                </c:pt>
                <c:pt idx="3974">
                  <c:v>87.2231</c:v>
                </c:pt>
                <c:pt idx="3975">
                  <c:v>87.22122</c:v>
                </c:pt>
                <c:pt idx="3976">
                  <c:v>87.22028</c:v>
                </c:pt>
                <c:pt idx="3977">
                  <c:v>87.21832</c:v>
                </c:pt>
                <c:pt idx="3978">
                  <c:v>87.21738</c:v>
                </c:pt>
                <c:pt idx="3979">
                  <c:v>87.21644</c:v>
                </c:pt>
                <c:pt idx="3980">
                  <c:v>87.21543000000001</c:v>
                </c:pt>
                <c:pt idx="3981">
                  <c:v>87.21449</c:v>
                </c:pt>
                <c:pt idx="3982">
                  <c:v>87.21261</c:v>
                </c:pt>
                <c:pt idx="3983">
                  <c:v>87.2116</c:v>
                </c:pt>
                <c:pt idx="3984">
                  <c:v>87.20972</c:v>
                </c:pt>
                <c:pt idx="3985">
                  <c:v>87.20876999999998</c:v>
                </c:pt>
                <c:pt idx="3986">
                  <c:v>87.20777</c:v>
                </c:pt>
                <c:pt idx="3987">
                  <c:v>87.20777</c:v>
                </c:pt>
                <c:pt idx="3988">
                  <c:v>87.20587999999998</c:v>
                </c:pt>
                <c:pt idx="3989">
                  <c:v>87.20587999999998</c:v>
                </c:pt>
                <c:pt idx="3990">
                  <c:v>87.20393</c:v>
                </c:pt>
                <c:pt idx="3991">
                  <c:v>87.20205</c:v>
                </c:pt>
                <c:pt idx="3992">
                  <c:v>87.20104</c:v>
                </c:pt>
                <c:pt idx="3993">
                  <c:v>87.2001</c:v>
                </c:pt>
                <c:pt idx="3994">
                  <c:v>87.19916</c:v>
                </c:pt>
                <c:pt idx="3995">
                  <c:v>87.19822</c:v>
                </c:pt>
                <c:pt idx="3996">
                  <c:v>87.19626</c:v>
                </c:pt>
                <c:pt idx="3997">
                  <c:v>87.19531999999998</c:v>
                </c:pt>
                <c:pt idx="3998">
                  <c:v>87.19437999999998</c:v>
                </c:pt>
                <c:pt idx="3999">
                  <c:v>87.19336999999997</c:v>
                </c:pt>
                <c:pt idx="4000">
                  <c:v>87.19242999999997</c:v>
                </c:pt>
                <c:pt idx="4001">
                  <c:v>87.19149</c:v>
                </c:pt>
                <c:pt idx="4002">
                  <c:v>87.18953999999998</c:v>
                </c:pt>
                <c:pt idx="4003">
                  <c:v>87.18953999999998</c:v>
                </c:pt>
                <c:pt idx="4004">
                  <c:v>87.18766</c:v>
                </c:pt>
                <c:pt idx="4005">
                  <c:v>87.18670999999995</c:v>
                </c:pt>
                <c:pt idx="4006">
                  <c:v>87.18475999999998</c:v>
                </c:pt>
                <c:pt idx="4007">
                  <c:v>87.18287999999878</c:v>
                </c:pt>
                <c:pt idx="4008">
                  <c:v>87.18287999999878</c:v>
                </c:pt>
                <c:pt idx="4009">
                  <c:v>87.18092999999997</c:v>
                </c:pt>
                <c:pt idx="4010">
                  <c:v>87.17998999999975</c:v>
                </c:pt>
                <c:pt idx="4011">
                  <c:v>87.17998999999975</c:v>
                </c:pt>
                <c:pt idx="4012">
                  <c:v>87.17803999999855</c:v>
                </c:pt>
                <c:pt idx="4013">
                  <c:v>87.17709999999998</c:v>
                </c:pt>
                <c:pt idx="4014">
                  <c:v>87.17615999999998</c:v>
                </c:pt>
                <c:pt idx="4015">
                  <c:v>87.17520999999998</c:v>
                </c:pt>
                <c:pt idx="4016">
                  <c:v>87.17421</c:v>
                </c:pt>
                <c:pt idx="4017">
                  <c:v>87.17231999999898</c:v>
                </c:pt>
                <c:pt idx="4018">
                  <c:v>87.17130999999995</c:v>
                </c:pt>
                <c:pt idx="4019">
                  <c:v>87.17036999999995</c:v>
                </c:pt>
                <c:pt idx="4020">
                  <c:v>87.17036999999995</c:v>
                </c:pt>
                <c:pt idx="4021">
                  <c:v>87.16848999999995</c:v>
                </c:pt>
                <c:pt idx="4022">
                  <c:v>87.16748</c:v>
                </c:pt>
                <c:pt idx="4023">
                  <c:v>87.16654</c:v>
                </c:pt>
                <c:pt idx="4024">
                  <c:v>87.16654</c:v>
                </c:pt>
                <c:pt idx="4025">
                  <c:v>87.1656</c:v>
                </c:pt>
                <c:pt idx="4026">
                  <c:v>87.16365</c:v>
                </c:pt>
                <c:pt idx="4027">
                  <c:v>87.16269999999998</c:v>
                </c:pt>
                <c:pt idx="4028">
                  <c:v>87.16082</c:v>
                </c:pt>
                <c:pt idx="4029">
                  <c:v>87.15980999999998</c:v>
                </c:pt>
                <c:pt idx="4030">
                  <c:v>87.15886999999998</c:v>
                </c:pt>
                <c:pt idx="4031">
                  <c:v>87.15886999999998</c:v>
                </c:pt>
                <c:pt idx="4032">
                  <c:v>87.15698999999998</c:v>
                </c:pt>
                <c:pt idx="4033">
                  <c:v>87.15698999999998</c:v>
                </c:pt>
                <c:pt idx="4034">
                  <c:v>87.15597999999908</c:v>
                </c:pt>
                <c:pt idx="4035">
                  <c:v>87.1541</c:v>
                </c:pt>
                <c:pt idx="4036">
                  <c:v>87.15314999999998</c:v>
                </c:pt>
                <c:pt idx="4037">
                  <c:v>87.15214999999998</c:v>
                </c:pt>
                <c:pt idx="4038">
                  <c:v>87.1512</c:v>
                </c:pt>
                <c:pt idx="4039">
                  <c:v>87.1512</c:v>
                </c:pt>
                <c:pt idx="4040">
                  <c:v>87.14932</c:v>
                </c:pt>
                <c:pt idx="4041">
                  <c:v>87.14830999999998</c:v>
                </c:pt>
                <c:pt idx="4042">
                  <c:v>87.14737</c:v>
                </c:pt>
                <c:pt idx="4043">
                  <c:v>87.14737</c:v>
                </c:pt>
                <c:pt idx="4044">
                  <c:v>87.14643</c:v>
                </c:pt>
                <c:pt idx="4045">
                  <c:v>87.14548999999998</c:v>
                </c:pt>
                <c:pt idx="4046">
                  <c:v>87.14354</c:v>
                </c:pt>
                <c:pt idx="4047">
                  <c:v>87.14165</c:v>
                </c:pt>
                <c:pt idx="4048">
                  <c:v>87.13774999999998</c:v>
                </c:pt>
                <c:pt idx="4049">
                  <c:v>87.13586999999998</c:v>
                </c:pt>
                <c:pt idx="4050">
                  <c:v>87.13774999999998</c:v>
                </c:pt>
                <c:pt idx="4051">
                  <c:v>87.13875999999995</c:v>
                </c:pt>
                <c:pt idx="4052">
                  <c:v>87.14259</c:v>
                </c:pt>
                <c:pt idx="4053">
                  <c:v>87.14064</c:v>
                </c:pt>
                <c:pt idx="4054">
                  <c:v>87.13774999999998</c:v>
                </c:pt>
                <c:pt idx="4055">
                  <c:v>87.13680999999998</c:v>
                </c:pt>
                <c:pt idx="4056">
                  <c:v>87.13586999999998</c:v>
                </c:pt>
                <c:pt idx="4057">
                  <c:v>87.13392</c:v>
                </c:pt>
                <c:pt idx="4058">
                  <c:v>87.13297999999975</c:v>
                </c:pt>
                <c:pt idx="4059">
                  <c:v>87.13109</c:v>
                </c:pt>
                <c:pt idx="4060">
                  <c:v>87.13109</c:v>
                </c:pt>
                <c:pt idx="4061">
                  <c:v>87.12913999999998</c:v>
                </c:pt>
                <c:pt idx="4062">
                  <c:v>87.12819999999998</c:v>
                </c:pt>
                <c:pt idx="4063">
                  <c:v>87.12726</c:v>
                </c:pt>
                <c:pt idx="4064">
                  <c:v>87.12726</c:v>
                </c:pt>
                <c:pt idx="4065">
                  <c:v>87.12625</c:v>
                </c:pt>
                <c:pt idx="4066">
                  <c:v>87.12625</c:v>
                </c:pt>
                <c:pt idx="4067">
                  <c:v>87.12342999999998</c:v>
                </c:pt>
                <c:pt idx="4068">
                  <c:v>87.12342999999998</c:v>
                </c:pt>
                <c:pt idx="4069">
                  <c:v>87.12147999999995</c:v>
                </c:pt>
                <c:pt idx="4070">
                  <c:v>87.12052999999997</c:v>
                </c:pt>
                <c:pt idx="4071">
                  <c:v>87.12052999999997</c:v>
                </c:pt>
                <c:pt idx="4072">
                  <c:v>87.11959</c:v>
                </c:pt>
                <c:pt idx="4073">
                  <c:v>87.11857999999998</c:v>
                </c:pt>
                <c:pt idx="4074">
                  <c:v>87.1167</c:v>
                </c:pt>
                <c:pt idx="4075">
                  <c:v>87.11575999999998</c:v>
                </c:pt>
                <c:pt idx="4076">
                  <c:v>87.11475</c:v>
                </c:pt>
                <c:pt idx="4077">
                  <c:v>87.11475</c:v>
                </c:pt>
                <c:pt idx="4078">
                  <c:v>87.11381</c:v>
                </c:pt>
                <c:pt idx="4079">
                  <c:v>87.11193</c:v>
                </c:pt>
                <c:pt idx="4080">
                  <c:v>87.11193</c:v>
                </c:pt>
                <c:pt idx="4081">
                  <c:v>87.11092</c:v>
                </c:pt>
                <c:pt idx="4082">
                  <c:v>87.10902999999997</c:v>
                </c:pt>
                <c:pt idx="4083">
                  <c:v>87.10902999999997</c:v>
                </c:pt>
                <c:pt idx="4084">
                  <c:v>87.10808999999985</c:v>
                </c:pt>
                <c:pt idx="4085">
                  <c:v>87.10613999999998</c:v>
                </c:pt>
                <c:pt idx="4086">
                  <c:v>87.10519999999998</c:v>
                </c:pt>
                <c:pt idx="4087">
                  <c:v>87.10519999999998</c:v>
                </c:pt>
                <c:pt idx="4088">
                  <c:v>87.10426</c:v>
                </c:pt>
                <c:pt idx="4089">
                  <c:v>87.10325</c:v>
                </c:pt>
                <c:pt idx="4090">
                  <c:v>87.10325</c:v>
                </c:pt>
                <c:pt idx="4091">
                  <c:v>87.10230999999965</c:v>
                </c:pt>
                <c:pt idx="4092">
                  <c:v>87.10136999999997</c:v>
                </c:pt>
                <c:pt idx="4093">
                  <c:v>87.10035999999998</c:v>
                </c:pt>
                <c:pt idx="4094">
                  <c:v>87.09942</c:v>
                </c:pt>
                <c:pt idx="4095">
                  <c:v>87.09847999999998</c:v>
                </c:pt>
                <c:pt idx="4096">
                  <c:v>87.09847999999998</c:v>
                </c:pt>
                <c:pt idx="4097">
                  <c:v>87.09753</c:v>
                </c:pt>
                <c:pt idx="4098">
                  <c:v>87.09558</c:v>
                </c:pt>
                <c:pt idx="4099">
                  <c:v>87.09464</c:v>
                </c:pt>
                <c:pt idx="4100">
                  <c:v>87.09464</c:v>
                </c:pt>
                <c:pt idx="4101">
                  <c:v>87.09370000000001</c:v>
                </c:pt>
                <c:pt idx="4102">
                  <c:v>87.09269</c:v>
                </c:pt>
                <c:pt idx="4103">
                  <c:v>87.09175</c:v>
                </c:pt>
                <c:pt idx="4104">
                  <c:v>87.09175</c:v>
                </c:pt>
                <c:pt idx="4105">
                  <c:v>87.08987</c:v>
                </c:pt>
                <c:pt idx="4106">
                  <c:v>87.08885999999998</c:v>
                </c:pt>
                <c:pt idx="4107">
                  <c:v>87.08792</c:v>
                </c:pt>
                <c:pt idx="4108">
                  <c:v>87.08697</c:v>
                </c:pt>
                <c:pt idx="4109">
                  <c:v>87.08603</c:v>
                </c:pt>
                <c:pt idx="4110">
                  <c:v>87.08502</c:v>
                </c:pt>
                <c:pt idx="4111">
                  <c:v>87.08408</c:v>
                </c:pt>
                <c:pt idx="4112">
                  <c:v>87.08408</c:v>
                </c:pt>
                <c:pt idx="4113">
                  <c:v>87.0822</c:v>
                </c:pt>
                <c:pt idx="4114">
                  <c:v>87.08119</c:v>
                </c:pt>
                <c:pt idx="4115">
                  <c:v>87.08119</c:v>
                </c:pt>
                <c:pt idx="4116">
                  <c:v>87.08025</c:v>
                </c:pt>
                <c:pt idx="4117">
                  <c:v>87.07930999999998</c:v>
                </c:pt>
                <c:pt idx="4118">
                  <c:v>87.07836999999998</c:v>
                </c:pt>
                <c:pt idx="4119">
                  <c:v>87.07736</c:v>
                </c:pt>
                <c:pt idx="4120">
                  <c:v>87.07642</c:v>
                </c:pt>
                <c:pt idx="4121">
                  <c:v>87.07642</c:v>
                </c:pt>
                <c:pt idx="4122">
                  <c:v>87.07546999999998</c:v>
                </c:pt>
                <c:pt idx="4123">
                  <c:v>87.07453</c:v>
                </c:pt>
                <c:pt idx="4124">
                  <c:v>87.07352</c:v>
                </c:pt>
                <c:pt idx="4125">
                  <c:v>87.07257999999958</c:v>
                </c:pt>
                <c:pt idx="4126">
                  <c:v>87.07453</c:v>
                </c:pt>
                <c:pt idx="4127">
                  <c:v>87.07069999999997</c:v>
                </c:pt>
                <c:pt idx="4128">
                  <c:v>87.0668</c:v>
                </c:pt>
                <c:pt idx="4129">
                  <c:v>87.0668</c:v>
                </c:pt>
                <c:pt idx="4130">
                  <c:v>87.0668</c:v>
                </c:pt>
                <c:pt idx="4131">
                  <c:v>87.0668</c:v>
                </c:pt>
                <c:pt idx="4132">
                  <c:v>87.0668</c:v>
                </c:pt>
                <c:pt idx="4133">
                  <c:v>87.06586</c:v>
                </c:pt>
                <c:pt idx="4134">
                  <c:v>87.06586</c:v>
                </c:pt>
                <c:pt idx="4135">
                  <c:v>87.0668</c:v>
                </c:pt>
                <c:pt idx="4136">
                  <c:v>87.06491</c:v>
                </c:pt>
                <c:pt idx="4137">
                  <c:v>87.06296</c:v>
                </c:pt>
                <c:pt idx="4138">
                  <c:v>87.06296</c:v>
                </c:pt>
                <c:pt idx="4139">
                  <c:v>87.06202</c:v>
                </c:pt>
                <c:pt idx="4140">
                  <c:v>87.06108</c:v>
                </c:pt>
                <c:pt idx="4141">
                  <c:v>87.06014</c:v>
                </c:pt>
                <c:pt idx="4142">
                  <c:v>87.05818999999998</c:v>
                </c:pt>
                <c:pt idx="4143">
                  <c:v>87.05818999999998</c:v>
                </c:pt>
                <c:pt idx="4144">
                  <c:v>87.05818999999998</c:v>
                </c:pt>
                <c:pt idx="4145">
                  <c:v>87.05630999999998</c:v>
                </c:pt>
                <c:pt idx="4146">
                  <c:v>87.05529999999997</c:v>
                </c:pt>
                <c:pt idx="4147">
                  <c:v>87.05436</c:v>
                </c:pt>
                <c:pt idx="4148">
                  <c:v>87.05246999999998</c:v>
                </c:pt>
                <c:pt idx="4149">
                  <c:v>87.05341</c:v>
                </c:pt>
                <c:pt idx="4150">
                  <c:v>87.05246999999998</c:v>
                </c:pt>
                <c:pt idx="4151">
                  <c:v>87.05246999999998</c:v>
                </c:pt>
                <c:pt idx="4152">
                  <c:v>87.05246999999998</c:v>
                </c:pt>
                <c:pt idx="4153">
                  <c:v>87.05052</c:v>
                </c:pt>
                <c:pt idx="4154">
                  <c:v>87.04958</c:v>
                </c:pt>
                <c:pt idx="4155">
                  <c:v>87.04958</c:v>
                </c:pt>
                <c:pt idx="4156">
                  <c:v>87.04763000000002</c:v>
                </c:pt>
                <c:pt idx="4157">
                  <c:v>87.04669</c:v>
                </c:pt>
                <c:pt idx="4158">
                  <c:v>87.04575</c:v>
                </c:pt>
                <c:pt idx="4159">
                  <c:v>87.04481</c:v>
                </c:pt>
                <c:pt idx="4160">
                  <c:v>87.0438</c:v>
                </c:pt>
                <c:pt idx="4161">
                  <c:v>87.04285</c:v>
                </c:pt>
                <c:pt idx="4162">
                  <c:v>87.04285</c:v>
                </c:pt>
                <c:pt idx="4163">
                  <c:v>87.04097</c:v>
                </c:pt>
                <c:pt idx="4164">
                  <c:v>87.03714</c:v>
                </c:pt>
                <c:pt idx="4165">
                  <c:v>87.03613</c:v>
                </c:pt>
                <c:pt idx="4166">
                  <c:v>87.03714</c:v>
                </c:pt>
                <c:pt idx="4167">
                  <c:v>87.03714</c:v>
                </c:pt>
                <c:pt idx="4168">
                  <c:v>87.03714</c:v>
                </c:pt>
                <c:pt idx="4169">
                  <c:v>87.03714</c:v>
                </c:pt>
                <c:pt idx="4170">
                  <c:v>87.03807999999998</c:v>
                </c:pt>
                <c:pt idx="4171">
                  <c:v>87.03807999999998</c:v>
                </c:pt>
                <c:pt idx="4172">
                  <c:v>87.03613</c:v>
                </c:pt>
                <c:pt idx="4173">
                  <c:v>87.03425</c:v>
                </c:pt>
                <c:pt idx="4174">
                  <c:v>87.03324</c:v>
                </c:pt>
                <c:pt idx="4175">
                  <c:v>87.0323</c:v>
                </c:pt>
                <c:pt idx="4176">
                  <c:v>87.02939999999998</c:v>
                </c:pt>
                <c:pt idx="4177">
                  <c:v>87.02752</c:v>
                </c:pt>
                <c:pt idx="4178">
                  <c:v>87.02657999999998</c:v>
                </c:pt>
                <c:pt idx="4179">
                  <c:v>87.02657999999998</c:v>
                </c:pt>
                <c:pt idx="4180">
                  <c:v>87.03041</c:v>
                </c:pt>
                <c:pt idx="4181">
                  <c:v>87.02845999999998</c:v>
                </c:pt>
                <c:pt idx="4182">
                  <c:v>87.02657999999998</c:v>
                </c:pt>
                <c:pt idx="4183">
                  <c:v>87.02463</c:v>
                </c:pt>
                <c:pt idx="4184">
                  <c:v>87.02463</c:v>
                </c:pt>
                <c:pt idx="4185">
                  <c:v>87.02369</c:v>
                </c:pt>
                <c:pt idx="4186">
                  <c:v>87.02274999999958</c:v>
                </c:pt>
                <c:pt idx="4187">
                  <c:v>87.02173999999998</c:v>
                </c:pt>
                <c:pt idx="4188">
                  <c:v>87.02173999999998</c:v>
                </c:pt>
                <c:pt idx="4189">
                  <c:v>87.01696</c:v>
                </c:pt>
                <c:pt idx="4190">
                  <c:v>87.01602</c:v>
                </c:pt>
                <c:pt idx="4191">
                  <c:v>87.01602</c:v>
                </c:pt>
                <c:pt idx="4192">
                  <c:v>87.01602</c:v>
                </c:pt>
                <c:pt idx="4193">
                  <c:v>87.02078999999995</c:v>
                </c:pt>
                <c:pt idx="4194">
                  <c:v>87.0179</c:v>
                </c:pt>
                <c:pt idx="4195">
                  <c:v>87.01602</c:v>
                </c:pt>
                <c:pt idx="4196">
                  <c:v>87.01508</c:v>
                </c:pt>
                <c:pt idx="4197">
                  <c:v>87.01313</c:v>
                </c:pt>
                <c:pt idx="4198">
                  <c:v>87.01313</c:v>
                </c:pt>
                <c:pt idx="4199">
                  <c:v>87.01219</c:v>
                </c:pt>
                <c:pt idx="4200">
                  <c:v>87.01124</c:v>
                </c:pt>
                <c:pt idx="4201">
                  <c:v>87.01124</c:v>
                </c:pt>
                <c:pt idx="4202">
                  <c:v>87.00929</c:v>
                </c:pt>
                <c:pt idx="4203">
                  <c:v>87.00929</c:v>
                </c:pt>
                <c:pt idx="4204">
                  <c:v>87.00929</c:v>
                </c:pt>
                <c:pt idx="4205">
                  <c:v>87.00741</c:v>
                </c:pt>
                <c:pt idx="4206">
                  <c:v>87.0064</c:v>
                </c:pt>
                <c:pt idx="4207">
                  <c:v>87.00546</c:v>
                </c:pt>
                <c:pt idx="4208">
                  <c:v>87.00452</c:v>
                </c:pt>
                <c:pt idx="4209">
                  <c:v>87.00358</c:v>
                </c:pt>
                <c:pt idx="4210">
                  <c:v>87.00257</c:v>
                </c:pt>
                <c:pt idx="4211">
                  <c:v>87.00163</c:v>
                </c:pt>
                <c:pt idx="4212">
                  <c:v>87.00163</c:v>
                </c:pt>
                <c:pt idx="4213">
                  <c:v>87.00069</c:v>
                </c:pt>
                <c:pt idx="4214">
                  <c:v>86.99968</c:v>
                </c:pt>
                <c:pt idx="4215">
                  <c:v>86.99873</c:v>
                </c:pt>
                <c:pt idx="4216">
                  <c:v>86.99873</c:v>
                </c:pt>
                <c:pt idx="4217">
                  <c:v>86.99779</c:v>
                </c:pt>
                <c:pt idx="4218">
                  <c:v>86.99779</c:v>
                </c:pt>
                <c:pt idx="4219">
                  <c:v>86.99685</c:v>
                </c:pt>
                <c:pt idx="4220">
                  <c:v>86.99685</c:v>
                </c:pt>
                <c:pt idx="4221">
                  <c:v>86.99584</c:v>
                </c:pt>
                <c:pt idx="4222">
                  <c:v>86.9949</c:v>
                </c:pt>
                <c:pt idx="4223">
                  <c:v>86.99396</c:v>
                </c:pt>
                <c:pt idx="4224">
                  <c:v>86.99201</c:v>
                </c:pt>
                <c:pt idx="4225">
                  <c:v>86.99107</c:v>
                </c:pt>
                <c:pt idx="4226">
                  <c:v>86.99013</c:v>
                </c:pt>
                <c:pt idx="4227">
                  <c:v>86.98918</c:v>
                </c:pt>
                <c:pt idx="4228">
                  <c:v>86.98918</c:v>
                </c:pt>
                <c:pt idx="4229">
                  <c:v>86.98818</c:v>
                </c:pt>
                <c:pt idx="4230">
                  <c:v>86.98723</c:v>
                </c:pt>
                <c:pt idx="4231">
                  <c:v>86.98918</c:v>
                </c:pt>
                <c:pt idx="4232">
                  <c:v>86.98246</c:v>
                </c:pt>
                <c:pt idx="4233">
                  <c:v>86.98051</c:v>
                </c:pt>
                <c:pt idx="4234">
                  <c:v>86.98152</c:v>
                </c:pt>
                <c:pt idx="4235">
                  <c:v>86.98152</c:v>
                </c:pt>
                <c:pt idx="4236">
                  <c:v>86.98246</c:v>
                </c:pt>
                <c:pt idx="4237">
                  <c:v>86.98246</c:v>
                </c:pt>
                <c:pt idx="4238">
                  <c:v>86.98246</c:v>
                </c:pt>
                <c:pt idx="4239">
                  <c:v>86.98246</c:v>
                </c:pt>
                <c:pt idx="4240">
                  <c:v>86.97957</c:v>
                </c:pt>
                <c:pt idx="4241">
                  <c:v>86.97863</c:v>
                </c:pt>
                <c:pt idx="4242">
                  <c:v>86.97768</c:v>
                </c:pt>
                <c:pt idx="4243">
                  <c:v>86.97572999999998</c:v>
                </c:pt>
                <c:pt idx="4244">
                  <c:v>86.97572999999998</c:v>
                </c:pt>
                <c:pt idx="4245">
                  <c:v>86.97479</c:v>
                </c:pt>
                <c:pt idx="4246">
                  <c:v>86.97385</c:v>
                </c:pt>
                <c:pt idx="4247">
                  <c:v>86.97283999999995</c:v>
                </c:pt>
                <c:pt idx="4248">
                  <c:v>86.97283999999995</c:v>
                </c:pt>
                <c:pt idx="4249">
                  <c:v>86.97096</c:v>
                </c:pt>
                <c:pt idx="4250">
                  <c:v>86.97096</c:v>
                </c:pt>
                <c:pt idx="4251">
                  <c:v>86.96901</c:v>
                </c:pt>
                <c:pt idx="4252">
                  <c:v>86.96901</c:v>
                </c:pt>
                <c:pt idx="4253">
                  <c:v>86.96807</c:v>
                </c:pt>
                <c:pt idx="4254">
                  <c:v>86.96807</c:v>
                </c:pt>
                <c:pt idx="4255">
                  <c:v>86.96712</c:v>
                </c:pt>
                <c:pt idx="4256">
                  <c:v>86.96612</c:v>
                </c:pt>
                <c:pt idx="4257">
                  <c:v>86.96423</c:v>
                </c:pt>
                <c:pt idx="4258">
                  <c:v>86.96423</c:v>
                </c:pt>
                <c:pt idx="4259">
                  <c:v>86.96329</c:v>
                </c:pt>
                <c:pt idx="4260">
                  <c:v>86.96228</c:v>
                </c:pt>
                <c:pt idx="4261">
                  <c:v>86.96134</c:v>
                </c:pt>
                <c:pt idx="4262">
                  <c:v>86.9604</c:v>
                </c:pt>
                <c:pt idx="4263">
                  <c:v>86.9604</c:v>
                </c:pt>
                <c:pt idx="4264">
                  <c:v>86.95845</c:v>
                </c:pt>
                <c:pt idx="4265">
                  <c:v>86.95845</c:v>
                </c:pt>
                <c:pt idx="4266">
                  <c:v>86.95845</c:v>
                </c:pt>
                <c:pt idx="4267">
                  <c:v>86.95657000000001</c:v>
                </c:pt>
                <c:pt idx="4268">
                  <c:v>86.95562</c:v>
                </c:pt>
                <c:pt idx="4269">
                  <c:v>86.95562</c:v>
                </c:pt>
                <c:pt idx="4270">
                  <c:v>86.95462</c:v>
                </c:pt>
                <c:pt idx="4271">
                  <c:v>86.95367</c:v>
                </c:pt>
                <c:pt idx="4272">
                  <c:v>86.95367</c:v>
                </c:pt>
                <c:pt idx="4273">
                  <c:v>86.95179</c:v>
                </c:pt>
                <c:pt idx="4274">
                  <c:v>86.95179</c:v>
                </c:pt>
                <c:pt idx="4275">
                  <c:v>86.95077999999998</c:v>
                </c:pt>
                <c:pt idx="4276">
                  <c:v>86.94984</c:v>
                </c:pt>
                <c:pt idx="4277">
                  <c:v>86.9489</c:v>
                </c:pt>
                <c:pt idx="4278">
                  <c:v>86.94796</c:v>
                </c:pt>
                <c:pt idx="4279">
                  <c:v>86.94796</c:v>
                </c:pt>
                <c:pt idx="4280">
                  <c:v>86.94695</c:v>
                </c:pt>
                <c:pt idx="4281">
                  <c:v>86.94601</c:v>
                </c:pt>
                <c:pt idx="4282">
                  <c:v>86.94412</c:v>
                </c:pt>
                <c:pt idx="4283">
                  <c:v>86.94217</c:v>
                </c:pt>
                <c:pt idx="4284">
                  <c:v>86.94123</c:v>
                </c:pt>
                <c:pt idx="4285">
                  <c:v>86.94123</c:v>
                </c:pt>
                <c:pt idx="4286">
                  <c:v>86.94123</c:v>
                </c:pt>
                <c:pt idx="4287">
                  <c:v>86.94029</c:v>
                </c:pt>
                <c:pt idx="4288">
                  <c:v>86.93928</c:v>
                </c:pt>
                <c:pt idx="4289">
                  <c:v>86.93833999999998</c:v>
                </c:pt>
                <c:pt idx="4290">
                  <c:v>86.9374</c:v>
                </c:pt>
                <c:pt idx="4291">
                  <c:v>86.9374</c:v>
                </c:pt>
                <c:pt idx="4292">
                  <c:v>86.93646</c:v>
                </c:pt>
                <c:pt idx="4293">
                  <c:v>86.93545</c:v>
                </c:pt>
                <c:pt idx="4294">
                  <c:v>86.93451</c:v>
                </c:pt>
                <c:pt idx="4295">
                  <c:v>86.93451</c:v>
                </c:pt>
                <c:pt idx="4296">
                  <c:v>86.93262</c:v>
                </c:pt>
                <c:pt idx="4297">
                  <c:v>86.93161</c:v>
                </c:pt>
                <c:pt idx="4298">
                  <c:v>86.93067</c:v>
                </c:pt>
                <c:pt idx="4299">
                  <c:v>86.92973</c:v>
                </c:pt>
                <c:pt idx="4300">
                  <c:v>86.92872</c:v>
                </c:pt>
                <c:pt idx="4301">
                  <c:v>86.92872</c:v>
                </c:pt>
                <c:pt idx="4302">
                  <c:v>86.92778</c:v>
                </c:pt>
                <c:pt idx="4303">
                  <c:v>86.92778</c:v>
                </c:pt>
                <c:pt idx="4304">
                  <c:v>86.92684</c:v>
                </c:pt>
                <c:pt idx="4305">
                  <c:v>86.9259</c:v>
                </c:pt>
                <c:pt idx="4306">
                  <c:v>86.92489</c:v>
                </c:pt>
                <c:pt idx="4307">
                  <c:v>86.92395</c:v>
                </c:pt>
                <c:pt idx="4308">
                  <c:v>86.92301</c:v>
                </c:pt>
                <c:pt idx="4309">
                  <c:v>86.92206</c:v>
                </c:pt>
                <c:pt idx="4310">
                  <c:v>86.92105</c:v>
                </c:pt>
                <c:pt idx="4311">
                  <c:v>86.91917</c:v>
                </c:pt>
                <c:pt idx="4312">
                  <c:v>86.91917</c:v>
                </c:pt>
                <c:pt idx="4313">
                  <c:v>86.91823</c:v>
                </c:pt>
                <c:pt idx="4314">
                  <c:v>86.91823</c:v>
                </c:pt>
                <c:pt idx="4315">
                  <c:v>86.91722</c:v>
                </c:pt>
                <c:pt idx="4316">
                  <c:v>86.91628</c:v>
                </c:pt>
                <c:pt idx="4317">
                  <c:v>86.91628</c:v>
                </c:pt>
                <c:pt idx="4318">
                  <c:v>86.91534</c:v>
                </c:pt>
                <c:pt idx="4319">
                  <c:v>86.91339</c:v>
                </c:pt>
                <c:pt idx="4320">
                  <c:v>86.91245</c:v>
                </c:pt>
                <c:pt idx="4321">
                  <c:v>86.91245</c:v>
                </c:pt>
                <c:pt idx="4322">
                  <c:v>86.91056</c:v>
                </c:pt>
                <c:pt idx="4323">
                  <c:v>86.91056</c:v>
                </c:pt>
                <c:pt idx="4324">
                  <c:v>86.91056</c:v>
                </c:pt>
                <c:pt idx="4325">
                  <c:v>86.90861</c:v>
                </c:pt>
                <c:pt idx="4326">
                  <c:v>86.90767</c:v>
                </c:pt>
                <c:pt idx="4327">
                  <c:v>86.90673</c:v>
                </c:pt>
                <c:pt idx="4328">
                  <c:v>86.90572</c:v>
                </c:pt>
                <c:pt idx="4329">
                  <c:v>86.90572</c:v>
                </c:pt>
                <c:pt idx="4330">
                  <c:v>86.90478</c:v>
                </c:pt>
                <c:pt idx="4331">
                  <c:v>86.90384</c:v>
                </c:pt>
                <c:pt idx="4332">
                  <c:v>86.9029</c:v>
                </c:pt>
                <c:pt idx="4333">
                  <c:v>86.9029</c:v>
                </c:pt>
                <c:pt idx="4334">
                  <c:v>86.90095</c:v>
                </c:pt>
                <c:pt idx="4335">
                  <c:v>86.9</c:v>
                </c:pt>
                <c:pt idx="4336">
                  <c:v>86.9</c:v>
                </c:pt>
                <c:pt idx="4337">
                  <c:v>86.89906</c:v>
                </c:pt>
                <c:pt idx="4338">
                  <c:v>86.89805</c:v>
                </c:pt>
                <c:pt idx="4339">
                  <c:v>86.89711</c:v>
                </c:pt>
                <c:pt idx="4340">
                  <c:v>86.89617000000001</c:v>
                </c:pt>
                <c:pt idx="4341">
                  <c:v>86.89516</c:v>
                </c:pt>
                <c:pt idx="4342">
                  <c:v>86.89422</c:v>
                </c:pt>
                <c:pt idx="4343">
                  <c:v>86.89328</c:v>
                </c:pt>
                <c:pt idx="4344">
                  <c:v>86.89328</c:v>
                </c:pt>
                <c:pt idx="4345">
                  <c:v>86.89233999999995</c:v>
                </c:pt>
                <c:pt idx="4346">
                  <c:v>86.89133</c:v>
                </c:pt>
                <c:pt idx="4347">
                  <c:v>86.89038999999998</c:v>
                </c:pt>
                <c:pt idx="4348">
                  <c:v>86.89038999999998</c:v>
                </c:pt>
                <c:pt idx="4349">
                  <c:v>86.88943999999998</c:v>
                </c:pt>
                <c:pt idx="4350">
                  <c:v>86.88943999999998</c:v>
                </c:pt>
                <c:pt idx="4351">
                  <c:v>86.88749</c:v>
                </c:pt>
                <c:pt idx="4352">
                  <c:v>86.88655</c:v>
                </c:pt>
                <c:pt idx="4353">
                  <c:v>86.88655</c:v>
                </c:pt>
                <c:pt idx="4354">
                  <c:v>86.88467</c:v>
                </c:pt>
                <c:pt idx="4355">
                  <c:v>86.88271999999998</c:v>
                </c:pt>
                <c:pt idx="4356">
                  <c:v>86.88177999999998</c:v>
                </c:pt>
                <c:pt idx="4357">
                  <c:v>86.88083999999998</c:v>
                </c:pt>
                <c:pt idx="4358">
                  <c:v>86.88177999999998</c:v>
                </c:pt>
                <c:pt idx="4359">
                  <c:v>86.88177999999998</c:v>
                </c:pt>
                <c:pt idx="4360">
                  <c:v>86.87598999999948</c:v>
                </c:pt>
                <c:pt idx="4361">
                  <c:v>86.87504999999948</c:v>
                </c:pt>
                <c:pt idx="4362">
                  <c:v>86.87504999999948</c:v>
                </c:pt>
                <c:pt idx="4363">
                  <c:v>86.87598999999948</c:v>
                </c:pt>
                <c:pt idx="4364">
                  <c:v>86.87504999999948</c:v>
                </c:pt>
                <c:pt idx="4365">
                  <c:v>86.87504999999948</c:v>
                </c:pt>
                <c:pt idx="4366">
                  <c:v>86.87411</c:v>
                </c:pt>
                <c:pt idx="4367">
                  <c:v>86.87316999999997</c:v>
                </c:pt>
                <c:pt idx="4368">
                  <c:v>86.87215999999998</c:v>
                </c:pt>
                <c:pt idx="4369">
                  <c:v>86.87215999999998</c:v>
                </c:pt>
                <c:pt idx="4370">
                  <c:v>86.87699999999998</c:v>
                </c:pt>
                <c:pt idx="4371">
                  <c:v>86.87316999999997</c:v>
                </c:pt>
                <c:pt idx="4372">
                  <c:v>86.87122</c:v>
                </c:pt>
                <c:pt idx="4373">
                  <c:v>86.86832999999998</c:v>
                </c:pt>
                <c:pt idx="4374">
                  <c:v>86.86737999999998</c:v>
                </c:pt>
                <c:pt idx="4375">
                  <c:v>86.86643999999998</c:v>
                </c:pt>
                <c:pt idx="4376">
                  <c:v>86.86449</c:v>
                </c:pt>
                <c:pt idx="4377">
                  <c:v>86.86449</c:v>
                </c:pt>
                <c:pt idx="4378">
                  <c:v>86.86355</c:v>
                </c:pt>
                <c:pt idx="4379">
                  <c:v>86.86261</c:v>
                </c:pt>
                <c:pt idx="4380">
                  <c:v>86.86261</c:v>
                </c:pt>
                <c:pt idx="4381">
                  <c:v>86.8616</c:v>
                </c:pt>
                <c:pt idx="4382">
                  <c:v>86.8616</c:v>
                </c:pt>
                <c:pt idx="4383">
                  <c:v>86.85971999999998</c:v>
                </c:pt>
                <c:pt idx="4384">
                  <c:v>86.85971999999998</c:v>
                </c:pt>
                <c:pt idx="4385">
                  <c:v>86.85877999999855</c:v>
                </c:pt>
                <c:pt idx="4386">
                  <c:v>86.85877999999855</c:v>
                </c:pt>
                <c:pt idx="4387">
                  <c:v>86.85682999999997</c:v>
                </c:pt>
                <c:pt idx="4388">
                  <c:v>86.85587999999898</c:v>
                </c:pt>
                <c:pt idx="4389">
                  <c:v>86.85494</c:v>
                </c:pt>
                <c:pt idx="4390">
                  <c:v>86.85494</c:v>
                </c:pt>
                <c:pt idx="4391">
                  <c:v>86.85393</c:v>
                </c:pt>
                <c:pt idx="4392">
                  <c:v>86.85204999999995</c:v>
                </c:pt>
                <c:pt idx="4393">
                  <c:v>86.85111</c:v>
                </c:pt>
                <c:pt idx="4394">
                  <c:v>86.85111</c:v>
                </c:pt>
                <c:pt idx="4395">
                  <c:v>86.8501</c:v>
                </c:pt>
                <c:pt idx="4396">
                  <c:v>86.8501</c:v>
                </c:pt>
                <c:pt idx="4397">
                  <c:v>86.84916</c:v>
                </c:pt>
                <c:pt idx="4398">
                  <c:v>86.84728</c:v>
                </c:pt>
                <c:pt idx="4399">
                  <c:v>86.84728</c:v>
                </c:pt>
                <c:pt idx="4400">
                  <c:v>86.84532</c:v>
                </c:pt>
                <c:pt idx="4401">
                  <c:v>86.84532</c:v>
                </c:pt>
                <c:pt idx="4402">
                  <c:v>86.84344</c:v>
                </c:pt>
                <c:pt idx="4403">
                  <c:v>86.84243</c:v>
                </c:pt>
                <c:pt idx="4404">
                  <c:v>86.84149</c:v>
                </c:pt>
                <c:pt idx="4405">
                  <c:v>86.84149</c:v>
                </c:pt>
                <c:pt idx="4406">
                  <c:v>86.84149</c:v>
                </c:pt>
                <c:pt idx="4407">
                  <c:v>86.83961</c:v>
                </c:pt>
                <c:pt idx="4408">
                  <c:v>86.8386</c:v>
                </c:pt>
                <c:pt idx="4409">
                  <c:v>86.83766</c:v>
                </c:pt>
                <c:pt idx="4410">
                  <c:v>86.83672</c:v>
                </c:pt>
                <c:pt idx="4411">
                  <c:v>86.83576999999998</c:v>
                </c:pt>
                <c:pt idx="4412">
                  <c:v>86.83477</c:v>
                </c:pt>
                <c:pt idx="4413">
                  <c:v>86.83382</c:v>
                </c:pt>
                <c:pt idx="4414">
                  <c:v>86.83287999999965</c:v>
                </c:pt>
                <c:pt idx="4415">
                  <c:v>86.83194</c:v>
                </c:pt>
                <c:pt idx="4416">
                  <c:v>86.83194</c:v>
                </c:pt>
                <c:pt idx="4417">
                  <c:v>86.83093</c:v>
                </c:pt>
                <c:pt idx="4418">
                  <c:v>86.82998999999998</c:v>
                </c:pt>
                <c:pt idx="4419">
                  <c:v>86.82904999999998</c:v>
                </c:pt>
                <c:pt idx="4420">
                  <c:v>86.82803999999948</c:v>
                </c:pt>
                <c:pt idx="4421">
                  <c:v>86.82803999999948</c:v>
                </c:pt>
                <c:pt idx="4422">
                  <c:v>86.8271</c:v>
                </c:pt>
                <c:pt idx="4423">
                  <c:v>86.82616</c:v>
                </c:pt>
                <c:pt idx="4424">
                  <c:v>86.82522</c:v>
                </c:pt>
                <c:pt idx="4425">
                  <c:v>86.82421</c:v>
                </c:pt>
                <c:pt idx="4426">
                  <c:v>86.82421</c:v>
                </c:pt>
                <c:pt idx="4427">
                  <c:v>86.82326</c:v>
                </c:pt>
                <c:pt idx="4428">
                  <c:v>86.82231999999995</c:v>
                </c:pt>
                <c:pt idx="4429">
                  <c:v>86.82231999999995</c:v>
                </c:pt>
                <c:pt idx="4430">
                  <c:v>86.82036999999998</c:v>
                </c:pt>
                <c:pt idx="4431">
                  <c:v>86.81943</c:v>
                </c:pt>
                <c:pt idx="4432">
                  <c:v>86.81943</c:v>
                </c:pt>
                <c:pt idx="4433">
                  <c:v>86.81848999999998</c:v>
                </c:pt>
                <c:pt idx="4434">
                  <c:v>86.81755</c:v>
                </c:pt>
                <c:pt idx="4435">
                  <c:v>86.81654</c:v>
                </c:pt>
                <c:pt idx="4436">
                  <c:v>86.8156</c:v>
                </c:pt>
                <c:pt idx="4437">
                  <c:v>86.81466</c:v>
                </c:pt>
                <c:pt idx="4438">
                  <c:v>86.81371</c:v>
                </c:pt>
                <c:pt idx="4439">
                  <c:v>86.81270999999998</c:v>
                </c:pt>
                <c:pt idx="4440">
                  <c:v>86.81176</c:v>
                </c:pt>
                <c:pt idx="4441">
                  <c:v>86.80987999999998</c:v>
                </c:pt>
                <c:pt idx="4442">
                  <c:v>86.80987999999998</c:v>
                </c:pt>
                <c:pt idx="4443">
                  <c:v>86.80886999999998</c:v>
                </c:pt>
                <c:pt idx="4444">
                  <c:v>86.80793000000001</c:v>
                </c:pt>
                <c:pt idx="4445">
                  <c:v>86.80699</c:v>
                </c:pt>
                <c:pt idx="4446">
                  <c:v>86.80605</c:v>
                </c:pt>
                <c:pt idx="4447">
                  <c:v>86.80605</c:v>
                </c:pt>
                <c:pt idx="4448">
                  <c:v>86.80503999999995</c:v>
                </c:pt>
                <c:pt idx="4449">
                  <c:v>86.8041</c:v>
                </c:pt>
                <c:pt idx="4450">
                  <c:v>86.80316</c:v>
                </c:pt>
                <c:pt idx="4451">
                  <c:v>86.80221</c:v>
                </c:pt>
                <c:pt idx="4452">
                  <c:v>86.80221</c:v>
                </c:pt>
                <c:pt idx="4453">
                  <c:v>86.8012</c:v>
                </c:pt>
                <c:pt idx="4454">
                  <c:v>86.79932</c:v>
                </c:pt>
                <c:pt idx="4455">
                  <c:v>86.79837999999998</c:v>
                </c:pt>
                <c:pt idx="4456">
                  <c:v>86.79837999999998</c:v>
                </c:pt>
                <c:pt idx="4457">
                  <c:v>86.79737</c:v>
                </c:pt>
                <c:pt idx="4458">
                  <c:v>86.79737</c:v>
                </c:pt>
                <c:pt idx="4459">
                  <c:v>86.79549</c:v>
                </c:pt>
                <c:pt idx="4460">
                  <c:v>86.79448</c:v>
                </c:pt>
                <c:pt idx="4461">
                  <c:v>86.79354</c:v>
                </c:pt>
                <c:pt idx="4462">
                  <c:v>86.79165</c:v>
                </c:pt>
                <c:pt idx="4463">
                  <c:v>86.78782</c:v>
                </c:pt>
                <c:pt idx="4464">
                  <c:v>86.78782</c:v>
                </c:pt>
                <c:pt idx="4465">
                  <c:v>86.78875999999998</c:v>
                </c:pt>
                <c:pt idx="4466">
                  <c:v>86.79165</c:v>
                </c:pt>
                <c:pt idx="4467">
                  <c:v>86.7926</c:v>
                </c:pt>
                <c:pt idx="4468">
                  <c:v>86.7897</c:v>
                </c:pt>
                <c:pt idx="4469">
                  <c:v>86.78782</c:v>
                </c:pt>
                <c:pt idx="4470">
                  <c:v>86.78586999999997</c:v>
                </c:pt>
                <c:pt idx="4471">
                  <c:v>86.78493</c:v>
                </c:pt>
                <c:pt idx="4472">
                  <c:v>86.78399</c:v>
                </c:pt>
                <c:pt idx="4473">
                  <c:v>86.78297999999998</c:v>
                </c:pt>
                <c:pt idx="4474">
                  <c:v>86.78297999999998</c:v>
                </c:pt>
                <c:pt idx="4475">
                  <c:v>86.7811</c:v>
                </c:pt>
                <c:pt idx="4476">
                  <c:v>86.7811</c:v>
                </c:pt>
                <c:pt idx="4477">
                  <c:v>86.7811</c:v>
                </c:pt>
                <c:pt idx="4478">
                  <c:v>86.77915</c:v>
                </c:pt>
                <c:pt idx="4479">
                  <c:v>86.77915</c:v>
                </c:pt>
                <c:pt idx="4480">
                  <c:v>86.77726</c:v>
                </c:pt>
                <c:pt idx="4481">
                  <c:v>86.77632</c:v>
                </c:pt>
                <c:pt idx="4482">
                  <c:v>86.77530999999995</c:v>
                </c:pt>
                <c:pt idx="4483">
                  <c:v>86.77530999999995</c:v>
                </c:pt>
                <c:pt idx="4484">
                  <c:v>86.77437</c:v>
                </c:pt>
                <c:pt idx="4485">
                  <c:v>86.77248999999995</c:v>
                </c:pt>
                <c:pt idx="4486">
                  <c:v>86.77248999999995</c:v>
                </c:pt>
                <c:pt idx="4487">
                  <c:v>86.77248999999995</c:v>
                </c:pt>
                <c:pt idx="4488">
                  <c:v>86.77053999999998</c:v>
                </c:pt>
                <c:pt idx="4489">
                  <c:v>86.76959</c:v>
                </c:pt>
                <c:pt idx="4490">
                  <c:v>86.76764</c:v>
                </c:pt>
                <c:pt idx="4491">
                  <c:v>86.7667</c:v>
                </c:pt>
                <c:pt idx="4492">
                  <c:v>86.76576</c:v>
                </c:pt>
                <c:pt idx="4493">
                  <c:v>86.76482</c:v>
                </c:pt>
                <c:pt idx="4494">
                  <c:v>86.76482</c:v>
                </c:pt>
                <c:pt idx="4495">
                  <c:v>86.76287</c:v>
                </c:pt>
                <c:pt idx="4496">
                  <c:v>86.76287</c:v>
                </c:pt>
                <c:pt idx="4497">
                  <c:v>86.76193</c:v>
                </c:pt>
                <c:pt idx="4498">
                  <c:v>86.76092</c:v>
                </c:pt>
                <c:pt idx="4499">
                  <c:v>86.76092</c:v>
                </c:pt>
                <c:pt idx="4500">
                  <c:v>86.75998</c:v>
                </c:pt>
                <c:pt idx="4501">
                  <c:v>86.75904</c:v>
                </c:pt>
                <c:pt idx="4502">
                  <c:v>86.75808999999998</c:v>
                </c:pt>
                <c:pt idx="4503">
                  <c:v>86.75709</c:v>
                </c:pt>
                <c:pt idx="4504">
                  <c:v>86.75614</c:v>
                </c:pt>
                <c:pt idx="4505">
                  <c:v>86.7552</c:v>
                </c:pt>
                <c:pt idx="4506">
                  <c:v>86.75426</c:v>
                </c:pt>
                <c:pt idx="4507">
                  <c:v>86.7552</c:v>
                </c:pt>
                <c:pt idx="4508">
                  <c:v>86.74848</c:v>
                </c:pt>
                <c:pt idx="4509">
                  <c:v>86.74753000000002</c:v>
                </c:pt>
                <c:pt idx="4510">
                  <c:v>86.74942</c:v>
                </c:pt>
                <c:pt idx="4511">
                  <c:v>86.75426</c:v>
                </c:pt>
                <c:pt idx="4512">
                  <c:v>86.75137</c:v>
                </c:pt>
                <c:pt idx="4513">
                  <c:v>86.74942</c:v>
                </c:pt>
                <c:pt idx="4514">
                  <c:v>86.74753000000002</c:v>
                </c:pt>
                <c:pt idx="4515">
                  <c:v>86.74659</c:v>
                </c:pt>
                <c:pt idx="4516">
                  <c:v>86.74659</c:v>
                </c:pt>
                <c:pt idx="4517">
                  <c:v>86.74464</c:v>
                </c:pt>
                <c:pt idx="4518">
                  <c:v>86.74464</c:v>
                </c:pt>
                <c:pt idx="4519">
                  <c:v>86.7437</c:v>
                </c:pt>
                <c:pt idx="4520">
                  <c:v>86.74276</c:v>
                </c:pt>
                <c:pt idx="4521">
                  <c:v>86.74175</c:v>
                </c:pt>
                <c:pt idx="4522">
                  <c:v>86.74081</c:v>
                </c:pt>
                <c:pt idx="4523">
                  <c:v>86.73893</c:v>
                </c:pt>
                <c:pt idx="4524">
                  <c:v>86.73893</c:v>
                </c:pt>
                <c:pt idx="4525">
                  <c:v>86.73792</c:v>
                </c:pt>
                <c:pt idx="4526">
                  <c:v>86.73893</c:v>
                </c:pt>
                <c:pt idx="4527">
                  <c:v>86.73408</c:v>
                </c:pt>
                <c:pt idx="4528">
                  <c:v>86.73126</c:v>
                </c:pt>
                <c:pt idx="4529">
                  <c:v>86.7322</c:v>
                </c:pt>
                <c:pt idx="4530">
                  <c:v>86.73314</c:v>
                </c:pt>
                <c:pt idx="4531">
                  <c:v>86.73408</c:v>
                </c:pt>
                <c:pt idx="4532">
                  <c:v>86.73603</c:v>
                </c:pt>
                <c:pt idx="4533">
                  <c:v>86.73314</c:v>
                </c:pt>
                <c:pt idx="4534">
                  <c:v>86.73126</c:v>
                </c:pt>
                <c:pt idx="4535">
                  <c:v>86.73025</c:v>
                </c:pt>
                <c:pt idx="4536">
                  <c:v>86.73025</c:v>
                </c:pt>
                <c:pt idx="4537">
                  <c:v>86.72836999999998</c:v>
                </c:pt>
                <c:pt idx="4538">
                  <c:v>86.72743000000001</c:v>
                </c:pt>
                <c:pt idx="4539">
                  <c:v>86.72743000000001</c:v>
                </c:pt>
                <c:pt idx="4540">
                  <c:v>86.72642</c:v>
                </c:pt>
                <c:pt idx="4541">
                  <c:v>86.72547999999995</c:v>
                </c:pt>
                <c:pt idx="4542">
                  <c:v>86.72352</c:v>
                </c:pt>
                <c:pt idx="4543">
                  <c:v>86.72352</c:v>
                </c:pt>
                <c:pt idx="4544">
                  <c:v>86.7207</c:v>
                </c:pt>
                <c:pt idx="4545">
                  <c:v>86.71969</c:v>
                </c:pt>
                <c:pt idx="4546">
                  <c:v>86.71969</c:v>
                </c:pt>
                <c:pt idx="4547">
                  <c:v>86.71969</c:v>
                </c:pt>
                <c:pt idx="4548">
                  <c:v>86.71875</c:v>
                </c:pt>
                <c:pt idx="4549">
                  <c:v>86.71781</c:v>
                </c:pt>
                <c:pt idx="4550">
                  <c:v>86.71781</c:v>
                </c:pt>
                <c:pt idx="4551">
                  <c:v>86.71875</c:v>
                </c:pt>
                <c:pt idx="4552">
                  <c:v>86.71781</c:v>
                </c:pt>
                <c:pt idx="4553">
                  <c:v>86.71586</c:v>
                </c:pt>
                <c:pt idx="4554">
                  <c:v>86.71397</c:v>
                </c:pt>
                <c:pt idx="4555">
                  <c:v>86.71397</c:v>
                </c:pt>
                <c:pt idx="4556">
                  <c:v>86.71303</c:v>
                </c:pt>
                <c:pt idx="4557">
                  <c:v>86.71202</c:v>
                </c:pt>
                <c:pt idx="4558">
                  <c:v>86.71014</c:v>
                </c:pt>
                <c:pt idx="4559">
                  <c:v>86.7092</c:v>
                </c:pt>
                <c:pt idx="4560">
                  <c:v>86.7092</c:v>
                </c:pt>
                <c:pt idx="4561">
                  <c:v>86.70819</c:v>
                </c:pt>
                <c:pt idx="4562">
                  <c:v>86.70819</c:v>
                </c:pt>
                <c:pt idx="4563">
                  <c:v>86.70631</c:v>
                </c:pt>
                <c:pt idx="4564">
                  <c:v>86.70536999999997</c:v>
                </c:pt>
                <c:pt idx="4565">
                  <c:v>86.70536999999997</c:v>
                </c:pt>
                <c:pt idx="4566">
                  <c:v>86.70436</c:v>
                </c:pt>
                <c:pt idx="4567">
                  <c:v>86.70342</c:v>
                </c:pt>
                <c:pt idx="4568">
                  <c:v>86.70247</c:v>
                </c:pt>
                <c:pt idx="4569">
                  <c:v>86.70153</c:v>
                </c:pt>
                <c:pt idx="4570">
                  <c:v>86.70052</c:v>
                </c:pt>
                <c:pt idx="4571">
                  <c:v>86.69957999999998</c:v>
                </c:pt>
                <c:pt idx="4572">
                  <c:v>86.69957999999998</c:v>
                </c:pt>
                <c:pt idx="4573">
                  <c:v>86.69863999999998</c:v>
                </c:pt>
                <c:pt idx="4574">
                  <c:v>86.69770000000001</c:v>
                </c:pt>
                <c:pt idx="4575">
                  <c:v>86.69669</c:v>
                </c:pt>
                <c:pt idx="4576">
                  <c:v>86.69481</c:v>
                </c:pt>
                <c:pt idx="4577">
                  <c:v>86.69481</c:v>
                </c:pt>
                <c:pt idx="4578">
                  <c:v>86.69481</c:v>
                </c:pt>
                <c:pt idx="4579">
                  <c:v>86.69386</c:v>
                </c:pt>
                <c:pt idx="4580">
                  <c:v>86.69285999999998</c:v>
                </c:pt>
                <c:pt idx="4581">
                  <c:v>86.69097</c:v>
                </c:pt>
                <c:pt idx="4582">
                  <c:v>86.69191</c:v>
                </c:pt>
                <c:pt idx="4583">
                  <c:v>86.68996</c:v>
                </c:pt>
                <c:pt idx="4584">
                  <c:v>86.68996</c:v>
                </c:pt>
                <c:pt idx="4585">
                  <c:v>86.68518999999995</c:v>
                </c:pt>
                <c:pt idx="4586">
                  <c:v>86.68425</c:v>
                </c:pt>
                <c:pt idx="4587">
                  <c:v>86.68425</c:v>
                </c:pt>
                <c:pt idx="4588">
                  <c:v>86.68996</c:v>
                </c:pt>
                <c:pt idx="4589">
                  <c:v>86.68807999999908</c:v>
                </c:pt>
                <c:pt idx="4590">
                  <c:v>86.68613</c:v>
                </c:pt>
                <c:pt idx="4591">
                  <c:v>86.68425</c:v>
                </c:pt>
                <c:pt idx="4592">
                  <c:v>86.68330999999995</c:v>
                </c:pt>
                <c:pt idx="4593">
                  <c:v>86.68330999999995</c:v>
                </c:pt>
                <c:pt idx="4594">
                  <c:v>86.68229999999998</c:v>
                </c:pt>
                <c:pt idx="4595">
                  <c:v>86.68040999999998</c:v>
                </c:pt>
                <c:pt idx="4596">
                  <c:v>86.67946999999998</c:v>
                </c:pt>
                <c:pt idx="4597">
                  <c:v>86.67752</c:v>
                </c:pt>
                <c:pt idx="4598">
                  <c:v>86.67752</c:v>
                </c:pt>
                <c:pt idx="4599">
                  <c:v>86.67657999999938</c:v>
                </c:pt>
                <c:pt idx="4600">
                  <c:v>86.67563999999938</c:v>
                </c:pt>
                <c:pt idx="4601">
                  <c:v>86.67463</c:v>
                </c:pt>
                <c:pt idx="4602">
                  <c:v>86.67463</c:v>
                </c:pt>
                <c:pt idx="4603">
                  <c:v>86.67368999999998</c:v>
                </c:pt>
                <c:pt idx="4604">
                  <c:v>86.67274999999825</c:v>
                </c:pt>
                <c:pt idx="4605">
                  <c:v>86.67274999999825</c:v>
                </c:pt>
                <c:pt idx="4606">
                  <c:v>86.67180999999998</c:v>
                </c:pt>
                <c:pt idx="4607">
                  <c:v>86.67079999999908</c:v>
                </c:pt>
                <c:pt idx="4608">
                  <c:v>86.66984999999998</c:v>
                </c:pt>
                <c:pt idx="4609">
                  <c:v>86.66890999999998</c:v>
                </c:pt>
                <c:pt idx="4610">
                  <c:v>86.66797</c:v>
                </c:pt>
                <c:pt idx="4611">
                  <c:v>86.66797</c:v>
                </c:pt>
                <c:pt idx="4612">
                  <c:v>86.66696</c:v>
                </c:pt>
                <c:pt idx="4613">
                  <c:v>86.66696</c:v>
                </c:pt>
                <c:pt idx="4614">
                  <c:v>86.66696</c:v>
                </c:pt>
                <c:pt idx="4615">
                  <c:v>86.66507999999965</c:v>
                </c:pt>
                <c:pt idx="4616">
                  <c:v>86.66414</c:v>
                </c:pt>
                <c:pt idx="4617">
                  <c:v>86.66414</c:v>
                </c:pt>
                <c:pt idx="4618">
                  <c:v>86.66218999999998</c:v>
                </c:pt>
                <c:pt idx="4619">
                  <c:v>86.66218999999998</c:v>
                </c:pt>
                <c:pt idx="4620">
                  <c:v>86.66125</c:v>
                </c:pt>
                <c:pt idx="4621">
                  <c:v>86.6603</c:v>
                </c:pt>
                <c:pt idx="4622">
                  <c:v>86.65929999999997</c:v>
                </c:pt>
                <c:pt idx="4623">
                  <c:v>86.65834999999888</c:v>
                </c:pt>
                <c:pt idx="4624">
                  <c:v>86.65741</c:v>
                </c:pt>
                <c:pt idx="4625">
                  <c:v>86.65741</c:v>
                </c:pt>
                <c:pt idx="4626">
                  <c:v>86.65545999999995</c:v>
                </c:pt>
                <c:pt idx="4627">
                  <c:v>86.65452</c:v>
                </c:pt>
                <c:pt idx="4628">
                  <c:v>86.65452</c:v>
                </c:pt>
                <c:pt idx="4629">
                  <c:v>86.65357999999995</c:v>
                </c:pt>
                <c:pt idx="4630">
                  <c:v>86.65163</c:v>
                </c:pt>
                <c:pt idx="4631">
                  <c:v>86.65163</c:v>
                </c:pt>
                <c:pt idx="4632">
                  <c:v>86.65068999999998</c:v>
                </c:pt>
                <c:pt idx="4633">
                  <c:v>86.64974999999998</c:v>
                </c:pt>
                <c:pt idx="4634">
                  <c:v>86.64873999999975</c:v>
                </c:pt>
                <c:pt idx="4635">
                  <c:v>86.64873999999975</c:v>
                </c:pt>
                <c:pt idx="4636">
                  <c:v>86.64779</c:v>
                </c:pt>
                <c:pt idx="4637">
                  <c:v>86.64685</c:v>
                </c:pt>
                <c:pt idx="4638">
                  <c:v>86.64591</c:v>
                </c:pt>
                <c:pt idx="4639">
                  <c:v>86.6449</c:v>
                </c:pt>
                <c:pt idx="4640">
                  <c:v>86.64396</c:v>
                </c:pt>
                <c:pt idx="4641">
                  <c:v>86.64396</c:v>
                </c:pt>
                <c:pt idx="4642">
                  <c:v>86.64396</c:v>
                </c:pt>
                <c:pt idx="4643">
                  <c:v>86.64302</c:v>
                </c:pt>
                <c:pt idx="4644">
                  <c:v>86.64207999999998</c:v>
                </c:pt>
                <c:pt idx="4645">
                  <c:v>86.64107000000001</c:v>
                </c:pt>
                <c:pt idx="4646">
                  <c:v>86.64107000000001</c:v>
                </c:pt>
                <c:pt idx="4647">
                  <c:v>86.64013000000001</c:v>
                </c:pt>
                <c:pt idx="4648">
                  <c:v>86.63919</c:v>
                </c:pt>
                <c:pt idx="4649">
                  <c:v>86.63919</c:v>
                </c:pt>
                <c:pt idx="4650">
                  <c:v>86.63724</c:v>
                </c:pt>
                <c:pt idx="4651">
                  <c:v>86.63629</c:v>
                </c:pt>
                <c:pt idx="4652">
                  <c:v>86.63629</c:v>
                </c:pt>
                <c:pt idx="4653">
                  <c:v>86.63534999999958</c:v>
                </c:pt>
                <c:pt idx="4654">
                  <c:v>86.63441</c:v>
                </c:pt>
                <c:pt idx="4655">
                  <c:v>86.63152</c:v>
                </c:pt>
                <c:pt idx="4656">
                  <c:v>86.63152</c:v>
                </c:pt>
                <c:pt idx="4657">
                  <c:v>86.63152</c:v>
                </c:pt>
                <c:pt idx="4658">
                  <c:v>86.63057999999998</c:v>
                </c:pt>
                <c:pt idx="4659">
                  <c:v>86.63057999999998</c:v>
                </c:pt>
                <c:pt idx="4660">
                  <c:v>86.62956999999998</c:v>
                </c:pt>
                <c:pt idx="4661">
                  <c:v>86.62862999999998</c:v>
                </c:pt>
                <c:pt idx="4662">
                  <c:v>86.62769</c:v>
                </c:pt>
                <c:pt idx="4663">
                  <c:v>86.62673999999878</c:v>
                </c:pt>
                <c:pt idx="4664">
                  <c:v>86.62673999999878</c:v>
                </c:pt>
                <c:pt idx="4665">
                  <c:v>86.62572999999985</c:v>
                </c:pt>
                <c:pt idx="4666">
                  <c:v>86.62572999999985</c:v>
                </c:pt>
                <c:pt idx="4667">
                  <c:v>86.62384999999995</c:v>
                </c:pt>
                <c:pt idx="4668">
                  <c:v>86.62384999999995</c:v>
                </c:pt>
                <c:pt idx="4669">
                  <c:v>86.62283999999858</c:v>
                </c:pt>
                <c:pt idx="4670">
                  <c:v>86.62189999999998</c:v>
                </c:pt>
                <c:pt idx="4671">
                  <c:v>86.62095999999998</c:v>
                </c:pt>
                <c:pt idx="4672">
                  <c:v>86.62001999999998</c:v>
                </c:pt>
                <c:pt idx="4673">
                  <c:v>86.61901</c:v>
                </c:pt>
                <c:pt idx="4674">
                  <c:v>86.61806999999997</c:v>
                </c:pt>
                <c:pt idx="4675">
                  <c:v>86.61901</c:v>
                </c:pt>
                <c:pt idx="4676">
                  <c:v>86.61901</c:v>
                </c:pt>
                <c:pt idx="4677">
                  <c:v>86.61713</c:v>
                </c:pt>
                <c:pt idx="4678">
                  <c:v>86.61618</c:v>
                </c:pt>
                <c:pt idx="4679">
                  <c:v>86.61423</c:v>
                </c:pt>
                <c:pt idx="4680">
                  <c:v>86.61234999999998</c:v>
                </c:pt>
                <c:pt idx="4681">
                  <c:v>86.61234999999998</c:v>
                </c:pt>
                <c:pt idx="4682">
                  <c:v>86.61234999999998</c:v>
                </c:pt>
                <c:pt idx="4683">
                  <c:v>86.61329</c:v>
                </c:pt>
                <c:pt idx="4684">
                  <c:v>86.61234999999998</c:v>
                </c:pt>
                <c:pt idx="4685">
                  <c:v>86.61134</c:v>
                </c:pt>
                <c:pt idx="4686">
                  <c:v>86.6104</c:v>
                </c:pt>
                <c:pt idx="4687">
                  <c:v>86.60946</c:v>
                </c:pt>
                <c:pt idx="4688">
                  <c:v>86.60852</c:v>
                </c:pt>
                <c:pt idx="4689">
                  <c:v>86.60751</c:v>
                </c:pt>
                <c:pt idx="4690">
                  <c:v>86.60751</c:v>
                </c:pt>
                <c:pt idx="4691">
                  <c:v>86.60657</c:v>
                </c:pt>
                <c:pt idx="4692">
                  <c:v>86.60468</c:v>
                </c:pt>
                <c:pt idx="4693">
                  <c:v>86.60367</c:v>
                </c:pt>
                <c:pt idx="4694">
                  <c:v>86.60563</c:v>
                </c:pt>
                <c:pt idx="4695">
                  <c:v>86.60084999999998</c:v>
                </c:pt>
                <c:pt idx="4696">
                  <c:v>86.60084999999998</c:v>
                </c:pt>
                <c:pt idx="4697">
                  <c:v>86.60178999999998</c:v>
                </c:pt>
                <c:pt idx="4698">
                  <c:v>86.60178999999998</c:v>
                </c:pt>
                <c:pt idx="4699">
                  <c:v>86.60563</c:v>
                </c:pt>
                <c:pt idx="4700">
                  <c:v>86.60272999999998</c:v>
                </c:pt>
                <c:pt idx="4701">
                  <c:v>86.60084999999998</c:v>
                </c:pt>
                <c:pt idx="4702">
                  <c:v>86.60084999999998</c:v>
                </c:pt>
                <c:pt idx="4703">
                  <c:v>86.59601</c:v>
                </c:pt>
                <c:pt idx="4704">
                  <c:v>86.59507</c:v>
                </c:pt>
                <c:pt idx="4705">
                  <c:v>86.59507</c:v>
                </c:pt>
                <c:pt idx="4706">
                  <c:v>86.59507</c:v>
                </c:pt>
                <c:pt idx="4707">
                  <c:v>86.59412</c:v>
                </c:pt>
                <c:pt idx="4708">
                  <c:v>86.59412</c:v>
                </c:pt>
                <c:pt idx="4709">
                  <c:v>86.59601</c:v>
                </c:pt>
                <c:pt idx="4710">
                  <c:v>86.59123</c:v>
                </c:pt>
                <c:pt idx="4711">
                  <c:v>86.59123</c:v>
                </c:pt>
                <c:pt idx="4712">
                  <c:v>86.59507</c:v>
                </c:pt>
                <c:pt idx="4713">
                  <c:v>86.59318</c:v>
                </c:pt>
                <c:pt idx="4714">
                  <c:v>86.59123</c:v>
                </c:pt>
                <c:pt idx="4715">
                  <c:v>86.58928</c:v>
                </c:pt>
                <c:pt idx="4716">
                  <c:v>86.5874</c:v>
                </c:pt>
                <c:pt idx="4717">
                  <c:v>86.5874</c:v>
                </c:pt>
                <c:pt idx="4718">
                  <c:v>86.58646</c:v>
                </c:pt>
                <c:pt idx="4719">
                  <c:v>86.58544999999998</c:v>
                </c:pt>
                <c:pt idx="4720">
                  <c:v>86.58451</c:v>
                </c:pt>
                <c:pt idx="4721">
                  <c:v>86.58357</c:v>
                </c:pt>
                <c:pt idx="4722">
                  <c:v>86.58262</c:v>
                </c:pt>
                <c:pt idx="4723">
                  <c:v>86.58262</c:v>
                </c:pt>
                <c:pt idx="4724">
                  <c:v>86.58162</c:v>
                </c:pt>
                <c:pt idx="4725">
                  <c:v>86.57972999999998</c:v>
                </c:pt>
                <c:pt idx="4726">
                  <c:v>86.57878999999878</c:v>
                </c:pt>
                <c:pt idx="4727">
                  <c:v>86.57878999999878</c:v>
                </c:pt>
                <c:pt idx="4728">
                  <c:v>86.57777999999985</c:v>
                </c:pt>
                <c:pt idx="4729">
                  <c:v>86.57683999999985</c:v>
                </c:pt>
                <c:pt idx="4730">
                  <c:v>86.57683999999985</c:v>
                </c:pt>
                <c:pt idx="4731">
                  <c:v>86.57496</c:v>
                </c:pt>
                <c:pt idx="4732">
                  <c:v>86.57496</c:v>
                </c:pt>
                <c:pt idx="4733">
                  <c:v>86.57496</c:v>
                </c:pt>
                <c:pt idx="4734">
                  <c:v>86.57300999999998</c:v>
                </c:pt>
                <c:pt idx="4735">
                  <c:v>86.57205999999998</c:v>
                </c:pt>
                <c:pt idx="4736">
                  <c:v>86.57205999999998</c:v>
                </c:pt>
                <c:pt idx="4737">
                  <c:v>86.57011</c:v>
                </c:pt>
                <c:pt idx="4738">
                  <c:v>86.56917</c:v>
                </c:pt>
                <c:pt idx="4739">
                  <c:v>86.56917</c:v>
                </c:pt>
                <c:pt idx="4740">
                  <c:v>86.56917</c:v>
                </c:pt>
                <c:pt idx="4741">
                  <c:v>86.56823</c:v>
                </c:pt>
                <c:pt idx="4742">
                  <c:v>86.56729</c:v>
                </c:pt>
                <c:pt idx="4743">
                  <c:v>86.56628</c:v>
                </c:pt>
                <c:pt idx="4744">
                  <c:v>86.56533999999998</c:v>
                </c:pt>
                <c:pt idx="4745">
                  <c:v>86.56533999999998</c:v>
                </c:pt>
                <c:pt idx="4746">
                  <c:v>86.56346</c:v>
                </c:pt>
                <c:pt idx="4747">
                  <c:v>86.56346</c:v>
                </c:pt>
                <c:pt idx="4748">
                  <c:v>86.56151</c:v>
                </c:pt>
                <c:pt idx="4749">
                  <c:v>86.56151</c:v>
                </c:pt>
                <c:pt idx="4750">
                  <c:v>86.56056</c:v>
                </c:pt>
                <c:pt idx="4751">
                  <c:v>86.55962</c:v>
                </c:pt>
                <c:pt idx="4752">
                  <c:v>86.55861</c:v>
                </c:pt>
                <c:pt idx="4753">
                  <c:v>86.55767</c:v>
                </c:pt>
                <c:pt idx="4754">
                  <c:v>86.55672999999997</c:v>
                </c:pt>
                <c:pt idx="4755">
                  <c:v>86.55571999999998</c:v>
                </c:pt>
                <c:pt idx="4756">
                  <c:v>86.55571999999998</c:v>
                </c:pt>
                <c:pt idx="4757">
                  <c:v>86.55477999999998</c:v>
                </c:pt>
                <c:pt idx="4758">
                  <c:v>86.55383999999998</c:v>
                </c:pt>
                <c:pt idx="4759">
                  <c:v>86.55289999999998</c:v>
                </c:pt>
                <c:pt idx="4760">
                  <c:v>86.55189</c:v>
                </c:pt>
                <c:pt idx="4761">
                  <c:v>86.55189</c:v>
                </c:pt>
                <c:pt idx="4762">
                  <c:v>86.55095</c:v>
                </c:pt>
                <c:pt idx="4763">
                  <c:v>86.55</c:v>
                </c:pt>
                <c:pt idx="4764">
                  <c:v>86.54906</c:v>
                </c:pt>
                <c:pt idx="4765">
                  <c:v>86.54906</c:v>
                </c:pt>
                <c:pt idx="4766">
                  <c:v>86.54805</c:v>
                </c:pt>
                <c:pt idx="4767">
                  <c:v>86.54711</c:v>
                </c:pt>
                <c:pt idx="4768">
                  <c:v>86.54805</c:v>
                </c:pt>
                <c:pt idx="4769">
                  <c:v>86.54233999999998</c:v>
                </c:pt>
                <c:pt idx="4770">
                  <c:v>86.54039</c:v>
                </c:pt>
                <c:pt idx="4771">
                  <c:v>86.5414</c:v>
                </c:pt>
                <c:pt idx="4772">
                  <c:v>86.5414</c:v>
                </c:pt>
                <c:pt idx="4773">
                  <c:v>86.54039</c:v>
                </c:pt>
                <c:pt idx="4774">
                  <c:v>86.5414</c:v>
                </c:pt>
                <c:pt idx="4775">
                  <c:v>86.54039</c:v>
                </c:pt>
                <c:pt idx="4776">
                  <c:v>86.54039</c:v>
                </c:pt>
                <c:pt idx="4777">
                  <c:v>86.5414</c:v>
                </c:pt>
                <c:pt idx="4778">
                  <c:v>86.54039</c:v>
                </c:pt>
                <c:pt idx="4779">
                  <c:v>86.5385</c:v>
                </c:pt>
                <c:pt idx="4780">
                  <c:v>86.53655</c:v>
                </c:pt>
                <c:pt idx="4781">
                  <c:v>86.53561</c:v>
                </c:pt>
                <c:pt idx="4782">
                  <c:v>86.53467</c:v>
                </c:pt>
                <c:pt idx="4783">
                  <c:v>86.53373</c:v>
                </c:pt>
                <c:pt idx="4784">
                  <c:v>86.53178</c:v>
                </c:pt>
                <c:pt idx="4785">
                  <c:v>86.53178</c:v>
                </c:pt>
                <c:pt idx="4786">
                  <c:v>86.53084</c:v>
                </c:pt>
                <c:pt idx="4787">
                  <c:v>86.52888999999985</c:v>
                </c:pt>
                <c:pt idx="4788">
                  <c:v>86.527</c:v>
                </c:pt>
                <c:pt idx="4789">
                  <c:v>86.527</c:v>
                </c:pt>
                <c:pt idx="4790">
                  <c:v>86.52606</c:v>
                </c:pt>
                <c:pt idx="4791">
                  <c:v>86.52504999999998</c:v>
                </c:pt>
                <c:pt idx="4792">
                  <c:v>86.52411</c:v>
                </c:pt>
                <c:pt idx="4793">
                  <c:v>86.52411</c:v>
                </c:pt>
                <c:pt idx="4794">
                  <c:v>86.52317</c:v>
                </c:pt>
                <c:pt idx="4795">
                  <c:v>86.52223</c:v>
                </c:pt>
                <c:pt idx="4796">
                  <c:v>86.52223</c:v>
                </c:pt>
                <c:pt idx="4797">
                  <c:v>86.52122</c:v>
                </c:pt>
                <c:pt idx="4798">
                  <c:v>86.51934</c:v>
                </c:pt>
                <c:pt idx="4799">
                  <c:v>86.51934</c:v>
                </c:pt>
                <c:pt idx="4800">
                  <c:v>86.51833</c:v>
                </c:pt>
                <c:pt idx="4801">
                  <c:v>86.51739</c:v>
                </c:pt>
                <c:pt idx="4802">
                  <c:v>86.51644</c:v>
                </c:pt>
                <c:pt idx="4803">
                  <c:v>86.51644</c:v>
                </c:pt>
                <c:pt idx="4804">
                  <c:v>86.5155</c:v>
                </c:pt>
                <c:pt idx="4805">
                  <c:v>86.51355</c:v>
                </c:pt>
                <c:pt idx="4806">
                  <c:v>86.51261</c:v>
                </c:pt>
                <c:pt idx="4807">
                  <c:v>86.51261</c:v>
                </c:pt>
                <c:pt idx="4808">
                  <c:v>86.51066</c:v>
                </c:pt>
                <c:pt idx="4809">
                  <c:v>86.50972</c:v>
                </c:pt>
                <c:pt idx="4810">
                  <c:v>86.50877999999948</c:v>
                </c:pt>
                <c:pt idx="4811">
                  <c:v>86.50877999999948</c:v>
                </c:pt>
                <c:pt idx="4812">
                  <c:v>86.50784</c:v>
                </c:pt>
                <c:pt idx="4813">
                  <c:v>86.50683</c:v>
                </c:pt>
                <c:pt idx="4814">
                  <c:v>86.50494</c:v>
                </c:pt>
                <c:pt idx="4815">
                  <c:v>86.50494</c:v>
                </c:pt>
                <c:pt idx="4816">
                  <c:v>86.50494</c:v>
                </c:pt>
                <c:pt idx="4817">
                  <c:v>86.50298999999998</c:v>
                </c:pt>
                <c:pt idx="4818">
                  <c:v>86.504</c:v>
                </c:pt>
                <c:pt idx="4819">
                  <c:v>86.49633</c:v>
                </c:pt>
                <c:pt idx="4820">
                  <c:v>86.49633</c:v>
                </c:pt>
                <c:pt idx="4821">
                  <c:v>86.50017</c:v>
                </c:pt>
                <c:pt idx="4822">
                  <c:v>86.50298999999998</c:v>
                </c:pt>
                <c:pt idx="4823">
                  <c:v>86.49916</c:v>
                </c:pt>
                <c:pt idx="4824">
                  <c:v>86.49728</c:v>
                </c:pt>
                <c:pt idx="4825">
                  <c:v>86.49633</c:v>
                </c:pt>
                <c:pt idx="4826">
                  <c:v>86.49533</c:v>
                </c:pt>
                <c:pt idx="4827">
                  <c:v>86.49438</c:v>
                </c:pt>
                <c:pt idx="4828">
                  <c:v>86.49438</c:v>
                </c:pt>
                <c:pt idx="4829">
                  <c:v>86.49344</c:v>
                </c:pt>
                <c:pt idx="4830">
                  <c:v>86.49149</c:v>
                </c:pt>
                <c:pt idx="4831">
                  <c:v>86.49055</c:v>
                </c:pt>
                <c:pt idx="4832">
                  <c:v>86.49055</c:v>
                </c:pt>
                <c:pt idx="4833">
                  <c:v>86.48961</c:v>
                </c:pt>
                <c:pt idx="4834">
                  <c:v>86.48766</c:v>
                </c:pt>
                <c:pt idx="4835">
                  <c:v>86.48672</c:v>
                </c:pt>
                <c:pt idx="4836">
                  <c:v>86.48672</c:v>
                </c:pt>
                <c:pt idx="4837">
                  <c:v>86.48577999999995</c:v>
                </c:pt>
                <c:pt idx="4838">
                  <c:v>86.48477</c:v>
                </c:pt>
                <c:pt idx="4839">
                  <c:v>86.48287999999998</c:v>
                </c:pt>
                <c:pt idx="4840">
                  <c:v>86.48287999999998</c:v>
                </c:pt>
                <c:pt idx="4841">
                  <c:v>86.48194</c:v>
                </c:pt>
                <c:pt idx="4842">
                  <c:v>86.48093</c:v>
                </c:pt>
                <c:pt idx="4843">
                  <c:v>86.47999</c:v>
                </c:pt>
                <c:pt idx="4844">
                  <c:v>86.47999</c:v>
                </c:pt>
                <c:pt idx="4845">
                  <c:v>86.47811</c:v>
                </c:pt>
                <c:pt idx="4846">
                  <c:v>86.4771</c:v>
                </c:pt>
                <c:pt idx="4847">
                  <c:v>86.47616</c:v>
                </c:pt>
                <c:pt idx="4848">
                  <c:v>86.47616</c:v>
                </c:pt>
                <c:pt idx="4849">
                  <c:v>86.47428</c:v>
                </c:pt>
                <c:pt idx="4850">
                  <c:v>86.47428</c:v>
                </c:pt>
                <c:pt idx="4851">
                  <c:v>86.47428</c:v>
                </c:pt>
                <c:pt idx="4852">
                  <c:v>86.47231999999998</c:v>
                </c:pt>
                <c:pt idx="4853">
                  <c:v>86.47137999999998</c:v>
                </c:pt>
                <c:pt idx="4854">
                  <c:v>86.47043999999998</c:v>
                </c:pt>
                <c:pt idx="4855">
                  <c:v>86.47043999999998</c:v>
                </c:pt>
                <c:pt idx="4856">
                  <c:v>86.46943</c:v>
                </c:pt>
                <c:pt idx="4857">
                  <c:v>86.46849</c:v>
                </c:pt>
                <c:pt idx="4858">
                  <c:v>86.46755</c:v>
                </c:pt>
                <c:pt idx="4859">
                  <c:v>86.46661</c:v>
                </c:pt>
                <c:pt idx="4860">
                  <c:v>86.4656</c:v>
                </c:pt>
                <c:pt idx="4861">
                  <c:v>86.46466</c:v>
                </c:pt>
                <c:pt idx="4862">
                  <c:v>86.46372</c:v>
                </c:pt>
                <c:pt idx="4863">
                  <c:v>86.46277</c:v>
                </c:pt>
                <c:pt idx="4864">
                  <c:v>86.46177</c:v>
                </c:pt>
                <c:pt idx="4865">
                  <c:v>86.46082</c:v>
                </c:pt>
                <c:pt idx="4866">
                  <c:v>86.45988</c:v>
                </c:pt>
                <c:pt idx="4867">
                  <c:v>86.45894</c:v>
                </c:pt>
                <c:pt idx="4868">
                  <c:v>86.45699</c:v>
                </c:pt>
                <c:pt idx="4869">
                  <c:v>86.45699</c:v>
                </c:pt>
                <c:pt idx="4870">
                  <c:v>86.45605</c:v>
                </c:pt>
                <c:pt idx="4871">
                  <c:v>86.45511</c:v>
                </c:pt>
                <c:pt idx="4872">
                  <c:v>86.4541</c:v>
                </c:pt>
                <c:pt idx="4873">
                  <c:v>86.45316</c:v>
                </c:pt>
                <c:pt idx="4874">
                  <c:v>86.45222</c:v>
                </c:pt>
                <c:pt idx="4875">
                  <c:v>86.45222</c:v>
                </c:pt>
                <c:pt idx="4876">
                  <c:v>86.45121</c:v>
                </c:pt>
                <c:pt idx="4877">
                  <c:v>86.45026</c:v>
                </c:pt>
                <c:pt idx="4878">
                  <c:v>86.44838</c:v>
                </c:pt>
                <c:pt idx="4879">
                  <c:v>86.44737</c:v>
                </c:pt>
                <c:pt idx="4880">
                  <c:v>86.44737</c:v>
                </c:pt>
                <c:pt idx="4881">
                  <c:v>86.44643</c:v>
                </c:pt>
                <c:pt idx="4882">
                  <c:v>86.44549</c:v>
                </c:pt>
                <c:pt idx="4883">
                  <c:v>86.44354</c:v>
                </c:pt>
                <c:pt idx="4884">
                  <c:v>86.44354</c:v>
                </c:pt>
                <c:pt idx="4885">
                  <c:v>86.44354</c:v>
                </c:pt>
                <c:pt idx="4886">
                  <c:v>86.44166</c:v>
                </c:pt>
                <c:pt idx="4887">
                  <c:v>86.44071</c:v>
                </c:pt>
                <c:pt idx="4888">
                  <c:v>86.43971</c:v>
                </c:pt>
                <c:pt idx="4889">
                  <c:v>86.43876</c:v>
                </c:pt>
                <c:pt idx="4890">
                  <c:v>86.43782</c:v>
                </c:pt>
                <c:pt idx="4891">
                  <c:v>86.43587</c:v>
                </c:pt>
                <c:pt idx="4892">
                  <c:v>86.43587</c:v>
                </c:pt>
                <c:pt idx="4893">
                  <c:v>86.43399</c:v>
                </c:pt>
                <c:pt idx="4894">
                  <c:v>86.43305</c:v>
                </c:pt>
                <c:pt idx="4895">
                  <c:v>86.43204</c:v>
                </c:pt>
                <c:pt idx="4896">
                  <c:v>86.4311</c:v>
                </c:pt>
                <c:pt idx="4897">
                  <c:v>86.4311</c:v>
                </c:pt>
                <c:pt idx="4898">
                  <c:v>86.43016</c:v>
                </c:pt>
                <c:pt idx="4899">
                  <c:v>86.42921</c:v>
                </c:pt>
                <c:pt idx="4900">
                  <c:v>86.4282</c:v>
                </c:pt>
                <c:pt idx="4901">
                  <c:v>86.42726</c:v>
                </c:pt>
                <c:pt idx="4902">
                  <c:v>86.42632</c:v>
                </c:pt>
                <c:pt idx="4903">
                  <c:v>86.42537999999985</c:v>
                </c:pt>
                <c:pt idx="4904">
                  <c:v>86.42537999999985</c:v>
                </c:pt>
                <c:pt idx="4905">
                  <c:v>86.42248999999998</c:v>
                </c:pt>
                <c:pt idx="4906">
                  <c:v>86.42248999999998</c:v>
                </c:pt>
                <c:pt idx="4907">
                  <c:v>86.42155</c:v>
                </c:pt>
                <c:pt idx="4908">
                  <c:v>86.42054</c:v>
                </c:pt>
                <c:pt idx="4909">
                  <c:v>86.4196</c:v>
                </c:pt>
                <c:pt idx="4910">
                  <c:v>86.4196</c:v>
                </c:pt>
                <c:pt idx="4911">
                  <c:v>86.41865</c:v>
                </c:pt>
                <c:pt idx="4912">
                  <c:v>86.4167</c:v>
                </c:pt>
                <c:pt idx="4913">
                  <c:v>86.41576</c:v>
                </c:pt>
                <c:pt idx="4914">
                  <c:v>86.41576</c:v>
                </c:pt>
                <c:pt idx="4915">
                  <c:v>86.41576</c:v>
                </c:pt>
                <c:pt idx="4916">
                  <c:v>86.41381</c:v>
                </c:pt>
                <c:pt idx="4917">
                  <c:v>86.41287000000001</c:v>
                </c:pt>
                <c:pt idx="4918">
                  <c:v>86.41193000000002</c:v>
                </c:pt>
                <c:pt idx="4919">
                  <c:v>86.41099</c:v>
                </c:pt>
                <c:pt idx="4920">
                  <c:v>86.40998</c:v>
                </c:pt>
                <c:pt idx="4921">
                  <c:v>86.40904</c:v>
                </c:pt>
                <c:pt idx="4922">
                  <c:v>86.40904</c:v>
                </c:pt>
                <c:pt idx="4923">
                  <c:v>86.40715</c:v>
                </c:pt>
                <c:pt idx="4924">
                  <c:v>86.40615</c:v>
                </c:pt>
                <c:pt idx="4925">
                  <c:v>86.4052</c:v>
                </c:pt>
                <c:pt idx="4926">
                  <c:v>86.40426</c:v>
                </c:pt>
                <c:pt idx="4927">
                  <c:v>86.40332</c:v>
                </c:pt>
                <c:pt idx="4928">
                  <c:v>86.40231</c:v>
                </c:pt>
                <c:pt idx="4929">
                  <c:v>86.40137</c:v>
                </c:pt>
                <c:pt idx="4930">
                  <c:v>86.40137</c:v>
                </c:pt>
                <c:pt idx="4931">
                  <c:v>86.40043</c:v>
                </c:pt>
                <c:pt idx="4932">
                  <c:v>86.40043</c:v>
                </c:pt>
                <c:pt idx="4933">
                  <c:v>86.39847999999998</c:v>
                </c:pt>
                <c:pt idx="4934">
                  <c:v>86.39659</c:v>
                </c:pt>
                <c:pt idx="4935">
                  <c:v>86.39659</c:v>
                </c:pt>
                <c:pt idx="4936">
                  <c:v>86.39565</c:v>
                </c:pt>
                <c:pt idx="4937">
                  <c:v>86.39464</c:v>
                </c:pt>
                <c:pt idx="4938">
                  <c:v>86.3937</c:v>
                </c:pt>
                <c:pt idx="4939">
                  <c:v>86.39275999999998</c:v>
                </c:pt>
                <c:pt idx="4940">
                  <c:v>86.39275999999998</c:v>
                </c:pt>
                <c:pt idx="4941">
                  <c:v>86.39182</c:v>
                </c:pt>
                <c:pt idx="4942">
                  <c:v>86.39081</c:v>
                </c:pt>
                <c:pt idx="4943">
                  <c:v>86.38892999999997</c:v>
                </c:pt>
                <c:pt idx="4944">
                  <c:v>86.38892999999997</c:v>
                </c:pt>
                <c:pt idx="4945">
                  <c:v>86.38892999999997</c:v>
                </c:pt>
                <c:pt idx="4946">
                  <c:v>86.38697999999998</c:v>
                </c:pt>
                <c:pt idx="4947">
                  <c:v>86.38603999999998</c:v>
                </c:pt>
                <c:pt idx="4948">
                  <c:v>86.38508999999995</c:v>
                </c:pt>
                <c:pt idx="4949">
                  <c:v>86.38313999999998</c:v>
                </c:pt>
                <c:pt idx="4950">
                  <c:v>86.38313999999998</c:v>
                </c:pt>
                <c:pt idx="4951">
                  <c:v>86.38219999999998</c:v>
                </c:pt>
                <c:pt idx="4952">
                  <c:v>86.38126</c:v>
                </c:pt>
                <c:pt idx="4953">
                  <c:v>86.37930999999975</c:v>
                </c:pt>
                <c:pt idx="4954">
                  <c:v>86.37836999999985</c:v>
                </c:pt>
                <c:pt idx="4955">
                  <c:v>86.37742999999997</c:v>
                </c:pt>
                <c:pt idx="4956">
                  <c:v>86.37742999999997</c:v>
                </c:pt>
                <c:pt idx="4957">
                  <c:v>86.37742999999997</c:v>
                </c:pt>
                <c:pt idx="4958">
                  <c:v>86.37641999999998</c:v>
                </c:pt>
                <c:pt idx="4959">
                  <c:v>86.37453</c:v>
                </c:pt>
                <c:pt idx="4960">
                  <c:v>86.37358999999998</c:v>
                </c:pt>
                <c:pt idx="4961">
                  <c:v>86.37257999999898</c:v>
                </c:pt>
                <c:pt idx="4962">
                  <c:v>86.37164</c:v>
                </c:pt>
                <c:pt idx="4963">
                  <c:v>86.37164</c:v>
                </c:pt>
                <c:pt idx="4964">
                  <c:v>86.37069999999998</c:v>
                </c:pt>
                <c:pt idx="4965">
                  <c:v>86.36976</c:v>
                </c:pt>
                <c:pt idx="4966">
                  <c:v>86.36874999999995</c:v>
                </c:pt>
                <c:pt idx="4967">
                  <c:v>86.36781</c:v>
                </c:pt>
                <c:pt idx="4968">
                  <c:v>86.36687</c:v>
                </c:pt>
                <c:pt idx="4969">
                  <c:v>86.36593</c:v>
                </c:pt>
                <c:pt idx="4970">
                  <c:v>86.36492</c:v>
                </c:pt>
                <c:pt idx="4971">
                  <c:v>86.36303</c:v>
                </c:pt>
                <c:pt idx="4972">
                  <c:v>86.36208999999998</c:v>
                </c:pt>
                <c:pt idx="4973">
                  <c:v>86.36208999999998</c:v>
                </c:pt>
                <c:pt idx="4974">
                  <c:v>86.36014</c:v>
                </c:pt>
                <c:pt idx="4975">
                  <c:v>86.36014</c:v>
                </c:pt>
                <c:pt idx="4976">
                  <c:v>86.3592</c:v>
                </c:pt>
                <c:pt idx="4977">
                  <c:v>86.35826</c:v>
                </c:pt>
                <c:pt idx="4978">
                  <c:v>86.35725</c:v>
                </c:pt>
                <c:pt idx="4979">
                  <c:v>86.35536999999998</c:v>
                </c:pt>
                <c:pt idx="4980">
                  <c:v>86.35630999999998</c:v>
                </c:pt>
                <c:pt idx="4981">
                  <c:v>86.34958</c:v>
                </c:pt>
                <c:pt idx="4982">
                  <c:v>86.35058999999998</c:v>
                </c:pt>
                <c:pt idx="4983">
                  <c:v>86.35058999999998</c:v>
                </c:pt>
                <c:pt idx="4984">
                  <c:v>86.35058999999998</c:v>
                </c:pt>
                <c:pt idx="4985">
                  <c:v>86.34958</c:v>
                </c:pt>
                <c:pt idx="4986">
                  <c:v>86.3477</c:v>
                </c:pt>
                <c:pt idx="4987">
                  <c:v>86.34864</c:v>
                </c:pt>
                <c:pt idx="4988">
                  <c:v>86.3477</c:v>
                </c:pt>
                <c:pt idx="4989">
                  <c:v>86.34669</c:v>
                </c:pt>
                <c:pt idx="4990">
                  <c:v>86.34574999999998</c:v>
                </c:pt>
                <c:pt idx="4991">
                  <c:v>86.35058999999998</c:v>
                </c:pt>
                <c:pt idx="4992">
                  <c:v>86.3477</c:v>
                </c:pt>
                <c:pt idx="4993">
                  <c:v>86.34481</c:v>
                </c:pt>
                <c:pt idx="4994">
                  <c:v>86.34286</c:v>
                </c:pt>
                <c:pt idx="4995">
                  <c:v>86.34097000000001</c:v>
                </c:pt>
                <c:pt idx="4996">
                  <c:v>86.34097000000001</c:v>
                </c:pt>
                <c:pt idx="4997">
                  <c:v>86.34097000000001</c:v>
                </c:pt>
                <c:pt idx="4998">
                  <c:v>86.34003000000001</c:v>
                </c:pt>
                <c:pt idx="4999">
                  <c:v>86.33807999999995</c:v>
                </c:pt>
                <c:pt idx="5000">
                  <c:v>86.33714</c:v>
                </c:pt>
                <c:pt idx="5001">
                  <c:v>86.33518999999998</c:v>
                </c:pt>
                <c:pt idx="5002">
                  <c:v>86.33425</c:v>
                </c:pt>
                <c:pt idx="5003">
                  <c:v>86.33425</c:v>
                </c:pt>
                <c:pt idx="5004">
                  <c:v>86.33330999999998</c:v>
                </c:pt>
                <c:pt idx="5005">
                  <c:v>86.33136</c:v>
                </c:pt>
                <c:pt idx="5006">
                  <c:v>86.33136</c:v>
                </c:pt>
                <c:pt idx="5007">
                  <c:v>86.32946999999998</c:v>
                </c:pt>
                <c:pt idx="5008">
                  <c:v>86.32946999999998</c:v>
                </c:pt>
                <c:pt idx="5009">
                  <c:v>86.32852999999998</c:v>
                </c:pt>
                <c:pt idx="5010">
                  <c:v>86.32752</c:v>
                </c:pt>
                <c:pt idx="5011">
                  <c:v>86.32657999999998</c:v>
                </c:pt>
                <c:pt idx="5012">
                  <c:v>86.32563999999998</c:v>
                </c:pt>
                <c:pt idx="5013">
                  <c:v>86.32563999999998</c:v>
                </c:pt>
                <c:pt idx="5014">
                  <c:v>86.3247</c:v>
                </c:pt>
                <c:pt idx="5015">
                  <c:v>86.32369</c:v>
                </c:pt>
                <c:pt idx="5016">
                  <c:v>86.32181</c:v>
                </c:pt>
                <c:pt idx="5017">
                  <c:v>86.31986</c:v>
                </c:pt>
                <c:pt idx="5018">
                  <c:v>86.31986</c:v>
                </c:pt>
                <c:pt idx="5019">
                  <c:v>86.31986</c:v>
                </c:pt>
                <c:pt idx="5020">
                  <c:v>86.31986</c:v>
                </c:pt>
                <c:pt idx="5021">
                  <c:v>86.31602</c:v>
                </c:pt>
                <c:pt idx="5022">
                  <c:v>86.31602</c:v>
                </c:pt>
                <c:pt idx="5023">
                  <c:v>86.31507999999998</c:v>
                </c:pt>
                <c:pt idx="5024">
                  <c:v>86.31507999999998</c:v>
                </c:pt>
                <c:pt idx="5025">
                  <c:v>86.31313</c:v>
                </c:pt>
                <c:pt idx="5026">
                  <c:v>86.31219</c:v>
                </c:pt>
                <c:pt idx="5027">
                  <c:v>86.31125</c:v>
                </c:pt>
                <c:pt idx="5028">
                  <c:v>86.31313</c:v>
                </c:pt>
                <c:pt idx="5029">
                  <c:v>86.30545999999998</c:v>
                </c:pt>
                <c:pt idx="5030">
                  <c:v>86.30545999999998</c:v>
                </c:pt>
                <c:pt idx="5031">
                  <c:v>86.30741</c:v>
                </c:pt>
                <c:pt idx="5032">
                  <c:v>86.3093</c:v>
                </c:pt>
                <c:pt idx="5033">
                  <c:v>86.30741</c:v>
                </c:pt>
                <c:pt idx="5034">
                  <c:v>86.30545999999998</c:v>
                </c:pt>
                <c:pt idx="5035">
                  <c:v>86.30452</c:v>
                </c:pt>
                <c:pt idx="5036">
                  <c:v>86.30357999999998</c:v>
                </c:pt>
                <c:pt idx="5037">
                  <c:v>86.30263999999998</c:v>
                </c:pt>
                <c:pt idx="5038">
                  <c:v>86.30163</c:v>
                </c:pt>
                <c:pt idx="5039">
                  <c:v>86.29975</c:v>
                </c:pt>
                <c:pt idx="5040">
                  <c:v>86.29975</c:v>
                </c:pt>
                <c:pt idx="5041">
                  <c:v>86.2988</c:v>
                </c:pt>
                <c:pt idx="5042">
                  <c:v>86.2978</c:v>
                </c:pt>
                <c:pt idx="5043">
                  <c:v>86.29685</c:v>
                </c:pt>
                <c:pt idx="5044">
                  <c:v>86.29591</c:v>
                </c:pt>
                <c:pt idx="5045">
                  <c:v>86.29497</c:v>
                </c:pt>
                <c:pt idx="5046">
                  <c:v>86.29396</c:v>
                </c:pt>
                <c:pt idx="5047">
                  <c:v>86.29302</c:v>
                </c:pt>
                <c:pt idx="5048">
                  <c:v>86.29208</c:v>
                </c:pt>
                <c:pt idx="5049">
                  <c:v>86.29114</c:v>
                </c:pt>
                <c:pt idx="5050">
                  <c:v>86.29013</c:v>
                </c:pt>
                <c:pt idx="5051">
                  <c:v>86.28919</c:v>
                </c:pt>
                <c:pt idx="5052">
                  <c:v>86.28825</c:v>
                </c:pt>
                <c:pt idx="5053">
                  <c:v>86.28825</c:v>
                </c:pt>
                <c:pt idx="5054">
                  <c:v>86.2873</c:v>
                </c:pt>
                <c:pt idx="5055">
                  <c:v>86.28534999999998</c:v>
                </c:pt>
                <c:pt idx="5056">
                  <c:v>86.28441</c:v>
                </c:pt>
                <c:pt idx="5057">
                  <c:v>86.28347</c:v>
                </c:pt>
                <c:pt idx="5058">
                  <c:v>86.28347</c:v>
                </c:pt>
                <c:pt idx="5059">
                  <c:v>86.28246</c:v>
                </c:pt>
                <c:pt idx="5060">
                  <c:v>86.28058</c:v>
                </c:pt>
                <c:pt idx="5061">
                  <c:v>86.27957</c:v>
                </c:pt>
                <c:pt idx="5062">
                  <c:v>86.27863</c:v>
                </c:pt>
                <c:pt idx="5063">
                  <c:v>86.27863</c:v>
                </c:pt>
                <c:pt idx="5064">
                  <c:v>86.27769</c:v>
                </c:pt>
                <c:pt idx="5065">
                  <c:v>86.27674999999998</c:v>
                </c:pt>
                <c:pt idx="5066">
                  <c:v>86.27573999999898</c:v>
                </c:pt>
                <c:pt idx="5067">
                  <c:v>86.27478999999998</c:v>
                </c:pt>
                <c:pt idx="5068">
                  <c:v>86.27384999999998</c:v>
                </c:pt>
                <c:pt idx="5069">
                  <c:v>86.27290999999998</c:v>
                </c:pt>
                <c:pt idx="5070">
                  <c:v>86.2719</c:v>
                </c:pt>
                <c:pt idx="5071">
                  <c:v>86.27096</c:v>
                </c:pt>
                <c:pt idx="5072">
                  <c:v>86.27002</c:v>
                </c:pt>
                <c:pt idx="5073">
                  <c:v>86.26908</c:v>
                </c:pt>
                <c:pt idx="5074">
                  <c:v>86.26807</c:v>
                </c:pt>
                <c:pt idx="5075">
                  <c:v>86.26713</c:v>
                </c:pt>
                <c:pt idx="5076">
                  <c:v>86.26619</c:v>
                </c:pt>
                <c:pt idx="5077">
                  <c:v>86.26524</c:v>
                </c:pt>
                <c:pt idx="5078">
                  <c:v>86.26424</c:v>
                </c:pt>
                <c:pt idx="5079">
                  <c:v>86.26329</c:v>
                </c:pt>
                <c:pt idx="5080">
                  <c:v>86.26329</c:v>
                </c:pt>
                <c:pt idx="5081">
                  <c:v>86.26141</c:v>
                </c:pt>
                <c:pt idx="5082">
                  <c:v>86.2604</c:v>
                </c:pt>
                <c:pt idx="5083">
                  <c:v>86.25946</c:v>
                </c:pt>
                <c:pt idx="5084">
                  <c:v>86.25758</c:v>
                </c:pt>
                <c:pt idx="5085">
                  <c:v>86.25758</c:v>
                </c:pt>
                <c:pt idx="5086">
                  <c:v>86.25657</c:v>
                </c:pt>
                <c:pt idx="5087">
                  <c:v>86.25563</c:v>
                </c:pt>
                <c:pt idx="5088">
                  <c:v>86.25469</c:v>
                </c:pt>
                <c:pt idx="5089">
                  <c:v>86.25373999999998</c:v>
                </c:pt>
                <c:pt idx="5090">
                  <c:v>86.25272999999998</c:v>
                </c:pt>
                <c:pt idx="5091">
                  <c:v>86.25179</c:v>
                </c:pt>
                <c:pt idx="5092">
                  <c:v>86.25085</c:v>
                </c:pt>
                <c:pt idx="5093">
                  <c:v>86.24796</c:v>
                </c:pt>
                <c:pt idx="5094">
                  <c:v>86.24796</c:v>
                </c:pt>
                <c:pt idx="5095">
                  <c:v>86.24702</c:v>
                </c:pt>
                <c:pt idx="5096">
                  <c:v>86.24601</c:v>
                </c:pt>
                <c:pt idx="5097">
                  <c:v>86.24507000000001</c:v>
                </c:pt>
                <c:pt idx="5098">
                  <c:v>86.24413000000002</c:v>
                </c:pt>
                <c:pt idx="5099">
                  <c:v>86.24318</c:v>
                </c:pt>
                <c:pt idx="5100">
                  <c:v>86.24218</c:v>
                </c:pt>
                <c:pt idx="5101">
                  <c:v>86.24123</c:v>
                </c:pt>
                <c:pt idx="5102">
                  <c:v>86.24029</c:v>
                </c:pt>
                <c:pt idx="5103">
                  <c:v>86.23935</c:v>
                </c:pt>
                <c:pt idx="5104">
                  <c:v>86.2374</c:v>
                </c:pt>
                <c:pt idx="5105">
                  <c:v>86.23646</c:v>
                </c:pt>
                <c:pt idx="5106">
                  <c:v>86.23552</c:v>
                </c:pt>
                <c:pt idx="5107">
                  <c:v>86.23451</c:v>
                </c:pt>
                <c:pt idx="5108">
                  <c:v>86.23357</c:v>
                </c:pt>
                <c:pt idx="5109">
                  <c:v>86.23357</c:v>
                </c:pt>
                <c:pt idx="5110">
                  <c:v>86.23168</c:v>
                </c:pt>
                <c:pt idx="5111">
                  <c:v>86.22972999999997</c:v>
                </c:pt>
                <c:pt idx="5112">
                  <c:v>86.22972999999997</c:v>
                </c:pt>
                <c:pt idx="5113">
                  <c:v>86.22878999999975</c:v>
                </c:pt>
                <c:pt idx="5114">
                  <c:v>86.22785</c:v>
                </c:pt>
                <c:pt idx="5115">
                  <c:v>86.22683999999998</c:v>
                </c:pt>
                <c:pt idx="5116">
                  <c:v>86.22589999999998</c:v>
                </c:pt>
                <c:pt idx="5117">
                  <c:v>86.22496</c:v>
                </c:pt>
                <c:pt idx="5118">
                  <c:v>86.22496</c:v>
                </c:pt>
                <c:pt idx="5119">
                  <c:v>86.22301</c:v>
                </c:pt>
                <c:pt idx="5120">
                  <c:v>86.22206999999997</c:v>
                </c:pt>
                <c:pt idx="5121">
                  <c:v>86.22112</c:v>
                </c:pt>
                <c:pt idx="5122">
                  <c:v>86.22112</c:v>
                </c:pt>
                <c:pt idx="5123">
                  <c:v>86.22018</c:v>
                </c:pt>
                <c:pt idx="5124">
                  <c:v>86.21823</c:v>
                </c:pt>
                <c:pt idx="5125">
                  <c:v>86.21729</c:v>
                </c:pt>
                <c:pt idx="5126">
                  <c:v>86.21635</c:v>
                </c:pt>
                <c:pt idx="5127">
                  <c:v>86.21635</c:v>
                </c:pt>
                <c:pt idx="5128">
                  <c:v>86.2144</c:v>
                </c:pt>
                <c:pt idx="5129">
                  <c:v>86.21346</c:v>
                </c:pt>
                <c:pt idx="5130">
                  <c:v>86.21151</c:v>
                </c:pt>
                <c:pt idx="5131">
                  <c:v>86.21057</c:v>
                </c:pt>
                <c:pt idx="5132">
                  <c:v>86.21057</c:v>
                </c:pt>
                <c:pt idx="5133">
                  <c:v>86.20962</c:v>
                </c:pt>
                <c:pt idx="5134">
                  <c:v>86.20862</c:v>
                </c:pt>
                <c:pt idx="5135">
                  <c:v>86.20673</c:v>
                </c:pt>
                <c:pt idx="5136">
                  <c:v>86.20578999999998</c:v>
                </c:pt>
                <c:pt idx="5137">
                  <c:v>86.20578999999998</c:v>
                </c:pt>
                <c:pt idx="5138">
                  <c:v>86.20478</c:v>
                </c:pt>
                <c:pt idx="5139">
                  <c:v>86.20384</c:v>
                </c:pt>
                <c:pt idx="5140">
                  <c:v>86.2029</c:v>
                </c:pt>
                <c:pt idx="5141">
                  <c:v>86.20095</c:v>
                </c:pt>
                <c:pt idx="5142">
                  <c:v>86.20095</c:v>
                </c:pt>
                <c:pt idx="5143">
                  <c:v>86.20001</c:v>
                </c:pt>
                <c:pt idx="5144">
                  <c:v>86.19906</c:v>
                </c:pt>
                <c:pt idx="5145">
                  <c:v>86.19711</c:v>
                </c:pt>
                <c:pt idx="5146">
                  <c:v>86.19617</c:v>
                </c:pt>
                <c:pt idx="5147">
                  <c:v>86.19617</c:v>
                </c:pt>
                <c:pt idx="5148">
                  <c:v>86.19523</c:v>
                </c:pt>
                <c:pt idx="5149">
                  <c:v>86.19328</c:v>
                </c:pt>
                <c:pt idx="5150">
                  <c:v>86.19233999999948</c:v>
                </c:pt>
                <c:pt idx="5151">
                  <c:v>86.1914</c:v>
                </c:pt>
                <c:pt idx="5152">
                  <c:v>86.19046</c:v>
                </c:pt>
                <c:pt idx="5153">
                  <c:v>86.18944999999998</c:v>
                </c:pt>
                <c:pt idx="5154">
                  <c:v>86.18944999999998</c:v>
                </c:pt>
                <c:pt idx="5155">
                  <c:v>86.18850999999998</c:v>
                </c:pt>
                <c:pt idx="5156">
                  <c:v>86.18177999999975</c:v>
                </c:pt>
                <c:pt idx="5157">
                  <c:v>86.18177999999975</c:v>
                </c:pt>
                <c:pt idx="5158">
                  <c:v>86.18662</c:v>
                </c:pt>
                <c:pt idx="5159">
                  <c:v>86.18662</c:v>
                </c:pt>
              </c:numCache>
            </c:numRef>
          </c:yVal>
          <c:smooth val="1"/>
        </c:ser>
        <c:ser>
          <c:idx val="4"/>
          <c:order val="2"/>
          <c:tx>
            <c:v>1 Year Cure</c:v>
          </c:tx>
          <c:spPr>
            <a:ln w="19050" cmpd="sng">
              <a:solidFill>
                <a:srgbClr val="0000FF"/>
              </a:solidFill>
            </a:ln>
          </c:spPr>
          <c:marker>
            <c:symbol val="none"/>
          </c:marker>
          <c:xVal>
            <c:numRef>
              <c:f>'3MCB'!$B$6:$B$5165</c:f>
              <c:numCache>
                <c:formatCode>General</c:formatCode>
                <c:ptCount val="5160"/>
                <c:pt idx="0">
                  <c:v>41.7</c:v>
                </c:pt>
                <c:pt idx="1">
                  <c:v>42.111</c:v>
                </c:pt>
                <c:pt idx="2">
                  <c:v>42.523</c:v>
                </c:pt>
                <c:pt idx="3">
                  <c:v>42.933</c:v>
                </c:pt>
                <c:pt idx="4">
                  <c:v>43.33300000000001</c:v>
                </c:pt>
                <c:pt idx="5">
                  <c:v>43.72100000000001</c:v>
                </c:pt>
                <c:pt idx="6">
                  <c:v>44.094</c:v>
                </c:pt>
                <c:pt idx="7">
                  <c:v>44.453</c:v>
                </c:pt>
                <c:pt idx="8">
                  <c:v>44.798</c:v>
                </c:pt>
                <c:pt idx="9">
                  <c:v>45.131</c:v>
                </c:pt>
                <c:pt idx="10">
                  <c:v>45.452</c:v>
                </c:pt>
                <c:pt idx="11">
                  <c:v>45.761</c:v>
                </c:pt>
                <c:pt idx="12">
                  <c:v>46.057</c:v>
                </c:pt>
                <c:pt idx="13">
                  <c:v>46.343</c:v>
                </c:pt>
                <c:pt idx="14">
                  <c:v>46.619</c:v>
                </c:pt>
                <c:pt idx="15">
                  <c:v>46.887</c:v>
                </c:pt>
                <c:pt idx="16">
                  <c:v>47.146</c:v>
                </c:pt>
                <c:pt idx="17">
                  <c:v>47.396</c:v>
                </c:pt>
                <c:pt idx="18">
                  <c:v>47.64100000000001</c:v>
                </c:pt>
                <c:pt idx="19">
                  <c:v>47.878</c:v>
                </c:pt>
                <c:pt idx="20">
                  <c:v>48.11</c:v>
                </c:pt>
                <c:pt idx="21">
                  <c:v>48.33300000000001</c:v>
                </c:pt>
                <c:pt idx="22">
                  <c:v>48.551</c:v>
                </c:pt>
                <c:pt idx="23">
                  <c:v>48.768</c:v>
                </c:pt>
                <c:pt idx="24">
                  <c:v>48.978</c:v>
                </c:pt>
                <c:pt idx="25">
                  <c:v>49.183</c:v>
                </c:pt>
                <c:pt idx="26">
                  <c:v>49.387</c:v>
                </c:pt>
                <c:pt idx="27">
                  <c:v>49.587</c:v>
                </c:pt>
                <c:pt idx="28">
                  <c:v>49.783</c:v>
                </c:pt>
                <c:pt idx="29">
                  <c:v>49.97600000000001</c:v>
                </c:pt>
                <c:pt idx="30">
                  <c:v>50.16600000000001</c:v>
                </c:pt>
                <c:pt idx="31">
                  <c:v>50.355</c:v>
                </c:pt>
                <c:pt idx="32">
                  <c:v>50.538</c:v>
                </c:pt>
                <c:pt idx="33">
                  <c:v>50.71800000000001</c:v>
                </c:pt>
                <c:pt idx="34">
                  <c:v>50.895</c:v>
                </c:pt>
                <c:pt idx="35">
                  <c:v>51.072</c:v>
                </c:pt>
                <c:pt idx="36">
                  <c:v>51.248</c:v>
                </c:pt>
                <c:pt idx="37">
                  <c:v>51.42100000000001</c:v>
                </c:pt>
                <c:pt idx="38">
                  <c:v>51.594</c:v>
                </c:pt>
                <c:pt idx="39">
                  <c:v>51.765</c:v>
                </c:pt>
                <c:pt idx="40">
                  <c:v>51.935</c:v>
                </c:pt>
                <c:pt idx="41">
                  <c:v>52.102</c:v>
                </c:pt>
                <c:pt idx="42">
                  <c:v>52.27</c:v>
                </c:pt>
                <c:pt idx="43">
                  <c:v>52.434</c:v>
                </c:pt>
                <c:pt idx="44">
                  <c:v>52.597</c:v>
                </c:pt>
                <c:pt idx="45">
                  <c:v>52.757</c:v>
                </c:pt>
                <c:pt idx="46">
                  <c:v>52.917</c:v>
                </c:pt>
                <c:pt idx="47">
                  <c:v>53.07400000000001</c:v>
                </c:pt>
                <c:pt idx="48">
                  <c:v>53.23300000000001</c:v>
                </c:pt>
                <c:pt idx="49">
                  <c:v>53.392</c:v>
                </c:pt>
                <c:pt idx="50">
                  <c:v>53.551</c:v>
                </c:pt>
                <c:pt idx="51">
                  <c:v>53.707</c:v>
                </c:pt>
                <c:pt idx="52">
                  <c:v>53.861</c:v>
                </c:pt>
                <c:pt idx="53">
                  <c:v>54.01300000000001</c:v>
                </c:pt>
                <c:pt idx="54">
                  <c:v>54.165</c:v>
                </c:pt>
                <c:pt idx="55">
                  <c:v>54.319</c:v>
                </c:pt>
                <c:pt idx="56">
                  <c:v>54.47300000000001</c:v>
                </c:pt>
                <c:pt idx="57">
                  <c:v>54.62600000000001</c:v>
                </c:pt>
                <c:pt idx="58">
                  <c:v>54.778</c:v>
                </c:pt>
                <c:pt idx="59">
                  <c:v>54.931</c:v>
                </c:pt>
                <c:pt idx="60">
                  <c:v>55.085</c:v>
                </c:pt>
                <c:pt idx="61">
                  <c:v>55.23600000000001</c:v>
                </c:pt>
                <c:pt idx="62">
                  <c:v>55.385</c:v>
                </c:pt>
                <c:pt idx="63">
                  <c:v>55.535</c:v>
                </c:pt>
                <c:pt idx="64">
                  <c:v>55.685</c:v>
                </c:pt>
                <c:pt idx="65">
                  <c:v>55.832</c:v>
                </c:pt>
                <c:pt idx="66">
                  <c:v>55.981</c:v>
                </c:pt>
                <c:pt idx="67">
                  <c:v>56.128</c:v>
                </c:pt>
                <c:pt idx="68">
                  <c:v>56.276</c:v>
                </c:pt>
                <c:pt idx="69">
                  <c:v>56.422</c:v>
                </c:pt>
                <c:pt idx="70">
                  <c:v>56.567</c:v>
                </c:pt>
                <c:pt idx="71">
                  <c:v>56.713</c:v>
                </c:pt>
                <c:pt idx="72">
                  <c:v>56.859</c:v>
                </c:pt>
                <c:pt idx="73">
                  <c:v>57.005</c:v>
                </c:pt>
                <c:pt idx="74">
                  <c:v>57.151</c:v>
                </c:pt>
                <c:pt idx="75">
                  <c:v>57.29700000000001</c:v>
                </c:pt>
                <c:pt idx="76">
                  <c:v>57.44</c:v>
                </c:pt>
                <c:pt idx="77">
                  <c:v>57.584</c:v>
                </c:pt>
                <c:pt idx="78">
                  <c:v>57.73</c:v>
                </c:pt>
                <c:pt idx="79">
                  <c:v>57.875</c:v>
                </c:pt>
                <c:pt idx="80">
                  <c:v>58.01900000000001</c:v>
                </c:pt>
                <c:pt idx="81">
                  <c:v>58.16600000000001</c:v>
                </c:pt>
                <c:pt idx="82">
                  <c:v>58.311</c:v>
                </c:pt>
                <c:pt idx="83">
                  <c:v>58.458</c:v>
                </c:pt>
                <c:pt idx="84">
                  <c:v>58.60400000000001</c:v>
                </c:pt>
                <c:pt idx="85">
                  <c:v>58.751</c:v>
                </c:pt>
                <c:pt idx="86">
                  <c:v>58.899</c:v>
                </c:pt>
                <c:pt idx="87">
                  <c:v>59.04600000000001</c:v>
                </c:pt>
                <c:pt idx="88">
                  <c:v>59.192</c:v>
                </c:pt>
                <c:pt idx="89">
                  <c:v>59.33600000000001</c:v>
                </c:pt>
                <c:pt idx="90">
                  <c:v>59.48</c:v>
                </c:pt>
                <c:pt idx="91">
                  <c:v>59.624</c:v>
                </c:pt>
                <c:pt idx="92">
                  <c:v>59.767</c:v>
                </c:pt>
                <c:pt idx="93">
                  <c:v>59.911</c:v>
                </c:pt>
                <c:pt idx="94">
                  <c:v>60.056</c:v>
                </c:pt>
                <c:pt idx="95">
                  <c:v>60.201</c:v>
                </c:pt>
                <c:pt idx="96">
                  <c:v>60.343</c:v>
                </c:pt>
                <c:pt idx="97">
                  <c:v>60.482</c:v>
                </c:pt>
                <c:pt idx="98">
                  <c:v>60.621</c:v>
                </c:pt>
                <c:pt idx="99">
                  <c:v>60.761</c:v>
                </c:pt>
                <c:pt idx="100">
                  <c:v>60.904</c:v>
                </c:pt>
                <c:pt idx="101">
                  <c:v>61.047</c:v>
                </c:pt>
                <c:pt idx="102">
                  <c:v>61.19</c:v>
                </c:pt>
                <c:pt idx="103">
                  <c:v>61.334</c:v>
                </c:pt>
                <c:pt idx="104">
                  <c:v>61.477</c:v>
                </c:pt>
                <c:pt idx="105">
                  <c:v>61.622</c:v>
                </c:pt>
                <c:pt idx="106">
                  <c:v>61.768</c:v>
                </c:pt>
                <c:pt idx="107">
                  <c:v>61.913</c:v>
                </c:pt>
                <c:pt idx="108">
                  <c:v>62.058</c:v>
                </c:pt>
                <c:pt idx="109">
                  <c:v>62.2</c:v>
                </c:pt>
                <c:pt idx="110">
                  <c:v>62.344</c:v>
                </c:pt>
                <c:pt idx="111">
                  <c:v>62.486</c:v>
                </c:pt>
                <c:pt idx="112">
                  <c:v>62.62900000000001</c:v>
                </c:pt>
                <c:pt idx="113">
                  <c:v>62.773</c:v>
                </c:pt>
                <c:pt idx="114">
                  <c:v>62.919</c:v>
                </c:pt>
                <c:pt idx="115">
                  <c:v>63.063</c:v>
                </c:pt>
                <c:pt idx="116">
                  <c:v>63.207</c:v>
                </c:pt>
                <c:pt idx="117">
                  <c:v>63.351</c:v>
                </c:pt>
                <c:pt idx="118">
                  <c:v>63.496</c:v>
                </c:pt>
                <c:pt idx="119">
                  <c:v>63.642</c:v>
                </c:pt>
                <c:pt idx="120">
                  <c:v>63.785</c:v>
                </c:pt>
                <c:pt idx="121">
                  <c:v>63.926</c:v>
                </c:pt>
                <c:pt idx="122">
                  <c:v>64.06800000000001</c:v>
                </c:pt>
                <c:pt idx="123">
                  <c:v>64.211</c:v>
                </c:pt>
                <c:pt idx="124">
                  <c:v>64.357</c:v>
                </c:pt>
                <c:pt idx="125">
                  <c:v>64.501</c:v>
                </c:pt>
                <c:pt idx="126">
                  <c:v>64.644</c:v>
                </c:pt>
                <c:pt idx="127">
                  <c:v>64.79</c:v>
                </c:pt>
                <c:pt idx="128">
                  <c:v>64.934</c:v>
                </c:pt>
                <c:pt idx="129">
                  <c:v>65.07899999999998</c:v>
                </c:pt>
                <c:pt idx="130">
                  <c:v>65.223</c:v>
                </c:pt>
                <c:pt idx="131">
                  <c:v>65.367</c:v>
                </c:pt>
                <c:pt idx="132">
                  <c:v>65.511</c:v>
                </c:pt>
                <c:pt idx="133">
                  <c:v>65.65499999999998</c:v>
                </c:pt>
                <c:pt idx="134">
                  <c:v>65.798</c:v>
                </c:pt>
                <c:pt idx="135">
                  <c:v>65.941</c:v>
                </c:pt>
                <c:pt idx="136">
                  <c:v>66.087</c:v>
                </c:pt>
                <c:pt idx="137">
                  <c:v>66.229</c:v>
                </c:pt>
                <c:pt idx="138">
                  <c:v>66.369</c:v>
                </c:pt>
                <c:pt idx="139">
                  <c:v>66.512</c:v>
                </c:pt>
                <c:pt idx="140">
                  <c:v>66.65399999999998</c:v>
                </c:pt>
                <c:pt idx="141">
                  <c:v>66.795</c:v>
                </c:pt>
                <c:pt idx="142">
                  <c:v>66.937</c:v>
                </c:pt>
                <c:pt idx="143">
                  <c:v>67.07799999999997</c:v>
                </c:pt>
                <c:pt idx="144">
                  <c:v>67.22</c:v>
                </c:pt>
                <c:pt idx="145">
                  <c:v>67.362</c:v>
                </c:pt>
                <c:pt idx="146">
                  <c:v>67.506</c:v>
                </c:pt>
                <c:pt idx="147">
                  <c:v>67.649</c:v>
                </c:pt>
                <c:pt idx="148">
                  <c:v>67.792</c:v>
                </c:pt>
                <c:pt idx="149">
                  <c:v>67.934</c:v>
                </c:pt>
                <c:pt idx="150">
                  <c:v>68.077</c:v>
                </c:pt>
                <c:pt idx="151">
                  <c:v>68.217</c:v>
                </c:pt>
                <c:pt idx="152">
                  <c:v>68.35799999999997</c:v>
                </c:pt>
                <c:pt idx="153">
                  <c:v>68.502</c:v>
                </c:pt>
                <c:pt idx="154">
                  <c:v>68.648</c:v>
                </c:pt>
                <c:pt idx="155">
                  <c:v>68.79</c:v>
                </c:pt>
                <c:pt idx="156">
                  <c:v>68.931</c:v>
                </c:pt>
                <c:pt idx="157">
                  <c:v>69.074</c:v>
                </c:pt>
                <c:pt idx="158">
                  <c:v>69.215</c:v>
                </c:pt>
                <c:pt idx="159">
                  <c:v>69.357</c:v>
                </c:pt>
                <c:pt idx="160">
                  <c:v>69.499</c:v>
                </c:pt>
                <c:pt idx="161">
                  <c:v>69.641</c:v>
                </c:pt>
                <c:pt idx="162">
                  <c:v>69.782</c:v>
                </c:pt>
                <c:pt idx="163">
                  <c:v>69.922</c:v>
                </c:pt>
                <c:pt idx="164">
                  <c:v>70.064</c:v>
                </c:pt>
                <c:pt idx="165">
                  <c:v>70.20500000000001</c:v>
                </c:pt>
                <c:pt idx="166">
                  <c:v>70.34500000000001</c:v>
                </c:pt>
                <c:pt idx="167">
                  <c:v>70.484</c:v>
                </c:pt>
                <c:pt idx="168">
                  <c:v>70.62399999999998</c:v>
                </c:pt>
                <c:pt idx="169">
                  <c:v>70.767</c:v>
                </c:pt>
                <c:pt idx="170">
                  <c:v>70.908</c:v>
                </c:pt>
                <c:pt idx="171">
                  <c:v>71.046</c:v>
                </c:pt>
                <c:pt idx="172">
                  <c:v>71.187</c:v>
                </c:pt>
                <c:pt idx="173">
                  <c:v>71.33</c:v>
                </c:pt>
                <c:pt idx="174">
                  <c:v>71.471</c:v>
                </c:pt>
                <c:pt idx="175">
                  <c:v>71.614</c:v>
                </c:pt>
                <c:pt idx="176">
                  <c:v>71.757</c:v>
                </c:pt>
                <c:pt idx="177">
                  <c:v>71.899</c:v>
                </c:pt>
                <c:pt idx="178">
                  <c:v>72.042</c:v>
                </c:pt>
                <c:pt idx="179">
                  <c:v>72.18499999999997</c:v>
                </c:pt>
                <c:pt idx="180">
                  <c:v>72.32799999999997</c:v>
                </c:pt>
                <c:pt idx="181">
                  <c:v>72.468</c:v>
                </c:pt>
                <c:pt idx="182">
                  <c:v>72.60899999999998</c:v>
                </c:pt>
                <c:pt idx="183">
                  <c:v>72.751</c:v>
                </c:pt>
                <c:pt idx="184">
                  <c:v>72.892</c:v>
                </c:pt>
                <c:pt idx="185">
                  <c:v>73.03</c:v>
                </c:pt>
                <c:pt idx="186">
                  <c:v>73.16599999999998</c:v>
                </c:pt>
                <c:pt idx="187">
                  <c:v>73.30599999999998</c:v>
                </c:pt>
                <c:pt idx="188">
                  <c:v>73.447</c:v>
                </c:pt>
                <c:pt idx="189">
                  <c:v>73.588</c:v>
                </c:pt>
                <c:pt idx="190">
                  <c:v>73.729</c:v>
                </c:pt>
                <c:pt idx="191">
                  <c:v>73.87199999999998</c:v>
                </c:pt>
                <c:pt idx="192">
                  <c:v>74.013</c:v>
                </c:pt>
                <c:pt idx="193">
                  <c:v>74.15599999999995</c:v>
                </c:pt>
                <c:pt idx="194">
                  <c:v>74.298</c:v>
                </c:pt>
                <c:pt idx="195">
                  <c:v>74.441</c:v>
                </c:pt>
                <c:pt idx="196">
                  <c:v>74.581</c:v>
                </c:pt>
                <c:pt idx="197">
                  <c:v>74.721</c:v>
                </c:pt>
                <c:pt idx="198">
                  <c:v>74.864</c:v>
                </c:pt>
                <c:pt idx="199">
                  <c:v>75.005</c:v>
                </c:pt>
                <c:pt idx="200">
                  <c:v>75.147</c:v>
                </c:pt>
                <c:pt idx="201">
                  <c:v>75.291</c:v>
                </c:pt>
                <c:pt idx="202">
                  <c:v>75.435</c:v>
                </c:pt>
                <c:pt idx="203">
                  <c:v>75.57799999999997</c:v>
                </c:pt>
                <c:pt idx="204">
                  <c:v>75.719</c:v>
                </c:pt>
                <c:pt idx="205">
                  <c:v>75.85899999999998</c:v>
                </c:pt>
                <c:pt idx="206">
                  <c:v>75.998</c:v>
                </c:pt>
                <c:pt idx="207">
                  <c:v>76.13899999999998</c:v>
                </c:pt>
                <c:pt idx="208">
                  <c:v>76.27899999999998</c:v>
                </c:pt>
                <c:pt idx="209">
                  <c:v>76.418</c:v>
                </c:pt>
                <c:pt idx="210">
                  <c:v>76.55899999999998</c:v>
                </c:pt>
                <c:pt idx="211">
                  <c:v>76.699</c:v>
                </c:pt>
                <c:pt idx="212">
                  <c:v>76.838</c:v>
                </c:pt>
                <c:pt idx="213">
                  <c:v>76.978</c:v>
                </c:pt>
                <c:pt idx="214">
                  <c:v>77.117</c:v>
                </c:pt>
                <c:pt idx="215">
                  <c:v>77.255</c:v>
                </c:pt>
                <c:pt idx="216">
                  <c:v>77.397</c:v>
                </c:pt>
                <c:pt idx="217">
                  <c:v>77.538</c:v>
                </c:pt>
                <c:pt idx="218">
                  <c:v>77.67999999999998</c:v>
                </c:pt>
                <c:pt idx="219">
                  <c:v>77.821</c:v>
                </c:pt>
                <c:pt idx="220">
                  <c:v>77.962</c:v>
                </c:pt>
                <c:pt idx="221">
                  <c:v>78.10299999999998</c:v>
                </c:pt>
                <c:pt idx="222">
                  <c:v>78.246</c:v>
                </c:pt>
                <c:pt idx="223">
                  <c:v>78.38599999999998</c:v>
                </c:pt>
                <c:pt idx="224">
                  <c:v>78.52599999999998</c:v>
                </c:pt>
                <c:pt idx="225">
                  <c:v>78.668</c:v>
                </c:pt>
                <c:pt idx="226">
                  <c:v>78.81</c:v>
                </c:pt>
                <c:pt idx="227">
                  <c:v>78.953</c:v>
                </c:pt>
                <c:pt idx="228">
                  <c:v>79.097</c:v>
                </c:pt>
                <c:pt idx="229">
                  <c:v>79.243</c:v>
                </c:pt>
                <c:pt idx="230">
                  <c:v>79.385</c:v>
                </c:pt>
                <c:pt idx="231">
                  <c:v>79.524</c:v>
                </c:pt>
                <c:pt idx="232">
                  <c:v>79.665</c:v>
                </c:pt>
                <c:pt idx="233">
                  <c:v>79.808</c:v>
                </c:pt>
                <c:pt idx="234">
                  <c:v>79.95</c:v>
                </c:pt>
                <c:pt idx="235">
                  <c:v>80.093</c:v>
                </c:pt>
                <c:pt idx="236">
                  <c:v>80.236</c:v>
                </c:pt>
                <c:pt idx="237">
                  <c:v>80.37699999999998</c:v>
                </c:pt>
                <c:pt idx="238">
                  <c:v>80.518</c:v>
                </c:pt>
                <c:pt idx="239">
                  <c:v>80.66</c:v>
                </c:pt>
                <c:pt idx="240">
                  <c:v>80.8</c:v>
                </c:pt>
                <c:pt idx="241">
                  <c:v>80.942</c:v>
                </c:pt>
                <c:pt idx="242">
                  <c:v>81.085</c:v>
                </c:pt>
                <c:pt idx="243">
                  <c:v>81.228</c:v>
                </c:pt>
                <c:pt idx="244">
                  <c:v>81.37099999999998</c:v>
                </c:pt>
                <c:pt idx="245">
                  <c:v>81.513</c:v>
                </c:pt>
                <c:pt idx="246">
                  <c:v>81.65699999999998</c:v>
                </c:pt>
                <c:pt idx="247">
                  <c:v>81.798</c:v>
                </c:pt>
                <c:pt idx="248">
                  <c:v>81.939</c:v>
                </c:pt>
                <c:pt idx="249">
                  <c:v>82.083</c:v>
                </c:pt>
                <c:pt idx="250">
                  <c:v>82.225</c:v>
                </c:pt>
                <c:pt idx="251">
                  <c:v>82.363</c:v>
                </c:pt>
                <c:pt idx="252">
                  <c:v>82.502</c:v>
                </c:pt>
                <c:pt idx="253">
                  <c:v>82.643</c:v>
                </c:pt>
                <c:pt idx="254">
                  <c:v>82.783</c:v>
                </c:pt>
                <c:pt idx="255">
                  <c:v>82.923</c:v>
                </c:pt>
                <c:pt idx="256">
                  <c:v>83.064</c:v>
                </c:pt>
                <c:pt idx="257">
                  <c:v>83.206</c:v>
                </c:pt>
                <c:pt idx="258">
                  <c:v>83.34800000000001</c:v>
                </c:pt>
                <c:pt idx="259">
                  <c:v>83.49</c:v>
                </c:pt>
                <c:pt idx="260">
                  <c:v>83.632</c:v>
                </c:pt>
                <c:pt idx="261">
                  <c:v>83.774</c:v>
                </c:pt>
                <c:pt idx="262">
                  <c:v>83.918</c:v>
                </c:pt>
                <c:pt idx="263">
                  <c:v>84.05899999999998</c:v>
                </c:pt>
                <c:pt idx="264">
                  <c:v>84.201</c:v>
                </c:pt>
                <c:pt idx="265">
                  <c:v>84.344</c:v>
                </c:pt>
                <c:pt idx="266">
                  <c:v>84.488</c:v>
                </c:pt>
                <c:pt idx="267">
                  <c:v>84.631</c:v>
                </c:pt>
                <c:pt idx="268">
                  <c:v>84.77</c:v>
                </c:pt>
                <c:pt idx="269">
                  <c:v>84.911</c:v>
                </c:pt>
                <c:pt idx="270">
                  <c:v>85.05</c:v>
                </c:pt>
                <c:pt idx="271">
                  <c:v>85.19</c:v>
                </c:pt>
                <c:pt idx="272">
                  <c:v>85.327</c:v>
                </c:pt>
                <c:pt idx="273">
                  <c:v>85.465</c:v>
                </c:pt>
                <c:pt idx="274">
                  <c:v>85.60599999999998</c:v>
                </c:pt>
                <c:pt idx="275">
                  <c:v>85.749</c:v>
                </c:pt>
                <c:pt idx="276">
                  <c:v>85.89</c:v>
                </c:pt>
                <c:pt idx="277">
                  <c:v>86.033</c:v>
                </c:pt>
                <c:pt idx="278">
                  <c:v>86.17499999999998</c:v>
                </c:pt>
                <c:pt idx="279">
                  <c:v>86.31500000000001</c:v>
                </c:pt>
                <c:pt idx="280">
                  <c:v>86.457</c:v>
                </c:pt>
                <c:pt idx="281">
                  <c:v>86.6</c:v>
                </c:pt>
                <c:pt idx="282">
                  <c:v>86.742</c:v>
                </c:pt>
                <c:pt idx="283">
                  <c:v>86.884</c:v>
                </c:pt>
                <c:pt idx="284">
                  <c:v>87.027</c:v>
                </c:pt>
                <c:pt idx="285">
                  <c:v>87.168</c:v>
                </c:pt>
                <c:pt idx="286">
                  <c:v>87.31</c:v>
                </c:pt>
                <c:pt idx="287">
                  <c:v>87.45200000000001</c:v>
                </c:pt>
                <c:pt idx="288">
                  <c:v>87.594</c:v>
                </c:pt>
                <c:pt idx="289">
                  <c:v>87.736</c:v>
                </c:pt>
                <c:pt idx="290">
                  <c:v>87.87899999999995</c:v>
                </c:pt>
                <c:pt idx="291">
                  <c:v>88.022</c:v>
                </c:pt>
                <c:pt idx="292">
                  <c:v>88.164</c:v>
                </c:pt>
                <c:pt idx="293">
                  <c:v>88.305</c:v>
                </c:pt>
                <c:pt idx="294">
                  <c:v>88.449</c:v>
                </c:pt>
                <c:pt idx="295">
                  <c:v>88.591</c:v>
                </c:pt>
                <c:pt idx="296">
                  <c:v>88.73</c:v>
                </c:pt>
                <c:pt idx="297">
                  <c:v>88.87199999999998</c:v>
                </c:pt>
                <c:pt idx="298">
                  <c:v>89.015</c:v>
                </c:pt>
                <c:pt idx="299">
                  <c:v>89.15399999999998</c:v>
                </c:pt>
                <c:pt idx="300">
                  <c:v>89.295</c:v>
                </c:pt>
                <c:pt idx="301">
                  <c:v>89.435</c:v>
                </c:pt>
                <c:pt idx="302">
                  <c:v>89.57499999999997</c:v>
                </c:pt>
                <c:pt idx="303">
                  <c:v>89.717</c:v>
                </c:pt>
                <c:pt idx="304">
                  <c:v>89.85799999999997</c:v>
                </c:pt>
                <c:pt idx="305">
                  <c:v>90.0</c:v>
                </c:pt>
                <c:pt idx="306">
                  <c:v>90.141</c:v>
                </c:pt>
                <c:pt idx="307">
                  <c:v>90.282</c:v>
                </c:pt>
                <c:pt idx="308">
                  <c:v>90.421</c:v>
                </c:pt>
                <c:pt idx="309">
                  <c:v>90.56200000000001</c:v>
                </c:pt>
                <c:pt idx="310">
                  <c:v>90.70200000000001</c:v>
                </c:pt>
                <c:pt idx="311">
                  <c:v>90.84200000000001</c:v>
                </c:pt>
                <c:pt idx="312">
                  <c:v>90.98200000000001</c:v>
                </c:pt>
                <c:pt idx="313">
                  <c:v>91.12199999999998</c:v>
                </c:pt>
                <c:pt idx="314">
                  <c:v>91.262</c:v>
                </c:pt>
                <c:pt idx="315">
                  <c:v>91.404</c:v>
                </c:pt>
                <c:pt idx="316">
                  <c:v>91.546</c:v>
                </c:pt>
                <c:pt idx="317">
                  <c:v>91.68599999999998</c:v>
                </c:pt>
                <c:pt idx="318">
                  <c:v>91.82799999999997</c:v>
                </c:pt>
                <c:pt idx="319">
                  <c:v>91.97</c:v>
                </c:pt>
                <c:pt idx="320">
                  <c:v>92.112</c:v>
                </c:pt>
                <c:pt idx="321">
                  <c:v>92.254</c:v>
                </c:pt>
                <c:pt idx="322">
                  <c:v>92.398</c:v>
                </c:pt>
                <c:pt idx="323">
                  <c:v>92.541</c:v>
                </c:pt>
                <c:pt idx="324">
                  <c:v>92.67999999999998</c:v>
                </c:pt>
                <c:pt idx="325">
                  <c:v>92.82</c:v>
                </c:pt>
                <c:pt idx="326">
                  <c:v>92.96</c:v>
                </c:pt>
                <c:pt idx="327">
                  <c:v>93.099</c:v>
                </c:pt>
                <c:pt idx="328">
                  <c:v>93.238</c:v>
                </c:pt>
                <c:pt idx="329">
                  <c:v>93.37799999999998</c:v>
                </c:pt>
                <c:pt idx="330">
                  <c:v>93.52</c:v>
                </c:pt>
                <c:pt idx="331">
                  <c:v>93.66299999999998</c:v>
                </c:pt>
                <c:pt idx="332">
                  <c:v>93.805</c:v>
                </c:pt>
                <c:pt idx="333">
                  <c:v>93.946</c:v>
                </c:pt>
                <c:pt idx="334">
                  <c:v>94.087</c:v>
                </c:pt>
                <c:pt idx="335">
                  <c:v>94.225</c:v>
                </c:pt>
                <c:pt idx="336">
                  <c:v>94.366</c:v>
                </c:pt>
                <c:pt idx="337">
                  <c:v>94.506</c:v>
                </c:pt>
                <c:pt idx="338">
                  <c:v>94.647</c:v>
                </c:pt>
                <c:pt idx="339">
                  <c:v>94.789</c:v>
                </c:pt>
                <c:pt idx="340">
                  <c:v>94.933</c:v>
                </c:pt>
                <c:pt idx="341">
                  <c:v>95.07499999999997</c:v>
                </c:pt>
                <c:pt idx="342">
                  <c:v>95.216</c:v>
                </c:pt>
                <c:pt idx="343">
                  <c:v>95.35899999999998</c:v>
                </c:pt>
                <c:pt idx="344">
                  <c:v>95.503</c:v>
                </c:pt>
                <c:pt idx="345">
                  <c:v>95.645</c:v>
                </c:pt>
                <c:pt idx="346">
                  <c:v>95.786</c:v>
                </c:pt>
                <c:pt idx="347">
                  <c:v>95.928</c:v>
                </c:pt>
                <c:pt idx="348">
                  <c:v>96.07</c:v>
                </c:pt>
                <c:pt idx="349">
                  <c:v>96.212</c:v>
                </c:pt>
                <c:pt idx="350">
                  <c:v>96.351</c:v>
                </c:pt>
                <c:pt idx="351">
                  <c:v>96.49</c:v>
                </c:pt>
                <c:pt idx="352">
                  <c:v>96.62899999999995</c:v>
                </c:pt>
                <c:pt idx="353">
                  <c:v>96.77</c:v>
                </c:pt>
                <c:pt idx="354">
                  <c:v>96.908</c:v>
                </c:pt>
                <c:pt idx="355">
                  <c:v>97.049</c:v>
                </c:pt>
                <c:pt idx="356">
                  <c:v>97.191</c:v>
                </c:pt>
                <c:pt idx="357">
                  <c:v>97.333</c:v>
                </c:pt>
                <c:pt idx="358">
                  <c:v>97.473</c:v>
                </c:pt>
                <c:pt idx="359">
                  <c:v>97.614</c:v>
                </c:pt>
                <c:pt idx="360">
                  <c:v>97.755</c:v>
                </c:pt>
                <c:pt idx="361">
                  <c:v>97.896</c:v>
                </c:pt>
                <c:pt idx="362">
                  <c:v>98.038</c:v>
                </c:pt>
                <c:pt idx="363">
                  <c:v>98.18099999999998</c:v>
                </c:pt>
                <c:pt idx="364">
                  <c:v>98.324</c:v>
                </c:pt>
                <c:pt idx="365">
                  <c:v>98.465</c:v>
                </c:pt>
                <c:pt idx="366">
                  <c:v>98.60599999999998</c:v>
                </c:pt>
                <c:pt idx="367">
                  <c:v>98.747</c:v>
                </c:pt>
                <c:pt idx="368">
                  <c:v>98.89</c:v>
                </c:pt>
                <c:pt idx="369">
                  <c:v>99.033</c:v>
                </c:pt>
                <c:pt idx="370">
                  <c:v>99.17499999999998</c:v>
                </c:pt>
                <c:pt idx="371">
                  <c:v>99.317</c:v>
                </c:pt>
                <c:pt idx="372">
                  <c:v>99.459</c:v>
                </c:pt>
                <c:pt idx="373">
                  <c:v>99.601</c:v>
                </c:pt>
                <c:pt idx="374">
                  <c:v>99.742</c:v>
                </c:pt>
                <c:pt idx="375">
                  <c:v>99.885</c:v>
                </c:pt>
                <c:pt idx="376">
                  <c:v>100.028</c:v>
                </c:pt>
                <c:pt idx="377">
                  <c:v>100.165</c:v>
                </c:pt>
                <c:pt idx="378">
                  <c:v>100.303</c:v>
                </c:pt>
                <c:pt idx="379">
                  <c:v>100.439</c:v>
                </c:pt>
                <c:pt idx="380">
                  <c:v>100.577</c:v>
                </c:pt>
                <c:pt idx="381">
                  <c:v>100.716</c:v>
                </c:pt>
                <c:pt idx="382">
                  <c:v>100.857</c:v>
                </c:pt>
                <c:pt idx="383">
                  <c:v>100.996</c:v>
                </c:pt>
                <c:pt idx="384">
                  <c:v>101.136</c:v>
                </c:pt>
                <c:pt idx="385">
                  <c:v>101.277</c:v>
                </c:pt>
                <c:pt idx="386">
                  <c:v>101.416</c:v>
                </c:pt>
                <c:pt idx="387">
                  <c:v>101.554</c:v>
                </c:pt>
                <c:pt idx="388">
                  <c:v>101.695</c:v>
                </c:pt>
                <c:pt idx="389">
                  <c:v>101.837</c:v>
                </c:pt>
                <c:pt idx="390">
                  <c:v>101.976</c:v>
                </c:pt>
                <c:pt idx="391">
                  <c:v>102.119</c:v>
                </c:pt>
                <c:pt idx="392">
                  <c:v>102.26</c:v>
                </c:pt>
                <c:pt idx="393">
                  <c:v>102.403</c:v>
                </c:pt>
                <c:pt idx="394">
                  <c:v>102.546</c:v>
                </c:pt>
                <c:pt idx="395">
                  <c:v>102.688</c:v>
                </c:pt>
                <c:pt idx="396">
                  <c:v>102.83</c:v>
                </c:pt>
                <c:pt idx="397">
                  <c:v>102.973</c:v>
                </c:pt>
                <c:pt idx="398">
                  <c:v>103.116</c:v>
                </c:pt>
                <c:pt idx="399">
                  <c:v>103.261</c:v>
                </c:pt>
                <c:pt idx="400">
                  <c:v>103.402</c:v>
                </c:pt>
                <c:pt idx="401">
                  <c:v>103.544</c:v>
                </c:pt>
                <c:pt idx="402">
                  <c:v>103.683</c:v>
                </c:pt>
                <c:pt idx="403">
                  <c:v>103.821</c:v>
                </c:pt>
                <c:pt idx="404">
                  <c:v>103.962</c:v>
                </c:pt>
                <c:pt idx="405">
                  <c:v>104.102</c:v>
                </c:pt>
                <c:pt idx="406">
                  <c:v>104.239</c:v>
                </c:pt>
                <c:pt idx="407">
                  <c:v>104.38</c:v>
                </c:pt>
                <c:pt idx="408">
                  <c:v>104.521</c:v>
                </c:pt>
                <c:pt idx="409">
                  <c:v>104.661</c:v>
                </c:pt>
                <c:pt idx="410">
                  <c:v>104.805</c:v>
                </c:pt>
                <c:pt idx="411">
                  <c:v>104.949</c:v>
                </c:pt>
                <c:pt idx="412">
                  <c:v>105.093</c:v>
                </c:pt>
                <c:pt idx="413">
                  <c:v>105.235</c:v>
                </c:pt>
                <c:pt idx="414">
                  <c:v>105.378</c:v>
                </c:pt>
                <c:pt idx="415">
                  <c:v>105.522</c:v>
                </c:pt>
                <c:pt idx="416">
                  <c:v>105.664</c:v>
                </c:pt>
                <c:pt idx="417">
                  <c:v>105.805</c:v>
                </c:pt>
                <c:pt idx="418">
                  <c:v>105.946</c:v>
                </c:pt>
                <c:pt idx="419">
                  <c:v>106.085</c:v>
                </c:pt>
                <c:pt idx="420">
                  <c:v>106.226</c:v>
                </c:pt>
                <c:pt idx="421">
                  <c:v>106.371</c:v>
                </c:pt>
                <c:pt idx="422">
                  <c:v>106.517</c:v>
                </c:pt>
                <c:pt idx="423">
                  <c:v>106.664</c:v>
                </c:pt>
                <c:pt idx="424">
                  <c:v>106.807</c:v>
                </c:pt>
                <c:pt idx="425">
                  <c:v>106.949</c:v>
                </c:pt>
                <c:pt idx="426">
                  <c:v>107.089</c:v>
                </c:pt>
                <c:pt idx="427">
                  <c:v>107.227</c:v>
                </c:pt>
                <c:pt idx="428">
                  <c:v>107.368</c:v>
                </c:pt>
                <c:pt idx="429">
                  <c:v>107.511</c:v>
                </c:pt>
                <c:pt idx="430">
                  <c:v>107.655</c:v>
                </c:pt>
                <c:pt idx="431">
                  <c:v>107.798</c:v>
                </c:pt>
                <c:pt idx="432">
                  <c:v>107.942</c:v>
                </c:pt>
                <c:pt idx="433">
                  <c:v>108.087</c:v>
                </c:pt>
                <c:pt idx="434">
                  <c:v>108.23</c:v>
                </c:pt>
                <c:pt idx="435">
                  <c:v>108.371</c:v>
                </c:pt>
                <c:pt idx="436">
                  <c:v>108.512</c:v>
                </c:pt>
                <c:pt idx="437">
                  <c:v>108.653</c:v>
                </c:pt>
                <c:pt idx="438">
                  <c:v>108.794</c:v>
                </c:pt>
                <c:pt idx="439">
                  <c:v>108.938</c:v>
                </c:pt>
                <c:pt idx="440">
                  <c:v>109.081</c:v>
                </c:pt>
                <c:pt idx="441">
                  <c:v>109.222</c:v>
                </c:pt>
                <c:pt idx="442">
                  <c:v>109.364</c:v>
                </c:pt>
                <c:pt idx="443">
                  <c:v>109.508</c:v>
                </c:pt>
                <c:pt idx="444">
                  <c:v>109.649</c:v>
                </c:pt>
                <c:pt idx="445">
                  <c:v>109.79</c:v>
                </c:pt>
                <c:pt idx="446">
                  <c:v>109.931</c:v>
                </c:pt>
                <c:pt idx="447">
                  <c:v>110.073</c:v>
                </c:pt>
                <c:pt idx="448">
                  <c:v>110.214</c:v>
                </c:pt>
                <c:pt idx="449">
                  <c:v>110.355</c:v>
                </c:pt>
                <c:pt idx="450">
                  <c:v>110.495</c:v>
                </c:pt>
                <c:pt idx="451">
                  <c:v>110.635</c:v>
                </c:pt>
                <c:pt idx="452">
                  <c:v>110.772</c:v>
                </c:pt>
                <c:pt idx="453">
                  <c:v>110.908</c:v>
                </c:pt>
                <c:pt idx="454">
                  <c:v>111.049</c:v>
                </c:pt>
                <c:pt idx="455">
                  <c:v>111.189</c:v>
                </c:pt>
                <c:pt idx="456">
                  <c:v>111.329</c:v>
                </c:pt>
                <c:pt idx="457">
                  <c:v>111.472</c:v>
                </c:pt>
                <c:pt idx="458">
                  <c:v>111.619</c:v>
                </c:pt>
                <c:pt idx="459">
                  <c:v>111.764</c:v>
                </c:pt>
                <c:pt idx="460">
                  <c:v>111.909</c:v>
                </c:pt>
                <c:pt idx="461">
                  <c:v>112.054</c:v>
                </c:pt>
                <c:pt idx="462">
                  <c:v>112.201</c:v>
                </c:pt>
                <c:pt idx="463">
                  <c:v>112.347</c:v>
                </c:pt>
                <c:pt idx="464">
                  <c:v>112.494</c:v>
                </c:pt>
                <c:pt idx="465">
                  <c:v>112.641</c:v>
                </c:pt>
                <c:pt idx="466">
                  <c:v>112.795</c:v>
                </c:pt>
                <c:pt idx="467">
                  <c:v>112.961</c:v>
                </c:pt>
                <c:pt idx="468">
                  <c:v>113.131</c:v>
                </c:pt>
                <c:pt idx="469">
                  <c:v>113.302</c:v>
                </c:pt>
                <c:pt idx="470">
                  <c:v>113.477</c:v>
                </c:pt>
                <c:pt idx="471">
                  <c:v>113.654</c:v>
                </c:pt>
                <c:pt idx="472">
                  <c:v>113.83</c:v>
                </c:pt>
                <c:pt idx="473">
                  <c:v>114.006</c:v>
                </c:pt>
                <c:pt idx="474">
                  <c:v>114.183</c:v>
                </c:pt>
                <c:pt idx="475">
                  <c:v>114.357</c:v>
                </c:pt>
                <c:pt idx="476">
                  <c:v>114.53</c:v>
                </c:pt>
                <c:pt idx="477">
                  <c:v>114.7</c:v>
                </c:pt>
                <c:pt idx="478">
                  <c:v>114.871</c:v>
                </c:pt>
                <c:pt idx="479">
                  <c:v>115.042</c:v>
                </c:pt>
                <c:pt idx="480">
                  <c:v>115.212</c:v>
                </c:pt>
                <c:pt idx="481">
                  <c:v>115.382</c:v>
                </c:pt>
                <c:pt idx="482">
                  <c:v>115.549</c:v>
                </c:pt>
                <c:pt idx="483">
                  <c:v>115.717</c:v>
                </c:pt>
                <c:pt idx="484">
                  <c:v>115.887</c:v>
                </c:pt>
                <c:pt idx="485">
                  <c:v>116.058</c:v>
                </c:pt>
                <c:pt idx="486">
                  <c:v>116.226</c:v>
                </c:pt>
                <c:pt idx="487">
                  <c:v>116.397</c:v>
                </c:pt>
                <c:pt idx="488">
                  <c:v>116.567</c:v>
                </c:pt>
                <c:pt idx="489">
                  <c:v>116.736</c:v>
                </c:pt>
                <c:pt idx="490">
                  <c:v>116.905</c:v>
                </c:pt>
                <c:pt idx="491">
                  <c:v>117.072</c:v>
                </c:pt>
                <c:pt idx="492">
                  <c:v>117.241</c:v>
                </c:pt>
                <c:pt idx="493">
                  <c:v>117.412</c:v>
                </c:pt>
                <c:pt idx="494">
                  <c:v>117.583</c:v>
                </c:pt>
                <c:pt idx="495">
                  <c:v>117.756</c:v>
                </c:pt>
                <c:pt idx="496">
                  <c:v>117.928</c:v>
                </c:pt>
                <c:pt idx="497">
                  <c:v>118.095</c:v>
                </c:pt>
                <c:pt idx="498">
                  <c:v>118.263</c:v>
                </c:pt>
                <c:pt idx="499">
                  <c:v>118.43</c:v>
                </c:pt>
                <c:pt idx="500">
                  <c:v>118.599</c:v>
                </c:pt>
                <c:pt idx="501">
                  <c:v>118.766</c:v>
                </c:pt>
                <c:pt idx="502">
                  <c:v>118.932</c:v>
                </c:pt>
                <c:pt idx="503">
                  <c:v>119.098</c:v>
                </c:pt>
                <c:pt idx="504">
                  <c:v>119.266</c:v>
                </c:pt>
                <c:pt idx="505">
                  <c:v>119.433</c:v>
                </c:pt>
                <c:pt idx="506">
                  <c:v>119.603</c:v>
                </c:pt>
                <c:pt idx="507">
                  <c:v>119.772</c:v>
                </c:pt>
                <c:pt idx="508">
                  <c:v>119.94</c:v>
                </c:pt>
                <c:pt idx="509">
                  <c:v>120.108</c:v>
                </c:pt>
                <c:pt idx="510">
                  <c:v>120.274</c:v>
                </c:pt>
                <c:pt idx="511">
                  <c:v>120.439</c:v>
                </c:pt>
                <c:pt idx="512">
                  <c:v>120.603</c:v>
                </c:pt>
                <c:pt idx="513">
                  <c:v>120.766</c:v>
                </c:pt>
                <c:pt idx="514">
                  <c:v>120.932</c:v>
                </c:pt>
                <c:pt idx="515">
                  <c:v>121.099</c:v>
                </c:pt>
                <c:pt idx="516">
                  <c:v>121.266</c:v>
                </c:pt>
                <c:pt idx="517">
                  <c:v>121.433</c:v>
                </c:pt>
                <c:pt idx="518">
                  <c:v>121.598</c:v>
                </c:pt>
                <c:pt idx="519">
                  <c:v>121.763</c:v>
                </c:pt>
                <c:pt idx="520">
                  <c:v>121.929</c:v>
                </c:pt>
                <c:pt idx="521">
                  <c:v>122.096</c:v>
                </c:pt>
                <c:pt idx="522">
                  <c:v>122.261</c:v>
                </c:pt>
                <c:pt idx="523">
                  <c:v>122.428</c:v>
                </c:pt>
                <c:pt idx="524">
                  <c:v>122.591</c:v>
                </c:pt>
                <c:pt idx="525">
                  <c:v>122.755</c:v>
                </c:pt>
                <c:pt idx="526">
                  <c:v>122.922</c:v>
                </c:pt>
                <c:pt idx="527">
                  <c:v>123.09</c:v>
                </c:pt>
                <c:pt idx="528">
                  <c:v>123.258</c:v>
                </c:pt>
                <c:pt idx="529">
                  <c:v>123.428</c:v>
                </c:pt>
                <c:pt idx="530">
                  <c:v>123.595</c:v>
                </c:pt>
                <c:pt idx="531">
                  <c:v>123.765</c:v>
                </c:pt>
                <c:pt idx="532">
                  <c:v>123.935</c:v>
                </c:pt>
                <c:pt idx="533">
                  <c:v>124.104</c:v>
                </c:pt>
                <c:pt idx="534">
                  <c:v>124.269</c:v>
                </c:pt>
                <c:pt idx="535">
                  <c:v>124.435</c:v>
                </c:pt>
                <c:pt idx="536">
                  <c:v>124.6</c:v>
                </c:pt>
                <c:pt idx="537">
                  <c:v>124.764</c:v>
                </c:pt>
                <c:pt idx="538">
                  <c:v>124.931</c:v>
                </c:pt>
                <c:pt idx="539">
                  <c:v>125.097</c:v>
                </c:pt>
                <c:pt idx="540">
                  <c:v>125.262</c:v>
                </c:pt>
                <c:pt idx="541">
                  <c:v>125.427</c:v>
                </c:pt>
                <c:pt idx="542">
                  <c:v>125.591</c:v>
                </c:pt>
                <c:pt idx="543">
                  <c:v>125.754</c:v>
                </c:pt>
                <c:pt idx="544">
                  <c:v>125.919</c:v>
                </c:pt>
                <c:pt idx="545">
                  <c:v>126.084</c:v>
                </c:pt>
                <c:pt idx="546">
                  <c:v>126.25</c:v>
                </c:pt>
                <c:pt idx="547">
                  <c:v>126.414</c:v>
                </c:pt>
                <c:pt idx="548">
                  <c:v>126.581</c:v>
                </c:pt>
                <c:pt idx="549">
                  <c:v>126.747</c:v>
                </c:pt>
                <c:pt idx="550">
                  <c:v>126.915</c:v>
                </c:pt>
                <c:pt idx="551">
                  <c:v>127.084</c:v>
                </c:pt>
                <c:pt idx="552">
                  <c:v>127.25</c:v>
                </c:pt>
                <c:pt idx="553">
                  <c:v>127.415</c:v>
                </c:pt>
                <c:pt idx="554">
                  <c:v>127.577</c:v>
                </c:pt>
                <c:pt idx="555">
                  <c:v>127.74</c:v>
                </c:pt>
                <c:pt idx="556">
                  <c:v>127.904</c:v>
                </c:pt>
                <c:pt idx="557">
                  <c:v>128.071</c:v>
                </c:pt>
                <c:pt idx="558">
                  <c:v>128.239</c:v>
                </c:pt>
                <c:pt idx="559">
                  <c:v>128.407</c:v>
                </c:pt>
                <c:pt idx="560">
                  <c:v>128.576</c:v>
                </c:pt>
                <c:pt idx="561">
                  <c:v>128.744</c:v>
                </c:pt>
                <c:pt idx="562">
                  <c:v>128.911</c:v>
                </c:pt>
                <c:pt idx="563">
                  <c:v>129.08</c:v>
                </c:pt>
                <c:pt idx="564">
                  <c:v>129.249</c:v>
                </c:pt>
                <c:pt idx="565">
                  <c:v>129.417</c:v>
                </c:pt>
                <c:pt idx="566">
                  <c:v>129.582</c:v>
                </c:pt>
                <c:pt idx="567">
                  <c:v>129.749</c:v>
                </c:pt>
                <c:pt idx="568">
                  <c:v>129.915</c:v>
                </c:pt>
                <c:pt idx="569">
                  <c:v>130.082</c:v>
                </c:pt>
                <c:pt idx="570">
                  <c:v>130.247</c:v>
                </c:pt>
                <c:pt idx="571">
                  <c:v>130.409</c:v>
                </c:pt>
                <c:pt idx="572">
                  <c:v>130.572</c:v>
                </c:pt>
                <c:pt idx="573">
                  <c:v>130.735</c:v>
                </c:pt>
                <c:pt idx="574">
                  <c:v>130.901</c:v>
                </c:pt>
                <c:pt idx="575">
                  <c:v>131.066</c:v>
                </c:pt>
                <c:pt idx="576">
                  <c:v>131.23</c:v>
                </c:pt>
                <c:pt idx="577">
                  <c:v>131.392</c:v>
                </c:pt>
                <c:pt idx="578">
                  <c:v>131.557</c:v>
                </c:pt>
                <c:pt idx="579">
                  <c:v>131.724</c:v>
                </c:pt>
                <c:pt idx="580">
                  <c:v>131.89</c:v>
                </c:pt>
                <c:pt idx="581">
                  <c:v>132.057</c:v>
                </c:pt>
                <c:pt idx="582">
                  <c:v>132.222</c:v>
                </c:pt>
                <c:pt idx="583">
                  <c:v>132.39</c:v>
                </c:pt>
                <c:pt idx="584">
                  <c:v>132.557</c:v>
                </c:pt>
                <c:pt idx="585">
                  <c:v>132.724</c:v>
                </c:pt>
                <c:pt idx="586">
                  <c:v>132.889</c:v>
                </c:pt>
                <c:pt idx="587">
                  <c:v>133.053</c:v>
                </c:pt>
                <c:pt idx="588">
                  <c:v>133.218</c:v>
                </c:pt>
                <c:pt idx="589">
                  <c:v>133.382</c:v>
                </c:pt>
                <c:pt idx="590">
                  <c:v>133.548</c:v>
                </c:pt>
                <c:pt idx="591">
                  <c:v>133.713</c:v>
                </c:pt>
                <c:pt idx="592">
                  <c:v>133.881</c:v>
                </c:pt>
                <c:pt idx="593">
                  <c:v>134.049</c:v>
                </c:pt>
                <c:pt idx="594">
                  <c:v>134.217</c:v>
                </c:pt>
                <c:pt idx="595">
                  <c:v>134.382</c:v>
                </c:pt>
                <c:pt idx="596">
                  <c:v>134.547</c:v>
                </c:pt>
                <c:pt idx="597">
                  <c:v>134.714</c:v>
                </c:pt>
                <c:pt idx="598">
                  <c:v>134.883</c:v>
                </c:pt>
                <c:pt idx="599">
                  <c:v>135.048</c:v>
                </c:pt>
                <c:pt idx="600">
                  <c:v>135.213</c:v>
                </c:pt>
                <c:pt idx="601">
                  <c:v>135.372</c:v>
                </c:pt>
                <c:pt idx="602">
                  <c:v>135.535</c:v>
                </c:pt>
                <c:pt idx="603">
                  <c:v>135.7</c:v>
                </c:pt>
                <c:pt idx="604">
                  <c:v>135.867</c:v>
                </c:pt>
                <c:pt idx="605">
                  <c:v>136.035</c:v>
                </c:pt>
                <c:pt idx="606">
                  <c:v>136.202</c:v>
                </c:pt>
                <c:pt idx="607">
                  <c:v>136.368</c:v>
                </c:pt>
                <c:pt idx="608">
                  <c:v>136.534</c:v>
                </c:pt>
                <c:pt idx="609">
                  <c:v>136.701</c:v>
                </c:pt>
                <c:pt idx="610">
                  <c:v>136.871</c:v>
                </c:pt>
                <c:pt idx="611">
                  <c:v>137.038</c:v>
                </c:pt>
                <c:pt idx="612">
                  <c:v>137.206</c:v>
                </c:pt>
                <c:pt idx="613">
                  <c:v>137.375</c:v>
                </c:pt>
                <c:pt idx="614">
                  <c:v>137.543</c:v>
                </c:pt>
                <c:pt idx="615">
                  <c:v>137.711</c:v>
                </c:pt>
                <c:pt idx="616">
                  <c:v>137.878</c:v>
                </c:pt>
                <c:pt idx="617">
                  <c:v>138.044</c:v>
                </c:pt>
                <c:pt idx="618">
                  <c:v>138.209</c:v>
                </c:pt>
                <c:pt idx="619">
                  <c:v>138.377</c:v>
                </c:pt>
                <c:pt idx="620">
                  <c:v>138.543</c:v>
                </c:pt>
                <c:pt idx="621">
                  <c:v>138.711</c:v>
                </c:pt>
                <c:pt idx="622">
                  <c:v>138.878</c:v>
                </c:pt>
                <c:pt idx="623">
                  <c:v>139.045</c:v>
                </c:pt>
                <c:pt idx="624">
                  <c:v>139.206</c:v>
                </c:pt>
                <c:pt idx="625">
                  <c:v>139.367</c:v>
                </c:pt>
                <c:pt idx="626">
                  <c:v>139.531</c:v>
                </c:pt>
                <c:pt idx="627">
                  <c:v>139.695</c:v>
                </c:pt>
                <c:pt idx="628">
                  <c:v>139.862</c:v>
                </c:pt>
                <c:pt idx="629">
                  <c:v>140.028</c:v>
                </c:pt>
                <c:pt idx="630">
                  <c:v>140.196</c:v>
                </c:pt>
                <c:pt idx="631">
                  <c:v>140.364</c:v>
                </c:pt>
                <c:pt idx="632">
                  <c:v>140.532</c:v>
                </c:pt>
                <c:pt idx="633">
                  <c:v>140.699</c:v>
                </c:pt>
                <c:pt idx="634">
                  <c:v>140.868</c:v>
                </c:pt>
                <c:pt idx="635">
                  <c:v>141.037</c:v>
                </c:pt>
                <c:pt idx="636">
                  <c:v>141.205</c:v>
                </c:pt>
                <c:pt idx="637">
                  <c:v>141.373</c:v>
                </c:pt>
                <c:pt idx="638">
                  <c:v>141.54</c:v>
                </c:pt>
                <c:pt idx="639">
                  <c:v>141.706</c:v>
                </c:pt>
                <c:pt idx="640">
                  <c:v>141.869</c:v>
                </c:pt>
                <c:pt idx="641">
                  <c:v>142.033</c:v>
                </c:pt>
                <c:pt idx="642">
                  <c:v>142.197</c:v>
                </c:pt>
                <c:pt idx="643">
                  <c:v>142.361</c:v>
                </c:pt>
                <c:pt idx="644">
                  <c:v>142.527</c:v>
                </c:pt>
                <c:pt idx="645">
                  <c:v>142.693</c:v>
                </c:pt>
                <c:pt idx="646">
                  <c:v>142.862</c:v>
                </c:pt>
                <c:pt idx="647">
                  <c:v>143.029</c:v>
                </c:pt>
                <c:pt idx="648">
                  <c:v>143.193</c:v>
                </c:pt>
                <c:pt idx="649">
                  <c:v>143.36</c:v>
                </c:pt>
                <c:pt idx="650">
                  <c:v>143.528</c:v>
                </c:pt>
                <c:pt idx="651">
                  <c:v>143.693</c:v>
                </c:pt>
                <c:pt idx="652">
                  <c:v>143.855</c:v>
                </c:pt>
                <c:pt idx="653">
                  <c:v>144.017</c:v>
                </c:pt>
                <c:pt idx="654">
                  <c:v>144.182</c:v>
                </c:pt>
                <c:pt idx="655">
                  <c:v>144.347</c:v>
                </c:pt>
                <c:pt idx="656">
                  <c:v>144.512</c:v>
                </c:pt>
                <c:pt idx="657">
                  <c:v>144.677</c:v>
                </c:pt>
                <c:pt idx="658">
                  <c:v>144.844</c:v>
                </c:pt>
                <c:pt idx="659">
                  <c:v>145.009</c:v>
                </c:pt>
                <c:pt idx="660">
                  <c:v>145.174</c:v>
                </c:pt>
                <c:pt idx="661">
                  <c:v>145.339</c:v>
                </c:pt>
                <c:pt idx="662">
                  <c:v>145.503</c:v>
                </c:pt>
                <c:pt idx="663">
                  <c:v>145.667</c:v>
                </c:pt>
                <c:pt idx="664">
                  <c:v>145.829</c:v>
                </c:pt>
                <c:pt idx="665">
                  <c:v>145.994</c:v>
                </c:pt>
                <c:pt idx="666">
                  <c:v>146.16</c:v>
                </c:pt>
                <c:pt idx="667">
                  <c:v>146.327</c:v>
                </c:pt>
                <c:pt idx="668">
                  <c:v>146.494</c:v>
                </c:pt>
                <c:pt idx="669">
                  <c:v>146.66</c:v>
                </c:pt>
                <c:pt idx="670">
                  <c:v>146.824</c:v>
                </c:pt>
                <c:pt idx="671">
                  <c:v>146.987</c:v>
                </c:pt>
                <c:pt idx="672">
                  <c:v>147.153</c:v>
                </c:pt>
                <c:pt idx="673">
                  <c:v>147.317</c:v>
                </c:pt>
                <c:pt idx="674">
                  <c:v>147.483</c:v>
                </c:pt>
                <c:pt idx="675">
                  <c:v>147.647</c:v>
                </c:pt>
                <c:pt idx="676">
                  <c:v>147.812</c:v>
                </c:pt>
                <c:pt idx="677">
                  <c:v>147.979</c:v>
                </c:pt>
                <c:pt idx="678">
                  <c:v>148.148</c:v>
                </c:pt>
                <c:pt idx="679">
                  <c:v>148.312</c:v>
                </c:pt>
                <c:pt idx="680">
                  <c:v>148.478</c:v>
                </c:pt>
                <c:pt idx="681">
                  <c:v>148.643</c:v>
                </c:pt>
                <c:pt idx="682">
                  <c:v>148.81</c:v>
                </c:pt>
                <c:pt idx="683">
                  <c:v>148.974</c:v>
                </c:pt>
                <c:pt idx="684">
                  <c:v>149.139</c:v>
                </c:pt>
                <c:pt idx="685">
                  <c:v>149.303</c:v>
                </c:pt>
                <c:pt idx="686">
                  <c:v>149.467</c:v>
                </c:pt>
                <c:pt idx="687">
                  <c:v>149.63</c:v>
                </c:pt>
                <c:pt idx="688">
                  <c:v>149.796</c:v>
                </c:pt>
                <c:pt idx="689">
                  <c:v>149.964</c:v>
                </c:pt>
                <c:pt idx="690">
                  <c:v>150.129</c:v>
                </c:pt>
                <c:pt idx="691">
                  <c:v>150.292</c:v>
                </c:pt>
                <c:pt idx="692">
                  <c:v>150.456</c:v>
                </c:pt>
                <c:pt idx="693">
                  <c:v>150.62</c:v>
                </c:pt>
                <c:pt idx="694">
                  <c:v>150.786</c:v>
                </c:pt>
                <c:pt idx="695">
                  <c:v>150.952</c:v>
                </c:pt>
                <c:pt idx="696">
                  <c:v>151.115</c:v>
                </c:pt>
                <c:pt idx="697">
                  <c:v>151.279</c:v>
                </c:pt>
                <c:pt idx="698">
                  <c:v>151.441</c:v>
                </c:pt>
                <c:pt idx="699">
                  <c:v>151.605</c:v>
                </c:pt>
                <c:pt idx="700">
                  <c:v>151.768</c:v>
                </c:pt>
                <c:pt idx="701">
                  <c:v>151.931</c:v>
                </c:pt>
                <c:pt idx="702">
                  <c:v>152.095</c:v>
                </c:pt>
                <c:pt idx="703">
                  <c:v>152.258</c:v>
                </c:pt>
                <c:pt idx="704">
                  <c:v>152.42</c:v>
                </c:pt>
                <c:pt idx="705">
                  <c:v>152.582</c:v>
                </c:pt>
                <c:pt idx="706">
                  <c:v>152.748</c:v>
                </c:pt>
                <c:pt idx="707">
                  <c:v>152.915</c:v>
                </c:pt>
                <c:pt idx="708">
                  <c:v>153.085</c:v>
                </c:pt>
                <c:pt idx="709">
                  <c:v>153.254</c:v>
                </c:pt>
                <c:pt idx="710">
                  <c:v>153.422</c:v>
                </c:pt>
                <c:pt idx="711">
                  <c:v>153.59</c:v>
                </c:pt>
                <c:pt idx="712">
                  <c:v>153.757</c:v>
                </c:pt>
                <c:pt idx="713">
                  <c:v>153.924</c:v>
                </c:pt>
                <c:pt idx="714">
                  <c:v>154.09</c:v>
                </c:pt>
                <c:pt idx="715">
                  <c:v>154.254</c:v>
                </c:pt>
                <c:pt idx="716">
                  <c:v>154.415</c:v>
                </c:pt>
                <c:pt idx="717">
                  <c:v>154.577</c:v>
                </c:pt>
                <c:pt idx="718">
                  <c:v>154.741</c:v>
                </c:pt>
                <c:pt idx="719">
                  <c:v>154.906</c:v>
                </c:pt>
                <c:pt idx="720">
                  <c:v>155.072</c:v>
                </c:pt>
                <c:pt idx="721">
                  <c:v>155.234</c:v>
                </c:pt>
                <c:pt idx="722">
                  <c:v>155.397</c:v>
                </c:pt>
                <c:pt idx="723">
                  <c:v>155.556</c:v>
                </c:pt>
                <c:pt idx="724">
                  <c:v>155.719</c:v>
                </c:pt>
                <c:pt idx="725">
                  <c:v>155.885</c:v>
                </c:pt>
                <c:pt idx="726">
                  <c:v>156.053</c:v>
                </c:pt>
                <c:pt idx="727">
                  <c:v>156.223</c:v>
                </c:pt>
                <c:pt idx="728">
                  <c:v>156.392</c:v>
                </c:pt>
                <c:pt idx="729">
                  <c:v>156.559</c:v>
                </c:pt>
                <c:pt idx="730">
                  <c:v>156.725</c:v>
                </c:pt>
                <c:pt idx="731">
                  <c:v>156.891</c:v>
                </c:pt>
                <c:pt idx="732">
                  <c:v>157.054</c:v>
                </c:pt>
                <c:pt idx="733">
                  <c:v>157.216</c:v>
                </c:pt>
                <c:pt idx="734">
                  <c:v>157.375</c:v>
                </c:pt>
                <c:pt idx="735">
                  <c:v>157.538</c:v>
                </c:pt>
                <c:pt idx="736">
                  <c:v>157.705</c:v>
                </c:pt>
                <c:pt idx="737">
                  <c:v>157.873</c:v>
                </c:pt>
                <c:pt idx="738">
                  <c:v>158.04</c:v>
                </c:pt>
                <c:pt idx="739">
                  <c:v>158.208</c:v>
                </c:pt>
                <c:pt idx="740">
                  <c:v>158.376</c:v>
                </c:pt>
                <c:pt idx="741">
                  <c:v>158.543</c:v>
                </c:pt>
                <c:pt idx="742">
                  <c:v>158.709</c:v>
                </c:pt>
                <c:pt idx="743">
                  <c:v>158.875</c:v>
                </c:pt>
                <c:pt idx="744">
                  <c:v>159.041</c:v>
                </c:pt>
                <c:pt idx="745">
                  <c:v>159.208</c:v>
                </c:pt>
                <c:pt idx="746">
                  <c:v>159.376</c:v>
                </c:pt>
                <c:pt idx="747">
                  <c:v>159.542</c:v>
                </c:pt>
                <c:pt idx="748">
                  <c:v>159.707</c:v>
                </c:pt>
                <c:pt idx="749">
                  <c:v>159.873</c:v>
                </c:pt>
                <c:pt idx="750">
                  <c:v>160.04</c:v>
                </c:pt>
                <c:pt idx="751">
                  <c:v>160.205</c:v>
                </c:pt>
                <c:pt idx="752">
                  <c:v>160.369</c:v>
                </c:pt>
                <c:pt idx="753">
                  <c:v>160.533</c:v>
                </c:pt>
                <c:pt idx="754">
                  <c:v>160.697</c:v>
                </c:pt>
                <c:pt idx="755">
                  <c:v>160.862</c:v>
                </c:pt>
                <c:pt idx="756">
                  <c:v>161.026</c:v>
                </c:pt>
                <c:pt idx="757">
                  <c:v>161.191</c:v>
                </c:pt>
                <c:pt idx="758">
                  <c:v>161.354</c:v>
                </c:pt>
                <c:pt idx="759">
                  <c:v>161.517</c:v>
                </c:pt>
                <c:pt idx="760">
                  <c:v>161.681</c:v>
                </c:pt>
                <c:pt idx="761">
                  <c:v>161.844</c:v>
                </c:pt>
                <c:pt idx="762">
                  <c:v>162.008</c:v>
                </c:pt>
                <c:pt idx="763">
                  <c:v>162.175</c:v>
                </c:pt>
                <c:pt idx="764">
                  <c:v>162.343</c:v>
                </c:pt>
                <c:pt idx="765">
                  <c:v>162.512</c:v>
                </c:pt>
                <c:pt idx="766">
                  <c:v>162.678</c:v>
                </c:pt>
                <c:pt idx="767">
                  <c:v>162.844</c:v>
                </c:pt>
                <c:pt idx="768">
                  <c:v>163.01</c:v>
                </c:pt>
                <c:pt idx="769">
                  <c:v>163.174</c:v>
                </c:pt>
                <c:pt idx="770">
                  <c:v>163.34</c:v>
                </c:pt>
                <c:pt idx="771">
                  <c:v>163.506</c:v>
                </c:pt>
                <c:pt idx="772">
                  <c:v>163.671</c:v>
                </c:pt>
                <c:pt idx="773">
                  <c:v>163.838</c:v>
                </c:pt>
                <c:pt idx="774">
                  <c:v>164.005</c:v>
                </c:pt>
                <c:pt idx="775">
                  <c:v>164.174</c:v>
                </c:pt>
                <c:pt idx="776">
                  <c:v>164.343</c:v>
                </c:pt>
                <c:pt idx="777">
                  <c:v>164.513</c:v>
                </c:pt>
                <c:pt idx="778">
                  <c:v>164.68</c:v>
                </c:pt>
                <c:pt idx="779">
                  <c:v>164.85</c:v>
                </c:pt>
                <c:pt idx="780">
                  <c:v>165.017</c:v>
                </c:pt>
                <c:pt idx="781">
                  <c:v>165.183</c:v>
                </c:pt>
                <c:pt idx="782">
                  <c:v>165.351</c:v>
                </c:pt>
                <c:pt idx="783">
                  <c:v>165.517</c:v>
                </c:pt>
                <c:pt idx="784">
                  <c:v>165.684</c:v>
                </c:pt>
                <c:pt idx="785">
                  <c:v>165.854</c:v>
                </c:pt>
                <c:pt idx="786">
                  <c:v>166.021</c:v>
                </c:pt>
                <c:pt idx="787">
                  <c:v>166.187</c:v>
                </c:pt>
                <c:pt idx="788">
                  <c:v>166.355</c:v>
                </c:pt>
                <c:pt idx="789">
                  <c:v>166.523</c:v>
                </c:pt>
                <c:pt idx="790">
                  <c:v>166.688</c:v>
                </c:pt>
                <c:pt idx="791">
                  <c:v>166.854</c:v>
                </c:pt>
                <c:pt idx="792">
                  <c:v>167.02</c:v>
                </c:pt>
                <c:pt idx="793">
                  <c:v>167.186</c:v>
                </c:pt>
                <c:pt idx="794">
                  <c:v>167.352</c:v>
                </c:pt>
                <c:pt idx="795">
                  <c:v>167.52</c:v>
                </c:pt>
                <c:pt idx="796">
                  <c:v>167.688</c:v>
                </c:pt>
                <c:pt idx="797">
                  <c:v>167.857</c:v>
                </c:pt>
                <c:pt idx="798">
                  <c:v>168.025</c:v>
                </c:pt>
                <c:pt idx="799">
                  <c:v>168.19</c:v>
                </c:pt>
                <c:pt idx="800">
                  <c:v>168.355</c:v>
                </c:pt>
                <c:pt idx="801">
                  <c:v>168.52</c:v>
                </c:pt>
                <c:pt idx="802">
                  <c:v>168.688</c:v>
                </c:pt>
                <c:pt idx="803">
                  <c:v>168.854</c:v>
                </c:pt>
                <c:pt idx="804">
                  <c:v>169.02</c:v>
                </c:pt>
                <c:pt idx="805">
                  <c:v>169.188</c:v>
                </c:pt>
                <c:pt idx="806">
                  <c:v>169.354</c:v>
                </c:pt>
                <c:pt idx="807">
                  <c:v>169.522</c:v>
                </c:pt>
                <c:pt idx="808">
                  <c:v>169.687</c:v>
                </c:pt>
                <c:pt idx="809">
                  <c:v>169.853</c:v>
                </c:pt>
                <c:pt idx="810">
                  <c:v>170.021</c:v>
                </c:pt>
                <c:pt idx="811">
                  <c:v>170.189</c:v>
                </c:pt>
                <c:pt idx="812">
                  <c:v>170.355</c:v>
                </c:pt>
                <c:pt idx="813">
                  <c:v>170.522</c:v>
                </c:pt>
                <c:pt idx="814">
                  <c:v>170.688</c:v>
                </c:pt>
                <c:pt idx="815">
                  <c:v>170.853</c:v>
                </c:pt>
                <c:pt idx="816">
                  <c:v>171.019</c:v>
                </c:pt>
                <c:pt idx="817">
                  <c:v>171.186</c:v>
                </c:pt>
                <c:pt idx="818">
                  <c:v>171.354</c:v>
                </c:pt>
                <c:pt idx="819">
                  <c:v>171.52</c:v>
                </c:pt>
                <c:pt idx="820">
                  <c:v>171.687</c:v>
                </c:pt>
                <c:pt idx="821">
                  <c:v>171.854</c:v>
                </c:pt>
                <c:pt idx="822">
                  <c:v>172.022</c:v>
                </c:pt>
                <c:pt idx="823">
                  <c:v>172.193</c:v>
                </c:pt>
                <c:pt idx="824">
                  <c:v>172.36</c:v>
                </c:pt>
                <c:pt idx="825">
                  <c:v>172.529</c:v>
                </c:pt>
                <c:pt idx="826">
                  <c:v>172.697</c:v>
                </c:pt>
                <c:pt idx="827">
                  <c:v>172.862</c:v>
                </c:pt>
                <c:pt idx="828">
                  <c:v>173.028</c:v>
                </c:pt>
                <c:pt idx="829">
                  <c:v>173.194</c:v>
                </c:pt>
                <c:pt idx="830">
                  <c:v>173.362</c:v>
                </c:pt>
                <c:pt idx="831">
                  <c:v>173.529</c:v>
                </c:pt>
                <c:pt idx="832">
                  <c:v>173.694</c:v>
                </c:pt>
                <c:pt idx="833">
                  <c:v>173.857</c:v>
                </c:pt>
                <c:pt idx="834">
                  <c:v>174.023</c:v>
                </c:pt>
                <c:pt idx="835">
                  <c:v>174.19</c:v>
                </c:pt>
                <c:pt idx="836">
                  <c:v>174.356</c:v>
                </c:pt>
                <c:pt idx="837">
                  <c:v>174.518</c:v>
                </c:pt>
                <c:pt idx="838">
                  <c:v>174.681</c:v>
                </c:pt>
                <c:pt idx="839">
                  <c:v>174.845</c:v>
                </c:pt>
                <c:pt idx="840">
                  <c:v>175.013</c:v>
                </c:pt>
                <c:pt idx="841">
                  <c:v>175.182</c:v>
                </c:pt>
                <c:pt idx="842">
                  <c:v>175.35</c:v>
                </c:pt>
                <c:pt idx="843">
                  <c:v>175.519</c:v>
                </c:pt>
                <c:pt idx="844">
                  <c:v>175.688</c:v>
                </c:pt>
                <c:pt idx="845">
                  <c:v>175.856</c:v>
                </c:pt>
                <c:pt idx="846">
                  <c:v>176.026</c:v>
                </c:pt>
                <c:pt idx="847">
                  <c:v>176.193</c:v>
                </c:pt>
                <c:pt idx="848">
                  <c:v>176.361</c:v>
                </c:pt>
                <c:pt idx="849">
                  <c:v>176.527</c:v>
                </c:pt>
                <c:pt idx="850">
                  <c:v>176.694</c:v>
                </c:pt>
                <c:pt idx="851">
                  <c:v>176.861</c:v>
                </c:pt>
                <c:pt idx="852">
                  <c:v>177.03</c:v>
                </c:pt>
                <c:pt idx="853">
                  <c:v>177.201</c:v>
                </c:pt>
                <c:pt idx="854">
                  <c:v>177.371</c:v>
                </c:pt>
                <c:pt idx="855">
                  <c:v>177.541</c:v>
                </c:pt>
                <c:pt idx="856">
                  <c:v>177.708</c:v>
                </c:pt>
                <c:pt idx="857">
                  <c:v>177.877</c:v>
                </c:pt>
                <c:pt idx="858">
                  <c:v>178.045</c:v>
                </c:pt>
                <c:pt idx="859">
                  <c:v>178.215</c:v>
                </c:pt>
                <c:pt idx="860">
                  <c:v>178.384</c:v>
                </c:pt>
                <c:pt idx="861">
                  <c:v>178.552</c:v>
                </c:pt>
                <c:pt idx="862">
                  <c:v>178.717</c:v>
                </c:pt>
                <c:pt idx="863">
                  <c:v>178.879</c:v>
                </c:pt>
                <c:pt idx="864">
                  <c:v>179.046</c:v>
                </c:pt>
                <c:pt idx="865">
                  <c:v>179.212</c:v>
                </c:pt>
                <c:pt idx="866">
                  <c:v>179.377</c:v>
                </c:pt>
                <c:pt idx="867">
                  <c:v>179.545</c:v>
                </c:pt>
                <c:pt idx="868">
                  <c:v>179.714</c:v>
                </c:pt>
                <c:pt idx="869">
                  <c:v>179.88</c:v>
                </c:pt>
                <c:pt idx="870">
                  <c:v>180.044</c:v>
                </c:pt>
                <c:pt idx="871">
                  <c:v>180.206</c:v>
                </c:pt>
                <c:pt idx="872">
                  <c:v>180.367</c:v>
                </c:pt>
                <c:pt idx="873">
                  <c:v>180.532</c:v>
                </c:pt>
                <c:pt idx="874">
                  <c:v>180.699</c:v>
                </c:pt>
                <c:pt idx="875">
                  <c:v>180.865</c:v>
                </c:pt>
                <c:pt idx="876">
                  <c:v>181.031</c:v>
                </c:pt>
                <c:pt idx="877">
                  <c:v>181.198</c:v>
                </c:pt>
                <c:pt idx="878">
                  <c:v>181.362</c:v>
                </c:pt>
                <c:pt idx="879">
                  <c:v>181.529</c:v>
                </c:pt>
                <c:pt idx="880">
                  <c:v>181.695</c:v>
                </c:pt>
                <c:pt idx="881">
                  <c:v>181.864</c:v>
                </c:pt>
                <c:pt idx="882">
                  <c:v>182.032</c:v>
                </c:pt>
                <c:pt idx="883">
                  <c:v>182.2</c:v>
                </c:pt>
                <c:pt idx="884">
                  <c:v>182.368</c:v>
                </c:pt>
                <c:pt idx="885">
                  <c:v>182.54</c:v>
                </c:pt>
                <c:pt idx="886">
                  <c:v>182.709</c:v>
                </c:pt>
                <c:pt idx="887">
                  <c:v>182.877</c:v>
                </c:pt>
                <c:pt idx="888">
                  <c:v>183.045</c:v>
                </c:pt>
                <c:pt idx="889">
                  <c:v>183.211</c:v>
                </c:pt>
                <c:pt idx="890">
                  <c:v>183.378</c:v>
                </c:pt>
                <c:pt idx="891">
                  <c:v>183.548</c:v>
                </c:pt>
                <c:pt idx="892">
                  <c:v>183.717</c:v>
                </c:pt>
                <c:pt idx="893">
                  <c:v>183.886</c:v>
                </c:pt>
                <c:pt idx="894">
                  <c:v>184.053</c:v>
                </c:pt>
                <c:pt idx="895">
                  <c:v>184.221</c:v>
                </c:pt>
                <c:pt idx="896">
                  <c:v>184.388</c:v>
                </c:pt>
                <c:pt idx="897">
                  <c:v>184.555</c:v>
                </c:pt>
                <c:pt idx="898">
                  <c:v>184.72</c:v>
                </c:pt>
                <c:pt idx="899">
                  <c:v>184.887</c:v>
                </c:pt>
                <c:pt idx="900">
                  <c:v>185.055</c:v>
                </c:pt>
                <c:pt idx="901">
                  <c:v>185.222</c:v>
                </c:pt>
                <c:pt idx="902">
                  <c:v>185.39</c:v>
                </c:pt>
                <c:pt idx="903">
                  <c:v>185.558</c:v>
                </c:pt>
                <c:pt idx="904">
                  <c:v>185.725</c:v>
                </c:pt>
                <c:pt idx="905">
                  <c:v>185.893</c:v>
                </c:pt>
                <c:pt idx="906">
                  <c:v>186.063</c:v>
                </c:pt>
                <c:pt idx="907">
                  <c:v>186.231</c:v>
                </c:pt>
                <c:pt idx="908">
                  <c:v>186.4</c:v>
                </c:pt>
                <c:pt idx="909">
                  <c:v>186.566</c:v>
                </c:pt>
                <c:pt idx="910">
                  <c:v>186.73</c:v>
                </c:pt>
                <c:pt idx="911">
                  <c:v>186.895</c:v>
                </c:pt>
                <c:pt idx="912">
                  <c:v>187.063</c:v>
                </c:pt>
                <c:pt idx="913">
                  <c:v>187.231</c:v>
                </c:pt>
                <c:pt idx="914">
                  <c:v>187.401</c:v>
                </c:pt>
                <c:pt idx="915">
                  <c:v>187.568</c:v>
                </c:pt>
                <c:pt idx="916">
                  <c:v>187.735</c:v>
                </c:pt>
                <c:pt idx="917">
                  <c:v>187.905</c:v>
                </c:pt>
                <c:pt idx="918">
                  <c:v>188.075</c:v>
                </c:pt>
                <c:pt idx="919">
                  <c:v>188.243</c:v>
                </c:pt>
                <c:pt idx="920">
                  <c:v>188.407</c:v>
                </c:pt>
                <c:pt idx="921">
                  <c:v>188.575</c:v>
                </c:pt>
                <c:pt idx="922">
                  <c:v>188.742</c:v>
                </c:pt>
                <c:pt idx="923">
                  <c:v>188.91</c:v>
                </c:pt>
                <c:pt idx="924">
                  <c:v>189.076</c:v>
                </c:pt>
                <c:pt idx="925">
                  <c:v>189.241</c:v>
                </c:pt>
                <c:pt idx="926">
                  <c:v>189.41</c:v>
                </c:pt>
                <c:pt idx="927">
                  <c:v>189.58</c:v>
                </c:pt>
                <c:pt idx="928">
                  <c:v>189.748</c:v>
                </c:pt>
                <c:pt idx="929">
                  <c:v>189.917</c:v>
                </c:pt>
                <c:pt idx="930">
                  <c:v>190.085</c:v>
                </c:pt>
                <c:pt idx="931">
                  <c:v>190.25</c:v>
                </c:pt>
                <c:pt idx="932">
                  <c:v>190.415</c:v>
                </c:pt>
                <c:pt idx="933">
                  <c:v>190.582</c:v>
                </c:pt>
                <c:pt idx="934">
                  <c:v>190.751</c:v>
                </c:pt>
                <c:pt idx="935">
                  <c:v>190.918</c:v>
                </c:pt>
                <c:pt idx="936">
                  <c:v>191.089</c:v>
                </c:pt>
                <c:pt idx="937">
                  <c:v>191.256</c:v>
                </c:pt>
                <c:pt idx="938">
                  <c:v>191.423</c:v>
                </c:pt>
                <c:pt idx="939">
                  <c:v>191.59</c:v>
                </c:pt>
                <c:pt idx="940">
                  <c:v>191.756</c:v>
                </c:pt>
                <c:pt idx="941">
                  <c:v>191.924</c:v>
                </c:pt>
                <c:pt idx="942">
                  <c:v>192.092</c:v>
                </c:pt>
                <c:pt idx="943">
                  <c:v>192.261</c:v>
                </c:pt>
                <c:pt idx="944">
                  <c:v>192.429</c:v>
                </c:pt>
                <c:pt idx="945">
                  <c:v>192.596</c:v>
                </c:pt>
                <c:pt idx="946">
                  <c:v>192.762</c:v>
                </c:pt>
                <c:pt idx="947">
                  <c:v>192.929</c:v>
                </c:pt>
                <c:pt idx="948">
                  <c:v>193.098</c:v>
                </c:pt>
                <c:pt idx="949">
                  <c:v>193.266</c:v>
                </c:pt>
                <c:pt idx="950">
                  <c:v>193.434</c:v>
                </c:pt>
                <c:pt idx="951">
                  <c:v>193.603</c:v>
                </c:pt>
                <c:pt idx="952">
                  <c:v>193.775</c:v>
                </c:pt>
                <c:pt idx="953">
                  <c:v>193.944</c:v>
                </c:pt>
                <c:pt idx="954">
                  <c:v>194.112</c:v>
                </c:pt>
                <c:pt idx="955">
                  <c:v>194.28</c:v>
                </c:pt>
                <c:pt idx="956">
                  <c:v>194.449</c:v>
                </c:pt>
                <c:pt idx="957">
                  <c:v>194.616</c:v>
                </c:pt>
                <c:pt idx="958">
                  <c:v>194.784</c:v>
                </c:pt>
                <c:pt idx="959">
                  <c:v>194.952</c:v>
                </c:pt>
                <c:pt idx="960">
                  <c:v>195.124</c:v>
                </c:pt>
                <c:pt idx="961">
                  <c:v>195.294</c:v>
                </c:pt>
                <c:pt idx="962">
                  <c:v>195.464</c:v>
                </c:pt>
                <c:pt idx="963">
                  <c:v>195.636</c:v>
                </c:pt>
                <c:pt idx="964">
                  <c:v>195.804</c:v>
                </c:pt>
                <c:pt idx="965">
                  <c:v>195.972</c:v>
                </c:pt>
                <c:pt idx="966">
                  <c:v>196.141</c:v>
                </c:pt>
                <c:pt idx="967">
                  <c:v>196.311</c:v>
                </c:pt>
                <c:pt idx="968">
                  <c:v>196.48</c:v>
                </c:pt>
                <c:pt idx="969">
                  <c:v>196.65</c:v>
                </c:pt>
                <c:pt idx="970">
                  <c:v>196.82</c:v>
                </c:pt>
                <c:pt idx="971">
                  <c:v>196.99</c:v>
                </c:pt>
                <c:pt idx="972">
                  <c:v>197.158</c:v>
                </c:pt>
                <c:pt idx="973">
                  <c:v>197.326</c:v>
                </c:pt>
                <c:pt idx="974">
                  <c:v>197.496</c:v>
                </c:pt>
                <c:pt idx="975">
                  <c:v>197.666</c:v>
                </c:pt>
                <c:pt idx="976">
                  <c:v>197.833</c:v>
                </c:pt>
                <c:pt idx="977">
                  <c:v>197.997</c:v>
                </c:pt>
                <c:pt idx="978">
                  <c:v>198.164</c:v>
                </c:pt>
                <c:pt idx="979">
                  <c:v>198.334</c:v>
                </c:pt>
                <c:pt idx="980">
                  <c:v>198.503</c:v>
                </c:pt>
                <c:pt idx="981">
                  <c:v>198.673</c:v>
                </c:pt>
                <c:pt idx="982">
                  <c:v>198.839</c:v>
                </c:pt>
                <c:pt idx="983">
                  <c:v>199.004</c:v>
                </c:pt>
                <c:pt idx="984">
                  <c:v>199.169</c:v>
                </c:pt>
                <c:pt idx="985">
                  <c:v>199.335</c:v>
                </c:pt>
                <c:pt idx="986">
                  <c:v>199.503</c:v>
                </c:pt>
                <c:pt idx="987">
                  <c:v>199.674</c:v>
                </c:pt>
                <c:pt idx="988">
                  <c:v>199.841</c:v>
                </c:pt>
                <c:pt idx="989">
                  <c:v>200.006</c:v>
                </c:pt>
                <c:pt idx="990">
                  <c:v>200.172</c:v>
                </c:pt>
                <c:pt idx="991">
                  <c:v>200.339</c:v>
                </c:pt>
                <c:pt idx="992">
                  <c:v>200.506</c:v>
                </c:pt>
                <c:pt idx="993">
                  <c:v>200.673</c:v>
                </c:pt>
                <c:pt idx="994">
                  <c:v>200.838</c:v>
                </c:pt>
                <c:pt idx="995">
                  <c:v>201.0</c:v>
                </c:pt>
                <c:pt idx="996">
                  <c:v>201.167</c:v>
                </c:pt>
                <c:pt idx="997">
                  <c:v>201.335</c:v>
                </c:pt>
                <c:pt idx="998">
                  <c:v>201.504</c:v>
                </c:pt>
                <c:pt idx="999">
                  <c:v>201.675</c:v>
                </c:pt>
                <c:pt idx="1000">
                  <c:v>201.849</c:v>
                </c:pt>
                <c:pt idx="1001">
                  <c:v>202.023</c:v>
                </c:pt>
                <c:pt idx="1002">
                  <c:v>202.193</c:v>
                </c:pt>
                <c:pt idx="1003">
                  <c:v>202.364</c:v>
                </c:pt>
                <c:pt idx="1004">
                  <c:v>202.534</c:v>
                </c:pt>
                <c:pt idx="1005">
                  <c:v>202.705</c:v>
                </c:pt>
                <c:pt idx="1006">
                  <c:v>202.876</c:v>
                </c:pt>
                <c:pt idx="1007">
                  <c:v>203.046</c:v>
                </c:pt>
                <c:pt idx="1008">
                  <c:v>203.216</c:v>
                </c:pt>
                <c:pt idx="1009">
                  <c:v>203.388</c:v>
                </c:pt>
                <c:pt idx="1010">
                  <c:v>203.558</c:v>
                </c:pt>
                <c:pt idx="1011">
                  <c:v>203.728</c:v>
                </c:pt>
                <c:pt idx="1012">
                  <c:v>203.894</c:v>
                </c:pt>
                <c:pt idx="1013">
                  <c:v>204.063</c:v>
                </c:pt>
                <c:pt idx="1014">
                  <c:v>204.233</c:v>
                </c:pt>
                <c:pt idx="1015">
                  <c:v>204.404</c:v>
                </c:pt>
                <c:pt idx="1016">
                  <c:v>204.574</c:v>
                </c:pt>
                <c:pt idx="1017">
                  <c:v>204.744</c:v>
                </c:pt>
                <c:pt idx="1018">
                  <c:v>204.913</c:v>
                </c:pt>
                <c:pt idx="1019">
                  <c:v>205.084</c:v>
                </c:pt>
                <c:pt idx="1020">
                  <c:v>205.252</c:v>
                </c:pt>
                <c:pt idx="1021">
                  <c:v>205.42</c:v>
                </c:pt>
                <c:pt idx="1022">
                  <c:v>205.59</c:v>
                </c:pt>
                <c:pt idx="1023">
                  <c:v>205.759</c:v>
                </c:pt>
                <c:pt idx="1024">
                  <c:v>205.925</c:v>
                </c:pt>
                <c:pt idx="1025">
                  <c:v>206.093</c:v>
                </c:pt>
                <c:pt idx="1026">
                  <c:v>206.262</c:v>
                </c:pt>
                <c:pt idx="1027">
                  <c:v>206.43</c:v>
                </c:pt>
                <c:pt idx="1028">
                  <c:v>206.599</c:v>
                </c:pt>
                <c:pt idx="1029">
                  <c:v>206.768</c:v>
                </c:pt>
                <c:pt idx="1030">
                  <c:v>206.94</c:v>
                </c:pt>
                <c:pt idx="1031">
                  <c:v>207.108</c:v>
                </c:pt>
                <c:pt idx="1032">
                  <c:v>207.278</c:v>
                </c:pt>
                <c:pt idx="1033">
                  <c:v>207.447</c:v>
                </c:pt>
                <c:pt idx="1034">
                  <c:v>207.616</c:v>
                </c:pt>
                <c:pt idx="1035">
                  <c:v>207.786</c:v>
                </c:pt>
                <c:pt idx="1036">
                  <c:v>207.957</c:v>
                </c:pt>
                <c:pt idx="1037">
                  <c:v>208.127</c:v>
                </c:pt>
                <c:pt idx="1038">
                  <c:v>208.299</c:v>
                </c:pt>
                <c:pt idx="1039">
                  <c:v>208.471</c:v>
                </c:pt>
                <c:pt idx="1040">
                  <c:v>208.638</c:v>
                </c:pt>
                <c:pt idx="1041">
                  <c:v>208.806</c:v>
                </c:pt>
                <c:pt idx="1042">
                  <c:v>208.974</c:v>
                </c:pt>
                <c:pt idx="1043">
                  <c:v>209.144</c:v>
                </c:pt>
                <c:pt idx="1044">
                  <c:v>209.316</c:v>
                </c:pt>
                <c:pt idx="1045">
                  <c:v>209.486</c:v>
                </c:pt>
                <c:pt idx="1046">
                  <c:v>209.652</c:v>
                </c:pt>
                <c:pt idx="1047">
                  <c:v>209.818</c:v>
                </c:pt>
                <c:pt idx="1048">
                  <c:v>209.987</c:v>
                </c:pt>
                <c:pt idx="1049">
                  <c:v>210.155</c:v>
                </c:pt>
                <c:pt idx="1050">
                  <c:v>210.322</c:v>
                </c:pt>
                <c:pt idx="1051">
                  <c:v>210.49</c:v>
                </c:pt>
                <c:pt idx="1052">
                  <c:v>210.661</c:v>
                </c:pt>
                <c:pt idx="1053">
                  <c:v>210.833</c:v>
                </c:pt>
                <c:pt idx="1054">
                  <c:v>211.003</c:v>
                </c:pt>
                <c:pt idx="1055">
                  <c:v>211.175</c:v>
                </c:pt>
                <c:pt idx="1056">
                  <c:v>211.344</c:v>
                </c:pt>
                <c:pt idx="1057">
                  <c:v>211.515</c:v>
                </c:pt>
                <c:pt idx="1058">
                  <c:v>211.685</c:v>
                </c:pt>
                <c:pt idx="1059">
                  <c:v>211.857</c:v>
                </c:pt>
                <c:pt idx="1060">
                  <c:v>212.029</c:v>
                </c:pt>
                <c:pt idx="1061">
                  <c:v>212.201</c:v>
                </c:pt>
                <c:pt idx="1062">
                  <c:v>212.372</c:v>
                </c:pt>
                <c:pt idx="1063">
                  <c:v>212.54</c:v>
                </c:pt>
                <c:pt idx="1064">
                  <c:v>212.708</c:v>
                </c:pt>
                <c:pt idx="1065">
                  <c:v>212.877</c:v>
                </c:pt>
                <c:pt idx="1066">
                  <c:v>213.046</c:v>
                </c:pt>
                <c:pt idx="1067">
                  <c:v>213.215</c:v>
                </c:pt>
                <c:pt idx="1068">
                  <c:v>213.386</c:v>
                </c:pt>
                <c:pt idx="1069">
                  <c:v>213.557</c:v>
                </c:pt>
                <c:pt idx="1070">
                  <c:v>213.727</c:v>
                </c:pt>
                <c:pt idx="1071">
                  <c:v>213.895</c:v>
                </c:pt>
                <c:pt idx="1072">
                  <c:v>214.062</c:v>
                </c:pt>
                <c:pt idx="1073">
                  <c:v>214.229</c:v>
                </c:pt>
                <c:pt idx="1074">
                  <c:v>214.394</c:v>
                </c:pt>
                <c:pt idx="1075">
                  <c:v>214.562</c:v>
                </c:pt>
                <c:pt idx="1076">
                  <c:v>214.731</c:v>
                </c:pt>
                <c:pt idx="1077">
                  <c:v>214.9</c:v>
                </c:pt>
                <c:pt idx="1078">
                  <c:v>215.071</c:v>
                </c:pt>
                <c:pt idx="1079">
                  <c:v>215.239</c:v>
                </c:pt>
                <c:pt idx="1080">
                  <c:v>215.409</c:v>
                </c:pt>
                <c:pt idx="1081">
                  <c:v>215.58</c:v>
                </c:pt>
                <c:pt idx="1082">
                  <c:v>215.75</c:v>
                </c:pt>
                <c:pt idx="1083">
                  <c:v>215.918</c:v>
                </c:pt>
                <c:pt idx="1084">
                  <c:v>216.081</c:v>
                </c:pt>
                <c:pt idx="1085">
                  <c:v>216.241</c:v>
                </c:pt>
                <c:pt idx="1086">
                  <c:v>216.404</c:v>
                </c:pt>
                <c:pt idx="1087">
                  <c:v>216.571</c:v>
                </c:pt>
                <c:pt idx="1088">
                  <c:v>216.739</c:v>
                </c:pt>
                <c:pt idx="1089">
                  <c:v>216.903</c:v>
                </c:pt>
                <c:pt idx="1090">
                  <c:v>217.068</c:v>
                </c:pt>
                <c:pt idx="1091">
                  <c:v>217.235</c:v>
                </c:pt>
                <c:pt idx="1092">
                  <c:v>217.403</c:v>
                </c:pt>
                <c:pt idx="1093">
                  <c:v>217.568</c:v>
                </c:pt>
                <c:pt idx="1094">
                  <c:v>217.733</c:v>
                </c:pt>
                <c:pt idx="1095">
                  <c:v>217.899</c:v>
                </c:pt>
                <c:pt idx="1096">
                  <c:v>218.065</c:v>
                </c:pt>
                <c:pt idx="1097">
                  <c:v>218.233</c:v>
                </c:pt>
                <c:pt idx="1098">
                  <c:v>218.398</c:v>
                </c:pt>
                <c:pt idx="1099">
                  <c:v>218.564</c:v>
                </c:pt>
                <c:pt idx="1100">
                  <c:v>218.728</c:v>
                </c:pt>
                <c:pt idx="1101">
                  <c:v>218.892</c:v>
                </c:pt>
                <c:pt idx="1102">
                  <c:v>219.058</c:v>
                </c:pt>
                <c:pt idx="1103">
                  <c:v>219.225</c:v>
                </c:pt>
                <c:pt idx="1104">
                  <c:v>219.392</c:v>
                </c:pt>
                <c:pt idx="1105">
                  <c:v>219.56</c:v>
                </c:pt>
                <c:pt idx="1106">
                  <c:v>219.731</c:v>
                </c:pt>
                <c:pt idx="1107">
                  <c:v>219.901</c:v>
                </c:pt>
                <c:pt idx="1108">
                  <c:v>220.069</c:v>
                </c:pt>
                <c:pt idx="1109">
                  <c:v>220.236</c:v>
                </c:pt>
                <c:pt idx="1110">
                  <c:v>220.402</c:v>
                </c:pt>
                <c:pt idx="1111">
                  <c:v>220.569</c:v>
                </c:pt>
                <c:pt idx="1112">
                  <c:v>220.734</c:v>
                </c:pt>
                <c:pt idx="1113">
                  <c:v>220.9</c:v>
                </c:pt>
                <c:pt idx="1114">
                  <c:v>221.068</c:v>
                </c:pt>
                <c:pt idx="1115">
                  <c:v>221.234</c:v>
                </c:pt>
                <c:pt idx="1116">
                  <c:v>221.399</c:v>
                </c:pt>
                <c:pt idx="1117">
                  <c:v>221.564</c:v>
                </c:pt>
                <c:pt idx="1118">
                  <c:v>221.729</c:v>
                </c:pt>
                <c:pt idx="1119">
                  <c:v>221.895</c:v>
                </c:pt>
                <c:pt idx="1120">
                  <c:v>222.061</c:v>
                </c:pt>
                <c:pt idx="1121">
                  <c:v>222.227</c:v>
                </c:pt>
                <c:pt idx="1122">
                  <c:v>222.394</c:v>
                </c:pt>
                <c:pt idx="1123">
                  <c:v>222.561</c:v>
                </c:pt>
                <c:pt idx="1124">
                  <c:v>222.728</c:v>
                </c:pt>
                <c:pt idx="1125">
                  <c:v>222.896</c:v>
                </c:pt>
                <c:pt idx="1126">
                  <c:v>223.065</c:v>
                </c:pt>
                <c:pt idx="1127">
                  <c:v>223.234</c:v>
                </c:pt>
                <c:pt idx="1128">
                  <c:v>223.403</c:v>
                </c:pt>
                <c:pt idx="1129">
                  <c:v>223.57</c:v>
                </c:pt>
                <c:pt idx="1130">
                  <c:v>223.737</c:v>
                </c:pt>
                <c:pt idx="1131">
                  <c:v>223.905</c:v>
                </c:pt>
                <c:pt idx="1132">
                  <c:v>224.074</c:v>
                </c:pt>
                <c:pt idx="1133">
                  <c:v>224.239</c:v>
                </c:pt>
                <c:pt idx="1134">
                  <c:v>224.406</c:v>
                </c:pt>
                <c:pt idx="1135">
                  <c:v>224.576</c:v>
                </c:pt>
                <c:pt idx="1136">
                  <c:v>224.745</c:v>
                </c:pt>
                <c:pt idx="1137">
                  <c:v>224.916</c:v>
                </c:pt>
                <c:pt idx="1138">
                  <c:v>225.085</c:v>
                </c:pt>
                <c:pt idx="1139">
                  <c:v>225.257</c:v>
                </c:pt>
                <c:pt idx="1140">
                  <c:v>225.43</c:v>
                </c:pt>
                <c:pt idx="1141">
                  <c:v>225.6</c:v>
                </c:pt>
                <c:pt idx="1142">
                  <c:v>225.77</c:v>
                </c:pt>
                <c:pt idx="1143">
                  <c:v>225.94</c:v>
                </c:pt>
                <c:pt idx="1144">
                  <c:v>226.11</c:v>
                </c:pt>
                <c:pt idx="1145">
                  <c:v>226.277</c:v>
                </c:pt>
                <c:pt idx="1146">
                  <c:v>226.443</c:v>
                </c:pt>
                <c:pt idx="1147">
                  <c:v>226.61</c:v>
                </c:pt>
                <c:pt idx="1148">
                  <c:v>226.779</c:v>
                </c:pt>
                <c:pt idx="1149">
                  <c:v>226.947</c:v>
                </c:pt>
                <c:pt idx="1150">
                  <c:v>227.111</c:v>
                </c:pt>
                <c:pt idx="1151">
                  <c:v>227.277</c:v>
                </c:pt>
                <c:pt idx="1152">
                  <c:v>227.443</c:v>
                </c:pt>
                <c:pt idx="1153">
                  <c:v>227.61</c:v>
                </c:pt>
                <c:pt idx="1154">
                  <c:v>227.777</c:v>
                </c:pt>
                <c:pt idx="1155">
                  <c:v>227.94</c:v>
                </c:pt>
                <c:pt idx="1156">
                  <c:v>228.106</c:v>
                </c:pt>
                <c:pt idx="1157">
                  <c:v>228.275</c:v>
                </c:pt>
                <c:pt idx="1158">
                  <c:v>228.446</c:v>
                </c:pt>
                <c:pt idx="1159">
                  <c:v>228.615</c:v>
                </c:pt>
                <c:pt idx="1160">
                  <c:v>228.783</c:v>
                </c:pt>
                <c:pt idx="1161">
                  <c:v>228.953</c:v>
                </c:pt>
                <c:pt idx="1162">
                  <c:v>229.124</c:v>
                </c:pt>
                <c:pt idx="1163">
                  <c:v>229.293</c:v>
                </c:pt>
                <c:pt idx="1164">
                  <c:v>229.464</c:v>
                </c:pt>
                <c:pt idx="1165">
                  <c:v>229.635</c:v>
                </c:pt>
                <c:pt idx="1166">
                  <c:v>229.805</c:v>
                </c:pt>
                <c:pt idx="1167">
                  <c:v>229.974</c:v>
                </c:pt>
                <c:pt idx="1168">
                  <c:v>230.142</c:v>
                </c:pt>
                <c:pt idx="1169">
                  <c:v>230.313</c:v>
                </c:pt>
                <c:pt idx="1170">
                  <c:v>230.483</c:v>
                </c:pt>
                <c:pt idx="1171">
                  <c:v>230.655</c:v>
                </c:pt>
                <c:pt idx="1172">
                  <c:v>230.826</c:v>
                </c:pt>
                <c:pt idx="1173">
                  <c:v>230.994</c:v>
                </c:pt>
                <c:pt idx="1174">
                  <c:v>231.164</c:v>
                </c:pt>
                <c:pt idx="1175">
                  <c:v>231.333</c:v>
                </c:pt>
                <c:pt idx="1176">
                  <c:v>231.504</c:v>
                </c:pt>
                <c:pt idx="1177">
                  <c:v>231.676</c:v>
                </c:pt>
                <c:pt idx="1178">
                  <c:v>231.849</c:v>
                </c:pt>
                <c:pt idx="1179">
                  <c:v>232.022</c:v>
                </c:pt>
                <c:pt idx="1180">
                  <c:v>232.194</c:v>
                </c:pt>
                <c:pt idx="1181">
                  <c:v>232.364</c:v>
                </c:pt>
                <c:pt idx="1182">
                  <c:v>232.532</c:v>
                </c:pt>
                <c:pt idx="1183">
                  <c:v>232.701</c:v>
                </c:pt>
                <c:pt idx="1184">
                  <c:v>232.871</c:v>
                </c:pt>
                <c:pt idx="1185">
                  <c:v>233.043</c:v>
                </c:pt>
                <c:pt idx="1186">
                  <c:v>233.214</c:v>
                </c:pt>
                <c:pt idx="1187">
                  <c:v>233.383</c:v>
                </c:pt>
                <c:pt idx="1188">
                  <c:v>233.553</c:v>
                </c:pt>
                <c:pt idx="1189">
                  <c:v>233.724</c:v>
                </c:pt>
                <c:pt idx="1190">
                  <c:v>233.897</c:v>
                </c:pt>
                <c:pt idx="1191">
                  <c:v>234.069</c:v>
                </c:pt>
                <c:pt idx="1192">
                  <c:v>234.239</c:v>
                </c:pt>
                <c:pt idx="1193">
                  <c:v>234.409</c:v>
                </c:pt>
                <c:pt idx="1194">
                  <c:v>234.578</c:v>
                </c:pt>
                <c:pt idx="1195">
                  <c:v>234.746</c:v>
                </c:pt>
                <c:pt idx="1196">
                  <c:v>234.913</c:v>
                </c:pt>
                <c:pt idx="1197">
                  <c:v>235.079</c:v>
                </c:pt>
                <c:pt idx="1198">
                  <c:v>235.247</c:v>
                </c:pt>
                <c:pt idx="1199">
                  <c:v>235.417</c:v>
                </c:pt>
                <c:pt idx="1200">
                  <c:v>235.587</c:v>
                </c:pt>
                <c:pt idx="1201">
                  <c:v>235.755</c:v>
                </c:pt>
                <c:pt idx="1202">
                  <c:v>235.925</c:v>
                </c:pt>
                <c:pt idx="1203">
                  <c:v>236.096</c:v>
                </c:pt>
                <c:pt idx="1204">
                  <c:v>236.265</c:v>
                </c:pt>
                <c:pt idx="1205">
                  <c:v>236.433</c:v>
                </c:pt>
                <c:pt idx="1206">
                  <c:v>236.601</c:v>
                </c:pt>
                <c:pt idx="1207">
                  <c:v>236.771</c:v>
                </c:pt>
                <c:pt idx="1208">
                  <c:v>236.939</c:v>
                </c:pt>
                <c:pt idx="1209">
                  <c:v>237.101</c:v>
                </c:pt>
                <c:pt idx="1210">
                  <c:v>237.267</c:v>
                </c:pt>
                <c:pt idx="1211">
                  <c:v>237.435</c:v>
                </c:pt>
                <c:pt idx="1212">
                  <c:v>237.604</c:v>
                </c:pt>
                <c:pt idx="1213">
                  <c:v>237.774</c:v>
                </c:pt>
                <c:pt idx="1214">
                  <c:v>237.942</c:v>
                </c:pt>
                <c:pt idx="1215">
                  <c:v>238.11</c:v>
                </c:pt>
                <c:pt idx="1216">
                  <c:v>238.278</c:v>
                </c:pt>
                <c:pt idx="1217">
                  <c:v>238.45</c:v>
                </c:pt>
                <c:pt idx="1218">
                  <c:v>238.619</c:v>
                </c:pt>
                <c:pt idx="1219">
                  <c:v>238.789</c:v>
                </c:pt>
                <c:pt idx="1220">
                  <c:v>238.958</c:v>
                </c:pt>
                <c:pt idx="1221">
                  <c:v>239.125</c:v>
                </c:pt>
                <c:pt idx="1222">
                  <c:v>239.292</c:v>
                </c:pt>
                <c:pt idx="1223">
                  <c:v>239.461</c:v>
                </c:pt>
                <c:pt idx="1224">
                  <c:v>239.628</c:v>
                </c:pt>
                <c:pt idx="1225">
                  <c:v>239.792</c:v>
                </c:pt>
                <c:pt idx="1226">
                  <c:v>239.96</c:v>
                </c:pt>
                <c:pt idx="1227">
                  <c:v>240.127</c:v>
                </c:pt>
                <c:pt idx="1228">
                  <c:v>240.295</c:v>
                </c:pt>
                <c:pt idx="1229">
                  <c:v>240.467</c:v>
                </c:pt>
                <c:pt idx="1230">
                  <c:v>240.636</c:v>
                </c:pt>
                <c:pt idx="1231">
                  <c:v>240.805</c:v>
                </c:pt>
                <c:pt idx="1232">
                  <c:v>240.972</c:v>
                </c:pt>
                <c:pt idx="1233">
                  <c:v>241.14</c:v>
                </c:pt>
                <c:pt idx="1234">
                  <c:v>241.31</c:v>
                </c:pt>
                <c:pt idx="1235">
                  <c:v>241.475</c:v>
                </c:pt>
                <c:pt idx="1236">
                  <c:v>241.643</c:v>
                </c:pt>
                <c:pt idx="1237">
                  <c:v>241.808</c:v>
                </c:pt>
                <c:pt idx="1238">
                  <c:v>241.975</c:v>
                </c:pt>
                <c:pt idx="1239">
                  <c:v>242.144</c:v>
                </c:pt>
                <c:pt idx="1240">
                  <c:v>242.314</c:v>
                </c:pt>
                <c:pt idx="1241">
                  <c:v>242.484</c:v>
                </c:pt>
                <c:pt idx="1242">
                  <c:v>242.654</c:v>
                </c:pt>
                <c:pt idx="1243">
                  <c:v>242.822</c:v>
                </c:pt>
                <c:pt idx="1244">
                  <c:v>242.989</c:v>
                </c:pt>
                <c:pt idx="1245">
                  <c:v>243.158</c:v>
                </c:pt>
                <c:pt idx="1246">
                  <c:v>243.325</c:v>
                </c:pt>
                <c:pt idx="1247">
                  <c:v>243.494</c:v>
                </c:pt>
                <c:pt idx="1248">
                  <c:v>243.661</c:v>
                </c:pt>
                <c:pt idx="1249">
                  <c:v>243.829</c:v>
                </c:pt>
                <c:pt idx="1250">
                  <c:v>243.997</c:v>
                </c:pt>
                <c:pt idx="1251">
                  <c:v>244.164</c:v>
                </c:pt>
                <c:pt idx="1252">
                  <c:v>244.334</c:v>
                </c:pt>
                <c:pt idx="1253">
                  <c:v>244.503</c:v>
                </c:pt>
                <c:pt idx="1254">
                  <c:v>244.674</c:v>
                </c:pt>
                <c:pt idx="1255">
                  <c:v>244.845</c:v>
                </c:pt>
                <c:pt idx="1256">
                  <c:v>245.015</c:v>
                </c:pt>
                <c:pt idx="1257">
                  <c:v>245.185</c:v>
                </c:pt>
                <c:pt idx="1258">
                  <c:v>245.353</c:v>
                </c:pt>
                <c:pt idx="1259">
                  <c:v>245.521</c:v>
                </c:pt>
                <c:pt idx="1260">
                  <c:v>245.691</c:v>
                </c:pt>
                <c:pt idx="1261">
                  <c:v>245.862</c:v>
                </c:pt>
                <c:pt idx="1262">
                  <c:v>246.03</c:v>
                </c:pt>
                <c:pt idx="1263">
                  <c:v>246.201</c:v>
                </c:pt>
                <c:pt idx="1264">
                  <c:v>246.371</c:v>
                </c:pt>
                <c:pt idx="1265">
                  <c:v>246.54</c:v>
                </c:pt>
                <c:pt idx="1266">
                  <c:v>246.708</c:v>
                </c:pt>
                <c:pt idx="1267">
                  <c:v>246.874</c:v>
                </c:pt>
                <c:pt idx="1268">
                  <c:v>247.038</c:v>
                </c:pt>
                <c:pt idx="1269">
                  <c:v>247.203</c:v>
                </c:pt>
                <c:pt idx="1270">
                  <c:v>247.368</c:v>
                </c:pt>
                <c:pt idx="1271">
                  <c:v>247.533</c:v>
                </c:pt>
                <c:pt idx="1272">
                  <c:v>247.701</c:v>
                </c:pt>
                <c:pt idx="1273">
                  <c:v>247.867</c:v>
                </c:pt>
                <c:pt idx="1274">
                  <c:v>248.034</c:v>
                </c:pt>
                <c:pt idx="1275">
                  <c:v>248.198</c:v>
                </c:pt>
                <c:pt idx="1276">
                  <c:v>248.365</c:v>
                </c:pt>
                <c:pt idx="1277">
                  <c:v>248.533</c:v>
                </c:pt>
                <c:pt idx="1278">
                  <c:v>248.702</c:v>
                </c:pt>
                <c:pt idx="1279">
                  <c:v>248.868</c:v>
                </c:pt>
                <c:pt idx="1280">
                  <c:v>249.034</c:v>
                </c:pt>
                <c:pt idx="1281">
                  <c:v>249.202</c:v>
                </c:pt>
                <c:pt idx="1282">
                  <c:v>249.372</c:v>
                </c:pt>
                <c:pt idx="1283">
                  <c:v>249.539</c:v>
                </c:pt>
                <c:pt idx="1284">
                  <c:v>249.705</c:v>
                </c:pt>
                <c:pt idx="1285">
                  <c:v>249.872</c:v>
                </c:pt>
                <c:pt idx="1286">
                  <c:v>250.036</c:v>
                </c:pt>
                <c:pt idx="1287">
                  <c:v>250.2</c:v>
                </c:pt>
                <c:pt idx="1288">
                  <c:v>250.364</c:v>
                </c:pt>
                <c:pt idx="1289">
                  <c:v>250.529</c:v>
                </c:pt>
                <c:pt idx="1290">
                  <c:v>250.694</c:v>
                </c:pt>
                <c:pt idx="1291">
                  <c:v>250.861</c:v>
                </c:pt>
                <c:pt idx="1292">
                  <c:v>251.031</c:v>
                </c:pt>
                <c:pt idx="1293">
                  <c:v>251.203</c:v>
                </c:pt>
                <c:pt idx="1294">
                  <c:v>251.375</c:v>
                </c:pt>
                <c:pt idx="1295">
                  <c:v>251.547</c:v>
                </c:pt>
                <c:pt idx="1296">
                  <c:v>251.719</c:v>
                </c:pt>
                <c:pt idx="1297">
                  <c:v>251.891</c:v>
                </c:pt>
                <c:pt idx="1298">
                  <c:v>252.065</c:v>
                </c:pt>
                <c:pt idx="1299">
                  <c:v>252.234</c:v>
                </c:pt>
                <c:pt idx="1300">
                  <c:v>252.405</c:v>
                </c:pt>
                <c:pt idx="1301">
                  <c:v>252.574</c:v>
                </c:pt>
                <c:pt idx="1302">
                  <c:v>252.746</c:v>
                </c:pt>
                <c:pt idx="1303">
                  <c:v>252.916</c:v>
                </c:pt>
                <c:pt idx="1304">
                  <c:v>253.087</c:v>
                </c:pt>
                <c:pt idx="1305">
                  <c:v>253.256</c:v>
                </c:pt>
                <c:pt idx="1306">
                  <c:v>253.424</c:v>
                </c:pt>
                <c:pt idx="1307">
                  <c:v>253.591</c:v>
                </c:pt>
                <c:pt idx="1308">
                  <c:v>253.76</c:v>
                </c:pt>
                <c:pt idx="1309">
                  <c:v>253.929</c:v>
                </c:pt>
                <c:pt idx="1310">
                  <c:v>254.099</c:v>
                </c:pt>
                <c:pt idx="1311">
                  <c:v>254.266</c:v>
                </c:pt>
                <c:pt idx="1312">
                  <c:v>254.432</c:v>
                </c:pt>
                <c:pt idx="1313">
                  <c:v>254.603</c:v>
                </c:pt>
                <c:pt idx="1314">
                  <c:v>254.772</c:v>
                </c:pt>
                <c:pt idx="1315">
                  <c:v>254.942</c:v>
                </c:pt>
                <c:pt idx="1316">
                  <c:v>255.112</c:v>
                </c:pt>
                <c:pt idx="1317">
                  <c:v>255.282</c:v>
                </c:pt>
                <c:pt idx="1318">
                  <c:v>255.45</c:v>
                </c:pt>
                <c:pt idx="1319">
                  <c:v>255.616</c:v>
                </c:pt>
                <c:pt idx="1320">
                  <c:v>255.784</c:v>
                </c:pt>
                <c:pt idx="1321">
                  <c:v>255.95</c:v>
                </c:pt>
                <c:pt idx="1322">
                  <c:v>256.117</c:v>
                </c:pt>
                <c:pt idx="1323">
                  <c:v>256.283</c:v>
                </c:pt>
                <c:pt idx="1324">
                  <c:v>256.45</c:v>
                </c:pt>
                <c:pt idx="1325">
                  <c:v>256.6190000000001</c:v>
                </c:pt>
                <c:pt idx="1326">
                  <c:v>256.7869999999986</c:v>
                </c:pt>
                <c:pt idx="1327">
                  <c:v>256.9549999999999</c:v>
                </c:pt>
                <c:pt idx="1328">
                  <c:v>257.124</c:v>
                </c:pt>
                <c:pt idx="1329">
                  <c:v>257.2929999999996</c:v>
                </c:pt>
                <c:pt idx="1330">
                  <c:v>257.463</c:v>
                </c:pt>
                <c:pt idx="1331">
                  <c:v>257.632</c:v>
                </c:pt>
                <c:pt idx="1332">
                  <c:v>257.8</c:v>
                </c:pt>
                <c:pt idx="1333">
                  <c:v>257.9649999999999</c:v>
                </c:pt>
                <c:pt idx="1334">
                  <c:v>258.132</c:v>
                </c:pt>
                <c:pt idx="1335">
                  <c:v>258.302</c:v>
                </c:pt>
                <c:pt idx="1336">
                  <c:v>258.468</c:v>
                </c:pt>
                <c:pt idx="1337">
                  <c:v>258.634</c:v>
                </c:pt>
                <c:pt idx="1338">
                  <c:v>258.801</c:v>
                </c:pt>
                <c:pt idx="1339">
                  <c:v>258.966</c:v>
                </c:pt>
                <c:pt idx="1340">
                  <c:v>259.13</c:v>
                </c:pt>
                <c:pt idx="1341">
                  <c:v>259.2929999999996</c:v>
                </c:pt>
                <c:pt idx="1342">
                  <c:v>259.458</c:v>
                </c:pt>
                <c:pt idx="1343">
                  <c:v>259.625</c:v>
                </c:pt>
                <c:pt idx="1344">
                  <c:v>259.7909999999989</c:v>
                </c:pt>
                <c:pt idx="1345">
                  <c:v>259.9569999999989</c:v>
                </c:pt>
                <c:pt idx="1346">
                  <c:v>260.122</c:v>
                </c:pt>
                <c:pt idx="1347">
                  <c:v>260.2869999999986</c:v>
                </c:pt>
                <c:pt idx="1348">
                  <c:v>260.4529999999999</c:v>
                </c:pt>
                <c:pt idx="1349">
                  <c:v>260.624</c:v>
                </c:pt>
                <c:pt idx="1350">
                  <c:v>260.795</c:v>
                </c:pt>
                <c:pt idx="1351">
                  <c:v>260.9649999999999</c:v>
                </c:pt>
                <c:pt idx="1352">
                  <c:v>261.1379999999999</c:v>
                </c:pt>
                <c:pt idx="1353">
                  <c:v>261.3090000000001</c:v>
                </c:pt>
                <c:pt idx="1354">
                  <c:v>261.478</c:v>
                </c:pt>
                <c:pt idx="1355">
                  <c:v>261.646</c:v>
                </c:pt>
                <c:pt idx="1356">
                  <c:v>261.815</c:v>
                </c:pt>
                <c:pt idx="1357">
                  <c:v>261.985</c:v>
                </c:pt>
                <c:pt idx="1358">
                  <c:v>262.1569999999999</c:v>
                </c:pt>
                <c:pt idx="1359">
                  <c:v>262.327</c:v>
                </c:pt>
                <c:pt idx="1360">
                  <c:v>262.4959999999986</c:v>
                </c:pt>
                <c:pt idx="1361">
                  <c:v>262.663</c:v>
                </c:pt>
                <c:pt idx="1362">
                  <c:v>262.83</c:v>
                </c:pt>
                <c:pt idx="1363">
                  <c:v>262.9949999999992</c:v>
                </c:pt>
                <c:pt idx="1364">
                  <c:v>263.159</c:v>
                </c:pt>
                <c:pt idx="1365">
                  <c:v>263.327</c:v>
                </c:pt>
                <c:pt idx="1366">
                  <c:v>263.4959999999986</c:v>
                </c:pt>
                <c:pt idx="1367">
                  <c:v>263.664</c:v>
                </c:pt>
                <c:pt idx="1368">
                  <c:v>263.83</c:v>
                </c:pt>
                <c:pt idx="1369">
                  <c:v>263.997</c:v>
                </c:pt>
                <c:pt idx="1370">
                  <c:v>264.163</c:v>
                </c:pt>
                <c:pt idx="1371">
                  <c:v>264.333</c:v>
                </c:pt>
                <c:pt idx="1372">
                  <c:v>264.503</c:v>
                </c:pt>
                <c:pt idx="1373">
                  <c:v>264.6720000000001</c:v>
                </c:pt>
                <c:pt idx="1374">
                  <c:v>264.841</c:v>
                </c:pt>
                <c:pt idx="1375">
                  <c:v>265.01</c:v>
                </c:pt>
                <c:pt idx="1376">
                  <c:v>265.178</c:v>
                </c:pt>
                <c:pt idx="1377">
                  <c:v>265.344</c:v>
                </c:pt>
                <c:pt idx="1378">
                  <c:v>265.5129999999999</c:v>
                </c:pt>
                <c:pt idx="1379">
                  <c:v>265.682</c:v>
                </c:pt>
                <c:pt idx="1380">
                  <c:v>265.8519999999999</c:v>
                </c:pt>
                <c:pt idx="1381">
                  <c:v>266.0219999999989</c:v>
                </c:pt>
                <c:pt idx="1382">
                  <c:v>266.192</c:v>
                </c:pt>
                <c:pt idx="1383">
                  <c:v>266.363</c:v>
                </c:pt>
                <c:pt idx="1384">
                  <c:v>266.5339999999989</c:v>
                </c:pt>
                <c:pt idx="1385">
                  <c:v>266.7049999999999</c:v>
                </c:pt>
                <c:pt idx="1386">
                  <c:v>266.875</c:v>
                </c:pt>
                <c:pt idx="1387">
                  <c:v>267.043</c:v>
                </c:pt>
                <c:pt idx="1388">
                  <c:v>267.211</c:v>
                </c:pt>
                <c:pt idx="1389">
                  <c:v>267.379</c:v>
                </c:pt>
                <c:pt idx="1390">
                  <c:v>267.5470000000001</c:v>
                </c:pt>
                <c:pt idx="1391">
                  <c:v>267.716</c:v>
                </c:pt>
                <c:pt idx="1392">
                  <c:v>267.886</c:v>
                </c:pt>
                <c:pt idx="1393">
                  <c:v>268.055</c:v>
                </c:pt>
                <c:pt idx="1394">
                  <c:v>268.2269999999986</c:v>
                </c:pt>
                <c:pt idx="1395">
                  <c:v>268.394</c:v>
                </c:pt>
                <c:pt idx="1396">
                  <c:v>268.563</c:v>
                </c:pt>
                <c:pt idx="1397">
                  <c:v>268.732</c:v>
                </c:pt>
                <c:pt idx="1398">
                  <c:v>268.9019999999986</c:v>
                </c:pt>
                <c:pt idx="1399">
                  <c:v>269.0679999999999</c:v>
                </c:pt>
                <c:pt idx="1400">
                  <c:v>269.232</c:v>
                </c:pt>
                <c:pt idx="1401">
                  <c:v>269.3969999999989</c:v>
                </c:pt>
                <c:pt idx="1402">
                  <c:v>269.562</c:v>
                </c:pt>
                <c:pt idx="1403">
                  <c:v>269.7289999999986</c:v>
                </c:pt>
                <c:pt idx="1404">
                  <c:v>269.896</c:v>
                </c:pt>
                <c:pt idx="1405">
                  <c:v>270.062</c:v>
                </c:pt>
                <c:pt idx="1406">
                  <c:v>270.2269999999986</c:v>
                </c:pt>
                <c:pt idx="1407">
                  <c:v>270.3929999999999</c:v>
                </c:pt>
                <c:pt idx="1408">
                  <c:v>270.558</c:v>
                </c:pt>
                <c:pt idx="1409">
                  <c:v>270.7239999999989</c:v>
                </c:pt>
                <c:pt idx="1410">
                  <c:v>270.89</c:v>
                </c:pt>
                <c:pt idx="1411">
                  <c:v>271.058</c:v>
                </c:pt>
                <c:pt idx="1412">
                  <c:v>271.2239999999989</c:v>
                </c:pt>
                <c:pt idx="1413">
                  <c:v>271.39</c:v>
                </c:pt>
                <c:pt idx="1414">
                  <c:v>271.5559999999999</c:v>
                </c:pt>
                <c:pt idx="1415">
                  <c:v>271.7189999999989</c:v>
                </c:pt>
                <c:pt idx="1416">
                  <c:v>271.8829999999999</c:v>
                </c:pt>
                <c:pt idx="1417">
                  <c:v>272.052</c:v>
                </c:pt>
                <c:pt idx="1418">
                  <c:v>272.2209999999992</c:v>
                </c:pt>
                <c:pt idx="1419">
                  <c:v>272.39</c:v>
                </c:pt>
                <c:pt idx="1420">
                  <c:v>272.555</c:v>
                </c:pt>
                <c:pt idx="1421">
                  <c:v>272.7209999999992</c:v>
                </c:pt>
                <c:pt idx="1422">
                  <c:v>272.885</c:v>
                </c:pt>
                <c:pt idx="1423">
                  <c:v>273.051</c:v>
                </c:pt>
                <c:pt idx="1424">
                  <c:v>273.216</c:v>
                </c:pt>
                <c:pt idx="1425">
                  <c:v>273.38</c:v>
                </c:pt>
                <c:pt idx="1426">
                  <c:v>273.545</c:v>
                </c:pt>
                <c:pt idx="1427">
                  <c:v>273.7099999999999</c:v>
                </c:pt>
                <c:pt idx="1428">
                  <c:v>273.875</c:v>
                </c:pt>
                <c:pt idx="1429">
                  <c:v>274.041</c:v>
                </c:pt>
                <c:pt idx="1430">
                  <c:v>274.208</c:v>
                </c:pt>
                <c:pt idx="1431">
                  <c:v>274.374</c:v>
                </c:pt>
                <c:pt idx="1432">
                  <c:v>274.538</c:v>
                </c:pt>
                <c:pt idx="1433">
                  <c:v>274.704</c:v>
                </c:pt>
                <c:pt idx="1434">
                  <c:v>274.8690000000001</c:v>
                </c:pt>
                <c:pt idx="1435">
                  <c:v>275.0319999999986</c:v>
                </c:pt>
                <c:pt idx="1436">
                  <c:v>275.192</c:v>
                </c:pt>
                <c:pt idx="1437">
                  <c:v>275.3539999999999</c:v>
                </c:pt>
                <c:pt idx="1438">
                  <c:v>275.521</c:v>
                </c:pt>
                <c:pt idx="1439">
                  <c:v>275.688</c:v>
                </c:pt>
                <c:pt idx="1440">
                  <c:v>275.855</c:v>
                </c:pt>
                <c:pt idx="1441">
                  <c:v>276.021</c:v>
                </c:pt>
                <c:pt idx="1442">
                  <c:v>276.187</c:v>
                </c:pt>
                <c:pt idx="1443">
                  <c:v>276.35</c:v>
                </c:pt>
                <c:pt idx="1444">
                  <c:v>276.514</c:v>
                </c:pt>
                <c:pt idx="1445">
                  <c:v>276.6789999999999</c:v>
                </c:pt>
                <c:pt idx="1446">
                  <c:v>276.844</c:v>
                </c:pt>
                <c:pt idx="1447">
                  <c:v>277.0079999999999</c:v>
                </c:pt>
                <c:pt idx="1448">
                  <c:v>277.1739999999999</c:v>
                </c:pt>
                <c:pt idx="1449">
                  <c:v>277.3419999999999</c:v>
                </c:pt>
                <c:pt idx="1450">
                  <c:v>277.507</c:v>
                </c:pt>
                <c:pt idx="1451">
                  <c:v>277.6720000000001</c:v>
                </c:pt>
                <c:pt idx="1452">
                  <c:v>277.8349999999999</c:v>
                </c:pt>
                <c:pt idx="1453">
                  <c:v>278.003</c:v>
                </c:pt>
                <c:pt idx="1454">
                  <c:v>278.1689999999999</c:v>
                </c:pt>
                <c:pt idx="1455">
                  <c:v>278.334</c:v>
                </c:pt>
                <c:pt idx="1456">
                  <c:v>278.4959999999986</c:v>
                </c:pt>
                <c:pt idx="1457">
                  <c:v>278.659</c:v>
                </c:pt>
                <c:pt idx="1458">
                  <c:v>278.822</c:v>
                </c:pt>
                <c:pt idx="1459">
                  <c:v>278.985</c:v>
                </c:pt>
                <c:pt idx="1460">
                  <c:v>279.15</c:v>
                </c:pt>
                <c:pt idx="1461">
                  <c:v>279.314</c:v>
                </c:pt>
                <c:pt idx="1462">
                  <c:v>279.478</c:v>
                </c:pt>
                <c:pt idx="1463">
                  <c:v>279.644</c:v>
                </c:pt>
                <c:pt idx="1464">
                  <c:v>279.808</c:v>
                </c:pt>
                <c:pt idx="1465">
                  <c:v>279.973</c:v>
                </c:pt>
                <c:pt idx="1466">
                  <c:v>280.139</c:v>
                </c:pt>
                <c:pt idx="1467">
                  <c:v>280.305</c:v>
                </c:pt>
                <c:pt idx="1468">
                  <c:v>280.4669999999986</c:v>
                </c:pt>
                <c:pt idx="1469">
                  <c:v>280.629</c:v>
                </c:pt>
                <c:pt idx="1470">
                  <c:v>280.7909999999989</c:v>
                </c:pt>
                <c:pt idx="1471">
                  <c:v>280.9529999999999</c:v>
                </c:pt>
                <c:pt idx="1472">
                  <c:v>281.117</c:v>
                </c:pt>
                <c:pt idx="1473">
                  <c:v>281.285</c:v>
                </c:pt>
                <c:pt idx="1474">
                  <c:v>281.452</c:v>
                </c:pt>
                <c:pt idx="1475">
                  <c:v>281.618</c:v>
                </c:pt>
                <c:pt idx="1476">
                  <c:v>281.7819999999986</c:v>
                </c:pt>
                <c:pt idx="1477">
                  <c:v>281.947</c:v>
                </c:pt>
                <c:pt idx="1478">
                  <c:v>282.1139999999999</c:v>
                </c:pt>
                <c:pt idx="1479">
                  <c:v>282.2799999999999</c:v>
                </c:pt>
                <c:pt idx="1480">
                  <c:v>282.445</c:v>
                </c:pt>
                <c:pt idx="1481">
                  <c:v>282.613</c:v>
                </c:pt>
                <c:pt idx="1482">
                  <c:v>282.778</c:v>
                </c:pt>
                <c:pt idx="1483">
                  <c:v>282.9429999999999</c:v>
                </c:pt>
                <c:pt idx="1484">
                  <c:v>283.105</c:v>
                </c:pt>
                <c:pt idx="1485">
                  <c:v>283.27</c:v>
                </c:pt>
                <c:pt idx="1486">
                  <c:v>283.4359999999986</c:v>
                </c:pt>
                <c:pt idx="1487">
                  <c:v>283.598</c:v>
                </c:pt>
                <c:pt idx="1488">
                  <c:v>283.764</c:v>
                </c:pt>
                <c:pt idx="1489">
                  <c:v>283.925</c:v>
                </c:pt>
                <c:pt idx="1490">
                  <c:v>284.089</c:v>
                </c:pt>
                <c:pt idx="1491">
                  <c:v>284.252</c:v>
                </c:pt>
                <c:pt idx="1492">
                  <c:v>284.4179999999996</c:v>
                </c:pt>
                <c:pt idx="1493">
                  <c:v>284.5819999999989</c:v>
                </c:pt>
                <c:pt idx="1494">
                  <c:v>284.747</c:v>
                </c:pt>
                <c:pt idx="1495">
                  <c:v>284.9119999999986</c:v>
                </c:pt>
                <c:pt idx="1496">
                  <c:v>285.076</c:v>
                </c:pt>
                <c:pt idx="1497">
                  <c:v>285.241</c:v>
                </c:pt>
                <c:pt idx="1498">
                  <c:v>285.4049999999999</c:v>
                </c:pt>
                <c:pt idx="1499">
                  <c:v>285.5679999999999</c:v>
                </c:pt>
                <c:pt idx="1500">
                  <c:v>285.7339999999986</c:v>
                </c:pt>
                <c:pt idx="1501">
                  <c:v>285.8999999999999</c:v>
                </c:pt>
                <c:pt idx="1502">
                  <c:v>286.067</c:v>
                </c:pt>
                <c:pt idx="1503">
                  <c:v>286.232</c:v>
                </c:pt>
                <c:pt idx="1504">
                  <c:v>286.3969999999989</c:v>
                </c:pt>
                <c:pt idx="1505">
                  <c:v>286.5609999999999</c:v>
                </c:pt>
                <c:pt idx="1506">
                  <c:v>286.728</c:v>
                </c:pt>
                <c:pt idx="1507">
                  <c:v>286.892</c:v>
                </c:pt>
                <c:pt idx="1508">
                  <c:v>287.0559999999999</c:v>
                </c:pt>
                <c:pt idx="1509">
                  <c:v>287.2219999999986</c:v>
                </c:pt>
                <c:pt idx="1510">
                  <c:v>287.389</c:v>
                </c:pt>
                <c:pt idx="1511">
                  <c:v>287.5539999999999</c:v>
                </c:pt>
                <c:pt idx="1512">
                  <c:v>287.718</c:v>
                </c:pt>
                <c:pt idx="1513">
                  <c:v>287.882</c:v>
                </c:pt>
                <c:pt idx="1514">
                  <c:v>288.046</c:v>
                </c:pt>
                <c:pt idx="1515">
                  <c:v>288.2069999999989</c:v>
                </c:pt>
                <c:pt idx="1516">
                  <c:v>288.373</c:v>
                </c:pt>
                <c:pt idx="1517">
                  <c:v>288.538</c:v>
                </c:pt>
                <c:pt idx="1518">
                  <c:v>288.7029999999999</c:v>
                </c:pt>
                <c:pt idx="1519">
                  <c:v>288.867</c:v>
                </c:pt>
                <c:pt idx="1520">
                  <c:v>289.0299999999999</c:v>
                </c:pt>
                <c:pt idx="1521">
                  <c:v>289.1909999999999</c:v>
                </c:pt>
                <c:pt idx="1522">
                  <c:v>289.355</c:v>
                </c:pt>
                <c:pt idx="1523">
                  <c:v>289.52</c:v>
                </c:pt>
                <c:pt idx="1524">
                  <c:v>289.687</c:v>
                </c:pt>
                <c:pt idx="1525">
                  <c:v>289.851</c:v>
                </c:pt>
                <c:pt idx="1526">
                  <c:v>290.015</c:v>
                </c:pt>
                <c:pt idx="1527">
                  <c:v>290.1789999999999</c:v>
                </c:pt>
                <c:pt idx="1528">
                  <c:v>290.344</c:v>
                </c:pt>
                <c:pt idx="1529">
                  <c:v>290.511</c:v>
                </c:pt>
                <c:pt idx="1530">
                  <c:v>290.676</c:v>
                </c:pt>
                <c:pt idx="1531">
                  <c:v>290.841</c:v>
                </c:pt>
                <c:pt idx="1532">
                  <c:v>291.003</c:v>
                </c:pt>
                <c:pt idx="1533">
                  <c:v>291.165</c:v>
                </c:pt>
                <c:pt idx="1534">
                  <c:v>291.3279999999999</c:v>
                </c:pt>
                <c:pt idx="1535">
                  <c:v>291.494</c:v>
                </c:pt>
                <c:pt idx="1536">
                  <c:v>291.659</c:v>
                </c:pt>
                <c:pt idx="1537">
                  <c:v>291.825</c:v>
                </c:pt>
                <c:pt idx="1538">
                  <c:v>291.99</c:v>
                </c:pt>
                <c:pt idx="1539">
                  <c:v>292.156</c:v>
                </c:pt>
                <c:pt idx="1540">
                  <c:v>292.321</c:v>
                </c:pt>
                <c:pt idx="1541">
                  <c:v>292.4879999999989</c:v>
                </c:pt>
                <c:pt idx="1542">
                  <c:v>292.655</c:v>
                </c:pt>
                <c:pt idx="1543">
                  <c:v>292.824</c:v>
                </c:pt>
                <c:pt idx="1544">
                  <c:v>292.992</c:v>
                </c:pt>
                <c:pt idx="1545">
                  <c:v>293.155</c:v>
                </c:pt>
                <c:pt idx="1546">
                  <c:v>293.3159999999999</c:v>
                </c:pt>
                <c:pt idx="1547">
                  <c:v>293.475</c:v>
                </c:pt>
                <c:pt idx="1548">
                  <c:v>293.637</c:v>
                </c:pt>
                <c:pt idx="1549">
                  <c:v>293.801</c:v>
                </c:pt>
                <c:pt idx="1550">
                  <c:v>293.963</c:v>
                </c:pt>
                <c:pt idx="1551">
                  <c:v>294.125</c:v>
                </c:pt>
                <c:pt idx="1552">
                  <c:v>294.283</c:v>
                </c:pt>
                <c:pt idx="1553">
                  <c:v>294.444</c:v>
                </c:pt>
                <c:pt idx="1554">
                  <c:v>294.605</c:v>
                </c:pt>
                <c:pt idx="1555">
                  <c:v>294.766</c:v>
                </c:pt>
                <c:pt idx="1556">
                  <c:v>294.9279999999989</c:v>
                </c:pt>
                <c:pt idx="1557">
                  <c:v>295.091</c:v>
                </c:pt>
                <c:pt idx="1558">
                  <c:v>295.255</c:v>
                </c:pt>
                <c:pt idx="1559">
                  <c:v>295.4239999999986</c:v>
                </c:pt>
                <c:pt idx="1560">
                  <c:v>295.5939999999989</c:v>
                </c:pt>
                <c:pt idx="1561">
                  <c:v>295.759</c:v>
                </c:pt>
                <c:pt idx="1562">
                  <c:v>295.9229999999989</c:v>
                </c:pt>
                <c:pt idx="1563">
                  <c:v>296.0899999999999</c:v>
                </c:pt>
                <c:pt idx="1564">
                  <c:v>296.255</c:v>
                </c:pt>
                <c:pt idx="1565">
                  <c:v>296.4189999999986</c:v>
                </c:pt>
                <c:pt idx="1566">
                  <c:v>296.5869999999989</c:v>
                </c:pt>
                <c:pt idx="1567">
                  <c:v>296.754</c:v>
                </c:pt>
                <c:pt idx="1568">
                  <c:v>296.922</c:v>
                </c:pt>
                <c:pt idx="1569">
                  <c:v>297.091</c:v>
                </c:pt>
                <c:pt idx="1570">
                  <c:v>297.257</c:v>
                </c:pt>
                <c:pt idx="1571">
                  <c:v>297.422</c:v>
                </c:pt>
                <c:pt idx="1572">
                  <c:v>297.586</c:v>
                </c:pt>
                <c:pt idx="1573">
                  <c:v>297.749</c:v>
                </c:pt>
                <c:pt idx="1574">
                  <c:v>297.913</c:v>
                </c:pt>
                <c:pt idx="1575">
                  <c:v>298.075</c:v>
                </c:pt>
                <c:pt idx="1576">
                  <c:v>298.237</c:v>
                </c:pt>
                <c:pt idx="1577">
                  <c:v>298.401</c:v>
                </c:pt>
                <c:pt idx="1578">
                  <c:v>298.5659999999999</c:v>
                </c:pt>
                <c:pt idx="1579">
                  <c:v>298.73</c:v>
                </c:pt>
                <c:pt idx="1580">
                  <c:v>298.8949999999999</c:v>
                </c:pt>
                <c:pt idx="1581">
                  <c:v>299.0609999999999</c:v>
                </c:pt>
                <c:pt idx="1582">
                  <c:v>299.2259999999989</c:v>
                </c:pt>
                <c:pt idx="1583">
                  <c:v>299.3929999999999</c:v>
                </c:pt>
                <c:pt idx="1584">
                  <c:v>299.5609999999999</c:v>
                </c:pt>
                <c:pt idx="1585">
                  <c:v>299.7269999999986</c:v>
                </c:pt>
                <c:pt idx="1586">
                  <c:v>299.8949999999999</c:v>
                </c:pt>
                <c:pt idx="1587">
                  <c:v>300.062</c:v>
                </c:pt>
                <c:pt idx="1588">
                  <c:v>300.228</c:v>
                </c:pt>
                <c:pt idx="1589">
                  <c:v>300.3949999999999</c:v>
                </c:pt>
                <c:pt idx="1590">
                  <c:v>300.56</c:v>
                </c:pt>
                <c:pt idx="1591">
                  <c:v>300.7259999999989</c:v>
                </c:pt>
                <c:pt idx="1592">
                  <c:v>300.892</c:v>
                </c:pt>
                <c:pt idx="1593">
                  <c:v>301.0559999999999</c:v>
                </c:pt>
                <c:pt idx="1594">
                  <c:v>301.2189999999989</c:v>
                </c:pt>
                <c:pt idx="1595">
                  <c:v>301.384</c:v>
                </c:pt>
                <c:pt idx="1596">
                  <c:v>301.55</c:v>
                </c:pt>
                <c:pt idx="1597">
                  <c:v>301.7149999999999</c:v>
                </c:pt>
                <c:pt idx="1598">
                  <c:v>301.8809999999999</c:v>
                </c:pt>
                <c:pt idx="1599">
                  <c:v>302.043</c:v>
                </c:pt>
                <c:pt idx="1600">
                  <c:v>302.2049999999999</c:v>
                </c:pt>
                <c:pt idx="1601">
                  <c:v>302.37</c:v>
                </c:pt>
                <c:pt idx="1602">
                  <c:v>302.5339999999989</c:v>
                </c:pt>
                <c:pt idx="1603">
                  <c:v>302.7</c:v>
                </c:pt>
                <c:pt idx="1604">
                  <c:v>302.865</c:v>
                </c:pt>
                <c:pt idx="1605">
                  <c:v>303.0309999999996</c:v>
                </c:pt>
                <c:pt idx="1606">
                  <c:v>303.195</c:v>
                </c:pt>
                <c:pt idx="1607">
                  <c:v>303.36</c:v>
                </c:pt>
                <c:pt idx="1608">
                  <c:v>303.524</c:v>
                </c:pt>
                <c:pt idx="1609">
                  <c:v>303.687</c:v>
                </c:pt>
                <c:pt idx="1610">
                  <c:v>303.85</c:v>
                </c:pt>
                <c:pt idx="1611">
                  <c:v>304.015</c:v>
                </c:pt>
                <c:pt idx="1612">
                  <c:v>304.178</c:v>
                </c:pt>
                <c:pt idx="1613">
                  <c:v>304.341</c:v>
                </c:pt>
                <c:pt idx="1614">
                  <c:v>304.503</c:v>
                </c:pt>
                <c:pt idx="1615">
                  <c:v>304.6689999999999</c:v>
                </c:pt>
                <c:pt idx="1616">
                  <c:v>304.836</c:v>
                </c:pt>
                <c:pt idx="1617">
                  <c:v>305.003</c:v>
                </c:pt>
                <c:pt idx="1618">
                  <c:v>305.168</c:v>
                </c:pt>
                <c:pt idx="1619">
                  <c:v>305.3349999999999</c:v>
                </c:pt>
                <c:pt idx="1620">
                  <c:v>305.5009999999999</c:v>
                </c:pt>
                <c:pt idx="1621">
                  <c:v>305.6669999999999</c:v>
                </c:pt>
                <c:pt idx="1622">
                  <c:v>305.83</c:v>
                </c:pt>
                <c:pt idx="1623">
                  <c:v>305.9959999999986</c:v>
                </c:pt>
                <c:pt idx="1624">
                  <c:v>306.163</c:v>
                </c:pt>
                <c:pt idx="1625">
                  <c:v>306.33</c:v>
                </c:pt>
                <c:pt idx="1626">
                  <c:v>306.497</c:v>
                </c:pt>
                <c:pt idx="1627">
                  <c:v>306.666</c:v>
                </c:pt>
                <c:pt idx="1628">
                  <c:v>306.833</c:v>
                </c:pt>
                <c:pt idx="1629">
                  <c:v>307.0009999999999</c:v>
                </c:pt>
                <c:pt idx="1630">
                  <c:v>307.168</c:v>
                </c:pt>
                <c:pt idx="1631">
                  <c:v>307.3319999999989</c:v>
                </c:pt>
                <c:pt idx="1632">
                  <c:v>307.497</c:v>
                </c:pt>
                <c:pt idx="1633">
                  <c:v>307.6619999999999</c:v>
                </c:pt>
                <c:pt idx="1634">
                  <c:v>307.827</c:v>
                </c:pt>
                <c:pt idx="1635">
                  <c:v>307.9909999999986</c:v>
                </c:pt>
                <c:pt idx="1636">
                  <c:v>308.156</c:v>
                </c:pt>
                <c:pt idx="1637">
                  <c:v>308.3229999999999</c:v>
                </c:pt>
                <c:pt idx="1638">
                  <c:v>308.4889999999986</c:v>
                </c:pt>
                <c:pt idx="1639">
                  <c:v>308.655</c:v>
                </c:pt>
                <c:pt idx="1640">
                  <c:v>308.819</c:v>
                </c:pt>
                <c:pt idx="1641">
                  <c:v>308.9839999999986</c:v>
                </c:pt>
                <c:pt idx="1642">
                  <c:v>309.148</c:v>
                </c:pt>
                <c:pt idx="1643">
                  <c:v>309.31</c:v>
                </c:pt>
                <c:pt idx="1644">
                  <c:v>309.475</c:v>
                </c:pt>
                <c:pt idx="1645">
                  <c:v>309.639</c:v>
                </c:pt>
                <c:pt idx="1646">
                  <c:v>309.8039999999999</c:v>
                </c:pt>
                <c:pt idx="1647">
                  <c:v>309.968</c:v>
                </c:pt>
                <c:pt idx="1648">
                  <c:v>310.132</c:v>
                </c:pt>
                <c:pt idx="1649">
                  <c:v>310.295</c:v>
                </c:pt>
                <c:pt idx="1650">
                  <c:v>310.459</c:v>
                </c:pt>
                <c:pt idx="1651">
                  <c:v>310.624</c:v>
                </c:pt>
                <c:pt idx="1652">
                  <c:v>310.7909999999989</c:v>
                </c:pt>
                <c:pt idx="1653">
                  <c:v>310.9569999999989</c:v>
                </c:pt>
                <c:pt idx="1654">
                  <c:v>311.1209999999999</c:v>
                </c:pt>
                <c:pt idx="1655">
                  <c:v>311.2889999999989</c:v>
                </c:pt>
                <c:pt idx="1656">
                  <c:v>311.4569999999989</c:v>
                </c:pt>
                <c:pt idx="1657">
                  <c:v>311.6259999999999</c:v>
                </c:pt>
                <c:pt idx="1658">
                  <c:v>311.7919999999986</c:v>
                </c:pt>
                <c:pt idx="1659">
                  <c:v>311.959</c:v>
                </c:pt>
                <c:pt idx="1660">
                  <c:v>312.122</c:v>
                </c:pt>
                <c:pt idx="1661">
                  <c:v>312.288</c:v>
                </c:pt>
                <c:pt idx="1662">
                  <c:v>312.4529999999999</c:v>
                </c:pt>
                <c:pt idx="1663">
                  <c:v>312.617</c:v>
                </c:pt>
                <c:pt idx="1664">
                  <c:v>312.783</c:v>
                </c:pt>
                <c:pt idx="1665">
                  <c:v>312.95</c:v>
                </c:pt>
                <c:pt idx="1666">
                  <c:v>313.115</c:v>
                </c:pt>
                <c:pt idx="1667">
                  <c:v>313.2799999999999</c:v>
                </c:pt>
                <c:pt idx="1668">
                  <c:v>313.445</c:v>
                </c:pt>
                <c:pt idx="1669">
                  <c:v>313.6089999999999</c:v>
                </c:pt>
                <c:pt idx="1670">
                  <c:v>313.7719999999989</c:v>
                </c:pt>
                <c:pt idx="1671">
                  <c:v>313.9359999999986</c:v>
                </c:pt>
                <c:pt idx="1672">
                  <c:v>314.0969999999986</c:v>
                </c:pt>
                <c:pt idx="1673">
                  <c:v>314.26</c:v>
                </c:pt>
                <c:pt idx="1674">
                  <c:v>314.4229999999989</c:v>
                </c:pt>
                <c:pt idx="1675">
                  <c:v>314.5849999999999</c:v>
                </c:pt>
                <c:pt idx="1676">
                  <c:v>314.7509999999999</c:v>
                </c:pt>
                <c:pt idx="1677">
                  <c:v>314.913</c:v>
                </c:pt>
                <c:pt idx="1678">
                  <c:v>315.072</c:v>
                </c:pt>
                <c:pt idx="1679">
                  <c:v>315.232</c:v>
                </c:pt>
                <c:pt idx="1680">
                  <c:v>315.3929999999999</c:v>
                </c:pt>
                <c:pt idx="1681">
                  <c:v>315.5559999999999</c:v>
                </c:pt>
                <c:pt idx="1682">
                  <c:v>315.7189999999989</c:v>
                </c:pt>
                <c:pt idx="1683">
                  <c:v>315.8809999999999</c:v>
                </c:pt>
                <c:pt idx="1684">
                  <c:v>316.041</c:v>
                </c:pt>
                <c:pt idx="1685">
                  <c:v>316.202</c:v>
                </c:pt>
                <c:pt idx="1686">
                  <c:v>316.362</c:v>
                </c:pt>
                <c:pt idx="1687">
                  <c:v>316.5249999999999</c:v>
                </c:pt>
                <c:pt idx="1688">
                  <c:v>316.688</c:v>
                </c:pt>
                <c:pt idx="1689">
                  <c:v>316.849</c:v>
                </c:pt>
                <c:pt idx="1690">
                  <c:v>317.0079999999999</c:v>
                </c:pt>
                <c:pt idx="1691">
                  <c:v>317.1689999999999</c:v>
                </c:pt>
                <c:pt idx="1692">
                  <c:v>317.331</c:v>
                </c:pt>
                <c:pt idx="1693">
                  <c:v>317.4949999999992</c:v>
                </c:pt>
                <c:pt idx="1694">
                  <c:v>317.6619999999999</c:v>
                </c:pt>
                <c:pt idx="1695">
                  <c:v>317.8279999999999</c:v>
                </c:pt>
                <c:pt idx="1696">
                  <c:v>317.9909999999986</c:v>
                </c:pt>
                <c:pt idx="1697">
                  <c:v>318.156</c:v>
                </c:pt>
                <c:pt idx="1698">
                  <c:v>318.321</c:v>
                </c:pt>
                <c:pt idx="1699">
                  <c:v>318.4839999999986</c:v>
                </c:pt>
                <c:pt idx="1700">
                  <c:v>318.65</c:v>
                </c:pt>
                <c:pt idx="1701">
                  <c:v>318.813</c:v>
                </c:pt>
                <c:pt idx="1702">
                  <c:v>318.9769999999986</c:v>
                </c:pt>
                <c:pt idx="1703">
                  <c:v>319.144</c:v>
                </c:pt>
                <c:pt idx="1704">
                  <c:v>319.3090000000001</c:v>
                </c:pt>
                <c:pt idx="1705">
                  <c:v>319.4689999999989</c:v>
                </c:pt>
                <c:pt idx="1706">
                  <c:v>319.6329999999999</c:v>
                </c:pt>
                <c:pt idx="1707">
                  <c:v>319.795</c:v>
                </c:pt>
                <c:pt idx="1708">
                  <c:v>319.9599999999999</c:v>
                </c:pt>
                <c:pt idx="1709">
                  <c:v>320.124</c:v>
                </c:pt>
                <c:pt idx="1710">
                  <c:v>320.2909999999989</c:v>
                </c:pt>
                <c:pt idx="1711">
                  <c:v>320.4569999999989</c:v>
                </c:pt>
                <c:pt idx="1712">
                  <c:v>320.6209999999999</c:v>
                </c:pt>
                <c:pt idx="1713">
                  <c:v>320.785</c:v>
                </c:pt>
                <c:pt idx="1714">
                  <c:v>320.95</c:v>
                </c:pt>
                <c:pt idx="1715">
                  <c:v>321.111</c:v>
                </c:pt>
                <c:pt idx="1716">
                  <c:v>321.2749999999999</c:v>
                </c:pt>
                <c:pt idx="1717">
                  <c:v>321.4379999999989</c:v>
                </c:pt>
                <c:pt idx="1718">
                  <c:v>321.601</c:v>
                </c:pt>
                <c:pt idx="1719">
                  <c:v>321.766</c:v>
                </c:pt>
                <c:pt idx="1720">
                  <c:v>321.9289999999986</c:v>
                </c:pt>
                <c:pt idx="1721">
                  <c:v>322.0919999999986</c:v>
                </c:pt>
                <c:pt idx="1722">
                  <c:v>322.255</c:v>
                </c:pt>
                <c:pt idx="1723">
                  <c:v>322.4169999999986</c:v>
                </c:pt>
                <c:pt idx="1724">
                  <c:v>322.581</c:v>
                </c:pt>
                <c:pt idx="1725">
                  <c:v>322.7440000000001</c:v>
                </c:pt>
                <c:pt idx="1726">
                  <c:v>322.9049999999999</c:v>
                </c:pt>
                <c:pt idx="1727">
                  <c:v>323.067</c:v>
                </c:pt>
                <c:pt idx="1728">
                  <c:v>323.23</c:v>
                </c:pt>
                <c:pt idx="1729">
                  <c:v>323.392</c:v>
                </c:pt>
                <c:pt idx="1730">
                  <c:v>323.552</c:v>
                </c:pt>
                <c:pt idx="1731">
                  <c:v>323.714</c:v>
                </c:pt>
                <c:pt idx="1732">
                  <c:v>323.8759999999999</c:v>
                </c:pt>
                <c:pt idx="1733">
                  <c:v>324.0369999999986</c:v>
                </c:pt>
                <c:pt idx="1734">
                  <c:v>324.1979999999999</c:v>
                </c:pt>
                <c:pt idx="1735">
                  <c:v>324.361</c:v>
                </c:pt>
                <c:pt idx="1736">
                  <c:v>324.5249999999999</c:v>
                </c:pt>
                <c:pt idx="1737">
                  <c:v>324.689</c:v>
                </c:pt>
                <c:pt idx="1738">
                  <c:v>324.85</c:v>
                </c:pt>
                <c:pt idx="1739">
                  <c:v>325.01</c:v>
                </c:pt>
                <c:pt idx="1740">
                  <c:v>325.1720000000001</c:v>
                </c:pt>
                <c:pt idx="1741">
                  <c:v>325.3349999999999</c:v>
                </c:pt>
                <c:pt idx="1742">
                  <c:v>325.499</c:v>
                </c:pt>
                <c:pt idx="1743">
                  <c:v>325.664</c:v>
                </c:pt>
                <c:pt idx="1744">
                  <c:v>325.826</c:v>
                </c:pt>
                <c:pt idx="1745">
                  <c:v>325.9859999999989</c:v>
                </c:pt>
                <c:pt idx="1746">
                  <c:v>326.145</c:v>
                </c:pt>
                <c:pt idx="1747">
                  <c:v>326.305</c:v>
                </c:pt>
                <c:pt idx="1748">
                  <c:v>326.466</c:v>
                </c:pt>
                <c:pt idx="1749">
                  <c:v>326.627</c:v>
                </c:pt>
                <c:pt idx="1750">
                  <c:v>326.788</c:v>
                </c:pt>
                <c:pt idx="1751">
                  <c:v>326.9479999999999</c:v>
                </c:pt>
                <c:pt idx="1752">
                  <c:v>327.1089999999999</c:v>
                </c:pt>
                <c:pt idx="1753">
                  <c:v>327.266</c:v>
                </c:pt>
                <c:pt idx="1754">
                  <c:v>327.4229999999989</c:v>
                </c:pt>
                <c:pt idx="1755">
                  <c:v>327.5819999999989</c:v>
                </c:pt>
                <c:pt idx="1756">
                  <c:v>327.741</c:v>
                </c:pt>
                <c:pt idx="1757">
                  <c:v>327.9</c:v>
                </c:pt>
                <c:pt idx="1758">
                  <c:v>328.06</c:v>
                </c:pt>
                <c:pt idx="1759">
                  <c:v>328.218</c:v>
                </c:pt>
                <c:pt idx="1760">
                  <c:v>328.3709999999999</c:v>
                </c:pt>
                <c:pt idx="1761">
                  <c:v>328.526</c:v>
                </c:pt>
                <c:pt idx="1762">
                  <c:v>328.685</c:v>
                </c:pt>
                <c:pt idx="1763">
                  <c:v>328.846</c:v>
                </c:pt>
                <c:pt idx="1764">
                  <c:v>329.0079999999999</c:v>
                </c:pt>
                <c:pt idx="1765">
                  <c:v>329.168</c:v>
                </c:pt>
                <c:pt idx="1766">
                  <c:v>329.3279999999999</c:v>
                </c:pt>
                <c:pt idx="1767">
                  <c:v>329.4879999999989</c:v>
                </c:pt>
                <c:pt idx="1768">
                  <c:v>329.647</c:v>
                </c:pt>
                <c:pt idx="1769">
                  <c:v>329.8090000000001</c:v>
                </c:pt>
                <c:pt idx="1770">
                  <c:v>329.97</c:v>
                </c:pt>
                <c:pt idx="1771">
                  <c:v>330.132</c:v>
                </c:pt>
                <c:pt idx="1772">
                  <c:v>330.2909999999989</c:v>
                </c:pt>
                <c:pt idx="1773">
                  <c:v>330.452</c:v>
                </c:pt>
                <c:pt idx="1774">
                  <c:v>330.615</c:v>
                </c:pt>
                <c:pt idx="1775">
                  <c:v>330.778</c:v>
                </c:pt>
                <c:pt idx="1776">
                  <c:v>330.939</c:v>
                </c:pt>
                <c:pt idx="1777">
                  <c:v>331.098</c:v>
                </c:pt>
                <c:pt idx="1778">
                  <c:v>331.2559999999999</c:v>
                </c:pt>
                <c:pt idx="1779">
                  <c:v>331.4139999999989</c:v>
                </c:pt>
                <c:pt idx="1780">
                  <c:v>331.572</c:v>
                </c:pt>
                <c:pt idx="1781">
                  <c:v>331.73</c:v>
                </c:pt>
                <c:pt idx="1782">
                  <c:v>331.889</c:v>
                </c:pt>
                <c:pt idx="1783">
                  <c:v>332.051</c:v>
                </c:pt>
                <c:pt idx="1784">
                  <c:v>332.214</c:v>
                </c:pt>
                <c:pt idx="1785">
                  <c:v>332.375</c:v>
                </c:pt>
                <c:pt idx="1786">
                  <c:v>332.5389999999989</c:v>
                </c:pt>
                <c:pt idx="1787">
                  <c:v>332.702</c:v>
                </c:pt>
                <c:pt idx="1788">
                  <c:v>332.866</c:v>
                </c:pt>
                <c:pt idx="1789">
                  <c:v>333.028</c:v>
                </c:pt>
                <c:pt idx="1790">
                  <c:v>333.19</c:v>
                </c:pt>
                <c:pt idx="1791">
                  <c:v>333.3519999999999</c:v>
                </c:pt>
                <c:pt idx="1792">
                  <c:v>333.515</c:v>
                </c:pt>
                <c:pt idx="1793">
                  <c:v>333.6789999999999</c:v>
                </c:pt>
                <c:pt idx="1794">
                  <c:v>333.8450000000001</c:v>
                </c:pt>
                <c:pt idx="1795">
                  <c:v>334.007</c:v>
                </c:pt>
                <c:pt idx="1796">
                  <c:v>334.1720000000001</c:v>
                </c:pt>
                <c:pt idx="1797">
                  <c:v>334.3369999999989</c:v>
                </c:pt>
                <c:pt idx="1798">
                  <c:v>334.502</c:v>
                </c:pt>
                <c:pt idx="1799">
                  <c:v>334.6669999999999</c:v>
                </c:pt>
                <c:pt idx="1800">
                  <c:v>334.831</c:v>
                </c:pt>
                <c:pt idx="1801">
                  <c:v>334.9949999999992</c:v>
                </c:pt>
                <c:pt idx="1802">
                  <c:v>335.159</c:v>
                </c:pt>
                <c:pt idx="1803">
                  <c:v>335.321</c:v>
                </c:pt>
                <c:pt idx="1804">
                  <c:v>335.485</c:v>
                </c:pt>
                <c:pt idx="1805">
                  <c:v>335.647</c:v>
                </c:pt>
                <c:pt idx="1806">
                  <c:v>335.8109999999999</c:v>
                </c:pt>
                <c:pt idx="1807">
                  <c:v>335.978</c:v>
                </c:pt>
                <c:pt idx="1808">
                  <c:v>336.143</c:v>
                </c:pt>
                <c:pt idx="1809">
                  <c:v>336.3090000000001</c:v>
                </c:pt>
                <c:pt idx="1810">
                  <c:v>336.4759999999989</c:v>
                </c:pt>
                <c:pt idx="1811">
                  <c:v>336.643</c:v>
                </c:pt>
                <c:pt idx="1812">
                  <c:v>336.808</c:v>
                </c:pt>
                <c:pt idx="1813">
                  <c:v>336.9739999999989</c:v>
                </c:pt>
                <c:pt idx="1814">
                  <c:v>337.139</c:v>
                </c:pt>
                <c:pt idx="1815">
                  <c:v>337.305</c:v>
                </c:pt>
                <c:pt idx="1816">
                  <c:v>337.47</c:v>
                </c:pt>
                <c:pt idx="1817">
                  <c:v>337.637</c:v>
                </c:pt>
                <c:pt idx="1818">
                  <c:v>337.8039999999999</c:v>
                </c:pt>
                <c:pt idx="1819">
                  <c:v>337.97</c:v>
                </c:pt>
                <c:pt idx="1820">
                  <c:v>338.134</c:v>
                </c:pt>
                <c:pt idx="1821">
                  <c:v>338.2959999999989</c:v>
                </c:pt>
                <c:pt idx="1822">
                  <c:v>338.459</c:v>
                </c:pt>
                <c:pt idx="1823">
                  <c:v>338.618</c:v>
                </c:pt>
                <c:pt idx="1824">
                  <c:v>338.778</c:v>
                </c:pt>
                <c:pt idx="1825">
                  <c:v>338.942</c:v>
                </c:pt>
                <c:pt idx="1826">
                  <c:v>339.108</c:v>
                </c:pt>
                <c:pt idx="1827">
                  <c:v>339.2719999999989</c:v>
                </c:pt>
                <c:pt idx="1828">
                  <c:v>339.4359999999986</c:v>
                </c:pt>
                <c:pt idx="1829">
                  <c:v>339.6019999999999</c:v>
                </c:pt>
                <c:pt idx="1830">
                  <c:v>339.766</c:v>
                </c:pt>
                <c:pt idx="1831">
                  <c:v>339.9309999999986</c:v>
                </c:pt>
                <c:pt idx="1832">
                  <c:v>340.098</c:v>
                </c:pt>
                <c:pt idx="1833">
                  <c:v>340.262</c:v>
                </c:pt>
                <c:pt idx="1834">
                  <c:v>340.4259999999989</c:v>
                </c:pt>
                <c:pt idx="1835">
                  <c:v>340.59</c:v>
                </c:pt>
                <c:pt idx="1836">
                  <c:v>340.754</c:v>
                </c:pt>
                <c:pt idx="1837">
                  <c:v>340.9179999999996</c:v>
                </c:pt>
                <c:pt idx="1838">
                  <c:v>341.08</c:v>
                </c:pt>
                <c:pt idx="1839">
                  <c:v>341.245</c:v>
                </c:pt>
                <c:pt idx="1840">
                  <c:v>341.408</c:v>
                </c:pt>
                <c:pt idx="1841">
                  <c:v>341.571</c:v>
                </c:pt>
                <c:pt idx="1842">
                  <c:v>341.7329999999992</c:v>
                </c:pt>
                <c:pt idx="1843">
                  <c:v>341.89</c:v>
                </c:pt>
                <c:pt idx="1844">
                  <c:v>342.0489999999999</c:v>
                </c:pt>
                <c:pt idx="1845">
                  <c:v>342.21</c:v>
                </c:pt>
                <c:pt idx="1846">
                  <c:v>342.373</c:v>
                </c:pt>
                <c:pt idx="1847">
                  <c:v>342.5369999999986</c:v>
                </c:pt>
                <c:pt idx="1848">
                  <c:v>342.702</c:v>
                </c:pt>
                <c:pt idx="1849">
                  <c:v>342.865</c:v>
                </c:pt>
                <c:pt idx="1850">
                  <c:v>343.0309999999996</c:v>
                </c:pt>
                <c:pt idx="1851">
                  <c:v>343.197</c:v>
                </c:pt>
                <c:pt idx="1852">
                  <c:v>343.363</c:v>
                </c:pt>
                <c:pt idx="1853">
                  <c:v>343.528</c:v>
                </c:pt>
                <c:pt idx="1854">
                  <c:v>343.694</c:v>
                </c:pt>
                <c:pt idx="1855">
                  <c:v>343.858</c:v>
                </c:pt>
                <c:pt idx="1856">
                  <c:v>344.0249999999999</c:v>
                </c:pt>
                <c:pt idx="1857">
                  <c:v>344.1909999999999</c:v>
                </c:pt>
                <c:pt idx="1858">
                  <c:v>344.36</c:v>
                </c:pt>
                <c:pt idx="1859">
                  <c:v>344.5269999999986</c:v>
                </c:pt>
                <c:pt idx="1860">
                  <c:v>344.692</c:v>
                </c:pt>
                <c:pt idx="1861">
                  <c:v>344.856</c:v>
                </c:pt>
                <c:pt idx="1862">
                  <c:v>345.021</c:v>
                </c:pt>
                <c:pt idx="1863">
                  <c:v>345.1859999999999</c:v>
                </c:pt>
                <c:pt idx="1864">
                  <c:v>345.351</c:v>
                </c:pt>
                <c:pt idx="1865">
                  <c:v>345.516</c:v>
                </c:pt>
                <c:pt idx="1866">
                  <c:v>345.68</c:v>
                </c:pt>
                <c:pt idx="1867">
                  <c:v>345.844</c:v>
                </c:pt>
                <c:pt idx="1868">
                  <c:v>346.005</c:v>
                </c:pt>
                <c:pt idx="1869">
                  <c:v>346.1669999999999</c:v>
                </c:pt>
                <c:pt idx="1870">
                  <c:v>346.3279999999999</c:v>
                </c:pt>
                <c:pt idx="1871">
                  <c:v>346.49</c:v>
                </c:pt>
                <c:pt idx="1872">
                  <c:v>346.65</c:v>
                </c:pt>
                <c:pt idx="1873">
                  <c:v>346.81</c:v>
                </c:pt>
                <c:pt idx="1874">
                  <c:v>346.9689999999989</c:v>
                </c:pt>
                <c:pt idx="1875">
                  <c:v>347.1259999999999</c:v>
                </c:pt>
                <c:pt idx="1876">
                  <c:v>347.283</c:v>
                </c:pt>
                <c:pt idx="1877">
                  <c:v>347.442</c:v>
                </c:pt>
                <c:pt idx="1878">
                  <c:v>347.6039999999999</c:v>
                </c:pt>
                <c:pt idx="1879">
                  <c:v>347.766</c:v>
                </c:pt>
                <c:pt idx="1880">
                  <c:v>347.9289999999986</c:v>
                </c:pt>
                <c:pt idx="1881">
                  <c:v>348.0939999999989</c:v>
                </c:pt>
                <c:pt idx="1882">
                  <c:v>348.26</c:v>
                </c:pt>
                <c:pt idx="1883">
                  <c:v>348.4209999999989</c:v>
                </c:pt>
                <c:pt idx="1884">
                  <c:v>348.584</c:v>
                </c:pt>
                <c:pt idx="1885">
                  <c:v>348.748</c:v>
                </c:pt>
                <c:pt idx="1886">
                  <c:v>348.91</c:v>
                </c:pt>
                <c:pt idx="1887">
                  <c:v>349.071</c:v>
                </c:pt>
                <c:pt idx="1888">
                  <c:v>349.2359999999989</c:v>
                </c:pt>
                <c:pt idx="1889">
                  <c:v>349.399</c:v>
                </c:pt>
                <c:pt idx="1890">
                  <c:v>349.56</c:v>
                </c:pt>
                <c:pt idx="1891">
                  <c:v>349.723</c:v>
                </c:pt>
                <c:pt idx="1892">
                  <c:v>349.884</c:v>
                </c:pt>
                <c:pt idx="1893">
                  <c:v>350.0470000000001</c:v>
                </c:pt>
                <c:pt idx="1894">
                  <c:v>350.211</c:v>
                </c:pt>
                <c:pt idx="1895">
                  <c:v>350.3759999999999</c:v>
                </c:pt>
                <c:pt idx="1896">
                  <c:v>350.538</c:v>
                </c:pt>
                <c:pt idx="1897">
                  <c:v>350.7</c:v>
                </c:pt>
                <c:pt idx="1898">
                  <c:v>350.862</c:v>
                </c:pt>
                <c:pt idx="1899">
                  <c:v>351.026</c:v>
                </c:pt>
                <c:pt idx="1900">
                  <c:v>351.187</c:v>
                </c:pt>
                <c:pt idx="1901">
                  <c:v>351.348</c:v>
                </c:pt>
                <c:pt idx="1902">
                  <c:v>351.5079999999999</c:v>
                </c:pt>
                <c:pt idx="1903">
                  <c:v>351.67</c:v>
                </c:pt>
                <c:pt idx="1904">
                  <c:v>351.831</c:v>
                </c:pt>
                <c:pt idx="1905">
                  <c:v>351.9909999999986</c:v>
                </c:pt>
                <c:pt idx="1906">
                  <c:v>352.15</c:v>
                </c:pt>
                <c:pt idx="1907">
                  <c:v>352.308</c:v>
                </c:pt>
                <c:pt idx="1908">
                  <c:v>352.4689999999989</c:v>
                </c:pt>
                <c:pt idx="1909">
                  <c:v>352.628</c:v>
                </c:pt>
                <c:pt idx="1910">
                  <c:v>352.7859999999989</c:v>
                </c:pt>
                <c:pt idx="1911">
                  <c:v>352.947</c:v>
                </c:pt>
                <c:pt idx="1912">
                  <c:v>353.1089999999999</c:v>
                </c:pt>
                <c:pt idx="1913">
                  <c:v>353.27</c:v>
                </c:pt>
                <c:pt idx="1914">
                  <c:v>353.4309999999986</c:v>
                </c:pt>
                <c:pt idx="1915">
                  <c:v>353.5919999999986</c:v>
                </c:pt>
                <c:pt idx="1916">
                  <c:v>353.752</c:v>
                </c:pt>
                <c:pt idx="1917">
                  <c:v>353.9119999999986</c:v>
                </c:pt>
                <c:pt idx="1918">
                  <c:v>354.071</c:v>
                </c:pt>
                <c:pt idx="1919">
                  <c:v>354.2289999999986</c:v>
                </c:pt>
                <c:pt idx="1920">
                  <c:v>354.3879999999999</c:v>
                </c:pt>
                <c:pt idx="1921">
                  <c:v>354.552</c:v>
                </c:pt>
                <c:pt idx="1922">
                  <c:v>354.716</c:v>
                </c:pt>
                <c:pt idx="1923">
                  <c:v>354.879</c:v>
                </c:pt>
                <c:pt idx="1924">
                  <c:v>355.041</c:v>
                </c:pt>
                <c:pt idx="1925">
                  <c:v>355.202</c:v>
                </c:pt>
                <c:pt idx="1926">
                  <c:v>355.3639999999999</c:v>
                </c:pt>
                <c:pt idx="1927">
                  <c:v>355.528</c:v>
                </c:pt>
                <c:pt idx="1928">
                  <c:v>355.6909999999999</c:v>
                </c:pt>
                <c:pt idx="1929">
                  <c:v>355.8519999999999</c:v>
                </c:pt>
                <c:pt idx="1930">
                  <c:v>356.012</c:v>
                </c:pt>
                <c:pt idx="1931">
                  <c:v>356.1720000000001</c:v>
                </c:pt>
                <c:pt idx="1932">
                  <c:v>356.331</c:v>
                </c:pt>
                <c:pt idx="1933">
                  <c:v>356.4909999999986</c:v>
                </c:pt>
                <c:pt idx="1934">
                  <c:v>356.649</c:v>
                </c:pt>
                <c:pt idx="1935">
                  <c:v>356.808</c:v>
                </c:pt>
                <c:pt idx="1936">
                  <c:v>356.966</c:v>
                </c:pt>
                <c:pt idx="1937">
                  <c:v>357.127</c:v>
                </c:pt>
                <c:pt idx="1938">
                  <c:v>357.29</c:v>
                </c:pt>
                <c:pt idx="1939">
                  <c:v>357.454</c:v>
                </c:pt>
                <c:pt idx="1940">
                  <c:v>357.618</c:v>
                </c:pt>
                <c:pt idx="1941">
                  <c:v>357.7809999999996</c:v>
                </c:pt>
                <c:pt idx="1942">
                  <c:v>357.9429999999999</c:v>
                </c:pt>
                <c:pt idx="1943">
                  <c:v>358.1039999999999</c:v>
                </c:pt>
                <c:pt idx="1944">
                  <c:v>358.265</c:v>
                </c:pt>
                <c:pt idx="1945">
                  <c:v>358.4259999999989</c:v>
                </c:pt>
                <c:pt idx="1946">
                  <c:v>358.5849999999999</c:v>
                </c:pt>
                <c:pt idx="1947">
                  <c:v>358.747</c:v>
                </c:pt>
                <c:pt idx="1948">
                  <c:v>358.9089999999989</c:v>
                </c:pt>
                <c:pt idx="1949">
                  <c:v>359.07</c:v>
                </c:pt>
                <c:pt idx="1950">
                  <c:v>359.2289999999986</c:v>
                </c:pt>
                <c:pt idx="1951">
                  <c:v>359.389</c:v>
                </c:pt>
                <c:pt idx="1952">
                  <c:v>359.5489999999999</c:v>
                </c:pt>
                <c:pt idx="1953">
                  <c:v>359.711</c:v>
                </c:pt>
                <c:pt idx="1954">
                  <c:v>359.873</c:v>
                </c:pt>
                <c:pt idx="1955">
                  <c:v>360.035</c:v>
                </c:pt>
                <c:pt idx="1956">
                  <c:v>360.1979999999999</c:v>
                </c:pt>
                <c:pt idx="1957">
                  <c:v>360.36</c:v>
                </c:pt>
                <c:pt idx="1958">
                  <c:v>360.516</c:v>
                </c:pt>
                <c:pt idx="1959">
                  <c:v>360.67</c:v>
                </c:pt>
                <c:pt idx="1960">
                  <c:v>360.827</c:v>
                </c:pt>
                <c:pt idx="1961">
                  <c:v>360.9879999999989</c:v>
                </c:pt>
                <c:pt idx="1962">
                  <c:v>361.152</c:v>
                </c:pt>
                <c:pt idx="1963">
                  <c:v>361.317</c:v>
                </c:pt>
                <c:pt idx="1964">
                  <c:v>361.4839999999986</c:v>
                </c:pt>
                <c:pt idx="1965">
                  <c:v>361.649</c:v>
                </c:pt>
                <c:pt idx="1966">
                  <c:v>361.813</c:v>
                </c:pt>
                <c:pt idx="1967">
                  <c:v>361.9759999999989</c:v>
                </c:pt>
                <c:pt idx="1968">
                  <c:v>362.141</c:v>
                </c:pt>
                <c:pt idx="1969">
                  <c:v>362.307</c:v>
                </c:pt>
                <c:pt idx="1970">
                  <c:v>362.4739999999989</c:v>
                </c:pt>
                <c:pt idx="1971">
                  <c:v>362.639</c:v>
                </c:pt>
                <c:pt idx="1972">
                  <c:v>362.802</c:v>
                </c:pt>
                <c:pt idx="1973">
                  <c:v>362.9649999999999</c:v>
                </c:pt>
                <c:pt idx="1974">
                  <c:v>363.129</c:v>
                </c:pt>
                <c:pt idx="1975">
                  <c:v>363.2909999999989</c:v>
                </c:pt>
                <c:pt idx="1976">
                  <c:v>363.45</c:v>
                </c:pt>
                <c:pt idx="1977">
                  <c:v>363.6089999999999</c:v>
                </c:pt>
                <c:pt idx="1978">
                  <c:v>363.769</c:v>
                </c:pt>
                <c:pt idx="1979">
                  <c:v>363.9329999999989</c:v>
                </c:pt>
                <c:pt idx="1980">
                  <c:v>364.0959999999992</c:v>
                </c:pt>
                <c:pt idx="1981">
                  <c:v>364.2579999999999</c:v>
                </c:pt>
                <c:pt idx="1982">
                  <c:v>364.4229999999989</c:v>
                </c:pt>
                <c:pt idx="1983">
                  <c:v>364.5869999999989</c:v>
                </c:pt>
                <c:pt idx="1984">
                  <c:v>364.75</c:v>
                </c:pt>
                <c:pt idx="1985">
                  <c:v>364.915</c:v>
                </c:pt>
                <c:pt idx="1986">
                  <c:v>365.079</c:v>
                </c:pt>
                <c:pt idx="1987">
                  <c:v>365.2440000000001</c:v>
                </c:pt>
                <c:pt idx="1988">
                  <c:v>365.408</c:v>
                </c:pt>
                <c:pt idx="1989">
                  <c:v>365.572</c:v>
                </c:pt>
                <c:pt idx="1990">
                  <c:v>365.737</c:v>
                </c:pt>
                <c:pt idx="1991">
                  <c:v>365.901</c:v>
                </c:pt>
                <c:pt idx="1992">
                  <c:v>366.063</c:v>
                </c:pt>
                <c:pt idx="1993">
                  <c:v>366.2259999999989</c:v>
                </c:pt>
                <c:pt idx="1994">
                  <c:v>366.389</c:v>
                </c:pt>
                <c:pt idx="1995">
                  <c:v>366.55</c:v>
                </c:pt>
                <c:pt idx="1996">
                  <c:v>366.713</c:v>
                </c:pt>
                <c:pt idx="1997">
                  <c:v>366.878</c:v>
                </c:pt>
                <c:pt idx="1998">
                  <c:v>367.041</c:v>
                </c:pt>
                <c:pt idx="1999">
                  <c:v>367.2049999999999</c:v>
                </c:pt>
                <c:pt idx="2000">
                  <c:v>367.37</c:v>
                </c:pt>
                <c:pt idx="2001">
                  <c:v>367.533</c:v>
                </c:pt>
                <c:pt idx="2002">
                  <c:v>367.6979999999999</c:v>
                </c:pt>
                <c:pt idx="2003">
                  <c:v>367.866</c:v>
                </c:pt>
                <c:pt idx="2004">
                  <c:v>368.0319999999986</c:v>
                </c:pt>
                <c:pt idx="2005">
                  <c:v>368.2</c:v>
                </c:pt>
                <c:pt idx="2006">
                  <c:v>368.3690000000001</c:v>
                </c:pt>
                <c:pt idx="2007">
                  <c:v>368.5369999999986</c:v>
                </c:pt>
                <c:pt idx="2008">
                  <c:v>368.7029999999999</c:v>
                </c:pt>
                <c:pt idx="2009">
                  <c:v>368.87</c:v>
                </c:pt>
                <c:pt idx="2010">
                  <c:v>369.0339999999989</c:v>
                </c:pt>
                <c:pt idx="2011">
                  <c:v>369.196</c:v>
                </c:pt>
                <c:pt idx="2012">
                  <c:v>369.3589999999999</c:v>
                </c:pt>
                <c:pt idx="2013">
                  <c:v>369.521</c:v>
                </c:pt>
                <c:pt idx="2014">
                  <c:v>369.683</c:v>
                </c:pt>
                <c:pt idx="2015">
                  <c:v>369.846</c:v>
                </c:pt>
                <c:pt idx="2016">
                  <c:v>370.009</c:v>
                </c:pt>
                <c:pt idx="2017">
                  <c:v>370.17</c:v>
                </c:pt>
                <c:pt idx="2018">
                  <c:v>370.333</c:v>
                </c:pt>
                <c:pt idx="2019">
                  <c:v>370.4979999999989</c:v>
                </c:pt>
                <c:pt idx="2020">
                  <c:v>370.663</c:v>
                </c:pt>
                <c:pt idx="2021">
                  <c:v>370.825</c:v>
                </c:pt>
                <c:pt idx="2022">
                  <c:v>370.9909999999986</c:v>
                </c:pt>
                <c:pt idx="2023">
                  <c:v>371.158</c:v>
                </c:pt>
                <c:pt idx="2024">
                  <c:v>371.327</c:v>
                </c:pt>
                <c:pt idx="2025">
                  <c:v>371.494</c:v>
                </c:pt>
                <c:pt idx="2026">
                  <c:v>371.6619999999999</c:v>
                </c:pt>
                <c:pt idx="2027">
                  <c:v>371.831</c:v>
                </c:pt>
                <c:pt idx="2028">
                  <c:v>371.997</c:v>
                </c:pt>
                <c:pt idx="2029">
                  <c:v>372.161</c:v>
                </c:pt>
                <c:pt idx="2030">
                  <c:v>372.3229999999999</c:v>
                </c:pt>
                <c:pt idx="2031">
                  <c:v>372.4859999999989</c:v>
                </c:pt>
                <c:pt idx="2032">
                  <c:v>372.647</c:v>
                </c:pt>
                <c:pt idx="2033">
                  <c:v>372.812</c:v>
                </c:pt>
                <c:pt idx="2034">
                  <c:v>372.978</c:v>
                </c:pt>
                <c:pt idx="2035">
                  <c:v>373.143</c:v>
                </c:pt>
                <c:pt idx="2036">
                  <c:v>373.312</c:v>
                </c:pt>
                <c:pt idx="2037">
                  <c:v>373.478</c:v>
                </c:pt>
                <c:pt idx="2038">
                  <c:v>373.641</c:v>
                </c:pt>
                <c:pt idx="2039">
                  <c:v>373.8039999999999</c:v>
                </c:pt>
                <c:pt idx="2040">
                  <c:v>373.966</c:v>
                </c:pt>
                <c:pt idx="2041">
                  <c:v>374.1309999999999</c:v>
                </c:pt>
                <c:pt idx="2042">
                  <c:v>374.2979999999989</c:v>
                </c:pt>
                <c:pt idx="2043">
                  <c:v>374.463</c:v>
                </c:pt>
                <c:pt idx="2044">
                  <c:v>374.629</c:v>
                </c:pt>
                <c:pt idx="2045">
                  <c:v>374.7939999999986</c:v>
                </c:pt>
                <c:pt idx="2046">
                  <c:v>374.9569999999989</c:v>
                </c:pt>
                <c:pt idx="2047">
                  <c:v>375.122</c:v>
                </c:pt>
                <c:pt idx="2048">
                  <c:v>375.2859999999989</c:v>
                </c:pt>
                <c:pt idx="2049">
                  <c:v>375.4479999999999</c:v>
                </c:pt>
                <c:pt idx="2050">
                  <c:v>375.6089999999999</c:v>
                </c:pt>
                <c:pt idx="2051">
                  <c:v>375.7679999999999</c:v>
                </c:pt>
                <c:pt idx="2052">
                  <c:v>375.932</c:v>
                </c:pt>
                <c:pt idx="2053">
                  <c:v>376.095</c:v>
                </c:pt>
                <c:pt idx="2054">
                  <c:v>376.261</c:v>
                </c:pt>
                <c:pt idx="2055">
                  <c:v>376.427</c:v>
                </c:pt>
                <c:pt idx="2056">
                  <c:v>376.5939999999989</c:v>
                </c:pt>
                <c:pt idx="2057">
                  <c:v>376.7629999999999</c:v>
                </c:pt>
                <c:pt idx="2058">
                  <c:v>376.9279999999989</c:v>
                </c:pt>
                <c:pt idx="2059">
                  <c:v>377.0919999999986</c:v>
                </c:pt>
                <c:pt idx="2060">
                  <c:v>377.255</c:v>
                </c:pt>
                <c:pt idx="2061">
                  <c:v>377.4179999999996</c:v>
                </c:pt>
                <c:pt idx="2062">
                  <c:v>377.5819999999989</c:v>
                </c:pt>
                <c:pt idx="2063">
                  <c:v>377.743</c:v>
                </c:pt>
                <c:pt idx="2064">
                  <c:v>377.9089999999989</c:v>
                </c:pt>
                <c:pt idx="2065">
                  <c:v>378.074</c:v>
                </c:pt>
                <c:pt idx="2066">
                  <c:v>378.2359999999989</c:v>
                </c:pt>
                <c:pt idx="2067">
                  <c:v>378.401</c:v>
                </c:pt>
                <c:pt idx="2068">
                  <c:v>378.565</c:v>
                </c:pt>
                <c:pt idx="2069">
                  <c:v>378.7329999999992</c:v>
                </c:pt>
                <c:pt idx="2070">
                  <c:v>378.898</c:v>
                </c:pt>
                <c:pt idx="2071">
                  <c:v>379.064</c:v>
                </c:pt>
                <c:pt idx="2072">
                  <c:v>379.228</c:v>
                </c:pt>
                <c:pt idx="2073">
                  <c:v>379.394</c:v>
                </c:pt>
                <c:pt idx="2074">
                  <c:v>379.56</c:v>
                </c:pt>
                <c:pt idx="2075">
                  <c:v>379.7269999999986</c:v>
                </c:pt>
                <c:pt idx="2076">
                  <c:v>379.8949999999999</c:v>
                </c:pt>
                <c:pt idx="2077">
                  <c:v>380.06</c:v>
                </c:pt>
                <c:pt idx="2078">
                  <c:v>380.223</c:v>
                </c:pt>
                <c:pt idx="2079">
                  <c:v>380.389</c:v>
                </c:pt>
                <c:pt idx="2080">
                  <c:v>380.557</c:v>
                </c:pt>
                <c:pt idx="2081">
                  <c:v>380.7239999999989</c:v>
                </c:pt>
                <c:pt idx="2082">
                  <c:v>380.892</c:v>
                </c:pt>
                <c:pt idx="2083">
                  <c:v>381.058</c:v>
                </c:pt>
                <c:pt idx="2084">
                  <c:v>381.223</c:v>
                </c:pt>
                <c:pt idx="2085">
                  <c:v>381.389</c:v>
                </c:pt>
                <c:pt idx="2086">
                  <c:v>381.557</c:v>
                </c:pt>
                <c:pt idx="2087">
                  <c:v>381.7269999999986</c:v>
                </c:pt>
                <c:pt idx="2088">
                  <c:v>381.894</c:v>
                </c:pt>
                <c:pt idx="2089">
                  <c:v>382.06</c:v>
                </c:pt>
                <c:pt idx="2090">
                  <c:v>382.2259999999989</c:v>
                </c:pt>
                <c:pt idx="2091">
                  <c:v>382.392</c:v>
                </c:pt>
                <c:pt idx="2092">
                  <c:v>382.555</c:v>
                </c:pt>
                <c:pt idx="2093">
                  <c:v>382.7169999999986</c:v>
                </c:pt>
                <c:pt idx="2094">
                  <c:v>382.882</c:v>
                </c:pt>
                <c:pt idx="2095">
                  <c:v>383.0470000000001</c:v>
                </c:pt>
                <c:pt idx="2096">
                  <c:v>383.211</c:v>
                </c:pt>
                <c:pt idx="2097">
                  <c:v>383.378</c:v>
                </c:pt>
                <c:pt idx="2098">
                  <c:v>383.541</c:v>
                </c:pt>
                <c:pt idx="2099">
                  <c:v>383.708</c:v>
                </c:pt>
                <c:pt idx="2100">
                  <c:v>383.8759999999999</c:v>
                </c:pt>
                <c:pt idx="2101">
                  <c:v>384.045</c:v>
                </c:pt>
                <c:pt idx="2102">
                  <c:v>384.2169999999986</c:v>
                </c:pt>
                <c:pt idx="2103">
                  <c:v>384.3879999999999</c:v>
                </c:pt>
                <c:pt idx="2104">
                  <c:v>384.5590000000001</c:v>
                </c:pt>
                <c:pt idx="2105">
                  <c:v>384.7289999999986</c:v>
                </c:pt>
                <c:pt idx="2106">
                  <c:v>384.898</c:v>
                </c:pt>
                <c:pt idx="2107">
                  <c:v>385.07</c:v>
                </c:pt>
                <c:pt idx="2108">
                  <c:v>385.24</c:v>
                </c:pt>
                <c:pt idx="2109">
                  <c:v>385.4089999999989</c:v>
                </c:pt>
                <c:pt idx="2110">
                  <c:v>385.5779999999999</c:v>
                </c:pt>
                <c:pt idx="2111">
                  <c:v>385.743</c:v>
                </c:pt>
                <c:pt idx="2112">
                  <c:v>385.9089999999989</c:v>
                </c:pt>
                <c:pt idx="2113">
                  <c:v>386.076</c:v>
                </c:pt>
                <c:pt idx="2114">
                  <c:v>386.242</c:v>
                </c:pt>
                <c:pt idx="2115">
                  <c:v>386.41</c:v>
                </c:pt>
                <c:pt idx="2116">
                  <c:v>386.577</c:v>
                </c:pt>
                <c:pt idx="2117">
                  <c:v>386.7440000000001</c:v>
                </c:pt>
                <c:pt idx="2118">
                  <c:v>386.9109999999989</c:v>
                </c:pt>
                <c:pt idx="2119">
                  <c:v>387.077</c:v>
                </c:pt>
                <c:pt idx="2120">
                  <c:v>387.241</c:v>
                </c:pt>
                <c:pt idx="2121">
                  <c:v>387.404</c:v>
                </c:pt>
                <c:pt idx="2122">
                  <c:v>387.569</c:v>
                </c:pt>
                <c:pt idx="2123">
                  <c:v>387.7359999999989</c:v>
                </c:pt>
                <c:pt idx="2124">
                  <c:v>387.903</c:v>
                </c:pt>
                <c:pt idx="2125">
                  <c:v>388.0729999999999</c:v>
                </c:pt>
                <c:pt idx="2126">
                  <c:v>388.242</c:v>
                </c:pt>
                <c:pt idx="2127">
                  <c:v>388.4109999999989</c:v>
                </c:pt>
                <c:pt idx="2128">
                  <c:v>388.579</c:v>
                </c:pt>
                <c:pt idx="2129">
                  <c:v>388.7440000000001</c:v>
                </c:pt>
                <c:pt idx="2130">
                  <c:v>388.9119999999986</c:v>
                </c:pt>
                <c:pt idx="2131">
                  <c:v>389.081</c:v>
                </c:pt>
                <c:pt idx="2132">
                  <c:v>389.248</c:v>
                </c:pt>
                <c:pt idx="2133">
                  <c:v>389.415</c:v>
                </c:pt>
                <c:pt idx="2134">
                  <c:v>389.5819999999989</c:v>
                </c:pt>
                <c:pt idx="2135">
                  <c:v>389.748</c:v>
                </c:pt>
                <c:pt idx="2136">
                  <c:v>389.9159999999989</c:v>
                </c:pt>
                <c:pt idx="2137">
                  <c:v>390.0819999999989</c:v>
                </c:pt>
                <c:pt idx="2138">
                  <c:v>390.253</c:v>
                </c:pt>
                <c:pt idx="2139">
                  <c:v>390.4209999999989</c:v>
                </c:pt>
                <c:pt idx="2140">
                  <c:v>390.588</c:v>
                </c:pt>
                <c:pt idx="2141">
                  <c:v>390.755</c:v>
                </c:pt>
                <c:pt idx="2142">
                  <c:v>390.9209999999989</c:v>
                </c:pt>
                <c:pt idx="2143">
                  <c:v>391.089</c:v>
                </c:pt>
                <c:pt idx="2144">
                  <c:v>391.2579999999999</c:v>
                </c:pt>
                <c:pt idx="2145">
                  <c:v>391.4299999999996</c:v>
                </c:pt>
                <c:pt idx="2146">
                  <c:v>391.598</c:v>
                </c:pt>
                <c:pt idx="2147">
                  <c:v>391.7629999999999</c:v>
                </c:pt>
                <c:pt idx="2148">
                  <c:v>391.9259999999989</c:v>
                </c:pt>
                <c:pt idx="2149">
                  <c:v>392.09</c:v>
                </c:pt>
                <c:pt idx="2150">
                  <c:v>392.257</c:v>
                </c:pt>
                <c:pt idx="2151">
                  <c:v>392.4239999999986</c:v>
                </c:pt>
                <c:pt idx="2152">
                  <c:v>392.595</c:v>
                </c:pt>
                <c:pt idx="2153">
                  <c:v>392.765</c:v>
                </c:pt>
                <c:pt idx="2154">
                  <c:v>392.9349999999989</c:v>
                </c:pt>
                <c:pt idx="2155">
                  <c:v>393.1019999999999</c:v>
                </c:pt>
                <c:pt idx="2156">
                  <c:v>393.27</c:v>
                </c:pt>
                <c:pt idx="2157">
                  <c:v>393.437</c:v>
                </c:pt>
                <c:pt idx="2158">
                  <c:v>393.6070000000001</c:v>
                </c:pt>
                <c:pt idx="2159">
                  <c:v>393.7749999999999</c:v>
                </c:pt>
                <c:pt idx="2160">
                  <c:v>393.942</c:v>
                </c:pt>
                <c:pt idx="2161">
                  <c:v>394.108</c:v>
                </c:pt>
                <c:pt idx="2162">
                  <c:v>394.274</c:v>
                </c:pt>
                <c:pt idx="2163">
                  <c:v>394.4379999999989</c:v>
                </c:pt>
                <c:pt idx="2164">
                  <c:v>394.5989999999989</c:v>
                </c:pt>
                <c:pt idx="2165">
                  <c:v>394.765</c:v>
                </c:pt>
                <c:pt idx="2166">
                  <c:v>394.932</c:v>
                </c:pt>
                <c:pt idx="2167">
                  <c:v>395.101</c:v>
                </c:pt>
                <c:pt idx="2168">
                  <c:v>395.2719999999989</c:v>
                </c:pt>
                <c:pt idx="2169">
                  <c:v>395.4429999999999</c:v>
                </c:pt>
                <c:pt idx="2170">
                  <c:v>395.613</c:v>
                </c:pt>
                <c:pt idx="2171">
                  <c:v>395.7839999999989</c:v>
                </c:pt>
                <c:pt idx="2172">
                  <c:v>395.9549999999999</c:v>
                </c:pt>
                <c:pt idx="2173">
                  <c:v>396.122</c:v>
                </c:pt>
                <c:pt idx="2174">
                  <c:v>396.2889999999989</c:v>
                </c:pt>
                <c:pt idx="2175">
                  <c:v>396.459</c:v>
                </c:pt>
                <c:pt idx="2176">
                  <c:v>396.628</c:v>
                </c:pt>
                <c:pt idx="2177">
                  <c:v>396.797</c:v>
                </c:pt>
                <c:pt idx="2178">
                  <c:v>396.968</c:v>
                </c:pt>
                <c:pt idx="2179">
                  <c:v>397.14</c:v>
                </c:pt>
                <c:pt idx="2180">
                  <c:v>397.31</c:v>
                </c:pt>
                <c:pt idx="2181">
                  <c:v>397.4809999999989</c:v>
                </c:pt>
                <c:pt idx="2182">
                  <c:v>397.65</c:v>
                </c:pt>
                <c:pt idx="2183">
                  <c:v>397.819</c:v>
                </c:pt>
                <c:pt idx="2184">
                  <c:v>397.9879999999989</c:v>
                </c:pt>
                <c:pt idx="2185">
                  <c:v>398.159</c:v>
                </c:pt>
                <c:pt idx="2186">
                  <c:v>398.327</c:v>
                </c:pt>
                <c:pt idx="2187">
                  <c:v>398.497</c:v>
                </c:pt>
                <c:pt idx="2188">
                  <c:v>398.665</c:v>
                </c:pt>
                <c:pt idx="2189">
                  <c:v>398.833</c:v>
                </c:pt>
                <c:pt idx="2190">
                  <c:v>399.0009999999999</c:v>
                </c:pt>
                <c:pt idx="2191">
                  <c:v>399.168</c:v>
                </c:pt>
                <c:pt idx="2192">
                  <c:v>399.3369999999989</c:v>
                </c:pt>
                <c:pt idx="2193">
                  <c:v>399.503</c:v>
                </c:pt>
                <c:pt idx="2194">
                  <c:v>399.671</c:v>
                </c:pt>
                <c:pt idx="2195">
                  <c:v>399.841</c:v>
                </c:pt>
                <c:pt idx="2196">
                  <c:v>400.0079999999999</c:v>
                </c:pt>
                <c:pt idx="2197">
                  <c:v>400.176</c:v>
                </c:pt>
                <c:pt idx="2198">
                  <c:v>400.343</c:v>
                </c:pt>
                <c:pt idx="2199">
                  <c:v>400.5079999999999</c:v>
                </c:pt>
                <c:pt idx="2200">
                  <c:v>400.678</c:v>
                </c:pt>
                <c:pt idx="2201">
                  <c:v>400.849</c:v>
                </c:pt>
                <c:pt idx="2202">
                  <c:v>401.0179999999999</c:v>
                </c:pt>
                <c:pt idx="2203">
                  <c:v>401.188</c:v>
                </c:pt>
                <c:pt idx="2204">
                  <c:v>401.356</c:v>
                </c:pt>
                <c:pt idx="2205">
                  <c:v>401.528</c:v>
                </c:pt>
                <c:pt idx="2206">
                  <c:v>401.699</c:v>
                </c:pt>
                <c:pt idx="2207">
                  <c:v>401.87</c:v>
                </c:pt>
                <c:pt idx="2208">
                  <c:v>402.041</c:v>
                </c:pt>
                <c:pt idx="2209">
                  <c:v>402.2119999999989</c:v>
                </c:pt>
                <c:pt idx="2210">
                  <c:v>402.3829999999999</c:v>
                </c:pt>
                <c:pt idx="2211">
                  <c:v>402.5539999999999</c:v>
                </c:pt>
                <c:pt idx="2212">
                  <c:v>402.725</c:v>
                </c:pt>
                <c:pt idx="2213">
                  <c:v>402.8969999999989</c:v>
                </c:pt>
                <c:pt idx="2214">
                  <c:v>403.067</c:v>
                </c:pt>
                <c:pt idx="2215">
                  <c:v>403.237</c:v>
                </c:pt>
                <c:pt idx="2216">
                  <c:v>403.4059999999996</c:v>
                </c:pt>
                <c:pt idx="2217">
                  <c:v>403.5779999999999</c:v>
                </c:pt>
                <c:pt idx="2218">
                  <c:v>403.747</c:v>
                </c:pt>
                <c:pt idx="2219">
                  <c:v>403.9169999999986</c:v>
                </c:pt>
                <c:pt idx="2220">
                  <c:v>404.088</c:v>
                </c:pt>
                <c:pt idx="2221">
                  <c:v>404.26</c:v>
                </c:pt>
                <c:pt idx="2222">
                  <c:v>404.4299999999996</c:v>
                </c:pt>
                <c:pt idx="2223">
                  <c:v>404.5989999999989</c:v>
                </c:pt>
                <c:pt idx="2224">
                  <c:v>404.7679999999999</c:v>
                </c:pt>
                <c:pt idx="2225">
                  <c:v>404.94</c:v>
                </c:pt>
                <c:pt idx="2226">
                  <c:v>405.111</c:v>
                </c:pt>
                <c:pt idx="2227">
                  <c:v>405.2819999999986</c:v>
                </c:pt>
                <c:pt idx="2228">
                  <c:v>405.454</c:v>
                </c:pt>
                <c:pt idx="2229">
                  <c:v>405.6259999999999</c:v>
                </c:pt>
                <c:pt idx="2230">
                  <c:v>405.7959999999989</c:v>
                </c:pt>
                <c:pt idx="2231">
                  <c:v>405.9649999999999</c:v>
                </c:pt>
                <c:pt idx="2232">
                  <c:v>406.134</c:v>
                </c:pt>
                <c:pt idx="2233">
                  <c:v>406.3039999999999</c:v>
                </c:pt>
                <c:pt idx="2234">
                  <c:v>406.4709999999992</c:v>
                </c:pt>
                <c:pt idx="2235">
                  <c:v>406.643</c:v>
                </c:pt>
                <c:pt idx="2236">
                  <c:v>406.812</c:v>
                </c:pt>
                <c:pt idx="2237">
                  <c:v>406.9829999999992</c:v>
                </c:pt>
                <c:pt idx="2238">
                  <c:v>407.151</c:v>
                </c:pt>
                <c:pt idx="2239">
                  <c:v>407.324</c:v>
                </c:pt>
                <c:pt idx="2240">
                  <c:v>407.4949999999992</c:v>
                </c:pt>
                <c:pt idx="2241">
                  <c:v>407.664</c:v>
                </c:pt>
                <c:pt idx="2242">
                  <c:v>407.833</c:v>
                </c:pt>
                <c:pt idx="2243">
                  <c:v>408.002</c:v>
                </c:pt>
                <c:pt idx="2244">
                  <c:v>408.173</c:v>
                </c:pt>
                <c:pt idx="2245">
                  <c:v>408.3450000000001</c:v>
                </c:pt>
                <c:pt idx="2246">
                  <c:v>408.516</c:v>
                </c:pt>
                <c:pt idx="2247">
                  <c:v>408.6840000000001</c:v>
                </c:pt>
                <c:pt idx="2248">
                  <c:v>408.853</c:v>
                </c:pt>
                <c:pt idx="2249">
                  <c:v>409.024</c:v>
                </c:pt>
                <c:pt idx="2250">
                  <c:v>409.194</c:v>
                </c:pt>
                <c:pt idx="2251">
                  <c:v>409.365</c:v>
                </c:pt>
                <c:pt idx="2252">
                  <c:v>409.5369999999986</c:v>
                </c:pt>
                <c:pt idx="2253">
                  <c:v>409.708</c:v>
                </c:pt>
                <c:pt idx="2254">
                  <c:v>409.878</c:v>
                </c:pt>
                <c:pt idx="2255">
                  <c:v>410.0489999999999</c:v>
                </c:pt>
                <c:pt idx="2256">
                  <c:v>410.218</c:v>
                </c:pt>
                <c:pt idx="2257">
                  <c:v>410.3879999999999</c:v>
                </c:pt>
                <c:pt idx="2258">
                  <c:v>410.5559999999999</c:v>
                </c:pt>
                <c:pt idx="2259">
                  <c:v>410.725</c:v>
                </c:pt>
                <c:pt idx="2260">
                  <c:v>410.8929999999999</c:v>
                </c:pt>
                <c:pt idx="2261">
                  <c:v>411.064</c:v>
                </c:pt>
                <c:pt idx="2262">
                  <c:v>411.232</c:v>
                </c:pt>
                <c:pt idx="2263">
                  <c:v>411.4</c:v>
                </c:pt>
                <c:pt idx="2264">
                  <c:v>411.57</c:v>
                </c:pt>
                <c:pt idx="2265">
                  <c:v>411.737</c:v>
                </c:pt>
                <c:pt idx="2266">
                  <c:v>411.9049999999999</c:v>
                </c:pt>
                <c:pt idx="2267">
                  <c:v>412.072</c:v>
                </c:pt>
                <c:pt idx="2268">
                  <c:v>412.2389999999986</c:v>
                </c:pt>
                <c:pt idx="2269">
                  <c:v>412.41</c:v>
                </c:pt>
                <c:pt idx="2270">
                  <c:v>412.581</c:v>
                </c:pt>
                <c:pt idx="2271">
                  <c:v>412.752</c:v>
                </c:pt>
                <c:pt idx="2272">
                  <c:v>412.925</c:v>
                </c:pt>
                <c:pt idx="2273">
                  <c:v>413.0969999999986</c:v>
                </c:pt>
                <c:pt idx="2274">
                  <c:v>413.267</c:v>
                </c:pt>
                <c:pt idx="2275">
                  <c:v>413.4379999999989</c:v>
                </c:pt>
                <c:pt idx="2276">
                  <c:v>413.608</c:v>
                </c:pt>
                <c:pt idx="2277">
                  <c:v>413.78</c:v>
                </c:pt>
                <c:pt idx="2278">
                  <c:v>413.949</c:v>
                </c:pt>
                <c:pt idx="2279">
                  <c:v>414.117</c:v>
                </c:pt>
                <c:pt idx="2280">
                  <c:v>414.2839999999989</c:v>
                </c:pt>
                <c:pt idx="2281">
                  <c:v>414.4549999999999</c:v>
                </c:pt>
                <c:pt idx="2282">
                  <c:v>414.625</c:v>
                </c:pt>
                <c:pt idx="2283">
                  <c:v>414.7939999999986</c:v>
                </c:pt>
                <c:pt idx="2284">
                  <c:v>414.9619999999989</c:v>
                </c:pt>
                <c:pt idx="2285">
                  <c:v>415.128</c:v>
                </c:pt>
                <c:pt idx="2286">
                  <c:v>415.2939999999986</c:v>
                </c:pt>
                <c:pt idx="2287">
                  <c:v>415.4619999999989</c:v>
                </c:pt>
                <c:pt idx="2288">
                  <c:v>415.634</c:v>
                </c:pt>
                <c:pt idx="2289">
                  <c:v>415.8039999999999</c:v>
                </c:pt>
                <c:pt idx="2290">
                  <c:v>415.975</c:v>
                </c:pt>
                <c:pt idx="2291">
                  <c:v>416.147</c:v>
                </c:pt>
                <c:pt idx="2292">
                  <c:v>416.319</c:v>
                </c:pt>
                <c:pt idx="2293">
                  <c:v>416.49</c:v>
                </c:pt>
                <c:pt idx="2294">
                  <c:v>416.663</c:v>
                </c:pt>
                <c:pt idx="2295">
                  <c:v>416.831</c:v>
                </c:pt>
                <c:pt idx="2296">
                  <c:v>417.002</c:v>
                </c:pt>
                <c:pt idx="2297">
                  <c:v>417.171</c:v>
                </c:pt>
                <c:pt idx="2298">
                  <c:v>417.34</c:v>
                </c:pt>
                <c:pt idx="2299">
                  <c:v>417.51</c:v>
                </c:pt>
                <c:pt idx="2300">
                  <c:v>417.682</c:v>
                </c:pt>
                <c:pt idx="2301">
                  <c:v>417.85</c:v>
                </c:pt>
                <c:pt idx="2302">
                  <c:v>418.017</c:v>
                </c:pt>
                <c:pt idx="2303">
                  <c:v>418.1859999999999</c:v>
                </c:pt>
                <c:pt idx="2304">
                  <c:v>418.3519999999999</c:v>
                </c:pt>
                <c:pt idx="2305">
                  <c:v>418.517</c:v>
                </c:pt>
                <c:pt idx="2306">
                  <c:v>418.682</c:v>
                </c:pt>
                <c:pt idx="2307">
                  <c:v>418.848</c:v>
                </c:pt>
                <c:pt idx="2308">
                  <c:v>419.015</c:v>
                </c:pt>
                <c:pt idx="2309">
                  <c:v>419.1840000000001</c:v>
                </c:pt>
                <c:pt idx="2310">
                  <c:v>419.3539999999999</c:v>
                </c:pt>
                <c:pt idx="2311">
                  <c:v>419.5249999999999</c:v>
                </c:pt>
                <c:pt idx="2312">
                  <c:v>419.695</c:v>
                </c:pt>
                <c:pt idx="2313">
                  <c:v>419.866</c:v>
                </c:pt>
                <c:pt idx="2314">
                  <c:v>420.0339999999989</c:v>
                </c:pt>
                <c:pt idx="2315">
                  <c:v>420.204</c:v>
                </c:pt>
                <c:pt idx="2316">
                  <c:v>420.3759999999999</c:v>
                </c:pt>
                <c:pt idx="2317">
                  <c:v>420.548</c:v>
                </c:pt>
                <c:pt idx="2318">
                  <c:v>420.718</c:v>
                </c:pt>
                <c:pt idx="2319">
                  <c:v>420.8879999999999</c:v>
                </c:pt>
                <c:pt idx="2320">
                  <c:v>421.0559999999999</c:v>
                </c:pt>
                <c:pt idx="2321">
                  <c:v>421.223</c:v>
                </c:pt>
                <c:pt idx="2322">
                  <c:v>421.389</c:v>
                </c:pt>
                <c:pt idx="2323">
                  <c:v>421.5559999999999</c:v>
                </c:pt>
                <c:pt idx="2324">
                  <c:v>421.725</c:v>
                </c:pt>
                <c:pt idx="2325">
                  <c:v>421.8969999999989</c:v>
                </c:pt>
                <c:pt idx="2326">
                  <c:v>422.0679999999999</c:v>
                </c:pt>
                <c:pt idx="2327">
                  <c:v>422.241</c:v>
                </c:pt>
                <c:pt idx="2328">
                  <c:v>422.413</c:v>
                </c:pt>
                <c:pt idx="2329">
                  <c:v>422.581</c:v>
                </c:pt>
                <c:pt idx="2330">
                  <c:v>422.752</c:v>
                </c:pt>
                <c:pt idx="2331">
                  <c:v>422.9239999999986</c:v>
                </c:pt>
                <c:pt idx="2332">
                  <c:v>423.095</c:v>
                </c:pt>
                <c:pt idx="2333">
                  <c:v>423.264</c:v>
                </c:pt>
                <c:pt idx="2334">
                  <c:v>423.4309999999986</c:v>
                </c:pt>
                <c:pt idx="2335">
                  <c:v>423.5969999999986</c:v>
                </c:pt>
                <c:pt idx="2336">
                  <c:v>423.7629999999999</c:v>
                </c:pt>
                <c:pt idx="2337">
                  <c:v>423.9279999999989</c:v>
                </c:pt>
                <c:pt idx="2338">
                  <c:v>424.0959999999992</c:v>
                </c:pt>
                <c:pt idx="2339">
                  <c:v>424.266</c:v>
                </c:pt>
                <c:pt idx="2340">
                  <c:v>424.4349999999989</c:v>
                </c:pt>
                <c:pt idx="2341">
                  <c:v>424.605</c:v>
                </c:pt>
                <c:pt idx="2342">
                  <c:v>424.776</c:v>
                </c:pt>
                <c:pt idx="2343">
                  <c:v>424.949</c:v>
                </c:pt>
                <c:pt idx="2344">
                  <c:v>425.1190000000001</c:v>
                </c:pt>
                <c:pt idx="2345">
                  <c:v>425.29</c:v>
                </c:pt>
                <c:pt idx="2346">
                  <c:v>425.459</c:v>
                </c:pt>
                <c:pt idx="2347">
                  <c:v>425.628</c:v>
                </c:pt>
                <c:pt idx="2348">
                  <c:v>425.7989999999986</c:v>
                </c:pt>
                <c:pt idx="2349">
                  <c:v>425.9689999999989</c:v>
                </c:pt>
                <c:pt idx="2350">
                  <c:v>426.14</c:v>
                </c:pt>
                <c:pt idx="2351">
                  <c:v>426.312</c:v>
                </c:pt>
                <c:pt idx="2352">
                  <c:v>426.4839999999986</c:v>
                </c:pt>
                <c:pt idx="2353">
                  <c:v>426.653</c:v>
                </c:pt>
                <c:pt idx="2354">
                  <c:v>426.822</c:v>
                </c:pt>
                <c:pt idx="2355">
                  <c:v>426.9889999999986</c:v>
                </c:pt>
                <c:pt idx="2356">
                  <c:v>427.1569999999999</c:v>
                </c:pt>
                <c:pt idx="2357">
                  <c:v>427.326</c:v>
                </c:pt>
                <c:pt idx="2358">
                  <c:v>427.497</c:v>
                </c:pt>
                <c:pt idx="2359">
                  <c:v>427.67</c:v>
                </c:pt>
                <c:pt idx="2360">
                  <c:v>427.843</c:v>
                </c:pt>
                <c:pt idx="2361">
                  <c:v>428.015</c:v>
                </c:pt>
                <c:pt idx="2362">
                  <c:v>428.185</c:v>
                </c:pt>
                <c:pt idx="2363">
                  <c:v>428.355</c:v>
                </c:pt>
                <c:pt idx="2364">
                  <c:v>428.524</c:v>
                </c:pt>
                <c:pt idx="2365">
                  <c:v>428.696</c:v>
                </c:pt>
                <c:pt idx="2366">
                  <c:v>428.867</c:v>
                </c:pt>
                <c:pt idx="2367">
                  <c:v>429.0339999999989</c:v>
                </c:pt>
                <c:pt idx="2368">
                  <c:v>429.201</c:v>
                </c:pt>
                <c:pt idx="2369">
                  <c:v>429.3709999999999</c:v>
                </c:pt>
                <c:pt idx="2370">
                  <c:v>429.54</c:v>
                </c:pt>
                <c:pt idx="2371">
                  <c:v>429.7069999999989</c:v>
                </c:pt>
                <c:pt idx="2372">
                  <c:v>429.879</c:v>
                </c:pt>
                <c:pt idx="2373">
                  <c:v>430.0489999999999</c:v>
                </c:pt>
                <c:pt idx="2374">
                  <c:v>430.2219999999986</c:v>
                </c:pt>
                <c:pt idx="2375">
                  <c:v>430.3929999999999</c:v>
                </c:pt>
                <c:pt idx="2376">
                  <c:v>430.5659999999999</c:v>
                </c:pt>
                <c:pt idx="2377">
                  <c:v>430.737</c:v>
                </c:pt>
                <c:pt idx="2378">
                  <c:v>430.9089999999989</c:v>
                </c:pt>
                <c:pt idx="2379">
                  <c:v>431.08</c:v>
                </c:pt>
                <c:pt idx="2380">
                  <c:v>431.2509999999999</c:v>
                </c:pt>
                <c:pt idx="2381">
                  <c:v>431.4229999999989</c:v>
                </c:pt>
                <c:pt idx="2382">
                  <c:v>431.5969999999986</c:v>
                </c:pt>
                <c:pt idx="2383">
                  <c:v>431.7719999999989</c:v>
                </c:pt>
                <c:pt idx="2384">
                  <c:v>431.944</c:v>
                </c:pt>
                <c:pt idx="2385">
                  <c:v>432.116</c:v>
                </c:pt>
                <c:pt idx="2386">
                  <c:v>432.2889999999989</c:v>
                </c:pt>
                <c:pt idx="2387">
                  <c:v>432.4569999999989</c:v>
                </c:pt>
                <c:pt idx="2388">
                  <c:v>432.6259999999999</c:v>
                </c:pt>
                <c:pt idx="2389">
                  <c:v>432.7959999999989</c:v>
                </c:pt>
                <c:pt idx="2390">
                  <c:v>432.966</c:v>
                </c:pt>
                <c:pt idx="2391">
                  <c:v>433.137</c:v>
                </c:pt>
                <c:pt idx="2392">
                  <c:v>433.302</c:v>
                </c:pt>
                <c:pt idx="2393">
                  <c:v>433.4689999999989</c:v>
                </c:pt>
                <c:pt idx="2394">
                  <c:v>433.636</c:v>
                </c:pt>
                <c:pt idx="2395">
                  <c:v>433.8059999999999</c:v>
                </c:pt>
                <c:pt idx="2396">
                  <c:v>433.973</c:v>
                </c:pt>
                <c:pt idx="2397">
                  <c:v>434.139</c:v>
                </c:pt>
                <c:pt idx="2398">
                  <c:v>434.3059999999999</c:v>
                </c:pt>
                <c:pt idx="2399">
                  <c:v>434.475</c:v>
                </c:pt>
                <c:pt idx="2400">
                  <c:v>434.644</c:v>
                </c:pt>
                <c:pt idx="2401">
                  <c:v>434.812</c:v>
                </c:pt>
                <c:pt idx="2402">
                  <c:v>434.9789999999986</c:v>
                </c:pt>
                <c:pt idx="2403">
                  <c:v>435.147</c:v>
                </c:pt>
                <c:pt idx="2404">
                  <c:v>435.314</c:v>
                </c:pt>
                <c:pt idx="2405">
                  <c:v>435.48</c:v>
                </c:pt>
                <c:pt idx="2406">
                  <c:v>435.65</c:v>
                </c:pt>
                <c:pt idx="2407">
                  <c:v>435.819</c:v>
                </c:pt>
                <c:pt idx="2408">
                  <c:v>435.99</c:v>
                </c:pt>
                <c:pt idx="2409">
                  <c:v>436.16</c:v>
                </c:pt>
                <c:pt idx="2410">
                  <c:v>436.327</c:v>
                </c:pt>
                <c:pt idx="2411">
                  <c:v>436.4929999999989</c:v>
                </c:pt>
                <c:pt idx="2412">
                  <c:v>436.663</c:v>
                </c:pt>
                <c:pt idx="2413">
                  <c:v>436.83</c:v>
                </c:pt>
                <c:pt idx="2414">
                  <c:v>436.9979999999989</c:v>
                </c:pt>
                <c:pt idx="2415">
                  <c:v>437.17</c:v>
                </c:pt>
                <c:pt idx="2416">
                  <c:v>437.341</c:v>
                </c:pt>
                <c:pt idx="2417">
                  <c:v>437.5129999999999</c:v>
                </c:pt>
                <c:pt idx="2418">
                  <c:v>437.685</c:v>
                </c:pt>
                <c:pt idx="2419">
                  <c:v>437.8519999999999</c:v>
                </c:pt>
                <c:pt idx="2420">
                  <c:v>438.0179999999999</c:v>
                </c:pt>
                <c:pt idx="2421">
                  <c:v>438.185</c:v>
                </c:pt>
                <c:pt idx="2422">
                  <c:v>438.355</c:v>
                </c:pt>
                <c:pt idx="2423">
                  <c:v>438.521</c:v>
                </c:pt>
                <c:pt idx="2424">
                  <c:v>438.687</c:v>
                </c:pt>
                <c:pt idx="2425">
                  <c:v>438.8539999999999</c:v>
                </c:pt>
                <c:pt idx="2426">
                  <c:v>439.023</c:v>
                </c:pt>
                <c:pt idx="2427">
                  <c:v>439.1909999999999</c:v>
                </c:pt>
                <c:pt idx="2428">
                  <c:v>439.3519999999999</c:v>
                </c:pt>
                <c:pt idx="2429">
                  <c:v>439.512</c:v>
                </c:pt>
                <c:pt idx="2430">
                  <c:v>439.676</c:v>
                </c:pt>
                <c:pt idx="2431">
                  <c:v>439.839</c:v>
                </c:pt>
                <c:pt idx="2432">
                  <c:v>440.004</c:v>
                </c:pt>
                <c:pt idx="2433">
                  <c:v>440.1669999999999</c:v>
                </c:pt>
                <c:pt idx="2434">
                  <c:v>440.3319999999989</c:v>
                </c:pt>
                <c:pt idx="2435">
                  <c:v>440.5</c:v>
                </c:pt>
                <c:pt idx="2436">
                  <c:v>440.6689999999999</c:v>
                </c:pt>
                <c:pt idx="2437">
                  <c:v>440.841</c:v>
                </c:pt>
                <c:pt idx="2438">
                  <c:v>441.011</c:v>
                </c:pt>
                <c:pt idx="2439">
                  <c:v>441.178</c:v>
                </c:pt>
                <c:pt idx="2440">
                  <c:v>441.344</c:v>
                </c:pt>
                <c:pt idx="2441">
                  <c:v>441.51</c:v>
                </c:pt>
                <c:pt idx="2442">
                  <c:v>441.678</c:v>
                </c:pt>
                <c:pt idx="2443">
                  <c:v>441.8419999999999</c:v>
                </c:pt>
                <c:pt idx="2444">
                  <c:v>442.004</c:v>
                </c:pt>
                <c:pt idx="2445">
                  <c:v>442.168</c:v>
                </c:pt>
                <c:pt idx="2446">
                  <c:v>442.336</c:v>
                </c:pt>
                <c:pt idx="2447">
                  <c:v>442.5009999999999</c:v>
                </c:pt>
                <c:pt idx="2448">
                  <c:v>442.6669999999999</c:v>
                </c:pt>
                <c:pt idx="2449">
                  <c:v>442.833</c:v>
                </c:pt>
                <c:pt idx="2450">
                  <c:v>443.002</c:v>
                </c:pt>
                <c:pt idx="2451">
                  <c:v>443.1720000000001</c:v>
                </c:pt>
                <c:pt idx="2452">
                  <c:v>443.3419999999999</c:v>
                </c:pt>
                <c:pt idx="2453">
                  <c:v>443.512</c:v>
                </c:pt>
                <c:pt idx="2454">
                  <c:v>443.682</c:v>
                </c:pt>
                <c:pt idx="2455">
                  <c:v>443.8519999999999</c:v>
                </c:pt>
                <c:pt idx="2456">
                  <c:v>444.019</c:v>
                </c:pt>
                <c:pt idx="2457">
                  <c:v>444.1840000000001</c:v>
                </c:pt>
                <c:pt idx="2458">
                  <c:v>444.35</c:v>
                </c:pt>
                <c:pt idx="2459">
                  <c:v>444.517</c:v>
                </c:pt>
                <c:pt idx="2460">
                  <c:v>444.683</c:v>
                </c:pt>
                <c:pt idx="2461">
                  <c:v>444.848</c:v>
                </c:pt>
                <c:pt idx="2462">
                  <c:v>445.011</c:v>
                </c:pt>
                <c:pt idx="2463">
                  <c:v>445.175</c:v>
                </c:pt>
                <c:pt idx="2464">
                  <c:v>445.339</c:v>
                </c:pt>
                <c:pt idx="2465">
                  <c:v>445.502</c:v>
                </c:pt>
                <c:pt idx="2466">
                  <c:v>445.666</c:v>
                </c:pt>
                <c:pt idx="2467">
                  <c:v>445.833</c:v>
                </c:pt>
                <c:pt idx="2468">
                  <c:v>445.9959999999986</c:v>
                </c:pt>
                <c:pt idx="2469">
                  <c:v>446.16</c:v>
                </c:pt>
                <c:pt idx="2470">
                  <c:v>446.327</c:v>
                </c:pt>
                <c:pt idx="2471">
                  <c:v>446.494</c:v>
                </c:pt>
                <c:pt idx="2472">
                  <c:v>446.66</c:v>
                </c:pt>
                <c:pt idx="2473">
                  <c:v>446.827</c:v>
                </c:pt>
                <c:pt idx="2474">
                  <c:v>446.992</c:v>
                </c:pt>
                <c:pt idx="2475">
                  <c:v>447.158</c:v>
                </c:pt>
                <c:pt idx="2476">
                  <c:v>447.324</c:v>
                </c:pt>
                <c:pt idx="2477">
                  <c:v>447.4909999999986</c:v>
                </c:pt>
                <c:pt idx="2478">
                  <c:v>447.6569999999999</c:v>
                </c:pt>
                <c:pt idx="2479">
                  <c:v>447.8229999999999</c:v>
                </c:pt>
                <c:pt idx="2480">
                  <c:v>447.9879999999989</c:v>
                </c:pt>
                <c:pt idx="2481">
                  <c:v>448.154</c:v>
                </c:pt>
                <c:pt idx="2482">
                  <c:v>448.3179999999999</c:v>
                </c:pt>
                <c:pt idx="2483">
                  <c:v>448.482</c:v>
                </c:pt>
                <c:pt idx="2484">
                  <c:v>448.648</c:v>
                </c:pt>
                <c:pt idx="2485">
                  <c:v>448.813</c:v>
                </c:pt>
                <c:pt idx="2486">
                  <c:v>448.978</c:v>
                </c:pt>
                <c:pt idx="2487">
                  <c:v>449.143</c:v>
                </c:pt>
                <c:pt idx="2488">
                  <c:v>449.3090000000001</c:v>
                </c:pt>
                <c:pt idx="2489">
                  <c:v>449.475</c:v>
                </c:pt>
                <c:pt idx="2490">
                  <c:v>449.644</c:v>
                </c:pt>
                <c:pt idx="2491">
                  <c:v>449.812</c:v>
                </c:pt>
                <c:pt idx="2492">
                  <c:v>449.9829999999992</c:v>
                </c:pt>
                <c:pt idx="2493">
                  <c:v>450.151</c:v>
                </c:pt>
                <c:pt idx="2494">
                  <c:v>450.3159999999999</c:v>
                </c:pt>
                <c:pt idx="2495">
                  <c:v>450.482</c:v>
                </c:pt>
                <c:pt idx="2496">
                  <c:v>450.646</c:v>
                </c:pt>
                <c:pt idx="2497">
                  <c:v>450.81</c:v>
                </c:pt>
                <c:pt idx="2498">
                  <c:v>450.9739999999989</c:v>
                </c:pt>
                <c:pt idx="2499">
                  <c:v>451.139</c:v>
                </c:pt>
                <c:pt idx="2500">
                  <c:v>451.308</c:v>
                </c:pt>
                <c:pt idx="2501">
                  <c:v>451.4769999999986</c:v>
                </c:pt>
                <c:pt idx="2502">
                  <c:v>451.646</c:v>
                </c:pt>
                <c:pt idx="2503">
                  <c:v>451.813</c:v>
                </c:pt>
                <c:pt idx="2504">
                  <c:v>451.98</c:v>
                </c:pt>
                <c:pt idx="2505">
                  <c:v>452.149</c:v>
                </c:pt>
                <c:pt idx="2506">
                  <c:v>452.317</c:v>
                </c:pt>
                <c:pt idx="2507">
                  <c:v>452.4839999999986</c:v>
                </c:pt>
                <c:pt idx="2508">
                  <c:v>452.651</c:v>
                </c:pt>
                <c:pt idx="2509">
                  <c:v>452.8179999999999</c:v>
                </c:pt>
                <c:pt idx="2510">
                  <c:v>452.985</c:v>
                </c:pt>
                <c:pt idx="2511">
                  <c:v>453.149</c:v>
                </c:pt>
                <c:pt idx="2512">
                  <c:v>453.314</c:v>
                </c:pt>
                <c:pt idx="2513">
                  <c:v>453.4809999999989</c:v>
                </c:pt>
                <c:pt idx="2514">
                  <c:v>453.649</c:v>
                </c:pt>
                <c:pt idx="2515">
                  <c:v>453.8179999999999</c:v>
                </c:pt>
                <c:pt idx="2516">
                  <c:v>453.9859999999989</c:v>
                </c:pt>
                <c:pt idx="2517">
                  <c:v>454.152</c:v>
                </c:pt>
                <c:pt idx="2518">
                  <c:v>454.317</c:v>
                </c:pt>
                <c:pt idx="2519">
                  <c:v>454.4839999999986</c:v>
                </c:pt>
                <c:pt idx="2520">
                  <c:v>454.651</c:v>
                </c:pt>
                <c:pt idx="2521">
                  <c:v>454.817</c:v>
                </c:pt>
                <c:pt idx="2522">
                  <c:v>454.9829999999992</c:v>
                </c:pt>
                <c:pt idx="2523">
                  <c:v>455.148</c:v>
                </c:pt>
                <c:pt idx="2524">
                  <c:v>455.314</c:v>
                </c:pt>
                <c:pt idx="2525">
                  <c:v>455.4809999999989</c:v>
                </c:pt>
                <c:pt idx="2526">
                  <c:v>455.646</c:v>
                </c:pt>
                <c:pt idx="2527">
                  <c:v>455.813</c:v>
                </c:pt>
                <c:pt idx="2528">
                  <c:v>455.9809999999989</c:v>
                </c:pt>
                <c:pt idx="2529">
                  <c:v>456.148</c:v>
                </c:pt>
                <c:pt idx="2530">
                  <c:v>456.315</c:v>
                </c:pt>
                <c:pt idx="2531">
                  <c:v>456.4839999999986</c:v>
                </c:pt>
                <c:pt idx="2532">
                  <c:v>456.654</c:v>
                </c:pt>
                <c:pt idx="2533">
                  <c:v>456.821</c:v>
                </c:pt>
                <c:pt idx="2534">
                  <c:v>456.987</c:v>
                </c:pt>
                <c:pt idx="2535">
                  <c:v>457.153</c:v>
                </c:pt>
                <c:pt idx="2536">
                  <c:v>457.317</c:v>
                </c:pt>
                <c:pt idx="2537">
                  <c:v>457.48</c:v>
                </c:pt>
                <c:pt idx="2538">
                  <c:v>457.641</c:v>
                </c:pt>
                <c:pt idx="2539">
                  <c:v>457.803</c:v>
                </c:pt>
                <c:pt idx="2540">
                  <c:v>457.968</c:v>
                </c:pt>
                <c:pt idx="2541">
                  <c:v>458.13</c:v>
                </c:pt>
                <c:pt idx="2542">
                  <c:v>458.297</c:v>
                </c:pt>
                <c:pt idx="2543">
                  <c:v>458.4669999999986</c:v>
                </c:pt>
                <c:pt idx="2544">
                  <c:v>458.637</c:v>
                </c:pt>
                <c:pt idx="2545">
                  <c:v>458.808</c:v>
                </c:pt>
                <c:pt idx="2546">
                  <c:v>458.9769999999986</c:v>
                </c:pt>
                <c:pt idx="2547">
                  <c:v>459.145</c:v>
                </c:pt>
                <c:pt idx="2548">
                  <c:v>459.313</c:v>
                </c:pt>
                <c:pt idx="2549">
                  <c:v>459.4809999999989</c:v>
                </c:pt>
                <c:pt idx="2550">
                  <c:v>459.647</c:v>
                </c:pt>
                <c:pt idx="2551">
                  <c:v>459.814</c:v>
                </c:pt>
                <c:pt idx="2552">
                  <c:v>459.9829999999992</c:v>
                </c:pt>
                <c:pt idx="2553">
                  <c:v>460.15</c:v>
                </c:pt>
                <c:pt idx="2554">
                  <c:v>460.3159999999999</c:v>
                </c:pt>
                <c:pt idx="2555">
                  <c:v>460.482</c:v>
                </c:pt>
                <c:pt idx="2556">
                  <c:v>460.649</c:v>
                </c:pt>
                <c:pt idx="2557">
                  <c:v>460.8159999999999</c:v>
                </c:pt>
                <c:pt idx="2558">
                  <c:v>460.985</c:v>
                </c:pt>
                <c:pt idx="2559">
                  <c:v>461.153</c:v>
                </c:pt>
                <c:pt idx="2560">
                  <c:v>461.3229999999999</c:v>
                </c:pt>
                <c:pt idx="2561">
                  <c:v>461.4929999999989</c:v>
                </c:pt>
                <c:pt idx="2562">
                  <c:v>461.659</c:v>
                </c:pt>
                <c:pt idx="2563">
                  <c:v>461.8229999999999</c:v>
                </c:pt>
                <c:pt idx="2564">
                  <c:v>461.9859999999989</c:v>
                </c:pt>
                <c:pt idx="2565">
                  <c:v>462.149</c:v>
                </c:pt>
                <c:pt idx="2566">
                  <c:v>462.312</c:v>
                </c:pt>
                <c:pt idx="2567">
                  <c:v>462.48</c:v>
                </c:pt>
                <c:pt idx="2568">
                  <c:v>462.65</c:v>
                </c:pt>
                <c:pt idx="2569">
                  <c:v>462.817</c:v>
                </c:pt>
                <c:pt idx="2570">
                  <c:v>462.985</c:v>
                </c:pt>
                <c:pt idx="2571">
                  <c:v>463.154</c:v>
                </c:pt>
                <c:pt idx="2572">
                  <c:v>463.325</c:v>
                </c:pt>
                <c:pt idx="2573">
                  <c:v>463.4949999999992</c:v>
                </c:pt>
                <c:pt idx="2574">
                  <c:v>463.6619999999999</c:v>
                </c:pt>
                <c:pt idx="2575">
                  <c:v>463.83</c:v>
                </c:pt>
                <c:pt idx="2576">
                  <c:v>463.9979999999989</c:v>
                </c:pt>
                <c:pt idx="2577">
                  <c:v>464.1689999999999</c:v>
                </c:pt>
                <c:pt idx="2578">
                  <c:v>464.34</c:v>
                </c:pt>
                <c:pt idx="2579">
                  <c:v>464.505</c:v>
                </c:pt>
                <c:pt idx="2580">
                  <c:v>464.666</c:v>
                </c:pt>
                <c:pt idx="2581">
                  <c:v>464.827</c:v>
                </c:pt>
                <c:pt idx="2582">
                  <c:v>464.9909999999986</c:v>
                </c:pt>
                <c:pt idx="2583">
                  <c:v>465.156</c:v>
                </c:pt>
                <c:pt idx="2584">
                  <c:v>465.321</c:v>
                </c:pt>
                <c:pt idx="2585">
                  <c:v>465.4879999999989</c:v>
                </c:pt>
                <c:pt idx="2586">
                  <c:v>465.655</c:v>
                </c:pt>
                <c:pt idx="2587">
                  <c:v>465.821</c:v>
                </c:pt>
                <c:pt idx="2588">
                  <c:v>465.987</c:v>
                </c:pt>
                <c:pt idx="2589">
                  <c:v>466.151</c:v>
                </c:pt>
                <c:pt idx="2590">
                  <c:v>466.3179999999999</c:v>
                </c:pt>
                <c:pt idx="2591">
                  <c:v>466.485</c:v>
                </c:pt>
                <c:pt idx="2592">
                  <c:v>466.65</c:v>
                </c:pt>
                <c:pt idx="2593">
                  <c:v>466.817</c:v>
                </c:pt>
                <c:pt idx="2594">
                  <c:v>466.9839999999986</c:v>
                </c:pt>
                <c:pt idx="2595">
                  <c:v>467.15</c:v>
                </c:pt>
                <c:pt idx="2596">
                  <c:v>467.321</c:v>
                </c:pt>
                <c:pt idx="2597">
                  <c:v>467.4909999999986</c:v>
                </c:pt>
                <c:pt idx="2598">
                  <c:v>467.661</c:v>
                </c:pt>
                <c:pt idx="2599">
                  <c:v>467.8279999999999</c:v>
                </c:pt>
                <c:pt idx="2600">
                  <c:v>467.9959999999986</c:v>
                </c:pt>
                <c:pt idx="2601">
                  <c:v>468.165</c:v>
                </c:pt>
                <c:pt idx="2602">
                  <c:v>468.3349999999999</c:v>
                </c:pt>
                <c:pt idx="2603">
                  <c:v>468.505</c:v>
                </c:pt>
                <c:pt idx="2604">
                  <c:v>468.676</c:v>
                </c:pt>
                <c:pt idx="2605">
                  <c:v>468.8450000000001</c:v>
                </c:pt>
                <c:pt idx="2606">
                  <c:v>469.014</c:v>
                </c:pt>
                <c:pt idx="2607">
                  <c:v>469.1840000000001</c:v>
                </c:pt>
                <c:pt idx="2608">
                  <c:v>469.353</c:v>
                </c:pt>
                <c:pt idx="2609">
                  <c:v>469.52</c:v>
                </c:pt>
                <c:pt idx="2610">
                  <c:v>469.687</c:v>
                </c:pt>
                <c:pt idx="2611">
                  <c:v>469.853</c:v>
                </c:pt>
                <c:pt idx="2612">
                  <c:v>470.0219999999989</c:v>
                </c:pt>
                <c:pt idx="2613">
                  <c:v>470.1909999999999</c:v>
                </c:pt>
                <c:pt idx="2614">
                  <c:v>470.363</c:v>
                </c:pt>
                <c:pt idx="2615">
                  <c:v>470.5339999999989</c:v>
                </c:pt>
                <c:pt idx="2616">
                  <c:v>470.7049999999999</c:v>
                </c:pt>
                <c:pt idx="2617">
                  <c:v>470.874</c:v>
                </c:pt>
                <c:pt idx="2618">
                  <c:v>471.0389999999989</c:v>
                </c:pt>
                <c:pt idx="2619">
                  <c:v>471.2029999999999</c:v>
                </c:pt>
                <c:pt idx="2620">
                  <c:v>471.366</c:v>
                </c:pt>
                <c:pt idx="2621">
                  <c:v>471.5269999999986</c:v>
                </c:pt>
                <c:pt idx="2622">
                  <c:v>471.689</c:v>
                </c:pt>
                <c:pt idx="2623">
                  <c:v>471.85</c:v>
                </c:pt>
                <c:pt idx="2624">
                  <c:v>472.0129999999999</c:v>
                </c:pt>
                <c:pt idx="2625">
                  <c:v>472.176</c:v>
                </c:pt>
                <c:pt idx="2626">
                  <c:v>472.34</c:v>
                </c:pt>
                <c:pt idx="2627">
                  <c:v>472.5009999999999</c:v>
                </c:pt>
                <c:pt idx="2628">
                  <c:v>472.666</c:v>
                </c:pt>
                <c:pt idx="2629">
                  <c:v>472.838</c:v>
                </c:pt>
                <c:pt idx="2630">
                  <c:v>473.011</c:v>
                </c:pt>
                <c:pt idx="2631">
                  <c:v>473.1859999999999</c:v>
                </c:pt>
                <c:pt idx="2632">
                  <c:v>473.3589999999999</c:v>
                </c:pt>
                <c:pt idx="2633">
                  <c:v>473.53</c:v>
                </c:pt>
                <c:pt idx="2634">
                  <c:v>473.7</c:v>
                </c:pt>
                <c:pt idx="2635">
                  <c:v>473.87</c:v>
                </c:pt>
                <c:pt idx="2636">
                  <c:v>474.043</c:v>
                </c:pt>
                <c:pt idx="2637">
                  <c:v>474.213</c:v>
                </c:pt>
                <c:pt idx="2638">
                  <c:v>474.3809999999999</c:v>
                </c:pt>
                <c:pt idx="2639">
                  <c:v>474.5489999999999</c:v>
                </c:pt>
                <c:pt idx="2640">
                  <c:v>474.7149999999999</c:v>
                </c:pt>
                <c:pt idx="2641">
                  <c:v>474.8809999999999</c:v>
                </c:pt>
                <c:pt idx="2642">
                  <c:v>475.0419999999999</c:v>
                </c:pt>
                <c:pt idx="2643">
                  <c:v>475.204</c:v>
                </c:pt>
                <c:pt idx="2644">
                  <c:v>475.3690000000001</c:v>
                </c:pt>
                <c:pt idx="2645">
                  <c:v>475.5369999999986</c:v>
                </c:pt>
                <c:pt idx="2646">
                  <c:v>475.706</c:v>
                </c:pt>
                <c:pt idx="2647">
                  <c:v>475.873</c:v>
                </c:pt>
                <c:pt idx="2648">
                  <c:v>476.041</c:v>
                </c:pt>
                <c:pt idx="2649">
                  <c:v>476.2119999999989</c:v>
                </c:pt>
                <c:pt idx="2650">
                  <c:v>476.3809999999999</c:v>
                </c:pt>
                <c:pt idx="2651">
                  <c:v>476.551</c:v>
                </c:pt>
                <c:pt idx="2652">
                  <c:v>476.7209999999992</c:v>
                </c:pt>
                <c:pt idx="2653">
                  <c:v>476.89</c:v>
                </c:pt>
                <c:pt idx="2654">
                  <c:v>477.0609999999999</c:v>
                </c:pt>
                <c:pt idx="2655">
                  <c:v>477.23</c:v>
                </c:pt>
                <c:pt idx="2656">
                  <c:v>477.398</c:v>
                </c:pt>
                <c:pt idx="2657">
                  <c:v>477.5679999999999</c:v>
                </c:pt>
                <c:pt idx="2658">
                  <c:v>477.7379999999989</c:v>
                </c:pt>
                <c:pt idx="2659">
                  <c:v>477.9059999999996</c:v>
                </c:pt>
                <c:pt idx="2660">
                  <c:v>478.07</c:v>
                </c:pt>
                <c:pt idx="2661">
                  <c:v>478.232</c:v>
                </c:pt>
                <c:pt idx="2662">
                  <c:v>478.3969999999989</c:v>
                </c:pt>
                <c:pt idx="2663">
                  <c:v>478.5679999999999</c:v>
                </c:pt>
                <c:pt idx="2664">
                  <c:v>478.741</c:v>
                </c:pt>
                <c:pt idx="2665">
                  <c:v>478.91</c:v>
                </c:pt>
                <c:pt idx="2666">
                  <c:v>479.081</c:v>
                </c:pt>
                <c:pt idx="2667">
                  <c:v>479.249</c:v>
                </c:pt>
                <c:pt idx="2668">
                  <c:v>479.4189999999986</c:v>
                </c:pt>
                <c:pt idx="2669">
                  <c:v>479.586</c:v>
                </c:pt>
                <c:pt idx="2670">
                  <c:v>479.755</c:v>
                </c:pt>
                <c:pt idx="2671">
                  <c:v>479.922</c:v>
                </c:pt>
                <c:pt idx="2672">
                  <c:v>480.0869999999989</c:v>
                </c:pt>
                <c:pt idx="2673">
                  <c:v>480.254</c:v>
                </c:pt>
                <c:pt idx="2674">
                  <c:v>480.422</c:v>
                </c:pt>
                <c:pt idx="2675">
                  <c:v>480.5919999999986</c:v>
                </c:pt>
                <c:pt idx="2676">
                  <c:v>480.762</c:v>
                </c:pt>
                <c:pt idx="2677">
                  <c:v>480.932</c:v>
                </c:pt>
                <c:pt idx="2678">
                  <c:v>481.098</c:v>
                </c:pt>
                <c:pt idx="2679">
                  <c:v>481.266</c:v>
                </c:pt>
                <c:pt idx="2680">
                  <c:v>481.434</c:v>
                </c:pt>
                <c:pt idx="2681">
                  <c:v>481.603</c:v>
                </c:pt>
                <c:pt idx="2682">
                  <c:v>481.7719999999989</c:v>
                </c:pt>
                <c:pt idx="2683">
                  <c:v>481.94</c:v>
                </c:pt>
                <c:pt idx="2684">
                  <c:v>482.1089999999999</c:v>
                </c:pt>
                <c:pt idx="2685">
                  <c:v>482.2809999999996</c:v>
                </c:pt>
                <c:pt idx="2686">
                  <c:v>482.452</c:v>
                </c:pt>
                <c:pt idx="2687">
                  <c:v>482.623</c:v>
                </c:pt>
                <c:pt idx="2688">
                  <c:v>482.7939999999986</c:v>
                </c:pt>
                <c:pt idx="2689">
                  <c:v>482.9619999999989</c:v>
                </c:pt>
                <c:pt idx="2690">
                  <c:v>483.132</c:v>
                </c:pt>
                <c:pt idx="2691">
                  <c:v>483.301</c:v>
                </c:pt>
                <c:pt idx="2692">
                  <c:v>483.4689999999989</c:v>
                </c:pt>
                <c:pt idx="2693">
                  <c:v>483.637</c:v>
                </c:pt>
                <c:pt idx="2694">
                  <c:v>483.802</c:v>
                </c:pt>
                <c:pt idx="2695">
                  <c:v>483.9689999999989</c:v>
                </c:pt>
                <c:pt idx="2696">
                  <c:v>484.1379999999999</c:v>
                </c:pt>
                <c:pt idx="2697">
                  <c:v>484.305</c:v>
                </c:pt>
                <c:pt idx="2698">
                  <c:v>484.47</c:v>
                </c:pt>
                <c:pt idx="2699">
                  <c:v>484.634</c:v>
                </c:pt>
                <c:pt idx="2700">
                  <c:v>484.7989999999986</c:v>
                </c:pt>
                <c:pt idx="2701">
                  <c:v>484.9649999999999</c:v>
                </c:pt>
                <c:pt idx="2702">
                  <c:v>485.13</c:v>
                </c:pt>
                <c:pt idx="2703">
                  <c:v>485.297</c:v>
                </c:pt>
                <c:pt idx="2704">
                  <c:v>485.463</c:v>
                </c:pt>
                <c:pt idx="2705">
                  <c:v>485.628</c:v>
                </c:pt>
                <c:pt idx="2706">
                  <c:v>485.7939999999986</c:v>
                </c:pt>
                <c:pt idx="2707">
                  <c:v>485.9619999999989</c:v>
                </c:pt>
                <c:pt idx="2708">
                  <c:v>486.132</c:v>
                </c:pt>
                <c:pt idx="2709">
                  <c:v>486.297</c:v>
                </c:pt>
                <c:pt idx="2710">
                  <c:v>486.461</c:v>
                </c:pt>
                <c:pt idx="2711">
                  <c:v>486.6259999999999</c:v>
                </c:pt>
                <c:pt idx="2712">
                  <c:v>486.7939999999986</c:v>
                </c:pt>
                <c:pt idx="2713">
                  <c:v>486.9619999999989</c:v>
                </c:pt>
                <c:pt idx="2714">
                  <c:v>487.132</c:v>
                </c:pt>
                <c:pt idx="2715">
                  <c:v>487.3039999999999</c:v>
                </c:pt>
                <c:pt idx="2716">
                  <c:v>487.4739999999989</c:v>
                </c:pt>
                <c:pt idx="2717">
                  <c:v>487.643</c:v>
                </c:pt>
                <c:pt idx="2718">
                  <c:v>487.813</c:v>
                </c:pt>
                <c:pt idx="2719">
                  <c:v>487.9839999999986</c:v>
                </c:pt>
                <c:pt idx="2720">
                  <c:v>488.153</c:v>
                </c:pt>
                <c:pt idx="2721">
                  <c:v>488.3229999999999</c:v>
                </c:pt>
                <c:pt idx="2722">
                  <c:v>488.4909999999986</c:v>
                </c:pt>
                <c:pt idx="2723">
                  <c:v>488.6569999999999</c:v>
                </c:pt>
                <c:pt idx="2724">
                  <c:v>488.822</c:v>
                </c:pt>
                <c:pt idx="2725">
                  <c:v>488.99</c:v>
                </c:pt>
                <c:pt idx="2726">
                  <c:v>489.1569999999999</c:v>
                </c:pt>
                <c:pt idx="2727">
                  <c:v>489.324</c:v>
                </c:pt>
                <c:pt idx="2728">
                  <c:v>489.492</c:v>
                </c:pt>
                <c:pt idx="2729">
                  <c:v>489.66</c:v>
                </c:pt>
                <c:pt idx="2730">
                  <c:v>489.831</c:v>
                </c:pt>
                <c:pt idx="2731">
                  <c:v>490.0009999999999</c:v>
                </c:pt>
                <c:pt idx="2732">
                  <c:v>490.17</c:v>
                </c:pt>
                <c:pt idx="2733">
                  <c:v>490.338</c:v>
                </c:pt>
                <c:pt idx="2734">
                  <c:v>490.5059999999999</c:v>
                </c:pt>
                <c:pt idx="2735">
                  <c:v>490.6739999999999</c:v>
                </c:pt>
                <c:pt idx="2736">
                  <c:v>490.844</c:v>
                </c:pt>
                <c:pt idx="2737">
                  <c:v>491.014</c:v>
                </c:pt>
                <c:pt idx="2738">
                  <c:v>491.1840000000001</c:v>
                </c:pt>
                <c:pt idx="2739">
                  <c:v>491.3519999999999</c:v>
                </c:pt>
                <c:pt idx="2740">
                  <c:v>491.519</c:v>
                </c:pt>
                <c:pt idx="2741">
                  <c:v>491.6859999999999</c:v>
                </c:pt>
                <c:pt idx="2742">
                  <c:v>491.853</c:v>
                </c:pt>
                <c:pt idx="2743">
                  <c:v>492.019</c:v>
                </c:pt>
                <c:pt idx="2744">
                  <c:v>492.185</c:v>
                </c:pt>
                <c:pt idx="2745">
                  <c:v>492.3539999999999</c:v>
                </c:pt>
                <c:pt idx="2746">
                  <c:v>492.521</c:v>
                </c:pt>
                <c:pt idx="2747">
                  <c:v>492.689</c:v>
                </c:pt>
                <c:pt idx="2748">
                  <c:v>492.8570000000001</c:v>
                </c:pt>
                <c:pt idx="2749">
                  <c:v>493.024</c:v>
                </c:pt>
                <c:pt idx="2750">
                  <c:v>493.187</c:v>
                </c:pt>
                <c:pt idx="2751">
                  <c:v>493.348</c:v>
                </c:pt>
                <c:pt idx="2752">
                  <c:v>493.514</c:v>
                </c:pt>
                <c:pt idx="2753">
                  <c:v>493.6840000000001</c:v>
                </c:pt>
                <c:pt idx="2754">
                  <c:v>493.856</c:v>
                </c:pt>
                <c:pt idx="2755">
                  <c:v>494.026</c:v>
                </c:pt>
                <c:pt idx="2756">
                  <c:v>494.196</c:v>
                </c:pt>
                <c:pt idx="2757">
                  <c:v>494.368</c:v>
                </c:pt>
                <c:pt idx="2758">
                  <c:v>494.5359999999989</c:v>
                </c:pt>
                <c:pt idx="2759">
                  <c:v>494.7049999999999</c:v>
                </c:pt>
                <c:pt idx="2760">
                  <c:v>494.873</c:v>
                </c:pt>
                <c:pt idx="2761">
                  <c:v>495.04</c:v>
                </c:pt>
                <c:pt idx="2762">
                  <c:v>495.2069999999989</c:v>
                </c:pt>
                <c:pt idx="2763">
                  <c:v>495.375</c:v>
                </c:pt>
                <c:pt idx="2764">
                  <c:v>495.54</c:v>
                </c:pt>
                <c:pt idx="2765">
                  <c:v>495.706</c:v>
                </c:pt>
                <c:pt idx="2766">
                  <c:v>495.874</c:v>
                </c:pt>
                <c:pt idx="2767">
                  <c:v>496.041</c:v>
                </c:pt>
                <c:pt idx="2768">
                  <c:v>496.209</c:v>
                </c:pt>
                <c:pt idx="2769">
                  <c:v>496.378</c:v>
                </c:pt>
                <c:pt idx="2770">
                  <c:v>496.5470000000001</c:v>
                </c:pt>
                <c:pt idx="2771">
                  <c:v>496.714</c:v>
                </c:pt>
                <c:pt idx="2772">
                  <c:v>496.8809999999999</c:v>
                </c:pt>
                <c:pt idx="2773">
                  <c:v>497.05</c:v>
                </c:pt>
                <c:pt idx="2774">
                  <c:v>497.2189999999989</c:v>
                </c:pt>
                <c:pt idx="2775">
                  <c:v>497.387</c:v>
                </c:pt>
                <c:pt idx="2776">
                  <c:v>497.5559999999999</c:v>
                </c:pt>
                <c:pt idx="2777">
                  <c:v>497.7269999999986</c:v>
                </c:pt>
                <c:pt idx="2778">
                  <c:v>497.8969999999989</c:v>
                </c:pt>
                <c:pt idx="2779">
                  <c:v>498.064</c:v>
                </c:pt>
                <c:pt idx="2780">
                  <c:v>498.2289999999986</c:v>
                </c:pt>
                <c:pt idx="2781">
                  <c:v>498.3949999999999</c:v>
                </c:pt>
                <c:pt idx="2782">
                  <c:v>498.562</c:v>
                </c:pt>
                <c:pt idx="2783">
                  <c:v>498.73</c:v>
                </c:pt>
                <c:pt idx="2784">
                  <c:v>498.9</c:v>
                </c:pt>
                <c:pt idx="2785">
                  <c:v>499.0679999999999</c:v>
                </c:pt>
                <c:pt idx="2786">
                  <c:v>499.2359999999989</c:v>
                </c:pt>
                <c:pt idx="2787">
                  <c:v>499.4049999999999</c:v>
                </c:pt>
                <c:pt idx="2788">
                  <c:v>499.572</c:v>
                </c:pt>
                <c:pt idx="2789">
                  <c:v>499.7379999999989</c:v>
                </c:pt>
                <c:pt idx="2790">
                  <c:v>499.9049999999999</c:v>
                </c:pt>
                <c:pt idx="2791">
                  <c:v>500.0729999999999</c:v>
                </c:pt>
                <c:pt idx="2792">
                  <c:v>500.2440000000001</c:v>
                </c:pt>
                <c:pt idx="2793">
                  <c:v>500.4159999999989</c:v>
                </c:pt>
                <c:pt idx="2794">
                  <c:v>500.59</c:v>
                </c:pt>
                <c:pt idx="2795">
                  <c:v>500.761</c:v>
                </c:pt>
                <c:pt idx="2796">
                  <c:v>500.932</c:v>
                </c:pt>
                <c:pt idx="2797">
                  <c:v>501.1019999999999</c:v>
                </c:pt>
                <c:pt idx="2798">
                  <c:v>501.2749999999999</c:v>
                </c:pt>
                <c:pt idx="2799">
                  <c:v>501.446</c:v>
                </c:pt>
                <c:pt idx="2800">
                  <c:v>501.615</c:v>
                </c:pt>
                <c:pt idx="2801">
                  <c:v>501.78</c:v>
                </c:pt>
                <c:pt idx="2802">
                  <c:v>501.945</c:v>
                </c:pt>
                <c:pt idx="2803">
                  <c:v>502.11</c:v>
                </c:pt>
                <c:pt idx="2804">
                  <c:v>502.276</c:v>
                </c:pt>
                <c:pt idx="2805">
                  <c:v>502.4429999999999</c:v>
                </c:pt>
                <c:pt idx="2806">
                  <c:v>502.6139999999999</c:v>
                </c:pt>
                <c:pt idx="2807">
                  <c:v>502.7859999999989</c:v>
                </c:pt>
                <c:pt idx="2808">
                  <c:v>502.954</c:v>
                </c:pt>
                <c:pt idx="2809">
                  <c:v>503.116</c:v>
                </c:pt>
                <c:pt idx="2810">
                  <c:v>503.2819999999986</c:v>
                </c:pt>
                <c:pt idx="2811">
                  <c:v>503.45</c:v>
                </c:pt>
                <c:pt idx="2812">
                  <c:v>503.617</c:v>
                </c:pt>
                <c:pt idx="2813">
                  <c:v>503.7839999999989</c:v>
                </c:pt>
                <c:pt idx="2814">
                  <c:v>503.9549999999999</c:v>
                </c:pt>
                <c:pt idx="2815">
                  <c:v>504.124</c:v>
                </c:pt>
                <c:pt idx="2816">
                  <c:v>504.2929999999996</c:v>
                </c:pt>
                <c:pt idx="2817">
                  <c:v>504.461</c:v>
                </c:pt>
                <c:pt idx="2818">
                  <c:v>504.628</c:v>
                </c:pt>
                <c:pt idx="2819">
                  <c:v>504.797</c:v>
                </c:pt>
                <c:pt idx="2820">
                  <c:v>504.9669999999986</c:v>
                </c:pt>
                <c:pt idx="2821">
                  <c:v>505.135</c:v>
                </c:pt>
                <c:pt idx="2822">
                  <c:v>505.3039999999999</c:v>
                </c:pt>
                <c:pt idx="2823">
                  <c:v>505.4719999999986</c:v>
                </c:pt>
                <c:pt idx="2824">
                  <c:v>505.641</c:v>
                </c:pt>
                <c:pt idx="2825">
                  <c:v>505.813</c:v>
                </c:pt>
                <c:pt idx="2826">
                  <c:v>505.985</c:v>
                </c:pt>
                <c:pt idx="2827">
                  <c:v>506.158</c:v>
                </c:pt>
                <c:pt idx="2828">
                  <c:v>506.33</c:v>
                </c:pt>
                <c:pt idx="2829">
                  <c:v>506.502</c:v>
                </c:pt>
                <c:pt idx="2830">
                  <c:v>506.6739999999999</c:v>
                </c:pt>
                <c:pt idx="2831">
                  <c:v>506.844</c:v>
                </c:pt>
                <c:pt idx="2832">
                  <c:v>507.017</c:v>
                </c:pt>
                <c:pt idx="2833">
                  <c:v>507.1840000000001</c:v>
                </c:pt>
                <c:pt idx="2834">
                  <c:v>507.353</c:v>
                </c:pt>
                <c:pt idx="2835">
                  <c:v>507.523</c:v>
                </c:pt>
                <c:pt idx="2836">
                  <c:v>507.6909999999999</c:v>
                </c:pt>
                <c:pt idx="2837">
                  <c:v>507.8589999999999</c:v>
                </c:pt>
                <c:pt idx="2838">
                  <c:v>508.0269999999986</c:v>
                </c:pt>
                <c:pt idx="2839">
                  <c:v>508.197</c:v>
                </c:pt>
                <c:pt idx="2840">
                  <c:v>508.366</c:v>
                </c:pt>
                <c:pt idx="2841">
                  <c:v>508.533</c:v>
                </c:pt>
                <c:pt idx="2842">
                  <c:v>508.7029999999999</c:v>
                </c:pt>
                <c:pt idx="2843">
                  <c:v>508.872</c:v>
                </c:pt>
                <c:pt idx="2844">
                  <c:v>509.043</c:v>
                </c:pt>
                <c:pt idx="2845">
                  <c:v>509.216</c:v>
                </c:pt>
                <c:pt idx="2846">
                  <c:v>509.387</c:v>
                </c:pt>
                <c:pt idx="2847">
                  <c:v>509.557</c:v>
                </c:pt>
                <c:pt idx="2848">
                  <c:v>509.725</c:v>
                </c:pt>
                <c:pt idx="2849">
                  <c:v>509.892</c:v>
                </c:pt>
                <c:pt idx="2850">
                  <c:v>510.0590000000001</c:v>
                </c:pt>
                <c:pt idx="2851">
                  <c:v>510.2269999999986</c:v>
                </c:pt>
                <c:pt idx="2852">
                  <c:v>510.398</c:v>
                </c:pt>
                <c:pt idx="2853">
                  <c:v>510.567</c:v>
                </c:pt>
                <c:pt idx="2854">
                  <c:v>510.737</c:v>
                </c:pt>
                <c:pt idx="2855">
                  <c:v>510.9069999999986</c:v>
                </c:pt>
                <c:pt idx="2856">
                  <c:v>511.077</c:v>
                </c:pt>
                <c:pt idx="2857">
                  <c:v>511.247</c:v>
                </c:pt>
                <c:pt idx="2858">
                  <c:v>511.42</c:v>
                </c:pt>
                <c:pt idx="2859">
                  <c:v>511.5919999999986</c:v>
                </c:pt>
                <c:pt idx="2860">
                  <c:v>511.7629999999999</c:v>
                </c:pt>
                <c:pt idx="2861">
                  <c:v>511.9329999999989</c:v>
                </c:pt>
                <c:pt idx="2862">
                  <c:v>512.102</c:v>
                </c:pt>
                <c:pt idx="2863">
                  <c:v>512.272</c:v>
                </c:pt>
                <c:pt idx="2864">
                  <c:v>512.4429999999974</c:v>
                </c:pt>
                <c:pt idx="2865">
                  <c:v>512.615</c:v>
                </c:pt>
                <c:pt idx="2866">
                  <c:v>512.784</c:v>
                </c:pt>
                <c:pt idx="2867">
                  <c:v>512.9539999999994</c:v>
                </c:pt>
                <c:pt idx="2868">
                  <c:v>513.124</c:v>
                </c:pt>
                <c:pt idx="2869">
                  <c:v>513.293</c:v>
                </c:pt>
                <c:pt idx="2870">
                  <c:v>513.4599999999979</c:v>
                </c:pt>
                <c:pt idx="2871">
                  <c:v>513.626</c:v>
                </c:pt>
                <c:pt idx="2872">
                  <c:v>513.795</c:v>
                </c:pt>
                <c:pt idx="2873">
                  <c:v>513.9629999999925</c:v>
                </c:pt>
                <c:pt idx="2874">
                  <c:v>514.134</c:v>
                </c:pt>
                <c:pt idx="2875">
                  <c:v>514.303</c:v>
                </c:pt>
                <c:pt idx="2876">
                  <c:v>514.473</c:v>
                </c:pt>
                <c:pt idx="2877">
                  <c:v>514.644</c:v>
                </c:pt>
                <c:pt idx="2878">
                  <c:v>514.814</c:v>
                </c:pt>
                <c:pt idx="2879">
                  <c:v>514.981</c:v>
                </c:pt>
                <c:pt idx="2880">
                  <c:v>515.15</c:v>
                </c:pt>
                <c:pt idx="2881">
                  <c:v>515.319</c:v>
                </c:pt>
                <c:pt idx="2882">
                  <c:v>515.4880000000001</c:v>
                </c:pt>
                <c:pt idx="2883">
                  <c:v>515.658</c:v>
                </c:pt>
                <c:pt idx="2884">
                  <c:v>515.8279999999974</c:v>
                </c:pt>
                <c:pt idx="2885">
                  <c:v>515.996</c:v>
                </c:pt>
                <c:pt idx="2886">
                  <c:v>516.165</c:v>
                </c:pt>
                <c:pt idx="2887">
                  <c:v>516.3339999999994</c:v>
                </c:pt>
                <c:pt idx="2888">
                  <c:v>516.506</c:v>
                </c:pt>
                <c:pt idx="2889">
                  <c:v>516.677</c:v>
                </c:pt>
                <c:pt idx="2890">
                  <c:v>516.8449999999979</c:v>
                </c:pt>
                <c:pt idx="2891">
                  <c:v>517.014</c:v>
                </c:pt>
                <c:pt idx="2892">
                  <c:v>517.186</c:v>
                </c:pt>
                <c:pt idx="2893">
                  <c:v>517.3569999999974</c:v>
                </c:pt>
                <c:pt idx="2894">
                  <c:v>517.5259999999994</c:v>
                </c:pt>
                <c:pt idx="2895">
                  <c:v>517.696</c:v>
                </c:pt>
                <c:pt idx="2896">
                  <c:v>517.8659999999974</c:v>
                </c:pt>
                <c:pt idx="2897">
                  <c:v>518.0359999999994</c:v>
                </c:pt>
                <c:pt idx="2898">
                  <c:v>518.206</c:v>
                </c:pt>
                <c:pt idx="2899">
                  <c:v>518.376</c:v>
                </c:pt>
                <c:pt idx="2900">
                  <c:v>518.5469999999979</c:v>
                </c:pt>
                <c:pt idx="2901">
                  <c:v>518.717</c:v>
                </c:pt>
                <c:pt idx="2902">
                  <c:v>518.888</c:v>
                </c:pt>
                <c:pt idx="2903">
                  <c:v>519.0569999999979</c:v>
                </c:pt>
                <c:pt idx="2904">
                  <c:v>519.225</c:v>
                </c:pt>
                <c:pt idx="2905">
                  <c:v>519.393</c:v>
                </c:pt>
                <c:pt idx="2906">
                  <c:v>519.559</c:v>
                </c:pt>
                <c:pt idx="2907">
                  <c:v>519.726</c:v>
                </c:pt>
                <c:pt idx="2908">
                  <c:v>519.893</c:v>
                </c:pt>
                <c:pt idx="2909">
                  <c:v>520.0599999999994</c:v>
                </c:pt>
                <c:pt idx="2910">
                  <c:v>520.226</c:v>
                </c:pt>
                <c:pt idx="2911">
                  <c:v>520.394</c:v>
                </c:pt>
                <c:pt idx="2912">
                  <c:v>520.5619999999974</c:v>
                </c:pt>
                <c:pt idx="2913">
                  <c:v>520.731</c:v>
                </c:pt>
                <c:pt idx="2914">
                  <c:v>520.899</c:v>
                </c:pt>
                <c:pt idx="2915">
                  <c:v>521.064</c:v>
                </c:pt>
                <c:pt idx="2916">
                  <c:v>521.229</c:v>
                </c:pt>
                <c:pt idx="2917">
                  <c:v>521.394</c:v>
                </c:pt>
                <c:pt idx="2918">
                  <c:v>521.5569999999979</c:v>
                </c:pt>
                <c:pt idx="2919">
                  <c:v>521.723</c:v>
                </c:pt>
                <c:pt idx="2920">
                  <c:v>521.8919999999994</c:v>
                </c:pt>
                <c:pt idx="2921">
                  <c:v>522.0579999999974</c:v>
                </c:pt>
                <c:pt idx="2922">
                  <c:v>522.223</c:v>
                </c:pt>
                <c:pt idx="2923">
                  <c:v>522.3919999999994</c:v>
                </c:pt>
                <c:pt idx="2924">
                  <c:v>522.559</c:v>
                </c:pt>
                <c:pt idx="2925">
                  <c:v>522.725</c:v>
                </c:pt>
                <c:pt idx="2926">
                  <c:v>522.8919999999994</c:v>
                </c:pt>
                <c:pt idx="2927">
                  <c:v>523.0599999999994</c:v>
                </c:pt>
                <c:pt idx="2928">
                  <c:v>523.2279999999994</c:v>
                </c:pt>
                <c:pt idx="2929">
                  <c:v>523.394</c:v>
                </c:pt>
                <c:pt idx="2930">
                  <c:v>523.5619999999974</c:v>
                </c:pt>
                <c:pt idx="2931">
                  <c:v>523.73</c:v>
                </c:pt>
                <c:pt idx="2932">
                  <c:v>523.8969999999994</c:v>
                </c:pt>
                <c:pt idx="2933">
                  <c:v>524.064</c:v>
                </c:pt>
                <c:pt idx="2934">
                  <c:v>524.231</c:v>
                </c:pt>
                <c:pt idx="2935">
                  <c:v>524.399</c:v>
                </c:pt>
                <c:pt idx="2936">
                  <c:v>524.569</c:v>
                </c:pt>
                <c:pt idx="2937">
                  <c:v>524.7380000000001</c:v>
                </c:pt>
                <c:pt idx="2938">
                  <c:v>524.9059999999994</c:v>
                </c:pt>
                <c:pt idx="2939">
                  <c:v>525.073</c:v>
                </c:pt>
                <c:pt idx="2940">
                  <c:v>525.239</c:v>
                </c:pt>
                <c:pt idx="2941">
                  <c:v>525.4059999999994</c:v>
                </c:pt>
                <c:pt idx="2942">
                  <c:v>525.574</c:v>
                </c:pt>
                <c:pt idx="2943">
                  <c:v>525.742</c:v>
                </c:pt>
                <c:pt idx="2944">
                  <c:v>525.9109999999994</c:v>
                </c:pt>
                <c:pt idx="2945">
                  <c:v>526.08</c:v>
                </c:pt>
                <c:pt idx="2946">
                  <c:v>526.248</c:v>
                </c:pt>
                <c:pt idx="2947">
                  <c:v>526.414</c:v>
                </c:pt>
                <c:pt idx="2948">
                  <c:v>526.583</c:v>
                </c:pt>
                <c:pt idx="2949">
                  <c:v>526.7519999999994</c:v>
                </c:pt>
                <c:pt idx="2950">
                  <c:v>526.9219999999979</c:v>
                </c:pt>
                <c:pt idx="2951">
                  <c:v>527.094</c:v>
                </c:pt>
                <c:pt idx="2952">
                  <c:v>527.264</c:v>
                </c:pt>
                <c:pt idx="2953">
                  <c:v>527.4319999999979</c:v>
                </c:pt>
                <c:pt idx="2954">
                  <c:v>527.602</c:v>
                </c:pt>
                <c:pt idx="2955">
                  <c:v>527.773</c:v>
                </c:pt>
                <c:pt idx="2956">
                  <c:v>527.944</c:v>
                </c:pt>
                <c:pt idx="2957">
                  <c:v>528.114</c:v>
                </c:pt>
                <c:pt idx="2958">
                  <c:v>528.283</c:v>
                </c:pt>
                <c:pt idx="2959">
                  <c:v>528.4509999999979</c:v>
                </c:pt>
                <c:pt idx="2960">
                  <c:v>528.616</c:v>
                </c:pt>
                <c:pt idx="2961">
                  <c:v>528.781</c:v>
                </c:pt>
                <c:pt idx="2962">
                  <c:v>528.9459999999979</c:v>
                </c:pt>
                <c:pt idx="2963">
                  <c:v>529.112</c:v>
                </c:pt>
                <c:pt idx="2964">
                  <c:v>529.277</c:v>
                </c:pt>
                <c:pt idx="2965">
                  <c:v>529.444</c:v>
                </c:pt>
                <c:pt idx="2966">
                  <c:v>529.611</c:v>
                </c:pt>
                <c:pt idx="2967">
                  <c:v>529.783</c:v>
                </c:pt>
                <c:pt idx="2968">
                  <c:v>529.9559999999979</c:v>
                </c:pt>
                <c:pt idx="2969">
                  <c:v>530.131</c:v>
                </c:pt>
                <c:pt idx="2970">
                  <c:v>530.3</c:v>
                </c:pt>
                <c:pt idx="2971">
                  <c:v>530.4649999999979</c:v>
                </c:pt>
                <c:pt idx="2972">
                  <c:v>530.6319999999994</c:v>
                </c:pt>
                <c:pt idx="2973">
                  <c:v>530.797</c:v>
                </c:pt>
                <c:pt idx="2974">
                  <c:v>530.9629999999925</c:v>
                </c:pt>
                <c:pt idx="2975">
                  <c:v>531.131</c:v>
                </c:pt>
                <c:pt idx="2976">
                  <c:v>531.3</c:v>
                </c:pt>
                <c:pt idx="2977">
                  <c:v>531.47</c:v>
                </c:pt>
                <c:pt idx="2978">
                  <c:v>531.638</c:v>
                </c:pt>
                <c:pt idx="2979">
                  <c:v>531.8059999999994</c:v>
                </c:pt>
                <c:pt idx="2980">
                  <c:v>531.972</c:v>
                </c:pt>
                <c:pt idx="2981">
                  <c:v>532.139</c:v>
                </c:pt>
                <c:pt idx="2982">
                  <c:v>532.3079999999974</c:v>
                </c:pt>
                <c:pt idx="2983">
                  <c:v>532.479</c:v>
                </c:pt>
                <c:pt idx="2984">
                  <c:v>532.6509999999994</c:v>
                </c:pt>
                <c:pt idx="2985">
                  <c:v>532.8199999999994</c:v>
                </c:pt>
                <c:pt idx="2986">
                  <c:v>532.99</c:v>
                </c:pt>
                <c:pt idx="2987">
                  <c:v>533.159</c:v>
                </c:pt>
                <c:pt idx="2988">
                  <c:v>533.3249999999994</c:v>
                </c:pt>
                <c:pt idx="2989">
                  <c:v>533.494</c:v>
                </c:pt>
                <c:pt idx="2990">
                  <c:v>533.665</c:v>
                </c:pt>
                <c:pt idx="2991">
                  <c:v>533.8349999999979</c:v>
                </c:pt>
                <c:pt idx="2992">
                  <c:v>534.004</c:v>
                </c:pt>
                <c:pt idx="2993">
                  <c:v>534.172</c:v>
                </c:pt>
                <c:pt idx="2994">
                  <c:v>534.3379999999925</c:v>
                </c:pt>
                <c:pt idx="2995">
                  <c:v>534.505</c:v>
                </c:pt>
                <c:pt idx="2996">
                  <c:v>534.675</c:v>
                </c:pt>
                <c:pt idx="2997">
                  <c:v>534.8449999999979</c:v>
                </c:pt>
                <c:pt idx="2998">
                  <c:v>535.015</c:v>
                </c:pt>
                <c:pt idx="2999">
                  <c:v>535.185</c:v>
                </c:pt>
                <c:pt idx="3000">
                  <c:v>535.3539999999994</c:v>
                </c:pt>
                <c:pt idx="3001">
                  <c:v>535.523</c:v>
                </c:pt>
                <c:pt idx="3002">
                  <c:v>535.69</c:v>
                </c:pt>
                <c:pt idx="3003">
                  <c:v>535.8529999999918</c:v>
                </c:pt>
                <c:pt idx="3004">
                  <c:v>536.019</c:v>
                </c:pt>
                <c:pt idx="3005">
                  <c:v>536.185</c:v>
                </c:pt>
                <c:pt idx="3006">
                  <c:v>536.3519999999974</c:v>
                </c:pt>
                <c:pt idx="3007">
                  <c:v>536.5169999999994</c:v>
                </c:pt>
                <c:pt idx="3008">
                  <c:v>536.682</c:v>
                </c:pt>
                <c:pt idx="3009">
                  <c:v>536.8489999999994</c:v>
                </c:pt>
                <c:pt idx="3010">
                  <c:v>537.015</c:v>
                </c:pt>
                <c:pt idx="3011">
                  <c:v>537.182</c:v>
                </c:pt>
                <c:pt idx="3012">
                  <c:v>537.3469999999974</c:v>
                </c:pt>
                <c:pt idx="3013">
                  <c:v>537.514</c:v>
                </c:pt>
                <c:pt idx="3014">
                  <c:v>537.685</c:v>
                </c:pt>
                <c:pt idx="3015">
                  <c:v>537.8549999999979</c:v>
                </c:pt>
                <c:pt idx="3016">
                  <c:v>538.025</c:v>
                </c:pt>
                <c:pt idx="3017">
                  <c:v>538.193</c:v>
                </c:pt>
                <c:pt idx="3018">
                  <c:v>538.3599999999974</c:v>
                </c:pt>
                <c:pt idx="3019">
                  <c:v>538.5259999999994</c:v>
                </c:pt>
                <c:pt idx="3020">
                  <c:v>538.692</c:v>
                </c:pt>
                <c:pt idx="3021">
                  <c:v>538.8589999999994</c:v>
                </c:pt>
                <c:pt idx="3022">
                  <c:v>539.029</c:v>
                </c:pt>
                <c:pt idx="3023">
                  <c:v>539.201</c:v>
                </c:pt>
                <c:pt idx="3024">
                  <c:v>539.373</c:v>
                </c:pt>
                <c:pt idx="3025">
                  <c:v>539.5469999999979</c:v>
                </c:pt>
                <c:pt idx="3026">
                  <c:v>539.721</c:v>
                </c:pt>
                <c:pt idx="3027">
                  <c:v>539.895</c:v>
                </c:pt>
                <c:pt idx="3028">
                  <c:v>540.069</c:v>
                </c:pt>
                <c:pt idx="3029">
                  <c:v>540.243</c:v>
                </c:pt>
                <c:pt idx="3030">
                  <c:v>540.413</c:v>
                </c:pt>
                <c:pt idx="3031">
                  <c:v>540.583</c:v>
                </c:pt>
                <c:pt idx="3032">
                  <c:v>540.746</c:v>
                </c:pt>
                <c:pt idx="3033">
                  <c:v>540.9009999999994</c:v>
                </c:pt>
                <c:pt idx="3034">
                  <c:v>541.0519999999979</c:v>
                </c:pt>
                <c:pt idx="3035">
                  <c:v>541.2</c:v>
                </c:pt>
                <c:pt idx="3036">
                  <c:v>541.3539999999994</c:v>
                </c:pt>
                <c:pt idx="3037">
                  <c:v>541.5119999999994</c:v>
                </c:pt>
                <c:pt idx="3038">
                  <c:v>541.67</c:v>
                </c:pt>
                <c:pt idx="3039">
                  <c:v>541.8299999999994</c:v>
                </c:pt>
                <c:pt idx="3040">
                  <c:v>541.99</c:v>
                </c:pt>
                <c:pt idx="3041">
                  <c:v>542.1509999999994</c:v>
                </c:pt>
                <c:pt idx="3042">
                  <c:v>542.314</c:v>
                </c:pt>
                <c:pt idx="3043">
                  <c:v>542.477</c:v>
                </c:pt>
                <c:pt idx="3044">
                  <c:v>542.639</c:v>
                </c:pt>
                <c:pt idx="3045">
                  <c:v>542.804</c:v>
                </c:pt>
                <c:pt idx="3046">
                  <c:v>542.971</c:v>
                </c:pt>
                <c:pt idx="3047">
                  <c:v>543.138</c:v>
                </c:pt>
                <c:pt idx="3048">
                  <c:v>543.304</c:v>
                </c:pt>
                <c:pt idx="3049">
                  <c:v>543.4669999999974</c:v>
                </c:pt>
                <c:pt idx="3050">
                  <c:v>543.6319999999994</c:v>
                </c:pt>
                <c:pt idx="3051">
                  <c:v>543.799</c:v>
                </c:pt>
                <c:pt idx="3052">
                  <c:v>543.9679999999923</c:v>
                </c:pt>
                <c:pt idx="3053">
                  <c:v>544.138</c:v>
                </c:pt>
                <c:pt idx="3054">
                  <c:v>544.3099999999994</c:v>
                </c:pt>
                <c:pt idx="3055">
                  <c:v>544.482</c:v>
                </c:pt>
                <c:pt idx="3056">
                  <c:v>544.654</c:v>
                </c:pt>
                <c:pt idx="3057">
                  <c:v>544.8279999999974</c:v>
                </c:pt>
                <c:pt idx="3058">
                  <c:v>545.004</c:v>
                </c:pt>
                <c:pt idx="3059">
                  <c:v>545.179</c:v>
                </c:pt>
                <c:pt idx="3060">
                  <c:v>545.3529999999918</c:v>
                </c:pt>
                <c:pt idx="3061">
                  <c:v>545.525</c:v>
                </c:pt>
                <c:pt idx="3062">
                  <c:v>545.695</c:v>
                </c:pt>
                <c:pt idx="3063">
                  <c:v>545.8669999999836</c:v>
                </c:pt>
                <c:pt idx="3064">
                  <c:v>546.0359999999994</c:v>
                </c:pt>
                <c:pt idx="3065">
                  <c:v>546.203</c:v>
                </c:pt>
                <c:pt idx="3066">
                  <c:v>546.372</c:v>
                </c:pt>
                <c:pt idx="3067">
                  <c:v>546.544</c:v>
                </c:pt>
                <c:pt idx="3068">
                  <c:v>546.72</c:v>
                </c:pt>
                <c:pt idx="3069">
                  <c:v>546.894</c:v>
                </c:pt>
                <c:pt idx="3070">
                  <c:v>547.0669999999974</c:v>
                </c:pt>
                <c:pt idx="3071">
                  <c:v>547.244</c:v>
                </c:pt>
                <c:pt idx="3072">
                  <c:v>547.4209999999994</c:v>
                </c:pt>
                <c:pt idx="3073">
                  <c:v>547.599</c:v>
                </c:pt>
                <c:pt idx="3074">
                  <c:v>547.774</c:v>
                </c:pt>
                <c:pt idx="3075">
                  <c:v>547.949</c:v>
                </c:pt>
                <c:pt idx="3076">
                  <c:v>548.118</c:v>
                </c:pt>
                <c:pt idx="3077">
                  <c:v>548.285</c:v>
                </c:pt>
                <c:pt idx="3078">
                  <c:v>548.4519999999974</c:v>
                </c:pt>
                <c:pt idx="3079">
                  <c:v>548.621</c:v>
                </c:pt>
                <c:pt idx="3080">
                  <c:v>548.793</c:v>
                </c:pt>
                <c:pt idx="3081">
                  <c:v>548.9679999999923</c:v>
                </c:pt>
                <c:pt idx="3082">
                  <c:v>549.143</c:v>
                </c:pt>
                <c:pt idx="3083">
                  <c:v>549.319</c:v>
                </c:pt>
                <c:pt idx="3084">
                  <c:v>549.491</c:v>
                </c:pt>
                <c:pt idx="3085">
                  <c:v>549.664</c:v>
                </c:pt>
                <c:pt idx="3086">
                  <c:v>549.8379999999925</c:v>
                </c:pt>
                <c:pt idx="3087">
                  <c:v>550.013</c:v>
                </c:pt>
                <c:pt idx="3088">
                  <c:v>550.189</c:v>
                </c:pt>
                <c:pt idx="3089">
                  <c:v>550.3619999999906</c:v>
                </c:pt>
                <c:pt idx="3090">
                  <c:v>550.535</c:v>
                </c:pt>
                <c:pt idx="3091">
                  <c:v>550.706</c:v>
                </c:pt>
                <c:pt idx="3092">
                  <c:v>550.879</c:v>
                </c:pt>
                <c:pt idx="3093">
                  <c:v>551.0519999999979</c:v>
                </c:pt>
                <c:pt idx="3094">
                  <c:v>551.223</c:v>
                </c:pt>
                <c:pt idx="3095">
                  <c:v>551.394</c:v>
                </c:pt>
                <c:pt idx="3096">
                  <c:v>551.5669999999974</c:v>
                </c:pt>
                <c:pt idx="3097">
                  <c:v>551.74</c:v>
                </c:pt>
                <c:pt idx="3098">
                  <c:v>551.91</c:v>
                </c:pt>
                <c:pt idx="3099">
                  <c:v>552.078</c:v>
                </c:pt>
                <c:pt idx="3100">
                  <c:v>552.248</c:v>
                </c:pt>
                <c:pt idx="3101">
                  <c:v>552.415</c:v>
                </c:pt>
                <c:pt idx="3102">
                  <c:v>552.584</c:v>
                </c:pt>
                <c:pt idx="3103">
                  <c:v>552.753</c:v>
                </c:pt>
                <c:pt idx="3104">
                  <c:v>552.923</c:v>
                </c:pt>
                <c:pt idx="3105">
                  <c:v>553.091</c:v>
                </c:pt>
                <c:pt idx="3106">
                  <c:v>553.261</c:v>
                </c:pt>
                <c:pt idx="3107">
                  <c:v>553.4329999999974</c:v>
                </c:pt>
                <c:pt idx="3108">
                  <c:v>553.61</c:v>
                </c:pt>
                <c:pt idx="3109">
                  <c:v>553.79</c:v>
                </c:pt>
                <c:pt idx="3110">
                  <c:v>553.97</c:v>
                </c:pt>
                <c:pt idx="3111">
                  <c:v>554.1509999999994</c:v>
                </c:pt>
                <c:pt idx="3112">
                  <c:v>554.3249999999994</c:v>
                </c:pt>
                <c:pt idx="3113">
                  <c:v>554.493</c:v>
                </c:pt>
                <c:pt idx="3114">
                  <c:v>554.663</c:v>
                </c:pt>
                <c:pt idx="3115">
                  <c:v>554.8319999999974</c:v>
                </c:pt>
                <c:pt idx="3116">
                  <c:v>555.003</c:v>
                </c:pt>
                <c:pt idx="3117">
                  <c:v>555.176</c:v>
                </c:pt>
                <c:pt idx="3118">
                  <c:v>555.3539999999994</c:v>
                </c:pt>
                <c:pt idx="3119">
                  <c:v>555.53</c:v>
                </c:pt>
                <c:pt idx="3120">
                  <c:v>555.705</c:v>
                </c:pt>
                <c:pt idx="3121">
                  <c:v>555.8819999999994</c:v>
                </c:pt>
                <c:pt idx="3122">
                  <c:v>556.0569999999979</c:v>
                </c:pt>
                <c:pt idx="3123">
                  <c:v>556.227</c:v>
                </c:pt>
                <c:pt idx="3124">
                  <c:v>556.391</c:v>
                </c:pt>
                <c:pt idx="3125">
                  <c:v>556.5559999999994</c:v>
                </c:pt>
                <c:pt idx="3126">
                  <c:v>556.726</c:v>
                </c:pt>
                <c:pt idx="3127">
                  <c:v>556.899</c:v>
                </c:pt>
                <c:pt idx="3128">
                  <c:v>557.074</c:v>
                </c:pt>
                <c:pt idx="3129">
                  <c:v>557.251</c:v>
                </c:pt>
                <c:pt idx="3130">
                  <c:v>557.4299999999994</c:v>
                </c:pt>
                <c:pt idx="3131">
                  <c:v>557.6079999999994</c:v>
                </c:pt>
                <c:pt idx="3132">
                  <c:v>557.785</c:v>
                </c:pt>
                <c:pt idx="3133">
                  <c:v>557.9559999999979</c:v>
                </c:pt>
                <c:pt idx="3134">
                  <c:v>558.126</c:v>
                </c:pt>
                <c:pt idx="3135">
                  <c:v>558.294</c:v>
                </c:pt>
                <c:pt idx="3136">
                  <c:v>558.4619999999974</c:v>
                </c:pt>
                <c:pt idx="3137">
                  <c:v>558.6269999999994</c:v>
                </c:pt>
                <c:pt idx="3138">
                  <c:v>558.791</c:v>
                </c:pt>
                <c:pt idx="3139">
                  <c:v>558.9589999999994</c:v>
                </c:pt>
                <c:pt idx="3140">
                  <c:v>559.1269999999994</c:v>
                </c:pt>
                <c:pt idx="3141">
                  <c:v>559.293</c:v>
                </c:pt>
                <c:pt idx="3142">
                  <c:v>559.4609999999974</c:v>
                </c:pt>
                <c:pt idx="3143">
                  <c:v>559.6319999999994</c:v>
                </c:pt>
                <c:pt idx="3144">
                  <c:v>559.803</c:v>
                </c:pt>
                <c:pt idx="3145">
                  <c:v>559.977</c:v>
                </c:pt>
                <c:pt idx="3146">
                  <c:v>560.146</c:v>
                </c:pt>
                <c:pt idx="3147">
                  <c:v>560.314</c:v>
                </c:pt>
                <c:pt idx="3148">
                  <c:v>560.482</c:v>
                </c:pt>
                <c:pt idx="3149">
                  <c:v>560.6509999999994</c:v>
                </c:pt>
                <c:pt idx="3150">
                  <c:v>560.819</c:v>
                </c:pt>
                <c:pt idx="3151">
                  <c:v>560.99</c:v>
                </c:pt>
                <c:pt idx="3152">
                  <c:v>561.1609999999994</c:v>
                </c:pt>
                <c:pt idx="3153">
                  <c:v>561.3329999999974</c:v>
                </c:pt>
                <c:pt idx="3154">
                  <c:v>561.506</c:v>
                </c:pt>
                <c:pt idx="3155">
                  <c:v>561.678</c:v>
                </c:pt>
                <c:pt idx="3156">
                  <c:v>561.8479999999921</c:v>
                </c:pt>
                <c:pt idx="3157">
                  <c:v>562.018</c:v>
                </c:pt>
                <c:pt idx="3158">
                  <c:v>562.185</c:v>
                </c:pt>
                <c:pt idx="3159">
                  <c:v>562.3499999999979</c:v>
                </c:pt>
                <c:pt idx="3160">
                  <c:v>562.5169999999994</c:v>
                </c:pt>
                <c:pt idx="3161">
                  <c:v>562.684</c:v>
                </c:pt>
                <c:pt idx="3162">
                  <c:v>562.8529999999918</c:v>
                </c:pt>
                <c:pt idx="3163">
                  <c:v>563.019</c:v>
                </c:pt>
                <c:pt idx="3164">
                  <c:v>563.185</c:v>
                </c:pt>
                <c:pt idx="3165">
                  <c:v>563.3509999999974</c:v>
                </c:pt>
                <c:pt idx="3166">
                  <c:v>563.523</c:v>
                </c:pt>
                <c:pt idx="3167">
                  <c:v>563.697</c:v>
                </c:pt>
                <c:pt idx="3168">
                  <c:v>563.87</c:v>
                </c:pt>
                <c:pt idx="3169">
                  <c:v>564.043</c:v>
                </c:pt>
                <c:pt idx="3170">
                  <c:v>564.217</c:v>
                </c:pt>
                <c:pt idx="3171">
                  <c:v>564.388</c:v>
                </c:pt>
                <c:pt idx="3172">
                  <c:v>564.5549999999994</c:v>
                </c:pt>
                <c:pt idx="3173">
                  <c:v>564.723</c:v>
                </c:pt>
                <c:pt idx="3174">
                  <c:v>564.895</c:v>
                </c:pt>
                <c:pt idx="3175">
                  <c:v>565.0669999999974</c:v>
                </c:pt>
                <c:pt idx="3176">
                  <c:v>565.2380000000001</c:v>
                </c:pt>
                <c:pt idx="3177">
                  <c:v>565.409</c:v>
                </c:pt>
                <c:pt idx="3178">
                  <c:v>565.58</c:v>
                </c:pt>
                <c:pt idx="3179">
                  <c:v>565.7519999999994</c:v>
                </c:pt>
                <c:pt idx="3180">
                  <c:v>565.9249999999994</c:v>
                </c:pt>
                <c:pt idx="3181">
                  <c:v>566.097</c:v>
                </c:pt>
                <c:pt idx="3182">
                  <c:v>566.27</c:v>
                </c:pt>
                <c:pt idx="3183">
                  <c:v>566.4409999999979</c:v>
                </c:pt>
                <c:pt idx="3184">
                  <c:v>566.6130000000001</c:v>
                </c:pt>
                <c:pt idx="3185">
                  <c:v>566.786</c:v>
                </c:pt>
                <c:pt idx="3186">
                  <c:v>566.9599999999979</c:v>
                </c:pt>
                <c:pt idx="3187">
                  <c:v>567.133</c:v>
                </c:pt>
                <c:pt idx="3188">
                  <c:v>567.3009999999994</c:v>
                </c:pt>
                <c:pt idx="3189">
                  <c:v>567.471</c:v>
                </c:pt>
                <c:pt idx="3190">
                  <c:v>567.6419999999994</c:v>
                </c:pt>
                <c:pt idx="3191">
                  <c:v>567.8079999999974</c:v>
                </c:pt>
                <c:pt idx="3192">
                  <c:v>567.973</c:v>
                </c:pt>
                <c:pt idx="3193">
                  <c:v>568.139</c:v>
                </c:pt>
                <c:pt idx="3194">
                  <c:v>568.309</c:v>
                </c:pt>
                <c:pt idx="3195">
                  <c:v>568.4829999999994</c:v>
                </c:pt>
                <c:pt idx="3196">
                  <c:v>568.6569999999994</c:v>
                </c:pt>
                <c:pt idx="3197">
                  <c:v>568.8279999999974</c:v>
                </c:pt>
                <c:pt idx="3198">
                  <c:v>568.998</c:v>
                </c:pt>
                <c:pt idx="3199">
                  <c:v>569.17</c:v>
                </c:pt>
                <c:pt idx="3200">
                  <c:v>569.3419999999974</c:v>
                </c:pt>
                <c:pt idx="3201">
                  <c:v>569.5119999999994</c:v>
                </c:pt>
                <c:pt idx="3202">
                  <c:v>569.682</c:v>
                </c:pt>
                <c:pt idx="3203">
                  <c:v>569.8529999999918</c:v>
                </c:pt>
                <c:pt idx="3204">
                  <c:v>570.025</c:v>
                </c:pt>
                <c:pt idx="3205">
                  <c:v>570.198</c:v>
                </c:pt>
                <c:pt idx="3206">
                  <c:v>570.3689999999979</c:v>
                </c:pt>
                <c:pt idx="3207">
                  <c:v>570.54</c:v>
                </c:pt>
                <c:pt idx="3208">
                  <c:v>570.709</c:v>
                </c:pt>
                <c:pt idx="3209">
                  <c:v>570.876</c:v>
                </c:pt>
                <c:pt idx="3210">
                  <c:v>571.043</c:v>
                </c:pt>
                <c:pt idx="3211">
                  <c:v>571.212</c:v>
                </c:pt>
                <c:pt idx="3212">
                  <c:v>571.379</c:v>
                </c:pt>
                <c:pt idx="3213">
                  <c:v>571.5459999999994</c:v>
                </c:pt>
                <c:pt idx="3214">
                  <c:v>571.713</c:v>
                </c:pt>
                <c:pt idx="3215">
                  <c:v>571.881</c:v>
                </c:pt>
                <c:pt idx="3216">
                  <c:v>572.0509999999994</c:v>
                </c:pt>
                <c:pt idx="3217">
                  <c:v>572.221</c:v>
                </c:pt>
                <c:pt idx="3218">
                  <c:v>572.3919999999994</c:v>
                </c:pt>
                <c:pt idx="3219">
                  <c:v>572.5629999999974</c:v>
                </c:pt>
                <c:pt idx="3220">
                  <c:v>572.734</c:v>
                </c:pt>
                <c:pt idx="3221">
                  <c:v>572.9059999999994</c:v>
                </c:pt>
                <c:pt idx="3222">
                  <c:v>573.08</c:v>
                </c:pt>
                <c:pt idx="3223">
                  <c:v>573.2519999999994</c:v>
                </c:pt>
                <c:pt idx="3224">
                  <c:v>573.424</c:v>
                </c:pt>
                <c:pt idx="3225">
                  <c:v>573.593</c:v>
                </c:pt>
                <c:pt idx="3226">
                  <c:v>573.763</c:v>
                </c:pt>
                <c:pt idx="3227">
                  <c:v>573.9329999999974</c:v>
                </c:pt>
                <c:pt idx="3228">
                  <c:v>574.101</c:v>
                </c:pt>
                <c:pt idx="3229">
                  <c:v>574.27</c:v>
                </c:pt>
                <c:pt idx="3230">
                  <c:v>574.4369999999974</c:v>
                </c:pt>
                <c:pt idx="3231">
                  <c:v>574.605</c:v>
                </c:pt>
                <c:pt idx="3232">
                  <c:v>574.774</c:v>
                </c:pt>
                <c:pt idx="3233">
                  <c:v>574.9419999999974</c:v>
                </c:pt>
                <c:pt idx="3234">
                  <c:v>575.109</c:v>
                </c:pt>
                <c:pt idx="3235">
                  <c:v>575.276</c:v>
                </c:pt>
                <c:pt idx="3236">
                  <c:v>575.4449999999994</c:v>
                </c:pt>
                <c:pt idx="3237">
                  <c:v>575.615</c:v>
                </c:pt>
                <c:pt idx="3238">
                  <c:v>575.784</c:v>
                </c:pt>
                <c:pt idx="3239">
                  <c:v>575.9519999999974</c:v>
                </c:pt>
                <c:pt idx="3240">
                  <c:v>576.12</c:v>
                </c:pt>
                <c:pt idx="3241">
                  <c:v>576.287</c:v>
                </c:pt>
                <c:pt idx="3242">
                  <c:v>576.4549999999994</c:v>
                </c:pt>
                <c:pt idx="3243">
                  <c:v>576.625</c:v>
                </c:pt>
                <c:pt idx="3244">
                  <c:v>576.796</c:v>
                </c:pt>
                <c:pt idx="3245">
                  <c:v>576.9649999999979</c:v>
                </c:pt>
                <c:pt idx="3246">
                  <c:v>577.131</c:v>
                </c:pt>
                <c:pt idx="3247">
                  <c:v>577.299</c:v>
                </c:pt>
                <c:pt idx="3248">
                  <c:v>577.4659999999974</c:v>
                </c:pt>
                <c:pt idx="3249">
                  <c:v>577.631</c:v>
                </c:pt>
                <c:pt idx="3250">
                  <c:v>577.8019999999979</c:v>
                </c:pt>
                <c:pt idx="3251">
                  <c:v>577.972</c:v>
                </c:pt>
                <c:pt idx="3252">
                  <c:v>578.139</c:v>
                </c:pt>
                <c:pt idx="3253">
                  <c:v>578.3079999999974</c:v>
                </c:pt>
                <c:pt idx="3254">
                  <c:v>578.477</c:v>
                </c:pt>
                <c:pt idx="3255">
                  <c:v>578.648</c:v>
                </c:pt>
                <c:pt idx="3256">
                  <c:v>578.819</c:v>
                </c:pt>
                <c:pt idx="3257">
                  <c:v>578.989</c:v>
                </c:pt>
                <c:pt idx="3258">
                  <c:v>579.16</c:v>
                </c:pt>
                <c:pt idx="3259">
                  <c:v>579.3319999999974</c:v>
                </c:pt>
                <c:pt idx="3260">
                  <c:v>579.505</c:v>
                </c:pt>
                <c:pt idx="3261">
                  <c:v>579.673</c:v>
                </c:pt>
                <c:pt idx="3262">
                  <c:v>579.8390000000001</c:v>
                </c:pt>
                <c:pt idx="3263">
                  <c:v>580.004</c:v>
                </c:pt>
                <c:pt idx="3264">
                  <c:v>580.171</c:v>
                </c:pt>
                <c:pt idx="3265">
                  <c:v>580.3409999999974</c:v>
                </c:pt>
                <c:pt idx="3266">
                  <c:v>580.5119999999994</c:v>
                </c:pt>
                <c:pt idx="3267">
                  <c:v>580.684</c:v>
                </c:pt>
                <c:pt idx="3268">
                  <c:v>580.8589999999994</c:v>
                </c:pt>
                <c:pt idx="3269">
                  <c:v>581.0319999999994</c:v>
                </c:pt>
                <c:pt idx="3270">
                  <c:v>581.206</c:v>
                </c:pt>
                <c:pt idx="3271">
                  <c:v>581.3819999999994</c:v>
                </c:pt>
                <c:pt idx="3272">
                  <c:v>581.5579999999974</c:v>
                </c:pt>
                <c:pt idx="3273">
                  <c:v>581.73</c:v>
                </c:pt>
                <c:pt idx="3274">
                  <c:v>581.9009999999994</c:v>
                </c:pt>
                <c:pt idx="3275">
                  <c:v>582.074</c:v>
                </c:pt>
                <c:pt idx="3276">
                  <c:v>582.244</c:v>
                </c:pt>
                <c:pt idx="3277">
                  <c:v>582.413</c:v>
                </c:pt>
                <c:pt idx="3278">
                  <c:v>582.581</c:v>
                </c:pt>
                <c:pt idx="3279">
                  <c:v>582.749</c:v>
                </c:pt>
                <c:pt idx="3280">
                  <c:v>582.9169999999979</c:v>
                </c:pt>
                <c:pt idx="3281">
                  <c:v>583.082</c:v>
                </c:pt>
                <c:pt idx="3282">
                  <c:v>583.246</c:v>
                </c:pt>
                <c:pt idx="3283">
                  <c:v>583.413</c:v>
                </c:pt>
                <c:pt idx="3284">
                  <c:v>583.582</c:v>
                </c:pt>
                <c:pt idx="3285">
                  <c:v>583.7519999999994</c:v>
                </c:pt>
                <c:pt idx="3286">
                  <c:v>583.924</c:v>
                </c:pt>
                <c:pt idx="3287">
                  <c:v>584.095</c:v>
                </c:pt>
                <c:pt idx="3288">
                  <c:v>584.2619999999994</c:v>
                </c:pt>
                <c:pt idx="3289">
                  <c:v>584.429</c:v>
                </c:pt>
                <c:pt idx="3290">
                  <c:v>584.594</c:v>
                </c:pt>
                <c:pt idx="3291">
                  <c:v>584.764</c:v>
                </c:pt>
                <c:pt idx="3292">
                  <c:v>584.9349999999994</c:v>
                </c:pt>
                <c:pt idx="3293">
                  <c:v>585.1079999999994</c:v>
                </c:pt>
                <c:pt idx="3294">
                  <c:v>585.281</c:v>
                </c:pt>
                <c:pt idx="3295">
                  <c:v>585.4549999999994</c:v>
                </c:pt>
                <c:pt idx="3296">
                  <c:v>585.628</c:v>
                </c:pt>
                <c:pt idx="3297">
                  <c:v>585.799</c:v>
                </c:pt>
                <c:pt idx="3298">
                  <c:v>585.97</c:v>
                </c:pt>
                <c:pt idx="3299">
                  <c:v>586.143</c:v>
                </c:pt>
                <c:pt idx="3300">
                  <c:v>586.3179999999974</c:v>
                </c:pt>
                <c:pt idx="3301">
                  <c:v>586.489</c:v>
                </c:pt>
                <c:pt idx="3302">
                  <c:v>586.659</c:v>
                </c:pt>
                <c:pt idx="3303">
                  <c:v>586.8289999999994</c:v>
                </c:pt>
                <c:pt idx="3304">
                  <c:v>587.0</c:v>
                </c:pt>
                <c:pt idx="3305">
                  <c:v>587.168</c:v>
                </c:pt>
                <c:pt idx="3306">
                  <c:v>587.3369999999974</c:v>
                </c:pt>
                <c:pt idx="3307">
                  <c:v>587.506</c:v>
                </c:pt>
                <c:pt idx="3308">
                  <c:v>587.679</c:v>
                </c:pt>
                <c:pt idx="3309">
                  <c:v>587.8519999999974</c:v>
                </c:pt>
                <c:pt idx="3310">
                  <c:v>588.0219999999994</c:v>
                </c:pt>
                <c:pt idx="3311">
                  <c:v>588.195</c:v>
                </c:pt>
                <c:pt idx="3312">
                  <c:v>588.3649999999974</c:v>
                </c:pt>
                <c:pt idx="3313">
                  <c:v>588.5369999999979</c:v>
                </c:pt>
                <c:pt idx="3314">
                  <c:v>588.709</c:v>
                </c:pt>
                <c:pt idx="3315">
                  <c:v>588.88</c:v>
                </c:pt>
                <c:pt idx="3316">
                  <c:v>589.0499999999994</c:v>
                </c:pt>
                <c:pt idx="3317">
                  <c:v>589.22</c:v>
                </c:pt>
                <c:pt idx="3318">
                  <c:v>589.39</c:v>
                </c:pt>
                <c:pt idx="3319">
                  <c:v>589.5599999999994</c:v>
                </c:pt>
                <c:pt idx="3320">
                  <c:v>589.726</c:v>
                </c:pt>
                <c:pt idx="3321">
                  <c:v>589.891</c:v>
                </c:pt>
                <c:pt idx="3322">
                  <c:v>590.0579999999974</c:v>
                </c:pt>
                <c:pt idx="3323">
                  <c:v>590.226</c:v>
                </c:pt>
                <c:pt idx="3324">
                  <c:v>590.395</c:v>
                </c:pt>
                <c:pt idx="3325">
                  <c:v>590.5659999999979</c:v>
                </c:pt>
                <c:pt idx="3326">
                  <c:v>590.736</c:v>
                </c:pt>
                <c:pt idx="3327">
                  <c:v>590.908</c:v>
                </c:pt>
                <c:pt idx="3328">
                  <c:v>591.079</c:v>
                </c:pt>
                <c:pt idx="3329">
                  <c:v>591.248</c:v>
                </c:pt>
                <c:pt idx="3330">
                  <c:v>591.4159999999994</c:v>
                </c:pt>
                <c:pt idx="3331">
                  <c:v>591.586</c:v>
                </c:pt>
                <c:pt idx="3332">
                  <c:v>591.754</c:v>
                </c:pt>
                <c:pt idx="3333">
                  <c:v>591.923</c:v>
                </c:pt>
                <c:pt idx="3334">
                  <c:v>592.093</c:v>
                </c:pt>
                <c:pt idx="3335">
                  <c:v>592.261</c:v>
                </c:pt>
                <c:pt idx="3336">
                  <c:v>592.429</c:v>
                </c:pt>
                <c:pt idx="3337">
                  <c:v>592.598</c:v>
                </c:pt>
                <c:pt idx="3338">
                  <c:v>592.7669999999994</c:v>
                </c:pt>
                <c:pt idx="3339">
                  <c:v>592.9359999999979</c:v>
                </c:pt>
                <c:pt idx="3340">
                  <c:v>593.105</c:v>
                </c:pt>
                <c:pt idx="3341">
                  <c:v>593.274</c:v>
                </c:pt>
                <c:pt idx="3342">
                  <c:v>593.444</c:v>
                </c:pt>
                <c:pt idx="3343">
                  <c:v>593.615</c:v>
                </c:pt>
                <c:pt idx="3344">
                  <c:v>593.785</c:v>
                </c:pt>
                <c:pt idx="3345">
                  <c:v>593.9539999999994</c:v>
                </c:pt>
                <c:pt idx="3346">
                  <c:v>594.125</c:v>
                </c:pt>
                <c:pt idx="3347">
                  <c:v>594.296</c:v>
                </c:pt>
                <c:pt idx="3348">
                  <c:v>594.4669999999974</c:v>
                </c:pt>
                <c:pt idx="3349">
                  <c:v>594.635</c:v>
                </c:pt>
                <c:pt idx="3350">
                  <c:v>594.809</c:v>
                </c:pt>
                <c:pt idx="3351">
                  <c:v>594.9779999999994</c:v>
                </c:pt>
                <c:pt idx="3352">
                  <c:v>595.145</c:v>
                </c:pt>
                <c:pt idx="3353">
                  <c:v>595.3119999999974</c:v>
                </c:pt>
                <c:pt idx="3354">
                  <c:v>595.48</c:v>
                </c:pt>
                <c:pt idx="3355">
                  <c:v>595.6469999999994</c:v>
                </c:pt>
                <c:pt idx="3356">
                  <c:v>595.8169999999974</c:v>
                </c:pt>
                <c:pt idx="3357">
                  <c:v>595.9880000000001</c:v>
                </c:pt>
                <c:pt idx="3358">
                  <c:v>596.159</c:v>
                </c:pt>
                <c:pt idx="3359">
                  <c:v>596.3319999999974</c:v>
                </c:pt>
                <c:pt idx="3360">
                  <c:v>596.5069999999994</c:v>
                </c:pt>
                <c:pt idx="3361">
                  <c:v>596.679</c:v>
                </c:pt>
                <c:pt idx="3362">
                  <c:v>596.8499999999979</c:v>
                </c:pt>
                <c:pt idx="3363">
                  <c:v>597.021</c:v>
                </c:pt>
                <c:pt idx="3364">
                  <c:v>597.191</c:v>
                </c:pt>
                <c:pt idx="3365">
                  <c:v>597.3579999999816</c:v>
                </c:pt>
                <c:pt idx="3366">
                  <c:v>597.53</c:v>
                </c:pt>
                <c:pt idx="3367">
                  <c:v>597.7</c:v>
                </c:pt>
                <c:pt idx="3368">
                  <c:v>597.872</c:v>
                </c:pt>
                <c:pt idx="3369">
                  <c:v>598.045</c:v>
                </c:pt>
                <c:pt idx="3370">
                  <c:v>598.215</c:v>
                </c:pt>
                <c:pt idx="3371">
                  <c:v>598.388</c:v>
                </c:pt>
                <c:pt idx="3372">
                  <c:v>598.5599999999994</c:v>
                </c:pt>
                <c:pt idx="3373">
                  <c:v>598.73</c:v>
                </c:pt>
                <c:pt idx="3374">
                  <c:v>598.899</c:v>
                </c:pt>
                <c:pt idx="3375">
                  <c:v>599.071</c:v>
                </c:pt>
                <c:pt idx="3376">
                  <c:v>599.242</c:v>
                </c:pt>
                <c:pt idx="3377">
                  <c:v>599.4119999999979</c:v>
                </c:pt>
                <c:pt idx="3378">
                  <c:v>599.583</c:v>
                </c:pt>
                <c:pt idx="3379">
                  <c:v>599.756</c:v>
                </c:pt>
                <c:pt idx="3380">
                  <c:v>599.929</c:v>
                </c:pt>
                <c:pt idx="3381">
                  <c:v>600.099</c:v>
                </c:pt>
                <c:pt idx="3382">
                  <c:v>600.269</c:v>
                </c:pt>
                <c:pt idx="3383">
                  <c:v>600.4359999999979</c:v>
                </c:pt>
                <c:pt idx="3384">
                  <c:v>600.6029999999994</c:v>
                </c:pt>
                <c:pt idx="3385">
                  <c:v>600.773</c:v>
                </c:pt>
                <c:pt idx="3386">
                  <c:v>600.9429999999974</c:v>
                </c:pt>
                <c:pt idx="3387">
                  <c:v>601.114</c:v>
                </c:pt>
                <c:pt idx="3388">
                  <c:v>601.282</c:v>
                </c:pt>
                <c:pt idx="3389">
                  <c:v>601.449</c:v>
                </c:pt>
                <c:pt idx="3390">
                  <c:v>601.62</c:v>
                </c:pt>
                <c:pt idx="3391">
                  <c:v>601.791</c:v>
                </c:pt>
                <c:pt idx="3392">
                  <c:v>601.9619999999974</c:v>
                </c:pt>
                <c:pt idx="3393">
                  <c:v>602.131</c:v>
                </c:pt>
                <c:pt idx="3394">
                  <c:v>602.303</c:v>
                </c:pt>
                <c:pt idx="3395">
                  <c:v>602.474</c:v>
                </c:pt>
                <c:pt idx="3396">
                  <c:v>602.643</c:v>
                </c:pt>
                <c:pt idx="3397">
                  <c:v>602.8119999999974</c:v>
                </c:pt>
                <c:pt idx="3398">
                  <c:v>602.9829999999994</c:v>
                </c:pt>
                <c:pt idx="3399">
                  <c:v>603.155</c:v>
                </c:pt>
                <c:pt idx="3400">
                  <c:v>603.3249999999994</c:v>
                </c:pt>
                <c:pt idx="3401">
                  <c:v>603.495</c:v>
                </c:pt>
                <c:pt idx="3402">
                  <c:v>603.6659999999994</c:v>
                </c:pt>
                <c:pt idx="3403">
                  <c:v>603.8359999999974</c:v>
                </c:pt>
                <c:pt idx="3404">
                  <c:v>604.003</c:v>
                </c:pt>
                <c:pt idx="3405">
                  <c:v>604.171</c:v>
                </c:pt>
                <c:pt idx="3406">
                  <c:v>604.3409999999974</c:v>
                </c:pt>
                <c:pt idx="3407">
                  <c:v>604.513</c:v>
                </c:pt>
                <c:pt idx="3408">
                  <c:v>604.683</c:v>
                </c:pt>
                <c:pt idx="3409">
                  <c:v>604.8509999999974</c:v>
                </c:pt>
                <c:pt idx="3410">
                  <c:v>605.019</c:v>
                </c:pt>
                <c:pt idx="3411">
                  <c:v>605.188</c:v>
                </c:pt>
                <c:pt idx="3412">
                  <c:v>605.3599999999974</c:v>
                </c:pt>
                <c:pt idx="3413">
                  <c:v>605.533</c:v>
                </c:pt>
                <c:pt idx="3414">
                  <c:v>605.703</c:v>
                </c:pt>
                <c:pt idx="3415">
                  <c:v>605.875</c:v>
                </c:pt>
                <c:pt idx="3416">
                  <c:v>606.0469999999979</c:v>
                </c:pt>
                <c:pt idx="3417">
                  <c:v>606.219</c:v>
                </c:pt>
                <c:pt idx="3418">
                  <c:v>606.39</c:v>
                </c:pt>
                <c:pt idx="3419">
                  <c:v>606.5579999999974</c:v>
                </c:pt>
                <c:pt idx="3420">
                  <c:v>606.724</c:v>
                </c:pt>
                <c:pt idx="3421">
                  <c:v>606.891</c:v>
                </c:pt>
                <c:pt idx="3422">
                  <c:v>607.0619999999974</c:v>
                </c:pt>
                <c:pt idx="3423">
                  <c:v>607.2329999999994</c:v>
                </c:pt>
                <c:pt idx="3424">
                  <c:v>607.4059999999994</c:v>
                </c:pt>
                <c:pt idx="3425">
                  <c:v>607.578</c:v>
                </c:pt>
                <c:pt idx="3426">
                  <c:v>607.746</c:v>
                </c:pt>
                <c:pt idx="3427">
                  <c:v>607.914</c:v>
                </c:pt>
                <c:pt idx="3428">
                  <c:v>608.083</c:v>
                </c:pt>
                <c:pt idx="3429">
                  <c:v>608.2569999999994</c:v>
                </c:pt>
                <c:pt idx="3430">
                  <c:v>608.428</c:v>
                </c:pt>
                <c:pt idx="3431">
                  <c:v>608.602</c:v>
                </c:pt>
                <c:pt idx="3432">
                  <c:v>608.776</c:v>
                </c:pt>
                <c:pt idx="3433">
                  <c:v>608.9509999999979</c:v>
                </c:pt>
                <c:pt idx="3434">
                  <c:v>609.126</c:v>
                </c:pt>
                <c:pt idx="3435">
                  <c:v>609.3</c:v>
                </c:pt>
                <c:pt idx="3436">
                  <c:v>609.473</c:v>
                </c:pt>
                <c:pt idx="3437">
                  <c:v>609.645</c:v>
                </c:pt>
                <c:pt idx="3438">
                  <c:v>609.8149999999994</c:v>
                </c:pt>
                <c:pt idx="3439">
                  <c:v>609.9829999999994</c:v>
                </c:pt>
                <c:pt idx="3440">
                  <c:v>610.1509999999994</c:v>
                </c:pt>
                <c:pt idx="3441">
                  <c:v>610.3159999999979</c:v>
                </c:pt>
                <c:pt idx="3442">
                  <c:v>610.484</c:v>
                </c:pt>
                <c:pt idx="3443">
                  <c:v>610.653</c:v>
                </c:pt>
                <c:pt idx="3444">
                  <c:v>610.8229999999974</c:v>
                </c:pt>
                <c:pt idx="3445">
                  <c:v>610.993</c:v>
                </c:pt>
                <c:pt idx="3446">
                  <c:v>611.1669999999979</c:v>
                </c:pt>
                <c:pt idx="3447">
                  <c:v>611.3390000000001</c:v>
                </c:pt>
                <c:pt idx="3448">
                  <c:v>611.509</c:v>
                </c:pt>
                <c:pt idx="3449">
                  <c:v>611.68</c:v>
                </c:pt>
                <c:pt idx="3450">
                  <c:v>611.8509999999974</c:v>
                </c:pt>
                <c:pt idx="3451">
                  <c:v>612.0219999999994</c:v>
                </c:pt>
                <c:pt idx="3452">
                  <c:v>612.196</c:v>
                </c:pt>
                <c:pt idx="3453">
                  <c:v>612.371</c:v>
                </c:pt>
                <c:pt idx="3454">
                  <c:v>612.545</c:v>
                </c:pt>
                <c:pt idx="3455">
                  <c:v>612.717</c:v>
                </c:pt>
                <c:pt idx="3456">
                  <c:v>612.889</c:v>
                </c:pt>
                <c:pt idx="3457">
                  <c:v>613.0609999999979</c:v>
                </c:pt>
                <c:pt idx="3458">
                  <c:v>613.232</c:v>
                </c:pt>
                <c:pt idx="3459">
                  <c:v>613.403</c:v>
                </c:pt>
                <c:pt idx="3460">
                  <c:v>613.575</c:v>
                </c:pt>
                <c:pt idx="3461">
                  <c:v>613.746</c:v>
                </c:pt>
                <c:pt idx="3462">
                  <c:v>613.915</c:v>
                </c:pt>
                <c:pt idx="3463">
                  <c:v>614.086</c:v>
                </c:pt>
                <c:pt idx="3464">
                  <c:v>614.255</c:v>
                </c:pt>
                <c:pt idx="3465">
                  <c:v>614.4259999999994</c:v>
                </c:pt>
                <c:pt idx="3466">
                  <c:v>614.598</c:v>
                </c:pt>
                <c:pt idx="3467">
                  <c:v>614.771</c:v>
                </c:pt>
                <c:pt idx="3468">
                  <c:v>614.9459999999979</c:v>
                </c:pt>
                <c:pt idx="3469">
                  <c:v>615.123</c:v>
                </c:pt>
                <c:pt idx="3470">
                  <c:v>615.298</c:v>
                </c:pt>
                <c:pt idx="3471">
                  <c:v>615.47</c:v>
                </c:pt>
                <c:pt idx="3472">
                  <c:v>615.641</c:v>
                </c:pt>
                <c:pt idx="3473">
                  <c:v>615.809</c:v>
                </c:pt>
                <c:pt idx="3474">
                  <c:v>615.976</c:v>
                </c:pt>
                <c:pt idx="3475">
                  <c:v>616.144</c:v>
                </c:pt>
                <c:pt idx="3476">
                  <c:v>616.3149999999994</c:v>
                </c:pt>
                <c:pt idx="3477">
                  <c:v>616.4880000000001</c:v>
                </c:pt>
                <c:pt idx="3478">
                  <c:v>616.659</c:v>
                </c:pt>
                <c:pt idx="3479">
                  <c:v>616.8309999999979</c:v>
                </c:pt>
                <c:pt idx="3480">
                  <c:v>617.005</c:v>
                </c:pt>
                <c:pt idx="3481">
                  <c:v>617.18</c:v>
                </c:pt>
                <c:pt idx="3482">
                  <c:v>617.3539999999994</c:v>
                </c:pt>
                <c:pt idx="3483">
                  <c:v>617.529</c:v>
                </c:pt>
                <c:pt idx="3484">
                  <c:v>617.7</c:v>
                </c:pt>
                <c:pt idx="3485">
                  <c:v>617.872</c:v>
                </c:pt>
                <c:pt idx="3486">
                  <c:v>618.0469999999979</c:v>
                </c:pt>
                <c:pt idx="3487">
                  <c:v>618.222</c:v>
                </c:pt>
                <c:pt idx="3488">
                  <c:v>618.396</c:v>
                </c:pt>
                <c:pt idx="3489">
                  <c:v>618.5659999999979</c:v>
                </c:pt>
                <c:pt idx="3490">
                  <c:v>618.735</c:v>
                </c:pt>
                <c:pt idx="3491">
                  <c:v>618.904</c:v>
                </c:pt>
                <c:pt idx="3492">
                  <c:v>619.079</c:v>
                </c:pt>
                <c:pt idx="3493">
                  <c:v>619.251</c:v>
                </c:pt>
                <c:pt idx="3494">
                  <c:v>619.424</c:v>
                </c:pt>
                <c:pt idx="3495">
                  <c:v>619.598</c:v>
                </c:pt>
                <c:pt idx="3496">
                  <c:v>619.77</c:v>
                </c:pt>
                <c:pt idx="3497">
                  <c:v>619.9419999999974</c:v>
                </c:pt>
                <c:pt idx="3498">
                  <c:v>620.112</c:v>
                </c:pt>
                <c:pt idx="3499">
                  <c:v>620.28</c:v>
                </c:pt>
                <c:pt idx="3500">
                  <c:v>620.4529999999974</c:v>
                </c:pt>
                <c:pt idx="3501">
                  <c:v>620.622</c:v>
                </c:pt>
                <c:pt idx="3502">
                  <c:v>620.792</c:v>
                </c:pt>
                <c:pt idx="3503">
                  <c:v>620.9609999999974</c:v>
                </c:pt>
                <c:pt idx="3504">
                  <c:v>621.133</c:v>
                </c:pt>
                <c:pt idx="3505">
                  <c:v>621.303</c:v>
                </c:pt>
                <c:pt idx="3506">
                  <c:v>621.476</c:v>
                </c:pt>
                <c:pt idx="3507">
                  <c:v>621.65</c:v>
                </c:pt>
                <c:pt idx="3508">
                  <c:v>621.8249999999994</c:v>
                </c:pt>
                <c:pt idx="3509">
                  <c:v>621.999</c:v>
                </c:pt>
                <c:pt idx="3510">
                  <c:v>622.172</c:v>
                </c:pt>
                <c:pt idx="3511">
                  <c:v>622.3449999999979</c:v>
                </c:pt>
                <c:pt idx="3512">
                  <c:v>622.5169999999994</c:v>
                </c:pt>
                <c:pt idx="3513">
                  <c:v>622.688</c:v>
                </c:pt>
                <c:pt idx="3514">
                  <c:v>622.8599999999974</c:v>
                </c:pt>
                <c:pt idx="3515">
                  <c:v>623.0309999999994</c:v>
                </c:pt>
                <c:pt idx="3516">
                  <c:v>623.202</c:v>
                </c:pt>
                <c:pt idx="3517">
                  <c:v>623.3689999999979</c:v>
                </c:pt>
                <c:pt idx="3518">
                  <c:v>623.543</c:v>
                </c:pt>
                <c:pt idx="3519">
                  <c:v>623.718</c:v>
                </c:pt>
                <c:pt idx="3520">
                  <c:v>623.8919999999994</c:v>
                </c:pt>
                <c:pt idx="3521">
                  <c:v>624.064</c:v>
                </c:pt>
                <c:pt idx="3522">
                  <c:v>624.235</c:v>
                </c:pt>
                <c:pt idx="3523">
                  <c:v>624.4059999999994</c:v>
                </c:pt>
                <c:pt idx="3524">
                  <c:v>624.58</c:v>
                </c:pt>
                <c:pt idx="3525">
                  <c:v>624.753</c:v>
                </c:pt>
                <c:pt idx="3526">
                  <c:v>624.929</c:v>
                </c:pt>
                <c:pt idx="3527">
                  <c:v>625.102</c:v>
                </c:pt>
                <c:pt idx="3528">
                  <c:v>625.274</c:v>
                </c:pt>
                <c:pt idx="3529">
                  <c:v>625.4449999999994</c:v>
                </c:pt>
                <c:pt idx="3530">
                  <c:v>625.615</c:v>
                </c:pt>
                <c:pt idx="3531">
                  <c:v>625.788</c:v>
                </c:pt>
                <c:pt idx="3532">
                  <c:v>625.9609999999974</c:v>
                </c:pt>
                <c:pt idx="3533">
                  <c:v>626.135</c:v>
                </c:pt>
                <c:pt idx="3534">
                  <c:v>626.3109999999979</c:v>
                </c:pt>
                <c:pt idx="3535">
                  <c:v>626.485</c:v>
                </c:pt>
                <c:pt idx="3536">
                  <c:v>626.658</c:v>
                </c:pt>
                <c:pt idx="3537">
                  <c:v>626.8259999999979</c:v>
                </c:pt>
                <c:pt idx="3538">
                  <c:v>626.996</c:v>
                </c:pt>
                <c:pt idx="3539">
                  <c:v>627.1669999999979</c:v>
                </c:pt>
                <c:pt idx="3540">
                  <c:v>627.3359999999974</c:v>
                </c:pt>
                <c:pt idx="3541">
                  <c:v>627.503</c:v>
                </c:pt>
                <c:pt idx="3542">
                  <c:v>627.67</c:v>
                </c:pt>
                <c:pt idx="3543">
                  <c:v>627.8429999999923</c:v>
                </c:pt>
                <c:pt idx="3544">
                  <c:v>628.013</c:v>
                </c:pt>
                <c:pt idx="3545">
                  <c:v>628.184</c:v>
                </c:pt>
                <c:pt idx="3546">
                  <c:v>628.3559999999974</c:v>
                </c:pt>
                <c:pt idx="3547">
                  <c:v>628.53</c:v>
                </c:pt>
                <c:pt idx="3548">
                  <c:v>628.704</c:v>
                </c:pt>
                <c:pt idx="3549">
                  <c:v>628.876</c:v>
                </c:pt>
                <c:pt idx="3550">
                  <c:v>629.049</c:v>
                </c:pt>
                <c:pt idx="3551">
                  <c:v>629.22</c:v>
                </c:pt>
                <c:pt idx="3552">
                  <c:v>629.394</c:v>
                </c:pt>
                <c:pt idx="3553">
                  <c:v>629.569</c:v>
                </c:pt>
                <c:pt idx="3554">
                  <c:v>629.742</c:v>
                </c:pt>
                <c:pt idx="3555">
                  <c:v>629.92</c:v>
                </c:pt>
                <c:pt idx="3556">
                  <c:v>630.097</c:v>
                </c:pt>
                <c:pt idx="3557">
                  <c:v>630.271</c:v>
                </c:pt>
                <c:pt idx="3558">
                  <c:v>630.4469999999974</c:v>
                </c:pt>
                <c:pt idx="3559">
                  <c:v>630.621</c:v>
                </c:pt>
                <c:pt idx="3560">
                  <c:v>630.793</c:v>
                </c:pt>
                <c:pt idx="3561">
                  <c:v>630.9619999999974</c:v>
                </c:pt>
                <c:pt idx="3562">
                  <c:v>631.135</c:v>
                </c:pt>
                <c:pt idx="3563">
                  <c:v>631.3059999999994</c:v>
                </c:pt>
                <c:pt idx="3564">
                  <c:v>631.4779999999994</c:v>
                </c:pt>
                <c:pt idx="3565">
                  <c:v>631.648</c:v>
                </c:pt>
                <c:pt idx="3566">
                  <c:v>631.814</c:v>
                </c:pt>
                <c:pt idx="3567">
                  <c:v>631.975</c:v>
                </c:pt>
                <c:pt idx="3568">
                  <c:v>632.1369999999994</c:v>
                </c:pt>
                <c:pt idx="3569">
                  <c:v>632.3049999999994</c:v>
                </c:pt>
                <c:pt idx="3570">
                  <c:v>632.475</c:v>
                </c:pt>
                <c:pt idx="3571">
                  <c:v>632.648</c:v>
                </c:pt>
                <c:pt idx="3572">
                  <c:v>632.8229999999974</c:v>
                </c:pt>
                <c:pt idx="3573">
                  <c:v>632.996</c:v>
                </c:pt>
                <c:pt idx="3574">
                  <c:v>633.165</c:v>
                </c:pt>
                <c:pt idx="3575">
                  <c:v>633.3359999999974</c:v>
                </c:pt>
                <c:pt idx="3576">
                  <c:v>633.505</c:v>
                </c:pt>
                <c:pt idx="3577">
                  <c:v>633.677</c:v>
                </c:pt>
                <c:pt idx="3578">
                  <c:v>633.8489999999994</c:v>
                </c:pt>
                <c:pt idx="3579">
                  <c:v>634.019</c:v>
                </c:pt>
                <c:pt idx="3580">
                  <c:v>634.186</c:v>
                </c:pt>
                <c:pt idx="3581">
                  <c:v>634.3549999999979</c:v>
                </c:pt>
                <c:pt idx="3582">
                  <c:v>634.5219999999994</c:v>
                </c:pt>
                <c:pt idx="3583">
                  <c:v>634.689</c:v>
                </c:pt>
                <c:pt idx="3584">
                  <c:v>634.8589999999994</c:v>
                </c:pt>
                <c:pt idx="3585">
                  <c:v>635.028</c:v>
                </c:pt>
                <c:pt idx="3586">
                  <c:v>635.197</c:v>
                </c:pt>
                <c:pt idx="3587">
                  <c:v>635.37</c:v>
                </c:pt>
                <c:pt idx="3588">
                  <c:v>635.5409999999994</c:v>
                </c:pt>
                <c:pt idx="3589">
                  <c:v>635.713</c:v>
                </c:pt>
                <c:pt idx="3590">
                  <c:v>635.886</c:v>
                </c:pt>
                <c:pt idx="3591">
                  <c:v>636.0559999999994</c:v>
                </c:pt>
                <c:pt idx="3592">
                  <c:v>636.229</c:v>
                </c:pt>
                <c:pt idx="3593">
                  <c:v>636.3969999999994</c:v>
                </c:pt>
                <c:pt idx="3594">
                  <c:v>636.5679999999974</c:v>
                </c:pt>
                <c:pt idx="3595">
                  <c:v>636.739</c:v>
                </c:pt>
                <c:pt idx="3596">
                  <c:v>636.91</c:v>
                </c:pt>
                <c:pt idx="3597">
                  <c:v>637.085</c:v>
                </c:pt>
                <c:pt idx="3598">
                  <c:v>637.2619999999994</c:v>
                </c:pt>
                <c:pt idx="3599">
                  <c:v>637.4359999999979</c:v>
                </c:pt>
                <c:pt idx="3600">
                  <c:v>637.61</c:v>
                </c:pt>
                <c:pt idx="3601">
                  <c:v>637.781</c:v>
                </c:pt>
                <c:pt idx="3602">
                  <c:v>637.9479999999974</c:v>
                </c:pt>
                <c:pt idx="3603">
                  <c:v>638.114</c:v>
                </c:pt>
                <c:pt idx="3604">
                  <c:v>638.279</c:v>
                </c:pt>
                <c:pt idx="3605">
                  <c:v>638.4459999999979</c:v>
                </c:pt>
                <c:pt idx="3606">
                  <c:v>638.612</c:v>
                </c:pt>
                <c:pt idx="3607">
                  <c:v>638.779</c:v>
                </c:pt>
                <c:pt idx="3608">
                  <c:v>638.9459999999979</c:v>
                </c:pt>
                <c:pt idx="3609">
                  <c:v>639.116</c:v>
                </c:pt>
                <c:pt idx="3610">
                  <c:v>639.283</c:v>
                </c:pt>
                <c:pt idx="3611">
                  <c:v>639.4529999999974</c:v>
                </c:pt>
                <c:pt idx="3612">
                  <c:v>639.623</c:v>
                </c:pt>
                <c:pt idx="3613">
                  <c:v>639.797</c:v>
                </c:pt>
                <c:pt idx="3614">
                  <c:v>639.972</c:v>
                </c:pt>
                <c:pt idx="3615">
                  <c:v>640.149</c:v>
                </c:pt>
                <c:pt idx="3616">
                  <c:v>640.324</c:v>
                </c:pt>
                <c:pt idx="3617">
                  <c:v>640.496</c:v>
                </c:pt>
                <c:pt idx="3618">
                  <c:v>640.668</c:v>
                </c:pt>
                <c:pt idx="3619">
                  <c:v>640.8429999999923</c:v>
                </c:pt>
                <c:pt idx="3620">
                  <c:v>641.016</c:v>
                </c:pt>
                <c:pt idx="3621">
                  <c:v>641.183</c:v>
                </c:pt>
                <c:pt idx="3622">
                  <c:v>641.3529999999918</c:v>
                </c:pt>
                <c:pt idx="3623">
                  <c:v>641.5219999999994</c:v>
                </c:pt>
                <c:pt idx="3624">
                  <c:v>641.691</c:v>
                </c:pt>
                <c:pt idx="3625">
                  <c:v>641.8619999999906</c:v>
                </c:pt>
                <c:pt idx="3626">
                  <c:v>642.0319999999994</c:v>
                </c:pt>
                <c:pt idx="3627">
                  <c:v>642.198</c:v>
                </c:pt>
                <c:pt idx="3628">
                  <c:v>642.3630000000001</c:v>
                </c:pt>
                <c:pt idx="3629">
                  <c:v>642.529</c:v>
                </c:pt>
                <c:pt idx="3630">
                  <c:v>642.7</c:v>
                </c:pt>
                <c:pt idx="3631">
                  <c:v>642.87</c:v>
                </c:pt>
                <c:pt idx="3632">
                  <c:v>643.039</c:v>
                </c:pt>
                <c:pt idx="3633">
                  <c:v>643.209</c:v>
                </c:pt>
                <c:pt idx="3634">
                  <c:v>643.376</c:v>
                </c:pt>
                <c:pt idx="3635">
                  <c:v>643.5419999999979</c:v>
                </c:pt>
                <c:pt idx="3636">
                  <c:v>643.709</c:v>
                </c:pt>
                <c:pt idx="3637">
                  <c:v>643.879</c:v>
                </c:pt>
                <c:pt idx="3638">
                  <c:v>644.0499999999994</c:v>
                </c:pt>
                <c:pt idx="3639">
                  <c:v>644.223</c:v>
                </c:pt>
                <c:pt idx="3640">
                  <c:v>644.399</c:v>
                </c:pt>
                <c:pt idx="3641">
                  <c:v>644.571</c:v>
                </c:pt>
                <c:pt idx="3642">
                  <c:v>644.743</c:v>
                </c:pt>
                <c:pt idx="3643">
                  <c:v>644.915</c:v>
                </c:pt>
                <c:pt idx="3644">
                  <c:v>645.088</c:v>
                </c:pt>
                <c:pt idx="3645">
                  <c:v>645.259</c:v>
                </c:pt>
                <c:pt idx="3646">
                  <c:v>645.429</c:v>
                </c:pt>
                <c:pt idx="3647">
                  <c:v>645.596</c:v>
                </c:pt>
                <c:pt idx="3648">
                  <c:v>645.761</c:v>
                </c:pt>
                <c:pt idx="3649">
                  <c:v>645.929</c:v>
                </c:pt>
                <c:pt idx="3650">
                  <c:v>646.1</c:v>
                </c:pt>
                <c:pt idx="3651">
                  <c:v>646.271</c:v>
                </c:pt>
                <c:pt idx="3652">
                  <c:v>646.4419999999974</c:v>
                </c:pt>
                <c:pt idx="3653">
                  <c:v>646.612</c:v>
                </c:pt>
                <c:pt idx="3654">
                  <c:v>646.784</c:v>
                </c:pt>
                <c:pt idx="3655">
                  <c:v>646.9599999999979</c:v>
                </c:pt>
                <c:pt idx="3656">
                  <c:v>647.134</c:v>
                </c:pt>
                <c:pt idx="3657">
                  <c:v>647.3069999999979</c:v>
                </c:pt>
                <c:pt idx="3658">
                  <c:v>647.477</c:v>
                </c:pt>
                <c:pt idx="3659">
                  <c:v>647.648</c:v>
                </c:pt>
                <c:pt idx="3660">
                  <c:v>647.8149999999994</c:v>
                </c:pt>
                <c:pt idx="3661">
                  <c:v>647.982</c:v>
                </c:pt>
                <c:pt idx="3662">
                  <c:v>648.1509999999994</c:v>
                </c:pt>
                <c:pt idx="3663">
                  <c:v>648.3209999999979</c:v>
                </c:pt>
                <c:pt idx="3664">
                  <c:v>648.491</c:v>
                </c:pt>
                <c:pt idx="3665">
                  <c:v>648.6609999999994</c:v>
                </c:pt>
                <c:pt idx="3666">
                  <c:v>648.8279999999974</c:v>
                </c:pt>
                <c:pt idx="3667">
                  <c:v>648.995</c:v>
                </c:pt>
                <c:pt idx="3668">
                  <c:v>649.1619999999979</c:v>
                </c:pt>
                <c:pt idx="3669">
                  <c:v>649.3289999999994</c:v>
                </c:pt>
                <c:pt idx="3670">
                  <c:v>649.496</c:v>
                </c:pt>
                <c:pt idx="3671">
                  <c:v>649.6659999999994</c:v>
                </c:pt>
                <c:pt idx="3672">
                  <c:v>649.8399999999979</c:v>
                </c:pt>
                <c:pt idx="3673">
                  <c:v>650.0169999999994</c:v>
                </c:pt>
                <c:pt idx="3674">
                  <c:v>650.196</c:v>
                </c:pt>
                <c:pt idx="3675">
                  <c:v>650.376</c:v>
                </c:pt>
                <c:pt idx="3676">
                  <c:v>650.554</c:v>
                </c:pt>
                <c:pt idx="3677">
                  <c:v>650.725</c:v>
                </c:pt>
                <c:pt idx="3678">
                  <c:v>650.895</c:v>
                </c:pt>
                <c:pt idx="3679">
                  <c:v>651.0619999999974</c:v>
                </c:pt>
                <c:pt idx="3680">
                  <c:v>651.23</c:v>
                </c:pt>
                <c:pt idx="3681">
                  <c:v>651.399</c:v>
                </c:pt>
                <c:pt idx="3682">
                  <c:v>651.5669999999974</c:v>
                </c:pt>
                <c:pt idx="3683">
                  <c:v>651.735</c:v>
                </c:pt>
                <c:pt idx="3684">
                  <c:v>651.9069999999994</c:v>
                </c:pt>
                <c:pt idx="3685">
                  <c:v>652.084</c:v>
                </c:pt>
                <c:pt idx="3686">
                  <c:v>652.26</c:v>
                </c:pt>
                <c:pt idx="3687">
                  <c:v>652.4329999999974</c:v>
                </c:pt>
                <c:pt idx="3688">
                  <c:v>652.6029999999994</c:v>
                </c:pt>
                <c:pt idx="3689">
                  <c:v>652.773</c:v>
                </c:pt>
                <c:pt idx="3690">
                  <c:v>652.939</c:v>
                </c:pt>
                <c:pt idx="3691">
                  <c:v>653.105</c:v>
                </c:pt>
                <c:pt idx="3692">
                  <c:v>653.271</c:v>
                </c:pt>
                <c:pt idx="3693">
                  <c:v>653.4349999999994</c:v>
                </c:pt>
                <c:pt idx="3694">
                  <c:v>653.601</c:v>
                </c:pt>
                <c:pt idx="3695">
                  <c:v>653.774</c:v>
                </c:pt>
                <c:pt idx="3696">
                  <c:v>653.9509999999979</c:v>
                </c:pt>
                <c:pt idx="3697">
                  <c:v>654.124</c:v>
                </c:pt>
                <c:pt idx="3698">
                  <c:v>654.295</c:v>
                </c:pt>
                <c:pt idx="3699">
                  <c:v>654.4659999999974</c:v>
                </c:pt>
                <c:pt idx="3700">
                  <c:v>654.6369999999994</c:v>
                </c:pt>
                <c:pt idx="3701">
                  <c:v>654.8099999999994</c:v>
                </c:pt>
                <c:pt idx="3702">
                  <c:v>654.98</c:v>
                </c:pt>
                <c:pt idx="3703">
                  <c:v>655.15</c:v>
                </c:pt>
                <c:pt idx="3704">
                  <c:v>655.3209999999979</c:v>
                </c:pt>
                <c:pt idx="3705">
                  <c:v>655.499</c:v>
                </c:pt>
                <c:pt idx="3706">
                  <c:v>655.681</c:v>
                </c:pt>
                <c:pt idx="3707">
                  <c:v>655.8619999999906</c:v>
                </c:pt>
                <c:pt idx="3708">
                  <c:v>656.0419999999979</c:v>
                </c:pt>
                <c:pt idx="3709">
                  <c:v>656.221</c:v>
                </c:pt>
                <c:pt idx="3710">
                  <c:v>656.394</c:v>
                </c:pt>
                <c:pt idx="3711">
                  <c:v>656.5649999999994</c:v>
                </c:pt>
                <c:pt idx="3712">
                  <c:v>656.7329999999994</c:v>
                </c:pt>
                <c:pt idx="3713">
                  <c:v>656.9</c:v>
                </c:pt>
                <c:pt idx="3714">
                  <c:v>657.071</c:v>
                </c:pt>
                <c:pt idx="3715">
                  <c:v>657.237</c:v>
                </c:pt>
                <c:pt idx="3716">
                  <c:v>657.4019999999994</c:v>
                </c:pt>
                <c:pt idx="3717">
                  <c:v>657.571</c:v>
                </c:pt>
                <c:pt idx="3718">
                  <c:v>657.741</c:v>
                </c:pt>
                <c:pt idx="3719">
                  <c:v>657.9119999999979</c:v>
                </c:pt>
                <c:pt idx="3720">
                  <c:v>658.083</c:v>
                </c:pt>
                <c:pt idx="3721">
                  <c:v>658.256</c:v>
                </c:pt>
                <c:pt idx="3722">
                  <c:v>658.434</c:v>
                </c:pt>
                <c:pt idx="3723">
                  <c:v>658.6079999999994</c:v>
                </c:pt>
                <c:pt idx="3724">
                  <c:v>658.777</c:v>
                </c:pt>
                <c:pt idx="3725">
                  <c:v>658.9479999999974</c:v>
                </c:pt>
                <c:pt idx="3726">
                  <c:v>659.118</c:v>
                </c:pt>
                <c:pt idx="3727">
                  <c:v>659.292</c:v>
                </c:pt>
                <c:pt idx="3728">
                  <c:v>659.47</c:v>
                </c:pt>
                <c:pt idx="3729">
                  <c:v>659.649</c:v>
                </c:pt>
                <c:pt idx="3730">
                  <c:v>659.8279999999974</c:v>
                </c:pt>
                <c:pt idx="3731">
                  <c:v>660.006</c:v>
                </c:pt>
                <c:pt idx="3732">
                  <c:v>660.18</c:v>
                </c:pt>
                <c:pt idx="3733">
                  <c:v>660.3549999999979</c:v>
                </c:pt>
                <c:pt idx="3734">
                  <c:v>660.528</c:v>
                </c:pt>
                <c:pt idx="3735">
                  <c:v>660.697</c:v>
                </c:pt>
                <c:pt idx="3736">
                  <c:v>660.8639999999979</c:v>
                </c:pt>
                <c:pt idx="3737">
                  <c:v>661.035</c:v>
                </c:pt>
                <c:pt idx="3738">
                  <c:v>661.207</c:v>
                </c:pt>
                <c:pt idx="3739">
                  <c:v>661.38</c:v>
                </c:pt>
                <c:pt idx="3740">
                  <c:v>661.55</c:v>
                </c:pt>
                <c:pt idx="3741">
                  <c:v>661.718</c:v>
                </c:pt>
                <c:pt idx="3742">
                  <c:v>661.888</c:v>
                </c:pt>
                <c:pt idx="3743">
                  <c:v>662.059</c:v>
                </c:pt>
                <c:pt idx="3744">
                  <c:v>662.231</c:v>
                </c:pt>
                <c:pt idx="3745">
                  <c:v>662.399</c:v>
                </c:pt>
                <c:pt idx="3746">
                  <c:v>662.5649999999994</c:v>
                </c:pt>
                <c:pt idx="3747">
                  <c:v>662.726</c:v>
                </c:pt>
                <c:pt idx="3748">
                  <c:v>662.889</c:v>
                </c:pt>
                <c:pt idx="3749">
                  <c:v>663.054</c:v>
                </c:pt>
                <c:pt idx="3750">
                  <c:v>663.224</c:v>
                </c:pt>
                <c:pt idx="3751">
                  <c:v>663.393</c:v>
                </c:pt>
                <c:pt idx="3752">
                  <c:v>663.5609999999979</c:v>
                </c:pt>
                <c:pt idx="3753">
                  <c:v>663.729</c:v>
                </c:pt>
                <c:pt idx="3754">
                  <c:v>663.903</c:v>
                </c:pt>
                <c:pt idx="3755">
                  <c:v>664.082</c:v>
                </c:pt>
                <c:pt idx="3756">
                  <c:v>664.264</c:v>
                </c:pt>
                <c:pt idx="3757">
                  <c:v>664.4429999999974</c:v>
                </c:pt>
                <c:pt idx="3758">
                  <c:v>664.625</c:v>
                </c:pt>
                <c:pt idx="3759">
                  <c:v>664.8059999999994</c:v>
                </c:pt>
                <c:pt idx="3760">
                  <c:v>664.985</c:v>
                </c:pt>
                <c:pt idx="3761">
                  <c:v>665.163</c:v>
                </c:pt>
                <c:pt idx="3762">
                  <c:v>665.3409999999974</c:v>
                </c:pt>
                <c:pt idx="3763">
                  <c:v>665.513</c:v>
                </c:pt>
                <c:pt idx="3764">
                  <c:v>665.688</c:v>
                </c:pt>
                <c:pt idx="3765">
                  <c:v>665.8639999999979</c:v>
                </c:pt>
                <c:pt idx="3766">
                  <c:v>666.0369999999979</c:v>
                </c:pt>
                <c:pt idx="3767">
                  <c:v>666.208</c:v>
                </c:pt>
                <c:pt idx="3768">
                  <c:v>666.38</c:v>
                </c:pt>
                <c:pt idx="3769">
                  <c:v>666.549</c:v>
                </c:pt>
                <c:pt idx="3770">
                  <c:v>666.716</c:v>
                </c:pt>
                <c:pt idx="3771">
                  <c:v>666.883</c:v>
                </c:pt>
                <c:pt idx="3772">
                  <c:v>667.053</c:v>
                </c:pt>
                <c:pt idx="3773">
                  <c:v>667.224</c:v>
                </c:pt>
                <c:pt idx="3774">
                  <c:v>667.3969999999994</c:v>
                </c:pt>
                <c:pt idx="3775">
                  <c:v>667.569</c:v>
                </c:pt>
                <c:pt idx="3776">
                  <c:v>667.739</c:v>
                </c:pt>
                <c:pt idx="3777">
                  <c:v>667.91</c:v>
                </c:pt>
                <c:pt idx="3778">
                  <c:v>668.083</c:v>
                </c:pt>
                <c:pt idx="3779">
                  <c:v>668.256</c:v>
                </c:pt>
                <c:pt idx="3780">
                  <c:v>668.4259999999994</c:v>
                </c:pt>
                <c:pt idx="3781">
                  <c:v>668.594</c:v>
                </c:pt>
                <c:pt idx="3782">
                  <c:v>668.763</c:v>
                </c:pt>
                <c:pt idx="3783">
                  <c:v>668.9349999999994</c:v>
                </c:pt>
                <c:pt idx="3784">
                  <c:v>669.107</c:v>
                </c:pt>
                <c:pt idx="3785">
                  <c:v>669.282</c:v>
                </c:pt>
                <c:pt idx="3786">
                  <c:v>669.4579999999974</c:v>
                </c:pt>
                <c:pt idx="3787">
                  <c:v>669.635</c:v>
                </c:pt>
                <c:pt idx="3788">
                  <c:v>669.809</c:v>
                </c:pt>
                <c:pt idx="3789">
                  <c:v>669.9829999999994</c:v>
                </c:pt>
                <c:pt idx="3790">
                  <c:v>670.1569999999994</c:v>
                </c:pt>
                <c:pt idx="3791">
                  <c:v>670.3279999999974</c:v>
                </c:pt>
                <c:pt idx="3792">
                  <c:v>670.499</c:v>
                </c:pt>
                <c:pt idx="3793">
                  <c:v>670.6659999999994</c:v>
                </c:pt>
                <c:pt idx="3794">
                  <c:v>670.8339999999994</c:v>
                </c:pt>
                <c:pt idx="3795">
                  <c:v>671.001</c:v>
                </c:pt>
                <c:pt idx="3796">
                  <c:v>671.1659999999994</c:v>
                </c:pt>
                <c:pt idx="3797">
                  <c:v>671.3289999999994</c:v>
                </c:pt>
                <c:pt idx="3798">
                  <c:v>671.492</c:v>
                </c:pt>
                <c:pt idx="3799">
                  <c:v>671.654</c:v>
                </c:pt>
                <c:pt idx="3800">
                  <c:v>671.8159999999979</c:v>
                </c:pt>
                <c:pt idx="3801">
                  <c:v>671.976</c:v>
                </c:pt>
                <c:pt idx="3802">
                  <c:v>672.136</c:v>
                </c:pt>
                <c:pt idx="3803">
                  <c:v>672.296</c:v>
                </c:pt>
                <c:pt idx="3804">
                  <c:v>672.4559999999979</c:v>
                </c:pt>
                <c:pt idx="3805">
                  <c:v>672.612</c:v>
                </c:pt>
                <c:pt idx="3806">
                  <c:v>672.771</c:v>
                </c:pt>
                <c:pt idx="3807">
                  <c:v>672.9299999999994</c:v>
                </c:pt>
                <c:pt idx="3808">
                  <c:v>673.09</c:v>
                </c:pt>
                <c:pt idx="3809">
                  <c:v>673.251</c:v>
                </c:pt>
                <c:pt idx="3810">
                  <c:v>673.4109999999994</c:v>
                </c:pt>
                <c:pt idx="3811">
                  <c:v>673.572</c:v>
                </c:pt>
                <c:pt idx="3812">
                  <c:v>673.73</c:v>
                </c:pt>
                <c:pt idx="3813">
                  <c:v>673.889</c:v>
                </c:pt>
                <c:pt idx="3814">
                  <c:v>674.0459999999994</c:v>
                </c:pt>
                <c:pt idx="3815">
                  <c:v>674.2</c:v>
                </c:pt>
                <c:pt idx="3816">
                  <c:v>674.3479999999921</c:v>
                </c:pt>
                <c:pt idx="3817">
                  <c:v>674.499</c:v>
                </c:pt>
                <c:pt idx="3818">
                  <c:v>674.654</c:v>
                </c:pt>
                <c:pt idx="3819">
                  <c:v>674.8129999999974</c:v>
                </c:pt>
                <c:pt idx="3820">
                  <c:v>674.971</c:v>
                </c:pt>
                <c:pt idx="3821">
                  <c:v>675.131</c:v>
                </c:pt>
                <c:pt idx="3822">
                  <c:v>675.292</c:v>
                </c:pt>
                <c:pt idx="3823">
                  <c:v>675.4519999999974</c:v>
                </c:pt>
                <c:pt idx="3824">
                  <c:v>675.6130000000001</c:v>
                </c:pt>
                <c:pt idx="3825">
                  <c:v>675.773</c:v>
                </c:pt>
                <c:pt idx="3826">
                  <c:v>675.9359999999979</c:v>
                </c:pt>
                <c:pt idx="3827">
                  <c:v>676.098</c:v>
                </c:pt>
                <c:pt idx="3828">
                  <c:v>676.258</c:v>
                </c:pt>
                <c:pt idx="3829">
                  <c:v>676.418</c:v>
                </c:pt>
                <c:pt idx="3830">
                  <c:v>676.576</c:v>
                </c:pt>
                <c:pt idx="3831">
                  <c:v>676.736</c:v>
                </c:pt>
                <c:pt idx="3832">
                  <c:v>676.8969999999994</c:v>
                </c:pt>
                <c:pt idx="3833">
                  <c:v>677.0569999999979</c:v>
                </c:pt>
                <c:pt idx="3834">
                  <c:v>677.218</c:v>
                </c:pt>
                <c:pt idx="3835">
                  <c:v>677.379</c:v>
                </c:pt>
                <c:pt idx="3836">
                  <c:v>677.539</c:v>
                </c:pt>
                <c:pt idx="3837">
                  <c:v>677.699</c:v>
                </c:pt>
                <c:pt idx="3838">
                  <c:v>677.8549999999979</c:v>
                </c:pt>
                <c:pt idx="3839">
                  <c:v>678.0119999999994</c:v>
                </c:pt>
                <c:pt idx="3840">
                  <c:v>678.172</c:v>
                </c:pt>
                <c:pt idx="3841">
                  <c:v>678.3329999999974</c:v>
                </c:pt>
                <c:pt idx="3842">
                  <c:v>678.495</c:v>
                </c:pt>
                <c:pt idx="3843">
                  <c:v>678.658</c:v>
                </c:pt>
                <c:pt idx="3844">
                  <c:v>678.819</c:v>
                </c:pt>
                <c:pt idx="3845">
                  <c:v>678.98</c:v>
                </c:pt>
                <c:pt idx="3846">
                  <c:v>679.139</c:v>
                </c:pt>
                <c:pt idx="3847">
                  <c:v>679.299</c:v>
                </c:pt>
                <c:pt idx="3848">
                  <c:v>679.4589999999994</c:v>
                </c:pt>
                <c:pt idx="3849">
                  <c:v>679.619</c:v>
                </c:pt>
                <c:pt idx="3850">
                  <c:v>679.778</c:v>
                </c:pt>
                <c:pt idx="3851">
                  <c:v>679.9369999999974</c:v>
                </c:pt>
                <c:pt idx="3852">
                  <c:v>680.098</c:v>
                </c:pt>
                <c:pt idx="3853">
                  <c:v>680.259</c:v>
                </c:pt>
                <c:pt idx="3854">
                  <c:v>680.418</c:v>
                </c:pt>
                <c:pt idx="3855">
                  <c:v>680.578</c:v>
                </c:pt>
                <c:pt idx="3856">
                  <c:v>680.74</c:v>
                </c:pt>
                <c:pt idx="3857">
                  <c:v>680.9</c:v>
                </c:pt>
                <c:pt idx="3858">
                  <c:v>681.0599999999994</c:v>
                </c:pt>
                <c:pt idx="3859">
                  <c:v>681.217</c:v>
                </c:pt>
                <c:pt idx="3860">
                  <c:v>681.375</c:v>
                </c:pt>
                <c:pt idx="3861">
                  <c:v>681.534</c:v>
                </c:pt>
                <c:pt idx="3862">
                  <c:v>681.693</c:v>
                </c:pt>
                <c:pt idx="3863">
                  <c:v>681.8539999999994</c:v>
                </c:pt>
                <c:pt idx="3864">
                  <c:v>682.014</c:v>
                </c:pt>
                <c:pt idx="3865">
                  <c:v>682.175</c:v>
                </c:pt>
                <c:pt idx="3866">
                  <c:v>682.3359999999974</c:v>
                </c:pt>
                <c:pt idx="3867">
                  <c:v>682.497</c:v>
                </c:pt>
                <c:pt idx="3868">
                  <c:v>682.658</c:v>
                </c:pt>
                <c:pt idx="3869">
                  <c:v>682.819</c:v>
                </c:pt>
                <c:pt idx="3870">
                  <c:v>682.9779999999994</c:v>
                </c:pt>
                <c:pt idx="3871">
                  <c:v>683.134</c:v>
                </c:pt>
                <c:pt idx="3872">
                  <c:v>683.291</c:v>
                </c:pt>
                <c:pt idx="3873">
                  <c:v>683.449</c:v>
                </c:pt>
                <c:pt idx="3874">
                  <c:v>683.607</c:v>
                </c:pt>
                <c:pt idx="3875">
                  <c:v>683.7669999999994</c:v>
                </c:pt>
                <c:pt idx="3876">
                  <c:v>683.929</c:v>
                </c:pt>
                <c:pt idx="3877">
                  <c:v>684.09</c:v>
                </c:pt>
                <c:pt idx="3878">
                  <c:v>684.2519999999994</c:v>
                </c:pt>
                <c:pt idx="3879">
                  <c:v>684.4109999999994</c:v>
                </c:pt>
                <c:pt idx="3880">
                  <c:v>684.569</c:v>
                </c:pt>
                <c:pt idx="3881">
                  <c:v>684.729</c:v>
                </c:pt>
                <c:pt idx="3882">
                  <c:v>684.8869999999994</c:v>
                </c:pt>
                <c:pt idx="3883">
                  <c:v>685.0469999999979</c:v>
                </c:pt>
                <c:pt idx="3884">
                  <c:v>685.209</c:v>
                </c:pt>
                <c:pt idx="3885">
                  <c:v>685.3679999999914</c:v>
                </c:pt>
                <c:pt idx="3886">
                  <c:v>685.5259999999994</c:v>
                </c:pt>
                <c:pt idx="3887">
                  <c:v>685.685</c:v>
                </c:pt>
                <c:pt idx="3888">
                  <c:v>685.8449999999979</c:v>
                </c:pt>
                <c:pt idx="3889">
                  <c:v>686.006</c:v>
                </c:pt>
                <c:pt idx="3890">
                  <c:v>686.1659999999994</c:v>
                </c:pt>
                <c:pt idx="3891">
                  <c:v>686.3259999999979</c:v>
                </c:pt>
                <c:pt idx="3892">
                  <c:v>686.4829999999994</c:v>
                </c:pt>
                <c:pt idx="3893">
                  <c:v>686.641</c:v>
                </c:pt>
                <c:pt idx="3894">
                  <c:v>686.8</c:v>
                </c:pt>
                <c:pt idx="3895">
                  <c:v>686.9589999999994</c:v>
                </c:pt>
                <c:pt idx="3896">
                  <c:v>687.118</c:v>
                </c:pt>
                <c:pt idx="3897">
                  <c:v>687.278</c:v>
                </c:pt>
                <c:pt idx="3898">
                  <c:v>687.439</c:v>
                </c:pt>
                <c:pt idx="3899">
                  <c:v>687.598</c:v>
                </c:pt>
                <c:pt idx="3900">
                  <c:v>687.7569999999994</c:v>
                </c:pt>
                <c:pt idx="3901">
                  <c:v>687.914</c:v>
                </c:pt>
                <c:pt idx="3902">
                  <c:v>688.072</c:v>
                </c:pt>
                <c:pt idx="3903">
                  <c:v>688.232</c:v>
                </c:pt>
                <c:pt idx="3904">
                  <c:v>688.394</c:v>
                </c:pt>
                <c:pt idx="3905">
                  <c:v>688.5549999999994</c:v>
                </c:pt>
                <c:pt idx="3906">
                  <c:v>688.715</c:v>
                </c:pt>
                <c:pt idx="3907">
                  <c:v>688.8769999999994</c:v>
                </c:pt>
                <c:pt idx="3908">
                  <c:v>689.0409999999994</c:v>
                </c:pt>
                <c:pt idx="3909">
                  <c:v>689.202</c:v>
                </c:pt>
                <c:pt idx="3910">
                  <c:v>689.3639999999979</c:v>
                </c:pt>
                <c:pt idx="3911">
                  <c:v>689.525</c:v>
                </c:pt>
                <c:pt idx="3912">
                  <c:v>689.686</c:v>
                </c:pt>
                <c:pt idx="3913">
                  <c:v>689.8459999999974</c:v>
                </c:pt>
                <c:pt idx="3914">
                  <c:v>690.005</c:v>
                </c:pt>
                <c:pt idx="3915">
                  <c:v>690.164</c:v>
                </c:pt>
                <c:pt idx="3916">
                  <c:v>690.3209999999979</c:v>
                </c:pt>
                <c:pt idx="3917">
                  <c:v>690.482</c:v>
                </c:pt>
                <c:pt idx="3918">
                  <c:v>690.644</c:v>
                </c:pt>
                <c:pt idx="3919">
                  <c:v>690.8059999999994</c:v>
                </c:pt>
                <c:pt idx="3920">
                  <c:v>690.9659999999974</c:v>
                </c:pt>
                <c:pt idx="3921">
                  <c:v>691.125</c:v>
                </c:pt>
                <c:pt idx="3922">
                  <c:v>691.283</c:v>
                </c:pt>
                <c:pt idx="3923">
                  <c:v>691.4419999999974</c:v>
                </c:pt>
                <c:pt idx="3924">
                  <c:v>691.599</c:v>
                </c:pt>
                <c:pt idx="3925">
                  <c:v>691.7569999999994</c:v>
                </c:pt>
                <c:pt idx="3926">
                  <c:v>691.915</c:v>
                </c:pt>
                <c:pt idx="3927">
                  <c:v>692.075</c:v>
                </c:pt>
                <c:pt idx="3928">
                  <c:v>692.234</c:v>
                </c:pt>
                <c:pt idx="3929">
                  <c:v>692.394</c:v>
                </c:pt>
                <c:pt idx="3930">
                  <c:v>692.5519999999979</c:v>
                </c:pt>
                <c:pt idx="3931">
                  <c:v>692.711</c:v>
                </c:pt>
                <c:pt idx="3932">
                  <c:v>692.872</c:v>
                </c:pt>
                <c:pt idx="3933">
                  <c:v>693.034</c:v>
                </c:pt>
                <c:pt idx="3934">
                  <c:v>693.196</c:v>
                </c:pt>
                <c:pt idx="3935">
                  <c:v>693.3579999999816</c:v>
                </c:pt>
                <c:pt idx="3936">
                  <c:v>693.521</c:v>
                </c:pt>
                <c:pt idx="3937">
                  <c:v>693.686</c:v>
                </c:pt>
                <c:pt idx="3938">
                  <c:v>693.8489999999994</c:v>
                </c:pt>
                <c:pt idx="3939">
                  <c:v>694.008</c:v>
                </c:pt>
                <c:pt idx="3940">
                  <c:v>694.169</c:v>
                </c:pt>
                <c:pt idx="3941">
                  <c:v>694.3289999999994</c:v>
                </c:pt>
                <c:pt idx="3942">
                  <c:v>694.492</c:v>
                </c:pt>
                <c:pt idx="3943">
                  <c:v>694.6519999999994</c:v>
                </c:pt>
                <c:pt idx="3944">
                  <c:v>694.814</c:v>
                </c:pt>
                <c:pt idx="3945">
                  <c:v>694.979</c:v>
                </c:pt>
                <c:pt idx="3946">
                  <c:v>695.1469999999994</c:v>
                </c:pt>
                <c:pt idx="3947">
                  <c:v>695.3129999999974</c:v>
                </c:pt>
                <c:pt idx="3948">
                  <c:v>695.473</c:v>
                </c:pt>
                <c:pt idx="3949">
                  <c:v>695.6319999999994</c:v>
                </c:pt>
                <c:pt idx="3950">
                  <c:v>695.791</c:v>
                </c:pt>
                <c:pt idx="3951">
                  <c:v>695.9499999999994</c:v>
                </c:pt>
                <c:pt idx="3952">
                  <c:v>696.109</c:v>
                </c:pt>
                <c:pt idx="3953">
                  <c:v>696.2669999999994</c:v>
                </c:pt>
                <c:pt idx="3954">
                  <c:v>696.4249999999994</c:v>
                </c:pt>
                <c:pt idx="3955">
                  <c:v>696.583</c:v>
                </c:pt>
                <c:pt idx="3956">
                  <c:v>696.742</c:v>
                </c:pt>
                <c:pt idx="3957">
                  <c:v>696.9019999999994</c:v>
                </c:pt>
                <c:pt idx="3958">
                  <c:v>697.0619999999974</c:v>
                </c:pt>
                <c:pt idx="3959">
                  <c:v>697.221</c:v>
                </c:pt>
                <c:pt idx="3960">
                  <c:v>697.38</c:v>
                </c:pt>
                <c:pt idx="3961">
                  <c:v>697.54</c:v>
                </c:pt>
                <c:pt idx="3962">
                  <c:v>697.7</c:v>
                </c:pt>
                <c:pt idx="3963">
                  <c:v>697.8569999999974</c:v>
                </c:pt>
                <c:pt idx="3964">
                  <c:v>698.019</c:v>
                </c:pt>
                <c:pt idx="3965">
                  <c:v>698.182</c:v>
                </c:pt>
                <c:pt idx="3966">
                  <c:v>698.3439999999994</c:v>
                </c:pt>
                <c:pt idx="3967">
                  <c:v>698.506</c:v>
                </c:pt>
                <c:pt idx="3968">
                  <c:v>698.6659999999994</c:v>
                </c:pt>
                <c:pt idx="3969">
                  <c:v>698.8259999999979</c:v>
                </c:pt>
                <c:pt idx="3970">
                  <c:v>698.985</c:v>
                </c:pt>
                <c:pt idx="3971">
                  <c:v>699.141</c:v>
                </c:pt>
                <c:pt idx="3972">
                  <c:v>699.297</c:v>
                </c:pt>
                <c:pt idx="3973">
                  <c:v>699.4579999999974</c:v>
                </c:pt>
                <c:pt idx="3974">
                  <c:v>699.62</c:v>
                </c:pt>
                <c:pt idx="3975">
                  <c:v>699.782</c:v>
                </c:pt>
                <c:pt idx="3976">
                  <c:v>699.9449999999994</c:v>
                </c:pt>
                <c:pt idx="3977">
                  <c:v>700.1079999999994</c:v>
                </c:pt>
                <c:pt idx="3978">
                  <c:v>700.272</c:v>
                </c:pt>
                <c:pt idx="3979">
                  <c:v>700.4349999999994</c:v>
                </c:pt>
                <c:pt idx="3980">
                  <c:v>700.601</c:v>
                </c:pt>
                <c:pt idx="3981">
                  <c:v>700.766</c:v>
                </c:pt>
                <c:pt idx="3982">
                  <c:v>700.9299999999994</c:v>
                </c:pt>
                <c:pt idx="3983">
                  <c:v>701.093</c:v>
                </c:pt>
                <c:pt idx="3984">
                  <c:v>701.255</c:v>
                </c:pt>
                <c:pt idx="3985">
                  <c:v>701.4159999999994</c:v>
                </c:pt>
                <c:pt idx="3986">
                  <c:v>701.577</c:v>
                </c:pt>
                <c:pt idx="3987">
                  <c:v>701.735</c:v>
                </c:pt>
                <c:pt idx="3988">
                  <c:v>701.895</c:v>
                </c:pt>
                <c:pt idx="3989">
                  <c:v>702.054</c:v>
                </c:pt>
                <c:pt idx="3990">
                  <c:v>702.212</c:v>
                </c:pt>
                <c:pt idx="3991">
                  <c:v>702.372</c:v>
                </c:pt>
                <c:pt idx="3992">
                  <c:v>702.5319999999994</c:v>
                </c:pt>
                <c:pt idx="3993">
                  <c:v>702.695</c:v>
                </c:pt>
                <c:pt idx="3994">
                  <c:v>702.8599999999974</c:v>
                </c:pt>
                <c:pt idx="3995">
                  <c:v>703.023</c:v>
                </c:pt>
                <c:pt idx="3996">
                  <c:v>703.184</c:v>
                </c:pt>
                <c:pt idx="3997">
                  <c:v>703.3439999999994</c:v>
                </c:pt>
                <c:pt idx="3998">
                  <c:v>703.505</c:v>
                </c:pt>
                <c:pt idx="3999">
                  <c:v>703.6669999999979</c:v>
                </c:pt>
                <c:pt idx="4000">
                  <c:v>703.8299999999994</c:v>
                </c:pt>
                <c:pt idx="4001">
                  <c:v>703.993</c:v>
                </c:pt>
                <c:pt idx="4002">
                  <c:v>704.1559999999994</c:v>
                </c:pt>
                <c:pt idx="4003">
                  <c:v>704.319</c:v>
                </c:pt>
                <c:pt idx="4004">
                  <c:v>704.484</c:v>
                </c:pt>
                <c:pt idx="4005">
                  <c:v>704.646</c:v>
                </c:pt>
                <c:pt idx="4006">
                  <c:v>704.8059999999994</c:v>
                </c:pt>
                <c:pt idx="4007">
                  <c:v>704.9669999999974</c:v>
                </c:pt>
                <c:pt idx="4008">
                  <c:v>705.1269999999994</c:v>
                </c:pt>
                <c:pt idx="4009">
                  <c:v>705.287</c:v>
                </c:pt>
                <c:pt idx="4010">
                  <c:v>705.444</c:v>
                </c:pt>
                <c:pt idx="4011">
                  <c:v>705.6029999999994</c:v>
                </c:pt>
                <c:pt idx="4012">
                  <c:v>705.7619999999994</c:v>
                </c:pt>
                <c:pt idx="4013">
                  <c:v>705.918</c:v>
                </c:pt>
                <c:pt idx="4014">
                  <c:v>706.076</c:v>
                </c:pt>
                <c:pt idx="4015">
                  <c:v>706.232</c:v>
                </c:pt>
                <c:pt idx="4016">
                  <c:v>706.391</c:v>
                </c:pt>
                <c:pt idx="4017">
                  <c:v>706.553</c:v>
                </c:pt>
                <c:pt idx="4018">
                  <c:v>706.715</c:v>
                </c:pt>
                <c:pt idx="4019">
                  <c:v>706.878</c:v>
                </c:pt>
                <c:pt idx="4020">
                  <c:v>707.04</c:v>
                </c:pt>
                <c:pt idx="4021">
                  <c:v>707.203</c:v>
                </c:pt>
                <c:pt idx="4022">
                  <c:v>707.37</c:v>
                </c:pt>
                <c:pt idx="4023">
                  <c:v>707.535</c:v>
                </c:pt>
                <c:pt idx="4024">
                  <c:v>707.699</c:v>
                </c:pt>
                <c:pt idx="4025">
                  <c:v>707.8599999999974</c:v>
                </c:pt>
                <c:pt idx="4026">
                  <c:v>708.0219999999994</c:v>
                </c:pt>
                <c:pt idx="4027">
                  <c:v>708.183</c:v>
                </c:pt>
                <c:pt idx="4028">
                  <c:v>708.3439999999994</c:v>
                </c:pt>
                <c:pt idx="4029">
                  <c:v>708.504</c:v>
                </c:pt>
                <c:pt idx="4030">
                  <c:v>708.665</c:v>
                </c:pt>
                <c:pt idx="4031">
                  <c:v>708.8259999999979</c:v>
                </c:pt>
                <c:pt idx="4032">
                  <c:v>708.986</c:v>
                </c:pt>
                <c:pt idx="4033">
                  <c:v>709.144</c:v>
                </c:pt>
                <c:pt idx="4034">
                  <c:v>709.303</c:v>
                </c:pt>
                <c:pt idx="4035">
                  <c:v>709.4649999999979</c:v>
                </c:pt>
                <c:pt idx="4036">
                  <c:v>709.628</c:v>
                </c:pt>
                <c:pt idx="4037">
                  <c:v>709.789</c:v>
                </c:pt>
                <c:pt idx="4038">
                  <c:v>709.949</c:v>
                </c:pt>
                <c:pt idx="4039">
                  <c:v>710.112</c:v>
                </c:pt>
                <c:pt idx="4040">
                  <c:v>710.273</c:v>
                </c:pt>
                <c:pt idx="4041">
                  <c:v>710.4309999999994</c:v>
                </c:pt>
                <c:pt idx="4042">
                  <c:v>710.591</c:v>
                </c:pt>
                <c:pt idx="4043">
                  <c:v>710.751</c:v>
                </c:pt>
                <c:pt idx="4044">
                  <c:v>710.913</c:v>
                </c:pt>
                <c:pt idx="4045">
                  <c:v>711.073</c:v>
                </c:pt>
                <c:pt idx="4046">
                  <c:v>711.236</c:v>
                </c:pt>
                <c:pt idx="4047">
                  <c:v>711.399</c:v>
                </c:pt>
                <c:pt idx="4048">
                  <c:v>711.5619999999974</c:v>
                </c:pt>
                <c:pt idx="4049">
                  <c:v>711.724</c:v>
                </c:pt>
                <c:pt idx="4050">
                  <c:v>711.885</c:v>
                </c:pt>
                <c:pt idx="4051">
                  <c:v>712.044</c:v>
                </c:pt>
                <c:pt idx="4052">
                  <c:v>712.202</c:v>
                </c:pt>
                <c:pt idx="4053">
                  <c:v>712.3619999999906</c:v>
                </c:pt>
                <c:pt idx="4054">
                  <c:v>712.523</c:v>
                </c:pt>
                <c:pt idx="4055">
                  <c:v>712.685</c:v>
                </c:pt>
                <c:pt idx="4056">
                  <c:v>712.8399999999979</c:v>
                </c:pt>
                <c:pt idx="4057">
                  <c:v>712.997</c:v>
                </c:pt>
                <c:pt idx="4058">
                  <c:v>713.154</c:v>
                </c:pt>
                <c:pt idx="4059">
                  <c:v>713.309</c:v>
                </c:pt>
                <c:pt idx="4060">
                  <c:v>713.4649999999979</c:v>
                </c:pt>
                <c:pt idx="4061">
                  <c:v>713.623</c:v>
                </c:pt>
                <c:pt idx="4062">
                  <c:v>713.786</c:v>
                </c:pt>
                <c:pt idx="4063">
                  <c:v>713.9509999999979</c:v>
                </c:pt>
                <c:pt idx="4064">
                  <c:v>714.116</c:v>
                </c:pt>
                <c:pt idx="4065">
                  <c:v>714.28</c:v>
                </c:pt>
                <c:pt idx="4066">
                  <c:v>714.444</c:v>
                </c:pt>
                <c:pt idx="4067">
                  <c:v>714.607</c:v>
                </c:pt>
                <c:pt idx="4068">
                  <c:v>714.771</c:v>
                </c:pt>
                <c:pt idx="4069">
                  <c:v>714.934</c:v>
                </c:pt>
                <c:pt idx="4070">
                  <c:v>715.095</c:v>
                </c:pt>
                <c:pt idx="4071">
                  <c:v>715.258</c:v>
                </c:pt>
                <c:pt idx="4072">
                  <c:v>715.418</c:v>
                </c:pt>
                <c:pt idx="4073">
                  <c:v>715.579</c:v>
                </c:pt>
                <c:pt idx="4074">
                  <c:v>715.737</c:v>
                </c:pt>
                <c:pt idx="4075">
                  <c:v>715.896</c:v>
                </c:pt>
                <c:pt idx="4076">
                  <c:v>716.0549999999994</c:v>
                </c:pt>
                <c:pt idx="4077">
                  <c:v>716.217</c:v>
                </c:pt>
                <c:pt idx="4078">
                  <c:v>716.383</c:v>
                </c:pt>
                <c:pt idx="4079">
                  <c:v>716.5459999999994</c:v>
                </c:pt>
                <c:pt idx="4080">
                  <c:v>716.708</c:v>
                </c:pt>
                <c:pt idx="4081">
                  <c:v>716.8639999999979</c:v>
                </c:pt>
                <c:pt idx="4082">
                  <c:v>717.021</c:v>
                </c:pt>
                <c:pt idx="4083">
                  <c:v>717.18</c:v>
                </c:pt>
                <c:pt idx="4084">
                  <c:v>717.3409999999974</c:v>
                </c:pt>
                <c:pt idx="4085">
                  <c:v>717.501</c:v>
                </c:pt>
                <c:pt idx="4086">
                  <c:v>717.6619999999979</c:v>
                </c:pt>
                <c:pt idx="4087">
                  <c:v>717.8259999999979</c:v>
                </c:pt>
                <c:pt idx="4088">
                  <c:v>717.9880000000001</c:v>
                </c:pt>
                <c:pt idx="4089">
                  <c:v>718.154</c:v>
                </c:pt>
                <c:pt idx="4090">
                  <c:v>718.324</c:v>
                </c:pt>
                <c:pt idx="4091">
                  <c:v>718.5</c:v>
                </c:pt>
                <c:pt idx="4092">
                  <c:v>718.677</c:v>
                </c:pt>
                <c:pt idx="4093">
                  <c:v>718.8579999999816</c:v>
                </c:pt>
                <c:pt idx="4094">
                  <c:v>719.043</c:v>
                </c:pt>
                <c:pt idx="4095">
                  <c:v>719.2279999999994</c:v>
                </c:pt>
                <c:pt idx="4096">
                  <c:v>719.413</c:v>
                </c:pt>
                <c:pt idx="4097">
                  <c:v>719.597</c:v>
                </c:pt>
                <c:pt idx="4098">
                  <c:v>719.779</c:v>
                </c:pt>
                <c:pt idx="4099">
                  <c:v>719.9649999999979</c:v>
                </c:pt>
                <c:pt idx="4100">
                  <c:v>720.148</c:v>
                </c:pt>
                <c:pt idx="4101">
                  <c:v>720.3319999999974</c:v>
                </c:pt>
                <c:pt idx="4102">
                  <c:v>720.516</c:v>
                </c:pt>
                <c:pt idx="4103">
                  <c:v>720.7</c:v>
                </c:pt>
                <c:pt idx="4104">
                  <c:v>720.8819999999994</c:v>
                </c:pt>
                <c:pt idx="4105">
                  <c:v>721.0629999999974</c:v>
                </c:pt>
                <c:pt idx="4106">
                  <c:v>721.249</c:v>
                </c:pt>
                <c:pt idx="4107">
                  <c:v>721.4359999999979</c:v>
                </c:pt>
                <c:pt idx="4108">
                  <c:v>721.621</c:v>
                </c:pt>
                <c:pt idx="4109">
                  <c:v>721.8049999999994</c:v>
                </c:pt>
                <c:pt idx="4110">
                  <c:v>721.989</c:v>
                </c:pt>
                <c:pt idx="4111">
                  <c:v>722.17</c:v>
                </c:pt>
                <c:pt idx="4112">
                  <c:v>722.3479999999921</c:v>
                </c:pt>
                <c:pt idx="4113">
                  <c:v>722.5269999999994</c:v>
                </c:pt>
                <c:pt idx="4114">
                  <c:v>722.707</c:v>
                </c:pt>
                <c:pt idx="4115">
                  <c:v>722.8869999999994</c:v>
                </c:pt>
                <c:pt idx="4116">
                  <c:v>723.07</c:v>
                </c:pt>
                <c:pt idx="4117">
                  <c:v>723.251</c:v>
                </c:pt>
                <c:pt idx="4118">
                  <c:v>723.4359999999979</c:v>
                </c:pt>
                <c:pt idx="4119">
                  <c:v>723.619</c:v>
                </c:pt>
                <c:pt idx="4120">
                  <c:v>723.8019999999979</c:v>
                </c:pt>
                <c:pt idx="4121">
                  <c:v>723.982</c:v>
                </c:pt>
                <c:pt idx="4122">
                  <c:v>724.1659999999994</c:v>
                </c:pt>
                <c:pt idx="4123">
                  <c:v>724.3519999999974</c:v>
                </c:pt>
                <c:pt idx="4124">
                  <c:v>724.5359999999994</c:v>
                </c:pt>
                <c:pt idx="4125">
                  <c:v>724.722</c:v>
                </c:pt>
                <c:pt idx="4126">
                  <c:v>724.915</c:v>
                </c:pt>
                <c:pt idx="4127">
                  <c:v>725.107</c:v>
                </c:pt>
                <c:pt idx="4128">
                  <c:v>725.298</c:v>
                </c:pt>
                <c:pt idx="4129">
                  <c:v>725.4880000000001</c:v>
                </c:pt>
                <c:pt idx="4130">
                  <c:v>725.675</c:v>
                </c:pt>
                <c:pt idx="4131">
                  <c:v>725.8609999999974</c:v>
                </c:pt>
                <c:pt idx="4132">
                  <c:v>726.0459999999994</c:v>
                </c:pt>
                <c:pt idx="4133">
                  <c:v>726.231</c:v>
                </c:pt>
                <c:pt idx="4134">
                  <c:v>726.415</c:v>
                </c:pt>
                <c:pt idx="4135">
                  <c:v>726.599</c:v>
                </c:pt>
                <c:pt idx="4136">
                  <c:v>726.781</c:v>
                </c:pt>
                <c:pt idx="4137">
                  <c:v>726.9619999999974</c:v>
                </c:pt>
                <c:pt idx="4138">
                  <c:v>727.146</c:v>
                </c:pt>
                <c:pt idx="4139">
                  <c:v>727.3299999999994</c:v>
                </c:pt>
                <c:pt idx="4140">
                  <c:v>727.513</c:v>
                </c:pt>
                <c:pt idx="4141">
                  <c:v>727.698</c:v>
                </c:pt>
                <c:pt idx="4142">
                  <c:v>727.881</c:v>
                </c:pt>
                <c:pt idx="4143">
                  <c:v>728.0619999999974</c:v>
                </c:pt>
                <c:pt idx="4144">
                  <c:v>728.244</c:v>
                </c:pt>
                <c:pt idx="4145">
                  <c:v>728.4259999999994</c:v>
                </c:pt>
                <c:pt idx="4146">
                  <c:v>728.607</c:v>
                </c:pt>
                <c:pt idx="4147">
                  <c:v>728.794</c:v>
                </c:pt>
                <c:pt idx="4148">
                  <c:v>728.984</c:v>
                </c:pt>
                <c:pt idx="4149">
                  <c:v>729.174</c:v>
                </c:pt>
                <c:pt idx="4150">
                  <c:v>729.3599999999974</c:v>
                </c:pt>
                <c:pt idx="4151">
                  <c:v>729.544</c:v>
                </c:pt>
                <c:pt idx="4152">
                  <c:v>729.725</c:v>
                </c:pt>
                <c:pt idx="4153">
                  <c:v>729.908</c:v>
                </c:pt>
                <c:pt idx="4154">
                  <c:v>730.092</c:v>
                </c:pt>
                <c:pt idx="4155">
                  <c:v>730.276</c:v>
                </c:pt>
                <c:pt idx="4156">
                  <c:v>730.4579999999974</c:v>
                </c:pt>
                <c:pt idx="4157">
                  <c:v>730.638</c:v>
                </c:pt>
                <c:pt idx="4158">
                  <c:v>730.8159999999979</c:v>
                </c:pt>
                <c:pt idx="4159">
                  <c:v>730.994</c:v>
                </c:pt>
                <c:pt idx="4160">
                  <c:v>731.173</c:v>
                </c:pt>
                <c:pt idx="4161">
                  <c:v>731.3519999999974</c:v>
                </c:pt>
                <c:pt idx="4162">
                  <c:v>731.535</c:v>
                </c:pt>
                <c:pt idx="4163">
                  <c:v>731.721</c:v>
                </c:pt>
                <c:pt idx="4164">
                  <c:v>731.909</c:v>
                </c:pt>
                <c:pt idx="4165">
                  <c:v>732.097</c:v>
                </c:pt>
                <c:pt idx="4166">
                  <c:v>732.288</c:v>
                </c:pt>
                <c:pt idx="4167">
                  <c:v>732.471</c:v>
                </c:pt>
                <c:pt idx="4168">
                  <c:v>732.653</c:v>
                </c:pt>
                <c:pt idx="4169">
                  <c:v>732.8349999999979</c:v>
                </c:pt>
                <c:pt idx="4170">
                  <c:v>733.019</c:v>
                </c:pt>
                <c:pt idx="4171">
                  <c:v>733.202</c:v>
                </c:pt>
                <c:pt idx="4172">
                  <c:v>733.3869999999994</c:v>
                </c:pt>
                <c:pt idx="4173">
                  <c:v>733.571</c:v>
                </c:pt>
                <c:pt idx="4174">
                  <c:v>733.7569999999994</c:v>
                </c:pt>
                <c:pt idx="4175">
                  <c:v>733.944</c:v>
                </c:pt>
                <c:pt idx="4176">
                  <c:v>734.13</c:v>
                </c:pt>
                <c:pt idx="4177">
                  <c:v>734.3159999999979</c:v>
                </c:pt>
                <c:pt idx="4178">
                  <c:v>734.5</c:v>
                </c:pt>
                <c:pt idx="4179">
                  <c:v>734.686</c:v>
                </c:pt>
                <c:pt idx="4180">
                  <c:v>734.8669999999836</c:v>
                </c:pt>
                <c:pt idx="4181">
                  <c:v>735.049</c:v>
                </c:pt>
                <c:pt idx="4182">
                  <c:v>735.234</c:v>
                </c:pt>
                <c:pt idx="4183">
                  <c:v>735.42</c:v>
                </c:pt>
                <c:pt idx="4184">
                  <c:v>735.604</c:v>
                </c:pt>
                <c:pt idx="4185">
                  <c:v>735.787</c:v>
                </c:pt>
                <c:pt idx="4186">
                  <c:v>735.977</c:v>
                </c:pt>
                <c:pt idx="4187">
                  <c:v>736.1619999999979</c:v>
                </c:pt>
                <c:pt idx="4188">
                  <c:v>736.3409999999974</c:v>
                </c:pt>
                <c:pt idx="4189">
                  <c:v>736.5219999999994</c:v>
                </c:pt>
                <c:pt idx="4190">
                  <c:v>736.705</c:v>
                </c:pt>
                <c:pt idx="4191">
                  <c:v>736.8869999999994</c:v>
                </c:pt>
                <c:pt idx="4192">
                  <c:v>737.075</c:v>
                </c:pt>
                <c:pt idx="4193">
                  <c:v>737.2619999999994</c:v>
                </c:pt>
                <c:pt idx="4194">
                  <c:v>737.4469999999974</c:v>
                </c:pt>
                <c:pt idx="4195">
                  <c:v>737.631</c:v>
                </c:pt>
                <c:pt idx="4196">
                  <c:v>737.814</c:v>
                </c:pt>
                <c:pt idx="4197">
                  <c:v>737.993</c:v>
                </c:pt>
                <c:pt idx="4198">
                  <c:v>738.171</c:v>
                </c:pt>
                <c:pt idx="4199">
                  <c:v>738.3489999999994</c:v>
                </c:pt>
                <c:pt idx="4200">
                  <c:v>738.53</c:v>
                </c:pt>
                <c:pt idx="4201">
                  <c:v>738.713</c:v>
                </c:pt>
                <c:pt idx="4202">
                  <c:v>738.899</c:v>
                </c:pt>
                <c:pt idx="4203">
                  <c:v>739.082</c:v>
                </c:pt>
                <c:pt idx="4204">
                  <c:v>739.261</c:v>
                </c:pt>
                <c:pt idx="4205">
                  <c:v>739.4399999999994</c:v>
                </c:pt>
                <c:pt idx="4206">
                  <c:v>739.625</c:v>
                </c:pt>
                <c:pt idx="4207">
                  <c:v>739.8119999999974</c:v>
                </c:pt>
                <c:pt idx="4208">
                  <c:v>739.998</c:v>
                </c:pt>
                <c:pt idx="4209">
                  <c:v>740.184</c:v>
                </c:pt>
                <c:pt idx="4210">
                  <c:v>740.3679999999914</c:v>
                </c:pt>
                <c:pt idx="4211">
                  <c:v>740.5559999999994</c:v>
                </c:pt>
                <c:pt idx="4212">
                  <c:v>740.745</c:v>
                </c:pt>
                <c:pt idx="4213">
                  <c:v>740.9329999999974</c:v>
                </c:pt>
                <c:pt idx="4214">
                  <c:v>741.118</c:v>
                </c:pt>
                <c:pt idx="4215">
                  <c:v>741.303</c:v>
                </c:pt>
                <c:pt idx="4216">
                  <c:v>741.485</c:v>
                </c:pt>
                <c:pt idx="4217">
                  <c:v>741.664</c:v>
                </c:pt>
                <c:pt idx="4218">
                  <c:v>741.8429999999923</c:v>
                </c:pt>
                <c:pt idx="4219">
                  <c:v>742.0219999999994</c:v>
                </c:pt>
                <c:pt idx="4220">
                  <c:v>742.206</c:v>
                </c:pt>
                <c:pt idx="4221">
                  <c:v>742.393</c:v>
                </c:pt>
                <c:pt idx="4222">
                  <c:v>742.582</c:v>
                </c:pt>
                <c:pt idx="4223">
                  <c:v>742.773</c:v>
                </c:pt>
                <c:pt idx="4224">
                  <c:v>742.9629999999925</c:v>
                </c:pt>
                <c:pt idx="4225">
                  <c:v>743.154</c:v>
                </c:pt>
                <c:pt idx="4226">
                  <c:v>743.3419999999974</c:v>
                </c:pt>
                <c:pt idx="4227">
                  <c:v>743.525</c:v>
                </c:pt>
                <c:pt idx="4228">
                  <c:v>743.708</c:v>
                </c:pt>
                <c:pt idx="4229">
                  <c:v>743.891</c:v>
                </c:pt>
                <c:pt idx="4230">
                  <c:v>744.079</c:v>
                </c:pt>
                <c:pt idx="4231">
                  <c:v>744.272</c:v>
                </c:pt>
                <c:pt idx="4232">
                  <c:v>744.4629999999925</c:v>
                </c:pt>
                <c:pt idx="4233">
                  <c:v>744.648</c:v>
                </c:pt>
                <c:pt idx="4234">
                  <c:v>744.8279999999974</c:v>
                </c:pt>
                <c:pt idx="4235">
                  <c:v>745.011</c:v>
                </c:pt>
                <c:pt idx="4236">
                  <c:v>745.197</c:v>
                </c:pt>
                <c:pt idx="4237">
                  <c:v>745.383</c:v>
                </c:pt>
                <c:pt idx="4238">
                  <c:v>745.569</c:v>
                </c:pt>
                <c:pt idx="4239">
                  <c:v>745.753</c:v>
                </c:pt>
                <c:pt idx="4240">
                  <c:v>745.9399999999994</c:v>
                </c:pt>
                <c:pt idx="4241">
                  <c:v>746.122</c:v>
                </c:pt>
                <c:pt idx="4242">
                  <c:v>746.299</c:v>
                </c:pt>
                <c:pt idx="4243">
                  <c:v>746.476</c:v>
                </c:pt>
                <c:pt idx="4244">
                  <c:v>746.655</c:v>
                </c:pt>
                <c:pt idx="4245">
                  <c:v>746.8419999999974</c:v>
                </c:pt>
                <c:pt idx="4246">
                  <c:v>747.033</c:v>
                </c:pt>
                <c:pt idx="4247">
                  <c:v>747.219</c:v>
                </c:pt>
                <c:pt idx="4248">
                  <c:v>747.399</c:v>
                </c:pt>
                <c:pt idx="4249">
                  <c:v>747.579</c:v>
                </c:pt>
                <c:pt idx="4250">
                  <c:v>747.758</c:v>
                </c:pt>
                <c:pt idx="4251">
                  <c:v>747.9419999999974</c:v>
                </c:pt>
                <c:pt idx="4252">
                  <c:v>748.128</c:v>
                </c:pt>
                <c:pt idx="4253">
                  <c:v>748.3129999999974</c:v>
                </c:pt>
                <c:pt idx="4254">
                  <c:v>748.496</c:v>
                </c:pt>
                <c:pt idx="4255">
                  <c:v>748.681</c:v>
                </c:pt>
                <c:pt idx="4256">
                  <c:v>748.8649999999974</c:v>
                </c:pt>
                <c:pt idx="4257">
                  <c:v>749.049</c:v>
                </c:pt>
                <c:pt idx="4258">
                  <c:v>749.234</c:v>
                </c:pt>
                <c:pt idx="4259">
                  <c:v>749.423</c:v>
                </c:pt>
                <c:pt idx="4260">
                  <c:v>749.617</c:v>
                </c:pt>
                <c:pt idx="4261">
                  <c:v>749.809</c:v>
                </c:pt>
                <c:pt idx="4262">
                  <c:v>749.994</c:v>
                </c:pt>
                <c:pt idx="4263">
                  <c:v>750.182</c:v>
                </c:pt>
                <c:pt idx="4264">
                  <c:v>750.3669999999836</c:v>
                </c:pt>
                <c:pt idx="4265">
                  <c:v>750.554</c:v>
                </c:pt>
                <c:pt idx="4266">
                  <c:v>750.742</c:v>
                </c:pt>
                <c:pt idx="4267">
                  <c:v>750.9269999999979</c:v>
                </c:pt>
                <c:pt idx="4268">
                  <c:v>751.1130000000001</c:v>
                </c:pt>
                <c:pt idx="4269">
                  <c:v>751.298</c:v>
                </c:pt>
                <c:pt idx="4270">
                  <c:v>751.48</c:v>
                </c:pt>
                <c:pt idx="4271">
                  <c:v>751.6619999999979</c:v>
                </c:pt>
                <c:pt idx="4272">
                  <c:v>751.8429999999923</c:v>
                </c:pt>
                <c:pt idx="4273">
                  <c:v>752.029</c:v>
                </c:pt>
                <c:pt idx="4274">
                  <c:v>752.215</c:v>
                </c:pt>
                <c:pt idx="4275">
                  <c:v>752.399</c:v>
                </c:pt>
                <c:pt idx="4276">
                  <c:v>752.581</c:v>
                </c:pt>
                <c:pt idx="4277">
                  <c:v>752.761</c:v>
                </c:pt>
                <c:pt idx="4278">
                  <c:v>752.944</c:v>
                </c:pt>
                <c:pt idx="4279">
                  <c:v>753.129</c:v>
                </c:pt>
                <c:pt idx="4280">
                  <c:v>753.319</c:v>
                </c:pt>
                <c:pt idx="4281">
                  <c:v>753.511</c:v>
                </c:pt>
                <c:pt idx="4282">
                  <c:v>753.703</c:v>
                </c:pt>
                <c:pt idx="4283">
                  <c:v>753.895</c:v>
                </c:pt>
                <c:pt idx="4284">
                  <c:v>754.082</c:v>
                </c:pt>
                <c:pt idx="4285">
                  <c:v>754.263</c:v>
                </c:pt>
                <c:pt idx="4286">
                  <c:v>754.4469999999974</c:v>
                </c:pt>
                <c:pt idx="4287">
                  <c:v>754.63</c:v>
                </c:pt>
                <c:pt idx="4288">
                  <c:v>754.819</c:v>
                </c:pt>
                <c:pt idx="4289">
                  <c:v>755.01</c:v>
                </c:pt>
                <c:pt idx="4290">
                  <c:v>755.199</c:v>
                </c:pt>
                <c:pt idx="4291">
                  <c:v>755.381</c:v>
                </c:pt>
                <c:pt idx="4292">
                  <c:v>755.5629999999974</c:v>
                </c:pt>
                <c:pt idx="4293">
                  <c:v>755.749</c:v>
                </c:pt>
                <c:pt idx="4294">
                  <c:v>755.9369999999974</c:v>
                </c:pt>
                <c:pt idx="4295">
                  <c:v>756.126</c:v>
                </c:pt>
                <c:pt idx="4296">
                  <c:v>756.3169999999974</c:v>
                </c:pt>
                <c:pt idx="4297">
                  <c:v>756.505</c:v>
                </c:pt>
                <c:pt idx="4298">
                  <c:v>756.69</c:v>
                </c:pt>
                <c:pt idx="4299">
                  <c:v>756.8689999999979</c:v>
                </c:pt>
                <c:pt idx="4300">
                  <c:v>757.0469999999979</c:v>
                </c:pt>
                <c:pt idx="4301">
                  <c:v>757.226</c:v>
                </c:pt>
                <c:pt idx="4302">
                  <c:v>757.408</c:v>
                </c:pt>
                <c:pt idx="4303">
                  <c:v>757.594</c:v>
                </c:pt>
                <c:pt idx="4304">
                  <c:v>757.784</c:v>
                </c:pt>
                <c:pt idx="4305">
                  <c:v>757.977</c:v>
                </c:pt>
                <c:pt idx="4306">
                  <c:v>758.169</c:v>
                </c:pt>
                <c:pt idx="4307">
                  <c:v>758.3589999999994</c:v>
                </c:pt>
                <c:pt idx="4308">
                  <c:v>758.5459999999994</c:v>
                </c:pt>
                <c:pt idx="4309">
                  <c:v>758.7329999999994</c:v>
                </c:pt>
                <c:pt idx="4310">
                  <c:v>758.92</c:v>
                </c:pt>
                <c:pt idx="4311">
                  <c:v>759.106</c:v>
                </c:pt>
                <c:pt idx="4312">
                  <c:v>759.293</c:v>
                </c:pt>
                <c:pt idx="4313">
                  <c:v>759.482</c:v>
                </c:pt>
                <c:pt idx="4314">
                  <c:v>759.6669999999979</c:v>
                </c:pt>
                <c:pt idx="4315">
                  <c:v>759.8499999999979</c:v>
                </c:pt>
                <c:pt idx="4316">
                  <c:v>760.034</c:v>
                </c:pt>
                <c:pt idx="4317">
                  <c:v>760.216</c:v>
                </c:pt>
                <c:pt idx="4318">
                  <c:v>760.398</c:v>
                </c:pt>
                <c:pt idx="4319">
                  <c:v>760.578</c:v>
                </c:pt>
                <c:pt idx="4320">
                  <c:v>760.7569999999994</c:v>
                </c:pt>
                <c:pt idx="4321">
                  <c:v>760.9399999999994</c:v>
                </c:pt>
                <c:pt idx="4322">
                  <c:v>761.121</c:v>
                </c:pt>
                <c:pt idx="4323">
                  <c:v>761.304</c:v>
                </c:pt>
                <c:pt idx="4324">
                  <c:v>761.4880000000001</c:v>
                </c:pt>
                <c:pt idx="4325">
                  <c:v>761.671</c:v>
                </c:pt>
                <c:pt idx="4326">
                  <c:v>761.8529999999918</c:v>
                </c:pt>
                <c:pt idx="4327">
                  <c:v>762.033</c:v>
                </c:pt>
                <c:pt idx="4328">
                  <c:v>762.2140000000001</c:v>
                </c:pt>
                <c:pt idx="4329">
                  <c:v>762.399</c:v>
                </c:pt>
                <c:pt idx="4330">
                  <c:v>762.587</c:v>
                </c:pt>
                <c:pt idx="4331">
                  <c:v>762.779</c:v>
                </c:pt>
                <c:pt idx="4332">
                  <c:v>762.9679999999923</c:v>
                </c:pt>
                <c:pt idx="4333">
                  <c:v>763.154</c:v>
                </c:pt>
                <c:pt idx="4334">
                  <c:v>763.3409999999974</c:v>
                </c:pt>
                <c:pt idx="4335">
                  <c:v>763.53</c:v>
                </c:pt>
                <c:pt idx="4336">
                  <c:v>763.717</c:v>
                </c:pt>
                <c:pt idx="4337">
                  <c:v>763.903</c:v>
                </c:pt>
                <c:pt idx="4338">
                  <c:v>764.09</c:v>
                </c:pt>
                <c:pt idx="4339">
                  <c:v>764.277</c:v>
                </c:pt>
                <c:pt idx="4340">
                  <c:v>764.4689999999994</c:v>
                </c:pt>
                <c:pt idx="4341">
                  <c:v>764.658</c:v>
                </c:pt>
                <c:pt idx="4342">
                  <c:v>764.8459999999974</c:v>
                </c:pt>
                <c:pt idx="4343">
                  <c:v>765.0319999999994</c:v>
                </c:pt>
                <c:pt idx="4344">
                  <c:v>765.22</c:v>
                </c:pt>
                <c:pt idx="4345">
                  <c:v>765.4069999999994</c:v>
                </c:pt>
                <c:pt idx="4346">
                  <c:v>765.592</c:v>
                </c:pt>
                <c:pt idx="4347">
                  <c:v>765.774</c:v>
                </c:pt>
                <c:pt idx="4348">
                  <c:v>765.9569999999974</c:v>
                </c:pt>
                <c:pt idx="4349">
                  <c:v>766.141</c:v>
                </c:pt>
                <c:pt idx="4350">
                  <c:v>766.3209999999979</c:v>
                </c:pt>
                <c:pt idx="4351">
                  <c:v>766.499</c:v>
                </c:pt>
                <c:pt idx="4352">
                  <c:v>766.679</c:v>
                </c:pt>
                <c:pt idx="4353">
                  <c:v>766.8599999999974</c:v>
                </c:pt>
                <c:pt idx="4354">
                  <c:v>767.04</c:v>
                </c:pt>
                <c:pt idx="4355">
                  <c:v>767.224</c:v>
                </c:pt>
                <c:pt idx="4356">
                  <c:v>767.4059999999994</c:v>
                </c:pt>
                <c:pt idx="4357">
                  <c:v>767.592</c:v>
                </c:pt>
                <c:pt idx="4358">
                  <c:v>767.775</c:v>
                </c:pt>
                <c:pt idx="4359">
                  <c:v>767.9559999999979</c:v>
                </c:pt>
                <c:pt idx="4360">
                  <c:v>768.136</c:v>
                </c:pt>
                <c:pt idx="4361">
                  <c:v>768.3179999999974</c:v>
                </c:pt>
                <c:pt idx="4362">
                  <c:v>768.494</c:v>
                </c:pt>
                <c:pt idx="4363">
                  <c:v>768.665</c:v>
                </c:pt>
                <c:pt idx="4364">
                  <c:v>768.8399999999979</c:v>
                </c:pt>
                <c:pt idx="4365">
                  <c:v>769.02</c:v>
                </c:pt>
                <c:pt idx="4366">
                  <c:v>769.201</c:v>
                </c:pt>
                <c:pt idx="4367">
                  <c:v>769.384</c:v>
                </c:pt>
                <c:pt idx="4368">
                  <c:v>769.5669999999974</c:v>
                </c:pt>
                <c:pt idx="4369">
                  <c:v>769.749</c:v>
                </c:pt>
                <c:pt idx="4370">
                  <c:v>769.928</c:v>
                </c:pt>
                <c:pt idx="4371">
                  <c:v>770.107</c:v>
                </c:pt>
                <c:pt idx="4372">
                  <c:v>770.287</c:v>
                </c:pt>
                <c:pt idx="4373">
                  <c:v>770.471</c:v>
                </c:pt>
                <c:pt idx="4374">
                  <c:v>770.654</c:v>
                </c:pt>
                <c:pt idx="4375">
                  <c:v>770.8379999999925</c:v>
                </c:pt>
                <c:pt idx="4376">
                  <c:v>771.019</c:v>
                </c:pt>
                <c:pt idx="4377">
                  <c:v>771.2</c:v>
                </c:pt>
                <c:pt idx="4378">
                  <c:v>771.384</c:v>
                </c:pt>
                <c:pt idx="4379">
                  <c:v>771.5679999999974</c:v>
                </c:pt>
                <c:pt idx="4380">
                  <c:v>771.751</c:v>
                </c:pt>
                <c:pt idx="4381">
                  <c:v>771.9329999999974</c:v>
                </c:pt>
                <c:pt idx="4382">
                  <c:v>772.117</c:v>
                </c:pt>
                <c:pt idx="4383">
                  <c:v>772.296</c:v>
                </c:pt>
                <c:pt idx="4384">
                  <c:v>772.473</c:v>
                </c:pt>
                <c:pt idx="4385">
                  <c:v>772.648</c:v>
                </c:pt>
                <c:pt idx="4386">
                  <c:v>772.8219999999974</c:v>
                </c:pt>
                <c:pt idx="4387">
                  <c:v>772.994</c:v>
                </c:pt>
                <c:pt idx="4388">
                  <c:v>773.165</c:v>
                </c:pt>
                <c:pt idx="4389">
                  <c:v>773.3349999999979</c:v>
                </c:pt>
                <c:pt idx="4390">
                  <c:v>773.505</c:v>
                </c:pt>
                <c:pt idx="4391">
                  <c:v>773.676</c:v>
                </c:pt>
                <c:pt idx="4392">
                  <c:v>773.8459999999974</c:v>
                </c:pt>
                <c:pt idx="4393">
                  <c:v>774.018</c:v>
                </c:pt>
                <c:pt idx="4394">
                  <c:v>774.189</c:v>
                </c:pt>
                <c:pt idx="4395">
                  <c:v>774.3609999999974</c:v>
                </c:pt>
                <c:pt idx="4396">
                  <c:v>774.535</c:v>
                </c:pt>
                <c:pt idx="4397">
                  <c:v>774.708</c:v>
                </c:pt>
                <c:pt idx="4398">
                  <c:v>774.88</c:v>
                </c:pt>
                <c:pt idx="4399">
                  <c:v>775.053</c:v>
                </c:pt>
                <c:pt idx="4400">
                  <c:v>775.225</c:v>
                </c:pt>
                <c:pt idx="4401">
                  <c:v>775.399</c:v>
                </c:pt>
                <c:pt idx="4402">
                  <c:v>775.571</c:v>
                </c:pt>
                <c:pt idx="4403">
                  <c:v>775.742</c:v>
                </c:pt>
                <c:pt idx="4404">
                  <c:v>775.9119999999979</c:v>
                </c:pt>
                <c:pt idx="4405">
                  <c:v>776.085</c:v>
                </c:pt>
                <c:pt idx="4406">
                  <c:v>776.261</c:v>
                </c:pt>
                <c:pt idx="4407">
                  <c:v>776.4369999999974</c:v>
                </c:pt>
                <c:pt idx="4408">
                  <c:v>776.6130000000001</c:v>
                </c:pt>
                <c:pt idx="4409">
                  <c:v>776.789</c:v>
                </c:pt>
                <c:pt idx="4410">
                  <c:v>776.9609999999974</c:v>
                </c:pt>
                <c:pt idx="4411">
                  <c:v>777.134</c:v>
                </c:pt>
                <c:pt idx="4412">
                  <c:v>777.3069999999979</c:v>
                </c:pt>
                <c:pt idx="4413">
                  <c:v>777.481</c:v>
                </c:pt>
                <c:pt idx="4414">
                  <c:v>777.653</c:v>
                </c:pt>
                <c:pt idx="4415">
                  <c:v>777.8229999999974</c:v>
                </c:pt>
                <c:pt idx="4416">
                  <c:v>777.994</c:v>
                </c:pt>
                <c:pt idx="4417">
                  <c:v>778.164</c:v>
                </c:pt>
                <c:pt idx="4418">
                  <c:v>778.3329999999974</c:v>
                </c:pt>
                <c:pt idx="4419">
                  <c:v>778.501</c:v>
                </c:pt>
                <c:pt idx="4420">
                  <c:v>778.67</c:v>
                </c:pt>
                <c:pt idx="4421">
                  <c:v>778.8409999999974</c:v>
                </c:pt>
                <c:pt idx="4422">
                  <c:v>779.009</c:v>
                </c:pt>
                <c:pt idx="4423">
                  <c:v>779.177</c:v>
                </c:pt>
                <c:pt idx="4424">
                  <c:v>779.3469999999974</c:v>
                </c:pt>
                <c:pt idx="4425">
                  <c:v>779.519</c:v>
                </c:pt>
                <c:pt idx="4426">
                  <c:v>779.691</c:v>
                </c:pt>
                <c:pt idx="4427">
                  <c:v>779.8669999999836</c:v>
                </c:pt>
                <c:pt idx="4428">
                  <c:v>780.0409999999994</c:v>
                </c:pt>
                <c:pt idx="4429">
                  <c:v>780.217</c:v>
                </c:pt>
                <c:pt idx="4430">
                  <c:v>780.391</c:v>
                </c:pt>
                <c:pt idx="4431">
                  <c:v>780.564</c:v>
                </c:pt>
                <c:pt idx="4432">
                  <c:v>780.734</c:v>
                </c:pt>
                <c:pt idx="4433">
                  <c:v>780.904</c:v>
                </c:pt>
                <c:pt idx="4434">
                  <c:v>781.072</c:v>
                </c:pt>
                <c:pt idx="4435">
                  <c:v>781.24</c:v>
                </c:pt>
                <c:pt idx="4436">
                  <c:v>781.409</c:v>
                </c:pt>
                <c:pt idx="4437">
                  <c:v>781.581</c:v>
                </c:pt>
                <c:pt idx="4438">
                  <c:v>781.751</c:v>
                </c:pt>
                <c:pt idx="4439">
                  <c:v>781.923</c:v>
                </c:pt>
                <c:pt idx="4440">
                  <c:v>782.095</c:v>
                </c:pt>
                <c:pt idx="4441">
                  <c:v>782.266</c:v>
                </c:pt>
                <c:pt idx="4442">
                  <c:v>782.4369999999974</c:v>
                </c:pt>
                <c:pt idx="4443">
                  <c:v>782.611</c:v>
                </c:pt>
                <c:pt idx="4444">
                  <c:v>782.784</c:v>
                </c:pt>
                <c:pt idx="4445">
                  <c:v>782.9539999999994</c:v>
                </c:pt>
                <c:pt idx="4446">
                  <c:v>783.126</c:v>
                </c:pt>
                <c:pt idx="4447">
                  <c:v>783.3019999999979</c:v>
                </c:pt>
                <c:pt idx="4448">
                  <c:v>783.477</c:v>
                </c:pt>
                <c:pt idx="4449">
                  <c:v>783.6519999999994</c:v>
                </c:pt>
                <c:pt idx="4450">
                  <c:v>783.8269999999974</c:v>
                </c:pt>
                <c:pt idx="4451">
                  <c:v>784.001</c:v>
                </c:pt>
                <c:pt idx="4452">
                  <c:v>784.173</c:v>
                </c:pt>
                <c:pt idx="4453">
                  <c:v>784.3469999999974</c:v>
                </c:pt>
                <c:pt idx="4454">
                  <c:v>784.518</c:v>
                </c:pt>
                <c:pt idx="4455">
                  <c:v>784.689</c:v>
                </c:pt>
                <c:pt idx="4456">
                  <c:v>784.8619999999906</c:v>
                </c:pt>
                <c:pt idx="4457">
                  <c:v>785.034</c:v>
                </c:pt>
                <c:pt idx="4458">
                  <c:v>785.205</c:v>
                </c:pt>
                <c:pt idx="4459">
                  <c:v>785.376</c:v>
                </c:pt>
                <c:pt idx="4460">
                  <c:v>785.548</c:v>
                </c:pt>
                <c:pt idx="4461">
                  <c:v>785.719</c:v>
                </c:pt>
                <c:pt idx="4462">
                  <c:v>785.89</c:v>
                </c:pt>
                <c:pt idx="4463">
                  <c:v>786.0609999999979</c:v>
                </c:pt>
                <c:pt idx="4464">
                  <c:v>786.23</c:v>
                </c:pt>
                <c:pt idx="4465">
                  <c:v>786.4009999999994</c:v>
                </c:pt>
                <c:pt idx="4466">
                  <c:v>786.571</c:v>
                </c:pt>
                <c:pt idx="4467">
                  <c:v>786.741</c:v>
                </c:pt>
                <c:pt idx="4468">
                  <c:v>786.913</c:v>
                </c:pt>
                <c:pt idx="4469">
                  <c:v>787.085</c:v>
                </c:pt>
                <c:pt idx="4470">
                  <c:v>787.2569999999994</c:v>
                </c:pt>
                <c:pt idx="4471">
                  <c:v>787.428</c:v>
                </c:pt>
                <c:pt idx="4472">
                  <c:v>787.599</c:v>
                </c:pt>
                <c:pt idx="4473">
                  <c:v>787.768</c:v>
                </c:pt>
                <c:pt idx="4474">
                  <c:v>787.9379999999974</c:v>
                </c:pt>
                <c:pt idx="4475">
                  <c:v>788.109</c:v>
                </c:pt>
                <c:pt idx="4476">
                  <c:v>788.281</c:v>
                </c:pt>
                <c:pt idx="4477">
                  <c:v>788.4539999999994</c:v>
                </c:pt>
                <c:pt idx="4478">
                  <c:v>788.626</c:v>
                </c:pt>
                <c:pt idx="4479">
                  <c:v>788.797</c:v>
                </c:pt>
                <c:pt idx="4480">
                  <c:v>788.97</c:v>
                </c:pt>
                <c:pt idx="4481">
                  <c:v>789.143</c:v>
                </c:pt>
                <c:pt idx="4482">
                  <c:v>789.314</c:v>
                </c:pt>
                <c:pt idx="4483">
                  <c:v>789.484</c:v>
                </c:pt>
                <c:pt idx="4484">
                  <c:v>789.653</c:v>
                </c:pt>
                <c:pt idx="4485">
                  <c:v>789.8219999999974</c:v>
                </c:pt>
                <c:pt idx="4486">
                  <c:v>789.994</c:v>
                </c:pt>
                <c:pt idx="4487">
                  <c:v>790.163</c:v>
                </c:pt>
                <c:pt idx="4488">
                  <c:v>790.3299999999994</c:v>
                </c:pt>
                <c:pt idx="4489">
                  <c:v>790.497</c:v>
                </c:pt>
                <c:pt idx="4490">
                  <c:v>790.663</c:v>
                </c:pt>
                <c:pt idx="4491">
                  <c:v>790.8329999999974</c:v>
                </c:pt>
                <c:pt idx="4492">
                  <c:v>791.003</c:v>
                </c:pt>
                <c:pt idx="4493">
                  <c:v>791.173</c:v>
                </c:pt>
                <c:pt idx="4494">
                  <c:v>791.3439999999994</c:v>
                </c:pt>
                <c:pt idx="4495">
                  <c:v>791.516</c:v>
                </c:pt>
                <c:pt idx="4496">
                  <c:v>791.686</c:v>
                </c:pt>
                <c:pt idx="4497">
                  <c:v>791.8529999999918</c:v>
                </c:pt>
                <c:pt idx="4498">
                  <c:v>792.0219999999994</c:v>
                </c:pt>
                <c:pt idx="4499">
                  <c:v>792.192</c:v>
                </c:pt>
                <c:pt idx="4500">
                  <c:v>792.3630000000001</c:v>
                </c:pt>
                <c:pt idx="4501">
                  <c:v>792.534</c:v>
                </c:pt>
                <c:pt idx="4502">
                  <c:v>792.704</c:v>
                </c:pt>
                <c:pt idx="4503">
                  <c:v>792.876</c:v>
                </c:pt>
                <c:pt idx="4504">
                  <c:v>793.048</c:v>
                </c:pt>
                <c:pt idx="4505">
                  <c:v>793.22</c:v>
                </c:pt>
                <c:pt idx="4506">
                  <c:v>793.39</c:v>
                </c:pt>
                <c:pt idx="4507">
                  <c:v>793.559</c:v>
                </c:pt>
                <c:pt idx="4508">
                  <c:v>793.7279999999994</c:v>
                </c:pt>
                <c:pt idx="4509">
                  <c:v>793.9</c:v>
                </c:pt>
                <c:pt idx="4510">
                  <c:v>794.071</c:v>
                </c:pt>
                <c:pt idx="4511">
                  <c:v>794.245</c:v>
                </c:pt>
                <c:pt idx="4512">
                  <c:v>794.4169999999979</c:v>
                </c:pt>
                <c:pt idx="4513">
                  <c:v>794.5890000000001</c:v>
                </c:pt>
                <c:pt idx="4514">
                  <c:v>794.761</c:v>
                </c:pt>
                <c:pt idx="4515">
                  <c:v>794.9309999999994</c:v>
                </c:pt>
                <c:pt idx="4516">
                  <c:v>795.102</c:v>
                </c:pt>
                <c:pt idx="4517">
                  <c:v>795.273</c:v>
                </c:pt>
                <c:pt idx="4518">
                  <c:v>795.4459999999979</c:v>
                </c:pt>
                <c:pt idx="4519">
                  <c:v>795.619</c:v>
                </c:pt>
                <c:pt idx="4520">
                  <c:v>795.791</c:v>
                </c:pt>
                <c:pt idx="4521">
                  <c:v>795.9629999999925</c:v>
                </c:pt>
                <c:pt idx="4522">
                  <c:v>796.136</c:v>
                </c:pt>
                <c:pt idx="4523">
                  <c:v>796.309</c:v>
                </c:pt>
                <c:pt idx="4524">
                  <c:v>796.479</c:v>
                </c:pt>
                <c:pt idx="4525">
                  <c:v>796.65</c:v>
                </c:pt>
                <c:pt idx="4526">
                  <c:v>796.8209999999979</c:v>
                </c:pt>
                <c:pt idx="4527">
                  <c:v>796.992</c:v>
                </c:pt>
                <c:pt idx="4528">
                  <c:v>797.163</c:v>
                </c:pt>
                <c:pt idx="4529">
                  <c:v>797.3319999999974</c:v>
                </c:pt>
                <c:pt idx="4530">
                  <c:v>797.501</c:v>
                </c:pt>
                <c:pt idx="4531">
                  <c:v>797.671</c:v>
                </c:pt>
                <c:pt idx="4532">
                  <c:v>797.8439999999994</c:v>
                </c:pt>
                <c:pt idx="4533">
                  <c:v>798.015</c:v>
                </c:pt>
                <c:pt idx="4534">
                  <c:v>798.188</c:v>
                </c:pt>
                <c:pt idx="4535">
                  <c:v>798.3609999999974</c:v>
                </c:pt>
                <c:pt idx="4536">
                  <c:v>798.533</c:v>
                </c:pt>
                <c:pt idx="4537">
                  <c:v>798.704</c:v>
                </c:pt>
                <c:pt idx="4538">
                  <c:v>798.876</c:v>
                </c:pt>
                <c:pt idx="4539">
                  <c:v>799.0469999999979</c:v>
                </c:pt>
                <c:pt idx="4540">
                  <c:v>799.218</c:v>
                </c:pt>
                <c:pt idx="4541">
                  <c:v>799.39</c:v>
                </c:pt>
                <c:pt idx="4542">
                  <c:v>799.5619999999974</c:v>
                </c:pt>
                <c:pt idx="4543">
                  <c:v>799.73</c:v>
                </c:pt>
                <c:pt idx="4544">
                  <c:v>799.8969999999994</c:v>
                </c:pt>
                <c:pt idx="4545">
                  <c:v>800.0659999999979</c:v>
                </c:pt>
                <c:pt idx="4546">
                  <c:v>800.235</c:v>
                </c:pt>
                <c:pt idx="4547">
                  <c:v>800.4069999999994</c:v>
                </c:pt>
                <c:pt idx="4548">
                  <c:v>800.579</c:v>
                </c:pt>
                <c:pt idx="4549">
                  <c:v>800.751</c:v>
                </c:pt>
                <c:pt idx="4550">
                  <c:v>800.9209999999994</c:v>
                </c:pt>
                <c:pt idx="4551">
                  <c:v>801.0890000000001</c:v>
                </c:pt>
                <c:pt idx="4552">
                  <c:v>801.259</c:v>
                </c:pt>
                <c:pt idx="4553">
                  <c:v>801.434</c:v>
                </c:pt>
                <c:pt idx="4554">
                  <c:v>801.609</c:v>
                </c:pt>
                <c:pt idx="4555">
                  <c:v>801.78</c:v>
                </c:pt>
                <c:pt idx="4556">
                  <c:v>801.9469999999974</c:v>
                </c:pt>
                <c:pt idx="4557">
                  <c:v>802.1130000000001</c:v>
                </c:pt>
                <c:pt idx="4558">
                  <c:v>802.28</c:v>
                </c:pt>
                <c:pt idx="4559">
                  <c:v>802.4499999999994</c:v>
                </c:pt>
                <c:pt idx="4560">
                  <c:v>802.62</c:v>
                </c:pt>
                <c:pt idx="4561">
                  <c:v>802.791</c:v>
                </c:pt>
                <c:pt idx="4562">
                  <c:v>802.9629999999925</c:v>
                </c:pt>
                <c:pt idx="4563">
                  <c:v>803.134</c:v>
                </c:pt>
                <c:pt idx="4564">
                  <c:v>803.3049999999994</c:v>
                </c:pt>
                <c:pt idx="4565">
                  <c:v>803.476</c:v>
                </c:pt>
                <c:pt idx="4566">
                  <c:v>803.648</c:v>
                </c:pt>
                <c:pt idx="4567">
                  <c:v>803.8199999999994</c:v>
                </c:pt>
                <c:pt idx="4568">
                  <c:v>803.994</c:v>
                </c:pt>
                <c:pt idx="4569">
                  <c:v>804.164</c:v>
                </c:pt>
                <c:pt idx="4570">
                  <c:v>804.3339999999994</c:v>
                </c:pt>
                <c:pt idx="4571">
                  <c:v>804.505</c:v>
                </c:pt>
                <c:pt idx="4572">
                  <c:v>804.677</c:v>
                </c:pt>
                <c:pt idx="4573">
                  <c:v>804.8489999999994</c:v>
                </c:pt>
                <c:pt idx="4574">
                  <c:v>805.021</c:v>
                </c:pt>
                <c:pt idx="4575">
                  <c:v>805.193</c:v>
                </c:pt>
                <c:pt idx="4576">
                  <c:v>805.3619999999906</c:v>
                </c:pt>
                <c:pt idx="4577">
                  <c:v>805.528</c:v>
                </c:pt>
                <c:pt idx="4578">
                  <c:v>805.695</c:v>
                </c:pt>
                <c:pt idx="4579">
                  <c:v>805.8649999999974</c:v>
                </c:pt>
                <c:pt idx="4580">
                  <c:v>806.035</c:v>
                </c:pt>
                <c:pt idx="4581">
                  <c:v>806.202</c:v>
                </c:pt>
                <c:pt idx="4582">
                  <c:v>806.3689999999979</c:v>
                </c:pt>
                <c:pt idx="4583">
                  <c:v>806.5369999999979</c:v>
                </c:pt>
                <c:pt idx="4584">
                  <c:v>806.705</c:v>
                </c:pt>
                <c:pt idx="4585">
                  <c:v>806.875</c:v>
                </c:pt>
                <c:pt idx="4586">
                  <c:v>807.0459999999994</c:v>
                </c:pt>
                <c:pt idx="4587">
                  <c:v>807.22</c:v>
                </c:pt>
                <c:pt idx="4588">
                  <c:v>807.393</c:v>
                </c:pt>
                <c:pt idx="4589">
                  <c:v>807.5629999999974</c:v>
                </c:pt>
                <c:pt idx="4590">
                  <c:v>807.736</c:v>
                </c:pt>
                <c:pt idx="4591">
                  <c:v>807.908</c:v>
                </c:pt>
                <c:pt idx="4592">
                  <c:v>808.078</c:v>
                </c:pt>
                <c:pt idx="4593">
                  <c:v>808.248</c:v>
                </c:pt>
                <c:pt idx="4594">
                  <c:v>808.42</c:v>
                </c:pt>
                <c:pt idx="4595">
                  <c:v>808.59</c:v>
                </c:pt>
                <c:pt idx="4596">
                  <c:v>808.759</c:v>
                </c:pt>
                <c:pt idx="4597">
                  <c:v>808.928</c:v>
                </c:pt>
                <c:pt idx="4598">
                  <c:v>809.098</c:v>
                </c:pt>
                <c:pt idx="4599">
                  <c:v>809.268</c:v>
                </c:pt>
                <c:pt idx="4600">
                  <c:v>809.4369999999974</c:v>
                </c:pt>
                <c:pt idx="4601">
                  <c:v>809.609</c:v>
                </c:pt>
                <c:pt idx="4602">
                  <c:v>809.778</c:v>
                </c:pt>
                <c:pt idx="4603">
                  <c:v>809.9499999999994</c:v>
                </c:pt>
                <c:pt idx="4604">
                  <c:v>810.121</c:v>
                </c:pt>
                <c:pt idx="4605">
                  <c:v>810.293</c:v>
                </c:pt>
                <c:pt idx="4606">
                  <c:v>810.4640000000001</c:v>
                </c:pt>
                <c:pt idx="4607">
                  <c:v>810.636</c:v>
                </c:pt>
                <c:pt idx="4608">
                  <c:v>810.8079999999974</c:v>
                </c:pt>
                <c:pt idx="4609">
                  <c:v>810.977</c:v>
                </c:pt>
                <c:pt idx="4610">
                  <c:v>811.145</c:v>
                </c:pt>
                <c:pt idx="4611">
                  <c:v>811.3069999999979</c:v>
                </c:pt>
                <c:pt idx="4612">
                  <c:v>811.47</c:v>
                </c:pt>
                <c:pt idx="4613">
                  <c:v>811.6319999999994</c:v>
                </c:pt>
                <c:pt idx="4614">
                  <c:v>811.798</c:v>
                </c:pt>
                <c:pt idx="4615">
                  <c:v>811.9640000000001</c:v>
                </c:pt>
                <c:pt idx="4616">
                  <c:v>812.1319999999994</c:v>
                </c:pt>
                <c:pt idx="4617">
                  <c:v>812.3009999999994</c:v>
                </c:pt>
                <c:pt idx="4618">
                  <c:v>812.472</c:v>
                </c:pt>
                <c:pt idx="4619">
                  <c:v>812.6419999999994</c:v>
                </c:pt>
                <c:pt idx="4620">
                  <c:v>812.8109999999979</c:v>
                </c:pt>
                <c:pt idx="4621">
                  <c:v>812.98</c:v>
                </c:pt>
                <c:pt idx="4622">
                  <c:v>813.15</c:v>
                </c:pt>
                <c:pt idx="4623">
                  <c:v>813.3229999999974</c:v>
                </c:pt>
                <c:pt idx="4624">
                  <c:v>813.496</c:v>
                </c:pt>
                <c:pt idx="4625">
                  <c:v>813.6669999999979</c:v>
                </c:pt>
                <c:pt idx="4626">
                  <c:v>813.8359999999974</c:v>
                </c:pt>
                <c:pt idx="4627">
                  <c:v>814.005</c:v>
                </c:pt>
                <c:pt idx="4628">
                  <c:v>814.174</c:v>
                </c:pt>
                <c:pt idx="4629">
                  <c:v>814.3439999999994</c:v>
                </c:pt>
                <c:pt idx="4630">
                  <c:v>814.516</c:v>
                </c:pt>
                <c:pt idx="4631">
                  <c:v>814.686</c:v>
                </c:pt>
                <c:pt idx="4632">
                  <c:v>814.8569999999974</c:v>
                </c:pt>
                <c:pt idx="4633">
                  <c:v>815.028</c:v>
                </c:pt>
                <c:pt idx="4634">
                  <c:v>815.2</c:v>
                </c:pt>
                <c:pt idx="4635">
                  <c:v>815.3689999999979</c:v>
                </c:pt>
                <c:pt idx="4636">
                  <c:v>815.539</c:v>
                </c:pt>
                <c:pt idx="4637">
                  <c:v>815.71</c:v>
                </c:pt>
                <c:pt idx="4638">
                  <c:v>815.88</c:v>
                </c:pt>
                <c:pt idx="4639">
                  <c:v>816.048</c:v>
                </c:pt>
                <c:pt idx="4640">
                  <c:v>816.216</c:v>
                </c:pt>
                <c:pt idx="4641">
                  <c:v>816.381</c:v>
                </c:pt>
                <c:pt idx="4642">
                  <c:v>816.548</c:v>
                </c:pt>
                <c:pt idx="4643">
                  <c:v>816.716</c:v>
                </c:pt>
                <c:pt idx="4644">
                  <c:v>816.889</c:v>
                </c:pt>
                <c:pt idx="4645">
                  <c:v>817.0619999999974</c:v>
                </c:pt>
                <c:pt idx="4646">
                  <c:v>817.2329999999994</c:v>
                </c:pt>
                <c:pt idx="4647">
                  <c:v>817.4019999999994</c:v>
                </c:pt>
                <c:pt idx="4648">
                  <c:v>817.577</c:v>
                </c:pt>
                <c:pt idx="4649">
                  <c:v>817.749</c:v>
                </c:pt>
                <c:pt idx="4650">
                  <c:v>817.919</c:v>
                </c:pt>
                <c:pt idx="4651">
                  <c:v>818.087</c:v>
                </c:pt>
                <c:pt idx="4652">
                  <c:v>818.256</c:v>
                </c:pt>
                <c:pt idx="4653">
                  <c:v>818.4269999999979</c:v>
                </c:pt>
                <c:pt idx="4654">
                  <c:v>818.598</c:v>
                </c:pt>
                <c:pt idx="4655">
                  <c:v>818.771</c:v>
                </c:pt>
                <c:pt idx="4656">
                  <c:v>818.944</c:v>
                </c:pt>
                <c:pt idx="4657">
                  <c:v>819.117</c:v>
                </c:pt>
                <c:pt idx="4658">
                  <c:v>819.288</c:v>
                </c:pt>
                <c:pt idx="4659">
                  <c:v>819.4579999999974</c:v>
                </c:pt>
                <c:pt idx="4660">
                  <c:v>819.628</c:v>
                </c:pt>
                <c:pt idx="4661">
                  <c:v>819.797</c:v>
                </c:pt>
                <c:pt idx="4662">
                  <c:v>819.9669999999974</c:v>
                </c:pt>
                <c:pt idx="4663">
                  <c:v>820.139</c:v>
                </c:pt>
                <c:pt idx="4664">
                  <c:v>820.3079999999974</c:v>
                </c:pt>
                <c:pt idx="4665">
                  <c:v>820.4779999999994</c:v>
                </c:pt>
                <c:pt idx="4666">
                  <c:v>820.645</c:v>
                </c:pt>
                <c:pt idx="4667">
                  <c:v>820.814</c:v>
                </c:pt>
                <c:pt idx="4668">
                  <c:v>820.981</c:v>
                </c:pt>
                <c:pt idx="4669">
                  <c:v>821.149</c:v>
                </c:pt>
                <c:pt idx="4670">
                  <c:v>821.3199999999994</c:v>
                </c:pt>
                <c:pt idx="4671">
                  <c:v>821.495</c:v>
                </c:pt>
                <c:pt idx="4672">
                  <c:v>821.671</c:v>
                </c:pt>
                <c:pt idx="4673">
                  <c:v>821.8489999999994</c:v>
                </c:pt>
                <c:pt idx="4674">
                  <c:v>822.028</c:v>
                </c:pt>
                <c:pt idx="4675">
                  <c:v>822.205</c:v>
                </c:pt>
                <c:pt idx="4676">
                  <c:v>822.38</c:v>
                </c:pt>
                <c:pt idx="4677">
                  <c:v>822.554</c:v>
                </c:pt>
                <c:pt idx="4678">
                  <c:v>822.726</c:v>
                </c:pt>
                <c:pt idx="4679">
                  <c:v>822.8969999999994</c:v>
                </c:pt>
                <c:pt idx="4680">
                  <c:v>823.0649999999994</c:v>
                </c:pt>
                <c:pt idx="4681">
                  <c:v>823.232</c:v>
                </c:pt>
                <c:pt idx="4682">
                  <c:v>823.398</c:v>
                </c:pt>
                <c:pt idx="4683">
                  <c:v>823.5609999999979</c:v>
                </c:pt>
                <c:pt idx="4684">
                  <c:v>823.718</c:v>
                </c:pt>
                <c:pt idx="4685">
                  <c:v>823.878</c:v>
                </c:pt>
                <c:pt idx="4686">
                  <c:v>824.0419999999979</c:v>
                </c:pt>
                <c:pt idx="4687">
                  <c:v>824.209</c:v>
                </c:pt>
                <c:pt idx="4688">
                  <c:v>824.379</c:v>
                </c:pt>
                <c:pt idx="4689">
                  <c:v>824.55</c:v>
                </c:pt>
                <c:pt idx="4690">
                  <c:v>824.723</c:v>
                </c:pt>
                <c:pt idx="4691">
                  <c:v>824.893</c:v>
                </c:pt>
                <c:pt idx="4692">
                  <c:v>825.069</c:v>
                </c:pt>
                <c:pt idx="4693">
                  <c:v>825.245</c:v>
                </c:pt>
                <c:pt idx="4694">
                  <c:v>825.4209999999994</c:v>
                </c:pt>
                <c:pt idx="4695">
                  <c:v>825.593</c:v>
                </c:pt>
                <c:pt idx="4696">
                  <c:v>825.763</c:v>
                </c:pt>
                <c:pt idx="4697">
                  <c:v>825.9349999999994</c:v>
                </c:pt>
                <c:pt idx="4698">
                  <c:v>826.111</c:v>
                </c:pt>
                <c:pt idx="4699">
                  <c:v>826.29</c:v>
                </c:pt>
                <c:pt idx="4700">
                  <c:v>826.4679999999923</c:v>
                </c:pt>
                <c:pt idx="4701">
                  <c:v>826.646</c:v>
                </c:pt>
                <c:pt idx="4702">
                  <c:v>826.824</c:v>
                </c:pt>
                <c:pt idx="4703">
                  <c:v>827.0</c:v>
                </c:pt>
                <c:pt idx="4704">
                  <c:v>827.174</c:v>
                </c:pt>
                <c:pt idx="4705">
                  <c:v>827.3479999999921</c:v>
                </c:pt>
                <c:pt idx="4706">
                  <c:v>827.519</c:v>
                </c:pt>
                <c:pt idx="4707">
                  <c:v>827.692</c:v>
                </c:pt>
                <c:pt idx="4708">
                  <c:v>827.87</c:v>
                </c:pt>
                <c:pt idx="4709">
                  <c:v>828.044</c:v>
                </c:pt>
                <c:pt idx="4710">
                  <c:v>828.2140000000001</c:v>
                </c:pt>
                <c:pt idx="4711">
                  <c:v>828.3819999999994</c:v>
                </c:pt>
                <c:pt idx="4712">
                  <c:v>828.55</c:v>
                </c:pt>
                <c:pt idx="4713">
                  <c:v>828.718</c:v>
                </c:pt>
                <c:pt idx="4714">
                  <c:v>828.886</c:v>
                </c:pt>
                <c:pt idx="4715">
                  <c:v>829.054</c:v>
                </c:pt>
                <c:pt idx="4716">
                  <c:v>829.224</c:v>
                </c:pt>
                <c:pt idx="4717">
                  <c:v>829.3969999999994</c:v>
                </c:pt>
                <c:pt idx="4718">
                  <c:v>829.571</c:v>
                </c:pt>
                <c:pt idx="4719">
                  <c:v>829.748</c:v>
                </c:pt>
                <c:pt idx="4720">
                  <c:v>829.9249999999994</c:v>
                </c:pt>
                <c:pt idx="4721">
                  <c:v>830.102</c:v>
                </c:pt>
                <c:pt idx="4722">
                  <c:v>830.275</c:v>
                </c:pt>
                <c:pt idx="4723">
                  <c:v>830.4459999999979</c:v>
                </c:pt>
                <c:pt idx="4724">
                  <c:v>830.618</c:v>
                </c:pt>
                <c:pt idx="4725">
                  <c:v>830.788</c:v>
                </c:pt>
                <c:pt idx="4726">
                  <c:v>830.9569999999974</c:v>
                </c:pt>
                <c:pt idx="4727">
                  <c:v>831.124</c:v>
                </c:pt>
                <c:pt idx="4728">
                  <c:v>831.295</c:v>
                </c:pt>
                <c:pt idx="4729">
                  <c:v>831.4689999999994</c:v>
                </c:pt>
                <c:pt idx="4730">
                  <c:v>831.645</c:v>
                </c:pt>
                <c:pt idx="4731">
                  <c:v>831.8209999999979</c:v>
                </c:pt>
                <c:pt idx="4732">
                  <c:v>831.998</c:v>
                </c:pt>
                <c:pt idx="4733">
                  <c:v>832.174</c:v>
                </c:pt>
                <c:pt idx="4734">
                  <c:v>832.3469999999974</c:v>
                </c:pt>
                <c:pt idx="4735">
                  <c:v>832.515</c:v>
                </c:pt>
                <c:pt idx="4736">
                  <c:v>832.681</c:v>
                </c:pt>
                <c:pt idx="4737">
                  <c:v>832.8519999999974</c:v>
                </c:pt>
                <c:pt idx="4738">
                  <c:v>833.03</c:v>
                </c:pt>
                <c:pt idx="4739">
                  <c:v>833.208</c:v>
                </c:pt>
                <c:pt idx="4740">
                  <c:v>833.38</c:v>
                </c:pt>
                <c:pt idx="4741">
                  <c:v>833.55</c:v>
                </c:pt>
                <c:pt idx="4742">
                  <c:v>833.72</c:v>
                </c:pt>
                <c:pt idx="4743">
                  <c:v>833.894</c:v>
                </c:pt>
                <c:pt idx="4744">
                  <c:v>834.069</c:v>
                </c:pt>
                <c:pt idx="4745">
                  <c:v>834.243</c:v>
                </c:pt>
                <c:pt idx="4746">
                  <c:v>834.419</c:v>
                </c:pt>
                <c:pt idx="4747">
                  <c:v>834.593</c:v>
                </c:pt>
                <c:pt idx="4748">
                  <c:v>834.764</c:v>
                </c:pt>
                <c:pt idx="4749">
                  <c:v>834.9309999999994</c:v>
                </c:pt>
                <c:pt idx="4750">
                  <c:v>835.099</c:v>
                </c:pt>
                <c:pt idx="4751">
                  <c:v>835.2669999999994</c:v>
                </c:pt>
                <c:pt idx="4752">
                  <c:v>835.439</c:v>
                </c:pt>
                <c:pt idx="4753">
                  <c:v>835.617</c:v>
                </c:pt>
                <c:pt idx="4754">
                  <c:v>835.795</c:v>
                </c:pt>
                <c:pt idx="4755">
                  <c:v>835.971</c:v>
                </c:pt>
                <c:pt idx="4756">
                  <c:v>836.146</c:v>
                </c:pt>
                <c:pt idx="4757">
                  <c:v>836.3219999999974</c:v>
                </c:pt>
                <c:pt idx="4758">
                  <c:v>836.494</c:v>
                </c:pt>
                <c:pt idx="4759">
                  <c:v>836.664</c:v>
                </c:pt>
                <c:pt idx="4760">
                  <c:v>836.8359999999974</c:v>
                </c:pt>
                <c:pt idx="4761">
                  <c:v>837.005</c:v>
                </c:pt>
                <c:pt idx="4762">
                  <c:v>837.173</c:v>
                </c:pt>
                <c:pt idx="4763">
                  <c:v>837.3449999999979</c:v>
                </c:pt>
                <c:pt idx="4764">
                  <c:v>837.515</c:v>
                </c:pt>
                <c:pt idx="4765">
                  <c:v>837.684</c:v>
                </c:pt>
                <c:pt idx="4766">
                  <c:v>837.8559999999974</c:v>
                </c:pt>
                <c:pt idx="4767">
                  <c:v>838.0309999999994</c:v>
                </c:pt>
                <c:pt idx="4768">
                  <c:v>838.207</c:v>
                </c:pt>
                <c:pt idx="4769">
                  <c:v>838.385</c:v>
                </c:pt>
                <c:pt idx="4770">
                  <c:v>838.5609999999979</c:v>
                </c:pt>
                <c:pt idx="4771">
                  <c:v>838.739</c:v>
                </c:pt>
                <c:pt idx="4772">
                  <c:v>838.915</c:v>
                </c:pt>
                <c:pt idx="4773">
                  <c:v>839.093</c:v>
                </c:pt>
                <c:pt idx="4774">
                  <c:v>839.27</c:v>
                </c:pt>
                <c:pt idx="4775">
                  <c:v>839.4429999999974</c:v>
                </c:pt>
                <c:pt idx="4776">
                  <c:v>839.612</c:v>
                </c:pt>
                <c:pt idx="4777">
                  <c:v>839.784</c:v>
                </c:pt>
                <c:pt idx="4778">
                  <c:v>839.9559999999979</c:v>
                </c:pt>
                <c:pt idx="4779">
                  <c:v>840.129</c:v>
                </c:pt>
                <c:pt idx="4780">
                  <c:v>840.295</c:v>
                </c:pt>
                <c:pt idx="4781">
                  <c:v>840.4549999999994</c:v>
                </c:pt>
                <c:pt idx="4782">
                  <c:v>840.622</c:v>
                </c:pt>
                <c:pt idx="4783">
                  <c:v>840.791</c:v>
                </c:pt>
                <c:pt idx="4784">
                  <c:v>840.9649999999979</c:v>
                </c:pt>
                <c:pt idx="4785">
                  <c:v>841.1369999999994</c:v>
                </c:pt>
                <c:pt idx="4786">
                  <c:v>841.309</c:v>
                </c:pt>
                <c:pt idx="4787">
                  <c:v>841.479</c:v>
                </c:pt>
                <c:pt idx="4788">
                  <c:v>841.648</c:v>
                </c:pt>
                <c:pt idx="4789">
                  <c:v>841.8199999999994</c:v>
                </c:pt>
                <c:pt idx="4790">
                  <c:v>841.993</c:v>
                </c:pt>
                <c:pt idx="4791">
                  <c:v>842.169</c:v>
                </c:pt>
                <c:pt idx="4792">
                  <c:v>842.3369999999974</c:v>
                </c:pt>
                <c:pt idx="4793">
                  <c:v>842.5</c:v>
                </c:pt>
                <c:pt idx="4794">
                  <c:v>842.663</c:v>
                </c:pt>
                <c:pt idx="4795">
                  <c:v>842.8309999999979</c:v>
                </c:pt>
                <c:pt idx="4796">
                  <c:v>843.0019999999994</c:v>
                </c:pt>
                <c:pt idx="4797">
                  <c:v>843.177</c:v>
                </c:pt>
                <c:pt idx="4798">
                  <c:v>843.3549999999979</c:v>
                </c:pt>
                <c:pt idx="4799">
                  <c:v>843.533</c:v>
                </c:pt>
                <c:pt idx="4800">
                  <c:v>843.706</c:v>
                </c:pt>
                <c:pt idx="4801">
                  <c:v>843.883</c:v>
                </c:pt>
                <c:pt idx="4802">
                  <c:v>844.0609999999979</c:v>
                </c:pt>
                <c:pt idx="4803">
                  <c:v>844.235</c:v>
                </c:pt>
                <c:pt idx="4804">
                  <c:v>844.41</c:v>
                </c:pt>
                <c:pt idx="4805">
                  <c:v>844.586</c:v>
                </c:pt>
                <c:pt idx="4806">
                  <c:v>844.7619999999994</c:v>
                </c:pt>
                <c:pt idx="4807">
                  <c:v>844.9369999999974</c:v>
                </c:pt>
                <c:pt idx="4808">
                  <c:v>845.11</c:v>
                </c:pt>
                <c:pt idx="4809">
                  <c:v>845.282</c:v>
                </c:pt>
                <c:pt idx="4810">
                  <c:v>845.4549999999994</c:v>
                </c:pt>
                <c:pt idx="4811">
                  <c:v>845.63</c:v>
                </c:pt>
                <c:pt idx="4812">
                  <c:v>845.804</c:v>
                </c:pt>
                <c:pt idx="4813">
                  <c:v>845.976</c:v>
                </c:pt>
                <c:pt idx="4814">
                  <c:v>846.144</c:v>
                </c:pt>
                <c:pt idx="4815">
                  <c:v>846.314</c:v>
                </c:pt>
                <c:pt idx="4816">
                  <c:v>846.485</c:v>
                </c:pt>
                <c:pt idx="4817">
                  <c:v>846.6609999999994</c:v>
                </c:pt>
                <c:pt idx="4818">
                  <c:v>846.8359999999974</c:v>
                </c:pt>
                <c:pt idx="4819">
                  <c:v>847.01</c:v>
                </c:pt>
                <c:pt idx="4820">
                  <c:v>847.182</c:v>
                </c:pt>
                <c:pt idx="4821">
                  <c:v>847.3519999999974</c:v>
                </c:pt>
                <c:pt idx="4822">
                  <c:v>847.525</c:v>
                </c:pt>
                <c:pt idx="4823">
                  <c:v>847.703</c:v>
                </c:pt>
                <c:pt idx="4824">
                  <c:v>847.881</c:v>
                </c:pt>
                <c:pt idx="4825">
                  <c:v>848.0559999999994</c:v>
                </c:pt>
                <c:pt idx="4826">
                  <c:v>848.227</c:v>
                </c:pt>
                <c:pt idx="4827">
                  <c:v>848.395</c:v>
                </c:pt>
                <c:pt idx="4828">
                  <c:v>848.5629999999974</c:v>
                </c:pt>
                <c:pt idx="4829">
                  <c:v>848.7329999999994</c:v>
                </c:pt>
                <c:pt idx="4830">
                  <c:v>848.9</c:v>
                </c:pt>
                <c:pt idx="4831">
                  <c:v>849.0649999999994</c:v>
                </c:pt>
                <c:pt idx="4832">
                  <c:v>849.2279999999994</c:v>
                </c:pt>
                <c:pt idx="4833">
                  <c:v>849.398</c:v>
                </c:pt>
                <c:pt idx="4834">
                  <c:v>849.571</c:v>
                </c:pt>
                <c:pt idx="4835">
                  <c:v>849.751</c:v>
                </c:pt>
                <c:pt idx="4836">
                  <c:v>849.9309999999994</c:v>
                </c:pt>
                <c:pt idx="4837">
                  <c:v>850.107</c:v>
                </c:pt>
                <c:pt idx="4838">
                  <c:v>850.283</c:v>
                </c:pt>
                <c:pt idx="4839">
                  <c:v>850.4569999999974</c:v>
                </c:pt>
                <c:pt idx="4840">
                  <c:v>850.6319999999994</c:v>
                </c:pt>
                <c:pt idx="4841">
                  <c:v>850.8109999999979</c:v>
                </c:pt>
                <c:pt idx="4842">
                  <c:v>850.989</c:v>
                </c:pt>
                <c:pt idx="4843">
                  <c:v>851.164</c:v>
                </c:pt>
                <c:pt idx="4844">
                  <c:v>851.3409999999974</c:v>
                </c:pt>
                <c:pt idx="4845">
                  <c:v>851.521</c:v>
                </c:pt>
                <c:pt idx="4846">
                  <c:v>851.703</c:v>
                </c:pt>
                <c:pt idx="4847">
                  <c:v>851.885</c:v>
                </c:pt>
                <c:pt idx="4848">
                  <c:v>852.064</c:v>
                </c:pt>
                <c:pt idx="4849">
                  <c:v>852.241</c:v>
                </c:pt>
                <c:pt idx="4850">
                  <c:v>852.414</c:v>
                </c:pt>
                <c:pt idx="4851">
                  <c:v>852.582</c:v>
                </c:pt>
                <c:pt idx="4852">
                  <c:v>852.751</c:v>
                </c:pt>
                <c:pt idx="4853">
                  <c:v>852.9169999999979</c:v>
                </c:pt>
                <c:pt idx="4854">
                  <c:v>853.088</c:v>
                </c:pt>
                <c:pt idx="4855">
                  <c:v>853.259</c:v>
                </c:pt>
                <c:pt idx="4856">
                  <c:v>853.4269999999979</c:v>
                </c:pt>
                <c:pt idx="4857">
                  <c:v>853.598</c:v>
                </c:pt>
                <c:pt idx="4858">
                  <c:v>853.77</c:v>
                </c:pt>
                <c:pt idx="4859">
                  <c:v>853.949</c:v>
                </c:pt>
                <c:pt idx="4860">
                  <c:v>854.13</c:v>
                </c:pt>
                <c:pt idx="4861">
                  <c:v>854.3109999999979</c:v>
                </c:pt>
                <c:pt idx="4862">
                  <c:v>854.484</c:v>
                </c:pt>
                <c:pt idx="4863">
                  <c:v>854.6519999999994</c:v>
                </c:pt>
                <c:pt idx="4864">
                  <c:v>854.8229999999974</c:v>
                </c:pt>
                <c:pt idx="4865">
                  <c:v>855.001</c:v>
                </c:pt>
                <c:pt idx="4866">
                  <c:v>855.182</c:v>
                </c:pt>
                <c:pt idx="4867">
                  <c:v>855.3630000000001</c:v>
                </c:pt>
                <c:pt idx="4868">
                  <c:v>855.543</c:v>
                </c:pt>
                <c:pt idx="4869">
                  <c:v>855.719</c:v>
                </c:pt>
                <c:pt idx="4870">
                  <c:v>855.891</c:v>
                </c:pt>
                <c:pt idx="4871">
                  <c:v>856.0619999999974</c:v>
                </c:pt>
                <c:pt idx="4872">
                  <c:v>856.237</c:v>
                </c:pt>
                <c:pt idx="4873">
                  <c:v>856.4109999999994</c:v>
                </c:pt>
                <c:pt idx="4874">
                  <c:v>856.583</c:v>
                </c:pt>
                <c:pt idx="4875">
                  <c:v>856.7519999999994</c:v>
                </c:pt>
                <c:pt idx="4876">
                  <c:v>856.92</c:v>
                </c:pt>
                <c:pt idx="4877">
                  <c:v>857.0890000000001</c:v>
                </c:pt>
                <c:pt idx="4878">
                  <c:v>857.2619999999994</c:v>
                </c:pt>
                <c:pt idx="4879">
                  <c:v>857.4349999999994</c:v>
                </c:pt>
                <c:pt idx="4880">
                  <c:v>857.611</c:v>
                </c:pt>
                <c:pt idx="4881">
                  <c:v>857.789</c:v>
                </c:pt>
                <c:pt idx="4882">
                  <c:v>857.9679999999923</c:v>
                </c:pt>
                <c:pt idx="4883">
                  <c:v>858.145</c:v>
                </c:pt>
                <c:pt idx="4884">
                  <c:v>858.3219999999974</c:v>
                </c:pt>
                <c:pt idx="4885">
                  <c:v>858.498</c:v>
                </c:pt>
                <c:pt idx="4886">
                  <c:v>858.672</c:v>
                </c:pt>
                <c:pt idx="4887">
                  <c:v>858.8479999999921</c:v>
                </c:pt>
                <c:pt idx="4888">
                  <c:v>859.023</c:v>
                </c:pt>
                <c:pt idx="4889">
                  <c:v>859.2</c:v>
                </c:pt>
                <c:pt idx="4890">
                  <c:v>859.376</c:v>
                </c:pt>
                <c:pt idx="4891">
                  <c:v>859.549</c:v>
                </c:pt>
                <c:pt idx="4892">
                  <c:v>859.721</c:v>
                </c:pt>
                <c:pt idx="4893">
                  <c:v>859.893</c:v>
                </c:pt>
                <c:pt idx="4894">
                  <c:v>860.064</c:v>
                </c:pt>
                <c:pt idx="4895">
                  <c:v>860.232</c:v>
                </c:pt>
                <c:pt idx="4896">
                  <c:v>860.4</c:v>
                </c:pt>
                <c:pt idx="4897">
                  <c:v>860.569</c:v>
                </c:pt>
                <c:pt idx="4898">
                  <c:v>860.742</c:v>
                </c:pt>
                <c:pt idx="4899">
                  <c:v>860.9169999999979</c:v>
                </c:pt>
                <c:pt idx="4900">
                  <c:v>861.093</c:v>
                </c:pt>
                <c:pt idx="4901">
                  <c:v>861.265</c:v>
                </c:pt>
                <c:pt idx="4902">
                  <c:v>861.4359999999979</c:v>
                </c:pt>
                <c:pt idx="4903">
                  <c:v>861.6079999999994</c:v>
                </c:pt>
                <c:pt idx="4904">
                  <c:v>861.782</c:v>
                </c:pt>
                <c:pt idx="4905">
                  <c:v>861.9539999999994</c:v>
                </c:pt>
                <c:pt idx="4906">
                  <c:v>862.124</c:v>
                </c:pt>
                <c:pt idx="4907">
                  <c:v>862.295</c:v>
                </c:pt>
                <c:pt idx="4908">
                  <c:v>862.4669999999974</c:v>
                </c:pt>
                <c:pt idx="4909">
                  <c:v>862.64</c:v>
                </c:pt>
                <c:pt idx="4910">
                  <c:v>862.814</c:v>
                </c:pt>
                <c:pt idx="4911">
                  <c:v>862.9880000000001</c:v>
                </c:pt>
                <c:pt idx="4912">
                  <c:v>863.164</c:v>
                </c:pt>
                <c:pt idx="4913">
                  <c:v>863.3359999999974</c:v>
                </c:pt>
                <c:pt idx="4914">
                  <c:v>863.504</c:v>
                </c:pt>
                <c:pt idx="4915">
                  <c:v>863.672</c:v>
                </c:pt>
                <c:pt idx="4916">
                  <c:v>863.8399999999979</c:v>
                </c:pt>
                <c:pt idx="4917">
                  <c:v>864.011</c:v>
                </c:pt>
                <c:pt idx="4918">
                  <c:v>864.18</c:v>
                </c:pt>
                <c:pt idx="4919">
                  <c:v>864.3449999999979</c:v>
                </c:pt>
                <c:pt idx="4920">
                  <c:v>864.509</c:v>
                </c:pt>
                <c:pt idx="4921">
                  <c:v>864.68</c:v>
                </c:pt>
                <c:pt idx="4922">
                  <c:v>864.8539999999994</c:v>
                </c:pt>
                <c:pt idx="4923">
                  <c:v>865.03</c:v>
                </c:pt>
                <c:pt idx="4924">
                  <c:v>865.206</c:v>
                </c:pt>
                <c:pt idx="4925">
                  <c:v>865.381</c:v>
                </c:pt>
                <c:pt idx="4926">
                  <c:v>865.5559999999994</c:v>
                </c:pt>
                <c:pt idx="4927">
                  <c:v>865.726</c:v>
                </c:pt>
                <c:pt idx="4928">
                  <c:v>865.8969999999994</c:v>
                </c:pt>
                <c:pt idx="4929">
                  <c:v>866.069</c:v>
                </c:pt>
                <c:pt idx="4930">
                  <c:v>866.241</c:v>
                </c:pt>
                <c:pt idx="4931">
                  <c:v>866.4119999999979</c:v>
                </c:pt>
                <c:pt idx="4932">
                  <c:v>866.583</c:v>
                </c:pt>
                <c:pt idx="4933">
                  <c:v>866.755</c:v>
                </c:pt>
                <c:pt idx="4934">
                  <c:v>866.9299999999994</c:v>
                </c:pt>
                <c:pt idx="4935">
                  <c:v>867.1029999999994</c:v>
                </c:pt>
                <c:pt idx="4936">
                  <c:v>867.275</c:v>
                </c:pt>
                <c:pt idx="4937">
                  <c:v>867.4419999999974</c:v>
                </c:pt>
                <c:pt idx="4938">
                  <c:v>867.607</c:v>
                </c:pt>
                <c:pt idx="4939">
                  <c:v>867.77</c:v>
                </c:pt>
                <c:pt idx="4940">
                  <c:v>867.9349999999994</c:v>
                </c:pt>
                <c:pt idx="4941">
                  <c:v>868.1029999999994</c:v>
                </c:pt>
                <c:pt idx="4942">
                  <c:v>868.274</c:v>
                </c:pt>
                <c:pt idx="4943">
                  <c:v>868.4449999999994</c:v>
                </c:pt>
                <c:pt idx="4944">
                  <c:v>868.618</c:v>
                </c:pt>
                <c:pt idx="4945">
                  <c:v>868.79</c:v>
                </c:pt>
                <c:pt idx="4946">
                  <c:v>868.9619999999974</c:v>
                </c:pt>
                <c:pt idx="4947">
                  <c:v>869.134</c:v>
                </c:pt>
                <c:pt idx="4948">
                  <c:v>869.304</c:v>
                </c:pt>
                <c:pt idx="4949">
                  <c:v>869.472</c:v>
                </c:pt>
                <c:pt idx="4950">
                  <c:v>869.639</c:v>
                </c:pt>
                <c:pt idx="4951">
                  <c:v>869.8069999999979</c:v>
                </c:pt>
                <c:pt idx="4952">
                  <c:v>869.976</c:v>
                </c:pt>
                <c:pt idx="4953">
                  <c:v>870.145</c:v>
                </c:pt>
                <c:pt idx="4954">
                  <c:v>870.3159999999979</c:v>
                </c:pt>
                <c:pt idx="4955">
                  <c:v>870.486</c:v>
                </c:pt>
                <c:pt idx="4956">
                  <c:v>870.6559999999994</c:v>
                </c:pt>
                <c:pt idx="4957">
                  <c:v>870.8269999999974</c:v>
                </c:pt>
                <c:pt idx="4958">
                  <c:v>870.998</c:v>
                </c:pt>
                <c:pt idx="4959">
                  <c:v>871.168</c:v>
                </c:pt>
                <c:pt idx="4960">
                  <c:v>871.3390000000001</c:v>
                </c:pt>
                <c:pt idx="4961">
                  <c:v>871.51</c:v>
                </c:pt>
                <c:pt idx="4962">
                  <c:v>871.681</c:v>
                </c:pt>
                <c:pt idx="4963">
                  <c:v>871.8539999999994</c:v>
                </c:pt>
                <c:pt idx="4964">
                  <c:v>872.024</c:v>
                </c:pt>
                <c:pt idx="4965">
                  <c:v>872.195</c:v>
                </c:pt>
                <c:pt idx="4966">
                  <c:v>872.3679999999914</c:v>
                </c:pt>
                <c:pt idx="4967">
                  <c:v>872.5409999999994</c:v>
                </c:pt>
                <c:pt idx="4968">
                  <c:v>872.713</c:v>
                </c:pt>
                <c:pt idx="4969">
                  <c:v>872.884</c:v>
                </c:pt>
                <c:pt idx="4970">
                  <c:v>873.0559999999994</c:v>
                </c:pt>
                <c:pt idx="4971">
                  <c:v>873.226</c:v>
                </c:pt>
                <c:pt idx="4972">
                  <c:v>873.395</c:v>
                </c:pt>
                <c:pt idx="4973">
                  <c:v>873.5649999999994</c:v>
                </c:pt>
                <c:pt idx="4974">
                  <c:v>873.737</c:v>
                </c:pt>
                <c:pt idx="4975">
                  <c:v>873.908</c:v>
                </c:pt>
                <c:pt idx="4976">
                  <c:v>874.077</c:v>
                </c:pt>
                <c:pt idx="4977">
                  <c:v>874.247</c:v>
                </c:pt>
                <c:pt idx="4978">
                  <c:v>874.419</c:v>
                </c:pt>
                <c:pt idx="4979">
                  <c:v>874.591</c:v>
                </c:pt>
                <c:pt idx="4980">
                  <c:v>874.766</c:v>
                </c:pt>
                <c:pt idx="4981">
                  <c:v>874.9419999999974</c:v>
                </c:pt>
                <c:pt idx="4982">
                  <c:v>875.114</c:v>
                </c:pt>
                <c:pt idx="4983">
                  <c:v>875.282</c:v>
                </c:pt>
                <c:pt idx="4984">
                  <c:v>875.4469999999974</c:v>
                </c:pt>
                <c:pt idx="4985">
                  <c:v>875.614</c:v>
                </c:pt>
                <c:pt idx="4986">
                  <c:v>875.783</c:v>
                </c:pt>
                <c:pt idx="4987">
                  <c:v>875.9529999999974</c:v>
                </c:pt>
                <c:pt idx="4988">
                  <c:v>876.124</c:v>
                </c:pt>
                <c:pt idx="4989">
                  <c:v>876.296</c:v>
                </c:pt>
                <c:pt idx="4990">
                  <c:v>876.47</c:v>
                </c:pt>
                <c:pt idx="4991">
                  <c:v>876.643</c:v>
                </c:pt>
                <c:pt idx="4992">
                  <c:v>876.8149999999994</c:v>
                </c:pt>
                <c:pt idx="4993">
                  <c:v>876.9880000000001</c:v>
                </c:pt>
                <c:pt idx="4994">
                  <c:v>877.1619999999979</c:v>
                </c:pt>
                <c:pt idx="4995">
                  <c:v>877.3369999999974</c:v>
                </c:pt>
                <c:pt idx="4996">
                  <c:v>877.51</c:v>
                </c:pt>
                <c:pt idx="4997">
                  <c:v>877.684</c:v>
                </c:pt>
                <c:pt idx="4998">
                  <c:v>877.8549999999979</c:v>
                </c:pt>
                <c:pt idx="4999">
                  <c:v>878.028</c:v>
                </c:pt>
                <c:pt idx="5000">
                  <c:v>878.201</c:v>
                </c:pt>
                <c:pt idx="5001">
                  <c:v>878.375</c:v>
                </c:pt>
                <c:pt idx="5002">
                  <c:v>878.548</c:v>
                </c:pt>
                <c:pt idx="5003">
                  <c:v>878.721</c:v>
                </c:pt>
                <c:pt idx="5004">
                  <c:v>878.894</c:v>
                </c:pt>
                <c:pt idx="5005">
                  <c:v>879.064</c:v>
                </c:pt>
                <c:pt idx="5006">
                  <c:v>879.237</c:v>
                </c:pt>
                <c:pt idx="5007">
                  <c:v>879.4069999999994</c:v>
                </c:pt>
                <c:pt idx="5008">
                  <c:v>879.579</c:v>
                </c:pt>
                <c:pt idx="5009">
                  <c:v>879.751</c:v>
                </c:pt>
                <c:pt idx="5010">
                  <c:v>879.9219999999979</c:v>
                </c:pt>
                <c:pt idx="5011">
                  <c:v>880.094</c:v>
                </c:pt>
                <c:pt idx="5012">
                  <c:v>880.264</c:v>
                </c:pt>
                <c:pt idx="5013">
                  <c:v>880.4329999999974</c:v>
                </c:pt>
                <c:pt idx="5014">
                  <c:v>880.604</c:v>
                </c:pt>
                <c:pt idx="5015">
                  <c:v>880.776</c:v>
                </c:pt>
                <c:pt idx="5016">
                  <c:v>880.949</c:v>
                </c:pt>
                <c:pt idx="5017">
                  <c:v>881.122</c:v>
                </c:pt>
                <c:pt idx="5018">
                  <c:v>881.298</c:v>
                </c:pt>
                <c:pt idx="5019">
                  <c:v>881.474</c:v>
                </c:pt>
                <c:pt idx="5020">
                  <c:v>881.65</c:v>
                </c:pt>
                <c:pt idx="5021">
                  <c:v>881.824</c:v>
                </c:pt>
                <c:pt idx="5022">
                  <c:v>881.998</c:v>
                </c:pt>
                <c:pt idx="5023">
                  <c:v>882.174</c:v>
                </c:pt>
                <c:pt idx="5024">
                  <c:v>882.3489999999994</c:v>
                </c:pt>
                <c:pt idx="5025">
                  <c:v>882.521</c:v>
                </c:pt>
                <c:pt idx="5026">
                  <c:v>882.694</c:v>
                </c:pt>
                <c:pt idx="5027">
                  <c:v>882.8679999999914</c:v>
                </c:pt>
                <c:pt idx="5028">
                  <c:v>883.043</c:v>
                </c:pt>
                <c:pt idx="5029">
                  <c:v>883.217</c:v>
                </c:pt>
                <c:pt idx="5030">
                  <c:v>883.39</c:v>
                </c:pt>
                <c:pt idx="5031">
                  <c:v>883.5629999999974</c:v>
                </c:pt>
                <c:pt idx="5032">
                  <c:v>883.735</c:v>
                </c:pt>
                <c:pt idx="5033">
                  <c:v>883.904</c:v>
                </c:pt>
                <c:pt idx="5034">
                  <c:v>884.076</c:v>
                </c:pt>
                <c:pt idx="5035">
                  <c:v>884.246</c:v>
                </c:pt>
                <c:pt idx="5036">
                  <c:v>884.415</c:v>
                </c:pt>
                <c:pt idx="5037">
                  <c:v>884.585</c:v>
                </c:pt>
                <c:pt idx="5038">
                  <c:v>884.754</c:v>
                </c:pt>
                <c:pt idx="5039">
                  <c:v>884.924</c:v>
                </c:pt>
                <c:pt idx="5040">
                  <c:v>885.093</c:v>
                </c:pt>
                <c:pt idx="5041">
                  <c:v>885.264</c:v>
                </c:pt>
                <c:pt idx="5042">
                  <c:v>885.434</c:v>
                </c:pt>
                <c:pt idx="5043">
                  <c:v>885.606</c:v>
                </c:pt>
                <c:pt idx="5044">
                  <c:v>885.776</c:v>
                </c:pt>
                <c:pt idx="5045">
                  <c:v>885.949</c:v>
                </c:pt>
                <c:pt idx="5046">
                  <c:v>886.12</c:v>
                </c:pt>
                <c:pt idx="5047">
                  <c:v>886.293</c:v>
                </c:pt>
                <c:pt idx="5048">
                  <c:v>886.4649999999979</c:v>
                </c:pt>
                <c:pt idx="5049">
                  <c:v>886.64</c:v>
                </c:pt>
                <c:pt idx="5050">
                  <c:v>886.8179999999974</c:v>
                </c:pt>
                <c:pt idx="5051">
                  <c:v>886.995</c:v>
                </c:pt>
                <c:pt idx="5052">
                  <c:v>887.172</c:v>
                </c:pt>
                <c:pt idx="5053">
                  <c:v>887.3499999999979</c:v>
                </c:pt>
                <c:pt idx="5054">
                  <c:v>887.5259999999994</c:v>
                </c:pt>
                <c:pt idx="5055">
                  <c:v>887.699</c:v>
                </c:pt>
                <c:pt idx="5056">
                  <c:v>887.873</c:v>
                </c:pt>
                <c:pt idx="5057">
                  <c:v>888.0469999999979</c:v>
                </c:pt>
                <c:pt idx="5058">
                  <c:v>888.22</c:v>
                </c:pt>
                <c:pt idx="5059">
                  <c:v>888.3969999999994</c:v>
                </c:pt>
                <c:pt idx="5060">
                  <c:v>888.573</c:v>
                </c:pt>
                <c:pt idx="5061">
                  <c:v>888.749</c:v>
                </c:pt>
                <c:pt idx="5062">
                  <c:v>888.9219999999979</c:v>
                </c:pt>
                <c:pt idx="5063">
                  <c:v>889.093</c:v>
                </c:pt>
                <c:pt idx="5064">
                  <c:v>889.265</c:v>
                </c:pt>
                <c:pt idx="5065">
                  <c:v>889.4409999999979</c:v>
                </c:pt>
                <c:pt idx="5066">
                  <c:v>889.616</c:v>
                </c:pt>
                <c:pt idx="5067">
                  <c:v>889.792</c:v>
                </c:pt>
                <c:pt idx="5068">
                  <c:v>889.9679999999923</c:v>
                </c:pt>
                <c:pt idx="5069">
                  <c:v>890.143</c:v>
                </c:pt>
                <c:pt idx="5070">
                  <c:v>890.3169999999974</c:v>
                </c:pt>
                <c:pt idx="5071">
                  <c:v>890.49</c:v>
                </c:pt>
                <c:pt idx="5072">
                  <c:v>890.6609999999994</c:v>
                </c:pt>
                <c:pt idx="5073">
                  <c:v>890.8319999999974</c:v>
                </c:pt>
                <c:pt idx="5074">
                  <c:v>891.004</c:v>
                </c:pt>
                <c:pt idx="5075">
                  <c:v>891.175</c:v>
                </c:pt>
                <c:pt idx="5076">
                  <c:v>891.3439999999994</c:v>
                </c:pt>
                <c:pt idx="5077">
                  <c:v>891.5169999999994</c:v>
                </c:pt>
                <c:pt idx="5078">
                  <c:v>891.69</c:v>
                </c:pt>
                <c:pt idx="5079">
                  <c:v>891.8639999999979</c:v>
                </c:pt>
                <c:pt idx="5080">
                  <c:v>892.0409999999994</c:v>
                </c:pt>
                <c:pt idx="5081">
                  <c:v>892.218</c:v>
                </c:pt>
                <c:pt idx="5082">
                  <c:v>892.394</c:v>
                </c:pt>
                <c:pt idx="5083">
                  <c:v>892.5679999999974</c:v>
                </c:pt>
                <c:pt idx="5084">
                  <c:v>892.739</c:v>
                </c:pt>
                <c:pt idx="5085">
                  <c:v>892.908</c:v>
                </c:pt>
                <c:pt idx="5086">
                  <c:v>893.076</c:v>
                </c:pt>
                <c:pt idx="5087">
                  <c:v>893.245</c:v>
                </c:pt>
                <c:pt idx="5088">
                  <c:v>893.4159999999994</c:v>
                </c:pt>
                <c:pt idx="5089">
                  <c:v>893.587</c:v>
                </c:pt>
                <c:pt idx="5090">
                  <c:v>893.756</c:v>
                </c:pt>
                <c:pt idx="5091">
                  <c:v>893.9249999999994</c:v>
                </c:pt>
                <c:pt idx="5092">
                  <c:v>894.097</c:v>
                </c:pt>
                <c:pt idx="5093">
                  <c:v>894.269</c:v>
                </c:pt>
                <c:pt idx="5094">
                  <c:v>894.4419999999974</c:v>
                </c:pt>
                <c:pt idx="5095">
                  <c:v>894.616</c:v>
                </c:pt>
                <c:pt idx="5096">
                  <c:v>894.79</c:v>
                </c:pt>
                <c:pt idx="5097">
                  <c:v>894.9669999999974</c:v>
                </c:pt>
                <c:pt idx="5098">
                  <c:v>895.145</c:v>
                </c:pt>
                <c:pt idx="5099">
                  <c:v>895.3209999999979</c:v>
                </c:pt>
                <c:pt idx="5100">
                  <c:v>895.493</c:v>
                </c:pt>
                <c:pt idx="5101">
                  <c:v>895.664</c:v>
                </c:pt>
                <c:pt idx="5102">
                  <c:v>895.8369999999974</c:v>
                </c:pt>
                <c:pt idx="5103">
                  <c:v>896.011</c:v>
                </c:pt>
                <c:pt idx="5104">
                  <c:v>896.185</c:v>
                </c:pt>
                <c:pt idx="5105">
                  <c:v>896.3579999999816</c:v>
                </c:pt>
                <c:pt idx="5106">
                  <c:v>896.53</c:v>
                </c:pt>
                <c:pt idx="5107">
                  <c:v>896.704</c:v>
                </c:pt>
                <c:pt idx="5108">
                  <c:v>896.876</c:v>
                </c:pt>
                <c:pt idx="5109">
                  <c:v>897.0469999999979</c:v>
                </c:pt>
                <c:pt idx="5110">
                  <c:v>897.218</c:v>
                </c:pt>
                <c:pt idx="5111">
                  <c:v>897.39</c:v>
                </c:pt>
                <c:pt idx="5112">
                  <c:v>897.5609999999979</c:v>
                </c:pt>
                <c:pt idx="5113">
                  <c:v>897.73</c:v>
                </c:pt>
                <c:pt idx="5114">
                  <c:v>897.899</c:v>
                </c:pt>
                <c:pt idx="5115">
                  <c:v>898.07</c:v>
                </c:pt>
                <c:pt idx="5116">
                  <c:v>898.243</c:v>
                </c:pt>
                <c:pt idx="5117">
                  <c:v>898.418</c:v>
                </c:pt>
                <c:pt idx="5118">
                  <c:v>898.592</c:v>
                </c:pt>
                <c:pt idx="5119">
                  <c:v>898.766</c:v>
                </c:pt>
                <c:pt idx="5120">
                  <c:v>898.9409999999979</c:v>
                </c:pt>
                <c:pt idx="5121">
                  <c:v>899.116</c:v>
                </c:pt>
                <c:pt idx="5122">
                  <c:v>899.294</c:v>
                </c:pt>
                <c:pt idx="5123">
                  <c:v>899.473</c:v>
                </c:pt>
                <c:pt idx="5124">
                  <c:v>899.649</c:v>
                </c:pt>
                <c:pt idx="5125">
                  <c:v>899.8269999999974</c:v>
                </c:pt>
                <c:pt idx="5126">
                  <c:v>900.003</c:v>
                </c:pt>
                <c:pt idx="5127">
                  <c:v>900.178</c:v>
                </c:pt>
                <c:pt idx="5128">
                  <c:v>900.3519999999974</c:v>
                </c:pt>
                <c:pt idx="5129">
                  <c:v>900.521</c:v>
                </c:pt>
                <c:pt idx="5130">
                  <c:v>900.692</c:v>
                </c:pt>
                <c:pt idx="5131">
                  <c:v>900.8639999999979</c:v>
                </c:pt>
                <c:pt idx="5132">
                  <c:v>901.0369999999979</c:v>
                </c:pt>
                <c:pt idx="5133">
                  <c:v>901.208</c:v>
                </c:pt>
                <c:pt idx="5134">
                  <c:v>901.379</c:v>
                </c:pt>
                <c:pt idx="5135">
                  <c:v>901.553</c:v>
                </c:pt>
                <c:pt idx="5136">
                  <c:v>901.726</c:v>
                </c:pt>
                <c:pt idx="5137">
                  <c:v>901.896</c:v>
                </c:pt>
                <c:pt idx="5138">
                  <c:v>902.0649999999994</c:v>
                </c:pt>
                <c:pt idx="5139">
                  <c:v>902.231</c:v>
                </c:pt>
                <c:pt idx="5140">
                  <c:v>902.399</c:v>
                </c:pt>
                <c:pt idx="5141">
                  <c:v>902.57</c:v>
                </c:pt>
                <c:pt idx="5142">
                  <c:v>902.735</c:v>
                </c:pt>
                <c:pt idx="5143">
                  <c:v>902.9019999999994</c:v>
                </c:pt>
                <c:pt idx="5144">
                  <c:v>903.07</c:v>
                </c:pt>
                <c:pt idx="5145">
                  <c:v>903.24</c:v>
                </c:pt>
                <c:pt idx="5146">
                  <c:v>903.4109999999994</c:v>
                </c:pt>
                <c:pt idx="5147">
                  <c:v>903.581</c:v>
                </c:pt>
                <c:pt idx="5148">
                  <c:v>903.751</c:v>
                </c:pt>
                <c:pt idx="5149">
                  <c:v>903.924</c:v>
                </c:pt>
                <c:pt idx="5150">
                  <c:v>904.099</c:v>
                </c:pt>
                <c:pt idx="5151">
                  <c:v>904.272</c:v>
                </c:pt>
                <c:pt idx="5152">
                  <c:v>904.444</c:v>
                </c:pt>
                <c:pt idx="5153">
                  <c:v>904.6130000000001</c:v>
                </c:pt>
                <c:pt idx="5154">
                  <c:v>904.784</c:v>
                </c:pt>
                <c:pt idx="5155">
                  <c:v>904.9509999999979</c:v>
                </c:pt>
                <c:pt idx="5156">
                  <c:v>905.117</c:v>
                </c:pt>
                <c:pt idx="5157">
                  <c:v>905.282</c:v>
                </c:pt>
                <c:pt idx="5158">
                  <c:v>905.4499999999994</c:v>
                </c:pt>
                <c:pt idx="5159">
                  <c:v>905.616</c:v>
                </c:pt>
              </c:numCache>
            </c:numRef>
          </c:xVal>
          <c:yVal>
            <c:numRef>
              <c:f>'3MCB'!$C$6:$C$5165</c:f>
              <c:numCache>
                <c:formatCode>General</c:formatCode>
                <c:ptCount val="5160"/>
                <c:pt idx="0">
                  <c:v>99.73756</c:v>
                </c:pt>
                <c:pt idx="1">
                  <c:v>99.72849999999998</c:v>
                </c:pt>
                <c:pt idx="2">
                  <c:v>99.7195</c:v>
                </c:pt>
                <c:pt idx="3">
                  <c:v>99.70547999999998</c:v>
                </c:pt>
                <c:pt idx="4">
                  <c:v>99.6948</c:v>
                </c:pt>
                <c:pt idx="5">
                  <c:v>99.68165</c:v>
                </c:pt>
                <c:pt idx="6">
                  <c:v>99.66762</c:v>
                </c:pt>
                <c:pt idx="7">
                  <c:v>99.65694999999998</c:v>
                </c:pt>
                <c:pt idx="8">
                  <c:v>99.64212</c:v>
                </c:pt>
                <c:pt idx="9">
                  <c:v>99.62815999999998</c:v>
                </c:pt>
                <c:pt idx="10">
                  <c:v>99.615</c:v>
                </c:pt>
                <c:pt idx="11">
                  <c:v>99.59688</c:v>
                </c:pt>
                <c:pt idx="12">
                  <c:v>99.58453</c:v>
                </c:pt>
                <c:pt idx="13">
                  <c:v>99.56976</c:v>
                </c:pt>
                <c:pt idx="14">
                  <c:v>99.55412</c:v>
                </c:pt>
                <c:pt idx="15">
                  <c:v>99.54016</c:v>
                </c:pt>
                <c:pt idx="16">
                  <c:v>99.52452</c:v>
                </c:pt>
                <c:pt idx="17">
                  <c:v>99.50802</c:v>
                </c:pt>
                <c:pt idx="18">
                  <c:v>99.49324</c:v>
                </c:pt>
                <c:pt idx="19">
                  <c:v>99.47593</c:v>
                </c:pt>
                <c:pt idx="20">
                  <c:v>99.45949</c:v>
                </c:pt>
                <c:pt idx="21">
                  <c:v>99.44471</c:v>
                </c:pt>
                <c:pt idx="22">
                  <c:v>99.42659</c:v>
                </c:pt>
                <c:pt idx="23">
                  <c:v>99.41096</c:v>
                </c:pt>
                <c:pt idx="24">
                  <c:v>99.39451</c:v>
                </c:pt>
                <c:pt idx="25">
                  <c:v>99.37477999999938</c:v>
                </c:pt>
                <c:pt idx="26">
                  <c:v>99.35832999999998</c:v>
                </c:pt>
                <c:pt idx="27">
                  <c:v>99.34189</c:v>
                </c:pt>
                <c:pt idx="28">
                  <c:v>99.32537999999845</c:v>
                </c:pt>
                <c:pt idx="29">
                  <c:v>99.30813</c:v>
                </c:pt>
                <c:pt idx="30">
                  <c:v>99.29001</c:v>
                </c:pt>
                <c:pt idx="31">
                  <c:v>99.27108</c:v>
                </c:pt>
                <c:pt idx="32">
                  <c:v>99.25302</c:v>
                </c:pt>
                <c:pt idx="33">
                  <c:v>99.23409</c:v>
                </c:pt>
                <c:pt idx="34">
                  <c:v>99.21684</c:v>
                </c:pt>
                <c:pt idx="35">
                  <c:v>99.19871999999998</c:v>
                </c:pt>
                <c:pt idx="36">
                  <c:v>99.1806</c:v>
                </c:pt>
                <c:pt idx="37">
                  <c:v>99.16253999999998</c:v>
                </c:pt>
                <c:pt idx="38">
                  <c:v>99.14274999999998</c:v>
                </c:pt>
                <c:pt idx="39">
                  <c:v>99.12549999999958</c:v>
                </c:pt>
                <c:pt idx="40">
                  <c:v>99.10737999999998</c:v>
                </c:pt>
                <c:pt idx="41">
                  <c:v>99.08844999999998</c:v>
                </c:pt>
                <c:pt idx="42">
                  <c:v>99.06958</c:v>
                </c:pt>
                <c:pt idx="43">
                  <c:v>99.05065</c:v>
                </c:pt>
                <c:pt idx="44">
                  <c:v>99.03253</c:v>
                </c:pt>
                <c:pt idx="45">
                  <c:v>99.01442</c:v>
                </c:pt>
                <c:pt idx="46">
                  <c:v>98.99387</c:v>
                </c:pt>
                <c:pt idx="47">
                  <c:v>98.97574999999995</c:v>
                </c:pt>
                <c:pt idx="48">
                  <c:v>98.95683</c:v>
                </c:pt>
                <c:pt idx="49">
                  <c:v>98.9379</c:v>
                </c:pt>
                <c:pt idx="50">
                  <c:v>98.91984</c:v>
                </c:pt>
                <c:pt idx="51">
                  <c:v>98.90091</c:v>
                </c:pt>
                <c:pt idx="52">
                  <c:v>98.88118</c:v>
                </c:pt>
                <c:pt idx="53">
                  <c:v>98.86306</c:v>
                </c:pt>
                <c:pt idx="54">
                  <c:v>98.84494</c:v>
                </c:pt>
                <c:pt idx="55">
                  <c:v>98.82600999999998</c:v>
                </c:pt>
                <c:pt idx="56">
                  <c:v>98.80795</c:v>
                </c:pt>
                <c:pt idx="57">
                  <c:v>98.78902</c:v>
                </c:pt>
                <c:pt idx="58">
                  <c:v>98.77171</c:v>
                </c:pt>
                <c:pt idx="59">
                  <c:v>98.75283999999998</c:v>
                </c:pt>
                <c:pt idx="60">
                  <c:v>98.73472</c:v>
                </c:pt>
                <c:pt idx="61">
                  <c:v>98.71747</c:v>
                </c:pt>
                <c:pt idx="62">
                  <c:v>98.69934999999998</c:v>
                </c:pt>
                <c:pt idx="63">
                  <c:v>98.68203999999928</c:v>
                </c:pt>
                <c:pt idx="64">
                  <c:v>98.66478999999998</c:v>
                </c:pt>
                <c:pt idx="65">
                  <c:v>98.64667</c:v>
                </c:pt>
                <c:pt idx="66">
                  <c:v>98.62940999999998</c:v>
                </c:pt>
                <c:pt idx="67">
                  <c:v>98.61216</c:v>
                </c:pt>
                <c:pt idx="68">
                  <c:v>98.59485</c:v>
                </c:pt>
                <c:pt idx="69">
                  <c:v>98.57839999999958</c:v>
                </c:pt>
                <c:pt idx="70">
                  <c:v>98.56196</c:v>
                </c:pt>
                <c:pt idx="71">
                  <c:v>98.5447</c:v>
                </c:pt>
                <c:pt idx="72">
                  <c:v>98.52738999999998</c:v>
                </c:pt>
                <c:pt idx="73">
                  <c:v>98.51095</c:v>
                </c:pt>
                <c:pt idx="74">
                  <c:v>98.49531</c:v>
                </c:pt>
                <c:pt idx="75">
                  <c:v>98.48048</c:v>
                </c:pt>
                <c:pt idx="76">
                  <c:v>98.46323</c:v>
                </c:pt>
                <c:pt idx="77">
                  <c:v>98.44759</c:v>
                </c:pt>
                <c:pt idx="78">
                  <c:v>98.43195</c:v>
                </c:pt>
                <c:pt idx="79">
                  <c:v>98.41718</c:v>
                </c:pt>
                <c:pt idx="80">
                  <c:v>98.40073</c:v>
                </c:pt>
                <c:pt idx="81">
                  <c:v>98.38589999999998</c:v>
                </c:pt>
                <c:pt idx="82">
                  <c:v>98.37106999999997</c:v>
                </c:pt>
                <c:pt idx="83">
                  <c:v>98.35542999999998</c:v>
                </c:pt>
                <c:pt idx="84">
                  <c:v>98.34066</c:v>
                </c:pt>
                <c:pt idx="85">
                  <c:v>98.32664</c:v>
                </c:pt>
                <c:pt idx="86">
                  <c:v>98.31187000000001</c:v>
                </c:pt>
                <c:pt idx="87">
                  <c:v>98.29785</c:v>
                </c:pt>
                <c:pt idx="88">
                  <c:v>98.28307</c:v>
                </c:pt>
                <c:pt idx="89">
                  <c:v>98.26824</c:v>
                </c:pt>
                <c:pt idx="90">
                  <c:v>98.25428</c:v>
                </c:pt>
                <c:pt idx="91">
                  <c:v>98.24026</c:v>
                </c:pt>
                <c:pt idx="92">
                  <c:v>98.22629</c:v>
                </c:pt>
                <c:pt idx="93">
                  <c:v>98.21233</c:v>
                </c:pt>
                <c:pt idx="94">
                  <c:v>98.19830999999998</c:v>
                </c:pt>
                <c:pt idx="95">
                  <c:v>98.18433999999998</c:v>
                </c:pt>
                <c:pt idx="96">
                  <c:v>98.17037999999835</c:v>
                </c:pt>
                <c:pt idx="97">
                  <c:v>98.15635999999998</c:v>
                </c:pt>
                <c:pt idx="98">
                  <c:v>98.14238999999998</c:v>
                </c:pt>
                <c:pt idx="99">
                  <c:v>98.12923999999998</c:v>
                </c:pt>
                <c:pt idx="100">
                  <c:v>98.11607999999998</c:v>
                </c:pt>
                <c:pt idx="101">
                  <c:v>98.10291999999998</c:v>
                </c:pt>
                <c:pt idx="102">
                  <c:v>98.08970999999998</c:v>
                </c:pt>
                <c:pt idx="103">
                  <c:v>98.07573999999858</c:v>
                </c:pt>
                <c:pt idx="104">
                  <c:v>98.06259</c:v>
                </c:pt>
                <c:pt idx="105">
                  <c:v>98.04862</c:v>
                </c:pt>
                <c:pt idx="106">
                  <c:v>98.03541</c:v>
                </c:pt>
                <c:pt idx="107">
                  <c:v>98.02312</c:v>
                </c:pt>
                <c:pt idx="108">
                  <c:v>98.01077</c:v>
                </c:pt>
                <c:pt idx="109">
                  <c:v>97.99761</c:v>
                </c:pt>
                <c:pt idx="110">
                  <c:v>97.98446</c:v>
                </c:pt>
                <c:pt idx="111">
                  <c:v>97.97124</c:v>
                </c:pt>
                <c:pt idx="112">
                  <c:v>97.95895</c:v>
                </c:pt>
                <c:pt idx="113">
                  <c:v>97.94574</c:v>
                </c:pt>
                <c:pt idx="114">
                  <c:v>97.93345</c:v>
                </c:pt>
                <c:pt idx="115">
                  <c:v>97.9211</c:v>
                </c:pt>
                <c:pt idx="116">
                  <c:v>97.90875</c:v>
                </c:pt>
                <c:pt idx="117">
                  <c:v>97.8964</c:v>
                </c:pt>
                <c:pt idx="118">
                  <c:v>97.88486</c:v>
                </c:pt>
                <c:pt idx="119">
                  <c:v>97.87256999999998</c:v>
                </c:pt>
                <c:pt idx="120">
                  <c:v>97.85934999999998</c:v>
                </c:pt>
                <c:pt idx="121">
                  <c:v>97.84868</c:v>
                </c:pt>
                <c:pt idx="122">
                  <c:v>97.83632999999997</c:v>
                </c:pt>
                <c:pt idx="123">
                  <c:v>97.82564999999998</c:v>
                </c:pt>
                <c:pt idx="124">
                  <c:v>97.81331</c:v>
                </c:pt>
                <c:pt idx="125">
                  <c:v>97.80096</c:v>
                </c:pt>
                <c:pt idx="126">
                  <c:v>97.79028</c:v>
                </c:pt>
                <c:pt idx="127">
                  <c:v>97.77873999999898</c:v>
                </c:pt>
                <c:pt idx="128">
                  <c:v>97.76639</c:v>
                </c:pt>
                <c:pt idx="129">
                  <c:v>97.75491</c:v>
                </c:pt>
                <c:pt idx="130">
                  <c:v>97.74418</c:v>
                </c:pt>
                <c:pt idx="131">
                  <c:v>97.73269</c:v>
                </c:pt>
                <c:pt idx="132">
                  <c:v>97.72033999999998</c:v>
                </c:pt>
                <c:pt idx="133">
                  <c:v>97.70967</c:v>
                </c:pt>
                <c:pt idx="134">
                  <c:v>97.69893999999998</c:v>
                </c:pt>
                <c:pt idx="135">
                  <c:v>97.68745</c:v>
                </c:pt>
                <c:pt idx="136">
                  <c:v>97.67671999999965</c:v>
                </c:pt>
                <c:pt idx="137">
                  <c:v>97.66603999999998</c:v>
                </c:pt>
                <c:pt idx="138">
                  <c:v>97.65536999999995</c:v>
                </c:pt>
                <c:pt idx="139">
                  <c:v>97.64383</c:v>
                </c:pt>
                <c:pt idx="140">
                  <c:v>97.63315</c:v>
                </c:pt>
                <c:pt idx="141">
                  <c:v>97.62241999999995</c:v>
                </c:pt>
                <c:pt idx="142">
                  <c:v>97.61175</c:v>
                </c:pt>
                <c:pt idx="143">
                  <c:v>97.60107</c:v>
                </c:pt>
                <c:pt idx="144">
                  <c:v>97.58953</c:v>
                </c:pt>
                <c:pt idx="145">
                  <c:v>97.57884999999958</c:v>
                </c:pt>
                <c:pt idx="146">
                  <c:v>97.56899</c:v>
                </c:pt>
                <c:pt idx="147">
                  <c:v>97.55745</c:v>
                </c:pt>
                <c:pt idx="148">
                  <c:v>97.54758</c:v>
                </c:pt>
                <c:pt idx="149">
                  <c:v>97.53771</c:v>
                </c:pt>
                <c:pt idx="150">
                  <c:v>97.52704</c:v>
                </c:pt>
                <c:pt idx="151">
                  <c:v>97.51469</c:v>
                </c:pt>
                <c:pt idx="152">
                  <c:v>97.50395</c:v>
                </c:pt>
                <c:pt idx="153">
                  <c:v>97.49409</c:v>
                </c:pt>
                <c:pt idx="154">
                  <c:v>97.48341</c:v>
                </c:pt>
                <c:pt idx="155">
                  <c:v>97.47273999999948</c:v>
                </c:pt>
                <c:pt idx="156">
                  <c:v>97.462</c:v>
                </c:pt>
                <c:pt idx="157">
                  <c:v>97.45214</c:v>
                </c:pt>
                <c:pt idx="158">
                  <c:v>97.44146</c:v>
                </c:pt>
                <c:pt idx="159">
                  <c:v>97.43079</c:v>
                </c:pt>
                <c:pt idx="160">
                  <c:v>97.41924</c:v>
                </c:pt>
                <c:pt idx="161">
                  <c:v>97.40857</c:v>
                </c:pt>
                <c:pt idx="162">
                  <c:v>97.3987</c:v>
                </c:pt>
                <c:pt idx="163">
                  <c:v>97.38877999999868</c:v>
                </c:pt>
                <c:pt idx="164">
                  <c:v>97.37890999999995</c:v>
                </c:pt>
                <c:pt idx="165">
                  <c:v>97.36823</c:v>
                </c:pt>
                <c:pt idx="166">
                  <c:v>97.35836999999998</c:v>
                </c:pt>
                <c:pt idx="167">
                  <c:v>97.34683</c:v>
                </c:pt>
                <c:pt idx="168">
                  <c:v>97.33615</c:v>
                </c:pt>
                <c:pt idx="169">
                  <c:v>97.32547999999898</c:v>
                </c:pt>
                <c:pt idx="170">
                  <c:v>97.31561</c:v>
                </c:pt>
                <c:pt idx="171">
                  <c:v>97.30077999999965</c:v>
                </c:pt>
                <c:pt idx="172">
                  <c:v>97.29172</c:v>
                </c:pt>
                <c:pt idx="173">
                  <c:v>97.28433</c:v>
                </c:pt>
                <c:pt idx="174">
                  <c:v>97.27527</c:v>
                </c:pt>
                <c:pt idx="175">
                  <c:v>97.26373</c:v>
                </c:pt>
                <c:pt idx="176">
                  <c:v>97.25225</c:v>
                </c:pt>
                <c:pt idx="177">
                  <c:v>97.24152</c:v>
                </c:pt>
                <c:pt idx="178">
                  <c:v>97.23251</c:v>
                </c:pt>
                <c:pt idx="179">
                  <c:v>97.22097</c:v>
                </c:pt>
                <c:pt idx="180">
                  <c:v>97.21111</c:v>
                </c:pt>
                <c:pt idx="181">
                  <c:v>97.20043</c:v>
                </c:pt>
                <c:pt idx="182">
                  <c:v>97.18969999999997</c:v>
                </c:pt>
                <c:pt idx="183">
                  <c:v>97.17982999999998</c:v>
                </c:pt>
                <c:pt idx="184">
                  <c:v>97.16996</c:v>
                </c:pt>
                <c:pt idx="185">
                  <c:v>97.15929</c:v>
                </c:pt>
                <c:pt idx="186">
                  <c:v>97.14856</c:v>
                </c:pt>
                <c:pt idx="187">
                  <c:v>97.13787999999998</c:v>
                </c:pt>
                <c:pt idx="188">
                  <c:v>97.12800999999965</c:v>
                </c:pt>
                <c:pt idx="189">
                  <c:v>97.11813999999998</c:v>
                </c:pt>
                <c:pt idx="190">
                  <c:v>97.1066</c:v>
                </c:pt>
                <c:pt idx="191">
                  <c:v>97.09593</c:v>
                </c:pt>
                <c:pt idx="192">
                  <c:v>97.08687</c:v>
                </c:pt>
                <c:pt idx="193">
                  <c:v>97.077</c:v>
                </c:pt>
                <c:pt idx="194">
                  <c:v>97.06633</c:v>
                </c:pt>
                <c:pt idx="195">
                  <c:v>97.05646</c:v>
                </c:pt>
                <c:pt idx="196">
                  <c:v>97.04573</c:v>
                </c:pt>
                <c:pt idx="197">
                  <c:v>97.03424</c:v>
                </c:pt>
                <c:pt idx="198">
                  <c:v>97.02437999999998</c:v>
                </c:pt>
                <c:pt idx="199">
                  <c:v>97.01451</c:v>
                </c:pt>
                <c:pt idx="200">
                  <c:v>97.00377999999998</c:v>
                </c:pt>
                <c:pt idx="201">
                  <c:v>96.99391</c:v>
                </c:pt>
                <c:pt idx="202">
                  <c:v>96.98404</c:v>
                </c:pt>
                <c:pt idx="203">
                  <c:v>96.97336999999997</c:v>
                </c:pt>
                <c:pt idx="204">
                  <c:v>96.9635</c:v>
                </c:pt>
                <c:pt idx="205">
                  <c:v>96.95363</c:v>
                </c:pt>
                <c:pt idx="206">
                  <c:v>96.94371</c:v>
                </c:pt>
                <c:pt idx="207">
                  <c:v>96.93222</c:v>
                </c:pt>
                <c:pt idx="208">
                  <c:v>96.92236</c:v>
                </c:pt>
                <c:pt idx="209">
                  <c:v>96.91249</c:v>
                </c:pt>
                <c:pt idx="210">
                  <c:v>96.90262</c:v>
                </c:pt>
                <c:pt idx="211">
                  <c:v>96.89189</c:v>
                </c:pt>
                <c:pt idx="212">
                  <c:v>96.88121</c:v>
                </c:pt>
                <c:pt idx="213">
                  <c:v>96.87053999999995</c:v>
                </c:pt>
                <c:pt idx="214">
                  <c:v>96.85979999999998</c:v>
                </c:pt>
                <c:pt idx="215">
                  <c:v>96.84994</c:v>
                </c:pt>
                <c:pt idx="216">
                  <c:v>96.84007</c:v>
                </c:pt>
                <c:pt idx="217">
                  <c:v>96.82938999999975</c:v>
                </c:pt>
                <c:pt idx="218">
                  <c:v>96.81953</c:v>
                </c:pt>
                <c:pt idx="219">
                  <c:v>96.80966</c:v>
                </c:pt>
                <c:pt idx="220">
                  <c:v>96.79973</c:v>
                </c:pt>
                <c:pt idx="221">
                  <c:v>96.78987</c:v>
                </c:pt>
                <c:pt idx="222">
                  <c:v>96.77919</c:v>
                </c:pt>
                <c:pt idx="223">
                  <c:v>96.77013</c:v>
                </c:pt>
                <c:pt idx="224">
                  <c:v>96.75946</c:v>
                </c:pt>
                <c:pt idx="225">
                  <c:v>96.74959</c:v>
                </c:pt>
                <c:pt idx="226">
                  <c:v>96.73972</c:v>
                </c:pt>
                <c:pt idx="227">
                  <c:v>96.72985</c:v>
                </c:pt>
                <c:pt idx="228">
                  <c:v>96.71912</c:v>
                </c:pt>
                <c:pt idx="229">
                  <c:v>96.70845</c:v>
                </c:pt>
                <c:pt idx="230">
                  <c:v>96.69938999999998</c:v>
                </c:pt>
                <c:pt idx="231">
                  <c:v>96.68870999999918</c:v>
                </c:pt>
                <c:pt idx="232">
                  <c:v>96.67883999999827</c:v>
                </c:pt>
                <c:pt idx="233">
                  <c:v>96.67058999999985</c:v>
                </c:pt>
                <c:pt idx="234">
                  <c:v>96.65743999999998</c:v>
                </c:pt>
                <c:pt idx="235">
                  <c:v>96.64676</c:v>
                </c:pt>
                <c:pt idx="236">
                  <c:v>96.63850999999998</c:v>
                </c:pt>
                <c:pt idx="237">
                  <c:v>96.63193</c:v>
                </c:pt>
                <c:pt idx="238">
                  <c:v>96.62126</c:v>
                </c:pt>
                <c:pt idx="239">
                  <c:v>96.61052</c:v>
                </c:pt>
                <c:pt idx="240">
                  <c:v>96.60066</c:v>
                </c:pt>
                <c:pt idx="241">
                  <c:v>96.58997999999998</c:v>
                </c:pt>
                <c:pt idx="242">
                  <c:v>96.58092</c:v>
                </c:pt>
                <c:pt idx="243">
                  <c:v>96.57025</c:v>
                </c:pt>
                <c:pt idx="244">
                  <c:v>96.56119</c:v>
                </c:pt>
                <c:pt idx="245">
                  <c:v>96.55132</c:v>
                </c:pt>
                <c:pt idx="246">
                  <c:v>96.54145</c:v>
                </c:pt>
                <c:pt idx="247">
                  <c:v>96.53238999999998</c:v>
                </c:pt>
                <c:pt idx="248">
                  <c:v>96.52172</c:v>
                </c:pt>
                <c:pt idx="249">
                  <c:v>96.51266</c:v>
                </c:pt>
                <c:pt idx="250">
                  <c:v>96.5036</c:v>
                </c:pt>
                <c:pt idx="251">
                  <c:v>96.49373000000001</c:v>
                </c:pt>
                <c:pt idx="252">
                  <c:v>96.48467</c:v>
                </c:pt>
                <c:pt idx="253">
                  <c:v>96.4748</c:v>
                </c:pt>
                <c:pt idx="254">
                  <c:v>96.46573999999998</c:v>
                </c:pt>
                <c:pt idx="255">
                  <c:v>96.45587999999998</c:v>
                </c:pt>
                <c:pt idx="256">
                  <c:v>96.44682</c:v>
                </c:pt>
                <c:pt idx="257">
                  <c:v>96.43695</c:v>
                </c:pt>
                <c:pt idx="258">
                  <c:v>96.42789</c:v>
                </c:pt>
                <c:pt idx="259">
                  <c:v>96.41721</c:v>
                </c:pt>
                <c:pt idx="260">
                  <c:v>96.40896</c:v>
                </c:pt>
                <c:pt idx="261">
                  <c:v>96.39748</c:v>
                </c:pt>
                <c:pt idx="262">
                  <c:v>96.38761</c:v>
                </c:pt>
                <c:pt idx="263">
                  <c:v>96.37935999999995</c:v>
                </c:pt>
                <c:pt idx="264">
                  <c:v>96.37029999999998</c:v>
                </c:pt>
                <c:pt idx="265">
                  <c:v>96.36124</c:v>
                </c:pt>
                <c:pt idx="266">
                  <c:v>96.35136999999997</c:v>
                </c:pt>
                <c:pt idx="267">
                  <c:v>96.34151</c:v>
                </c:pt>
                <c:pt idx="268">
                  <c:v>96.33330999999998</c:v>
                </c:pt>
                <c:pt idx="269">
                  <c:v>96.32425</c:v>
                </c:pt>
                <c:pt idx="270">
                  <c:v>96.31519</c:v>
                </c:pt>
                <c:pt idx="271">
                  <c:v>96.30613</c:v>
                </c:pt>
                <c:pt idx="272">
                  <c:v>96.29707</c:v>
                </c:pt>
                <c:pt idx="273">
                  <c:v>96.28721</c:v>
                </c:pt>
                <c:pt idx="274">
                  <c:v>96.27821</c:v>
                </c:pt>
                <c:pt idx="275">
                  <c:v>96.26915</c:v>
                </c:pt>
                <c:pt idx="276">
                  <c:v>96.26089</c:v>
                </c:pt>
                <c:pt idx="277">
                  <c:v>96.25183000000001</c:v>
                </c:pt>
                <c:pt idx="278">
                  <c:v>96.24364</c:v>
                </c:pt>
                <c:pt idx="279">
                  <c:v>96.23458</c:v>
                </c:pt>
                <c:pt idx="280">
                  <c:v>96.22552</c:v>
                </c:pt>
                <c:pt idx="281">
                  <c:v>96.21646</c:v>
                </c:pt>
                <c:pt idx="282">
                  <c:v>96.2074</c:v>
                </c:pt>
                <c:pt idx="283">
                  <c:v>96.19753</c:v>
                </c:pt>
                <c:pt idx="284">
                  <c:v>96.18847999999888</c:v>
                </c:pt>
                <c:pt idx="285">
                  <c:v>96.18109</c:v>
                </c:pt>
                <c:pt idx="286">
                  <c:v>96.17202999999998</c:v>
                </c:pt>
                <c:pt idx="287">
                  <c:v>96.16303</c:v>
                </c:pt>
                <c:pt idx="288">
                  <c:v>96.15396999999998</c:v>
                </c:pt>
                <c:pt idx="289">
                  <c:v>96.14571999999998</c:v>
                </c:pt>
                <c:pt idx="290">
                  <c:v>96.13666</c:v>
                </c:pt>
                <c:pt idx="291">
                  <c:v>96.12845999999985</c:v>
                </c:pt>
                <c:pt idx="292">
                  <c:v>96.1194</c:v>
                </c:pt>
                <c:pt idx="293">
                  <c:v>96.11033999999998</c:v>
                </c:pt>
                <c:pt idx="294">
                  <c:v>96.10128</c:v>
                </c:pt>
                <c:pt idx="295">
                  <c:v>96.0939</c:v>
                </c:pt>
                <c:pt idx="296">
                  <c:v>96.08484</c:v>
                </c:pt>
                <c:pt idx="297">
                  <c:v>96.07577999999845</c:v>
                </c:pt>
                <c:pt idx="298">
                  <c:v>96.06759</c:v>
                </c:pt>
                <c:pt idx="299">
                  <c:v>96.05932999999997</c:v>
                </c:pt>
                <c:pt idx="300">
                  <c:v>96.05114</c:v>
                </c:pt>
                <c:pt idx="301">
                  <c:v>96.04289</c:v>
                </c:pt>
                <c:pt idx="302">
                  <c:v>96.03464</c:v>
                </c:pt>
                <c:pt idx="303">
                  <c:v>96.02643999999998</c:v>
                </c:pt>
                <c:pt idx="304">
                  <c:v>96.01738</c:v>
                </c:pt>
                <c:pt idx="305">
                  <c:v>96.01</c:v>
                </c:pt>
                <c:pt idx="306">
                  <c:v>96.00174</c:v>
                </c:pt>
                <c:pt idx="307">
                  <c:v>95.99355</c:v>
                </c:pt>
                <c:pt idx="308">
                  <c:v>95.98449</c:v>
                </c:pt>
                <c:pt idx="309">
                  <c:v>95.97624</c:v>
                </c:pt>
                <c:pt idx="310">
                  <c:v>95.96805</c:v>
                </c:pt>
                <c:pt idx="311">
                  <c:v>95.95979</c:v>
                </c:pt>
                <c:pt idx="312">
                  <c:v>95.95154</c:v>
                </c:pt>
                <c:pt idx="313">
                  <c:v>95.94335</c:v>
                </c:pt>
                <c:pt idx="314">
                  <c:v>95.9351</c:v>
                </c:pt>
                <c:pt idx="315">
                  <c:v>95.9269</c:v>
                </c:pt>
                <c:pt idx="316">
                  <c:v>95.91865</c:v>
                </c:pt>
                <c:pt idx="317">
                  <c:v>95.90959</c:v>
                </c:pt>
                <c:pt idx="318">
                  <c:v>95.9014</c:v>
                </c:pt>
                <c:pt idx="319">
                  <c:v>95.89315</c:v>
                </c:pt>
                <c:pt idx="320">
                  <c:v>95.88575999999995</c:v>
                </c:pt>
                <c:pt idx="321">
                  <c:v>95.87669999999998</c:v>
                </c:pt>
                <c:pt idx="322">
                  <c:v>95.86931</c:v>
                </c:pt>
                <c:pt idx="323">
                  <c:v>95.86187</c:v>
                </c:pt>
                <c:pt idx="324">
                  <c:v>95.85367999999998</c:v>
                </c:pt>
                <c:pt idx="325">
                  <c:v>95.84462</c:v>
                </c:pt>
                <c:pt idx="326">
                  <c:v>95.83636999999997</c:v>
                </c:pt>
                <c:pt idx="327">
                  <c:v>95.82897999999948</c:v>
                </c:pt>
                <c:pt idx="328">
                  <c:v>95.82159</c:v>
                </c:pt>
                <c:pt idx="329">
                  <c:v>95.81333999999998</c:v>
                </c:pt>
                <c:pt idx="330">
                  <c:v>95.80596</c:v>
                </c:pt>
                <c:pt idx="331">
                  <c:v>95.7969</c:v>
                </c:pt>
                <c:pt idx="332">
                  <c:v>95.78951</c:v>
                </c:pt>
                <c:pt idx="333">
                  <c:v>95.78126</c:v>
                </c:pt>
                <c:pt idx="334">
                  <c:v>95.77386999999997</c:v>
                </c:pt>
                <c:pt idx="335">
                  <c:v>95.76562</c:v>
                </c:pt>
                <c:pt idx="336">
                  <c:v>95.75743000000001</c:v>
                </c:pt>
                <c:pt idx="337">
                  <c:v>95.75004</c:v>
                </c:pt>
                <c:pt idx="338">
                  <c:v>95.7426</c:v>
                </c:pt>
                <c:pt idx="339">
                  <c:v>95.73354</c:v>
                </c:pt>
                <c:pt idx="340">
                  <c:v>95.72533999999958</c:v>
                </c:pt>
                <c:pt idx="341">
                  <c:v>95.71709</c:v>
                </c:pt>
                <c:pt idx="342">
                  <c:v>95.70970000000001</c:v>
                </c:pt>
                <c:pt idx="343">
                  <c:v>95.70232</c:v>
                </c:pt>
                <c:pt idx="344">
                  <c:v>95.69573999999928</c:v>
                </c:pt>
                <c:pt idx="345">
                  <c:v>95.68748999999998</c:v>
                </c:pt>
                <c:pt idx="346">
                  <c:v>95.67923999999998</c:v>
                </c:pt>
                <c:pt idx="347">
                  <c:v>95.67184999999998</c:v>
                </c:pt>
                <c:pt idx="348">
                  <c:v>95.66446</c:v>
                </c:pt>
                <c:pt idx="349">
                  <c:v>95.65540999999975</c:v>
                </c:pt>
                <c:pt idx="350">
                  <c:v>95.64715</c:v>
                </c:pt>
                <c:pt idx="351">
                  <c:v>95.63976999999998</c:v>
                </c:pt>
                <c:pt idx="352">
                  <c:v>95.63237999999878</c:v>
                </c:pt>
                <c:pt idx="353">
                  <c:v>95.62493999999998</c:v>
                </c:pt>
                <c:pt idx="354">
                  <c:v>95.61673999999998</c:v>
                </c:pt>
                <c:pt idx="355">
                  <c:v>95.60935999999998</c:v>
                </c:pt>
                <c:pt idx="356">
                  <c:v>95.60111</c:v>
                </c:pt>
                <c:pt idx="357">
                  <c:v>95.59372</c:v>
                </c:pt>
                <c:pt idx="358">
                  <c:v>95.58628</c:v>
                </c:pt>
                <c:pt idx="359">
                  <c:v>95.57807999999918</c:v>
                </c:pt>
                <c:pt idx="360">
                  <c:v>95.57063999999998</c:v>
                </c:pt>
                <c:pt idx="361">
                  <c:v>95.56406</c:v>
                </c:pt>
                <c:pt idx="362">
                  <c:v>95.55505999999998</c:v>
                </c:pt>
                <c:pt idx="363">
                  <c:v>95.54761</c:v>
                </c:pt>
                <c:pt idx="364">
                  <c:v>95.54023</c:v>
                </c:pt>
                <c:pt idx="365">
                  <c:v>95.53283999999998</c:v>
                </c:pt>
                <c:pt idx="366">
                  <c:v>95.52459</c:v>
                </c:pt>
                <c:pt idx="367">
                  <c:v>95.5172</c:v>
                </c:pt>
                <c:pt idx="368">
                  <c:v>95.50895</c:v>
                </c:pt>
                <c:pt idx="369">
                  <c:v>95.50236999999998</c:v>
                </c:pt>
                <c:pt idx="370">
                  <c:v>95.49418</c:v>
                </c:pt>
                <c:pt idx="371">
                  <c:v>95.48674</c:v>
                </c:pt>
                <c:pt idx="372">
                  <c:v>95.48016</c:v>
                </c:pt>
                <c:pt idx="373">
                  <c:v>95.47196</c:v>
                </c:pt>
                <c:pt idx="374">
                  <c:v>95.46452</c:v>
                </c:pt>
                <c:pt idx="375">
                  <c:v>95.45794</c:v>
                </c:pt>
                <c:pt idx="376">
                  <c:v>95.44975</c:v>
                </c:pt>
                <c:pt idx="377">
                  <c:v>95.4423</c:v>
                </c:pt>
                <c:pt idx="378">
                  <c:v>95.43492</c:v>
                </c:pt>
                <c:pt idx="379">
                  <c:v>95.42672</c:v>
                </c:pt>
                <c:pt idx="380">
                  <c:v>95.42009</c:v>
                </c:pt>
                <c:pt idx="381">
                  <c:v>95.4127</c:v>
                </c:pt>
                <c:pt idx="382">
                  <c:v>95.40532</c:v>
                </c:pt>
                <c:pt idx="383">
                  <c:v>95.39873999999975</c:v>
                </c:pt>
                <c:pt idx="384">
                  <c:v>95.39049</c:v>
                </c:pt>
                <c:pt idx="385">
                  <c:v>95.38391</c:v>
                </c:pt>
                <c:pt idx="386">
                  <c:v>95.37570999999878</c:v>
                </c:pt>
                <c:pt idx="387">
                  <c:v>95.36827</c:v>
                </c:pt>
                <c:pt idx="388">
                  <c:v>95.36169</c:v>
                </c:pt>
                <c:pt idx="389">
                  <c:v>95.35431</c:v>
                </c:pt>
                <c:pt idx="390">
                  <c:v>95.34692</c:v>
                </c:pt>
                <c:pt idx="391">
                  <c:v>95.33947999999998</c:v>
                </c:pt>
                <c:pt idx="392">
                  <c:v>95.33208999999998</c:v>
                </c:pt>
                <c:pt idx="393">
                  <c:v>95.3247</c:v>
                </c:pt>
                <c:pt idx="394">
                  <c:v>95.31726</c:v>
                </c:pt>
                <c:pt idx="395">
                  <c:v>95.31068</c:v>
                </c:pt>
                <c:pt idx="396">
                  <c:v>95.3033</c:v>
                </c:pt>
                <c:pt idx="397">
                  <c:v>95.29591</c:v>
                </c:pt>
                <c:pt idx="398">
                  <c:v>95.28846999999997</c:v>
                </c:pt>
                <c:pt idx="399">
                  <c:v>95.28108</c:v>
                </c:pt>
                <c:pt idx="400">
                  <c:v>95.27369</c:v>
                </c:pt>
                <c:pt idx="401">
                  <c:v>95.26711</c:v>
                </c:pt>
                <c:pt idx="402">
                  <c:v>95.25967</c:v>
                </c:pt>
                <c:pt idx="403">
                  <c:v>95.25309</c:v>
                </c:pt>
                <c:pt idx="404">
                  <c:v>95.24571</c:v>
                </c:pt>
                <c:pt idx="405">
                  <c:v>95.23832</c:v>
                </c:pt>
                <c:pt idx="406">
                  <c:v>95.23007000000001</c:v>
                </c:pt>
                <c:pt idx="407">
                  <c:v>95.22349</c:v>
                </c:pt>
                <c:pt idx="408">
                  <c:v>95.21691</c:v>
                </c:pt>
                <c:pt idx="409">
                  <c:v>95.20953</c:v>
                </c:pt>
                <c:pt idx="410">
                  <c:v>95.20295</c:v>
                </c:pt>
                <c:pt idx="411">
                  <c:v>95.19636999999997</c:v>
                </c:pt>
                <c:pt idx="412">
                  <c:v>95.18892999999998</c:v>
                </c:pt>
                <c:pt idx="413">
                  <c:v>95.18234999999908</c:v>
                </c:pt>
                <c:pt idx="414">
                  <c:v>95.17496</c:v>
                </c:pt>
                <c:pt idx="415">
                  <c:v>95.16837999999898</c:v>
                </c:pt>
                <c:pt idx="416">
                  <c:v>95.161</c:v>
                </c:pt>
                <c:pt idx="417">
                  <c:v>95.15354999999998</c:v>
                </c:pt>
                <c:pt idx="418">
                  <c:v>95.14617000000001</c:v>
                </c:pt>
                <c:pt idx="419">
                  <c:v>95.13877999999868</c:v>
                </c:pt>
                <c:pt idx="420">
                  <c:v>95.13219999999998</c:v>
                </c:pt>
                <c:pt idx="421">
                  <c:v>95.12556999999998</c:v>
                </c:pt>
                <c:pt idx="422">
                  <c:v>95.11657</c:v>
                </c:pt>
                <c:pt idx="423">
                  <c:v>95.11078999999998</c:v>
                </c:pt>
                <c:pt idx="424">
                  <c:v>95.10422</c:v>
                </c:pt>
                <c:pt idx="425">
                  <c:v>95.09764</c:v>
                </c:pt>
                <c:pt idx="426">
                  <c:v>95.09019</c:v>
                </c:pt>
                <c:pt idx="427">
                  <c:v>95.08280999999998</c:v>
                </c:pt>
                <c:pt idx="428">
                  <c:v>95.07541999999998</c:v>
                </c:pt>
                <c:pt idx="429">
                  <c:v>95.06798</c:v>
                </c:pt>
                <c:pt idx="430">
                  <c:v>95.05977999999975</c:v>
                </c:pt>
                <c:pt idx="431">
                  <c:v>95.05321</c:v>
                </c:pt>
                <c:pt idx="432">
                  <c:v>95.04744</c:v>
                </c:pt>
                <c:pt idx="433">
                  <c:v>95.04005</c:v>
                </c:pt>
                <c:pt idx="434">
                  <c:v>95.03347</c:v>
                </c:pt>
                <c:pt idx="435">
                  <c:v>95.02603</c:v>
                </c:pt>
                <c:pt idx="436">
                  <c:v>95.01945</c:v>
                </c:pt>
                <c:pt idx="437">
                  <c:v>95.01287</c:v>
                </c:pt>
                <c:pt idx="438">
                  <c:v>95.00547999999995</c:v>
                </c:pt>
                <c:pt idx="439">
                  <c:v>94.9981</c:v>
                </c:pt>
                <c:pt idx="440">
                  <c:v>94.99233</c:v>
                </c:pt>
                <c:pt idx="441">
                  <c:v>94.98494</c:v>
                </c:pt>
                <c:pt idx="442">
                  <c:v>94.97917</c:v>
                </c:pt>
                <c:pt idx="443">
                  <c:v>94.97258999999998</c:v>
                </c:pt>
                <c:pt idx="444">
                  <c:v>94.96434</c:v>
                </c:pt>
                <c:pt idx="445">
                  <c:v>94.95776</c:v>
                </c:pt>
                <c:pt idx="446">
                  <c:v>94.95037999999998</c:v>
                </c:pt>
                <c:pt idx="447">
                  <c:v>94.9438</c:v>
                </c:pt>
                <c:pt idx="448">
                  <c:v>94.93722</c:v>
                </c:pt>
                <c:pt idx="449">
                  <c:v>94.92977999999998</c:v>
                </c:pt>
                <c:pt idx="450">
                  <c:v>94.92158</c:v>
                </c:pt>
                <c:pt idx="451">
                  <c:v>94.915</c:v>
                </c:pt>
                <c:pt idx="452">
                  <c:v>94.91004</c:v>
                </c:pt>
                <c:pt idx="453">
                  <c:v>94.90266</c:v>
                </c:pt>
                <c:pt idx="454">
                  <c:v>94.89608</c:v>
                </c:pt>
                <c:pt idx="455">
                  <c:v>94.88863</c:v>
                </c:pt>
                <c:pt idx="456">
                  <c:v>94.88292</c:v>
                </c:pt>
                <c:pt idx="457">
                  <c:v>94.87547999999855</c:v>
                </c:pt>
                <c:pt idx="458">
                  <c:v>94.86889999999998</c:v>
                </c:pt>
                <c:pt idx="459">
                  <c:v>94.86151</c:v>
                </c:pt>
                <c:pt idx="460">
                  <c:v>94.85413000000001</c:v>
                </c:pt>
                <c:pt idx="461">
                  <c:v>94.84755</c:v>
                </c:pt>
                <c:pt idx="462">
                  <c:v>94.84097000000001</c:v>
                </c:pt>
                <c:pt idx="463">
                  <c:v>94.83433</c:v>
                </c:pt>
                <c:pt idx="464">
                  <c:v>94.82694999999998</c:v>
                </c:pt>
                <c:pt idx="465">
                  <c:v>94.82036999999998</c:v>
                </c:pt>
                <c:pt idx="466">
                  <c:v>94.81378999999998</c:v>
                </c:pt>
                <c:pt idx="467">
                  <c:v>94.80721</c:v>
                </c:pt>
                <c:pt idx="468">
                  <c:v>94.80064</c:v>
                </c:pt>
                <c:pt idx="469">
                  <c:v>94.79325</c:v>
                </c:pt>
                <c:pt idx="470">
                  <c:v>94.78667</c:v>
                </c:pt>
                <c:pt idx="471">
                  <c:v>94.78171</c:v>
                </c:pt>
                <c:pt idx="472">
                  <c:v>94.77017</c:v>
                </c:pt>
                <c:pt idx="473">
                  <c:v>94.76607000000001</c:v>
                </c:pt>
                <c:pt idx="474">
                  <c:v>94.75949</c:v>
                </c:pt>
                <c:pt idx="475">
                  <c:v>94.75211</c:v>
                </c:pt>
                <c:pt idx="476">
                  <c:v>94.74634</c:v>
                </c:pt>
                <c:pt idx="477">
                  <c:v>94.74137</c:v>
                </c:pt>
                <c:pt idx="478">
                  <c:v>94.7348</c:v>
                </c:pt>
                <c:pt idx="479">
                  <c:v>94.7266</c:v>
                </c:pt>
                <c:pt idx="480">
                  <c:v>94.72002</c:v>
                </c:pt>
                <c:pt idx="481">
                  <c:v>94.71258</c:v>
                </c:pt>
                <c:pt idx="482">
                  <c:v>94.70519</c:v>
                </c:pt>
                <c:pt idx="483">
                  <c:v>94.69861</c:v>
                </c:pt>
                <c:pt idx="484">
                  <c:v>94.69203999999995</c:v>
                </c:pt>
                <c:pt idx="485">
                  <c:v>94.68545999999998</c:v>
                </c:pt>
                <c:pt idx="486">
                  <c:v>94.6788799999981</c:v>
                </c:pt>
                <c:pt idx="487">
                  <c:v>94.67310999999998</c:v>
                </c:pt>
                <c:pt idx="488">
                  <c:v>94.66653</c:v>
                </c:pt>
                <c:pt idx="489">
                  <c:v>94.65914999999998</c:v>
                </c:pt>
                <c:pt idx="490">
                  <c:v>94.65256999999998</c:v>
                </c:pt>
                <c:pt idx="491">
                  <c:v>94.64599</c:v>
                </c:pt>
                <c:pt idx="492">
                  <c:v>94.63941</c:v>
                </c:pt>
                <c:pt idx="493">
                  <c:v>94.63282999999998</c:v>
                </c:pt>
                <c:pt idx="494">
                  <c:v>94.62619999999998</c:v>
                </c:pt>
                <c:pt idx="495">
                  <c:v>94.61962</c:v>
                </c:pt>
                <c:pt idx="496">
                  <c:v>94.61304</c:v>
                </c:pt>
                <c:pt idx="497">
                  <c:v>94.60564999999998</c:v>
                </c:pt>
                <c:pt idx="498">
                  <c:v>94.59908</c:v>
                </c:pt>
                <c:pt idx="499">
                  <c:v>94.5925</c:v>
                </c:pt>
                <c:pt idx="500">
                  <c:v>94.58672999999997</c:v>
                </c:pt>
                <c:pt idx="501">
                  <c:v>94.57933999999958</c:v>
                </c:pt>
                <c:pt idx="502">
                  <c:v>94.57275999999958</c:v>
                </c:pt>
                <c:pt idx="503">
                  <c:v>94.5678</c:v>
                </c:pt>
                <c:pt idx="504">
                  <c:v>94.55632</c:v>
                </c:pt>
                <c:pt idx="505">
                  <c:v>94.54974</c:v>
                </c:pt>
                <c:pt idx="506">
                  <c:v>94.54558</c:v>
                </c:pt>
                <c:pt idx="507">
                  <c:v>94.54229</c:v>
                </c:pt>
                <c:pt idx="508">
                  <c:v>94.53491</c:v>
                </c:pt>
                <c:pt idx="509">
                  <c:v>94.52666</c:v>
                </c:pt>
                <c:pt idx="510">
                  <c:v>94.52093999999998</c:v>
                </c:pt>
                <c:pt idx="511">
                  <c:v>94.5135</c:v>
                </c:pt>
                <c:pt idx="512">
                  <c:v>94.50773</c:v>
                </c:pt>
                <c:pt idx="513">
                  <c:v>94.50115</c:v>
                </c:pt>
                <c:pt idx="514">
                  <c:v>94.49377000000001</c:v>
                </c:pt>
                <c:pt idx="515">
                  <c:v>94.48799</c:v>
                </c:pt>
                <c:pt idx="516">
                  <c:v>94.48142</c:v>
                </c:pt>
                <c:pt idx="517">
                  <c:v>94.47403000000001</c:v>
                </c:pt>
                <c:pt idx="518">
                  <c:v>94.46826</c:v>
                </c:pt>
                <c:pt idx="519">
                  <c:v>94.46168</c:v>
                </c:pt>
                <c:pt idx="520">
                  <c:v>94.4551</c:v>
                </c:pt>
                <c:pt idx="521">
                  <c:v>94.44853</c:v>
                </c:pt>
                <c:pt idx="522">
                  <c:v>94.44195</c:v>
                </c:pt>
                <c:pt idx="523">
                  <c:v>94.43537</c:v>
                </c:pt>
                <c:pt idx="524">
                  <c:v>94.42878999999998</c:v>
                </c:pt>
                <c:pt idx="525">
                  <c:v>94.42221</c:v>
                </c:pt>
                <c:pt idx="526">
                  <c:v>94.41563</c:v>
                </c:pt>
                <c:pt idx="527">
                  <c:v>94.40906</c:v>
                </c:pt>
                <c:pt idx="528">
                  <c:v>94.40161</c:v>
                </c:pt>
                <c:pt idx="529">
                  <c:v>94.39583999999998</c:v>
                </c:pt>
                <c:pt idx="530">
                  <c:v>94.38926</c:v>
                </c:pt>
                <c:pt idx="531">
                  <c:v>94.38268999999998</c:v>
                </c:pt>
                <c:pt idx="532">
                  <c:v>94.37529999999998</c:v>
                </c:pt>
                <c:pt idx="533">
                  <c:v>94.36871999999998</c:v>
                </c:pt>
                <c:pt idx="534">
                  <c:v>94.36376</c:v>
                </c:pt>
                <c:pt idx="535">
                  <c:v>94.35718</c:v>
                </c:pt>
                <c:pt idx="536">
                  <c:v>94.3506</c:v>
                </c:pt>
                <c:pt idx="537">
                  <c:v>94.34402</c:v>
                </c:pt>
                <c:pt idx="538">
                  <c:v>94.33745</c:v>
                </c:pt>
                <c:pt idx="539">
                  <c:v>94.33087</c:v>
                </c:pt>
                <c:pt idx="540">
                  <c:v>94.32429</c:v>
                </c:pt>
                <c:pt idx="541">
                  <c:v>94.31852</c:v>
                </c:pt>
                <c:pt idx="542">
                  <c:v>94.31281</c:v>
                </c:pt>
                <c:pt idx="543">
                  <c:v>94.30535999999998</c:v>
                </c:pt>
                <c:pt idx="544">
                  <c:v>94.29798</c:v>
                </c:pt>
                <c:pt idx="545">
                  <c:v>94.2914</c:v>
                </c:pt>
                <c:pt idx="546">
                  <c:v>94.28563000000001</c:v>
                </c:pt>
                <c:pt idx="547">
                  <c:v>94.27905</c:v>
                </c:pt>
                <c:pt idx="548">
                  <c:v>94.27246999999998</c:v>
                </c:pt>
                <c:pt idx="549">
                  <c:v>94.2667</c:v>
                </c:pt>
                <c:pt idx="550">
                  <c:v>94.26012</c:v>
                </c:pt>
                <c:pt idx="551">
                  <c:v>94.25435</c:v>
                </c:pt>
                <c:pt idx="552">
                  <c:v>94.24697</c:v>
                </c:pt>
                <c:pt idx="553">
                  <c:v>94.24119</c:v>
                </c:pt>
                <c:pt idx="554">
                  <c:v>94.23462</c:v>
                </c:pt>
                <c:pt idx="555">
                  <c:v>94.22723</c:v>
                </c:pt>
                <c:pt idx="556">
                  <c:v>94.21979</c:v>
                </c:pt>
                <c:pt idx="557">
                  <c:v>94.21488</c:v>
                </c:pt>
                <c:pt idx="558">
                  <c:v>94.2083</c:v>
                </c:pt>
                <c:pt idx="559">
                  <c:v>94.20173000000001</c:v>
                </c:pt>
                <c:pt idx="560">
                  <c:v>94.19515</c:v>
                </c:pt>
                <c:pt idx="561">
                  <c:v>94.18937999999918</c:v>
                </c:pt>
                <c:pt idx="562">
                  <c:v>94.18279999999928</c:v>
                </c:pt>
                <c:pt idx="563">
                  <c:v>94.17622</c:v>
                </c:pt>
                <c:pt idx="564">
                  <c:v>94.16964</c:v>
                </c:pt>
                <c:pt idx="565">
                  <c:v>94.16226</c:v>
                </c:pt>
                <c:pt idx="566">
                  <c:v>94.15729</c:v>
                </c:pt>
                <c:pt idx="567">
                  <c:v>94.15070999999975</c:v>
                </c:pt>
                <c:pt idx="568">
                  <c:v>94.14414</c:v>
                </c:pt>
                <c:pt idx="569">
                  <c:v>94.13674999999998</c:v>
                </c:pt>
                <c:pt idx="570">
                  <c:v>94.13011</c:v>
                </c:pt>
                <c:pt idx="571">
                  <c:v>94.12520999999998</c:v>
                </c:pt>
                <c:pt idx="572">
                  <c:v>94.11863</c:v>
                </c:pt>
                <c:pt idx="573">
                  <c:v>94.11204999999998</c:v>
                </c:pt>
                <c:pt idx="574">
                  <c:v>94.10546999999998</c:v>
                </c:pt>
                <c:pt idx="575">
                  <c:v>94.09803</c:v>
                </c:pt>
                <c:pt idx="576">
                  <c:v>94.09232</c:v>
                </c:pt>
                <c:pt idx="577">
                  <c:v>94.08655</c:v>
                </c:pt>
                <c:pt idx="578">
                  <c:v>94.07996999999997</c:v>
                </c:pt>
                <c:pt idx="579">
                  <c:v>94.07338999999975</c:v>
                </c:pt>
                <c:pt idx="580">
                  <c:v>94.06681</c:v>
                </c:pt>
                <c:pt idx="581">
                  <c:v>94.06104</c:v>
                </c:pt>
                <c:pt idx="582">
                  <c:v>94.05446</c:v>
                </c:pt>
                <c:pt idx="583">
                  <c:v>94.04869</c:v>
                </c:pt>
                <c:pt idx="584">
                  <c:v>94.04131</c:v>
                </c:pt>
                <c:pt idx="585">
                  <c:v>94.03553999999998</c:v>
                </c:pt>
                <c:pt idx="586">
                  <c:v>94.02896</c:v>
                </c:pt>
                <c:pt idx="587">
                  <c:v>94.02237999999888</c:v>
                </c:pt>
                <c:pt idx="588">
                  <c:v>94.0158</c:v>
                </c:pt>
                <c:pt idx="589">
                  <c:v>94.01003</c:v>
                </c:pt>
                <c:pt idx="590">
                  <c:v>94.00265</c:v>
                </c:pt>
                <c:pt idx="591">
                  <c:v>93.99607</c:v>
                </c:pt>
                <c:pt idx="592">
                  <c:v>93.9903</c:v>
                </c:pt>
                <c:pt idx="593">
                  <c:v>93.98453</c:v>
                </c:pt>
                <c:pt idx="594">
                  <c:v>93.97795</c:v>
                </c:pt>
                <c:pt idx="595">
                  <c:v>93.97056</c:v>
                </c:pt>
                <c:pt idx="596">
                  <c:v>93.96479</c:v>
                </c:pt>
                <c:pt idx="597">
                  <c:v>93.95902</c:v>
                </c:pt>
                <c:pt idx="598">
                  <c:v>93.95243999999998</c:v>
                </c:pt>
                <c:pt idx="599">
                  <c:v>93.94667</c:v>
                </c:pt>
                <c:pt idx="600">
                  <c:v>93.9401</c:v>
                </c:pt>
                <c:pt idx="601">
                  <c:v>93.93352</c:v>
                </c:pt>
                <c:pt idx="602">
                  <c:v>93.92694</c:v>
                </c:pt>
                <c:pt idx="603">
                  <c:v>93.92117</c:v>
                </c:pt>
                <c:pt idx="604">
                  <c:v>93.91459</c:v>
                </c:pt>
                <c:pt idx="605">
                  <c:v>93.90882</c:v>
                </c:pt>
                <c:pt idx="606">
                  <c:v>93.90143</c:v>
                </c:pt>
                <c:pt idx="607">
                  <c:v>93.89486</c:v>
                </c:pt>
                <c:pt idx="608">
                  <c:v>93.88988999999998</c:v>
                </c:pt>
                <c:pt idx="609">
                  <c:v>93.88418</c:v>
                </c:pt>
                <c:pt idx="610">
                  <c:v>93.87840999999958</c:v>
                </c:pt>
                <c:pt idx="611">
                  <c:v>93.87182999999997</c:v>
                </c:pt>
                <c:pt idx="612">
                  <c:v>93.86606</c:v>
                </c:pt>
                <c:pt idx="613">
                  <c:v>93.86029</c:v>
                </c:pt>
                <c:pt idx="614">
                  <c:v>93.85452</c:v>
                </c:pt>
                <c:pt idx="615">
                  <c:v>93.84794</c:v>
                </c:pt>
                <c:pt idx="616">
                  <c:v>93.84136</c:v>
                </c:pt>
                <c:pt idx="617">
                  <c:v>93.83479</c:v>
                </c:pt>
                <c:pt idx="618">
                  <c:v>93.82900999999998</c:v>
                </c:pt>
                <c:pt idx="619">
                  <c:v>93.82411</c:v>
                </c:pt>
                <c:pt idx="620">
                  <c:v>93.81753</c:v>
                </c:pt>
                <c:pt idx="621">
                  <c:v>93.81095</c:v>
                </c:pt>
                <c:pt idx="622">
                  <c:v>93.80517999999998</c:v>
                </c:pt>
                <c:pt idx="623">
                  <c:v>93.79941</c:v>
                </c:pt>
                <c:pt idx="624">
                  <c:v>93.79364</c:v>
                </c:pt>
                <c:pt idx="625">
                  <c:v>93.78706</c:v>
                </c:pt>
                <c:pt idx="626">
                  <c:v>93.78216</c:v>
                </c:pt>
                <c:pt idx="627">
                  <c:v>93.77638999999998</c:v>
                </c:pt>
                <c:pt idx="628">
                  <c:v>93.76981</c:v>
                </c:pt>
                <c:pt idx="629">
                  <c:v>93.76323</c:v>
                </c:pt>
                <c:pt idx="630">
                  <c:v>93.75746</c:v>
                </c:pt>
                <c:pt idx="631">
                  <c:v>93.75169</c:v>
                </c:pt>
                <c:pt idx="632">
                  <c:v>93.74592</c:v>
                </c:pt>
                <c:pt idx="633">
                  <c:v>93.74021</c:v>
                </c:pt>
                <c:pt idx="634">
                  <c:v>93.73444</c:v>
                </c:pt>
                <c:pt idx="635">
                  <c:v>93.72867</c:v>
                </c:pt>
                <c:pt idx="636">
                  <c:v>93.72289999999998</c:v>
                </c:pt>
                <c:pt idx="637">
                  <c:v>93.71713</c:v>
                </c:pt>
                <c:pt idx="638">
                  <c:v>93.71141</c:v>
                </c:pt>
                <c:pt idx="639">
                  <c:v>93.70564</c:v>
                </c:pt>
                <c:pt idx="640">
                  <c:v>93.69986999999997</c:v>
                </c:pt>
                <c:pt idx="641">
                  <c:v>93.6941</c:v>
                </c:pt>
                <c:pt idx="642">
                  <c:v>93.6892</c:v>
                </c:pt>
                <c:pt idx="643">
                  <c:v>93.68342999999998</c:v>
                </c:pt>
                <c:pt idx="644">
                  <c:v>93.67684999999948</c:v>
                </c:pt>
                <c:pt idx="645">
                  <c:v>93.67188999999995</c:v>
                </c:pt>
                <c:pt idx="646">
                  <c:v>93.66530999999995</c:v>
                </c:pt>
                <c:pt idx="647">
                  <c:v>93.65953999999998</c:v>
                </c:pt>
                <c:pt idx="648">
                  <c:v>93.65463</c:v>
                </c:pt>
                <c:pt idx="649">
                  <c:v>93.64886</c:v>
                </c:pt>
                <c:pt idx="650">
                  <c:v>93.64309</c:v>
                </c:pt>
                <c:pt idx="651">
                  <c:v>93.63737999999998</c:v>
                </c:pt>
                <c:pt idx="652">
                  <c:v>93.63073999999965</c:v>
                </c:pt>
                <c:pt idx="653">
                  <c:v>93.62583999999858</c:v>
                </c:pt>
                <c:pt idx="654">
                  <c:v>93.62087999999908</c:v>
                </c:pt>
                <c:pt idx="655">
                  <c:v>93.61516</c:v>
                </c:pt>
                <c:pt idx="656">
                  <c:v>93.60938999999995</c:v>
                </c:pt>
                <c:pt idx="657">
                  <c:v>93.60362</c:v>
                </c:pt>
                <c:pt idx="658">
                  <c:v>93.59866</c:v>
                </c:pt>
                <c:pt idx="659">
                  <c:v>93.59376</c:v>
                </c:pt>
                <c:pt idx="660">
                  <c:v>93.58799</c:v>
                </c:pt>
                <c:pt idx="661">
                  <c:v>93.58307999999998</c:v>
                </c:pt>
                <c:pt idx="662">
                  <c:v>93.57730999999998</c:v>
                </c:pt>
                <c:pt idx="663">
                  <c:v>93.57154</c:v>
                </c:pt>
                <c:pt idx="664">
                  <c:v>93.56576999999998</c:v>
                </c:pt>
                <c:pt idx="665">
                  <c:v>93.56086</c:v>
                </c:pt>
                <c:pt idx="666">
                  <c:v>93.55508999999998</c:v>
                </c:pt>
                <c:pt idx="667">
                  <c:v>93.54932</c:v>
                </c:pt>
                <c:pt idx="668">
                  <c:v>93.54436</c:v>
                </c:pt>
                <c:pt idx="669">
                  <c:v>93.53946</c:v>
                </c:pt>
                <c:pt idx="670">
                  <c:v>93.53287999999995</c:v>
                </c:pt>
                <c:pt idx="671">
                  <c:v>93.52792</c:v>
                </c:pt>
                <c:pt idx="672">
                  <c:v>93.52301</c:v>
                </c:pt>
                <c:pt idx="673">
                  <c:v>93.51805</c:v>
                </c:pt>
                <c:pt idx="674">
                  <c:v>93.51228</c:v>
                </c:pt>
                <c:pt idx="675">
                  <c:v>93.50656</c:v>
                </c:pt>
                <c:pt idx="676">
                  <c:v>93.5016</c:v>
                </c:pt>
                <c:pt idx="677">
                  <c:v>93.4967</c:v>
                </c:pt>
                <c:pt idx="678">
                  <c:v>93.49093</c:v>
                </c:pt>
                <c:pt idx="679">
                  <c:v>93.48516</c:v>
                </c:pt>
                <c:pt idx="680">
                  <c:v>93.47938999999998</c:v>
                </c:pt>
                <c:pt idx="681">
                  <c:v>93.47448</c:v>
                </c:pt>
                <c:pt idx="682">
                  <c:v>93.46952</c:v>
                </c:pt>
                <c:pt idx="683">
                  <c:v>93.46375</c:v>
                </c:pt>
                <c:pt idx="684">
                  <c:v>93.45883999999998</c:v>
                </c:pt>
                <c:pt idx="685">
                  <c:v>93.45307</c:v>
                </c:pt>
                <c:pt idx="686">
                  <c:v>93.44898</c:v>
                </c:pt>
                <c:pt idx="687">
                  <c:v>93.44401</c:v>
                </c:pt>
                <c:pt idx="688">
                  <c:v>93.43744</c:v>
                </c:pt>
                <c:pt idx="689">
                  <c:v>93.43334</c:v>
                </c:pt>
                <c:pt idx="690">
                  <c:v>93.42837999999985</c:v>
                </c:pt>
                <c:pt idx="691">
                  <c:v>93.42261</c:v>
                </c:pt>
                <c:pt idx="692">
                  <c:v>93.4177</c:v>
                </c:pt>
                <c:pt idx="693">
                  <c:v>93.41193000000002</c:v>
                </c:pt>
                <c:pt idx="694">
                  <c:v>93.40703</c:v>
                </c:pt>
                <c:pt idx="695">
                  <c:v>93.40125</c:v>
                </c:pt>
                <c:pt idx="696">
                  <c:v>93.39629</c:v>
                </c:pt>
                <c:pt idx="697">
                  <c:v>93.39139</c:v>
                </c:pt>
                <c:pt idx="698">
                  <c:v>93.38642</c:v>
                </c:pt>
                <c:pt idx="699">
                  <c:v>93.38065</c:v>
                </c:pt>
                <c:pt idx="700">
                  <c:v>93.37574999999858</c:v>
                </c:pt>
                <c:pt idx="701">
                  <c:v>93.37165</c:v>
                </c:pt>
                <c:pt idx="702">
                  <c:v>93.36669</c:v>
                </c:pt>
                <c:pt idx="703">
                  <c:v>93.36173</c:v>
                </c:pt>
                <c:pt idx="704">
                  <c:v>93.35601</c:v>
                </c:pt>
                <c:pt idx="705">
                  <c:v>93.35105</c:v>
                </c:pt>
                <c:pt idx="706">
                  <c:v>93.34615</c:v>
                </c:pt>
                <c:pt idx="707">
                  <c:v>93.34118</c:v>
                </c:pt>
                <c:pt idx="708">
                  <c:v>93.33622</c:v>
                </c:pt>
                <c:pt idx="709">
                  <c:v>93.33051</c:v>
                </c:pt>
                <c:pt idx="710">
                  <c:v>93.32554999999998</c:v>
                </c:pt>
                <c:pt idx="711">
                  <c:v>93.31977999999998</c:v>
                </c:pt>
                <c:pt idx="712">
                  <c:v>93.31568</c:v>
                </c:pt>
                <c:pt idx="713">
                  <c:v>93.31077</c:v>
                </c:pt>
                <c:pt idx="714">
                  <c:v>93.30580999999998</c:v>
                </c:pt>
                <c:pt idx="715">
                  <c:v>93.30003999999998</c:v>
                </c:pt>
                <c:pt idx="716">
                  <c:v>93.29514</c:v>
                </c:pt>
                <c:pt idx="717">
                  <c:v>93.29098</c:v>
                </c:pt>
                <c:pt idx="718">
                  <c:v>93.28608</c:v>
                </c:pt>
                <c:pt idx="719">
                  <c:v>93.28198</c:v>
                </c:pt>
                <c:pt idx="720">
                  <c:v>93.27621</c:v>
                </c:pt>
                <c:pt idx="721">
                  <c:v>93.27125</c:v>
                </c:pt>
                <c:pt idx="722">
                  <c:v>93.26634</c:v>
                </c:pt>
                <c:pt idx="723">
                  <c:v>93.26138</c:v>
                </c:pt>
                <c:pt idx="724">
                  <c:v>93.25561</c:v>
                </c:pt>
                <c:pt idx="725">
                  <c:v>93.25151</c:v>
                </c:pt>
                <c:pt idx="726">
                  <c:v>93.24742</c:v>
                </c:pt>
                <c:pt idx="727">
                  <c:v>93.24245</c:v>
                </c:pt>
                <c:pt idx="728">
                  <c:v>93.23836</c:v>
                </c:pt>
                <c:pt idx="729">
                  <c:v>93.23339</c:v>
                </c:pt>
                <c:pt idx="730">
                  <c:v>93.2293</c:v>
                </c:pt>
                <c:pt idx="731">
                  <c:v>93.22353</c:v>
                </c:pt>
                <c:pt idx="732">
                  <c:v>93.21943</c:v>
                </c:pt>
                <c:pt idx="733">
                  <c:v>93.21447</c:v>
                </c:pt>
                <c:pt idx="734">
                  <c:v>93.20874999999998</c:v>
                </c:pt>
                <c:pt idx="735">
                  <c:v>93.2046</c:v>
                </c:pt>
                <c:pt idx="736">
                  <c:v>93.19969</c:v>
                </c:pt>
                <c:pt idx="737">
                  <c:v>93.1956</c:v>
                </c:pt>
                <c:pt idx="738">
                  <c:v>93.18982999999998</c:v>
                </c:pt>
                <c:pt idx="739">
                  <c:v>93.18566999999997</c:v>
                </c:pt>
                <c:pt idx="740">
                  <c:v>93.18157999999998</c:v>
                </c:pt>
                <c:pt idx="741">
                  <c:v>93.17666999999997</c:v>
                </c:pt>
                <c:pt idx="742">
                  <c:v>93.17089999999965</c:v>
                </c:pt>
                <c:pt idx="743">
                  <c:v>93.16593999999998</c:v>
                </c:pt>
                <c:pt idx="744">
                  <c:v>93.16184</c:v>
                </c:pt>
                <c:pt idx="745">
                  <c:v>93.15687999999938</c:v>
                </c:pt>
                <c:pt idx="746">
                  <c:v>93.15197</c:v>
                </c:pt>
                <c:pt idx="747">
                  <c:v>93.14701</c:v>
                </c:pt>
                <c:pt idx="748">
                  <c:v>93.14291</c:v>
                </c:pt>
                <c:pt idx="749">
                  <c:v>93.13881999999998</c:v>
                </c:pt>
                <c:pt idx="750">
                  <c:v>93.13472</c:v>
                </c:pt>
                <c:pt idx="751">
                  <c:v>93.13057</c:v>
                </c:pt>
                <c:pt idx="752">
                  <c:v>93.12565999999998</c:v>
                </c:pt>
                <c:pt idx="753">
                  <c:v>93.11989</c:v>
                </c:pt>
                <c:pt idx="754">
                  <c:v>93.11493</c:v>
                </c:pt>
                <c:pt idx="755">
                  <c:v>93.11083</c:v>
                </c:pt>
                <c:pt idx="756">
                  <c:v>93.10592999999998</c:v>
                </c:pt>
                <c:pt idx="757">
                  <c:v>93.10176999999997</c:v>
                </c:pt>
                <c:pt idx="758">
                  <c:v>93.09767</c:v>
                </c:pt>
                <c:pt idx="759">
                  <c:v>93.09270999999998</c:v>
                </c:pt>
                <c:pt idx="760">
                  <c:v>93.08861</c:v>
                </c:pt>
                <c:pt idx="761">
                  <c:v>93.08452</c:v>
                </c:pt>
                <c:pt idx="762">
                  <c:v>93.08042</c:v>
                </c:pt>
                <c:pt idx="763">
                  <c:v>93.07545999999998</c:v>
                </c:pt>
                <c:pt idx="764">
                  <c:v>93.07049999999998</c:v>
                </c:pt>
                <c:pt idx="765">
                  <c:v>93.0664</c:v>
                </c:pt>
                <c:pt idx="766">
                  <c:v>93.0623</c:v>
                </c:pt>
                <c:pt idx="767">
                  <c:v>93.0582</c:v>
                </c:pt>
                <c:pt idx="768">
                  <c:v>93.05242999999998</c:v>
                </c:pt>
                <c:pt idx="769">
                  <c:v>93.04747</c:v>
                </c:pt>
                <c:pt idx="770">
                  <c:v>93.04418</c:v>
                </c:pt>
                <c:pt idx="771">
                  <c:v>93.03928</c:v>
                </c:pt>
                <c:pt idx="772">
                  <c:v>93.03512</c:v>
                </c:pt>
                <c:pt idx="773">
                  <c:v>93.03103</c:v>
                </c:pt>
                <c:pt idx="774">
                  <c:v>93.02612</c:v>
                </c:pt>
                <c:pt idx="775">
                  <c:v>93.02197</c:v>
                </c:pt>
                <c:pt idx="776">
                  <c:v>93.01787</c:v>
                </c:pt>
                <c:pt idx="777">
                  <c:v>93.01291</c:v>
                </c:pt>
                <c:pt idx="778">
                  <c:v>93.00880999999998</c:v>
                </c:pt>
                <c:pt idx="779">
                  <c:v>93.00471</c:v>
                </c:pt>
                <c:pt idx="780">
                  <c:v>93.00062</c:v>
                </c:pt>
                <c:pt idx="781">
                  <c:v>92.99646</c:v>
                </c:pt>
                <c:pt idx="782">
                  <c:v>92.99236</c:v>
                </c:pt>
                <c:pt idx="783">
                  <c:v>92.98746</c:v>
                </c:pt>
                <c:pt idx="784">
                  <c:v>92.9833</c:v>
                </c:pt>
                <c:pt idx="785">
                  <c:v>92.97921</c:v>
                </c:pt>
                <c:pt idx="786">
                  <c:v>92.97511</c:v>
                </c:pt>
                <c:pt idx="787">
                  <c:v>92.97015</c:v>
                </c:pt>
                <c:pt idx="788">
                  <c:v>92.96605</c:v>
                </c:pt>
                <c:pt idx="789">
                  <c:v>92.96195</c:v>
                </c:pt>
                <c:pt idx="790">
                  <c:v>92.95699</c:v>
                </c:pt>
                <c:pt idx="791">
                  <c:v>92.95288999999998</c:v>
                </c:pt>
                <c:pt idx="792">
                  <c:v>92.94712</c:v>
                </c:pt>
                <c:pt idx="793">
                  <c:v>92.94383</c:v>
                </c:pt>
                <c:pt idx="794">
                  <c:v>92.93974</c:v>
                </c:pt>
                <c:pt idx="795">
                  <c:v>92.93558</c:v>
                </c:pt>
                <c:pt idx="796">
                  <c:v>92.93149</c:v>
                </c:pt>
                <c:pt idx="797">
                  <c:v>92.92739</c:v>
                </c:pt>
                <c:pt idx="798">
                  <c:v>92.92323</c:v>
                </c:pt>
                <c:pt idx="799">
                  <c:v>92.91833</c:v>
                </c:pt>
                <c:pt idx="800">
                  <c:v>92.91504</c:v>
                </c:pt>
                <c:pt idx="801">
                  <c:v>92.91094</c:v>
                </c:pt>
                <c:pt idx="802">
                  <c:v>92.90598</c:v>
                </c:pt>
                <c:pt idx="803">
                  <c:v>92.90188</c:v>
                </c:pt>
                <c:pt idx="804">
                  <c:v>92.89773</c:v>
                </c:pt>
                <c:pt idx="805">
                  <c:v>92.89282</c:v>
                </c:pt>
                <c:pt idx="806">
                  <c:v>92.88872999999998</c:v>
                </c:pt>
                <c:pt idx="807">
                  <c:v>92.88457</c:v>
                </c:pt>
                <c:pt idx="808">
                  <c:v>92.87967</c:v>
                </c:pt>
                <c:pt idx="809">
                  <c:v>92.87637999999878</c:v>
                </c:pt>
                <c:pt idx="810">
                  <c:v>92.87227999999975</c:v>
                </c:pt>
                <c:pt idx="811">
                  <c:v>92.86813</c:v>
                </c:pt>
                <c:pt idx="812">
                  <c:v>92.86403</c:v>
                </c:pt>
                <c:pt idx="813">
                  <c:v>92.85993</c:v>
                </c:pt>
                <c:pt idx="814">
                  <c:v>92.85577999999855</c:v>
                </c:pt>
                <c:pt idx="815">
                  <c:v>92.85168</c:v>
                </c:pt>
                <c:pt idx="816">
                  <c:v>92.84758</c:v>
                </c:pt>
                <c:pt idx="817">
                  <c:v>92.84262</c:v>
                </c:pt>
                <c:pt idx="818">
                  <c:v>92.83932999999997</c:v>
                </c:pt>
                <c:pt idx="819">
                  <c:v>92.83524</c:v>
                </c:pt>
                <c:pt idx="820">
                  <c:v>92.83114</c:v>
                </c:pt>
                <c:pt idx="821">
                  <c:v>92.82617999999998</c:v>
                </c:pt>
                <c:pt idx="822">
                  <c:v>92.82207999999908</c:v>
                </c:pt>
                <c:pt idx="823" formatCode="0.00E+00">
                  <c:v>92.81798</c:v>
                </c:pt>
                <c:pt idx="824">
                  <c:v>92.81469</c:v>
                </c:pt>
                <c:pt idx="825">
                  <c:v>92.81054</c:v>
                </c:pt>
                <c:pt idx="826">
                  <c:v>92.80643999999998</c:v>
                </c:pt>
                <c:pt idx="827">
                  <c:v>92.80148</c:v>
                </c:pt>
                <c:pt idx="828">
                  <c:v>92.79819</c:v>
                </c:pt>
                <c:pt idx="829">
                  <c:v>92.79409</c:v>
                </c:pt>
                <c:pt idx="830">
                  <c:v>92.79</c:v>
                </c:pt>
                <c:pt idx="831">
                  <c:v>92.7859</c:v>
                </c:pt>
                <c:pt idx="832">
                  <c:v>92.78261</c:v>
                </c:pt>
                <c:pt idx="833">
                  <c:v>92.77845999999998</c:v>
                </c:pt>
                <c:pt idx="834">
                  <c:v>92.77516999999997</c:v>
                </c:pt>
                <c:pt idx="835">
                  <c:v>92.77107</c:v>
                </c:pt>
                <c:pt idx="836">
                  <c:v>92.76611</c:v>
                </c:pt>
                <c:pt idx="837">
                  <c:v>92.76201</c:v>
                </c:pt>
                <c:pt idx="838">
                  <c:v>92.75791</c:v>
                </c:pt>
                <c:pt idx="839">
                  <c:v>92.75295</c:v>
                </c:pt>
                <c:pt idx="840">
                  <c:v>92.74885</c:v>
                </c:pt>
                <c:pt idx="841">
                  <c:v>92.74556</c:v>
                </c:pt>
                <c:pt idx="842">
                  <c:v>92.74227</c:v>
                </c:pt>
                <c:pt idx="843">
                  <c:v>92.73731</c:v>
                </c:pt>
                <c:pt idx="844">
                  <c:v>92.73402</c:v>
                </c:pt>
                <c:pt idx="845">
                  <c:v>92.72912</c:v>
                </c:pt>
                <c:pt idx="846">
                  <c:v>92.72502</c:v>
                </c:pt>
                <c:pt idx="847">
                  <c:v>92.72087</c:v>
                </c:pt>
                <c:pt idx="848">
                  <c:v>92.71758</c:v>
                </c:pt>
                <c:pt idx="849">
                  <c:v>92.71429</c:v>
                </c:pt>
                <c:pt idx="850">
                  <c:v>92.71019</c:v>
                </c:pt>
                <c:pt idx="851">
                  <c:v>92.70523</c:v>
                </c:pt>
                <c:pt idx="852">
                  <c:v>92.70113</c:v>
                </c:pt>
                <c:pt idx="853">
                  <c:v>92.69703000000001</c:v>
                </c:pt>
                <c:pt idx="854">
                  <c:v>92.69374999999998</c:v>
                </c:pt>
                <c:pt idx="855">
                  <c:v>92.68958999999998</c:v>
                </c:pt>
                <c:pt idx="856">
                  <c:v>92.68629999999997</c:v>
                </c:pt>
                <c:pt idx="857">
                  <c:v>92.68219999999998</c:v>
                </c:pt>
                <c:pt idx="858">
                  <c:v>92.67810999999975</c:v>
                </c:pt>
                <c:pt idx="859">
                  <c:v>92.67400999999998</c:v>
                </c:pt>
                <c:pt idx="860">
                  <c:v>92.66986</c:v>
                </c:pt>
                <c:pt idx="861">
                  <c:v>92.66495</c:v>
                </c:pt>
                <c:pt idx="862">
                  <c:v>92.66246999999998</c:v>
                </c:pt>
                <c:pt idx="863">
                  <c:v>92.65836999999995</c:v>
                </c:pt>
                <c:pt idx="864">
                  <c:v>92.65340999999998</c:v>
                </c:pt>
                <c:pt idx="865">
                  <c:v>92.65092999999997</c:v>
                </c:pt>
                <c:pt idx="866">
                  <c:v>92.64683</c:v>
                </c:pt>
                <c:pt idx="867">
                  <c:v>92.64273999999975</c:v>
                </c:pt>
                <c:pt idx="868">
                  <c:v>92.63776999999997</c:v>
                </c:pt>
                <c:pt idx="869">
                  <c:v>92.63368</c:v>
                </c:pt>
                <c:pt idx="870">
                  <c:v>92.63038999999995</c:v>
                </c:pt>
                <c:pt idx="871">
                  <c:v>92.6271</c:v>
                </c:pt>
                <c:pt idx="872">
                  <c:v>92.62299999999995</c:v>
                </c:pt>
                <c:pt idx="873">
                  <c:v>92.61884999999998</c:v>
                </c:pt>
                <c:pt idx="874">
                  <c:v>92.61475</c:v>
                </c:pt>
                <c:pt idx="875">
                  <c:v>92.61146</c:v>
                </c:pt>
                <c:pt idx="876">
                  <c:v>92.60736</c:v>
                </c:pt>
                <c:pt idx="877">
                  <c:v>92.60321</c:v>
                </c:pt>
                <c:pt idx="878">
                  <c:v>92.59911</c:v>
                </c:pt>
                <c:pt idx="879">
                  <c:v>92.59501</c:v>
                </c:pt>
                <c:pt idx="880">
                  <c:v>92.59172</c:v>
                </c:pt>
                <c:pt idx="881">
                  <c:v>92.58763</c:v>
                </c:pt>
                <c:pt idx="882">
                  <c:v>92.58433999999998</c:v>
                </c:pt>
                <c:pt idx="883">
                  <c:v>92.58018</c:v>
                </c:pt>
                <c:pt idx="884">
                  <c:v>92.57688999999995</c:v>
                </c:pt>
                <c:pt idx="885">
                  <c:v>92.57279999999938</c:v>
                </c:pt>
                <c:pt idx="886">
                  <c:v>92.5687</c:v>
                </c:pt>
                <c:pt idx="887">
                  <c:v>92.56541</c:v>
                </c:pt>
                <c:pt idx="888">
                  <c:v>92.56126</c:v>
                </c:pt>
                <c:pt idx="889">
                  <c:v>92.55882999999998</c:v>
                </c:pt>
                <c:pt idx="890">
                  <c:v>92.55468</c:v>
                </c:pt>
                <c:pt idx="891">
                  <c:v>92.55139</c:v>
                </c:pt>
                <c:pt idx="892">
                  <c:v>92.54729</c:v>
                </c:pt>
                <c:pt idx="893">
                  <c:v>92.5432</c:v>
                </c:pt>
                <c:pt idx="894">
                  <c:v>92.53904</c:v>
                </c:pt>
                <c:pt idx="895">
                  <c:v>92.53494</c:v>
                </c:pt>
                <c:pt idx="896">
                  <c:v>92.53165</c:v>
                </c:pt>
                <c:pt idx="897">
                  <c:v>92.52756</c:v>
                </c:pt>
                <c:pt idx="898">
                  <c:v>92.52346</c:v>
                </c:pt>
                <c:pt idx="899">
                  <c:v>92.52017</c:v>
                </c:pt>
                <c:pt idx="900">
                  <c:v>92.51602</c:v>
                </c:pt>
                <c:pt idx="901">
                  <c:v>92.51273</c:v>
                </c:pt>
                <c:pt idx="902">
                  <c:v>92.50863</c:v>
                </c:pt>
                <c:pt idx="903">
                  <c:v>92.50453</c:v>
                </c:pt>
                <c:pt idx="904">
                  <c:v>92.50124</c:v>
                </c:pt>
                <c:pt idx="905">
                  <c:v>92.49796</c:v>
                </c:pt>
                <c:pt idx="906">
                  <c:v>92.4938</c:v>
                </c:pt>
                <c:pt idx="907">
                  <c:v>92.49051</c:v>
                </c:pt>
                <c:pt idx="908">
                  <c:v>92.48642</c:v>
                </c:pt>
                <c:pt idx="909">
                  <c:v>92.48232</c:v>
                </c:pt>
                <c:pt idx="910">
                  <c:v>92.47903</c:v>
                </c:pt>
                <c:pt idx="911">
                  <c:v>92.47573999999948</c:v>
                </c:pt>
                <c:pt idx="912">
                  <c:v>92.47159</c:v>
                </c:pt>
                <c:pt idx="913" formatCode="0.00E+00">
                  <c:v>92.46749</c:v>
                </c:pt>
                <c:pt idx="914">
                  <c:v>92.46339</c:v>
                </c:pt>
                <c:pt idx="915">
                  <c:v>92.4601</c:v>
                </c:pt>
                <c:pt idx="916">
                  <c:v>92.45595</c:v>
                </c:pt>
                <c:pt idx="917">
                  <c:v>92.45352</c:v>
                </c:pt>
                <c:pt idx="918">
                  <c:v>92.44856</c:v>
                </c:pt>
                <c:pt idx="919">
                  <c:v>92.44527</c:v>
                </c:pt>
                <c:pt idx="920">
                  <c:v>92.44198</c:v>
                </c:pt>
                <c:pt idx="921">
                  <c:v>92.43789</c:v>
                </c:pt>
                <c:pt idx="922">
                  <c:v>92.43379</c:v>
                </c:pt>
                <c:pt idx="923">
                  <c:v>92.43131</c:v>
                </c:pt>
                <c:pt idx="924">
                  <c:v>92.42715</c:v>
                </c:pt>
                <c:pt idx="925">
                  <c:v>92.42386</c:v>
                </c:pt>
                <c:pt idx="926">
                  <c:v>92.42057000000001</c:v>
                </c:pt>
                <c:pt idx="927">
                  <c:v>92.41729</c:v>
                </c:pt>
                <c:pt idx="928">
                  <c:v>92.41319</c:v>
                </c:pt>
                <c:pt idx="929">
                  <c:v>92.40909</c:v>
                </c:pt>
                <c:pt idx="930">
                  <c:v>92.40499</c:v>
                </c:pt>
                <c:pt idx="931">
                  <c:v>92.40171</c:v>
                </c:pt>
                <c:pt idx="932">
                  <c:v>92.39835999999998</c:v>
                </c:pt>
                <c:pt idx="933">
                  <c:v>92.39426</c:v>
                </c:pt>
                <c:pt idx="934">
                  <c:v>92.39097</c:v>
                </c:pt>
                <c:pt idx="935">
                  <c:v>92.38768</c:v>
                </c:pt>
                <c:pt idx="936">
                  <c:v>92.38359</c:v>
                </c:pt>
                <c:pt idx="937">
                  <c:v>92.37948999999985</c:v>
                </c:pt>
                <c:pt idx="938">
                  <c:v>92.37532999999995</c:v>
                </c:pt>
                <c:pt idx="939">
                  <c:v>92.37290999999995</c:v>
                </c:pt>
                <c:pt idx="940">
                  <c:v>92.36875999999998</c:v>
                </c:pt>
                <c:pt idx="941">
                  <c:v>92.36466</c:v>
                </c:pt>
                <c:pt idx="942">
                  <c:v>92.36137</c:v>
                </c:pt>
                <c:pt idx="943">
                  <c:v>92.35888999999958</c:v>
                </c:pt>
                <c:pt idx="944">
                  <c:v>92.35478999999998</c:v>
                </c:pt>
                <c:pt idx="945">
                  <c:v>92.35069999999997</c:v>
                </c:pt>
                <c:pt idx="946">
                  <c:v>92.34741</c:v>
                </c:pt>
                <c:pt idx="947">
                  <c:v>92.34412</c:v>
                </c:pt>
                <c:pt idx="948">
                  <c:v>92.34083</c:v>
                </c:pt>
                <c:pt idx="949">
                  <c:v>92.33667000000001</c:v>
                </c:pt>
                <c:pt idx="950">
                  <c:v>92.33419</c:v>
                </c:pt>
                <c:pt idx="951">
                  <c:v>92.33009</c:v>
                </c:pt>
                <c:pt idx="952">
                  <c:v>92.32680999999998</c:v>
                </c:pt>
                <c:pt idx="953">
                  <c:v>92.32432</c:v>
                </c:pt>
                <c:pt idx="954">
                  <c:v>92.31942</c:v>
                </c:pt>
                <c:pt idx="955">
                  <c:v>92.31532</c:v>
                </c:pt>
                <c:pt idx="956">
                  <c:v>92.31203</c:v>
                </c:pt>
                <c:pt idx="957">
                  <c:v>92.30955</c:v>
                </c:pt>
                <c:pt idx="958">
                  <c:v>92.30626</c:v>
                </c:pt>
                <c:pt idx="959">
                  <c:v>92.30296999999997</c:v>
                </c:pt>
                <c:pt idx="960">
                  <c:v>92.29882</c:v>
                </c:pt>
                <c:pt idx="961">
                  <c:v>92.2964</c:v>
                </c:pt>
                <c:pt idx="962">
                  <c:v>92.29143</c:v>
                </c:pt>
                <c:pt idx="963">
                  <c:v>92.28895</c:v>
                </c:pt>
                <c:pt idx="964">
                  <c:v>92.28566</c:v>
                </c:pt>
                <c:pt idx="965">
                  <c:v>92.28324</c:v>
                </c:pt>
                <c:pt idx="966">
                  <c:v>92.27907999999998</c:v>
                </c:pt>
                <c:pt idx="967">
                  <c:v>92.27579999999985</c:v>
                </c:pt>
                <c:pt idx="968">
                  <c:v>92.27250999999998</c:v>
                </c:pt>
                <c:pt idx="969">
                  <c:v>92.26841</c:v>
                </c:pt>
                <c:pt idx="970">
                  <c:v>92.26512</c:v>
                </c:pt>
                <c:pt idx="971">
                  <c:v>92.26183</c:v>
                </c:pt>
                <c:pt idx="972">
                  <c:v>92.25853999999998</c:v>
                </c:pt>
                <c:pt idx="973">
                  <c:v>92.25606</c:v>
                </c:pt>
                <c:pt idx="974">
                  <c:v>92.25196</c:v>
                </c:pt>
                <c:pt idx="975">
                  <c:v>92.24867</c:v>
                </c:pt>
                <c:pt idx="976">
                  <c:v>92.24539</c:v>
                </c:pt>
                <c:pt idx="977">
                  <c:v>92.2421</c:v>
                </c:pt>
                <c:pt idx="978">
                  <c:v>92.23881</c:v>
                </c:pt>
                <c:pt idx="979">
                  <c:v>92.23552</c:v>
                </c:pt>
                <c:pt idx="980">
                  <c:v>92.23304</c:v>
                </c:pt>
                <c:pt idx="981">
                  <c:v>92.22893999999998</c:v>
                </c:pt>
                <c:pt idx="982">
                  <c:v>92.22565</c:v>
                </c:pt>
                <c:pt idx="983">
                  <c:v>92.22317</c:v>
                </c:pt>
                <c:pt idx="984">
                  <c:v>92.21988</c:v>
                </c:pt>
                <c:pt idx="985">
                  <c:v>92.21659</c:v>
                </c:pt>
                <c:pt idx="986">
                  <c:v>92.2133</c:v>
                </c:pt>
                <c:pt idx="987">
                  <c:v>92.21001</c:v>
                </c:pt>
                <c:pt idx="988">
                  <c:v>92.20753</c:v>
                </c:pt>
                <c:pt idx="989">
                  <c:v>92.20343</c:v>
                </c:pt>
                <c:pt idx="990">
                  <c:v>92.20015</c:v>
                </c:pt>
                <c:pt idx="991">
                  <c:v>92.19686</c:v>
                </c:pt>
                <c:pt idx="992">
                  <c:v>92.19437</c:v>
                </c:pt>
                <c:pt idx="993">
                  <c:v>92.19109</c:v>
                </c:pt>
                <c:pt idx="994">
                  <c:v>92.18859999999998</c:v>
                </c:pt>
                <c:pt idx="995">
                  <c:v>92.18531999999995</c:v>
                </c:pt>
                <c:pt idx="996">
                  <c:v>92.18202999999998</c:v>
                </c:pt>
                <c:pt idx="997">
                  <c:v>92.17953999999965</c:v>
                </c:pt>
                <c:pt idx="998">
                  <c:v>92.17705999999998</c:v>
                </c:pt>
                <c:pt idx="999">
                  <c:v>92.17376999999995</c:v>
                </c:pt>
                <c:pt idx="1000">
                  <c:v>92.17048999999938</c:v>
                </c:pt>
                <c:pt idx="1001">
                  <c:v>92.1672</c:v>
                </c:pt>
                <c:pt idx="1002">
                  <c:v>92.16391</c:v>
                </c:pt>
                <c:pt idx="1003">
                  <c:v>92.16062</c:v>
                </c:pt>
                <c:pt idx="1004">
                  <c:v>92.15732999999997</c:v>
                </c:pt>
                <c:pt idx="1005">
                  <c:v>92.15570999999898</c:v>
                </c:pt>
                <c:pt idx="1006">
                  <c:v>92.15241999999998</c:v>
                </c:pt>
                <c:pt idx="1007">
                  <c:v>92.14913</c:v>
                </c:pt>
                <c:pt idx="1008">
                  <c:v>92.14665</c:v>
                </c:pt>
                <c:pt idx="1009">
                  <c:v>92.14336</c:v>
                </c:pt>
                <c:pt idx="1010">
                  <c:v>92.14087999999998</c:v>
                </c:pt>
                <c:pt idx="1011">
                  <c:v>92.13759</c:v>
                </c:pt>
                <c:pt idx="1012">
                  <c:v>92.13597999999975</c:v>
                </c:pt>
                <c:pt idx="1013">
                  <c:v>92.13263</c:v>
                </c:pt>
                <c:pt idx="1014">
                  <c:v>92.13021</c:v>
                </c:pt>
                <c:pt idx="1015">
                  <c:v>92.12604999999998</c:v>
                </c:pt>
                <c:pt idx="1016">
                  <c:v>92.12443999999998</c:v>
                </c:pt>
                <c:pt idx="1017">
                  <c:v>92.12115</c:v>
                </c:pt>
                <c:pt idx="1018">
                  <c:v>92.11867</c:v>
                </c:pt>
                <c:pt idx="1019">
                  <c:v>92.11619</c:v>
                </c:pt>
                <c:pt idx="1020">
                  <c:v>92.11289999999998</c:v>
                </c:pt>
                <c:pt idx="1021">
                  <c:v>92.11047</c:v>
                </c:pt>
                <c:pt idx="1022">
                  <c:v>92.10718</c:v>
                </c:pt>
                <c:pt idx="1023">
                  <c:v>92.1047</c:v>
                </c:pt>
                <c:pt idx="1024">
                  <c:v>92.10222</c:v>
                </c:pt>
                <c:pt idx="1025">
                  <c:v>92.09973999999998</c:v>
                </c:pt>
                <c:pt idx="1026">
                  <c:v>92.09645</c:v>
                </c:pt>
                <c:pt idx="1027">
                  <c:v>92.09397000000001</c:v>
                </c:pt>
                <c:pt idx="1028">
                  <c:v>92.09068</c:v>
                </c:pt>
                <c:pt idx="1029">
                  <c:v>92.08826</c:v>
                </c:pt>
                <c:pt idx="1030">
                  <c:v>92.08658</c:v>
                </c:pt>
                <c:pt idx="1031">
                  <c:v>92.0841</c:v>
                </c:pt>
                <c:pt idx="1032">
                  <c:v>92.08081</c:v>
                </c:pt>
                <c:pt idx="1033">
                  <c:v>92.07838999999898</c:v>
                </c:pt>
                <c:pt idx="1034">
                  <c:v>92.07503999999948</c:v>
                </c:pt>
                <c:pt idx="1035">
                  <c:v>92.07262</c:v>
                </c:pt>
                <c:pt idx="1036">
                  <c:v>92.07013999999998</c:v>
                </c:pt>
                <c:pt idx="1037">
                  <c:v>92.06766</c:v>
                </c:pt>
                <c:pt idx="1038">
                  <c:v>92.06437</c:v>
                </c:pt>
                <c:pt idx="1039">
                  <c:v>92.06189</c:v>
                </c:pt>
                <c:pt idx="1040">
                  <c:v>92.05946</c:v>
                </c:pt>
                <c:pt idx="1041">
                  <c:v>92.05617</c:v>
                </c:pt>
                <c:pt idx="1042">
                  <c:v>92.0545</c:v>
                </c:pt>
                <c:pt idx="1043">
                  <c:v>92.05121</c:v>
                </c:pt>
                <c:pt idx="1044">
                  <c:v>92.0496</c:v>
                </c:pt>
                <c:pt idx="1045">
                  <c:v>92.04625</c:v>
                </c:pt>
                <c:pt idx="1046">
                  <c:v>92.04296</c:v>
                </c:pt>
                <c:pt idx="1047">
                  <c:v>92.04134</c:v>
                </c:pt>
                <c:pt idx="1048">
                  <c:v>92.03886</c:v>
                </c:pt>
                <c:pt idx="1049">
                  <c:v>92.03725</c:v>
                </c:pt>
                <c:pt idx="1050">
                  <c:v>92.03396</c:v>
                </c:pt>
                <c:pt idx="1051">
                  <c:v>92.03228</c:v>
                </c:pt>
                <c:pt idx="1052">
                  <c:v>92.02979999999998</c:v>
                </c:pt>
                <c:pt idx="1053">
                  <c:v>92.02651</c:v>
                </c:pt>
                <c:pt idx="1054">
                  <c:v>92.02409</c:v>
                </c:pt>
                <c:pt idx="1055">
                  <c:v>92.02161</c:v>
                </c:pt>
                <c:pt idx="1056">
                  <c:v>92.01913</c:v>
                </c:pt>
                <c:pt idx="1057">
                  <c:v>92.01665</c:v>
                </c:pt>
                <c:pt idx="1058">
                  <c:v>92.01417</c:v>
                </c:pt>
                <c:pt idx="1059">
                  <c:v>92.01088</c:v>
                </c:pt>
                <c:pt idx="1060">
                  <c:v>92.00926</c:v>
                </c:pt>
                <c:pt idx="1061">
                  <c:v>92.00597</c:v>
                </c:pt>
                <c:pt idx="1062">
                  <c:v>92.0043</c:v>
                </c:pt>
                <c:pt idx="1063">
                  <c:v>92.00101</c:v>
                </c:pt>
                <c:pt idx="1064">
                  <c:v>91.99859</c:v>
                </c:pt>
                <c:pt idx="1065">
                  <c:v>91.99691</c:v>
                </c:pt>
                <c:pt idx="1066">
                  <c:v>91.99443</c:v>
                </c:pt>
                <c:pt idx="1067">
                  <c:v>91.99201</c:v>
                </c:pt>
                <c:pt idx="1068">
                  <c:v>91.98953</c:v>
                </c:pt>
                <c:pt idx="1069">
                  <c:v>91.98785</c:v>
                </c:pt>
                <c:pt idx="1070">
                  <c:v>91.98376</c:v>
                </c:pt>
                <c:pt idx="1071">
                  <c:v>91.98207999999998</c:v>
                </c:pt>
                <c:pt idx="1072">
                  <c:v>91.98047</c:v>
                </c:pt>
                <c:pt idx="1073">
                  <c:v>91.97798</c:v>
                </c:pt>
                <c:pt idx="1074">
                  <c:v>91.97470000000001</c:v>
                </c:pt>
                <c:pt idx="1075">
                  <c:v>91.97307999999998</c:v>
                </c:pt>
                <c:pt idx="1076">
                  <c:v>91.9706</c:v>
                </c:pt>
                <c:pt idx="1077">
                  <c:v>91.96812</c:v>
                </c:pt>
                <c:pt idx="1078">
                  <c:v>91.9665</c:v>
                </c:pt>
                <c:pt idx="1079">
                  <c:v>91.96321</c:v>
                </c:pt>
                <c:pt idx="1080">
                  <c:v>91.96073000000001</c:v>
                </c:pt>
                <c:pt idx="1081">
                  <c:v>91.95825</c:v>
                </c:pt>
                <c:pt idx="1082">
                  <c:v>91.95576999999998</c:v>
                </c:pt>
                <c:pt idx="1083">
                  <c:v>91.95415</c:v>
                </c:pt>
                <c:pt idx="1084">
                  <c:v>91.95167</c:v>
                </c:pt>
                <c:pt idx="1085">
                  <c:v>91.95</c:v>
                </c:pt>
                <c:pt idx="1086">
                  <c:v>91.94757000000002</c:v>
                </c:pt>
                <c:pt idx="1087">
                  <c:v>91.94509</c:v>
                </c:pt>
                <c:pt idx="1088">
                  <c:v>91.94261</c:v>
                </c:pt>
                <c:pt idx="1089">
                  <c:v>91.94013</c:v>
                </c:pt>
                <c:pt idx="1090">
                  <c:v>91.93852</c:v>
                </c:pt>
                <c:pt idx="1091">
                  <c:v>91.93603</c:v>
                </c:pt>
                <c:pt idx="1092">
                  <c:v>91.93355</c:v>
                </c:pt>
                <c:pt idx="1093">
                  <c:v>91.93194</c:v>
                </c:pt>
                <c:pt idx="1094">
                  <c:v>91.92946</c:v>
                </c:pt>
                <c:pt idx="1095">
                  <c:v>91.92617000000001</c:v>
                </c:pt>
                <c:pt idx="1096">
                  <c:v>91.92449</c:v>
                </c:pt>
                <c:pt idx="1097">
                  <c:v>91.92207</c:v>
                </c:pt>
                <c:pt idx="1098">
                  <c:v>91.9204</c:v>
                </c:pt>
                <c:pt idx="1099">
                  <c:v>91.91791</c:v>
                </c:pt>
                <c:pt idx="1100">
                  <c:v>91.91549</c:v>
                </c:pt>
                <c:pt idx="1101">
                  <c:v>91.91382</c:v>
                </c:pt>
                <c:pt idx="1102">
                  <c:v>91.91134</c:v>
                </c:pt>
                <c:pt idx="1103">
                  <c:v>91.90972</c:v>
                </c:pt>
                <c:pt idx="1104">
                  <c:v>91.90476</c:v>
                </c:pt>
                <c:pt idx="1105">
                  <c:v>91.89985</c:v>
                </c:pt>
                <c:pt idx="1106">
                  <c:v>91.89985</c:v>
                </c:pt>
                <c:pt idx="1107">
                  <c:v>91.90314</c:v>
                </c:pt>
                <c:pt idx="1108">
                  <c:v>91.89985</c:v>
                </c:pt>
                <c:pt idx="1109">
                  <c:v>91.89656</c:v>
                </c:pt>
                <c:pt idx="1110">
                  <c:v>91.89408</c:v>
                </c:pt>
                <c:pt idx="1111">
                  <c:v>91.89078999999998</c:v>
                </c:pt>
                <c:pt idx="1112">
                  <c:v>91.88912</c:v>
                </c:pt>
                <c:pt idx="1113">
                  <c:v>91.8867</c:v>
                </c:pt>
                <c:pt idx="1114">
                  <c:v>91.88422</c:v>
                </c:pt>
                <c:pt idx="1115">
                  <c:v>91.88253999999995</c:v>
                </c:pt>
                <c:pt idx="1116">
                  <c:v>91.88093</c:v>
                </c:pt>
                <c:pt idx="1117">
                  <c:v>91.87844999999928</c:v>
                </c:pt>
                <c:pt idx="1118">
                  <c:v>91.87595999999998</c:v>
                </c:pt>
                <c:pt idx="1119">
                  <c:v>91.87353999999995</c:v>
                </c:pt>
                <c:pt idx="1120">
                  <c:v>91.87186999999998</c:v>
                </c:pt>
                <c:pt idx="1121">
                  <c:v>91.86857999999998</c:v>
                </c:pt>
                <c:pt idx="1122">
                  <c:v>91.8669</c:v>
                </c:pt>
                <c:pt idx="1123">
                  <c:v>91.86529</c:v>
                </c:pt>
                <c:pt idx="1124">
                  <c:v>91.86362</c:v>
                </c:pt>
                <c:pt idx="1125">
                  <c:v>91.86119</c:v>
                </c:pt>
                <c:pt idx="1126">
                  <c:v>91.85870999999958</c:v>
                </c:pt>
                <c:pt idx="1127">
                  <c:v>91.85623</c:v>
                </c:pt>
                <c:pt idx="1128">
                  <c:v>91.85374999999995</c:v>
                </c:pt>
                <c:pt idx="1129">
                  <c:v>91.85212999999997</c:v>
                </c:pt>
                <c:pt idx="1130">
                  <c:v>91.84965</c:v>
                </c:pt>
                <c:pt idx="1131">
                  <c:v>91.84803999999998</c:v>
                </c:pt>
                <c:pt idx="1132">
                  <c:v>91.84555</c:v>
                </c:pt>
                <c:pt idx="1133">
                  <c:v>91.84388</c:v>
                </c:pt>
                <c:pt idx="1134">
                  <c:v>91.84059</c:v>
                </c:pt>
                <c:pt idx="1135">
                  <c:v>91.83811</c:v>
                </c:pt>
                <c:pt idx="1136">
                  <c:v>91.83730000000001</c:v>
                </c:pt>
                <c:pt idx="1137">
                  <c:v>91.83482</c:v>
                </c:pt>
                <c:pt idx="1138">
                  <c:v>91.83321</c:v>
                </c:pt>
                <c:pt idx="1139">
                  <c:v>91.83072</c:v>
                </c:pt>
                <c:pt idx="1140">
                  <c:v>91.82823999999998</c:v>
                </c:pt>
                <c:pt idx="1141">
                  <c:v>91.82663</c:v>
                </c:pt>
                <c:pt idx="1142">
                  <c:v>91.82415</c:v>
                </c:pt>
                <c:pt idx="1143">
                  <c:v>91.82252999999998</c:v>
                </c:pt>
                <c:pt idx="1144">
                  <c:v>91.82004999999998</c:v>
                </c:pt>
                <c:pt idx="1145">
                  <c:v>91.81757</c:v>
                </c:pt>
                <c:pt idx="1146">
                  <c:v>91.81595</c:v>
                </c:pt>
                <c:pt idx="1147">
                  <c:v>91.81428</c:v>
                </c:pt>
                <c:pt idx="1148">
                  <c:v>91.8118</c:v>
                </c:pt>
                <c:pt idx="1149">
                  <c:v>91.81018</c:v>
                </c:pt>
                <c:pt idx="1150">
                  <c:v>91.8077</c:v>
                </c:pt>
                <c:pt idx="1151">
                  <c:v>91.80603</c:v>
                </c:pt>
                <c:pt idx="1152">
                  <c:v>91.8036</c:v>
                </c:pt>
                <c:pt idx="1153">
                  <c:v>91.80193000000001</c:v>
                </c:pt>
                <c:pt idx="1154">
                  <c:v>91.79945</c:v>
                </c:pt>
                <c:pt idx="1155">
                  <c:v>91.79616</c:v>
                </c:pt>
                <c:pt idx="1156">
                  <c:v>91.79454</c:v>
                </c:pt>
                <c:pt idx="1157">
                  <c:v>91.79206</c:v>
                </c:pt>
                <c:pt idx="1158">
                  <c:v>91.79045</c:v>
                </c:pt>
                <c:pt idx="1159">
                  <c:v>91.78797</c:v>
                </c:pt>
                <c:pt idx="1160">
                  <c:v>91.78629</c:v>
                </c:pt>
                <c:pt idx="1161">
                  <c:v>91.78468</c:v>
                </c:pt>
                <c:pt idx="1162">
                  <c:v>91.78219</c:v>
                </c:pt>
                <c:pt idx="1163">
                  <c:v>91.77970999999998</c:v>
                </c:pt>
                <c:pt idx="1164">
                  <c:v>91.77809999999998</c:v>
                </c:pt>
                <c:pt idx="1165">
                  <c:v>91.77642</c:v>
                </c:pt>
                <c:pt idx="1166">
                  <c:v>91.77393999999998</c:v>
                </c:pt>
                <c:pt idx="1167">
                  <c:v>91.77152</c:v>
                </c:pt>
                <c:pt idx="1168">
                  <c:v>91.76985</c:v>
                </c:pt>
                <c:pt idx="1169">
                  <c:v>91.76737</c:v>
                </c:pt>
                <c:pt idx="1170" formatCode="0.00E+00">
                  <c:v>91.76574999999998</c:v>
                </c:pt>
                <c:pt idx="1171">
                  <c:v>91.76408</c:v>
                </c:pt>
                <c:pt idx="1172">
                  <c:v>91.76165</c:v>
                </c:pt>
                <c:pt idx="1173">
                  <c:v>91.75998</c:v>
                </c:pt>
                <c:pt idx="1174">
                  <c:v>91.75669</c:v>
                </c:pt>
                <c:pt idx="1175">
                  <c:v>91.75506999999997</c:v>
                </c:pt>
                <c:pt idx="1176">
                  <c:v>91.75259</c:v>
                </c:pt>
                <c:pt idx="1177">
                  <c:v>91.75092</c:v>
                </c:pt>
                <c:pt idx="1178">
                  <c:v>91.74844</c:v>
                </c:pt>
                <c:pt idx="1179">
                  <c:v>91.74682</c:v>
                </c:pt>
                <c:pt idx="1180">
                  <c:v>91.74515</c:v>
                </c:pt>
                <c:pt idx="1181">
                  <c:v>91.74273</c:v>
                </c:pt>
                <c:pt idx="1182">
                  <c:v>91.74105</c:v>
                </c:pt>
                <c:pt idx="1183">
                  <c:v>91.73857</c:v>
                </c:pt>
                <c:pt idx="1184">
                  <c:v>91.73695</c:v>
                </c:pt>
                <c:pt idx="1185">
                  <c:v>91.73447</c:v>
                </c:pt>
                <c:pt idx="1186">
                  <c:v>91.73199</c:v>
                </c:pt>
                <c:pt idx="1187">
                  <c:v>91.73037999999998</c:v>
                </c:pt>
                <c:pt idx="1188">
                  <c:v>91.7279</c:v>
                </c:pt>
                <c:pt idx="1189">
                  <c:v>91.72540999999998</c:v>
                </c:pt>
                <c:pt idx="1190">
                  <c:v>91.72461</c:v>
                </c:pt>
                <c:pt idx="1191">
                  <c:v>91.72213</c:v>
                </c:pt>
                <c:pt idx="1192">
                  <c:v>91.72051</c:v>
                </c:pt>
                <c:pt idx="1193">
                  <c:v>91.71803000000001</c:v>
                </c:pt>
                <c:pt idx="1194">
                  <c:v>91.71722</c:v>
                </c:pt>
                <c:pt idx="1195">
                  <c:v>91.71393</c:v>
                </c:pt>
                <c:pt idx="1196">
                  <c:v>91.71226</c:v>
                </c:pt>
                <c:pt idx="1197">
                  <c:v>91.70977999999998</c:v>
                </c:pt>
                <c:pt idx="1198">
                  <c:v>91.70816</c:v>
                </c:pt>
                <c:pt idx="1199">
                  <c:v>91.70649</c:v>
                </c:pt>
                <c:pt idx="1200">
                  <c:v>91.7032</c:v>
                </c:pt>
                <c:pt idx="1201">
                  <c:v>91.70158</c:v>
                </c:pt>
                <c:pt idx="1202">
                  <c:v>91.69991</c:v>
                </c:pt>
                <c:pt idx="1203">
                  <c:v>91.69829</c:v>
                </c:pt>
                <c:pt idx="1204">
                  <c:v>91.69580999999998</c:v>
                </c:pt>
                <c:pt idx="1205">
                  <c:v>91.69332999999997</c:v>
                </c:pt>
                <c:pt idx="1206">
                  <c:v>91.69085</c:v>
                </c:pt>
                <c:pt idx="1207">
                  <c:v>91.68923</c:v>
                </c:pt>
                <c:pt idx="1208">
                  <c:v>91.68756</c:v>
                </c:pt>
                <c:pt idx="1209">
                  <c:v>91.68593999999958</c:v>
                </c:pt>
                <c:pt idx="1210">
                  <c:v>91.68427000000001</c:v>
                </c:pt>
                <c:pt idx="1211">
                  <c:v>91.68266</c:v>
                </c:pt>
                <c:pt idx="1212">
                  <c:v>91.68016999999997</c:v>
                </c:pt>
                <c:pt idx="1213">
                  <c:v>91.67855999999995</c:v>
                </c:pt>
                <c:pt idx="1214">
                  <c:v>91.67607999999898</c:v>
                </c:pt>
                <c:pt idx="1215">
                  <c:v>91.67439999999995</c:v>
                </c:pt>
                <c:pt idx="1216">
                  <c:v>91.67197999999995</c:v>
                </c:pt>
                <c:pt idx="1217">
                  <c:v>91.67030999999928</c:v>
                </c:pt>
                <c:pt idx="1218">
                  <c:v>91.66783</c:v>
                </c:pt>
                <c:pt idx="1219">
                  <c:v>91.66621</c:v>
                </c:pt>
                <c:pt idx="1220">
                  <c:v>91.66454</c:v>
                </c:pt>
                <c:pt idx="1221">
                  <c:v>91.66292</c:v>
                </c:pt>
                <c:pt idx="1222">
                  <c:v>91.66125</c:v>
                </c:pt>
                <c:pt idx="1223">
                  <c:v>91.65876999999985</c:v>
                </c:pt>
                <c:pt idx="1224">
                  <c:v>91.65633999999918</c:v>
                </c:pt>
                <c:pt idx="1225">
                  <c:v>91.65467</c:v>
                </c:pt>
                <c:pt idx="1226">
                  <c:v>91.65137999999965</c:v>
                </c:pt>
                <c:pt idx="1227">
                  <c:v>91.64976</c:v>
                </c:pt>
                <c:pt idx="1228">
                  <c:v>91.64728</c:v>
                </c:pt>
                <c:pt idx="1229">
                  <c:v>91.64561</c:v>
                </c:pt>
                <c:pt idx="1230">
                  <c:v>91.64399</c:v>
                </c:pt>
                <c:pt idx="1231">
                  <c:v>91.64232</c:v>
                </c:pt>
                <c:pt idx="1232">
                  <c:v>91.63989999999998</c:v>
                </c:pt>
                <c:pt idx="1233">
                  <c:v>91.63742</c:v>
                </c:pt>
                <c:pt idx="1234">
                  <c:v>91.63573999999888</c:v>
                </c:pt>
                <c:pt idx="1235">
                  <c:v>91.63413000000001</c:v>
                </c:pt>
                <c:pt idx="1236">
                  <c:v>91.63244999999995</c:v>
                </c:pt>
                <c:pt idx="1237">
                  <c:v>91.63083999999998</c:v>
                </c:pt>
                <c:pt idx="1238">
                  <c:v>91.62916</c:v>
                </c:pt>
                <c:pt idx="1239">
                  <c:v>91.62755</c:v>
                </c:pt>
                <c:pt idx="1240">
                  <c:v>91.62426</c:v>
                </c:pt>
                <c:pt idx="1241">
                  <c:v>91.62258999999958</c:v>
                </c:pt>
                <c:pt idx="1242">
                  <c:v>91.62096999999998</c:v>
                </c:pt>
                <c:pt idx="1243">
                  <c:v>91.6193</c:v>
                </c:pt>
                <c:pt idx="1244">
                  <c:v>91.61682</c:v>
                </c:pt>
                <c:pt idx="1245">
                  <c:v>91.6152</c:v>
                </c:pt>
                <c:pt idx="1246">
                  <c:v>91.61271999999998</c:v>
                </c:pt>
                <c:pt idx="1247">
                  <c:v>91.6111</c:v>
                </c:pt>
                <c:pt idx="1248">
                  <c:v>91.60942999999997</c:v>
                </c:pt>
                <c:pt idx="1249">
                  <c:v>91.60862</c:v>
                </c:pt>
                <c:pt idx="1250">
                  <c:v>91.60695</c:v>
                </c:pt>
                <c:pt idx="1251">
                  <c:v>91.60366</c:v>
                </c:pt>
                <c:pt idx="1252">
                  <c:v>91.60203999999958</c:v>
                </c:pt>
                <c:pt idx="1253">
                  <c:v>91.60036999999998</c:v>
                </c:pt>
                <c:pt idx="1254">
                  <c:v>91.59789</c:v>
                </c:pt>
                <c:pt idx="1255">
                  <c:v>91.59627</c:v>
                </c:pt>
                <c:pt idx="1256">
                  <c:v>91.59379</c:v>
                </c:pt>
                <c:pt idx="1257">
                  <c:v>91.59218</c:v>
                </c:pt>
                <c:pt idx="1258">
                  <c:v>91.5905</c:v>
                </c:pt>
                <c:pt idx="1259">
                  <c:v>91.58888999999998</c:v>
                </c:pt>
                <c:pt idx="1260">
                  <c:v>91.5856</c:v>
                </c:pt>
                <c:pt idx="1261">
                  <c:v>91.58392</c:v>
                </c:pt>
                <c:pt idx="1262">
                  <c:v>91.58144</c:v>
                </c:pt>
                <c:pt idx="1263">
                  <c:v>91.58063000000001</c:v>
                </c:pt>
                <c:pt idx="1264">
                  <c:v>91.57814999999998</c:v>
                </c:pt>
                <c:pt idx="1265">
                  <c:v>91.57653999999998</c:v>
                </c:pt>
                <c:pt idx="1266">
                  <c:v>91.57406</c:v>
                </c:pt>
                <c:pt idx="1267">
                  <c:v>91.57325</c:v>
                </c:pt>
                <c:pt idx="1268">
                  <c:v>91.57076999999998</c:v>
                </c:pt>
                <c:pt idx="1269">
                  <c:v>91.56909</c:v>
                </c:pt>
                <c:pt idx="1270">
                  <c:v>91.56748</c:v>
                </c:pt>
                <c:pt idx="1271">
                  <c:v>91.56579999999998</c:v>
                </c:pt>
                <c:pt idx="1272">
                  <c:v>91.56252</c:v>
                </c:pt>
                <c:pt idx="1273">
                  <c:v>91.56171</c:v>
                </c:pt>
                <c:pt idx="1274">
                  <c:v>91.55923000000001</c:v>
                </c:pt>
                <c:pt idx="1275">
                  <c:v>91.55679999999998</c:v>
                </c:pt>
                <c:pt idx="1276">
                  <c:v>91.55513</c:v>
                </c:pt>
                <c:pt idx="1277">
                  <c:v>91.55351</c:v>
                </c:pt>
                <c:pt idx="1278">
                  <c:v>91.55103</c:v>
                </c:pt>
                <c:pt idx="1279">
                  <c:v>91.54936</c:v>
                </c:pt>
                <c:pt idx="1280">
                  <c:v>91.54774</c:v>
                </c:pt>
                <c:pt idx="1281">
                  <c:v>91.54526</c:v>
                </c:pt>
                <c:pt idx="1282">
                  <c:v>91.54359</c:v>
                </c:pt>
                <c:pt idx="1283">
                  <c:v>91.54197</c:v>
                </c:pt>
                <c:pt idx="1284">
                  <c:v>91.5403</c:v>
                </c:pt>
                <c:pt idx="1285">
                  <c:v>91.53788</c:v>
                </c:pt>
                <c:pt idx="1286">
                  <c:v>91.5362</c:v>
                </c:pt>
                <c:pt idx="1287">
                  <c:v>91.5362</c:v>
                </c:pt>
                <c:pt idx="1288">
                  <c:v>91.53211</c:v>
                </c:pt>
                <c:pt idx="1289">
                  <c:v>91.53043</c:v>
                </c:pt>
                <c:pt idx="1290">
                  <c:v>91.52881999999998</c:v>
                </c:pt>
                <c:pt idx="1291">
                  <c:v>91.52633999999995</c:v>
                </c:pt>
                <c:pt idx="1292">
                  <c:v>91.52472</c:v>
                </c:pt>
                <c:pt idx="1293">
                  <c:v>91.52223999999998</c:v>
                </c:pt>
                <c:pt idx="1294">
                  <c:v>91.51976</c:v>
                </c:pt>
                <c:pt idx="1295">
                  <c:v>91.51728</c:v>
                </c:pt>
                <c:pt idx="1296">
                  <c:v>91.51566</c:v>
                </c:pt>
                <c:pt idx="1297">
                  <c:v>91.51479</c:v>
                </c:pt>
                <c:pt idx="1298">
                  <c:v>91.51236999999997</c:v>
                </c:pt>
                <c:pt idx="1299">
                  <c:v>91.50989</c:v>
                </c:pt>
                <c:pt idx="1300">
                  <c:v>91.50822</c:v>
                </c:pt>
                <c:pt idx="1301">
                  <c:v>91.50578999999995</c:v>
                </c:pt>
                <c:pt idx="1302">
                  <c:v>91.50412</c:v>
                </c:pt>
                <c:pt idx="1303">
                  <c:v>91.5025</c:v>
                </c:pt>
                <c:pt idx="1304">
                  <c:v>91.50083</c:v>
                </c:pt>
                <c:pt idx="1305">
                  <c:v>91.49835</c:v>
                </c:pt>
                <c:pt idx="1306">
                  <c:v>91.49673000000001</c:v>
                </c:pt>
                <c:pt idx="1307">
                  <c:v>91.49425</c:v>
                </c:pt>
                <c:pt idx="1308">
                  <c:v>91.49264</c:v>
                </c:pt>
                <c:pt idx="1309">
                  <c:v>91.49015</c:v>
                </c:pt>
                <c:pt idx="1310">
                  <c:v>91.48847999999998</c:v>
                </c:pt>
                <c:pt idx="1311">
                  <c:v>91.48687</c:v>
                </c:pt>
                <c:pt idx="1312">
                  <c:v>91.48519</c:v>
                </c:pt>
                <c:pt idx="1313">
                  <c:v>91.48270999999998</c:v>
                </c:pt>
                <c:pt idx="1314">
                  <c:v>91.4811</c:v>
                </c:pt>
                <c:pt idx="1315">
                  <c:v>91.47861</c:v>
                </c:pt>
                <c:pt idx="1316">
                  <c:v>91.477</c:v>
                </c:pt>
                <c:pt idx="1317">
                  <c:v>91.47531999999998</c:v>
                </c:pt>
                <c:pt idx="1318">
                  <c:v>91.47283999999995</c:v>
                </c:pt>
                <c:pt idx="1319">
                  <c:v>91.47123</c:v>
                </c:pt>
                <c:pt idx="1320">
                  <c:v>91.46955</c:v>
                </c:pt>
                <c:pt idx="1321">
                  <c:v>91.46627</c:v>
                </c:pt>
                <c:pt idx="1322">
                  <c:v>91.46465</c:v>
                </c:pt>
                <c:pt idx="1323">
                  <c:v>91.46298</c:v>
                </c:pt>
                <c:pt idx="1324">
                  <c:v>91.46136</c:v>
                </c:pt>
                <c:pt idx="1325">
                  <c:v>91.45969</c:v>
                </c:pt>
                <c:pt idx="1326">
                  <c:v>91.45721</c:v>
                </c:pt>
                <c:pt idx="1327">
                  <c:v>91.45559</c:v>
                </c:pt>
                <c:pt idx="1328">
                  <c:v>91.45392</c:v>
                </c:pt>
                <c:pt idx="1329">
                  <c:v>91.4523</c:v>
                </c:pt>
                <c:pt idx="1330">
                  <c:v>91.45063</c:v>
                </c:pt>
                <c:pt idx="1331">
                  <c:v>91.4482</c:v>
                </c:pt>
                <c:pt idx="1332">
                  <c:v>91.44572</c:v>
                </c:pt>
                <c:pt idx="1333">
                  <c:v>91.44405</c:v>
                </c:pt>
                <c:pt idx="1334">
                  <c:v>91.44324</c:v>
                </c:pt>
                <c:pt idx="1335">
                  <c:v>91.44163</c:v>
                </c:pt>
                <c:pt idx="1336">
                  <c:v>91.43833999999998</c:v>
                </c:pt>
                <c:pt idx="1337">
                  <c:v>91.43586</c:v>
                </c:pt>
                <c:pt idx="1338">
                  <c:v>91.43418</c:v>
                </c:pt>
                <c:pt idx="1339">
                  <c:v>91.43257000000001</c:v>
                </c:pt>
                <c:pt idx="1340">
                  <c:v>91.43089</c:v>
                </c:pt>
                <c:pt idx="1341">
                  <c:v>91.42928</c:v>
                </c:pt>
                <c:pt idx="1342">
                  <c:v>91.4268</c:v>
                </c:pt>
                <c:pt idx="1343">
                  <c:v>91.42512</c:v>
                </c:pt>
                <c:pt idx="1344">
                  <c:v>91.42183</c:v>
                </c:pt>
                <c:pt idx="1345">
                  <c:v>91.42022</c:v>
                </c:pt>
                <c:pt idx="1346">
                  <c:v>91.41941</c:v>
                </c:pt>
                <c:pt idx="1347">
                  <c:v>91.41693</c:v>
                </c:pt>
                <c:pt idx="1348">
                  <c:v>91.41525</c:v>
                </c:pt>
                <c:pt idx="1349">
                  <c:v>91.41445</c:v>
                </c:pt>
                <c:pt idx="1350">
                  <c:v>91.41197</c:v>
                </c:pt>
                <c:pt idx="1351">
                  <c:v>91.40954</c:v>
                </c:pt>
                <c:pt idx="1352">
                  <c:v>91.40868</c:v>
                </c:pt>
                <c:pt idx="1353">
                  <c:v>91.40538999999998</c:v>
                </c:pt>
                <c:pt idx="1354">
                  <c:v>91.40296</c:v>
                </c:pt>
                <c:pt idx="1355">
                  <c:v>91.40048</c:v>
                </c:pt>
                <c:pt idx="1356">
                  <c:v>91.39962</c:v>
                </c:pt>
                <c:pt idx="1357">
                  <c:v>91.39719</c:v>
                </c:pt>
                <c:pt idx="1358">
                  <c:v>91.39471</c:v>
                </c:pt>
                <c:pt idx="1359">
                  <c:v>91.3939</c:v>
                </c:pt>
                <c:pt idx="1360">
                  <c:v>91.39223000000001</c:v>
                </c:pt>
                <c:pt idx="1361">
                  <c:v>91.38974999999998</c:v>
                </c:pt>
                <c:pt idx="1362">
                  <c:v>91.38812999999997</c:v>
                </c:pt>
                <c:pt idx="1363">
                  <c:v>91.38565</c:v>
                </c:pt>
                <c:pt idx="1364">
                  <c:v>91.38404</c:v>
                </c:pt>
                <c:pt idx="1365">
                  <c:v>91.38156</c:v>
                </c:pt>
                <c:pt idx="1366">
                  <c:v>91.37987999999918</c:v>
                </c:pt>
                <c:pt idx="1367">
                  <c:v>91.37746</c:v>
                </c:pt>
                <c:pt idx="1368">
                  <c:v>91.37578999999845</c:v>
                </c:pt>
                <c:pt idx="1369">
                  <c:v>91.37417</c:v>
                </c:pt>
                <c:pt idx="1370">
                  <c:v>91.37249999999958</c:v>
                </c:pt>
                <c:pt idx="1371">
                  <c:v>91.37001999999998</c:v>
                </c:pt>
                <c:pt idx="1372">
                  <c:v>91.36839999999998</c:v>
                </c:pt>
                <c:pt idx="1373">
                  <c:v>91.36592</c:v>
                </c:pt>
                <c:pt idx="1374">
                  <c:v>91.36424</c:v>
                </c:pt>
                <c:pt idx="1375">
                  <c:v>91.36263</c:v>
                </c:pt>
                <c:pt idx="1376">
                  <c:v>91.36015</c:v>
                </c:pt>
                <c:pt idx="1377">
                  <c:v>91.35852999999997</c:v>
                </c:pt>
                <c:pt idx="1378">
                  <c:v>91.35604999999998</c:v>
                </c:pt>
                <c:pt idx="1379">
                  <c:v>91.35437999999998</c:v>
                </c:pt>
                <c:pt idx="1380">
                  <c:v>91.35275999999975</c:v>
                </c:pt>
                <c:pt idx="1381">
                  <c:v>91.35028</c:v>
                </c:pt>
                <c:pt idx="1382">
                  <c:v>91.34866</c:v>
                </c:pt>
                <c:pt idx="1383">
                  <c:v>91.34699</c:v>
                </c:pt>
                <c:pt idx="1384">
                  <c:v>91.34451</c:v>
                </c:pt>
                <c:pt idx="1385">
                  <c:v>91.34370000000001</c:v>
                </c:pt>
                <c:pt idx="1386">
                  <c:v>91.34209</c:v>
                </c:pt>
                <c:pt idx="1387">
                  <c:v>91.3396</c:v>
                </c:pt>
                <c:pt idx="1388">
                  <c:v>91.33632</c:v>
                </c:pt>
                <c:pt idx="1389">
                  <c:v>91.33544999999998</c:v>
                </c:pt>
                <c:pt idx="1390">
                  <c:v>91.33303</c:v>
                </c:pt>
                <c:pt idx="1391">
                  <c:v>91.33135</c:v>
                </c:pt>
                <c:pt idx="1392">
                  <c:v>91.32805999999998</c:v>
                </c:pt>
                <c:pt idx="1393">
                  <c:v>91.32644999999998</c:v>
                </c:pt>
                <c:pt idx="1394">
                  <c:v>91.32557999999958</c:v>
                </c:pt>
                <c:pt idx="1395">
                  <c:v>91.32316</c:v>
                </c:pt>
                <c:pt idx="1396">
                  <c:v>91.32148999999998</c:v>
                </c:pt>
                <c:pt idx="1397">
                  <c:v>91.319</c:v>
                </c:pt>
                <c:pt idx="1398">
                  <c:v>91.3182</c:v>
                </c:pt>
                <c:pt idx="1399">
                  <c:v>91.31658</c:v>
                </c:pt>
                <c:pt idx="1400">
                  <c:v>91.3141</c:v>
                </c:pt>
                <c:pt idx="1401">
                  <c:v>91.31162</c:v>
                </c:pt>
                <c:pt idx="1402">
                  <c:v>91.30995</c:v>
                </c:pt>
                <c:pt idx="1403">
                  <c:v>91.30832999999998</c:v>
                </c:pt>
                <c:pt idx="1404">
                  <c:v>91.30666</c:v>
                </c:pt>
                <c:pt idx="1405">
                  <c:v>91.30423</c:v>
                </c:pt>
                <c:pt idx="1406">
                  <c:v>91.30256</c:v>
                </c:pt>
                <c:pt idx="1407">
                  <c:v>91.30007999999998</c:v>
                </c:pt>
                <c:pt idx="1408">
                  <c:v>91.29846</c:v>
                </c:pt>
                <c:pt idx="1409">
                  <c:v>91.29598</c:v>
                </c:pt>
                <c:pt idx="1410">
                  <c:v>91.29437</c:v>
                </c:pt>
                <c:pt idx="1411">
                  <c:v>91.29269</c:v>
                </c:pt>
                <c:pt idx="1412">
                  <c:v>91.2894</c:v>
                </c:pt>
                <c:pt idx="1413">
                  <c:v>91.28779</c:v>
                </c:pt>
                <c:pt idx="1414">
                  <c:v>91.28611</c:v>
                </c:pt>
                <c:pt idx="1415">
                  <c:v>91.2845</c:v>
                </c:pt>
                <c:pt idx="1416">
                  <c:v>91.28363</c:v>
                </c:pt>
                <c:pt idx="1417">
                  <c:v>91.28115</c:v>
                </c:pt>
                <c:pt idx="1418">
                  <c:v>91.27872999999998</c:v>
                </c:pt>
                <c:pt idx="1419">
                  <c:v>91.27625</c:v>
                </c:pt>
                <c:pt idx="1420">
                  <c:v>91.27457</c:v>
                </c:pt>
                <c:pt idx="1421">
                  <c:v>91.27214999999998</c:v>
                </c:pt>
                <c:pt idx="1422">
                  <c:v>91.27047999999998</c:v>
                </c:pt>
                <c:pt idx="1423">
                  <c:v>91.26886</c:v>
                </c:pt>
                <c:pt idx="1424">
                  <c:v>91.26719</c:v>
                </c:pt>
                <c:pt idx="1425">
                  <c:v>91.26557</c:v>
                </c:pt>
                <c:pt idx="1426">
                  <c:v>91.2639</c:v>
                </c:pt>
                <c:pt idx="1427">
                  <c:v>91.26142</c:v>
                </c:pt>
                <c:pt idx="1428">
                  <c:v>91.25898999999998</c:v>
                </c:pt>
                <c:pt idx="1429">
                  <c:v>91.25732</c:v>
                </c:pt>
                <c:pt idx="1430">
                  <c:v>91.25484</c:v>
                </c:pt>
                <c:pt idx="1431">
                  <c:v>91.25322</c:v>
                </c:pt>
                <c:pt idx="1432">
                  <c:v>91.25155</c:v>
                </c:pt>
                <c:pt idx="1433">
                  <c:v>91.24993</c:v>
                </c:pt>
                <c:pt idx="1434">
                  <c:v>91.24745</c:v>
                </c:pt>
                <c:pt idx="1435">
                  <c:v>91.24497</c:v>
                </c:pt>
                <c:pt idx="1436">
                  <c:v>91.24335</c:v>
                </c:pt>
                <c:pt idx="1437">
                  <c:v>91.24249</c:v>
                </c:pt>
                <c:pt idx="1438">
                  <c:v>91.2392</c:v>
                </c:pt>
                <c:pt idx="1439">
                  <c:v>91.23758</c:v>
                </c:pt>
                <c:pt idx="1440">
                  <c:v>91.2351</c:v>
                </c:pt>
                <c:pt idx="1441">
                  <c:v>91.23349</c:v>
                </c:pt>
                <c:pt idx="1442">
                  <c:v>91.23101</c:v>
                </c:pt>
                <c:pt idx="1443">
                  <c:v>91.2302</c:v>
                </c:pt>
                <c:pt idx="1444">
                  <c:v>91.22691</c:v>
                </c:pt>
                <c:pt idx="1445">
                  <c:v>91.22524</c:v>
                </c:pt>
                <c:pt idx="1446">
                  <c:v>91.22274999999995</c:v>
                </c:pt>
                <c:pt idx="1447">
                  <c:v>91.22114</c:v>
                </c:pt>
                <c:pt idx="1448">
                  <c:v>91.21947</c:v>
                </c:pt>
                <c:pt idx="1449">
                  <c:v>91.21698</c:v>
                </c:pt>
                <c:pt idx="1450">
                  <c:v>91.21537</c:v>
                </c:pt>
                <c:pt idx="1451">
                  <c:v>91.21289</c:v>
                </c:pt>
                <c:pt idx="1452">
                  <c:v>91.21208</c:v>
                </c:pt>
                <c:pt idx="1453">
                  <c:v>91.2096</c:v>
                </c:pt>
                <c:pt idx="1454">
                  <c:v>91.20712</c:v>
                </c:pt>
                <c:pt idx="1455">
                  <c:v>91.20469</c:v>
                </c:pt>
                <c:pt idx="1456" formatCode="0.00E+00">
                  <c:v>91.20302</c:v>
                </c:pt>
                <c:pt idx="1457">
                  <c:v>91.20221</c:v>
                </c:pt>
                <c:pt idx="1458">
                  <c:v>91.19972999999997</c:v>
                </c:pt>
                <c:pt idx="1459">
                  <c:v>91.19811</c:v>
                </c:pt>
                <c:pt idx="1460">
                  <c:v>91.19563</c:v>
                </c:pt>
                <c:pt idx="1461">
                  <c:v>91.19315</c:v>
                </c:pt>
                <c:pt idx="1462">
                  <c:v>91.19148</c:v>
                </c:pt>
                <c:pt idx="1463">
                  <c:v>91.18985999999998</c:v>
                </c:pt>
                <c:pt idx="1464">
                  <c:v>91.18737999999995</c:v>
                </c:pt>
                <c:pt idx="1465">
                  <c:v>91.18656999999997</c:v>
                </c:pt>
                <c:pt idx="1466">
                  <c:v>91.18409</c:v>
                </c:pt>
                <c:pt idx="1467">
                  <c:v>91.18327999999998</c:v>
                </c:pt>
                <c:pt idx="1468">
                  <c:v>91.18079999999995</c:v>
                </c:pt>
                <c:pt idx="1469">
                  <c:v>91.17751</c:v>
                </c:pt>
                <c:pt idx="1470">
                  <c:v>91.17589999999888</c:v>
                </c:pt>
                <c:pt idx="1471">
                  <c:v>91.17341999999998</c:v>
                </c:pt>
                <c:pt idx="1472">
                  <c:v>91.17173999999918</c:v>
                </c:pt>
                <c:pt idx="1473">
                  <c:v>91.16932</c:v>
                </c:pt>
                <c:pt idx="1474">
                  <c:v>91.16765</c:v>
                </c:pt>
                <c:pt idx="1475">
                  <c:v>91.16603</c:v>
                </c:pt>
                <c:pt idx="1476">
                  <c:v>91.16436</c:v>
                </c:pt>
                <c:pt idx="1477">
                  <c:v>91.16187999999998</c:v>
                </c:pt>
                <c:pt idx="1478">
                  <c:v>91.15939999999995</c:v>
                </c:pt>
                <c:pt idx="1479">
                  <c:v>91.15696999999998</c:v>
                </c:pt>
                <c:pt idx="1480">
                  <c:v>91.15529999999998</c:v>
                </c:pt>
                <c:pt idx="1481">
                  <c:v>91.15367999999998</c:v>
                </c:pt>
                <c:pt idx="1482">
                  <c:v>91.1512</c:v>
                </c:pt>
                <c:pt idx="1483">
                  <c:v>91.14953000000001</c:v>
                </c:pt>
                <c:pt idx="1484">
                  <c:v>91.14791</c:v>
                </c:pt>
                <c:pt idx="1485">
                  <c:v>91.14624</c:v>
                </c:pt>
                <c:pt idx="1486">
                  <c:v>91.14382</c:v>
                </c:pt>
                <c:pt idx="1487">
                  <c:v>91.14133</c:v>
                </c:pt>
                <c:pt idx="1488">
                  <c:v>91.14053000000001</c:v>
                </c:pt>
                <c:pt idx="1489">
                  <c:v>91.13803999999975</c:v>
                </c:pt>
                <c:pt idx="1490">
                  <c:v>91.13476</c:v>
                </c:pt>
                <c:pt idx="1491">
                  <c:v>91.13227</c:v>
                </c:pt>
                <c:pt idx="1492">
                  <c:v>91.1306</c:v>
                </c:pt>
                <c:pt idx="1493">
                  <c:v>91.12898999999948</c:v>
                </c:pt>
                <c:pt idx="1494">
                  <c:v>91.12730999999998</c:v>
                </c:pt>
                <c:pt idx="1495">
                  <c:v>91.12488999999998</c:v>
                </c:pt>
                <c:pt idx="1496">
                  <c:v>91.12321</c:v>
                </c:pt>
                <c:pt idx="1497">
                  <c:v>91.12072999999998</c:v>
                </c:pt>
                <c:pt idx="1498">
                  <c:v>91.11912</c:v>
                </c:pt>
                <c:pt idx="1499">
                  <c:v>91.11744</c:v>
                </c:pt>
                <c:pt idx="1500">
                  <c:v>91.11502</c:v>
                </c:pt>
                <c:pt idx="1501">
                  <c:v>91.11334999999998</c:v>
                </c:pt>
                <c:pt idx="1502">
                  <c:v>91.11087</c:v>
                </c:pt>
                <c:pt idx="1503">
                  <c:v>91.10925</c:v>
                </c:pt>
                <c:pt idx="1504">
                  <c:v>91.10758</c:v>
                </c:pt>
                <c:pt idx="1505">
                  <c:v>91.10595999999998</c:v>
                </c:pt>
                <c:pt idx="1506">
                  <c:v>91.10347999999995</c:v>
                </c:pt>
                <c:pt idx="1507">
                  <c:v>91.10181</c:v>
                </c:pt>
                <c:pt idx="1508">
                  <c:v>91.10019</c:v>
                </c:pt>
                <c:pt idx="1509">
                  <c:v>91.0969</c:v>
                </c:pt>
                <c:pt idx="1510">
                  <c:v>91.09442</c:v>
                </c:pt>
                <c:pt idx="1511">
                  <c:v>91.09279999999998</c:v>
                </c:pt>
                <c:pt idx="1512">
                  <c:v>91.09113</c:v>
                </c:pt>
                <c:pt idx="1513">
                  <c:v>91.08784</c:v>
                </c:pt>
                <c:pt idx="1514">
                  <c:v>91.08703000000001</c:v>
                </c:pt>
                <c:pt idx="1515">
                  <c:v>91.08535999999998</c:v>
                </c:pt>
                <c:pt idx="1516">
                  <c:v>91.08206999999997</c:v>
                </c:pt>
                <c:pt idx="1517">
                  <c:v>91.07965</c:v>
                </c:pt>
                <c:pt idx="1518">
                  <c:v>91.07797</c:v>
                </c:pt>
                <c:pt idx="1519">
                  <c:v>91.07629999999997</c:v>
                </c:pt>
                <c:pt idx="1520">
                  <c:v>91.07387999999958</c:v>
                </c:pt>
                <c:pt idx="1521">
                  <c:v>91.07058999999998</c:v>
                </c:pt>
                <c:pt idx="1522">
                  <c:v>91.06892</c:v>
                </c:pt>
                <c:pt idx="1523">
                  <c:v>91.0673</c:v>
                </c:pt>
                <c:pt idx="1524">
                  <c:v>91.06482</c:v>
                </c:pt>
                <c:pt idx="1525">
                  <c:v>91.06401</c:v>
                </c:pt>
                <c:pt idx="1526">
                  <c:v>91.06153</c:v>
                </c:pt>
                <c:pt idx="1527">
                  <c:v>91.05905</c:v>
                </c:pt>
                <c:pt idx="1528">
                  <c:v>91.05657</c:v>
                </c:pt>
                <c:pt idx="1529">
                  <c:v>91.05575999999998</c:v>
                </c:pt>
                <c:pt idx="1530">
                  <c:v>91.05328</c:v>
                </c:pt>
                <c:pt idx="1531">
                  <c:v>91.05166</c:v>
                </c:pt>
                <c:pt idx="1532">
                  <c:v>91.04837</c:v>
                </c:pt>
                <c:pt idx="1533">
                  <c:v>91.0467</c:v>
                </c:pt>
                <c:pt idx="1534">
                  <c:v>91.04508</c:v>
                </c:pt>
                <c:pt idx="1535">
                  <c:v>91.0426</c:v>
                </c:pt>
                <c:pt idx="1536">
                  <c:v>91.04012</c:v>
                </c:pt>
                <c:pt idx="1537">
                  <c:v>91.03851</c:v>
                </c:pt>
                <c:pt idx="1538">
                  <c:v>91.03683</c:v>
                </c:pt>
                <c:pt idx="1539">
                  <c:v>91.03435</c:v>
                </c:pt>
                <c:pt idx="1540">
                  <c:v>91.03272999999998</c:v>
                </c:pt>
                <c:pt idx="1541">
                  <c:v>91.02944999999998</c:v>
                </c:pt>
                <c:pt idx="1542">
                  <c:v>91.02776999999997</c:v>
                </c:pt>
                <c:pt idx="1543">
                  <c:v>91.02534999999965</c:v>
                </c:pt>
                <c:pt idx="1544">
                  <c:v>91.02447999999998</c:v>
                </c:pt>
                <c:pt idx="1545">
                  <c:v>91.02205999999998</c:v>
                </c:pt>
                <c:pt idx="1546">
                  <c:v>91.02038999999998</c:v>
                </c:pt>
                <c:pt idx="1547">
                  <c:v>91.0179</c:v>
                </c:pt>
                <c:pt idx="1548">
                  <c:v>91.0179</c:v>
                </c:pt>
                <c:pt idx="1549">
                  <c:v>91.00971</c:v>
                </c:pt>
                <c:pt idx="1550">
                  <c:v>91.00971</c:v>
                </c:pt>
                <c:pt idx="1551">
                  <c:v>91.013</c:v>
                </c:pt>
                <c:pt idx="1552">
                  <c:v>91.01052</c:v>
                </c:pt>
                <c:pt idx="1553">
                  <c:v>91.00723</c:v>
                </c:pt>
                <c:pt idx="1554">
                  <c:v>91.00394</c:v>
                </c:pt>
                <c:pt idx="1555">
                  <c:v>91.00146</c:v>
                </c:pt>
                <c:pt idx="1556">
                  <c:v>90.99817</c:v>
                </c:pt>
                <c:pt idx="1557">
                  <c:v>90.99655</c:v>
                </c:pt>
                <c:pt idx="1558">
                  <c:v>90.99407</c:v>
                </c:pt>
                <c:pt idx="1559">
                  <c:v>90.9924</c:v>
                </c:pt>
                <c:pt idx="1560">
                  <c:v>90.98998</c:v>
                </c:pt>
                <c:pt idx="1561">
                  <c:v>90.9883</c:v>
                </c:pt>
                <c:pt idx="1562">
                  <c:v>90.98663</c:v>
                </c:pt>
                <c:pt idx="1563">
                  <c:v>90.98421</c:v>
                </c:pt>
                <c:pt idx="1564">
                  <c:v>90.98092</c:v>
                </c:pt>
                <c:pt idx="1565">
                  <c:v>90.97924</c:v>
                </c:pt>
                <c:pt idx="1566">
                  <c:v>90.97763</c:v>
                </c:pt>
                <c:pt idx="1567">
                  <c:v>90.97515</c:v>
                </c:pt>
                <c:pt idx="1568">
                  <c:v>90.97267</c:v>
                </c:pt>
                <c:pt idx="1569">
                  <c:v>90.97105</c:v>
                </c:pt>
                <c:pt idx="1570">
                  <c:v>90.96857</c:v>
                </c:pt>
                <c:pt idx="1571">
                  <c:v>90.96689</c:v>
                </c:pt>
                <c:pt idx="1572">
                  <c:v>90.96528</c:v>
                </c:pt>
                <c:pt idx="1573">
                  <c:v>90.9628</c:v>
                </c:pt>
                <c:pt idx="1574">
                  <c:v>90.95951</c:v>
                </c:pt>
                <c:pt idx="1575">
                  <c:v>90.9587</c:v>
                </c:pt>
                <c:pt idx="1576">
                  <c:v>90.95622</c:v>
                </c:pt>
                <c:pt idx="1577">
                  <c:v>90.95455</c:v>
                </c:pt>
                <c:pt idx="1578">
                  <c:v>90.95212</c:v>
                </c:pt>
                <c:pt idx="1579">
                  <c:v>90.94964</c:v>
                </c:pt>
                <c:pt idx="1580">
                  <c:v>90.94797000000002</c:v>
                </c:pt>
                <c:pt idx="1581">
                  <c:v>90.94635</c:v>
                </c:pt>
                <c:pt idx="1582">
                  <c:v>90.94387</c:v>
                </c:pt>
                <c:pt idx="1583">
                  <c:v>90.94306</c:v>
                </c:pt>
                <c:pt idx="1584">
                  <c:v>90.94058</c:v>
                </c:pt>
                <c:pt idx="1585">
                  <c:v>90.9381</c:v>
                </c:pt>
                <c:pt idx="1586">
                  <c:v>90.93648</c:v>
                </c:pt>
                <c:pt idx="1587">
                  <c:v>90.93481</c:v>
                </c:pt>
                <c:pt idx="1588">
                  <c:v>90.93152</c:v>
                </c:pt>
                <c:pt idx="1589">
                  <c:v>90.93071</c:v>
                </c:pt>
                <c:pt idx="1590">
                  <c:v>90.92743</c:v>
                </c:pt>
                <c:pt idx="1591">
                  <c:v>90.92494</c:v>
                </c:pt>
                <c:pt idx="1592">
                  <c:v>90.92333</c:v>
                </c:pt>
                <c:pt idx="1593">
                  <c:v>90.92085</c:v>
                </c:pt>
                <c:pt idx="1594">
                  <c:v>90.91917</c:v>
                </c:pt>
                <c:pt idx="1595">
                  <c:v>90.91588</c:v>
                </c:pt>
                <c:pt idx="1596">
                  <c:v>90.91346</c:v>
                </c:pt>
                <c:pt idx="1597">
                  <c:v>90.9126</c:v>
                </c:pt>
                <c:pt idx="1598">
                  <c:v>90.91017</c:v>
                </c:pt>
                <c:pt idx="1599">
                  <c:v>90.90769</c:v>
                </c:pt>
                <c:pt idx="1600">
                  <c:v>90.90602</c:v>
                </c:pt>
                <c:pt idx="1601">
                  <c:v>90.90359</c:v>
                </c:pt>
                <c:pt idx="1602">
                  <c:v>90.90192</c:v>
                </c:pt>
                <c:pt idx="1603">
                  <c:v>90.90025</c:v>
                </c:pt>
                <c:pt idx="1604">
                  <c:v>90.89782</c:v>
                </c:pt>
                <c:pt idx="1605">
                  <c:v>90.89533999999995</c:v>
                </c:pt>
                <c:pt idx="1606">
                  <c:v>90.89205</c:v>
                </c:pt>
                <c:pt idx="1607">
                  <c:v>90.88957</c:v>
                </c:pt>
                <c:pt idx="1608">
                  <c:v>90.88796</c:v>
                </c:pt>
                <c:pt idx="1609">
                  <c:v>90.88628</c:v>
                </c:pt>
                <c:pt idx="1610">
                  <c:v>90.88379999999998</c:v>
                </c:pt>
                <c:pt idx="1611">
                  <c:v>90.88137999999998</c:v>
                </c:pt>
                <c:pt idx="1612">
                  <c:v>90.87889999999948</c:v>
                </c:pt>
                <c:pt idx="1613">
                  <c:v>90.87640999999998</c:v>
                </c:pt>
                <c:pt idx="1614">
                  <c:v>90.87479999999998</c:v>
                </c:pt>
                <c:pt idx="1615">
                  <c:v>90.87151</c:v>
                </c:pt>
                <c:pt idx="1616">
                  <c:v>90.86983999999998</c:v>
                </c:pt>
                <c:pt idx="1617">
                  <c:v>90.86903</c:v>
                </c:pt>
                <c:pt idx="1618">
                  <c:v>90.86573999999958</c:v>
                </c:pt>
                <c:pt idx="1619">
                  <c:v>90.86326</c:v>
                </c:pt>
                <c:pt idx="1620">
                  <c:v>90.85996999999997</c:v>
                </c:pt>
                <c:pt idx="1621">
                  <c:v>90.85829999999998</c:v>
                </c:pt>
                <c:pt idx="1622">
                  <c:v>90.85667999999998</c:v>
                </c:pt>
                <c:pt idx="1623">
                  <c:v>90.8542</c:v>
                </c:pt>
                <c:pt idx="1624">
                  <c:v>90.85172</c:v>
                </c:pt>
                <c:pt idx="1625">
                  <c:v>90.84929</c:v>
                </c:pt>
                <c:pt idx="1626">
                  <c:v>90.84681</c:v>
                </c:pt>
                <c:pt idx="1627">
                  <c:v>90.84514</c:v>
                </c:pt>
                <c:pt idx="1628">
                  <c:v>90.84185</c:v>
                </c:pt>
                <c:pt idx="1629">
                  <c:v>90.84023</c:v>
                </c:pt>
                <c:pt idx="1630">
                  <c:v>90.83775</c:v>
                </c:pt>
                <c:pt idx="1631">
                  <c:v>90.83607999999998</c:v>
                </c:pt>
                <c:pt idx="1632">
                  <c:v>90.83446</c:v>
                </c:pt>
                <c:pt idx="1633">
                  <c:v>90.83446</c:v>
                </c:pt>
                <c:pt idx="1634">
                  <c:v>90.82621</c:v>
                </c:pt>
                <c:pt idx="1635">
                  <c:v>90.82291999999998</c:v>
                </c:pt>
                <c:pt idx="1636">
                  <c:v>90.82212</c:v>
                </c:pt>
                <c:pt idx="1637">
                  <c:v>90.82049999999998</c:v>
                </c:pt>
                <c:pt idx="1638">
                  <c:v>90.81963</c:v>
                </c:pt>
                <c:pt idx="1639">
                  <c:v>90.81802</c:v>
                </c:pt>
                <c:pt idx="1640">
                  <c:v>90.81721</c:v>
                </c:pt>
                <c:pt idx="1641">
                  <c:v>90.81554</c:v>
                </c:pt>
                <c:pt idx="1642">
                  <c:v>90.81306</c:v>
                </c:pt>
                <c:pt idx="1643">
                  <c:v>90.80976999999998</c:v>
                </c:pt>
                <c:pt idx="1644">
                  <c:v>90.80815</c:v>
                </c:pt>
                <c:pt idx="1645">
                  <c:v>90.80567</c:v>
                </c:pt>
                <c:pt idx="1646">
                  <c:v>90.80319</c:v>
                </c:pt>
                <c:pt idx="1647">
                  <c:v>90.7999</c:v>
                </c:pt>
                <c:pt idx="1648">
                  <c:v>90.79742</c:v>
                </c:pt>
                <c:pt idx="1649">
                  <c:v>90.7958</c:v>
                </c:pt>
                <c:pt idx="1650">
                  <c:v>90.79251</c:v>
                </c:pt>
                <c:pt idx="1651">
                  <c:v>90.79084</c:v>
                </c:pt>
                <c:pt idx="1652">
                  <c:v>90.78842</c:v>
                </c:pt>
                <c:pt idx="1653">
                  <c:v>90.78513</c:v>
                </c:pt>
                <c:pt idx="1654">
                  <c:v>90.78426</c:v>
                </c:pt>
                <c:pt idx="1655">
                  <c:v>90.78016</c:v>
                </c:pt>
                <c:pt idx="1656">
                  <c:v>90.77687999999995</c:v>
                </c:pt>
                <c:pt idx="1657">
                  <c:v>90.7752</c:v>
                </c:pt>
                <c:pt idx="1658">
                  <c:v>90.77606999999997</c:v>
                </c:pt>
                <c:pt idx="1659">
                  <c:v>90.77277999999878</c:v>
                </c:pt>
                <c:pt idx="1660">
                  <c:v>90.76949</c:v>
                </c:pt>
                <c:pt idx="1661">
                  <c:v>90.76782</c:v>
                </c:pt>
                <c:pt idx="1662">
                  <c:v>90.76533</c:v>
                </c:pt>
                <c:pt idx="1663">
                  <c:v>90.76205</c:v>
                </c:pt>
                <c:pt idx="1664">
                  <c:v>90.76043000000001</c:v>
                </c:pt>
                <c:pt idx="1665">
                  <c:v>90.75875999999998</c:v>
                </c:pt>
                <c:pt idx="1666">
                  <c:v>90.75633</c:v>
                </c:pt>
                <c:pt idx="1667">
                  <c:v>90.75466</c:v>
                </c:pt>
                <c:pt idx="1668">
                  <c:v>90.75217999999998</c:v>
                </c:pt>
                <c:pt idx="1669">
                  <c:v>90.74889</c:v>
                </c:pt>
                <c:pt idx="1670">
                  <c:v>90.74641</c:v>
                </c:pt>
                <c:pt idx="1671">
                  <c:v>90.74479</c:v>
                </c:pt>
                <c:pt idx="1672">
                  <c:v>90.74312</c:v>
                </c:pt>
                <c:pt idx="1673">
                  <c:v>90.74069</c:v>
                </c:pt>
                <c:pt idx="1674">
                  <c:v>90.73821</c:v>
                </c:pt>
                <c:pt idx="1675">
                  <c:v>90.73572999999997</c:v>
                </c:pt>
                <c:pt idx="1676">
                  <c:v>90.73412</c:v>
                </c:pt>
                <c:pt idx="1677">
                  <c:v>90.73164</c:v>
                </c:pt>
                <c:pt idx="1678">
                  <c:v>90.72915</c:v>
                </c:pt>
                <c:pt idx="1679">
                  <c:v>90.72585999999998</c:v>
                </c:pt>
                <c:pt idx="1680">
                  <c:v>90.72419</c:v>
                </c:pt>
                <c:pt idx="1681">
                  <c:v>90.72177</c:v>
                </c:pt>
                <c:pt idx="1682">
                  <c:v>90.71929</c:v>
                </c:pt>
                <c:pt idx="1683">
                  <c:v>90.71681</c:v>
                </c:pt>
                <c:pt idx="1684">
                  <c:v>90.71519</c:v>
                </c:pt>
                <c:pt idx="1685">
                  <c:v>90.71352</c:v>
                </c:pt>
                <c:pt idx="1686">
                  <c:v>90.71103</c:v>
                </c:pt>
                <c:pt idx="1687">
                  <c:v>90.70861</c:v>
                </c:pt>
                <c:pt idx="1688">
                  <c:v>90.70613</c:v>
                </c:pt>
                <c:pt idx="1689">
                  <c:v>90.70283999999998</c:v>
                </c:pt>
                <c:pt idx="1690">
                  <c:v>90.70203</c:v>
                </c:pt>
                <c:pt idx="1691">
                  <c:v>90.69873999999928</c:v>
                </c:pt>
                <c:pt idx="1692">
                  <c:v>90.69626</c:v>
                </c:pt>
                <c:pt idx="1693">
                  <c:v>90.69459</c:v>
                </c:pt>
                <c:pt idx="1694">
                  <c:v>90.69211</c:v>
                </c:pt>
                <c:pt idx="1695">
                  <c:v>90.68967999999998</c:v>
                </c:pt>
                <c:pt idx="1696">
                  <c:v>90.68639999999998</c:v>
                </c:pt>
                <c:pt idx="1697">
                  <c:v>90.68881999999998</c:v>
                </c:pt>
                <c:pt idx="1698">
                  <c:v>90.68390999999998</c:v>
                </c:pt>
                <c:pt idx="1699">
                  <c:v>90.68062</c:v>
                </c:pt>
                <c:pt idx="1700">
                  <c:v>90.67813999999898</c:v>
                </c:pt>
                <c:pt idx="1701">
                  <c:v>90.67652999999998</c:v>
                </c:pt>
                <c:pt idx="1702">
                  <c:v>90.67323999999998</c:v>
                </c:pt>
                <c:pt idx="1703">
                  <c:v>90.67156999999997</c:v>
                </c:pt>
                <c:pt idx="1704">
                  <c:v>90.66827999999998</c:v>
                </c:pt>
                <c:pt idx="1705">
                  <c:v>90.66666</c:v>
                </c:pt>
                <c:pt idx="1706">
                  <c:v>90.66330999999998</c:v>
                </c:pt>
                <c:pt idx="1707">
                  <c:v>90.66088999999998</c:v>
                </c:pt>
                <c:pt idx="1708">
                  <c:v>90.65922</c:v>
                </c:pt>
                <c:pt idx="1709">
                  <c:v>90.65673999999898</c:v>
                </c:pt>
                <c:pt idx="1710">
                  <c:v>90.65430999999998</c:v>
                </c:pt>
                <c:pt idx="1711">
                  <c:v>90.65182999999997</c:v>
                </c:pt>
                <c:pt idx="1712">
                  <c:v>90.64853999999998</c:v>
                </c:pt>
                <c:pt idx="1713">
                  <c:v>90.64606</c:v>
                </c:pt>
                <c:pt idx="1714">
                  <c:v>90.64444</c:v>
                </c:pt>
                <c:pt idx="1715">
                  <c:v>90.64196</c:v>
                </c:pt>
                <c:pt idx="1716">
                  <c:v>90.63947999999998</c:v>
                </c:pt>
                <c:pt idx="1717">
                  <c:v>90.637</c:v>
                </c:pt>
                <c:pt idx="1718">
                  <c:v>90.63452</c:v>
                </c:pt>
                <c:pt idx="1719">
                  <c:v>90.63209999999998</c:v>
                </c:pt>
                <c:pt idx="1720">
                  <c:v>90.62961</c:v>
                </c:pt>
                <c:pt idx="1721">
                  <c:v>90.62713</c:v>
                </c:pt>
                <c:pt idx="1722">
                  <c:v>90.62383999999938</c:v>
                </c:pt>
                <c:pt idx="1723">
                  <c:v>90.62303999999965</c:v>
                </c:pt>
                <c:pt idx="1724">
                  <c:v>90.62054999999998</c:v>
                </c:pt>
                <c:pt idx="1725">
                  <c:v>90.61806999999997</c:v>
                </c:pt>
                <c:pt idx="1726">
                  <c:v>90.61565</c:v>
                </c:pt>
                <c:pt idx="1727">
                  <c:v>90.61317</c:v>
                </c:pt>
                <c:pt idx="1728">
                  <c:v>90.61069</c:v>
                </c:pt>
                <c:pt idx="1729">
                  <c:v>90.60821</c:v>
                </c:pt>
                <c:pt idx="1730">
                  <c:v>90.60572999999998</c:v>
                </c:pt>
                <c:pt idx="1731">
                  <c:v>90.6033</c:v>
                </c:pt>
                <c:pt idx="1732">
                  <c:v>90.60163</c:v>
                </c:pt>
                <c:pt idx="1733">
                  <c:v>90.60000999999998</c:v>
                </c:pt>
                <c:pt idx="1734">
                  <c:v>90.59672</c:v>
                </c:pt>
                <c:pt idx="1735">
                  <c:v>90.59343000000001</c:v>
                </c:pt>
                <c:pt idx="1736">
                  <c:v>90.59176</c:v>
                </c:pt>
                <c:pt idx="1737">
                  <c:v>90.58846999999998</c:v>
                </c:pt>
                <c:pt idx="1738">
                  <c:v>90.58686</c:v>
                </c:pt>
                <c:pt idx="1739">
                  <c:v>90.58357</c:v>
                </c:pt>
                <c:pt idx="1740">
                  <c:v>90.58189</c:v>
                </c:pt>
                <c:pt idx="1741">
                  <c:v>90.57859999999998</c:v>
                </c:pt>
                <c:pt idx="1742">
                  <c:v>90.57612</c:v>
                </c:pt>
                <c:pt idx="1743">
                  <c:v>90.57451</c:v>
                </c:pt>
                <c:pt idx="1744">
                  <c:v>90.57202999999998</c:v>
                </c:pt>
                <c:pt idx="1745">
                  <c:v>90.56873999999995</c:v>
                </c:pt>
                <c:pt idx="1746">
                  <c:v>90.56626</c:v>
                </c:pt>
                <c:pt idx="1747">
                  <c:v>90.56464</c:v>
                </c:pt>
                <c:pt idx="1748">
                  <c:v>90.56216</c:v>
                </c:pt>
                <c:pt idx="1749">
                  <c:v>90.55968</c:v>
                </c:pt>
                <c:pt idx="1750">
                  <c:v>90.55806</c:v>
                </c:pt>
                <c:pt idx="1751">
                  <c:v>90.55557999999998</c:v>
                </c:pt>
                <c:pt idx="1752">
                  <c:v>90.5531</c:v>
                </c:pt>
                <c:pt idx="1753">
                  <c:v>90.55062</c:v>
                </c:pt>
                <c:pt idx="1754">
                  <c:v>90.54819</c:v>
                </c:pt>
                <c:pt idx="1755">
                  <c:v>90.54571</c:v>
                </c:pt>
                <c:pt idx="1756">
                  <c:v>90.54242</c:v>
                </c:pt>
                <c:pt idx="1757">
                  <c:v>90.54075</c:v>
                </c:pt>
                <c:pt idx="1758">
                  <c:v>90.53827</c:v>
                </c:pt>
                <c:pt idx="1759">
                  <c:v>90.53665</c:v>
                </c:pt>
                <c:pt idx="1760">
                  <c:v>90.53417</c:v>
                </c:pt>
                <c:pt idx="1761">
                  <c:v>90.53169</c:v>
                </c:pt>
                <c:pt idx="1762">
                  <c:v>90.52927</c:v>
                </c:pt>
                <c:pt idx="1763">
                  <c:v>90.52678999999995</c:v>
                </c:pt>
                <c:pt idx="1764">
                  <c:v>90.5235</c:v>
                </c:pt>
                <c:pt idx="1765">
                  <c:v>90.52182</c:v>
                </c:pt>
                <c:pt idx="1766">
                  <c:v>90.5194</c:v>
                </c:pt>
                <c:pt idx="1767">
                  <c:v>90.51773</c:v>
                </c:pt>
                <c:pt idx="1768">
                  <c:v>90.51525</c:v>
                </c:pt>
                <c:pt idx="1769">
                  <c:v>90.51276</c:v>
                </c:pt>
                <c:pt idx="1770">
                  <c:v>90.51034</c:v>
                </c:pt>
                <c:pt idx="1771">
                  <c:v>90.50867</c:v>
                </c:pt>
                <c:pt idx="1772">
                  <c:v>90.50457</c:v>
                </c:pt>
                <c:pt idx="1773">
                  <c:v>90.50289999999998</c:v>
                </c:pt>
                <c:pt idx="1774">
                  <c:v>90.50128</c:v>
                </c:pt>
                <c:pt idx="1775">
                  <c:v>90.4988</c:v>
                </c:pt>
                <c:pt idx="1776">
                  <c:v>90.49632</c:v>
                </c:pt>
                <c:pt idx="1777">
                  <c:v>90.49389</c:v>
                </c:pt>
                <c:pt idx="1778">
                  <c:v>90.49141</c:v>
                </c:pt>
                <c:pt idx="1779">
                  <c:v>90.48893</c:v>
                </c:pt>
                <c:pt idx="1780">
                  <c:v>90.48564</c:v>
                </c:pt>
                <c:pt idx="1781">
                  <c:v>90.48484</c:v>
                </c:pt>
                <c:pt idx="1782">
                  <c:v>90.48068</c:v>
                </c:pt>
                <c:pt idx="1783">
                  <c:v>90.47739</c:v>
                </c:pt>
                <c:pt idx="1784">
                  <c:v>90.47577999999928</c:v>
                </c:pt>
                <c:pt idx="1785">
                  <c:v>90.47329</c:v>
                </c:pt>
                <c:pt idx="1786">
                  <c:v>90.47081</c:v>
                </c:pt>
                <c:pt idx="1787" formatCode="0.00E+00">
                  <c:v>90.4692</c:v>
                </c:pt>
                <c:pt idx="1788">
                  <c:v>90.46672</c:v>
                </c:pt>
                <c:pt idx="1789">
                  <c:v>90.46343</c:v>
                </c:pt>
                <c:pt idx="1790">
                  <c:v>90.46262</c:v>
                </c:pt>
                <c:pt idx="1791">
                  <c:v>90.46262</c:v>
                </c:pt>
                <c:pt idx="1792">
                  <c:v>90.45356</c:v>
                </c:pt>
                <c:pt idx="1793">
                  <c:v>90.44946</c:v>
                </c:pt>
                <c:pt idx="1794">
                  <c:v>90.44779</c:v>
                </c:pt>
                <c:pt idx="1795">
                  <c:v>90.44617</c:v>
                </c:pt>
                <c:pt idx="1796">
                  <c:v>90.44617</c:v>
                </c:pt>
                <c:pt idx="1797">
                  <c:v>90.44698</c:v>
                </c:pt>
                <c:pt idx="1798">
                  <c:v>90.44946</c:v>
                </c:pt>
                <c:pt idx="1799">
                  <c:v>90.44288</c:v>
                </c:pt>
                <c:pt idx="1800">
                  <c:v>90.43873</c:v>
                </c:pt>
                <c:pt idx="1801">
                  <c:v>90.43631</c:v>
                </c:pt>
                <c:pt idx="1802">
                  <c:v>90.43302</c:v>
                </c:pt>
                <c:pt idx="1803">
                  <c:v>90.42967</c:v>
                </c:pt>
                <c:pt idx="1804">
                  <c:v>90.42805</c:v>
                </c:pt>
                <c:pt idx="1805">
                  <c:v>90.42637999999998</c:v>
                </c:pt>
                <c:pt idx="1806">
                  <c:v>90.42396</c:v>
                </c:pt>
                <c:pt idx="1807">
                  <c:v>90.42148</c:v>
                </c:pt>
                <c:pt idx="1808">
                  <c:v>90.4198</c:v>
                </c:pt>
                <c:pt idx="1809">
                  <c:v>90.41738</c:v>
                </c:pt>
                <c:pt idx="1810">
                  <c:v>90.41409</c:v>
                </c:pt>
                <c:pt idx="1811">
                  <c:v>90.41161</c:v>
                </c:pt>
                <c:pt idx="1812" formatCode="0.00E+00">
                  <c:v>90.40913</c:v>
                </c:pt>
                <c:pt idx="1813">
                  <c:v>90.40665</c:v>
                </c:pt>
                <c:pt idx="1814">
                  <c:v>90.40503</c:v>
                </c:pt>
                <c:pt idx="1815">
                  <c:v>90.40174</c:v>
                </c:pt>
                <c:pt idx="1816">
                  <c:v>90.40007000000001</c:v>
                </c:pt>
                <c:pt idx="1817">
                  <c:v>90.39759</c:v>
                </c:pt>
                <c:pt idx="1818">
                  <c:v>90.39597</c:v>
                </c:pt>
                <c:pt idx="1819">
                  <c:v>90.39349</c:v>
                </c:pt>
                <c:pt idx="1820">
                  <c:v>90.39101</c:v>
                </c:pt>
                <c:pt idx="1821">
                  <c:v>90.38772</c:v>
                </c:pt>
                <c:pt idx="1822">
                  <c:v>90.38529999999998</c:v>
                </c:pt>
                <c:pt idx="1823">
                  <c:v>90.38280999999998</c:v>
                </c:pt>
                <c:pt idx="1824">
                  <c:v>90.38032999999998</c:v>
                </c:pt>
                <c:pt idx="1825">
                  <c:v>90.37784999999998</c:v>
                </c:pt>
                <c:pt idx="1826">
                  <c:v>90.37623999999998</c:v>
                </c:pt>
                <c:pt idx="1827">
                  <c:v>90.37374999999938</c:v>
                </c:pt>
                <c:pt idx="1828">
                  <c:v>90.37127</c:v>
                </c:pt>
                <c:pt idx="1829">
                  <c:v>90.36878999999985</c:v>
                </c:pt>
                <c:pt idx="1830">
                  <c:v>90.36636999999997</c:v>
                </c:pt>
                <c:pt idx="1831">
                  <c:v>90.36470000000001</c:v>
                </c:pt>
                <c:pt idx="1832">
                  <c:v>90.36221</c:v>
                </c:pt>
                <c:pt idx="1833">
                  <c:v>90.35978999999985</c:v>
                </c:pt>
                <c:pt idx="1834">
                  <c:v>90.35812</c:v>
                </c:pt>
                <c:pt idx="1835">
                  <c:v>90.35563999999998</c:v>
                </c:pt>
                <c:pt idx="1836">
                  <c:v>90.35321</c:v>
                </c:pt>
                <c:pt idx="1837">
                  <c:v>90.35154</c:v>
                </c:pt>
                <c:pt idx="1838">
                  <c:v>90.34825</c:v>
                </c:pt>
                <c:pt idx="1839">
                  <c:v>90.34663</c:v>
                </c:pt>
                <c:pt idx="1840">
                  <c:v>90.34247999999998</c:v>
                </c:pt>
                <c:pt idx="1841">
                  <c:v>90.34086</c:v>
                </c:pt>
                <c:pt idx="1842">
                  <c:v>90.33757000000001</c:v>
                </c:pt>
                <c:pt idx="1843">
                  <c:v>90.33429</c:v>
                </c:pt>
                <c:pt idx="1844">
                  <c:v>90.33342</c:v>
                </c:pt>
                <c:pt idx="1845">
                  <c:v>90.3318</c:v>
                </c:pt>
                <c:pt idx="1846">
                  <c:v>90.32931999999998</c:v>
                </c:pt>
                <c:pt idx="1847">
                  <c:v>90.32683999999985</c:v>
                </c:pt>
                <c:pt idx="1848">
                  <c:v>90.32442</c:v>
                </c:pt>
                <c:pt idx="1849">
                  <c:v>90.32113</c:v>
                </c:pt>
                <c:pt idx="1850">
                  <c:v>90.31865</c:v>
                </c:pt>
                <c:pt idx="1851">
                  <c:v>90.31697000000001</c:v>
                </c:pt>
                <c:pt idx="1852">
                  <c:v>90.31536</c:v>
                </c:pt>
                <c:pt idx="1853">
                  <c:v>90.31368</c:v>
                </c:pt>
                <c:pt idx="1854">
                  <c:v>90.3112</c:v>
                </c:pt>
                <c:pt idx="1855">
                  <c:v>90.30711</c:v>
                </c:pt>
                <c:pt idx="1856">
                  <c:v>90.30463</c:v>
                </c:pt>
                <c:pt idx="1857">
                  <c:v>90.30382</c:v>
                </c:pt>
                <c:pt idx="1858">
                  <c:v>90.30133999999998</c:v>
                </c:pt>
                <c:pt idx="1859">
                  <c:v>90.29891</c:v>
                </c:pt>
                <c:pt idx="1860">
                  <c:v>90.29643</c:v>
                </c:pt>
                <c:pt idx="1861">
                  <c:v>90.29395</c:v>
                </c:pt>
                <c:pt idx="1862">
                  <c:v>90.29147</c:v>
                </c:pt>
                <c:pt idx="1863">
                  <c:v>90.28905</c:v>
                </c:pt>
                <c:pt idx="1864">
                  <c:v>90.28737</c:v>
                </c:pt>
                <c:pt idx="1865">
                  <c:v>90.28489</c:v>
                </c:pt>
                <c:pt idx="1866">
                  <c:v>90.28241</c:v>
                </c:pt>
                <c:pt idx="1867">
                  <c:v>90.27999</c:v>
                </c:pt>
                <c:pt idx="1868">
                  <c:v>90.2775</c:v>
                </c:pt>
                <c:pt idx="1869">
                  <c:v>90.27582999999998</c:v>
                </c:pt>
                <c:pt idx="1870">
                  <c:v>90.27341</c:v>
                </c:pt>
                <c:pt idx="1871">
                  <c:v>90.27173</c:v>
                </c:pt>
                <c:pt idx="1872">
                  <c:v>90.26844</c:v>
                </c:pt>
                <c:pt idx="1873">
                  <c:v>90.26596</c:v>
                </c:pt>
                <c:pt idx="1874">
                  <c:v>90.26267</c:v>
                </c:pt>
                <c:pt idx="1875">
                  <c:v>90.25529</c:v>
                </c:pt>
                <c:pt idx="1876">
                  <c:v>90.25696</c:v>
                </c:pt>
                <c:pt idx="1877">
                  <c:v>90.2561</c:v>
                </c:pt>
                <c:pt idx="1878">
                  <c:v>90.25280999999998</c:v>
                </c:pt>
                <c:pt idx="1879">
                  <c:v>90.25119</c:v>
                </c:pt>
                <c:pt idx="1880">
                  <c:v>90.2479</c:v>
                </c:pt>
                <c:pt idx="1881">
                  <c:v>90.24623</c:v>
                </c:pt>
                <c:pt idx="1882">
                  <c:v>90.24461</c:v>
                </c:pt>
                <c:pt idx="1883">
                  <c:v>90.24294</c:v>
                </c:pt>
                <c:pt idx="1884">
                  <c:v>90.24132</c:v>
                </c:pt>
                <c:pt idx="1885">
                  <c:v>90.23965</c:v>
                </c:pt>
                <c:pt idx="1886">
                  <c:v>90.23803</c:v>
                </c:pt>
                <c:pt idx="1887">
                  <c:v>90.23717</c:v>
                </c:pt>
                <c:pt idx="1888">
                  <c:v>90.23883999999998</c:v>
                </c:pt>
                <c:pt idx="1889">
                  <c:v>90.23307000000001</c:v>
                </c:pt>
                <c:pt idx="1890">
                  <c:v>90.2273</c:v>
                </c:pt>
                <c:pt idx="1891">
                  <c:v>90.21911</c:v>
                </c:pt>
                <c:pt idx="1892">
                  <c:v>90.21992</c:v>
                </c:pt>
                <c:pt idx="1893">
                  <c:v>90.21911</c:v>
                </c:pt>
                <c:pt idx="1894">
                  <c:v>90.21743</c:v>
                </c:pt>
                <c:pt idx="1895">
                  <c:v>90.21495</c:v>
                </c:pt>
                <c:pt idx="1896">
                  <c:v>90.21253</c:v>
                </c:pt>
                <c:pt idx="1897">
                  <c:v>90.21086</c:v>
                </c:pt>
                <c:pt idx="1898">
                  <c:v>90.20837999999995</c:v>
                </c:pt>
                <c:pt idx="1899">
                  <c:v>90.20595</c:v>
                </c:pt>
                <c:pt idx="1900">
                  <c:v>90.20347</c:v>
                </c:pt>
                <c:pt idx="1901">
                  <c:v>90.20018</c:v>
                </c:pt>
                <c:pt idx="1902">
                  <c:v>90.19936999999997</c:v>
                </c:pt>
                <c:pt idx="1903">
                  <c:v>90.19688999999998</c:v>
                </c:pt>
                <c:pt idx="1904">
                  <c:v>90.19441</c:v>
                </c:pt>
                <c:pt idx="1905">
                  <c:v>90.19193000000001</c:v>
                </c:pt>
                <c:pt idx="1906">
                  <c:v>90.18944999999998</c:v>
                </c:pt>
                <c:pt idx="1907">
                  <c:v>90.18702</c:v>
                </c:pt>
                <c:pt idx="1908">
                  <c:v>90.18373999999918</c:v>
                </c:pt>
                <c:pt idx="1909">
                  <c:v>90.18286999999998</c:v>
                </c:pt>
                <c:pt idx="1910">
                  <c:v>90.18702</c:v>
                </c:pt>
                <c:pt idx="1911">
                  <c:v>90.18454</c:v>
                </c:pt>
                <c:pt idx="1912">
                  <c:v>90.17876999999918</c:v>
                </c:pt>
                <c:pt idx="1913">
                  <c:v>90.17467999999998</c:v>
                </c:pt>
                <c:pt idx="1914">
                  <c:v>90.17218999999928</c:v>
                </c:pt>
                <c:pt idx="1915">
                  <c:v>90.16970999999998</c:v>
                </c:pt>
                <c:pt idx="1916">
                  <c:v>90.16729</c:v>
                </c:pt>
                <c:pt idx="1917">
                  <c:v>90.16393999999998</c:v>
                </c:pt>
                <c:pt idx="1918">
                  <c:v>90.16152</c:v>
                </c:pt>
                <c:pt idx="1919">
                  <c:v>90.15903999999995</c:v>
                </c:pt>
                <c:pt idx="1920">
                  <c:v>90.15735999999998</c:v>
                </c:pt>
                <c:pt idx="1921">
                  <c:v>90.15493999999998</c:v>
                </c:pt>
                <c:pt idx="1922">
                  <c:v>90.15245999999995</c:v>
                </c:pt>
                <c:pt idx="1923">
                  <c:v>90.14998</c:v>
                </c:pt>
                <c:pt idx="1924">
                  <c:v>90.14835999999998</c:v>
                </c:pt>
                <c:pt idx="1925">
                  <c:v>90.14587999999995</c:v>
                </c:pt>
                <c:pt idx="1926">
                  <c:v>90.1434</c:v>
                </c:pt>
                <c:pt idx="1927">
                  <c:v>90.14092</c:v>
                </c:pt>
                <c:pt idx="1928">
                  <c:v>90.13849999999998</c:v>
                </c:pt>
                <c:pt idx="1929">
                  <c:v>90.13682</c:v>
                </c:pt>
                <c:pt idx="1930">
                  <c:v>90.13433999999998</c:v>
                </c:pt>
                <c:pt idx="1931">
                  <c:v>90.13186</c:v>
                </c:pt>
                <c:pt idx="1932">
                  <c:v>90.13024</c:v>
                </c:pt>
                <c:pt idx="1933">
                  <c:v>90.12775999999998</c:v>
                </c:pt>
                <c:pt idx="1934">
                  <c:v>90.12527999999975</c:v>
                </c:pt>
                <c:pt idx="1935">
                  <c:v>90.12285999999965</c:v>
                </c:pt>
                <c:pt idx="1936">
                  <c:v>90.12037999999878</c:v>
                </c:pt>
                <c:pt idx="1937">
                  <c:v>90.1179</c:v>
                </c:pt>
                <c:pt idx="1938">
                  <c:v>90.11628</c:v>
                </c:pt>
                <c:pt idx="1939">
                  <c:v>90.11298999999998</c:v>
                </c:pt>
                <c:pt idx="1940">
                  <c:v>90.11132</c:v>
                </c:pt>
                <c:pt idx="1941">
                  <c:v>90.10883999999928</c:v>
                </c:pt>
                <c:pt idx="1942">
                  <c:v>90.10722</c:v>
                </c:pt>
                <c:pt idx="1943">
                  <c:v>90.10554999999998</c:v>
                </c:pt>
                <c:pt idx="1944">
                  <c:v>90.10226</c:v>
                </c:pt>
                <c:pt idx="1945">
                  <c:v>90.10064</c:v>
                </c:pt>
                <c:pt idx="1946">
                  <c:v>90.09816</c:v>
                </c:pt>
                <c:pt idx="1947">
                  <c:v>90.09487</c:v>
                </c:pt>
                <c:pt idx="1948">
                  <c:v>90.09238999999998</c:v>
                </c:pt>
                <c:pt idx="1949">
                  <c:v>90.08991</c:v>
                </c:pt>
                <c:pt idx="1950">
                  <c:v>90.08829</c:v>
                </c:pt>
                <c:pt idx="1951">
                  <c:v>90.08580999999998</c:v>
                </c:pt>
                <c:pt idx="1952">
                  <c:v>90.0842</c:v>
                </c:pt>
                <c:pt idx="1953">
                  <c:v>90.08171</c:v>
                </c:pt>
                <c:pt idx="1954">
                  <c:v>90.07842999999998</c:v>
                </c:pt>
                <c:pt idx="1955">
                  <c:v>90.07593999999965</c:v>
                </c:pt>
                <c:pt idx="1956">
                  <c:v>90.07513999999995</c:v>
                </c:pt>
                <c:pt idx="1957">
                  <c:v>90.07185</c:v>
                </c:pt>
                <c:pt idx="1958">
                  <c:v>90.06937</c:v>
                </c:pt>
                <c:pt idx="1959">
                  <c:v>90.06856</c:v>
                </c:pt>
                <c:pt idx="1960">
                  <c:v>90.06031</c:v>
                </c:pt>
                <c:pt idx="1961">
                  <c:v>90.05621</c:v>
                </c:pt>
                <c:pt idx="1962">
                  <c:v>90.05539999999995</c:v>
                </c:pt>
                <c:pt idx="1963">
                  <c:v>90.05454</c:v>
                </c:pt>
                <c:pt idx="1964">
                  <c:v>90.05372999999997</c:v>
                </c:pt>
                <c:pt idx="1965">
                  <c:v>90.05211</c:v>
                </c:pt>
                <c:pt idx="1966">
                  <c:v>90.04963</c:v>
                </c:pt>
                <c:pt idx="1967">
                  <c:v>90.04796</c:v>
                </c:pt>
                <c:pt idx="1968">
                  <c:v>90.04548</c:v>
                </c:pt>
                <c:pt idx="1969">
                  <c:v>90.04305</c:v>
                </c:pt>
                <c:pt idx="1970">
                  <c:v>90.04138</c:v>
                </c:pt>
                <c:pt idx="1971">
                  <c:v>90.0389</c:v>
                </c:pt>
                <c:pt idx="1972">
                  <c:v>90.03728</c:v>
                </c:pt>
                <c:pt idx="1973">
                  <c:v>90.03399</c:v>
                </c:pt>
                <c:pt idx="1974">
                  <c:v>90.03151</c:v>
                </c:pt>
                <c:pt idx="1975">
                  <c:v>90.0299</c:v>
                </c:pt>
                <c:pt idx="1976">
                  <c:v>90.02822</c:v>
                </c:pt>
                <c:pt idx="1977">
                  <c:v>90.02661</c:v>
                </c:pt>
                <c:pt idx="1978">
                  <c:v>90.02661</c:v>
                </c:pt>
                <c:pt idx="1979">
                  <c:v>90.02903</c:v>
                </c:pt>
                <c:pt idx="1980">
                  <c:v>90.02164</c:v>
                </c:pt>
                <c:pt idx="1981">
                  <c:v>90.01755</c:v>
                </c:pt>
                <c:pt idx="1982">
                  <c:v>90.01426</c:v>
                </c:pt>
                <c:pt idx="1983">
                  <c:v>90.01178</c:v>
                </c:pt>
                <c:pt idx="1984">
                  <c:v>90.0101</c:v>
                </c:pt>
                <c:pt idx="1985">
                  <c:v>90.00848999999998</c:v>
                </c:pt>
                <c:pt idx="1986">
                  <c:v>90.00353000000001</c:v>
                </c:pt>
                <c:pt idx="1987">
                  <c:v>90.00191</c:v>
                </c:pt>
                <c:pt idx="1988">
                  <c:v>89.99943</c:v>
                </c:pt>
                <c:pt idx="1989">
                  <c:v>89.99614</c:v>
                </c:pt>
                <c:pt idx="1990">
                  <c:v>89.99366</c:v>
                </c:pt>
                <c:pt idx="1991">
                  <c:v>89.99123</c:v>
                </c:pt>
                <c:pt idx="1992">
                  <c:v>89.98956</c:v>
                </c:pt>
                <c:pt idx="1993">
                  <c:v>89.98789</c:v>
                </c:pt>
                <c:pt idx="1994">
                  <c:v>89.98546</c:v>
                </c:pt>
                <c:pt idx="1995">
                  <c:v>89.98131</c:v>
                </c:pt>
                <c:pt idx="1996">
                  <c:v>89.97969</c:v>
                </c:pt>
                <c:pt idx="1997">
                  <c:v>89.97721</c:v>
                </c:pt>
                <c:pt idx="1998">
                  <c:v>89.97473</c:v>
                </c:pt>
                <c:pt idx="1999">
                  <c:v>89.97230999999998</c:v>
                </c:pt>
                <c:pt idx="2000">
                  <c:v>89.97063</c:v>
                </c:pt>
                <c:pt idx="2001">
                  <c:v>89.96815</c:v>
                </c:pt>
                <c:pt idx="2002">
                  <c:v>89.96486</c:v>
                </c:pt>
                <c:pt idx="2003">
                  <c:v>89.96244</c:v>
                </c:pt>
                <c:pt idx="2004">
                  <c:v>89.95996</c:v>
                </c:pt>
                <c:pt idx="2005">
                  <c:v>89.95748</c:v>
                </c:pt>
                <c:pt idx="2006">
                  <c:v>89.95579999999998</c:v>
                </c:pt>
                <c:pt idx="2007">
                  <c:v>89.95252</c:v>
                </c:pt>
                <c:pt idx="2008">
                  <c:v>89.95171</c:v>
                </c:pt>
                <c:pt idx="2009">
                  <c:v>89.94842</c:v>
                </c:pt>
                <c:pt idx="2010">
                  <c:v>89.9468</c:v>
                </c:pt>
                <c:pt idx="2011">
                  <c:v>89.94432</c:v>
                </c:pt>
                <c:pt idx="2012">
                  <c:v>89.94184</c:v>
                </c:pt>
                <c:pt idx="2013">
                  <c:v>89.93855</c:v>
                </c:pt>
                <c:pt idx="2014">
                  <c:v>89.93607</c:v>
                </c:pt>
                <c:pt idx="2015">
                  <c:v>89.93445</c:v>
                </c:pt>
                <c:pt idx="2016">
                  <c:v>89.93197</c:v>
                </c:pt>
                <c:pt idx="2017">
                  <c:v>89.92949</c:v>
                </c:pt>
                <c:pt idx="2018">
                  <c:v>89.92701</c:v>
                </c:pt>
                <c:pt idx="2019">
                  <c:v>89.9262</c:v>
                </c:pt>
                <c:pt idx="2020">
                  <c:v>89.92291</c:v>
                </c:pt>
                <c:pt idx="2021">
                  <c:v>89.92043</c:v>
                </c:pt>
                <c:pt idx="2022">
                  <c:v>89.91962</c:v>
                </c:pt>
                <c:pt idx="2023">
                  <c:v>89.91056</c:v>
                </c:pt>
                <c:pt idx="2024">
                  <c:v>89.91056</c:v>
                </c:pt>
                <c:pt idx="2025">
                  <c:v>89.91143</c:v>
                </c:pt>
                <c:pt idx="2026">
                  <c:v>89.91385</c:v>
                </c:pt>
                <c:pt idx="2027">
                  <c:v>89.90895</c:v>
                </c:pt>
                <c:pt idx="2028">
                  <c:v>89.90566</c:v>
                </c:pt>
                <c:pt idx="2029">
                  <c:v>89.90237</c:v>
                </c:pt>
                <c:pt idx="2030">
                  <c:v>89.89908</c:v>
                </c:pt>
                <c:pt idx="2031">
                  <c:v>89.89578999999995</c:v>
                </c:pt>
                <c:pt idx="2032">
                  <c:v>89.89331</c:v>
                </c:pt>
                <c:pt idx="2033">
                  <c:v>89.89164</c:v>
                </c:pt>
                <c:pt idx="2034">
                  <c:v>89.89002</c:v>
                </c:pt>
                <c:pt idx="2035">
                  <c:v>89.88834999999958</c:v>
                </c:pt>
                <c:pt idx="2036">
                  <c:v>89.88592</c:v>
                </c:pt>
                <c:pt idx="2037">
                  <c:v>89.88263999999998</c:v>
                </c:pt>
                <c:pt idx="2038">
                  <c:v>89.88015</c:v>
                </c:pt>
                <c:pt idx="2039">
                  <c:v>89.87767</c:v>
                </c:pt>
                <c:pt idx="2040">
                  <c:v>89.87605999999998</c:v>
                </c:pt>
                <c:pt idx="2041">
                  <c:v>89.87357999999985</c:v>
                </c:pt>
                <c:pt idx="2042">
                  <c:v>89.87108999999998</c:v>
                </c:pt>
                <c:pt idx="2043">
                  <c:v>89.86781</c:v>
                </c:pt>
                <c:pt idx="2044">
                  <c:v>89.86531999999998</c:v>
                </c:pt>
                <c:pt idx="2045">
                  <c:v>89.86371</c:v>
                </c:pt>
                <c:pt idx="2046">
                  <c:v>89.86123</c:v>
                </c:pt>
                <c:pt idx="2047">
                  <c:v>89.85794</c:v>
                </c:pt>
                <c:pt idx="2048">
                  <c:v>89.85545999999998</c:v>
                </c:pt>
                <c:pt idx="2049">
                  <c:v>89.85297999999958</c:v>
                </c:pt>
                <c:pt idx="2050">
                  <c:v>89.85136</c:v>
                </c:pt>
                <c:pt idx="2051">
                  <c:v>89.84887999999998</c:v>
                </c:pt>
                <c:pt idx="2052">
                  <c:v>89.84559</c:v>
                </c:pt>
                <c:pt idx="2053">
                  <c:v>89.84397000000001</c:v>
                </c:pt>
                <c:pt idx="2054">
                  <c:v>89.84149</c:v>
                </c:pt>
                <c:pt idx="2055">
                  <c:v>89.83901</c:v>
                </c:pt>
                <c:pt idx="2056">
                  <c:v>89.83571999999998</c:v>
                </c:pt>
                <c:pt idx="2057">
                  <c:v>89.83405</c:v>
                </c:pt>
                <c:pt idx="2058">
                  <c:v>89.82994999999998</c:v>
                </c:pt>
                <c:pt idx="2059">
                  <c:v>89.82833999999878</c:v>
                </c:pt>
                <c:pt idx="2060">
                  <c:v>89.82666</c:v>
                </c:pt>
                <c:pt idx="2061">
                  <c:v>89.82504999999995</c:v>
                </c:pt>
                <c:pt idx="2062">
                  <c:v>89.82256999999998</c:v>
                </c:pt>
                <c:pt idx="2063">
                  <c:v>89.81928</c:v>
                </c:pt>
                <c:pt idx="2064">
                  <c:v>89.81599</c:v>
                </c:pt>
                <c:pt idx="2065">
                  <c:v>89.81351</c:v>
                </c:pt>
                <c:pt idx="2066">
                  <c:v>89.81183</c:v>
                </c:pt>
                <c:pt idx="2067">
                  <c:v>89.80941</c:v>
                </c:pt>
                <c:pt idx="2068">
                  <c:v>89.80773999999998</c:v>
                </c:pt>
                <c:pt idx="2069">
                  <c:v>89.80612</c:v>
                </c:pt>
                <c:pt idx="2070">
                  <c:v>89.80282999999998</c:v>
                </c:pt>
                <c:pt idx="2071">
                  <c:v>89.79954</c:v>
                </c:pt>
                <c:pt idx="2072">
                  <c:v>89.79706</c:v>
                </c:pt>
                <c:pt idx="2073">
                  <c:v>89.79458</c:v>
                </c:pt>
                <c:pt idx="2074">
                  <c:v>89.79296</c:v>
                </c:pt>
                <c:pt idx="2075">
                  <c:v>89.79048</c:v>
                </c:pt>
                <c:pt idx="2076">
                  <c:v>89.788</c:v>
                </c:pt>
                <c:pt idx="2077">
                  <c:v>89.78552</c:v>
                </c:pt>
                <c:pt idx="2078">
                  <c:v>89.78638999999998</c:v>
                </c:pt>
                <c:pt idx="2079">
                  <c:v>89.77317</c:v>
                </c:pt>
                <c:pt idx="2080">
                  <c:v>89.77317</c:v>
                </c:pt>
                <c:pt idx="2081">
                  <c:v>89.77317</c:v>
                </c:pt>
                <c:pt idx="2082">
                  <c:v>89.77317</c:v>
                </c:pt>
                <c:pt idx="2083">
                  <c:v>89.77074999999998</c:v>
                </c:pt>
                <c:pt idx="2084">
                  <c:v>89.77074999999998</c:v>
                </c:pt>
                <c:pt idx="2085">
                  <c:v>89.76827</c:v>
                </c:pt>
                <c:pt idx="2086">
                  <c:v>89.7633</c:v>
                </c:pt>
                <c:pt idx="2087">
                  <c:v>89.76578999999998</c:v>
                </c:pt>
                <c:pt idx="2088">
                  <c:v>89.76088</c:v>
                </c:pt>
                <c:pt idx="2089">
                  <c:v>89.75673</c:v>
                </c:pt>
                <c:pt idx="2090">
                  <c:v>89.75344</c:v>
                </c:pt>
                <c:pt idx="2091">
                  <c:v>89.75182</c:v>
                </c:pt>
                <c:pt idx="2092">
                  <c:v>89.74934</c:v>
                </c:pt>
                <c:pt idx="2093">
                  <c:v>89.74605</c:v>
                </c:pt>
                <c:pt idx="2094">
                  <c:v>89.74438</c:v>
                </c:pt>
                <c:pt idx="2095">
                  <c:v>89.74276</c:v>
                </c:pt>
                <c:pt idx="2096">
                  <c:v>89.74028</c:v>
                </c:pt>
                <c:pt idx="2097">
                  <c:v>89.73699</c:v>
                </c:pt>
                <c:pt idx="2098">
                  <c:v>89.73451</c:v>
                </c:pt>
                <c:pt idx="2099">
                  <c:v>89.73209</c:v>
                </c:pt>
                <c:pt idx="2100">
                  <c:v>89.72879999999998</c:v>
                </c:pt>
                <c:pt idx="2101">
                  <c:v>89.72712</c:v>
                </c:pt>
                <c:pt idx="2102">
                  <c:v>89.72551</c:v>
                </c:pt>
                <c:pt idx="2103">
                  <c:v>89.72216</c:v>
                </c:pt>
                <c:pt idx="2104">
                  <c:v>89.71974</c:v>
                </c:pt>
                <c:pt idx="2105">
                  <c:v>89.71726</c:v>
                </c:pt>
                <c:pt idx="2106">
                  <c:v>89.71558</c:v>
                </c:pt>
                <c:pt idx="2107">
                  <c:v>89.71229</c:v>
                </c:pt>
                <c:pt idx="2108">
                  <c:v>89.70987</c:v>
                </c:pt>
                <c:pt idx="2109">
                  <c:v>89.70739</c:v>
                </c:pt>
                <c:pt idx="2110">
                  <c:v>89.70572</c:v>
                </c:pt>
                <c:pt idx="2111">
                  <c:v>89.70243</c:v>
                </c:pt>
                <c:pt idx="2112">
                  <c:v>89.69914</c:v>
                </c:pt>
                <c:pt idx="2113">
                  <c:v>89.69670999999998</c:v>
                </c:pt>
                <c:pt idx="2114">
                  <c:v>89.69503999999995</c:v>
                </c:pt>
                <c:pt idx="2115">
                  <c:v>89.69256</c:v>
                </c:pt>
                <c:pt idx="2116">
                  <c:v>89.68927</c:v>
                </c:pt>
                <c:pt idx="2117">
                  <c:v>89.68678999999958</c:v>
                </c:pt>
                <c:pt idx="2118">
                  <c:v>89.68516999999998</c:v>
                </c:pt>
                <c:pt idx="2119">
                  <c:v>89.68187999999998</c:v>
                </c:pt>
                <c:pt idx="2120">
                  <c:v>89.68021</c:v>
                </c:pt>
                <c:pt idx="2121">
                  <c:v>89.67858999999908</c:v>
                </c:pt>
                <c:pt idx="2122">
                  <c:v>89.67610999999998</c:v>
                </c:pt>
                <c:pt idx="2123">
                  <c:v>89.67362999999997</c:v>
                </c:pt>
                <c:pt idx="2124">
                  <c:v>89.67033999999855</c:v>
                </c:pt>
                <c:pt idx="2125">
                  <c:v>89.66792</c:v>
                </c:pt>
                <c:pt idx="2126">
                  <c:v>89.66625</c:v>
                </c:pt>
                <c:pt idx="2127">
                  <c:v>89.66375999999998</c:v>
                </c:pt>
                <c:pt idx="2128">
                  <c:v>89.66128</c:v>
                </c:pt>
                <c:pt idx="2129">
                  <c:v>89.65799</c:v>
                </c:pt>
                <c:pt idx="2130">
                  <c:v>89.65556999999998</c:v>
                </c:pt>
                <c:pt idx="2131">
                  <c:v>89.65308999999998</c:v>
                </c:pt>
                <c:pt idx="2132">
                  <c:v>89.65142</c:v>
                </c:pt>
                <c:pt idx="2133">
                  <c:v>89.64899</c:v>
                </c:pt>
                <c:pt idx="2134">
                  <c:v>89.64651</c:v>
                </c:pt>
                <c:pt idx="2135">
                  <c:v>89.64322</c:v>
                </c:pt>
                <c:pt idx="2136">
                  <c:v>89.64073999999998</c:v>
                </c:pt>
                <c:pt idx="2137">
                  <c:v>89.63745</c:v>
                </c:pt>
                <c:pt idx="2138">
                  <c:v>89.63577999999868</c:v>
                </c:pt>
                <c:pt idx="2139">
                  <c:v>89.63416</c:v>
                </c:pt>
                <c:pt idx="2140">
                  <c:v>89.63248999999985</c:v>
                </c:pt>
                <c:pt idx="2141">
                  <c:v>89.62919999999998</c:v>
                </c:pt>
                <c:pt idx="2142">
                  <c:v>89.62590999999995</c:v>
                </c:pt>
                <c:pt idx="2143">
                  <c:v>89.62429</c:v>
                </c:pt>
                <c:pt idx="2144">
                  <c:v>89.62101</c:v>
                </c:pt>
                <c:pt idx="2145">
                  <c:v>89.61852</c:v>
                </c:pt>
                <c:pt idx="2146">
                  <c:v>89.61604</c:v>
                </c:pt>
                <c:pt idx="2147">
                  <c:v>89.61443000000001</c:v>
                </c:pt>
                <c:pt idx="2148">
                  <c:v>89.61195</c:v>
                </c:pt>
                <c:pt idx="2149">
                  <c:v>89.61033</c:v>
                </c:pt>
                <c:pt idx="2150">
                  <c:v>89.60697999999998</c:v>
                </c:pt>
                <c:pt idx="2151">
                  <c:v>89.60456</c:v>
                </c:pt>
                <c:pt idx="2152">
                  <c:v>89.60207999999928</c:v>
                </c:pt>
                <c:pt idx="2153">
                  <c:v>89.5996</c:v>
                </c:pt>
                <c:pt idx="2154">
                  <c:v>89.59798</c:v>
                </c:pt>
                <c:pt idx="2155">
                  <c:v>89.59469</c:v>
                </c:pt>
                <c:pt idx="2156">
                  <c:v>89.59221</c:v>
                </c:pt>
                <c:pt idx="2157">
                  <c:v>89.58972999999997</c:v>
                </c:pt>
                <c:pt idx="2158">
                  <c:v>89.58725</c:v>
                </c:pt>
                <c:pt idx="2159">
                  <c:v>89.58483</c:v>
                </c:pt>
                <c:pt idx="2160">
                  <c:v>89.58315</c:v>
                </c:pt>
                <c:pt idx="2161">
                  <c:v>89.57985999999998</c:v>
                </c:pt>
                <c:pt idx="2162">
                  <c:v>89.57737999999995</c:v>
                </c:pt>
                <c:pt idx="2163">
                  <c:v>89.57576999999995</c:v>
                </c:pt>
                <c:pt idx="2164">
                  <c:v>89.57247999999898</c:v>
                </c:pt>
                <c:pt idx="2165">
                  <c:v>89.57</c:v>
                </c:pt>
                <c:pt idx="2166">
                  <c:v>89.56751</c:v>
                </c:pt>
                <c:pt idx="2167">
                  <c:v>89.56503</c:v>
                </c:pt>
                <c:pt idx="2168">
                  <c:v>89.56261</c:v>
                </c:pt>
                <c:pt idx="2169">
                  <c:v>89.56013</c:v>
                </c:pt>
                <c:pt idx="2170">
                  <c:v>89.55844999999998</c:v>
                </c:pt>
                <c:pt idx="2171">
                  <c:v>89.55516999999997</c:v>
                </c:pt>
                <c:pt idx="2172">
                  <c:v>89.55273999999918</c:v>
                </c:pt>
                <c:pt idx="2173">
                  <c:v>89.55026</c:v>
                </c:pt>
                <c:pt idx="2174">
                  <c:v>89.54778</c:v>
                </c:pt>
                <c:pt idx="2175">
                  <c:v>89.5453</c:v>
                </c:pt>
                <c:pt idx="2176">
                  <c:v>89.54282</c:v>
                </c:pt>
                <c:pt idx="2177">
                  <c:v>89.5412</c:v>
                </c:pt>
                <c:pt idx="2178">
                  <c:v>89.53872</c:v>
                </c:pt>
                <c:pt idx="2179">
                  <c:v>89.53624</c:v>
                </c:pt>
                <c:pt idx="2180">
                  <c:v>89.53295</c:v>
                </c:pt>
                <c:pt idx="2181">
                  <c:v>89.53053000000001</c:v>
                </c:pt>
                <c:pt idx="2182">
                  <c:v>89.52803999999985</c:v>
                </c:pt>
                <c:pt idx="2183">
                  <c:v>89.52636999999998</c:v>
                </c:pt>
                <c:pt idx="2184">
                  <c:v>89.52636999999998</c:v>
                </c:pt>
                <c:pt idx="2185">
                  <c:v>89.5157</c:v>
                </c:pt>
                <c:pt idx="2186">
                  <c:v>89.5116</c:v>
                </c:pt>
                <c:pt idx="2187">
                  <c:v>89.51402</c:v>
                </c:pt>
                <c:pt idx="2188">
                  <c:v>89.52066</c:v>
                </c:pt>
                <c:pt idx="2189">
                  <c:v>89.51489</c:v>
                </c:pt>
                <c:pt idx="2190">
                  <c:v>89.51073</c:v>
                </c:pt>
                <c:pt idx="2191">
                  <c:v>89.50744</c:v>
                </c:pt>
                <c:pt idx="2192">
                  <c:v>89.50502</c:v>
                </c:pt>
                <c:pt idx="2193">
                  <c:v>89.50253999999998</c:v>
                </c:pt>
                <c:pt idx="2194">
                  <c:v>89.50173</c:v>
                </c:pt>
                <c:pt idx="2195">
                  <c:v>89.49186</c:v>
                </c:pt>
                <c:pt idx="2196">
                  <c:v>89.491</c:v>
                </c:pt>
                <c:pt idx="2197">
                  <c:v>89.49019</c:v>
                </c:pt>
                <c:pt idx="2198">
                  <c:v>89.48937999999998</c:v>
                </c:pt>
                <c:pt idx="2199">
                  <c:v>89.49186</c:v>
                </c:pt>
                <c:pt idx="2200">
                  <c:v>89.48937999999998</c:v>
                </c:pt>
                <c:pt idx="2201">
                  <c:v>89.48442</c:v>
                </c:pt>
                <c:pt idx="2202">
                  <c:v>89.48113</c:v>
                </c:pt>
                <c:pt idx="2203">
                  <c:v>89.47784</c:v>
                </c:pt>
                <c:pt idx="2204">
                  <c:v>89.47623</c:v>
                </c:pt>
                <c:pt idx="2205">
                  <c:v>89.47535999999998</c:v>
                </c:pt>
                <c:pt idx="2206">
                  <c:v>89.47046</c:v>
                </c:pt>
                <c:pt idx="2207">
                  <c:v>89.46797</c:v>
                </c:pt>
                <c:pt idx="2208">
                  <c:v>89.46636</c:v>
                </c:pt>
                <c:pt idx="2209">
                  <c:v>89.46307</c:v>
                </c:pt>
                <c:pt idx="2210">
                  <c:v>89.46059</c:v>
                </c:pt>
                <c:pt idx="2211">
                  <c:v>89.45892</c:v>
                </c:pt>
                <c:pt idx="2212">
                  <c:v>89.45643</c:v>
                </c:pt>
                <c:pt idx="2213">
                  <c:v>89.45314</c:v>
                </c:pt>
                <c:pt idx="2214">
                  <c:v>89.45153</c:v>
                </c:pt>
                <c:pt idx="2215">
                  <c:v>89.44986</c:v>
                </c:pt>
                <c:pt idx="2216">
                  <c:v>89.44743</c:v>
                </c:pt>
                <c:pt idx="2217">
                  <c:v>89.44414</c:v>
                </c:pt>
                <c:pt idx="2218">
                  <c:v>89.44166</c:v>
                </c:pt>
                <c:pt idx="2219">
                  <c:v>89.43918</c:v>
                </c:pt>
                <c:pt idx="2220">
                  <c:v>89.4367</c:v>
                </c:pt>
                <c:pt idx="2221">
                  <c:v>89.43428</c:v>
                </c:pt>
                <c:pt idx="2222">
                  <c:v>89.4326</c:v>
                </c:pt>
                <c:pt idx="2223">
                  <c:v>89.43012</c:v>
                </c:pt>
                <c:pt idx="2224">
                  <c:v>89.42764</c:v>
                </c:pt>
                <c:pt idx="2225">
                  <c:v>89.42602</c:v>
                </c:pt>
                <c:pt idx="2226">
                  <c:v>89.42272999999997</c:v>
                </c:pt>
                <c:pt idx="2227">
                  <c:v>89.42025</c:v>
                </c:pt>
                <c:pt idx="2228">
                  <c:v>89.41777</c:v>
                </c:pt>
                <c:pt idx="2229">
                  <c:v>89.41616</c:v>
                </c:pt>
                <c:pt idx="2230">
                  <c:v>89.41448</c:v>
                </c:pt>
                <c:pt idx="2231">
                  <c:v>89.41287000000001</c:v>
                </c:pt>
                <c:pt idx="2232">
                  <c:v>89.40958</c:v>
                </c:pt>
                <c:pt idx="2233">
                  <c:v>89.40629</c:v>
                </c:pt>
                <c:pt idx="2234">
                  <c:v>89.40381</c:v>
                </c:pt>
                <c:pt idx="2235">
                  <c:v>89.40219</c:v>
                </c:pt>
                <c:pt idx="2236">
                  <c:v>89.39971</c:v>
                </c:pt>
                <c:pt idx="2237">
                  <c:v>89.39803999999998</c:v>
                </c:pt>
                <c:pt idx="2238">
                  <c:v>89.39556</c:v>
                </c:pt>
                <c:pt idx="2239">
                  <c:v>89.39313000000001</c:v>
                </c:pt>
                <c:pt idx="2240">
                  <c:v>89.39146</c:v>
                </c:pt>
                <c:pt idx="2241">
                  <c:v>89.38897999999975</c:v>
                </c:pt>
                <c:pt idx="2242">
                  <c:v>89.38655</c:v>
                </c:pt>
                <c:pt idx="2243">
                  <c:v>89.38407</c:v>
                </c:pt>
                <c:pt idx="2244">
                  <c:v>89.38239999999985</c:v>
                </c:pt>
                <c:pt idx="2245">
                  <c:v>89.37997999999975</c:v>
                </c:pt>
                <c:pt idx="2246">
                  <c:v>89.37748999999998</c:v>
                </c:pt>
                <c:pt idx="2247">
                  <c:v>89.37581999999995</c:v>
                </c:pt>
                <c:pt idx="2248">
                  <c:v>89.37252999999998</c:v>
                </c:pt>
                <c:pt idx="2249">
                  <c:v>89.37004999999998</c:v>
                </c:pt>
                <c:pt idx="2250">
                  <c:v>89.36763</c:v>
                </c:pt>
                <c:pt idx="2251">
                  <c:v>89.36595</c:v>
                </c:pt>
                <c:pt idx="2252">
                  <c:v>89.36347</c:v>
                </c:pt>
                <c:pt idx="2253">
                  <c:v>89.36018</c:v>
                </c:pt>
                <c:pt idx="2254">
                  <c:v>89.35776</c:v>
                </c:pt>
                <c:pt idx="2255">
                  <c:v>89.35527999999998</c:v>
                </c:pt>
                <c:pt idx="2256">
                  <c:v>89.35361</c:v>
                </c:pt>
                <c:pt idx="2257">
                  <c:v>89.35361</c:v>
                </c:pt>
                <c:pt idx="2258">
                  <c:v>89.34373999999998</c:v>
                </c:pt>
                <c:pt idx="2259">
                  <c:v>89.33964</c:v>
                </c:pt>
                <c:pt idx="2260">
                  <c:v>89.33964</c:v>
                </c:pt>
                <c:pt idx="2261">
                  <c:v>89.33964</c:v>
                </c:pt>
                <c:pt idx="2262">
                  <c:v>89.33964</c:v>
                </c:pt>
                <c:pt idx="2263">
                  <c:v>89.33882999999997</c:v>
                </c:pt>
                <c:pt idx="2264">
                  <c:v>89.34293</c:v>
                </c:pt>
                <c:pt idx="2265">
                  <c:v>89.33716</c:v>
                </c:pt>
                <c:pt idx="2266">
                  <c:v>89.33225</c:v>
                </c:pt>
                <c:pt idx="2267">
                  <c:v>89.33058</c:v>
                </c:pt>
                <c:pt idx="2268">
                  <c:v>89.32647999999975</c:v>
                </c:pt>
                <c:pt idx="2269">
                  <c:v>89.3232</c:v>
                </c:pt>
                <c:pt idx="2270">
                  <c:v>89.32070999999995</c:v>
                </c:pt>
                <c:pt idx="2271">
                  <c:v>89.3191</c:v>
                </c:pt>
                <c:pt idx="2272">
                  <c:v>89.31662</c:v>
                </c:pt>
                <c:pt idx="2273">
                  <c:v>89.31414</c:v>
                </c:pt>
                <c:pt idx="2274">
                  <c:v>89.31246</c:v>
                </c:pt>
                <c:pt idx="2275">
                  <c:v>89.31085</c:v>
                </c:pt>
                <c:pt idx="2276">
                  <c:v>89.30836999999998</c:v>
                </c:pt>
                <c:pt idx="2277">
                  <c:v>89.30674999999998</c:v>
                </c:pt>
                <c:pt idx="2278">
                  <c:v>89.30427</c:v>
                </c:pt>
                <c:pt idx="2279">
                  <c:v>89.30178999999998</c:v>
                </c:pt>
                <c:pt idx="2280">
                  <c:v>89.2985</c:v>
                </c:pt>
                <c:pt idx="2281">
                  <c:v>89.29521</c:v>
                </c:pt>
                <c:pt idx="2282">
                  <c:v>89.29359</c:v>
                </c:pt>
                <c:pt idx="2283">
                  <c:v>89.29273</c:v>
                </c:pt>
                <c:pt idx="2284">
                  <c:v>89.28944</c:v>
                </c:pt>
                <c:pt idx="2285">
                  <c:v>89.28782</c:v>
                </c:pt>
                <c:pt idx="2286">
                  <c:v>89.28615</c:v>
                </c:pt>
                <c:pt idx="2287">
                  <c:v>89.28453</c:v>
                </c:pt>
                <c:pt idx="2288">
                  <c:v>89.28124</c:v>
                </c:pt>
                <c:pt idx="2289">
                  <c:v>89.27957</c:v>
                </c:pt>
                <c:pt idx="2290">
                  <c:v>89.27709</c:v>
                </c:pt>
                <c:pt idx="2291">
                  <c:v>89.27467</c:v>
                </c:pt>
                <c:pt idx="2292">
                  <c:v>89.27217999999995</c:v>
                </c:pt>
                <c:pt idx="2293">
                  <c:v>89.2689</c:v>
                </c:pt>
                <c:pt idx="2294">
                  <c:v>89.26722</c:v>
                </c:pt>
                <c:pt idx="2295">
                  <c:v>89.26641</c:v>
                </c:pt>
                <c:pt idx="2296">
                  <c:v>89.26393</c:v>
                </c:pt>
                <c:pt idx="2297">
                  <c:v>89.26151</c:v>
                </c:pt>
                <c:pt idx="2298">
                  <c:v>89.25983999999998</c:v>
                </c:pt>
                <c:pt idx="2299">
                  <c:v>89.25735</c:v>
                </c:pt>
                <c:pt idx="2300">
                  <c:v>89.25487</c:v>
                </c:pt>
                <c:pt idx="2301">
                  <c:v>89.25326</c:v>
                </c:pt>
                <c:pt idx="2302">
                  <c:v>89.25077999999998</c:v>
                </c:pt>
                <c:pt idx="2303">
                  <c:v>89.2483</c:v>
                </c:pt>
                <c:pt idx="2304">
                  <c:v>89.24668</c:v>
                </c:pt>
                <c:pt idx="2305">
                  <c:v>89.2442</c:v>
                </c:pt>
                <c:pt idx="2306">
                  <c:v>89.24172</c:v>
                </c:pt>
                <c:pt idx="2307">
                  <c:v>89.2401</c:v>
                </c:pt>
                <c:pt idx="2308">
                  <c:v>89.23762</c:v>
                </c:pt>
                <c:pt idx="2309">
                  <c:v>89.236</c:v>
                </c:pt>
                <c:pt idx="2310">
                  <c:v>89.23272</c:v>
                </c:pt>
                <c:pt idx="2311">
                  <c:v>89.23104</c:v>
                </c:pt>
                <c:pt idx="2312">
                  <c:v>89.22856</c:v>
                </c:pt>
                <c:pt idx="2313">
                  <c:v>89.22614</c:v>
                </c:pt>
                <c:pt idx="2314">
                  <c:v>89.22366</c:v>
                </c:pt>
                <c:pt idx="2315">
                  <c:v>89.22198</c:v>
                </c:pt>
                <c:pt idx="2316">
                  <c:v>89.22036999999997</c:v>
                </c:pt>
                <c:pt idx="2317">
                  <c:v>89.21789</c:v>
                </c:pt>
                <c:pt idx="2318">
                  <c:v>89.2154</c:v>
                </c:pt>
                <c:pt idx="2319">
                  <c:v>89.21379</c:v>
                </c:pt>
                <c:pt idx="2320">
                  <c:v>89.21131</c:v>
                </c:pt>
                <c:pt idx="2321">
                  <c:v>89.20883</c:v>
                </c:pt>
                <c:pt idx="2322">
                  <c:v>89.20633999999998</c:v>
                </c:pt>
                <c:pt idx="2323">
                  <c:v>89.20473000000001</c:v>
                </c:pt>
                <c:pt idx="2324">
                  <c:v>89.20306</c:v>
                </c:pt>
                <c:pt idx="2325">
                  <c:v>89.20144</c:v>
                </c:pt>
                <c:pt idx="2326">
                  <c:v>89.20063</c:v>
                </c:pt>
                <c:pt idx="2327">
                  <c:v>89.19647999999998</c:v>
                </c:pt>
                <c:pt idx="2328">
                  <c:v>89.194</c:v>
                </c:pt>
                <c:pt idx="2329">
                  <c:v>89.19237999999918</c:v>
                </c:pt>
                <c:pt idx="2330">
                  <c:v>89.19070999999998</c:v>
                </c:pt>
                <c:pt idx="2331">
                  <c:v>89.18908999999998</c:v>
                </c:pt>
                <c:pt idx="2332">
                  <c:v>89.18579999999928</c:v>
                </c:pt>
                <c:pt idx="2333">
                  <c:v>89.18331999999998</c:v>
                </c:pt>
                <c:pt idx="2334">
                  <c:v>89.18250999999998</c:v>
                </c:pt>
                <c:pt idx="2335">
                  <c:v>89.18002999999997</c:v>
                </c:pt>
                <c:pt idx="2336">
                  <c:v>89.17754999999998</c:v>
                </c:pt>
                <c:pt idx="2337">
                  <c:v>89.17512999999998</c:v>
                </c:pt>
                <c:pt idx="2338">
                  <c:v>89.17183999999965</c:v>
                </c:pt>
                <c:pt idx="2339">
                  <c:v>89.17096999999998</c:v>
                </c:pt>
                <c:pt idx="2340">
                  <c:v>89.16768</c:v>
                </c:pt>
                <c:pt idx="2341">
                  <c:v>89.16686999999997</c:v>
                </c:pt>
                <c:pt idx="2342">
                  <c:v>89.1603</c:v>
                </c:pt>
                <c:pt idx="2343">
                  <c:v>89.15862</c:v>
                </c:pt>
                <c:pt idx="2344">
                  <c:v>89.15701</c:v>
                </c:pt>
                <c:pt idx="2345">
                  <c:v>89.15532999999998</c:v>
                </c:pt>
                <c:pt idx="2346">
                  <c:v>89.15290999999995</c:v>
                </c:pt>
                <c:pt idx="2347">
                  <c:v>89.15862</c:v>
                </c:pt>
                <c:pt idx="2348">
                  <c:v>89.1562</c:v>
                </c:pt>
                <c:pt idx="2349">
                  <c:v>89.15203999999908</c:v>
                </c:pt>
                <c:pt idx="2350">
                  <c:v>89.14875999999998</c:v>
                </c:pt>
                <c:pt idx="2351">
                  <c:v>89.14633</c:v>
                </c:pt>
                <c:pt idx="2352">
                  <c:v>89.14304</c:v>
                </c:pt>
                <c:pt idx="2353">
                  <c:v>89.14137</c:v>
                </c:pt>
                <c:pt idx="2354">
                  <c:v>89.13974999999998</c:v>
                </c:pt>
                <c:pt idx="2355">
                  <c:v>89.13727</c:v>
                </c:pt>
                <c:pt idx="2356">
                  <c:v>89.13478999999998</c:v>
                </c:pt>
                <c:pt idx="2357">
                  <c:v>89.13312</c:v>
                </c:pt>
                <c:pt idx="2358">
                  <c:v>89.13069</c:v>
                </c:pt>
                <c:pt idx="2359">
                  <c:v>89.12741</c:v>
                </c:pt>
                <c:pt idx="2360">
                  <c:v>89.12572999999985</c:v>
                </c:pt>
                <c:pt idx="2361">
                  <c:v>89.12412</c:v>
                </c:pt>
                <c:pt idx="2362">
                  <c:v>89.12243999999878</c:v>
                </c:pt>
                <c:pt idx="2363">
                  <c:v>89.11996</c:v>
                </c:pt>
                <c:pt idx="2364">
                  <c:v>89.11834999999998</c:v>
                </c:pt>
                <c:pt idx="2365">
                  <c:v>89.11667000000001</c:v>
                </c:pt>
                <c:pt idx="2366">
                  <c:v>89.11506</c:v>
                </c:pt>
                <c:pt idx="2367">
                  <c:v>89.11257999999998</c:v>
                </c:pt>
                <c:pt idx="2368">
                  <c:v>89.10929</c:v>
                </c:pt>
                <c:pt idx="2369">
                  <c:v>89.10679999999998</c:v>
                </c:pt>
                <c:pt idx="2370">
                  <c:v>89.10518999999998</c:v>
                </c:pt>
                <c:pt idx="2371">
                  <c:v>89.10270999999958</c:v>
                </c:pt>
                <c:pt idx="2372">
                  <c:v>89.09942</c:v>
                </c:pt>
                <c:pt idx="2373">
                  <c:v>89.09861</c:v>
                </c:pt>
                <c:pt idx="2374">
                  <c:v>89.09532</c:v>
                </c:pt>
                <c:pt idx="2375">
                  <c:v>89.09365</c:v>
                </c:pt>
                <c:pt idx="2376">
                  <c:v>89.09117</c:v>
                </c:pt>
                <c:pt idx="2377">
                  <c:v>89.08873999999948</c:v>
                </c:pt>
                <c:pt idx="2378">
                  <c:v>89.08707</c:v>
                </c:pt>
                <c:pt idx="2379">
                  <c:v>89.08459</c:v>
                </c:pt>
                <c:pt idx="2380">
                  <c:v>89.08296999999997</c:v>
                </c:pt>
                <c:pt idx="2381">
                  <c:v>89.08049</c:v>
                </c:pt>
                <c:pt idx="2382">
                  <c:v>89.07800999999998</c:v>
                </c:pt>
                <c:pt idx="2383">
                  <c:v>89.07472</c:v>
                </c:pt>
                <c:pt idx="2384">
                  <c:v>89.07311</c:v>
                </c:pt>
                <c:pt idx="2385">
                  <c:v>89.07143</c:v>
                </c:pt>
                <c:pt idx="2386">
                  <c:v>89.06895</c:v>
                </c:pt>
                <c:pt idx="2387">
                  <c:v>89.06653</c:v>
                </c:pt>
                <c:pt idx="2388">
                  <c:v>89.06324</c:v>
                </c:pt>
                <c:pt idx="2389">
                  <c:v>89.06157</c:v>
                </c:pt>
                <c:pt idx="2390">
                  <c:v>89.05907999999998</c:v>
                </c:pt>
                <c:pt idx="2391">
                  <c:v>89.05747</c:v>
                </c:pt>
                <c:pt idx="2392">
                  <c:v>89.05578999999948</c:v>
                </c:pt>
                <c:pt idx="2393">
                  <c:v>89.05336999999998</c:v>
                </c:pt>
                <c:pt idx="2394">
                  <c:v>89.05088999999998</c:v>
                </c:pt>
                <c:pt idx="2395">
                  <c:v>89.04841</c:v>
                </c:pt>
                <c:pt idx="2396">
                  <c:v>89.04674</c:v>
                </c:pt>
                <c:pt idx="2397">
                  <c:v>89.04431</c:v>
                </c:pt>
                <c:pt idx="2398">
                  <c:v>89.04183</c:v>
                </c:pt>
                <c:pt idx="2399">
                  <c:v>89.03935</c:v>
                </c:pt>
                <c:pt idx="2400">
                  <c:v>89.03606</c:v>
                </c:pt>
                <c:pt idx="2401">
                  <c:v>89.03444</c:v>
                </c:pt>
                <c:pt idx="2402">
                  <c:v>89.03196</c:v>
                </c:pt>
                <c:pt idx="2403">
                  <c:v>89.02867</c:v>
                </c:pt>
                <c:pt idx="2404">
                  <c:v>89.02537999999888</c:v>
                </c:pt>
                <c:pt idx="2405">
                  <c:v>89.02370999999998</c:v>
                </c:pt>
                <c:pt idx="2406">
                  <c:v>89.02209999999998</c:v>
                </c:pt>
                <c:pt idx="2407">
                  <c:v>89.01881</c:v>
                </c:pt>
                <c:pt idx="2408">
                  <c:v>89.01633</c:v>
                </c:pt>
                <c:pt idx="2409">
                  <c:v>89.01384</c:v>
                </c:pt>
                <c:pt idx="2410">
                  <c:v>89.01223</c:v>
                </c:pt>
                <c:pt idx="2411">
                  <c:v>89.00893999999998</c:v>
                </c:pt>
                <c:pt idx="2412">
                  <c:v>89.00646</c:v>
                </c:pt>
                <c:pt idx="2413">
                  <c:v>89.00398</c:v>
                </c:pt>
                <c:pt idx="2414">
                  <c:v>89.0015</c:v>
                </c:pt>
                <c:pt idx="2415">
                  <c:v>88.99907</c:v>
                </c:pt>
                <c:pt idx="2416">
                  <c:v>88.99659</c:v>
                </c:pt>
                <c:pt idx="2417">
                  <c:v>88.99492</c:v>
                </c:pt>
                <c:pt idx="2418">
                  <c:v>88.9933</c:v>
                </c:pt>
                <c:pt idx="2419">
                  <c:v>88.99082</c:v>
                </c:pt>
                <c:pt idx="2420">
                  <c:v>88.98833999999998</c:v>
                </c:pt>
                <c:pt idx="2421">
                  <c:v>88.98505</c:v>
                </c:pt>
                <c:pt idx="2422">
                  <c:v>88.98343000000001</c:v>
                </c:pt>
                <c:pt idx="2423">
                  <c:v>88.98095</c:v>
                </c:pt>
                <c:pt idx="2424">
                  <c:v>88.97766</c:v>
                </c:pt>
                <c:pt idx="2425">
                  <c:v>88.97598999999998</c:v>
                </c:pt>
                <c:pt idx="2426">
                  <c:v>88.97437</c:v>
                </c:pt>
                <c:pt idx="2427">
                  <c:v>88.97269999999997</c:v>
                </c:pt>
                <c:pt idx="2428">
                  <c:v>88.97028</c:v>
                </c:pt>
                <c:pt idx="2429">
                  <c:v>88.96699</c:v>
                </c:pt>
                <c:pt idx="2430">
                  <c:v>88.96451</c:v>
                </c:pt>
                <c:pt idx="2431">
                  <c:v>88.96203000000001</c:v>
                </c:pt>
                <c:pt idx="2432">
                  <c:v>88.96035</c:v>
                </c:pt>
                <c:pt idx="2433">
                  <c:v>88.95793</c:v>
                </c:pt>
                <c:pt idx="2434">
                  <c:v>88.95464</c:v>
                </c:pt>
                <c:pt idx="2435">
                  <c:v>88.95297</c:v>
                </c:pt>
                <c:pt idx="2436">
                  <c:v>88.95048</c:v>
                </c:pt>
                <c:pt idx="2437">
                  <c:v>88.94887000000001</c:v>
                </c:pt>
                <c:pt idx="2438">
                  <c:v>88.94639</c:v>
                </c:pt>
                <c:pt idx="2439">
                  <c:v>88.94477</c:v>
                </c:pt>
                <c:pt idx="2440">
                  <c:v>88.94148</c:v>
                </c:pt>
                <c:pt idx="2441">
                  <c:v>88.939</c:v>
                </c:pt>
                <c:pt idx="2442">
                  <c:v>88.93652</c:v>
                </c:pt>
                <c:pt idx="2443">
                  <c:v>88.93404</c:v>
                </c:pt>
                <c:pt idx="2444">
                  <c:v>88.93242</c:v>
                </c:pt>
                <c:pt idx="2445">
                  <c:v>88.93075</c:v>
                </c:pt>
                <c:pt idx="2446">
                  <c:v>88.92827000000001</c:v>
                </c:pt>
                <c:pt idx="2447">
                  <c:v>88.92665</c:v>
                </c:pt>
                <c:pt idx="2448">
                  <c:v>88.92417</c:v>
                </c:pt>
                <c:pt idx="2449">
                  <c:v>88.92256</c:v>
                </c:pt>
                <c:pt idx="2450">
                  <c:v>88.91927</c:v>
                </c:pt>
                <c:pt idx="2451">
                  <c:v>88.91759</c:v>
                </c:pt>
                <c:pt idx="2452">
                  <c:v>88.91598</c:v>
                </c:pt>
                <c:pt idx="2453">
                  <c:v>88.9143</c:v>
                </c:pt>
                <c:pt idx="2454">
                  <c:v>88.91102</c:v>
                </c:pt>
                <c:pt idx="2455">
                  <c:v>88.90853000000001</c:v>
                </c:pt>
                <c:pt idx="2456">
                  <c:v>88.90611</c:v>
                </c:pt>
                <c:pt idx="2457">
                  <c:v>88.90444</c:v>
                </c:pt>
                <c:pt idx="2458">
                  <c:v>88.90196</c:v>
                </c:pt>
                <c:pt idx="2459">
                  <c:v>88.89947</c:v>
                </c:pt>
                <c:pt idx="2460">
                  <c:v>88.89786</c:v>
                </c:pt>
                <c:pt idx="2461">
                  <c:v>88.89619</c:v>
                </c:pt>
                <c:pt idx="2462">
                  <c:v>88.89457</c:v>
                </c:pt>
                <c:pt idx="2463">
                  <c:v>88.89289999999998</c:v>
                </c:pt>
                <c:pt idx="2464">
                  <c:v>88.89047</c:v>
                </c:pt>
                <c:pt idx="2465">
                  <c:v>88.88879999999975</c:v>
                </c:pt>
                <c:pt idx="2466">
                  <c:v>88.88550999999998</c:v>
                </c:pt>
                <c:pt idx="2467">
                  <c:v>88.88388999999998</c:v>
                </c:pt>
                <c:pt idx="2468">
                  <c:v>88.88141</c:v>
                </c:pt>
                <c:pt idx="2469">
                  <c:v>88.87973999999878</c:v>
                </c:pt>
                <c:pt idx="2470">
                  <c:v>88.87644999999995</c:v>
                </c:pt>
                <c:pt idx="2471">
                  <c:v>88.87482999999997</c:v>
                </c:pt>
                <c:pt idx="2472">
                  <c:v>88.87234999999878</c:v>
                </c:pt>
                <c:pt idx="2473">
                  <c:v>88.86987</c:v>
                </c:pt>
                <c:pt idx="2474">
                  <c:v>88.86906</c:v>
                </c:pt>
                <c:pt idx="2475">
                  <c:v>88.86826</c:v>
                </c:pt>
                <c:pt idx="2476">
                  <c:v>88.86658</c:v>
                </c:pt>
                <c:pt idx="2477">
                  <c:v>88.86329</c:v>
                </c:pt>
                <c:pt idx="2478">
                  <c:v>88.86081</c:v>
                </c:pt>
                <c:pt idx="2479">
                  <c:v>88.86</c:v>
                </c:pt>
                <c:pt idx="2480">
                  <c:v>88.85838999999918</c:v>
                </c:pt>
                <c:pt idx="2481">
                  <c:v>88.85590999999998</c:v>
                </c:pt>
                <c:pt idx="2482">
                  <c:v>88.85342999999997</c:v>
                </c:pt>
                <c:pt idx="2483" formatCode="0.00E+00">
                  <c:v>88.85013999999998</c:v>
                </c:pt>
                <c:pt idx="2484">
                  <c:v>88.84852</c:v>
                </c:pt>
                <c:pt idx="2485">
                  <c:v>88.84685</c:v>
                </c:pt>
                <c:pt idx="2486">
                  <c:v>88.84523</c:v>
                </c:pt>
                <c:pt idx="2487">
                  <c:v>88.84356</c:v>
                </c:pt>
                <c:pt idx="2488">
                  <c:v>88.84189</c:v>
                </c:pt>
                <c:pt idx="2489">
                  <c:v>88.84027</c:v>
                </c:pt>
                <c:pt idx="2490">
                  <c:v>88.83697999999998</c:v>
                </c:pt>
                <c:pt idx="2491">
                  <c:v>88.83617</c:v>
                </c:pt>
                <c:pt idx="2492">
                  <c:v>88.8345</c:v>
                </c:pt>
                <c:pt idx="2493">
                  <c:v>88.83287999999965</c:v>
                </c:pt>
                <c:pt idx="2494">
                  <c:v>88.83039999999998</c:v>
                </c:pt>
                <c:pt idx="2495">
                  <c:v>88.82792</c:v>
                </c:pt>
                <c:pt idx="2496">
                  <c:v>88.82543999999928</c:v>
                </c:pt>
                <c:pt idx="2497">
                  <c:v>88.82463000000001</c:v>
                </c:pt>
                <c:pt idx="2498">
                  <c:v>88.82302</c:v>
                </c:pt>
                <c:pt idx="2499">
                  <c:v>88.82053999999998</c:v>
                </c:pt>
                <c:pt idx="2500">
                  <c:v>88.81886</c:v>
                </c:pt>
                <c:pt idx="2501">
                  <c:v>88.81805</c:v>
                </c:pt>
                <c:pt idx="2502">
                  <c:v>88.81725</c:v>
                </c:pt>
                <c:pt idx="2503">
                  <c:v>88.81476</c:v>
                </c:pt>
                <c:pt idx="2504">
                  <c:v>88.81309</c:v>
                </c:pt>
                <c:pt idx="2505">
                  <c:v>88.81067</c:v>
                </c:pt>
                <c:pt idx="2506" formatCode="0.00E+00">
                  <c:v>88.80818999999998</c:v>
                </c:pt>
                <c:pt idx="2507">
                  <c:v>88.80651</c:v>
                </c:pt>
                <c:pt idx="2508">
                  <c:v>88.8049</c:v>
                </c:pt>
                <c:pt idx="2509">
                  <c:v>88.80322</c:v>
                </c:pt>
                <c:pt idx="2510">
                  <c:v>88.80161</c:v>
                </c:pt>
                <c:pt idx="2511">
                  <c:v>88.80161</c:v>
                </c:pt>
                <c:pt idx="2512" formatCode="0.00E+00">
                  <c:v>88.79993</c:v>
                </c:pt>
                <c:pt idx="2513">
                  <c:v>88.79832</c:v>
                </c:pt>
                <c:pt idx="2514">
                  <c:v>88.79503</c:v>
                </c:pt>
                <c:pt idx="2515">
                  <c:v>88.79336</c:v>
                </c:pt>
                <c:pt idx="2516">
                  <c:v>88.79255</c:v>
                </c:pt>
                <c:pt idx="2517">
                  <c:v>88.79007</c:v>
                </c:pt>
                <c:pt idx="2518">
                  <c:v>88.78844999999998</c:v>
                </c:pt>
                <c:pt idx="2519">
                  <c:v>88.78677999999998</c:v>
                </c:pt>
                <c:pt idx="2520">
                  <c:v>88.78516</c:v>
                </c:pt>
                <c:pt idx="2521">
                  <c:v>88.78268</c:v>
                </c:pt>
                <c:pt idx="2522">
                  <c:v>88.78101</c:v>
                </c:pt>
                <c:pt idx="2523">
                  <c:v>88.7802</c:v>
                </c:pt>
                <c:pt idx="2524">
                  <c:v>88.77857999999995</c:v>
                </c:pt>
                <c:pt idx="2525">
                  <c:v>88.77691</c:v>
                </c:pt>
                <c:pt idx="2526">
                  <c:v>88.77362</c:v>
                </c:pt>
                <c:pt idx="2527">
                  <c:v>88.77280999999998</c:v>
                </c:pt>
                <c:pt idx="2528">
                  <c:v>88.77200999999998</c:v>
                </c:pt>
                <c:pt idx="2529">
                  <c:v>88.76952</c:v>
                </c:pt>
                <c:pt idx="2530">
                  <c:v>88.76785</c:v>
                </c:pt>
                <c:pt idx="2531">
                  <c:v>88.76704</c:v>
                </c:pt>
                <c:pt idx="2532">
                  <c:v>88.76624</c:v>
                </c:pt>
                <c:pt idx="2533">
                  <c:v>88.76456</c:v>
                </c:pt>
                <c:pt idx="2534">
                  <c:v>88.76214</c:v>
                </c:pt>
                <c:pt idx="2535">
                  <c:v>88.76047000000001</c:v>
                </c:pt>
                <c:pt idx="2536">
                  <c:v>88.75884999999998</c:v>
                </c:pt>
                <c:pt idx="2537">
                  <c:v>88.75718</c:v>
                </c:pt>
                <c:pt idx="2538">
                  <c:v>88.7555</c:v>
                </c:pt>
                <c:pt idx="2539">
                  <c:v>88.75389</c:v>
                </c:pt>
                <c:pt idx="2540">
                  <c:v>88.75221</c:v>
                </c:pt>
                <c:pt idx="2541">
                  <c:v>88.75141</c:v>
                </c:pt>
                <c:pt idx="2542">
                  <c:v>88.74979</c:v>
                </c:pt>
                <c:pt idx="2543">
                  <c:v>88.7465</c:v>
                </c:pt>
                <c:pt idx="2544">
                  <c:v>88.74483</c:v>
                </c:pt>
                <c:pt idx="2545">
                  <c:v>88.74321</c:v>
                </c:pt>
                <c:pt idx="2546">
                  <c:v>88.74402</c:v>
                </c:pt>
                <c:pt idx="2547">
                  <c:v>88.73415</c:v>
                </c:pt>
                <c:pt idx="2548">
                  <c:v>88.73415</c:v>
                </c:pt>
                <c:pt idx="2549">
                  <c:v>88.73415</c:v>
                </c:pt>
                <c:pt idx="2550">
                  <c:v>88.73415</c:v>
                </c:pt>
                <c:pt idx="2551">
                  <c:v>88.73334</c:v>
                </c:pt>
                <c:pt idx="2552">
                  <c:v>88.73167</c:v>
                </c:pt>
                <c:pt idx="2553">
                  <c:v>88.73167</c:v>
                </c:pt>
                <c:pt idx="2554">
                  <c:v>88.73086</c:v>
                </c:pt>
                <c:pt idx="2555">
                  <c:v>88.73415</c:v>
                </c:pt>
                <c:pt idx="2556">
                  <c:v>88.73167</c:v>
                </c:pt>
                <c:pt idx="2557">
                  <c:v>88.72757</c:v>
                </c:pt>
                <c:pt idx="2558">
                  <c:v>88.72508999999998</c:v>
                </c:pt>
                <c:pt idx="2559">
                  <c:v>88.7218</c:v>
                </c:pt>
                <c:pt idx="2560">
                  <c:v>88.72013</c:v>
                </c:pt>
                <c:pt idx="2561">
                  <c:v>88.71932</c:v>
                </c:pt>
                <c:pt idx="2562">
                  <c:v>88.71771</c:v>
                </c:pt>
                <c:pt idx="2563">
                  <c:v>88.71603</c:v>
                </c:pt>
                <c:pt idx="2564" formatCode="0.00E+00">
                  <c:v>88.71442</c:v>
                </c:pt>
                <c:pt idx="2565">
                  <c:v>88.71355</c:v>
                </c:pt>
                <c:pt idx="2566">
                  <c:v>88.71273999999998</c:v>
                </c:pt>
                <c:pt idx="2567">
                  <c:v>88.71026</c:v>
                </c:pt>
                <c:pt idx="2568">
                  <c:v>88.70865</c:v>
                </c:pt>
                <c:pt idx="2569">
                  <c:v>88.70617</c:v>
                </c:pt>
                <c:pt idx="2570">
                  <c:v>88.70536</c:v>
                </c:pt>
                <c:pt idx="2571">
                  <c:v>88.70368</c:v>
                </c:pt>
                <c:pt idx="2572">
                  <c:v>88.70126</c:v>
                </c:pt>
                <c:pt idx="2573">
                  <c:v>88.7004</c:v>
                </c:pt>
                <c:pt idx="2574">
                  <c:v>88.69877999999898</c:v>
                </c:pt>
                <c:pt idx="2575">
                  <c:v>88.69711</c:v>
                </c:pt>
                <c:pt idx="2576">
                  <c:v>88.69548999999998</c:v>
                </c:pt>
                <c:pt idx="2577">
                  <c:v>88.69463</c:v>
                </c:pt>
                <c:pt idx="2578">
                  <c:v>88.69463</c:v>
                </c:pt>
                <c:pt idx="2579">
                  <c:v>88.6922</c:v>
                </c:pt>
                <c:pt idx="2580">
                  <c:v>88.69053</c:v>
                </c:pt>
                <c:pt idx="2581">
                  <c:v>88.68804999999985</c:v>
                </c:pt>
                <c:pt idx="2582">
                  <c:v>88.68642999999997</c:v>
                </c:pt>
                <c:pt idx="2583">
                  <c:v>88.68562</c:v>
                </c:pt>
                <c:pt idx="2584">
                  <c:v>88.68475999999998</c:v>
                </c:pt>
                <c:pt idx="2585">
                  <c:v>88.68313999999998</c:v>
                </c:pt>
                <c:pt idx="2586">
                  <c:v>88.68147</c:v>
                </c:pt>
                <c:pt idx="2587">
                  <c:v>88.68147</c:v>
                </c:pt>
                <c:pt idx="2588">
                  <c:v>88.67984999999948</c:v>
                </c:pt>
                <c:pt idx="2589">
                  <c:v>88.67736999999998</c:v>
                </c:pt>
                <c:pt idx="2590">
                  <c:v>88.67575999999868</c:v>
                </c:pt>
                <c:pt idx="2591">
                  <c:v>88.67326999999997</c:v>
                </c:pt>
                <c:pt idx="2592">
                  <c:v>88.6716</c:v>
                </c:pt>
                <c:pt idx="2593">
                  <c:v>88.67078999999858</c:v>
                </c:pt>
                <c:pt idx="2594">
                  <c:v>88.66999</c:v>
                </c:pt>
                <c:pt idx="2595">
                  <c:v>88.6675</c:v>
                </c:pt>
                <c:pt idx="2596">
                  <c:v>88.6667</c:v>
                </c:pt>
                <c:pt idx="2597">
                  <c:v>88.66582999999998</c:v>
                </c:pt>
                <c:pt idx="2598">
                  <c:v>88.66422</c:v>
                </c:pt>
                <c:pt idx="2599">
                  <c:v>88.66253999999998</c:v>
                </c:pt>
                <c:pt idx="2600">
                  <c:v>88.66093</c:v>
                </c:pt>
                <c:pt idx="2601">
                  <c:v>88.66012</c:v>
                </c:pt>
                <c:pt idx="2602">
                  <c:v>88.65925</c:v>
                </c:pt>
                <c:pt idx="2603">
                  <c:v>88.65764</c:v>
                </c:pt>
                <c:pt idx="2604">
                  <c:v>88.65595999999998</c:v>
                </c:pt>
                <c:pt idx="2605">
                  <c:v>88.65434999999998</c:v>
                </c:pt>
                <c:pt idx="2606">
                  <c:v>88.65266999999998</c:v>
                </c:pt>
                <c:pt idx="2607">
                  <c:v>88.65186999999997</c:v>
                </c:pt>
                <c:pt idx="2608">
                  <c:v>88.65025</c:v>
                </c:pt>
                <c:pt idx="2609">
                  <c:v>88.64857999999998</c:v>
                </c:pt>
                <c:pt idx="2610">
                  <c:v>88.64696</c:v>
                </c:pt>
                <c:pt idx="2611">
                  <c:v>88.64529</c:v>
                </c:pt>
                <c:pt idx="2612">
                  <c:v>88.64367</c:v>
                </c:pt>
                <c:pt idx="2613">
                  <c:v>88.64280999999998</c:v>
                </c:pt>
                <c:pt idx="2614">
                  <c:v>88.64037999999998</c:v>
                </c:pt>
                <c:pt idx="2615">
                  <c:v>88.63870999999965</c:v>
                </c:pt>
                <c:pt idx="2616">
                  <c:v>88.63704</c:v>
                </c:pt>
                <c:pt idx="2617">
                  <c:v>88.63623000000001</c:v>
                </c:pt>
                <c:pt idx="2618">
                  <c:v>88.63541999999998</c:v>
                </c:pt>
                <c:pt idx="2619">
                  <c:v>88.63461</c:v>
                </c:pt>
                <c:pt idx="2620">
                  <c:v>88.63374999999998</c:v>
                </c:pt>
                <c:pt idx="2621">
                  <c:v>88.63212999999997</c:v>
                </c:pt>
                <c:pt idx="2622">
                  <c:v>88.63046</c:v>
                </c:pt>
                <c:pt idx="2623">
                  <c:v>88.62883999999868</c:v>
                </c:pt>
                <c:pt idx="2624">
                  <c:v>88.62717</c:v>
                </c:pt>
                <c:pt idx="2625">
                  <c:v>88.62635999999995</c:v>
                </c:pt>
                <c:pt idx="2626">
                  <c:v>88.62387999999908</c:v>
                </c:pt>
                <c:pt idx="2627">
                  <c:v>88.62306999999998</c:v>
                </c:pt>
                <c:pt idx="2628">
                  <c:v>88.62146</c:v>
                </c:pt>
                <c:pt idx="2629">
                  <c:v>88.61977999999995</c:v>
                </c:pt>
                <c:pt idx="2630">
                  <c:v>88.61817</c:v>
                </c:pt>
                <c:pt idx="2631">
                  <c:v>88.61817</c:v>
                </c:pt>
                <c:pt idx="2632">
                  <c:v>88.61569</c:v>
                </c:pt>
                <c:pt idx="2633">
                  <c:v>88.61488</c:v>
                </c:pt>
                <c:pt idx="2634">
                  <c:v>88.6132</c:v>
                </c:pt>
                <c:pt idx="2635">
                  <c:v>88.61159</c:v>
                </c:pt>
                <c:pt idx="2636">
                  <c:v>88.61072</c:v>
                </c:pt>
                <c:pt idx="2637">
                  <c:v>88.60911</c:v>
                </c:pt>
                <c:pt idx="2638">
                  <c:v>88.60743</c:v>
                </c:pt>
                <c:pt idx="2639">
                  <c:v>88.60581999999998</c:v>
                </c:pt>
                <c:pt idx="2640">
                  <c:v>88.60333999999965</c:v>
                </c:pt>
                <c:pt idx="2641">
                  <c:v>88.60333999999965</c:v>
                </c:pt>
                <c:pt idx="2642">
                  <c:v>88.60085999999998</c:v>
                </c:pt>
                <c:pt idx="2643">
                  <c:v>88.60004999999998</c:v>
                </c:pt>
                <c:pt idx="2644">
                  <c:v>88.59836999999997</c:v>
                </c:pt>
                <c:pt idx="2645">
                  <c:v>88.59757</c:v>
                </c:pt>
                <c:pt idx="2646">
                  <c:v>88.59509</c:v>
                </c:pt>
                <c:pt idx="2647">
                  <c:v>88.59428</c:v>
                </c:pt>
                <c:pt idx="2648">
                  <c:v>88.59347</c:v>
                </c:pt>
                <c:pt idx="2649">
                  <c:v>88.5918</c:v>
                </c:pt>
                <c:pt idx="2650">
                  <c:v>88.58936999999997</c:v>
                </c:pt>
                <c:pt idx="2651">
                  <c:v>88.58770000000001</c:v>
                </c:pt>
                <c:pt idx="2652">
                  <c:v>88.58522</c:v>
                </c:pt>
                <c:pt idx="2653">
                  <c:v>88.57783</c:v>
                </c:pt>
                <c:pt idx="2654">
                  <c:v>88.58112</c:v>
                </c:pt>
                <c:pt idx="2655">
                  <c:v>88.58688999999998</c:v>
                </c:pt>
                <c:pt idx="2656" formatCode="0.00E+00">
                  <c:v>88.58607999999998</c:v>
                </c:pt>
                <c:pt idx="2657">
                  <c:v>88.58278999999965</c:v>
                </c:pt>
                <c:pt idx="2658">
                  <c:v>88.58030999999998</c:v>
                </c:pt>
                <c:pt idx="2659">
                  <c:v>88.57863999999998</c:v>
                </c:pt>
                <c:pt idx="2660">
                  <c:v>88.57616</c:v>
                </c:pt>
                <c:pt idx="2661">
                  <c:v>88.57373999999938</c:v>
                </c:pt>
                <c:pt idx="2662">
                  <c:v>88.57205999999998</c:v>
                </c:pt>
                <c:pt idx="2663">
                  <c:v>88.57205999999998</c:v>
                </c:pt>
                <c:pt idx="2664">
                  <c:v>88.57125</c:v>
                </c:pt>
                <c:pt idx="2665">
                  <c:v>88.56958</c:v>
                </c:pt>
                <c:pt idx="2666">
                  <c:v>88.56716</c:v>
                </c:pt>
                <c:pt idx="2667">
                  <c:v>88.56629</c:v>
                </c:pt>
                <c:pt idx="2668">
                  <c:v>88.56387</c:v>
                </c:pt>
                <c:pt idx="2669">
                  <c:v>88.56219</c:v>
                </c:pt>
                <c:pt idx="2670">
                  <c:v>88.56139</c:v>
                </c:pt>
                <c:pt idx="2671">
                  <c:v>88.55970999999998</c:v>
                </c:pt>
                <c:pt idx="2672">
                  <c:v>88.55890999999998</c:v>
                </c:pt>
                <c:pt idx="2673">
                  <c:v>88.55642</c:v>
                </c:pt>
                <c:pt idx="2674">
                  <c:v>88.55481</c:v>
                </c:pt>
                <c:pt idx="2675">
                  <c:v>88.554</c:v>
                </c:pt>
                <c:pt idx="2676">
                  <c:v>88.55232999999998</c:v>
                </c:pt>
                <c:pt idx="2677">
                  <c:v>88.55070999999998</c:v>
                </c:pt>
                <c:pt idx="2678">
                  <c:v>88.54985</c:v>
                </c:pt>
                <c:pt idx="2679">
                  <c:v>88.54823</c:v>
                </c:pt>
                <c:pt idx="2680">
                  <c:v>88.54575</c:v>
                </c:pt>
                <c:pt idx="2681">
                  <c:v>88.54408</c:v>
                </c:pt>
                <c:pt idx="2682">
                  <c:v>88.54408</c:v>
                </c:pt>
                <c:pt idx="2683">
                  <c:v>88.54327</c:v>
                </c:pt>
                <c:pt idx="2684">
                  <c:v>88.54165</c:v>
                </c:pt>
                <c:pt idx="2685">
                  <c:v>88.53998</c:v>
                </c:pt>
                <c:pt idx="2686">
                  <c:v>88.53835999999998</c:v>
                </c:pt>
                <c:pt idx="2687">
                  <c:v>88.5375</c:v>
                </c:pt>
                <c:pt idx="2688">
                  <c:v>88.53587999999995</c:v>
                </c:pt>
                <c:pt idx="2689">
                  <c:v>88.5334</c:v>
                </c:pt>
                <c:pt idx="2690">
                  <c:v>88.53178</c:v>
                </c:pt>
                <c:pt idx="2691">
                  <c:v>88.53011</c:v>
                </c:pt>
                <c:pt idx="2692">
                  <c:v>88.52849999999998</c:v>
                </c:pt>
                <c:pt idx="2693">
                  <c:v>88.52763</c:v>
                </c:pt>
                <c:pt idx="2694">
                  <c:v>88.52682</c:v>
                </c:pt>
                <c:pt idx="2695">
                  <c:v>88.52521</c:v>
                </c:pt>
                <c:pt idx="2696">
                  <c:v>88.52271999999998</c:v>
                </c:pt>
                <c:pt idx="2697">
                  <c:v>88.52192</c:v>
                </c:pt>
                <c:pt idx="2698">
                  <c:v>88.52024</c:v>
                </c:pt>
                <c:pt idx="2699">
                  <c:v>88.51857</c:v>
                </c:pt>
                <c:pt idx="2700">
                  <c:v>88.51615</c:v>
                </c:pt>
                <c:pt idx="2701">
                  <c:v>88.51528</c:v>
                </c:pt>
                <c:pt idx="2702">
                  <c:v>88.51286</c:v>
                </c:pt>
                <c:pt idx="2703">
                  <c:v>88.51199</c:v>
                </c:pt>
                <c:pt idx="2704">
                  <c:v>88.51118</c:v>
                </c:pt>
                <c:pt idx="2705">
                  <c:v>88.51038</c:v>
                </c:pt>
                <c:pt idx="2706">
                  <c:v>88.5087</c:v>
                </c:pt>
                <c:pt idx="2707">
                  <c:v>88.50709</c:v>
                </c:pt>
                <c:pt idx="2708">
                  <c:v>88.50628</c:v>
                </c:pt>
                <c:pt idx="2709">
                  <c:v>88.50461</c:v>
                </c:pt>
                <c:pt idx="2710">
                  <c:v>88.50298999999998</c:v>
                </c:pt>
                <c:pt idx="2711">
                  <c:v>88.50212</c:v>
                </c:pt>
                <c:pt idx="2712">
                  <c:v>88.50051</c:v>
                </c:pt>
                <c:pt idx="2713">
                  <c:v>88.49884</c:v>
                </c:pt>
                <c:pt idx="2714">
                  <c:v>88.49803</c:v>
                </c:pt>
                <c:pt idx="2715">
                  <c:v>88.49722</c:v>
                </c:pt>
                <c:pt idx="2716">
                  <c:v>88.49393</c:v>
                </c:pt>
                <c:pt idx="2717">
                  <c:v>88.49312</c:v>
                </c:pt>
                <c:pt idx="2718">
                  <c:v>88.49226</c:v>
                </c:pt>
                <c:pt idx="2719">
                  <c:v>88.49064</c:v>
                </c:pt>
                <c:pt idx="2720">
                  <c:v>88.48897</c:v>
                </c:pt>
                <c:pt idx="2721">
                  <c:v>88.48897</c:v>
                </c:pt>
                <c:pt idx="2722">
                  <c:v>88.47829</c:v>
                </c:pt>
                <c:pt idx="2723">
                  <c:v>88.4791</c:v>
                </c:pt>
                <c:pt idx="2724">
                  <c:v>88.48077</c:v>
                </c:pt>
                <c:pt idx="2725">
                  <c:v>88.48568</c:v>
                </c:pt>
                <c:pt idx="2726">
                  <c:v>88.48735</c:v>
                </c:pt>
                <c:pt idx="2727">
                  <c:v>88.48238999999998</c:v>
                </c:pt>
                <c:pt idx="2728">
                  <c:v>88.47991</c:v>
                </c:pt>
                <c:pt idx="2729">
                  <c:v>88.47748</c:v>
                </c:pt>
                <c:pt idx="2730">
                  <c:v>88.47580999999998</c:v>
                </c:pt>
                <c:pt idx="2731">
                  <c:v>88.47333</c:v>
                </c:pt>
                <c:pt idx="2732">
                  <c:v>88.47252</c:v>
                </c:pt>
                <c:pt idx="2733">
                  <c:v>88.47091</c:v>
                </c:pt>
                <c:pt idx="2734">
                  <c:v>88.46923</c:v>
                </c:pt>
                <c:pt idx="2735">
                  <c:v>88.46762</c:v>
                </c:pt>
                <c:pt idx="2736">
                  <c:v>88.46594</c:v>
                </c:pt>
                <c:pt idx="2737">
                  <c:v>88.46514</c:v>
                </c:pt>
                <c:pt idx="2738">
                  <c:v>88.46346</c:v>
                </c:pt>
                <c:pt idx="2739">
                  <c:v>88.46185</c:v>
                </c:pt>
                <c:pt idx="2740">
                  <c:v>88.46017</c:v>
                </c:pt>
                <c:pt idx="2741">
                  <c:v>88.45856</c:v>
                </c:pt>
                <c:pt idx="2742">
                  <c:v>88.45769</c:v>
                </c:pt>
                <c:pt idx="2743">
                  <c:v>88.45688</c:v>
                </c:pt>
                <c:pt idx="2744">
                  <c:v>88.45527000000001</c:v>
                </c:pt>
                <c:pt idx="2745">
                  <c:v>88.4536</c:v>
                </c:pt>
                <c:pt idx="2746">
                  <c:v>88.45111</c:v>
                </c:pt>
                <c:pt idx="2747">
                  <c:v>88.4495</c:v>
                </c:pt>
                <c:pt idx="2748">
                  <c:v>88.44782</c:v>
                </c:pt>
                <c:pt idx="2749">
                  <c:v>88.44782</c:v>
                </c:pt>
                <c:pt idx="2750">
                  <c:v>88.44782</c:v>
                </c:pt>
                <c:pt idx="2751">
                  <c:v>88.44621</c:v>
                </c:pt>
                <c:pt idx="2752">
                  <c:v>88.44373</c:v>
                </c:pt>
                <c:pt idx="2753">
                  <c:v>88.44211</c:v>
                </c:pt>
                <c:pt idx="2754">
                  <c:v>88.44125</c:v>
                </c:pt>
                <c:pt idx="2755">
                  <c:v>88.43963</c:v>
                </c:pt>
                <c:pt idx="2756">
                  <c:v>88.43796</c:v>
                </c:pt>
                <c:pt idx="2757">
                  <c:v>88.43634</c:v>
                </c:pt>
                <c:pt idx="2758">
                  <c:v>88.43553</c:v>
                </c:pt>
                <c:pt idx="2759">
                  <c:v>88.43386</c:v>
                </c:pt>
                <c:pt idx="2760">
                  <c:v>88.43219</c:v>
                </c:pt>
                <c:pt idx="2761">
                  <c:v>88.43057</c:v>
                </c:pt>
                <c:pt idx="2762">
                  <c:v>88.4289</c:v>
                </c:pt>
                <c:pt idx="2763">
                  <c:v>88.42728</c:v>
                </c:pt>
                <c:pt idx="2764">
                  <c:v>88.42561</c:v>
                </c:pt>
                <c:pt idx="2765">
                  <c:v>88.42399</c:v>
                </c:pt>
                <c:pt idx="2766">
                  <c:v>88.42232</c:v>
                </c:pt>
                <c:pt idx="2767">
                  <c:v>88.4207</c:v>
                </c:pt>
                <c:pt idx="2768">
                  <c:v>88.4199</c:v>
                </c:pt>
                <c:pt idx="2769">
                  <c:v>88.41903</c:v>
                </c:pt>
                <c:pt idx="2770">
                  <c:v>88.41822</c:v>
                </c:pt>
                <c:pt idx="2771">
                  <c:v>88.41574</c:v>
                </c:pt>
                <c:pt idx="2772">
                  <c:v>88.41413</c:v>
                </c:pt>
                <c:pt idx="2773">
                  <c:v>88.41245</c:v>
                </c:pt>
                <c:pt idx="2774">
                  <c:v>88.41084</c:v>
                </c:pt>
                <c:pt idx="2775">
                  <c:v>88.41084</c:v>
                </c:pt>
                <c:pt idx="2776">
                  <c:v>88.40916</c:v>
                </c:pt>
                <c:pt idx="2777">
                  <c:v>88.40674</c:v>
                </c:pt>
                <c:pt idx="2778">
                  <c:v>88.40507</c:v>
                </c:pt>
                <c:pt idx="2779">
                  <c:v>88.40345</c:v>
                </c:pt>
                <c:pt idx="2780">
                  <c:v>88.40178</c:v>
                </c:pt>
                <c:pt idx="2781">
                  <c:v>88.40178</c:v>
                </c:pt>
                <c:pt idx="2782">
                  <c:v>88.3993</c:v>
                </c:pt>
                <c:pt idx="2783">
                  <c:v>88.39768</c:v>
                </c:pt>
                <c:pt idx="2784">
                  <c:v>88.39681</c:v>
                </c:pt>
                <c:pt idx="2785">
                  <c:v>88.39601</c:v>
                </c:pt>
                <c:pt idx="2786">
                  <c:v>88.39353000000001</c:v>
                </c:pt>
                <c:pt idx="2787">
                  <c:v>88.39191</c:v>
                </c:pt>
                <c:pt idx="2788">
                  <c:v>88.3911</c:v>
                </c:pt>
                <c:pt idx="2789">
                  <c:v>88.38532999999998</c:v>
                </c:pt>
                <c:pt idx="2790">
                  <c:v>88.38036999999998</c:v>
                </c:pt>
                <c:pt idx="2791">
                  <c:v>88.38123</c:v>
                </c:pt>
                <c:pt idx="2792">
                  <c:v>88.38203999999975</c:v>
                </c:pt>
                <c:pt idx="2793">
                  <c:v>88.38284999999995</c:v>
                </c:pt>
                <c:pt idx="2794">
                  <c:v>88.38366</c:v>
                </c:pt>
                <c:pt idx="2795">
                  <c:v>88.38781</c:v>
                </c:pt>
                <c:pt idx="2796">
                  <c:v>88.38366</c:v>
                </c:pt>
                <c:pt idx="2797">
                  <c:v>88.37874999999858</c:v>
                </c:pt>
                <c:pt idx="2798">
                  <c:v>88.37627</c:v>
                </c:pt>
                <c:pt idx="2799">
                  <c:v>88.37466</c:v>
                </c:pt>
                <c:pt idx="2800">
                  <c:v>88.37297999999888</c:v>
                </c:pt>
                <c:pt idx="2801">
                  <c:v>88.37130999999998</c:v>
                </c:pt>
                <c:pt idx="2802">
                  <c:v>88.36969</c:v>
                </c:pt>
                <c:pt idx="2803">
                  <c:v>88.36802</c:v>
                </c:pt>
                <c:pt idx="2804">
                  <c:v>88.36721</c:v>
                </c:pt>
                <c:pt idx="2805">
                  <c:v>88.3656</c:v>
                </c:pt>
                <c:pt idx="2806">
                  <c:v>88.36473</c:v>
                </c:pt>
                <c:pt idx="2807">
                  <c:v>88.36312</c:v>
                </c:pt>
                <c:pt idx="2808">
                  <c:v>88.36144</c:v>
                </c:pt>
                <c:pt idx="2809">
                  <c:v>88.35982999999997</c:v>
                </c:pt>
                <c:pt idx="2810">
                  <c:v>88.35733999999998</c:v>
                </c:pt>
                <c:pt idx="2811">
                  <c:v>88.35653999999998</c:v>
                </c:pt>
                <c:pt idx="2812">
                  <c:v>88.35486</c:v>
                </c:pt>
                <c:pt idx="2813">
                  <c:v>88.35406</c:v>
                </c:pt>
                <c:pt idx="2814">
                  <c:v>88.35243999999948</c:v>
                </c:pt>
                <c:pt idx="2815">
                  <c:v>88.35076999999998</c:v>
                </c:pt>
                <c:pt idx="2816">
                  <c:v>88.34829</c:v>
                </c:pt>
                <c:pt idx="2817">
                  <c:v>88.34667</c:v>
                </c:pt>
                <c:pt idx="2818">
                  <c:v>88.34586</c:v>
                </c:pt>
                <c:pt idx="2819">
                  <c:v>88.34500000000001</c:v>
                </c:pt>
                <c:pt idx="2820">
                  <c:v>88.34337999999998</c:v>
                </c:pt>
                <c:pt idx="2821">
                  <c:v>88.34252</c:v>
                </c:pt>
                <c:pt idx="2822">
                  <c:v>88.3409</c:v>
                </c:pt>
                <c:pt idx="2823">
                  <c:v>88.34009</c:v>
                </c:pt>
                <c:pt idx="2824">
                  <c:v>88.33923</c:v>
                </c:pt>
                <c:pt idx="2825">
                  <c:v>88.33761</c:v>
                </c:pt>
                <c:pt idx="2826">
                  <c:v>88.33679999999998</c:v>
                </c:pt>
                <c:pt idx="2827">
                  <c:v>88.33513</c:v>
                </c:pt>
                <c:pt idx="2828">
                  <c:v>88.33184</c:v>
                </c:pt>
                <c:pt idx="2829">
                  <c:v>88.33103000000001</c:v>
                </c:pt>
                <c:pt idx="2830">
                  <c:v>88.32935999999998</c:v>
                </c:pt>
                <c:pt idx="2831">
                  <c:v>88.32854999999998</c:v>
                </c:pt>
                <c:pt idx="2832">
                  <c:v>88.32693</c:v>
                </c:pt>
                <c:pt idx="2833">
                  <c:v>88.32606999999997</c:v>
                </c:pt>
                <c:pt idx="2834">
                  <c:v>88.32365</c:v>
                </c:pt>
                <c:pt idx="2835">
                  <c:v>88.32277999999835</c:v>
                </c:pt>
                <c:pt idx="2836">
                  <c:v>88.32035999999998</c:v>
                </c:pt>
                <c:pt idx="2837">
                  <c:v>88.31949</c:v>
                </c:pt>
                <c:pt idx="2838">
                  <c:v>88.31707</c:v>
                </c:pt>
                <c:pt idx="2839">
                  <c:v>88.31538999999998</c:v>
                </c:pt>
                <c:pt idx="2840">
                  <c:v>88.31459</c:v>
                </c:pt>
                <c:pt idx="2841">
                  <c:v>88.31291</c:v>
                </c:pt>
                <c:pt idx="2842">
                  <c:v>88.31043</c:v>
                </c:pt>
                <c:pt idx="2843">
                  <c:v>88.30881999999998</c:v>
                </c:pt>
                <c:pt idx="2844">
                  <c:v>88.30714</c:v>
                </c:pt>
                <c:pt idx="2845">
                  <c:v>88.30632999999997</c:v>
                </c:pt>
                <c:pt idx="2846">
                  <c:v>88.30553</c:v>
                </c:pt>
                <c:pt idx="2847">
                  <c:v>88.30472</c:v>
                </c:pt>
                <c:pt idx="2848">
                  <c:v>88.30224</c:v>
                </c:pt>
                <c:pt idx="2849">
                  <c:v>88.30056</c:v>
                </c:pt>
                <c:pt idx="2850">
                  <c:v>88.29814</c:v>
                </c:pt>
                <c:pt idx="2851">
                  <c:v>88.29728</c:v>
                </c:pt>
                <c:pt idx="2852">
                  <c:v>88.29566</c:v>
                </c:pt>
                <c:pt idx="2853">
                  <c:v>88.29399</c:v>
                </c:pt>
                <c:pt idx="2854">
                  <c:v>88.29318</c:v>
                </c:pt>
                <c:pt idx="2855">
                  <c:v>88.28989</c:v>
                </c:pt>
                <c:pt idx="2856">
                  <c:v>88.28908</c:v>
                </c:pt>
                <c:pt idx="2857">
                  <c:v>88.28827</c:v>
                </c:pt>
                <c:pt idx="2858">
                  <c:v>88.2866</c:v>
                </c:pt>
                <c:pt idx="2859">
                  <c:v>88.28412</c:v>
                </c:pt>
                <c:pt idx="2860">
                  <c:v>88.28331</c:v>
                </c:pt>
                <c:pt idx="2861">
                  <c:v>88.2825</c:v>
                </c:pt>
                <c:pt idx="2862">
                  <c:v>88.28083</c:v>
                </c:pt>
                <c:pt idx="2863">
                  <c:v>88.27921</c:v>
                </c:pt>
                <c:pt idx="2864">
                  <c:v>88.27834999999965</c:v>
                </c:pt>
                <c:pt idx="2865">
                  <c:v>88.27672999999998</c:v>
                </c:pt>
                <c:pt idx="2866">
                  <c:v>88.27505999999998</c:v>
                </c:pt>
                <c:pt idx="2867">
                  <c:v>88.27343999999998</c:v>
                </c:pt>
                <c:pt idx="2868">
                  <c:v>88.27176999999997</c:v>
                </c:pt>
                <c:pt idx="2869">
                  <c:v>88.27015</c:v>
                </c:pt>
                <c:pt idx="2870">
                  <c:v>88.26847999999998</c:v>
                </c:pt>
                <c:pt idx="2871">
                  <c:v>88.26767</c:v>
                </c:pt>
                <c:pt idx="2872">
                  <c:v>88.25947999999998</c:v>
                </c:pt>
                <c:pt idx="2873">
                  <c:v>88.25947999999998</c:v>
                </c:pt>
                <c:pt idx="2874">
                  <c:v>88.26029</c:v>
                </c:pt>
                <c:pt idx="2875">
                  <c:v>88.26029</c:v>
                </c:pt>
                <c:pt idx="2876">
                  <c:v>88.25781</c:v>
                </c:pt>
                <c:pt idx="2877">
                  <c:v>88.25613000000001</c:v>
                </c:pt>
                <c:pt idx="2878">
                  <c:v>88.25613000000001</c:v>
                </c:pt>
                <c:pt idx="2879">
                  <c:v>88.26029</c:v>
                </c:pt>
                <c:pt idx="2880">
                  <c:v>88.25947999999998</c:v>
                </c:pt>
                <c:pt idx="2881">
                  <c:v>88.25532</c:v>
                </c:pt>
                <c:pt idx="2882">
                  <c:v>88.25203999999998</c:v>
                </c:pt>
                <c:pt idx="2883">
                  <c:v>88.25042</c:v>
                </c:pt>
                <c:pt idx="2884">
                  <c:v>88.24794</c:v>
                </c:pt>
                <c:pt idx="2885">
                  <c:v>88.24626</c:v>
                </c:pt>
                <c:pt idx="2886">
                  <c:v>88.24384</c:v>
                </c:pt>
                <c:pt idx="2887">
                  <c:v>88.24136</c:v>
                </c:pt>
                <c:pt idx="2888">
                  <c:v>88.24055</c:v>
                </c:pt>
                <c:pt idx="2889">
                  <c:v>88.23969</c:v>
                </c:pt>
                <c:pt idx="2890">
                  <c:v>88.23807</c:v>
                </c:pt>
                <c:pt idx="2891">
                  <c:v>88.23726</c:v>
                </c:pt>
                <c:pt idx="2892">
                  <c:v>88.23559</c:v>
                </c:pt>
                <c:pt idx="2893">
                  <c:v>88.23478</c:v>
                </c:pt>
                <c:pt idx="2894">
                  <c:v>88.2323</c:v>
                </c:pt>
                <c:pt idx="2895">
                  <c:v>88.23149</c:v>
                </c:pt>
                <c:pt idx="2896">
                  <c:v>88.22982</c:v>
                </c:pt>
                <c:pt idx="2897">
                  <c:v>88.2274</c:v>
                </c:pt>
                <c:pt idx="2898">
                  <c:v>88.22571999999998</c:v>
                </c:pt>
                <c:pt idx="2899">
                  <c:v>88.22491</c:v>
                </c:pt>
                <c:pt idx="2900">
                  <c:v>88.22324</c:v>
                </c:pt>
                <c:pt idx="2901">
                  <c:v>88.22076</c:v>
                </c:pt>
                <c:pt idx="2902">
                  <c:v>88.21995</c:v>
                </c:pt>
                <c:pt idx="2903">
                  <c:v>88.21834</c:v>
                </c:pt>
                <c:pt idx="2904">
                  <c:v>88.21585</c:v>
                </c:pt>
                <c:pt idx="2905">
                  <c:v>88.21418</c:v>
                </c:pt>
                <c:pt idx="2906">
                  <c:v>88.21257000000001</c:v>
                </c:pt>
                <c:pt idx="2907">
                  <c:v>88.21176</c:v>
                </c:pt>
                <c:pt idx="2908">
                  <c:v>88.21008</c:v>
                </c:pt>
                <c:pt idx="2909">
                  <c:v>88.20928</c:v>
                </c:pt>
                <c:pt idx="2910">
                  <c:v>88.20847</c:v>
                </c:pt>
                <c:pt idx="2911">
                  <c:v>88.2068</c:v>
                </c:pt>
                <c:pt idx="2912">
                  <c:v>88.20518</c:v>
                </c:pt>
                <c:pt idx="2913">
                  <c:v>88.20351</c:v>
                </c:pt>
                <c:pt idx="2914">
                  <c:v>88.20189</c:v>
                </c:pt>
                <c:pt idx="2915">
                  <c:v>88.20022</c:v>
                </c:pt>
                <c:pt idx="2916">
                  <c:v>88.1986</c:v>
                </c:pt>
                <c:pt idx="2917">
                  <c:v>88.19612</c:v>
                </c:pt>
                <c:pt idx="2918">
                  <c:v>88.19364</c:v>
                </c:pt>
                <c:pt idx="2919">
                  <c:v>88.19282999999998</c:v>
                </c:pt>
                <c:pt idx="2920">
                  <c:v>88.19197000000001</c:v>
                </c:pt>
                <c:pt idx="2921">
                  <c:v>88.18953999999998</c:v>
                </c:pt>
                <c:pt idx="2922">
                  <c:v>88.18867999999995</c:v>
                </c:pt>
                <c:pt idx="2923">
                  <c:v>88.18625</c:v>
                </c:pt>
                <c:pt idx="2924">
                  <c:v>88.18457999999998</c:v>
                </c:pt>
                <c:pt idx="2925">
                  <c:v>88.18295999999998</c:v>
                </c:pt>
                <c:pt idx="2926">
                  <c:v>88.18209999999995</c:v>
                </c:pt>
                <c:pt idx="2927">
                  <c:v>88.18047999999965</c:v>
                </c:pt>
                <c:pt idx="2928">
                  <c:v>88.17880999999888</c:v>
                </c:pt>
                <c:pt idx="2929">
                  <c:v>88.17718999999998</c:v>
                </c:pt>
                <c:pt idx="2930">
                  <c:v>88.17551999999995</c:v>
                </c:pt>
                <c:pt idx="2931">
                  <c:v>88.17389999999965</c:v>
                </c:pt>
                <c:pt idx="2932">
                  <c:v>88.17309999999995</c:v>
                </c:pt>
                <c:pt idx="2933">
                  <c:v>88.17142</c:v>
                </c:pt>
                <c:pt idx="2934">
                  <c:v>88.16893999999998</c:v>
                </c:pt>
                <c:pt idx="2935">
                  <c:v>88.16733</c:v>
                </c:pt>
                <c:pt idx="2936">
                  <c:v>88.16646</c:v>
                </c:pt>
                <c:pt idx="2937">
                  <c:v>88.16404</c:v>
                </c:pt>
                <c:pt idx="2938">
                  <c:v>88.16235999999998</c:v>
                </c:pt>
                <c:pt idx="2939">
                  <c:v>88.16156</c:v>
                </c:pt>
                <c:pt idx="2940">
                  <c:v>88.15987999999938</c:v>
                </c:pt>
                <c:pt idx="2941">
                  <c:v>88.15906999999998</c:v>
                </c:pt>
                <c:pt idx="2942">
                  <c:v>88.15658999999998</c:v>
                </c:pt>
                <c:pt idx="2943">
                  <c:v>88.15497999999998</c:v>
                </c:pt>
                <c:pt idx="2944">
                  <c:v>88.15329999999997</c:v>
                </c:pt>
                <c:pt idx="2945">
                  <c:v>88.15249999999975</c:v>
                </c:pt>
                <c:pt idx="2946">
                  <c:v>88.15087999999928</c:v>
                </c:pt>
                <c:pt idx="2947">
                  <c:v>88.14921</c:v>
                </c:pt>
                <c:pt idx="2948">
                  <c:v>88.14673</c:v>
                </c:pt>
                <c:pt idx="2949">
                  <c:v>88.14511</c:v>
                </c:pt>
                <c:pt idx="2950">
                  <c:v>88.14344</c:v>
                </c:pt>
                <c:pt idx="2951">
                  <c:v>88.14182</c:v>
                </c:pt>
                <c:pt idx="2952">
                  <c:v>88.14015</c:v>
                </c:pt>
                <c:pt idx="2953">
                  <c:v>88.13933999999985</c:v>
                </c:pt>
                <c:pt idx="2954">
                  <c:v>88.13686</c:v>
                </c:pt>
                <c:pt idx="2955">
                  <c:v>88.13604999999998</c:v>
                </c:pt>
                <c:pt idx="2956">
                  <c:v>88.13437999999998</c:v>
                </c:pt>
                <c:pt idx="2957">
                  <c:v>88.13357</c:v>
                </c:pt>
                <c:pt idx="2958">
                  <c:v>88.13109</c:v>
                </c:pt>
                <c:pt idx="2959">
                  <c:v>88.12946999999998</c:v>
                </c:pt>
                <c:pt idx="2960">
                  <c:v>88.12865999999998</c:v>
                </c:pt>
                <c:pt idx="2961">
                  <c:v>88.12698999999998</c:v>
                </c:pt>
                <c:pt idx="2962">
                  <c:v>88.12451</c:v>
                </c:pt>
                <c:pt idx="2963">
                  <c:v>88.12208999999918</c:v>
                </c:pt>
                <c:pt idx="2964">
                  <c:v>88.12122</c:v>
                </c:pt>
                <c:pt idx="2965">
                  <c:v>88.12040999999998</c:v>
                </c:pt>
                <c:pt idx="2966">
                  <c:v>88.11879999999998</c:v>
                </c:pt>
                <c:pt idx="2967">
                  <c:v>88.11712</c:v>
                </c:pt>
                <c:pt idx="2968">
                  <c:v>88.11632</c:v>
                </c:pt>
                <c:pt idx="2969">
                  <c:v>88.11383</c:v>
                </c:pt>
                <c:pt idx="2970">
                  <c:v>88.11222</c:v>
                </c:pt>
                <c:pt idx="2971">
                  <c:v>88.11054</c:v>
                </c:pt>
                <c:pt idx="2972">
                  <c:v>88.10886999999998</c:v>
                </c:pt>
                <c:pt idx="2973">
                  <c:v>88.10726</c:v>
                </c:pt>
                <c:pt idx="2974">
                  <c:v>88.10476999999997</c:v>
                </c:pt>
                <c:pt idx="2975">
                  <c:v>88.10396999999997</c:v>
                </c:pt>
                <c:pt idx="2976">
                  <c:v>88.10149</c:v>
                </c:pt>
                <c:pt idx="2977">
                  <c:v>88.10067999999998</c:v>
                </c:pt>
                <c:pt idx="2978">
                  <c:v>88.09987</c:v>
                </c:pt>
                <c:pt idx="2979">
                  <c:v>88.09739</c:v>
                </c:pt>
                <c:pt idx="2980">
                  <c:v>88.09570999999998</c:v>
                </c:pt>
                <c:pt idx="2981">
                  <c:v>88.09491</c:v>
                </c:pt>
                <c:pt idx="2982">
                  <c:v>88.09243</c:v>
                </c:pt>
                <c:pt idx="2983">
                  <c:v>88.09</c:v>
                </c:pt>
                <c:pt idx="2984">
                  <c:v>88.08752</c:v>
                </c:pt>
                <c:pt idx="2985">
                  <c:v>88.08175</c:v>
                </c:pt>
                <c:pt idx="2986">
                  <c:v>88.08175</c:v>
                </c:pt>
                <c:pt idx="2987">
                  <c:v>88.08094</c:v>
                </c:pt>
                <c:pt idx="2988">
                  <c:v>88.08094</c:v>
                </c:pt>
                <c:pt idx="2989">
                  <c:v>88.08175</c:v>
                </c:pt>
                <c:pt idx="2990">
                  <c:v>88.07845999999998</c:v>
                </c:pt>
                <c:pt idx="2991">
                  <c:v>88.07678999999958</c:v>
                </c:pt>
                <c:pt idx="2992">
                  <c:v>88.07516999999998</c:v>
                </c:pt>
                <c:pt idx="2993">
                  <c:v>88.07436</c:v>
                </c:pt>
                <c:pt idx="2994">
                  <c:v>88.07268999999998</c:v>
                </c:pt>
                <c:pt idx="2995">
                  <c:v>88.07187999999998</c:v>
                </c:pt>
                <c:pt idx="2996">
                  <c:v>88.07021</c:v>
                </c:pt>
                <c:pt idx="2997">
                  <c:v>88.06859</c:v>
                </c:pt>
                <c:pt idx="2998">
                  <c:v>88.06692</c:v>
                </c:pt>
                <c:pt idx="2999">
                  <c:v>88.06611</c:v>
                </c:pt>
                <c:pt idx="3000">
                  <c:v>88.06611</c:v>
                </c:pt>
                <c:pt idx="3001">
                  <c:v>88.06282</c:v>
                </c:pt>
                <c:pt idx="3002">
                  <c:v>88.06033999999998</c:v>
                </c:pt>
                <c:pt idx="3003">
                  <c:v>88.05792</c:v>
                </c:pt>
                <c:pt idx="3004">
                  <c:v>88.05625</c:v>
                </c:pt>
                <c:pt idx="3005">
                  <c:v>88.05543999999995</c:v>
                </c:pt>
                <c:pt idx="3006">
                  <c:v>88.05375999999998</c:v>
                </c:pt>
                <c:pt idx="3007">
                  <c:v>88.05214999999998</c:v>
                </c:pt>
                <c:pt idx="3008">
                  <c:v>88.05133999999998</c:v>
                </c:pt>
                <c:pt idx="3009">
                  <c:v>88.04886</c:v>
                </c:pt>
                <c:pt idx="3010">
                  <c:v>88.04719</c:v>
                </c:pt>
                <c:pt idx="3011">
                  <c:v>88.04557000000001</c:v>
                </c:pt>
                <c:pt idx="3012">
                  <c:v>88.0439</c:v>
                </c:pt>
                <c:pt idx="3013">
                  <c:v>88.04228</c:v>
                </c:pt>
                <c:pt idx="3014">
                  <c:v>88.04061</c:v>
                </c:pt>
                <c:pt idx="3015">
                  <c:v>88.03651</c:v>
                </c:pt>
                <c:pt idx="3016">
                  <c:v>88.0357</c:v>
                </c:pt>
                <c:pt idx="3017">
                  <c:v>88.0357</c:v>
                </c:pt>
                <c:pt idx="3018">
                  <c:v>88.03403</c:v>
                </c:pt>
                <c:pt idx="3019">
                  <c:v>88.03241</c:v>
                </c:pt>
                <c:pt idx="3020">
                  <c:v>88.02912</c:v>
                </c:pt>
                <c:pt idx="3021">
                  <c:v>88.02826</c:v>
                </c:pt>
                <c:pt idx="3022">
                  <c:v>88.02745</c:v>
                </c:pt>
                <c:pt idx="3023">
                  <c:v>88.02745</c:v>
                </c:pt>
                <c:pt idx="3024">
                  <c:v>88.02664</c:v>
                </c:pt>
                <c:pt idx="3025">
                  <c:v>88.02416</c:v>
                </c:pt>
                <c:pt idx="3026">
                  <c:v>88.02168</c:v>
                </c:pt>
                <c:pt idx="3027">
                  <c:v>88.0192</c:v>
                </c:pt>
                <c:pt idx="3028">
                  <c:v>88.01758</c:v>
                </c:pt>
                <c:pt idx="3029">
                  <c:v>88.0151</c:v>
                </c:pt>
                <c:pt idx="3030">
                  <c:v>88.01349</c:v>
                </c:pt>
                <c:pt idx="3031">
                  <c:v>88.01181</c:v>
                </c:pt>
                <c:pt idx="3032">
                  <c:v>88.0102</c:v>
                </c:pt>
                <c:pt idx="3033">
                  <c:v>88.00772</c:v>
                </c:pt>
                <c:pt idx="3034">
                  <c:v>88.00443000000001</c:v>
                </c:pt>
                <c:pt idx="3035">
                  <c:v>88.00274999999998</c:v>
                </c:pt>
                <c:pt idx="3036">
                  <c:v>88.00274999999998</c:v>
                </c:pt>
                <c:pt idx="3037">
                  <c:v>88.00114</c:v>
                </c:pt>
                <c:pt idx="3038">
                  <c:v>87.99946</c:v>
                </c:pt>
                <c:pt idx="3039">
                  <c:v>88.00195</c:v>
                </c:pt>
                <c:pt idx="3040">
                  <c:v>88.00523</c:v>
                </c:pt>
                <c:pt idx="3041">
                  <c:v>87.99946</c:v>
                </c:pt>
                <c:pt idx="3042">
                  <c:v>87.99618</c:v>
                </c:pt>
                <c:pt idx="3043">
                  <c:v>87.99375</c:v>
                </c:pt>
                <c:pt idx="3044">
                  <c:v>87.99127</c:v>
                </c:pt>
                <c:pt idx="3045">
                  <c:v>87.9896</c:v>
                </c:pt>
                <c:pt idx="3046">
                  <c:v>87.98798</c:v>
                </c:pt>
                <c:pt idx="3047">
                  <c:v>87.9855</c:v>
                </c:pt>
                <c:pt idx="3048">
                  <c:v>87.98383000000001</c:v>
                </c:pt>
                <c:pt idx="3049">
                  <c:v>87.9814</c:v>
                </c:pt>
                <c:pt idx="3050">
                  <c:v>87.97972999999997</c:v>
                </c:pt>
                <c:pt idx="3051">
                  <c:v>87.97892</c:v>
                </c:pt>
                <c:pt idx="3052">
                  <c:v>87.97643999999998</c:v>
                </c:pt>
                <c:pt idx="3053">
                  <c:v>87.97563</c:v>
                </c:pt>
                <c:pt idx="3054">
                  <c:v>87.97315</c:v>
                </c:pt>
                <c:pt idx="3055">
                  <c:v>87.97233999999958</c:v>
                </c:pt>
                <c:pt idx="3056">
                  <c:v>87.96986</c:v>
                </c:pt>
                <c:pt idx="3057">
                  <c:v>87.96825</c:v>
                </c:pt>
                <c:pt idx="3058">
                  <c:v>87.96657</c:v>
                </c:pt>
                <c:pt idx="3059">
                  <c:v>87.96496</c:v>
                </c:pt>
                <c:pt idx="3060">
                  <c:v>87.96328</c:v>
                </c:pt>
                <c:pt idx="3061">
                  <c:v>87.96161</c:v>
                </c:pt>
                <c:pt idx="3062">
                  <c:v>87.95999</c:v>
                </c:pt>
                <c:pt idx="3063">
                  <c:v>87.95832</c:v>
                </c:pt>
                <c:pt idx="3064">
                  <c:v>87.9559</c:v>
                </c:pt>
                <c:pt idx="3065">
                  <c:v>87.95503</c:v>
                </c:pt>
                <c:pt idx="3066">
                  <c:v>87.95261</c:v>
                </c:pt>
                <c:pt idx="3067">
                  <c:v>87.95094</c:v>
                </c:pt>
                <c:pt idx="3068">
                  <c:v>87.95013</c:v>
                </c:pt>
                <c:pt idx="3069">
                  <c:v>87.94845</c:v>
                </c:pt>
                <c:pt idx="3070">
                  <c:v>87.94603</c:v>
                </c:pt>
                <c:pt idx="3071">
                  <c:v>87.94355</c:v>
                </c:pt>
                <c:pt idx="3072">
                  <c:v>87.94107</c:v>
                </c:pt>
                <c:pt idx="3073">
                  <c:v>87.93945</c:v>
                </c:pt>
                <c:pt idx="3074">
                  <c:v>87.93859</c:v>
                </c:pt>
                <c:pt idx="3075">
                  <c:v>87.93697</c:v>
                </c:pt>
                <c:pt idx="3076">
                  <c:v>87.93616</c:v>
                </c:pt>
                <c:pt idx="3077">
                  <c:v>87.93368</c:v>
                </c:pt>
                <c:pt idx="3078">
                  <c:v>87.93201</c:v>
                </c:pt>
                <c:pt idx="3079">
                  <c:v>87.92953</c:v>
                </c:pt>
                <c:pt idx="3080">
                  <c:v>87.92791</c:v>
                </c:pt>
                <c:pt idx="3081">
                  <c:v>87.92624</c:v>
                </c:pt>
                <c:pt idx="3082">
                  <c:v>87.92462</c:v>
                </c:pt>
                <c:pt idx="3083">
                  <c:v>87.92295</c:v>
                </c:pt>
                <c:pt idx="3084">
                  <c:v>87.92214</c:v>
                </c:pt>
                <c:pt idx="3085">
                  <c:v>87.91966</c:v>
                </c:pt>
                <c:pt idx="3086">
                  <c:v>87.91724</c:v>
                </c:pt>
                <c:pt idx="3087">
                  <c:v>87.91556</c:v>
                </c:pt>
                <c:pt idx="3088">
                  <c:v>87.91475</c:v>
                </c:pt>
                <c:pt idx="3089">
                  <c:v>87.91147</c:v>
                </c:pt>
                <c:pt idx="3090">
                  <c:v>87.91066</c:v>
                </c:pt>
                <c:pt idx="3091">
                  <c:v>87.90898</c:v>
                </c:pt>
                <c:pt idx="3092">
                  <c:v>87.90737</c:v>
                </c:pt>
                <c:pt idx="3093">
                  <c:v>87.90489</c:v>
                </c:pt>
                <c:pt idx="3094">
                  <c:v>87.90321</c:v>
                </c:pt>
                <c:pt idx="3095">
                  <c:v>87.9016</c:v>
                </c:pt>
                <c:pt idx="3096">
                  <c:v>87.89993000000001</c:v>
                </c:pt>
                <c:pt idx="3097">
                  <c:v>87.89993000000001</c:v>
                </c:pt>
                <c:pt idx="3098">
                  <c:v>87.89830999999998</c:v>
                </c:pt>
                <c:pt idx="3099">
                  <c:v>87.89582999999997</c:v>
                </c:pt>
                <c:pt idx="3100">
                  <c:v>87.89335</c:v>
                </c:pt>
                <c:pt idx="3101">
                  <c:v>87.89173</c:v>
                </c:pt>
                <c:pt idx="3102">
                  <c:v>87.89006</c:v>
                </c:pt>
                <c:pt idx="3103">
                  <c:v>87.88843999999965</c:v>
                </c:pt>
                <c:pt idx="3104">
                  <c:v>87.88676999999998</c:v>
                </c:pt>
                <c:pt idx="3105">
                  <c:v>87.88514999999998</c:v>
                </c:pt>
                <c:pt idx="3106">
                  <c:v>87.88267</c:v>
                </c:pt>
                <c:pt idx="3107">
                  <c:v>87.88019</c:v>
                </c:pt>
                <c:pt idx="3108">
                  <c:v>87.87856999999998</c:v>
                </c:pt>
                <c:pt idx="3109">
                  <c:v>87.87608999999995</c:v>
                </c:pt>
                <c:pt idx="3110">
                  <c:v>87.87442</c:v>
                </c:pt>
                <c:pt idx="3111">
                  <c:v>87.87361</c:v>
                </c:pt>
                <c:pt idx="3112">
                  <c:v>87.87113</c:v>
                </c:pt>
                <c:pt idx="3113">
                  <c:v>87.86952</c:v>
                </c:pt>
                <c:pt idx="3114">
                  <c:v>87.86784</c:v>
                </c:pt>
                <c:pt idx="3115">
                  <c:v>87.86623</c:v>
                </c:pt>
                <c:pt idx="3116">
                  <c:v>87.86455</c:v>
                </c:pt>
                <c:pt idx="3117">
                  <c:v>87.86293999999998</c:v>
                </c:pt>
                <c:pt idx="3118">
                  <c:v>87.86046</c:v>
                </c:pt>
                <c:pt idx="3119">
                  <c:v>87.85877999999855</c:v>
                </c:pt>
                <c:pt idx="3120">
                  <c:v>87.85717</c:v>
                </c:pt>
                <c:pt idx="3121">
                  <c:v>87.85548999999965</c:v>
                </c:pt>
                <c:pt idx="3122">
                  <c:v>87.85387999999975</c:v>
                </c:pt>
                <c:pt idx="3123">
                  <c:v>87.8514</c:v>
                </c:pt>
                <c:pt idx="3124">
                  <c:v>87.85058999999998</c:v>
                </c:pt>
                <c:pt idx="3125">
                  <c:v>87.84891</c:v>
                </c:pt>
                <c:pt idx="3126">
                  <c:v>87.8473</c:v>
                </c:pt>
                <c:pt idx="3127">
                  <c:v>87.84401</c:v>
                </c:pt>
                <c:pt idx="3128">
                  <c:v>87.83575999999998</c:v>
                </c:pt>
                <c:pt idx="3129">
                  <c:v>87.83575999999998</c:v>
                </c:pt>
                <c:pt idx="3130">
                  <c:v>87.83575999999998</c:v>
                </c:pt>
                <c:pt idx="3131">
                  <c:v>87.83657</c:v>
                </c:pt>
                <c:pt idx="3132">
                  <c:v>87.83657</c:v>
                </c:pt>
                <c:pt idx="3133">
                  <c:v>87.84072</c:v>
                </c:pt>
                <c:pt idx="3134">
                  <c:v>87.83824</c:v>
                </c:pt>
                <c:pt idx="3135">
                  <c:v>87.83328</c:v>
                </c:pt>
                <c:pt idx="3136">
                  <c:v>87.82998999999998</c:v>
                </c:pt>
                <c:pt idx="3137">
                  <c:v>87.82669999999997</c:v>
                </c:pt>
                <c:pt idx="3138">
                  <c:v>87.82507999999918</c:v>
                </c:pt>
                <c:pt idx="3139">
                  <c:v>87.82340999999998</c:v>
                </c:pt>
                <c:pt idx="3140">
                  <c:v>87.82098999999998</c:v>
                </c:pt>
                <c:pt idx="3141">
                  <c:v>87.81931</c:v>
                </c:pt>
                <c:pt idx="3142">
                  <c:v>87.8177</c:v>
                </c:pt>
                <c:pt idx="3143">
                  <c:v>87.81602</c:v>
                </c:pt>
                <c:pt idx="3144">
                  <c:v>87.81354</c:v>
                </c:pt>
                <c:pt idx="3145">
                  <c:v>87.81193</c:v>
                </c:pt>
                <c:pt idx="3146">
                  <c:v>87.81025</c:v>
                </c:pt>
                <c:pt idx="3147">
                  <c:v>87.80863999999998</c:v>
                </c:pt>
                <c:pt idx="3148">
                  <c:v>87.80696</c:v>
                </c:pt>
                <c:pt idx="3149">
                  <c:v>87.80448</c:v>
                </c:pt>
                <c:pt idx="3150">
                  <c:v>87.80205999999998</c:v>
                </c:pt>
                <c:pt idx="3151">
                  <c:v>87.80038999999998</c:v>
                </c:pt>
                <c:pt idx="3152">
                  <c:v>87.7979</c:v>
                </c:pt>
                <c:pt idx="3153">
                  <c:v>87.79629</c:v>
                </c:pt>
                <c:pt idx="3154">
                  <c:v>87.79462</c:v>
                </c:pt>
                <c:pt idx="3155">
                  <c:v>87.793</c:v>
                </c:pt>
                <c:pt idx="3156">
                  <c:v>87.79133</c:v>
                </c:pt>
                <c:pt idx="3157">
                  <c:v>87.78971</c:v>
                </c:pt>
                <c:pt idx="3158">
                  <c:v>87.78803999999998</c:v>
                </c:pt>
                <c:pt idx="3159">
                  <c:v>87.78556</c:v>
                </c:pt>
                <c:pt idx="3160">
                  <c:v>87.78313</c:v>
                </c:pt>
                <c:pt idx="3161">
                  <c:v>87.78227</c:v>
                </c:pt>
                <c:pt idx="3162">
                  <c:v>87.77983999999998</c:v>
                </c:pt>
                <c:pt idx="3163">
                  <c:v>87.77736</c:v>
                </c:pt>
                <c:pt idx="3164">
                  <c:v>87.77077999999958</c:v>
                </c:pt>
                <c:pt idx="3165">
                  <c:v>87.76998</c:v>
                </c:pt>
                <c:pt idx="3166">
                  <c:v>87.76911</c:v>
                </c:pt>
                <c:pt idx="3167">
                  <c:v>87.7683</c:v>
                </c:pt>
                <c:pt idx="3168">
                  <c:v>87.76911</c:v>
                </c:pt>
                <c:pt idx="3169">
                  <c:v>87.76911</c:v>
                </c:pt>
                <c:pt idx="3170">
                  <c:v>87.76669</c:v>
                </c:pt>
                <c:pt idx="3171">
                  <c:v>87.76582</c:v>
                </c:pt>
                <c:pt idx="3172">
                  <c:v>87.7683</c:v>
                </c:pt>
                <c:pt idx="3173">
                  <c:v>87.76253000000001</c:v>
                </c:pt>
                <c:pt idx="3174">
                  <c:v>87.75842999999997</c:v>
                </c:pt>
                <c:pt idx="3175">
                  <c:v>87.75595</c:v>
                </c:pt>
                <c:pt idx="3176">
                  <c:v>87.75434</c:v>
                </c:pt>
                <c:pt idx="3177">
                  <c:v>87.75186</c:v>
                </c:pt>
                <c:pt idx="3178">
                  <c:v>87.75018</c:v>
                </c:pt>
                <c:pt idx="3179">
                  <c:v>87.74857</c:v>
                </c:pt>
                <c:pt idx="3180">
                  <c:v>87.74609</c:v>
                </c:pt>
                <c:pt idx="3181">
                  <c:v>87.7436</c:v>
                </c:pt>
                <c:pt idx="3182">
                  <c:v>87.74199</c:v>
                </c:pt>
                <c:pt idx="3183">
                  <c:v>87.73951</c:v>
                </c:pt>
                <c:pt idx="3184">
                  <c:v>87.73789</c:v>
                </c:pt>
                <c:pt idx="3185">
                  <c:v>87.73703</c:v>
                </c:pt>
                <c:pt idx="3186">
                  <c:v>87.7346</c:v>
                </c:pt>
                <c:pt idx="3187">
                  <c:v>87.73293</c:v>
                </c:pt>
                <c:pt idx="3188">
                  <c:v>87.73131</c:v>
                </c:pt>
                <c:pt idx="3189">
                  <c:v>87.72882999999997</c:v>
                </c:pt>
                <c:pt idx="3190">
                  <c:v>87.72716</c:v>
                </c:pt>
                <c:pt idx="3191">
                  <c:v>87.72468</c:v>
                </c:pt>
                <c:pt idx="3192">
                  <c:v>87.72306</c:v>
                </c:pt>
                <c:pt idx="3193">
                  <c:v>87.72139</c:v>
                </c:pt>
                <c:pt idx="3194">
                  <c:v>87.71977</c:v>
                </c:pt>
                <c:pt idx="3195">
                  <c:v>87.71729</c:v>
                </c:pt>
                <c:pt idx="3196">
                  <c:v>87.71481</c:v>
                </c:pt>
                <c:pt idx="3197">
                  <c:v>87.71319</c:v>
                </c:pt>
                <c:pt idx="3198">
                  <c:v>87.71071</c:v>
                </c:pt>
                <c:pt idx="3199">
                  <c:v>87.7091</c:v>
                </c:pt>
                <c:pt idx="3200">
                  <c:v>87.70742</c:v>
                </c:pt>
                <c:pt idx="3201">
                  <c:v>87.70494</c:v>
                </c:pt>
                <c:pt idx="3202">
                  <c:v>87.70333</c:v>
                </c:pt>
                <c:pt idx="3203">
                  <c:v>87.70085</c:v>
                </c:pt>
                <c:pt idx="3204">
                  <c:v>87.69923</c:v>
                </c:pt>
                <c:pt idx="3205">
                  <c:v>87.69756</c:v>
                </c:pt>
                <c:pt idx="3206">
                  <c:v>87.69587999999958</c:v>
                </c:pt>
                <c:pt idx="3207">
                  <c:v>87.69427</c:v>
                </c:pt>
                <c:pt idx="3208">
                  <c:v>87.69178999999998</c:v>
                </c:pt>
                <c:pt idx="3209">
                  <c:v>87.68930999999998</c:v>
                </c:pt>
                <c:pt idx="3210">
                  <c:v>87.68769</c:v>
                </c:pt>
                <c:pt idx="3211">
                  <c:v>87.68602</c:v>
                </c:pt>
                <c:pt idx="3212">
                  <c:v>87.68439999999998</c:v>
                </c:pt>
                <c:pt idx="3213">
                  <c:v>87.68272999999998</c:v>
                </c:pt>
                <c:pt idx="3214">
                  <c:v>87.68029999999997</c:v>
                </c:pt>
                <c:pt idx="3215">
                  <c:v>87.67862999999998</c:v>
                </c:pt>
                <c:pt idx="3216">
                  <c:v>87.67700999999998</c:v>
                </c:pt>
                <c:pt idx="3217">
                  <c:v>87.67372999999998</c:v>
                </c:pt>
                <c:pt idx="3218">
                  <c:v>87.67204999999888</c:v>
                </c:pt>
                <c:pt idx="3219">
                  <c:v>87.66957</c:v>
                </c:pt>
                <c:pt idx="3220">
                  <c:v>87.66795</c:v>
                </c:pt>
                <c:pt idx="3221">
                  <c:v>87.66628</c:v>
                </c:pt>
                <c:pt idx="3222">
                  <c:v>87.66379999999998</c:v>
                </c:pt>
                <c:pt idx="3223">
                  <c:v>87.66217999999998</c:v>
                </c:pt>
                <c:pt idx="3224">
                  <c:v>87.65969999999998</c:v>
                </c:pt>
                <c:pt idx="3225">
                  <c:v>87.65808999999938</c:v>
                </c:pt>
                <c:pt idx="3226">
                  <c:v>87.65560999999998</c:v>
                </c:pt>
                <c:pt idx="3227">
                  <c:v>87.65479999999998</c:v>
                </c:pt>
                <c:pt idx="3228">
                  <c:v>87.65231999999965</c:v>
                </c:pt>
                <c:pt idx="3229">
                  <c:v>87.64984</c:v>
                </c:pt>
                <c:pt idx="3230">
                  <c:v>87.64822</c:v>
                </c:pt>
                <c:pt idx="3231">
                  <c:v>87.64573999999975</c:v>
                </c:pt>
                <c:pt idx="3232">
                  <c:v>87.64407000000001</c:v>
                </c:pt>
                <c:pt idx="3233">
                  <c:v>87.64164</c:v>
                </c:pt>
                <c:pt idx="3234">
                  <c:v>87.63997</c:v>
                </c:pt>
                <c:pt idx="3235">
                  <c:v>87.63829</c:v>
                </c:pt>
                <c:pt idx="3236">
                  <c:v>87.63586999999998</c:v>
                </c:pt>
                <c:pt idx="3237">
                  <c:v>87.6342</c:v>
                </c:pt>
                <c:pt idx="3238">
                  <c:v>87.63172</c:v>
                </c:pt>
                <c:pt idx="3239">
                  <c:v>87.6301</c:v>
                </c:pt>
                <c:pt idx="3240">
                  <c:v>87.62762</c:v>
                </c:pt>
                <c:pt idx="3241">
                  <c:v>87.62599999999995</c:v>
                </c:pt>
                <c:pt idx="3242">
                  <c:v>87.62352</c:v>
                </c:pt>
                <c:pt idx="3243">
                  <c:v>87.62184999999998</c:v>
                </c:pt>
                <c:pt idx="3244">
                  <c:v>87.61856</c:v>
                </c:pt>
                <c:pt idx="3245">
                  <c:v>87.61614</c:v>
                </c:pt>
                <c:pt idx="3246">
                  <c:v>87.61446</c:v>
                </c:pt>
                <c:pt idx="3247">
                  <c:v>87.61284999999998</c:v>
                </c:pt>
                <c:pt idx="3248">
                  <c:v>87.61117</c:v>
                </c:pt>
                <c:pt idx="3249">
                  <c:v>87.60868999999998</c:v>
                </c:pt>
                <c:pt idx="3250">
                  <c:v>87.60707999999998</c:v>
                </c:pt>
                <c:pt idx="3251">
                  <c:v>87.60621</c:v>
                </c:pt>
                <c:pt idx="3252">
                  <c:v>87.60378999999975</c:v>
                </c:pt>
                <c:pt idx="3253">
                  <c:v>87.60210999999998</c:v>
                </c:pt>
                <c:pt idx="3254">
                  <c:v>87.59963</c:v>
                </c:pt>
                <c:pt idx="3255">
                  <c:v>87.59721</c:v>
                </c:pt>
                <c:pt idx="3256">
                  <c:v>87.59554</c:v>
                </c:pt>
                <c:pt idx="3257">
                  <c:v>87.59392</c:v>
                </c:pt>
                <c:pt idx="3258">
                  <c:v>87.59144</c:v>
                </c:pt>
                <c:pt idx="3259">
                  <c:v>87.58896</c:v>
                </c:pt>
                <c:pt idx="3260">
                  <c:v>87.58815</c:v>
                </c:pt>
                <c:pt idx="3261">
                  <c:v>87.58567</c:v>
                </c:pt>
                <c:pt idx="3262">
                  <c:v>87.58319</c:v>
                </c:pt>
                <c:pt idx="3263">
                  <c:v>87.58076</c:v>
                </c:pt>
                <c:pt idx="3264">
                  <c:v>87.57908999999998</c:v>
                </c:pt>
                <c:pt idx="3265">
                  <c:v>87.57742</c:v>
                </c:pt>
                <c:pt idx="3266">
                  <c:v>87.57579999999938</c:v>
                </c:pt>
                <c:pt idx="3267">
                  <c:v>87.57331999999998</c:v>
                </c:pt>
                <c:pt idx="3268">
                  <c:v>87.57083999999985</c:v>
                </c:pt>
                <c:pt idx="3269">
                  <c:v>87.56922</c:v>
                </c:pt>
                <c:pt idx="3270">
                  <c:v>87.56673999999998</c:v>
                </c:pt>
                <c:pt idx="3271">
                  <c:v>87.56513</c:v>
                </c:pt>
                <c:pt idx="3272">
                  <c:v>87.56184</c:v>
                </c:pt>
                <c:pt idx="3273">
                  <c:v>87.56016</c:v>
                </c:pt>
                <c:pt idx="3274">
                  <c:v>87.55854999999998</c:v>
                </c:pt>
                <c:pt idx="3275">
                  <c:v>87.55526</c:v>
                </c:pt>
                <c:pt idx="3276">
                  <c:v>87.55359</c:v>
                </c:pt>
                <c:pt idx="3277">
                  <c:v>87.5511</c:v>
                </c:pt>
                <c:pt idx="3278">
                  <c:v>87.54949</c:v>
                </c:pt>
                <c:pt idx="3279">
                  <c:v>87.54701</c:v>
                </c:pt>
                <c:pt idx="3280">
                  <c:v>87.54533</c:v>
                </c:pt>
                <c:pt idx="3281">
                  <c:v>87.54372</c:v>
                </c:pt>
                <c:pt idx="3282">
                  <c:v>87.54124</c:v>
                </c:pt>
                <c:pt idx="3283">
                  <c:v>87.53875999999998</c:v>
                </c:pt>
                <c:pt idx="3284">
                  <c:v>87.53633</c:v>
                </c:pt>
                <c:pt idx="3285">
                  <c:v>87.53466</c:v>
                </c:pt>
                <c:pt idx="3286">
                  <c:v>87.53304</c:v>
                </c:pt>
                <c:pt idx="3287">
                  <c:v>87.53056</c:v>
                </c:pt>
                <c:pt idx="3288">
                  <c:v>87.52807999999958</c:v>
                </c:pt>
                <c:pt idx="3289">
                  <c:v>87.52646</c:v>
                </c:pt>
                <c:pt idx="3290">
                  <c:v>87.52397999999998</c:v>
                </c:pt>
                <c:pt idx="3291">
                  <c:v>87.52230999999995</c:v>
                </c:pt>
                <c:pt idx="3292">
                  <c:v>87.51983000000001</c:v>
                </c:pt>
                <c:pt idx="3293">
                  <c:v>87.51821</c:v>
                </c:pt>
                <c:pt idx="3294">
                  <c:v>87.51654</c:v>
                </c:pt>
                <c:pt idx="3295">
                  <c:v>87.51325</c:v>
                </c:pt>
                <c:pt idx="3296">
                  <c:v>87.51244</c:v>
                </c:pt>
                <c:pt idx="3297">
                  <c:v>87.51244</c:v>
                </c:pt>
                <c:pt idx="3298">
                  <c:v>87.50009</c:v>
                </c:pt>
                <c:pt idx="3299">
                  <c:v>87.50177</c:v>
                </c:pt>
                <c:pt idx="3300">
                  <c:v>87.50337999999998</c:v>
                </c:pt>
                <c:pt idx="3301">
                  <c:v>87.50586</c:v>
                </c:pt>
                <c:pt idx="3302">
                  <c:v>87.50096</c:v>
                </c:pt>
                <c:pt idx="3303">
                  <c:v>87.4968</c:v>
                </c:pt>
                <c:pt idx="3304">
                  <c:v>87.49438</c:v>
                </c:pt>
                <c:pt idx="3305">
                  <c:v>87.4919</c:v>
                </c:pt>
                <c:pt idx="3306">
                  <c:v>87.49023</c:v>
                </c:pt>
                <c:pt idx="3307">
                  <c:v>87.48775</c:v>
                </c:pt>
                <c:pt idx="3308">
                  <c:v>87.48532</c:v>
                </c:pt>
                <c:pt idx="3309">
                  <c:v>87.48365</c:v>
                </c:pt>
                <c:pt idx="3310">
                  <c:v>87.48117</c:v>
                </c:pt>
                <c:pt idx="3311">
                  <c:v>87.47955</c:v>
                </c:pt>
                <c:pt idx="3312">
                  <c:v>87.47788</c:v>
                </c:pt>
                <c:pt idx="3313">
                  <c:v>87.47544999999998</c:v>
                </c:pt>
                <c:pt idx="3314">
                  <c:v>87.47377999999995</c:v>
                </c:pt>
                <c:pt idx="3315">
                  <c:v>87.47130000000001</c:v>
                </c:pt>
                <c:pt idx="3316">
                  <c:v>87.46801</c:v>
                </c:pt>
                <c:pt idx="3317">
                  <c:v>87.46801</c:v>
                </c:pt>
                <c:pt idx="3318">
                  <c:v>87.46559</c:v>
                </c:pt>
                <c:pt idx="3319">
                  <c:v>87.46311</c:v>
                </c:pt>
                <c:pt idx="3320">
                  <c:v>87.46062</c:v>
                </c:pt>
                <c:pt idx="3321">
                  <c:v>87.45814</c:v>
                </c:pt>
                <c:pt idx="3322">
                  <c:v>87.45653</c:v>
                </c:pt>
                <c:pt idx="3323">
                  <c:v>87.45485</c:v>
                </c:pt>
                <c:pt idx="3324">
                  <c:v>87.45236999999997</c:v>
                </c:pt>
                <c:pt idx="3325">
                  <c:v>87.44908</c:v>
                </c:pt>
                <c:pt idx="3326">
                  <c:v>87.44747</c:v>
                </c:pt>
                <c:pt idx="3327">
                  <c:v>87.44499</c:v>
                </c:pt>
                <c:pt idx="3328">
                  <c:v>87.4417</c:v>
                </c:pt>
                <c:pt idx="3329">
                  <c:v>87.44008</c:v>
                </c:pt>
                <c:pt idx="3330">
                  <c:v>87.43922</c:v>
                </c:pt>
                <c:pt idx="3331">
                  <c:v>87.43679</c:v>
                </c:pt>
                <c:pt idx="3332">
                  <c:v>87.43431</c:v>
                </c:pt>
                <c:pt idx="3333">
                  <c:v>87.43264</c:v>
                </c:pt>
                <c:pt idx="3334">
                  <c:v>87.43016</c:v>
                </c:pt>
                <c:pt idx="3335">
                  <c:v>87.42773</c:v>
                </c:pt>
                <c:pt idx="3336">
                  <c:v>87.42606</c:v>
                </c:pt>
                <c:pt idx="3337">
                  <c:v>87.42358</c:v>
                </c:pt>
                <c:pt idx="3338">
                  <c:v>87.42115</c:v>
                </c:pt>
                <c:pt idx="3339">
                  <c:v>87.41787</c:v>
                </c:pt>
                <c:pt idx="3340">
                  <c:v>87.41619</c:v>
                </c:pt>
                <c:pt idx="3341">
                  <c:v>87.41458</c:v>
                </c:pt>
                <c:pt idx="3342">
                  <c:v>87.4129</c:v>
                </c:pt>
                <c:pt idx="3343">
                  <c:v>87.41042</c:v>
                </c:pt>
                <c:pt idx="3344">
                  <c:v>87.408</c:v>
                </c:pt>
                <c:pt idx="3345">
                  <c:v>87.40471</c:v>
                </c:pt>
                <c:pt idx="3346">
                  <c:v>87.40304</c:v>
                </c:pt>
                <c:pt idx="3347">
                  <c:v>87.40136</c:v>
                </c:pt>
                <c:pt idx="3348">
                  <c:v>87.39893999999998</c:v>
                </c:pt>
                <c:pt idx="3349">
                  <c:v>87.39646</c:v>
                </c:pt>
                <c:pt idx="3350">
                  <c:v>87.39477999999998</c:v>
                </c:pt>
                <c:pt idx="3351">
                  <c:v>87.39235999999998</c:v>
                </c:pt>
                <c:pt idx="3352">
                  <c:v>87.39069</c:v>
                </c:pt>
                <c:pt idx="3353">
                  <c:v>87.38821</c:v>
                </c:pt>
                <c:pt idx="3354">
                  <c:v>87.38577999999868</c:v>
                </c:pt>
                <c:pt idx="3355">
                  <c:v>87.38411</c:v>
                </c:pt>
                <c:pt idx="3356">
                  <c:v>87.38163</c:v>
                </c:pt>
                <c:pt idx="3357">
                  <c:v>87.38001</c:v>
                </c:pt>
                <c:pt idx="3358">
                  <c:v>87.37671999999998</c:v>
                </c:pt>
                <c:pt idx="3359">
                  <c:v>87.37424</c:v>
                </c:pt>
                <c:pt idx="3360">
                  <c:v>87.37175999999998</c:v>
                </c:pt>
                <c:pt idx="3361">
                  <c:v>87.36928</c:v>
                </c:pt>
                <c:pt idx="3362">
                  <c:v>87.36766</c:v>
                </c:pt>
                <c:pt idx="3363">
                  <c:v>87.36598999999998</c:v>
                </c:pt>
                <c:pt idx="3364">
                  <c:v>87.36357</c:v>
                </c:pt>
                <c:pt idx="3365">
                  <c:v>87.36108</c:v>
                </c:pt>
                <c:pt idx="3366">
                  <c:v>87.35859999999998</c:v>
                </c:pt>
                <c:pt idx="3367">
                  <c:v>87.35612</c:v>
                </c:pt>
                <c:pt idx="3368">
                  <c:v>87.35451</c:v>
                </c:pt>
                <c:pt idx="3369">
                  <c:v>87.35282999999998</c:v>
                </c:pt>
                <c:pt idx="3370">
                  <c:v>87.35040999999998</c:v>
                </c:pt>
                <c:pt idx="3371">
                  <c:v>87.34873999999998</c:v>
                </c:pt>
                <c:pt idx="3372">
                  <c:v>87.34625</c:v>
                </c:pt>
                <c:pt idx="3373">
                  <c:v>87.34377</c:v>
                </c:pt>
                <c:pt idx="3374">
                  <c:v>87.34216</c:v>
                </c:pt>
                <c:pt idx="3375">
                  <c:v>87.33968</c:v>
                </c:pt>
                <c:pt idx="3376">
                  <c:v>87.33638999999998</c:v>
                </c:pt>
                <c:pt idx="3377">
                  <c:v>87.33477</c:v>
                </c:pt>
                <c:pt idx="3378">
                  <c:v>87.3331</c:v>
                </c:pt>
                <c:pt idx="3379">
                  <c:v>87.33062</c:v>
                </c:pt>
                <c:pt idx="3380">
                  <c:v>87.32818999999998</c:v>
                </c:pt>
                <c:pt idx="3381">
                  <c:v>87.32570999999928</c:v>
                </c:pt>
                <c:pt idx="3382">
                  <c:v>87.32323</c:v>
                </c:pt>
                <c:pt idx="3383">
                  <c:v>87.32162</c:v>
                </c:pt>
                <c:pt idx="3384">
                  <c:v>87.31913</c:v>
                </c:pt>
                <c:pt idx="3385">
                  <c:v>87.31665</c:v>
                </c:pt>
                <c:pt idx="3386">
                  <c:v>87.31417</c:v>
                </c:pt>
                <c:pt idx="3387">
                  <c:v>87.31169</c:v>
                </c:pt>
                <c:pt idx="3388">
                  <c:v>87.30927000000001</c:v>
                </c:pt>
                <c:pt idx="3389">
                  <c:v>87.30678999999998</c:v>
                </c:pt>
                <c:pt idx="3390">
                  <c:v>87.30430000000001</c:v>
                </c:pt>
                <c:pt idx="3391">
                  <c:v>87.30182</c:v>
                </c:pt>
                <c:pt idx="3392">
                  <c:v>87.30021</c:v>
                </c:pt>
                <c:pt idx="3393">
                  <c:v>87.29773</c:v>
                </c:pt>
                <c:pt idx="3394">
                  <c:v>87.29524</c:v>
                </c:pt>
                <c:pt idx="3395">
                  <c:v>87.29363</c:v>
                </c:pt>
                <c:pt idx="3396">
                  <c:v>87.29115</c:v>
                </c:pt>
                <c:pt idx="3397">
                  <c:v>87.28867</c:v>
                </c:pt>
                <c:pt idx="3398">
                  <c:v>87.28618</c:v>
                </c:pt>
                <c:pt idx="3399">
                  <c:v>87.28376</c:v>
                </c:pt>
                <c:pt idx="3400">
                  <c:v>87.28128</c:v>
                </c:pt>
                <c:pt idx="3401">
                  <c:v>87.27879999999985</c:v>
                </c:pt>
                <c:pt idx="3402">
                  <c:v>87.27718</c:v>
                </c:pt>
                <c:pt idx="3403">
                  <c:v>87.27550999999998</c:v>
                </c:pt>
                <c:pt idx="3404">
                  <c:v>87.27222</c:v>
                </c:pt>
                <c:pt idx="3405">
                  <c:v>87.26974</c:v>
                </c:pt>
                <c:pt idx="3406">
                  <c:v>87.26812</c:v>
                </c:pt>
                <c:pt idx="3407">
                  <c:v>87.26645</c:v>
                </c:pt>
                <c:pt idx="3408">
                  <c:v>87.26403</c:v>
                </c:pt>
                <c:pt idx="3409">
                  <c:v>87.26155</c:v>
                </c:pt>
                <c:pt idx="3410">
                  <c:v>87.25826</c:v>
                </c:pt>
                <c:pt idx="3411">
                  <c:v>87.25658</c:v>
                </c:pt>
                <c:pt idx="3412">
                  <c:v>87.25497</c:v>
                </c:pt>
                <c:pt idx="3413">
                  <c:v>87.25248999999998</c:v>
                </c:pt>
                <c:pt idx="3414">
                  <c:v>87.25</c:v>
                </c:pt>
                <c:pt idx="3415">
                  <c:v>87.24839</c:v>
                </c:pt>
                <c:pt idx="3416">
                  <c:v>87.2451</c:v>
                </c:pt>
                <c:pt idx="3417">
                  <c:v>87.24262</c:v>
                </c:pt>
                <c:pt idx="3418">
                  <c:v>87.24094</c:v>
                </c:pt>
                <c:pt idx="3419">
                  <c:v>87.23766</c:v>
                </c:pt>
                <c:pt idx="3420">
                  <c:v>87.23523</c:v>
                </c:pt>
                <c:pt idx="3421">
                  <c:v>87.23274999999998</c:v>
                </c:pt>
                <c:pt idx="3422">
                  <c:v>87.23027</c:v>
                </c:pt>
                <c:pt idx="3423">
                  <c:v>87.22779</c:v>
                </c:pt>
                <c:pt idx="3424">
                  <c:v>87.22617</c:v>
                </c:pt>
                <c:pt idx="3425">
                  <c:v>87.22369</c:v>
                </c:pt>
                <c:pt idx="3426">
                  <c:v>87.2204</c:v>
                </c:pt>
                <c:pt idx="3427">
                  <c:v>87.21792</c:v>
                </c:pt>
                <c:pt idx="3428">
                  <c:v>87.21544</c:v>
                </c:pt>
                <c:pt idx="3429">
                  <c:v>87.21382</c:v>
                </c:pt>
                <c:pt idx="3430">
                  <c:v>87.21134</c:v>
                </c:pt>
                <c:pt idx="3431">
                  <c:v>87.20973</c:v>
                </c:pt>
                <c:pt idx="3432">
                  <c:v>87.20725</c:v>
                </c:pt>
                <c:pt idx="3433">
                  <c:v>87.20476</c:v>
                </c:pt>
                <c:pt idx="3434">
                  <c:v>87.20228</c:v>
                </c:pt>
                <c:pt idx="3435">
                  <c:v>87.19986</c:v>
                </c:pt>
                <c:pt idx="3436">
                  <c:v>87.19818999999998</c:v>
                </c:pt>
                <c:pt idx="3437">
                  <c:v>87.19569999999997</c:v>
                </c:pt>
                <c:pt idx="3438">
                  <c:v>87.19322</c:v>
                </c:pt>
                <c:pt idx="3439">
                  <c:v>87.19079999999998</c:v>
                </c:pt>
                <c:pt idx="3440">
                  <c:v>87.18831999999995</c:v>
                </c:pt>
                <c:pt idx="3441">
                  <c:v>87.18583999999898</c:v>
                </c:pt>
                <c:pt idx="3442">
                  <c:v>87.18335999999998</c:v>
                </c:pt>
                <c:pt idx="3443">
                  <c:v>87.18173999999995</c:v>
                </c:pt>
                <c:pt idx="3444">
                  <c:v>87.17844999999878</c:v>
                </c:pt>
                <c:pt idx="3445">
                  <c:v>87.17677999999827</c:v>
                </c:pt>
                <c:pt idx="3446">
                  <c:v>87.17434999999985</c:v>
                </c:pt>
                <c:pt idx="3447">
                  <c:v>87.17106999999998</c:v>
                </c:pt>
                <c:pt idx="3448">
                  <c:v>87.16938999999998</c:v>
                </c:pt>
                <c:pt idx="3449">
                  <c:v>87.16772</c:v>
                </c:pt>
                <c:pt idx="3450">
                  <c:v>87.16529</c:v>
                </c:pt>
                <c:pt idx="3451">
                  <c:v>87.16280999999998</c:v>
                </c:pt>
                <c:pt idx="3452">
                  <c:v>87.16114</c:v>
                </c:pt>
                <c:pt idx="3453">
                  <c:v>87.15871999999958</c:v>
                </c:pt>
                <c:pt idx="3454">
                  <c:v>87.15542999999998</c:v>
                </c:pt>
                <c:pt idx="3455">
                  <c:v>87.15374999999958</c:v>
                </c:pt>
                <c:pt idx="3456">
                  <c:v>87.15127</c:v>
                </c:pt>
                <c:pt idx="3457">
                  <c:v>87.14637</c:v>
                </c:pt>
                <c:pt idx="3458">
                  <c:v>87.13892</c:v>
                </c:pt>
                <c:pt idx="3459">
                  <c:v>87.13812</c:v>
                </c:pt>
                <c:pt idx="3460">
                  <c:v>87.13812</c:v>
                </c:pt>
                <c:pt idx="3461">
                  <c:v>87.13812</c:v>
                </c:pt>
                <c:pt idx="3462">
                  <c:v>87.13812</c:v>
                </c:pt>
                <c:pt idx="3463">
                  <c:v>87.13892</c:v>
                </c:pt>
                <c:pt idx="3464">
                  <c:v>87.13731</c:v>
                </c:pt>
                <c:pt idx="3465">
                  <c:v>87.13154</c:v>
                </c:pt>
                <c:pt idx="3466">
                  <c:v>87.12743999999998</c:v>
                </c:pt>
                <c:pt idx="3467">
                  <c:v>87.12415</c:v>
                </c:pt>
                <c:pt idx="3468">
                  <c:v>87.12167</c:v>
                </c:pt>
                <c:pt idx="3469">
                  <c:v>87.12085999999998</c:v>
                </c:pt>
                <c:pt idx="3470">
                  <c:v>87.11757</c:v>
                </c:pt>
                <c:pt idx="3471">
                  <c:v>87.11508999999998</c:v>
                </c:pt>
                <c:pt idx="3472">
                  <c:v>87.11261</c:v>
                </c:pt>
                <c:pt idx="3473">
                  <c:v>87.111</c:v>
                </c:pt>
                <c:pt idx="3474">
                  <c:v>87.10770999999998</c:v>
                </c:pt>
                <c:pt idx="3475">
                  <c:v>87.10523</c:v>
                </c:pt>
                <c:pt idx="3476">
                  <c:v>87.10355</c:v>
                </c:pt>
                <c:pt idx="3477">
                  <c:v>87.10113000000001</c:v>
                </c:pt>
                <c:pt idx="3478">
                  <c:v>87.09865</c:v>
                </c:pt>
                <c:pt idx="3479">
                  <c:v>87.09617</c:v>
                </c:pt>
                <c:pt idx="3480">
                  <c:v>87.09287999999998</c:v>
                </c:pt>
                <c:pt idx="3481">
                  <c:v>87.0904</c:v>
                </c:pt>
                <c:pt idx="3482">
                  <c:v>87.08877999999918</c:v>
                </c:pt>
                <c:pt idx="3483">
                  <c:v>87.0863</c:v>
                </c:pt>
                <c:pt idx="3484">
                  <c:v>87.0863</c:v>
                </c:pt>
                <c:pt idx="3485">
                  <c:v>87.07642999999997</c:v>
                </c:pt>
                <c:pt idx="3486">
                  <c:v>87.07313999999998</c:v>
                </c:pt>
                <c:pt idx="3487">
                  <c:v>87.07313999999998</c:v>
                </c:pt>
                <c:pt idx="3488">
                  <c:v>87.07232999999998</c:v>
                </c:pt>
                <c:pt idx="3489">
                  <c:v>87.07147</c:v>
                </c:pt>
                <c:pt idx="3490">
                  <c:v>87.07066</c:v>
                </c:pt>
                <c:pt idx="3491">
                  <c:v>87.07313999999998</c:v>
                </c:pt>
                <c:pt idx="3492">
                  <c:v>87.06904</c:v>
                </c:pt>
                <c:pt idx="3493">
                  <c:v>87.06489</c:v>
                </c:pt>
                <c:pt idx="3494">
                  <c:v>87.06078999999998</c:v>
                </c:pt>
                <c:pt idx="3495">
                  <c:v>87.0575</c:v>
                </c:pt>
                <c:pt idx="3496">
                  <c:v>87.05502</c:v>
                </c:pt>
                <c:pt idx="3497">
                  <c:v>87.0526</c:v>
                </c:pt>
                <c:pt idx="3498">
                  <c:v>87.05093</c:v>
                </c:pt>
                <c:pt idx="3499">
                  <c:v>87.04764</c:v>
                </c:pt>
                <c:pt idx="3500">
                  <c:v>87.04516</c:v>
                </c:pt>
                <c:pt idx="3501">
                  <c:v>87.04267</c:v>
                </c:pt>
                <c:pt idx="3502">
                  <c:v>87.04106</c:v>
                </c:pt>
                <c:pt idx="3503">
                  <c:v>87.03777</c:v>
                </c:pt>
                <c:pt idx="3504">
                  <c:v>87.03529</c:v>
                </c:pt>
                <c:pt idx="3505">
                  <c:v>87.03281</c:v>
                </c:pt>
                <c:pt idx="3506">
                  <c:v>87.03037999999998</c:v>
                </c:pt>
                <c:pt idx="3507">
                  <c:v>87.02870999999975</c:v>
                </c:pt>
                <c:pt idx="3508">
                  <c:v>87.02623000000001</c:v>
                </c:pt>
                <c:pt idx="3509">
                  <c:v>87.02379999999998</c:v>
                </c:pt>
                <c:pt idx="3510">
                  <c:v>87.02132</c:v>
                </c:pt>
                <c:pt idx="3511">
                  <c:v>87.01883999999998</c:v>
                </c:pt>
                <c:pt idx="3512">
                  <c:v>87.01636</c:v>
                </c:pt>
                <c:pt idx="3513">
                  <c:v>87.01475</c:v>
                </c:pt>
                <c:pt idx="3514">
                  <c:v>87.01226</c:v>
                </c:pt>
                <c:pt idx="3515">
                  <c:v>87.00897</c:v>
                </c:pt>
                <c:pt idx="3516">
                  <c:v>87.00649</c:v>
                </c:pt>
                <c:pt idx="3517">
                  <c:v>87.00401</c:v>
                </c:pt>
                <c:pt idx="3518">
                  <c:v>87.00159</c:v>
                </c:pt>
                <c:pt idx="3519">
                  <c:v>86.99911</c:v>
                </c:pt>
                <c:pt idx="3520">
                  <c:v>86.99743</c:v>
                </c:pt>
                <c:pt idx="3521">
                  <c:v>86.99501</c:v>
                </c:pt>
                <c:pt idx="3522">
                  <c:v>86.99166</c:v>
                </c:pt>
                <c:pt idx="3523">
                  <c:v>86.98924</c:v>
                </c:pt>
                <c:pt idx="3524">
                  <c:v>86.98676</c:v>
                </c:pt>
                <c:pt idx="3525">
                  <c:v>86.98509</c:v>
                </c:pt>
                <c:pt idx="3526">
                  <c:v>86.9818</c:v>
                </c:pt>
                <c:pt idx="3527">
                  <c:v>86.98018</c:v>
                </c:pt>
                <c:pt idx="3528">
                  <c:v>86.97770000000001</c:v>
                </c:pt>
                <c:pt idx="3529">
                  <c:v>86.97522</c:v>
                </c:pt>
                <c:pt idx="3530">
                  <c:v>86.97193</c:v>
                </c:pt>
                <c:pt idx="3531">
                  <c:v>86.97031</c:v>
                </c:pt>
                <c:pt idx="3532">
                  <c:v>86.96783</c:v>
                </c:pt>
                <c:pt idx="3533">
                  <c:v>86.96454</c:v>
                </c:pt>
                <c:pt idx="3534">
                  <c:v>86.96206</c:v>
                </c:pt>
                <c:pt idx="3535">
                  <c:v>86.95958</c:v>
                </c:pt>
                <c:pt idx="3536">
                  <c:v>86.95796</c:v>
                </c:pt>
                <c:pt idx="3537">
                  <c:v>86.95547999999998</c:v>
                </c:pt>
                <c:pt idx="3538">
                  <c:v>86.953</c:v>
                </c:pt>
                <c:pt idx="3539">
                  <c:v>86.95058</c:v>
                </c:pt>
                <c:pt idx="3540">
                  <c:v>86.9481</c:v>
                </c:pt>
                <c:pt idx="3541">
                  <c:v>86.94562</c:v>
                </c:pt>
                <c:pt idx="3542">
                  <c:v>86.94313</c:v>
                </c:pt>
                <c:pt idx="3543">
                  <c:v>86.94071</c:v>
                </c:pt>
                <c:pt idx="3544">
                  <c:v>86.93823</c:v>
                </c:pt>
                <c:pt idx="3545">
                  <c:v>86.93494</c:v>
                </c:pt>
                <c:pt idx="3546">
                  <c:v>86.93327</c:v>
                </c:pt>
                <c:pt idx="3547">
                  <c:v>86.93165</c:v>
                </c:pt>
                <c:pt idx="3548">
                  <c:v>86.92836</c:v>
                </c:pt>
                <c:pt idx="3549">
                  <c:v>86.92587999999998</c:v>
                </c:pt>
                <c:pt idx="3550">
                  <c:v>86.9234</c:v>
                </c:pt>
                <c:pt idx="3551">
                  <c:v>86.92092</c:v>
                </c:pt>
                <c:pt idx="3552">
                  <c:v>86.9193</c:v>
                </c:pt>
                <c:pt idx="3553">
                  <c:v>86.91682</c:v>
                </c:pt>
                <c:pt idx="3554">
                  <c:v>86.91353</c:v>
                </c:pt>
                <c:pt idx="3555">
                  <c:v>86.91105</c:v>
                </c:pt>
                <c:pt idx="3556">
                  <c:v>86.90776</c:v>
                </c:pt>
                <c:pt idx="3557">
                  <c:v>86.90615</c:v>
                </c:pt>
                <c:pt idx="3558">
                  <c:v>86.90286</c:v>
                </c:pt>
                <c:pt idx="3559">
                  <c:v>86.90118</c:v>
                </c:pt>
                <c:pt idx="3560">
                  <c:v>86.8987</c:v>
                </c:pt>
                <c:pt idx="3561">
                  <c:v>86.89628</c:v>
                </c:pt>
                <c:pt idx="3562">
                  <c:v>86.89461</c:v>
                </c:pt>
                <c:pt idx="3563">
                  <c:v>86.89132</c:v>
                </c:pt>
                <c:pt idx="3564">
                  <c:v>86.8897</c:v>
                </c:pt>
                <c:pt idx="3565">
                  <c:v>86.88641</c:v>
                </c:pt>
                <c:pt idx="3566">
                  <c:v>86.88393</c:v>
                </c:pt>
                <c:pt idx="3567">
                  <c:v>86.88145</c:v>
                </c:pt>
                <c:pt idx="3568">
                  <c:v>86.87896999999998</c:v>
                </c:pt>
                <c:pt idx="3569">
                  <c:v>86.87653999999995</c:v>
                </c:pt>
                <c:pt idx="3570">
                  <c:v>86.87406</c:v>
                </c:pt>
                <c:pt idx="3571">
                  <c:v>86.87157999999998</c:v>
                </c:pt>
                <c:pt idx="3572">
                  <c:v>86.8691</c:v>
                </c:pt>
                <c:pt idx="3573">
                  <c:v>86.86662</c:v>
                </c:pt>
                <c:pt idx="3574">
                  <c:v>86.86333</c:v>
                </c:pt>
                <c:pt idx="3575">
                  <c:v>86.86091</c:v>
                </c:pt>
                <c:pt idx="3576">
                  <c:v>86.85923</c:v>
                </c:pt>
                <c:pt idx="3577">
                  <c:v>86.85674999999995</c:v>
                </c:pt>
                <c:pt idx="3578">
                  <c:v>86.85433</c:v>
                </c:pt>
                <c:pt idx="3579">
                  <c:v>86.85104</c:v>
                </c:pt>
                <c:pt idx="3580">
                  <c:v>86.84937</c:v>
                </c:pt>
                <c:pt idx="3581">
                  <c:v>86.84688</c:v>
                </c:pt>
                <c:pt idx="3582">
                  <c:v>86.8444</c:v>
                </c:pt>
                <c:pt idx="3583">
                  <c:v>86.84198</c:v>
                </c:pt>
                <c:pt idx="3584">
                  <c:v>86.83869</c:v>
                </c:pt>
                <c:pt idx="3585">
                  <c:v>86.83539999999998</c:v>
                </c:pt>
                <c:pt idx="3586">
                  <c:v>86.83454</c:v>
                </c:pt>
                <c:pt idx="3587">
                  <c:v>86.83125</c:v>
                </c:pt>
                <c:pt idx="3588">
                  <c:v>86.82881999999998</c:v>
                </c:pt>
                <c:pt idx="3589">
                  <c:v>86.82633999999948</c:v>
                </c:pt>
                <c:pt idx="3590">
                  <c:v>86.82385999999998</c:v>
                </c:pt>
                <c:pt idx="3591">
                  <c:v>86.82223999999998</c:v>
                </c:pt>
                <c:pt idx="3592">
                  <c:v>86.81896</c:v>
                </c:pt>
                <c:pt idx="3593">
                  <c:v>86.81728</c:v>
                </c:pt>
                <c:pt idx="3594">
                  <c:v>86.81399</c:v>
                </c:pt>
                <c:pt idx="3595">
                  <c:v>86.81151</c:v>
                </c:pt>
                <c:pt idx="3596">
                  <c:v>86.80903</c:v>
                </c:pt>
                <c:pt idx="3597">
                  <c:v>86.80661</c:v>
                </c:pt>
                <c:pt idx="3598">
                  <c:v>86.80332</c:v>
                </c:pt>
                <c:pt idx="3599">
                  <c:v>86.79507</c:v>
                </c:pt>
                <c:pt idx="3600">
                  <c:v>86.79258</c:v>
                </c:pt>
                <c:pt idx="3601">
                  <c:v>86.79674</c:v>
                </c:pt>
                <c:pt idx="3602">
                  <c:v>86.79916</c:v>
                </c:pt>
                <c:pt idx="3603">
                  <c:v>86.79345</c:v>
                </c:pt>
                <c:pt idx="3604">
                  <c:v>86.79016</c:v>
                </c:pt>
                <c:pt idx="3605">
                  <c:v>86.78601</c:v>
                </c:pt>
                <c:pt idx="3606">
                  <c:v>86.78439</c:v>
                </c:pt>
                <c:pt idx="3607">
                  <c:v>86.7811</c:v>
                </c:pt>
                <c:pt idx="3608">
                  <c:v>86.77862</c:v>
                </c:pt>
                <c:pt idx="3609">
                  <c:v>86.77695</c:v>
                </c:pt>
                <c:pt idx="3610">
                  <c:v>86.77366</c:v>
                </c:pt>
                <c:pt idx="3611">
                  <c:v>86.77123</c:v>
                </c:pt>
                <c:pt idx="3612">
                  <c:v>86.76874999999998</c:v>
                </c:pt>
                <c:pt idx="3613">
                  <c:v>86.76627</c:v>
                </c:pt>
                <c:pt idx="3614">
                  <c:v>86.76298</c:v>
                </c:pt>
                <c:pt idx="3615">
                  <c:v>86.7605</c:v>
                </c:pt>
                <c:pt idx="3616">
                  <c:v>86.75807999999998</c:v>
                </c:pt>
                <c:pt idx="3617">
                  <c:v>86.7556</c:v>
                </c:pt>
                <c:pt idx="3618">
                  <c:v>86.75392</c:v>
                </c:pt>
                <c:pt idx="3619">
                  <c:v>86.75063</c:v>
                </c:pt>
                <c:pt idx="3620">
                  <c:v>86.74815</c:v>
                </c:pt>
                <c:pt idx="3621">
                  <c:v>86.74573</c:v>
                </c:pt>
                <c:pt idx="3622">
                  <c:v>86.74325</c:v>
                </c:pt>
                <c:pt idx="3623">
                  <c:v>86.73996</c:v>
                </c:pt>
                <c:pt idx="3624">
                  <c:v>86.73748</c:v>
                </c:pt>
                <c:pt idx="3625">
                  <c:v>86.73500000000001</c:v>
                </c:pt>
                <c:pt idx="3626">
                  <c:v>86.73337999999998</c:v>
                </c:pt>
                <c:pt idx="3627">
                  <c:v>86.7309</c:v>
                </c:pt>
                <c:pt idx="3628">
                  <c:v>86.72761</c:v>
                </c:pt>
                <c:pt idx="3629">
                  <c:v>86.72513</c:v>
                </c:pt>
                <c:pt idx="3630">
                  <c:v>86.72265</c:v>
                </c:pt>
                <c:pt idx="3631">
                  <c:v>86.72103000000001</c:v>
                </c:pt>
                <c:pt idx="3632">
                  <c:v>86.71855</c:v>
                </c:pt>
                <c:pt idx="3633">
                  <c:v>86.71607</c:v>
                </c:pt>
                <c:pt idx="3634">
                  <c:v>86.71277999999998</c:v>
                </c:pt>
                <c:pt idx="3635">
                  <c:v>86.70949</c:v>
                </c:pt>
                <c:pt idx="3636">
                  <c:v>86.70707</c:v>
                </c:pt>
                <c:pt idx="3637">
                  <c:v>86.70459</c:v>
                </c:pt>
                <c:pt idx="3638">
                  <c:v>86.7013</c:v>
                </c:pt>
                <c:pt idx="3639">
                  <c:v>86.69962</c:v>
                </c:pt>
                <c:pt idx="3640">
                  <c:v>86.69632999999997</c:v>
                </c:pt>
                <c:pt idx="3641">
                  <c:v>86.69472</c:v>
                </c:pt>
                <c:pt idx="3642">
                  <c:v>86.69224</c:v>
                </c:pt>
                <c:pt idx="3643">
                  <c:v>86.68894999999995</c:v>
                </c:pt>
                <c:pt idx="3644">
                  <c:v>86.68646999999998</c:v>
                </c:pt>
                <c:pt idx="3645">
                  <c:v>86.68398999999998</c:v>
                </c:pt>
                <c:pt idx="3646">
                  <c:v>86.68156</c:v>
                </c:pt>
                <c:pt idx="3647">
                  <c:v>86.67907999999898</c:v>
                </c:pt>
                <c:pt idx="3648">
                  <c:v>86.67659999999998</c:v>
                </c:pt>
                <c:pt idx="3649">
                  <c:v>86.67412</c:v>
                </c:pt>
                <c:pt idx="3650">
                  <c:v>86.67082999999998</c:v>
                </c:pt>
                <c:pt idx="3651">
                  <c:v>86.66834999999975</c:v>
                </c:pt>
                <c:pt idx="3652">
                  <c:v>86.66672999999998</c:v>
                </c:pt>
                <c:pt idx="3653">
                  <c:v>86.66343999999998</c:v>
                </c:pt>
                <c:pt idx="3654">
                  <c:v>86.66096</c:v>
                </c:pt>
                <c:pt idx="3655">
                  <c:v>86.65847999999878</c:v>
                </c:pt>
                <c:pt idx="3656">
                  <c:v>86.65605999999998</c:v>
                </c:pt>
                <c:pt idx="3657">
                  <c:v>86.65357999999995</c:v>
                </c:pt>
                <c:pt idx="3658">
                  <c:v>86.65029</c:v>
                </c:pt>
                <c:pt idx="3659">
                  <c:v>86.64781</c:v>
                </c:pt>
                <c:pt idx="3660">
                  <c:v>86.64619</c:v>
                </c:pt>
                <c:pt idx="3661">
                  <c:v>86.64371</c:v>
                </c:pt>
                <c:pt idx="3662">
                  <c:v>86.64042</c:v>
                </c:pt>
                <c:pt idx="3663">
                  <c:v>86.63794</c:v>
                </c:pt>
                <c:pt idx="3664">
                  <c:v>86.63545999999998</c:v>
                </c:pt>
                <c:pt idx="3665">
                  <c:v>86.63297999999975</c:v>
                </c:pt>
                <c:pt idx="3666">
                  <c:v>86.63055</c:v>
                </c:pt>
                <c:pt idx="3667">
                  <c:v>86.62806999999998</c:v>
                </c:pt>
                <c:pt idx="3668">
                  <c:v>86.62558999999958</c:v>
                </c:pt>
                <c:pt idx="3669">
                  <c:v>86.62229999999998</c:v>
                </c:pt>
                <c:pt idx="3670">
                  <c:v>86.61982</c:v>
                </c:pt>
                <c:pt idx="3671">
                  <c:v>86.6182</c:v>
                </c:pt>
                <c:pt idx="3672">
                  <c:v>86.61411</c:v>
                </c:pt>
                <c:pt idx="3673">
                  <c:v>86.61162</c:v>
                </c:pt>
                <c:pt idx="3674">
                  <c:v>86.60913999999998</c:v>
                </c:pt>
                <c:pt idx="3675">
                  <c:v>86.60666</c:v>
                </c:pt>
                <c:pt idx="3676">
                  <c:v>86.60418</c:v>
                </c:pt>
                <c:pt idx="3677">
                  <c:v>86.60176</c:v>
                </c:pt>
                <c:pt idx="3678">
                  <c:v>86.59928</c:v>
                </c:pt>
                <c:pt idx="3679">
                  <c:v>86.59679</c:v>
                </c:pt>
                <c:pt idx="3680">
                  <c:v>86.59431</c:v>
                </c:pt>
                <c:pt idx="3681">
                  <c:v>86.59102</c:v>
                </c:pt>
                <c:pt idx="3682">
                  <c:v>86.5886</c:v>
                </c:pt>
                <c:pt idx="3683">
                  <c:v>86.58612</c:v>
                </c:pt>
                <c:pt idx="3684">
                  <c:v>86.58364</c:v>
                </c:pt>
                <c:pt idx="3685">
                  <c:v>86.58034999999998</c:v>
                </c:pt>
                <c:pt idx="3686">
                  <c:v>86.57867999999995</c:v>
                </c:pt>
                <c:pt idx="3687">
                  <c:v>86.57538999999898</c:v>
                </c:pt>
                <c:pt idx="3688">
                  <c:v>86.57376999999998</c:v>
                </c:pt>
                <c:pt idx="3689">
                  <c:v>86.57047999999975</c:v>
                </c:pt>
                <c:pt idx="3690">
                  <c:v>86.56719</c:v>
                </c:pt>
                <c:pt idx="3691">
                  <c:v>86.56552</c:v>
                </c:pt>
                <c:pt idx="3692">
                  <c:v>86.55652</c:v>
                </c:pt>
                <c:pt idx="3693">
                  <c:v>86.55565</c:v>
                </c:pt>
                <c:pt idx="3694">
                  <c:v>86.55484</c:v>
                </c:pt>
                <c:pt idx="3695">
                  <c:v>86.55404</c:v>
                </c:pt>
                <c:pt idx="3696">
                  <c:v>86.55813</c:v>
                </c:pt>
                <c:pt idx="3697">
                  <c:v>86.55323000000001</c:v>
                </c:pt>
                <c:pt idx="3698">
                  <c:v>86.54746</c:v>
                </c:pt>
                <c:pt idx="3699">
                  <c:v>86.54417</c:v>
                </c:pt>
                <c:pt idx="3700">
                  <c:v>86.54088</c:v>
                </c:pt>
                <c:pt idx="3701">
                  <c:v>86.53921</c:v>
                </c:pt>
                <c:pt idx="3702">
                  <c:v>86.53592</c:v>
                </c:pt>
                <c:pt idx="3703">
                  <c:v>86.53344</c:v>
                </c:pt>
                <c:pt idx="3704">
                  <c:v>86.53101</c:v>
                </c:pt>
                <c:pt idx="3705">
                  <c:v>86.52772</c:v>
                </c:pt>
                <c:pt idx="3706">
                  <c:v>86.52605</c:v>
                </c:pt>
                <c:pt idx="3707">
                  <c:v>86.52275999999995</c:v>
                </c:pt>
                <c:pt idx="3708">
                  <c:v>86.52028</c:v>
                </c:pt>
                <c:pt idx="3709">
                  <c:v>86.51699</c:v>
                </c:pt>
                <c:pt idx="3710">
                  <c:v>86.51451</c:v>
                </c:pt>
                <c:pt idx="3711">
                  <c:v>86.51209</c:v>
                </c:pt>
                <c:pt idx="3712">
                  <c:v>86.5096</c:v>
                </c:pt>
                <c:pt idx="3713">
                  <c:v>86.50631</c:v>
                </c:pt>
                <c:pt idx="3714">
                  <c:v>86.50303</c:v>
                </c:pt>
                <c:pt idx="3715">
                  <c:v>86.50054</c:v>
                </c:pt>
                <c:pt idx="3716">
                  <c:v>86.49806</c:v>
                </c:pt>
                <c:pt idx="3717">
                  <c:v>86.49645</c:v>
                </c:pt>
                <c:pt idx="3718">
                  <c:v>86.49316</c:v>
                </c:pt>
                <c:pt idx="3719">
                  <c:v>86.49068</c:v>
                </c:pt>
                <c:pt idx="3720">
                  <c:v>86.48739</c:v>
                </c:pt>
                <c:pt idx="3721">
                  <c:v>86.48491</c:v>
                </c:pt>
                <c:pt idx="3722">
                  <c:v>86.48243</c:v>
                </c:pt>
                <c:pt idx="3723">
                  <c:v>86.48</c:v>
                </c:pt>
                <c:pt idx="3724">
                  <c:v>86.47584999999998</c:v>
                </c:pt>
                <c:pt idx="3725">
                  <c:v>86.47342</c:v>
                </c:pt>
                <c:pt idx="3726">
                  <c:v>86.47175</c:v>
                </c:pt>
                <c:pt idx="3727">
                  <c:v>86.46765</c:v>
                </c:pt>
                <c:pt idx="3728">
                  <c:v>86.46517</c:v>
                </c:pt>
                <c:pt idx="3729">
                  <c:v>86.46269</c:v>
                </c:pt>
                <c:pt idx="3730">
                  <c:v>86.45363</c:v>
                </c:pt>
                <c:pt idx="3731">
                  <c:v>86.45363</c:v>
                </c:pt>
                <c:pt idx="3732">
                  <c:v>86.45779</c:v>
                </c:pt>
                <c:pt idx="3733">
                  <c:v>86.45611</c:v>
                </c:pt>
                <c:pt idx="3734">
                  <c:v>86.45121</c:v>
                </c:pt>
                <c:pt idx="3735">
                  <c:v>86.44792</c:v>
                </c:pt>
                <c:pt idx="3736">
                  <c:v>86.44463</c:v>
                </c:pt>
                <c:pt idx="3737">
                  <c:v>86.44134</c:v>
                </c:pt>
                <c:pt idx="3738">
                  <c:v>86.43886</c:v>
                </c:pt>
                <c:pt idx="3739">
                  <c:v>86.43638</c:v>
                </c:pt>
                <c:pt idx="3740">
                  <c:v>86.4339</c:v>
                </c:pt>
                <c:pt idx="3741">
                  <c:v>86.43061</c:v>
                </c:pt>
                <c:pt idx="3742">
                  <c:v>86.42899</c:v>
                </c:pt>
                <c:pt idx="3743">
                  <c:v>86.4257</c:v>
                </c:pt>
                <c:pt idx="3744">
                  <c:v>86.42241</c:v>
                </c:pt>
                <c:pt idx="3745">
                  <c:v>86.42073999999998</c:v>
                </c:pt>
                <c:pt idx="3746">
                  <c:v>86.41912</c:v>
                </c:pt>
                <c:pt idx="3747">
                  <c:v>86.40678</c:v>
                </c:pt>
                <c:pt idx="3748">
                  <c:v>86.40678</c:v>
                </c:pt>
                <c:pt idx="3749">
                  <c:v>86.40597</c:v>
                </c:pt>
                <c:pt idx="3750">
                  <c:v>86.4051</c:v>
                </c:pt>
                <c:pt idx="3751">
                  <c:v>86.40349</c:v>
                </c:pt>
                <c:pt idx="3752">
                  <c:v>86.40262</c:v>
                </c:pt>
                <c:pt idx="3753">
                  <c:v>86.40262</c:v>
                </c:pt>
                <c:pt idx="3754">
                  <c:v>86.40349</c:v>
                </c:pt>
                <c:pt idx="3755">
                  <c:v>86.39772</c:v>
                </c:pt>
                <c:pt idx="3756">
                  <c:v>86.39274999999998</c:v>
                </c:pt>
                <c:pt idx="3757">
                  <c:v>86.38866</c:v>
                </c:pt>
                <c:pt idx="3758">
                  <c:v>86.38456</c:v>
                </c:pt>
                <c:pt idx="3759">
                  <c:v>86.38207999999958</c:v>
                </c:pt>
                <c:pt idx="3760">
                  <c:v>86.37959999999998</c:v>
                </c:pt>
                <c:pt idx="3761">
                  <c:v>86.37717</c:v>
                </c:pt>
                <c:pt idx="3762">
                  <c:v>86.37549999999958</c:v>
                </c:pt>
                <c:pt idx="3763">
                  <c:v>86.37139999999998</c:v>
                </c:pt>
                <c:pt idx="3764">
                  <c:v>86.36972999999997</c:v>
                </c:pt>
                <c:pt idx="3765">
                  <c:v>86.36643999999998</c:v>
                </c:pt>
                <c:pt idx="3766">
                  <c:v>86.36396</c:v>
                </c:pt>
                <c:pt idx="3767">
                  <c:v>86.36154</c:v>
                </c:pt>
                <c:pt idx="3768">
                  <c:v>86.35825</c:v>
                </c:pt>
                <c:pt idx="3769">
                  <c:v>86.35576999999998</c:v>
                </c:pt>
                <c:pt idx="3770">
                  <c:v>86.35328</c:v>
                </c:pt>
                <c:pt idx="3771">
                  <c:v>86.34999</c:v>
                </c:pt>
                <c:pt idx="3772">
                  <c:v>86.34751</c:v>
                </c:pt>
                <c:pt idx="3773">
                  <c:v>86.34503</c:v>
                </c:pt>
                <c:pt idx="3774">
                  <c:v>86.34261</c:v>
                </c:pt>
                <c:pt idx="3775">
                  <c:v>86.33932</c:v>
                </c:pt>
                <c:pt idx="3776">
                  <c:v>86.33603</c:v>
                </c:pt>
                <c:pt idx="3777">
                  <c:v>86.33355</c:v>
                </c:pt>
                <c:pt idx="3778">
                  <c:v>86.33107</c:v>
                </c:pt>
                <c:pt idx="3779">
                  <c:v>86.32858999999995</c:v>
                </c:pt>
                <c:pt idx="3780">
                  <c:v>86.32616</c:v>
                </c:pt>
                <c:pt idx="3781">
                  <c:v>86.32286999999998</c:v>
                </c:pt>
                <c:pt idx="3782">
                  <c:v>86.31958</c:v>
                </c:pt>
                <c:pt idx="3783">
                  <c:v>86.31791</c:v>
                </c:pt>
                <c:pt idx="3784">
                  <c:v>86.31543</c:v>
                </c:pt>
                <c:pt idx="3785">
                  <c:v>86.31214</c:v>
                </c:pt>
                <c:pt idx="3786">
                  <c:v>86.30884999999998</c:v>
                </c:pt>
                <c:pt idx="3787">
                  <c:v>86.30636999999998</c:v>
                </c:pt>
                <c:pt idx="3788">
                  <c:v>86.30395</c:v>
                </c:pt>
                <c:pt idx="3789">
                  <c:v>86.30066</c:v>
                </c:pt>
                <c:pt idx="3790">
                  <c:v>86.29818</c:v>
                </c:pt>
                <c:pt idx="3791">
                  <c:v>86.2957</c:v>
                </c:pt>
                <c:pt idx="3792">
                  <c:v>86.28583</c:v>
                </c:pt>
                <c:pt idx="3793">
                  <c:v>86.28583</c:v>
                </c:pt>
                <c:pt idx="3794">
                  <c:v>86.28583</c:v>
                </c:pt>
                <c:pt idx="3795">
                  <c:v>86.29079</c:v>
                </c:pt>
                <c:pt idx="3796">
                  <c:v>86.28502</c:v>
                </c:pt>
                <c:pt idx="3797">
                  <c:v>86.28087</c:v>
                </c:pt>
                <c:pt idx="3798">
                  <c:v>86.27676999999998</c:v>
                </c:pt>
                <c:pt idx="3799">
                  <c:v>86.27429</c:v>
                </c:pt>
                <c:pt idx="3800">
                  <c:v>86.27019</c:v>
                </c:pt>
                <c:pt idx="3801">
                  <c:v>86.27019</c:v>
                </c:pt>
                <c:pt idx="3802">
                  <c:v>86.25703</c:v>
                </c:pt>
                <c:pt idx="3803">
                  <c:v>86.25623</c:v>
                </c:pt>
                <c:pt idx="3804">
                  <c:v>86.25703</c:v>
                </c:pt>
                <c:pt idx="3805">
                  <c:v>86.26361</c:v>
                </c:pt>
                <c:pt idx="3806">
                  <c:v>86.25623</c:v>
                </c:pt>
                <c:pt idx="3807">
                  <c:v>86.25293999999998</c:v>
                </c:pt>
                <c:pt idx="3808">
                  <c:v>86.24965</c:v>
                </c:pt>
                <c:pt idx="3809">
                  <c:v>86.24636</c:v>
                </c:pt>
                <c:pt idx="3810">
                  <c:v>86.24307</c:v>
                </c:pt>
                <c:pt idx="3811">
                  <c:v>86.2414</c:v>
                </c:pt>
                <c:pt idx="3812">
                  <c:v>86.2373</c:v>
                </c:pt>
                <c:pt idx="3813">
                  <c:v>86.23401</c:v>
                </c:pt>
                <c:pt idx="3814">
                  <c:v>86.23072</c:v>
                </c:pt>
                <c:pt idx="3815">
                  <c:v>86.22824</c:v>
                </c:pt>
                <c:pt idx="3816">
                  <c:v>86.22657</c:v>
                </c:pt>
                <c:pt idx="3817">
                  <c:v>86.22328</c:v>
                </c:pt>
                <c:pt idx="3818">
                  <c:v>86.21999</c:v>
                </c:pt>
                <c:pt idx="3819">
                  <c:v>86.21099</c:v>
                </c:pt>
                <c:pt idx="3820">
                  <c:v>86.21099</c:v>
                </c:pt>
                <c:pt idx="3821">
                  <c:v>86.21179</c:v>
                </c:pt>
                <c:pt idx="3822">
                  <c:v>86.21427000000002</c:v>
                </c:pt>
                <c:pt idx="3823">
                  <c:v>86.2085</c:v>
                </c:pt>
                <c:pt idx="3824">
                  <c:v>86.20522</c:v>
                </c:pt>
                <c:pt idx="3825">
                  <c:v>86.20112</c:v>
                </c:pt>
                <c:pt idx="3826">
                  <c:v>86.19863999999998</c:v>
                </c:pt>
                <c:pt idx="3827">
                  <c:v>86.19534999999995</c:v>
                </c:pt>
                <c:pt idx="3828">
                  <c:v>86.19286999999998</c:v>
                </c:pt>
                <c:pt idx="3829">
                  <c:v>86.18957999999998</c:v>
                </c:pt>
                <c:pt idx="3830">
                  <c:v>86.18629</c:v>
                </c:pt>
                <c:pt idx="3831">
                  <c:v>86.18380999999998</c:v>
                </c:pt>
                <c:pt idx="3832">
                  <c:v>86.18132999999997</c:v>
                </c:pt>
                <c:pt idx="3833">
                  <c:v>86.17889999999898</c:v>
                </c:pt>
                <c:pt idx="3834">
                  <c:v>86.17474999999965</c:v>
                </c:pt>
                <c:pt idx="3835">
                  <c:v>86.17145999999998</c:v>
                </c:pt>
                <c:pt idx="3836">
                  <c:v>86.16983999999998</c:v>
                </c:pt>
                <c:pt idx="3837">
                  <c:v>86.16655</c:v>
                </c:pt>
                <c:pt idx="3838">
                  <c:v>86.16326</c:v>
                </c:pt>
                <c:pt idx="3839">
                  <c:v>86.16077999999958</c:v>
                </c:pt>
                <c:pt idx="3840">
                  <c:v>86.15748999999998</c:v>
                </c:pt>
                <c:pt idx="3841">
                  <c:v>86.15500999999985</c:v>
                </c:pt>
                <c:pt idx="3842">
                  <c:v>86.15252999999998</c:v>
                </c:pt>
                <c:pt idx="3843">
                  <c:v>86.14924</c:v>
                </c:pt>
                <c:pt idx="3844">
                  <c:v>86.14682</c:v>
                </c:pt>
                <c:pt idx="3845">
                  <c:v>86.14353000000001</c:v>
                </c:pt>
                <c:pt idx="3846">
                  <c:v>86.14105</c:v>
                </c:pt>
                <c:pt idx="3847">
                  <c:v>86.13776</c:v>
                </c:pt>
                <c:pt idx="3848">
                  <c:v>86.13447</c:v>
                </c:pt>
                <c:pt idx="3849">
                  <c:v>86.13199</c:v>
                </c:pt>
                <c:pt idx="3850">
                  <c:v>86.12950999999998</c:v>
                </c:pt>
                <c:pt idx="3851">
                  <c:v>86.12622</c:v>
                </c:pt>
                <c:pt idx="3852">
                  <c:v>86.12292999999998</c:v>
                </c:pt>
                <c:pt idx="3853">
                  <c:v>86.12044999999995</c:v>
                </c:pt>
                <c:pt idx="3854">
                  <c:v>86.11716</c:v>
                </c:pt>
                <c:pt idx="3855">
                  <c:v>86.11387</c:v>
                </c:pt>
                <c:pt idx="3856">
                  <c:v>86.11058</c:v>
                </c:pt>
                <c:pt idx="3857">
                  <c:v>86.10809999999998</c:v>
                </c:pt>
                <c:pt idx="3858">
                  <c:v>86.10481</c:v>
                </c:pt>
                <c:pt idx="3859">
                  <c:v>86.10152</c:v>
                </c:pt>
                <c:pt idx="3860">
                  <c:v>86.09823</c:v>
                </c:pt>
                <c:pt idx="3861">
                  <c:v>86.09494</c:v>
                </c:pt>
                <c:pt idx="3862">
                  <c:v>86.09333</c:v>
                </c:pt>
                <c:pt idx="3863">
                  <c:v>86.08097999999998</c:v>
                </c:pt>
                <c:pt idx="3864">
                  <c:v>86.08346</c:v>
                </c:pt>
                <c:pt idx="3865">
                  <c:v>86.08346</c:v>
                </c:pt>
                <c:pt idx="3866">
                  <c:v>86.08674999999998</c:v>
                </c:pt>
                <c:pt idx="3867">
                  <c:v>86.08097999999998</c:v>
                </c:pt>
                <c:pt idx="3868">
                  <c:v>86.07602</c:v>
                </c:pt>
                <c:pt idx="3869">
                  <c:v>86.07272999999998</c:v>
                </c:pt>
                <c:pt idx="3870">
                  <c:v>86.06863000000001</c:v>
                </c:pt>
                <c:pt idx="3871">
                  <c:v>86.06615</c:v>
                </c:pt>
                <c:pt idx="3872">
                  <c:v>86.06286</c:v>
                </c:pt>
                <c:pt idx="3873">
                  <c:v>86.05875999999998</c:v>
                </c:pt>
                <c:pt idx="3874">
                  <c:v>86.05628</c:v>
                </c:pt>
                <c:pt idx="3875">
                  <c:v>86.05217999999998</c:v>
                </c:pt>
                <c:pt idx="3876">
                  <c:v>86.05051</c:v>
                </c:pt>
                <c:pt idx="3877">
                  <c:v>86.03903</c:v>
                </c:pt>
                <c:pt idx="3878">
                  <c:v>86.03735</c:v>
                </c:pt>
                <c:pt idx="3879">
                  <c:v>86.03735</c:v>
                </c:pt>
                <c:pt idx="3880">
                  <c:v>86.03735</c:v>
                </c:pt>
                <c:pt idx="3881">
                  <c:v>86.03984</c:v>
                </c:pt>
                <c:pt idx="3882">
                  <c:v>86.03822</c:v>
                </c:pt>
                <c:pt idx="3883">
                  <c:v>86.03244999999998</c:v>
                </c:pt>
                <c:pt idx="3884">
                  <c:v>86.02668</c:v>
                </c:pt>
                <c:pt idx="3885">
                  <c:v>86.02505999999998</c:v>
                </c:pt>
                <c:pt idx="3886">
                  <c:v>86.01433</c:v>
                </c:pt>
                <c:pt idx="3887">
                  <c:v>86.01104</c:v>
                </c:pt>
                <c:pt idx="3888">
                  <c:v>86.00943</c:v>
                </c:pt>
                <c:pt idx="3889">
                  <c:v>86.00775</c:v>
                </c:pt>
                <c:pt idx="3890">
                  <c:v>86.00694</c:v>
                </c:pt>
                <c:pt idx="3891">
                  <c:v>86.00775</c:v>
                </c:pt>
                <c:pt idx="3892">
                  <c:v>86.00614</c:v>
                </c:pt>
                <c:pt idx="3893">
                  <c:v>86.00036999999997</c:v>
                </c:pt>
                <c:pt idx="3894">
                  <c:v>85.9954</c:v>
                </c:pt>
                <c:pt idx="3895">
                  <c:v>85.99131</c:v>
                </c:pt>
                <c:pt idx="3896">
                  <c:v>85.98802</c:v>
                </c:pt>
                <c:pt idx="3897">
                  <c:v>85.98473000000001</c:v>
                </c:pt>
                <c:pt idx="3898">
                  <c:v>85.98225</c:v>
                </c:pt>
                <c:pt idx="3899">
                  <c:v>85.97896</c:v>
                </c:pt>
                <c:pt idx="3900">
                  <c:v>85.97486</c:v>
                </c:pt>
                <c:pt idx="3901">
                  <c:v>85.97237999999938</c:v>
                </c:pt>
                <c:pt idx="3902">
                  <c:v>85.96909</c:v>
                </c:pt>
                <c:pt idx="3903">
                  <c:v>85.9658</c:v>
                </c:pt>
                <c:pt idx="3904">
                  <c:v>85.96251</c:v>
                </c:pt>
                <c:pt idx="3905">
                  <c:v>85.95922</c:v>
                </c:pt>
                <c:pt idx="3906">
                  <c:v>85.95593</c:v>
                </c:pt>
                <c:pt idx="3907" formatCode="0.00E+00">
                  <c:v>85.95345</c:v>
                </c:pt>
                <c:pt idx="3908">
                  <c:v>85.95016</c:v>
                </c:pt>
                <c:pt idx="3909">
                  <c:v>85.94687</c:v>
                </c:pt>
                <c:pt idx="3910">
                  <c:v>85.94359</c:v>
                </c:pt>
                <c:pt idx="3911">
                  <c:v>85.9403</c:v>
                </c:pt>
                <c:pt idx="3912">
                  <c:v>85.93701</c:v>
                </c:pt>
                <c:pt idx="3913">
                  <c:v>85.93453</c:v>
                </c:pt>
                <c:pt idx="3914">
                  <c:v>85.93124</c:v>
                </c:pt>
                <c:pt idx="3915">
                  <c:v>85.92795</c:v>
                </c:pt>
                <c:pt idx="3916">
                  <c:v>85.92466</c:v>
                </c:pt>
                <c:pt idx="3917">
                  <c:v>85.92137</c:v>
                </c:pt>
                <c:pt idx="3918">
                  <c:v>85.91727</c:v>
                </c:pt>
                <c:pt idx="3919">
                  <c:v>85.91398</c:v>
                </c:pt>
                <c:pt idx="3920">
                  <c:v>85.9115</c:v>
                </c:pt>
                <c:pt idx="3921">
                  <c:v>85.90821</c:v>
                </c:pt>
                <c:pt idx="3922">
                  <c:v>85.90492</c:v>
                </c:pt>
                <c:pt idx="3923">
                  <c:v>85.90163</c:v>
                </c:pt>
                <c:pt idx="3924">
                  <c:v>85.89834999999998</c:v>
                </c:pt>
                <c:pt idx="3925">
                  <c:v>85.89586</c:v>
                </c:pt>
                <c:pt idx="3926">
                  <c:v>85.89257</c:v>
                </c:pt>
                <c:pt idx="3927">
                  <c:v>85.88847999999938</c:v>
                </c:pt>
                <c:pt idx="3928">
                  <c:v>85.88518999999998</c:v>
                </c:pt>
                <c:pt idx="3929">
                  <c:v>85.8819</c:v>
                </c:pt>
                <c:pt idx="3930">
                  <c:v>85.87941999999998</c:v>
                </c:pt>
                <c:pt idx="3931">
                  <c:v>85.87531999999958</c:v>
                </c:pt>
                <c:pt idx="3932">
                  <c:v>85.87202999999998</c:v>
                </c:pt>
                <c:pt idx="3933">
                  <c:v>85.86873999999958</c:v>
                </c:pt>
                <c:pt idx="3934">
                  <c:v>85.86544999999998</c:v>
                </c:pt>
                <c:pt idx="3935">
                  <c:v>85.86296999999997</c:v>
                </c:pt>
                <c:pt idx="3936">
                  <c:v>85.85967999999998</c:v>
                </c:pt>
                <c:pt idx="3937">
                  <c:v>85.85638999999995</c:v>
                </c:pt>
                <c:pt idx="3938">
                  <c:v>85.85391</c:v>
                </c:pt>
                <c:pt idx="3939">
                  <c:v>85.84982</c:v>
                </c:pt>
                <c:pt idx="3940">
                  <c:v>85.84653</c:v>
                </c:pt>
                <c:pt idx="3941">
                  <c:v>85.84324</c:v>
                </c:pt>
                <c:pt idx="3942">
                  <c:v>85.83995</c:v>
                </c:pt>
                <c:pt idx="3943">
                  <c:v>85.83747</c:v>
                </c:pt>
                <c:pt idx="3944">
                  <c:v>85.83418</c:v>
                </c:pt>
                <c:pt idx="3945">
                  <c:v>85.83088999999998</c:v>
                </c:pt>
                <c:pt idx="3946">
                  <c:v>85.8276</c:v>
                </c:pt>
                <c:pt idx="3947">
                  <c:v>85.82430999999998</c:v>
                </c:pt>
                <c:pt idx="3948">
                  <c:v>85.82183</c:v>
                </c:pt>
                <c:pt idx="3949">
                  <c:v>85.81854</c:v>
                </c:pt>
                <c:pt idx="3950">
                  <c:v>85.81525</c:v>
                </c:pt>
                <c:pt idx="3951">
                  <c:v>85.81196</c:v>
                </c:pt>
                <c:pt idx="3952">
                  <c:v>85.80787</c:v>
                </c:pt>
                <c:pt idx="3953">
                  <c:v>85.80458</c:v>
                </c:pt>
                <c:pt idx="3954">
                  <c:v>85.80208999999998</c:v>
                </c:pt>
                <c:pt idx="3955">
                  <c:v>85.798</c:v>
                </c:pt>
                <c:pt idx="3956">
                  <c:v>85.79471</c:v>
                </c:pt>
                <c:pt idx="3957">
                  <c:v>85.79223</c:v>
                </c:pt>
                <c:pt idx="3958">
                  <c:v>85.78807</c:v>
                </c:pt>
                <c:pt idx="3959">
                  <c:v>85.78478</c:v>
                </c:pt>
                <c:pt idx="3960">
                  <c:v>85.78235999999998</c:v>
                </c:pt>
                <c:pt idx="3961">
                  <c:v>85.77907</c:v>
                </c:pt>
                <c:pt idx="3962">
                  <c:v>85.77577999999878</c:v>
                </c:pt>
                <c:pt idx="3963">
                  <c:v>85.77248999999995</c:v>
                </c:pt>
                <c:pt idx="3964">
                  <c:v>85.77001</c:v>
                </c:pt>
                <c:pt idx="3965">
                  <c:v>85.76753</c:v>
                </c:pt>
                <c:pt idx="3966">
                  <c:v>85.76343</c:v>
                </c:pt>
                <c:pt idx="3967">
                  <c:v>85.76014</c:v>
                </c:pt>
                <c:pt idx="3968">
                  <c:v>85.75766</c:v>
                </c:pt>
                <c:pt idx="3969">
                  <c:v>85.75517999999998</c:v>
                </c:pt>
                <c:pt idx="3970">
                  <c:v>85.7527</c:v>
                </c:pt>
                <c:pt idx="3971">
                  <c:v>85.7486</c:v>
                </c:pt>
                <c:pt idx="3972">
                  <c:v>85.74451</c:v>
                </c:pt>
                <c:pt idx="3973">
                  <c:v>85.74122</c:v>
                </c:pt>
                <c:pt idx="3974">
                  <c:v>85.73793</c:v>
                </c:pt>
                <c:pt idx="3975">
                  <c:v>85.73464</c:v>
                </c:pt>
                <c:pt idx="3976">
                  <c:v>85.73297</c:v>
                </c:pt>
                <c:pt idx="3977">
                  <c:v>85.72886999999998</c:v>
                </c:pt>
                <c:pt idx="3978">
                  <c:v>85.72557999999998</c:v>
                </c:pt>
                <c:pt idx="3979">
                  <c:v>85.72229</c:v>
                </c:pt>
                <c:pt idx="3980">
                  <c:v>85.71981</c:v>
                </c:pt>
                <c:pt idx="3981">
                  <c:v>85.71652</c:v>
                </c:pt>
                <c:pt idx="3982">
                  <c:v>85.71323</c:v>
                </c:pt>
                <c:pt idx="3983">
                  <c:v>85.70913</c:v>
                </c:pt>
                <c:pt idx="3984">
                  <c:v>85.70583999999998</c:v>
                </c:pt>
                <c:pt idx="3985">
                  <c:v>85.70417</c:v>
                </c:pt>
                <c:pt idx="3986">
                  <c:v>85.70088</c:v>
                </c:pt>
                <c:pt idx="3987">
                  <c:v>85.69839999999998</c:v>
                </c:pt>
                <c:pt idx="3988">
                  <c:v>85.69511</c:v>
                </c:pt>
                <c:pt idx="3989">
                  <c:v>85.69269</c:v>
                </c:pt>
                <c:pt idx="3990">
                  <c:v>85.68939999999998</c:v>
                </c:pt>
                <c:pt idx="3991">
                  <c:v>85.68611</c:v>
                </c:pt>
                <c:pt idx="3992">
                  <c:v>85.68281999999998</c:v>
                </c:pt>
                <c:pt idx="3993">
                  <c:v>85.68033999999938</c:v>
                </c:pt>
                <c:pt idx="3994">
                  <c:v>85.67704999999998</c:v>
                </c:pt>
                <c:pt idx="3995">
                  <c:v>85.67456999999997</c:v>
                </c:pt>
                <c:pt idx="3996">
                  <c:v>85.67208999999868</c:v>
                </c:pt>
                <c:pt idx="3997">
                  <c:v>85.66879999999995</c:v>
                </c:pt>
                <c:pt idx="3998">
                  <c:v>85.6647</c:v>
                </c:pt>
                <c:pt idx="3999">
                  <c:v>85.66141</c:v>
                </c:pt>
                <c:pt idx="4000">
                  <c:v>85.65811999999998</c:v>
                </c:pt>
                <c:pt idx="4001">
                  <c:v>85.65563999999995</c:v>
                </c:pt>
                <c:pt idx="4002">
                  <c:v>85.65316</c:v>
                </c:pt>
                <c:pt idx="4003">
                  <c:v>85.64987</c:v>
                </c:pt>
                <c:pt idx="4004">
                  <c:v>85.64658</c:v>
                </c:pt>
                <c:pt idx="4005">
                  <c:v>85.64329</c:v>
                </c:pt>
                <c:pt idx="4006">
                  <c:v>85.64</c:v>
                </c:pt>
                <c:pt idx="4007">
                  <c:v>85.63752</c:v>
                </c:pt>
                <c:pt idx="4008">
                  <c:v>85.63423</c:v>
                </c:pt>
                <c:pt idx="4009">
                  <c:v>85.63181</c:v>
                </c:pt>
                <c:pt idx="4010">
                  <c:v>85.62932999999998</c:v>
                </c:pt>
                <c:pt idx="4011">
                  <c:v>85.62603999999965</c:v>
                </c:pt>
                <c:pt idx="4012">
                  <c:v>85.62356</c:v>
                </c:pt>
                <c:pt idx="4013">
                  <c:v>85.62107999999998</c:v>
                </c:pt>
                <c:pt idx="4014" formatCode="0.00E+00">
                  <c:v>85.61779</c:v>
                </c:pt>
                <c:pt idx="4015">
                  <c:v>85.6145</c:v>
                </c:pt>
                <c:pt idx="4016">
                  <c:v>85.61207999999998</c:v>
                </c:pt>
                <c:pt idx="4017">
                  <c:v>85.60872999999998</c:v>
                </c:pt>
                <c:pt idx="4018">
                  <c:v>85.6063</c:v>
                </c:pt>
                <c:pt idx="4019">
                  <c:v>85.60302</c:v>
                </c:pt>
                <c:pt idx="4020">
                  <c:v>85.59973</c:v>
                </c:pt>
                <c:pt idx="4021">
                  <c:v>85.59725</c:v>
                </c:pt>
                <c:pt idx="4022">
                  <c:v>85.59476</c:v>
                </c:pt>
                <c:pt idx="4023">
                  <c:v>85.59148</c:v>
                </c:pt>
                <c:pt idx="4024">
                  <c:v>85.58818999999998</c:v>
                </c:pt>
                <c:pt idx="4025">
                  <c:v>85.58569999999997</c:v>
                </c:pt>
                <c:pt idx="4026">
                  <c:v>85.58242</c:v>
                </c:pt>
                <c:pt idx="4027">
                  <c:v>85.57993</c:v>
                </c:pt>
                <c:pt idx="4028">
                  <c:v>85.57831999999995</c:v>
                </c:pt>
                <c:pt idx="4029">
                  <c:v>85.57502999999998</c:v>
                </c:pt>
                <c:pt idx="4030">
                  <c:v>85.57173999999995</c:v>
                </c:pt>
                <c:pt idx="4031">
                  <c:v>85.56845</c:v>
                </c:pt>
                <c:pt idx="4032">
                  <c:v>85.56677999999998</c:v>
                </c:pt>
                <c:pt idx="4033">
                  <c:v>85.56349</c:v>
                </c:pt>
                <c:pt idx="4034">
                  <c:v>85.56107</c:v>
                </c:pt>
                <c:pt idx="4035">
                  <c:v>85.55777999999998</c:v>
                </c:pt>
                <c:pt idx="4036">
                  <c:v>85.55449</c:v>
                </c:pt>
                <c:pt idx="4037">
                  <c:v>85.55200999999998</c:v>
                </c:pt>
                <c:pt idx="4038">
                  <c:v>85.54952</c:v>
                </c:pt>
                <c:pt idx="4039">
                  <c:v>85.54704</c:v>
                </c:pt>
                <c:pt idx="4040">
                  <c:v>85.54375</c:v>
                </c:pt>
                <c:pt idx="4041">
                  <c:v>85.54127</c:v>
                </c:pt>
                <c:pt idx="4042">
                  <c:v>85.53884999999998</c:v>
                </c:pt>
                <c:pt idx="4043">
                  <c:v>85.53637</c:v>
                </c:pt>
                <c:pt idx="4044">
                  <c:v>85.53389</c:v>
                </c:pt>
                <c:pt idx="4045">
                  <c:v>85.5306</c:v>
                </c:pt>
                <c:pt idx="4046">
                  <c:v>85.52812</c:v>
                </c:pt>
                <c:pt idx="4047">
                  <c:v>85.52568999999998</c:v>
                </c:pt>
                <c:pt idx="4048">
                  <c:v>85.52321</c:v>
                </c:pt>
                <c:pt idx="4049" formatCode="0.00E+00">
                  <c:v>85.51992</c:v>
                </c:pt>
                <c:pt idx="4050">
                  <c:v>85.51744</c:v>
                </c:pt>
                <c:pt idx="4051">
                  <c:v>85.51415</c:v>
                </c:pt>
                <c:pt idx="4052">
                  <c:v>85.51167</c:v>
                </c:pt>
                <c:pt idx="4053">
                  <c:v>85.50919</c:v>
                </c:pt>
                <c:pt idx="4054">
                  <c:v>85.50676999999997</c:v>
                </c:pt>
                <c:pt idx="4055">
                  <c:v>85.50428</c:v>
                </c:pt>
                <c:pt idx="4056">
                  <c:v>85.5018</c:v>
                </c:pt>
                <c:pt idx="4057">
                  <c:v>85.49851</c:v>
                </c:pt>
                <c:pt idx="4058">
                  <c:v>85.49603</c:v>
                </c:pt>
                <c:pt idx="4059">
                  <c:v>85.49355</c:v>
                </c:pt>
                <c:pt idx="4060">
                  <c:v>85.49026</c:v>
                </c:pt>
                <c:pt idx="4061">
                  <c:v>85.48784</c:v>
                </c:pt>
                <c:pt idx="4062">
                  <c:v>85.48617</c:v>
                </c:pt>
                <c:pt idx="4063">
                  <c:v>85.48368</c:v>
                </c:pt>
                <c:pt idx="4064">
                  <c:v>85.48126</c:v>
                </c:pt>
                <c:pt idx="4065">
                  <c:v>85.47797000000001</c:v>
                </c:pt>
                <c:pt idx="4066">
                  <c:v>85.4763</c:v>
                </c:pt>
                <c:pt idx="4067">
                  <c:v>85.47382</c:v>
                </c:pt>
                <c:pt idx="4068">
                  <c:v>85.47139</c:v>
                </c:pt>
                <c:pt idx="4069">
                  <c:v>85.46891</c:v>
                </c:pt>
                <c:pt idx="4070">
                  <c:v>85.46562</c:v>
                </c:pt>
                <c:pt idx="4071">
                  <c:v>85.46314</c:v>
                </c:pt>
                <c:pt idx="4072">
                  <c:v>85.46066</c:v>
                </c:pt>
                <c:pt idx="4073">
                  <c:v>85.45818</c:v>
                </c:pt>
                <c:pt idx="4074">
                  <c:v>85.45576</c:v>
                </c:pt>
                <c:pt idx="4075">
                  <c:v>85.45327</c:v>
                </c:pt>
                <c:pt idx="4076">
                  <c:v>85.4516</c:v>
                </c:pt>
                <c:pt idx="4077">
                  <c:v>85.44918</c:v>
                </c:pt>
                <c:pt idx="4078">
                  <c:v>85.44831</c:v>
                </c:pt>
                <c:pt idx="4079">
                  <c:v>85.43931</c:v>
                </c:pt>
                <c:pt idx="4080">
                  <c:v>85.43515</c:v>
                </c:pt>
                <c:pt idx="4081">
                  <c:v>85.43435</c:v>
                </c:pt>
                <c:pt idx="4082">
                  <c:v>85.43435</c:v>
                </c:pt>
                <c:pt idx="4083">
                  <c:v>85.43354</c:v>
                </c:pt>
                <c:pt idx="4084">
                  <c:v>85.43267</c:v>
                </c:pt>
                <c:pt idx="4085">
                  <c:v>85.43354</c:v>
                </c:pt>
                <c:pt idx="4086">
                  <c:v>85.43435</c:v>
                </c:pt>
                <c:pt idx="4087">
                  <c:v>85.42857999999998</c:v>
                </c:pt>
                <c:pt idx="4088">
                  <c:v>85.42448</c:v>
                </c:pt>
                <c:pt idx="4089">
                  <c:v>85.422</c:v>
                </c:pt>
                <c:pt idx="4090">
                  <c:v>85.41871</c:v>
                </c:pt>
                <c:pt idx="4091">
                  <c:v>85.41623000000002</c:v>
                </c:pt>
                <c:pt idx="4092">
                  <c:v>85.41461</c:v>
                </c:pt>
                <c:pt idx="4093">
                  <c:v>85.41132</c:v>
                </c:pt>
                <c:pt idx="4094">
                  <c:v>85.40965</c:v>
                </c:pt>
                <c:pt idx="4095">
                  <c:v>85.40723000000002</c:v>
                </c:pt>
                <c:pt idx="4096">
                  <c:v>85.40474</c:v>
                </c:pt>
                <c:pt idx="4097">
                  <c:v>85.40307</c:v>
                </c:pt>
                <c:pt idx="4098">
                  <c:v>85.40059</c:v>
                </c:pt>
                <c:pt idx="4099">
                  <c:v>85.39897</c:v>
                </c:pt>
                <c:pt idx="4100">
                  <c:v>85.39569</c:v>
                </c:pt>
                <c:pt idx="4101">
                  <c:v>85.39401</c:v>
                </c:pt>
                <c:pt idx="4102">
                  <c:v>85.39159</c:v>
                </c:pt>
                <c:pt idx="4103">
                  <c:v>85.38991</c:v>
                </c:pt>
                <c:pt idx="4104">
                  <c:v>85.38663</c:v>
                </c:pt>
                <c:pt idx="4105">
                  <c:v>85.38500999999998</c:v>
                </c:pt>
                <c:pt idx="4106">
                  <c:v>85.38252999999997</c:v>
                </c:pt>
                <c:pt idx="4107">
                  <c:v>85.38086</c:v>
                </c:pt>
                <c:pt idx="4108">
                  <c:v>85.37842999999998</c:v>
                </c:pt>
                <c:pt idx="4109">
                  <c:v>85.37675999999995</c:v>
                </c:pt>
                <c:pt idx="4110">
                  <c:v>85.37428</c:v>
                </c:pt>
                <c:pt idx="4111">
                  <c:v>85.37179999999998</c:v>
                </c:pt>
                <c:pt idx="4112">
                  <c:v>85.37017999999995</c:v>
                </c:pt>
                <c:pt idx="4113">
                  <c:v>85.36770000000001</c:v>
                </c:pt>
                <c:pt idx="4114">
                  <c:v>85.36522</c:v>
                </c:pt>
                <c:pt idx="4115">
                  <c:v>85.3636</c:v>
                </c:pt>
                <c:pt idx="4116">
                  <c:v>85.36278999999985</c:v>
                </c:pt>
                <c:pt idx="4117">
                  <c:v>85.36031</c:v>
                </c:pt>
                <c:pt idx="4118">
                  <c:v>85.35783</c:v>
                </c:pt>
                <c:pt idx="4119">
                  <c:v>85.35622</c:v>
                </c:pt>
                <c:pt idx="4120">
                  <c:v>85.35372999999998</c:v>
                </c:pt>
                <c:pt idx="4121">
                  <c:v>85.35205999999998</c:v>
                </c:pt>
                <c:pt idx="4122">
                  <c:v>85.34964</c:v>
                </c:pt>
                <c:pt idx="4123">
                  <c:v>85.34716</c:v>
                </c:pt>
                <c:pt idx="4124">
                  <c:v>85.34547999999998</c:v>
                </c:pt>
                <c:pt idx="4125">
                  <c:v>85.34387</c:v>
                </c:pt>
                <c:pt idx="4126">
                  <c:v>85.34219</c:v>
                </c:pt>
                <c:pt idx="4127">
                  <c:v>85.34058</c:v>
                </c:pt>
                <c:pt idx="4128">
                  <c:v>85.33729</c:v>
                </c:pt>
                <c:pt idx="4129">
                  <c:v>85.33562</c:v>
                </c:pt>
                <c:pt idx="4130">
                  <c:v>85.334</c:v>
                </c:pt>
                <c:pt idx="4131">
                  <c:v>85.33232999999998</c:v>
                </c:pt>
                <c:pt idx="4132">
                  <c:v>85.33070999999998</c:v>
                </c:pt>
                <c:pt idx="4133">
                  <c:v>85.32983999999995</c:v>
                </c:pt>
                <c:pt idx="4134">
                  <c:v>85.32656</c:v>
                </c:pt>
                <c:pt idx="4135">
                  <c:v>85.32494</c:v>
                </c:pt>
                <c:pt idx="4136">
                  <c:v>85.32327</c:v>
                </c:pt>
                <c:pt idx="4137">
                  <c:v>85.32083999999985</c:v>
                </c:pt>
                <c:pt idx="4138">
                  <c:v>85.31998</c:v>
                </c:pt>
                <c:pt idx="4139">
                  <c:v>85.31917</c:v>
                </c:pt>
                <c:pt idx="4140">
                  <c:v>85.31836</c:v>
                </c:pt>
                <c:pt idx="4141">
                  <c:v>85.31259</c:v>
                </c:pt>
                <c:pt idx="4142">
                  <c:v>85.30682</c:v>
                </c:pt>
                <c:pt idx="4143" formatCode="0.00E+00">
                  <c:v>85.30682</c:v>
                </c:pt>
                <c:pt idx="4144">
                  <c:v>85.30763</c:v>
                </c:pt>
                <c:pt idx="4145">
                  <c:v>85.30848999999998</c:v>
                </c:pt>
                <c:pt idx="4146">
                  <c:v>85.3093</c:v>
                </c:pt>
                <c:pt idx="4147">
                  <c:v>85.31178</c:v>
                </c:pt>
                <c:pt idx="4148">
                  <c:v>85.30763</c:v>
                </c:pt>
                <c:pt idx="4149">
                  <c:v>85.30353</c:v>
                </c:pt>
                <c:pt idx="4150">
                  <c:v>85.30105</c:v>
                </c:pt>
                <c:pt idx="4151">
                  <c:v>85.29863</c:v>
                </c:pt>
                <c:pt idx="4152">
                  <c:v>85.29695</c:v>
                </c:pt>
                <c:pt idx="4153">
                  <c:v>85.29776</c:v>
                </c:pt>
                <c:pt idx="4154">
                  <c:v>85.28789</c:v>
                </c:pt>
                <c:pt idx="4155">
                  <c:v>85.28541</c:v>
                </c:pt>
                <c:pt idx="4156">
                  <c:v>85.28628</c:v>
                </c:pt>
                <c:pt idx="4157">
                  <c:v>85.28875999999998</c:v>
                </c:pt>
                <c:pt idx="4158">
                  <c:v>85.2838</c:v>
                </c:pt>
                <c:pt idx="4159">
                  <c:v>85.2838</c:v>
                </c:pt>
                <c:pt idx="4160">
                  <c:v>85.28628</c:v>
                </c:pt>
                <c:pt idx="4161">
                  <c:v>85.28541</c:v>
                </c:pt>
                <c:pt idx="4162">
                  <c:v>85.29038</c:v>
                </c:pt>
                <c:pt idx="4163">
                  <c:v>85.28709</c:v>
                </c:pt>
                <c:pt idx="4164">
                  <c:v>85.28132</c:v>
                </c:pt>
                <c:pt idx="4165">
                  <c:v>85.27882999999998</c:v>
                </c:pt>
                <c:pt idx="4166">
                  <c:v>85.27641</c:v>
                </c:pt>
                <c:pt idx="4167">
                  <c:v>85.27473999999998</c:v>
                </c:pt>
                <c:pt idx="4168">
                  <c:v>85.27312</c:v>
                </c:pt>
                <c:pt idx="4169">
                  <c:v>85.27145</c:v>
                </c:pt>
                <c:pt idx="4170">
                  <c:v>85.27064</c:v>
                </c:pt>
                <c:pt idx="4171">
                  <c:v>85.26897</c:v>
                </c:pt>
                <c:pt idx="4172">
                  <c:v>85.26735</c:v>
                </c:pt>
                <c:pt idx="4173">
                  <c:v>85.26487</c:v>
                </c:pt>
                <c:pt idx="4174">
                  <c:v>85.26406</c:v>
                </c:pt>
                <c:pt idx="4175">
                  <c:v>85.26325</c:v>
                </c:pt>
                <c:pt idx="4176">
                  <c:v>85.26238999999998</c:v>
                </c:pt>
                <c:pt idx="4177">
                  <c:v>85.26158</c:v>
                </c:pt>
                <c:pt idx="4178">
                  <c:v>85.26077</c:v>
                </c:pt>
                <c:pt idx="4179" formatCode="0.00E+00">
                  <c:v>85.25997</c:v>
                </c:pt>
                <c:pt idx="4180">
                  <c:v>85.25829</c:v>
                </c:pt>
                <c:pt idx="4181">
                  <c:v>85.25662</c:v>
                </c:pt>
                <c:pt idx="4182">
                  <c:v>85.25419</c:v>
                </c:pt>
                <c:pt idx="4183">
                  <c:v>85.25333</c:v>
                </c:pt>
                <c:pt idx="4184">
                  <c:v>85.25252</c:v>
                </c:pt>
                <c:pt idx="4185">
                  <c:v>85.25252</c:v>
                </c:pt>
                <c:pt idx="4186">
                  <c:v>85.25091</c:v>
                </c:pt>
                <c:pt idx="4187">
                  <c:v>85.24923</c:v>
                </c:pt>
                <c:pt idx="4188">
                  <c:v>85.24842</c:v>
                </c:pt>
                <c:pt idx="4189">
                  <c:v>85.24762</c:v>
                </c:pt>
                <c:pt idx="4190">
                  <c:v>85.24675</c:v>
                </c:pt>
                <c:pt idx="4191">
                  <c:v>85.24594</c:v>
                </c:pt>
                <c:pt idx="4192">
                  <c:v>85.24433</c:v>
                </c:pt>
                <c:pt idx="4193">
                  <c:v>85.24346</c:v>
                </c:pt>
                <c:pt idx="4194">
                  <c:v>85.24265</c:v>
                </c:pt>
                <c:pt idx="4195">
                  <c:v>85.24104</c:v>
                </c:pt>
                <c:pt idx="4196">
                  <c:v>85.24017</c:v>
                </c:pt>
                <c:pt idx="4197">
                  <c:v>85.23856</c:v>
                </c:pt>
                <c:pt idx="4198">
                  <c:v>85.23856</c:v>
                </c:pt>
                <c:pt idx="4199">
                  <c:v>85.23775</c:v>
                </c:pt>
                <c:pt idx="4200">
                  <c:v>85.23688</c:v>
                </c:pt>
                <c:pt idx="4201">
                  <c:v>85.23608</c:v>
                </c:pt>
                <c:pt idx="4202">
                  <c:v>85.23446</c:v>
                </c:pt>
                <c:pt idx="4203">
                  <c:v>85.23359</c:v>
                </c:pt>
                <c:pt idx="4204">
                  <c:v>85.23278999999998</c:v>
                </c:pt>
                <c:pt idx="4205">
                  <c:v>85.23198</c:v>
                </c:pt>
                <c:pt idx="4206">
                  <c:v>85.23117</c:v>
                </c:pt>
                <c:pt idx="4207">
                  <c:v>85.2295</c:v>
                </c:pt>
                <c:pt idx="4208">
                  <c:v>85.22869</c:v>
                </c:pt>
                <c:pt idx="4209">
                  <c:v>85.22782</c:v>
                </c:pt>
                <c:pt idx="4210">
                  <c:v>85.22702</c:v>
                </c:pt>
                <c:pt idx="4211" formatCode="0.00E+00">
                  <c:v>85.22621</c:v>
                </c:pt>
                <c:pt idx="4212">
                  <c:v>85.22539999999998</c:v>
                </c:pt>
                <c:pt idx="4213">
                  <c:v>85.22454</c:v>
                </c:pt>
                <c:pt idx="4214">
                  <c:v>85.22372999999997</c:v>
                </c:pt>
                <c:pt idx="4215">
                  <c:v>85.22292</c:v>
                </c:pt>
                <c:pt idx="4216">
                  <c:v>85.22125</c:v>
                </c:pt>
                <c:pt idx="4217">
                  <c:v>85.22043999999998</c:v>
                </c:pt>
                <c:pt idx="4218">
                  <c:v>85.22125</c:v>
                </c:pt>
                <c:pt idx="4219">
                  <c:v>85.21963</c:v>
                </c:pt>
                <c:pt idx="4220">
                  <c:v>85.21882</c:v>
                </c:pt>
                <c:pt idx="4221">
                  <c:v>85.21796</c:v>
                </c:pt>
                <c:pt idx="4222">
                  <c:v>85.21715</c:v>
                </c:pt>
                <c:pt idx="4223" formatCode="0.00E+00">
                  <c:v>85.21634</c:v>
                </c:pt>
                <c:pt idx="4224">
                  <c:v>85.21553</c:v>
                </c:pt>
                <c:pt idx="4225">
                  <c:v>85.21553</c:v>
                </c:pt>
                <c:pt idx="4226">
                  <c:v>85.21467000000002</c:v>
                </c:pt>
                <c:pt idx="4227">
                  <c:v>85.21386</c:v>
                </c:pt>
                <c:pt idx="4228">
                  <c:v>85.21305</c:v>
                </c:pt>
                <c:pt idx="4229">
                  <c:v>85.21138</c:v>
                </c:pt>
                <c:pt idx="4230">
                  <c:v>85.21138</c:v>
                </c:pt>
                <c:pt idx="4231">
                  <c:v>85.20976</c:v>
                </c:pt>
                <c:pt idx="4232">
                  <c:v>85.20976</c:v>
                </c:pt>
                <c:pt idx="4233">
                  <c:v>85.20895</c:v>
                </c:pt>
                <c:pt idx="4234">
                  <c:v>85.20809</c:v>
                </c:pt>
                <c:pt idx="4235">
                  <c:v>85.20728</c:v>
                </c:pt>
                <c:pt idx="4236">
                  <c:v>85.20647</c:v>
                </c:pt>
                <c:pt idx="4237">
                  <c:v>85.20567000000001</c:v>
                </c:pt>
                <c:pt idx="4238">
                  <c:v>85.2048</c:v>
                </c:pt>
                <c:pt idx="4239">
                  <c:v>85.20399</c:v>
                </c:pt>
                <c:pt idx="4240">
                  <c:v>85.20399</c:v>
                </c:pt>
                <c:pt idx="4241">
                  <c:v>85.20318</c:v>
                </c:pt>
                <c:pt idx="4242">
                  <c:v>85.20237999999995</c:v>
                </c:pt>
                <c:pt idx="4243">
                  <c:v>85.20070000000001</c:v>
                </c:pt>
                <c:pt idx="4244">
                  <c:v>85.1999</c:v>
                </c:pt>
                <c:pt idx="4245">
                  <c:v>85.1999</c:v>
                </c:pt>
                <c:pt idx="4246">
                  <c:v>85.19822</c:v>
                </c:pt>
                <c:pt idx="4247">
                  <c:v>85.19741</c:v>
                </c:pt>
                <c:pt idx="4248">
                  <c:v>85.19661</c:v>
                </c:pt>
                <c:pt idx="4249">
                  <c:v>85.19573999999928</c:v>
                </c:pt>
                <c:pt idx="4250">
                  <c:v>85.19493000000001</c:v>
                </c:pt>
                <c:pt idx="4251">
                  <c:v>85.19493000000001</c:v>
                </c:pt>
                <c:pt idx="4252" formatCode="0.00E+00">
                  <c:v>85.19413</c:v>
                </c:pt>
                <c:pt idx="4253">
                  <c:v>85.19332</c:v>
                </c:pt>
                <c:pt idx="4254">
                  <c:v>85.19244999999998</c:v>
                </c:pt>
                <c:pt idx="4255">
                  <c:v>85.19164</c:v>
                </c:pt>
                <c:pt idx="4256">
                  <c:v>85.19083999999998</c:v>
                </c:pt>
                <c:pt idx="4257">
                  <c:v>85.19003</c:v>
                </c:pt>
                <c:pt idx="4258">
                  <c:v>85.18916</c:v>
                </c:pt>
                <c:pt idx="4259">
                  <c:v>85.18834999999918</c:v>
                </c:pt>
                <c:pt idx="4260">
                  <c:v>85.18755</c:v>
                </c:pt>
                <c:pt idx="4261">
                  <c:v>85.18673999999928</c:v>
                </c:pt>
                <c:pt idx="4262">
                  <c:v>85.18673999999928</c:v>
                </c:pt>
                <c:pt idx="4263">
                  <c:v>85.18506999999998</c:v>
                </c:pt>
                <c:pt idx="4264">
                  <c:v>85.18426</c:v>
                </c:pt>
                <c:pt idx="4265">
                  <c:v>85.18344999999998</c:v>
                </c:pt>
                <c:pt idx="4266">
                  <c:v>85.18257999999948</c:v>
                </c:pt>
                <c:pt idx="4267">
                  <c:v>85.18257999999948</c:v>
                </c:pt>
                <c:pt idx="4268">
                  <c:v>85.18177999999975</c:v>
                </c:pt>
                <c:pt idx="4269">
                  <c:v>85.18096999999997</c:v>
                </c:pt>
                <c:pt idx="4270">
                  <c:v>85.18016</c:v>
                </c:pt>
                <c:pt idx="4271">
                  <c:v>85.18016</c:v>
                </c:pt>
                <c:pt idx="4272">
                  <c:v>85.17848999999858</c:v>
                </c:pt>
                <c:pt idx="4273">
                  <c:v>85.17767999999998</c:v>
                </c:pt>
                <c:pt idx="4274">
                  <c:v>85.17767999999998</c:v>
                </c:pt>
                <c:pt idx="4275">
                  <c:v>85.17686999999998</c:v>
                </c:pt>
                <c:pt idx="4276">
                  <c:v>85.17600999999995</c:v>
                </c:pt>
                <c:pt idx="4277">
                  <c:v>85.17438999999958</c:v>
                </c:pt>
                <c:pt idx="4278">
                  <c:v>85.17357999999938</c:v>
                </c:pt>
                <c:pt idx="4279">
                  <c:v>85.17357999999938</c:v>
                </c:pt>
                <c:pt idx="4280">
                  <c:v>85.17271999999888</c:v>
                </c:pt>
                <c:pt idx="4281">
                  <c:v>85.17190999999998</c:v>
                </c:pt>
                <c:pt idx="4282">
                  <c:v>85.17109999999998</c:v>
                </c:pt>
                <c:pt idx="4283">
                  <c:v>85.17109999999998</c:v>
                </c:pt>
                <c:pt idx="4284">
                  <c:v>85.16943</c:v>
                </c:pt>
                <c:pt idx="4285">
                  <c:v>85.16862</c:v>
                </c:pt>
                <c:pt idx="4286">
                  <c:v>85.16862</c:v>
                </c:pt>
                <c:pt idx="4287">
                  <c:v>85.16781</c:v>
                </c:pt>
                <c:pt idx="4288">
                  <c:v>85.16614</c:v>
                </c:pt>
                <c:pt idx="4289">
                  <c:v>85.16614</c:v>
                </c:pt>
                <c:pt idx="4290">
                  <c:v>85.16614</c:v>
                </c:pt>
                <c:pt idx="4291">
                  <c:v>85.16532999999998</c:v>
                </c:pt>
                <c:pt idx="4292">
                  <c:v>85.16452</c:v>
                </c:pt>
                <c:pt idx="4293">
                  <c:v>85.16366</c:v>
                </c:pt>
                <c:pt idx="4294">
                  <c:v>85.16366</c:v>
                </c:pt>
                <c:pt idx="4295">
                  <c:v>85.16203999999995</c:v>
                </c:pt>
                <c:pt idx="4296">
                  <c:v>85.16123</c:v>
                </c:pt>
                <c:pt idx="4297">
                  <c:v>85.16123</c:v>
                </c:pt>
                <c:pt idx="4298">
                  <c:v>85.16036999999998</c:v>
                </c:pt>
                <c:pt idx="4299">
                  <c:v>85.15956</c:v>
                </c:pt>
                <c:pt idx="4300">
                  <c:v>85.15874999999878</c:v>
                </c:pt>
                <c:pt idx="4301">
                  <c:v>85.15793999999998</c:v>
                </c:pt>
                <c:pt idx="4302">
                  <c:v>85.15707999999998</c:v>
                </c:pt>
                <c:pt idx="4303">
                  <c:v>85.15627</c:v>
                </c:pt>
                <c:pt idx="4304" formatCode="0.00E+00">
                  <c:v>85.15627</c:v>
                </c:pt>
                <c:pt idx="4305">
                  <c:v>85.15466</c:v>
                </c:pt>
                <c:pt idx="4306">
                  <c:v>85.15378999999928</c:v>
                </c:pt>
                <c:pt idx="4307">
                  <c:v>85.15297999999908</c:v>
                </c:pt>
                <c:pt idx="4308">
                  <c:v>85.15216999999998</c:v>
                </c:pt>
                <c:pt idx="4309">
                  <c:v>85.15216999999998</c:v>
                </c:pt>
                <c:pt idx="4310">
                  <c:v>85.15136999999998</c:v>
                </c:pt>
                <c:pt idx="4311">
                  <c:v>85.15049999999998</c:v>
                </c:pt>
                <c:pt idx="4312">
                  <c:v>85.15049999999998</c:v>
                </c:pt>
                <c:pt idx="4313">
                  <c:v>85.15049999999998</c:v>
                </c:pt>
                <c:pt idx="4314">
                  <c:v>85.14888999999998</c:v>
                </c:pt>
                <c:pt idx="4315">
                  <c:v>85.14807999999998</c:v>
                </c:pt>
                <c:pt idx="4316">
                  <c:v>85.14721</c:v>
                </c:pt>
                <c:pt idx="4317">
                  <c:v>85.1464</c:v>
                </c:pt>
                <c:pt idx="4318">
                  <c:v>85.1456</c:v>
                </c:pt>
                <c:pt idx="4319">
                  <c:v>85.14479</c:v>
                </c:pt>
                <c:pt idx="4320">
                  <c:v>85.14392</c:v>
                </c:pt>
                <c:pt idx="4321">
                  <c:v>85.14311</c:v>
                </c:pt>
                <c:pt idx="4322">
                  <c:v>85.14311</c:v>
                </c:pt>
                <c:pt idx="4323">
                  <c:v>85.14230999999998</c:v>
                </c:pt>
                <c:pt idx="4324">
                  <c:v>85.14063</c:v>
                </c:pt>
                <c:pt idx="4325">
                  <c:v>85.14144</c:v>
                </c:pt>
                <c:pt idx="4326">
                  <c:v>85.13243999999958</c:v>
                </c:pt>
                <c:pt idx="4327">
                  <c:v>85.13486</c:v>
                </c:pt>
                <c:pt idx="4328">
                  <c:v>85.13982999999997</c:v>
                </c:pt>
                <c:pt idx="4329">
                  <c:v>85.14230999999998</c:v>
                </c:pt>
                <c:pt idx="4330">
                  <c:v>85.13814999999998</c:v>
                </c:pt>
                <c:pt idx="4331">
                  <c:v>85.13653999999998</c:v>
                </c:pt>
                <c:pt idx="4332">
                  <c:v>85.13486</c:v>
                </c:pt>
                <c:pt idx="4333">
                  <c:v>85.13486</c:v>
                </c:pt>
                <c:pt idx="4334">
                  <c:v>85.13325</c:v>
                </c:pt>
                <c:pt idx="4335">
                  <c:v>85.13243999999958</c:v>
                </c:pt>
                <c:pt idx="4336">
                  <c:v>85.13157</c:v>
                </c:pt>
                <c:pt idx="4337">
                  <c:v>85.13157</c:v>
                </c:pt>
                <c:pt idx="4338">
                  <c:v>85.13157</c:v>
                </c:pt>
                <c:pt idx="4339">
                  <c:v>85.12995999999998</c:v>
                </c:pt>
                <c:pt idx="4340">
                  <c:v>85.12995999999998</c:v>
                </c:pt>
                <c:pt idx="4341">
                  <c:v>85.12914999999998</c:v>
                </c:pt>
                <c:pt idx="4342">
                  <c:v>85.12827999999975</c:v>
                </c:pt>
                <c:pt idx="4343">
                  <c:v>85.12827999999975</c:v>
                </c:pt>
                <c:pt idx="4344">
                  <c:v>85.12667</c:v>
                </c:pt>
                <c:pt idx="4345">
                  <c:v>85.12499999999998</c:v>
                </c:pt>
                <c:pt idx="4346">
                  <c:v>85.12419</c:v>
                </c:pt>
                <c:pt idx="4347">
                  <c:v>85.12337999999878</c:v>
                </c:pt>
                <c:pt idx="4348">
                  <c:v>85.12256999999998</c:v>
                </c:pt>
                <c:pt idx="4349">
                  <c:v>85.12256999999998</c:v>
                </c:pt>
                <c:pt idx="4350">
                  <c:v>85.12170999999998</c:v>
                </c:pt>
                <c:pt idx="4351">
                  <c:v>85.12089999999998</c:v>
                </c:pt>
                <c:pt idx="4352">
                  <c:v>85.12008999999995</c:v>
                </c:pt>
                <c:pt idx="4353">
                  <c:v>85.11928</c:v>
                </c:pt>
                <c:pt idx="4354">
                  <c:v>85.11842</c:v>
                </c:pt>
                <c:pt idx="4355">
                  <c:v>85.11842</c:v>
                </c:pt>
                <c:pt idx="4356">
                  <c:v>85.11761</c:v>
                </c:pt>
                <c:pt idx="4357">
                  <c:v>85.1168</c:v>
                </c:pt>
                <c:pt idx="4358">
                  <c:v>85.11598999999998</c:v>
                </c:pt>
                <c:pt idx="4359">
                  <c:v>85.11513</c:v>
                </c:pt>
                <c:pt idx="4360">
                  <c:v>85.11513</c:v>
                </c:pt>
                <c:pt idx="4361">
                  <c:v>85.11351</c:v>
                </c:pt>
                <c:pt idx="4362">
                  <c:v>85.11351</c:v>
                </c:pt>
                <c:pt idx="4363">
                  <c:v>85.11184</c:v>
                </c:pt>
                <c:pt idx="4364">
                  <c:v>85.11103</c:v>
                </c:pt>
                <c:pt idx="4365">
                  <c:v>85.11103</c:v>
                </c:pt>
                <c:pt idx="4366">
                  <c:v>85.11022</c:v>
                </c:pt>
                <c:pt idx="4367">
                  <c:v>85.10935999999998</c:v>
                </c:pt>
                <c:pt idx="4368">
                  <c:v>85.10935999999998</c:v>
                </c:pt>
                <c:pt idx="4369">
                  <c:v>85.10854999999998</c:v>
                </c:pt>
                <c:pt idx="4370">
                  <c:v>85.10773999999998</c:v>
                </c:pt>
                <c:pt idx="4371">
                  <c:v>85.10693</c:v>
                </c:pt>
                <c:pt idx="4372">
                  <c:v>85.10693</c:v>
                </c:pt>
                <c:pt idx="4373">
                  <c:v>85.10606999999997</c:v>
                </c:pt>
                <c:pt idx="4374">
                  <c:v>85.10526</c:v>
                </c:pt>
                <c:pt idx="4375">
                  <c:v>85.10445</c:v>
                </c:pt>
                <c:pt idx="4376">
                  <c:v>85.10365</c:v>
                </c:pt>
                <c:pt idx="4377">
                  <c:v>85.10365</c:v>
                </c:pt>
                <c:pt idx="4378">
                  <c:v>85.10197</c:v>
                </c:pt>
                <c:pt idx="4379">
                  <c:v>85.10116</c:v>
                </c:pt>
                <c:pt idx="4380">
                  <c:v>85.10116</c:v>
                </c:pt>
                <c:pt idx="4381">
                  <c:v>85.09949</c:v>
                </c:pt>
                <c:pt idx="4382">
                  <c:v>85.09949</c:v>
                </c:pt>
                <c:pt idx="4383">
                  <c:v>85.09868</c:v>
                </c:pt>
                <c:pt idx="4384">
                  <c:v>85.09787</c:v>
                </c:pt>
                <c:pt idx="4385">
                  <c:v>85.09787</c:v>
                </c:pt>
                <c:pt idx="4386">
                  <c:v>85.09707</c:v>
                </c:pt>
                <c:pt idx="4387">
                  <c:v>85.0962</c:v>
                </c:pt>
                <c:pt idx="4388">
                  <c:v>85.09538999999998</c:v>
                </c:pt>
                <c:pt idx="4389">
                  <c:v>85.09459</c:v>
                </c:pt>
                <c:pt idx="4390">
                  <c:v>85.09291</c:v>
                </c:pt>
                <c:pt idx="4391">
                  <c:v>85.09291</c:v>
                </c:pt>
                <c:pt idx="4392">
                  <c:v>85.0921</c:v>
                </c:pt>
                <c:pt idx="4393">
                  <c:v>85.0921</c:v>
                </c:pt>
                <c:pt idx="4394">
                  <c:v>85.0913</c:v>
                </c:pt>
                <c:pt idx="4395">
                  <c:v>85.0913</c:v>
                </c:pt>
                <c:pt idx="4396">
                  <c:v>85.08962</c:v>
                </c:pt>
                <c:pt idx="4397">
                  <c:v>85.08962</c:v>
                </c:pt>
                <c:pt idx="4398">
                  <c:v>85.08882</c:v>
                </c:pt>
                <c:pt idx="4399">
                  <c:v>85.08800999999998</c:v>
                </c:pt>
                <c:pt idx="4400">
                  <c:v>85.0872</c:v>
                </c:pt>
                <c:pt idx="4401">
                  <c:v>85.0872</c:v>
                </c:pt>
                <c:pt idx="4402">
                  <c:v>85.08553</c:v>
                </c:pt>
                <c:pt idx="4403">
                  <c:v>85.08472</c:v>
                </c:pt>
                <c:pt idx="4404">
                  <c:v>85.08391</c:v>
                </c:pt>
                <c:pt idx="4405">
                  <c:v>85.08391</c:v>
                </c:pt>
                <c:pt idx="4406">
                  <c:v>85.08391</c:v>
                </c:pt>
                <c:pt idx="4407">
                  <c:v>85.08224</c:v>
                </c:pt>
                <c:pt idx="4408">
                  <c:v>85.08143</c:v>
                </c:pt>
                <c:pt idx="4409">
                  <c:v>85.08056</c:v>
                </c:pt>
                <c:pt idx="4410">
                  <c:v>85.08056</c:v>
                </c:pt>
                <c:pt idx="4411">
                  <c:v>85.07975999999998</c:v>
                </c:pt>
                <c:pt idx="4412">
                  <c:v>85.07894999999998</c:v>
                </c:pt>
                <c:pt idx="4413">
                  <c:v>85.07894999999998</c:v>
                </c:pt>
                <c:pt idx="4414">
                  <c:v>85.07813999999995</c:v>
                </c:pt>
                <c:pt idx="4415">
                  <c:v>85.07813999999995</c:v>
                </c:pt>
                <c:pt idx="4416">
                  <c:v>85.07646999999998</c:v>
                </c:pt>
                <c:pt idx="4417">
                  <c:v>85.07566</c:v>
                </c:pt>
                <c:pt idx="4418">
                  <c:v>85.07566</c:v>
                </c:pt>
                <c:pt idx="4419">
                  <c:v>85.07485</c:v>
                </c:pt>
                <c:pt idx="4420">
                  <c:v>85.07398999999998</c:v>
                </c:pt>
                <c:pt idx="4421">
                  <c:v>85.07317999999998</c:v>
                </c:pt>
                <c:pt idx="4422">
                  <c:v>85.06827000000001</c:v>
                </c:pt>
                <c:pt idx="4423">
                  <c:v>85.0666</c:v>
                </c:pt>
                <c:pt idx="4424">
                  <c:v>85.06908</c:v>
                </c:pt>
                <c:pt idx="4425">
                  <c:v>85.07727000000001</c:v>
                </c:pt>
                <c:pt idx="4426">
                  <c:v>85.07317999999998</c:v>
                </c:pt>
                <c:pt idx="4427">
                  <c:v>85.07069999999997</c:v>
                </c:pt>
                <c:pt idx="4428">
                  <c:v>85.06989</c:v>
                </c:pt>
                <c:pt idx="4429">
                  <c:v>85.06827000000001</c:v>
                </c:pt>
                <c:pt idx="4430">
                  <c:v>85.06741</c:v>
                </c:pt>
                <c:pt idx="4431">
                  <c:v>85.0666</c:v>
                </c:pt>
                <c:pt idx="4432">
                  <c:v>85.0666</c:v>
                </c:pt>
                <c:pt idx="4433">
                  <c:v>85.06578999999998</c:v>
                </c:pt>
                <c:pt idx="4434">
                  <c:v>85.06412</c:v>
                </c:pt>
                <c:pt idx="4435">
                  <c:v>85.06412</c:v>
                </c:pt>
                <c:pt idx="4436">
                  <c:v>85.06331</c:v>
                </c:pt>
                <c:pt idx="4437">
                  <c:v>85.0625</c:v>
                </c:pt>
                <c:pt idx="4438">
                  <c:v>85.06169</c:v>
                </c:pt>
                <c:pt idx="4439">
                  <c:v>85.06169</c:v>
                </c:pt>
                <c:pt idx="4440">
                  <c:v>85.06002</c:v>
                </c:pt>
                <c:pt idx="4441">
                  <c:v>85.05921</c:v>
                </c:pt>
                <c:pt idx="4442">
                  <c:v>85.05921</c:v>
                </c:pt>
                <c:pt idx="4443">
                  <c:v>85.05840999999998</c:v>
                </c:pt>
                <c:pt idx="4444">
                  <c:v>85.05754</c:v>
                </c:pt>
                <c:pt idx="4445">
                  <c:v>85.05672999999997</c:v>
                </c:pt>
                <c:pt idx="4446">
                  <c:v>85.05672999999997</c:v>
                </c:pt>
                <c:pt idx="4447">
                  <c:v>85.05592</c:v>
                </c:pt>
                <c:pt idx="4448">
                  <c:v>85.05512</c:v>
                </c:pt>
                <c:pt idx="4449">
                  <c:v>85.05425</c:v>
                </c:pt>
                <c:pt idx="4450">
                  <c:v>85.05425</c:v>
                </c:pt>
                <c:pt idx="4451">
                  <c:v>85.05263</c:v>
                </c:pt>
                <c:pt idx="4452">
                  <c:v>85.05177</c:v>
                </c:pt>
                <c:pt idx="4453">
                  <c:v>85.05096</c:v>
                </c:pt>
                <c:pt idx="4454">
                  <c:v>85.05096</c:v>
                </c:pt>
                <c:pt idx="4455">
                  <c:v>85.05096</c:v>
                </c:pt>
                <c:pt idx="4456">
                  <c:v>85.05015</c:v>
                </c:pt>
                <c:pt idx="4457">
                  <c:v>85.04935</c:v>
                </c:pt>
                <c:pt idx="4458">
                  <c:v>85.04935</c:v>
                </c:pt>
                <c:pt idx="4459">
                  <c:v>85.04848</c:v>
                </c:pt>
                <c:pt idx="4460">
                  <c:v>85.04848</c:v>
                </c:pt>
                <c:pt idx="4461">
                  <c:v>85.04767</c:v>
                </c:pt>
                <c:pt idx="4462">
                  <c:v>85.04686</c:v>
                </c:pt>
                <c:pt idx="4463">
                  <c:v>85.04606</c:v>
                </c:pt>
                <c:pt idx="4464">
                  <c:v>85.04606</c:v>
                </c:pt>
                <c:pt idx="4465">
                  <c:v>85.04438</c:v>
                </c:pt>
                <c:pt idx="4466">
                  <c:v>85.04358</c:v>
                </c:pt>
                <c:pt idx="4467">
                  <c:v>85.04277</c:v>
                </c:pt>
                <c:pt idx="4468">
                  <c:v>85.04277</c:v>
                </c:pt>
                <c:pt idx="4469">
                  <c:v>85.04277</c:v>
                </c:pt>
                <c:pt idx="4470" formatCode="0.00E+00">
                  <c:v>85.0419</c:v>
                </c:pt>
                <c:pt idx="4471">
                  <c:v>85.04109</c:v>
                </c:pt>
                <c:pt idx="4472">
                  <c:v>85.04109</c:v>
                </c:pt>
                <c:pt idx="4473">
                  <c:v>85.04029</c:v>
                </c:pt>
                <c:pt idx="4474">
                  <c:v>85.03948</c:v>
                </c:pt>
                <c:pt idx="4475">
                  <c:v>85.03861</c:v>
                </c:pt>
                <c:pt idx="4476">
                  <c:v>85.0378</c:v>
                </c:pt>
                <c:pt idx="4477">
                  <c:v>85.0378</c:v>
                </c:pt>
                <c:pt idx="4478">
                  <c:v>85.03619</c:v>
                </c:pt>
                <c:pt idx="4479">
                  <c:v>85.03619</c:v>
                </c:pt>
                <c:pt idx="4480">
                  <c:v>85.03532</c:v>
                </c:pt>
                <c:pt idx="4481">
                  <c:v>85.03452</c:v>
                </c:pt>
                <c:pt idx="4482">
                  <c:v>85.03452</c:v>
                </c:pt>
                <c:pt idx="4483">
                  <c:v>85.0329</c:v>
                </c:pt>
                <c:pt idx="4484">
                  <c:v>85.03203</c:v>
                </c:pt>
                <c:pt idx="4485">
                  <c:v>85.03203</c:v>
                </c:pt>
                <c:pt idx="4486">
                  <c:v>85.03123</c:v>
                </c:pt>
                <c:pt idx="4487">
                  <c:v>85.03123</c:v>
                </c:pt>
                <c:pt idx="4488">
                  <c:v>85.03042</c:v>
                </c:pt>
                <c:pt idx="4489">
                  <c:v>85.03042</c:v>
                </c:pt>
                <c:pt idx="4490">
                  <c:v>85.02961</c:v>
                </c:pt>
                <c:pt idx="4491">
                  <c:v>85.02961</c:v>
                </c:pt>
                <c:pt idx="4492">
                  <c:v>85.02794</c:v>
                </c:pt>
                <c:pt idx="4493">
                  <c:v>85.02794</c:v>
                </c:pt>
                <c:pt idx="4494">
                  <c:v>85.02713</c:v>
                </c:pt>
                <c:pt idx="4495">
                  <c:v>85.02632</c:v>
                </c:pt>
                <c:pt idx="4496">
                  <c:v>85.02545999999998</c:v>
                </c:pt>
                <c:pt idx="4497">
                  <c:v>85.02465</c:v>
                </c:pt>
                <c:pt idx="4498">
                  <c:v>85.02383999999998</c:v>
                </c:pt>
                <c:pt idx="4499">
                  <c:v>85.02383999999998</c:v>
                </c:pt>
                <c:pt idx="4500">
                  <c:v>85.02296999999998</c:v>
                </c:pt>
                <c:pt idx="4501">
                  <c:v>85.02216999999997</c:v>
                </c:pt>
                <c:pt idx="4502">
                  <c:v>85.02055</c:v>
                </c:pt>
                <c:pt idx="4503">
                  <c:v>85.02055</c:v>
                </c:pt>
                <c:pt idx="4504">
                  <c:v>85.01969</c:v>
                </c:pt>
                <c:pt idx="4505">
                  <c:v>85.01969</c:v>
                </c:pt>
                <c:pt idx="4506">
                  <c:v>85.01969</c:v>
                </c:pt>
                <c:pt idx="4507">
                  <c:v>85.01887999999998</c:v>
                </c:pt>
                <c:pt idx="4508">
                  <c:v>85.01807</c:v>
                </c:pt>
                <c:pt idx="4509">
                  <c:v>85.01726</c:v>
                </c:pt>
                <c:pt idx="4510">
                  <c:v>85.01726</c:v>
                </c:pt>
                <c:pt idx="4511">
                  <c:v>85.0164</c:v>
                </c:pt>
                <c:pt idx="4512">
                  <c:v>85.01559</c:v>
                </c:pt>
                <c:pt idx="4513">
                  <c:v>85.01478</c:v>
                </c:pt>
                <c:pt idx="4514">
                  <c:v>85.01478</c:v>
                </c:pt>
                <c:pt idx="4515">
                  <c:v>85.01397</c:v>
                </c:pt>
                <c:pt idx="4516">
                  <c:v>85.0123</c:v>
                </c:pt>
                <c:pt idx="4517">
                  <c:v>85.0123</c:v>
                </c:pt>
                <c:pt idx="4518">
                  <c:v>85.01149</c:v>
                </c:pt>
                <c:pt idx="4519">
                  <c:v>85.01068</c:v>
                </c:pt>
                <c:pt idx="4520">
                  <c:v>85.01068</c:v>
                </c:pt>
                <c:pt idx="4521">
                  <c:v>85.00982</c:v>
                </c:pt>
                <c:pt idx="4522">
                  <c:v>85.00982</c:v>
                </c:pt>
                <c:pt idx="4523">
                  <c:v>85.00901</c:v>
                </c:pt>
                <c:pt idx="4524">
                  <c:v>85.00739</c:v>
                </c:pt>
                <c:pt idx="4525">
                  <c:v>85.00739</c:v>
                </c:pt>
                <c:pt idx="4526">
                  <c:v>85.00653000000001</c:v>
                </c:pt>
                <c:pt idx="4527">
                  <c:v>85.00739</c:v>
                </c:pt>
                <c:pt idx="4528">
                  <c:v>85.00653000000001</c:v>
                </c:pt>
                <c:pt idx="4529">
                  <c:v>85.00571999999998</c:v>
                </c:pt>
                <c:pt idx="4530">
                  <c:v>85.00571999999998</c:v>
                </c:pt>
                <c:pt idx="4531">
                  <c:v>85.00491</c:v>
                </c:pt>
                <c:pt idx="4532">
                  <c:v>85.00411</c:v>
                </c:pt>
                <c:pt idx="4533">
                  <c:v>85.00411</c:v>
                </c:pt>
                <c:pt idx="4534">
                  <c:v>85.00242999999997</c:v>
                </c:pt>
                <c:pt idx="4535">
                  <c:v>85.00242999999997</c:v>
                </c:pt>
                <c:pt idx="4536">
                  <c:v>85.00162</c:v>
                </c:pt>
                <c:pt idx="4537">
                  <c:v>85.00082</c:v>
                </c:pt>
                <c:pt idx="4538">
                  <c:v>84.99995</c:v>
                </c:pt>
                <c:pt idx="4539">
                  <c:v>84.99995</c:v>
                </c:pt>
                <c:pt idx="4540">
                  <c:v>84.99995</c:v>
                </c:pt>
                <c:pt idx="4541" formatCode="0.00E+00">
                  <c:v>84.99914</c:v>
                </c:pt>
                <c:pt idx="4542">
                  <c:v>84.99834</c:v>
                </c:pt>
                <c:pt idx="4543">
                  <c:v>84.99753000000002</c:v>
                </c:pt>
                <c:pt idx="4544">
                  <c:v>84.99834</c:v>
                </c:pt>
                <c:pt idx="4545">
                  <c:v>84.99666</c:v>
                </c:pt>
                <c:pt idx="4546">
                  <c:v>84.99666</c:v>
                </c:pt>
                <c:pt idx="4547">
                  <c:v>84.99585</c:v>
                </c:pt>
                <c:pt idx="4548">
                  <c:v>84.99505</c:v>
                </c:pt>
                <c:pt idx="4549">
                  <c:v>84.99505</c:v>
                </c:pt>
                <c:pt idx="4550">
                  <c:v>84.99418</c:v>
                </c:pt>
                <c:pt idx="4551">
                  <c:v>84.99337000000001</c:v>
                </c:pt>
                <c:pt idx="4552">
                  <c:v>84.99256</c:v>
                </c:pt>
                <c:pt idx="4553">
                  <c:v>84.99256</c:v>
                </c:pt>
                <c:pt idx="4554">
                  <c:v>84.99176</c:v>
                </c:pt>
                <c:pt idx="4555" formatCode="0.00E+00">
                  <c:v>84.99089</c:v>
                </c:pt>
                <c:pt idx="4556">
                  <c:v>84.98928</c:v>
                </c:pt>
                <c:pt idx="4557">
                  <c:v>84.98928</c:v>
                </c:pt>
                <c:pt idx="4558">
                  <c:v>84.99008</c:v>
                </c:pt>
                <c:pt idx="4559">
                  <c:v>84.98928</c:v>
                </c:pt>
                <c:pt idx="4560">
                  <c:v>84.98847</c:v>
                </c:pt>
                <c:pt idx="4561">
                  <c:v>84.98847</c:v>
                </c:pt>
                <c:pt idx="4562">
                  <c:v>84.98847</c:v>
                </c:pt>
                <c:pt idx="4563">
                  <c:v>84.98679</c:v>
                </c:pt>
                <c:pt idx="4564">
                  <c:v>84.98599</c:v>
                </c:pt>
                <c:pt idx="4565">
                  <c:v>84.98518</c:v>
                </c:pt>
                <c:pt idx="4566">
                  <c:v>84.98431</c:v>
                </c:pt>
                <c:pt idx="4567">
                  <c:v>84.98351</c:v>
                </c:pt>
                <c:pt idx="4568">
                  <c:v>84.9827</c:v>
                </c:pt>
                <c:pt idx="4569">
                  <c:v>84.9827</c:v>
                </c:pt>
                <c:pt idx="4570">
                  <c:v>84.98189</c:v>
                </c:pt>
                <c:pt idx="4571">
                  <c:v>84.98102</c:v>
                </c:pt>
                <c:pt idx="4572">
                  <c:v>84.98102</c:v>
                </c:pt>
                <c:pt idx="4573">
                  <c:v>84.98022</c:v>
                </c:pt>
                <c:pt idx="4574">
                  <c:v>84.98022</c:v>
                </c:pt>
                <c:pt idx="4575">
                  <c:v>84.97941</c:v>
                </c:pt>
                <c:pt idx="4576">
                  <c:v>84.9786</c:v>
                </c:pt>
                <c:pt idx="4577">
                  <c:v>84.97773</c:v>
                </c:pt>
                <c:pt idx="4578">
                  <c:v>84.97693</c:v>
                </c:pt>
                <c:pt idx="4579">
                  <c:v>84.97693</c:v>
                </c:pt>
                <c:pt idx="4580">
                  <c:v>84.97612</c:v>
                </c:pt>
                <c:pt idx="4581">
                  <c:v>84.97612</c:v>
                </c:pt>
                <c:pt idx="4582">
                  <c:v>84.97530999999998</c:v>
                </c:pt>
                <c:pt idx="4583">
                  <c:v>84.97445</c:v>
                </c:pt>
                <c:pt idx="4584">
                  <c:v>84.97364</c:v>
                </c:pt>
                <c:pt idx="4585">
                  <c:v>84.97282999999997</c:v>
                </c:pt>
                <c:pt idx="4586">
                  <c:v>84.97282999999997</c:v>
                </c:pt>
                <c:pt idx="4587">
                  <c:v>84.97282999999997</c:v>
                </c:pt>
                <c:pt idx="4588">
                  <c:v>84.97364</c:v>
                </c:pt>
                <c:pt idx="4589">
                  <c:v>84.97282999999997</c:v>
                </c:pt>
                <c:pt idx="4590">
                  <c:v>84.97202</c:v>
                </c:pt>
                <c:pt idx="4591">
                  <c:v>84.97034999999998</c:v>
                </c:pt>
                <c:pt idx="4592">
                  <c:v>84.96954</c:v>
                </c:pt>
                <c:pt idx="4593">
                  <c:v>84.96954</c:v>
                </c:pt>
                <c:pt idx="4594">
                  <c:v>84.96873</c:v>
                </c:pt>
                <c:pt idx="4595">
                  <c:v>84.96787</c:v>
                </c:pt>
                <c:pt idx="4596">
                  <c:v>84.96787</c:v>
                </c:pt>
                <c:pt idx="4597">
                  <c:v>84.96706</c:v>
                </c:pt>
                <c:pt idx="4598">
                  <c:v>84.96625</c:v>
                </c:pt>
                <c:pt idx="4599">
                  <c:v>84.96625</c:v>
                </c:pt>
                <c:pt idx="4600">
                  <c:v>84.96625</c:v>
                </c:pt>
                <c:pt idx="4601">
                  <c:v>84.96539</c:v>
                </c:pt>
                <c:pt idx="4602">
                  <c:v>84.96458</c:v>
                </c:pt>
                <c:pt idx="4603">
                  <c:v>84.96458</c:v>
                </c:pt>
                <c:pt idx="4604">
                  <c:v>84.96377</c:v>
                </c:pt>
                <c:pt idx="4605">
                  <c:v>84.96296</c:v>
                </c:pt>
                <c:pt idx="4606">
                  <c:v>84.96296</c:v>
                </c:pt>
                <c:pt idx="4607">
                  <c:v>84.9621</c:v>
                </c:pt>
                <c:pt idx="4608">
                  <c:v>84.96129</c:v>
                </c:pt>
                <c:pt idx="4609">
                  <c:v>84.9621</c:v>
                </c:pt>
                <c:pt idx="4610">
                  <c:v>84.96048</c:v>
                </c:pt>
                <c:pt idx="4611">
                  <c:v>84.95967</c:v>
                </c:pt>
                <c:pt idx="4612">
                  <c:v>84.95967</c:v>
                </c:pt>
                <c:pt idx="4613" formatCode="0.00E+00">
                  <c:v>84.95881</c:v>
                </c:pt>
                <c:pt idx="4614">
                  <c:v>84.95800000000001</c:v>
                </c:pt>
                <c:pt idx="4615">
                  <c:v>84.95967</c:v>
                </c:pt>
                <c:pt idx="4616">
                  <c:v>84.95142</c:v>
                </c:pt>
                <c:pt idx="4617">
                  <c:v>84.95142</c:v>
                </c:pt>
                <c:pt idx="4618">
                  <c:v>84.95223</c:v>
                </c:pt>
                <c:pt idx="4619">
                  <c:v>84.95800000000001</c:v>
                </c:pt>
                <c:pt idx="4620">
                  <c:v>84.95967</c:v>
                </c:pt>
                <c:pt idx="4621">
                  <c:v>84.95637999999998</c:v>
                </c:pt>
                <c:pt idx="4622">
                  <c:v>84.95471</c:v>
                </c:pt>
                <c:pt idx="4623">
                  <c:v>84.9531</c:v>
                </c:pt>
                <c:pt idx="4624">
                  <c:v>84.95223</c:v>
                </c:pt>
                <c:pt idx="4625">
                  <c:v>84.95142</c:v>
                </c:pt>
                <c:pt idx="4626">
                  <c:v>84.95142</c:v>
                </c:pt>
                <c:pt idx="4627">
                  <c:v>84.95061</c:v>
                </c:pt>
                <c:pt idx="4628">
                  <c:v>84.94981</c:v>
                </c:pt>
                <c:pt idx="4629">
                  <c:v>84.95061</c:v>
                </c:pt>
                <c:pt idx="4630">
                  <c:v>84.94981</c:v>
                </c:pt>
                <c:pt idx="4631">
                  <c:v>84.94894</c:v>
                </c:pt>
                <c:pt idx="4632">
                  <c:v>84.94813</c:v>
                </c:pt>
                <c:pt idx="4633">
                  <c:v>84.94652</c:v>
                </c:pt>
                <c:pt idx="4634">
                  <c:v>84.94652</c:v>
                </c:pt>
                <c:pt idx="4635">
                  <c:v>84.94652</c:v>
                </c:pt>
                <c:pt idx="4636">
                  <c:v>84.94565</c:v>
                </c:pt>
                <c:pt idx="4637">
                  <c:v>84.94484</c:v>
                </c:pt>
                <c:pt idx="4638">
                  <c:v>84.94484</c:v>
                </c:pt>
                <c:pt idx="4639">
                  <c:v>84.94484</c:v>
                </c:pt>
                <c:pt idx="4640">
                  <c:v>84.94404</c:v>
                </c:pt>
                <c:pt idx="4641">
                  <c:v>84.94323</c:v>
                </c:pt>
                <c:pt idx="4642">
                  <c:v>84.94155</c:v>
                </c:pt>
                <c:pt idx="4643">
                  <c:v>84.94075</c:v>
                </c:pt>
                <c:pt idx="4644">
                  <c:v>84.94075</c:v>
                </c:pt>
                <c:pt idx="4645">
                  <c:v>84.94155</c:v>
                </c:pt>
                <c:pt idx="4646">
                  <c:v>84.93994</c:v>
                </c:pt>
                <c:pt idx="4647">
                  <c:v>84.94075</c:v>
                </c:pt>
                <c:pt idx="4648">
                  <c:v>84.93994</c:v>
                </c:pt>
                <c:pt idx="4649">
                  <c:v>84.93827</c:v>
                </c:pt>
                <c:pt idx="4650">
                  <c:v>84.93827</c:v>
                </c:pt>
                <c:pt idx="4651">
                  <c:v>84.93746</c:v>
                </c:pt>
                <c:pt idx="4652">
                  <c:v>84.93746</c:v>
                </c:pt>
                <c:pt idx="4653">
                  <c:v>84.93665</c:v>
                </c:pt>
                <c:pt idx="4654">
                  <c:v>84.93577999999998</c:v>
                </c:pt>
                <c:pt idx="4655">
                  <c:v>84.93577999999998</c:v>
                </c:pt>
                <c:pt idx="4656">
                  <c:v>84.93498</c:v>
                </c:pt>
                <c:pt idx="4657">
                  <c:v>84.93417</c:v>
                </c:pt>
                <c:pt idx="4658">
                  <c:v>84.93417</c:v>
                </c:pt>
                <c:pt idx="4659">
                  <c:v>84.9333</c:v>
                </c:pt>
                <c:pt idx="4660">
                  <c:v>84.9333</c:v>
                </c:pt>
                <c:pt idx="4661">
                  <c:v>84.93169</c:v>
                </c:pt>
                <c:pt idx="4662">
                  <c:v>84.93001</c:v>
                </c:pt>
                <c:pt idx="4663">
                  <c:v>84.92839999999998</c:v>
                </c:pt>
                <c:pt idx="4664">
                  <c:v>84.9243</c:v>
                </c:pt>
                <c:pt idx="4665">
                  <c:v>84.92672</c:v>
                </c:pt>
                <c:pt idx="4666">
                  <c:v>84.93498</c:v>
                </c:pt>
                <c:pt idx="4667">
                  <c:v>84.93169</c:v>
                </c:pt>
                <c:pt idx="4668">
                  <c:v>84.93001</c:v>
                </c:pt>
                <c:pt idx="4669">
                  <c:v>84.92921</c:v>
                </c:pt>
                <c:pt idx="4670">
                  <c:v>84.92839999999998</c:v>
                </c:pt>
                <c:pt idx="4671">
                  <c:v>84.92759</c:v>
                </c:pt>
                <c:pt idx="4672">
                  <c:v>84.92759</c:v>
                </c:pt>
                <c:pt idx="4673">
                  <c:v>84.92759</c:v>
                </c:pt>
                <c:pt idx="4674">
                  <c:v>84.92592</c:v>
                </c:pt>
                <c:pt idx="4675">
                  <c:v>84.92511</c:v>
                </c:pt>
                <c:pt idx="4676">
                  <c:v>84.92511</c:v>
                </c:pt>
                <c:pt idx="4677">
                  <c:v>84.92511</c:v>
                </c:pt>
                <c:pt idx="4678">
                  <c:v>84.9243</c:v>
                </c:pt>
                <c:pt idx="4679">
                  <c:v>84.9243</c:v>
                </c:pt>
                <c:pt idx="4680">
                  <c:v>84.91686</c:v>
                </c:pt>
                <c:pt idx="4681">
                  <c:v>84.91772</c:v>
                </c:pt>
                <c:pt idx="4682">
                  <c:v>84.91853</c:v>
                </c:pt>
                <c:pt idx="4683">
                  <c:v>84.91934</c:v>
                </c:pt>
                <c:pt idx="4684">
                  <c:v>84.92015</c:v>
                </c:pt>
                <c:pt idx="4685">
                  <c:v>84.92101</c:v>
                </c:pt>
                <c:pt idx="4686">
                  <c:v>84.92182</c:v>
                </c:pt>
                <c:pt idx="4687">
                  <c:v>84.92511</c:v>
                </c:pt>
                <c:pt idx="4688">
                  <c:v>84.92344</c:v>
                </c:pt>
                <c:pt idx="4689">
                  <c:v>84.92015</c:v>
                </c:pt>
                <c:pt idx="4690">
                  <c:v>84.91853</c:v>
                </c:pt>
                <c:pt idx="4691">
                  <c:v>84.91772</c:v>
                </c:pt>
                <c:pt idx="4692">
                  <c:v>84.91686</c:v>
                </c:pt>
                <c:pt idx="4693">
                  <c:v>84.91605</c:v>
                </c:pt>
                <c:pt idx="4694">
                  <c:v>84.91524</c:v>
                </c:pt>
                <c:pt idx="4695">
                  <c:v>84.91524</c:v>
                </c:pt>
                <c:pt idx="4696">
                  <c:v>84.91443</c:v>
                </c:pt>
                <c:pt idx="4697">
                  <c:v>84.91357</c:v>
                </c:pt>
                <c:pt idx="4698">
                  <c:v>84.91276</c:v>
                </c:pt>
                <c:pt idx="4699">
                  <c:v>84.91276</c:v>
                </c:pt>
                <c:pt idx="4700">
                  <c:v>84.91195</c:v>
                </c:pt>
                <c:pt idx="4701">
                  <c:v>84.91114</c:v>
                </c:pt>
                <c:pt idx="4702">
                  <c:v>84.91114</c:v>
                </c:pt>
                <c:pt idx="4703">
                  <c:v>84.91114</c:v>
                </c:pt>
                <c:pt idx="4704">
                  <c:v>84.91028</c:v>
                </c:pt>
                <c:pt idx="4705">
                  <c:v>84.90947000000001</c:v>
                </c:pt>
                <c:pt idx="4706">
                  <c:v>84.90947000000001</c:v>
                </c:pt>
                <c:pt idx="4707">
                  <c:v>84.90866</c:v>
                </c:pt>
                <c:pt idx="4708">
                  <c:v>84.90786</c:v>
                </c:pt>
                <c:pt idx="4709">
                  <c:v>84.90786</c:v>
                </c:pt>
                <c:pt idx="4710">
                  <c:v>84.90786</c:v>
                </c:pt>
                <c:pt idx="4711">
                  <c:v>84.90618</c:v>
                </c:pt>
                <c:pt idx="4712">
                  <c:v>84.90618</c:v>
                </c:pt>
                <c:pt idx="4713">
                  <c:v>84.90537</c:v>
                </c:pt>
                <c:pt idx="4714">
                  <c:v>84.90537</c:v>
                </c:pt>
                <c:pt idx="4715">
                  <c:v>84.90451</c:v>
                </c:pt>
                <c:pt idx="4716">
                  <c:v>84.9037</c:v>
                </c:pt>
                <c:pt idx="4717">
                  <c:v>84.9037</c:v>
                </c:pt>
                <c:pt idx="4718">
                  <c:v>84.90289</c:v>
                </c:pt>
                <c:pt idx="4719">
                  <c:v>84.90208</c:v>
                </c:pt>
                <c:pt idx="4720">
                  <c:v>84.90122</c:v>
                </c:pt>
                <c:pt idx="4721">
                  <c:v>84.90041</c:v>
                </c:pt>
                <c:pt idx="4722">
                  <c:v>84.8996</c:v>
                </c:pt>
                <c:pt idx="4723">
                  <c:v>84.8996</c:v>
                </c:pt>
                <c:pt idx="4724">
                  <c:v>84.8996</c:v>
                </c:pt>
                <c:pt idx="4725">
                  <c:v>84.89879999999998</c:v>
                </c:pt>
                <c:pt idx="4726">
                  <c:v>84.89793</c:v>
                </c:pt>
                <c:pt idx="4727">
                  <c:v>84.89793</c:v>
                </c:pt>
                <c:pt idx="4728">
                  <c:v>84.89793</c:v>
                </c:pt>
                <c:pt idx="4729">
                  <c:v>84.89793</c:v>
                </c:pt>
                <c:pt idx="4730">
                  <c:v>84.89712</c:v>
                </c:pt>
                <c:pt idx="4731">
                  <c:v>84.89631</c:v>
                </c:pt>
                <c:pt idx="4732">
                  <c:v>84.89631</c:v>
                </c:pt>
                <c:pt idx="4733">
                  <c:v>84.89551</c:v>
                </c:pt>
                <c:pt idx="4734">
                  <c:v>84.89464</c:v>
                </c:pt>
                <c:pt idx="4735">
                  <c:v>84.89383</c:v>
                </c:pt>
                <c:pt idx="4736">
                  <c:v>84.89383</c:v>
                </c:pt>
                <c:pt idx="4737">
                  <c:v>84.89383</c:v>
                </c:pt>
                <c:pt idx="4738">
                  <c:v>84.89303</c:v>
                </c:pt>
                <c:pt idx="4739">
                  <c:v>84.89222</c:v>
                </c:pt>
                <c:pt idx="4740">
                  <c:v>84.89135</c:v>
                </c:pt>
                <c:pt idx="4741">
                  <c:v>84.89135</c:v>
                </c:pt>
                <c:pt idx="4742">
                  <c:v>84.88973999999975</c:v>
                </c:pt>
                <c:pt idx="4743">
                  <c:v>84.88973999999975</c:v>
                </c:pt>
                <c:pt idx="4744">
                  <c:v>84.88973999999975</c:v>
                </c:pt>
                <c:pt idx="4745">
                  <c:v>84.88892999999997</c:v>
                </c:pt>
                <c:pt idx="4746">
                  <c:v>84.88805999999998</c:v>
                </c:pt>
                <c:pt idx="4747">
                  <c:v>84.88725</c:v>
                </c:pt>
                <c:pt idx="4748">
                  <c:v>84.88644999999998</c:v>
                </c:pt>
                <c:pt idx="4749" formatCode="0.00E+00">
                  <c:v>84.88644999999998</c:v>
                </c:pt>
                <c:pt idx="4750">
                  <c:v>84.88563999999998</c:v>
                </c:pt>
                <c:pt idx="4751">
                  <c:v>84.88563999999998</c:v>
                </c:pt>
                <c:pt idx="4752">
                  <c:v>84.88476999999997</c:v>
                </c:pt>
                <c:pt idx="4753">
                  <c:v>84.88476999999997</c:v>
                </c:pt>
                <c:pt idx="4754">
                  <c:v>84.88397</c:v>
                </c:pt>
                <c:pt idx="4755">
                  <c:v>84.88397</c:v>
                </c:pt>
                <c:pt idx="4756">
                  <c:v>84.88316</c:v>
                </c:pt>
                <c:pt idx="4757">
                  <c:v>84.88234999999958</c:v>
                </c:pt>
                <c:pt idx="4758">
                  <c:v>84.88234999999958</c:v>
                </c:pt>
                <c:pt idx="4759">
                  <c:v>84.88147999999998</c:v>
                </c:pt>
                <c:pt idx="4760">
                  <c:v>84.88068</c:v>
                </c:pt>
                <c:pt idx="4761">
                  <c:v>84.88068</c:v>
                </c:pt>
                <c:pt idx="4762">
                  <c:v>84.88068</c:v>
                </c:pt>
                <c:pt idx="4763">
                  <c:v>84.87986999999998</c:v>
                </c:pt>
                <c:pt idx="4764">
                  <c:v>84.87819999999998</c:v>
                </c:pt>
                <c:pt idx="4765">
                  <c:v>84.87819999999998</c:v>
                </c:pt>
                <c:pt idx="4766">
                  <c:v>84.87738999999995</c:v>
                </c:pt>
                <c:pt idx="4767">
                  <c:v>84.87738999999995</c:v>
                </c:pt>
                <c:pt idx="4768">
                  <c:v>84.87738999999995</c:v>
                </c:pt>
                <c:pt idx="4769">
                  <c:v>84.87657999999985</c:v>
                </c:pt>
                <c:pt idx="4770">
                  <c:v>84.87570999999878</c:v>
                </c:pt>
                <c:pt idx="4771">
                  <c:v>84.87491</c:v>
                </c:pt>
                <c:pt idx="4772">
                  <c:v>84.87491</c:v>
                </c:pt>
                <c:pt idx="4773">
                  <c:v>84.8741</c:v>
                </c:pt>
                <c:pt idx="4774">
                  <c:v>84.87328999999998</c:v>
                </c:pt>
                <c:pt idx="4775">
                  <c:v>84.87328999999998</c:v>
                </c:pt>
                <c:pt idx="4776">
                  <c:v>84.87328999999998</c:v>
                </c:pt>
                <c:pt idx="4777">
                  <c:v>84.87242999999998</c:v>
                </c:pt>
                <c:pt idx="4778">
                  <c:v>84.87162</c:v>
                </c:pt>
                <c:pt idx="4779">
                  <c:v>84.87162</c:v>
                </c:pt>
                <c:pt idx="4780">
                  <c:v>84.87080999999995</c:v>
                </c:pt>
                <c:pt idx="4781">
                  <c:v>84.87</c:v>
                </c:pt>
                <c:pt idx="4782">
                  <c:v>84.87</c:v>
                </c:pt>
                <c:pt idx="4783">
                  <c:v>84.86914</c:v>
                </c:pt>
                <c:pt idx="4784">
                  <c:v>84.86914</c:v>
                </c:pt>
                <c:pt idx="4785">
                  <c:v>84.86832999999998</c:v>
                </c:pt>
                <c:pt idx="4786">
                  <c:v>84.86752</c:v>
                </c:pt>
                <c:pt idx="4787">
                  <c:v>84.86671</c:v>
                </c:pt>
                <c:pt idx="4788">
                  <c:v>84.86671</c:v>
                </c:pt>
                <c:pt idx="4789">
                  <c:v>84.86584999999998</c:v>
                </c:pt>
                <c:pt idx="4790">
                  <c:v>84.86503999999998</c:v>
                </c:pt>
                <c:pt idx="4791">
                  <c:v>84.86503999999998</c:v>
                </c:pt>
                <c:pt idx="4792">
                  <c:v>84.86503999999998</c:v>
                </c:pt>
                <c:pt idx="4793">
                  <c:v>84.86423</c:v>
                </c:pt>
                <c:pt idx="4794">
                  <c:v>84.86256</c:v>
                </c:pt>
                <c:pt idx="4795">
                  <c:v>84.86256</c:v>
                </c:pt>
                <c:pt idx="4796">
                  <c:v>84.86175</c:v>
                </c:pt>
                <c:pt idx="4797">
                  <c:v>84.86094</c:v>
                </c:pt>
                <c:pt idx="4798">
                  <c:v>84.86175</c:v>
                </c:pt>
                <c:pt idx="4799">
                  <c:v>84.86094</c:v>
                </c:pt>
                <c:pt idx="4800">
                  <c:v>84.86094</c:v>
                </c:pt>
                <c:pt idx="4801">
                  <c:v>84.86013000000001</c:v>
                </c:pt>
                <c:pt idx="4802">
                  <c:v>84.85927</c:v>
                </c:pt>
                <c:pt idx="4803">
                  <c:v>84.85927</c:v>
                </c:pt>
                <c:pt idx="4804">
                  <c:v>84.85845999999998</c:v>
                </c:pt>
                <c:pt idx="4805">
                  <c:v>84.85845999999998</c:v>
                </c:pt>
                <c:pt idx="4806">
                  <c:v>84.85765</c:v>
                </c:pt>
                <c:pt idx="4807">
                  <c:v>84.85765</c:v>
                </c:pt>
                <c:pt idx="4808">
                  <c:v>84.85683999999995</c:v>
                </c:pt>
                <c:pt idx="4809">
                  <c:v>84.85597999999958</c:v>
                </c:pt>
                <c:pt idx="4810">
                  <c:v>84.85597999999958</c:v>
                </c:pt>
                <c:pt idx="4811">
                  <c:v>84.85516999999998</c:v>
                </c:pt>
                <c:pt idx="4812">
                  <c:v>84.85516999999998</c:v>
                </c:pt>
                <c:pt idx="4813">
                  <c:v>84.85436</c:v>
                </c:pt>
                <c:pt idx="4814">
                  <c:v>84.85356</c:v>
                </c:pt>
                <c:pt idx="4815">
                  <c:v>84.85356</c:v>
                </c:pt>
                <c:pt idx="4816">
                  <c:v>84.85356</c:v>
                </c:pt>
                <c:pt idx="4817">
                  <c:v>84.85268999999998</c:v>
                </c:pt>
                <c:pt idx="4818">
                  <c:v>84.85187999999998</c:v>
                </c:pt>
                <c:pt idx="4819">
                  <c:v>84.8445</c:v>
                </c:pt>
                <c:pt idx="4820">
                  <c:v>84.8453</c:v>
                </c:pt>
                <c:pt idx="4821">
                  <c:v>84.84779</c:v>
                </c:pt>
                <c:pt idx="4822">
                  <c:v>84.85597999999958</c:v>
                </c:pt>
                <c:pt idx="4823">
                  <c:v>84.85268999999998</c:v>
                </c:pt>
                <c:pt idx="4824">
                  <c:v>84.85027</c:v>
                </c:pt>
                <c:pt idx="4825">
                  <c:v>84.8494</c:v>
                </c:pt>
                <c:pt idx="4826">
                  <c:v>84.84859</c:v>
                </c:pt>
                <c:pt idx="4827">
                  <c:v>84.84779</c:v>
                </c:pt>
                <c:pt idx="4828">
                  <c:v>84.84692</c:v>
                </c:pt>
                <c:pt idx="4829">
                  <c:v>84.84779</c:v>
                </c:pt>
                <c:pt idx="4830">
                  <c:v>84.8445</c:v>
                </c:pt>
                <c:pt idx="4831">
                  <c:v>84.84034</c:v>
                </c:pt>
                <c:pt idx="4832">
                  <c:v>84.84121</c:v>
                </c:pt>
                <c:pt idx="4833">
                  <c:v>84.84202</c:v>
                </c:pt>
                <c:pt idx="4834">
                  <c:v>84.84202</c:v>
                </c:pt>
                <c:pt idx="4835">
                  <c:v>84.84363</c:v>
                </c:pt>
                <c:pt idx="4836">
                  <c:v>84.84363</c:v>
                </c:pt>
                <c:pt idx="4837">
                  <c:v>84.84779</c:v>
                </c:pt>
                <c:pt idx="4838">
                  <c:v>84.8453</c:v>
                </c:pt>
                <c:pt idx="4839">
                  <c:v>84.84363</c:v>
                </c:pt>
                <c:pt idx="4840">
                  <c:v>84.84202</c:v>
                </c:pt>
                <c:pt idx="4841">
                  <c:v>84.84121</c:v>
                </c:pt>
                <c:pt idx="4842" formatCode="0.00E+00">
                  <c:v>84.84034</c:v>
                </c:pt>
                <c:pt idx="4843">
                  <c:v>84.83953</c:v>
                </c:pt>
                <c:pt idx="4844">
                  <c:v>84.83953</c:v>
                </c:pt>
                <c:pt idx="4845">
                  <c:v>84.83872999999998</c:v>
                </c:pt>
                <c:pt idx="4846">
                  <c:v>84.83792</c:v>
                </c:pt>
                <c:pt idx="4847">
                  <c:v>84.83705</c:v>
                </c:pt>
                <c:pt idx="4848">
                  <c:v>84.83624</c:v>
                </c:pt>
                <c:pt idx="4849">
                  <c:v>84.83624</c:v>
                </c:pt>
                <c:pt idx="4850">
                  <c:v>84.83624</c:v>
                </c:pt>
                <c:pt idx="4851">
                  <c:v>84.83624</c:v>
                </c:pt>
                <c:pt idx="4852">
                  <c:v>84.83463</c:v>
                </c:pt>
                <c:pt idx="4853">
                  <c:v>84.83463</c:v>
                </c:pt>
                <c:pt idx="4854">
                  <c:v>84.83376</c:v>
                </c:pt>
                <c:pt idx="4855">
                  <c:v>84.83376</c:v>
                </c:pt>
                <c:pt idx="4856">
                  <c:v>84.83296</c:v>
                </c:pt>
                <c:pt idx="4857">
                  <c:v>84.83215</c:v>
                </c:pt>
                <c:pt idx="4858">
                  <c:v>84.83133999999998</c:v>
                </c:pt>
                <c:pt idx="4859">
                  <c:v>84.83133999999998</c:v>
                </c:pt>
                <c:pt idx="4860">
                  <c:v>84.83133999999998</c:v>
                </c:pt>
                <c:pt idx="4861">
                  <c:v>84.83047</c:v>
                </c:pt>
                <c:pt idx="4862">
                  <c:v>84.82967</c:v>
                </c:pt>
                <c:pt idx="4863">
                  <c:v>84.82885999999998</c:v>
                </c:pt>
                <c:pt idx="4864">
                  <c:v>84.82885999999998</c:v>
                </c:pt>
                <c:pt idx="4865">
                  <c:v>84.82804999999995</c:v>
                </c:pt>
                <c:pt idx="4866">
                  <c:v>84.82804999999995</c:v>
                </c:pt>
                <c:pt idx="4867">
                  <c:v>84.82804999999995</c:v>
                </c:pt>
                <c:pt idx="4868">
                  <c:v>84.82719</c:v>
                </c:pt>
                <c:pt idx="4869">
                  <c:v>84.82804999999995</c:v>
                </c:pt>
                <c:pt idx="4870">
                  <c:v>84.82637999999928</c:v>
                </c:pt>
                <c:pt idx="4871">
                  <c:v>84.82556999999998</c:v>
                </c:pt>
                <c:pt idx="4872">
                  <c:v>84.82556999999998</c:v>
                </c:pt>
                <c:pt idx="4873">
                  <c:v>84.82556999999998</c:v>
                </c:pt>
                <c:pt idx="4874">
                  <c:v>84.82476</c:v>
                </c:pt>
                <c:pt idx="4875">
                  <c:v>84.82389999999998</c:v>
                </c:pt>
                <c:pt idx="4876">
                  <c:v>84.82389999999998</c:v>
                </c:pt>
                <c:pt idx="4877">
                  <c:v>84.82389999999998</c:v>
                </c:pt>
                <c:pt idx="4878">
                  <c:v>84.82308999999998</c:v>
                </c:pt>
                <c:pt idx="4879">
                  <c:v>84.82227999999998</c:v>
                </c:pt>
                <c:pt idx="4880">
                  <c:v>84.82227999999998</c:v>
                </c:pt>
                <c:pt idx="4881">
                  <c:v>84.82147</c:v>
                </c:pt>
                <c:pt idx="4882">
                  <c:v>84.82147</c:v>
                </c:pt>
                <c:pt idx="4883">
                  <c:v>84.8198</c:v>
                </c:pt>
                <c:pt idx="4884">
                  <c:v>84.8198</c:v>
                </c:pt>
                <c:pt idx="4885">
                  <c:v>84.8198</c:v>
                </c:pt>
                <c:pt idx="4886">
                  <c:v>84.8198</c:v>
                </c:pt>
                <c:pt idx="4887">
                  <c:v>84.8198</c:v>
                </c:pt>
                <c:pt idx="4888">
                  <c:v>84.82061</c:v>
                </c:pt>
                <c:pt idx="4889">
                  <c:v>84.81073999999998</c:v>
                </c:pt>
                <c:pt idx="4890">
                  <c:v>84.81322</c:v>
                </c:pt>
                <c:pt idx="4891">
                  <c:v>84.81732</c:v>
                </c:pt>
                <c:pt idx="4892">
                  <c:v>84.82227999999998</c:v>
                </c:pt>
                <c:pt idx="4893">
                  <c:v>84.81813</c:v>
                </c:pt>
                <c:pt idx="4894">
                  <c:v>84.81732</c:v>
                </c:pt>
                <c:pt idx="4895">
                  <c:v>84.81484</c:v>
                </c:pt>
                <c:pt idx="4896">
                  <c:v>84.81403</c:v>
                </c:pt>
                <c:pt idx="4897">
                  <c:v>84.81403</c:v>
                </c:pt>
                <c:pt idx="4898">
                  <c:v>84.81403</c:v>
                </c:pt>
                <c:pt idx="4899">
                  <c:v>84.81322</c:v>
                </c:pt>
                <c:pt idx="4900">
                  <c:v>84.81322</c:v>
                </c:pt>
                <c:pt idx="4901">
                  <c:v>84.81322</c:v>
                </c:pt>
                <c:pt idx="4902">
                  <c:v>84.81241</c:v>
                </c:pt>
                <c:pt idx="4903">
                  <c:v>84.81155</c:v>
                </c:pt>
                <c:pt idx="4904">
                  <c:v>84.81073999999998</c:v>
                </c:pt>
                <c:pt idx="4905">
                  <c:v>84.80993</c:v>
                </c:pt>
                <c:pt idx="4906">
                  <c:v>84.81073999999998</c:v>
                </c:pt>
                <c:pt idx="4907">
                  <c:v>84.80912</c:v>
                </c:pt>
                <c:pt idx="4908">
                  <c:v>84.81073999999998</c:v>
                </c:pt>
                <c:pt idx="4909">
                  <c:v>84.80334999999998</c:v>
                </c:pt>
                <c:pt idx="4910">
                  <c:v>84.80254999999998</c:v>
                </c:pt>
                <c:pt idx="4911">
                  <c:v>84.80416</c:v>
                </c:pt>
                <c:pt idx="4912">
                  <c:v>84.80497</c:v>
                </c:pt>
                <c:pt idx="4913">
                  <c:v>84.80664</c:v>
                </c:pt>
                <c:pt idx="4914">
                  <c:v>84.80664</c:v>
                </c:pt>
                <c:pt idx="4915">
                  <c:v>84.81073999999998</c:v>
                </c:pt>
                <c:pt idx="4916">
                  <c:v>84.80993</c:v>
                </c:pt>
                <c:pt idx="4917">
                  <c:v>84.80745</c:v>
                </c:pt>
                <c:pt idx="4918">
                  <c:v>84.80582999999998</c:v>
                </c:pt>
                <c:pt idx="4919">
                  <c:v>84.80497</c:v>
                </c:pt>
                <c:pt idx="4920">
                  <c:v>84.80334999999998</c:v>
                </c:pt>
                <c:pt idx="4921">
                  <c:v>84.80254999999998</c:v>
                </c:pt>
                <c:pt idx="4922">
                  <c:v>84.80254999999998</c:v>
                </c:pt>
                <c:pt idx="4923">
                  <c:v>84.80168</c:v>
                </c:pt>
                <c:pt idx="4924">
                  <c:v>84.80168</c:v>
                </c:pt>
                <c:pt idx="4925">
                  <c:v>84.80168</c:v>
                </c:pt>
                <c:pt idx="4926">
                  <c:v>84.80086999999997</c:v>
                </c:pt>
                <c:pt idx="4927">
                  <c:v>84.80006</c:v>
                </c:pt>
                <c:pt idx="4928">
                  <c:v>84.80006</c:v>
                </c:pt>
                <c:pt idx="4929">
                  <c:v>84.79926</c:v>
                </c:pt>
                <c:pt idx="4930">
                  <c:v>84.79839</c:v>
                </c:pt>
                <c:pt idx="4931">
                  <c:v>84.79839</c:v>
                </c:pt>
                <c:pt idx="4932">
                  <c:v>84.79839</c:v>
                </c:pt>
                <c:pt idx="4933">
                  <c:v>84.79758</c:v>
                </c:pt>
                <c:pt idx="4934">
                  <c:v>84.79678</c:v>
                </c:pt>
                <c:pt idx="4935">
                  <c:v>84.79678</c:v>
                </c:pt>
                <c:pt idx="4936">
                  <c:v>84.79678</c:v>
                </c:pt>
                <c:pt idx="4937">
                  <c:v>84.79597</c:v>
                </c:pt>
                <c:pt idx="4938">
                  <c:v>84.7951</c:v>
                </c:pt>
                <c:pt idx="4939">
                  <c:v>84.79429</c:v>
                </c:pt>
                <c:pt idx="4940">
                  <c:v>84.79429</c:v>
                </c:pt>
                <c:pt idx="4941">
                  <c:v>84.79349</c:v>
                </c:pt>
                <c:pt idx="4942">
                  <c:v>84.79268</c:v>
                </c:pt>
                <c:pt idx="4943">
                  <c:v>84.79181</c:v>
                </c:pt>
                <c:pt idx="4944">
                  <c:v>84.78938999999998</c:v>
                </c:pt>
                <c:pt idx="4945">
                  <c:v>84.78362</c:v>
                </c:pt>
                <c:pt idx="4946">
                  <c:v>84.78691</c:v>
                </c:pt>
                <c:pt idx="4947">
                  <c:v>84.79678</c:v>
                </c:pt>
                <c:pt idx="4948">
                  <c:v>84.79429</c:v>
                </c:pt>
                <c:pt idx="4949">
                  <c:v>84.79181</c:v>
                </c:pt>
                <c:pt idx="4950">
                  <c:v>84.791</c:v>
                </c:pt>
                <c:pt idx="4951">
                  <c:v>84.78938999999998</c:v>
                </c:pt>
                <c:pt idx="4952">
                  <c:v>84.78852</c:v>
                </c:pt>
                <c:pt idx="4953">
                  <c:v>84.78852</c:v>
                </c:pt>
                <c:pt idx="4954">
                  <c:v>84.78852</c:v>
                </c:pt>
                <c:pt idx="4955">
                  <c:v>84.78772</c:v>
                </c:pt>
                <c:pt idx="4956">
                  <c:v>84.78691</c:v>
                </c:pt>
                <c:pt idx="4957">
                  <c:v>84.78604</c:v>
                </c:pt>
                <c:pt idx="4958">
                  <c:v>84.78523000000001</c:v>
                </c:pt>
                <c:pt idx="4959">
                  <c:v>84.78443</c:v>
                </c:pt>
                <c:pt idx="4960">
                  <c:v>84.78523000000001</c:v>
                </c:pt>
                <c:pt idx="4961">
                  <c:v>84.78362</c:v>
                </c:pt>
                <c:pt idx="4962">
                  <c:v>84.78362</c:v>
                </c:pt>
                <c:pt idx="4963">
                  <c:v>84.78195</c:v>
                </c:pt>
                <c:pt idx="4964">
                  <c:v>84.78195</c:v>
                </c:pt>
                <c:pt idx="4965">
                  <c:v>84.78114</c:v>
                </c:pt>
                <c:pt idx="4966">
                  <c:v>84.78033</c:v>
                </c:pt>
                <c:pt idx="4967">
                  <c:v>84.78033</c:v>
                </c:pt>
                <c:pt idx="4968">
                  <c:v>84.78033</c:v>
                </c:pt>
                <c:pt idx="4969">
                  <c:v>84.78033</c:v>
                </c:pt>
                <c:pt idx="4970">
                  <c:v>84.78033</c:v>
                </c:pt>
                <c:pt idx="4971">
                  <c:v>84.77866</c:v>
                </c:pt>
                <c:pt idx="4972">
                  <c:v>84.77866</c:v>
                </c:pt>
                <c:pt idx="4973">
                  <c:v>84.77785</c:v>
                </c:pt>
                <c:pt idx="4974">
                  <c:v>84.77866</c:v>
                </c:pt>
                <c:pt idx="4975">
                  <c:v>84.77704</c:v>
                </c:pt>
                <c:pt idx="4976">
                  <c:v>84.77704</c:v>
                </c:pt>
                <c:pt idx="4977">
                  <c:v>84.77617</c:v>
                </c:pt>
                <c:pt idx="4978">
                  <c:v>84.77617</c:v>
                </c:pt>
                <c:pt idx="4979">
                  <c:v>84.77536999999998</c:v>
                </c:pt>
                <c:pt idx="4980">
                  <c:v>84.77456</c:v>
                </c:pt>
                <c:pt idx="4981">
                  <c:v>84.77456</c:v>
                </c:pt>
                <c:pt idx="4982">
                  <c:v>84.77374999999998</c:v>
                </c:pt>
                <c:pt idx="4983">
                  <c:v>84.77288999999985</c:v>
                </c:pt>
                <c:pt idx="4984">
                  <c:v>84.77207999999958</c:v>
                </c:pt>
                <c:pt idx="4985">
                  <c:v>84.77127</c:v>
                </c:pt>
                <c:pt idx="4986">
                  <c:v>84.77207999999958</c:v>
                </c:pt>
                <c:pt idx="4987">
                  <c:v>84.77127</c:v>
                </c:pt>
                <c:pt idx="4988">
                  <c:v>84.77127</c:v>
                </c:pt>
                <c:pt idx="4989">
                  <c:v>84.77127</c:v>
                </c:pt>
                <c:pt idx="4990">
                  <c:v>84.77046</c:v>
                </c:pt>
                <c:pt idx="4991">
                  <c:v>84.7696</c:v>
                </c:pt>
                <c:pt idx="4992">
                  <c:v>84.76878999999998</c:v>
                </c:pt>
                <c:pt idx="4993">
                  <c:v>84.76878999999998</c:v>
                </c:pt>
                <c:pt idx="4994">
                  <c:v>84.76798</c:v>
                </c:pt>
                <c:pt idx="4995">
                  <c:v>84.76717</c:v>
                </c:pt>
                <c:pt idx="4996">
                  <c:v>84.76631</c:v>
                </c:pt>
                <c:pt idx="4997">
                  <c:v>84.7655</c:v>
                </c:pt>
                <c:pt idx="4998">
                  <c:v>84.7655</c:v>
                </c:pt>
                <c:pt idx="4999">
                  <c:v>84.76469</c:v>
                </c:pt>
                <c:pt idx="5000">
                  <c:v>84.76469</c:v>
                </c:pt>
                <c:pt idx="5001">
                  <c:v>84.76469</c:v>
                </c:pt>
                <c:pt idx="5002">
                  <c:v>84.76388</c:v>
                </c:pt>
                <c:pt idx="5003">
                  <c:v>84.76388</c:v>
                </c:pt>
                <c:pt idx="5004">
                  <c:v>84.76388</c:v>
                </c:pt>
                <c:pt idx="5005">
                  <c:v>84.76388</c:v>
                </c:pt>
                <c:pt idx="5006">
                  <c:v>84.76221</c:v>
                </c:pt>
                <c:pt idx="5007">
                  <c:v>84.76221</c:v>
                </c:pt>
                <c:pt idx="5008">
                  <c:v>84.76221</c:v>
                </c:pt>
                <c:pt idx="5009">
                  <c:v>84.7614</c:v>
                </c:pt>
                <c:pt idx="5010">
                  <c:v>84.76059</c:v>
                </c:pt>
                <c:pt idx="5011">
                  <c:v>84.75973</c:v>
                </c:pt>
                <c:pt idx="5012">
                  <c:v>84.75892</c:v>
                </c:pt>
                <c:pt idx="5013">
                  <c:v>84.75811</c:v>
                </c:pt>
                <c:pt idx="5014">
                  <c:v>84.75725</c:v>
                </c:pt>
                <c:pt idx="5015">
                  <c:v>84.75725</c:v>
                </c:pt>
                <c:pt idx="5016">
                  <c:v>84.75725</c:v>
                </c:pt>
                <c:pt idx="5017">
                  <c:v>84.75725</c:v>
                </c:pt>
                <c:pt idx="5018">
                  <c:v>84.75644</c:v>
                </c:pt>
                <c:pt idx="5019">
                  <c:v>84.75563</c:v>
                </c:pt>
                <c:pt idx="5020">
                  <c:v>84.75563</c:v>
                </c:pt>
                <c:pt idx="5021">
                  <c:v>84.75482</c:v>
                </c:pt>
                <c:pt idx="5022">
                  <c:v>84.75315</c:v>
                </c:pt>
                <c:pt idx="5023">
                  <c:v>84.75396</c:v>
                </c:pt>
                <c:pt idx="5024">
                  <c:v>84.75396</c:v>
                </c:pt>
                <c:pt idx="5025">
                  <c:v>84.75315</c:v>
                </c:pt>
                <c:pt idx="5026">
                  <c:v>84.75315</c:v>
                </c:pt>
                <c:pt idx="5027">
                  <c:v>84.75233999999975</c:v>
                </c:pt>
                <c:pt idx="5028">
                  <c:v>84.75154</c:v>
                </c:pt>
                <c:pt idx="5029">
                  <c:v>84.75154</c:v>
                </c:pt>
                <c:pt idx="5030">
                  <c:v>84.75154</c:v>
                </c:pt>
                <c:pt idx="5031">
                  <c:v>84.75067</c:v>
                </c:pt>
                <c:pt idx="5032">
                  <c:v>84.74905</c:v>
                </c:pt>
                <c:pt idx="5033">
                  <c:v>84.74905</c:v>
                </c:pt>
                <c:pt idx="5034">
                  <c:v>84.74905</c:v>
                </c:pt>
                <c:pt idx="5035">
                  <c:v>84.74825</c:v>
                </c:pt>
                <c:pt idx="5036">
                  <c:v>84.74657</c:v>
                </c:pt>
                <c:pt idx="5037">
                  <c:v>84.74657</c:v>
                </c:pt>
                <c:pt idx="5038">
                  <c:v>84.74657</c:v>
                </c:pt>
                <c:pt idx="5039">
                  <c:v>84.74576</c:v>
                </c:pt>
                <c:pt idx="5040">
                  <c:v>84.74496</c:v>
                </c:pt>
                <c:pt idx="5041">
                  <c:v>84.74409</c:v>
                </c:pt>
                <c:pt idx="5042">
                  <c:v>84.74409</c:v>
                </c:pt>
                <c:pt idx="5043">
                  <c:v>84.74409</c:v>
                </c:pt>
                <c:pt idx="5044">
                  <c:v>84.74328</c:v>
                </c:pt>
                <c:pt idx="5045">
                  <c:v>84.74167000000002</c:v>
                </c:pt>
                <c:pt idx="5046">
                  <c:v>84.74167000000002</c:v>
                </c:pt>
                <c:pt idx="5047">
                  <c:v>84.7408</c:v>
                </c:pt>
                <c:pt idx="5048">
                  <c:v>84.7408</c:v>
                </c:pt>
                <c:pt idx="5049">
                  <c:v>84.73999</c:v>
                </c:pt>
                <c:pt idx="5050">
                  <c:v>84.73999</c:v>
                </c:pt>
                <c:pt idx="5051">
                  <c:v>84.73919</c:v>
                </c:pt>
                <c:pt idx="5052">
                  <c:v>84.73837999999998</c:v>
                </c:pt>
                <c:pt idx="5053">
                  <c:v>84.73751</c:v>
                </c:pt>
                <c:pt idx="5054">
                  <c:v>84.73751</c:v>
                </c:pt>
                <c:pt idx="5055">
                  <c:v>84.73751</c:v>
                </c:pt>
                <c:pt idx="5056">
                  <c:v>84.73671</c:v>
                </c:pt>
                <c:pt idx="5057">
                  <c:v>84.7359</c:v>
                </c:pt>
                <c:pt idx="5058">
                  <c:v>84.73422</c:v>
                </c:pt>
                <c:pt idx="5059">
                  <c:v>84.73509</c:v>
                </c:pt>
                <c:pt idx="5060">
                  <c:v>84.73509</c:v>
                </c:pt>
                <c:pt idx="5061">
                  <c:v>84.73342</c:v>
                </c:pt>
                <c:pt idx="5062">
                  <c:v>84.73342</c:v>
                </c:pt>
                <c:pt idx="5063">
                  <c:v>84.73342</c:v>
                </c:pt>
                <c:pt idx="5064">
                  <c:v>84.73261</c:v>
                </c:pt>
                <c:pt idx="5065">
                  <c:v>84.7318</c:v>
                </c:pt>
                <c:pt idx="5066">
                  <c:v>84.73013</c:v>
                </c:pt>
                <c:pt idx="5067">
                  <c:v>84.73013</c:v>
                </c:pt>
                <c:pt idx="5068">
                  <c:v>84.73093</c:v>
                </c:pt>
                <c:pt idx="5069">
                  <c:v>84.73013</c:v>
                </c:pt>
                <c:pt idx="5070">
                  <c:v>84.73013</c:v>
                </c:pt>
                <c:pt idx="5071">
                  <c:v>84.73013</c:v>
                </c:pt>
                <c:pt idx="5072">
                  <c:v>84.72844999999998</c:v>
                </c:pt>
                <c:pt idx="5073">
                  <c:v>84.72844999999998</c:v>
                </c:pt>
                <c:pt idx="5074">
                  <c:v>84.72765</c:v>
                </c:pt>
                <c:pt idx="5075">
                  <c:v>84.72683999999998</c:v>
                </c:pt>
                <c:pt idx="5076">
                  <c:v>84.72683999999998</c:v>
                </c:pt>
                <c:pt idx="5077">
                  <c:v>84.72603</c:v>
                </c:pt>
                <c:pt idx="5078">
                  <c:v>84.72516</c:v>
                </c:pt>
                <c:pt idx="5079">
                  <c:v>84.72436</c:v>
                </c:pt>
                <c:pt idx="5080">
                  <c:v>84.72436</c:v>
                </c:pt>
                <c:pt idx="5081">
                  <c:v>84.72355</c:v>
                </c:pt>
                <c:pt idx="5082">
                  <c:v>84.72273999999948</c:v>
                </c:pt>
                <c:pt idx="5083">
                  <c:v>84.72273999999948</c:v>
                </c:pt>
                <c:pt idx="5084">
                  <c:v>84.72273999999948</c:v>
                </c:pt>
                <c:pt idx="5085">
                  <c:v>84.72188</c:v>
                </c:pt>
                <c:pt idx="5086">
                  <c:v>84.72107</c:v>
                </c:pt>
                <c:pt idx="5087">
                  <c:v>84.72107</c:v>
                </c:pt>
                <c:pt idx="5088">
                  <c:v>84.72026</c:v>
                </c:pt>
                <c:pt idx="5089">
                  <c:v>84.71945</c:v>
                </c:pt>
                <c:pt idx="5090">
                  <c:v>84.71859</c:v>
                </c:pt>
                <c:pt idx="5091">
                  <c:v>84.71859</c:v>
                </c:pt>
                <c:pt idx="5092">
                  <c:v>84.71697</c:v>
                </c:pt>
                <c:pt idx="5093">
                  <c:v>84.71697</c:v>
                </c:pt>
                <c:pt idx="5094">
                  <c:v>84.71697</c:v>
                </c:pt>
                <c:pt idx="5095">
                  <c:v>84.71530000000001</c:v>
                </c:pt>
                <c:pt idx="5096">
                  <c:v>84.71449</c:v>
                </c:pt>
                <c:pt idx="5097">
                  <c:v>84.71449</c:v>
                </c:pt>
                <c:pt idx="5098">
                  <c:v>84.71449</c:v>
                </c:pt>
                <c:pt idx="5099">
                  <c:v>84.71449</c:v>
                </c:pt>
                <c:pt idx="5100">
                  <c:v>84.71368</c:v>
                </c:pt>
                <c:pt idx="5101">
                  <c:v>84.71287</c:v>
                </c:pt>
                <c:pt idx="5102">
                  <c:v>84.71201</c:v>
                </c:pt>
                <c:pt idx="5103">
                  <c:v>84.7112</c:v>
                </c:pt>
                <c:pt idx="5104">
                  <c:v>84.7112</c:v>
                </c:pt>
                <c:pt idx="5105">
                  <c:v>84.71039</c:v>
                </c:pt>
                <c:pt idx="5106">
                  <c:v>84.71039</c:v>
                </c:pt>
                <c:pt idx="5107">
                  <c:v>84.71039</c:v>
                </c:pt>
                <c:pt idx="5108">
                  <c:v>84.70791</c:v>
                </c:pt>
                <c:pt idx="5109">
                  <c:v>84.7071</c:v>
                </c:pt>
                <c:pt idx="5110">
                  <c:v>84.7071</c:v>
                </c:pt>
                <c:pt idx="5111">
                  <c:v>84.70630000000001</c:v>
                </c:pt>
                <c:pt idx="5112">
                  <c:v>84.70543</c:v>
                </c:pt>
                <c:pt idx="5113">
                  <c:v>84.70543</c:v>
                </c:pt>
                <c:pt idx="5114">
                  <c:v>84.70462</c:v>
                </c:pt>
                <c:pt idx="5115">
                  <c:v>84.70462</c:v>
                </c:pt>
                <c:pt idx="5116">
                  <c:v>84.7071</c:v>
                </c:pt>
                <c:pt idx="5117">
                  <c:v>84.69884999999998</c:v>
                </c:pt>
                <c:pt idx="5118">
                  <c:v>84.69803999999998</c:v>
                </c:pt>
                <c:pt idx="5119">
                  <c:v>84.69884999999998</c:v>
                </c:pt>
                <c:pt idx="5120">
                  <c:v>84.69884999999998</c:v>
                </c:pt>
                <c:pt idx="5121">
                  <c:v>84.69966</c:v>
                </c:pt>
                <c:pt idx="5122">
                  <c:v>84.70133000000001</c:v>
                </c:pt>
                <c:pt idx="5123">
                  <c:v>84.70214</c:v>
                </c:pt>
                <c:pt idx="5124">
                  <c:v>84.70301</c:v>
                </c:pt>
                <c:pt idx="5125">
                  <c:v>84.70543</c:v>
                </c:pt>
                <c:pt idx="5126">
                  <c:v>84.70133000000001</c:v>
                </c:pt>
                <c:pt idx="5127">
                  <c:v>84.69966</c:v>
                </c:pt>
                <c:pt idx="5128">
                  <c:v>84.69884999999998</c:v>
                </c:pt>
                <c:pt idx="5129">
                  <c:v>84.69636999999997</c:v>
                </c:pt>
                <c:pt idx="5130">
                  <c:v>84.69556</c:v>
                </c:pt>
                <c:pt idx="5131">
                  <c:v>84.69556</c:v>
                </c:pt>
                <c:pt idx="5132">
                  <c:v>84.69556</c:v>
                </c:pt>
                <c:pt idx="5133">
                  <c:v>84.69475</c:v>
                </c:pt>
                <c:pt idx="5134">
                  <c:v>84.69395</c:v>
                </c:pt>
                <c:pt idx="5135">
                  <c:v>84.69395</c:v>
                </c:pt>
                <c:pt idx="5136">
                  <c:v>84.69395</c:v>
                </c:pt>
                <c:pt idx="5137">
                  <c:v>84.69227</c:v>
                </c:pt>
                <c:pt idx="5138">
                  <c:v>84.69227</c:v>
                </c:pt>
                <c:pt idx="5139">
                  <c:v>84.69147</c:v>
                </c:pt>
                <c:pt idx="5140">
                  <c:v>84.69066</c:v>
                </c:pt>
                <c:pt idx="5141">
                  <c:v>84.69066</c:v>
                </c:pt>
                <c:pt idx="5142">
                  <c:v>84.68897999999928</c:v>
                </c:pt>
                <c:pt idx="5143">
                  <c:v>84.68897999999928</c:v>
                </c:pt>
                <c:pt idx="5144">
                  <c:v>84.68817999999958</c:v>
                </c:pt>
                <c:pt idx="5145">
                  <c:v>84.68817999999958</c:v>
                </c:pt>
                <c:pt idx="5146">
                  <c:v>84.68736999999997</c:v>
                </c:pt>
                <c:pt idx="5147">
                  <c:v>84.68736999999997</c:v>
                </c:pt>
                <c:pt idx="5148">
                  <c:v>84.68736999999997</c:v>
                </c:pt>
                <c:pt idx="5149">
                  <c:v>84.68649999999998</c:v>
                </c:pt>
                <c:pt idx="5150">
                  <c:v>84.68488999999998</c:v>
                </c:pt>
                <c:pt idx="5151">
                  <c:v>84.68488999999998</c:v>
                </c:pt>
                <c:pt idx="5152">
                  <c:v>84.68407999999998</c:v>
                </c:pt>
                <c:pt idx="5153">
                  <c:v>84.68407999999998</c:v>
                </c:pt>
                <c:pt idx="5154">
                  <c:v>84.68321</c:v>
                </c:pt>
                <c:pt idx="5155">
                  <c:v>84.68240999999995</c:v>
                </c:pt>
                <c:pt idx="5156">
                  <c:v>84.6816</c:v>
                </c:pt>
                <c:pt idx="5157">
                  <c:v>84.68078999999948</c:v>
                </c:pt>
                <c:pt idx="5158">
                  <c:v>84.68078999999948</c:v>
                </c:pt>
                <c:pt idx="5159">
                  <c:v>84.67991999999998</c:v>
                </c:pt>
              </c:numCache>
            </c:numRef>
          </c:yVal>
          <c:smooth val="1"/>
        </c:ser>
        <c:ser>
          <c:idx val="6"/>
          <c:order val="3"/>
          <c:tx>
            <c:v>2 Year Cure</c:v>
          </c:tx>
          <c:spPr>
            <a:ln w="19050" cmpd="sng">
              <a:solidFill>
                <a:srgbClr val="008000"/>
              </a:solidFill>
            </a:ln>
          </c:spPr>
          <c:marker>
            <c:symbol val="none"/>
          </c:marker>
          <c:xVal>
            <c:numRef>
              <c:f>Sheet1!$AQ$6:$AQ$5165</c:f>
              <c:numCache>
                <c:formatCode>General</c:formatCode>
                <c:ptCount val="5160"/>
                <c:pt idx="0">
                  <c:v>41.768</c:v>
                </c:pt>
                <c:pt idx="1">
                  <c:v>42.17100000000001</c:v>
                </c:pt>
                <c:pt idx="2">
                  <c:v>42.575</c:v>
                </c:pt>
                <c:pt idx="3">
                  <c:v>42.977</c:v>
                </c:pt>
                <c:pt idx="4">
                  <c:v>43.371</c:v>
                </c:pt>
                <c:pt idx="5">
                  <c:v>43.752</c:v>
                </c:pt>
                <c:pt idx="6">
                  <c:v>44.121</c:v>
                </c:pt>
                <c:pt idx="7">
                  <c:v>44.475</c:v>
                </c:pt>
                <c:pt idx="8">
                  <c:v>44.814</c:v>
                </c:pt>
                <c:pt idx="9">
                  <c:v>45.143</c:v>
                </c:pt>
                <c:pt idx="10">
                  <c:v>45.46</c:v>
                </c:pt>
                <c:pt idx="11">
                  <c:v>45.765</c:v>
                </c:pt>
                <c:pt idx="12">
                  <c:v>46.057</c:v>
                </c:pt>
                <c:pt idx="13">
                  <c:v>46.338</c:v>
                </c:pt>
                <c:pt idx="14">
                  <c:v>46.61</c:v>
                </c:pt>
                <c:pt idx="15">
                  <c:v>46.873</c:v>
                </c:pt>
                <c:pt idx="16">
                  <c:v>47.13</c:v>
                </c:pt>
                <c:pt idx="17">
                  <c:v>47.378</c:v>
                </c:pt>
                <c:pt idx="18">
                  <c:v>47.618</c:v>
                </c:pt>
                <c:pt idx="19">
                  <c:v>47.85</c:v>
                </c:pt>
                <c:pt idx="20">
                  <c:v>48.075</c:v>
                </c:pt>
                <c:pt idx="21">
                  <c:v>48.295</c:v>
                </c:pt>
                <c:pt idx="22">
                  <c:v>48.51</c:v>
                </c:pt>
                <c:pt idx="23">
                  <c:v>48.72100000000001</c:v>
                </c:pt>
                <c:pt idx="24">
                  <c:v>48.928</c:v>
                </c:pt>
                <c:pt idx="25">
                  <c:v>49.132</c:v>
                </c:pt>
                <c:pt idx="26">
                  <c:v>49.329</c:v>
                </c:pt>
                <c:pt idx="27">
                  <c:v>49.524</c:v>
                </c:pt>
                <c:pt idx="28">
                  <c:v>49.715</c:v>
                </c:pt>
                <c:pt idx="29">
                  <c:v>49.90300000000001</c:v>
                </c:pt>
                <c:pt idx="30">
                  <c:v>50.087</c:v>
                </c:pt>
                <c:pt idx="31">
                  <c:v>50.271</c:v>
                </c:pt>
                <c:pt idx="32">
                  <c:v>50.451</c:v>
                </c:pt>
                <c:pt idx="33">
                  <c:v>50.63</c:v>
                </c:pt>
                <c:pt idx="34">
                  <c:v>50.81</c:v>
                </c:pt>
                <c:pt idx="35">
                  <c:v>50.987</c:v>
                </c:pt>
                <c:pt idx="36">
                  <c:v>51.161</c:v>
                </c:pt>
                <c:pt idx="37">
                  <c:v>51.33300000000001</c:v>
                </c:pt>
                <c:pt idx="38">
                  <c:v>51.503</c:v>
                </c:pt>
                <c:pt idx="39">
                  <c:v>51.67100000000001</c:v>
                </c:pt>
                <c:pt idx="40">
                  <c:v>51.83900000000001</c:v>
                </c:pt>
                <c:pt idx="41">
                  <c:v>52.004</c:v>
                </c:pt>
                <c:pt idx="42">
                  <c:v>52.165</c:v>
                </c:pt>
                <c:pt idx="43">
                  <c:v>52.329</c:v>
                </c:pt>
                <c:pt idx="44">
                  <c:v>52.49</c:v>
                </c:pt>
                <c:pt idx="45">
                  <c:v>52.648</c:v>
                </c:pt>
                <c:pt idx="46">
                  <c:v>52.805</c:v>
                </c:pt>
                <c:pt idx="47">
                  <c:v>52.963</c:v>
                </c:pt>
                <c:pt idx="48">
                  <c:v>53.121</c:v>
                </c:pt>
                <c:pt idx="49">
                  <c:v>53.278</c:v>
                </c:pt>
                <c:pt idx="50">
                  <c:v>53.434</c:v>
                </c:pt>
                <c:pt idx="51">
                  <c:v>53.588</c:v>
                </c:pt>
                <c:pt idx="52">
                  <c:v>53.742</c:v>
                </c:pt>
                <c:pt idx="53">
                  <c:v>53.893</c:v>
                </c:pt>
                <c:pt idx="54">
                  <c:v>54.044</c:v>
                </c:pt>
                <c:pt idx="55">
                  <c:v>54.19600000000001</c:v>
                </c:pt>
                <c:pt idx="56">
                  <c:v>54.348</c:v>
                </c:pt>
                <c:pt idx="57">
                  <c:v>54.501</c:v>
                </c:pt>
                <c:pt idx="58">
                  <c:v>54.65</c:v>
                </c:pt>
                <c:pt idx="59">
                  <c:v>54.801</c:v>
                </c:pt>
                <c:pt idx="60">
                  <c:v>54.951</c:v>
                </c:pt>
                <c:pt idx="61">
                  <c:v>55.102</c:v>
                </c:pt>
                <c:pt idx="62">
                  <c:v>55.254</c:v>
                </c:pt>
                <c:pt idx="63">
                  <c:v>55.404</c:v>
                </c:pt>
                <c:pt idx="64">
                  <c:v>55.555</c:v>
                </c:pt>
                <c:pt idx="65">
                  <c:v>55.706</c:v>
                </c:pt>
                <c:pt idx="66">
                  <c:v>55.856</c:v>
                </c:pt>
                <c:pt idx="67">
                  <c:v>56.005</c:v>
                </c:pt>
                <c:pt idx="68">
                  <c:v>56.15600000000001</c:v>
                </c:pt>
                <c:pt idx="69">
                  <c:v>56.306</c:v>
                </c:pt>
                <c:pt idx="70">
                  <c:v>56.458</c:v>
                </c:pt>
                <c:pt idx="71">
                  <c:v>56.608</c:v>
                </c:pt>
                <c:pt idx="72">
                  <c:v>56.759</c:v>
                </c:pt>
                <c:pt idx="73">
                  <c:v>56.908</c:v>
                </c:pt>
                <c:pt idx="74">
                  <c:v>57.055</c:v>
                </c:pt>
                <c:pt idx="75">
                  <c:v>57.201</c:v>
                </c:pt>
                <c:pt idx="76">
                  <c:v>57.348</c:v>
                </c:pt>
                <c:pt idx="77">
                  <c:v>57.492</c:v>
                </c:pt>
                <c:pt idx="78">
                  <c:v>57.637</c:v>
                </c:pt>
                <c:pt idx="79">
                  <c:v>57.783</c:v>
                </c:pt>
                <c:pt idx="80">
                  <c:v>57.928</c:v>
                </c:pt>
                <c:pt idx="81">
                  <c:v>58.075</c:v>
                </c:pt>
                <c:pt idx="82">
                  <c:v>58.22400000000001</c:v>
                </c:pt>
                <c:pt idx="83">
                  <c:v>58.372</c:v>
                </c:pt>
                <c:pt idx="84">
                  <c:v>58.51900000000001</c:v>
                </c:pt>
                <c:pt idx="85">
                  <c:v>58.66600000000001</c:v>
                </c:pt>
                <c:pt idx="86">
                  <c:v>58.814</c:v>
                </c:pt>
                <c:pt idx="87">
                  <c:v>58.96100000000001</c:v>
                </c:pt>
                <c:pt idx="88">
                  <c:v>59.108</c:v>
                </c:pt>
                <c:pt idx="89">
                  <c:v>59.254</c:v>
                </c:pt>
                <c:pt idx="90">
                  <c:v>59.4</c:v>
                </c:pt>
                <c:pt idx="91">
                  <c:v>59.54600000000001</c:v>
                </c:pt>
                <c:pt idx="92">
                  <c:v>59.691</c:v>
                </c:pt>
                <c:pt idx="93">
                  <c:v>59.838</c:v>
                </c:pt>
                <c:pt idx="94">
                  <c:v>59.983</c:v>
                </c:pt>
                <c:pt idx="95">
                  <c:v>60.12600000000001</c:v>
                </c:pt>
                <c:pt idx="96">
                  <c:v>60.27</c:v>
                </c:pt>
                <c:pt idx="97">
                  <c:v>60.415</c:v>
                </c:pt>
                <c:pt idx="98">
                  <c:v>60.561</c:v>
                </c:pt>
                <c:pt idx="99">
                  <c:v>60.706</c:v>
                </c:pt>
                <c:pt idx="100">
                  <c:v>60.85</c:v>
                </c:pt>
                <c:pt idx="101">
                  <c:v>60.993</c:v>
                </c:pt>
                <c:pt idx="102">
                  <c:v>61.138</c:v>
                </c:pt>
                <c:pt idx="103">
                  <c:v>61.283</c:v>
                </c:pt>
                <c:pt idx="104">
                  <c:v>61.428</c:v>
                </c:pt>
                <c:pt idx="105">
                  <c:v>61.573</c:v>
                </c:pt>
                <c:pt idx="106">
                  <c:v>61.716</c:v>
                </c:pt>
                <c:pt idx="107">
                  <c:v>61.862</c:v>
                </c:pt>
                <c:pt idx="108">
                  <c:v>62.00700000000001</c:v>
                </c:pt>
                <c:pt idx="109">
                  <c:v>62.15300000000001</c:v>
                </c:pt>
                <c:pt idx="110">
                  <c:v>62.295</c:v>
                </c:pt>
                <c:pt idx="111">
                  <c:v>62.439</c:v>
                </c:pt>
                <c:pt idx="112">
                  <c:v>62.584</c:v>
                </c:pt>
                <c:pt idx="113">
                  <c:v>62.72700000000001</c:v>
                </c:pt>
                <c:pt idx="114">
                  <c:v>62.87</c:v>
                </c:pt>
                <c:pt idx="115">
                  <c:v>63.015</c:v>
                </c:pt>
                <c:pt idx="116">
                  <c:v>63.162</c:v>
                </c:pt>
                <c:pt idx="117">
                  <c:v>63.309</c:v>
                </c:pt>
                <c:pt idx="118">
                  <c:v>63.454</c:v>
                </c:pt>
                <c:pt idx="119">
                  <c:v>63.59900000000001</c:v>
                </c:pt>
                <c:pt idx="120">
                  <c:v>63.741</c:v>
                </c:pt>
                <c:pt idx="121">
                  <c:v>63.886</c:v>
                </c:pt>
                <c:pt idx="122">
                  <c:v>64.028</c:v>
                </c:pt>
                <c:pt idx="123">
                  <c:v>64.167</c:v>
                </c:pt>
                <c:pt idx="124">
                  <c:v>64.30899999999998</c:v>
                </c:pt>
                <c:pt idx="125">
                  <c:v>64.453</c:v>
                </c:pt>
                <c:pt idx="126">
                  <c:v>64.59500000000001</c:v>
                </c:pt>
                <c:pt idx="127">
                  <c:v>64.737</c:v>
                </c:pt>
                <c:pt idx="128">
                  <c:v>64.87799999999998</c:v>
                </c:pt>
                <c:pt idx="129">
                  <c:v>65.019</c:v>
                </c:pt>
                <c:pt idx="130">
                  <c:v>65.161</c:v>
                </c:pt>
                <c:pt idx="131">
                  <c:v>65.304</c:v>
                </c:pt>
                <c:pt idx="132">
                  <c:v>65.449</c:v>
                </c:pt>
                <c:pt idx="133">
                  <c:v>65.589</c:v>
                </c:pt>
                <c:pt idx="134">
                  <c:v>65.73</c:v>
                </c:pt>
                <c:pt idx="135">
                  <c:v>65.87399999999998</c:v>
                </c:pt>
                <c:pt idx="136">
                  <c:v>66.017</c:v>
                </c:pt>
                <c:pt idx="137">
                  <c:v>66.15899999999998</c:v>
                </c:pt>
                <c:pt idx="138">
                  <c:v>66.302</c:v>
                </c:pt>
                <c:pt idx="139">
                  <c:v>66.447</c:v>
                </c:pt>
                <c:pt idx="140">
                  <c:v>66.588</c:v>
                </c:pt>
                <c:pt idx="141">
                  <c:v>66.729</c:v>
                </c:pt>
                <c:pt idx="142">
                  <c:v>66.87</c:v>
                </c:pt>
                <c:pt idx="143">
                  <c:v>67.012</c:v>
                </c:pt>
                <c:pt idx="144">
                  <c:v>67.15399999999998</c:v>
                </c:pt>
                <c:pt idx="145">
                  <c:v>67.297</c:v>
                </c:pt>
                <c:pt idx="146">
                  <c:v>67.44</c:v>
                </c:pt>
                <c:pt idx="147">
                  <c:v>67.582</c:v>
                </c:pt>
                <c:pt idx="148">
                  <c:v>67.726</c:v>
                </c:pt>
                <c:pt idx="149">
                  <c:v>67.87</c:v>
                </c:pt>
                <c:pt idx="150">
                  <c:v>68.016</c:v>
                </c:pt>
                <c:pt idx="151">
                  <c:v>68.15799999999998</c:v>
                </c:pt>
                <c:pt idx="152">
                  <c:v>68.3</c:v>
                </c:pt>
                <c:pt idx="153">
                  <c:v>68.443</c:v>
                </c:pt>
                <c:pt idx="154">
                  <c:v>68.589</c:v>
                </c:pt>
                <c:pt idx="155">
                  <c:v>68.733</c:v>
                </c:pt>
                <c:pt idx="156">
                  <c:v>68.87499999999998</c:v>
                </c:pt>
                <c:pt idx="157">
                  <c:v>69.019</c:v>
                </c:pt>
                <c:pt idx="158">
                  <c:v>69.162</c:v>
                </c:pt>
                <c:pt idx="159">
                  <c:v>69.304</c:v>
                </c:pt>
                <c:pt idx="160">
                  <c:v>69.445</c:v>
                </c:pt>
                <c:pt idx="161">
                  <c:v>69.588</c:v>
                </c:pt>
                <c:pt idx="162">
                  <c:v>69.73200000000001</c:v>
                </c:pt>
                <c:pt idx="163">
                  <c:v>69.87299999999995</c:v>
                </c:pt>
                <c:pt idx="164">
                  <c:v>70.015</c:v>
                </c:pt>
                <c:pt idx="165">
                  <c:v>70.15899999999998</c:v>
                </c:pt>
                <c:pt idx="166">
                  <c:v>70.302</c:v>
                </c:pt>
                <c:pt idx="167">
                  <c:v>70.443</c:v>
                </c:pt>
                <c:pt idx="168">
                  <c:v>70.587</c:v>
                </c:pt>
                <c:pt idx="169">
                  <c:v>70.73200000000001</c:v>
                </c:pt>
                <c:pt idx="170">
                  <c:v>70.87499999999998</c:v>
                </c:pt>
                <c:pt idx="171">
                  <c:v>71.018</c:v>
                </c:pt>
                <c:pt idx="172">
                  <c:v>71.161</c:v>
                </c:pt>
                <c:pt idx="173">
                  <c:v>71.30299999999998</c:v>
                </c:pt>
                <c:pt idx="174">
                  <c:v>71.443</c:v>
                </c:pt>
                <c:pt idx="175">
                  <c:v>71.586</c:v>
                </c:pt>
                <c:pt idx="176">
                  <c:v>71.727</c:v>
                </c:pt>
                <c:pt idx="177">
                  <c:v>71.87</c:v>
                </c:pt>
                <c:pt idx="178">
                  <c:v>72.011</c:v>
                </c:pt>
                <c:pt idx="179">
                  <c:v>72.15199999999998</c:v>
                </c:pt>
                <c:pt idx="180">
                  <c:v>72.293</c:v>
                </c:pt>
                <c:pt idx="181">
                  <c:v>72.434</c:v>
                </c:pt>
                <c:pt idx="182">
                  <c:v>72.57599999999998</c:v>
                </c:pt>
                <c:pt idx="183">
                  <c:v>72.718</c:v>
                </c:pt>
                <c:pt idx="184">
                  <c:v>72.861</c:v>
                </c:pt>
                <c:pt idx="185">
                  <c:v>73.004</c:v>
                </c:pt>
                <c:pt idx="186">
                  <c:v>73.147</c:v>
                </c:pt>
                <c:pt idx="187">
                  <c:v>73.29</c:v>
                </c:pt>
                <c:pt idx="188">
                  <c:v>73.431</c:v>
                </c:pt>
                <c:pt idx="189">
                  <c:v>73.57299999999998</c:v>
                </c:pt>
                <c:pt idx="190">
                  <c:v>73.715</c:v>
                </c:pt>
                <c:pt idx="191">
                  <c:v>73.85299999999998</c:v>
                </c:pt>
                <c:pt idx="192">
                  <c:v>73.993</c:v>
                </c:pt>
                <c:pt idx="193">
                  <c:v>74.13299999999998</c:v>
                </c:pt>
                <c:pt idx="194">
                  <c:v>74.274</c:v>
                </c:pt>
                <c:pt idx="195">
                  <c:v>74.416</c:v>
                </c:pt>
                <c:pt idx="196">
                  <c:v>74.557</c:v>
                </c:pt>
                <c:pt idx="197">
                  <c:v>74.697</c:v>
                </c:pt>
                <c:pt idx="198">
                  <c:v>74.837</c:v>
                </c:pt>
                <c:pt idx="199">
                  <c:v>74.975</c:v>
                </c:pt>
                <c:pt idx="200">
                  <c:v>75.114</c:v>
                </c:pt>
                <c:pt idx="201">
                  <c:v>75.257</c:v>
                </c:pt>
                <c:pt idx="202">
                  <c:v>75.401</c:v>
                </c:pt>
                <c:pt idx="203">
                  <c:v>75.543</c:v>
                </c:pt>
                <c:pt idx="204">
                  <c:v>75.687</c:v>
                </c:pt>
                <c:pt idx="205">
                  <c:v>75.83</c:v>
                </c:pt>
                <c:pt idx="206">
                  <c:v>75.972</c:v>
                </c:pt>
                <c:pt idx="207">
                  <c:v>76.114</c:v>
                </c:pt>
                <c:pt idx="208">
                  <c:v>76.257</c:v>
                </c:pt>
                <c:pt idx="209">
                  <c:v>76.398</c:v>
                </c:pt>
                <c:pt idx="210">
                  <c:v>76.541</c:v>
                </c:pt>
                <c:pt idx="211">
                  <c:v>76.68499999999997</c:v>
                </c:pt>
                <c:pt idx="212">
                  <c:v>76.83</c:v>
                </c:pt>
                <c:pt idx="213">
                  <c:v>76.972</c:v>
                </c:pt>
                <c:pt idx="214">
                  <c:v>77.114</c:v>
                </c:pt>
                <c:pt idx="215">
                  <c:v>77.255</c:v>
                </c:pt>
                <c:pt idx="216">
                  <c:v>77.396</c:v>
                </c:pt>
                <c:pt idx="217">
                  <c:v>77.538</c:v>
                </c:pt>
                <c:pt idx="218">
                  <c:v>77.67899999999958</c:v>
                </c:pt>
                <c:pt idx="219">
                  <c:v>77.819</c:v>
                </c:pt>
                <c:pt idx="220">
                  <c:v>77.959</c:v>
                </c:pt>
                <c:pt idx="221">
                  <c:v>78.099</c:v>
                </c:pt>
                <c:pt idx="222">
                  <c:v>78.24</c:v>
                </c:pt>
                <c:pt idx="223">
                  <c:v>78.38</c:v>
                </c:pt>
                <c:pt idx="224">
                  <c:v>78.521</c:v>
                </c:pt>
                <c:pt idx="225">
                  <c:v>78.66299999999998</c:v>
                </c:pt>
                <c:pt idx="226">
                  <c:v>78.807</c:v>
                </c:pt>
                <c:pt idx="227">
                  <c:v>78.948</c:v>
                </c:pt>
                <c:pt idx="228">
                  <c:v>79.091</c:v>
                </c:pt>
                <c:pt idx="229">
                  <c:v>79.23</c:v>
                </c:pt>
                <c:pt idx="230">
                  <c:v>79.37</c:v>
                </c:pt>
                <c:pt idx="231">
                  <c:v>79.511</c:v>
                </c:pt>
                <c:pt idx="232">
                  <c:v>79.649</c:v>
                </c:pt>
                <c:pt idx="233">
                  <c:v>79.788</c:v>
                </c:pt>
                <c:pt idx="234">
                  <c:v>79.926</c:v>
                </c:pt>
                <c:pt idx="235">
                  <c:v>80.064</c:v>
                </c:pt>
                <c:pt idx="236">
                  <c:v>80.20500000000001</c:v>
                </c:pt>
                <c:pt idx="237">
                  <c:v>80.34500000000001</c:v>
                </c:pt>
                <c:pt idx="238">
                  <c:v>80.486</c:v>
                </c:pt>
                <c:pt idx="239">
                  <c:v>80.62599999999995</c:v>
                </c:pt>
                <c:pt idx="240">
                  <c:v>80.768</c:v>
                </c:pt>
                <c:pt idx="241">
                  <c:v>80.908</c:v>
                </c:pt>
                <c:pt idx="242">
                  <c:v>81.05299999999998</c:v>
                </c:pt>
                <c:pt idx="243">
                  <c:v>81.197</c:v>
                </c:pt>
                <c:pt idx="244">
                  <c:v>81.34</c:v>
                </c:pt>
                <c:pt idx="245">
                  <c:v>81.481</c:v>
                </c:pt>
                <c:pt idx="246">
                  <c:v>81.62199999999998</c:v>
                </c:pt>
                <c:pt idx="247">
                  <c:v>81.763</c:v>
                </c:pt>
                <c:pt idx="248">
                  <c:v>81.904</c:v>
                </c:pt>
                <c:pt idx="249">
                  <c:v>82.047</c:v>
                </c:pt>
                <c:pt idx="250">
                  <c:v>82.18799999999997</c:v>
                </c:pt>
                <c:pt idx="251">
                  <c:v>82.32899999999998</c:v>
                </c:pt>
                <c:pt idx="252">
                  <c:v>82.47</c:v>
                </c:pt>
                <c:pt idx="253">
                  <c:v>82.60899999999998</c:v>
                </c:pt>
                <c:pt idx="254">
                  <c:v>82.75</c:v>
                </c:pt>
                <c:pt idx="255">
                  <c:v>82.892</c:v>
                </c:pt>
                <c:pt idx="256">
                  <c:v>83.033</c:v>
                </c:pt>
                <c:pt idx="257">
                  <c:v>83.17399999999998</c:v>
                </c:pt>
                <c:pt idx="258">
                  <c:v>83.31800000000001</c:v>
                </c:pt>
                <c:pt idx="259">
                  <c:v>83.461</c:v>
                </c:pt>
                <c:pt idx="260">
                  <c:v>83.60499999999997</c:v>
                </c:pt>
                <c:pt idx="261">
                  <c:v>83.748</c:v>
                </c:pt>
                <c:pt idx="262">
                  <c:v>83.89</c:v>
                </c:pt>
                <c:pt idx="263">
                  <c:v>84.031</c:v>
                </c:pt>
                <c:pt idx="264">
                  <c:v>84.17099999999998</c:v>
                </c:pt>
                <c:pt idx="265">
                  <c:v>84.313</c:v>
                </c:pt>
                <c:pt idx="266">
                  <c:v>84.454</c:v>
                </c:pt>
                <c:pt idx="267">
                  <c:v>84.594</c:v>
                </c:pt>
                <c:pt idx="268">
                  <c:v>84.737</c:v>
                </c:pt>
                <c:pt idx="269">
                  <c:v>84.87699999999998</c:v>
                </c:pt>
                <c:pt idx="270">
                  <c:v>85.016</c:v>
                </c:pt>
                <c:pt idx="271">
                  <c:v>85.15799999999998</c:v>
                </c:pt>
                <c:pt idx="272">
                  <c:v>85.299</c:v>
                </c:pt>
                <c:pt idx="273">
                  <c:v>85.44</c:v>
                </c:pt>
                <c:pt idx="274">
                  <c:v>85.583</c:v>
                </c:pt>
                <c:pt idx="275">
                  <c:v>85.728</c:v>
                </c:pt>
                <c:pt idx="276">
                  <c:v>85.869</c:v>
                </c:pt>
                <c:pt idx="277">
                  <c:v>86.01</c:v>
                </c:pt>
                <c:pt idx="278">
                  <c:v>86.15399999999998</c:v>
                </c:pt>
                <c:pt idx="279">
                  <c:v>86.294</c:v>
                </c:pt>
                <c:pt idx="280">
                  <c:v>86.434</c:v>
                </c:pt>
                <c:pt idx="281">
                  <c:v>86.57499999999997</c:v>
                </c:pt>
                <c:pt idx="282">
                  <c:v>86.714</c:v>
                </c:pt>
                <c:pt idx="283">
                  <c:v>86.85499999999997</c:v>
                </c:pt>
                <c:pt idx="284">
                  <c:v>86.996</c:v>
                </c:pt>
                <c:pt idx="285">
                  <c:v>87.13599999999998</c:v>
                </c:pt>
                <c:pt idx="286">
                  <c:v>87.27599999999998</c:v>
                </c:pt>
                <c:pt idx="287">
                  <c:v>87.416</c:v>
                </c:pt>
                <c:pt idx="288">
                  <c:v>87.557</c:v>
                </c:pt>
                <c:pt idx="289">
                  <c:v>87.7</c:v>
                </c:pt>
                <c:pt idx="290">
                  <c:v>87.841</c:v>
                </c:pt>
                <c:pt idx="291">
                  <c:v>87.98200000000001</c:v>
                </c:pt>
                <c:pt idx="292">
                  <c:v>88.12299999999995</c:v>
                </c:pt>
                <c:pt idx="293">
                  <c:v>88.264</c:v>
                </c:pt>
                <c:pt idx="294">
                  <c:v>88.404</c:v>
                </c:pt>
                <c:pt idx="295">
                  <c:v>88.545</c:v>
                </c:pt>
                <c:pt idx="296">
                  <c:v>88.68499999999997</c:v>
                </c:pt>
                <c:pt idx="297">
                  <c:v>88.824</c:v>
                </c:pt>
                <c:pt idx="298">
                  <c:v>88.963</c:v>
                </c:pt>
                <c:pt idx="299">
                  <c:v>89.10299999999998</c:v>
                </c:pt>
                <c:pt idx="300">
                  <c:v>89.244</c:v>
                </c:pt>
                <c:pt idx="301">
                  <c:v>89.38599999999998</c:v>
                </c:pt>
                <c:pt idx="302">
                  <c:v>89.52599999999998</c:v>
                </c:pt>
                <c:pt idx="303">
                  <c:v>89.665</c:v>
                </c:pt>
                <c:pt idx="304">
                  <c:v>89.80299999999998</c:v>
                </c:pt>
                <c:pt idx="305">
                  <c:v>89.942</c:v>
                </c:pt>
                <c:pt idx="306">
                  <c:v>90.082</c:v>
                </c:pt>
                <c:pt idx="307">
                  <c:v>90.224</c:v>
                </c:pt>
                <c:pt idx="308">
                  <c:v>90.366</c:v>
                </c:pt>
                <c:pt idx="309">
                  <c:v>90.508</c:v>
                </c:pt>
                <c:pt idx="310">
                  <c:v>90.65</c:v>
                </c:pt>
                <c:pt idx="311">
                  <c:v>90.792</c:v>
                </c:pt>
                <c:pt idx="312">
                  <c:v>90.932</c:v>
                </c:pt>
                <c:pt idx="313">
                  <c:v>91.07299999999998</c:v>
                </c:pt>
                <c:pt idx="314">
                  <c:v>91.215</c:v>
                </c:pt>
                <c:pt idx="315">
                  <c:v>91.35599999999998</c:v>
                </c:pt>
                <c:pt idx="316">
                  <c:v>91.498</c:v>
                </c:pt>
                <c:pt idx="317">
                  <c:v>91.641</c:v>
                </c:pt>
                <c:pt idx="318">
                  <c:v>91.782</c:v>
                </c:pt>
                <c:pt idx="319">
                  <c:v>91.923</c:v>
                </c:pt>
                <c:pt idx="320">
                  <c:v>92.064</c:v>
                </c:pt>
                <c:pt idx="321">
                  <c:v>92.21</c:v>
                </c:pt>
                <c:pt idx="322">
                  <c:v>92.35199999999997</c:v>
                </c:pt>
                <c:pt idx="323">
                  <c:v>92.495</c:v>
                </c:pt>
                <c:pt idx="324">
                  <c:v>92.63899999999998</c:v>
                </c:pt>
                <c:pt idx="325">
                  <c:v>92.78</c:v>
                </c:pt>
                <c:pt idx="326">
                  <c:v>92.92</c:v>
                </c:pt>
                <c:pt idx="327">
                  <c:v>93.061</c:v>
                </c:pt>
                <c:pt idx="328">
                  <c:v>93.20200000000001</c:v>
                </c:pt>
                <c:pt idx="329">
                  <c:v>93.34200000000001</c:v>
                </c:pt>
                <c:pt idx="330">
                  <c:v>93.483</c:v>
                </c:pt>
                <c:pt idx="331">
                  <c:v>93.62399999999998</c:v>
                </c:pt>
                <c:pt idx="332">
                  <c:v>93.766</c:v>
                </c:pt>
                <c:pt idx="333">
                  <c:v>93.907</c:v>
                </c:pt>
                <c:pt idx="334">
                  <c:v>94.046</c:v>
                </c:pt>
                <c:pt idx="335">
                  <c:v>94.187</c:v>
                </c:pt>
                <c:pt idx="336">
                  <c:v>94.33</c:v>
                </c:pt>
                <c:pt idx="337">
                  <c:v>94.47</c:v>
                </c:pt>
                <c:pt idx="338">
                  <c:v>94.61</c:v>
                </c:pt>
                <c:pt idx="339">
                  <c:v>94.753</c:v>
                </c:pt>
                <c:pt idx="340">
                  <c:v>94.895</c:v>
                </c:pt>
                <c:pt idx="341">
                  <c:v>95.037</c:v>
                </c:pt>
                <c:pt idx="342">
                  <c:v>95.17699999999998</c:v>
                </c:pt>
                <c:pt idx="343">
                  <c:v>95.319</c:v>
                </c:pt>
                <c:pt idx="344">
                  <c:v>95.461</c:v>
                </c:pt>
                <c:pt idx="345">
                  <c:v>95.604</c:v>
                </c:pt>
                <c:pt idx="346">
                  <c:v>95.746</c:v>
                </c:pt>
                <c:pt idx="347">
                  <c:v>95.88899999999998</c:v>
                </c:pt>
                <c:pt idx="348">
                  <c:v>96.031</c:v>
                </c:pt>
                <c:pt idx="349">
                  <c:v>96.17499999999998</c:v>
                </c:pt>
                <c:pt idx="350">
                  <c:v>96.319</c:v>
                </c:pt>
                <c:pt idx="351">
                  <c:v>96.461</c:v>
                </c:pt>
                <c:pt idx="352">
                  <c:v>96.60199999999997</c:v>
                </c:pt>
                <c:pt idx="353">
                  <c:v>96.744</c:v>
                </c:pt>
                <c:pt idx="354">
                  <c:v>96.88599999999998</c:v>
                </c:pt>
                <c:pt idx="355">
                  <c:v>97.027</c:v>
                </c:pt>
                <c:pt idx="356">
                  <c:v>97.167</c:v>
                </c:pt>
                <c:pt idx="357">
                  <c:v>97.307</c:v>
                </c:pt>
                <c:pt idx="358">
                  <c:v>97.448</c:v>
                </c:pt>
                <c:pt idx="359">
                  <c:v>97.59</c:v>
                </c:pt>
                <c:pt idx="360">
                  <c:v>97.731</c:v>
                </c:pt>
                <c:pt idx="361">
                  <c:v>97.87</c:v>
                </c:pt>
                <c:pt idx="362">
                  <c:v>98.012</c:v>
                </c:pt>
                <c:pt idx="363">
                  <c:v>98.15299999999995</c:v>
                </c:pt>
                <c:pt idx="364">
                  <c:v>98.294</c:v>
                </c:pt>
                <c:pt idx="365">
                  <c:v>98.436</c:v>
                </c:pt>
                <c:pt idx="366">
                  <c:v>98.57899999999998</c:v>
                </c:pt>
                <c:pt idx="367">
                  <c:v>98.719</c:v>
                </c:pt>
                <c:pt idx="368">
                  <c:v>98.862</c:v>
                </c:pt>
                <c:pt idx="369">
                  <c:v>99.005</c:v>
                </c:pt>
                <c:pt idx="370">
                  <c:v>99.146</c:v>
                </c:pt>
                <c:pt idx="371">
                  <c:v>99.286</c:v>
                </c:pt>
                <c:pt idx="372">
                  <c:v>99.426</c:v>
                </c:pt>
                <c:pt idx="373">
                  <c:v>99.564</c:v>
                </c:pt>
                <c:pt idx="374">
                  <c:v>99.704</c:v>
                </c:pt>
                <c:pt idx="375">
                  <c:v>99.843</c:v>
                </c:pt>
                <c:pt idx="376">
                  <c:v>99.983</c:v>
                </c:pt>
                <c:pt idx="377">
                  <c:v>100.123</c:v>
                </c:pt>
                <c:pt idx="378">
                  <c:v>100.265</c:v>
                </c:pt>
                <c:pt idx="379">
                  <c:v>100.405</c:v>
                </c:pt>
                <c:pt idx="380">
                  <c:v>100.547</c:v>
                </c:pt>
                <c:pt idx="381">
                  <c:v>100.688</c:v>
                </c:pt>
                <c:pt idx="382">
                  <c:v>100.829</c:v>
                </c:pt>
                <c:pt idx="383">
                  <c:v>100.972</c:v>
                </c:pt>
                <c:pt idx="384">
                  <c:v>101.116</c:v>
                </c:pt>
                <c:pt idx="385">
                  <c:v>101.259</c:v>
                </c:pt>
                <c:pt idx="386">
                  <c:v>101.401</c:v>
                </c:pt>
                <c:pt idx="387">
                  <c:v>101.543</c:v>
                </c:pt>
                <c:pt idx="388">
                  <c:v>101.685</c:v>
                </c:pt>
                <c:pt idx="389">
                  <c:v>101.824</c:v>
                </c:pt>
                <c:pt idx="390">
                  <c:v>101.962</c:v>
                </c:pt>
                <c:pt idx="391">
                  <c:v>102.101</c:v>
                </c:pt>
                <c:pt idx="392">
                  <c:v>102.243</c:v>
                </c:pt>
                <c:pt idx="393">
                  <c:v>102.383</c:v>
                </c:pt>
                <c:pt idx="394">
                  <c:v>102.526</c:v>
                </c:pt>
                <c:pt idx="395">
                  <c:v>102.669</c:v>
                </c:pt>
                <c:pt idx="396">
                  <c:v>102.812</c:v>
                </c:pt>
                <c:pt idx="397">
                  <c:v>102.954</c:v>
                </c:pt>
                <c:pt idx="398">
                  <c:v>103.097</c:v>
                </c:pt>
                <c:pt idx="399">
                  <c:v>103.239</c:v>
                </c:pt>
                <c:pt idx="400">
                  <c:v>103.382</c:v>
                </c:pt>
                <c:pt idx="401">
                  <c:v>103.523</c:v>
                </c:pt>
                <c:pt idx="402">
                  <c:v>103.664</c:v>
                </c:pt>
                <c:pt idx="403">
                  <c:v>103.807</c:v>
                </c:pt>
                <c:pt idx="404">
                  <c:v>103.95</c:v>
                </c:pt>
                <c:pt idx="405">
                  <c:v>104.092</c:v>
                </c:pt>
                <c:pt idx="406">
                  <c:v>104.234</c:v>
                </c:pt>
                <c:pt idx="407">
                  <c:v>104.376</c:v>
                </c:pt>
                <c:pt idx="408">
                  <c:v>104.516</c:v>
                </c:pt>
                <c:pt idx="409">
                  <c:v>104.656</c:v>
                </c:pt>
                <c:pt idx="410">
                  <c:v>104.796</c:v>
                </c:pt>
                <c:pt idx="411">
                  <c:v>104.936</c:v>
                </c:pt>
                <c:pt idx="412">
                  <c:v>105.078</c:v>
                </c:pt>
                <c:pt idx="413">
                  <c:v>105.218</c:v>
                </c:pt>
                <c:pt idx="414">
                  <c:v>105.36</c:v>
                </c:pt>
                <c:pt idx="415">
                  <c:v>105.502</c:v>
                </c:pt>
                <c:pt idx="416">
                  <c:v>105.647</c:v>
                </c:pt>
                <c:pt idx="417">
                  <c:v>105.793</c:v>
                </c:pt>
                <c:pt idx="418">
                  <c:v>105.936</c:v>
                </c:pt>
                <c:pt idx="419">
                  <c:v>106.078</c:v>
                </c:pt>
                <c:pt idx="420">
                  <c:v>106.22</c:v>
                </c:pt>
                <c:pt idx="421">
                  <c:v>106.362</c:v>
                </c:pt>
                <c:pt idx="422">
                  <c:v>106.502</c:v>
                </c:pt>
                <c:pt idx="423">
                  <c:v>106.645</c:v>
                </c:pt>
                <c:pt idx="424">
                  <c:v>106.788</c:v>
                </c:pt>
                <c:pt idx="425">
                  <c:v>106.93</c:v>
                </c:pt>
                <c:pt idx="426">
                  <c:v>107.071</c:v>
                </c:pt>
                <c:pt idx="427">
                  <c:v>107.212</c:v>
                </c:pt>
                <c:pt idx="428">
                  <c:v>107.354</c:v>
                </c:pt>
                <c:pt idx="429">
                  <c:v>107.496</c:v>
                </c:pt>
                <c:pt idx="430">
                  <c:v>107.64</c:v>
                </c:pt>
                <c:pt idx="431">
                  <c:v>107.785</c:v>
                </c:pt>
                <c:pt idx="432">
                  <c:v>107.927</c:v>
                </c:pt>
                <c:pt idx="433">
                  <c:v>108.069</c:v>
                </c:pt>
                <c:pt idx="434">
                  <c:v>108.211</c:v>
                </c:pt>
                <c:pt idx="435">
                  <c:v>108.352</c:v>
                </c:pt>
                <c:pt idx="436">
                  <c:v>108.492</c:v>
                </c:pt>
                <c:pt idx="437">
                  <c:v>108.632</c:v>
                </c:pt>
                <c:pt idx="438">
                  <c:v>108.77</c:v>
                </c:pt>
                <c:pt idx="439">
                  <c:v>108.91</c:v>
                </c:pt>
                <c:pt idx="440">
                  <c:v>109.051</c:v>
                </c:pt>
                <c:pt idx="441">
                  <c:v>109.192</c:v>
                </c:pt>
                <c:pt idx="442">
                  <c:v>109.332</c:v>
                </c:pt>
                <c:pt idx="443">
                  <c:v>109.471</c:v>
                </c:pt>
                <c:pt idx="444">
                  <c:v>109.612</c:v>
                </c:pt>
                <c:pt idx="445">
                  <c:v>109.753</c:v>
                </c:pt>
                <c:pt idx="446">
                  <c:v>109.892</c:v>
                </c:pt>
                <c:pt idx="447">
                  <c:v>110.03</c:v>
                </c:pt>
                <c:pt idx="448">
                  <c:v>110.168</c:v>
                </c:pt>
                <c:pt idx="449">
                  <c:v>110.309</c:v>
                </c:pt>
                <c:pt idx="450">
                  <c:v>110.45</c:v>
                </c:pt>
                <c:pt idx="451">
                  <c:v>110.592</c:v>
                </c:pt>
                <c:pt idx="452">
                  <c:v>110.736</c:v>
                </c:pt>
                <c:pt idx="453">
                  <c:v>110.878</c:v>
                </c:pt>
                <c:pt idx="454">
                  <c:v>111.02</c:v>
                </c:pt>
                <c:pt idx="455">
                  <c:v>111.164</c:v>
                </c:pt>
                <c:pt idx="456">
                  <c:v>111.308</c:v>
                </c:pt>
                <c:pt idx="457">
                  <c:v>111.451</c:v>
                </c:pt>
                <c:pt idx="458">
                  <c:v>111.595</c:v>
                </c:pt>
                <c:pt idx="459">
                  <c:v>111.739</c:v>
                </c:pt>
                <c:pt idx="460">
                  <c:v>111.884</c:v>
                </c:pt>
                <c:pt idx="461">
                  <c:v>112.025</c:v>
                </c:pt>
                <c:pt idx="462">
                  <c:v>112.17</c:v>
                </c:pt>
                <c:pt idx="463">
                  <c:v>112.316</c:v>
                </c:pt>
                <c:pt idx="464">
                  <c:v>112.463</c:v>
                </c:pt>
                <c:pt idx="465">
                  <c:v>112.608</c:v>
                </c:pt>
                <c:pt idx="466">
                  <c:v>112.759</c:v>
                </c:pt>
                <c:pt idx="467">
                  <c:v>112.921</c:v>
                </c:pt>
                <c:pt idx="468">
                  <c:v>113.089</c:v>
                </c:pt>
                <c:pt idx="469">
                  <c:v>113.262</c:v>
                </c:pt>
                <c:pt idx="470">
                  <c:v>113.439</c:v>
                </c:pt>
                <c:pt idx="471">
                  <c:v>113.614</c:v>
                </c:pt>
                <c:pt idx="472">
                  <c:v>113.787</c:v>
                </c:pt>
                <c:pt idx="473">
                  <c:v>113.959</c:v>
                </c:pt>
                <c:pt idx="474">
                  <c:v>114.13</c:v>
                </c:pt>
                <c:pt idx="475">
                  <c:v>114.304</c:v>
                </c:pt>
                <c:pt idx="476">
                  <c:v>114.479</c:v>
                </c:pt>
                <c:pt idx="477">
                  <c:v>114.652</c:v>
                </c:pt>
                <c:pt idx="478">
                  <c:v>114.82</c:v>
                </c:pt>
                <c:pt idx="479">
                  <c:v>114.991</c:v>
                </c:pt>
                <c:pt idx="480">
                  <c:v>115.164</c:v>
                </c:pt>
                <c:pt idx="481">
                  <c:v>115.335</c:v>
                </c:pt>
                <c:pt idx="482">
                  <c:v>115.506</c:v>
                </c:pt>
                <c:pt idx="483">
                  <c:v>115.675</c:v>
                </c:pt>
                <c:pt idx="484">
                  <c:v>115.843</c:v>
                </c:pt>
                <c:pt idx="485">
                  <c:v>116.012</c:v>
                </c:pt>
                <c:pt idx="486">
                  <c:v>116.183</c:v>
                </c:pt>
                <c:pt idx="487">
                  <c:v>116.351</c:v>
                </c:pt>
                <c:pt idx="488">
                  <c:v>116.519</c:v>
                </c:pt>
                <c:pt idx="489">
                  <c:v>116.687</c:v>
                </c:pt>
                <c:pt idx="490">
                  <c:v>116.855</c:v>
                </c:pt>
                <c:pt idx="491">
                  <c:v>117.025</c:v>
                </c:pt>
                <c:pt idx="492">
                  <c:v>117.194</c:v>
                </c:pt>
                <c:pt idx="493">
                  <c:v>117.362</c:v>
                </c:pt>
                <c:pt idx="494">
                  <c:v>117.531</c:v>
                </c:pt>
                <c:pt idx="495">
                  <c:v>117.694</c:v>
                </c:pt>
                <c:pt idx="496">
                  <c:v>117.859</c:v>
                </c:pt>
                <c:pt idx="497">
                  <c:v>118.025</c:v>
                </c:pt>
                <c:pt idx="498">
                  <c:v>118.19</c:v>
                </c:pt>
                <c:pt idx="499">
                  <c:v>118.356</c:v>
                </c:pt>
                <c:pt idx="500">
                  <c:v>118.523</c:v>
                </c:pt>
                <c:pt idx="501">
                  <c:v>118.688</c:v>
                </c:pt>
                <c:pt idx="502">
                  <c:v>118.853</c:v>
                </c:pt>
                <c:pt idx="503">
                  <c:v>119.02</c:v>
                </c:pt>
                <c:pt idx="504">
                  <c:v>119.188</c:v>
                </c:pt>
                <c:pt idx="505">
                  <c:v>119.353</c:v>
                </c:pt>
                <c:pt idx="506">
                  <c:v>119.518</c:v>
                </c:pt>
                <c:pt idx="507">
                  <c:v>119.685</c:v>
                </c:pt>
                <c:pt idx="508">
                  <c:v>119.85</c:v>
                </c:pt>
                <c:pt idx="509">
                  <c:v>120.016</c:v>
                </c:pt>
                <c:pt idx="510">
                  <c:v>120.183</c:v>
                </c:pt>
                <c:pt idx="511">
                  <c:v>120.351</c:v>
                </c:pt>
                <c:pt idx="512">
                  <c:v>120.519</c:v>
                </c:pt>
                <c:pt idx="513">
                  <c:v>120.685</c:v>
                </c:pt>
                <c:pt idx="514">
                  <c:v>120.854</c:v>
                </c:pt>
                <c:pt idx="515">
                  <c:v>121.021</c:v>
                </c:pt>
                <c:pt idx="516">
                  <c:v>121.188</c:v>
                </c:pt>
                <c:pt idx="517">
                  <c:v>121.355</c:v>
                </c:pt>
                <c:pt idx="518">
                  <c:v>121.525</c:v>
                </c:pt>
                <c:pt idx="519">
                  <c:v>121.694</c:v>
                </c:pt>
                <c:pt idx="520">
                  <c:v>121.862</c:v>
                </c:pt>
                <c:pt idx="521">
                  <c:v>122.029</c:v>
                </c:pt>
                <c:pt idx="522">
                  <c:v>122.194</c:v>
                </c:pt>
                <c:pt idx="523">
                  <c:v>122.354</c:v>
                </c:pt>
                <c:pt idx="524">
                  <c:v>122.517</c:v>
                </c:pt>
                <c:pt idx="525">
                  <c:v>122.681</c:v>
                </c:pt>
                <c:pt idx="526">
                  <c:v>122.847</c:v>
                </c:pt>
                <c:pt idx="527">
                  <c:v>123.015</c:v>
                </c:pt>
                <c:pt idx="528">
                  <c:v>123.182</c:v>
                </c:pt>
                <c:pt idx="529">
                  <c:v>123.349</c:v>
                </c:pt>
                <c:pt idx="530">
                  <c:v>123.518</c:v>
                </c:pt>
                <c:pt idx="531">
                  <c:v>123.686</c:v>
                </c:pt>
                <c:pt idx="532">
                  <c:v>123.853</c:v>
                </c:pt>
                <c:pt idx="533">
                  <c:v>124.02</c:v>
                </c:pt>
                <c:pt idx="534">
                  <c:v>124.188</c:v>
                </c:pt>
                <c:pt idx="535">
                  <c:v>124.355</c:v>
                </c:pt>
                <c:pt idx="536">
                  <c:v>124.524</c:v>
                </c:pt>
                <c:pt idx="537">
                  <c:v>124.691</c:v>
                </c:pt>
                <c:pt idx="538">
                  <c:v>124.857</c:v>
                </c:pt>
                <c:pt idx="539">
                  <c:v>125.024</c:v>
                </c:pt>
                <c:pt idx="540">
                  <c:v>125.189</c:v>
                </c:pt>
                <c:pt idx="541">
                  <c:v>125.354</c:v>
                </c:pt>
                <c:pt idx="542">
                  <c:v>125.521</c:v>
                </c:pt>
                <c:pt idx="543">
                  <c:v>125.691</c:v>
                </c:pt>
                <c:pt idx="544">
                  <c:v>125.86</c:v>
                </c:pt>
                <c:pt idx="545">
                  <c:v>126.029</c:v>
                </c:pt>
                <c:pt idx="546">
                  <c:v>126.195</c:v>
                </c:pt>
                <c:pt idx="547">
                  <c:v>126.357</c:v>
                </c:pt>
                <c:pt idx="548">
                  <c:v>126.52</c:v>
                </c:pt>
                <c:pt idx="549">
                  <c:v>126.682</c:v>
                </c:pt>
                <c:pt idx="550">
                  <c:v>126.846</c:v>
                </c:pt>
                <c:pt idx="551">
                  <c:v>127.01</c:v>
                </c:pt>
                <c:pt idx="552">
                  <c:v>127.175</c:v>
                </c:pt>
                <c:pt idx="553">
                  <c:v>127.34</c:v>
                </c:pt>
                <c:pt idx="554">
                  <c:v>127.506</c:v>
                </c:pt>
                <c:pt idx="555">
                  <c:v>127.669</c:v>
                </c:pt>
                <c:pt idx="556">
                  <c:v>127.831</c:v>
                </c:pt>
                <c:pt idx="557">
                  <c:v>127.993</c:v>
                </c:pt>
                <c:pt idx="558">
                  <c:v>128.159</c:v>
                </c:pt>
                <c:pt idx="559">
                  <c:v>128.325</c:v>
                </c:pt>
                <c:pt idx="560">
                  <c:v>128.492</c:v>
                </c:pt>
                <c:pt idx="561">
                  <c:v>128.658</c:v>
                </c:pt>
                <c:pt idx="562">
                  <c:v>128.826</c:v>
                </c:pt>
                <c:pt idx="563">
                  <c:v>128.996</c:v>
                </c:pt>
                <c:pt idx="564">
                  <c:v>129.165</c:v>
                </c:pt>
                <c:pt idx="565">
                  <c:v>129.332</c:v>
                </c:pt>
                <c:pt idx="566">
                  <c:v>129.498</c:v>
                </c:pt>
                <c:pt idx="567">
                  <c:v>129.664</c:v>
                </c:pt>
                <c:pt idx="568">
                  <c:v>129.83</c:v>
                </c:pt>
                <c:pt idx="569">
                  <c:v>129.997</c:v>
                </c:pt>
                <c:pt idx="570">
                  <c:v>130.166</c:v>
                </c:pt>
                <c:pt idx="571">
                  <c:v>130.333</c:v>
                </c:pt>
                <c:pt idx="572">
                  <c:v>130.5</c:v>
                </c:pt>
                <c:pt idx="573">
                  <c:v>130.665</c:v>
                </c:pt>
                <c:pt idx="574">
                  <c:v>130.829</c:v>
                </c:pt>
                <c:pt idx="575">
                  <c:v>130.993</c:v>
                </c:pt>
                <c:pt idx="576">
                  <c:v>131.158</c:v>
                </c:pt>
                <c:pt idx="577">
                  <c:v>131.322</c:v>
                </c:pt>
                <c:pt idx="578">
                  <c:v>131.485</c:v>
                </c:pt>
                <c:pt idx="579">
                  <c:v>131.649</c:v>
                </c:pt>
                <c:pt idx="580">
                  <c:v>131.813</c:v>
                </c:pt>
                <c:pt idx="581">
                  <c:v>131.976</c:v>
                </c:pt>
                <c:pt idx="582">
                  <c:v>132.138</c:v>
                </c:pt>
                <c:pt idx="583">
                  <c:v>132.303</c:v>
                </c:pt>
                <c:pt idx="584">
                  <c:v>132.466</c:v>
                </c:pt>
                <c:pt idx="585">
                  <c:v>132.628</c:v>
                </c:pt>
                <c:pt idx="586">
                  <c:v>132.795</c:v>
                </c:pt>
                <c:pt idx="587">
                  <c:v>132.962</c:v>
                </c:pt>
                <c:pt idx="588">
                  <c:v>133.13</c:v>
                </c:pt>
                <c:pt idx="589">
                  <c:v>133.295</c:v>
                </c:pt>
                <c:pt idx="590">
                  <c:v>133.459</c:v>
                </c:pt>
                <c:pt idx="591">
                  <c:v>133.623</c:v>
                </c:pt>
                <c:pt idx="592">
                  <c:v>133.785</c:v>
                </c:pt>
                <c:pt idx="593">
                  <c:v>133.95</c:v>
                </c:pt>
                <c:pt idx="594">
                  <c:v>134.115</c:v>
                </c:pt>
                <c:pt idx="595">
                  <c:v>134.284</c:v>
                </c:pt>
                <c:pt idx="596">
                  <c:v>134.452</c:v>
                </c:pt>
                <c:pt idx="597">
                  <c:v>134.616</c:v>
                </c:pt>
                <c:pt idx="598">
                  <c:v>134.779</c:v>
                </c:pt>
                <c:pt idx="599">
                  <c:v>134.941</c:v>
                </c:pt>
                <c:pt idx="600">
                  <c:v>135.104</c:v>
                </c:pt>
                <c:pt idx="601">
                  <c:v>135.267</c:v>
                </c:pt>
                <c:pt idx="602">
                  <c:v>135.431</c:v>
                </c:pt>
                <c:pt idx="603">
                  <c:v>135.594</c:v>
                </c:pt>
                <c:pt idx="604">
                  <c:v>135.76</c:v>
                </c:pt>
                <c:pt idx="605">
                  <c:v>135.926</c:v>
                </c:pt>
                <c:pt idx="606">
                  <c:v>136.092</c:v>
                </c:pt>
                <c:pt idx="607">
                  <c:v>136.257</c:v>
                </c:pt>
                <c:pt idx="608">
                  <c:v>136.423</c:v>
                </c:pt>
                <c:pt idx="609">
                  <c:v>136.59</c:v>
                </c:pt>
                <c:pt idx="610">
                  <c:v>136.759</c:v>
                </c:pt>
                <c:pt idx="611">
                  <c:v>136.928</c:v>
                </c:pt>
                <c:pt idx="612">
                  <c:v>137.095</c:v>
                </c:pt>
                <c:pt idx="613">
                  <c:v>137.261</c:v>
                </c:pt>
                <c:pt idx="614">
                  <c:v>137.425</c:v>
                </c:pt>
                <c:pt idx="615">
                  <c:v>137.59</c:v>
                </c:pt>
                <c:pt idx="616">
                  <c:v>137.753</c:v>
                </c:pt>
                <c:pt idx="617">
                  <c:v>137.917</c:v>
                </c:pt>
                <c:pt idx="618">
                  <c:v>138.081</c:v>
                </c:pt>
                <c:pt idx="619">
                  <c:v>138.244</c:v>
                </c:pt>
                <c:pt idx="620">
                  <c:v>138.41</c:v>
                </c:pt>
                <c:pt idx="621">
                  <c:v>138.577</c:v>
                </c:pt>
                <c:pt idx="622">
                  <c:v>138.746</c:v>
                </c:pt>
                <c:pt idx="623">
                  <c:v>138.912</c:v>
                </c:pt>
                <c:pt idx="624">
                  <c:v>139.076</c:v>
                </c:pt>
                <c:pt idx="625">
                  <c:v>139.241</c:v>
                </c:pt>
                <c:pt idx="626">
                  <c:v>139.408</c:v>
                </c:pt>
                <c:pt idx="627">
                  <c:v>139.574</c:v>
                </c:pt>
                <c:pt idx="628">
                  <c:v>139.739</c:v>
                </c:pt>
                <c:pt idx="629">
                  <c:v>139.904</c:v>
                </c:pt>
                <c:pt idx="630">
                  <c:v>140.069</c:v>
                </c:pt>
                <c:pt idx="631">
                  <c:v>140.235</c:v>
                </c:pt>
                <c:pt idx="632">
                  <c:v>140.4</c:v>
                </c:pt>
                <c:pt idx="633">
                  <c:v>140.567</c:v>
                </c:pt>
                <c:pt idx="634">
                  <c:v>140.735</c:v>
                </c:pt>
                <c:pt idx="635">
                  <c:v>140.903</c:v>
                </c:pt>
                <c:pt idx="636">
                  <c:v>141.069</c:v>
                </c:pt>
                <c:pt idx="637">
                  <c:v>141.237</c:v>
                </c:pt>
                <c:pt idx="638">
                  <c:v>141.402</c:v>
                </c:pt>
                <c:pt idx="639">
                  <c:v>141.568</c:v>
                </c:pt>
                <c:pt idx="640">
                  <c:v>141.731</c:v>
                </c:pt>
                <c:pt idx="641">
                  <c:v>141.897</c:v>
                </c:pt>
                <c:pt idx="642">
                  <c:v>142.065</c:v>
                </c:pt>
                <c:pt idx="643">
                  <c:v>142.231</c:v>
                </c:pt>
                <c:pt idx="644">
                  <c:v>142.395</c:v>
                </c:pt>
                <c:pt idx="645">
                  <c:v>142.561</c:v>
                </c:pt>
                <c:pt idx="646">
                  <c:v>142.725</c:v>
                </c:pt>
                <c:pt idx="647">
                  <c:v>142.89</c:v>
                </c:pt>
                <c:pt idx="648">
                  <c:v>143.054</c:v>
                </c:pt>
                <c:pt idx="649">
                  <c:v>143.222</c:v>
                </c:pt>
                <c:pt idx="650">
                  <c:v>143.386</c:v>
                </c:pt>
                <c:pt idx="651">
                  <c:v>143.55</c:v>
                </c:pt>
                <c:pt idx="652">
                  <c:v>143.713</c:v>
                </c:pt>
                <c:pt idx="653">
                  <c:v>143.874</c:v>
                </c:pt>
                <c:pt idx="654">
                  <c:v>144.036</c:v>
                </c:pt>
                <c:pt idx="655">
                  <c:v>144.199</c:v>
                </c:pt>
                <c:pt idx="656">
                  <c:v>144.362</c:v>
                </c:pt>
                <c:pt idx="657">
                  <c:v>144.528</c:v>
                </c:pt>
                <c:pt idx="658">
                  <c:v>144.694</c:v>
                </c:pt>
                <c:pt idx="659">
                  <c:v>144.858</c:v>
                </c:pt>
                <c:pt idx="660">
                  <c:v>145.024</c:v>
                </c:pt>
                <c:pt idx="661">
                  <c:v>145.186</c:v>
                </c:pt>
                <c:pt idx="662">
                  <c:v>145.349</c:v>
                </c:pt>
                <c:pt idx="663">
                  <c:v>145.516</c:v>
                </c:pt>
                <c:pt idx="664">
                  <c:v>145.682</c:v>
                </c:pt>
                <c:pt idx="665">
                  <c:v>145.847</c:v>
                </c:pt>
                <c:pt idx="666">
                  <c:v>146.013</c:v>
                </c:pt>
                <c:pt idx="667">
                  <c:v>146.178</c:v>
                </c:pt>
                <c:pt idx="668">
                  <c:v>146.346</c:v>
                </c:pt>
                <c:pt idx="669">
                  <c:v>146.512</c:v>
                </c:pt>
                <c:pt idx="670">
                  <c:v>146.673</c:v>
                </c:pt>
                <c:pt idx="671">
                  <c:v>146.834</c:v>
                </c:pt>
                <c:pt idx="672">
                  <c:v>146.994</c:v>
                </c:pt>
                <c:pt idx="673">
                  <c:v>147.156</c:v>
                </c:pt>
                <c:pt idx="674">
                  <c:v>147.32</c:v>
                </c:pt>
                <c:pt idx="675">
                  <c:v>147.487</c:v>
                </c:pt>
                <c:pt idx="676">
                  <c:v>147.65</c:v>
                </c:pt>
                <c:pt idx="677">
                  <c:v>147.817</c:v>
                </c:pt>
                <c:pt idx="678">
                  <c:v>147.982</c:v>
                </c:pt>
                <c:pt idx="679">
                  <c:v>148.148</c:v>
                </c:pt>
                <c:pt idx="680">
                  <c:v>148.31</c:v>
                </c:pt>
                <c:pt idx="681">
                  <c:v>148.47</c:v>
                </c:pt>
                <c:pt idx="682">
                  <c:v>148.634</c:v>
                </c:pt>
                <c:pt idx="683">
                  <c:v>148.798</c:v>
                </c:pt>
                <c:pt idx="684">
                  <c:v>148.962</c:v>
                </c:pt>
                <c:pt idx="685">
                  <c:v>149.128</c:v>
                </c:pt>
                <c:pt idx="686">
                  <c:v>149.295</c:v>
                </c:pt>
                <c:pt idx="687">
                  <c:v>149.465</c:v>
                </c:pt>
                <c:pt idx="688">
                  <c:v>149.63</c:v>
                </c:pt>
                <c:pt idx="689">
                  <c:v>149.795</c:v>
                </c:pt>
                <c:pt idx="690">
                  <c:v>149.959</c:v>
                </c:pt>
                <c:pt idx="691">
                  <c:v>150.122</c:v>
                </c:pt>
                <c:pt idx="692">
                  <c:v>150.288</c:v>
                </c:pt>
                <c:pt idx="693">
                  <c:v>150.451</c:v>
                </c:pt>
                <c:pt idx="694">
                  <c:v>150.614</c:v>
                </c:pt>
                <c:pt idx="695">
                  <c:v>150.779</c:v>
                </c:pt>
                <c:pt idx="696">
                  <c:v>150.942</c:v>
                </c:pt>
                <c:pt idx="697">
                  <c:v>151.104</c:v>
                </c:pt>
                <c:pt idx="698">
                  <c:v>151.268</c:v>
                </c:pt>
                <c:pt idx="699">
                  <c:v>151.433</c:v>
                </c:pt>
                <c:pt idx="700">
                  <c:v>151.597</c:v>
                </c:pt>
                <c:pt idx="701">
                  <c:v>151.764</c:v>
                </c:pt>
                <c:pt idx="702">
                  <c:v>151.931</c:v>
                </c:pt>
                <c:pt idx="703">
                  <c:v>152.098</c:v>
                </c:pt>
                <c:pt idx="704">
                  <c:v>152.263</c:v>
                </c:pt>
                <c:pt idx="705">
                  <c:v>152.428</c:v>
                </c:pt>
                <c:pt idx="706">
                  <c:v>152.591</c:v>
                </c:pt>
                <c:pt idx="707">
                  <c:v>152.753</c:v>
                </c:pt>
                <c:pt idx="708">
                  <c:v>152.918</c:v>
                </c:pt>
                <c:pt idx="709">
                  <c:v>153.081</c:v>
                </c:pt>
                <c:pt idx="710">
                  <c:v>153.247</c:v>
                </c:pt>
                <c:pt idx="711">
                  <c:v>153.411</c:v>
                </c:pt>
                <c:pt idx="712">
                  <c:v>153.576</c:v>
                </c:pt>
                <c:pt idx="713">
                  <c:v>153.741</c:v>
                </c:pt>
                <c:pt idx="714">
                  <c:v>153.908</c:v>
                </c:pt>
                <c:pt idx="715">
                  <c:v>154.075</c:v>
                </c:pt>
                <c:pt idx="716">
                  <c:v>154.242</c:v>
                </c:pt>
                <c:pt idx="717">
                  <c:v>154.41</c:v>
                </c:pt>
                <c:pt idx="718">
                  <c:v>154.573</c:v>
                </c:pt>
                <c:pt idx="719">
                  <c:v>154.733</c:v>
                </c:pt>
                <c:pt idx="720">
                  <c:v>154.894</c:v>
                </c:pt>
                <c:pt idx="721">
                  <c:v>155.058</c:v>
                </c:pt>
                <c:pt idx="722">
                  <c:v>155.225</c:v>
                </c:pt>
                <c:pt idx="723">
                  <c:v>155.391</c:v>
                </c:pt>
                <c:pt idx="724">
                  <c:v>155.557</c:v>
                </c:pt>
                <c:pt idx="725">
                  <c:v>155.723</c:v>
                </c:pt>
                <c:pt idx="726">
                  <c:v>155.887</c:v>
                </c:pt>
                <c:pt idx="727">
                  <c:v>156.051</c:v>
                </c:pt>
                <c:pt idx="728">
                  <c:v>156.217</c:v>
                </c:pt>
                <c:pt idx="729">
                  <c:v>156.382</c:v>
                </c:pt>
                <c:pt idx="730">
                  <c:v>156.546</c:v>
                </c:pt>
                <c:pt idx="731">
                  <c:v>156.711</c:v>
                </c:pt>
                <c:pt idx="732">
                  <c:v>156.874</c:v>
                </c:pt>
                <c:pt idx="733">
                  <c:v>157.039</c:v>
                </c:pt>
                <c:pt idx="734">
                  <c:v>157.204</c:v>
                </c:pt>
                <c:pt idx="735">
                  <c:v>157.367</c:v>
                </c:pt>
                <c:pt idx="736">
                  <c:v>157.53</c:v>
                </c:pt>
                <c:pt idx="737">
                  <c:v>157.694</c:v>
                </c:pt>
                <c:pt idx="738">
                  <c:v>157.859</c:v>
                </c:pt>
                <c:pt idx="739">
                  <c:v>158.023</c:v>
                </c:pt>
                <c:pt idx="740">
                  <c:v>158.19</c:v>
                </c:pt>
                <c:pt idx="741">
                  <c:v>158.355</c:v>
                </c:pt>
                <c:pt idx="742">
                  <c:v>158.519</c:v>
                </c:pt>
                <c:pt idx="743">
                  <c:v>158.682</c:v>
                </c:pt>
                <c:pt idx="744">
                  <c:v>158.846</c:v>
                </c:pt>
                <c:pt idx="745">
                  <c:v>159.01</c:v>
                </c:pt>
                <c:pt idx="746">
                  <c:v>159.176</c:v>
                </c:pt>
                <c:pt idx="747">
                  <c:v>159.34</c:v>
                </c:pt>
                <c:pt idx="748">
                  <c:v>159.506</c:v>
                </c:pt>
                <c:pt idx="749">
                  <c:v>159.669</c:v>
                </c:pt>
                <c:pt idx="750">
                  <c:v>159.833</c:v>
                </c:pt>
                <c:pt idx="751">
                  <c:v>159.999</c:v>
                </c:pt>
                <c:pt idx="752">
                  <c:v>160.163</c:v>
                </c:pt>
                <c:pt idx="753">
                  <c:v>160.329</c:v>
                </c:pt>
                <c:pt idx="754">
                  <c:v>160.495</c:v>
                </c:pt>
                <c:pt idx="755">
                  <c:v>160.663</c:v>
                </c:pt>
                <c:pt idx="756">
                  <c:v>160.83</c:v>
                </c:pt>
                <c:pt idx="757">
                  <c:v>160.995</c:v>
                </c:pt>
                <c:pt idx="758">
                  <c:v>161.159</c:v>
                </c:pt>
                <c:pt idx="759">
                  <c:v>161.325</c:v>
                </c:pt>
                <c:pt idx="760">
                  <c:v>161.494</c:v>
                </c:pt>
                <c:pt idx="761">
                  <c:v>161.661</c:v>
                </c:pt>
                <c:pt idx="762">
                  <c:v>161.827</c:v>
                </c:pt>
                <c:pt idx="763">
                  <c:v>161.993</c:v>
                </c:pt>
                <c:pt idx="764">
                  <c:v>162.161</c:v>
                </c:pt>
                <c:pt idx="765">
                  <c:v>162.329</c:v>
                </c:pt>
                <c:pt idx="766">
                  <c:v>162.495</c:v>
                </c:pt>
                <c:pt idx="767">
                  <c:v>162.661</c:v>
                </c:pt>
                <c:pt idx="768">
                  <c:v>162.828</c:v>
                </c:pt>
                <c:pt idx="769">
                  <c:v>162.99</c:v>
                </c:pt>
                <c:pt idx="770">
                  <c:v>163.153</c:v>
                </c:pt>
                <c:pt idx="771">
                  <c:v>163.319</c:v>
                </c:pt>
                <c:pt idx="772">
                  <c:v>163.483</c:v>
                </c:pt>
                <c:pt idx="773">
                  <c:v>163.652</c:v>
                </c:pt>
                <c:pt idx="774">
                  <c:v>163.82</c:v>
                </c:pt>
                <c:pt idx="775">
                  <c:v>163.984</c:v>
                </c:pt>
                <c:pt idx="776">
                  <c:v>164.146</c:v>
                </c:pt>
                <c:pt idx="777">
                  <c:v>164.308</c:v>
                </c:pt>
                <c:pt idx="778">
                  <c:v>164.471</c:v>
                </c:pt>
                <c:pt idx="779">
                  <c:v>164.634</c:v>
                </c:pt>
                <c:pt idx="780">
                  <c:v>164.798</c:v>
                </c:pt>
                <c:pt idx="781">
                  <c:v>164.961</c:v>
                </c:pt>
                <c:pt idx="782">
                  <c:v>165.125</c:v>
                </c:pt>
                <c:pt idx="783">
                  <c:v>165.292</c:v>
                </c:pt>
                <c:pt idx="784">
                  <c:v>165.462</c:v>
                </c:pt>
                <c:pt idx="785">
                  <c:v>165.633</c:v>
                </c:pt>
                <c:pt idx="786">
                  <c:v>165.803</c:v>
                </c:pt>
                <c:pt idx="787">
                  <c:v>165.972</c:v>
                </c:pt>
                <c:pt idx="788">
                  <c:v>166.14</c:v>
                </c:pt>
                <c:pt idx="789">
                  <c:v>166.308</c:v>
                </c:pt>
                <c:pt idx="790">
                  <c:v>166.473</c:v>
                </c:pt>
                <c:pt idx="791">
                  <c:v>166.641</c:v>
                </c:pt>
                <c:pt idx="792">
                  <c:v>166.81</c:v>
                </c:pt>
                <c:pt idx="793">
                  <c:v>166.977</c:v>
                </c:pt>
                <c:pt idx="794">
                  <c:v>167.144</c:v>
                </c:pt>
                <c:pt idx="795">
                  <c:v>167.311</c:v>
                </c:pt>
                <c:pt idx="796">
                  <c:v>167.478</c:v>
                </c:pt>
                <c:pt idx="797">
                  <c:v>167.645</c:v>
                </c:pt>
                <c:pt idx="798">
                  <c:v>167.813</c:v>
                </c:pt>
                <c:pt idx="799">
                  <c:v>167.98</c:v>
                </c:pt>
                <c:pt idx="800">
                  <c:v>168.147</c:v>
                </c:pt>
                <c:pt idx="801">
                  <c:v>168.315</c:v>
                </c:pt>
                <c:pt idx="802">
                  <c:v>168.482</c:v>
                </c:pt>
                <c:pt idx="803">
                  <c:v>168.648</c:v>
                </c:pt>
                <c:pt idx="804">
                  <c:v>168.816</c:v>
                </c:pt>
                <c:pt idx="805">
                  <c:v>168.982</c:v>
                </c:pt>
                <c:pt idx="806">
                  <c:v>169.146</c:v>
                </c:pt>
                <c:pt idx="807">
                  <c:v>169.311</c:v>
                </c:pt>
                <c:pt idx="808">
                  <c:v>169.477</c:v>
                </c:pt>
                <c:pt idx="809">
                  <c:v>169.643</c:v>
                </c:pt>
                <c:pt idx="810">
                  <c:v>169.807</c:v>
                </c:pt>
                <c:pt idx="811">
                  <c:v>169.972</c:v>
                </c:pt>
                <c:pt idx="812">
                  <c:v>170.136</c:v>
                </c:pt>
                <c:pt idx="813">
                  <c:v>170.303</c:v>
                </c:pt>
                <c:pt idx="814">
                  <c:v>170.47</c:v>
                </c:pt>
                <c:pt idx="815">
                  <c:v>170.64</c:v>
                </c:pt>
                <c:pt idx="816">
                  <c:v>170.811</c:v>
                </c:pt>
                <c:pt idx="817">
                  <c:v>170.978</c:v>
                </c:pt>
                <c:pt idx="818">
                  <c:v>171.145</c:v>
                </c:pt>
                <c:pt idx="819">
                  <c:v>171.31</c:v>
                </c:pt>
                <c:pt idx="820">
                  <c:v>171.477</c:v>
                </c:pt>
                <c:pt idx="821">
                  <c:v>171.643</c:v>
                </c:pt>
                <c:pt idx="822">
                  <c:v>171.809</c:v>
                </c:pt>
                <c:pt idx="823">
                  <c:v>171.977</c:v>
                </c:pt>
                <c:pt idx="824">
                  <c:v>172.146</c:v>
                </c:pt>
                <c:pt idx="825">
                  <c:v>172.315</c:v>
                </c:pt>
                <c:pt idx="826">
                  <c:v>172.484</c:v>
                </c:pt>
                <c:pt idx="827">
                  <c:v>172.652</c:v>
                </c:pt>
                <c:pt idx="828">
                  <c:v>172.821</c:v>
                </c:pt>
                <c:pt idx="829">
                  <c:v>172.988</c:v>
                </c:pt>
                <c:pt idx="830">
                  <c:v>173.152</c:v>
                </c:pt>
                <c:pt idx="831">
                  <c:v>173.315</c:v>
                </c:pt>
                <c:pt idx="832">
                  <c:v>173.481</c:v>
                </c:pt>
                <c:pt idx="833">
                  <c:v>173.649</c:v>
                </c:pt>
                <c:pt idx="834">
                  <c:v>173.818</c:v>
                </c:pt>
                <c:pt idx="835">
                  <c:v>173.985</c:v>
                </c:pt>
                <c:pt idx="836">
                  <c:v>174.153</c:v>
                </c:pt>
                <c:pt idx="837">
                  <c:v>174.321</c:v>
                </c:pt>
                <c:pt idx="838">
                  <c:v>174.488</c:v>
                </c:pt>
                <c:pt idx="839">
                  <c:v>174.652</c:v>
                </c:pt>
                <c:pt idx="840">
                  <c:v>174.816</c:v>
                </c:pt>
                <c:pt idx="841">
                  <c:v>174.982</c:v>
                </c:pt>
                <c:pt idx="842">
                  <c:v>175.148</c:v>
                </c:pt>
                <c:pt idx="843">
                  <c:v>175.316</c:v>
                </c:pt>
                <c:pt idx="844">
                  <c:v>175.483</c:v>
                </c:pt>
                <c:pt idx="845">
                  <c:v>175.651</c:v>
                </c:pt>
                <c:pt idx="846">
                  <c:v>175.819</c:v>
                </c:pt>
                <c:pt idx="847">
                  <c:v>175.987</c:v>
                </c:pt>
                <c:pt idx="848">
                  <c:v>176.155</c:v>
                </c:pt>
                <c:pt idx="849">
                  <c:v>176.323</c:v>
                </c:pt>
                <c:pt idx="850">
                  <c:v>176.493</c:v>
                </c:pt>
                <c:pt idx="851">
                  <c:v>176.66</c:v>
                </c:pt>
                <c:pt idx="852">
                  <c:v>176.824</c:v>
                </c:pt>
                <c:pt idx="853">
                  <c:v>176.986</c:v>
                </c:pt>
                <c:pt idx="854">
                  <c:v>177.15</c:v>
                </c:pt>
                <c:pt idx="855">
                  <c:v>177.317</c:v>
                </c:pt>
                <c:pt idx="856">
                  <c:v>177.484</c:v>
                </c:pt>
                <c:pt idx="857">
                  <c:v>177.652</c:v>
                </c:pt>
                <c:pt idx="858">
                  <c:v>177.821</c:v>
                </c:pt>
                <c:pt idx="859">
                  <c:v>177.989</c:v>
                </c:pt>
                <c:pt idx="860">
                  <c:v>178.156</c:v>
                </c:pt>
                <c:pt idx="861">
                  <c:v>178.322</c:v>
                </c:pt>
                <c:pt idx="862">
                  <c:v>178.488</c:v>
                </c:pt>
                <c:pt idx="863">
                  <c:v>178.655</c:v>
                </c:pt>
                <c:pt idx="864">
                  <c:v>178.824</c:v>
                </c:pt>
                <c:pt idx="865">
                  <c:v>178.994</c:v>
                </c:pt>
                <c:pt idx="866">
                  <c:v>179.163</c:v>
                </c:pt>
                <c:pt idx="867">
                  <c:v>179.331</c:v>
                </c:pt>
                <c:pt idx="868">
                  <c:v>179.499</c:v>
                </c:pt>
                <c:pt idx="869">
                  <c:v>179.667</c:v>
                </c:pt>
                <c:pt idx="870">
                  <c:v>179.838</c:v>
                </c:pt>
                <c:pt idx="871">
                  <c:v>180.007</c:v>
                </c:pt>
                <c:pt idx="872">
                  <c:v>180.175</c:v>
                </c:pt>
                <c:pt idx="873">
                  <c:v>180.343</c:v>
                </c:pt>
                <c:pt idx="874">
                  <c:v>180.509</c:v>
                </c:pt>
                <c:pt idx="875">
                  <c:v>180.674</c:v>
                </c:pt>
                <c:pt idx="876">
                  <c:v>180.839</c:v>
                </c:pt>
                <c:pt idx="877">
                  <c:v>181.005</c:v>
                </c:pt>
                <c:pt idx="878">
                  <c:v>181.169</c:v>
                </c:pt>
                <c:pt idx="879">
                  <c:v>181.336</c:v>
                </c:pt>
                <c:pt idx="880">
                  <c:v>181.502</c:v>
                </c:pt>
                <c:pt idx="881">
                  <c:v>181.668</c:v>
                </c:pt>
                <c:pt idx="882">
                  <c:v>181.834</c:v>
                </c:pt>
                <c:pt idx="883">
                  <c:v>181.999</c:v>
                </c:pt>
                <c:pt idx="884">
                  <c:v>182.163</c:v>
                </c:pt>
                <c:pt idx="885">
                  <c:v>182.329</c:v>
                </c:pt>
                <c:pt idx="886">
                  <c:v>182.496</c:v>
                </c:pt>
                <c:pt idx="887">
                  <c:v>182.664</c:v>
                </c:pt>
                <c:pt idx="888">
                  <c:v>182.832</c:v>
                </c:pt>
                <c:pt idx="889">
                  <c:v>183.001</c:v>
                </c:pt>
                <c:pt idx="890">
                  <c:v>183.171</c:v>
                </c:pt>
                <c:pt idx="891">
                  <c:v>183.337</c:v>
                </c:pt>
                <c:pt idx="892">
                  <c:v>183.503</c:v>
                </c:pt>
                <c:pt idx="893">
                  <c:v>183.668</c:v>
                </c:pt>
                <c:pt idx="894">
                  <c:v>183.835</c:v>
                </c:pt>
                <c:pt idx="895">
                  <c:v>184.002</c:v>
                </c:pt>
                <c:pt idx="896">
                  <c:v>184.169</c:v>
                </c:pt>
                <c:pt idx="897">
                  <c:v>184.336</c:v>
                </c:pt>
                <c:pt idx="898">
                  <c:v>184.505</c:v>
                </c:pt>
                <c:pt idx="899">
                  <c:v>184.673</c:v>
                </c:pt>
                <c:pt idx="900">
                  <c:v>184.84</c:v>
                </c:pt>
                <c:pt idx="901">
                  <c:v>185.006</c:v>
                </c:pt>
                <c:pt idx="902">
                  <c:v>185.17</c:v>
                </c:pt>
                <c:pt idx="903">
                  <c:v>185.335</c:v>
                </c:pt>
                <c:pt idx="904">
                  <c:v>185.499</c:v>
                </c:pt>
                <c:pt idx="905">
                  <c:v>185.661</c:v>
                </c:pt>
                <c:pt idx="906">
                  <c:v>185.824</c:v>
                </c:pt>
                <c:pt idx="907">
                  <c:v>185.989</c:v>
                </c:pt>
                <c:pt idx="908">
                  <c:v>186.157</c:v>
                </c:pt>
                <c:pt idx="909">
                  <c:v>186.325</c:v>
                </c:pt>
                <c:pt idx="910">
                  <c:v>186.494</c:v>
                </c:pt>
                <c:pt idx="911">
                  <c:v>186.665</c:v>
                </c:pt>
                <c:pt idx="912">
                  <c:v>186.834</c:v>
                </c:pt>
                <c:pt idx="913">
                  <c:v>187.004</c:v>
                </c:pt>
                <c:pt idx="914">
                  <c:v>187.174</c:v>
                </c:pt>
                <c:pt idx="915">
                  <c:v>187.341</c:v>
                </c:pt>
                <c:pt idx="916">
                  <c:v>187.508</c:v>
                </c:pt>
                <c:pt idx="917">
                  <c:v>187.678</c:v>
                </c:pt>
                <c:pt idx="918">
                  <c:v>187.847</c:v>
                </c:pt>
                <c:pt idx="919">
                  <c:v>188.016</c:v>
                </c:pt>
                <c:pt idx="920">
                  <c:v>188.184</c:v>
                </c:pt>
                <c:pt idx="921">
                  <c:v>188.353</c:v>
                </c:pt>
                <c:pt idx="922">
                  <c:v>188.522</c:v>
                </c:pt>
                <c:pt idx="923">
                  <c:v>188.689</c:v>
                </c:pt>
                <c:pt idx="924">
                  <c:v>188.856</c:v>
                </c:pt>
                <c:pt idx="925">
                  <c:v>189.024</c:v>
                </c:pt>
                <c:pt idx="926">
                  <c:v>189.193</c:v>
                </c:pt>
                <c:pt idx="927">
                  <c:v>189.362</c:v>
                </c:pt>
                <c:pt idx="928">
                  <c:v>189.532</c:v>
                </c:pt>
                <c:pt idx="929">
                  <c:v>189.699</c:v>
                </c:pt>
                <c:pt idx="930">
                  <c:v>189.865</c:v>
                </c:pt>
                <c:pt idx="931">
                  <c:v>190.035</c:v>
                </c:pt>
                <c:pt idx="932">
                  <c:v>190.204</c:v>
                </c:pt>
                <c:pt idx="933">
                  <c:v>190.37</c:v>
                </c:pt>
                <c:pt idx="934">
                  <c:v>190.535</c:v>
                </c:pt>
                <c:pt idx="935">
                  <c:v>190.702</c:v>
                </c:pt>
                <c:pt idx="936">
                  <c:v>190.869</c:v>
                </c:pt>
                <c:pt idx="937">
                  <c:v>191.037</c:v>
                </c:pt>
                <c:pt idx="938">
                  <c:v>191.204</c:v>
                </c:pt>
                <c:pt idx="939">
                  <c:v>191.37</c:v>
                </c:pt>
                <c:pt idx="940">
                  <c:v>191.536</c:v>
                </c:pt>
                <c:pt idx="941">
                  <c:v>191.705</c:v>
                </c:pt>
                <c:pt idx="942">
                  <c:v>191.874</c:v>
                </c:pt>
                <c:pt idx="943">
                  <c:v>192.04</c:v>
                </c:pt>
                <c:pt idx="944">
                  <c:v>192.205</c:v>
                </c:pt>
                <c:pt idx="945">
                  <c:v>192.371</c:v>
                </c:pt>
                <c:pt idx="946">
                  <c:v>192.539</c:v>
                </c:pt>
                <c:pt idx="947">
                  <c:v>192.707</c:v>
                </c:pt>
                <c:pt idx="948">
                  <c:v>192.875</c:v>
                </c:pt>
                <c:pt idx="949">
                  <c:v>193.04</c:v>
                </c:pt>
                <c:pt idx="950">
                  <c:v>193.207</c:v>
                </c:pt>
                <c:pt idx="951">
                  <c:v>193.372</c:v>
                </c:pt>
                <c:pt idx="952">
                  <c:v>193.539</c:v>
                </c:pt>
                <c:pt idx="953">
                  <c:v>193.707</c:v>
                </c:pt>
                <c:pt idx="954">
                  <c:v>193.873</c:v>
                </c:pt>
                <c:pt idx="955">
                  <c:v>194.042</c:v>
                </c:pt>
                <c:pt idx="956">
                  <c:v>194.21</c:v>
                </c:pt>
                <c:pt idx="957">
                  <c:v>194.377</c:v>
                </c:pt>
                <c:pt idx="958">
                  <c:v>194.543</c:v>
                </c:pt>
                <c:pt idx="959">
                  <c:v>194.713</c:v>
                </c:pt>
                <c:pt idx="960">
                  <c:v>194.882</c:v>
                </c:pt>
                <c:pt idx="961">
                  <c:v>195.049</c:v>
                </c:pt>
                <c:pt idx="962">
                  <c:v>195.218</c:v>
                </c:pt>
                <c:pt idx="963">
                  <c:v>195.385</c:v>
                </c:pt>
                <c:pt idx="964">
                  <c:v>195.555</c:v>
                </c:pt>
                <c:pt idx="965">
                  <c:v>195.723</c:v>
                </c:pt>
                <c:pt idx="966">
                  <c:v>195.889</c:v>
                </c:pt>
                <c:pt idx="967">
                  <c:v>196.057</c:v>
                </c:pt>
                <c:pt idx="968">
                  <c:v>196.225</c:v>
                </c:pt>
                <c:pt idx="969">
                  <c:v>196.393</c:v>
                </c:pt>
                <c:pt idx="970">
                  <c:v>196.562</c:v>
                </c:pt>
                <c:pt idx="971">
                  <c:v>196.732</c:v>
                </c:pt>
                <c:pt idx="972">
                  <c:v>196.899</c:v>
                </c:pt>
                <c:pt idx="973">
                  <c:v>197.067</c:v>
                </c:pt>
                <c:pt idx="974">
                  <c:v>197.234</c:v>
                </c:pt>
                <c:pt idx="975">
                  <c:v>197.403</c:v>
                </c:pt>
                <c:pt idx="976">
                  <c:v>197.571</c:v>
                </c:pt>
                <c:pt idx="977">
                  <c:v>197.737</c:v>
                </c:pt>
                <c:pt idx="978">
                  <c:v>197.905</c:v>
                </c:pt>
                <c:pt idx="979">
                  <c:v>198.073</c:v>
                </c:pt>
                <c:pt idx="980">
                  <c:v>198.241</c:v>
                </c:pt>
                <c:pt idx="981">
                  <c:v>198.409</c:v>
                </c:pt>
                <c:pt idx="982">
                  <c:v>198.578</c:v>
                </c:pt>
                <c:pt idx="983">
                  <c:v>198.749</c:v>
                </c:pt>
                <c:pt idx="984">
                  <c:v>198.919</c:v>
                </c:pt>
                <c:pt idx="985">
                  <c:v>199.091</c:v>
                </c:pt>
                <c:pt idx="986">
                  <c:v>199.26</c:v>
                </c:pt>
                <c:pt idx="987">
                  <c:v>199.432</c:v>
                </c:pt>
                <c:pt idx="988">
                  <c:v>199.604</c:v>
                </c:pt>
                <c:pt idx="989">
                  <c:v>199.775</c:v>
                </c:pt>
                <c:pt idx="990">
                  <c:v>199.944</c:v>
                </c:pt>
                <c:pt idx="991">
                  <c:v>200.114</c:v>
                </c:pt>
                <c:pt idx="992">
                  <c:v>200.282</c:v>
                </c:pt>
                <c:pt idx="993">
                  <c:v>200.452</c:v>
                </c:pt>
                <c:pt idx="994">
                  <c:v>200.62</c:v>
                </c:pt>
                <c:pt idx="995">
                  <c:v>200.789</c:v>
                </c:pt>
                <c:pt idx="996">
                  <c:v>200.956</c:v>
                </c:pt>
                <c:pt idx="997">
                  <c:v>201.122</c:v>
                </c:pt>
                <c:pt idx="998">
                  <c:v>201.29</c:v>
                </c:pt>
                <c:pt idx="999">
                  <c:v>201.457</c:v>
                </c:pt>
                <c:pt idx="1000">
                  <c:v>201.623</c:v>
                </c:pt>
                <c:pt idx="1001">
                  <c:v>201.79</c:v>
                </c:pt>
                <c:pt idx="1002">
                  <c:v>201.958</c:v>
                </c:pt>
                <c:pt idx="1003">
                  <c:v>202.127</c:v>
                </c:pt>
                <c:pt idx="1004">
                  <c:v>202.296</c:v>
                </c:pt>
                <c:pt idx="1005">
                  <c:v>202.463</c:v>
                </c:pt>
                <c:pt idx="1006">
                  <c:v>202.632</c:v>
                </c:pt>
                <c:pt idx="1007">
                  <c:v>202.804</c:v>
                </c:pt>
                <c:pt idx="1008">
                  <c:v>202.972</c:v>
                </c:pt>
                <c:pt idx="1009">
                  <c:v>203.14</c:v>
                </c:pt>
                <c:pt idx="1010">
                  <c:v>203.307</c:v>
                </c:pt>
                <c:pt idx="1011">
                  <c:v>203.475</c:v>
                </c:pt>
                <c:pt idx="1012">
                  <c:v>203.643</c:v>
                </c:pt>
                <c:pt idx="1013">
                  <c:v>203.814</c:v>
                </c:pt>
                <c:pt idx="1014">
                  <c:v>203.984</c:v>
                </c:pt>
                <c:pt idx="1015">
                  <c:v>204.153</c:v>
                </c:pt>
                <c:pt idx="1016">
                  <c:v>204.322</c:v>
                </c:pt>
                <c:pt idx="1017">
                  <c:v>204.492</c:v>
                </c:pt>
                <c:pt idx="1018">
                  <c:v>204.662</c:v>
                </c:pt>
                <c:pt idx="1019">
                  <c:v>204.832</c:v>
                </c:pt>
                <c:pt idx="1020">
                  <c:v>205.0</c:v>
                </c:pt>
                <c:pt idx="1021">
                  <c:v>205.166</c:v>
                </c:pt>
                <c:pt idx="1022">
                  <c:v>205.332</c:v>
                </c:pt>
                <c:pt idx="1023">
                  <c:v>205.5</c:v>
                </c:pt>
                <c:pt idx="1024">
                  <c:v>205.672</c:v>
                </c:pt>
                <c:pt idx="1025">
                  <c:v>205.844</c:v>
                </c:pt>
                <c:pt idx="1026">
                  <c:v>206.012</c:v>
                </c:pt>
                <c:pt idx="1027">
                  <c:v>206.179</c:v>
                </c:pt>
                <c:pt idx="1028">
                  <c:v>206.347</c:v>
                </c:pt>
                <c:pt idx="1029">
                  <c:v>206.515</c:v>
                </c:pt>
                <c:pt idx="1030">
                  <c:v>206.683</c:v>
                </c:pt>
                <c:pt idx="1031">
                  <c:v>206.852</c:v>
                </c:pt>
                <c:pt idx="1032">
                  <c:v>207.02</c:v>
                </c:pt>
                <c:pt idx="1033">
                  <c:v>207.19</c:v>
                </c:pt>
                <c:pt idx="1034">
                  <c:v>207.36</c:v>
                </c:pt>
                <c:pt idx="1035">
                  <c:v>207.529</c:v>
                </c:pt>
                <c:pt idx="1036">
                  <c:v>207.696</c:v>
                </c:pt>
                <c:pt idx="1037">
                  <c:v>207.865</c:v>
                </c:pt>
                <c:pt idx="1038">
                  <c:v>208.032</c:v>
                </c:pt>
                <c:pt idx="1039">
                  <c:v>208.196</c:v>
                </c:pt>
                <c:pt idx="1040">
                  <c:v>208.358</c:v>
                </c:pt>
                <c:pt idx="1041">
                  <c:v>208.523</c:v>
                </c:pt>
                <c:pt idx="1042">
                  <c:v>208.69</c:v>
                </c:pt>
                <c:pt idx="1043">
                  <c:v>208.857</c:v>
                </c:pt>
                <c:pt idx="1044">
                  <c:v>209.026</c:v>
                </c:pt>
                <c:pt idx="1045">
                  <c:v>209.195</c:v>
                </c:pt>
                <c:pt idx="1046">
                  <c:v>209.363</c:v>
                </c:pt>
                <c:pt idx="1047">
                  <c:v>209.533</c:v>
                </c:pt>
                <c:pt idx="1048">
                  <c:v>209.703</c:v>
                </c:pt>
                <c:pt idx="1049">
                  <c:v>209.868</c:v>
                </c:pt>
                <c:pt idx="1050">
                  <c:v>210.034</c:v>
                </c:pt>
                <c:pt idx="1051">
                  <c:v>210.202</c:v>
                </c:pt>
                <c:pt idx="1052">
                  <c:v>210.371</c:v>
                </c:pt>
                <c:pt idx="1053">
                  <c:v>210.539</c:v>
                </c:pt>
                <c:pt idx="1054">
                  <c:v>210.709</c:v>
                </c:pt>
                <c:pt idx="1055">
                  <c:v>210.879</c:v>
                </c:pt>
                <c:pt idx="1056">
                  <c:v>211.048</c:v>
                </c:pt>
                <c:pt idx="1057">
                  <c:v>211.218</c:v>
                </c:pt>
                <c:pt idx="1058">
                  <c:v>211.386</c:v>
                </c:pt>
                <c:pt idx="1059">
                  <c:v>211.553</c:v>
                </c:pt>
                <c:pt idx="1060">
                  <c:v>211.718</c:v>
                </c:pt>
                <c:pt idx="1061">
                  <c:v>211.883</c:v>
                </c:pt>
                <c:pt idx="1062">
                  <c:v>212.049</c:v>
                </c:pt>
                <c:pt idx="1063">
                  <c:v>212.216</c:v>
                </c:pt>
                <c:pt idx="1064">
                  <c:v>212.384</c:v>
                </c:pt>
                <c:pt idx="1065">
                  <c:v>212.552</c:v>
                </c:pt>
                <c:pt idx="1066">
                  <c:v>212.72</c:v>
                </c:pt>
                <c:pt idx="1067">
                  <c:v>212.885</c:v>
                </c:pt>
                <c:pt idx="1068">
                  <c:v>213.052</c:v>
                </c:pt>
                <c:pt idx="1069">
                  <c:v>213.217</c:v>
                </c:pt>
                <c:pt idx="1070">
                  <c:v>213.38</c:v>
                </c:pt>
                <c:pt idx="1071">
                  <c:v>213.545</c:v>
                </c:pt>
                <c:pt idx="1072">
                  <c:v>213.711</c:v>
                </c:pt>
                <c:pt idx="1073">
                  <c:v>213.877</c:v>
                </c:pt>
                <c:pt idx="1074">
                  <c:v>214.045</c:v>
                </c:pt>
                <c:pt idx="1075">
                  <c:v>214.214</c:v>
                </c:pt>
                <c:pt idx="1076">
                  <c:v>214.383</c:v>
                </c:pt>
                <c:pt idx="1077">
                  <c:v>214.552</c:v>
                </c:pt>
                <c:pt idx="1078">
                  <c:v>214.721</c:v>
                </c:pt>
                <c:pt idx="1079">
                  <c:v>214.891</c:v>
                </c:pt>
                <c:pt idx="1080">
                  <c:v>215.059</c:v>
                </c:pt>
                <c:pt idx="1081">
                  <c:v>215.228</c:v>
                </c:pt>
                <c:pt idx="1082">
                  <c:v>215.399</c:v>
                </c:pt>
                <c:pt idx="1083">
                  <c:v>215.569</c:v>
                </c:pt>
                <c:pt idx="1084">
                  <c:v>215.74</c:v>
                </c:pt>
                <c:pt idx="1085">
                  <c:v>215.911</c:v>
                </c:pt>
                <c:pt idx="1086">
                  <c:v>216.08</c:v>
                </c:pt>
                <c:pt idx="1087">
                  <c:v>216.25</c:v>
                </c:pt>
                <c:pt idx="1088">
                  <c:v>216.421</c:v>
                </c:pt>
                <c:pt idx="1089">
                  <c:v>216.59</c:v>
                </c:pt>
                <c:pt idx="1090">
                  <c:v>216.756</c:v>
                </c:pt>
                <c:pt idx="1091">
                  <c:v>216.923</c:v>
                </c:pt>
                <c:pt idx="1092">
                  <c:v>217.09</c:v>
                </c:pt>
                <c:pt idx="1093">
                  <c:v>217.258</c:v>
                </c:pt>
                <c:pt idx="1094">
                  <c:v>217.426</c:v>
                </c:pt>
                <c:pt idx="1095">
                  <c:v>217.594</c:v>
                </c:pt>
                <c:pt idx="1096">
                  <c:v>217.762</c:v>
                </c:pt>
                <c:pt idx="1097">
                  <c:v>217.93</c:v>
                </c:pt>
                <c:pt idx="1098">
                  <c:v>218.098</c:v>
                </c:pt>
                <c:pt idx="1099">
                  <c:v>218.266</c:v>
                </c:pt>
                <c:pt idx="1100">
                  <c:v>218.432</c:v>
                </c:pt>
                <c:pt idx="1101">
                  <c:v>218.598</c:v>
                </c:pt>
                <c:pt idx="1102">
                  <c:v>218.763</c:v>
                </c:pt>
                <c:pt idx="1103">
                  <c:v>218.931</c:v>
                </c:pt>
                <c:pt idx="1104">
                  <c:v>219.097</c:v>
                </c:pt>
                <c:pt idx="1105">
                  <c:v>219.265</c:v>
                </c:pt>
                <c:pt idx="1106">
                  <c:v>219.432</c:v>
                </c:pt>
                <c:pt idx="1107">
                  <c:v>219.599</c:v>
                </c:pt>
                <c:pt idx="1108">
                  <c:v>219.765</c:v>
                </c:pt>
                <c:pt idx="1109">
                  <c:v>219.933</c:v>
                </c:pt>
                <c:pt idx="1110">
                  <c:v>220.101</c:v>
                </c:pt>
                <c:pt idx="1111">
                  <c:v>220.271</c:v>
                </c:pt>
                <c:pt idx="1112">
                  <c:v>220.44</c:v>
                </c:pt>
                <c:pt idx="1113">
                  <c:v>220.608</c:v>
                </c:pt>
                <c:pt idx="1114">
                  <c:v>220.774</c:v>
                </c:pt>
                <c:pt idx="1115">
                  <c:v>220.94</c:v>
                </c:pt>
                <c:pt idx="1116">
                  <c:v>221.105</c:v>
                </c:pt>
                <c:pt idx="1117">
                  <c:v>221.272</c:v>
                </c:pt>
                <c:pt idx="1118">
                  <c:v>221.441</c:v>
                </c:pt>
                <c:pt idx="1119">
                  <c:v>221.604</c:v>
                </c:pt>
                <c:pt idx="1120">
                  <c:v>221.772</c:v>
                </c:pt>
                <c:pt idx="1121">
                  <c:v>221.937</c:v>
                </c:pt>
                <c:pt idx="1122">
                  <c:v>222.105</c:v>
                </c:pt>
                <c:pt idx="1123">
                  <c:v>222.275</c:v>
                </c:pt>
                <c:pt idx="1124">
                  <c:v>222.444</c:v>
                </c:pt>
                <c:pt idx="1125">
                  <c:v>222.616</c:v>
                </c:pt>
                <c:pt idx="1126">
                  <c:v>222.785</c:v>
                </c:pt>
                <c:pt idx="1127">
                  <c:v>222.953</c:v>
                </c:pt>
                <c:pt idx="1128">
                  <c:v>223.118</c:v>
                </c:pt>
                <c:pt idx="1129">
                  <c:v>223.284</c:v>
                </c:pt>
                <c:pt idx="1130">
                  <c:v>223.45</c:v>
                </c:pt>
                <c:pt idx="1131">
                  <c:v>223.62</c:v>
                </c:pt>
                <c:pt idx="1132">
                  <c:v>223.792</c:v>
                </c:pt>
                <c:pt idx="1133">
                  <c:v>223.962</c:v>
                </c:pt>
                <c:pt idx="1134">
                  <c:v>224.131</c:v>
                </c:pt>
                <c:pt idx="1135">
                  <c:v>224.3</c:v>
                </c:pt>
                <c:pt idx="1136">
                  <c:v>224.47</c:v>
                </c:pt>
                <c:pt idx="1137">
                  <c:v>224.639</c:v>
                </c:pt>
                <c:pt idx="1138">
                  <c:v>224.805</c:v>
                </c:pt>
                <c:pt idx="1139">
                  <c:v>224.973</c:v>
                </c:pt>
                <c:pt idx="1140">
                  <c:v>225.141</c:v>
                </c:pt>
                <c:pt idx="1141">
                  <c:v>225.309</c:v>
                </c:pt>
                <c:pt idx="1142">
                  <c:v>225.477</c:v>
                </c:pt>
                <c:pt idx="1143">
                  <c:v>225.646</c:v>
                </c:pt>
                <c:pt idx="1144">
                  <c:v>225.814</c:v>
                </c:pt>
                <c:pt idx="1145">
                  <c:v>225.98</c:v>
                </c:pt>
                <c:pt idx="1146">
                  <c:v>226.147</c:v>
                </c:pt>
                <c:pt idx="1147">
                  <c:v>226.315</c:v>
                </c:pt>
                <c:pt idx="1148">
                  <c:v>226.482</c:v>
                </c:pt>
                <c:pt idx="1149">
                  <c:v>226.647</c:v>
                </c:pt>
                <c:pt idx="1150">
                  <c:v>226.816</c:v>
                </c:pt>
                <c:pt idx="1151">
                  <c:v>226.982</c:v>
                </c:pt>
                <c:pt idx="1152">
                  <c:v>227.149</c:v>
                </c:pt>
                <c:pt idx="1153">
                  <c:v>227.316</c:v>
                </c:pt>
                <c:pt idx="1154">
                  <c:v>227.482</c:v>
                </c:pt>
                <c:pt idx="1155">
                  <c:v>227.651</c:v>
                </c:pt>
                <c:pt idx="1156">
                  <c:v>227.82</c:v>
                </c:pt>
                <c:pt idx="1157">
                  <c:v>227.989</c:v>
                </c:pt>
                <c:pt idx="1158">
                  <c:v>228.157</c:v>
                </c:pt>
                <c:pt idx="1159">
                  <c:v>228.323</c:v>
                </c:pt>
                <c:pt idx="1160">
                  <c:v>228.489</c:v>
                </c:pt>
                <c:pt idx="1161">
                  <c:v>228.656</c:v>
                </c:pt>
                <c:pt idx="1162">
                  <c:v>228.823</c:v>
                </c:pt>
                <c:pt idx="1163">
                  <c:v>228.991</c:v>
                </c:pt>
                <c:pt idx="1164">
                  <c:v>229.16</c:v>
                </c:pt>
                <c:pt idx="1165">
                  <c:v>229.328</c:v>
                </c:pt>
                <c:pt idx="1166">
                  <c:v>229.496</c:v>
                </c:pt>
                <c:pt idx="1167">
                  <c:v>229.665</c:v>
                </c:pt>
                <c:pt idx="1168">
                  <c:v>229.834</c:v>
                </c:pt>
                <c:pt idx="1169">
                  <c:v>230.002</c:v>
                </c:pt>
                <c:pt idx="1170">
                  <c:v>230.172</c:v>
                </c:pt>
                <c:pt idx="1171">
                  <c:v>230.341</c:v>
                </c:pt>
                <c:pt idx="1172">
                  <c:v>230.509</c:v>
                </c:pt>
                <c:pt idx="1173">
                  <c:v>230.679</c:v>
                </c:pt>
                <c:pt idx="1174">
                  <c:v>230.846</c:v>
                </c:pt>
                <c:pt idx="1175">
                  <c:v>231.011</c:v>
                </c:pt>
                <c:pt idx="1176">
                  <c:v>231.178</c:v>
                </c:pt>
                <c:pt idx="1177">
                  <c:v>231.345</c:v>
                </c:pt>
                <c:pt idx="1178">
                  <c:v>231.512</c:v>
                </c:pt>
                <c:pt idx="1179">
                  <c:v>231.68</c:v>
                </c:pt>
                <c:pt idx="1180">
                  <c:v>231.846</c:v>
                </c:pt>
                <c:pt idx="1181">
                  <c:v>232.014</c:v>
                </c:pt>
                <c:pt idx="1182">
                  <c:v>232.182</c:v>
                </c:pt>
                <c:pt idx="1183">
                  <c:v>232.353</c:v>
                </c:pt>
                <c:pt idx="1184">
                  <c:v>232.523</c:v>
                </c:pt>
                <c:pt idx="1185">
                  <c:v>232.691</c:v>
                </c:pt>
                <c:pt idx="1186">
                  <c:v>232.862</c:v>
                </c:pt>
                <c:pt idx="1187">
                  <c:v>233.031</c:v>
                </c:pt>
                <c:pt idx="1188">
                  <c:v>233.199</c:v>
                </c:pt>
                <c:pt idx="1189">
                  <c:v>233.367</c:v>
                </c:pt>
                <c:pt idx="1190">
                  <c:v>233.535</c:v>
                </c:pt>
                <c:pt idx="1191">
                  <c:v>233.702</c:v>
                </c:pt>
                <c:pt idx="1192">
                  <c:v>233.87</c:v>
                </c:pt>
                <c:pt idx="1193">
                  <c:v>234.039</c:v>
                </c:pt>
                <c:pt idx="1194">
                  <c:v>234.209</c:v>
                </c:pt>
                <c:pt idx="1195">
                  <c:v>234.377</c:v>
                </c:pt>
                <c:pt idx="1196">
                  <c:v>234.546</c:v>
                </c:pt>
                <c:pt idx="1197">
                  <c:v>234.715</c:v>
                </c:pt>
                <c:pt idx="1198">
                  <c:v>234.883</c:v>
                </c:pt>
                <c:pt idx="1199">
                  <c:v>235.052</c:v>
                </c:pt>
                <c:pt idx="1200">
                  <c:v>235.223</c:v>
                </c:pt>
                <c:pt idx="1201">
                  <c:v>235.392</c:v>
                </c:pt>
                <c:pt idx="1202">
                  <c:v>235.561</c:v>
                </c:pt>
                <c:pt idx="1203">
                  <c:v>235.729</c:v>
                </c:pt>
                <c:pt idx="1204">
                  <c:v>235.898</c:v>
                </c:pt>
                <c:pt idx="1205">
                  <c:v>236.067</c:v>
                </c:pt>
                <c:pt idx="1206">
                  <c:v>236.235</c:v>
                </c:pt>
                <c:pt idx="1207">
                  <c:v>236.404</c:v>
                </c:pt>
                <c:pt idx="1208">
                  <c:v>236.573</c:v>
                </c:pt>
                <c:pt idx="1209">
                  <c:v>236.742</c:v>
                </c:pt>
                <c:pt idx="1210">
                  <c:v>236.912</c:v>
                </c:pt>
                <c:pt idx="1211">
                  <c:v>237.082</c:v>
                </c:pt>
                <c:pt idx="1212">
                  <c:v>237.251</c:v>
                </c:pt>
                <c:pt idx="1213">
                  <c:v>237.42</c:v>
                </c:pt>
                <c:pt idx="1214">
                  <c:v>237.587</c:v>
                </c:pt>
                <c:pt idx="1215">
                  <c:v>237.752</c:v>
                </c:pt>
                <c:pt idx="1216">
                  <c:v>237.917</c:v>
                </c:pt>
                <c:pt idx="1217">
                  <c:v>238.086</c:v>
                </c:pt>
                <c:pt idx="1218">
                  <c:v>238.253</c:v>
                </c:pt>
                <c:pt idx="1219">
                  <c:v>238.42</c:v>
                </c:pt>
                <c:pt idx="1220">
                  <c:v>238.589</c:v>
                </c:pt>
                <c:pt idx="1221">
                  <c:v>238.757</c:v>
                </c:pt>
                <c:pt idx="1222">
                  <c:v>238.925</c:v>
                </c:pt>
                <c:pt idx="1223">
                  <c:v>239.094</c:v>
                </c:pt>
                <c:pt idx="1224">
                  <c:v>239.264</c:v>
                </c:pt>
                <c:pt idx="1225">
                  <c:v>239.433</c:v>
                </c:pt>
                <c:pt idx="1226">
                  <c:v>239.6</c:v>
                </c:pt>
                <c:pt idx="1227">
                  <c:v>239.77</c:v>
                </c:pt>
                <c:pt idx="1228">
                  <c:v>239.941</c:v>
                </c:pt>
                <c:pt idx="1229">
                  <c:v>240.112</c:v>
                </c:pt>
                <c:pt idx="1230">
                  <c:v>240.282</c:v>
                </c:pt>
                <c:pt idx="1231">
                  <c:v>240.452</c:v>
                </c:pt>
                <c:pt idx="1232">
                  <c:v>240.62</c:v>
                </c:pt>
                <c:pt idx="1233">
                  <c:v>240.787</c:v>
                </c:pt>
                <c:pt idx="1234">
                  <c:v>240.954</c:v>
                </c:pt>
                <c:pt idx="1235">
                  <c:v>241.123</c:v>
                </c:pt>
                <c:pt idx="1236">
                  <c:v>241.289</c:v>
                </c:pt>
                <c:pt idx="1237">
                  <c:v>241.454</c:v>
                </c:pt>
                <c:pt idx="1238">
                  <c:v>241.616</c:v>
                </c:pt>
                <c:pt idx="1239">
                  <c:v>241.781</c:v>
                </c:pt>
                <c:pt idx="1240">
                  <c:v>241.947</c:v>
                </c:pt>
                <c:pt idx="1241">
                  <c:v>242.112</c:v>
                </c:pt>
                <c:pt idx="1242">
                  <c:v>242.279</c:v>
                </c:pt>
                <c:pt idx="1243">
                  <c:v>242.446</c:v>
                </c:pt>
                <c:pt idx="1244">
                  <c:v>242.617</c:v>
                </c:pt>
                <c:pt idx="1245">
                  <c:v>242.786</c:v>
                </c:pt>
                <c:pt idx="1246">
                  <c:v>242.95</c:v>
                </c:pt>
                <c:pt idx="1247">
                  <c:v>243.115</c:v>
                </c:pt>
                <c:pt idx="1248">
                  <c:v>243.281</c:v>
                </c:pt>
                <c:pt idx="1249">
                  <c:v>243.447</c:v>
                </c:pt>
                <c:pt idx="1250">
                  <c:v>243.614</c:v>
                </c:pt>
                <c:pt idx="1251">
                  <c:v>243.783</c:v>
                </c:pt>
                <c:pt idx="1252">
                  <c:v>243.952</c:v>
                </c:pt>
                <c:pt idx="1253">
                  <c:v>244.12</c:v>
                </c:pt>
                <c:pt idx="1254">
                  <c:v>244.292</c:v>
                </c:pt>
                <c:pt idx="1255">
                  <c:v>244.462</c:v>
                </c:pt>
                <c:pt idx="1256">
                  <c:v>244.632</c:v>
                </c:pt>
                <c:pt idx="1257">
                  <c:v>244.802</c:v>
                </c:pt>
                <c:pt idx="1258">
                  <c:v>244.97</c:v>
                </c:pt>
                <c:pt idx="1259">
                  <c:v>245.139</c:v>
                </c:pt>
                <c:pt idx="1260">
                  <c:v>245.308</c:v>
                </c:pt>
                <c:pt idx="1261">
                  <c:v>245.479</c:v>
                </c:pt>
                <c:pt idx="1262">
                  <c:v>245.65</c:v>
                </c:pt>
                <c:pt idx="1263">
                  <c:v>245.82</c:v>
                </c:pt>
                <c:pt idx="1264">
                  <c:v>245.988</c:v>
                </c:pt>
                <c:pt idx="1265">
                  <c:v>246.154</c:v>
                </c:pt>
                <c:pt idx="1266">
                  <c:v>246.32</c:v>
                </c:pt>
                <c:pt idx="1267">
                  <c:v>246.489</c:v>
                </c:pt>
                <c:pt idx="1268">
                  <c:v>246.66</c:v>
                </c:pt>
                <c:pt idx="1269">
                  <c:v>246.827</c:v>
                </c:pt>
                <c:pt idx="1270">
                  <c:v>246.994</c:v>
                </c:pt>
                <c:pt idx="1271">
                  <c:v>247.159</c:v>
                </c:pt>
                <c:pt idx="1272">
                  <c:v>247.323</c:v>
                </c:pt>
                <c:pt idx="1273">
                  <c:v>247.488</c:v>
                </c:pt>
                <c:pt idx="1274">
                  <c:v>247.653</c:v>
                </c:pt>
                <c:pt idx="1275">
                  <c:v>247.819</c:v>
                </c:pt>
                <c:pt idx="1276">
                  <c:v>247.989</c:v>
                </c:pt>
                <c:pt idx="1277">
                  <c:v>248.156</c:v>
                </c:pt>
                <c:pt idx="1278">
                  <c:v>248.323</c:v>
                </c:pt>
                <c:pt idx="1279">
                  <c:v>248.492</c:v>
                </c:pt>
                <c:pt idx="1280">
                  <c:v>248.66</c:v>
                </c:pt>
                <c:pt idx="1281">
                  <c:v>248.826</c:v>
                </c:pt>
                <c:pt idx="1282">
                  <c:v>248.995</c:v>
                </c:pt>
                <c:pt idx="1283">
                  <c:v>249.166</c:v>
                </c:pt>
                <c:pt idx="1284">
                  <c:v>249.335</c:v>
                </c:pt>
                <c:pt idx="1285">
                  <c:v>249.503</c:v>
                </c:pt>
                <c:pt idx="1286">
                  <c:v>249.67</c:v>
                </c:pt>
                <c:pt idx="1287">
                  <c:v>249.836</c:v>
                </c:pt>
                <c:pt idx="1288">
                  <c:v>250.006</c:v>
                </c:pt>
                <c:pt idx="1289">
                  <c:v>250.174</c:v>
                </c:pt>
                <c:pt idx="1290">
                  <c:v>250.342</c:v>
                </c:pt>
                <c:pt idx="1291">
                  <c:v>250.509</c:v>
                </c:pt>
                <c:pt idx="1292">
                  <c:v>250.676</c:v>
                </c:pt>
                <c:pt idx="1293">
                  <c:v>250.843</c:v>
                </c:pt>
                <c:pt idx="1294">
                  <c:v>251.01</c:v>
                </c:pt>
                <c:pt idx="1295">
                  <c:v>251.176</c:v>
                </c:pt>
                <c:pt idx="1296">
                  <c:v>251.345</c:v>
                </c:pt>
                <c:pt idx="1297">
                  <c:v>251.512</c:v>
                </c:pt>
                <c:pt idx="1298">
                  <c:v>251.678</c:v>
                </c:pt>
                <c:pt idx="1299">
                  <c:v>251.844</c:v>
                </c:pt>
                <c:pt idx="1300">
                  <c:v>252.011</c:v>
                </c:pt>
                <c:pt idx="1301">
                  <c:v>252.177</c:v>
                </c:pt>
                <c:pt idx="1302">
                  <c:v>252.344</c:v>
                </c:pt>
                <c:pt idx="1303">
                  <c:v>252.515</c:v>
                </c:pt>
                <c:pt idx="1304">
                  <c:v>252.686</c:v>
                </c:pt>
                <c:pt idx="1305">
                  <c:v>252.855</c:v>
                </c:pt>
                <c:pt idx="1306">
                  <c:v>253.024</c:v>
                </c:pt>
                <c:pt idx="1307">
                  <c:v>253.191</c:v>
                </c:pt>
                <c:pt idx="1308">
                  <c:v>253.36</c:v>
                </c:pt>
                <c:pt idx="1309">
                  <c:v>253.529</c:v>
                </c:pt>
                <c:pt idx="1310">
                  <c:v>253.698</c:v>
                </c:pt>
                <c:pt idx="1311">
                  <c:v>253.865</c:v>
                </c:pt>
                <c:pt idx="1312">
                  <c:v>254.032</c:v>
                </c:pt>
                <c:pt idx="1313">
                  <c:v>254.199</c:v>
                </c:pt>
                <c:pt idx="1314">
                  <c:v>254.365</c:v>
                </c:pt>
                <c:pt idx="1315">
                  <c:v>254.535</c:v>
                </c:pt>
                <c:pt idx="1316">
                  <c:v>254.704</c:v>
                </c:pt>
                <c:pt idx="1317">
                  <c:v>254.871</c:v>
                </c:pt>
                <c:pt idx="1318">
                  <c:v>255.037</c:v>
                </c:pt>
                <c:pt idx="1319">
                  <c:v>255.205</c:v>
                </c:pt>
                <c:pt idx="1320">
                  <c:v>255.375</c:v>
                </c:pt>
                <c:pt idx="1321">
                  <c:v>255.546</c:v>
                </c:pt>
                <c:pt idx="1322">
                  <c:v>255.716</c:v>
                </c:pt>
                <c:pt idx="1323">
                  <c:v>255.885</c:v>
                </c:pt>
                <c:pt idx="1324">
                  <c:v>256.053</c:v>
                </c:pt>
                <c:pt idx="1325">
                  <c:v>256.223</c:v>
                </c:pt>
                <c:pt idx="1326">
                  <c:v>256.3929999999999</c:v>
                </c:pt>
                <c:pt idx="1327">
                  <c:v>256.564</c:v>
                </c:pt>
                <c:pt idx="1328">
                  <c:v>256.7329999999992</c:v>
                </c:pt>
                <c:pt idx="1329">
                  <c:v>256.9019999999986</c:v>
                </c:pt>
                <c:pt idx="1330">
                  <c:v>257.069</c:v>
                </c:pt>
                <c:pt idx="1331">
                  <c:v>257.237</c:v>
                </c:pt>
                <c:pt idx="1332">
                  <c:v>257.4059999999996</c:v>
                </c:pt>
                <c:pt idx="1333">
                  <c:v>257.574</c:v>
                </c:pt>
                <c:pt idx="1334">
                  <c:v>257.741</c:v>
                </c:pt>
                <c:pt idx="1335">
                  <c:v>257.908</c:v>
                </c:pt>
                <c:pt idx="1336">
                  <c:v>258.076</c:v>
                </c:pt>
                <c:pt idx="1337">
                  <c:v>258.2440000000001</c:v>
                </c:pt>
                <c:pt idx="1338">
                  <c:v>258.4139999999989</c:v>
                </c:pt>
                <c:pt idx="1339">
                  <c:v>258.581</c:v>
                </c:pt>
                <c:pt idx="1340">
                  <c:v>258.747</c:v>
                </c:pt>
                <c:pt idx="1341">
                  <c:v>258.915</c:v>
                </c:pt>
                <c:pt idx="1342">
                  <c:v>259.083</c:v>
                </c:pt>
                <c:pt idx="1343">
                  <c:v>259.25</c:v>
                </c:pt>
                <c:pt idx="1344">
                  <c:v>259.415</c:v>
                </c:pt>
                <c:pt idx="1345">
                  <c:v>259.583</c:v>
                </c:pt>
                <c:pt idx="1346">
                  <c:v>259.753</c:v>
                </c:pt>
                <c:pt idx="1347">
                  <c:v>259.9209999999989</c:v>
                </c:pt>
                <c:pt idx="1348">
                  <c:v>260.089</c:v>
                </c:pt>
                <c:pt idx="1349">
                  <c:v>260.2579999999999</c:v>
                </c:pt>
                <c:pt idx="1350">
                  <c:v>260.425</c:v>
                </c:pt>
                <c:pt idx="1351">
                  <c:v>260.5919999999986</c:v>
                </c:pt>
                <c:pt idx="1352">
                  <c:v>260.7559999999999</c:v>
                </c:pt>
                <c:pt idx="1353">
                  <c:v>260.925</c:v>
                </c:pt>
                <c:pt idx="1354">
                  <c:v>261.093</c:v>
                </c:pt>
                <c:pt idx="1355">
                  <c:v>261.26</c:v>
                </c:pt>
                <c:pt idx="1356">
                  <c:v>261.4289999999986</c:v>
                </c:pt>
                <c:pt idx="1357">
                  <c:v>261.595</c:v>
                </c:pt>
                <c:pt idx="1358">
                  <c:v>261.76</c:v>
                </c:pt>
                <c:pt idx="1359">
                  <c:v>261.9229999999989</c:v>
                </c:pt>
                <c:pt idx="1360">
                  <c:v>262.0899999999999</c:v>
                </c:pt>
                <c:pt idx="1361">
                  <c:v>262.2579999999999</c:v>
                </c:pt>
                <c:pt idx="1362">
                  <c:v>262.4279999999989</c:v>
                </c:pt>
                <c:pt idx="1363">
                  <c:v>262.5969999999986</c:v>
                </c:pt>
                <c:pt idx="1364">
                  <c:v>262.761</c:v>
                </c:pt>
                <c:pt idx="1365">
                  <c:v>262.9279999999989</c:v>
                </c:pt>
                <c:pt idx="1366">
                  <c:v>263.0959999999992</c:v>
                </c:pt>
                <c:pt idx="1367">
                  <c:v>263.267</c:v>
                </c:pt>
                <c:pt idx="1368">
                  <c:v>263.4349999999989</c:v>
                </c:pt>
                <c:pt idx="1369">
                  <c:v>263.6019999999999</c:v>
                </c:pt>
                <c:pt idx="1370">
                  <c:v>263.769</c:v>
                </c:pt>
                <c:pt idx="1371">
                  <c:v>263.9359999999986</c:v>
                </c:pt>
                <c:pt idx="1372">
                  <c:v>264.1039999999999</c:v>
                </c:pt>
                <c:pt idx="1373">
                  <c:v>264.274</c:v>
                </c:pt>
                <c:pt idx="1374">
                  <c:v>264.4429999999999</c:v>
                </c:pt>
                <c:pt idx="1375">
                  <c:v>264.612</c:v>
                </c:pt>
                <c:pt idx="1376">
                  <c:v>264.779</c:v>
                </c:pt>
                <c:pt idx="1377">
                  <c:v>264.945</c:v>
                </c:pt>
                <c:pt idx="1378">
                  <c:v>265.115</c:v>
                </c:pt>
                <c:pt idx="1379">
                  <c:v>265.2819999999986</c:v>
                </c:pt>
                <c:pt idx="1380">
                  <c:v>265.447</c:v>
                </c:pt>
                <c:pt idx="1381">
                  <c:v>265.615</c:v>
                </c:pt>
                <c:pt idx="1382">
                  <c:v>265.7839999999989</c:v>
                </c:pt>
                <c:pt idx="1383">
                  <c:v>265.952</c:v>
                </c:pt>
                <c:pt idx="1384">
                  <c:v>266.1209999999999</c:v>
                </c:pt>
                <c:pt idx="1385">
                  <c:v>266.2869999999986</c:v>
                </c:pt>
                <c:pt idx="1386">
                  <c:v>266.4569999999989</c:v>
                </c:pt>
                <c:pt idx="1387">
                  <c:v>266.628</c:v>
                </c:pt>
                <c:pt idx="1388">
                  <c:v>266.802</c:v>
                </c:pt>
                <c:pt idx="1389">
                  <c:v>266.9709999999992</c:v>
                </c:pt>
                <c:pt idx="1390">
                  <c:v>267.1379999999999</c:v>
                </c:pt>
                <c:pt idx="1391">
                  <c:v>267.3059999999999</c:v>
                </c:pt>
                <c:pt idx="1392">
                  <c:v>267.473</c:v>
                </c:pt>
                <c:pt idx="1393">
                  <c:v>267.641</c:v>
                </c:pt>
                <c:pt idx="1394">
                  <c:v>267.807</c:v>
                </c:pt>
                <c:pt idx="1395">
                  <c:v>267.9719999999986</c:v>
                </c:pt>
                <c:pt idx="1396">
                  <c:v>268.137</c:v>
                </c:pt>
                <c:pt idx="1397">
                  <c:v>268.3039999999999</c:v>
                </c:pt>
                <c:pt idx="1398">
                  <c:v>268.4709999999992</c:v>
                </c:pt>
                <c:pt idx="1399">
                  <c:v>268.639</c:v>
                </c:pt>
                <c:pt idx="1400">
                  <c:v>268.808</c:v>
                </c:pt>
                <c:pt idx="1401">
                  <c:v>268.9759999999989</c:v>
                </c:pt>
                <c:pt idx="1402">
                  <c:v>269.145</c:v>
                </c:pt>
                <c:pt idx="1403">
                  <c:v>269.3109999999999</c:v>
                </c:pt>
                <c:pt idx="1404">
                  <c:v>269.478</c:v>
                </c:pt>
                <c:pt idx="1405">
                  <c:v>269.645</c:v>
                </c:pt>
                <c:pt idx="1406">
                  <c:v>269.81</c:v>
                </c:pt>
                <c:pt idx="1407">
                  <c:v>269.9739999999989</c:v>
                </c:pt>
                <c:pt idx="1408">
                  <c:v>270.136</c:v>
                </c:pt>
                <c:pt idx="1409">
                  <c:v>270.301</c:v>
                </c:pt>
                <c:pt idx="1410">
                  <c:v>270.466</c:v>
                </c:pt>
                <c:pt idx="1411">
                  <c:v>270.6309999999999</c:v>
                </c:pt>
                <c:pt idx="1412">
                  <c:v>270.7959999999989</c:v>
                </c:pt>
                <c:pt idx="1413">
                  <c:v>270.9599999999999</c:v>
                </c:pt>
                <c:pt idx="1414">
                  <c:v>271.1259999999999</c:v>
                </c:pt>
                <c:pt idx="1415">
                  <c:v>271.29</c:v>
                </c:pt>
                <c:pt idx="1416">
                  <c:v>271.4529999999999</c:v>
                </c:pt>
                <c:pt idx="1417">
                  <c:v>271.615</c:v>
                </c:pt>
                <c:pt idx="1418">
                  <c:v>271.779</c:v>
                </c:pt>
                <c:pt idx="1419">
                  <c:v>271.9409999999999</c:v>
                </c:pt>
                <c:pt idx="1420">
                  <c:v>272.105</c:v>
                </c:pt>
                <c:pt idx="1421">
                  <c:v>272.269</c:v>
                </c:pt>
                <c:pt idx="1422">
                  <c:v>272.4329999999989</c:v>
                </c:pt>
                <c:pt idx="1423">
                  <c:v>272.5989999999989</c:v>
                </c:pt>
                <c:pt idx="1424">
                  <c:v>272.765</c:v>
                </c:pt>
                <c:pt idx="1425">
                  <c:v>272.9279999999989</c:v>
                </c:pt>
                <c:pt idx="1426">
                  <c:v>273.0899999999999</c:v>
                </c:pt>
                <c:pt idx="1427">
                  <c:v>273.2559999999999</c:v>
                </c:pt>
                <c:pt idx="1428">
                  <c:v>273.4229999999989</c:v>
                </c:pt>
                <c:pt idx="1429">
                  <c:v>273.589</c:v>
                </c:pt>
                <c:pt idx="1430">
                  <c:v>273.757</c:v>
                </c:pt>
                <c:pt idx="1431">
                  <c:v>273.9239999999986</c:v>
                </c:pt>
                <c:pt idx="1432">
                  <c:v>274.0919999999986</c:v>
                </c:pt>
                <c:pt idx="1433">
                  <c:v>274.257</c:v>
                </c:pt>
                <c:pt idx="1434">
                  <c:v>274.4239999999986</c:v>
                </c:pt>
                <c:pt idx="1435">
                  <c:v>274.591</c:v>
                </c:pt>
                <c:pt idx="1436">
                  <c:v>274.76</c:v>
                </c:pt>
                <c:pt idx="1437">
                  <c:v>274.925</c:v>
                </c:pt>
                <c:pt idx="1438">
                  <c:v>275.091</c:v>
                </c:pt>
                <c:pt idx="1439">
                  <c:v>275.254</c:v>
                </c:pt>
                <c:pt idx="1440">
                  <c:v>275.4189999999986</c:v>
                </c:pt>
                <c:pt idx="1441">
                  <c:v>275.58</c:v>
                </c:pt>
                <c:pt idx="1442">
                  <c:v>275.7440000000001</c:v>
                </c:pt>
                <c:pt idx="1443">
                  <c:v>275.908</c:v>
                </c:pt>
                <c:pt idx="1444">
                  <c:v>276.071</c:v>
                </c:pt>
                <c:pt idx="1445">
                  <c:v>276.2339999999986</c:v>
                </c:pt>
                <c:pt idx="1446">
                  <c:v>276.396</c:v>
                </c:pt>
                <c:pt idx="1447">
                  <c:v>276.56</c:v>
                </c:pt>
                <c:pt idx="1448">
                  <c:v>276.7269999999986</c:v>
                </c:pt>
                <c:pt idx="1449">
                  <c:v>276.896</c:v>
                </c:pt>
                <c:pt idx="1450">
                  <c:v>277.065</c:v>
                </c:pt>
                <c:pt idx="1451">
                  <c:v>277.2339999999986</c:v>
                </c:pt>
                <c:pt idx="1452">
                  <c:v>277.3999999999999</c:v>
                </c:pt>
                <c:pt idx="1453">
                  <c:v>277.562</c:v>
                </c:pt>
                <c:pt idx="1454">
                  <c:v>277.7239999999989</c:v>
                </c:pt>
                <c:pt idx="1455">
                  <c:v>277.886</c:v>
                </c:pt>
                <c:pt idx="1456">
                  <c:v>278.048</c:v>
                </c:pt>
                <c:pt idx="1457">
                  <c:v>278.2119999999989</c:v>
                </c:pt>
                <c:pt idx="1458">
                  <c:v>278.377</c:v>
                </c:pt>
                <c:pt idx="1459">
                  <c:v>278.5419999999999</c:v>
                </c:pt>
                <c:pt idx="1460">
                  <c:v>278.708</c:v>
                </c:pt>
                <c:pt idx="1461">
                  <c:v>278.8709999999999</c:v>
                </c:pt>
                <c:pt idx="1462">
                  <c:v>279.035</c:v>
                </c:pt>
                <c:pt idx="1463">
                  <c:v>279.199</c:v>
                </c:pt>
                <c:pt idx="1464">
                  <c:v>279.362</c:v>
                </c:pt>
                <c:pt idx="1465">
                  <c:v>279.5269999999986</c:v>
                </c:pt>
                <c:pt idx="1466">
                  <c:v>279.687</c:v>
                </c:pt>
                <c:pt idx="1467">
                  <c:v>279.848</c:v>
                </c:pt>
                <c:pt idx="1468">
                  <c:v>280.011</c:v>
                </c:pt>
                <c:pt idx="1469">
                  <c:v>280.1739999999999</c:v>
                </c:pt>
                <c:pt idx="1470">
                  <c:v>280.338</c:v>
                </c:pt>
                <c:pt idx="1471">
                  <c:v>280.504</c:v>
                </c:pt>
                <c:pt idx="1472">
                  <c:v>280.6689999999999</c:v>
                </c:pt>
                <c:pt idx="1473">
                  <c:v>280.833</c:v>
                </c:pt>
                <c:pt idx="1474">
                  <c:v>280.9929999999989</c:v>
                </c:pt>
                <c:pt idx="1475">
                  <c:v>281.153</c:v>
                </c:pt>
                <c:pt idx="1476">
                  <c:v>281.319</c:v>
                </c:pt>
                <c:pt idx="1477">
                  <c:v>281.4839999999986</c:v>
                </c:pt>
                <c:pt idx="1478">
                  <c:v>281.65</c:v>
                </c:pt>
                <c:pt idx="1479">
                  <c:v>281.817</c:v>
                </c:pt>
                <c:pt idx="1480">
                  <c:v>281.985</c:v>
                </c:pt>
                <c:pt idx="1481">
                  <c:v>282.152</c:v>
                </c:pt>
                <c:pt idx="1482">
                  <c:v>282.319</c:v>
                </c:pt>
                <c:pt idx="1483">
                  <c:v>282.4889999999986</c:v>
                </c:pt>
                <c:pt idx="1484">
                  <c:v>282.6569999999999</c:v>
                </c:pt>
                <c:pt idx="1485">
                  <c:v>282.8229999999999</c:v>
                </c:pt>
                <c:pt idx="1486">
                  <c:v>282.9889999999986</c:v>
                </c:pt>
                <c:pt idx="1487">
                  <c:v>283.15</c:v>
                </c:pt>
                <c:pt idx="1488">
                  <c:v>283.308</c:v>
                </c:pt>
                <c:pt idx="1489">
                  <c:v>283.4649999999999</c:v>
                </c:pt>
                <c:pt idx="1490">
                  <c:v>283.624</c:v>
                </c:pt>
                <c:pt idx="1491">
                  <c:v>283.7839999999989</c:v>
                </c:pt>
                <c:pt idx="1492">
                  <c:v>283.9479999999999</c:v>
                </c:pt>
                <c:pt idx="1493">
                  <c:v>284.1139999999999</c:v>
                </c:pt>
                <c:pt idx="1494">
                  <c:v>284.2819999999986</c:v>
                </c:pt>
                <c:pt idx="1495">
                  <c:v>284.45</c:v>
                </c:pt>
                <c:pt idx="1496">
                  <c:v>284.618</c:v>
                </c:pt>
                <c:pt idx="1497">
                  <c:v>284.7859999999989</c:v>
                </c:pt>
                <c:pt idx="1498">
                  <c:v>284.9549999999999</c:v>
                </c:pt>
                <c:pt idx="1499">
                  <c:v>285.122</c:v>
                </c:pt>
                <c:pt idx="1500">
                  <c:v>285.2859999999989</c:v>
                </c:pt>
                <c:pt idx="1501">
                  <c:v>285.452</c:v>
                </c:pt>
                <c:pt idx="1502">
                  <c:v>285.616</c:v>
                </c:pt>
                <c:pt idx="1503">
                  <c:v>285.7799999999999</c:v>
                </c:pt>
                <c:pt idx="1504">
                  <c:v>285.946</c:v>
                </c:pt>
                <c:pt idx="1505">
                  <c:v>286.112</c:v>
                </c:pt>
                <c:pt idx="1506">
                  <c:v>286.276</c:v>
                </c:pt>
                <c:pt idx="1507">
                  <c:v>286.44</c:v>
                </c:pt>
                <c:pt idx="1508">
                  <c:v>286.6019999999999</c:v>
                </c:pt>
                <c:pt idx="1509">
                  <c:v>286.766</c:v>
                </c:pt>
                <c:pt idx="1510">
                  <c:v>286.9279999999989</c:v>
                </c:pt>
                <c:pt idx="1511">
                  <c:v>287.0919999999986</c:v>
                </c:pt>
                <c:pt idx="1512">
                  <c:v>287.257</c:v>
                </c:pt>
                <c:pt idx="1513">
                  <c:v>287.4179999999996</c:v>
                </c:pt>
                <c:pt idx="1514">
                  <c:v>287.581</c:v>
                </c:pt>
                <c:pt idx="1515">
                  <c:v>287.742</c:v>
                </c:pt>
                <c:pt idx="1516">
                  <c:v>287.9049999999999</c:v>
                </c:pt>
                <c:pt idx="1517">
                  <c:v>288.069</c:v>
                </c:pt>
                <c:pt idx="1518">
                  <c:v>288.232</c:v>
                </c:pt>
                <c:pt idx="1519">
                  <c:v>288.394</c:v>
                </c:pt>
                <c:pt idx="1520">
                  <c:v>288.557</c:v>
                </c:pt>
                <c:pt idx="1521">
                  <c:v>288.7189999999989</c:v>
                </c:pt>
                <c:pt idx="1522">
                  <c:v>288.8809999999999</c:v>
                </c:pt>
                <c:pt idx="1523">
                  <c:v>289.045</c:v>
                </c:pt>
                <c:pt idx="1524">
                  <c:v>289.2119999999989</c:v>
                </c:pt>
                <c:pt idx="1525">
                  <c:v>289.379</c:v>
                </c:pt>
                <c:pt idx="1526">
                  <c:v>289.545</c:v>
                </c:pt>
                <c:pt idx="1527">
                  <c:v>289.711</c:v>
                </c:pt>
                <c:pt idx="1528">
                  <c:v>289.877</c:v>
                </c:pt>
                <c:pt idx="1529">
                  <c:v>290.0419999999999</c:v>
                </c:pt>
                <c:pt idx="1530">
                  <c:v>290.2069999999989</c:v>
                </c:pt>
                <c:pt idx="1531">
                  <c:v>290.375</c:v>
                </c:pt>
                <c:pt idx="1532">
                  <c:v>290.54</c:v>
                </c:pt>
                <c:pt idx="1533">
                  <c:v>290.706</c:v>
                </c:pt>
                <c:pt idx="1534">
                  <c:v>290.8690000000001</c:v>
                </c:pt>
                <c:pt idx="1535">
                  <c:v>291.033</c:v>
                </c:pt>
                <c:pt idx="1536">
                  <c:v>291.195</c:v>
                </c:pt>
                <c:pt idx="1537">
                  <c:v>291.358</c:v>
                </c:pt>
                <c:pt idx="1538">
                  <c:v>291.523</c:v>
                </c:pt>
                <c:pt idx="1539">
                  <c:v>291.69</c:v>
                </c:pt>
                <c:pt idx="1540">
                  <c:v>291.855</c:v>
                </c:pt>
                <c:pt idx="1541">
                  <c:v>292.021</c:v>
                </c:pt>
                <c:pt idx="1542">
                  <c:v>292.185</c:v>
                </c:pt>
                <c:pt idx="1543">
                  <c:v>292.351</c:v>
                </c:pt>
                <c:pt idx="1544">
                  <c:v>292.5129999999999</c:v>
                </c:pt>
                <c:pt idx="1545">
                  <c:v>292.678</c:v>
                </c:pt>
                <c:pt idx="1546">
                  <c:v>292.8469999999999</c:v>
                </c:pt>
                <c:pt idx="1547">
                  <c:v>293.014</c:v>
                </c:pt>
                <c:pt idx="1548">
                  <c:v>293.176</c:v>
                </c:pt>
                <c:pt idx="1549">
                  <c:v>293.3399999999999</c:v>
                </c:pt>
                <c:pt idx="1550">
                  <c:v>293.502</c:v>
                </c:pt>
                <c:pt idx="1551">
                  <c:v>293.664</c:v>
                </c:pt>
                <c:pt idx="1552">
                  <c:v>293.8279999999999</c:v>
                </c:pt>
                <c:pt idx="1553">
                  <c:v>293.9929999999989</c:v>
                </c:pt>
                <c:pt idx="1554">
                  <c:v>294.158</c:v>
                </c:pt>
                <c:pt idx="1555">
                  <c:v>294.322</c:v>
                </c:pt>
                <c:pt idx="1556">
                  <c:v>294.485</c:v>
                </c:pt>
                <c:pt idx="1557">
                  <c:v>294.647</c:v>
                </c:pt>
                <c:pt idx="1558">
                  <c:v>294.807</c:v>
                </c:pt>
                <c:pt idx="1559">
                  <c:v>294.97</c:v>
                </c:pt>
                <c:pt idx="1560">
                  <c:v>295.137</c:v>
                </c:pt>
                <c:pt idx="1561">
                  <c:v>295.3039999999999</c:v>
                </c:pt>
                <c:pt idx="1562">
                  <c:v>295.4709999999992</c:v>
                </c:pt>
                <c:pt idx="1563">
                  <c:v>295.635</c:v>
                </c:pt>
                <c:pt idx="1564">
                  <c:v>295.802</c:v>
                </c:pt>
                <c:pt idx="1565">
                  <c:v>295.9649999999999</c:v>
                </c:pt>
                <c:pt idx="1566">
                  <c:v>296.128</c:v>
                </c:pt>
                <c:pt idx="1567">
                  <c:v>296.2919999999986</c:v>
                </c:pt>
                <c:pt idx="1568">
                  <c:v>296.4569999999989</c:v>
                </c:pt>
                <c:pt idx="1569">
                  <c:v>296.622</c:v>
                </c:pt>
                <c:pt idx="1570">
                  <c:v>296.7859999999989</c:v>
                </c:pt>
                <c:pt idx="1571">
                  <c:v>296.951</c:v>
                </c:pt>
                <c:pt idx="1572">
                  <c:v>297.115</c:v>
                </c:pt>
                <c:pt idx="1573">
                  <c:v>297.283</c:v>
                </c:pt>
                <c:pt idx="1574">
                  <c:v>297.4479999999999</c:v>
                </c:pt>
                <c:pt idx="1575">
                  <c:v>297.612</c:v>
                </c:pt>
                <c:pt idx="1576">
                  <c:v>297.7769999999986</c:v>
                </c:pt>
                <c:pt idx="1577">
                  <c:v>297.944</c:v>
                </c:pt>
                <c:pt idx="1578">
                  <c:v>298.112</c:v>
                </c:pt>
                <c:pt idx="1579">
                  <c:v>298.2799999999999</c:v>
                </c:pt>
                <c:pt idx="1580">
                  <c:v>298.449</c:v>
                </c:pt>
                <c:pt idx="1581">
                  <c:v>298.618</c:v>
                </c:pt>
                <c:pt idx="1582">
                  <c:v>298.7859999999989</c:v>
                </c:pt>
                <c:pt idx="1583">
                  <c:v>298.954</c:v>
                </c:pt>
                <c:pt idx="1584">
                  <c:v>299.122</c:v>
                </c:pt>
                <c:pt idx="1585">
                  <c:v>299.2909999999989</c:v>
                </c:pt>
                <c:pt idx="1586">
                  <c:v>299.4599999999999</c:v>
                </c:pt>
                <c:pt idx="1587">
                  <c:v>299.628</c:v>
                </c:pt>
                <c:pt idx="1588">
                  <c:v>299.7929999999996</c:v>
                </c:pt>
                <c:pt idx="1589">
                  <c:v>299.958</c:v>
                </c:pt>
                <c:pt idx="1590">
                  <c:v>300.12</c:v>
                </c:pt>
                <c:pt idx="1591">
                  <c:v>300.2819999999986</c:v>
                </c:pt>
                <c:pt idx="1592">
                  <c:v>300.4429999999999</c:v>
                </c:pt>
                <c:pt idx="1593">
                  <c:v>300.606</c:v>
                </c:pt>
                <c:pt idx="1594">
                  <c:v>300.77</c:v>
                </c:pt>
                <c:pt idx="1595">
                  <c:v>300.937</c:v>
                </c:pt>
                <c:pt idx="1596">
                  <c:v>301.105</c:v>
                </c:pt>
                <c:pt idx="1597">
                  <c:v>301.273</c:v>
                </c:pt>
                <c:pt idx="1598">
                  <c:v>301.4379999999989</c:v>
                </c:pt>
                <c:pt idx="1599">
                  <c:v>301.6019999999999</c:v>
                </c:pt>
                <c:pt idx="1600">
                  <c:v>301.7679999999999</c:v>
                </c:pt>
                <c:pt idx="1601">
                  <c:v>301.934</c:v>
                </c:pt>
                <c:pt idx="1602">
                  <c:v>302.103</c:v>
                </c:pt>
                <c:pt idx="1603">
                  <c:v>302.27</c:v>
                </c:pt>
                <c:pt idx="1604">
                  <c:v>302.437</c:v>
                </c:pt>
                <c:pt idx="1605">
                  <c:v>302.6039999999999</c:v>
                </c:pt>
                <c:pt idx="1606">
                  <c:v>302.769</c:v>
                </c:pt>
                <c:pt idx="1607">
                  <c:v>302.9329999999989</c:v>
                </c:pt>
                <c:pt idx="1608">
                  <c:v>303.0969999999986</c:v>
                </c:pt>
                <c:pt idx="1609">
                  <c:v>303.2579999999999</c:v>
                </c:pt>
                <c:pt idx="1610">
                  <c:v>303.422</c:v>
                </c:pt>
                <c:pt idx="1611">
                  <c:v>303.5849999999999</c:v>
                </c:pt>
                <c:pt idx="1612">
                  <c:v>303.749</c:v>
                </c:pt>
                <c:pt idx="1613">
                  <c:v>303.9139999999989</c:v>
                </c:pt>
                <c:pt idx="1614">
                  <c:v>304.0779999999999</c:v>
                </c:pt>
                <c:pt idx="1615">
                  <c:v>304.243</c:v>
                </c:pt>
                <c:pt idx="1616">
                  <c:v>304.4109999999989</c:v>
                </c:pt>
                <c:pt idx="1617">
                  <c:v>304.58</c:v>
                </c:pt>
                <c:pt idx="1618">
                  <c:v>304.748</c:v>
                </c:pt>
                <c:pt idx="1619">
                  <c:v>304.9159999999989</c:v>
                </c:pt>
                <c:pt idx="1620">
                  <c:v>305.0819999999989</c:v>
                </c:pt>
                <c:pt idx="1621">
                  <c:v>305.247</c:v>
                </c:pt>
                <c:pt idx="1622">
                  <c:v>305.41</c:v>
                </c:pt>
                <c:pt idx="1623">
                  <c:v>305.5729999999999</c:v>
                </c:pt>
                <c:pt idx="1624">
                  <c:v>305.7379999999989</c:v>
                </c:pt>
                <c:pt idx="1625">
                  <c:v>305.9019999999986</c:v>
                </c:pt>
                <c:pt idx="1626">
                  <c:v>306.0659999999999</c:v>
                </c:pt>
                <c:pt idx="1627">
                  <c:v>306.228</c:v>
                </c:pt>
                <c:pt idx="1628">
                  <c:v>306.391</c:v>
                </c:pt>
                <c:pt idx="1629">
                  <c:v>306.5539999999999</c:v>
                </c:pt>
                <c:pt idx="1630">
                  <c:v>306.72</c:v>
                </c:pt>
                <c:pt idx="1631">
                  <c:v>306.886</c:v>
                </c:pt>
                <c:pt idx="1632">
                  <c:v>307.05</c:v>
                </c:pt>
                <c:pt idx="1633">
                  <c:v>307.213</c:v>
                </c:pt>
                <c:pt idx="1634">
                  <c:v>307.373</c:v>
                </c:pt>
                <c:pt idx="1635">
                  <c:v>307.538</c:v>
                </c:pt>
                <c:pt idx="1636">
                  <c:v>307.704</c:v>
                </c:pt>
                <c:pt idx="1637">
                  <c:v>307.87</c:v>
                </c:pt>
                <c:pt idx="1638">
                  <c:v>308.038</c:v>
                </c:pt>
                <c:pt idx="1639">
                  <c:v>308.2029999999999</c:v>
                </c:pt>
                <c:pt idx="1640">
                  <c:v>308.367</c:v>
                </c:pt>
                <c:pt idx="1641">
                  <c:v>308.5319999999986</c:v>
                </c:pt>
                <c:pt idx="1642">
                  <c:v>308.6979999999999</c:v>
                </c:pt>
                <c:pt idx="1643">
                  <c:v>308.866</c:v>
                </c:pt>
                <c:pt idx="1644">
                  <c:v>309.0309999999996</c:v>
                </c:pt>
                <c:pt idx="1645">
                  <c:v>309.196</c:v>
                </c:pt>
                <c:pt idx="1646">
                  <c:v>309.362</c:v>
                </c:pt>
                <c:pt idx="1647">
                  <c:v>309.5319999999986</c:v>
                </c:pt>
                <c:pt idx="1648">
                  <c:v>309.6979999999999</c:v>
                </c:pt>
                <c:pt idx="1649">
                  <c:v>309.862</c:v>
                </c:pt>
                <c:pt idx="1650">
                  <c:v>310.0269999999986</c:v>
                </c:pt>
                <c:pt idx="1651">
                  <c:v>310.192</c:v>
                </c:pt>
                <c:pt idx="1652">
                  <c:v>310.3570000000001</c:v>
                </c:pt>
                <c:pt idx="1653">
                  <c:v>310.523</c:v>
                </c:pt>
                <c:pt idx="1654">
                  <c:v>310.689</c:v>
                </c:pt>
                <c:pt idx="1655">
                  <c:v>310.855</c:v>
                </c:pt>
                <c:pt idx="1656">
                  <c:v>311.019</c:v>
                </c:pt>
                <c:pt idx="1657">
                  <c:v>311.1809999999999</c:v>
                </c:pt>
                <c:pt idx="1658">
                  <c:v>311.3419999999999</c:v>
                </c:pt>
                <c:pt idx="1659">
                  <c:v>311.505</c:v>
                </c:pt>
                <c:pt idx="1660">
                  <c:v>311.668</c:v>
                </c:pt>
                <c:pt idx="1661">
                  <c:v>311.8319999999989</c:v>
                </c:pt>
                <c:pt idx="1662">
                  <c:v>311.9979999999989</c:v>
                </c:pt>
                <c:pt idx="1663">
                  <c:v>312.164</c:v>
                </c:pt>
                <c:pt idx="1664">
                  <c:v>312.331</c:v>
                </c:pt>
                <c:pt idx="1665">
                  <c:v>312.4949999999992</c:v>
                </c:pt>
                <c:pt idx="1666">
                  <c:v>312.6619999999999</c:v>
                </c:pt>
                <c:pt idx="1667">
                  <c:v>312.829</c:v>
                </c:pt>
                <c:pt idx="1668">
                  <c:v>312.997</c:v>
                </c:pt>
                <c:pt idx="1669">
                  <c:v>313.166</c:v>
                </c:pt>
                <c:pt idx="1670">
                  <c:v>313.336</c:v>
                </c:pt>
                <c:pt idx="1671">
                  <c:v>313.5059999999999</c:v>
                </c:pt>
                <c:pt idx="1672">
                  <c:v>313.6739999999999</c:v>
                </c:pt>
                <c:pt idx="1673">
                  <c:v>313.841</c:v>
                </c:pt>
                <c:pt idx="1674">
                  <c:v>314.004</c:v>
                </c:pt>
                <c:pt idx="1675">
                  <c:v>314.165</c:v>
                </c:pt>
                <c:pt idx="1676">
                  <c:v>314.3279999999999</c:v>
                </c:pt>
                <c:pt idx="1677">
                  <c:v>314.49</c:v>
                </c:pt>
                <c:pt idx="1678">
                  <c:v>314.653</c:v>
                </c:pt>
                <c:pt idx="1679">
                  <c:v>314.8179999999999</c:v>
                </c:pt>
                <c:pt idx="1680">
                  <c:v>314.9829999999992</c:v>
                </c:pt>
                <c:pt idx="1681">
                  <c:v>315.149</c:v>
                </c:pt>
                <c:pt idx="1682">
                  <c:v>315.3159999999999</c:v>
                </c:pt>
                <c:pt idx="1683">
                  <c:v>315.4809999999989</c:v>
                </c:pt>
                <c:pt idx="1684">
                  <c:v>315.645</c:v>
                </c:pt>
                <c:pt idx="1685">
                  <c:v>315.8059999999999</c:v>
                </c:pt>
                <c:pt idx="1686">
                  <c:v>315.968</c:v>
                </c:pt>
                <c:pt idx="1687">
                  <c:v>316.132</c:v>
                </c:pt>
                <c:pt idx="1688">
                  <c:v>316.295</c:v>
                </c:pt>
                <c:pt idx="1689">
                  <c:v>316.4599999999999</c:v>
                </c:pt>
                <c:pt idx="1690">
                  <c:v>316.625</c:v>
                </c:pt>
                <c:pt idx="1691">
                  <c:v>316.788</c:v>
                </c:pt>
                <c:pt idx="1692">
                  <c:v>316.949</c:v>
                </c:pt>
                <c:pt idx="1693">
                  <c:v>317.113</c:v>
                </c:pt>
                <c:pt idx="1694">
                  <c:v>317.276</c:v>
                </c:pt>
                <c:pt idx="1695">
                  <c:v>317.44</c:v>
                </c:pt>
                <c:pt idx="1696">
                  <c:v>317.6039999999999</c:v>
                </c:pt>
                <c:pt idx="1697">
                  <c:v>317.766</c:v>
                </c:pt>
                <c:pt idx="1698">
                  <c:v>317.9289999999986</c:v>
                </c:pt>
                <c:pt idx="1699">
                  <c:v>318.091</c:v>
                </c:pt>
                <c:pt idx="1700">
                  <c:v>318.254</c:v>
                </c:pt>
                <c:pt idx="1701">
                  <c:v>318.4189999999986</c:v>
                </c:pt>
                <c:pt idx="1702">
                  <c:v>318.5819999999989</c:v>
                </c:pt>
                <c:pt idx="1703">
                  <c:v>318.747</c:v>
                </c:pt>
                <c:pt idx="1704">
                  <c:v>318.9119999999986</c:v>
                </c:pt>
                <c:pt idx="1705">
                  <c:v>319.079</c:v>
                </c:pt>
                <c:pt idx="1706">
                  <c:v>319.247</c:v>
                </c:pt>
                <c:pt idx="1707">
                  <c:v>319.4139999999989</c:v>
                </c:pt>
                <c:pt idx="1708">
                  <c:v>319.581</c:v>
                </c:pt>
                <c:pt idx="1709">
                  <c:v>319.7440000000001</c:v>
                </c:pt>
                <c:pt idx="1710">
                  <c:v>319.9049999999999</c:v>
                </c:pt>
                <c:pt idx="1711">
                  <c:v>320.0659999999999</c:v>
                </c:pt>
                <c:pt idx="1712">
                  <c:v>320.23</c:v>
                </c:pt>
                <c:pt idx="1713">
                  <c:v>320.392</c:v>
                </c:pt>
                <c:pt idx="1714">
                  <c:v>320.5539999999999</c:v>
                </c:pt>
                <c:pt idx="1715">
                  <c:v>320.7149999999999</c:v>
                </c:pt>
                <c:pt idx="1716">
                  <c:v>320.875</c:v>
                </c:pt>
                <c:pt idx="1717">
                  <c:v>321.035</c:v>
                </c:pt>
                <c:pt idx="1718">
                  <c:v>321.197</c:v>
                </c:pt>
                <c:pt idx="1719">
                  <c:v>321.3589999999999</c:v>
                </c:pt>
                <c:pt idx="1720">
                  <c:v>321.519</c:v>
                </c:pt>
                <c:pt idx="1721">
                  <c:v>321.677</c:v>
                </c:pt>
                <c:pt idx="1722">
                  <c:v>321.8349999999999</c:v>
                </c:pt>
                <c:pt idx="1723">
                  <c:v>321.9949999999992</c:v>
                </c:pt>
                <c:pt idx="1724">
                  <c:v>322.154</c:v>
                </c:pt>
                <c:pt idx="1725">
                  <c:v>322.3159999999999</c:v>
                </c:pt>
                <c:pt idx="1726">
                  <c:v>322.4789999999986</c:v>
                </c:pt>
                <c:pt idx="1727">
                  <c:v>322.642</c:v>
                </c:pt>
                <c:pt idx="1728">
                  <c:v>322.803</c:v>
                </c:pt>
                <c:pt idx="1729">
                  <c:v>322.9649999999999</c:v>
                </c:pt>
                <c:pt idx="1730">
                  <c:v>323.1259999999999</c:v>
                </c:pt>
                <c:pt idx="1731">
                  <c:v>323.285</c:v>
                </c:pt>
                <c:pt idx="1732">
                  <c:v>323.445</c:v>
                </c:pt>
                <c:pt idx="1733">
                  <c:v>323.605</c:v>
                </c:pt>
                <c:pt idx="1734">
                  <c:v>323.766</c:v>
                </c:pt>
                <c:pt idx="1735">
                  <c:v>323.9279999999989</c:v>
                </c:pt>
                <c:pt idx="1736">
                  <c:v>324.089</c:v>
                </c:pt>
                <c:pt idx="1737">
                  <c:v>324.25</c:v>
                </c:pt>
                <c:pt idx="1738">
                  <c:v>324.413</c:v>
                </c:pt>
                <c:pt idx="1739">
                  <c:v>324.574</c:v>
                </c:pt>
                <c:pt idx="1740">
                  <c:v>324.735</c:v>
                </c:pt>
                <c:pt idx="1741">
                  <c:v>324.8949999999999</c:v>
                </c:pt>
                <c:pt idx="1742">
                  <c:v>325.0539999999999</c:v>
                </c:pt>
                <c:pt idx="1743">
                  <c:v>325.213</c:v>
                </c:pt>
                <c:pt idx="1744">
                  <c:v>325.374</c:v>
                </c:pt>
                <c:pt idx="1745">
                  <c:v>325.533</c:v>
                </c:pt>
                <c:pt idx="1746">
                  <c:v>325.692</c:v>
                </c:pt>
                <c:pt idx="1747">
                  <c:v>325.851</c:v>
                </c:pt>
                <c:pt idx="1748">
                  <c:v>326.012</c:v>
                </c:pt>
                <c:pt idx="1749">
                  <c:v>326.173</c:v>
                </c:pt>
                <c:pt idx="1750">
                  <c:v>326.334</c:v>
                </c:pt>
                <c:pt idx="1751">
                  <c:v>326.4959999999986</c:v>
                </c:pt>
                <c:pt idx="1752">
                  <c:v>326.655</c:v>
                </c:pt>
                <c:pt idx="1753">
                  <c:v>326.8159999999999</c:v>
                </c:pt>
                <c:pt idx="1754">
                  <c:v>326.9769999999986</c:v>
                </c:pt>
                <c:pt idx="1755">
                  <c:v>327.137</c:v>
                </c:pt>
                <c:pt idx="1756">
                  <c:v>327.297</c:v>
                </c:pt>
                <c:pt idx="1757">
                  <c:v>327.4569999999989</c:v>
                </c:pt>
                <c:pt idx="1758">
                  <c:v>327.618</c:v>
                </c:pt>
                <c:pt idx="1759">
                  <c:v>327.776</c:v>
                </c:pt>
                <c:pt idx="1760">
                  <c:v>327.934</c:v>
                </c:pt>
                <c:pt idx="1761">
                  <c:v>328.095</c:v>
                </c:pt>
                <c:pt idx="1762">
                  <c:v>328.255</c:v>
                </c:pt>
                <c:pt idx="1763">
                  <c:v>328.4139999999989</c:v>
                </c:pt>
                <c:pt idx="1764">
                  <c:v>328.574</c:v>
                </c:pt>
                <c:pt idx="1765">
                  <c:v>328.732</c:v>
                </c:pt>
                <c:pt idx="1766">
                  <c:v>328.89</c:v>
                </c:pt>
                <c:pt idx="1767">
                  <c:v>329.046</c:v>
                </c:pt>
                <c:pt idx="1768">
                  <c:v>329.2049999999999</c:v>
                </c:pt>
                <c:pt idx="1769">
                  <c:v>329.365</c:v>
                </c:pt>
                <c:pt idx="1770">
                  <c:v>329.523</c:v>
                </c:pt>
                <c:pt idx="1771">
                  <c:v>329.6840000000001</c:v>
                </c:pt>
                <c:pt idx="1772">
                  <c:v>329.8419999999999</c:v>
                </c:pt>
                <c:pt idx="1773">
                  <c:v>329.9959999999986</c:v>
                </c:pt>
                <c:pt idx="1774">
                  <c:v>330.154</c:v>
                </c:pt>
                <c:pt idx="1775">
                  <c:v>330.314</c:v>
                </c:pt>
                <c:pt idx="1776">
                  <c:v>330.4739999999989</c:v>
                </c:pt>
                <c:pt idx="1777">
                  <c:v>330.6329999999999</c:v>
                </c:pt>
                <c:pt idx="1778">
                  <c:v>330.79</c:v>
                </c:pt>
                <c:pt idx="1779">
                  <c:v>330.95</c:v>
                </c:pt>
                <c:pt idx="1780">
                  <c:v>331.11</c:v>
                </c:pt>
                <c:pt idx="1781">
                  <c:v>331.271</c:v>
                </c:pt>
                <c:pt idx="1782">
                  <c:v>331.432</c:v>
                </c:pt>
                <c:pt idx="1783">
                  <c:v>331.5919999999986</c:v>
                </c:pt>
                <c:pt idx="1784">
                  <c:v>331.753</c:v>
                </c:pt>
                <c:pt idx="1785">
                  <c:v>331.9139999999989</c:v>
                </c:pt>
                <c:pt idx="1786">
                  <c:v>332.075</c:v>
                </c:pt>
                <c:pt idx="1787">
                  <c:v>332.2359999999989</c:v>
                </c:pt>
                <c:pt idx="1788">
                  <c:v>332.398</c:v>
                </c:pt>
                <c:pt idx="1789">
                  <c:v>332.5590000000001</c:v>
                </c:pt>
                <c:pt idx="1790">
                  <c:v>332.7219999999986</c:v>
                </c:pt>
                <c:pt idx="1791">
                  <c:v>332.886</c:v>
                </c:pt>
                <c:pt idx="1792">
                  <c:v>333.051</c:v>
                </c:pt>
                <c:pt idx="1793">
                  <c:v>333.2119999999989</c:v>
                </c:pt>
                <c:pt idx="1794">
                  <c:v>333.372</c:v>
                </c:pt>
                <c:pt idx="1795">
                  <c:v>333.533</c:v>
                </c:pt>
                <c:pt idx="1796">
                  <c:v>333.694</c:v>
                </c:pt>
                <c:pt idx="1797">
                  <c:v>333.8570000000001</c:v>
                </c:pt>
                <c:pt idx="1798">
                  <c:v>334.021</c:v>
                </c:pt>
                <c:pt idx="1799">
                  <c:v>334.1859999999999</c:v>
                </c:pt>
                <c:pt idx="1800">
                  <c:v>334.349</c:v>
                </c:pt>
                <c:pt idx="1801">
                  <c:v>334.511</c:v>
                </c:pt>
                <c:pt idx="1802">
                  <c:v>334.675</c:v>
                </c:pt>
                <c:pt idx="1803">
                  <c:v>334.84</c:v>
                </c:pt>
                <c:pt idx="1804">
                  <c:v>335.0009999999999</c:v>
                </c:pt>
                <c:pt idx="1805">
                  <c:v>335.164</c:v>
                </c:pt>
                <c:pt idx="1806">
                  <c:v>335.326</c:v>
                </c:pt>
                <c:pt idx="1807">
                  <c:v>335.4889999999986</c:v>
                </c:pt>
                <c:pt idx="1808">
                  <c:v>335.651</c:v>
                </c:pt>
                <c:pt idx="1809">
                  <c:v>335.813</c:v>
                </c:pt>
                <c:pt idx="1810">
                  <c:v>335.9769999999986</c:v>
                </c:pt>
                <c:pt idx="1811">
                  <c:v>336.141</c:v>
                </c:pt>
                <c:pt idx="1812">
                  <c:v>336.3039999999999</c:v>
                </c:pt>
                <c:pt idx="1813">
                  <c:v>336.4669999999986</c:v>
                </c:pt>
                <c:pt idx="1814">
                  <c:v>336.63</c:v>
                </c:pt>
                <c:pt idx="1815">
                  <c:v>336.7909999999989</c:v>
                </c:pt>
                <c:pt idx="1816">
                  <c:v>336.954</c:v>
                </c:pt>
                <c:pt idx="1817">
                  <c:v>337.117</c:v>
                </c:pt>
                <c:pt idx="1818">
                  <c:v>337.28</c:v>
                </c:pt>
                <c:pt idx="1819">
                  <c:v>337.4429999999999</c:v>
                </c:pt>
                <c:pt idx="1820">
                  <c:v>337.608</c:v>
                </c:pt>
                <c:pt idx="1821">
                  <c:v>337.77</c:v>
                </c:pt>
                <c:pt idx="1822">
                  <c:v>337.9309999999986</c:v>
                </c:pt>
                <c:pt idx="1823">
                  <c:v>338.093</c:v>
                </c:pt>
                <c:pt idx="1824">
                  <c:v>338.2559999999999</c:v>
                </c:pt>
                <c:pt idx="1825">
                  <c:v>338.4179999999996</c:v>
                </c:pt>
                <c:pt idx="1826">
                  <c:v>338.5779999999999</c:v>
                </c:pt>
                <c:pt idx="1827">
                  <c:v>338.7379999999989</c:v>
                </c:pt>
                <c:pt idx="1828">
                  <c:v>338.898</c:v>
                </c:pt>
                <c:pt idx="1829">
                  <c:v>339.0590000000001</c:v>
                </c:pt>
                <c:pt idx="1830">
                  <c:v>339.2219999999986</c:v>
                </c:pt>
                <c:pt idx="1831">
                  <c:v>339.384</c:v>
                </c:pt>
                <c:pt idx="1832">
                  <c:v>339.546</c:v>
                </c:pt>
                <c:pt idx="1833">
                  <c:v>339.71</c:v>
                </c:pt>
                <c:pt idx="1834">
                  <c:v>339.874</c:v>
                </c:pt>
                <c:pt idx="1835">
                  <c:v>340.0369999999986</c:v>
                </c:pt>
                <c:pt idx="1836">
                  <c:v>340.199</c:v>
                </c:pt>
                <c:pt idx="1837">
                  <c:v>340.362</c:v>
                </c:pt>
                <c:pt idx="1838">
                  <c:v>340.523</c:v>
                </c:pt>
                <c:pt idx="1839">
                  <c:v>340.685</c:v>
                </c:pt>
                <c:pt idx="1840">
                  <c:v>340.848</c:v>
                </c:pt>
                <c:pt idx="1841">
                  <c:v>341.0129999999999</c:v>
                </c:pt>
                <c:pt idx="1842">
                  <c:v>341.177</c:v>
                </c:pt>
                <c:pt idx="1843">
                  <c:v>341.341</c:v>
                </c:pt>
                <c:pt idx="1844">
                  <c:v>341.504</c:v>
                </c:pt>
                <c:pt idx="1845">
                  <c:v>341.666</c:v>
                </c:pt>
                <c:pt idx="1846">
                  <c:v>341.8279999999999</c:v>
                </c:pt>
                <c:pt idx="1847">
                  <c:v>341.99</c:v>
                </c:pt>
                <c:pt idx="1848">
                  <c:v>342.15</c:v>
                </c:pt>
                <c:pt idx="1849">
                  <c:v>342.313</c:v>
                </c:pt>
                <c:pt idx="1850">
                  <c:v>342.4769999999986</c:v>
                </c:pt>
                <c:pt idx="1851">
                  <c:v>342.637</c:v>
                </c:pt>
                <c:pt idx="1852">
                  <c:v>342.797</c:v>
                </c:pt>
                <c:pt idx="1853">
                  <c:v>342.958</c:v>
                </c:pt>
                <c:pt idx="1854">
                  <c:v>343.12</c:v>
                </c:pt>
                <c:pt idx="1855">
                  <c:v>343.28</c:v>
                </c:pt>
                <c:pt idx="1856">
                  <c:v>343.44</c:v>
                </c:pt>
                <c:pt idx="1857">
                  <c:v>343.603</c:v>
                </c:pt>
                <c:pt idx="1858">
                  <c:v>343.767</c:v>
                </c:pt>
                <c:pt idx="1859">
                  <c:v>343.9289999999986</c:v>
                </c:pt>
                <c:pt idx="1860">
                  <c:v>344.093</c:v>
                </c:pt>
                <c:pt idx="1861">
                  <c:v>344.255</c:v>
                </c:pt>
                <c:pt idx="1862">
                  <c:v>344.4169999999986</c:v>
                </c:pt>
                <c:pt idx="1863">
                  <c:v>344.5819999999989</c:v>
                </c:pt>
                <c:pt idx="1864">
                  <c:v>344.745</c:v>
                </c:pt>
                <c:pt idx="1865">
                  <c:v>344.9089999999989</c:v>
                </c:pt>
                <c:pt idx="1866">
                  <c:v>345.075</c:v>
                </c:pt>
                <c:pt idx="1867">
                  <c:v>345.24</c:v>
                </c:pt>
                <c:pt idx="1868">
                  <c:v>345.403</c:v>
                </c:pt>
                <c:pt idx="1869">
                  <c:v>345.5659999999999</c:v>
                </c:pt>
                <c:pt idx="1870">
                  <c:v>345.7269999999986</c:v>
                </c:pt>
                <c:pt idx="1871">
                  <c:v>345.886</c:v>
                </c:pt>
                <c:pt idx="1872">
                  <c:v>346.048</c:v>
                </c:pt>
                <c:pt idx="1873">
                  <c:v>346.211</c:v>
                </c:pt>
                <c:pt idx="1874">
                  <c:v>346.374</c:v>
                </c:pt>
                <c:pt idx="1875">
                  <c:v>346.5369999999986</c:v>
                </c:pt>
                <c:pt idx="1876">
                  <c:v>346.701</c:v>
                </c:pt>
                <c:pt idx="1877">
                  <c:v>346.862</c:v>
                </c:pt>
                <c:pt idx="1878">
                  <c:v>347.0219999999989</c:v>
                </c:pt>
                <c:pt idx="1879">
                  <c:v>347.1840000000001</c:v>
                </c:pt>
                <c:pt idx="1880">
                  <c:v>347.3450000000001</c:v>
                </c:pt>
                <c:pt idx="1881">
                  <c:v>347.507</c:v>
                </c:pt>
                <c:pt idx="1882">
                  <c:v>347.671</c:v>
                </c:pt>
                <c:pt idx="1883">
                  <c:v>347.834</c:v>
                </c:pt>
                <c:pt idx="1884">
                  <c:v>347.997</c:v>
                </c:pt>
                <c:pt idx="1885">
                  <c:v>348.16</c:v>
                </c:pt>
                <c:pt idx="1886">
                  <c:v>348.3229999999999</c:v>
                </c:pt>
                <c:pt idx="1887">
                  <c:v>348.4829999999992</c:v>
                </c:pt>
                <c:pt idx="1888">
                  <c:v>348.644</c:v>
                </c:pt>
                <c:pt idx="1889">
                  <c:v>348.808</c:v>
                </c:pt>
                <c:pt idx="1890">
                  <c:v>348.9719999999986</c:v>
                </c:pt>
                <c:pt idx="1891">
                  <c:v>349.135</c:v>
                </c:pt>
                <c:pt idx="1892">
                  <c:v>349.2989999999986</c:v>
                </c:pt>
                <c:pt idx="1893">
                  <c:v>349.461</c:v>
                </c:pt>
                <c:pt idx="1894">
                  <c:v>349.623</c:v>
                </c:pt>
                <c:pt idx="1895">
                  <c:v>349.7859999999989</c:v>
                </c:pt>
                <c:pt idx="1896">
                  <c:v>349.95</c:v>
                </c:pt>
                <c:pt idx="1897">
                  <c:v>350.113</c:v>
                </c:pt>
                <c:pt idx="1898">
                  <c:v>350.2769999999986</c:v>
                </c:pt>
                <c:pt idx="1899">
                  <c:v>350.4409999999999</c:v>
                </c:pt>
                <c:pt idx="1900">
                  <c:v>350.601</c:v>
                </c:pt>
                <c:pt idx="1901">
                  <c:v>350.762</c:v>
                </c:pt>
                <c:pt idx="1902">
                  <c:v>350.9229999999989</c:v>
                </c:pt>
                <c:pt idx="1903">
                  <c:v>351.083</c:v>
                </c:pt>
                <c:pt idx="1904">
                  <c:v>351.2440000000001</c:v>
                </c:pt>
                <c:pt idx="1905">
                  <c:v>351.4049999999999</c:v>
                </c:pt>
                <c:pt idx="1906">
                  <c:v>351.565</c:v>
                </c:pt>
                <c:pt idx="1907">
                  <c:v>351.7259999999989</c:v>
                </c:pt>
                <c:pt idx="1908">
                  <c:v>351.887</c:v>
                </c:pt>
                <c:pt idx="1909">
                  <c:v>352.051</c:v>
                </c:pt>
                <c:pt idx="1910">
                  <c:v>352.211</c:v>
                </c:pt>
                <c:pt idx="1911">
                  <c:v>352.3709999999999</c:v>
                </c:pt>
                <c:pt idx="1912">
                  <c:v>352.529</c:v>
                </c:pt>
                <c:pt idx="1913">
                  <c:v>352.69</c:v>
                </c:pt>
                <c:pt idx="1914">
                  <c:v>352.85</c:v>
                </c:pt>
                <c:pt idx="1915">
                  <c:v>353.01</c:v>
                </c:pt>
                <c:pt idx="1916">
                  <c:v>353.17</c:v>
                </c:pt>
                <c:pt idx="1917">
                  <c:v>353.329</c:v>
                </c:pt>
                <c:pt idx="1918">
                  <c:v>353.492</c:v>
                </c:pt>
                <c:pt idx="1919">
                  <c:v>353.652</c:v>
                </c:pt>
                <c:pt idx="1920">
                  <c:v>353.813</c:v>
                </c:pt>
                <c:pt idx="1921">
                  <c:v>353.9739999999989</c:v>
                </c:pt>
                <c:pt idx="1922">
                  <c:v>354.136</c:v>
                </c:pt>
                <c:pt idx="1923">
                  <c:v>354.2959999999989</c:v>
                </c:pt>
                <c:pt idx="1924">
                  <c:v>354.4569999999989</c:v>
                </c:pt>
                <c:pt idx="1925">
                  <c:v>354.6190000000001</c:v>
                </c:pt>
                <c:pt idx="1926">
                  <c:v>354.78</c:v>
                </c:pt>
                <c:pt idx="1927">
                  <c:v>354.944</c:v>
                </c:pt>
                <c:pt idx="1928">
                  <c:v>355.1070000000001</c:v>
                </c:pt>
                <c:pt idx="1929">
                  <c:v>355.27</c:v>
                </c:pt>
                <c:pt idx="1930">
                  <c:v>355.4309999999986</c:v>
                </c:pt>
                <c:pt idx="1931">
                  <c:v>355.595</c:v>
                </c:pt>
                <c:pt idx="1932">
                  <c:v>355.7559999999999</c:v>
                </c:pt>
                <c:pt idx="1933">
                  <c:v>355.9159999999989</c:v>
                </c:pt>
                <c:pt idx="1934">
                  <c:v>356.077</c:v>
                </c:pt>
                <c:pt idx="1935">
                  <c:v>356.2379999999989</c:v>
                </c:pt>
                <c:pt idx="1936">
                  <c:v>356.4019999999986</c:v>
                </c:pt>
                <c:pt idx="1937">
                  <c:v>356.564</c:v>
                </c:pt>
                <c:pt idx="1938">
                  <c:v>356.7239999999989</c:v>
                </c:pt>
                <c:pt idx="1939">
                  <c:v>356.88</c:v>
                </c:pt>
                <c:pt idx="1940">
                  <c:v>357.038</c:v>
                </c:pt>
                <c:pt idx="1941">
                  <c:v>357.1979999999999</c:v>
                </c:pt>
                <c:pt idx="1942">
                  <c:v>357.358</c:v>
                </c:pt>
                <c:pt idx="1943">
                  <c:v>357.517</c:v>
                </c:pt>
                <c:pt idx="1944">
                  <c:v>357.676</c:v>
                </c:pt>
                <c:pt idx="1945">
                  <c:v>357.836</c:v>
                </c:pt>
                <c:pt idx="1946">
                  <c:v>357.997</c:v>
                </c:pt>
                <c:pt idx="1947">
                  <c:v>358.156</c:v>
                </c:pt>
                <c:pt idx="1948">
                  <c:v>358.314</c:v>
                </c:pt>
                <c:pt idx="1949">
                  <c:v>358.473</c:v>
                </c:pt>
                <c:pt idx="1950">
                  <c:v>358.6329999999999</c:v>
                </c:pt>
                <c:pt idx="1951">
                  <c:v>358.7959999999989</c:v>
                </c:pt>
                <c:pt idx="1952">
                  <c:v>358.958</c:v>
                </c:pt>
                <c:pt idx="1953">
                  <c:v>359.122</c:v>
                </c:pt>
                <c:pt idx="1954">
                  <c:v>359.283</c:v>
                </c:pt>
                <c:pt idx="1955">
                  <c:v>359.445</c:v>
                </c:pt>
                <c:pt idx="1956">
                  <c:v>359.606</c:v>
                </c:pt>
                <c:pt idx="1957">
                  <c:v>359.7679999999999</c:v>
                </c:pt>
                <c:pt idx="1958">
                  <c:v>359.9309999999986</c:v>
                </c:pt>
                <c:pt idx="1959">
                  <c:v>360.09</c:v>
                </c:pt>
                <c:pt idx="1960">
                  <c:v>360.25</c:v>
                </c:pt>
                <c:pt idx="1961">
                  <c:v>360.4069999999986</c:v>
                </c:pt>
                <c:pt idx="1962">
                  <c:v>360.567</c:v>
                </c:pt>
                <c:pt idx="1963">
                  <c:v>360.725</c:v>
                </c:pt>
                <c:pt idx="1964">
                  <c:v>360.8879999999999</c:v>
                </c:pt>
                <c:pt idx="1965">
                  <c:v>361.051</c:v>
                </c:pt>
                <c:pt idx="1966">
                  <c:v>361.2149999999999</c:v>
                </c:pt>
                <c:pt idx="1967">
                  <c:v>361.378</c:v>
                </c:pt>
                <c:pt idx="1968">
                  <c:v>361.5439999999999</c:v>
                </c:pt>
                <c:pt idx="1969">
                  <c:v>361.706</c:v>
                </c:pt>
                <c:pt idx="1970">
                  <c:v>361.868</c:v>
                </c:pt>
                <c:pt idx="1971">
                  <c:v>362.029</c:v>
                </c:pt>
                <c:pt idx="1972">
                  <c:v>362.194</c:v>
                </c:pt>
                <c:pt idx="1973">
                  <c:v>362.358</c:v>
                </c:pt>
                <c:pt idx="1974">
                  <c:v>362.52</c:v>
                </c:pt>
                <c:pt idx="1975">
                  <c:v>362.683</c:v>
                </c:pt>
                <c:pt idx="1976">
                  <c:v>362.844</c:v>
                </c:pt>
                <c:pt idx="1977">
                  <c:v>363.0059999999999</c:v>
                </c:pt>
                <c:pt idx="1978">
                  <c:v>363.168</c:v>
                </c:pt>
                <c:pt idx="1979">
                  <c:v>363.333</c:v>
                </c:pt>
                <c:pt idx="1980">
                  <c:v>363.497</c:v>
                </c:pt>
                <c:pt idx="1981">
                  <c:v>363.66</c:v>
                </c:pt>
                <c:pt idx="1982">
                  <c:v>363.824</c:v>
                </c:pt>
                <c:pt idx="1983">
                  <c:v>363.985</c:v>
                </c:pt>
                <c:pt idx="1984">
                  <c:v>364.146</c:v>
                </c:pt>
                <c:pt idx="1985">
                  <c:v>364.3059999999999</c:v>
                </c:pt>
                <c:pt idx="1986">
                  <c:v>364.4669999999986</c:v>
                </c:pt>
                <c:pt idx="1987">
                  <c:v>364.627</c:v>
                </c:pt>
                <c:pt idx="1988">
                  <c:v>364.7869999999986</c:v>
                </c:pt>
                <c:pt idx="1989">
                  <c:v>364.94</c:v>
                </c:pt>
                <c:pt idx="1990">
                  <c:v>365.0959999999992</c:v>
                </c:pt>
                <c:pt idx="1991">
                  <c:v>365.2559999999999</c:v>
                </c:pt>
                <c:pt idx="1992">
                  <c:v>365.4169999999986</c:v>
                </c:pt>
                <c:pt idx="1993">
                  <c:v>365.579</c:v>
                </c:pt>
                <c:pt idx="1994">
                  <c:v>365.742</c:v>
                </c:pt>
                <c:pt idx="1995">
                  <c:v>365.903</c:v>
                </c:pt>
                <c:pt idx="1996">
                  <c:v>366.064</c:v>
                </c:pt>
                <c:pt idx="1997">
                  <c:v>366.225</c:v>
                </c:pt>
                <c:pt idx="1998">
                  <c:v>366.39</c:v>
                </c:pt>
                <c:pt idx="1999">
                  <c:v>366.558</c:v>
                </c:pt>
                <c:pt idx="2000">
                  <c:v>366.725</c:v>
                </c:pt>
                <c:pt idx="2001">
                  <c:v>366.891</c:v>
                </c:pt>
                <c:pt idx="2002">
                  <c:v>367.058</c:v>
                </c:pt>
                <c:pt idx="2003">
                  <c:v>367.225</c:v>
                </c:pt>
                <c:pt idx="2004">
                  <c:v>367.385</c:v>
                </c:pt>
                <c:pt idx="2005">
                  <c:v>367.548</c:v>
                </c:pt>
                <c:pt idx="2006">
                  <c:v>367.714</c:v>
                </c:pt>
                <c:pt idx="2007">
                  <c:v>367.88</c:v>
                </c:pt>
                <c:pt idx="2008">
                  <c:v>368.046</c:v>
                </c:pt>
                <c:pt idx="2009">
                  <c:v>368.21</c:v>
                </c:pt>
                <c:pt idx="2010">
                  <c:v>368.373</c:v>
                </c:pt>
                <c:pt idx="2011">
                  <c:v>368.535</c:v>
                </c:pt>
                <c:pt idx="2012">
                  <c:v>368.7</c:v>
                </c:pt>
                <c:pt idx="2013">
                  <c:v>368.866</c:v>
                </c:pt>
                <c:pt idx="2014">
                  <c:v>369.0309999999996</c:v>
                </c:pt>
                <c:pt idx="2015">
                  <c:v>369.194</c:v>
                </c:pt>
                <c:pt idx="2016">
                  <c:v>369.3570000000001</c:v>
                </c:pt>
                <c:pt idx="2017">
                  <c:v>369.519</c:v>
                </c:pt>
                <c:pt idx="2018">
                  <c:v>369.68</c:v>
                </c:pt>
                <c:pt idx="2019">
                  <c:v>369.843</c:v>
                </c:pt>
                <c:pt idx="2020">
                  <c:v>370.005</c:v>
                </c:pt>
                <c:pt idx="2021">
                  <c:v>370.166</c:v>
                </c:pt>
                <c:pt idx="2022">
                  <c:v>370.329</c:v>
                </c:pt>
                <c:pt idx="2023">
                  <c:v>370.4909999999986</c:v>
                </c:pt>
                <c:pt idx="2024">
                  <c:v>370.652</c:v>
                </c:pt>
                <c:pt idx="2025">
                  <c:v>370.8159999999999</c:v>
                </c:pt>
                <c:pt idx="2026">
                  <c:v>370.9789999999986</c:v>
                </c:pt>
                <c:pt idx="2027">
                  <c:v>371.141</c:v>
                </c:pt>
                <c:pt idx="2028">
                  <c:v>371.3039999999999</c:v>
                </c:pt>
                <c:pt idx="2029">
                  <c:v>371.4669999999986</c:v>
                </c:pt>
                <c:pt idx="2030">
                  <c:v>371.6309999999999</c:v>
                </c:pt>
                <c:pt idx="2031">
                  <c:v>371.7939999999986</c:v>
                </c:pt>
                <c:pt idx="2032">
                  <c:v>371.9549999999999</c:v>
                </c:pt>
                <c:pt idx="2033">
                  <c:v>372.117</c:v>
                </c:pt>
                <c:pt idx="2034">
                  <c:v>372.28</c:v>
                </c:pt>
                <c:pt idx="2035">
                  <c:v>372.444</c:v>
                </c:pt>
                <c:pt idx="2036">
                  <c:v>372.6089999999999</c:v>
                </c:pt>
                <c:pt idx="2037">
                  <c:v>372.7719999999989</c:v>
                </c:pt>
                <c:pt idx="2038">
                  <c:v>372.9359999999986</c:v>
                </c:pt>
                <c:pt idx="2039">
                  <c:v>373.0989999999989</c:v>
                </c:pt>
                <c:pt idx="2040">
                  <c:v>373.261</c:v>
                </c:pt>
                <c:pt idx="2041">
                  <c:v>373.4229999999989</c:v>
                </c:pt>
                <c:pt idx="2042">
                  <c:v>373.581</c:v>
                </c:pt>
                <c:pt idx="2043">
                  <c:v>373.74</c:v>
                </c:pt>
                <c:pt idx="2044">
                  <c:v>373.903</c:v>
                </c:pt>
                <c:pt idx="2045">
                  <c:v>374.064</c:v>
                </c:pt>
                <c:pt idx="2046">
                  <c:v>374.2269999999986</c:v>
                </c:pt>
                <c:pt idx="2047">
                  <c:v>374.39</c:v>
                </c:pt>
                <c:pt idx="2048">
                  <c:v>374.5559999999999</c:v>
                </c:pt>
                <c:pt idx="2049">
                  <c:v>374.7219999999986</c:v>
                </c:pt>
                <c:pt idx="2050">
                  <c:v>374.886</c:v>
                </c:pt>
                <c:pt idx="2051">
                  <c:v>375.05</c:v>
                </c:pt>
                <c:pt idx="2052">
                  <c:v>375.216</c:v>
                </c:pt>
                <c:pt idx="2053">
                  <c:v>375.3809999999999</c:v>
                </c:pt>
                <c:pt idx="2054">
                  <c:v>375.545</c:v>
                </c:pt>
                <c:pt idx="2055">
                  <c:v>375.71</c:v>
                </c:pt>
                <c:pt idx="2056">
                  <c:v>375.875</c:v>
                </c:pt>
                <c:pt idx="2057">
                  <c:v>376.041</c:v>
                </c:pt>
                <c:pt idx="2058">
                  <c:v>376.204</c:v>
                </c:pt>
                <c:pt idx="2059">
                  <c:v>376.37</c:v>
                </c:pt>
                <c:pt idx="2060">
                  <c:v>376.5369999999986</c:v>
                </c:pt>
                <c:pt idx="2061">
                  <c:v>376.7029999999999</c:v>
                </c:pt>
                <c:pt idx="2062">
                  <c:v>376.867</c:v>
                </c:pt>
                <c:pt idx="2063">
                  <c:v>377.0309999999996</c:v>
                </c:pt>
                <c:pt idx="2064">
                  <c:v>377.1979999999999</c:v>
                </c:pt>
                <c:pt idx="2065">
                  <c:v>377.366</c:v>
                </c:pt>
                <c:pt idx="2066">
                  <c:v>377.5309999999996</c:v>
                </c:pt>
                <c:pt idx="2067">
                  <c:v>377.695</c:v>
                </c:pt>
                <c:pt idx="2068">
                  <c:v>377.861</c:v>
                </c:pt>
                <c:pt idx="2069">
                  <c:v>378.026</c:v>
                </c:pt>
                <c:pt idx="2070">
                  <c:v>378.19</c:v>
                </c:pt>
                <c:pt idx="2071">
                  <c:v>378.3539999999999</c:v>
                </c:pt>
                <c:pt idx="2072">
                  <c:v>378.516</c:v>
                </c:pt>
                <c:pt idx="2073">
                  <c:v>378.6809999999999</c:v>
                </c:pt>
                <c:pt idx="2074">
                  <c:v>378.849</c:v>
                </c:pt>
                <c:pt idx="2075">
                  <c:v>379.016</c:v>
                </c:pt>
                <c:pt idx="2076">
                  <c:v>379.1809999999999</c:v>
                </c:pt>
                <c:pt idx="2077">
                  <c:v>379.3450000000001</c:v>
                </c:pt>
                <c:pt idx="2078">
                  <c:v>379.507</c:v>
                </c:pt>
                <c:pt idx="2079">
                  <c:v>379.67</c:v>
                </c:pt>
                <c:pt idx="2080">
                  <c:v>379.83</c:v>
                </c:pt>
                <c:pt idx="2081">
                  <c:v>379.9949999999992</c:v>
                </c:pt>
                <c:pt idx="2082">
                  <c:v>380.16</c:v>
                </c:pt>
                <c:pt idx="2083">
                  <c:v>380.324</c:v>
                </c:pt>
                <c:pt idx="2084">
                  <c:v>380.4879999999989</c:v>
                </c:pt>
                <c:pt idx="2085">
                  <c:v>380.654</c:v>
                </c:pt>
                <c:pt idx="2086">
                  <c:v>380.82</c:v>
                </c:pt>
                <c:pt idx="2087">
                  <c:v>380.9859999999989</c:v>
                </c:pt>
                <c:pt idx="2088">
                  <c:v>381.152</c:v>
                </c:pt>
                <c:pt idx="2089">
                  <c:v>381.3159999999999</c:v>
                </c:pt>
                <c:pt idx="2090">
                  <c:v>381.482</c:v>
                </c:pt>
                <c:pt idx="2091">
                  <c:v>381.649</c:v>
                </c:pt>
                <c:pt idx="2092">
                  <c:v>381.8159999999999</c:v>
                </c:pt>
                <c:pt idx="2093">
                  <c:v>381.9829999999992</c:v>
                </c:pt>
                <c:pt idx="2094">
                  <c:v>382.15</c:v>
                </c:pt>
                <c:pt idx="2095">
                  <c:v>382.3179999999999</c:v>
                </c:pt>
                <c:pt idx="2096">
                  <c:v>382.4839999999986</c:v>
                </c:pt>
                <c:pt idx="2097">
                  <c:v>382.653</c:v>
                </c:pt>
                <c:pt idx="2098">
                  <c:v>382.821</c:v>
                </c:pt>
                <c:pt idx="2099">
                  <c:v>382.987</c:v>
                </c:pt>
                <c:pt idx="2100">
                  <c:v>383.152</c:v>
                </c:pt>
                <c:pt idx="2101">
                  <c:v>383.32</c:v>
                </c:pt>
                <c:pt idx="2102">
                  <c:v>383.4879999999989</c:v>
                </c:pt>
                <c:pt idx="2103">
                  <c:v>383.655</c:v>
                </c:pt>
                <c:pt idx="2104">
                  <c:v>383.822</c:v>
                </c:pt>
                <c:pt idx="2105">
                  <c:v>383.99</c:v>
                </c:pt>
                <c:pt idx="2106">
                  <c:v>384.1569999999999</c:v>
                </c:pt>
                <c:pt idx="2107">
                  <c:v>384.324</c:v>
                </c:pt>
                <c:pt idx="2108">
                  <c:v>384.4879999999989</c:v>
                </c:pt>
                <c:pt idx="2109">
                  <c:v>384.655</c:v>
                </c:pt>
                <c:pt idx="2110">
                  <c:v>384.821</c:v>
                </c:pt>
                <c:pt idx="2111">
                  <c:v>384.9839999999986</c:v>
                </c:pt>
                <c:pt idx="2112">
                  <c:v>385.148</c:v>
                </c:pt>
                <c:pt idx="2113">
                  <c:v>385.313</c:v>
                </c:pt>
                <c:pt idx="2114">
                  <c:v>385.4759999999989</c:v>
                </c:pt>
                <c:pt idx="2115">
                  <c:v>385.643</c:v>
                </c:pt>
                <c:pt idx="2116">
                  <c:v>385.8109999999999</c:v>
                </c:pt>
                <c:pt idx="2117">
                  <c:v>385.9789999999986</c:v>
                </c:pt>
                <c:pt idx="2118">
                  <c:v>386.151</c:v>
                </c:pt>
                <c:pt idx="2119">
                  <c:v>386.32</c:v>
                </c:pt>
                <c:pt idx="2120">
                  <c:v>386.485</c:v>
                </c:pt>
                <c:pt idx="2121">
                  <c:v>386.651</c:v>
                </c:pt>
                <c:pt idx="2122">
                  <c:v>386.815</c:v>
                </c:pt>
                <c:pt idx="2123">
                  <c:v>386.978</c:v>
                </c:pt>
                <c:pt idx="2124">
                  <c:v>387.142</c:v>
                </c:pt>
                <c:pt idx="2125">
                  <c:v>387.3039999999999</c:v>
                </c:pt>
                <c:pt idx="2126">
                  <c:v>387.47</c:v>
                </c:pt>
                <c:pt idx="2127">
                  <c:v>387.637</c:v>
                </c:pt>
                <c:pt idx="2128">
                  <c:v>387.803</c:v>
                </c:pt>
                <c:pt idx="2129">
                  <c:v>387.968</c:v>
                </c:pt>
                <c:pt idx="2130">
                  <c:v>388.135</c:v>
                </c:pt>
                <c:pt idx="2131">
                  <c:v>388.303</c:v>
                </c:pt>
                <c:pt idx="2132">
                  <c:v>388.4719999999986</c:v>
                </c:pt>
                <c:pt idx="2133">
                  <c:v>388.642</c:v>
                </c:pt>
                <c:pt idx="2134">
                  <c:v>388.81</c:v>
                </c:pt>
                <c:pt idx="2135">
                  <c:v>388.978</c:v>
                </c:pt>
                <c:pt idx="2136">
                  <c:v>389.147</c:v>
                </c:pt>
                <c:pt idx="2137">
                  <c:v>389.3159999999999</c:v>
                </c:pt>
                <c:pt idx="2138">
                  <c:v>389.4829999999992</c:v>
                </c:pt>
                <c:pt idx="2139">
                  <c:v>389.651</c:v>
                </c:pt>
                <c:pt idx="2140">
                  <c:v>389.82</c:v>
                </c:pt>
                <c:pt idx="2141">
                  <c:v>389.9879999999989</c:v>
                </c:pt>
                <c:pt idx="2142">
                  <c:v>390.155</c:v>
                </c:pt>
                <c:pt idx="2143">
                  <c:v>390.321</c:v>
                </c:pt>
                <c:pt idx="2144">
                  <c:v>390.485</c:v>
                </c:pt>
                <c:pt idx="2145">
                  <c:v>390.653</c:v>
                </c:pt>
                <c:pt idx="2146">
                  <c:v>390.821</c:v>
                </c:pt>
                <c:pt idx="2147">
                  <c:v>390.9859999999989</c:v>
                </c:pt>
                <c:pt idx="2148">
                  <c:v>391.151</c:v>
                </c:pt>
                <c:pt idx="2149">
                  <c:v>391.3159999999999</c:v>
                </c:pt>
                <c:pt idx="2150">
                  <c:v>391.482</c:v>
                </c:pt>
                <c:pt idx="2151">
                  <c:v>391.65</c:v>
                </c:pt>
                <c:pt idx="2152">
                  <c:v>391.82</c:v>
                </c:pt>
                <c:pt idx="2153">
                  <c:v>391.9859999999989</c:v>
                </c:pt>
                <c:pt idx="2154">
                  <c:v>392.153</c:v>
                </c:pt>
                <c:pt idx="2155">
                  <c:v>392.319</c:v>
                </c:pt>
                <c:pt idx="2156">
                  <c:v>392.485</c:v>
                </c:pt>
                <c:pt idx="2157">
                  <c:v>392.65</c:v>
                </c:pt>
                <c:pt idx="2158">
                  <c:v>392.814</c:v>
                </c:pt>
                <c:pt idx="2159">
                  <c:v>392.9789999999986</c:v>
                </c:pt>
                <c:pt idx="2160">
                  <c:v>393.145</c:v>
                </c:pt>
                <c:pt idx="2161">
                  <c:v>393.31</c:v>
                </c:pt>
                <c:pt idx="2162">
                  <c:v>393.478</c:v>
                </c:pt>
                <c:pt idx="2163">
                  <c:v>393.644</c:v>
                </c:pt>
                <c:pt idx="2164">
                  <c:v>393.81</c:v>
                </c:pt>
                <c:pt idx="2165">
                  <c:v>393.9759999999989</c:v>
                </c:pt>
                <c:pt idx="2166">
                  <c:v>394.144</c:v>
                </c:pt>
                <c:pt idx="2167">
                  <c:v>394.31</c:v>
                </c:pt>
                <c:pt idx="2168">
                  <c:v>394.478</c:v>
                </c:pt>
                <c:pt idx="2169">
                  <c:v>394.646</c:v>
                </c:pt>
                <c:pt idx="2170">
                  <c:v>394.813</c:v>
                </c:pt>
                <c:pt idx="2171">
                  <c:v>394.9789999999986</c:v>
                </c:pt>
                <c:pt idx="2172">
                  <c:v>395.145</c:v>
                </c:pt>
                <c:pt idx="2173">
                  <c:v>395.314</c:v>
                </c:pt>
                <c:pt idx="2174">
                  <c:v>395.482</c:v>
                </c:pt>
                <c:pt idx="2175">
                  <c:v>395.649</c:v>
                </c:pt>
                <c:pt idx="2176">
                  <c:v>395.8179999999999</c:v>
                </c:pt>
                <c:pt idx="2177">
                  <c:v>395.9829999999992</c:v>
                </c:pt>
                <c:pt idx="2178">
                  <c:v>396.149</c:v>
                </c:pt>
                <c:pt idx="2179">
                  <c:v>396.317</c:v>
                </c:pt>
                <c:pt idx="2180">
                  <c:v>396.4859999999989</c:v>
                </c:pt>
                <c:pt idx="2181">
                  <c:v>396.654</c:v>
                </c:pt>
                <c:pt idx="2182">
                  <c:v>396.822</c:v>
                </c:pt>
                <c:pt idx="2183">
                  <c:v>396.99</c:v>
                </c:pt>
                <c:pt idx="2184">
                  <c:v>397.158</c:v>
                </c:pt>
                <c:pt idx="2185">
                  <c:v>397.3279999999999</c:v>
                </c:pt>
                <c:pt idx="2186">
                  <c:v>397.4959999999986</c:v>
                </c:pt>
                <c:pt idx="2187">
                  <c:v>397.664</c:v>
                </c:pt>
                <c:pt idx="2188">
                  <c:v>397.833</c:v>
                </c:pt>
                <c:pt idx="2189">
                  <c:v>398.003</c:v>
                </c:pt>
                <c:pt idx="2190">
                  <c:v>398.1689999999999</c:v>
                </c:pt>
                <c:pt idx="2191">
                  <c:v>398.339</c:v>
                </c:pt>
                <c:pt idx="2192">
                  <c:v>398.509</c:v>
                </c:pt>
                <c:pt idx="2193">
                  <c:v>398.6789999999999</c:v>
                </c:pt>
                <c:pt idx="2194">
                  <c:v>398.848</c:v>
                </c:pt>
                <c:pt idx="2195">
                  <c:v>399.016</c:v>
                </c:pt>
                <c:pt idx="2196">
                  <c:v>399.1840000000001</c:v>
                </c:pt>
                <c:pt idx="2197">
                  <c:v>399.355</c:v>
                </c:pt>
                <c:pt idx="2198">
                  <c:v>399.5269999999986</c:v>
                </c:pt>
                <c:pt idx="2199">
                  <c:v>399.697</c:v>
                </c:pt>
                <c:pt idx="2200">
                  <c:v>399.866</c:v>
                </c:pt>
                <c:pt idx="2201">
                  <c:v>400.0339999999989</c:v>
                </c:pt>
                <c:pt idx="2202">
                  <c:v>400.2</c:v>
                </c:pt>
                <c:pt idx="2203">
                  <c:v>400.3639999999999</c:v>
                </c:pt>
                <c:pt idx="2204">
                  <c:v>400.5269999999986</c:v>
                </c:pt>
                <c:pt idx="2205">
                  <c:v>400.6909999999999</c:v>
                </c:pt>
                <c:pt idx="2206">
                  <c:v>400.856</c:v>
                </c:pt>
                <c:pt idx="2207">
                  <c:v>401.0219999999989</c:v>
                </c:pt>
                <c:pt idx="2208">
                  <c:v>401.189</c:v>
                </c:pt>
                <c:pt idx="2209">
                  <c:v>401.356</c:v>
                </c:pt>
                <c:pt idx="2210">
                  <c:v>401.524</c:v>
                </c:pt>
                <c:pt idx="2211">
                  <c:v>401.694</c:v>
                </c:pt>
                <c:pt idx="2212">
                  <c:v>401.862</c:v>
                </c:pt>
                <c:pt idx="2213">
                  <c:v>402.029</c:v>
                </c:pt>
                <c:pt idx="2214">
                  <c:v>402.201</c:v>
                </c:pt>
                <c:pt idx="2215">
                  <c:v>402.3709999999999</c:v>
                </c:pt>
                <c:pt idx="2216">
                  <c:v>402.5389999999989</c:v>
                </c:pt>
                <c:pt idx="2217">
                  <c:v>402.7069999999989</c:v>
                </c:pt>
                <c:pt idx="2218">
                  <c:v>402.875</c:v>
                </c:pt>
                <c:pt idx="2219">
                  <c:v>403.045</c:v>
                </c:pt>
                <c:pt idx="2220">
                  <c:v>403.2149999999999</c:v>
                </c:pt>
                <c:pt idx="2221">
                  <c:v>403.386</c:v>
                </c:pt>
                <c:pt idx="2222">
                  <c:v>403.555</c:v>
                </c:pt>
                <c:pt idx="2223">
                  <c:v>403.7269999999986</c:v>
                </c:pt>
                <c:pt idx="2224">
                  <c:v>403.901</c:v>
                </c:pt>
                <c:pt idx="2225">
                  <c:v>404.072</c:v>
                </c:pt>
                <c:pt idx="2226">
                  <c:v>404.243</c:v>
                </c:pt>
                <c:pt idx="2227">
                  <c:v>404.415</c:v>
                </c:pt>
                <c:pt idx="2228">
                  <c:v>404.5869999999989</c:v>
                </c:pt>
                <c:pt idx="2229">
                  <c:v>404.7579999999999</c:v>
                </c:pt>
                <c:pt idx="2230">
                  <c:v>404.925</c:v>
                </c:pt>
                <c:pt idx="2231">
                  <c:v>405.093</c:v>
                </c:pt>
                <c:pt idx="2232">
                  <c:v>405.26</c:v>
                </c:pt>
                <c:pt idx="2233">
                  <c:v>405.425</c:v>
                </c:pt>
                <c:pt idx="2234">
                  <c:v>405.591</c:v>
                </c:pt>
                <c:pt idx="2235">
                  <c:v>405.76</c:v>
                </c:pt>
                <c:pt idx="2236">
                  <c:v>405.9289999999986</c:v>
                </c:pt>
                <c:pt idx="2237">
                  <c:v>406.0969999999986</c:v>
                </c:pt>
                <c:pt idx="2238">
                  <c:v>406.264</c:v>
                </c:pt>
                <c:pt idx="2239">
                  <c:v>406.4329999999989</c:v>
                </c:pt>
                <c:pt idx="2240">
                  <c:v>406.601</c:v>
                </c:pt>
                <c:pt idx="2241">
                  <c:v>406.771</c:v>
                </c:pt>
                <c:pt idx="2242">
                  <c:v>406.94</c:v>
                </c:pt>
                <c:pt idx="2243">
                  <c:v>407.111</c:v>
                </c:pt>
                <c:pt idx="2244">
                  <c:v>407.28</c:v>
                </c:pt>
                <c:pt idx="2245">
                  <c:v>407.4479999999999</c:v>
                </c:pt>
                <c:pt idx="2246">
                  <c:v>407.617</c:v>
                </c:pt>
                <c:pt idx="2247">
                  <c:v>407.7859999999989</c:v>
                </c:pt>
                <c:pt idx="2248">
                  <c:v>407.9549999999999</c:v>
                </c:pt>
                <c:pt idx="2249">
                  <c:v>408.122</c:v>
                </c:pt>
                <c:pt idx="2250">
                  <c:v>408.2889999999989</c:v>
                </c:pt>
                <c:pt idx="2251">
                  <c:v>408.458</c:v>
                </c:pt>
                <c:pt idx="2252">
                  <c:v>408.627</c:v>
                </c:pt>
                <c:pt idx="2253">
                  <c:v>408.797</c:v>
                </c:pt>
                <c:pt idx="2254">
                  <c:v>408.966</c:v>
                </c:pt>
                <c:pt idx="2255">
                  <c:v>409.1329999999999</c:v>
                </c:pt>
                <c:pt idx="2256">
                  <c:v>409.3</c:v>
                </c:pt>
                <c:pt idx="2257">
                  <c:v>409.4669999999986</c:v>
                </c:pt>
                <c:pt idx="2258">
                  <c:v>409.637</c:v>
                </c:pt>
                <c:pt idx="2259">
                  <c:v>409.808</c:v>
                </c:pt>
                <c:pt idx="2260">
                  <c:v>409.9789999999986</c:v>
                </c:pt>
                <c:pt idx="2261">
                  <c:v>410.148</c:v>
                </c:pt>
                <c:pt idx="2262">
                  <c:v>410.3159999999999</c:v>
                </c:pt>
                <c:pt idx="2263">
                  <c:v>410.4829999999992</c:v>
                </c:pt>
                <c:pt idx="2264">
                  <c:v>410.653</c:v>
                </c:pt>
                <c:pt idx="2265">
                  <c:v>410.8229999999999</c:v>
                </c:pt>
                <c:pt idx="2266">
                  <c:v>410.9909999999986</c:v>
                </c:pt>
                <c:pt idx="2267">
                  <c:v>411.158</c:v>
                </c:pt>
                <c:pt idx="2268">
                  <c:v>411.324</c:v>
                </c:pt>
                <c:pt idx="2269">
                  <c:v>411.49</c:v>
                </c:pt>
                <c:pt idx="2270">
                  <c:v>411.6569999999999</c:v>
                </c:pt>
                <c:pt idx="2271">
                  <c:v>411.827</c:v>
                </c:pt>
                <c:pt idx="2272">
                  <c:v>411.999</c:v>
                </c:pt>
                <c:pt idx="2273">
                  <c:v>412.168</c:v>
                </c:pt>
                <c:pt idx="2274">
                  <c:v>412.339</c:v>
                </c:pt>
                <c:pt idx="2275">
                  <c:v>412.507</c:v>
                </c:pt>
                <c:pt idx="2276">
                  <c:v>412.677</c:v>
                </c:pt>
                <c:pt idx="2277">
                  <c:v>412.8469999999999</c:v>
                </c:pt>
                <c:pt idx="2278">
                  <c:v>413.017</c:v>
                </c:pt>
                <c:pt idx="2279">
                  <c:v>413.1859999999999</c:v>
                </c:pt>
                <c:pt idx="2280">
                  <c:v>413.356</c:v>
                </c:pt>
                <c:pt idx="2281">
                  <c:v>413.5249999999999</c:v>
                </c:pt>
                <c:pt idx="2282">
                  <c:v>413.6929999999999</c:v>
                </c:pt>
                <c:pt idx="2283">
                  <c:v>413.861</c:v>
                </c:pt>
                <c:pt idx="2284">
                  <c:v>414.029</c:v>
                </c:pt>
                <c:pt idx="2285">
                  <c:v>414.2</c:v>
                </c:pt>
                <c:pt idx="2286">
                  <c:v>414.373</c:v>
                </c:pt>
                <c:pt idx="2287">
                  <c:v>414.543</c:v>
                </c:pt>
                <c:pt idx="2288">
                  <c:v>414.71</c:v>
                </c:pt>
                <c:pt idx="2289">
                  <c:v>414.88</c:v>
                </c:pt>
                <c:pt idx="2290">
                  <c:v>415.053</c:v>
                </c:pt>
                <c:pt idx="2291">
                  <c:v>415.223</c:v>
                </c:pt>
                <c:pt idx="2292">
                  <c:v>415.391</c:v>
                </c:pt>
                <c:pt idx="2293">
                  <c:v>415.5590000000001</c:v>
                </c:pt>
                <c:pt idx="2294">
                  <c:v>415.7289999999986</c:v>
                </c:pt>
                <c:pt idx="2295">
                  <c:v>415.894</c:v>
                </c:pt>
                <c:pt idx="2296">
                  <c:v>416.0559999999999</c:v>
                </c:pt>
                <c:pt idx="2297">
                  <c:v>416.2189999999989</c:v>
                </c:pt>
                <c:pt idx="2298">
                  <c:v>416.385</c:v>
                </c:pt>
                <c:pt idx="2299">
                  <c:v>416.5539999999999</c:v>
                </c:pt>
                <c:pt idx="2300">
                  <c:v>416.725</c:v>
                </c:pt>
                <c:pt idx="2301">
                  <c:v>416.8929999999999</c:v>
                </c:pt>
                <c:pt idx="2302">
                  <c:v>417.064</c:v>
                </c:pt>
                <c:pt idx="2303">
                  <c:v>417.2339999999986</c:v>
                </c:pt>
                <c:pt idx="2304">
                  <c:v>417.399</c:v>
                </c:pt>
                <c:pt idx="2305">
                  <c:v>417.564</c:v>
                </c:pt>
                <c:pt idx="2306">
                  <c:v>417.7289999999986</c:v>
                </c:pt>
                <c:pt idx="2307">
                  <c:v>417.8949999999999</c:v>
                </c:pt>
                <c:pt idx="2308">
                  <c:v>418.063</c:v>
                </c:pt>
                <c:pt idx="2309">
                  <c:v>418.2329999999992</c:v>
                </c:pt>
                <c:pt idx="2310">
                  <c:v>418.403</c:v>
                </c:pt>
                <c:pt idx="2311">
                  <c:v>418.5729999999999</c:v>
                </c:pt>
                <c:pt idx="2312">
                  <c:v>418.74</c:v>
                </c:pt>
                <c:pt idx="2313">
                  <c:v>418.9069999999986</c:v>
                </c:pt>
                <c:pt idx="2314">
                  <c:v>419.075</c:v>
                </c:pt>
                <c:pt idx="2315">
                  <c:v>419.247</c:v>
                </c:pt>
                <c:pt idx="2316">
                  <c:v>419.4179999999996</c:v>
                </c:pt>
                <c:pt idx="2317">
                  <c:v>419.588</c:v>
                </c:pt>
                <c:pt idx="2318">
                  <c:v>419.7559999999999</c:v>
                </c:pt>
                <c:pt idx="2319">
                  <c:v>419.9239999999986</c:v>
                </c:pt>
                <c:pt idx="2320">
                  <c:v>420.0959999999992</c:v>
                </c:pt>
                <c:pt idx="2321">
                  <c:v>420.265</c:v>
                </c:pt>
                <c:pt idx="2322">
                  <c:v>420.4349999999989</c:v>
                </c:pt>
                <c:pt idx="2323">
                  <c:v>420.603</c:v>
                </c:pt>
                <c:pt idx="2324">
                  <c:v>420.769</c:v>
                </c:pt>
                <c:pt idx="2325">
                  <c:v>420.939</c:v>
                </c:pt>
                <c:pt idx="2326">
                  <c:v>421.11</c:v>
                </c:pt>
                <c:pt idx="2327">
                  <c:v>421.2809999999996</c:v>
                </c:pt>
                <c:pt idx="2328">
                  <c:v>421.449</c:v>
                </c:pt>
                <c:pt idx="2329">
                  <c:v>421.617</c:v>
                </c:pt>
                <c:pt idx="2330">
                  <c:v>421.788</c:v>
                </c:pt>
                <c:pt idx="2331">
                  <c:v>421.959</c:v>
                </c:pt>
                <c:pt idx="2332">
                  <c:v>422.132</c:v>
                </c:pt>
                <c:pt idx="2333">
                  <c:v>422.302</c:v>
                </c:pt>
                <c:pt idx="2334">
                  <c:v>422.475</c:v>
                </c:pt>
                <c:pt idx="2335">
                  <c:v>422.645</c:v>
                </c:pt>
                <c:pt idx="2336">
                  <c:v>422.81</c:v>
                </c:pt>
                <c:pt idx="2337">
                  <c:v>422.9739999999989</c:v>
                </c:pt>
                <c:pt idx="2338">
                  <c:v>423.137</c:v>
                </c:pt>
                <c:pt idx="2339">
                  <c:v>423.301</c:v>
                </c:pt>
                <c:pt idx="2340">
                  <c:v>423.4669999999986</c:v>
                </c:pt>
                <c:pt idx="2341">
                  <c:v>423.635</c:v>
                </c:pt>
                <c:pt idx="2342">
                  <c:v>423.8039999999999</c:v>
                </c:pt>
                <c:pt idx="2343">
                  <c:v>423.9739999999989</c:v>
                </c:pt>
                <c:pt idx="2344">
                  <c:v>424.146</c:v>
                </c:pt>
                <c:pt idx="2345">
                  <c:v>424.3159999999999</c:v>
                </c:pt>
                <c:pt idx="2346">
                  <c:v>424.487</c:v>
                </c:pt>
                <c:pt idx="2347">
                  <c:v>424.66</c:v>
                </c:pt>
                <c:pt idx="2348">
                  <c:v>424.8319999999989</c:v>
                </c:pt>
                <c:pt idx="2349">
                  <c:v>425.003</c:v>
                </c:pt>
                <c:pt idx="2350">
                  <c:v>425.177</c:v>
                </c:pt>
                <c:pt idx="2351">
                  <c:v>425.3469999999999</c:v>
                </c:pt>
                <c:pt idx="2352">
                  <c:v>425.516</c:v>
                </c:pt>
                <c:pt idx="2353">
                  <c:v>425.6859999999999</c:v>
                </c:pt>
                <c:pt idx="2354">
                  <c:v>425.8539999999999</c:v>
                </c:pt>
                <c:pt idx="2355">
                  <c:v>426.023</c:v>
                </c:pt>
                <c:pt idx="2356">
                  <c:v>426.1929999999999</c:v>
                </c:pt>
                <c:pt idx="2357">
                  <c:v>426.365</c:v>
                </c:pt>
                <c:pt idx="2358">
                  <c:v>426.538</c:v>
                </c:pt>
                <c:pt idx="2359">
                  <c:v>426.709</c:v>
                </c:pt>
                <c:pt idx="2360">
                  <c:v>426.8759999999999</c:v>
                </c:pt>
                <c:pt idx="2361">
                  <c:v>427.0439999999999</c:v>
                </c:pt>
                <c:pt idx="2362">
                  <c:v>427.214</c:v>
                </c:pt>
                <c:pt idx="2363">
                  <c:v>427.387</c:v>
                </c:pt>
                <c:pt idx="2364">
                  <c:v>427.56</c:v>
                </c:pt>
                <c:pt idx="2365">
                  <c:v>427.7329999999992</c:v>
                </c:pt>
                <c:pt idx="2366">
                  <c:v>427.9019999999986</c:v>
                </c:pt>
                <c:pt idx="2367">
                  <c:v>428.069</c:v>
                </c:pt>
                <c:pt idx="2368">
                  <c:v>428.235</c:v>
                </c:pt>
                <c:pt idx="2369">
                  <c:v>428.4019999999986</c:v>
                </c:pt>
                <c:pt idx="2370">
                  <c:v>428.571</c:v>
                </c:pt>
                <c:pt idx="2371">
                  <c:v>428.742</c:v>
                </c:pt>
                <c:pt idx="2372">
                  <c:v>428.9119999999986</c:v>
                </c:pt>
                <c:pt idx="2373">
                  <c:v>429.0819999999989</c:v>
                </c:pt>
                <c:pt idx="2374">
                  <c:v>429.254</c:v>
                </c:pt>
                <c:pt idx="2375">
                  <c:v>429.4239999999986</c:v>
                </c:pt>
                <c:pt idx="2376">
                  <c:v>429.5919999999986</c:v>
                </c:pt>
                <c:pt idx="2377">
                  <c:v>429.759</c:v>
                </c:pt>
                <c:pt idx="2378">
                  <c:v>429.9259999999989</c:v>
                </c:pt>
                <c:pt idx="2379">
                  <c:v>430.0969999999986</c:v>
                </c:pt>
                <c:pt idx="2380">
                  <c:v>430.2679999999999</c:v>
                </c:pt>
                <c:pt idx="2381">
                  <c:v>430.437</c:v>
                </c:pt>
                <c:pt idx="2382">
                  <c:v>430.606</c:v>
                </c:pt>
                <c:pt idx="2383">
                  <c:v>430.7719999999989</c:v>
                </c:pt>
                <c:pt idx="2384">
                  <c:v>430.94</c:v>
                </c:pt>
                <c:pt idx="2385">
                  <c:v>431.112</c:v>
                </c:pt>
                <c:pt idx="2386">
                  <c:v>431.2859999999989</c:v>
                </c:pt>
                <c:pt idx="2387">
                  <c:v>431.456</c:v>
                </c:pt>
                <c:pt idx="2388">
                  <c:v>431.629</c:v>
                </c:pt>
                <c:pt idx="2389">
                  <c:v>431.8</c:v>
                </c:pt>
                <c:pt idx="2390">
                  <c:v>431.9709999999992</c:v>
                </c:pt>
                <c:pt idx="2391">
                  <c:v>432.143</c:v>
                </c:pt>
                <c:pt idx="2392">
                  <c:v>432.313</c:v>
                </c:pt>
                <c:pt idx="2393">
                  <c:v>432.4829999999992</c:v>
                </c:pt>
                <c:pt idx="2394">
                  <c:v>432.652</c:v>
                </c:pt>
                <c:pt idx="2395">
                  <c:v>432.821</c:v>
                </c:pt>
                <c:pt idx="2396">
                  <c:v>432.9909999999986</c:v>
                </c:pt>
                <c:pt idx="2397">
                  <c:v>433.16</c:v>
                </c:pt>
                <c:pt idx="2398">
                  <c:v>433.334</c:v>
                </c:pt>
                <c:pt idx="2399">
                  <c:v>433.4929999999989</c:v>
                </c:pt>
                <c:pt idx="2400">
                  <c:v>433.663</c:v>
                </c:pt>
                <c:pt idx="2401">
                  <c:v>433.8319999999989</c:v>
                </c:pt>
                <c:pt idx="2402">
                  <c:v>433.9979999999989</c:v>
                </c:pt>
                <c:pt idx="2403">
                  <c:v>434.1619999999999</c:v>
                </c:pt>
                <c:pt idx="2404">
                  <c:v>434.325</c:v>
                </c:pt>
                <c:pt idx="2405">
                  <c:v>434.4889999999986</c:v>
                </c:pt>
                <c:pt idx="2406">
                  <c:v>434.655</c:v>
                </c:pt>
                <c:pt idx="2407">
                  <c:v>434.822</c:v>
                </c:pt>
                <c:pt idx="2408">
                  <c:v>434.99</c:v>
                </c:pt>
                <c:pt idx="2409">
                  <c:v>435.159</c:v>
                </c:pt>
                <c:pt idx="2410">
                  <c:v>435.326</c:v>
                </c:pt>
                <c:pt idx="2411">
                  <c:v>435.4929999999989</c:v>
                </c:pt>
                <c:pt idx="2412">
                  <c:v>435.663</c:v>
                </c:pt>
                <c:pt idx="2413">
                  <c:v>435.8319999999989</c:v>
                </c:pt>
                <c:pt idx="2414">
                  <c:v>436.0009999999999</c:v>
                </c:pt>
                <c:pt idx="2415">
                  <c:v>436.1689999999999</c:v>
                </c:pt>
                <c:pt idx="2416">
                  <c:v>436.3369999999989</c:v>
                </c:pt>
                <c:pt idx="2417">
                  <c:v>436.505</c:v>
                </c:pt>
                <c:pt idx="2418">
                  <c:v>436.6739999999999</c:v>
                </c:pt>
                <c:pt idx="2419">
                  <c:v>436.844</c:v>
                </c:pt>
                <c:pt idx="2420">
                  <c:v>437.011</c:v>
                </c:pt>
                <c:pt idx="2421">
                  <c:v>437.1789999999999</c:v>
                </c:pt>
                <c:pt idx="2422">
                  <c:v>437.3469999999999</c:v>
                </c:pt>
                <c:pt idx="2423">
                  <c:v>437.515</c:v>
                </c:pt>
                <c:pt idx="2424">
                  <c:v>437.683</c:v>
                </c:pt>
                <c:pt idx="2425">
                  <c:v>437.853</c:v>
                </c:pt>
                <c:pt idx="2426">
                  <c:v>438.023</c:v>
                </c:pt>
                <c:pt idx="2427">
                  <c:v>438.192</c:v>
                </c:pt>
                <c:pt idx="2428">
                  <c:v>438.361</c:v>
                </c:pt>
                <c:pt idx="2429">
                  <c:v>438.5269999999986</c:v>
                </c:pt>
                <c:pt idx="2430">
                  <c:v>438.6929999999999</c:v>
                </c:pt>
                <c:pt idx="2431">
                  <c:v>438.863</c:v>
                </c:pt>
                <c:pt idx="2432">
                  <c:v>439.03</c:v>
                </c:pt>
                <c:pt idx="2433">
                  <c:v>439.197</c:v>
                </c:pt>
                <c:pt idx="2434">
                  <c:v>439.367</c:v>
                </c:pt>
                <c:pt idx="2435">
                  <c:v>439.5359999999989</c:v>
                </c:pt>
                <c:pt idx="2436">
                  <c:v>439.7029999999999</c:v>
                </c:pt>
                <c:pt idx="2437">
                  <c:v>439.873</c:v>
                </c:pt>
                <c:pt idx="2438">
                  <c:v>440.038</c:v>
                </c:pt>
                <c:pt idx="2439">
                  <c:v>440.204</c:v>
                </c:pt>
                <c:pt idx="2440">
                  <c:v>440.3709999999999</c:v>
                </c:pt>
                <c:pt idx="2441">
                  <c:v>440.5359999999989</c:v>
                </c:pt>
                <c:pt idx="2442">
                  <c:v>440.702</c:v>
                </c:pt>
                <c:pt idx="2443">
                  <c:v>440.868</c:v>
                </c:pt>
                <c:pt idx="2444">
                  <c:v>441.0339999999989</c:v>
                </c:pt>
                <c:pt idx="2445">
                  <c:v>441.202</c:v>
                </c:pt>
                <c:pt idx="2446">
                  <c:v>441.37</c:v>
                </c:pt>
                <c:pt idx="2447">
                  <c:v>441.5389999999989</c:v>
                </c:pt>
                <c:pt idx="2448">
                  <c:v>441.708</c:v>
                </c:pt>
                <c:pt idx="2449">
                  <c:v>441.874</c:v>
                </c:pt>
                <c:pt idx="2450">
                  <c:v>442.038</c:v>
                </c:pt>
                <c:pt idx="2451">
                  <c:v>442.2049999999999</c:v>
                </c:pt>
                <c:pt idx="2452">
                  <c:v>442.372</c:v>
                </c:pt>
                <c:pt idx="2453">
                  <c:v>442.5389999999989</c:v>
                </c:pt>
                <c:pt idx="2454">
                  <c:v>442.7069999999989</c:v>
                </c:pt>
                <c:pt idx="2455">
                  <c:v>442.8759999999999</c:v>
                </c:pt>
                <c:pt idx="2456">
                  <c:v>443.043</c:v>
                </c:pt>
                <c:pt idx="2457">
                  <c:v>443.211</c:v>
                </c:pt>
                <c:pt idx="2458">
                  <c:v>443.378</c:v>
                </c:pt>
                <c:pt idx="2459">
                  <c:v>443.545</c:v>
                </c:pt>
                <c:pt idx="2460">
                  <c:v>443.71</c:v>
                </c:pt>
                <c:pt idx="2461">
                  <c:v>443.874</c:v>
                </c:pt>
                <c:pt idx="2462">
                  <c:v>444.041</c:v>
                </c:pt>
                <c:pt idx="2463">
                  <c:v>444.2069999999989</c:v>
                </c:pt>
                <c:pt idx="2464">
                  <c:v>444.372</c:v>
                </c:pt>
                <c:pt idx="2465">
                  <c:v>444.538</c:v>
                </c:pt>
                <c:pt idx="2466">
                  <c:v>444.704</c:v>
                </c:pt>
                <c:pt idx="2467">
                  <c:v>444.8690000000001</c:v>
                </c:pt>
                <c:pt idx="2468">
                  <c:v>445.033</c:v>
                </c:pt>
                <c:pt idx="2469">
                  <c:v>445.1979999999999</c:v>
                </c:pt>
                <c:pt idx="2470">
                  <c:v>445.3639999999999</c:v>
                </c:pt>
                <c:pt idx="2471">
                  <c:v>445.529</c:v>
                </c:pt>
                <c:pt idx="2472">
                  <c:v>445.6929999999999</c:v>
                </c:pt>
                <c:pt idx="2473">
                  <c:v>445.86</c:v>
                </c:pt>
                <c:pt idx="2474">
                  <c:v>446.029</c:v>
                </c:pt>
                <c:pt idx="2475">
                  <c:v>446.1979999999999</c:v>
                </c:pt>
                <c:pt idx="2476">
                  <c:v>446.366</c:v>
                </c:pt>
                <c:pt idx="2477">
                  <c:v>446.533</c:v>
                </c:pt>
                <c:pt idx="2478">
                  <c:v>446.699</c:v>
                </c:pt>
                <c:pt idx="2479">
                  <c:v>446.862</c:v>
                </c:pt>
                <c:pt idx="2480">
                  <c:v>447.026</c:v>
                </c:pt>
                <c:pt idx="2481">
                  <c:v>447.1909999999999</c:v>
                </c:pt>
                <c:pt idx="2482">
                  <c:v>447.355</c:v>
                </c:pt>
                <c:pt idx="2483">
                  <c:v>447.5179999999999</c:v>
                </c:pt>
                <c:pt idx="2484">
                  <c:v>447.682</c:v>
                </c:pt>
                <c:pt idx="2485">
                  <c:v>447.8469999999999</c:v>
                </c:pt>
                <c:pt idx="2486">
                  <c:v>448.011</c:v>
                </c:pt>
                <c:pt idx="2487">
                  <c:v>448.175</c:v>
                </c:pt>
                <c:pt idx="2488">
                  <c:v>448.34</c:v>
                </c:pt>
                <c:pt idx="2489">
                  <c:v>448.504</c:v>
                </c:pt>
                <c:pt idx="2490">
                  <c:v>448.668</c:v>
                </c:pt>
                <c:pt idx="2491">
                  <c:v>448.834</c:v>
                </c:pt>
                <c:pt idx="2492">
                  <c:v>449.003</c:v>
                </c:pt>
                <c:pt idx="2493">
                  <c:v>449.171</c:v>
                </c:pt>
                <c:pt idx="2494">
                  <c:v>449.3349999999999</c:v>
                </c:pt>
                <c:pt idx="2495">
                  <c:v>449.5</c:v>
                </c:pt>
                <c:pt idx="2496">
                  <c:v>449.664</c:v>
                </c:pt>
                <c:pt idx="2497">
                  <c:v>449.829</c:v>
                </c:pt>
                <c:pt idx="2498">
                  <c:v>449.994</c:v>
                </c:pt>
                <c:pt idx="2499">
                  <c:v>450.159</c:v>
                </c:pt>
                <c:pt idx="2500">
                  <c:v>450.324</c:v>
                </c:pt>
                <c:pt idx="2501">
                  <c:v>450.494</c:v>
                </c:pt>
                <c:pt idx="2502">
                  <c:v>450.6619999999999</c:v>
                </c:pt>
                <c:pt idx="2503">
                  <c:v>450.8279999999999</c:v>
                </c:pt>
                <c:pt idx="2504">
                  <c:v>450.9979999999989</c:v>
                </c:pt>
                <c:pt idx="2505">
                  <c:v>451.166</c:v>
                </c:pt>
                <c:pt idx="2506">
                  <c:v>451.334</c:v>
                </c:pt>
                <c:pt idx="2507">
                  <c:v>451.504</c:v>
                </c:pt>
                <c:pt idx="2508">
                  <c:v>451.671</c:v>
                </c:pt>
                <c:pt idx="2509">
                  <c:v>451.839</c:v>
                </c:pt>
                <c:pt idx="2510">
                  <c:v>452.007</c:v>
                </c:pt>
                <c:pt idx="2511">
                  <c:v>452.176</c:v>
                </c:pt>
                <c:pt idx="2512">
                  <c:v>452.343</c:v>
                </c:pt>
                <c:pt idx="2513">
                  <c:v>452.512</c:v>
                </c:pt>
                <c:pt idx="2514">
                  <c:v>452.678</c:v>
                </c:pt>
                <c:pt idx="2515">
                  <c:v>452.8419999999999</c:v>
                </c:pt>
                <c:pt idx="2516">
                  <c:v>453.007</c:v>
                </c:pt>
                <c:pt idx="2517">
                  <c:v>453.1720000000001</c:v>
                </c:pt>
                <c:pt idx="2518">
                  <c:v>453.3369999999989</c:v>
                </c:pt>
                <c:pt idx="2519">
                  <c:v>453.503</c:v>
                </c:pt>
                <c:pt idx="2520">
                  <c:v>453.671</c:v>
                </c:pt>
                <c:pt idx="2521">
                  <c:v>453.836</c:v>
                </c:pt>
                <c:pt idx="2522">
                  <c:v>454.003</c:v>
                </c:pt>
                <c:pt idx="2523">
                  <c:v>454.168</c:v>
                </c:pt>
                <c:pt idx="2524">
                  <c:v>454.3319999999989</c:v>
                </c:pt>
                <c:pt idx="2525">
                  <c:v>454.4959999999986</c:v>
                </c:pt>
                <c:pt idx="2526">
                  <c:v>454.6619999999999</c:v>
                </c:pt>
                <c:pt idx="2527">
                  <c:v>454.8279999999999</c:v>
                </c:pt>
                <c:pt idx="2528">
                  <c:v>454.9949999999992</c:v>
                </c:pt>
                <c:pt idx="2529">
                  <c:v>455.1619999999999</c:v>
                </c:pt>
                <c:pt idx="2530">
                  <c:v>455.327</c:v>
                </c:pt>
                <c:pt idx="2531">
                  <c:v>455.4929999999989</c:v>
                </c:pt>
                <c:pt idx="2532">
                  <c:v>455.66</c:v>
                </c:pt>
                <c:pt idx="2533">
                  <c:v>455.831</c:v>
                </c:pt>
                <c:pt idx="2534">
                  <c:v>456.0009999999999</c:v>
                </c:pt>
                <c:pt idx="2535">
                  <c:v>456.17</c:v>
                </c:pt>
                <c:pt idx="2536">
                  <c:v>456.341</c:v>
                </c:pt>
                <c:pt idx="2537">
                  <c:v>456.5079999999999</c:v>
                </c:pt>
                <c:pt idx="2538">
                  <c:v>456.675</c:v>
                </c:pt>
                <c:pt idx="2539">
                  <c:v>456.84</c:v>
                </c:pt>
                <c:pt idx="2540">
                  <c:v>457.0059999999999</c:v>
                </c:pt>
                <c:pt idx="2541">
                  <c:v>457.171</c:v>
                </c:pt>
                <c:pt idx="2542">
                  <c:v>457.3369999999989</c:v>
                </c:pt>
                <c:pt idx="2543">
                  <c:v>457.502</c:v>
                </c:pt>
                <c:pt idx="2544">
                  <c:v>457.665</c:v>
                </c:pt>
                <c:pt idx="2545">
                  <c:v>457.8319999999989</c:v>
                </c:pt>
                <c:pt idx="2546">
                  <c:v>457.999</c:v>
                </c:pt>
                <c:pt idx="2547">
                  <c:v>458.164</c:v>
                </c:pt>
                <c:pt idx="2548">
                  <c:v>458.329</c:v>
                </c:pt>
                <c:pt idx="2549">
                  <c:v>458.4949999999992</c:v>
                </c:pt>
                <c:pt idx="2550">
                  <c:v>458.66</c:v>
                </c:pt>
                <c:pt idx="2551">
                  <c:v>458.824</c:v>
                </c:pt>
                <c:pt idx="2552">
                  <c:v>458.9879999999989</c:v>
                </c:pt>
                <c:pt idx="2553">
                  <c:v>459.152</c:v>
                </c:pt>
                <c:pt idx="2554">
                  <c:v>459.314</c:v>
                </c:pt>
                <c:pt idx="2555">
                  <c:v>459.4759999999989</c:v>
                </c:pt>
                <c:pt idx="2556">
                  <c:v>459.637</c:v>
                </c:pt>
                <c:pt idx="2557">
                  <c:v>459.803</c:v>
                </c:pt>
                <c:pt idx="2558">
                  <c:v>459.968</c:v>
                </c:pt>
                <c:pt idx="2559">
                  <c:v>460.136</c:v>
                </c:pt>
                <c:pt idx="2560">
                  <c:v>460.302</c:v>
                </c:pt>
                <c:pt idx="2561">
                  <c:v>460.4709999999992</c:v>
                </c:pt>
                <c:pt idx="2562">
                  <c:v>460.642</c:v>
                </c:pt>
                <c:pt idx="2563">
                  <c:v>460.814</c:v>
                </c:pt>
                <c:pt idx="2564">
                  <c:v>460.9809999999989</c:v>
                </c:pt>
                <c:pt idx="2565">
                  <c:v>461.147</c:v>
                </c:pt>
                <c:pt idx="2566">
                  <c:v>461.315</c:v>
                </c:pt>
                <c:pt idx="2567">
                  <c:v>461.482</c:v>
                </c:pt>
                <c:pt idx="2568">
                  <c:v>461.65</c:v>
                </c:pt>
                <c:pt idx="2569">
                  <c:v>461.817</c:v>
                </c:pt>
                <c:pt idx="2570">
                  <c:v>461.987</c:v>
                </c:pt>
                <c:pt idx="2571">
                  <c:v>462.155</c:v>
                </c:pt>
                <c:pt idx="2572">
                  <c:v>462.324</c:v>
                </c:pt>
                <c:pt idx="2573">
                  <c:v>462.49</c:v>
                </c:pt>
                <c:pt idx="2574">
                  <c:v>462.654</c:v>
                </c:pt>
                <c:pt idx="2575">
                  <c:v>462.817</c:v>
                </c:pt>
                <c:pt idx="2576">
                  <c:v>462.982</c:v>
                </c:pt>
                <c:pt idx="2577">
                  <c:v>463.149</c:v>
                </c:pt>
                <c:pt idx="2578">
                  <c:v>463.3159999999999</c:v>
                </c:pt>
                <c:pt idx="2579">
                  <c:v>463.4829999999992</c:v>
                </c:pt>
                <c:pt idx="2580">
                  <c:v>463.651</c:v>
                </c:pt>
                <c:pt idx="2581">
                  <c:v>463.819</c:v>
                </c:pt>
                <c:pt idx="2582">
                  <c:v>463.985</c:v>
                </c:pt>
                <c:pt idx="2583">
                  <c:v>464.152</c:v>
                </c:pt>
                <c:pt idx="2584">
                  <c:v>464.32</c:v>
                </c:pt>
                <c:pt idx="2585">
                  <c:v>464.487</c:v>
                </c:pt>
                <c:pt idx="2586">
                  <c:v>464.653</c:v>
                </c:pt>
                <c:pt idx="2587">
                  <c:v>464.82</c:v>
                </c:pt>
                <c:pt idx="2588">
                  <c:v>464.987</c:v>
                </c:pt>
                <c:pt idx="2589">
                  <c:v>465.156</c:v>
                </c:pt>
                <c:pt idx="2590">
                  <c:v>465.322</c:v>
                </c:pt>
                <c:pt idx="2591">
                  <c:v>465.487</c:v>
                </c:pt>
                <c:pt idx="2592">
                  <c:v>465.652</c:v>
                </c:pt>
                <c:pt idx="2593">
                  <c:v>465.817</c:v>
                </c:pt>
                <c:pt idx="2594">
                  <c:v>465.9829999999992</c:v>
                </c:pt>
                <c:pt idx="2595">
                  <c:v>466.149</c:v>
                </c:pt>
                <c:pt idx="2596">
                  <c:v>466.313</c:v>
                </c:pt>
                <c:pt idx="2597">
                  <c:v>466.478</c:v>
                </c:pt>
                <c:pt idx="2598">
                  <c:v>466.646</c:v>
                </c:pt>
                <c:pt idx="2599">
                  <c:v>466.815</c:v>
                </c:pt>
                <c:pt idx="2600">
                  <c:v>466.9809999999989</c:v>
                </c:pt>
                <c:pt idx="2601">
                  <c:v>467.148</c:v>
                </c:pt>
                <c:pt idx="2602">
                  <c:v>467.3159999999999</c:v>
                </c:pt>
                <c:pt idx="2603">
                  <c:v>467.4839999999986</c:v>
                </c:pt>
                <c:pt idx="2604">
                  <c:v>467.651</c:v>
                </c:pt>
                <c:pt idx="2605">
                  <c:v>467.8179999999999</c:v>
                </c:pt>
                <c:pt idx="2606">
                  <c:v>467.985</c:v>
                </c:pt>
                <c:pt idx="2607">
                  <c:v>468.154</c:v>
                </c:pt>
                <c:pt idx="2608">
                  <c:v>468.32</c:v>
                </c:pt>
                <c:pt idx="2609">
                  <c:v>468.487</c:v>
                </c:pt>
                <c:pt idx="2610">
                  <c:v>468.654</c:v>
                </c:pt>
                <c:pt idx="2611">
                  <c:v>468.822</c:v>
                </c:pt>
                <c:pt idx="2612">
                  <c:v>468.992</c:v>
                </c:pt>
                <c:pt idx="2613">
                  <c:v>469.158</c:v>
                </c:pt>
                <c:pt idx="2614">
                  <c:v>469.324</c:v>
                </c:pt>
                <c:pt idx="2615">
                  <c:v>469.4909999999986</c:v>
                </c:pt>
                <c:pt idx="2616">
                  <c:v>469.659</c:v>
                </c:pt>
                <c:pt idx="2617">
                  <c:v>469.827</c:v>
                </c:pt>
                <c:pt idx="2618">
                  <c:v>469.9949999999992</c:v>
                </c:pt>
                <c:pt idx="2619">
                  <c:v>470.163</c:v>
                </c:pt>
                <c:pt idx="2620">
                  <c:v>470.3319999999989</c:v>
                </c:pt>
                <c:pt idx="2621">
                  <c:v>470.499</c:v>
                </c:pt>
                <c:pt idx="2622">
                  <c:v>470.665</c:v>
                </c:pt>
                <c:pt idx="2623">
                  <c:v>470.831</c:v>
                </c:pt>
                <c:pt idx="2624">
                  <c:v>471.0</c:v>
                </c:pt>
                <c:pt idx="2625">
                  <c:v>471.1689999999999</c:v>
                </c:pt>
                <c:pt idx="2626">
                  <c:v>471.3369999999989</c:v>
                </c:pt>
                <c:pt idx="2627">
                  <c:v>471.505</c:v>
                </c:pt>
                <c:pt idx="2628">
                  <c:v>471.6720000000001</c:v>
                </c:pt>
                <c:pt idx="2629">
                  <c:v>471.839</c:v>
                </c:pt>
                <c:pt idx="2630">
                  <c:v>472.005</c:v>
                </c:pt>
                <c:pt idx="2631">
                  <c:v>472.1720000000001</c:v>
                </c:pt>
                <c:pt idx="2632">
                  <c:v>472.3369999999989</c:v>
                </c:pt>
                <c:pt idx="2633">
                  <c:v>472.4959999999986</c:v>
                </c:pt>
                <c:pt idx="2634">
                  <c:v>472.658</c:v>
                </c:pt>
                <c:pt idx="2635">
                  <c:v>472.824</c:v>
                </c:pt>
                <c:pt idx="2636">
                  <c:v>472.9909999999986</c:v>
                </c:pt>
                <c:pt idx="2637">
                  <c:v>473.158</c:v>
                </c:pt>
                <c:pt idx="2638">
                  <c:v>473.325</c:v>
                </c:pt>
                <c:pt idx="2639">
                  <c:v>473.4909999999986</c:v>
                </c:pt>
                <c:pt idx="2640">
                  <c:v>473.6569999999999</c:v>
                </c:pt>
                <c:pt idx="2641">
                  <c:v>473.825</c:v>
                </c:pt>
                <c:pt idx="2642">
                  <c:v>473.9949999999992</c:v>
                </c:pt>
                <c:pt idx="2643">
                  <c:v>474.164</c:v>
                </c:pt>
                <c:pt idx="2644">
                  <c:v>474.3349999999999</c:v>
                </c:pt>
                <c:pt idx="2645">
                  <c:v>474.507</c:v>
                </c:pt>
                <c:pt idx="2646">
                  <c:v>474.6789999999999</c:v>
                </c:pt>
                <c:pt idx="2647">
                  <c:v>474.8519999999999</c:v>
                </c:pt>
                <c:pt idx="2648">
                  <c:v>475.024</c:v>
                </c:pt>
                <c:pt idx="2649">
                  <c:v>475.194</c:v>
                </c:pt>
                <c:pt idx="2650">
                  <c:v>475.362</c:v>
                </c:pt>
                <c:pt idx="2651">
                  <c:v>475.529</c:v>
                </c:pt>
                <c:pt idx="2652">
                  <c:v>475.696</c:v>
                </c:pt>
                <c:pt idx="2653">
                  <c:v>475.861</c:v>
                </c:pt>
                <c:pt idx="2654">
                  <c:v>476.026</c:v>
                </c:pt>
                <c:pt idx="2655">
                  <c:v>476.1909999999999</c:v>
                </c:pt>
                <c:pt idx="2656">
                  <c:v>476.3589999999999</c:v>
                </c:pt>
                <c:pt idx="2657">
                  <c:v>476.529</c:v>
                </c:pt>
                <c:pt idx="2658">
                  <c:v>476.697</c:v>
                </c:pt>
                <c:pt idx="2659">
                  <c:v>476.863</c:v>
                </c:pt>
                <c:pt idx="2660">
                  <c:v>477.029</c:v>
                </c:pt>
                <c:pt idx="2661">
                  <c:v>477.196</c:v>
                </c:pt>
                <c:pt idx="2662">
                  <c:v>477.363</c:v>
                </c:pt>
                <c:pt idx="2663">
                  <c:v>477.5319999999986</c:v>
                </c:pt>
                <c:pt idx="2664">
                  <c:v>477.7029999999999</c:v>
                </c:pt>
                <c:pt idx="2665">
                  <c:v>477.873</c:v>
                </c:pt>
                <c:pt idx="2666">
                  <c:v>478.0419999999999</c:v>
                </c:pt>
                <c:pt idx="2667">
                  <c:v>478.213</c:v>
                </c:pt>
                <c:pt idx="2668">
                  <c:v>478.382</c:v>
                </c:pt>
                <c:pt idx="2669">
                  <c:v>478.551</c:v>
                </c:pt>
                <c:pt idx="2670">
                  <c:v>478.7189999999989</c:v>
                </c:pt>
                <c:pt idx="2671">
                  <c:v>478.887</c:v>
                </c:pt>
                <c:pt idx="2672">
                  <c:v>479.053</c:v>
                </c:pt>
                <c:pt idx="2673">
                  <c:v>479.218</c:v>
                </c:pt>
                <c:pt idx="2674">
                  <c:v>479.384</c:v>
                </c:pt>
                <c:pt idx="2675">
                  <c:v>479.551</c:v>
                </c:pt>
                <c:pt idx="2676">
                  <c:v>479.7169999999986</c:v>
                </c:pt>
                <c:pt idx="2677">
                  <c:v>479.8829999999999</c:v>
                </c:pt>
                <c:pt idx="2678">
                  <c:v>480.048</c:v>
                </c:pt>
                <c:pt idx="2679">
                  <c:v>480.214</c:v>
                </c:pt>
                <c:pt idx="2680">
                  <c:v>480.379</c:v>
                </c:pt>
                <c:pt idx="2681">
                  <c:v>480.5439999999999</c:v>
                </c:pt>
                <c:pt idx="2682">
                  <c:v>480.71</c:v>
                </c:pt>
                <c:pt idx="2683">
                  <c:v>480.878</c:v>
                </c:pt>
                <c:pt idx="2684">
                  <c:v>481.046</c:v>
                </c:pt>
                <c:pt idx="2685">
                  <c:v>481.214</c:v>
                </c:pt>
                <c:pt idx="2686">
                  <c:v>481.38</c:v>
                </c:pt>
                <c:pt idx="2687">
                  <c:v>481.5419999999999</c:v>
                </c:pt>
                <c:pt idx="2688">
                  <c:v>481.706</c:v>
                </c:pt>
                <c:pt idx="2689">
                  <c:v>481.872</c:v>
                </c:pt>
                <c:pt idx="2690">
                  <c:v>482.0389999999989</c:v>
                </c:pt>
                <c:pt idx="2691">
                  <c:v>482.208</c:v>
                </c:pt>
                <c:pt idx="2692">
                  <c:v>482.3759999999999</c:v>
                </c:pt>
                <c:pt idx="2693">
                  <c:v>482.541</c:v>
                </c:pt>
                <c:pt idx="2694">
                  <c:v>482.704</c:v>
                </c:pt>
                <c:pt idx="2695">
                  <c:v>482.8709999999999</c:v>
                </c:pt>
                <c:pt idx="2696">
                  <c:v>483.038</c:v>
                </c:pt>
                <c:pt idx="2697">
                  <c:v>483.206</c:v>
                </c:pt>
                <c:pt idx="2698">
                  <c:v>483.372</c:v>
                </c:pt>
                <c:pt idx="2699">
                  <c:v>483.5389999999989</c:v>
                </c:pt>
                <c:pt idx="2700">
                  <c:v>483.7049999999999</c:v>
                </c:pt>
                <c:pt idx="2701">
                  <c:v>483.8709999999999</c:v>
                </c:pt>
                <c:pt idx="2702">
                  <c:v>484.0389999999989</c:v>
                </c:pt>
                <c:pt idx="2703">
                  <c:v>484.21</c:v>
                </c:pt>
                <c:pt idx="2704">
                  <c:v>484.379</c:v>
                </c:pt>
                <c:pt idx="2705">
                  <c:v>484.5470000000001</c:v>
                </c:pt>
                <c:pt idx="2706">
                  <c:v>484.7149999999999</c:v>
                </c:pt>
                <c:pt idx="2707">
                  <c:v>484.886</c:v>
                </c:pt>
                <c:pt idx="2708">
                  <c:v>485.055</c:v>
                </c:pt>
                <c:pt idx="2709">
                  <c:v>485.2209999999992</c:v>
                </c:pt>
                <c:pt idx="2710">
                  <c:v>485.3879999999999</c:v>
                </c:pt>
                <c:pt idx="2711">
                  <c:v>485.5559999999999</c:v>
                </c:pt>
                <c:pt idx="2712">
                  <c:v>485.7239999999989</c:v>
                </c:pt>
                <c:pt idx="2713">
                  <c:v>485.89</c:v>
                </c:pt>
                <c:pt idx="2714">
                  <c:v>486.057</c:v>
                </c:pt>
                <c:pt idx="2715">
                  <c:v>486.22</c:v>
                </c:pt>
                <c:pt idx="2716">
                  <c:v>486.38</c:v>
                </c:pt>
                <c:pt idx="2717">
                  <c:v>486.545</c:v>
                </c:pt>
                <c:pt idx="2718">
                  <c:v>486.713</c:v>
                </c:pt>
                <c:pt idx="2719">
                  <c:v>486.8809999999999</c:v>
                </c:pt>
                <c:pt idx="2720">
                  <c:v>487.048</c:v>
                </c:pt>
                <c:pt idx="2721">
                  <c:v>487.2169999999986</c:v>
                </c:pt>
                <c:pt idx="2722">
                  <c:v>487.384</c:v>
                </c:pt>
                <c:pt idx="2723">
                  <c:v>487.552</c:v>
                </c:pt>
                <c:pt idx="2724">
                  <c:v>487.718</c:v>
                </c:pt>
                <c:pt idx="2725">
                  <c:v>487.884</c:v>
                </c:pt>
                <c:pt idx="2726">
                  <c:v>488.052</c:v>
                </c:pt>
                <c:pt idx="2727">
                  <c:v>488.22</c:v>
                </c:pt>
                <c:pt idx="2728">
                  <c:v>488.3879999999999</c:v>
                </c:pt>
                <c:pt idx="2729">
                  <c:v>488.5559999999999</c:v>
                </c:pt>
                <c:pt idx="2730">
                  <c:v>488.723</c:v>
                </c:pt>
                <c:pt idx="2731">
                  <c:v>488.8929999999999</c:v>
                </c:pt>
                <c:pt idx="2732">
                  <c:v>489.062</c:v>
                </c:pt>
                <c:pt idx="2733">
                  <c:v>489.2269999999986</c:v>
                </c:pt>
                <c:pt idx="2734">
                  <c:v>489.391</c:v>
                </c:pt>
                <c:pt idx="2735">
                  <c:v>489.5559999999999</c:v>
                </c:pt>
                <c:pt idx="2736">
                  <c:v>489.7239999999989</c:v>
                </c:pt>
                <c:pt idx="2737">
                  <c:v>489.891</c:v>
                </c:pt>
                <c:pt idx="2738">
                  <c:v>490.0590000000001</c:v>
                </c:pt>
                <c:pt idx="2739">
                  <c:v>490.2269999999986</c:v>
                </c:pt>
                <c:pt idx="2740">
                  <c:v>490.3969999999989</c:v>
                </c:pt>
                <c:pt idx="2741">
                  <c:v>490.565</c:v>
                </c:pt>
                <c:pt idx="2742">
                  <c:v>490.7329999999992</c:v>
                </c:pt>
                <c:pt idx="2743">
                  <c:v>490.8969999999989</c:v>
                </c:pt>
                <c:pt idx="2744">
                  <c:v>491.065</c:v>
                </c:pt>
                <c:pt idx="2745">
                  <c:v>491.2329999999992</c:v>
                </c:pt>
                <c:pt idx="2746">
                  <c:v>491.4</c:v>
                </c:pt>
                <c:pt idx="2747">
                  <c:v>491.5679999999999</c:v>
                </c:pt>
                <c:pt idx="2748">
                  <c:v>491.7359999999989</c:v>
                </c:pt>
                <c:pt idx="2749">
                  <c:v>491.904</c:v>
                </c:pt>
                <c:pt idx="2750">
                  <c:v>492.0729999999999</c:v>
                </c:pt>
                <c:pt idx="2751">
                  <c:v>492.241</c:v>
                </c:pt>
                <c:pt idx="2752">
                  <c:v>492.408</c:v>
                </c:pt>
                <c:pt idx="2753">
                  <c:v>492.576</c:v>
                </c:pt>
                <c:pt idx="2754">
                  <c:v>492.743</c:v>
                </c:pt>
                <c:pt idx="2755">
                  <c:v>492.9109999999989</c:v>
                </c:pt>
                <c:pt idx="2756">
                  <c:v>493.08</c:v>
                </c:pt>
                <c:pt idx="2757">
                  <c:v>493.25</c:v>
                </c:pt>
                <c:pt idx="2758">
                  <c:v>493.4179999999996</c:v>
                </c:pt>
                <c:pt idx="2759">
                  <c:v>493.5869999999989</c:v>
                </c:pt>
                <c:pt idx="2760">
                  <c:v>493.757</c:v>
                </c:pt>
                <c:pt idx="2761">
                  <c:v>493.9279999999989</c:v>
                </c:pt>
                <c:pt idx="2762">
                  <c:v>494.0969999999986</c:v>
                </c:pt>
                <c:pt idx="2763">
                  <c:v>494.266</c:v>
                </c:pt>
                <c:pt idx="2764">
                  <c:v>494.434</c:v>
                </c:pt>
                <c:pt idx="2765">
                  <c:v>494.598</c:v>
                </c:pt>
                <c:pt idx="2766">
                  <c:v>494.766</c:v>
                </c:pt>
                <c:pt idx="2767">
                  <c:v>494.9349999999989</c:v>
                </c:pt>
                <c:pt idx="2768">
                  <c:v>495.103</c:v>
                </c:pt>
                <c:pt idx="2769">
                  <c:v>495.27</c:v>
                </c:pt>
                <c:pt idx="2770">
                  <c:v>495.437</c:v>
                </c:pt>
                <c:pt idx="2771">
                  <c:v>495.6039999999999</c:v>
                </c:pt>
                <c:pt idx="2772">
                  <c:v>495.7719999999989</c:v>
                </c:pt>
                <c:pt idx="2773">
                  <c:v>495.939</c:v>
                </c:pt>
                <c:pt idx="2774">
                  <c:v>496.106</c:v>
                </c:pt>
                <c:pt idx="2775">
                  <c:v>496.276</c:v>
                </c:pt>
                <c:pt idx="2776">
                  <c:v>496.447</c:v>
                </c:pt>
                <c:pt idx="2777">
                  <c:v>496.6190000000001</c:v>
                </c:pt>
                <c:pt idx="2778">
                  <c:v>496.7889999999989</c:v>
                </c:pt>
                <c:pt idx="2779">
                  <c:v>496.958</c:v>
                </c:pt>
                <c:pt idx="2780">
                  <c:v>497.128</c:v>
                </c:pt>
                <c:pt idx="2781">
                  <c:v>497.295</c:v>
                </c:pt>
                <c:pt idx="2782">
                  <c:v>497.461</c:v>
                </c:pt>
                <c:pt idx="2783">
                  <c:v>497.627</c:v>
                </c:pt>
                <c:pt idx="2784">
                  <c:v>497.7939999999986</c:v>
                </c:pt>
                <c:pt idx="2785">
                  <c:v>497.963</c:v>
                </c:pt>
                <c:pt idx="2786">
                  <c:v>498.132</c:v>
                </c:pt>
                <c:pt idx="2787">
                  <c:v>498.302</c:v>
                </c:pt>
                <c:pt idx="2788">
                  <c:v>498.4739999999989</c:v>
                </c:pt>
                <c:pt idx="2789">
                  <c:v>498.644</c:v>
                </c:pt>
                <c:pt idx="2790">
                  <c:v>498.815</c:v>
                </c:pt>
                <c:pt idx="2791">
                  <c:v>498.9829999999992</c:v>
                </c:pt>
                <c:pt idx="2792">
                  <c:v>499.153</c:v>
                </c:pt>
                <c:pt idx="2793">
                  <c:v>499.325</c:v>
                </c:pt>
                <c:pt idx="2794">
                  <c:v>499.4959999999986</c:v>
                </c:pt>
                <c:pt idx="2795">
                  <c:v>499.6669999999999</c:v>
                </c:pt>
                <c:pt idx="2796">
                  <c:v>499.8369999999989</c:v>
                </c:pt>
                <c:pt idx="2797">
                  <c:v>500.0009999999999</c:v>
                </c:pt>
                <c:pt idx="2798">
                  <c:v>500.165</c:v>
                </c:pt>
                <c:pt idx="2799">
                  <c:v>500.333</c:v>
                </c:pt>
                <c:pt idx="2800">
                  <c:v>500.5009999999999</c:v>
                </c:pt>
                <c:pt idx="2801">
                  <c:v>500.668</c:v>
                </c:pt>
                <c:pt idx="2802">
                  <c:v>500.833</c:v>
                </c:pt>
                <c:pt idx="2803">
                  <c:v>500.9959999999986</c:v>
                </c:pt>
                <c:pt idx="2804">
                  <c:v>501.161</c:v>
                </c:pt>
                <c:pt idx="2805">
                  <c:v>501.325</c:v>
                </c:pt>
                <c:pt idx="2806">
                  <c:v>501.492</c:v>
                </c:pt>
                <c:pt idx="2807">
                  <c:v>501.6619999999999</c:v>
                </c:pt>
                <c:pt idx="2808">
                  <c:v>501.833</c:v>
                </c:pt>
                <c:pt idx="2809">
                  <c:v>502.003</c:v>
                </c:pt>
                <c:pt idx="2810">
                  <c:v>502.1720000000001</c:v>
                </c:pt>
                <c:pt idx="2811">
                  <c:v>502.341</c:v>
                </c:pt>
                <c:pt idx="2812">
                  <c:v>502.509</c:v>
                </c:pt>
                <c:pt idx="2813">
                  <c:v>502.6789999999999</c:v>
                </c:pt>
                <c:pt idx="2814">
                  <c:v>502.849</c:v>
                </c:pt>
                <c:pt idx="2815">
                  <c:v>503.02</c:v>
                </c:pt>
                <c:pt idx="2816">
                  <c:v>503.1909999999999</c:v>
                </c:pt>
                <c:pt idx="2817">
                  <c:v>503.36</c:v>
                </c:pt>
                <c:pt idx="2818">
                  <c:v>503.53</c:v>
                </c:pt>
                <c:pt idx="2819">
                  <c:v>503.6979999999999</c:v>
                </c:pt>
                <c:pt idx="2820">
                  <c:v>503.865</c:v>
                </c:pt>
                <c:pt idx="2821">
                  <c:v>504.028</c:v>
                </c:pt>
                <c:pt idx="2822">
                  <c:v>504.1909999999999</c:v>
                </c:pt>
                <c:pt idx="2823">
                  <c:v>504.3570000000001</c:v>
                </c:pt>
                <c:pt idx="2824">
                  <c:v>504.5249999999999</c:v>
                </c:pt>
                <c:pt idx="2825">
                  <c:v>504.695</c:v>
                </c:pt>
                <c:pt idx="2826">
                  <c:v>504.867</c:v>
                </c:pt>
                <c:pt idx="2827">
                  <c:v>505.0389999999989</c:v>
                </c:pt>
                <c:pt idx="2828">
                  <c:v>505.211</c:v>
                </c:pt>
                <c:pt idx="2829">
                  <c:v>505.3829999999999</c:v>
                </c:pt>
                <c:pt idx="2830">
                  <c:v>505.553</c:v>
                </c:pt>
                <c:pt idx="2831">
                  <c:v>505.7219999999986</c:v>
                </c:pt>
                <c:pt idx="2832">
                  <c:v>505.8879999999999</c:v>
                </c:pt>
                <c:pt idx="2833">
                  <c:v>506.055</c:v>
                </c:pt>
                <c:pt idx="2834">
                  <c:v>506.2219999999986</c:v>
                </c:pt>
                <c:pt idx="2835">
                  <c:v>506.39</c:v>
                </c:pt>
                <c:pt idx="2836">
                  <c:v>506.5590000000001</c:v>
                </c:pt>
                <c:pt idx="2837">
                  <c:v>506.728</c:v>
                </c:pt>
                <c:pt idx="2838">
                  <c:v>506.8969999999989</c:v>
                </c:pt>
                <c:pt idx="2839">
                  <c:v>507.0659999999999</c:v>
                </c:pt>
                <c:pt idx="2840">
                  <c:v>507.237</c:v>
                </c:pt>
                <c:pt idx="2841">
                  <c:v>507.4069999999986</c:v>
                </c:pt>
                <c:pt idx="2842">
                  <c:v>507.5779999999999</c:v>
                </c:pt>
                <c:pt idx="2843">
                  <c:v>507.749</c:v>
                </c:pt>
                <c:pt idx="2844">
                  <c:v>507.9189999999986</c:v>
                </c:pt>
                <c:pt idx="2845">
                  <c:v>508.089</c:v>
                </c:pt>
                <c:pt idx="2846">
                  <c:v>508.257</c:v>
                </c:pt>
                <c:pt idx="2847">
                  <c:v>508.4239999999986</c:v>
                </c:pt>
                <c:pt idx="2848">
                  <c:v>508.5919999999986</c:v>
                </c:pt>
                <c:pt idx="2849">
                  <c:v>508.761</c:v>
                </c:pt>
                <c:pt idx="2850">
                  <c:v>508.9309999999986</c:v>
                </c:pt>
                <c:pt idx="2851">
                  <c:v>509.1</c:v>
                </c:pt>
                <c:pt idx="2852">
                  <c:v>509.266</c:v>
                </c:pt>
                <c:pt idx="2853">
                  <c:v>509.432</c:v>
                </c:pt>
                <c:pt idx="2854">
                  <c:v>509.601</c:v>
                </c:pt>
                <c:pt idx="2855">
                  <c:v>509.773</c:v>
                </c:pt>
                <c:pt idx="2856">
                  <c:v>509.946</c:v>
                </c:pt>
                <c:pt idx="2857">
                  <c:v>510.116</c:v>
                </c:pt>
                <c:pt idx="2858">
                  <c:v>510.2839999999989</c:v>
                </c:pt>
                <c:pt idx="2859">
                  <c:v>510.452</c:v>
                </c:pt>
                <c:pt idx="2860">
                  <c:v>510.62</c:v>
                </c:pt>
                <c:pt idx="2861">
                  <c:v>510.788</c:v>
                </c:pt>
                <c:pt idx="2862">
                  <c:v>510.956</c:v>
                </c:pt>
                <c:pt idx="2863">
                  <c:v>511.122</c:v>
                </c:pt>
                <c:pt idx="2864">
                  <c:v>511.29</c:v>
                </c:pt>
                <c:pt idx="2865">
                  <c:v>511.458</c:v>
                </c:pt>
                <c:pt idx="2866">
                  <c:v>511.624</c:v>
                </c:pt>
                <c:pt idx="2867">
                  <c:v>511.7889999999989</c:v>
                </c:pt>
                <c:pt idx="2868">
                  <c:v>511.9529999999999</c:v>
                </c:pt>
                <c:pt idx="2869">
                  <c:v>512.12</c:v>
                </c:pt>
                <c:pt idx="2870">
                  <c:v>512.285</c:v>
                </c:pt>
                <c:pt idx="2871">
                  <c:v>512.4539999999994</c:v>
                </c:pt>
                <c:pt idx="2872">
                  <c:v>512.623</c:v>
                </c:pt>
                <c:pt idx="2873">
                  <c:v>512.791</c:v>
                </c:pt>
                <c:pt idx="2874">
                  <c:v>512.9599999999979</c:v>
                </c:pt>
                <c:pt idx="2875">
                  <c:v>513.131</c:v>
                </c:pt>
                <c:pt idx="2876">
                  <c:v>513.303</c:v>
                </c:pt>
                <c:pt idx="2877">
                  <c:v>513.473</c:v>
                </c:pt>
                <c:pt idx="2878">
                  <c:v>513.646</c:v>
                </c:pt>
                <c:pt idx="2879">
                  <c:v>513.819</c:v>
                </c:pt>
                <c:pt idx="2880">
                  <c:v>513.991</c:v>
                </c:pt>
                <c:pt idx="2881">
                  <c:v>514.1619999999979</c:v>
                </c:pt>
                <c:pt idx="2882">
                  <c:v>514.3349999999979</c:v>
                </c:pt>
                <c:pt idx="2883">
                  <c:v>514.503</c:v>
                </c:pt>
                <c:pt idx="2884">
                  <c:v>514.6659999999994</c:v>
                </c:pt>
                <c:pt idx="2885">
                  <c:v>514.8339999999994</c:v>
                </c:pt>
                <c:pt idx="2886">
                  <c:v>515.0019999999994</c:v>
                </c:pt>
                <c:pt idx="2887">
                  <c:v>515.171</c:v>
                </c:pt>
                <c:pt idx="2888">
                  <c:v>515.3399999999979</c:v>
                </c:pt>
                <c:pt idx="2889">
                  <c:v>515.506</c:v>
                </c:pt>
                <c:pt idx="2890">
                  <c:v>515.675</c:v>
                </c:pt>
                <c:pt idx="2891">
                  <c:v>515.8409999999974</c:v>
                </c:pt>
                <c:pt idx="2892">
                  <c:v>516.011</c:v>
                </c:pt>
                <c:pt idx="2893">
                  <c:v>516.181</c:v>
                </c:pt>
                <c:pt idx="2894">
                  <c:v>516.3499999999979</c:v>
                </c:pt>
                <c:pt idx="2895">
                  <c:v>516.521</c:v>
                </c:pt>
                <c:pt idx="2896">
                  <c:v>516.691</c:v>
                </c:pt>
                <c:pt idx="2897">
                  <c:v>516.8609999999974</c:v>
                </c:pt>
                <c:pt idx="2898">
                  <c:v>517.0319999999994</c:v>
                </c:pt>
                <c:pt idx="2899">
                  <c:v>517.204</c:v>
                </c:pt>
                <c:pt idx="2900">
                  <c:v>517.374</c:v>
                </c:pt>
                <c:pt idx="2901">
                  <c:v>517.544</c:v>
                </c:pt>
                <c:pt idx="2902">
                  <c:v>517.713</c:v>
                </c:pt>
                <c:pt idx="2903">
                  <c:v>517.883</c:v>
                </c:pt>
                <c:pt idx="2904">
                  <c:v>518.053</c:v>
                </c:pt>
                <c:pt idx="2905">
                  <c:v>518.225</c:v>
                </c:pt>
                <c:pt idx="2906">
                  <c:v>518.394</c:v>
                </c:pt>
                <c:pt idx="2907">
                  <c:v>518.5629999999974</c:v>
                </c:pt>
                <c:pt idx="2908">
                  <c:v>518.729</c:v>
                </c:pt>
                <c:pt idx="2909">
                  <c:v>518.896</c:v>
                </c:pt>
                <c:pt idx="2910">
                  <c:v>519.0629999999974</c:v>
                </c:pt>
                <c:pt idx="2911">
                  <c:v>519.231</c:v>
                </c:pt>
                <c:pt idx="2912">
                  <c:v>519.396</c:v>
                </c:pt>
                <c:pt idx="2913">
                  <c:v>519.559</c:v>
                </c:pt>
                <c:pt idx="2914">
                  <c:v>519.723</c:v>
                </c:pt>
                <c:pt idx="2915">
                  <c:v>519.889</c:v>
                </c:pt>
                <c:pt idx="2916">
                  <c:v>520.0559999999994</c:v>
                </c:pt>
                <c:pt idx="2917">
                  <c:v>520.223</c:v>
                </c:pt>
                <c:pt idx="2918">
                  <c:v>520.39</c:v>
                </c:pt>
                <c:pt idx="2919">
                  <c:v>520.559</c:v>
                </c:pt>
                <c:pt idx="2920">
                  <c:v>520.724</c:v>
                </c:pt>
                <c:pt idx="2921">
                  <c:v>520.8919999999994</c:v>
                </c:pt>
                <c:pt idx="2922">
                  <c:v>521.0609999999979</c:v>
                </c:pt>
                <c:pt idx="2923">
                  <c:v>521.23</c:v>
                </c:pt>
                <c:pt idx="2924">
                  <c:v>521.398</c:v>
                </c:pt>
                <c:pt idx="2925">
                  <c:v>521.5649999999994</c:v>
                </c:pt>
                <c:pt idx="2926">
                  <c:v>521.7329999999994</c:v>
                </c:pt>
                <c:pt idx="2927">
                  <c:v>521.9019999999994</c:v>
                </c:pt>
                <c:pt idx="2928">
                  <c:v>522.0659999999979</c:v>
                </c:pt>
                <c:pt idx="2929">
                  <c:v>522.23</c:v>
                </c:pt>
                <c:pt idx="2930">
                  <c:v>522.39</c:v>
                </c:pt>
                <c:pt idx="2931">
                  <c:v>522.5509999999994</c:v>
                </c:pt>
                <c:pt idx="2932">
                  <c:v>522.717</c:v>
                </c:pt>
                <c:pt idx="2933">
                  <c:v>522.881</c:v>
                </c:pt>
                <c:pt idx="2934">
                  <c:v>523.048</c:v>
                </c:pt>
                <c:pt idx="2935">
                  <c:v>523.217</c:v>
                </c:pt>
                <c:pt idx="2936">
                  <c:v>523.388</c:v>
                </c:pt>
                <c:pt idx="2937">
                  <c:v>523.559</c:v>
                </c:pt>
                <c:pt idx="2938">
                  <c:v>523.729</c:v>
                </c:pt>
                <c:pt idx="2939">
                  <c:v>523.899</c:v>
                </c:pt>
                <c:pt idx="2940">
                  <c:v>524.0659999999979</c:v>
                </c:pt>
                <c:pt idx="2941">
                  <c:v>524.236</c:v>
                </c:pt>
                <c:pt idx="2942">
                  <c:v>524.4059999999994</c:v>
                </c:pt>
                <c:pt idx="2943">
                  <c:v>524.577</c:v>
                </c:pt>
                <c:pt idx="2944">
                  <c:v>524.747</c:v>
                </c:pt>
                <c:pt idx="2945">
                  <c:v>524.9159999999994</c:v>
                </c:pt>
                <c:pt idx="2946">
                  <c:v>525.083</c:v>
                </c:pt>
                <c:pt idx="2947">
                  <c:v>525.2519999999994</c:v>
                </c:pt>
                <c:pt idx="2948">
                  <c:v>525.419</c:v>
                </c:pt>
                <c:pt idx="2949">
                  <c:v>525.587</c:v>
                </c:pt>
                <c:pt idx="2950">
                  <c:v>525.754</c:v>
                </c:pt>
                <c:pt idx="2951">
                  <c:v>525.9219999999979</c:v>
                </c:pt>
                <c:pt idx="2952">
                  <c:v>526.088</c:v>
                </c:pt>
                <c:pt idx="2953">
                  <c:v>526.251</c:v>
                </c:pt>
                <c:pt idx="2954">
                  <c:v>526.414</c:v>
                </c:pt>
                <c:pt idx="2955">
                  <c:v>526.577</c:v>
                </c:pt>
                <c:pt idx="2956">
                  <c:v>526.74</c:v>
                </c:pt>
                <c:pt idx="2957">
                  <c:v>526.903</c:v>
                </c:pt>
                <c:pt idx="2958">
                  <c:v>527.0669999999974</c:v>
                </c:pt>
                <c:pt idx="2959">
                  <c:v>527.2329999999994</c:v>
                </c:pt>
                <c:pt idx="2960">
                  <c:v>527.399</c:v>
                </c:pt>
                <c:pt idx="2961">
                  <c:v>527.569</c:v>
                </c:pt>
                <c:pt idx="2962">
                  <c:v>527.741</c:v>
                </c:pt>
                <c:pt idx="2963">
                  <c:v>527.913</c:v>
                </c:pt>
                <c:pt idx="2964">
                  <c:v>528.082</c:v>
                </c:pt>
                <c:pt idx="2965">
                  <c:v>528.256</c:v>
                </c:pt>
                <c:pt idx="2966">
                  <c:v>528.4269999999979</c:v>
                </c:pt>
                <c:pt idx="2967">
                  <c:v>528.596</c:v>
                </c:pt>
                <c:pt idx="2968">
                  <c:v>528.7619999999994</c:v>
                </c:pt>
                <c:pt idx="2969">
                  <c:v>528.929</c:v>
                </c:pt>
                <c:pt idx="2970">
                  <c:v>529.095</c:v>
                </c:pt>
                <c:pt idx="2971">
                  <c:v>529.265</c:v>
                </c:pt>
                <c:pt idx="2972">
                  <c:v>529.4359999999979</c:v>
                </c:pt>
                <c:pt idx="2973">
                  <c:v>529.606</c:v>
                </c:pt>
                <c:pt idx="2974">
                  <c:v>529.775</c:v>
                </c:pt>
                <c:pt idx="2975">
                  <c:v>529.9409999999979</c:v>
                </c:pt>
                <c:pt idx="2976">
                  <c:v>530.1029999999994</c:v>
                </c:pt>
                <c:pt idx="2977">
                  <c:v>530.27</c:v>
                </c:pt>
                <c:pt idx="2978">
                  <c:v>530.4349999999994</c:v>
                </c:pt>
                <c:pt idx="2979">
                  <c:v>530.597</c:v>
                </c:pt>
                <c:pt idx="2980">
                  <c:v>530.76</c:v>
                </c:pt>
                <c:pt idx="2981">
                  <c:v>530.924</c:v>
                </c:pt>
                <c:pt idx="2982">
                  <c:v>531.092</c:v>
                </c:pt>
                <c:pt idx="2983">
                  <c:v>531.258</c:v>
                </c:pt>
                <c:pt idx="2984">
                  <c:v>531.4249999999994</c:v>
                </c:pt>
                <c:pt idx="2985">
                  <c:v>531.594</c:v>
                </c:pt>
                <c:pt idx="2986">
                  <c:v>531.764</c:v>
                </c:pt>
                <c:pt idx="2987">
                  <c:v>531.934</c:v>
                </c:pt>
                <c:pt idx="2988">
                  <c:v>532.1029999999994</c:v>
                </c:pt>
                <c:pt idx="2989">
                  <c:v>532.271</c:v>
                </c:pt>
                <c:pt idx="2990">
                  <c:v>532.4379999999974</c:v>
                </c:pt>
                <c:pt idx="2991">
                  <c:v>532.605</c:v>
                </c:pt>
                <c:pt idx="2992">
                  <c:v>532.772</c:v>
                </c:pt>
                <c:pt idx="2993">
                  <c:v>532.939</c:v>
                </c:pt>
                <c:pt idx="2994">
                  <c:v>533.106</c:v>
                </c:pt>
                <c:pt idx="2995">
                  <c:v>533.273</c:v>
                </c:pt>
                <c:pt idx="2996">
                  <c:v>533.4379999999974</c:v>
                </c:pt>
                <c:pt idx="2997">
                  <c:v>533.6029999999994</c:v>
                </c:pt>
                <c:pt idx="2998">
                  <c:v>533.764</c:v>
                </c:pt>
                <c:pt idx="2999">
                  <c:v>533.9259999999994</c:v>
                </c:pt>
                <c:pt idx="3000">
                  <c:v>534.09</c:v>
                </c:pt>
                <c:pt idx="3001">
                  <c:v>534.256</c:v>
                </c:pt>
                <c:pt idx="3002">
                  <c:v>534.423</c:v>
                </c:pt>
                <c:pt idx="3003">
                  <c:v>534.59</c:v>
                </c:pt>
                <c:pt idx="3004">
                  <c:v>534.755</c:v>
                </c:pt>
                <c:pt idx="3005">
                  <c:v>534.9209999999994</c:v>
                </c:pt>
                <c:pt idx="3006">
                  <c:v>535.091</c:v>
                </c:pt>
                <c:pt idx="3007">
                  <c:v>535.256</c:v>
                </c:pt>
                <c:pt idx="3008">
                  <c:v>535.4219999999979</c:v>
                </c:pt>
                <c:pt idx="3009">
                  <c:v>535.585</c:v>
                </c:pt>
                <c:pt idx="3010">
                  <c:v>535.751</c:v>
                </c:pt>
                <c:pt idx="3011">
                  <c:v>535.92</c:v>
                </c:pt>
                <c:pt idx="3012">
                  <c:v>536.09</c:v>
                </c:pt>
                <c:pt idx="3013">
                  <c:v>536.26</c:v>
                </c:pt>
                <c:pt idx="3014">
                  <c:v>536.4299999999994</c:v>
                </c:pt>
                <c:pt idx="3015">
                  <c:v>536.6029999999994</c:v>
                </c:pt>
                <c:pt idx="3016">
                  <c:v>536.775</c:v>
                </c:pt>
                <c:pt idx="3017">
                  <c:v>536.944</c:v>
                </c:pt>
                <c:pt idx="3018">
                  <c:v>537.114</c:v>
                </c:pt>
                <c:pt idx="3019">
                  <c:v>537.283</c:v>
                </c:pt>
                <c:pt idx="3020">
                  <c:v>537.4529999999974</c:v>
                </c:pt>
                <c:pt idx="3021">
                  <c:v>537.622</c:v>
                </c:pt>
                <c:pt idx="3022">
                  <c:v>537.792</c:v>
                </c:pt>
                <c:pt idx="3023">
                  <c:v>537.9619999999974</c:v>
                </c:pt>
                <c:pt idx="3024">
                  <c:v>538.1269999999994</c:v>
                </c:pt>
                <c:pt idx="3025">
                  <c:v>538.292</c:v>
                </c:pt>
                <c:pt idx="3026">
                  <c:v>538.4599999999979</c:v>
                </c:pt>
                <c:pt idx="3027">
                  <c:v>538.63</c:v>
                </c:pt>
                <c:pt idx="3028">
                  <c:v>538.8</c:v>
                </c:pt>
                <c:pt idx="3029">
                  <c:v>538.97</c:v>
                </c:pt>
                <c:pt idx="3030">
                  <c:v>539.1369999999994</c:v>
                </c:pt>
                <c:pt idx="3031">
                  <c:v>539.3059999999994</c:v>
                </c:pt>
                <c:pt idx="3032">
                  <c:v>539.4779999999994</c:v>
                </c:pt>
                <c:pt idx="3033">
                  <c:v>539.65</c:v>
                </c:pt>
                <c:pt idx="3034">
                  <c:v>539.824</c:v>
                </c:pt>
                <c:pt idx="3035">
                  <c:v>539.996</c:v>
                </c:pt>
                <c:pt idx="3036">
                  <c:v>540.1659999999994</c:v>
                </c:pt>
                <c:pt idx="3037">
                  <c:v>540.3359999999974</c:v>
                </c:pt>
                <c:pt idx="3038">
                  <c:v>540.504</c:v>
                </c:pt>
                <c:pt idx="3039">
                  <c:v>540.671</c:v>
                </c:pt>
                <c:pt idx="3040">
                  <c:v>540.8369999999974</c:v>
                </c:pt>
                <c:pt idx="3041">
                  <c:v>540.997</c:v>
                </c:pt>
                <c:pt idx="3042">
                  <c:v>541.1569999999994</c:v>
                </c:pt>
                <c:pt idx="3043">
                  <c:v>541.319</c:v>
                </c:pt>
                <c:pt idx="3044">
                  <c:v>541.484</c:v>
                </c:pt>
                <c:pt idx="3045">
                  <c:v>541.65</c:v>
                </c:pt>
                <c:pt idx="3046">
                  <c:v>541.8169999999974</c:v>
                </c:pt>
                <c:pt idx="3047">
                  <c:v>541.986</c:v>
                </c:pt>
                <c:pt idx="3048">
                  <c:v>542.154</c:v>
                </c:pt>
                <c:pt idx="3049">
                  <c:v>542.3259999999979</c:v>
                </c:pt>
                <c:pt idx="3050">
                  <c:v>542.499</c:v>
                </c:pt>
                <c:pt idx="3051">
                  <c:v>542.671</c:v>
                </c:pt>
                <c:pt idx="3052">
                  <c:v>542.8429999999923</c:v>
                </c:pt>
                <c:pt idx="3053">
                  <c:v>543.011</c:v>
                </c:pt>
                <c:pt idx="3054">
                  <c:v>543.179</c:v>
                </c:pt>
                <c:pt idx="3055">
                  <c:v>543.3489999999994</c:v>
                </c:pt>
                <c:pt idx="3056">
                  <c:v>543.519</c:v>
                </c:pt>
                <c:pt idx="3057">
                  <c:v>543.689</c:v>
                </c:pt>
                <c:pt idx="3058">
                  <c:v>543.8579999999816</c:v>
                </c:pt>
                <c:pt idx="3059">
                  <c:v>544.0269999999994</c:v>
                </c:pt>
                <c:pt idx="3060">
                  <c:v>544.195</c:v>
                </c:pt>
                <c:pt idx="3061">
                  <c:v>544.3579999999816</c:v>
                </c:pt>
                <c:pt idx="3062">
                  <c:v>544.513</c:v>
                </c:pt>
                <c:pt idx="3063">
                  <c:v>544.6659999999994</c:v>
                </c:pt>
                <c:pt idx="3064">
                  <c:v>544.8259999999979</c:v>
                </c:pt>
                <c:pt idx="3065">
                  <c:v>544.998</c:v>
                </c:pt>
                <c:pt idx="3066">
                  <c:v>545.173</c:v>
                </c:pt>
                <c:pt idx="3067">
                  <c:v>545.3549999999979</c:v>
                </c:pt>
                <c:pt idx="3068">
                  <c:v>545.5359999999994</c:v>
                </c:pt>
                <c:pt idx="3069">
                  <c:v>545.711</c:v>
                </c:pt>
                <c:pt idx="3070">
                  <c:v>545.885</c:v>
                </c:pt>
                <c:pt idx="3071">
                  <c:v>546.0599999999994</c:v>
                </c:pt>
                <c:pt idx="3072">
                  <c:v>546.237</c:v>
                </c:pt>
                <c:pt idx="3073">
                  <c:v>546.413</c:v>
                </c:pt>
                <c:pt idx="3074">
                  <c:v>546.592</c:v>
                </c:pt>
                <c:pt idx="3075">
                  <c:v>546.765</c:v>
                </c:pt>
                <c:pt idx="3076">
                  <c:v>546.934</c:v>
                </c:pt>
                <c:pt idx="3077">
                  <c:v>547.094</c:v>
                </c:pt>
                <c:pt idx="3078">
                  <c:v>547.248</c:v>
                </c:pt>
                <c:pt idx="3079">
                  <c:v>547.4019999999994</c:v>
                </c:pt>
                <c:pt idx="3080">
                  <c:v>547.559</c:v>
                </c:pt>
                <c:pt idx="3081">
                  <c:v>547.717</c:v>
                </c:pt>
                <c:pt idx="3082">
                  <c:v>547.878</c:v>
                </c:pt>
                <c:pt idx="3083">
                  <c:v>548.044</c:v>
                </c:pt>
                <c:pt idx="3084">
                  <c:v>548.213</c:v>
                </c:pt>
                <c:pt idx="3085">
                  <c:v>548.3769999999994</c:v>
                </c:pt>
                <c:pt idx="3086">
                  <c:v>548.5409999999994</c:v>
                </c:pt>
                <c:pt idx="3087">
                  <c:v>548.707</c:v>
                </c:pt>
                <c:pt idx="3088">
                  <c:v>548.875</c:v>
                </c:pt>
                <c:pt idx="3089">
                  <c:v>549.0459999999994</c:v>
                </c:pt>
                <c:pt idx="3090">
                  <c:v>549.219</c:v>
                </c:pt>
                <c:pt idx="3091">
                  <c:v>549.39</c:v>
                </c:pt>
                <c:pt idx="3092">
                  <c:v>549.5619999999974</c:v>
                </c:pt>
                <c:pt idx="3093">
                  <c:v>549.734</c:v>
                </c:pt>
                <c:pt idx="3094">
                  <c:v>549.9069999999994</c:v>
                </c:pt>
                <c:pt idx="3095">
                  <c:v>550.079</c:v>
                </c:pt>
                <c:pt idx="3096">
                  <c:v>550.248</c:v>
                </c:pt>
                <c:pt idx="3097">
                  <c:v>550.4169999999979</c:v>
                </c:pt>
                <c:pt idx="3098">
                  <c:v>550.588</c:v>
                </c:pt>
                <c:pt idx="3099">
                  <c:v>550.76</c:v>
                </c:pt>
                <c:pt idx="3100">
                  <c:v>550.9349999999994</c:v>
                </c:pt>
                <c:pt idx="3101">
                  <c:v>551.109</c:v>
                </c:pt>
                <c:pt idx="3102">
                  <c:v>551.283</c:v>
                </c:pt>
                <c:pt idx="3103">
                  <c:v>551.4549999999994</c:v>
                </c:pt>
                <c:pt idx="3104">
                  <c:v>551.622</c:v>
                </c:pt>
                <c:pt idx="3105">
                  <c:v>551.787</c:v>
                </c:pt>
                <c:pt idx="3106">
                  <c:v>551.9519999999974</c:v>
                </c:pt>
                <c:pt idx="3107">
                  <c:v>552.123</c:v>
                </c:pt>
                <c:pt idx="3108">
                  <c:v>552.299</c:v>
                </c:pt>
                <c:pt idx="3109">
                  <c:v>552.471</c:v>
                </c:pt>
                <c:pt idx="3110">
                  <c:v>552.643</c:v>
                </c:pt>
                <c:pt idx="3111">
                  <c:v>552.8179999999974</c:v>
                </c:pt>
                <c:pt idx="3112">
                  <c:v>552.993</c:v>
                </c:pt>
                <c:pt idx="3113">
                  <c:v>553.1669999999979</c:v>
                </c:pt>
                <c:pt idx="3114">
                  <c:v>553.3399999999979</c:v>
                </c:pt>
                <c:pt idx="3115">
                  <c:v>553.514</c:v>
                </c:pt>
                <c:pt idx="3116">
                  <c:v>553.691</c:v>
                </c:pt>
                <c:pt idx="3117">
                  <c:v>553.8689999999979</c:v>
                </c:pt>
                <c:pt idx="3118">
                  <c:v>554.0419999999979</c:v>
                </c:pt>
                <c:pt idx="3119">
                  <c:v>554.2140000000001</c:v>
                </c:pt>
                <c:pt idx="3120">
                  <c:v>554.385</c:v>
                </c:pt>
                <c:pt idx="3121">
                  <c:v>554.5509999999994</c:v>
                </c:pt>
                <c:pt idx="3122">
                  <c:v>554.719</c:v>
                </c:pt>
                <c:pt idx="3123">
                  <c:v>554.8869999999994</c:v>
                </c:pt>
                <c:pt idx="3124">
                  <c:v>555.0559999999994</c:v>
                </c:pt>
                <c:pt idx="3125">
                  <c:v>555.224</c:v>
                </c:pt>
                <c:pt idx="3126">
                  <c:v>555.3969999999994</c:v>
                </c:pt>
                <c:pt idx="3127">
                  <c:v>555.571</c:v>
                </c:pt>
                <c:pt idx="3128">
                  <c:v>555.748</c:v>
                </c:pt>
                <c:pt idx="3129">
                  <c:v>555.9249999999994</c:v>
                </c:pt>
                <c:pt idx="3130">
                  <c:v>556.105</c:v>
                </c:pt>
                <c:pt idx="3131">
                  <c:v>556.278</c:v>
                </c:pt>
                <c:pt idx="3132">
                  <c:v>556.4469999999974</c:v>
                </c:pt>
                <c:pt idx="3133">
                  <c:v>556.6130000000001</c:v>
                </c:pt>
                <c:pt idx="3134">
                  <c:v>556.777</c:v>
                </c:pt>
                <c:pt idx="3135">
                  <c:v>556.9449999999994</c:v>
                </c:pt>
                <c:pt idx="3136">
                  <c:v>557.1130000000001</c:v>
                </c:pt>
                <c:pt idx="3137">
                  <c:v>557.28</c:v>
                </c:pt>
                <c:pt idx="3138">
                  <c:v>557.4479999999974</c:v>
                </c:pt>
                <c:pt idx="3139">
                  <c:v>557.614</c:v>
                </c:pt>
                <c:pt idx="3140">
                  <c:v>557.78</c:v>
                </c:pt>
                <c:pt idx="3141">
                  <c:v>557.9449999999994</c:v>
                </c:pt>
                <c:pt idx="3142">
                  <c:v>558.11</c:v>
                </c:pt>
                <c:pt idx="3143">
                  <c:v>558.277</c:v>
                </c:pt>
                <c:pt idx="3144">
                  <c:v>558.444</c:v>
                </c:pt>
                <c:pt idx="3145">
                  <c:v>558.614</c:v>
                </c:pt>
                <c:pt idx="3146">
                  <c:v>558.787</c:v>
                </c:pt>
                <c:pt idx="3147">
                  <c:v>558.9569999999974</c:v>
                </c:pt>
                <c:pt idx="3148">
                  <c:v>559.124</c:v>
                </c:pt>
                <c:pt idx="3149">
                  <c:v>559.294</c:v>
                </c:pt>
                <c:pt idx="3150">
                  <c:v>559.4679999999923</c:v>
                </c:pt>
                <c:pt idx="3151">
                  <c:v>559.641</c:v>
                </c:pt>
                <c:pt idx="3152">
                  <c:v>559.8149999999994</c:v>
                </c:pt>
                <c:pt idx="3153">
                  <c:v>559.986</c:v>
                </c:pt>
                <c:pt idx="3154">
                  <c:v>560.1519999999994</c:v>
                </c:pt>
                <c:pt idx="3155">
                  <c:v>560.3129999999974</c:v>
                </c:pt>
                <c:pt idx="3156">
                  <c:v>560.4779999999994</c:v>
                </c:pt>
                <c:pt idx="3157">
                  <c:v>560.648</c:v>
                </c:pt>
                <c:pt idx="3158">
                  <c:v>560.8159999999979</c:v>
                </c:pt>
                <c:pt idx="3159">
                  <c:v>560.9829999999994</c:v>
                </c:pt>
                <c:pt idx="3160">
                  <c:v>561.149</c:v>
                </c:pt>
                <c:pt idx="3161">
                  <c:v>561.3179999999974</c:v>
                </c:pt>
                <c:pt idx="3162">
                  <c:v>561.489</c:v>
                </c:pt>
                <c:pt idx="3163">
                  <c:v>561.6559999999994</c:v>
                </c:pt>
                <c:pt idx="3164">
                  <c:v>561.8249999999994</c:v>
                </c:pt>
                <c:pt idx="3165">
                  <c:v>561.994</c:v>
                </c:pt>
                <c:pt idx="3166">
                  <c:v>562.164</c:v>
                </c:pt>
                <c:pt idx="3167">
                  <c:v>562.3329999999974</c:v>
                </c:pt>
                <c:pt idx="3168">
                  <c:v>562.501</c:v>
                </c:pt>
                <c:pt idx="3169">
                  <c:v>562.669</c:v>
                </c:pt>
                <c:pt idx="3170">
                  <c:v>562.8339999999994</c:v>
                </c:pt>
                <c:pt idx="3171">
                  <c:v>563.004</c:v>
                </c:pt>
                <c:pt idx="3172">
                  <c:v>563.177</c:v>
                </c:pt>
                <c:pt idx="3173">
                  <c:v>563.3539999999994</c:v>
                </c:pt>
                <c:pt idx="3174">
                  <c:v>563.5319999999994</c:v>
                </c:pt>
                <c:pt idx="3175">
                  <c:v>563.709</c:v>
                </c:pt>
                <c:pt idx="3176">
                  <c:v>563.885</c:v>
                </c:pt>
                <c:pt idx="3177">
                  <c:v>564.0599999999994</c:v>
                </c:pt>
                <c:pt idx="3178">
                  <c:v>564.231</c:v>
                </c:pt>
                <c:pt idx="3179">
                  <c:v>564.394</c:v>
                </c:pt>
                <c:pt idx="3180">
                  <c:v>564.5549999999994</c:v>
                </c:pt>
                <c:pt idx="3181">
                  <c:v>564.718</c:v>
                </c:pt>
                <c:pt idx="3182">
                  <c:v>564.888</c:v>
                </c:pt>
                <c:pt idx="3183">
                  <c:v>565.0629999999974</c:v>
                </c:pt>
                <c:pt idx="3184">
                  <c:v>565.235</c:v>
                </c:pt>
                <c:pt idx="3185">
                  <c:v>565.405</c:v>
                </c:pt>
                <c:pt idx="3186">
                  <c:v>565.575</c:v>
                </c:pt>
                <c:pt idx="3187">
                  <c:v>565.746</c:v>
                </c:pt>
                <c:pt idx="3188">
                  <c:v>565.919</c:v>
                </c:pt>
                <c:pt idx="3189">
                  <c:v>566.091</c:v>
                </c:pt>
                <c:pt idx="3190">
                  <c:v>566.265</c:v>
                </c:pt>
                <c:pt idx="3191">
                  <c:v>566.4359999999979</c:v>
                </c:pt>
                <c:pt idx="3192">
                  <c:v>566.605</c:v>
                </c:pt>
                <c:pt idx="3193">
                  <c:v>566.773</c:v>
                </c:pt>
                <c:pt idx="3194">
                  <c:v>566.939</c:v>
                </c:pt>
                <c:pt idx="3195">
                  <c:v>567.099</c:v>
                </c:pt>
                <c:pt idx="3196">
                  <c:v>567.26</c:v>
                </c:pt>
                <c:pt idx="3197">
                  <c:v>567.4249999999994</c:v>
                </c:pt>
                <c:pt idx="3198">
                  <c:v>567.591</c:v>
                </c:pt>
                <c:pt idx="3199">
                  <c:v>567.7619999999994</c:v>
                </c:pt>
                <c:pt idx="3200">
                  <c:v>567.9329999999974</c:v>
                </c:pt>
                <c:pt idx="3201">
                  <c:v>568.106</c:v>
                </c:pt>
                <c:pt idx="3202">
                  <c:v>568.281</c:v>
                </c:pt>
                <c:pt idx="3203">
                  <c:v>568.4559999999979</c:v>
                </c:pt>
                <c:pt idx="3204">
                  <c:v>568.63</c:v>
                </c:pt>
                <c:pt idx="3205">
                  <c:v>568.8059999999994</c:v>
                </c:pt>
                <c:pt idx="3206">
                  <c:v>568.98</c:v>
                </c:pt>
                <c:pt idx="3207">
                  <c:v>569.154</c:v>
                </c:pt>
                <c:pt idx="3208">
                  <c:v>569.3259999999979</c:v>
                </c:pt>
                <c:pt idx="3209">
                  <c:v>569.497</c:v>
                </c:pt>
                <c:pt idx="3210">
                  <c:v>569.6659999999994</c:v>
                </c:pt>
                <c:pt idx="3211">
                  <c:v>569.8379999999925</c:v>
                </c:pt>
                <c:pt idx="3212">
                  <c:v>570.0069999999994</c:v>
                </c:pt>
                <c:pt idx="3213">
                  <c:v>570.175</c:v>
                </c:pt>
                <c:pt idx="3214">
                  <c:v>570.3449999999979</c:v>
                </c:pt>
                <c:pt idx="3215">
                  <c:v>570.513</c:v>
                </c:pt>
                <c:pt idx="3216">
                  <c:v>570.68</c:v>
                </c:pt>
                <c:pt idx="3217">
                  <c:v>570.8479999999921</c:v>
                </c:pt>
                <c:pt idx="3218">
                  <c:v>571.016</c:v>
                </c:pt>
                <c:pt idx="3219">
                  <c:v>571.187</c:v>
                </c:pt>
                <c:pt idx="3220">
                  <c:v>571.3579999999816</c:v>
                </c:pt>
                <c:pt idx="3221">
                  <c:v>571.529</c:v>
                </c:pt>
                <c:pt idx="3222">
                  <c:v>571.699</c:v>
                </c:pt>
                <c:pt idx="3223">
                  <c:v>571.871</c:v>
                </c:pt>
                <c:pt idx="3224">
                  <c:v>572.0359999999994</c:v>
                </c:pt>
                <c:pt idx="3225">
                  <c:v>572.198</c:v>
                </c:pt>
                <c:pt idx="3226">
                  <c:v>572.3630000000001</c:v>
                </c:pt>
                <c:pt idx="3227">
                  <c:v>572.533</c:v>
                </c:pt>
                <c:pt idx="3228">
                  <c:v>572.702</c:v>
                </c:pt>
                <c:pt idx="3229">
                  <c:v>572.87</c:v>
                </c:pt>
                <c:pt idx="3230">
                  <c:v>573.04</c:v>
                </c:pt>
                <c:pt idx="3231">
                  <c:v>573.209</c:v>
                </c:pt>
                <c:pt idx="3232">
                  <c:v>573.372</c:v>
                </c:pt>
                <c:pt idx="3233">
                  <c:v>573.5359999999994</c:v>
                </c:pt>
                <c:pt idx="3234">
                  <c:v>573.701</c:v>
                </c:pt>
                <c:pt idx="3235">
                  <c:v>573.8679999999914</c:v>
                </c:pt>
                <c:pt idx="3236">
                  <c:v>574.033</c:v>
                </c:pt>
                <c:pt idx="3237">
                  <c:v>574.2</c:v>
                </c:pt>
                <c:pt idx="3238">
                  <c:v>574.3669999999836</c:v>
                </c:pt>
                <c:pt idx="3239">
                  <c:v>574.5369999999979</c:v>
                </c:pt>
                <c:pt idx="3240">
                  <c:v>574.706</c:v>
                </c:pt>
                <c:pt idx="3241">
                  <c:v>574.8769999999994</c:v>
                </c:pt>
                <c:pt idx="3242">
                  <c:v>575.049</c:v>
                </c:pt>
                <c:pt idx="3243">
                  <c:v>575.222</c:v>
                </c:pt>
                <c:pt idx="3244">
                  <c:v>575.395</c:v>
                </c:pt>
                <c:pt idx="3245">
                  <c:v>575.5659999999979</c:v>
                </c:pt>
                <c:pt idx="3246">
                  <c:v>575.737</c:v>
                </c:pt>
                <c:pt idx="3247">
                  <c:v>575.9069999999994</c:v>
                </c:pt>
                <c:pt idx="3248">
                  <c:v>576.074</c:v>
                </c:pt>
                <c:pt idx="3249">
                  <c:v>576.242</c:v>
                </c:pt>
                <c:pt idx="3250">
                  <c:v>576.4109999999994</c:v>
                </c:pt>
                <c:pt idx="3251">
                  <c:v>576.576</c:v>
                </c:pt>
                <c:pt idx="3252">
                  <c:v>576.741</c:v>
                </c:pt>
                <c:pt idx="3253">
                  <c:v>576.908</c:v>
                </c:pt>
                <c:pt idx="3254">
                  <c:v>577.076</c:v>
                </c:pt>
                <c:pt idx="3255">
                  <c:v>577.243</c:v>
                </c:pt>
                <c:pt idx="3256">
                  <c:v>577.4119999999979</c:v>
                </c:pt>
                <c:pt idx="3257">
                  <c:v>577.582</c:v>
                </c:pt>
                <c:pt idx="3258">
                  <c:v>577.7519999999994</c:v>
                </c:pt>
                <c:pt idx="3259">
                  <c:v>577.923</c:v>
                </c:pt>
                <c:pt idx="3260">
                  <c:v>578.092</c:v>
                </c:pt>
                <c:pt idx="3261">
                  <c:v>578.2619999999994</c:v>
                </c:pt>
                <c:pt idx="3262">
                  <c:v>578.434</c:v>
                </c:pt>
                <c:pt idx="3263">
                  <c:v>578.605</c:v>
                </c:pt>
                <c:pt idx="3264">
                  <c:v>578.779</c:v>
                </c:pt>
                <c:pt idx="3265">
                  <c:v>578.9499999999994</c:v>
                </c:pt>
                <c:pt idx="3266">
                  <c:v>579.119</c:v>
                </c:pt>
                <c:pt idx="3267">
                  <c:v>579.288</c:v>
                </c:pt>
                <c:pt idx="3268">
                  <c:v>579.4589999999994</c:v>
                </c:pt>
                <c:pt idx="3269">
                  <c:v>579.63</c:v>
                </c:pt>
                <c:pt idx="3270">
                  <c:v>579.8</c:v>
                </c:pt>
                <c:pt idx="3271">
                  <c:v>579.9689999999994</c:v>
                </c:pt>
                <c:pt idx="3272">
                  <c:v>580.14</c:v>
                </c:pt>
                <c:pt idx="3273">
                  <c:v>580.309</c:v>
                </c:pt>
                <c:pt idx="3274">
                  <c:v>580.479</c:v>
                </c:pt>
                <c:pt idx="3275">
                  <c:v>580.65</c:v>
                </c:pt>
                <c:pt idx="3276">
                  <c:v>580.8169999999974</c:v>
                </c:pt>
                <c:pt idx="3277">
                  <c:v>580.984</c:v>
                </c:pt>
                <c:pt idx="3278">
                  <c:v>581.1559999999994</c:v>
                </c:pt>
                <c:pt idx="3279">
                  <c:v>581.3259999999979</c:v>
                </c:pt>
                <c:pt idx="3280">
                  <c:v>581.498</c:v>
                </c:pt>
                <c:pt idx="3281">
                  <c:v>581.668</c:v>
                </c:pt>
                <c:pt idx="3282">
                  <c:v>581.8399999999979</c:v>
                </c:pt>
                <c:pt idx="3283">
                  <c:v>582.011</c:v>
                </c:pt>
                <c:pt idx="3284">
                  <c:v>582.18</c:v>
                </c:pt>
                <c:pt idx="3285">
                  <c:v>582.3479999999921</c:v>
                </c:pt>
                <c:pt idx="3286">
                  <c:v>582.516</c:v>
                </c:pt>
                <c:pt idx="3287">
                  <c:v>582.684</c:v>
                </c:pt>
                <c:pt idx="3288">
                  <c:v>582.8499999999979</c:v>
                </c:pt>
                <c:pt idx="3289">
                  <c:v>583.019</c:v>
                </c:pt>
                <c:pt idx="3290">
                  <c:v>583.189</c:v>
                </c:pt>
                <c:pt idx="3291">
                  <c:v>583.3599999999974</c:v>
                </c:pt>
                <c:pt idx="3292">
                  <c:v>583.53</c:v>
                </c:pt>
                <c:pt idx="3293">
                  <c:v>583.703</c:v>
                </c:pt>
                <c:pt idx="3294">
                  <c:v>583.873</c:v>
                </c:pt>
                <c:pt idx="3295">
                  <c:v>584.0419999999979</c:v>
                </c:pt>
                <c:pt idx="3296">
                  <c:v>584.2140000000001</c:v>
                </c:pt>
                <c:pt idx="3297">
                  <c:v>584.385</c:v>
                </c:pt>
                <c:pt idx="3298">
                  <c:v>584.553</c:v>
                </c:pt>
                <c:pt idx="3299">
                  <c:v>584.72</c:v>
                </c:pt>
                <c:pt idx="3300">
                  <c:v>584.8869999999994</c:v>
                </c:pt>
                <c:pt idx="3301">
                  <c:v>585.0519999999979</c:v>
                </c:pt>
                <c:pt idx="3302">
                  <c:v>585.216</c:v>
                </c:pt>
                <c:pt idx="3303">
                  <c:v>585.381</c:v>
                </c:pt>
                <c:pt idx="3304">
                  <c:v>585.549</c:v>
                </c:pt>
                <c:pt idx="3305">
                  <c:v>585.717</c:v>
                </c:pt>
                <c:pt idx="3306">
                  <c:v>585.885</c:v>
                </c:pt>
                <c:pt idx="3307">
                  <c:v>586.0519999999979</c:v>
                </c:pt>
                <c:pt idx="3308">
                  <c:v>586.222</c:v>
                </c:pt>
                <c:pt idx="3309">
                  <c:v>586.391</c:v>
                </c:pt>
                <c:pt idx="3310">
                  <c:v>586.559</c:v>
                </c:pt>
                <c:pt idx="3311">
                  <c:v>586.727</c:v>
                </c:pt>
                <c:pt idx="3312">
                  <c:v>586.8969999999994</c:v>
                </c:pt>
                <c:pt idx="3313">
                  <c:v>587.0669999999974</c:v>
                </c:pt>
                <c:pt idx="3314">
                  <c:v>587.234</c:v>
                </c:pt>
                <c:pt idx="3315">
                  <c:v>587.398</c:v>
                </c:pt>
                <c:pt idx="3316">
                  <c:v>587.5659999999979</c:v>
                </c:pt>
                <c:pt idx="3317">
                  <c:v>587.734</c:v>
                </c:pt>
                <c:pt idx="3318">
                  <c:v>587.904</c:v>
                </c:pt>
                <c:pt idx="3319">
                  <c:v>588.075</c:v>
                </c:pt>
                <c:pt idx="3320">
                  <c:v>588.245</c:v>
                </c:pt>
                <c:pt idx="3321">
                  <c:v>588.413</c:v>
                </c:pt>
                <c:pt idx="3322">
                  <c:v>588.582</c:v>
                </c:pt>
                <c:pt idx="3323">
                  <c:v>588.7519999999994</c:v>
                </c:pt>
                <c:pt idx="3324">
                  <c:v>588.924</c:v>
                </c:pt>
                <c:pt idx="3325">
                  <c:v>589.095</c:v>
                </c:pt>
                <c:pt idx="3326">
                  <c:v>589.269</c:v>
                </c:pt>
                <c:pt idx="3327">
                  <c:v>589.4409999999979</c:v>
                </c:pt>
                <c:pt idx="3328">
                  <c:v>589.611</c:v>
                </c:pt>
                <c:pt idx="3329">
                  <c:v>589.78</c:v>
                </c:pt>
                <c:pt idx="3330">
                  <c:v>589.9469999999974</c:v>
                </c:pt>
                <c:pt idx="3331">
                  <c:v>590.116</c:v>
                </c:pt>
                <c:pt idx="3332">
                  <c:v>590.287</c:v>
                </c:pt>
                <c:pt idx="3333">
                  <c:v>590.4549999999994</c:v>
                </c:pt>
                <c:pt idx="3334">
                  <c:v>590.622</c:v>
                </c:pt>
                <c:pt idx="3335">
                  <c:v>590.79</c:v>
                </c:pt>
                <c:pt idx="3336">
                  <c:v>590.9619999999974</c:v>
                </c:pt>
                <c:pt idx="3337">
                  <c:v>591.133</c:v>
                </c:pt>
                <c:pt idx="3338">
                  <c:v>591.3019999999979</c:v>
                </c:pt>
                <c:pt idx="3339">
                  <c:v>591.473</c:v>
                </c:pt>
                <c:pt idx="3340">
                  <c:v>591.644</c:v>
                </c:pt>
                <c:pt idx="3341">
                  <c:v>591.8129999999974</c:v>
                </c:pt>
                <c:pt idx="3342">
                  <c:v>591.981</c:v>
                </c:pt>
                <c:pt idx="3343">
                  <c:v>592.148</c:v>
                </c:pt>
                <c:pt idx="3344">
                  <c:v>592.3149999999994</c:v>
                </c:pt>
                <c:pt idx="3345">
                  <c:v>592.476</c:v>
                </c:pt>
                <c:pt idx="3346">
                  <c:v>592.645</c:v>
                </c:pt>
                <c:pt idx="3347">
                  <c:v>592.8129999999974</c:v>
                </c:pt>
                <c:pt idx="3348">
                  <c:v>592.986</c:v>
                </c:pt>
                <c:pt idx="3349">
                  <c:v>593.16</c:v>
                </c:pt>
                <c:pt idx="3350">
                  <c:v>593.3319999999974</c:v>
                </c:pt>
                <c:pt idx="3351">
                  <c:v>593.5019999999994</c:v>
                </c:pt>
                <c:pt idx="3352">
                  <c:v>593.672</c:v>
                </c:pt>
                <c:pt idx="3353">
                  <c:v>593.8449999999979</c:v>
                </c:pt>
                <c:pt idx="3354">
                  <c:v>594.018</c:v>
                </c:pt>
                <c:pt idx="3355">
                  <c:v>594.189</c:v>
                </c:pt>
                <c:pt idx="3356">
                  <c:v>594.3589999999994</c:v>
                </c:pt>
                <c:pt idx="3357">
                  <c:v>594.53</c:v>
                </c:pt>
                <c:pt idx="3358">
                  <c:v>594.7</c:v>
                </c:pt>
                <c:pt idx="3359">
                  <c:v>594.8689999999979</c:v>
                </c:pt>
                <c:pt idx="3360">
                  <c:v>595.0409999999994</c:v>
                </c:pt>
                <c:pt idx="3361">
                  <c:v>595.211</c:v>
                </c:pt>
                <c:pt idx="3362">
                  <c:v>595.379</c:v>
                </c:pt>
                <c:pt idx="3363">
                  <c:v>595.5459999999994</c:v>
                </c:pt>
                <c:pt idx="3364">
                  <c:v>595.713</c:v>
                </c:pt>
                <c:pt idx="3365">
                  <c:v>595.884</c:v>
                </c:pt>
                <c:pt idx="3366">
                  <c:v>596.053</c:v>
                </c:pt>
                <c:pt idx="3367">
                  <c:v>596.223</c:v>
                </c:pt>
                <c:pt idx="3368">
                  <c:v>596.3919999999994</c:v>
                </c:pt>
                <c:pt idx="3369">
                  <c:v>596.5619999999974</c:v>
                </c:pt>
                <c:pt idx="3370">
                  <c:v>596.731</c:v>
                </c:pt>
                <c:pt idx="3371">
                  <c:v>596.9009999999994</c:v>
                </c:pt>
                <c:pt idx="3372">
                  <c:v>597.0679999999974</c:v>
                </c:pt>
                <c:pt idx="3373">
                  <c:v>597.237</c:v>
                </c:pt>
                <c:pt idx="3374">
                  <c:v>597.408</c:v>
                </c:pt>
                <c:pt idx="3375">
                  <c:v>597.579</c:v>
                </c:pt>
                <c:pt idx="3376">
                  <c:v>597.75</c:v>
                </c:pt>
                <c:pt idx="3377">
                  <c:v>597.923</c:v>
                </c:pt>
                <c:pt idx="3378">
                  <c:v>598.094</c:v>
                </c:pt>
                <c:pt idx="3379">
                  <c:v>598.265</c:v>
                </c:pt>
                <c:pt idx="3380">
                  <c:v>598.4359999999979</c:v>
                </c:pt>
                <c:pt idx="3381">
                  <c:v>598.606</c:v>
                </c:pt>
                <c:pt idx="3382">
                  <c:v>598.775</c:v>
                </c:pt>
                <c:pt idx="3383">
                  <c:v>598.9459999999979</c:v>
                </c:pt>
                <c:pt idx="3384">
                  <c:v>599.116</c:v>
                </c:pt>
                <c:pt idx="3385">
                  <c:v>599.285</c:v>
                </c:pt>
                <c:pt idx="3386">
                  <c:v>599.4529999999974</c:v>
                </c:pt>
                <c:pt idx="3387">
                  <c:v>599.622</c:v>
                </c:pt>
                <c:pt idx="3388">
                  <c:v>599.792</c:v>
                </c:pt>
                <c:pt idx="3389">
                  <c:v>599.9619999999974</c:v>
                </c:pt>
                <c:pt idx="3390">
                  <c:v>600.1319999999994</c:v>
                </c:pt>
                <c:pt idx="3391">
                  <c:v>600.298</c:v>
                </c:pt>
                <c:pt idx="3392">
                  <c:v>600.4649999999979</c:v>
                </c:pt>
                <c:pt idx="3393">
                  <c:v>600.633</c:v>
                </c:pt>
                <c:pt idx="3394">
                  <c:v>600.8</c:v>
                </c:pt>
                <c:pt idx="3395">
                  <c:v>600.97</c:v>
                </c:pt>
                <c:pt idx="3396">
                  <c:v>601.139</c:v>
                </c:pt>
                <c:pt idx="3397">
                  <c:v>601.309</c:v>
                </c:pt>
                <c:pt idx="3398">
                  <c:v>601.479</c:v>
                </c:pt>
                <c:pt idx="3399">
                  <c:v>601.65</c:v>
                </c:pt>
                <c:pt idx="3400">
                  <c:v>601.8219999999974</c:v>
                </c:pt>
                <c:pt idx="3401">
                  <c:v>601.992</c:v>
                </c:pt>
                <c:pt idx="3402">
                  <c:v>602.1609999999994</c:v>
                </c:pt>
                <c:pt idx="3403">
                  <c:v>602.3299999999994</c:v>
                </c:pt>
                <c:pt idx="3404">
                  <c:v>602.504</c:v>
                </c:pt>
                <c:pt idx="3405">
                  <c:v>602.679</c:v>
                </c:pt>
                <c:pt idx="3406">
                  <c:v>602.8519999999974</c:v>
                </c:pt>
                <c:pt idx="3407">
                  <c:v>603.023</c:v>
                </c:pt>
                <c:pt idx="3408">
                  <c:v>603.195</c:v>
                </c:pt>
                <c:pt idx="3409">
                  <c:v>603.3679999999914</c:v>
                </c:pt>
                <c:pt idx="3410">
                  <c:v>603.5419999999979</c:v>
                </c:pt>
                <c:pt idx="3411">
                  <c:v>603.715</c:v>
                </c:pt>
                <c:pt idx="3412">
                  <c:v>603.885</c:v>
                </c:pt>
                <c:pt idx="3413">
                  <c:v>604.0569999999979</c:v>
                </c:pt>
                <c:pt idx="3414">
                  <c:v>604.2279999999994</c:v>
                </c:pt>
                <c:pt idx="3415">
                  <c:v>604.3969999999994</c:v>
                </c:pt>
                <c:pt idx="3416">
                  <c:v>604.5659999999979</c:v>
                </c:pt>
                <c:pt idx="3417">
                  <c:v>604.735</c:v>
                </c:pt>
                <c:pt idx="3418">
                  <c:v>604.9059999999994</c:v>
                </c:pt>
                <c:pt idx="3419">
                  <c:v>605.077</c:v>
                </c:pt>
                <c:pt idx="3420">
                  <c:v>605.247</c:v>
                </c:pt>
                <c:pt idx="3421">
                  <c:v>605.413</c:v>
                </c:pt>
                <c:pt idx="3422">
                  <c:v>605.58</c:v>
                </c:pt>
                <c:pt idx="3423">
                  <c:v>605.749</c:v>
                </c:pt>
                <c:pt idx="3424">
                  <c:v>605.92</c:v>
                </c:pt>
                <c:pt idx="3425">
                  <c:v>606.088</c:v>
                </c:pt>
                <c:pt idx="3426">
                  <c:v>606.255</c:v>
                </c:pt>
                <c:pt idx="3427">
                  <c:v>606.423</c:v>
                </c:pt>
                <c:pt idx="3428">
                  <c:v>606.594</c:v>
                </c:pt>
                <c:pt idx="3429">
                  <c:v>606.7669999999994</c:v>
                </c:pt>
                <c:pt idx="3430">
                  <c:v>606.9359999999979</c:v>
                </c:pt>
                <c:pt idx="3431">
                  <c:v>607.107</c:v>
                </c:pt>
                <c:pt idx="3432">
                  <c:v>607.275</c:v>
                </c:pt>
                <c:pt idx="3433">
                  <c:v>607.4459999999979</c:v>
                </c:pt>
                <c:pt idx="3434">
                  <c:v>607.6130000000001</c:v>
                </c:pt>
                <c:pt idx="3435">
                  <c:v>607.782</c:v>
                </c:pt>
                <c:pt idx="3436">
                  <c:v>607.9549999999994</c:v>
                </c:pt>
                <c:pt idx="3437">
                  <c:v>608.126</c:v>
                </c:pt>
                <c:pt idx="3438">
                  <c:v>608.3</c:v>
                </c:pt>
                <c:pt idx="3439">
                  <c:v>608.474</c:v>
                </c:pt>
                <c:pt idx="3440">
                  <c:v>608.648</c:v>
                </c:pt>
                <c:pt idx="3441">
                  <c:v>608.8209999999979</c:v>
                </c:pt>
                <c:pt idx="3442">
                  <c:v>608.993</c:v>
                </c:pt>
                <c:pt idx="3443">
                  <c:v>609.164</c:v>
                </c:pt>
                <c:pt idx="3444">
                  <c:v>609.3329999999974</c:v>
                </c:pt>
                <c:pt idx="3445">
                  <c:v>609.5019999999994</c:v>
                </c:pt>
                <c:pt idx="3446">
                  <c:v>609.671</c:v>
                </c:pt>
                <c:pt idx="3447">
                  <c:v>609.8419999999974</c:v>
                </c:pt>
                <c:pt idx="3448">
                  <c:v>610.011</c:v>
                </c:pt>
                <c:pt idx="3449">
                  <c:v>610.184</c:v>
                </c:pt>
                <c:pt idx="3450">
                  <c:v>610.3569999999974</c:v>
                </c:pt>
                <c:pt idx="3451">
                  <c:v>610.5269999999994</c:v>
                </c:pt>
                <c:pt idx="3452">
                  <c:v>610.695</c:v>
                </c:pt>
                <c:pt idx="3453">
                  <c:v>610.8639999999979</c:v>
                </c:pt>
                <c:pt idx="3454">
                  <c:v>611.034</c:v>
                </c:pt>
                <c:pt idx="3455">
                  <c:v>611.205</c:v>
                </c:pt>
                <c:pt idx="3456">
                  <c:v>611.375</c:v>
                </c:pt>
                <c:pt idx="3457">
                  <c:v>611.5459999999994</c:v>
                </c:pt>
                <c:pt idx="3458">
                  <c:v>611.7140000000001</c:v>
                </c:pt>
                <c:pt idx="3459">
                  <c:v>611.884</c:v>
                </c:pt>
                <c:pt idx="3460">
                  <c:v>612.053</c:v>
                </c:pt>
                <c:pt idx="3461">
                  <c:v>612.222</c:v>
                </c:pt>
                <c:pt idx="3462">
                  <c:v>612.389</c:v>
                </c:pt>
                <c:pt idx="3463">
                  <c:v>612.5569999999979</c:v>
                </c:pt>
                <c:pt idx="3464">
                  <c:v>612.729</c:v>
                </c:pt>
                <c:pt idx="3465">
                  <c:v>612.9</c:v>
                </c:pt>
                <c:pt idx="3466">
                  <c:v>613.071</c:v>
                </c:pt>
                <c:pt idx="3467">
                  <c:v>613.242</c:v>
                </c:pt>
                <c:pt idx="3468">
                  <c:v>613.413</c:v>
                </c:pt>
                <c:pt idx="3469">
                  <c:v>613.582</c:v>
                </c:pt>
                <c:pt idx="3470">
                  <c:v>613.744</c:v>
                </c:pt>
                <c:pt idx="3471">
                  <c:v>613.9009999999994</c:v>
                </c:pt>
                <c:pt idx="3472">
                  <c:v>614.059</c:v>
                </c:pt>
                <c:pt idx="3473">
                  <c:v>614.222</c:v>
                </c:pt>
                <c:pt idx="3474">
                  <c:v>614.3869999999994</c:v>
                </c:pt>
                <c:pt idx="3475">
                  <c:v>614.5569999999979</c:v>
                </c:pt>
                <c:pt idx="3476">
                  <c:v>614.725</c:v>
                </c:pt>
                <c:pt idx="3477">
                  <c:v>614.8919999999994</c:v>
                </c:pt>
                <c:pt idx="3478">
                  <c:v>615.0599999999994</c:v>
                </c:pt>
                <c:pt idx="3479">
                  <c:v>615.2279999999994</c:v>
                </c:pt>
                <c:pt idx="3480">
                  <c:v>615.398</c:v>
                </c:pt>
                <c:pt idx="3481">
                  <c:v>615.5659999999979</c:v>
                </c:pt>
                <c:pt idx="3482">
                  <c:v>615.7329999999994</c:v>
                </c:pt>
                <c:pt idx="3483">
                  <c:v>615.9009999999994</c:v>
                </c:pt>
                <c:pt idx="3484">
                  <c:v>616.069</c:v>
                </c:pt>
                <c:pt idx="3485">
                  <c:v>616.2380000000001</c:v>
                </c:pt>
                <c:pt idx="3486">
                  <c:v>616.409</c:v>
                </c:pt>
                <c:pt idx="3487">
                  <c:v>616.58</c:v>
                </c:pt>
                <c:pt idx="3488">
                  <c:v>616.751</c:v>
                </c:pt>
                <c:pt idx="3489">
                  <c:v>616.924</c:v>
                </c:pt>
                <c:pt idx="3490">
                  <c:v>617.095</c:v>
                </c:pt>
                <c:pt idx="3491">
                  <c:v>617.266</c:v>
                </c:pt>
                <c:pt idx="3492">
                  <c:v>617.4359999999979</c:v>
                </c:pt>
                <c:pt idx="3493">
                  <c:v>617.611</c:v>
                </c:pt>
                <c:pt idx="3494">
                  <c:v>617.784</c:v>
                </c:pt>
                <c:pt idx="3495">
                  <c:v>617.9559999999979</c:v>
                </c:pt>
                <c:pt idx="3496">
                  <c:v>618.126</c:v>
                </c:pt>
                <c:pt idx="3497">
                  <c:v>618.3</c:v>
                </c:pt>
                <c:pt idx="3498">
                  <c:v>618.47</c:v>
                </c:pt>
                <c:pt idx="3499">
                  <c:v>618.6419999999994</c:v>
                </c:pt>
                <c:pt idx="3500">
                  <c:v>618.8149999999994</c:v>
                </c:pt>
                <c:pt idx="3501">
                  <c:v>618.9880000000001</c:v>
                </c:pt>
                <c:pt idx="3502">
                  <c:v>619.16</c:v>
                </c:pt>
                <c:pt idx="3503">
                  <c:v>619.3329999999974</c:v>
                </c:pt>
                <c:pt idx="3504">
                  <c:v>619.5069999999994</c:v>
                </c:pt>
                <c:pt idx="3505">
                  <c:v>619.681</c:v>
                </c:pt>
                <c:pt idx="3506">
                  <c:v>619.8549999999979</c:v>
                </c:pt>
                <c:pt idx="3507">
                  <c:v>620.029</c:v>
                </c:pt>
                <c:pt idx="3508">
                  <c:v>620.202</c:v>
                </c:pt>
                <c:pt idx="3509">
                  <c:v>620.376</c:v>
                </c:pt>
                <c:pt idx="3510">
                  <c:v>620.5499999999994</c:v>
                </c:pt>
                <c:pt idx="3511">
                  <c:v>620.724</c:v>
                </c:pt>
                <c:pt idx="3512">
                  <c:v>620.898</c:v>
                </c:pt>
                <c:pt idx="3513">
                  <c:v>621.071</c:v>
                </c:pt>
                <c:pt idx="3514">
                  <c:v>621.243</c:v>
                </c:pt>
                <c:pt idx="3515">
                  <c:v>621.415</c:v>
                </c:pt>
                <c:pt idx="3516">
                  <c:v>621.5890000000001</c:v>
                </c:pt>
                <c:pt idx="3517">
                  <c:v>621.761</c:v>
                </c:pt>
                <c:pt idx="3518">
                  <c:v>621.9309999999994</c:v>
                </c:pt>
                <c:pt idx="3519">
                  <c:v>622.1</c:v>
                </c:pt>
                <c:pt idx="3520">
                  <c:v>622.271</c:v>
                </c:pt>
                <c:pt idx="3521">
                  <c:v>622.444</c:v>
                </c:pt>
                <c:pt idx="3522">
                  <c:v>622.615</c:v>
                </c:pt>
                <c:pt idx="3523">
                  <c:v>622.787</c:v>
                </c:pt>
                <c:pt idx="3524">
                  <c:v>622.9569999999974</c:v>
                </c:pt>
                <c:pt idx="3525">
                  <c:v>623.126</c:v>
                </c:pt>
                <c:pt idx="3526">
                  <c:v>623.296</c:v>
                </c:pt>
                <c:pt idx="3527">
                  <c:v>623.4649999999979</c:v>
                </c:pt>
                <c:pt idx="3528">
                  <c:v>623.633</c:v>
                </c:pt>
                <c:pt idx="3529">
                  <c:v>623.803</c:v>
                </c:pt>
                <c:pt idx="3530">
                  <c:v>623.975</c:v>
                </c:pt>
                <c:pt idx="3531">
                  <c:v>624.145</c:v>
                </c:pt>
                <c:pt idx="3532">
                  <c:v>624.3149999999994</c:v>
                </c:pt>
                <c:pt idx="3533">
                  <c:v>624.486</c:v>
                </c:pt>
                <c:pt idx="3534">
                  <c:v>624.659</c:v>
                </c:pt>
                <c:pt idx="3535">
                  <c:v>624.8319999999974</c:v>
                </c:pt>
                <c:pt idx="3536">
                  <c:v>625.004</c:v>
                </c:pt>
                <c:pt idx="3537">
                  <c:v>625.176</c:v>
                </c:pt>
                <c:pt idx="3538">
                  <c:v>625.3489999999994</c:v>
                </c:pt>
                <c:pt idx="3539">
                  <c:v>625.518</c:v>
                </c:pt>
                <c:pt idx="3540">
                  <c:v>625.688</c:v>
                </c:pt>
                <c:pt idx="3541">
                  <c:v>625.8599999999974</c:v>
                </c:pt>
                <c:pt idx="3542">
                  <c:v>626.0319999999994</c:v>
                </c:pt>
                <c:pt idx="3543">
                  <c:v>626.205</c:v>
                </c:pt>
                <c:pt idx="3544">
                  <c:v>626.379</c:v>
                </c:pt>
                <c:pt idx="3545">
                  <c:v>626.549</c:v>
                </c:pt>
                <c:pt idx="3546">
                  <c:v>626.718</c:v>
                </c:pt>
                <c:pt idx="3547">
                  <c:v>626.888</c:v>
                </c:pt>
                <c:pt idx="3548">
                  <c:v>627.0579999999974</c:v>
                </c:pt>
                <c:pt idx="3549">
                  <c:v>627.229</c:v>
                </c:pt>
                <c:pt idx="3550">
                  <c:v>627.398</c:v>
                </c:pt>
                <c:pt idx="3551">
                  <c:v>627.5669999999974</c:v>
                </c:pt>
                <c:pt idx="3552">
                  <c:v>627.734</c:v>
                </c:pt>
                <c:pt idx="3553">
                  <c:v>627.9019999999994</c:v>
                </c:pt>
                <c:pt idx="3554">
                  <c:v>628.074</c:v>
                </c:pt>
                <c:pt idx="3555">
                  <c:v>628.247</c:v>
                </c:pt>
                <c:pt idx="3556">
                  <c:v>628.418</c:v>
                </c:pt>
                <c:pt idx="3557">
                  <c:v>628.591</c:v>
                </c:pt>
                <c:pt idx="3558">
                  <c:v>628.7619999999994</c:v>
                </c:pt>
                <c:pt idx="3559">
                  <c:v>628.9319999999979</c:v>
                </c:pt>
                <c:pt idx="3560">
                  <c:v>629.105</c:v>
                </c:pt>
                <c:pt idx="3561">
                  <c:v>629.278</c:v>
                </c:pt>
                <c:pt idx="3562">
                  <c:v>629.4519999999974</c:v>
                </c:pt>
                <c:pt idx="3563">
                  <c:v>629.626</c:v>
                </c:pt>
                <c:pt idx="3564">
                  <c:v>629.797</c:v>
                </c:pt>
                <c:pt idx="3565">
                  <c:v>629.9679999999923</c:v>
                </c:pt>
                <c:pt idx="3566">
                  <c:v>630.14</c:v>
                </c:pt>
                <c:pt idx="3567">
                  <c:v>630.3129999999974</c:v>
                </c:pt>
                <c:pt idx="3568">
                  <c:v>630.485</c:v>
                </c:pt>
                <c:pt idx="3569">
                  <c:v>630.6559999999994</c:v>
                </c:pt>
                <c:pt idx="3570">
                  <c:v>630.8279999999974</c:v>
                </c:pt>
                <c:pt idx="3571">
                  <c:v>631.0</c:v>
                </c:pt>
                <c:pt idx="3572">
                  <c:v>631.17</c:v>
                </c:pt>
                <c:pt idx="3573">
                  <c:v>631.3390000000001</c:v>
                </c:pt>
                <c:pt idx="3574">
                  <c:v>631.5069999999994</c:v>
                </c:pt>
                <c:pt idx="3575">
                  <c:v>631.674</c:v>
                </c:pt>
                <c:pt idx="3576">
                  <c:v>631.8409999999974</c:v>
                </c:pt>
                <c:pt idx="3577">
                  <c:v>632.011</c:v>
                </c:pt>
                <c:pt idx="3578">
                  <c:v>632.18</c:v>
                </c:pt>
                <c:pt idx="3579">
                  <c:v>632.3499999999979</c:v>
                </c:pt>
                <c:pt idx="3580">
                  <c:v>632.519</c:v>
                </c:pt>
                <c:pt idx="3581">
                  <c:v>632.685</c:v>
                </c:pt>
                <c:pt idx="3582">
                  <c:v>632.8509999999974</c:v>
                </c:pt>
                <c:pt idx="3583">
                  <c:v>633.018</c:v>
                </c:pt>
                <c:pt idx="3584">
                  <c:v>633.186</c:v>
                </c:pt>
                <c:pt idx="3585">
                  <c:v>633.3539999999994</c:v>
                </c:pt>
                <c:pt idx="3586">
                  <c:v>633.519</c:v>
                </c:pt>
                <c:pt idx="3587">
                  <c:v>633.685</c:v>
                </c:pt>
                <c:pt idx="3588">
                  <c:v>633.8509999999974</c:v>
                </c:pt>
                <c:pt idx="3589">
                  <c:v>634.018</c:v>
                </c:pt>
                <c:pt idx="3590">
                  <c:v>634.188</c:v>
                </c:pt>
                <c:pt idx="3591">
                  <c:v>634.3569999999974</c:v>
                </c:pt>
                <c:pt idx="3592">
                  <c:v>634.525</c:v>
                </c:pt>
                <c:pt idx="3593">
                  <c:v>634.692</c:v>
                </c:pt>
                <c:pt idx="3594">
                  <c:v>634.8589999999994</c:v>
                </c:pt>
                <c:pt idx="3595">
                  <c:v>635.025</c:v>
                </c:pt>
                <c:pt idx="3596">
                  <c:v>635.193</c:v>
                </c:pt>
                <c:pt idx="3597">
                  <c:v>635.3619999999906</c:v>
                </c:pt>
                <c:pt idx="3598">
                  <c:v>635.5309999999994</c:v>
                </c:pt>
                <c:pt idx="3599">
                  <c:v>635.703</c:v>
                </c:pt>
                <c:pt idx="3600">
                  <c:v>635.873</c:v>
                </c:pt>
                <c:pt idx="3601">
                  <c:v>636.045</c:v>
                </c:pt>
                <c:pt idx="3602">
                  <c:v>636.218</c:v>
                </c:pt>
                <c:pt idx="3603">
                  <c:v>636.388</c:v>
                </c:pt>
                <c:pt idx="3604">
                  <c:v>636.5569999999979</c:v>
                </c:pt>
                <c:pt idx="3605">
                  <c:v>636.729</c:v>
                </c:pt>
                <c:pt idx="3606">
                  <c:v>636.9</c:v>
                </c:pt>
                <c:pt idx="3607">
                  <c:v>637.073</c:v>
                </c:pt>
                <c:pt idx="3608">
                  <c:v>637.247</c:v>
                </c:pt>
                <c:pt idx="3609">
                  <c:v>637.42</c:v>
                </c:pt>
                <c:pt idx="3610">
                  <c:v>637.5890000000001</c:v>
                </c:pt>
                <c:pt idx="3611">
                  <c:v>637.76</c:v>
                </c:pt>
                <c:pt idx="3612">
                  <c:v>637.9299999999994</c:v>
                </c:pt>
                <c:pt idx="3613">
                  <c:v>638.096</c:v>
                </c:pt>
                <c:pt idx="3614">
                  <c:v>638.265</c:v>
                </c:pt>
                <c:pt idx="3615">
                  <c:v>638.4329999999974</c:v>
                </c:pt>
                <c:pt idx="3616">
                  <c:v>638.6029999999994</c:v>
                </c:pt>
                <c:pt idx="3617">
                  <c:v>638.768</c:v>
                </c:pt>
                <c:pt idx="3618">
                  <c:v>638.9329999999974</c:v>
                </c:pt>
                <c:pt idx="3619">
                  <c:v>639.098</c:v>
                </c:pt>
                <c:pt idx="3620">
                  <c:v>639.264</c:v>
                </c:pt>
                <c:pt idx="3621">
                  <c:v>639.4299999999994</c:v>
                </c:pt>
                <c:pt idx="3622">
                  <c:v>639.594</c:v>
                </c:pt>
                <c:pt idx="3623">
                  <c:v>639.759</c:v>
                </c:pt>
                <c:pt idx="3624">
                  <c:v>639.929</c:v>
                </c:pt>
                <c:pt idx="3625">
                  <c:v>640.099</c:v>
                </c:pt>
                <c:pt idx="3626">
                  <c:v>640.27</c:v>
                </c:pt>
                <c:pt idx="3627">
                  <c:v>640.4409999999979</c:v>
                </c:pt>
                <c:pt idx="3628">
                  <c:v>640.615</c:v>
                </c:pt>
                <c:pt idx="3629">
                  <c:v>640.786</c:v>
                </c:pt>
                <c:pt idx="3630">
                  <c:v>640.9569999999974</c:v>
                </c:pt>
                <c:pt idx="3631">
                  <c:v>641.128</c:v>
                </c:pt>
                <c:pt idx="3632">
                  <c:v>641.3009999999994</c:v>
                </c:pt>
                <c:pt idx="3633">
                  <c:v>641.471</c:v>
                </c:pt>
                <c:pt idx="3634">
                  <c:v>641.643</c:v>
                </c:pt>
                <c:pt idx="3635">
                  <c:v>641.814</c:v>
                </c:pt>
                <c:pt idx="3636">
                  <c:v>641.981</c:v>
                </c:pt>
                <c:pt idx="3637">
                  <c:v>642.1509999999994</c:v>
                </c:pt>
                <c:pt idx="3638">
                  <c:v>642.3209999999979</c:v>
                </c:pt>
                <c:pt idx="3639">
                  <c:v>642.491</c:v>
                </c:pt>
                <c:pt idx="3640">
                  <c:v>642.659</c:v>
                </c:pt>
                <c:pt idx="3641">
                  <c:v>642.8279999999974</c:v>
                </c:pt>
                <c:pt idx="3642">
                  <c:v>642.999</c:v>
                </c:pt>
                <c:pt idx="3643">
                  <c:v>643.17</c:v>
                </c:pt>
                <c:pt idx="3644">
                  <c:v>643.3409999999974</c:v>
                </c:pt>
                <c:pt idx="3645">
                  <c:v>643.511</c:v>
                </c:pt>
                <c:pt idx="3646">
                  <c:v>643.68</c:v>
                </c:pt>
                <c:pt idx="3647">
                  <c:v>643.8469999999974</c:v>
                </c:pt>
                <c:pt idx="3648">
                  <c:v>644.013</c:v>
                </c:pt>
                <c:pt idx="3649">
                  <c:v>644.18</c:v>
                </c:pt>
                <c:pt idx="3650">
                  <c:v>644.3469999999974</c:v>
                </c:pt>
                <c:pt idx="3651">
                  <c:v>644.516</c:v>
                </c:pt>
                <c:pt idx="3652">
                  <c:v>644.687</c:v>
                </c:pt>
                <c:pt idx="3653">
                  <c:v>644.8559999999974</c:v>
                </c:pt>
                <c:pt idx="3654">
                  <c:v>645.024</c:v>
                </c:pt>
                <c:pt idx="3655">
                  <c:v>645.193</c:v>
                </c:pt>
                <c:pt idx="3656">
                  <c:v>645.3609999999974</c:v>
                </c:pt>
                <c:pt idx="3657">
                  <c:v>645.5259999999994</c:v>
                </c:pt>
                <c:pt idx="3658">
                  <c:v>645.692</c:v>
                </c:pt>
                <c:pt idx="3659">
                  <c:v>645.8589999999994</c:v>
                </c:pt>
                <c:pt idx="3660">
                  <c:v>646.0269999999994</c:v>
                </c:pt>
                <c:pt idx="3661">
                  <c:v>646.197</c:v>
                </c:pt>
                <c:pt idx="3662">
                  <c:v>646.3679999999914</c:v>
                </c:pt>
                <c:pt idx="3663">
                  <c:v>646.539</c:v>
                </c:pt>
                <c:pt idx="3664">
                  <c:v>646.709</c:v>
                </c:pt>
                <c:pt idx="3665">
                  <c:v>646.88</c:v>
                </c:pt>
                <c:pt idx="3666">
                  <c:v>647.049</c:v>
                </c:pt>
                <c:pt idx="3667">
                  <c:v>647.218</c:v>
                </c:pt>
                <c:pt idx="3668">
                  <c:v>647.386</c:v>
                </c:pt>
                <c:pt idx="3669">
                  <c:v>647.5549999999994</c:v>
                </c:pt>
                <c:pt idx="3670">
                  <c:v>647.723</c:v>
                </c:pt>
                <c:pt idx="3671">
                  <c:v>647.89</c:v>
                </c:pt>
                <c:pt idx="3672">
                  <c:v>648.0559999999994</c:v>
                </c:pt>
                <c:pt idx="3673">
                  <c:v>648.224</c:v>
                </c:pt>
                <c:pt idx="3674">
                  <c:v>648.393</c:v>
                </c:pt>
                <c:pt idx="3675">
                  <c:v>648.564</c:v>
                </c:pt>
                <c:pt idx="3676">
                  <c:v>648.734</c:v>
                </c:pt>
                <c:pt idx="3677">
                  <c:v>648.903</c:v>
                </c:pt>
                <c:pt idx="3678">
                  <c:v>649.072</c:v>
                </c:pt>
                <c:pt idx="3679">
                  <c:v>649.242</c:v>
                </c:pt>
                <c:pt idx="3680">
                  <c:v>649.4109999999994</c:v>
                </c:pt>
                <c:pt idx="3681">
                  <c:v>649.579</c:v>
                </c:pt>
                <c:pt idx="3682">
                  <c:v>649.748</c:v>
                </c:pt>
                <c:pt idx="3683">
                  <c:v>649.918</c:v>
                </c:pt>
                <c:pt idx="3684">
                  <c:v>650.086</c:v>
                </c:pt>
                <c:pt idx="3685">
                  <c:v>650.255</c:v>
                </c:pt>
                <c:pt idx="3686">
                  <c:v>650.4219999999979</c:v>
                </c:pt>
                <c:pt idx="3687">
                  <c:v>650.593</c:v>
                </c:pt>
                <c:pt idx="3688">
                  <c:v>650.7619999999994</c:v>
                </c:pt>
                <c:pt idx="3689">
                  <c:v>650.9329999999974</c:v>
                </c:pt>
                <c:pt idx="3690">
                  <c:v>651.101</c:v>
                </c:pt>
                <c:pt idx="3691">
                  <c:v>651.266</c:v>
                </c:pt>
                <c:pt idx="3692">
                  <c:v>651.4349999999994</c:v>
                </c:pt>
                <c:pt idx="3693">
                  <c:v>651.604</c:v>
                </c:pt>
                <c:pt idx="3694">
                  <c:v>651.773</c:v>
                </c:pt>
                <c:pt idx="3695">
                  <c:v>651.9409999999979</c:v>
                </c:pt>
                <c:pt idx="3696">
                  <c:v>652.11</c:v>
                </c:pt>
                <c:pt idx="3697">
                  <c:v>652.28</c:v>
                </c:pt>
                <c:pt idx="3698">
                  <c:v>652.449</c:v>
                </c:pt>
                <c:pt idx="3699">
                  <c:v>652.618</c:v>
                </c:pt>
                <c:pt idx="3700">
                  <c:v>652.788</c:v>
                </c:pt>
                <c:pt idx="3701">
                  <c:v>652.9609999999974</c:v>
                </c:pt>
                <c:pt idx="3702">
                  <c:v>653.1319999999994</c:v>
                </c:pt>
                <c:pt idx="3703">
                  <c:v>653.304</c:v>
                </c:pt>
                <c:pt idx="3704">
                  <c:v>653.476</c:v>
                </c:pt>
                <c:pt idx="3705">
                  <c:v>653.646</c:v>
                </c:pt>
                <c:pt idx="3706">
                  <c:v>653.8149999999994</c:v>
                </c:pt>
                <c:pt idx="3707">
                  <c:v>653.982</c:v>
                </c:pt>
                <c:pt idx="3708">
                  <c:v>654.15</c:v>
                </c:pt>
                <c:pt idx="3709">
                  <c:v>654.3179999999974</c:v>
                </c:pt>
                <c:pt idx="3710">
                  <c:v>654.486</c:v>
                </c:pt>
                <c:pt idx="3711">
                  <c:v>654.65</c:v>
                </c:pt>
                <c:pt idx="3712">
                  <c:v>654.8179999999974</c:v>
                </c:pt>
                <c:pt idx="3713">
                  <c:v>654.989</c:v>
                </c:pt>
                <c:pt idx="3714">
                  <c:v>655.1619999999979</c:v>
                </c:pt>
                <c:pt idx="3715">
                  <c:v>655.3359999999974</c:v>
                </c:pt>
                <c:pt idx="3716">
                  <c:v>655.509</c:v>
                </c:pt>
                <c:pt idx="3717">
                  <c:v>655.679</c:v>
                </c:pt>
                <c:pt idx="3718">
                  <c:v>655.8529999999918</c:v>
                </c:pt>
                <c:pt idx="3719">
                  <c:v>656.025</c:v>
                </c:pt>
                <c:pt idx="3720">
                  <c:v>656.198</c:v>
                </c:pt>
                <c:pt idx="3721">
                  <c:v>656.374</c:v>
                </c:pt>
                <c:pt idx="3722">
                  <c:v>656.548</c:v>
                </c:pt>
                <c:pt idx="3723">
                  <c:v>656.721</c:v>
                </c:pt>
                <c:pt idx="3724">
                  <c:v>656.895</c:v>
                </c:pt>
                <c:pt idx="3725">
                  <c:v>657.0669999999974</c:v>
                </c:pt>
                <c:pt idx="3726">
                  <c:v>657.237</c:v>
                </c:pt>
                <c:pt idx="3727">
                  <c:v>657.404</c:v>
                </c:pt>
                <c:pt idx="3728">
                  <c:v>657.57</c:v>
                </c:pt>
                <c:pt idx="3729">
                  <c:v>657.741</c:v>
                </c:pt>
                <c:pt idx="3730">
                  <c:v>657.9159999999994</c:v>
                </c:pt>
                <c:pt idx="3731">
                  <c:v>658.091</c:v>
                </c:pt>
                <c:pt idx="3732">
                  <c:v>658.263</c:v>
                </c:pt>
                <c:pt idx="3733">
                  <c:v>658.434</c:v>
                </c:pt>
                <c:pt idx="3734">
                  <c:v>658.601</c:v>
                </c:pt>
                <c:pt idx="3735">
                  <c:v>658.7669999999994</c:v>
                </c:pt>
                <c:pt idx="3736">
                  <c:v>658.9379999999974</c:v>
                </c:pt>
                <c:pt idx="3737">
                  <c:v>659.1079999999994</c:v>
                </c:pt>
                <c:pt idx="3738">
                  <c:v>659.282</c:v>
                </c:pt>
                <c:pt idx="3739">
                  <c:v>659.4539999999994</c:v>
                </c:pt>
                <c:pt idx="3740">
                  <c:v>659.626</c:v>
                </c:pt>
                <c:pt idx="3741">
                  <c:v>659.8</c:v>
                </c:pt>
                <c:pt idx="3742">
                  <c:v>659.97</c:v>
                </c:pt>
                <c:pt idx="3743">
                  <c:v>660.141</c:v>
                </c:pt>
                <c:pt idx="3744">
                  <c:v>660.3109999999979</c:v>
                </c:pt>
                <c:pt idx="3745">
                  <c:v>660.481</c:v>
                </c:pt>
                <c:pt idx="3746">
                  <c:v>660.653</c:v>
                </c:pt>
                <c:pt idx="3747">
                  <c:v>660.8219999999974</c:v>
                </c:pt>
                <c:pt idx="3748">
                  <c:v>660.99</c:v>
                </c:pt>
                <c:pt idx="3749">
                  <c:v>661.1559999999994</c:v>
                </c:pt>
                <c:pt idx="3750">
                  <c:v>661.3219999999974</c:v>
                </c:pt>
                <c:pt idx="3751">
                  <c:v>661.492</c:v>
                </c:pt>
                <c:pt idx="3752">
                  <c:v>661.6619999999979</c:v>
                </c:pt>
                <c:pt idx="3753">
                  <c:v>661.8339999999994</c:v>
                </c:pt>
                <c:pt idx="3754">
                  <c:v>662.008</c:v>
                </c:pt>
                <c:pt idx="3755">
                  <c:v>662.184</c:v>
                </c:pt>
                <c:pt idx="3756">
                  <c:v>662.3599999999974</c:v>
                </c:pt>
                <c:pt idx="3757">
                  <c:v>662.534</c:v>
                </c:pt>
                <c:pt idx="3758">
                  <c:v>662.701</c:v>
                </c:pt>
                <c:pt idx="3759">
                  <c:v>662.8669999999836</c:v>
                </c:pt>
                <c:pt idx="3760">
                  <c:v>663.035</c:v>
                </c:pt>
                <c:pt idx="3761">
                  <c:v>663.206</c:v>
                </c:pt>
                <c:pt idx="3762">
                  <c:v>663.379</c:v>
                </c:pt>
                <c:pt idx="3763">
                  <c:v>663.55</c:v>
                </c:pt>
                <c:pt idx="3764">
                  <c:v>663.721</c:v>
                </c:pt>
                <c:pt idx="3765">
                  <c:v>663.8919999999994</c:v>
                </c:pt>
                <c:pt idx="3766">
                  <c:v>664.0659999999979</c:v>
                </c:pt>
                <c:pt idx="3767">
                  <c:v>664.237</c:v>
                </c:pt>
                <c:pt idx="3768">
                  <c:v>664.4069999999994</c:v>
                </c:pt>
                <c:pt idx="3769">
                  <c:v>664.57</c:v>
                </c:pt>
                <c:pt idx="3770">
                  <c:v>664.734</c:v>
                </c:pt>
                <c:pt idx="3771">
                  <c:v>664.9019999999994</c:v>
                </c:pt>
                <c:pt idx="3772">
                  <c:v>665.072</c:v>
                </c:pt>
                <c:pt idx="3773">
                  <c:v>665.239</c:v>
                </c:pt>
                <c:pt idx="3774">
                  <c:v>665.41</c:v>
                </c:pt>
                <c:pt idx="3775">
                  <c:v>665.577</c:v>
                </c:pt>
                <c:pt idx="3776">
                  <c:v>665.744</c:v>
                </c:pt>
                <c:pt idx="3777">
                  <c:v>665.9109999999994</c:v>
                </c:pt>
                <c:pt idx="3778">
                  <c:v>666.082</c:v>
                </c:pt>
                <c:pt idx="3779">
                  <c:v>666.261</c:v>
                </c:pt>
                <c:pt idx="3780">
                  <c:v>666.4379999999974</c:v>
                </c:pt>
                <c:pt idx="3781">
                  <c:v>666.612</c:v>
                </c:pt>
                <c:pt idx="3782">
                  <c:v>666.786</c:v>
                </c:pt>
                <c:pt idx="3783">
                  <c:v>666.9579999999974</c:v>
                </c:pt>
                <c:pt idx="3784">
                  <c:v>667.131</c:v>
                </c:pt>
                <c:pt idx="3785">
                  <c:v>667.3009999999994</c:v>
                </c:pt>
                <c:pt idx="3786">
                  <c:v>667.472</c:v>
                </c:pt>
                <c:pt idx="3787">
                  <c:v>667.645</c:v>
                </c:pt>
                <c:pt idx="3788">
                  <c:v>667.8209999999979</c:v>
                </c:pt>
                <c:pt idx="3789">
                  <c:v>667.999</c:v>
                </c:pt>
                <c:pt idx="3790">
                  <c:v>668.175</c:v>
                </c:pt>
                <c:pt idx="3791">
                  <c:v>668.3489999999994</c:v>
                </c:pt>
                <c:pt idx="3792">
                  <c:v>668.523</c:v>
                </c:pt>
                <c:pt idx="3793">
                  <c:v>668.694</c:v>
                </c:pt>
                <c:pt idx="3794">
                  <c:v>668.8649999999974</c:v>
                </c:pt>
                <c:pt idx="3795">
                  <c:v>669.0369999999979</c:v>
                </c:pt>
                <c:pt idx="3796">
                  <c:v>669.207</c:v>
                </c:pt>
                <c:pt idx="3797">
                  <c:v>669.379</c:v>
                </c:pt>
                <c:pt idx="3798">
                  <c:v>669.549</c:v>
                </c:pt>
                <c:pt idx="3799">
                  <c:v>669.719</c:v>
                </c:pt>
                <c:pt idx="3800">
                  <c:v>669.889</c:v>
                </c:pt>
                <c:pt idx="3801">
                  <c:v>670.054</c:v>
                </c:pt>
                <c:pt idx="3802">
                  <c:v>670.222</c:v>
                </c:pt>
                <c:pt idx="3803">
                  <c:v>670.388</c:v>
                </c:pt>
                <c:pt idx="3804">
                  <c:v>670.5549999999994</c:v>
                </c:pt>
                <c:pt idx="3805">
                  <c:v>670.724</c:v>
                </c:pt>
                <c:pt idx="3806">
                  <c:v>670.8969999999994</c:v>
                </c:pt>
                <c:pt idx="3807">
                  <c:v>671.0669999999974</c:v>
                </c:pt>
                <c:pt idx="3808">
                  <c:v>671.235</c:v>
                </c:pt>
                <c:pt idx="3809">
                  <c:v>671.398</c:v>
                </c:pt>
                <c:pt idx="3810">
                  <c:v>671.5579999999974</c:v>
                </c:pt>
                <c:pt idx="3811">
                  <c:v>671.719</c:v>
                </c:pt>
                <c:pt idx="3812">
                  <c:v>671.881</c:v>
                </c:pt>
                <c:pt idx="3813">
                  <c:v>672.0419999999979</c:v>
                </c:pt>
                <c:pt idx="3814">
                  <c:v>672.203</c:v>
                </c:pt>
                <c:pt idx="3815">
                  <c:v>672.3599999999974</c:v>
                </c:pt>
                <c:pt idx="3816">
                  <c:v>672.513</c:v>
                </c:pt>
                <c:pt idx="3817">
                  <c:v>672.6669999999979</c:v>
                </c:pt>
                <c:pt idx="3818">
                  <c:v>672.8249999999994</c:v>
                </c:pt>
                <c:pt idx="3819">
                  <c:v>672.984</c:v>
                </c:pt>
                <c:pt idx="3820">
                  <c:v>673.144</c:v>
                </c:pt>
                <c:pt idx="3821">
                  <c:v>673.303</c:v>
                </c:pt>
                <c:pt idx="3822">
                  <c:v>673.4619999999974</c:v>
                </c:pt>
                <c:pt idx="3823">
                  <c:v>673.624</c:v>
                </c:pt>
                <c:pt idx="3824">
                  <c:v>673.785</c:v>
                </c:pt>
                <c:pt idx="3825">
                  <c:v>673.9449999999994</c:v>
                </c:pt>
                <c:pt idx="3826">
                  <c:v>674.105</c:v>
                </c:pt>
                <c:pt idx="3827">
                  <c:v>674.2669999999994</c:v>
                </c:pt>
                <c:pt idx="3828">
                  <c:v>674.4319999999979</c:v>
                </c:pt>
                <c:pt idx="3829">
                  <c:v>674.596</c:v>
                </c:pt>
                <c:pt idx="3830">
                  <c:v>674.759</c:v>
                </c:pt>
                <c:pt idx="3831">
                  <c:v>674.918</c:v>
                </c:pt>
                <c:pt idx="3832">
                  <c:v>675.076</c:v>
                </c:pt>
                <c:pt idx="3833">
                  <c:v>675.234</c:v>
                </c:pt>
                <c:pt idx="3834">
                  <c:v>675.39</c:v>
                </c:pt>
                <c:pt idx="3835">
                  <c:v>675.5469999999979</c:v>
                </c:pt>
                <c:pt idx="3836">
                  <c:v>675.705</c:v>
                </c:pt>
                <c:pt idx="3837">
                  <c:v>675.8649999999974</c:v>
                </c:pt>
                <c:pt idx="3838">
                  <c:v>676.028</c:v>
                </c:pt>
                <c:pt idx="3839">
                  <c:v>676.19</c:v>
                </c:pt>
                <c:pt idx="3840">
                  <c:v>676.3509999999974</c:v>
                </c:pt>
                <c:pt idx="3841">
                  <c:v>676.51</c:v>
                </c:pt>
                <c:pt idx="3842">
                  <c:v>676.664</c:v>
                </c:pt>
                <c:pt idx="3843">
                  <c:v>676.8199999999994</c:v>
                </c:pt>
                <c:pt idx="3844">
                  <c:v>676.977</c:v>
                </c:pt>
                <c:pt idx="3845">
                  <c:v>677.134</c:v>
                </c:pt>
                <c:pt idx="3846">
                  <c:v>677.29</c:v>
                </c:pt>
                <c:pt idx="3847">
                  <c:v>677.4449999999994</c:v>
                </c:pt>
                <c:pt idx="3848">
                  <c:v>677.6</c:v>
                </c:pt>
                <c:pt idx="3849">
                  <c:v>677.753</c:v>
                </c:pt>
                <c:pt idx="3850">
                  <c:v>677.909</c:v>
                </c:pt>
                <c:pt idx="3851">
                  <c:v>678.0679999999974</c:v>
                </c:pt>
                <c:pt idx="3852">
                  <c:v>678.225</c:v>
                </c:pt>
                <c:pt idx="3853">
                  <c:v>678.384</c:v>
                </c:pt>
                <c:pt idx="3854">
                  <c:v>678.539</c:v>
                </c:pt>
                <c:pt idx="3855">
                  <c:v>678.695</c:v>
                </c:pt>
                <c:pt idx="3856">
                  <c:v>678.8499999999979</c:v>
                </c:pt>
                <c:pt idx="3857">
                  <c:v>679.0069999999994</c:v>
                </c:pt>
                <c:pt idx="3858">
                  <c:v>679.1659999999994</c:v>
                </c:pt>
                <c:pt idx="3859">
                  <c:v>679.3229999999974</c:v>
                </c:pt>
                <c:pt idx="3860">
                  <c:v>679.477</c:v>
                </c:pt>
                <c:pt idx="3861">
                  <c:v>679.634</c:v>
                </c:pt>
                <c:pt idx="3862">
                  <c:v>679.794</c:v>
                </c:pt>
                <c:pt idx="3863">
                  <c:v>679.9549999999994</c:v>
                </c:pt>
                <c:pt idx="3864">
                  <c:v>680.117</c:v>
                </c:pt>
                <c:pt idx="3865">
                  <c:v>680.278</c:v>
                </c:pt>
                <c:pt idx="3866">
                  <c:v>680.4419999999974</c:v>
                </c:pt>
                <c:pt idx="3867">
                  <c:v>680.605</c:v>
                </c:pt>
                <c:pt idx="3868">
                  <c:v>680.7669999999994</c:v>
                </c:pt>
                <c:pt idx="3869">
                  <c:v>680.924</c:v>
                </c:pt>
                <c:pt idx="3870">
                  <c:v>681.079</c:v>
                </c:pt>
                <c:pt idx="3871">
                  <c:v>681.234</c:v>
                </c:pt>
                <c:pt idx="3872">
                  <c:v>681.39</c:v>
                </c:pt>
                <c:pt idx="3873">
                  <c:v>681.545</c:v>
                </c:pt>
                <c:pt idx="3874">
                  <c:v>681.702</c:v>
                </c:pt>
                <c:pt idx="3875">
                  <c:v>681.8579999999816</c:v>
                </c:pt>
                <c:pt idx="3876">
                  <c:v>682.016</c:v>
                </c:pt>
                <c:pt idx="3877">
                  <c:v>682.172</c:v>
                </c:pt>
                <c:pt idx="3878">
                  <c:v>682.3299999999994</c:v>
                </c:pt>
                <c:pt idx="3879">
                  <c:v>682.487</c:v>
                </c:pt>
                <c:pt idx="3880">
                  <c:v>682.645</c:v>
                </c:pt>
                <c:pt idx="3881">
                  <c:v>682.803</c:v>
                </c:pt>
                <c:pt idx="3882">
                  <c:v>682.9609999999974</c:v>
                </c:pt>
                <c:pt idx="3883">
                  <c:v>683.12</c:v>
                </c:pt>
                <c:pt idx="3884">
                  <c:v>683.279</c:v>
                </c:pt>
                <c:pt idx="3885">
                  <c:v>683.439</c:v>
                </c:pt>
                <c:pt idx="3886">
                  <c:v>683.601</c:v>
                </c:pt>
                <c:pt idx="3887">
                  <c:v>683.766</c:v>
                </c:pt>
                <c:pt idx="3888">
                  <c:v>683.929</c:v>
                </c:pt>
                <c:pt idx="3889">
                  <c:v>684.09</c:v>
                </c:pt>
                <c:pt idx="3890">
                  <c:v>684.2519999999994</c:v>
                </c:pt>
                <c:pt idx="3891">
                  <c:v>684.413</c:v>
                </c:pt>
                <c:pt idx="3892">
                  <c:v>684.571</c:v>
                </c:pt>
                <c:pt idx="3893">
                  <c:v>684.729</c:v>
                </c:pt>
                <c:pt idx="3894">
                  <c:v>684.889</c:v>
                </c:pt>
                <c:pt idx="3895">
                  <c:v>685.049</c:v>
                </c:pt>
                <c:pt idx="3896">
                  <c:v>685.209</c:v>
                </c:pt>
                <c:pt idx="3897">
                  <c:v>685.3669999999836</c:v>
                </c:pt>
                <c:pt idx="3898">
                  <c:v>685.5269999999994</c:v>
                </c:pt>
                <c:pt idx="3899">
                  <c:v>685.689</c:v>
                </c:pt>
                <c:pt idx="3900">
                  <c:v>685.8499999999979</c:v>
                </c:pt>
                <c:pt idx="3901">
                  <c:v>686.01</c:v>
                </c:pt>
                <c:pt idx="3902">
                  <c:v>686.175</c:v>
                </c:pt>
                <c:pt idx="3903">
                  <c:v>686.3419999999974</c:v>
                </c:pt>
                <c:pt idx="3904">
                  <c:v>686.5069999999994</c:v>
                </c:pt>
                <c:pt idx="3905">
                  <c:v>686.67</c:v>
                </c:pt>
                <c:pt idx="3906">
                  <c:v>686.8289999999994</c:v>
                </c:pt>
                <c:pt idx="3907">
                  <c:v>686.987</c:v>
                </c:pt>
                <c:pt idx="3908">
                  <c:v>687.146</c:v>
                </c:pt>
                <c:pt idx="3909">
                  <c:v>687.3079999999974</c:v>
                </c:pt>
                <c:pt idx="3910">
                  <c:v>687.4689999999994</c:v>
                </c:pt>
                <c:pt idx="3911">
                  <c:v>687.63</c:v>
                </c:pt>
                <c:pt idx="3912">
                  <c:v>687.79</c:v>
                </c:pt>
                <c:pt idx="3913">
                  <c:v>687.9519999999974</c:v>
                </c:pt>
                <c:pt idx="3914">
                  <c:v>688.116</c:v>
                </c:pt>
                <c:pt idx="3915">
                  <c:v>688.276</c:v>
                </c:pt>
                <c:pt idx="3916">
                  <c:v>688.4349999999994</c:v>
                </c:pt>
                <c:pt idx="3917">
                  <c:v>688.596</c:v>
                </c:pt>
                <c:pt idx="3918">
                  <c:v>688.756</c:v>
                </c:pt>
                <c:pt idx="3919">
                  <c:v>688.9109999999994</c:v>
                </c:pt>
                <c:pt idx="3920">
                  <c:v>689.0619999999974</c:v>
                </c:pt>
                <c:pt idx="3921">
                  <c:v>689.2140000000001</c:v>
                </c:pt>
                <c:pt idx="3922">
                  <c:v>689.3679999999914</c:v>
                </c:pt>
                <c:pt idx="3923">
                  <c:v>689.5259999999994</c:v>
                </c:pt>
                <c:pt idx="3924">
                  <c:v>689.684</c:v>
                </c:pt>
                <c:pt idx="3925">
                  <c:v>689.8419999999974</c:v>
                </c:pt>
                <c:pt idx="3926">
                  <c:v>690.0019999999994</c:v>
                </c:pt>
                <c:pt idx="3927">
                  <c:v>690.164</c:v>
                </c:pt>
                <c:pt idx="3928">
                  <c:v>690.3299999999994</c:v>
                </c:pt>
                <c:pt idx="3929">
                  <c:v>690.496</c:v>
                </c:pt>
                <c:pt idx="3930">
                  <c:v>690.6619999999979</c:v>
                </c:pt>
                <c:pt idx="3931">
                  <c:v>690.8269999999974</c:v>
                </c:pt>
                <c:pt idx="3932">
                  <c:v>690.992</c:v>
                </c:pt>
                <c:pt idx="3933">
                  <c:v>691.153</c:v>
                </c:pt>
                <c:pt idx="3934">
                  <c:v>691.314</c:v>
                </c:pt>
                <c:pt idx="3935">
                  <c:v>691.474</c:v>
                </c:pt>
                <c:pt idx="3936">
                  <c:v>691.633</c:v>
                </c:pt>
                <c:pt idx="3937">
                  <c:v>691.795</c:v>
                </c:pt>
                <c:pt idx="3938">
                  <c:v>691.9579999999974</c:v>
                </c:pt>
                <c:pt idx="3939">
                  <c:v>692.12</c:v>
                </c:pt>
                <c:pt idx="3940">
                  <c:v>692.282</c:v>
                </c:pt>
                <c:pt idx="3941">
                  <c:v>692.4419999999974</c:v>
                </c:pt>
                <c:pt idx="3942">
                  <c:v>692.6029999999994</c:v>
                </c:pt>
                <c:pt idx="3943">
                  <c:v>692.766</c:v>
                </c:pt>
                <c:pt idx="3944">
                  <c:v>692.928</c:v>
                </c:pt>
                <c:pt idx="3945">
                  <c:v>693.091</c:v>
                </c:pt>
                <c:pt idx="3946">
                  <c:v>693.2519999999994</c:v>
                </c:pt>
                <c:pt idx="3947">
                  <c:v>693.41</c:v>
                </c:pt>
                <c:pt idx="3948">
                  <c:v>693.5679999999974</c:v>
                </c:pt>
                <c:pt idx="3949">
                  <c:v>693.725</c:v>
                </c:pt>
                <c:pt idx="3950">
                  <c:v>693.8819999999994</c:v>
                </c:pt>
                <c:pt idx="3951">
                  <c:v>694.0409999999994</c:v>
                </c:pt>
                <c:pt idx="3952">
                  <c:v>694.199</c:v>
                </c:pt>
                <c:pt idx="3953">
                  <c:v>694.3579999999816</c:v>
                </c:pt>
                <c:pt idx="3954">
                  <c:v>694.518</c:v>
                </c:pt>
                <c:pt idx="3955">
                  <c:v>694.676</c:v>
                </c:pt>
                <c:pt idx="3956">
                  <c:v>694.8349999999979</c:v>
                </c:pt>
                <c:pt idx="3957">
                  <c:v>694.993</c:v>
                </c:pt>
                <c:pt idx="3958">
                  <c:v>695.15</c:v>
                </c:pt>
                <c:pt idx="3959">
                  <c:v>695.3079999999974</c:v>
                </c:pt>
                <c:pt idx="3960">
                  <c:v>695.4649999999979</c:v>
                </c:pt>
                <c:pt idx="3961">
                  <c:v>695.623</c:v>
                </c:pt>
                <c:pt idx="3962">
                  <c:v>695.778</c:v>
                </c:pt>
                <c:pt idx="3963">
                  <c:v>695.9329999999974</c:v>
                </c:pt>
                <c:pt idx="3964">
                  <c:v>696.088</c:v>
                </c:pt>
                <c:pt idx="3965">
                  <c:v>696.246</c:v>
                </c:pt>
                <c:pt idx="3966">
                  <c:v>696.4059999999994</c:v>
                </c:pt>
                <c:pt idx="3967">
                  <c:v>696.5659999999979</c:v>
                </c:pt>
                <c:pt idx="3968">
                  <c:v>696.727</c:v>
                </c:pt>
                <c:pt idx="3969">
                  <c:v>696.889</c:v>
                </c:pt>
                <c:pt idx="3970">
                  <c:v>697.049</c:v>
                </c:pt>
                <c:pt idx="3971">
                  <c:v>697.201</c:v>
                </c:pt>
                <c:pt idx="3972">
                  <c:v>697.3529999999918</c:v>
                </c:pt>
                <c:pt idx="3973">
                  <c:v>697.51</c:v>
                </c:pt>
                <c:pt idx="3974">
                  <c:v>697.67</c:v>
                </c:pt>
                <c:pt idx="3975">
                  <c:v>697.8309999999979</c:v>
                </c:pt>
                <c:pt idx="3976">
                  <c:v>697.989</c:v>
                </c:pt>
                <c:pt idx="3977">
                  <c:v>698.145</c:v>
                </c:pt>
                <c:pt idx="3978">
                  <c:v>698.303</c:v>
                </c:pt>
                <c:pt idx="3979">
                  <c:v>698.4589999999994</c:v>
                </c:pt>
                <c:pt idx="3980">
                  <c:v>698.61</c:v>
                </c:pt>
                <c:pt idx="3981">
                  <c:v>698.766</c:v>
                </c:pt>
                <c:pt idx="3982">
                  <c:v>698.9269999999979</c:v>
                </c:pt>
                <c:pt idx="3983">
                  <c:v>699.091</c:v>
                </c:pt>
                <c:pt idx="3984">
                  <c:v>699.253</c:v>
                </c:pt>
                <c:pt idx="3985">
                  <c:v>699.414</c:v>
                </c:pt>
                <c:pt idx="3986">
                  <c:v>699.574</c:v>
                </c:pt>
                <c:pt idx="3987">
                  <c:v>699.734</c:v>
                </c:pt>
                <c:pt idx="3988">
                  <c:v>699.894</c:v>
                </c:pt>
                <c:pt idx="3989">
                  <c:v>700.0549999999994</c:v>
                </c:pt>
                <c:pt idx="3990">
                  <c:v>700.217</c:v>
                </c:pt>
                <c:pt idx="3991">
                  <c:v>700.379</c:v>
                </c:pt>
                <c:pt idx="3992">
                  <c:v>700.5409999999994</c:v>
                </c:pt>
                <c:pt idx="3993">
                  <c:v>700.702</c:v>
                </c:pt>
                <c:pt idx="3994">
                  <c:v>700.8609999999974</c:v>
                </c:pt>
                <c:pt idx="3995">
                  <c:v>701.018</c:v>
                </c:pt>
                <c:pt idx="3996">
                  <c:v>701.174</c:v>
                </c:pt>
                <c:pt idx="3997">
                  <c:v>701.3319999999974</c:v>
                </c:pt>
                <c:pt idx="3998">
                  <c:v>701.49</c:v>
                </c:pt>
                <c:pt idx="3999">
                  <c:v>701.65</c:v>
                </c:pt>
                <c:pt idx="4000">
                  <c:v>701.8069999999979</c:v>
                </c:pt>
                <c:pt idx="4001">
                  <c:v>701.9659999999974</c:v>
                </c:pt>
                <c:pt idx="4002">
                  <c:v>702.124</c:v>
                </c:pt>
                <c:pt idx="4003">
                  <c:v>702.281</c:v>
                </c:pt>
                <c:pt idx="4004">
                  <c:v>702.439</c:v>
                </c:pt>
                <c:pt idx="4005">
                  <c:v>702.6</c:v>
                </c:pt>
                <c:pt idx="4006">
                  <c:v>702.76</c:v>
                </c:pt>
                <c:pt idx="4007">
                  <c:v>702.919</c:v>
                </c:pt>
                <c:pt idx="4008">
                  <c:v>703.079</c:v>
                </c:pt>
                <c:pt idx="4009">
                  <c:v>703.2380000000001</c:v>
                </c:pt>
                <c:pt idx="4010">
                  <c:v>703.3969999999994</c:v>
                </c:pt>
                <c:pt idx="4011">
                  <c:v>703.554</c:v>
                </c:pt>
                <c:pt idx="4012">
                  <c:v>703.711</c:v>
                </c:pt>
                <c:pt idx="4013">
                  <c:v>703.87</c:v>
                </c:pt>
                <c:pt idx="4014">
                  <c:v>704.028</c:v>
                </c:pt>
                <c:pt idx="4015">
                  <c:v>704.189</c:v>
                </c:pt>
                <c:pt idx="4016">
                  <c:v>704.3489999999994</c:v>
                </c:pt>
                <c:pt idx="4017">
                  <c:v>704.509</c:v>
                </c:pt>
                <c:pt idx="4018">
                  <c:v>704.668</c:v>
                </c:pt>
                <c:pt idx="4019">
                  <c:v>704.8259999999979</c:v>
                </c:pt>
                <c:pt idx="4020">
                  <c:v>704.984</c:v>
                </c:pt>
                <c:pt idx="4021">
                  <c:v>705.141</c:v>
                </c:pt>
                <c:pt idx="4022">
                  <c:v>705.3</c:v>
                </c:pt>
                <c:pt idx="4023">
                  <c:v>705.4579999999974</c:v>
                </c:pt>
                <c:pt idx="4024">
                  <c:v>705.617</c:v>
                </c:pt>
                <c:pt idx="4025">
                  <c:v>705.775</c:v>
                </c:pt>
                <c:pt idx="4026">
                  <c:v>705.9319999999979</c:v>
                </c:pt>
                <c:pt idx="4027">
                  <c:v>706.091</c:v>
                </c:pt>
                <c:pt idx="4028">
                  <c:v>706.249</c:v>
                </c:pt>
                <c:pt idx="4029">
                  <c:v>706.408</c:v>
                </c:pt>
                <c:pt idx="4030">
                  <c:v>706.569</c:v>
                </c:pt>
                <c:pt idx="4031">
                  <c:v>706.729</c:v>
                </c:pt>
                <c:pt idx="4032">
                  <c:v>706.889</c:v>
                </c:pt>
                <c:pt idx="4033">
                  <c:v>707.0469999999979</c:v>
                </c:pt>
                <c:pt idx="4034">
                  <c:v>707.204</c:v>
                </c:pt>
                <c:pt idx="4035">
                  <c:v>707.3599999999974</c:v>
                </c:pt>
                <c:pt idx="4036">
                  <c:v>707.5169999999994</c:v>
                </c:pt>
                <c:pt idx="4037">
                  <c:v>707.673</c:v>
                </c:pt>
                <c:pt idx="4038">
                  <c:v>707.8309999999979</c:v>
                </c:pt>
                <c:pt idx="4039">
                  <c:v>707.986</c:v>
                </c:pt>
                <c:pt idx="4040">
                  <c:v>708.143</c:v>
                </c:pt>
                <c:pt idx="4041">
                  <c:v>708.303</c:v>
                </c:pt>
                <c:pt idx="4042">
                  <c:v>708.4629999999925</c:v>
                </c:pt>
                <c:pt idx="4043">
                  <c:v>708.622</c:v>
                </c:pt>
                <c:pt idx="4044">
                  <c:v>708.782</c:v>
                </c:pt>
                <c:pt idx="4045">
                  <c:v>708.9409999999979</c:v>
                </c:pt>
                <c:pt idx="4046">
                  <c:v>709.095</c:v>
                </c:pt>
                <c:pt idx="4047">
                  <c:v>709.25</c:v>
                </c:pt>
                <c:pt idx="4048">
                  <c:v>709.4069999999994</c:v>
                </c:pt>
                <c:pt idx="4049">
                  <c:v>709.564</c:v>
                </c:pt>
                <c:pt idx="4050">
                  <c:v>709.722</c:v>
                </c:pt>
                <c:pt idx="4051">
                  <c:v>709.881</c:v>
                </c:pt>
                <c:pt idx="4052">
                  <c:v>710.04</c:v>
                </c:pt>
                <c:pt idx="4053">
                  <c:v>710.201</c:v>
                </c:pt>
                <c:pt idx="4054">
                  <c:v>710.3659999999974</c:v>
                </c:pt>
                <c:pt idx="4055">
                  <c:v>710.5259999999994</c:v>
                </c:pt>
                <c:pt idx="4056">
                  <c:v>710.686</c:v>
                </c:pt>
                <c:pt idx="4057">
                  <c:v>710.8479999999921</c:v>
                </c:pt>
                <c:pt idx="4058">
                  <c:v>711.008</c:v>
                </c:pt>
                <c:pt idx="4059">
                  <c:v>711.1669999999979</c:v>
                </c:pt>
                <c:pt idx="4060">
                  <c:v>711.3259999999979</c:v>
                </c:pt>
                <c:pt idx="4061">
                  <c:v>711.486</c:v>
                </c:pt>
                <c:pt idx="4062">
                  <c:v>711.646</c:v>
                </c:pt>
                <c:pt idx="4063">
                  <c:v>711.809</c:v>
                </c:pt>
                <c:pt idx="4064">
                  <c:v>711.97</c:v>
                </c:pt>
                <c:pt idx="4065">
                  <c:v>712.13</c:v>
                </c:pt>
                <c:pt idx="4066">
                  <c:v>712.29</c:v>
                </c:pt>
                <c:pt idx="4067">
                  <c:v>712.4499999999994</c:v>
                </c:pt>
                <c:pt idx="4068">
                  <c:v>712.61</c:v>
                </c:pt>
                <c:pt idx="4069">
                  <c:v>712.768</c:v>
                </c:pt>
                <c:pt idx="4070">
                  <c:v>712.9269999999979</c:v>
                </c:pt>
                <c:pt idx="4071">
                  <c:v>713.086</c:v>
                </c:pt>
                <c:pt idx="4072">
                  <c:v>713.245</c:v>
                </c:pt>
                <c:pt idx="4073">
                  <c:v>713.403</c:v>
                </c:pt>
                <c:pt idx="4074">
                  <c:v>713.5599999999994</c:v>
                </c:pt>
                <c:pt idx="4075">
                  <c:v>713.718</c:v>
                </c:pt>
                <c:pt idx="4076">
                  <c:v>713.874</c:v>
                </c:pt>
                <c:pt idx="4077">
                  <c:v>714.0259999999994</c:v>
                </c:pt>
                <c:pt idx="4078">
                  <c:v>714.176</c:v>
                </c:pt>
                <c:pt idx="4079">
                  <c:v>714.3319999999974</c:v>
                </c:pt>
                <c:pt idx="4080">
                  <c:v>714.489</c:v>
                </c:pt>
                <c:pt idx="4081">
                  <c:v>714.649</c:v>
                </c:pt>
                <c:pt idx="4082">
                  <c:v>714.8109999999979</c:v>
                </c:pt>
                <c:pt idx="4083">
                  <c:v>714.972</c:v>
                </c:pt>
                <c:pt idx="4084">
                  <c:v>715.129</c:v>
                </c:pt>
                <c:pt idx="4085">
                  <c:v>715.286</c:v>
                </c:pt>
                <c:pt idx="4086">
                  <c:v>715.4429999999974</c:v>
                </c:pt>
                <c:pt idx="4087">
                  <c:v>715.602</c:v>
                </c:pt>
                <c:pt idx="4088">
                  <c:v>715.76</c:v>
                </c:pt>
                <c:pt idx="4089">
                  <c:v>715.919</c:v>
                </c:pt>
                <c:pt idx="4090">
                  <c:v>716.073</c:v>
                </c:pt>
                <c:pt idx="4091">
                  <c:v>716.227</c:v>
                </c:pt>
                <c:pt idx="4092">
                  <c:v>716.38</c:v>
                </c:pt>
                <c:pt idx="4093">
                  <c:v>716.5359999999994</c:v>
                </c:pt>
                <c:pt idx="4094">
                  <c:v>716.693</c:v>
                </c:pt>
                <c:pt idx="4095">
                  <c:v>716.8519999999974</c:v>
                </c:pt>
                <c:pt idx="4096">
                  <c:v>717.0119999999994</c:v>
                </c:pt>
                <c:pt idx="4097">
                  <c:v>717.171</c:v>
                </c:pt>
                <c:pt idx="4098">
                  <c:v>717.3319999999974</c:v>
                </c:pt>
                <c:pt idx="4099">
                  <c:v>717.493</c:v>
                </c:pt>
                <c:pt idx="4100">
                  <c:v>717.6509999999994</c:v>
                </c:pt>
                <c:pt idx="4101">
                  <c:v>717.8099999999994</c:v>
                </c:pt>
                <c:pt idx="4102">
                  <c:v>717.97</c:v>
                </c:pt>
                <c:pt idx="4103">
                  <c:v>718.1319999999994</c:v>
                </c:pt>
                <c:pt idx="4104">
                  <c:v>718.3049999999994</c:v>
                </c:pt>
                <c:pt idx="4105">
                  <c:v>718.4829999999994</c:v>
                </c:pt>
                <c:pt idx="4106">
                  <c:v>718.665</c:v>
                </c:pt>
                <c:pt idx="4107">
                  <c:v>718.8459999999974</c:v>
                </c:pt>
                <c:pt idx="4108">
                  <c:v>719.0269999999994</c:v>
                </c:pt>
                <c:pt idx="4109">
                  <c:v>719.208</c:v>
                </c:pt>
                <c:pt idx="4110">
                  <c:v>719.39</c:v>
                </c:pt>
                <c:pt idx="4111">
                  <c:v>719.574</c:v>
                </c:pt>
                <c:pt idx="4112">
                  <c:v>719.7569999999994</c:v>
                </c:pt>
                <c:pt idx="4113">
                  <c:v>719.939</c:v>
                </c:pt>
                <c:pt idx="4114">
                  <c:v>720.123</c:v>
                </c:pt>
                <c:pt idx="4115">
                  <c:v>720.3069999999979</c:v>
                </c:pt>
                <c:pt idx="4116">
                  <c:v>720.489</c:v>
                </c:pt>
                <c:pt idx="4117">
                  <c:v>720.673</c:v>
                </c:pt>
                <c:pt idx="4118">
                  <c:v>720.8549999999979</c:v>
                </c:pt>
                <c:pt idx="4119">
                  <c:v>721.04</c:v>
                </c:pt>
                <c:pt idx="4120">
                  <c:v>721.227</c:v>
                </c:pt>
                <c:pt idx="4121">
                  <c:v>721.413</c:v>
                </c:pt>
                <c:pt idx="4122">
                  <c:v>721.6</c:v>
                </c:pt>
                <c:pt idx="4123">
                  <c:v>721.788</c:v>
                </c:pt>
                <c:pt idx="4124">
                  <c:v>721.972</c:v>
                </c:pt>
                <c:pt idx="4125">
                  <c:v>722.1559999999994</c:v>
                </c:pt>
                <c:pt idx="4126">
                  <c:v>722.3409999999974</c:v>
                </c:pt>
                <c:pt idx="4127">
                  <c:v>722.524</c:v>
                </c:pt>
                <c:pt idx="4128">
                  <c:v>722.708</c:v>
                </c:pt>
                <c:pt idx="4129">
                  <c:v>722.894</c:v>
                </c:pt>
                <c:pt idx="4130">
                  <c:v>723.08</c:v>
                </c:pt>
                <c:pt idx="4131">
                  <c:v>723.264</c:v>
                </c:pt>
                <c:pt idx="4132">
                  <c:v>723.4499999999994</c:v>
                </c:pt>
                <c:pt idx="4133">
                  <c:v>723.634</c:v>
                </c:pt>
                <c:pt idx="4134">
                  <c:v>723.814</c:v>
                </c:pt>
                <c:pt idx="4135">
                  <c:v>723.993</c:v>
                </c:pt>
                <c:pt idx="4136">
                  <c:v>724.173</c:v>
                </c:pt>
                <c:pt idx="4137">
                  <c:v>724.3559999999974</c:v>
                </c:pt>
                <c:pt idx="4138">
                  <c:v>724.538</c:v>
                </c:pt>
                <c:pt idx="4139">
                  <c:v>724.719</c:v>
                </c:pt>
                <c:pt idx="4140">
                  <c:v>724.898</c:v>
                </c:pt>
                <c:pt idx="4141">
                  <c:v>725.076</c:v>
                </c:pt>
                <c:pt idx="4142">
                  <c:v>725.254</c:v>
                </c:pt>
                <c:pt idx="4143">
                  <c:v>725.4359999999979</c:v>
                </c:pt>
                <c:pt idx="4144">
                  <c:v>725.62</c:v>
                </c:pt>
                <c:pt idx="4145">
                  <c:v>725.8019999999979</c:v>
                </c:pt>
                <c:pt idx="4146">
                  <c:v>725.984</c:v>
                </c:pt>
                <c:pt idx="4147">
                  <c:v>726.165</c:v>
                </c:pt>
                <c:pt idx="4148">
                  <c:v>726.3509999999974</c:v>
                </c:pt>
                <c:pt idx="4149">
                  <c:v>726.538</c:v>
                </c:pt>
                <c:pt idx="4150">
                  <c:v>726.722</c:v>
                </c:pt>
                <c:pt idx="4151">
                  <c:v>726.9059999999994</c:v>
                </c:pt>
                <c:pt idx="4152">
                  <c:v>727.091</c:v>
                </c:pt>
                <c:pt idx="4153">
                  <c:v>727.275</c:v>
                </c:pt>
                <c:pt idx="4154">
                  <c:v>727.4559999999979</c:v>
                </c:pt>
                <c:pt idx="4155">
                  <c:v>727.636</c:v>
                </c:pt>
                <c:pt idx="4156">
                  <c:v>727.8169999999974</c:v>
                </c:pt>
                <c:pt idx="4157">
                  <c:v>728.0</c:v>
                </c:pt>
                <c:pt idx="4158">
                  <c:v>728.182</c:v>
                </c:pt>
                <c:pt idx="4159">
                  <c:v>728.3649999999974</c:v>
                </c:pt>
                <c:pt idx="4160">
                  <c:v>728.55</c:v>
                </c:pt>
                <c:pt idx="4161">
                  <c:v>728.73</c:v>
                </c:pt>
                <c:pt idx="4162">
                  <c:v>728.9119999999979</c:v>
                </c:pt>
                <c:pt idx="4163">
                  <c:v>729.093</c:v>
                </c:pt>
                <c:pt idx="4164">
                  <c:v>729.279</c:v>
                </c:pt>
                <c:pt idx="4165">
                  <c:v>729.4649999999979</c:v>
                </c:pt>
                <c:pt idx="4166">
                  <c:v>729.65</c:v>
                </c:pt>
                <c:pt idx="4167">
                  <c:v>729.8319999999974</c:v>
                </c:pt>
                <c:pt idx="4168">
                  <c:v>730.013</c:v>
                </c:pt>
                <c:pt idx="4169">
                  <c:v>730.196</c:v>
                </c:pt>
                <c:pt idx="4170">
                  <c:v>730.381</c:v>
                </c:pt>
                <c:pt idx="4171">
                  <c:v>730.5649999999994</c:v>
                </c:pt>
                <c:pt idx="4172">
                  <c:v>730.75</c:v>
                </c:pt>
                <c:pt idx="4173">
                  <c:v>730.934</c:v>
                </c:pt>
                <c:pt idx="4174">
                  <c:v>731.119</c:v>
                </c:pt>
                <c:pt idx="4175">
                  <c:v>731.3049999999994</c:v>
                </c:pt>
                <c:pt idx="4176">
                  <c:v>731.492</c:v>
                </c:pt>
                <c:pt idx="4177">
                  <c:v>731.681</c:v>
                </c:pt>
                <c:pt idx="4178">
                  <c:v>731.8669999999836</c:v>
                </c:pt>
                <c:pt idx="4179">
                  <c:v>732.053</c:v>
                </c:pt>
                <c:pt idx="4180">
                  <c:v>732.236</c:v>
                </c:pt>
                <c:pt idx="4181">
                  <c:v>732.42</c:v>
                </c:pt>
                <c:pt idx="4182">
                  <c:v>732.602</c:v>
                </c:pt>
                <c:pt idx="4183">
                  <c:v>732.785</c:v>
                </c:pt>
                <c:pt idx="4184">
                  <c:v>732.9679999999923</c:v>
                </c:pt>
                <c:pt idx="4185">
                  <c:v>733.1519999999994</c:v>
                </c:pt>
                <c:pt idx="4186">
                  <c:v>733.3369999999974</c:v>
                </c:pt>
                <c:pt idx="4187">
                  <c:v>733.519</c:v>
                </c:pt>
                <c:pt idx="4188">
                  <c:v>733.704</c:v>
                </c:pt>
                <c:pt idx="4189">
                  <c:v>733.89</c:v>
                </c:pt>
                <c:pt idx="4190">
                  <c:v>734.074</c:v>
                </c:pt>
                <c:pt idx="4191">
                  <c:v>734.261</c:v>
                </c:pt>
                <c:pt idx="4192">
                  <c:v>734.4449999999994</c:v>
                </c:pt>
                <c:pt idx="4193">
                  <c:v>734.628</c:v>
                </c:pt>
                <c:pt idx="4194">
                  <c:v>734.8149999999994</c:v>
                </c:pt>
                <c:pt idx="4195">
                  <c:v>735.003</c:v>
                </c:pt>
                <c:pt idx="4196">
                  <c:v>735.19</c:v>
                </c:pt>
                <c:pt idx="4197">
                  <c:v>735.3769999999994</c:v>
                </c:pt>
                <c:pt idx="4198">
                  <c:v>735.5629999999974</c:v>
                </c:pt>
                <c:pt idx="4199">
                  <c:v>735.751</c:v>
                </c:pt>
                <c:pt idx="4200">
                  <c:v>735.934</c:v>
                </c:pt>
                <c:pt idx="4201">
                  <c:v>736.114</c:v>
                </c:pt>
                <c:pt idx="4202">
                  <c:v>736.293</c:v>
                </c:pt>
                <c:pt idx="4203">
                  <c:v>736.473</c:v>
                </c:pt>
                <c:pt idx="4204">
                  <c:v>736.654</c:v>
                </c:pt>
                <c:pt idx="4205">
                  <c:v>736.8379999999925</c:v>
                </c:pt>
                <c:pt idx="4206">
                  <c:v>737.02</c:v>
                </c:pt>
                <c:pt idx="4207">
                  <c:v>737.2</c:v>
                </c:pt>
                <c:pt idx="4208">
                  <c:v>737.376</c:v>
                </c:pt>
                <c:pt idx="4209">
                  <c:v>737.554</c:v>
                </c:pt>
                <c:pt idx="4210">
                  <c:v>737.7329999999994</c:v>
                </c:pt>
                <c:pt idx="4211">
                  <c:v>737.913</c:v>
                </c:pt>
                <c:pt idx="4212">
                  <c:v>738.097</c:v>
                </c:pt>
                <c:pt idx="4213">
                  <c:v>738.279</c:v>
                </c:pt>
                <c:pt idx="4214">
                  <c:v>738.4609999999974</c:v>
                </c:pt>
                <c:pt idx="4215">
                  <c:v>738.645</c:v>
                </c:pt>
                <c:pt idx="4216">
                  <c:v>738.8279999999974</c:v>
                </c:pt>
                <c:pt idx="4217">
                  <c:v>739.011</c:v>
                </c:pt>
                <c:pt idx="4218">
                  <c:v>739.194</c:v>
                </c:pt>
                <c:pt idx="4219">
                  <c:v>739.3769999999994</c:v>
                </c:pt>
                <c:pt idx="4220">
                  <c:v>739.5599999999994</c:v>
                </c:pt>
                <c:pt idx="4221">
                  <c:v>739.743</c:v>
                </c:pt>
                <c:pt idx="4222">
                  <c:v>739.9259999999994</c:v>
                </c:pt>
                <c:pt idx="4223">
                  <c:v>740.106</c:v>
                </c:pt>
                <c:pt idx="4224">
                  <c:v>740.285</c:v>
                </c:pt>
                <c:pt idx="4225">
                  <c:v>740.4649999999979</c:v>
                </c:pt>
                <c:pt idx="4226">
                  <c:v>740.6469999999994</c:v>
                </c:pt>
                <c:pt idx="4227">
                  <c:v>740.8259999999979</c:v>
                </c:pt>
                <c:pt idx="4228">
                  <c:v>741.008</c:v>
                </c:pt>
                <c:pt idx="4229">
                  <c:v>741.189</c:v>
                </c:pt>
                <c:pt idx="4230">
                  <c:v>741.372</c:v>
                </c:pt>
                <c:pt idx="4231">
                  <c:v>741.5579999999974</c:v>
                </c:pt>
                <c:pt idx="4232">
                  <c:v>741.741</c:v>
                </c:pt>
                <c:pt idx="4233">
                  <c:v>741.9269999999979</c:v>
                </c:pt>
                <c:pt idx="4234">
                  <c:v>742.1130000000001</c:v>
                </c:pt>
                <c:pt idx="4235">
                  <c:v>742.295</c:v>
                </c:pt>
                <c:pt idx="4236">
                  <c:v>742.476</c:v>
                </c:pt>
                <c:pt idx="4237">
                  <c:v>742.658</c:v>
                </c:pt>
                <c:pt idx="4238">
                  <c:v>742.8409999999974</c:v>
                </c:pt>
                <c:pt idx="4239">
                  <c:v>743.025</c:v>
                </c:pt>
                <c:pt idx="4240">
                  <c:v>743.21</c:v>
                </c:pt>
                <c:pt idx="4241">
                  <c:v>743.395</c:v>
                </c:pt>
                <c:pt idx="4242">
                  <c:v>743.581</c:v>
                </c:pt>
                <c:pt idx="4243">
                  <c:v>743.7669999999994</c:v>
                </c:pt>
                <c:pt idx="4244">
                  <c:v>743.949</c:v>
                </c:pt>
                <c:pt idx="4245">
                  <c:v>744.1319999999994</c:v>
                </c:pt>
                <c:pt idx="4246">
                  <c:v>744.3149999999994</c:v>
                </c:pt>
                <c:pt idx="4247">
                  <c:v>744.499</c:v>
                </c:pt>
                <c:pt idx="4248">
                  <c:v>744.685</c:v>
                </c:pt>
                <c:pt idx="4249">
                  <c:v>744.87</c:v>
                </c:pt>
                <c:pt idx="4250">
                  <c:v>745.0559999999994</c:v>
                </c:pt>
                <c:pt idx="4251">
                  <c:v>745.243</c:v>
                </c:pt>
                <c:pt idx="4252">
                  <c:v>745.4299999999994</c:v>
                </c:pt>
                <c:pt idx="4253">
                  <c:v>745.616</c:v>
                </c:pt>
                <c:pt idx="4254">
                  <c:v>745.8009999999994</c:v>
                </c:pt>
                <c:pt idx="4255">
                  <c:v>745.981</c:v>
                </c:pt>
                <c:pt idx="4256">
                  <c:v>746.1619999999979</c:v>
                </c:pt>
                <c:pt idx="4257">
                  <c:v>746.3449999999979</c:v>
                </c:pt>
                <c:pt idx="4258">
                  <c:v>746.5269999999994</c:v>
                </c:pt>
                <c:pt idx="4259">
                  <c:v>746.711</c:v>
                </c:pt>
                <c:pt idx="4260">
                  <c:v>746.893</c:v>
                </c:pt>
                <c:pt idx="4261">
                  <c:v>747.073</c:v>
                </c:pt>
                <c:pt idx="4262">
                  <c:v>747.2569999999994</c:v>
                </c:pt>
                <c:pt idx="4263">
                  <c:v>747.444</c:v>
                </c:pt>
                <c:pt idx="4264">
                  <c:v>747.63</c:v>
                </c:pt>
                <c:pt idx="4265">
                  <c:v>747.8169999999974</c:v>
                </c:pt>
                <c:pt idx="4266">
                  <c:v>748.0019999999994</c:v>
                </c:pt>
                <c:pt idx="4267">
                  <c:v>748.189</c:v>
                </c:pt>
                <c:pt idx="4268">
                  <c:v>748.376</c:v>
                </c:pt>
                <c:pt idx="4269">
                  <c:v>748.5619999999974</c:v>
                </c:pt>
                <c:pt idx="4270">
                  <c:v>748.746</c:v>
                </c:pt>
                <c:pt idx="4271">
                  <c:v>748.9299999999994</c:v>
                </c:pt>
                <c:pt idx="4272">
                  <c:v>749.11</c:v>
                </c:pt>
                <c:pt idx="4273">
                  <c:v>749.291</c:v>
                </c:pt>
                <c:pt idx="4274">
                  <c:v>749.474</c:v>
                </c:pt>
                <c:pt idx="4275">
                  <c:v>749.66</c:v>
                </c:pt>
                <c:pt idx="4276">
                  <c:v>749.8479999999921</c:v>
                </c:pt>
                <c:pt idx="4277">
                  <c:v>750.0359999999994</c:v>
                </c:pt>
                <c:pt idx="4278">
                  <c:v>750.221</c:v>
                </c:pt>
                <c:pt idx="4279">
                  <c:v>750.4059999999994</c:v>
                </c:pt>
                <c:pt idx="4280">
                  <c:v>750.592</c:v>
                </c:pt>
                <c:pt idx="4281">
                  <c:v>750.778</c:v>
                </c:pt>
                <c:pt idx="4282">
                  <c:v>750.9640000000001</c:v>
                </c:pt>
                <c:pt idx="4283">
                  <c:v>751.148</c:v>
                </c:pt>
                <c:pt idx="4284">
                  <c:v>751.3329999999974</c:v>
                </c:pt>
                <c:pt idx="4285">
                  <c:v>751.5169999999994</c:v>
                </c:pt>
                <c:pt idx="4286">
                  <c:v>751.703</c:v>
                </c:pt>
                <c:pt idx="4287">
                  <c:v>751.89</c:v>
                </c:pt>
                <c:pt idx="4288">
                  <c:v>752.075</c:v>
                </c:pt>
                <c:pt idx="4289">
                  <c:v>752.2569999999994</c:v>
                </c:pt>
                <c:pt idx="4290">
                  <c:v>752.4369999999974</c:v>
                </c:pt>
                <c:pt idx="4291">
                  <c:v>752.619</c:v>
                </c:pt>
                <c:pt idx="4292">
                  <c:v>752.8009999999994</c:v>
                </c:pt>
                <c:pt idx="4293">
                  <c:v>752.986</c:v>
                </c:pt>
                <c:pt idx="4294">
                  <c:v>753.173</c:v>
                </c:pt>
                <c:pt idx="4295">
                  <c:v>753.3589999999994</c:v>
                </c:pt>
                <c:pt idx="4296">
                  <c:v>753.544</c:v>
                </c:pt>
                <c:pt idx="4297">
                  <c:v>753.726</c:v>
                </c:pt>
                <c:pt idx="4298">
                  <c:v>753.9069999999994</c:v>
                </c:pt>
                <c:pt idx="4299">
                  <c:v>754.087</c:v>
                </c:pt>
                <c:pt idx="4300">
                  <c:v>754.274</c:v>
                </c:pt>
                <c:pt idx="4301">
                  <c:v>754.4609999999974</c:v>
                </c:pt>
                <c:pt idx="4302">
                  <c:v>754.649</c:v>
                </c:pt>
                <c:pt idx="4303">
                  <c:v>754.8379999999925</c:v>
                </c:pt>
                <c:pt idx="4304">
                  <c:v>755.023</c:v>
                </c:pt>
                <c:pt idx="4305">
                  <c:v>755.21</c:v>
                </c:pt>
                <c:pt idx="4306">
                  <c:v>755.3969999999994</c:v>
                </c:pt>
                <c:pt idx="4307">
                  <c:v>755.581</c:v>
                </c:pt>
                <c:pt idx="4308">
                  <c:v>755.769</c:v>
                </c:pt>
                <c:pt idx="4309">
                  <c:v>755.9549999999994</c:v>
                </c:pt>
                <c:pt idx="4310">
                  <c:v>756.138</c:v>
                </c:pt>
                <c:pt idx="4311">
                  <c:v>756.3209999999979</c:v>
                </c:pt>
                <c:pt idx="4312">
                  <c:v>756.503</c:v>
                </c:pt>
                <c:pt idx="4313">
                  <c:v>756.685</c:v>
                </c:pt>
                <c:pt idx="4314">
                  <c:v>756.8659999999974</c:v>
                </c:pt>
                <c:pt idx="4315">
                  <c:v>757.05</c:v>
                </c:pt>
                <c:pt idx="4316">
                  <c:v>757.237</c:v>
                </c:pt>
                <c:pt idx="4317">
                  <c:v>757.424</c:v>
                </c:pt>
                <c:pt idx="4318">
                  <c:v>757.6079999999994</c:v>
                </c:pt>
                <c:pt idx="4319">
                  <c:v>757.793</c:v>
                </c:pt>
                <c:pt idx="4320">
                  <c:v>757.977</c:v>
                </c:pt>
                <c:pt idx="4321">
                  <c:v>758.1619999999979</c:v>
                </c:pt>
                <c:pt idx="4322">
                  <c:v>758.3459999999974</c:v>
                </c:pt>
                <c:pt idx="4323">
                  <c:v>758.53</c:v>
                </c:pt>
                <c:pt idx="4324">
                  <c:v>758.7140000000001</c:v>
                </c:pt>
                <c:pt idx="4325">
                  <c:v>758.9</c:v>
                </c:pt>
                <c:pt idx="4326">
                  <c:v>759.083</c:v>
                </c:pt>
                <c:pt idx="4327">
                  <c:v>759.268</c:v>
                </c:pt>
                <c:pt idx="4328">
                  <c:v>759.4529999999974</c:v>
                </c:pt>
                <c:pt idx="4329">
                  <c:v>759.638</c:v>
                </c:pt>
                <c:pt idx="4330">
                  <c:v>759.824</c:v>
                </c:pt>
                <c:pt idx="4331">
                  <c:v>760.01</c:v>
                </c:pt>
                <c:pt idx="4332">
                  <c:v>760.196</c:v>
                </c:pt>
                <c:pt idx="4333">
                  <c:v>760.383</c:v>
                </c:pt>
                <c:pt idx="4334">
                  <c:v>760.575</c:v>
                </c:pt>
                <c:pt idx="4335">
                  <c:v>760.763</c:v>
                </c:pt>
                <c:pt idx="4336">
                  <c:v>760.9509999999979</c:v>
                </c:pt>
                <c:pt idx="4337">
                  <c:v>761.1369999999994</c:v>
                </c:pt>
                <c:pt idx="4338">
                  <c:v>761.324</c:v>
                </c:pt>
                <c:pt idx="4339">
                  <c:v>761.511</c:v>
                </c:pt>
                <c:pt idx="4340">
                  <c:v>761.699</c:v>
                </c:pt>
                <c:pt idx="4341">
                  <c:v>761.888</c:v>
                </c:pt>
                <c:pt idx="4342">
                  <c:v>762.073</c:v>
                </c:pt>
                <c:pt idx="4343">
                  <c:v>762.26</c:v>
                </c:pt>
                <c:pt idx="4344">
                  <c:v>762.444</c:v>
                </c:pt>
                <c:pt idx="4345">
                  <c:v>762.63</c:v>
                </c:pt>
                <c:pt idx="4346">
                  <c:v>762.8169999999974</c:v>
                </c:pt>
                <c:pt idx="4347">
                  <c:v>763.004</c:v>
                </c:pt>
                <c:pt idx="4348">
                  <c:v>763.19</c:v>
                </c:pt>
                <c:pt idx="4349">
                  <c:v>763.375</c:v>
                </c:pt>
                <c:pt idx="4350">
                  <c:v>763.559</c:v>
                </c:pt>
                <c:pt idx="4351">
                  <c:v>763.743</c:v>
                </c:pt>
                <c:pt idx="4352">
                  <c:v>763.9249999999994</c:v>
                </c:pt>
                <c:pt idx="4353">
                  <c:v>764.107</c:v>
                </c:pt>
                <c:pt idx="4354">
                  <c:v>764.29</c:v>
                </c:pt>
                <c:pt idx="4355">
                  <c:v>764.475</c:v>
                </c:pt>
                <c:pt idx="4356">
                  <c:v>764.6569999999994</c:v>
                </c:pt>
                <c:pt idx="4357">
                  <c:v>764.8390000000001</c:v>
                </c:pt>
                <c:pt idx="4358">
                  <c:v>765.023</c:v>
                </c:pt>
                <c:pt idx="4359">
                  <c:v>765.202</c:v>
                </c:pt>
                <c:pt idx="4360">
                  <c:v>765.378</c:v>
                </c:pt>
                <c:pt idx="4361">
                  <c:v>765.5519999999979</c:v>
                </c:pt>
                <c:pt idx="4362">
                  <c:v>765.726</c:v>
                </c:pt>
                <c:pt idx="4363">
                  <c:v>765.898</c:v>
                </c:pt>
                <c:pt idx="4364">
                  <c:v>766.076</c:v>
                </c:pt>
                <c:pt idx="4365">
                  <c:v>766.2569999999994</c:v>
                </c:pt>
                <c:pt idx="4366">
                  <c:v>766.4369999999974</c:v>
                </c:pt>
                <c:pt idx="4367">
                  <c:v>766.617</c:v>
                </c:pt>
                <c:pt idx="4368">
                  <c:v>766.792</c:v>
                </c:pt>
                <c:pt idx="4369">
                  <c:v>766.9659999999974</c:v>
                </c:pt>
                <c:pt idx="4370">
                  <c:v>767.138</c:v>
                </c:pt>
                <c:pt idx="4371">
                  <c:v>767.3099999999994</c:v>
                </c:pt>
                <c:pt idx="4372">
                  <c:v>767.484</c:v>
                </c:pt>
                <c:pt idx="4373">
                  <c:v>767.658</c:v>
                </c:pt>
                <c:pt idx="4374">
                  <c:v>767.8339999999994</c:v>
                </c:pt>
                <c:pt idx="4375">
                  <c:v>768.011</c:v>
                </c:pt>
                <c:pt idx="4376">
                  <c:v>768.191</c:v>
                </c:pt>
                <c:pt idx="4377">
                  <c:v>768.373</c:v>
                </c:pt>
                <c:pt idx="4378">
                  <c:v>768.553</c:v>
                </c:pt>
                <c:pt idx="4379">
                  <c:v>768.732</c:v>
                </c:pt>
                <c:pt idx="4380">
                  <c:v>768.9069999999994</c:v>
                </c:pt>
                <c:pt idx="4381">
                  <c:v>769.082</c:v>
                </c:pt>
                <c:pt idx="4382">
                  <c:v>769.258</c:v>
                </c:pt>
                <c:pt idx="4383">
                  <c:v>769.4369999999974</c:v>
                </c:pt>
                <c:pt idx="4384">
                  <c:v>769.618</c:v>
                </c:pt>
                <c:pt idx="4385">
                  <c:v>769.8</c:v>
                </c:pt>
                <c:pt idx="4386">
                  <c:v>769.984</c:v>
                </c:pt>
                <c:pt idx="4387">
                  <c:v>770.164</c:v>
                </c:pt>
                <c:pt idx="4388">
                  <c:v>770.3429999999923</c:v>
                </c:pt>
                <c:pt idx="4389">
                  <c:v>770.523</c:v>
                </c:pt>
                <c:pt idx="4390">
                  <c:v>770.701</c:v>
                </c:pt>
                <c:pt idx="4391">
                  <c:v>770.881</c:v>
                </c:pt>
                <c:pt idx="4392">
                  <c:v>771.0599999999994</c:v>
                </c:pt>
                <c:pt idx="4393">
                  <c:v>771.239</c:v>
                </c:pt>
                <c:pt idx="4394">
                  <c:v>771.4159999999994</c:v>
                </c:pt>
                <c:pt idx="4395">
                  <c:v>771.5890000000001</c:v>
                </c:pt>
                <c:pt idx="4396">
                  <c:v>771.765</c:v>
                </c:pt>
                <c:pt idx="4397">
                  <c:v>771.944</c:v>
                </c:pt>
                <c:pt idx="4398">
                  <c:v>772.121</c:v>
                </c:pt>
                <c:pt idx="4399">
                  <c:v>772.295</c:v>
                </c:pt>
                <c:pt idx="4400">
                  <c:v>772.4659999999974</c:v>
                </c:pt>
                <c:pt idx="4401">
                  <c:v>772.639</c:v>
                </c:pt>
                <c:pt idx="4402">
                  <c:v>772.809</c:v>
                </c:pt>
                <c:pt idx="4403">
                  <c:v>772.979</c:v>
                </c:pt>
                <c:pt idx="4404">
                  <c:v>773.1509999999994</c:v>
                </c:pt>
                <c:pt idx="4405">
                  <c:v>773.3219999999974</c:v>
                </c:pt>
                <c:pt idx="4406">
                  <c:v>773.493</c:v>
                </c:pt>
                <c:pt idx="4407">
                  <c:v>773.6669999999979</c:v>
                </c:pt>
                <c:pt idx="4408">
                  <c:v>773.8390000000001</c:v>
                </c:pt>
                <c:pt idx="4409">
                  <c:v>774.011</c:v>
                </c:pt>
                <c:pt idx="4410">
                  <c:v>774.183</c:v>
                </c:pt>
                <c:pt idx="4411">
                  <c:v>774.3529999999918</c:v>
                </c:pt>
                <c:pt idx="4412">
                  <c:v>774.5219999999994</c:v>
                </c:pt>
                <c:pt idx="4413">
                  <c:v>774.689</c:v>
                </c:pt>
                <c:pt idx="4414">
                  <c:v>774.8559999999974</c:v>
                </c:pt>
                <c:pt idx="4415">
                  <c:v>775.0259999999994</c:v>
                </c:pt>
                <c:pt idx="4416">
                  <c:v>775.194</c:v>
                </c:pt>
                <c:pt idx="4417">
                  <c:v>775.3619999999906</c:v>
                </c:pt>
                <c:pt idx="4418">
                  <c:v>775.53</c:v>
                </c:pt>
                <c:pt idx="4419">
                  <c:v>775.697</c:v>
                </c:pt>
                <c:pt idx="4420">
                  <c:v>775.8630000000001</c:v>
                </c:pt>
                <c:pt idx="4421">
                  <c:v>776.029</c:v>
                </c:pt>
                <c:pt idx="4422">
                  <c:v>776.198</c:v>
                </c:pt>
                <c:pt idx="4423">
                  <c:v>776.3679999999914</c:v>
                </c:pt>
                <c:pt idx="4424">
                  <c:v>776.539</c:v>
                </c:pt>
                <c:pt idx="4425">
                  <c:v>776.71</c:v>
                </c:pt>
                <c:pt idx="4426">
                  <c:v>776.8819999999994</c:v>
                </c:pt>
                <c:pt idx="4427">
                  <c:v>777.05</c:v>
                </c:pt>
                <c:pt idx="4428">
                  <c:v>777.22</c:v>
                </c:pt>
                <c:pt idx="4429">
                  <c:v>777.388</c:v>
                </c:pt>
                <c:pt idx="4430">
                  <c:v>777.5549999999994</c:v>
                </c:pt>
                <c:pt idx="4431">
                  <c:v>777.724</c:v>
                </c:pt>
                <c:pt idx="4432">
                  <c:v>777.894</c:v>
                </c:pt>
                <c:pt idx="4433">
                  <c:v>778.0629999999974</c:v>
                </c:pt>
                <c:pt idx="4434">
                  <c:v>778.232</c:v>
                </c:pt>
                <c:pt idx="4435">
                  <c:v>778.398</c:v>
                </c:pt>
                <c:pt idx="4436">
                  <c:v>778.5649999999994</c:v>
                </c:pt>
                <c:pt idx="4437">
                  <c:v>778.734</c:v>
                </c:pt>
                <c:pt idx="4438">
                  <c:v>778.9059999999994</c:v>
                </c:pt>
                <c:pt idx="4439">
                  <c:v>779.079</c:v>
                </c:pt>
                <c:pt idx="4440">
                  <c:v>779.2519999999994</c:v>
                </c:pt>
                <c:pt idx="4441">
                  <c:v>779.4259999999994</c:v>
                </c:pt>
                <c:pt idx="4442">
                  <c:v>779.598</c:v>
                </c:pt>
                <c:pt idx="4443">
                  <c:v>779.771</c:v>
                </c:pt>
                <c:pt idx="4444">
                  <c:v>779.9449999999994</c:v>
                </c:pt>
                <c:pt idx="4445">
                  <c:v>780.119</c:v>
                </c:pt>
                <c:pt idx="4446">
                  <c:v>780.291</c:v>
                </c:pt>
                <c:pt idx="4447">
                  <c:v>780.4629999999925</c:v>
                </c:pt>
                <c:pt idx="4448">
                  <c:v>780.635</c:v>
                </c:pt>
                <c:pt idx="4449">
                  <c:v>780.8049999999994</c:v>
                </c:pt>
                <c:pt idx="4450">
                  <c:v>780.974</c:v>
                </c:pt>
                <c:pt idx="4451">
                  <c:v>781.1469999999994</c:v>
                </c:pt>
                <c:pt idx="4452">
                  <c:v>781.3199999999994</c:v>
                </c:pt>
                <c:pt idx="4453">
                  <c:v>781.497</c:v>
                </c:pt>
                <c:pt idx="4454">
                  <c:v>781.675</c:v>
                </c:pt>
                <c:pt idx="4455">
                  <c:v>781.8549999999979</c:v>
                </c:pt>
                <c:pt idx="4456">
                  <c:v>782.034</c:v>
                </c:pt>
                <c:pt idx="4457">
                  <c:v>782.212</c:v>
                </c:pt>
                <c:pt idx="4458">
                  <c:v>782.388</c:v>
                </c:pt>
                <c:pt idx="4459">
                  <c:v>782.5609999999979</c:v>
                </c:pt>
                <c:pt idx="4460">
                  <c:v>782.732</c:v>
                </c:pt>
                <c:pt idx="4461">
                  <c:v>782.9009999999994</c:v>
                </c:pt>
                <c:pt idx="4462">
                  <c:v>783.071</c:v>
                </c:pt>
                <c:pt idx="4463">
                  <c:v>783.2380000000001</c:v>
                </c:pt>
                <c:pt idx="4464">
                  <c:v>783.4059999999994</c:v>
                </c:pt>
                <c:pt idx="4465">
                  <c:v>783.574</c:v>
                </c:pt>
                <c:pt idx="4466">
                  <c:v>783.739</c:v>
                </c:pt>
                <c:pt idx="4467">
                  <c:v>783.9059999999994</c:v>
                </c:pt>
                <c:pt idx="4468">
                  <c:v>784.073</c:v>
                </c:pt>
                <c:pt idx="4469">
                  <c:v>784.24</c:v>
                </c:pt>
                <c:pt idx="4470">
                  <c:v>784.4109999999994</c:v>
                </c:pt>
                <c:pt idx="4471">
                  <c:v>784.583</c:v>
                </c:pt>
                <c:pt idx="4472">
                  <c:v>784.754</c:v>
                </c:pt>
                <c:pt idx="4473">
                  <c:v>784.9249999999994</c:v>
                </c:pt>
                <c:pt idx="4474">
                  <c:v>785.097</c:v>
                </c:pt>
                <c:pt idx="4475">
                  <c:v>785.269</c:v>
                </c:pt>
                <c:pt idx="4476">
                  <c:v>785.4459999999979</c:v>
                </c:pt>
                <c:pt idx="4477">
                  <c:v>785.621</c:v>
                </c:pt>
                <c:pt idx="4478">
                  <c:v>785.793</c:v>
                </c:pt>
                <c:pt idx="4479">
                  <c:v>785.9659999999974</c:v>
                </c:pt>
                <c:pt idx="4480">
                  <c:v>786.1369999999994</c:v>
                </c:pt>
                <c:pt idx="4481">
                  <c:v>786.3069999999979</c:v>
                </c:pt>
                <c:pt idx="4482">
                  <c:v>786.472</c:v>
                </c:pt>
                <c:pt idx="4483">
                  <c:v>786.636</c:v>
                </c:pt>
                <c:pt idx="4484">
                  <c:v>786.8009999999994</c:v>
                </c:pt>
                <c:pt idx="4485">
                  <c:v>786.9659999999974</c:v>
                </c:pt>
                <c:pt idx="4486">
                  <c:v>787.133</c:v>
                </c:pt>
                <c:pt idx="4487">
                  <c:v>787.299</c:v>
                </c:pt>
                <c:pt idx="4488">
                  <c:v>787.4640000000001</c:v>
                </c:pt>
                <c:pt idx="4489">
                  <c:v>787.63</c:v>
                </c:pt>
                <c:pt idx="4490">
                  <c:v>787.798</c:v>
                </c:pt>
                <c:pt idx="4491">
                  <c:v>787.9669999999974</c:v>
                </c:pt>
                <c:pt idx="4492">
                  <c:v>788.1369999999994</c:v>
                </c:pt>
                <c:pt idx="4493">
                  <c:v>788.3069999999979</c:v>
                </c:pt>
                <c:pt idx="4494">
                  <c:v>788.474</c:v>
                </c:pt>
                <c:pt idx="4495">
                  <c:v>788.645</c:v>
                </c:pt>
                <c:pt idx="4496">
                  <c:v>788.8149999999994</c:v>
                </c:pt>
                <c:pt idx="4497">
                  <c:v>788.9829999999994</c:v>
                </c:pt>
                <c:pt idx="4498">
                  <c:v>789.1509999999994</c:v>
                </c:pt>
                <c:pt idx="4499">
                  <c:v>789.3159999999979</c:v>
                </c:pt>
                <c:pt idx="4500">
                  <c:v>789.4829999999994</c:v>
                </c:pt>
                <c:pt idx="4501">
                  <c:v>789.653</c:v>
                </c:pt>
                <c:pt idx="4502">
                  <c:v>789.8219999999974</c:v>
                </c:pt>
                <c:pt idx="4503">
                  <c:v>789.991</c:v>
                </c:pt>
                <c:pt idx="4504">
                  <c:v>790.1609999999994</c:v>
                </c:pt>
                <c:pt idx="4505">
                  <c:v>790.3319999999974</c:v>
                </c:pt>
                <c:pt idx="4506">
                  <c:v>790.505</c:v>
                </c:pt>
                <c:pt idx="4507">
                  <c:v>790.671</c:v>
                </c:pt>
                <c:pt idx="4508">
                  <c:v>790.8369999999974</c:v>
                </c:pt>
                <c:pt idx="4509">
                  <c:v>791.004</c:v>
                </c:pt>
                <c:pt idx="4510">
                  <c:v>791.173</c:v>
                </c:pt>
                <c:pt idx="4511">
                  <c:v>791.3429999999923</c:v>
                </c:pt>
                <c:pt idx="4512">
                  <c:v>791.513</c:v>
                </c:pt>
                <c:pt idx="4513">
                  <c:v>791.683</c:v>
                </c:pt>
                <c:pt idx="4514">
                  <c:v>791.8519999999974</c:v>
                </c:pt>
                <c:pt idx="4515">
                  <c:v>792.0219999999994</c:v>
                </c:pt>
                <c:pt idx="4516">
                  <c:v>792.191</c:v>
                </c:pt>
                <c:pt idx="4517">
                  <c:v>792.3579999999816</c:v>
                </c:pt>
                <c:pt idx="4518">
                  <c:v>792.528</c:v>
                </c:pt>
                <c:pt idx="4519">
                  <c:v>792.697</c:v>
                </c:pt>
                <c:pt idx="4520">
                  <c:v>792.87</c:v>
                </c:pt>
                <c:pt idx="4521">
                  <c:v>793.0409999999994</c:v>
                </c:pt>
                <c:pt idx="4522">
                  <c:v>793.213</c:v>
                </c:pt>
                <c:pt idx="4523">
                  <c:v>793.385</c:v>
                </c:pt>
                <c:pt idx="4524">
                  <c:v>793.5559999999994</c:v>
                </c:pt>
                <c:pt idx="4525">
                  <c:v>793.73</c:v>
                </c:pt>
                <c:pt idx="4526">
                  <c:v>793.9019999999994</c:v>
                </c:pt>
                <c:pt idx="4527">
                  <c:v>794.072</c:v>
                </c:pt>
                <c:pt idx="4528">
                  <c:v>794.243</c:v>
                </c:pt>
                <c:pt idx="4529">
                  <c:v>794.413</c:v>
                </c:pt>
                <c:pt idx="4530">
                  <c:v>794.583</c:v>
                </c:pt>
                <c:pt idx="4531">
                  <c:v>794.753</c:v>
                </c:pt>
                <c:pt idx="4532">
                  <c:v>794.9209999999994</c:v>
                </c:pt>
                <c:pt idx="4533">
                  <c:v>795.0890000000001</c:v>
                </c:pt>
                <c:pt idx="4534">
                  <c:v>795.258</c:v>
                </c:pt>
                <c:pt idx="4535">
                  <c:v>795.4269999999979</c:v>
                </c:pt>
                <c:pt idx="4536">
                  <c:v>795.596</c:v>
                </c:pt>
                <c:pt idx="4537">
                  <c:v>795.763</c:v>
                </c:pt>
                <c:pt idx="4538">
                  <c:v>795.9299999999994</c:v>
                </c:pt>
                <c:pt idx="4539">
                  <c:v>796.096</c:v>
                </c:pt>
                <c:pt idx="4540">
                  <c:v>796.2619999999994</c:v>
                </c:pt>
                <c:pt idx="4541">
                  <c:v>796.4309999999994</c:v>
                </c:pt>
                <c:pt idx="4542">
                  <c:v>796.6029999999994</c:v>
                </c:pt>
                <c:pt idx="4543">
                  <c:v>796.775</c:v>
                </c:pt>
                <c:pt idx="4544">
                  <c:v>796.9459999999979</c:v>
                </c:pt>
                <c:pt idx="4545">
                  <c:v>797.115</c:v>
                </c:pt>
                <c:pt idx="4546">
                  <c:v>797.281</c:v>
                </c:pt>
                <c:pt idx="4547">
                  <c:v>797.4499999999994</c:v>
                </c:pt>
                <c:pt idx="4548">
                  <c:v>797.618</c:v>
                </c:pt>
                <c:pt idx="4549">
                  <c:v>797.787</c:v>
                </c:pt>
                <c:pt idx="4550">
                  <c:v>797.9559999999979</c:v>
                </c:pt>
                <c:pt idx="4551">
                  <c:v>798.125</c:v>
                </c:pt>
                <c:pt idx="4552">
                  <c:v>798.296</c:v>
                </c:pt>
                <c:pt idx="4553">
                  <c:v>798.4659999999974</c:v>
                </c:pt>
                <c:pt idx="4554">
                  <c:v>798.636</c:v>
                </c:pt>
                <c:pt idx="4555">
                  <c:v>798.8069999999979</c:v>
                </c:pt>
                <c:pt idx="4556">
                  <c:v>798.977</c:v>
                </c:pt>
                <c:pt idx="4557">
                  <c:v>799.148</c:v>
                </c:pt>
                <c:pt idx="4558">
                  <c:v>799.3209999999979</c:v>
                </c:pt>
                <c:pt idx="4559">
                  <c:v>799.493</c:v>
                </c:pt>
                <c:pt idx="4560">
                  <c:v>799.664</c:v>
                </c:pt>
                <c:pt idx="4561">
                  <c:v>799.8349999999979</c:v>
                </c:pt>
                <c:pt idx="4562">
                  <c:v>800.003</c:v>
                </c:pt>
                <c:pt idx="4563">
                  <c:v>800.1659999999994</c:v>
                </c:pt>
                <c:pt idx="4564">
                  <c:v>800.3289999999994</c:v>
                </c:pt>
                <c:pt idx="4565">
                  <c:v>800.493</c:v>
                </c:pt>
                <c:pt idx="4566">
                  <c:v>800.659</c:v>
                </c:pt>
                <c:pt idx="4567">
                  <c:v>800.8309999999979</c:v>
                </c:pt>
                <c:pt idx="4568">
                  <c:v>801.0019999999994</c:v>
                </c:pt>
                <c:pt idx="4569">
                  <c:v>801.171</c:v>
                </c:pt>
                <c:pt idx="4570">
                  <c:v>801.3379999999925</c:v>
                </c:pt>
                <c:pt idx="4571">
                  <c:v>801.504</c:v>
                </c:pt>
                <c:pt idx="4572">
                  <c:v>801.673</c:v>
                </c:pt>
                <c:pt idx="4573">
                  <c:v>801.8429999999923</c:v>
                </c:pt>
                <c:pt idx="4574">
                  <c:v>802.011</c:v>
                </c:pt>
                <c:pt idx="4575">
                  <c:v>802.179</c:v>
                </c:pt>
                <c:pt idx="4576">
                  <c:v>802.3489999999994</c:v>
                </c:pt>
                <c:pt idx="4577">
                  <c:v>802.524</c:v>
                </c:pt>
                <c:pt idx="4578">
                  <c:v>802.698</c:v>
                </c:pt>
                <c:pt idx="4579">
                  <c:v>802.8679999999914</c:v>
                </c:pt>
                <c:pt idx="4580">
                  <c:v>803.0369999999979</c:v>
                </c:pt>
                <c:pt idx="4581">
                  <c:v>803.206</c:v>
                </c:pt>
                <c:pt idx="4582">
                  <c:v>803.376</c:v>
                </c:pt>
                <c:pt idx="4583">
                  <c:v>803.545</c:v>
                </c:pt>
                <c:pt idx="4584">
                  <c:v>803.713</c:v>
                </c:pt>
                <c:pt idx="4585">
                  <c:v>803.878</c:v>
                </c:pt>
                <c:pt idx="4586">
                  <c:v>804.043</c:v>
                </c:pt>
                <c:pt idx="4587">
                  <c:v>804.211</c:v>
                </c:pt>
                <c:pt idx="4588">
                  <c:v>804.3769999999994</c:v>
                </c:pt>
                <c:pt idx="4589">
                  <c:v>804.544</c:v>
                </c:pt>
                <c:pt idx="4590">
                  <c:v>804.709</c:v>
                </c:pt>
                <c:pt idx="4591">
                  <c:v>804.873</c:v>
                </c:pt>
                <c:pt idx="4592">
                  <c:v>805.04</c:v>
                </c:pt>
                <c:pt idx="4593">
                  <c:v>805.21</c:v>
                </c:pt>
                <c:pt idx="4594">
                  <c:v>805.381</c:v>
                </c:pt>
                <c:pt idx="4595">
                  <c:v>805.5559999999994</c:v>
                </c:pt>
                <c:pt idx="4596">
                  <c:v>805.729</c:v>
                </c:pt>
                <c:pt idx="4597">
                  <c:v>805.9009999999994</c:v>
                </c:pt>
                <c:pt idx="4598">
                  <c:v>806.07</c:v>
                </c:pt>
                <c:pt idx="4599">
                  <c:v>806.24</c:v>
                </c:pt>
                <c:pt idx="4600">
                  <c:v>806.4109999999994</c:v>
                </c:pt>
                <c:pt idx="4601">
                  <c:v>806.582</c:v>
                </c:pt>
                <c:pt idx="4602">
                  <c:v>806.753</c:v>
                </c:pt>
                <c:pt idx="4603">
                  <c:v>806.9249999999994</c:v>
                </c:pt>
                <c:pt idx="4604">
                  <c:v>807.094</c:v>
                </c:pt>
                <c:pt idx="4605">
                  <c:v>807.263</c:v>
                </c:pt>
                <c:pt idx="4606">
                  <c:v>807.4309999999994</c:v>
                </c:pt>
                <c:pt idx="4607">
                  <c:v>807.6</c:v>
                </c:pt>
                <c:pt idx="4608">
                  <c:v>807.77</c:v>
                </c:pt>
                <c:pt idx="4609">
                  <c:v>807.9419999999974</c:v>
                </c:pt>
                <c:pt idx="4610">
                  <c:v>808.112</c:v>
                </c:pt>
                <c:pt idx="4611">
                  <c:v>808.277</c:v>
                </c:pt>
                <c:pt idx="4612">
                  <c:v>808.444</c:v>
                </c:pt>
                <c:pt idx="4613">
                  <c:v>808.611</c:v>
                </c:pt>
                <c:pt idx="4614">
                  <c:v>808.777</c:v>
                </c:pt>
                <c:pt idx="4615">
                  <c:v>808.949</c:v>
                </c:pt>
                <c:pt idx="4616">
                  <c:v>809.122</c:v>
                </c:pt>
                <c:pt idx="4617">
                  <c:v>809.296</c:v>
                </c:pt>
                <c:pt idx="4618">
                  <c:v>809.4640000000001</c:v>
                </c:pt>
                <c:pt idx="4619">
                  <c:v>809.6319999999994</c:v>
                </c:pt>
                <c:pt idx="4620">
                  <c:v>809.8049999999994</c:v>
                </c:pt>
                <c:pt idx="4621">
                  <c:v>809.973</c:v>
                </c:pt>
                <c:pt idx="4622">
                  <c:v>810.1419999999994</c:v>
                </c:pt>
                <c:pt idx="4623">
                  <c:v>810.3059999999994</c:v>
                </c:pt>
                <c:pt idx="4624">
                  <c:v>810.474</c:v>
                </c:pt>
                <c:pt idx="4625">
                  <c:v>810.648</c:v>
                </c:pt>
                <c:pt idx="4626">
                  <c:v>810.8209999999979</c:v>
                </c:pt>
                <c:pt idx="4627">
                  <c:v>810.995</c:v>
                </c:pt>
                <c:pt idx="4628">
                  <c:v>811.164</c:v>
                </c:pt>
                <c:pt idx="4629">
                  <c:v>811.3309999999979</c:v>
                </c:pt>
                <c:pt idx="4630">
                  <c:v>811.5</c:v>
                </c:pt>
                <c:pt idx="4631">
                  <c:v>811.668</c:v>
                </c:pt>
                <c:pt idx="4632">
                  <c:v>811.8359999999974</c:v>
                </c:pt>
                <c:pt idx="4633">
                  <c:v>812.004</c:v>
                </c:pt>
                <c:pt idx="4634">
                  <c:v>812.175</c:v>
                </c:pt>
                <c:pt idx="4635">
                  <c:v>812.3459999999974</c:v>
                </c:pt>
                <c:pt idx="4636">
                  <c:v>812.519</c:v>
                </c:pt>
                <c:pt idx="4637">
                  <c:v>812.685</c:v>
                </c:pt>
                <c:pt idx="4638">
                  <c:v>812.8549999999979</c:v>
                </c:pt>
                <c:pt idx="4639">
                  <c:v>813.0269999999994</c:v>
                </c:pt>
                <c:pt idx="4640">
                  <c:v>813.202</c:v>
                </c:pt>
                <c:pt idx="4641">
                  <c:v>813.375</c:v>
                </c:pt>
                <c:pt idx="4642">
                  <c:v>813.5469999999979</c:v>
                </c:pt>
                <c:pt idx="4643">
                  <c:v>813.719</c:v>
                </c:pt>
                <c:pt idx="4644">
                  <c:v>813.893</c:v>
                </c:pt>
                <c:pt idx="4645">
                  <c:v>814.0649999999994</c:v>
                </c:pt>
                <c:pt idx="4646">
                  <c:v>814.235</c:v>
                </c:pt>
                <c:pt idx="4647">
                  <c:v>814.4069999999994</c:v>
                </c:pt>
                <c:pt idx="4648">
                  <c:v>814.581</c:v>
                </c:pt>
                <c:pt idx="4649">
                  <c:v>814.754</c:v>
                </c:pt>
                <c:pt idx="4650">
                  <c:v>814.9269999999979</c:v>
                </c:pt>
                <c:pt idx="4651">
                  <c:v>815.102</c:v>
                </c:pt>
                <c:pt idx="4652">
                  <c:v>815.273</c:v>
                </c:pt>
                <c:pt idx="4653">
                  <c:v>815.439</c:v>
                </c:pt>
                <c:pt idx="4654">
                  <c:v>815.602</c:v>
                </c:pt>
                <c:pt idx="4655">
                  <c:v>815.764</c:v>
                </c:pt>
                <c:pt idx="4656">
                  <c:v>815.9249999999994</c:v>
                </c:pt>
                <c:pt idx="4657">
                  <c:v>816.085</c:v>
                </c:pt>
                <c:pt idx="4658">
                  <c:v>816.245</c:v>
                </c:pt>
                <c:pt idx="4659">
                  <c:v>816.4109999999994</c:v>
                </c:pt>
                <c:pt idx="4660">
                  <c:v>816.578</c:v>
                </c:pt>
                <c:pt idx="4661">
                  <c:v>816.751</c:v>
                </c:pt>
                <c:pt idx="4662">
                  <c:v>816.923</c:v>
                </c:pt>
                <c:pt idx="4663">
                  <c:v>817.094</c:v>
                </c:pt>
                <c:pt idx="4664">
                  <c:v>817.266</c:v>
                </c:pt>
                <c:pt idx="4665">
                  <c:v>817.4399999999994</c:v>
                </c:pt>
                <c:pt idx="4666">
                  <c:v>817.615</c:v>
                </c:pt>
                <c:pt idx="4667">
                  <c:v>817.786</c:v>
                </c:pt>
                <c:pt idx="4668">
                  <c:v>817.9589999999994</c:v>
                </c:pt>
                <c:pt idx="4669">
                  <c:v>818.1319999999994</c:v>
                </c:pt>
                <c:pt idx="4670">
                  <c:v>818.3059999999994</c:v>
                </c:pt>
                <c:pt idx="4671">
                  <c:v>818.477</c:v>
                </c:pt>
                <c:pt idx="4672">
                  <c:v>818.6519999999994</c:v>
                </c:pt>
                <c:pt idx="4673">
                  <c:v>818.824</c:v>
                </c:pt>
                <c:pt idx="4674">
                  <c:v>818.998</c:v>
                </c:pt>
                <c:pt idx="4675">
                  <c:v>819.17</c:v>
                </c:pt>
                <c:pt idx="4676">
                  <c:v>819.3419999999974</c:v>
                </c:pt>
                <c:pt idx="4677">
                  <c:v>819.51</c:v>
                </c:pt>
                <c:pt idx="4678">
                  <c:v>819.677</c:v>
                </c:pt>
                <c:pt idx="4679">
                  <c:v>819.8439999999994</c:v>
                </c:pt>
                <c:pt idx="4680">
                  <c:v>820.014</c:v>
                </c:pt>
                <c:pt idx="4681">
                  <c:v>820.186</c:v>
                </c:pt>
                <c:pt idx="4682">
                  <c:v>820.3630000000001</c:v>
                </c:pt>
                <c:pt idx="4683">
                  <c:v>820.5419999999979</c:v>
                </c:pt>
                <c:pt idx="4684">
                  <c:v>820.72</c:v>
                </c:pt>
                <c:pt idx="4685">
                  <c:v>820.894</c:v>
                </c:pt>
                <c:pt idx="4686">
                  <c:v>821.0659999999979</c:v>
                </c:pt>
                <c:pt idx="4687">
                  <c:v>821.236</c:v>
                </c:pt>
                <c:pt idx="4688">
                  <c:v>821.408</c:v>
                </c:pt>
                <c:pt idx="4689">
                  <c:v>821.584</c:v>
                </c:pt>
                <c:pt idx="4690">
                  <c:v>821.758</c:v>
                </c:pt>
                <c:pt idx="4691">
                  <c:v>821.9299999999994</c:v>
                </c:pt>
                <c:pt idx="4692">
                  <c:v>822.099</c:v>
                </c:pt>
                <c:pt idx="4693">
                  <c:v>822.268</c:v>
                </c:pt>
                <c:pt idx="4694">
                  <c:v>822.4369999999974</c:v>
                </c:pt>
                <c:pt idx="4695">
                  <c:v>822.605</c:v>
                </c:pt>
                <c:pt idx="4696">
                  <c:v>822.773</c:v>
                </c:pt>
                <c:pt idx="4697">
                  <c:v>822.9409999999979</c:v>
                </c:pt>
                <c:pt idx="4698">
                  <c:v>823.106</c:v>
                </c:pt>
                <c:pt idx="4699">
                  <c:v>823.277</c:v>
                </c:pt>
                <c:pt idx="4700">
                  <c:v>823.4479999999974</c:v>
                </c:pt>
                <c:pt idx="4701">
                  <c:v>823.62</c:v>
                </c:pt>
                <c:pt idx="4702">
                  <c:v>823.788</c:v>
                </c:pt>
                <c:pt idx="4703">
                  <c:v>823.9589999999994</c:v>
                </c:pt>
                <c:pt idx="4704">
                  <c:v>824.1319999999994</c:v>
                </c:pt>
                <c:pt idx="4705">
                  <c:v>824.3069999999979</c:v>
                </c:pt>
                <c:pt idx="4706">
                  <c:v>824.484</c:v>
                </c:pt>
                <c:pt idx="4707">
                  <c:v>824.66</c:v>
                </c:pt>
                <c:pt idx="4708">
                  <c:v>824.8319999999974</c:v>
                </c:pt>
                <c:pt idx="4709">
                  <c:v>825.001</c:v>
                </c:pt>
                <c:pt idx="4710">
                  <c:v>825.169</c:v>
                </c:pt>
                <c:pt idx="4711">
                  <c:v>825.3369999999974</c:v>
                </c:pt>
                <c:pt idx="4712">
                  <c:v>825.5069999999994</c:v>
                </c:pt>
                <c:pt idx="4713">
                  <c:v>825.673</c:v>
                </c:pt>
                <c:pt idx="4714">
                  <c:v>825.8449999999979</c:v>
                </c:pt>
                <c:pt idx="4715">
                  <c:v>826.0169999999994</c:v>
                </c:pt>
                <c:pt idx="4716">
                  <c:v>826.186</c:v>
                </c:pt>
                <c:pt idx="4717">
                  <c:v>826.3549999999979</c:v>
                </c:pt>
                <c:pt idx="4718">
                  <c:v>826.5269999999994</c:v>
                </c:pt>
                <c:pt idx="4719">
                  <c:v>826.698</c:v>
                </c:pt>
                <c:pt idx="4720">
                  <c:v>826.8639999999979</c:v>
                </c:pt>
                <c:pt idx="4721">
                  <c:v>827.029</c:v>
                </c:pt>
                <c:pt idx="4722">
                  <c:v>827.196</c:v>
                </c:pt>
                <c:pt idx="4723">
                  <c:v>827.3609999999974</c:v>
                </c:pt>
                <c:pt idx="4724">
                  <c:v>827.528</c:v>
                </c:pt>
                <c:pt idx="4725">
                  <c:v>827.7</c:v>
                </c:pt>
                <c:pt idx="4726">
                  <c:v>827.875</c:v>
                </c:pt>
                <c:pt idx="4727">
                  <c:v>828.0509999999994</c:v>
                </c:pt>
                <c:pt idx="4728">
                  <c:v>828.2279999999994</c:v>
                </c:pt>
                <c:pt idx="4729">
                  <c:v>828.405</c:v>
                </c:pt>
                <c:pt idx="4730">
                  <c:v>828.585</c:v>
                </c:pt>
                <c:pt idx="4731">
                  <c:v>828.761</c:v>
                </c:pt>
                <c:pt idx="4732">
                  <c:v>828.9319999999979</c:v>
                </c:pt>
                <c:pt idx="4733">
                  <c:v>829.1</c:v>
                </c:pt>
                <c:pt idx="4734">
                  <c:v>829.268</c:v>
                </c:pt>
                <c:pt idx="4735">
                  <c:v>829.4359999999979</c:v>
                </c:pt>
                <c:pt idx="4736">
                  <c:v>829.604</c:v>
                </c:pt>
                <c:pt idx="4737">
                  <c:v>829.771</c:v>
                </c:pt>
                <c:pt idx="4738">
                  <c:v>829.9369999999974</c:v>
                </c:pt>
                <c:pt idx="4739">
                  <c:v>830.106</c:v>
                </c:pt>
                <c:pt idx="4740">
                  <c:v>830.277</c:v>
                </c:pt>
                <c:pt idx="4741">
                  <c:v>830.4479999999974</c:v>
                </c:pt>
                <c:pt idx="4742">
                  <c:v>830.623</c:v>
                </c:pt>
                <c:pt idx="4743">
                  <c:v>830.8049999999994</c:v>
                </c:pt>
                <c:pt idx="4744">
                  <c:v>830.985</c:v>
                </c:pt>
                <c:pt idx="4745">
                  <c:v>831.164</c:v>
                </c:pt>
                <c:pt idx="4746">
                  <c:v>831.3369999999974</c:v>
                </c:pt>
                <c:pt idx="4747">
                  <c:v>831.509</c:v>
                </c:pt>
                <c:pt idx="4748">
                  <c:v>831.678</c:v>
                </c:pt>
                <c:pt idx="4749">
                  <c:v>831.8479999999921</c:v>
                </c:pt>
                <c:pt idx="4750">
                  <c:v>832.0169999999994</c:v>
                </c:pt>
                <c:pt idx="4751">
                  <c:v>832.186</c:v>
                </c:pt>
                <c:pt idx="4752">
                  <c:v>832.3539999999994</c:v>
                </c:pt>
                <c:pt idx="4753">
                  <c:v>832.525</c:v>
                </c:pt>
                <c:pt idx="4754">
                  <c:v>832.699</c:v>
                </c:pt>
                <c:pt idx="4755">
                  <c:v>832.873</c:v>
                </c:pt>
                <c:pt idx="4756">
                  <c:v>833.0459999999994</c:v>
                </c:pt>
                <c:pt idx="4757">
                  <c:v>833.223</c:v>
                </c:pt>
                <c:pt idx="4758">
                  <c:v>833.4</c:v>
                </c:pt>
                <c:pt idx="4759">
                  <c:v>833.577</c:v>
                </c:pt>
                <c:pt idx="4760">
                  <c:v>833.751</c:v>
                </c:pt>
                <c:pt idx="4761">
                  <c:v>833.923</c:v>
                </c:pt>
                <c:pt idx="4762">
                  <c:v>834.093</c:v>
                </c:pt>
                <c:pt idx="4763">
                  <c:v>834.265</c:v>
                </c:pt>
                <c:pt idx="4764">
                  <c:v>834.4379999999974</c:v>
                </c:pt>
                <c:pt idx="4765">
                  <c:v>834.612</c:v>
                </c:pt>
                <c:pt idx="4766">
                  <c:v>834.78</c:v>
                </c:pt>
                <c:pt idx="4767">
                  <c:v>834.9469999999974</c:v>
                </c:pt>
                <c:pt idx="4768">
                  <c:v>835.1130000000001</c:v>
                </c:pt>
                <c:pt idx="4769">
                  <c:v>835.283</c:v>
                </c:pt>
                <c:pt idx="4770">
                  <c:v>835.4559999999979</c:v>
                </c:pt>
                <c:pt idx="4771">
                  <c:v>835.629</c:v>
                </c:pt>
                <c:pt idx="4772">
                  <c:v>835.8059999999994</c:v>
                </c:pt>
                <c:pt idx="4773">
                  <c:v>835.981</c:v>
                </c:pt>
                <c:pt idx="4774">
                  <c:v>836.153</c:v>
                </c:pt>
                <c:pt idx="4775">
                  <c:v>836.3259999999979</c:v>
                </c:pt>
                <c:pt idx="4776">
                  <c:v>836.5</c:v>
                </c:pt>
                <c:pt idx="4777">
                  <c:v>836.672</c:v>
                </c:pt>
                <c:pt idx="4778">
                  <c:v>836.8449999999979</c:v>
                </c:pt>
                <c:pt idx="4779">
                  <c:v>837.019</c:v>
                </c:pt>
                <c:pt idx="4780">
                  <c:v>837.193</c:v>
                </c:pt>
                <c:pt idx="4781">
                  <c:v>837.3659999999974</c:v>
                </c:pt>
                <c:pt idx="4782">
                  <c:v>837.533</c:v>
                </c:pt>
                <c:pt idx="4783">
                  <c:v>837.698</c:v>
                </c:pt>
                <c:pt idx="4784">
                  <c:v>837.871</c:v>
                </c:pt>
                <c:pt idx="4785">
                  <c:v>838.048</c:v>
                </c:pt>
                <c:pt idx="4786">
                  <c:v>838.226</c:v>
                </c:pt>
                <c:pt idx="4787">
                  <c:v>838.4019999999994</c:v>
                </c:pt>
                <c:pt idx="4788">
                  <c:v>838.577</c:v>
                </c:pt>
                <c:pt idx="4789">
                  <c:v>838.7519999999994</c:v>
                </c:pt>
                <c:pt idx="4790">
                  <c:v>838.9249999999994</c:v>
                </c:pt>
                <c:pt idx="4791">
                  <c:v>839.096</c:v>
                </c:pt>
                <c:pt idx="4792">
                  <c:v>839.268</c:v>
                </c:pt>
                <c:pt idx="4793">
                  <c:v>839.4409999999979</c:v>
                </c:pt>
                <c:pt idx="4794">
                  <c:v>839.6130000000001</c:v>
                </c:pt>
                <c:pt idx="4795">
                  <c:v>839.785</c:v>
                </c:pt>
                <c:pt idx="4796">
                  <c:v>839.9569999999974</c:v>
                </c:pt>
                <c:pt idx="4797">
                  <c:v>840.125</c:v>
                </c:pt>
                <c:pt idx="4798">
                  <c:v>840.296</c:v>
                </c:pt>
                <c:pt idx="4799">
                  <c:v>840.4640000000001</c:v>
                </c:pt>
                <c:pt idx="4800">
                  <c:v>840.634</c:v>
                </c:pt>
                <c:pt idx="4801">
                  <c:v>840.8059999999994</c:v>
                </c:pt>
                <c:pt idx="4802">
                  <c:v>840.977</c:v>
                </c:pt>
                <c:pt idx="4803">
                  <c:v>841.15</c:v>
                </c:pt>
                <c:pt idx="4804">
                  <c:v>841.3229999999974</c:v>
                </c:pt>
                <c:pt idx="4805">
                  <c:v>841.497</c:v>
                </c:pt>
                <c:pt idx="4806">
                  <c:v>841.671</c:v>
                </c:pt>
                <c:pt idx="4807">
                  <c:v>841.8459999999974</c:v>
                </c:pt>
                <c:pt idx="4808">
                  <c:v>842.02</c:v>
                </c:pt>
                <c:pt idx="4809">
                  <c:v>842.194</c:v>
                </c:pt>
                <c:pt idx="4810">
                  <c:v>842.3689999999979</c:v>
                </c:pt>
                <c:pt idx="4811">
                  <c:v>842.5419999999979</c:v>
                </c:pt>
                <c:pt idx="4812">
                  <c:v>842.718</c:v>
                </c:pt>
                <c:pt idx="4813">
                  <c:v>842.893</c:v>
                </c:pt>
                <c:pt idx="4814">
                  <c:v>843.0669999999974</c:v>
                </c:pt>
                <c:pt idx="4815">
                  <c:v>843.239</c:v>
                </c:pt>
                <c:pt idx="4816">
                  <c:v>843.4119999999979</c:v>
                </c:pt>
                <c:pt idx="4817">
                  <c:v>843.582</c:v>
                </c:pt>
                <c:pt idx="4818">
                  <c:v>843.751</c:v>
                </c:pt>
                <c:pt idx="4819">
                  <c:v>843.924</c:v>
                </c:pt>
                <c:pt idx="4820">
                  <c:v>844.098</c:v>
                </c:pt>
                <c:pt idx="4821">
                  <c:v>844.273</c:v>
                </c:pt>
                <c:pt idx="4822">
                  <c:v>844.4459999999979</c:v>
                </c:pt>
                <c:pt idx="4823">
                  <c:v>844.62</c:v>
                </c:pt>
                <c:pt idx="4824">
                  <c:v>844.791</c:v>
                </c:pt>
                <c:pt idx="4825">
                  <c:v>844.9599999999979</c:v>
                </c:pt>
                <c:pt idx="4826">
                  <c:v>845.133</c:v>
                </c:pt>
                <c:pt idx="4827">
                  <c:v>845.3049999999994</c:v>
                </c:pt>
                <c:pt idx="4828">
                  <c:v>845.476</c:v>
                </c:pt>
                <c:pt idx="4829">
                  <c:v>845.646</c:v>
                </c:pt>
                <c:pt idx="4830">
                  <c:v>845.819</c:v>
                </c:pt>
                <c:pt idx="4831">
                  <c:v>845.992</c:v>
                </c:pt>
                <c:pt idx="4832">
                  <c:v>846.1669999999979</c:v>
                </c:pt>
                <c:pt idx="4833">
                  <c:v>846.3390000000001</c:v>
                </c:pt>
                <c:pt idx="4834">
                  <c:v>846.509</c:v>
                </c:pt>
                <c:pt idx="4835">
                  <c:v>846.68</c:v>
                </c:pt>
                <c:pt idx="4836">
                  <c:v>846.8509999999974</c:v>
                </c:pt>
                <c:pt idx="4837">
                  <c:v>847.023</c:v>
                </c:pt>
                <c:pt idx="4838">
                  <c:v>847.195</c:v>
                </c:pt>
                <c:pt idx="4839">
                  <c:v>847.37</c:v>
                </c:pt>
                <c:pt idx="4840">
                  <c:v>847.5469999999979</c:v>
                </c:pt>
                <c:pt idx="4841">
                  <c:v>847.726</c:v>
                </c:pt>
                <c:pt idx="4842">
                  <c:v>847.9019999999994</c:v>
                </c:pt>
                <c:pt idx="4843">
                  <c:v>848.076</c:v>
                </c:pt>
                <c:pt idx="4844">
                  <c:v>848.248</c:v>
                </c:pt>
                <c:pt idx="4845">
                  <c:v>848.418</c:v>
                </c:pt>
                <c:pt idx="4846">
                  <c:v>848.588</c:v>
                </c:pt>
                <c:pt idx="4847">
                  <c:v>848.7569999999994</c:v>
                </c:pt>
                <c:pt idx="4848">
                  <c:v>848.928</c:v>
                </c:pt>
                <c:pt idx="4849">
                  <c:v>849.098</c:v>
                </c:pt>
                <c:pt idx="4850">
                  <c:v>849.272</c:v>
                </c:pt>
                <c:pt idx="4851">
                  <c:v>849.4459999999979</c:v>
                </c:pt>
                <c:pt idx="4852">
                  <c:v>849.623</c:v>
                </c:pt>
                <c:pt idx="4853">
                  <c:v>849.798</c:v>
                </c:pt>
                <c:pt idx="4854">
                  <c:v>849.971</c:v>
                </c:pt>
                <c:pt idx="4855">
                  <c:v>850.146</c:v>
                </c:pt>
                <c:pt idx="4856">
                  <c:v>850.3199999999994</c:v>
                </c:pt>
                <c:pt idx="4857">
                  <c:v>850.494</c:v>
                </c:pt>
                <c:pt idx="4858">
                  <c:v>850.669</c:v>
                </c:pt>
                <c:pt idx="4859">
                  <c:v>850.8429999999923</c:v>
                </c:pt>
                <c:pt idx="4860">
                  <c:v>851.016</c:v>
                </c:pt>
                <c:pt idx="4861">
                  <c:v>851.19</c:v>
                </c:pt>
                <c:pt idx="4862">
                  <c:v>851.3599999999974</c:v>
                </c:pt>
                <c:pt idx="4863">
                  <c:v>851.53</c:v>
                </c:pt>
                <c:pt idx="4864">
                  <c:v>851.699</c:v>
                </c:pt>
                <c:pt idx="4865">
                  <c:v>851.8659999999974</c:v>
                </c:pt>
                <c:pt idx="4866">
                  <c:v>852.0319999999994</c:v>
                </c:pt>
                <c:pt idx="4867">
                  <c:v>852.202</c:v>
                </c:pt>
                <c:pt idx="4868">
                  <c:v>852.375</c:v>
                </c:pt>
                <c:pt idx="4869">
                  <c:v>852.55</c:v>
                </c:pt>
                <c:pt idx="4870">
                  <c:v>852.727</c:v>
                </c:pt>
                <c:pt idx="4871">
                  <c:v>852.9059999999994</c:v>
                </c:pt>
                <c:pt idx="4872">
                  <c:v>853.083</c:v>
                </c:pt>
                <c:pt idx="4873">
                  <c:v>853.259</c:v>
                </c:pt>
                <c:pt idx="4874">
                  <c:v>853.434</c:v>
                </c:pt>
                <c:pt idx="4875">
                  <c:v>853.61</c:v>
                </c:pt>
                <c:pt idx="4876">
                  <c:v>853.78</c:v>
                </c:pt>
                <c:pt idx="4877">
                  <c:v>853.9499999999994</c:v>
                </c:pt>
                <c:pt idx="4878">
                  <c:v>854.125</c:v>
                </c:pt>
                <c:pt idx="4879">
                  <c:v>854.3</c:v>
                </c:pt>
                <c:pt idx="4880">
                  <c:v>854.475</c:v>
                </c:pt>
                <c:pt idx="4881">
                  <c:v>854.648</c:v>
                </c:pt>
                <c:pt idx="4882">
                  <c:v>854.8209999999979</c:v>
                </c:pt>
                <c:pt idx="4883">
                  <c:v>854.991</c:v>
                </c:pt>
                <c:pt idx="4884">
                  <c:v>855.1619999999979</c:v>
                </c:pt>
                <c:pt idx="4885">
                  <c:v>855.3349999999979</c:v>
                </c:pt>
                <c:pt idx="4886">
                  <c:v>855.506</c:v>
                </c:pt>
                <c:pt idx="4887">
                  <c:v>855.677</c:v>
                </c:pt>
                <c:pt idx="4888">
                  <c:v>855.8519999999974</c:v>
                </c:pt>
                <c:pt idx="4889">
                  <c:v>856.024</c:v>
                </c:pt>
                <c:pt idx="4890">
                  <c:v>856.196</c:v>
                </c:pt>
                <c:pt idx="4891">
                  <c:v>856.3689999999979</c:v>
                </c:pt>
                <c:pt idx="4892">
                  <c:v>856.5419999999979</c:v>
                </c:pt>
                <c:pt idx="4893">
                  <c:v>856.716</c:v>
                </c:pt>
                <c:pt idx="4894">
                  <c:v>856.8919999999994</c:v>
                </c:pt>
                <c:pt idx="4895">
                  <c:v>857.0659999999979</c:v>
                </c:pt>
                <c:pt idx="4896">
                  <c:v>857.242</c:v>
                </c:pt>
                <c:pt idx="4897">
                  <c:v>857.4169999999979</c:v>
                </c:pt>
                <c:pt idx="4898">
                  <c:v>857.591</c:v>
                </c:pt>
                <c:pt idx="4899">
                  <c:v>857.766</c:v>
                </c:pt>
                <c:pt idx="4900">
                  <c:v>857.939</c:v>
                </c:pt>
                <c:pt idx="4901">
                  <c:v>858.109</c:v>
                </c:pt>
                <c:pt idx="4902">
                  <c:v>858.279</c:v>
                </c:pt>
                <c:pt idx="4903">
                  <c:v>858.4479999999974</c:v>
                </c:pt>
                <c:pt idx="4904">
                  <c:v>858.619</c:v>
                </c:pt>
                <c:pt idx="4905">
                  <c:v>858.792</c:v>
                </c:pt>
                <c:pt idx="4906">
                  <c:v>858.9649999999979</c:v>
                </c:pt>
                <c:pt idx="4907">
                  <c:v>859.14</c:v>
                </c:pt>
                <c:pt idx="4908">
                  <c:v>859.3129999999974</c:v>
                </c:pt>
                <c:pt idx="4909">
                  <c:v>859.487</c:v>
                </c:pt>
                <c:pt idx="4910">
                  <c:v>859.6619999999979</c:v>
                </c:pt>
                <c:pt idx="4911">
                  <c:v>859.8319999999974</c:v>
                </c:pt>
                <c:pt idx="4912">
                  <c:v>860.003</c:v>
                </c:pt>
                <c:pt idx="4913">
                  <c:v>860.174</c:v>
                </c:pt>
                <c:pt idx="4914">
                  <c:v>860.3479999999921</c:v>
                </c:pt>
                <c:pt idx="4915">
                  <c:v>860.5219999999994</c:v>
                </c:pt>
                <c:pt idx="4916">
                  <c:v>860.693</c:v>
                </c:pt>
                <c:pt idx="4917">
                  <c:v>860.8579999999816</c:v>
                </c:pt>
                <c:pt idx="4918">
                  <c:v>861.023</c:v>
                </c:pt>
                <c:pt idx="4919">
                  <c:v>861.191</c:v>
                </c:pt>
                <c:pt idx="4920">
                  <c:v>861.3589999999994</c:v>
                </c:pt>
                <c:pt idx="4921">
                  <c:v>861.528</c:v>
                </c:pt>
                <c:pt idx="4922">
                  <c:v>861.698</c:v>
                </c:pt>
                <c:pt idx="4923">
                  <c:v>861.8679999999914</c:v>
                </c:pt>
                <c:pt idx="4924">
                  <c:v>862.0369999999979</c:v>
                </c:pt>
                <c:pt idx="4925">
                  <c:v>862.202</c:v>
                </c:pt>
                <c:pt idx="4926">
                  <c:v>862.3689999999979</c:v>
                </c:pt>
                <c:pt idx="4927">
                  <c:v>862.539</c:v>
                </c:pt>
                <c:pt idx="4928">
                  <c:v>862.707</c:v>
                </c:pt>
                <c:pt idx="4929">
                  <c:v>862.875</c:v>
                </c:pt>
                <c:pt idx="4930">
                  <c:v>863.044</c:v>
                </c:pt>
                <c:pt idx="4931">
                  <c:v>863.2140000000001</c:v>
                </c:pt>
                <c:pt idx="4932">
                  <c:v>863.3819999999994</c:v>
                </c:pt>
                <c:pt idx="4933">
                  <c:v>863.5509999999994</c:v>
                </c:pt>
                <c:pt idx="4934">
                  <c:v>863.72</c:v>
                </c:pt>
                <c:pt idx="4935">
                  <c:v>863.888</c:v>
                </c:pt>
                <c:pt idx="4936">
                  <c:v>864.0579999999974</c:v>
                </c:pt>
                <c:pt idx="4937">
                  <c:v>864.2279999999994</c:v>
                </c:pt>
                <c:pt idx="4938">
                  <c:v>864.396</c:v>
                </c:pt>
                <c:pt idx="4939">
                  <c:v>864.5669999999974</c:v>
                </c:pt>
                <c:pt idx="4940">
                  <c:v>864.736</c:v>
                </c:pt>
                <c:pt idx="4941">
                  <c:v>864.9059999999994</c:v>
                </c:pt>
                <c:pt idx="4942">
                  <c:v>865.074</c:v>
                </c:pt>
                <c:pt idx="4943">
                  <c:v>865.244</c:v>
                </c:pt>
                <c:pt idx="4944">
                  <c:v>865.4119999999979</c:v>
                </c:pt>
                <c:pt idx="4945">
                  <c:v>865.581</c:v>
                </c:pt>
                <c:pt idx="4946">
                  <c:v>865.747</c:v>
                </c:pt>
                <c:pt idx="4947">
                  <c:v>865.9159999999994</c:v>
                </c:pt>
                <c:pt idx="4948">
                  <c:v>866.088</c:v>
                </c:pt>
                <c:pt idx="4949">
                  <c:v>866.26</c:v>
                </c:pt>
                <c:pt idx="4950">
                  <c:v>866.4349999999994</c:v>
                </c:pt>
                <c:pt idx="4951">
                  <c:v>866.609</c:v>
                </c:pt>
                <c:pt idx="4952">
                  <c:v>866.781</c:v>
                </c:pt>
                <c:pt idx="4953">
                  <c:v>866.9519999999974</c:v>
                </c:pt>
                <c:pt idx="4954">
                  <c:v>867.117</c:v>
                </c:pt>
                <c:pt idx="4955">
                  <c:v>867.283</c:v>
                </c:pt>
                <c:pt idx="4956">
                  <c:v>867.4549999999994</c:v>
                </c:pt>
                <c:pt idx="4957">
                  <c:v>867.628</c:v>
                </c:pt>
                <c:pt idx="4958">
                  <c:v>867.803</c:v>
                </c:pt>
                <c:pt idx="4959">
                  <c:v>867.976</c:v>
                </c:pt>
                <c:pt idx="4960">
                  <c:v>868.146</c:v>
                </c:pt>
                <c:pt idx="4961">
                  <c:v>868.3149999999994</c:v>
                </c:pt>
                <c:pt idx="4962">
                  <c:v>868.4829999999994</c:v>
                </c:pt>
                <c:pt idx="4963">
                  <c:v>868.6519999999994</c:v>
                </c:pt>
                <c:pt idx="4964">
                  <c:v>868.8199999999994</c:v>
                </c:pt>
                <c:pt idx="4965">
                  <c:v>868.9880000000001</c:v>
                </c:pt>
                <c:pt idx="4966">
                  <c:v>869.1559999999994</c:v>
                </c:pt>
                <c:pt idx="4967">
                  <c:v>869.3219999999974</c:v>
                </c:pt>
                <c:pt idx="4968">
                  <c:v>869.489</c:v>
                </c:pt>
                <c:pt idx="4969">
                  <c:v>869.6559999999994</c:v>
                </c:pt>
                <c:pt idx="4970">
                  <c:v>869.824</c:v>
                </c:pt>
                <c:pt idx="4971">
                  <c:v>869.993</c:v>
                </c:pt>
                <c:pt idx="4972">
                  <c:v>870.1609999999994</c:v>
                </c:pt>
                <c:pt idx="4973">
                  <c:v>870.3299999999994</c:v>
                </c:pt>
                <c:pt idx="4974">
                  <c:v>870.5019999999994</c:v>
                </c:pt>
                <c:pt idx="4975">
                  <c:v>870.675</c:v>
                </c:pt>
                <c:pt idx="4976">
                  <c:v>870.8469999999974</c:v>
                </c:pt>
                <c:pt idx="4977">
                  <c:v>871.019</c:v>
                </c:pt>
                <c:pt idx="4978">
                  <c:v>871.193</c:v>
                </c:pt>
                <c:pt idx="4979">
                  <c:v>871.3639999999979</c:v>
                </c:pt>
                <c:pt idx="4980">
                  <c:v>871.534</c:v>
                </c:pt>
                <c:pt idx="4981">
                  <c:v>871.709</c:v>
                </c:pt>
                <c:pt idx="4982">
                  <c:v>871.8869999999994</c:v>
                </c:pt>
                <c:pt idx="4983">
                  <c:v>872.0619999999974</c:v>
                </c:pt>
                <c:pt idx="4984">
                  <c:v>872.2380000000001</c:v>
                </c:pt>
                <c:pt idx="4985">
                  <c:v>872.4119999999979</c:v>
                </c:pt>
                <c:pt idx="4986">
                  <c:v>872.582</c:v>
                </c:pt>
                <c:pt idx="4987">
                  <c:v>872.751</c:v>
                </c:pt>
                <c:pt idx="4988">
                  <c:v>872.918</c:v>
                </c:pt>
                <c:pt idx="4989">
                  <c:v>873.084</c:v>
                </c:pt>
                <c:pt idx="4990">
                  <c:v>873.251</c:v>
                </c:pt>
                <c:pt idx="4991">
                  <c:v>873.42</c:v>
                </c:pt>
                <c:pt idx="4992">
                  <c:v>873.5890000000001</c:v>
                </c:pt>
                <c:pt idx="4993">
                  <c:v>873.7569999999994</c:v>
                </c:pt>
                <c:pt idx="4994">
                  <c:v>873.924</c:v>
                </c:pt>
                <c:pt idx="4995">
                  <c:v>874.094</c:v>
                </c:pt>
                <c:pt idx="4996">
                  <c:v>874.266</c:v>
                </c:pt>
                <c:pt idx="4997">
                  <c:v>874.4369999999974</c:v>
                </c:pt>
                <c:pt idx="4998">
                  <c:v>874.606</c:v>
                </c:pt>
                <c:pt idx="4999">
                  <c:v>874.773</c:v>
                </c:pt>
                <c:pt idx="5000">
                  <c:v>874.9429999999974</c:v>
                </c:pt>
                <c:pt idx="5001">
                  <c:v>875.1130000000001</c:v>
                </c:pt>
                <c:pt idx="5002">
                  <c:v>875.283</c:v>
                </c:pt>
                <c:pt idx="5003">
                  <c:v>875.4519999999974</c:v>
                </c:pt>
                <c:pt idx="5004">
                  <c:v>875.621</c:v>
                </c:pt>
                <c:pt idx="5005">
                  <c:v>875.793</c:v>
                </c:pt>
                <c:pt idx="5006">
                  <c:v>875.9640000000001</c:v>
                </c:pt>
                <c:pt idx="5007">
                  <c:v>876.136</c:v>
                </c:pt>
                <c:pt idx="5008">
                  <c:v>876.3069999999979</c:v>
                </c:pt>
                <c:pt idx="5009">
                  <c:v>876.48</c:v>
                </c:pt>
                <c:pt idx="5010">
                  <c:v>876.6519999999994</c:v>
                </c:pt>
                <c:pt idx="5011">
                  <c:v>876.8249999999994</c:v>
                </c:pt>
                <c:pt idx="5012">
                  <c:v>876.997</c:v>
                </c:pt>
                <c:pt idx="5013">
                  <c:v>877.171</c:v>
                </c:pt>
                <c:pt idx="5014">
                  <c:v>877.3449999999979</c:v>
                </c:pt>
                <c:pt idx="5015">
                  <c:v>877.518</c:v>
                </c:pt>
                <c:pt idx="5016">
                  <c:v>877.69</c:v>
                </c:pt>
                <c:pt idx="5017">
                  <c:v>877.8609999999974</c:v>
                </c:pt>
                <c:pt idx="5018">
                  <c:v>878.034</c:v>
                </c:pt>
                <c:pt idx="5019">
                  <c:v>878.206</c:v>
                </c:pt>
                <c:pt idx="5020">
                  <c:v>878.3769999999994</c:v>
                </c:pt>
                <c:pt idx="5021">
                  <c:v>878.55</c:v>
                </c:pt>
                <c:pt idx="5022">
                  <c:v>878.724</c:v>
                </c:pt>
                <c:pt idx="5023">
                  <c:v>878.896</c:v>
                </c:pt>
                <c:pt idx="5024">
                  <c:v>879.0679999999974</c:v>
                </c:pt>
                <c:pt idx="5025">
                  <c:v>879.2380000000001</c:v>
                </c:pt>
                <c:pt idx="5026">
                  <c:v>879.408</c:v>
                </c:pt>
                <c:pt idx="5027">
                  <c:v>879.576</c:v>
                </c:pt>
                <c:pt idx="5028">
                  <c:v>879.741</c:v>
                </c:pt>
                <c:pt idx="5029">
                  <c:v>879.91</c:v>
                </c:pt>
                <c:pt idx="5030">
                  <c:v>880.083</c:v>
                </c:pt>
                <c:pt idx="5031">
                  <c:v>880.258</c:v>
                </c:pt>
                <c:pt idx="5032">
                  <c:v>880.4359999999979</c:v>
                </c:pt>
                <c:pt idx="5033">
                  <c:v>880.612</c:v>
                </c:pt>
                <c:pt idx="5034">
                  <c:v>880.786</c:v>
                </c:pt>
                <c:pt idx="5035">
                  <c:v>880.9599999999979</c:v>
                </c:pt>
                <c:pt idx="5036">
                  <c:v>881.136</c:v>
                </c:pt>
                <c:pt idx="5037">
                  <c:v>881.3109999999979</c:v>
                </c:pt>
                <c:pt idx="5038">
                  <c:v>881.485</c:v>
                </c:pt>
                <c:pt idx="5039">
                  <c:v>881.6559999999994</c:v>
                </c:pt>
                <c:pt idx="5040">
                  <c:v>881.8269999999974</c:v>
                </c:pt>
                <c:pt idx="5041">
                  <c:v>881.999</c:v>
                </c:pt>
                <c:pt idx="5042">
                  <c:v>882.172</c:v>
                </c:pt>
                <c:pt idx="5043">
                  <c:v>882.3469999999974</c:v>
                </c:pt>
                <c:pt idx="5044">
                  <c:v>882.519</c:v>
                </c:pt>
                <c:pt idx="5045">
                  <c:v>882.69</c:v>
                </c:pt>
                <c:pt idx="5046">
                  <c:v>882.8599999999974</c:v>
                </c:pt>
                <c:pt idx="5047">
                  <c:v>883.034</c:v>
                </c:pt>
                <c:pt idx="5048">
                  <c:v>883.208</c:v>
                </c:pt>
                <c:pt idx="5049">
                  <c:v>883.385</c:v>
                </c:pt>
                <c:pt idx="5050">
                  <c:v>883.5629999999974</c:v>
                </c:pt>
                <c:pt idx="5051">
                  <c:v>883.74</c:v>
                </c:pt>
                <c:pt idx="5052">
                  <c:v>883.919</c:v>
                </c:pt>
                <c:pt idx="5053">
                  <c:v>884.097</c:v>
                </c:pt>
                <c:pt idx="5054">
                  <c:v>884.277</c:v>
                </c:pt>
                <c:pt idx="5055">
                  <c:v>884.4519999999974</c:v>
                </c:pt>
                <c:pt idx="5056">
                  <c:v>884.629</c:v>
                </c:pt>
                <c:pt idx="5057">
                  <c:v>884.8079999999974</c:v>
                </c:pt>
                <c:pt idx="5058">
                  <c:v>884.986</c:v>
                </c:pt>
                <c:pt idx="5059">
                  <c:v>885.1609999999994</c:v>
                </c:pt>
                <c:pt idx="5060">
                  <c:v>885.3349999999979</c:v>
                </c:pt>
                <c:pt idx="5061">
                  <c:v>885.508</c:v>
                </c:pt>
                <c:pt idx="5062">
                  <c:v>885.679</c:v>
                </c:pt>
                <c:pt idx="5063">
                  <c:v>885.8509999999974</c:v>
                </c:pt>
                <c:pt idx="5064">
                  <c:v>886.02</c:v>
                </c:pt>
                <c:pt idx="5065">
                  <c:v>886.19</c:v>
                </c:pt>
                <c:pt idx="5066">
                  <c:v>886.3639999999979</c:v>
                </c:pt>
                <c:pt idx="5067">
                  <c:v>886.5409999999994</c:v>
                </c:pt>
                <c:pt idx="5068">
                  <c:v>886.712</c:v>
                </c:pt>
                <c:pt idx="5069">
                  <c:v>886.88</c:v>
                </c:pt>
                <c:pt idx="5070">
                  <c:v>887.0469999999979</c:v>
                </c:pt>
                <c:pt idx="5071">
                  <c:v>887.217</c:v>
                </c:pt>
                <c:pt idx="5072">
                  <c:v>887.386</c:v>
                </c:pt>
                <c:pt idx="5073">
                  <c:v>887.5519999999979</c:v>
                </c:pt>
                <c:pt idx="5074">
                  <c:v>887.719</c:v>
                </c:pt>
                <c:pt idx="5075">
                  <c:v>887.8869999999994</c:v>
                </c:pt>
                <c:pt idx="5076">
                  <c:v>888.0559999999994</c:v>
                </c:pt>
                <c:pt idx="5077">
                  <c:v>888.226</c:v>
                </c:pt>
                <c:pt idx="5078">
                  <c:v>888.396</c:v>
                </c:pt>
                <c:pt idx="5079">
                  <c:v>888.569</c:v>
                </c:pt>
                <c:pt idx="5080">
                  <c:v>888.741</c:v>
                </c:pt>
                <c:pt idx="5081">
                  <c:v>888.918</c:v>
                </c:pt>
                <c:pt idx="5082">
                  <c:v>889.091</c:v>
                </c:pt>
                <c:pt idx="5083">
                  <c:v>889.263</c:v>
                </c:pt>
                <c:pt idx="5084">
                  <c:v>889.4309999999994</c:v>
                </c:pt>
                <c:pt idx="5085">
                  <c:v>889.6</c:v>
                </c:pt>
                <c:pt idx="5086">
                  <c:v>889.771</c:v>
                </c:pt>
                <c:pt idx="5087">
                  <c:v>889.944</c:v>
                </c:pt>
                <c:pt idx="5088">
                  <c:v>890.118</c:v>
                </c:pt>
                <c:pt idx="5089">
                  <c:v>890.292</c:v>
                </c:pt>
                <c:pt idx="5090">
                  <c:v>890.4679999999923</c:v>
                </c:pt>
                <c:pt idx="5091">
                  <c:v>890.646</c:v>
                </c:pt>
                <c:pt idx="5092">
                  <c:v>890.824</c:v>
                </c:pt>
                <c:pt idx="5093">
                  <c:v>890.998</c:v>
                </c:pt>
                <c:pt idx="5094">
                  <c:v>891.17</c:v>
                </c:pt>
                <c:pt idx="5095">
                  <c:v>891.3379999999925</c:v>
                </c:pt>
                <c:pt idx="5096">
                  <c:v>891.508</c:v>
                </c:pt>
                <c:pt idx="5097">
                  <c:v>891.679</c:v>
                </c:pt>
                <c:pt idx="5098">
                  <c:v>891.8489999999994</c:v>
                </c:pt>
                <c:pt idx="5099">
                  <c:v>892.021</c:v>
                </c:pt>
                <c:pt idx="5100">
                  <c:v>892.191</c:v>
                </c:pt>
                <c:pt idx="5101">
                  <c:v>892.3619999999906</c:v>
                </c:pt>
                <c:pt idx="5102">
                  <c:v>892.5409999999994</c:v>
                </c:pt>
                <c:pt idx="5103">
                  <c:v>892.723</c:v>
                </c:pt>
                <c:pt idx="5104">
                  <c:v>892.9</c:v>
                </c:pt>
                <c:pt idx="5105">
                  <c:v>893.072</c:v>
                </c:pt>
                <c:pt idx="5106">
                  <c:v>893.247</c:v>
                </c:pt>
                <c:pt idx="5107">
                  <c:v>893.4209999999994</c:v>
                </c:pt>
                <c:pt idx="5108">
                  <c:v>893.593</c:v>
                </c:pt>
                <c:pt idx="5109">
                  <c:v>893.7619999999994</c:v>
                </c:pt>
                <c:pt idx="5110">
                  <c:v>893.9329999999974</c:v>
                </c:pt>
                <c:pt idx="5111">
                  <c:v>894.1079999999994</c:v>
                </c:pt>
                <c:pt idx="5112">
                  <c:v>894.288</c:v>
                </c:pt>
                <c:pt idx="5113">
                  <c:v>894.4669999999974</c:v>
                </c:pt>
                <c:pt idx="5114">
                  <c:v>894.645</c:v>
                </c:pt>
                <c:pt idx="5115">
                  <c:v>894.8209999999979</c:v>
                </c:pt>
                <c:pt idx="5116">
                  <c:v>894.998</c:v>
                </c:pt>
                <c:pt idx="5117">
                  <c:v>895.174</c:v>
                </c:pt>
                <c:pt idx="5118">
                  <c:v>895.3499999999979</c:v>
                </c:pt>
                <c:pt idx="5119">
                  <c:v>895.518</c:v>
                </c:pt>
                <c:pt idx="5120">
                  <c:v>895.678</c:v>
                </c:pt>
                <c:pt idx="5121">
                  <c:v>895.8429999999923</c:v>
                </c:pt>
                <c:pt idx="5122">
                  <c:v>896.018</c:v>
                </c:pt>
                <c:pt idx="5123">
                  <c:v>896.197</c:v>
                </c:pt>
                <c:pt idx="5124">
                  <c:v>896.376</c:v>
                </c:pt>
                <c:pt idx="5125">
                  <c:v>896.5519999999979</c:v>
                </c:pt>
                <c:pt idx="5126">
                  <c:v>896.722</c:v>
                </c:pt>
                <c:pt idx="5127">
                  <c:v>896.886</c:v>
                </c:pt>
                <c:pt idx="5128">
                  <c:v>897.0569999999979</c:v>
                </c:pt>
                <c:pt idx="5129">
                  <c:v>897.232</c:v>
                </c:pt>
                <c:pt idx="5130">
                  <c:v>897.4109999999994</c:v>
                </c:pt>
                <c:pt idx="5131">
                  <c:v>897.59</c:v>
                </c:pt>
                <c:pt idx="5132">
                  <c:v>897.77</c:v>
                </c:pt>
                <c:pt idx="5133">
                  <c:v>897.9479999999974</c:v>
                </c:pt>
                <c:pt idx="5134">
                  <c:v>898.117</c:v>
                </c:pt>
                <c:pt idx="5135">
                  <c:v>898.286</c:v>
                </c:pt>
                <c:pt idx="5136">
                  <c:v>898.4569999999974</c:v>
                </c:pt>
                <c:pt idx="5137">
                  <c:v>898.628</c:v>
                </c:pt>
                <c:pt idx="5138">
                  <c:v>898.8019999999979</c:v>
                </c:pt>
                <c:pt idx="5139">
                  <c:v>898.971</c:v>
                </c:pt>
                <c:pt idx="5140">
                  <c:v>899.1419999999994</c:v>
                </c:pt>
                <c:pt idx="5141">
                  <c:v>899.3149999999994</c:v>
                </c:pt>
                <c:pt idx="5142">
                  <c:v>899.492</c:v>
                </c:pt>
                <c:pt idx="5143">
                  <c:v>899.663</c:v>
                </c:pt>
                <c:pt idx="5144">
                  <c:v>899.8279999999974</c:v>
                </c:pt>
                <c:pt idx="5145">
                  <c:v>899.994</c:v>
                </c:pt>
                <c:pt idx="5146">
                  <c:v>900.158</c:v>
                </c:pt>
                <c:pt idx="5147">
                  <c:v>900.3229999999974</c:v>
                </c:pt>
                <c:pt idx="5148">
                  <c:v>900.492</c:v>
                </c:pt>
                <c:pt idx="5149">
                  <c:v>900.6619999999979</c:v>
                </c:pt>
                <c:pt idx="5150">
                  <c:v>900.8369999999974</c:v>
                </c:pt>
                <c:pt idx="5151">
                  <c:v>901.014</c:v>
                </c:pt>
                <c:pt idx="5152">
                  <c:v>901.186</c:v>
                </c:pt>
                <c:pt idx="5153">
                  <c:v>901.3579999999816</c:v>
                </c:pt>
                <c:pt idx="5154">
                  <c:v>901.524</c:v>
                </c:pt>
                <c:pt idx="5155">
                  <c:v>901.688</c:v>
                </c:pt>
                <c:pt idx="5156">
                  <c:v>901.8559999999974</c:v>
                </c:pt>
                <c:pt idx="5157">
                  <c:v>902.021</c:v>
                </c:pt>
                <c:pt idx="5158">
                  <c:v>902.189</c:v>
                </c:pt>
                <c:pt idx="5159">
                  <c:v>902.3599999999974</c:v>
                </c:pt>
              </c:numCache>
            </c:numRef>
          </c:xVal>
          <c:yVal>
            <c:numRef>
              <c:f>Sheet1!$AR$6:$AR$5165</c:f>
              <c:numCache>
                <c:formatCode>General</c:formatCode>
                <c:ptCount val="5160"/>
                <c:pt idx="0">
                  <c:v>99.63025</c:v>
                </c:pt>
                <c:pt idx="1">
                  <c:v>99.61405</c:v>
                </c:pt>
                <c:pt idx="2">
                  <c:v>99.59885</c:v>
                </c:pt>
                <c:pt idx="3">
                  <c:v>99.58569999999997</c:v>
                </c:pt>
                <c:pt idx="4">
                  <c:v>99.56744</c:v>
                </c:pt>
                <c:pt idx="5">
                  <c:v>99.55323000000001</c:v>
                </c:pt>
                <c:pt idx="6">
                  <c:v>99.53199</c:v>
                </c:pt>
                <c:pt idx="7">
                  <c:v>99.50769</c:v>
                </c:pt>
                <c:pt idx="8">
                  <c:v>99.49348</c:v>
                </c:pt>
                <c:pt idx="9">
                  <c:v>99.48439</c:v>
                </c:pt>
                <c:pt idx="10">
                  <c:v>99.46314</c:v>
                </c:pt>
                <c:pt idx="11">
                  <c:v>99.44183</c:v>
                </c:pt>
                <c:pt idx="12">
                  <c:v>99.42058</c:v>
                </c:pt>
                <c:pt idx="13">
                  <c:v>99.40033</c:v>
                </c:pt>
                <c:pt idx="14">
                  <c:v>99.38007999999998</c:v>
                </c:pt>
                <c:pt idx="15">
                  <c:v>99.35876999999998</c:v>
                </c:pt>
                <c:pt idx="16">
                  <c:v>99.33852</c:v>
                </c:pt>
                <c:pt idx="17">
                  <c:v>99.31728</c:v>
                </c:pt>
                <c:pt idx="18">
                  <c:v>99.29596</c:v>
                </c:pt>
                <c:pt idx="19">
                  <c:v>99.27472</c:v>
                </c:pt>
                <c:pt idx="20">
                  <c:v>99.25141</c:v>
                </c:pt>
                <c:pt idx="21">
                  <c:v>99.2301</c:v>
                </c:pt>
                <c:pt idx="22">
                  <c:v>99.20885</c:v>
                </c:pt>
                <c:pt idx="23">
                  <c:v>99.18653999999998</c:v>
                </c:pt>
                <c:pt idx="24">
                  <c:v>99.16223999999998</c:v>
                </c:pt>
                <c:pt idx="25">
                  <c:v>99.14001</c:v>
                </c:pt>
                <c:pt idx="26">
                  <c:v>99.11770000000001</c:v>
                </c:pt>
                <c:pt idx="27">
                  <c:v>99.09538999999998</c:v>
                </c:pt>
                <c:pt idx="28">
                  <c:v>99.07207999999908</c:v>
                </c:pt>
                <c:pt idx="29">
                  <c:v>99.04984</c:v>
                </c:pt>
                <c:pt idx="30">
                  <c:v>99.02553999999998</c:v>
                </c:pt>
                <c:pt idx="31">
                  <c:v>99.00323</c:v>
                </c:pt>
                <c:pt idx="32">
                  <c:v>98.98199</c:v>
                </c:pt>
                <c:pt idx="33">
                  <c:v>98.94852</c:v>
                </c:pt>
                <c:pt idx="34">
                  <c:v>98.92828</c:v>
                </c:pt>
                <c:pt idx="35">
                  <c:v>98.90703</c:v>
                </c:pt>
                <c:pt idx="36">
                  <c:v>98.88571999999998</c:v>
                </c:pt>
                <c:pt idx="37">
                  <c:v>98.86142</c:v>
                </c:pt>
                <c:pt idx="38">
                  <c:v>98.84017</c:v>
                </c:pt>
                <c:pt idx="39">
                  <c:v>98.81886</c:v>
                </c:pt>
                <c:pt idx="40">
                  <c:v>98.79761</c:v>
                </c:pt>
                <c:pt idx="41">
                  <c:v>98.77330999999998</c:v>
                </c:pt>
                <c:pt idx="42">
                  <c:v>98.75001</c:v>
                </c:pt>
                <c:pt idx="43">
                  <c:v>98.72059</c:v>
                </c:pt>
                <c:pt idx="44">
                  <c:v>98.69529999999997</c:v>
                </c:pt>
                <c:pt idx="45">
                  <c:v>98.67199999999998</c:v>
                </c:pt>
                <c:pt idx="46">
                  <c:v>98.65174999999998</c:v>
                </c:pt>
                <c:pt idx="47">
                  <c:v>98.63348999999998</c:v>
                </c:pt>
                <c:pt idx="48">
                  <c:v>98.61423</c:v>
                </c:pt>
                <c:pt idx="49">
                  <c:v>98.58587999999965</c:v>
                </c:pt>
                <c:pt idx="50">
                  <c:v>98.56059</c:v>
                </c:pt>
                <c:pt idx="51">
                  <c:v>98.53828</c:v>
                </c:pt>
                <c:pt idx="52">
                  <c:v>98.51704</c:v>
                </c:pt>
                <c:pt idx="53">
                  <c:v>98.49572</c:v>
                </c:pt>
                <c:pt idx="54">
                  <c:v>98.47546999999997</c:v>
                </c:pt>
                <c:pt idx="55">
                  <c:v>98.45522</c:v>
                </c:pt>
                <c:pt idx="56">
                  <c:v>98.43092</c:v>
                </c:pt>
                <c:pt idx="57">
                  <c:v>98.40861</c:v>
                </c:pt>
                <c:pt idx="58">
                  <c:v>98.38736999999997</c:v>
                </c:pt>
                <c:pt idx="59">
                  <c:v>98.36811</c:v>
                </c:pt>
                <c:pt idx="60">
                  <c:v>98.34886</c:v>
                </c:pt>
                <c:pt idx="61">
                  <c:v>98.32051</c:v>
                </c:pt>
                <c:pt idx="62">
                  <c:v>98.30026</c:v>
                </c:pt>
                <c:pt idx="63">
                  <c:v>98.283</c:v>
                </c:pt>
                <c:pt idx="64">
                  <c:v>98.27290999999998</c:v>
                </c:pt>
                <c:pt idx="65">
                  <c:v>98.25259</c:v>
                </c:pt>
                <c:pt idx="66">
                  <c:v>98.23134</c:v>
                </c:pt>
                <c:pt idx="67">
                  <c:v>98.20903000000001</c:v>
                </c:pt>
                <c:pt idx="68">
                  <c:v>98.18984999999998</c:v>
                </c:pt>
                <c:pt idx="69">
                  <c:v>98.17158999999998</c:v>
                </c:pt>
                <c:pt idx="70">
                  <c:v>98.15232999999998</c:v>
                </c:pt>
                <c:pt idx="71">
                  <c:v>98.13513999999998</c:v>
                </c:pt>
                <c:pt idx="72">
                  <c:v>98.11687999999998</c:v>
                </c:pt>
                <c:pt idx="73">
                  <c:v>98.09762</c:v>
                </c:pt>
                <c:pt idx="74">
                  <c:v>98.07836999999998</c:v>
                </c:pt>
                <c:pt idx="75">
                  <c:v>98.06118</c:v>
                </c:pt>
                <c:pt idx="76">
                  <c:v>98.04498</c:v>
                </c:pt>
                <c:pt idx="77">
                  <c:v>98.02771</c:v>
                </c:pt>
                <c:pt idx="78">
                  <c:v>98.01052</c:v>
                </c:pt>
                <c:pt idx="79">
                  <c:v>97.99432</c:v>
                </c:pt>
                <c:pt idx="80">
                  <c:v>97.97712</c:v>
                </c:pt>
                <c:pt idx="81">
                  <c:v>97.96085</c:v>
                </c:pt>
                <c:pt idx="82">
                  <c:v>97.94465</c:v>
                </c:pt>
                <c:pt idx="83">
                  <c:v>97.92845</c:v>
                </c:pt>
                <c:pt idx="84">
                  <c:v>97.91325</c:v>
                </c:pt>
                <c:pt idx="85">
                  <c:v>97.89605</c:v>
                </c:pt>
                <c:pt idx="86">
                  <c:v>97.87985999999998</c:v>
                </c:pt>
                <c:pt idx="87">
                  <c:v>97.86366</c:v>
                </c:pt>
                <c:pt idx="88">
                  <c:v>97.84845</c:v>
                </c:pt>
                <c:pt idx="89">
                  <c:v>97.83325</c:v>
                </c:pt>
                <c:pt idx="90">
                  <c:v>97.81803999999998</c:v>
                </c:pt>
                <c:pt idx="91">
                  <c:v>97.80283999999975</c:v>
                </c:pt>
                <c:pt idx="92">
                  <c:v>97.7877</c:v>
                </c:pt>
                <c:pt idx="93">
                  <c:v>97.77249999999998</c:v>
                </c:pt>
                <c:pt idx="94">
                  <c:v>97.75829</c:v>
                </c:pt>
                <c:pt idx="95">
                  <c:v>97.74308</c:v>
                </c:pt>
                <c:pt idx="96">
                  <c:v>97.72893999999998</c:v>
                </c:pt>
                <c:pt idx="97">
                  <c:v>97.70763</c:v>
                </c:pt>
                <c:pt idx="98">
                  <c:v>97.69242</c:v>
                </c:pt>
                <c:pt idx="99">
                  <c:v>97.68133999999995</c:v>
                </c:pt>
                <c:pt idx="100">
                  <c:v>97.66812</c:v>
                </c:pt>
                <c:pt idx="101">
                  <c:v>97.65497999999998</c:v>
                </c:pt>
                <c:pt idx="102">
                  <c:v>97.64184</c:v>
                </c:pt>
                <c:pt idx="103">
                  <c:v>97.62862</c:v>
                </c:pt>
                <c:pt idx="104">
                  <c:v>97.61647</c:v>
                </c:pt>
                <c:pt idx="105">
                  <c:v>97.60332999999998</c:v>
                </c:pt>
                <c:pt idx="106">
                  <c:v>97.59416</c:v>
                </c:pt>
                <c:pt idx="107">
                  <c:v>97.57696999999997</c:v>
                </c:pt>
                <c:pt idx="108">
                  <c:v>97.55976999999998</c:v>
                </c:pt>
                <c:pt idx="109">
                  <c:v>97.54656</c:v>
                </c:pt>
                <c:pt idx="110">
                  <c:v>97.53242</c:v>
                </c:pt>
                <c:pt idx="111">
                  <c:v>97.5192</c:v>
                </c:pt>
                <c:pt idx="112">
                  <c:v>97.50812</c:v>
                </c:pt>
                <c:pt idx="113">
                  <c:v>97.49597</c:v>
                </c:pt>
                <c:pt idx="114">
                  <c:v>97.48176</c:v>
                </c:pt>
                <c:pt idx="115">
                  <c:v>97.46862</c:v>
                </c:pt>
                <c:pt idx="116">
                  <c:v>97.45539999999998</c:v>
                </c:pt>
                <c:pt idx="117">
                  <c:v>97.43615</c:v>
                </c:pt>
                <c:pt idx="118">
                  <c:v>97.42705</c:v>
                </c:pt>
                <c:pt idx="119">
                  <c:v>97.4149</c:v>
                </c:pt>
                <c:pt idx="120">
                  <c:v>97.40375</c:v>
                </c:pt>
                <c:pt idx="121">
                  <c:v>97.40069</c:v>
                </c:pt>
                <c:pt idx="122">
                  <c:v>97.38449</c:v>
                </c:pt>
                <c:pt idx="123">
                  <c:v>97.36929</c:v>
                </c:pt>
                <c:pt idx="124">
                  <c:v>97.35613999999998</c:v>
                </c:pt>
                <c:pt idx="125">
                  <c:v>97.34499</c:v>
                </c:pt>
                <c:pt idx="126">
                  <c:v>97.33283999999995</c:v>
                </c:pt>
                <c:pt idx="127">
                  <c:v>97.32069</c:v>
                </c:pt>
                <c:pt idx="128">
                  <c:v>97.30853999999998</c:v>
                </c:pt>
                <c:pt idx="129">
                  <c:v>97.29539</c:v>
                </c:pt>
                <c:pt idx="130">
                  <c:v>97.28217999999998</c:v>
                </c:pt>
                <c:pt idx="131">
                  <c:v>97.27208999999995</c:v>
                </c:pt>
                <c:pt idx="132">
                  <c:v>97.25886999999997</c:v>
                </c:pt>
                <c:pt idx="133">
                  <c:v>97.24779</c:v>
                </c:pt>
                <c:pt idx="134">
                  <c:v>97.23664</c:v>
                </c:pt>
                <c:pt idx="135">
                  <c:v>97.22449</c:v>
                </c:pt>
                <c:pt idx="136">
                  <c:v>97.21333000000001</c:v>
                </c:pt>
                <c:pt idx="137">
                  <c:v>97.20317</c:v>
                </c:pt>
                <c:pt idx="138">
                  <c:v>97.19102</c:v>
                </c:pt>
                <c:pt idx="139">
                  <c:v>97.17886999999975</c:v>
                </c:pt>
                <c:pt idx="140">
                  <c:v>97.16772</c:v>
                </c:pt>
                <c:pt idx="141">
                  <c:v>97.15656</c:v>
                </c:pt>
                <c:pt idx="142">
                  <c:v>97.14547999999998</c:v>
                </c:pt>
                <c:pt idx="143">
                  <c:v>97.13432</c:v>
                </c:pt>
                <c:pt idx="144">
                  <c:v>97.12316999999997</c:v>
                </c:pt>
                <c:pt idx="145">
                  <c:v>97.11002</c:v>
                </c:pt>
                <c:pt idx="146">
                  <c:v>97.09887</c:v>
                </c:pt>
                <c:pt idx="147">
                  <c:v>97.08870999999998</c:v>
                </c:pt>
                <c:pt idx="148">
                  <c:v>97.07755</c:v>
                </c:pt>
                <c:pt idx="149">
                  <c:v>97.06647</c:v>
                </c:pt>
                <c:pt idx="150">
                  <c:v>97.0502</c:v>
                </c:pt>
                <c:pt idx="151">
                  <c:v>97.03805</c:v>
                </c:pt>
                <c:pt idx="152">
                  <c:v>97.03102</c:v>
                </c:pt>
                <c:pt idx="153">
                  <c:v>97.02995</c:v>
                </c:pt>
                <c:pt idx="154">
                  <c:v>97.01681</c:v>
                </c:pt>
                <c:pt idx="155">
                  <c:v>97.00366</c:v>
                </c:pt>
                <c:pt idx="156">
                  <c:v>96.99151</c:v>
                </c:pt>
                <c:pt idx="157">
                  <c:v>96.97929</c:v>
                </c:pt>
                <c:pt idx="158">
                  <c:v>96.96821</c:v>
                </c:pt>
                <c:pt idx="159">
                  <c:v>96.95904</c:v>
                </c:pt>
                <c:pt idx="160">
                  <c:v>96.94789</c:v>
                </c:pt>
                <c:pt idx="161">
                  <c:v>96.9378</c:v>
                </c:pt>
                <c:pt idx="162">
                  <c:v>96.9287</c:v>
                </c:pt>
                <c:pt idx="163">
                  <c:v>96.91755</c:v>
                </c:pt>
                <c:pt idx="164">
                  <c:v>96.90739</c:v>
                </c:pt>
                <c:pt idx="165">
                  <c:v>96.89623</c:v>
                </c:pt>
                <c:pt idx="166">
                  <c:v>96.88514999999998</c:v>
                </c:pt>
                <c:pt idx="167">
                  <c:v>96.87498999999998</c:v>
                </c:pt>
                <c:pt idx="168">
                  <c:v>96.86383</c:v>
                </c:pt>
                <c:pt idx="169">
                  <c:v>96.85473999999998</c:v>
                </c:pt>
                <c:pt idx="170">
                  <c:v>96.84458</c:v>
                </c:pt>
                <c:pt idx="171">
                  <c:v>96.83449</c:v>
                </c:pt>
                <c:pt idx="172">
                  <c:v>96.82333999999948</c:v>
                </c:pt>
                <c:pt idx="173">
                  <c:v>96.81318</c:v>
                </c:pt>
                <c:pt idx="174">
                  <c:v>96.80308999999998</c:v>
                </c:pt>
                <c:pt idx="175">
                  <c:v>96.79293000000001</c:v>
                </c:pt>
                <c:pt idx="176">
                  <c:v>96.78177</c:v>
                </c:pt>
                <c:pt idx="177">
                  <c:v>96.77168</c:v>
                </c:pt>
                <c:pt idx="178">
                  <c:v>96.76152</c:v>
                </c:pt>
                <c:pt idx="179">
                  <c:v>96.75242999999997</c:v>
                </c:pt>
                <c:pt idx="180">
                  <c:v>96.74333</c:v>
                </c:pt>
                <c:pt idx="181">
                  <c:v>96.73218</c:v>
                </c:pt>
                <c:pt idx="182">
                  <c:v>96.72003</c:v>
                </c:pt>
                <c:pt idx="183">
                  <c:v>96.71292</c:v>
                </c:pt>
                <c:pt idx="184">
                  <c:v>96.70276</c:v>
                </c:pt>
                <c:pt idx="185">
                  <c:v>96.69267</c:v>
                </c:pt>
                <c:pt idx="186">
                  <c:v>96.68250999999998</c:v>
                </c:pt>
                <c:pt idx="187">
                  <c:v>96.67241999999958</c:v>
                </c:pt>
                <c:pt idx="188">
                  <c:v>96.66326</c:v>
                </c:pt>
                <c:pt idx="189">
                  <c:v>96.65416</c:v>
                </c:pt>
                <c:pt idx="190">
                  <c:v>96.644</c:v>
                </c:pt>
                <c:pt idx="191">
                  <c:v>96.63391</c:v>
                </c:pt>
                <c:pt idx="192">
                  <c:v>96.62474999999995</c:v>
                </c:pt>
                <c:pt idx="193">
                  <c:v>96.61565</c:v>
                </c:pt>
                <c:pt idx="194">
                  <c:v>96.60556999999998</c:v>
                </c:pt>
                <c:pt idx="195">
                  <c:v>96.5964</c:v>
                </c:pt>
                <c:pt idx="196">
                  <c:v>96.58425</c:v>
                </c:pt>
                <c:pt idx="197">
                  <c:v>96.57416</c:v>
                </c:pt>
                <c:pt idx="198">
                  <c:v>96.564</c:v>
                </c:pt>
                <c:pt idx="199">
                  <c:v>96.55284999999998</c:v>
                </c:pt>
                <c:pt idx="200">
                  <c:v>96.54475</c:v>
                </c:pt>
                <c:pt idx="201">
                  <c:v>96.53466</c:v>
                </c:pt>
                <c:pt idx="202">
                  <c:v>96.52656</c:v>
                </c:pt>
                <c:pt idx="203">
                  <c:v>96.51739</c:v>
                </c:pt>
                <c:pt idx="204">
                  <c:v>96.5083</c:v>
                </c:pt>
                <c:pt idx="205">
                  <c:v>96.49814</c:v>
                </c:pt>
                <c:pt idx="206">
                  <c:v>96.48805</c:v>
                </c:pt>
                <c:pt idx="207">
                  <c:v>96.47887999999975</c:v>
                </c:pt>
                <c:pt idx="208">
                  <c:v>96.46879</c:v>
                </c:pt>
                <c:pt idx="209">
                  <c:v>96.46069</c:v>
                </c:pt>
                <c:pt idx="210">
                  <c:v>96.4516</c:v>
                </c:pt>
                <c:pt idx="211">
                  <c:v>96.44144</c:v>
                </c:pt>
                <c:pt idx="212">
                  <c:v>96.43334</c:v>
                </c:pt>
                <c:pt idx="213">
                  <c:v>96.42318</c:v>
                </c:pt>
                <c:pt idx="214">
                  <c:v>96.41408</c:v>
                </c:pt>
                <c:pt idx="215">
                  <c:v>96.40499</c:v>
                </c:pt>
                <c:pt idx="216">
                  <c:v>96.39483000000001</c:v>
                </c:pt>
                <c:pt idx="217">
                  <c:v>96.38573999999888</c:v>
                </c:pt>
                <c:pt idx="218">
                  <c:v>96.37557999999908</c:v>
                </c:pt>
                <c:pt idx="219">
                  <c:v>96.36647999999998</c:v>
                </c:pt>
                <c:pt idx="220">
                  <c:v>96.35738999999998</c:v>
                </c:pt>
                <c:pt idx="221">
                  <c:v>96.34929</c:v>
                </c:pt>
                <c:pt idx="222">
                  <c:v>96.33813</c:v>
                </c:pt>
                <c:pt idx="223">
                  <c:v>96.33202</c:v>
                </c:pt>
                <c:pt idx="224">
                  <c:v>96.31483</c:v>
                </c:pt>
                <c:pt idx="225">
                  <c:v>96.30467</c:v>
                </c:pt>
                <c:pt idx="226">
                  <c:v>96.30062</c:v>
                </c:pt>
                <c:pt idx="227">
                  <c:v>96.29962</c:v>
                </c:pt>
                <c:pt idx="228">
                  <c:v>96.28747000000001</c:v>
                </c:pt>
                <c:pt idx="229">
                  <c:v>96.27632</c:v>
                </c:pt>
                <c:pt idx="230">
                  <c:v>96.26722</c:v>
                </c:pt>
                <c:pt idx="231">
                  <c:v>96.25706</c:v>
                </c:pt>
                <c:pt idx="232">
                  <c:v>96.24591</c:v>
                </c:pt>
                <c:pt idx="233">
                  <c:v>96.23781</c:v>
                </c:pt>
                <c:pt idx="234">
                  <c:v>96.22970999999998</c:v>
                </c:pt>
                <c:pt idx="235">
                  <c:v>96.21962</c:v>
                </c:pt>
                <c:pt idx="236">
                  <c:v>96.21152</c:v>
                </c:pt>
                <c:pt idx="237">
                  <c:v>96.20342</c:v>
                </c:pt>
                <c:pt idx="238">
                  <c:v>96.19227</c:v>
                </c:pt>
                <c:pt idx="239">
                  <c:v>96.18417</c:v>
                </c:pt>
                <c:pt idx="240">
                  <c:v>96.17499999999998</c:v>
                </c:pt>
                <c:pt idx="241">
                  <c:v>96.16491</c:v>
                </c:pt>
                <c:pt idx="242">
                  <c:v>96.15680999999998</c:v>
                </c:pt>
                <c:pt idx="243">
                  <c:v>96.14665</c:v>
                </c:pt>
                <c:pt idx="244">
                  <c:v>96.13955</c:v>
                </c:pt>
                <c:pt idx="245">
                  <c:v>96.13044999999998</c:v>
                </c:pt>
                <c:pt idx="246">
                  <c:v>96.12135999999998</c:v>
                </c:pt>
                <c:pt idx="247">
                  <c:v>96.11219</c:v>
                </c:pt>
                <c:pt idx="248">
                  <c:v>96.1031</c:v>
                </c:pt>
                <c:pt idx="249">
                  <c:v>96.094</c:v>
                </c:pt>
                <c:pt idx="250">
                  <c:v>96.08491</c:v>
                </c:pt>
                <c:pt idx="251">
                  <c:v>96.07673999999938</c:v>
                </c:pt>
                <c:pt idx="252">
                  <c:v>96.06864</c:v>
                </c:pt>
                <c:pt idx="253">
                  <c:v>96.05954</c:v>
                </c:pt>
                <c:pt idx="254">
                  <c:v>96.05045</c:v>
                </c:pt>
                <c:pt idx="255">
                  <c:v>96.04128</c:v>
                </c:pt>
                <c:pt idx="256">
                  <c:v>96.03318</c:v>
                </c:pt>
                <c:pt idx="257">
                  <c:v>96.02507999999958</c:v>
                </c:pt>
                <c:pt idx="258">
                  <c:v>96.01599</c:v>
                </c:pt>
                <c:pt idx="259">
                  <c:v>96.00689</c:v>
                </c:pt>
                <c:pt idx="260">
                  <c:v>95.99773</c:v>
                </c:pt>
                <c:pt idx="261">
                  <c:v>95.98963</c:v>
                </c:pt>
                <c:pt idx="262">
                  <c:v>95.98153</c:v>
                </c:pt>
                <c:pt idx="263">
                  <c:v>95.97144</c:v>
                </c:pt>
                <c:pt idx="264">
                  <c:v>95.96029</c:v>
                </c:pt>
                <c:pt idx="265">
                  <c:v>95.95219</c:v>
                </c:pt>
                <c:pt idx="266">
                  <c:v>95.94409</c:v>
                </c:pt>
                <c:pt idx="267">
                  <c:v>95.93492</c:v>
                </c:pt>
                <c:pt idx="268">
                  <c:v>95.92682</c:v>
                </c:pt>
                <c:pt idx="269">
                  <c:v>95.91773</c:v>
                </c:pt>
                <c:pt idx="270">
                  <c:v>95.91062</c:v>
                </c:pt>
                <c:pt idx="271">
                  <c:v>95.90053</c:v>
                </c:pt>
                <c:pt idx="272">
                  <c:v>95.89137</c:v>
                </c:pt>
                <c:pt idx="273">
                  <c:v>95.88433</c:v>
                </c:pt>
                <c:pt idx="274">
                  <c:v>95.87417</c:v>
                </c:pt>
                <c:pt idx="275">
                  <c:v>95.86607</c:v>
                </c:pt>
                <c:pt idx="276">
                  <c:v>95.85697999999998</c:v>
                </c:pt>
                <c:pt idx="277">
                  <c:v>95.84887999999998</c:v>
                </c:pt>
                <c:pt idx="278">
                  <c:v>95.84077999999998</c:v>
                </c:pt>
                <c:pt idx="279">
                  <c:v>95.83161</c:v>
                </c:pt>
                <c:pt idx="280">
                  <c:v>95.82451</c:v>
                </c:pt>
                <c:pt idx="281">
                  <c:v>95.81541</c:v>
                </c:pt>
                <c:pt idx="282">
                  <c:v>95.80632</c:v>
                </c:pt>
                <c:pt idx="283">
                  <c:v>95.79921</c:v>
                </c:pt>
                <c:pt idx="284">
                  <c:v>95.79012</c:v>
                </c:pt>
                <c:pt idx="285">
                  <c:v>95.77996</c:v>
                </c:pt>
                <c:pt idx="286">
                  <c:v>95.77086999999997</c:v>
                </c:pt>
                <c:pt idx="287">
                  <c:v>95.76376</c:v>
                </c:pt>
                <c:pt idx="288">
                  <c:v>95.75566</c:v>
                </c:pt>
                <c:pt idx="289">
                  <c:v>95.74145</c:v>
                </c:pt>
                <c:pt idx="290">
                  <c:v>95.73136</c:v>
                </c:pt>
                <c:pt idx="291">
                  <c:v>95.72632</c:v>
                </c:pt>
                <c:pt idx="292">
                  <c:v>95.72021</c:v>
                </c:pt>
                <c:pt idx="293">
                  <c:v>95.71211</c:v>
                </c:pt>
                <c:pt idx="294">
                  <c:v>95.70500000000001</c:v>
                </c:pt>
                <c:pt idx="295">
                  <c:v>95.69996</c:v>
                </c:pt>
                <c:pt idx="296">
                  <c:v>95.69491</c:v>
                </c:pt>
                <c:pt idx="297">
                  <c:v>95.68268999999998</c:v>
                </c:pt>
                <c:pt idx="298">
                  <c:v>95.67161</c:v>
                </c:pt>
                <c:pt idx="299">
                  <c:v>95.66243999999975</c:v>
                </c:pt>
                <c:pt idx="300">
                  <c:v>95.65433999999995</c:v>
                </c:pt>
                <c:pt idx="301">
                  <c:v>95.64624</c:v>
                </c:pt>
                <c:pt idx="302">
                  <c:v>95.63813999999998</c:v>
                </c:pt>
                <c:pt idx="303">
                  <c:v>95.62904999999998</c:v>
                </c:pt>
                <c:pt idx="304">
                  <c:v>95.61888999999998</c:v>
                </c:pt>
                <c:pt idx="305">
                  <c:v>95.60978999999985</c:v>
                </c:pt>
                <c:pt idx="306">
                  <c:v>95.60268999999998</c:v>
                </c:pt>
                <c:pt idx="307">
                  <c:v>95.59459</c:v>
                </c:pt>
                <c:pt idx="308">
                  <c:v>95.58649</c:v>
                </c:pt>
                <c:pt idx="309">
                  <c:v>95.57738999999998</c:v>
                </c:pt>
                <c:pt idx="310">
                  <c:v>95.57029</c:v>
                </c:pt>
                <c:pt idx="311">
                  <c:v>95.5612</c:v>
                </c:pt>
                <c:pt idx="312">
                  <c:v>95.55409</c:v>
                </c:pt>
                <c:pt idx="313">
                  <c:v>95.54599</c:v>
                </c:pt>
                <c:pt idx="314">
                  <c:v>95.53683</c:v>
                </c:pt>
                <c:pt idx="315">
                  <c:v>95.52773</c:v>
                </c:pt>
                <c:pt idx="316">
                  <c:v>95.51963</c:v>
                </c:pt>
                <c:pt idx="317">
                  <c:v>95.51153</c:v>
                </c:pt>
                <c:pt idx="318">
                  <c:v>95.50243999999998</c:v>
                </c:pt>
                <c:pt idx="319">
                  <c:v>95.49327</c:v>
                </c:pt>
                <c:pt idx="320">
                  <c:v>95.48517</c:v>
                </c:pt>
                <c:pt idx="321">
                  <c:v>95.47813999999998</c:v>
                </c:pt>
                <c:pt idx="322">
                  <c:v>95.47003999999998</c:v>
                </c:pt>
                <c:pt idx="323">
                  <c:v>95.46087</c:v>
                </c:pt>
                <c:pt idx="324">
                  <c:v>95.45178</c:v>
                </c:pt>
                <c:pt idx="325">
                  <c:v>95.44368</c:v>
                </c:pt>
                <c:pt idx="326">
                  <c:v>95.43558</c:v>
                </c:pt>
                <c:pt idx="327">
                  <c:v>95.42748</c:v>
                </c:pt>
                <c:pt idx="328">
                  <c:v>95.41938</c:v>
                </c:pt>
                <c:pt idx="329">
                  <c:v>95.41128</c:v>
                </c:pt>
                <c:pt idx="330">
                  <c:v>95.40211</c:v>
                </c:pt>
                <c:pt idx="331">
                  <c:v>95.39401</c:v>
                </c:pt>
                <c:pt idx="332">
                  <c:v>95.38590999999998</c:v>
                </c:pt>
                <c:pt idx="333">
                  <c:v>95.37780999999998</c:v>
                </c:pt>
                <c:pt idx="334">
                  <c:v>95.36971</c:v>
                </c:pt>
                <c:pt idx="335">
                  <c:v>95.36161</c:v>
                </c:pt>
                <c:pt idx="336">
                  <c:v>95.35549999999998</c:v>
                </c:pt>
                <c:pt idx="337">
                  <c:v>95.33632</c:v>
                </c:pt>
                <c:pt idx="338">
                  <c:v>95.33021</c:v>
                </c:pt>
                <c:pt idx="339">
                  <c:v>95.32716</c:v>
                </c:pt>
                <c:pt idx="340">
                  <c:v>95.32616</c:v>
                </c:pt>
                <c:pt idx="341">
                  <c:v>95.31501</c:v>
                </c:pt>
                <c:pt idx="342">
                  <c:v>95.30691</c:v>
                </c:pt>
                <c:pt idx="343">
                  <c:v>95.29781</c:v>
                </c:pt>
                <c:pt idx="344">
                  <c:v>95.28865</c:v>
                </c:pt>
                <c:pt idx="345">
                  <c:v>95.28055</c:v>
                </c:pt>
                <c:pt idx="346">
                  <c:v>95.27244999999998</c:v>
                </c:pt>
                <c:pt idx="347">
                  <c:v>95.26541</c:v>
                </c:pt>
                <c:pt idx="348">
                  <c:v>95.25525</c:v>
                </c:pt>
                <c:pt idx="349">
                  <c:v>95.24616</c:v>
                </c:pt>
                <c:pt idx="350">
                  <c:v>95.23806</c:v>
                </c:pt>
                <c:pt idx="351">
                  <c:v>95.23195</c:v>
                </c:pt>
                <c:pt idx="352">
                  <c:v>95.22284999999998</c:v>
                </c:pt>
                <c:pt idx="353">
                  <c:v>95.21475</c:v>
                </c:pt>
                <c:pt idx="354">
                  <c:v>95.20765</c:v>
                </c:pt>
                <c:pt idx="355">
                  <c:v>95.19955</c:v>
                </c:pt>
                <c:pt idx="356">
                  <c:v>95.19145</c:v>
                </c:pt>
                <c:pt idx="357">
                  <c:v>95.18533999999858</c:v>
                </c:pt>
                <c:pt idx="358">
                  <c:v>95.17822999999998</c:v>
                </c:pt>
                <c:pt idx="359">
                  <c:v>95.16202999999997</c:v>
                </c:pt>
                <c:pt idx="360">
                  <c:v>95.15392999999997</c:v>
                </c:pt>
                <c:pt idx="361">
                  <c:v>95.14888999999998</c:v>
                </c:pt>
                <c:pt idx="362">
                  <c:v>95.14277999999958</c:v>
                </c:pt>
                <c:pt idx="363">
                  <c:v>95.13574999999948</c:v>
                </c:pt>
                <c:pt idx="364">
                  <c:v>95.12863999999985</c:v>
                </c:pt>
                <c:pt idx="365">
                  <c:v>95.12053999999995</c:v>
                </c:pt>
                <c:pt idx="366">
                  <c:v>95.11955</c:v>
                </c:pt>
                <c:pt idx="367">
                  <c:v>95.10838999999918</c:v>
                </c:pt>
                <c:pt idx="368">
                  <c:v>95.09823</c:v>
                </c:pt>
                <c:pt idx="369">
                  <c:v>95.09219</c:v>
                </c:pt>
                <c:pt idx="370">
                  <c:v>95.07393</c:v>
                </c:pt>
                <c:pt idx="371">
                  <c:v>95.06988</c:v>
                </c:pt>
                <c:pt idx="372">
                  <c:v>95.06484</c:v>
                </c:pt>
                <c:pt idx="373">
                  <c:v>95.05673999999995</c:v>
                </c:pt>
                <c:pt idx="374">
                  <c:v>95.04963</c:v>
                </c:pt>
                <c:pt idx="375">
                  <c:v>95.04153</c:v>
                </c:pt>
                <c:pt idx="376">
                  <c:v>95.03236999999998</c:v>
                </c:pt>
                <c:pt idx="377">
                  <c:v>95.02532999999998</c:v>
                </c:pt>
                <c:pt idx="378">
                  <c:v>95.01922</c:v>
                </c:pt>
                <c:pt idx="379">
                  <c:v>95.01617</c:v>
                </c:pt>
                <c:pt idx="380">
                  <c:v>95.01112</c:v>
                </c:pt>
                <c:pt idx="381">
                  <c:v>94.99897</c:v>
                </c:pt>
                <c:pt idx="382">
                  <c:v>94.98881</c:v>
                </c:pt>
                <c:pt idx="383">
                  <c:v>94.97972</c:v>
                </c:pt>
                <c:pt idx="384">
                  <c:v>94.97162</c:v>
                </c:pt>
                <c:pt idx="385">
                  <c:v>94.96451</c:v>
                </c:pt>
                <c:pt idx="386">
                  <c:v>94.95741</c:v>
                </c:pt>
                <c:pt idx="387">
                  <c:v>94.94931</c:v>
                </c:pt>
                <c:pt idx="388">
                  <c:v>94.94228</c:v>
                </c:pt>
                <c:pt idx="389">
                  <c:v>94.93517000000001</c:v>
                </c:pt>
                <c:pt idx="390">
                  <c:v>94.92707</c:v>
                </c:pt>
                <c:pt idx="391">
                  <c:v>94.91997</c:v>
                </c:pt>
                <c:pt idx="392">
                  <c:v>94.91187</c:v>
                </c:pt>
                <c:pt idx="393">
                  <c:v>94.90377</c:v>
                </c:pt>
                <c:pt idx="394">
                  <c:v>94.89567</c:v>
                </c:pt>
                <c:pt idx="395">
                  <c:v>94.88856</c:v>
                </c:pt>
                <c:pt idx="396">
                  <c:v>94.88146</c:v>
                </c:pt>
                <c:pt idx="397">
                  <c:v>94.87335999999995</c:v>
                </c:pt>
                <c:pt idx="398">
                  <c:v>94.86625</c:v>
                </c:pt>
                <c:pt idx="399">
                  <c:v>94.85922</c:v>
                </c:pt>
                <c:pt idx="400">
                  <c:v>94.85105</c:v>
                </c:pt>
                <c:pt idx="401">
                  <c:v>94.84401</c:v>
                </c:pt>
                <c:pt idx="402">
                  <c:v>94.83591</c:v>
                </c:pt>
                <c:pt idx="403">
                  <c:v>94.82880999999985</c:v>
                </c:pt>
                <c:pt idx="404">
                  <c:v>94.8217</c:v>
                </c:pt>
                <c:pt idx="405">
                  <c:v>94.8136</c:v>
                </c:pt>
                <c:pt idx="406">
                  <c:v>94.80549999999998</c:v>
                </c:pt>
                <c:pt idx="407">
                  <c:v>94.7984</c:v>
                </c:pt>
                <c:pt idx="408">
                  <c:v>94.79236</c:v>
                </c:pt>
                <c:pt idx="409">
                  <c:v>94.78426</c:v>
                </c:pt>
                <c:pt idx="410">
                  <c:v>94.77715</c:v>
                </c:pt>
                <c:pt idx="411">
                  <c:v>94.77005</c:v>
                </c:pt>
                <c:pt idx="412">
                  <c:v>94.76195</c:v>
                </c:pt>
                <c:pt idx="413">
                  <c:v>94.75484</c:v>
                </c:pt>
                <c:pt idx="414">
                  <c:v>94.74774</c:v>
                </c:pt>
                <c:pt idx="415">
                  <c:v>94.74063</c:v>
                </c:pt>
                <c:pt idx="416">
                  <c:v>94.73253</c:v>
                </c:pt>
                <c:pt idx="417">
                  <c:v>94.72549999999998</c:v>
                </c:pt>
                <c:pt idx="418">
                  <c:v>94.7184</c:v>
                </c:pt>
                <c:pt idx="419">
                  <c:v>94.71129</c:v>
                </c:pt>
                <c:pt idx="420">
                  <c:v>94.70419</c:v>
                </c:pt>
                <c:pt idx="421">
                  <c:v>94.69708</c:v>
                </c:pt>
                <c:pt idx="422">
                  <c:v>94.69005</c:v>
                </c:pt>
                <c:pt idx="423">
                  <c:v>94.68195</c:v>
                </c:pt>
                <c:pt idx="424">
                  <c:v>94.67384999999948</c:v>
                </c:pt>
                <c:pt idx="425">
                  <c:v>94.66773999999998</c:v>
                </c:pt>
                <c:pt idx="426">
                  <c:v>94.65963999999998</c:v>
                </c:pt>
                <c:pt idx="427">
                  <c:v>94.65352999999997</c:v>
                </c:pt>
                <c:pt idx="428">
                  <c:v>94.64543</c:v>
                </c:pt>
                <c:pt idx="429">
                  <c:v>94.63733</c:v>
                </c:pt>
                <c:pt idx="430">
                  <c:v>94.63022</c:v>
                </c:pt>
                <c:pt idx="431">
                  <c:v>94.62417999999998</c:v>
                </c:pt>
                <c:pt idx="432">
                  <c:v>94.61708</c:v>
                </c:pt>
                <c:pt idx="433">
                  <c:v>94.60897999999958</c:v>
                </c:pt>
                <c:pt idx="434">
                  <c:v>94.60293999999975</c:v>
                </c:pt>
                <c:pt idx="435">
                  <c:v>94.59583</c:v>
                </c:pt>
                <c:pt idx="436">
                  <c:v>94.58872999999998</c:v>
                </c:pt>
                <c:pt idx="437">
                  <c:v>94.58262</c:v>
                </c:pt>
                <c:pt idx="438">
                  <c:v>94.57452</c:v>
                </c:pt>
                <c:pt idx="439">
                  <c:v>94.56748</c:v>
                </c:pt>
                <c:pt idx="440">
                  <c:v>94.56037999999998</c:v>
                </c:pt>
                <c:pt idx="441">
                  <c:v>94.55327000000001</c:v>
                </c:pt>
                <c:pt idx="442">
                  <c:v>94.54617</c:v>
                </c:pt>
                <c:pt idx="443">
                  <c:v>94.53906</c:v>
                </c:pt>
                <c:pt idx="444">
                  <c:v>94.53302</c:v>
                </c:pt>
                <c:pt idx="445">
                  <c:v>94.52492</c:v>
                </c:pt>
                <c:pt idx="446">
                  <c:v>94.51782</c:v>
                </c:pt>
                <c:pt idx="447">
                  <c:v>94.51071</c:v>
                </c:pt>
                <c:pt idx="448">
                  <c:v>94.50262</c:v>
                </c:pt>
                <c:pt idx="449">
                  <c:v>94.49551</c:v>
                </c:pt>
                <c:pt idx="450">
                  <c:v>94.48947</c:v>
                </c:pt>
                <c:pt idx="451">
                  <c:v>94.48236999999997</c:v>
                </c:pt>
                <c:pt idx="452">
                  <c:v>94.47626</c:v>
                </c:pt>
                <c:pt idx="453">
                  <c:v>94.46922</c:v>
                </c:pt>
                <c:pt idx="454">
                  <c:v>94.46112</c:v>
                </c:pt>
                <c:pt idx="455">
                  <c:v>94.45402</c:v>
                </c:pt>
                <c:pt idx="456">
                  <c:v>94.44791</c:v>
                </c:pt>
                <c:pt idx="457">
                  <c:v>94.4408</c:v>
                </c:pt>
                <c:pt idx="458">
                  <c:v>94.43377</c:v>
                </c:pt>
                <c:pt idx="459">
                  <c:v>94.42666</c:v>
                </c:pt>
                <c:pt idx="460">
                  <c:v>94.41956</c:v>
                </c:pt>
                <c:pt idx="461">
                  <c:v>94.41245</c:v>
                </c:pt>
                <c:pt idx="462">
                  <c:v>94.40535</c:v>
                </c:pt>
                <c:pt idx="463">
                  <c:v>94.39931</c:v>
                </c:pt>
                <c:pt idx="464">
                  <c:v>94.3922</c:v>
                </c:pt>
                <c:pt idx="465">
                  <c:v>94.38716</c:v>
                </c:pt>
                <c:pt idx="466">
                  <c:v>94.37905999999998</c:v>
                </c:pt>
                <c:pt idx="467">
                  <c:v>94.37195</c:v>
                </c:pt>
                <c:pt idx="468">
                  <c:v>94.36485</c:v>
                </c:pt>
                <c:pt idx="469">
                  <c:v>94.35773999999998</c:v>
                </c:pt>
                <c:pt idx="470">
                  <c:v>94.3517</c:v>
                </c:pt>
                <c:pt idx="471">
                  <c:v>94.3446</c:v>
                </c:pt>
                <c:pt idx="472">
                  <c:v>94.33749</c:v>
                </c:pt>
                <c:pt idx="473">
                  <c:v>94.33038999999998</c:v>
                </c:pt>
                <c:pt idx="474">
                  <c:v>94.32334999999995</c:v>
                </c:pt>
                <c:pt idx="475">
                  <c:v>94.31625</c:v>
                </c:pt>
                <c:pt idx="476">
                  <c:v>94.31014</c:v>
                </c:pt>
                <c:pt idx="477">
                  <c:v>94.297</c:v>
                </c:pt>
                <c:pt idx="478">
                  <c:v>94.2889</c:v>
                </c:pt>
                <c:pt idx="479">
                  <c:v>94.28485</c:v>
                </c:pt>
                <c:pt idx="480">
                  <c:v>94.2808</c:v>
                </c:pt>
                <c:pt idx="481">
                  <c:v>94.27469</c:v>
                </c:pt>
                <c:pt idx="482">
                  <c:v>94.26964</c:v>
                </c:pt>
                <c:pt idx="483">
                  <c:v>94.26353</c:v>
                </c:pt>
                <c:pt idx="484">
                  <c:v>94.25749</c:v>
                </c:pt>
                <c:pt idx="485">
                  <c:v>94.25444</c:v>
                </c:pt>
                <c:pt idx="486">
                  <c:v>94.24435</c:v>
                </c:pt>
                <c:pt idx="487">
                  <c:v>94.23618</c:v>
                </c:pt>
                <c:pt idx="488">
                  <c:v>94.22807999999995</c:v>
                </c:pt>
                <c:pt idx="489">
                  <c:v>94.22104</c:v>
                </c:pt>
                <c:pt idx="490">
                  <c:v>94.21394</c:v>
                </c:pt>
                <c:pt idx="491">
                  <c:v>94.20783</c:v>
                </c:pt>
                <c:pt idx="492">
                  <c:v>94.20072</c:v>
                </c:pt>
                <c:pt idx="493">
                  <c:v>94.19369</c:v>
                </c:pt>
                <c:pt idx="494">
                  <c:v>94.18757999999998</c:v>
                </c:pt>
                <c:pt idx="495">
                  <c:v>94.18154</c:v>
                </c:pt>
                <c:pt idx="496">
                  <c:v>94.17442999999998</c:v>
                </c:pt>
                <c:pt idx="497">
                  <c:v>94.16733</c:v>
                </c:pt>
                <c:pt idx="498">
                  <c:v>94.16122</c:v>
                </c:pt>
                <c:pt idx="499">
                  <c:v>94.15417999999998</c:v>
                </c:pt>
                <c:pt idx="500">
                  <c:v>94.14806999999997</c:v>
                </c:pt>
                <c:pt idx="501">
                  <c:v>94.14097</c:v>
                </c:pt>
                <c:pt idx="502">
                  <c:v>94.13493</c:v>
                </c:pt>
                <c:pt idx="503">
                  <c:v>94.12782</c:v>
                </c:pt>
                <c:pt idx="504">
                  <c:v>94.12170999999998</c:v>
                </c:pt>
                <c:pt idx="505">
                  <c:v>94.11468</c:v>
                </c:pt>
                <c:pt idx="506">
                  <c:v>94.10856999999998</c:v>
                </c:pt>
                <c:pt idx="507">
                  <c:v>94.10146</c:v>
                </c:pt>
                <c:pt idx="508">
                  <c:v>94.09542</c:v>
                </c:pt>
                <c:pt idx="509">
                  <c:v>94.08931</c:v>
                </c:pt>
                <c:pt idx="510">
                  <c:v>94.08121</c:v>
                </c:pt>
                <c:pt idx="511">
                  <c:v>94.07517999999965</c:v>
                </c:pt>
                <c:pt idx="512">
                  <c:v>94.06907</c:v>
                </c:pt>
                <c:pt idx="513">
                  <c:v>94.06402</c:v>
                </c:pt>
                <c:pt idx="514">
                  <c:v>94.05692</c:v>
                </c:pt>
                <c:pt idx="515">
                  <c:v>94.04981</c:v>
                </c:pt>
                <c:pt idx="516">
                  <c:v>94.04377</c:v>
                </c:pt>
                <c:pt idx="517">
                  <c:v>94.03667</c:v>
                </c:pt>
                <c:pt idx="518">
                  <c:v>94.02856999999997</c:v>
                </c:pt>
                <c:pt idx="519">
                  <c:v>94.01741</c:v>
                </c:pt>
                <c:pt idx="520">
                  <c:v>94.01436</c:v>
                </c:pt>
                <c:pt idx="521">
                  <c:v>94.0194</c:v>
                </c:pt>
                <c:pt idx="522">
                  <c:v>94.01031</c:v>
                </c:pt>
                <c:pt idx="523">
                  <c:v>94.00121</c:v>
                </c:pt>
                <c:pt idx="524">
                  <c:v>93.99311</c:v>
                </c:pt>
                <c:pt idx="525">
                  <c:v>93.987</c:v>
                </c:pt>
                <c:pt idx="526">
                  <c:v>93.97889999999998</c:v>
                </c:pt>
                <c:pt idx="527">
                  <c:v>93.9718</c:v>
                </c:pt>
                <c:pt idx="528">
                  <c:v>93.96576</c:v>
                </c:pt>
                <c:pt idx="529">
                  <c:v>93.95965</c:v>
                </c:pt>
                <c:pt idx="530">
                  <c:v>93.95261</c:v>
                </c:pt>
                <c:pt idx="531">
                  <c:v>93.9465</c:v>
                </c:pt>
                <c:pt idx="532">
                  <c:v>93.94039</c:v>
                </c:pt>
                <c:pt idx="533">
                  <c:v>93.93435</c:v>
                </c:pt>
                <c:pt idx="534">
                  <c:v>93.92824</c:v>
                </c:pt>
                <c:pt idx="535">
                  <c:v>93.9222</c:v>
                </c:pt>
                <c:pt idx="536">
                  <c:v>93.9151</c:v>
                </c:pt>
                <c:pt idx="537">
                  <c:v>93.90799</c:v>
                </c:pt>
                <c:pt idx="538">
                  <c:v>93.90195</c:v>
                </c:pt>
                <c:pt idx="539">
                  <c:v>93.89683999999998</c:v>
                </c:pt>
                <c:pt idx="540">
                  <c:v>93.88980999999998</c:v>
                </c:pt>
                <c:pt idx="541">
                  <c:v>93.88369</c:v>
                </c:pt>
                <c:pt idx="542">
                  <c:v>93.87658999999998</c:v>
                </c:pt>
                <c:pt idx="543">
                  <c:v>93.87054999999998</c:v>
                </c:pt>
                <c:pt idx="544">
                  <c:v>93.86542999999997</c:v>
                </c:pt>
                <c:pt idx="545">
                  <c:v>93.85939999999998</c:v>
                </c:pt>
                <c:pt idx="546">
                  <c:v>93.85228999999998</c:v>
                </c:pt>
                <c:pt idx="547">
                  <c:v>93.84519</c:v>
                </c:pt>
                <c:pt idx="548">
                  <c:v>93.83915</c:v>
                </c:pt>
                <c:pt idx="549">
                  <c:v>93.83203999999998</c:v>
                </c:pt>
                <c:pt idx="550">
                  <c:v>93.827</c:v>
                </c:pt>
                <c:pt idx="551">
                  <c:v>93.82088999999995</c:v>
                </c:pt>
                <c:pt idx="552">
                  <c:v>93.80674999999998</c:v>
                </c:pt>
                <c:pt idx="553">
                  <c:v>93.80163</c:v>
                </c:pt>
                <c:pt idx="554">
                  <c:v>93.79758</c:v>
                </c:pt>
                <c:pt idx="555">
                  <c:v>93.79453</c:v>
                </c:pt>
                <c:pt idx="556">
                  <c:v>93.79048</c:v>
                </c:pt>
                <c:pt idx="557">
                  <c:v>93.79154</c:v>
                </c:pt>
                <c:pt idx="558">
                  <c:v>93.78344</c:v>
                </c:pt>
                <c:pt idx="559">
                  <c:v>93.77328</c:v>
                </c:pt>
                <c:pt idx="560">
                  <c:v>93.76618</c:v>
                </c:pt>
                <c:pt idx="561">
                  <c:v>93.75907</c:v>
                </c:pt>
                <c:pt idx="562">
                  <c:v>93.75203999999998</c:v>
                </c:pt>
                <c:pt idx="563">
                  <c:v>93.74593</c:v>
                </c:pt>
                <c:pt idx="564">
                  <c:v>93.73882</c:v>
                </c:pt>
                <c:pt idx="565">
                  <c:v>93.73277999999995</c:v>
                </c:pt>
                <c:pt idx="566">
                  <c:v>93.72767</c:v>
                </c:pt>
                <c:pt idx="567">
                  <c:v>93.72063</c:v>
                </c:pt>
                <c:pt idx="568">
                  <c:v>93.71353</c:v>
                </c:pt>
                <c:pt idx="569">
                  <c:v>93.70847999999998</c:v>
                </c:pt>
                <c:pt idx="570">
                  <c:v>93.70236999999997</c:v>
                </c:pt>
                <c:pt idx="571">
                  <c:v>93.69733</c:v>
                </c:pt>
                <c:pt idx="572">
                  <c:v>93.69022</c:v>
                </c:pt>
                <c:pt idx="573">
                  <c:v>93.68411</c:v>
                </c:pt>
                <c:pt idx="574">
                  <c:v>93.67806999999995</c:v>
                </c:pt>
                <c:pt idx="575">
                  <c:v>93.67196</c:v>
                </c:pt>
                <c:pt idx="576">
                  <c:v>93.66592999999997</c:v>
                </c:pt>
                <c:pt idx="577">
                  <c:v>93.65881999999995</c:v>
                </c:pt>
                <c:pt idx="578">
                  <c:v>93.65270999999898</c:v>
                </c:pt>
                <c:pt idx="579">
                  <c:v>93.64667</c:v>
                </c:pt>
                <c:pt idx="580">
                  <c:v>93.63957</c:v>
                </c:pt>
                <c:pt idx="581">
                  <c:v>93.63452</c:v>
                </c:pt>
                <c:pt idx="582">
                  <c:v>93.62840999999958</c:v>
                </c:pt>
                <c:pt idx="583">
                  <c:v>93.62336999999998</c:v>
                </c:pt>
                <c:pt idx="584">
                  <c:v>93.61726</c:v>
                </c:pt>
                <c:pt idx="585">
                  <c:v>93.61122</c:v>
                </c:pt>
                <c:pt idx="586">
                  <c:v>93.60510999999998</c:v>
                </c:pt>
                <c:pt idx="587">
                  <c:v>93.59907000000001</c:v>
                </c:pt>
                <c:pt idx="588">
                  <c:v>93.59296</c:v>
                </c:pt>
                <c:pt idx="589">
                  <c:v>93.58692</c:v>
                </c:pt>
                <c:pt idx="590">
                  <c:v>93.57980999999998</c:v>
                </c:pt>
                <c:pt idx="591">
                  <c:v>93.57369999999997</c:v>
                </c:pt>
                <c:pt idx="592">
                  <c:v>93.56866</c:v>
                </c:pt>
                <c:pt idx="593">
                  <c:v>93.56361</c:v>
                </c:pt>
                <c:pt idx="594">
                  <c:v>93.55651</c:v>
                </c:pt>
                <c:pt idx="595">
                  <c:v>93.55039999999998</c:v>
                </c:pt>
                <c:pt idx="596">
                  <c:v>93.54436</c:v>
                </c:pt>
                <c:pt idx="597">
                  <c:v>93.53931</c:v>
                </c:pt>
                <c:pt idx="598">
                  <c:v>93.5332</c:v>
                </c:pt>
                <c:pt idx="599">
                  <c:v>93.52716</c:v>
                </c:pt>
                <c:pt idx="600">
                  <c:v>93.52204999999998</c:v>
                </c:pt>
                <c:pt idx="601">
                  <c:v>93.51494</c:v>
                </c:pt>
                <c:pt idx="602">
                  <c:v>93.50889999999998</c:v>
                </c:pt>
                <c:pt idx="603">
                  <c:v>93.50485</c:v>
                </c:pt>
                <c:pt idx="604">
                  <c:v>93.49775</c:v>
                </c:pt>
                <c:pt idx="605">
                  <c:v>93.49171</c:v>
                </c:pt>
                <c:pt idx="606">
                  <c:v>93.48659</c:v>
                </c:pt>
                <c:pt idx="607">
                  <c:v>93.48055</c:v>
                </c:pt>
                <c:pt idx="608">
                  <c:v>93.47543999999998</c:v>
                </c:pt>
                <c:pt idx="609">
                  <c:v>93.4694</c:v>
                </c:pt>
                <c:pt idx="610">
                  <c:v>93.46436</c:v>
                </c:pt>
                <c:pt idx="611">
                  <c:v>93.45824</c:v>
                </c:pt>
                <c:pt idx="612">
                  <c:v>93.45221</c:v>
                </c:pt>
                <c:pt idx="613">
                  <c:v>93.4451</c:v>
                </c:pt>
                <c:pt idx="614">
                  <c:v>93.43899</c:v>
                </c:pt>
                <c:pt idx="615">
                  <c:v>93.43395</c:v>
                </c:pt>
                <c:pt idx="616">
                  <c:v>93.42784</c:v>
                </c:pt>
                <c:pt idx="617">
                  <c:v>93.42278999999998</c:v>
                </c:pt>
                <c:pt idx="618">
                  <c:v>93.41569</c:v>
                </c:pt>
                <c:pt idx="619">
                  <c:v>93.41164</c:v>
                </c:pt>
                <c:pt idx="620">
                  <c:v>93.40659</c:v>
                </c:pt>
                <c:pt idx="621">
                  <c:v>93.39848999999998</c:v>
                </c:pt>
                <c:pt idx="622">
                  <c:v>93.39345</c:v>
                </c:pt>
                <c:pt idx="623">
                  <c:v>93.38733999999998</c:v>
                </c:pt>
                <c:pt idx="624">
                  <c:v>93.38229</c:v>
                </c:pt>
                <c:pt idx="625">
                  <c:v>93.37725</c:v>
                </c:pt>
                <c:pt idx="626">
                  <c:v>93.37212999999998</c:v>
                </c:pt>
                <c:pt idx="627">
                  <c:v>93.36503</c:v>
                </c:pt>
                <c:pt idx="628">
                  <c:v>93.35997999999998</c:v>
                </c:pt>
                <c:pt idx="629">
                  <c:v>93.35494</c:v>
                </c:pt>
                <c:pt idx="630">
                  <c:v>93.34883</c:v>
                </c:pt>
                <c:pt idx="631">
                  <c:v>93.34179</c:v>
                </c:pt>
                <c:pt idx="632">
                  <c:v>93.33567999999998</c:v>
                </c:pt>
                <c:pt idx="633">
                  <c:v>93.33163</c:v>
                </c:pt>
                <c:pt idx="634">
                  <c:v>93.32551999999998</c:v>
                </c:pt>
                <c:pt idx="635">
                  <c:v>93.31948</c:v>
                </c:pt>
                <c:pt idx="636">
                  <c:v>93.31444</c:v>
                </c:pt>
                <c:pt idx="637">
                  <c:v>93.30832999999998</c:v>
                </c:pt>
                <c:pt idx="638">
                  <c:v>93.30328</c:v>
                </c:pt>
                <c:pt idx="639">
                  <c:v>93.29717</c:v>
                </c:pt>
                <c:pt idx="640">
                  <c:v>93.29213</c:v>
                </c:pt>
                <c:pt idx="641">
                  <c:v>93.28602</c:v>
                </c:pt>
                <c:pt idx="642">
                  <c:v>93.27997999999998</c:v>
                </c:pt>
                <c:pt idx="643">
                  <c:v>93.27386999999997</c:v>
                </c:pt>
                <c:pt idx="644">
                  <c:v>93.26882</c:v>
                </c:pt>
                <c:pt idx="645">
                  <c:v>93.26271</c:v>
                </c:pt>
                <c:pt idx="646">
                  <c:v>93.25767</c:v>
                </c:pt>
                <c:pt idx="647">
                  <c:v>93.25262</c:v>
                </c:pt>
                <c:pt idx="648">
                  <c:v>93.24651</c:v>
                </c:pt>
                <c:pt idx="649">
                  <c:v>93.24048</c:v>
                </c:pt>
                <c:pt idx="650">
                  <c:v>93.23436</c:v>
                </c:pt>
                <c:pt idx="651">
                  <c:v>93.22932</c:v>
                </c:pt>
                <c:pt idx="652">
                  <c:v>93.22321</c:v>
                </c:pt>
                <c:pt idx="653">
                  <c:v>93.21817</c:v>
                </c:pt>
                <c:pt idx="654">
                  <c:v>93.21312</c:v>
                </c:pt>
                <c:pt idx="655">
                  <c:v>93.20907</c:v>
                </c:pt>
                <c:pt idx="656">
                  <c:v>93.20296</c:v>
                </c:pt>
                <c:pt idx="657">
                  <c:v>93.19592999999997</c:v>
                </c:pt>
                <c:pt idx="658">
                  <c:v>93.19081</c:v>
                </c:pt>
                <c:pt idx="659">
                  <c:v>93.18476999999998</c:v>
                </c:pt>
                <c:pt idx="660">
                  <c:v>93.17966</c:v>
                </c:pt>
                <c:pt idx="661">
                  <c:v>93.17461</c:v>
                </c:pt>
                <c:pt idx="662">
                  <c:v>93.16856999999997</c:v>
                </c:pt>
                <c:pt idx="663">
                  <c:v>93.16245999999998</c:v>
                </c:pt>
                <c:pt idx="664">
                  <c:v>93.15641999999998</c:v>
                </c:pt>
                <c:pt idx="665">
                  <c:v>93.15130999999998</c:v>
                </c:pt>
                <c:pt idx="666">
                  <c:v>93.14726</c:v>
                </c:pt>
                <c:pt idx="667">
                  <c:v>93.14122</c:v>
                </c:pt>
                <c:pt idx="668">
                  <c:v>93.13510999999998</c:v>
                </c:pt>
                <c:pt idx="669">
                  <c:v>93.12906999999998</c:v>
                </c:pt>
                <c:pt idx="670">
                  <c:v>93.12394999999998</c:v>
                </c:pt>
                <c:pt idx="671">
                  <c:v>93.11891</c:v>
                </c:pt>
                <c:pt idx="672">
                  <c:v>93.11386</c:v>
                </c:pt>
                <c:pt idx="673">
                  <c:v>93.10675999999998</c:v>
                </c:pt>
                <c:pt idx="674">
                  <c:v>93.10065</c:v>
                </c:pt>
                <c:pt idx="675">
                  <c:v>93.0956</c:v>
                </c:pt>
                <c:pt idx="676">
                  <c:v>93.08956</c:v>
                </c:pt>
                <c:pt idx="677">
                  <c:v>93.08445</c:v>
                </c:pt>
                <c:pt idx="678">
                  <c:v>93.07939999999998</c:v>
                </c:pt>
                <c:pt idx="679">
                  <c:v>93.07229999999998</c:v>
                </c:pt>
                <c:pt idx="680">
                  <c:v>93.06825</c:v>
                </c:pt>
                <c:pt idx="681">
                  <c:v>93.06221</c:v>
                </c:pt>
                <c:pt idx="682">
                  <c:v>93.0561</c:v>
                </c:pt>
                <c:pt idx="683">
                  <c:v>93.05006</c:v>
                </c:pt>
                <c:pt idx="684">
                  <c:v>93.04494</c:v>
                </c:pt>
                <c:pt idx="685">
                  <c:v>93.03891</c:v>
                </c:pt>
                <c:pt idx="686">
                  <c:v>93.03278999999995</c:v>
                </c:pt>
                <c:pt idx="687">
                  <c:v>93.02774999999998</c:v>
                </c:pt>
                <c:pt idx="688">
                  <c:v>93.02065</c:v>
                </c:pt>
                <c:pt idx="689">
                  <c:v>93.0156</c:v>
                </c:pt>
                <c:pt idx="690">
                  <c:v>93.01056</c:v>
                </c:pt>
                <c:pt idx="691">
                  <c:v>93.00543999999998</c:v>
                </c:pt>
                <c:pt idx="692">
                  <c:v>92.99834</c:v>
                </c:pt>
                <c:pt idx="693">
                  <c:v>92.99329</c:v>
                </c:pt>
                <c:pt idx="694">
                  <c:v>92.98725</c:v>
                </c:pt>
                <c:pt idx="695">
                  <c:v>92.98114</c:v>
                </c:pt>
                <c:pt idx="696">
                  <c:v>92.9761</c:v>
                </c:pt>
                <c:pt idx="697">
                  <c:v>92.97097999999998</c:v>
                </c:pt>
                <c:pt idx="698">
                  <c:v>92.96395</c:v>
                </c:pt>
                <c:pt idx="699">
                  <c:v>92.95784</c:v>
                </c:pt>
                <c:pt idx="700">
                  <c:v>92.95278999999998</c:v>
                </c:pt>
                <c:pt idx="701">
                  <c:v>92.94775</c:v>
                </c:pt>
                <c:pt idx="702">
                  <c:v>92.94164</c:v>
                </c:pt>
                <c:pt idx="703">
                  <c:v>92.93553</c:v>
                </c:pt>
                <c:pt idx="704">
                  <c:v>92.93048</c:v>
                </c:pt>
                <c:pt idx="705">
                  <c:v>92.92337999999998</c:v>
                </c:pt>
                <c:pt idx="706">
                  <c:v>92.91833</c:v>
                </c:pt>
                <c:pt idx="707">
                  <c:v>92.91329</c:v>
                </c:pt>
                <c:pt idx="708">
                  <c:v>92.90618</c:v>
                </c:pt>
                <c:pt idx="709">
                  <c:v>92.90114</c:v>
                </c:pt>
                <c:pt idx="710">
                  <c:v>92.89602</c:v>
                </c:pt>
                <c:pt idx="711">
                  <c:v>92.88997999999998</c:v>
                </c:pt>
                <c:pt idx="712">
                  <c:v>92.88494</c:v>
                </c:pt>
                <c:pt idx="713">
                  <c:v>92.87981999999998</c:v>
                </c:pt>
                <c:pt idx="714">
                  <c:v>92.87377999999858</c:v>
                </c:pt>
                <c:pt idx="715">
                  <c:v>92.86767</c:v>
                </c:pt>
                <c:pt idx="716">
                  <c:v>92.86263</c:v>
                </c:pt>
                <c:pt idx="717">
                  <c:v>92.85652</c:v>
                </c:pt>
                <c:pt idx="718">
                  <c:v>92.85147</c:v>
                </c:pt>
                <c:pt idx="719">
                  <c:v>92.84543</c:v>
                </c:pt>
                <c:pt idx="720">
                  <c:v>92.84032</c:v>
                </c:pt>
                <c:pt idx="721">
                  <c:v>92.83527</c:v>
                </c:pt>
                <c:pt idx="722">
                  <c:v>92.82924</c:v>
                </c:pt>
                <c:pt idx="723">
                  <c:v>92.82212999999997</c:v>
                </c:pt>
                <c:pt idx="724">
                  <c:v>92.81701</c:v>
                </c:pt>
                <c:pt idx="725">
                  <c:v>92.81098</c:v>
                </c:pt>
                <c:pt idx="726">
                  <c:v>92.80693</c:v>
                </c:pt>
                <c:pt idx="727">
                  <c:v>92.80082</c:v>
                </c:pt>
                <c:pt idx="728">
                  <c:v>92.79478</c:v>
                </c:pt>
                <c:pt idx="729">
                  <c:v>92.78966</c:v>
                </c:pt>
                <c:pt idx="730">
                  <c:v>92.78561</c:v>
                </c:pt>
                <c:pt idx="731">
                  <c:v>92.78057</c:v>
                </c:pt>
                <c:pt idx="732">
                  <c:v>92.77552</c:v>
                </c:pt>
                <c:pt idx="733">
                  <c:v>92.76941</c:v>
                </c:pt>
                <c:pt idx="734">
                  <c:v>92.76337</c:v>
                </c:pt>
                <c:pt idx="735">
                  <c:v>92.75832999999998</c:v>
                </c:pt>
                <c:pt idx="736">
                  <c:v>92.75222</c:v>
                </c:pt>
                <c:pt idx="737">
                  <c:v>92.74817</c:v>
                </c:pt>
                <c:pt idx="738">
                  <c:v>92.74206</c:v>
                </c:pt>
                <c:pt idx="739">
                  <c:v>92.73701</c:v>
                </c:pt>
                <c:pt idx="740">
                  <c:v>92.73097000000001</c:v>
                </c:pt>
                <c:pt idx="741">
                  <c:v>92.72486</c:v>
                </c:pt>
                <c:pt idx="742">
                  <c:v>92.72081</c:v>
                </c:pt>
                <c:pt idx="743">
                  <c:v>92.71577</c:v>
                </c:pt>
                <c:pt idx="744">
                  <c:v>92.70966</c:v>
                </c:pt>
                <c:pt idx="745">
                  <c:v>92.70461</c:v>
                </c:pt>
                <c:pt idx="746">
                  <c:v>92.69957</c:v>
                </c:pt>
                <c:pt idx="747">
                  <c:v>92.69346</c:v>
                </c:pt>
                <c:pt idx="748">
                  <c:v>92.68840999999995</c:v>
                </c:pt>
                <c:pt idx="749">
                  <c:v>92.68229999999998</c:v>
                </c:pt>
                <c:pt idx="750">
                  <c:v>92.67726</c:v>
                </c:pt>
                <c:pt idx="751">
                  <c:v>92.67220999999998</c:v>
                </c:pt>
                <c:pt idx="752">
                  <c:v>92.66816</c:v>
                </c:pt>
                <c:pt idx="753">
                  <c:v>92.66204999999998</c:v>
                </c:pt>
                <c:pt idx="754">
                  <c:v>92.65701</c:v>
                </c:pt>
                <c:pt idx="755">
                  <c:v>92.65196</c:v>
                </c:pt>
                <c:pt idx="756">
                  <c:v>92.64584999999998</c:v>
                </c:pt>
                <c:pt idx="757">
                  <c:v>92.6418</c:v>
                </c:pt>
                <c:pt idx="758">
                  <c:v>92.63774999999998</c:v>
                </c:pt>
                <c:pt idx="759">
                  <c:v>92.63270999999965</c:v>
                </c:pt>
                <c:pt idx="760">
                  <c:v>92.62659999999998</c:v>
                </c:pt>
                <c:pt idx="761">
                  <c:v>92.62155</c:v>
                </c:pt>
                <c:pt idx="762">
                  <c:v>92.61651</c:v>
                </c:pt>
                <c:pt idx="763">
                  <c:v>92.61246</c:v>
                </c:pt>
                <c:pt idx="764">
                  <c:v>92.60733999999998</c:v>
                </c:pt>
                <c:pt idx="765">
                  <c:v>92.60131</c:v>
                </c:pt>
                <c:pt idx="766">
                  <c:v>92.5952</c:v>
                </c:pt>
                <c:pt idx="767">
                  <c:v>92.59015</c:v>
                </c:pt>
                <c:pt idx="768">
                  <c:v>92.5861</c:v>
                </c:pt>
                <c:pt idx="769">
                  <c:v>92.58204999999998</c:v>
                </c:pt>
                <c:pt idx="770">
                  <c:v>92.57701</c:v>
                </c:pt>
                <c:pt idx="771">
                  <c:v>92.57089999999998</c:v>
                </c:pt>
                <c:pt idx="772">
                  <c:v>92.56585</c:v>
                </c:pt>
                <c:pt idx="773">
                  <c:v>92.56073999999998</c:v>
                </c:pt>
                <c:pt idx="774">
                  <c:v>92.5547</c:v>
                </c:pt>
                <c:pt idx="775">
                  <c:v>92.55065</c:v>
                </c:pt>
                <c:pt idx="776">
                  <c:v>92.5466</c:v>
                </c:pt>
                <c:pt idx="777">
                  <c:v>92.54155</c:v>
                </c:pt>
                <c:pt idx="778">
                  <c:v>92.53543999999998</c:v>
                </c:pt>
                <c:pt idx="779">
                  <c:v>92.53139</c:v>
                </c:pt>
                <c:pt idx="780">
                  <c:v>92.52634999999998</c:v>
                </c:pt>
                <c:pt idx="781">
                  <c:v>92.52024</c:v>
                </c:pt>
                <c:pt idx="782">
                  <c:v>92.51519</c:v>
                </c:pt>
                <c:pt idx="783">
                  <c:v>92.51114</c:v>
                </c:pt>
                <c:pt idx="784">
                  <c:v>92.50709</c:v>
                </c:pt>
                <c:pt idx="785">
                  <c:v>92.50198</c:v>
                </c:pt>
                <c:pt idx="786">
                  <c:v>92.49693</c:v>
                </c:pt>
                <c:pt idx="787">
                  <c:v>92.49189</c:v>
                </c:pt>
                <c:pt idx="788">
                  <c:v>92.48784</c:v>
                </c:pt>
                <c:pt idx="789">
                  <c:v>92.48278999999998</c:v>
                </c:pt>
                <c:pt idx="790">
                  <c:v>92.47768</c:v>
                </c:pt>
                <c:pt idx="791">
                  <c:v>92.47363</c:v>
                </c:pt>
                <c:pt idx="792">
                  <c:v>92.46858</c:v>
                </c:pt>
                <c:pt idx="793">
                  <c:v>92.46354</c:v>
                </c:pt>
                <c:pt idx="794">
                  <c:v>92.45842</c:v>
                </c:pt>
                <c:pt idx="795">
                  <c:v>92.45437</c:v>
                </c:pt>
                <c:pt idx="796">
                  <c:v>92.44833000000001</c:v>
                </c:pt>
                <c:pt idx="797">
                  <c:v>92.44329</c:v>
                </c:pt>
                <c:pt idx="798">
                  <c:v>92.43817</c:v>
                </c:pt>
                <c:pt idx="799">
                  <c:v>92.43412</c:v>
                </c:pt>
                <c:pt idx="800">
                  <c:v>92.42908</c:v>
                </c:pt>
                <c:pt idx="801">
                  <c:v>92.42503</c:v>
                </c:pt>
                <c:pt idx="802">
                  <c:v>92.42098</c:v>
                </c:pt>
                <c:pt idx="803">
                  <c:v>92.41593</c:v>
                </c:pt>
                <c:pt idx="804">
                  <c:v>92.41082</c:v>
                </c:pt>
                <c:pt idx="805">
                  <c:v>92.40576999999997</c:v>
                </c:pt>
                <c:pt idx="806">
                  <c:v>92.40073</c:v>
                </c:pt>
                <c:pt idx="807">
                  <c:v>92.39668</c:v>
                </c:pt>
                <c:pt idx="808">
                  <c:v>92.39057</c:v>
                </c:pt>
                <c:pt idx="809">
                  <c:v>92.38552999999997</c:v>
                </c:pt>
                <c:pt idx="810">
                  <c:v>92.38147999999998</c:v>
                </c:pt>
                <c:pt idx="811">
                  <c:v>92.37742999999997</c:v>
                </c:pt>
                <c:pt idx="812">
                  <c:v>92.37237999999816</c:v>
                </c:pt>
                <c:pt idx="813">
                  <c:v>92.36832999999998</c:v>
                </c:pt>
                <c:pt idx="814">
                  <c:v>92.36322</c:v>
                </c:pt>
                <c:pt idx="815">
                  <c:v>92.35816999999998</c:v>
                </c:pt>
                <c:pt idx="816">
                  <c:v>92.35313</c:v>
                </c:pt>
                <c:pt idx="817">
                  <c:v>92.34908</c:v>
                </c:pt>
                <c:pt idx="818">
                  <c:v>92.34503</c:v>
                </c:pt>
                <c:pt idx="819">
                  <c:v>92.33991</c:v>
                </c:pt>
                <c:pt idx="820">
                  <c:v>92.33487</c:v>
                </c:pt>
                <c:pt idx="821">
                  <c:v>92.33181</c:v>
                </c:pt>
                <c:pt idx="822">
                  <c:v>92.32676999999998</c:v>
                </c:pt>
                <c:pt idx="823">
                  <c:v>92.32271999999985</c:v>
                </c:pt>
                <c:pt idx="824">
                  <c:v>92.31767</c:v>
                </c:pt>
                <c:pt idx="825">
                  <c:v>92.31256</c:v>
                </c:pt>
                <c:pt idx="826">
                  <c:v>92.30957</c:v>
                </c:pt>
                <c:pt idx="827">
                  <c:v>92.30552</c:v>
                </c:pt>
                <c:pt idx="828">
                  <c:v>92.30041</c:v>
                </c:pt>
                <c:pt idx="829">
                  <c:v>92.29636</c:v>
                </c:pt>
                <c:pt idx="830">
                  <c:v>92.29231</c:v>
                </c:pt>
                <c:pt idx="831">
                  <c:v>92.28726</c:v>
                </c:pt>
                <c:pt idx="832">
                  <c:v>92.28321</c:v>
                </c:pt>
                <c:pt idx="833">
                  <c:v>92.27916</c:v>
                </c:pt>
                <c:pt idx="834">
                  <c:v>92.27412</c:v>
                </c:pt>
                <c:pt idx="835">
                  <c:v>92.27006999999997</c:v>
                </c:pt>
                <c:pt idx="836">
                  <c:v>92.26602</c:v>
                </c:pt>
                <c:pt idx="837">
                  <c:v>92.2609</c:v>
                </c:pt>
                <c:pt idx="838">
                  <c:v>92.25486</c:v>
                </c:pt>
                <c:pt idx="839">
                  <c:v>92.24975</c:v>
                </c:pt>
                <c:pt idx="840">
                  <c:v>92.24676</c:v>
                </c:pt>
                <c:pt idx="841">
                  <c:v>92.24271</c:v>
                </c:pt>
                <c:pt idx="842">
                  <c:v>92.23866</c:v>
                </c:pt>
                <c:pt idx="843">
                  <c:v>92.23255</c:v>
                </c:pt>
                <c:pt idx="844">
                  <c:v>92.22849999999998</c:v>
                </c:pt>
                <c:pt idx="845">
                  <c:v>92.22445</c:v>
                </c:pt>
                <c:pt idx="846">
                  <c:v>92.2204</c:v>
                </c:pt>
                <c:pt idx="847">
                  <c:v>92.21735</c:v>
                </c:pt>
                <c:pt idx="848">
                  <c:v>92.2133</c:v>
                </c:pt>
                <c:pt idx="849">
                  <c:v>92.20925</c:v>
                </c:pt>
                <c:pt idx="850">
                  <c:v>92.20321</c:v>
                </c:pt>
                <c:pt idx="851">
                  <c:v>92.19808999999998</c:v>
                </c:pt>
                <c:pt idx="852">
                  <c:v>92.19404</c:v>
                </c:pt>
                <c:pt idx="853">
                  <c:v>92.18899999999998</c:v>
                </c:pt>
                <c:pt idx="854">
                  <c:v>92.18495</c:v>
                </c:pt>
                <c:pt idx="855">
                  <c:v>92.17990999999998</c:v>
                </c:pt>
                <c:pt idx="856">
                  <c:v>92.17684999999948</c:v>
                </c:pt>
                <c:pt idx="857">
                  <c:v>92.17180999999998</c:v>
                </c:pt>
                <c:pt idx="858">
                  <c:v>92.16776</c:v>
                </c:pt>
                <c:pt idx="859">
                  <c:v>92.16370999999998</c:v>
                </c:pt>
                <c:pt idx="860">
                  <c:v>92.15966</c:v>
                </c:pt>
                <c:pt idx="861">
                  <c:v>92.15560999999998</c:v>
                </c:pt>
                <c:pt idx="862">
                  <c:v>92.15048999999995</c:v>
                </c:pt>
                <c:pt idx="863">
                  <c:v>92.14644</c:v>
                </c:pt>
                <c:pt idx="864">
                  <c:v>92.14346</c:v>
                </c:pt>
                <c:pt idx="865">
                  <c:v>92.13933999999985</c:v>
                </c:pt>
                <c:pt idx="866">
                  <c:v>92.1333</c:v>
                </c:pt>
                <c:pt idx="867">
                  <c:v>92.12925</c:v>
                </c:pt>
                <c:pt idx="868">
                  <c:v>92.12519999999998</c:v>
                </c:pt>
                <c:pt idx="869">
                  <c:v>92.12115</c:v>
                </c:pt>
                <c:pt idx="870">
                  <c:v>92.1171</c:v>
                </c:pt>
                <c:pt idx="871">
                  <c:v>92.11204999999998</c:v>
                </c:pt>
                <c:pt idx="872">
                  <c:v>92.10899999999998</c:v>
                </c:pt>
                <c:pt idx="873">
                  <c:v>92.10387999999975</c:v>
                </c:pt>
                <c:pt idx="874">
                  <c:v>92.09883999999998</c:v>
                </c:pt>
                <c:pt idx="875">
                  <c:v>92.09479</c:v>
                </c:pt>
                <c:pt idx="876">
                  <c:v>92.09073999999998</c:v>
                </c:pt>
                <c:pt idx="877">
                  <c:v>92.08768</c:v>
                </c:pt>
                <c:pt idx="878">
                  <c:v>92.08363000000001</c:v>
                </c:pt>
                <c:pt idx="879">
                  <c:v>92.07957999999998</c:v>
                </c:pt>
                <c:pt idx="880">
                  <c:v>92.07552999999998</c:v>
                </c:pt>
                <c:pt idx="881">
                  <c:v>92.07147999999998</c:v>
                </c:pt>
                <c:pt idx="882">
                  <c:v>92.06644</c:v>
                </c:pt>
                <c:pt idx="883">
                  <c:v>92.06337999999998</c:v>
                </c:pt>
                <c:pt idx="884">
                  <c:v>92.05733999999998</c:v>
                </c:pt>
                <c:pt idx="885">
                  <c:v>92.05223</c:v>
                </c:pt>
                <c:pt idx="886">
                  <c:v>92.04718</c:v>
                </c:pt>
                <c:pt idx="887">
                  <c:v>92.04413</c:v>
                </c:pt>
                <c:pt idx="888">
                  <c:v>92.04008</c:v>
                </c:pt>
                <c:pt idx="889">
                  <c:v>92.03603</c:v>
                </c:pt>
                <c:pt idx="890">
                  <c:v>92.03304</c:v>
                </c:pt>
                <c:pt idx="891">
                  <c:v>92.02892</c:v>
                </c:pt>
                <c:pt idx="892">
                  <c:v>92.02487</c:v>
                </c:pt>
                <c:pt idx="893">
                  <c:v>92.01883</c:v>
                </c:pt>
                <c:pt idx="894">
                  <c:v>92.01478</c:v>
                </c:pt>
                <c:pt idx="895">
                  <c:v>92.01073</c:v>
                </c:pt>
                <c:pt idx="896">
                  <c:v>92.00668</c:v>
                </c:pt>
                <c:pt idx="897">
                  <c:v>92.00263</c:v>
                </c:pt>
                <c:pt idx="898">
                  <c:v>91.99858</c:v>
                </c:pt>
                <c:pt idx="899">
                  <c:v>91.99347</c:v>
                </c:pt>
                <c:pt idx="900">
                  <c:v>91.99048</c:v>
                </c:pt>
                <c:pt idx="901">
                  <c:v>91.98536999999997</c:v>
                </c:pt>
                <c:pt idx="902">
                  <c:v>91.98132</c:v>
                </c:pt>
                <c:pt idx="903">
                  <c:v>91.97727</c:v>
                </c:pt>
                <c:pt idx="904">
                  <c:v>91.97222</c:v>
                </c:pt>
                <c:pt idx="905">
                  <c:v>91.96917</c:v>
                </c:pt>
                <c:pt idx="906">
                  <c:v>91.96512</c:v>
                </c:pt>
                <c:pt idx="907">
                  <c:v>91.96107</c:v>
                </c:pt>
                <c:pt idx="908">
                  <c:v>91.95603000000001</c:v>
                </c:pt>
                <c:pt idx="909">
                  <c:v>91.95198</c:v>
                </c:pt>
                <c:pt idx="910">
                  <c:v>91.94793000000002</c:v>
                </c:pt>
                <c:pt idx="911">
                  <c:v>91.94388</c:v>
                </c:pt>
                <c:pt idx="912">
                  <c:v>91.93983</c:v>
                </c:pt>
                <c:pt idx="913">
                  <c:v>91.93677</c:v>
                </c:pt>
                <c:pt idx="914">
                  <c:v>91.93372</c:v>
                </c:pt>
                <c:pt idx="915">
                  <c:v>91.92867</c:v>
                </c:pt>
                <c:pt idx="916">
                  <c:v>91.92363</c:v>
                </c:pt>
                <c:pt idx="917">
                  <c:v>91.91958</c:v>
                </c:pt>
                <c:pt idx="918">
                  <c:v>91.91446</c:v>
                </c:pt>
                <c:pt idx="919">
                  <c:v>91.91041</c:v>
                </c:pt>
                <c:pt idx="920">
                  <c:v>91.90743</c:v>
                </c:pt>
                <c:pt idx="921">
                  <c:v>91.90338</c:v>
                </c:pt>
                <c:pt idx="922">
                  <c:v>91.89826</c:v>
                </c:pt>
                <c:pt idx="923">
                  <c:v>91.89528</c:v>
                </c:pt>
                <c:pt idx="924">
                  <c:v>91.89123</c:v>
                </c:pt>
                <c:pt idx="925">
                  <c:v>91.88611</c:v>
                </c:pt>
                <c:pt idx="926">
                  <c:v>91.88306</c:v>
                </c:pt>
                <c:pt idx="927">
                  <c:v>91.87900999999998</c:v>
                </c:pt>
                <c:pt idx="928">
                  <c:v>91.87296999999998</c:v>
                </c:pt>
                <c:pt idx="929">
                  <c:v>91.86892</c:v>
                </c:pt>
                <c:pt idx="930">
                  <c:v>91.86487</c:v>
                </c:pt>
                <c:pt idx="931">
                  <c:v>91.86280999999998</c:v>
                </c:pt>
                <c:pt idx="932">
                  <c:v>91.85875999999975</c:v>
                </c:pt>
                <c:pt idx="933">
                  <c:v>91.85271999999995</c:v>
                </c:pt>
                <c:pt idx="934">
                  <c:v>91.84867000000001</c:v>
                </c:pt>
                <c:pt idx="935">
                  <c:v>91.84462</c:v>
                </c:pt>
                <c:pt idx="936">
                  <c:v>91.84057</c:v>
                </c:pt>
                <c:pt idx="937">
                  <c:v>91.83652</c:v>
                </c:pt>
                <c:pt idx="938">
                  <c:v>91.83246999999998</c:v>
                </c:pt>
                <c:pt idx="939">
                  <c:v>91.82841999999998</c:v>
                </c:pt>
                <c:pt idx="940">
                  <c:v>91.82329999999997</c:v>
                </c:pt>
                <c:pt idx="941">
                  <c:v>91.82031999999998</c:v>
                </c:pt>
                <c:pt idx="942">
                  <c:v>91.81627</c:v>
                </c:pt>
                <c:pt idx="943">
                  <c:v>91.81215</c:v>
                </c:pt>
                <c:pt idx="944">
                  <c:v>91.8071</c:v>
                </c:pt>
                <c:pt idx="945">
                  <c:v>91.80305</c:v>
                </c:pt>
                <c:pt idx="946">
                  <c:v>91.799</c:v>
                </c:pt>
                <c:pt idx="947">
                  <c:v>91.79595</c:v>
                </c:pt>
                <c:pt idx="948">
                  <c:v>91.7919</c:v>
                </c:pt>
                <c:pt idx="949">
                  <c:v>91.78685</c:v>
                </c:pt>
                <c:pt idx="950">
                  <c:v>91.7838</c:v>
                </c:pt>
                <c:pt idx="951">
                  <c:v>91.77874999999958</c:v>
                </c:pt>
                <c:pt idx="952">
                  <c:v>91.77569999999998</c:v>
                </c:pt>
                <c:pt idx="953">
                  <c:v>91.77065</c:v>
                </c:pt>
                <c:pt idx="954">
                  <c:v>91.76661</c:v>
                </c:pt>
                <c:pt idx="955">
                  <c:v>91.76454</c:v>
                </c:pt>
                <c:pt idx="956">
                  <c:v>91.75851</c:v>
                </c:pt>
                <c:pt idx="957">
                  <c:v>91.75446</c:v>
                </c:pt>
                <c:pt idx="958">
                  <c:v>91.75041</c:v>
                </c:pt>
                <c:pt idx="959">
                  <c:v>91.74636</c:v>
                </c:pt>
                <c:pt idx="960">
                  <c:v>91.74124</c:v>
                </c:pt>
                <c:pt idx="961">
                  <c:v>91.73826</c:v>
                </c:pt>
                <c:pt idx="962">
                  <c:v>91.7352</c:v>
                </c:pt>
                <c:pt idx="963">
                  <c:v>91.73115</c:v>
                </c:pt>
                <c:pt idx="964">
                  <c:v>91.7281</c:v>
                </c:pt>
                <c:pt idx="965">
                  <c:v>91.72305</c:v>
                </c:pt>
                <c:pt idx="966">
                  <c:v>91.72</c:v>
                </c:pt>
                <c:pt idx="967">
                  <c:v>91.71595</c:v>
                </c:pt>
                <c:pt idx="968">
                  <c:v>91.7119</c:v>
                </c:pt>
                <c:pt idx="969">
                  <c:v>91.70685</c:v>
                </c:pt>
                <c:pt idx="970">
                  <c:v>91.70174</c:v>
                </c:pt>
                <c:pt idx="971">
                  <c:v>91.69874999999985</c:v>
                </c:pt>
                <c:pt idx="972">
                  <c:v>91.6947</c:v>
                </c:pt>
                <c:pt idx="973">
                  <c:v>91.69065</c:v>
                </c:pt>
                <c:pt idx="974">
                  <c:v>91.6876</c:v>
                </c:pt>
                <c:pt idx="975">
                  <c:v>91.68354999999998</c:v>
                </c:pt>
                <c:pt idx="976">
                  <c:v>91.67849999999908</c:v>
                </c:pt>
                <c:pt idx="977">
                  <c:v>91.67544999999878</c:v>
                </c:pt>
                <c:pt idx="978">
                  <c:v>91.66735</c:v>
                </c:pt>
                <c:pt idx="979">
                  <c:v>91.66223</c:v>
                </c:pt>
                <c:pt idx="980">
                  <c:v>91.66024</c:v>
                </c:pt>
                <c:pt idx="981">
                  <c:v>91.65719</c:v>
                </c:pt>
                <c:pt idx="982">
                  <c:v>91.65313999999998</c:v>
                </c:pt>
                <c:pt idx="983">
                  <c:v>91.65007999999958</c:v>
                </c:pt>
                <c:pt idx="984">
                  <c:v>91.64808999999998</c:v>
                </c:pt>
                <c:pt idx="985">
                  <c:v>91.64404</c:v>
                </c:pt>
                <c:pt idx="986">
                  <c:v>91.63998999999998</c:v>
                </c:pt>
                <c:pt idx="987">
                  <c:v>91.63495</c:v>
                </c:pt>
                <c:pt idx="988">
                  <c:v>91.63189</c:v>
                </c:pt>
                <c:pt idx="989">
                  <c:v>91.62982999999998</c:v>
                </c:pt>
                <c:pt idx="990">
                  <c:v>91.63189</c:v>
                </c:pt>
                <c:pt idx="991">
                  <c:v>91.62378999999908</c:v>
                </c:pt>
                <c:pt idx="992">
                  <c:v>91.61768</c:v>
                </c:pt>
                <c:pt idx="993">
                  <c:v>91.61264</c:v>
                </c:pt>
                <c:pt idx="994">
                  <c:v>91.60957999999998</c:v>
                </c:pt>
                <c:pt idx="995">
                  <c:v>91.60552999999997</c:v>
                </c:pt>
                <c:pt idx="996">
                  <c:v>91.60147999999998</c:v>
                </c:pt>
                <c:pt idx="997">
                  <c:v>91.59743</c:v>
                </c:pt>
                <c:pt idx="998">
                  <c:v>91.59438</c:v>
                </c:pt>
                <c:pt idx="999">
                  <c:v>91.59033</c:v>
                </c:pt>
                <c:pt idx="1000">
                  <c:v>91.58628</c:v>
                </c:pt>
                <c:pt idx="1001">
                  <c:v>91.58322</c:v>
                </c:pt>
                <c:pt idx="1002">
                  <c:v>91.57917</c:v>
                </c:pt>
                <c:pt idx="1003">
                  <c:v>91.57512</c:v>
                </c:pt>
                <c:pt idx="1004">
                  <c:v>91.57107</c:v>
                </c:pt>
                <c:pt idx="1005">
                  <c:v>91.56702</c:v>
                </c:pt>
                <c:pt idx="1006">
                  <c:v>91.56297</c:v>
                </c:pt>
                <c:pt idx="1007">
                  <c:v>91.55992</c:v>
                </c:pt>
                <c:pt idx="1008">
                  <c:v>91.55586999999998</c:v>
                </c:pt>
                <c:pt idx="1009">
                  <c:v>91.55182</c:v>
                </c:pt>
                <c:pt idx="1010">
                  <c:v>91.54884</c:v>
                </c:pt>
                <c:pt idx="1011">
                  <c:v>91.54577999999998</c:v>
                </c:pt>
                <c:pt idx="1012">
                  <c:v>91.54273</c:v>
                </c:pt>
                <c:pt idx="1013">
                  <c:v>91.53768</c:v>
                </c:pt>
                <c:pt idx="1014">
                  <c:v>91.53463</c:v>
                </c:pt>
                <c:pt idx="1015">
                  <c:v>91.53058</c:v>
                </c:pt>
                <c:pt idx="1016">
                  <c:v>91.52752</c:v>
                </c:pt>
                <c:pt idx="1017">
                  <c:v>91.52552999999997</c:v>
                </c:pt>
                <c:pt idx="1018">
                  <c:v>91.52147999999998</c:v>
                </c:pt>
                <c:pt idx="1019">
                  <c:v>91.51743</c:v>
                </c:pt>
                <c:pt idx="1020">
                  <c:v>91.51338</c:v>
                </c:pt>
                <c:pt idx="1021">
                  <c:v>91.51033</c:v>
                </c:pt>
                <c:pt idx="1022">
                  <c:v>91.50628</c:v>
                </c:pt>
                <c:pt idx="1023">
                  <c:v>91.50322</c:v>
                </c:pt>
                <c:pt idx="1024">
                  <c:v>91.50017</c:v>
                </c:pt>
                <c:pt idx="1025">
                  <c:v>91.49512</c:v>
                </c:pt>
                <c:pt idx="1026">
                  <c:v>91.49207000000001</c:v>
                </c:pt>
                <c:pt idx="1027">
                  <c:v>91.48901</c:v>
                </c:pt>
                <c:pt idx="1028">
                  <c:v>91.48496</c:v>
                </c:pt>
                <c:pt idx="1029">
                  <c:v>91.48198</c:v>
                </c:pt>
                <c:pt idx="1030">
                  <c:v>91.47892</c:v>
                </c:pt>
                <c:pt idx="1031">
                  <c:v>91.47487</c:v>
                </c:pt>
                <c:pt idx="1032">
                  <c:v>91.47182</c:v>
                </c:pt>
                <c:pt idx="1033">
                  <c:v>91.46983</c:v>
                </c:pt>
                <c:pt idx="1034">
                  <c:v>91.46677</c:v>
                </c:pt>
                <c:pt idx="1035">
                  <c:v>91.46272</c:v>
                </c:pt>
                <c:pt idx="1036">
                  <c:v>91.45867000000001</c:v>
                </c:pt>
                <c:pt idx="1037">
                  <c:v>91.45562</c:v>
                </c:pt>
                <c:pt idx="1038">
                  <c:v>91.45157</c:v>
                </c:pt>
                <c:pt idx="1039">
                  <c:v>91.44851</c:v>
                </c:pt>
                <c:pt idx="1040">
                  <c:v>91.44652</c:v>
                </c:pt>
                <c:pt idx="1041">
                  <c:v>91.44247</c:v>
                </c:pt>
                <c:pt idx="1042">
                  <c:v>91.43942</c:v>
                </c:pt>
                <c:pt idx="1043">
                  <c:v>91.43537</c:v>
                </c:pt>
                <c:pt idx="1044">
                  <c:v>91.43132</c:v>
                </c:pt>
                <c:pt idx="1045">
                  <c:v>91.42521</c:v>
                </c:pt>
                <c:pt idx="1046">
                  <c:v>91.42222</c:v>
                </c:pt>
                <c:pt idx="1047">
                  <c:v>91.42322</c:v>
                </c:pt>
                <c:pt idx="1048">
                  <c:v>91.42521</c:v>
                </c:pt>
                <c:pt idx="1049">
                  <c:v>91.41917</c:v>
                </c:pt>
                <c:pt idx="1050">
                  <c:v>91.41405</c:v>
                </c:pt>
                <c:pt idx="1051">
                  <c:v>91.41107</c:v>
                </c:pt>
                <c:pt idx="1052">
                  <c:v>91.40801</c:v>
                </c:pt>
                <c:pt idx="1053">
                  <c:v>91.40396</c:v>
                </c:pt>
                <c:pt idx="1054">
                  <c:v>91.39991</c:v>
                </c:pt>
                <c:pt idx="1055">
                  <c:v>91.39686</c:v>
                </c:pt>
                <c:pt idx="1056">
                  <c:v>91.39487</c:v>
                </c:pt>
                <c:pt idx="1057">
                  <c:v>91.39280999999998</c:v>
                </c:pt>
                <c:pt idx="1058">
                  <c:v>91.38974999999998</c:v>
                </c:pt>
                <c:pt idx="1059">
                  <c:v>91.38569999999998</c:v>
                </c:pt>
                <c:pt idx="1060">
                  <c:v>91.38370999999998</c:v>
                </c:pt>
                <c:pt idx="1061">
                  <c:v>91.38066</c:v>
                </c:pt>
                <c:pt idx="1062">
                  <c:v>91.37859999999995</c:v>
                </c:pt>
                <c:pt idx="1063">
                  <c:v>91.37455</c:v>
                </c:pt>
                <c:pt idx="1064">
                  <c:v>91.37049999999998</c:v>
                </c:pt>
                <c:pt idx="1065">
                  <c:v>91.36751</c:v>
                </c:pt>
                <c:pt idx="1066">
                  <c:v>91.36544999999998</c:v>
                </c:pt>
                <c:pt idx="1067">
                  <c:v>91.36239999999998</c:v>
                </c:pt>
                <c:pt idx="1068">
                  <c:v>91.35940999999998</c:v>
                </c:pt>
                <c:pt idx="1069">
                  <c:v>91.35635999999998</c:v>
                </c:pt>
                <c:pt idx="1070">
                  <c:v>91.3543</c:v>
                </c:pt>
                <c:pt idx="1071">
                  <c:v>91.35025</c:v>
                </c:pt>
                <c:pt idx="1072">
                  <c:v>91.34215</c:v>
                </c:pt>
                <c:pt idx="1073">
                  <c:v>91.33909</c:v>
                </c:pt>
                <c:pt idx="1074">
                  <c:v>91.33909</c:v>
                </c:pt>
                <c:pt idx="1075">
                  <c:v>91.33711</c:v>
                </c:pt>
                <c:pt idx="1076">
                  <c:v>91.33611</c:v>
                </c:pt>
                <c:pt idx="1077">
                  <c:v>91.33405</c:v>
                </c:pt>
                <c:pt idx="1078">
                  <c:v>91.33909</c:v>
                </c:pt>
                <c:pt idx="1079">
                  <c:v>91.33306</c:v>
                </c:pt>
                <c:pt idx="1080">
                  <c:v>91.32594999999998</c:v>
                </c:pt>
                <c:pt idx="1081">
                  <c:v>91.32289999999985</c:v>
                </c:pt>
                <c:pt idx="1082">
                  <c:v>91.3219</c:v>
                </c:pt>
                <c:pt idx="1083">
                  <c:v>91.31885</c:v>
                </c:pt>
                <c:pt idx="1084">
                  <c:v>91.31586</c:v>
                </c:pt>
                <c:pt idx="1085">
                  <c:v>91.31075</c:v>
                </c:pt>
                <c:pt idx="1086">
                  <c:v>91.30974999999998</c:v>
                </c:pt>
                <c:pt idx="1087">
                  <c:v>91.3067</c:v>
                </c:pt>
                <c:pt idx="1088">
                  <c:v>91.30364</c:v>
                </c:pt>
                <c:pt idx="1089">
                  <c:v>91.30066</c:v>
                </c:pt>
                <c:pt idx="1090">
                  <c:v>91.29959</c:v>
                </c:pt>
                <c:pt idx="1091">
                  <c:v>91.29661</c:v>
                </c:pt>
                <c:pt idx="1092">
                  <c:v>91.29355</c:v>
                </c:pt>
                <c:pt idx="1093">
                  <c:v>91.29149</c:v>
                </c:pt>
                <c:pt idx="1094">
                  <c:v>91.28851</c:v>
                </c:pt>
                <c:pt idx="1095">
                  <c:v>91.28544999999998</c:v>
                </c:pt>
                <c:pt idx="1096">
                  <c:v>91.28338999999998</c:v>
                </c:pt>
                <c:pt idx="1097">
                  <c:v>91.28041</c:v>
                </c:pt>
                <c:pt idx="1098">
                  <c:v>91.27933999999995</c:v>
                </c:pt>
                <c:pt idx="1099">
                  <c:v>91.27529</c:v>
                </c:pt>
                <c:pt idx="1100">
                  <c:v>91.2733</c:v>
                </c:pt>
                <c:pt idx="1101">
                  <c:v>91.26414</c:v>
                </c:pt>
                <c:pt idx="1102">
                  <c:v>91.26314</c:v>
                </c:pt>
                <c:pt idx="1103">
                  <c:v>91.26215</c:v>
                </c:pt>
                <c:pt idx="1104">
                  <c:v>91.26215</c:v>
                </c:pt>
                <c:pt idx="1105">
                  <c:v>91.2662</c:v>
                </c:pt>
                <c:pt idx="1106">
                  <c:v>91.26314</c:v>
                </c:pt>
                <c:pt idx="1107">
                  <c:v>91.2581</c:v>
                </c:pt>
                <c:pt idx="1108">
                  <c:v>91.25405</c:v>
                </c:pt>
                <c:pt idx="1109">
                  <c:v>91.25099</c:v>
                </c:pt>
                <c:pt idx="1110">
                  <c:v>91.24794</c:v>
                </c:pt>
                <c:pt idx="1111">
                  <c:v>91.24495</c:v>
                </c:pt>
                <c:pt idx="1112">
                  <c:v>91.24289</c:v>
                </c:pt>
                <c:pt idx="1113">
                  <c:v>91.23984</c:v>
                </c:pt>
                <c:pt idx="1114">
                  <c:v>91.23785</c:v>
                </c:pt>
                <c:pt idx="1115">
                  <c:v>91.23479</c:v>
                </c:pt>
                <c:pt idx="1116">
                  <c:v>91.23272999999997</c:v>
                </c:pt>
                <c:pt idx="1117">
                  <c:v>91.22974999999998</c:v>
                </c:pt>
                <c:pt idx="1118">
                  <c:v>91.22769</c:v>
                </c:pt>
                <c:pt idx="1119">
                  <c:v>91.22669</c:v>
                </c:pt>
                <c:pt idx="1120">
                  <c:v>91.22364</c:v>
                </c:pt>
                <c:pt idx="1121">
                  <c:v>91.22058</c:v>
                </c:pt>
                <c:pt idx="1122">
                  <c:v>91.2176</c:v>
                </c:pt>
                <c:pt idx="1123">
                  <c:v>91.21554</c:v>
                </c:pt>
                <c:pt idx="1124">
                  <c:v>91.21355</c:v>
                </c:pt>
                <c:pt idx="1125">
                  <c:v>91.21049</c:v>
                </c:pt>
                <c:pt idx="1126">
                  <c:v>91.20843</c:v>
                </c:pt>
                <c:pt idx="1127">
                  <c:v>91.20644</c:v>
                </c:pt>
                <c:pt idx="1128">
                  <c:v>91.20339</c:v>
                </c:pt>
                <c:pt idx="1129">
                  <c:v>91.2014</c:v>
                </c:pt>
                <c:pt idx="1130">
                  <c:v>91.19833999999948</c:v>
                </c:pt>
                <c:pt idx="1131">
                  <c:v>91.19728</c:v>
                </c:pt>
                <c:pt idx="1132">
                  <c:v>91.19529</c:v>
                </c:pt>
                <c:pt idx="1133">
                  <c:v>91.19323</c:v>
                </c:pt>
                <c:pt idx="1134">
                  <c:v>91.19024</c:v>
                </c:pt>
                <c:pt idx="1135">
                  <c:v>91.18817999999958</c:v>
                </c:pt>
                <c:pt idx="1136">
                  <c:v>91.18618999999998</c:v>
                </c:pt>
                <c:pt idx="1137">
                  <c:v>91.18413</c:v>
                </c:pt>
                <c:pt idx="1138">
                  <c:v>91.18107999999998</c:v>
                </c:pt>
                <c:pt idx="1139">
                  <c:v>91.17702999999997</c:v>
                </c:pt>
                <c:pt idx="1140">
                  <c:v>91.17503999999855</c:v>
                </c:pt>
                <c:pt idx="1141">
                  <c:v>91.17297999999845</c:v>
                </c:pt>
                <c:pt idx="1142">
                  <c:v>91.17197999999995</c:v>
                </c:pt>
                <c:pt idx="1143">
                  <c:v>91.16999</c:v>
                </c:pt>
                <c:pt idx="1144">
                  <c:v>91.16693999999998</c:v>
                </c:pt>
                <c:pt idx="1145">
                  <c:v>91.16487999999998</c:v>
                </c:pt>
                <c:pt idx="1146">
                  <c:v>91.16288999999995</c:v>
                </c:pt>
                <c:pt idx="1147">
                  <c:v>91.15883999999878</c:v>
                </c:pt>
                <c:pt idx="1148">
                  <c:v>91.15677999999878</c:v>
                </c:pt>
                <c:pt idx="1149">
                  <c:v>91.15478999999995</c:v>
                </c:pt>
                <c:pt idx="1150">
                  <c:v>91.15272999999995</c:v>
                </c:pt>
                <c:pt idx="1151">
                  <c:v>91.15073999999898</c:v>
                </c:pt>
                <c:pt idx="1152">
                  <c:v>91.14768</c:v>
                </c:pt>
                <c:pt idx="1153">
                  <c:v>91.14768</c:v>
                </c:pt>
                <c:pt idx="1154">
                  <c:v>91.13454</c:v>
                </c:pt>
                <c:pt idx="1155">
                  <c:v>91.13653</c:v>
                </c:pt>
                <c:pt idx="1156">
                  <c:v>91.13653</c:v>
                </c:pt>
                <c:pt idx="1157">
                  <c:v>91.13553999999998</c:v>
                </c:pt>
                <c:pt idx="1158">
                  <c:v>91.14157</c:v>
                </c:pt>
                <c:pt idx="1159">
                  <c:v>91.13553999999998</c:v>
                </c:pt>
                <c:pt idx="1160">
                  <c:v>91.13247999999938</c:v>
                </c:pt>
                <c:pt idx="1161">
                  <c:v>91.12941999999998</c:v>
                </c:pt>
                <c:pt idx="1162">
                  <c:v>91.12636999999998</c:v>
                </c:pt>
                <c:pt idx="1163">
                  <c:v>91.12338999999928</c:v>
                </c:pt>
                <c:pt idx="1164">
                  <c:v>91.12231999999958</c:v>
                </c:pt>
                <c:pt idx="1165">
                  <c:v>91.12032999999998</c:v>
                </c:pt>
                <c:pt idx="1166">
                  <c:v>91.11933999999998</c:v>
                </c:pt>
                <c:pt idx="1167">
                  <c:v>91.11529</c:v>
                </c:pt>
                <c:pt idx="1168">
                  <c:v>91.11323</c:v>
                </c:pt>
                <c:pt idx="1169">
                  <c:v>91.11124</c:v>
                </c:pt>
                <c:pt idx="1170">
                  <c:v>91.10817999999995</c:v>
                </c:pt>
                <c:pt idx="1171">
                  <c:v>91.10612</c:v>
                </c:pt>
                <c:pt idx="1172">
                  <c:v>91.10413000000001</c:v>
                </c:pt>
                <c:pt idx="1173">
                  <c:v>91.10206999999998</c:v>
                </c:pt>
                <c:pt idx="1174">
                  <c:v>91.10107999999998</c:v>
                </c:pt>
                <c:pt idx="1175">
                  <c:v>91.09703</c:v>
                </c:pt>
                <c:pt idx="1176">
                  <c:v>91.09603000000001</c:v>
                </c:pt>
                <c:pt idx="1177">
                  <c:v>91.09397000000001</c:v>
                </c:pt>
                <c:pt idx="1178">
                  <c:v>91.09198</c:v>
                </c:pt>
                <c:pt idx="1179">
                  <c:v>91.08992</c:v>
                </c:pt>
                <c:pt idx="1180">
                  <c:v>91.08687</c:v>
                </c:pt>
                <c:pt idx="1181">
                  <c:v>91.08488</c:v>
                </c:pt>
                <c:pt idx="1182">
                  <c:v>91.08387999999998</c:v>
                </c:pt>
                <c:pt idx="1183">
                  <c:v>91.08083</c:v>
                </c:pt>
                <c:pt idx="1184">
                  <c:v>91.07982999999998</c:v>
                </c:pt>
                <c:pt idx="1185">
                  <c:v>91.07776999999998</c:v>
                </c:pt>
                <c:pt idx="1186">
                  <c:v>91.07472</c:v>
                </c:pt>
                <c:pt idx="1187">
                  <c:v>91.07172999999997</c:v>
                </c:pt>
                <c:pt idx="1188">
                  <c:v>91.06967</c:v>
                </c:pt>
                <c:pt idx="1189">
                  <c:v>91.06768</c:v>
                </c:pt>
                <c:pt idx="1190">
                  <c:v>91.06562</c:v>
                </c:pt>
                <c:pt idx="1191">
                  <c:v>91.06463</c:v>
                </c:pt>
                <c:pt idx="1192">
                  <c:v>91.06257</c:v>
                </c:pt>
                <c:pt idx="1193">
                  <c:v>91.05957999999998</c:v>
                </c:pt>
                <c:pt idx="1194">
                  <c:v>91.05752</c:v>
                </c:pt>
                <c:pt idx="1195">
                  <c:v>91.05447</c:v>
                </c:pt>
                <c:pt idx="1196">
                  <c:v>91.05347</c:v>
                </c:pt>
                <c:pt idx="1197">
                  <c:v>91.05141</c:v>
                </c:pt>
                <c:pt idx="1198">
                  <c:v>91.04843</c:v>
                </c:pt>
                <c:pt idx="1199">
                  <c:v>91.04637</c:v>
                </c:pt>
                <c:pt idx="1200">
                  <c:v>91.04438</c:v>
                </c:pt>
                <c:pt idx="1201">
                  <c:v>91.04132</c:v>
                </c:pt>
                <c:pt idx="1202">
                  <c:v>91.03926</c:v>
                </c:pt>
                <c:pt idx="1203">
                  <c:v>91.03827</c:v>
                </c:pt>
                <c:pt idx="1204">
                  <c:v>91.03422</c:v>
                </c:pt>
                <c:pt idx="1205">
                  <c:v>91.03322</c:v>
                </c:pt>
                <c:pt idx="1206">
                  <c:v>91.03223000000001</c:v>
                </c:pt>
                <c:pt idx="1207">
                  <c:v>91.03017000000001</c:v>
                </c:pt>
                <c:pt idx="1208">
                  <c:v>91.02817999999998</c:v>
                </c:pt>
                <c:pt idx="1209">
                  <c:v>91.02413</c:v>
                </c:pt>
                <c:pt idx="1210">
                  <c:v>91.02206999999998</c:v>
                </c:pt>
                <c:pt idx="1211">
                  <c:v>91.02206999999998</c:v>
                </c:pt>
                <c:pt idx="1212">
                  <c:v>91.01901</c:v>
                </c:pt>
                <c:pt idx="1213">
                  <c:v>91.01802</c:v>
                </c:pt>
                <c:pt idx="1214">
                  <c:v>91.01702</c:v>
                </c:pt>
                <c:pt idx="1215">
                  <c:v>91.01397</c:v>
                </c:pt>
                <c:pt idx="1216">
                  <c:v>91.01091</c:v>
                </c:pt>
                <c:pt idx="1217">
                  <c:v>91.00892</c:v>
                </c:pt>
                <c:pt idx="1218">
                  <c:v>91.00786</c:v>
                </c:pt>
                <c:pt idx="1219">
                  <c:v>91.00586999999997</c:v>
                </c:pt>
                <c:pt idx="1220">
                  <c:v>91.00280999999998</c:v>
                </c:pt>
                <c:pt idx="1221">
                  <c:v>91.00082</c:v>
                </c:pt>
                <c:pt idx="1222">
                  <c:v>90.99876</c:v>
                </c:pt>
                <c:pt idx="1223">
                  <c:v>90.99677000000001</c:v>
                </c:pt>
                <c:pt idx="1224">
                  <c:v>90.99471</c:v>
                </c:pt>
                <c:pt idx="1225">
                  <c:v>90.99272</c:v>
                </c:pt>
                <c:pt idx="1226">
                  <c:v>90.99066</c:v>
                </c:pt>
                <c:pt idx="1227">
                  <c:v>90.98867000000001</c:v>
                </c:pt>
                <c:pt idx="1228">
                  <c:v>90.98661</c:v>
                </c:pt>
                <c:pt idx="1229">
                  <c:v>90.98562</c:v>
                </c:pt>
                <c:pt idx="1230">
                  <c:v>90.98256</c:v>
                </c:pt>
                <c:pt idx="1231">
                  <c:v>90.98157</c:v>
                </c:pt>
                <c:pt idx="1232">
                  <c:v>90.97851</c:v>
                </c:pt>
                <c:pt idx="1233">
                  <c:v>90.97752</c:v>
                </c:pt>
                <c:pt idx="1234">
                  <c:v>90.97546</c:v>
                </c:pt>
                <c:pt idx="1235">
                  <c:v>90.97347</c:v>
                </c:pt>
                <c:pt idx="1236">
                  <c:v>90.97141</c:v>
                </c:pt>
                <c:pt idx="1237">
                  <c:v>90.96835</c:v>
                </c:pt>
                <c:pt idx="1238">
                  <c:v>90.9643</c:v>
                </c:pt>
                <c:pt idx="1239">
                  <c:v>90.95926</c:v>
                </c:pt>
                <c:pt idx="1240">
                  <c:v>90.96025</c:v>
                </c:pt>
                <c:pt idx="1241">
                  <c:v>90.95826</c:v>
                </c:pt>
                <c:pt idx="1242">
                  <c:v>90.95826</c:v>
                </c:pt>
                <c:pt idx="1243">
                  <c:v>90.95826</c:v>
                </c:pt>
                <c:pt idx="1244">
                  <c:v>90.95926</c:v>
                </c:pt>
                <c:pt idx="1245">
                  <c:v>90.95926</c:v>
                </c:pt>
                <c:pt idx="1246">
                  <c:v>90.95421</c:v>
                </c:pt>
                <c:pt idx="1247">
                  <c:v>90.95016</c:v>
                </c:pt>
                <c:pt idx="1248">
                  <c:v>90.9481</c:v>
                </c:pt>
                <c:pt idx="1249">
                  <c:v>90.94611</c:v>
                </c:pt>
                <c:pt idx="1250">
                  <c:v>90.94306</c:v>
                </c:pt>
                <c:pt idx="1251">
                  <c:v>90.941</c:v>
                </c:pt>
                <c:pt idx="1252">
                  <c:v>90.94</c:v>
                </c:pt>
                <c:pt idx="1253">
                  <c:v>90.93801</c:v>
                </c:pt>
                <c:pt idx="1254">
                  <c:v>90.93496</c:v>
                </c:pt>
                <c:pt idx="1255">
                  <c:v>90.93397</c:v>
                </c:pt>
                <c:pt idx="1256">
                  <c:v>90.93091</c:v>
                </c:pt>
                <c:pt idx="1257">
                  <c:v>90.92992</c:v>
                </c:pt>
                <c:pt idx="1258">
                  <c:v>90.92686</c:v>
                </c:pt>
                <c:pt idx="1259">
                  <c:v>90.92586999999997</c:v>
                </c:pt>
                <c:pt idx="1260">
                  <c:v>90.92281</c:v>
                </c:pt>
                <c:pt idx="1261">
                  <c:v>90.92075</c:v>
                </c:pt>
                <c:pt idx="1262">
                  <c:v>90.91876</c:v>
                </c:pt>
                <c:pt idx="1263">
                  <c:v>90.9167</c:v>
                </c:pt>
                <c:pt idx="1264">
                  <c:v>90.91571</c:v>
                </c:pt>
                <c:pt idx="1265">
                  <c:v>90.91372</c:v>
                </c:pt>
                <c:pt idx="1266">
                  <c:v>90.91166</c:v>
                </c:pt>
                <c:pt idx="1267">
                  <c:v>90.90959</c:v>
                </c:pt>
                <c:pt idx="1268">
                  <c:v>90.90761</c:v>
                </c:pt>
                <c:pt idx="1269">
                  <c:v>90.90661</c:v>
                </c:pt>
                <c:pt idx="1270">
                  <c:v>90.90455</c:v>
                </c:pt>
                <c:pt idx="1271">
                  <c:v>90.90256</c:v>
                </c:pt>
                <c:pt idx="1272">
                  <c:v>90.9005</c:v>
                </c:pt>
                <c:pt idx="1273">
                  <c:v>90.89851</c:v>
                </c:pt>
                <c:pt idx="1274">
                  <c:v>90.89546</c:v>
                </c:pt>
                <c:pt idx="1275">
                  <c:v>90.89446</c:v>
                </c:pt>
                <c:pt idx="1276">
                  <c:v>90.89239999999998</c:v>
                </c:pt>
                <c:pt idx="1277">
                  <c:v>90.89041</c:v>
                </c:pt>
                <c:pt idx="1278">
                  <c:v>90.88934999999998</c:v>
                </c:pt>
                <c:pt idx="1279">
                  <c:v>90.88635999999998</c:v>
                </c:pt>
                <c:pt idx="1280">
                  <c:v>90.8843</c:v>
                </c:pt>
                <c:pt idx="1281">
                  <c:v>90.88230999999985</c:v>
                </c:pt>
                <c:pt idx="1282">
                  <c:v>90.88025</c:v>
                </c:pt>
                <c:pt idx="1283">
                  <c:v>90.87926</c:v>
                </c:pt>
                <c:pt idx="1284">
                  <c:v>90.8772</c:v>
                </c:pt>
                <c:pt idx="1285">
                  <c:v>90.87520999999998</c:v>
                </c:pt>
                <c:pt idx="1286">
                  <c:v>90.87314999999998</c:v>
                </c:pt>
                <c:pt idx="1287">
                  <c:v>90.87116</c:v>
                </c:pt>
                <c:pt idx="1288">
                  <c:v>90.8691</c:v>
                </c:pt>
                <c:pt idx="1289">
                  <c:v>90.86711</c:v>
                </c:pt>
                <c:pt idx="1290">
                  <c:v>90.86504999999998</c:v>
                </c:pt>
                <c:pt idx="1291">
                  <c:v>90.86405</c:v>
                </c:pt>
                <c:pt idx="1292">
                  <c:v>90.86199</c:v>
                </c:pt>
                <c:pt idx="1293">
                  <c:v>90.85901</c:v>
                </c:pt>
                <c:pt idx="1294">
                  <c:v>90.85695</c:v>
                </c:pt>
                <c:pt idx="1295">
                  <c:v>90.85496</c:v>
                </c:pt>
                <c:pt idx="1296">
                  <c:v>90.85289999999995</c:v>
                </c:pt>
                <c:pt idx="1297">
                  <c:v>90.85091</c:v>
                </c:pt>
                <c:pt idx="1298">
                  <c:v>90.84885</c:v>
                </c:pt>
                <c:pt idx="1299">
                  <c:v>90.84885</c:v>
                </c:pt>
                <c:pt idx="1300">
                  <c:v>90.84686</c:v>
                </c:pt>
                <c:pt idx="1301">
                  <c:v>90.8448</c:v>
                </c:pt>
                <c:pt idx="1302">
                  <c:v>90.84281</c:v>
                </c:pt>
                <c:pt idx="1303">
                  <c:v>90.83974999999998</c:v>
                </c:pt>
                <c:pt idx="1304">
                  <c:v>90.83869</c:v>
                </c:pt>
                <c:pt idx="1305">
                  <c:v>90.8367</c:v>
                </c:pt>
                <c:pt idx="1306">
                  <c:v>90.83364</c:v>
                </c:pt>
                <c:pt idx="1307">
                  <c:v>90.83165</c:v>
                </c:pt>
                <c:pt idx="1308">
                  <c:v>90.82958999999998</c:v>
                </c:pt>
                <c:pt idx="1309">
                  <c:v>90.82859999999998</c:v>
                </c:pt>
                <c:pt idx="1310">
                  <c:v>90.82653999999998</c:v>
                </c:pt>
                <c:pt idx="1311">
                  <c:v>90.82455</c:v>
                </c:pt>
                <c:pt idx="1312">
                  <c:v>90.82248999999958</c:v>
                </c:pt>
                <c:pt idx="1313">
                  <c:v>90.82049999999998</c:v>
                </c:pt>
                <c:pt idx="1314">
                  <c:v>90.81843999999998</c:v>
                </c:pt>
                <c:pt idx="1315">
                  <c:v>90.81744</c:v>
                </c:pt>
                <c:pt idx="1316">
                  <c:v>90.81439</c:v>
                </c:pt>
                <c:pt idx="1317">
                  <c:v>90.81339</c:v>
                </c:pt>
                <c:pt idx="1318">
                  <c:v>90.8114</c:v>
                </c:pt>
                <c:pt idx="1319">
                  <c:v>90.80933999999998</c:v>
                </c:pt>
                <c:pt idx="1320">
                  <c:v>90.80735</c:v>
                </c:pt>
                <c:pt idx="1321">
                  <c:v>90.80529</c:v>
                </c:pt>
                <c:pt idx="1322">
                  <c:v>90.8033</c:v>
                </c:pt>
                <c:pt idx="1323">
                  <c:v>90.80124</c:v>
                </c:pt>
                <c:pt idx="1324">
                  <c:v>90.79918</c:v>
                </c:pt>
                <c:pt idx="1325">
                  <c:v>90.79719</c:v>
                </c:pt>
                <c:pt idx="1326">
                  <c:v>90.79513</c:v>
                </c:pt>
                <c:pt idx="1327">
                  <c:v>90.79314</c:v>
                </c:pt>
                <c:pt idx="1328">
                  <c:v>90.79215</c:v>
                </c:pt>
                <c:pt idx="1329">
                  <c:v>90.79009</c:v>
                </c:pt>
                <c:pt idx="1330">
                  <c:v>90.7881</c:v>
                </c:pt>
                <c:pt idx="1331">
                  <c:v>90.78604</c:v>
                </c:pt>
                <c:pt idx="1332">
                  <c:v>90.78405</c:v>
                </c:pt>
                <c:pt idx="1333">
                  <c:v>90.78297999999998</c:v>
                </c:pt>
                <c:pt idx="1334">
                  <c:v>90.78</c:v>
                </c:pt>
                <c:pt idx="1335">
                  <c:v>90.77892999999997</c:v>
                </c:pt>
                <c:pt idx="1336">
                  <c:v>90.77693999999998</c:v>
                </c:pt>
                <c:pt idx="1337">
                  <c:v>90.77388999999998</c:v>
                </c:pt>
                <c:pt idx="1338">
                  <c:v>90.77288999999985</c:v>
                </c:pt>
                <c:pt idx="1339">
                  <c:v>90.76984</c:v>
                </c:pt>
                <c:pt idx="1340">
                  <c:v>90.76883999999998</c:v>
                </c:pt>
                <c:pt idx="1341">
                  <c:v>90.76677999999998</c:v>
                </c:pt>
                <c:pt idx="1342">
                  <c:v>90.76479</c:v>
                </c:pt>
                <c:pt idx="1343">
                  <c:v>90.76373</c:v>
                </c:pt>
                <c:pt idx="1344">
                  <c:v>90.76174</c:v>
                </c:pt>
                <c:pt idx="1345">
                  <c:v>90.75868</c:v>
                </c:pt>
                <c:pt idx="1346">
                  <c:v>90.75769</c:v>
                </c:pt>
                <c:pt idx="1347">
                  <c:v>90.75563</c:v>
                </c:pt>
                <c:pt idx="1348">
                  <c:v>90.75364</c:v>
                </c:pt>
                <c:pt idx="1349">
                  <c:v>90.75158</c:v>
                </c:pt>
                <c:pt idx="1350">
                  <c:v>90.74959</c:v>
                </c:pt>
                <c:pt idx="1351">
                  <c:v>90.74859</c:v>
                </c:pt>
                <c:pt idx="1352">
                  <c:v>90.74753000000002</c:v>
                </c:pt>
                <c:pt idx="1353">
                  <c:v>90.74554</c:v>
                </c:pt>
                <c:pt idx="1354">
                  <c:v>90.74248</c:v>
                </c:pt>
                <c:pt idx="1355">
                  <c:v>90.74149</c:v>
                </c:pt>
                <c:pt idx="1356">
                  <c:v>90.73843</c:v>
                </c:pt>
                <c:pt idx="1357">
                  <c:v>90.73644</c:v>
                </c:pt>
                <c:pt idx="1358">
                  <c:v>90.73537999999998</c:v>
                </c:pt>
                <c:pt idx="1359">
                  <c:v>90.73339</c:v>
                </c:pt>
                <c:pt idx="1360">
                  <c:v>90.73133</c:v>
                </c:pt>
                <c:pt idx="1361">
                  <c:v>90.72827</c:v>
                </c:pt>
                <c:pt idx="1362">
                  <c:v>90.72728</c:v>
                </c:pt>
                <c:pt idx="1363">
                  <c:v>90.72529</c:v>
                </c:pt>
                <c:pt idx="1364">
                  <c:v>90.72422</c:v>
                </c:pt>
                <c:pt idx="1365">
                  <c:v>90.72124</c:v>
                </c:pt>
                <c:pt idx="1366">
                  <c:v>90.71918</c:v>
                </c:pt>
                <c:pt idx="1367">
                  <c:v>90.71818</c:v>
                </c:pt>
                <c:pt idx="1368">
                  <c:v>90.71513</c:v>
                </c:pt>
                <c:pt idx="1369">
                  <c:v>90.71413</c:v>
                </c:pt>
                <c:pt idx="1370">
                  <c:v>90.71207</c:v>
                </c:pt>
                <c:pt idx="1371">
                  <c:v>90.71108</c:v>
                </c:pt>
                <c:pt idx="1372">
                  <c:v>90.70909</c:v>
                </c:pt>
                <c:pt idx="1373">
                  <c:v>90.70604</c:v>
                </c:pt>
                <c:pt idx="1374">
                  <c:v>90.70503999999998</c:v>
                </c:pt>
                <c:pt idx="1375">
                  <c:v>90.70297999999998</c:v>
                </c:pt>
                <c:pt idx="1376">
                  <c:v>90.70099</c:v>
                </c:pt>
                <c:pt idx="1377">
                  <c:v>90.69892999999997</c:v>
                </c:pt>
                <c:pt idx="1378">
                  <c:v>90.69694</c:v>
                </c:pt>
                <c:pt idx="1379">
                  <c:v>90.69488</c:v>
                </c:pt>
                <c:pt idx="1380">
                  <c:v>90.69388999999998</c:v>
                </c:pt>
                <c:pt idx="1381">
                  <c:v>90.69183</c:v>
                </c:pt>
                <c:pt idx="1382">
                  <c:v>90.68983999999975</c:v>
                </c:pt>
                <c:pt idx="1383">
                  <c:v>90.68777999999975</c:v>
                </c:pt>
                <c:pt idx="1384">
                  <c:v>90.68578999999875</c:v>
                </c:pt>
                <c:pt idx="1385">
                  <c:v>90.68372999999998</c:v>
                </c:pt>
                <c:pt idx="1386">
                  <c:v>90.68272999999998</c:v>
                </c:pt>
                <c:pt idx="1387">
                  <c:v>90.68067</c:v>
                </c:pt>
                <c:pt idx="1388">
                  <c:v>90.67967999999995</c:v>
                </c:pt>
                <c:pt idx="1389">
                  <c:v>90.67562999999998</c:v>
                </c:pt>
                <c:pt idx="1390">
                  <c:v>90.67562999999998</c:v>
                </c:pt>
                <c:pt idx="1391">
                  <c:v>90.67363999999998</c:v>
                </c:pt>
                <c:pt idx="1392">
                  <c:v>90.67157999999995</c:v>
                </c:pt>
                <c:pt idx="1393">
                  <c:v>90.66959</c:v>
                </c:pt>
                <c:pt idx="1394">
                  <c:v>90.66653</c:v>
                </c:pt>
                <c:pt idx="1395">
                  <c:v>90.66553999999998</c:v>
                </c:pt>
                <c:pt idx="1396">
                  <c:v>90.66347999999998</c:v>
                </c:pt>
                <c:pt idx="1397">
                  <c:v>90.66149</c:v>
                </c:pt>
                <c:pt idx="1398">
                  <c:v>90.65942999999998</c:v>
                </c:pt>
                <c:pt idx="1399">
                  <c:v>90.65842999999998</c:v>
                </c:pt>
                <c:pt idx="1400">
                  <c:v>90.65636999999998</c:v>
                </c:pt>
                <c:pt idx="1401">
                  <c:v>90.65331999999998</c:v>
                </c:pt>
                <c:pt idx="1402">
                  <c:v>90.65331999999998</c:v>
                </c:pt>
                <c:pt idx="1403">
                  <c:v>90.65032999999998</c:v>
                </c:pt>
                <c:pt idx="1404">
                  <c:v>90.64728</c:v>
                </c:pt>
                <c:pt idx="1405">
                  <c:v>90.64522</c:v>
                </c:pt>
                <c:pt idx="1406">
                  <c:v>90.64323</c:v>
                </c:pt>
                <c:pt idx="1407">
                  <c:v>90.64223000000001</c:v>
                </c:pt>
                <c:pt idx="1408">
                  <c:v>90.64017000000001</c:v>
                </c:pt>
                <c:pt idx="1409">
                  <c:v>90.63817999999995</c:v>
                </c:pt>
                <c:pt idx="1410">
                  <c:v>90.63712</c:v>
                </c:pt>
                <c:pt idx="1411">
                  <c:v>90.63512999999997</c:v>
                </c:pt>
                <c:pt idx="1412">
                  <c:v>90.63306999999997</c:v>
                </c:pt>
                <c:pt idx="1413">
                  <c:v>90.63107999999998</c:v>
                </c:pt>
                <c:pt idx="1414">
                  <c:v>90.63007999999998</c:v>
                </c:pt>
                <c:pt idx="1415">
                  <c:v>90.62801999999998</c:v>
                </c:pt>
                <c:pt idx="1416">
                  <c:v>90.62602999999998</c:v>
                </c:pt>
                <c:pt idx="1417">
                  <c:v>90.62396999999998</c:v>
                </c:pt>
                <c:pt idx="1418">
                  <c:v>90.62197999999998</c:v>
                </c:pt>
                <c:pt idx="1419">
                  <c:v>90.61992</c:v>
                </c:pt>
                <c:pt idx="1420">
                  <c:v>90.61786</c:v>
                </c:pt>
                <c:pt idx="1421">
                  <c:v>90.61586999999998</c:v>
                </c:pt>
                <c:pt idx="1422">
                  <c:v>90.61381</c:v>
                </c:pt>
                <c:pt idx="1423">
                  <c:v>90.61282</c:v>
                </c:pt>
                <c:pt idx="1424">
                  <c:v>90.61083</c:v>
                </c:pt>
                <c:pt idx="1425">
                  <c:v>90.60876999999998</c:v>
                </c:pt>
                <c:pt idx="1426">
                  <c:v>90.60570999999958</c:v>
                </c:pt>
                <c:pt idx="1427">
                  <c:v>90.60371999999998</c:v>
                </c:pt>
                <c:pt idx="1428">
                  <c:v>90.60166</c:v>
                </c:pt>
                <c:pt idx="1429">
                  <c:v>90.59967</c:v>
                </c:pt>
                <c:pt idx="1430">
                  <c:v>90.59868</c:v>
                </c:pt>
                <c:pt idx="1431">
                  <c:v>90.59662</c:v>
                </c:pt>
                <c:pt idx="1432">
                  <c:v>90.59463</c:v>
                </c:pt>
                <c:pt idx="1433">
                  <c:v>90.59257</c:v>
                </c:pt>
                <c:pt idx="1434">
                  <c:v>90.59157</c:v>
                </c:pt>
                <c:pt idx="1435">
                  <c:v>90.59058</c:v>
                </c:pt>
                <c:pt idx="1436">
                  <c:v>90.58852</c:v>
                </c:pt>
                <c:pt idx="1437">
                  <c:v>90.58546</c:v>
                </c:pt>
                <c:pt idx="1438">
                  <c:v>90.58347</c:v>
                </c:pt>
                <c:pt idx="1439">
                  <c:v>90.58141</c:v>
                </c:pt>
                <c:pt idx="1440">
                  <c:v>90.57835999999975</c:v>
                </c:pt>
                <c:pt idx="1441">
                  <c:v>90.57736</c:v>
                </c:pt>
                <c:pt idx="1442">
                  <c:v>90.57536999999998</c:v>
                </c:pt>
                <c:pt idx="1443">
                  <c:v>90.57330999999998</c:v>
                </c:pt>
                <c:pt idx="1444">
                  <c:v>90.57132</c:v>
                </c:pt>
                <c:pt idx="1445">
                  <c:v>90.56727</c:v>
                </c:pt>
                <c:pt idx="1446">
                  <c:v>90.56727</c:v>
                </c:pt>
                <c:pt idx="1447">
                  <c:v>90.56521</c:v>
                </c:pt>
                <c:pt idx="1448">
                  <c:v>90.56521</c:v>
                </c:pt>
                <c:pt idx="1449">
                  <c:v>90.56322</c:v>
                </c:pt>
                <c:pt idx="1450">
                  <c:v>90.56116</c:v>
                </c:pt>
                <c:pt idx="1451">
                  <c:v>90.55811</c:v>
                </c:pt>
                <c:pt idx="1452">
                  <c:v>90.55612</c:v>
                </c:pt>
                <c:pt idx="1453">
                  <c:v>90.55406</c:v>
                </c:pt>
                <c:pt idx="1454">
                  <c:v>90.55206999999998</c:v>
                </c:pt>
                <c:pt idx="1455">
                  <c:v>90.54901</c:v>
                </c:pt>
                <c:pt idx="1456">
                  <c:v>90.54901</c:v>
                </c:pt>
                <c:pt idx="1457">
                  <c:v>90.54695</c:v>
                </c:pt>
                <c:pt idx="1458">
                  <c:v>90.54496</c:v>
                </c:pt>
                <c:pt idx="1459">
                  <c:v>90.54191</c:v>
                </c:pt>
                <c:pt idx="1460">
                  <c:v>90.54091</c:v>
                </c:pt>
                <c:pt idx="1461">
                  <c:v>90.53884999999998</c:v>
                </c:pt>
                <c:pt idx="1462">
                  <c:v>90.53992</c:v>
                </c:pt>
                <c:pt idx="1463">
                  <c:v>90.53182</c:v>
                </c:pt>
                <c:pt idx="1464">
                  <c:v>90.5267</c:v>
                </c:pt>
                <c:pt idx="1465">
                  <c:v>90.5267</c:v>
                </c:pt>
                <c:pt idx="1466">
                  <c:v>90.5267</c:v>
                </c:pt>
                <c:pt idx="1467">
                  <c:v>90.5267</c:v>
                </c:pt>
                <c:pt idx="1468">
                  <c:v>90.52570999999975</c:v>
                </c:pt>
                <c:pt idx="1469">
                  <c:v>90.52570999999975</c:v>
                </c:pt>
                <c:pt idx="1470">
                  <c:v>90.52570999999975</c:v>
                </c:pt>
                <c:pt idx="1471">
                  <c:v>90.52570999999975</c:v>
                </c:pt>
                <c:pt idx="1472">
                  <c:v>90.52066</c:v>
                </c:pt>
                <c:pt idx="1473">
                  <c:v>90.51661</c:v>
                </c:pt>
                <c:pt idx="1474">
                  <c:v>90.51455</c:v>
                </c:pt>
                <c:pt idx="1475">
                  <c:v>90.51256</c:v>
                </c:pt>
                <c:pt idx="1476">
                  <c:v>90.5105</c:v>
                </c:pt>
                <c:pt idx="1477">
                  <c:v>90.50852</c:v>
                </c:pt>
                <c:pt idx="1478">
                  <c:v>90.50645</c:v>
                </c:pt>
                <c:pt idx="1479">
                  <c:v>90.50546</c:v>
                </c:pt>
                <c:pt idx="1480">
                  <c:v>90.5034</c:v>
                </c:pt>
                <c:pt idx="1481">
                  <c:v>90.50141</c:v>
                </c:pt>
                <c:pt idx="1482">
                  <c:v>90.49835</c:v>
                </c:pt>
                <c:pt idx="1483">
                  <c:v>90.49637000000001</c:v>
                </c:pt>
                <c:pt idx="1484">
                  <c:v>90.4943</c:v>
                </c:pt>
                <c:pt idx="1485">
                  <c:v>90.49331</c:v>
                </c:pt>
                <c:pt idx="1486">
                  <c:v>90.49026</c:v>
                </c:pt>
                <c:pt idx="1487">
                  <c:v>90.48827</c:v>
                </c:pt>
                <c:pt idx="1488">
                  <c:v>90.48621</c:v>
                </c:pt>
                <c:pt idx="1489">
                  <c:v>90.48422</c:v>
                </c:pt>
                <c:pt idx="1490">
                  <c:v>90.48216</c:v>
                </c:pt>
                <c:pt idx="1491">
                  <c:v>90.48116</c:v>
                </c:pt>
                <c:pt idx="1492">
                  <c:v>90.4791</c:v>
                </c:pt>
                <c:pt idx="1493">
                  <c:v>90.47711</c:v>
                </c:pt>
                <c:pt idx="1494">
                  <c:v>90.47504999999998</c:v>
                </c:pt>
                <c:pt idx="1495">
                  <c:v>90.47306</c:v>
                </c:pt>
                <c:pt idx="1496">
                  <c:v>90.471</c:v>
                </c:pt>
                <c:pt idx="1497">
                  <c:v>90.46795</c:v>
                </c:pt>
                <c:pt idx="1498">
                  <c:v>90.46596</c:v>
                </c:pt>
                <c:pt idx="1499">
                  <c:v>90.46496</c:v>
                </c:pt>
                <c:pt idx="1500">
                  <c:v>90.4629</c:v>
                </c:pt>
                <c:pt idx="1501">
                  <c:v>90.46091</c:v>
                </c:pt>
                <c:pt idx="1502">
                  <c:v>90.45985</c:v>
                </c:pt>
                <c:pt idx="1503">
                  <c:v>90.45686</c:v>
                </c:pt>
                <c:pt idx="1504">
                  <c:v>90.45381</c:v>
                </c:pt>
                <c:pt idx="1505">
                  <c:v>90.45281</c:v>
                </c:pt>
                <c:pt idx="1506">
                  <c:v>90.45175</c:v>
                </c:pt>
                <c:pt idx="1507">
                  <c:v>90.44876</c:v>
                </c:pt>
                <c:pt idx="1508">
                  <c:v>90.4467</c:v>
                </c:pt>
                <c:pt idx="1509">
                  <c:v>90.44471</c:v>
                </c:pt>
                <c:pt idx="1510">
                  <c:v>90.44265</c:v>
                </c:pt>
                <c:pt idx="1511">
                  <c:v>90.44166</c:v>
                </c:pt>
                <c:pt idx="1512">
                  <c:v>90.4396</c:v>
                </c:pt>
                <c:pt idx="1513">
                  <c:v>90.43654</c:v>
                </c:pt>
                <c:pt idx="1514">
                  <c:v>90.43555</c:v>
                </c:pt>
                <c:pt idx="1515">
                  <c:v>90.43249</c:v>
                </c:pt>
                <c:pt idx="1516">
                  <c:v>90.4315</c:v>
                </c:pt>
                <c:pt idx="1517">
                  <c:v>90.42951</c:v>
                </c:pt>
                <c:pt idx="1518">
                  <c:v>90.42745</c:v>
                </c:pt>
                <c:pt idx="1519">
                  <c:v>90.42645</c:v>
                </c:pt>
                <c:pt idx="1520">
                  <c:v>90.42439</c:v>
                </c:pt>
                <c:pt idx="1521">
                  <c:v>90.42141</c:v>
                </c:pt>
                <c:pt idx="1522">
                  <c:v>90.41835</c:v>
                </c:pt>
                <c:pt idx="1523">
                  <c:v>90.4153</c:v>
                </c:pt>
                <c:pt idx="1524">
                  <c:v>90.4143</c:v>
                </c:pt>
                <c:pt idx="1525">
                  <c:v>90.41331</c:v>
                </c:pt>
                <c:pt idx="1526">
                  <c:v>90.41125</c:v>
                </c:pt>
                <c:pt idx="1527">
                  <c:v>90.40926</c:v>
                </c:pt>
                <c:pt idx="1528">
                  <c:v>90.4072</c:v>
                </c:pt>
                <c:pt idx="1529">
                  <c:v>90.40521</c:v>
                </c:pt>
                <c:pt idx="1530">
                  <c:v>90.40414</c:v>
                </c:pt>
                <c:pt idx="1531">
                  <c:v>90.40109</c:v>
                </c:pt>
                <c:pt idx="1532">
                  <c:v>90.3991</c:v>
                </c:pt>
                <c:pt idx="1533">
                  <c:v>90.39704</c:v>
                </c:pt>
                <c:pt idx="1534">
                  <c:v>90.39405</c:v>
                </c:pt>
                <c:pt idx="1535">
                  <c:v>90.39299</c:v>
                </c:pt>
                <c:pt idx="1536">
                  <c:v>90.391</c:v>
                </c:pt>
                <c:pt idx="1537">
                  <c:v>90.38893999999995</c:v>
                </c:pt>
                <c:pt idx="1538">
                  <c:v>90.38695</c:v>
                </c:pt>
                <c:pt idx="1539">
                  <c:v>90.38594999999998</c:v>
                </c:pt>
                <c:pt idx="1540">
                  <c:v>90.38289999999998</c:v>
                </c:pt>
                <c:pt idx="1541">
                  <c:v>90.38083999999998</c:v>
                </c:pt>
                <c:pt idx="1542">
                  <c:v>90.37983999999948</c:v>
                </c:pt>
                <c:pt idx="1543">
                  <c:v>90.37784999999998</c:v>
                </c:pt>
                <c:pt idx="1544">
                  <c:v>90.37479999999998</c:v>
                </c:pt>
                <c:pt idx="1545">
                  <c:v>90.37273999999817</c:v>
                </c:pt>
                <c:pt idx="1546">
                  <c:v>90.37173999999958</c:v>
                </c:pt>
                <c:pt idx="1547">
                  <c:v>90.36974999999998</c:v>
                </c:pt>
                <c:pt idx="1548">
                  <c:v>90.36158</c:v>
                </c:pt>
                <c:pt idx="1549">
                  <c:v>90.35859999999998</c:v>
                </c:pt>
                <c:pt idx="1550">
                  <c:v>90.35958999999998</c:v>
                </c:pt>
                <c:pt idx="1551">
                  <c:v>90.35859999999998</c:v>
                </c:pt>
                <c:pt idx="1552">
                  <c:v>90.36158</c:v>
                </c:pt>
                <c:pt idx="1553">
                  <c:v>90.36265</c:v>
                </c:pt>
                <c:pt idx="1554">
                  <c:v>90.35653999999998</c:v>
                </c:pt>
                <c:pt idx="1555">
                  <c:v>90.35347999999995</c:v>
                </c:pt>
                <c:pt idx="1556">
                  <c:v>90.35049999999998</c:v>
                </c:pt>
                <c:pt idx="1557">
                  <c:v>90.34943000000001</c:v>
                </c:pt>
                <c:pt idx="1558">
                  <c:v>90.34645</c:v>
                </c:pt>
                <c:pt idx="1559">
                  <c:v>90.34339</c:v>
                </c:pt>
                <c:pt idx="1560">
                  <c:v>90.34133000000001</c:v>
                </c:pt>
                <c:pt idx="1561">
                  <c:v>90.33933999999998</c:v>
                </c:pt>
                <c:pt idx="1562">
                  <c:v>90.33728</c:v>
                </c:pt>
                <c:pt idx="1563">
                  <c:v>90.33529</c:v>
                </c:pt>
                <c:pt idx="1564">
                  <c:v>90.33224</c:v>
                </c:pt>
                <c:pt idx="1565">
                  <c:v>90.33124</c:v>
                </c:pt>
                <c:pt idx="1566">
                  <c:v>90.32917999999998</c:v>
                </c:pt>
                <c:pt idx="1567">
                  <c:v>90.32719</c:v>
                </c:pt>
                <c:pt idx="1568">
                  <c:v>90.32613</c:v>
                </c:pt>
                <c:pt idx="1569">
                  <c:v>90.32414</c:v>
                </c:pt>
                <c:pt idx="1570">
                  <c:v>90.32107999999998</c:v>
                </c:pt>
                <c:pt idx="1571">
                  <c:v>90.31909</c:v>
                </c:pt>
                <c:pt idx="1572">
                  <c:v>90.31703</c:v>
                </c:pt>
                <c:pt idx="1573">
                  <c:v>90.31604</c:v>
                </c:pt>
                <c:pt idx="1574">
                  <c:v>90.31199</c:v>
                </c:pt>
                <c:pt idx="1575">
                  <c:v>90.30993</c:v>
                </c:pt>
                <c:pt idx="1576">
                  <c:v>90.30892999999997</c:v>
                </c:pt>
                <c:pt idx="1577">
                  <c:v>90.30587999999958</c:v>
                </c:pt>
                <c:pt idx="1578">
                  <c:v>90.30487999999998</c:v>
                </c:pt>
                <c:pt idx="1579">
                  <c:v>90.30388999999998</c:v>
                </c:pt>
                <c:pt idx="1580">
                  <c:v>90.30083</c:v>
                </c:pt>
                <c:pt idx="1581">
                  <c:v>90.29885</c:v>
                </c:pt>
                <c:pt idx="1582">
                  <c:v>90.29678</c:v>
                </c:pt>
                <c:pt idx="1583">
                  <c:v>90.29472</c:v>
                </c:pt>
                <c:pt idx="1584">
                  <c:v>90.29174</c:v>
                </c:pt>
                <c:pt idx="1585">
                  <c:v>90.28968</c:v>
                </c:pt>
                <c:pt idx="1586">
                  <c:v>90.28662</c:v>
                </c:pt>
                <c:pt idx="1587">
                  <c:v>90.28563000000001</c:v>
                </c:pt>
                <c:pt idx="1588">
                  <c:v>90.28364</c:v>
                </c:pt>
                <c:pt idx="1589">
                  <c:v>90.28364</c:v>
                </c:pt>
                <c:pt idx="1590">
                  <c:v>90.27959</c:v>
                </c:pt>
                <c:pt idx="1591">
                  <c:v>90.27852</c:v>
                </c:pt>
                <c:pt idx="1592">
                  <c:v>90.27553999999998</c:v>
                </c:pt>
                <c:pt idx="1593">
                  <c:v>90.27347999999998</c:v>
                </c:pt>
                <c:pt idx="1594">
                  <c:v>90.27149</c:v>
                </c:pt>
                <c:pt idx="1595">
                  <c:v>90.26943</c:v>
                </c:pt>
                <c:pt idx="1596">
                  <c:v>90.26638</c:v>
                </c:pt>
                <c:pt idx="1597">
                  <c:v>90.26439</c:v>
                </c:pt>
                <c:pt idx="1598">
                  <c:v>90.26339</c:v>
                </c:pt>
                <c:pt idx="1599">
                  <c:v>90.26034</c:v>
                </c:pt>
                <c:pt idx="1600">
                  <c:v>90.26034</c:v>
                </c:pt>
                <c:pt idx="1601">
                  <c:v>90.24918</c:v>
                </c:pt>
                <c:pt idx="1602">
                  <c:v>90.24918</c:v>
                </c:pt>
                <c:pt idx="1603">
                  <c:v>90.24918</c:v>
                </c:pt>
                <c:pt idx="1604">
                  <c:v>90.24918</c:v>
                </c:pt>
                <c:pt idx="1605">
                  <c:v>90.24918</c:v>
                </c:pt>
                <c:pt idx="1606">
                  <c:v>90.24819</c:v>
                </c:pt>
                <c:pt idx="1607">
                  <c:v>90.24819</c:v>
                </c:pt>
                <c:pt idx="1608">
                  <c:v>90.24712</c:v>
                </c:pt>
                <c:pt idx="1609">
                  <c:v>90.24208</c:v>
                </c:pt>
                <c:pt idx="1610">
                  <c:v>90.23803</c:v>
                </c:pt>
                <c:pt idx="1611">
                  <c:v>90.23604</c:v>
                </c:pt>
                <c:pt idx="1612">
                  <c:v>90.23398</c:v>
                </c:pt>
                <c:pt idx="1613">
                  <c:v>90.23092</c:v>
                </c:pt>
                <c:pt idx="1614">
                  <c:v>90.22993</c:v>
                </c:pt>
                <c:pt idx="1615">
                  <c:v>90.22687</c:v>
                </c:pt>
                <c:pt idx="1616">
                  <c:v>90.22488</c:v>
                </c:pt>
                <c:pt idx="1617">
                  <c:v>90.22382</c:v>
                </c:pt>
                <c:pt idx="1618">
                  <c:v>90.22183</c:v>
                </c:pt>
                <c:pt idx="1619">
                  <c:v>90.21977</c:v>
                </c:pt>
                <c:pt idx="1620">
                  <c:v>90.21572</c:v>
                </c:pt>
                <c:pt idx="1621">
                  <c:v>90.21472</c:v>
                </c:pt>
                <c:pt idx="1622">
                  <c:v>90.21167000000002</c:v>
                </c:pt>
                <c:pt idx="1623">
                  <c:v>90.21167000000002</c:v>
                </c:pt>
                <c:pt idx="1624">
                  <c:v>90.20968</c:v>
                </c:pt>
                <c:pt idx="1625">
                  <c:v>90.20868</c:v>
                </c:pt>
                <c:pt idx="1626">
                  <c:v>90.20058</c:v>
                </c:pt>
                <c:pt idx="1627">
                  <c:v>90.19546999999998</c:v>
                </c:pt>
                <c:pt idx="1628">
                  <c:v>90.19546999999998</c:v>
                </c:pt>
                <c:pt idx="1629">
                  <c:v>90.19546999999998</c:v>
                </c:pt>
                <c:pt idx="1630">
                  <c:v>90.19546999999998</c:v>
                </c:pt>
                <c:pt idx="1631">
                  <c:v>90.19447</c:v>
                </c:pt>
                <c:pt idx="1632">
                  <c:v>90.19247999999975</c:v>
                </c:pt>
                <c:pt idx="1633">
                  <c:v>90.19347999999998</c:v>
                </c:pt>
                <c:pt idx="1634">
                  <c:v>90.19247999999975</c:v>
                </c:pt>
                <c:pt idx="1635">
                  <c:v>90.18842999999998</c:v>
                </c:pt>
                <c:pt idx="1636">
                  <c:v>90.18537999999845</c:v>
                </c:pt>
                <c:pt idx="1637">
                  <c:v>90.18331999999998</c:v>
                </c:pt>
                <c:pt idx="1638">
                  <c:v>90.17926999999997</c:v>
                </c:pt>
                <c:pt idx="1639">
                  <c:v>90.17621</c:v>
                </c:pt>
                <c:pt idx="1640">
                  <c:v>90.17422</c:v>
                </c:pt>
                <c:pt idx="1641">
                  <c:v>90.17215999999995</c:v>
                </c:pt>
                <c:pt idx="1642">
                  <c:v>90.17116999999997</c:v>
                </c:pt>
                <c:pt idx="1643">
                  <c:v>90.16917999999998</c:v>
                </c:pt>
                <c:pt idx="1644">
                  <c:v>90.16712</c:v>
                </c:pt>
                <c:pt idx="1645">
                  <c:v>90.16406</c:v>
                </c:pt>
                <c:pt idx="1646">
                  <c:v>90.16206999999998</c:v>
                </c:pt>
                <c:pt idx="1647">
                  <c:v>90.16001</c:v>
                </c:pt>
                <c:pt idx="1648">
                  <c:v>90.15801999999998</c:v>
                </c:pt>
                <c:pt idx="1649">
                  <c:v>90.15396999999998</c:v>
                </c:pt>
                <c:pt idx="1650">
                  <c:v>90.15191</c:v>
                </c:pt>
                <c:pt idx="1651">
                  <c:v>90.14992</c:v>
                </c:pt>
                <c:pt idx="1652">
                  <c:v>90.14786</c:v>
                </c:pt>
                <c:pt idx="1653">
                  <c:v>90.14687</c:v>
                </c:pt>
                <c:pt idx="1654">
                  <c:v>90.14481</c:v>
                </c:pt>
                <c:pt idx="1655">
                  <c:v>90.14381</c:v>
                </c:pt>
                <c:pt idx="1656">
                  <c:v>90.14182</c:v>
                </c:pt>
                <c:pt idx="1657">
                  <c:v>90.13876999999998</c:v>
                </c:pt>
                <c:pt idx="1658">
                  <c:v>90.13570999999965</c:v>
                </c:pt>
                <c:pt idx="1659">
                  <c:v>90.13472</c:v>
                </c:pt>
                <c:pt idx="1660">
                  <c:v>90.13166</c:v>
                </c:pt>
                <c:pt idx="1661">
                  <c:v>90.12967</c:v>
                </c:pt>
                <c:pt idx="1662">
                  <c:v>90.12761</c:v>
                </c:pt>
                <c:pt idx="1663">
                  <c:v>90.12662</c:v>
                </c:pt>
                <c:pt idx="1664">
                  <c:v>90.12356</c:v>
                </c:pt>
                <c:pt idx="1665">
                  <c:v>90.12157</c:v>
                </c:pt>
                <c:pt idx="1666">
                  <c:v>90.11951</c:v>
                </c:pt>
                <c:pt idx="1667">
                  <c:v>90.11752</c:v>
                </c:pt>
                <c:pt idx="1668">
                  <c:v>90.11447</c:v>
                </c:pt>
                <c:pt idx="1669">
                  <c:v>90.1134</c:v>
                </c:pt>
                <c:pt idx="1670">
                  <c:v>90.11042</c:v>
                </c:pt>
                <c:pt idx="1671">
                  <c:v>90.10835999999995</c:v>
                </c:pt>
                <c:pt idx="1672">
                  <c:v>90.10636999999998</c:v>
                </c:pt>
                <c:pt idx="1673">
                  <c:v>90.10431</c:v>
                </c:pt>
                <c:pt idx="1674">
                  <c:v>90.10125</c:v>
                </c:pt>
                <c:pt idx="1675">
                  <c:v>90.09926</c:v>
                </c:pt>
                <c:pt idx="1676">
                  <c:v>90.09827000000001</c:v>
                </c:pt>
                <c:pt idx="1677">
                  <c:v>90.09521</c:v>
                </c:pt>
                <c:pt idx="1678">
                  <c:v>90.09315</c:v>
                </c:pt>
                <c:pt idx="1679">
                  <c:v>90.09116</c:v>
                </c:pt>
                <c:pt idx="1680">
                  <c:v>90.09017</c:v>
                </c:pt>
                <c:pt idx="1681">
                  <c:v>90.08711</c:v>
                </c:pt>
                <c:pt idx="1682">
                  <c:v>90.08406</c:v>
                </c:pt>
                <c:pt idx="1683">
                  <c:v>90.08206999999997</c:v>
                </c:pt>
                <c:pt idx="1684">
                  <c:v>90.081</c:v>
                </c:pt>
                <c:pt idx="1685">
                  <c:v>90.08001</c:v>
                </c:pt>
                <c:pt idx="1686">
                  <c:v>90.07795</c:v>
                </c:pt>
                <c:pt idx="1687">
                  <c:v>90.07497</c:v>
                </c:pt>
                <c:pt idx="1688">
                  <c:v>90.07191</c:v>
                </c:pt>
                <c:pt idx="1689">
                  <c:v>90.06985</c:v>
                </c:pt>
                <c:pt idx="1690">
                  <c:v>90.06687</c:v>
                </c:pt>
                <c:pt idx="1691">
                  <c:v>90.06579999999998</c:v>
                </c:pt>
                <c:pt idx="1692">
                  <c:v>90.06381</c:v>
                </c:pt>
                <c:pt idx="1693">
                  <c:v>90.06175</c:v>
                </c:pt>
                <c:pt idx="1694">
                  <c:v>90.05975999999998</c:v>
                </c:pt>
                <c:pt idx="1695">
                  <c:v>90.05975999999998</c:v>
                </c:pt>
                <c:pt idx="1696">
                  <c:v>90.05876999999998</c:v>
                </c:pt>
                <c:pt idx="1697">
                  <c:v>90.05472</c:v>
                </c:pt>
                <c:pt idx="1698">
                  <c:v>90.05166</c:v>
                </c:pt>
                <c:pt idx="1699">
                  <c:v>90.04861</c:v>
                </c:pt>
                <c:pt idx="1700">
                  <c:v>90.04662</c:v>
                </c:pt>
                <c:pt idx="1701">
                  <c:v>90.04456</c:v>
                </c:pt>
                <c:pt idx="1702">
                  <c:v>90.0425</c:v>
                </c:pt>
                <c:pt idx="1703">
                  <c:v>90.03951</c:v>
                </c:pt>
                <c:pt idx="1704">
                  <c:v>90.03844999999998</c:v>
                </c:pt>
                <c:pt idx="1705">
                  <c:v>90.0334</c:v>
                </c:pt>
                <c:pt idx="1706">
                  <c:v>90.02736</c:v>
                </c:pt>
                <c:pt idx="1707">
                  <c:v>90.02736</c:v>
                </c:pt>
                <c:pt idx="1708">
                  <c:v>90.03546</c:v>
                </c:pt>
                <c:pt idx="1709">
                  <c:v>90.03241</c:v>
                </c:pt>
                <c:pt idx="1710">
                  <c:v>90.02835999999998</c:v>
                </c:pt>
                <c:pt idx="1711">
                  <c:v>90.02529999999997</c:v>
                </c:pt>
                <c:pt idx="1712">
                  <c:v>90.02225</c:v>
                </c:pt>
                <c:pt idx="1713">
                  <c:v>90.02026</c:v>
                </c:pt>
                <c:pt idx="1714">
                  <c:v>90.0182</c:v>
                </c:pt>
                <c:pt idx="1715">
                  <c:v>90.01621</c:v>
                </c:pt>
                <c:pt idx="1716">
                  <c:v>90.01415</c:v>
                </c:pt>
                <c:pt idx="1717">
                  <c:v>90.01216</c:v>
                </c:pt>
                <c:pt idx="1718">
                  <c:v>90.0091</c:v>
                </c:pt>
                <c:pt idx="1719">
                  <c:v>90.00711</c:v>
                </c:pt>
                <c:pt idx="1720">
                  <c:v>90.00504999999998</c:v>
                </c:pt>
                <c:pt idx="1721">
                  <c:v>90.00298999999998</c:v>
                </c:pt>
                <c:pt idx="1722">
                  <c:v>90.001</c:v>
                </c:pt>
                <c:pt idx="1723">
                  <c:v>89.99894</c:v>
                </c:pt>
                <c:pt idx="1724">
                  <c:v>89.99596</c:v>
                </c:pt>
                <c:pt idx="1725">
                  <c:v>89.99489</c:v>
                </c:pt>
                <c:pt idx="1726">
                  <c:v>89.99191</c:v>
                </c:pt>
                <c:pt idx="1727">
                  <c:v>89.99084</c:v>
                </c:pt>
                <c:pt idx="1728">
                  <c:v>89.98786</c:v>
                </c:pt>
                <c:pt idx="1729">
                  <c:v>89.9848</c:v>
                </c:pt>
                <c:pt idx="1730">
                  <c:v>89.98273999999998</c:v>
                </c:pt>
                <c:pt idx="1731">
                  <c:v>89.98175</c:v>
                </c:pt>
                <c:pt idx="1732">
                  <c:v>89.98075</c:v>
                </c:pt>
                <c:pt idx="1733">
                  <c:v>89.97770000000001</c:v>
                </c:pt>
                <c:pt idx="1734">
                  <c:v>89.97464</c:v>
                </c:pt>
                <c:pt idx="1735">
                  <c:v>89.97265</c:v>
                </c:pt>
                <c:pt idx="1736">
                  <c:v>89.97265</c:v>
                </c:pt>
                <c:pt idx="1737">
                  <c:v>89.9696</c:v>
                </c:pt>
                <c:pt idx="1738">
                  <c:v>89.9686</c:v>
                </c:pt>
                <c:pt idx="1739">
                  <c:v>89.96555</c:v>
                </c:pt>
                <c:pt idx="1740">
                  <c:v>89.9615</c:v>
                </c:pt>
                <c:pt idx="1741">
                  <c:v>89.9605</c:v>
                </c:pt>
                <c:pt idx="1742">
                  <c:v>89.95843999999998</c:v>
                </c:pt>
                <c:pt idx="1743">
                  <c:v>89.95645</c:v>
                </c:pt>
                <c:pt idx="1744">
                  <c:v>89.95439</c:v>
                </c:pt>
                <c:pt idx="1745">
                  <c:v>89.95745</c:v>
                </c:pt>
                <c:pt idx="1746">
                  <c:v>89.94324</c:v>
                </c:pt>
                <c:pt idx="1747">
                  <c:v>89.94324</c:v>
                </c:pt>
                <c:pt idx="1748">
                  <c:v>89.94430000000002</c:v>
                </c:pt>
                <c:pt idx="1749">
                  <c:v>89.94430000000002</c:v>
                </c:pt>
                <c:pt idx="1750">
                  <c:v>89.94835</c:v>
                </c:pt>
                <c:pt idx="1751">
                  <c:v>89.94729</c:v>
                </c:pt>
                <c:pt idx="1752">
                  <c:v>89.93414</c:v>
                </c:pt>
                <c:pt idx="1753">
                  <c:v>89.93109</c:v>
                </c:pt>
                <c:pt idx="1754">
                  <c:v>89.93009</c:v>
                </c:pt>
                <c:pt idx="1755">
                  <c:v>89.93109</c:v>
                </c:pt>
                <c:pt idx="1756">
                  <c:v>89.93009</c:v>
                </c:pt>
                <c:pt idx="1757">
                  <c:v>89.9291</c:v>
                </c:pt>
                <c:pt idx="1758">
                  <c:v>89.92803</c:v>
                </c:pt>
                <c:pt idx="1759">
                  <c:v>89.92803</c:v>
                </c:pt>
                <c:pt idx="1760">
                  <c:v>89.92604</c:v>
                </c:pt>
                <c:pt idx="1761">
                  <c:v>89.91993</c:v>
                </c:pt>
                <c:pt idx="1762">
                  <c:v>89.91794</c:v>
                </c:pt>
                <c:pt idx="1763">
                  <c:v>89.91489</c:v>
                </c:pt>
                <c:pt idx="1764">
                  <c:v>89.9129</c:v>
                </c:pt>
                <c:pt idx="1765">
                  <c:v>89.91183</c:v>
                </c:pt>
                <c:pt idx="1766">
                  <c:v>89.90984</c:v>
                </c:pt>
                <c:pt idx="1767">
                  <c:v>89.90679</c:v>
                </c:pt>
                <c:pt idx="1768">
                  <c:v>89.9048</c:v>
                </c:pt>
                <c:pt idx="1769">
                  <c:v>89.90273999999998</c:v>
                </c:pt>
                <c:pt idx="1770">
                  <c:v>89.90075</c:v>
                </c:pt>
                <c:pt idx="1771">
                  <c:v>89.89769</c:v>
                </c:pt>
                <c:pt idx="1772">
                  <c:v>89.89563</c:v>
                </c:pt>
                <c:pt idx="1773">
                  <c:v>89.89563</c:v>
                </c:pt>
                <c:pt idx="1774">
                  <c:v>89.89364</c:v>
                </c:pt>
                <c:pt idx="1775">
                  <c:v>89.89059</c:v>
                </c:pt>
                <c:pt idx="1776">
                  <c:v>89.88852999999997</c:v>
                </c:pt>
                <c:pt idx="1777">
                  <c:v>89.88653999999998</c:v>
                </c:pt>
                <c:pt idx="1778">
                  <c:v>89.88447999999998</c:v>
                </c:pt>
                <c:pt idx="1779">
                  <c:v>89.88149</c:v>
                </c:pt>
                <c:pt idx="1780">
                  <c:v>89.88042999999997</c:v>
                </c:pt>
                <c:pt idx="1781">
                  <c:v>89.87744999999998</c:v>
                </c:pt>
                <c:pt idx="1782">
                  <c:v>89.87537999999816</c:v>
                </c:pt>
                <c:pt idx="1783">
                  <c:v>89.87339999999975</c:v>
                </c:pt>
                <c:pt idx="1784">
                  <c:v>89.87132999999998</c:v>
                </c:pt>
                <c:pt idx="1785">
                  <c:v>89.86728</c:v>
                </c:pt>
                <c:pt idx="1786">
                  <c:v>89.86629</c:v>
                </c:pt>
                <c:pt idx="1787">
                  <c:v>89.86423</c:v>
                </c:pt>
                <c:pt idx="1788">
                  <c:v>89.86324</c:v>
                </c:pt>
                <c:pt idx="1789">
                  <c:v>89.86117</c:v>
                </c:pt>
                <c:pt idx="1790">
                  <c:v>89.85919</c:v>
                </c:pt>
                <c:pt idx="1791">
                  <c:v>89.85712</c:v>
                </c:pt>
                <c:pt idx="1792">
                  <c:v>89.85414</c:v>
                </c:pt>
                <c:pt idx="1793">
                  <c:v>89.85207999999928</c:v>
                </c:pt>
                <c:pt idx="1794">
                  <c:v>89.85008999999998</c:v>
                </c:pt>
                <c:pt idx="1795">
                  <c:v>89.84803</c:v>
                </c:pt>
                <c:pt idx="1796">
                  <c:v>89.84704</c:v>
                </c:pt>
                <c:pt idx="1797">
                  <c:v>89.84398</c:v>
                </c:pt>
                <c:pt idx="1798">
                  <c:v>89.84299</c:v>
                </c:pt>
                <c:pt idx="1799">
                  <c:v>89.84299</c:v>
                </c:pt>
                <c:pt idx="1800">
                  <c:v>89.83282999999998</c:v>
                </c:pt>
                <c:pt idx="1801">
                  <c:v>89.82983999999995</c:v>
                </c:pt>
                <c:pt idx="1802">
                  <c:v>89.82983999999995</c:v>
                </c:pt>
                <c:pt idx="1803">
                  <c:v>89.83794</c:v>
                </c:pt>
                <c:pt idx="1804">
                  <c:v>89.83282999999998</c:v>
                </c:pt>
                <c:pt idx="1805">
                  <c:v>89.82877999999845</c:v>
                </c:pt>
                <c:pt idx="1806">
                  <c:v>89.82571999999985</c:v>
                </c:pt>
                <c:pt idx="1807">
                  <c:v>89.82472999999997</c:v>
                </c:pt>
                <c:pt idx="1808">
                  <c:v>89.82167</c:v>
                </c:pt>
                <c:pt idx="1809">
                  <c:v>89.81869</c:v>
                </c:pt>
                <c:pt idx="1810">
                  <c:v>89.81663</c:v>
                </c:pt>
                <c:pt idx="1811">
                  <c:v>89.81464</c:v>
                </c:pt>
                <c:pt idx="1812">
                  <c:v>89.81158</c:v>
                </c:pt>
                <c:pt idx="1813">
                  <c:v>89.80952</c:v>
                </c:pt>
                <c:pt idx="1814">
                  <c:v>89.80753</c:v>
                </c:pt>
                <c:pt idx="1815">
                  <c:v>89.80546999999998</c:v>
                </c:pt>
                <c:pt idx="1816">
                  <c:v>89.80448</c:v>
                </c:pt>
                <c:pt idx="1817">
                  <c:v>89.80142</c:v>
                </c:pt>
                <c:pt idx="1818">
                  <c:v>89.79844</c:v>
                </c:pt>
                <c:pt idx="1819">
                  <c:v>89.79638</c:v>
                </c:pt>
                <c:pt idx="1820">
                  <c:v>89.79537999999998</c:v>
                </c:pt>
                <c:pt idx="1821">
                  <c:v>89.79332</c:v>
                </c:pt>
                <c:pt idx="1822">
                  <c:v>89.79332</c:v>
                </c:pt>
                <c:pt idx="1823">
                  <c:v>89.78423</c:v>
                </c:pt>
                <c:pt idx="1824">
                  <c:v>89.77917999999998</c:v>
                </c:pt>
                <c:pt idx="1825">
                  <c:v>89.78117</c:v>
                </c:pt>
                <c:pt idx="1826">
                  <c:v>89.78018</c:v>
                </c:pt>
                <c:pt idx="1827">
                  <c:v>89.78018</c:v>
                </c:pt>
                <c:pt idx="1828">
                  <c:v>89.77812</c:v>
                </c:pt>
                <c:pt idx="1829">
                  <c:v>89.77712</c:v>
                </c:pt>
                <c:pt idx="1830">
                  <c:v>89.77712</c:v>
                </c:pt>
                <c:pt idx="1831">
                  <c:v>89.77712</c:v>
                </c:pt>
                <c:pt idx="1832">
                  <c:v>89.77207999999958</c:v>
                </c:pt>
                <c:pt idx="1833">
                  <c:v>89.76902</c:v>
                </c:pt>
                <c:pt idx="1834">
                  <c:v>89.76497</c:v>
                </c:pt>
                <c:pt idx="1835">
                  <c:v>89.76398</c:v>
                </c:pt>
                <c:pt idx="1836">
                  <c:v>89.76192</c:v>
                </c:pt>
                <c:pt idx="1837">
                  <c:v>89.75893</c:v>
                </c:pt>
                <c:pt idx="1838">
                  <c:v>89.75787</c:v>
                </c:pt>
                <c:pt idx="1839">
                  <c:v>89.75488</c:v>
                </c:pt>
                <c:pt idx="1840">
                  <c:v>89.75282</c:v>
                </c:pt>
                <c:pt idx="1841">
                  <c:v>89.75076</c:v>
                </c:pt>
                <c:pt idx="1842">
                  <c:v>89.74877</c:v>
                </c:pt>
                <c:pt idx="1843">
                  <c:v>89.74671</c:v>
                </c:pt>
                <c:pt idx="1844">
                  <c:v>89.74373000000001</c:v>
                </c:pt>
                <c:pt idx="1845">
                  <c:v>89.74266</c:v>
                </c:pt>
                <c:pt idx="1846">
                  <c:v>89.74167000000002</c:v>
                </c:pt>
                <c:pt idx="1847">
                  <c:v>89.73968</c:v>
                </c:pt>
                <c:pt idx="1848">
                  <c:v>89.73662</c:v>
                </c:pt>
                <c:pt idx="1849">
                  <c:v>89.73456</c:v>
                </c:pt>
                <c:pt idx="1850">
                  <c:v>89.73158</c:v>
                </c:pt>
                <c:pt idx="1851">
                  <c:v>89.73051</c:v>
                </c:pt>
                <c:pt idx="1852">
                  <c:v>89.72852</c:v>
                </c:pt>
                <c:pt idx="1853">
                  <c:v>89.72646</c:v>
                </c:pt>
                <c:pt idx="1854">
                  <c:v>89.72347999999998</c:v>
                </c:pt>
                <c:pt idx="1855">
                  <c:v>89.72142</c:v>
                </c:pt>
                <c:pt idx="1856">
                  <c:v>89.71836</c:v>
                </c:pt>
                <c:pt idx="1857">
                  <c:v>89.71737</c:v>
                </c:pt>
                <c:pt idx="1858">
                  <c:v>89.71531</c:v>
                </c:pt>
                <c:pt idx="1859">
                  <c:v>89.71332</c:v>
                </c:pt>
                <c:pt idx="1860">
                  <c:v>89.71126</c:v>
                </c:pt>
                <c:pt idx="1861">
                  <c:v>89.70827000000001</c:v>
                </c:pt>
                <c:pt idx="1862">
                  <c:v>89.70621</c:v>
                </c:pt>
                <c:pt idx="1863">
                  <c:v>89.70422</c:v>
                </c:pt>
                <c:pt idx="1864">
                  <c:v>89.70216</c:v>
                </c:pt>
                <c:pt idx="1865">
                  <c:v>89.70117</c:v>
                </c:pt>
                <c:pt idx="1866">
                  <c:v>89.69911</c:v>
                </c:pt>
                <c:pt idx="1867">
                  <c:v>89.69612</c:v>
                </c:pt>
                <c:pt idx="1868">
                  <c:v>89.69406</c:v>
                </c:pt>
                <c:pt idx="1869">
                  <c:v>89.69101</c:v>
                </c:pt>
                <c:pt idx="1870">
                  <c:v>89.69001</c:v>
                </c:pt>
                <c:pt idx="1871">
                  <c:v>89.68902</c:v>
                </c:pt>
                <c:pt idx="1872">
                  <c:v>89.68595999999998</c:v>
                </c:pt>
                <c:pt idx="1873">
                  <c:v>89.68290999999998</c:v>
                </c:pt>
                <c:pt idx="1874">
                  <c:v>89.67984999999948</c:v>
                </c:pt>
                <c:pt idx="1875">
                  <c:v>89.67785999999998</c:v>
                </c:pt>
                <c:pt idx="1876">
                  <c:v>89.67579999999845</c:v>
                </c:pt>
                <c:pt idx="1877">
                  <c:v>89.67380999999965</c:v>
                </c:pt>
                <c:pt idx="1878">
                  <c:v>89.67075999999938</c:v>
                </c:pt>
                <c:pt idx="1879">
                  <c:v>89.66975999999998</c:v>
                </c:pt>
                <c:pt idx="1880">
                  <c:v>89.6677</c:v>
                </c:pt>
                <c:pt idx="1881">
                  <c:v>89.66570999999985</c:v>
                </c:pt>
                <c:pt idx="1882">
                  <c:v>89.66472</c:v>
                </c:pt>
                <c:pt idx="1883">
                  <c:v>89.66166</c:v>
                </c:pt>
                <c:pt idx="1884">
                  <c:v>89.6596</c:v>
                </c:pt>
                <c:pt idx="1885">
                  <c:v>89.65762</c:v>
                </c:pt>
                <c:pt idx="1886">
                  <c:v>89.65554999999995</c:v>
                </c:pt>
                <c:pt idx="1887">
                  <c:v>89.65356999999997</c:v>
                </c:pt>
                <c:pt idx="1888">
                  <c:v>89.6515</c:v>
                </c:pt>
                <c:pt idx="1889">
                  <c:v>89.64952</c:v>
                </c:pt>
                <c:pt idx="1890">
                  <c:v>89.64745</c:v>
                </c:pt>
                <c:pt idx="1891">
                  <c:v>89.6444</c:v>
                </c:pt>
                <c:pt idx="1892">
                  <c:v>89.64241</c:v>
                </c:pt>
                <c:pt idx="1893">
                  <c:v>89.64035</c:v>
                </c:pt>
                <c:pt idx="1894">
                  <c:v>89.63835999999995</c:v>
                </c:pt>
                <c:pt idx="1895">
                  <c:v>89.6363</c:v>
                </c:pt>
                <c:pt idx="1896">
                  <c:v>89.63332</c:v>
                </c:pt>
                <c:pt idx="1897">
                  <c:v>89.63225</c:v>
                </c:pt>
                <c:pt idx="1898">
                  <c:v>89.62927</c:v>
                </c:pt>
                <c:pt idx="1899">
                  <c:v>89.62721</c:v>
                </c:pt>
                <c:pt idx="1900">
                  <c:v>89.62522</c:v>
                </c:pt>
                <c:pt idx="1901">
                  <c:v>89.62316</c:v>
                </c:pt>
                <c:pt idx="1902">
                  <c:v>89.62009999999998</c:v>
                </c:pt>
                <c:pt idx="1903">
                  <c:v>89.61811</c:v>
                </c:pt>
                <c:pt idx="1904">
                  <c:v>89.61605</c:v>
                </c:pt>
                <c:pt idx="1905">
                  <c:v>89.61406</c:v>
                </c:pt>
                <c:pt idx="1906">
                  <c:v>89.612</c:v>
                </c:pt>
                <c:pt idx="1907">
                  <c:v>89.61001</c:v>
                </c:pt>
                <c:pt idx="1908">
                  <c:v>89.60795</c:v>
                </c:pt>
                <c:pt idx="1909">
                  <c:v>89.60595999999998</c:v>
                </c:pt>
                <c:pt idx="1910">
                  <c:v>89.60389999999998</c:v>
                </c:pt>
                <c:pt idx="1911">
                  <c:v>89.60290999999998</c:v>
                </c:pt>
                <c:pt idx="1912">
                  <c:v>89.60084999999998</c:v>
                </c:pt>
                <c:pt idx="1913">
                  <c:v>89.59786</c:v>
                </c:pt>
                <c:pt idx="1914">
                  <c:v>89.59481</c:v>
                </c:pt>
                <c:pt idx="1915">
                  <c:v>89.59274999999998</c:v>
                </c:pt>
                <c:pt idx="1916">
                  <c:v>89.59076</c:v>
                </c:pt>
                <c:pt idx="1917">
                  <c:v>89.58869999999997</c:v>
                </c:pt>
                <c:pt idx="1918">
                  <c:v>89.58670999999998</c:v>
                </c:pt>
                <c:pt idx="1919">
                  <c:v>89.58365</c:v>
                </c:pt>
                <c:pt idx="1920">
                  <c:v>89.58166</c:v>
                </c:pt>
                <c:pt idx="1921">
                  <c:v>89.5806</c:v>
                </c:pt>
                <c:pt idx="1922">
                  <c:v>89.57761</c:v>
                </c:pt>
                <c:pt idx="1923">
                  <c:v>89.57554999999998</c:v>
                </c:pt>
                <c:pt idx="1924">
                  <c:v>89.57249999999995</c:v>
                </c:pt>
                <c:pt idx="1925">
                  <c:v>89.57051</c:v>
                </c:pt>
                <c:pt idx="1926">
                  <c:v>89.56944</c:v>
                </c:pt>
                <c:pt idx="1927">
                  <c:v>89.56745</c:v>
                </c:pt>
                <c:pt idx="1928">
                  <c:v>89.5644</c:v>
                </c:pt>
                <c:pt idx="1929">
                  <c:v>89.56241</c:v>
                </c:pt>
                <c:pt idx="1930">
                  <c:v>89.56134</c:v>
                </c:pt>
                <c:pt idx="1931">
                  <c:v>89.55835999999998</c:v>
                </c:pt>
                <c:pt idx="1932">
                  <c:v>89.5563</c:v>
                </c:pt>
                <c:pt idx="1933">
                  <c:v>89.55529999999997</c:v>
                </c:pt>
                <c:pt idx="1934">
                  <c:v>89.55225</c:v>
                </c:pt>
                <c:pt idx="1935">
                  <c:v>89.54919</c:v>
                </c:pt>
                <c:pt idx="1936">
                  <c:v>89.54621</c:v>
                </c:pt>
                <c:pt idx="1937">
                  <c:v>89.54514</c:v>
                </c:pt>
                <c:pt idx="1938">
                  <c:v>89.54415</c:v>
                </c:pt>
                <c:pt idx="1939">
                  <c:v>89.54109</c:v>
                </c:pt>
                <c:pt idx="1940">
                  <c:v>89.53811</c:v>
                </c:pt>
                <c:pt idx="1941">
                  <c:v>89.53605</c:v>
                </c:pt>
                <c:pt idx="1942">
                  <c:v>89.53399</c:v>
                </c:pt>
                <c:pt idx="1943">
                  <c:v>89.532</c:v>
                </c:pt>
                <c:pt idx="1944">
                  <c:v>89.52993999999998</c:v>
                </c:pt>
                <c:pt idx="1945">
                  <c:v>89.52893999999995</c:v>
                </c:pt>
                <c:pt idx="1946">
                  <c:v>89.52588999999985</c:v>
                </c:pt>
                <c:pt idx="1947">
                  <c:v>89.52489</c:v>
                </c:pt>
                <c:pt idx="1948">
                  <c:v>89.52289999999998</c:v>
                </c:pt>
                <c:pt idx="1949">
                  <c:v>89.52083999999998</c:v>
                </c:pt>
                <c:pt idx="1950">
                  <c:v>89.51273999999998</c:v>
                </c:pt>
                <c:pt idx="1951">
                  <c:v>89.50969</c:v>
                </c:pt>
                <c:pt idx="1952">
                  <c:v>89.51075</c:v>
                </c:pt>
                <c:pt idx="1953">
                  <c:v>89.51779</c:v>
                </c:pt>
                <c:pt idx="1954">
                  <c:v>89.51374</c:v>
                </c:pt>
                <c:pt idx="1955">
                  <c:v>89.50869</c:v>
                </c:pt>
                <c:pt idx="1956">
                  <c:v>89.5067</c:v>
                </c:pt>
                <c:pt idx="1957">
                  <c:v>89.50365</c:v>
                </c:pt>
                <c:pt idx="1958">
                  <c:v>89.50059</c:v>
                </c:pt>
                <c:pt idx="1959">
                  <c:v>89.49853</c:v>
                </c:pt>
                <c:pt idx="1960">
                  <c:v>89.49654</c:v>
                </c:pt>
                <c:pt idx="1961">
                  <c:v>89.49448</c:v>
                </c:pt>
                <c:pt idx="1962">
                  <c:v>89.49249</c:v>
                </c:pt>
                <c:pt idx="1963">
                  <c:v>89.48944</c:v>
                </c:pt>
                <c:pt idx="1964">
                  <c:v>89.48745</c:v>
                </c:pt>
                <c:pt idx="1965">
                  <c:v>89.48538999999998</c:v>
                </c:pt>
                <c:pt idx="1966">
                  <c:v>89.4834</c:v>
                </c:pt>
                <c:pt idx="1967">
                  <c:v>89.48034</c:v>
                </c:pt>
                <c:pt idx="1968">
                  <c:v>89.47934999999998</c:v>
                </c:pt>
                <c:pt idx="1969">
                  <c:v>89.47729</c:v>
                </c:pt>
                <c:pt idx="1970">
                  <c:v>89.4753</c:v>
                </c:pt>
                <c:pt idx="1971">
                  <c:v>89.47324</c:v>
                </c:pt>
                <c:pt idx="1972">
                  <c:v>89.47125</c:v>
                </c:pt>
                <c:pt idx="1973">
                  <c:v>89.46919</c:v>
                </c:pt>
                <c:pt idx="1974">
                  <c:v>89.46613</c:v>
                </c:pt>
                <c:pt idx="1975">
                  <c:v>89.46514</c:v>
                </c:pt>
                <c:pt idx="1976">
                  <c:v>89.46109</c:v>
                </c:pt>
                <c:pt idx="1977">
                  <c:v>89.45903000000001</c:v>
                </c:pt>
                <c:pt idx="1978">
                  <c:v>89.45704</c:v>
                </c:pt>
                <c:pt idx="1979">
                  <c:v>89.45605</c:v>
                </c:pt>
                <c:pt idx="1980">
                  <c:v>89.45200000000001</c:v>
                </c:pt>
                <c:pt idx="1981">
                  <c:v>89.44993</c:v>
                </c:pt>
                <c:pt idx="1982">
                  <c:v>89.44894</c:v>
                </c:pt>
                <c:pt idx="1983">
                  <c:v>89.44688</c:v>
                </c:pt>
                <c:pt idx="1984">
                  <c:v>89.4439</c:v>
                </c:pt>
                <c:pt idx="1985">
                  <c:v>89.44183</c:v>
                </c:pt>
                <c:pt idx="1986">
                  <c:v>89.43985</c:v>
                </c:pt>
                <c:pt idx="1987">
                  <c:v>89.43679</c:v>
                </c:pt>
                <c:pt idx="1988">
                  <c:v>89.4358</c:v>
                </c:pt>
                <c:pt idx="1989">
                  <c:v>89.43273999999998</c:v>
                </c:pt>
                <c:pt idx="1990">
                  <c:v>89.42969</c:v>
                </c:pt>
                <c:pt idx="1991">
                  <c:v>89.42869</c:v>
                </c:pt>
                <c:pt idx="1992">
                  <c:v>89.42663</c:v>
                </c:pt>
                <c:pt idx="1993">
                  <c:v>89.42464</c:v>
                </c:pt>
                <c:pt idx="1994">
                  <c:v>89.42257999999998</c:v>
                </c:pt>
                <c:pt idx="1995">
                  <c:v>89.42059</c:v>
                </c:pt>
                <c:pt idx="1996">
                  <c:v>89.41754</c:v>
                </c:pt>
                <c:pt idx="1997">
                  <c:v>89.41548</c:v>
                </c:pt>
                <c:pt idx="1998">
                  <c:v>89.41249</c:v>
                </c:pt>
                <c:pt idx="1999">
                  <c:v>89.41043</c:v>
                </c:pt>
                <c:pt idx="2000">
                  <c:v>89.40844</c:v>
                </c:pt>
                <c:pt idx="2001">
                  <c:v>89.40638</c:v>
                </c:pt>
                <c:pt idx="2002">
                  <c:v>89.40439</c:v>
                </c:pt>
                <c:pt idx="2003">
                  <c:v>89.40134</c:v>
                </c:pt>
                <c:pt idx="2004">
                  <c:v>89.39928</c:v>
                </c:pt>
                <c:pt idx="2005">
                  <c:v>89.39729</c:v>
                </c:pt>
                <c:pt idx="2006">
                  <c:v>89.39523000000001</c:v>
                </c:pt>
                <c:pt idx="2007">
                  <c:v>89.39423</c:v>
                </c:pt>
                <c:pt idx="2008">
                  <c:v>89.39224</c:v>
                </c:pt>
                <c:pt idx="2009">
                  <c:v>89.39018</c:v>
                </c:pt>
                <c:pt idx="2010">
                  <c:v>89.38713000000001</c:v>
                </c:pt>
                <c:pt idx="2011">
                  <c:v>89.38513999999998</c:v>
                </c:pt>
                <c:pt idx="2012">
                  <c:v>89.38207999999958</c:v>
                </c:pt>
                <c:pt idx="2013">
                  <c:v>89.37703999999998</c:v>
                </c:pt>
                <c:pt idx="2014">
                  <c:v>89.37092999999998</c:v>
                </c:pt>
                <c:pt idx="2015">
                  <c:v>89.37092999999998</c:v>
                </c:pt>
                <c:pt idx="2016">
                  <c:v>89.37092999999998</c:v>
                </c:pt>
                <c:pt idx="2017">
                  <c:v>89.36993</c:v>
                </c:pt>
                <c:pt idx="2018">
                  <c:v>89.36787</c:v>
                </c:pt>
                <c:pt idx="2019">
                  <c:v>89.36587999999985</c:v>
                </c:pt>
                <c:pt idx="2020">
                  <c:v>89.36382</c:v>
                </c:pt>
                <c:pt idx="2021">
                  <c:v>89.36382</c:v>
                </c:pt>
                <c:pt idx="2022">
                  <c:v>89.36489</c:v>
                </c:pt>
                <c:pt idx="2023">
                  <c:v>89.36083999999998</c:v>
                </c:pt>
                <c:pt idx="2024">
                  <c:v>89.35571999999995</c:v>
                </c:pt>
                <c:pt idx="2025">
                  <c:v>89.35266999999997</c:v>
                </c:pt>
                <c:pt idx="2026">
                  <c:v>89.35167000000001</c:v>
                </c:pt>
                <c:pt idx="2027">
                  <c:v>89.34862</c:v>
                </c:pt>
                <c:pt idx="2028">
                  <c:v>89.34052</c:v>
                </c:pt>
                <c:pt idx="2029">
                  <c:v>89.33647</c:v>
                </c:pt>
                <c:pt idx="2030">
                  <c:v>89.33753</c:v>
                </c:pt>
                <c:pt idx="2031">
                  <c:v>89.34457</c:v>
                </c:pt>
                <c:pt idx="2032">
                  <c:v>89.34158</c:v>
                </c:pt>
                <c:pt idx="2033">
                  <c:v>89.33546999999998</c:v>
                </c:pt>
                <c:pt idx="2034">
                  <c:v>89.33242</c:v>
                </c:pt>
                <c:pt idx="2035">
                  <c:v>89.33043</c:v>
                </c:pt>
                <c:pt idx="2036">
                  <c:v>89.32836999999998</c:v>
                </c:pt>
                <c:pt idx="2037">
                  <c:v>89.32637999999928</c:v>
                </c:pt>
                <c:pt idx="2038">
                  <c:v>89.32331999999998</c:v>
                </c:pt>
                <c:pt idx="2039">
                  <c:v>89.32027</c:v>
                </c:pt>
                <c:pt idx="2040">
                  <c:v>89.31828</c:v>
                </c:pt>
                <c:pt idx="2041">
                  <c:v>89.31721</c:v>
                </c:pt>
                <c:pt idx="2042">
                  <c:v>89.31522</c:v>
                </c:pt>
                <c:pt idx="2043">
                  <c:v>89.31117</c:v>
                </c:pt>
                <c:pt idx="2044">
                  <c:v>89.30911</c:v>
                </c:pt>
                <c:pt idx="2045">
                  <c:v>89.30812</c:v>
                </c:pt>
                <c:pt idx="2046">
                  <c:v>89.30505999999998</c:v>
                </c:pt>
                <c:pt idx="2047">
                  <c:v>89.30307</c:v>
                </c:pt>
                <c:pt idx="2048">
                  <c:v>89.30002</c:v>
                </c:pt>
                <c:pt idx="2049">
                  <c:v>89.29803</c:v>
                </c:pt>
                <c:pt idx="2050">
                  <c:v>89.29497</c:v>
                </c:pt>
                <c:pt idx="2051">
                  <c:v>89.29192</c:v>
                </c:pt>
                <c:pt idx="2052">
                  <c:v>89.28993000000001</c:v>
                </c:pt>
                <c:pt idx="2053">
                  <c:v>89.28886</c:v>
                </c:pt>
                <c:pt idx="2054">
                  <c:v>89.28787000000001</c:v>
                </c:pt>
                <c:pt idx="2055">
                  <c:v>89.27876999999998</c:v>
                </c:pt>
                <c:pt idx="2056">
                  <c:v>89.27670999999998</c:v>
                </c:pt>
                <c:pt idx="2057">
                  <c:v>89.27571999999998</c:v>
                </c:pt>
                <c:pt idx="2058">
                  <c:v>89.27472</c:v>
                </c:pt>
                <c:pt idx="2059">
                  <c:v>89.27976999999998</c:v>
                </c:pt>
                <c:pt idx="2060">
                  <c:v>89.27771</c:v>
                </c:pt>
                <c:pt idx="2061">
                  <c:v>89.27167</c:v>
                </c:pt>
                <c:pt idx="2062">
                  <c:v>89.26961</c:v>
                </c:pt>
                <c:pt idx="2063">
                  <c:v>89.26662</c:v>
                </c:pt>
                <c:pt idx="2064">
                  <c:v>89.26456</c:v>
                </c:pt>
                <c:pt idx="2065">
                  <c:v>89.26151</c:v>
                </c:pt>
                <c:pt idx="2066">
                  <c:v>89.25952</c:v>
                </c:pt>
                <c:pt idx="2067">
                  <c:v>89.25646</c:v>
                </c:pt>
                <c:pt idx="2068">
                  <c:v>89.25447000000001</c:v>
                </c:pt>
                <c:pt idx="2069">
                  <c:v>89.25142</c:v>
                </c:pt>
                <c:pt idx="2070">
                  <c:v>89.25043</c:v>
                </c:pt>
                <c:pt idx="2071">
                  <c:v>89.2463</c:v>
                </c:pt>
                <c:pt idx="2072">
                  <c:v>89.24431</c:v>
                </c:pt>
                <c:pt idx="2073">
                  <c:v>89.24225</c:v>
                </c:pt>
                <c:pt idx="2074">
                  <c:v>89.24026</c:v>
                </c:pt>
                <c:pt idx="2075">
                  <c:v>89.23721</c:v>
                </c:pt>
                <c:pt idx="2076">
                  <c:v>89.23522</c:v>
                </c:pt>
                <c:pt idx="2077">
                  <c:v>89.23316</c:v>
                </c:pt>
                <c:pt idx="2078">
                  <c:v>89.2301</c:v>
                </c:pt>
                <c:pt idx="2079">
                  <c:v>89.22812</c:v>
                </c:pt>
                <c:pt idx="2080">
                  <c:v>89.22506</c:v>
                </c:pt>
                <c:pt idx="2081">
                  <c:v>89.22307</c:v>
                </c:pt>
                <c:pt idx="2082">
                  <c:v>89.22002</c:v>
                </c:pt>
                <c:pt idx="2083">
                  <c:v>89.21796</c:v>
                </c:pt>
                <c:pt idx="2084">
                  <c:v>89.21696</c:v>
                </c:pt>
                <c:pt idx="2085">
                  <c:v>89.21391</c:v>
                </c:pt>
                <c:pt idx="2086">
                  <c:v>89.21192</c:v>
                </c:pt>
                <c:pt idx="2087">
                  <c:v>89.20986</c:v>
                </c:pt>
                <c:pt idx="2088">
                  <c:v>89.2068</c:v>
                </c:pt>
                <c:pt idx="2089">
                  <c:v>89.20581</c:v>
                </c:pt>
                <c:pt idx="2090">
                  <c:v>89.20274999999998</c:v>
                </c:pt>
                <c:pt idx="2091">
                  <c:v>89.20076</c:v>
                </c:pt>
                <c:pt idx="2092">
                  <c:v>89.19869999999997</c:v>
                </c:pt>
                <c:pt idx="2093">
                  <c:v>89.19670999999998</c:v>
                </c:pt>
                <c:pt idx="2094">
                  <c:v>89.19366</c:v>
                </c:pt>
                <c:pt idx="2095">
                  <c:v>89.1906</c:v>
                </c:pt>
                <c:pt idx="2096">
                  <c:v>89.18762</c:v>
                </c:pt>
                <c:pt idx="2097">
                  <c:v>89.18654999999998</c:v>
                </c:pt>
                <c:pt idx="2098">
                  <c:v>89.18356999999997</c:v>
                </c:pt>
                <c:pt idx="2099">
                  <c:v>89.18151</c:v>
                </c:pt>
                <c:pt idx="2100">
                  <c:v>89.17951999999998</c:v>
                </c:pt>
                <c:pt idx="2101">
                  <c:v>89.17645999999995</c:v>
                </c:pt>
                <c:pt idx="2102">
                  <c:v>89.17439999999995</c:v>
                </c:pt>
                <c:pt idx="2103">
                  <c:v>89.17240999999908</c:v>
                </c:pt>
                <c:pt idx="2104">
                  <c:v>89.16936</c:v>
                </c:pt>
                <c:pt idx="2105">
                  <c:v>89.1673</c:v>
                </c:pt>
                <c:pt idx="2106">
                  <c:v>89.16530999999995</c:v>
                </c:pt>
                <c:pt idx="2107">
                  <c:v>89.16225</c:v>
                </c:pt>
                <c:pt idx="2108">
                  <c:v>89.16026</c:v>
                </c:pt>
                <c:pt idx="2109">
                  <c:v>89.1592</c:v>
                </c:pt>
                <c:pt idx="2110">
                  <c:v>89.15621</c:v>
                </c:pt>
                <c:pt idx="2111">
                  <c:v>89.15415</c:v>
                </c:pt>
                <c:pt idx="2112">
                  <c:v>89.15215999999998</c:v>
                </c:pt>
                <c:pt idx="2113">
                  <c:v>89.14911</c:v>
                </c:pt>
                <c:pt idx="2114">
                  <c:v>89.14705</c:v>
                </c:pt>
                <c:pt idx="2115">
                  <c:v>89.14506</c:v>
                </c:pt>
                <c:pt idx="2116">
                  <c:v>89.142</c:v>
                </c:pt>
                <c:pt idx="2117">
                  <c:v>89.13894999999998</c:v>
                </c:pt>
                <c:pt idx="2118">
                  <c:v>89.13696</c:v>
                </c:pt>
                <c:pt idx="2119">
                  <c:v>89.13389999999998</c:v>
                </c:pt>
                <c:pt idx="2120">
                  <c:v>89.13183999999998</c:v>
                </c:pt>
                <c:pt idx="2121">
                  <c:v>89.12885999999965</c:v>
                </c:pt>
                <c:pt idx="2122">
                  <c:v>89.12679999999965</c:v>
                </c:pt>
                <c:pt idx="2123">
                  <c:v>89.12480999999998</c:v>
                </c:pt>
                <c:pt idx="2124">
                  <c:v>89.12174999999995</c:v>
                </c:pt>
                <c:pt idx="2125">
                  <c:v>89.11969</c:v>
                </c:pt>
                <c:pt idx="2126">
                  <c:v>89.11770000000001</c:v>
                </c:pt>
                <c:pt idx="2127">
                  <c:v>89.11770000000001</c:v>
                </c:pt>
                <c:pt idx="2128">
                  <c:v>89.10554999999998</c:v>
                </c:pt>
                <c:pt idx="2129">
                  <c:v>89.10754</c:v>
                </c:pt>
                <c:pt idx="2130">
                  <c:v>89.11159</c:v>
                </c:pt>
                <c:pt idx="2131">
                  <c:v>89.1096</c:v>
                </c:pt>
                <c:pt idx="2132">
                  <c:v>89.10456</c:v>
                </c:pt>
                <c:pt idx="2133">
                  <c:v>89.10249999999998</c:v>
                </c:pt>
                <c:pt idx="2134">
                  <c:v>89.09944</c:v>
                </c:pt>
                <c:pt idx="2135">
                  <c:v>89.09745</c:v>
                </c:pt>
                <c:pt idx="2136">
                  <c:v>89.09233999999998</c:v>
                </c:pt>
                <c:pt idx="2137">
                  <c:v>89.09035</c:v>
                </c:pt>
                <c:pt idx="2138">
                  <c:v>89.08829</c:v>
                </c:pt>
                <c:pt idx="2139">
                  <c:v>89.0863</c:v>
                </c:pt>
                <c:pt idx="2140">
                  <c:v>89.08424</c:v>
                </c:pt>
                <c:pt idx="2141">
                  <c:v>89.08125</c:v>
                </c:pt>
                <c:pt idx="2142">
                  <c:v>89.07918999999998</c:v>
                </c:pt>
                <c:pt idx="2143">
                  <c:v>89.0772</c:v>
                </c:pt>
                <c:pt idx="2144">
                  <c:v>89.07315</c:v>
                </c:pt>
                <c:pt idx="2145">
                  <c:v>89.07208999999965</c:v>
                </c:pt>
                <c:pt idx="2146">
                  <c:v>89.07009999999998</c:v>
                </c:pt>
                <c:pt idx="2147">
                  <c:v>89.06803999999998</c:v>
                </c:pt>
                <c:pt idx="2148">
                  <c:v>89.06498</c:v>
                </c:pt>
                <c:pt idx="2149">
                  <c:v>89.06200000000001</c:v>
                </c:pt>
                <c:pt idx="2150">
                  <c:v>89.05993999999998</c:v>
                </c:pt>
                <c:pt idx="2151">
                  <c:v>89.05687999999998</c:v>
                </c:pt>
                <c:pt idx="2152">
                  <c:v>89.05489</c:v>
                </c:pt>
                <c:pt idx="2153">
                  <c:v>89.05184</c:v>
                </c:pt>
                <c:pt idx="2154">
                  <c:v>89.04985</c:v>
                </c:pt>
                <c:pt idx="2155">
                  <c:v>89.04679</c:v>
                </c:pt>
                <c:pt idx="2156">
                  <c:v>89.04473</c:v>
                </c:pt>
                <c:pt idx="2157">
                  <c:v>89.04175</c:v>
                </c:pt>
                <c:pt idx="2158">
                  <c:v>89.03969</c:v>
                </c:pt>
                <c:pt idx="2159">
                  <c:v>89.0377</c:v>
                </c:pt>
                <c:pt idx="2160">
                  <c:v>89.03564</c:v>
                </c:pt>
                <c:pt idx="2161">
                  <c:v>89.03257999999998</c:v>
                </c:pt>
                <c:pt idx="2162">
                  <c:v>89.0306</c:v>
                </c:pt>
                <c:pt idx="2163">
                  <c:v>89.02754</c:v>
                </c:pt>
                <c:pt idx="2164">
                  <c:v>89.02547999999948</c:v>
                </c:pt>
                <c:pt idx="2165">
                  <c:v>89.02348999999998</c:v>
                </c:pt>
                <c:pt idx="2166">
                  <c:v>89.02043</c:v>
                </c:pt>
                <c:pt idx="2167">
                  <c:v>89.01845</c:v>
                </c:pt>
                <c:pt idx="2168">
                  <c:v>89.01538999999998</c:v>
                </c:pt>
                <c:pt idx="2169">
                  <c:v>89.01333</c:v>
                </c:pt>
                <c:pt idx="2170">
                  <c:v>89.01035</c:v>
                </c:pt>
                <c:pt idx="2171">
                  <c:v>89.00829</c:v>
                </c:pt>
                <c:pt idx="2172">
                  <c:v>89.00523</c:v>
                </c:pt>
                <c:pt idx="2173">
                  <c:v>89.00324</c:v>
                </c:pt>
                <c:pt idx="2174">
                  <c:v>89.00019</c:v>
                </c:pt>
                <c:pt idx="2175">
                  <c:v>88.9982</c:v>
                </c:pt>
                <c:pt idx="2176">
                  <c:v>88.99614</c:v>
                </c:pt>
                <c:pt idx="2177">
                  <c:v>88.99308</c:v>
                </c:pt>
                <c:pt idx="2178">
                  <c:v>88.99003</c:v>
                </c:pt>
                <c:pt idx="2179">
                  <c:v>88.98804</c:v>
                </c:pt>
                <c:pt idx="2180">
                  <c:v>88.98598</c:v>
                </c:pt>
                <c:pt idx="2181">
                  <c:v>88.98399</c:v>
                </c:pt>
                <c:pt idx="2182">
                  <c:v>88.98093</c:v>
                </c:pt>
                <c:pt idx="2183">
                  <c:v>88.97687999999998</c:v>
                </c:pt>
                <c:pt idx="2184">
                  <c:v>88.97489</c:v>
                </c:pt>
                <c:pt idx="2185">
                  <c:v>88.97383</c:v>
                </c:pt>
                <c:pt idx="2186">
                  <c:v>88.96877999999998</c:v>
                </c:pt>
                <c:pt idx="2187">
                  <c:v>88.96679</c:v>
                </c:pt>
                <c:pt idx="2188">
                  <c:v>88.96473</c:v>
                </c:pt>
                <c:pt idx="2189">
                  <c:v>88.96374</c:v>
                </c:pt>
                <c:pt idx="2190">
                  <c:v>88.96068</c:v>
                </c:pt>
                <c:pt idx="2191">
                  <c:v>88.95869</c:v>
                </c:pt>
                <c:pt idx="2192">
                  <c:v>88.95663</c:v>
                </c:pt>
                <c:pt idx="2193">
                  <c:v>88.95358</c:v>
                </c:pt>
                <c:pt idx="2194">
                  <c:v>88.95052</c:v>
                </c:pt>
                <c:pt idx="2195">
                  <c:v>88.94853</c:v>
                </c:pt>
                <c:pt idx="2196">
                  <c:v>88.94448</c:v>
                </c:pt>
                <c:pt idx="2197">
                  <c:v>88.94242</c:v>
                </c:pt>
                <c:pt idx="2198">
                  <c:v>88.94043</c:v>
                </c:pt>
                <c:pt idx="2199">
                  <c:v>88.93837</c:v>
                </c:pt>
                <c:pt idx="2200">
                  <c:v>88.93638</c:v>
                </c:pt>
                <c:pt idx="2201">
                  <c:v>88.93333000000001</c:v>
                </c:pt>
                <c:pt idx="2202">
                  <c:v>88.93134</c:v>
                </c:pt>
                <c:pt idx="2203">
                  <c:v>88.92828</c:v>
                </c:pt>
                <c:pt idx="2204">
                  <c:v>88.92622</c:v>
                </c:pt>
                <c:pt idx="2205">
                  <c:v>88.92324</c:v>
                </c:pt>
                <c:pt idx="2206">
                  <c:v>88.92118</c:v>
                </c:pt>
                <c:pt idx="2207">
                  <c:v>88.91912</c:v>
                </c:pt>
                <c:pt idx="2208">
                  <c:v>88.91613</c:v>
                </c:pt>
                <c:pt idx="2209">
                  <c:v>88.91407</c:v>
                </c:pt>
                <c:pt idx="2210">
                  <c:v>88.91102</c:v>
                </c:pt>
                <c:pt idx="2211">
                  <c:v>88.90803</c:v>
                </c:pt>
                <c:pt idx="2212">
                  <c:v>88.90498</c:v>
                </c:pt>
                <c:pt idx="2213">
                  <c:v>88.90292</c:v>
                </c:pt>
                <c:pt idx="2214">
                  <c:v>88.90192</c:v>
                </c:pt>
                <c:pt idx="2215">
                  <c:v>88.89886999999997</c:v>
                </c:pt>
                <c:pt idx="2216">
                  <c:v>88.89587999999995</c:v>
                </c:pt>
                <c:pt idx="2217">
                  <c:v>88.89282999999997</c:v>
                </c:pt>
                <c:pt idx="2218">
                  <c:v>88.88976999999998</c:v>
                </c:pt>
                <c:pt idx="2219">
                  <c:v>88.88777999999998</c:v>
                </c:pt>
                <c:pt idx="2220">
                  <c:v>88.88571999999998</c:v>
                </c:pt>
                <c:pt idx="2221">
                  <c:v>88.88267</c:v>
                </c:pt>
                <c:pt idx="2222">
                  <c:v>88.87961</c:v>
                </c:pt>
                <c:pt idx="2223">
                  <c:v>88.87555999999998</c:v>
                </c:pt>
                <c:pt idx="2224">
                  <c:v>88.87356999999998</c:v>
                </c:pt>
                <c:pt idx="2225">
                  <c:v>88.87257999999898</c:v>
                </c:pt>
                <c:pt idx="2226">
                  <c:v>88.87151</c:v>
                </c:pt>
                <c:pt idx="2227">
                  <c:v>88.86853</c:v>
                </c:pt>
                <c:pt idx="2228">
                  <c:v>88.86448</c:v>
                </c:pt>
                <c:pt idx="2229">
                  <c:v>88.86142</c:v>
                </c:pt>
                <c:pt idx="2230">
                  <c:v>88.86043</c:v>
                </c:pt>
                <c:pt idx="2231">
                  <c:v>88.85736999999997</c:v>
                </c:pt>
                <c:pt idx="2232">
                  <c:v>88.85530999999965</c:v>
                </c:pt>
                <c:pt idx="2233">
                  <c:v>88.85232999999998</c:v>
                </c:pt>
                <c:pt idx="2234">
                  <c:v>88.84927</c:v>
                </c:pt>
                <c:pt idx="2235">
                  <c:v>88.85027</c:v>
                </c:pt>
                <c:pt idx="2236">
                  <c:v>88.83812</c:v>
                </c:pt>
                <c:pt idx="2237">
                  <c:v>88.83606</c:v>
                </c:pt>
                <c:pt idx="2238">
                  <c:v>88.83506</c:v>
                </c:pt>
                <c:pt idx="2239">
                  <c:v>88.83606</c:v>
                </c:pt>
                <c:pt idx="2240">
                  <c:v>88.83506</c:v>
                </c:pt>
                <c:pt idx="2241">
                  <c:v>88.83407</c:v>
                </c:pt>
                <c:pt idx="2242">
                  <c:v>88.83407</c:v>
                </c:pt>
                <c:pt idx="2243">
                  <c:v>88.83407</c:v>
                </c:pt>
                <c:pt idx="2244">
                  <c:v>88.82902</c:v>
                </c:pt>
                <c:pt idx="2245">
                  <c:v>88.82391</c:v>
                </c:pt>
                <c:pt idx="2246">
                  <c:v>88.82092999999997</c:v>
                </c:pt>
                <c:pt idx="2247">
                  <c:v>88.81787000000001</c:v>
                </c:pt>
                <c:pt idx="2248">
                  <c:v>88.81581</c:v>
                </c:pt>
                <c:pt idx="2249">
                  <c:v>88.81274999999998</c:v>
                </c:pt>
                <c:pt idx="2250">
                  <c:v>88.81076</c:v>
                </c:pt>
                <c:pt idx="2251">
                  <c:v>88.80771</c:v>
                </c:pt>
                <c:pt idx="2252">
                  <c:v>88.80465</c:v>
                </c:pt>
                <c:pt idx="2253">
                  <c:v>88.80167</c:v>
                </c:pt>
                <c:pt idx="2254">
                  <c:v>88.79961</c:v>
                </c:pt>
                <c:pt idx="2255">
                  <c:v>88.79655</c:v>
                </c:pt>
                <c:pt idx="2256">
                  <c:v>88.79457</c:v>
                </c:pt>
                <c:pt idx="2257">
                  <c:v>88.79151</c:v>
                </c:pt>
                <c:pt idx="2258">
                  <c:v>88.78846</c:v>
                </c:pt>
                <c:pt idx="2259">
                  <c:v>88.78647</c:v>
                </c:pt>
                <c:pt idx="2260">
                  <c:v>88.78341</c:v>
                </c:pt>
                <c:pt idx="2261">
                  <c:v>88.78142</c:v>
                </c:pt>
                <c:pt idx="2262">
                  <c:v>88.77836999999998</c:v>
                </c:pt>
                <c:pt idx="2263">
                  <c:v>88.77737</c:v>
                </c:pt>
                <c:pt idx="2264">
                  <c:v>88.77432</c:v>
                </c:pt>
                <c:pt idx="2265">
                  <c:v>88.77126</c:v>
                </c:pt>
                <c:pt idx="2266">
                  <c:v>88.7692</c:v>
                </c:pt>
                <c:pt idx="2267">
                  <c:v>88.76622</c:v>
                </c:pt>
                <c:pt idx="2268">
                  <c:v>88.76416</c:v>
                </c:pt>
                <c:pt idx="2269">
                  <c:v>88.7611</c:v>
                </c:pt>
                <c:pt idx="2270">
                  <c:v>88.75911</c:v>
                </c:pt>
                <c:pt idx="2271">
                  <c:v>88.75606</c:v>
                </c:pt>
                <c:pt idx="2272">
                  <c:v>88.75407000000001</c:v>
                </c:pt>
                <c:pt idx="2273">
                  <c:v>88.75101</c:v>
                </c:pt>
                <c:pt idx="2274">
                  <c:v>88.74895</c:v>
                </c:pt>
                <c:pt idx="2275">
                  <c:v>88.7449</c:v>
                </c:pt>
                <c:pt idx="2276">
                  <c:v>88.74291</c:v>
                </c:pt>
                <c:pt idx="2277">
                  <c:v>88.74085</c:v>
                </c:pt>
                <c:pt idx="2278">
                  <c:v>88.7378</c:v>
                </c:pt>
                <c:pt idx="2279">
                  <c:v>88.73581</c:v>
                </c:pt>
                <c:pt idx="2280">
                  <c:v>88.73274999999998</c:v>
                </c:pt>
                <c:pt idx="2281">
                  <c:v>88.73076</c:v>
                </c:pt>
                <c:pt idx="2282">
                  <c:v>88.72869999999997</c:v>
                </c:pt>
                <c:pt idx="2283">
                  <c:v>88.72670999999998</c:v>
                </c:pt>
                <c:pt idx="2284">
                  <c:v>88.72465</c:v>
                </c:pt>
                <c:pt idx="2285">
                  <c:v>88.7216</c:v>
                </c:pt>
                <c:pt idx="2286">
                  <c:v>88.71861</c:v>
                </c:pt>
                <c:pt idx="2287">
                  <c:v>88.71655</c:v>
                </c:pt>
                <c:pt idx="2288">
                  <c:v>88.7135</c:v>
                </c:pt>
                <c:pt idx="2289">
                  <c:v>88.71151</c:v>
                </c:pt>
                <c:pt idx="2290">
                  <c:v>88.70845</c:v>
                </c:pt>
                <c:pt idx="2291">
                  <c:v>88.70646</c:v>
                </c:pt>
                <c:pt idx="2292">
                  <c:v>88.69829</c:v>
                </c:pt>
                <c:pt idx="2293">
                  <c:v>88.69530999999998</c:v>
                </c:pt>
                <c:pt idx="2294">
                  <c:v>88.69530999999998</c:v>
                </c:pt>
                <c:pt idx="2295">
                  <c:v>88.70135</c:v>
                </c:pt>
                <c:pt idx="2296">
                  <c:v>88.69730000000001</c:v>
                </c:pt>
                <c:pt idx="2297">
                  <c:v>88.69325</c:v>
                </c:pt>
                <c:pt idx="2298">
                  <c:v>88.6892</c:v>
                </c:pt>
                <c:pt idx="2299">
                  <c:v>88.68721</c:v>
                </c:pt>
                <c:pt idx="2300">
                  <c:v>88.68415</c:v>
                </c:pt>
                <c:pt idx="2301">
                  <c:v>88.6811</c:v>
                </c:pt>
                <c:pt idx="2302">
                  <c:v>88.68009999999998</c:v>
                </c:pt>
                <c:pt idx="2303">
                  <c:v>88.67604999999975</c:v>
                </c:pt>
                <c:pt idx="2304">
                  <c:v>88.67299999999948</c:v>
                </c:pt>
                <c:pt idx="2305">
                  <c:v>88.67100999999998</c:v>
                </c:pt>
                <c:pt idx="2306">
                  <c:v>88.66795</c:v>
                </c:pt>
                <c:pt idx="2307">
                  <c:v>88.66588999999995</c:v>
                </c:pt>
                <c:pt idx="2308">
                  <c:v>88.66283999999958</c:v>
                </c:pt>
                <c:pt idx="2309">
                  <c:v>88.66084999999998</c:v>
                </c:pt>
                <c:pt idx="2310">
                  <c:v>88.65984999999995</c:v>
                </c:pt>
                <c:pt idx="2311">
                  <c:v>88.65068999999998</c:v>
                </c:pt>
                <c:pt idx="2312">
                  <c:v>88.6487</c:v>
                </c:pt>
                <c:pt idx="2313">
                  <c:v>88.6477</c:v>
                </c:pt>
                <c:pt idx="2314">
                  <c:v>88.65473999999985</c:v>
                </c:pt>
                <c:pt idx="2315">
                  <c:v>88.64969</c:v>
                </c:pt>
                <c:pt idx="2316">
                  <c:v>88.64465</c:v>
                </c:pt>
                <c:pt idx="2317">
                  <c:v>88.64159</c:v>
                </c:pt>
                <c:pt idx="2318">
                  <c:v>88.6396</c:v>
                </c:pt>
                <c:pt idx="2319">
                  <c:v>88.63655</c:v>
                </c:pt>
                <c:pt idx="2320">
                  <c:v>88.63348999999998</c:v>
                </c:pt>
                <c:pt idx="2321">
                  <c:v>88.63143</c:v>
                </c:pt>
                <c:pt idx="2322">
                  <c:v>88.62943999999958</c:v>
                </c:pt>
                <c:pt idx="2323">
                  <c:v>88.62638999999928</c:v>
                </c:pt>
                <c:pt idx="2324">
                  <c:v>88.62332999999998</c:v>
                </c:pt>
                <c:pt idx="2325">
                  <c:v>88.62034999999958</c:v>
                </c:pt>
                <c:pt idx="2326">
                  <c:v>88.61829</c:v>
                </c:pt>
                <c:pt idx="2327">
                  <c:v>88.6163</c:v>
                </c:pt>
                <c:pt idx="2328">
                  <c:v>88.61424</c:v>
                </c:pt>
                <c:pt idx="2329">
                  <c:v>88.61225</c:v>
                </c:pt>
                <c:pt idx="2330">
                  <c:v>88.60919</c:v>
                </c:pt>
                <c:pt idx="2331">
                  <c:v>88.60613999999998</c:v>
                </c:pt>
                <c:pt idx="2332">
                  <c:v>88.60307999999995</c:v>
                </c:pt>
                <c:pt idx="2333">
                  <c:v>88.6011</c:v>
                </c:pt>
                <c:pt idx="2334">
                  <c:v>88.59903000000001</c:v>
                </c:pt>
                <c:pt idx="2335">
                  <c:v>88.59498</c:v>
                </c:pt>
                <c:pt idx="2336">
                  <c:v>88.59399</c:v>
                </c:pt>
                <c:pt idx="2337">
                  <c:v>88.5849</c:v>
                </c:pt>
                <c:pt idx="2338">
                  <c:v>88.57977999999908</c:v>
                </c:pt>
                <c:pt idx="2339">
                  <c:v>88.58383</c:v>
                </c:pt>
                <c:pt idx="2340">
                  <c:v>88.58283999999995</c:v>
                </c:pt>
                <c:pt idx="2341">
                  <c:v>88.58184</c:v>
                </c:pt>
                <c:pt idx="2342">
                  <c:v>88.58085</c:v>
                </c:pt>
                <c:pt idx="2343">
                  <c:v>88.58283999999995</c:v>
                </c:pt>
                <c:pt idx="2344">
                  <c:v>88.57977999999908</c:v>
                </c:pt>
                <c:pt idx="2345">
                  <c:v>88.57473999999995</c:v>
                </c:pt>
                <c:pt idx="2346">
                  <c:v>88.56969</c:v>
                </c:pt>
                <c:pt idx="2347">
                  <c:v>88.56664</c:v>
                </c:pt>
                <c:pt idx="2348">
                  <c:v>88.56465</c:v>
                </c:pt>
                <c:pt idx="2349">
                  <c:v>88.56159</c:v>
                </c:pt>
                <c:pt idx="2350">
                  <c:v>88.55953</c:v>
                </c:pt>
                <c:pt idx="2351">
                  <c:v>88.55647999999998</c:v>
                </c:pt>
                <c:pt idx="2352">
                  <c:v>88.55449</c:v>
                </c:pt>
                <c:pt idx="2353">
                  <c:v>88.55143</c:v>
                </c:pt>
                <c:pt idx="2354">
                  <c:v>88.54944</c:v>
                </c:pt>
                <c:pt idx="2355">
                  <c:v>88.54639</c:v>
                </c:pt>
                <c:pt idx="2356">
                  <c:v>88.54433</c:v>
                </c:pt>
                <c:pt idx="2357">
                  <c:v>88.54233999999998</c:v>
                </c:pt>
                <c:pt idx="2358">
                  <c:v>88.54028</c:v>
                </c:pt>
                <c:pt idx="2359">
                  <c:v>88.53829</c:v>
                </c:pt>
                <c:pt idx="2360">
                  <c:v>88.53523000000001</c:v>
                </c:pt>
                <c:pt idx="2361">
                  <c:v>88.53324</c:v>
                </c:pt>
                <c:pt idx="2362">
                  <c:v>88.52919</c:v>
                </c:pt>
                <c:pt idx="2363">
                  <c:v>88.52614</c:v>
                </c:pt>
                <c:pt idx="2364">
                  <c:v>88.52408</c:v>
                </c:pt>
                <c:pt idx="2365">
                  <c:v>88.52307999999998</c:v>
                </c:pt>
                <c:pt idx="2366">
                  <c:v>88.52003</c:v>
                </c:pt>
                <c:pt idx="2367">
                  <c:v>88.51804</c:v>
                </c:pt>
                <c:pt idx="2368">
                  <c:v>88.51498</c:v>
                </c:pt>
                <c:pt idx="2369">
                  <c:v>88.50482</c:v>
                </c:pt>
                <c:pt idx="2370">
                  <c:v>88.50482</c:v>
                </c:pt>
                <c:pt idx="2371">
                  <c:v>88.50886999999997</c:v>
                </c:pt>
                <c:pt idx="2372">
                  <c:v>88.50994</c:v>
                </c:pt>
                <c:pt idx="2373">
                  <c:v>88.50482</c:v>
                </c:pt>
                <c:pt idx="2374">
                  <c:v>88.50076999999997</c:v>
                </c:pt>
                <c:pt idx="2375">
                  <c:v>88.49672</c:v>
                </c:pt>
                <c:pt idx="2376">
                  <c:v>88.49473</c:v>
                </c:pt>
                <c:pt idx="2377">
                  <c:v>88.49168</c:v>
                </c:pt>
                <c:pt idx="2378">
                  <c:v>88.48862</c:v>
                </c:pt>
                <c:pt idx="2379">
                  <c:v>88.48663</c:v>
                </c:pt>
                <c:pt idx="2380">
                  <c:v>88.48457</c:v>
                </c:pt>
                <c:pt idx="2381">
                  <c:v>88.48258</c:v>
                </c:pt>
                <c:pt idx="2382">
                  <c:v>88.47747</c:v>
                </c:pt>
                <c:pt idx="2383">
                  <c:v>88.47448</c:v>
                </c:pt>
                <c:pt idx="2384">
                  <c:v>88.47342</c:v>
                </c:pt>
                <c:pt idx="2385">
                  <c:v>88.47043</c:v>
                </c:pt>
                <c:pt idx="2386">
                  <c:v>88.46738</c:v>
                </c:pt>
                <c:pt idx="2387">
                  <c:v>88.46532</c:v>
                </c:pt>
                <c:pt idx="2388">
                  <c:v>88.46233</c:v>
                </c:pt>
                <c:pt idx="2389">
                  <c:v>88.45928</c:v>
                </c:pt>
                <c:pt idx="2390">
                  <c:v>88.45622</c:v>
                </c:pt>
                <c:pt idx="2391">
                  <c:v>88.45317</c:v>
                </c:pt>
                <c:pt idx="2392">
                  <c:v>88.45011</c:v>
                </c:pt>
                <c:pt idx="2393">
                  <c:v>88.44812</c:v>
                </c:pt>
                <c:pt idx="2394">
                  <c:v>88.44507</c:v>
                </c:pt>
                <c:pt idx="2395">
                  <c:v>88.44308</c:v>
                </c:pt>
                <c:pt idx="2396">
                  <c:v>88.44002</c:v>
                </c:pt>
                <c:pt idx="2397">
                  <c:v>88.43597000000001</c:v>
                </c:pt>
                <c:pt idx="2398">
                  <c:v>88.43391</c:v>
                </c:pt>
                <c:pt idx="2399">
                  <c:v>88.42986</c:v>
                </c:pt>
                <c:pt idx="2400">
                  <c:v>88.42787000000001</c:v>
                </c:pt>
                <c:pt idx="2401">
                  <c:v>88.42482</c:v>
                </c:pt>
                <c:pt idx="2402">
                  <c:v>88.42077</c:v>
                </c:pt>
                <c:pt idx="2403">
                  <c:v>88.41878</c:v>
                </c:pt>
                <c:pt idx="2404">
                  <c:v>88.41572</c:v>
                </c:pt>
                <c:pt idx="2405">
                  <c:v>88.41267</c:v>
                </c:pt>
                <c:pt idx="2406">
                  <c:v>88.40862</c:v>
                </c:pt>
                <c:pt idx="2407">
                  <c:v>88.40656</c:v>
                </c:pt>
                <c:pt idx="2408">
                  <c:v>88.40357</c:v>
                </c:pt>
                <c:pt idx="2409">
                  <c:v>88.40052</c:v>
                </c:pt>
                <c:pt idx="2410">
                  <c:v>88.39746</c:v>
                </c:pt>
                <c:pt idx="2411">
                  <c:v>88.39441</c:v>
                </c:pt>
                <c:pt idx="2412">
                  <c:v>88.39036</c:v>
                </c:pt>
                <c:pt idx="2413">
                  <c:v>88.38836999999998</c:v>
                </c:pt>
                <c:pt idx="2414">
                  <c:v>88.38531999999998</c:v>
                </c:pt>
                <c:pt idx="2415">
                  <c:v>88.38127</c:v>
                </c:pt>
                <c:pt idx="2416">
                  <c:v>88.37927999999998</c:v>
                </c:pt>
                <c:pt idx="2417">
                  <c:v>88.37514999999995</c:v>
                </c:pt>
                <c:pt idx="2418">
                  <c:v>88.37216999999998</c:v>
                </c:pt>
                <c:pt idx="2419">
                  <c:v>88.36912</c:v>
                </c:pt>
                <c:pt idx="2420">
                  <c:v>88.36606</c:v>
                </c:pt>
                <c:pt idx="2421">
                  <c:v>88.36301</c:v>
                </c:pt>
                <c:pt idx="2422">
                  <c:v>88.36002</c:v>
                </c:pt>
                <c:pt idx="2423">
                  <c:v>88.35696999999997</c:v>
                </c:pt>
                <c:pt idx="2424">
                  <c:v>88.35391</c:v>
                </c:pt>
                <c:pt idx="2425">
                  <c:v>88.35085999999998</c:v>
                </c:pt>
                <c:pt idx="2426">
                  <c:v>88.34887</c:v>
                </c:pt>
                <c:pt idx="2427">
                  <c:v>88.34482</c:v>
                </c:pt>
                <c:pt idx="2428">
                  <c:v>88.34176</c:v>
                </c:pt>
                <c:pt idx="2429">
                  <c:v>88.33771</c:v>
                </c:pt>
                <c:pt idx="2430">
                  <c:v>88.33366</c:v>
                </c:pt>
                <c:pt idx="2431">
                  <c:v>88.3316</c:v>
                </c:pt>
                <c:pt idx="2432">
                  <c:v>88.32862</c:v>
                </c:pt>
                <c:pt idx="2433">
                  <c:v>88.32555999999998</c:v>
                </c:pt>
                <c:pt idx="2434">
                  <c:v>88.32151</c:v>
                </c:pt>
                <c:pt idx="2435">
                  <c:v>88.31846</c:v>
                </c:pt>
                <c:pt idx="2436">
                  <c:v>88.31647</c:v>
                </c:pt>
                <c:pt idx="2437">
                  <c:v>88.31135</c:v>
                </c:pt>
                <c:pt idx="2438">
                  <c:v>88.30836999999998</c:v>
                </c:pt>
                <c:pt idx="2439">
                  <c:v>88.30530999999995</c:v>
                </c:pt>
                <c:pt idx="2440">
                  <c:v>88.30325</c:v>
                </c:pt>
                <c:pt idx="2441">
                  <c:v>88.30126</c:v>
                </c:pt>
                <c:pt idx="2442">
                  <c:v>88.29721</c:v>
                </c:pt>
                <c:pt idx="2443">
                  <c:v>88.29316</c:v>
                </c:pt>
                <c:pt idx="2444">
                  <c:v>88.29011</c:v>
                </c:pt>
                <c:pt idx="2445">
                  <c:v>88.28705</c:v>
                </c:pt>
                <c:pt idx="2446">
                  <c:v>88.28506</c:v>
                </c:pt>
                <c:pt idx="2447">
                  <c:v>88.28101</c:v>
                </c:pt>
                <c:pt idx="2448">
                  <c:v>88.27796</c:v>
                </c:pt>
                <c:pt idx="2449">
                  <c:v>88.27589999999998</c:v>
                </c:pt>
                <c:pt idx="2450">
                  <c:v>88.27185</c:v>
                </c:pt>
                <c:pt idx="2451">
                  <c:v>88.26878999999998</c:v>
                </c:pt>
                <c:pt idx="2452">
                  <c:v>88.2668</c:v>
                </c:pt>
                <c:pt idx="2453">
                  <c:v>88.26274999999998</c:v>
                </c:pt>
                <c:pt idx="2454">
                  <c:v>88.2587</c:v>
                </c:pt>
                <c:pt idx="2455">
                  <c:v>88.25565</c:v>
                </c:pt>
                <c:pt idx="2456">
                  <c:v>88.25259</c:v>
                </c:pt>
                <c:pt idx="2457">
                  <c:v>88.24961</c:v>
                </c:pt>
                <c:pt idx="2458">
                  <c:v>88.24655</c:v>
                </c:pt>
                <c:pt idx="2459">
                  <c:v>88.24449</c:v>
                </c:pt>
                <c:pt idx="2460">
                  <c:v>88.2425</c:v>
                </c:pt>
                <c:pt idx="2461">
                  <c:v>88.23334</c:v>
                </c:pt>
                <c:pt idx="2462">
                  <c:v>88.2273</c:v>
                </c:pt>
                <c:pt idx="2463">
                  <c:v>88.2273</c:v>
                </c:pt>
                <c:pt idx="2464">
                  <c:v>88.2263</c:v>
                </c:pt>
                <c:pt idx="2465">
                  <c:v>88.22524</c:v>
                </c:pt>
                <c:pt idx="2466">
                  <c:v>88.22325</c:v>
                </c:pt>
                <c:pt idx="2467">
                  <c:v>88.22119</c:v>
                </c:pt>
                <c:pt idx="2468">
                  <c:v>88.22019</c:v>
                </c:pt>
                <c:pt idx="2469">
                  <c:v>88.22019</c:v>
                </c:pt>
                <c:pt idx="2470">
                  <c:v>88.21515</c:v>
                </c:pt>
                <c:pt idx="2471">
                  <c:v>88.2101</c:v>
                </c:pt>
                <c:pt idx="2472">
                  <c:v>88.20605</c:v>
                </c:pt>
                <c:pt idx="2473">
                  <c:v>88.20399</c:v>
                </c:pt>
                <c:pt idx="2474">
                  <c:v>88.19994</c:v>
                </c:pt>
                <c:pt idx="2475">
                  <c:v>88.19688999999998</c:v>
                </c:pt>
                <c:pt idx="2476">
                  <c:v>88.19383</c:v>
                </c:pt>
                <c:pt idx="2477">
                  <c:v>88.19184</c:v>
                </c:pt>
                <c:pt idx="2478">
                  <c:v>88.18878999999878</c:v>
                </c:pt>
                <c:pt idx="2479">
                  <c:v>88.18572999999998</c:v>
                </c:pt>
                <c:pt idx="2480">
                  <c:v>88.18373999999918</c:v>
                </c:pt>
                <c:pt idx="2481">
                  <c:v>88.17969999999998</c:v>
                </c:pt>
                <c:pt idx="2482">
                  <c:v>88.17763</c:v>
                </c:pt>
                <c:pt idx="2483">
                  <c:v>88.17564999999995</c:v>
                </c:pt>
                <c:pt idx="2484">
                  <c:v>88.17357999999938</c:v>
                </c:pt>
                <c:pt idx="2485">
                  <c:v>88.16953</c:v>
                </c:pt>
                <c:pt idx="2486">
                  <c:v>88.16655</c:v>
                </c:pt>
                <c:pt idx="2487">
                  <c:v>88.1635</c:v>
                </c:pt>
                <c:pt idx="2488">
                  <c:v>88.16144</c:v>
                </c:pt>
                <c:pt idx="2489">
                  <c:v>88.15944999999998</c:v>
                </c:pt>
                <c:pt idx="2490">
                  <c:v>88.15638999999948</c:v>
                </c:pt>
                <c:pt idx="2491">
                  <c:v>88.15432999999997</c:v>
                </c:pt>
                <c:pt idx="2492">
                  <c:v>88.15134999999998</c:v>
                </c:pt>
                <c:pt idx="2493">
                  <c:v>88.14829</c:v>
                </c:pt>
                <c:pt idx="2494">
                  <c:v>88.14623</c:v>
                </c:pt>
                <c:pt idx="2495">
                  <c:v>88.14325</c:v>
                </c:pt>
                <c:pt idx="2496">
                  <c:v>88.14019</c:v>
                </c:pt>
                <c:pt idx="2497">
                  <c:v>88.13812999999997</c:v>
                </c:pt>
                <c:pt idx="2498">
                  <c:v>88.13613999999998</c:v>
                </c:pt>
                <c:pt idx="2499">
                  <c:v>88.13308999999998</c:v>
                </c:pt>
                <c:pt idx="2500">
                  <c:v>88.13003</c:v>
                </c:pt>
                <c:pt idx="2501">
                  <c:v>88.12704999999998</c:v>
                </c:pt>
                <c:pt idx="2502">
                  <c:v>88.12498999999998</c:v>
                </c:pt>
                <c:pt idx="2503">
                  <c:v>88.12193</c:v>
                </c:pt>
                <c:pt idx="2504">
                  <c:v>88.11994</c:v>
                </c:pt>
                <c:pt idx="2505">
                  <c:v>88.11887999999985</c:v>
                </c:pt>
                <c:pt idx="2506">
                  <c:v>88.11483000000001</c:v>
                </c:pt>
                <c:pt idx="2507">
                  <c:v>88.11184</c:v>
                </c:pt>
                <c:pt idx="2508">
                  <c:v>88.10977999999928</c:v>
                </c:pt>
                <c:pt idx="2509">
                  <c:v>88.10778999999998</c:v>
                </c:pt>
                <c:pt idx="2510">
                  <c:v>88.10473999999998</c:v>
                </c:pt>
                <c:pt idx="2511">
                  <c:v>88.10267999999998</c:v>
                </c:pt>
                <c:pt idx="2512">
                  <c:v>88.09969</c:v>
                </c:pt>
                <c:pt idx="2513">
                  <c:v>88.09763</c:v>
                </c:pt>
                <c:pt idx="2514">
                  <c:v>88.09458</c:v>
                </c:pt>
                <c:pt idx="2515">
                  <c:v>88.09259</c:v>
                </c:pt>
                <c:pt idx="2516">
                  <c:v>88.09159</c:v>
                </c:pt>
                <c:pt idx="2517">
                  <c:v>88.08143</c:v>
                </c:pt>
                <c:pt idx="2518">
                  <c:v>88.08043999999998</c:v>
                </c:pt>
                <c:pt idx="2519">
                  <c:v>88.08143</c:v>
                </c:pt>
                <c:pt idx="2520">
                  <c:v>88.08043999999998</c:v>
                </c:pt>
                <c:pt idx="2521">
                  <c:v>88.07936999999998</c:v>
                </c:pt>
                <c:pt idx="2522">
                  <c:v>88.07936999999998</c:v>
                </c:pt>
                <c:pt idx="2523">
                  <c:v>88.07837999999855</c:v>
                </c:pt>
                <c:pt idx="2524">
                  <c:v>88.07936999999998</c:v>
                </c:pt>
                <c:pt idx="2525">
                  <c:v>88.07332999999998</c:v>
                </c:pt>
                <c:pt idx="2526">
                  <c:v>88.06928</c:v>
                </c:pt>
                <c:pt idx="2527">
                  <c:v>88.06623</c:v>
                </c:pt>
                <c:pt idx="2528">
                  <c:v>88.06424</c:v>
                </c:pt>
                <c:pt idx="2529">
                  <c:v>88.06218</c:v>
                </c:pt>
                <c:pt idx="2530">
                  <c:v>88.06019</c:v>
                </c:pt>
                <c:pt idx="2531">
                  <c:v>88.05614</c:v>
                </c:pt>
                <c:pt idx="2532">
                  <c:v>88.05408</c:v>
                </c:pt>
                <c:pt idx="2533">
                  <c:v>88.05202</c:v>
                </c:pt>
                <c:pt idx="2534">
                  <c:v>88.05003</c:v>
                </c:pt>
                <c:pt idx="2535">
                  <c:v>88.04797</c:v>
                </c:pt>
                <c:pt idx="2536">
                  <c:v>88.04598</c:v>
                </c:pt>
                <c:pt idx="2537">
                  <c:v>88.04498</c:v>
                </c:pt>
                <c:pt idx="2538">
                  <c:v>88.04193</c:v>
                </c:pt>
                <c:pt idx="2539">
                  <c:v>88.03987</c:v>
                </c:pt>
                <c:pt idx="2540">
                  <c:v>88.03886999999997</c:v>
                </c:pt>
                <c:pt idx="2541">
                  <c:v>88.03582</c:v>
                </c:pt>
                <c:pt idx="2542">
                  <c:v>88.03383</c:v>
                </c:pt>
                <c:pt idx="2543">
                  <c:v>88.03177</c:v>
                </c:pt>
                <c:pt idx="2544">
                  <c:v>88.02977999999958</c:v>
                </c:pt>
                <c:pt idx="2545">
                  <c:v>88.02772</c:v>
                </c:pt>
                <c:pt idx="2546">
                  <c:v>88.02671999999998</c:v>
                </c:pt>
                <c:pt idx="2547">
                  <c:v>88.02367</c:v>
                </c:pt>
                <c:pt idx="2548">
                  <c:v>88.02168</c:v>
                </c:pt>
                <c:pt idx="2549">
                  <c:v>88.01962</c:v>
                </c:pt>
                <c:pt idx="2550">
                  <c:v>88.01656</c:v>
                </c:pt>
                <c:pt idx="2551">
                  <c:v>88.01457</c:v>
                </c:pt>
                <c:pt idx="2552">
                  <c:v>88.01251</c:v>
                </c:pt>
                <c:pt idx="2553">
                  <c:v>88.01251</c:v>
                </c:pt>
                <c:pt idx="2554">
                  <c:v>88.01052</c:v>
                </c:pt>
                <c:pt idx="2555">
                  <c:v>88.00846</c:v>
                </c:pt>
                <c:pt idx="2556">
                  <c:v>88.00647</c:v>
                </c:pt>
                <c:pt idx="2557">
                  <c:v>88.00441</c:v>
                </c:pt>
                <c:pt idx="2558">
                  <c:v>88.00242</c:v>
                </c:pt>
                <c:pt idx="2559">
                  <c:v>88.00036</c:v>
                </c:pt>
                <c:pt idx="2560">
                  <c:v>87.99837</c:v>
                </c:pt>
                <c:pt idx="2561">
                  <c:v>87.99631</c:v>
                </c:pt>
                <c:pt idx="2562">
                  <c:v>87.99333</c:v>
                </c:pt>
                <c:pt idx="2563">
                  <c:v>87.99226</c:v>
                </c:pt>
                <c:pt idx="2564">
                  <c:v>87.99127</c:v>
                </c:pt>
                <c:pt idx="2565">
                  <c:v>87.98821</c:v>
                </c:pt>
                <c:pt idx="2566">
                  <c:v>87.98722</c:v>
                </c:pt>
                <c:pt idx="2567">
                  <c:v>87.98523</c:v>
                </c:pt>
                <c:pt idx="2568">
                  <c:v>87.98416</c:v>
                </c:pt>
                <c:pt idx="2569">
                  <c:v>87.98217</c:v>
                </c:pt>
                <c:pt idx="2570">
                  <c:v>87.98011</c:v>
                </c:pt>
                <c:pt idx="2571">
                  <c:v>87.97706</c:v>
                </c:pt>
                <c:pt idx="2572">
                  <c:v>87.97506999999997</c:v>
                </c:pt>
                <c:pt idx="2573">
                  <c:v>87.97408</c:v>
                </c:pt>
                <c:pt idx="2574">
                  <c:v>87.97200999999998</c:v>
                </c:pt>
                <c:pt idx="2575">
                  <c:v>87.97003</c:v>
                </c:pt>
                <c:pt idx="2576">
                  <c:v>87.96796</c:v>
                </c:pt>
                <c:pt idx="2577">
                  <c:v>87.96697</c:v>
                </c:pt>
                <c:pt idx="2578">
                  <c:v>87.96491</c:v>
                </c:pt>
                <c:pt idx="2579">
                  <c:v>87.96292</c:v>
                </c:pt>
                <c:pt idx="2580">
                  <c:v>87.96086</c:v>
                </c:pt>
                <c:pt idx="2581">
                  <c:v>87.95887</c:v>
                </c:pt>
                <c:pt idx="2582">
                  <c:v>87.95788</c:v>
                </c:pt>
                <c:pt idx="2583">
                  <c:v>87.95582</c:v>
                </c:pt>
                <c:pt idx="2584">
                  <c:v>87.95482</c:v>
                </c:pt>
                <c:pt idx="2585">
                  <c:v>87.95177</c:v>
                </c:pt>
                <c:pt idx="2586">
                  <c:v>87.94978</c:v>
                </c:pt>
                <c:pt idx="2587">
                  <c:v>87.94772</c:v>
                </c:pt>
                <c:pt idx="2588">
                  <c:v>87.94672</c:v>
                </c:pt>
                <c:pt idx="2589">
                  <c:v>87.94466</c:v>
                </c:pt>
                <c:pt idx="2590">
                  <c:v>87.94267</c:v>
                </c:pt>
                <c:pt idx="2591">
                  <c:v>87.94061</c:v>
                </c:pt>
                <c:pt idx="2592">
                  <c:v>87.93862</c:v>
                </c:pt>
                <c:pt idx="2593">
                  <c:v>87.93656</c:v>
                </c:pt>
                <c:pt idx="2594">
                  <c:v>87.93557000000001</c:v>
                </c:pt>
                <c:pt idx="2595">
                  <c:v>87.93351</c:v>
                </c:pt>
                <c:pt idx="2596">
                  <c:v>87.93152</c:v>
                </c:pt>
                <c:pt idx="2597">
                  <c:v>87.93052</c:v>
                </c:pt>
                <c:pt idx="2598">
                  <c:v>87.93052</c:v>
                </c:pt>
                <c:pt idx="2599">
                  <c:v>87.92846</c:v>
                </c:pt>
                <c:pt idx="2600">
                  <c:v>87.92647</c:v>
                </c:pt>
                <c:pt idx="2601">
                  <c:v>87.92441</c:v>
                </c:pt>
                <c:pt idx="2602">
                  <c:v>87.92136</c:v>
                </c:pt>
                <c:pt idx="2603">
                  <c:v>87.92036</c:v>
                </c:pt>
                <c:pt idx="2604">
                  <c:v>87.91837</c:v>
                </c:pt>
                <c:pt idx="2605">
                  <c:v>87.91631</c:v>
                </c:pt>
                <c:pt idx="2606">
                  <c:v>87.91532</c:v>
                </c:pt>
                <c:pt idx="2607">
                  <c:v>87.91326</c:v>
                </c:pt>
                <c:pt idx="2608">
                  <c:v>87.91127</c:v>
                </c:pt>
                <c:pt idx="2609">
                  <c:v>87.91127</c:v>
                </c:pt>
                <c:pt idx="2610">
                  <c:v>87.91027</c:v>
                </c:pt>
                <c:pt idx="2611">
                  <c:v>87.90821</c:v>
                </c:pt>
                <c:pt idx="2612">
                  <c:v>87.90516</c:v>
                </c:pt>
                <c:pt idx="2613">
                  <c:v>87.90416</c:v>
                </c:pt>
                <c:pt idx="2614">
                  <c:v>87.9021</c:v>
                </c:pt>
                <c:pt idx="2615">
                  <c:v>87.90011</c:v>
                </c:pt>
                <c:pt idx="2616">
                  <c:v>87.89706</c:v>
                </c:pt>
                <c:pt idx="2617">
                  <c:v>87.89506999999997</c:v>
                </c:pt>
                <c:pt idx="2618">
                  <c:v>87.89301</c:v>
                </c:pt>
                <c:pt idx="2619">
                  <c:v>87.89201</c:v>
                </c:pt>
                <c:pt idx="2620">
                  <c:v>87.88995</c:v>
                </c:pt>
                <c:pt idx="2621">
                  <c:v>87.88796</c:v>
                </c:pt>
                <c:pt idx="2622">
                  <c:v>87.88697</c:v>
                </c:pt>
                <c:pt idx="2623">
                  <c:v>87.88589999999998</c:v>
                </c:pt>
                <c:pt idx="2624">
                  <c:v>87.88391</c:v>
                </c:pt>
                <c:pt idx="2625">
                  <c:v>87.88086</c:v>
                </c:pt>
                <c:pt idx="2626">
                  <c:v>87.87985999999998</c:v>
                </c:pt>
                <c:pt idx="2627">
                  <c:v>87.87779999999998</c:v>
                </c:pt>
                <c:pt idx="2628">
                  <c:v>87.87482</c:v>
                </c:pt>
                <c:pt idx="2629">
                  <c:v>87.87275999999908</c:v>
                </c:pt>
                <c:pt idx="2630">
                  <c:v>87.87175999999998</c:v>
                </c:pt>
                <c:pt idx="2631">
                  <c:v>87.8697</c:v>
                </c:pt>
                <c:pt idx="2632">
                  <c:v>87.86870999999998</c:v>
                </c:pt>
                <c:pt idx="2633">
                  <c:v>87.86665</c:v>
                </c:pt>
                <c:pt idx="2634">
                  <c:v>87.86771</c:v>
                </c:pt>
                <c:pt idx="2635">
                  <c:v>87.85854999999998</c:v>
                </c:pt>
                <c:pt idx="2636">
                  <c:v>87.85555999999998</c:v>
                </c:pt>
                <c:pt idx="2637">
                  <c:v>87.85656</c:v>
                </c:pt>
                <c:pt idx="2638">
                  <c:v>87.85656</c:v>
                </c:pt>
                <c:pt idx="2639">
                  <c:v>87.85656</c:v>
                </c:pt>
                <c:pt idx="2640">
                  <c:v>87.85555999999998</c:v>
                </c:pt>
                <c:pt idx="2641">
                  <c:v>87.8545</c:v>
                </c:pt>
                <c:pt idx="2642">
                  <c:v>87.8545</c:v>
                </c:pt>
                <c:pt idx="2643">
                  <c:v>87.85555999999998</c:v>
                </c:pt>
                <c:pt idx="2644">
                  <c:v>87.85151</c:v>
                </c:pt>
                <c:pt idx="2645">
                  <c:v>87.84746</c:v>
                </c:pt>
                <c:pt idx="2646">
                  <c:v>87.84441</c:v>
                </c:pt>
                <c:pt idx="2647">
                  <c:v>87.84341</c:v>
                </c:pt>
                <c:pt idx="2648">
                  <c:v>87.84036</c:v>
                </c:pt>
                <c:pt idx="2649">
                  <c:v>87.83829999999997</c:v>
                </c:pt>
                <c:pt idx="2650">
                  <c:v>87.83425</c:v>
                </c:pt>
                <c:pt idx="2651">
                  <c:v>87.82821</c:v>
                </c:pt>
                <c:pt idx="2652">
                  <c:v>87.83119</c:v>
                </c:pt>
                <c:pt idx="2653">
                  <c:v>87.8302</c:v>
                </c:pt>
                <c:pt idx="2654">
                  <c:v>87.83730000000001</c:v>
                </c:pt>
                <c:pt idx="2655">
                  <c:v>87.83226</c:v>
                </c:pt>
                <c:pt idx="2656">
                  <c:v>87.82821</c:v>
                </c:pt>
                <c:pt idx="2657">
                  <c:v>87.82615</c:v>
                </c:pt>
                <c:pt idx="2658">
                  <c:v>87.82416</c:v>
                </c:pt>
                <c:pt idx="2659">
                  <c:v>87.82308999999998</c:v>
                </c:pt>
                <c:pt idx="2660">
                  <c:v>87.82011</c:v>
                </c:pt>
                <c:pt idx="2661">
                  <c:v>87.81805</c:v>
                </c:pt>
                <c:pt idx="2662">
                  <c:v>87.81805</c:v>
                </c:pt>
                <c:pt idx="2663">
                  <c:v>87.81705</c:v>
                </c:pt>
                <c:pt idx="2664">
                  <c:v>87.81499</c:v>
                </c:pt>
                <c:pt idx="2665">
                  <c:v>87.813</c:v>
                </c:pt>
                <c:pt idx="2666">
                  <c:v>87.80995</c:v>
                </c:pt>
                <c:pt idx="2667">
                  <c:v>87.80796</c:v>
                </c:pt>
                <c:pt idx="2668">
                  <c:v>87.80688999999998</c:v>
                </c:pt>
                <c:pt idx="2669">
                  <c:v>87.80589999999998</c:v>
                </c:pt>
                <c:pt idx="2670">
                  <c:v>87.80391</c:v>
                </c:pt>
                <c:pt idx="2671">
                  <c:v>87.80283999999975</c:v>
                </c:pt>
                <c:pt idx="2672">
                  <c:v>87.80084999999998</c:v>
                </c:pt>
                <c:pt idx="2673">
                  <c:v>87.79878999999998</c:v>
                </c:pt>
                <c:pt idx="2674">
                  <c:v>87.7968</c:v>
                </c:pt>
                <c:pt idx="2675">
                  <c:v>87.79573999999998</c:v>
                </c:pt>
                <c:pt idx="2676">
                  <c:v>87.79375</c:v>
                </c:pt>
                <c:pt idx="2677">
                  <c:v>87.79169</c:v>
                </c:pt>
                <c:pt idx="2678">
                  <c:v>87.7897</c:v>
                </c:pt>
                <c:pt idx="2679">
                  <c:v>87.78764</c:v>
                </c:pt>
                <c:pt idx="2680">
                  <c:v>87.78565</c:v>
                </c:pt>
                <c:pt idx="2681">
                  <c:v>87.78465</c:v>
                </c:pt>
                <c:pt idx="2682">
                  <c:v>87.78359</c:v>
                </c:pt>
                <c:pt idx="2683">
                  <c:v>87.7816</c:v>
                </c:pt>
                <c:pt idx="2684">
                  <c:v>87.7806</c:v>
                </c:pt>
                <c:pt idx="2685">
                  <c:v>87.77853999999998</c:v>
                </c:pt>
                <c:pt idx="2686">
                  <c:v>87.77548999999995</c:v>
                </c:pt>
                <c:pt idx="2687">
                  <c:v>87.77449</c:v>
                </c:pt>
                <c:pt idx="2688">
                  <c:v>87.77250999999998</c:v>
                </c:pt>
                <c:pt idx="2689">
                  <c:v>87.77043999999998</c:v>
                </c:pt>
                <c:pt idx="2690">
                  <c:v>87.77144</c:v>
                </c:pt>
                <c:pt idx="2691">
                  <c:v>87.77043999999998</c:v>
                </c:pt>
                <c:pt idx="2692">
                  <c:v>87.76739</c:v>
                </c:pt>
                <c:pt idx="2693">
                  <c:v>87.7654</c:v>
                </c:pt>
                <c:pt idx="2694">
                  <c:v>87.76233999999998</c:v>
                </c:pt>
                <c:pt idx="2695">
                  <c:v>87.76028</c:v>
                </c:pt>
                <c:pt idx="2696">
                  <c:v>87.75929</c:v>
                </c:pt>
                <c:pt idx="2697">
                  <c:v>87.7573</c:v>
                </c:pt>
                <c:pt idx="2698">
                  <c:v>87.75524</c:v>
                </c:pt>
                <c:pt idx="2699">
                  <c:v>87.75425</c:v>
                </c:pt>
                <c:pt idx="2700">
                  <c:v>87.75217999999998</c:v>
                </c:pt>
                <c:pt idx="2701">
                  <c:v>87.7502</c:v>
                </c:pt>
                <c:pt idx="2702">
                  <c:v>87.74813</c:v>
                </c:pt>
                <c:pt idx="2703">
                  <c:v>87.74714</c:v>
                </c:pt>
                <c:pt idx="2704">
                  <c:v>87.74615</c:v>
                </c:pt>
                <c:pt idx="2705">
                  <c:v>87.74408</c:v>
                </c:pt>
                <c:pt idx="2706">
                  <c:v>87.7421</c:v>
                </c:pt>
                <c:pt idx="2707">
                  <c:v>87.74003</c:v>
                </c:pt>
                <c:pt idx="2708">
                  <c:v>87.73904</c:v>
                </c:pt>
                <c:pt idx="2709">
                  <c:v>87.73599</c:v>
                </c:pt>
                <c:pt idx="2710">
                  <c:v>87.734</c:v>
                </c:pt>
                <c:pt idx="2711">
                  <c:v>87.73194</c:v>
                </c:pt>
                <c:pt idx="2712">
                  <c:v>87.73094</c:v>
                </c:pt>
                <c:pt idx="2713">
                  <c:v>87.72995</c:v>
                </c:pt>
                <c:pt idx="2714">
                  <c:v>87.72688999999998</c:v>
                </c:pt>
                <c:pt idx="2715">
                  <c:v>87.72688999999998</c:v>
                </c:pt>
                <c:pt idx="2716">
                  <c:v>87.72589999999998</c:v>
                </c:pt>
                <c:pt idx="2717">
                  <c:v>87.72283999999995</c:v>
                </c:pt>
                <c:pt idx="2718">
                  <c:v>87.71979</c:v>
                </c:pt>
                <c:pt idx="2719">
                  <c:v>87.71879</c:v>
                </c:pt>
                <c:pt idx="2720">
                  <c:v>87.71673000000001</c:v>
                </c:pt>
                <c:pt idx="2721">
                  <c:v>87.71573999999998</c:v>
                </c:pt>
                <c:pt idx="2722">
                  <c:v>87.71375</c:v>
                </c:pt>
                <c:pt idx="2723">
                  <c:v>87.71268</c:v>
                </c:pt>
                <c:pt idx="2724">
                  <c:v>87.70970000000001</c:v>
                </c:pt>
                <c:pt idx="2725">
                  <c:v>87.70863000000001</c:v>
                </c:pt>
                <c:pt idx="2726">
                  <c:v>87.70664</c:v>
                </c:pt>
                <c:pt idx="2727">
                  <c:v>87.70458</c:v>
                </c:pt>
                <c:pt idx="2728">
                  <c:v>87.70359</c:v>
                </c:pt>
                <c:pt idx="2729">
                  <c:v>87.7016</c:v>
                </c:pt>
                <c:pt idx="2730">
                  <c:v>87.69954</c:v>
                </c:pt>
                <c:pt idx="2731">
                  <c:v>87.69755</c:v>
                </c:pt>
                <c:pt idx="2732">
                  <c:v>87.69647999999998</c:v>
                </c:pt>
                <c:pt idx="2733">
                  <c:v>87.69449</c:v>
                </c:pt>
                <c:pt idx="2734">
                  <c:v>87.69242999999997</c:v>
                </c:pt>
                <c:pt idx="2735">
                  <c:v>87.69242999999997</c:v>
                </c:pt>
                <c:pt idx="2736">
                  <c:v>87.69043999999998</c:v>
                </c:pt>
                <c:pt idx="2737">
                  <c:v>87.68837999999845</c:v>
                </c:pt>
                <c:pt idx="2738">
                  <c:v>87.68738999999998</c:v>
                </c:pt>
                <c:pt idx="2739">
                  <c:v>87.68432999999997</c:v>
                </c:pt>
                <c:pt idx="2740">
                  <c:v>87.68233999999858</c:v>
                </c:pt>
                <c:pt idx="2741">
                  <c:v>87.68027999999998</c:v>
                </c:pt>
                <c:pt idx="2742">
                  <c:v>87.67828999999985</c:v>
                </c:pt>
                <c:pt idx="2743">
                  <c:v>87.67723</c:v>
                </c:pt>
                <c:pt idx="2744">
                  <c:v>87.67523999999958</c:v>
                </c:pt>
                <c:pt idx="2745">
                  <c:v>87.67317999999958</c:v>
                </c:pt>
                <c:pt idx="2746">
                  <c:v>87.67217999999878</c:v>
                </c:pt>
                <c:pt idx="2747">
                  <c:v>87.67018999999995</c:v>
                </c:pt>
                <c:pt idx="2748">
                  <c:v>87.66813</c:v>
                </c:pt>
                <c:pt idx="2749">
                  <c:v>87.66614</c:v>
                </c:pt>
                <c:pt idx="2750">
                  <c:v>87.66408</c:v>
                </c:pt>
                <c:pt idx="2751">
                  <c:v>87.66208999999998</c:v>
                </c:pt>
                <c:pt idx="2752">
                  <c:v>87.66208999999998</c:v>
                </c:pt>
                <c:pt idx="2753">
                  <c:v>87.66003</c:v>
                </c:pt>
                <c:pt idx="2754">
                  <c:v>87.65803999999908</c:v>
                </c:pt>
                <c:pt idx="2755">
                  <c:v>87.65697999999985</c:v>
                </c:pt>
                <c:pt idx="2756">
                  <c:v>87.65499</c:v>
                </c:pt>
                <c:pt idx="2757">
                  <c:v>87.65292999999998</c:v>
                </c:pt>
                <c:pt idx="2758">
                  <c:v>87.65093999999995</c:v>
                </c:pt>
                <c:pt idx="2759">
                  <c:v>87.64788</c:v>
                </c:pt>
                <c:pt idx="2760">
                  <c:v>87.64689</c:v>
                </c:pt>
                <c:pt idx="2761">
                  <c:v>87.64582</c:v>
                </c:pt>
                <c:pt idx="2762">
                  <c:v>87.64383</c:v>
                </c:pt>
                <c:pt idx="2763">
                  <c:v>87.64283999999998</c:v>
                </c:pt>
                <c:pt idx="2764">
                  <c:v>87.63977999999948</c:v>
                </c:pt>
                <c:pt idx="2765">
                  <c:v>87.63772</c:v>
                </c:pt>
                <c:pt idx="2766">
                  <c:v>87.63672999999998</c:v>
                </c:pt>
                <c:pt idx="2767">
                  <c:v>87.63473999999998</c:v>
                </c:pt>
                <c:pt idx="2768">
                  <c:v>87.63267999999998</c:v>
                </c:pt>
                <c:pt idx="2769">
                  <c:v>87.63168</c:v>
                </c:pt>
                <c:pt idx="2770">
                  <c:v>87.62962</c:v>
                </c:pt>
                <c:pt idx="2771">
                  <c:v>87.62763</c:v>
                </c:pt>
                <c:pt idx="2772">
                  <c:v>87.62663999999998</c:v>
                </c:pt>
                <c:pt idx="2773">
                  <c:v>87.62457999999998</c:v>
                </c:pt>
                <c:pt idx="2774">
                  <c:v>87.62258999999958</c:v>
                </c:pt>
                <c:pt idx="2775">
                  <c:v>87.62052999999997</c:v>
                </c:pt>
                <c:pt idx="2776">
                  <c:v>87.61953</c:v>
                </c:pt>
                <c:pt idx="2777">
                  <c:v>87.61747</c:v>
                </c:pt>
                <c:pt idx="2778">
                  <c:v>87.61547999999995</c:v>
                </c:pt>
                <c:pt idx="2779">
                  <c:v>87.61442</c:v>
                </c:pt>
                <c:pt idx="2780">
                  <c:v>87.61242999999997</c:v>
                </c:pt>
                <c:pt idx="2781">
                  <c:v>87.61143000000001</c:v>
                </c:pt>
                <c:pt idx="2782">
                  <c:v>87.60936999999998</c:v>
                </c:pt>
                <c:pt idx="2783">
                  <c:v>87.60737999999998</c:v>
                </c:pt>
                <c:pt idx="2784">
                  <c:v>87.60433</c:v>
                </c:pt>
                <c:pt idx="2785">
                  <c:v>87.60227</c:v>
                </c:pt>
                <c:pt idx="2786">
                  <c:v>87.60127</c:v>
                </c:pt>
                <c:pt idx="2787">
                  <c:v>87.59928</c:v>
                </c:pt>
                <c:pt idx="2788">
                  <c:v>87.59822</c:v>
                </c:pt>
                <c:pt idx="2789">
                  <c:v>87.59623</c:v>
                </c:pt>
                <c:pt idx="2790">
                  <c:v>87.59523</c:v>
                </c:pt>
                <c:pt idx="2791">
                  <c:v>87.59218</c:v>
                </c:pt>
                <c:pt idx="2792">
                  <c:v>87.59118</c:v>
                </c:pt>
                <c:pt idx="2793">
                  <c:v>87.58912</c:v>
                </c:pt>
                <c:pt idx="2794">
                  <c:v>87.58713</c:v>
                </c:pt>
                <c:pt idx="2795">
                  <c:v>87.58506999999997</c:v>
                </c:pt>
                <c:pt idx="2796">
                  <c:v>87.58307999999998</c:v>
                </c:pt>
                <c:pt idx="2797">
                  <c:v>87.58202</c:v>
                </c:pt>
                <c:pt idx="2798">
                  <c:v>87.58102</c:v>
                </c:pt>
                <c:pt idx="2799">
                  <c:v>87.57797</c:v>
                </c:pt>
                <c:pt idx="2800">
                  <c:v>87.57696999999997</c:v>
                </c:pt>
                <c:pt idx="2801">
                  <c:v>87.57291999999998</c:v>
                </c:pt>
                <c:pt idx="2802">
                  <c:v>87.57291999999998</c:v>
                </c:pt>
                <c:pt idx="2803">
                  <c:v>87.57085999999998</c:v>
                </c:pt>
                <c:pt idx="2804">
                  <c:v>87.56886999999997</c:v>
                </c:pt>
                <c:pt idx="2805">
                  <c:v>87.56582</c:v>
                </c:pt>
                <c:pt idx="2806">
                  <c:v>87.56482</c:v>
                </c:pt>
                <c:pt idx="2807">
                  <c:v>87.56275999999998</c:v>
                </c:pt>
                <c:pt idx="2808">
                  <c:v>87.56177</c:v>
                </c:pt>
                <c:pt idx="2809">
                  <c:v>87.56077</c:v>
                </c:pt>
                <c:pt idx="2810">
                  <c:v>87.55870999999995</c:v>
                </c:pt>
                <c:pt idx="2811">
                  <c:v>87.55572999999998</c:v>
                </c:pt>
                <c:pt idx="2812">
                  <c:v>87.55572999999998</c:v>
                </c:pt>
                <c:pt idx="2813">
                  <c:v>87.55466</c:v>
                </c:pt>
                <c:pt idx="2814">
                  <c:v>87.55168</c:v>
                </c:pt>
                <c:pt idx="2815">
                  <c:v>87.54863</c:v>
                </c:pt>
                <c:pt idx="2816">
                  <c:v>87.54656</c:v>
                </c:pt>
                <c:pt idx="2817">
                  <c:v>87.54458</c:v>
                </c:pt>
                <c:pt idx="2818">
                  <c:v>87.54351</c:v>
                </c:pt>
                <c:pt idx="2819">
                  <c:v>87.54152</c:v>
                </c:pt>
                <c:pt idx="2820">
                  <c:v>87.53946</c:v>
                </c:pt>
                <c:pt idx="2821">
                  <c:v>87.53747000000001</c:v>
                </c:pt>
                <c:pt idx="2822">
                  <c:v>87.53541</c:v>
                </c:pt>
                <c:pt idx="2823">
                  <c:v>87.53442</c:v>
                </c:pt>
                <c:pt idx="2824">
                  <c:v>87.53243</c:v>
                </c:pt>
                <c:pt idx="2825">
                  <c:v>87.53037</c:v>
                </c:pt>
                <c:pt idx="2826">
                  <c:v>87.52731</c:v>
                </c:pt>
                <c:pt idx="2827">
                  <c:v>87.52531999999998</c:v>
                </c:pt>
                <c:pt idx="2828">
                  <c:v>87.52433</c:v>
                </c:pt>
                <c:pt idx="2829">
                  <c:v>87.52227</c:v>
                </c:pt>
                <c:pt idx="2830">
                  <c:v>87.52028</c:v>
                </c:pt>
                <c:pt idx="2831">
                  <c:v>87.51921</c:v>
                </c:pt>
                <c:pt idx="2832">
                  <c:v>87.51722</c:v>
                </c:pt>
                <c:pt idx="2833">
                  <c:v>87.51516</c:v>
                </c:pt>
                <c:pt idx="2834">
                  <c:v>87.51218</c:v>
                </c:pt>
                <c:pt idx="2835">
                  <c:v>87.51012</c:v>
                </c:pt>
                <c:pt idx="2836">
                  <c:v>87.51111</c:v>
                </c:pt>
                <c:pt idx="2837">
                  <c:v>87.50102</c:v>
                </c:pt>
                <c:pt idx="2838">
                  <c:v>87.49697</c:v>
                </c:pt>
                <c:pt idx="2839">
                  <c:v>87.49896</c:v>
                </c:pt>
                <c:pt idx="2840">
                  <c:v>87.49996</c:v>
                </c:pt>
                <c:pt idx="2841">
                  <c:v>87.50102</c:v>
                </c:pt>
                <c:pt idx="2842">
                  <c:v>87.50102</c:v>
                </c:pt>
                <c:pt idx="2843">
                  <c:v>87.50301</c:v>
                </c:pt>
                <c:pt idx="2844">
                  <c:v>87.50102</c:v>
                </c:pt>
                <c:pt idx="2845">
                  <c:v>87.49591</c:v>
                </c:pt>
                <c:pt idx="2846">
                  <c:v>87.49292</c:v>
                </c:pt>
                <c:pt idx="2847">
                  <c:v>87.48987</c:v>
                </c:pt>
                <c:pt idx="2848">
                  <c:v>87.48781</c:v>
                </c:pt>
                <c:pt idx="2849">
                  <c:v>87.48482</c:v>
                </c:pt>
                <c:pt idx="2850">
                  <c:v>87.48276</c:v>
                </c:pt>
                <c:pt idx="2851">
                  <c:v>87.48077</c:v>
                </c:pt>
                <c:pt idx="2852">
                  <c:v>87.47970999999998</c:v>
                </c:pt>
                <c:pt idx="2853">
                  <c:v>87.47772</c:v>
                </c:pt>
                <c:pt idx="2854">
                  <c:v>87.47566</c:v>
                </c:pt>
                <c:pt idx="2855">
                  <c:v>87.47466</c:v>
                </c:pt>
                <c:pt idx="2856">
                  <c:v>87.4726</c:v>
                </c:pt>
                <c:pt idx="2857">
                  <c:v>87.46251</c:v>
                </c:pt>
                <c:pt idx="2858">
                  <c:v>87.46045</c:v>
                </c:pt>
                <c:pt idx="2859">
                  <c:v>87.46351</c:v>
                </c:pt>
                <c:pt idx="2860">
                  <c:v>87.47061</c:v>
                </c:pt>
                <c:pt idx="2861">
                  <c:v>87.4645</c:v>
                </c:pt>
                <c:pt idx="2862">
                  <c:v>87.46045</c:v>
                </c:pt>
                <c:pt idx="2863">
                  <c:v>87.45846</c:v>
                </c:pt>
                <c:pt idx="2864">
                  <c:v>87.45747</c:v>
                </c:pt>
                <c:pt idx="2865">
                  <c:v>87.45441</c:v>
                </c:pt>
                <c:pt idx="2866">
                  <c:v>87.45342</c:v>
                </c:pt>
                <c:pt idx="2867">
                  <c:v>87.45136</c:v>
                </c:pt>
                <c:pt idx="2868">
                  <c:v>87.4483</c:v>
                </c:pt>
                <c:pt idx="2869">
                  <c:v>87.44731</c:v>
                </c:pt>
                <c:pt idx="2870">
                  <c:v>87.44532</c:v>
                </c:pt>
                <c:pt idx="2871">
                  <c:v>87.44326</c:v>
                </c:pt>
                <c:pt idx="2872">
                  <c:v>87.44127</c:v>
                </c:pt>
                <c:pt idx="2873">
                  <c:v>87.43921</c:v>
                </c:pt>
                <c:pt idx="2874">
                  <c:v>87.43821</c:v>
                </c:pt>
                <c:pt idx="2875">
                  <c:v>87.43615</c:v>
                </c:pt>
                <c:pt idx="2876">
                  <c:v>87.43416</c:v>
                </c:pt>
                <c:pt idx="2877">
                  <c:v>87.43111</c:v>
                </c:pt>
                <c:pt idx="2878">
                  <c:v>87.42905</c:v>
                </c:pt>
                <c:pt idx="2879">
                  <c:v>87.42805</c:v>
                </c:pt>
                <c:pt idx="2880">
                  <c:v>87.42706</c:v>
                </c:pt>
                <c:pt idx="2881">
                  <c:v>87.425</c:v>
                </c:pt>
                <c:pt idx="2882">
                  <c:v>87.42201</c:v>
                </c:pt>
                <c:pt idx="2883">
                  <c:v>87.41995</c:v>
                </c:pt>
                <c:pt idx="2884">
                  <c:v>87.4169</c:v>
                </c:pt>
                <c:pt idx="2885">
                  <c:v>87.4159</c:v>
                </c:pt>
                <c:pt idx="2886">
                  <c:v>87.41491</c:v>
                </c:pt>
                <c:pt idx="2887">
                  <c:v>87.40581</c:v>
                </c:pt>
                <c:pt idx="2888">
                  <c:v>87.40475</c:v>
                </c:pt>
                <c:pt idx="2889">
                  <c:v>87.40581</c:v>
                </c:pt>
                <c:pt idx="2890">
                  <c:v>87.40475</c:v>
                </c:pt>
                <c:pt idx="2891">
                  <c:v>87.40475</c:v>
                </c:pt>
                <c:pt idx="2892">
                  <c:v>87.40581</c:v>
                </c:pt>
                <c:pt idx="2893">
                  <c:v>87.4007</c:v>
                </c:pt>
                <c:pt idx="2894">
                  <c:v>87.39764</c:v>
                </c:pt>
                <c:pt idx="2895">
                  <c:v>87.39466</c:v>
                </c:pt>
                <c:pt idx="2896">
                  <c:v>87.39665</c:v>
                </c:pt>
                <c:pt idx="2897">
                  <c:v>87.3916</c:v>
                </c:pt>
                <c:pt idx="2898">
                  <c:v>87.38854999999998</c:v>
                </c:pt>
                <c:pt idx="2899">
                  <c:v>87.38854999999998</c:v>
                </c:pt>
                <c:pt idx="2900">
                  <c:v>87.38755</c:v>
                </c:pt>
                <c:pt idx="2901">
                  <c:v>87.38656</c:v>
                </c:pt>
                <c:pt idx="2902">
                  <c:v>87.38854999999998</c:v>
                </c:pt>
                <c:pt idx="2903">
                  <c:v>87.3845</c:v>
                </c:pt>
                <c:pt idx="2904">
                  <c:v>87.38044999999998</c:v>
                </c:pt>
                <c:pt idx="2905">
                  <c:v>87.37738999999995</c:v>
                </c:pt>
                <c:pt idx="2906">
                  <c:v>87.37639999999985</c:v>
                </c:pt>
                <c:pt idx="2907">
                  <c:v>87.37440999999998</c:v>
                </c:pt>
                <c:pt idx="2908">
                  <c:v>87.37134999999998</c:v>
                </c:pt>
                <c:pt idx="2909">
                  <c:v>87.37035999999995</c:v>
                </c:pt>
                <c:pt idx="2910">
                  <c:v>87.3673</c:v>
                </c:pt>
                <c:pt idx="2911">
                  <c:v>87.36524</c:v>
                </c:pt>
                <c:pt idx="2912">
                  <c:v>87.36325</c:v>
                </c:pt>
                <c:pt idx="2913">
                  <c:v>87.36119</c:v>
                </c:pt>
                <c:pt idx="2914">
                  <c:v>87.35813999999995</c:v>
                </c:pt>
                <c:pt idx="2915">
                  <c:v>87.35714</c:v>
                </c:pt>
                <c:pt idx="2916">
                  <c:v>87.35409</c:v>
                </c:pt>
                <c:pt idx="2917">
                  <c:v>87.35308999999998</c:v>
                </c:pt>
                <c:pt idx="2918">
                  <c:v>87.3511</c:v>
                </c:pt>
                <c:pt idx="2919">
                  <c:v>87.34805</c:v>
                </c:pt>
                <c:pt idx="2920">
                  <c:v>87.34706</c:v>
                </c:pt>
                <c:pt idx="2921">
                  <c:v>87.34599</c:v>
                </c:pt>
                <c:pt idx="2922">
                  <c:v>87.344</c:v>
                </c:pt>
                <c:pt idx="2923">
                  <c:v>87.33995</c:v>
                </c:pt>
                <c:pt idx="2924">
                  <c:v>87.33789</c:v>
                </c:pt>
                <c:pt idx="2925">
                  <c:v>87.33589999999998</c:v>
                </c:pt>
                <c:pt idx="2926">
                  <c:v>87.33491</c:v>
                </c:pt>
                <c:pt idx="2927">
                  <c:v>87.33283999999995</c:v>
                </c:pt>
                <c:pt idx="2928">
                  <c:v>87.33185</c:v>
                </c:pt>
                <c:pt idx="2929">
                  <c:v>87.32879999999938</c:v>
                </c:pt>
                <c:pt idx="2930">
                  <c:v>87.32672999999998</c:v>
                </c:pt>
                <c:pt idx="2931">
                  <c:v>87.32474999999998</c:v>
                </c:pt>
                <c:pt idx="2932">
                  <c:v>87.32267999999995</c:v>
                </c:pt>
                <c:pt idx="2933">
                  <c:v>87.32069999999997</c:v>
                </c:pt>
                <c:pt idx="2934">
                  <c:v>87.31764</c:v>
                </c:pt>
                <c:pt idx="2935">
                  <c:v>87.31665</c:v>
                </c:pt>
                <c:pt idx="2936">
                  <c:v>87.31459</c:v>
                </c:pt>
                <c:pt idx="2937">
                  <c:v>87.3126</c:v>
                </c:pt>
                <c:pt idx="2938">
                  <c:v>87.31054</c:v>
                </c:pt>
                <c:pt idx="2939">
                  <c:v>87.30755</c:v>
                </c:pt>
                <c:pt idx="2940">
                  <c:v>87.30548999999998</c:v>
                </c:pt>
                <c:pt idx="2941">
                  <c:v>87.3035</c:v>
                </c:pt>
                <c:pt idx="2942">
                  <c:v>87.30243999999985</c:v>
                </c:pt>
                <c:pt idx="2943">
                  <c:v>87.30045</c:v>
                </c:pt>
                <c:pt idx="2944">
                  <c:v>87.29839</c:v>
                </c:pt>
                <c:pt idx="2945">
                  <c:v>87.2964</c:v>
                </c:pt>
                <c:pt idx="2946">
                  <c:v>87.29434</c:v>
                </c:pt>
                <c:pt idx="2947">
                  <c:v>87.29128</c:v>
                </c:pt>
                <c:pt idx="2948">
                  <c:v>87.29029</c:v>
                </c:pt>
                <c:pt idx="2949">
                  <c:v>87.28119</c:v>
                </c:pt>
                <c:pt idx="2950">
                  <c:v>87.2802</c:v>
                </c:pt>
                <c:pt idx="2951">
                  <c:v>87.28318</c:v>
                </c:pt>
                <c:pt idx="2952">
                  <c:v>87.28929</c:v>
                </c:pt>
                <c:pt idx="2953">
                  <c:v>87.28219</c:v>
                </c:pt>
                <c:pt idx="2954">
                  <c:v>87.27913</c:v>
                </c:pt>
                <c:pt idx="2955">
                  <c:v>87.27615</c:v>
                </c:pt>
                <c:pt idx="2956">
                  <c:v>87.27308999999998</c:v>
                </c:pt>
                <c:pt idx="2957">
                  <c:v>87.27103</c:v>
                </c:pt>
                <c:pt idx="2958">
                  <c:v>87.26904</c:v>
                </c:pt>
                <c:pt idx="2959">
                  <c:v>87.26698</c:v>
                </c:pt>
                <c:pt idx="2960">
                  <c:v>87.26499</c:v>
                </c:pt>
                <c:pt idx="2961">
                  <c:v>87.26293</c:v>
                </c:pt>
                <c:pt idx="2962">
                  <c:v>87.26094</c:v>
                </c:pt>
                <c:pt idx="2963">
                  <c:v>87.25887999999995</c:v>
                </c:pt>
                <c:pt idx="2964">
                  <c:v>87.25689</c:v>
                </c:pt>
                <c:pt idx="2965">
                  <c:v>87.25582999999997</c:v>
                </c:pt>
                <c:pt idx="2966">
                  <c:v>87.25283999999998</c:v>
                </c:pt>
                <c:pt idx="2967">
                  <c:v>87.25077999999998</c:v>
                </c:pt>
                <c:pt idx="2968">
                  <c:v>87.24879</c:v>
                </c:pt>
                <c:pt idx="2969">
                  <c:v>87.24673000000001</c:v>
                </c:pt>
                <c:pt idx="2970">
                  <c:v>87.24368</c:v>
                </c:pt>
                <c:pt idx="2971">
                  <c:v>87.24169</c:v>
                </c:pt>
                <c:pt idx="2972">
                  <c:v>87.23963</c:v>
                </c:pt>
                <c:pt idx="2973">
                  <c:v>87.23764</c:v>
                </c:pt>
                <c:pt idx="2974">
                  <c:v>87.23458</c:v>
                </c:pt>
                <c:pt idx="2975">
                  <c:v>87.23359</c:v>
                </c:pt>
                <c:pt idx="2976">
                  <c:v>87.23153</c:v>
                </c:pt>
                <c:pt idx="2977">
                  <c:v>87.22954</c:v>
                </c:pt>
                <c:pt idx="2978">
                  <c:v>87.22748</c:v>
                </c:pt>
                <c:pt idx="2979">
                  <c:v>87.22548999999998</c:v>
                </c:pt>
                <c:pt idx="2980">
                  <c:v>87.22343</c:v>
                </c:pt>
                <c:pt idx="2981">
                  <c:v>87.22144</c:v>
                </c:pt>
                <c:pt idx="2982">
                  <c:v>87.21837999999998</c:v>
                </c:pt>
                <c:pt idx="2983">
                  <c:v>87.21632</c:v>
                </c:pt>
                <c:pt idx="2984">
                  <c:v>87.21433</c:v>
                </c:pt>
                <c:pt idx="2985">
                  <c:v>87.21334</c:v>
                </c:pt>
                <c:pt idx="2986">
                  <c:v>87.21128</c:v>
                </c:pt>
                <c:pt idx="2987">
                  <c:v>87.20929</c:v>
                </c:pt>
                <c:pt idx="2988">
                  <c:v>87.20623</c:v>
                </c:pt>
                <c:pt idx="2989">
                  <c:v>87.20318</c:v>
                </c:pt>
                <c:pt idx="2990">
                  <c:v>87.20119</c:v>
                </c:pt>
                <c:pt idx="2991">
                  <c:v>87.20012</c:v>
                </c:pt>
                <c:pt idx="2992">
                  <c:v>87.19813</c:v>
                </c:pt>
                <c:pt idx="2993">
                  <c:v>87.19507999999995</c:v>
                </c:pt>
                <c:pt idx="2994">
                  <c:v>87.19309</c:v>
                </c:pt>
                <c:pt idx="2995">
                  <c:v>87.19202</c:v>
                </c:pt>
                <c:pt idx="2996">
                  <c:v>87.19003</c:v>
                </c:pt>
                <c:pt idx="2997">
                  <c:v>87.18697999999995</c:v>
                </c:pt>
                <c:pt idx="2998">
                  <c:v>87.18492</c:v>
                </c:pt>
                <c:pt idx="2999">
                  <c:v>87.18292999999998</c:v>
                </c:pt>
                <c:pt idx="3000">
                  <c:v>87.18086999999998</c:v>
                </c:pt>
                <c:pt idx="3001">
                  <c:v>87.1788799999981</c:v>
                </c:pt>
                <c:pt idx="3002">
                  <c:v>87.17681999999998</c:v>
                </c:pt>
                <c:pt idx="3003">
                  <c:v>87.17482999999998</c:v>
                </c:pt>
                <c:pt idx="3004">
                  <c:v>87.16672999999998</c:v>
                </c:pt>
                <c:pt idx="3005">
                  <c:v>87.16367</c:v>
                </c:pt>
                <c:pt idx="3006">
                  <c:v>87.16367</c:v>
                </c:pt>
                <c:pt idx="3007">
                  <c:v>87.17276999999918</c:v>
                </c:pt>
                <c:pt idx="3008">
                  <c:v>87.16672999999998</c:v>
                </c:pt>
                <c:pt idx="3009">
                  <c:v>87.16168</c:v>
                </c:pt>
                <c:pt idx="3010">
                  <c:v>87.16168</c:v>
                </c:pt>
                <c:pt idx="3011">
                  <c:v>87.15862999999997</c:v>
                </c:pt>
                <c:pt idx="3012">
                  <c:v>87.15556999999998</c:v>
                </c:pt>
                <c:pt idx="3013">
                  <c:v>87.15357999999995</c:v>
                </c:pt>
                <c:pt idx="3014">
                  <c:v>87.15052999999997</c:v>
                </c:pt>
                <c:pt idx="3015">
                  <c:v>87.14953000000001</c:v>
                </c:pt>
                <c:pt idx="3016">
                  <c:v>87.14846999999997</c:v>
                </c:pt>
                <c:pt idx="3017">
                  <c:v>87.14541</c:v>
                </c:pt>
                <c:pt idx="3018">
                  <c:v>87.14342</c:v>
                </c:pt>
                <c:pt idx="3019">
                  <c:v>87.14342</c:v>
                </c:pt>
                <c:pt idx="3020">
                  <c:v>87.13227</c:v>
                </c:pt>
                <c:pt idx="3021">
                  <c:v>87.13127</c:v>
                </c:pt>
                <c:pt idx="3022">
                  <c:v>87.13936999999998</c:v>
                </c:pt>
                <c:pt idx="3023">
                  <c:v>87.13531999999998</c:v>
                </c:pt>
                <c:pt idx="3024">
                  <c:v>87.13028</c:v>
                </c:pt>
                <c:pt idx="3025">
                  <c:v>87.12723</c:v>
                </c:pt>
                <c:pt idx="3026">
                  <c:v>87.12417</c:v>
                </c:pt>
                <c:pt idx="3027">
                  <c:v>87.12217999999918</c:v>
                </c:pt>
                <c:pt idx="3028">
                  <c:v>87.11913000000001</c:v>
                </c:pt>
                <c:pt idx="3029">
                  <c:v>87.11706</c:v>
                </c:pt>
                <c:pt idx="3030">
                  <c:v>87.11408</c:v>
                </c:pt>
                <c:pt idx="3031">
                  <c:v>87.11301</c:v>
                </c:pt>
                <c:pt idx="3032">
                  <c:v>87.10996</c:v>
                </c:pt>
                <c:pt idx="3033">
                  <c:v>87.10697999999998</c:v>
                </c:pt>
                <c:pt idx="3034">
                  <c:v>87.10392</c:v>
                </c:pt>
                <c:pt idx="3035">
                  <c:v>87.10392</c:v>
                </c:pt>
                <c:pt idx="3036">
                  <c:v>87.10292999999998</c:v>
                </c:pt>
                <c:pt idx="3037">
                  <c:v>87.09987</c:v>
                </c:pt>
                <c:pt idx="3038">
                  <c:v>87.09682</c:v>
                </c:pt>
                <c:pt idx="3039">
                  <c:v>87.09483</c:v>
                </c:pt>
                <c:pt idx="3040">
                  <c:v>87.09276999999997</c:v>
                </c:pt>
                <c:pt idx="3041">
                  <c:v>87.08970999999998</c:v>
                </c:pt>
                <c:pt idx="3042">
                  <c:v>87.08871999999998</c:v>
                </c:pt>
                <c:pt idx="3043">
                  <c:v>87.08566</c:v>
                </c:pt>
                <c:pt idx="3044">
                  <c:v>87.08367000000001</c:v>
                </c:pt>
                <c:pt idx="3045">
                  <c:v>87.08161</c:v>
                </c:pt>
                <c:pt idx="3046">
                  <c:v>87.07962</c:v>
                </c:pt>
                <c:pt idx="3047">
                  <c:v>87.07656999999997</c:v>
                </c:pt>
                <c:pt idx="3048">
                  <c:v>87.07451</c:v>
                </c:pt>
                <c:pt idx="3049">
                  <c:v>87.07351</c:v>
                </c:pt>
                <c:pt idx="3050">
                  <c:v>87.07045999999998</c:v>
                </c:pt>
                <c:pt idx="3051">
                  <c:v>87.06747</c:v>
                </c:pt>
                <c:pt idx="3052">
                  <c:v>87.06747</c:v>
                </c:pt>
                <c:pt idx="3053">
                  <c:v>87.06442</c:v>
                </c:pt>
                <c:pt idx="3054">
                  <c:v>87.06236</c:v>
                </c:pt>
                <c:pt idx="3055">
                  <c:v>87.05936999999998</c:v>
                </c:pt>
                <c:pt idx="3056">
                  <c:v>87.05632</c:v>
                </c:pt>
                <c:pt idx="3057">
                  <c:v>87.05426</c:v>
                </c:pt>
                <c:pt idx="3058">
                  <c:v>87.05227</c:v>
                </c:pt>
                <c:pt idx="3059">
                  <c:v>87.05021</c:v>
                </c:pt>
                <c:pt idx="3060">
                  <c:v>87.04722</c:v>
                </c:pt>
                <c:pt idx="3061">
                  <c:v>87.04417</c:v>
                </c:pt>
                <c:pt idx="3062">
                  <c:v>87.04317</c:v>
                </c:pt>
                <c:pt idx="3063">
                  <c:v>87.04111</c:v>
                </c:pt>
                <c:pt idx="3064">
                  <c:v>87.03806</c:v>
                </c:pt>
                <c:pt idx="3065">
                  <c:v>87.03706</c:v>
                </c:pt>
                <c:pt idx="3066">
                  <c:v>87.03301</c:v>
                </c:pt>
                <c:pt idx="3067">
                  <c:v>87.03095</c:v>
                </c:pt>
                <c:pt idx="3068">
                  <c:v>87.02896</c:v>
                </c:pt>
                <c:pt idx="3069">
                  <c:v>87.0269</c:v>
                </c:pt>
                <c:pt idx="3070">
                  <c:v>87.0269</c:v>
                </c:pt>
                <c:pt idx="3071">
                  <c:v>87.02392</c:v>
                </c:pt>
                <c:pt idx="3072">
                  <c:v>87.02086</c:v>
                </c:pt>
                <c:pt idx="3073">
                  <c:v>87.01781</c:v>
                </c:pt>
                <c:pt idx="3074">
                  <c:v>87.01582</c:v>
                </c:pt>
                <c:pt idx="3075">
                  <c:v>87.01276</c:v>
                </c:pt>
                <c:pt idx="3076">
                  <c:v>87.0107</c:v>
                </c:pt>
                <c:pt idx="3077">
                  <c:v>87.00772</c:v>
                </c:pt>
                <c:pt idx="3078">
                  <c:v>87.00466</c:v>
                </c:pt>
                <c:pt idx="3079">
                  <c:v>87.0026</c:v>
                </c:pt>
                <c:pt idx="3080">
                  <c:v>87.00061</c:v>
                </c:pt>
                <c:pt idx="3081">
                  <c:v>86.99955</c:v>
                </c:pt>
                <c:pt idx="3082">
                  <c:v>86.99656</c:v>
                </c:pt>
                <c:pt idx="3083">
                  <c:v>86.99351</c:v>
                </c:pt>
                <c:pt idx="3084">
                  <c:v>86.99251</c:v>
                </c:pt>
                <c:pt idx="3085">
                  <c:v>86.98946</c:v>
                </c:pt>
                <c:pt idx="3086">
                  <c:v>86.9874</c:v>
                </c:pt>
                <c:pt idx="3087">
                  <c:v>86.9864</c:v>
                </c:pt>
                <c:pt idx="3088">
                  <c:v>86.97525</c:v>
                </c:pt>
                <c:pt idx="3089">
                  <c:v>86.97525</c:v>
                </c:pt>
                <c:pt idx="3090">
                  <c:v>86.97525</c:v>
                </c:pt>
                <c:pt idx="3091">
                  <c:v>86.97525</c:v>
                </c:pt>
                <c:pt idx="3092">
                  <c:v>86.97425</c:v>
                </c:pt>
                <c:pt idx="3093">
                  <c:v>86.9712</c:v>
                </c:pt>
                <c:pt idx="3094">
                  <c:v>86.97425</c:v>
                </c:pt>
                <c:pt idx="3095">
                  <c:v>86.9712</c:v>
                </c:pt>
                <c:pt idx="3096">
                  <c:v>86.96516</c:v>
                </c:pt>
                <c:pt idx="3097">
                  <c:v>86.9621</c:v>
                </c:pt>
                <c:pt idx="3098">
                  <c:v>86.95905</c:v>
                </c:pt>
                <c:pt idx="3099">
                  <c:v>86.95706</c:v>
                </c:pt>
                <c:pt idx="3100">
                  <c:v>86.95500000000001</c:v>
                </c:pt>
                <c:pt idx="3101">
                  <c:v>86.95194</c:v>
                </c:pt>
                <c:pt idx="3102">
                  <c:v>86.94995</c:v>
                </c:pt>
                <c:pt idx="3103">
                  <c:v>86.94789</c:v>
                </c:pt>
                <c:pt idx="3104">
                  <c:v>86.9459</c:v>
                </c:pt>
                <c:pt idx="3105">
                  <c:v>86.94285</c:v>
                </c:pt>
                <c:pt idx="3106">
                  <c:v>86.94185</c:v>
                </c:pt>
                <c:pt idx="3107">
                  <c:v>86.93979</c:v>
                </c:pt>
                <c:pt idx="3108">
                  <c:v>86.9388</c:v>
                </c:pt>
                <c:pt idx="3109">
                  <c:v>86.9378</c:v>
                </c:pt>
                <c:pt idx="3110">
                  <c:v>86.93276</c:v>
                </c:pt>
                <c:pt idx="3111">
                  <c:v>86.9297</c:v>
                </c:pt>
                <c:pt idx="3112">
                  <c:v>86.92665</c:v>
                </c:pt>
                <c:pt idx="3113">
                  <c:v>86.92359</c:v>
                </c:pt>
                <c:pt idx="3114">
                  <c:v>86.9226</c:v>
                </c:pt>
                <c:pt idx="3115">
                  <c:v>86.91756</c:v>
                </c:pt>
                <c:pt idx="3116">
                  <c:v>86.91649</c:v>
                </c:pt>
                <c:pt idx="3117">
                  <c:v>86.9145</c:v>
                </c:pt>
                <c:pt idx="3118">
                  <c:v>86.91144</c:v>
                </c:pt>
                <c:pt idx="3119">
                  <c:v>86.91045</c:v>
                </c:pt>
                <c:pt idx="3120">
                  <c:v>86.90838999999998</c:v>
                </c:pt>
                <c:pt idx="3121">
                  <c:v>86.90541</c:v>
                </c:pt>
                <c:pt idx="3122">
                  <c:v>86.90335</c:v>
                </c:pt>
                <c:pt idx="3123">
                  <c:v>86.90029</c:v>
                </c:pt>
                <c:pt idx="3124">
                  <c:v>86.8983</c:v>
                </c:pt>
                <c:pt idx="3125">
                  <c:v>86.89624</c:v>
                </c:pt>
                <c:pt idx="3126">
                  <c:v>86.89318</c:v>
                </c:pt>
                <c:pt idx="3127">
                  <c:v>86.8912</c:v>
                </c:pt>
                <c:pt idx="3128">
                  <c:v>86.88914</c:v>
                </c:pt>
                <c:pt idx="3129">
                  <c:v>86.88409</c:v>
                </c:pt>
                <c:pt idx="3130">
                  <c:v>86.88209999999998</c:v>
                </c:pt>
                <c:pt idx="3131">
                  <c:v>86.88003999999998</c:v>
                </c:pt>
                <c:pt idx="3132">
                  <c:v>86.87904999999998</c:v>
                </c:pt>
                <c:pt idx="3133">
                  <c:v>86.87598999999948</c:v>
                </c:pt>
                <c:pt idx="3134">
                  <c:v>86.87193999999998</c:v>
                </c:pt>
                <c:pt idx="3135">
                  <c:v>86.86995</c:v>
                </c:pt>
                <c:pt idx="3136">
                  <c:v>86.86789</c:v>
                </c:pt>
                <c:pt idx="3137">
                  <c:v>86.86484</c:v>
                </c:pt>
                <c:pt idx="3138">
                  <c:v>86.86284999999998</c:v>
                </c:pt>
                <c:pt idx="3139">
                  <c:v>86.85978999999985</c:v>
                </c:pt>
                <c:pt idx="3140">
                  <c:v>86.85772999999997</c:v>
                </c:pt>
                <c:pt idx="3141">
                  <c:v>86.85673999999958</c:v>
                </c:pt>
                <c:pt idx="3142">
                  <c:v>86.85367999999998</c:v>
                </c:pt>
                <c:pt idx="3143">
                  <c:v>86.85069999999997</c:v>
                </c:pt>
                <c:pt idx="3144">
                  <c:v>86.84864</c:v>
                </c:pt>
                <c:pt idx="3145">
                  <c:v>86.84665</c:v>
                </c:pt>
                <c:pt idx="3146">
                  <c:v>86.84459</c:v>
                </c:pt>
                <c:pt idx="3147">
                  <c:v>86.84153</c:v>
                </c:pt>
                <c:pt idx="3148">
                  <c:v>86.83954</c:v>
                </c:pt>
                <c:pt idx="3149">
                  <c:v>86.83649</c:v>
                </c:pt>
                <c:pt idx="3150">
                  <c:v>86.83343</c:v>
                </c:pt>
                <c:pt idx="3151">
                  <c:v>86.83144</c:v>
                </c:pt>
                <c:pt idx="3152">
                  <c:v>86.82937999999928</c:v>
                </c:pt>
                <c:pt idx="3153">
                  <c:v>86.82639999999998</c:v>
                </c:pt>
                <c:pt idx="3154">
                  <c:v>86.82532999999998</c:v>
                </c:pt>
                <c:pt idx="3155">
                  <c:v>86.82333999999948</c:v>
                </c:pt>
                <c:pt idx="3156">
                  <c:v>86.82029</c:v>
                </c:pt>
                <c:pt idx="3157">
                  <c:v>86.81723</c:v>
                </c:pt>
                <c:pt idx="3158">
                  <c:v>86.81418</c:v>
                </c:pt>
                <c:pt idx="3159">
                  <c:v>86.81219</c:v>
                </c:pt>
                <c:pt idx="3160">
                  <c:v>86.80813999999998</c:v>
                </c:pt>
                <c:pt idx="3161">
                  <c:v>86.80607999999998</c:v>
                </c:pt>
                <c:pt idx="3162">
                  <c:v>86.80409</c:v>
                </c:pt>
                <c:pt idx="3163">
                  <c:v>86.80202999999997</c:v>
                </c:pt>
                <c:pt idx="3164">
                  <c:v>86.79904</c:v>
                </c:pt>
                <c:pt idx="3165">
                  <c:v>86.79599</c:v>
                </c:pt>
                <c:pt idx="3166">
                  <c:v>86.79393</c:v>
                </c:pt>
                <c:pt idx="3167">
                  <c:v>86.79194</c:v>
                </c:pt>
                <c:pt idx="3168">
                  <c:v>86.78887999999998</c:v>
                </c:pt>
                <c:pt idx="3169">
                  <c:v>86.78582999999997</c:v>
                </c:pt>
                <c:pt idx="3170">
                  <c:v>86.78384</c:v>
                </c:pt>
                <c:pt idx="3171">
                  <c:v>86.78178</c:v>
                </c:pt>
                <c:pt idx="3172">
                  <c:v>86.77978999999995</c:v>
                </c:pt>
                <c:pt idx="3173">
                  <c:v>86.77672999999998</c:v>
                </c:pt>
                <c:pt idx="3174">
                  <c:v>86.77368</c:v>
                </c:pt>
                <c:pt idx="3175">
                  <c:v>86.77169</c:v>
                </c:pt>
                <c:pt idx="3176">
                  <c:v>86.76863</c:v>
                </c:pt>
                <c:pt idx="3177">
                  <c:v>86.76657</c:v>
                </c:pt>
                <c:pt idx="3178">
                  <c:v>86.76458</c:v>
                </c:pt>
                <c:pt idx="3179">
                  <c:v>86.76053</c:v>
                </c:pt>
                <c:pt idx="3180">
                  <c:v>86.75647999999998</c:v>
                </c:pt>
                <c:pt idx="3181">
                  <c:v>86.75442</c:v>
                </c:pt>
                <c:pt idx="3182">
                  <c:v>86.75343</c:v>
                </c:pt>
                <c:pt idx="3183">
                  <c:v>86.75144</c:v>
                </c:pt>
                <c:pt idx="3184">
                  <c:v>86.74837999999998</c:v>
                </c:pt>
                <c:pt idx="3185">
                  <c:v>86.74533</c:v>
                </c:pt>
                <c:pt idx="3186">
                  <c:v>86.74327</c:v>
                </c:pt>
                <c:pt idx="3187">
                  <c:v>86.74028</c:v>
                </c:pt>
                <c:pt idx="3188">
                  <c:v>86.73822</c:v>
                </c:pt>
                <c:pt idx="3189">
                  <c:v>86.73417</c:v>
                </c:pt>
                <c:pt idx="3190">
                  <c:v>86.73218</c:v>
                </c:pt>
                <c:pt idx="3191">
                  <c:v>86.72913000000001</c:v>
                </c:pt>
                <c:pt idx="3192">
                  <c:v>86.72707000000001</c:v>
                </c:pt>
                <c:pt idx="3193">
                  <c:v>86.72408</c:v>
                </c:pt>
                <c:pt idx="3194">
                  <c:v>86.72103000000001</c:v>
                </c:pt>
                <c:pt idx="3195">
                  <c:v>86.71797</c:v>
                </c:pt>
                <c:pt idx="3196">
                  <c:v>86.71492</c:v>
                </c:pt>
                <c:pt idx="3197">
                  <c:v>86.71392</c:v>
                </c:pt>
                <c:pt idx="3198">
                  <c:v>86.71087</c:v>
                </c:pt>
                <c:pt idx="3199">
                  <c:v>86.70887999999998</c:v>
                </c:pt>
                <c:pt idx="3200">
                  <c:v>86.70682</c:v>
                </c:pt>
                <c:pt idx="3201">
                  <c:v>86.70376</c:v>
                </c:pt>
                <c:pt idx="3202">
                  <c:v>86.70077999999998</c:v>
                </c:pt>
                <c:pt idx="3203">
                  <c:v>86.69970999999998</c:v>
                </c:pt>
                <c:pt idx="3204">
                  <c:v>86.69672999999997</c:v>
                </c:pt>
                <c:pt idx="3205">
                  <c:v>86.69267999999998</c:v>
                </c:pt>
                <c:pt idx="3206">
                  <c:v>86.69062</c:v>
                </c:pt>
                <c:pt idx="3207">
                  <c:v>86.68756</c:v>
                </c:pt>
                <c:pt idx="3208">
                  <c:v>86.68557999999948</c:v>
                </c:pt>
                <c:pt idx="3209">
                  <c:v>86.68251999999998</c:v>
                </c:pt>
                <c:pt idx="3210">
                  <c:v>86.67946999999998</c:v>
                </c:pt>
                <c:pt idx="3211">
                  <c:v>86.67640999999985</c:v>
                </c:pt>
                <c:pt idx="3212">
                  <c:v>86.67442</c:v>
                </c:pt>
                <c:pt idx="3213">
                  <c:v>86.67235999999878</c:v>
                </c:pt>
                <c:pt idx="3214">
                  <c:v>86.66937999999985</c:v>
                </c:pt>
                <c:pt idx="3215">
                  <c:v>86.66632</c:v>
                </c:pt>
                <c:pt idx="3216">
                  <c:v>86.66227</c:v>
                </c:pt>
                <c:pt idx="3217">
                  <c:v>86.66021</c:v>
                </c:pt>
                <c:pt idx="3218">
                  <c:v>86.65822</c:v>
                </c:pt>
                <c:pt idx="3219">
                  <c:v>86.65616</c:v>
                </c:pt>
                <c:pt idx="3220">
                  <c:v>86.65317999999998</c:v>
                </c:pt>
                <c:pt idx="3221">
                  <c:v>86.64707000000001</c:v>
                </c:pt>
                <c:pt idx="3222">
                  <c:v>86.64096</c:v>
                </c:pt>
                <c:pt idx="3223">
                  <c:v>86.64202</c:v>
                </c:pt>
                <c:pt idx="3224">
                  <c:v>86.64096</c:v>
                </c:pt>
                <c:pt idx="3225">
                  <c:v>86.63797</c:v>
                </c:pt>
                <c:pt idx="3226">
                  <c:v>86.63590999999998</c:v>
                </c:pt>
                <c:pt idx="3227">
                  <c:v>86.64202</c:v>
                </c:pt>
                <c:pt idx="3228">
                  <c:v>86.63691</c:v>
                </c:pt>
                <c:pt idx="3229">
                  <c:v>86.63086999999997</c:v>
                </c:pt>
                <c:pt idx="3230">
                  <c:v>86.63086999999997</c:v>
                </c:pt>
                <c:pt idx="3231">
                  <c:v>86.61666</c:v>
                </c:pt>
                <c:pt idx="3232">
                  <c:v>86.61666</c:v>
                </c:pt>
                <c:pt idx="3233">
                  <c:v>86.61971</c:v>
                </c:pt>
                <c:pt idx="3234">
                  <c:v>86.62070999999958</c:v>
                </c:pt>
                <c:pt idx="3235">
                  <c:v>86.61566</c:v>
                </c:pt>
                <c:pt idx="3236">
                  <c:v>86.61062</c:v>
                </c:pt>
                <c:pt idx="3237">
                  <c:v>86.60855999999998</c:v>
                </c:pt>
                <c:pt idx="3238">
                  <c:v>86.60549999999998</c:v>
                </c:pt>
                <c:pt idx="3239">
                  <c:v>86.60252</c:v>
                </c:pt>
                <c:pt idx="3240">
                  <c:v>86.59946</c:v>
                </c:pt>
                <c:pt idx="3241">
                  <c:v>86.59641</c:v>
                </c:pt>
                <c:pt idx="3242">
                  <c:v>86.58731</c:v>
                </c:pt>
                <c:pt idx="3243">
                  <c:v>86.58731</c:v>
                </c:pt>
                <c:pt idx="3244">
                  <c:v>86.58632</c:v>
                </c:pt>
                <c:pt idx="3245">
                  <c:v>86.59236</c:v>
                </c:pt>
                <c:pt idx="3246">
                  <c:v>86.58632</c:v>
                </c:pt>
                <c:pt idx="3247">
                  <c:v>86.58021</c:v>
                </c:pt>
                <c:pt idx="3248">
                  <c:v>86.57822</c:v>
                </c:pt>
                <c:pt idx="3249">
                  <c:v>86.57616</c:v>
                </c:pt>
                <c:pt idx="3250">
                  <c:v>86.57309999999998</c:v>
                </c:pt>
                <c:pt idx="3251">
                  <c:v>86.57111</c:v>
                </c:pt>
                <c:pt idx="3252">
                  <c:v>86.56806</c:v>
                </c:pt>
                <c:pt idx="3253">
                  <c:v>86.566</c:v>
                </c:pt>
                <c:pt idx="3254">
                  <c:v>86.56301</c:v>
                </c:pt>
                <c:pt idx="3255">
                  <c:v>86.55896</c:v>
                </c:pt>
                <c:pt idx="3256">
                  <c:v>86.55590999999998</c:v>
                </c:pt>
                <c:pt idx="3257">
                  <c:v>86.55384999999998</c:v>
                </c:pt>
                <c:pt idx="3258">
                  <c:v>86.55086</c:v>
                </c:pt>
                <c:pt idx="3259">
                  <c:v>86.54781</c:v>
                </c:pt>
                <c:pt idx="3260">
                  <c:v>86.54475</c:v>
                </c:pt>
                <c:pt idx="3261">
                  <c:v>86.5417</c:v>
                </c:pt>
                <c:pt idx="3262">
                  <c:v>86.53870999999998</c:v>
                </c:pt>
                <c:pt idx="3263">
                  <c:v>86.53566</c:v>
                </c:pt>
                <c:pt idx="3264">
                  <c:v>86.5336</c:v>
                </c:pt>
                <c:pt idx="3265">
                  <c:v>86.53054</c:v>
                </c:pt>
                <c:pt idx="3266">
                  <c:v>86.52854999999998</c:v>
                </c:pt>
                <c:pt idx="3267">
                  <c:v>86.52549999999998</c:v>
                </c:pt>
                <c:pt idx="3268">
                  <c:v>86.52243999999965</c:v>
                </c:pt>
                <c:pt idx="3269">
                  <c:v>86.52044999999998</c:v>
                </c:pt>
                <c:pt idx="3270">
                  <c:v>86.51838999999998</c:v>
                </c:pt>
                <c:pt idx="3271">
                  <c:v>86.51434</c:v>
                </c:pt>
                <c:pt idx="3272">
                  <c:v>86.51136</c:v>
                </c:pt>
                <c:pt idx="3273">
                  <c:v>86.5083</c:v>
                </c:pt>
                <c:pt idx="3274">
                  <c:v>86.50624</c:v>
                </c:pt>
                <c:pt idx="3275">
                  <c:v>86.50219</c:v>
                </c:pt>
                <c:pt idx="3276">
                  <c:v>86.5002</c:v>
                </c:pt>
                <c:pt idx="3277">
                  <c:v>86.49715</c:v>
                </c:pt>
                <c:pt idx="3278">
                  <c:v>86.49409</c:v>
                </c:pt>
                <c:pt idx="3279">
                  <c:v>86.49104</c:v>
                </c:pt>
                <c:pt idx="3280">
                  <c:v>86.48806</c:v>
                </c:pt>
                <c:pt idx="3281">
                  <c:v>86.48500000000001</c:v>
                </c:pt>
                <c:pt idx="3282">
                  <c:v>86.48294</c:v>
                </c:pt>
                <c:pt idx="3283">
                  <c:v>86.47996</c:v>
                </c:pt>
                <c:pt idx="3284">
                  <c:v>86.4779</c:v>
                </c:pt>
                <c:pt idx="3285">
                  <c:v>86.47484</c:v>
                </c:pt>
                <c:pt idx="3286">
                  <c:v>86.47186</c:v>
                </c:pt>
                <c:pt idx="3287">
                  <c:v>86.4698</c:v>
                </c:pt>
                <c:pt idx="3288">
                  <c:v>86.46674</c:v>
                </c:pt>
                <c:pt idx="3289">
                  <c:v>86.46376</c:v>
                </c:pt>
                <c:pt idx="3290">
                  <c:v>86.4607</c:v>
                </c:pt>
                <c:pt idx="3291">
                  <c:v>86.45665</c:v>
                </c:pt>
                <c:pt idx="3292">
                  <c:v>86.4536</c:v>
                </c:pt>
                <c:pt idx="3293">
                  <c:v>86.45154</c:v>
                </c:pt>
                <c:pt idx="3294">
                  <c:v>86.44855</c:v>
                </c:pt>
                <c:pt idx="3295">
                  <c:v>86.4445</c:v>
                </c:pt>
                <c:pt idx="3296">
                  <c:v>86.44244</c:v>
                </c:pt>
                <c:pt idx="3297">
                  <c:v>86.44045</c:v>
                </c:pt>
                <c:pt idx="3298">
                  <c:v>86.43839</c:v>
                </c:pt>
                <c:pt idx="3299">
                  <c:v>86.43533999999998</c:v>
                </c:pt>
                <c:pt idx="3300">
                  <c:v>86.43235</c:v>
                </c:pt>
                <c:pt idx="3301">
                  <c:v>86.42930000000001</c:v>
                </c:pt>
                <c:pt idx="3302">
                  <c:v>86.42724</c:v>
                </c:pt>
                <c:pt idx="3303">
                  <c:v>86.42319</c:v>
                </c:pt>
                <c:pt idx="3304">
                  <c:v>86.42013</c:v>
                </c:pt>
                <c:pt idx="3305">
                  <c:v>86.41814</c:v>
                </c:pt>
                <c:pt idx="3306">
                  <c:v>86.41509</c:v>
                </c:pt>
                <c:pt idx="3307">
                  <c:v>86.41104</c:v>
                </c:pt>
                <c:pt idx="3308">
                  <c:v>86.40905</c:v>
                </c:pt>
                <c:pt idx="3309">
                  <c:v>86.405</c:v>
                </c:pt>
                <c:pt idx="3310">
                  <c:v>86.40294</c:v>
                </c:pt>
                <c:pt idx="3311">
                  <c:v>86.39987999999998</c:v>
                </c:pt>
                <c:pt idx="3312">
                  <c:v>86.3969</c:v>
                </c:pt>
                <c:pt idx="3313">
                  <c:v>86.39383999999998</c:v>
                </c:pt>
                <c:pt idx="3314">
                  <c:v>86.39078999999998</c:v>
                </c:pt>
                <c:pt idx="3315">
                  <c:v>86.38773</c:v>
                </c:pt>
                <c:pt idx="3316">
                  <c:v>86.38468</c:v>
                </c:pt>
                <c:pt idx="3317">
                  <c:v>86.38169</c:v>
                </c:pt>
                <c:pt idx="3318">
                  <c:v>86.37963</c:v>
                </c:pt>
                <c:pt idx="3319">
                  <c:v>86.37557999999908</c:v>
                </c:pt>
                <c:pt idx="3320">
                  <c:v>86.37358999999998</c:v>
                </c:pt>
                <c:pt idx="3321">
                  <c:v>86.36954</c:v>
                </c:pt>
                <c:pt idx="3322">
                  <c:v>86.36649</c:v>
                </c:pt>
                <c:pt idx="3323">
                  <c:v>86.36343</c:v>
                </c:pt>
                <c:pt idx="3324">
                  <c:v>86.36144</c:v>
                </c:pt>
                <c:pt idx="3325">
                  <c:v>86.35838999999918</c:v>
                </c:pt>
                <c:pt idx="3326">
                  <c:v>86.35632999999998</c:v>
                </c:pt>
                <c:pt idx="3327">
                  <c:v>86.35333999999965</c:v>
                </c:pt>
                <c:pt idx="3328">
                  <c:v>86.35128</c:v>
                </c:pt>
                <c:pt idx="3329">
                  <c:v>86.34823</c:v>
                </c:pt>
                <c:pt idx="3330">
                  <c:v>86.34517</c:v>
                </c:pt>
                <c:pt idx="3331">
                  <c:v>86.34318</c:v>
                </c:pt>
                <c:pt idx="3332">
                  <c:v>86.33913</c:v>
                </c:pt>
                <c:pt idx="3333">
                  <c:v>86.33707</c:v>
                </c:pt>
                <c:pt idx="3334">
                  <c:v>86.33202999999997</c:v>
                </c:pt>
                <c:pt idx="3335">
                  <c:v>86.33003999999998</c:v>
                </c:pt>
                <c:pt idx="3336">
                  <c:v>86.32697999999998</c:v>
                </c:pt>
                <c:pt idx="3337">
                  <c:v>86.32393</c:v>
                </c:pt>
                <c:pt idx="3338">
                  <c:v>86.32194</c:v>
                </c:pt>
                <c:pt idx="3339">
                  <c:v>86.31887999999998</c:v>
                </c:pt>
                <c:pt idx="3340">
                  <c:v>86.31583</c:v>
                </c:pt>
                <c:pt idx="3341">
                  <c:v>86.31276999999998</c:v>
                </c:pt>
                <c:pt idx="3342">
                  <c:v>86.30871999999998</c:v>
                </c:pt>
                <c:pt idx="3343">
                  <c:v>86.30467</c:v>
                </c:pt>
                <c:pt idx="3344">
                  <c:v>86.30267999999998</c:v>
                </c:pt>
                <c:pt idx="3345">
                  <c:v>86.30062</c:v>
                </c:pt>
                <c:pt idx="3346">
                  <c:v>86.29963</c:v>
                </c:pt>
                <c:pt idx="3347">
                  <c:v>86.28846999999997</c:v>
                </c:pt>
                <c:pt idx="3348">
                  <c:v>86.28442</c:v>
                </c:pt>
                <c:pt idx="3349">
                  <c:v>86.28442</c:v>
                </c:pt>
                <c:pt idx="3350">
                  <c:v>86.28343</c:v>
                </c:pt>
                <c:pt idx="3351">
                  <c:v>86.28243999999998</c:v>
                </c:pt>
                <c:pt idx="3352">
                  <c:v>86.28037</c:v>
                </c:pt>
                <c:pt idx="3353">
                  <c:v>86.28343</c:v>
                </c:pt>
                <c:pt idx="3354">
                  <c:v>86.27937999999965</c:v>
                </c:pt>
                <c:pt idx="3355">
                  <c:v>86.27227999999998</c:v>
                </c:pt>
                <c:pt idx="3356">
                  <c:v>86.26723000000002</c:v>
                </c:pt>
                <c:pt idx="3357">
                  <c:v>86.26418</c:v>
                </c:pt>
                <c:pt idx="3358">
                  <c:v>86.26211</c:v>
                </c:pt>
                <c:pt idx="3359">
                  <c:v>86.25913000000001</c:v>
                </c:pt>
                <c:pt idx="3360">
                  <c:v>86.25507999999998</c:v>
                </c:pt>
                <c:pt idx="3361">
                  <c:v>86.25302</c:v>
                </c:pt>
                <c:pt idx="3362">
                  <c:v>86.24997</c:v>
                </c:pt>
                <c:pt idx="3363">
                  <c:v>86.24698</c:v>
                </c:pt>
                <c:pt idx="3364">
                  <c:v>86.24492</c:v>
                </c:pt>
                <c:pt idx="3365">
                  <c:v>86.24087</c:v>
                </c:pt>
                <c:pt idx="3366">
                  <c:v>86.23682</c:v>
                </c:pt>
                <c:pt idx="3367">
                  <c:v>86.23377</c:v>
                </c:pt>
                <c:pt idx="3368">
                  <c:v>86.22972</c:v>
                </c:pt>
                <c:pt idx="3369">
                  <c:v>86.22773</c:v>
                </c:pt>
                <c:pt idx="3370">
                  <c:v>86.22567</c:v>
                </c:pt>
                <c:pt idx="3371">
                  <c:v>86.22261</c:v>
                </c:pt>
                <c:pt idx="3372">
                  <c:v>86.21963</c:v>
                </c:pt>
                <c:pt idx="3373">
                  <c:v>86.21657</c:v>
                </c:pt>
                <c:pt idx="3374">
                  <c:v>86.21352</c:v>
                </c:pt>
                <c:pt idx="3375">
                  <c:v>86.21046</c:v>
                </c:pt>
                <c:pt idx="3376">
                  <c:v>86.20847</c:v>
                </c:pt>
                <c:pt idx="3377">
                  <c:v>86.20542</c:v>
                </c:pt>
                <c:pt idx="3378">
                  <c:v>86.20137</c:v>
                </c:pt>
                <c:pt idx="3379">
                  <c:v>86.19930999999998</c:v>
                </c:pt>
                <c:pt idx="3380">
                  <c:v>86.19526</c:v>
                </c:pt>
                <c:pt idx="3381">
                  <c:v>86.19227</c:v>
                </c:pt>
                <c:pt idx="3382">
                  <c:v>86.18922</c:v>
                </c:pt>
                <c:pt idx="3383">
                  <c:v>86.18616</c:v>
                </c:pt>
                <c:pt idx="3384">
                  <c:v>86.18311</c:v>
                </c:pt>
                <c:pt idx="3385">
                  <c:v>86.18012</c:v>
                </c:pt>
                <c:pt idx="3386">
                  <c:v>86.17805999999958</c:v>
                </c:pt>
                <c:pt idx="3387">
                  <c:v>86.17500999999928</c:v>
                </c:pt>
                <c:pt idx="3388">
                  <c:v>86.17095999999998</c:v>
                </c:pt>
                <c:pt idx="3389">
                  <c:v>86.16896999999997</c:v>
                </c:pt>
                <c:pt idx="3390">
                  <c:v>86.16691</c:v>
                </c:pt>
                <c:pt idx="3391">
                  <c:v>86.16285999999998</c:v>
                </c:pt>
                <c:pt idx="3392">
                  <c:v>86.15880999999958</c:v>
                </c:pt>
                <c:pt idx="3393">
                  <c:v>86.15574999999878</c:v>
                </c:pt>
                <c:pt idx="3394">
                  <c:v>86.15375999999995</c:v>
                </c:pt>
                <c:pt idx="3395">
                  <c:v>86.14971</c:v>
                </c:pt>
                <c:pt idx="3396">
                  <c:v>86.14566</c:v>
                </c:pt>
                <c:pt idx="3397">
                  <c:v>86.14261</c:v>
                </c:pt>
                <c:pt idx="3398">
                  <c:v>86.13955</c:v>
                </c:pt>
                <c:pt idx="3399">
                  <c:v>86.13657</c:v>
                </c:pt>
                <c:pt idx="3400">
                  <c:v>86.13451</c:v>
                </c:pt>
                <c:pt idx="3401">
                  <c:v>86.13145</c:v>
                </c:pt>
                <c:pt idx="3402">
                  <c:v>86.12945999999998</c:v>
                </c:pt>
                <c:pt idx="3403">
                  <c:v>86.12640999999998</c:v>
                </c:pt>
                <c:pt idx="3404">
                  <c:v>86.12235999999928</c:v>
                </c:pt>
                <c:pt idx="3405">
                  <c:v>86.1193</c:v>
                </c:pt>
                <c:pt idx="3406">
                  <c:v>86.11625</c:v>
                </c:pt>
                <c:pt idx="3407">
                  <c:v>86.11326</c:v>
                </c:pt>
                <c:pt idx="3408">
                  <c:v>86.1041</c:v>
                </c:pt>
                <c:pt idx="3409">
                  <c:v>86.09699</c:v>
                </c:pt>
                <c:pt idx="3410">
                  <c:v>86.09905</c:v>
                </c:pt>
                <c:pt idx="3411">
                  <c:v>86.10921</c:v>
                </c:pt>
                <c:pt idx="3412">
                  <c:v>86.10210999999998</c:v>
                </c:pt>
                <c:pt idx="3413">
                  <c:v>86.09699</c:v>
                </c:pt>
                <c:pt idx="3414">
                  <c:v>86.09294</c:v>
                </c:pt>
                <c:pt idx="3415">
                  <c:v>86.0879</c:v>
                </c:pt>
                <c:pt idx="3416">
                  <c:v>86.08484</c:v>
                </c:pt>
                <c:pt idx="3417">
                  <c:v>86.08078999999998</c:v>
                </c:pt>
                <c:pt idx="3418">
                  <c:v>86.07781</c:v>
                </c:pt>
                <c:pt idx="3419">
                  <c:v>86.07574999999908</c:v>
                </c:pt>
                <c:pt idx="3420">
                  <c:v>86.07268999999998</c:v>
                </c:pt>
                <c:pt idx="3421">
                  <c:v>86.06864</c:v>
                </c:pt>
                <c:pt idx="3422">
                  <c:v>86.06666</c:v>
                </c:pt>
                <c:pt idx="3423">
                  <c:v>86.0636</c:v>
                </c:pt>
                <c:pt idx="3424">
                  <c:v>86.06261</c:v>
                </c:pt>
                <c:pt idx="3425">
                  <c:v>86.05955</c:v>
                </c:pt>
                <c:pt idx="3426">
                  <c:v>86.05549999999998</c:v>
                </c:pt>
                <c:pt idx="3427">
                  <c:v>86.05145</c:v>
                </c:pt>
                <c:pt idx="3428">
                  <c:v>86.04939</c:v>
                </c:pt>
                <c:pt idx="3429">
                  <c:v>86.04533999999998</c:v>
                </c:pt>
                <c:pt idx="3430">
                  <c:v>86.04236</c:v>
                </c:pt>
                <c:pt idx="3431">
                  <c:v>86.03830999999998</c:v>
                </c:pt>
                <c:pt idx="3432">
                  <c:v>86.03525</c:v>
                </c:pt>
                <c:pt idx="3433">
                  <c:v>86.0322</c:v>
                </c:pt>
                <c:pt idx="3434">
                  <c:v>86.03021</c:v>
                </c:pt>
                <c:pt idx="3435">
                  <c:v>86.02715</c:v>
                </c:pt>
                <c:pt idx="3436">
                  <c:v>86.0231</c:v>
                </c:pt>
                <c:pt idx="3437">
                  <c:v>86.02005</c:v>
                </c:pt>
                <c:pt idx="3438">
                  <c:v>86.01799</c:v>
                </c:pt>
                <c:pt idx="3439">
                  <c:v>86.015</c:v>
                </c:pt>
                <c:pt idx="3440">
                  <c:v>86.01294</c:v>
                </c:pt>
                <c:pt idx="3441">
                  <c:v>86.00888999999998</c:v>
                </c:pt>
                <c:pt idx="3442">
                  <c:v>86.00583999999998</c:v>
                </c:pt>
                <c:pt idx="3443">
                  <c:v>86.00284999999998</c:v>
                </c:pt>
                <c:pt idx="3444">
                  <c:v>85.9998</c:v>
                </c:pt>
                <c:pt idx="3445">
                  <c:v>85.99575</c:v>
                </c:pt>
                <c:pt idx="3446">
                  <c:v>85.99269</c:v>
                </c:pt>
                <c:pt idx="3447">
                  <c:v>85.99063</c:v>
                </c:pt>
                <c:pt idx="3448">
                  <c:v>85.98765</c:v>
                </c:pt>
                <c:pt idx="3449">
                  <c:v>85.98253</c:v>
                </c:pt>
                <c:pt idx="3450">
                  <c:v>85.97955</c:v>
                </c:pt>
                <c:pt idx="3451">
                  <c:v>85.97649</c:v>
                </c:pt>
                <c:pt idx="3452">
                  <c:v>85.97343999999998</c:v>
                </c:pt>
                <c:pt idx="3453">
                  <c:v>85.97037999999995</c:v>
                </c:pt>
                <c:pt idx="3454">
                  <c:v>85.9674</c:v>
                </c:pt>
                <c:pt idx="3455">
                  <c:v>85.96534</c:v>
                </c:pt>
                <c:pt idx="3456">
                  <c:v>85.96129</c:v>
                </c:pt>
                <c:pt idx="3457">
                  <c:v>85.95930000000001</c:v>
                </c:pt>
                <c:pt idx="3458">
                  <c:v>85.95525</c:v>
                </c:pt>
                <c:pt idx="3459">
                  <c:v>85.95219</c:v>
                </c:pt>
                <c:pt idx="3460">
                  <c:v>85.94914</c:v>
                </c:pt>
                <c:pt idx="3461">
                  <c:v>85.94608</c:v>
                </c:pt>
                <c:pt idx="3462">
                  <c:v>85.94409</c:v>
                </c:pt>
                <c:pt idx="3463">
                  <c:v>85.94004</c:v>
                </c:pt>
                <c:pt idx="3464">
                  <c:v>85.93699</c:v>
                </c:pt>
                <c:pt idx="3465">
                  <c:v>85.93393</c:v>
                </c:pt>
                <c:pt idx="3466">
                  <c:v>85.93088</c:v>
                </c:pt>
                <c:pt idx="3467">
                  <c:v>85.92583</c:v>
                </c:pt>
                <c:pt idx="3468">
                  <c:v>85.92277999999965</c:v>
                </c:pt>
                <c:pt idx="3469">
                  <c:v>85.91979</c:v>
                </c:pt>
                <c:pt idx="3470">
                  <c:v>85.91773</c:v>
                </c:pt>
                <c:pt idx="3471">
                  <c:v>85.91468</c:v>
                </c:pt>
                <c:pt idx="3472">
                  <c:v>85.91162</c:v>
                </c:pt>
                <c:pt idx="3473">
                  <c:v>85.90864</c:v>
                </c:pt>
                <c:pt idx="3474">
                  <c:v>85.90558</c:v>
                </c:pt>
                <c:pt idx="3475">
                  <c:v>85.90253000000001</c:v>
                </c:pt>
                <c:pt idx="3476">
                  <c:v>85.89847999999998</c:v>
                </c:pt>
                <c:pt idx="3477">
                  <c:v>85.89649</c:v>
                </c:pt>
                <c:pt idx="3478">
                  <c:v>85.89243999999998</c:v>
                </c:pt>
                <c:pt idx="3479">
                  <c:v>85.89037999999998</c:v>
                </c:pt>
                <c:pt idx="3480">
                  <c:v>85.88732</c:v>
                </c:pt>
                <c:pt idx="3481">
                  <c:v>85.88433999999998</c:v>
                </c:pt>
                <c:pt idx="3482">
                  <c:v>85.88022</c:v>
                </c:pt>
                <c:pt idx="3483">
                  <c:v>85.87723</c:v>
                </c:pt>
                <c:pt idx="3484">
                  <c:v>85.87417999999998</c:v>
                </c:pt>
                <c:pt idx="3485">
                  <c:v>85.87112</c:v>
                </c:pt>
                <c:pt idx="3486">
                  <c:v>85.86806999999997</c:v>
                </c:pt>
                <c:pt idx="3487">
                  <c:v>85.86508999999998</c:v>
                </c:pt>
                <c:pt idx="3488">
                  <c:v>85.86104</c:v>
                </c:pt>
                <c:pt idx="3489">
                  <c:v>85.85798</c:v>
                </c:pt>
                <c:pt idx="3490">
                  <c:v>85.85492</c:v>
                </c:pt>
                <c:pt idx="3491">
                  <c:v>85.85187</c:v>
                </c:pt>
                <c:pt idx="3492">
                  <c:v>85.84888999999998</c:v>
                </c:pt>
                <c:pt idx="3493">
                  <c:v>85.84583</c:v>
                </c:pt>
                <c:pt idx="3494">
                  <c:v>85.84277999999995</c:v>
                </c:pt>
                <c:pt idx="3495">
                  <c:v>85.83773</c:v>
                </c:pt>
                <c:pt idx="3496">
                  <c:v>85.82757</c:v>
                </c:pt>
                <c:pt idx="3497">
                  <c:v>85.82757</c:v>
                </c:pt>
                <c:pt idx="3498">
                  <c:v>85.83468</c:v>
                </c:pt>
                <c:pt idx="3499">
                  <c:v>85.83162</c:v>
                </c:pt>
                <c:pt idx="3500">
                  <c:v>85.82657999999998</c:v>
                </c:pt>
                <c:pt idx="3501">
                  <c:v>85.82252999999998</c:v>
                </c:pt>
                <c:pt idx="3502">
                  <c:v>85.81748</c:v>
                </c:pt>
                <c:pt idx="3503">
                  <c:v>85.81343</c:v>
                </c:pt>
                <c:pt idx="3504">
                  <c:v>85.81137</c:v>
                </c:pt>
                <c:pt idx="3505">
                  <c:v>85.80427</c:v>
                </c:pt>
                <c:pt idx="3506">
                  <c:v>85.80022</c:v>
                </c:pt>
                <c:pt idx="3507">
                  <c:v>85.80022</c:v>
                </c:pt>
                <c:pt idx="3508">
                  <c:v>85.79922</c:v>
                </c:pt>
                <c:pt idx="3509">
                  <c:v>85.80227999999998</c:v>
                </c:pt>
                <c:pt idx="3510">
                  <c:v>85.79517000000001</c:v>
                </c:pt>
                <c:pt idx="3511">
                  <c:v>85.79112</c:v>
                </c:pt>
                <c:pt idx="3512">
                  <c:v>85.78807</c:v>
                </c:pt>
                <c:pt idx="3513">
                  <c:v>85.78302</c:v>
                </c:pt>
                <c:pt idx="3514">
                  <c:v>85.77997</c:v>
                </c:pt>
                <c:pt idx="3515">
                  <c:v>85.77691</c:v>
                </c:pt>
                <c:pt idx="3516">
                  <c:v>85.77386</c:v>
                </c:pt>
                <c:pt idx="3517">
                  <c:v>85.77086999999997</c:v>
                </c:pt>
                <c:pt idx="3518">
                  <c:v>85.76682</c:v>
                </c:pt>
                <c:pt idx="3519">
                  <c:v>85.76682</c:v>
                </c:pt>
                <c:pt idx="3520">
                  <c:v>85.76171</c:v>
                </c:pt>
                <c:pt idx="3521">
                  <c:v>85.75766</c:v>
                </c:pt>
                <c:pt idx="3522">
                  <c:v>85.75467</c:v>
                </c:pt>
                <c:pt idx="3523">
                  <c:v>85.75062</c:v>
                </c:pt>
                <c:pt idx="3524">
                  <c:v>85.74856</c:v>
                </c:pt>
                <c:pt idx="3525">
                  <c:v>85.74657</c:v>
                </c:pt>
                <c:pt idx="3526">
                  <c:v>85.74352</c:v>
                </c:pt>
                <c:pt idx="3527">
                  <c:v>85.74046</c:v>
                </c:pt>
                <c:pt idx="3528">
                  <c:v>85.73641</c:v>
                </c:pt>
                <c:pt idx="3529">
                  <c:v>85.73336</c:v>
                </c:pt>
                <c:pt idx="3530">
                  <c:v>85.73137000000001</c:v>
                </c:pt>
                <c:pt idx="3531">
                  <c:v>85.72830999999998</c:v>
                </c:pt>
                <c:pt idx="3532">
                  <c:v>85.72625</c:v>
                </c:pt>
                <c:pt idx="3533">
                  <c:v>85.7222</c:v>
                </c:pt>
                <c:pt idx="3534">
                  <c:v>85.71815</c:v>
                </c:pt>
                <c:pt idx="3535">
                  <c:v>85.71517</c:v>
                </c:pt>
                <c:pt idx="3536">
                  <c:v>85.71211</c:v>
                </c:pt>
                <c:pt idx="3537">
                  <c:v>85.70906</c:v>
                </c:pt>
                <c:pt idx="3538">
                  <c:v>85.70501</c:v>
                </c:pt>
                <c:pt idx="3539">
                  <c:v>85.69889999999998</c:v>
                </c:pt>
                <c:pt idx="3540">
                  <c:v>85.69285999999998</c:v>
                </c:pt>
                <c:pt idx="3541">
                  <c:v>85.69079999999998</c:v>
                </c:pt>
                <c:pt idx="3542">
                  <c:v>85.69889999999998</c:v>
                </c:pt>
                <c:pt idx="3543">
                  <c:v>85.69285999999998</c:v>
                </c:pt>
                <c:pt idx="3544">
                  <c:v>85.68781</c:v>
                </c:pt>
                <c:pt idx="3545">
                  <c:v>85.68475999999998</c:v>
                </c:pt>
                <c:pt idx="3546">
                  <c:v>85.6817</c:v>
                </c:pt>
                <c:pt idx="3547">
                  <c:v>85.67765</c:v>
                </c:pt>
                <c:pt idx="3548">
                  <c:v>85.6746</c:v>
                </c:pt>
                <c:pt idx="3549">
                  <c:v>85.67260999999998</c:v>
                </c:pt>
                <c:pt idx="3550">
                  <c:v>85.66856</c:v>
                </c:pt>
                <c:pt idx="3551">
                  <c:v>85.66549999999998</c:v>
                </c:pt>
                <c:pt idx="3552">
                  <c:v>85.66244999999998</c:v>
                </c:pt>
                <c:pt idx="3553">
                  <c:v>85.65938999999948</c:v>
                </c:pt>
                <c:pt idx="3554">
                  <c:v>85.65739999999998</c:v>
                </c:pt>
                <c:pt idx="3555">
                  <c:v>85.65235999999948</c:v>
                </c:pt>
                <c:pt idx="3556">
                  <c:v>85.64830999999998</c:v>
                </c:pt>
                <c:pt idx="3557">
                  <c:v>85.64625</c:v>
                </c:pt>
                <c:pt idx="3558">
                  <c:v>85.64319</c:v>
                </c:pt>
                <c:pt idx="3559">
                  <c:v>85.64021</c:v>
                </c:pt>
                <c:pt idx="3560">
                  <c:v>85.63616</c:v>
                </c:pt>
                <c:pt idx="3561">
                  <c:v>85.6341</c:v>
                </c:pt>
                <c:pt idx="3562">
                  <c:v>85.63210999999998</c:v>
                </c:pt>
                <c:pt idx="3563">
                  <c:v>85.62798999999998</c:v>
                </c:pt>
                <c:pt idx="3564">
                  <c:v>85.62599999999995</c:v>
                </c:pt>
                <c:pt idx="3565">
                  <c:v>85.62095999999998</c:v>
                </c:pt>
                <c:pt idx="3566">
                  <c:v>85.6179</c:v>
                </c:pt>
                <c:pt idx="3567">
                  <c:v>85.61485</c:v>
                </c:pt>
                <c:pt idx="3568">
                  <c:v>85.61179</c:v>
                </c:pt>
                <c:pt idx="3569">
                  <c:v>85.60880999999995</c:v>
                </c:pt>
                <c:pt idx="3570">
                  <c:v>85.60574999999928</c:v>
                </c:pt>
                <c:pt idx="3571">
                  <c:v>85.60269999999998</c:v>
                </c:pt>
                <c:pt idx="3572">
                  <c:v>85.59865</c:v>
                </c:pt>
                <c:pt idx="3573">
                  <c:v>85.59559</c:v>
                </c:pt>
                <c:pt idx="3574">
                  <c:v>85.5936</c:v>
                </c:pt>
                <c:pt idx="3575">
                  <c:v>85.58955</c:v>
                </c:pt>
                <c:pt idx="3576">
                  <c:v>85.58749</c:v>
                </c:pt>
                <c:pt idx="3577">
                  <c:v>85.58444</c:v>
                </c:pt>
                <c:pt idx="3578">
                  <c:v>85.58244999999998</c:v>
                </c:pt>
                <c:pt idx="3579">
                  <c:v>85.58038999999998</c:v>
                </c:pt>
                <c:pt idx="3580">
                  <c:v>85.57633999999948</c:v>
                </c:pt>
                <c:pt idx="3581">
                  <c:v>85.57228999999998</c:v>
                </c:pt>
                <c:pt idx="3582">
                  <c:v>85.56930000000001</c:v>
                </c:pt>
                <c:pt idx="3583">
                  <c:v>85.56724</c:v>
                </c:pt>
                <c:pt idx="3584">
                  <c:v>85.56419</c:v>
                </c:pt>
                <c:pt idx="3585">
                  <c:v>85.5612</c:v>
                </c:pt>
                <c:pt idx="3586">
                  <c:v>85.55609</c:v>
                </c:pt>
                <c:pt idx="3587">
                  <c:v>85.55303</c:v>
                </c:pt>
                <c:pt idx="3588">
                  <c:v>85.55104</c:v>
                </c:pt>
                <c:pt idx="3589">
                  <c:v>85.54699</c:v>
                </c:pt>
                <c:pt idx="3590">
                  <c:v>85.54493</c:v>
                </c:pt>
                <c:pt idx="3591">
                  <c:v>85.54088</c:v>
                </c:pt>
                <c:pt idx="3592">
                  <c:v>85.53888999999998</c:v>
                </c:pt>
                <c:pt idx="3593">
                  <c:v>85.53583999999998</c:v>
                </c:pt>
                <c:pt idx="3594">
                  <c:v>85.53277999999958</c:v>
                </c:pt>
                <c:pt idx="3595">
                  <c:v>85.53078999999998</c:v>
                </c:pt>
                <c:pt idx="3596">
                  <c:v>85.52673999999975</c:v>
                </c:pt>
                <c:pt idx="3597">
                  <c:v>85.52369</c:v>
                </c:pt>
                <c:pt idx="3598">
                  <c:v>85.5217</c:v>
                </c:pt>
                <c:pt idx="3599">
                  <c:v>85.51758</c:v>
                </c:pt>
                <c:pt idx="3600">
                  <c:v>85.51459</c:v>
                </c:pt>
                <c:pt idx="3601">
                  <c:v>85.51154</c:v>
                </c:pt>
                <c:pt idx="3602">
                  <c:v>85.50947999999998</c:v>
                </c:pt>
                <c:pt idx="3603">
                  <c:v>85.50542999999997</c:v>
                </c:pt>
                <c:pt idx="3604">
                  <c:v>85.50243999999998</c:v>
                </c:pt>
                <c:pt idx="3605">
                  <c:v>85.50137999999998</c:v>
                </c:pt>
                <c:pt idx="3606">
                  <c:v>85.49633</c:v>
                </c:pt>
                <c:pt idx="3607">
                  <c:v>85.49328</c:v>
                </c:pt>
                <c:pt idx="3608">
                  <c:v>85.48923</c:v>
                </c:pt>
                <c:pt idx="3609">
                  <c:v>85.48724</c:v>
                </c:pt>
                <c:pt idx="3610">
                  <c:v>85.48418</c:v>
                </c:pt>
                <c:pt idx="3611">
                  <c:v>85.48212</c:v>
                </c:pt>
                <c:pt idx="3612">
                  <c:v>85.47914</c:v>
                </c:pt>
                <c:pt idx="3613">
                  <c:v>85.47607999999998</c:v>
                </c:pt>
                <c:pt idx="3614">
                  <c:v>85.47202999999997</c:v>
                </c:pt>
                <c:pt idx="3615">
                  <c:v>85.46898</c:v>
                </c:pt>
                <c:pt idx="3616">
                  <c:v>85.46592</c:v>
                </c:pt>
                <c:pt idx="3617">
                  <c:v>85.46393</c:v>
                </c:pt>
                <c:pt idx="3618">
                  <c:v>85.46088</c:v>
                </c:pt>
                <c:pt idx="3619">
                  <c:v>85.45782</c:v>
                </c:pt>
                <c:pt idx="3620">
                  <c:v>85.45377</c:v>
                </c:pt>
                <c:pt idx="3621">
                  <c:v>85.45178</c:v>
                </c:pt>
                <c:pt idx="3622">
                  <c:v>85.44873000000001</c:v>
                </c:pt>
                <c:pt idx="3623">
                  <c:v>85.44567</c:v>
                </c:pt>
                <c:pt idx="3624">
                  <c:v>85.44262</c:v>
                </c:pt>
                <c:pt idx="3625">
                  <c:v>85.43857000000001</c:v>
                </c:pt>
                <c:pt idx="3626">
                  <c:v>85.43559</c:v>
                </c:pt>
                <c:pt idx="3627">
                  <c:v>85.43253</c:v>
                </c:pt>
                <c:pt idx="3628">
                  <c:v>85.42947</c:v>
                </c:pt>
                <c:pt idx="3629">
                  <c:v>85.42749</c:v>
                </c:pt>
                <c:pt idx="3630">
                  <c:v>85.42443</c:v>
                </c:pt>
                <c:pt idx="3631">
                  <c:v>85.42037999999998</c:v>
                </c:pt>
                <c:pt idx="3632">
                  <c:v>85.41832</c:v>
                </c:pt>
                <c:pt idx="3633">
                  <c:v>85.41534</c:v>
                </c:pt>
                <c:pt idx="3634">
                  <c:v>85.41122</c:v>
                </c:pt>
                <c:pt idx="3635">
                  <c:v>85.40823</c:v>
                </c:pt>
                <c:pt idx="3636">
                  <c:v>85.40518</c:v>
                </c:pt>
                <c:pt idx="3637">
                  <c:v>85.40312</c:v>
                </c:pt>
                <c:pt idx="3638">
                  <c:v>85.40013</c:v>
                </c:pt>
                <c:pt idx="3639">
                  <c:v>85.39708</c:v>
                </c:pt>
                <c:pt idx="3640">
                  <c:v>85.39502</c:v>
                </c:pt>
                <c:pt idx="3641">
                  <c:v>85.39203</c:v>
                </c:pt>
                <c:pt idx="3642">
                  <c:v>85.38897999999975</c:v>
                </c:pt>
                <c:pt idx="3643">
                  <c:v>85.38592</c:v>
                </c:pt>
                <c:pt idx="3644">
                  <c:v>85.38286999999998</c:v>
                </c:pt>
                <c:pt idx="3645">
                  <c:v>85.37987999999918</c:v>
                </c:pt>
                <c:pt idx="3646">
                  <c:v>85.37682999999998</c:v>
                </c:pt>
                <c:pt idx="3647">
                  <c:v>85.37476999999998</c:v>
                </c:pt>
                <c:pt idx="3648">
                  <c:v>85.37071999999995</c:v>
                </c:pt>
                <c:pt idx="3649">
                  <c:v>85.36766</c:v>
                </c:pt>
                <c:pt idx="3650">
                  <c:v>85.36468</c:v>
                </c:pt>
                <c:pt idx="3651">
                  <c:v>85.36063</c:v>
                </c:pt>
                <c:pt idx="3652">
                  <c:v>85.35757</c:v>
                </c:pt>
                <c:pt idx="3653">
                  <c:v>85.35452</c:v>
                </c:pt>
                <c:pt idx="3654">
                  <c:v>85.35146</c:v>
                </c:pt>
                <c:pt idx="3655">
                  <c:v>85.34847999999998</c:v>
                </c:pt>
                <c:pt idx="3656">
                  <c:v>85.34642</c:v>
                </c:pt>
                <c:pt idx="3657">
                  <c:v>85.34336</c:v>
                </c:pt>
                <c:pt idx="3658">
                  <c:v>85.34137000000001</c:v>
                </c:pt>
                <c:pt idx="3659">
                  <c:v>85.33831999999998</c:v>
                </c:pt>
                <c:pt idx="3660">
                  <c:v>85.33427</c:v>
                </c:pt>
                <c:pt idx="3661">
                  <c:v>85.33121</c:v>
                </c:pt>
                <c:pt idx="3662">
                  <c:v>85.32922</c:v>
                </c:pt>
                <c:pt idx="3663">
                  <c:v>85.32716</c:v>
                </c:pt>
                <c:pt idx="3664">
                  <c:v>85.32311</c:v>
                </c:pt>
                <c:pt idx="3665">
                  <c:v>85.32006</c:v>
                </c:pt>
                <c:pt idx="3666">
                  <c:v>85.31707</c:v>
                </c:pt>
                <c:pt idx="3667">
                  <c:v>85.31402</c:v>
                </c:pt>
                <c:pt idx="3668">
                  <c:v>85.31196</c:v>
                </c:pt>
                <c:pt idx="3669">
                  <c:v>85.30896999999997</c:v>
                </c:pt>
                <c:pt idx="3670">
                  <c:v>85.30592</c:v>
                </c:pt>
                <c:pt idx="3671">
                  <c:v>85.30285999999998</c:v>
                </c:pt>
                <c:pt idx="3672">
                  <c:v>85.29981</c:v>
                </c:pt>
                <c:pt idx="3673">
                  <c:v>85.29675</c:v>
                </c:pt>
                <c:pt idx="3674">
                  <c:v>85.2927</c:v>
                </c:pt>
                <c:pt idx="3675">
                  <c:v>85.28865</c:v>
                </c:pt>
                <c:pt idx="3676">
                  <c:v>85.28666</c:v>
                </c:pt>
                <c:pt idx="3677">
                  <c:v>85.28361</c:v>
                </c:pt>
                <c:pt idx="3678">
                  <c:v>85.28162</c:v>
                </c:pt>
                <c:pt idx="3679">
                  <c:v>85.27856</c:v>
                </c:pt>
                <c:pt idx="3680">
                  <c:v>85.27550999999998</c:v>
                </c:pt>
                <c:pt idx="3681">
                  <c:v>85.27244999999998</c:v>
                </c:pt>
                <c:pt idx="3682">
                  <c:v>85.26947000000001</c:v>
                </c:pt>
                <c:pt idx="3683">
                  <c:v>85.26741</c:v>
                </c:pt>
                <c:pt idx="3684">
                  <c:v>85.26336</c:v>
                </c:pt>
                <c:pt idx="3685">
                  <c:v>85.2613</c:v>
                </c:pt>
                <c:pt idx="3686">
                  <c:v>85.25725</c:v>
                </c:pt>
                <c:pt idx="3687">
                  <c:v>85.2532</c:v>
                </c:pt>
                <c:pt idx="3688">
                  <c:v>85.25021</c:v>
                </c:pt>
                <c:pt idx="3689">
                  <c:v>85.24815</c:v>
                </c:pt>
                <c:pt idx="3690">
                  <c:v>85.24616</c:v>
                </c:pt>
                <c:pt idx="3691">
                  <c:v>85.2441</c:v>
                </c:pt>
                <c:pt idx="3692">
                  <c:v>85.24005</c:v>
                </c:pt>
                <c:pt idx="3693">
                  <c:v>85.237</c:v>
                </c:pt>
                <c:pt idx="3694">
                  <c:v>85.23402</c:v>
                </c:pt>
                <c:pt idx="3695">
                  <c:v>85.23096</c:v>
                </c:pt>
                <c:pt idx="3696">
                  <c:v>85.2279</c:v>
                </c:pt>
                <c:pt idx="3697">
                  <c:v>85.22485</c:v>
                </c:pt>
                <c:pt idx="3698">
                  <c:v>85.22285999999998</c:v>
                </c:pt>
                <c:pt idx="3699">
                  <c:v>85.21270000000001</c:v>
                </c:pt>
                <c:pt idx="3700">
                  <c:v>85.20964</c:v>
                </c:pt>
                <c:pt idx="3701">
                  <c:v>85.21369</c:v>
                </c:pt>
                <c:pt idx="3702">
                  <c:v>85.21881</c:v>
                </c:pt>
                <c:pt idx="3703">
                  <c:v>85.21171</c:v>
                </c:pt>
                <c:pt idx="3704">
                  <c:v>85.20666</c:v>
                </c:pt>
                <c:pt idx="3705">
                  <c:v>85.20261</c:v>
                </c:pt>
                <c:pt idx="3706">
                  <c:v>85.19856</c:v>
                </c:pt>
                <c:pt idx="3707">
                  <c:v>85.1965</c:v>
                </c:pt>
                <c:pt idx="3708">
                  <c:v>85.19244999999998</c:v>
                </c:pt>
                <c:pt idx="3709">
                  <c:v>85.19038999999998</c:v>
                </c:pt>
                <c:pt idx="3710">
                  <c:v>85.18839999999948</c:v>
                </c:pt>
                <c:pt idx="3711">
                  <c:v>85.18434999999998</c:v>
                </c:pt>
                <c:pt idx="3712">
                  <c:v>85.17930999999938</c:v>
                </c:pt>
                <c:pt idx="3713">
                  <c:v>85.17725</c:v>
                </c:pt>
                <c:pt idx="3714">
                  <c:v>85.17624999999998</c:v>
                </c:pt>
                <c:pt idx="3715">
                  <c:v>85.17319999999998</c:v>
                </c:pt>
                <c:pt idx="3716">
                  <c:v>85.16915</c:v>
                </c:pt>
                <c:pt idx="3717">
                  <c:v>85.16608999999998</c:v>
                </c:pt>
                <c:pt idx="3718">
                  <c:v>85.16311</c:v>
                </c:pt>
                <c:pt idx="3719">
                  <c:v>85.16105</c:v>
                </c:pt>
                <c:pt idx="3720">
                  <c:v>85.15799</c:v>
                </c:pt>
                <c:pt idx="3721">
                  <c:v>85.15493999999998</c:v>
                </c:pt>
                <c:pt idx="3722">
                  <c:v>85.15195</c:v>
                </c:pt>
                <c:pt idx="3723">
                  <c:v>85.1489</c:v>
                </c:pt>
                <c:pt idx="3724">
                  <c:v>85.14583999999998</c:v>
                </c:pt>
                <c:pt idx="3725">
                  <c:v>85.14385</c:v>
                </c:pt>
                <c:pt idx="3726">
                  <c:v>85.13873999999888</c:v>
                </c:pt>
                <c:pt idx="3727">
                  <c:v>85.13574999999948</c:v>
                </c:pt>
                <c:pt idx="3728">
                  <c:v>85.13369</c:v>
                </c:pt>
                <c:pt idx="3729">
                  <c:v>85.12253999999928</c:v>
                </c:pt>
                <c:pt idx="3730">
                  <c:v>85.11947999999998</c:v>
                </c:pt>
                <c:pt idx="3731">
                  <c:v>85.12153999999998</c:v>
                </c:pt>
                <c:pt idx="3732">
                  <c:v>85.12864999999998</c:v>
                </c:pt>
                <c:pt idx="3733">
                  <c:v>85.12153999999998</c:v>
                </c:pt>
                <c:pt idx="3734">
                  <c:v>85.11749</c:v>
                </c:pt>
                <c:pt idx="3735">
                  <c:v>85.11244999999998</c:v>
                </c:pt>
                <c:pt idx="3736">
                  <c:v>85.10938999999995</c:v>
                </c:pt>
                <c:pt idx="3737">
                  <c:v>85.10733</c:v>
                </c:pt>
                <c:pt idx="3738">
                  <c:v>85.10328</c:v>
                </c:pt>
                <c:pt idx="3739">
                  <c:v>85.1003</c:v>
                </c:pt>
                <c:pt idx="3740">
                  <c:v>85.09724</c:v>
                </c:pt>
                <c:pt idx="3741">
                  <c:v>85.09419</c:v>
                </c:pt>
                <c:pt idx="3742">
                  <c:v>85.09014</c:v>
                </c:pt>
                <c:pt idx="3743">
                  <c:v>85.08708</c:v>
                </c:pt>
                <c:pt idx="3744">
                  <c:v>85.08508999999998</c:v>
                </c:pt>
                <c:pt idx="3745">
                  <c:v>85.08203999999998</c:v>
                </c:pt>
                <c:pt idx="3746">
                  <c:v>85.07997999999998</c:v>
                </c:pt>
                <c:pt idx="3747">
                  <c:v>85.07698999999998</c:v>
                </c:pt>
                <c:pt idx="3748">
                  <c:v>85.07393999999998</c:v>
                </c:pt>
                <c:pt idx="3749">
                  <c:v>85.07087999999958</c:v>
                </c:pt>
                <c:pt idx="3750">
                  <c:v>85.06783</c:v>
                </c:pt>
                <c:pt idx="3751">
                  <c:v>85.06377999999998</c:v>
                </c:pt>
                <c:pt idx="3752">
                  <c:v>85.06179</c:v>
                </c:pt>
                <c:pt idx="3753">
                  <c:v>85.05872999999998</c:v>
                </c:pt>
                <c:pt idx="3754">
                  <c:v>85.05673999999995</c:v>
                </c:pt>
                <c:pt idx="3755">
                  <c:v>85.05269</c:v>
                </c:pt>
                <c:pt idx="3756">
                  <c:v>85.04964</c:v>
                </c:pt>
                <c:pt idx="3757">
                  <c:v>85.03948</c:v>
                </c:pt>
                <c:pt idx="3758">
                  <c:v>85.03642</c:v>
                </c:pt>
                <c:pt idx="3759">
                  <c:v>85.03543</c:v>
                </c:pt>
                <c:pt idx="3760">
                  <c:v>85.03543</c:v>
                </c:pt>
                <c:pt idx="3761">
                  <c:v>85.03236999999998</c:v>
                </c:pt>
                <c:pt idx="3762">
                  <c:v>85.03037999999998</c:v>
                </c:pt>
                <c:pt idx="3763">
                  <c:v>85.03236999999998</c:v>
                </c:pt>
                <c:pt idx="3764">
                  <c:v>85.03344</c:v>
                </c:pt>
                <c:pt idx="3765">
                  <c:v>85.02733</c:v>
                </c:pt>
                <c:pt idx="3766">
                  <c:v>85.02328</c:v>
                </c:pt>
                <c:pt idx="3767">
                  <c:v>85.01923</c:v>
                </c:pt>
                <c:pt idx="3768">
                  <c:v>85.01617</c:v>
                </c:pt>
                <c:pt idx="3769">
                  <c:v>85.01312</c:v>
                </c:pt>
                <c:pt idx="3770">
                  <c:v>85.00907</c:v>
                </c:pt>
                <c:pt idx="3771">
                  <c:v>85.00502</c:v>
                </c:pt>
                <c:pt idx="3772">
                  <c:v>85.00203999999998</c:v>
                </c:pt>
                <c:pt idx="3773">
                  <c:v>84.99898</c:v>
                </c:pt>
                <c:pt idx="3774">
                  <c:v>84.99593</c:v>
                </c:pt>
                <c:pt idx="3775">
                  <c:v>84.99287</c:v>
                </c:pt>
                <c:pt idx="3776">
                  <c:v>84.99088</c:v>
                </c:pt>
                <c:pt idx="3777">
                  <c:v>84.98882</c:v>
                </c:pt>
                <c:pt idx="3778">
                  <c:v>84.98583999999998</c:v>
                </c:pt>
                <c:pt idx="3779">
                  <c:v>84.98277999999995</c:v>
                </c:pt>
                <c:pt idx="3780">
                  <c:v>84.97972999999997</c:v>
                </c:pt>
                <c:pt idx="3781">
                  <c:v>84.97667000000001</c:v>
                </c:pt>
                <c:pt idx="3782">
                  <c:v>84.97468</c:v>
                </c:pt>
                <c:pt idx="3783">
                  <c:v>84.97163</c:v>
                </c:pt>
                <c:pt idx="3784">
                  <c:v>84.96957</c:v>
                </c:pt>
                <c:pt idx="3785">
                  <c:v>84.96758</c:v>
                </c:pt>
                <c:pt idx="3786">
                  <c:v>84.96452</c:v>
                </c:pt>
                <c:pt idx="3787">
                  <c:v>84.96147</c:v>
                </c:pt>
                <c:pt idx="3788">
                  <c:v>84.95742</c:v>
                </c:pt>
                <c:pt idx="3789">
                  <c:v>84.95443</c:v>
                </c:pt>
                <c:pt idx="3790">
                  <c:v>84.95138</c:v>
                </c:pt>
                <c:pt idx="3791">
                  <c:v>84.94733</c:v>
                </c:pt>
                <c:pt idx="3792">
                  <c:v>84.94427</c:v>
                </c:pt>
                <c:pt idx="3793">
                  <c:v>84.94228</c:v>
                </c:pt>
                <c:pt idx="3794">
                  <c:v>84.93923</c:v>
                </c:pt>
                <c:pt idx="3795">
                  <c:v>84.93617</c:v>
                </c:pt>
                <c:pt idx="3796">
                  <c:v>84.93312</c:v>
                </c:pt>
                <c:pt idx="3797">
                  <c:v>84.93006</c:v>
                </c:pt>
                <c:pt idx="3798">
                  <c:v>84.92708</c:v>
                </c:pt>
                <c:pt idx="3799">
                  <c:v>84.92303</c:v>
                </c:pt>
                <c:pt idx="3800">
                  <c:v>84.92196</c:v>
                </c:pt>
                <c:pt idx="3801">
                  <c:v>84.91898</c:v>
                </c:pt>
                <c:pt idx="3802">
                  <c:v>84.91692</c:v>
                </c:pt>
                <c:pt idx="3803">
                  <c:v>84.91493000000002</c:v>
                </c:pt>
                <c:pt idx="3804">
                  <c:v>84.91088</c:v>
                </c:pt>
                <c:pt idx="3805">
                  <c:v>84.90782</c:v>
                </c:pt>
                <c:pt idx="3806">
                  <c:v>84.90377</c:v>
                </c:pt>
                <c:pt idx="3807">
                  <c:v>84.90171</c:v>
                </c:pt>
                <c:pt idx="3808">
                  <c:v>84.89972</c:v>
                </c:pt>
                <c:pt idx="3809">
                  <c:v>84.89667</c:v>
                </c:pt>
                <c:pt idx="3810">
                  <c:v>84.89361</c:v>
                </c:pt>
                <c:pt idx="3811">
                  <c:v>84.89162</c:v>
                </c:pt>
                <c:pt idx="3812">
                  <c:v>84.88956</c:v>
                </c:pt>
                <c:pt idx="3813">
                  <c:v>84.88651</c:v>
                </c:pt>
                <c:pt idx="3814">
                  <c:v>84.88352</c:v>
                </c:pt>
                <c:pt idx="3815">
                  <c:v>84.87946999999998</c:v>
                </c:pt>
                <c:pt idx="3816">
                  <c:v>84.87741</c:v>
                </c:pt>
                <c:pt idx="3817">
                  <c:v>84.87335999999995</c:v>
                </c:pt>
                <c:pt idx="3818">
                  <c:v>84.87030999999975</c:v>
                </c:pt>
                <c:pt idx="3819">
                  <c:v>84.86831999999998</c:v>
                </c:pt>
                <c:pt idx="3820">
                  <c:v>84.86526</c:v>
                </c:pt>
                <c:pt idx="3821">
                  <c:v>84.86221</c:v>
                </c:pt>
                <c:pt idx="3822">
                  <c:v>84.86022</c:v>
                </c:pt>
                <c:pt idx="3823">
                  <c:v>84.85816</c:v>
                </c:pt>
                <c:pt idx="3824">
                  <c:v>84.85509999999998</c:v>
                </c:pt>
                <c:pt idx="3825">
                  <c:v>84.85105</c:v>
                </c:pt>
                <c:pt idx="3826">
                  <c:v>84.84807</c:v>
                </c:pt>
                <c:pt idx="3827">
                  <c:v>84.84601</c:v>
                </c:pt>
                <c:pt idx="3828">
                  <c:v>84.84295</c:v>
                </c:pt>
                <c:pt idx="3829">
                  <c:v>84.84196</c:v>
                </c:pt>
                <c:pt idx="3830">
                  <c:v>84.83791</c:v>
                </c:pt>
                <c:pt idx="3831">
                  <c:v>84.83592</c:v>
                </c:pt>
                <c:pt idx="3832">
                  <c:v>84.8318</c:v>
                </c:pt>
                <c:pt idx="3833">
                  <c:v>84.82980999999998</c:v>
                </c:pt>
                <c:pt idx="3834">
                  <c:v>84.82575999999958</c:v>
                </c:pt>
                <c:pt idx="3835">
                  <c:v>84.82476</c:v>
                </c:pt>
                <c:pt idx="3836">
                  <c:v>84.82170999999998</c:v>
                </c:pt>
                <c:pt idx="3837">
                  <c:v>84.81865</c:v>
                </c:pt>
                <c:pt idx="3838">
                  <c:v>84.8146</c:v>
                </c:pt>
                <c:pt idx="3839">
                  <c:v>84.81155</c:v>
                </c:pt>
                <c:pt idx="3840">
                  <c:v>84.80856999999997</c:v>
                </c:pt>
                <c:pt idx="3841">
                  <c:v>84.80551</c:v>
                </c:pt>
                <c:pt idx="3842">
                  <c:v>84.80452</c:v>
                </c:pt>
                <c:pt idx="3843">
                  <c:v>84.80244999999998</c:v>
                </c:pt>
                <c:pt idx="3844">
                  <c:v>84.7994</c:v>
                </c:pt>
                <c:pt idx="3845">
                  <c:v>84.79535</c:v>
                </c:pt>
                <c:pt idx="3846">
                  <c:v>84.79336</c:v>
                </c:pt>
                <c:pt idx="3847">
                  <c:v>84.79031</c:v>
                </c:pt>
                <c:pt idx="3848">
                  <c:v>84.78725</c:v>
                </c:pt>
                <c:pt idx="3849">
                  <c:v>84.78526</c:v>
                </c:pt>
                <c:pt idx="3850">
                  <c:v>84.78121</c:v>
                </c:pt>
                <c:pt idx="3851">
                  <c:v>84.7761</c:v>
                </c:pt>
                <c:pt idx="3852">
                  <c:v>84.77509999999998</c:v>
                </c:pt>
                <c:pt idx="3853">
                  <c:v>84.77204999999998</c:v>
                </c:pt>
                <c:pt idx="3854">
                  <c:v>84.77105</c:v>
                </c:pt>
                <c:pt idx="3855">
                  <c:v>84.76906</c:v>
                </c:pt>
                <c:pt idx="3856">
                  <c:v>84.76501</c:v>
                </c:pt>
                <c:pt idx="3857">
                  <c:v>84.76196</c:v>
                </c:pt>
                <c:pt idx="3858">
                  <c:v>84.75791</c:v>
                </c:pt>
                <c:pt idx="3859">
                  <c:v>84.75584999999998</c:v>
                </c:pt>
                <c:pt idx="3860">
                  <c:v>84.75386</c:v>
                </c:pt>
                <c:pt idx="3861">
                  <c:v>84.75278999999995</c:v>
                </c:pt>
                <c:pt idx="3862">
                  <c:v>84.74981</c:v>
                </c:pt>
                <c:pt idx="3863">
                  <c:v>84.74675</c:v>
                </c:pt>
                <c:pt idx="3864">
                  <c:v>84.74270000000001</c:v>
                </c:pt>
                <c:pt idx="3865">
                  <c:v>84.74064</c:v>
                </c:pt>
                <c:pt idx="3866">
                  <c:v>84.73865</c:v>
                </c:pt>
                <c:pt idx="3867">
                  <c:v>84.7346</c:v>
                </c:pt>
                <c:pt idx="3868">
                  <c:v>84.73254</c:v>
                </c:pt>
                <c:pt idx="3869">
                  <c:v>84.72848999999998</c:v>
                </c:pt>
                <c:pt idx="3870">
                  <c:v>84.72551</c:v>
                </c:pt>
                <c:pt idx="3871">
                  <c:v>84.72444</c:v>
                </c:pt>
                <c:pt idx="3872">
                  <c:v>84.72139</c:v>
                </c:pt>
                <c:pt idx="3873">
                  <c:v>84.71734</c:v>
                </c:pt>
                <c:pt idx="3874">
                  <c:v>84.71535</c:v>
                </c:pt>
                <c:pt idx="3875">
                  <c:v>84.71329</c:v>
                </c:pt>
                <c:pt idx="3876">
                  <c:v>84.7103</c:v>
                </c:pt>
                <c:pt idx="3877">
                  <c:v>84.70725</c:v>
                </c:pt>
                <c:pt idx="3878">
                  <c:v>84.70419</c:v>
                </c:pt>
                <c:pt idx="3879">
                  <c:v>84.7022</c:v>
                </c:pt>
                <c:pt idx="3880">
                  <c:v>84.69915</c:v>
                </c:pt>
                <c:pt idx="3881">
                  <c:v>84.69509999999998</c:v>
                </c:pt>
                <c:pt idx="3882">
                  <c:v>84.69303999999998</c:v>
                </c:pt>
                <c:pt idx="3883">
                  <c:v>84.69005</c:v>
                </c:pt>
                <c:pt idx="3884">
                  <c:v>84.68898999999985</c:v>
                </c:pt>
                <c:pt idx="3885">
                  <c:v>84.687</c:v>
                </c:pt>
                <c:pt idx="3886">
                  <c:v>84.68294999999995</c:v>
                </c:pt>
                <c:pt idx="3887">
                  <c:v>84.67988999999918</c:v>
                </c:pt>
                <c:pt idx="3888">
                  <c:v>84.67683999999888</c:v>
                </c:pt>
                <c:pt idx="3889">
                  <c:v>84.67484999999998</c:v>
                </c:pt>
                <c:pt idx="3890">
                  <c:v>84.67178999999948</c:v>
                </c:pt>
                <c:pt idx="3891">
                  <c:v>84.66873999999908</c:v>
                </c:pt>
                <c:pt idx="3892">
                  <c:v>84.66674999999998</c:v>
                </c:pt>
                <c:pt idx="3893">
                  <c:v>84.66369</c:v>
                </c:pt>
                <c:pt idx="3894">
                  <c:v>84.66064</c:v>
                </c:pt>
                <c:pt idx="3895">
                  <c:v>84.65757999999998</c:v>
                </c:pt>
                <c:pt idx="3896">
                  <c:v>84.65558999999975</c:v>
                </c:pt>
                <c:pt idx="3897">
                  <c:v>84.65352999999997</c:v>
                </c:pt>
                <c:pt idx="3898">
                  <c:v>84.65047999999948</c:v>
                </c:pt>
                <c:pt idx="3899">
                  <c:v>84.64749</c:v>
                </c:pt>
                <c:pt idx="3900">
                  <c:v>84.64543</c:v>
                </c:pt>
                <c:pt idx="3901">
                  <c:v>84.64237999999965</c:v>
                </c:pt>
                <c:pt idx="3902">
                  <c:v>84.64138</c:v>
                </c:pt>
                <c:pt idx="3903">
                  <c:v>84.63733</c:v>
                </c:pt>
                <c:pt idx="3904">
                  <c:v>84.63428</c:v>
                </c:pt>
                <c:pt idx="3905">
                  <c:v>84.63229</c:v>
                </c:pt>
                <c:pt idx="3906">
                  <c:v>84.62923</c:v>
                </c:pt>
                <c:pt idx="3907">
                  <c:v>84.62724</c:v>
                </c:pt>
                <c:pt idx="3908">
                  <c:v>84.62419</c:v>
                </c:pt>
                <c:pt idx="3909">
                  <c:v>84.62113</c:v>
                </c:pt>
                <c:pt idx="3910">
                  <c:v>84.61914</c:v>
                </c:pt>
                <c:pt idx="3911">
                  <c:v>84.61609</c:v>
                </c:pt>
                <c:pt idx="3912">
                  <c:v>84.61403</c:v>
                </c:pt>
                <c:pt idx="3913">
                  <c:v>84.60997999999998</c:v>
                </c:pt>
                <c:pt idx="3914">
                  <c:v>84.60799</c:v>
                </c:pt>
                <c:pt idx="3915">
                  <c:v>84.60592999999998</c:v>
                </c:pt>
                <c:pt idx="3916">
                  <c:v>84.60286999999998</c:v>
                </c:pt>
                <c:pt idx="3917">
                  <c:v>84.59989</c:v>
                </c:pt>
                <c:pt idx="3918">
                  <c:v>84.59882</c:v>
                </c:pt>
                <c:pt idx="3919">
                  <c:v>84.59583999999998</c:v>
                </c:pt>
                <c:pt idx="3920">
                  <c:v>84.59278999999998</c:v>
                </c:pt>
                <c:pt idx="3921">
                  <c:v>84.58972999999997</c:v>
                </c:pt>
                <c:pt idx="3922">
                  <c:v>84.58667000000001</c:v>
                </c:pt>
                <c:pt idx="3923">
                  <c:v>84.58469</c:v>
                </c:pt>
                <c:pt idx="3924">
                  <c:v>84.58163</c:v>
                </c:pt>
                <c:pt idx="3925">
                  <c:v>84.57956999999997</c:v>
                </c:pt>
                <c:pt idx="3926">
                  <c:v>84.57758</c:v>
                </c:pt>
                <c:pt idx="3927">
                  <c:v>84.57453</c:v>
                </c:pt>
                <c:pt idx="3928">
                  <c:v>84.57147</c:v>
                </c:pt>
                <c:pt idx="3929">
                  <c:v>84.57047999999975</c:v>
                </c:pt>
                <c:pt idx="3930">
                  <c:v>84.56742</c:v>
                </c:pt>
                <c:pt idx="3931">
                  <c:v>84.56543</c:v>
                </c:pt>
                <c:pt idx="3932">
                  <c:v>84.56237999999995</c:v>
                </c:pt>
                <c:pt idx="3933">
                  <c:v>84.55932</c:v>
                </c:pt>
                <c:pt idx="3934">
                  <c:v>84.55733</c:v>
                </c:pt>
                <c:pt idx="3935">
                  <c:v>84.55328</c:v>
                </c:pt>
                <c:pt idx="3936">
                  <c:v>84.55122</c:v>
                </c:pt>
                <c:pt idx="3937">
                  <c:v>84.54824</c:v>
                </c:pt>
                <c:pt idx="3938">
                  <c:v>84.54518</c:v>
                </c:pt>
                <c:pt idx="3939">
                  <c:v>84.54312</c:v>
                </c:pt>
                <c:pt idx="3940">
                  <c:v>84.53907</c:v>
                </c:pt>
                <c:pt idx="3941">
                  <c:v>84.53602</c:v>
                </c:pt>
                <c:pt idx="3942">
                  <c:v>84.53403</c:v>
                </c:pt>
                <c:pt idx="3943">
                  <c:v>84.53303</c:v>
                </c:pt>
                <c:pt idx="3944">
                  <c:v>84.53097</c:v>
                </c:pt>
                <c:pt idx="3945">
                  <c:v>84.52897999999985</c:v>
                </c:pt>
                <c:pt idx="3946">
                  <c:v>84.52592999999997</c:v>
                </c:pt>
                <c:pt idx="3947">
                  <c:v>84.52493000000001</c:v>
                </c:pt>
                <c:pt idx="3948">
                  <c:v>84.52187999999998</c:v>
                </c:pt>
                <c:pt idx="3949">
                  <c:v>84.51882</c:v>
                </c:pt>
                <c:pt idx="3950">
                  <c:v>84.51683000000001</c:v>
                </c:pt>
                <c:pt idx="3951">
                  <c:v>84.51377999999998</c:v>
                </c:pt>
                <c:pt idx="3952">
                  <c:v>84.51072</c:v>
                </c:pt>
                <c:pt idx="3953">
                  <c:v>84.50973</c:v>
                </c:pt>
                <c:pt idx="3954">
                  <c:v>84.50767</c:v>
                </c:pt>
                <c:pt idx="3955">
                  <c:v>84.50568</c:v>
                </c:pt>
                <c:pt idx="3956">
                  <c:v>84.50362</c:v>
                </c:pt>
                <c:pt idx="3957">
                  <c:v>84.50262</c:v>
                </c:pt>
                <c:pt idx="3958">
                  <c:v>84.49957</c:v>
                </c:pt>
                <c:pt idx="3959">
                  <c:v>84.49651</c:v>
                </c:pt>
                <c:pt idx="3960">
                  <c:v>84.49452</c:v>
                </c:pt>
                <c:pt idx="3961">
                  <c:v>84.49147</c:v>
                </c:pt>
                <c:pt idx="3962">
                  <c:v>84.48841</c:v>
                </c:pt>
                <c:pt idx="3963">
                  <c:v>84.48543</c:v>
                </c:pt>
                <c:pt idx="3964">
                  <c:v>84.48337</c:v>
                </c:pt>
                <c:pt idx="3965">
                  <c:v>84.48138</c:v>
                </c:pt>
                <c:pt idx="3966">
                  <c:v>84.47932</c:v>
                </c:pt>
                <c:pt idx="3967">
                  <c:v>84.47733</c:v>
                </c:pt>
                <c:pt idx="3968">
                  <c:v>84.47527</c:v>
                </c:pt>
                <c:pt idx="3969">
                  <c:v>84.47328</c:v>
                </c:pt>
                <c:pt idx="3970">
                  <c:v>84.47122</c:v>
                </c:pt>
                <c:pt idx="3971">
                  <c:v>84.46816</c:v>
                </c:pt>
                <c:pt idx="3972">
                  <c:v>84.46717</c:v>
                </c:pt>
                <c:pt idx="3973">
                  <c:v>84.46411</c:v>
                </c:pt>
                <c:pt idx="3974">
                  <c:v>84.46106</c:v>
                </c:pt>
                <c:pt idx="3975">
                  <c:v>84.46006</c:v>
                </c:pt>
                <c:pt idx="3976">
                  <c:v>84.45907</c:v>
                </c:pt>
                <c:pt idx="3977">
                  <c:v>84.45701</c:v>
                </c:pt>
                <c:pt idx="3978">
                  <c:v>84.45502</c:v>
                </c:pt>
                <c:pt idx="3979">
                  <c:v>84.45296</c:v>
                </c:pt>
                <c:pt idx="3980">
                  <c:v>84.45196</c:v>
                </c:pt>
                <c:pt idx="3981">
                  <c:v>84.44891</c:v>
                </c:pt>
                <c:pt idx="3982">
                  <c:v>84.44486</c:v>
                </c:pt>
                <c:pt idx="3983">
                  <c:v>84.44187</c:v>
                </c:pt>
                <c:pt idx="3984">
                  <c:v>84.43981</c:v>
                </c:pt>
                <c:pt idx="3985">
                  <c:v>84.43882</c:v>
                </c:pt>
                <c:pt idx="3986">
                  <c:v>84.43676</c:v>
                </c:pt>
                <c:pt idx="3987">
                  <c:v>84.43477</c:v>
                </c:pt>
                <c:pt idx="3988">
                  <c:v>84.43271</c:v>
                </c:pt>
                <c:pt idx="3989">
                  <c:v>84.43072</c:v>
                </c:pt>
                <c:pt idx="3990">
                  <c:v>84.42866</c:v>
                </c:pt>
                <c:pt idx="3991">
                  <c:v>84.42667</c:v>
                </c:pt>
                <c:pt idx="3992">
                  <c:v>84.4256</c:v>
                </c:pt>
                <c:pt idx="3993">
                  <c:v>84.42262</c:v>
                </c:pt>
                <c:pt idx="3994">
                  <c:v>84.42155</c:v>
                </c:pt>
                <c:pt idx="3995">
                  <c:v>84.41857</c:v>
                </c:pt>
                <c:pt idx="3996">
                  <c:v>84.41651</c:v>
                </c:pt>
                <c:pt idx="3997">
                  <c:v>84.41345</c:v>
                </c:pt>
                <c:pt idx="3998">
                  <c:v>84.41246</c:v>
                </c:pt>
                <c:pt idx="3999">
                  <c:v>84.41047</c:v>
                </c:pt>
                <c:pt idx="4000">
                  <c:v>84.40841</c:v>
                </c:pt>
                <c:pt idx="4001">
                  <c:v>84.40741</c:v>
                </c:pt>
                <c:pt idx="4002">
                  <c:v>84.40436</c:v>
                </c:pt>
                <c:pt idx="4003">
                  <c:v>84.40237</c:v>
                </c:pt>
                <c:pt idx="4004">
                  <c:v>84.4013</c:v>
                </c:pt>
                <c:pt idx="4005">
                  <c:v>84.39931</c:v>
                </c:pt>
                <c:pt idx="4006">
                  <c:v>84.39725</c:v>
                </c:pt>
                <c:pt idx="4007">
                  <c:v>84.3942</c:v>
                </c:pt>
                <c:pt idx="4008">
                  <c:v>84.3932</c:v>
                </c:pt>
                <c:pt idx="4009">
                  <c:v>84.39122</c:v>
                </c:pt>
                <c:pt idx="4010">
                  <c:v>84.39015</c:v>
                </c:pt>
                <c:pt idx="4011">
                  <c:v>84.38816</c:v>
                </c:pt>
                <c:pt idx="4012">
                  <c:v>84.38717000000001</c:v>
                </c:pt>
                <c:pt idx="4013">
                  <c:v>84.38411</c:v>
                </c:pt>
                <c:pt idx="4014">
                  <c:v>84.38312</c:v>
                </c:pt>
                <c:pt idx="4015">
                  <c:v>84.38105</c:v>
                </c:pt>
                <c:pt idx="4016">
                  <c:v>84.38006</c:v>
                </c:pt>
                <c:pt idx="4017">
                  <c:v>84.37699999999998</c:v>
                </c:pt>
                <c:pt idx="4018">
                  <c:v>84.37600999999998</c:v>
                </c:pt>
                <c:pt idx="4019">
                  <c:v>84.37501999999998</c:v>
                </c:pt>
                <c:pt idx="4020">
                  <c:v>84.37196</c:v>
                </c:pt>
                <c:pt idx="4021">
                  <c:v>84.3699</c:v>
                </c:pt>
                <c:pt idx="4022">
                  <c:v>84.36791</c:v>
                </c:pt>
                <c:pt idx="4023">
                  <c:v>84.36584999999998</c:v>
                </c:pt>
                <c:pt idx="4024">
                  <c:v>84.36486</c:v>
                </c:pt>
                <c:pt idx="4025">
                  <c:v>84.36278999999985</c:v>
                </c:pt>
                <c:pt idx="4026">
                  <c:v>84.3618</c:v>
                </c:pt>
                <c:pt idx="4027">
                  <c:v>84.35980999999998</c:v>
                </c:pt>
                <c:pt idx="4028">
                  <c:v>84.35774999999998</c:v>
                </c:pt>
                <c:pt idx="4029">
                  <c:v>84.35575999999975</c:v>
                </c:pt>
                <c:pt idx="4030">
                  <c:v>84.3547</c:v>
                </c:pt>
                <c:pt idx="4031">
                  <c:v>84.35369999999997</c:v>
                </c:pt>
                <c:pt idx="4032">
                  <c:v>84.35270999999948</c:v>
                </c:pt>
                <c:pt idx="4033">
                  <c:v>84.34965</c:v>
                </c:pt>
                <c:pt idx="4034">
                  <c:v>84.34766</c:v>
                </c:pt>
                <c:pt idx="4035">
                  <c:v>84.3456</c:v>
                </c:pt>
                <c:pt idx="4036">
                  <c:v>84.34461</c:v>
                </c:pt>
                <c:pt idx="4037">
                  <c:v>84.34255</c:v>
                </c:pt>
                <c:pt idx="4038">
                  <c:v>84.34155</c:v>
                </c:pt>
                <c:pt idx="4039">
                  <c:v>84.33956</c:v>
                </c:pt>
                <c:pt idx="4040">
                  <c:v>84.33849999999998</c:v>
                </c:pt>
                <c:pt idx="4041">
                  <c:v>84.33651</c:v>
                </c:pt>
                <c:pt idx="4042">
                  <c:v>84.33551</c:v>
                </c:pt>
                <c:pt idx="4043">
                  <c:v>84.33445</c:v>
                </c:pt>
                <c:pt idx="4044">
                  <c:v>84.33345</c:v>
                </c:pt>
                <c:pt idx="4045">
                  <c:v>84.33146</c:v>
                </c:pt>
                <c:pt idx="4046">
                  <c:v>84.32840999999995</c:v>
                </c:pt>
                <c:pt idx="4047">
                  <c:v>84.32741</c:v>
                </c:pt>
                <c:pt idx="4048">
                  <c:v>84.32741</c:v>
                </c:pt>
                <c:pt idx="4049">
                  <c:v>84.32436</c:v>
                </c:pt>
                <c:pt idx="4050">
                  <c:v>84.32329</c:v>
                </c:pt>
                <c:pt idx="4051">
                  <c:v>84.32229999999998</c:v>
                </c:pt>
                <c:pt idx="4052">
                  <c:v>84.32030999999998</c:v>
                </c:pt>
                <c:pt idx="4053">
                  <c:v>84.31924</c:v>
                </c:pt>
                <c:pt idx="4054">
                  <c:v>84.32030999999998</c:v>
                </c:pt>
                <c:pt idx="4055">
                  <c:v>84.31114</c:v>
                </c:pt>
                <c:pt idx="4056">
                  <c:v>84.30816</c:v>
                </c:pt>
                <c:pt idx="4057">
                  <c:v>84.30915</c:v>
                </c:pt>
                <c:pt idx="4058">
                  <c:v>84.30915</c:v>
                </c:pt>
                <c:pt idx="4059">
                  <c:v>84.31015</c:v>
                </c:pt>
                <c:pt idx="4060">
                  <c:v>84.30816</c:v>
                </c:pt>
                <c:pt idx="4061">
                  <c:v>84.30816</c:v>
                </c:pt>
                <c:pt idx="4062">
                  <c:v>84.30709</c:v>
                </c:pt>
                <c:pt idx="4063">
                  <c:v>84.3061</c:v>
                </c:pt>
                <c:pt idx="4064">
                  <c:v>84.30509999999998</c:v>
                </c:pt>
                <c:pt idx="4065">
                  <c:v>84.30303999999998</c:v>
                </c:pt>
                <c:pt idx="4066">
                  <c:v>84.30411</c:v>
                </c:pt>
                <c:pt idx="4067">
                  <c:v>84.3061</c:v>
                </c:pt>
                <c:pt idx="4068">
                  <c:v>84.30105</c:v>
                </c:pt>
                <c:pt idx="4069">
                  <c:v>84.298</c:v>
                </c:pt>
                <c:pt idx="4070">
                  <c:v>84.29601</c:v>
                </c:pt>
                <c:pt idx="4071">
                  <c:v>84.29395</c:v>
                </c:pt>
                <c:pt idx="4072">
                  <c:v>84.29295</c:v>
                </c:pt>
                <c:pt idx="4073">
                  <c:v>84.29089</c:v>
                </c:pt>
                <c:pt idx="4074">
                  <c:v>84.29089</c:v>
                </c:pt>
                <c:pt idx="4075">
                  <c:v>84.2899</c:v>
                </c:pt>
                <c:pt idx="4076">
                  <c:v>84.28784</c:v>
                </c:pt>
                <c:pt idx="4077">
                  <c:v>84.28684</c:v>
                </c:pt>
                <c:pt idx="4078">
                  <c:v>84.28684</c:v>
                </c:pt>
                <c:pt idx="4079">
                  <c:v>84.28378999999998</c:v>
                </c:pt>
                <c:pt idx="4080">
                  <c:v>84.28278999999995</c:v>
                </c:pt>
                <c:pt idx="4081">
                  <c:v>84.2818</c:v>
                </c:pt>
                <c:pt idx="4082">
                  <c:v>84.2808</c:v>
                </c:pt>
                <c:pt idx="4083">
                  <c:v>84.27873999999898</c:v>
                </c:pt>
                <c:pt idx="4084">
                  <c:v>84.27774999999998</c:v>
                </c:pt>
                <c:pt idx="4085">
                  <c:v>84.27674999999998</c:v>
                </c:pt>
                <c:pt idx="4086">
                  <c:v>84.27568999999998</c:v>
                </c:pt>
                <c:pt idx="4087">
                  <c:v>84.27469</c:v>
                </c:pt>
                <c:pt idx="4088">
                  <c:v>84.2737</c:v>
                </c:pt>
                <c:pt idx="4089">
                  <c:v>84.27164</c:v>
                </c:pt>
                <c:pt idx="4090">
                  <c:v>84.26965</c:v>
                </c:pt>
                <c:pt idx="4091">
                  <c:v>84.26965</c:v>
                </c:pt>
                <c:pt idx="4092">
                  <c:v>84.26865</c:v>
                </c:pt>
                <c:pt idx="4093">
                  <c:v>84.26759</c:v>
                </c:pt>
                <c:pt idx="4094">
                  <c:v>84.26659</c:v>
                </c:pt>
                <c:pt idx="4095">
                  <c:v>84.2656</c:v>
                </c:pt>
                <c:pt idx="4096">
                  <c:v>84.2646</c:v>
                </c:pt>
                <c:pt idx="4097">
                  <c:v>84.26354</c:v>
                </c:pt>
                <c:pt idx="4098">
                  <c:v>84.26254</c:v>
                </c:pt>
                <c:pt idx="4099">
                  <c:v>84.26254</c:v>
                </c:pt>
                <c:pt idx="4100">
                  <c:v>84.26055</c:v>
                </c:pt>
                <c:pt idx="4101">
                  <c:v>84.25949</c:v>
                </c:pt>
                <c:pt idx="4102">
                  <c:v>84.25848999999998</c:v>
                </c:pt>
                <c:pt idx="4103">
                  <c:v>84.2575</c:v>
                </c:pt>
                <c:pt idx="4104">
                  <c:v>84.2565</c:v>
                </c:pt>
                <c:pt idx="4105">
                  <c:v>84.2565</c:v>
                </c:pt>
                <c:pt idx="4106">
                  <c:v>84.25444</c:v>
                </c:pt>
                <c:pt idx="4107">
                  <c:v>84.25444</c:v>
                </c:pt>
                <c:pt idx="4108">
                  <c:v>84.25237999999958</c:v>
                </c:pt>
                <c:pt idx="4109">
                  <c:v>84.25139</c:v>
                </c:pt>
                <c:pt idx="4110">
                  <c:v>84.25038999999998</c:v>
                </c:pt>
                <c:pt idx="4111">
                  <c:v>84.2494</c:v>
                </c:pt>
                <c:pt idx="4112">
                  <c:v>84.24833</c:v>
                </c:pt>
                <c:pt idx="4113">
                  <c:v>84.24734</c:v>
                </c:pt>
                <c:pt idx="4114">
                  <c:v>84.24634</c:v>
                </c:pt>
                <c:pt idx="4115">
                  <c:v>84.24535</c:v>
                </c:pt>
                <c:pt idx="4116">
                  <c:v>84.24428</c:v>
                </c:pt>
                <c:pt idx="4117">
                  <c:v>84.24428</c:v>
                </c:pt>
                <c:pt idx="4118">
                  <c:v>84.2413</c:v>
                </c:pt>
                <c:pt idx="4119">
                  <c:v>84.2413</c:v>
                </c:pt>
                <c:pt idx="4120">
                  <c:v>84.24023</c:v>
                </c:pt>
                <c:pt idx="4121">
                  <c:v>84.24023</c:v>
                </c:pt>
                <c:pt idx="4122">
                  <c:v>84.23824</c:v>
                </c:pt>
                <c:pt idx="4123">
                  <c:v>84.23824</c:v>
                </c:pt>
                <c:pt idx="4124">
                  <c:v>84.24023</c:v>
                </c:pt>
                <c:pt idx="4125">
                  <c:v>84.22915</c:v>
                </c:pt>
                <c:pt idx="4126">
                  <c:v>84.22915</c:v>
                </c:pt>
                <c:pt idx="4127">
                  <c:v>84.23114</c:v>
                </c:pt>
                <c:pt idx="4128">
                  <c:v>84.23213000000001</c:v>
                </c:pt>
                <c:pt idx="4129">
                  <c:v>84.2332</c:v>
                </c:pt>
                <c:pt idx="4130">
                  <c:v>84.23213000000001</c:v>
                </c:pt>
                <c:pt idx="4131">
                  <c:v>84.23419</c:v>
                </c:pt>
                <c:pt idx="4132">
                  <c:v>84.23725</c:v>
                </c:pt>
                <c:pt idx="4133">
                  <c:v>84.2332</c:v>
                </c:pt>
                <c:pt idx="4134">
                  <c:v>84.23114</c:v>
                </c:pt>
                <c:pt idx="4135">
                  <c:v>84.22915</c:v>
                </c:pt>
                <c:pt idx="4136">
                  <c:v>84.22807999999995</c:v>
                </c:pt>
                <c:pt idx="4137">
                  <c:v>84.22609</c:v>
                </c:pt>
                <c:pt idx="4138">
                  <c:v>84.22609</c:v>
                </c:pt>
                <c:pt idx="4139">
                  <c:v>84.22609</c:v>
                </c:pt>
                <c:pt idx="4140">
                  <c:v>84.22609</c:v>
                </c:pt>
                <c:pt idx="4141">
                  <c:v>84.22403000000001</c:v>
                </c:pt>
                <c:pt idx="4142">
                  <c:v>84.22303999999998</c:v>
                </c:pt>
                <c:pt idx="4143">
                  <c:v>84.22303999999998</c:v>
                </c:pt>
                <c:pt idx="4144">
                  <c:v>84.22203999999998</c:v>
                </c:pt>
                <c:pt idx="4145">
                  <c:v>84.22105</c:v>
                </c:pt>
                <c:pt idx="4146">
                  <c:v>84.22105</c:v>
                </c:pt>
                <c:pt idx="4147">
                  <c:v>84.21998</c:v>
                </c:pt>
                <c:pt idx="4148">
                  <c:v>84.21899</c:v>
                </c:pt>
                <c:pt idx="4149">
                  <c:v>84.21899</c:v>
                </c:pt>
                <c:pt idx="4150">
                  <c:v>84.21899</c:v>
                </c:pt>
                <c:pt idx="4151">
                  <c:v>84.21799</c:v>
                </c:pt>
                <c:pt idx="4152">
                  <c:v>84.21693</c:v>
                </c:pt>
                <c:pt idx="4153">
                  <c:v>84.21693</c:v>
                </c:pt>
                <c:pt idx="4154">
                  <c:v>84.21593</c:v>
                </c:pt>
                <c:pt idx="4155">
                  <c:v>84.21494</c:v>
                </c:pt>
                <c:pt idx="4156">
                  <c:v>84.21394</c:v>
                </c:pt>
                <c:pt idx="4157">
                  <c:v>84.21394</c:v>
                </c:pt>
                <c:pt idx="4158">
                  <c:v>84.21288</c:v>
                </c:pt>
                <c:pt idx="4159">
                  <c:v>84.21288</c:v>
                </c:pt>
                <c:pt idx="4160">
                  <c:v>84.21288</c:v>
                </c:pt>
                <c:pt idx="4161">
                  <c:v>84.21188</c:v>
                </c:pt>
                <c:pt idx="4162">
                  <c:v>84.21089</c:v>
                </c:pt>
                <c:pt idx="4163">
                  <c:v>84.20989</c:v>
                </c:pt>
                <c:pt idx="4164">
                  <c:v>84.21089</c:v>
                </c:pt>
                <c:pt idx="4165">
                  <c:v>84.20989</c:v>
                </c:pt>
                <c:pt idx="4166">
                  <c:v>84.20883</c:v>
                </c:pt>
                <c:pt idx="4167">
                  <c:v>84.20783</c:v>
                </c:pt>
                <c:pt idx="4168">
                  <c:v>84.20684</c:v>
                </c:pt>
                <c:pt idx="4169">
                  <c:v>84.20684</c:v>
                </c:pt>
                <c:pt idx="4170">
                  <c:v>84.20583999999998</c:v>
                </c:pt>
                <c:pt idx="4171">
                  <c:v>84.20478</c:v>
                </c:pt>
                <c:pt idx="4172">
                  <c:v>84.20583999999998</c:v>
                </c:pt>
                <c:pt idx="4173">
                  <c:v>84.20478</c:v>
                </c:pt>
                <c:pt idx="4174">
                  <c:v>84.20278999999998</c:v>
                </c:pt>
                <c:pt idx="4175">
                  <c:v>84.20377999999998</c:v>
                </c:pt>
                <c:pt idx="4176">
                  <c:v>84.20278999999998</c:v>
                </c:pt>
                <c:pt idx="4177">
                  <c:v>84.20179</c:v>
                </c:pt>
                <c:pt idx="4178">
                  <c:v>84.20073</c:v>
                </c:pt>
                <c:pt idx="4179">
                  <c:v>84.20073</c:v>
                </c:pt>
                <c:pt idx="4180">
                  <c:v>84.20179</c:v>
                </c:pt>
                <c:pt idx="4181">
                  <c:v>84.19972999999997</c:v>
                </c:pt>
                <c:pt idx="4182">
                  <c:v>84.19873999999928</c:v>
                </c:pt>
                <c:pt idx="4183">
                  <c:v>84.19773999999998</c:v>
                </c:pt>
                <c:pt idx="4184">
                  <c:v>84.19873999999928</c:v>
                </c:pt>
                <c:pt idx="4185">
                  <c:v>84.19773999999998</c:v>
                </c:pt>
                <c:pt idx="4186">
                  <c:v>84.19773999999998</c:v>
                </c:pt>
                <c:pt idx="4187">
                  <c:v>84.19668</c:v>
                </c:pt>
                <c:pt idx="4188">
                  <c:v>84.19668</c:v>
                </c:pt>
                <c:pt idx="4189">
                  <c:v>84.19469</c:v>
                </c:pt>
                <c:pt idx="4190">
                  <c:v>84.19469</c:v>
                </c:pt>
                <c:pt idx="4191">
                  <c:v>84.19469</c:v>
                </c:pt>
                <c:pt idx="4192">
                  <c:v>84.19469</c:v>
                </c:pt>
                <c:pt idx="4193">
                  <c:v>84.19369</c:v>
                </c:pt>
                <c:pt idx="4194">
                  <c:v>84.19369</c:v>
                </c:pt>
                <c:pt idx="4195">
                  <c:v>84.19369</c:v>
                </c:pt>
                <c:pt idx="4196">
                  <c:v>84.19263</c:v>
                </c:pt>
                <c:pt idx="4197">
                  <c:v>84.19163</c:v>
                </c:pt>
                <c:pt idx="4198">
                  <c:v>84.19163</c:v>
                </c:pt>
                <c:pt idx="4199">
                  <c:v>84.19064</c:v>
                </c:pt>
                <c:pt idx="4200">
                  <c:v>84.19064</c:v>
                </c:pt>
                <c:pt idx="4201">
                  <c:v>84.19064</c:v>
                </c:pt>
                <c:pt idx="4202">
                  <c:v>84.18963999999998</c:v>
                </c:pt>
                <c:pt idx="4203">
                  <c:v>84.18857999999948</c:v>
                </c:pt>
                <c:pt idx="4204">
                  <c:v>84.18963999999998</c:v>
                </c:pt>
                <c:pt idx="4205">
                  <c:v>84.18857999999948</c:v>
                </c:pt>
                <c:pt idx="4206">
                  <c:v>84.18658999999998</c:v>
                </c:pt>
                <c:pt idx="4207">
                  <c:v>84.18757999999998</c:v>
                </c:pt>
                <c:pt idx="4208">
                  <c:v>84.18658999999998</c:v>
                </c:pt>
                <c:pt idx="4209">
                  <c:v>84.18559999999998</c:v>
                </c:pt>
                <c:pt idx="4210">
                  <c:v>84.18453</c:v>
                </c:pt>
                <c:pt idx="4211">
                  <c:v>84.18353</c:v>
                </c:pt>
                <c:pt idx="4212">
                  <c:v>84.18253999999965</c:v>
                </c:pt>
                <c:pt idx="4213">
                  <c:v>84.18559999999998</c:v>
                </c:pt>
                <c:pt idx="4214">
                  <c:v>84.17443999999985</c:v>
                </c:pt>
                <c:pt idx="4215">
                  <c:v>84.17542999999995</c:v>
                </c:pt>
                <c:pt idx="4216">
                  <c:v>84.18353</c:v>
                </c:pt>
                <c:pt idx="4217">
                  <c:v>84.18757999999998</c:v>
                </c:pt>
                <c:pt idx="4218">
                  <c:v>84.18353</c:v>
                </c:pt>
                <c:pt idx="4219">
                  <c:v>84.18147</c:v>
                </c:pt>
                <c:pt idx="4220">
                  <c:v>84.18147</c:v>
                </c:pt>
                <c:pt idx="4221">
                  <c:v>84.18047999999965</c:v>
                </c:pt>
                <c:pt idx="4222">
                  <c:v>84.17947999999878</c:v>
                </c:pt>
                <c:pt idx="4223">
                  <c:v>84.17848999999858</c:v>
                </c:pt>
                <c:pt idx="4224">
                  <c:v>84.17742</c:v>
                </c:pt>
                <c:pt idx="4225">
                  <c:v>84.17742</c:v>
                </c:pt>
                <c:pt idx="4226">
                  <c:v>84.17642999999998</c:v>
                </c:pt>
                <c:pt idx="4227">
                  <c:v>84.17642999999998</c:v>
                </c:pt>
                <c:pt idx="4228">
                  <c:v>84.17642999999998</c:v>
                </c:pt>
                <c:pt idx="4229">
                  <c:v>84.17443999999985</c:v>
                </c:pt>
                <c:pt idx="4230">
                  <c:v>84.17542999999995</c:v>
                </c:pt>
                <c:pt idx="4231">
                  <c:v>84.17443999999985</c:v>
                </c:pt>
                <c:pt idx="4232">
                  <c:v>84.1723799999979</c:v>
                </c:pt>
                <c:pt idx="4233">
                  <c:v>84.1723799999979</c:v>
                </c:pt>
                <c:pt idx="4234">
                  <c:v>84.1723799999979</c:v>
                </c:pt>
                <c:pt idx="4235">
                  <c:v>84.1723799999979</c:v>
                </c:pt>
                <c:pt idx="4236">
                  <c:v>84.1723799999979</c:v>
                </c:pt>
                <c:pt idx="4237">
                  <c:v>84.17138999999958</c:v>
                </c:pt>
                <c:pt idx="4238">
                  <c:v>84.17038999999878</c:v>
                </c:pt>
                <c:pt idx="4239">
                  <c:v>84.17038999999878</c:v>
                </c:pt>
                <c:pt idx="4240">
                  <c:v>84.16932</c:v>
                </c:pt>
                <c:pt idx="4241">
                  <c:v>84.16932</c:v>
                </c:pt>
                <c:pt idx="4242">
                  <c:v>84.16832999999998</c:v>
                </c:pt>
                <c:pt idx="4243">
                  <c:v>84.16733999999998</c:v>
                </c:pt>
                <c:pt idx="4244">
                  <c:v>84.16932</c:v>
                </c:pt>
                <c:pt idx="4245">
                  <c:v>84.16229</c:v>
                </c:pt>
                <c:pt idx="4246">
                  <c:v>84.15923999999998</c:v>
                </c:pt>
                <c:pt idx="4247">
                  <c:v>84.16229</c:v>
                </c:pt>
                <c:pt idx="4248">
                  <c:v>84.16229</c:v>
                </c:pt>
                <c:pt idx="4249">
                  <c:v>84.16329</c:v>
                </c:pt>
                <c:pt idx="4250">
                  <c:v>84.16527</c:v>
                </c:pt>
                <c:pt idx="4251">
                  <c:v>84.16633999999995</c:v>
                </c:pt>
                <c:pt idx="4252">
                  <c:v>84.17038999999878</c:v>
                </c:pt>
                <c:pt idx="4253">
                  <c:v>84.16633999999995</c:v>
                </c:pt>
                <c:pt idx="4254">
                  <c:v>84.16329</c:v>
                </c:pt>
                <c:pt idx="4255">
                  <c:v>84.16229</c:v>
                </c:pt>
                <c:pt idx="4256">
                  <c:v>84.16122</c:v>
                </c:pt>
                <c:pt idx="4257">
                  <c:v>84.16023000000001</c:v>
                </c:pt>
                <c:pt idx="4258">
                  <c:v>84.15923999999998</c:v>
                </c:pt>
                <c:pt idx="4259">
                  <c:v>84.15923999999998</c:v>
                </c:pt>
                <c:pt idx="4260">
                  <c:v>84.15923999999998</c:v>
                </c:pt>
                <c:pt idx="4261">
                  <c:v>84.15823999999998</c:v>
                </c:pt>
                <c:pt idx="4262">
                  <c:v>84.15823999999998</c:v>
                </c:pt>
                <c:pt idx="4263">
                  <c:v>84.15923999999998</c:v>
                </c:pt>
                <c:pt idx="4264">
                  <c:v>84.15823999999998</c:v>
                </c:pt>
                <c:pt idx="4265">
                  <c:v>84.16023000000001</c:v>
                </c:pt>
                <c:pt idx="4266">
                  <c:v>84.15923999999998</c:v>
                </c:pt>
                <c:pt idx="4267">
                  <c:v>84.15617999999998</c:v>
                </c:pt>
                <c:pt idx="4268">
                  <c:v>84.15518999999995</c:v>
                </c:pt>
                <c:pt idx="4269">
                  <c:v>84.15518999999995</c:v>
                </c:pt>
                <c:pt idx="4270">
                  <c:v>84.15419</c:v>
                </c:pt>
                <c:pt idx="4271">
                  <c:v>84.15313</c:v>
                </c:pt>
                <c:pt idx="4272">
                  <c:v>84.15419</c:v>
                </c:pt>
                <c:pt idx="4273">
                  <c:v>84.15313</c:v>
                </c:pt>
                <c:pt idx="4274">
                  <c:v>84.15212999999998</c:v>
                </c:pt>
                <c:pt idx="4275">
                  <c:v>84.15114</c:v>
                </c:pt>
                <c:pt idx="4276">
                  <c:v>84.15114</c:v>
                </c:pt>
                <c:pt idx="4277">
                  <c:v>84.15114</c:v>
                </c:pt>
                <c:pt idx="4278">
                  <c:v>84.15013999999998</c:v>
                </c:pt>
                <c:pt idx="4279">
                  <c:v>84.14908</c:v>
                </c:pt>
                <c:pt idx="4280">
                  <c:v>84.14807999999998</c:v>
                </c:pt>
                <c:pt idx="4281">
                  <c:v>84.14807999999998</c:v>
                </c:pt>
                <c:pt idx="4282">
                  <c:v>84.14807999999998</c:v>
                </c:pt>
                <c:pt idx="4283">
                  <c:v>84.14709</c:v>
                </c:pt>
                <c:pt idx="4284">
                  <c:v>84.14602</c:v>
                </c:pt>
                <c:pt idx="4285">
                  <c:v>84.14503</c:v>
                </c:pt>
                <c:pt idx="4286">
                  <c:v>84.14503</c:v>
                </c:pt>
                <c:pt idx="4287">
                  <c:v>84.14403</c:v>
                </c:pt>
                <c:pt idx="4288">
                  <c:v>84.14403</c:v>
                </c:pt>
                <c:pt idx="4289">
                  <c:v>84.14403</c:v>
                </c:pt>
                <c:pt idx="4290">
                  <c:v>84.14197</c:v>
                </c:pt>
                <c:pt idx="4291">
                  <c:v>84.14197</c:v>
                </c:pt>
                <c:pt idx="4292">
                  <c:v>84.14197</c:v>
                </c:pt>
                <c:pt idx="4293">
                  <c:v>84.14197</c:v>
                </c:pt>
                <c:pt idx="4294">
                  <c:v>84.14197</c:v>
                </c:pt>
                <c:pt idx="4295">
                  <c:v>84.14098</c:v>
                </c:pt>
                <c:pt idx="4296">
                  <c:v>84.13997999999998</c:v>
                </c:pt>
                <c:pt idx="4297">
                  <c:v>84.13997999999998</c:v>
                </c:pt>
                <c:pt idx="4298">
                  <c:v>84.13898999999998</c:v>
                </c:pt>
                <c:pt idx="4299">
                  <c:v>84.13898999999998</c:v>
                </c:pt>
                <c:pt idx="4300">
                  <c:v>84.13792</c:v>
                </c:pt>
                <c:pt idx="4301">
                  <c:v>84.13592999999997</c:v>
                </c:pt>
                <c:pt idx="4302">
                  <c:v>84.13592999999997</c:v>
                </c:pt>
                <c:pt idx="4303">
                  <c:v>84.13592999999997</c:v>
                </c:pt>
                <c:pt idx="4304">
                  <c:v>84.13592999999997</c:v>
                </c:pt>
                <c:pt idx="4305">
                  <c:v>84.13494</c:v>
                </c:pt>
                <c:pt idx="4306">
                  <c:v>84.13494</c:v>
                </c:pt>
                <c:pt idx="4307">
                  <c:v>84.13386999999997</c:v>
                </c:pt>
                <c:pt idx="4308">
                  <c:v>84.13386999999997</c:v>
                </c:pt>
                <c:pt idx="4309">
                  <c:v>84.13386999999997</c:v>
                </c:pt>
                <c:pt idx="4310">
                  <c:v>84.13287999999918</c:v>
                </c:pt>
                <c:pt idx="4311">
                  <c:v>84.13187999999998</c:v>
                </c:pt>
                <c:pt idx="4312">
                  <c:v>84.13187999999998</c:v>
                </c:pt>
                <c:pt idx="4313">
                  <c:v>84.12981999999998</c:v>
                </c:pt>
                <c:pt idx="4314">
                  <c:v>84.12981999999998</c:v>
                </c:pt>
                <c:pt idx="4315">
                  <c:v>84.12981999999998</c:v>
                </c:pt>
                <c:pt idx="4316">
                  <c:v>84.12981999999998</c:v>
                </c:pt>
                <c:pt idx="4317">
                  <c:v>84.12882999999998</c:v>
                </c:pt>
                <c:pt idx="4318">
                  <c:v>84.12882999999998</c:v>
                </c:pt>
                <c:pt idx="4319">
                  <c:v>84.12882999999998</c:v>
                </c:pt>
                <c:pt idx="4320">
                  <c:v>84.12782999999997</c:v>
                </c:pt>
                <c:pt idx="4321">
                  <c:v>84.12683999999948</c:v>
                </c:pt>
                <c:pt idx="4322">
                  <c:v>84.12683999999948</c:v>
                </c:pt>
                <c:pt idx="4323">
                  <c:v>84.12576999999965</c:v>
                </c:pt>
                <c:pt idx="4324">
                  <c:v>84.12576999999965</c:v>
                </c:pt>
                <c:pt idx="4325">
                  <c:v>84.12683999999948</c:v>
                </c:pt>
                <c:pt idx="4326">
                  <c:v>84.12576999999965</c:v>
                </c:pt>
                <c:pt idx="4327">
                  <c:v>84.12477999999938</c:v>
                </c:pt>
                <c:pt idx="4328">
                  <c:v>84.12377999999858</c:v>
                </c:pt>
                <c:pt idx="4329">
                  <c:v>84.12377999999858</c:v>
                </c:pt>
                <c:pt idx="4330">
                  <c:v>84.12377999999858</c:v>
                </c:pt>
                <c:pt idx="4331">
                  <c:v>84.12278999999845</c:v>
                </c:pt>
                <c:pt idx="4332">
                  <c:v>84.12171999999998</c:v>
                </c:pt>
                <c:pt idx="4333">
                  <c:v>84.12171999999998</c:v>
                </c:pt>
                <c:pt idx="4334">
                  <c:v>84.12072999999998</c:v>
                </c:pt>
                <c:pt idx="4335">
                  <c:v>84.11972999999997</c:v>
                </c:pt>
                <c:pt idx="4336">
                  <c:v>84.11873999999958</c:v>
                </c:pt>
                <c:pt idx="4337">
                  <c:v>84.11767</c:v>
                </c:pt>
                <c:pt idx="4338">
                  <c:v>84.11767</c:v>
                </c:pt>
                <c:pt idx="4339">
                  <c:v>84.11767</c:v>
                </c:pt>
                <c:pt idx="4340">
                  <c:v>84.11668</c:v>
                </c:pt>
                <c:pt idx="4341">
                  <c:v>84.11668</c:v>
                </c:pt>
                <c:pt idx="4342">
                  <c:v>84.11568</c:v>
                </c:pt>
                <c:pt idx="4343">
                  <c:v>84.11469</c:v>
                </c:pt>
                <c:pt idx="4344">
                  <c:v>84.11469</c:v>
                </c:pt>
                <c:pt idx="4345">
                  <c:v>84.11469</c:v>
                </c:pt>
                <c:pt idx="4346">
                  <c:v>84.11263</c:v>
                </c:pt>
                <c:pt idx="4347">
                  <c:v>84.11163</c:v>
                </c:pt>
                <c:pt idx="4348">
                  <c:v>84.11163</c:v>
                </c:pt>
                <c:pt idx="4349">
                  <c:v>84.11163</c:v>
                </c:pt>
                <c:pt idx="4350">
                  <c:v>84.11064</c:v>
                </c:pt>
                <c:pt idx="4351">
                  <c:v>84.11064</c:v>
                </c:pt>
                <c:pt idx="4352">
                  <c:v>84.10957</c:v>
                </c:pt>
                <c:pt idx="4353">
                  <c:v>84.10957</c:v>
                </c:pt>
                <c:pt idx="4354">
                  <c:v>84.10957</c:v>
                </c:pt>
                <c:pt idx="4355">
                  <c:v>84.10857999999975</c:v>
                </c:pt>
                <c:pt idx="4356">
                  <c:v>84.10857999999975</c:v>
                </c:pt>
                <c:pt idx="4357">
                  <c:v>84.10758</c:v>
                </c:pt>
                <c:pt idx="4358">
                  <c:v>84.10758</c:v>
                </c:pt>
                <c:pt idx="4359">
                  <c:v>84.10857999999975</c:v>
                </c:pt>
                <c:pt idx="4360">
                  <c:v>84.10552</c:v>
                </c:pt>
                <c:pt idx="4361">
                  <c:v>84.10552</c:v>
                </c:pt>
                <c:pt idx="4362">
                  <c:v>84.10353</c:v>
                </c:pt>
                <c:pt idx="4363">
                  <c:v>84.10246999999998</c:v>
                </c:pt>
                <c:pt idx="4364">
                  <c:v>84.10246999999998</c:v>
                </c:pt>
                <c:pt idx="4365">
                  <c:v>84.10246999999998</c:v>
                </c:pt>
                <c:pt idx="4366">
                  <c:v>84.10147</c:v>
                </c:pt>
                <c:pt idx="4367">
                  <c:v>84.10047999999995</c:v>
                </c:pt>
                <c:pt idx="4368">
                  <c:v>84.10147</c:v>
                </c:pt>
                <c:pt idx="4369">
                  <c:v>84.10246999999998</c:v>
                </c:pt>
                <c:pt idx="4370">
                  <c:v>84.10147</c:v>
                </c:pt>
                <c:pt idx="4371">
                  <c:v>84.10047999999995</c:v>
                </c:pt>
                <c:pt idx="4372">
                  <c:v>84.09948</c:v>
                </c:pt>
                <c:pt idx="4373">
                  <c:v>84.09842</c:v>
                </c:pt>
                <c:pt idx="4374">
                  <c:v>84.09742</c:v>
                </c:pt>
                <c:pt idx="4375">
                  <c:v>84.09742</c:v>
                </c:pt>
                <c:pt idx="4376">
                  <c:v>84.09742</c:v>
                </c:pt>
                <c:pt idx="4377">
                  <c:v>84.09643000000001</c:v>
                </c:pt>
                <c:pt idx="4378">
                  <c:v>84.09543</c:v>
                </c:pt>
                <c:pt idx="4379">
                  <c:v>84.09543</c:v>
                </c:pt>
                <c:pt idx="4380">
                  <c:v>84.09543</c:v>
                </c:pt>
                <c:pt idx="4381">
                  <c:v>84.09437000000001</c:v>
                </c:pt>
                <c:pt idx="4382">
                  <c:v>84.09337</c:v>
                </c:pt>
                <c:pt idx="4383">
                  <c:v>84.09237999999995</c:v>
                </c:pt>
                <c:pt idx="4384">
                  <c:v>84.09337</c:v>
                </c:pt>
                <c:pt idx="4385">
                  <c:v>84.09138</c:v>
                </c:pt>
                <c:pt idx="4386">
                  <c:v>84.09032</c:v>
                </c:pt>
                <c:pt idx="4387">
                  <c:v>84.09032</c:v>
                </c:pt>
                <c:pt idx="4388">
                  <c:v>84.08932</c:v>
                </c:pt>
                <c:pt idx="4389">
                  <c:v>84.08932</c:v>
                </c:pt>
                <c:pt idx="4390">
                  <c:v>84.08932</c:v>
                </c:pt>
                <c:pt idx="4391">
                  <c:v>84.08932</c:v>
                </c:pt>
                <c:pt idx="4392">
                  <c:v>84.08832999999998</c:v>
                </c:pt>
                <c:pt idx="4393">
                  <c:v>84.08832999999998</c:v>
                </c:pt>
                <c:pt idx="4394">
                  <c:v>84.08733</c:v>
                </c:pt>
                <c:pt idx="4395">
                  <c:v>84.08527</c:v>
                </c:pt>
                <c:pt idx="4396">
                  <c:v>84.08527</c:v>
                </c:pt>
                <c:pt idx="4397">
                  <c:v>84.08627000000001</c:v>
                </c:pt>
                <c:pt idx="4398">
                  <c:v>84.08627000000001</c:v>
                </c:pt>
                <c:pt idx="4399">
                  <c:v>84.08527</c:v>
                </c:pt>
                <c:pt idx="4400">
                  <c:v>84.08527</c:v>
                </c:pt>
                <c:pt idx="4401">
                  <c:v>84.08527</c:v>
                </c:pt>
                <c:pt idx="4402">
                  <c:v>84.08527</c:v>
                </c:pt>
                <c:pt idx="4403">
                  <c:v>84.08122</c:v>
                </c:pt>
                <c:pt idx="4404">
                  <c:v>84.07517999999965</c:v>
                </c:pt>
                <c:pt idx="4405">
                  <c:v>84.07717</c:v>
                </c:pt>
                <c:pt idx="4406">
                  <c:v>84.08023</c:v>
                </c:pt>
                <c:pt idx="4407">
                  <c:v>84.08222</c:v>
                </c:pt>
                <c:pt idx="4408">
                  <c:v>84.08122</c:v>
                </c:pt>
                <c:pt idx="4409">
                  <c:v>84.08328</c:v>
                </c:pt>
                <c:pt idx="4410">
                  <c:v>84.08733</c:v>
                </c:pt>
                <c:pt idx="4411">
                  <c:v>84.08328</c:v>
                </c:pt>
                <c:pt idx="4412">
                  <c:v>84.08023</c:v>
                </c:pt>
                <c:pt idx="4413">
                  <c:v>84.07923</c:v>
                </c:pt>
                <c:pt idx="4414">
                  <c:v>84.07816999999998</c:v>
                </c:pt>
                <c:pt idx="4415">
                  <c:v>84.07517999999965</c:v>
                </c:pt>
                <c:pt idx="4416">
                  <c:v>84.07312</c:v>
                </c:pt>
                <c:pt idx="4417">
                  <c:v>84.07412</c:v>
                </c:pt>
                <c:pt idx="4418">
                  <c:v>84.07617999999998</c:v>
                </c:pt>
                <c:pt idx="4419">
                  <c:v>84.07717</c:v>
                </c:pt>
                <c:pt idx="4420">
                  <c:v>84.07617999999998</c:v>
                </c:pt>
                <c:pt idx="4421">
                  <c:v>84.07412</c:v>
                </c:pt>
                <c:pt idx="4422">
                  <c:v>84.07412</c:v>
                </c:pt>
                <c:pt idx="4423">
                  <c:v>84.07412</c:v>
                </c:pt>
                <c:pt idx="4424">
                  <c:v>84.07312</c:v>
                </c:pt>
                <c:pt idx="4425">
                  <c:v>84.07212999999997</c:v>
                </c:pt>
                <c:pt idx="4426">
                  <c:v>84.07212999999997</c:v>
                </c:pt>
                <c:pt idx="4427">
                  <c:v>84.07106</c:v>
                </c:pt>
                <c:pt idx="4428">
                  <c:v>84.07106</c:v>
                </c:pt>
                <c:pt idx="4429">
                  <c:v>84.07006999999998</c:v>
                </c:pt>
                <c:pt idx="4430">
                  <c:v>84.06907</c:v>
                </c:pt>
                <c:pt idx="4431">
                  <c:v>84.06807999999998</c:v>
                </c:pt>
                <c:pt idx="4432">
                  <c:v>84.06701</c:v>
                </c:pt>
                <c:pt idx="4433">
                  <c:v>84.06701</c:v>
                </c:pt>
                <c:pt idx="4434">
                  <c:v>84.06807999999998</c:v>
                </c:pt>
                <c:pt idx="4435">
                  <c:v>84.06907</c:v>
                </c:pt>
                <c:pt idx="4436">
                  <c:v>84.06807999999998</c:v>
                </c:pt>
                <c:pt idx="4437">
                  <c:v>84.06602</c:v>
                </c:pt>
                <c:pt idx="4438">
                  <c:v>84.06502</c:v>
                </c:pt>
                <c:pt idx="4439">
                  <c:v>84.06403</c:v>
                </c:pt>
                <c:pt idx="4440">
                  <c:v>84.06403</c:v>
                </c:pt>
                <c:pt idx="4441">
                  <c:v>84.06296</c:v>
                </c:pt>
                <c:pt idx="4442">
                  <c:v>84.06403</c:v>
                </c:pt>
                <c:pt idx="4443">
                  <c:v>84.06296</c:v>
                </c:pt>
                <c:pt idx="4444">
                  <c:v>84.06197</c:v>
                </c:pt>
                <c:pt idx="4445">
                  <c:v>84.06097000000001</c:v>
                </c:pt>
                <c:pt idx="4446">
                  <c:v>84.06097000000001</c:v>
                </c:pt>
                <c:pt idx="4447">
                  <c:v>84.06097000000001</c:v>
                </c:pt>
                <c:pt idx="4448">
                  <c:v>84.05997999999998</c:v>
                </c:pt>
                <c:pt idx="4449">
                  <c:v>84.05890999999998</c:v>
                </c:pt>
                <c:pt idx="4450">
                  <c:v>84.05890999999998</c:v>
                </c:pt>
                <c:pt idx="4451">
                  <c:v>84.06197</c:v>
                </c:pt>
                <c:pt idx="4452">
                  <c:v>84.04982</c:v>
                </c:pt>
                <c:pt idx="4453">
                  <c:v>84.05187999999998</c:v>
                </c:pt>
                <c:pt idx="4454">
                  <c:v>84.05286999999998</c:v>
                </c:pt>
                <c:pt idx="4455">
                  <c:v>84.05286999999998</c:v>
                </c:pt>
                <c:pt idx="4456">
                  <c:v>84.05286999999998</c:v>
                </c:pt>
                <c:pt idx="4457">
                  <c:v>84.06403</c:v>
                </c:pt>
                <c:pt idx="4458">
                  <c:v>84.06197</c:v>
                </c:pt>
                <c:pt idx="4459">
                  <c:v>84.05792</c:v>
                </c:pt>
                <c:pt idx="4460">
                  <c:v>84.05592999999997</c:v>
                </c:pt>
                <c:pt idx="4461">
                  <c:v>84.05386999999997</c:v>
                </c:pt>
                <c:pt idx="4462">
                  <c:v>84.05286999999998</c:v>
                </c:pt>
                <c:pt idx="4463">
                  <c:v>84.05187999999998</c:v>
                </c:pt>
                <c:pt idx="4464">
                  <c:v>84.05081</c:v>
                </c:pt>
                <c:pt idx="4465">
                  <c:v>84.04982</c:v>
                </c:pt>
                <c:pt idx="4466">
                  <c:v>84.04982</c:v>
                </c:pt>
                <c:pt idx="4467">
                  <c:v>84.04882</c:v>
                </c:pt>
                <c:pt idx="4468">
                  <c:v>84.04783</c:v>
                </c:pt>
                <c:pt idx="4469">
                  <c:v>84.04882</c:v>
                </c:pt>
                <c:pt idx="4470">
                  <c:v>84.04676</c:v>
                </c:pt>
                <c:pt idx="4471">
                  <c:v>84.04676</c:v>
                </c:pt>
                <c:pt idx="4472">
                  <c:v>84.04577</c:v>
                </c:pt>
                <c:pt idx="4473">
                  <c:v>84.04577</c:v>
                </c:pt>
                <c:pt idx="4474">
                  <c:v>84.04477</c:v>
                </c:pt>
                <c:pt idx="4475">
                  <c:v>84.04577</c:v>
                </c:pt>
                <c:pt idx="4476">
                  <c:v>84.04378</c:v>
                </c:pt>
                <c:pt idx="4477">
                  <c:v>84.04378</c:v>
                </c:pt>
                <c:pt idx="4478">
                  <c:v>84.04271</c:v>
                </c:pt>
                <c:pt idx="4479">
                  <c:v>84.04271</c:v>
                </c:pt>
                <c:pt idx="4480">
                  <c:v>84.04172</c:v>
                </c:pt>
                <c:pt idx="4481">
                  <c:v>84.04072</c:v>
                </c:pt>
                <c:pt idx="4482">
                  <c:v>84.04072</c:v>
                </c:pt>
                <c:pt idx="4483">
                  <c:v>84.04072</c:v>
                </c:pt>
                <c:pt idx="4484">
                  <c:v>84.04072</c:v>
                </c:pt>
                <c:pt idx="4485">
                  <c:v>84.03973</c:v>
                </c:pt>
                <c:pt idx="4486">
                  <c:v>84.03973</c:v>
                </c:pt>
                <c:pt idx="4487">
                  <c:v>84.03866</c:v>
                </c:pt>
                <c:pt idx="4488">
                  <c:v>84.03973</c:v>
                </c:pt>
                <c:pt idx="4489">
                  <c:v>84.03973</c:v>
                </c:pt>
                <c:pt idx="4490">
                  <c:v>84.03866</c:v>
                </c:pt>
                <c:pt idx="4491">
                  <c:v>84.03866</c:v>
                </c:pt>
                <c:pt idx="4492">
                  <c:v>84.03667</c:v>
                </c:pt>
                <c:pt idx="4493">
                  <c:v>84.03561</c:v>
                </c:pt>
                <c:pt idx="4494">
                  <c:v>84.03667</c:v>
                </c:pt>
                <c:pt idx="4495">
                  <c:v>84.03767</c:v>
                </c:pt>
                <c:pt idx="4496">
                  <c:v>84.03561</c:v>
                </c:pt>
                <c:pt idx="4497">
                  <c:v>84.03362</c:v>
                </c:pt>
                <c:pt idx="4498">
                  <c:v>84.03362</c:v>
                </c:pt>
                <c:pt idx="4499">
                  <c:v>84.03262</c:v>
                </c:pt>
                <c:pt idx="4500">
                  <c:v>84.03262</c:v>
                </c:pt>
                <c:pt idx="4501">
                  <c:v>84.03156</c:v>
                </c:pt>
                <c:pt idx="4502">
                  <c:v>84.03156</c:v>
                </c:pt>
                <c:pt idx="4503">
                  <c:v>84.03056</c:v>
                </c:pt>
                <c:pt idx="4504">
                  <c:v>84.02957</c:v>
                </c:pt>
                <c:pt idx="4505">
                  <c:v>84.02957</c:v>
                </c:pt>
                <c:pt idx="4506">
                  <c:v>84.02856999999997</c:v>
                </c:pt>
                <c:pt idx="4507">
                  <c:v>84.02856999999997</c:v>
                </c:pt>
                <c:pt idx="4508">
                  <c:v>84.02856999999997</c:v>
                </c:pt>
                <c:pt idx="4509">
                  <c:v>84.02751</c:v>
                </c:pt>
                <c:pt idx="4510">
                  <c:v>84.02751</c:v>
                </c:pt>
                <c:pt idx="4511">
                  <c:v>84.02751</c:v>
                </c:pt>
                <c:pt idx="4512">
                  <c:v>84.02856999999997</c:v>
                </c:pt>
                <c:pt idx="4513">
                  <c:v>84.02751</c:v>
                </c:pt>
                <c:pt idx="4514">
                  <c:v>84.02651</c:v>
                </c:pt>
                <c:pt idx="4515">
                  <c:v>84.02552</c:v>
                </c:pt>
                <c:pt idx="4516">
                  <c:v>84.02452</c:v>
                </c:pt>
                <c:pt idx="4517">
                  <c:v>84.02346</c:v>
                </c:pt>
                <c:pt idx="4518">
                  <c:v>84.02245999999998</c:v>
                </c:pt>
                <c:pt idx="4519">
                  <c:v>84.02245999999998</c:v>
                </c:pt>
                <c:pt idx="4520">
                  <c:v>84.02147</c:v>
                </c:pt>
                <c:pt idx="4521">
                  <c:v>84.02147</c:v>
                </c:pt>
                <c:pt idx="4522">
                  <c:v>84.02046999999997</c:v>
                </c:pt>
                <c:pt idx="4523">
                  <c:v>84.01941</c:v>
                </c:pt>
                <c:pt idx="4524">
                  <c:v>84.02046999999997</c:v>
                </c:pt>
                <c:pt idx="4525">
                  <c:v>84.02046999999997</c:v>
                </c:pt>
                <c:pt idx="4526">
                  <c:v>84.01841</c:v>
                </c:pt>
                <c:pt idx="4527">
                  <c:v>84.01941</c:v>
                </c:pt>
                <c:pt idx="4528">
                  <c:v>84.01742</c:v>
                </c:pt>
                <c:pt idx="4529">
                  <c:v>84.01742</c:v>
                </c:pt>
                <c:pt idx="4530">
                  <c:v>84.01742</c:v>
                </c:pt>
                <c:pt idx="4531">
                  <c:v>84.01841</c:v>
                </c:pt>
                <c:pt idx="4532">
                  <c:v>84.01841</c:v>
                </c:pt>
                <c:pt idx="4533">
                  <c:v>84.01536</c:v>
                </c:pt>
                <c:pt idx="4534">
                  <c:v>84.01436</c:v>
                </c:pt>
                <c:pt idx="4535">
                  <c:v>84.01436</c:v>
                </c:pt>
                <c:pt idx="4536">
                  <c:v>84.01436</c:v>
                </c:pt>
                <c:pt idx="4537">
                  <c:v>84.01337</c:v>
                </c:pt>
                <c:pt idx="4538">
                  <c:v>84.01337</c:v>
                </c:pt>
                <c:pt idx="4539">
                  <c:v>84.01236999999997</c:v>
                </c:pt>
                <c:pt idx="4540">
                  <c:v>84.01236999999997</c:v>
                </c:pt>
                <c:pt idx="4541">
                  <c:v>84.01131</c:v>
                </c:pt>
                <c:pt idx="4542">
                  <c:v>84.01031</c:v>
                </c:pt>
                <c:pt idx="4543">
                  <c:v>84.00932</c:v>
                </c:pt>
                <c:pt idx="4544">
                  <c:v>84.00932</c:v>
                </c:pt>
                <c:pt idx="4545">
                  <c:v>84.00932</c:v>
                </c:pt>
                <c:pt idx="4546">
                  <c:v>84.00932</c:v>
                </c:pt>
                <c:pt idx="4547">
                  <c:v>84.00832</c:v>
                </c:pt>
                <c:pt idx="4548">
                  <c:v>84.00726</c:v>
                </c:pt>
                <c:pt idx="4549">
                  <c:v>84.00726</c:v>
                </c:pt>
                <c:pt idx="4550">
                  <c:v>84.00427</c:v>
                </c:pt>
                <c:pt idx="4551">
                  <c:v>84.00626</c:v>
                </c:pt>
                <c:pt idx="4552">
                  <c:v>84.00221</c:v>
                </c:pt>
                <c:pt idx="4553">
                  <c:v>84.00221</c:v>
                </c:pt>
                <c:pt idx="4554">
                  <c:v>84.00321</c:v>
                </c:pt>
                <c:pt idx="4555">
                  <c:v>84.00527</c:v>
                </c:pt>
                <c:pt idx="4556">
                  <c:v>84.00527</c:v>
                </c:pt>
                <c:pt idx="4557">
                  <c:v>84.00321</c:v>
                </c:pt>
                <c:pt idx="4558">
                  <c:v>84.00321</c:v>
                </c:pt>
                <c:pt idx="4559">
                  <c:v>84.00221</c:v>
                </c:pt>
                <c:pt idx="4560">
                  <c:v>84.00122</c:v>
                </c:pt>
                <c:pt idx="4561">
                  <c:v>84.00221</c:v>
                </c:pt>
                <c:pt idx="4562">
                  <c:v>83.99816</c:v>
                </c:pt>
                <c:pt idx="4563">
                  <c:v>83.99511</c:v>
                </c:pt>
                <c:pt idx="4564">
                  <c:v>83.9961</c:v>
                </c:pt>
                <c:pt idx="4565">
                  <c:v>83.99816</c:v>
                </c:pt>
                <c:pt idx="4566">
                  <c:v>83.99916</c:v>
                </c:pt>
                <c:pt idx="4567">
                  <c:v>84.00122</c:v>
                </c:pt>
                <c:pt idx="4568">
                  <c:v>84.00221</c:v>
                </c:pt>
                <c:pt idx="4569">
                  <c:v>84.00427</c:v>
                </c:pt>
                <c:pt idx="4570">
                  <c:v>84.00221</c:v>
                </c:pt>
                <c:pt idx="4571">
                  <c:v>83.99916</c:v>
                </c:pt>
                <c:pt idx="4572">
                  <c:v>83.99816</c:v>
                </c:pt>
                <c:pt idx="4573">
                  <c:v>83.9961</c:v>
                </c:pt>
                <c:pt idx="4574">
                  <c:v>83.9961</c:v>
                </c:pt>
                <c:pt idx="4575">
                  <c:v>83.99511</c:v>
                </c:pt>
                <c:pt idx="4576">
                  <c:v>83.99312</c:v>
                </c:pt>
                <c:pt idx="4577">
                  <c:v>83.99411</c:v>
                </c:pt>
                <c:pt idx="4578">
                  <c:v>83.99411</c:v>
                </c:pt>
                <c:pt idx="4579">
                  <c:v>83.99312</c:v>
                </c:pt>
                <c:pt idx="4580">
                  <c:v>83.99205</c:v>
                </c:pt>
                <c:pt idx="4581">
                  <c:v>83.99106</c:v>
                </c:pt>
                <c:pt idx="4582">
                  <c:v>83.99106</c:v>
                </c:pt>
                <c:pt idx="4583">
                  <c:v>83.99106</c:v>
                </c:pt>
                <c:pt idx="4584">
                  <c:v>83.99106</c:v>
                </c:pt>
                <c:pt idx="4585">
                  <c:v>83.99205</c:v>
                </c:pt>
                <c:pt idx="4586">
                  <c:v>83.99205</c:v>
                </c:pt>
                <c:pt idx="4587">
                  <c:v>83.99006</c:v>
                </c:pt>
                <c:pt idx="4588">
                  <c:v>83.988</c:v>
                </c:pt>
                <c:pt idx="4589">
                  <c:v>83.98701</c:v>
                </c:pt>
                <c:pt idx="4590">
                  <c:v>83.98701</c:v>
                </c:pt>
                <c:pt idx="4591">
                  <c:v>83.98701</c:v>
                </c:pt>
                <c:pt idx="4592">
                  <c:v>83.98701</c:v>
                </c:pt>
                <c:pt idx="4593">
                  <c:v>83.98701</c:v>
                </c:pt>
                <c:pt idx="4594">
                  <c:v>83.98701</c:v>
                </c:pt>
                <c:pt idx="4595">
                  <c:v>83.98502</c:v>
                </c:pt>
                <c:pt idx="4596">
                  <c:v>83.98502</c:v>
                </c:pt>
                <c:pt idx="4597">
                  <c:v>83.98395</c:v>
                </c:pt>
                <c:pt idx="4598">
                  <c:v>83.98395</c:v>
                </c:pt>
                <c:pt idx="4599">
                  <c:v>83.98502</c:v>
                </c:pt>
                <c:pt idx="4600">
                  <c:v>83.98296</c:v>
                </c:pt>
                <c:pt idx="4601">
                  <c:v>83.98296</c:v>
                </c:pt>
                <c:pt idx="4602">
                  <c:v>83.98196</c:v>
                </c:pt>
                <c:pt idx="4603">
                  <c:v>83.98196</c:v>
                </c:pt>
                <c:pt idx="4604">
                  <c:v>83.98097000000001</c:v>
                </c:pt>
                <c:pt idx="4605">
                  <c:v>83.9799</c:v>
                </c:pt>
                <c:pt idx="4606">
                  <c:v>83.97891</c:v>
                </c:pt>
                <c:pt idx="4607">
                  <c:v>83.97791</c:v>
                </c:pt>
                <c:pt idx="4608">
                  <c:v>83.97891</c:v>
                </c:pt>
                <c:pt idx="4609">
                  <c:v>83.97891</c:v>
                </c:pt>
                <c:pt idx="4610">
                  <c:v>83.97791</c:v>
                </c:pt>
                <c:pt idx="4611">
                  <c:v>83.97791</c:v>
                </c:pt>
                <c:pt idx="4612">
                  <c:v>83.97791</c:v>
                </c:pt>
                <c:pt idx="4613">
                  <c:v>83.97692</c:v>
                </c:pt>
                <c:pt idx="4614">
                  <c:v>83.97692</c:v>
                </c:pt>
                <c:pt idx="4615">
                  <c:v>83.97584999999998</c:v>
                </c:pt>
                <c:pt idx="4616">
                  <c:v>83.97584999999998</c:v>
                </c:pt>
                <c:pt idx="4617">
                  <c:v>83.97584999999998</c:v>
                </c:pt>
                <c:pt idx="4618">
                  <c:v>83.97486</c:v>
                </c:pt>
                <c:pt idx="4619">
                  <c:v>83.97486</c:v>
                </c:pt>
                <c:pt idx="4620">
                  <c:v>83.97486</c:v>
                </c:pt>
                <c:pt idx="4621">
                  <c:v>83.97386</c:v>
                </c:pt>
                <c:pt idx="4622">
                  <c:v>83.97286999999998</c:v>
                </c:pt>
                <c:pt idx="4623">
                  <c:v>83.97386</c:v>
                </c:pt>
                <c:pt idx="4624">
                  <c:v>83.97286999999998</c:v>
                </c:pt>
                <c:pt idx="4625">
                  <c:v>83.97286999999998</c:v>
                </c:pt>
                <c:pt idx="4626">
                  <c:v>83.9718</c:v>
                </c:pt>
                <c:pt idx="4627">
                  <c:v>83.9718</c:v>
                </c:pt>
                <c:pt idx="4628">
                  <c:v>83.97081</c:v>
                </c:pt>
                <c:pt idx="4629">
                  <c:v>83.97081</c:v>
                </c:pt>
                <c:pt idx="4630">
                  <c:v>83.96981</c:v>
                </c:pt>
                <c:pt idx="4631">
                  <c:v>83.96882</c:v>
                </c:pt>
                <c:pt idx="4632">
                  <c:v>83.96882</c:v>
                </c:pt>
                <c:pt idx="4633">
                  <c:v>83.96676</c:v>
                </c:pt>
                <c:pt idx="4634">
                  <c:v>83.96676</c:v>
                </c:pt>
                <c:pt idx="4635">
                  <c:v>83.96775</c:v>
                </c:pt>
                <c:pt idx="4636">
                  <c:v>83.96676</c:v>
                </c:pt>
                <c:pt idx="4637">
                  <c:v>83.96577</c:v>
                </c:pt>
                <c:pt idx="4638">
                  <c:v>83.9647</c:v>
                </c:pt>
                <c:pt idx="4639">
                  <c:v>83.9637</c:v>
                </c:pt>
                <c:pt idx="4640">
                  <c:v>83.9637</c:v>
                </c:pt>
                <c:pt idx="4641">
                  <c:v>83.9637</c:v>
                </c:pt>
                <c:pt idx="4642">
                  <c:v>83.96271</c:v>
                </c:pt>
                <c:pt idx="4643">
                  <c:v>83.9637</c:v>
                </c:pt>
                <c:pt idx="4644">
                  <c:v>83.9647</c:v>
                </c:pt>
                <c:pt idx="4645">
                  <c:v>83.96271</c:v>
                </c:pt>
                <c:pt idx="4646">
                  <c:v>83.96271</c:v>
                </c:pt>
                <c:pt idx="4647">
                  <c:v>83.96172</c:v>
                </c:pt>
                <c:pt idx="4648">
                  <c:v>83.96172</c:v>
                </c:pt>
                <c:pt idx="4649">
                  <c:v>83.96065</c:v>
                </c:pt>
                <c:pt idx="4650">
                  <c:v>83.96065</c:v>
                </c:pt>
                <c:pt idx="4651">
                  <c:v>83.95965</c:v>
                </c:pt>
                <c:pt idx="4652">
                  <c:v>83.95965</c:v>
                </c:pt>
                <c:pt idx="4653">
                  <c:v>83.95056</c:v>
                </c:pt>
                <c:pt idx="4654">
                  <c:v>83.95155</c:v>
                </c:pt>
                <c:pt idx="4655">
                  <c:v>83.95461</c:v>
                </c:pt>
                <c:pt idx="4656">
                  <c:v>83.9566</c:v>
                </c:pt>
                <c:pt idx="4657">
                  <c:v>83.95767</c:v>
                </c:pt>
                <c:pt idx="4658">
                  <c:v>83.95866</c:v>
                </c:pt>
                <c:pt idx="4659">
                  <c:v>83.96065</c:v>
                </c:pt>
                <c:pt idx="4660">
                  <c:v>83.96172</c:v>
                </c:pt>
                <c:pt idx="4661">
                  <c:v>83.95767</c:v>
                </c:pt>
                <c:pt idx="4662">
                  <c:v>83.95461</c:v>
                </c:pt>
                <c:pt idx="4663">
                  <c:v>83.95461</c:v>
                </c:pt>
                <c:pt idx="4664">
                  <c:v>83.95255</c:v>
                </c:pt>
                <c:pt idx="4665">
                  <c:v>83.95255</c:v>
                </c:pt>
                <c:pt idx="4666">
                  <c:v>83.95255</c:v>
                </c:pt>
                <c:pt idx="4667">
                  <c:v>83.95255</c:v>
                </c:pt>
                <c:pt idx="4668">
                  <c:v>83.95155</c:v>
                </c:pt>
                <c:pt idx="4669">
                  <c:v>83.95362</c:v>
                </c:pt>
                <c:pt idx="4670">
                  <c:v>83.95362</c:v>
                </c:pt>
                <c:pt idx="4671">
                  <c:v>83.95362</c:v>
                </c:pt>
                <c:pt idx="4672">
                  <c:v>83.95155</c:v>
                </c:pt>
                <c:pt idx="4673">
                  <c:v>83.94957</c:v>
                </c:pt>
                <c:pt idx="4674">
                  <c:v>83.94957</c:v>
                </c:pt>
                <c:pt idx="4675">
                  <c:v>83.94957</c:v>
                </c:pt>
                <c:pt idx="4676">
                  <c:v>83.9485</c:v>
                </c:pt>
                <c:pt idx="4677">
                  <c:v>83.94751</c:v>
                </c:pt>
                <c:pt idx="4678">
                  <c:v>83.94651</c:v>
                </c:pt>
                <c:pt idx="4679">
                  <c:v>83.94651</c:v>
                </c:pt>
                <c:pt idx="4680">
                  <c:v>83.94651</c:v>
                </c:pt>
                <c:pt idx="4681">
                  <c:v>83.94651</c:v>
                </c:pt>
                <c:pt idx="4682">
                  <c:v>83.94552</c:v>
                </c:pt>
                <c:pt idx="4683">
                  <c:v>83.94552</c:v>
                </c:pt>
                <c:pt idx="4684">
                  <c:v>83.94445</c:v>
                </c:pt>
                <c:pt idx="4685">
                  <c:v>83.94445</c:v>
                </c:pt>
                <c:pt idx="4686">
                  <c:v>83.94445</c:v>
                </c:pt>
                <c:pt idx="4687">
                  <c:v>83.94445</c:v>
                </c:pt>
                <c:pt idx="4688">
                  <c:v>83.94346</c:v>
                </c:pt>
                <c:pt idx="4689">
                  <c:v>83.94246</c:v>
                </c:pt>
                <c:pt idx="4690">
                  <c:v>83.94147</c:v>
                </c:pt>
                <c:pt idx="4691">
                  <c:v>83.9404</c:v>
                </c:pt>
                <c:pt idx="4692">
                  <c:v>83.9404</c:v>
                </c:pt>
                <c:pt idx="4693">
                  <c:v>83.93941</c:v>
                </c:pt>
                <c:pt idx="4694">
                  <c:v>83.93941</c:v>
                </c:pt>
                <c:pt idx="4695">
                  <c:v>83.93941</c:v>
                </c:pt>
                <c:pt idx="4696">
                  <c:v>83.93941</c:v>
                </c:pt>
                <c:pt idx="4697">
                  <c:v>83.93841</c:v>
                </c:pt>
                <c:pt idx="4698">
                  <c:v>83.93841</c:v>
                </c:pt>
                <c:pt idx="4699">
                  <c:v>83.93841</c:v>
                </c:pt>
                <c:pt idx="4700">
                  <c:v>83.93841</c:v>
                </c:pt>
                <c:pt idx="4701">
                  <c:v>83.93742</c:v>
                </c:pt>
                <c:pt idx="4702">
                  <c:v>83.93841</c:v>
                </c:pt>
                <c:pt idx="4703">
                  <c:v>83.93742</c:v>
                </c:pt>
                <c:pt idx="4704">
                  <c:v>83.93635</c:v>
                </c:pt>
                <c:pt idx="4705">
                  <c:v>83.93536</c:v>
                </c:pt>
                <c:pt idx="4706">
                  <c:v>83.93635</c:v>
                </c:pt>
                <c:pt idx="4707">
                  <c:v>83.93635</c:v>
                </c:pt>
                <c:pt idx="4708">
                  <c:v>83.93536</c:v>
                </c:pt>
                <c:pt idx="4709">
                  <c:v>83.93337</c:v>
                </c:pt>
                <c:pt idx="4710">
                  <c:v>83.93337</c:v>
                </c:pt>
                <c:pt idx="4711">
                  <c:v>83.93131</c:v>
                </c:pt>
                <c:pt idx="4712">
                  <c:v>83.93131</c:v>
                </c:pt>
                <c:pt idx="4713">
                  <c:v>83.93131</c:v>
                </c:pt>
                <c:pt idx="4714">
                  <c:v>83.93131</c:v>
                </c:pt>
                <c:pt idx="4715">
                  <c:v>83.93031</c:v>
                </c:pt>
                <c:pt idx="4716">
                  <c:v>83.92932</c:v>
                </c:pt>
                <c:pt idx="4717">
                  <c:v>83.92825</c:v>
                </c:pt>
                <c:pt idx="4718">
                  <c:v>83.92932</c:v>
                </c:pt>
                <c:pt idx="4719">
                  <c:v>83.92932</c:v>
                </c:pt>
                <c:pt idx="4720">
                  <c:v>83.92932</c:v>
                </c:pt>
                <c:pt idx="4721">
                  <c:v>83.92825</c:v>
                </c:pt>
                <c:pt idx="4722">
                  <c:v>83.92726</c:v>
                </c:pt>
                <c:pt idx="4723">
                  <c:v>83.92726</c:v>
                </c:pt>
                <c:pt idx="4724">
                  <c:v>83.92626</c:v>
                </c:pt>
                <c:pt idx="4725">
                  <c:v>83.92626</c:v>
                </c:pt>
                <c:pt idx="4726">
                  <c:v>83.9252</c:v>
                </c:pt>
                <c:pt idx="4727">
                  <c:v>83.9252</c:v>
                </c:pt>
                <c:pt idx="4728">
                  <c:v>83.9252</c:v>
                </c:pt>
                <c:pt idx="4729">
                  <c:v>83.9242</c:v>
                </c:pt>
                <c:pt idx="4730">
                  <c:v>83.9242</c:v>
                </c:pt>
                <c:pt idx="4731">
                  <c:v>83.92321</c:v>
                </c:pt>
                <c:pt idx="4732">
                  <c:v>83.92221</c:v>
                </c:pt>
                <c:pt idx="4733">
                  <c:v>83.92221</c:v>
                </c:pt>
                <c:pt idx="4734">
                  <c:v>83.92221</c:v>
                </c:pt>
                <c:pt idx="4735">
                  <c:v>83.92221</c:v>
                </c:pt>
                <c:pt idx="4736">
                  <c:v>83.92115</c:v>
                </c:pt>
                <c:pt idx="4737">
                  <c:v>83.92115</c:v>
                </c:pt>
                <c:pt idx="4738">
                  <c:v>83.92115</c:v>
                </c:pt>
                <c:pt idx="4739">
                  <c:v>83.92015</c:v>
                </c:pt>
                <c:pt idx="4740">
                  <c:v>83.92115</c:v>
                </c:pt>
                <c:pt idx="4741">
                  <c:v>83.92115</c:v>
                </c:pt>
                <c:pt idx="4742">
                  <c:v>83.91916</c:v>
                </c:pt>
                <c:pt idx="4743">
                  <c:v>83.91816</c:v>
                </c:pt>
                <c:pt idx="4744">
                  <c:v>83.91816</c:v>
                </c:pt>
                <c:pt idx="4745">
                  <c:v>83.91816</c:v>
                </c:pt>
                <c:pt idx="4746">
                  <c:v>83.9171</c:v>
                </c:pt>
                <c:pt idx="4747">
                  <c:v>83.9161</c:v>
                </c:pt>
                <c:pt idx="4748">
                  <c:v>83.9161</c:v>
                </c:pt>
                <c:pt idx="4749">
                  <c:v>83.91511</c:v>
                </c:pt>
                <c:pt idx="4750">
                  <c:v>83.91511</c:v>
                </c:pt>
                <c:pt idx="4751">
                  <c:v>83.91511</c:v>
                </c:pt>
                <c:pt idx="4752">
                  <c:v>83.91305</c:v>
                </c:pt>
                <c:pt idx="4753">
                  <c:v>83.91305</c:v>
                </c:pt>
                <c:pt idx="4754">
                  <c:v>83.91305</c:v>
                </c:pt>
                <c:pt idx="4755">
                  <c:v>83.91305</c:v>
                </c:pt>
                <c:pt idx="4756">
                  <c:v>83.91305</c:v>
                </c:pt>
                <c:pt idx="4757">
                  <c:v>83.91305</c:v>
                </c:pt>
                <c:pt idx="4758">
                  <c:v>83.91205</c:v>
                </c:pt>
                <c:pt idx="4759">
                  <c:v>83.91205</c:v>
                </c:pt>
                <c:pt idx="4760">
                  <c:v>83.91205</c:v>
                </c:pt>
                <c:pt idx="4761">
                  <c:v>83.91106</c:v>
                </c:pt>
                <c:pt idx="4762">
                  <c:v>83.91006</c:v>
                </c:pt>
                <c:pt idx="4763">
                  <c:v>83.91006</c:v>
                </c:pt>
                <c:pt idx="4764">
                  <c:v>83.91006</c:v>
                </c:pt>
                <c:pt idx="4765">
                  <c:v>83.909</c:v>
                </c:pt>
                <c:pt idx="4766">
                  <c:v>83.908</c:v>
                </c:pt>
                <c:pt idx="4767">
                  <c:v>83.908</c:v>
                </c:pt>
                <c:pt idx="4768">
                  <c:v>83.908</c:v>
                </c:pt>
                <c:pt idx="4769">
                  <c:v>83.908</c:v>
                </c:pt>
                <c:pt idx="4770">
                  <c:v>83.90701</c:v>
                </c:pt>
                <c:pt idx="4771">
                  <c:v>83.90701</c:v>
                </c:pt>
                <c:pt idx="4772">
                  <c:v>83.90601</c:v>
                </c:pt>
                <c:pt idx="4773">
                  <c:v>83.908</c:v>
                </c:pt>
                <c:pt idx="4774">
                  <c:v>83.909</c:v>
                </c:pt>
                <c:pt idx="4775">
                  <c:v>83.91205</c:v>
                </c:pt>
                <c:pt idx="4776">
                  <c:v>83.909</c:v>
                </c:pt>
                <c:pt idx="4777">
                  <c:v>83.90601</c:v>
                </c:pt>
                <c:pt idx="4778">
                  <c:v>83.90395</c:v>
                </c:pt>
                <c:pt idx="4779">
                  <c:v>83.90395</c:v>
                </c:pt>
                <c:pt idx="4780">
                  <c:v>83.90601</c:v>
                </c:pt>
                <c:pt idx="4781">
                  <c:v>83.90495</c:v>
                </c:pt>
                <c:pt idx="4782">
                  <c:v>83.90395</c:v>
                </c:pt>
                <c:pt idx="4783">
                  <c:v>83.90196</c:v>
                </c:pt>
                <c:pt idx="4784">
                  <c:v>83.9009</c:v>
                </c:pt>
                <c:pt idx="4785">
                  <c:v>83.90196</c:v>
                </c:pt>
                <c:pt idx="4786">
                  <c:v>83.90196</c:v>
                </c:pt>
                <c:pt idx="4787">
                  <c:v>83.9009</c:v>
                </c:pt>
                <c:pt idx="4788">
                  <c:v>83.9009</c:v>
                </c:pt>
                <c:pt idx="4789">
                  <c:v>83.89891</c:v>
                </c:pt>
                <c:pt idx="4790">
                  <c:v>83.89891</c:v>
                </c:pt>
                <c:pt idx="4791">
                  <c:v>83.89891</c:v>
                </c:pt>
                <c:pt idx="4792">
                  <c:v>83.8999</c:v>
                </c:pt>
                <c:pt idx="4793">
                  <c:v>83.89891</c:v>
                </c:pt>
                <c:pt idx="4794">
                  <c:v>83.89891</c:v>
                </c:pt>
                <c:pt idx="4795">
                  <c:v>83.89791</c:v>
                </c:pt>
                <c:pt idx="4796">
                  <c:v>83.89791</c:v>
                </c:pt>
                <c:pt idx="4797">
                  <c:v>83.89791</c:v>
                </c:pt>
                <c:pt idx="4798">
                  <c:v>83.89791</c:v>
                </c:pt>
                <c:pt idx="4799">
                  <c:v>83.89791</c:v>
                </c:pt>
                <c:pt idx="4800">
                  <c:v>83.89685</c:v>
                </c:pt>
                <c:pt idx="4801">
                  <c:v>83.89584999999998</c:v>
                </c:pt>
                <c:pt idx="4802">
                  <c:v>83.89486</c:v>
                </c:pt>
                <c:pt idx="4803">
                  <c:v>83.89584999999998</c:v>
                </c:pt>
                <c:pt idx="4804">
                  <c:v>83.89584999999998</c:v>
                </c:pt>
                <c:pt idx="4805">
                  <c:v>83.89486</c:v>
                </c:pt>
                <c:pt idx="4806">
                  <c:v>83.89486</c:v>
                </c:pt>
                <c:pt idx="4807">
                  <c:v>83.89386</c:v>
                </c:pt>
                <c:pt idx="4808">
                  <c:v>83.89279999999998</c:v>
                </c:pt>
                <c:pt idx="4809">
                  <c:v>83.89279999999998</c:v>
                </c:pt>
                <c:pt idx="4810">
                  <c:v>83.8918</c:v>
                </c:pt>
                <c:pt idx="4811">
                  <c:v>83.8918</c:v>
                </c:pt>
                <c:pt idx="4812">
                  <c:v>83.8918</c:v>
                </c:pt>
                <c:pt idx="4813">
                  <c:v>83.8918</c:v>
                </c:pt>
                <c:pt idx="4814">
                  <c:v>83.88973999999975</c:v>
                </c:pt>
                <c:pt idx="4815">
                  <c:v>83.88973999999975</c:v>
                </c:pt>
                <c:pt idx="4816">
                  <c:v>83.88874999999948</c:v>
                </c:pt>
                <c:pt idx="4817">
                  <c:v>83.88874999999948</c:v>
                </c:pt>
                <c:pt idx="4818">
                  <c:v>83.88874999999948</c:v>
                </c:pt>
                <c:pt idx="4819">
                  <c:v>83.88874999999948</c:v>
                </c:pt>
                <c:pt idx="4820">
                  <c:v>83.88774999999998</c:v>
                </c:pt>
                <c:pt idx="4821">
                  <c:v>83.88874999999948</c:v>
                </c:pt>
                <c:pt idx="4822">
                  <c:v>83.88675999999998</c:v>
                </c:pt>
                <c:pt idx="4823">
                  <c:v>83.88675999999998</c:v>
                </c:pt>
                <c:pt idx="4824">
                  <c:v>83.88675999999998</c:v>
                </c:pt>
                <c:pt idx="4825">
                  <c:v>83.88568999999998</c:v>
                </c:pt>
                <c:pt idx="4826">
                  <c:v>83.88164</c:v>
                </c:pt>
                <c:pt idx="4827">
                  <c:v>83.87865999999998</c:v>
                </c:pt>
                <c:pt idx="4828">
                  <c:v>83.87965</c:v>
                </c:pt>
                <c:pt idx="4829">
                  <c:v>83.88270999999965</c:v>
                </c:pt>
                <c:pt idx="4830">
                  <c:v>83.89279999999998</c:v>
                </c:pt>
                <c:pt idx="4831">
                  <c:v>83.88874999999948</c:v>
                </c:pt>
                <c:pt idx="4832">
                  <c:v>83.88568999999998</c:v>
                </c:pt>
                <c:pt idx="4833">
                  <c:v>83.8837</c:v>
                </c:pt>
                <c:pt idx="4834">
                  <c:v>83.8837</c:v>
                </c:pt>
                <c:pt idx="4835">
                  <c:v>83.88164</c:v>
                </c:pt>
                <c:pt idx="4836">
                  <c:v>83.88164</c:v>
                </c:pt>
                <c:pt idx="4837">
                  <c:v>83.88164</c:v>
                </c:pt>
                <c:pt idx="4838">
                  <c:v>83.88164</c:v>
                </c:pt>
                <c:pt idx="4839">
                  <c:v>83.88065</c:v>
                </c:pt>
                <c:pt idx="4840">
                  <c:v>83.88270999999965</c:v>
                </c:pt>
                <c:pt idx="4841">
                  <c:v>83.87461</c:v>
                </c:pt>
                <c:pt idx="4842">
                  <c:v>83.87461</c:v>
                </c:pt>
                <c:pt idx="4843">
                  <c:v>83.87759</c:v>
                </c:pt>
                <c:pt idx="4844">
                  <c:v>83.88065</c:v>
                </c:pt>
                <c:pt idx="4845">
                  <c:v>83.8847</c:v>
                </c:pt>
                <c:pt idx="4846">
                  <c:v>83.88164</c:v>
                </c:pt>
                <c:pt idx="4847">
                  <c:v>83.87865999999998</c:v>
                </c:pt>
                <c:pt idx="4848">
                  <c:v>83.87659999999998</c:v>
                </c:pt>
                <c:pt idx="4849">
                  <c:v>83.87659999999998</c:v>
                </c:pt>
                <c:pt idx="4850">
                  <c:v>83.87659999999998</c:v>
                </c:pt>
                <c:pt idx="4851">
                  <c:v>83.87559999999995</c:v>
                </c:pt>
                <c:pt idx="4852">
                  <c:v>83.87659999999998</c:v>
                </c:pt>
                <c:pt idx="4853">
                  <c:v>83.87559999999995</c:v>
                </c:pt>
                <c:pt idx="4854">
                  <c:v>83.87559999999995</c:v>
                </c:pt>
                <c:pt idx="4855">
                  <c:v>83.87461</c:v>
                </c:pt>
                <c:pt idx="4856">
                  <c:v>83.87461</c:v>
                </c:pt>
                <c:pt idx="4857">
                  <c:v>83.87353999999995</c:v>
                </c:pt>
                <c:pt idx="4858">
                  <c:v>83.87353999999995</c:v>
                </c:pt>
                <c:pt idx="4859">
                  <c:v>83.87353999999995</c:v>
                </c:pt>
                <c:pt idx="4860">
                  <c:v>83.87254999999985</c:v>
                </c:pt>
                <c:pt idx="4861">
                  <c:v>83.87155</c:v>
                </c:pt>
                <c:pt idx="4862">
                  <c:v>83.87155</c:v>
                </c:pt>
                <c:pt idx="4863">
                  <c:v>83.87155</c:v>
                </c:pt>
                <c:pt idx="4864">
                  <c:v>83.87155</c:v>
                </c:pt>
                <c:pt idx="4865">
                  <c:v>83.87056</c:v>
                </c:pt>
                <c:pt idx="4866">
                  <c:v>83.87056</c:v>
                </c:pt>
                <c:pt idx="4867">
                  <c:v>83.86949</c:v>
                </c:pt>
                <c:pt idx="4868">
                  <c:v>83.86949</c:v>
                </c:pt>
                <c:pt idx="4869">
                  <c:v>83.86949</c:v>
                </c:pt>
                <c:pt idx="4870">
                  <c:v>83.86849999999998</c:v>
                </c:pt>
                <c:pt idx="4871">
                  <c:v>83.86849999999998</c:v>
                </c:pt>
                <c:pt idx="4872">
                  <c:v>83.86949</c:v>
                </c:pt>
                <c:pt idx="4873">
                  <c:v>83.86949</c:v>
                </c:pt>
                <c:pt idx="4874">
                  <c:v>83.86849999999998</c:v>
                </c:pt>
                <c:pt idx="4875">
                  <c:v>83.8675</c:v>
                </c:pt>
                <c:pt idx="4876">
                  <c:v>83.86651</c:v>
                </c:pt>
                <c:pt idx="4877">
                  <c:v>83.86651</c:v>
                </c:pt>
                <c:pt idx="4878">
                  <c:v>83.86651</c:v>
                </c:pt>
                <c:pt idx="4879">
                  <c:v>83.86543999999998</c:v>
                </c:pt>
                <c:pt idx="4880">
                  <c:v>83.86543999999998</c:v>
                </c:pt>
                <c:pt idx="4881">
                  <c:v>83.86543999999998</c:v>
                </c:pt>
                <c:pt idx="4882">
                  <c:v>83.86445</c:v>
                </c:pt>
                <c:pt idx="4883">
                  <c:v>83.86445</c:v>
                </c:pt>
                <c:pt idx="4884">
                  <c:v>83.86246</c:v>
                </c:pt>
                <c:pt idx="4885">
                  <c:v>83.85634999999998</c:v>
                </c:pt>
                <c:pt idx="4886">
                  <c:v>83.85840999999998</c:v>
                </c:pt>
                <c:pt idx="4887">
                  <c:v>83.86139</c:v>
                </c:pt>
                <c:pt idx="4888">
                  <c:v>83.86543999999998</c:v>
                </c:pt>
                <c:pt idx="4889">
                  <c:v>83.86949</c:v>
                </c:pt>
                <c:pt idx="4890">
                  <c:v>83.86651</c:v>
                </c:pt>
                <c:pt idx="4891">
                  <c:v>83.86543999999998</c:v>
                </c:pt>
                <c:pt idx="4892">
                  <c:v>83.86246</c:v>
                </c:pt>
                <c:pt idx="4893">
                  <c:v>83.8604</c:v>
                </c:pt>
                <c:pt idx="4894">
                  <c:v>83.8604</c:v>
                </c:pt>
                <c:pt idx="4895">
                  <c:v>83.8604</c:v>
                </c:pt>
                <c:pt idx="4896">
                  <c:v>83.85939999999998</c:v>
                </c:pt>
                <c:pt idx="4897">
                  <c:v>83.85939999999998</c:v>
                </c:pt>
                <c:pt idx="4898">
                  <c:v>83.85939999999998</c:v>
                </c:pt>
                <c:pt idx="4899">
                  <c:v>83.85939999999998</c:v>
                </c:pt>
                <c:pt idx="4900">
                  <c:v>83.85840999999998</c:v>
                </c:pt>
                <c:pt idx="4901">
                  <c:v>83.85840999999998</c:v>
                </c:pt>
                <c:pt idx="4902">
                  <c:v>83.85733999999998</c:v>
                </c:pt>
                <c:pt idx="4903">
                  <c:v>83.85733999999998</c:v>
                </c:pt>
                <c:pt idx="4904">
                  <c:v>83.85733999999998</c:v>
                </c:pt>
                <c:pt idx="4905">
                  <c:v>83.85634999999998</c:v>
                </c:pt>
                <c:pt idx="4906">
                  <c:v>83.85634999999998</c:v>
                </c:pt>
                <c:pt idx="4907">
                  <c:v>83.85634999999998</c:v>
                </c:pt>
                <c:pt idx="4908">
                  <c:v>83.85429</c:v>
                </c:pt>
                <c:pt idx="4909">
                  <c:v>83.85534999999948</c:v>
                </c:pt>
                <c:pt idx="4910">
                  <c:v>83.85534999999948</c:v>
                </c:pt>
                <c:pt idx="4911">
                  <c:v>83.85429</c:v>
                </c:pt>
                <c:pt idx="4912">
                  <c:v>83.85329</c:v>
                </c:pt>
                <c:pt idx="4913">
                  <c:v>83.85329</c:v>
                </c:pt>
                <c:pt idx="4914">
                  <c:v>83.85329</c:v>
                </c:pt>
                <c:pt idx="4915">
                  <c:v>83.85229999999998</c:v>
                </c:pt>
                <c:pt idx="4916">
                  <c:v>83.8513</c:v>
                </c:pt>
                <c:pt idx="4917">
                  <c:v>83.85024</c:v>
                </c:pt>
                <c:pt idx="4918">
                  <c:v>83.85229999999998</c:v>
                </c:pt>
                <c:pt idx="4919">
                  <c:v>83.8513</c:v>
                </c:pt>
                <c:pt idx="4920">
                  <c:v>83.85024</c:v>
                </c:pt>
                <c:pt idx="4921">
                  <c:v>83.8513</c:v>
                </c:pt>
                <c:pt idx="4922">
                  <c:v>83.84924</c:v>
                </c:pt>
                <c:pt idx="4923">
                  <c:v>83.84924</c:v>
                </c:pt>
                <c:pt idx="4924">
                  <c:v>83.84825</c:v>
                </c:pt>
                <c:pt idx="4925">
                  <c:v>83.84825</c:v>
                </c:pt>
                <c:pt idx="4926">
                  <c:v>83.84725</c:v>
                </c:pt>
                <c:pt idx="4927">
                  <c:v>83.84725</c:v>
                </c:pt>
                <c:pt idx="4928">
                  <c:v>83.84725</c:v>
                </c:pt>
                <c:pt idx="4929">
                  <c:v>83.84619</c:v>
                </c:pt>
                <c:pt idx="4930">
                  <c:v>83.84619</c:v>
                </c:pt>
                <c:pt idx="4931">
                  <c:v>83.84619</c:v>
                </c:pt>
                <c:pt idx="4932">
                  <c:v>83.84619</c:v>
                </c:pt>
                <c:pt idx="4933">
                  <c:v>83.84619</c:v>
                </c:pt>
                <c:pt idx="4934">
                  <c:v>83.84519</c:v>
                </c:pt>
                <c:pt idx="4935">
                  <c:v>83.84519</c:v>
                </c:pt>
                <c:pt idx="4936">
                  <c:v>83.84519</c:v>
                </c:pt>
                <c:pt idx="4937">
                  <c:v>83.84519</c:v>
                </c:pt>
                <c:pt idx="4938">
                  <c:v>83.8442</c:v>
                </c:pt>
                <c:pt idx="4939">
                  <c:v>83.8432</c:v>
                </c:pt>
                <c:pt idx="4940">
                  <c:v>83.8432</c:v>
                </c:pt>
                <c:pt idx="4941">
                  <c:v>83.84214</c:v>
                </c:pt>
                <c:pt idx="4942">
                  <c:v>83.84214</c:v>
                </c:pt>
                <c:pt idx="4943">
                  <c:v>83.84214</c:v>
                </c:pt>
                <c:pt idx="4944">
                  <c:v>83.84114</c:v>
                </c:pt>
                <c:pt idx="4945">
                  <c:v>83.84214</c:v>
                </c:pt>
                <c:pt idx="4946">
                  <c:v>83.84114</c:v>
                </c:pt>
                <c:pt idx="4947">
                  <c:v>83.84114</c:v>
                </c:pt>
                <c:pt idx="4948">
                  <c:v>83.84015</c:v>
                </c:pt>
                <c:pt idx="4949">
                  <c:v>83.84015</c:v>
                </c:pt>
                <c:pt idx="4950">
                  <c:v>83.83915</c:v>
                </c:pt>
                <c:pt idx="4951">
                  <c:v>83.83915</c:v>
                </c:pt>
                <c:pt idx="4952">
                  <c:v>83.83808999999998</c:v>
                </c:pt>
                <c:pt idx="4953">
                  <c:v>83.83709</c:v>
                </c:pt>
                <c:pt idx="4954">
                  <c:v>83.83709</c:v>
                </c:pt>
                <c:pt idx="4955">
                  <c:v>83.82898999999995</c:v>
                </c:pt>
                <c:pt idx="4956">
                  <c:v>83.83105</c:v>
                </c:pt>
                <c:pt idx="4957">
                  <c:v>83.83303999999998</c:v>
                </c:pt>
                <c:pt idx="4958">
                  <c:v>83.83404</c:v>
                </c:pt>
                <c:pt idx="4959">
                  <c:v>83.8361</c:v>
                </c:pt>
                <c:pt idx="4960">
                  <c:v>83.83709</c:v>
                </c:pt>
                <c:pt idx="4961">
                  <c:v>83.83915</c:v>
                </c:pt>
                <c:pt idx="4962">
                  <c:v>83.84214</c:v>
                </c:pt>
                <c:pt idx="4963">
                  <c:v>83.83915</c:v>
                </c:pt>
                <c:pt idx="4964">
                  <c:v>83.8361</c:v>
                </c:pt>
                <c:pt idx="4965">
                  <c:v>83.83509999999998</c:v>
                </c:pt>
                <c:pt idx="4966">
                  <c:v>83.83404</c:v>
                </c:pt>
                <c:pt idx="4967">
                  <c:v>83.83404</c:v>
                </c:pt>
                <c:pt idx="4968">
                  <c:v>83.83404</c:v>
                </c:pt>
                <c:pt idx="4969">
                  <c:v>83.83303999999998</c:v>
                </c:pt>
                <c:pt idx="4970">
                  <c:v>83.83204999999998</c:v>
                </c:pt>
                <c:pt idx="4971">
                  <c:v>83.83204999999998</c:v>
                </c:pt>
                <c:pt idx="4972">
                  <c:v>83.83105</c:v>
                </c:pt>
                <c:pt idx="4973">
                  <c:v>83.83105</c:v>
                </c:pt>
                <c:pt idx="4974">
                  <c:v>83.83105</c:v>
                </c:pt>
                <c:pt idx="4975">
                  <c:v>83.82998999999998</c:v>
                </c:pt>
                <c:pt idx="4976">
                  <c:v>83.82998999999998</c:v>
                </c:pt>
                <c:pt idx="4977">
                  <c:v>83.82898999999995</c:v>
                </c:pt>
                <c:pt idx="4978">
                  <c:v>83.82998999999998</c:v>
                </c:pt>
                <c:pt idx="4979">
                  <c:v>83.82898999999995</c:v>
                </c:pt>
                <c:pt idx="4980">
                  <c:v>83.82799999999997</c:v>
                </c:pt>
                <c:pt idx="4981">
                  <c:v>83.82799999999997</c:v>
                </c:pt>
                <c:pt idx="4982">
                  <c:v>83.82799999999997</c:v>
                </c:pt>
                <c:pt idx="4983">
                  <c:v>83.82799999999997</c:v>
                </c:pt>
                <c:pt idx="4984">
                  <c:v>83.827</c:v>
                </c:pt>
                <c:pt idx="4985">
                  <c:v>83.82593999999965</c:v>
                </c:pt>
                <c:pt idx="4986">
                  <c:v>83.82494</c:v>
                </c:pt>
                <c:pt idx="4987">
                  <c:v>83.82593999999965</c:v>
                </c:pt>
                <c:pt idx="4988">
                  <c:v>83.82593999999965</c:v>
                </c:pt>
                <c:pt idx="4989">
                  <c:v>83.82494</c:v>
                </c:pt>
                <c:pt idx="4990">
                  <c:v>83.82394999999998</c:v>
                </c:pt>
                <c:pt idx="4991">
                  <c:v>83.82394999999998</c:v>
                </c:pt>
                <c:pt idx="4992">
                  <c:v>83.82294999999995</c:v>
                </c:pt>
                <c:pt idx="4993">
                  <c:v>83.82188999999998</c:v>
                </c:pt>
                <c:pt idx="4994">
                  <c:v>83.82188999999998</c:v>
                </c:pt>
                <c:pt idx="4995">
                  <c:v>83.82088999999995</c:v>
                </c:pt>
                <c:pt idx="4996">
                  <c:v>83.82088999999995</c:v>
                </c:pt>
                <c:pt idx="4997">
                  <c:v>83.82088999999995</c:v>
                </c:pt>
                <c:pt idx="4998">
                  <c:v>83.82088999999995</c:v>
                </c:pt>
                <c:pt idx="4999">
                  <c:v>83.82088999999995</c:v>
                </c:pt>
                <c:pt idx="5000">
                  <c:v>83.82088999999995</c:v>
                </c:pt>
                <c:pt idx="5001">
                  <c:v>83.81784</c:v>
                </c:pt>
                <c:pt idx="5002">
                  <c:v>83.81684</c:v>
                </c:pt>
                <c:pt idx="5003">
                  <c:v>83.81784</c:v>
                </c:pt>
                <c:pt idx="5004">
                  <c:v>83.81784</c:v>
                </c:pt>
                <c:pt idx="5005">
                  <c:v>83.81883</c:v>
                </c:pt>
                <c:pt idx="5006">
                  <c:v>83.81684</c:v>
                </c:pt>
                <c:pt idx="5007">
                  <c:v>83.81684</c:v>
                </c:pt>
                <c:pt idx="5008">
                  <c:v>83.81585</c:v>
                </c:pt>
                <c:pt idx="5009">
                  <c:v>83.81478</c:v>
                </c:pt>
                <c:pt idx="5010">
                  <c:v>83.81478</c:v>
                </c:pt>
                <c:pt idx="5011">
                  <c:v>83.81378999999998</c:v>
                </c:pt>
                <c:pt idx="5012">
                  <c:v>83.81278999999998</c:v>
                </c:pt>
                <c:pt idx="5013">
                  <c:v>83.81278999999998</c:v>
                </c:pt>
                <c:pt idx="5014">
                  <c:v>83.81278999999998</c:v>
                </c:pt>
                <c:pt idx="5015">
                  <c:v>83.8118</c:v>
                </c:pt>
                <c:pt idx="5016">
                  <c:v>83.8118</c:v>
                </c:pt>
                <c:pt idx="5017">
                  <c:v>83.8118</c:v>
                </c:pt>
                <c:pt idx="5018">
                  <c:v>83.8118</c:v>
                </c:pt>
                <c:pt idx="5019">
                  <c:v>83.80973999999995</c:v>
                </c:pt>
                <c:pt idx="5020">
                  <c:v>83.80973999999995</c:v>
                </c:pt>
                <c:pt idx="5021">
                  <c:v>83.80973999999995</c:v>
                </c:pt>
                <c:pt idx="5022">
                  <c:v>83.80973999999995</c:v>
                </c:pt>
                <c:pt idx="5023">
                  <c:v>83.80668</c:v>
                </c:pt>
                <c:pt idx="5024">
                  <c:v>83.80668</c:v>
                </c:pt>
                <c:pt idx="5025">
                  <c:v>83.80775</c:v>
                </c:pt>
                <c:pt idx="5026">
                  <c:v>83.80668</c:v>
                </c:pt>
                <c:pt idx="5027">
                  <c:v>83.80873999999918</c:v>
                </c:pt>
                <c:pt idx="5028">
                  <c:v>83.80668</c:v>
                </c:pt>
                <c:pt idx="5029">
                  <c:v>83.80668</c:v>
                </c:pt>
                <c:pt idx="5030">
                  <c:v>83.80569</c:v>
                </c:pt>
                <c:pt idx="5031">
                  <c:v>83.80569</c:v>
                </c:pt>
                <c:pt idx="5032">
                  <c:v>83.80469</c:v>
                </c:pt>
                <c:pt idx="5033">
                  <c:v>83.80569</c:v>
                </c:pt>
                <c:pt idx="5034">
                  <c:v>83.80569</c:v>
                </c:pt>
                <c:pt idx="5035">
                  <c:v>83.8037</c:v>
                </c:pt>
                <c:pt idx="5036">
                  <c:v>83.80263</c:v>
                </c:pt>
                <c:pt idx="5037">
                  <c:v>83.80263</c:v>
                </c:pt>
                <c:pt idx="5038">
                  <c:v>83.80164</c:v>
                </c:pt>
                <c:pt idx="5039">
                  <c:v>83.80064</c:v>
                </c:pt>
                <c:pt idx="5040">
                  <c:v>83.80164</c:v>
                </c:pt>
                <c:pt idx="5041">
                  <c:v>83.80164</c:v>
                </c:pt>
                <c:pt idx="5042">
                  <c:v>83.80064</c:v>
                </c:pt>
                <c:pt idx="5043">
                  <c:v>83.79965</c:v>
                </c:pt>
                <c:pt idx="5044">
                  <c:v>83.79965</c:v>
                </c:pt>
                <c:pt idx="5045">
                  <c:v>83.79858</c:v>
                </c:pt>
                <c:pt idx="5046">
                  <c:v>83.79759</c:v>
                </c:pt>
                <c:pt idx="5047">
                  <c:v>83.79659</c:v>
                </c:pt>
                <c:pt idx="5048">
                  <c:v>83.7956</c:v>
                </c:pt>
                <c:pt idx="5049">
                  <c:v>83.7956</c:v>
                </c:pt>
                <c:pt idx="5050">
                  <c:v>83.7956</c:v>
                </c:pt>
                <c:pt idx="5051">
                  <c:v>83.7956</c:v>
                </c:pt>
                <c:pt idx="5052">
                  <c:v>83.79453</c:v>
                </c:pt>
                <c:pt idx="5053">
                  <c:v>83.79453</c:v>
                </c:pt>
                <c:pt idx="5054">
                  <c:v>83.79354</c:v>
                </c:pt>
                <c:pt idx="5055">
                  <c:v>83.79254</c:v>
                </c:pt>
                <c:pt idx="5056">
                  <c:v>83.79254</c:v>
                </c:pt>
                <c:pt idx="5057">
                  <c:v>83.79254</c:v>
                </c:pt>
                <c:pt idx="5058">
                  <c:v>83.79155</c:v>
                </c:pt>
                <c:pt idx="5059">
                  <c:v>83.79155</c:v>
                </c:pt>
                <c:pt idx="5060">
                  <c:v>83.79048</c:v>
                </c:pt>
                <c:pt idx="5061">
                  <c:v>83.79048</c:v>
                </c:pt>
                <c:pt idx="5062">
                  <c:v>83.78949</c:v>
                </c:pt>
                <c:pt idx="5063">
                  <c:v>83.78848999999998</c:v>
                </c:pt>
                <c:pt idx="5064">
                  <c:v>83.78643</c:v>
                </c:pt>
                <c:pt idx="5065">
                  <c:v>83.78643</c:v>
                </c:pt>
                <c:pt idx="5066">
                  <c:v>83.78543999999998</c:v>
                </c:pt>
                <c:pt idx="5067">
                  <c:v>83.78543999999998</c:v>
                </c:pt>
                <c:pt idx="5068">
                  <c:v>83.78543999999998</c:v>
                </c:pt>
                <c:pt idx="5069">
                  <c:v>83.78444</c:v>
                </c:pt>
                <c:pt idx="5070">
                  <c:v>83.78543999999998</c:v>
                </c:pt>
                <c:pt idx="5071">
                  <c:v>83.78543999999998</c:v>
                </c:pt>
                <c:pt idx="5072">
                  <c:v>83.78444</c:v>
                </c:pt>
                <c:pt idx="5073">
                  <c:v>83.78337999999998</c:v>
                </c:pt>
                <c:pt idx="5074">
                  <c:v>83.78237999999975</c:v>
                </c:pt>
                <c:pt idx="5075">
                  <c:v>83.78237999999975</c:v>
                </c:pt>
                <c:pt idx="5076">
                  <c:v>83.78139</c:v>
                </c:pt>
                <c:pt idx="5077">
                  <c:v>83.78038999999998</c:v>
                </c:pt>
                <c:pt idx="5078">
                  <c:v>83.78038999999998</c:v>
                </c:pt>
                <c:pt idx="5079">
                  <c:v>83.77932999999997</c:v>
                </c:pt>
                <c:pt idx="5080">
                  <c:v>83.77932999999997</c:v>
                </c:pt>
                <c:pt idx="5081">
                  <c:v>83.77633999999995</c:v>
                </c:pt>
                <c:pt idx="5082">
                  <c:v>83.77527999999998</c:v>
                </c:pt>
                <c:pt idx="5083">
                  <c:v>83.77527999999998</c:v>
                </c:pt>
                <c:pt idx="5084">
                  <c:v>83.77527999999998</c:v>
                </c:pt>
                <c:pt idx="5085">
                  <c:v>83.77633999999995</c:v>
                </c:pt>
                <c:pt idx="5086">
                  <c:v>83.77633999999995</c:v>
                </c:pt>
                <c:pt idx="5087">
                  <c:v>83.77527999999998</c:v>
                </c:pt>
                <c:pt idx="5088">
                  <c:v>83.77428</c:v>
                </c:pt>
                <c:pt idx="5089">
                  <c:v>83.77329</c:v>
                </c:pt>
                <c:pt idx="5090">
                  <c:v>83.77229</c:v>
                </c:pt>
                <c:pt idx="5091">
                  <c:v>83.77229</c:v>
                </c:pt>
                <c:pt idx="5092">
                  <c:v>83.77123</c:v>
                </c:pt>
                <c:pt idx="5093">
                  <c:v>83.77123</c:v>
                </c:pt>
                <c:pt idx="5094">
                  <c:v>83.76313</c:v>
                </c:pt>
                <c:pt idx="5095">
                  <c:v>83.76213000000001</c:v>
                </c:pt>
                <c:pt idx="5096">
                  <c:v>83.76419</c:v>
                </c:pt>
                <c:pt idx="5097">
                  <c:v>83.76618</c:v>
                </c:pt>
                <c:pt idx="5098">
                  <c:v>83.76618</c:v>
                </c:pt>
                <c:pt idx="5099">
                  <c:v>83.76718</c:v>
                </c:pt>
                <c:pt idx="5100">
                  <c:v>83.76718</c:v>
                </c:pt>
                <c:pt idx="5101">
                  <c:v>83.76924</c:v>
                </c:pt>
                <c:pt idx="5102">
                  <c:v>83.77123</c:v>
                </c:pt>
                <c:pt idx="5103">
                  <c:v>83.76618</c:v>
                </c:pt>
                <c:pt idx="5104">
                  <c:v>83.76519</c:v>
                </c:pt>
                <c:pt idx="5105">
                  <c:v>83.76419</c:v>
                </c:pt>
                <c:pt idx="5106">
                  <c:v>83.76213000000001</c:v>
                </c:pt>
                <c:pt idx="5107">
                  <c:v>83.76015</c:v>
                </c:pt>
                <c:pt idx="5108">
                  <c:v>83.76015</c:v>
                </c:pt>
                <c:pt idx="5109">
                  <c:v>83.76015</c:v>
                </c:pt>
                <c:pt idx="5110">
                  <c:v>83.75907999999998</c:v>
                </c:pt>
                <c:pt idx="5111">
                  <c:v>83.75907999999998</c:v>
                </c:pt>
                <c:pt idx="5112">
                  <c:v>83.75807999999998</c:v>
                </c:pt>
                <c:pt idx="5113">
                  <c:v>83.75709</c:v>
                </c:pt>
                <c:pt idx="5114">
                  <c:v>83.75907999999998</c:v>
                </c:pt>
                <c:pt idx="5115">
                  <c:v>83.7561</c:v>
                </c:pt>
                <c:pt idx="5116">
                  <c:v>83.75503</c:v>
                </c:pt>
                <c:pt idx="5117">
                  <c:v>83.75403</c:v>
                </c:pt>
                <c:pt idx="5118">
                  <c:v>83.75403</c:v>
                </c:pt>
                <c:pt idx="5119">
                  <c:v>83.75503</c:v>
                </c:pt>
                <c:pt idx="5120">
                  <c:v>83.75403</c:v>
                </c:pt>
                <c:pt idx="5121">
                  <c:v>83.75098</c:v>
                </c:pt>
                <c:pt idx="5122">
                  <c:v>83.75098</c:v>
                </c:pt>
                <c:pt idx="5123">
                  <c:v>83.74998</c:v>
                </c:pt>
                <c:pt idx="5124">
                  <c:v>83.74792</c:v>
                </c:pt>
                <c:pt idx="5125">
                  <c:v>83.74693</c:v>
                </c:pt>
                <c:pt idx="5126">
                  <c:v>83.74693</c:v>
                </c:pt>
                <c:pt idx="5127">
                  <c:v>83.74899</c:v>
                </c:pt>
                <c:pt idx="5128">
                  <c:v>83.74792</c:v>
                </c:pt>
                <c:pt idx="5129">
                  <c:v>83.74693</c:v>
                </c:pt>
                <c:pt idx="5130">
                  <c:v>83.74693</c:v>
                </c:pt>
                <c:pt idx="5131">
                  <c:v>83.74494</c:v>
                </c:pt>
                <c:pt idx="5132">
                  <c:v>83.74387</c:v>
                </c:pt>
                <c:pt idx="5133">
                  <c:v>83.74387</c:v>
                </c:pt>
                <c:pt idx="5134">
                  <c:v>83.74387</c:v>
                </c:pt>
                <c:pt idx="5135">
                  <c:v>83.74189</c:v>
                </c:pt>
                <c:pt idx="5136">
                  <c:v>83.74089</c:v>
                </c:pt>
                <c:pt idx="5137">
                  <c:v>83.73982</c:v>
                </c:pt>
                <c:pt idx="5138">
                  <c:v>83.73982</c:v>
                </c:pt>
                <c:pt idx="5139">
                  <c:v>83.73883</c:v>
                </c:pt>
                <c:pt idx="5140">
                  <c:v>83.73883</c:v>
                </c:pt>
                <c:pt idx="5141">
                  <c:v>83.73684</c:v>
                </c:pt>
                <c:pt idx="5142">
                  <c:v>83.73576999999997</c:v>
                </c:pt>
                <c:pt idx="5143">
                  <c:v>83.73478</c:v>
                </c:pt>
                <c:pt idx="5144">
                  <c:v>83.73478</c:v>
                </c:pt>
                <c:pt idx="5145">
                  <c:v>83.73478</c:v>
                </c:pt>
                <c:pt idx="5146">
                  <c:v>83.73379</c:v>
                </c:pt>
                <c:pt idx="5147">
                  <c:v>83.73278999999998</c:v>
                </c:pt>
                <c:pt idx="5148">
                  <c:v>83.73172</c:v>
                </c:pt>
                <c:pt idx="5149">
                  <c:v>83.73073</c:v>
                </c:pt>
                <c:pt idx="5150">
                  <c:v>83.72973999999998</c:v>
                </c:pt>
                <c:pt idx="5151">
                  <c:v>83.73073</c:v>
                </c:pt>
                <c:pt idx="5152">
                  <c:v>83.72768</c:v>
                </c:pt>
                <c:pt idx="5153">
                  <c:v>83.72768</c:v>
                </c:pt>
                <c:pt idx="5154">
                  <c:v>83.72668</c:v>
                </c:pt>
                <c:pt idx="5155">
                  <c:v>83.72569</c:v>
                </c:pt>
                <c:pt idx="5156">
                  <c:v>83.72469</c:v>
                </c:pt>
                <c:pt idx="5157">
                  <c:v>83.72363</c:v>
                </c:pt>
                <c:pt idx="5158">
                  <c:v>83.72363</c:v>
                </c:pt>
                <c:pt idx="5159">
                  <c:v>83.72263</c:v>
                </c:pt>
              </c:numCache>
            </c:numRef>
          </c:yVal>
          <c:smooth val="1"/>
        </c:ser>
        <c:dLbls>
          <c:showLegendKey val="0"/>
          <c:showVal val="0"/>
          <c:showCatName val="0"/>
          <c:showSerName val="0"/>
          <c:showPercent val="0"/>
          <c:showBubbleSize val="0"/>
        </c:dLbls>
        <c:axId val="2132197048"/>
        <c:axId val="2132202600"/>
      </c:scatterChart>
      <c:valAx>
        <c:axId val="2132197048"/>
        <c:scaling>
          <c:orientation val="minMax"/>
          <c:max val="900.0"/>
        </c:scaling>
        <c:delete val="0"/>
        <c:axPos val="b"/>
        <c:title>
          <c:tx>
            <c:rich>
              <a:bodyPr/>
              <a:lstStyle/>
              <a:p>
                <a:pPr>
                  <a:defRPr/>
                </a:pPr>
                <a:r>
                  <a:rPr lang="en-US"/>
                  <a:t>Temperature  (oC )</a:t>
                </a:r>
              </a:p>
            </c:rich>
          </c:tx>
          <c:layout>
            <c:manualLayout>
              <c:xMode val="edge"/>
              <c:yMode val="edge"/>
              <c:x val="0.395051366948071"/>
              <c:y val="0.918518518518518"/>
            </c:manualLayout>
          </c:layout>
          <c:overlay val="0"/>
        </c:title>
        <c:numFmt formatCode="General" sourceLinked="1"/>
        <c:majorTickMark val="out"/>
        <c:minorTickMark val="in"/>
        <c:tickLblPos val="nextTo"/>
        <c:txPr>
          <a:bodyPr rot="0" vert="horz"/>
          <a:lstStyle/>
          <a:p>
            <a:pPr>
              <a:defRPr/>
            </a:pPr>
            <a:endParaRPr lang="en-US"/>
          </a:p>
        </c:txPr>
        <c:crossAx val="2132202600"/>
        <c:crossesAt val="80.0"/>
        <c:crossBetween val="midCat"/>
      </c:valAx>
      <c:valAx>
        <c:axId val="2132202600"/>
        <c:scaling>
          <c:orientation val="minMax"/>
          <c:max val="100.0"/>
        </c:scaling>
        <c:delete val="0"/>
        <c:axPos val="l"/>
        <c:title>
          <c:tx>
            <c:rich>
              <a:bodyPr rot="-5400000" vert="horz"/>
              <a:lstStyle/>
              <a:p>
                <a:pPr>
                  <a:defRPr/>
                </a:pPr>
                <a:r>
                  <a:rPr lang="en-US"/>
                  <a:t>Weight %</a:t>
                </a:r>
              </a:p>
            </c:rich>
          </c:tx>
          <c:layout>
            <c:manualLayout>
              <c:xMode val="edge"/>
              <c:yMode val="edge"/>
              <c:x val="0.0"/>
              <c:y val="0.342116237181704"/>
            </c:manualLayout>
          </c:layout>
          <c:overlay val="0"/>
        </c:title>
        <c:numFmt formatCode="General" sourceLinked="1"/>
        <c:majorTickMark val="out"/>
        <c:minorTickMark val="none"/>
        <c:tickLblPos val="nextTo"/>
        <c:crossAx val="2132197048"/>
        <c:crosses val="autoZero"/>
        <c:crossBetween val="midCat"/>
        <c:minorUnit val="2.0"/>
      </c:valAx>
    </c:plotArea>
    <c:legend>
      <c:legendPos val="r"/>
      <c:layout>
        <c:manualLayout>
          <c:xMode val="edge"/>
          <c:yMode val="edge"/>
          <c:x val="0.406500072907553"/>
          <c:y val="0.0279441031409535"/>
          <c:w val="0.548273731408574"/>
          <c:h val="0.143267925791736"/>
        </c:manualLayout>
      </c:layout>
      <c:overlay val="0"/>
    </c:legend>
    <c:plotVisOnly val="1"/>
    <c:dispBlanksAs val="gap"/>
    <c:showDLblsOverMax val="0"/>
  </c:chart>
  <c:spPr>
    <a:ln w="12700" cmpd="sng">
      <a:noFill/>
    </a:ln>
  </c:spPr>
  <c:txPr>
    <a:bodyPr/>
    <a:lstStyle/>
    <a:p>
      <a:pPr>
        <a:defRPr sz="1050">
          <a:latin typeface="Arial"/>
          <a:cs typeface="Arial"/>
        </a:defRPr>
      </a:pPr>
      <a:endParaRPr lang="en-US"/>
    </a:p>
  </c:txPr>
  <c:externalData r:id="rId1">
    <c:autoUpdate val="0"/>
  </c:externalData>
  <c:userShapes r:id="rId2"/>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442293671624"/>
          <c:y val="0.02909796314258"/>
          <c:w val="0.788650298920968"/>
          <c:h val="0.823714778354854"/>
        </c:manualLayout>
      </c:layout>
      <c:scatterChart>
        <c:scatterStyle val="smoothMarker"/>
        <c:varyColors val="0"/>
        <c:ser>
          <c:idx val="3"/>
          <c:order val="0"/>
          <c:tx>
            <c:v>Ca (B series)</c:v>
          </c:tx>
          <c:spPr>
            <a:ln w="12700" cmpd="sng">
              <a:solidFill>
                <a:schemeClr val="bg1">
                  <a:lumMod val="50000"/>
                </a:schemeClr>
              </a:solidFill>
            </a:ln>
          </c:spPr>
          <c:marker>
            <c:symbol val="triangle"/>
            <c:size val="6"/>
            <c:spPr>
              <a:solidFill>
                <a:schemeClr val="bg1">
                  <a:lumMod val="50000"/>
                </a:schemeClr>
              </a:solidFill>
              <a:ln w="12700" cmpd="sng">
                <a:solidFill>
                  <a:schemeClr val="bg1">
                    <a:lumMod val="50000"/>
                  </a:schemeClr>
                </a:solidFill>
              </a:ln>
            </c:spPr>
          </c:marker>
          <c:errBars>
            <c:errDir val="y"/>
            <c:errBarType val="both"/>
            <c:errValType val="percentage"/>
            <c:noEndCap val="0"/>
            <c:val val="10.0"/>
          </c:errBars>
          <c:xVal>
            <c:numLit>
              <c:formatCode>General</c:formatCode>
              <c:ptCount val="7"/>
              <c:pt idx="0">
                <c:v>7.0</c:v>
              </c:pt>
              <c:pt idx="1">
                <c:v>14.0</c:v>
              </c:pt>
              <c:pt idx="2">
                <c:v>28.0</c:v>
              </c:pt>
              <c:pt idx="3">
                <c:v>84.0</c:v>
              </c:pt>
              <c:pt idx="4">
                <c:v>168.0</c:v>
              </c:pt>
              <c:pt idx="5">
                <c:v>504.0</c:v>
              </c:pt>
              <c:pt idx="6">
                <c:v>720.0</c:v>
              </c:pt>
            </c:numLit>
          </c:xVal>
          <c:yVal>
            <c:numRef>
              <c:f>(Sheet1!$Q$3,Sheet1!$Q$10,Sheet1!$Q$17,Sheet1!$Q$24,Sheet1!$Q$68,Sheet1!$Q$85,Sheet1!$Q$101)</c:f>
              <c:numCache>
                <c:formatCode>0.00</c:formatCode>
                <c:ptCount val="7"/>
                <c:pt idx="0">
                  <c:v>344.1866158472362</c:v>
                </c:pt>
                <c:pt idx="1">
                  <c:v>239.7467630585831</c:v>
                </c:pt>
                <c:pt idx="2">
                  <c:v>185.6134004815394</c:v>
                </c:pt>
                <c:pt idx="3">
                  <c:v>104.8978716586588</c:v>
                </c:pt>
                <c:pt idx="4">
                  <c:v>97.11362931085128</c:v>
                </c:pt>
                <c:pt idx="5">
                  <c:v>105.5615981399496</c:v>
                </c:pt>
                <c:pt idx="6" formatCode="General">
                  <c:v>79.1711986049622</c:v>
                </c:pt>
              </c:numCache>
            </c:numRef>
          </c:yVal>
          <c:smooth val="1"/>
        </c:ser>
        <c:ser>
          <c:idx val="0"/>
          <c:order val="1"/>
          <c:tx>
            <c:v>Ca (CS series)</c:v>
          </c:tx>
          <c:spPr>
            <a:ln w="12700" cmpd="sng">
              <a:solidFill>
                <a:schemeClr val="tx1">
                  <a:lumMod val="95000"/>
                  <a:lumOff val="5000"/>
                </a:schemeClr>
              </a:solidFill>
            </a:ln>
          </c:spPr>
          <c:marker>
            <c:symbol val="diamond"/>
            <c:size val="6"/>
            <c:spPr>
              <a:solidFill>
                <a:schemeClr val="tx1">
                  <a:lumMod val="95000"/>
                  <a:lumOff val="5000"/>
                </a:schemeClr>
              </a:solidFill>
              <a:ln w="12700" cmpd="sng">
                <a:solidFill>
                  <a:schemeClr val="tx1">
                    <a:lumMod val="95000"/>
                    <a:lumOff val="5000"/>
                  </a:schemeClr>
                </a:solidFill>
              </a:ln>
            </c:spPr>
          </c:marker>
          <c:errBars>
            <c:errDir val="y"/>
            <c:errBarType val="both"/>
            <c:errValType val="percentage"/>
            <c:noEndCap val="0"/>
            <c:val val="10.0"/>
          </c:errBars>
          <c:xVal>
            <c:numLit>
              <c:formatCode>General</c:formatCode>
              <c:ptCount val="7"/>
              <c:pt idx="0">
                <c:v>7.0</c:v>
              </c:pt>
              <c:pt idx="1">
                <c:v>14.0</c:v>
              </c:pt>
              <c:pt idx="2">
                <c:v>28.0</c:v>
              </c:pt>
              <c:pt idx="3">
                <c:v>84.0</c:v>
              </c:pt>
              <c:pt idx="4">
                <c:v>168.0</c:v>
              </c:pt>
              <c:pt idx="5">
                <c:v>504.0</c:v>
              </c:pt>
              <c:pt idx="6">
                <c:v>720.0</c:v>
              </c:pt>
            </c:numLit>
          </c:xVal>
          <c:yVal>
            <c:numRef>
              <c:f>(Sheet1!$Q$31,Sheet1!$Q$40,Sheet1!$Q$49,Sheet1!$Q$58,Sheet1!$Q$76,Sheet1!$Q$92,Sheet1!$Q$108)</c:f>
              <c:numCache>
                <c:formatCode>0.00</c:formatCode>
                <c:ptCount val="7"/>
                <c:pt idx="0">
                  <c:v>852.0571303887929</c:v>
                </c:pt>
                <c:pt idx="1">
                  <c:v>611.925141538201</c:v>
                </c:pt>
                <c:pt idx="2">
                  <c:v>477.9110541033668</c:v>
                </c:pt>
                <c:pt idx="3">
                  <c:v>321.0925517398571</c:v>
                </c:pt>
                <c:pt idx="4">
                  <c:v>245.5087286580563</c:v>
                </c:pt>
                <c:pt idx="5">
                  <c:v>180.4489843955451</c:v>
                </c:pt>
                <c:pt idx="6" formatCode="General">
                  <c:v>135.3367382966588</c:v>
                </c:pt>
              </c:numCache>
            </c:numRef>
          </c:yVal>
          <c:smooth val="1"/>
        </c:ser>
        <c:dLbls>
          <c:showLegendKey val="0"/>
          <c:showVal val="0"/>
          <c:showCatName val="0"/>
          <c:showSerName val="0"/>
          <c:showPercent val="0"/>
          <c:showBubbleSize val="0"/>
        </c:dLbls>
        <c:axId val="2131061048"/>
        <c:axId val="2131066648"/>
      </c:scatterChart>
      <c:valAx>
        <c:axId val="2131061048"/>
        <c:scaling>
          <c:orientation val="minMax"/>
          <c:max val="750.0"/>
          <c:min val="0.0"/>
        </c:scaling>
        <c:delete val="0"/>
        <c:axPos val="b"/>
        <c:title>
          <c:tx>
            <c:rich>
              <a:bodyPr/>
              <a:lstStyle/>
              <a:p>
                <a:pPr>
                  <a:defRPr/>
                </a:pPr>
                <a:r>
                  <a:rPr lang="en-US"/>
                  <a:t>Leaching Period (Days)</a:t>
                </a:r>
              </a:p>
            </c:rich>
          </c:tx>
          <c:layout>
            <c:manualLayout>
              <c:xMode val="edge"/>
              <c:yMode val="edge"/>
              <c:x val="0.423606166876199"/>
              <c:y val="0.926563409712928"/>
            </c:manualLayout>
          </c:layout>
          <c:overlay val="0"/>
        </c:title>
        <c:numFmt formatCode="General" sourceLinked="0"/>
        <c:majorTickMark val="out"/>
        <c:minorTickMark val="none"/>
        <c:tickLblPos val="nextTo"/>
        <c:spPr>
          <a:ln>
            <a:solidFill>
              <a:schemeClr val="tx1"/>
            </a:solidFill>
          </a:ln>
        </c:spPr>
        <c:txPr>
          <a:bodyPr/>
          <a:lstStyle/>
          <a:p>
            <a:pPr>
              <a:defRPr sz="900"/>
            </a:pPr>
            <a:endParaRPr lang="en-US"/>
          </a:p>
        </c:txPr>
        <c:crossAx val="2131066648"/>
        <c:crosses val="autoZero"/>
        <c:crossBetween val="midCat"/>
        <c:majorUnit val="50.0"/>
        <c:minorUnit val="2.0"/>
      </c:valAx>
      <c:valAx>
        <c:axId val="2131066648"/>
        <c:scaling>
          <c:orientation val="minMax"/>
        </c:scaling>
        <c:delete val="0"/>
        <c:axPos val="l"/>
        <c:title>
          <c:tx>
            <c:rich>
              <a:bodyPr rot="-5400000" vert="horz"/>
              <a:lstStyle/>
              <a:p>
                <a:pPr>
                  <a:defRPr sz="700"/>
                </a:pPr>
                <a:r>
                  <a:rPr lang="en-US" sz="1050" b="1" i="0" baseline="0">
                    <a:effectLst/>
                  </a:rPr>
                  <a:t>Normalised Leaching Rate</a:t>
                </a:r>
                <a:endParaRPr lang="en-US" sz="700">
                  <a:effectLst/>
                </a:endParaRPr>
              </a:p>
              <a:p>
                <a:pPr>
                  <a:defRPr sz="700"/>
                </a:pPr>
                <a:r>
                  <a:rPr lang="en-US" sz="1050" b="1" i="0" baseline="0">
                    <a:effectLst/>
                  </a:rPr>
                  <a:t> (ug/days.cm</a:t>
                </a:r>
                <a:r>
                  <a:rPr lang="en-US" sz="1050" b="1" i="0" baseline="30000">
                    <a:effectLst/>
                  </a:rPr>
                  <a:t>2</a:t>
                </a:r>
                <a:r>
                  <a:rPr lang="en-US" sz="1050" b="1" i="0" baseline="0">
                    <a:effectLst/>
                  </a:rPr>
                  <a:t>)</a:t>
                </a:r>
                <a:endParaRPr lang="en-US" sz="700">
                  <a:effectLst/>
                </a:endParaRPr>
              </a:p>
            </c:rich>
          </c:tx>
          <c:layout>
            <c:manualLayout>
              <c:xMode val="edge"/>
              <c:yMode val="edge"/>
              <c:x val="0.0"/>
              <c:y val="0.0905320879506938"/>
            </c:manualLayout>
          </c:layout>
          <c:overlay val="0"/>
        </c:title>
        <c:numFmt formatCode="0" sourceLinked="0"/>
        <c:majorTickMark val="out"/>
        <c:minorTickMark val="none"/>
        <c:tickLblPos val="nextTo"/>
        <c:txPr>
          <a:bodyPr/>
          <a:lstStyle/>
          <a:p>
            <a:pPr>
              <a:defRPr sz="1000"/>
            </a:pPr>
            <a:endParaRPr lang="en-US"/>
          </a:p>
        </c:txPr>
        <c:crossAx val="2131061048"/>
        <c:crosses val="autoZero"/>
        <c:crossBetween val="midCat"/>
      </c:valAx>
      <c:spPr>
        <a:noFill/>
      </c:spPr>
    </c:plotArea>
    <c:legend>
      <c:legendPos val="r"/>
      <c:layout>
        <c:manualLayout>
          <c:xMode val="edge"/>
          <c:yMode val="edge"/>
          <c:x val="0.292176382363969"/>
          <c:y val="0.00114835022459237"/>
          <c:w val="0.5309541776028"/>
          <c:h val="0.106920404350787"/>
        </c:manualLayout>
      </c:layout>
      <c:overlay val="0"/>
    </c:legend>
    <c:plotVisOnly val="1"/>
    <c:dispBlanksAs val="gap"/>
    <c:showDLblsOverMax val="0"/>
  </c:chart>
  <c:spPr>
    <a:ln>
      <a:noFill/>
    </a:ln>
  </c:spPr>
  <c:txPr>
    <a:bodyPr/>
    <a:lstStyle/>
    <a:p>
      <a:pPr>
        <a:defRPr sz="1100">
          <a:latin typeface="Arial"/>
          <a:cs typeface="Arial"/>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7402850685331"/>
          <c:y val="0.0514220705346985"/>
          <c:w val="0.767689741907261"/>
          <c:h val="0.808036642945732"/>
        </c:manualLayout>
      </c:layout>
      <c:scatterChart>
        <c:scatterStyle val="smoothMarker"/>
        <c:varyColors val="0"/>
        <c:ser>
          <c:idx val="3"/>
          <c:order val="0"/>
          <c:tx>
            <c:v>Cs</c:v>
          </c:tx>
          <c:spPr>
            <a:ln w="12700" cmpd="sng">
              <a:solidFill>
                <a:srgbClr val="FF0000"/>
              </a:solidFill>
            </a:ln>
          </c:spPr>
          <c:marker>
            <c:symbol val="diamond"/>
            <c:size val="8"/>
            <c:spPr>
              <a:solidFill>
                <a:srgbClr val="FF0000"/>
              </a:solidFill>
              <a:ln w="12700" cmpd="sng">
                <a:solidFill>
                  <a:srgbClr val="FF0000"/>
                </a:solidFill>
              </a:ln>
            </c:spPr>
          </c:marker>
          <c:errBars>
            <c:errDir val="y"/>
            <c:errBarType val="both"/>
            <c:errValType val="percentage"/>
            <c:noEndCap val="0"/>
            <c:val val="10.0"/>
          </c:errBars>
          <c:xVal>
            <c:numLit>
              <c:formatCode>General</c:formatCode>
              <c:ptCount val="7"/>
              <c:pt idx="0">
                <c:v>7.0</c:v>
              </c:pt>
              <c:pt idx="1">
                <c:v>14.0</c:v>
              </c:pt>
              <c:pt idx="2">
                <c:v>28.0</c:v>
              </c:pt>
              <c:pt idx="3">
                <c:v>84.0</c:v>
              </c:pt>
              <c:pt idx="4">
                <c:v>168.0</c:v>
              </c:pt>
              <c:pt idx="5">
                <c:v>534.0</c:v>
              </c:pt>
              <c:pt idx="6">
                <c:v>712.0</c:v>
              </c:pt>
            </c:numLit>
          </c:xVal>
          <c:yVal>
            <c:numRef>
              <c:f>(Sheet1!$Q$34,Sheet1!$Q$43,Sheet1!$Q$52,Sheet1!$Q$61,Sheet1!$Q$79,Sheet1!$Q$95,Sheet1!$Q$111)</c:f>
              <c:numCache>
                <c:formatCode>0.00</c:formatCode>
                <c:ptCount val="7"/>
                <c:pt idx="0">
                  <c:v>15826.33756450408</c:v>
                </c:pt>
                <c:pt idx="1">
                  <c:v>10748.95008351634</c:v>
                </c:pt>
                <c:pt idx="2">
                  <c:v>7073.50116966199</c:v>
                </c:pt>
                <c:pt idx="3">
                  <c:v>4649.357915300357</c:v>
                </c:pt>
                <c:pt idx="4">
                  <c:v>3003.272704922072</c:v>
                </c:pt>
                <c:pt idx="5">
                  <c:v>2456.178440229171</c:v>
                </c:pt>
                <c:pt idx="6" formatCode="General">
                  <c:v>1954.351428313765</c:v>
                </c:pt>
              </c:numCache>
            </c:numRef>
          </c:yVal>
          <c:smooth val="1"/>
        </c:ser>
        <c:ser>
          <c:idx val="0"/>
          <c:order val="1"/>
          <c:tx>
            <c:v>Sr</c:v>
          </c:tx>
          <c:spPr>
            <a:ln w="12700" cmpd="sng">
              <a:solidFill>
                <a:schemeClr val="accent6">
                  <a:lumMod val="75000"/>
                </a:schemeClr>
              </a:solidFill>
            </a:ln>
          </c:spPr>
          <c:marker>
            <c:symbol val="triangle"/>
            <c:size val="6"/>
            <c:spPr>
              <a:solidFill>
                <a:schemeClr val="accent6">
                  <a:lumMod val="75000"/>
                </a:schemeClr>
              </a:solidFill>
              <a:ln w="12700" cmpd="sng">
                <a:solidFill>
                  <a:schemeClr val="accent6">
                    <a:lumMod val="75000"/>
                  </a:schemeClr>
                </a:solidFill>
              </a:ln>
            </c:spPr>
          </c:marker>
          <c:errBars>
            <c:errDir val="y"/>
            <c:errBarType val="both"/>
            <c:errValType val="percentage"/>
            <c:noEndCap val="0"/>
            <c:val val="10.0"/>
          </c:errBars>
          <c:xVal>
            <c:numLit>
              <c:formatCode>General</c:formatCode>
              <c:ptCount val="7"/>
              <c:pt idx="0">
                <c:v>7.0</c:v>
              </c:pt>
              <c:pt idx="1">
                <c:v>14.0</c:v>
              </c:pt>
              <c:pt idx="2">
                <c:v>28.0</c:v>
              </c:pt>
              <c:pt idx="3">
                <c:v>84.0</c:v>
              </c:pt>
              <c:pt idx="4">
                <c:v>168.0</c:v>
              </c:pt>
              <c:pt idx="5">
                <c:v>534.0</c:v>
              </c:pt>
              <c:pt idx="6">
                <c:v>712.0</c:v>
              </c:pt>
            </c:numLit>
          </c:xVal>
          <c:yVal>
            <c:numRef>
              <c:f>(Sheet1!$Q$35,Sheet1!$Q$44,Sheet1!$Q$53,Sheet1!$Q$62,Sheet1!$Q$80,Sheet1!$Q$96,Sheet1!$Q$112)</c:f>
              <c:numCache>
                <c:formatCode>0.00</c:formatCode>
                <c:ptCount val="7"/>
                <c:pt idx="0">
                  <c:v>6223.545314268221</c:v>
                </c:pt>
                <c:pt idx="1">
                  <c:v>4512.081323855595</c:v>
                </c:pt>
                <c:pt idx="2">
                  <c:v>3267.08410673356</c:v>
                </c:pt>
                <c:pt idx="3">
                  <c:v>2021.305260143437</c:v>
                </c:pt>
                <c:pt idx="4">
                  <c:v>1360.232312066399</c:v>
                </c:pt>
                <c:pt idx="5">
                  <c:v>619.5083882439766</c:v>
                </c:pt>
                <c:pt idx="6" formatCode="General">
                  <c:v>504.3487556938748</c:v>
                </c:pt>
              </c:numCache>
            </c:numRef>
          </c:yVal>
          <c:smooth val="1"/>
        </c:ser>
        <c:dLbls>
          <c:showLegendKey val="0"/>
          <c:showVal val="0"/>
          <c:showCatName val="0"/>
          <c:showSerName val="0"/>
          <c:showPercent val="0"/>
          <c:showBubbleSize val="0"/>
        </c:dLbls>
        <c:axId val="2131091048"/>
        <c:axId val="2131096424"/>
      </c:scatterChart>
      <c:valAx>
        <c:axId val="2131091048"/>
        <c:scaling>
          <c:orientation val="minMax"/>
          <c:max val="750.0"/>
          <c:min val="0.0"/>
        </c:scaling>
        <c:delete val="0"/>
        <c:axPos val="b"/>
        <c:title>
          <c:tx>
            <c:rich>
              <a:bodyPr/>
              <a:lstStyle/>
              <a:p>
                <a:pPr>
                  <a:defRPr b="1"/>
                </a:pPr>
                <a:r>
                  <a:rPr lang="en-US" b="1"/>
                  <a:t>Leaching Period (Days)</a:t>
                </a:r>
              </a:p>
            </c:rich>
          </c:tx>
          <c:layout>
            <c:manualLayout>
              <c:xMode val="edge"/>
              <c:yMode val="edge"/>
              <c:x val="0.371409667541557"/>
              <c:y val="0.929187471629596"/>
            </c:manualLayout>
          </c:layout>
          <c:overlay val="0"/>
        </c:title>
        <c:numFmt formatCode="General" sourceLinked="1"/>
        <c:majorTickMark val="out"/>
        <c:minorTickMark val="out"/>
        <c:tickLblPos val="nextTo"/>
        <c:txPr>
          <a:bodyPr/>
          <a:lstStyle/>
          <a:p>
            <a:pPr>
              <a:defRPr sz="900"/>
            </a:pPr>
            <a:endParaRPr lang="en-US"/>
          </a:p>
        </c:txPr>
        <c:crossAx val="2131096424"/>
        <c:crosses val="autoZero"/>
        <c:crossBetween val="midCat"/>
        <c:majorUnit val="50.0"/>
        <c:minorUnit val="10.0"/>
      </c:valAx>
      <c:valAx>
        <c:axId val="2131096424"/>
        <c:scaling>
          <c:orientation val="minMax"/>
        </c:scaling>
        <c:delete val="0"/>
        <c:axPos val="l"/>
        <c:title>
          <c:tx>
            <c:rich>
              <a:bodyPr rot="-5400000" vert="horz"/>
              <a:lstStyle/>
              <a:p>
                <a:pPr>
                  <a:defRPr b="1"/>
                </a:pPr>
                <a:r>
                  <a:rPr lang="en-US" b="1"/>
                  <a:t>Normalised Leaching Rate</a:t>
                </a:r>
              </a:p>
              <a:p>
                <a:pPr>
                  <a:defRPr b="1"/>
                </a:pPr>
                <a:r>
                  <a:rPr lang="en-US" b="1"/>
                  <a:t> (ug/days.cm</a:t>
                </a:r>
                <a:r>
                  <a:rPr lang="en-US" b="1" baseline="30000"/>
                  <a:t>2</a:t>
                </a:r>
                <a:r>
                  <a:rPr lang="en-US" b="1"/>
                  <a:t>)</a:t>
                </a:r>
              </a:p>
            </c:rich>
          </c:tx>
          <c:layout>
            <c:manualLayout>
              <c:xMode val="edge"/>
              <c:yMode val="edge"/>
              <c:x val="0.00731517935258093"/>
              <c:y val="0.135713274748506"/>
            </c:manualLayout>
          </c:layout>
          <c:overlay val="0"/>
        </c:title>
        <c:numFmt formatCode="0" sourceLinked="0"/>
        <c:majorTickMark val="out"/>
        <c:minorTickMark val="none"/>
        <c:tickLblPos val="nextTo"/>
        <c:txPr>
          <a:bodyPr/>
          <a:lstStyle/>
          <a:p>
            <a:pPr>
              <a:defRPr sz="900"/>
            </a:pPr>
            <a:endParaRPr lang="en-US"/>
          </a:p>
        </c:txPr>
        <c:crossAx val="2131091048"/>
        <c:crosses val="autoZero"/>
        <c:crossBetween val="midCat"/>
      </c:valAx>
      <c:spPr>
        <a:noFill/>
        <a:ln w="25400">
          <a:noFill/>
        </a:ln>
      </c:spPr>
    </c:plotArea>
    <c:legend>
      <c:legendPos val="r"/>
      <c:layout>
        <c:manualLayout>
          <c:xMode val="edge"/>
          <c:yMode val="edge"/>
          <c:x val="0.411739925701402"/>
          <c:y val="0.00196861241576275"/>
          <c:w val="0.25720978861724"/>
          <c:h val="0.140499438139334"/>
        </c:manualLayout>
      </c:layout>
      <c:overlay val="0"/>
    </c:legend>
    <c:plotVisOnly val="1"/>
    <c:dispBlanksAs val="gap"/>
    <c:showDLblsOverMax val="0"/>
  </c:chart>
  <c:spPr>
    <a:ln>
      <a:noFill/>
    </a:ln>
  </c:spPr>
  <c:txPr>
    <a:bodyPr/>
    <a:lstStyle/>
    <a:p>
      <a:pPr>
        <a:defRPr sz="1050" b="0">
          <a:latin typeface="Arial"/>
          <a:cs typeface="Arial"/>
        </a:defRPr>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8411526684164"/>
          <c:y val="0.0599088582677165"/>
          <c:w val="0.727845764071158"/>
          <c:h val="0.780196996123585"/>
        </c:manualLayout>
      </c:layout>
      <c:scatterChart>
        <c:scatterStyle val="lineMarker"/>
        <c:varyColors val="0"/>
        <c:ser>
          <c:idx val="0"/>
          <c:order val="1"/>
          <c:tx>
            <c:v>Sr</c:v>
          </c:tx>
          <c:spPr>
            <a:ln w="28575">
              <a:noFill/>
            </a:ln>
          </c:spPr>
          <c:marker>
            <c:symbol val="triangle"/>
            <c:size val="8"/>
            <c:spPr>
              <a:solidFill>
                <a:schemeClr val="accent6">
                  <a:lumMod val="75000"/>
                </a:schemeClr>
              </a:solidFill>
              <a:ln>
                <a:solidFill>
                  <a:schemeClr val="accent6">
                    <a:lumMod val="75000"/>
                  </a:schemeClr>
                </a:solidFill>
              </a:ln>
            </c:spPr>
          </c:marker>
          <c:trendline>
            <c:spPr>
              <a:ln w="22225">
                <a:solidFill>
                  <a:schemeClr val="accent6">
                    <a:lumMod val="75000"/>
                  </a:schemeClr>
                </a:solidFill>
              </a:ln>
            </c:spPr>
            <c:trendlineType val="linear"/>
            <c:backward val="0.2"/>
            <c:dispRSqr val="0"/>
            <c:dispEq val="1"/>
            <c:trendlineLbl>
              <c:numFmt formatCode="General" sourceLinked="0"/>
            </c:trendlineLbl>
          </c:trendline>
          <c:errBars>
            <c:errDir val="y"/>
            <c:errBarType val="both"/>
            <c:errValType val="percentage"/>
            <c:noEndCap val="0"/>
            <c:val val="10.0"/>
          </c:errBars>
          <c:errBars>
            <c:errDir val="x"/>
            <c:errBarType val="both"/>
            <c:errValType val="percentage"/>
            <c:noEndCap val="0"/>
            <c:val val="3.0"/>
          </c:errBars>
          <c:xVal>
            <c:numRef>
              <c:f>(Sheet1!$Q$31,Sheet1!$Q$40,Sheet1!$Q$49,Sheet1!$Q$58,Sheet1!$Q$76,Sheet1!$Q$92,Sheet1!$Q$108)</c:f>
              <c:numCache>
                <c:formatCode>0.00</c:formatCode>
                <c:ptCount val="7"/>
                <c:pt idx="0">
                  <c:v>852.0571303887929</c:v>
                </c:pt>
                <c:pt idx="1">
                  <c:v>611.925141538201</c:v>
                </c:pt>
                <c:pt idx="2">
                  <c:v>477.9110541033668</c:v>
                </c:pt>
                <c:pt idx="3">
                  <c:v>321.0925517398571</c:v>
                </c:pt>
                <c:pt idx="4">
                  <c:v>245.5087286580563</c:v>
                </c:pt>
                <c:pt idx="5">
                  <c:v>180.4489843955451</c:v>
                </c:pt>
                <c:pt idx="6" formatCode="General">
                  <c:v>135.3367382966588</c:v>
                </c:pt>
              </c:numCache>
            </c:numRef>
          </c:xVal>
          <c:yVal>
            <c:numRef>
              <c:f>(Sheet1!$Q$35,Sheet1!$Q$44,Sheet1!$Q$53,Sheet1!$Q$62,Sheet1!$Q$80,Sheet1!$Q$96,Sheet1!$Q$112)</c:f>
              <c:numCache>
                <c:formatCode>0.00</c:formatCode>
                <c:ptCount val="7"/>
                <c:pt idx="0">
                  <c:v>6223.545314268221</c:v>
                </c:pt>
                <c:pt idx="1">
                  <c:v>4512.081323855595</c:v>
                </c:pt>
                <c:pt idx="2">
                  <c:v>3267.08410673356</c:v>
                </c:pt>
                <c:pt idx="3">
                  <c:v>2021.305260143437</c:v>
                </c:pt>
                <c:pt idx="4">
                  <c:v>1360.232312066399</c:v>
                </c:pt>
                <c:pt idx="5">
                  <c:v>619.5083882439766</c:v>
                </c:pt>
                <c:pt idx="6" formatCode="General">
                  <c:v>504.3487556938748</c:v>
                </c:pt>
              </c:numCache>
            </c:numRef>
          </c:yVal>
          <c:smooth val="0"/>
        </c:ser>
        <c:ser>
          <c:idx val="3"/>
          <c:order val="0"/>
          <c:tx>
            <c:v>Cs</c:v>
          </c:tx>
          <c:spPr>
            <a:ln w="28575">
              <a:noFill/>
            </a:ln>
          </c:spPr>
          <c:marker>
            <c:symbol val="diamond"/>
            <c:size val="8"/>
            <c:spPr>
              <a:solidFill>
                <a:srgbClr val="FF0000"/>
              </a:solidFill>
              <a:ln>
                <a:solidFill>
                  <a:srgbClr val="FF0000"/>
                </a:solidFill>
              </a:ln>
            </c:spPr>
          </c:marker>
          <c:trendline>
            <c:spPr>
              <a:ln w="22225">
                <a:solidFill>
                  <a:srgbClr val="FF0000"/>
                </a:solidFill>
              </a:ln>
            </c:spPr>
            <c:trendlineType val="linear"/>
            <c:backward val="0.2"/>
            <c:dispRSqr val="0"/>
            <c:dispEq val="1"/>
            <c:trendlineLbl>
              <c:numFmt formatCode="General" sourceLinked="0"/>
            </c:trendlineLbl>
          </c:trendline>
          <c:errBars>
            <c:errDir val="y"/>
            <c:errBarType val="both"/>
            <c:errValType val="percentage"/>
            <c:noEndCap val="0"/>
            <c:val val="8.0"/>
          </c:errBars>
          <c:errBars>
            <c:errDir val="x"/>
            <c:errBarType val="both"/>
            <c:errValType val="percentage"/>
            <c:noEndCap val="0"/>
            <c:val val="5.0"/>
          </c:errBars>
          <c:xVal>
            <c:numRef>
              <c:f>(Sheet1!$Q$31,Sheet1!$Q$40,Sheet1!$Q$49,Sheet1!$Q$58,Sheet1!$Q$76,Sheet1!$Q$92,Sheet1!$Q$108)</c:f>
              <c:numCache>
                <c:formatCode>0.00</c:formatCode>
                <c:ptCount val="7"/>
                <c:pt idx="0">
                  <c:v>852.0571303887929</c:v>
                </c:pt>
                <c:pt idx="1">
                  <c:v>611.925141538201</c:v>
                </c:pt>
                <c:pt idx="2">
                  <c:v>477.9110541033668</c:v>
                </c:pt>
                <c:pt idx="3">
                  <c:v>321.0925517398571</c:v>
                </c:pt>
                <c:pt idx="4">
                  <c:v>245.5087286580563</c:v>
                </c:pt>
                <c:pt idx="5">
                  <c:v>180.4489843955451</c:v>
                </c:pt>
                <c:pt idx="6" formatCode="General">
                  <c:v>135.3367382966588</c:v>
                </c:pt>
              </c:numCache>
            </c:numRef>
          </c:xVal>
          <c:yVal>
            <c:numRef>
              <c:f>(Sheet1!$Q$34,Sheet1!$Q$43,Sheet1!$Q$52,Sheet1!$Q$61,Sheet1!$Q$79,Sheet1!$Q$95,Sheet1!$Q$111)</c:f>
              <c:numCache>
                <c:formatCode>0.00</c:formatCode>
                <c:ptCount val="7"/>
                <c:pt idx="0">
                  <c:v>15826.33756450408</c:v>
                </c:pt>
                <c:pt idx="1">
                  <c:v>10748.95008351634</c:v>
                </c:pt>
                <c:pt idx="2">
                  <c:v>7073.50116966199</c:v>
                </c:pt>
                <c:pt idx="3">
                  <c:v>4649.357915300357</c:v>
                </c:pt>
                <c:pt idx="4">
                  <c:v>3003.272704922072</c:v>
                </c:pt>
                <c:pt idx="5">
                  <c:v>2456.178440229171</c:v>
                </c:pt>
                <c:pt idx="6" formatCode="General">
                  <c:v>1954.351428313765</c:v>
                </c:pt>
              </c:numCache>
            </c:numRef>
          </c:yVal>
          <c:smooth val="0"/>
        </c:ser>
        <c:dLbls>
          <c:showLegendKey val="0"/>
          <c:showVal val="0"/>
          <c:showCatName val="0"/>
          <c:showSerName val="0"/>
          <c:showPercent val="0"/>
          <c:showBubbleSize val="0"/>
        </c:dLbls>
        <c:axId val="2131143112"/>
        <c:axId val="2131149128"/>
      </c:scatterChart>
      <c:valAx>
        <c:axId val="2131143112"/>
        <c:scaling>
          <c:orientation val="minMax"/>
          <c:min val="0.0"/>
        </c:scaling>
        <c:delete val="0"/>
        <c:axPos val="b"/>
        <c:title>
          <c:tx>
            <c:rich>
              <a:bodyPr/>
              <a:lstStyle/>
              <a:p>
                <a:pPr>
                  <a:defRPr b="1"/>
                </a:pPr>
                <a:r>
                  <a:rPr lang="en-US" b="1"/>
                  <a:t>Normalised leaching rate of Ca (</a:t>
                </a:r>
                <a:r>
                  <a:rPr lang="en-US" sz="1000" b="1" i="0" u="none" strike="noStrike" baseline="0">
                    <a:effectLst/>
                  </a:rPr>
                  <a:t>u</a:t>
                </a:r>
                <a:r>
                  <a:rPr lang="en-US" b="1"/>
                  <a:t>g/days.cm</a:t>
                </a:r>
                <a:r>
                  <a:rPr lang="en-US" b="1" baseline="30000"/>
                  <a:t>2</a:t>
                </a:r>
                <a:r>
                  <a:rPr lang="en-US" b="1"/>
                  <a:t>)</a:t>
                </a:r>
              </a:p>
            </c:rich>
          </c:tx>
          <c:layout>
            <c:manualLayout>
              <c:xMode val="edge"/>
              <c:yMode val="edge"/>
              <c:x val="0.273003426655001"/>
              <c:y val="0.928571428571429"/>
            </c:manualLayout>
          </c:layout>
          <c:overlay val="0"/>
        </c:title>
        <c:numFmt formatCode="0.00" sourceLinked="1"/>
        <c:majorTickMark val="out"/>
        <c:minorTickMark val="out"/>
        <c:tickLblPos val="nextTo"/>
        <c:crossAx val="2131149128"/>
        <c:crosses val="autoZero"/>
        <c:crossBetween val="midCat"/>
      </c:valAx>
      <c:valAx>
        <c:axId val="2131149128"/>
        <c:scaling>
          <c:orientation val="minMax"/>
          <c:min val="0.0"/>
        </c:scaling>
        <c:delete val="0"/>
        <c:axPos val="l"/>
        <c:title>
          <c:tx>
            <c:rich>
              <a:bodyPr rot="-5400000" vert="horz"/>
              <a:lstStyle/>
              <a:p>
                <a:pPr>
                  <a:defRPr sz="1000"/>
                </a:pPr>
                <a:r>
                  <a:rPr lang="en-US" sz="1000"/>
                  <a:t>Normalised Leaching Rate of waste</a:t>
                </a:r>
                <a:r>
                  <a:rPr lang="en-US" sz="1000" baseline="0"/>
                  <a:t> </a:t>
                </a:r>
                <a:r>
                  <a:rPr lang="en-US" sz="1000"/>
                  <a:t>element </a:t>
                </a:r>
              </a:p>
              <a:p>
                <a:pPr>
                  <a:defRPr sz="1000"/>
                </a:pPr>
                <a:r>
                  <a:rPr lang="en-US" sz="1000"/>
                  <a:t> (ug/days.cm</a:t>
                </a:r>
                <a:r>
                  <a:rPr lang="en-US" sz="1000" baseline="30000"/>
                  <a:t>2</a:t>
                </a:r>
                <a:r>
                  <a:rPr lang="en-US" sz="1000"/>
                  <a:t>)</a:t>
                </a:r>
              </a:p>
            </c:rich>
          </c:tx>
          <c:layout>
            <c:manualLayout>
              <c:xMode val="edge"/>
              <c:yMode val="edge"/>
              <c:x val="0.0"/>
              <c:y val="0.0445275590551181"/>
            </c:manualLayout>
          </c:layout>
          <c:overlay val="0"/>
        </c:title>
        <c:numFmt formatCode="0.00" sourceLinked="1"/>
        <c:majorTickMark val="out"/>
        <c:minorTickMark val="none"/>
        <c:tickLblPos val="nextTo"/>
        <c:txPr>
          <a:bodyPr/>
          <a:lstStyle/>
          <a:p>
            <a:pPr>
              <a:defRPr sz="900"/>
            </a:pPr>
            <a:endParaRPr lang="en-US"/>
          </a:p>
        </c:txPr>
        <c:crossAx val="2131143112"/>
        <c:crosses val="autoZero"/>
        <c:crossBetween val="midCat"/>
      </c:valAx>
      <c:spPr>
        <a:noFill/>
      </c:spPr>
    </c:plotArea>
    <c:legend>
      <c:legendPos val="r"/>
      <c:legendEntry>
        <c:idx val="2"/>
        <c:delete val="1"/>
      </c:legendEntry>
      <c:legendEntry>
        <c:idx val="3"/>
        <c:delete val="1"/>
      </c:legendEntry>
      <c:layout>
        <c:manualLayout>
          <c:xMode val="edge"/>
          <c:yMode val="edge"/>
          <c:x val="0.351105460775736"/>
          <c:y val="0.00396825396825397"/>
          <c:w val="0.264578734950403"/>
          <c:h val="0.159965986001898"/>
        </c:manualLayout>
      </c:layout>
      <c:overlay val="0"/>
    </c:legend>
    <c:plotVisOnly val="1"/>
    <c:dispBlanksAs val="gap"/>
    <c:showDLblsOverMax val="0"/>
  </c:chart>
  <c:spPr>
    <a:ln>
      <a:noFill/>
    </a:ln>
  </c:spPr>
  <c:txPr>
    <a:bodyPr/>
    <a:lstStyle/>
    <a:p>
      <a:pPr>
        <a:defRPr sz="1000">
          <a:latin typeface="Arial"/>
          <a:cs typeface="Arial"/>
        </a:defRPr>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918179498396"/>
          <c:y val="0.202215135488584"/>
          <c:w val="0.704697615923009"/>
          <c:h val="0.64736281097476"/>
        </c:manualLayout>
      </c:layout>
      <c:scatterChart>
        <c:scatterStyle val="smoothMarker"/>
        <c:varyColors val="0"/>
        <c:ser>
          <c:idx val="3"/>
          <c:order val="0"/>
          <c:tx>
            <c:v>Cs in CS series</c:v>
          </c:tx>
          <c:spPr>
            <a:ln w="12700" cmpd="sng">
              <a:solidFill>
                <a:srgbClr val="FF0000"/>
              </a:solidFill>
            </a:ln>
          </c:spPr>
          <c:marker>
            <c:symbol val="diamond"/>
            <c:size val="6"/>
            <c:spPr>
              <a:solidFill>
                <a:srgbClr val="FF0000"/>
              </a:solidFill>
              <a:ln w="12700" cmpd="sng">
                <a:solidFill>
                  <a:srgbClr val="FF0000"/>
                </a:solidFill>
              </a:ln>
            </c:spPr>
          </c:marker>
          <c:errBars>
            <c:errDir val="y"/>
            <c:errBarType val="both"/>
            <c:errValType val="percentage"/>
            <c:noEndCap val="0"/>
            <c:val val="10.0"/>
          </c:errBars>
          <c:xVal>
            <c:numLit>
              <c:formatCode>General</c:formatCode>
              <c:ptCount val="3"/>
              <c:pt idx="0">
                <c:v>7.0</c:v>
              </c:pt>
              <c:pt idx="1">
                <c:v>14.0</c:v>
              </c:pt>
              <c:pt idx="2">
                <c:v>28.0</c:v>
              </c:pt>
            </c:numLit>
          </c:xVal>
          <c:yVal>
            <c:numRef>
              <c:f>(Sheet1!$Q$34,Sheet1!$Q$43,Sheet1!$Q$52)</c:f>
              <c:numCache>
                <c:formatCode>0.00</c:formatCode>
                <c:ptCount val="3"/>
                <c:pt idx="0">
                  <c:v>15826.33756450408</c:v>
                </c:pt>
                <c:pt idx="1">
                  <c:v>10748.95008351634</c:v>
                </c:pt>
                <c:pt idx="2">
                  <c:v>7073.50116966199</c:v>
                </c:pt>
              </c:numCache>
            </c:numRef>
          </c:yVal>
          <c:smooth val="1"/>
        </c:ser>
        <c:ser>
          <c:idx val="0"/>
          <c:order val="1"/>
          <c:tx>
            <c:v>Sr in CS series</c:v>
          </c:tx>
          <c:spPr>
            <a:ln w="12700" cmpd="sng">
              <a:solidFill>
                <a:srgbClr val="FF6600"/>
              </a:solidFill>
            </a:ln>
          </c:spPr>
          <c:marker>
            <c:symbol val="triangle"/>
            <c:size val="8"/>
            <c:spPr>
              <a:solidFill>
                <a:srgbClr val="FF6600"/>
              </a:solidFill>
              <a:ln w="12700" cmpd="sng">
                <a:solidFill>
                  <a:srgbClr val="FF6600"/>
                </a:solidFill>
              </a:ln>
            </c:spPr>
          </c:marker>
          <c:errBars>
            <c:errDir val="y"/>
            <c:errBarType val="both"/>
            <c:errValType val="percentage"/>
            <c:noEndCap val="0"/>
            <c:val val="10.0"/>
          </c:errBars>
          <c:xVal>
            <c:numLit>
              <c:formatCode>General</c:formatCode>
              <c:ptCount val="3"/>
              <c:pt idx="0">
                <c:v>7.0</c:v>
              </c:pt>
              <c:pt idx="1">
                <c:v>14.0</c:v>
              </c:pt>
              <c:pt idx="2">
                <c:v>28.0</c:v>
              </c:pt>
            </c:numLit>
          </c:xVal>
          <c:yVal>
            <c:numRef>
              <c:f>(Sheet1!$Q$35,Sheet1!$Q$44,Sheet1!$Q$53)</c:f>
              <c:numCache>
                <c:formatCode>0.00</c:formatCode>
                <c:ptCount val="3"/>
                <c:pt idx="0">
                  <c:v>6223.545314268221</c:v>
                </c:pt>
                <c:pt idx="1">
                  <c:v>4512.081323855595</c:v>
                </c:pt>
                <c:pt idx="2">
                  <c:v>3267.08410673356</c:v>
                </c:pt>
              </c:numCache>
            </c:numRef>
          </c:yVal>
          <c:smooth val="1"/>
        </c:ser>
        <c:ser>
          <c:idx val="1"/>
          <c:order val="2"/>
          <c:tx>
            <c:v>Cs in C series</c:v>
          </c:tx>
          <c:spPr>
            <a:ln w="12700" cmpd="sng">
              <a:solidFill>
                <a:srgbClr val="0070C0"/>
              </a:solidFill>
            </a:ln>
          </c:spPr>
          <c:marker>
            <c:symbol val="square"/>
            <c:size val="6"/>
            <c:spPr>
              <a:solidFill>
                <a:srgbClr val="0070C0"/>
              </a:solidFill>
              <a:ln w="12700" cmpd="sng">
                <a:solidFill>
                  <a:srgbClr val="0070C0"/>
                </a:solidFill>
              </a:ln>
            </c:spPr>
          </c:marker>
          <c:xVal>
            <c:numLit>
              <c:formatCode>General</c:formatCode>
              <c:ptCount val="3"/>
              <c:pt idx="0">
                <c:v>7.0</c:v>
              </c:pt>
              <c:pt idx="1">
                <c:v>14.0</c:v>
              </c:pt>
              <c:pt idx="2">
                <c:v>28.0</c:v>
              </c:pt>
            </c:numLit>
          </c:xVal>
          <c:yVal>
            <c:numRef>
              <c:f>('J SERIES'!$G$2,'J SERIES'!$G$9,'J SERIES'!$G$16)</c:f>
              <c:numCache>
                <c:formatCode>General</c:formatCode>
                <c:ptCount val="3"/>
                <c:pt idx="0">
                  <c:v>20545.00178657579</c:v>
                </c:pt>
                <c:pt idx="1">
                  <c:v>16570.23600325037</c:v>
                </c:pt>
                <c:pt idx="2">
                  <c:v>11992.68771047859</c:v>
                </c:pt>
              </c:numCache>
            </c:numRef>
          </c:yVal>
          <c:smooth val="1"/>
        </c:ser>
        <c:ser>
          <c:idx val="2"/>
          <c:order val="3"/>
          <c:tx>
            <c:v>Sr in S series</c:v>
          </c:tx>
          <c:spPr>
            <a:ln w="12700" cmpd="sng">
              <a:solidFill>
                <a:srgbClr val="00B050"/>
              </a:solidFill>
            </a:ln>
          </c:spPr>
          <c:marker>
            <c:spPr>
              <a:solidFill>
                <a:srgbClr val="00B050"/>
              </a:solidFill>
              <a:ln w="12700" cmpd="sng">
                <a:solidFill>
                  <a:srgbClr val="00B050"/>
                </a:solidFill>
              </a:ln>
            </c:spPr>
          </c:marker>
          <c:xVal>
            <c:numLit>
              <c:formatCode>General</c:formatCode>
              <c:ptCount val="3"/>
              <c:pt idx="0">
                <c:v>7.0</c:v>
              </c:pt>
              <c:pt idx="1">
                <c:v>14.0</c:v>
              </c:pt>
              <c:pt idx="2">
                <c:v>28.0</c:v>
              </c:pt>
            </c:numLit>
          </c:xVal>
          <c:yVal>
            <c:numRef>
              <c:f>('J SERIES'!$G$23,'J SERIES'!$G$30,'J SERIES'!$G$37)</c:f>
              <c:numCache>
                <c:formatCode>General</c:formatCode>
                <c:ptCount val="3"/>
                <c:pt idx="0">
                  <c:v>6719.186517605813</c:v>
                </c:pt>
                <c:pt idx="1">
                  <c:v>3894.95240055012</c:v>
                </c:pt>
                <c:pt idx="2">
                  <c:v>3071.456677377271</c:v>
                </c:pt>
              </c:numCache>
            </c:numRef>
          </c:yVal>
          <c:smooth val="1"/>
        </c:ser>
        <c:dLbls>
          <c:showLegendKey val="0"/>
          <c:showVal val="0"/>
          <c:showCatName val="0"/>
          <c:showSerName val="0"/>
          <c:showPercent val="0"/>
          <c:showBubbleSize val="0"/>
        </c:dLbls>
        <c:axId val="2132284536"/>
        <c:axId val="2132292072"/>
      </c:scatterChart>
      <c:valAx>
        <c:axId val="2132284536"/>
        <c:scaling>
          <c:orientation val="minMax"/>
          <c:max val="28.0"/>
          <c:min val="6.0"/>
        </c:scaling>
        <c:delete val="0"/>
        <c:axPos val="b"/>
        <c:title>
          <c:tx>
            <c:rich>
              <a:bodyPr/>
              <a:lstStyle/>
              <a:p>
                <a:pPr>
                  <a:defRPr/>
                </a:pPr>
                <a:r>
                  <a:rPr lang="en-US"/>
                  <a:t>Leaching Period (Days)</a:t>
                </a:r>
              </a:p>
            </c:rich>
          </c:tx>
          <c:layout>
            <c:manualLayout>
              <c:xMode val="edge"/>
              <c:yMode val="edge"/>
              <c:x val="0.43134186351706"/>
              <c:y val="0.929417619625862"/>
            </c:manualLayout>
          </c:layout>
          <c:overlay val="0"/>
        </c:title>
        <c:numFmt formatCode="General" sourceLinked="1"/>
        <c:majorTickMark val="out"/>
        <c:minorTickMark val="out"/>
        <c:tickLblPos val="nextTo"/>
        <c:crossAx val="2132292072"/>
        <c:crosses val="autoZero"/>
        <c:crossBetween val="midCat"/>
        <c:majorUnit val="2.0"/>
        <c:minorUnit val="1.0"/>
      </c:valAx>
      <c:valAx>
        <c:axId val="2132292072"/>
        <c:scaling>
          <c:orientation val="minMax"/>
          <c:max val="21500.0"/>
          <c:min val="0.0"/>
        </c:scaling>
        <c:delete val="0"/>
        <c:axPos val="l"/>
        <c:title>
          <c:tx>
            <c:rich>
              <a:bodyPr rot="-5400000" vert="horz"/>
              <a:lstStyle/>
              <a:p>
                <a:pPr>
                  <a:defRPr/>
                </a:pPr>
                <a:r>
                  <a:rPr lang="en-US"/>
                  <a:t>Normalised Leaching Rate</a:t>
                </a:r>
              </a:p>
              <a:p>
                <a:pPr>
                  <a:defRPr/>
                </a:pPr>
                <a:r>
                  <a:rPr lang="en-US"/>
                  <a:t> (ug/days.cm2)</a:t>
                </a:r>
              </a:p>
            </c:rich>
          </c:tx>
          <c:layout>
            <c:manualLayout>
              <c:xMode val="edge"/>
              <c:yMode val="edge"/>
              <c:x val="0.0445527121609799"/>
              <c:y val="0.178294065804404"/>
            </c:manualLayout>
          </c:layout>
          <c:overlay val="0"/>
        </c:title>
        <c:numFmt formatCode="0" sourceLinked="0"/>
        <c:majorTickMark val="out"/>
        <c:minorTickMark val="none"/>
        <c:tickLblPos val="nextTo"/>
        <c:txPr>
          <a:bodyPr/>
          <a:lstStyle/>
          <a:p>
            <a:pPr>
              <a:defRPr sz="900"/>
            </a:pPr>
            <a:endParaRPr lang="en-US"/>
          </a:p>
        </c:txPr>
        <c:crossAx val="2132284536"/>
        <c:crosses val="autoZero"/>
        <c:crossBetween val="midCat"/>
        <c:majorUnit val="2000.0"/>
      </c:valAx>
      <c:spPr>
        <a:noFill/>
      </c:spPr>
    </c:plotArea>
    <c:legend>
      <c:legendPos val="r"/>
      <c:layout>
        <c:manualLayout>
          <c:xMode val="edge"/>
          <c:yMode val="edge"/>
          <c:x val="0.672983377077865"/>
          <c:y val="0.0415080613199608"/>
          <c:w val="0.312884951881015"/>
          <c:h val="0.249428043512488"/>
        </c:manualLayout>
      </c:layout>
      <c:overlay val="0"/>
    </c:legend>
    <c:plotVisOnly val="1"/>
    <c:dispBlanksAs val="gap"/>
    <c:showDLblsOverMax val="0"/>
  </c:chart>
  <c:spPr>
    <a:ln>
      <a:noFill/>
    </a:ln>
  </c:spPr>
  <c:txPr>
    <a:bodyPr/>
    <a:lstStyle/>
    <a:p>
      <a:pPr>
        <a:defRPr>
          <a:latin typeface="Arial"/>
          <a:cs typeface="Arial"/>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099592843067"/>
          <c:y val="0.0292935016929808"/>
          <c:w val="0.827984442958963"/>
          <c:h val="0.823714778354854"/>
        </c:manualLayout>
      </c:layout>
      <c:scatterChart>
        <c:scatterStyle val="lineMarker"/>
        <c:varyColors val="0"/>
        <c:ser>
          <c:idx val="3"/>
          <c:order val="0"/>
          <c:tx>
            <c:v>Normalised leaching rate of Al</c:v>
          </c:tx>
          <c:spPr>
            <a:ln w="28575">
              <a:noFill/>
            </a:ln>
          </c:spPr>
          <c:marker>
            <c:symbol val="circle"/>
            <c:size val="6"/>
            <c:spPr>
              <a:solidFill>
                <a:schemeClr val="bg1">
                  <a:lumMod val="50000"/>
                </a:schemeClr>
              </a:solidFill>
              <a:ln>
                <a:solidFill>
                  <a:schemeClr val="bg1">
                    <a:lumMod val="50000"/>
                  </a:schemeClr>
                </a:solidFill>
              </a:ln>
            </c:spPr>
          </c:marker>
          <c:trendline>
            <c:trendlineType val="linear"/>
            <c:dispRSqr val="0"/>
            <c:dispEq val="1"/>
            <c:trendlineLbl>
              <c:layout>
                <c:manualLayout>
                  <c:x val="-0.0300674929164226"/>
                  <c:y val="-0.0366706144928216"/>
                </c:manualLayout>
              </c:layout>
              <c:tx>
                <c:rich>
                  <a:bodyPr/>
                  <a:lstStyle/>
                  <a:p>
                    <a:pPr>
                      <a:defRPr/>
                    </a:pPr>
                    <a:r>
                      <a:rPr lang="en-US"/>
                      <a:t>y = x - 0.8</a:t>
                    </a:r>
                  </a:p>
                </c:rich>
              </c:tx>
              <c:numFmt formatCode="#,##0.0" sourceLinked="0"/>
            </c:trendlineLbl>
          </c:trendline>
          <c:errBars>
            <c:errDir val="y"/>
            <c:errBarType val="both"/>
            <c:errValType val="percentage"/>
            <c:noEndCap val="0"/>
            <c:val val="10.0"/>
          </c:errBars>
          <c:xVal>
            <c:numRef>
              <c:f>(Sheet1!$Q$2,Sheet1!$Q$9,Sheet1!$Q$16,Sheet1!$Q$23,Sheet1!$Q$67,Sheet1!$Q$84,Sheet1!$Q$100)</c:f>
              <c:numCache>
                <c:formatCode>0.00</c:formatCode>
                <c:ptCount val="7"/>
                <c:pt idx="0">
                  <c:v>50.84354216114399</c:v>
                </c:pt>
                <c:pt idx="1">
                  <c:v>73.48303730601828</c:v>
                </c:pt>
                <c:pt idx="2">
                  <c:v>71.25994004074324</c:v>
                </c:pt>
                <c:pt idx="3">
                  <c:v>63.0955423835708</c:v>
                </c:pt>
                <c:pt idx="4">
                  <c:v>42.6628072067782</c:v>
                </c:pt>
                <c:pt idx="5">
                  <c:v>28.9640285412768</c:v>
                </c:pt>
                <c:pt idx="6" formatCode="General">
                  <c:v>25.3435249736172</c:v>
                </c:pt>
              </c:numCache>
            </c:numRef>
          </c:xVal>
          <c:yVal>
            <c:numRef>
              <c:f>(Sheet1!$Q$30,Sheet1!$Q$39,Sheet1!$Q$48,Sheet1!$Q$57,Sheet1!$Q$75,Sheet1!$Q$91,Sheet1!$Q$107)</c:f>
              <c:numCache>
                <c:formatCode>0.00</c:formatCode>
                <c:ptCount val="7"/>
                <c:pt idx="0">
                  <c:v>58.737752984909</c:v>
                </c:pt>
                <c:pt idx="1">
                  <c:v>78.61442564609356</c:v>
                </c:pt>
                <c:pt idx="2">
                  <c:v>64.52515495649392</c:v>
                </c:pt>
                <c:pt idx="3">
                  <c:v>55.74062447928521</c:v>
                </c:pt>
                <c:pt idx="4">
                  <c:v>45.32915497848722</c:v>
                </c:pt>
                <c:pt idx="5">
                  <c:v>27.73918156316311</c:v>
                </c:pt>
                <c:pt idx="6" formatCode="General">
                  <c:v>20.80438617237234</c:v>
                </c:pt>
              </c:numCache>
            </c:numRef>
          </c:yVal>
          <c:smooth val="0"/>
        </c:ser>
        <c:dLbls>
          <c:showLegendKey val="0"/>
          <c:showVal val="0"/>
          <c:showCatName val="0"/>
          <c:showSerName val="0"/>
          <c:showPercent val="0"/>
          <c:showBubbleSize val="0"/>
        </c:dLbls>
        <c:axId val="2132310152"/>
        <c:axId val="2132315272"/>
      </c:scatterChart>
      <c:valAx>
        <c:axId val="2132310152"/>
        <c:scaling>
          <c:orientation val="minMax"/>
          <c:max val="100.0"/>
          <c:min val="0.0"/>
        </c:scaling>
        <c:delete val="0"/>
        <c:axPos val="b"/>
        <c:title>
          <c:tx>
            <c:rich>
              <a:bodyPr/>
              <a:lstStyle/>
              <a:p>
                <a:pPr>
                  <a:defRPr/>
                </a:pPr>
                <a:r>
                  <a:rPr lang="en-US"/>
                  <a:t>CS Samples (ug/day.cm2)</a:t>
                </a:r>
              </a:p>
            </c:rich>
          </c:tx>
          <c:layout>
            <c:manualLayout>
              <c:xMode val="edge"/>
              <c:yMode val="edge"/>
              <c:x val="0.37674843083975"/>
              <c:y val="0.936990905333913"/>
            </c:manualLayout>
          </c:layout>
          <c:overlay val="0"/>
        </c:title>
        <c:numFmt formatCode="General" sourceLinked="0"/>
        <c:majorTickMark val="out"/>
        <c:minorTickMark val="out"/>
        <c:tickLblPos val="nextTo"/>
        <c:crossAx val="2132315272"/>
        <c:crosses val="autoZero"/>
        <c:crossBetween val="midCat"/>
        <c:majorUnit val="10.0"/>
        <c:minorUnit val="2.0"/>
      </c:valAx>
      <c:valAx>
        <c:axId val="2132315272"/>
        <c:scaling>
          <c:orientation val="minMax"/>
        </c:scaling>
        <c:delete val="0"/>
        <c:axPos val="l"/>
        <c:title>
          <c:tx>
            <c:rich>
              <a:bodyPr rot="-5400000" vert="horz"/>
              <a:lstStyle/>
              <a:p>
                <a:pPr>
                  <a:defRPr sz="1100"/>
                </a:pPr>
                <a:r>
                  <a:rPr lang="en-US" sz="1100"/>
                  <a:t>B Samples (ug/day.cm2)</a:t>
                </a:r>
              </a:p>
            </c:rich>
          </c:tx>
          <c:layout>
            <c:manualLayout>
              <c:xMode val="edge"/>
              <c:yMode val="edge"/>
              <c:x val="0.00989633286118846"/>
              <c:y val="0.236624710232389"/>
            </c:manualLayout>
          </c:layout>
          <c:overlay val="0"/>
        </c:title>
        <c:numFmt formatCode="0" sourceLinked="0"/>
        <c:majorTickMark val="out"/>
        <c:minorTickMark val="none"/>
        <c:tickLblPos val="nextTo"/>
        <c:crossAx val="2132310152"/>
        <c:crosses val="autoZero"/>
        <c:crossBetween val="midCat"/>
      </c:valAx>
      <c:spPr>
        <a:noFill/>
      </c:spPr>
    </c:plotArea>
    <c:legend>
      <c:legendPos val="r"/>
      <c:layout>
        <c:manualLayout>
          <c:xMode val="edge"/>
          <c:yMode val="edge"/>
          <c:x val="0.32249607167351"/>
          <c:y val="0.00114839659641085"/>
          <c:w val="0.471664829106946"/>
          <c:h val="0.106920404350787"/>
        </c:manualLayout>
      </c:layout>
      <c:overlay val="0"/>
    </c:legend>
    <c:plotVisOnly val="1"/>
    <c:dispBlanksAs val="gap"/>
    <c:showDLblsOverMax val="0"/>
  </c:chart>
  <c:spPr>
    <a:ln>
      <a:noFill/>
    </a:ln>
  </c:spPr>
  <c:txPr>
    <a:bodyPr/>
    <a:lstStyle/>
    <a:p>
      <a:pPr>
        <a:defRPr sz="1000">
          <a:latin typeface="Arial"/>
          <a:cs typeface="Arial"/>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4161313810018"/>
          <c:y val="0.0491463013746986"/>
          <c:w val="0.613327944094629"/>
          <c:h val="0.760137933164631"/>
        </c:manualLayout>
      </c:layout>
      <c:scatterChart>
        <c:scatterStyle val="lineMarker"/>
        <c:varyColors val="0"/>
        <c:ser>
          <c:idx val="2"/>
          <c:order val="0"/>
          <c:tx>
            <c:v>In2</c:v>
          </c:tx>
          <c:spPr>
            <a:ln w="38100" cmpd="sng">
              <a:solidFill>
                <a:srgbClr val="8000FF"/>
              </a:solidFill>
              <a:prstDash val="solid"/>
            </a:ln>
          </c:spPr>
          <c:marker>
            <c:symbol val="none"/>
          </c:marker>
          <c:xVal>
            <c:numRef>
              <c:f>'0DB1- in1'!$AE$2:$AE$310</c:f>
              <c:numCache>
                <c:formatCode>0.00E+00</c:formatCode>
                <c:ptCount val="309"/>
                <c:pt idx="0">
                  <c:v>10.61</c:v>
                </c:pt>
                <c:pt idx="1">
                  <c:v>10.35</c:v>
                </c:pt>
                <c:pt idx="2">
                  <c:v>9.9</c:v>
                </c:pt>
                <c:pt idx="3">
                  <c:v>9.395</c:v>
                </c:pt>
                <c:pt idx="4">
                  <c:v>8.859</c:v>
                </c:pt>
                <c:pt idx="5">
                  <c:v>8.274000000000001</c:v>
                </c:pt>
                <c:pt idx="6">
                  <c:v>7.783</c:v>
                </c:pt>
                <c:pt idx="7">
                  <c:v>7.264999999999985</c:v>
                </c:pt>
                <c:pt idx="8">
                  <c:v>6.733</c:v>
                </c:pt>
                <c:pt idx="9">
                  <c:v>6.190999999999986</c:v>
                </c:pt>
                <c:pt idx="10">
                  <c:v>5.643999999999996</c:v>
                </c:pt>
                <c:pt idx="11">
                  <c:v>5.091</c:v>
                </c:pt>
                <c:pt idx="12">
                  <c:v>4.538</c:v>
                </c:pt>
                <c:pt idx="13">
                  <c:v>3.998</c:v>
                </c:pt>
                <c:pt idx="14">
                  <c:v>3.483</c:v>
                </c:pt>
                <c:pt idx="15">
                  <c:v>3.005</c:v>
                </c:pt>
                <c:pt idx="16">
                  <c:v>2.573</c:v>
                </c:pt>
                <c:pt idx="17">
                  <c:v>2.194</c:v>
                </c:pt>
                <c:pt idx="18">
                  <c:v>1.866</c:v>
                </c:pt>
                <c:pt idx="19">
                  <c:v>1.588</c:v>
                </c:pt>
                <c:pt idx="20">
                  <c:v>1.353</c:v>
                </c:pt>
                <c:pt idx="21">
                  <c:v>1.158</c:v>
                </c:pt>
                <c:pt idx="22">
                  <c:v>0.9959</c:v>
                </c:pt>
                <c:pt idx="23">
                  <c:v>0.8625</c:v>
                </c:pt>
                <c:pt idx="24">
                  <c:v>0.7525</c:v>
                </c:pt>
                <c:pt idx="25">
                  <c:v>0.6615</c:v>
                </c:pt>
                <c:pt idx="26">
                  <c:v>0.586</c:v>
                </c:pt>
                <c:pt idx="27">
                  <c:v>0.523</c:v>
                </c:pt>
                <c:pt idx="28">
                  <c:v>0.4702</c:v>
                </c:pt>
                <c:pt idx="29">
                  <c:v>0.4256</c:v>
                </c:pt>
                <c:pt idx="30">
                  <c:v>0.3877</c:v>
                </c:pt>
                <c:pt idx="31">
                  <c:v>0.3554</c:v>
                </c:pt>
                <c:pt idx="32">
                  <c:v>0.3275</c:v>
                </c:pt>
                <c:pt idx="33">
                  <c:v>0.3034</c:v>
                </c:pt>
                <c:pt idx="34">
                  <c:v>0.2823</c:v>
                </c:pt>
                <c:pt idx="35">
                  <c:v>0.2638</c:v>
                </c:pt>
                <c:pt idx="36">
                  <c:v>0.2474</c:v>
                </c:pt>
                <c:pt idx="37">
                  <c:v>0.2326</c:v>
                </c:pt>
                <c:pt idx="38">
                  <c:v>0.2194</c:v>
                </c:pt>
                <c:pt idx="39">
                  <c:v>0.2074</c:v>
                </c:pt>
                <c:pt idx="40">
                  <c:v>0.1965</c:v>
                </c:pt>
                <c:pt idx="41">
                  <c:v>0.1866</c:v>
                </c:pt>
                <c:pt idx="42">
                  <c:v>0.1775</c:v>
                </c:pt>
                <c:pt idx="43">
                  <c:v>0.1691</c:v>
                </c:pt>
                <c:pt idx="44">
                  <c:v>0.1614</c:v>
                </c:pt>
                <c:pt idx="45">
                  <c:v>0.1543</c:v>
                </c:pt>
                <c:pt idx="46">
                  <c:v>0.1476</c:v>
                </c:pt>
                <c:pt idx="47">
                  <c:v>0.1413</c:v>
                </c:pt>
                <c:pt idx="48">
                  <c:v>0.1355</c:v>
                </c:pt>
                <c:pt idx="49">
                  <c:v>0.13</c:v>
                </c:pt>
                <c:pt idx="50">
                  <c:v>0.1249</c:v>
                </c:pt>
                <c:pt idx="51">
                  <c:v>0.1202</c:v>
                </c:pt>
                <c:pt idx="52">
                  <c:v>0.1157</c:v>
                </c:pt>
                <c:pt idx="53">
                  <c:v>0.1114</c:v>
                </c:pt>
                <c:pt idx="54">
                  <c:v>0.1074</c:v>
                </c:pt>
                <c:pt idx="55">
                  <c:v>0.1036</c:v>
                </c:pt>
                <c:pt idx="56">
                  <c:v>0.1</c:v>
                </c:pt>
                <c:pt idx="57">
                  <c:v>0.0967</c:v>
                </c:pt>
                <c:pt idx="58">
                  <c:v>0.09358</c:v>
                </c:pt>
                <c:pt idx="59">
                  <c:v>0.09065</c:v>
                </c:pt>
                <c:pt idx="60">
                  <c:v>0.08784</c:v>
                </c:pt>
                <c:pt idx="61">
                  <c:v>0.08517</c:v>
                </c:pt>
                <c:pt idx="62">
                  <c:v>0.08267</c:v>
                </c:pt>
                <c:pt idx="63">
                  <c:v>0.08031</c:v>
                </c:pt>
                <c:pt idx="64">
                  <c:v>0.07811</c:v>
                </c:pt>
                <c:pt idx="65">
                  <c:v>0.07602</c:v>
                </c:pt>
                <c:pt idx="66">
                  <c:v>0.07404</c:v>
                </c:pt>
                <c:pt idx="67">
                  <c:v>0.07212</c:v>
                </c:pt>
                <c:pt idx="68">
                  <c:v>0.07024</c:v>
                </c:pt>
                <c:pt idx="69">
                  <c:v>0.06846</c:v>
                </c:pt>
                <c:pt idx="70">
                  <c:v>0.06672</c:v>
                </c:pt>
                <c:pt idx="71">
                  <c:v>0.06507</c:v>
                </c:pt>
                <c:pt idx="72">
                  <c:v>0.06346</c:v>
                </c:pt>
                <c:pt idx="73">
                  <c:v>0.06189</c:v>
                </c:pt>
                <c:pt idx="74">
                  <c:v>0.06039</c:v>
                </c:pt>
                <c:pt idx="75">
                  <c:v>0.05896</c:v>
                </c:pt>
                <c:pt idx="76">
                  <c:v>0.0576</c:v>
                </c:pt>
                <c:pt idx="77">
                  <c:v>0.05629</c:v>
                </c:pt>
                <c:pt idx="78">
                  <c:v>0.05506</c:v>
                </c:pt>
                <c:pt idx="79">
                  <c:v>0.05391</c:v>
                </c:pt>
                <c:pt idx="80">
                  <c:v>0.05277</c:v>
                </c:pt>
                <c:pt idx="81">
                  <c:v>0.0517</c:v>
                </c:pt>
                <c:pt idx="82">
                  <c:v>0.05069</c:v>
                </c:pt>
                <c:pt idx="83">
                  <c:v>0.04973</c:v>
                </c:pt>
                <c:pt idx="84">
                  <c:v>0.04883</c:v>
                </c:pt>
                <c:pt idx="85">
                  <c:v>0.04796</c:v>
                </c:pt>
                <c:pt idx="86">
                  <c:v>0.0471</c:v>
                </c:pt>
                <c:pt idx="87">
                  <c:v>0.04626</c:v>
                </c:pt>
                <c:pt idx="88">
                  <c:v>0.04545</c:v>
                </c:pt>
                <c:pt idx="89">
                  <c:v>0.04467</c:v>
                </c:pt>
                <c:pt idx="90">
                  <c:v>0.04392</c:v>
                </c:pt>
                <c:pt idx="91">
                  <c:v>0.0432</c:v>
                </c:pt>
                <c:pt idx="92">
                  <c:v>0.04251</c:v>
                </c:pt>
                <c:pt idx="93">
                  <c:v>0.04183</c:v>
                </c:pt>
                <c:pt idx="94">
                  <c:v>0.04117</c:v>
                </c:pt>
                <c:pt idx="95">
                  <c:v>0.04053</c:v>
                </c:pt>
                <c:pt idx="96">
                  <c:v>0.03991</c:v>
                </c:pt>
                <c:pt idx="97">
                  <c:v>0.03933</c:v>
                </c:pt>
                <c:pt idx="98">
                  <c:v>0.03875</c:v>
                </c:pt>
                <c:pt idx="99">
                  <c:v>0.03819</c:v>
                </c:pt>
                <c:pt idx="100">
                  <c:v>0.03764</c:v>
                </c:pt>
                <c:pt idx="101">
                  <c:v>0.03711</c:v>
                </c:pt>
                <c:pt idx="102">
                  <c:v>0.03659</c:v>
                </c:pt>
                <c:pt idx="103">
                  <c:v>0.03608</c:v>
                </c:pt>
                <c:pt idx="104">
                  <c:v>0.03559</c:v>
                </c:pt>
                <c:pt idx="105">
                  <c:v>0.03511</c:v>
                </c:pt>
                <c:pt idx="106">
                  <c:v>0.03464</c:v>
                </c:pt>
                <c:pt idx="107">
                  <c:v>0.03418</c:v>
                </c:pt>
                <c:pt idx="108">
                  <c:v>0.03373</c:v>
                </c:pt>
                <c:pt idx="109">
                  <c:v>0.03329</c:v>
                </c:pt>
                <c:pt idx="110">
                  <c:v>0.03287</c:v>
                </c:pt>
                <c:pt idx="111">
                  <c:v>0.03245</c:v>
                </c:pt>
                <c:pt idx="112">
                  <c:v>0.03204</c:v>
                </c:pt>
                <c:pt idx="113">
                  <c:v>0.03164</c:v>
                </c:pt>
                <c:pt idx="114">
                  <c:v>0.03125</c:v>
                </c:pt>
                <c:pt idx="115">
                  <c:v>0.03086</c:v>
                </c:pt>
                <c:pt idx="116">
                  <c:v>0.03047</c:v>
                </c:pt>
                <c:pt idx="117">
                  <c:v>0.03009</c:v>
                </c:pt>
                <c:pt idx="118">
                  <c:v>0.02972</c:v>
                </c:pt>
                <c:pt idx="119">
                  <c:v>0.02935</c:v>
                </c:pt>
                <c:pt idx="120">
                  <c:v>0.02898</c:v>
                </c:pt>
                <c:pt idx="121">
                  <c:v>0.02862</c:v>
                </c:pt>
                <c:pt idx="122">
                  <c:v>0.02826</c:v>
                </c:pt>
                <c:pt idx="123">
                  <c:v>0.02789</c:v>
                </c:pt>
                <c:pt idx="124">
                  <c:v>0.02752</c:v>
                </c:pt>
                <c:pt idx="125">
                  <c:v>0.02716</c:v>
                </c:pt>
                <c:pt idx="126">
                  <c:v>0.0268</c:v>
                </c:pt>
                <c:pt idx="127">
                  <c:v>0.02644</c:v>
                </c:pt>
                <c:pt idx="128">
                  <c:v>0.02607</c:v>
                </c:pt>
                <c:pt idx="129">
                  <c:v>0.02571</c:v>
                </c:pt>
                <c:pt idx="130">
                  <c:v>0.02536</c:v>
                </c:pt>
                <c:pt idx="131">
                  <c:v>0.02501</c:v>
                </c:pt>
                <c:pt idx="132">
                  <c:v>0.02466</c:v>
                </c:pt>
                <c:pt idx="133">
                  <c:v>0.02433</c:v>
                </c:pt>
                <c:pt idx="134">
                  <c:v>0.024</c:v>
                </c:pt>
                <c:pt idx="135">
                  <c:v>0.02369</c:v>
                </c:pt>
                <c:pt idx="136">
                  <c:v>0.02337</c:v>
                </c:pt>
                <c:pt idx="137">
                  <c:v>0.02307</c:v>
                </c:pt>
                <c:pt idx="138">
                  <c:v>0.02276</c:v>
                </c:pt>
                <c:pt idx="139">
                  <c:v>0.02247</c:v>
                </c:pt>
                <c:pt idx="140">
                  <c:v>0.02218</c:v>
                </c:pt>
                <c:pt idx="141">
                  <c:v>0.02189</c:v>
                </c:pt>
                <c:pt idx="142">
                  <c:v>0.0216</c:v>
                </c:pt>
                <c:pt idx="143">
                  <c:v>0.02131</c:v>
                </c:pt>
                <c:pt idx="144">
                  <c:v>0.02103</c:v>
                </c:pt>
                <c:pt idx="145">
                  <c:v>0.02075</c:v>
                </c:pt>
                <c:pt idx="146">
                  <c:v>0.02047</c:v>
                </c:pt>
                <c:pt idx="147">
                  <c:v>0.0202</c:v>
                </c:pt>
                <c:pt idx="148">
                  <c:v>0.01994</c:v>
                </c:pt>
                <c:pt idx="149">
                  <c:v>0.01968</c:v>
                </c:pt>
                <c:pt idx="150">
                  <c:v>0.01943</c:v>
                </c:pt>
                <c:pt idx="151">
                  <c:v>0.01918</c:v>
                </c:pt>
                <c:pt idx="152">
                  <c:v>0.01894</c:v>
                </c:pt>
                <c:pt idx="153">
                  <c:v>0.01871</c:v>
                </c:pt>
                <c:pt idx="154">
                  <c:v>0.01848</c:v>
                </c:pt>
                <c:pt idx="155">
                  <c:v>0.01825</c:v>
                </c:pt>
                <c:pt idx="156">
                  <c:v>0.01803</c:v>
                </c:pt>
                <c:pt idx="157">
                  <c:v>0.01781</c:v>
                </c:pt>
                <c:pt idx="158">
                  <c:v>0.0176</c:v>
                </c:pt>
                <c:pt idx="159">
                  <c:v>0.01739</c:v>
                </c:pt>
                <c:pt idx="160">
                  <c:v>0.01718</c:v>
                </c:pt>
                <c:pt idx="161">
                  <c:v>0.01698</c:v>
                </c:pt>
                <c:pt idx="162">
                  <c:v>0.01678</c:v>
                </c:pt>
                <c:pt idx="163">
                  <c:v>0.01659</c:v>
                </c:pt>
                <c:pt idx="164">
                  <c:v>0.0164</c:v>
                </c:pt>
                <c:pt idx="165">
                  <c:v>0.01621</c:v>
                </c:pt>
                <c:pt idx="166">
                  <c:v>0.01603</c:v>
                </c:pt>
                <c:pt idx="167">
                  <c:v>0.01585</c:v>
                </c:pt>
                <c:pt idx="168">
                  <c:v>0.01567</c:v>
                </c:pt>
                <c:pt idx="169">
                  <c:v>0.01549</c:v>
                </c:pt>
                <c:pt idx="170">
                  <c:v>0.01532</c:v>
                </c:pt>
                <c:pt idx="171">
                  <c:v>0.01516</c:v>
                </c:pt>
                <c:pt idx="172">
                  <c:v>0.01499</c:v>
                </c:pt>
                <c:pt idx="173">
                  <c:v>0.01483</c:v>
                </c:pt>
                <c:pt idx="174">
                  <c:v>0.01468</c:v>
                </c:pt>
                <c:pt idx="175">
                  <c:v>0.01453</c:v>
                </c:pt>
                <c:pt idx="176">
                  <c:v>0.01438</c:v>
                </c:pt>
                <c:pt idx="177">
                  <c:v>0.01423</c:v>
                </c:pt>
                <c:pt idx="178">
                  <c:v>0.01409</c:v>
                </c:pt>
                <c:pt idx="179">
                  <c:v>0.01396</c:v>
                </c:pt>
                <c:pt idx="180">
                  <c:v>0.01384</c:v>
                </c:pt>
                <c:pt idx="181">
                  <c:v>0.01372</c:v>
                </c:pt>
                <c:pt idx="182">
                  <c:v>0.01361</c:v>
                </c:pt>
                <c:pt idx="183">
                  <c:v>0.0135</c:v>
                </c:pt>
                <c:pt idx="184">
                  <c:v>0.0134</c:v>
                </c:pt>
                <c:pt idx="185">
                  <c:v>0.0133</c:v>
                </c:pt>
                <c:pt idx="186">
                  <c:v>0.0132</c:v>
                </c:pt>
                <c:pt idx="187">
                  <c:v>0.01312</c:v>
                </c:pt>
                <c:pt idx="188">
                  <c:v>0.01303</c:v>
                </c:pt>
                <c:pt idx="189">
                  <c:v>0.01295</c:v>
                </c:pt>
                <c:pt idx="190">
                  <c:v>0.01286</c:v>
                </c:pt>
                <c:pt idx="191">
                  <c:v>0.01277</c:v>
                </c:pt>
                <c:pt idx="192">
                  <c:v>0.01268</c:v>
                </c:pt>
                <c:pt idx="193">
                  <c:v>0.0126</c:v>
                </c:pt>
                <c:pt idx="194">
                  <c:v>0.01251</c:v>
                </c:pt>
                <c:pt idx="195">
                  <c:v>0.01243</c:v>
                </c:pt>
                <c:pt idx="196">
                  <c:v>0.01234</c:v>
                </c:pt>
                <c:pt idx="197">
                  <c:v>0.01226</c:v>
                </c:pt>
                <c:pt idx="198">
                  <c:v>0.01218</c:v>
                </c:pt>
                <c:pt idx="199">
                  <c:v>0.0121</c:v>
                </c:pt>
                <c:pt idx="200">
                  <c:v>0.01202</c:v>
                </c:pt>
                <c:pt idx="201">
                  <c:v>0.01194</c:v>
                </c:pt>
                <c:pt idx="202">
                  <c:v>0.01187</c:v>
                </c:pt>
                <c:pt idx="203">
                  <c:v>0.0118</c:v>
                </c:pt>
                <c:pt idx="204">
                  <c:v>0.01173</c:v>
                </c:pt>
                <c:pt idx="205">
                  <c:v>0.01166</c:v>
                </c:pt>
                <c:pt idx="206">
                  <c:v>0.01159</c:v>
                </c:pt>
                <c:pt idx="207">
                  <c:v>0.01152</c:v>
                </c:pt>
                <c:pt idx="208">
                  <c:v>0.01145</c:v>
                </c:pt>
                <c:pt idx="209">
                  <c:v>0.01138</c:v>
                </c:pt>
                <c:pt idx="210">
                  <c:v>0.01131</c:v>
                </c:pt>
                <c:pt idx="211">
                  <c:v>0.01124</c:v>
                </c:pt>
                <c:pt idx="212">
                  <c:v>0.01118</c:v>
                </c:pt>
                <c:pt idx="213">
                  <c:v>0.01111</c:v>
                </c:pt>
                <c:pt idx="214">
                  <c:v>0.01105</c:v>
                </c:pt>
                <c:pt idx="215">
                  <c:v>0.01098</c:v>
                </c:pt>
                <c:pt idx="216">
                  <c:v>0.01092</c:v>
                </c:pt>
                <c:pt idx="217">
                  <c:v>0.01086</c:v>
                </c:pt>
                <c:pt idx="218">
                  <c:v>0.01079</c:v>
                </c:pt>
                <c:pt idx="219">
                  <c:v>0.01073</c:v>
                </c:pt>
                <c:pt idx="220">
                  <c:v>0.01067</c:v>
                </c:pt>
                <c:pt idx="221">
                  <c:v>0.01061</c:v>
                </c:pt>
                <c:pt idx="222">
                  <c:v>0.01055</c:v>
                </c:pt>
                <c:pt idx="223">
                  <c:v>0.01049</c:v>
                </c:pt>
                <c:pt idx="224">
                  <c:v>0.01043</c:v>
                </c:pt>
                <c:pt idx="225">
                  <c:v>0.01037</c:v>
                </c:pt>
                <c:pt idx="226">
                  <c:v>0.01031</c:v>
                </c:pt>
                <c:pt idx="227">
                  <c:v>0.01026</c:v>
                </c:pt>
                <c:pt idx="228">
                  <c:v>0.0102</c:v>
                </c:pt>
                <c:pt idx="229">
                  <c:v>0.01014</c:v>
                </c:pt>
                <c:pt idx="230">
                  <c:v>0.01009</c:v>
                </c:pt>
                <c:pt idx="231">
                  <c:v>0.01003</c:v>
                </c:pt>
                <c:pt idx="232">
                  <c:v>0.009976</c:v>
                </c:pt>
                <c:pt idx="233">
                  <c:v>0.009921</c:v>
                </c:pt>
                <c:pt idx="234">
                  <c:v>0.009866</c:v>
                </c:pt>
                <c:pt idx="235">
                  <c:v>0.009812</c:v>
                </c:pt>
                <c:pt idx="236">
                  <c:v>0.009758</c:v>
                </c:pt>
                <c:pt idx="237">
                  <c:v>0.009704</c:v>
                </c:pt>
                <c:pt idx="238">
                  <c:v>0.009651</c:v>
                </c:pt>
                <c:pt idx="239">
                  <c:v>0.009598</c:v>
                </c:pt>
                <c:pt idx="240">
                  <c:v>0.009546</c:v>
                </c:pt>
                <c:pt idx="241">
                  <c:v>0.009494</c:v>
                </c:pt>
                <c:pt idx="242">
                  <c:v>0.009443</c:v>
                </c:pt>
                <c:pt idx="243">
                  <c:v>0.009392</c:v>
                </c:pt>
                <c:pt idx="244">
                  <c:v>0.009341</c:v>
                </c:pt>
                <c:pt idx="245">
                  <c:v>0.00929</c:v>
                </c:pt>
                <c:pt idx="246">
                  <c:v>0.009239</c:v>
                </c:pt>
                <c:pt idx="247">
                  <c:v>0.009188</c:v>
                </c:pt>
                <c:pt idx="248">
                  <c:v>0.009136</c:v>
                </c:pt>
                <c:pt idx="249">
                  <c:v>0.009084</c:v>
                </c:pt>
                <c:pt idx="250">
                  <c:v>0.009032</c:v>
                </c:pt>
                <c:pt idx="251">
                  <c:v>0.00898</c:v>
                </c:pt>
                <c:pt idx="252">
                  <c:v>0.008927</c:v>
                </c:pt>
                <c:pt idx="253">
                  <c:v>0.008874</c:v>
                </c:pt>
                <c:pt idx="254">
                  <c:v>0.00882</c:v>
                </c:pt>
                <c:pt idx="255">
                  <c:v>0.008767</c:v>
                </c:pt>
                <c:pt idx="256">
                  <c:v>0.008715</c:v>
                </c:pt>
                <c:pt idx="257">
                  <c:v>0.008662</c:v>
                </c:pt>
                <c:pt idx="258">
                  <c:v>0.008609</c:v>
                </c:pt>
                <c:pt idx="259">
                  <c:v>0.008558</c:v>
                </c:pt>
                <c:pt idx="260">
                  <c:v>0.008506</c:v>
                </c:pt>
                <c:pt idx="261">
                  <c:v>0.008454</c:v>
                </c:pt>
                <c:pt idx="262">
                  <c:v>0.008403</c:v>
                </c:pt>
                <c:pt idx="263">
                  <c:v>0.008352</c:v>
                </c:pt>
                <c:pt idx="264">
                  <c:v>0.008301</c:v>
                </c:pt>
                <c:pt idx="265">
                  <c:v>0.008251</c:v>
                </c:pt>
                <c:pt idx="266">
                  <c:v>0.008201</c:v>
                </c:pt>
                <c:pt idx="267">
                  <c:v>0.008152</c:v>
                </c:pt>
                <c:pt idx="268">
                  <c:v>0.008104</c:v>
                </c:pt>
                <c:pt idx="269">
                  <c:v>0.008056</c:v>
                </c:pt>
                <c:pt idx="270">
                  <c:v>0.008008</c:v>
                </c:pt>
                <c:pt idx="271">
                  <c:v>0.007961</c:v>
                </c:pt>
                <c:pt idx="272">
                  <c:v>0.007914</c:v>
                </c:pt>
                <c:pt idx="273">
                  <c:v>0.007868</c:v>
                </c:pt>
                <c:pt idx="274">
                  <c:v>0.007823</c:v>
                </c:pt>
                <c:pt idx="275">
                  <c:v>0.007777</c:v>
                </c:pt>
                <c:pt idx="276">
                  <c:v>0.007732</c:v>
                </c:pt>
                <c:pt idx="277">
                  <c:v>0.007688</c:v>
                </c:pt>
                <c:pt idx="278">
                  <c:v>0.007644</c:v>
                </c:pt>
                <c:pt idx="279">
                  <c:v>0.0076</c:v>
                </c:pt>
                <c:pt idx="280">
                  <c:v>0.007557</c:v>
                </c:pt>
                <c:pt idx="281">
                  <c:v>0.007514</c:v>
                </c:pt>
                <c:pt idx="282">
                  <c:v>0.007472</c:v>
                </c:pt>
                <c:pt idx="283">
                  <c:v>0.00743</c:v>
                </c:pt>
                <c:pt idx="284">
                  <c:v>0.007388</c:v>
                </c:pt>
                <c:pt idx="285">
                  <c:v>0.007346</c:v>
                </c:pt>
                <c:pt idx="286">
                  <c:v>0.007305</c:v>
                </c:pt>
                <c:pt idx="287">
                  <c:v>0.007265</c:v>
                </c:pt>
                <c:pt idx="288">
                  <c:v>0.007225</c:v>
                </c:pt>
                <c:pt idx="289">
                  <c:v>0.007185</c:v>
                </c:pt>
                <c:pt idx="290">
                  <c:v>0.007145</c:v>
                </c:pt>
                <c:pt idx="291">
                  <c:v>0.007106</c:v>
                </c:pt>
                <c:pt idx="292">
                  <c:v>0.007067</c:v>
                </c:pt>
                <c:pt idx="293">
                  <c:v>0.007029</c:v>
                </c:pt>
                <c:pt idx="294">
                  <c:v>0.006991</c:v>
                </c:pt>
                <c:pt idx="295">
                  <c:v>0.006953</c:v>
                </c:pt>
                <c:pt idx="296">
                  <c:v>0.006916</c:v>
                </c:pt>
                <c:pt idx="297">
                  <c:v>0.006879</c:v>
                </c:pt>
                <c:pt idx="298">
                  <c:v>0.006842</c:v>
                </c:pt>
                <c:pt idx="299">
                  <c:v>0.006805</c:v>
                </c:pt>
                <c:pt idx="300">
                  <c:v>0.006769</c:v>
                </c:pt>
                <c:pt idx="301">
                  <c:v>0.006732</c:v>
                </c:pt>
                <c:pt idx="302">
                  <c:v>0.006696</c:v>
                </c:pt>
                <c:pt idx="303">
                  <c:v>0.006661</c:v>
                </c:pt>
                <c:pt idx="304">
                  <c:v>0.006625</c:v>
                </c:pt>
                <c:pt idx="305">
                  <c:v>0.00659</c:v>
                </c:pt>
                <c:pt idx="306">
                  <c:v>0.006554</c:v>
                </c:pt>
                <c:pt idx="307">
                  <c:v>0.006519</c:v>
                </c:pt>
                <c:pt idx="308">
                  <c:v>0.006486</c:v>
                </c:pt>
              </c:numCache>
            </c:numRef>
          </c:xVal>
          <c:yVal>
            <c:numRef>
              <c:f>'0DB1- in1'!$AG$2:$AG$310</c:f>
              <c:numCache>
                <c:formatCode>General</c:formatCode>
                <c:ptCount val="309"/>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6.66666666666667E-5</c:v>
                </c:pt>
                <c:pt idx="43">
                  <c:v>6.66666666666667E-5</c:v>
                </c:pt>
                <c:pt idx="44">
                  <c:v>0.0002</c:v>
                </c:pt>
                <c:pt idx="45">
                  <c:v>0.000333333333333333</c:v>
                </c:pt>
                <c:pt idx="46">
                  <c:v>0.000533333333333333</c:v>
                </c:pt>
                <c:pt idx="47">
                  <c:v>0.000733333333333333</c:v>
                </c:pt>
                <c:pt idx="48">
                  <c:v>0.001</c:v>
                </c:pt>
                <c:pt idx="49">
                  <c:v>0.00126666666666667</c:v>
                </c:pt>
                <c:pt idx="50">
                  <c:v>0.0016</c:v>
                </c:pt>
                <c:pt idx="51">
                  <c:v>0.002</c:v>
                </c:pt>
                <c:pt idx="52">
                  <c:v>0.00233333333333333</c:v>
                </c:pt>
                <c:pt idx="53">
                  <c:v>0.00273333333333333</c:v>
                </c:pt>
                <c:pt idx="54">
                  <c:v>0.0032</c:v>
                </c:pt>
                <c:pt idx="55">
                  <c:v>0.0036</c:v>
                </c:pt>
                <c:pt idx="56">
                  <c:v>0.004</c:v>
                </c:pt>
                <c:pt idx="57">
                  <c:v>0.00446666666666667</c:v>
                </c:pt>
                <c:pt idx="58">
                  <c:v>0.00493333333333333</c:v>
                </c:pt>
                <c:pt idx="59">
                  <c:v>0.00533333333333333</c:v>
                </c:pt>
                <c:pt idx="60">
                  <c:v>0.0058</c:v>
                </c:pt>
                <c:pt idx="61">
                  <c:v>0.0062</c:v>
                </c:pt>
                <c:pt idx="62">
                  <c:v>0.00653333333333333</c:v>
                </c:pt>
                <c:pt idx="63">
                  <c:v>0.00693333333333333</c:v>
                </c:pt>
                <c:pt idx="64">
                  <c:v>0.00733333333333333</c:v>
                </c:pt>
                <c:pt idx="65">
                  <c:v>0.00766666666666666</c:v>
                </c:pt>
                <c:pt idx="66">
                  <c:v>0.00793333333333333</c:v>
                </c:pt>
                <c:pt idx="67">
                  <c:v>0.0082</c:v>
                </c:pt>
                <c:pt idx="68">
                  <c:v>0.00846666666666666</c:v>
                </c:pt>
                <c:pt idx="69">
                  <c:v>0.0088</c:v>
                </c:pt>
                <c:pt idx="70">
                  <c:v>0.00906666666666666</c:v>
                </c:pt>
                <c:pt idx="71">
                  <c:v>0.0094</c:v>
                </c:pt>
                <c:pt idx="72">
                  <c:v>0.00973333333333333</c:v>
                </c:pt>
                <c:pt idx="73">
                  <c:v>0.0101333333333333</c:v>
                </c:pt>
                <c:pt idx="74">
                  <c:v>0.0104666666666667</c:v>
                </c:pt>
                <c:pt idx="75">
                  <c:v>0.0108666666666667</c:v>
                </c:pt>
                <c:pt idx="76">
                  <c:v>0.0112</c:v>
                </c:pt>
                <c:pt idx="77">
                  <c:v>0.0116</c:v>
                </c:pt>
                <c:pt idx="78">
                  <c:v>0.012</c:v>
                </c:pt>
                <c:pt idx="79">
                  <c:v>0.0123333333333333</c:v>
                </c:pt>
                <c:pt idx="80">
                  <c:v>0.0126666666666667</c:v>
                </c:pt>
                <c:pt idx="81">
                  <c:v>0.013</c:v>
                </c:pt>
                <c:pt idx="82">
                  <c:v>0.0133333333333333</c:v>
                </c:pt>
                <c:pt idx="83">
                  <c:v>0.0136666666666667</c:v>
                </c:pt>
                <c:pt idx="84">
                  <c:v>0.0139333333333333</c:v>
                </c:pt>
                <c:pt idx="85">
                  <c:v>0.0142666666666667</c:v>
                </c:pt>
                <c:pt idx="86">
                  <c:v>0.0146</c:v>
                </c:pt>
                <c:pt idx="87">
                  <c:v>0.0149333333333333</c:v>
                </c:pt>
                <c:pt idx="88">
                  <c:v>0.0153333333333333</c:v>
                </c:pt>
                <c:pt idx="89">
                  <c:v>0.0156666666666667</c:v>
                </c:pt>
                <c:pt idx="90">
                  <c:v>0.0159333333333333</c:v>
                </c:pt>
                <c:pt idx="91">
                  <c:v>0.0162</c:v>
                </c:pt>
                <c:pt idx="92">
                  <c:v>0.0164666666666667</c:v>
                </c:pt>
                <c:pt idx="93">
                  <c:v>0.0167333333333333</c:v>
                </c:pt>
                <c:pt idx="94">
                  <c:v>0.0169333333333333</c:v>
                </c:pt>
                <c:pt idx="95">
                  <c:v>0.0172</c:v>
                </c:pt>
                <c:pt idx="96">
                  <c:v>0.0174666666666667</c:v>
                </c:pt>
                <c:pt idx="97">
                  <c:v>0.0177333333333333</c:v>
                </c:pt>
                <c:pt idx="98">
                  <c:v>0.018</c:v>
                </c:pt>
                <c:pt idx="99">
                  <c:v>0.0182666666666667</c:v>
                </c:pt>
                <c:pt idx="100">
                  <c:v>0.0185333333333333</c:v>
                </c:pt>
                <c:pt idx="101">
                  <c:v>0.0187333333333333</c:v>
                </c:pt>
                <c:pt idx="102">
                  <c:v>0.019</c:v>
                </c:pt>
                <c:pt idx="103">
                  <c:v>0.0193333333333333</c:v>
                </c:pt>
                <c:pt idx="104">
                  <c:v>0.0196</c:v>
                </c:pt>
                <c:pt idx="105">
                  <c:v>0.0198666666666667</c:v>
                </c:pt>
                <c:pt idx="106">
                  <c:v>0.0201333333333333</c:v>
                </c:pt>
                <c:pt idx="107">
                  <c:v>0.0203333333333333</c:v>
                </c:pt>
                <c:pt idx="108">
                  <c:v>0.0205333333333333</c:v>
                </c:pt>
                <c:pt idx="109">
                  <c:v>0.0207333333333333</c:v>
                </c:pt>
                <c:pt idx="110">
                  <c:v>0.021</c:v>
                </c:pt>
                <c:pt idx="111">
                  <c:v>0.0211333333333333</c:v>
                </c:pt>
                <c:pt idx="112">
                  <c:v>0.0213333333333333</c:v>
                </c:pt>
                <c:pt idx="113">
                  <c:v>0.0214666666666667</c:v>
                </c:pt>
                <c:pt idx="114">
                  <c:v>0.0216666666666667</c:v>
                </c:pt>
                <c:pt idx="115">
                  <c:v>0.0218666666666667</c:v>
                </c:pt>
                <c:pt idx="116">
                  <c:v>0.0220666666666667</c:v>
                </c:pt>
                <c:pt idx="117">
                  <c:v>0.0222</c:v>
                </c:pt>
                <c:pt idx="118">
                  <c:v>0.0224</c:v>
                </c:pt>
                <c:pt idx="119">
                  <c:v>0.0226</c:v>
                </c:pt>
                <c:pt idx="120">
                  <c:v>0.0227333333333333</c:v>
                </c:pt>
                <c:pt idx="121">
                  <c:v>0.0229333333333333</c:v>
                </c:pt>
                <c:pt idx="122">
                  <c:v>0.0231333333333333</c:v>
                </c:pt>
                <c:pt idx="123">
                  <c:v>0.0233333333333333</c:v>
                </c:pt>
                <c:pt idx="124">
                  <c:v>0.0235333333333333</c:v>
                </c:pt>
                <c:pt idx="125">
                  <c:v>0.0237333333333333</c:v>
                </c:pt>
                <c:pt idx="126">
                  <c:v>0.0238666666666667</c:v>
                </c:pt>
                <c:pt idx="127">
                  <c:v>0.024</c:v>
                </c:pt>
                <c:pt idx="128">
                  <c:v>0.0240666666666667</c:v>
                </c:pt>
                <c:pt idx="129">
                  <c:v>0.0241333333333333</c:v>
                </c:pt>
                <c:pt idx="130">
                  <c:v>0.0242666666666667</c:v>
                </c:pt>
                <c:pt idx="131">
                  <c:v>0.0244</c:v>
                </c:pt>
                <c:pt idx="132">
                  <c:v>0.0244666666666667</c:v>
                </c:pt>
                <c:pt idx="133">
                  <c:v>0.0246</c:v>
                </c:pt>
                <c:pt idx="134">
                  <c:v>0.0246666666666667</c:v>
                </c:pt>
                <c:pt idx="135">
                  <c:v>0.0247333333333333</c:v>
                </c:pt>
                <c:pt idx="136">
                  <c:v>0.0248666666666667</c:v>
                </c:pt>
                <c:pt idx="137">
                  <c:v>0.025</c:v>
                </c:pt>
                <c:pt idx="138">
                  <c:v>0.0252</c:v>
                </c:pt>
                <c:pt idx="139">
                  <c:v>0.0254</c:v>
                </c:pt>
                <c:pt idx="140">
                  <c:v>0.0255333333333333</c:v>
                </c:pt>
                <c:pt idx="141">
                  <c:v>0.0256666666666667</c:v>
                </c:pt>
                <c:pt idx="142">
                  <c:v>0.0258</c:v>
                </c:pt>
                <c:pt idx="143">
                  <c:v>0.026</c:v>
                </c:pt>
                <c:pt idx="144">
                  <c:v>0.0261333333333333</c:v>
                </c:pt>
                <c:pt idx="145">
                  <c:v>0.0262666666666667</c:v>
                </c:pt>
                <c:pt idx="146">
                  <c:v>0.0263333333333333</c:v>
                </c:pt>
                <c:pt idx="147">
                  <c:v>0.0264</c:v>
                </c:pt>
                <c:pt idx="148">
                  <c:v>0.0264</c:v>
                </c:pt>
                <c:pt idx="149">
                  <c:v>0.0264666666666667</c:v>
                </c:pt>
                <c:pt idx="150">
                  <c:v>0.0264666666666667</c:v>
                </c:pt>
                <c:pt idx="151">
                  <c:v>0.0264666666666667</c:v>
                </c:pt>
                <c:pt idx="152">
                  <c:v>0.0264666666666667</c:v>
                </c:pt>
                <c:pt idx="153">
                  <c:v>0.0264666666666667</c:v>
                </c:pt>
                <c:pt idx="154">
                  <c:v>0.0264666666666667</c:v>
                </c:pt>
                <c:pt idx="155">
                  <c:v>0.0264666666666667</c:v>
                </c:pt>
                <c:pt idx="156">
                  <c:v>0.0264666666666667</c:v>
                </c:pt>
                <c:pt idx="157">
                  <c:v>0.0264666666666667</c:v>
                </c:pt>
                <c:pt idx="158">
                  <c:v>0.0264666666666667</c:v>
                </c:pt>
                <c:pt idx="159">
                  <c:v>0.0264666666666667</c:v>
                </c:pt>
                <c:pt idx="160">
                  <c:v>0.0264666666666667</c:v>
                </c:pt>
                <c:pt idx="161">
                  <c:v>0.0264666666666667</c:v>
                </c:pt>
                <c:pt idx="162">
                  <c:v>0.0264666666666667</c:v>
                </c:pt>
                <c:pt idx="163">
                  <c:v>0.0264666666666667</c:v>
                </c:pt>
                <c:pt idx="164">
                  <c:v>0.0264666666666667</c:v>
                </c:pt>
                <c:pt idx="165">
                  <c:v>0.0264666666666667</c:v>
                </c:pt>
                <c:pt idx="166">
                  <c:v>0.0264666666666667</c:v>
                </c:pt>
                <c:pt idx="167">
                  <c:v>0.0264666666666667</c:v>
                </c:pt>
                <c:pt idx="168">
                  <c:v>0.0264666666666667</c:v>
                </c:pt>
                <c:pt idx="169">
                  <c:v>0.0264666666666667</c:v>
                </c:pt>
                <c:pt idx="170">
                  <c:v>0.0264666666666667</c:v>
                </c:pt>
                <c:pt idx="171">
                  <c:v>0.0264666666666667</c:v>
                </c:pt>
                <c:pt idx="172">
                  <c:v>0.0264666666666667</c:v>
                </c:pt>
                <c:pt idx="173">
                  <c:v>0.0265333333333333</c:v>
                </c:pt>
                <c:pt idx="174">
                  <c:v>0.0265333333333333</c:v>
                </c:pt>
                <c:pt idx="175">
                  <c:v>0.0266</c:v>
                </c:pt>
                <c:pt idx="176">
                  <c:v>0.0266</c:v>
                </c:pt>
                <c:pt idx="177">
                  <c:v>0.0266666666666667</c:v>
                </c:pt>
                <c:pt idx="178">
                  <c:v>0.0267333333333333</c:v>
                </c:pt>
                <c:pt idx="179">
                  <c:v>0.0268</c:v>
                </c:pt>
                <c:pt idx="180">
                  <c:v>0.0269333333333333</c:v>
                </c:pt>
                <c:pt idx="181">
                  <c:v>0.027</c:v>
                </c:pt>
                <c:pt idx="182">
                  <c:v>0.0270666666666667</c:v>
                </c:pt>
                <c:pt idx="183">
                  <c:v>0.0272</c:v>
                </c:pt>
                <c:pt idx="184">
                  <c:v>0.0272666666666667</c:v>
                </c:pt>
                <c:pt idx="185">
                  <c:v>0.0273333333333333</c:v>
                </c:pt>
                <c:pt idx="186">
                  <c:v>0.0274666666666667</c:v>
                </c:pt>
                <c:pt idx="187">
                  <c:v>0.0275333333333333</c:v>
                </c:pt>
                <c:pt idx="188">
                  <c:v>0.0276</c:v>
                </c:pt>
                <c:pt idx="189">
                  <c:v>0.0276</c:v>
                </c:pt>
                <c:pt idx="190">
                  <c:v>0.0276666666666667</c:v>
                </c:pt>
                <c:pt idx="191">
                  <c:v>0.0276666666666667</c:v>
                </c:pt>
                <c:pt idx="192">
                  <c:v>0.0278</c:v>
                </c:pt>
                <c:pt idx="193">
                  <c:v>0.0278666666666667</c:v>
                </c:pt>
                <c:pt idx="194">
                  <c:v>0.0279333333333333</c:v>
                </c:pt>
                <c:pt idx="195">
                  <c:v>0.028</c:v>
                </c:pt>
                <c:pt idx="196">
                  <c:v>0.028</c:v>
                </c:pt>
                <c:pt idx="197">
                  <c:v>0.0280666666666667</c:v>
                </c:pt>
                <c:pt idx="198">
                  <c:v>0.0281333333333333</c:v>
                </c:pt>
                <c:pt idx="199">
                  <c:v>0.0282</c:v>
                </c:pt>
                <c:pt idx="200">
                  <c:v>0.0282</c:v>
                </c:pt>
                <c:pt idx="201">
                  <c:v>0.0282666666666667</c:v>
                </c:pt>
                <c:pt idx="202">
                  <c:v>0.0282666666666667</c:v>
                </c:pt>
                <c:pt idx="203">
                  <c:v>0.0282666666666667</c:v>
                </c:pt>
                <c:pt idx="204">
                  <c:v>0.0282666666666667</c:v>
                </c:pt>
                <c:pt idx="205">
                  <c:v>0.0282666666666667</c:v>
                </c:pt>
                <c:pt idx="206">
                  <c:v>0.0282666666666667</c:v>
                </c:pt>
                <c:pt idx="207">
                  <c:v>0.0282666666666667</c:v>
                </c:pt>
                <c:pt idx="208">
                  <c:v>0.0282666666666667</c:v>
                </c:pt>
                <c:pt idx="209">
                  <c:v>0.0282666666666667</c:v>
                </c:pt>
                <c:pt idx="210">
                  <c:v>0.0282666666666667</c:v>
                </c:pt>
                <c:pt idx="211">
                  <c:v>0.0282666666666667</c:v>
                </c:pt>
                <c:pt idx="212">
                  <c:v>0.0282666666666667</c:v>
                </c:pt>
                <c:pt idx="213">
                  <c:v>0.0282666666666667</c:v>
                </c:pt>
                <c:pt idx="214">
                  <c:v>0.0282666666666667</c:v>
                </c:pt>
                <c:pt idx="215">
                  <c:v>0.0282666666666667</c:v>
                </c:pt>
                <c:pt idx="216">
                  <c:v>0.0282666666666667</c:v>
                </c:pt>
                <c:pt idx="217">
                  <c:v>0.0282666666666667</c:v>
                </c:pt>
                <c:pt idx="218">
                  <c:v>0.0282666666666667</c:v>
                </c:pt>
                <c:pt idx="219">
                  <c:v>0.0282666666666667</c:v>
                </c:pt>
                <c:pt idx="220">
                  <c:v>0.0282666666666667</c:v>
                </c:pt>
                <c:pt idx="221">
                  <c:v>0.0282666666666667</c:v>
                </c:pt>
                <c:pt idx="222">
                  <c:v>0.0282666666666667</c:v>
                </c:pt>
                <c:pt idx="223">
                  <c:v>0.0283333333333333</c:v>
                </c:pt>
                <c:pt idx="224">
                  <c:v>0.0283333333333333</c:v>
                </c:pt>
                <c:pt idx="225">
                  <c:v>0.0283333333333333</c:v>
                </c:pt>
                <c:pt idx="226">
                  <c:v>0.0283333333333333</c:v>
                </c:pt>
                <c:pt idx="227">
                  <c:v>0.0283333333333333</c:v>
                </c:pt>
                <c:pt idx="228">
                  <c:v>0.0283333333333333</c:v>
                </c:pt>
                <c:pt idx="229">
                  <c:v>0.0284</c:v>
                </c:pt>
                <c:pt idx="230">
                  <c:v>0.0284</c:v>
                </c:pt>
                <c:pt idx="231">
                  <c:v>0.0284</c:v>
                </c:pt>
                <c:pt idx="232">
                  <c:v>0.0284</c:v>
                </c:pt>
                <c:pt idx="233">
                  <c:v>0.0284</c:v>
                </c:pt>
                <c:pt idx="234">
                  <c:v>0.0284</c:v>
                </c:pt>
                <c:pt idx="235">
                  <c:v>0.0284</c:v>
                </c:pt>
                <c:pt idx="236">
                  <c:v>0.0284</c:v>
                </c:pt>
                <c:pt idx="237">
                  <c:v>0.0284</c:v>
                </c:pt>
                <c:pt idx="238">
                  <c:v>0.0284</c:v>
                </c:pt>
                <c:pt idx="239">
                  <c:v>0.0284</c:v>
                </c:pt>
                <c:pt idx="240">
                  <c:v>0.0284</c:v>
                </c:pt>
                <c:pt idx="241">
                  <c:v>0.0284</c:v>
                </c:pt>
                <c:pt idx="242">
                  <c:v>0.0284</c:v>
                </c:pt>
                <c:pt idx="243">
                  <c:v>0.0284</c:v>
                </c:pt>
                <c:pt idx="244">
                  <c:v>0.0284</c:v>
                </c:pt>
                <c:pt idx="245">
                  <c:v>0.0284</c:v>
                </c:pt>
                <c:pt idx="246">
                  <c:v>0.0284</c:v>
                </c:pt>
                <c:pt idx="247">
                  <c:v>0.0284</c:v>
                </c:pt>
                <c:pt idx="248">
                  <c:v>0.0284</c:v>
                </c:pt>
                <c:pt idx="249">
                  <c:v>0.0284</c:v>
                </c:pt>
                <c:pt idx="250">
                  <c:v>0.0284</c:v>
                </c:pt>
                <c:pt idx="251">
                  <c:v>0.0284</c:v>
                </c:pt>
                <c:pt idx="252">
                  <c:v>0.0284</c:v>
                </c:pt>
                <c:pt idx="253">
                  <c:v>0.0284</c:v>
                </c:pt>
                <c:pt idx="254">
                  <c:v>0.0284</c:v>
                </c:pt>
                <c:pt idx="255">
                  <c:v>0.0284</c:v>
                </c:pt>
                <c:pt idx="256">
                  <c:v>0.0284</c:v>
                </c:pt>
                <c:pt idx="257">
                  <c:v>0.0284</c:v>
                </c:pt>
                <c:pt idx="258">
                  <c:v>0.0284</c:v>
                </c:pt>
                <c:pt idx="259">
                  <c:v>0.0284</c:v>
                </c:pt>
                <c:pt idx="260">
                  <c:v>0.0284</c:v>
                </c:pt>
                <c:pt idx="261">
                  <c:v>0.0284</c:v>
                </c:pt>
                <c:pt idx="262">
                  <c:v>0.0284</c:v>
                </c:pt>
                <c:pt idx="263">
                  <c:v>0.0284</c:v>
                </c:pt>
                <c:pt idx="264">
                  <c:v>0.0284</c:v>
                </c:pt>
                <c:pt idx="265">
                  <c:v>0.0284</c:v>
                </c:pt>
                <c:pt idx="266">
                  <c:v>0.0284</c:v>
                </c:pt>
                <c:pt idx="267">
                  <c:v>0.0284</c:v>
                </c:pt>
                <c:pt idx="268">
                  <c:v>0.0284</c:v>
                </c:pt>
                <c:pt idx="269">
                  <c:v>0.0284</c:v>
                </c:pt>
                <c:pt idx="270">
                  <c:v>0.0284</c:v>
                </c:pt>
                <c:pt idx="271">
                  <c:v>0.0284</c:v>
                </c:pt>
                <c:pt idx="272">
                  <c:v>0.0284</c:v>
                </c:pt>
                <c:pt idx="273">
                  <c:v>0.0284</c:v>
                </c:pt>
                <c:pt idx="274">
                  <c:v>0.0284</c:v>
                </c:pt>
                <c:pt idx="275">
                  <c:v>0.0284</c:v>
                </c:pt>
                <c:pt idx="276">
                  <c:v>0.0284</c:v>
                </c:pt>
                <c:pt idx="277">
                  <c:v>0.0284</c:v>
                </c:pt>
                <c:pt idx="278">
                  <c:v>0.0284</c:v>
                </c:pt>
                <c:pt idx="279">
                  <c:v>0.0284</c:v>
                </c:pt>
                <c:pt idx="280">
                  <c:v>0.0284</c:v>
                </c:pt>
                <c:pt idx="281">
                  <c:v>0.0284</c:v>
                </c:pt>
                <c:pt idx="282">
                  <c:v>0.0284</c:v>
                </c:pt>
                <c:pt idx="283">
                  <c:v>0.0284</c:v>
                </c:pt>
                <c:pt idx="284">
                  <c:v>0.0284</c:v>
                </c:pt>
                <c:pt idx="285">
                  <c:v>0.0284</c:v>
                </c:pt>
                <c:pt idx="286">
                  <c:v>0.0284</c:v>
                </c:pt>
                <c:pt idx="287">
                  <c:v>0.0284</c:v>
                </c:pt>
                <c:pt idx="288">
                  <c:v>0.0284</c:v>
                </c:pt>
                <c:pt idx="289">
                  <c:v>0.0284</c:v>
                </c:pt>
                <c:pt idx="290">
                  <c:v>0.0284</c:v>
                </c:pt>
                <c:pt idx="291">
                  <c:v>0.0284</c:v>
                </c:pt>
                <c:pt idx="292">
                  <c:v>0.0284</c:v>
                </c:pt>
                <c:pt idx="293">
                  <c:v>0.0284</c:v>
                </c:pt>
                <c:pt idx="294">
                  <c:v>0.0284</c:v>
                </c:pt>
                <c:pt idx="295">
                  <c:v>0.0284</c:v>
                </c:pt>
                <c:pt idx="296">
                  <c:v>0.0284</c:v>
                </c:pt>
                <c:pt idx="297">
                  <c:v>0.0284</c:v>
                </c:pt>
                <c:pt idx="298">
                  <c:v>0.0284</c:v>
                </c:pt>
                <c:pt idx="299">
                  <c:v>0.0284</c:v>
                </c:pt>
                <c:pt idx="300">
                  <c:v>0.0284</c:v>
                </c:pt>
                <c:pt idx="301">
                  <c:v>0.0284</c:v>
                </c:pt>
                <c:pt idx="302">
                  <c:v>0.0284666666666667</c:v>
                </c:pt>
                <c:pt idx="303">
                  <c:v>0.0284666666666667</c:v>
                </c:pt>
                <c:pt idx="304">
                  <c:v>0.0284666666666667</c:v>
                </c:pt>
                <c:pt idx="305">
                  <c:v>0.0284666666666667</c:v>
                </c:pt>
                <c:pt idx="306">
                  <c:v>0.0284666666666667</c:v>
                </c:pt>
                <c:pt idx="307">
                  <c:v>0.0285333333333333</c:v>
                </c:pt>
                <c:pt idx="308">
                  <c:v>0.0285333333333333</c:v>
                </c:pt>
              </c:numCache>
            </c:numRef>
          </c:yVal>
          <c:smooth val="0"/>
        </c:ser>
        <c:ser>
          <c:idx val="3"/>
          <c:order val="1"/>
          <c:tx>
            <c:v>Ex2</c:v>
          </c:tx>
          <c:spPr>
            <a:ln w="19050" cmpd="sng">
              <a:solidFill>
                <a:srgbClr val="00FF00"/>
              </a:solidFill>
              <a:prstDash val="solid"/>
            </a:ln>
          </c:spPr>
          <c:marker>
            <c:symbol val="none"/>
          </c:marker>
          <c:xVal>
            <c:numRef>
              <c:f>'0DB1- in1'!$AL$1:$AL$309</c:f>
              <c:numCache>
                <c:formatCode>General</c:formatCode>
                <c:ptCount val="309"/>
                <c:pt idx="129" formatCode="0.00E+00">
                  <c:v>0.003665</c:v>
                </c:pt>
                <c:pt idx="130">
                  <c:v>0.003705</c:v>
                </c:pt>
                <c:pt idx="131">
                  <c:v>0.003745</c:v>
                </c:pt>
                <c:pt idx="132">
                  <c:v>0.0037875</c:v>
                </c:pt>
                <c:pt idx="133">
                  <c:v>0.00383</c:v>
                </c:pt>
                <c:pt idx="134">
                  <c:v>0.0038725</c:v>
                </c:pt>
                <c:pt idx="135">
                  <c:v>0.0039175</c:v>
                </c:pt>
                <c:pt idx="136">
                  <c:v>0.00396</c:v>
                </c:pt>
                <c:pt idx="137">
                  <c:v>0.004005</c:v>
                </c:pt>
                <c:pt idx="138">
                  <c:v>0.00405</c:v>
                </c:pt>
                <c:pt idx="139">
                  <c:v>0.004095</c:v>
                </c:pt>
                <c:pt idx="140">
                  <c:v>0.0041425</c:v>
                </c:pt>
                <c:pt idx="141">
                  <c:v>0.00419</c:v>
                </c:pt>
                <c:pt idx="142">
                  <c:v>0.0042375</c:v>
                </c:pt>
                <c:pt idx="143">
                  <c:v>0.0042875</c:v>
                </c:pt>
                <c:pt idx="144">
                  <c:v>0.0043375</c:v>
                </c:pt>
                <c:pt idx="145">
                  <c:v>0.00439</c:v>
                </c:pt>
                <c:pt idx="146">
                  <c:v>0.0044425</c:v>
                </c:pt>
                <c:pt idx="147">
                  <c:v>0.004495</c:v>
                </c:pt>
                <c:pt idx="148">
                  <c:v>0.00455</c:v>
                </c:pt>
                <c:pt idx="149">
                  <c:v>0.004605</c:v>
                </c:pt>
                <c:pt idx="150">
                  <c:v>0.0046625</c:v>
                </c:pt>
                <c:pt idx="151">
                  <c:v>0.00472</c:v>
                </c:pt>
                <c:pt idx="152">
                  <c:v>0.0047775</c:v>
                </c:pt>
                <c:pt idx="153">
                  <c:v>0.00484</c:v>
                </c:pt>
                <c:pt idx="154">
                  <c:v>0.0049</c:v>
                </c:pt>
                <c:pt idx="155">
                  <c:v>0.004965</c:v>
                </c:pt>
                <c:pt idx="156">
                  <c:v>0.0050275</c:v>
                </c:pt>
                <c:pt idx="157">
                  <c:v>0.005095</c:v>
                </c:pt>
                <c:pt idx="158">
                  <c:v>0.0051625</c:v>
                </c:pt>
                <c:pt idx="159">
                  <c:v>0.00523</c:v>
                </c:pt>
                <c:pt idx="160">
                  <c:v>0.0053</c:v>
                </c:pt>
                <c:pt idx="161">
                  <c:v>0.0053725</c:v>
                </c:pt>
                <c:pt idx="162">
                  <c:v>0.0054475</c:v>
                </c:pt>
                <c:pt idx="163">
                  <c:v>0.0055225</c:v>
                </c:pt>
                <c:pt idx="164">
                  <c:v>0.0055975</c:v>
                </c:pt>
                <c:pt idx="165">
                  <c:v>0.005675</c:v>
                </c:pt>
                <c:pt idx="166">
                  <c:v>0.0057525</c:v>
                </c:pt>
                <c:pt idx="167">
                  <c:v>0.0058325</c:v>
                </c:pt>
                <c:pt idx="168">
                  <c:v>0.00591</c:v>
                </c:pt>
                <c:pt idx="169">
                  <c:v>0.00599</c:v>
                </c:pt>
                <c:pt idx="170">
                  <c:v>0.00607</c:v>
                </c:pt>
                <c:pt idx="171">
                  <c:v>0.00615</c:v>
                </c:pt>
                <c:pt idx="172">
                  <c:v>0.0062325</c:v>
                </c:pt>
                <c:pt idx="173">
                  <c:v>0.006315</c:v>
                </c:pt>
                <c:pt idx="174">
                  <c:v>0.0063975</c:v>
                </c:pt>
                <c:pt idx="175">
                  <c:v>0.0064825</c:v>
                </c:pt>
                <c:pt idx="176">
                  <c:v>0.0065675</c:v>
                </c:pt>
                <c:pt idx="177">
                  <c:v>0.0066525</c:v>
                </c:pt>
                <c:pt idx="178">
                  <c:v>0.00674</c:v>
                </c:pt>
                <c:pt idx="179">
                  <c:v>0.0068275</c:v>
                </c:pt>
                <c:pt idx="180">
                  <c:v>0.0069175</c:v>
                </c:pt>
                <c:pt idx="181">
                  <c:v>0.007005</c:v>
                </c:pt>
                <c:pt idx="182">
                  <c:v>0.0070925</c:v>
                </c:pt>
                <c:pt idx="183">
                  <c:v>0.007185</c:v>
                </c:pt>
                <c:pt idx="184">
                  <c:v>0.0072725</c:v>
                </c:pt>
                <c:pt idx="185">
                  <c:v>0.007365</c:v>
                </c:pt>
                <c:pt idx="186">
                  <c:v>0.007455</c:v>
                </c:pt>
                <c:pt idx="187">
                  <c:v>0.007545</c:v>
                </c:pt>
                <c:pt idx="188">
                  <c:v>0.0076375</c:v>
                </c:pt>
                <c:pt idx="189">
                  <c:v>0.007735</c:v>
                </c:pt>
                <c:pt idx="190">
                  <c:v>0.0078325</c:v>
                </c:pt>
                <c:pt idx="191">
                  <c:v>0.00793</c:v>
                </c:pt>
                <c:pt idx="192">
                  <c:v>0.0080275</c:v>
                </c:pt>
                <c:pt idx="193">
                  <c:v>0.00813</c:v>
                </c:pt>
                <c:pt idx="194">
                  <c:v>0.0082325</c:v>
                </c:pt>
                <c:pt idx="195">
                  <c:v>0.008335</c:v>
                </c:pt>
                <c:pt idx="196">
                  <c:v>0.0084425</c:v>
                </c:pt>
                <c:pt idx="197">
                  <c:v>0.00855</c:v>
                </c:pt>
                <c:pt idx="198">
                  <c:v>0.0086625</c:v>
                </c:pt>
                <c:pt idx="199">
                  <c:v>0.0087775</c:v>
                </c:pt>
                <c:pt idx="200">
                  <c:v>0.008895</c:v>
                </c:pt>
                <c:pt idx="201">
                  <c:v>0.0090125</c:v>
                </c:pt>
                <c:pt idx="202">
                  <c:v>0.009135</c:v>
                </c:pt>
                <c:pt idx="203">
                  <c:v>0.00926</c:v>
                </c:pt>
                <c:pt idx="204">
                  <c:v>0.00939</c:v>
                </c:pt>
                <c:pt idx="205">
                  <c:v>0.00952</c:v>
                </c:pt>
                <c:pt idx="206">
                  <c:v>0.0096575</c:v>
                </c:pt>
                <c:pt idx="207">
                  <c:v>0.009795</c:v>
                </c:pt>
                <c:pt idx="208">
                  <c:v>0.009935</c:v>
                </c:pt>
                <c:pt idx="209">
                  <c:v>0.01008</c:v>
                </c:pt>
                <c:pt idx="210">
                  <c:v>0.0102325</c:v>
                </c:pt>
                <c:pt idx="211">
                  <c:v>0.01039</c:v>
                </c:pt>
                <c:pt idx="212">
                  <c:v>0.010555</c:v>
                </c:pt>
                <c:pt idx="213">
                  <c:v>0.010725</c:v>
                </c:pt>
                <c:pt idx="214">
                  <c:v>0.0109</c:v>
                </c:pt>
                <c:pt idx="215">
                  <c:v>0.0110825</c:v>
                </c:pt>
                <c:pt idx="216">
                  <c:v>0.0112725</c:v>
                </c:pt>
                <c:pt idx="217">
                  <c:v>0.0114675</c:v>
                </c:pt>
                <c:pt idx="218">
                  <c:v>0.0116725</c:v>
                </c:pt>
                <c:pt idx="219">
                  <c:v>0.011885</c:v>
                </c:pt>
                <c:pt idx="220">
                  <c:v>0.0121075</c:v>
                </c:pt>
                <c:pt idx="221">
                  <c:v>0.012335</c:v>
                </c:pt>
                <c:pt idx="222">
                  <c:v>0.01257</c:v>
                </c:pt>
                <c:pt idx="223">
                  <c:v>0.0128075</c:v>
                </c:pt>
                <c:pt idx="224">
                  <c:v>0.013055</c:v>
                </c:pt>
                <c:pt idx="225">
                  <c:v>0.013315</c:v>
                </c:pt>
                <c:pt idx="226">
                  <c:v>0.01358</c:v>
                </c:pt>
                <c:pt idx="227">
                  <c:v>0.013855</c:v>
                </c:pt>
                <c:pt idx="228">
                  <c:v>0.0141425</c:v>
                </c:pt>
                <c:pt idx="229">
                  <c:v>0.0144325</c:v>
                </c:pt>
                <c:pt idx="230">
                  <c:v>0.0147325</c:v>
                </c:pt>
                <c:pt idx="231">
                  <c:v>0.015045</c:v>
                </c:pt>
                <c:pt idx="232">
                  <c:v>0.015365</c:v>
                </c:pt>
                <c:pt idx="233">
                  <c:v>0.015695</c:v>
                </c:pt>
                <c:pt idx="234">
                  <c:v>0.0160425</c:v>
                </c:pt>
                <c:pt idx="235">
                  <c:v>0.0164</c:v>
                </c:pt>
                <c:pt idx="236">
                  <c:v>0.0167675</c:v>
                </c:pt>
                <c:pt idx="237">
                  <c:v>0.01715</c:v>
                </c:pt>
                <c:pt idx="238">
                  <c:v>0.01755</c:v>
                </c:pt>
                <c:pt idx="239">
                  <c:v>0.0179625</c:v>
                </c:pt>
                <c:pt idx="240">
                  <c:v>0.0183925</c:v>
                </c:pt>
                <c:pt idx="241">
                  <c:v>0.018845</c:v>
                </c:pt>
                <c:pt idx="242">
                  <c:v>0.0193225</c:v>
                </c:pt>
                <c:pt idx="243">
                  <c:v>0.0198175</c:v>
                </c:pt>
                <c:pt idx="244">
                  <c:v>0.0203375</c:v>
                </c:pt>
                <c:pt idx="245">
                  <c:v>0.020895</c:v>
                </c:pt>
                <c:pt idx="246">
                  <c:v>0.021485</c:v>
                </c:pt>
                <c:pt idx="247">
                  <c:v>0.022105</c:v>
                </c:pt>
                <c:pt idx="248">
                  <c:v>0.0227575</c:v>
                </c:pt>
                <c:pt idx="249">
                  <c:v>0.0234475</c:v>
                </c:pt>
                <c:pt idx="250">
                  <c:v>0.0241975</c:v>
                </c:pt>
                <c:pt idx="251">
                  <c:v>0.02499</c:v>
                </c:pt>
                <c:pt idx="252">
                  <c:v>0.025825</c:v>
                </c:pt>
                <c:pt idx="253">
                  <c:v>0.026725</c:v>
                </c:pt>
                <c:pt idx="254">
                  <c:v>0.0277</c:v>
                </c:pt>
                <c:pt idx="255">
                  <c:v>0.02875</c:v>
                </c:pt>
                <c:pt idx="256">
                  <c:v>0.02985</c:v>
                </c:pt>
                <c:pt idx="257">
                  <c:v>0.031025</c:v>
                </c:pt>
                <c:pt idx="258">
                  <c:v>0.03225</c:v>
                </c:pt>
                <c:pt idx="259">
                  <c:v>0.0336</c:v>
                </c:pt>
                <c:pt idx="260">
                  <c:v>0.035</c:v>
                </c:pt>
                <c:pt idx="261">
                  <c:v>0.036475</c:v>
                </c:pt>
                <c:pt idx="262">
                  <c:v>0.03805</c:v>
                </c:pt>
                <c:pt idx="263">
                  <c:v>0.0397</c:v>
                </c:pt>
                <c:pt idx="264">
                  <c:v>0.0415</c:v>
                </c:pt>
                <c:pt idx="265">
                  <c:v>0.04335</c:v>
                </c:pt>
                <c:pt idx="266">
                  <c:v>0.04535</c:v>
                </c:pt>
                <c:pt idx="267">
                  <c:v>0.047475</c:v>
                </c:pt>
                <c:pt idx="268">
                  <c:v>0.04975</c:v>
                </c:pt>
                <c:pt idx="269">
                  <c:v>0.052225</c:v>
                </c:pt>
                <c:pt idx="270">
                  <c:v>0.0547</c:v>
                </c:pt>
                <c:pt idx="271">
                  <c:v>0.0573</c:v>
                </c:pt>
                <c:pt idx="272">
                  <c:v>0.0601</c:v>
                </c:pt>
                <c:pt idx="273">
                  <c:v>0.063175</c:v>
                </c:pt>
                <c:pt idx="274">
                  <c:v>0.066525</c:v>
                </c:pt>
                <c:pt idx="275">
                  <c:v>0.0702</c:v>
                </c:pt>
                <c:pt idx="276">
                  <c:v>0.074225</c:v>
                </c:pt>
                <c:pt idx="277">
                  <c:v>0.0787</c:v>
                </c:pt>
                <c:pt idx="278">
                  <c:v>0.083725</c:v>
                </c:pt>
                <c:pt idx="279">
                  <c:v>0.08935</c:v>
                </c:pt>
                <c:pt idx="280">
                  <c:v>0.095825</c:v>
                </c:pt>
                <c:pt idx="281">
                  <c:v>0.1038</c:v>
                </c:pt>
                <c:pt idx="282">
                  <c:v>0.1136</c:v>
                </c:pt>
                <c:pt idx="283">
                  <c:v>0.1252</c:v>
                </c:pt>
                <c:pt idx="284">
                  <c:v>0.139</c:v>
                </c:pt>
                <c:pt idx="285">
                  <c:v>0.155575</c:v>
                </c:pt>
                <c:pt idx="286">
                  <c:v>0.1756</c:v>
                </c:pt>
                <c:pt idx="287">
                  <c:v>0.19995</c:v>
                </c:pt>
                <c:pt idx="288">
                  <c:v>0.22965</c:v>
                </c:pt>
                <c:pt idx="289">
                  <c:v>0.26575</c:v>
                </c:pt>
                <c:pt idx="290">
                  <c:v>0.31</c:v>
                </c:pt>
                <c:pt idx="291">
                  <c:v>0.36425</c:v>
                </c:pt>
                <c:pt idx="292">
                  <c:v>0.42975</c:v>
                </c:pt>
                <c:pt idx="293">
                  <c:v>0.50875</c:v>
                </c:pt>
                <c:pt idx="294">
                  <c:v>0.60175</c:v>
                </c:pt>
                <c:pt idx="295">
                  <c:v>0.70975</c:v>
                </c:pt>
                <c:pt idx="296">
                  <c:v>0.8305</c:v>
                </c:pt>
                <c:pt idx="297">
                  <c:v>0.96225</c:v>
                </c:pt>
                <c:pt idx="298">
                  <c:v>1.103</c:v>
                </c:pt>
                <c:pt idx="299">
                  <c:v>1.2485</c:v>
                </c:pt>
                <c:pt idx="300">
                  <c:v>1.395</c:v>
                </c:pt>
                <c:pt idx="301">
                  <c:v>1.54175</c:v>
                </c:pt>
                <c:pt idx="302">
                  <c:v>1.6875</c:v>
                </c:pt>
                <c:pt idx="303">
                  <c:v>1.83225</c:v>
                </c:pt>
                <c:pt idx="304">
                  <c:v>2.00475</c:v>
                </c:pt>
                <c:pt idx="305">
                  <c:v>2.16275</c:v>
                </c:pt>
                <c:pt idx="306">
                  <c:v>2.30825</c:v>
                </c:pt>
                <c:pt idx="307">
                  <c:v>2.45425</c:v>
                </c:pt>
                <c:pt idx="308">
                  <c:v>2.605</c:v>
                </c:pt>
              </c:numCache>
            </c:numRef>
          </c:xVal>
          <c:yVal>
            <c:numRef>
              <c:f>'0DB1- in1'!$AK$2:$AK$310</c:f>
              <c:numCache>
                <c:formatCode>General</c:formatCode>
                <c:ptCount val="309"/>
                <c:pt idx="0">
                  <c:v>0.0277333333333333</c:v>
                </c:pt>
                <c:pt idx="1">
                  <c:v>0.0277333333333333</c:v>
                </c:pt>
                <c:pt idx="2">
                  <c:v>0.0277333333333333</c:v>
                </c:pt>
                <c:pt idx="3">
                  <c:v>0.0277333333333333</c:v>
                </c:pt>
                <c:pt idx="4">
                  <c:v>0.0277333333333333</c:v>
                </c:pt>
                <c:pt idx="5">
                  <c:v>0.0277333333333333</c:v>
                </c:pt>
                <c:pt idx="6">
                  <c:v>0.0277333333333333</c:v>
                </c:pt>
                <c:pt idx="7">
                  <c:v>0.0277333333333333</c:v>
                </c:pt>
                <c:pt idx="8">
                  <c:v>0.0277333333333333</c:v>
                </c:pt>
                <c:pt idx="9">
                  <c:v>0.0277333333333333</c:v>
                </c:pt>
                <c:pt idx="10">
                  <c:v>0.0277333333333333</c:v>
                </c:pt>
                <c:pt idx="11">
                  <c:v>0.0277333333333333</c:v>
                </c:pt>
                <c:pt idx="12">
                  <c:v>0.0277333333333333</c:v>
                </c:pt>
                <c:pt idx="13">
                  <c:v>0.0277333333333333</c:v>
                </c:pt>
                <c:pt idx="14">
                  <c:v>0.0277333333333333</c:v>
                </c:pt>
                <c:pt idx="15">
                  <c:v>0.0277333333333333</c:v>
                </c:pt>
                <c:pt idx="16">
                  <c:v>0.0277333333333333</c:v>
                </c:pt>
                <c:pt idx="17">
                  <c:v>0.0277333333333333</c:v>
                </c:pt>
                <c:pt idx="18">
                  <c:v>0.0277333333333333</c:v>
                </c:pt>
                <c:pt idx="19">
                  <c:v>0.0277333333333333</c:v>
                </c:pt>
                <c:pt idx="20">
                  <c:v>0.0277333333333333</c:v>
                </c:pt>
                <c:pt idx="21">
                  <c:v>0.0277333333333333</c:v>
                </c:pt>
                <c:pt idx="22">
                  <c:v>0.0277333333333333</c:v>
                </c:pt>
                <c:pt idx="23">
                  <c:v>0.0277333333333333</c:v>
                </c:pt>
                <c:pt idx="24">
                  <c:v>0.0277333333333333</c:v>
                </c:pt>
                <c:pt idx="25">
                  <c:v>0.0277333333333333</c:v>
                </c:pt>
                <c:pt idx="26">
                  <c:v>0.0277333333333333</c:v>
                </c:pt>
                <c:pt idx="27">
                  <c:v>0.0277333333333333</c:v>
                </c:pt>
                <c:pt idx="28">
                  <c:v>0.0277333333333333</c:v>
                </c:pt>
                <c:pt idx="29">
                  <c:v>0.0277333333333333</c:v>
                </c:pt>
                <c:pt idx="30">
                  <c:v>0.0277333333333333</c:v>
                </c:pt>
                <c:pt idx="31">
                  <c:v>0.0277333333333333</c:v>
                </c:pt>
                <c:pt idx="32">
                  <c:v>0.0277333333333333</c:v>
                </c:pt>
                <c:pt idx="33">
                  <c:v>0.0277333333333333</c:v>
                </c:pt>
                <c:pt idx="34">
                  <c:v>0.0277333333333333</c:v>
                </c:pt>
                <c:pt idx="35">
                  <c:v>0.0277333333333333</c:v>
                </c:pt>
                <c:pt idx="36">
                  <c:v>0.0277333333333333</c:v>
                </c:pt>
                <c:pt idx="37">
                  <c:v>0.0277333333333333</c:v>
                </c:pt>
                <c:pt idx="38">
                  <c:v>0.0277333333333333</c:v>
                </c:pt>
                <c:pt idx="39">
                  <c:v>0.0277333333333333</c:v>
                </c:pt>
                <c:pt idx="40">
                  <c:v>0.0277333333333333</c:v>
                </c:pt>
                <c:pt idx="41">
                  <c:v>0.0277333333333333</c:v>
                </c:pt>
                <c:pt idx="42">
                  <c:v>0.0277333333333333</c:v>
                </c:pt>
                <c:pt idx="43">
                  <c:v>0.0277333333333333</c:v>
                </c:pt>
                <c:pt idx="44">
                  <c:v>0.0277333333333333</c:v>
                </c:pt>
                <c:pt idx="45">
                  <c:v>0.0277333333333333</c:v>
                </c:pt>
                <c:pt idx="46">
                  <c:v>0.0277333333333333</c:v>
                </c:pt>
                <c:pt idx="47">
                  <c:v>0.0277333333333333</c:v>
                </c:pt>
                <c:pt idx="48">
                  <c:v>0.0277333333333333</c:v>
                </c:pt>
                <c:pt idx="49">
                  <c:v>0.0277333333333333</c:v>
                </c:pt>
                <c:pt idx="50">
                  <c:v>0.0277333333333333</c:v>
                </c:pt>
                <c:pt idx="51">
                  <c:v>0.0277333333333333</c:v>
                </c:pt>
                <c:pt idx="52">
                  <c:v>0.0277333333333333</c:v>
                </c:pt>
                <c:pt idx="53">
                  <c:v>0.0277333333333333</c:v>
                </c:pt>
                <c:pt idx="54">
                  <c:v>0.0277333333333333</c:v>
                </c:pt>
                <c:pt idx="55">
                  <c:v>0.0277333333333333</c:v>
                </c:pt>
                <c:pt idx="56">
                  <c:v>0.0277333333333333</c:v>
                </c:pt>
                <c:pt idx="57">
                  <c:v>0.0277333333333333</c:v>
                </c:pt>
                <c:pt idx="58">
                  <c:v>0.0277333333333333</c:v>
                </c:pt>
                <c:pt idx="59">
                  <c:v>0.0277333333333333</c:v>
                </c:pt>
                <c:pt idx="60">
                  <c:v>0.0277333333333333</c:v>
                </c:pt>
                <c:pt idx="61">
                  <c:v>0.0277333333333333</c:v>
                </c:pt>
                <c:pt idx="62">
                  <c:v>0.0277333333333333</c:v>
                </c:pt>
                <c:pt idx="63">
                  <c:v>0.0277333333333333</c:v>
                </c:pt>
                <c:pt idx="64">
                  <c:v>0.0277333333333333</c:v>
                </c:pt>
                <c:pt idx="65">
                  <c:v>0.0277333333333333</c:v>
                </c:pt>
                <c:pt idx="66">
                  <c:v>0.0277333333333333</c:v>
                </c:pt>
                <c:pt idx="67">
                  <c:v>0.0277333333333333</c:v>
                </c:pt>
                <c:pt idx="68">
                  <c:v>0.0277333333333333</c:v>
                </c:pt>
                <c:pt idx="69">
                  <c:v>0.0277333333333333</c:v>
                </c:pt>
                <c:pt idx="70">
                  <c:v>0.0277333333333333</c:v>
                </c:pt>
                <c:pt idx="71">
                  <c:v>0.0277333333333333</c:v>
                </c:pt>
                <c:pt idx="72">
                  <c:v>0.0277333333333333</c:v>
                </c:pt>
                <c:pt idx="73">
                  <c:v>0.0277333333333333</c:v>
                </c:pt>
                <c:pt idx="74">
                  <c:v>0.0277333333333333</c:v>
                </c:pt>
                <c:pt idx="75">
                  <c:v>0.0277333333333333</c:v>
                </c:pt>
                <c:pt idx="76">
                  <c:v>0.0277333333333333</c:v>
                </c:pt>
                <c:pt idx="77">
                  <c:v>0.0277333333333333</c:v>
                </c:pt>
                <c:pt idx="78">
                  <c:v>0.0277333333333333</c:v>
                </c:pt>
                <c:pt idx="79">
                  <c:v>0.0277333333333333</c:v>
                </c:pt>
                <c:pt idx="80">
                  <c:v>0.0277333333333333</c:v>
                </c:pt>
                <c:pt idx="81">
                  <c:v>0.0277333333333333</c:v>
                </c:pt>
                <c:pt idx="82">
                  <c:v>0.0277333333333333</c:v>
                </c:pt>
                <c:pt idx="83">
                  <c:v>0.0277333333333333</c:v>
                </c:pt>
                <c:pt idx="84">
                  <c:v>0.0277333333333333</c:v>
                </c:pt>
                <c:pt idx="85">
                  <c:v>0.0277333333333333</c:v>
                </c:pt>
                <c:pt idx="86">
                  <c:v>0.0277333333333333</c:v>
                </c:pt>
                <c:pt idx="87">
                  <c:v>0.0277333333333333</c:v>
                </c:pt>
                <c:pt idx="88">
                  <c:v>0.0277333333333333</c:v>
                </c:pt>
                <c:pt idx="89">
                  <c:v>0.0277333333333333</c:v>
                </c:pt>
                <c:pt idx="90">
                  <c:v>0.0277333333333333</c:v>
                </c:pt>
                <c:pt idx="91">
                  <c:v>0.0277333333333333</c:v>
                </c:pt>
                <c:pt idx="92">
                  <c:v>0.0277333333333333</c:v>
                </c:pt>
                <c:pt idx="93">
                  <c:v>0.0277333333333333</c:v>
                </c:pt>
                <c:pt idx="94">
                  <c:v>0.0277333333333333</c:v>
                </c:pt>
                <c:pt idx="95">
                  <c:v>0.0277333333333333</c:v>
                </c:pt>
                <c:pt idx="96">
                  <c:v>0.0277333333333333</c:v>
                </c:pt>
                <c:pt idx="97">
                  <c:v>0.0277333333333333</c:v>
                </c:pt>
                <c:pt idx="98">
                  <c:v>0.0277333333333333</c:v>
                </c:pt>
                <c:pt idx="99">
                  <c:v>0.0277333333333333</c:v>
                </c:pt>
                <c:pt idx="100">
                  <c:v>0.0277333333333333</c:v>
                </c:pt>
                <c:pt idx="101">
                  <c:v>0.0277333333333333</c:v>
                </c:pt>
                <c:pt idx="102">
                  <c:v>0.0277333333333333</c:v>
                </c:pt>
                <c:pt idx="103">
                  <c:v>0.0277333333333333</c:v>
                </c:pt>
                <c:pt idx="104">
                  <c:v>0.0277333333333333</c:v>
                </c:pt>
                <c:pt idx="105">
                  <c:v>0.0277333333333333</c:v>
                </c:pt>
                <c:pt idx="106">
                  <c:v>0.0277333333333333</c:v>
                </c:pt>
                <c:pt idx="107">
                  <c:v>0.0277333333333333</c:v>
                </c:pt>
                <c:pt idx="108">
                  <c:v>0.0277333333333333</c:v>
                </c:pt>
                <c:pt idx="109">
                  <c:v>0.0277333333333333</c:v>
                </c:pt>
                <c:pt idx="110">
                  <c:v>0.0277333333333333</c:v>
                </c:pt>
                <c:pt idx="111">
                  <c:v>0.0277333333333333</c:v>
                </c:pt>
                <c:pt idx="112">
                  <c:v>0.0277333333333333</c:v>
                </c:pt>
                <c:pt idx="113">
                  <c:v>0.0277333333333333</c:v>
                </c:pt>
                <c:pt idx="114">
                  <c:v>0.0277333333333333</c:v>
                </c:pt>
                <c:pt idx="115">
                  <c:v>0.0277333333333333</c:v>
                </c:pt>
                <c:pt idx="116">
                  <c:v>0.0277333333333333</c:v>
                </c:pt>
                <c:pt idx="117">
                  <c:v>0.0277333333333333</c:v>
                </c:pt>
                <c:pt idx="118">
                  <c:v>0.0277333333333333</c:v>
                </c:pt>
                <c:pt idx="119">
                  <c:v>0.0277333333333333</c:v>
                </c:pt>
                <c:pt idx="120">
                  <c:v>0.0277333333333333</c:v>
                </c:pt>
                <c:pt idx="121">
                  <c:v>0.0277333333333333</c:v>
                </c:pt>
                <c:pt idx="122">
                  <c:v>0.0277333333333333</c:v>
                </c:pt>
                <c:pt idx="123">
                  <c:v>0.0277333333333333</c:v>
                </c:pt>
                <c:pt idx="124">
                  <c:v>0.0277333333333333</c:v>
                </c:pt>
                <c:pt idx="125">
                  <c:v>0.0277333333333333</c:v>
                </c:pt>
                <c:pt idx="126">
                  <c:v>0.0277333333333333</c:v>
                </c:pt>
                <c:pt idx="127">
                  <c:v>0.0277333333333333</c:v>
                </c:pt>
                <c:pt idx="128">
                  <c:v>0.0277333333333333</c:v>
                </c:pt>
                <c:pt idx="129">
                  <c:v>0.0277333333333333</c:v>
                </c:pt>
                <c:pt idx="130">
                  <c:v>0.0277333333333333</c:v>
                </c:pt>
                <c:pt idx="131">
                  <c:v>0.0277333333333333</c:v>
                </c:pt>
                <c:pt idx="132">
                  <c:v>0.0277333333333333</c:v>
                </c:pt>
                <c:pt idx="133">
                  <c:v>0.0277333333333333</c:v>
                </c:pt>
                <c:pt idx="134">
                  <c:v>0.0277333333333333</c:v>
                </c:pt>
                <c:pt idx="135">
                  <c:v>0.0277333333333333</c:v>
                </c:pt>
                <c:pt idx="136">
                  <c:v>0.0277333333333333</c:v>
                </c:pt>
                <c:pt idx="137">
                  <c:v>0.0277333333333333</c:v>
                </c:pt>
                <c:pt idx="138">
                  <c:v>0.0277333333333333</c:v>
                </c:pt>
                <c:pt idx="139">
                  <c:v>0.0277333333333333</c:v>
                </c:pt>
                <c:pt idx="140">
                  <c:v>0.0277333333333333</c:v>
                </c:pt>
                <c:pt idx="141">
                  <c:v>0.0277333333333333</c:v>
                </c:pt>
                <c:pt idx="142">
                  <c:v>0.0277333333333333</c:v>
                </c:pt>
                <c:pt idx="143">
                  <c:v>0.0277333333333333</c:v>
                </c:pt>
                <c:pt idx="144">
                  <c:v>0.0277333333333333</c:v>
                </c:pt>
                <c:pt idx="145">
                  <c:v>0.0277333333333333</c:v>
                </c:pt>
                <c:pt idx="146">
                  <c:v>0.0277333333333333</c:v>
                </c:pt>
                <c:pt idx="147">
                  <c:v>0.0277333333333333</c:v>
                </c:pt>
                <c:pt idx="148">
                  <c:v>0.0277333333333333</c:v>
                </c:pt>
                <c:pt idx="149">
                  <c:v>0.0277333333333333</c:v>
                </c:pt>
                <c:pt idx="150">
                  <c:v>0.0277333333333333</c:v>
                </c:pt>
                <c:pt idx="151">
                  <c:v>0.0277333333333333</c:v>
                </c:pt>
                <c:pt idx="152">
                  <c:v>0.0277333333333333</c:v>
                </c:pt>
                <c:pt idx="153">
                  <c:v>0.0277333333333333</c:v>
                </c:pt>
                <c:pt idx="154">
                  <c:v>0.0277333333333333</c:v>
                </c:pt>
                <c:pt idx="155">
                  <c:v>0.0277333333333333</c:v>
                </c:pt>
                <c:pt idx="156">
                  <c:v>0.0277333333333333</c:v>
                </c:pt>
                <c:pt idx="157">
                  <c:v>0.0277333333333333</c:v>
                </c:pt>
                <c:pt idx="158">
                  <c:v>0.0277333333333333</c:v>
                </c:pt>
                <c:pt idx="159">
                  <c:v>0.0277333333333333</c:v>
                </c:pt>
                <c:pt idx="160">
                  <c:v>0.0277333333333333</c:v>
                </c:pt>
                <c:pt idx="161">
                  <c:v>0.0277333333333333</c:v>
                </c:pt>
                <c:pt idx="162">
                  <c:v>0.0277333333333333</c:v>
                </c:pt>
                <c:pt idx="163">
                  <c:v>0.0277333333333333</c:v>
                </c:pt>
                <c:pt idx="164">
                  <c:v>0.0277333333333333</c:v>
                </c:pt>
                <c:pt idx="165">
                  <c:v>0.0277333333333333</c:v>
                </c:pt>
                <c:pt idx="166">
                  <c:v>0.0277333333333333</c:v>
                </c:pt>
                <c:pt idx="167">
                  <c:v>0.0277333333333333</c:v>
                </c:pt>
                <c:pt idx="168">
                  <c:v>0.0277333333333333</c:v>
                </c:pt>
                <c:pt idx="169">
                  <c:v>0.0277333333333333</c:v>
                </c:pt>
                <c:pt idx="170">
                  <c:v>0.0277333333333333</c:v>
                </c:pt>
                <c:pt idx="171">
                  <c:v>0.0277333333333333</c:v>
                </c:pt>
                <c:pt idx="172">
                  <c:v>0.0277333333333333</c:v>
                </c:pt>
                <c:pt idx="173">
                  <c:v>0.0277333333333333</c:v>
                </c:pt>
                <c:pt idx="174">
                  <c:v>0.0277333333333333</c:v>
                </c:pt>
                <c:pt idx="175">
                  <c:v>0.0277333333333333</c:v>
                </c:pt>
                <c:pt idx="176">
                  <c:v>0.0277333333333333</c:v>
                </c:pt>
                <c:pt idx="177">
                  <c:v>0.0277333333333333</c:v>
                </c:pt>
                <c:pt idx="178">
                  <c:v>0.0277333333333333</c:v>
                </c:pt>
                <c:pt idx="179">
                  <c:v>0.0277333333333333</c:v>
                </c:pt>
                <c:pt idx="180">
                  <c:v>0.0277333333333333</c:v>
                </c:pt>
                <c:pt idx="181">
                  <c:v>0.0277333333333333</c:v>
                </c:pt>
                <c:pt idx="182">
                  <c:v>0.0277333333333333</c:v>
                </c:pt>
                <c:pt idx="183">
                  <c:v>0.0277333333333333</c:v>
                </c:pt>
                <c:pt idx="184">
                  <c:v>0.0277333333333333</c:v>
                </c:pt>
                <c:pt idx="185">
                  <c:v>0.0277333333333333</c:v>
                </c:pt>
                <c:pt idx="186">
                  <c:v>0.0277333333333333</c:v>
                </c:pt>
                <c:pt idx="187">
                  <c:v>0.0277333333333333</c:v>
                </c:pt>
                <c:pt idx="188">
                  <c:v>0.0277333333333333</c:v>
                </c:pt>
                <c:pt idx="189">
                  <c:v>0.0277333333333333</c:v>
                </c:pt>
                <c:pt idx="190">
                  <c:v>0.0277333333333333</c:v>
                </c:pt>
                <c:pt idx="191">
                  <c:v>0.0277333333333333</c:v>
                </c:pt>
                <c:pt idx="192">
                  <c:v>0.0277333333333333</c:v>
                </c:pt>
                <c:pt idx="193">
                  <c:v>0.0277333333333333</c:v>
                </c:pt>
                <c:pt idx="194">
                  <c:v>0.0277333333333333</c:v>
                </c:pt>
                <c:pt idx="195">
                  <c:v>0.0277333333333333</c:v>
                </c:pt>
                <c:pt idx="196">
                  <c:v>0.0277333333333333</c:v>
                </c:pt>
                <c:pt idx="197">
                  <c:v>0.0277333333333333</c:v>
                </c:pt>
                <c:pt idx="198">
                  <c:v>0.0277333333333333</c:v>
                </c:pt>
                <c:pt idx="199">
                  <c:v>0.0277333333333333</c:v>
                </c:pt>
                <c:pt idx="200">
                  <c:v>0.0277333333333333</c:v>
                </c:pt>
                <c:pt idx="201">
                  <c:v>0.0277333333333333</c:v>
                </c:pt>
                <c:pt idx="202">
                  <c:v>0.0277333333333333</c:v>
                </c:pt>
                <c:pt idx="203">
                  <c:v>0.0277333333333333</c:v>
                </c:pt>
                <c:pt idx="204">
                  <c:v>0.0277333333333333</c:v>
                </c:pt>
                <c:pt idx="205">
                  <c:v>0.0277333333333333</c:v>
                </c:pt>
                <c:pt idx="206">
                  <c:v>0.0277333333333333</c:v>
                </c:pt>
                <c:pt idx="207">
                  <c:v>0.0277333333333333</c:v>
                </c:pt>
                <c:pt idx="208">
                  <c:v>0.0277333333333333</c:v>
                </c:pt>
                <c:pt idx="209">
                  <c:v>0.0277333333333333</c:v>
                </c:pt>
                <c:pt idx="210">
                  <c:v>0.0277333333333333</c:v>
                </c:pt>
                <c:pt idx="211">
                  <c:v>0.0277333333333333</c:v>
                </c:pt>
                <c:pt idx="212">
                  <c:v>0.0277333333333333</c:v>
                </c:pt>
                <c:pt idx="213">
                  <c:v>0.0277333333333333</c:v>
                </c:pt>
                <c:pt idx="214">
                  <c:v>0.0277333333333333</c:v>
                </c:pt>
                <c:pt idx="215">
                  <c:v>0.0277333333333333</c:v>
                </c:pt>
                <c:pt idx="216">
                  <c:v>0.0277333333333333</c:v>
                </c:pt>
                <c:pt idx="217">
                  <c:v>0.0277333333333333</c:v>
                </c:pt>
                <c:pt idx="218">
                  <c:v>0.0277333333333333</c:v>
                </c:pt>
                <c:pt idx="219">
                  <c:v>0.0277333333333333</c:v>
                </c:pt>
                <c:pt idx="220">
                  <c:v>0.0277333333333333</c:v>
                </c:pt>
                <c:pt idx="221">
                  <c:v>0.0277333333333333</c:v>
                </c:pt>
                <c:pt idx="222">
                  <c:v>0.0277333333333333</c:v>
                </c:pt>
                <c:pt idx="223">
                  <c:v>0.0277333333333333</c:v>
                </c:pt>
                <c:pt idx="224">
                  <c:v>0.0277333333333333</c:v>
                </c:pt>
                <c:pt idx="225">
                  <c:v>0.0277333333333333</c:v>
                </c:pt>
                <c:pt idx="226">
                  <c:v>0.0277333333333333</c:v>
                </c:pt>
                <c:pt idx="227">
                  <c:v>0.0277333333333333</c:v>
                </c:pt>
                <c:pt idx="228">
                  <c:v>0.0277333333333333</c:v>
                </c:pt>
                <c:pt idx="229">
                  <c:v>0.0277333333333333</c:v>
                </c:pt>
                <c:pt idx="230">
                  <c:v>0.0277333333333333</c:v>
                </c:pt>
                <c:pt idx="231">
                  <c:v>0.0277333333333333</c:v>
                </c:pt>
                <c:pt idx="232">
                  <c:v>0.0277333333333333</c:v>
                </c:pt>
                <c:pt idx="233">
                  <c:v>0.0277333333333333</c:v>
                </c:pt>
                <c:pt idx="234">
                  <c:v>0.0277333333333333</c:v>
                </c:pt>
                <c:pt idx="235">
                  <c:v>0.0277333333333333</c:v>
                </c:pt>
                <c:pt idx="236">
                  <c:v>0.0277333333333333</c:v>
                </c:pt>
                <c:pt idx="237">
                  <c:v>0.0277333333333333</c:v>
                </c:pt>
                <c:pt idx="238">
                  <c:v>0.0277333333333333</c:v>
                </c:pt>
                <c:pt idx="239">
                  <c:v>0.0277333333333333</c:v>
                </c:pt>
                <c:pt idx="240">
                  <c:v>0.0277333333333333</c:v>
                </c:pt>
                <c:pt idx="241">
                  <c:v>0.0277333333333333</c:v>
                </c:pt>
                <c:pt idx="242">
                  <c:v>0.0277333333333333</c:v>
                </c:pt>
                <c:pt idx="243">
                  <c:v>0.0276</c:v>
                </c:pt>
                <c:pt idx="244">
                  <c:v>0.0274666666666667</c:v>
                </c:pt>
                <c:pt idx="245">
                  <c:v>0.0272666666666667</c:v>
                </c:pt>
                <c:pt idx="246">
                  <c:v>0.0270666666666667</c:v>
                </c:pt>
                <c:pt idx="247">
                  <c:v>0.0268</c:v>
                </c:pt>
                <c:pt idx="248">
                  <c:v>0.0266</c:v>
                </c:pt>
                <c:pt idx="249">
                  <c:v>0.0263333333333333</c:v>
                </c:pt>
                <c:pt idx="250">
                  <c:v>0.0260666666666667</c:v>
                </c:pt>
                <c:pt idx="251">
                  <c:v>0.0257333333333333</c:v>
                </c:pt>
                <c:pt idx="252">
                  <c:v>0.0253333333333333</c:v>
                </c:pt>
                <c:pt idx="253">
                  <c:v>0.0249333333333333</c:v>
                </c:pt>
                <c:pt idx="254">
                  <c:v>0.0246</c:v>
                </c:pt>
                <c:pt idx="255">
                  <c:v>0.0241333333333333</c:v>
                </c:pt>
                <c:pt idx="256">
                  <c:v>0.0236666666666667</c:v>
                </c:pt>
                <c:pt idx="257">
                  <c:v>0.0232</c:v>
                </c:pt>
                <c:pt idx="258">
                  <c:v>0.0226666666666667</c:v>
                </c:pt>
                <c:pt idx="259">
                  <c:v>0.0220666666666667</c:v>
                </c:pt>
                <c:pt idx="260">
                  <c:v>0.0215333333333333</c:v>
                </c:pt>
                <c:pt idx="261">
                  <c:v>0.0209333333333333</c:v>
                </c:pt>
                <c:pt idx="262">
                  <c:v>0.0203333333333333</c:v>
                </c:pt>
                <c:pt idx="263">
                  <c:v>0.0197333333333333</c:v>
                </c:pt>
                <c:pt idx="264">
                  <c:v>0.0192</c:v>
                </c:pt>
                <c:pt idx="265">
                  <c:v>0.0186666666666667</c:v>
                </c:pt>
                <c:pt idx="266">
                  <c:v>0.0182</c:v>
                </c:pt>
                <c:pt idx="267">
                  <c:v>0.0177333333333333</c:v>
                </c:pt>
                <c:pt idx="268">
                  <c:v>0.0171333333333333</c:v>
                </c:pt>
                <c:pt idx="269">
                  <c:v>0.0165333333333333</c:v>
                </c:pt>
                <c:pt idx="270">
                  <c:v>0.016</c:v>
                </c:pt>
                <c:pt idx="271">
                  <c:v>0.0154</c:v>
                </c:pt>
                <c:pt idx="272">
                  <c:v>0.0147333333333333</c:v>
                </c:pt>
                <c:pt idx="273">
                  <c:v>0.0141333333333333</c:v>
                </c:pt>
                <c:pt idx="274">
                  <c:v>0.0134666666666667</c:v>
                </c:pt>
                <c:pt idx="275">
                  <c:v>0.0127333333333333</c:v>
                </c:pt>
                <c:pt idx="276">
                  <c:v>0.012</c:v>
                </c:pt>
                <c:pt idx="277">
                  <c:v>0.0113333333333333</c:v>
                </c:pt>
                <c:pt idx="278">
                  <c:v>0.0106666666666667</c:v>
                </c:pt>
                <c:pt idx="279">
                  <c:v>0.0100666666666667</c:v>
                </c:pt>
                <c:pt idx="280">
                  <c:v>0.00953333333333333</c:v>
                </c:pt>
                <c:pt idx="281">
                  <c:v>0.00893333333333333</c:v>
                </c:pt>
                <c:pt idx="282">
                  <c:v>0.00833333333333333</c:v>
                </c:pt>
                <c:pt idx="283">
                  <c:v>0.0078</c:v>
                </c:pt>
                <c:pt idx="284">
                  <c:v>0.00733333333333333</c:v>
                </c:pt>
                <c:pt idx="285">
                  <c:v>0.0068</c:v>
                </c:pt>
                <c:pt idx="286">
                  <c:v>0.0064</c:v>
                </c:pt>
                <c:pt idx="287">
                  <c:v>0.006</c:v>
                </c:pt>
                <c:pt idx="288">
                  <c:v>0.0056</c:v>
                </c:pt>
                <c:pt idx="289">
                  <c:v>0.00526666666666667</c:v>
                </c:pt>
                <c:pt idx="290">
                  <c:v>0.005</c:v>
                </c:pt>
                <c:pt idx="291">
                  <c:v>0.00473333333333333</c:v>
                </c:pt>
                <c:pt idx="292">
                  <c:v>0.00446666666666667</c:v>
                </c:pt>
                <c:pt idx="293">
                  <c:v>0.00426666666666667</c:v>
                </c:pt>
                <c:pt idx="294">
                  <c:v>0.00406666666666667</c:v>
                </c:pt>
                <c:pt idx="295">
                  <c:v>0.00393333333333333</c:v>
                </c:pt>
                <c:pt idx="296">
                  <c:v>0.00373333333333333</c:v>
                </c:pt>
                <c:pt idx="297">
                  <c:v>0.0036</c:v>
                </c:pt>
                <c:pt idx="298">
                  <c:v>0.0034</c:v>
                </c:pt>
                <c:pt idx="299">
                  <c:v>0.00326666666666667</c:v>
                </c:pt>
                <c:pt idx="300">
                  <c:v>0.00313333333333333</c:v>
                </c:pt>
                <c:pt idx="301">
                  <c:v>0.00293333333333333</c:v>
                </c:pt>
                <c:pt idx="302">
                  <c:v>0.0028</c:v>
                </c:pt>
                <c:pt idx="303">
                  <c:v>0.0026</c:v>
                </c:pt>
                <c:pt idx="304">
                  <c:v>0.0024</c:v>
                </c:pt>
                <c:pt idx="305">
                  <c:v>0.00226666666666667</c:v>
                </c:pt>
                <c:pt idx="306">
                  <c:v>0.00213333333333333</c:v>
                </c:pt>
                <c:pt idx="307">
                  <c:v>0.002</c:v>
                </c:pt>
                <c:pt idx="308">
                  <c:v>0.00193333333333333</c:v>
                </c:pt>
              </c:numCache>
            </c:numRef>
          </c:yVal>
          <c:smooth val="0"/>
        </c:ser>
        <c:dLbls>
          <c:showLegendKey val="0"/>
          <c:showVal val="0"/>
          <c:showCatName val="0"/>
          <c:showSerName val="0"/>
          <c:showPercent val="0"/>
          <c:showBubbleSize val="0"/>
        </c:dLbls>
        <c:axId val="2128992296"/>
        <c:axId val="2129052056"/>
      </c:scatterChart>
      <c:valAx>
        <c:axId val="2128992296"/>
        <c:scaling>
          <c:logBase val="10.0"/>
          <c:orientation val="maxMin"/>
          <c:max val="10.0"/>
        </c:scaling>
        <c:delete val="0"/>
        <c:axPos val="b"/>
        <c:title>
          <c:tx>
            <c:rich>
              <a:bodyPr/>
              <a:lstStyle/>
              <a:p>
                <a:pPr>
                  <a:defRPr/>
                </a:pPr>
                <a:r>
                  <a:rPr lang="en-US"/>
                  <a:t>Pore Diameter </a:t>
                </a:r>
                <a:r>
                  <a:rPr lang="el-GR"/>
                  <a:t>(μm</a:t>
                </a:r>
                <a:r>
                  <a:rPr lang="en-GB"/>
                  <a:t>)</a:t>
                </a:r>
                <a:r>
                  <a:rPr lang="el-GR"/>
                  <a:t> </a:t>
                </a:r>
                <a:endParaRPr lang="en-US"/>
              </a:p>
            </c:rich>
          </c:tx>
          <c:layout>
            <c:manualLayout>
              <c:xMode val="edge"/>
              <c:yMode val="edge"/>
              <c:x val="0.320802414454051"/>
              <c:y val="0.904735219949566"/>
            </c:manualLayout>
          </c:layout>
          <c:overlay val="0"/>
        </c:title>
        <c:numFmt formatCode="General" sourceLinked="0"/>
        <c:majorTickMark val="out"/>
        <c:minorTickMark val="none"/>
        <c:tickLblPos val="nextTo"/>
        <c:spPr>
          <a:ln>
            <a:solidFill>
              <a:schemeClr val="tx1"/>
            </a:solidFill>
          </a:ln>
        </c:spPr>
        <c:txPr>
          <a:bodyPr rot="0" vert="horz"/>
          <a:lstStyle/>
          <a:p>
            <a:pPr>
              <a:defRPr/>
            </a:pPr>
            <a:endParaRPr lang="en-US"/>
          </a:p>
        </c:txPr>
        <c:crossAx val="2129052056"/>
        <c:crosses val="autoZero"/>
        <c:crossBetween val="midCat"/>
      </c:valAx>
      <c:valAx>
        <c:axId val="2129052056"/>
        <c:scaling>
          <c:orientation val="minMax"/>
          <c:max val="0.08"/>
          <c:min val="0.0"/>
        </c:scaling>
        <c:delete val="0"/>
        <c:axPos val="l"/>
        <c:title>
          <c:tx>
            <c:rich>
              <a:bodyPr rot="-5400000" vert="horz"/>
              <a:lstStyle/>
              <a:p>
                <a:pPr>
                  <a:defRPr sz="900"/>
                </a:pPr>
                <a:r>
                  <a:rPr lang="tr-TR" sz="900" b="1" i="0" baseline="0">
                    <a:effectLst/>
                  </a:rPr>
                  <a:t>Cumulative Volume (ml/g)</a:t>
                </a:r>
                <a:endParaRPr lang="tr-TR" sz="900">
                  <a:effectLst/>
                </a:endParaRPr>
              </a:p>
            </c:rich>
          </c:tx>
          <c:layout>
            <c:manualLayout>
              <c:xMode val="edge"/>
              <c:yMode val="edge"/>
              <c:x val="0.0271532323519801"/>
              <c:y val="0.0207296776566764"/>
            </c:manualLayout>
          </c:layout>
          <c:overlay val="0"/>
        </c:title>
        <c:numFmt formatCode="General" sourceLinked="1"/>
        <c:majorTickMark val="out"/>
        <c:minorTickMark val="none"/>
        <c:tickLblPos val="nextTo"/>
        <c:spPr>
          <a:ln>
            <a:solidFill>
              <a:schemeClr val="tx1"/>
            </a:solidFill>
          </a:ln>
        </c:spPr>
        <c:crossAx val="2128992296"/>
        <c:crosses val="max"/>
        <c:crossBetween val="midCat"/>
        <c:majorUnit val="0.02"/>
      </c:valAx>
      <c:spPr>
        <a:noFill/>
        <a:ln w="12700" cmpd="sng">
          <a:solidFill>
            <a:schemeClr val="tx1"/>
          </a:solidFill>
        </a:ln>
      </c:spPr>
    </c:plotArea>
    <c:legend>
      <c:legendPos val="r"/>
      <c:layout>
        <c:manualLayout>
          <c:xMode val="edge"/>
          <c:yMode val="edge"/>
          <c:x val="0.787586403286078"/>
          <c:y val="0.118714456928563"/>
          <c:w val="0.206160053944127"/>
          <c:h val="0.375388591974285"/>
        </c:manualLayout>
      </c:layout>
      <c:overlay val="0"/>
    </c:legend>
    <c:plotVisOnly val="1"/>
    <c:dispBlanksAs val="gap"/>
    <c:showDLblsOverMax val="0"/>
  </c:chart>
  <c:spPr>
    <a:ln>
      <a:noFill/>
    </a:ln>
  </c:spPr>
  <c:txPr>
    <a:bodyPr/>
    <a:lstStyle/>
    <a:p>
      <a:pPr>
        <a:defRPr sz="1000">
          <a:latin typeface="Arial"/>
          <a:cs typeface="Arial"/>
        </a:defRPr>
      </a:pPr>
      <a:endParaRPr lang="en-U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319268231006"/>
          <c:y val="0.115305749663819"/>
          <c:w val="0.800779724714778"/>
          <c:h val="0.721753984662532"/>
        </c:manualLayout>
      </c:layout>
      <c:scatterChart>
        <c:scatterStyle val="smoothMarker"/>
        <c:varyColors val="0"/>
        <c:ser>
          <c:idx val="0"/>
          <c:order val="0"/>
          <c:tx>
            <c:strRef>
              <c:f>Sheet1!$B$3</c:f>
              <c:strCache>
                <c:ptCount val="1"/>
                <c:pt idx="0">
                  <c:v>S</c:v>
                </c:pt>
              </c:strCache>
            </c:strRef>
          </c:tx>
          <c:spPr>
            <a:ln>
              <a:solidFill>
                <a:schemeClr val="accent1"/>
              </a:solidFill>
            </a:ln>
          </c:spPr>
          <c:marker>
            <c:spPr>
              <a:ln>
                <a:solidFill>
                  <a:schemeClr val="accent1"/>
                </a:solidFill>
              </a:ln>
            </c:spPr>
          </c:marker>
          <c:xVal>
            <c:numRef>
              <c:f>Sheet1!$A$4:$A$9</c:f>
              <c:numCache>
                <c:formatCode>General</c:formatCode>
                <c:ptCount val="6"/>
                <c:pt idx="0">
                  <c:v>0.0</c:v>
                </c:pt>
                <c:pt idx="1">
                  <c:v>4.0</c:v>
                </c:pt>
                <c:pt idx="2">
                  <c:v>7.0</c:v>
                </c:pt>
                <c:pt idx="3">
                  <c:v>10.0</c:v>
                </c:pt>
                <c:pt idx="4">
                  <c:v>14.0</c:v>
                </c:pt>
                <c:pt idx="5">
                  <c:v>28.0</c:v>
                </c:pt>
              </c:numCache>
            </c:numRef>
          </c:xVal>
          <c:yVal>
            <c:numRef>
              <c:f>(Sheet1!$B$4,Sheet1!$B$5,Sheet1!$B$6,Sheet1!$B$7,Sheet1!$B$8,Sheet1!$B$9)</c:f>
              <c:numCache>
                <c:formatCode>0.00</c:formatCode>
                <c:ptCount val="6"/>
                <c:pt idx="0" formatCode="General">
                  <c:v>7.0</c:v>
                </c:pt>
                <c:pt idx="1">
                  <c:v>8.58</c:v>
                </c:pt>
                <c:pt idx="2">
                  <c:v>9.595000000000002</c:v>
                </c:pt>
                <c:pt idx="3" formatCode="General">
                  <c:v>10.88</c:v>
                </c:pt>
                <c:pt idx="4" formatCode="General">
                  <c:v>11.15</c:v>
                </c:pt>
                <c:pt idx="5" formatCode="General">
                  <c:v>11.2</c:v>
                </c:pt>
              </c:numCache>
            </c:numRef>
          </c:yVal>
          <c:smooth val="1"/>
        </c:ser>
        <c:ser>
          <c:idx val="1"/>
          <c:order val="1"/>
          <c:tx>
            <c:strRef>
              <c:f>Sheet1!$C$3</c:f>
              <c:strCache>
                <c:ptCount val="1"/>
                <c:pt idx="0">
                  <c:v>C</c:v>
                </c:pt>
              </c:strCache>
            </c:strRef>
          </c:tx>
          <c:spPr>
            <a:ln>
              <a:solidFill>
                <a:srgbClr val="00B050"/>
              </a:solidFill>
            </a:ln>
          </c:spPr>
          <c:marker>
            <c:spPr>
              <a:solidFill>
                <a:srgbClr val="00B050"/>
              </a:solidFill>
              <a:ln>
                <a:solidFill>
                  <a:srgbClr val="00B050"/>
                </a:solidFill>
              </a:ln>
            </c:spPr>
          </c:marker>
          <c:xVal>
            <c:numRef>
              <c:f>Sheet1!$A$4:$A$9</c:f>
              <c:numCache>
                <c:formatCode>General</c:formatCode>
                <c:ptCount val="6"/>
                <c:pt idx="0">
                  <c:v>0.0</c:v>
                </c:pt>
                <c:pt idx="1">
                  <c:v>4.0</c:v>
                </c:pt>
                <c:pt idx="2">
                  <c:v>7.0</c:v>
                </c:pt>
                <c:pt idx="3">
                  <c:v>10.0</c:v>
                </c:pt>
                <c:pt idx="4">
                  <c:v>14.0</c:v>
                </c:pt>
                <c:pt idx="5">
                  <c:v>28.0</c:v>
                </c:pt>
              </c:numCache>
            </c:numRef>
          </c:xVal>
          <c:yVal>
            <c:numRef>
              <c:f>Sheet1!$C$4:$C$9</c:f>
              <c:numCache>
                <c:formatCode>General</c:formatCode>
                <c:ptCount val="6"/>
                <c:pt idx="0">
                  <c:v>7.0</c:v>
                </c:pt>
                <c:pt idx="1">
                  <c:v>8.94</c:v>
                </c:pt>
                <c:pt idx="2">
                  <c:v>10.14</c:v>
                </c:pt>
                <c:pt idx="3">
                  <c:v>11.21</c:v>
                </c:pt>
                <c:pt idx="4">
                  <c:v>11.32</c:v>
                </c:pt>
                <c:pt idx="5">
                  <c:v>11.46</c:v>
                </c:pt>
              </c:numCache>
            </c:numRef>
          </c:yVal>
          <c:smooth val="1"/>
        </c:ser>
        <c:ser>
          <c:idx val="2"/>
          <c:order val="2"/>
          <c:tx>
            <c:strRef>
              <c:f>Sheet1!$D$3</c:f>
              <c:strCache>
                <c:ptCount val="1"/>
                <c:pt idx="0">
                  <c:v>B</c:v>
                </c:pt>
              </c:strCache>
            </c:strRef>
          </c:tx>
          <c:spPr>
            <a:ln>
              <a:solidFill>
                <a:schemeClr val="tx1"/>
              </a:solidFill>
            </a:ln>
          </c:spPr>
          <c:marker>
            <c:symbol val="diamond"/>
            <c:size val="7"/>
            <c:spPr>
              <a:solidFill>
                <a:schemeClr val="tx1"/>
              </a:solidFill>
              <a:ln>
                <a:solidFill>
                  <a:schemeClr val="tx1"/>
                </a:solidFill>
              </a:ln>
            </c:spPr>
          </c:marker>
          <c:xVal>
            <c:numLit>
              <c:formatCode>General</c:formatCode>
              <c:ptCount val="6"/>
              <c:pt idx="0">
                <c:v>0.0</c:v>
              </c:pt>
              <c:pt idx="1">
                <c:v>4.0</c:v>
              </c:pt>
              <c:pt idx="2">
                <c:v>7.0</c:v>
              </c:pt>
              <c:pt idx="3">
                <c:v>10.0</c:v>
              </c:pt>
              <c:pt idx="4">
                <c:v>14.0</c:v>
              </c:pt>
              <c:pt idx="5">
                <c:v>28.0</c:v>
              </c:pt>
            </c:numLit>
          </c:xVal>
          <c:yVal>
            <c:numRef>
              <c:f>(Sheet1!$D$4,Sheet1!$D$5,Sheet1!$D$6,Sheet1!$D$7,Sheet1!$D$8,Sheet1!$D$9)</c:f>
              <c:numCache>
                <c:formatCode>General</c:formatCode>
                <c:ptCount val="6"/>
                <c:pt idx="0">
                  <c:v>7.0</c:v>
                </c:pt>
                <c:pt idx="1">
                  <c:v>8.4</c:v>
                </c:pt>
                <c:pt idx="2">
                  <c:v>9.220000000000001</c:v>
                </c:pt>
                <c:pt idx="3">
                  <c:v>10.44</c:v>
                </c:pt>
                <c:pt idx="4">
                  <c:v>10.578</c:v>
                </c:pt>
                <c:pt idx="5">
                  <c:v>10.83</c:v>
                </c:pt>
              </c:numCache>
            </c:numRef>
          </c:yVal>
          <c:smooth val="1"/>
        </c:ser>
        <c:ser>
          <c:idx val="3"/>
          <c:order val="3"/>
          <c:tx>
            <c:strRef>
              <c:f>Sheet1!$E$3</c:f>
              <c:strCache>
                <c:ptCount val="1"/>
                <c:pt idx="0">
                  <c:v>CS</c:v>
                </c:pt>
              </c:strCache>
            </c:strRef>
          </c:tx>
          <c:spPr>
            <a:ln>
              <a:solidFill>
                <a:srgbClr val="FF0000"/>
              </a:solidFill>
            </a:ln>
          </c:spPr>
          <c:marker>
            <c:symbol val="square"/>
            <c:size val="7"/>
            <c:spPr>
              <a:solidFill>
                <a:srgbClr val="FF0000"/>
              </a:solidFill>
              <a:ln>
                <a:solidFill>
                  <a:srgbClr val="FF0000"/>
                </a:solidFill>
              </a:ln>
            </c:spPr>
          </c:marker>
          <c:xVal>
            <c:numLit>
              <c:formatCode>General</c:formatCode>
              <c:ptCount val="6"/>
              <c:pt idx="0">
                <c:v>0.0</c:v>
              </c:pt>
              <c:pt idx="1">
                <c:v>4.0</c:v>
              </c:pt>
              <c:pt idx="2">
                <c:v>7.0</c:v>
              </c:pt>
              <c:pt idx="3">
                <c:v>10.0</c:v>
              </c:pt>
              <c:pt idx="4">
                <c:v>14.0</c:v>
              </c:pt>
              <c:pt idx="5">
                <c:v>28.0</c:v>
              </c:pt>
            </c:numLit>
          </c:xVal>
          <c:yVal>
            <c:numRef>
              <c:f>(Sheet1!$E$4,Sheet1!$E$5,Sheet1!$E$6,Sheet1!$E$7,Sheet1!$E$8,Sheet1!$E$9)</c:f>
              <c:numCache>
                <c:formatCode>General</c:formatCode>
                <c:ptCount val="6"/>
                <c:pt idx="0">
                  <c:v>7.0</c:v>
                </c:pt>
                <c:pt idx="1">
                  <c:v>9.4</c:v>
                </c:pt>
                <c:pt idx="2">
                  <c:v>10.78</c:v>
                </c:pt>
                <c:pt idx="3">
                  <c:v>11.2</c:v>
                </c:pt>
                <c:pt idx="4">
                  <c:v>11.48</c:v>
                </c:pt>
                <c:pt idx="5">
                  <c:v>11.54</c:v>
                </c:pt>
              </c:numCache>
            </c:numRef>
          </c:yVal>
          <c:smooth val="1"/>
        </c:ser>
        <c:dLbls>
          <c:showLegendKey val="0"/>
          <c:showVal val="0"/>
          <c:showCatName val="0"/>
          <c:showSerName val="0"/>
          <c:showPercent val="0"/>
          <c:showBubbleSize val="0"/>
        </c:dLbls>
        <c:axId val="2132359240"/>
        <c:axId val="2132366728"/>
      </c:scatterChart>
      <c:valAx>
        <c:axId val="2132359240"/>
        <c:scaling>
          <c:orientation val="minMax"/>
        </c:scaling>
        <c:delete val="0"/>
        <c:axPos val="b"/>
        <c:title>
          <c:tx>
            <c:rich>
              <a:bodyPr/>
              <a:lstStyle/>
              <a:p>
                <a:pPr>
                  <a:defRPr/>
                </a:pPr>
                <a:r>
                  <a:rPr lang="en-GB"/>
                  <a:t>Leaching Period (Days)</a:t>
                </a:r>
              </a:p>
            </c:rich>
          </c:tx>
          <c:layout>
            <c:manualLayout>
              <c:xMode val="edge"/>
              <c:yMode val="edge"/>
              <c:x val="0.367871842452814"/>
              <c:y val="0.935195530726257"/>
            </c:manualLayout>
          </c:layout>
          <c:overlay val="0"/>
        </c:title>
        <c:numFmt formatCode="General" sourceLinked="1"/>
        <c:majorTickMark val="out"/>
        <c:minorTickMark val="out"/>
        <c:tickLblPos val="nextTo"/>
        <c:crossAx val="2132366728"/>
        <c:crosses val="autoZero"/>
        <c:crossBetween val="midCat"/>
        <c:majorUnit val="2.0"/>
      </c:valAx>
      <c:valAx>
        <c:axId val="2132366728"/>
        <c:scaling>
          <c:orientation val="minMax"/>
          <c:max val="12.0"/>
          <c:min val="7.0"/>
        </c:scaling>
        <c:delete val="0"/>
        <c:axPos val="l"/>
        <c:majorGridlines/>
        <c:title>
          <c:tx>
            <c:rich>
              <a:bodyPr rot="-5400000" vert="horz"/>
              <a:lstStyle/>
              <a:p>
                <a:pPr>
                  <a:defRPr/>
                </a:pPr>
                <a:r>
                  <a:rPr lang="en-GB"/>
                  <a:t>pH</a:t>
                </a:r>
              </a:p>
            </c:rich>
          </c:tx>
          <c:layout>
            <c:manualLayout>
              <c:xMode val="edge"/>
              <c:yMode val="edge"/>
              <c:x val="0.0268201347443035"/>
              <c:y val="0.431706330004839"/>
            </c:manualLayout>
          </c:layout>
          <c:overlay val="0"/>
        </c:title>
        <c:numFmt formatCode="General" sourceLinked="1"/>
        <c:majorTickMark val="out"/>
        <c:minorTickMark val="none"/>
        <c:tickLblPos val="nextTo"/>
        <c:crossAx val="2132359240"/>
        <c:crosses val="autoZero"/>
        <c:crossBetween val="midCat"/>
        <c:majorUnit val="0.5"/>
      </c:valAx>
    </c:plotArea>
    <c:legend>
      <c:legendPos val="r"/>
      <c:layout>
        <c:manualLayout>
          <c:xMode val="edge"/>
          <c:yMode val="edge"/>
          <c:x val="0.292982098167962"/>
          <c:y val="0.0331193694569028"/>
          <c:w val="0.424467522954979"/>
          <c:h val="0.0557121756754578"/>
        </c:manualLayout>
      </c:layout>
      <c:overlay val="0"/>
    </c:legend>
    <c:plotVisOnly val="1"/>
    <c:dispBlanksAs val="gap"/>
    <c:showDLblsOverMax val="0"/>
  </c:chart>
  <c:spPr>
    <a:ln>
      <a:noFill/>
    </a:ln>
  </c:spPr>
  <c:txPr>
    <a:bodyPr/>
    <a:lstStyle/>
    <a:p>
      <a:pPr>
        <a:defRPr sz="1200">
          <a:latin typeface="+mj-lt"/>
          <a:cs typeface="Times"/>
        </a:defRPr>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662091717702"/>
          <c:y val="0.105587121212121"/>
          <c:w val="0.823382545931758"/>
          <c:h val="0.726515524337867"/>
        </c:manualLayout>
      </c:layout>
      <c:scatterChart>
        <c:scatterStyle val="lineMarker"/>
        <c:varyColors val="0"/>
        <c:ser>
          <c:idx val="1"/>
          <c:order val="0"/>
          <c:tx>
            <c:v>Blank</c:v>
          </c:tx>
          <c:spPr>
            <a:ln w="25400">
              <a:solidFill>
                <a:srgbClr val="FF0000"/>
              </a:solidFill>
              <a:prstDash val="solid"/>
            </a:ln>
          </c:spPr>
          <c:marker>
            <c:symbol val="x"/>
            <c:size val="5"/>
            <c:spPr>
              <a:solidFill>
                <a:srgbClr val="FF0000"/>
              </a:solidFill>
              <a:ln>
                <a:solidFill>
                  <a:srgbClr val="FF0000"/>
                </a:solidFill>
                <a:prstDash val="solid"/>
              </a:ln>
            </c:spPr>
          </c:marker>
          <c:errBars>
            <c:errDir val="y"/>
            <c:errBarType val="both"/>
            <c:errValType val="percentage"/>
            <c:noEndCap val="0"/>
            <c:val val="0.8"/>
          </c:errBars>
          <c:xVal>
            <c:numRef>
              <c:f>'[Chart in Microsoft Office Word]pH'!$B$14:$B$22</c:f>
              <c:numCache>
                <c:formatCode>General</c:formatCode>
                <c:ptCount val="9"/>
                <c:pt idx="0">
                  <c:v>0.72663460288574</c:v>
                </c:pt>
                <c:pt idx="1">
                  <c:v>1.351878330950214</c:v>
                </c:pt>
                <c:pt idx="2">
                  <c:v>1.975822176004159</c:v>
                </c:pt>
                <c:pt idx="3">
                  <c:v>2.695957363837254</c:v>
                </c:pt>
                <c:pt idx="4">
                  <c:v>3.466787989080982</c:v>
                </c:pt>
                <c:pt idx="5">
                  <c:v>4.118029377356025</c:v>
                </c:pt>
                <c:pt idx="6">
                  <c:v>5.234628883400494</c:v>
                </c:pt>
                <c:pt idx="7">
                  <c:v>6.407123358897699</c:v>
                </c:pt>
                <c:pt idx="8">
                  <c:v>7.7226049655531</c:v>
                </c:pt>
              </c:numCache>
            </c:numRef>
          </c:xVal>
          <c:yVal>
            <c:numRef>
              <c:f>'[Chart in Microsoft Office Word]pH'!$C$14:$C$22</c:f>
              <c:numCache>
                <c:formatCode>General</c:formatCode>
                <c:ptCount val="9"/>
                <c:pt idx="0">
                  <c:v>12.32</c:v>
                </c:pt>
                <c:pt idx="1">
                  <c:v>12.47</c:v>
                </c:pt>
                <c:pt idx="2">
                  <c:v>12.39</c:v>
                </c:pt>
                <c:pt idx="3">
                  <c:v>12.11</c:v>
                </c:pt>
                <c:pt idx="4">
                  <c:v>12.15</c:v>
                </c:pt>
                <c:pt idx="5">
                  <c:v>12.09</c:v>
                </c:pt>
                <c:pt idx="6">
                  <c:v>11.87</c:v>
                </c:pt>
                <c:pt idx="7">
                  <c:v>11.69</c:v>
                </c:pt>
              </c:numCache>
            </c:numRef>
          </c:yVal>
          <c:smooth val="0"/>
        </c:ser>
        <c:ser>
          <c:idx val="0"/>
          <c:order val="1"/>
          <c:tx>
            <c:v>SCEA</c:v>
          </c:tx>
          <c:spPr>
            <a:ln w="25400">
              <a:solidFill>
                <a:schemeClr val="tx2">
                  <a:lumMod val="75000"/>
                </a:schemeClr>
              </a:solidFill>
              <a:prstDash val="solid"/>
            </a:ln>
          </c:spPr>
          <c:marker>
            <c:spPr>
              <a:solidFill>
                <a:schemeClr val="accent1">
                  <a:lumMod val="50000"/>
                </a:schemeClr>
              </a:solidFill>
              <a:ln>
                <a:solidFill>
                  <a:schemeClr val="tx2">
                    <a:lumMod val="75000"/>
                  </a:schemeClr>
                </a:solidFill>
                <a:prstDash val="solid"/>
              </a:ln>
            </c:spPr>
          </c:marker>
          <c:errBars>
            <c:errDir val="y"/>
            <c:errBarType val="both"/>
            <c:errValType val="percentage"/>
            <c:noEndCap val="0"/>
            <c:val val="0.7"/>
          </c:errBars>
          <c:xVal>
            <c:numRef>
              <c:f>'[Chart in Microsoft Office Word]pH'!$B$2:$B$11</c:f>
              <c:numCache>
                <c:formatCode>General</c:formatCode>
                <c:ptCount val="10"/>
                <c:pt idx="0">
                  <c:v>0.490055894969453</c:v>
                </c:pt>
                <c:pt idx="1">
                  <c:v>1.006109450149486</c:v>
                </c:pt>
                <c:pt idx="2">
                  <c:v>1.598856102950734</c:v>
                </c:pt>
                <c:pt idx="3">
                  <c:v>2.20850123488886</c:v>
                </c:pt>
                <c:pt idx="4">
                  <c:v>2.88054075133238</c:v>
                </c:pt>
                <c:pt idx="5">
                  <c:v>3.456388924996737</c:v>
                </c:pt>
                <c:pt idx="6">
                  <c:v>4.293513583777461</c:v>
                </c:pt>
                <c:pt idx="7">
                  <c:v>5.19563239308463</c:v>
                </c:pt>
                <c:pt idx="8">
                  <c:v>6.245937865592087</c:v>
                </c:pt>
                <c:pt idx="9">
                  <c:v>7.387235148836605</c:v>
                </c:pt>
              </c:numCache>
            </c:numRef>
          </c:xVal>
          <c:yVal>
            <c:numRef>
              <c:f>'[Chart in Microsoft Office Word]pH'!$C$2:$C$11</c:f>
              <c:numCache>
                <c:formatCode>General</c:formatCode>
                <c:ptCount val="10"/>
                <c:pt idx="0">
                  <c:v>13.19</c:v>
                </c:pt>
                <c:pt idx="1">
                  <c:v>13.48</c:v>
                </c:pt>
                <c:pt idx="2">
                  <c:v>12.81</c:v>
                </c:pt>
                <c:pt idx="3">
                  <c:v>12.16</c:v>
                </c:pt>
                <c:pt idx="4">
                  <c:v>12.18</c:v>
                </c:pt>
                <c:pt idx="5">
                  <c:v>12.15</c:v>
                </c:pt>
                <c:pt idx="6">
                  <c:v>12.26</c:v>
                </c:pt>
                <c:pt idx="7">
                  <c:v>12.32</c:v>
                </c:pt>
                <c:pt idx="8">
                  <c:v>12.11</c:v>
                </c:pt>
              </c:numCache>
            </c:numRef>
          </c:yVal>
          <c:smooth val="0"/>
        </c:ser>
        <c:dLbls>
          <c:showLegendKey val="0"/>
          <c:showVal val="0"/>
          <c:showCatName val="0"/>
          <c:showSerName val="0"/>
          <c:showPercent val="0"/>
          <c:showBubbleSize val="0"/>
        </c:dLbls>
        <c:axId val="2132405720"/>
        <c:axId val="2132411848"/>
      </c:scatterChart>
      <c:valAx>
        <c:axId val="2132405720"/>
        <c:scaling>
          <c:orientation val="minMax"/>
          <c:max val="7.0"/>
        </c:scaling>
        <c:delete val="0"/>
        <c:axPos val="b"/>
        <c:title>
          <c:tx>
            <c:rich>
              <a:bodyPr/>
              <a:lstStyle/>
              <a:p>
                <a:pPr>
                  <a:defRPr sz="800" b="1" i="0" u="none" strike="noStrike" baseline="0">
                    <a:solidFill>
                      <a:srgbClr val="000000"/>
                    </a:solidFill>
                    <a:latin typeface="Verdana"/>
                    <a:ea typeface="Verdana"/>
                    <a:cs typeface="Verdana"/>
                  </a:defRPr>
                </a:pPr>
                <a:r>
                  <a:rPr lang="en-US" sz="800"/>
                  <a:t>Cumulative Flow Through (Specimen Volumes)</a:t>
                </a:r>
              </a:p>
            </c:rich>
          </c:tx>
          <c:layout>
            <c:manualLayout>
              <c:xMode val="edge"/>
              <c:yMode val="edge"/>
              <c:x val="0.285160603780886"/>
              <c:y val="0.924483068624513"/>
            </c:manualLayout>
          </c:layout>
          <c:overlay val="0"/>
          <c:spPr>
            <a:noFill/>
            <a:ln w="25400">
              <a:noFill/>
            </a:ln>
          </c:spPr>
        </c:title>
        <c:numFmt formatCode="General" sourceLinked="1"/>
        <c:majorTickMark val="out"/>
        <c:minorTickMark val="none"/>
        <c:tickLblPos val="nextTo"/>
        <c:spPr>
          <a:ln w="3175">
            <a:solidFill>
              <a:srgbClr val="808080"/>
            </a:solidFill>
            <a:prstDash val="solid"/>
          </a:ln>
        </c:spPr>
        <c:txPr>
          <a:bodyPr rot="0" vert="horz"/>
          <a:lstStyle/>
          <a:p>
            <a:pPr>
              <a:defRPr sz="1050" b="0" i="0" u="none" strike="noStrike" baseline="0">
                <a:solidFill>
                  <a:srgbClr val="000000"/>
                </a:solidFill>
                <a:latin typeface="Calibri"/>
                <a:ea typeface="Calibri"/>
                <a:cs typeface="Calibri"/>
              </a:defRPr>
            </a:pPr>
            <a:endParaRPr lang="en-US"/>
          </a:p>
        </c:txPr>
        <c:crossAx val="2132411848"/>
        <c:crosses val="autoZero"/>
        <c:crossBetween val="midCat"/>
      </c:valAx>
      <c:valAx>
        <c:axId val="2132411848"/>
        <c:scaling>
          <c:orientation val="minMax"/>
          <c:max val="13.6"/>
          <c:min val="11.6"/>
        </c:scaling>
        <c:delete val="0"/>
        <c:axPos val="l"/>
        <c:majorGridlines>
          <c:spPr>
            <a:ln w="3175">
              <a:solidFill>
                <a:srgbClr val="808080"/>
              </a:solidFill>
              <a:prstDash val="solid"/>
            </a:ln>
          </c:spPr>
        </c:majorGridlines>
        <c:title>
          <c:tx>
            <c:rich>
              <a:bodyPr/>
              <a:lstStyle/>
              <a:p>
                <a:pPr>
                  <a:defRPr sz="1050" b="1" i="0" u="none" strike="noStrike" baseline="0">
                    <a:solidFill>
                      <a:srgbClr val="000000"/>
                    </a:solidFill>
                    <a:latin typeface="Verdana"/>
                    <a:ea typeface="Verdana"/>
                    <a:cs typeface="Verdana"/>
                  </a:defRPr>
                </a:pPr>
                <a:r>
                  <a:rPr lang="en-US" sz="1050"/>
                  <a:t>pH</a:t>
                </a:r>
              </a:p>
            </c:rich>
          </c:tx>
          <c:layout>
            <c:manualLayout>
              <c:xMode val="edge"/>
              <c:yMode val="edge"/>
              <c:x val="0.000495406824146982"/>
              <c:y val="0.391517132168695"/>
            </c:manualLayout>
          </c:layout>
          <c:overlay val="0"/>
          <c:spPr>
            <a:noFill/>
            <a:ln w="25400">
              <a:noFill/>
            </a:ln>
          </c:spPr>
        </c:title>
        <c:numFmt formatCode="General" sourceLinked="1"/>
        <c:majorTickMark val="out"/>
        <c:minorTickMark val="none"/>
        <c:tickLblPos val="nextTo"/>
        <c:spPr>
          <a:ln w="3175">
            <a:solidFill>
              <a:srgbClr val="808080"/>
            </a:solidFill>
            <a:prstDash val="solid"/>
          </a:ln>
        </c:spPr>
        <c:txPr>
          <a:bodyPr rot="0" vert="horz"/>
          <a:lstStyle/>
          <a:p>
            <a:pPr>
              <a:defRPr sz="1050" b="0" i="0" u="none" strike="noStrike" baseline="0">
                <a:solidFill>
                  <a:srgbClr val="000000"/>
                </a:solidFill>
                <a:latin typeface="Calibri"/>
                <a:ea typeface="Calibri"/>
                <a:cs typeface="Calibri"/>
              </a:defRPr>
            </a:pPr>
            <a:endParaRPr lang="en-US"/>
          </a:p>
        </c:txPr>
        <c:crossAx val="2132405720"/>
        <c:crosses val="autoZero"/>
        <c:crossBetween val="midCat"/>
        <c:majorUnit val="0.2"/>
      </c:valAx>
      <c:spPr>
        <a:solidFill>
          <a:srgbClr val="FFFFFF"/>
        </a:solidFill>
        <a:ln w="25400">
          <a:noFill/>
        </a:ln>
      </c:spPr>
    </c:plotArea>
    <c:legend>
      <c:legendPos val="r"/>
      <c:layout>
        <c:manualLayout>
          <c:xMode val="edge"/>
          <c:yMode val="edge"/>
          <c:x val="0.322123797025372"/>
          <c:y val="0.0"/>
          <c:w val="0.392920184198621"/>
          <c:h val="0.117647152687743"/>
        </c:manualLayout>
      </c:layout>
      <c:overlay val="0"/>
      <c:spPr>
        <a:noFill/>
        <a:ln w="25400">
          <a:noFill/>
        </a:ln>
      </c:spPr>
      <c:txPr>
        <a:bodyPr/>
        <a:lstStyle/>
        <a:p>
          <a:pPr>
            <a:defRPr sz="900" b="0" i="0" u="none" strike="noStrike" baseline="0">
              <a:solidFill>
                <a:srgbClr val="000000"/>
              </a:solidFill>
              <a:latin typeface="Verdana"/>
              <a:ea typeface="Verdana"/>
              <a:cs typeface="Verdana"/>
            </a:defRPr>
          </a:pPr>
          <a:endParaRPr lang="en-US"/>
        </a:p>
      </c:txPr>
    </c:legend>
    <c:plotVisOnly val="1"/>
    <c:dispBlanksAs val="gap"/>
    <c:showDLblsOverMax val="0"/>
  </c:chart>
  <c:spPr>
    <a:solidFill>
      <a:srgbClr val="FFFFFF"/>
    </a:solidFill>
    <a:ln w="3175">
      <a:no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4734504340804"/>
          <c:y val="0.0745487022455526"/>
          <c:w val="0.784253544291954"/>
          <c:h val="0.717063867016623"/>
        </c:manualLayout>
      </c:layout>
      <c:scatterChart>
        <c:scatterStyle val="lineMarker"/>
        <c:varyColors val="0"/>
        <c:ser>
          <c:idx val="1"/>
          <c:order val="0"/>
          <c:tx>
            <c:strRef>
              <c:f>ICP!$G$2:$G$26</c:f>
              <c:strCache>
                <c:ptCount val="1"/>
                <c:pt idx="0">
                  <c:v>37.7 37.7 39.7 45.6 46.9 51.7 44.3 34.4 33 80.8 87.8 64 100 55.9 48.1 48 55.4 37.7 59.3 50.1 65.9 28.2 75.2 56.4 100</c:v>
                </c:pt>
              </c:strCache>
            </c:strRef>
          </c:tx>
          <c:spPr>
            <a:ln w="19050" cmpd="sng">
              <a:solidFill>
                <a:srgbClr val="FF0000"/>
              </a:solidFill>
            </a:ln>
          </c:spPr>
          <c:marker>
            <c:spPr>
              <a:solidFill>
                <a:srgbClr val="FF0000"/>
              </a:solidFill>
              <a:ln w="19050" cmpd="sng">
                <a:solidFill>
                  <a:srgbClr val="FF0000"/>
                </a:solidFill>
              </a:ln>
            </c:spPr>
          </c:marker>
          <c:errBars>
            <c:errDir val="y"/>
            <c:errBarType val="both"/>
            <c:errValType val="percentage"/>
            <c:noEndCap val="0"/>
            <c:val val="5.0"/>
          </c:errBars>
          <c:xVal>
            <c:numRef>
              <c:f>ICP!$S$15:$S$24</c:f>
              <c:numCache>
                <c:formatCode>General</c:formatCode>
                <c:ptCount val="9"/>
                <c:pt idx="0">
                  <c:v>0.72663460288574</c:v>
                </c:pt>
                <c:pt idx="1">
                  <c:v>1.351878330950214</c:v>
                </c:pt>
                <c:pt idx="2">
                  <c:v>1.975822176004159</c:v>
                </c:pt>
                <c:pt idx="3">
                  <c:v>2.695957363837254</c:v>
                </c:pt>
                <c:pt idx="4">
                  <c:v>3.466787989080982</c:v>
                </c:pt>
                <c:pt idx="5">
                  <c:v>4.118029377356025</c:v>
                </c:pt>
                <c:pt idx="6">
                  <c:v>4.97465228129469</c:v>
                </c:pt>
                <c:pt idx="7">
                  <c:v>5.6</c:v>
                </c:pt>
                <c:pt idx="8">
                  <c:v>6.6</c:v>
                </c:pt>
              </c:numCache>
            </c:numRef>
          </c:xVal>
          <c:yVal>
            <c:numRef>
              <c:f>ICP!$N$15:$N$24</c:f>
              <c:numCache>
                <c:formatCode>General</c:formatCode>
                <c:ptCount val="9"/>
                <c:pt idx="0">
                  <c:v>0.087</c:v>
                </c:pt>
                <c:pt idx="1">
                  <c:v>0.095</c:v>
                </c:pt>
                <c:pt idx="2">
                  <c:v>0.2</c:v>
                </c:pt>
                <c:pt idx="3">
                  <c:v>0.19</c:v>
                </c:pt>
                <c:pt idx="4">
                  <c:v>1.752196902654867</c:v>
                </c:pt>
                <c:pt idx="5">
                  <c:v>1.755522123893805</c:v>
                </c:pt>
                <c:pt idx="6">
                  <c:v>2.172499999999999</c:v>
                </c:pt>
                <c:pt idx="7">
                  <c:v>2.354053097345133</c:v>
                </c:pt>
                <c:pt idx="8">
                  <c:v>2.957982300884955</c:v>
                </c:pt>
              </c:numCache>
            </c:numRef>
          </c:yVal>
          <c:smooth val="0"/>
        </c:ser>
        <c:dLbls>
          <c:showLegendKey val="0"/>
          <c:showVal val="0"/>
          <c:showCatName val="0"/>
          <c:showSerName val="0"/>
          <c:showPercent val="0"/>
          <c:showBubbleSize val="0"/>
        </c:dLbls>
        <c:axId val="2131195032"/>
        <c:axId val="2131200968"/>
      </c:scatterChart>
      <c:valAx>
        <c:axId val="2131195032"/>
        <c:scaling>
          <c:orientation val="minMax"/>
        </c:scaling>
        <c:delete val="0"/>
        <c:axPos val="b"/>
        <c:title>
          <c:tx>
            <c:rich>
              <a:bodyPr/>
              <a:lstStyle/>
              <a:p>
                <a:pPr>
                  <a:defRPr/>
                </a:pPr>
                <a:r>
                  <a:rPr lang="en-GB" sz="800" b="1" i="0" baseline="0">
                    <a:effectLst/>
                    <a:latin typeface="Verdana" pitchFamily="34" charset="0"/>
                  </a:rPr>
                  <a:t>Cumulative Flow Through (Specimen Volumes)</a:t>
                </a:r>
                <a:endParaRPr lang="en-GB" sz="800">
                  <a:effectLst/>
                  <a:latin typeface="Verdana" pitchFamily="34" charset="0"/>
                </a:endParaRP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2131200968"/>
        <c:crosses val="autoZero"/>
        <c:crossBetween val="midCat"/>
      </c:valAx>
      <c:valAx>
        <c:axId val="2131200968"/>
        <c:scaling>
          <c:orientation val="minMax"/>
        </c:scaling>
        <c:delete val="0"/>
        <c:axPos val="l"/>
        <c:majorGridlines/>
        <c:title>
          <c:tx>
            <c:rich>
              <a:bodyPr rot="-5400000" vert="horz"/>
              <a:lstStyle/>
              <a:p>
                <a:pPr>
                  <a:defRPr sz="700">
                    <a:latin typeface="Verdana" pitchFamily="34" charset="0"/>
                  </a:defRPr>
                </a:pPr>
                <a:r>
                  <a:rPr lang="en-US" sz="700">
                    <a:latin typeface="Verdana" pitchFamily="34" charset="0"/>
                  </a:rPr>
                  <a:t>Cumulative cerium mass percentage with respect to original amount in solution (%)</a:t>
                </a:r>
              </a:p>
            </c:rich>
          </c:tx>
          <c:layout>
            <c:manualLayout>
              <c:xMode val="edge"/>
              <c:yMode val="edge"/>
              <c:x val="0.010281397662032"/>
              <c:y val="0.0745487054292886"/>
            </c:manualLayout>
          </c:layout>
          <c:overlay val="0"/>
        </c:title>
        <c:numFmt formatCode="General" sourceLinked="1"/>
        <c:majorTickMark val="out"/>
        <c:minorTickMark val="none"/>
        <c:tickLblPos val="nextTo"/>
        <c:crossAx val="2131195032"/>
        <c:crosses val="autoZero"/>
        <c:crossBetween val="midCat"/>
      </c:valAx>
    </c:plotArea>
    <c:plotVisOnly val="1"/>
    <c:dispBlanksAs val="gap"/>
    <c:showDLblsOverMax val="0"/>
  </c:chart>
  <c:spPr>
    <a:ln>
      <a:noFill/>
    </a:ln>
  </c:sp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3977828589514"/>
          <c:y val="0.060313652964198"/>
          <c:w val="0.785119510151414"/>
          <c:h val="0.657906778894018"/>
        </c:manualLayout>
      </c:layout>
      <c:scatterChart>
        <c:scatterStyle val="lineMarker"/>
        <c:varyColors val="0"/>
        <c:ser>
          <c:idx val="0"/>
          <c:order val="0"/>
          <c:tx>
            <c:v>ADVA Cast 551</c:v>
          </c:tx>
          <c:spPr>
            <a:ln>
              <a:solidFill>
                <a:srgbClr val="1F497D"/>
              </a:solidFill>
            </a:ln>
          </c:spPr>
          <c:marker>
            <c:spPr>
              <a:solidFill>
                <a:srgbClr val="1F497D"/>
              </a:solidFill>
              <a:ln>
                <a:solidFill>
                  <a:srgbClr val="1F497D"/>
                </a:solidFill>
              </a:ln>
            </c:spPr>
          </c:marker>
          <c:errBars>
            <c:errDir val="y"/>
            <c:errBarType val="both"/>
            <c:errValType val="percentage"/>
            <c:noEndCap val="0"/>
            <c:val val="5.0"/>
          </c:errBars>
          <c:xVal>
            <c:numRef>
              <c:f>ICP!$S$3:$S$12</c:f>
              <c:numCache>
                <c:formatCode>General</c:formatCode>
                <c:ptCount val="10"/>
                <c:pt idx="0">
                  <c:v>0.490055894969453</c:v>
                </c:pt>
                <c:pt idx="1">
                  <c:v>1.006109450149486</c:v>
                </c:pt>
                <c:pt idx="2">
                  <c:v>1.598856102950734</c:v>
                </c:pt>
                <c:pt idx="3">
                  <c:v>2.20850123488886</c:v>
                </c:pt>
                <c:pt idx="4">
                  <c:v>2.82</c:v>
                </c:pt>
                <c:pt idx="5">
                  <c:v>3.456388924996737</c:v>
                </c:pt>
                <c:pt idx="6">
                  <c:v>3.903548680618742</c:v>
                </c:pt>
                <c:pt idx="7">
                  <c:v>4.5</c:v>
                </c:pt>
                <c:pt idx="8">
                  <c:v>5.4</c:v>
                </c:pt>
                <c:pt idx="9">
                  <c:v>6.5241128298452</c:v>
                </c:pt>
              </c:numCache>
            </c:numRef>
          </c:xVal>
          <c:yVal>
            <c:numRef>
              <c:f>ICP!$N$3:$N$12</c:f>
              <c:numCache>
                <c:formatCode>General</c:formatCode>
                <c:ptCount val="10"/>
                <c:pt idx="0">
                  <c:v>0.00223517786561265</c:v>
                </c:pt>
                <c:pt idx="1">
                  <c:v>0.0</c:v>
                </c:pt>
                <c:pt idx="2">
                  <c:v>0.00729249011857707</c:v>
                </c:pt>
                <c:pt idx="3">
                  <c:v>0.1</c:v>
                </c:pt>
                <c:pt idx="4">
                  <c:v>0.12</c:v>
                </c:pt>
                <c:pt idx="5">
                  <c:v>1.8</c:v>
                </c:pt>
                <c:pt idx="6">
                  <c:v>2.2</c:v>
                </c:pt>
                <c:pt idx="7">
                  <c:v>2.8</c:v>
                </c:pt>
                <c:pt idx="8">
                  <c:v>3.8</c:v>
                </c:pt>
                <c:pt idx="9">
                  <c:v>4.1</c:v>
                </c:pt>
              </c:numCache>
            </c:numRef>
          </c:yVal>
          <c:smooth val="0"/>
        </c:ser>
        <c:dLbls>
          <c:showLegendKey val="0"/>
          <c:showVal val="0"/>
          <c:showCatName val="0"/>
          <c:showSerName val="0"/>
          <c:showPercent val="0"/>
          <c:showBubbleSize val="0"/>
        </c:dLbls>
        <c:axId val="2132429832"/>
        <c:axId val="2132435704"/>
      </c:scatterChart>
      <c:valAx>
        <c:axId val="2132429832"/>
        <c:scaling>
          <c:orientation val="minMax"/>
        </c:scaling>
        <c:delete val="0"/>
        <c:axPos val="b"/>
        <c:title>
          <c:tx>
            <c:rich>
              <a:bodyPr/>
              <a:lstStyle/>
              <a:p>
                <a:pPr>
                  <a:defRPr/>
                </a:pPr>
                <a:r>
                  <a:rPr lang="en-GB" sz="800" b="1" i="0" baseline="0">
                    <a:effectLst/>
                    <a:latin typeface="Verdana" pitchFamily="34" charset="0"/>
                  </a:rPr>
                  <a:t>Cumulative Flow Through (Specimen Volumes)</a:t>
                </a:r>
                <a:endParaRPr lang="en-GB" sz="800">
                  <a:effectLst/>
                  <a:latin typeface="Verdana" pitchFamily="34" charset="0"/>
                </a:endParaRP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2132435704"/>
        <c:crosses val="autoZero"/>
        <c:crossBetween val="midCat"/>
      </c:valAx>
      <c:valAx>
        <c:axId val="2132435704"/>
        <c:scaling>
          <c:orientation val="minMax"/>
        </c:scaling>
        <c:delete val="0"/>
        <c:axPos val="l"/>
        <c:majorGridlines/>
        <c:title>
          <c:tx>
            <c:rich>
              <a:bodyPr rot="-5400000" vert="horz"/>
              <a:lstStyle/>
              <a:p>
                <a:pPr>
                  <a:defRPr sz="700"/>
                </a:pPr>
                <a:r>
                  <a:rPr lang="en-US" sz="700" b="1" i="0" baseline="0">
                    <a:effectLst/>
                    <a:latin typeface="Verdana" pitchFamily="34" charset="0"/>
                  </a:rPr>
                  <a:t>Cumulative cerium mass percentage with respect to original amount in solution (%)</a:t>
                </a:r>
                <a:endParaRPr lang="en-GB" sz="700">
                  <a:effectLst/>
                  <a:latin typeface="Verdana" pitchFamily="34" charset="0"/>
                </a:endParaRPr>
              </a:p>
            </c:rich>
          </c:tx>
          <c:layout>
            <c:manualLayout>
              <c:xMode val="edge"/>
              <c:yMode val="edge"/>
              <c:x val="0.000510664716253421"/>
              <c:y val="0.0491050225864624"/>
            </c:manualLayout>
          </c:layout>
          <c:overlay val="0"/>
        </c:title>
        <c:numFmt formatCode="General" sourceLinked="1"/>
        <c:majorTickMark val="out"/>
        <c:minorTickMark val="none"/>
        <c:tickLblPos val="nextTo"/>
        <c:crossAx val="2132429832"/>
        <c:crosses val="autoZero"/>
        <c:crossBetween val="midCat"/>
      </c:valAx>
      <c:spPr>
        <a:ln>
          <a:noFill/>
        </a:ln>
      </c:spPr>
    </c:plotArea>
    <c:plotVisOnly val="1"/>
    <c:dispBlanksAs val="gap"/>
    <c:showDLblsOverMax val="0"/>
  </c:chart>
  <c:spPr>
    <a:ln>
      <a:noFill/>
    </a:ln>
  </c:sp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3754202606709"/>
          <c:y val="0.0840879689521345"/>
          <c:w val="0.76104093471882"/>
          <c:h val="0.680811033808355"/>
        </c:manualLayout>
      </c:layout>
      <c:scatterChart>
        <c:scatterStyle val="lineMarker"/>
        <c:varyColors val="0"/>
        <c:ser>
          <c:idx val="0"/>
          <c:order val="0"/>
          <c:spPr>
            <a:ln>
              <a:solidFill>
                <a:schemeClr val="accent1">
                  <a:lumMod val="75000"/>
                </a:schemeClr>
              </a:solidFill>
            </a:ln>
          </c:spPr>
          <c:marker>
            <c:spPr>
              <a:solidFill>
                <a:schemeClr val="accent1">
                  <a:lumMod val="75000"/>
                </a:schemeClr>
              </a:solidFill>
              <a:ln>
                <a:solidFill>
                  <a:schemeClr val="accent1">
                    <a:lumMod val="75000"/>
                  </a:schemeClr>
                </a:solidFill>
              </a:ln>
            </c:spPr>
          </c:marker>
          <c:errBars>
            <c:errDir val="y"/>
            <c:errBarType val="both"/>
            <c:errValType val="percentage"/>
            <c:noEndCap val="0"/>
            <c:val val="4.0"/>
          </c:errBars>
          <c:xVal>
            <c:numRef>
              <c:f>TOC!$A$7:$A$10</c:f>
              <c:numCache>
                <c:formatCode>General</c:formatCode>
                <c:ptCount val="4"/>
                <c:pt idx="0">
                  <c:v>3.4</c:v>
                </c:pt>
                <c:pt idx="1">
                  <c:v>4.5</c:v>
                </c:pt>
                <c:pt idx="2">
                  <c:v>5.4</c:v>
                </c:pt>
                <c:pt idx="3">
                  <c:v>6.5</c:v>
                </c:pt>
              </c:numCache>
            </c:numRef>
          </c:xVal>
          <c:yVal>
            <c:numRef>
              <c:f>TOC!$C$7:$C$10</c:f>
              <c:numCache>
                <c:formatCode>General</c:formatCode>
                <c:ptCount val="4"/>
                <c:pt idx="0">
                  <c:v>1200.0</c:v>
                </c:pt>
                <c:pt idx="1">
                  <c:v>1900.0</c:v>
                </c:pt>
                <c:pt idx="2">
                  <c:v>2200.0</c:v>
                </c:pt>
                <c:pt idx="3">
                  <c:v>2400.0</c:v>
                </c:pt>
              </c:numCache>
            </c:numRef>
          </c:yVal>
          <c:smooth val="0"/>
        </c:ser>
        <c:dLbls>
          <c:showLegendKey val="0"/>
          <c:showVal val="0"/>
          <c:showCatName val="0"/>
          <c:showSerName val="0"/>
          <c:showPercent val="0"/>
          <c:showBubbleSize val="0"/>
        </c:dLbls>
        <c:axId val="2131170808"/>
        <c:axId val="2131216056"/>
      </c:scatterChart>
      <c:valAx>
        <c:axId val="2131170808"/>
        <c:scaling>
          <c:orientation val="minMax"/>
          <c:max val="7.0"/>
          <c:min val="3.0"/>
        </c:scaling>
        <c:delete val="0"/>
        <c:axPos val="b"/>
        <c:title>
          <c:tx>
            <c:rich>
              <a:bodyPr/>
              <a:lstStyle/>
              <a:p>
                <a:pPr>
                  <a:defRPr>
                    <a:latin typeface="+mj-lt"/>
                  </a:defRPr>
                </a:pPr>
                <a:r>
                  <a:rPr lang="en-US">
                    <a:latin typeface="+mj-lt"/>
                  </a:rPr>
                  <a:t>Cumulative Flow through</a:t>
                </a:r>
                <a:r>
                  <a:rPr lang="en-US" baseline="0">
                    <a:latin typeface="+mj-lt"/>
                  </a:rPr>
                  <a:t> (</a:t>
                </a:r>
                <a:r>
                  <a:rPr lang="en-US">
                    <a:latin typeface="+mj-lt"/>
                  </a:rPr>
                  <a:t>Specimen</a:t>
                </a:r>
                <a:r>
                  <a:rPr lang="en-US" baseline="0">
                    <a:latin typeface="+mj-lt"/>
                  </a:rPr>
                  <a:t> Volumes)</a:t>
                </a:r>
              </a:p>
            </c:rich>
          </c:tx>
          <c:layout>
            <c:manualLayout>
              <c:xMode val="edge"/>
              <c:yMode val="edge"/>
              <c:x val="0.274748198123141"/>
              <c:y val="0.883570504527814"/>
            </c:manualLayout>
          </c:layout>
          <c:overlay val="0"/>
        </c:title>
        <c:numFmt formatCode="General" sourceLinked="1"/>
        <c:majorTickMark val="out"/>
        <c:minorTickMark val="none"/>
        <c:tickLblPos val="nextTo"/>
        <c:txPr>
          <a:bodyPr/>
          <a:lstStyle/>
          <a:p>
            <a:pPr>
              <a:defRPr>
                <a:latin typeface="+mj-lt"/>
              </a:defRPr>
            </a:pPr>
            <a:endParaRPr lang="en-US"/>
          </a:p>
        </c:txPr>
        <c:crossAx val="2131216056"/>
        <c:crosses val="autoZero"/>
        <c:crossBetween val="midCat"/>
      </c:valAx>
      <c:valAx>
        <c:axId val="2131216056"/>
        <c:scaling>
          <c:orientation val="minMax"/>
          <c:max val="2500.0"/>
          <c:min val="1000.0"/>
        </c:scaling>
        <c:delete val="0"/>
        <c:axPos val="l"/>
        <c:majorGridlines/>
        <c:title>
          <c:tx>
            <c:rich>
              <a:bodyPr rot="-5400000" vert="horz"/>
              <a:lstStyle/>
              <a:p>
                <a:pPr>
                  <a:defRPr>
                    <a:latin typeface="+mj-lt"/>
                  </a:defRPr>
                </a:pPr>
                <a:r>
                  <a:rPr lang="en-US">
                    <a:latin typeface="+mj-lt"/>
                  </a:rPr>
                  <a:t>Total Organic Carbon Composition</a:t>
                </a:r>
                <a:r>
                  <a:rPr lang="en-US" baseline="0">
                    <a:latin typeface="+mj-lt"/>
                  </a:rPr>
                  <a:t> (ppm)</a:t>
                </a:r>
              </a:p>
            </c:rich>
          </c:tx>
          <c:layout>
            <c:manualLayout>
              <c:xMode val="edge"/>
              <c:yMode val="edge"/>
              <c:x val="0.0"/>
              <c:y val="0.139888052479857"/>
            </c:manualLayout>
          </c:layout>
          <c:overlay val="0"/>
        </c:title>
        <c:numFmt formatCode="General" sourceLinked="1"/>
        <c:majorTickMark val="out"/>
        <c:minorTickMark val="none"/>
        <c:tickLblPos val="nextTo"/>
        <c:txPr>
          <a:bodyPr/>
          <a:lstStyle/>
          <a:p>
            <a:pPr>
              <a:defRPr>
                <a:latin typeface="+mj-lt"/>
              </a:defRPr>
            </a:pPr>
            <a:endParaRPr lang="en-US"/>
          </a:p>
        </c:txPr>
        <c:crossAx val="2131170808"/>
        <c:crosses val="autoZero"/>
        <c:crossBetween val="midCat"/>
        <c:majorUnit val="250.0"/>
      </c:valAx>
    </c:plotArea>
    <c:plotVisOnly val="1"/>
    <c:dispBlanksAs val="gap"/>
    <c:showDLblsOverMax val="0"/>
  </c:chart>
  <c:spPr>
    <a:ln>
      <a:noFill/>
    </a:ln>
  </c:sp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22615470479983"/>
          <c:y val="0.0648148148148148"/>
          <c:w val="0.738970947597068"/>
          <c:h val="0.77005016510033"/>
        </c:manualLayout>
      </c:layout>
      <c:scatterChart>
        <c:scatterStyle val="lineMarker"/>
        <c:varyColors val="0"/>
        <c:ser>
          <c:idx val="0"/>
          <c:order val="0"/>
          <c:tx>
            <c:v>pH of SCEA</c:v>
          </c:tx>
          <c:spPr>
            <a:ln w="28575" cmpd="sng">
              <a:solidFill>
                <a:schemeClr val="accent1">
                  <a:lumMod val="75000"/>
                </a:schemeClr>
              </a:solidFill>
            </a:ln>
            <a:effectLst/>
          </c:spPr>
          <c:marker>
            <c:symbol val="square"/>
            <c:size val="5"/>
            <c:spPr>
              <a:solidFill>
                <a:schemeClr val="accent1">
                  <a:lumMod val="75000"/>
                </a:schemeClr>
              </a:solidFill>
              <a:ln w="28575" cmpd="sng">
                <a:solidFill>
                  <a:schemeClr val="accent1">
                    <a:lumMod val="75000"/>
                  </a:schemeClr>
                </a:solidFill>
              </a:ln>
              <a:effectLst/>
            </c:spPr>
          </c:marker>
          <c:xVal>
            <c:numRef>
              <c:f>Sheet1!$C$14:$C$23</c:f>
              <c:numCache>
                <c:formatCode>General</c:formatCode>
                <c:ptCount val="10"/>
                <c:pt idx="0">
                  <c:v>0.490055894969453</c:v>
                </c:pt>
                <c:pt idx="1">
                  <c:v>1.006109450149486</c:v>
                </c:pt>
                <c:pt idx="2">
                  <c:v>1.598856102950734</c:v>
                </c:pt>
                <c:pt idx="3">
                  <c:v>2.20850123488886</c:v>
                </c:pt>
                <c:pt idx="4">
                  <c:v>2.82</c:v>
                </c:pt>
                <c:pt idx="5">
                  <c:v>3.456388924996737</c:v>
                </c:pt>
                <c:pt idx="6">
                  <c:v>3.903548680618742</c:v>
                </c:pt>
                <c:pt idx="7">
                  <c:v>4.5</c:v>
                </c:pt>
                <c:pt idx="8">
                  <c:v>5.4</c:v>
                </c:pt>
                <c:pt idx="9">
                  <c:v>6.524112829845272</c:v>
                </c:pt>
              </c:numCache>
            </c:numRef>
          </c:xVal>
          <c:yVal>
            <c:numRef>
              <c:f>Sheet1!$D$14:$D$23</c:f>
              <c:numCache>
                <c:formatCode>General</c:formatCode>
                <c:ptCount val="10"/>
                <c:pt idx="0">
                  <c:v>13.2</c:v>
                </c:pt>
                <c:pt idx="1">
                  <c:v>13.48</c:v>
                </c:pt>
                <c:pt idx="2">
                  <c:v>12.81</c:v>
                </c:pt>
                <c:pt idx="3">
                  <c:v>12.16</c:v>
                </c:pt>
                <c:pt idx="4">
                  <c:v>12.18</c:v>
                </c:pt>
                <c:pt idx="5">
                  <c:v>12.15</c:v>
                </c:pt>
                <c:pt idx="6">
                  <c:v>12.26</c:v>
                </c:pt>
                <c:pt idx="7">
                  <c:v>12.29</c:v>
                </c:pt>
                <c:pt idx="8">
                  <c:v>12.34</c:v>
                </c:pt>
                <c:pt idx="9">
                  <c:v>12.11</c:v>
                </c:pt>
              </c:numCache>
            </c:numRef>
          </c:yVal>
          <c:smooth val="0"/>
        </c:ser>
        <c:dLbls>
          <c:showLegendKey val="0"/>
          <c:showVal val="0"/>
          <c:showCatName val="0"/>
          <c:showSerName val="0"/>
          <c:showPercent val="0"/>
          <c:showBubbleSize val="0"/>
        </c:dLbls>
        <c:axId val="2090066312"/>
        <c:axId val="2090061160"/>
      </c:scatterChart>
      <c:scatterChart>
        <c:scatterStyle val="lineMarker"/>
        <c:varyColors val="0"/>
        <c:ser>
          <c:idx val="1"/>
          <c:order val="1"/>
          <c:tx>
            <c:v>Na Concentration (ppm)</c:v>
          </c:tx>
          <c:spPr>
            <a:ln w="28575" cmpd="sng">
              <a:solidFill>
                <a:srgbClr val="008000"/>
              </a:solidFill>
            </a:ln>
          </c:spPr>
          <c:marker>
            <c:symbol val="triangle"/>
            <c:size val="5"/>
            <c:spPr>
              <a:solidFill>
                <a:srgbClr val="008000"/>
              </a:solidFill>
              <a:ln w="28575" cmpd="sng">
                <a:solidFill>
                  <a:srgbClr val="008000"/>
                </a:solidFill>
              </a:ln>
            </c:spPr>
          </c:marker>
          <c:xVal>
            <c:numRef>
              <c:f>Sheet1!$C$14:$C$23</c:f>
              <c:numCache>
                <c:formatCode>General</c:formatCode>
                <c:ptCount val="10"/>
                <c:pt idx="0">
                  <c:v>0.490055894969453</c:v>
                </c:pt>
                <c:pt idx="1">
                  <c:v>1.006109450149486</c:v>
                </c:pt>
                <c:pt idx="2">
                  <c:v>1.598856102950734</c:v>
                </c:pt>
                <c:pt idx="3">
                  <c:v>2.20850123488886</c:v>
                </c:pt>
                <c:pt idx="4">
                  <c:v>2.82</c:v>
                </c:pt>
                <c:pt idx="5">
                  <c:v>3.456388924996737</c:v>
                </c:pt>
                <c:pt idx="6">
                  <c:v>3.903548680618742</c:v>
                </c:pt>
                <c:pt idx="7">
                  <c:v>4.5</c:v>
                </c:pt>
                <c:pt idx="8">
                  <c:v>5.4</c:v>
                </c:pt>
                <c:pt idx="9">
                  <c:v>6.524112829845272</c:v>
                </c:pt>
              </c:numCache>
            </c:numRef>
          </c:xVal>
          <c:yVal>
            <c:numRef>
              <c:f>Sheet1!$R$26:$R$36</c:f>
              <c:numCache>
                <c:formatCode>General</c:formatCode>
                <c:ptCount val="11"/>
                <c:pt idx="0">
                  <c:v>195.0</c:v>
                </c:pt>
                <c:pt idx="1">
                  <c:v>274.0</c:v>
                </c:pt>
                <c:pt idx="2">
                  <c:v>162.0</c:v>
                </c:pt>
                <c:pt idx="3">
                  <c:v>43.0</c:v>
                </c:pt>
                <c:pt idx="4">
                  <c:v>42.0</c:v>
                </c:pt>
                <c:pt idx="5">
                  <c:v>36.0</c:v>
                </c:pt>
                <c:pt idx="6">
                  <c:v>12.0</c:v>
                </c:pt>
                <c:pt idx="7">
                  <c:v>15.0</c:v>
                </c:pt>
                <c:pt idx="8">
                  <c:v>4.0</c:v>
                </c:pt>
                <c:pt idx="9">
                  <c:v>3.33</c:v>
                </c:pt>
                <c:pt idx="10">
                  <c:v>3.96</c:v>
                </c:pt>
              </c:numCache>
            </c:numRef>
          </c:yVal>
          <c:smooth val="0"/>
        </c:ser>
        <c:dLbls>
          <c:showLegendKey val="0"/>
          <c:showVal val="0"/>
          <c:showCatName val="0"/>
          <c:showSerName val="0"/>
          <c:showPercent val="0"/>
          <c:showBubbleSize val="0"/>
        </c:dLbls>
        <c:axId val="2090049864"/>
        <c:axId val="2090055624"/>
      </c:scatterChart>
      <c:valAx>
        <c:axId val="2090066312"/>
        <c:scaling>
          <c:orientation val="minMax"/>
        </c:scaling>
        <c:delete val="0"/>
        <c:axPos val="b"/>
        <c:title>
          <c:tx>
            <c:rich>
              <a:bodyPr/>
              <a:lstStyle/>
              <a:p>
                <a:pPr>
                  <a:defRPr/>
                </a:pPr>
                <a:r>
                  <a:rPr lang="en-US"/>
                  <a:t>Cumulative Flow Through (Specimen Volumes)</a:t>
                </a:r>
              </a:p>
            </c:rich>
          </c:tx>
          <c:overlay val="0"/>
        </c:title>
        <c:numFmt formatCode="General" sourceLinked="1"/>
        <c:majorTickMark val="out"/>
        <c:minorTickMark val="none"/>
        <c:tickLblPos val="nextTo"/>
        <c:crossAx val="2090061160"/>
        <c:crosses val="autoZero"/>
        <c:crossBetween val="midCat"/>
      </c:valAx>
      <c:valAx>
        <c:axId val="2090061160"/>
        <c:scaling>
          <c:orientation val="minMax"/>
          <c:min val="11.0"/>
        </c:scaling>
        <c:delete val="0"/>
        <c:axPos val="l"/>
        <c:majorGridlines/>
        <c:title>
          <c:tx>
            <c:rich>
              <a:bodyPr/>
              <a:lstStyle/>
              <a:p>
                <a:pPr>
                  <a:defRPr/>
                </a:pPr>
                <a:r>
                  <a:rPr lang="en-US"/>
                  <a:t>pH</a:t>
                </a:r>
              </a:p>
            </c:rich>
          </c:tx>
          <c:overlay val="0"/>
        </c:title>
        <c:numFmt formatCode="General" sourceLinked="1"/>
        <c:majorTickMark val="out"/>
        <c:minorTickMark val="none"/>
        <c:tickLblPos val="nextTo"/>
        <c:crossAx val="2090066312"/>
        <c:crosses val="autoZero"/>
        <c:crossBetween val="midCat"/>
      </c:valAx>
      <c:valAx>
        <c:axId val="2090055624"/>
        <c:scaling>
          <c:orientation val="minMax"/>
        </c:scaling>
        <c:delete val="0"/>
        <c:axPos val="r"/>
        <c:title>
          <c:tx>
            <c:rich>
              <a:bodyPr rot="-5400000" vert="horz"/>
              <a:lstStyle/>
              <a:p>
                <a:pPr>
                  <a:defRPr/>
                </a:pPr>
                <a:r>
                  <a:rPr lang="en-US"/>
                  <a:t>Element concentration (ppm)</a:t>
                </a:r>
              </a:p>
            </c:rich>
          </c:tx>
          <c:overlay val="0"/>
        </c:title>
        <c:numFmt formatCode="General" sourceLinked="1"/>
        <c:majorTickMark val="out"/>
        <c:minorTickMark val="none"/>
        <c:tickLblPos val="nextTo"/>
        <c:spPr>
          <a:noFill/>
        </c:spPr>
        <c:crossAx val="2090049864"/>
        <c:crosses val="max"/>
        <c:crossBetween val="midCat"/>
      </c:valAx>
      <c:valAx>
        <c:axId val="2090049864"/>
        <c:scaling>
          <c:orientation val="minMax"/>
        </c:scaling>
        <c:delete val="1"/>
        <c:axPos val="b"/>
        <c:numFmt formatCode="General" sourceLinked="1"/>
        <c:majorTickMark val="out"/>
        <c:minorTickMark val="none"/>
        <c:tickLblPos val="nextTo"/>
        <c:crossAx val="2090055624"/>
        <c:crosses val="autoZero"/>
        <c:crossBetween val="midCat"/>
      </c:valAx>
    </c:plotArea>
    <c:legend>
      <c:legendPos val="r"/>
      <c:layout>
        <c:manualLayout>
          <c:xMode val="edge"/>
          <c:yMode val="edge"/>
          <c:x val="0.248471675415573"/>
          <c:y val="0.0605288346264878"/>
          <c:w val="0.478859179060951"/>
          <c:h val="0.116508457276174"/>
        </c:manualLayout>
      </c:layout>
      <c:overlay val="0"/>
    </c:legend>
    <c:plotVisOnly val="1"/>
    <c:dispBlanksAs val="gap"/>
    <c:showDLblsOverMax val="0"/>
  </c:chart>
  <c:txPr>
    <a:bodyPr/>
    <a:lstStyle/>
    <a:p>
      <a:pPr>
        <a:defRPr>
          <a:latin typeface="+mj-lt"/>
        </a:defRPr>
      </a:pPr>
      <a:endParaRPr lang="en-US"/>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22615470479983"/>
          <c:y val="0.0648148148148148"/>
          <c:w val="0.738970947597068"/>
          <c:h val="0.77005016510033"/>
        </c:manualLayout>
      </c:layout>
      <c:scatterChart>
        <c:scatterStyle val="lineMarker"/>
        <c:varyColors val="0"/>
        <c:ser>
          <c:idx val="0"/>
          <c:order val="0"/>
          <c:tx>
            <c:v>pH of SCEA</c:v>
          </c:tx>
          <c:spPr>
            <a:ln w="28575" cmpd="sng">
              <a:solidFill>
                <a:schemeClr val="accent1">
                  <a:lumMod val="75000"/>
                </a:schemeClr>
              </a:solidFill>
            </a:ln>
            <a:effectLst/>
          </c:spPr>
          <c:marker>
            <c:symbol val="square"/>
            <c:size val="5"/>
            <c:spPr>
              <a:solidFill>
                <a:schemeClr val="accent1">
                  <a:lumMod val="75000"/>
                </a:schemeClr>
              </a:solidFill>
              <a:ln w="28575" cmpd="sng">
                <a:solidFill>
                  <a:schemeClr val="accent1">
                    <a:lumMod val="75000"/>
                  </a:schemeClr>
                </a:solidFill>
              </a:ln>
              <a:effectLst/>
            </c:spPr>
          </c:marker>
          <c:xVal>
            <c:numRef>
              <c:f>Sheet1!$C$14:$C$23</c:f>
              <c:numCache>
                <c:formatCode>General</c:formatCode>
                <c:ptCount val="10"/>
                <c:pt idx="0">
                  <c:v>0.490055894969453</c:v>
                </c:pt>
                <c:pt idx="1">
                  <c:v>1.006109450149486</c:v>
                </c:pt>
                <c:pt idx="2">
                  <c:v>1.598856102950734</c:v>
                </c:pt>
                <c:pt idx="3">
                  <c:v>2.20850123488886</c:v>
                </c:pt>
                <c:pt idx="4">
                  <c:v>2.82</c:v>
                </c:pt>
                <c:pt idx="5">
                  <c:v>3.456388924996737</c:v>
                </c:pt>
                <c:pt idx="6">
                  <c:v>3.903548680618742</c:v>
                </c:pt>
                <c:pt idx="7">
                  <c:v>4.5</c:v>
                </c:pt>
                <c:pt idx="8">
                  <c:v>5.4</c:v>
                </c:pt>
                <c:pt idx="9">
                  <c:v>6.524112829845272</c:v>
                </c:pt>
              </c:numCache>
            </c:numRef>
          </c:xVal>
          <c:yVal>
            <c:numRef>
              <c:f>Sheet1!$D$14:$D$23</c:f>
              <c:numCache>
                <c:formatCode>General</c:formatCode>
                <c:ptCount val="10"/>
                <c:pt idx="0">
                  <c:v>13.2</c:v>
                </c:pt>
                <c:pt idx="1">
                  <c:v>13.48</c:v>
                </c:pt>
                <c:pt idx="2">
                  <c:v>12.81</c:v>
                </c:pt>
                <c:pt idx="3">
                  <c:v>12.16</c:v>
                </c:pt>
                <c:pt idx="4">
                  <c:v>12.18</c:v>
                </c:pt>
                <c:pt idx="5">
                  <c:v>12.15</c:v>
                </c:pt>
                <c:pt idx="6">
                  <c:v>12.26</c:v>
                </c:pt>
                <c:pt idx="7">
                  <c:v>12.29</c:v>
                </c:pt>
                <c:pt idx="8">
                  <c:v>12.34</c:v>
                </c:pt>
                <c:pt idx="9">
                  <c:v>12.11</c:v>
                </c:pt>
              </c:numCache>
            </c:numRef>
          </c:yVal>
          <c:smooth val="0"/>
        </c:ser>
        <c:dLbls>
          <c:showLegendKey val="0"/>
          <c:showVal val="0"/>
          <c:showCatName val="0"/>
          <c:showSerName val="0"/>
          <c:showPercent val="0"/>
          <c:showBubbleSize val="0"/>
        </c:dLbls>
        <c:axId val="2132478696"/>
        <c:axId val="2132486232"/>
      </c:scatterChart>
      <c:scatterChart>
        <c:scatterStyle val="lineMarker"/>
        <c:varyColors val="0"/>
        <c:ser>
          <c:idx val="1"/>
          <c:order val="1"/>
          <c:tx>
            <c:v>K Concentration (ppm)</c:v>
          </c:tx>
          <c:spPr>
            <a:ln w="28575" cmpd="sng">
              <a:solidFill>
                <a:srgbClr val="008000"/>
              </a:solidFill>
            </a:ln>
          </c:spPr>
          <c:marker>
            <c:symbol val="triangle"/>
            <c:size val="5"/>
            <c:spPr>
              <a:solidFill>
                <a:srgbClr val="008000"/>
              </a:solidFill>
              <a:ln w="28575" cmpd="sng">
                <a:solidFill>
                  <a:srgbClr val="008000"/>
                </a:solidFill>
              </a:ln>
            </c:spPr>
          </c:marker>
          <c:xVal>
            <c:numRef>
              <c:f>Sheet1!$C$14:$C$23</c:f>
              <c:numCache>
                <c:formatCode>General</c:formatCode>
                <c:ptCount val="10"/>
                <c:pt idx="0">
                  <c:v>0.490055894969453</c:v>
                </c:pt>
                <c:pt idx="1">
                  <c:v>1.006109450149486</c:v>
                </c:pt>
                <c:pt idx="2">
                  <c:v>1.598856102950734</c:v>
                </c:pt>
                <c:pt idx="3">
                  <c:v>2.20850123488886</c:v>
                </c:pt>
                <c:pt idx="4">
                  <c:v>2.82</c:v>
                </c:pt>
                <c:pt idx="5">
                  <c:v>3.456388924996737</c:v>
                </c:pt>
                <c:pt idx="6">
                  <c:v>3.903548680618742</c:v>
                </c:pt>
                <c:pt idx="7">
                  <c:v>4.5</c:v>
                </c:pt>
                <c:pt idx="8">
                  <c:v>5.4</c:v>
                </c:pt>
                <c:pt idx="9">
                  <c:v>6.524112829845272</c:v>
                </c:pt>
              </c:numCache>
            </c:numRef>
          </c:xVal>
          <c:yVal>
            <c:numRef>
              <c:f>Sheet1!$A$1:$A$11</c:f>
              <c:numCache>
                <c:formatCode>General</c:formatCode>
                <c:ptCount val="11"/>
                <c:pt idx="0">
                  <c:v>4700.0</c:v>
                </c:pt>
                <c:pt idx="1">
                  <c:v>5890.0</c:v>
                </c:pt>
                <c:pt idx="2">
                  <c:v>3620.0</c:v>
                </c:pt>
                <c:pt idx="3">
                  <c:v>3200.0</c:v>
                </c:pt>
                <c:pt idx="4">
                  <c:v>2010.0</c:v>
                </c:pt>
                <c:pt idx="5">
                  <c:v>537.0</c:v>
                </c:pt>
                <c:pt idx="6">
                  <c:v>210.0</c:v>
                </c:pt>
                <c:pt idx="7">
                  <c:v>100.0</c:v>
                </c:pt>
                <c:pt idx="8">
                  <c:v>78.0</c:v>
                </c:pt>
                <c:pt idx="9">
                  <c:v>54.0</c:v>
                </c:pt>
                <c:pt idx="10">
                  <c:v>53.0</c:v>
                </c:pt>
              </c:numCache>
            </c:numRef>
          </c:yVal>
          <c:smooth val="0"/>
        </c:ser>
        <c:dLbls>
          <c:showLegendKey val="0"/>
          <c:showVal val="0"/>
          <c:showCatName val="0"/>
          <c:showSerName val="0"/>
          <c:showPercent val="0"/>
          <c:showBubbleSize val="0"/>
        </c:dLbls>
        <c:axId val="2132497320"/>
        <c:axId val="2132491768"/>
      </c:scatterChart>
      <c:valAx>
        <c:axId val="2132478696"/>
        <c:scaling>
          <c:orientation val="minMax"/>
        </c:scaling>
        <c:delete val="0"/>
        <c:axPos val="b"/>
        <c:title>
          <c:tx>
            <c:rich>
              <a:bodyPr/>
              <a:lstStyle/>
              <a:p>
                <a:pPr>
                  <a:defRPr/>
                </a:pPr>
                <a:r>
                  <a:rPr lang="en-US"/>
                  <a:t>Cumulative Flow Through (Specimen Volumes)</a:t>
                </a:r>
              </a:p>
            </c:rich>
          </c:tx>
          <c:overlay val="0"/>
        </c:title>
        <c:numFmt formatCode="General" sourceLinked="1"/>
        <c:majorTickMark val="out"/>
        <c:minorTickMark val="none"/>
        <c:tickLblPos val="nextTo"/>
        <c:crossAx val="2132486232"/>
        <c:crosses val="autoZero"/>
        <c:crossBetween val="midCat"/>
      </c:valAx>
      <c:valAx>
        <c:axId val="2132486232"/>
        <c:scaling>
          <c:orientation val="minMax"/>
          <c:min val="11.0"/>
        </c:scaling>
        <c:delete val="0"/>
        <c:axPos val="l"/>
        <c:majorGridlines/>
        <c:title>
          <c:tx>
            <c:rich>
              <a:bodyPr/>
              <a:lstStyle/>
              <a:p>
                <a:pPr>
                  <a:defRPr/>
                </a:pPr>
                <a:r>
                  <a:rPr lang="en-US"/>
                  <a:t>pH</a:t>
                </a:r>
              </a:p>
            </c:rich>
          </c:tx>
          <c:overlay val="0"/>
        </c:title>
        <c:numFmt formatCode="General" sourceLinked="1"/>
        <c:majorTickMark val="out"/>
        <c:minorTickMark val="none"/>
        <c:tickLblPos val="nextTo"/>
        <c:crossAx val="2132478696"/>
        <c:crosses val="autoZero"/>
        <c:crossBetween val="midCat"/>
      </c:valAx>
      <c:valAx>
        <c:axId val="2132491768"/>
        <c:scaling>
          <c:orientation val="minMax"/>
        </c:scaling>
        <c:delete val="0"/>
        <c:axPos val="r"/>
        <c:title>
          <c:tx>
            <c:rich>
              <a:bodyPr rot="-5400000" vert="horz"/>
              <a:lstStyle/>
              <a:p>
                <a:pPr>
                  <a:defRPr/>
                </a:pPr>
                <a:r>
                  <a:rPr lang="en-US"/>
                  <a:t>Element concentration (ppm)</a:t>
                </a:r>
              </a:p>
            </c:rich>
          </c:tx>
          <c:overlay val="0"/>
        </c:title>
        <c:numFmt formatCode="General" sourceLinked="1"/>
        <c:majorTickMark val="out"/>
        <c:minorTickMark val="none"/>
        <c:tickLblPos val="nextTo"/>
        <c:spPr>
          <a:noFill/>
        </c:spPr>
        <c:crossAx val="2132497320"/>
        <c:crosses val="max"/>
        <c:crossBetween val="midCat"/>
      </c:valAx>
      <c:valAx>
        <c:axId val="2132497320"/>
        <c:scaling>
          <c:orientation val="minMax"/>
        </c:scaling>
        <c:delete val="1"/>
        <c:axPos val="b"/>
        <c:numFmt formatCode="General" sourceLinked="1"/>
        <c:majorTickMark val="out"/>
        <c:minorTickMark val="none"/>
        <c:tickLblPos val="nextTo"/>
        <c:crossAx val="2132491768"/>
        <c:crosses val="autoZero"/>
        <c:crossBetween val="midCat"/>
      </c:valAx>
    </c:plotArea>
    <c:legend>
      <c:legendPos val="r"/>
      <c:layout>
        <c:manualLayout>
          <c:xMode val="edge"/>
          <c:yMode val="edge"/>
          <c:x val="0.193752774879044"/>
          <c:y val="0.0459125211428206"/>
          <c:w val="0.575300445878"/>
          <c:h val="0.116508457276174"/>
        </c:manualLayout>
      </c:layout>
      <c:overlay val="0"/>
    </c:legend>
    <c:plotVisOnly val="1"/>
    <c:dispBlanksAs val="gap"/>
    <c:showDLblsOverMax val="0"/>
  </c:chart>
  <c:txPr>
    <a:bodyPr/>
    <a:lstStyle/>
    <a:p>
      <a:pPr>
        <a:defRPr>
          <a:latin typeface="+mj-lt"/>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88915759774285"/>
          <c:y val="0.0873983739837398"/>
          <c:w val="0.61793071524072"/>
          <c:h val="0.750771425310967"/>
        </c:manualLayout>
      </c:layout>
      <c:scatterChart>
        <c:scatterStyle val="lineMarker"/>
        <c:varyColors val="0"/>
        <c:ser>
          <c:idx val="1"/>
          <c:order val="1"/>
          <c:tx>
            <c:v>In1</c:v>
          </c:tx>
          <c:spPr>
            <a:ln w="38100" cmpd="sng">
              <a:solidFill>
                <a:srgbClr val="FF0000"/>
              </a:solidFill>
              <a:prstDash val="solid"/>
            </a:ln>
          </c:spPr>
          <c:marker>
            <c:symbol val="none"/>
          </c:marker>
          <c:xVal>
            <c:numRef>
              <c:f>'0DCS-in1'!$C$5:$C$374</c:f>
              <c:numCache>
                <c:formatCode>0.00E+00</c:formatCode>
                <c:ptCount val="370"/>
                <c:pt idx="0">
                  <c:v>10.65</c:v>
                </c:pt>
                <c:pt idx="1">
                  <c:v>10.51</c:v>
                </c:pt>
                <c:pt idx="2">
                  <c:v>10.37</c:v>
                </c:pt>
                <c:pt idx="3">
                  <c:v>10.24</c:v>
                </c:pt>
                <c:pt idx="4">
                  <c:v>10.1</c:v>
                </c:pt>
                <c:pt idx="5">
                  <c:v>9.965000000000006</c:v>
                </c:pt>
                <c:pt idx="6">
                  <c:v>9.833</c:v>
                </c:pt>
                <c:pt idx="7">
                  <c:v>9.704000000000001</c:v>
                </c:pt>
                <c:pt idx="8">
                  <c:v>9.575</c:v>
                </c:pt>
                <c:pt idx="9">
                  <c:v>9.449</c:v>
                </c:pt>
                <c:pt idx="10">
                  <c:v>9.324000000000001</c:v>
                </c:pt>
                <c:pt idx="11">
                  <c:v>9.201000000000001</c:v>
                </c:pt>
                <c:pt idx="12">
                  <c:v>9.079</c:v>
                </c:pt>
                <c:pt idx="13">
                  <c:v>8.952</c:v>
                </c:pt>
                <c:pt idx="14">
                  <c:v>8.818000000000001</c:v>
                </c:pt>
                <c:pt idx="15">
                  <c:v>8.687000000000001</c:v>
                </c:pt>
                <c:pt idx="16">
                  <c:v>8.549</c:v>
                </c:pt>
                <c:pt idx="17">
                  <c:v>8.413</c:v>
                </c:pt>
                <c:pt idx="18">
                  <c:v>8.269</c:v>
                </c:pt>
                <c:pt idx="19">
                  <c:v>8.120000000000001</c:v>
                </c:pt>
                <c:pt idx="20">
                  <c:v>7.963999999999999</c:v>
                </c:pt>
                <c:pt idx="21">
                  <c:v>7.801</c:v>
                </c:pt>
                <c:pt idx="22">
                  <c:v>7.632</c:v>
                </c:pt>
                <c:pt idx="23">
                  <c:v>7.459</c:v>
                </c:pt>
                <c:pt idx="24">
                  <c:v>7.293</c:v>
                </c:pt>
                <c:pt idx="25">
                  <c:v>7.128999999999976</c:v>
                </c:pt>
                <c:pt idx="26">
                  <c:v>6.963999999999999</c:v>
                </c:pt>
                <c:pt idx="27">
                  <c:v>6.802999999999995</c:v>
                </c:pt>
                <c:pt idx="28">
                  <c:v>6.644999999999975</c:v>
                </c:pt>
                <c:pt idx="29">
                  <c:v>6.492</c:v>
                </c:pt>
                <c:pt idx="30">
                  <c:v>6.343999999999998</c:v>
                </c:pt>
                <c:pt idx="31">
                  <c:v>6.2</c:v>
                </c:pt>
                <c:pt idx="32">
                  <c:v>6.061999999999998</c:v>
                </c:pt>
                <c:pt idx="33">
                  <c:v>5.927</c:v>
                </c:pt>
                <c:pt idx="34">
                  <c:v>5.796</c:v>
                </c:pt>
                <c:pt idx="35">
                  <c:v>5.664999999999914</c:v>
                </c:pt>
                <c:pt idx="36">
                  <c:v>5.536</c:v>
                </c:pt>
                <c:pt idx="37">
                  <c:v>5.406</c:v>
                </c:pt>
                <c:pt idx="38">
                  <c:v>5.277</c:v>
                </c:pt>
                <c:pt idx="39">
                  <c:v>5.141999999999999</c:v>
                </c:pt>
                <c:pt idx="40">
                  <c:v>5.007</c:v>
                </c:pt>
                <c:pt idx="41">
                  <c:v>4.866999999999995</c:v>
                </c:pt>
                <c:pt idx="42">
                  <c:v>4.726999999999998</c:v>
                </c:pt>
                <c:pt idx="43">
                  <c:v>4.586</c:v>
                </c:pt>
                <c:pt idx="44">
                  <c:v>4.446</c:v>
                </c:pt>
                <c:pt idx="45">
                  <c:v>4.302999999999995</c:v>
                </c:pt>
                <c:pt idx="46">
                  <c:v>4.160999999999976</c:v>
                </c:pt>
                <c:pt idx="47">
                  <c:v>4.017999999999986</c:v>
                </c:pt>
                <c:pt idx="48">
                  <c:v>3.875999999999999</c:v>
                </c:pt>
                <c:pt idx="49">
                  <c:v>3.733</c:v>
                </c:pt>
                <c:pt idx="50">
                  <c:v>3.591</c:v>
                </c:pt>
                <c:pt idx="51">
                  <c:v>3.449</c:v>
                </c:pt>
                <c:pt idx="52">
                  <c:v>3.309</c:v>
                </c:pt>
                <c:pt idx="53">
                  <c:v>3.168</c:v>
                </c:pt>
                <c:pt idx="54">
                  <c:v>3.027</c:v>
                </c:pt>
                <c:pt idx="55">
                  <c:v>2.885</c:v>
                </c:pt>
                <c:pt idx="56">
                  <c:v>2.745</c:v>
                </c:pt>
                <c:pt idx="57">
                  <c:v>2.604</c:v>
                </c:pt>
                <c:pt idx="58">
                  <c:v>2.464</c:v>
                </c:pt>
                <c:pt idx="59">
                  <c:v>2.325</c:v>
                </c:pt>
                <c:pt idx="60">
                  <c:v>2.188</c:v>
                </c:pt>
                <c:pt idx="61">
                  <c:v>2.052999999999999</c:v>
                </c:pt>
                <c:pt idx="62">
                  <c:v>1.92</c:v>
                </c:pt>
                <c:pt idx="63">
                  <c:v>1.791</c:v>
                </c:pt>
                <c:pt idx="64">
                  <c:v>1.664</c:v>
                </c:pt>
                <c:pt idx="65">
                  <c:v>1.542</c:v>
                </c:pt>
                <c:pt idx="66">
                  <c:v>1.425</c:v>
                </c:pt>
                <c:pt idx="67">
                  <c:v>1.313</c:v>
                </c:pt>
                <c:pt idx="68">
                  <c:v>1.206</c:v>
                </c:pt>
                <c:pt idx="69">
                  <c:v>1.106</c:v>
                </c:pt>
                <c:pt idx="70">
                  <c:v>1.013</c:v>
                </c:pt>
                <c:pt idx="71">
                  <c:v>0.9265</c:v>
                </c:pt>
                <c:pt idx="72">
                  <c:v>0.8468</c:v>
                </c:pt>
                <c:pt idx="73">
                  <c:v>0.774</c:v>
                </c:pt>
                <c:pt idx="74">
                  <c:v>0.7078</c:v>
                </c:pt>
                <c:pt idx="75">
                  <c:v>0.6481</c:v>
                </c:pt>
                <c:pt idx="76">
                  <c:v>0.5944</c:v>
                </c:pt>
                <c:pt idx="77">
                  <c:v>0.5461</c:v>
                </c:pt>
                <c:pt idx="78">
                  <c:v>0.5029</c:v>
                </c:pt>
                <c:pt idx="79">
                  <c:v>0.4641</c:v>
                </c:pt>
                <c:pt idx="80">
                  <c:v>0.4294</c:v>
                </c:pt>
                <c:pt idx="81">
                  <c:v>0.3983</c:v>
                </c:pt>
                <c:pt idx="82">
                  <c:v>0.3705</c:v>
                </c:pt>
                <c:pt idx="83">
                  <c:v>0.3455</c:v>
                </c:pt>
                <c:pt idx="84">
                  <c:v>0.3231</c:v>
                </c:pt>
                <c:pt idx="85">
                  <c:v>0.3029</c:v>
                </c:pt>
                <c:pt idx="86">
                  <c:v>0.2846</c:v>
                </c:pt>
                <c:pt idx="87">
                  <c:v>0.2681</c:v>
                </c:pt>
                <c:pt idx="88">
                  <c:v>0.2531</c:v>
                </c:pt>
                <c:pt idx="89">
                  <c:v>0.2394</c:v>
                </c:pt>
                <c:pt idx="90">
                  <c:v>0.2268</c:v>
                </c:pt>
                <c:pt idx="91">
                  <c:v>0.2153</c:v>
                </c:pt>
                <c:pt idx="92">
                  <c:v>0.2048</c:v>
                </c:pt>
                <c:pt idx="93">
                  <c:v>0.1951</c:v>
                </c:pt>
                <c:pt idx="94">
                  <c:v>0.186</c:v>
                </c:pt>
                <c:pt idx="95">
                  <c:v>0.1777</c:v>
                </c:pt>
                <c:pt idx="96">
                  <c:v>0.1699</c:v>
                </c:pt>
                <c:pt idx="97">
                  <c:v>0.1626</c:v>
                </c:pt>
                <c:pt idx="98">
                  <c:v>0.1559</c:v>
                </c:pt>
                <c:pt idx="99">
                  <c:v>0.1495</c:v>
                </c:pt>
                <c:pt idx="100">
                  <c:v>0.1435</c:v>
                </c:pt>
                <c:pt idx="101">
                  <c:v>0.1379</c:v>
                </c:pt>
                <c:pt idx="102">
                  <c:v>0.1326</c:v>
                </c:pt>
                <c:pt idx="103">
                  <c:v>0.1276</c:v>
                </c:pt>
                <c:pt idx="104">
                  <c:v>0.1229</c:v>
                </c:pt>
                <c:pt idx="105">
                  <c:v>0.1183</c:v>
                </c:pt>
                <c:pt idx="106">
                  <c:v>0.1141</c:v>
                </c:pt>
                <c:pt idx="107">
                  <c:v>0.1101</c:v>
                </c:pt>
                <c:pt idx="108">
                  <c:v>0.1063</c:v>
                </c:pt>
                <c:pt idx="109">
                  <c:v>0.1027</c:v>
                </c:pt>
                <c:pt idx="110">
                  <c:v>0.09935</c:v>
                </c:pt>
                <c:pt idx="111">
                  <c:v>0.09619</c:v>
                </c:pt>
                <c:pt idx="112">
                  <c:v>0.09322</c:v>
                </c:pt>
                <c:pt idx="113">
                  <c:v>0.09042</c:v>
                </c:pt>
                <c:pt idx="114">
                  <c:v>0.08776</c:v>
                </c:pt>
                <c:pt idx="115">
                  <c:v>0.08525</c:v>
                </c:pt>
                <c:pt idx="116">
                  <c:v>0.08291</c:v>
                </c:pt>
                <c:pt idx="117">
                  <c:v>0.08069</c:v>
                </c:pt>
                <c:pt idx="118">
                  <c:v>0.07859</c:v>
                </c:pt>
                <c:pt idx="119">
                  <c:v>0.07658</c:v>
                </c:pt>
                <c:pt idx="120">
                  <c:v>0.07463</c:v>
                </c:pt>
                <c:pt idx="121">
                  <c:v>0.07277</c:v>
                </c:pt>
                <c:pt idx="122">
                  <c:v>0.071</c:v>
                </c:pt>
                <c:pt idx="123">
                  <c:v>0.06931</c:v>
                </c:pt>
                <c:pt idx="124">
                  <c:v>0.06769</c:v>
                </c:pt>
                <c:pt idx="125">
                  <c:v>0.06614</c:v>
                </c:pt>
                <c:pt idx="126">
                  <c:v>0.06466</c:v>
                </c:pt>
                <c:pt idx="127">
                  <c:v>0.06321</c:v>
                </c:pt>
                <c:pt idx="128">
                  <c:v>0.06183</c:v>
                </c:pt>
                <c:pt idx="129">
                  <c:v>0.06046</c:v>
                </c:pt>
                <c:pt idx="130">
                  <c:v>0.05915</c:v>
                </c:pt>
                <c:pt idx="131">
                  <c:v>0.05793</c:v>
                </c:pt>
                <c:pt idx="132">
                  <c:v>0.05675</c:v>
                </c:pt>
                <c:pt idx="133">
                  <c:v>0.05561</c:v>
                </c:pt>
                <c:pt idx="134">
                  <c:v>0.0545</c:v>
                </c:pt>
                <c:pt idx="135">
                  <c:v>0.05343</c:v>
                </c:pt>
                <c:pt idx="136">
                  <c:v>0.05239</c:v>
                </c:pt>
                <c:pt idx="137">
                  <c:v>0.0514</c:v>
                </c:pt>
                <c:pt idx="138">
                  <c:v>0.05043</c:v>
                </c:pt>
                <c:pt idx="139">
                  <c:v>0.0495</c:v>
                </c:pt>
                <c:pt idx="140">
                  <c:v>0.04862</c:v>
                </c:pt>
                <c:pt idx="141">
                  <c:v>0.04777</c:v>
                </c:pt>
                <c:pt idx="142">
                  <c:v>0.04695</c:v>
                </c:pt>
                <c:pt idx="143">
                  <c:v>0.04615</c:v>
                </c:pt>
                <c:pt idx="144">
                  <c:v>0.04537</c:v>
                </c:pt>
                <c:pt idx="145">
                  <c:v>0.04464</c:v>
                </c:pt>
                <c:pt idx="146">
                  <c:v>0.04392</c:v>
                </c:pt>
                <c:pt idx="147">
                  <c:v>0.04323</c:v>
                </c:pt>
                <c:pt idx="148">
                  <c:v>0.04255</c:v>
                </c:pt>
                <c:pt idx="149">
                  <c:v>0.04191</c:v>
                </c:pt>
                <c:pt idx="150">
                  <c:v>0.04129</c:v>
                </c:pt>
                <c:pt idx="151">
                  <c:v>0.04068</c:v>
                </c:pt>
                <c:pt idx="152">
                  <c:v>0.04009</c:v>
                </c:pt>
                <c:pt idx="153">
                  <c:v>0.03951</c:v>
                </c:pt>
                <c:pt idx="154">
                  <c:v>0.03895</c:v>
                </c:pt>
                <c:pt idx="155">
                  <c:v>0.03841</c:v>
                </c:pt>
                <c:pt idx="156">
                  <c:v>0.03788</c:v>
                </c:pt>
                <c:pt idx="157">
                  <c:v>0.03735</c:v>
                </c:pt>
                <c:pt idx="158">
                  <c:v>0.03685</c:v>
                </c:pt>
                <c:pt idx="159">
                  <c:v>0.03635</c:v>
                </c:pt>
                <c:pt idx="160">
                  <c:v>0.03587</c:v>
                </c:pt>
                <c:pt idx="161">
                  <c:v>0.0354</c:v>
                </c:pt>
                <c:pt idx="162">
                  <c:v>0.03494</c:v>
                </c:pt>
                <c:pt idx="163">
                  <c:v>0.03449</c:v>
                </c:pt>
                <c:pt idx="164">
                  <c:v>0.03405</c:v>
                </c:pt>
                <c:pt idx="165">
                  <c:v>0.03362</c:v>
                </c:pt>
                <c:pt idx="166">
                  <c:v>0.03319</c:v>
                </c:pt>
                <c:pt idx="167">
                  <c:v>0.03278</c:v>
                </c:pt>
                <c:pt idx="168">
                  <c:v>0.03237</c:v>
                </c:pt>
                <c:pt idx="169">
                  <c:v>0.03197</c:v>
                </c:pt>
                <c:pt idx="170">
                  <c:v>0.03157</c:v>
                </c:pt>
                <c:pt idx="171">
                  <c:v>0.03118</c:v>
                </c:pt>
                <c:pt idx="172">
                  <c:v>0.03079</c:v>
                </c:pt>
                <c:pt idx="173">
                  <c:v>0.0304</c:v>
                </c:pt>
                <c:pt idx="174">
                  <c:v>0.03002</c:v>
                </c:pt>
                <c:pt idx="175">
                  <c:v>0.02964</c:v>
                </c:pt>
                <c:pt idx="176">
                  <c:v>0.02926</c:v>
                </c:pt>
                <c:pt idx="177">
                  <c:v>0.02888</c:v>
                </c:pt>
                <c:pt idx="178">
                  <c:v>0.0285</c:v>
                </c:pt>
                <c:pt idx="179">
                  <c:v>0.02814</c:v>
                </c:pt>
                <c:pt idx="180">
                  <c:v>0.02777</c:v>
                </c:pt>
                <c:pt idx="181">
                  <c:v>0.02742</c:v>
                </c:pt>
                <c:pt idx="182">
                  <c:v>0.02706</c:v>
                </c:pt>
                <c:pt idx="183">
                  <c:v>0.02671</c:v>
                </c:pt>
                <c:pt idx="184">
                  <c:v>0.02637</c:v>
                </c:pt>
                <c:pt idx="185">
                  <c:v>0.02603</c:v>
                </c:pt>
                <c:pt idx="186">
                  <c:v>0.0257</c:v>
                </c:pt>
                <c:pt idx="187">
                  <c:v>0.02537</c:v>
                </c:pt>
                <c:pt idx="188">
                  <c:v>0.02505</c:v>
                </c:pt>
                <c:pt idx="189">
                  <c:v>0.02473</c:v>
                </c:pt>
                <c:pt idx="190">
                  <c:v>0.0244</c:v>
                </c:pt>
                <c:pt idx="191">
                  <c:v>0.02408</c:v>
                </c:pt>
                <c:pt idx="192">
                  <c:v>0.02376</c:v>
                </c:pt>
                <c:pt idx="193">
                  <c:v>0.02345</c:v>
                </c:pt>
                <c:pt idx="194">
                  <c:v>0.02314</c:v>
                </c:pt>
                <c:pt idx="195">
                  <c:v>0.02283</c:v>
                </c:pt>
                <c:pt idx="196">
                  <c:v>0.02252</c:v>
                </c:pt>
                <c:pt idx="197">
                  <c:v>0.02222</c:v>
                </c:pt>
                <c:pt idx="198">
                  <c:v>0.02192</c:v>
                </c:pt>
                <c:pt idx="199">
                  <c:v>0.02162</c:v>
                </c:pt>
                <c:pt idx="200">
                  <c:v>0.02134</c:v>
                </c:pt>
                <c:pt idx="201">
                  <c:v>0.02106</c:v>
                </c:pt>
                <c:pt idx="202">
                  <c:v>0.02078</c:v>
                </c:pt>
                <c:pt idx="203">
                  <c:v>0.02051</c:v>
                </c:pt>
                <c:pt idx="204">
                  <c:v>0.02025</c:v>
                </c:pt>
                <c:pt idx="205">
                  <c:v>0.02</c:v>
                </c:pt>
                <c:pt idx="206">
                  <c:v>0.01974</c:v>
                </c:pt>
                <c:pt idx="207">
                  <c:v>0.0195</c:v>
                </c:pt>
                <c:pt idx="208">
                  <c:v>0.01925</c:v>
                </c:pt>
                <c:pt idx="209">
                  <c:v>0.01902</c:v>
                </c:pt>
                <c:pt idx="210">
                  <c:v>0.01879</c:v>
                </c:pt>
                <c:pt idx="211">
                  <c:v>0.01856</c:v>
                </c:pt>
                <c:pt idx="212">
                  <c:v>0.01834</c:v>
                </c:pt>
                <c:pt idx="213">
                  <c:v>0.01812</c:v>
                </c:pt>
                <c:pt idx="214">
                  <c:v>0.01791</c:v>
                </c:pt>
                <c:pt idx="215">
                  <c:v>0.0177</c:v>
                </c:pt>
                <c:pt idx="216">
                  <c:v>0.01749</c:v>
                </c:pt>
                <c:pt idx="217">
                  <c:v>0.01729</c:v>
                </c:pt>
                <c:pt idx="218">
                  <c:v>0.01709</c:v>
                </c:pt>
                <c:pt idx="219">
                  <c:v>0.0169</c:v>
                </c:pt>
                <c:pt idx="220">
                  <c:v>0.01671</c:v>
                </c:pt>
                <c:pt idx="221">
                  <c:v>0.01652</c:v>
                </c:pt>
                <c:pt idx="222">
                  <c:v>0.01634</c:v>
                </c:pt>
                <c:pt idx="223">
                  <c:v>0.01615</c:v>
                </c:pt>
                <c:pt idx="224">
                  <c:v>0.01597</c:v>
                </c:pt>
                <c:pt idx="225">
                  <c:v>0.0158</c:v>
                </c:pt>
                <c:pt idx="226">
                  <c:v>0.01563</c:v>
                </c:pt>
                <c:pt idx="227">
                  <c:v>0.01546</c:v>
                </c:pt>
                <c:pt idx="228">
                  <c:v>0.01529</c:v>
                </c:pt>
                <c:pt idx="229">
                  <c:v>0.01513</c:v>
                </c:pt>
                <c:pt idx="230">
                  <c:v>0.01498</c:v>
                </c:pt>
                <c:pt idx="231">
                  <c:v>0.01483</c:v>
                </c:pt>
                <c:pt idx="232">
                  <c:v>0.01468</c:v>
                </c:pt>
                <c:pt idx="233">
                  <c:v>0.01454</c:v>
                </c:pt>
                <c:pt idx="234">
                  <c:v>0.0144</c:v>
                </c:pt>
                <c:pt idx="235">
                  <c:v>0.01427</c:v>
                </c:pt>
                <c:pt idx="236">
                  <c:v>0.01414</c:v>
                </c:pt>
                <c:pt idx="237">
                  <c:v>0.01402</c:v>
                </c:pt>
                <c:pt idx="238">
                  <c:v>0.0139</c:v>
                </c:pt>
                <c:pt idx="239">
                  <c:v>0.01379</c:v>
                </c:pt>
                <c:pt idx="240">
                  <c:v>0.01368</c:v>
                </c:pt>
                <c:pt idx="241">
                  <c:v>0.01357</c:v>
                </c:pt>
                <c:pt idx="242">
                  <c:v>0.01347</c:v>
                </c:pt>
                <c:pt idx="243">
                  <c:v>0.01338</c:v>
                </c:pt>
                <c:pt idx="244">
                  <c:v>0.01328</c:v>
                </c:pt>
                <c:pt idx="245">
                  <c:v>0.0132</c:v>
                </c:pt>
                <c:pt idx="246">
                  <c:v>0.01311</c:v>
                </c:pt>
                <c:pt idx="247">
                  <c:v>0.01303</c:v>
                </c:pt>
                <c:pt idx="248">
                  <c:v>0.01294</c:v>
                </c:pt>
                <c:pt idx="249">
                  <c:v>0.01286</c:v>
                </c:pt>
                <c:pt idx="250">
                  <c:v>0.01278</c:v>
                </c:pt>
                <c:pt idx="251">
                  <c:v>0.0127</c:v>
                </c:pt>
                <c:pt idx="252">
                  <c:v>0.01262</c:v>
                </c:pt>
                <c:pt idx="253">
                  <c:v>0.01254</c:v>
                </c:pt>
                <c:pt idx="254">
                  <c:v>0.01246</c:v>
                </c:pt>
                <c:pt idx="255">
                  <c:v>0.01239</c:v>
                </c:pt>
                <c:pt idx="256">
                  <c:v>0.01231</c:v>
                </c:pt>
                <c:pt idx="257">
                  <c:v>0.01223</c:v>
                </c:pt>
                <c:pt idx="258">
                  <c:v>0.01216</c:v>
                </c:pt>
                <c:pt idx="259">
                  <c:v>0.01208</c:v>
                </c:pt>
                <c:pt idx="260">
                  <c:v>0.01201</c:v>
                </c:pt>
                <c:pt idx="261">
                  <c:v>0.01194</c:v>
                </c:pt>
                <c:pt idx="262">
                  <c:v>0.01187</c:v>
                </c:pt>
                <c:pt idx="263">
                  <c:v>0.0118</c:v>
                </c:pt>
                <c:pt idx="264">
                  <c:v>0.01173</c:v>
                </c:pt>
                <c:pt idx="265">
                  <c:v>0.01166</c:v>
                </c:pt>
                <c:pt idx="266">
                  <c:v>0.01159</c:v>
                </c:pt>
                <c:pt idx="267">
                  <c:v>0.01152</c:v>
                </c:pt>
                <c:pt idx="268">
                  <c:v>0.01145</c:v>
                </c:pt>
                <c:pt idx="269">
                  <c:v>0.01139</c:v>
                </c:pt>
                <c:pt idx="270">
                  <c:v>0.01132</c:v>
                </c:pt>
                <c:pt idx="271">
                  <c:v>0.01125</c:v>
                </c:pt>
                <c:pt idx="272">
                  <c:v>0.01119</c:v>
                </c:pt>
                <c:pt idx="273">
                  <c:v>0.01113</c:v>
                </c:pt>
                <c:pt idx="274">
                  <c:v>0.01106</c:v>
                </c:pt>
                <c:pt idx="275">
                  <c:v>0.011</c:v>
                </c:pt>
                <c:pt idx="276">
                  <c:v>0.01094</c:v>
                </c:pt>
                <c:pt idx="277">
                  <c:v>0.01088</c:v>
                </c:pt>
                <c:pt idx="278">
                  <c:v>0.01081</c:v>
                </c:pt>
                <c:pt idx="279">
                  <c:v>0.01075</c:v>
                </c:pt>
                <c:pt idx="280">
                  <c:v>0.01069</c:v>
                </c:pt>
                <c:pt idx="281">
                  <c:v>0.01063</c:v>
                </c:pt>
                <c:pt idx="282">
                  <c:v>0.01058</c:v>
                </c:pt>
                <c:pt idx="283">
                  <c:v>0.01052</c:v>
                </c:pt>
                <c:pt idx="284">
                  <c:v>0.01046</c:v>
                </c:pt>
                <c:pt idx="285">
                  <c:v>0.0104</c:v>
                </c:pt>
                <c:pt idx="286">
                  <c:v>0.01034</c:v>
                </c:pt>
                <c:pt idx="287">
                  <c:v>0.01029</c:v>
                </c:pt>
                <c:pt idx="288">
                  <c:v>0.01023</c:v>
                </c:pt>
                <c:pt idx="289">
                  <c:v>0.01018</c:v>
                </c:pt>
                <c:pt idx="290">
                  <c:v>0.01012</c:v>
                </c:pt>
                <c:pt idx="291">
                  <c:v>0.01007</c:v>
                </c:pt>
                <c:pt idx="292">
                  <c:v>0.01001</c:v>
                </c:pt>
                <c:pt idx="293">
                  <c:v>0.00996</c:v>
                </c:pt>
                <c:pt idx="294">
                  <c:v>0.009908</c:v>
                </c:pt>
                <c:pt idx="295">
                  <c:v>0.009855</c:v>
                </c:pt>
                <c:pt idx="296">
                  <c:v>0.009803</c:v>
                </c:pt>
                <c:pt idx="297">
                  <c:v>0.009751</c:v>
                </c:pt>
                <c:pt idx="298">
                  <c:v>0.009699</c:v>
                </c:pt>
                <c:pt idx="299">
                  <c:v>0.009647</c:v>
                </c:pt>
                <c:pt idx="300">
                  <c:v>0.009595</c:v>
                </c:pt>
                <c:pt idx="301">
                  <c:v>0.009544</c:v>
                </c:pt>
                <c:pt idx="302">
                  <c:v>0.009494</c:v>
                </c:pt>
                <c:pt idx="303">
                  <c:v>0.009443</c:v>
                </c:pt>
                <c:pt idx="304">
                  <c:v>0.009392</c:v>
                </c:pt>
                <c:pt idx="305">
                  <c:v>0.009342</c:v>
                </c:pt>
                <c:pt idx="306">
                  <c:v>0.00929</c:v>
                </c:pt>
                <c:pt idx="307">
                  <c:v>0.009238</c:v>
                </c:pt>
                <c:pt idx="308">
                  <c:v>0.009186</c:v>
                </c:pt>
                <c:pt idx="309">
                  <c:v>0.009134</c:v>
                </c:pt>
                <c:pt idx="310">
                  <c:v>0.009081</c:v>
                </c:pt>
                <c:pt idx="311">
                  <c:v>0.009028</c:v>
                </c:pt>
                <c:pt idx="312">
                  <c:v>0.008975</c:v>
                </c:pt>
                <c:pt idx="313">
                  <c:v>0.008921</c:v>
                </c:pt>
                <c:pt idx="314">
                  <c:v>0.008866</c:v>
                </c:pt>
                <c:pt idx="315">
                  <c:v>0.008812</c:v>
                </c:pt>
                <c:pt idx="316">
                  <c:v>0.008758</c:v>
                </c:pt>
                <c:pt idx="317">
                  <c:v>0.008704</c:v>
                </c:pt>
                <c:pt idx="318">
                  <c:v>0.00865</c:v>
                </c:pt>
                <c:pt idx="319">
                  <c:v>0.008598</c:v>
                </c:pt>
                <c:pt idx="320">
                  <c:v>0.008545</c:v>
                </c:pt>
                <c:pt idx="321">
                  <c:v>0.008493</c:v>
                </c:pt>
                <c:pt idx="322">
                  <c:v>0.008442</c:v>
                </c:pt>
                <c:pt idx="323">
                  <c:v>0.008391</c:v>
                </c:pt>
                <c:pt idx="324">
                  <c:v>0.008341</c:v>
                </c:pt>
                <c:pt idx="325">
                  <c:v>0.008291</c:v>
                </c:pt>
                <c:pt idx="326">
                  <c:v>0.008242</c:v>
                </c:pt>
                <c:pt idx="327">
                  <c:v>0.008193</c:v>
                </c:pt>
                <c:pt idx="328">
                  <c:v>0.008145</c:v>
                </c:pt>
                <c:pt idx="329">
                  <c:v>0.008097</c:v>
                </c:pt>
                <c:pt idx="330">
                  <c:v>0.00805</c:v>
                </c:pt>
                <c:pt idx="331">
                  <c:v>0.008003</c:v>
                </c:pt>
                <c:pt idx="332">
                  <c:v>0.007956</c:v>
                </c:pt>
                <c:pt idx="333">
                  <c:v>0.00791</c:v>
                </c:pt>
                <c:pt idx="334">
                  <c:v>0.007864</c:v>
                </c:pt>
                <c:pt idx="335">
                  <c:v>0.007818</c:v>
                </c:pt>
                <c:pt idx="336">
                  <c:v>0.007773</c:v>
                </c:pt>
                <c:pt idx="337">
                  <c:v>0.007729</c:v>
                </c:pt>
                <c:pt idx="338">
                  <c:v>0.007685</c:v>
                </c:pt>
                <c:pt idx="339">
                  <c:v>0.007641</c:v>
                </c:pt>
                <c:pt idx="340">
                  <c:v>0.007597</c:v>
                </c:pt>
                <c:pt idx="341">
                  <c:v>0.007554</c:v>
                </c:pt>
                <c:pt idx="342">
                  <c:v>0.007512</c:v>
                </c:pt>
                <c:pt idx="343">
                  <c:v>0.007469</c:v>
                </c:pt>
                <c:pt idx="344">
                  <c:v>0.007427</c:v>
                </c:pt>
                <c:pt idx="345">
                  <c:v>0.007386</c:v>
                </c:pt>
                <c:pt idx="346">
                  <c:v>0.007345</c:v>
                </c:pt>
                <c:pt idx="347">
                  <c:v>0.007305</c:v>
                </c:pt>
                <c:pt idx="348">
                  <c:v>0.007265</c:v>
                </c:pt>
                <c:pt idx="349">
                  <c:v>0.007225</c:v>
                </c:pt>
                <c:pt idx="350">
                  <c:v>0.007186</c:v>
                </c:pt>
                <c:pt idx="351">
                  <c:v>0.007147</c:v>
                </c:pt>
                <c:pt idx="352">
                  <c:v>0.007108</c:v>
                </c:pt>
                <c:pt idx="353">
                  <c:v>0.00707</c:v>
                </c:pt>
                <c:pt idx="354">
                  <c:v>0.007032</c:v>
                </c:pt>
                <c:pt idx="355">
                  <c:v>0.006994</c:v>
                </c:pt>
                <c:pt idx="356">
                  <c:v>0.006956</c:v>
                </c:pt>
                <c:pt idx="357">
                  <c:v>0.006919</c:v>
                </c:pt>
                <c:pt idx="358">
                  <c:v>0.006882</c:v>
                </c:pt>
                <c:pt idx="359">
                  <c:v>0.006845</c:v>
                </c:pt>
                <c:pt idx="360">
                  <c:v>0.006809</c:v>
                </c:pt>
                <c:pt idx="361">
                  <c:v>0.006772</c:v>
                </c:pt>
                <c:pt idx="362">
                  <c:v>0.006736</c:v>
                </c:pt>
                <c:pt idx="363">
                  <c:v>0.006699</c:v>
                </c:pt>
                <c:pt idx="364">
                  <c:v>0.006663</c:v>
                </c:pt>
                <c:pt idx="365">
                  <c:v>0.006628</c:v>
                </c:pt>
                <c:pt idx="366">
                  <c:v>0.006593</c:v>
                </c:pt>
                <c:pt idx="367">
                  <c:v>0.006557</c:v>
                </c:pt>
                <c:pt idx="368">
                  <c:v>0.006522</c:v>
                </c:pt>
                <c:pt idx="369">
                  <c:v>0.006488</c:v>
                </c:pt>
              </c:numCache>
            </c:numRef>
          </c:xVal>
          <c:yVal>
            <c:numRef>
              <c:f>'0DCS-in1'!$D$5:$D$374</c:f>
              <c:numCache>
                <c:formatCode>General</c:formatCode>
                <c:ptCount val="370"/>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0.0</c:v>
                </c:pt>
                <c:pt idx="45">
                  <c:v>0.0</c:v>
                </c:pt>
                <c:pt idx="46">
                  <c:v>0.0</c:v>
                </c:pt>
                <c:pt idx="47">
                  <c:v>0.0</c:v>
                </c:pt>
                <c:pt idx="48">
                  <c:v>0.0</c:v>
                </c:pt>
                <c:pt idx="49">
                  <c:v>0.0</c:v>
                </c:pt>
                <c:pt idx="50">
                  <c:v>0.0</c:v>
                </c:pt>
                <c:pt idx="51">
                  <c:v>0.0</c:v>
                </c:pt>
                <c:pt idx="52">
                  <c:v>0.0</c:v>
                </c:pt>
                <c:pt idx="53">
                  <c:v>0.0</c:v>
                </c:pt>
                <c:pt idx="54">
                  <c:v>0.0</c:v>
                </c:pt>
                <c:pt idx="55">
                  <c:v>0.0</c:v>
                </c:pt>
                <c:pt idx="56">
                  <c:v>0.0</c:v>
                </c:pt>
                <c:pt idx="57">
                  <c:v>0.0</c:v>
                </c:pt>
                <c:pt idx="58">
                  <c:v>0.0</c:v>
                </c:pt>
                <c:pt idx="59">
                  <c:v>0.0</c:v>
                </c:pt>
                <c:pt idx="60">
                  <c:v>0.0</c:v>
                </c:pt>
                <c:pt idx="61">
                  <c:v>0.0</c:v>
                </c:pt>
                <c:pt idx="62">
                  <c:v>0.0</c:v>
                </c:pt>
                <c:pt idx="63">
                  <c:v>0.0</c:v>
                </c:pt>
                <c:pt idx="64">
                  <c:v>0.0</c:v>
                </c:pt>
                <c:pt idx="65">
                  <c:v>0.0</c:v>
                </c:pt>
                <c:pt idx="66">
                  <c:v>0.0</c:v>
                </c:pt>
                <c:pt idx="67">
                  <c:v>0.0</c:v>
                </c:pt>
                <c:pt idx="68">
                  <c:v>0.0</c:v>
                </c:pt>
                <c:pt idx="69">
                  <c:v>0.0</c:v>
                </c:pt>
                <c:pt idx="70">
                  <c:v>0.0</c:v>
                </c:pt>
                <c:pt idx="71">
                  <c:v>0.0</c:v>
                </c:pt>
                <c:pt idx="72">
                  <c:v>0.0</c:v>
                </c:pt>
                <c:pt idx="73">
                  <c:v>0.0</c:v>
                </c:pt>
                <c:pt idx="74">
                  <c:v>0.0</c:v>
                </c:pt>
                <c:pt idx="75">
                  <c:v>0.0</c:v>
                </c:pt>
                <c:pt idx="76">
                  <c:v>0.0</c:v>
                </c:pt>
                <c:pt idx="77">
                  <c:v>0.0</c:v>
                </c:pt>
                <c:pt idx="78">
                  <c:v>0.0</c:v>
                </c:pt>
                <c:pt idx="79">
                  <c:v>0.0</c:v>
                </c:pt>
                <c:pt idx="80">
                  <c:v>0.0</c:v>
                </c:pt>
                <c:pt idx="81">
                  <c:v>0.0</c:v>
                </c:pt>
                <c:pt idx="82">
                  <c:v>0.0</c:v>
                </c:pt>
                <c:pt idx="83">
                  <c:v>0.0</c:v>
                </c:pt>
                <c:pt idx="84">
                  <c:v>0.0</c:v>
                </c:pt>
                <c:pt idx="85">
                  <c:v>0.0</c:v>
                </c:pt>
                <c:pt idx="86">
                  <c:v>0.0</c:v>
                </c:pt>
                <c:pt idx="87">
                  <c:v>0.0</c:v>
                </c:pt>
                <c:pt idx="88">
                  <c:v>0.0</c:v>
                </c:pt>
                <c:pt idx="89">
                  <c:v>0.0</c:v>
                </c:pt>
                <c:pt idx="90">
                  <c:v>0.0</c:v>
                </c:pt>
                <c:pt idx="91">
                  <c:v>0.0</c:v>
                </c:pt>
                <c:pt idx="92">
                  <c:v>0.0</c:v>
                </c:pt>
                <c:pt idx="93">
                  <c:v>0.0</c:v>
                </c:pt>
                <c:pt idx="94">
                  <c:v>0.0</c:v>
                </c:pt>
                <c:pt idx="95">
                  <c:v>0.0</c:v>
                </c:pt>
                <c:pt idx="96">
                  <c:v>0.0003</c:v>
                </c:pt>
                <c:pt idx="97">
                  <c:v>0.0006</c:v>
                </c:pt>
                <c:pt idx="98">
                  <c:v>0.0007</c:v>
                </c:pt>
                <c:pt idx="99">
                  <c:v>0.001</c:v>
                </c:pt>
                <c:pt idx="100">
                  <c:v>0.0014</c:v>
                </c:pt>
                <c:pt idx="101">
                  <c:v>0.0018</c:v>
                </c:pt>
                <c:pt idx="102">
                  <c:v>0.0019</c:v>
                </c:pt>
                <c:pt idx="103">
                  <c:v>0.002</c:v>
                </c:pt>
                <c:pt idx="104">
                  <c:v>0.0021</c:v>
                </c:pt>
                <c:pt idx="105">
                  <c:v>0.0022</c:v>
                </c:pt>
                <c:pt idx="106">
                  <c:v>0.0024</c:v>
                </c:pt>
                <c:pt idx="107">
                  <c:v>0.0025</c:v>
                </c:pt>
                <c:pt idx="108">
                  <c:v>0.0027</c:v>
                </c:pt>
                <c:pt idx="109">
                  <c:v>0.0029</c:v>
                </c:pt>
                <c:pt idx="110">
                  <c:v>0.0032</c:v>
                </c:pt>
                <c:pt idx="111">
                  <c:v>0.0035</c:v>
                </c:pt>
                <c:pt idx="112">
                  <c:v>0.0038</c:v>
                </c:pt>
                <c:pt idx="113">
                  <c:v>0.0041</c:v>
                </c:pt>
                <c:pt idx="114">
                  <c:v>0.0045</c:v>
                </c:pt>
                <c:pt idx="115">
                  <c:v>0.0049</c:v>
                </c:pt>
                <c:pt idx="116">
                  <c:v>0.0054</c:v>
                </c:pt>
                <c:pt idx="117">
                  <c:v>0.0058</c:v>
                </c:pt>
                <c:pt idx="118">
                  <c:v>0.0062</c:v>
                </c:pt>
                <c:pt idx="119">
                  <c:v>0.0067</c:v>
                </c:pt>
                <c:pt idx="120">
                  <c:v>0.0072</c:v>
                </c:pt>
                <c:pt idx="121">
                  <c:v>0.0078</c:v>
                </c:pt>
                <c:pt idx="122">
                  <c:v>0.0083</c:v>
                </c:pt>
                <c:pt idx="123">
                  <c:v>0.0088</c:v>
                </c:pt>
                <c:pt idx="124">
                  <c:v>0.0093</c:v>
                </c:pt>
                <c:pt idx="125">
                  <c:v>0.0098</c:v>
                </c:pt>
                <c:pt idx="126">
                  <c:v>0.0104</c:v>
                </c:pt>
                <c:pt idx="127">
                  <c:v>0.011</c:v>
                </c:pt>
                <c:pt idx="128">
                  <c:v>0.0116</c:v>
                </c:pt>
                <c:pt idx="129">
                  <c:v>0.0123</c:v>
                </c:pt>
                <c:pt idx="130">
                  <c:v>0.013</c:v>
                </c:pt>
                <c:pt idx="131">
                  <c:v>0.0136</c:v>
                </c:pt>
                <c:pt idx="132">
                  <c:v>0.0143</c:v>
                </c:pt>
                <c:pt idx="133">
                  <c:v>0.015</c:v>
                </c:pt>
                <c:pt idx="134">
                  <c:v>0.0157</c:v>
                </c:pt>
                <c:pt idx="135">
                  <c:v>0.0164</c:v>
                </c:pt>
                <c:pt idx="136">
                  <c:v>0.0173</c:v>
                </c:pt>
                <c:pt idx="137">
                  <c:v>0.018</c:v>
                </c:pt>
                <c:pt idx="138">
                  <c:v>0.0187</c:v>
                </c:pt>
                <c:pt idx="139">
                  <c:v>0.0196</c:v>
                </c:pt>
                <c:pt idx="140">
                  <c:v>0.0204</c:v>
                </c:pt>
                <c:pt idx="141">
                  <c:v>0.0212</c:v>
                </c:pt>
                <c:pt idx="142">
                  <c:v>0.0218</c:v>
                </c:pt>
                <c:pt idx="143">
                  <c:v>0.0225</c:v>
                </c:pt>
                <c:pt idx="144">
                  <c:v>0.0232</c:v>
                </c:pt>
                <c:pt idx="145">
                  <c:v>0.0238</c:v>
                </c:pt>
                <c:pt idx="146">
                  <c:v>0.0245</c:v>
                </c:pt>
                <c:pt idx="147">
                  <c:v>0.0249</c:v>
                </c:pt>
                <c:pt idx="148">
                  <c:v>0.0255</c:v>
                </c:pt>
                <c:pt idx="149">
                  <c:v>0.026</c:v>
                </c:pt>
                <c:pt idx="150">
                  <c:v>0.0265</c:v>
                </c:pt>
                <c:pt idx="151">
                  <c:v>0.027</c:v>
                </c:pt>
                <c:pt idx="152">
                  <c:v>0.0275</c:v>
                </c:pt>
                <c:pt idx="153">
                  <c:v>0.0282</c:v>
                </c:pt>
                <c:pt idx="154">
                  <c:v>0.0289</c:v>
                </c:pt>
                <c:pt idx="155">
                  <c:v>0.0295</c:v>
                </c:pt>
                <c:pt idx="156">
                  <c:v>0.0302</c:v>
                </c:pt>
                <c:pt idx="157">
                  <c:v>0.0308</c:v>
                </c:pt>
                <c:pt idx="158">
                  <c:v>0.0315</c:v>
                </c:pt>
                <c:pt idx="159">
                  <c:v>0.0322</c:v>
                </c:pt>
                <c:pt idx="160">
                  <c:v>0.0329</c:v>
                </c:pt>
                <c:pt idx="161">
                  <c:v>0.0336</c:v>
                </c:pt>
                <c:pt idx="162">
                  <c:v>0.0343</c:v>
                </c:pt>
                <c:pt idx="163">
                  <c:v>0.0349</c:v>
                </c:pt>
                <c:pt idx="164">
                  <c:v>0.0355</c:v>
                </c:pt>
                <c:pt idx="165">
                  <c:v>0.036</c:v>
                </c:pt>
                <c:pt idx="166">
                  <c:v>0.0366</c:v>
                </c:pt>
                <c:pt idx="167">
                  <c:v>0.0371</c:v>
                </c:pt>
                <c:pt idx="168">
                  <c:v>0.0377</c:v>
                </c:pt>
                <c:pt idx="169">
                  <c:v>0.0382</c:v>
                </c:pt>
                <c:pt idx="170">
                  <c:v>0.0387</c:v>
                </c:pt>
                <c:pt idx="171">
                  <c:v>0.0391</c:v>
                </c:pt>
                <c:pt idx="172">
                  <c:v>0.0394</c:v>
                </c:pt>
                <c:pt idx="173">
                  <c:v>0.0399</c:v>
                </c:pt>
                <c:pt idx="174">
                  <c:v>0.0403</c:v>
                </c:pt>
                <c:pt idx="175">
                  <c:v>0.0408</c:v>
                </c:pt>
                <c:pt idx="176">
                  <c:v>0.0413</c:v>
                </c:pt>
                <c:pt idx="177">
                  <c:v>0.0417</c:v>
                </c:pt>
                <c:pt idx="178">
                  <c:v>0.0422</c:v>
                </c:pt>
                <c:pt idx="179">
                  <c:v>0.0426</c:v>
                </c:pt>
                <c:pt idx="180">
                  <c:v>0.0431</c:v>
                </c:pt>
                <c:pt idx="181">
                  <c:v>0.0436</c:v>
                </c:pt>
                <c:pt idx="182">
                  <c:v>0.0441</c:v>
                </c:pt>
                <c:pt idx="183">
                  <c:v>0.0447</c:v>
                </c:pt>
                <c:pt idx="184">
                  <c:v>0.0452</c:v>
                </c:pt>
                <c:pt idx="185">
                  <c:v>0.0457</c:v>
                </c:pt>
                <c:pt idx="186">
                  <c:v>0.0462</c:v>
                </c:pt>
                <c:pt idx="187">
                  <c:v>0.0466</c:v>
                </c:pt>
                <c:pt idx="188">
                  <c:v>0.047</c:v>
                </c:pt>
                <c:pt idx="189">
                  <c:v>0.0475</c:v>
                </c:pt>
                <c:pt idx="190">
                  <c:v>0.048</c:v>
                </c:pt>
                <c:pt idx="191">
                  <c:v>0.0485</c:v>
                </c:pt>
                <c:pt idx="192">
                  <c:v>0.0491</c:v>
                </c:pt>
                <c:pt idx="193">
                  <c:v>0.0497</c:v>
                </c:pt>
                <c:pt idx="194">
                  <c:v>0.0503</c:v>
                </c:pt>
                <c:pt idx="195">
                  <c:v>0.0508</c:v>
                </c:pt>
                <c:pt idx="196">
                  <c:v>0.0514</c:v>
                </c:pt>
                <c:pt idx="197">
                  <c:v>0.052</c:v>
                </c:pt>
                <c:pt idx="198">
                  <c:v>0.0525</c:v>
                </c:pt>
                <c:pt idx="199">
                  <c:v>0.0531</c:v>
                </c:pt>
                <c:pt idx="200">
                  <c:v>0.0536</c:v>
                </c:pt>
                <c:pt idx="201">
                  <c:v>0.0541</c:v>
                </c:pt>
                <c:pt idx="202">
                  <c:v>0.0545</c:v>
                </c:pt>
                <c:pt idx="203">
                  <c:v>0.0549</c:v>
                </c:pt>
                <c:pt idx="204">
                  <c:v>0.0553</c:v>
                </c:pt>
                <c:pt idx="205">
                  <c:v>0.0556</c:v>
                </c:pt>
                <c:pt idx="206">
                  <c:v>0.056</c:v>
                </c:pt>
                <c:pt idx="207">
                  <c:v>0.0563</c:v>
                </c:pt>
                <c:pt idx="208">
                  <c:v>0.0567</c:v>
                </c:pt>
                <c:pt idx="209">
                  <c:v>0.0571</c:v>
                </c:pt>
                <c:pt idx="210">
                  <c:v>0.0576</c:v>
                </c:pt>
                <c:pt idx="211">
                  <c:v>0.058</c:v>
                </c:pt>
                <c:pt idx="212">
                  <c:v>0.0585</c:v>
                </c:pt>
                <c:pt idx="213">
                  <c:v>0.059</c:v>
                </c:pt>
                <c:pt idx="214">
                  <c:v>0.0596</c:v>
                </c:pt>
                <c:pt idx="215">
                  <c:v>0.0602</c:v>
                </c:pt>
                <c:pt idx="216">
                  <c:v>0.0608</c:v>
                </c:pt>
                <c:pt idx="217">
                  <c:v>0.0614</c:v>
                </c:pt>
                <c:pt idx="218">
                  <c:v>0.062</c:v>
                </c:pt>
                <c:pt idx="219">
                  <c:v>0.0626</c:v>
                </c:pt>
                <c:pt idx="220">
                  <c:v>0.0632</c:v>
                </c:pt>
                <c:pt idx="221">
                  <c:v>0.0639</c:v>
                </c:pt>
                <c:pt idx="222">
                  <c:v>0.0645</c:v>
                </c:pt>
                <c:pt idx="223">
                  <c:v>0.0652</c:v>
                </c:pt>
                <c:pt idx="224">
                  <c:v>0.0657</c:v>
                </c:pt>
                <c:pt idx="225">
                  <c:v>0.0663</c:v>
                </c:pt>
                <c:pt idx="226">
                  <c:v>0.0667</c:v>
                </c:pt>
                <c:pt idx="227">
                  <c:v>0.0672</c:v>
                </c:pt>
                <c:pt idx="228">
                  <c:v>0.0675</c:v>
                </c:pt>
                <c:pt idx="229">
                  <c:v>0.0679</c:v>
                </c:pt>
                <c:pt idx="230">
                  <c:v>0.0682</c:v>
                </c:pt>
                <c:pt idx="231">
                  <c:v>0.0685</c:v>
                </c:pt>
                <c:pt idx="232">
                  <c:v>0.0688</c:v>
                </c:pt>
                <c:pt idx="233">
                  <c:v>0.0691</c:v>
                </c:pt>
                <c:pt idx="234">
                  <c:v>0.0693</c:v>
                </c:pt>
                <c:pt idx="235">
                  <c:v>0.0696</c:v>
                </c:pt>
                <c:pt idx="236">
                  <c:v>0.0699</c:v>
                </c:pt>
                <c:pt idx="237">
                  <c:v>0.0702</c:v>
                </c:pt>
                <c:pt idx="238">
                  <c:v>0.0706</c:v>
                </c:pt>
                <c:pt idx="239">
                  <c:v>0.071</c:v>
                </c:pt>
                <c:pt idx="240">
                  <c:v>0.0714</c:v>
                </c:pt>
                <c:pt idx="241">
                  <c:v>0.0719</c:v>
                </c:pt>
                <c:pt idx="242">
                  <c:v>0.0723</c:v>
                </c:pt>
                <c:pt idx="243">
                  <c:v>0.0727</c:v>
                </c:pt>
                <c:pt idx="244">
                  <c:v>0.0731</c:v>
                </c:pt>
                <c:pt idx="245">
                  <c:v>0.0735</c:v>
                </c:pt>
                <c:pt idx="246">
                  <c:v>0.0739</c:v>
                </c:pt>
                <c:pt idx="247">
                  <c:v>0.0743</c:v>
                </c:pt>
                <c:pt idx="248">
                  <c:v>0.0747</c:v>
                </c:pt>
                <c:pt idx="249">
                  <c:v>0.075</c:v>
                </c:pt>
                <c:pt idx="250">
                  <c:v>0.0753</c:v>
                </c:pt>
                <c:pt idx="251">
                  <c:v>0.0756</c:v>
                </c:pt>
                <c:pt idx="252">
                  <c:v>0.0759</c:v>
                </c:pt>
                <c:pt idx="253">
                  <c:v>0.0762</c:v>
                </c:pt>
                <c:pt idx="254">
                  <c:v>0.0765</c:v>
                </c:pt>
                <c:pt idx="255">
                  <c:v>0.0768</c:v>
                </c:pt>
                <c:pt idx="256">
                  <c:v>0.0771</c:v>
                </c:pt>
                <c:pt idx="257">
                  <c:v>0.0773</c:v>
                </c:pt>
                <c:pt idx="258">
                  <c:v>0.0775</c:v>
                </c:pt>
                <c:pt idx="259">
                  <c:v>0.0777</c:v>
                </c:pt>
                <c:pt idx="260">
                  <c:v>0.0779</c:v>
                </c:pt>
                <c:pt idx="261">
                  <c:v>0.078</c:v>
                </c:pt>
                <c:pt idx="262">
                  <c:v>0.0782</c:v>
                </c:pt>
                <c:pt idx="263">
                  <c:v>0.0783</c:v>
                </c:pt>
                <c:pt idx="264">
                  <c:v>0.0785</c:v>
                </c:pt>
                <c:pt idx="265">
                  <c:v>0.0786</c:v>
                </c:pt>
                <c:pt idx="266">
                  <c:v>0.0787</c:v>
                </c:pt>
                <c:pt idx="267">
                  <c:v>0.0789</c:v>
                </c:pt>
                <c:pt idx="268">
                  <c:v>0.0791</c:v>
                </c:pt>
                <c:pt idx="269">
                  <c:v>0.0793</c:v>
                </c:pt>
                <c:pt idx="270">
                  <c:v>0.0796</c:v>
                </c:pt>
                <c:pt idx="271">
                  <c:v>0.08</c:v>
                </c:pt>
                <c:pt idx="272">
                  <c:v>0.0803</c:v>
                </c:pt>
                <c:pt idx="273">
                  <c:v>0.0805</c:v>
                </c:pt>
                <c:pt idx="274">
                  <c:v>0.0808</c:v>
                </c:pt>
                <c:pt idx="275">
                  <c:v>0.0811</c:v>
                </c:pt>
                <c:pt idx="276">
                  <c:v>0.0814</c:v>
                </c:pt>
                <c:pt idx="277">
                  <c:v>0.0817</c:v>
                </c:pt>
                <c:pt idx="278">
                  <c:v>0.082</c:v>
                </c:pt>
                <c:pt idx="279">
                  <c:v>0.0823</c:v>
                </c:pt>
                <c:pt idx="280">
                  <c:v>0.0826</c:v>
                </c:pt>
                <c:pt idx="281">
                  <c:v>0.0828</c:v>
                </c:pt>
                <c:pt idx="282">
                  <c:v>0.083</c:v>
                </c:pt>
                <c:pt idx="283">
                  <c:v>0.0833</c:v>
                </c:pt>
                <c:pt idx="284">
                  <c:v>0.0835</c:v>
                </c:pt>
                <c:pt idx="285">
                  <c:v>0.0838</c:v>
                </c:pt>
                <c:pt idx="286">
                  <c:v>0.084</c:v>
                </c:pt>
                <c:pt idx="287">
                  <c:v>0.0843</c:v>
                </c:pt>
                <c:pt idx="288">
                  <c:v>0.0846</c:v>
                </c:pt>
                <c:pt idx="289">
                  <c:v>0.0848</c:v>
                </c:pt>
                <c:pt idx="290">
                  <c:v>0.085</c:v>
                </c:pt>
                <c:pt idx="291">
                  <c:v>0.0852</c:v>
                </c:pt>
                <c:pt idx="292">
                  <c:v>0.0853</c:v>
                </c:pt>
                <c:pt idx="293">
                  <c:v>0.0855</c:v>
                </c:pt>
                <c:pt idx="294">
                  <c:v>0.0857</c:v>
                </c:pt>
                <c:pt idx="295">
                  <c:v>0.0858</c:v>
                </c:pt>
                <c:pt idx="296">
                  <c:v>0.0859</c:v>
                </c:pt>
                <c:pt idx="297">
                  <c:v>0.086</c:v>
                </c:pt>
                <c:pt idx="298">
                  <c:v>0.086</c:v>
                </c:pt>
                <c:pt idx="299">
                  <c:v>0.0861</c:v>
                </c:pt>
                <c:pt idx="300">
                  <c:v>0.0861</c:v>
                </c:pt>
                <c:pt idx="301">
                  <c:v>0.0862</c:v>
                </c:pt>
                <c:pt idx="302">
                  <c:v>0.0863</c:v>
                </c:pt>
                <c:pt idx="303">
                  <c:v>0.0863</c:v>
                </c:pt>
                <c:pt idx="304">
                  <c:v>0.0864</c:v>
                </c:pt>
                <c:pt idx="305">
                  <c:v>0.0865</c:v>
                </c:pt>
                <c:pt idx="306">
                  <c:v>0.0866</c:v>
                </c:pt>
                <c:pt idx="307">
                  <c:v>0.0867</c:v>
                </c:pt>
                <c:pt idx="308">
                  <c:v>0.0869</c:v>
                </c:pt>
                <c:pt idx="309">
                  <c:v>0.087</c:v>
                </c:pt>
                <c:pt idx="310">
                  <c:v>0.0873</c:v>
                </c:pt>
                <c:pt idx="311">
                  <c:v>0.0875</c:v>
                </c:pt>
                <c:pt idx="312">
                  <c:v>0.0878</c:v>
                </c:pt>
                <c:pt idx="313">
                  <c:v>0.0881</c:v>
                </c:pt>
                <c:pt idx="314">
                  <c:v>0.0884</c:v>
                </c:pt>
                <c:pt idx="315">
                  <c:v>0.0886</c:v>
                </c:pt>
                <c:pt idx="316">
                  <c:v>0.0889</c:v>
                </c:pt>
                <c:pt idx="317">
                  <c:v>0.0891</c:v>
                </c:pt>
                <c:pt idx="318">
                  <c:v>0.0893</c:v>
                </c:pt>
                <c:pt idx="319">
                  <c:v>0.0895</c:v>
                </c:pt>
                <c:pt idx="320">
                  <c:v>0.0898</c:v>
                </c:pt>
                <c:pt idx="321">
                  <c:v>0.09</c:v>
                </c:pt>
                <c:pt idx="322">
                  <c:v>0.0902</c:v>
                </c:pt>
                <c:pt idx="323">
                  <c:v>0.0904</c:v>
                </c:pt>
                <c:pt idx="324">
                  <c:v>0.0905</c:v>
                </c:pt>
                <c:pt idx="325">
                  <c:v>0.0906</c:v>
                </c:pt>
                <c:pt idx="326">
                  <c:v>0.0908</c:v>
                </c:pt>
                <c:pt idx="327">
                  <c:v>0.0909</c:v>
                </c:pt>
                <c:pt idx="328">
                  <c:v>0.091</c:v>
                </c:pt>
                <c:pt idx="329">
                  <c:v>0.0911</c:v>
                </c:pt>
                <c:pt idx="330">
                  <c:v>0.0912</c:v>
                </c:pt>
                <c:pt idx="331">
                  <c:v>0.0913</c:v>
                </c:pt>
                <c:pt idx="332">
                  <c:v>0.0913</c:v>
                </c:pt>
                <c:pt idx="333">
                  <c:v>0.0914</c:v>
                </c:pt>
                <c:pt idx="334">
                  <c:v>0.0915</c:v>
                </c:pt>
                <c:pt idx="335">
                  <c:v>0.0916</c:v>
                </c:pt>
                <c:pt idx="336">
                  <c:v>0.0917</c:v>
                </c:pt>
                <c:pt idx="337">
                  <c:v>0.0918</c:v>
                </c:pt>
                <c:pt idx="338">
                  <c:v>0.092</c:v>
                </c:pt>
                <c:pt idx="339">
                  <c:v>0.0922</c:v>
                </c:pt>
                <c:pt idx="340">
                  <c:v>0.0924</c:v>
                </c:pt>
                <c:pt idx="341">
                  <c:v>0.0926</c:v>
                </c:pt>
                <c:pt idx="342">
                  <c:v>0.0929</c:v>
                </c:pt>
                <c:pt idx="343">
                  <c:v>0.0931</c:v>
                </c:pt>
                <c:pt idx="344">
                  <c:v>0.0932</c:v>
                </c:pt>
                <c:pt idx="345">
                  <c:v>0.0934</c:v>
                </c:pt>
                <c:pt idx="346">
                  <c:v>0.0936</c:v>
                </c:pt>
                <c:pt idx="347">
                  <c:v>0.0937</c:v>
                </c:pt>
                <c:pt idx="348">
                  <c:v>0.0938</c:v>
                </c:pt>
                <c:pt idx="349">
                  <c:v>0.0939</c:v>
                </c:pt>
                <c:pt idx="350">
                  <c:v>0.0941</c:v>
                </c:pt>
                <c:pt idx="351">
                  <c:v>0.0942</c:v>
                </c:pt>
                <c:pt idx="352">
                  <c:v>0.0943</c:v>
                </c:pt>
                <c:pt idx="353">
                  <c:v>0.0943</c:v>
                </c:pt>
                <c:pt idx="354">
                  <c:v>0.0944</c:v>
                </c:pt>
                <c:pt idx="355">
                  <c:v>0.0945</c:v>
                </c:pt>
                <c:pt idx="356">
                  <c:v>0.0945</c:v>
                </c:pt>
                <c:pt idx="357">
                  <c:v>0.0946</c:v>
                </c:pt>
                <c:pt idx="358">
                  <c:v>0.0947</c:v>
                </c:pt>
                <c:pt idx="359">
                  <c:v>0.0947</c:v>
                </c:pt>
                <c:pt idx="360">
                  <c:v>0.0948</c:v>
                </c:pt>
                <c:pt idx="361">
                  <c:v>0.0949</c:v>
                </c:pt>
                <c:pt idx="362">
                  <c:v>0.095</c:v>
                </c:pt>
                <c:pt idx="363">
                  <c:v>0.0951</c:v>
                </c:pt>
                <c:pt idx="364">
                  <c:v>0.0952</c:v>
                </c:pt>
                <c:pt idx="365">
                  <c:v>0.0953</c:v>
                </c:pt>
                <c:pt idx="366">
                  <c:v>0.0954</c:v>
                </c:pt>
                <c:pt idx="367">
                  <c:v>0.0957</c:v>
                </c:pt>
                <c:pt idx="368">
                  <c:v>0.0957</c:v>
                </c:pt>
                <c:pt idx="369">
                  <c:v>0.0957</c:v>
                </c:pt>
              </c:numCache>
            </c:numRef>
          </c:yVal>
          <c:smooth val="0"/>
        </c:ser>
        <c:ser>
          <c:idx val="2"/>
          <c:order val="2"/>
          <c:tx>
            <c:v>Ex1</c:v>
          </c:tx>
          <c:spPr>
            <a:ln w="6350" cmpd="sng">
              <a:solidFill>
                <a:srgbClr val="FF0000"/>
              </a:solidFill>
            </a:ln>
          </c:spPr>
          <c:marker>
            <c:symbol val="none"/>
          </c:marker>
          <c:xVal>
            <c:numRef>
              <c:f>'0DCS-ex1'!$C$5:$C$351</c:f>
              <c:numCache>
                <c:formatCode>0.00E+00</c:formatCode>
                <c:ptCount val="347"/>
                <c:pt idx="0">
                  <c:v>10.57</c:v>
                </c:pt>
                <c:pt idx="1">
                  <c:v>10.42</c:v>
                </c:pt>
                <c:pt idx="2">
                  <c:v>10.22</c:v>
                </c:pt>
                <c:pt idx="3">
                  <c:v>10.01</c:v>
                </c:pt>
                <c:pt idx="4">
                  <c:v>9.827</c:v>
                </c:pt>
                <c:pt idx="5">
                  <c:v>9.656</c:v>
                </c:pt>
                <c:pt idx="6">
                  <c:v>9.479</c:v>
                </c:pt>
                <c:pt idx="7">
                  <c:v>9.297000000000001</c:v>
                </c:pt>
                <c:pt idx="8">
                  <c:v>9.104000000000001</c:v>
                </c:pt>
                <c:pt idx="9">
                  <c:v>8.919</c:v>
                </c:pt>
                <c:pt idx="10">
                  <c:v>8.732</c:v>
                </c:pt>
                <c:pt idx="11">
                  <c:v>8.553</c:v>
                </c:pt>
                <c:pt idx="12">
                  <c:v>8.370000000000002</c:v>
                </c:pt>
                <c:pt idx="13">
                  <c:v>8.186000000000003</c:v>
                </c:pt>
                <c:pt idx="14">
                  <c:v>7.999</c:v>
                </c:pt>
                <c:pt idx="15">
                  <c:v>7.811999999999998</c:v>
                </c:pt>
                <c:pt idx="16">
                  <c:v>7.623999999999976</c:v>
                </c:pt>
                <c:pt idx="17">
                  <c:v>7.442</c:v>
                </c:pt>
                <c:pt idx="18">
                  <c:v>7.262999999999995</c:v>
                </c:pt>
                <c:pt idx="19">
                  <c:v>7.09</c:v>
                </c:pt>
                <c:pt idx="20">
                  <c:v>6.916</c:v>
                </c:pt>
                <c:pt idx="21">
                  <c:v>6.742</c:v>
                </c:pt>
                <c:pt idx="22">
                  <c:v>6.569</c:v>
                </c:pt>
                <c:pt idx="23">
                  <c:v>6.393999999999997</c:v>
                </c:pt>
                <c:pt idx="24">
                  <c:v>6.217</c:v>
                </c:pt>
                <c:pt idx="25">
                  <c:v>6.04</c:v>
                </c:pt>
                <c:pt idx="26">
                  <c:v>5.859999999999998</c:v>
                </c:pt>
                <c:pt idx="27">
                  <c:v>5.679</c:v>
                </c:pt>
                <c:pt idx="28">
                  <c:v>5.496</c:v>
                </c:pt>
                <c:pt idx="29">
                  <c:v>5.312999999999985</c:v>
                </c:pt>
                <c:pt idx="30">
                  <c:v>5.126999999999986</c:v>
                </c:pt>
                <c:pt idx="31">
                  <c:v>4.941</c:v>
                </c:pt>
                <c:pt idx="32">
                  <c:v>4.753</c:v>
                </c:pt>
                <c:pt idx="33">
                  <c:v>4.562999999999985</c:v>
                </c:pt>
                <c:pt idx="34">
                  <c:v>4.372</c:v>
                </c:pt>
                <c:pt idx="35">
                  <c:v>4.18</c:v>
                </c:pt>
                <c:pt idx="36">
                  <c:v>3.988</c:v>
                </c:pt>
                <c:pt idx="37">
                  <c:v>3.795</c:v>
                </c:pt>
                <c:pt idx="38">
                  <c:v>3.601</c:v>
                </c:pt>
                <c:pt idx="39">
                  <c:v>3.407</c:v>
                </c:pt>
                <c:pt idx="40">
                  <c:v>3.213</c:v>
                </c:pt>
                <c:pt idx="41">
                  <c:v>3.019</c:v>
                </c:pt>
                <c:pt idx="42">
                  <c:v>2.828</c:v>
                </c:pt>
                <c:pt idx="43">
                  <c:v>2.638</c:v>
                </c:pt>
                <c:pt idx="44">
                  <c:v>2.451</c:v>
                </c:pt>
                <c:pt idx="45">
                  <c:v>2.269</c:v>
                </c:pt>
                <c:pt idx="46">
                  <c:v>2.091</c:v>
                </c:pt>
                <c:pt idx="47">
                  <c:v>1.92</c:v>
                </c:pt>
                <c:pt idx="48">
                  <c:v>1.755</c:v>
                </c:pt>
                <c:pt idx="49">
                  <c:v>1.598</c:v>
                </c:pt>
                <c:pt idx="50">
                  <c:v>1.451</c:v>
                </c:pt>
                <c:pt idx="51">
                  <c:v>1.314</c:v>
                </c:pt>
                <c:pt idx="52">
                  <c:v>1.188</c:v>
                </c:pt>
                <c:pt idx="53">
                  <c:v>1.072</c:v>
                </c:pt>
                <c:pt idx="54">
                  <c:v>0.9666</c:v>
                </c:pt>
                <c:pt idx="55">
                  <c:v>0.8718</c:v>
                </c:pt>
                <c:pt idx="56">
                  <c:v>0.7869</c:v>
                </c:pt>
                <c:pt idx="57">
                  <c:v>0.7114</c:v>
                </c:pt>
                <c:pt idx="58">
                  <c:v>0.6444</c:v>
                </c:pt>
                <c:pt idx="59">
                  <c:v>0.5852</c:v>
                </c:pt>
                <c:pt idx="60">
                  <c:v>0.533</c:v>
                </c:pt>
                <c:pt idx="61">
                  <c:v>0.487</c:v>
                </c:pt>
                <c:pt idx="62">
                  <c:v>0.4463</c:v>
                </c:pt>
                <c:pt idx="63">
                  <c:v>0.4104</c:v>
                </c:pt>
                <c:pt idx="64">
                  <c:v>0.3788</c:v>
                </c:pt>
                <c:pt idx="65">
                  <c:v>0.3508</c:v>
                </c:pt>
                <c:pt idx="66">
                  <c:v>0.326</c:v>
                </c:pt>
                <c:pt idx="67">
                  <c:v>0.3039</c:v>
                </c:pt>
                <c:pt idx="68">
                  <c:v>0.2843</c:v>
                </c:pt>
                <c:pt idx="69">
                  <c:v>0.2667</c:v>
                </c:pt>
                <c:pt idx="70">
                  <c:v>0.2511</c:v>
                </c:pt>
                <c:pt idx="71">
                  <c:v>0.2369</c:v>
                </c:pt>
                <c:pt idx="72">
                  <c:v>0.2242</c:v>
                </c:pt>
                <c:pt idx="73">
                  <c:v>0.2124</c:v>
                </c:pt>
                <c:pt idx="74">
                  <c:v>0.2017</c:v>
                </c:pt>
                <c:pt idx="75">
                  <c:v>0.192</c:v>
                </c:pt>
                <c:pt idx="76">
                  <c:v>0.183</c:v>
                </c:pt>
                <c:pt idx="77">
                  <c:v>0.1746</c:v>
                </c:pt>
                <c:pt idx="78">
                  <c:v>0.1669</c:v>
                </c:pt>
                <c:pt idx="79">
                  <c:v>0.1596</c:v>
                </c:pt>
                <c:pt idx="80">
                  <c:v>0.1527</c:v>
                </c:pt>
                <c:pt idx="81">
                  <c:v>0.1462</c:v>
                </c:pt>
                <c:pt idx="82">
                  <c:v>0.1402</c:v>
                </c:pt>
                <c:pt idx="83">
                  <c:v>0.1345</c:v>
                </c:pt>
                <c:pt idx="84">
                  <c:v>0.1292</c:v>
                </c:pt>
                <c:pt idx="85">
                  <c:v>0.1242</c:v>
                </c:pt>
                <c:pt idx="86">
                  <c:v>0.1195</c:v>
                </c:pt>
                <c:pt idx="87">
                  <c:v>0.1151</c:v>
                </c:pt>
                <c:pt idx="88">
                  <c:v>0.1109</c:v>
                </c:pt>
                <c:pt idx="89">
                  <c:v>0.1069</c:v>
                </c:pt>
                <c:pt idx="90">
                  <c:v>0.1033</c:v>
                </c:pt>
                <c:pt idx="91">
                  <c:v>0.09981</c:v>
                </c:pt>
                <c:pt idx="92">
                  <c:v>0.09656</c:v>
                </c:pt>
                <c:pt idx="93">
                  <c:v>0.09351</c:v>
                </c:pt>
                <c:pt idx="94">
                  <c:v>0.09062</c:v>
                </c:pt>
                <c:pt idx="95">
                  <c:v>0.0879</c:v>
                </c:pt>
                <c:pt idx="96">
                  <c:v>0.08532</c:v>
                </c:pt>
                <c:pt idx="97">
                  <c:v>0.08289</c:v>
                </c:pt>
                <c:pt idx="98">
                  <c:v>0.08058</c:v>
                </c:pt>
                <c:pt idx="99">
                  <c:v>0.07844</c:v>
                </c:pt>
                <c:pt idx="100">
                  <c:v>0.0764</c:v>
                </c:pt>
                <c:pt idx="101">
                  <c:v>0.07445</c:v>
                </c:pt>
                <c:pt idx="102">
                  <c:v>0.07255</c:v>
                </c:pt>
                <c:pt idx="103">
                  <c:v>0.07072</c:v>
                </c:pt>
                <c:pt idx="104">
                  <c:v>0.06898</c:v>
                </c:pt>
                <c:pt idx="105">
                  <c:v>0.06726</c:v>
                </c:pt>
                <c:pt idx="106">
                  <c:v>0.06564</c:v>
                </c:pt>
                <c:pt idx="107">
                  <c:v>0.06405</c:v>
                </c:pt>
                <c:pt idx="108">
                  <c:v>0.06254</c:v>
                </c:pt>
                <c:pt idx="109">
                  <c:v>0.06106</c:v>
                </c:pt>
                <c:pt idx="110">
                  <c:v>0.05964</c:v>
                </c:pt>
                <c:pt idx="111">
                  <c:v>0.05826</c:v>
                </c:pt>
                <c:pt idx="112">
                  <c:v>0.05692</c:v>
                </c:pt>
                <c:pt idx="113">
                  <c:v>0.05562</c:v>
                </c:pt>
                <c:pt idx="114">
                  <c:v>0.05441</c:v>
                </c:pt>
                <c:pt idx="115">
                  <c:v>0.05323</c:v>
                </c:pt>
                <c:pt idx="116">
                  <c:v>0.05214</c:v>
                </c:pt>
                <c:pt idx="117">
                  <c:v>0.05109</c:v>
                </c:pt>
                <c:pt idx="118">
                  <c:v>0.05009</c:v>
                </c:pt>
                <c:pt idx="119">
                  <c:v>0.04913</c:v>
                </c:pt>
                <c:pt idx="120">
                  <c:v>0.04821</c:v>
                </c:pt>
                <c:pt idx="121">
                  <c:v>0.04731</c:v>
                </c:pt>
                <c:pt idx="122">
                  <c:v>0.04647</c:v>
                </c:pt>
                <c:pt idx="123">
                  <c:v>0.04567</c:v>
                </c:pt>
                <c:pt idx="124">
                  <c:v>0.04491</c:v>
                </c:pt>
                <c:pt idx="125">
                  <c:v>0.04417</c:v>
                </c:pt>
                <c:pt idx="126">
                  <c:v>0.04346</c:v>
                </c:pt>
                <c:pt idx="127">
                  <c:v>0.04277</c:v>
                </c:pt>
                <c:pt idx="128">
                  <c:v>0.0421</c:v>
                </c:pt>
                <c:pt idx="129">
                  <c:v>0.04144</c:v>
                </c:pt>
                <c:pt idx="130">
                  <c:v>0.0408</c:v>
                </c:pt>
                <c:pt idx="131">
                  <c:v>0.0402</c:v>
                </c:pt>
                <c:pt idx="132">
                  <c:v>0.03961</c:v>
                </c:pt>
                <c:pt idx="133">
                  <c:v>0.03904</c:v>
                </c:pt>
                <c:pt idx="134">
                  <c:v>0.03848</c:v>
                </c:pt>
                <c:pt idx="135">
                  <c:v>0.03793</c:v>
                </c:pt>
                <c:pt idx="136">
                  <c:v>0.0374</c:v>
                </c:pt>
                <c:pt idx="137">
                  <c:v>0.03688</c:v>
                </c:pt>
                <c:pt idx="138">
                  <c:v>0.03637</c:v>
                </c:pt>
                <c:pt idx="139">
                  <c:v>0.03588</c:v>
                </c:pt>
                <c:pt idx="140">
                  <c:v>0.0354</c:v>
                </c:pt>
                <c:pt idx="141">
                  <c:v>0.03493</c:v>
                </c:pt>
                <c:pt idx="142">
                  <c:v>0.03447</c:v>
                </c:pt>
                <c:pt idx="143">
                  <c:v>0.03402</c:v>
                </c:pt>
                <c:pt idx="144">
                  <c:v>0.03358</c:v>
                </c:pt>
                <c:pt idx="145">
                  <c:v>0.03314</c:v>
                </c:pt>
                <c:pt idx="146">
                  <c:v>0.03272</c:v>
                </c:pt>
                <c:pt idx="147">
                  <c:v>0.0323</c:v>
                </c:pt>
                <c:pt idx="148">
                  <c:v>0.03189</c:v>
                </c:pt>
                <c:pt idx="149">
                  <c:v>0.03149</c:v>
                </c:pt>
                <c:pt idx="150">
                  <c:v>0.0311</c:v>
                </c:pt>
                <c:pt idx="151">
                  <c:v>0.03072</c:v>
                </c:pt>
                <c:pt idx="152">
                  <c:v>0.03034</c:v>
                </c:pt>
                <c:pt idx="153">
                  <c:v>0.02998</c:v>
                </c:pt>
                <c:pt idx="154">
                  <c:v>0.02962</c:v>
                </c:pt>
                <c:pt idx="155">
                  <c:v>0.02927</c:v>
                </c:pt>
                <c:pt idx="156">
                  <c:v>0.02893</c:v>
                </c:pt>
                <c:pt idx="157">
                  <c:v>0.0286</c:v>
                </c:pt>
                <c:pt idx="158">
                  <c:v>0.02827</c:v>
                </c:pt>
                <c:pt idx="159">
                  <c:v>0.02795</c:v>
                </c:pt>
                <c:pt idx="160">
                  <c:v>0.02763</c:v>
                </c:pt>
                <c:pt idx="161">
                  <c:v>0.02731</c:v>
                </c:pt>
                <c:pt idx="162">
                  <c:v>0.02699</c:v>
                </c:pt>
                <c:pt idx="163">
                  <c:v>0.02666</c:v>
                </c:pt>
                <c:pt idx="164">
                  <c:v>0.02634</c:v>
                </c:pt>
                <c:pt idx="165">
                  <c:v>0.02601</c:v>
                </c:pt>
                <c:pt idx="166">
                  <c:v>0.02568</c:v>
                </c:pt>
                <c:pt idx="167">
                  <c:v>0.02536</c:v>
                </c:pt>
                <c:pt idx="168">
                  <c:v>0.02503</c:v>
                </c:pt>
                <c:pt idx="169">
                  <c:v>0.02471</c:v>
                </c:pt>
                <c:pt idx="170">
                  <c:v>0.02439</c:v>
                </c:pt>
                <c:pt idx="171">
                  <c:v>0.02406</c:v>
                </c:pt>
                <c:pt idx="172">
                  <c:v>0.02374</c:v>
                </c:pt>
                <c:pt idx="173">
                  <c:v>0.02343</c:v>
                </c:pt>
                <c:pt idx="174">
                  <c:v>0.02312</c:v>
                </c:pt>
                <c:pt idx="175">
                  <c:v>0.02281</c:v>
                </c:pt>
                <c:pt idx="176">
                  <c:v>0.02251</c:v>
                </c:pt>
                <c:pt idx="177">
                  <c:v>0.02221</c:v>
                </c:pt>
                <c:pt idx="178">
                  <c:v>0.02191</c:v>
                </c:pt>
                <c:pt idx="179">
                  <c:v>0.02161</c:v>
                </c:pt>
                <c:pt idx="180">
                  <c:v>0.02133</c:v>
                </c:pt>
                <c:pt idx="181">
                  <c:v>0.02105</c:v>
                </c:pt>
                <c:pt idx="182">
                  <c:v>0.02077</c:v>
                </c:pt>
                <c:pt idx="183">
                  <c:v>0.0205</c:v>
                </c:pt>
                <c:pt idx="184">
                  <c:v>0.02023</c:v>
                </c:pt>
                <c:pt idx="185">
                  <c:v>0.01997</c:v>
                </c:pt>
                <c:pt idx="186">
                  <c:v>0.01972</c:v>
                </c:pt>
                <c:pt idx="187">
                  <c:v>0.01947</c:v>
                </c:pt>
                <c:pt idx="188">
                  <c:v>0.01923</c:v>
                </c:pt>
                <c:pt idx="189">
                  <c:v>0.01899</c:v>
                </c:pt>
                <c:pt idx="190">
                  <c:v>0.01875</c:v>
                </c:pt>
                <c:pt idx="191">
                  <c:v>0.01852</c:v>
                </c:pt>
                <c:pt idx="192">
                  <c:v>0.0183</c:v>
                </c:pt>
                <c:pt idx="193">
                  <c:v>0.01808</c:v>
                </c:pt>
                <c:pt idx="194">
                  <c:v>0.01786</c:v>
                </c:pt>
                <c:pt idx="195">
                  <c:v>0.01765</c:v>
                </c:pt>
                <c:pt idx="196">
                  <c:v>0.01745</c:v>
                </c:pt>
                <c:pt idx="197">
                  <c:v>0.01724</c:v>
                </c:pt>
                <c:pt idx="198">
                  <c:v>0.01704</c:v>
                </c:pt>
                <c:pt idx="199">
                  <c:v>0.01685</c:v>
                </c:pt>
                <c:pt idx="200">
                  <c:v>0.01666</c:v>
                </c:pt>
                <c:pt idx="201">
                  <c:v>0.01647</c:v>
                </c:pt>
                <c:pt idx="202">
                  <c:v>0.01629</c:v>
                </c:pt>
                <c:pt idx="203">
                  <c:v>0.01612</c:v>
                </c:pt>
                <c:pt idx="204">
                  <c:v>0.01594</c:v>
                </c:pt>
                <c:pt idx="205">
                  <c:v>0.01578</c:v>
                </c:pt>
                <c:pt idx="206">
                  <c:v>0.01561</c:v>
                </c:pt>
                <c:pt idx="207">
                  <c:v>0.01545</c:v>
                </c:pt>
                <c:pt idx="208">
                  <c:v>0.01529</c:v>
                </c:pt>
                <c:pt idx="209">
                  <c:v>0.01514</c:v>
                </c:pt>
                <c:pt idx="210">
                  <c:v>0.01499</c:v>
                </c:pt>
                <c:pt idx="211">
                  <c:v>0.01485</c:v>
                </c:pt>
                <c:pt idx="212">
                  <c:v>0.01471</c:v>
                </c:pt>
                <c:pt idx="213">
                  <c:v>0.01456</c:v>
                </c:pt>
                <c:pt idx="214">
                  <c:v>0.01442</c:v>
                </c:pt>
                <c:pt idx="215">
                  <c:v>0.01428</c:v>
                </c:pt>
                <c:pt idx="216">
                  <c:v>0.01415</c:v>
                </c:pt>
                <c:pt idx="217">
                  <c:v>0.01402</c:v>
                </c:pt>
                <c:pt idx="218">
                  <c:v>0.01389</c:v>
                </c:pt>
                <c:pt idx="219">
                  <c:v>0.01376</c:v>
                </c:pt>
                <c:pt idx="220">
                  <c:v>0.01364</c:v>
                </c:pt>
                <c:pt idx="221">
                  <c:v>0.01353</c:v>
                </c:pt>
                <c:pt idx="222">
                  <c:v>0.01341</c:v>
                </c:pt>
                <c:pt idx="223">
                  <c:v>0.01331</c:v>
                </c:pt>
                <c:pt idx="224">
                  <c:v>0.01321</c:v>
                </c:pt>
                <c:pt idx="225">
                  <c:v>0.01311</c:v>
                </c:pt>
                <c:pt idx="226">
                  <c:v>0.01302</c:v>
                </c:pt>
                <c:pt idx="227">
                  <c:v>0.01293</c:v>
                </c:pt>
                <c:pt idx="228">
                  <c:v>0.01284</c:v>
                </c:pt>
                <c:pt idx="229">
                  <c:v>0.01276</c:v>
                </c:pt>
                <c:pt idx="230">
                  <c:v>0.01267</c:v>
                </c:pt>
                <c:pt idx="231">
                  <c:v>0.01259</c:v>
                </c:pt>
                <c:pt idx="232">
                  <c:v>0.01251</c:v>
                </c:pt>
                <c:pt idx="233">
                  <c:v>0.01244</c:v>
                </c:pt>
                <c:pt idx="234">
                  <c:v>0.01236</c:v>
                </c:pt>
                <c:pt idx="235">
                  <c:v>0.01228</c:v>
                </c:pt>
                <c:pt idx="236">
                  <c:v>0.01221</c:v>
                </c:pt>
                <c:pt idx="237">
                  <c:v>0.01213</c:v>
                </c:pt>
                <c:pt idx="238">
                  <c:v>0.01206</c:v>
                </c:pt>
                <c:pt idx="239">
                  <c:v>0.01198</c:v>
                </c:pt>
                <c:pt idx="240">
                  <c:v>0.01191</c:v>
                </c:pt>
                <c:pt idx="241">
                  <c:v>0.01184</c:v>
                </c:pt>
                <c:pt idx="242">
                  <c:v>0.01176</c:v>
                </c:pt>
                <c:pt idx="243">
                  <c:v>0.01169</c:v>
                </c:pt>
                <c:pt idx="244">
                  <c:v>0.01162</c:v>
                </c:pt>
                <c:pt idx="245">
                  <c:v>0.01155</c:v>
                </c:pt>
                <c:pt idx="246">
                  <c:v>0.01149</c:v>
                </c:pt>
                <c:pt idx="247">
                  <c:v>0.01142</c:v>
                </c:pt>
                <c:pt idx="248">
                  <c:v>0.01135</c:v>
                </c:pt>
                <c:pt idx="249">
                  <c:v>0.01128</c:v>
                </c:pt>
                <c:pt idx="250">
                  <c:v>0.01122</c:v>
                </c:pt>
                <c:pt idx="251">
                  <c:v>0.01115</c:v>
                </c:pt>
                <c:pt idx="252">
                  <c:v>0.01109</c:v>
                </c:pt>
                <c:pt idx="253">
                  <c:v>0.01102</c:v>
                </c:pt>
                <c:pt idx="254">
                  <c:v>0.01096</c:v>
                </c:pt>
                <c:pt idx="255">
                  <c:v>0.0109</c:v>
                </c:pt>
                <c:pt idx="256">
                  <c:v>0.01083</c:v>
                </c:pt>
                <c:pt idx="257">
                  <c:v>0.01077</c:v>
                </c:pt>
                <c:pt idx="258">
                  <c:v>0.01071</c:v>
                </c:pt>
                <c:pt idx="259">
                  <c:v>0.01065</c:v>
                </c:pt>
                <c:pt idx="260">
                  <c:v>0.01059</c:v>
                </c:pt>
                <c:pt idx="261">
                  <c:v>0.01053</c:v>
                </c:pt>
                <c:pt idx="262">
                  <c:v>0.01047</c:v>
                </c:pt>
                <c:pt idx="263">
                  <c:v>0.01041</c:v>
                </c:pt>
                <c:pt idx="264">
                  <c:v>0.01035</c:v>
                </c:pt>
                <c:pt idx="265">
                  <c:v>0.0103</c:v>
                </c:pt>
                <c:pt idx="266">
                  <c:v>0.01024</c:v>
                </c:pt>
                <c:pt idx="267">
                  <c:v>0.01018</c:v>
                </c:pt>
                <c:pt idx="268">
                  <c:v>0.01013</c:v>
                </c:pt>
                <c:pt idx="269">
                  <c:v>0.01007</c:v>
                </c:pt>
                <c:pt idx="270">
                  <c:v>0.01002</c:v>
                </c:pt>
                <c:pt idx="271">
                  <c:v>0.009963</c:v>
                </c:pt>
                <c:pt idx="272">
                  <c:v>0.009909</c:v>
                </c:pt>
                <c:pt idx="273">
                  <c:v>0.009856</c:v>
                </c:pt>
                <c:pt idx="274">
                  <c:v>0.009803</c:v>
                </c:pt>
                <c:pt idx="275">
                  <c:v>0.00975</c:v>
                </c:pt>
                <c:pt idx="276">
                  <c:v>0.009698</c:v>
                </c:pt>
                <c:pt idx="277">
                  <c:v>0.009647</c:v>
                </c:pt>
                <c:pt idx="278">
                  <c:v>0.009595</c:v>
                </c:pt>
                <c:pt idx="279">
                  <c:v>0.009543</c:v>
                </c:pt>
                <c:pt idx="280">
                  <c:v>0.009491</c:v>
                </c:pt>
                <c:pt idx="281">
                  <c:v>0.009439</c:v>
                </c:pt>
                <c:pt idx="282">
                  <c:v>0.009387</c:v>
                </c:pt>
                <c:pt idx="283">
                  <c:v>0.009336</c:v>
                </c:pt>
                <c:pt idx="284">
                  <c:v>0.009285</c:v>
                </c:pt>
                <c:pt idx="285">
                  <c:v>0.009235</c:v>
                </c:pt>
                <c:pt idx="286">
                  <c:v>0.009184</c:v>
                </c:pt>
                <c:pt idx="287">
                  <c:v>0.009132</c:v>
                </c:pt>
                <c:pt idx="288">
                  <c:v>0.00908</c:v>
                </c:pt>
                <c:pt idx="289">
                  <c:v>0.009028</c:v>
                </c:pt>
                <c:pt idx="290">
                  <c:v>0.008977</c:v>
                </c:pt>
                <c:pt idx="291">
                  <c:v>0.008926</c:v>
                </c:pt>
                <c:pt idx="292">
                  <c:v>0.008876</c:v>
                </c:pt>
                <c:pt idx="293">
                  <c:v>0.008825</c:v>
                </c:pt>
                <c:pt idx="294">
                  <c:v>0.008774</c:v>
                </c:pt>
                <c:pt idx="295">
                  <c:v>0.008722</c:v>
                </c:pt>
                <c:pt idx="296">
                  <c:v>0.00867</c:v>
                </c:pt>
                <c:pt idx="297">
                  <c:v>0.008618</c:v>
                </c:pt>
                <c:pt idx="298">
                  <c:v>0.008567</c:v>
                </c:pt>
                <c:pt idx="299">
                  <c:v>0.008517</c:v>
                </c:pt>
                <c:pt idx="300">
                  <c:v>0.008466</c:v>
                </c:pt>
                <c:pt idx="301">
                  <c:v>0.008415</c:v>
                </c:pt>
                <c:pt idx="302">
                  <c:v>0.008365</c:v>
                </c:pt>
                <c:pt idx="303">
                  <c:v>0.008314</c:v>
                </c:pt>
                <c:pt idx="304">
                  <c:v>0.008264</c:v>
                </c:pt>
                <c:pt idx="305">
                  <c:v>0.008215</c:v>
                </c:pt>
                <c:pt idx="306">
                  <c:v>0.008166</c:v>
                </c:pt>
                <c:pt idx="307">
                  <c:v>0.008117</c:v>
                </c:pt>
                <c:pt idx="308">
                  <c:v>0.008069</c:v>
                </c:pt>
                <c:pt idx="309">
                  <c:v>0.008021</c:v>
                </c:pt>
                <c:pt idx="310">
                  <c:v>0.007973</c:v>
                </c:pt>
                <c:pt idx="311">
                  <c:v>0.007927</c:v>
                </c:pt>
                <c:pt idx="312">
                  <c:v>0.00788</c:v>
                </c:pt>
                <c:pt idx="313">
                  <c:v>0.007834</c:v>
                </c:pt>
                <c:pt idx="314">
                  <c:v>0.007789</c:v>
                </c:pt>
                <c:pt idx="315">
                  <c:v>0.007744</c:v>
                </c:pt>
                <c:pt idx="316">
                  <c:v>0.007699</c:v>
                </c:pt>
                <c:pt idx="317">
                  <c:v>0.007655</c:v>
                </c:pt>
                <c:pt idx="318">
                  <c:v>0.007611</c:v>
                </c:pt>
                <c:pt idx="319">
                  <c:v>0.007568</c:v>
                </c:pt>
                <c:pt idx="320">
                  <c:v>0.007525</c:v>
                </c:pt>
                <c:pt idx="321">
                  <c:v>0.007482</c:v>
                </c:pt>
                <c:pt idx="322">
                  <c:v>0.00744</c:v>
                </c:pt>
                <c:pt idx="323">
                  <c:v>0.007398</c:v>
                </c:pt>
                <c:pt idx="324">
                  <c:v>0.007356</c:v>
                </c:pt>
                <c:pt idx="325">
                  <c:v>0.007315</c:v>
                </c:pt>
                <c:pt idx="326">
                  <c:v>0.007275</c:v>
                </c:pt>
                <c:pt idx="327">
                  <c:v>0.007234</c:v>
                </c:pt>
                <c:pt idx="328">
                  <c:v>0.007194</c:v>
                </c:pt>
                <c:pt idx="329">
                  <c:v>0.007155</c:v>
                </c:pt>
                <c:pt idx="330">
                  <c:v>0.007115</c:v>
                </c:pt>
                <c:pt idx="331">
                  <c:v>0.007076</c:v>
                </c:pt>
                <c:pt idx="332">
                  <c:v>0.007038</c:v>
                </c:pt>
                <c:pt idx="333">
                  <c:v>0.006999</c:v>
                </c:pt>
                <c:pt idx="334">
                  <c:v>0.006962</c:v>
                </c:pt>
                <c:pt idx="335">
                  <c:v>0.006924</c:v>
                </c:pt>
                <c:pt idx="336">
                  <c:v>0.006886</c:v>
                </c:pt>
                <c:pt idx="337">
                  <c:v>0.006849</c:v>
                </c:pt>
                <c:pt idx="338">
                  <c:v>0.006812</c:v>
                </c:pt>
                <c:pt idx="339">
                  <c:v>0.006775</c:v>
                </c:pt>
                <c:pt idx="340">
                  <c:v>0.006739</c:v>
                </c:pt>
                <c:pt idx="341">
                  <c:v>0.006703</c:v>
                </c:pt>
                <c:pt idx="342">
                  <c:v>0.006667</c:v>
                </c:pt>
                <c:pt idx="343">
                  <c:v>0.006632</c:v>
                </c:pt>
                <c:pt idx="344">
                  <c:v>0.006596</c:v>
                </c:pt>
                <c:pt idx="345">
                  <c:v>0.006562</c:v>
                </c:pt>
                <c:pt idx="346">
                  <c:v>0.006528</c:v>
                </c:pt>
              </c:numCache>
            </c:numRef>
          </c:xVal>
          <c:yVal>
            <c:numRef>
              <c:f>'0DCS-ex1'!$J$5:$J$351</c:f>
              <c:numCache>
                <c:formatCode>General</c:formatCode>
                <c:ptCount val="347"/>
                <c:pt idx="0">
                  <c:v>0.067</c:v>
                </c:pt>
                <c:pt idx="1">
                  <c:v>0.067</c:v>
                </c:pt>
                <c:pt idx="2">
                  <c:v>0.067</c:v>
                </c:pt>
                <c:pt idx="3">
                  <c:v>0.067</c:v>
                </c:pt>
                <c:pt idx="4">
                  <c:v>0.067</c:v>
                </c:pt>
                <c:pt idx="5">
                  <c:v>0.067</c:v>
                </c:pt>
                <c:pt idx="6">
                  <c:v>0.067</c:v>
                </c:pt>
                <c:pt idx="7">
                  <c:v>0.067</c:v>
                </c:pt>
                <c:pt idx="8">
                  <c:v>0.067</c:v>
                </c:pt>
                <c:pt idx="9">
                  <c:v>0.067</c:v>
                </c:pt>
                <c:pt idx="10">
                  <c:v>0.067</c:v>
                </c:pt>
                <c:pt idx="11">
                  <c:v>0.067</c:v>
                </c:pt>
                <c:pt idx="12">
                  <c:v>0.067</c:v>
                </c:pt>
                <c:pt idx="13">
                  <c:v>0.067</c:v>
                </c:pt>
                <c:pt idx="14">
                  <c:v>0.067</c:v>
                </c:pt>
                <c:pt idx="15">
                  <c:v>0.067</c:v>
                </c:pt>
                <c:pt idx="16">
                  <c:v>0.067</c:v>
                </c:pt>
                <c:pt idx="17">
                  <c:v>0.067</c:v>
                </c:pt>
                <c:pt idx="18">
                  <c:v>0.067</c:v>
                </c:pt>
                <c:pt idx="19">
                  <c:v>0.067</c:v>
                </c:pt>
                <c:pt idx="20">
                  <c:v>0.067</c:v>
                </c:pt>
                <c:pt idx="21">
                  <c:v>0.067</c:v>
                </c:pt>
                <c:pt idx="22">
                  <c:v>0.067</c:v>
                </c:pt>
                <c:pt idx="23">
                  <c:v>0.067</c:v>
                </c:pt>
                <c:pt idx="24">
                  <c:v>0.067</c:v>
                </c:pt>
                <c:pt idx="25">
                  <c:v>0.067</c:v>
                </c:pt>
                <c:pt idx="26">
                  <c:v>0.067</c:v>
                </c:pt>
                <c:pt idx="27">
                  <c:v>0.067</c:v>
                </c:pt>
                <c:pt idx="28">
                  <c:v>0.067</c:v>
                </c:pt>
                <c:pt idx="29">
                  <c:v>0.067</c:v>
                </c:pt>
                <c:pt idx="30">
                  <c:v>0.067</c:v>
                </c:pt>
                <c:pt idx="31">
                  <c:v>0.067</c:v>
                </c:pt>
                <c:pt idx="32">
                  <c:v>0.067</c:v>
                </c:pt>
                <c:pt idx="33">
                  <c:v>0.067</c:v>
                </c:pt>
                <c:pt idx="34">
                  <c:v>0.067</c:v>
                </c:pt>
                <c:pt idx="35">
                  <c:v>0.067</c:v>
                </c:pt>
                <c:pt idx="36">
                  <c:v>0.067</c:v>
                </c:pt>
                <c:pt idx="37">
                  <c:v>0.067</c:v>
                </c:pt>
                <c:pt idx="38">
                  <c:v>0.067</c:v>
                </c:pt>
                <c:pt idx="39">
                  <c:v>0.067</c:v>
                </c:pt>
                <c:pt idx="40">
                  <c:v>0.067</c:v>
                </c:pt>
                <c:pt idx="41">
                  <c:v>0.067</c:v>
                </c:pt>
                <c:pt idx="42">
                  <c:v>0.067</c:v>
                </c:pt>
                <c:pt idx="43">
                  <c:v>0.067</c:v>
                </c:pt>
                <c:pt idx="44">
                  <c:v>0.067</c:v>
                </c:pt>
                <c:pt idx="45">
                  <c:v>0.067</c:v>
                </c:pt>
                <c:pt idx="46">
                  <c:v>0.067</c:v>
                </c:pt>
                <c:pt idx="47">
                  <c:v>0.067</c:v>
                </c:pt>
                <c:pt idx="48">
                  <c:v>0.067</c:v>
                </c:pt>
                <c:pt idx="49">
                  <c:v>0.067</c:v>
                </c:pt>
                <c:pt idx="50">
                  <c:v>0.067</c:v>
                </c:pt>
                <c:pt idx="51">
                  <c:v>0.067</c:v>
                </c:pt>
                <c:pt idx="52">
                  <c:v>0.067</c:v>
                </c:pt>
                <c:pt idx="53">
                  <c:v>0.067</c:v>
                </c:pt>
                <c:pt idx="54">
                  <c:v>0.067</c:v>
                </c:pt>
                <c:pt idx="55">
                  <c:v>0.067</c:v>
                </c:pt>
                <c:pt idx="56">
                  <c:v>0.067</c:v>
                </c:pt>
                <c:pt idx="57">
                  <c:v>0.067</c:v>
                </c:pt>
                <c:pt idx="58">
                  <c:v>0.067</c:v>
                </c:pt>
                <c:pt idx="59">
                  <c:v>0.067</c:v>
                </c:pt>
                <c:pt idx="60">
                  <c:v>0.067</c:v>
                </c:pt>
                <c:pt idx="61">
                  <c:v>0.067</c:v>
                </c:pt>
                <c:pt idx="62">
                  <c:v>0.067</c:v>
                </c:pt>
                <c:pt idx="63">
                  <c:v>0.067</c:v>
                </c:pt>
                <c:pt idx="64">
                  <c:v>0.067</c:v>
                </c:pt>
                <c:pt idx="65">
                  <c:v>0.067</c:v>
                </c:pt>
                <c:pt idx="66">
                  <c:v>0.067</c:v>
                </c:pt>
                <c:pt idx="67">
                  <c:v>0.067</c:v>
                </c:pt>
                <c:pt idx="68">
                  <c:v>0.067</c:v>
                </c:pt>
                <c:pt idx="69">
                  <c:v>0.067</c:v>
                </c:pt>
                <c:pt idx="70">
                  <c:v>0.067</c:v>
                </c:pt>
                <c:pt idx="71">
                  <c:v>0.067</c:v>
                </c:pt>
                <c:pt idx="72">
                  <c:v>0.067</c:v>
                </c:pt>
                <c:pt idx="73">
                  <c:v>0.067</c:v>
                </c:pt>
                <c:pt idx="74">
                  <c:v>0.0671</c:v>
                </c:pt>
                <c:pt idx="75">
                  <c:v>0.0672</c:v>
                </c:pt>
                <c:pt idx="76">
                  <c:v>0.0672</c:v>
                </c:pt>
                <c:pt idx="77">
                  <c:v>0.0673</c:v>
                </c:pt>
                <c:pt idx="78">
                  <c:v>0.0674</c:v>
                </c:pt>
                <c:pt idx="79">
                  <c:v>0.0676</c:v>
                </c:pt>
                <c:pt idx="80">
                  <c:v>0.0678</c:v>
                </c:pt>
                <c:pt idx="81">
                  <c:v>0.068</c:v>
                </c:pt>
                <c:pt idx="82">
                  <c:v>0.0683</c:v>
                </c:pt>
                <c:pt idx="83">
                  <c:v>0.0686</c:v>
                </c:pt>
                <c:pt idx="84">
                  <c:v>0.0689</c:v>
                </c:pt>
                <c:pt idx="85">
                  <c:v>0.0692</c:v>
                </c:pt>
                <c:pt idx="86">
                  <c:v>0.0695</c:v>
                </c:pt>
                <c:pt idx="87">
                  <c:v>0.0699</c:v>
                </c:pt>
                <c:pt idx="88">
                  <c:v>0.0702</c:v>
                </c:pt>
                <c:pt idx="89">
                  <c:v>0.0706</c:v>
                </c:pt>
                <c:pt idx="90">
                  <c:v>0.071</c:v>
                </c:pt>
                <c:pt idx="91">
                  <c:v>0.0714</c:v>
                </c:pt>
                <c:pt idx="92">
                  <c:v>0.0718</c:v>
                </c:pt>
                <c:pt idx="93">
                  <c:v>0.0721</c:v>
                </c:pt>
                <c:pt idx="94">
                  <c:v>0.0725</c:v>
                </c:pt>
                <c:pt idx="95">
                  <c:v>0.0727</c:v>
                </c:pt>
                <c:pt idx="96">
                  <c:v>0.0731</c:v>
                </c:pt>
                <c:pt idx="97">
                  <c:v>0.0734</c:v>
                </c:pt>
                <c:pt idx="98">
                  <c:v>0.0736</c:v>
                </c:pt>
                <c:pt idx="99">
                  <c:v>0.0739</c:v>
                </c:pt>
                <c:pt idx="100">
                  <c:v>0.0741</c:v>
                </c:pt>
                <c:pt idx="101">
                  <c:v>0.0744</c:v>
                </c:pt>
                <c:pt idx="102">
                  <c:v>0.0747</c:v>
                </c:pt>
                <c:pt idx="103">
                  <c:v>0.075</c:v>
                </c:pt>
                <c:pt idx="104">
                  <c:v>0.0754</c:v>
                </c:pt>
                <c:pt idx="105">
                  <c:v>0.0758</c:v>
                </c:pt>
                <c:pt idx="106">
                  <c:v>0.0761</c:v>
                </c:pt>
                <c:pt idx="107">
                  <c:v>0.0765</c:v>
                </c:pt>
                <c:pt idx="108">
                  <c:v>0.0769</c:v>
                </c:pt>
                <c:pt idx="109">
                  <c:v>0.0773</c:v>
                </c:pt>
                <c:pt idx="110">
                  <c:v>0.0777</c:v>
                </c:pt>
                <c:pt idx="111">
                  <c:v>0.0781</c:v>
                </c:pt>
                <c:pt idx="112">
                  <c:v>0.0785</c:v>
                </c:pt>
                <c:pt idx="113">
                  <c:v>0.0788</c:v>
                </c:pt>
                <c:pt idx="114">
                  <c:v>0.0791</c:v>
                </c:pt>
                <c:pt idx="115">
                  <c:v>0.0794</c:v>
                </c:pt>
                <c:pt idx="116">
                  <c:v>0.0796</c:v>
                </c:pt>
                <c:pt idx="117">
                  <c:v>0.0799</c:v>
                </c:pt>
                <c:pt idx="118">
                  <c:v>0.0801</c:v>
                </c:pt>
                <c:pt idx="119">
                  <c:v>0.0803</c:v>
                </c:pt>
                <c:pt idx="120">
                  <c:v>0.0806</c:v>
                </c:pt>
                <c:pt idx="121">
                  <c:v>0.0808</c:v>
                </c:pt>
                <c:pt idx="122">
                  <c:v>0.081</c:v>
                </c:pt>
                <c:pt idx="123">
                  <c:v>0.0811</c:v>
                </c:pt>
                <c:pt idx="124">
                  <c:v>0.0812</c:v>
                </c:pt>
                <c:pt idx="125">
                  <c:v>0.0813</c:v>
                </c:pt>
                <c:pt idx="126">
                  <c:v>0.0814</c:v>
                </c:pt>
                <c:pt idx="127">
                  <c:v>0.0815</c:v>
                </c:pt>
                <c:pt idx="128">
                  <c:v>0.0816</c:v>
                </c:pt>
                <c:pt idx="129">
                  <c:v>0.0817</c:v>
                </c:pt>
                <c:pt idx="130">
                  <c:v>0.0818</c:v>
                </c:pt>
                <c:pt idx="131">
                  <c:v>0.0819</c:v>
                </c:pt>
                <c:pt idx="132">
                  <c:v>0.082</c:v>
                </c:pt>
                <c:pt idx="133">
                  <c:v>0.0821</c:v>
                </c:pt>
                <c:pt idx="134">
                  <c:v>0.0823</c:v>
                </c:pt>
                <c:pt idx="135">
                  <c:v>0.0824</c:v>
                </c:pt>
                <c:pt idx="136">
                  <c:v>0.0825</c:v>
                </c:pt>
                <c:pt idx="137">
                  <c:v>0.0827</c:v>
                </c:pt>
                <c:pt idx="138">
                  <c:v>0.0828</c:v>
                </c:pt>
                <c:pt idx="139">
                  <c:v>0.0829</c:v>
                </c:pt>
                <c:pt idx="140">
                  <c:v>0.083</c:v>
                </c:pt>
                <c:pt idx="141">
                  <c:v>0.0831</c:v>
                </c:pt>
                <c:pt idx="142">
                  <c:v>0.0833</c:v>
                </c:pt>
                <c:pt idx="143">
                  <c:v>0.0834</c:v>
                </c:pt>
                <c:pt idx="144">
                  <c:v>0.0836</c:v>
                </c:pt>
                <c:pt idx="145">
                  <c:v>0.0838</c:v>
                </c:pt>
                <c:pt idx="146">
                  <c:v>0.084</c:v>
                </c:pt>
                <c:pt idx="147">
                  <c:v>0.0841</c:v>
                </c:pt>
                <c:pt idx="148">
                  <c:v>0.0843</c:v>
                </c:pt>
                <c:pt idx="149">
                  <c:v>0.0845</c:v>
                </c:pt>
                <c:pt idx="150">
                  <c:v>0.0848</c:v>
                </c:pt>
                <c:pt idx="151">
                  <c:v>0.085</c:v>
                </c:pt>
                <c:pt idx="152">
                  <c:v>0.0852</c:v>
                </c:pt>
                <c:pt idx="153">
                  <c:v>0.0853</c:v>
                </c:pt>
                <c:pt idx="154">
                  <c:v>0.0854</c:v>
                </c:pt>
                <c:pt idx="155">
                  <c:v>0.0855</c:v>
                </c:pt>
                <c:pt idx="156">
                  <c:v>0.0855</c:v>
                </c:pt>
                <c:pt idx="157">
                  <c:v>0.0856</c:v>
                </c:pt>
                <c:pt idx="158">
                  <c:v>0.0857</c:v>
                </c:pt>
                <c:pt idx="159">
                  <c:v>0.0857</c:v>
                </c:pt>
                <c:pt idx="160">
                  <c:v>0.0858</c:v>
                </c:pt>
                <c:pt idx="161">
                  <c:v>0.086</c:v>
                </c:pt>
                <c:pt idx="162">
                  <c:v>0.0861</c:v>
                </c:pt>
                <c:pt idx="163">
                  <c:v>0.0863</c:v>
                </c:pt>
                <c:pt idx="164">
                  <c:v>0.0864</c:v>
                </c:pt>
                <c:pt idx="165">
                  <c:v>0.0866</c:v>
                </c:pt>
                <c:pt idx="166">
                  <c:v>0.0869</c:v>
                </c:pt>
                <c:pt idx="167">
                  <c:v>0.0871</c:v>
                </c:pt>
                <c:pt idx="168">
                  <c:v>0.0874</c:v>
                </c:pt>
                <c:pt idx="169">
                  <c:v>0.0876</c:v>
                </c:pt>
                <c:pt idx="170">
                  <c:v>0.0879</c:v>
                </c:pt>
                <c:pt idx="171">
                  <c:v>0.088</c:v>
                </c:pt>
                <c:pt idx="172">
                  <c:v>0.0882</c:v>
                </c:pt>
                <c:pt idx="173">
                  <c:v>0.0883</c:v>
                </c:pt>
                <c:pt idx="174">
                  <c:v>0.0885</c:v>
                </c:pt>
                <c:pt idx="175">
                  <c:v>0.0886</c:v>
                </c:pt>
                <c:pt idx="176">
                  <c:v>0.0887</c:v>
                </c:pt>
                <c:pt idx="177">
                  <c:v>0.0888</c:v>
                </c:pt>
                <c:pt idx="178">
                  <c:v>0.0889</c:v>
                </c:pt>
                <c:pt idx="179">
                  <c:v>0.089</c:v>
                </c:pt>
                <c:pt idx="180">
                  <c:v>0.0891</c:v>
                </c:pt>
                <c:pt idx="181">
                  <c:v>0.0891</c:v>
                </c:pt>
                <c:pt idx="182">
                  <c:v>0.0892</c:v>
                </c:pt>
                <c:pt idx="183">
                  <c:v>0.0893</c:v>
                </c:pt>
                <c:pt idx="184">
                  <c:v>0.0894</c:v>
                </c:pt>
                <c:pt idx="185">
                  <c:v>0.0894</c:v>
                </c:pt>
                <c:pt idx="186">
                  <c:v>0.0895</c:v>
                </c:pt>
                <c:pt idx="187">
                  <c:v>0.0896</c:v>
                </c:pt>
                <c:pt idx="188">
                  <c:v>0.0897</c:v>
                </c:pt>
                <c:pt idx="189">
                  <c:v>0.0898</c:v>
                </c:pt>
                <c:pt idx="190">
                  <c:v>0.0899</c:v>
                </c:pt>
                <c:pt idx="191">
                  <c:v>0.09</c:v>
                </c:pt>
                <c:pt idx="192">
                  <c:v>0.0901</c:v>
                </c:pt>
                <c:pt idx="193">
                  <c:v>0.0903</c:v>
                </c:pt>
                <c:pt idx="194">
                  <c:v>0.0905</c:v>
                </c:pt>
                <c:pt idx="195">
                  <c:v>0.0906</c:v>
                </c:pt>
                <c:pt idx="196">
                  <c:v>0.0908</c:v>
                </c:pt>
                <c:pt idx="197">
                  <c:v>0.091</c:v>
                </c:pt>
                <c:pt idx="198">
                  <c:v>0.0911</c:v>
                </c:pt>
                <c:pt idx="199">
                  <c:v>0.0912</c:v>
                </c:pt>
                <c:pt idx="200">
                  <c:v>0.0914</c:v>
                </c:pt>
                <c:pt idx="201">
                  <c:v>0.0915</c:v>
                </c:pt>
                <c:pt idx="202">
                  <c:v>0.0916</c:v>
                </c:pt>
                <c:pt idx="203">
                  <c:v>0.0917</c:v>
                </c:pt>
                <c:pt idx="204">
                  <c:v>0.0918</c:v>
                </c:pt>
                <c:pt idx="205">
                  <c:v>0.0919</c:v>
                </c:pt>
                <c:pt idx="206">
                  <c:v>0.092</c:v>
                </c:pt>
                <c:pt idx="207">
                  <c:v>0.0921</c:v>
                </c:pt>
                <c:pt idx="208">
                  <c:v>0.0922</c:v>
                </c:pt>
                <c:pt idx="209">
                  <c:v>0.0923</c:v>
                </c:pt>
                <c:pt idx="210">
                  <c:v>0.0924</c:v>
                </c:pt>
                <c:pt idx="211">
                  <c:v>0.0925</c:v>
                </c:pt>
                <c:pt idx="212">
                  <c:v>0.0926</c:v>
                </c:pt>
                <c:pt idx="213">
                  <c:v>0.0927</c:v>
                </c:pt>
                <c:pt idx="214">
                  <c:v>0.0927</c:v>
                </c:pt>
                <c:pt idx="215">
                  <c:v>0.0928</c:v>
                </c:pt>
                <c:pt idx="216">
                  <c:v>0.0929</c:v>
                </c:pt>
                <c:pt idx="217">
                  <c:v>0.0929</c:v>
                </c:pt>
                <c:pt idx="218">
                  <c:v>0.093</c:v>
                </c:pt>
                <c:pt idx="219">
                  <c:v>0.0931</c:v>
                </c:pt>
                <c:pt idx="220">
                  <c:v>0.0931</c:v>
                </c:pt>
                <c:pt idx="221">
                  <c:v>0.0932</c:v>
                </c:pt>
                <c:pt idx="222">
                  <c:v>0.0932</c:v>
                </c:pt>
                <c:pt idx="223">
                  <c:v>0.0932</c:v>
                </c:pt>
                <c:pt idx="224">
                  <c:v>0.0933</c:v>
                </c:pt>
                <c:pt idx="225">
                  <c:v>0.0933</c:v>
                </c:pt>
                <c:pt idx="226">
                  <c:v>0.0934</c:v>
                </c:pt>
                <c:pt idx="227">
                  <c:v>0.0935</c:v>
                </c:pt>
                <c:pt idx="228">
                  <c:v>0.0935</c:v>
                </c:pt>
                <c:pt idx="229">
                  <c:v>0.0936</c:v>
                </c:pt>
                <c:pt idx="230">
                  <c:v>0.0936</c:v>
                </c:pt>
                <c:pt idx="231">
                  <c:v>0.0937</c:v>
                </c:pt>
                <c:pt idx="232">
                  <c:v>0.0938</c:v>
                </c:pt>
                <c:pt idx="233">
                  <c:v>0.0939</c:v>
                </c:pt>
                <c:pt idx="234">
                  <c:v>0.094</c:v>
                </c:pt>
                <c:pt idx="235">
                  <c:v>0.094</c:v>
                </c:pt>
                <c:pt idx="236">
                  <c:v>0.0941</c:v>
                </c:pt>
                <c:pt idx="237">
                  <c:v>0.0942</c:v>
                </c:pt>
                <c:pt idx="238">
                  <c:v>0.0942</c:v>
                </c:pt>
                <c:pt idx="239">
                  <c:v>0.0943</c:v>
                </c:pt>
                <c:pt idx="240">
                  <c:v>0.0943</c:v>
                </c:pt>
                <c:pt idx="241">
                  <c:v>0.0943</c:v>
                </c:pt>
                <c:pt idx="242">
                  <c:v>0.0944</c:v>
                </c:pt>
                <c:pt idx="243">
                  <c:v>0.0945</c:v>
                </c:pt>
                <c:pt idx="244">
                  <c:v>0.0946</c:v>
                </c:pt>
                <c:pt idx="245">
                  <c:v>0.0947</c:v>
                </c:pt>
                <c:pt idx="246">
                  <c:v>0.0947</c:v>
                </c:pt>
                <c:pt idx="247">
                  <c:v>0.0949</c:v>
                </c:pt>
                <c:pt idx="248">
                  <c:v>0.095</c:v>
                </c:pt>
                <c:pt idx="249">
                  <c:v>0.0951</c:v>
                </c:pt>
                <c:pt idx="250">
                  <c:v>0.0952</c:v>
                </c:pt>
                <c:pt idx="251">
                  <c:v>0.0953</c:v>
                </c:pt>
                <c:pt idx="252">
                  <c:v>0.0954</c:v>
                </c:pt>
                <c:pt idx="253">
                  <c:v>0.0955</c:v>
                </c:pt>
                <c:pt idx="254">
                  <c:v>0.0955</c:v>
                </c:pt>
                <c:pt idx="255">
                  <c:v>0.0956</c:v>
                </c:pt>
                <c:pt idx="256">
                  <c:v>0.0956</c:v>
                </c:pt>
                <c:pt idx="257">
                  <c:v>0.0956</c:v>
                </c:pt>
                <c:pt idx="258">
                  <c:v>0.0957</c:v>
                </c:pt>
                <c:pt idx="259">
                  <c:v>0.0957</c:v>
                </c:pt>
                <c:pt idx="260">
                  <c:v>0.0957</c:v>
                </c:pt>
                <c:pt idx="261">
                  <c:v>0.0957</c:v>
                </c:pt>
                <c:pt idx="262">
                  <c:v>0.0957</c:v>
                </c:pt>
                <c:pt idx="263">
                  <c:v>0.0957</c:v>
                </c:pt>
                <c:pt idx="264">
                  <c:v>0.0957</c:v>
                </c:pt>
                <c:pt idx="265">
                  <c:v>0.0957</c:v>
                </c:pt>
                <c:pt idx="266">
                  <c:v>0.0957</c:v>
                </c:pt>
                <c:pt idx="267">
                  <c:v>0.0957</c:v>
                </c:pt>
                <c:pt idx="268">
                  <c:v>0.0957</c:v>
                </c:pt>
                <c:pt idx="269">
                  <c:v>0.0957</c:v>
                </c:pt>
                <c:pt idx="270">
                  <c:v>0.0957</c:v>
                </c:pt>
                <c:pt idx="271">
                  <c:v>0.0957</c:v>
                </c:pt>
                <c:pt idx="272">
                  <c:v>0.0957</c:v>
                </c:pt>
                <c:pt idx="273">
                  <c:v>0.0957</c:v>
                </c:pt>
                <c:pt idx="274">
                  <c:v>0.0957</c:v>
                </c:pt>
                <c:pt idx="275">
                  <c:v>0.0957</c:v>
                </c:pt>
                <c:pt idx="276">
                  <c:v>0.0957</c:v>
                </c:pt>
                <c:pt idx="277">
                  <c:v>0.0957</c:v>
                </c:pt>
                <c:pt idx="278">
                  <c:v>0.0957</c:v>
                </c:pt>
                <c:pt idx="279">
                  <c:v>0.0957</c:v>
                </c:pt>
                <c:pt idx="280">
                  <c:v>0.0957</c:v>
                </c:pt>
                <c:pt idx="281">
                  <c:v>0.0957</c:v>
                </c:pt>
                <c:pt idx="282">
                  <c:v>0.0957</c:v>
                </c:pt>
                <c:pt idx="283">
                  <c:v>0.0957</c:v>
                </c:pt>
                <c:pt idx="284">
                  <c:v>0.0957</c:v>
                </c:pt>
                <c:pt idx="285">
                  <c:v>0.0957</c:v>
                </c:pt>
                <c:pt idx="286">
                  <c:v>0.0957</c:v>
                </c:pt>
                <c:pt idx="287">
                  <c:v>0.0957</c:v>
                </c:pt>
                <c:pt idx="288">
                  <c:v>0.0957</c:v>
                </c:pt>
                <c:pt idx="289">
                  <c:v>0.0957</c:v>
                </c:pt>
                <c:pt idx="290">
                  <c:v>0.0957</c:v>
                </c:pt>
                <c:pt idx="291">
                  <c:v>0.0957</c:v>
                </c:pt>
                <c:pt idx="292">
                  <c:v>0.0957</c:v>
                </c:pt>
                <c:pt idx="293">
                  <c:v>0.0957</c:v>
                </c:pt>
                <c:pt idx="294">
                  <c:v>0.0957</c:v>
                </c:pt>
                <c:pt idx="295">
                  <c:v>0.0957</c:v>
                </c:pt>
                <c:pt idx="296">
                  <c:v>0.0957</c:v>
                </c:pt>
                <c:pt idx="297">
                  <c:v>0.0957</c:v>
                </c:pt>
                <c:pt idx="298">
                  <c:v>0.0957</c:v>
                </c:pt>
                <c:pt idx="299">
                  <c:v>0.0957</c:v>
                </c:pt>
                <c:pt idx="300">
                  <c:v>0.0957</c:v>
                </c:pt>
                <c:pt idx="301">
                  <c:v>0.0957</c:v>
                </c:pt>
                <c:pt idx="302">
                  <c:v>0.0957</c:v>
                </c:pt>
                <c:pt idx="303">
                  <c:v>0.0957</c:v>
                </c:pt>
                <c:pt idx="304">
                  <c:v>0.0957</c:v>
                </c:pt>
                <c:pt idx="305">
                  <c:v>0.0957</c:v>
                </c:pt>
                <c:pt idx="306">
                  <c:v>0.0957</c:v>
                </c:pt>
                <c:pt idx="307">
                  <c:v>0.0957</c:v>
                </c:pt>
                <c:pt idx="308">
                  <c:v>0.0957</c:v>
                </c:pt>
                <c:pt idx="309">
                  <c:v>0.0957</c:v>
                </c:pt>
                <c:pt idx="310">
                  <c:v>0.0957</c:v>
                </c:pt>
                <c:pt idx="311">
                  <c:v>0.0957</c:v>
                </c:pt>
                <c:pt idx="312">
                  <c:v>0.0957</c:v>
                </c:pt>
                <c:pt idx="313">
                  <c:v>0.0957</c:v>
                </c:pt>
                <c:pt idx="314">
                  <c:v>0.0957</c:v>
                </c:pt>
                <c:pt idx="315">
                  <c:v>0.0957</c:v>
                </c:pt>
                <c:pt idx="316">
                  <c:v>0.0957</c:v>
                </c:pt>
                <c:pt idx="317">
                  <c:v>0.0957</c:v>
                </c:pt>
                <c:pt idx="318">
                  <c:v>0.0957</c:v>
                </c:pt>
                <c:pt idx="319">
                  <c:v>0.0957</c:v>
                </c:pt>
                <c:pt idx="320">
                  <c:v>0.0957</c:v>
                </c:pt>
                <c:pt idx="321">
                  <c:v>0.0957</c:v>
                </c:pt>
                <c:pt idx="322">
                  <c:v>0.0957</c:v>
                </c:pt>
                <c:pt idx="323">
                  <c:v>0.0957</c:v>
                </c:pt>
                <c:pt idx="324">
                  <c:v>0.0957</c:v>
                </c:pt>
                <c:pt idx="325">
                  <c:v>0.0957</c:v>
                </c:pt>
                <c:pt idx="326">
                  <c:v>0.0957</c:v>
                </c:pt>
                <c:pt idx="327">
                  <c:v>0.0957</c:v>
                </c:pt>
                <c:pt idx="328">
                  <c:v>0.0957</c:v>
                </c:pt>
                <c:pt idx="329">
                  <c:v>0.0957</c:v>
                </c:pt>
                <c:pt idx="330">
                  <c:v>0.0957</c:v>
                </c:pt>
                <c:pt idx="331">
                  <c:v>0.0957</c:v>
                </c:pt>
                <c:pt idx="332">
                  <c:v>0.0957</c:v>
                </c:pt>
                <c:pt idx="333">
                  <c:v>0.0957</c:v>
                </c:pt>
                <c:pt idx="334">
                  <c:v>0.0957</c:v>
                </c:pt>
                <c:pt idx="335">
                  <c:v>0.0957</c:v>
                </c:pt>
                <c:pt idx="336">
                  <c:v>0.0957</c:v>
                </c:pt>
                <c:pt idx="337">
                  <c:v>0.0957</c:v>
                </c:pt>
                <c:pt idx="338">
                  <c:v>0.0957</c:v>
                </c:pt>
                <c:pt idx="339">
                  <c:v>0.0957</c:v>
                </c:pt>
                <c:pt idx="340">
                  <c:v>0.0957</c:v>
                </c:pt>
                <c:pt idx="341">
                  <c:v>0.0957</c:v>
                </c:pt>
                <c:pt idx="342">
                  <c:v>0.0957</c:v>
                </c:pt>
                <c:pt idx="343">
                  <c:v>0.0957</c:v>
                </c:pt>
                <c:pt idx="344">
                  <c:v>0.0957</c:v>
                </c:pt>
                <c:pt idx="345">
                  <c:v>0.0957</c:v>
                </c:pt>
                <c:pt idx="346">
                  <c:v>0.0957</c:v>
                </c:pt>
              </c:numCache>
            </c:numRef>
          </c:yVal>
          <c:smooth val="0"/>
        </c:ser>
        <c:ser>
          <c:idx val="3"/>
          <c:order val="3"/>
          <c:tx>
            <c:v>In2</c:v>
          </c:tx>
          <c:spPr>
            <a:ln w="38100" cmpd="sng">
              <a:solidFill>
                <a:schemeClr val="accent2">
                  <a:lumMod val="75000"/>
                </a:schemeClr>
              </a:solidFill>
            </a:ln>
          </c:spPr>
          <c:marker>
            <c:symbol val="none"/>
          </c:marker>
          <c:xVal>
            <c:numRef>
              <c:f>'0DCS-in2'!$C$5:$C$353</c:f>
              <c:numCache>
                <c:formatCode>0.00E+00</c:formatCode>
                <c:ptCount val="349"/>
                <c:pt idx="0">
                  <c:v>10.57</c:v>
                </c:pt>
                <c:pt idx="1">
                  <c:v>10.42</c:v>
                </c:pt>
                <c:pt idx="2">
                  <c:v>10.22</c:v>
                </c:pt>
                <c:pt idx="3">
                  <c:v>10.01</c:v>
                </c:pt>
                <c:pt idx="4">
                  <c:v>9.827</c:v>
                </c:pt>
                <c:pt idx="5">
                  <c:v>9.656</c:v>
                </c:pt>
                <c:pt idx="6">
                  <c:v>9.479</c:v>
                </c:pt>
                <c:pt idx="7">
                  <c:v>9.297000000000001</c:v>
                </c:pt>
                <c:pt idx="8">
                  <c:v>9.104000000000001</c:v>
                </c:pt>
                <c:pt idx="9">
                  <c:v>8.919</c:v>
                </c:pt>
                <c:pt idx="10">
                  <c:v>8.732</c:v>
                </c:pt>
                <c:pt idx="11">
                  <c:v>8.553</c:v>
                </c:pt>
                <c:pt idx="12">
                  <c:v>8.370000000000002</c:v>
                </c:pt>
                <c:pt idx="13">
                  <c:v>8.186000000000003</c:v>
                </c:pt>
                <c:pt idx="14">
                  <c:v>7.999</c:v>
                </c:pt>
                <c:pt idx="15">
                  <c:v>7.811999999999998</c:v>
                </c:pt>
                <c:pt idx="16">
                  <c:v>7.623999999999976</c:v>
                </c:pt>
                <c:pt idx="17">
                  <c:v>7.442</c:v>
                </c:pt>
                <c:pt idx="18">
                  <c:v>7.262999999999995</c:v>
                </c:pt>
                <c:pt idx="19">
                  <c:v>7.09</c:v>
                </c:pt>
                <c:pt idx="20">
                  <c:v>6.916</c:v>
                </c:pt>
                <c:pt idx="21">
                  <c:v>6.742</c:v>
                </c:pt>
                <c:pt idx="22">
                  <c:v>6.569</c:v>
                </c:pt>
                <c:pt idx="23">
                  <c:v>6.393999999999997</c:v>
                </c:pt>
                <c:pt idx="24">
                  <c:v>6.217</c:v>
                </c:pt>
                <c:pt idx="25">
                  <c:v>6.04</c:v>
                </c:pt>
                <c:pt idx="26">
                  <c:v>5.859999999999998</c:v>
                </c:pt>
                <c:pt idx="27">
                  <c:v>5.679</c:v>
                </c:pt>
                <c:pt idx="28">
                  <c:v>5.496</c:v>
                </c:pt>
                <c:pt idx="29">
                  <c:v>5.312999999999985</c:v>
                </c:pt>
                <c:pt idx="30">
                  <c:v>5.126999999999986</c:v>
                </c:pt>
                <c:pt idx="31">
                  <c:v>4.941</c:v>
                </c:pt>
                <c:pt idx="32">
                  <c:v>4.753</c:v>
                </c:pt>
                <c:pt idx="33">
                  <c:v>4.562999999999985</c:v>
                </c:pt>
                <c:pt idx="34">
                  <c:v>4.372</c:v>
                </c:pt>
                <c:pt idx="35">
                  <c:v>4.18</c:v>
                </c:pt>
                <c:pt idx="36">
                  <c:v>3.988</c:v>
                </c:pt>
                <c:pt idx="37">
                  <c:v>3.795</c:v>
                </c:pt>
                <c:pt idx="38">
                  <c:v>3.601</c:v>
                </c:pt>
                <c:pt idx="39">
                  <c:v>3.407</c:v>
                </c:pt>
                <c:pt idx="40">
                  <c:v>3.213</c:v>
                </c:pt>
                <c:pt idx="41">
                  <c:v>3.019</c:v>
                </c:pt>
                <c:pt idx="42">
                  <c:v>2.828</c:v>
                </c:pt>
                <c:pt idx="43">
                  <c:v>2.638</c:v>
                </c:pt>
                <c:pt idx="44">
                  <c:v>2.451</c:v>
                </c:pt>
                <c:pt idx="45">
                  <c:v>2.269</c:v>
                </c:pt>
                <c:pt idx="46">
                  <c:v>2.091</c:v>
                </c:pt>
                <c:pt idx="47">
                  <c:v>1.92</c:v>
                </c:pt>
                <c:pt idx="48">
                  <c:v>1.755</c:v>
                </c:pt>
                <c:pt idx="49">
                  <c:v>1.598</c:v>
                </c:pt>
                <c:pt idx="50">
                  <c:v>1.451</c:v>
                </c:pt>
                <c:pt idx="51">
                  <c:v>1.314</c:v>
                </c:pt>
                <c:pt idx="52">
                  <c:v>1.188</c:v>
                </c:pt>
                <c:pt idx="53">
                  <c:v>1.072</c:v>
                </c:pt>
                <c:pt idx="54">
                  <c:v>0.9666</c:v>
                </c:pt>
                <c:pt idx="55">
                  <c:v>0.8718</c:v>
                </c:pt>
                <c:pt idx="56">
                  <c:v>0.7869</c:v>
                </c:pt>
                <c:pt idx="57">
                  <c:v>0.7114</c:v>
                </c:pt>
                <c:pt idx="58">
                  <c:v>0.6444</c:v>
                </c:pt>
                <c:pt idx="59">
                  <c:v>0.5852</c:v>
                </c:pt>
                <c:pt idx="60">
                  <c:v>0.533</c:v>
                </c:pt>
                <c:pt idx="61">
                  <c:v>0.487</c:v>
                </c:pt>
                <c:pt idx="62">
                  <c:v>0.4463</c:v>
                </c:pt>
                <c:pt idx="63">
                  <c:v>0.4104</c:v>
                </c:pt>
                <c:pt idx="64">
                  <c:v>0.3788</c:v>
                </c:pt>
                <c:pt idx="65">
                  <c:v>0.3508</c:v>
                </c:pt>
                <c:pt idx="66">
                  <c:v>0.326</c:v>
                </c:pt>
                <c:pt idx="67">
                  <c:v>0.3039</c:v>
                </c:pt>
                <c:pt idx="68">
                  <c:v>0.2843</c:v>
                </c:pt>
                <c:pt idx="69">
                  <c:v>0.2667</c:v>
                </c:pt>
                <c:pt idx="70">
                  <c:v>0.2511</c:v>
                </c:pt>
                <c:pt idx="71">
                  <c:v>0.2369</c:v>
                </c:pt>
                <c:pt idx="72">
                  <c:v>0.2242</c:v>
                </c:pt>
                <c:pt idx="73">
                  <c:v>0.2124</c:v>
                </c:pt>
                <c:pt idx="74">
                  <c:v>0.2017</c:v>
                </c:pt>
                <c:pt idx="75">
                  <c:v>0.192</c:v>
                </c:pt>
                <c:pt idx="76">
                  <c:v>0.183</c:v>
                </c:pt>
                <c:pt idx="77">
                  <c:v>0.1746</c:v>
                </c:pt>
                <c:pt idx="78">
                  <c:v>0.1669</c:v>
                </c:pt>
                <c:pt idx="79">
                  <c:v>0.1596</c:v>
                </c:pt>
                <c:pt idx="80">
                  <c:v>0.1527</c:v>
                </c:pt>
                <c:pt idx="81">
                  <c:v>0.1462</c:v>
                </c:pt>
                <c:pt idx="82">
                  <c:v>0.1402</c:v>
                </c:pt>
                <c:pt idx="83">
                  <c:v>0.1345</c:v>
                </c:pt>
                <c:pt idx="84">
                  <c:v>0.1292</c:v>
                </c:pt>
                <c:pt idx="85">
                  <c:v>0.1242</c:v>
                </c:pt>
                <c:pt idx="86">
                  <c:v>0.1195</c:v>
                </c:pt>
                <c:pt idx="87">
                  <c:v>0.1151</c:v>
                </c:pt>
                <c:pt idx="88">
                  <c:v>0.1109</c:v>
                </c:pt>
                <c:pt idx="89">
                  <c:v>0.1069</c:v>
                </c:pt>
                <c:pt idx="90">
                  <c:v>0.1033</c:v>
                </c:pt>
                <c:pt idx="91">
                  <c:v>0.09981</c:v>
                </c:pt>
                <c:pt idx="92">
                  <c:v>0.09656</c:v>
                </c:pt>
                <c:pt idx="93">
                  <c:v>0.09351</c:v>
                </c:pt>
                <c:pt idx="94">
                  <c:v>0.09062</c:v>
                </c:pt>
                <c:pt idx="95">
                  <c:v>0.0879</c:v>
                </c:pt>
                <c:pt idx="96">
                  <c:v>0.08532</c:v>
                </c:pt>
                <c:pt idx="97">
                  <c:v>0.08289</c:v>
                </c:pt>
                <c:pt idx="98">
                  <c:v>0.08058</c:v>
                </c:pt>
                <c:pt idx="99">
                  <c:v>0.07844</c:v>
                </c:pt>
                <c:pt idx="100">
                  <c:v>0.0764</c:v>
                </c:pt>
                <c:pt idx="101">
                  <c:v>0.07445</c:v>
                </c:pt>
                <c:pt idx="102">
                  <c:v>0.07255</c:v>
                </c:pt>
                <c:pt idx="103">
                  <c:v>0.07072</c:v>
                </c:pt>
                <c:pt idx="104">
                  <c:v>0.06898</c:v>
                </c:pt>
                <c:pt idx="105">
                  <c:v>0.06726</c:v>
                </c:pt>
                <c:pt idx="106">
                  <c:v>0.06564</c:v>
                </c:pt>
                <c:pt idx="107">
                  <c:v>0.06405</c:v>
                </c:pt>
                <c:pt idx="108">
                  <c:v>0.06254</c:v>
                </c:pt>
                <c:pt idx="109">
                  <c:v>0.06106</c:v>
                </c:pt>
                <c:pt idx="110">
                  <c:v>0.05964</c:v>
                </c:pt>
                <c:pt idx="111">
                  <c:v>0.05826</c:v>
                </c:pt>
                <c:pt idx="112">
                  <c:v>0.05692</c:v>
                </c:pt>
                <c:pt idx="113">
                  <c:v>0.05562</c:v>
                </c:pt>
                <c:pt idx="114">
                  <c:v>0.05441</c:v>
                </c:pt>
                <c:pt idx="115">
                  <c:v>0.05323</c:v>
                </c:pt>
                <c:pt idx="116">
                  <c:v>0.05214</c:v>
                </c:pt>
                <c:pt idx="117">
                  <c:v>0.05109</c:v>
                </c:pt>
                <c:pt idx="118">
                  <c:v>0.05009</c:v>
                </c:pt>
                <c:pt idx="119">
                  <c:v>0.04913</c:v>
                </c:pt>
                <c:pt idx="120">
                  <c:v>0.04821</c:v>
                </c:pt>
                <c:pt idx="121">
                  <c:v>0.04731</c:v>
                </c:pt>
                <c:pt idx="122">
                  <c:v>0.04647</c:v>
                </c:pt>
                <c:pt idx="123">
                  <c:v>0.04567</c:v>
                </c:pt>
                <c:pt idx="124">
                  <c:v>0.04491</c:v>
                </c:pt>
                <c:pt idx="125">
                  <c:v>0.04417</c:v>
                </c:pt>
                <c:pt idx="126">
                  <c:v>0.04346</c:v>
                </c:pt>
                <c:pt idx="127">
                  <c:v>0.04277</c:v>
                </c:pt>
                <c:pt idx="128">
                  <c:v>0.0421</c:v>
                </c:pt>
                <c:pt idx="129">
                  <c:v>0.04144</c:v>
                </c:pt>
                <c:pt idx="130">
                  <c:v>0.0408</c:v>
                </c:pt>
                <c:pt idx="131">
                  <c:v>0.0402</c:v>
                </c:pt>
                <c:pt idx="132">
                  <c:v>0.03961</c:v>
                </c:pt>
                <c:pt idx="133">
                  <c:v>0.03904</c:v>
                </c:pt>
                <c:pt idx="134">
                  <c:v>0.03848</c:v>
                </c:pt>
                <c:pt idx="135">
                  <c:v>0.03793</c:v>
                </c:pt>
                <c:pt idx="136">
                  <c:v>0.0374</c:v>
                </c:pt>
                <c:pt idx="137">
                  <c:v>0.03688</c:v>
                </c:pt>
                <c:pt idx="138">
                  <c:v>0.03637</c:v>
                </c:pt>
                <c:pt idx="139">
                  <c:v>0.03588</c:v>
                </c:pt>
                <c:pt idx="140">
                  <c:v>0.0354</c:v>
                </c:pt>
                <c:pt idx="141">
                  <c:v>0.03493</c:v>
                </c:pt>
                <c:pt idx="142">
                  <c:v>0.03447</c:v>
                </c:pt>
                <c:pt idx="143">
                  <c:v>0.03402</c:v>
                </c:pt>
                <c:pt idx="144">
                  <c:v>0.03358</c:v>
                </c:pt>
                <c:pt idx="145">
                  <c:v>0.03314</c:v>
                </c:pt>
                <c:pt idx="146">
                  <c:v>0.03272</c:v>
                </c:pt>
                <c:pt idx="147">
                  <c:v>0.0323</c:v>
                </c:pt>
                <c:pt idx="148">
                  <c:v>0.03189</c:v>
                </c:pt>
                <c:pt idx="149">
                  <c:v>0.03149</c:v>
                </c:pt>
                <c:pt idx="150">
                  <c:v>0.0311</c:v>
                </c:pt>
                <c:pt idx="151">
                  <c:v>0.03072</c:v>
                </c:pt>
                <c:pt idx="152">
                  <c:v>0.03034</c:v>
                </c:pt>
                <c:pt idx="153">
                  <c:v>0.02998</c:v>
                </c:pt>
                <c:pt idx="154">
                  <c:v>0.02962</c:v>
                </c:pt>
                <c:pt idx="155">
                  <c:v>0.02927</c:v>
                </c:pt>
                <c:pt idx="156">
                  <c:v>0.02893</c:v>
                </c:pt>
                <c:pt idx="157">
                  <c:v>0.0286</c:v>
                </c:pt>
                <c:pt idx="158">
                  <c:v>0.02827</c:v>
                </c:pt>
                <c:pt idx="159">
                  <c:v>0.02795</c:v>
                </c:pt>
                <c:pt idx="160">
                  <c:v>0.02763</c:v>
                </c:pt>
                <c:pt idx="161">
                  <c:v>0.02731</c:v>
                </c:pt>
                <c:pt idx="162">
                  <c:v>0.02699</c:v>
                </c:pt>
                <c:pt idx="163">
                  <c:v>0.02666</c:v>
                </c:pt>
                <c:pt idx="164">
                  <c:v>0.02634</c:v>
                </c:pt>
                <c:pt idx="165">
                  <c:v>0.02601</c:v>
                </c:pt>
                <c:pt idx="166">
                  <c:v>0.02568</c:v>
                </c:pt>
                <c:pt idx="167">
                  <c:v>0.02536</c:v>
                </c:pt>
                <c:pt idx="168">
                  <c:v>0.02503</c:v>
                </c:pt>
                <c:pt idx="169">
                  <c:v>0.02471</c:v>
                </c:pt>
                <c:pt idx="170">
                  <c:v>0.02439</c:v>
                </c:pt>
                <c:pt idx="171">
                  <c:v>0.02406</c:v>
                </c:pt>
                <c:pt idx="172">
                  <c:v>0.02374</c:v>
                </c:pt>
                <c:pt idx="173">
                  <c:v>0.02343</c:v>
                </c:pt>
                <c:pt idx="174">
                  <c:v>0.02312</c:v>
                </c:pt>
                <c:pt idx="175">
                  <c:v>0.02281</c:v>
                </c:pt>
                <c:pt idx="176">
                  <c:v>0.02251</c:v>
                </c:pt>
                <c:pt idx="177">
                  <c:v>0.02221</c:v>
                </c:pt>
                <c:pt idx="178">
                  <c:v>0.02191</c:v>
                </c:pt>
                <c:pt idx="179">
                  <c:v>0.02161</c:v>
                </c:pt>
                <c:pt idx="180">
                  <c:v>0.02133</c:v>
                </c:pt>
                <c:pt idx="181">
                  <c:v>0.02105</c:v>
                </c:pt>
                <c:pt idx="182">
                  <c:v>0.02077</c:v>
                </c:pt>
                <c:pt idx="183">
                  <c:v>0.0205</c:v>
                </c:pt>
                <c:pt idx="184">
                  <c:v>0.02023</c:v>
                </c:pt>
                <c:pt idx="185">
                  <c:v>0.01997</c:v>
                </c:pt>
                <c:pt idx="186">
                  <c:v>0.01972</c:v>
                </c:pt>
                <c:pt idx="187">
                  <c:v>0.01947</c:v>
                </c:pt>
                <c:pt idx="188">
                  <c:v>0.01923</c:v>
                </c:pt>
                <c:pt idx="189">
                  <c:v>0.01899</c:v>
                </c:pt>
                <c:pt idx="190">
                  <c:v>0.01875</c:v>
                </c:pt>
                <c:pt idx="191">
                  <c:v>0.01852</c:v>
                </c:pt>
                <c:pt idx="192">
                  <c:v>0.0183</c:v>
                </c:pt>
                <c:pt idx="193">
                  <c:v>0.01808</c:v>
                </c:pt>
                <c:pt idx="194">
                  <c:v>0.01786</c:v>
                </c:pt>
                <c:pt idx="195">
                  <c:v>0.01765</c:v>
                </c:pt>
                <c:pt idx="196">
                  <c:v>0.01745</c:v>
                </c:pt>
                <c:pt idx="197">
                  <c:v>0.01724</c:v>
                </c:pt>
                <c:pt idx="198">
                  <c:v>0.01704</c:v>
                </c:pt>
                <c:pt idx="199">
                  <c:v>0.01685</c:v>
                </c:pt>
                <c:pt idx="200">
                  <c:v>0.01666</c:v>
                </c:pt>
                <c:pt idx="201">
                  <c:v>0.01647</c:v>
                </c:pt>
                <c:pt idx="202">
                  <c:v>0.01629</c:v>
                </c:pt>
                <c:pt idx="203">
                  <c:v>0.01612</c:v>
                </c:pt>
                <c:pt idx="204">
                  <c:v>0.01594</c:v>
                </c:pt>
                <c:pt idx="205">
                  <c:v>0.01578</c:v>
                </c:pt>
                <c:pt idx="206">
                  <c:v>0.01561</c:v>
                </c:pt>
                <c:pt idx="207">
                  <c:v>0.01545</c:v>
                </c:pt>
                <c:pt idx="208">
                  <c:v>0.01529</c:v>
                </c:pt>
                <c:pt idx="209">
                  <c:v>0.01514</c:v>
                </c:pt>
                <c:pt idx="210">
                  <c:v>0.01499</c:v>
                </c:pt>
                <c:pt idx="211">
                  <c:v>0.01485</c:v>
                </c:pt>
                <c:pt idx="212">
                  <c:v>0.01471</c:v>
                </c:pt>
                <c:pt idx="213">
                  <c:v>0.01456</c:v>
                </c:pt>
                <c:pt idx="214">
                  <c:v>0.01442</c:v>
                </c:pt>
                <c:pt idx="215">
                  <c:v>0.01428</c:v>
                </c:pt>
                <c:pt idx="216">
                  <c:v>0.01415</c:v>
                </c:pt>
                <c:pt idx="217">
                  <c:v>0.01402</c:v>
                </c:pt>
                <c:pt idx="218">
                  <c:v>0.01389</c:v>
                </c:pt>
                <c:pt idx="219">
                  <c:v>0.01376</c:v>
                </c:pt>
                <c:pt idx="220">
                  <c:v>0.01364</c:v>
                </c:pt>
                <c:pt idx="221">
                  <c:v>0.01353</c:v>
                </c:pt>
                <c:pt idx="222">
                  <c:v>0.01341</c:v>
                </c:pt>
                <c:pt idx="223">
                  <c:v>0.01331</c:v>
                </c:pt>
                <c:pt idx="224">
                  <c:v>0.01321</c:v>
                </c:pt>
                <c:pt idx="225">
                  <c:v>0.01311</c:v>
                </c:pt>
                <c:pt idx="226">
                  <c:v>0.01302</c:v>
                </c:pt>
                <c:pt idx="227">
                  <c:v>0.01293</c:v>
                </c:pt>
                <c:pt idx="228">
                  <c:v>0.01284</c:v>
                </c:pt>
                <c:pt idx="229">
                  <c:v>0.01276</c:v>
                </c:pt>
                <c:pt idx="230">
                  <c:v>0.01267</c:v>
                </c:pt>
                <c:pt idx="231">
                  <c:v>0.01259</c:v>
                </c:pt>
                <c:pt idx="232">
                  <c:v>0.01251</c:v>
                </c:pt>
                <c:pt idx="233">
                  <c:v>0.01244</c:v>
                </c:pt>
                <c:pt idx="234">
                  <c:v>0.01236</c:v>
                </c:pt>
                <c:pt idx="235">
                  <c:v>0.01228</c:v>
                </c:pt>
                <c:pt idx="236">
                  <c:v>0.01221</c:v>
                </c:pt>
                <c:pt idx="237">
                  <c:v>0.01213</c:v>
                </c:pt>
                <c:pt idx="238">
                  <c:v>0.01206</c:v>
                </c:pt>
                <c:pt idx="239">
                  <c:v>0.01198</c:v>
                </c:pt>
                <c:pt idx="240">
                  <c:v>0.01191</c:v>
                </c:pt>
                <c:pt idx="241">
                  <c:v>0.01184</c:v>
                </c:pt>
                <c:pt idx="242">
                  <c:v>0.01176</c:v>
                </c:pt>
                <c:pt idx="243">
                  <c:v>0.01169</c:v>
                </c:pt>
                <c:pt idx="244">
                  <c:v>0.01162</c:v>
                </c:pt>
                <c:pt idx="245">
                  <c:v>0.01155</c:v>
                </c:pt>
                <c:pt idx="246">
                  <c:v>0.01149</c:v>
                </c:pt>
                <c:pt idx="247">
                  <c:v>0.01142</c:v>
                </c:pt>
                <c:pt idx="248">
                  <c:v>0.01135</c:v>
                </c:pt>
                <c:pt idx="249">
                  <c:v>0.01128</c:v>
                </c:pt>
                <c:pt idx="250">
                  <c:v>0.01122</c:v>
                </c:pt>
                <c:pt idx="251">
                  <c:v>0.01115</c:v>
                </c:pt>
                <c:pt idx="252">
                  <c:v>0.01109</c:v>
                </c:pt>
                <c:pt idx="253">
                  <c:v>0.01102</c:v>
                </c:pt>
                <c:pt idx="254">
                  <c:v>0.01096</c:v>
                </c:pt>
                <c:pt idx="255">
                  <c:v>0.0109</c:v>
                </c:pt>
                <c:pt idx="256">
                  <c:v>0.01083</c:v>
                </c:pt>
                <c:pt idx="257">
                  <c:v>0.01077</c:v>
                </c:pt>
                <c:pt idx="258">
                  <c:v>0.01071</c:v>
                </c:pt>
                <c:pt idx="259">
                  <c:v>0.01065</c:v>
                </c:pt>
                <c:pt idx="260">
                  <c:v>0.01059</c:v>
                </c:pt>
                <c:pt idx="261">
                  <c:v>0.01053</c:v>
                </c:pt>
                <c:pt idx="262">
                  <c:v>0.01047</c:v>
                </c:pt>
                <c:pt idx="263">
                  <c:v>0.01041</c:v>
                </c:pt>
                <c:pt idx="264">
                  <c:v>0.01035</c:v>
                </c:pt>
                <c:pt idx="265">
                  <c:v>0.0103</c:v>
                </c:pt>
                <c:pt idx="266">
                  <c:v>0.01024</c:v>
                </c:pt>
                <c:pt idx="267">
                  <c:v>0.01018</c:v>
                </c:pt>
                <c:pt idx="268">
                  <c:v>0.01013</c:v>
                </c:pt>
                <c:pt idx="269">
                  <c:v>0.01007</c:v>
                </c:pt>
                <c:pt idx="270">
                  <c:v>0.01002</c:v>
                </c:pt>
                <c:pt idx="271">
                  <c:v>0.009963</c:v>
                </c:pt>
                <c:pt idx="272">
                  <c:v>0.009909</c:v>
                </c:pt>
                <c:pt idx="273">
                  <c:v>0.009856</c:v>
                </c:pt>
                <c:pt idx="274">
                  <c:v>0.009803</c:v>
                </c:pt>
                <c:pt idx="275">
                  <c:v>0.00975</c:v>
                </c:pt>
                <c:pt idx="276">
                  <c:v>0.009698</c:v>
                </c:pt>
                <c:pt idx="277">
                  <c:v>0.009647</c:v>
                </c:pt>
                <c:pt idx="278">
                  <c:v>0.009595</c:v>
                </c:pt>
                <c:pt idx="279">
                  <c:v>0.009543</c:v>
                </c:pt>
                <c:pt idx="280">
                  <c:v>0.009491</c:v>
                </c:pt>
                <c:pt idx="281">
                  <c:v>0.009439</c:v>
                </c:pt>
                <c:pt idx="282">
                  <c:v>0.009387</c:v>
                </c:pt>
                <c:pt idx="283">
                  <c:v>0.009336</c:v>
                </c:pt>
                <c:pt idx="284">
                  <c:v>0.009285</c:v>
                </c:pt>
                <c:pt idx="285">
                  <c:v>0.009235</c:v>
                </c:pt>
                <c:pt idx="286">
                  <c:v>0.009184</c:v>
                </c:pt>
                <c:pt idx="287">
                  <c:v>0.009132</c:v>
                </c:pt>
                <c:pt idx="288">
                  <c:v>0.00908</c:v>
                </c:pt>
                <c:pt idx="289">
                  <c:v>0.009028</c:v>
                </c:pt>
                <c:pt idx="290">
                  <c:v>0.008977</c:v>
                </c:pt>
                <c:pt idx="291">
                  <c:v>0.008926</c:v>
                </c:pt>
                <c:pt idx="292">
                  <c:v>0.008876</c:v>
                </c:pt>
                <c:pt idx="293">
                  <c:v>0.008825</c:v>
                </c:pt>
                <c:pt idx="294">
                  <c:v>0.008774</c:v>
                </c:pt>
                <c:pt idx="295">
                  <c:v>0.008722</c:v>
                </c:pt>
                <c:pt idx="296">
                  <c:v>0.00867</c:v>
                </c:pt>
                <c:pt idx="297">
                  <c:v>0.008618</c:v>
                </c:pt>
                <c:pt idx="298">
                  <c:v>0.008567</c:v>
                </c:pt>
                <c:pt idx="299">
                  <c:v>0.008517</c:v>
                </c:pt>
                <c:pt idx="300">
                  <c:v>0.008466</c:v>
                </c:pt>
                <c:pt idx="301">
                  <c:v>0.008415</c:v>
                </c:pt>
                <c:pt idx="302">
                  <c:v>0.008365</c:v>
                </c:pt>
                <c:pt idx="303">
                  <c:v>0.008314</c:v>
                </c:pt>
                <c:pt idx="304">
                  <c:v>0.008264</c:v>
                </c:pt>
                <c:pt idx="305">
                  <c:v>0.008215</c:v>
                </c:pt>
                <c:pt idx="306">
                  <c:v>0.008166</c:v>
                </c:pt>
                <c:pt idx="307">
                  <c:v>0.008117</c:v>
                </c:pt>
                <c:pt idx="308">
                  <c:v>0.008069</c:v>
                </c:pt>
                <c:pt idx="309">
                  <c:v>0.008021</c:v>
                </c:pt>
                <c:pt idx="310">
                  <c:v>0.007973</c:v>
                </c:pt>
                <c:pt idx="311">
                  <c:v>0.007927</c:v>
                </c:pt>
                <c:pt idx="312">
                  <c:v>0.00788</c:v>
                </c:pt>
                <c:pt idx="313">
                  <c:v>0.007834</c:v>
                </c:pt>
                <c:pt idx="314">
                  <c:v>0.007789</c:v>
                </c:pt>
                <c:pt idx="315">
                  <c:v>0.007744</c:v>
                </c:pt>
                <c:pt idx="316">
                  <c:v>0.007699</c:v>
                </c:pt>
                <c:pt idx="317">
                  <c:v>0.007655</c:v>
                </c:pt>
                <c:pt idx="318">
                  <c:v>0.007611</c:v>
                </c:pt>
                <c:pt idx="319">
                  <c:v>0.007568</c:v>
                </c:pt>
                <c:pt idx="320">
                  <c:v>0.007525</c:v>
                </c:pt>
                <c:pt idx="321">
                  <c:v>0.007482</c:v>
                </c:pt>
                <c:pt idx="322">
                  <c:v>0.00744</c:v>
                </c:pt>
                <c:pt idx="323">
                  <c:v>0.007398</c:v>
                </c:pt>
                <c:pt idx="324">
                  <c:v>0.007356</c:v>
                </c:pt>
                <c:pt idx="325">
                  <c:v>0.007315</c:v>
                </c:pt>
                <c:pt idx="326">
                  <c:v>0.007275</c:v>
                </c:pt>
                <c:pt idx="327">
                  <c:v>0.007234</c:v>
                </c:pt>
                <c:pt idx="328">
                  <c:v>0.007194</c:v>
                </c:pt>
                <c:pt idx="329">
                  <c:v>0.007155</c:v>
                </c:pt>
                <c:pt idx="330">
                  <c:v>0.007115</c:v>
                </c:pt>
                <c:pt idx="331">
                  <c:v>0.007076</c:v>
                </c:pt>
                <c:pt idx="332">
                  <c:v>0.007038</c:v>
                </c:pt>
                <c:pt idx="333">
                  <c:v>0.006999</c:v>
                </c:pt>
                <c:pt idx="334">
                  <c:v>0.006962</c:v>
                </c:pt>
                <c:pt idx="335">
                  <c:v>0.006924</c:v>
                </c:pt>
                <c:pt idx="336">
                  <c:v>0.006886</c:v>
                </c:pt>
                <c:pt idx="337">
                  <c:v>0.006849</c:v>
                </c:pt>
                <c:pt idx="338">
                  <c:v>0.006812</c:v>
                </c:pt>
                <c:pt idx="339">
                  <c:v>0.006775</c:v>
                </c:pt>
                <c:pt idx="340">
                  <c:v>0.006739</c:v>
                </c:pt>
                <c:pt idx="341">
                  <c:v>0.006703</c:v>
                </c:pt>
                <c:pt idx="342">
                  <c:v>0.006667</c:v>
                </c:pt>
                <c:pt idx="343">
                  <c:v>0.006632</c:v>
                </c:pt>
                <c:pt idx="344">
                  <c:v>0.006596</c:v>
                </c:pt>
                <c:pt idx="345">
                  <c:v>0.006562</c:v>
                </c:pt>
                <c:pt idx="346">
                  <c:v>0.006528</c:v>
                </c:pt>
                <c:pt idx="347">
                  <c:v>0.006494</c:v>
                </c:pt>
                <c:pt idx="348">
                  <c:v>0.00646</c:v>
                </c:pt>
              </c:numCache>
            </c:numRef>
          </c:xVal>
          <c:yVal>
            <c:numRef>
              <c:f>'0DCS-in2'!$D$5:$D$353</c:f>
              <c:numCache>
                <c:formatCode>General</c:formatCode>
                <c:ptCount val="349"/>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0.0</c:v>
                </c:pt>
                <c:pt idx="45">
                  <c:v>0.0</c:v>
                </c:pt>
                <c:pt idx="46">
                  <c:v>0.0</c:v>
                </c:pt>
                <c:pt idx="47">
                  <c:v>0.0</c:v>
                </c:pt>
                <c:pt idx="48">
                  <c:v>0.0</c:v>
                </c:pt>
                <c:pt idx="49">
                  <c:v>0.0</c:v>
                </c:pt>
                <c:pt idx="50">
                  <c:v>0.0</c:v>
                </c:pt>
                <c:pt idx="51">
                  <c:v>0.0</c:v>
                </c:pt>
                <c:pt idx="52">
                  <c:v>0.0</c:v>
                </c:pt>
                <c:pt idx="53">
                  <c:v>0.0</c:v>
                </c:pt>
                <c:pt idx="54">
                  <c:v>0.0</c:v>
                </c:pt>
                <c:pt idx="55">
                  <c:v>0.0</c:v>
                </c:pt>
                <c:pt idx="56">
                  <c:v>0.0</c:v>
                </c:pt>
                <c:pt idx="57">
                  <c:v>0.0</c:v>
                </c:pt>
                <c:pt idx="58">
                  <c:v>0.0</c:v>
                </c:pt>
                <c:pt idx="59">
                  <c:v>0.0</c:v>
                </c:pt>
                <c:pt idx="60">
                  <c:v>0.0</c:v>
                </c:pt>
                <c:pt idx="61">
                  <c:v>0.0</c:v>
                </c:pt>
                <c:pt idx="62">
                  <c:v>0.0</c:v>
                </c:pt>
                <c:pt idx="63">
                  <c:v>0.0</c:v>
                </c:pt>
                <c:pt idx="64">
                  <c:v>0.0</c:v>
                </c:pt>
                <c:pt idx="65">
                  <c:v>0.0</c:v>
                </c:pt>
                <c:pt idx="66">
                  <c:v>0.0</c:v>
                </c:pt>
                <c:pt idx="67">
                  <c:v>0.0</c:v>
                </c:pt>
                <c:pt idx="68">
                  <c:v>0.0</c:v>
                </c:pt>
                <c:pt idx="69">
                  <c:v>0.0</c:v>
                </c:pt>
                <c:pt idx="70">
                  <c:v>0.0</c:v>
                </c:pt>
                <c:pt idx="71">
                  <c:v>0.0</c:v>
                </c:pt>
                <c:pt idx="72">
                  <c:v>0.0</c:v>
                </c:pt>
                <c:pt idx="73">
                  <c:v>0.0</c:v>
                </c:pt>
                <c:pt idx="74">
                  <c:v>0.0001</c:v>
                </c:pt>
                <c:pt idx="75">
                  <c:v>0.0002</c:v>
                </c:pt>
                <c:pt idx="76">
                  <c:v>0.0002</c:v>
                </c:pt>
                <c:pt idx="77">
                  <c:v>0.0003</c:v>
                </c:pt>
                <c:pt idx="78">
                  <c:v>0.0004</c:v>
                </c:pt>
                <c:pt idx="79">
                  <c:v>0.0006</c:v>
                </c:pt>
                <c:pt idx="80">
                  <c:v>0.0008</c:v>
                </c:pt>
                <c:pt idx="81">
                  <c:v>0.001</c:v>
                </c:pt>
                <c:pt idx="82">
                  <c:v>0.0013</c:v>
                </c:pt>
                <c:pt idx="83">
                  <c:v>0.0016</c:v>
                </c:pt>
                <c:pt idx="84">
                  <c:v>0.0019</c:v>
                </c:pt>
                <c:pt idx="85">
                  <c:v>0.0022</c:v>
                </c:pt>
                <c:pt idx="86">
                  <c:v>0.0025</c:v>
                </c:pt>
                <c:pt idx="87">
                  <c:v>0.0029</c:v>
                </c:pt>
                <c:pt idx="88">
                  <c:v>0.0032</c:v>
                </c:pt>
                <c:pt idx="89">
                  <c:v>0.0036</c:v>
                </c:pt>
                <c:pt idx="90">
                  <c:v>0.004</c:v>
                </c:pt>
                <c:pt idx="91">
                  <c:v>0.0044</c:v>
                </c:pt>
                <c:pt idx="92">
                  <c:v>0.0048</c:v>
                </c:pt>
                <c:pt idx="93">
                  <c:v>0.0051</c:v>
                </c:pt>
                <c:pt idx="94">
                  <c:v>0.0055</c:v>
                </c:pt>
                <c:pt idx="95">
                  <c:v>0.0057</c:v>
                </c:pt>
                <c:pt idx="96">
                  <c:v>0.0061</c:v>
                </c:pt>
                <c:pt idx="97">
                  <c:v>0.0064</c:v>
                </c:pt>
                <c:pt idx="98">
                  <c:v>0.0066</c:v>
                </c:pt>
                <c:pt idx="99">
                  <c:v>0.0069</c:v>
                </c:pt>
                <c:pt idx="100">
                  <c:v>0.0071</c:v>
                </c:pt>
                <c:pt idx="101">
                  <c:v>0.0074</c:v>
                </c:pt>
                <c:pt idx="102">
                  <c:v>0.0077</c:v>
                </c:pt>
                <c:pt idx="103">
                  <c:v>0.008</c:v>
                </c:pt>
                <c:pt idx="104">
                  <c:v>0.0084</c:v>
                </c:pt>
                <c:pt idx="105">
                  <c:v>0.0088</c:v>
                </c:pt>
                <c:pt idx="106">
                  <c:v>0.0091</c:v>
                </c:pt>
                <c:pt idx="107">
                  <c:v>0.0095</c:v>
                </c:pt>
                <c:pt idx="108">
                  <c:v>0.0099</c:v>
                </c:pt>
                <c:pt idx="109">
                  <c:v>0.0103</c:v>
                </c:pt>
                <c:pt idx="110">
                  <c:v>0.0107</c:v>
                </c:pt>
                <c:pt idx="111">
                  <c:v>0.0111</c:v>
                </c:pt>
                <c:pt idx="112">
                  <c:v>0.0115</c:v>
                </c:pt>
                <c:pt idx="113">
                  <c:v>0.0118</c:v>
                </c:pt>
                <c:pt idx="114">
                  <c:v>0.0121</c:v>
                </c:pt>
                <c:pt idx="115">
                  <c:v>0.0124</c:v>
                </c:pt>
                <c:pt idx="116">
                  <c:v>0.0126</c:v>
                </c:pt>
                <c:pt idx="117">
                  <c:v>0.0129</c:v>
                </c:pt>
                <c:pt idx="118">
                  <c:v>0.0131</c:v>
                </c:pt>
                <c:pt idx="119">
                  <c:v>0.0133</c:v>
                </c:pt>
                <c:pt idx="120">
                  <c:v>0.0136</c:v>
                </c:pt>
                <c:pt idx="121">
                  <c:v>0.0138</c:v>
                </c:pt>
                <c:pt idx="122">
                  <c:v>0.014</c:v>
                </c:pt>
                <c:pt idx="123">
                  <c:v>0.0141</c:v>
                </c:pt>
                <c:pt idx="124">
                  <c:v>0.0142</c:v>
                </c:pt>
                <c:pt idx="125">
                  <c:v>0.0143</c:v>
                </c:pt>
                <c:pt idx="126">
                  <c:v>0.0144</c:v>
                </c:pt>
                <c:pt idx="127">
                  <c:v>0.0145</c:v>
                </c:pt>
                <c:pt idx="128">
                  <c:v>0.0146</c:v>
                </c:pt>
                <c:pt idx="129">
                  <c:v>0.0147</c:v>
                </c:pt>
                <c:pt idx="130">
                  <c:v>0.0148</c:v>
                </c:pt>
                <c:pt idx="131">
                  <c:v>0.0149</c:v>
                </c:pt>
                <c:pt idx="132">
                  <c:v>0.015</c:v>
                </c:pt>
                <c:pt idx="133">
                  <c:v>0.0151</c:v>
                </c:pt>
                <c:pt idx="134">
                  <c:v>0.0153</c:v>
                </c:pt>
                <c:pt idx="135">
                  <c:v>0.0154</c:v>
                </c:pt>
                <c:pt idx="136">
                  <c:v>0.0155</c:v>
                </c:pt>
                <c:pt idx="137">
                  <c:v>0.0157</c:v>
                </c:pt>
                <c:pt idx="138">
                  <c:v>0.0158</c:v>
                </c:pt>
                <c:pt idx="139">
                  <c:v>0.0159</c:v>
                </c:pt>
                <c:pt idx="140">
                  <c:v>0.016</c:v>
                </c:pt>
                <c:pt idx="141">
                  <c:v>0.0161</c:v>
                </c:pt>
                <c:pt idx="142">
                  <c:v>0.0163</c:v>
                </c:pt>
                <c:pt idx="143">
                  <c:v>0.0164</c:v>
                </c:pt>
                <c:pt idx="144">
                  <c:v>0.0166</c:v>
                </c:pt>
                <c:pt idx="145">
                  <c:v>0.0168</c:v>
                </c:pt>
                <c:pt idx="146">
                  <c:v>0.017</c:v>
                </c:pt>
                <c:pt idx="147">
                  <c:v>0.0171</c:v>
                </c:pt>
                <c:pt idx="148">
                  <c:v>0.0173</c:v>
                </c:pt>
                <c:pt idx="149">
                  <c:v>0.0175</c:v>
                </c:pt>
                <c:pt idx="150">
                  <c:v>0.0178</c:v>
                </c:pt>
                <c:pt idx="151">
                  <c:v>0.018</c:v>
                </c:pt>
                <c:pt idx="152">
                  <c:v>0.0182</c:v>
                </c:pt>
                <c:pt idx="153">
                  <c:v>0.0183</c:v>
                </c:pt>
                <c:pt idx="154">
                  <c:v>0.0184</c:v>
                </c:pt>
                <c:pt idx="155">
                  <c:v>0.0185</c:v>
                </c:pt>
                <c:pt idx="156">
                  <c:v>0.0185</c:v>
                </c:pt>
                <c:pt idx="157">
                  <c:v>0.0186</c:v>
                </c:pt>
                <c:pt idx="158">
                  <c:v>0.0187</c:v>
                </c:pt>
                <c:pt idx="159">
                  <c:v>0.0187</c:v>
                </c:pt>
                <c:pt idx="160">
                  <c:v>0.0188</c:v>
                </c:pt>
                <c:pt idx="161">
                  <c:v>0.019</c:v>
                </c:pt>
                <c:pt idx="162">
                  <c:v>0.0191</c:v>
                </c:pt>
                <c:pt idx="163">
                  <c:v>0.0193</c:v>
                </c:pt>
                <c:pt idx="164">
                  <c:v>0.0194</c:v>
                </c:pt>
                <c:pt idx="165">
                  <c:v>0.0196</c:v>
                </c:pt>
                <c:pt idx="166">
                  <c:v>0.0199</c:v>
                </c:pt>
                <c:pt idx="167">
                  <c:v>0.0201</c:v>
                </c:pt>
                <c:pt idx="168">
                  <c:v>0.0204</c:v>
                </c:pt>
                <c:pt idx="169">
                  <c:v>0.0206</c:v>
                </c:pt>
                <c:pt idx="170">
                  <c:v>0.0209</c:v>
                </c:pt>
                <c:pt idx="171">
                  <c:v>0.021</c:v>
                </c:pt>
                <c:pt idx="172">
                  <c:v>0.0212</c:v>
                </c:pt>
                <c:pt idx="173">
                  <c:v>0.0213</c:v>
                </c:pt>
                <c:pt idx="174">
                  <c:v>0.0215</c:v>
                </c:pt>
                <c:pt idx="175">
                  <c:v>0.0216</c:v>
                </c:pt>
                <c:pt idx="176">
                  <c:v>0.0217</c:v>
                </c:pt>
                <c:pt idx="177">
                  <c:v>0.0218</c:v>
                </c:pt>
                <c:pt idx="178">
                  <c:v>0.0219</c:v>
                </c:pt>
                <c:pt idx="179">
                  <c:v>0.022</c:v>
                </c:pt>
                <c:pt idx="180">
                  <c:v>0.0221</c:v>
                </c:pt>
                <c:pt idx="181">
                  <c:v>0.0221</c:v>
                </c:pt>
                <c:pt idx="182">
                  <c:v>0.0222</c:v>
                </c:pt>
                <c:pt idx="183">
                  <c:v>0.0223</c:v>
                </c:pt>
                <c:pt idx="184">
                  <c:v>0.0224</c:v>
                </c:pt>
                <c:pt idx="185">
                  <c:v>0.0224</c:v>
                </c:pt>
                <c:pt idx="186">
                  <c:v>0.0225</c:v>
                </c:pt>
                <c:pt idx="187">
                  <c:v>0.0226</c:v>
                </c:pt>
                <c:pt idx="188">
                  <c:v>0.0227</c:v>
                </c:pt>
                <c:pt idx="189">
                  <c:v>0.0228</c:v>
                </c:pt>
                <c:pt idx="190">
                  <c:v>0.0229</c:v>
                </c:pt>
                <c:pt idx="191">
                  <c:v>0.023</c:v>
                </c:pt>
                <c:pt idx="192">
                  <c:v>0.0231</c:v>
                </c:pt>
                <c:pt idx="193">
                  <c:v>0.0233</c:v>
                </c:pt>
                <c:pt idx="194">
                  <c:v>0.0235</c:v>
                </c:pt>
                <c:pt idx="195">
                  <c:v>0.0236</c:v>
                </c:pt>
                <c:pt idx="196">
                  <c:v>0.0238</c:v>
                </c:pt>
                <c:pt idx="197">
                  <c:v>0.024</c:v>
                </c:pt>
                <c:pt idx="198">
                  <c:v>0.0241</c:v>
                </c:pt>
                <c:pt idx="199">
                  <c:v>0.0242</c:v>
                </c:pt>
                <c:pt idx="200">
                  <c:v>0.0244</c:v>
                </c:pt>
                <c:pt idx="201">
                  <c:v>0.0245</c:v>
                </c:pt>
                <c:pt idx="202">
                  <c:v>0.0246</c:v>
                </c:pt>
                <c:pt idx="203">
                  <c:v>0.0247</c:v>
                </c:pt>
                <c:pt idx="204">
                  <c:v>0.0248</c:v>
                </c:pt>
                <c:pt idx="205">
                  <c:v>0.0249</c:v>
                </c:pt>
                <c:pt idx="206">
                  <c:v>0.025</c:v>
                </c:pt>
                <c:pt idx="207">
                  <c:v>0.0251</c:v>
                </c:pt>
                <c:pt idx="208">
                  <c:v>0.0252</c:v>
                </c:pt>
                <c:pt idx="209">
                  <c:v>0.0253</c:v>
                </c:pt>
                <c:pt idx="210">
                  <c:v>0.0254</c:v>
                </c:pt>
                <c:pt idx="211">
                  <c:v>0.0255</c:v>
                </c:pt>
                <c:pt idx="212">
                  <c:v>0.0256</c:v>
                </c:pt>
                <c:pt idx="213">
                  <c:v>0.0257</c:v>
                </c:pt>
                <c:pt idx="214">
                  <c:v>0.0257</c:v>
                </c:pt>
                <c:pt idx="215">
                  <c:v>0.0258</c:v>
                </c:pt>
                <c:pt idx="216">
                  <c:v>0.0259</c:v>
                </c:pt>
                <c:pt idx="217">
                  <c:v>0.0259</c:v>
                </c:pt>
                <c:pt idx="218">
                  <c:v>0.026</c:v>
                </c:pt>
                <c:pt idx="219">
                  <c:v>0.0261</c:v>
                </c:pt>
                <c:pt idx="220">
                  <c:v>0.0261</c:v>
                </c:pt>
                <c:pt idx="221">
                  <c:v>0.0262</c:v>
                </c:pt>
                <c:pt idx="222">
                  <c:v>0.0262</c:v>
                </c:pt>
                <c:pt idx="223">
                  <c:v>0.0262</c:v>
                </c:pt>
                <c:pt idx="224">
                  <c:v>0.0263</c:v>
                </c:pt>
                <c:pt idx="225">
                  <c:v>0.0263</c:v>
                </c:pt>
                <c:pt idx="226">
                  <c:v>0.0264</c:v>
                </c:pt>
                <c:pt idx="227">
                  <c:v>0.0265</c:v>
                </c:pt>
                <c:pt idx="228">
                  <c:v>0.0265</c:v>
                </c:pt>
                <c:pt idx="229">
                  <c:v>0.0266</c:v>
                </c:pt>
                <c:pt idx="230">
                  <c:v>0.0266</c:v>
                </c:pt>
                <c:pt idx="231">
                  <c:v>0.0267</c:v>
                </c:pt>
                <c:pt idx="232">
                  <c:v>0.0268</c:v>
                </c:pt>
                <c:pt idx="233">
                  <c:v>0.0269</c:v>
                </c:pt>
                <c:pt idx="234">
                  <c:v>0.027</c:v>
                </c:pt>
                <c:pt idx="235">
                  <c:v>0.027</c:v>
                </c:pt>
                <c:pt idx="236">
                  <c:v>0.0271</c:v>
                </c:pt>
                <c:pt idx="237">
                  <c:v>0.0272</c:v>
                </c:pt>
                <c:pt idx="238">
                  <c:v>0.0272</c:v>
                </c:pt>
                <c:pt idx="239">
                  <c:v>0.0273</c:v>
                </c:pt>
                <c:pt idx="240">
                  <c:v>0.0273</c:v>
                </c:pt>
                <c:pt idx="241">
                  <c:v>0.0273</c:v>
                </c:pt>
                <c:pt idx="242">
                  <c:v>0.0274</c:v>
                </c:pt>
                <c:pt idx="243">
                  <c:v>0.0275</c:v>
                </c:pt>
                <c:pt idx="244">
                  <c:v>0.0276</c:v>
                </c:pt>
                <c:pt idx="245">
                  <c:v>0.0277</c:v>
                </c:pt>
                <c:pt idx="246">
                  <c:v>0.0277</c:v>
                </c:pt>
                <c:pt idx="247">
                  <c:v>0.0279</c:v>
                </c:pt>
                <c:pt idx="248">
                  <c:v>0.028</c:v>
                </c:pt>
                <c:pt idx="249">
                  <c:v>0.0281</c:v>
                </c:pt>
                <c:pt idx="250">
                  <c:v>0.0282</c:v>
                </c:pt>
                <c:pt idx="251">
                  <c:v>0.0283</c:v>
                </c:pt>
                <c:pt idx="252">
                  <c:v>0.0284</c:v>
                </c:pt>
                <c:pt idx="253">
                  <c:v>0.0285</c:v>
                </c:pt>
                <c:pt idx="254">
                  <c:v>0.0285</c:v>
                </c:pt>
                <c:pt idx="255">
                  <c:v>0.0286</c:v>
                </c:pt>
                <c:pt idx="256">
                  <c:v>0.0286</c:v>
                </c:pt>
                <c:pt idx="257">
                  <c:v>0.0286</c:v>
                </c:pt>
                <c:pt idx="258">
                  <c:v>0.0287</c:v>
                </c:pt>
                <c:pt idx="259">
                  <c:v>0.0287</c:v>
                </c:pt>
                <c:pt idx="260">
                  <c:v>0.0287</c:v>
                </c:pt>
                <c:pt idx="261">
                  <c:v>0.0287</c:v>
                </c:pt>
                <c:pt idx="262">
                  <c:v>0.0287</c:v>
                </c:pt>
                <c:pt idx="263">
                  <c:v>0.0287</c:v>
                </c:pt>
                <c:pt idx="264">
                  <c:v>0.0287</c:v>
                </c:pt>
                <c:pt idx="265">
                  <c:v>0.0287</c:v>
                </c:pt>
                <c:pt idx="266">
                  <c:v>0.0287</c:v>
                </c:pt>
                <c:pt idx="267">
                  <c:v>0.0287</c:v>
                </c:pt>
                <c:pt idx="268">
                  <c:v>0.0287</c:v>
                </c:pt>
                <c:pt idx="269">
                  <c:v>0.0287</c:v>
                </c:pt>
                <c:pt idx="270">
                  <c:v>0.0287</c:v>
                </c:pt>
                <c:pt idx="271">
                  <c:v>0.0287</c:v>
                </c:pt>
                <c:pt idx="272">
                  <c:v>0.0287</c:v>
                </c:pt>
                <c:pt idx="273">
                  <c:v>0.0287</c:v>
                </c:pt>
                <c:pt idx="274">
                  <c:v>0.0287</c:v>
                </c:pt>
                <c:pt idx="275">
                  <c:v>0.0287</c:v>
                </c:pt>
                <c:pt idx="276">
                  <c:v>0.0287</c:v>
                </c:pt>
                <c:pt idx="277">
                  <c:v>0.0287</c:v>
                </c:pt>
                <c:pt idx="278">
                  <c:v>0.0287</c:v>
                </c:pt>
                <c:pt idx="279">
                  <c:v>0.0287</c:v>
                </c:pt>
                <c:pt idx="280">
                  <c:v>0.0287</c:v>
                </c:pt>
                <c:pt idx="281">
                  <c:v>0.0287</c:v>
                </c:pt>
                <c:pt idx="282">
                  <c:v>0.0287</c:v>
                </c:pt>
                <c:pt idx="283">
                  <c:v>0.0287</c:v>
                </c:pt>
                <c:pt idx="284">
                  <c:v>0.0287</c:v>
                </c:pt>
                <c:pt idx="285">
                  <c:v>0.0287</c:v>
                </c:pt>
                <c:pt idx="286">
                  <c:v>0.0287</c:v>
                </c:pt>
                <c:pt idx="287">
                  <c:v>0.0287</c:v>
                </c:pt>
                <c:pt idx="288">
                  <c:v>0.0287</c:v>
                </c:pt>
                <c:pt idx="289">
                  <c:v>0.0287</c:v>
                </c:pt>
                <c:pt idx="290">
                  <c:v>0.0287</c:v>
                </c:pt>
                <c:pt idx="291">
                  <c:v>0.0287</c:v>
                </c:pt>
                <c:pt idx="292">
                  <c:v>0.0287</c:v>
                </c:pt>
                <c:pt idx="293">
                  <c:v>0.0287</c:v>
                </c:pt>
                <c:pt idx="294">
                  <c:v>0.0287</c:v>
                </c:pt>
                <c:pt idx="295">
                  <c:v>0.0287</c:v>
                </c:pt>
                <c:pt idx="296">
                  <c:v>0.0287</c:v>
                </c:pt>
                <c:pt idx="297">
                  <c:v>0.0287</c:v>
                </c:pt>
                <c:pt idx="298">
                  <c:v>0.0287</c:v>
                </c:pt>
                <c:pt idx="299">
                  <c:v>0.0287</c:v>
                </c:pt>
                <c:pt idx="300">
                  <c:v>0.0287</c:v>
                </c:pt>
                <c:pt idx="301">
                  <c:v>0.0287</c:v>
                </c:pt>
                <c:pt idx="302">
                  <c:v>0.0287</c:v>
                </c:pt>
                <c:pt idx="303">
                  <c:v>0.0287</c:v>
                </c:pt>
                <c:pt idx="304">
                  <c:v>0.0287</c:v>
                </c:pt>
                <c:pt idx="305">
                  <c:v>0.0287</c:v>
                </c:pt>
                <c:pt idx="306">
                  <c:v>0.0287</c:v>
                </c:pt>
                <c:pt idx="307">
                  <c:v>0.0287</c:v>
                </c:pt>
                <c:pt idx="308">
                  <c:v>0.0287</c:v>
                </c:pt>
                <c:pt idx="309">
                  <c:v>0.0287</c:v>
                </c:pt>
                <c:pt idx="310">
                  <c:v>0.0287</c:v>
                </c:pt>
                <c:pt idx="311">
                  <c:v>0.0287</c:v>
                </c:pt>
                <c:pt idx="312">
                  <c:v>0.0287</c:v>
                </c:pt>
                <c:pt idx="313">
                  <c:v>0.0287</c:v>
                </c:pt>
                <c:pt idx="314">
                  <c:v>0.0287</c:v>
                </c:pt>
                <c:pt idx="315">
                  <c:v>0.0287</c:v>
                </c:pt>
                <c:pt idx="316">
                  <c:v>0.0287</c:v>
                </c:pt>
                <c:pt idx="317">
                  <c:v>0.0287</c:v>
                </c:pt>
                <c:pt idx="318">
                  <c:v>0.0287</c:v>
                </c:pt>
                <c:pt idx="319">
                  <c:v>0.0287</c:v>
                </c:pt>
                <c:pt idx="320">
                  <c:v>0.0287</c:v>
                </c:pt>
                <c:pt idx="321">
                  <c:v>0.0287</c:v>
                </c:pt>
                <c:pt idx="322">
                  <c:v>0.0287</c:v>
                </c:pt>
                <c:pt idx="323">
                  <c:v>0.0287</c:v>
                </c:pt>
                <c:pt idx="324">
                  <c:v>0.0287</c:v>
                </c:pt>
                <c:pt idx="325">
                  <c:v>0.0287</c:v>
                </c:pt>
                <c:pt idx="326">
                  <c:v>0.0287</c:v>
                </c:pt>
                <c:pt idx="327">
                  <c:v>0.0287</c:v>
                </c:pt>
                <c:pt idx="328">
                  <c:v>0.0287</c:v>
                </c:pt>
                <c:pt idx="329">
                  <c:v>0.0287</c:v>
                </c:pt>
                <c:pt idx="330">
                  <c:v>0.0287</c:v>
                </c:pt>
                <c:pt idx="331">
                  <c:v>0.0287</c:v>
                </c:pt>
                <c:pt idx="332">
                  <c:v>0.0287</c:v>
                </c:pt>
                <c:pt idx="333">
                  <c:v>0.0287</c:v>
                </c:pt>
                <c:pt idx="334">
                  <c:v>0.0287</c:v>
                </c:pt>
                <c:pt idx="335">
                  <c:v>0.0287</c:v>
                </c:pt>
                <c:pt idx="336">
                  <c:v>0.0287</c:v>
                </c:pt>
                <c:pt idx="337">
                  <c:v>0.0287</c:v>
                </c:pt>
                <c:pt idx="338">
                  <c:v>0.0287</c:v>
                </c:pt>
                <c:pt idx="339">
                  <c:v>0.0287</c:v>
                </c:pt>
                <c:pt idx="340">
                  <c:v>0.0287</c:v>
                </c:pt>
                <c:pt idx="341">
                  <c:v>0.0287</c:v>
                </c:pt>
                <c:pt idx="342">
                  <c:v>0.0287</c:v>
                </c:pt>
                <c:pt idx="343">
                  <c:v>0.0287</c:v>
                </c:pt>
                <c:pt idx="344">
                  <c:v>0.0287</c:v>
                </c:pt>
                <c:pt idx="345">
                  <c:v>0.0287</c:v>
                </c:pt>
                <c:pt idx="346">
                  <c:v>0.0287</c:v>
                </c:pt>
                <c:pt idx="347">
                  <c:v>0.0287</c:v>
                </c:pt>
                <c:pt idx="348">
                  <c:v>0.0287</c:v>
                </c:pt>
              </c:numCache>
            </c:numRef>
          </c:yVal>
          <c:smooth val="0"/>
        </c:ser>
        <c:ser>
          <c:idx val="0"/>
          <c:order val="0"/>
          <c:tx>
            <c:v>Ex2</c:v>
          </c:tx>
          <c:spPr>
            <a:ln w="12700" cmpd="sng">
              <a:solidFill>
                <a:schemeClr val="accent2">
                  <a:lumMod val="50000"/>
                </a:schemeClr>
              </a:solidFill>
            </a:ln>
          </c:spPr>
          <c:marker>
            <c:symbol val="none"/>
          </c:marker>
          <c:xVal>
            <c:numRef>
              <c:f>'0DCS-ex2'!$C$5:$C$351</c:f>
              <c:numCache>
                <c:formatCode>0.00E+00</c:formatCode>
                <c:ptCount val="347"/>
                <c:pt idx="0">
                  <c:v>0.006464</c:v>
                </c:pt>
                <c:pt idx="1">
                  <c:v>0.006501</c:v>
                </c:pt>
                <c:pt idx="2">
                  <c:v>0.006538</c:v>
                </c:pt>
                <c:pt idx="3">
                  <c:v>0.006575</c:v>
                </c:pt>
                <c:pt idx="4">
                  <c:v>0.006613</c:v>
                </c:pt>
                <c:pt idx="5">
                  <c:v>0.00665</c:v>
                </c:pt>
                <c:pt idx="6">
                  <c:v>0.006689</c:v>
                </c:pt>
                <c:pt idx="7">
                  <c:v>0.006727</c:v>
                </c:pt>
                <c:pt idx="8">
                  <c:v>0.006766</c:v>
                </c:pt>
                <c:pt idx="9">
                  <c:v>0.006805</c:v>
                </c:pt>
                <c:pt idx="10">
                  <c:v>0.006844</c:v>
                </c:pt>
                <c:pt idx="11">
                  <c:v>0.006883</c:v>
                </c:pt>
                <c:pt idx="12">
                  <c:v>0.006923</c:v>
                </c:pt>
                <c:pt idx="13">
                  <c:v>0.006963</c:v>
                </c:pt>
                <c:pt idx="14">
                  <c:v>0.007003</c:v>
                </c:pt>
                <c:pt idx="15">
                  <c:v>0.007044</c:v>
                </c:pt>
                <c:pt idx="16">
                  <c:v>0.007085</c:v>
                </c:pt>
                <c:pt idx="17">
                  <c:v>0.007126</c:v>
                </c:pt>
                <c:pt idx="18">
                  <c:v>0.007167</c:v>
                </c:pt>
                <c:pt idx="19">
                  <c:v>0.007209</c:v>
                </c:pt>
                <c:pt idx="20">
                  <c:v>0.007252</c:v>
                </c:pt>
                <c:pt idx="21">
                  <c:v>0.007294</c:v>
                </c:pt>
                <c:pt idx="22">
                  <c:v>0.007337</c:v>
                </c:pt>
                <c:pt idx="23">
                  <c:v>0.00738</c:v>
                </c:pt>
                <c:pt idx="24">
                  <c:v>0.007424</c:v>
                </c:pt>
                <c:pt idx="25">
                  <c:v>0.007468</c:v>
                </c:pt>
                <c:pt idx="26">
                  <c:v>0.007512</c:v>
                </c:pt>
                <c:pt idx="27">
                  <c:v>0.007557</c:v>
                </c:pt>
                <c:pt idx="28">
                  <c:v>0.007602</c:v>
                </c:pt>
                <c:pt idx="29">
                  <c:v>0.007647</c:v>
                </c:pt>
                <c:pt idx="30">
                  <c:v>0.007693</c:v>
                </c:pt>
                <c:pt idx="31">
                  <c:v>0.007739</c:v>
                </c:pt>
                <c:pt idx="32">
                  <c:v>0.007786</c:v>
                </c:pt>
                <c:pt idx="33">
                  <c:v>0.007833</c:v>
                </c:pt>
                <c:pt idx="34">
                  <c:v>0.007881</c:v>
                </c:pt>
                <c:pt idx="35">
                  <c:v>0.007928</c:v>
                </c:pt>
                <c:pt idx="36">
                  <c:v>0.007976</c:v>
                </c:pt>
                <c:pt idx="37">
                  <c:v>0.008023</c:v>
                </c:pt>
                <c:pt idx="38">
                  <c:v>0.008071</c:v>
                </c:pt>
                <c:pt idx="39">
                  <c:v>0.008118</c:v>
                </c:pt>
                <c:pt idx="40">
                  <c:v>0.008166</c:v>
                </c:pt>
                <c:pt idx="41">
                  <c:v>0.008214</c:v>
                </c:pt>
                <c:pt idx="42">
                  <c:v>0.008262</c:v>
                </c:pt>
                <c:pt idx="43">
                  <c:v>0.00831</c:v>
                </c:pt>
                <c:pt idx="44">
                  <c:v>0.008357</c:v>
                </c:pt>
                <c:pt idx="45">
                  <c:v>0.008404</c:v>
                </c:pt>
                <c:pt idx="46">
                  <c:v>0.008452</c:v>
                </c:pt>
                <c:pt idx="47">
                  <c:v>0.0085</c:v>
                </c:pt>
                <c:pt idx="48">
                  <c:v>0.008547</c:v>
                </c:pt>
                <c:pt idx="49">
                  <c:v>0.008595</c:v>
                </c:pt>
                <c:pt idx="50">
                  <c:v>0.008643</c:v>
                </c:pt>
                <c:pt idx="51">
                  <c:v>0.00869</c:v>
                </c:pt>
                <c:pt idx="52">
                  <c:v>0.008737</c:v>
                </c:pt>
                <c:pt idx="53">
                  <c:v>0.008783</c:v>
                </c:pt>
                <c:pt idx="54">
                  <c:v>0.00883</c:v>
                </c:pt>
                <c:pt idx="55">
                  <c:v>0.008877</c:v>
                </c:pt>
                <c:pt idx="56">
                  <c:v>0.008925</c:v>
                </c:pt>
                <c:pt idx="57">
                  <c:v>0.008972</c:v>
                </c:pt>
                <c:pt idx="58">
                  <c:v>0.00902</c:v>
                </c:pt>
                <c:pt idx="59">
                  <c:v>0.009067</c:v>
                </c:pt>
                <c:pt idx="60">
                  <c:v>0.009115</c:v>
                </c:pt>
                <c:pt idx="61">
                  <c:v>0.009164</c:v>
                </c:pt>
                <c:pt idx="62">
                  <c:v>0.009212</c:v>
                </c:pt>
                <c:pt idx="63">
                  <c:v>0.009262</c:v>
                </c:pt>
                <c:pt idx="64">
                  <c:v>0.009311</c:v>
                </c:pt>
                <c:pt idx="65">
                  <c:v>0.009361</c:v>
                </c:pt>
                <c:pt idx="66">
                  <c:v>0.009412</c:v>
                </c:pt>
                <c:pt idx="67">
                  <c:v>0.009462</c:v>
                </c:pt>
                <c:pt idx="68">
                  <c:v>0.009514</c:v>
                </c:pt>
                <c:pt idx="69">
                  <c:v>0.009565</c:v>
                </c:pt>
                <c:pt idx="70">
                  <c:v>0.009618</c:v>
                </c:pt>
                <c:pt idx="71">
                  <c:v>0.00967</c:v>
                </c:pt>
                <c:pt idx="72">
                  <c:v>0.009723</c:v>
                </c:pt>
                <c:pt idx="73">
                  <c:v>0.009776</c:v>
                </c:pt>
                <c:pt idx="74">
                  <c:v>0.00983</c:v>
                </c:pt>
                <c:pt idx="75">
                  <c:v>0.009884</c:v>
                </c:pt>
                <c:pt idx="76">
                  <c:v>0.009939</c:v>
                </c:pt>
                <c:pt idx="77">
                  <c:v>0.009994</c:v>
                </c:pt>
                <c:pt idx="78">
                  <c:v>0.01005</c:v>
                </c:pt>
                <c:pt idx="79">
                  <c:v>0.01011</c:v>
                </c:pt>
                <c:pt idx="80">
                  <c:v>0.01016</c:v>
                </c:pt>
                <c:pt idx="81">
                  <c:v>0.01022</c:v>
                </c:pt>
                <c:pt idx="82">
                  <c:v>0.01028</c:v>
                </c:pt>
                <c:pt idx="83">
                  <c:v>0.01034</c:v>
                </c:pt>
                <c:pt idx="84">
                  <c:v>0.0104</c:v>
                </c:pt>
                <c:pt idx="85">
                  <c:v>0.01045</c:v>
                </c:pt>
                <c:pt idx="86">
                  <c:v>0.01051</c:v>
                </c:pt>
                <c:pt idx="87">
                  <c:v>0.01057</c:v>
                </c:pt>
                <c:pt idx="88">
                  <c:v>0.01064</c:v>
                </c:pt>
                <c:pt idx="89">
                  <c:v>0.0107</c:v>
                </c:pt>
                <c:pt idx="90">
                  <c:v>0.01076</c:v>
                </c:pt>
                <c:pt idx="91">
                  <c:v>0.01082</c:v>
                </c:pt>
                <c:pt idx="92">
                  <c:v>0.01088</c:v>
                </c:pt>
                <c:pt idx="93">
                  <c:v>0.01095</c:v>
                </c:pt>
                <c:pt idx="94">
                  <c:v>0.01101</c:v>
                </c:pt>
                <c:pt idx="95">
                  <c:v>0.01108</c:v>
                </c:pt>
                <c:pt idx="96">
                  <c:v>0.01114</c:v>
                </c:pt>
                <c:pt idx="97">
                  <c:v>0.01121</c:v>
                </c:pt>
                <c:pt idx="98">
                  <c:v>0.01127</c:v>
                </c:pt>
                <c:pt idx="99">
                  <c:v>0.01134</c:v>
                </c:pt>
                <c:pt idx="100">
                  <c:v>0.01141</c:v>
                </c:pt>
                <c:pt idx="101">
                  <c:v>0.01148</c:v>
                </c:pt>
                <c:pt idx="102">
                  <c:v>0.01155</c:v>
                </c:pt>
                <c:pt idx="103">
                  <c:v>0.01162</c:v>
                </c:pt>
                <c:pt idx="104">
                  <c:v>0.01169</c:v>
                </c:pt>
                <c:pt idx="105">
                  <c:v>0.01176</c:v>
                </c:pt>
                <c:pt idx="106">
                  <c:v>0.01183</c:v>
                </c:pt>
                <c:pt idx="107">
                  <c:v>0.0119</c:v>
                </c:pt>
                <c:pt idx="108">
                  <c:v>0.01198</c:v>
                </c:pt>
                <c:pt idx="109">
                  <c:v>0.01205</c:v>
                </c:pt>
                <c:pt idx="110">
                  <c:v>0.01213</c:v>
                </c:pt>
                <c:pt idx="111">
                  <c:v>0.0122</c:v>
                </c:pt>
                <c:pt idx="112">
                  <c:v>0.01228</c:v>
                </c:pt>
                <c:pt idx="113">
                  <c:v>0.01235</c:v>
                </c:pt>
                <c:pt idx="114">
                  <c:v>0.01243</c:v>
                </c:pt>
                <c:pt idx="115">
                  <c:v>0.01251</c:v>
                </c:pt>
                <c:pt idx="116">
                  <c:v>0.01259</c:v>
                </c:pt>
                <c:pt idx="117">
                  <c:v>0.01267</c:v>
                </c:pt>
                <c:pt idx="118">
                  <c:v>0.01275</c:v>
                </c:pt>
                <c:pt idx="119">
                  <c:v>0.01283</c:v>
                </c:pt>
                <c:pt idx="120">
                  <c:v>0.01292</c:v>
                </c:pt>
                <c:pt idx="121">
                  <c:v>0.013</c:v>
                </c:pt>
                <c:pt idx="122">
                  <c:v>0.01309</c:v>
                </c:pt>
                <c:pt idx="123">
                  <c:v>0.01317</c:v>
                </c:pt>
                <c:pt idx="124">
                  <c:v>0.01326</c:v>
                </c:pt>
                <c:pt idx="125">
                  <c:v>0.01336</c:v>
                </c:pt>
                <c:pt idx="126">
                  <c:v>0.01346</c:v>
                </c:pt>
                <c:pt idx="127">
                  <c:v>0.01356</c:v>
                </c:pt>
                <c:pt idx="128">
                  <c:v>0.01367</c:v>
                </c:pt>
                <c:pt idx="129">
                  <c:v>0.01378</c:v>
                </c:pt>
                <c:pt idx="130">
                  <c:v>0.01389</c:v>
                </c:pt>
                <c:pt idx="131">
                  <c:v>0.01401</c:v>
                </c:pt>
                <c:pt idx="132">
                  <c:v>0.01414</c:v>
                </c:pt>
                <c:pt idx="133">
                  <c:v>0.01427</c:v>
                </c:pt>
                <c:pt idx="134">
                  <c:v>0.01441</c:v>
                </c:pt>
                <c:pt idx="135">
                  <c:v>0.01454</c:v>
                </c:pt>
                <c:pt idx="136">
                  <c:v>0.01468</c:v>
                </c:pt>
                <c:pt idx="137">
                  <c:v>0.01483</c:v>
                </c:pt>
                <c:pt idx="138">
                  <c:v>0.01498</c:v>
                </c:pt>
                <c:pt idx="139">
                  <c:v>0.01514</c:v>
                </c:pt>
                <c:pt idx="140">
                  <c:v>0.0153</c:v>
                </c:pt>
                <c:pt idx="141">
                  <c:v>0.01547</c:v>
                </c:pt>
                <c:pt idx="142">
                  <c:v>0.01564</c:v>
                </c:pt>
                <c:pt idx="143">
                  <c:v>0.01581</c:v>
                </c:pt>
                <c:pt idx="144">
                  <c:v>0.01598</c:v>
                </c:pt>
                <c:pt idx="145">
                  <c:v>0.01616</c:v>
                </c:pt>
                <c:pt idx="146">
                  <c:v>0.01634</c:v>
                </c:pt>
                <c:pt idx="147">
                  <c:v>0.01653</c:v>
                </c:pt>
                <c:pt idx="148">
                  <c:v>0.01671</c:v>
                </c:pt>
                <c:pt idx="149">
                  <c:v>0.0169</c:v>
                </c:pt>
                <c:pt idx="150">
                  <c:v>0.0171</c:v>
                </c:pt>
                <c:pt idx="151">
                  <c:v>0.0173</c:v>
                </c:pt>
                <c:pt idx="152">
                  <c:v>0.0175</c:v>
                </c:pt>
                <c:pt idx="153">
                  <c:v>0.01771</c:v>
                </c:pt>
                <c:pt idx="154">
                  <c:v>0.01792</c:v>
                </c:pt>
                <c:pt idx="155">
                  <c:v>0.01813</c:v>
                </c:pt>
                <c:pt idx="156">
                  <c:v>0.01835</c:v>
                </c:pt>
                <c:pt idx="157">
                  <c:v>0.01858</c:v>
                </c:pt>
                <c:pt idx="158">
                  <c:v>0.0188</c:v>
                </c:pt>
                <c:pt idx="159">
                  <c:v>0.01904</c:v>
                </c:pt>
                <c:pt idx="160">
                  <c:v>0.01927</c:v>
                </c:pt>
                <c:pt idx="161">
                  <c:v>0.01952</c:v>
                </c:pt>
                <c:pt idx="162">
                  <c:v>0.01977</c:v>
                </c:pt>
                <c:pt idx="163">
                  <c:v>0.02002</c:v>
                </c:pt>
                <c:pt idx="164">
                  <c:v>0.02028</c:v>
                </c:pt>
                <c:pt idx="165">
                  <c:v>0.02054</c:v>
                </c:pt>
                <c:pt idx="166">
                  <c:v>0.02081</c:v>
                </c:pt>
                <c:pt idx="167">
                  <c:v>0.02109</c:v>
                </c:pt>
                <c:pt idx="168">
                  <c:v>0.02137</c:v>
                </c:pt>
                <c:pt idx="169">
                  <c:v>0.02165</c:v>
                </c:pt>
                <c:pt idx="170">
                  <c:v>0.02194</c:v>
                </c:pt>
                <c:pt idx="171">
                  <c:v>0.02224</c:v>
                </c:pt>
                <c:pt idx="172">
                  <c:v>0.02254</c:v>
                </c:pt>
                <c:pt idx="173">
                  <c:v>0.02284</c:v>
                </c:pt>
                <c:pt idx="174">
                  <c:v>0.02316</c:v>
                </c:pt>
                <c:pt idx="175">
                  <c:v>0.02348</c:v>
                </c:pt>
                <c:pt idx="176">
                  <c:v>0.0238</c:v>
                </c:pt>
                <c:pt idx="177">
                  <c:v>0.02414</c:v>
                </c:pt>
                <c:pt idx="178">
                  <c:v>0.02446</c:v>
                </c:pt>
                <c:pt idx="179">
                  <c:v>0.02479</c:v>
                </c:pt>
                <c:pt idx="180">
                  <c:v>0.02513</c:v>
                </c:pt>
                <c:pt idx="181">
                  <c:v>0.02546</c:v>
                </c:pt>
                <c:pt idx="182">
                  <c:v>0.02579</c:v>
                </c:pt>
                <c:pt idx="183">
                  <c:v>0.02612</c:v>
                </c:pt>
                <c:pt idx="184">
                  <c:v>0.02645</c:v>
                </c:pt>
                <c:pt idx="185">
                  <c:v>0.02679</c:v>
                </c:pt>
                <c:pt idx="186">
                  <c:v>0.02712</c:v>
                </c:pt>
                <c:pt idx="187">
                  <c:v>0.02746</c:v>
                </c:pt>
                <c:pt idx="188">
                  <c:v>0.0278</c:v>
                </c:pt>
                <c:pt idx="189">
                  <c:v>0.02816</c:v>
                </c:pt>
                <c:pt idx="190">
                  <c:v>0.02852</c:v>
                </c:pt>
                <c:pt idx="191">
                  <c:v>0.02889</c:v>
                </c:pt>
                <c:pt idx="192">
                  <c:v>0.02927</c:v>
                </c:pt>
                <c:pt idx="193">
                  <c:v>0.02967</c:v>
                </c:pt>
                <c:pt idx="194">
                  <c:v>0.03007</c:v>
                </c:pt>
                <c:pt idx="195">
                  <c:v>0.03047</c:v>
                </c:pt>
                <c:pt idx="196">
                  <c:v>0.03088</c:v>
                </c:pt>
                <c:pt idx="197">
                  <c:v>0.0313</c:v>
                </c:pt>
                <c:pt idx="198">
                  <c:v>0.0317</c:v>
                </c:pt>
                <c:pt idx="199">
                  <c:v>0.03211</c:v>
                </c:pt>
                <c:pt idx="200">
                  <c:v>0.03252</c:v>
                </c:pt>
                <c:pt idx="201">
                  <c:v>0.03294</c:v>
                </c:pt>
                <c:pt idx="202">
                  <c:v>0.03336</c:v>
                </c:pt>
                <c:pt idx="203">
                  <c:v>0.03379</c:v>
                </c:pt>
                <c:pt idx="204">
                  <c:v>0.03422</c:v>
                </c:pt>
                <c:pt idx="205">
                  <c:v>0.03466</c:v>
                </c:pt>
                <c:pt idx="206">
                  <c:v>0.03511</c:v>
                </c:pt>
                <c:pt idx="207">
                  <c:v>0.03557</c:v>
                </c:pt>
                <c:pt idx="208">
                  <c:v>0.03604</c:v>
                </c:pt>
                <c:pt idx="209">
                  <c:v>0.03653</c:v>
                </c:pt>
                <c:pt idx="210">
                  <c:v>0.03702</c:v>
                </c:pt>
                <c:pt idx="211">
                  <c:v>0.03753</c:v>
                </c:pt>
                <c:pt idx="212">
                  <c:v>0.03805</c:v>
                </c:pt>
                <c:pt idx="213">
                  <c:v>0.03858</c:v>
                </c:pt>
                <c:pt idx="214">
                  <c:v>0.03913</c:v>
                </c:pt>
                <c:pt idx="215">
                  <c:v>0.03969</c:v>
                </c:pt>
                <c:pt idx="216">
                  <c:v>0.04027</c:v>
                </c:pt>
                <c:pt idx="217">
                  <c:v>0.04086</c:v>
                </c:pt>
                <c:pt idx="218">
                  <c:v>0.04146</c:v>
                </c:pt>
                <c:pt idx="219">
                  <c:v>0.04209</c:v>
                </c:pt>
                <c:pt idx="220">
                  <c:v>0.04273</c:v>
                </c:pt>
                <c:pt idx="221">
                  <c:v>0.04338</c:v>
                </c:pt>
                <c:pt idx="222">
                  <c:v>0.04406</c:v>
                </c:pt>
                <c:pt idx="223">
                  <c:v>0.04476</c:v>
                </c:pt>
                <c:pt idx="224">
                  <c:v>0.04547</c:v>
                </c:pt>
                <c:pt idx="225">
                  <c:v>0.04621</c:v>
                </c:pt>
                <c:pt idx="226">
                  <c:v>0.04699</c:v>
                </c:pt>
                <c:pt idx="227">
                  <c:v>0.04778</c:v>
                </c:pt>
                <c:pt idx="228">
                  <c:v>0.04861</c:v>
                </c:pt>
                <c:pt idx="229">
                  <c:v>0.04946</c:v>
                </c:pt>
                <c:pt idx="230">
                  <c:v>0.05033</c:v>
                </c:pt>
                <c:pt idx="231">
                  <c:v>0.05126</c:v>
                </c:pt>
                <c:pt idx="232">
                  <c:v>0.05221</c:v>
                </c:pt>
                <c:pt idx="233">
                  <c:v>0.0532</c:v>
                </c:pt>
                <c:pt idx="234">
                  <c:v>0.05423</c:v>
                </c:pt>
                <c:pt idx="235">
                  <c:v>0.05531</c:v>
                </c:pt>
                <c:pt idx="236">
                  <c:v>0.05644</c:v>
                </c:pt>
                <c:pt idx="237">
                  <c:v>0.0576</c:v>
                </c:pt>
                <c:pt idx="238">
                  <c:v>0.05878</c:v>
                </c:pt>
                <c:pt idx="239">
                  <c:v>0.06003</c:v>
                </c:pt>
                <c:pt idx="240">
                  <c:v>0.06131</c:v>
                </c:pt>
                <c:pt idx="241">
                  <c:v>0.06265</c:v>
                </c:pt>
                <c:pt idx="242">
                  <c:v>0.064</c:v>
                </c:pt>
                <c:pt idx="243">
                  <c:v>0.06545</c:v>
                </c:pt>
                <c:pt idx="244">
                  <c:v>0.06699</c:v>
                </c:pt>
                <c:pt idx="245">
                  <c:v>0.06861</c:v>
                </c:pt>
                <c:pt idx="246">
                  <c:v>0.07028</c:v>
                </c:pt>
                <c:pt idx="247">
                  <c:v>0.07203</c:v>
                </c:pt>
                <c:pt idx="248">
                  <c:v>0.07386</c:v>
                </c:pt>
                <c:pt idx="249">
                  <c:v>0.07579</c:v>
                </c:pt>
                <c:pt idx="250">
                  <c:v>0.07779</c:v>
                </c:pt>
                <c:pt idx="251">
                  <c:v>0.07995</c:v>
                </c:pt>
                <c:pt idx="252">
                  <c:v>0.08222</c:v>
                </c:pt>
                <c:pt idx="253">
                  <c:v>0.08461</c:v>
                </c:pt>
                <c:pt idx="254">
                  <c:v>0.08708</c:v>
                </c:pt>
                <c:pt idx="255">
                  <c:v>0.08963</c:v>
                </c:pt>
                <c:pt idx="256">
                  <c:v>0.09229</c:v>
                </c:pt>
                <c:pt idx="257">
                  <c:v>0.0951</c:v>
                </c:pt>
                <c:pt idx="258">
                  <c:v>0.09806</c:v>
                </c:pt>
                <c:pt idx="259">
                  <c:v>0.1012</c:v>
                </c:pt>
                <c:pt idx="260">
                  <c:v>0.1045</c:v>
                </c:pt>
                <c:pt idx="261">
                  <c:v>0.1081</c:v>
                </c:pt>
                <c:pt idx="262">
                  <c:v>0.1118</c:v>
                </c:pt>
                <c:pt idx="263">
                  <c:v>0.1157</c:v>
                </c:pt>
                <c:pt idx="264">
                  <c:v>0.12</c:v>
                </c:pt>
                <c:pt idx="265">
                  <c:v>0.1244</c:v>
                </c:pt>
                <c:pt idx="266">
                  <c:v>0.1292</c:v>
                </c:pt>
                <c:pt idx="267">
                  <c:v>0.1343</c:v>
                </c:pt>
                <c:pt idx="268">
                  <c:v>0.1396</c:v>
                </c:pt>
                <c:pt idx="269">
                  <c:v>0.1453</c:v>
                </c:pt>
                <c:pt idx="270">
                  <c:v>0.1512</c:v>
                </c:pt>
                <c:pt idx="271">
                  <c:v>0.1577</c:v>
                </c:pt>
                <c:pt idx="272">
                  <c:v>0.1646</c:v>
                </c:pt>
                <c:pt idx="273">
                  <c:v>0.1718</c:v>
                </c:pt>
                <c:pt idx="274">
                  <c:v>0.1795</c:v>
                </c:pt>
                <c:pt idx="275">
                  <c:v>0.1877</c:v>
                </c:pt>
                <c:pt idx="276">
                  <c:v>0.1966</c:v>
                </c:pt>
                <c:pt idx="277">
                  <c:v>0.2061</c:v>
                </c:pt>
                <c:pt idx="278">
                  <c:v>0.2163</c:v>
                </c:pt>
                <c:pt idx="279">
                  <c:v>0.2277</c:v>
                </c:pt>
                <c:pt idx="280">
                  <c:v>0.2401</c:v>
                </c:pt>
                <c:pt idx="281">
                  <c:v>0.2539</c:v>
                </c:pt>
                <c:pt idx="282">
                  <c:v>0.2689</c:v>
                </c:pt>
                <c:pt idx="283">
                  <c:v>0.2855</c:v>
                </c:pt>
                <c:pt idx="284">
                  <c:v>0.3044</c:v>
                </c:pt>
                <c:pt idx="285">
                  <c:v>0.3256</c:v>
                </c:pt>
                <c:pt idx="286">
                  <c:v>0.3495</c:v>
                </c:pt>
                <c:pt idx="287">
                  <c:v>0.3767</c:v>
                </c:pt>
                <c:pt idx="288">
                  <c:v>0.4075</c:v>
                </c:pt>
                <c:pt idx="289">
                  <c:v>0.4428</c:v>
                </c:pt>
                <c:pt idx="290">
                  <c:v>0.4833</c:v>
                </c:pt>
                <c:pt idx="291">
                  <c:v>0.5298</c:v>
                </c:pt>
                <c:pt idx="292">
                  <c:v>0.5832</c:v>
                </c:pt>
                <c:pt idx="293">
                  <c:v>0.6446</c:v>
                </c:pt>
                <c:pt idx="294">
                  <c:v>0.7154</c:v>
                </c:pt>
                <c:pt idx="295">
                  <c:v>0.7968</c:v>
                </c:pt>
                <c:pt idx="296">
                  <c:v>0.8898</c:v>
                </c:pt>
                <c:pt idx="297">
                  <c:v>0.9955</c:v>
                </c:pt>
                <c:pt idx="298">
                  <c:v>1.115</c:v>
                </c:pt>
                <c:pt idx="299">
                  <c:v>1.249</c:v>
                </c:pt>
                <c:pt idx="300">
                  <c:v>1.398</c:v>
                </c:pt>
                <c:pt idx="301">
                  <c:v>1.561</c:v>
                </c:pt>
                <c:pt idx="302">
                  <c:v>1.738</c:v>
                </c:pt>
                <c:pt idx="303">
                  <c:v>1.927</c:v>
                </c:pt>
                <c:pt idx="304">
                  <c:v>2.126</c:v>
                </c:pt>
                <c:pt idx="305">
                  <c:v>2.333</c:v>
                </c:pt>
                <c:pt idx="306">
                  <c:v>2.547</c:v>
                </c:pt>
                <c:pt idx="307">
                  <c:v>2.766</c:v>
                </c:pt>
                <c:pt idx="308">
                  <c:v>2.986</c:v>
                </c:pt>
                <c:pt idx="309">
                  <c:v>3.203</c:v>
                </c:pt>
                <c:pt idx="310">
                  <c:v>3.418</c:v>
                </c:pt>
                <c:pt idx="311">
                  <c:v>3.63</c:v>
                </c:pt>
                <c:pt idx="312">
                  <c:v>3.838</c:v>
                </c:pt>
                <c:pt idx="313">
                  <c:v>4.043</c:v>
                </c:pt>
                <c:pt idx="314">
                  <c:v>4.246</c:v>
                </c:pt>
                <c:pt idx="315">
                  <c:v>4.444</c:v>
                </c:pt>
                <c:pt idx="316">
                  <c:v>4.639</c:v>
                </c:pt>
                <c:pt idx="317">
                  <c:v>4.833</c:v>
                </c:pt>
                <c:pt idx="318">
                  <c:v>5.03</c:v>
                </c:pt>
                <c:pt idx="319">
                  <c:v>5.23</c:v>
                </c:pt>
                <c:pt idx="320">
                  <c:v>5.438</c:v>
                </c:pt>
                <c:pt idx="321">
                  <c:v>5.652999999999976</c:v>
                </c:pt>
                <c:pt idx="322">
                  <c:v>5.87</c:v>
                </c:pt>
                <c:pt idx="323">
                  <c:v>6.088</c:v>
                </c:pt>
                <c:pt idx="324">
                  <c:v>6.303999999999998</c:v>
                </c:pt>
                <c:pt idx="325">
                  <c:v>6.517999999999986</c:v>
                </c:pt>
                <c:pt idx="326">
                  <c:v>6.733</c:v>
                </c:pt>
                <c:pt idx="327">
                  <c:v>6.945</c:v>
                </c:pt>
                <c:pt idx="328">
                  <c:v>7.154999999999966</c:v>
                </c:pt>
                <c:pt idx="329">
                  <c:v>7.357999999999977</c:v>
                </c:pt>
                <c:pt idx="330">
                  <c:v>7.565999999999987</c:v>
                </c:pt>
                <c:pt idx="331">
                  <c:v>7.775</c:v>
                </c:pt>
                <c:pt idx="332">
                  <c:v>7.977</c:v>
                </c:pt>
                <c:pt idx="333">
                  <c:v>8.184000000000001</c:v>
                </c:pt>
                <c:pt idx="334">
                  <c:v>8.395</c:v>
                </c:pt>
                <c:pt idx="335">
                  <c:v>8.609</c:v>
                </c:pt>
                <c:pt idx="336">
                  <c:v>8.82</c:v>
                </c:pt>
                <c:pt idx="337">
                  <c:v>9.027000000000001</c:v>
                </c:pt>
                <c:pt idx="338">
                  <c:v>9.236000000000001</c:v>
                </c:pt>
                <c:pt idx="339">
                  <c:v>9.438000000000001</c:v>
                </c:pt>
                <c:pt idx="340">
                  <c:v>9.636999999999998</c:v>
                </c:pt>
                <c:pt idx="341">
                  <c:v>9.83</c:v>
                </c:pt>
                <c:pt idx="342">
                  <c:v>10.05</c:v>
                </c:pt>
                <c:pt idx="343">
                  <c:v>10.23</c:v>
                </c:pt>
                <c:pt idx="344">
                  <c:v>10.4</c:v>
                </c:pt>
                <c:pt idx="345">
                  <c:v>10.57</c:v>
                </c:pt>
                <c:pt idx="346">
                  <c:v>10.76</c:v>
                </c:pt>
              </c:numCache>
            </c:numRef>
          </c:xVal>
          <c:yVal>
            <c:numRef>
              <c:f>'0DCS-ex2'!$D$5:$D$351</c:f>
              <c:numCache>
                <c:formatCode>General</c:formatCode>
                <c:ptCount val="347"/>
                <c:pt idx="0">
                  <c:v>0.0266</c:v>
                </c:pt>
                <c:pt idx="1">
                  <c:v>0.0266</c:v>
                </c:pt>
                <c:pt idx="2">
                  <c:v>0.0266</c:v>
                </c:pt>
                <c:pt idx="3">
                  <c:v>0.0266</c:v>
                </c:pt>
                <c:pt idx="4">
                  <c:v>0.0266</c:v>
                </c:pt>
                <c:pt idx="5">
                  <c:v>0.0266</c:v>
                </c:pt>
                <c:pt idx="6">
                  <c:v>0.0266</c:v>
                </c:pt>
                <c:pt idx="7">
                  <c:v>0.0266</c:v>
                </c:pt>
                <c:pt idx="8">
                  <c:v>0.0266</c:v>
                </c:pt>
                <c:pt idx="9">
                  <c:v>0.0266</c:v>
                </c:pt>
                <c:pt idx="10">
                  <c:v>0.0266</c:v>
                </c:pt>
                <c:pt idx="11">
                  <c:v>0.0266</c:v>
                </c:pt>
                <c:pt idx="12">
                  <c:v>0.0266</c:v>
                </c:pt>
                <c:pt idx="13">
                  <c:v>0.0266</c:v>
                </c:pt>
                <c:pt idx="14">
                  <c:v>0.0266</c:v>
                </c:pt>
                <c:pt idx="15">
                  <c:v>0.0266</c:v>
                </c:pt>
                <c:pt idx="16">
                  <c:v>0.0266</c:v>
                </c:pt>
                <c:pt idx="17">
                  <c:v>0.0266</c:v>
                </c:pt>
                <c:pt idx="18">
                  <c:v>0.0266</c:v>
                </c:pt>
                <c:pt idx="19">
                  <c:v>0.0266</c:v>
                </c:pt>
                <c:pt idx="20">
                  <c:v>0.0266</c:v>
                </c:pt>
                <c:pt idx="21">
                  <c:v>0.0266</c:v>
                </c:pt>
                <c:pt idx="22">
                  <c:v>0.0266</c:v>
                </c:pt>
                <c:pt idx="23">
                  <c:v>0.0266</c:v>
                </c:pt>
                <c:pt idx="24">
                  <c:v>0.0266</c:v>
                </c:pt>
                <c:pt idx="25">
                  <c:v>0.0266</c:v>
                </c:pt>
                <c:pt idx="26">
                  <c:v>0.0266</c:v>
                </c:pt>
                <c:pt idx="27">
                  <c:v>0.0266</c:v>
                </c:pt>
                <c:pt idx="28">
                  <c:v>0.0266</c:v>
                </c:pt>
                <c:pt idx="29">
                  <c:v>0.0266</c:v>
                </c:pt>
                <c:pt idx="30">
                  <c:v>0.0266</c:v>
                </c:pt>
                <c:pt idx="31">
                  <c:v>0.0266</c:v>
                </c:pt>
                <c:pt idx="32">
                  <c:v>0.0266</c:v>
                </c:pt>
                <c:pt idx="33">
                  <c:v>0.0266</c:v>
                </c:pt>
                <c:pt idx="34">
                  <c:v>0.0266</c:v>
                </c:pt>
                <c:pt idx="35">
                  <c:v>0.0266</c:v>
                </c:pt>
                <c:pt idx="36">
                  <c:v>0.0266</c:v>
                </c:pt>
                <c:pt idx="37">
                  <c:v>0.0266</c:v>
                </c:pt>
                <c:pt idx="38">
                  <c:v>0.0266</c:v>
                </c:pt>
                <c:pt idx="39">
                  <c:v>0.0266</c:v>
                </c:pt>
                <c:pt idx="40">
                  <c:v>0.0266</c:v>
                </c:pt>
                <c:pt idx="41">
                  <c:v>0.0266</c:v>
                </c:pt>
                <c:pt idx="42">
                  <c:v>0.0266</c:v>
                </c:pt>
                <c:pt idx="43">
                  <c:v>0.0266</c:v>
                </c:pt>
                <c:pt idx="44">
                  <c:v>0.0266</c:v>
                </c:pt>
                <c:pt idx="45">
                  <c:v>0.0266</c:v>
                </c:pt>
                <c:pt idx="46">
                  <c:v>0.0266</c:v>
                </c:pt>
                <c:pt idx="47">
                  <c:v>0.0266</c:v>
                </c:pt>
                <c:pt idx="48">
                  <c:v>0.0266</c:v>
                </c:pt>
                <c:pt idx="49">
                  <c:v>0.0266</c:v>
                </c:pt>
                <c:pt idx="50">
                  <c:v>0.0266</c:v>
                </c:pt>
                <c:pt idx="51">
                  <c:v>0.0266</c:v>
                </c:pt>
                <c:pt idx="52">
                  <c:v>0.0266</c:v>
                </c:pt>
                <c:pt idx="53">
                  <c:v>0.0266</c:v>
                </c:pt>
                <c:pt idx="54">
                  <c:v>0.0266</c:v>
                </c:pt>
                <c:pt idx="55">
                  <c:v>0.0266</c:v>
                </c:pt>
                <c:pt idx="56">
                  <c:v>0.0266</c:v>
                </c:pt>
                <c:pt idx="57">
                  <c:v>0.0266</c:v>
                </c:pt>
                <c:pt idx="58">
                  <c:v>0.0266</c:v>
                </c:pt>
                <c:pt idx="59">
                  <c:v>0.0266</c:v>
                </c:pt>
                <c:pt idx="60">
                  <c:v>0.0266</c:v>
                </c:pt>
                <c:pt idx="61">
                  <c:v>0.0266</c:v>
                </c:pt>
                <c:pt idx="62">
                  <c:v>0.0266</c:v>
                </c:pt>
                <c:pt idx="63">
                  <c:v>0.0266</c:v>
                </c:pt>
                <c:pt idx="64">
                  <c:v>0.0266</c:v>
                </c:pt>
                <c:pt idx="65">
                  <c:v>0.0266</c:v>
                </c:pt>
                <c:pt idx="66">
                  <c:v>0.0266</c:v>
                </c:pt>
                <c:pt idx="67">
                  <c:v>0.0266</c:v>
                </c:pt>
                <c:pt idx="68">
                  <c:v>0.0266</c:v>
                </c:pt>
                <c:pt idx="69">
                  <c:v>0.0266</c:v>
                </c:pt>
                <c:pt idx="70">
                  <c:v>0.0266</c:v>
                </c:pt>
                <c:pt idx="71">
                  <c:v>0.0266</c:v>
                </c:pt>
                <c:pt idx="72">
                  <c:v>0.0266</c:v>
                </c:pt>
                <c:pt idx="73">
                  <c:v>0.0266</c:v>
                </c:pt>
                <c:pt idx="74">
                  <c:v>0.0266</c:v>
                </c:pt>
                <c:pt idx="75">
                  <c:v>0.0266</c:v>
                </c:pt>
                <c:pt idx="76">
                  <c:v>0.0266</c:v>
                </c:pt>
                <c:pt idx="77">
                  <c:v>0.0266</c:v>
                </c:pt>
                <c:pt idx="78">
                  <c:v>0.0266</c:v>
                </c:pt>
                <c:pt idx="79">
                  <c:v>0.0266</c:v>
                </c:pt>
                <c:pt idx="80">
                  <c:v>0.0266</c:v>
                </c:pt>
                <c:pt idx="81">
                  <c:v>0.0266</c:v>
                </c:pt>
                <c:pt idx="82">
                  <c:v>0.0266</c:v>
                </c:pt>
                <c:pt idx="83">
                  <c:v>0.0266</c:v>
                </c:pt>
                <c:pt idx="84">
                  <c:v>0.0266</c:v>
                </c:pt>
                <c:pt idx="85">
                  <c:v>0.0266</c:v>
                </c:pt>
                <c:pt idx="86">
                  <c:v>0.0266</c:v>
                </c:pt>
                <c:pt idx="87">
                  <c:v>0.0266</c:v>
                </c:pt>
                <c:pt idx="88">
                  <c:v>0.0266</c:v>
                </c:pt>
                <c:pt idx="89">
                  <c:v>0.0266</c:v>
                </c:pt>
                <c:pt idx="90">
                  <c:v>0.0266</c:v>
                </c:pt>
                <c:pt idx="91">
                  <c:v>0.0266</c:v>
                </c:pt>
                <c:pt idx="92">
                  <c:v>0.0266</c:v>
                </c:pt>
                <c:pt idx="93">
                  <c:v>0.0266</c:v>
                </c:pt>
                <c:pt idx="94">
                  <c:v>0.0266</c:v>
                </c:pt>
                <c:pt idx="95">
                  <c:v>0.0266</c:v>
                </c:pt>
                <c:pt idx="96">
                  <c:v>0.0266</c:v>
                </c:pt>
                <c:pt idx="97">
                  <c:v>0.0266</c:v>
                </c:pt>
                <c:pt idx="98">
                  <c:v>0.0266</c:v>
                </c:pt>
                <c:pt idx="99">
                  <c:v>0.0266</c:v>
                </c:pt>
                <c:pt idx="100">
                  <c:v>0.0266</c:v>
                </c:pt>
                <c:pt idx="101">
                  <c:v>0.0266</c:v>
                </c:pt>
                <c:pt idx="102">
                  <c:v>0.0266</c:v>
                </c:pt>
                <c:pt idx="103">
                  <c:v>0.0266</c:v>
                </c:pt>
                <c:pt idx="104">
                  <c:v>0.0266</c:v>
                </c:pt>
                <c:pt idx="105">
                  <c:v>0.0266</c:v>
                </c:pt>
                <c:pt idx="106">
                  <c:v>0.0266</c:v>
                </c:pt>
                <c:pt idx="107">
                  <c:v>0.0266</c:v>
                </c:pt>
                <c:pt idx="108">
                  <c:v>0.0266</c:v>
                </c:pt>
                <c:pt idx="109">
                  <c:v>0.0266</c:v>
                </c:pt>
                <c:pt idx="110">
                  <c:v>0.0266</c:v>
                </c:pt>
                <c:pt idx="111">
                  <c:v>0.0266</c:v>
                </c:pt>
                <c:pt idx="112">
                  <c:v>0.0266</c:v>
                </c:pt>
                <c:pt idx="113">
                  <c:v>0.0266</c:v>
                </c:pt>
                <c:pt idx="114">
                  <c:v>0.0266</c:v>
                </c:pt>
                <c:pt idx="115">
                  <c:v>0.0266</c:v>
                </c:pt>
                <c:pt idx="116">
                  <c:v>0.0266</c:v>
                </c:pt>
                <c:pt idx="117">
                  <c:v>0.0266</c:v>
                </c:pt>
                <c:pt idx="118">
                  <c:v>0.0266</c:v>
                </c:pt>
                <c:pt idx="119">
                  <c:v>0.0266</c:v>
                </c:pt>
                <c:pt idx="120">
                  <c:v>0.0266</c:v>
                </c:pt>
                <c:pt idx="121">
                  <c:v>0.0266</c:v>
                </c:pt>
                <c:pt idx="122">
                  <c:v>0.0266</c:v>
                </c:pt>
                <c:pt idx="123">
                  <c:v>0.0266</c:v>
                </c:pt>
                <c:pt idx="124">
                  <c:v>0.0266</c:v>
                </c:pt>
                <c:pt idx="125">
                  <c:v>0.0266</c:v>
                </c:pt>
                <c:pt idx="126">
                  <c:v>0.0266</c:v>
                </c:pt>
                <c:pt idx="127">
                  <c:v>0.0266</c:v>
                </c:pt>
                <c:pt idx="128">
                  <c:v>0.0266</c:v>
                </c:pt>
                <c:pt idx="129">
                  <c:v>0.0266</c:v>
                </c:pt>
                <c:pt idx="130">
                  <c:v>0.0266</c:v>
                </c:pt>
                <c:pt idx="131">
                  <c:v>0.0266</c:v>
                </c:pt>
                <c:pt idx="132">
                  <c:v>0.0266</c:v>
                </c:pt>
                <c:pt idx="133">
                  <c:v>0.0266</c:v>
                </c:pt>
                <c:pt idx="134">
                  <c:v>0.0266</c:v>
                </c:pt>
                <c:pt idx="135">
                  <c:v>0.0266</c:v>
                </c:pt>
                <c:pt idx="136">
                  <c:v>0.0266</c:v>
                </c:pt>
                <c:pt idx="137">
                  <c:v>0.0266</c:v>
                </c:pt>
                <c:pt idx="138">
                  <c:v>0.0266</c:v>
                </c:pt>
                <c:pt idx="139">
                  <c:v>0.0266</c:v>
                </c:pt>
                <c:pt idx="140">
                  <c:v>0.0266</c:v>
                </c:pt>
                <c:pt idx="141">
                  <c:v>0.0266</c:v>
                </c:pt>
                <c:pt idx="142">
                  <c:v>0.0266</c:v>
                </c:pt>
                <c:pt idx="143">
                  <c:v>0.0266</c:v>
                </c:pt>
                <c:pt idx="144">
                  <c:v>0.0266</c:v>
                </c:pt>
                <c:pt idx="145">
                  <c:v>0.0266</c:v>
                </c:pt>
                <c:pt idx="146">
                  <c:v>0.0266</c:v>
                </c:pt>
                <c:pt idx="147">
                  <c:v>0.0266</c:v>
                </c:pt>
                <c:pt idx="148">
                  <c:v>0.0266</c:v>
                </c:pt>
                <c:pt idx="149">
                  <c:v>0.0266</c:v>
                </c:pt>
                <c:pt idx="150">
                  <c:v>0.0266</c:v>
                </c:pt>
                <c:pt idx="151">
                  <c:v>0.0266</c:v>
                </c:pt>
                <c:pt idx="152">
                  <c:v>0.0266</c:v>
                </c:pt>
                <c:pt idx="153">
                  <c:v>0.0266</c:v>
                </c:pt>
                <c:pt idx="154">
                  <c:v>0.0266</c:v>
                </c:pt>
                <c:pt idx="155">
                  <c:v>0.0266</c:v>
                </c:pt>
                <c:pt idx="156">
                  <c:v>0.0266</c:v>
                </c:pt>
                <c:pt idx="157">
                  <c:v>0.0266</c:v>
                </c:pt>
                <c:pt idx="158">
                  <c:v>0.0266</c:v>
                </c:pt>
                <c:pt idx="159">
                  <c:v>0.0266</c:v>
                </c:pt>
                <c:pt idx="160">
                  <c:v>0.0266</c:v>
                </c:pt>
                <c:pt idx="161">
                  <c:v>0.0266</c:v>
                </c:pt>
                <c:pt idx="162">
                  <c:v>0.0266</c:v>
                </c:pt>
                <c:pt idx="163">
                  <c:v>0.0266</c:v>
                </c:pt>
                <c:pt idx="164">
                  <c:v>0.0266</c:v>
                </c:pt>
                <c:pt idx="165">
                  <c:v>0.0266</c:v>
                </c:pt>
                <c:pt idx="166">
                  <c:v>0.0266</c:v>
                </c:pt>
                <c:pt idx="167">
                  <c:v>0.0266</c:v>
                </c:pt>
                <c:pt idx="168">
                  <c:v>0.0266</c:v>
                </c:pt>
                <c:pt idx="169">
                  <c:v>0.0266</c:v>
                </c:pt>
                <c:pt idx="170">
                  <c:v>0.0266</c:v>
                </c:pt>
                <c:pt idx="171">
                  <c:v>0.0266</c:v>
                </c:pt>
                <c:pt idx="172">
                  <c:v>0.0266</c:v>
                </c:pt>
                <c:pt idx="173">
                  <c:v>0.0266</c:v>
                </c:pt>
                <c:pt idx="174">
                  <c:v>0.0266</c:v>
                </c:pt>
                <c:pt idx="175">
                  <c:v>0.0266</c:v>
                </c:pt>
                <c:pt idx="176">
                  <c:v>0.0266</c:v>
                </c:pt>
                <c:pt idx="177">
                  <c:v>0.0266</c:v>
                </c:pt>
                <c:pt idx="178">
                  <c:v>0.0266</c:v>
                </c:pt>
                <c:pt idx="179">
                  <c:v>0.0266</c:v>
                </c:pt>
                <c:pt idx="180">
                  <c:v>0.0266</c:v>
                </c:pt>
                <c:pt idx="181">
                  <c:v>0.0266</c:v>
                </c:pt>
                <c:pt idx="182">
                  <c:v>0.0266</c:v>
                </c:pt>
                <c:pt idx="183">
                  <c:v>0.0266</c:v>
                </c:pt>
                <c:pt idx="184">
                  <c:v>0.0266</c:v>
                </c:pt>
                <c:pt idx="185">
                  <c:v>0.0266</c:v>
                </c:pt>
                <c:pt idx="186">
                  <c:v>0.0266</c:v>
                </c:pt>
                <c:pt idx="187">
                  <c:v>0.0266</c:v>
                </c:pt>
                <c:pt idx="188">
                  <c:v>0.0266</c:v>
                </c:pt>
                <c:pt idx="189">
                  <c:v>0.0266</c:v>
                </c:pt>
                <c:pt idx="190">
                  <c:v>0.0266</c:v>
                </c:pt>
                <c:pt idx="191">
                  <c:v>0.0266</c:v>
                </c:pt>
                <c:pt idx="192">
                  <c:v>0.0266</c:v>
                </c:pt>
                <c:pt idx="193">
                  <c:v>0.0266</c:v>
                </c:pt>
                <c:pt idx="194">
                  <c:v>0.0266</c:v>
                </c:pt>
                <c:pt idx="195">
                  <c:v>0.0266</c:v>
                </c:pt>
                <c:pt idx="196">
                  <c:v>0.0266</c:v>
                </c:pt>
                <c:pt idx="197">
                  <c:v>0.0266</c:v>
                </c:pt>
                <c:pt idx="198">
                  <c:v>0.0266</c:v>
                </c:pt>
                <c:pt idx="199">
                  <c:v>0.0266</c:v>
                </c:pt>
                <c:pt idx="200">
                  <c:v>0.0266</c:v>
                </c:pt>
                <c:pt idx="201">
                  <c:v>0.0266</c:v>
                </c:pt>
                <c:pt idx="202">
                  <c:v>0.0266</c:v>
                </c:pt>
                <c:pt idx="203">
                  <c:v>0.0266</c:v>
                </c:pt>
                <c:pt idx="204">
                  <c:v>0.0266</c:v>
                </c:pt>
                <c:pt idx="205">
                  <c:v>0.0266</c:v>
                </c:pt>
                <c:pt idx="206">
                  <c:v>0.0266</c:v>
                </c:pt>
                <c:pt idx="207">
                  <c:v>0.0266</c:v>
                </c:pt>
                <c:pt idx="208">
                  <c:v>0.0266</c:v>
                </c:pt>
                <c:pt idx="209">
                  <c:v>0.0266</c:v>
                </c:pt>
                <c:pt idx="210">
                  <c:v>0.0266</c:v>
                </c:pt>
                <c:pt idx="211">
                  <c:v>0.0266</c:v>
                </c:pt>
                <c:pt idx="212">
                  <c:v>0.0266</c:v>
                </c:pt>
                <c:pt idx="213">
                  <c:v>0.0266</c:v>
                </c:pt>
                <c:pt idx="214">
                  <c:v>0.0266</c:v>
                </c:pt>
                <c:pt idx="215">
                  <c:v>0.0266</c:v>
                </c:pt>
                <c:pt idx="216">
                  <c:v>0.0266</c:v>
                </c:pt>
                <c:pt idx="217">
                  <c:v>0.0266</c:v>
                </c:pt>
                <c:pt idx="218">
                  <c:v>0.0266</c:v>
                </c:pt>
                <c:pt idx="219">
                  <c:v>0.0266</c:v>
                </c:pt>
                <c:pt idx="220">
                  <c:v>0.0266</c:v>
                </c:pt>
                <c:pt idx="221">
                  <c:v>0.0266</c:v>
                </c:pt>
                <c:pt idx="222">
                  <c:v>0.0266</c:v>
                </c:pt>
                <c:pt idx="223">
                  <c:v>0.0266</c:v>
                </c:pt>
                <c:pt idx="224">
                  <c:v>0.0266</c:v>
                </c:pt>
                <c:pt idx="225">
                  <c:v>0.0266</c:v>
                </c:pt>
                <c:pt idx="226">
                  <c:v>0.0266</c:v>
                </c:pt>
                <c:pt idx="227">
                  <c:v>0.0266</c:v>
                </c:pt>
                <c:pt idx="228">
                  <c:v>0.0266</c:v>
                </c:pt>
                <c:pt idx="229">
                  <c:v>0.0266</c:v>
                </c:pt>
                <c:pt idx="230">
                  <c:v>0.0266</c:v>
                </c:pt>
                <c:pt idx="231">
                  <c:v>0.0266</c:v>
                </c:pt>
                <c:pt idx="232">
                  <c:v>0.0266</c:v>
                </c:pt>
                <c:pt idx="233">
                  <c:v>0.0266</c:v>
                </c:pt>
                <c:pt idx="234">
                  <c:v>0.0266</c:v>
                </c:pt>
                <c:pt idx="235">
                  <c:v>0.0266</c:v>
                </c:pt>
                <c:pt idx="236">
                  <c:v>0.0266</c:v>
                </c:pt>
                <c:pt idx="237">
                  <c:v>0.0266</c:v>
                </c:pt>
                <c:pt idx="238">
                  <c:v>0.0266</c:v>
                </c:pt>
                <c:pt idx="239">
                  <c:v>0.0266</c:v>
                </c:pt>
                <c:pt idx="240">
                  <c:v>0.0266</c:v>
                </c:pt>
                <c:pt idx="241">
                  <c:v>0.0266</c:v>
                </c:pt>
                <c:pt idx="242">
                  <c:v>0.0266</c:v>
                </c:pt>
                <c:pt idx="243">
                  <c:v>0.0265</c:v>
                </c:pt>
                <c:pt idx="244">
                  <c:v>0.0265</c:v>
                </c:pt>
                <c:pt idx="245">
                  <c:v>0.0264</c:v>
                </c:pt>
                <c:pt idx="246">
                  <c:v>0.0263</c:v>
                </c:pt>
                <c:pt idx="247">
                  <c:v>0.0261</c:v>
                </c:pt>
                <c:pt idx="248">
                  <c:v>0.026</c:v>
                </c:pt>
                <c:pt idx="249">
                  <c:v>0.0258</c:v>
                </c:pt>
                <c:pt idx="250">
                  <c:v>0.0256</c:v>
                </c:pt>
                <c:pt idx="251">
                  <c:v>0.0254</c:v>
                </c:pt>
                <c:pt idx="252">
                  <c:v>0.0252</c:v>
                </c:pt>
                <c:pt idx="253">
                  <c:v>0.0249</c:v>
                </c:pt>
                <c:pt idx="254">
                  <c:v>0.0247</c:v>
                </c:pt>
                <c:pt idx="255">
                  <c:v>0.0244</c:v>
                </c:pt>
                <c:pt idx="256">
                  <c:v>0.0241</c:v>
                </c:pt>
                <c:pt idx="257">
                  <c:v>0.0239</c:v>
                </c:pt>
                <c:pt idx="258">
                  <c:v>0.0237</c:v>
                </c:pt>
                <c:pt idx="259">
                  <c:v>0.0234</c:v>
                </c:pt>
                <c:pt idx="260">
                  <c:v>0.0231</c:v>
                </c:pt>
                <c:pt idx="261">
                  <c:v>0.0228</c:v>
                </c:pt>
                <c:pt idx="262">
                  <c:v>0.0224</c:v>
                </c:pt>
                <c:pt idx="263">
                  <c:v>0.0221</c:v>
                </c:pt>
                <c:pt idx="264">
                  <c:v>0.0217</c:v>
                </c:pt>
                <c:pt idx="265">
                  <c:v>0.0213</c:v>
                </c:pt>
                <c:pt idx="266">
                  <c:v>0.0209</c:v>
                </c:pt>
                <c:pt idx="267">
                  <c:v>0.0205</c:v>
                </c:pt>
                <c:pt idx="268">
                  <c:v>0.0201</c:v>
                </c:pt>
                <c:pt idx="269">
                  <c:v>0.0196</c:v>
                </c:pt>
                <c:pt idx="270">
                  <c:v>0.0192</c:v>
                </c:pt>
                <c:pt idx="271">
                  <c:v>0.0187</c:v>
                </c:pt>
                <c:pt idx="272">
                  <c:v>0.0183</c:v>
                </c:pt>
                <c:pt idx="273">
                  <c:v>0.0178</c:v>
                </c:pt>
                <c:pt idx="274">
                  <c:v>0.0175</c:v>
                </c:pt>
                <c:pt idx="275">
                  <c:v>0.0171</c:v>
                </c:pt>
                <c:pt idx="276">
                  <c:v>0.0167</c:v>
                </c:pt>
                <c:pt idx="277">
                  <c:v>0.0163</c:v>
                </c:pt>
                <c:pt idx="278">
                  <c:v>0.0159</c:v>
                </c:pt>
                <c:pt idx="279">
                  <c:v>0.0155</c:v>
                </c:pt>
                <c:pt idx="280">
                  <c:v>0.0152</c:v>
                </c:pt>
                <c:pt idx="281">
                  <c:v>0.0148</c:v>
                </c:pt>
                <c:pt idx="282">
                  <c:v>0.0144</c:v>
                </c:pt>
                <c:pt idx="283">
                  <c:v>0.014</c:v>
                </c:pt>
                <c:pt idx="284">
                  <c:v>0.0136</c:v>
                </c:pt>
                <c:pt idx="285">
                  <c:v>0.0131</c:v>
                </c:pt>
                <c:pt idx="286">
                  <c:v>0.0126</c:v>
                </c:pt>
                <c:pt idx="287">
                  <c:v>0.0121</c:v>
                </c:pt>
                <c:pt idx="288">
                  <c:v>0.0116</c:v>
                </c:pt>
                <c:pt idx="289">
                  <c:v>0.011</c:v>
                </c:pt>
                <c:pt idx="290">
                  <c:v>0.0105</c:v>
                </c:pt>
                <c:pt idx="291">
                  <c:v>0.0099</c:v>
                </c:pt>
                <c:pt idx="292">
                  <c:v>0.0094</c:v>
                </c:pt>
                <c:pt idx="293">
                  <c:v>0.009</c:v>
                </c:pt>
                <c:pt idx="294">
                  <c:v>0.0086</c:v>
                </c:pt>
                <c:pt idx="295">
                  <c:v>0.0082</c:v>
                </c:pt>
                <c:pt idx="296">
                  <c:v>0.0078</c:v>
                </c:pt>
                <c:pt idx="297">
                  <c:v>0.0075</c:v>
                </c:pt>
                <c:pt idx="298">
                  <c:v>0.0073</c:v>
                </c:pt>
                <c:pt idx="299">
                  <c:v>0.0071</c:v>
                </c:pt>
                <c:pt idx="300">
                  <c:v>0.007</c:v>
                </c:pt>
                <c:pt idx="301">
                  <c:v>0.0068</c:v>
                </c:pt>
                <c:pt idx="302">
                  <c:v>0.0067</c:v>
                </c:pt>
                <c:pt idx="303">
                  <c:v>0.0066</c:v>
                </c:pt>
                <c:pt idx="304">
                  <c:v>0.0064</c:v>
                </c:pt>
                <c:pt idx="305">
                  <c:v>0.0063</c:v>
                </c:pt>
                <c:pt idx="306">
                  <c:v>0.0062</c:v>
                </c:pt>
                <c:pt idx="307">
                  <c:v>0.0061</c:v>
                </c:pt>
                <c:pt idx="308">
                  <c:v>0.006</c:v>
                </c:pt>
                <c:pt idx="309">
                  <c:v>0.0059</c:v>
                </c:pt>
                <c:pt idx="310">
                  <c:v>0.0058</c:v>
                </c:pt>
                <c:pt idx="311">
                  <c:v>0.0057</c:v>
                </c:pt>
                <c:pt idx="312">
                  <c:v>0.0056</c:v>
                </c:pt>
                <c:pt idx="313">
                  <c:v>0.0055</c:v>
                </c:pt>
                <c:pt idx="314">
                  <c:v>0.0054</c:v>
                </c:pt>
                <c:pt idx="315">
                  <c:v>0.0053</c:v>
                </c:pt>
                <c:pt idx="316">
                  <c:v>0.0052</c:v>
                </c:pt>
                <c:pt idx="317">
                  <c:v>0.0051</c:v>
                </c:pt>
                <c:pt idx="318">
                  <c:v>0.005</c:v>
                </c:pt>
                <c:pt idx="319">
                  <c:v>0.0049</c:v>
                </c:pt>
                <c:pt idx="320">
                  <c:v>0.0048</c:v>
                </c:pt>
                <c:pt idx="321">
                  <c:v>0.0047</c:v>
                </c:pt>
                <c:pt idx="322">
                  <c:v>0.0046</c:v>
                </c:pt>
                <c:pt idx="323">
                  <c:v>0.0046</c:v>
                </c:pt>
                <c:pt idx="324">
                  <c:v>0.0045</c:v>
                </c:pt>
                <c:pt idx="325">
                  <c:v>0.0045</c:v>
                </c:pt>
                <c:pt idx="326">
                  <c:v>0.0044</c:v>
                </c:pt>
                <c:pt idx="327">
                  <c:v>0.0043</c:v>
                </c:pt>
                <c:pt idx="328">
                  <c:v>0.0043</c:v>
                </c:pt>
                <c:pt idx="329">
                  <c:v>0.0042</c:v>
                </c:pt>
                <c:pt idx="330">
                  <c:v>0.0042</c:v>
                </c:pt>
                <c:pt idx="331">
                  <c:v>0.0041</c:v>
                </c:pt>
                <c:pt idx="332">
                  <c:v>0.0041</c:v>
                </c:pt>
                <c:pt idx="333">
                  <c:v>0.004</c:v>
                </c:pt>
                <c:pt idx="334">
                  <c:v>0.0039</c:v>
                </c:pt>
                <c:pt idx="335">
                  <c:v>0.0039</c:v>
                </c:pt>
                <c:pt idx="336">
                  <c:v>0.0038</c:v>
                </c:pt>
                <c:pt idx="337">
                  <c:v>0.0038</c:v>
                </c:pt>
                <c:pt idx="338">
                  <c:v>0.0037</c:v>
                </c:pt>
                <c:pt idx="339">
                  <c:v>0.0037</c:v>
                </c:pt>
                <c:pt idx="340">
                  <c:v>0.0036</c:v>
                </c:pt>
                <c:pt idx="341">
                  <c:v>0.0035</c:v>
                </c:pt>
                <c:pt idx="342">
                  <c:v>0.0034</c:v>
                </c:pt>
                <c:pt idx="343">
                  <c:v>0.0034</c:v>
                </c:pt>
                <c:pt idx="344">
                  <c:v>0.0034</c:v>
                </c:pt>
                <c:pt idx="345">
                  <c:v>0.0033</c:v>
                </c:pt>
                <c:pt idx="346">
                  <c:v>0.003</c:v>
                </c:pt>
              </c:numCache>
            </c:numRef>
          </c:yVal>
          <c:smooth val="0"/>
        </c:ser>
        <c:dLbls>
          <c:showLegendKey val="0"/>
          <c:showVal val="0"/>
          <c:showCatName val="0"/>
          <c:showSerName val="0"/>
          <c:showPercent val="0"/>
          <c:showBubbleSize val="0"/>
        </c:dLbls>
        <c:axId val="2129482520"/>
        <c:axId val="2129488264"/>
      </c:scatterChart>
      <c:valAx>
        <c:axId val="2129482520"/>
        <c:scaling>
          <c:logBase val="10.0"/>
          <c:orientation val="maxMin"/>
          <c:max val="10.0"/>
        </c:scaling>
        <c:delete val="0"/>
        <c:axPos val="b"/>
        <c:title>
          <c:tx>
            <c:rich>
              <a:bodyPr/>
              <a:lstStyle/>
              <a:p>
                <a:pPr>
                  <a:defRPr b="1"/>
                </a:pPr>
                <a:r>
                  <a:rPr lang="el-GR" b="1"/>
                  <a:t>Pore Diameter (μm) </a:t>
                </a:r>
              </a:p>
            </c:rich>
          </c:tx>
          <c:overlay val="0"/>
        </c:title>
        <c:numFmt formatCode="General" sourceLinked="0"/>
        <c:majorTickMark val="out"/>
        <c:minorTickMark val="none"/>
        <c:tickLblPos val="nextTo"/>
        <c:spPr>
          <a:ln>
            <a:solidFill>
              <a:schemeClr val="tx1"/>
            </a:solidFill>
          </a:ln>
        </c:spPr>
        <c:txPr>
          <a:bodyPr rot="0" vert="horz"/>
          <a:lstStyle/>
          <a:p>
            <a:pPr>
              <a:defRPr/>
            </a:pPr>
            <a:endParaRPr lang="en-US"/>
          </a:p>
        </c:txPr>
        <c:crossAx val="2129488264"/>
        <c:crosses val="autoZero"/>
        <c:crossBetween val="midCat"/>
      </c:valAx>
      <c:valAx>
        <c:axId val="2129488264"/>
        <c:scaling>
          <c:orientation val="minMax"/>
          <c:max val="0.14"/>
        </c:scaling>
        <c:delete val="0"/>
        <c:axPos val="l"/>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Arial"/>
                    <a:ea typeface="+mn-ea"/>
                    <a:cs typeface="Arial"/>
                  </a:defRPr>
                </a:pPr>
                <a:r>
                  <a:rPr lang="tr-TR" sz="1000" b="1" i="0" baseline="0">
                    <a:effectLst/>
                  </a:rPr>
                  <a:t>Cumulative Volume (ml/g)</a:t>
                </a:r>
                <a:endParaRPr lang="tr-TR" sz="1000">
                  <a:effectLst/>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Arial"/>
                    <a:ea typeface="+mn-ea"/>
                    <a:cs typeface="Arial"/>
                  </a:defRPr>
                </a:pPr>
                <a:endParaRPr lang="en-US" sz="1000" b="1"/>
              </a:p>
            </c:rich>
          </c:tx>
          <c:layout>
            <c:manualLayout>
              <c:xMode val="edge"/>
              <c:yMode val="edge"/>
              <c:x val="0.0167869733087124"/>
              <c:y val="0.14865190764198"/>
            </c:manualLayout>
          </c:layout>
          <c:overlay val="0"/>
        </c:title>
        <c:numFmt formatCode="General" sourceLinked="1"/>
        <c:majorTickMark val="out"/>
        <c:minorTickMark val="none"/>
        <c:tickLblPos val="nextTo"/>
        <c:spPr>
          <a:ln>
            <a:solidFill>
              <a:schemeClr val="tx1"/>
            </a:solidFill>
          </a:ln>
        </c:spPr>
        <c:crossAx val="2129482520"/>
        <c:crosses val="max"/>
        <c:crossBetween val="midCat"/>
      </c:valAx>
      <c:spPr>
        <a:noFill/>
        <a:ln w="12700" cmpd="sng">
          <a:solidFill>
            <a:srgbClr val="000000"/>
          </a:solidFill>
        </a:ln>
      </c:spPr>
    </c:plotArea>
    <c:legend>
      <c:legendPos val="r"/>
      <c:layout>
        <c:manualLayout>
          <c:xMode val="edge"/>
          <c:yMode val="edge"/>
          <c:x val="0.813007921600869"/>
          <c:y val="0.0868960401688919"/>
          <c:w val="0.173562499752161"/>
          <c:h val="0.435102894746852"/>
        </c:manualLayout>
      </c:layout>
      <c:overlay val="0"/>
      <c:spPr>
        <a:ln>
          <a:noFill/>
        </a:ln>
      </c:spPr>
    </c:legend>
    <c:plotVisOnly val="1"/>
    <c:dispBlanksAs val="gap"/>
    <c:showDLblsOverMax val="0"/>
  </c:chart>
  <c:spPr>
    <a:ln>
      <a:noFill/>
    </a:ln>
  </c:spPr>
  <c:txPr>
    <a:bodyPr/>
    <a:lstStyle/>
    <a:p>
      <a:pPr>
        <a:defRPr sz="1000" b="0" i="0">
          <a:latin typeface="Arial"/>
          <a:cs typeface="Arial"/>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40447994542198"/>
          <c:y val="0.0282524059492563"/>
          <c:w val="0.691339151198158"/>
          <c:h val="0.7845"/>
        </c:manualLayout>
      </c:layout>
      <c:scatterChart>
        <c:scatterStyle val="lineMarker"/>
        <c:varyColors val="0"/>
        <c:ser>
          <c:idx val="0"/>
          <c:order val="0"/>
          <c:tx>
            <c:v>0DCS</c:v>
          </c:tx>
          <c:spPr>
            <a:ln>
              <a:solidFill>
                <a:srgbClr val="FF0000"/>
              </a:solidFill>
            </a:ln>
          </c:spPr>
          <c:marker>
            <c:symbol val="none"/>
          </c:marker>
          <c:xVal>
            <c:numRef>
              <c:f>'0DCS-in2'!$C$5:$C$353</c:f>
              <c:numCache>
                <c:formatCode>0.00E+00</c:formatCode>
                <c:ptCount val="349"/>
                <c:pt idx="0">
                  <c:v>10.57</c:v>
                </c:pt>
                <c:pt idx="1">
                  <c:v>10.42</c:v>
                </c:pt>
                <c:pt idx="2">
                  <c:v>10.22</c:v>
                </c:pt>
                <c:pt idx="3">
                  <c:v>10.01</c:v>
                </c:pt>
                <c:pt idx="4">
                  <c:v>9.827</c:v>
                </c:pt>
                <c:pt idx="5">
                  <c:v>9.656</c:v>
                </c:pt>
                <c:pt idx="6">
                  <c:v>9.479</c:v>
                </c:pt>
                <c:pt idx="7">
                  <c:v>9.297000000000001</c:v>
                </c:pt>
                <c:pt idx="8">
                  <c:v>9.104000000000001</c:v>
                </c:pt>
                <c:pt idx="9">
                  <c:v>8.919</c:v>
                </c:pt>
                <c:pt idx="10">
                  <c:v>8.732</c:v>
                </c:pt>
                <c:pt idx="11">
                  <c:v>8.553</c:v>
                </c:pt>
                <c:pt idx="12">
                  <c:v>8.370000000000002</c:v>
                </c:pt>
                <c:pt idx="13">
                  <c:v>8.186000000000003</c:v>
                </c:pt>
                <c:pt idx="14">
                  <c:v>7.999</c:v>
                </c:pt>
                <c:pt idx="15">
                  <c:v>7.811999999999998</c:v>
                </c:pt>
                <c:pt idx="16">
                  <c:v>7.623999999999976</c:v>
                </c:pt>
                <c:pt idx="17">
                  <c:v>7.442</c:v>
                </c:pt>
                <c:pt idx="18">
                  <c:v>7.262999999999995</c:v>
                </c:pt>
                <c:pt idx="19">
                  <c:v>7.09</c:v>
                </c:pt>
                <c:pt idx="20">
                  <c:v>6.916</c:v>
                </c:pt>
                <c:pt idx="21">
                  <c:v>6.742</c:v>
                </c:pt>
                <c:pt idx="22">
                  <c:v>6.569</c:v>
                </c:pt>
                <c:pt idx="23">
                  <c:v>6.393999999999997</c:v>
                </c:pt>
                <c:pt idx="24">
                  <c:v>6.217</c:v>
                </c:pt>
                <c:pt idx="25">
                  <c:v>6.04</c:v>
                </c:pt>
                <c:pt idx="26">
                  <c:v>5.859999999999998</c:v>
                </c:pt>
                <c:pt idx="27">
                  <c:v>5.679</c:v>
                </c:pt>
                <c:pt idx="28">
                  <c:v>5.496</c:v>
                </c:pt>
                <c:pt idx="29">
                  <c:v>5.312999999999985</c:v>
                </c:pt>
                <c:pt idx="30">
                  <c:v>5.126999999999986</c:v>
                </c:pt>
                <c:pt idx="31">
                  <c:v>4.941</c:v>
                </c:pt>
                <c:pt idx="32">
                  <c:v>4.753</c:v>
                </c:pt>
                <c:pt idx="33">
                  <c:v>4.562999999999985</c:v>
                </c:pt>
                <c:pt idx="34">
                  <c:v>4.372</c:v>
                </c:pt>
                <c:pt idx="35">
                  <c:v>4.18</c:v>
                </c:pt>
                <c:pt idx="36">
                  <c:v>3.988</c:v>
                </c:pt>
                <c:pt idx="37">
                  <c:v>3.795</c:v>
                </c:pt>
                <c:pt idx="38">
                  <c:v>3.601</c:v>
                </c:pt>
                <c:pt idx="39">
                  <c:v>3.407</c:v>
                </c:pt>
                <c:pt idx="40">
                  <c:v>3.213</c:v>
                </c:pt>
                <c:pt idx="41">
                  <c:v>3.019</c:v>
                </c:pt>
                <c:pt idx="42">
                  <c:v>2.828</c:v>
                </c:pt>
                <c:pt idx="43">
                  <c:v>2.638</c:v>
                </c:pt>
                <c:pt idx="44">
                  <c:v>2.451</c:v>
                </c:pt>
                <c:pt idx="45">
                  <c:v>2.269</c:v>
                </c:pt>
                <c:pt idx="46">
                  <c:v>2.091</c:v>
                </c:pt>
                <c:pt idx="47">
                  <c:v>1.92</c:v>
                </c:pt>
                <c:pt idx="48">
                  <c:v>1.755</c:v>
                </c:pt>
                <c:pt idx="49">
                  <c:v>1.598</c:v>
                </c:pt>
                <c:pt idx="50">
                  <c:v>1.451</c:v>
                </c:pt>
                <c:pt idx="51">
                  <c:v>1.314</c:v>
                </c:pt>
                <c:pt idx="52">
                  <c:v>1.188</c:v>
                </c:pt>
                <c:pt idx="53">
                  <c:v>1.072</c:v>
                </c:pt>
                <c:pt idx="54">
                  <c:v>0.9666</c:v>
                </c:pt>
                <c:pt idx="55">
                  <c:v>0.8718</c:v>
                </c:pt>
                <c:pt idx="56">
                  <c:v>0.7869</c:v>
                </c:pt>
                <c:pt idx="57">
                  <c:v>0.7114</c:v>
                </c:pt>
                <c:pt idx="58">
                  <c:v>0.6444</c:v>
                </c:pt>
                <c:pt idx="59">
                  <c:v>0.5852</c:v>
                </c:pt>
                <c:pt idx="60">
                  <c:v>0.533</c:v>
                </c:pt>
                <c:pt idx="61">
                  <c:v>0.487</c:v>
                </c:pt>
                <c:pt idx="62">
                  <c:v>0.4463</c:v>
                </c:pt>
                <c:pt idx="63">
                  <c:v>0.4104</c:v>
                </c:pt>
                <c:pt idx="64">
                  <c:v>0.3788</c:v>
                </c:pt>
                <c:pt idx="65">
                  <c:v>0.3508</c:v>
                </c:pt>
                <c:pt idx="66">
                  <c:v>0.326</c:v>
                </c:pt>
                <c:pt idx="67">
                  <c:v>0.3039</c:v>
                </c:pt>
                <c:pt idx="68">
                  <c:v>0.2843</c:v>
                </c:pt>
                <c:pt idx="69">
                  <c:v>0.2667</c:v>
                </c:pt>
                <c:pt idx="70">
                  <c:v>0.2511</c:v>
                </c:pt>
                <c:pt idx="71">
                  <c:v>0.2369</c:v>
                </c:pt>
                <c:pt idx="72">
                  <c:v>0.2242</c:v>
                </c:pt>
                <c:pt idx="73">
                  <c:v>0.2124</c:v>
                </c:pt>
                <c:pt idx="74">
                  <c:v>0.2017</c:v>
                </c:pt>
                <c:pt idx="75">
                  <c:v>0.192</c:v>
                </c:pt>
                <c:pt idx="76">
                  <c:v>0.183</c:v>
                </c:pt>
                <c:pt idx="77">
                  <c:v>0.1746</c:v>
                </c:pt>
                <c:pt idx="78">
                  <c:v>0.1669</c:v>
                </c:pt>
                <c:pt idx="79">
                  <c:v>0.1596</c:v>
                </c:pt>
                <c:pt idx="80">
                  <c:v>0.1527</c:v>
                </c:pt>
                <c:pt idx="81">
                  <c:v>0.1462</c:v>
                </c:pt>
                <c:pt idx="82">
                  <c:v>0.1402</c:v>
                </c:pt>
                <c:pt idx="83">
                  <c:v>0.1345</c:v>
                </c:pt>
                <c:pt idx="84">
                  <c:v>0.1292</c:v>
                </c:pt>
                <c:pt idx="85">
                  <c:v>0.1242</c:v>
                </c:pt>
                <c:pt idx="86">
                  <c:v>0.1195</c:v>
                </c:pt>
                <c:pt idx="87">
                  <c:v>0.1151</c:v>
                </c:pt>
                <c:pt idx="88">
                  <c:v>0.1109</c:v>
                </c:pt>
                <c:pt idx="89">
                  <c:v>0.1069</c:v>
                </c:pt>
                <c:pt idx="90">
                  <c:v>0.1033</c:v>
                </c:pt>
                <c:pt idx="91">
                  <c:v>0.09981</c:v>
                </c:pt>
                <c:pt idx="92">
                  <c:v>0.09656</c:v>
                </c:pt>
                <c:pt idx="93">
                  <c:v>0.09351</c:v>
                </c:pt>
                <c:pt idx="94">
                  <c:v>0.09062</c:v>
                </c:pt>
                <c:pt idx="95">
                  <c:v>0.0879</c:v>
                </c:pt>
                <c:pt idx="96">
                  <c:v>0.08532</c:v>
                </c:pt>
                <c:pt idx="97">
                  <c:v>0.08289</c:v>
                </c:pt>
                <c:pt idx="98">
                  <c:v>0.08058</c:v>
                </c:pt>
                <c:pt idx="99">
                  <c:v>0.07844</c:v>
                </c:pt>
                <c:pt idx="100">
                  <c:v>0.0764</c:v>
                </c:pt>
                <c:pt idx="101">
                  <c:v>0.07445</c:v>
                </c:pt>
                <c:pt idx="102">
                  <c:v>0.07255</c:v>
                </c:pt>
                <c:pt idx="103">
                  <c:v>0.07072</c:v>
                </c:pt>
                <c:pt idx="104">
                  <c:v>0.06898</c:v>
                </c:pt>
                <c:pt idx="105">
                  <c:v>0.06726</c:v>
                </c:pt>
                <c:pt idx="106">
                  <c:v>0.06564</c:v>
                </c:pt>
                <c:pt idx="107">
                  <c:v>0.06405</c:v>
                </c:pt>
                <c:pt idx="108">
                  <c:v>0.06254</c:v>
                </c:pt>
                <c:pt idx="109">
                  <c:v>0.06106</c:v>
                </c:pt>
                <c:pt idx="110">
                  <c:v>0.05964</c:v>
                </c:pt>
                <c:pt idx="111">
                  <c:v>0.05826</c:v>
                </c:pt>
                <c:pt idx="112">
                  <c:v>0.05692</c:v>
                </c:pt>
                <c:pt idx="113">
                  <c:v>0.05562</c:v>
                </c:pt>
                <c:pt idx="114">
                  <c:v>0.05441</c:v>
                </c:pt>
                <c:pt idx="115">
                  <c:v>0.05323</c:v>
                </c:pt>
                <c:pt idx="116">
                  <c:v>0.05214</c:v>
                </c:pt>
                <c:pt idx="117">
                  <c:v>0.05109</c:v>
                </c:pt>
                <c:pt idx="118">
                  <c:v>0.05009</c:v>
                </c:pt>
                <c:pt idx="119">
                  <c:v>0.04913</c:v>
                </c:pt>
                <c:pt idx="120">
                  <c:v>0.04821</c:v>
                </c:pt>
                <c:pt idx="121">
                  <c:v>0.04731</c:v>
                </c:pt>
                <c:pt idx="122">
                  <c:v>0.04647</c:v>
                </c:pt>
                <c:pt idx="123">
                  <c:v>0.04567</c:v>
                </c:pt>
                <c:pt idx="124">
                  <c:v>0.04491</c:v>
                </c:pt>
                <c:pt idx="125">
                  <c:v>0.04417</c:v>
                </c:pt>
                <c:pt idx="126">
                  <c:v>0.04346</c:v>
                </c:pt>
                <c:pt idx="127">
                  <c:v>0.04277</c:v>
                </c:pt>
                <c:pt idx="128">
                  <c:v>0.0421</c:v>
                </c:pt>
                <c:pt idx="129">
                  <c:v>0.04144</c:v>
                </c:pt>
                <c:pt idx="130">
                  <c:v>0.0408</c:v>
                </c:pt>
                <c:pt idx="131">
                  <c:v>0.0402</c:v>
                </c:pt>
                <c:pt idx="132">
                  <c:v>0.03961</c:v>
                </c:pt>
                <c:pt idx="133">
                  <c:v>0.03904</c:v>
                </c:pt>
                <c:pt idx="134">
                  <c:v>0.03848</c:v>
                </c:pt>
                <c:pt idx="135">
                  <c:v>0.03793</c:v>
                </c:pt>
                <c:pt idx="136">
                  <c:v>0.0374</c:v>
                </c:pt>
                <c:pt idx="137">
                  <c:v>0.03688</c:v>
                </c:pt>
                <c:pt idx="138">
                  <c:v>0.03637</c:v>
                </c:pt>
                <c:pt idx="139">
                  <c:v>0.03588</c:v>
                </c:pt>
                <c:pt idx="140">
                  <c:v>0.0354</c:v>
                </c:pt>
                <c:pt idx="141">
                  <c:v>0.03493</c:v>
                </c:pt>
                <c:pt idx="142">
                  <c:v>0.03447</c:v>
                </c:pt>
                <c:pt idx="143">
                  <c:v>0.03402</c:v>
                </c:pt>
                <c:pt idx="144">
                  <c:v>0.03358</c:v>
                </c:pt>
                <c:pt idx="145">
                  <c:v>0.03314</c:v>
                </c:pt>
                <c:pt idx="146">
                  <c:v>0.03272</c:v>
                </c:pt>
                <c:pt idx="147">
                  <c:v>0.0323</c:v>
                </c:pt>
                <c:pt idx="148">
                  <c:v>0.03189</c:v>
                </c:pt>
                <c:pt idx="149">
                  <c:v>0.03149</c:v>
                </c:pt>
                <c:pt idx="150">
                  <c:v>0.0311</c:v>
                </c:pt>
                <c:pt idx="151">
                  <c:v>0.03072</c:v>
                </c:pt>
                <c:pt idx="152">
                  <c:v>0.03034</c:v>
                </c:pt>
                <c:pt idx="153">
                  <c:v>0.02998</c:v>
                </c:pt>
                <c:pt idx="154">
                  <c:v>0.02962</c:v>
                </c:pt>
                <c:pt idx="155">
                  <c:v>0.02927</c:v>
                </c:pt>
                <c:pt idx="156">
                  <c:v>0.02893</c:v>
                </c:pt>
                <c:pt idx="157">
                  <c:v>0.0286</c:v>
                </c:pt>
                <c:pt idx="158">
                  <c:v>0.02827</c:v>
                </c:pt>
                <c:pt idx="159">
                  <c:v>0.02795</c:v>
                </c:pt>
                <c:pt idx="160">
                  <c:v>0.02763</c:v>
                </c:pt>
                <c:pt idx="161">
                  <c:v>0.02731</c:v>
                </c:pt>
                <c:pt idx="162">
                  <c:v>0.02699</c:v>
                </c:pt>
                <c:pt idx="163">
                  <c:v>0.02666</c:v>
                </c:pt>
                <c:pt idx="164">
                  <c:v>0.02634</c:v>
                </c:pt>
                <c:pt idx="165">
                  <c:v>0.02601</c:v>
                </c:pt>
                <c:pt idx="166">
                  <c:v>0.02568</c:v>
                </c:pt>
                <c:pt idx="167">
                  <c:v>0.02536</c:v>
                </c:pt>
                <c:pt idx="168">
                  <c:v>0.02503</c:v>
                </c:pt>
                <c:pt idx="169">
                  <c:v>0.02471</c:v>
                </c:pt>
                <c:pt idx="170">
                  <c:v>0.02439</c:v>
                </c:pt>
                <c:pt idx="171">
                  <c:v>0.02406</c:v>
                </c:pt>
                <c:pt idx="172">
                  <c:v>0.02374</c:v>
                </c:pt>
                <c:pt idx="173">
                  <c:v>0.02343</c:v>
                </c:pt>
                <c:pt idx="174">
                  <c:v>0.02312</c:v>
                </c:pt>
                <c:pt idx="175">
                  <c:v>0.02281</c:v>
                </c:pt>
                <c:pt idx="176">
                  <c:v>0.02251</c:v>
                </c:pt>
                <c:pt idx="177">
                  <c:v>0.02221</c:v>
                </c:pt>
                <c:pt idx="178">
                  <c:v>0.02191</c:v>
                </c:pt>
                <c:pt idx="179">
                  <c:v>0.02161</c:v>
                </c:pt>
                <c:pt idx="180">
                  <c:v>0.02133</c:v>
                </c:pt>
                <c:pt idx="181">
                  <c:v>0.02105</c:v>
                </c:pt>
                <c:pt idx="182">
                  <c:v>0.02077</c:v>
                </c:pt>
                <c:pt idx="183">
                  <c:v>0.0205</c:v>
                </c:pt>
                <c:pt idx="184">
                  <c:v>0.02023</c:v>
                </c:pt>
                <c:pt idx="185">
                  <c:v>0.01997</c:v>
                </c:pt>
                <c:pt idx="186">
                  <c:v>0.01972</c:v>
                </c:pt>
                <c:pt idx="187">
                  <c:v>0.01947</c:v>
                </c:pt>
                <c:pt idx="188">
                  <c:v>0.01923</c:v>
                </c:pt>
                <c:pt idx="189">
                  <c:v>0.01899</c:v>
                </c:pt>
                <c:pt idx="190">
                  <c:v>0.01875</c:v>
                </c:pt>
                <c:pt idx="191">
                  <c:v>0.01852</c:v>
                </c:pt>
                <c:pt idx="192">
                  <c:v>0.0183</c:v>
                </c:pt>
                <c:pt idx="193">
                  <c:v>0.01808</c:v>
                </c:pt>
                <c:pt idx="194">
                  <c:v>0.01786</c:v>
                </c:pt>
                <c:pt idx="195">
                  <c:v>0.01765</c:v>
                </c:pt>
                <c:pt idx="196">
                  <c:v>0.01745</c:v>
                </c:pt>
                <c:pt idx="197">
                  <c:v>0.01724</c:v>
                </c:pt>
                <c:pt idx="198">
                  <c:v>0.01704</c:v>
                </c:pt>
                <c:pt idx="199">
                  <c:v>0.01685</c:v>
                </c:pt>
                <c:pt idx="200">
                  <c:v>0.01666</c:v>
                </c:pt>
                <c:pt idx="201">
                  <c:v>0.01647</c:v>
                </c:pt>
                <c:pt idx="202">
                  <c:v>0.01629</c:v>
                </c:pt>
                <c:pt idx="203">
                  <c:v>0.01612</c:v>
                </c:pt>
                <c:pt idx="204">
                  <c:v>0.01594</c:v>
                </c:pt>
                <c:pt idx="205">
                  <c:v>0.01578</c:v>
                </c:pt>
                <c:pt idx="206">
                  <c:v>0.01561</c:v>
                </c:pt>
                <c:pt idx="207">
                  <c:v>0.01545</c:v>
                </c:pt>
                <c:pt idx="208">
                  <c:v>0.01529</c:v>
                </c:pt>
                <c:pt idx="209">
                  <c:v>0.01514</c:v>
                </c:pt>
                <c:pt idx="210">
                  <c:v>0.01499</c:v>
                </c:pt>
                <c:pt idx="211">
                  <c:v>0.01485</c:v>
                </c:pt>
                <c:pt idx="212">
                  <c:v>0.01471</c:v>
                </c:pt>
                <c:pt idx="213">
                  <c:v>0.01456</c:v>
                </c:pt>
                <c:pt idx="214">
                  <c:v>0.01442</c:v>
                </c:pt>
                <c:pt idx="215">
                  <c:v>0.01428</c:v>
                </c:pt>
                <c:pt idx="216">
                  <c:v>0.01415</c:v>
                </c:pt>
                <c:pt idx="217">
                  <c:v>0.01402</c:v>
                </c:pt>
                <c:pt idx="218">
                  <c:v>0.01389</c:v>
                </c:pt>
                <c:pt idx="219">
                  <c:v>0.01376</c:v>
                </c:pt>
                <c:pt idx="220">
                  <c:v>0.01364</c:v>
                </c:pt>
                <c:pt idx="221">
                  <c:v>0.01353</c:v>
                </c:pt>
                <c:pt idx="222">
                  <c:v>0.01341</c:v>
                </c:pt>
                <c:pt idx="223">
                  <c:v>0.01331</c:v>
                </c:pt>
                <c:pt idx="224">
                  <c:v>0.01321</c:v>
                </c:pt>
                <c:pt idx="225">
                  <c:v>0.01311</c:v>
                </c:pt>
                <c:pt idx="226">
                  <c:v>0.01302</c:v>
                </c:pt>
                <c:pt idx="227">
                  <c:v>0.01293</c:v>
                </c:pt>
                <c:pt idx="228">
                  <c:v>0.01284</c:v>
                </c:pt>
                <c:pt idx="229">
                  <c:v>0.01276</c:v>
                </c:pt>
                <c:pt idx="230">
                  <c:v>0.01267</c:v>
                </c:pt>
                <c:pt idx="231">
                  <c:v>0.01259</c:v>
                </c:pt>
                <c:pt idx="232">
                  <c:v>0.01251</c:v>
                </c:pt>
                <c:pt idx="233">
                  <c:v>0.01244</c:v>
                </c:pt>
                <c:pt idx="234">
                  <c:v>0.01236</c:v>
                </c:pt>
                <c:pt idx="235">
                  <c:v>0.01228</c:v>
                </c:pt>
                <c:pt idx="236">
                  <c:v>0.01221</c:v>
                </c:pt>
                <c:pt idx="237">
                  <c:v>0.01213</c:v>
                </c:pt>
                <c:pt idx="238">
                  <c:v>0.01206</c:v>
                </c:pt>
                <c:pt idx="239">
                  <c:v>0.01198</c:v>
                </c:pt>
                <c:pt idx="240">
                  <c:v>0.01191</c:v>
                </c:pt>
                <c:pt idx="241">
                  <c:v>0.01184</c:v>
                </c:pt>
                <c:pt idx="242">
                  <c:v>0.01176</c:v>
                </c:pt>
                <c:pt idx="243">
                  <c:v>0.01169</c:v>
                </c:pt>
                <c:pt idx="244">
                  <c:v>0.01162</c:v>
                </c:pt>
                <c:pt idx="245">
                  <c:v>0.01155</c:v>
                </c:pt>
                <c:pt idx="246">
                  <c:v>0.01149</c:v>
                </c:pt>
                <c:pt idx="247">
                  <c:v>0.01142</c:v>
                </c:pt>
                <c:pt idx="248">
                  <c:v>0.01135</c:v>
                </c:pt>
                <c:pt idx="249">
                  <c:v>0.01128</c:v>
                </c:pt>
                <c:pt idx="250">
                  <c:v>0.01122</c:v>
                </c:pt>
                <c:pt idx="251">
                  <c:v>0.01115</c:v>
                </c:pt>
                <c:pt idx="252">
                  <c:v>0.01109</c:v>
                </c:pt>
                <c:pt idx="253">
                  <c:v>0.01102</c:v>
                </c:pt>
                <c:pt idx="254">
                  <c:v>0.01096</c:v>
                </c:pt>
                <c:pt idx="255">
                  <c:v>0.0109</c:v>
                </c:pt>
                <c:pt idx="256">
                  <c:v>0.01083</c:v>
                </c:pt>
                <c:pt idx="257">
                  <c:v>0.01077</c:v>
                </c:pt>
                <c:pt idx="258">
                  <c:v>0.01071</c:v>
                </c:pt>
                <c:pt idx="259">
                  <c:v>0.01065</c:v>
                </c:pt>
                <c:pt idx="260">
                  <c:v>0.01059</c:v>
                </c:pt>
                <c:pt idx="261">
                  <c:v>0.01053</c:v>
                </c:pt>
                <c:pt idx="262">
                  <c:v>0.01047</c:v>
                </c:pt>
                <c:pt idx="263">
                  <c:v>0.01041</c:v>
                </c:pt>
                <c:pt idx="264">
                  <c:v>0.01035</c:v>
                </c:pt>
                <c:pt idx="265">
                  <c:v>0.0103</c:v>
                </c:pt>
                <c:pt idx="266">
                  <c:v>0.01024</c:v>
                </c:pt>
                <c:pt idx="267">
                  <c:v>0.01018</c:v>
                </c:pt>
                <c:pt idx="268">
                  <c:v>0.01013</c:v>
                </c:pt>
                <c:pt idx="269">
                  <c:v>0.01007</c:v>
                </c:pt>
                <c:pt idx="270">
                  <c:v>0.01002</c:v>
                </c:pt>
                <c:pt idx="271">
                  <c:v>0.009963</c:v>
                </c:pt>
                <c:pt idx="272">
                  <c:v>0.009909</c:v>
                </c:pt>
                <c:pt idx="273">
                  <c:v>0.009856</c:v>
                </c:pt>
                <c:pt idx="274">
                  <c:v>0.009803</c:v>
                </c:pt>
                <c:pt idx="275">
                  <c:v>0.00975</c:v>
                </c:pt>
                <c:pt idx="276">
                  <c:v>0.009698</c:v>
                </c:pt>
                <c:pt idx="277">
                  <c:v>0.009647</c:v>
                </c:pt>
                <c:pt idx="278">
                  <c:v>0.009595</c:v>
                </c:pt>
                <c:pt idx="279">
                  <c:v>0.009543</c:v>
                </c:pt>
                <c:pt idx="280">
                  <c:v>0.009491</c:v>
                </c:pt>
                <c:pt idx="281">
                  <c:v>0.009439</c:v>
                </c:pt>
                <c:pt idx="282">
                  <c:v>0.009387</c:v>
                </c:pt>
                <c:pt idx="283">
                  <c:v>0.009336</c:v>
                </c:pt>
                <c:pt idx="284">
                  <c:v>0.009285</c:v>
                </c:pt>
                <c:pt idx="285">
                  <c:v>0.009235</c:v>
                </c:pt>
                <c:pt idx="286">
                  <c:v>0.009184</c:v>
                </c:pt>
                <c:pt idx="287">
                  <c:v>0.009132</c:v>
                </c:pt>
                <c:pt idx="288">
                  <c:v>0.00908</c:v>
                </c:pt>
                <c:pt idx="289">
                  <c:v>0.009028</c:v>
                </c:pt>
                <c:pt idx="290">
                  <c:v>0.008977</c:v>
                </c:pt>
                <c:pt idx="291">
                  <c:v>0.008926</c:v>
                </c:pt>
                <c:pt idx="292">
                  <c:v>0.008876</c:v>
                </c:pt>
                <c:pt idx="293">
                  <c:v>0.008825</c:v>
                </c:pt>
                <c:pt idx="294">
                  <c:v>0.008774</c:v>
                </c:pt>
                <c:pt idx="295">
                  <c:v>0.008722</c:v>
                </c:pt>
                <c:pt idx="296">
                  <c:v>0.00867</c:v>
                </c:pt>
                <c:pt idx="297">
                  <c:v>0.008618</c:v>
                </c:pt>
                <c:pt idx="298">
                  <c:v>0.008567</c:v>
                </c:pt>
                <c:pt idx="299">
                  <c:v>0.008517</c:v>
                </c:pt>
                <c:pt idx="300">
                  <c:v>0.008466</c:v>
                </c:pt>
                <c:pt idx="301">
                  <c:v>0.008415</c:v>
                </c:pt>
                <c:pt idx="302">
                  <c:v>0.008365</c:v>
                </c:pt>
                <c:pt idx="303">
                  <c:v>0.008314</c:v>
                </c:pt>
                <c:pt idx="304">
                  <c:v>0.008264</c:v>
                </c:pt>
                <c:pt idx="305">
                  <c:v>0.008215</c:v>
                </c:pt>
                <c:pt idx="306">
                  <c:v>0.008166</c:v>
                </c:pt>
                <c:pt idx="307">
                  <c:v>0.008117</c:v>
                </c:pt>
                <c:pt idx="308">
                  <c:v>0.008069</c:v>
                </c:pt>
                <c:pt idx="309">
                  <c:v>0.008021</c:v>
                </c:pt>
                <c:pt idx="310">
                  <c:v>0.007973</c:v>
                </c:pt>
                <c:pt idx="311">
                  <c:v>0.007927</c:v>
                </c:pt>
                <c:pt idx="312">
                  <c:v>0.00788</c:v>
                </c:pt>
                <c:pt idx="313">
                  <c:v>0.007834</c:v>
                </c:pt>
                <c:pt idx="314">
                  <c:v>0.007789</c:v>
                </c:pt>
                <c:pt idx="315">
                  <c:v>0.007744</c:v>
                </c:pt>
                <c:pt idx="316">
                  <c:v>0.007699</c:v>
                </c:pt>
                <c:pt idx="317">
                  <c:v>0.007655</c:v>
                </c:pt>
                <c:pt idx="318">
                  <c:v>0.007611</c:v>
                </c:pt>
                <c:pt idx="319">
                  <c:v>0.007568</c:v>
                </c:pt>
                <c:pt idx="320">
                  <c:v>0.007525</c:v>
                </c:pt>
                <c:pt idx="321">
                  <c:v>0.007482</c:v>
                </c:pt>
                <c:pt idx="322">
                  <c:v>0.00744</c:v>
                </c:pt>
                <c:pt idx="323">
                  <c:v>0.007398</c:v>
                </c:pt>
                <c:pt idx="324">
                  <c:v>0.007356</c:v>
                </c:pt>
                <c:pt idx="325">
                  <c:v>0.007315</c:v>
                </c:pt>
                <c:pt idx="326">
                  <c:v>0.007275</c:v>
                </c:pt>
                <c:pt idx="327">
                  <c:v>0.007234</c:v>
                </c:pt>
                <c:pt idx="328">
                  <c:v>0.007194</c:v>
                </c:pt>
                <c:pt idx="329">
                  <c:v>0.007155</c:v>
                </c:pt>
                <c:pt idx="330">
                  <c:v>0.007115</c:v>
                </c:pt>
                <c:pt idx="331">
                  <c:v>0.007076</c:v>
                </c:pt>
                <c:pt idx="332">
                  <c:v>0.007038</c:v>
                </c:pt>
                <c:pt idx="333">
                  <c:v>0.006999</c:v>
                </c:pt>
                <c:pt idx="334">
                  <c:v>0.006962</c:v>
                </c:pt>
                <c:pt idx="335">
                  <c:v>0.006924</c:v>
                </c:pt>
                <c:pt idx="336">
                  <c:v>0.006886</c:v>
                </c:pt>
                <c:pt idx="337">
                  <c:v>0.006849</c:v>
                </c:pt>
                <c:pt idx="338">
                  <c:v>0.006812</c:v>
                </c:pt>
                <c:pt idx="339">
                  <c:v>0.006775</c:v>
                </c:pt>
                <c:pt idx="340">
                  <c:v>0.006739</c:v>
                </c:pt>
                <c:pt idx="341">
                  <c:v>0.006703</c:v>
                </c:pt>
                <c:pt idx="342">
                  <c:v>0.006667</c:v>
                </c:pt>
                <c:pt idx="343">
                  <c:v>0.006632</c:v>
                </c:pt>
                <c:pt idx="344">
                  <c:v>0.006596</c:v>
                </c:pt>
                <c:pt idx="345">
                  <c:v>0.006562</c:v>
                </c:pt>
                <c:pt idx="346">
                  <c:v>0.006528</c:v>
                </c:pt>
                <c:pt idx="347">
                  <c:v>0.006494</c:v>
                </c:pt>
                <c:pt idx="348">
                  <c:v>0.00646</c:v>
                </c:pt>
              </c:numCache>
            </c:numRef>
          </c:xVal>
          <c:yVal>
            <c:numRef>
              <c:f>'0DCS-in2'!$H$5:$H$353</c:f>
              <c:numCache>
                <c:formatCode>0.00E+00</c:formatCode>
                <c:ptCount val="349"/>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0.0</c:v>
                </c:pt>
                <c:pt idx="45">
                  <c:v>0.0</c:v>
                </c:pt>
                <c:pt idx="46">
                  <c:v>0.0</c:v>
                </c:pt>
                <c:pt idx="47">
                  <c:v>0.0</c:v>
                </c:pt>
                <c:pt idx="48">
                  <c:v>0.0</c:v>
                </c:pt>
                <c:pt idx="49">
                  <c:v>0.0</c:v>
                </c:pt>
                <c:pt idx="50">
                  <c:v>0.0</c:v>
                </c:pt>
                <c:pt idx="51">
                  <c:v>0.0</c:v>
                </c:pt>
                <c:pt idx="52">
                  <c:v>0.0</c:v>
                </c:pt>
                <c:pt idx="53">
                  <c:v>0.0</c:v>
                </c:pt>
                <c:pt idx="54">
                  <c:v>0.0</c:v>
                </c:pt>
                <c:pt idx="55">
                  <c:v>0.0</c:v>
                </c:pt>
                <c:pt idx="56">
                  <c:v>0.0</c:v>
                </c:pt>
                <c:pt idx="57">
                  <c:v>0.0</c:v>
                </c:pt>
                <c:pt idx="58">
                  <c:v>0.0</c:v>
                </c:pt>
                <c:pt idx="59">
                  <c:v>0.0</c:v>
                </c:pt>
                <c:pt idx="60">
                  <c:v>0.0</c:v>
                </c:pt>
                <c:pt idx="61">
                  <c:v>0.0</c:v>
                </c:pt>
                <c:pt idx="62">
                  <c:v>0.0</c:v>
                </c:pt>
                <c:pt idx="63">
                  <c:v>0.0</c:v>
                </c:pt>
                <c:pt idx="64">
                  <c:v>0.0</c:v>
                </c:pt>
                <c:pt idx="65">
                  <c:v>0.0</c:v>
                </c:pt>
                <c:pt idx="66">
                  <c:v>0.0</c:v>
                </c:pt>
                <c:pt idx="67">
                  <c:v>8.019E-5</c:v>
                </c:pt>
                <c:pt idx="68">
                  <c:v>0.0001631</c:v>
                </c:pt>
                <c:pt idx="69">
                  <c:v>0.0004197</c:v>
                </c:pt>
                <c:pt idx="70">
                  <c:v>0.0006884</c:v>
                </c:pt>
                <c:pt idx="71">
                  <c:v>0.0009659</c:v>
                </c:pt>
                <c:pt idx="72">
                  <c:v>0.001348</c:v>
                </c:pt>
                <c:pt idx="73">
                  <c:v>0.001937</c:v>
                </c:pt>
                <c:pt idx="74">
                  <c:v>0.002627</c:v>
                </c:pt>
                <c:pt idx="75">
                  <c:v>0.003537</c:v>
                </c:pt>
                <c:pt idx="76">
                  <c:v>0.004661</c:v>
                </c:pt>
                <c:pt idx="77">
                  <c:v>0.006027</c:v>
                </c:pt>
                <c:pt idx="78">
                  <c:v>0.007345</c:v>
                </c:pt>
                <c:pt idx="79">
                  <c:v>0.008918</c:v>
                </c:pt>
                <c:pt idx="80">
                  <c:v>0.01025</c:v>
                </c:pt>
                <c:pt idx="81">
                  <c:v>0.01171</c:v>
                </c:pt>
                <c:pt idx="82">
                  <c:v>0.01344</c:v>
                </c:pt>
                <c:pt idx="83">
                  <c:v>0.01519</c:v>
                </c:pt>
                <c:pt idx="84">
                  <c:v>0.01692</c:v>
                </c:pt>
                <c:pt idx="85">
                  <c:v>0.01852</c:v>
                </c:pt>
                <c:pt idx="86">
                  <c:v>0.01996</c:v>
                </c:pt>
                <c:pt idx="87">
                  <c:v>0.02112</c:v>
                </c:pt>
                <c:pt idx="88">
                  <c:v>0.02197</c:v>
                </c:pt>
                <c:pt idx="89">
                  <c:v>0.02284</c:v>
                </c:pt>
                <c:pt idx="90">
                  <c:v>0.02322</c:v>
                </c:pt>
                <c:pt idx="91">
                  <c:v>0.02387</c:v>
                </c:pt>
                <c:pt idx="92">
                  <c:v>0.02429</c:v>
                </c:pt>
                <c:pt idx="93">
                  <c:v>0.02432</c:v>
                </c:pt>
                <c:pt idx="94">
                  <c:v>0.02417</c:v>
                </c:pt>
                <c:pt idx="95">
                  <c:v>0.0237</c:v>
                </c:pt>
                <c:pt idx="96">
                  <c:v>0.02347</c:v>
                </c:pt>
                <c:pt idx="97">
                  <c:v>0.02371</c:v>
                </c:pt>
                <c:pt idx="98">
                  <c:v>0.0242</c:v>
                </c:pt>
                <c:pt idx="99">
                  <c:v>0.02501</c:v>
                </c:pt>
                <c:pt idx="100">
                  <c:v>0.02575</c:v>
                </c:pt>
                <c:pt idx="101">
                  <c:v>0.02698</c:v>
                </c:pt>
                <c:pt idx="102">
                  <c:v>0.02783</c:v>
                </c:pt>
                <c:pt idx="103">
                  <c:v>0.02919</c:v>
                </c:pt>
                <c:pt idx="104">
                  <c:v>0.03049</c:v>
                </c:pt>
                <c:pt idx="105">
                  <c:v>0.03211</c:v>
                </c:pt>
                <c:pt idx="106">
                  <c:v>0.03349</c:v>
                </c:pt>
                <c:pt idx="107">
                  <c:v>0.03524</c:v>
                </c:pt>
                <c:pt idx="108">
                  <c:v>0.03573</c:v>
                </c:pt>
                <c:pt idx="109">
                  <c:v>0.03576</c:v>
                </c:pt>
                <c:pt idx="110">
                  <c:v>0.03519</c:v>
                </c:pt>
                <c:pt idx="111">
                  <c:v>0.03476</c:v>
                </c:pt>
                <c:pt idx="112">
                  <c:v>0.03389</c:v>
                </c:pt>
                <c:pt idx="113">
                  <c:v>0.03349</c:v>
                </c:pt>
                <c:pt idx="114">
                  <c:v>0.03251</c:v>
                </c:pt>
                <c:pt idx="115">
                  <c:v>0.03174</c:v>
                </c:pt>
                <c:pt idx="116">
                  <c:v>0.03027</c:v>
                </c:pt>
                <c:pt idx="117">
                  <c:v>0.02925</c:v>
                </c:pt>
                <c:pt idx="118">
                  <c:v>0.02672</c:v>
                </c:pt>
                <c:pt idx="119">
                  <c:v>0.02497</c:v>
                </c:pt>
                <c:pt idx="120">
                  <c:v>0.02351</c:v>
                </c:pt>
                <c:pt idx="121">
                  <c:v>0.02243</c:v>
                </c:pt>
                <c:pt idx="122">
                  <c:v>0.02124</c:v>
                </c:pt>
                <c:pt idx="123">
                  <c:v>0.02053</c:v>
                </c:pt>
                <c:pt idx="124">
                  <c:v>0.01924</c:v>
                </c:pt>
                <c:pt idx="125">
                  <c:v>0.01785</c:v>
                </c:pt>
                <c:pt idx="126">
                  <c:v>0.01648</c:v>
                </c:pt>
                <c:pt idx="127">
                  <c:v>0.01615</c:v>
                </c:pt>
                <c:pt idx="128">
                  <c:v>0.01578</c:v>
                </c:pt>
                <c:pt idx="129">
                  <c:v>0.01635</c:v>
                </c:pt>
                <c:pt idx="130">
                  <c:v>0.01657</c:v>
                </c:pt>
                <c:pt idx="131">
                  <c:v>0.01741</c:v>
                </c:pt>
                <c:pt idx="132">
                  <c:v>0.01826</c:v>
                </c:pt>
                <c:pt idx="133">
                  <c:v>0.01881</c:v>
                </c:pt>
                <c:pt idx="134">
                  <c:v>0.01876</c:v>
                </c:pt>
                <c:pt idx="135">
                  <c:v>0.01866</c:v>
                </c:pt>
                <c:pt idx="136">
                  <c:v>0.01917</c:v>
                </c:pt>
                <c:pt idx="137">
                  <c:v>0.02033</c:v>
                </c:pt>
                <c:pt idx="138">
                  <c:v>0.02123</c:v>
                </c:pt>
                <c:pt idx="139">
                  <c:v>0.02247</c:v>
                </c:pt>
                <c:pt idx="140">
                  <c:v>0.02367</c:v>
                </c:pt>
                <c:pt idx="141">
                  <c:v>0.02521</c:v>
                </c:pt>
                <c:pt idx="142">
                  <c:v>0.02544</c:v>
                </c:pt>
                <c:pt idx="143">
                  <c:v>0.02637</c:v>
                </c:pt>
                <c:pt idx="144">
                  <c:v>0.02795</c:v>
                </c:pt>
                <c:pt idx="145">
                  <c:v>0.02988</c:v>
                </c:pt>
                <c:pt idx="146">
                  <c:v>0.03215</c:v>
                </c:pt>
                <c:pt idx="147">
                  <c:v>0.03375</c:v>
                </c:pt>
                <c:pt idx="148">
                  <c:v>0.03398</c:v>
                </c:pt>
                <c:pt idx="149">
                  <c:v>0.03274</c:v>
                </c:pt>
                <c:pt idx="150">
                  <c:v>0.03078</c:v>
                </c:pt>
                <c:pt idx="151">
                  <c:v>0.0289</c:v>
                </c:pt>
                <c:pt idx="152">
                  <c:v>0.02697</c:v>
                </c:pt>
                <c:pt idx="153">
                  <c:v>0.02608</c:v>
                </c:pt>
                <c:pt idx="154">
                  <c:v>0.0237</c:v>
                </c:pt>
                <c:pt idx="155">
                  <c:v>0.02248</c:v>
                </c:pt>
                <c:pt idx="156">
                  <c:v>0.02122</c:v>
                </c:pt>
                <c:pt idx="157">
                  <c:v>0.01988</c:v>
                </c:pt>
                <c:pt idx="158">
                  <c:v>0.01955</c:v>
                </c:pt>
                <c:pt idx="159">
                  <c:v>0.0199</c:v>
                </c:pt>
                <c:pt idx="160">
                  <c:v>0.02195</c:v>
                </c:pt>
                <c:pt idx="161">
                  <c:v>0.02471</c:v>
                </c:pt>
                <c:pt idx="162">
                  <c:v>0.02739</c:v>
                </c:pt>
                <c:pt idx="163">
                  <c:v>0.03036</c:v>
                </c:pt>
                <c:pt idx="164">
                  <c:v>0.03294</c:v>
                </c:pt>
                <c:pt idx="165">
                  <c:v>0.03618</c:v>
                </c:pt>
                <c:pt idx="166">
                  <c:v>0.03621</c:v>
                </c:pt>
                <c:pt idx="167">
                  <c:v>0.03622</c:v>
                </c:pt>
                <c:pt idx="168">
                  <c:v>0.03665</c:v>
                </c:pt>
                <c:pt idx="169">
                  <c:v>0.0357</c:v>
                </c:pt>
                <c:pt idx="170">
                  <c:v>0.03511</c:v>
                </c:pt>
                <c:pt idx="171">
                  <c:v>0.03323</c:v>
                </c:pt>
                <c:pt idx="172">
                  <c:v>0.03069</c:v>
                </c:pt>
                <c:pt idx="173">
                  <c:v>0.02817</c:v>
                </c:pt>
                <c:pt idx="174">
                  <c:v>0.02535</c:v>
                </c:pt>
                <c:pt idx="175">
                  <c:v>0.02257</c:v>
                </c:pt>
                <c:pt idx="176">
                  <c:v>0.0199</c:v>
                </c:pt>
                <c:pt idx="177">
                  <c:v>0.01893</c:v>
                </c:pt>
                <c:pt idx="178">
                  <c:v>0.01798</c:v>
                </c:pt>
                <c:pt idx="179">
                  <c:v>0.01633</c:v>
                </c:pt>
                <c:pt idx="180">
                  <c:v>0.01537</c:v>
                </c:pt>
                <c:pt idx="181">
                  <c:v>0.0141</c:v>
                </c:pt>
                <c:pt idx="182">
                  <c:v>0.01382</c:v>
                </c:pt>
                <c:pt idx="183">
                  <c:v>0.01391</c:v>
                </c:pt>
                <c:pt idx="184">
                  <c:v>0.01472</c:v>
                </c:pt>
                <c:pt idx="185">
                  <c:v>0.01555</c:v>
                </c:pt>
                <c:pt idx="186">
                  <c:v>0.01603</c:v>
                </c:pt>
                <c:pt idx="187">
                  <c:v>0.01651</c:v>
                </c:pt>
                <c:pt idx="188">
                  <c:v>0.01772</c:v>
                </c:pt>
                <c:pt idx="189">
                  <c:v>0.01932</c:v>
                </c:pt>
                <c:pt idx="190">
                  <c:v>0.02129</c:v>
                </c:pt>
                <c:pt idx="191">
                  <c:v>0.02326</c:v>
                </c:pt>
                <c:pt idx="192">
                  <c:v>0.02487</c:v>
                </c:pt>
                <c:pt idx="193">
                  <c:v>0.02578</c:v>
                </c:pt>
                <c:pt idx="194">
                  <c:v>0.02707</c:v>
                </c:pt>
                <c:pt idx="195">
                  <c:v>0.02728</c:v>
                </c:pt>
                <c:pt idx="196">
                  <c:v>0.0271</c:v>
                </c:pt>
                <c:pt idx="197">
                  <c:v>0.02733</c:v>
                </c:pt>
                <c:pt idx="198">
                  <c:v>0.02798</c:v>
                </c:pt>
                <c:pt idx="199">
                  <c:v>0.02747</c:v>
                </c:pt>
                <c:pt idx="200">
                  <c:v>0.02618</c:v>
                </c:pt>
                <c:pt idx="201">
                  <c:v>0.02487</c:v>
                </c:pt>
                <c:pt idx="202">
                  <c:v>0.02356</c:v>
                </c:pt>
                <c:pt idx="203">
                  <c:v>0.02354</c:v>
                </c:pt>
                <c:pt idx="204">
                  <c:v>0.02389</c:v>
                </c:pt>
                <c:pt idx="205">
                  <c:v>0.02349</c:v>
                </c:pt>
                <c:pt idx="206">
                  <c:v>0.023</c:v>
                </c:pt>
                <c:pt idx="207">
                  <c:v>0.02287</c:v>
                </c:pt>
                <c:pt idx="208">
                  <c:v>0.02259</c:v>
                </c:pt>
                <c:pt idx="209">
                  <c:v>0.02149</c:v>
                </c:pt>
                <c:pt idx="210">
                  <c:v>0.02085</c:v>
                </c:pt>
                <c:pt idx="211">
                  <c:v>0.0206</c:v>
                </c:pt>
                <c:pt idx="212">
                  <c:v>0.02087</c:v>
                </c:pt>
                <c:pt idx="213">
                  <c:v>0.02111</c:v>
                </c:pt>
                <c:pt idx="214">
                  <c:v>0.01944</c:v>
                </c:pt>
                <c:pt idx="215">
                  <c:v>0.01781</c:v>
                </c:pt>
                <c:pt idx="216">
                  <c:v>0.01652</c:v>
                </c:pt>
                <c:pt idx="217">
                  <c:v>0.01573</c:v>
                </c:pt>
                <c:pt idx="218">
                  <c:v>0.01502</c:v>
                </c:pt>
                <c:pt idx="219">
                  <c:v>0.01446</c:v>
                </c:pt>
                <c:pt idx="220">
                  <c:v>0.01489</c:v>
                </c:pt>
                <c:pt idx="221">
                  <c:v>0.01467</c:v>
                </c:pt>
                <c:pt idx="222">
                  <c:v>0.01519</c:v>
                </c:pt>
                <c:pt idx="223">
                  <c:v>0.01453</c:v>
                </c:pt>
                <c:pt idx="224">
                  <c:v>0.01468</c:v>
                </c:pt>
                <c:pt idx="225">
                  <c:v>0.01579</c:v>
                </c:pt>
                <c:pt idx="226">
                  <c:v>0.01757</c:v>
                </c:pt>
                <c:pt idx="227">
                  <c:v>0.01938</c:v>
                </c:pt>
                <c:pt idx="228">
                  <c:v>0.02114</c:v>
                </c:pt>
                <c:pt idx="229">
                  <c:v>0.02284</c:v>
                </c:pt>
                <c:pt idx="230">
                  <c:v>0.02449</c:v>
                </c:pt>
                <c:pt idx="231">
                  <c:v>0.02484</c:v>
                </c:pt>
                <c:pt idx="232">
                  <c:v>0.02579</c:v>
                </c:pt>
                <c:pt idx="233">
                  <c:v>0.02529</c:v>
                </c:pt>
                <c:pt idx="234">
                  <c:v>0.02544</c:v>
                </c:pt>
                <c:pt idx="235">
                  <c:v>0.02409</c:v>
                </c:pt>
                <c:pt idx="236">
                  <c:v>0.02345</c:v>
                </c:pt>
                <c:pt idx="237">
                  <c:v>0.02359</c:v>
                </c:pt>
                <c:pt idx="238">
                  <c:v>0.02371</c:v>
                </c:pt>
                <c:pt idx="239">
                  <c:v>0.02384</c:v>
                </c:pt>
                <c:pt idx="240">
                  <c:v>0.02399</c:v>
                </c:pt>
                <c:pt idx="241">
                  <c:v>0.02413</c:v>
                </c:pt>
                <c:pt idx="242">
                  <c:v>0.0257</c:v>
                </c:pt>
                <c:pt idx="243">
                  <c:v>0.02731</c:v>
                </c:pt>
                <c:pt idx="244">
                  <c:v>0.02964</c:v>
                </c:pt>
                <c:pt idx="245">
                  <c:v>0.03273</c:v>
                </c:pt>
                <c:pt idx="246">
                  <c:v>0.03656</c:v>
                </c:pt>
                <c:pt idx="247">
                  <c:v>0.03891</c:v>
                </c:pt>
                <c:pt idx="248">
                  <c:v>0.03751</c:v>
                </c:pt>
                <c:pt idx="249">
                  <c:v>0.03612</c:v>
                </c:pt>
                <c:pt idx="250">
                  <c:v>0.0347</c:v>
                </c:pt>
                <c:pt idx="251">
                  <c:v>0.03328</c:v>
                </c:pt>
                <c:pt idx="252">
                  <c:v>0.03185</c:v>
                </c:pt>
                <c:pt idx="253">
                  <c:v>0.02891</c:v>
                </c:pt>
                <c:pt idx="254">
                  <c:v>0.02594</c:v>
                </c:pt>
                <c:pt idx="255">
                  <c:v>0.02295</c:v>
                </c:pt>
                <c:pt idx="256">
                  <c:v>0.01842</c:v>
                </c:pt>
                <c:pt idx="257">
                  <c:v>0.01386</c:v>
                </c:pt>
                <c:pt idx="258">
                  <c:v>0.01006</c:v>
                </c:pt>
                <c:pt idx="259">
                  <c:v>0.008524</c:v>
                </c:pt>
                <c:pt idx="260">
                  <c:v>0.006986</c:v>
                </c:pt>
                <c:pt idx="261">
                  <c:v>0.005445</c:v>
                </c:pt>
                <c:pt idx="262">
                  <c:v>0.003899</c:v>
                </c:pt>
                <c:pt idx="263">
                  <c:v>0.002347</c:v>
                </c:pt>
                <c:pt idx="264">
                  <c:v>0.001565</c:v>
                </c:pt>
                <c:pt idx="265">
                  <c:v>0.0007838</c:v>
                </c:pt>
                <c:pt idx="266">
                  <c:v>0.0</c:v>
                </c:pt>
                <c:pt idx="267">
                  <c:v>0.0</c:v>
                </c:pt>
                <c:pt idx="268">
                  <c:v>0.0</c:v>
                </c:pt>
                <c:pt idx="269">
                  <c:v>0.0</c:v>
                </c:pt>
                <c:pt idx="270">
                  <c:v>0.0</c:v>
                </c:pt>
                <c:pt idx="271">
                  <c:v>0.0</c:v>
                </c:pt>
                <c:pt idx="272">
                  <c:v>0.0</c:v>
                </c:pt>
                <c:pt idx="273">
                  <c:v>0.0</c:v>
                </c:pt>
                <c:pt idx="274">
                  <c:v>0.0</c:v>
                </c:pt>
                <c:pt idx="275">
                  <c:v>0.0</c:v>
                </c:pt>
                <c:pt idx="276">
                  <c:v>0.0</c:v>
                </c:pt>
                <c:pt idx="277">
                  <c:v>0.0</c:v>
                </c:pt>
                <c:pt idx="278">
                  <c:v>0.0</c:v>
                </c:pt>
                <c:pt idx="279">
                  <c:v>0.0</c:v>
                </c:pt>
                <c:pt idx="280">
                  <c:v>0.0</c:v>
                </c:pt>
                <c:pt idx="281">
                  <c:v>0.0</c:v>
                </c:pt>
                <c:pt idx="282">
                  <c:v>0.0</c:v>
                </c:pt>
                <c:pt idx="283">
                  <c:v>0.0</c:v>
                </c:pt>
                <c:pt idx="284">
                  <c:v>0.0</c:v>
                </c:pt>
                <c:pt idx="285">
                  <c:v>0.0</c:v>
                </c:pt>
                <c:pt idx="286">
                  <c:v>0.0</c:v>
                </c:pt>
                <c:pt idx="287">
                  <c:v>0.0</c:v>
                </c:pt>
                <c:pt idx="288">
                  <c:v>0.0</c:v>
                </c:pt>
                <c:pt idx="289">
                  <c:v>0.0</c:v>
                </c:pt>
                <c:pt idx="290">
                  <c:v>0.0</c:v>
                </c:pt>
                <c:pt idx="291">
                  <c:v>0.0</c:v>
                </c:pt>
                <c:pt idx="292">
                  <c:v>0.0</c:v>
                </c:pt>
                <c:pt idx="293">
                  <c:v>0.0</c:v>
                </c:pt>
                <c:pt idx="294">
                  <c:v>0.0</c:v>
                </c:pt>
                <c:pt idx="295">
                  <c:v>0.0</c:v>
                </c:pt>
                <c:pt idx="296">
                  <c:v>0.0</c:v>
                </c:pt>
                <c:pt idx="297">
                  <c:v>0.0</c:v>
                </c:pt>
                <c:pt idx="298">
                  <c:v>0.0</c:v>
                </c:pt>
                <c:pt idx="299">
                  <c:v>0.0</c:v>
                </c:pt>
                <c:pt idx="300">
                  <c:v>0.0</c:v>
                </c:pt>
                <c:pt idx="301">
                  <c:v>0.0</c:v>
                </c:pt>
                <c:pt idx="302">
                  <c:v>0.0</c:v>
                </c:pt>
                <c:pt idx="303">
                  <c:v>0.0</c:v>
                </c:pt>
                <c:pt idx="304">
                  <c:v>0.0</c:v>
                </c:pt>
                <c:pt idx="305">
                  <c:v>0.0</c:v>
                </c:pt>
                <c:pt idx="306">
                  <c:v>0.0</c:v>
                </c:pt>
                <c:pt idx="307">
                  <c:v>0.0</c:v>
                </c:pt>
                <c:pt idx="308">
                  <c:v>0.0</c:v>
                </c:pt>
                <c:pt idx="309">
                  <c:v>0.0</c:v>
                </c:pt>
                <c:pt idx="310">
                  <c:v>0.0</c:v>
                </c:pt>
                <c:pt idx="311">
                  <c:v>0.0</c:v>
                </c:pt>
                <c:pt idx="312">
                  <c:v>0.0</c:v>
                </c:pt>
                <c:pt idx="313">
                  <c:v>0.0</c:v>
                </c:pt>
                <c:pt idx="314">
                  <c:v>0.0</c:v>
                </c:pt>
                <c:pt idx="315">
                  <c:v>0.0</c:v>
                </c:pt>
                <c:pt idx="316">
                  <c:v>0.0</c:v>
                </c:pt>
                <c:pt idx="317">
                  <c:v>0.0</c:v>
                </c:pt>
                <c:pt idx="318">
                  <c:v>0.0</c:v>
                </c:pt>
                <c:pt idx="319">
                  <c:v>0.0</c:v>
                </c:pt>
                <c:pt idx="320">
                  <c:v>0.0</c:v>
                </c:pt>
                <c:pt idx="321">
                  <c:v>0.0</c:v>
                </c:pt>
                <c:pt idx="322">
                  <c:v>0.0</c:v>
                </c:pt>
                <c:pt idx="323">
                  <c:v>0.0</c:v>
                </c:pt>
                <c:pt idx="324">
                  <c:v>0.0</c:v>
                </c:pt>
                <c:pt idx="325">
                  <c:v>0.0</c:v>
                </c:pt>
                <c:pt idx="326">
                  <c:v>0.0</c:v>
                </c:pt>
                <c:pt idx="327">
                  <c:v>0.0</c:v>
                </c:pt>
                <c:pt idx="328">
                  <c:v>0.0</c:v>
                </c:pt>
                <c:pt idx="329">
                  <c:v>0.0</c:v>
                </c:pt>
                <c:pt idx="330">
                  <c:v>0.0</c:v>
                </c:pt>
                <c:pt idx="331">
                  <c:v>0.0</c:v>
                </c:pt>
                <c:pt idx="332">
                  <c:v>0.0</c:v>
                </c:pt>
                <c:pt idx="333">
                  <c:v>0.0</c:v>
                </c:pt>
                <c:pt idx="334">
                  <c:v>0.0</c:v>
                </c:pt>
                <c:pt idx="335">
                  <c:v>0.0</c:v>
                </c:pt>
                <c:pt idx="336">
                  <c:v>0.0</c:v>
                </c:pt>
                <c:pt idx="337">
                  <c:v>0.0</c:v>
                </c:pt>
                <c:pt idx="338">
                  <c:v>0.0</c:v>
                </c:pt>
                <c:pt idx="339">
                  <c:v>0.0</c:v>
                </c:pt>
                <c:pt idx="340">
                  <c:v>0.0</c:v>
                </c:pt>
                <c:pt idx="341">
                  <c:v>0.0</c:v>
                </c:pt>
                <c:pt idx="342">
                  <c:v>0.0</c:v>
                </c:pt>
                <c:pt idx="343">
                  <c:v>0.0</c:v>
                </c:pt>
                <c:pt idx="344">
                  <c:v>0.0</c:v>
                </c:pt>
                <c:pt idx="345">
                  <c:v>0.0</c:v>
                </c:pt>
                <c:pt idx="346">
                  <c:v>0.0</c:v>
                </c:pt>
                <c:pt idx="347">
                  <c:v>0.0</c:v>
                </c:pt>
                <c:pt idx="348">
                  <c:v>0.0</c:v>
                </c:pt>
              </c:numCache>
            </c:numRef>
          </c:yVal>
          <c:smooth val="0"/>
        </c:ser>
        <c:ser>
          <c:idx val="1"/>
          <c:order val="1"/>
          <c:tx>
            <c:v>0DB</c:v>
          </c:tx>
          <c:spPr>
            <a:ln>
              <a:solidFill>
                <a:schemeClr val="tx1">
                  <a:lumMod val="95000"/>
                  <a:lumOff val="5000"/>
                </a:schemeClr>
              </a:solidFill>
            </a:ln>
          </c:spPr>
          <c:marker>
            <c:symbol val="none"/>
          </c:marker>
          <c:xVal>
            <c:numRef>
              <c:f>'[1]7DB2- in2'!$R$5:$R$314</c:f>
              <c:numCache>
                <c:formatCode>General</c:formatCode>
                <c:ptCount val="310"/>
                <c:pt idx="0">
                  <c:v>10.56</c:v>
                </c:pt>
                <c:pt idx="1">
                  <c:v>10.28</c:v>
                </c:pt>
                <c:pt idx="2">
                  <c:v>9.821000000000001</c:v>
                </c:pt>
                <c:pt idx="3">
                  <c:v>9.348000000000001</c:v>
                </c:pt>
                <c:pt idx="4">
                  <c:v>8.842</c:v>
                </c:pt>
                <c:pt idx="5">
                  <c:v>8.292</c:v>
                </c:pt>
                <c:pt idx="6">
                  <c:v>7.821999999999996</c:v>
                </c:pt>
                <c:pt idx="7">
                  <c:v>7.333</c:v>
                </c:pt>
                <c:pt idx="8">
                  <c:v>6.831</c:v>
                </c:pt>
                <c:pt idx="9">
                  <c:v>6.322999999999975</c:v>
                </c:pt>
                <c:pt idx="10">
                  <c:v>5.803999999999998</c:v>
                </c:pt>
                <c:pt idx="11">
                  <c:v>5.281</c:v>
                </c:pt>
                <c:pt idx="12">
                  <c:v>4.753999999999999</c:v>
                </c:pt>
                <c:pt idx="13">
                  <c:v>4.233</c:v>
                </c:pt>
                <c:pt idx="14">
                  <c:v>3.728</c:v>
                </c:pt>
                <c:pt idx="15">
                  <c:v>3.25</c:v>
                </c:pt>
                <c:pt idx="16">
                  <c:v>2.809</c:v>
                </c:pt>
                <c:pt idx="17">
                  <c:v>2.411</c:v>
                </c:pt>
                <c:pt idx="18">
                  <c:v>2.061</c:v>
                </c:pt>
                <c:pt idx="19">
                  <c:v>1.76</c:v>
                </c:pt>
                <c:pt idx="20">
                  <c:v>1.503</c:v>
                </c:pt>
                <c:pt idx="21">
                  <c:v>1.286</c:v>
                </c:pt>
                <c:pt idx="22">
                  <c:v>1.105</c:v>
                </c:pt>
                <c:pt idx="23">
                  <c:v>0.9541</c:v>
                </c:pt>
                <c:pt idx="24">
                  <c:v>0.8293</c:v>
                </c:pt>
                <c:pt idx="25">
                  <c:v>0.726</c:v>
                </c:pt>
                <c:pt idx="26">
                  <c:v>0.6402</c:v>
                </c:pt>
                <c:pt idx="27">
                  <c:v>0.5687</c:v>
                </c:pt>
                <c:pt idx="28">
                  <c:v>0.5088</c:v>
                </c:pt>
                <c:pt idx="29">
                  <c:v>0.4584</c:v>
                </c:pt>
                <c:pt idx="30">
                  <c:v>0.4157</c:v>
                </c:pt>
                <c:pt idx="31">
                  <c:v>0.3794</c:v>
                </c:pt>
                <c:pt idx="32">
                  <c:v>0.3482</c:v>
                </c:pt>
                <c:pt idx="33">
                  <c:v>0.3214</c:v>
                </c:pt>
                <c:pt idx="34">
                  <c:v>0.298</c:v>
                </c:pt>
                <c:pt idx="35">
                  <c:v>0.2776</c:v>
                </c:pt>
                <c:pt idx="36">
                  <c:v>0.2595</c:v>
                </c:pt>
                <c:pt idx="37">
                  <c:v>0.2434</c:v>
                </c:pt>
                <c:pt idx="38">
                  <c:v>0.2289</c:v>
                </c:pt>
                <c:pt idx="39">
                  <c:v>0.2159</c:v>
                </c:pt>
                <c:pt idx="40">
                  <c:v>0.2042</c:v>
                </c:pt>
                <c:pt idx="41">
                  <c:v>0.1936</c:v>
                </c:pt>
                <c:pt idx="42">
                  <c:v>0.1839</c:v>
                </c:pt>
                <c:pt idx="43">
                  <c:v>0.1751</c:v>
                </c:pt>
                <c:pt idx="44">
                  <c:v>0.1668</c:v>
                </c:pt>
                <c:pt idx="45">
                  <c:v>0.1592</c:v>
                </c:pt>
                <c:pt idx="46">
                  <c:v>0.1522</c:v>
                </c:pt>
                <c:pt idx="47">
                  <c:v>0.1456</c:v>
                </c:pt>
                <c:pt idx="48">
                  <c:v>0.1395</c:v>
                </c:pt>
                <c:pt idx="49">
                  <c:v>0.1338</c:v>
                </c:pt>
                <c:pt idx="50">
                  <c:v>0.1284</c:v>
                </c:pt>
                <c:pt idx="51">
                  <c:v>0.1234</c:v>
                </c:pt>
                <c:pt idx="52">
                  <c:v>0.1186</c:v>
                </c:pt>
                <c:pt idx="53">
                  <c:v>0.1142</c:v>
                </c:pt>
                <c:pt idx="54">
                  <c:v>0.11</c:v>
                </c:pt>
                <c:pt idx="55">
                  <c:v>0.1061</c:v>
                </c:pt>
                <c:pt idx="56">
                  <c:v>0.1025</c:v>
                </c:pt>
                <c:pt idx="57">
                  <c:v>0.09907</c:v>
                </c:pt>
                <c:pt idx="58">
                  <c:v>0.09578</c:v>
                </c:pt>
                <c:pt idx="59">
                  <c:v>0.09269</c:v>
                </c:pt>
                <c:pt idx="60">
                  <c:v>0.0898</c:v>
                </c:pt>
                <c:pt idx="61">
                  <c:v>0.08706</c:v>
                </c:pt>
                <c:pt idx="62">
                  <c:v>0.08449</c:v>
                </c:pt>
                <c:pt idx="63">
                  <c:v>0.08205</c:v>
                </c:pt>
                <c:pt idx="64">
                  <c:v>0.07974</c:v>
                </c:pt>
                <c:pt idx="65">
                  <c:v>0.07756</c:v>
                </c:pt>
                <c:pt idx="66">
                  <c:v>0.07547</c:v>
                </c:pt>
                <c:pt idx="67">
                  <c:v>0.07349</c:v>
                </c:pt>
                <c:pt idx="68">
                  <c:v>0.0716</c:v>
                </c:pt>
                <c:pt idx="69">
                  <c:v>0.06985</c:v>
                </c:pt>
                <c:pt idx="70">
                  <c:v>0.06817</c:v>
                </c:pt>
                <c:pt idx="71">
                  <c:v>0.06658</c:v>
                </c:pt>
                <c:pt idx="72">
                  <c:v>0.06502</c:v>
                </c:pt>
                <c:pt idx="73">
                  <c:v>0.06352</c:v>
                </c:pt>
                <c:pt idx="74">
                  <c:v>0.06209</c:v>
                </c:pt>
                <c:pt idx="75">
                  <c:v>0.06071</c:v>
                </c:pt>
                <c:pt idx="76">
                  <c:v>0.05939</c:v>
                </c:pt>
                <c:pt idx="77">
                  <c:v>0.05813</c:v>
                </c:pt>
                <c:pt idx="78">
                  <c:v>0.05689</c:v>
                </c:pt>
                <c:pt idx="79">
                  <c:v>0.05568</c:v>
                </c:pt>
                <c:pt idx="80">
                  <c:v>0.05449</c:v>
                </c:pt>
                <c:pt idx="81">
                  <c:v>0.05334</c:v>
                </c:pt>
                <c:pt idx="82">
                  <c:v>0.05221</c:v>
                </c:pt>
                <c:pt idx="83">
                  <c:v>0.05115</c:v>
                </c:pt>
                <c:pt idx="84">
                  <c:v>0.05011</c:v>
                </c:pt>
                <c:pt idx="85">
                  <c:v>0.0491</c:v>
                </c:pt>
                <c:pt idx="86">
                  <c:v>0.04812</c:v>
                </c:pt>
                <c:pt idx="87">
                  <c:v>0.04717</c:v>
                </c:pt>
                <c:pt idx="88">
                  <c:v>0.04626</c:v>
                </c:pt>
                <c:pt idx="89">
                  <c:v>0.04539</c:v>
                </c:pt>
                <c:pt idx="90">
                  <c:v>0.04458</c:v>
                </c:pt>
                <c:pt idx="91">
                  <c:v>0.04378</c:v>
                </c:pt>
                <c:pt idx="92">
                  <c:v>0.04301</c:v>
                </c:pt>
                <c:pt idx="93">
                  <c:v>0.04229</c:v>
                </c:pt>
                <c:pt idx="94">
                  <c:v>0.04158</c:v>
                </c:pt>
                <c:pt idx="95">
                  <c:v>0.04092</c:v>
                </c:pt>
                <c:pt idx="96">
                  <c:v>0.04027</c:v>
                </c:pt>
                <c:pt idx="97">
                  <c:v>0.03965</c:v>
                </c:pt>
                <c:pt idx="98">
                  <c:v>0.03905</c:v>
                </c:pt>
                <c:pt idx="99">
                  <c:v>0.03846</c:v>
                </c:pt>
                <c:pt idx="100">
                  <c:v>0.0379</c:v>
                </c:pt>
                <c:pt idx="101">
                  <c:v>0.03734</c:v>
                </c:pt>
                <c:pt idx="102">
                  <c:v>0.03682</c:v>
                </c:pt>
                <c:pt idx="103">
                  <c:v>0.0363</c:v>
                </c:pt>
                <c:pt idx="104">
                  <c:v>0.0358</c:v>
                </c:pt>
                <c:pt idx="105">
                  <c:v>0.03531</c:v>
                </c:pt>
                <c:pt idx="106">
                  <c:v>0.03483</c:v>
                </c:pt>
                <c:pt idx="107">
                  <c:v>0.03436</c:v>
                </c:pt>
                <c:pt idx="108">
                  <c:v>0.0339</c:v>
                </c:pt>
                <c:pt idx="109">
                  <c:v>0.03346</c:v>
                </c:pt>
                <c:pt idx="110">
                  <c:v>0.03302</c:v>
                </c:pt>
                <c:pt idx="111">
                  <c:v>0.0326</c:v>
                </c:pt>
                <c:pt idx="112">
                  <c:v>0.03218</c:v>
                </c:pt>
                <c:pt idx="113">
                  <c:v>0.03176</c:v>
                </c:pt>
                <c:pt idx="114">
                  <c:v>0.03136</c:v>
                </c:pt>
                <c:pt idx="115">
                  <c:v>0.03097</c:v>
                </c:pt>
                <c:pt idx="116">
                  <c:v>0.03058</c:v>
                </c:pt>
                <c:pt idx="117">
                  <c:v>0.03019</c:v>
                </c:pt>
                <c:pt idx="118">
                  <c:v>0.0298</c:v>
                </c:pt>
                <c:pt idx="119">
                  <c:v>0.02941</c:v>
                </c:pt>
                <c:pt idx="120">
                  <c:v>0.02903</c:v>
                </c:pt>
                <c:pt idx="121">
                  <c:v>0.02864</c:v>
                </c:pt>
                <c:pt idx="122">
                  <c:v>0.02826</c:v>
                </c:pt>
                <c:pt idx="123">
                  <c:v>0.0279</c:v>
                </c:pt>
                <c:pt idx="124">
                  <c:v>0.02753</c:v>
                </c:pt>
                <c:pt idx="125">
                  <c:v>0.02716</c:v>
                </c:pt>
                <c:pt idx="126">
                  <c:v>0.0268</c:v>
                </c:pt>
                <c:pt idx="127">
                  <c:v>0.02644</c:v>
                </c:pt>
                <c:pt idx="128">
                  <c:v>0.02609</c:v>
                </c:pt>
                <c:pt idx="129">
                  <c:v>0.02574</c:v>
                </c:pt>
                <c:pt idx="130">
                  <c:v>0.02539</c:v>
                </c:pt>
                <c:pt idx="131">
                  <c:v>0.02505</c:v>
                </c:pt>
                <c:pt idx="132">
                  <c:v>0.02472</c:v>
                </c:pt>
                <c:pt idx="133">
                  <c:v>0.02439</c:v>
                </c:pt>
                <c:pt idx="134">
                  <c:v>0.02406</c:v>
                </c:pt>
                <c:pt idx="135">
                  <c:v>0.02373</c:v>
                </c:pt>
                <c:pt idx="136">
                  <c:v>0.0234</c:v>
                </c:pt>
                <c:pt idx="137">
                  <c:v>0.02308</c:v>
                </c:pt>
                <c:pt idx="138">
                  <c:v>0.02276</c:v>
                </c:pt>
                <c:pt idx="139">
                  <c:v>0.02245</c:v>
                </c:pt>
                <c:pt idx="140">
                  <c:v>0.02215</c:v>
                </c:pt>
                <c:pt idx="141">
                  <c:v>0.02185</c:v>
                </c:pt>
                <c:pt idx="142">
                  <c:v>0.02156</c:v>
                </c:pt>
                <c:pt idx="143">
                  <c:v>0.02127</c:v>
                </c:pt>
                <c:pt idx="144">
                  <c:v>0.02098</c:v>
                </c:pt>
                <c:pt idx="145">
                  <c:v>0.0207</c:v>
                </c:pt>
                <c:pt idx="146">
                  <c:v>0.02043</c:v>
                </c:pt>
                <c:pt idx="147">
                  <c:v>0.02017</c:v>
                </c:pt>
                <c:pt idx="148">
                  <c:v>0.01991</c:v>
                </c:pt>
                <c:pt idx="149">
                  <c:v>0.01965</c:v>
                </c:pt>
                <c:pt idx="150">
                  <c:v>0.0194</c:v>
                </c:pt>
                <c:pt idx="151">
                  <c:v>0.01915</c:v>
                </c:pt>
                <c:pt idx="152">
                  <c:v>0.01891</c:v>
                </c:pt>
                <c:pt idx="153">
                  <c:v>0.01868</c:v>
                </c:pt>
                <c:pt idx="154">
                  <c:v>0.01845</c:v>
                </c:pt>
                <c:pt idx="155">
                  <c:v>0.01822</c:v>
                </c:pt>
                <c:pt idx="156">
                  <c:v>0.018</c:v>
                </c:pt>
                <c:pt idx="157">
                  <c:v>0.01778</c:v>
                </c:pt>
                <c:pt idx="158">
                  <c:v>0.01757</c:v>
                </c:pt>
                <c:pt idx="159">
                  <c:v>0.01736</c:v>
                </c:pt>
                <c:pt idx="160">
                  <c:v>0.01716</c:v>
                </c:pt>
                <c:pt idx="161">
                  <c:v>0.01696</c:v>
                </c:pt>
                <c:pt idx="162">
                  <c:v>0.01676</c:v>
                </c:pt>
                <c:pt idx="163">
                  <c:v>0.01657</c:v>
                </c:pt>
                <c:pt idx="164">
                  <c:v>0.01639</c:v>
                </c:pt>
                <c:pt idx="165">
                  <c:v>0.0162</c:v>
                </c:pt>
                <c:pt idx="166">
                  <c:v>0.01602</c:v>
                </c:pt>
                <c:pt idx="167">
                  <c:v>0.01584</c:v>
                </c:pt>
                <c:pt idx="168">
                  <c:v>0.01566</c:v>
                </c:pt>
                <c:pt idx="169">
                  <c:v>0.01549</c:v>
                </c:pt>
                <c:pt idx="170">
                  <c:v>0.01532</c:v>
                </c:pt>
                <c:pt idx="171">
                  <c:v>0.01516</c:v>
                </c:pt>
                <c:pt idx="172">
                  <c:v>0.015</c:v>
                </c:pt>
                <c:pt idx="173">
                  <c:v>0.01485</c:v>
                </c:pt>
                <c:pt idx="174">
                  <c:v>0.0147</c:v>
                </c:pt>
                <c:pt idx="175">
                  <c:v>0.01456</c:v>
                </c:pt>
                <c:pt idx="176">
                  <c:v>0.01443</c:v>
                </c:pt>
                <c:pt idx="177">
                  <c:v>0.0143</c:v>
                </c:pt>
                <c:pt idx="178">
                  <c:v>0.01417</c:v>
                </c:pt>
                <c:pt idx="179">
                  <c:v>0.01405</c:v>
                </c:pt>
                <c:pt idx="180">
                  <c:v>0.01394</c:v>
                </c:pt>
                <c:pt idx="181">
                  <c:v>0.01383</c:v>
                </c:pt>
                <c:pt idx="182">
                  <c:v>0.01373</c:v>
                </c:pt>
                <c:pt idx="183">
                  <c:v>0.01362</c:v>
                </c:pt>
                <c:pt idx="184">
                  <c:v>0.01353</c:v>
                </c:pt>
                <c:pt idx="185">
                  <c:v>0.01343</c:v>
                </c:pt>
                <c:pt idx="186">
                  <c:v>0.01332</c:v>
                </c:pt>
                <c:pt idx="187">
                  <c:v>0.01322</c:v>
                </c:pt>
                <c:pt idx="188">
                  <c:v>0.01312</c:v>
                </c:pt>
                <c:pt idx="189">
                  <c:v>0.01302</c:v>
                </c:pt>
                <c:pt idx="190">
                  <c:v>0.01293</c:v>
                </c:pt>
                <c:pt idx="191">
                  <c:v>0.01283</c:v>
                </c:pt>
                <c:pt idx="192">
                  <c:v>0.01274</c:v>
                </c:pt>
                <c:pt idx="193">
                  <c:v>0.01265</c:v>
                </c:pt>
                <c:pt idx="194">
                  <c:v>0.01256</c:v>
                </c:pt>
                <c:pt idx="195">
                  <c:v>0.01247</c:v>
                </c:pt>
                <c:pt idx="196">
                  <c:v>0.01238</c:v>
                </c:pt>
                <c:pt idx="197">
                  <c:v>0.0123</c:v>
                </c:pt>
                <c:pt idx="198">
                  <c:v>0.01222</c:v>
                </c:pt>
                <c:pt idx="199">
                  <c:v>0.01215</c:v>
                </c:pt>
                <c:pt idx="200">
                  <c:v>0.01207</c:v>
                </c:pt>
                <c:pt idx="201">
                  <c:v>0.012</c:v>
                </c:pt>
                <c:pt idx="202">
                  <c:v>0.01192</c:v>
                </c:pt>
                <c:pt idx="203">
                  <c:v>0.01185</c:v>
                </c:pt>
                <c:pt idx="204">
                  <c:v>0.01178</c:v>
                </c:pt>
                <c:pt idx="205">
                  <c:v>0.01171</c:v>
                </c:pt>
                <c:pt idx="206">
                  <c:v>0.01164</c:v>
                </c:pt>
                <c:pt idx="207">
                  <c:v>0.01157</c:v>
                </c:pt>
                <c:pt idx="208">
                  <c:v>0.0115</c:v>
                </c:pt>
                <c:pt idx="209">
                  <c:v>0.01143</c:v>
                </c:pt>
                <c:pt idx="210">
                  <c:v>0.01136</c:v>
                </c:pt>
                <c:pt idx="211">
                  <c:v>0.01129</c:v>
                </c:pt>
                <c:pt idx="212">
                  <c:v>0.01122</c:v>
                </c:pt>
                <c:pt idx="213">
                  <c:v>0.01116</c:v>
                </c:pt>
                <c:pt idx="214">
                  <c:v>0.01109</c:v>
                </c:pt>
                <c:pt idx="215">
                  <c:v>0.01103</c:v>
                </c:pt>
                <c:pt idx="216">
                  <c:v>0.01096</c:v>
                </c:pt>
                <c:pt idx="217">
                  <c:v>0.0109</c:v>
                </c:pt>
                <c:pt idx="218">
                  <c:v>0.01084</c:v>
                </c:pt>
                <c:pt idx="219">
                  <c:v>0.01077</c:v>
                </c:pt>
                <c:pt idx="220">
                  <c:v>0.01071</c:v>
                </c:pt>
                <c:pt idx="221">
                  <c:v>0.01065</c:v>
                </c:pt>
                <c:pt idx="222">
                  <c:v>0.01059</c:v>
                </c:pt>
                <c:pt idx="223">
                  <c:v>0.01053</c:v>
                </c:pt>
                <c:pt idx="224">
                  <c:v>0.01047</c:v>
                </c:pt>
                <c:pt idx="225">
                  <c:v>0.01041</c:v>
                </c:pt>
                <c:pt idx="226">
                  <c:v>0.01035</c:v>
                </c:pt>
                <c:pt idx="227">
                  <c:v>0.01029</c:v>
                </c:pt>
                <c:pt idx="228">
                  <c:v>0.01024</c:v>
                </c:pt>
                <c:pt idx="229">
                  <c:v>0.01018</c:v>
                </c:pt>
                <c:pt idx="230">
                  <c:v>0.01012</c:v>
                </c:pt>
                <c:pt idx="231">
                  <c:v>0.01007</c:v>
                </c:pt>
                <c:pt idx="232">
                  <c:v>0.01001</c:v>
                </c:pt>
                <c:pt idx="233">
                  <c:v>0.009957</c:v>
                </c:pt>
                <c:pt idx="234">
                  <c:v>0.009903</c:v>
                </c:pt>
                <c:pt idx="235">
                  <c:v>0.009849</c:v>
                </c:pt>
                <c:pt idx="236">
                  <c:v>0.009795</c:v>
                </c:pt>
                <c:pt idx="237">
                  <c:v>0.009742</c:v>
                </c:pt>
                <c:pt idx="238">
                  <c:v>0.009689</c:v>
                </c:pt>
                <c:pt idx="239">
                  <c:v>0.009636</c:v>
                </c:pt>
                <c:pt idx="240">
                  <c:v>0.009584</c:v>
                </c:pt>
                <c:pt idx="241">
                  <c:v>0.009532</c:v>
                </c:pt>
                <c:pt idx="242">
                  <c:v>0.00948</c:v>
                </c:pt>
                <c:pt idx="243">
                  <c:v>0.009429</c:v>
                </c:pt>
                <c:pt idx="244">
                  <c:v>0.009378</c:v>
                </c:pt>
                <c:pt idx="245">
                  <c:v>0.009327</c:v>
                </c:pt>
                <c:pt idx="246">
                  <c:v>0.009277</c:v>
                </c:pt>
                <c:pt idx="247">
                  <c:v>0.009227</c:v>
                </c:pt>
                <c:pt idx="248">
                  <c:v>0.009176</c:v>
                </c:pt>
                <c:pt idx="249">
                  <c:v>0.009124</c:v>
                </c:pt>
                <c:pt idx="250">
                  <c:v>0.009073</c:v>
                </c:pt>
                <c:pt idx="251">
                  <c:v>0.009022</c:v>
                </c:pt>
                <c:pt idx="252">
                  <c:v>0.008971</c:v>
                </c:pt>
                <c:pt idx="253">
                  <c:v>0.008919</c:v>
                </c:pt>
                <c:pt idx="254">
                  <c:v>0.008866</c:v>
                </c:pt>
                <c:pt idx="255">
                  <c:v>0.008814</c:v>
                </c:pt>
                <c:pt idx="256">
                  <c:v>0.00876</c:v>
                </c:pt>
                <c:pt idx="257">
                  <c:v>0.008707</c:v>
                </c:pt>
                <c:pt idx="258">
                  <c:v>0.008654</c:v>
                </c:pt>
                <c:pt idx="259">
                  <c:v>0.008601</c:v>
                </c:pt>
                <c:pt idx="260">
                  <c:v>0.008549</c:v>
                </c:pt>
                <c:pt idx="261">
                  <c:v>0.008498</c:v>
                </c:pt>
                <c:pt idx="262">
                  <c:v>0.008446</c:v>
                </c:pt>
                <c:pt idx="263">
                  <c:v>0.008394</c:v>
                </c:pt>
                <c:pt idx="264">
                  <c:v>0.008344</c:v>
                </c:pt>
                <c:pt idx="265">
                  <c:v>0.008293</c:v>
                </c:pt>
                <c:pt idx="266">
                  <c:v>0.008243</c:v>
                </c:pt>
                <c:pt idx="267">
                  <c:v>0.008194</c:v>
                </c:pt>
                <c:pt idx="268">
                  <c:v>0.008145</c:v>
                </c:pt>
                <c:pt idx="269">
                  <c:v>0.008096</c:v>
                </c:pt>
                <c:pt idx="270">
                  <c:v>0.008048</c:v>
                </c:pt>
                <c:pt idx="271">
                  <c:v>0.008</c:v>
                </c:pt>
                <c:pt idx="272">
                  <c:v>0.007953</c:v>
                </c:pt>
                <c:pt idx="273">
                  <c:v>0.007907</c:v>
                </c:pt>
                <c:pt idx="274">
                  <c:v>0.00786</c:v>
                </c:pt>
                <c:pt idx="275">
                  <c:v>0.007815</c:v>
                </c:pt>
                <c:pt idx="276">
                  <c:v>0.00777</c:v>
                </c:pt>
                <c:pt idx="277">
                  <c:v>0.007725</c:v>
                </c:pt>
                <c:pt idx="278">
                  <c:v>0.00768</c:v>
                </c:pt>
                <c:pt idx="279">
                  <c:v>0.007636</c:v>
                </c:pt>
                <c:pt idx="280">
                  <c:v>0.007593</c:v>
                </c:pt>
                <c:pt idx="281">
                  <c:v>0.00755</c:v>
                </c:pt>
                <c:pt idx="282">
                  <c:v>0.007507</c:v>
                </c:pt>
                <c:pt idx="283">
                  <c:v>0.007464</c:v>
                </c:pt>
                <c:pt idx="284">
                  <c:v>0.007422</c:v>
                </c:pt>
                <c:pt idx="285">
                  <c:v>0.00738</c:v>
                </c:pt>
                <c:pt idx="286">
                  <c:v>0.007339</c:v>
                </c:pt>
                <c:pt idx="287">
                  <c:v>0.007298</c:v>
                </c:pt>
                <c:pt idx="288">
                  <c:v>0.007257</c:v>
                </c:pt>
                <c:pt idx="289">
                  <c:v>0.007217</c:v>
                </c:pt>
                <c:pt idx="290">
                  <c:v>0.007177</c:v>
                </c:pt>
                <c:pt idx="291">
                  <c:v>0.007137</c:v>
                </c:pt>
                <c:pt idx="292">
                  <c:v>0.007098</c:v>
                </c:pt>
                <c:pt idx="293">
                  <c:v>0.00706</c:v>
                </c:pt>
                <c:pt idx="294">
                  <c:v>0.007021</c:v>
                </c:pt>
                <c:pt idx="295">
                  <c:v>0.006983</c:v>
                </c:pt>
                <c:pt idx="296">
                  <c:v>0.006946</c:v>
                </c:pt>
                <c:pt idx="297">
                  <c:v>0.006908</c:v>
                </c:pt>
                <c:pt idx="298">
                  <c:v>0.006871</c:v>
                </c:pt>
                <c:pt idx="299">
                  <c:v>0.006834</c:v>
                </c:pt>
                <c:pt idx="300">
                  <c:v>0.006798</c:v>
                </c:pt>
                <c:pt idx="301">
                  <c:v>0.006762</c:v>
                </c:pt>
                <c:pt idx="302">
                  <c:v>0.006726</c:v>
                </c:pt>
                <c:pt idx="303">
                  <c:v>0.006691</c:v>
                </c:pt>
                <c:pt idx="304">
                  <c:v>0.006656</c:v>
                </c:pt>
                <c:pt idx="305">
                  <c:v>0.006621</c:v>
                </c:pt>
                <c:pt idx="306">
                  <c:v>0.006586</c:v>
                </c:pt>
                <c:pt idx="307">
                  <c:v>0.006552</c:v>
                </c:pt>
                <c:pt idx="308">
                  <c:v>0.006518</c:v>
                </c:pt>
                <c:pt idx="309">
                  <c:v>0.006485</c:v>
                </c:pt>
              </c:numCache>
            </c:numRef>
          </c:xVal>
          <c:yVal>
            <c:numRef>
              <c:f>'[1]7DB2- in2'!$W$5:$W$314</c:f>
              <c:numCache>
                <c:formatCode>General</c:formatCode>
                <c:ptCount val="310"/>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0.0004258</c:v>
                </c:pt>
                <c:pt idx="38">
                  <c:v>0.001313</c:v>
                </c:pt>
                <c:pt idx="39">
                  <c:v>0.002226</c:v>
                </c:pt>
                <c:pt idx="40">
                  <c:v>0.003635</c:v>
                </c:pt>
                <c:pt idx="41">
                  <c:v>0.005324</c:v>
                </c:pt>
                <c:pt idx="42">
                  <c:v>0.007307</c:v>
                </c:pt>
                <c:pt idx="43">
                  <c:v>0.009354</c:v>
                </c:pt>
                <c:pt idx="44">
                  <c:v>0.01172</c:v>
                </c:pt>
                <c:pt idx="45">
                  <c:v>0.01467</c:v>
                </c:pt>
                <c:pt idx="46">
                  <c:v>0.01768</c:v>
                </c:pt>
                <c:pt idx="47">
                  <c:v>0.02076</c:v>
                </c:pt>
                <c:pt idx="48">
                  <c:v>0.02322</c:v>
                </c:pt>
                <c:pt idx="49">
                  <c:v>0.02499</c:v>
                </c:pt>
                <c:pt idx="50">
                  <c:v>0.02743</c:v>
                </c:pt>
                <c:pt idx="51">
                  <c:v>0.02947</c:v>
                </c:pt>
                <c:pt idx="52">
                  <c:v>0.03133</c:v>
                </c:pt>
                <c:pt idx="53">
                  <c:v>0.03324</c:v>
                </c:pt>
                <c:pt idx="54">
                  <c:v>0.03588</c:v>
                </c:pt>
                <c:pt idx="55">
                  <c:v>0.03835</c:v>
                </c:pt>
                <c:pt idx="56">
                  <c:v>0.03965</c:v>
                </c:pt>
                <c:pt idx="57">
                  <c:v>0.04139</c:v>
                </c:pt>
                <c:pt idx="58">
                  <c:v>0.04357</c:v>
                </c:pt>
                <c:pt idx="59">
                  <c:v>0.04567</c:v>
                </c:pt>
                <c:pt idx="60">
                  <c:v>0.04776</c:v>
                </c:pt>
                <c:pt idx="61">
                  <c:v>0.04882</c:v>
                </c:pt>
                <c:pt idx="62">
                  <c:v>0.0495</c:v>
                </c:pt>
                <c:pt idx="63">
                  <c:v>0.04974</c:v>
                </c:pt>
                <c:pt idx="64">
                  <c:v>0.04894</c:v>
                </c:pt>
                <c:pt idx="65">
                  <c:v>0.04697</c:v>
                </c:pt>
                <c:pt idx="66">
                  <c:v>0.04538</c:v>
                </c:pt>
                <c:pt idx="67">
                  <c:v>0.04435</c:v>
                </c:pt>
                <c:pt idx="68">
                  <c:v>0.0429</c:v>
                </c:pt>
                <c:pt idx="69">
                  <c:v>0.04101</c:v>
                </c:pt>
                <c:pt idx="70">
                  <c:v>0.03991</c:v>
                </c:pt>
                <c:pt idx="71">
                  <c:v>0.03967</c:v>
                </c:pt>
                <c:pt idx="72">
                  <c:v>0.03935</c:v>
                </c:pt>
                <c:pt idx="73">
                  <c:v>0.03879</c:v>
                </c:pt>
                <c:pt idx="74">
                  <c:v>0.0411</c:v>
                </c:pt>
                <c:pt idx="75">
                  <c:v>0.04459</c:v>
                </c:pt>
                <c:pt idx="76">
                  <c:v>0.04807</c:v>
                </c:pt>
                <c:pt idx="77">
                  <c:v>0.04994</c:v>
                </c:pt>
                <c:pt idx="78">
                  <c:v>0.05312</c:v>
                </c:pt>
                <c:pt idx="79">
                  <c:v>0.05622</c:v>
                </c:pt>
                <c:pt idx="80">
                  <c:v>0.05991</c:v>
                </c:pt>
                <c:pt idx="81">
                  <c:v>0.06252</c:v>
                </c:pt>
                <c:pt idx="82">
                  <c:v>0.06408</c:v>
                </c:pt>
                <c:pt idx="83">
                  <c:v>0.06672</c:v>
                </c:pt>
                <c:pt idx="84">
                  <c:v>0.07069</c:v>
                </c:pt>
                <c:pt idx="85">
                  <c:v>0.07002</c:v>
                </c:pt>
                <c:pt idx="86">
                  <c:v>0.06892</c:v>
                </c:pt>
                <c:pt idx="87">
                  <c:v>0.06891</c:v>
                </c:pt>
                <c:pt idx="88">
                  <c:v>0.07025</c:v>
                </c:pt>
                <c:pt idx="89">
                  <c:v>0.07102</c:v>
                </c:pt>
                <c:pt idx="90">
                  <c:v>0.07143</c:v>
                </c:pt>
                <c:pt idx="91">
                  <c:v>0.06985</c:v>
                </c:pt>
                <c:pt idx="92">
                  <c:v>0.069</c:v>
                </c:pt>
                <c:pt idx="93">
                  <c:v>0.0687</c:v>
                </c:pt>
                <c:pt idx="94">
                  <c:v>0.06704</c:v>
                </c:pt>
                <c:pt idx="95">
                  <c:v>0.06393</c:v>
                </c:pt>
                <c:pt idx="96">
                  <c:v>0.06296</c:v>
                </c:pt>
                <c:pt idx="97">
                  <c:v>0.06135</c:v>
                </c:pt>
                <c:pt idx="98">
                  <c:v>0.05827</c:v>
                </c:pt>
                <c:pt idx="99">
                  <c:v>0.05496</c:v>
                </c:pt>
                <c:pt idx="100">
                  <c:v>0.04938</c:v>
                </c:pt>
                <c:pt idx="101">
                  <c:v>0.04498</c:v>
                </c:pt>
                <c:pt idx="102">
                  <c:v>0.04193</c:v>
                </c:pt>
                <c:pt idx="103">
                  <c:v>0.03873</c:v>
                </c:pt>
                <c:pt idx="104">
                  <c:v>0.03547</c:v>
                </c:pt>
                <c:pt idx="105">
                  <c:v>0.03374</c:v>
                </c:pt>
                <c:pt idx="106">
                  <c:v>0.03271</c:v>
                </c:pt>
                <c:pt idx="107">
                  <c:v>0.03243</c:v>
                </c:pt>
                <c:pt idx="108">
                  <c:v>0.0328</c:v>
                </c:pt>
                <c:pt idx="109">
                  <c:v>0.034</c:v>
                </c:pt>
                <c:pt idx="110">
                  <c:v>0.03609</c:v>
                </c:pt>
                <c:pt idx="111">
                  <c:v>0.03885</c:v>
                </c:pt>
                <c:pt idx="112">
                  <c:v>0.03985</c:v>
                </c:pt>
                <c:pt idx="113">
                  <c:v>0.04085</c:v>
                </c:pt>
                <c:pt idx="114">
                  <c:v>0.04255</c:v>
                </c:pt>
                <c:pt idx="115">
                  <c:v>0.04426</c:v>
                </c:pt>
                <c:pt idx="116">
                  <c:v>0.04415</c:v>
                </c:pt>
                <c:pt idx="117">
                  <c:v>0.04489</c:v>
                </c:pt>
                <c:pt idx="118">
                  <c:v>0.04321</c:v>
                </c:pt>
                <c:pt idx="119">
                  <c:v>0.04148</c:v>
                </c:pt>
                <c:pt idx="120">
                  <c:v>0.03962</c:v>
                </c:pt>
                <c:pt idx="121">
                  <c:v>0.03601</c:v>
                </c:pt>
                <c:pt idx="122">
                  <c:v>0.03326</c:v>
                </c:pt>
                <c:pt idx="123">
                  <c:v>0.03151</c:v>
                </c:pt>
                <c:pt idx="124">
                  <c:v>0.02969</c:v>
                </c:pt>
                <c:pt idx="125">
                  <c:v>0.02634</c:v>
                </c:pt>
                <c:pt idx="126">
                  <c:v>0.02456</c:v>
                </c:pt>
                <c:pt idx="127">
                  <c:v>0.02381</c:v>
                </c:pt>
                <c:pt idx="128">
                  <c:v>0.0213</c:v>
                </c:pt>
                <c:pt idx="129">
                  <c:v>0.02039</c:v>
                </c:pt>
                <c:pt idx="130">
                  <c:v>0.01945</c:v>
                </c:pt>
                <c:pt idx="131">
                  <c:v>0.0186</c:v>
                </c:pt>
                <c:pt idx="132">
                  <c:v>0.01936</c:v>
                </c:pt>
                <c:pt idx="133">
                  <c:v>0.02012</c:v>
                </c:pt>
                <c:pt idx="134">
                  <c:v>0.02087</c:v>
                </c:pt>
                <c:pt idx="135">
                  <c:v>0.02168</c:v>
                </c:pt>
                <c:pt idx="136">
                  <c:v>0.02412</c:v>
                </c:pt>
                <c:pt idx="137">
                  <c:v>0.02413</c:v>
                </c:pt>
                <c:pt idx="138">
                  <c:v>0.02405</c:v>
                </c:pt>
                <c:pt idx="139">
                  <c:v>0.02488</c:v>
                </c:pt>
                <c:pt idx="140">
                  <c:v>0.02576</c:v>
                </c:pt>
                <c:pt idx="141">
                  <c:v>0.02669</c:v>
                </c:pt>
                <c:pt idx="142">
                  <c:v>0.02762</c:v>
                </c:pt>
                <c:pt idx="143">
                  <c:v>0.02693</c:v>
                </c:pt>
                <c:pt idx="144">
                  <c:v>0.02713</c:v>
                </c:pt>
                <c:pt idx="145">
                  <c:v>0.02898</c:v>
                </c:pt>
                <c:pt idx="146">
                  <c:v>0.03085</c:v>
                </c:pt>
                <c:pt idx="147">
                  <c:v>0.03106</c:v>
                </c:pt>
                <c:pt idx="148">
                  <c:v>0.03124</c:v>
                </c:pt>
                <c:pt idx="149">
                  <c:v>0.03236</c:v>
                </c:pt>
                <c:pt idx="150">
                  <c:v>0.03348</c:v>
                </c:pt>
                <c:pt idx="151">
                  <c:v>0.03459</c:v>
                </c:pt>
                <c:pt idx="152">
                  <c:v>0.03569</c:v>
                </c:pt>
                <c:pt idx="153">
                  <c:v>0.03683</c:v>
                </c:pt>
                <c:pt idx="154">
                  <c:v>0.03882</c:v>
                </c:pt>
                <c:pt idx="155">
                  <c:v>0.03905</c:v>
                </c:pt>
                <c:pt idx="156">
                  <c:v>0.03574</c:v>
                </c:pt>
                <c:pt idx="157">
                  <c:v>0.0324</c:v>
                </c:pt>
                <c:pt idx="158">
                  <c:v>0.03084</c:v>
                </c:pt>
                <c:pt idx="159">
                  <c:v>0.03014</c:v>
                </c:pt>
                <c:pt idx="160">
                  <c:v>0.02757</c:v>
                </c:pt>
                <c:pt idx="161">
                  <c:v>0.02497</c:v>
                </c:pt>
                <c:pt idx="162">
                  <c:v>0.02234</c:v>
                </c:pt>
                <c:pt idx="163">
                  <c:v>0.01971</c:v>
                </c:pt>
                <c:pt idx="164">
                  <c:v>0.01704</c:v>
                </c:pt>
                <c:pt idx="165">
                  <c:v>0.01434</c:v>
                </c:pt>
                <c:pt idx="166">
                  <c:v>0.01257</c:v>
                </c:pt>
                <c:pt idx="167">
                  <c:v>0.0127</c:v>
                </c:pt>
                <c:pt idx="168">
                  <c:v>0.0128</c:v>
                </c:pt>
                <c:pt idx="169">
                  <c:v>0.012</c:v>
                </c:pt>
                <c:pt idx="170">
                  <c:v>0.01124</c:v>
                </c:pt>
                <c:pt idx="171">
                  <c:v>0.01148</c:v>
                </c:pt>
                <c:pt idx="172">
                  <c:v>0.0117</c:v>
                </c:pt>
                <c:pt idx="173">
                  <c:v>0.01198</c:v>
                </c:pt>
                <c:pt idx="174">
                  <c:v>0.01231</c:v>
                </c:pt>
                <c:pt idx="175">
                  <c:v>0.0127</c:v>
                </c:pt>
                <c:pt idx="176">
                  <c:v>0.01314</c:v>
                </c:pt>
                <c:pt idx="177">
                  <c:v>0.01355</c:v>
                </c:pt>
                <c:pt idx="178">
                  <c:v>0.01393</c:v>
                </c:pt>
                <c:pt idx="179">
                  <c:v>0.01595</c:v>
                </c:pt>
                <c:pt idx="180">
                  <c:v>0.01775</c:v>
                </c:pt>
                <c:pt idx="181">
                  <c:v>0.01952</c:v>
                </c:pt>
                <c:pt idx="182">
                  <c:v>0.02109</c:v>
                </c:pt>
                <c:pt idx="183">
                  <c:v>0.02284</c:v>
                </c:pt>
                <c:pt idx="184">
                  <c:v>0.02455</c:v>
                </c:pt>
                <c:pt idx="185">
                  <c:v>0.02623</c:v>
                </c:pt>
                <c:pt idx="186">
                  <c:v>0.02785</c:v>
                </c:pt>
                <c:pt idx="187">
                  <c:v>0.02943</c:v>
                </c:pt>
                <c:pt idx="188">
                  <c:v>0.03102</c:v>
                </c:pt>
                <c:pt idx="189">
                  <c:v>0.03261</c:v>
                </c:pt>
                <c:pt idx="190">
                  <c:v>0.03106</c:v>
                </c:pt>
                <c:pt idx="191">
                  <c:v>0.02816</c:v>
                </c:pt>
                <c:pt idx="192">
                  <c:v>0.02524</c:v>
                </c:pt>
                <c:pt idx="193">
                  <c:v>0.02247</c:v>
                </c:pt>
                <c:pt idx="194">
                  <c:v>0.01953</c:v>
                </c:pt>
                <c:pt idx="195">
                  <c:v>0.01656</c:v>
                </c:pt>
                <c:pt idx="196">
                  <c:v>0.01358</c:v>
                </c:pt>
                <c:pt idx="197">
                  <c:v>0.01059</c:v>
                </c:pt>
                <c:pt idx="198">
                  <c:v>0.007586</c:v>
                </c:pt>
                <c:pt idx="199">
                  <c:v>0.004559</c:v>
                </c:pt>
                <c:pt idx="200">
                  <c:v>0.001532</c:v>
                </c:pt>
                <c:pt idx="201">
                  <c:v>0.001794</c:v>
                </c:pt>
                <c:pt idx="202">
                  <c:v>0.003588</c:v>
                </c:pt>
                <c:pt idx="203">
                  <c:v>0.005393</c:v>
                </c:pt>
                <c:pt idx="204">
                  <c:v>0.007205</c:v>
                </c:pt>
                <c:pt idx="205">
                  <c:v>0.009024</c:v>
                </c:pt>
                <c:pt idx="206">
                  <c:v>0.01085</c:v>
                </c:pt>
                <c:pt idx="207">
                  <c:v>0.01268</c:v>
                </c:pt>
                <c:pt idx="208">
                  <c:v>0.01453</c:v>
                </c:pt>
                <c:pt idx="209">
                  <c:v>0.01638</c:v>
                </c:pt>
                <c:pt idx="210">
                  <c:v>0.01825</c:v>
                </c:pt>
                <c:pt idx="211">
                  <c:v>0.02199</c:v>
                </c:pt>
                <c:pt idx="212">
                  <c:v>0.02208</c:v>
                </c:pt>
                <c:pt idx="213">
                  <c:v>0.02218</c:v>
                </c:pt>
                <c:pt idx="214">
                  <c:v>0.02228</c:v>
                </c:pt>
                <c:pt idx="215">
                  <c:v>0.02238</c:v>
                </c:pt>
                <c:pt idx="216">
                  <c:v>0.02247</c:v>
                </c:pt>
                <c:pt idx="217">
                  <c:v>0.02257</c:v>
                </c:pt>
                <c:pt idx="218">
                  <c:v>0.02266</c:v>
                </c:pt>
                <c:pt idx="219">
                  <c:v>0.02275</c:v>
                </c:pt>
                <c:pt idx="220">
                  <c:v>0.02283</c:v>
                </c:pt>
                <c:pt idx="221">
                  <c:v>0.02292</c:v>
                </c:pt>
                <c:pt idx="222">
                  <c:v>0.01917</c:v>
                </c:pt>
                <c:pt idx="223">
                  <c:v>0.01729</c:v>
                </c:pt>
                <c:pt idx="224">
                  <c:v>0.01539</c:v>
                </c:pt>
                <c:pt idx="225">
                  <c:v>0.01349</c:v>
                </c:pt>
                <c:pt idx="226">
                  <c:v>0.01158</c:v>
                </c:pt>
                <c:pt idx="227">
                  <c:v>0.009668</c:v>
                </c:pt>
                <c:pt idx="228">
                  <c:v>0.007744</c:v>
                </c:pt>
                <c:pt idx="229">
                  <c:v>0.00582</c:v>
                </c:pt>
                <c:pt idx="230">
                  <c:v>0.003884</c:v>
                </c:pt>
                <c:pt idx="231">
                  <c:v>0.001946</c:v>
                </c:pt>
                <c:pt idx="232">
                  <c:v>0.0</c:v>
                </c:pt>
                <c:pt idx="233">
                  <c:v>0.0</c:v>
                </c:pt>
                <c:pt idx="234">
                  <c:v>0.0</c:v>
                </c:pt>
                <c:pt idx="235">
                  <c:v>0.0</c:v>
                </c:pt>
                <c:pt idx="236">
                  <c:v>0.0</c:v>
                </c:pt>
                <c:pt idx="237">
                  <c:v>0.0</c:v>
                </c:pt>
                <c:pt idx="238">
                  <c:v>0.0</c:v>
                </c:pt>
                <c:pt idx="239">
                  <c:v>0.0</c:v>
                </c:pt>
                <c:pt idx="240">
                  <c:v>0.0</c:v>
                </c:pt>
                <c:pt idx="241">
                  <c:v>0.0</c:v>
                </c:pt>
                <c:pt idx="242">
                  <c:v>0.0</c:v>
                </c:pt>
                <c:pt idx="243">
                  <c:v>0.0</c:v>
                </c:pt>
                <c:pt idx="244">
                  <c:v>0.0</c:v>
                </c:pt>
                <c:pt idx="245">
                  <c:v>0.0</c:v>
                </c:pt>
                <c:pt idx="246">
                  <c:v>0.0</c:v>
                </c:pt>
                <c:pt idx="247">
                  <c:v>0.0</c:v>
                </c:pt>
                <c:pt idx="248">
                  <c:v>0.0</c:v>
                </c:pt>
                <c:pt idx="249">
                  <c:v>0.0</c:v>
                </c:pt>
                <c:pt idx="250">
                  <c:v>0.0</c:v>
                </c:pt>
                <c:pt idx="251">
                  <c:v>0.0</c:v>
                </c:pt>
                <c:pt idx="252">
                  <c:v>0.0</c:v>
                </c:pt>
                <c:pt idx="253">
                  <c:v>0.0</c:v>
                </c:pt>
                <c:pt idx="254">
                  <c:v>0.0</c:v>
                </c:pt>
                <c:pt idx="255">
                  <c:v>0.0</c:v>
                </c:pt>
                <c:pt idx="256">
                  <c:v>0.0</c:v>
                </c:pt>
                <c:pt idx="257">
                  <c:v>0.0</c:v>
                </c:pt>
                <c:pt idx="258">
                  <c:v>0.0</c:v>
                </c:pt>
                <c:pt idx="259">
                  <c:v>0.0</c:v>
                </c:pt>
                <c:pt idx="260">
                  <c:v>0.0</c:v>
                </c:pt>
                <c:pt idx="261">
                  <c:v>0.0</c:v>
                </c:pt>
                <c:pt idx="262">
                  <c:v>0.0</c:v>
                </c:pt>
                <c:pt idx="263">
                  <c:v>0.0</c:v>
                </c:pt>
                <c:pt idx="264">
                  <c:v>0.0</c:v>
                </c:pt>
                <c:pt idx="265">
                  <c:v>0.0</c:v>
                </c:pt>
                <c:pt idx="266">
                  <c:v>0.0</c:v>
                </c:pt>
                <c:pt idx="267">
                  <c:v>0.0</c:v>
                </c:pt>
                <c:pt idx="268">
                  <c:v>0.0</c:v>
                </c:pt>
                <c:pt idx="269">
                  <c:v>0.0</c:v>
                </c:pt>
                <c:pt idx="270">
                  <c:v>0.0</c:v>
                </c:pt>
                <c:pt idx="271">
                  <c:v>0.0</c:v>
                </c:pt>
                <c:pt idx="272">
                  <c:v>0.0</c:v>
                </c:pt>
                <c:pt idx="273">
                  <c:v>0.0</c:v>
                </c:pt>
                <c:pt idx="274">
                  <c:v>0.0</c:v>
                </c:pt>
                <c:pt idx="275">
                  <c:v>0.0</c:v>
                </c:pt>
                <c:pt idx="276">
                  <c:v>0.0</c:v>
                </c:pt>
                <c:pt idx="277">
                  <c:v>0.0</c:v>
                </c:pt>
                <c:pt idx="278">
                  <c:v>0.0</c:v>
                </c:pt>
                <c:pt idx="279">
                  <c:v>0.0</c:v>
                </c:pt>
                <c:pt idx="280">
                  <c:v>0.0</c:v>
                </c:pt>
                <c:pt idx="281">
                  <c:v>0.0</c:v>
                </c:pt>
                <c:pt idx="282">
                  <c:v>0.0</c:v>
                </c:pt>
                <c:pt idx="283">
                  <c:v>0.0</c:v>
                </c:pt>
                <c:pt idx="284">
                  <c:v>0.0</c:v>
                </c:pt>
                <c:pt idx="285">
                  <c:v>0.0</c:v>
                </c:pt>
                <c:pt idx="286">
                  <c:v>0.0</c:v>
                </c:pt>
                <c:pt idx="287">
                  <c:v>0.0</c:v>
                </c:pt>
                <c:pt idx="288">
                  <c:v>0.0</c:v>
                </c:pt>
                <c:pt idx="289">
                  <c:v>0.0</c:v>
                </c:pt>
                <c:pt idx="290">
                  <c:v>0.0</c:v>
                </c:pt>
                <c:pt idx="291">
                  <c:v>0.0</c:v>
                </c:pt>
                <c:pt idx="292">
                  <c:v>0.0</c:v>
                </c:pt>
                <c:pt idx="293">
                  <c:v>0.0</c:v>
                </c:pt>
                <c:pt idx="294">
                  <c:v>0.0</c:v>
                </c:pt>
                <c:pt idx="295">
                  <c:v>0.0</c:v>
                </c:pt>
                <c:pt idx="296">
                  <c:v>0.0</c:v>
                </c:pt>
                <c:pt idx="297">
                  <c:v>0.0</c:v>
                </c:pt>
                <c:pt idx="298">
                  <c:v>0.0</c:v>
                </c:pt>
                <c:pt idx="299">
                  <c:v>0.0</c:v>
                </c:pt>
                <c:pt idx="300">
                  <c:v>0.0</c:v>
                </c:pt>
                <c:pt idx="301">
                  <c:v>0.0</c:v>
                </c:pt>
                <c:pt idx="302">
                  <c:v>0.0</c:v>
                </c:pt>
                <c:pt idx="303">
                  <c:v>0.0</c:v>
                </c:pt>
                <c:pt idx="304">
                  <c:v>0.0</c:v>
                </c:pt>
                <c:pt idx="305">
                  <c:v>0.0</c:v>
                </c:pt>
                <c:pt idx="306">
                  <c:v>0.0</c:v>
                </c:pt>
                <c:pt idx="307">
                  <c:v>0.0</c:v>
                </c:pt>
                <c:pt idx="308">
                  <c:v>0.0</c:v>
                </c:pt>
                <c:pt idx="309">
                  <c:v>0.0</c:v>
                </c:pt>
              </c:numCache>
            </c:numRef>
          </c:yVal>
          <c:smooth val="0"/>
        </c:ser>
        <c:dLbls>
          <c:showLegendKey val="0"/>
          <c:showVal val="0"/>
          <c:showCatName val="0"/>
          <c:showSerName val="0"/>
          <c:showPercent val="0"/>
          <c:showBubbleSize val="0"/>
        </c:dLbls>
        <c:axId val="2130146312"/>
        <c:axId val="2130151816"/>
      </c:scatterChart>
      <c:valAx>
        <c:axId val="2130146312"/>
        <c:scaling>
          <c:logBase val="10.0"/>
          <c:orientation val="maxMin"/>
          <c:max val="1.0"/>
        </c:scaling>
        <c:delete val="0"/>
        <c:axPos val="b"/>
        <c:title>
          <c:tx>
            <c:rich>
              <a:bodyPr/>
              <a:lstStyle/>
              <a:p>
                <a:pPr>
                  <a:defRPr/>
                </a:pPr>
                <a:r>
                  <a:rPr lang="el-GR"/>
                  <a:t>Pore Diameter (μm) </a:t>
                </a:r>
              </a:p>
            </c:rich>
          </c:tx>
          <c:overlay val="0"/>
        </c:title>
        <c:numFmt formatCode="General" sourceLinked="0"/>
        <c:majorTickMark val="out"/>
        <c:minorTickMark val="none"/>
        <c:tickLblPos val="nextTo"/>
        <c:spPr>
          <a:ln w="3175">
            <a:solidFill>
              <a:srgbClr val="000000"/>
            </a:solidFill>
            <a:prstDash val="solid"/>
          </a:ln>
        </c:spPr>
        <c:txPr>
          <a:bodyPr rot="0" vert="horz"/>
          <a:lstStyle/>
          <a:p>
            <a:pPr>
              <a:defRPr/>
            </a:pPr>
            <a:endParaRPr lang="en-US"/>
          </a:p>
        </c:txPr>
        <c:crossAx val="2130151816"/>
        <c:crosses val="autoZero"/>
        <c:crossBetween val="midCat"/>
        <c:majorUnit val="10.0"/>
      </c:valAx>
      <c:valAx>
        <c:axId val="2130151816"/>
        <c:scaling>
          <c:orientation val="minMax"/>
          <c:max val="0.08"/>
        </c:scaling>
        <c:delete val="0"/>
        <c:axPos val="l"/>
        <c:title>
          <c:tx>
            <c:rich>
              <a:bodyPr rot="-5400000" vert="horz"/>
              <a:lstStyle/>
              <a:p>
                <a:pPr>
                  <a:defRPr/>
                </a:pPr>
                <a:r>
                  <a:rPr lang="en-US"/>
                  <a:t>Incremental Volume (dV/dlogD)</a:t>
                </a:r>
              </a:p>
            </c:rich>
          </c:tx>
          <c:layout>
            <c:manualLayout>
              <c:xMode val="edge"/>
              <c:yMode val="edge"/>
              <c:x val="0.0425992779783393"/>
              <c:y val="0.038"/>
            </c:manualLayout>
          </c:layout>
          <c:overlay val="0"/>
        </c:title>
        <c:numFmt formatCode="General" sourceLinked="0"/>
        <c:majorTickMark val="out"/>
        <c:minorTickMark val="none"/>
        <c:tickLblPos val="nextTo"/>
        <c:spPr>
          <a:ln w="3175">
            <a:solidFill>
              <a:srgbClr val="000000"/>
            </a:solidFill>
            <a:prstDash val="solid"/>
          </a:ln>
        </c:spPr>
        <c:crossAx val="2130146312"/>
        <c:crosses val="max"/>
        <c:crossBetween val="midCat"/>
      </c:valAx>
      <c:spPr>
        <a:noFill/>
        <a:ln w="25400">
          <a:noFill/>
        </a:ln>
      </c:spPr>
    </c:plotArea>
    <c:legend>
      <c:legendPos val="r"/>
      <c:layout>
        <c:manualLayout>
          <c:xMode val="edge"/>
          <c:yMode val="edge"/>
          <c:x val="0.51985559566787"/>
          <c:y val="0.0197338582677165"/>
          <c:w val="0.47616759998863"/>
          <c:h val="0.110532283464567"/>
        </c:manualLayout>
      </c:layout>
      <c:overlay val="0"/>
    </c:legend>
    <c:plotVisOnly val="1"/>
    <c:dispBlanksAs val="gap"/>
    <c:showDLblsOverMax val="0"/>
  </c:chart>
  <c:spPr>
    <a:solidFill>
      <a:srgbClr val="FFFFFF"/>
    </a:solidFill>
    <a:ln w="9525">
      <a:noFill/>
    </a:ln>
  </c:spPr>
  <c:txPr>
    <a:bodyPr/>
    <a:lstStyle/>
    <a:p>
      <a:pPr>
        <a:defRPr sz="1100">
          <a:latin typeface="+mj-lt"/>
          <a:cs typeface="Times New Roman" pitchFamily="18"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33210913934266"/>
          <c:y val="0.0476007677543186"/>
          <c:w val="0.854351275120461"/>
          <c:h val="0.891905183144292"/>
        </c:manualLayout>
      </c:layout>
      <c:barChart>
        <c:barDir val="col"/>
        <c:grouping val="clustered"/>
        <c:varyColors val="0"/>
        <c:ser>
          <c:idx val="0"/>
          <c:order val="0"/>
          <c:tx>
            <c:strRef>
              <c:f>W!$I$36</c:f>
              <c:strCache>
                <c:ptCount val="1"/>
                <c:pt idx="0">
                  <c:v>7D</c:v>
                </c:pt>
              </c:strCache>
            </c:strRef>
          </c:tx>
          <c:spPr>
            <a:solidFill>
              <a:schemeClr val="accent2">
                <a:lumMod val="50000"/>
              </a:schemeClr>
            </a:solidFill>
            <a:ln w="3175" cap="flat" cmpd="sng" algn="ctr">
              <a:solidFill>
                <a:srgbClr val="A6A6A6"/>
              </a:solidFill>
              <a:prstDash val="solid"/>
            </a:ln>
            <a:effectLst/>
          </c:spPr>
          <c:invertIfNegative val="0"/>
          <c:dLbls>
            <c:numFmt formatCode="#,##0" sourceLinked="0"/>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4.319999999999998</c:v>
              </c:pt>
            </c:numLit>
          </c:val>
        </c:ser>
        <c:ser>
          <c:idx val="1"/>
          <c:order val="1"/>
          <c:tx>
            <c:strRef>
              <c:f>W!$J$36</c:f>
              <c:strCache>
                <c:ptCount val="1"/>
                <c:pt idx="0">
                  <c:v>14D</c:v>
                </c:pt>
              </c:strCache>
            </c:strRef>
          </c:tx>
          <c:spPr>
            <a:solidFill>
              <a:srgbClr val="632523"/>
            </a:solidFill>
            <a:ln w="9525" cap="flat" cmpd="sng" algn="ctr">
              <a:solidFill>
                <a:srgbClr val="A6A6A6"/>
              </a:solidFill>
              <a:prstDash val="solid"/>
            </a:ln>
            <a:effectLst>
              <a:outerShdw blurRad="40000" dist="23000" dir="5400000" rotWithShape="0">
                <a:srgbClr val="000000">
                  <a:alpha val="35000"/>
                </a:srgbClr>
              </a:outerShdw>
            </a:effectLst>
          </c:spPr>
          <c:invertIfNegative val="0"/>
          <c:dLbls>
            <c:numFmt formatCode="#,##0" sourceLinked="0"/>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7.3</c:v>
              </c:pt>
            </c:numLit>
          </c:val>
        </c:ser>
        <c:ser>
          <c:idx val="2"/>
          <c:order val="2"/>
          <c:tx>
            <c:strRef>
              <c:f>W!$K$36</c:f>
              <c:strCache>
                <c:ptCount val="1"/>
                <c:pt idx="0">
                  <c:v>28D</c:v>
                </c:pt>
              </c:strCache>
            </c:strRef>
          </c:tx>
          <c:spPr>
            <a:solidFill>
              <a:srgbClr val="632523"/>
            </a:solidFill>
            <a:ln w="9525" cap="flat" cmpd="sng" algn="ctr">
              <a:solidFill>
                <a:srgbClr val="A6A6A6"/>
              </a:solidFill>
              <a:prstDash val="solid"/>
            </a:ln>
            <a:effectLst>
              <a:outerShdw blurRad="40000" dist="23000" dir="5400000" rotWithShape="0">
                <a:srgbClr val="000000">
                  <a:alpha val="35000"/>
                </a:srgbClr>
              </a:outerShdw>
            </a:effectLst>
          </c:spPr>
          <c:invertIfNegative val="0"/>
          <c:dLbls>
            <c:numFmt formatCode="#,##0" sourceLinked="0"/>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9.790000000000001</c:v>
              </c:pt>
            </c:numLit>
          </c:val>
        </c:ser>
        <c:ser>
          <c:idx val="3"/>
          <c:order val="3"/>
          <c:tx>
            <c:strRef>
              <c:f>W!$L$36</c:f>
              <c:strCache>
                <c:ptCount val="1"/>
                <c:pt idx="0">
                  <c:v>3M</c:v>
                </c:pt>
              </c:strCache>
            </c:strRef>
          </c:tx>
          <c:spPr>
            <a:solidFill>
              <a:srgbClr val="632523"/>
            </a:solidFill>
            <a:ln w="9525" cap="flat" cmpd="sng" algn="ctr">
              <a:solidFill>
                <a:srgbClr val="A6A6A6"/>
              </a:solidFill>
              <a:prstDash val="solid"/>
            </a:ln>
            <a:effectLst>
              <a:outerShdw blurRad="40000" dist="23000" dir="5400000" rotWithShape="0">
                <a:srgbClr val="000000">
                  <a:alpha val="35000"/>
                </a:srgbClr>
              </a:outerShdw>
            </a:effectLst>
          </c:spPr>
          <c:invertIfNegative val="0"/>
          <c:dLbls>
            <c:dLbl>
              <c:idx val="0"/>
              <c:showLegendKey val="0"/>
              <c:showVal val="1"/>
              <c:showCatName val="0"/>
              <c:showSerName val="1"/>
              <c:showPercent val="0"/>
              <c:showBubbleSize val="0"/>
              <c:separator>
</c:separator>
            </c:dLbl>
            <c:numFmt formatCode="#,##0" sourceLinked="0"/>
            <c:txPr>
              <a:bodyPr/>
              <a:lstStyle/>
              <a:p>
                <a:pPr>
                  <a:defRPr sz="1200">
                    <a:latin typeface="Arial"/>
                    <a:cs typeface="Arial"/>
                  </a:defRPr>
                </a:pPr>
                <a:endParaRPr lang="en-US"/>
              </a:p>
            </c:txPr>
            <c:showLegendKey val="0"/>
            <c:showVal val="0"/>
            <c:showCatName val="0"/>
            <c:showSerName val="1"/>
            <c:showPercent val="0"/>
            <c:showBubbleSize val="0"/>
            <c:showLeaderLines val="0"/>
          </c:dLbls>
          <c:cat>
            <c:strLit>
              <c:ptCount val="1"/>
              <c:pt idx="0">
                <c:v>_x0010_Leaching Periods</c:v>
              </c:pt>
            </c:strLit>
          </c:cat>
          <c:val>
            <c:numLit>
              <c:formatCode>General</c:formatCode>
              <c:ptCount val="1"/>
              <c:pt idx="0">
                <c:v>14.7</c:v>
              </c:pt>
            </c:numLit>
          </c:val>
        </c:ser>
        <c:ser>
          <c:idx val="4"/>
          <c:order val="4"/>
          <c:tx>
            <c:strRef>
              <c:f>W!$M$36</c:f>
              <c:strCache>
                <c:ptCount val="1"/>
                <c:pt idx="0">
                  <c:v>6M</c:v>
                </c:pt>
              </c:strCache>
            </c:strRef>
          </c:tx>
          <c:spPr>
            <a:solidFill>
              <a:srgbClr val="632523"/>
            </a:solidFill>
            <a:ln w="3175" cap="flat" cmpd="sng" algn="ctr">
              <a:solidFill>
                <a:srgbClr val="A6A6A6"/>
              </a:solidFill>
              <a:prstDash val="solid"/>
            </a:ln>
            <a:effectLst/>
          </c:spPr>
          <c:invertIfNegative val="0"/>
          <c:dLbls>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32.0</c:v>
              </c:pt>
            </c:numLit>
          </c:val>
        </c:ser>
        <c:ser>
          <c:idx val="5"/>
          <c:order val="5"/>
          <c:tx>
            <c:strRef>
              <c:f>W!$N$36</c:f>
              <c:strCache>
                <c:ptCount val="1"/>
                <c:pt idx="0">
                  <c:v>1Y6M</c:v>
                </c:pt>
              </c:strCache>
            </c:strRef>
          </c:tx>
          <c:spPr>
            <a:solidFill>
              <a:srgbClr val="632523"/>
            </a:solidFill>
            <a:ln w="3175" cap="flat" cmpd="sng" algn="ctr">
              <a:solidFill>
                <a:srgbClr val="A6A6A6"/>
              </a:solidFill>
              <a:prstDash val="solid"/>
            </a:ln>
            <a:effectLst>
              <a:outerShdw blurRad="40000" dist="23000" dir="5400000" rotWithShape="0">
                <a:srgbClr val="000000">
                  <a:alpha val="35000"/>
                </a:srgbClr>
              </a:outerShdw>
            </a:effectLst>
          </c:spPr>
          <c:invertIfNegative val="0"/>
          <c:dLbls>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50.0</c:v>
              </c:pt>
            </c:numLit>
          </c:val>
        </c:ser>
        <c:ser>
          <c:idx val="6"/>
          <c:order val="6"/>
          <c:tx>
            <c:strRef>
              <c:f>W!$O$36</c:f>
              <c:strCache>
                <c:ptCount val="1"/>
                <c:pt idx="0">
                  <c:v>2Y</c:v>
                </c:pt>
              </c:strCache>
            </c:strRef>
          </c:tx>
          <c:spPr>
            <a:solidFill>
              <a:srgbClr val="632523"/>
            </a:solidFill>
            <a:ln w="3175" cap="flat" cmpd="sng" algn="ctr">
              <a:solidFill>
                <a:schemeClr val="bg1">
                  <a:lumMod val="85000"/>
                </a:schemeClr>
              </a:solidFill>
              <a:prstDash val="solid"/>
            </a:ln>
            <a:effectLst>
              <a:outerShdw blurRad="40000" dist="23000" dir="5400000" rotWithShape="0">
                <a:srgbClr val="000000">
                  <a:alpha val="35000"/>
                </a:srgbClr>
              </a:outerShdw>
            </a:effectLst>
          </c:spPr>
          <c:invertIfNegative val="0"/>
          <c:dLbls>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64.0</c:v>
              </c:pt>
            </c:numLit>
          </c:val>
        </c:ser>
        <c:ser>
          <c:idx val="7"/>
          <c:order val="7"/>
          <c:tx>
            <c:strRef>
              <c:f>'Cs Compare'!$C$5</c:f>
              <c:strCache>
                <c:ptCount val="1"/>
                <c:pt idx="0">
                  <c:v>7D</c:v>
                </c:pt>
              </c:strCache>
            </c:strRef>
          </c:tx>
          <c:spPr>
            <a:solidFill>
              <a:srgbClr val="C0504D"/>
            </a:soli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5.96</c:v>
              </c:pt>
            </c:numLit>
          </c:val>
        </c:ser>
        <c:ser>
          <c:idx val="8"/>
          <c:order val="8"/>
          <c:tx>
            <c:strRef>
              <c:f>'Cs Compare'!$D$5</c:f>
              <c:strCache>
                <c:ptCount val="1"/>
                <c:pt idx="0">
                  <c:v>14D</c:v>
                </c:pt>
              </c:strCache>
            </c:strRef>
          </c:tx>
          <c:spPr>
            <a:solidFill>
              <a:srgbClr val="C0504D"/>
            </a:soli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txPr>
              <a:bodyPr/>
              <a:lstStyle/>
              <a:p>
                <a:pPr>
                  <a:defRPr sz="1200">
                    <a:latin typeface="Arial"/>
                    <a:cs typeface="Arial"/>
                  </a:defRPr>
                </a:pPr>
                <a:endParaRPr lang="en-US"/>
              </a:p>
            </c:txPr>
            <c:dLblPos val="outEnd"/>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8.57</c:v>
              </c:pt>
            </c:numLit>
          </c:val>
        </c:ser>
        <c:ser>
          <c:idx val="9"/>
          <c:order val="9"/>
          <c:tx>
            <c:strRef>
              <c:f>'Cs Compare'!$E$5</c:f>
              <c:strCache>
                <c:ptCount val="1"/>
                <c:pt idx="0">
                  <c:v>28D</c:v>
                </c:pt>
              </c:strCache>
            </c:strRef>
          </c:tx>
          <c:spPr>
            <a:solidFill>
              <a:srgbClr val="C0504D"/>
            </a:soli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txPr>
              <a:bodyPr/>
              <a:lstStyle/>
              <a:p>
                <a:pPr>
                  <a:defRPr sz="1200">
                    <a:latin typeface="Arial"/>
                    <a:cs typeface="Arial"/>
                  </a:defRPr>
                </a:pPr>
                <a:endParaRPr lang="en-US"/>
              </a:p>
            </c:txPr>
            <c:dLblPos val="outEnd"/>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14.0</c:v>
              </c:pt>
            </c:numLit>
          </c:val>
        </c:ser>
        <c:ser>
          <c:idx val="10"/>
          <c:order val="10"/>
          <c:tx>
            <c:strRef>
              <c:f>'Cs Compare'!$F$5</c:f>
              <c:strCache>
                <c:ptCount val="1"/>
                <c:pt idx="0">
                  <c:v>3M</c:v>
                </c:pt>
              </c:strCache>
            </c:strRef>
          </c:tx>
          <c:spPr>
            <a:solidFill>
              <a:srgbClr val="C0504D"/>
            </a:soli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26.97</c:v>
              </c:pt>
            </c:numLit>
          </c:val>
        </c:ser>
        <c:ser>
          <c:idx val="11"/>
          <c:order val="11"/>
          <c:tx>
            <c:strRef>
              <c:f>'Cs Compare'!$G$5</c:f>
              <c:strCache>
                <c:ptCount val="1"/>
                <c:pt idx="0">
                  <c:v>6M</c:v>
                </c:pt>
              </c:strCache>
            </c:strRef>
          </c:tx>
          <c:spPr>
            <a:solidFill>
              <a:srgbClr val="C0504D"/>
            </a:soli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41.25</c:v>
              </c:pt>
            </c:numLit>
          </c:val>
        </c:ser>
        <c:ser>
          <c:idx val="12"/>
          <c:order val="12"/>
          <c:tx>
            <c:v>1Y6M</c:v>
          </c:tx>
          <c:spPr>
            <a:solidFill>
              <a:srgbClr val="C0504D"/>
            </a:soli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90.95</c:v>
              </c:pt>
            </c:numLit>
          </c:val>
        </c:ser>
        <c:ser>
          <c:idx val="13"/>
          <c:order val="13"/>
          <c:tx>
            <c:v>2Y</c:v>
          </c:tx>
          <c:spPr>
            <a:solidFill>
              <a:schemeClr val="accent2"/>
            </a:solidFill>
            <a:ln w="9525" cap="flat" cmpd="sng" algn="ctr">
              <a:solidFill>
                <a:schemeClr val="accent2">
                  <a:shade val="95000"/>
                  <a:satMod val="105000"/>
                </a:schemeClr>
              </a:solidFill>
              <a:prstDash val="solid"/>
            </a:ln>
            <a:effectLst/>
          </c:spPr>
          <c:invertIfNegative val="0"/>
          <c:dLbls>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121.0</c:v>
              </c:pt>
            </c:numLit>
          </c:val>
        </c:ser>
        <c:ser>
          <c:idx val="14"/>
          <c:order val="14"/>
          <c:tx>
            <c:strRef>
              <c:f>'Cs Compare'!$B$22</c:f>
              <c:strCache>
                <c:ptCount val="1"/>
                <c:pt idx="0">
                  <c:v>8H</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14.2</c:v>
              </c:pt>
            </c:numLit>
          </c:val>
        </c:ser>
        <c:ser>
          <c:idx val="20"/>
          <c:order val="15"/>
          <c:tx>
            <c:strRef>
              <c:f>'Cs Compare'!$B$23</c:f>
              <c:strCache>
                <c:ptCount val="1"/>
                <c:pt idx="0">
                  <c:v>1D</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val>
            <c:numLit>
              <c:formatCode>General</c:formatCode>
              <c:ptCount val="1"/>
              <c:pt idx="0">
                <c:v>21.4</c:v>
              </c:pt>
            </c:numLit>
          </c:val>
        </c:ser>
        <c:ser>
          <c:idx val="21"/>
          <c:order val="16"/>
          <c:tx>
            <c:strRef>
              <c:f>'Cs Compare'!$B$24</c:f>
              <c:strCache>
                <c:ptCount val="1"/>
                <c:pt idx="0">
                  <c:v>3D</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val>
            <c:numLit>
              <c:formatCode>General</c:formatCode>
              <c:ptCount val="1"/>
              <c:pt idx="0">
                <c:v>62.0</c:v>
              </c:pt>
            </c:numLit>
          </c:val>
        </c:ser>
        <c:ser>
          <c:idx val="25"/>
          <c:order val="17"/>
          <c:tx>
            <c:strRef>
              <c:f>'Cs Compare'!$B$25</c:f>
              <c:strCache>
                <c:ptCount val="1"/>
                <c:pt idx="0">
                  <c:v>7D</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val>
            <c:numLit>
              <c:formatCode>General</c:formatCode>
              <c:ptCount val="1"/>
              <c:pt idx="0">
                <c:v>143.0</c:v>
              </c:pt>
            </c:numLit>
          </c:val>
        </c:ser>
        <c:ser>
          <c:idx val="15"/>
          <c:order val="18"/>
          <c:tx>
            <c:strRef>
              <c:f>'Cs Compare'!$B$30</c:f>
              <c:strCache>
                <c:ptCount val="1"/>
                <c:pt idx="0">
                  <c:v>8H</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28.5</c:v>
              </c:pt>
            </c:numLit>
          </c:val>
        </c:ser>
        <c:ser>
          <c:idx val="22"/>
          <c:order val="19"/>
          <c:tx>
            <c:strRef>
              <c:f>'Cs Compare'!$B$31</c:f>
              <c:strCache>
                <c:ptCount val="1"/>
                <c:pt idx="0">
                  <c:v>1D</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val>
            <c:numLit>
              <c:formatCode>General</c:formatCode>
              <c:ptCount val="1"/>
              <c:pt idx="0">
                <c:v>64.2</c:v>
              </c:pt>
            </c:numLit>
          </c:val>
        </c:ser>
        <c:ser>
          <c:idx val="23"/>
          <c:order val="20"/>
          <c:tx>
            <c:strRef>
              <c:f>'Cs Compare'!$B$32</c:f>
              <c:strCache>
                <c:ptCount val="1"/>
                <c:pt idx="0">
                  <c:v>3D</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val>
            <c:numLit>
              <c:formatCode>General</c:formatCode>
              <c:ptCount val="1"/>
              <c:pt idx="0">
                <c:v>128.1</c:v>
              </c:pt>
            </c:numLit>
          </c:val>
        </c:ser>
        <c:ser>
          <c:idx val="24"/>
          <c:order val="21"/>
          <c:tx>
            <c:strRef>
              <c:f>'Cs Compare'!$B$33</c:f>
              <c:strCache>
                <c:ptCount val="1"/>
                <c:pt idx="0">
                  <c:v>7D</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val>
            <c:numLit>
              <c:formatCode>General</c:formatCode>
              <c:ptCount val="1"/>
              <c:pt idx="0">
                <c:v>221.5</c:v>
              </c:pt>
            </c:numLit>
          </c:val>
        </c:ser>
        <c:ser>
          <c:idx val="16"/>
          <c:order val="22"/>
          <c:tx>
            <c:strRef>
              <c:f>'Cs Compare'!$C$16</c:f>
              <c:strCache>
                <c:ptCount val="1"/>
                <c:pt idx="0">
                  <c:v>7D</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120.84</c:v>
              </c:pt>
            </c:numLit>
          </c:val>
        </c:ser>
        <c:ser>
          <c:idx val="17"/>
          <c:order val="23"/>
          <c:tx>
            <c:strRef>
              <c:f>'Cs Compare'!$D$16</c:f>
              <c:strCache>
                <c:ptCount val="1"/>
                <c:pt idx="0">
                  <c:v>14D</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165.11</c:v>
              </c:pt>
            </c:numLit>
          </c:val>
        </c:ser>
        <c:ser>
          <c:idx val="18"/>
          <c:order val="24"/>
          <c:tx>
            <c:strRef>
              <c:f>'Cs Compare'!$E$16</c:f>
              <c:strCache>
                <c:ptCount val="1"/>
                <c:pt idx="0">
                  <c:v>28D</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476.83</c:v>
              </c:pt>
            </c:numLit>
          </c:val>
        </c:ser>
        <c:ser>
          <c:idx val="19"/>
          <c:order val="25"/>
          <c:tx>
            <c:strRef>
              <c:f>'Cs Compare'!$F$16</c:f>
              <c:strCache>
                <c:ptCount val="1"/>
                <c:pt idx="0">
                  <c:v>3M</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invertIfNegative val="0"/>
          <c:dLbls>
            <c:numFmt formatCode="#,##0" sourceLinked="0"/>
            <c:txPr>
              <a:bodyPr/>
              <a:lstStyle/>
              <a:p>
                <a:pPr>
                  <a:defRPr sz="1200">
                    <a:latin typeface="Arial"/>
                    <a:cs typeface="Arial"/>
                  </a:defRPr>
                </a:pPr>
                <a:endParaRPr lang="en-US"/>
              </a:p>
            </c:txPr>
            <c:showLegendKey val="0"/>
            <c:showVal val="1"/>
            <c:showCatName val="0"/>
            <c:showSerName val="1"/>
            <c:showPercent val="0"/>
            <c:showBubbleSize val="0"/>
            <c:separator>
</c:separator>
            <c:showLeaderLines val="0"/>
          </c:dLbls>
          <c:cat>
            <c:strLit>
              <c:ptCount val="1"/>
              <c:pt idx="0">
                <c:v>_x0010_Leaching Periods</c:v>
              </c:pt>
            </c:strLit>
          </c:cat>
          <c:val>
            <c:numLit>
              <c:formatCode>General</c:formatCode>
              <c:ptCount val="1"/>
              <c:pt idx="0">
                <c:v>528.0</c:v>
              </c:pt>
            </c:numLit>
          </c:val>
        </c:ser>
        <c:dLbls>
          <c:showLegendKey val="0"/>
          <c:showVal val="0"/>
          <c:showCatName val="0"/>
          <c:showSerName val="1"/>
          <c:showPercent val="0"/>
          <c:showBubbleSize val="0"/>
        </c:dLbls>
        <c:gapWidth val="150"/>
        <c:axId val="2079353864"/>
        <c:axId val="2079350872"/>
      </c:barChart>
      <c:catAx>
        <c:axId val="2079353864"/>
        <c:scaling>
          <c:orientation val="minMax"/>
        </c:scaling>
        <c:delete val="0"/>
        <c:axPos val="b"/>
        <c:majorTickMark val="out"/>
        <c:minorTickMark val="none"/>
        <c:tickLblPos val="nextTo"/>
        <c:txPr>
          <a:bodyPr/>
          <a:lstStyle/>
          <a:p>
            <a:pPr>
              <a:defRPr sz="1400">
                <a:latin typeface="Arial"/>
                <a:cs typeface="Arial"/>
              </a:defRPr>
            </a:pPr>
            <a:endParaRPr lang="en-US"/>
          </a:p>
        </c:txPr>
        <c:crossAx val="2079350872"/>
        <c:crosses val="autoZero"/>
        <c:auto val="1"/>
        <c:lblAlgn val="ctr"/>
        <c:lblOffset val="100"/>
        <c:noMultiLvlLbl val="0"/>
      </c:catAx>
      <c:valAx>
        <c:axId val="2079350872"/>
        <c:scaling>
          <c:orientation val="minMax"/>
          <c:min val="0.0"/>
        </c:scaling>
        <c:delete val="0"/>
        <c:axPos val="l"/>
        <c:majorGridlines>
          <c:spPr>
            <a:ln w="3175" cap="flat" cmpd="sng">
              <a:noFill/>
              <a:prstDash val="sysDot"/>
              <a:round/>
              <a:headEnd type="none"/>
              <a:tailEnd type="none"/>
            </a:ln>
          </c:spPr>
        </c:majorGridlines>
        <c:title>
          <c:tx>
            <c:rich>
              <a:bodyPr rot="-5400000" vert="horz" lIns="0" anchor="ctr" anchorCtr="1">
                <a:noAutofit/>
              </a:bodyPr>
              <a:lstStyle/>
              <a:p>
                <a:pPr>
                  <a:defRPr sz="1400">
                    <a:latin typeface="Arial"/>
                    <a:cs typeface="Arial"/>
                  </a:defRPr>
                </a:pPr>
                <a:r>
                  <a:rPr lang="en-US" sz="1400">
                    <a:latin typeface="Arial"/>
                    <a:cs typeface="Arial"/>
                  </a:rPr>
                  <a:t>Normalised Accumlated Mass of Ca in solution</a:t>
                </a:r>
              </a:p>
              <a:p>
                <a:pPr>
                  <a:defRPr sz="1400">
                    <a:latin typeface="Arial"/>
                    <a:cs typeface="Arial"/>
                  </a:defRPr>
                </a:pPr>
                <a:r>
                  <a:rPr lang="en-US" sz="1400">
                    <a:latin typeface="Arial"/>
                    <a:cs typeface="Arial"/>
                  </a:rPr>
                  <a:t> (mg/cm²)</a:t>
                </a:r>
              </a:p>
            </c:rich>
          </c:tx>
          <c:layout>
            <c:manualLayout>
              <c:xMode val="edge"/>
              <c:yMode val="edge"/>
              <c:x val="0.0181259992643913"/>
              <c:y val="0.0786000179830702"/>
            </c:manualLayout>
          </c:layout>
          <c:overlay val="0"/>
        </c:title>
        <c:numFmt formatCode="#,##0" sourceLinked="0"/>
        <c:majorTickMark val="out"/>
        <c:minorTickMark val="none"/>
        <c:tickLblPos val="nextTo"/>
        <c:txPr>
          <a:bodyPr/>
          <a:lstStyle/>
          <a:p>
            <a:pPr>
              <a:defRPr sz="1400">
                <a:latin typeface="Arial"/>
                <a:cs typeface="Arial"/>
              </a:defRPr>
            </a:pPr>
            <a:endParaRPr lang="en-US"/>
          </a:p>
        </c:txPr>
        <c:crossAx val="2079353864"/>
        <c:crosses val="autoZero"/>
        <c:crossBetween val="between"/>
        <c:majorUnit val="100.0"/>
      </c:valAx>
      <c:spPr>
        <a:ln>
          <a:noFill/>
        </a:ln>
      </c:spPr>
    </c:plotArea>
    <c:plotVisOnly val="1"/>
    <c:dispBlanksAs val="zero"/>
    <c:showDLblsOverMax val="0"/>
  </c:chart>
  <c:spPr>
    <a:ln>
      <a:noFill/>
    </a:ln>
  </c:spPr>
  <c:txPr>
    <a:bodyPr/>
    <a:lstStyle/>
    <a:p>
      <a:pPr>
        <a:defRPr sz="1600" b="1"/>
      </a:pPr>
      <a:endParaRPr lang="en-US"/>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46490048118985"/>
          <c:y val="0.0638249373147937"/>
          <c:w val="0.697620115193934"/>
          <c:h val="0.758225537513304"/>
        </c:manualLayout>
      </c:layout>
      <c:scatterChart>
        <c:scatterStyle val="smoothMarker"/>
        <c:varyColors val="0"/>
        <c:ser>
          <c:idx val="0"/>
          <c:order val="0"/>
          <c:tx>
            <c:v>CS</c:v>
          </c:tx>
          <c:spPr>
            <a:ln>
              <a:solidFill>
                <a:schemeClr val="accent2"/>
              </a:solidFill>
            </a:ln>
            <a:effectLst/>
          </c:spPr>
          <c:marker>
            <c:spPr>
              <a:solidFill>
                <a:schemeClr val="accent2">
                  <a:lumMod val="75000"/>
                </a:schemeClr>
              </a:solidFill>
              <a:ln>
                <a:solidFill>
                  <a:schemeClr val="accent2"/>
                </a:solidFill>
              </a:ln>
              <a:effectLst/>
            </c:spPr>
          </c:marker>
          <c:dPt>
            <c:idx val="5"/>
            <c:marker>
              <c:spPr>
                <a:solidFill>
                  <a:srgbClr val="953735"/>
                </a:solidFill>
                <a:ln>
                  <a:solidFill>
                    <a:schemeClr val="accent2"/>
                  </a:solidFill>
                </a:ln>
                <a:effectLst/>
              </c:spPr>
            </c:marker>
            <c:bubble3D val="0"/>
          </c:dPt>
          <c:xVal>
            <c:numLit>
              <c:formatCode>General</c:formatCode>
              <c:ptCount val="7"/>
              <c:pt idx="0">
                <c:v>7.0</c:v>
              </c:pt>
              <c:pt idx="1">
                <c:v>14.0</c:v>
              </c:pt>
              <c:pt idx="2">
                <c:v>28.0</c:v>
              </c:pt>
              <c:pt idx="3">
                <c:v>84.0</c:v>
              </c:pt>
              <c:pt idx="4">
                <c:v>168.0</c:v>
              </c:pt>
              <c:pt idx="5">
                <c:v>504.0</c:v>
              </c:pt>
              <c:pt idx="6">
                <c:v>672.0</c:v>
              </c:pt>
            </c:numLit>
          </c:xVal>
          <c:yVal>
            <c:numRef>
              <c:f>'[ICP2.xlsx]Ca Compare'!$C$1:$C$7</c:f>
              <c:numCache>
                <c:formatCode>General</c:formatCode>
                <c:ptCount val="7"/>
                <c:pt idx="0">
                  <c:v>852.0571303887929</c:v>
                </c:pt>
                <c:pt idx="1">
                  <c:v>611.925141538201</c:v>
                </c:pt>
                <c:pt idx="2">
                  <c:v>477.9110541033668</c:v>
                </c:pt>
                <c:pt idx="3">
                  <c:v>321.0925517398571</c:v>
                </c:pt>
                <c:pt idx="4">
                  <c:v>245.5087286580563</c:v>
                </c:pt>
                <c:pt idx="5">
                  <c:v>174.0740740740741</c:v>
                </c:pt>
                <c:pt idx="6">
                  <c:v>168.0555555555556</c:v>
                </c:pt>
              </c:numCache>
            </c:numRef>
          </c:yVal>
          <c:smooth val="1"/>
        </c:ser>
        <c:ser>
          <c:idx val="1"/>
          <c:order val="1"/>
          <c:tx>
            <c:v>W-CS</c:v>
          </c:tx>
          <c:spPr>
            <a:ln>
              <a:solidFill>
                <a:schemeClr val="accent2">
                  <a:lumMod val="50000"/>
                </a:schemeClr>
              </a:solidFill>
            </a:ln>
            <a:effectLst/>
          </c:spPr>
          <c:marker>
            <c:spPr>
              <a:solidFill>
                <a:schemeClr val="accent2">
                  <a:lumMod val="50000"/>
                </a:schemeClr>
              </a:solidFill>
              <a:ln>
                <a:solidFill>
                  <a:schemeClr val="accent2">
                    <a:lumMod val="50000"/>
                  </a:schemeClr>
                </a:solidFill>
              </a:ln>
              <a:effectLst/>
            </c:spPr>
          </c:marker>
          <c:xVal>
            <c:numLit>
              <c:formatCode>General</c:formatCode>
              <c:ptCount val="7"/>
              <c:pt idx="0">
                <c:v>7.0</c:v>
              </c:pt>
              <c:pt idx="1">
                <c:v>14.0</c:v>
              </c:pt>
              <c:pt idx="2">
                <c:v>28.0</c:v>
              </c:pt>
              <c:pt idx="3">
                <c:v>84.0</c:v>
              </c:pt>
              <c:pt idx="4">
                <c:v>168.0</c:v>
              </c:pt>
              <c:pt idx="5">
                <c:v>504.0</c:v>
              </c:pt>
              <c:pt idx="6">
                <c:v>672.0</c:v>
              </c:pt>
            </c:numLit>
          </c:xVal>
          <c:yVal>
            <c:numRef>
              <c:f>'[ICP2.xlsx]Ca Compare'!$C$11:$C$17</c:f>
              <c:numCache>
                <c:formatCode>General</c:formatCode>
                <c:ptCount val="7"/>
                <c:pt idx="0">
                  <c:v>742.8571428571429</c:v>
                </c:pt>
                <c:pt idx="1">
                  <c:v>592.8571428571429</c:v>
                </c:pt>
                <c:pt idx="2">
                  <c:v>375.0</c:v>
                </c:pt>
                <c:pt idx="3">
                  <c:v>175.0</c:v>
                </c:pt>
                <c:pt idx="4">
                  <c:v>133.9285714285714</c:v>
                </c:pt>
                <c:pt idx="5">
                  <c:v>93.14814814814815</c:v>
                </c:pt>
                <c:pt idx="6">
                  <c:v>89.16666666666667</c:v>
                </c:pt>
              </c:numCache>
            </c:numRef>
          </c:yVal>
          <c:smooth val="1"/>
        </c:ser>
        <c:dLbls>
          <c:showLegendKey val="0"/>
          <c:showVal val="0"/>
          <c:showCatName val="0"/>
          <c:showSerName val="0"/>
          <c:showPercent val="0"/>
          <c:showBubbleSize val="0"/>
        </c:dLbls>
        <c:axId val="2129537848"/>
        <c:axId val="2129545480"/>
      </c:scatterChart>
      <c:valAx>
        <c:axId val="2129537848"/>
        <c:scaling>
          <c:orientation val="minMax"/>
        </c:scaling>
        <c:delete val="0"/>
        <c:axPos val="b"/>
        <c:title>
          <c:tx>
            <c:rich>
              <a:bodyPr/>
              <a:lstStyle/>
              <a:p>
                <a:pPr>
                  <a:defRPr/>
                </a:pPr>
                <a:r>
                  <a:rPr lang="en-US"/>
                  <a:t>Leaching Period (Days)</a:t>
                </a:r>
              </a:p>
            </c:rich>
          </c:tx>
          <c:layout>
            <c:manualLayout>
              <c:xMode val="edge"/>
              <c:yMode val="edge"/>
              <c:x val="0.373612933799942"/>
              <c:y val="0.922498290403465"/>
            </c:manualLayout>
          </c:layout>
          <c:overlay val="0"/>
        </c:title>
        <c:numFmt formatCode="General" sourceLinked="1"/>
        <c:majorTickMark val="out"/>
        <c:minorTickMark val="none"/>
        <c:tickLblPos val="nextTo"/>
        <c:crossAx val="2129545480"/>
        <c:crosses val="autoZero"/>
        <c:crossBetween val="midCat"/>
        <c:majorUnit val="50.0"/>
      </c:valAx>
      <c:valAx>
        <c:axId val="2129545480"/>
        <c:scaling>
          <c:orientation val="minMax"/>
        </c:scaling>
        <c:delete val="0"/>
        <c:axPos val="l"/>
        <c:title>
          <c:tx>
            <c:rich>
              <a:bodyPr rot="-5400000" vert="horz"/>
              <a:lstStyle/>
              <a:p>
                <a:pPr>
                  <a:defRPr/>
                </a:pPr>
                <a:r>
                  <a:rPr lang="en-US"/>
                  <a:t>Normalised Leaching Ratesof Ca (mg/days.</a:t>
                </a:r>
                <a:r>
                  <a:rPr lang="en-GB"/>
                  <a:t>cm2)</a:t>
                </a:r>
                <a:endParaRPr lang="en-US"/>
              </a:p>
            </c:rich>
          </c:tx>
          <c:overlay val="0"/>
        </c:title>
        <c:numFmt formatCode="General" sourceLinked="1"/>
        <c:majorTickMark val="out"/>
        <c:minorTickMark val="none"/>
        <c:tickLblPos val="nextTo"/>
        <c:crossAx val="2129537848"/>
        <c:crosses val="autoZero"/>
        <c:crossBetween val="midCat"/>
      </c:valAx>
    </c:plotArea>
    <c:legend>
      <c:legendPos val="r"/>
      <c:layout>
        <c:manualLayout>
          <c:xMode val="edge"/>
          <c:yMode val="edge"/>
          <c:x val="0.839167942548848"/>
          <c:y val="0.267251668763652"/>
          <c:w val="0.144628353747448"/>
          <c:h val="0.246667946994431"/>
        </c:manualLayout>
      </c:layout>
      <c:overlay val="0"/>
    </c:legend>
    <c:plotVisOnly val="1"/>
    <c:dispBlanksAs val="gap"/>
    <c:showDLblsOverMax val="0"/>
  </c:chart>
  <c:spPr>
    <a:ln>
      <a:noFill/>
    </a:ln>
  </c:spPr>
  <c:txPr>
    <a:bodyPr/>
    <a:lstStyle/>
    <a:p>
      <a:pPr>
        <a:defRPr>
          <a:latin typeface="Arial"/>
          <a:cs typeface="Arial"/>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0968445610965296"/>
          <c:y val="0.147790228144559"/>
          <c:w val="0.854093115811504"/>
          <c:h val="0.695155622401133"/>
        </c:manualLayout>
      </c:layout>
      <c:scatterChart>
        <c:scatterStyle val="lineMarker"/>
        <c:varyColors val="0"/>
        <c:ser>
          <c:idx val="0"/>
          <c:order val="0"/>
          <c:tx>
            <c:strRef>
              <c:f>Sheet1!$I$3</c:f>
              <c:strCache>
                <c:ptCount val="1"/>
                <c:pt idx="0">
                  <c:v>B</c:v>
                </c:pt>
              </c:strCache>
            </c:strRef>
          </c:tx>
          <c:spPr>
            <a:ln>
              <a:solidFill>
                <a:schemeClr val="tx1">
                  <a:lumMod val="95000"/>
                  <a:lumOff val="5000"/>
                </a:schemeClr>
              </a:solidFill>
            </a:ln>
          </c:spPr>
          <c:marker>
            <c:spPr>
              <a:solidFill>
                <a:schemeClr val="tx1"/>
              </a:solidFill>
              <a:ln>
                <a:solidFill>
                  <a:schemeClr val="tx1">
                    <a:lumMod val="95000"/>
                    <a:lumOff val="5000"/>
                  </a:schemeClr>
                </a:solidFill>
              </a:ln>
            </c:spPr>
          </c:marker>
          <c:dPt>
            <c:idx val="1"/>
            <c:marker>
              <c:symbol val="square"/>
              <c:size val="7"/>
              <c:spPr>
                <a:solidFill>
                  <a:srgbClr val="FFFF00"/>
                </a:solidFill>
                <a:ln>
                  <a:solidFill>
                    <a:schemeClr val="tx1">
                      <a:lumMod val="95000"/>
                      <a:lumOff val="5000"/>
                    </a:schemeClr>
                  </a:solidFill>
                </a:ln>
              </c:spPr>
            </c:marker>
            <c:bubble3D val="0"/>
          </c:dPt>
          <c:dPt>
            <c:idx val="3"/>
            <c:marker>
              <c:symbol val="square"/>
              <c:size val="7"/>
              <c:spPr>
                <a:solidFill>
                  <a:srgbClr val="FFFF00"/>
                </a:solidFill>
                <a:ln>
                  <a:solidFill>
                    <a:schemeClr val="tx1">
                      <a:lumMod val="95000"/>
                      <a:lumOff val="5000"/>
                    </a:schemeClr>
                  </a:solidFill>
                </a:ln>
              </c:spPr>
            </c:marker>
            <c:bubble3D val="0"/>
          </c:dPt>
          <c:dPt>
            <c:idx val="5"/>
            <c:marker>
              <c:symbol val="square"/>
              <c:size val="7"/>
              <c:spPr>
                <a:solidFill>
                  <a:srgbClr val="FFFF00"/>
                </a:solidFill>
                <a:ln>
                  <a:solidFill>
                    <a:schemeClr val="tx1">
                      <a:lumMod val="95000"/>
                      <a:lumOff val="5000"/>
                    </a:schemeClr>
                  </a:solidFill>
                </a:ln>
              </c:spPr>
            </c:marker>
            <c:bubble3D val="0"/>
          </c:dPt>
          <c:dPt>
            <c:idx val="8"/>
            <c:marker>
              <c:symbol val="square"/>
              <c:size val="7"/>
              <c:spPr>
                <a:solidFill>
                  <a:srgbClr val="FFFF00"/>
                </a:solidFill>
                <a:ln>
                  <a:solidFill>
                    <a:schemeClr val="tx1">
                      <a:lumMod val="95000"/>
                      <a:lumOff val="5000"/>
                    </a:schemeClr>
                  </a:solidFill>
                </a:ln>
              </c:spPr>
            </c:marker>
            <c:bubble3D val="0"/>
          </c:dPt>
          <c:dPt>
            <c:idx val="11"/>
            <c:marker>
              <c:symbol val="square"/>
              <c:size val="7"/>
              <c:spPr>
                <a:solidFill>
                  <a:srgbClr val="FFFF00"/>
                </a:solidFill>
                <a:ln>
                  <a:solidFill>
                    <a:schemeClr val="tx1">
                      <a:lumMod val="95000"/>
                      <a:lumOff val="5000"/>
                    </a:schemeClr>
                  </a:solidFill>
                </a:ln>
              </c:spPr>
            </c:marker>
            <c:bubble3D val="0"/>
          </c:dPt>
          <c:xVal>
            <c:numRef>
              <c:f>Sheet1!$H$4:$H$18</c:f>
              <c:numCache>
                <c:formatCode>General</c:formatCode>
                <c:ptCount val="15"/>
                <c:pt idx="0">
                  <c:v>0.0</c:v>
                </c:pt>
                <c:pt idx="1">
                  <c:v>2.0</c:v>
                </c:pt>
                <c:pt idx="2">
                  <c:v>3.0</c:v>
                </c:pt>
                <c:pt idx="3">
                  <c:v>4.0</c:v>
                </c:pt>
                <c:pt idx="4">
                  <c:v>5.0</c:v>
                </c:pt>
                <c:pt idx="5">
                  <c:v>7.0</c:v>
                </c:pt>
                <c:pt idx="6">
                  <c:v>8.0</c:v>
                </c:pt>
                <c:pt idx="7">
                  <c:v>11.0</c:v>
                </c:pt>
                <c:pt idx="8">
                  <c:v>14.0</c:v>
                </c:pt>
                <c:pt idx="9">
                  <c:v>15.0</c:v>
                </c:pt>
                <c:pt idx="10">
                  <c:v>18.0</c:v>
                </c:pt>
                <c:pt idx="11">
                  <c:v>21.0</c:v>
                </c:pt>
                <c:pt idx="12">
                  <c:v>22.0</c:v>
                </c:pt>
                <c:pt idx="13">
                  <c:v>25.0</c:v>
                </c:pt>
                <c:pt idx="14">
                  <c:v>28.0</c:v>
                </c:pt>
              </c:numCache>
            </c:numRef>
          </c:xVal>
          <c:yVal>
            <c:numRef>
              <c:f>Sheet1!$I$4:$I$18</c:f>
              <c:numCache>
                <c:formatCode>General</c:formatCode>
                <c:ptCount val="15"/>
                <c:pt idx="0">
                  <c:v>7.0</c:v>
                </c:pt>
                <c:pt idx="1">
                  <c:v>7.9</c:v>
                </c:pt>
                <c:pt idx="2">
                  <c:v>7.4</c:v>
                </c:pt>
                <c:pt idx="3">
                  <c:v>8.1</c:v>
                </c:pt>
                <c:pt idx="4">
                  <c:v>7.359999999999998</c:v>
                </c:pt>
                <c:pt idx="5">
                  <c:v>8.8</c:v>
                </c:pt>
                <c:pt idx="6">
                  <c:v>7.319999999999998</c:v>
                </c:pt>
                <c:pt idx="7">
                  <c:v>8.5</c:v>
                </c:pt>
                <c:pt idx="8">
                  <c:v>9.3</c:v>
                </c:pt>
                <c:pt idx="9">
                  <c:v>7.5</c:v>
                </c:pt>
                <c:pt idx="10">
                  <c:v>8.200000000000001</c:v>
                </c:pt>
                <c:pt idx="11">
                  <c:v>9.1</c:v>
                </c:pt>
                <c:pt idx="12">
                  <c:v>7.4</c:v>
                </c:pt>
                <c:pt idx="13">
                  <c:v>8.200000000000001</c:v>
                </c:pt>
                <c:pt idx="14">
                  <c:v>9.4</c:v>
                </c:pt>
              </c:numCache>
            </c:numRef>
          </c:yVal>
          <c:smooth val="0"/>
        </c:ser>
        <c:ser>
          <c:idx val="1"/>
          <c:order val="1"/>
          <c:tx>
            <c:strRef>
              <c:f>Sheet1!$J$3</c:f>
              <c:strCache>
                <c:ptCount val="1"/>
                <c:pt idx="0">
                  <c:v>CS</c:v>
                </c:pt>
              </c:strCache>
            </c:strRef>
          </c:tx>
          <c:spPr>
            <a:ln>
              <a:solidFill>
                <a:srgbClr val="FF0000"/>
              </a:solidFill>
            </a:ln>
          </c:spPr>
          <c:marker>
            <c:symbol val="square"/>
            <c:size val="7"/>
            <c:spPr>
              <a:solidFill>
                <a:srgbClr val="FF0000"/>
              </a:solidFill>
              <a:ln>
                <a:solidFill>
                  <a:srgbClr val="FF0000"/>
                </a:solidFill>
              </a:ln>
            </c:spPr>
          </c:marker>
          <c:dPt>
            <c:idx val="1"/>
            <c:marker>
              <c:spPr>
                <a:solidFill>
                  <a:srgbClr val="FFFF00"/>
                </a:solidFill>
                <a:ln>
                  <a:solidFill>
                    <a:srgbClr val="FF0000"/>
                  </a:solidFill>
                </a:ln>
              </c:spPr>
            </c:marker>
            <c:bubble3D val="0"/>
          </c:dPt>
          <c:dPt>
            <c:idx val="3"/>
            <c:marker>
              <c:spPr>
                <a:solidFill>
                  <a:srgbClr val="FFFF00"/>
                </a:solidFill>
                <a:ln>
                  <a:solidFill>
                    <a:srgbClr val="FF0000"/>
                  </a:solidFill>
                </a:ln>
              </c:spPr>
            </c:marker>
            <c:bubble3D val="0"/>
          </c:dPt>
          <c:dPt>
            <c:idx val="5"/>
            <c:marker>
              <c:spPr>
                <a:solidFill>
                  <a:srgbClr val="FFFF00"/>
                </a:solidFill>
                <a:ln>
                  <a:solidFill>
                    <a:srgbClr val="FF0000"/>
                  </a:solidFill>
                </a:ln>
              </c:spPr>
            </c:marker>
            <c:bubble3D val="0"/>
          </c:dPt>
          <c:dPt>
            <c:idx val="8"/>
            <c:marker>
              <c:spPr>
                <a:solidFill>
                  <a:srgbClr val="FFFF00"/>
                </a:solidFill>
                <a:ln>
                  <a:solidFill>
                    <a:srgbClr val="FF0000"/>
                  </a:solidFill>
                </a:ln>
              </c:spPr>
            </c:marker>
            <c:bubble3D val="0"/>
          </c:dPt>
          <c:dPt>
            <c:idx val="9"/>
            <c:bubble3D val="0"/>
          </c:dPt>
          <c:dPt>
            <c:idx val="11"/>
            <c:marker>
              <c:spPr>
                <a:solidFill>
                  <a:srgbClr val="FFFF00"/>
                </a:solidFill>
                <a:ln>
                  <a:solidFill>
                    <a:srgbClr val="FF0000"/>
                  </a:solidFill>
                </a:ln>
              </c:spPr>
            </c:marker>
            <c:bubble3D val="0"/>
          </c:dPt>
          <c:dPt>
            <c:idx val="14"/>
            <c:marker>
              <c:spPr>
                <a:solidFill>
                  <a:srgbClr val="FFFF00"/>
                </a:solidFill>
                <a:ln>
                  <a:solidFill>
                    <a:srgbClr val="FF0000"/>
                  </a:solidFill>
                </a:ln>
              </c:spPr>
            </c:marker>
            <c:bubble3D val="0"/>
          </c:dPt>
          <c:xVal>
            <c:numRef>
              <c:f>Sheet1!$H$4:$H$18</c:f>
              <c:numCache>
                <c:formatCode>General</c:formatCode>
                <c:ptCount val="15"/>
                <c:pt idx="0">
                  <c:v>0.0</c:v>
                </c:pt>
                <c:pt idx="1">
                  <c:v>2.0</c:v>
                </c:pt>
                <c:pt idx="2">
                  <c:v>3.0</c:v>
                </c:pt>
                <c:pt idx="3">
                  <c:v>4.0</c:v>
                </c:pt>
                <c:pt idx="4">
                  <c:v>5.0</c:v>
                </c:pt>
                <c:pt idx="5">
                  <c:v>7.0</c:v>
                </c:pt>
                <c:pt idx="6">
                  <c:v>8.0</c:v>
                </c:pt>
                <c:pt idx="7">
                  <c:v>11.0</c:v>
                </c:pt>
                <c:pt idx="8">
                  <c:v>14.0</c:v>
                </c:pt>
                <c:pt idx="9">
                  <c:v>15.0</c:v>
                </c:pt>
                <c:pt idx="10">
                  <c:v>18.0</c:v>
                </c:pt>
                <c:pt idx="11">
                  <c:v>21.0</c:v>
                </c:pt>
                <c:pt idx="12">
                  <c:v>22.0</c:v>
                </c:pt>
                <c:pt idx="13">
                  <c:v>25.0</c:v>
                </c:pt>
                <c:pt idx="14">
                  <c:v>28.0</c:v>
                </c:pt>
              </c:numCache>
            </c:numRef>
          </c:xVal>
          <c:yVal>
            <c:numRef>
              <c:f>Sheet1!$J$4:$J$18</c:f>
              <c:numCache>
                <c:formatCode>General</c:formatCode>
                <c:ptCount val="15"/>
                <c:pt idx="0">
                  <c:v>7.0</c:v>
                </c:pt>
                <c:pt idx="1">
                  <c:v>8.6</c:v>
                </c:pt>
                <c:pt idx="2">
                  <c:v>8.0</c:v>
                </c:pt>
                <c:pt idx="3">
                  <c:v>9.23</c:v>
                </c:pt>
                <c:pt idx="4">
                  <c:v>7.7</c:v>
                </c:pt>
                <c:pt idx="5">
                  <c:v>9.5</c:v>
                </c:pt>
                <c:pt idx="6">
                  <c:v>8.23</c:v>
                </c:pt>
                <c:pt idx="7">
                  <c:v>9.3</c:v>
                </c:pt>
                <c:pt idx="8">
                  <c:v>10.2</c:v>
                </c:pt>
                <c:pt idx="9">
                  <c:v>7.7</c:v>
                </c:pt>
                <c:pt idx="10">
                  <c:v>8.6</c:v>
                </c:pt>
                <c:pt idx="11">
                  <c:v>10.0</c:v>
                </c:pt>
                <c:pt idx="12">
                  <c:v>7.6</c:v>
                </c:pt>
                <c:pt idx="13">
                  <c:v>8.700000000000001</c:v>
                </c:pt>
                <c:pt idx="14">
                  <c:v>10.3</c:v>
                </c:pt>
              </c:numCache>
            </c:numRef>
          </c:yVal>
          <c:smooth val="0"/>
        </c:ser>
        <c:ser>
          <c:idx val="3"/>
          <c:order val="2"/>
          <c:tx>
            <c:v>WB</c:v>
          </c:tx>
          <c:spPr>
            <a:ln>
              <a:solidFill>
                <a:schemeClr val="tx1"/>
              </a:solidFill>
              <a:prstDash val="sysDash"/>
            </a:ln>
          </c:spPr>
          <c:marker>
            <c:symbol val="circle"/>
            <c:size val="7"/>
            <c:spPr>
              <a:solidFill>
                <a:schemeClr val="tx1"/>
              </a:solidFill>
              <a:ln>
                <a:solidFill>
                  <a:schemeClr val="tx1"/>
                </a:solidFill>
                <a:prstDash val="sysDash"/>
              </a:ln>
            </c:spPr>
          </c:marker>
          <c:xVal>
            <c:numRef>
              <c:f>Sheet1!$A$4:$A$9</c:f>
              <c:numCache>
                <c:formatCode>General</c:formatCode>
                <c:ptCount val="6"/>
                <c:pt idx="0">
                  <c:v>0.0</c:v>
                </c:pt>
                <c:pt idx="1">
                  <c:v>4.0</c:v>
                </c:pt>
                <c:pt idx="2">
                  <c:v>7.0</c:v>
                </c:pt>
                <c:pt idx="3">
                  <c:v>10.0</c:v>
                </c:pt>
                <c:pt idx="4">
                  <c:v>14.0</c:v>
                </c:pt>
                <c:pt idx="5">
                  <c:v>28.0</c:v>
                </c:pt>
              </c:numCache>
            </c:numRef>
          </c:xVal>
          <c:yVal>
            <c:numRef>
              <c:f>Sheet1!$D$4:$D$9</c:f>
              <c:numCache>
                <c:formatCode>General</c:formatCode>
                <c:ptCount val="6"/>
                <c:pt idx="0">
                  <c:v>7.0</c:v>
                </c:pt>
                <c:pt idx="1">
                  <c:v>8.4</c:v>
                </c:pt>
                <c:pt idx="2">
                  <c:v>9.220000000000001</c:v>
                </c:pt>
                <c:pt idx="3">
                  <c:v>10.44</c:v>
                </c:pt>
                <c:pt idx="4">
                  <c:v>10.578</c:v>
                </c:pt>
                <c:pt idx="5">
                  <c:v>10.83</c:v>
                </c:pt>
              </c:numCache>
            </c:numRef>
          </c:yVal>
          <c:smooth val="0"/>
        </c:ser>
        <c:ser>
          <c:idx val="2"/>
          <c:order val="3"/>
          <c:tx>
            <c:v>WCS</c:v>
          </c:tx>
          <c:spPr>
            <a:ln>
              <a:solidFill>
                <a:srgbClr val="FF0000"/>
              </a:solidFill>
              <a:prstDash val="sysDash"/>
            </a:ln>
          </c:spPr>
          <c:marker>
            <c:spPr>
              <a:solidFill>
                <a:srgbClr val="FF0000"/>
              </a:solidFill>
              <a:ln>
                <a:solidFill>
                  <a:srgbClr val="FF0000"/>
                </a:solidFill>
                <a:prstDash val="sysDash"/>
              </a:ln>
            </c:spPr>
          </c:marker>
          <c:xVal>
            <c:numRef>
              <c:f>Sheet1!$A$4:$A$9</c:f>
              <c:numCache>
                <c:formatCode>General</c:formatCode>
                <c:ptCount val="6"/>
                <c:pt idx="0">
                  <c:v>0.0</c:v>
                </c:pt>
                <c:pt idx="1">
                  <c:v>4.0</c:v>
                </c:pt>
                <c:pt idx="2">
                  <c:v>7.0</c:v>
                </c:pt>
                <c:pt idx="3">
                  <c:v>10.0</c:v>
                </c:pt>
                <c:pt idx="4">
                  <c:v>14.0</c:v>
                </c:pt>
                <c:pt idx="5">
                  <c:v>28.0</c:v>
                </c:pt>
              </c:numCache>
            </c:numRef>
          </c:xVal>
          <c:yVal>
            <c:numRef>
              <c:f>Sheet1!$E$4:$E$9</c:f>
              <c:numCache>
                <c:formatCode>General</c:formatCode>
                <c:ptCount val="6"/>
                <c:pt idx="0">
                  <c:v>7.0</c:v>
                </c:pt>
                <c:pt idx="1">
                  <c:v>9.4</c:v>
                </c:pt>
                <c:pt idx="2">
                  <c:v>10.78</c:v>
                </c:pt>
                <c:pt idx="3">
                  <c:v>11.2</c:v>
                </c:pt>
                <c:pt idx="4">
                  <c:v>11.48</c:v>
                </c:pt>
                <c:pt idx="5">
                  <c:v>11.54</c:v>
                </c:pt>
              </c:numCache>
            </c:numRef>
          </c:yVal>
          <c:smooth val="0"/>
        </c:ser>
        <c:dLbls>
          <c:showLegendKey val="0"/>
          <c:showVal val="0"/>
          <c:showCatName val="0"/>
          <c:showSerName val="0"/>
          <c:showPercent val="0"/>
          <c:showBubbleSize val="0"/>
        </c:dLbls>
        <c:axId val="2129607224"/>
        <c:axId val="2129614760"/>
      </c:scatterChart>
      <c:valAx>
        <c:axId val="2129607224"/>
        <c:scaling>
          <c:orientation val="minMax"/>
          <c:max val="28.0"/>
        </c:scaling>
        <c:delete val="0"/>
        <c:axPos val="b"/>
        <c:title>
          <c:tx>
            <c:rich>
              <a:bodyPr/>
              <a:lstStyle/>
              <a:p>
                <a:pPr>
                  <a:defRPr/>
                </a:pPr>
                <a:r>
                  <a:rPr lang="en-US"/>
                  <a:t>Leaching Period (Days)</a:t>
                </a:r>
              </a:p>
            </c:rich>
          </c:tx>
          <c:overlay val="0"/>
        </c:title>
        <c:numFmt formatCode="General" sourceLinked="1"/>
        <c:majorTickMark val="out"/>
        <c:minorTickMark val="none"/>
        <c:tickLblPos val="nextTo"/>
        <c:crossAx val="2129614760"/>
        <c:crosses val="autoZero"/>
        <c:crossBetween val="midCat"/>
        <c:majorUnit val="1.0"/>
      </c:valAx>
      <c:valAx>
        <c:axId val="2129614760"/>
        <c:scaling>
          <c:orientation val="minMax"/>
          <c:min val="7.0"/>
        </c:scaling>
        <c:delete val="0"/>
        <c:axPos val="l"/>
        <c:majorGridlines/>
        <c:title>
          <c:tx>
            <c:rich>
              <a:bodyPr rot="-5400000" vert="horz"/>
              <a:lstStyle/>
              <a:p>
                <a:pPr>
                  <a:defRPr/>
                </a:pPr>
                <a:r>
                  <a:rPr lang="en-US"/>
                  <a:t>pH</a:t>
                </a:r>
              </a:p>
            </c:rich>
          </c:tx>
          <c:layout>
            <c:manualLayout>
              <c:xMode val="edge"/>
              <c:yMode val="edge"/>
              <c:x val="0.00770908266096367"/>
              <c:y val="0.445122148193014"/>
            </c:manualLayout>
          </c:layout>
          <c:overlay val="0"/>
        </c:title>
        <c:numFmt formatCode="General" sourceLinked="1"/>
        <c:majorTickMark val="out"/>
        <c:minorTickMark val="none"/>
        <c:tickLblPos val="nextTo"/>
        <c:crossAx val="2129607224"/>
        <c:crosses val="autoZero"/>
        <c:crossBetween val="midCat"/>
        <c:majorUnit val="0.5"/>
      </c:valAx>
    </c:plotArea>
    <c:legend>
      <c:legendPos val="r"/>
      <c:layout>
        <c:manualLayout>
          <c:xMode val="edge"/>
          <c:yMode val="edge"/>
          <c:x val="0.202188846764525"/>
          <c:y val="0.0273056733292954"/>
          <c:w val="0.61055539353877"/>
          <c:h val="0.12482543932209"/>
        </c:manualLayout>
      </c:layout>
      <c:overlay val="0"/>
    </c:legend>
    <c:plotVisOnly val="1"/>
    <c:dispBlanksAs val="gap"/>
    <c:showDLblsOverMax val="0"/>
  </c:chart>
  <c:spPr>
    <a:ln>
      <a:noFill/>
    </a:ln>
  </c:spPr>
  <c:txPr>
    <a:bodyPr/>
    <a:lstStyle/>
    <a:p>
      <a:pPr>
        <a:defRPr>
          <a:latin typeface="Arial"/>
          <a:cs typeface="Arial"/>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33210913934266"/>
          <c:y val="0.0476007677543186"/>
          <c:w val="0.854351275120461"/>
          <c:h val="0.843456584531696"/>
        </c:manualLayout>
      </c:layout>
      <c:barChart>
        <c:barDir val="col"/>
        <c:grouping val="clustered"/>
        <c:varyColors val="0"/>
        <c:ser>
          <c:idx val="0"/>
          <c:order val="0"/>
          <c:tx>
            <c:strRef>
              <c:f>W!$I$36</c:f>
              <c:strCache>
                <c:ptCount val="1"/>
                <c:pt idx="0">
                  <c:v>7D</c:v>
                </c:pt>
              </c:strCache>
            </c:strRef>
          </c:tx>
          <c:spPr>
            <a:solidFill>
              <a:schemeClr val="accent2">
                <a:lumMod val="50000"/>
              </a:schemeClr>
            </a:solidFill>
            <a:ln w="3175" cap="flat" cmpd="sng" algn="ctr">
              <a:solidFill>
                <a:srgbClr val="A6A6A6"/>
              </a:solidFill>
              <a:prstDash val="solid"/>
            </a:ln>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Ref>
              <c:f>W!$I$37</c:f>
              <c:numCache>
                <c:formatCode>0</c:formatCode>
                <c:ptCount val="1"/>
                <c:pt idx="0">
                  <c:v>99.36</c:v>
                </c:pt>
              </c:numCache>
            </c:numRef>
          </c:val>
        </c:ser>
        <c:ser>
          <c:idx val="1"/>
          <c:order val="1"/>
          <c:tx>
            <c:strRef>
              <c:f>W!$J$36</c:f>
              <c:strCache>
                <c:ptCount val="1"/>
                <c:pt idx="0">
                  <c:v>14D</c:v>
                </c:pt>
              </c:strCache>
            </c:strRef>
          </c:tx>
          <c:spPr>
            <a:solidFill>
              <a:srgbClr val="632523"/>
            </a:solidFill>
            <a:ln w="9525" cap="flat" cmpd="sng" algn="ctr">
              <a:solidFill>
                <a:srgbClr val="A6A6A6"/>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Ref>
              <c:f>W!$J$37</c:f>
              <c:numCache>
                <c:formatCode>0</c:formatCode>
                <c:ptCount val="1"/>
                <c:pt idx="0">
                  <c:v>120.6</c:v>
                </c:pt>
              </c:numCache>
            </c:numRef>
          </c:val>
        </c:ser>
        <c:ser>
          <c:idx val="2"/>
          <c:order val="2"/>
          <c:tx>
            <c:strRef>
              <c:f>W!$K$36</c:f>
              <c:strCache>
                <c:ptCount val="1"/>
                <c:pt idx="0">
                  <c:v>28D</c:v>
                </c:pt>
              </c:strCache>
            </c:strRef>
          </c:tx>
          <c:spPr>
            <a:solidFill>
              <a:srgbClr val="632523"/>
            </a:solidFill>
            <a:ln w="9525" cap="flat" cmpd="sng" algn="ctr">
              <a:solidFill>
                <a:srgbClr val="A6A6A6"/>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Ref>
              <c:f>W!$K$37</c:f>
              <c:numCache>
                <c:formatCode>0</c:formatCode>
                <c:ptCount val="1"/>
                <c:pt idx="0">
                  <c:v>157.78</c:v>
                </c:pt>
              </c:numCache>
            </c:numRef>
          </c:val>
        </c:ser>
        <c:ser>
          <c:idx val="3"/>
          <c:order val="3"/>
          <c:tx>
            <c:strRef>
              <c:f>W!$L$36</c:f>
              <c:strCache>
                <c:ptCount val="1"/>
                <c:pt idx="0">
                  <c:v>3M</c:v>
                </c:pt>
              </c:strCache>
            </c:strRef>
          </c:tx>
          <c:spPr>
            <a:solidFill>
              <a:srgbClr val="632523"/>
            </a:solidFill>
            <a:ln w="9525" cap="flat" cmpd="sng" algn="ctr">
              <a:solidFill>
                <a:srgbClr val="A6A6A6"/>
              </a:solidFill>
              <a:prstDash val="solid"/>
            </a:ln>
            <a:effectLst>
              <a:outerShdw blurRad="40000" dist="23000" dir="5400000" rotWithShape="0">
                <a:srgbClr val="000000">
                  <a:alpha val="35000"/>
                </a:srgbClr>
              </a:outerShdw>
            </a:effectLst>
          </c:spPr>
          <c:invertIfNegative val="0"/>
          <c:dLbls>
            <c:dLbl>
              <c:idx val="0"/>
              <c:showLegendKey val="0"/>
              <c:showVal val="1"/>
              <c:showCatName val="0"/>
              <c:showSerName val="1"/>
              <c:showPercent val="0"/>
              <c:showBubbleSize val="0"/>
              <c:separator>
</c:separator>
            </c:dLbl>
            <c:showLegendKey val="0"/>
            <c:showVal val="0"/>
            <c:showCatName val="0"/>
            <c:showSerName val="1"/>
            <c:showPercent val="0"/>
            <c:showBubbleSize val="0"/>
            <c:showLeaderLines val="0"/>
          </c:dLbls>
          <c:cat>
            <c:strLit>
              <c:ptCount val="1"/>
              <c:pt idx="0">
                <c:v>_x0010_Leaching Periods</c:v>
              </c:pt>
            </c:strLit>
          </c:cat>
          <c:val>
            <c:numRef>
              <c:f>W!$L$37</c:f>
              <c:numCache>
                <c:formatCode>0</c:formatCode>
                <c:ptCount val="1"/>
                <c:pt idx="0">
                  <c:v>415.25</c:v>
                </c:pt>
              </c:numCache>
            </c:numRef>
          </c:val>
        </c:ser>
        <c:ser>
          <c:idx val="4"/>
          <c:order val="4"/>
          <c:tx>
            <c:strRef>
              <c:f>W!$M$36</c:f>
              <c:strCache>
                <c:ptCount val="1"/>
                <c:pt idx="0">
                  <c:v>6M</c:v>
                </c:pt>
              </c:strCache>
            </c:strRef>
          </c:tx>
          <c:spPr>
            <a:solidFill>
              <a:srgbClr val="632523"/>
            </a:solidFill>
            <a:ln w="3175" cap="flat" cmpd="sng" algn="ctr">
              <a:solidFill>
                <a:srgbClr val="A6A6A6"/>
              </a:solidFill>
              <a:prstDash val="solid"/>
            </a:ln>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Ref>
              <c:f>W!$M$37</c:f>
              <c:numCache>
                <c:formatCode>0</c:formatCode>
                <c:ptCount val="1"/>
                <c:pt idx="0">
                  <c:v>440.58</c:v>
                </c:pt>
              </c:numCache>
            </c:numRef>
          </c:val>
        </c:ser>
        <c:ser>
          <c:idx val="5"/>
          <c:order val="5"/>
          <c:tx>
            <c:strRef>
              <c:f>W!$N$36</c:f>
              <c:strCache>
                <c:ptCount val="1"/>
                <c:pt idx="0">
                  <c:v>1Y6M</c:v>
                </c:pt>
              </c:strCache>
            </c:strRef>
          </c:tx>
          <c:spPr>
            <a:solidFill>
              <a:srgbClr val="632523"/>
            </a:solidFill>
            <a:ln w="3175" cap="flat" cmpd="sng" algn="ctr">
              <a:solidFill>
                <a:srgbClr val="A6A6A6"/>
              </a:solidFill>
              <a:prstDash val="solid"/>
            </a:ln>
            <a:effectLst>
              <a:outerShdw blurRad="40000" dist="23000" dir="5400000" rotWithShape="0">
                <a:srgbClr val="000000">
                  <a:alpha val="35000"/>
                </a:srgbClr>
              </a:outerShdw>
            </a:effectLst>
          </c:spPr>
          <c:invertIfNegative val="0"/>
          <c:dLbls>
            <c:dLbl>
              <c:idx val="0"/>
              <c:layout>
                <c:manualLayout>
                  <c:x val="-0.00573065902578802"/>
                  <c:y val="0.00495785820525524"/>
                </c:manualLayout>
              </c:layout>
              <c:showLegendKey val="0"/>
              <c:showVal val="1"/>
              <c:showCatName val="0"/>
              <c:showSerName val="1"/>
              <c:showPercent val="0"/>
              <c:showBubbleSize val="0"/>
              <c:separator>
</c:separator>
            </c:dLbl>
            <c:showLegendKey val="0"/>
            <c:showVal val="1"/>
            <c:showCatName val="0"/>
            <c:showSerName val="1"/>
            <c:showPercent val="0"/>
            <c:showBubbleSize val="0"/>
            <c:separator>
</c:separator>
            <c:showLeaderLines val="0"/>
          </c:dLbls>
          <c:cat>
            <c:strLit>
              <c:ptCount val="1"/>
              <c:pt idx="0">
                <c:v>_x0010_Leaching Periods</c:v>
              </c:pt>
            </c:strLit>
          </c:cat>
          <c:val>
            <c:numRef>
              <c:f>W!$N$37</c:f>
              <c:numCache>
                <c:formatCode>0</c:formatCode>
                <c:ptCount val="1"/>
                <c:pt idx="0">
                  <c:v>1126.84</c:v>
                </c:pt>
              </c:numCache>
            </c:numRef>
          </c:val>
        </c:ser>
        <c:ser>
          <c:idx val="6"/>
          <c:order val="6"/>
          <c:tx>
            <c:strRef>
              <c:f>W!$O$36</c:f>
              <c:strCache>
                <c:ptCount val="1"/>
                <c:pt idx="0">
                  <c:v>2Y</c:v>
                </c:pt>
              </c:strCache>
            </c:strRef>
          </c:tx>
          <c:spPr>
            <a:solidFill>
              <a:srgbClr val="632523"/>
            </a:solidFill>
            <a:ln w="3175" cap="flat" cmpd="sng" algn="ctr">
              <a:solidFill>
                <a:schemeClr val="bg1">
                  <a:lumMod val="8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Ref>
              <c:f>W!$O$37</c:f>
              <c:numCache>
                <c:formatCode>0</c:formatCode>
                <c:ptCount val="1"/>
                <c:pt idx="0">
                  <c:v>1224.65</c:v>
                </c:pt>
              </c:numCache>
            </c:numRef>
          </c:val>
        </c:ser>
        <c:ser>
          <c:idx val="7"/>
          <c:order val="7"/>
          <c:tx>
            <c:strRef>
              <c:f>'Cs Compare'!$C$5</c:f>
              <c:strCache>
                <c:ptCount val="1"/>
                <c:pt idx="0">
                  <c:v>7D</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Ref>
              <c:f>'Cs Compare'!$C$6</c:f>
              <c:numCache>
                <c:formatCode>0</c:formatCode>
                <c:ptCount val="1"/>
                <c:pt idx="0">
                  <c:v>110.7843629515285</c:v>
                </c:pt>
              </c:numCache>
            </c:numRef>
          </c:val>
        </c:ser>
        <c:ser>
          <c:idx val="8"/>
          <c:order val="8"/>
          <c:tx>
            <c:strRef>
              <c:f>'Cs Compare'!$D$5</c:f>
              <c:strCache>
                <c:ptCount val="1"/>
                <c:pt idx="0">
                  <c:v>14D</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dLblPos val="outEnd"/>
            <c:showLegendKey val="0"/>
            <c:showVal val="1"/>
            <c:showCatName val="0"/>
            <c:showSerName val="1"/>
            <c:showPercent val="0"/>
            <c:showBubbleSize val="0"/>
            <c:separator>
</c:separator>
            <c:showLeaderLines val="0"/>
          </c:dLbls>
          <c:cat>
            <c:strLit>
              <c:ptCount val="1"/>
              <c:pt idx="0">
                <c:v>_x0010_Leaching Periods</c:v>
              </c:pt>
            </c:strLit>
          </c:cat>
          <c:val>
            <c:numRef>
              <c:f>'Cs Compare'!$D$6</c:f>
              <c:numCache>
                <c:formatCode>0</c:formatCode>
                <c:ptCount val="1"/>
                <c:pt idx="0">
                  <c:v>150.4853011692287</c:v>
                </c:pt>
              </c:numCache>
            </c:numRef>
          </c:val>
        </c:ser>
        <c:ser>
          <c:idx val="9"/>
          <c:order val="9"/>
          <c:tx>
            <c:strRef>
              <c:f>'Cs Compare'!$E$5</c:f>
              <c:strCache>
                <c:ptCount val="1"/>
                <c:pt idx="0">
                  <c:v>28D</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dLblPos val="outEnd"/>
            <c:showLegendKey val="0"/>
            <c:showVal val="1"/>
            <c:showCatName val="0"/>
            <c:showSerName val="1"/>
            <c:showPercent val="0"/>
            <c:showBubbleSize val="0"/>
            <c:separator>
</c:separator>
            <c:showLeaderLines val="0"/>
          </c:dLbls>
          <c:cat>
            <c:strLit>
              <c:ptCount val="1"/>
              <c:pt idx="0">
                <c:v>_x0010_Leaching Periods</c:v>
              </c:pt>
            </c:strLit>
          </c:cat>
          <c:val>
            <c:numRef>
              <c:f>'Cs Compare'!$E$6</c:f>
              <c:numCache>
                <c:formatCode>0</c:formatCode>
                <c:ptCount val="1"/>
                <c:pt idx="0">
                  <c:v>198.0580327505357</c:v>
                </c:pt>
              </c:numCache>
            </c:numRef>
          </c:val>
        </c:ser>
        <c:ser>
          <c:idx val="10"/>
          <c:order val="10"/>
          <c:tx>
            <c:strRef>
              <c:f>'Cs Compare'!$F$5</c:f>
              <c:strCache>
                <c:ptCount val="1"/>
                <c:pt idx="0">
                  <c:v>3M</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Ref>
              <c:f>'Cs Compare'!$F$6</c:f>
              <c:numCache>
                <c:formatCode>0</c:formatCode>
                <c:ptCount val="1"/>
                <c:pt idx="0">
                  <c:v>450.0</c:v>
                </c:pt>
              </c:numCache>
            </c:numRef>
          </c:val>
        </c:ser>
        <c:ser>
          <c:idx val="11"/>
          <c:order val="11"/>
          <c:tx>
            <c:strRef>
              <c:f>'Cs Compare'!$G$5</c:f>
              <c:strCache>
                <c:ptCount val="1"/>
                <c:pt idx="0">
                  <c:v>6M</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Ref>
              <c:f>'Cs Compare'!$G$6</c:f>
              <c:numCache>
                <c:formatCode>0</c:formatCode>
                <c:ptCount val="1"/>
                <c:pt idx="0">
                  <c:v>504.549814426908</c:v>
                </c:pt>
              </c:numCache>
            </c:numRef>
          </c:val>
        </c:ser>
        <c:ser>
          <c:idx val="12"/>
          <c:order val="12"/>
          <c:tx>
            <c:v>1Y6M</c:v>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dLbl>
              <c:idx val="0"/>
              <c:layout>
                <c:manualLayout>
                  <c:x val="-0.00429799426934097"/>
                  <c:y val="-0.00247892910262766"/>
                </c:manualLayout>
              </c:layout>
              <c:showLegendKey val="0"/>
              <c:showVal val="1"/>
              <c:showCatName val="0"/>
              <c:showSerName val="1"/>
              <c:showPercent val="0"/>
              <c:showBubbleSize val="0"/>
              <c:separator>
</c:separator>
            </c:dLbl>
            <c:showLegendKey val="0"/>
            <c:showVal val="1"/>
            <c:showCatName val="0"/>
            <c:showSerName val="1"/>
            <c:showPercent val="0"/>
            <c:showBubbleSize val="0"/>
            <c:separator>
</c:separator>
            <c:showLeaderLines val="0"/>
          </c:dLbls>
          <c:cat>
            <c:strLit>
              <c:ptCount val="1"/>
              <c:pt idx="0">
                <c:v>_x0010_Leaching Periods</c:v>
              </c:pt>
            </c:strLit>
          </c:cat>
          <c:val>
            <c:numRef>
              <c:f>'Cs Compare'!$H$6</c:f>
              <c:numCache>
                <c:formatCode>0</c:formatCode>
                <c:ptCount val="1"/>
                <c:pt idx="0">
                  <c:v>2033.715748509753</c:v>
                </c:pt>
              </c:numCache>
            </c:numRef>
          </c:val>
        </c:ser>
        <c:ser>
          <c:idx val="13"/>
          <c:order val="13"/>
          <c:tx>
            <c:v>2Y</c:v>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dLbl>
              <c:idx val="0"/>
              <c:layout>
                <c:manualLayout>
                  <c:x val="0.00143266475644699"/>
                  <c:y val="-3.90382535892323E-7"/>
                </c:manualLayout>
              </c:layout>
              <c:showLegendKey val="0"/>
              <c:showVal val="1"/>
              <c:showCatName val="0"/>
              <c:showSerName val="1"/>
              <c:showPercent val="0"/>
              <c:showBubbleSize val="0"/>
              <c:separator>
</c:separator>
            </c:dLbl>
            <c:showLegendKey val="0"/>
            <c:showVal val="1"/>
            <c:showCatName val="0"/>
            <c:showSerName val="1"/>
            <c:showPercent val="0"/>
            <c:showBubbleSize val="0"/>
            <c:separator>
</c:separator>
            <c:showLeaderLines val="0"/>
          </c:dLbls>
          <c:cat>
            <c:strLit>
              <c:ptCount val="1"/>
              <c:pt idx="0">
                <c:v>_x0010_Leaching Periods</c:v>
              </c:pt>
            </c:strLit>
          </c:cat>
          <c:val>
            <c:numRef>
              <c:f>'Cs Compare'!$I$6</c:f>
              <c:numCache>
                <c:formatCode>0</c:formatCode>
                <c:ptCount val="1"/>
                <c:pt idx="0">
                  <c:v>2157.603976858396</c:v>
                </c:pt>
              </c:numCache>
            </c:numRef>
          </c:val>
        </c:ser>
        <c:ser>
          <c:idx val="14"/>
          <c:order val="14"/>
          <c:tx>
            <c:strRef>
              <c:f>'Cs Compare'!$B$22</c:f>
              <c:strCache>
                <c:ptCount val="1"/>
                <c:pt idx="0">
                  <c:v>8H</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Ref>
              <c:f>'Cs Compare'!$C$22</c:f>
              <c:numCache>
                <c:formatCode>0</c:formatCode>
                <c:ptCount val="1"/>
                <c:pt idx="0">
                  <c:v>382.9364283421771</c:v>
                </c:pt>
              </c:numCache>
            </c:numRef>
          </c:val>
        </c:ser>
        <c:ser>
          <c:idx val="20"/>
          <c:order val="15"/>
          <c:tx>
            <c:strRef>
              <c:f>'Cs Compare'!$B$23</c:f>
              <c:strCache>
                <c:ptCount val="1"/>
                <c:pt idx="0">
                  <c:v>1D</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val>
            <c:numRef>
              <c:f>'Cs Compare'!$C$23</c:f>
              <c:numCache>
                <c:formatCode>0</c:formatCode>
                <c:ptCount val="1"/>
                <c:pt idx="0">
                  <c:v>954.0</c:v>
                </c:pt>
              </c:numCache>
            </c:numRef>
          </c:val>
        </c:ser>
        <c:ser>
          <c:idx val="21"/>
          <c:order val="16"/>
          <c:tx>
            <c:strRef>
              <c:f>'Cs Compare'!$B$24</c:f>
              <c:strCache>
                <c:ptCount val="1"/>
                <c:pt idx="0">
                  <c:v>3D</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val>
            <c:numRef>
              <c:f>'Cs Compare'!$C$24</c:f>
              <c:numCache>
                <c:formatCode>0</c:formatCode>
                <c:ptCount val="1"/>
                <c:pt idx="0">
                  <c:v>2117.0</c:v>
                </c:pt>
              </c:numCache>
            </c:numRef>
          </c:val>
        </c:ser>
        <c:ser>
          <c:idx val="25"/>
          <c:order val="17"/>
          <c:tx>
            <c:strRef>
              <c:f>'Cs Compare'!$B$25</c:f>
              <c:strCache>
                <c:ptCount val="1"/>
                <c:pt idx="0">
                  <c:v>7D</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val>
            <c:numRef>
              <c:f>'Cs Compare'!$C$25</c:f>
              <c:numCache>
                <c:formatCode>General</c:formatCode>
                <c:ptCount val="1"/>
                <c:pt idx="0">
                  <c:v>3112.0</c:v>
                </c:pt>
              </c:numCache>
            </c:numRef>
          </c:val>
        </c:ser>
        <c:ser>
          <c:idx val="15"/>
          <c:order val="18"/>
          <c:tx>
            <c:strRef>
              <c:f>'Cs Compare'!$B$30</c:f>
              <c:strCache>
                <c:ptCount val="1"/>
                <c:pt idx="0">
                  <c:v>8H</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Ref>
              <c:f>'Cs Compare'!$C$30</c:f>
              <c:numCache>
                <c:formatCode>0</c:formatCode>
                <c:ptCount val="1"/>
                <c:pt idx="0">
                  <c:v>536.2569199293966</c:v>
                </c:pt>
              </c:numCache>
            </c:numRef>
          </c:val>
        </c:ser>
        <c:ser>
          <c:idx val="22"/>
          <c:order val="19"/>
          <c:tx>
            <c:strRef>
              <c:f>'Cs Compare'!$B$31</c:f>
              <c:strCache>
                <c:ptCount val="1"/>
                <c:pt idx="0">
                  <c:v>1D</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val>
            <c:numRef>
              <c:f>'Cs Compare'!$C$31</c:f>
              <c:numCache>
                <c:formatCode>0</c:formatCode>
                <c:ptCount val="1"/>
                <c:pt idx="0">
                  <c:v>1423.0</c:v>
                </c:pt>
              </c:numCache>
            </c:numRef>
          </c:val>
        </c:ser>
        <c:ser>
          <c:idx val="23"/>
          <c:order val="20"/>
          <c:tx>
            <c:strRef>
              <c:f>'Cs Compare'!$B$32</c:f>
              <c:strCache>
                <c:ptCount val="1"/>
                <c:pt idx="0">
                  <c:v>3D</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val>
            <c:numRef>
              <c:f>'Cs Compare'!$C$32</c:f>
              <c:numCache>
                <c:formatCode>0</c:formatCode>
                <c:ptCount val="1"/>
                <c:pt idx="0">
                  <c:v>2950.0</c:v>
                </c:pt>
              </c:numCache>
            </c:numRef>
          </c:val>
        </c:ser>
        <c:ser>
          <c:idx val="24"/>
          <c:order val="21"/>
          <c:tx>
            <c:strRef>
              <c:f>'Cs Compare'!$B$33</c:f>
              <c:strCache>
                <c:ptCount val="1"/>
                <c:pt idx="0">
                  <c:v>7D</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val>
            <c:numRef>
              <c:f>'Cs Compare'!$C$33</c:f>
              <c:numCache>
                <c:formatCode>0</c:formatCode>
                <c:ptCount val="1"/>
                <c:pt idx="0">
                  <c:v>3622.0</c:v>
                </c:pt>
              </c:numCache>
            </c:numRef>
          </c:val>
        </c:ser>
        <c:ser>
          <c:idx val="16"/>
          <c:order val="22"/>
          <c:tx>
            <c:strRef>
              <c:f>'Cs Compare'!$C$16</c:f>
              <c:strCache>
                <c:ptCount val="1"/>
                <c:pt idx="0">
                  <c:v>7D</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Ref>
              <c:f>'Cs Compare'!$C$17</c:f>
              <c:numCache>
                <c:formatCode>0</c:formatCode>
                <c:ptCount val="1"/>
                <c:pt idx="0">
                  <c:v>892.5143578449779</c:v>
                </c:pt>
              </c:numCache>
            </c:numRef>
          </c:val>
        </c:ser>
        <c:ser>
          <c:idx val="17"/>
          <c:order val="23"/>
          <c:tx>
            <c:strRef>
              <c:f>'Cs Compare'!$D$16</c:f>
              <c:strCache>
                <c:ptCount val="1"/>
                <c:pt idx="0">
                  <c:v>14D</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Ref>
              <c:f>'Cs Compare'!$D$17</c:f>
              <c:numCache>
                <c:formatCode>0</c:formatCode>
                <c:ptCount val="1"/>
                <c:pt idx="0">
                  <c:v>2567.121266410098</c:v>
                </c:pt>
              </c:numCache>
            </c:numRef>
          </c:val>
        </c:ser>
        <c:ser>
          <c:idx val="18"/>
          <c:order val="24"/>
          <c:tx>
            <c:strRef>
              <c:f>'Cs Compare'!$E$16</c:f>
              <c:strCache>
                <c:ptCount val="1"/>
                <c:pt idx="0">
                  <c:v>28D</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Ref>
              <c:f>'Cs Compare'!$E$17</c:f>
              <c:numCache>
                <c:formatCode>0</c:formatCode>
                <c:ptCount val="1"/>
                <c:pt idx="0">
                  <c:v>3446.556801350126</c:v>
                </c:pt>
              </c:numCache>
            </c:numRef>
          </c:val>
        </c:ser>
        <c:ser>
          <c:idx val="19"/>
          <c:order val="25"/>
          <c:tx>
            <c:strRef>
              <c:f>'Cs Compare'!$F$16</c:f>
              <c:strCache>
                <c:ptCount val="1"/>
                <c:pt idx="0">
                  <c:v>3M</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invertIfNegative val="0"/>
          <c:dLbls>
            <c:showLegendKey val="0"/>
            <c:showVal val="1"/>
            <c:showCatName val="0"/>
            <c:showSerName val="1"/>
            <c:showPercent val="0"/>
            <c:showBubbleSize val="0"/>
            <c:separator>
</c:separator>
            <c:showLeaderLines val="0"/>
          </c:dLbls>
          <c:cat>
            <c:strLit>
              <c:ptCount val="1"/>
              <c:pt idx="0">
                <c:v>_x0010_Leaching Periods</c:v>
              </c:pt>
            </c:strLit>
          </c:cat>
          <c:val>
            <c:numRef>
              <c:f>'Cs Compare'!$F$17</c:f>
              <c:numCache>
                <c:formatCode>0</c:formatCode>
                <c:ptCount val="1"/>
                <c:pt idx="0">
                  <c:v>3692.739430017992</c:v>
                </c:pt>
              </c:numCache>
            </c:numRef>
          </c:val>
        </c:ser>
        <c:dLbls>
          <c:showLegendKey val="0"/>
          <c:showVal val="0"/>
          <c:showCatName val="0"/>
          <c:showSerName val="1"/>
          <c:showPercent val="0"/>
          <c:showBubbleSize val="0"/>
        </c:dLbls>
        <c:gapWidth val="150"/>
        <c:axId val="2128702824"/>
        <c:axId val="2128699800"/>
      </c:barChart>
      <c:catAx>
        <c:axId val="2128702824"/>
        <c:scaling>
          <c:orientation val="minMax"/>
        </c:scaling>
        <c:delete val="0"/>
        <c:axPos val="b"/>
        <c:majorTickMark val="out"/>
        <c:minorTickMark val="none"/>
        <c:tickLblPos val="nextTo"/>
        <c:txPr>
          <a:bodyPr/>
          <a:lstStyle/>
          <a:p>
            <a:pPr>
              <a:defRPr sz="2400"/>
            </a:pPr>
            <a:endParaRPr lang="en-US"/>
          </a:p>
        </c:txPr>
        <c:crossAx val="2128699800"/>
        <c:crosses val="autoZero"/>
        <c:auto val="1"/>
        <c:lblAlgn val="ctr"/>
        <c:lblOffset val="100"/>
        <c:noMultiLvlLbl val="0"/>
      </c:catAx>
      <c:valAx>
        <c:axId val="2128699800"/>
        <c:scaling>
          <c:orientation val="minMax"/>
          <c:min val="0.0"/>
        </c:scaling>
        <c:delete val="0"/>
        <c:axPos val="l"/>
        <c:majorGridlines>
          <c:spPr>
            <a:ln w="3175" cap="flat" cmpd="sng">
              <a:noFill/>
              <a:prstDash val="sysDot"/>
              <a:round/>
              <a:headEnd type="none"/>
              <a:tailEnd type="none"/>
            </a:ln>
          </c:spPr>
        </c:majorGridlines>
        <c:title>
          <c:tx>
            <c:rich>
              <a:bodyPr rot="-5400000" vert="horz"/>
              <a:lstStyle/>
              <a:p>
                <a:pPr>
                  <a:defRPr sz="2000"/>
                </a:pPr>
                <a:r>
                  <a:rPr lang="en-US" sz="2000"/>
                  <a:t>Normalised Accumlated Mass of Cs  in solution</a:t>
                </a:r>
              </a:p>
              <a:p>
                <a:pPr>
                  <a:defRPr sz="2000"/>
                </a:pPr>
                <a:r>
                  <a:rPr lang="en-US" sz="2000"/>
                  <a:t> (mg/cm²)</a:t>
                </a:r>
              </a:p>
            </c:rich>
          </c:tx>
          <c:layout>
            <c:manualLayout>
              <c:xMode val="edge"/>
              <c:yMode val="edge"/>
              <c:x val="0.0197944573173066"/>
              <c:y val="0.102909618272809"/>
            </c:manualLayout>
          </c:layout>
          <c:overlay val="0"/>
        </c:title>
        <c:numFmt formatCode="0" sourceLinked="1"/>
        <c:majorTickMark val="out"/>
        <c:minorTickMark val="none"/>
        <c:tickLblPos val="nextTo"/>
        <c:txPr>
          <a:bodyPr/>
          <a:lstStyle/>
          <a:p>
            <a:pPr>
              <a:defRPr sz="1200" b="1" baseline="0"/>
            </a:pPr>
            <a:endParaRPr lang="en-US"/>
          </a:p>
        </c:txPr>
        <c:crossAx val="2128702824"/>
        <c:crosses val="autoZero"/>
        <c:crossBetween val="between"/>
        <c:majorUnit val="200.0"/>
      </c:valAx>
      <c:spPr>
        <a:ln>
          <a:noFill/>
        </a:ln>
      </c:spPr>
    </c:plotArea>
    <c:plotVisOnly val="1"/>
    <c:dispBlanksAs val="gap"/>
    <c:showDLblsOverMax val="0"/>
  </c:chart>
  <c:spPr>
    <a:ln>
      <a:noFill/>
    </a:ln>
  </c:spPr>
  <c:txPr>
    <a:bodyPr/>
    <a:lstStyle/>
    <a:p>
      <a:pPr>
        <a:defRPr sz="1400" b="1" baseline="-25000">
          <a:latin typeface="Arial"/>
          <a:cs typeface="Arial"/>
        </a:defRPr>
      </a:pPr>
      <a:endParaRPr lang="en-US"/>
    </a:p>
  </c:txPr>
  <c:externalData r:id="rId1">
    <c:autoUpdate val="0"/>
  </c:externalData>
  <c:userShapes r:id="rId2"/>
</c:chartSpace>
</file>

<file path=word/drawings/_rels/drawing1.xml.rels><?xml version="1.0" encoding="UTF-8" standalone="yes"?>
<Relationships xmlns="http://schemas.openxmlformats.org/package/2006/relationships"><Relationship Id="rId1" Type="http://schemas.openxmlformats.org/officeDocument/2006/relationships/image" Target="../media/image48.emf"/></Relationships>
</file>

<file path=word/drawings/_rels/drawing2.xml.rels><?xml version="1.0" encoding="UTF-8" standalone="yes"?>
<Relationships xmlns="http://schemas.openxmlformats.org/package/2006/relationships"><Relationship Id="rId1" Type="http://schemas.openxmlformats.org/officeDocument/2006/relationships/image" Target="../media/image50.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50.png"/></Relationships>
</file>

<file path=word/drawings/_rels/drawing5.xml.rels><?xml version="1.0" encoding="UTF-8" standalone="yes"?>
<Relationships xmlns="http://schemas.openxmlformats.org/package/2006/relationships"><Relationship Id="rId1" Type="http://schemas.openxmlformats.org/officeDocument/2006/relationships/image" Target="../media/image50.png"/></Relationships>
</file>

<file path=word/drawings/drawing1.xml><?xml version="1.0" encoding="utf-8"?>
<c:userShapes xmlns:c="http://schemas.openxmlformats.org/drawingml/2006/chart">
  <cdr:relSizeAnchor xmlns:cdr="http://schemas.openxmlformats.org/drawingml/2006/chartDrawing">
    <cdr:from>
      <cdr:x>0.14351</cdr:x>
      <cdr:y>0.04377</cdr:y>
    </cdr:from>
    <cdr:to>
      <cdr:x>0.76574</cdr:x>
      <cdr:y>0.20184</cdr:y>
    </cdr:to>
    <cdr:pic>
      <cdr:nvPicPr>
        <cdr:cNvPr id="15" name="Picture 14"/>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400175" y="250371"/>
          <a:ext cx="6070963" cy="904186"/>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0.14519</cdr:x>
      <cdr:y>0.02067</cdr:y>
    </cdr:from>
    <cdr:to>
      <cdr:x>0.65253</cdr:x>
      <cdr:y>0.14482</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460287" y="120150"/>
          <a:ext cx="5102706" cy="721658"/>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0.14058</cdr:x>
      <cdr:y>0.02048</cdr:y>
    </cdr:from>
    <cdr:to>
      <cdr:x>0.66621</cdr:x>
      <cdr:y>0.14348</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364776" y="120138"/>
          <a:ext cx="5102711" cy="721698"/>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0.71088</cdr:x>
      <cdr:y>0.07407</cdr:y>
    </cdr:from>
    <cdr:to>
      <cdr:x>0.90136</cdr:x>
      <cdr:y>0.16383</cdr:y>
    </cdr:to>
    <cdr:sp macro="" textlink="">
      <cdr:nvSpPr>
        <cdr:cNvPr id="3" name="TextBox 2"/>
        <cdr:cNvSpPr txBox="1"/>
      </cdr:nvSpPr>
      <cdr:spPr>
        <a:xfrm xmlns:a="http://schemas.openxmlformats.org/drawingml/2006/main">
          <a:off x="3412671" y="228600"/>
          <a:ext cx="914400" cy="276999"/>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a:latin typeface="Arial"/>
              <a:cs typeface="Arial"/>
            </a:rPr>
            <a:t>A14DCS</a:t>
          </a:r>
        </a:p>
      </cdr:txBody>
    </cdr:sp>
  </cdr:relSizeAnchor>
  <cdr:relSizeAnchor xmlns:cdr="http://schemas.openxmlformats.org/drawingml/2006/chartDrawing">
    <cdr:from>
      <cdr:x>0.68707</cdr:x>
      <cdr:y>0.25926</cdr:y>
    </cdr:from>
    <cdr:to>
      <cdr:x>0.90136</cdr:x>
      <cdr:y>0.34403</cdr:y>
    </cdr:to>
    <cdr:sp macro="" textlink="">
      <cdr:nvSpPr>
        <cdr:cNvPr id="4" name="TextBox 1"/>
        <cdr:cNvSpPr txBox="1"/>
      </cdr:nvSpPr>
      <cdr:spPr>
        <a:xfrm xmlns:a="http://schemas.openxmlformats.org/drawingml/2006/main">
          <a:off x="3298371" y="800100"/>
          <a:ext cx="1028700" cy="26161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100">
              <a:latin typeface="Arial"/>
              <a:cs typeface="Arial"/>
            </a:rPr>
            <a:t>W-2YCS</a:t>
          </a:r>
          <a:endParaRPr lang="en-US" sz="1050">
            <a:latin typeface="Arial"/>
            <a:cs typeface="Arial"/>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0.16294</cdr:x>
      <cdr:y>0.03565</cdr:y>
    </cdr:from>
    <cdr:to>
      <cdr:x>0.72122</cdr:x>
      <cdr:y>0.16445</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893946" y="114300"/>
          <a:ext cx="3062939" cy="412942"/>
        </a:xfrm>
        <a:prstGeom xmlns:a="http://schemas.openxmlformats.org/drawingml/2006/main" prst="rect">
          <a:avLst/>
        </a:prstGeom>
      </cdr:spPr>
    </cdr:pic>
  </cdr:relSizeAnchor>
</c:userShapes>
</file>

<file path=word/drawings/drawing6.xml><?xml version="1.0" encoding="utf-8"?>
<c:userShapes xmlns:c="http://schemas.openxmlformats.org/drawingml/2006/chart">
  <cdr:relSizeAnchor xmlns:cdr="http://schemas.openxmlformats.org/drawingml/2006/chartDrawing">
    <cdr:from>
      <cdr:x>0.70183</cdr:x>
      <cdr:y>0.23571</cdr:y>
    </cdr:from>
    <cdr:to>
      <cdr:x>0.74976</cdr:x>
      <cdr:y>0.29518</cdr:y>
    </cdr:to>
    <cdr:sp macro="" textlink="">
      <cdr:nvSpPr>
        <cdr:cNvPr id="17" name="TextBox 1"/>
        <cdr:cNvSpPr txBox="1"/>
      </cdr:nvSpPr>
      <cdr:spPr>
        <a:xfrm xmlns:a="http://schemas.openxmlformats.org/drawingml/2006/main">
          <a:off x="6678217" y="1250549"/>
          <a:ext cx="456077" cy="31551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en-GB" sz="1400">
            <a:latin typeface="Arial Unicode MS" pitchFamily="34" charset="-128"/>
            <a:ea typeface="Arial Unicode MS" pitchFamily="34" charset="-128"/>
            <a:cs typeface="Arial Unicode MS" pitchFamily="34" charset="-128"/>
          </a:endParaRPr>
        </a:p>
      </cdr:txBody>
    </cdr:sp>
  </cdr:relSizeAnchor>
  <cdr:relSizeAnchor xmlns:cdr="http://schemas.openxmlformats.org/drawingml/2006/chartDrawing">
    <cdr:from>
      <cdr:x>0.48749</cdr:x>
      <cdr:y>0.24237</cdr:y>
    </cdr:from>
    <cdr:to>
      <cdr:x>0.56456</cdr:x>
      <cdr:y>0.29982</cdr:y>
    </cdr:to>
    <cdr:sp macro="" textlink="">
      <cdr:nvSpPr>
        <cdr:cNvPr id="21" name="TextBox 20"/>
        <cdr:cNvSpPr txBox="1"/>
      </cdr:nvSpPr>
      <cdr:spPr>
        <a:xfrm xmlns:a="http://schemas.openxmlformats.org/drawingml/2006/main">
          <a:off x="4638675" y="1285875"/>
          <a:ext cx="733425" cy="3048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0.48749</cdr:x>
      <cdr:y>0.24237</cdr:y>
    </cdr:from>
    <cdr:to>
      <cdr:x>0.56456</cdr:x>
      <cdr:y>0.29982</cdr:y>
    </cdr:to>
    <cdr:sp macro="" textlink="">
      <cdr:nvSpPr>
        <cdr:cNvPr id="32" name="TextBox 20"/>
        <cdr:cNvSpPr txBox="1"/>
      </cdr:nvSpPr>
      <cdr:spPr>
        <a:xfrm xmlns:a="http://schemas.openxmlformats.org/drawingml/2006/main">
          <a:off x="4638675" y="1285875"/>
          <a:ext cx="733425" cy="3048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0.3954</cdr:x>
      <cdr:y>0.21544</cdr:y>
    </cdr:from>
    <cdr:to>
      <cdr:x>0.43844</cdr:x>
      <cdr:y>0.28007</cdr:y>
    </cdr:to>
    <cdr:sp macro="" textlink="">
      <cdr:nvSpPr>
        <cdr:cNvPr id="40" name="TextBox 39"/>
        <cdr:cNvSpPr txBox="1"/>
      </cdr:nvSpPr>
      <cdr:spPr>
        <a:xfrm xmlns:a="http://schemas.openxmlformats.org/drawingml/2006/main">
          <a:off x="3762375" y="1143000"/>
          <a:ext cx="409575" cy="3429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400"/>
        </a:p>
      </cdr:txBody>
    </cdr:sp>
  </cdr:relSizeAnchor>
  <cdr:relSizeAnchor xmlns:cdr="http://schemas.openxmlformats.org/drawingml/2006/chartDrawing">
    <cdr:from>
      <cdr:x>0.3667</cdr:x>
      <cdr:y>0.12627</cdr:y>
    </cdr:from>
    <cdr:to>
      <cdr:x>0.45983</cdr:x>
      <cdr:y>0.19512</cdr:y>
    </cdr:to>
    <cdr:sp macro="" textlink="">
      <cdr:nvSpPr>
        <cdr:cNvPr id="42" name="TextBox 1"/>
        <cdr:cNvSpPr txBox="1"/>
      </cdr:nvSpPr>
      <cdr:spPr>
        <a:xfrm xmlns:a="http://schemas.openxmlformats.org/drawingml/2006/main">
          <a:off x="3489325" y="669925"/>
          <a:ext cx="886177" cy="36527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en-GB" sz="1100">
            <a:latin typeface="Arial Unicode MS" pitchFamily="34" charset="-128"/>
            <a:ea typeface="Arial Unicode MS" pitchFamily="34" charset="-128"/>
            <a:cs typeface="Arial Unicode MS" pitchFamily="34" charset="-128"/>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0.70183</cdr:x>
      <cdr:y>0.23571</cdr:y>
    </cdr:from>
    <cdr:to>
      <cdr:x>0.74976</cdr:x>
      <cdr:y>0.29518</cdr:y>
    </cdr:to>
    <cdr:sp macro="" textlink="">
      <cdr:nvSpPr>
        <cdr:cNvPr id="17" name="TextBox 1"/>
        <cdr:cNvSpPr txBox="1"/>
      </cdr:nvSpPr>
      <cdr:spPr>
        <a:xfrm xmlns:a="http://schemas.openxmlformats.org/drawingml/2006/main">
          <a:off x="6678217" y="1250549"/>
          <a:ext cx="456077" cy="31551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en-GB" sz="1400">
            <a:latin typeface="Arial Unicode MS" pitchFamily="34" charset="-128"/>
            <a:ea typeface="Arial Unicode MS" pitchFamily="34" charset="-128"/>
            <a:cs typeface="Arial Unicode MS" pitchFamily="34" charset="-128"/>
          </a:endParaRPr>
        </a:p>
      </cdr:txBody>
    </cdr:sp>
  </cdr:relSizeAnchor>
  <cdr:relSizeAnchor xmlns:cdr="http://schemas.openxmlformats.org/drawingml/2006/chartDrawing">
    <cdr:from>
      <cdr:x>0.48749</cdr:x>
      <cdr:y>0.24237</cdr:y>
    </cdr:from>
    <cdr:to>
      <cdr:x>0.56456</cdr:x>
      <cdr:y>0.29982</cdr:y>
    </cdr:to>
    <cdr:sp macro="" textlink="">
      <cdr:nvSpPr>
        <cdr:cNvPr id="21" name="TextBox 20"/>
        <cdr:cNvSpPr txBox="1"/>
      </cdr:nvSpPr>
      <cdr:spPr>
        <a:xfrm xmlns:a="http://schemas.openxmlformats.org/drawingml/2006/main">
          <a:off x="4638675" y="1285875"/>
          <a:ext cx="733425" cy="3048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0.48749</cdr:x>
      <cdr:y>0.24237</cdr:y>
    </cdr:from>
    <cdr:to>
      <cdr:x>0.56456</cdr:x>
      <cdr:y>0.29982</cdr:y>
    </cdr:to>
    <cdr:sp macro="" textlink="">
      <cdr:nvSpPr>
        <cdr:cNvPr id="32" name="TextBox 20"/>
        <cdr:cNvSpPr txBox="1"/>
      </cdr:nvSpPr>
      <cdr:spPr>
        <a:xfrm xmlns:a="http://schemas.openxmlformats.org/drawingml/2006/main">
          <a:off x="4638675" y="1285875"/>
          <a:ext cx="733425" cy="3048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0.3667</cdr:x>
      <cdr:y>0.12627</cdr:y>
    </cdr:from>
    <cdr:to>
      <cdr:x>0.45983</cdr:x>
      <cdr:y>0.19512</cdr:y>
    </cdr:to>
    <cdr:sp macro="" textlink="">
      <cdr:nvSpPr>
        <cdr:cNvPr id="42" name="TextBox 1"/>
        <cdr:cNvSpPr txBox="1"/>
      </cdr:nvSpPr>
      <cdr:spPr>
        <a:xfrm xmlns:a="http://schemas.openxmlformats.org/drawingml/2006/main">
          <a:off x="3489325" y="669925"/>
          <a:ext cx="886177" cy="36527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en-GB" sz="1100">
            <a:latin typeface="Arial Unicode MS" pitchFamily="34" charset="-128"/>
            <a:ea typeface="Arial Unicode MS" pitchFamily="34" charset="-128"/>
            <a:cs typeface="Arial Unicode MS" pitchFamily="34" charset="-128"/>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2483C8-DA6C-A94A-8416-C59E069C7A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207</Pages>
  <Words>45614</Words>
  <Characters>260003</Characters>
  <Application>Microsoft Macintosh Word</Application>
  <DocSecurity>0</DocSecurity>
  <Lines>2166</Lines>
  <Paragraphs>610</Paragraphs>
  <ScaleCrop>false</ScaleCrop>
  <HeadingPairs>
    <vt:vector size="2" baseType="variant">
      <vt:variant>
        <vt:lpstr>Title</vt:lpstr>
      </vt:variant>
      <vt:variant>
        <vt:i4>1</vt:i4>
      </vt:variant>
    </vt:vector>
  </HeadingPairs>
  <TitlesOfParts>
    <vt:vector size="1" baseType="lpstr">
      <vt:lpstr/>
    </vt:vector>
  </TitlesOfParts>
  <Company>Tradition</Company>
  <LinksUpToDate>false</LinksUpToDate>
  <CharactersWithSpaces>305007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 G</dc:creator>
  <cp:lastModifiedBy>W G</cp:lastModifiedBy>
  <cp:revision>2</cp:revision>
  <cp:lastPrinted>2016-01-23T15:29:00Z</cp:lastPrinted>
  <dcterms:created xsi:type="dcterms:W3CDTF">2016-03-14T14:01:00Z</dcterms:created>
  <dcterms:modified xsi:type="dcterms:W3CDTF">2016-03-14T14:01:00Z</dcterms:modified>
</cp:coreProperties>
</file>